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16.xml" ContentType="application/vnd.openxmlformats-officedocument.wordprocessingml.footer+xml"/>
  <Override PartName="/word/header4.xml" ContentType="application/vnd.openxmlformats-officedocument.wordprocessingml.header+xml"/>
  <Override PartName="/word/footer1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7.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5.xml" ContentType="application/vnd.openxmlformats-officedocument.wordprocessingml.footer+xml"/>
  <Override PartName="/word/footer26.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19.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3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oter44.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footer45.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footer46.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86.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93.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102.xml" ContentType="application/vnd.openxmlformats-officedocument.wordprocessingml.header+xml"/>
  <Override PartName="/word/footer69.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105.xml" ContentType="application/vnd.openxmlformats-officedocument.wordprocessingml.header+xml"/>
  <Override PartName="/word/footer72.xml" ContentType="application/vnd.openxmlformats-officedocument.wordprocessingml.footer+xml"/>
  <Override PartName="/word/header106.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107.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110.xml" ContentType="application/vnd.openxmlformats-officedocument.wordprocessingml.header+xml"/>
  <Override PartName="/word/footer79.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113.xml" ContentType="application/vnd.openxmlformats-officedocument.wordprocessingml.header+xml"/>
  <Override PartName="/word/footer82.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11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117.xml" ContentType="application/vnd.openxmlformats-officedocument.wordprocessingml.header+xml"/>
  <Override PartName="/word/footer8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A97417" w14:textId="77777777" w:rsidR="00F74356" w:rsidRPr="00976DEE" w:rsidRDefault="00F74356" w:rsidP="00F74356">
      <w:pPr>
        <w:pStyle w:val="ReportDate"/>
        <w:shd w:val="clear" w:color="auto" w:fill="232B39"/>
        <w:spacing w:before="1900"/>
        <w:ind w:right="2819"/>
        <w:jc w:val="right"/>
        <w:rPr>
          <w:color w:val="FFFFFF" w:themeColor="background1"/>
        </w:rPr>
      </w:pPr>
      <w:r w:rsidRPr="00976DEE">
        <w:rPr>
          <w:noProof/>
        </w:rPr>
        <mc:AlternateContent>
          <mc:Choice Requires="wpg">
            <w:drawing>
              <wp:anchor distT="0" distB="0" distL="114300" distR="114300" simplePos="0" relativeHeight="251658241" behindDoc="1" locked="1" layoutInCell="1" allowOverlap="1" wp14:anchorId="1E487F5D" wp14:editId="56B3A217">
                <wp:simplePos x="0" y="0"/>
                <wp:positionH relativeFrom="margin">
                  <wp:posOffset>-1041400</wp:posOffset>
                </wp:positionH>
                <wp:positionV relativeFrom="margin">
                  <wp:posOffset>-308610</wp:posOffset>
                </wp:positionV>
                <wp:extent cx="7351776" cy="7626096"/>
                <wp:effectExtent l="0" t="0" r="1905" b="0"/>
                <wp:wrapNone/>
                <wp:docPr id="1973567697" name="Group 19735676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51776" cy="7626096"/>
                          <a:chOff x="-189779" y="0"/>
                          <a:chExt cx="7253520" cy="7516864"/>
                        </a:xfrm>
                      </wpg:grpSpPr>
                      <wps:wsp>
                        <wps:cNvPr id="552562800" name="Freeform: Shape 552562800"/>
                        <wps:cNvSpPr/>
                        <wps:spPr>
                          <a:xfrm>
                            <a:off x="143301" y="0"/>
                            <a:ext cx="6694087" cy="7286917"/>
                          </a:xfrm>
                          <a:custGeom>
                            <a:avLst/>
                            <a:gdLst>
                              <a:gd name="connsiteX0" fmla="*/ 5010817 w 5010816"/>
                              <a:gd name="connsiteY0" fmla="*/ 0 h 5445251"/>
                              <a:gd name="connsiteX1" fmla="*/ 943165 w 5010816"/>
                              <a:gd name="connsiteY1" fmla="*/ 0 h 5445251"/>
                              <a:gd name="connsiteX2" fmla="*/ 0 w 5010816"/>
                              <a:gd name="connsiteY2" fmla="*/ 1995297 h 5445251"/>
                              <a:gd name="connsiteX3" fmla="*/ 0 w 5010816"/>
                              <a:gd name="connsiteY3" fmla="*/ 5445252 h 5445251"/>
                              <a:gd name="connsiteX4" fmla="*/ 2436876 w 5010816"/>
                              <a:gd name="connsiteY4" fmla="*/ 5445252 h 544525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10816" h="5445251">
                                <a:moveTo>
                                  <a:pt x="5010817" y="0"/>
                                </a:moveTo>
                                <a:lnTo>
                                  <a:pt x="943165" y="0"/>
                                </a:lnTo>
                                <a:lnTo>
                                  <a:pt x="0" y="1995297"/>
                                </a:lnTo>
                                <a:lnTo>
                                  <a:pt x="0" y="5445252"/>
                                </a:lnTo>
                                <a:lnTo>
                                  <a:pt x="2436876" y="5445252"/>
                                </a:lnTo>
                                <a:close/>
                              </a:path>
                            </a:pathLst>
                          </a:custGeom>
                          <a:solidFill>
                            <a:schemeClr val="accent5">
                              <a:alpha val="56078"/>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8907791" name="Freeform: Shape 1608907791"/>
                        <wps:cNvSpPr/>
                        <wps:spPr>
                          <a:xfrm>
                            <a:off x="-100543" y="1794188"/>
                            <a:ext cx="7164284" cy="5722676"/>
                          </a:xfrm>
                          <a:custGeom>
                            <a:avLst/>
                            <a:gdLst>
                              <a:gd name="connsiteX0" fmla="*/ 5287518 w 5287517"/>
                              <a:gd name="connsiteY0" fmla="*/ 4216337 h 4216336"/>
                              <a:gd name="connsiteX1" fmla="*/ 3294507 w 5287517"/>
                              <a:gd name="connsiteY1" fmla="*/ 0 h 4216336"/>
                              <a:gd name="connsiteX2" fmla="*/ 0 w 5287517"/>
                              <a:gd name="connsiteY2" fmla="*/ 0 h 4216336"/>
                              <a:gd name="connsiteX3" fmla="*/ 0 w 5287517"/>
                              <a:gd name="connsiteY3" fmla="*/ 4216337 h 4216336"/>
                            </a:gdLst>
                            <a:ahLst/>
                            <a:cxnLst>
                              <a:cxn ang="0">
                                <a:pos x="connsiteX0" y="connsiteY0"/>
                              </a:cxn>
                              <a:cxn ang="0">
                                <a:pos x="connsiteX1" y="connsiteY1"/>
                              </a:cxn>
                              <a:cxn ang="0">
                                <a:pos x="connsiteX2" y="connsiteY2"/>
                              </a:cxn>
                              <a:cxn ang="0">
                                <a:pos x="connsiteX3" y="connsiteY3"/>
                              </a:cxn>
                            </a:cxnLst>
                            <a:rect l="l" t="t" r="r" b="b"/>
                            <a:pathLst>
                              <a:path w="5287517" h="4216336">
                                <a:moveTo>
                                  <a:pt x="5287518" y="4216337"/>
                                </a:moveTo>
                                <a:lnTo>
                                  <a:pt x="3294507" y="0"/>
                                </a:lnTo>
                                <a:lnTo>
                                  <a:pt x="0" y="0"/>
                                </a:lnTo>
                                <a:lnTo>
                                  <a:pt x="0" y="4216337"/>
                                </a:lnTo>
                                <a:close/>
                              </a:path>
                            </a:pathLst>
                          </a:custGeom>
                          <a:solidFill>
                            <a:srgbClr val="66CEF6"/>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347274" name="Rectangle 30"/>
                        <wps:cNvSpPr/>
                        <wps:spPr>
                          <a:xfrm>
                            <a:off x="-189779" y="922649"/>
                            <a:ext cx="5357004" cy="5495357"/>
                          </a:xfrm>
                          <a:custGeom>
                            <a:avLst/>
                            <a:gdLst>
                              <a:gd name="connsiteX0" fmla="*/ 0 w 5265665"/>
                              <a:gd name="connsiteY0" fmla="*/ 0 h 5501523"/>
                              <a:gd name="connsiteX1" fmla="*/ 5265665 w 5265665"/>
                              <a:gd name="connsiteY1" fmla="*/ 0 h 5501523"/>
                              <a:gd name="connsiteX2" fmla="*/ 5265665 w 5265665"/>
                              <a:gd name="connsiteY2" fmla="*/ 5501523 h 5501523"/>
                              <a:gd name="connsiteX3" fmla="*/ 0 w 5265665"/>
                              <a:gd name="connsiteY3" fmla="*/ 5501523 h 5501523"/>
                              <a:gd name="connsiteX4" fmla="*/ 0 w 5265665"/>
                              <a:gd name="connsiteY4" fmla="*/ 0 h 5501523"/>
                              <a:gd name="connsiteX0" fmla="*/ 0 w 5265665"/>
                              <a:gd name="connsiteY0" fmla="*/ 0 h 5501523"/>
                              <a:gd name="connsiteX1" fmla="*/ 5265665 w 5265665"/>
                              <a:gd name="connsiteY1" fmla="*/ 0 h 5501523"/>
                              <a:gd name="connsiteX2" fmla="*/ 5265665 w 5265665"/>
                              <a:gd name="connsiteY2" fmla="*/ 5501523 h 5501523"/>
                              <a:gd name="connsiteX3" fmla="*/ 0 w 5265665"/>
                              <a:gd name="connsiteY3" fmla="*/ 5501523 h 5501523"/>
                              <a:gd name="connsiteX4" fmla="*/ 0 w 5265665"/>
                              <a:gd name="connsiteY4" fmla="*/ 3301340 h 5501523"/>
                              <a:gd name="connsiteX5" fmla="*/ 0 w 5265665"/>
                              <a:gd name="connsiteY5" fmla="*/ 0 h 5501523"/>
                              <a:gd name="connsiteX0" fmla="*/ 0 w 5265665"/>
                              <a:gd name="connsiteY0" fmla="*/ 0 h 5501523"/>
                              <a:gd name="connsiteX1" fmla="*/ 5265665 w 5265665"/>
                              <a:gd name="connsiteY1" fmla="*/ 0 h 5501523"/>
                              <a:gd name="connsiteX2" fmla="*/ 5265665 w 5265665"/>
                              <a:gd name="connsiteY2" fmla="*/ 5501523 h 5501523"/>
                              <a:gd name="connsiteX3" fmla="*/ 1033153 w 5265665"/>
                              <a:gd name="connsiteY3" fmla="*/ 5486400 h 5501523"/>
                              <a:gd name="connsiteX4" fmla="*/ 0 w 5265665"/>
                              <a:gd name="connsiteY4" fmla="*/ 5501523 h 5501523"/>
                              <a:gd name="connsiteX5" fmla="*/ 0 w 5265665"/>
                              <a:gd name="connsiteY5" fmla="*/ 3301340 h 5501523"/>
                              <a:gd name="connsiteX6" fmla="*/ 0 w 5265665"/>
                              <a:gd name="connsiteY6" fmla="*/ 0 h 5501523"/>
                              <a:gd name="connsiteX0" fmla="*/ 0 w 5265665"/>
                              <a:gd name="connsiteY0" fmla="*/ 0 h 5510257"/>
                              <a:gd name="connsiteX1" fmla="*/ 5265665 w 5265665"/>
                              <a:gd name="connsiteY1" fmla="*/ 0 h 5510257"/>
                              <a:gd name="connsiteX2" fmla="*/ 5265665 w 5265665"/>
                              <a:gd name="connsiteY2" fmla="*/ 5501523 h 5510257"/>
                              <a:gd name="connsiteX3" fmla="*/ 1033153 w 5265665"/>
                              <a:gd name="connsiteY3" fmla="*/ 5510257 h 5510257"/>
                              <a:gd name="connsiteX4" fmla="*/ 0 w 5265665"/>
                              <a:gd name="connsiteY4" fmla="*/ 5501523 h 5510257"/>
                              <a:gd name="connsiteX5" fmla="*/ 0 w 5265665"/>
                              <a:gd name="connsiteY5" fmla="*/ 3301340 h 5510257"/>
                              <a:gd name="connsiteX6" fmla="*/ 0 w 5265665"/>
                              <a:gd name="connsiteY6" fmla="*/ 0 h 5510257"/>
                              <a:gd name="connsiteX0" fmla="*/ 0 w 5265665"/>
                              <a:gd name="connsiteY0" fmla="*/ 0 h 5510257"/>
                              <a:gd name="connsiteX1" fmla="*/ 5265665 w 5265665"/>
                              <a:gd name="connsiteY1" fmla="*/ 0 h 5510257"/>
                              <a:gd name="connsiteX2" fmla="*/ 5265665 w 5265665"/>
                              <a:gd name="connsiteY2" fmla="*/ 5501523 h 5510257"/>
                              <a:gd name="connsiteX3" fmla="*/ 1033153 w 5265665"/>
                              <a:gd name="connsiteY3" fmla="*/ 5510257 h 5510257"/>
                              <a:gd name="connsiteX4" fmla="*/ 0 w 5265665"/>
                              <a:gd name="connsiteY4" fmla="*/ 3301340 h 5510257"/>
                              <a:gd name="connsiteX5" fmla="*/ 0 w 5265665"/>
                              <a:gd name="connsiteY5" fmla="*/ 0 h 55102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65665" h="5510257">
                                <a:moveTo>
                                  <a:pt x="0" y="0"/>
                                </a:moveTo>
                                <a:lnTo>
                                  <a:pt x="5265665" y="0"/>
                                </a:lnTo>
                                <a:lnTo>
                                  <a:pt x="5265665" y="5501523"/>
                                </a:lnTo>
                                <a:lnTo>
                                  <a:pt x="1033153" y="5510257"/>
                                </a:lnTo>
                                <a:lnTo>
                                  <a:pt x="0" y="3301340"/>
                                </a:lnTo>
                                <a:lnTo>
                                  <a:pt x="0" y="0"/>
                                </a:lnTo>
                                <a:close/>
                              </a:path>
                            </a:pathLst>
                          </a:cu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2FC7ECB" id="Group 1973567697" o:spid="_x0000_s1026" alt="&quot;&quot;" style="position:absolute;margin-left:-82pt;margin-top:-24.3pt;width:578.9pt;height:600.5pt;z-index:-251656192;mso-position-horizontal-relative:margin;mso-position-vertical-relative:margin;mso-width-relative:margin;mso-height-relative:margin" coordorigin="-1897" coordsize="72535,75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">
                <v:shape id="Freeform: Shape 552562800" o:spid="_x0000_s1027" style="position:absolute;left:1433;width:66940;height:72869;visibility:visible;mso-wrap-style:square;v-text-anchor:middle" coordsize="5010816,5445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" path="m5010817,l943165,,,1995297,,5445252r2436876,l5010817,xe" fillcolor="#d3d5d7 [3208]" stroked="f">
                  <v:fill opacity="36751f"/>
                  <v:stroke joinstyle="miter"/>
                  <v:path arrowok="t" o:connecttype="custom" o:connectlocs="6694088,0;1260000,0;0,2670137;0,7286918;3255490,7286918" o:connectangles="0,0,0,0,0"/>
                </v:shape>
                <v:shape id="Freeform: Shape 1608907791" o:spid="_x0000_s1028" style="position:absolute;left:-1005;top:17941;width:71642;height:57227;visibility:visible;mso-wrap-style:square;v-text-anchor:middle" coordsize="5287517,421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" path="m5287518,4216337l3294507,,,,,4216337r5287518,xe" fillcolor="#66cef6" stroked="f">
                  <v:stroke joinstyle="miter"/>
                  <v:path arrowok="t" o:connecttype="custom" o:connectlocs="7164285,5722677;4463869,0;0,0;0,5722677" o:connectangles="0,0,0,0"/>
                </v:shape>
                <v:shape id="Rectangle 30" o:spid="_x0000_s1029" style="position:absolute;left:-1897;top:9226;width:53569;height:54954;visibility:visible;mso-wrap-style:square;v-text-anchor:middle" coordsize="5265665,5510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" path="m,l5265665,r,5501523l1033153,5510257,,3301340,,xe" fillcolor="#232b39 [3213]" stroked="f" strokeweight="2pt">
                  <v:path arrowok="t" o:connecttype="custom" o:connectlocs="0,0;5357004,0;5357004,5486647;1051074,5495357;0,3292413;0,0" o:connectangles="0,0,0,0,0,0"/>
                </v:shape>
                <w10:wrap anchorx="margin" anchory="margin"/>
                <w10:anchorlock/>
              </v:group>
            </w:pict>
          </mc:Fallback>
        </mc:AlternateContent>
      </w:r>
      <w:r w:rsidRPr="00976DEE">
        <w:rPr>
          <w:color w:val="FFFFFF" w:themeColor="background1"/>
        </w:rPr>
        <w:t>DEPARTMENT OF</w:t>
      </w:r>
      <w:r w:rsidRPr="00976DEE">
        <w:rPr>
          <w:color w:val="FFFFFF" w:themeColor="background1"/>
        </w:rPr>
        <w:br/>
        <w:t>TREASURY AND FINANCE</w:t>
      </w:r>
    </w:p>
    <w:p w14:paraId="0BD79FDA" w14:textId="77777777" w:rsidR="00F74356" w:rsidRPr="00976DEE" w:rsidRDefault="00F74356" w:rsidP="00F74356">
      <w:pPr>
        <w:pStyle w:val="CM"/>
        <w:rPr>
          <w:color w:val="FFFFFF" w:themeColor="background1"/>
        </w:rPr>
      </w:pPr>
    </w:p>
    <w:p w14:paraId="6A1C2DA8" w14:textId="1B33AC8C" w:rsidR="00F74356" w:rsidRPr="00976DEE" w:rsidRDefault="00F74356" w:rsidP="00F74356">
      <w:pPr>
        <w:pStyle w:val="Title"/>
        <w:shd w:val="clear" w:color="auto" w:fill="232B39"/>
        <w:spacing w:before="3600" w:line="163" w:lineRule="auto"/>
        <w:ind w:right="2819"/>
        <w:jc w:val="right"/>
        <w:rPr>
          <w:rFonts w:asciiTheme="minorHAnsi" w:hAnsiTheme="minorHAnsi"/>
          <w:color w:val="FFFFFF" w:themeColor="background1"/>
          <w:sz w:val="74"/>
        </w:rPr>
      </w:pPr>
      <w:r w:rsidRPr="00976DEE">
        <w:rPr>
          <w:rFonts w:ascii="VIC" w:hAnsi="VIC"/>
          <w:b/>
          <w:bCs/>
          <w:color w:val="FFFFFF" w:themeColor="background1"/>
          <w:sz w:val="74"/>
        </w:rPr>
        <w:t>202</w:t>
      </w:r>
      <w:r w:rsidR="00AD0EC7">
        <w:rPr>
          <w:rFonts w:ascii="VIC" w:hAnsi="VIC"/>
          <w:b/>
          <w:bCs/>
          <w:color w:val="FFFFFF" w:themeColor="background1"/>
          <w:sz w:val="74"/>
        </w:rPr>
        <w:t>4</w:t>
      </w:r>
      <w:r w:rsidRPr="00976DEE">
        <w:rPr>
          <w:rFonts w:ascii="VIC" w:hAnsi="VIC"/>
          <w:b/>
          <w:bCs/>
          <w:color w:val="FFFFFF" w:themeColor="background1"/>
          <w:sz w:val="74"/>
        </w:rPr>
        <w:br/>
        <w:t>–2</w:t>
      </w:r>
      <w:r w:rsidR="00AD0EC7">
        <w:rPr>
          <w:rFonts w:ascii="VIC" w:hAnsi="VIC"/>
          <w:b/>
          <w:bCs/>
          <w:color w:val="FFFFFF" w:themeColor="background1"/>
          <w:sz w:val="74"/>
        </w:rPr>
        <w:t>5</w:t>
      </w:r>
      <w:r w:rsidRPr="00976DEE">
        <w:rPr>
          <w:rFonts w:ascii="VIC" w:hAnsi="VIC"/>
          <w:b/>
          <w:bCs/>
          <w:color w:val="FFFFFF" w:themeColor="background1"/>
          <w:sz w:val="74"/>
        </w:rPr>
        <w:br/>
      </w:r>
      <w:r w:rsidRPr="00976DEE">
        <w:rPr>
          <w:rFonts w:asciiTheme="minorHAnsi" w:hAnsiTheme="minorHAnsi"/>
          <w:color w:val="FFFFFF" w:themeColor="background1"/>
          <w:sz w:val="74"/>
        </w:rPr>
        <w:t>ANNUAL</w:t>
      </w:r>
      <w:r w:rsidRPr="00976DEE">
        <w:rPr>
          <w:rFonts w:asciiTheme="minorHAnsi" w:hAnsiTheme="minorHAnsi"/>
          <w:color w:val="FFFFFF" w:themeColor="background1"/>
          <w:sz w:val="74"/>
        </w:rPr>
        <w:br/>
        <w:t>REPORT</w:t>
      </w:r>
    </w:p>
    <w:p w14:paraId="56108077" w14:textId="77777777" w:rsidR="00F74356" w:rsidRPr="00976DEE" w:rsidRDefault="00F74356" w:rsidP="00F74356">
      <w:pPr>
        <w:pStyle w:val="CoverSpacer"/>
        <w:spacing w:before="4400"/>
      </w:pPr>
      <w:r w:rsidRPr="00976DEE">
        <w:rPr>
          <w:noProof/>
        </w:rPr>
        <w:drawing>
          <wp:anchor distT="0" distB="0" distL="114300" distR="114300" simplePos="0" relativeHeight="251658240" behindDoc="0" locked="0" layoutInCell="1" allowOverlap="1" wp14:anchorId="79FA5817" wp14:editId="339B6769">
            <wp:simplePos x="0" y="0"/>
            <wp:positionH relativeFrom="column">
              <wp:posOffset>4489450</wp:posOffset>
            </wp:positionH>
            <wp:positionV relativeFrom="page">
              <wp:posOffset>9747250</wp:posOffset>
            </wp:positionV>
            <wp:extent cx="1755648" cy="521208"/>
            <wp:effectExtent l="0" t="0" r="0"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55648" cy="521208"/>
                    </a:xfrm>
                    <a:prstGeom prst="rect">
                      <a:avLst/>
                    </a:prstGeom>
                  </pic:spPr>
                </pic:pic>
              </a:graphicData>
            </a:graphic>
            <wp14:sizeRelH relativeFrom="margin">
              <wp14:pctWidth>0</wp14:pctWidth>
            </wp14:sizeRelH>
            <wp14:sizeRelV relativeFrom="margin">
              <wp14:pctHeight>0</wp14:pctHeight>
            </wp14:sizeRelV>
          </wp:anchor>
        </w:drawing>
      </w:r>
    </w:p>
    <w:p w14:paraId="521D276D" w14:textId="77777777" w:rsidR="00F74356" w:rsidRPr="00976DEE" w:rsidRDefault="00F74356" w:rsidP="00F74356">
      <w:pPr>
        <w:pStyle w:val="Pa3"/>
        <w:sectPr w:rsidR="00F74356" w:rsidRPr="00976DEE" w:rsidSect="00F74356">
          <w:headerReference w:type="default" r:id="rId12"/>
          <w:pgSz w:w="11909" w:h="16834" w:code="9"/>
          <w:pgMar w:top="1627" w:right="1440" w:bottom="1440" w:left="1440" w:header="720" w:footer="288" w:gutter="0"/>
          <w:pgNumType w:fmt="lowerRoman" w:start="1"/>
          <w:cols w:space="720"/>
          <w:vAlign w:val="bottom"/>
          <w:noEndnote/>
          <w:docGrid w:linePitch="272"/>
        </w:sectPr>
      </w:pPr>
    </w:p>
    <w:p w14:paraId="437E6467" w14:textId="77777777" w:rsidR="00F74356" w:rsidRPr="00976DEE" w:rsidRDefault="00F74356" w:rsidP="00F74356">
      <w:pPr>
        <w:pStyle w:val="Acknowledgement"/>
        <w:rPr>
          <w:b/>
          <w:bCs w:val="0"/>
        </w:rPr>
      </w:pPr>
      <w:r w:rsidRPr="00976DEE">
        <w:rPr>
          <w:bCs w:val="0"/>
        </w:rPr>
        <w:lastRenderedPageBreak/>
        <w:t xml:space="preserve">ACKNOWLEDGEMENT </w:t>
      </w:r>
      <w:r w:rsidRPr="00976DEE">
        <w:rPr>
          <w:bCs w:val="0"/>
        </w:rPr>
        <w:br/>
        <w:t>OF COUNTRY</w:t>
      </w:r>
    </w:p>
    <w:p w14:paraId="3E46DC78" w14:textId="33862E4C" w:rsidR="0026625A" w:rsidRDefault="0026625A" w:rsidP="00F74356">
      <w:pPr>
        <w:spacing w:before="0"/>
        <w:rPr>
          <w:rFonts w:ascii="VIC Light" w:hAnsi="VIC Light"/>
          <w:sz w:val="18"/>
          <w:szCs w:val="18"/>
        </w:rPr>
      </w:pPr>
      <w:r w:rsidRPr="0026625A">
        <w:rPr>
          <w:rFonts w:ascii="VIC Light" w:hAnsi="VIC Light"/>
          <w:sz w:val="18"/>
          <w:szCs w:val="18"/>
        </w:rPr>
        <w:t xml:space="preserve">The Victorian Department of Treasury and Finance acknowledges that Aboriginal and Torres Strait Islander peoples are the First Peoples and Traditional Custodians of Australia, and the oldest continuing culture in human history. We proudly acknowledge Victoria’s Aboriginal communities and recognise the value and ongoing contribution of Aboriginal people and communities to Victorian life. We pay our respect to Elders past and present and emerging. </w:t>
      </w:r>
    </w:p>
    <w:p w14:paraId="76992F98" w14:textId="463D71E3" w:rsidR="0026625A" w:rsidRPr="0026625A" w:rsidRDefault="0026625A" w:rsidP="00F74356">
      <w:pPr>
        <w:spacing w:before="0"/>
        <w:rPr>
          <w:rFonts w:ascii="VIC Light" w:hAnsi="VIC Light"/>
          <w:sz w:val="18"/>
          <w:szCs w:val="18"/>
        </w:rPr>
      </w:pPr>
      <w:r w:rsidRPr="0026625A">
        <w:rPr>
          <w:rFonts w:ascii="VIC Light" w:hAnsi="VIC Light"/>
          <w:sz w:val="18"/>
          <w:szCs w:val="18"/>
        </w:rPr>
        <w:t>As we work to ensure Victorian Aboriginal communities continue to thrive, the Government acknowledges the invaluable contributions of generations that have come before us, who have fought tirelessly for the rights of their people and communities towards self-determination. We reflect on the continuing impact of government policies and practices and recognise our responsibility to work together with and for Aboriginal and Torres Strait Islander peoples towards improved cultural, social and economic outcomes.</w:t>
      </w:r>
    </w:p>
    <w:p w14:paraId="5F422AC1" w14:textId="77777777" w:rsidR="00F74356" w:rsidRPr="00976DEE" w:rsidRDefault="00F74356" w:rsidP="00F74356">
      <w:pPr>
        <w:jc w:val="center"/>
        <w:rPr>
          <w:rFonts w:ascii="VIC Light" w:hAnsi="VIC Light"/>
          <w:sz w:val="19"/>
          <w:szCs w:val="19"/>
        </w:rPr>
      </w:pPr>
      <w:r w:rsidRPr="00976DEE">
        <w:rPr>
          <w:rFonts w:ascii="VIC Light" w:hAnsi="VIC Light"/>
          <w:sz w:val="18"/>
          <w:szCs w:val="18"/>
        </w:rPr>
        <w:br w:type="column"/>
      </w:r>
      <w:r w:rsidRPr="00976DEE">
        <w:rPr>
          <w:rFonts w:ascii="VIC Light" w:hAnsi="VIC Light"/>
          <w:noProof/>
          <w:sz w:val="19"/>
          <w:szCs w:val="19"/>
        </w:rPr>
        <w:drawing>
          <wp:inline distT="0" distB="0" distL="0" distR="0" wp14:anchorId="1ED16141" wp14:editId="618CBCB3">
            <wp:extent cx="2235200" cy="2133109"/>
            <wp:effectExtent l="0" t="0" r="0" b="635"/>
            <wp:docPr id="943247294" name="Picture 1" descr="Aboriginal artwork ‘lim-ba nindee thana warn-ga-ilee’ (Preserve our Dreaming Lore) – Gunnai Langu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47294" name="Picture 1" descr="Aboriginal artwork ‘lim-ba nindee thana warn-ga-ilee’ (Preserve our Dreaming Lore) – Gunnai Language&#10;"/>
                    <pic:cNvPicPr/>
                  </pic:nvPicPr>
                  <pic:blipFill>
                    <a:blip r:embed="rId13"/>
                    <a:stretch>
                      <a:fillRect/>
                    </a:stretch>
                  </pic:blipFill>
                  <pic:spPr>
                    <a:xfrm>
                      <a:off x="0" y="0"/>
                      <a:ext cx="2247626" cy="2144968"/>
                    </a:xfrm>
                    <a:prstGeom prst="rect">
                      <a:avLst/>
                    </a:prstGeom>
                  </pic:spPr>
                </pic:pic>
              </a:graphicData>
            </a:graphic>
          </wp:inline>
        </w:drawing>
      </w:r>
    </w:p>
    <w:p w14:paraId="086F1837" w14:textId="77777777" w:rsidR="00F74356" w:rsidRPr="00976DEE" w:rsidRDefault="00F74356" w:rsidP="00C2560C">
      <w:pPr>
        <w:ind w:left="-180" w:right="-98"/>
        <w:jc w:val="right"/>
        <w:rPr>
          <w:rFonts w:ascii="VIC Light" w:hAnsi="VIC Light"/>
          <w:i/>
          <w:iCs/>
          <w:sz w:val="18"/>
          <w:szCs w:val="18"/>
        </w:rPr>
      </w:pPr>
      <w:r w:rsidRPr="00976DEE">
        <w:rPr>
          <w:rFonts w:ascii="VIC Light" w:hAnsi="VIC Light"/>
          <w:i/>
          <w:iCs/>
          <w:sz w:val="18"/>
          <w:szCs w:val="18"/>
        </w:rPr>
        <w:t xml:space="preserve">‘lim-ba nindee thana warn-ga-ilee’ </w:t>
      </w:r>
      <w:r w:rsidRPr="00976DEE">
        <w:rPr>
          <w:rFonts w:ascii="VIC Light" w:hAnsi="VIC Light"/>
          <w:i/>
          <w:iCs/>
          <w:sz w:val="18"/>
          <w:szCs w:val="18"/>
        </w:rPr>
        <w:br/>
        <w:t>(Preserve our Dreaming Lore) – Gunnai Language</w:t>
      </w:r>
    </w:p>
    <w:p w14:paraId="2900B140" w14:textId="77777777" w:rsidR="00F74356" w:rsidRPr="00976DEE" w:rsidRDefault="00F74356" w:rsidP="00C2560C">
      <w:pPr>
        <w:ind w:left="-180" w:right="-98"/>
        <w:jc w:val="right"/>
        <w:rPr>
          <w:rFonts w:ascii="VIC Light" w:hAnsi="VIC Light"/>
          <w:i/>
          <w:iCs/>
          <w:sz w:val="18"/>
          <w:szCs w:val="18"/>
        </w:rPr>
      </w:pPr>
      <w:r w:rsidRPr="00976DEE">
        <w:rPr>
          <w:rFonts w:ascii="VIC Light" w:hAnsi="VIC Light"/>
          <w:i/>
          <w:iCs/>
          <w:sz w:val="18"/>
          <w:szCs w:val="18"/>
        </w:rPr>
        <w:t xml:space="preserve">Bitja (Dixon Patten Jnr) Yorta Yorta, Gunnai, </w:t>
      </w:r>
      <w:r w:rsidRPr="00976DEE">
        <w:rPr>
          <w:rFonts w:ascii="VIC Light" w:hAnsi="VIC Light"/>
          <w:i/>
          <w:iCs/>
          <w:sz w:val="18"/>
          <w:szCs w:val="18"/>
        </w:rPr>
        <w:br/>
        <w:t>Gunditjmara and Dhudhuroa of Bayila Creative</w:t>
      </w:r>
    </w:p>
    <w:p w14:paraId="1A9CB1BA" w14:textId="77777777" w:rsidR="00F74356" w:rsidRPr="00976DEE" w:rsidRDefault="00F74356" w:rsidP="00F74356">
      <w:pPr>
        <w:pStyle w:val="NormalTight"/>
        <w:spacing w:before="120" w:after="120"/>
        <w:ind w:right="0"/>
        <w:sectPr w:rsidR="00F74356" w:rsidRPr="00976DEE" w:rsidSect="00C2560C">
          <w:footerReference w:type="default" r:id="rId14"/>
          <w:footerReference w:type="first" r:id="rId15"/>
          <w:type w:val="evenPage"/>
          <w:pgSz w:w="11909" w:h="16834" w:code="9"/>
          <w:pgMar w:top="1728" w:right="1152" w:bottom="1152" w:left="1152" w:header="720" w:footer="288" w:gutter="0"/>
          <w:pgNumType w:fmt="lowerRoman" w:start="1"/>
          <w:cols w:num="2" w:space="721" w:equalWidth="0">
            <w:col w:w="4752" w:space="721"/>
            <w:col w:w="4132"/>
          </w:cols>
          <w:noEndnote/>
          <w:docGrid w:linePitch="272"/>
        </w:sectPr>
      </w:pPr>
    </w:p>
    <w:p w14:paraId="085AFF5F" w14:textId="77777777" w:rsidR="00F74356" w:rsidRPr="00103C98" w:rsidRDefault="00F74356" w:rsidP="00F74356">
      <w:pPr>
        <w:pStyle w:val="NormalTight"/>
        <w:spacing w:before="120" w:after="120"/>
        <w:ind w:right="0"/>
        <w:rPr>
          <w:rFonts w:ascii="VIC Light" w:hAnsi="VIC Light"/>
        </w:rPr>
      </w:pPr>
      <w:r w:rsidRPr="00103C98">
        <w:rPr>
          <w:rFonts w:ascii="VIC Light" w:hAnsi="VIC Light"/>
        </w:rPr>
        <w:t>The Secretary</w:t>
      </w:r>
      <w:r w:rsidRPr="00103C98">
        <w:rPr>
          <w:rFonts w:ascii="VIC Light" w:hAnsi="VIC Light"/>
        </w:rPr>
        <w:br/>
        <w:t>Department of Treasury and Finance</w:t>
      </w:r>
      <w:r w:rsidRPr="00103C98">
        <w:rPr>
          <w:rFonts w:ascii="VIC Light" w:hAnsi="VIC Light"/>
        </w:rPr>
        <w:br/>
        <w:t>1 Treasury Place</w:t>
      </w:r>
      <w:r w:rsidRPr="00103C98">
        <w:rPr>
          <w:rFonts w:ascii="VIC Light" w:hAnsi="VIC Light"/>
        </w:rPr>
        <w:br/>
        <w:t>Melbourne Victoria 3002</w:t>
      </w:r>
      <w:r w:rsidRPr="00103C98">
        <w:rPr>
          <w:rFonts w:ascii="VIC Light" w:hAnsi="VIC Light"/>
        </w:rPr>
        <w:br/>
        <w:t>Australia</w:t>
      </w:r>
    </w:p>
    <w:p w14:paraId="260387FA" w14:textId="77777777" w:rsidR="00F74356" w:rsidRPr="00103C98" w:rsidRDefault="00F74356" w:rsidP="00F74356">
      <w:pPr>
        <w:pStyle w:val="NormalTight"/>
        <w:spacing w:before="120" w:after="120"/>
        <w:ind w:right="0"/>
        <w:rPr>
          <w:rFonts w:ascii="VIC Light" w:hAnsi="VIC Light"/>
        </w:rPr>
      </w:pPr>
      <w:r w:rsidRPr="00103C98">
        <w:rPr>
          <w:rFonts w:ascii="VIC Light" w:hAnsi="VIC Light"/>
        </w:rPr>
        <w:t>Telephone: (03) 9651 5111</w:t>
      </w:r>
      <w:r w:rsidRPr="00103C98">
        <w:rPr>
          <w:rFonts w:ascii="VIC Light" w:hAnsi="VIC Light"/>
        </w:rPr>
        <w:br/>
        <w:t>Website: dtf.vic.gov.au</w:t>
      </w:r>
    </w:p>
    <w:p w14:paraId="70843897" w14:textId="77777777" w:rsidR="00F74356" w:rsidRPr="00103C98" w:rsidRDefault="00F74356" w:rsidP="00F74356">
      <w:pPr>
        <w:pStyle w:val="NormalTight"/>
        <w:spacing w:before="120" w:after="120"/>
        <w:ind w:right="0"/>
        <w:rPr>
          <w:rFonts w:ascii="VIC Light" w:hAnsi="VIC Light"/>
        </w:rPr>
      </w:pPr>
      <w:r w:rsidRPr="00103C98">
        <w:rPr>
          <w:rFonts w:ascii="VIC Light" w:hAnsi="VIC Light"/>
        </w:rPr>
        <w:t>Authorised by the Victorian Government</w:t>
      </w:r>
      <w:r w:rsidRPr="00103C98">
        <w:rPr>
          <w:rFonts w:ascii="VIC Light" w:hAnsi="VIC Light"/>
        </w:rPr>
        <w:br/>
        <w:t>1 Treasury Place, Melbourne, 3002</w:t>
      </w:r>
    </w:p>
    <w:p w14:paraId="3EAB4B6C" w14:textId="77777777" w:rsidR="00C2560C" w:rsidRDefault="00F74356" w:rsidP="00F74356">
      <w:pPr>
        <w:pStyle w:val="NormalTight"/>
        <w:spacing w:before="120" w:after="120"/>
        <w:ind w:right="0"/>
        <w:rPr>
          <w:rFonts w:ascii="VIC Light" w:hAnsi="VIC Light"/>
        </w:rPr>
      </w:pPr>
      <w:r w:rsidRPr="00103C98">
        <w:rPr>
          <w:rFonts w:ascii="VIC Light" w:hAnsi="VIC Light"/>
        </w:rPr>
        <w:t xml:space="preserve">Printed by </w:t>
      </w:r>
      <w:r w:rsidR="00B14943" w:rsidRPr="00B14943">
        <w:rPr>
          <w:rFonts w:ascii="VIC Light" w:hAnsi="VIC Light"/>
        </w:rPr>
        <w:t>Valiant Doculink, Mulgrave</w:t>
      </w:r>
    </w:p>
    <w:p w14:paraId="7CC9B4E2" w14:textId="11BE289F" w:rsidR="00F74356" w:rsidRPr="00103C98" w:rsidRDefault="00F74356" w:rsidP="00F74356">
      <w:pPr>
        <w:pStyle w:val="NormalTight"/>
        <w:spacing w:before="120" w:after="120"/>
        <w:ind w:right="0"/>
        <w:rPr>
          <w:rFonts w:ascii="VIC Light" w:hAnsi="VIC Light"/>
        </w:rPr>
      </w:pPr>
      <w:r w:rsidRPr="00103C98">
        <w:rPr>
          <w:rFonts w:ascii="VIC Light" w:hAnsi="VIC Light"/>
        </w:rPr>
        <w:t>© State of Victoria 202</w:t>
      </w:r>
      <w:r>
        <w:rPr>
          <w:rFonts w:ascii="VIC Light" w:hAnsi="VIC Light"/>
        </w:rPr>
        <w:t>5</w:t>
      </w:r>
      <w:r w:rsidR="00C541F4">
        <w:rPr>
          <w:rFonts w:ascii="VIC Light" w:hAnsi="VIC Light"/>
        </w:rPr>
        <w:br/>
        <w:t>(Department of Treasury and Finance)</w:t>
      </w:r>
    </w:p>
    <w:p w14:paraId="612D2EBF" w14:textId="77777777" w:rsidR="00F74356" w:rsidRPr="00103C98" w:rsidRDefault="00F74356" w:rsidP="00F74356">
      <w:pPr>
        <w:rPr>
          <w:rFonts w:ascii="VIC Light" w:hAnsi="VIC Light"/>
        </w:rPr>
      </w:pPr>
      <w:r w:rsidRPr="00103C98">
        <w:rPr>
          <w:rFonts w:ascii="VIC Light" w:hAnsi="VIC Light"/>
          <w:noProof/>
        </w:rPr>
        <w:drawing>
          <wp:inline distT="0" distB="0" distL="0" distR="0" wp14:anchorId="6F3000CE" wp14:editId="0675480E">
            <wp:extent cx="998212" cy="349250"/>
            <wp:effectExtent l="0" t="0" r="0" b="0"/>
            <wp:docPr id="40" name="Picture 40">
              <a:hlinkClick xmlns:a="http://schemas.openxmlformats.org/drawingml/2006/main" r:id="rId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x3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02301" cy="350680"/>
                    </a:xfrm>
                    <a:prstGeom prst="rect">
                      <a:avLst/>
                    </a:prstGeom>
                  </pic:spPr>
                </pic:pic>
              </a:graphicData>
            </a:graphic>
          </wp:inline>
        </w:drawing>
      </w:r>
    </w:p>
    <w:p w14:paraId="1D673DEA" w14:textId="492CFAFD" w:rsidR="00F74356" w:rsidRPr="00103C98" w:rsidRDefault="00C541F4" w:rsidP="00C2560C">
      <w:pPr>
        <w:pStyle w:val="NormalTight"/>
        <w:spacing w:before="120" w:after="120"/>
        <w:ind w:right="0"/>
        <w:rPr>
          <w:rFonts w:ascii="VIC Light" w:hAnsi="VIC Light"/>
        </w:rPr>
      </w:pPr>
      <w:r>
        <w:rPr>
          <w:rFonts w:ascii="VIC Light" w:hAnsi="VIC Light"/>
        </w:rPr>
        <w:br w:type="column"/>
      </w:r>
      <w:r w:rsidR="00F74356" w:rsidRPr="00103C98">
        <w:rPr>
          <w:rFonts w:ascii="VIC Light" w:hAnsi="VIC Light"/>
        </w:rPr>
        <w:t xml:space="preserve">This work, Department of Treasury and Finance </w:t>
      </w:r>
      <w:r w:rsidR="00F74356" w:rsidRPr="00103C98">
        <w:rPr>
          <w:rFonts w:ascii="VIC Light" w:hAnsi="VIC Light"/>
          <w:i/>
          <w:iCs/>
        </w:rPr>
        <w:t>202</w:t>
      </w:r>
      <w:r w:rsidR="00B14943">
        <w:rPr>
          <w:rFonts w:ascii="VIC Light" w:hAnsi="VIC Light"/>
          <w:i/>
          <w:iCs/>
        </w:rPr>
        <w:t>4</w:t>
      </w:r>
      <w:r w:rsidR="007F5919">
        <w:rPr>
          <w:rFonts w:ascii="VIC Light" w:hAnsi="VIC Light"/>
          <w:i/>
          <w:iCs/>
        </w:rPr>
        <w:t>-</w:t>
      </w:r>
      <w:r w:rsidR="00F74356" w:rsidRPr="00103C98">
        <w:rPr>
          <w:rFonts w:ascii="VIC Light" w:hAnsi="VIC Light"/>
          <w:i/>
          <w:iCs/>
        </w:rPr>
        <w:t>2</w:t>
      </w:r>
      <w:r w:rsidR="00B14943">
        <w:rPr>
          <w:rFonts w:ascii="VIC Light" w:hAnsi="VIC Light"/>
          <w:i/>
          <w:iCs/>
        </w:rPr>
        <w:t>5</w:t>
      </w:r>
      <w:r w:rsidR="00F74356" w:rsidRPr="00103C98">
        <w:rPr>
          <w:rFonts w:ascii="VIC Light" w:hAnsi="VIC Light"/>
          <w:i/>
          <w:iCs/>
        </w:rPr>
        <w:t xml:space="preserve"> Annual Report</w:t>
      </w:r>
      <w:r w:rsidR="00F74356" w:rsidRPr="00103C98">
        <w:rPr>
          <w:rFonts w:ascii="VIC Light" w:hAnsi="VIC Light"/>
        </w:rPr>
        <w:t>, is licensed under a Creative Commons Attribution 4.0 licence. You are free to re</w:t>
      </w:r>
      <w:r w:rsidR="0026625A">
        <w:rPr>
          <w:rFonts w:ascii="VIC Light" w:hAnsi="VIC Light"/>
        </w:rPr>
        <w:noBreakHyphen/>
      </w:r>
      <w:r w:rsidR="00F74356" w:rsidRPr="00103C98">
        <w:rPr>
          <w:rFonts w:ascii="VIC Light" w:hAnsi="VIC Light"/>
        </w:rPr>
        <w:t>use the work under that licence on the condition that you credit the State</w:t>
      </w:r>
      <w:r w:rsidR="00F74356" w:rsidRPr="00103C98">
        <w:rPr>
          <w:rFonts w:ascii="Calibri" w:hAnsi="Calibri"/>
        </w:rPr>
        <w:t> </w:t>
      </w:r>
      <w:r w:rsidR="00F74356" w:rsidRPr="00103C98">
        <w:rPr>
          <w:rFonts w:ascii="VIC Light" w:hAnsi="VIC Light"/>
        </w:rPr>
        <w:t>of Victoria as author. The licence does not apply to any images, photographs or branding, including the Victorian Coat of Arms, the</w:t>
      </w:r>
      <w:r w:rsidR="00F74356">
        <w:rPr>
          <w:rFonts w:ascii="VIC Light" w:hAnsi="VIC Light"/>
        </w:rPr>
        <w:t xml:space="preserve"> </w:t>
      </w:r>
      <w:r w:rsidR="00F74356" w:rsidRPr="00103C98">
        <w:rPr>
          <w:rFonts w:ascii="VIC Light" w:hAnsi="VIC Light"/>
        </w:rPr>
        <w:t>Victorian Government logo and the Department of Treasury and Finance logo.</w:t>
      </w:r>
    </w:p>
    <w:p w14:paraId="1CBEFC66" w14:textId="5F91CBDB" w:rsidR="00F74356" w:rsidRPr="00103C98" w:rsidRDefault="00F74356" w:rsidP="00C2560C">
      <w:pPr>
        <w:pStyle w:val="NormalTight"/>
        <w:spacing w:before="120" w:after="120"/>
        <w:ind w:right="0"/>
        <w:rPr>
          <w:rFonts w:ascii="VIC Light" w:hAnsi="VIC Light"/>
        </w:rPr>
      </w:pPr>
      <w:r w:rsidRPr="00103C98">
        <w:rPr>
          <w:rFonts w:ascii="VIC Light" w:hAnsi="VIC Light"/>
        </w:rPr>
        <w:t xml:space="preserve">Copyright queries may be directed to </w:t>
      </w:r>
      <w:r w:rsidRPr="00103C98">
        <w:rPr>
          <w:rFonts w:ascii="VIC Light" w:hAnsi="VIC Light"/>
        </w:rPr>
        <w:br/>
      </w:r>
      <w:r w:rsidR="00FE423C">
        <w:rPr>
          <w:rFonts w:ascii="VIC Light" w:hAnsi="VIC Light"/>
        </w:rPr>
        <w:t>information</w:t>
      </w:r>
      <w:r w:rsidRPr="00103C98">
        <w:rPr>
          <w:rFonts w:ascii="VIC Light" w:hAnsi="VIC Light"/>
        </w:rPr>
        <w:t>@dtf.vic.gov.au</w:t>
      </w:r>
    </w:p>
    <w:p w14:paraId="65E585FB" w14:textId="77777777" w:rsidR="00F74356" w:rsidRPr="00103C98" w:rsidRDefault="00F74356" w:rsidP="00C2560C">
      <w:pPr>
        <w:pStyle w:val="NormalTight"/>
        <w:spacing w:before="120" w:after="120"/>
        <w:ind w:right="0"/>
        <w:rPr>
          <w:rFonts w:ascii="VIC Light" w:hAnsi="VIC Light"/>
        </w:rPr>
      </w:pPr>
      <w:r w:rsidRPr="00103C98">
        <w:rPr>
          <w:rFonts w:ascii="VIC Light" w:hAnsi="VIC Light"/>
        </w:rPr>
        <w:t>ISSN 1325 1775</w:t>
      </w:r>
      <w:r w:rsidRPr="00103C98">
        <w:rPr>
          <w:rFonts w:ascii="VIC Light" w:hAnsi="VIC Light"/>
        </w:rPr>
        <w:br/>
        <w:t>ISSN 2204 5384 (online/pdf)</w:t>
      </w:r>
    </w:p>
    <w:p w14:paraId="3151DF7A" w14:textId="775AAF38" w:rsidR="00F74356" w:rsidRPr="00103C98" w:rsidRDefault="00F74356" w:rsidP="00F74356">
      <w:pPr>
        <w:pStyle w:val="NormalTight"/>
        <w:spacing w:before="120" w:after="120"/>
        <w:ind w:right="0"/>
        <w:rPr>
          <w:rFonts w:ascii="VIC Light" w:hAnsi="VIC Light"/>
        </w:rPr>
      </w:pPr>
      <w:r w:rsidRPr="00103C98">
        <w:rPr>
          <w:rFonts w:ascii="VIC Light" w:hAnsi="VIC Light"/>
        </w:rPr>
        <w:t>Published October 202</w:t>
      </w:r>
      <w:r>
        <w:rPr>
          <w:rFonts w:ascii="VIC Light" w:hAnsi="VIC Light"/>
        </w:rPr>
        <w:t>5</w:t>
      </w:r>
    </w:p>
    <w:p w14:paraId="2CF71760" w14:textId="77777777" w:rsidR="00F74356" w:rsidRPr="00976DEE" w:rsidRDefault="00F74356" w:rsidP="00F74356">
      <w:pPr>
        <w:pStyle w:val="Heading1a"/>
        <w:spacing w:line="240" w:lineRule="auto"/>
        <w:rPr>
          <w:rFonts w:asciiTheme="minorHAnsi" w:hAnsiTheme="minorHAnsi" w:cstheme="minorHAnsi"/>
        </w:rPr>
        <w:sectPr w:rsidR="00F74356" w:rsidRPr="00976DEE" w:rsidSect="00C2560C">
          <w:type w:val="continuous"/>
          <w:pgSz w:w="11909" w:h="16834" w:code="9"/>
          <w:pgMar w:top="1728" w:right="1152" w:bottom="1152" w:left="1152" w:header="720" w:footer="288" w:gutter="0"/>
          <w:pgNumType w:fmt="lowerRoman" w:start="1"/>
          <w:cols w:num="2" w:space="720" w:equalWidth="0">
            <w:col w:w="4608" w:space="720"/>
            <w:col w:w="4277"/>
          </w:cols>
          <w:noEndnote/>
          <w:docGrid w:linePitch="272"/>
        </w:sectPr>
      </w:pPr>
    </w:p>
    <w:p w14:paraId="15C66DEB" w14:textId="7E83860E" w:rsidR="003A27FC" w:rsidRPr="0067507D" w:rsidRDefault="003A27FC" w:rsidP="00911B2C">
      <w:pPr>
        <w:pStyle w:val="Heading1a"/>
      </w:pPr>
      <w:r w:rsidRPr="0067507D">
        <w:lastRenderedPageBreak/>
        <w:t>Contents</w:t>
      </w:r>
    </w:p>
    <w:p w14:paraId="7873A064" w14:textId="4B62365C" w:rsidR="003A27FC" w:rsidRPr="0067507D" w:rsidRDefault="003A27FC" w:rsidP="6D946505">
      <w:pPr>
        <w:rPr>
          <w:rFonts w:cstheme="minorBidi"/>
        </w:rPr>
      </w:pPr>
    </w:p>
    <w:p w14:paraId="06DD1C3C" w14:textId="211C5680" w:rsidR="000A7B02" w:rsidRPr="0067507D" w:rsidRDefault="000A7B02" w:rsidP="003A27FC">
      <w:pPr>
        <w:rPr>
          <w:rFonts w:cstheme="minorHAnsi"/>
        </w:rPr>
      </w:pPr>
    </w:p>
    <w:p w14:paraId="38465756" w14:textId="3F9170AE" w:rsidR="008130D5" w:rsidRPr="0067507D" w:rsidRDefault="003A27FC">
      <w:pPr>
        <w:pStyle w:val="TOC1"/>
        <w:rPr>
          <w:rFonts w:asciiTheme="minorHAnsi" w:eastAsiaTheme="minorEastAsia" w:hAnsiTheme="minorHAnsi" w:cstheme="minorBidi"/>
          <w:color w:val="auto"/>
          <w:kern w:val="2"/>
          <w:sz w:val="24"/>
          <w:szCs w:val="24"/>
          <w14:ligatures w14:val="standardContextual"/>
        </w:rPr>
      </w:pPr>
      <w:r w:rsidRPr="0067507D">
        <w:rPr>
          <w:noProof w:val="0"/>
          <w:color w:val="505050"/>
          <w:sz w:val="22"/>
        </w:rPr>
        <w:fldChar w:fldCharType="begin"/>
      </w:r>
      <w:r w:rsidRPr="0067507D">
        <w:rPr>
          <w:noProof w:val="0"/>
          <w:color w:val="505050"/>
        </w:rPr>
        <w:instrText xml:space="preserve"> TOC \h \z \t</w:instrText>
      </w:r>
      <w:r w:rsidR="00B249EB" w:rsidRPr="0067507D">
        <w:rPr>
          <w:noProof w:val="0"/>
          <w:color w:val="505050"/>
        </w:rPr>
        <w:instrText xml:space="preserve"> </w:instrText>
      </w:r>
      <w:r w:rsidRPr="0067507D">
        <w:rPr>
          <w:noProof w:val="0"/>
          <w:color w:val="505050"/>
        </w:rPr>
        <w:instrText>"Heading 1,1,Heading 1 App,2</w:instrText>
      </w:r>
      <w:r w:rsidR="00B249EB" w:rsidRPr="0067507D">
        <w:rPr>
          <w:noProof w:val="0"/>
          <w:color w:val="505050"/>
        </w:rPr>
        <w:instrText xml:space="preserve">, </w:instrText>
      </w:r>
      <w:r w:rsidRPr="0067507D">
        <w:rPr>
          <w:noProof w:val="0"/>
          <w:color w:val="505050"/>
        </w:rPr>
        <w:instrText xml:space="preserve">Heading </w:instrText>
      </w:r>
      <w:r w:rsidR="00E66150" w:rsidRPr="0067507D">
        <w:rPr>
          <w:noProof w:val="0"/>
          <w:color w:val="505050"/>
        </w:rPr>
        <w:instrText>1b</w:instrText>
      </w:r>
      <w:r w:rsidRPr="0067507D">
        <w:rPr>
          <w:noProof w:val="0"/>
          <w:color w:val="505050"/>
        </w:rPr>
        <w:instrText>,4"</w:instrText>
      </w:r>
      <w:r w:rsidR="009E2023" w:rsidRPr="0067507D">
        <w:rPr>
          <w:noProof w:val="0"/>
          <w:color w:val="505050"/>
        </w:rPr>
        <w:instrText xml:space="preserve"> \n 4-4</w:instrText>
      </w:r>
      <w:r w:rsidRPr="0067507D">
        <w:rPr>
          <w:noProof w:val="0"/>
          <w:color w:val="505050"/>
        </w:rPr>
        <w:instrText xml:space="preserve"> </w:instrText>
      </w:r>
      <w:r w:rsidRPr="0067507D">
        <w:rPr>
          <w:noProof w:val="0"/>
          <w:color w:val="505050"/>
          <w:sz w:val="22"/>
        </w:rPr>
        <w:fldChar w:fldCharType="separate"/>
      </w:r>
      <w:hyperlink w:anchor="_Toc210221134" w:history="1">
        <w:r w:rsidR="008130D5" w:rsidRPr="0067507D">
          <w:rPr>
            <w:rStyle w:val="Hyperlink"/>
          </w:rPr>
          <w:t>About DTF</w:t>
        </w:r>
        <w:r w:rsidR="008130D5" w:rsidRPr="0067507D">
          <w:rPr>
            <w:webHidden/>
          </w:rPr>
          <w:tab/>
        </w:r>
        <w:r w:rsidR="008130D5" w:rsidRPr="0067507D">
          <w:rPr>
            <w:webHidden/>
          </w:rPr>
          <w:fldChar w:fldCharType="begin"/>
        </w:r>
        <w:r w:rsidR="008130D5" w:rsidRPr="0067507D">
          <w:rPr>
            <w:webHidden/>
          </w:rPr>
          <w:instrText xml:space="preserve"> PAGEREF _Toc210221134 \h </w:instrText>
        </w:r>
        <w:r w:rsidR="008130D5" w:rsidRPr="0067507D">
          <w:rPr>
            <w:webHidden/>
          </w:rPr>
        </w:r>
        <w:r w:rsidR="008130D5" w:rsidRPr="0067507D">
          <w:rPr>
            <w:webHidden/>
          </w:rPr>
          <w:fldChar w:fldCharType="separate"/>
        </w:r>
        <w:r w:rsidR="008F4C0F">
          <w:rPr>
            <w:webHidden/>
          </w:rPr>
          <w:t>1</w:t>
        </w:r>
        <w:r w:rsidR="008130D5" w:rsidRPr="0067507D">
          <w:rPr>
            <w:webHidden/>
          </w:rPr>
          <w:fldChar w:fldCharType="end"/>
        </w:r>
      </w:hyperlink>
    </w:p>
    <w:p w14:paraId="7D9161AB" w14:textId="3820E6A6" w:rsidR="008130D5" w:rsidRPr="0067507D" w:rsidRDefault="008130D5">
      <w:pPr>
        <w:pStyle w:val="TOC1"/>
        <w:rPr>
          <w:rFonts w:asciiTheme="minorHAnsi" w:eastAsiaTheme="minorEastAsia" w:hAnsiTheme="minorHAnsi" w:cstheme="minorBidi"/>
          <w:color w:val="auto"/>
          <w:kern w:val="2"/>
          <w:sz w:val="24"/>
          <w:szCs w:val="24"/>
          <w14:ligatures w14:val="standardContextual"/>
        </w:rPr>
      </w:pPr>
      <w:hyperlink w:anchor="_Toc210221135" w:history="1">
        <w:r w:rsidRPr="0067507D">
          <w:rPr>
            <w:rStyle w:val="Hyperlink"/>
          </w:rPr>
          <w:t>Report of operations</w:t>
        </w:r>
        <w:r w:rsidRPr="0067507D">
          <w:rPr>
            <w:webHidden/>
          </w:rPr>
          <w:tab/>
        </w:r>
        <w:r w:rsidRPr="0067507D">
          <w:rPr>
            <w:webHidden/>
          </w:rPr>
          <w:fldChar w:fldCharType="begin"/>
        </w:r>
        <w:r w:rsidRPr="0067507D">
          <w:rPr>
            <w:webHidden/>
          </w:rPr>
          <w:instrText xml:space="preserve"> PAGEREF _Toc210221135 \h </w:instrText>
        </w:r>
        <w:r w:rsidRPr="0067507D">
          <w:rPr>
            <w:webHidden/>
          </w:rPr>
        </w:r>
        <w:r w:rsidRPr="0067507D">
          <w:rPr>
            <w:webHidden/>
          </w:rPr>
          <w:fldChar w:fldCharType="separate"/>
        </w:r>
        <w:r w:rsidR="008F4C0F">
          <w:rPr>
            <w:webHidden/>
          </w:rPr>
          <w:t>11</w:t>
        </w:r>
        <w:r w:rsidRPr="0067507D">
          <w:rPr>
            <w:webHidden/>
          </w:rPr>
          <w:fldChar w:fldCharType="end"/>
        </w:r>
      </w:hyperlink>
    </w:p>
    <w:p w14:paraId="4D5CDEBF" w14:textId="0886B3CA" w:rsidR="008130D5" w:rsidRPr="0067507D" w:rsidRDefault="008130D5">
      <w:pPr>
        <w:pStyle w:val="TOC1"/>
        <w:rPr>
          <w:rFonts w:asciiTheme="minorHAnsi" w:eastAsiaTheme="minorEastAsia" w:hAnsiTheme="minorHAnsi" w:cstheme="minorBidi"/>
          <w:color w:val="auto"/>
          <w:kern w:val="2"/>
          <w:sz w:val="24"/>
          <w:szCs w:val="24"/>
          <w14:ligatures w14:val="standardContextual"/>
        </w:rPr>
      </w:pPr>
      <w:hyperlink w:anchor="_Toc210221136" w:history="1">
        <w:r w:rsidRPr="0067507D">
          <w:rPr>
            <w:rStyle w:val="Hyperlink"/>
          </w:rPr>
          <w:t>Financial statements</w:t>
        </w:r>
        <w:r w:rsidRPr="0067507D">
          <w:rPr>
            <w:webHidden/>
          </w:rPr>
          <w:tab/>
        </w:r>
        <w:r w:rsidRPr="0067507D">
          <w:rPr>
            <w:webHidden/>
          </w:rPr>
          <w:fldChar w:fldCharType="begin"/>
        </w:r>
        <w:r w:rsidRPr="0067507D">
          <w:rPr>
            <w:webHidden/>
          </w:rPr>
          <w:instrText xml:space="preserve"> PAGEREF _Toc210221136 \h </w:instrText>
        </w:r>
        <w:r w:rsidRPr="0067507D">
          <w:rPr>
            <w:webHidden/>
          </w:rPr>
        </w:r>
        <w:r w:rsidRPr="0067507D">
          <w:rPr>
            <w:webHidden/>
          </w:rPr>
          <w:fldChar w:fldCharType="separate"/>
        </w:r>
        <w:r w:rsidR="008F4C0F">
          <w:rPr>
            <w:webHidden/>
          </w:rPr>
          <w:t>47</w:t>
        </w:r>
        <w:r w:rsidRPr="0067507D">
          <w:rPr>
            <w:webHidden/>
          </w:rPr>
          <w:fldChar w:fldCharType="end"/>
        </w:r>
      </w:hyperlink>
    </w:p>
    <w:p w14:paraId="7EDA2883" w14:textId="092D877F" w:rsidR="008130D5" w:rsidRPr="0067507D" w:rsidRDefault="008130D5">
      <w:pPr>
        <w:pStyle w:val="TOC1"/>
        <w:rPr>
          <w:rFonts w:asciiTheme="minorHAnsi" w:eastAsiaTheme="minorEastAsia" w:hAnsiTheme="minorHAnsi" w:cstheme="minorBidi"/>
          <w:color w:val="auto"/>
          <w:kern w:val="2"/>
          <w:sz w:val="24"/>
          <w:szCs w:val="24"/>
          <w14:ligatures w14:val="standardContextual"/>
        </w:rPr>
      </w:pPr>
      <w:hyperlink w:anchor="_Toc210221137" w:history="1">
        <w:r w:rsidRPr="0067507D">
          <w:rPr>
            <w:rStyle w:val="Hyperlink"/>
          </w:rPr>
          <w:t>Appendices</w:t>
        </w:r>
        <w:r w:rsidRPr="0067507D">
          <w:rPr>
            <w:webHidden/>
          </w:rPr>
          <w:tab/>
        </w:r>
        <w:r w:rsidRPr="0067507D">
          <w:rPr>
            <w:webHidden/>
          </w:rPr>
          <w:fldChar w:fldCharType="begin"/>
        </w:r>
        <w:r w:rsidRPr="0067507D">
          <w:rPr>
            <w:webHidden/>
          </w:rPr>
          <w:instrText xml:space="preserve"> PAGEREF _Toc210221137 \h </w:instrText>
        </w:r>
        <w:r w:rsidRPr="0067507D">
          <w:rPr>
            <w:webHidden/>
          </w:rPr>
        </w:r>
        <w:r w:rsidRPr="0067507D">
          <w:rPr>
            <w:webHidden/>
          </w:rPr>
          <w:fldChar w:fldCharType="separate"/>
        </w:r>
        <w:r w:rsidR="008F4C0F">
          <w:rPr>
            <w:webHidden/>
          </w:rPr>
          <w:t>103</w:t>
        </w:r>
        <w:r w:rsidRPr="0067507D">
          <w:rPr>
            <w:webHidden/>
          </w:rPr>
          <w:fldChar w:fldCharType="end"/>
        </w:r>
      </w:hyperlink>
    </w:p>
    <w:p w14:paraId="125135B5" w14:textId="37BFF0B9" w:rsidR="008130D5" w:rsidRPr="0067507D" w:rsidRDefault="008130D5">
      <w:pPr>
        <w:pStyle w:val="TOC2"/>
        <w:rPr>
          <w:rFonts w:eastAsiaTheme="minorEastAsia" w:cstheme="minorBidi"/>
          <w:color w:val="auto"/>
          <w:kern w:val="2"/>
          <w:sz w:val="24"/>
          <w:szCs w:val="24"/>
          <w14:ligatures w14:val="standardContextual"/>
        </w:rPr>
      </w:pPr>
      <w:hyperlink w:anchor="_Toc210221138" w:history="1">
        <w:r w:rsidRPr="0067507D">
          <w:rPr>
            <w:rStyle w:val="Hyperlink"/>
          </w:rPr>
          <w:t>Appendix 1</w:t>
        </w:r>
        <w:r w:rsidRPr="0067507D">
          <w:rPr>
            <w:rFonts w:eastAsiaTheme="minorEastAsia" w:cstheme="minorBidi"/>
            <w:color w:val="auto"/>
            <w:kern w:val="2"/>
            <w:sz w:val="24"/>
            <w:szCs w:val="24"/>
            <w14:ligatures w14:val="standardContextual"/>
          </w:rPr>
          <w:tab/>
        </w:r>
        <w:r w:rsidRPr="0067507D">
          <w:rPr>
            <w:rStyle w:val="Hyperlink"/>
          </w:rPr>
          <w:t>Workforce data</w:t>
        </w:r>
        <w:r w:rsidRPr="0067507D">
          <w:rPr>
            <w:webHidden/>
          </w:rPr>
          <w:tab/>
        </w:r>
        <w:r w:rsidRPr="0067507D">
          <w:rPr>
            <w:webHidden/>
          </w:rPr>
          <w:fldChar w:fldCharType="begin"/>
        </w:r>
        <w:r w:rsidRPr="0067507D">
          <w:rPr>
            <w:webHidden/>
          </w:rPr>
          <w:instrText xml:space="preserve"> PAGEREF _Toc210221138 \h </w:instrText>
        </w:r>
        <w:r w:rsidRPr="0067507D">
          <w:rPr>
            <w:webHidden/>
          </w:rPr>
        </w:r>
        <w:r w:rsidRPr="0067507D">
          <w:rPr>
            <w:webHidden/>
          </w:rPr>
          <w:fldChar w:fldCharType="separate"/>
        </w:r>
        <w:r w:rsidR="008F4C0F">
          <w:rPr>
            <w:webHidden/>
          </w:rPr>
          <w:t>104</w:t>
        </w:r>
        <w:r w:rsidRPr="0067507D">
          <w:rPr>
            <w:webHidden/>
          </w:rPr>
          <w:fldChar w:fldCharType="end"/>
        </w:r>
      </w:hyperlink>
    </w:p>
    <w:p w14:paraId="50862E01" w14:textId="06EF0724" w:rsidR="008130D5" w:rsidRPr="0067507D" w:rsidRDefault="008130D5">
      <w:pPr>
        <w:pStyle w:val="TOC2"/>
        <w:rPr>
          <w:rFonts w:eastAsiaTheme="minorEastAsia" w:cstheme="minorBidi"/>
          <w:color w:val="auto"/>
          <w:kern w:val="2"/>
          <w:sz w:val="24"/>
          <w:szCs w:val="24"/>
          <w14:ligatures w14:val="standardContextual"/>
        </w:rPr>
      </w:pPr>
      <w:hyperlink w:anchor="_Toc210221139" w:history="1">
        <w:r w:rsidRPr="0067507D">
          <w:rPr>
            <w:rStyle w:val="Hyperlink"/>
          </w:rPr>
          <w:t>Appendix 2</w:t>
        </w:r>
        <w:r w:rsidRPr="0067507D">
          <w:rPr>
            <w:rFonts w:eastAsiaTheme="minorEastAsia" w:cstheme="minorBidi"/>
            <w:color w:val="auto"/>
            <w:kern w:val="2"/>
            <w:sz w:val="24"/>
            <w:szCs w:val="24"/>
            <w14:ligatures w14:val="standardContextual"/>
          </w:rPr>
          <w:tab/>
        </w:r>
        <w:r w:rsidRPr="0067507D">
          <w:rPr>
            <w:rStyle w:val="Hyperlink"/>
          </w:rPr>
          <w:t>DTF occupational health and safety report 30 June 2025</w:t>
        </w:r>
        <w:r w:rsidRPr="0067507D">
          <w:rPr>
            <w:webHidden/>
          </w:rPr>
          <w:tab/>
        </w:r>
        <w:r w:rsidRPr="0067507D">
          <w:rPr>
            <w:webHidden/>
          </w:rPr>
          <w:fldChar w:fldCharType="begin"/>
        </w:r>
        <w:r w:rsidRPr="0067507D">
          <w:rPr>
            <w:webHidden/>
          </w:rPr>
          <w:instrText xml:space="preserve"> PAGEREF _Toc210221139 \h </w:instrText>
        </w:r>
        <w:r w:rsidRPr="0067507D">
          <w:rPr>
            <w:webHidden/>
          </w:rPr>
        </w:r>
        <w:r w:rsidRPr="0067507D">
          <w:rPr>
            <w:webHidden/>
          </w:rPr>
          <w:fldChar w:fldCharType="separate"/>
        </w:r>
        <w:r w:rsidR="008F4C0F">
          <w:rPr>
            <w:webHidden/>
          </w:rPr>
          <w:t>119</w:t>
        </w:r>
        <w:r w:rsidRPr="0067507D">
          <w:rPr>
            <w:webHidden/>
          </w:rPr>
          <w:fldChar w:fldCharType="end"/>
        </w:r>
      </w:hyperlink>
    </w:p>
    <w:p w14:paraId="469FC09E" w14:textId="43448E73" w:rsidR="008130D5" w:rsidRPr="0067507D" w:rsidRDefault="008130D5">
      <w:pPr>
        <w:pStyle w:val="TOC2"/>
        <w:rPr>
          <w:rFonts w:eastAsiaTheme="minorEastAsia" w:cstheme="minorBidi"/>
          <w:color w:val="auto"/>
          <w:kern w:val="2"/>
          <w:sz w:val="24"/>
          <w:szCs w:val="24"/>
          <w14:ligatures w14:val="standardContextual"/>
        </w:rPr>
      </w:pPr>
      <w:hyperlink w:anchor="_Toc210221140" w:history="1">
        <w:r w:rsidRPr="0067507D">
          <w:rPr>
            <w:rStyle w:val="Hyperlink"/>
          </w:rPr>
          <w:t>Appendix 3</w:t>
        </w:r>
        <w:r w:rsidRPr="0067507D">
          <w:rPr>
            <w:rFonts w:eastAsiaTheme="minorEastAsia" w:cstheme="minorBidi"/>
            <w:color w:val="auto"/>
            <w:kern w:val="2"/>
            <w:sz w:val="24"/>
            <w:szCs w:val="24"/>
            <w14:ligatures w14:val="standardContextual"/>
          </w:rPr>
          <w:tab/>
        </w:r>
        <w:r w:rsidRPr="0067507D">
          <w:rPr>
            <w:rStyle w:val="Hyperlink"/>
          </w:rPr>
          <w:t>Reporting of environmental data</w:t>
        </w:r>
        <w:r w:rsidRPr="0067507D">
          <w:rPr>
            <w:webHidden/>
          </w:rPr>
          <w:tab/>
        </w:r>
        <w:r w:rsidRPr="0067507D">
          <w:rPr>
            <w:webHidden/>
          </w:rPr>
          <w:fldChar w:fldCharType="begin"/>
        </w:r>
        <w:r w:rsidRPr="0067507D">
          <w:rPr>
            <w:webHidden/>
          </w:rPr>
          <w:instrText xml:space="preserve"> PAGEREF _Toc210221140 \h </w:instrText>
        </w:r>
        <w:r w:rsidRPr="0067507D">
          <w:rPr>
            <w:webHidden/>
          </w:rPr>
        </w:r>
        <w:r w:rsidRPr="0067507D">
          <w:rPr>
            <w:webHidden/>
          </w:rPr>
          <w:fldChar w:fldCharType="separate"/>
        </w:r>
        <w:r w:rsidR="008F4C0F">
          <w:rPr>
            <w:webHidden/>
          </w:rPr>
          <w:t>126</w:t>
        </w:r>
        <w:r w:rsidRPr="0067507D">
          <w:rPr>
            <w:webHidden/>
          </w:rPr>
          <w:fldChar w:fldCharType="end"/>
        </w:r>
      </w:hyperlink>
    </w:p>
    <w:p w14:paraId="79AD4895" w14:textId="48E2C036" w:rsidR="008130D5" w:rsidRPr="0067507D" w:rsidRDefault="008130D5">
      <w:pPr>
        <w:pStyle w:val="TOC2"/>
        <w:rPr>
          <w:rFonts w:eastAsiaTheme="minorEastAsia" w:cstheme="minorBidi"/>
          <w:color w:val="auto"/>
          <w:kern w:val="2"/>
          <w:sz w:val="24"/>
          <w:szCs w:val="24"/>
          <w14:ligatures w14:val="standardContextual"/>
        </w:rPr>
      </w:pPr>
      <w:hyperlink w:anchor="_Toc210221141" w:history="1">
        <w:r w:rsidRPr="0067507D">
          <w:rPr>
            <w:rStyle w:val="Hyperlink"/>
          </w:rPr>
          <w:t>Appendix 4</w:t>
        </w:r>
        <w:r w:rsidRPr="0067507D">
          <w:rPr>
            <w:rFonts w:eastAsiaTheme="minorEastAsia" w:cstheme="minorBidi"/>
            <w:color w:val="auto"/>
            <w:kern w:val="2"/>
            <w:sz w:val="24"/>
            <w:szCs w:val="24"/>
            <w14:ligatures w14:val="standardContextual"/>
          </w:rPr>
          <w:tab/>
        </w:r>
        <w:r w:rsidRPr="0067507D">
          <w:rPr>
            <w:rStyle w:val="Hyperlink"/>
          </w:rPr>
          <w:t>Statutory compliance and other information</w:t>
        </w:r>
        <w:r w:rsidRPr="0067507D">
          <w:rPr>
            <w:webHidden/>
          </w:rPr>
          <w:tab/>
        </w:r>
        <w:r w:rsidRPr="0067507D">
          <w:rPr>
            <w:webHidden/>
          </w:rPr>
          <w:fldChar w:fldCharType="begin"/>
        </w:r>
        <w:r w:rsidRPr="0067507D">
          <w:rPr>
            <w:webHidden/>
          </w:rPr>
          <w:instrText xml:space="preserve"> PAGEREF _Toc210221141 \h </w:instrText>
        </w:r>
        <w:r w:rsidRPr="0067507D">
          <w:rPr>
            <w:webHidden/>
          </w:rPr>
        </w:r>
        <w:r w:rsidRPr="0067507D">
          <w:rPr>
            <w:webHidden/>
          </w:rPr>
          <w:fldChar w:fldCharType="separate"/>
        </w:r>
        <w:r w:rsidR="008F4C0F">
          <w:rPr>
            <w:webHidden/>
          </w:rPr>
          <w:t>135</w:t>
        </w:r>
        <w:r w:rsidRPr="0067507D">
          <w:rPr>
            <w:webHidden/>
          </w:rPr>
          <w:fldChar w:fldCharType="end"/>
        </w:r>
      </w:hyperlink>
    </w:p>
    <w:p w14:paraId="07C67E82" w14:textId="1796F9D9" w:rsidR="008130D5" w:rsidRPr="0067507D" w:rsidRDefault="008130D5" w:rsidP="002936D7">
      <w:pPr>
        <w:pStyle w:val="TOC4"/>
        <w:ind w:left="2250"/>
        <w:rPr>
          <w:color w:val="auto"/>
          <w:kern w:val="2"/>
          <w:sz w:val="24"/>
          <w:szCs w:val="24"/>
          <w14:ligatures w14:val="standardContextual"/>
        </w:rPr>
      </w:pPr>
      <w:hyperlink w:anchor="_Toc210221142" w:history="1">
        <w:r w:rsidRPr="0067507D">
          <w:rPr>
            <w:rStyle w:val="Hyperlink"/>
          </w:rPr>
          <w:t>Legislation administered by DTF portfolios</w:t>
        </w:r>
      </w:hyperlink>
    </w:p>
    <w:p w14:paraId="64EFF6CC" w14:textId="759E8590" w:rsidR="008130D5" w:rsidRPr="0067507D" w:rsidRDefault="008130D5" w:rsidP="002936D7">
      <w:pPr>
        <w:pStyle w:val="TOC4"/>
        <w:ind w:left="2250"/>
        <w:rPr>
          <w:color w:val="auto"/>
          <w:kern w:val="2"/>
          <w:sz w:val="24"/>
          <w:szCs w:val="24"/>
          <w14:ligatures w14:val="standardContextual"/>
        </w:rPr>
      </w:pPr>
      <w:hyperlink w:anchor="_Toc210221143" w:history="1">
        <w:r w:rsidRPr="0067507D">
          <w:rPr>
            <w:rStyle w:val="Hyperlink"/>
          </w:rPr>
          <w:t>Local Jobs First</w:t>
        </w:r>
      </w:hyperlink>
    </w:p>
    <w:p w14:paraId="64DBEB70" w14:textId="34B1B1BD" w:rsidR="008130D5" w:rsidRPr="0067507D" w:rsidRDefault="008130D5" w:rsidP="002936D7">
      <w:pPr>
        <w:pStyle w:val="TOC4"/>
        <w:ind w:left="2250"/>
        <w:rPr>
          <w:color w:val="auto"/>
          <w:kern w:val="2"/>
          <w:sz w:val="24"/>
          <w:szCs w:val="24"/>
          <w14:ligatures w14:val="standardContextual"/>
        </w:rPr>
      </w:pPr>
      <w:hyperlink w:anchor="_Toc210221144" w:history="1">
        <w:r w:rsidRPr="0067507D">
          <w:rPr>
            <w:rStyle w:val="Hyperlink"/>
          </w:rPr>
          <w:t>Implementation of the Social Procurement Framework</w:t>
        </w:r>
      </w:hyperlink>
    </w:p>
    <w:p w14:paraId="63E42723" w14:textId="33359C07" w:rsidR="008130D5" w:rsidRPr="0067507D" w:rsidRDefault="008130D5" w:rsidP="002936D7">
      <w:pPr>
        <w:pStyle w:val="TOC4"/>
        <w:ind w:left="2250"/>
        <w:rPr>
          <w:color w:val="auto"/>
          <w:kern w:val="2"/>
          <w:sz w:val="24"/>
          <w:szCs w:val="24"/>
          <w14:ligatures w14:val="standardContextual"/>
        </w:rPr>
      </w:pPr>
      <w:hyperlink w:anchor="_Toc210221145" w:history="1">
        <w:r w:rsidRPr="0067507D">
          <w:rPr>
            <w:rStyle w:val="Hyperlink"/>
          </w:rPr>
          <w:t>Disclosure of government advertising expenditure</w:t>
        </w:r>
      </w:hyperlink>
    </w:p>
    <w:p w14:paraId="42BE68CB" w14:textId="2ABB005B" w:rsidR="008130D5" w:rsidRPr="0067507D" w:rsidRDefault="008130D5" w:rsidP="002936D7">
      <w:pPr>
        <w:pStyle w:val="TOC4"/>
        <w:ind w:left="2250"/>
        <w:rPr>
          <w:color w:val="auto"/>
          <w:kern w:val="2"/>
          <w:sz w:val="24"/>
          <w:szCs w:val="24"/>
          <w14:ligatures w14:val="standardContextual"/>
        </w:rPr>
      </w:pPr>
      <w:hyperlink w:anchor="_Toc210221146" w:history="1">
        <w:r w:rsidRPr="0067507D">
          <w:rPr>
            <w:rStyle w:val="Hyperlink"/>
          </w:rPr>
          <w:t>Consultancy</w:t>
        </w:r>
        <w:r w:rsidRPr="0067507D">
          <w:rPr>
            <w:rStyle w:val="Hyperlink"/>
            <w:shd w:val="clear" w:color="auto" w:fill="FFFFFF"/>
          </w:rPr>
          <w:t xml:space="preserve"> expenditure</w:t>
        </w:r>
      </w:hyperlink>
    </w:p>
    <w:p w14:paraId="1DC70FFC" w14:textId="7B269676" w:rsidR="008130D5" w:rsidRPr="0067507D" w:rsidRDefault="008130D5" w:rsidP="002936D7">
      <w:pPr>
        <w:pStyle w:val="TOC4"/>
        <w:ind w:left="2250"/>
        <w:rPr>
          <w:color w:val="auto"/>
          <w:kern w:val="2"/>
          <w:sz w:val="24"/>
          <w:szCs w:val="24"/>
          <w14:ligatures w14:val="standardContextual"/>
        </w:rPr>
      </w:pPr>
      <w:hyperlink w:anchor="_Toc210221147" w:history="1">
        <w:r w:rsidRPr="0067507D">
          <w:rPr>
            <w:rStyle w:val="Hyperlink"/>
          </w:rPr>
          <w:t>Reviews and studies expenditure</w:t>
        </w:r>
      </w:hyperlink>
    </w:p>
    <w:p w14:paraId="78BD0106" w14:textId="18E5D7FC" w:rsidR="008130D5" w:rsidRPr="0067507D" w:rsidRDefault="008130D5" w:rsidP="002936D7">
      <w:pPr>
        <w:pStyle w:val="TOC4"/>
        <w:ind w:left="2250"/>
        <w:rPr>
          <w:color w:val="auto"/>
          <w:kern w:val="2"/>
          <w:sz w:val="24"/>
          <w:szCs w:val="24"/>
          <w14:ligatures w14:val="standardContextual"/>
        </w:rPr>
      </w:pPr>
      <w:hyperlink w:anchor="_Toc210221148" w:history="1">
        <w:r w:rsidRPr="0067507D">
          <w:rPr>
            <w:rStyle w:val="Hyperlink"/>
          </w:rPr>
          <w:t>Information and communication technology expenditure</w:t>
        </w:r>
      </w:hyperlink>
    </w:p>
    <w:p w14:paraId="05DD3227" w14:textId="208852FB" w:rsidR="008130D5" w:rsidRPr="0067507D" w:rsidRDefault="008130D5" w:rsidP="002936D7">
      <w:pPr>
        <w:pStyle w:val="TOC4"/>
        <w:ind w:left="2250"/>
        <w:rPr>
          <w:color w:val="auto"/>
          <w:kern w:val="2"/>
          <w:sz w:val="24"/>
          <w:szCs w:val="24"/>
          <w14:ligatures w14:val="standardContextual"/>
        </w:rPr>
      </w:pPr>
      <w:hyperlink w:anchor="_Toc210221149" w:history="1">
        <w:r w:rsidRPr="0067507D">
          <w:rPr>
            <w:rStyle w:val="Hyperlink"/>
          </w:rPr>
          <w:t>Disclosure of major contracts</w:t>
        </w:r>
      </w:hyperlink>
    </w:p>
    <w:p w14:paraId="11D9B619" w14:textId="5585CD09" w:rsidR="008130D5" w:rsidRPr="0067507D" w:rsidRDefault="008130D5" w:rsidP="002936D7">
      <w:pPr>
        <w:pStyle w:val="TOC4"/>
        <w:ind w:left="2250"/>
        <w:rPr>
          <w:color w:val="auto"/>
          <w:kern w:val="2"/>
          <w:sz w:val="24"/>
          <w:szCs w:val="24"/>
          <w14:ligatures w14:val="standardContextual"/>
        </w:rPr>
      </w:pPr>
      <w:hyperlink w:anchor="_Toc210221150" w:history="1">
        <w:r w:rsidRPr="0067507D">
          <w:rPr>
            <w:rStyle w:val="Hyperlink"/>
          </w:rPr>
          <w:t>Freedom of Information</w:t>
        </w:r>
      </w:hyperlink>
    </w:p>
    <w:p w14:paraId="682B8BD6" w14:textId="6CA29ACC" w:rsidR="008130D5" w:rsidRPr="0067507D" w:rsidRDefault="008130D5" w:rsidP="002936D7">
      <w:pPr>
        <w:pStyle w:val="TOC4"/>
        <w:ind w:left="2250"/>
        <w:rPr>
          <w:color w:val="auto"/>
          <w:kern w:val="2"/>
          <w:sz w:val="24"/>
          <w:szCs w:val="24"/>
          <w14:ligatures w14:val="standardContextual"/>
        </w:rPr>
      </w:pPr>
      <w:hyperlink w:anchor="_Toc210221151" w:history="1">
        <w:r w:rsidRPr="0067507D">
          <w:rPr>
            <w:rStyle w:val="Hyperlink"/>
          </w:rPr>
          <w:t>Community Support Fund</w:t>
        </w:r>
      </w:hyperlink>
    </w:p>
    <w:p w14:paraId="69A077C4" w14:textId="2DCDB00E" w:rsidR="008130D5" w:rsidRPr="0067507D" w:rsidRDefault="008130D5" w:rsidP="002936D7">
      <w:pPr>
        <w:pStyle w:val="TOC4"/>
        <w:ind w:left="2250"/>
        <w:rPr>
          <w:color w:val="auto"/>
          <w:kern w:val="2"/>
          <w:sz w:val="24"/>
          <w:szCs w:val="24"/>
          <w14:ligatures w14:val="standardContextual"/>
        </w:rPr>
      </w:pPr>
      <w:hyperlink w:anchor="_Toc210221152" w:history="1">
        <w:r w:rsidRPr="0067507D">
          <w:rPr>
            <w:rStyle w:val="Hyperlink"/>
          </w:rPr>
          <w:t>Reporting against competitive neutrality principles</w:t>
        </w:r>
      </w:hyperlink>
    </w:p>
    <w:p w14:paraId="4C1F910A" w14:textId="49470C47" w:rsidR="008130D5" w:rsidRPr="0067507D" w:rsidRDefault="008130D5" w:rsidP="002936D7">
      <w:pPr>
        <w:pStyle w:val="TOC4"/>
        <w:ind w:left="2250"/>
        <w:rPr>
          <w:color w:val="auto"/>
          <w:kern w:val="2"/>
          <w:sz w:val="24"/>
          <w:szCs w:val="24"/>
          <w14:ligatures w14:val="standardContextual"/>
        </w:rPr>
      </w:pPr>
      <w:hyperlink w:anchor="_Toc210221153" w:history="1">
        <w:r w:rsidRPr="0067507D">
          <w:rPr>
            <w:rStyle w:val="Hyperlink"/>
          </w:rPr>
          <w:t>Application of Public Interest Disclosures Act</w:t>
        </w:r>
      </w:hyperlink>
    </w:p>
    <w:p w14:paraId="720C099E" w14:textId="606147B4" w:rsidR="008130D5" w:rsidRPr="0067507D" w:rsidRDefault="008130D5" w:rsidP="002936D7">
      <w:pPr>
        <w:pStyle w:val="TOC4"/>
        <w:ind w:left="2250"/>
        <w:rPr>
          <w:color w:val="auto"/>
          <w:kern w:val="2"/>
          <w:sz w:val="24"/>
          <w:szCs w:val="24"/>
          <w14:ligatures w14:val="standardContextual"/>
        </w:rPr>
      </w:pPr>
      <w:hyperlink w:anchor="_Toc210221154" w:history="1">
        <w:r w:rsidRPr="0067507D">
          <w:rPr>
            <w:rStyle w:val="Hyperlink"/>
          </w:rPr>
          <w:t>Compliance with other legislation</w:t>
        </w:r>
      </w:hyperlink>
    </w:p>
    <w:p w14:paraId="52D9DC32" w14:textId="598E24E3" w:rsidR="008130D5" w:rsidRPr="0067507D" w:rsidRDefault="008130D5" w:rsidP="002936D7">
      <w:pPr>
        <w:pStyle w:val="TOC4"/>
        <w:ind w:left="2250"/>
        <w:rPr>
          <w:color w:val="auto"/>
          <w:kern w:val="2"/>
          <w:sz w:val="24"/>
          <w:szCs w:val="24"/>
          <w14:ligatures w14:val="standardContextual"/>
        </w:rPr>
      </w:pPr>
      <w:hyperlink w:anchor="_Toc210221155" w:history="1">
        <w:r w:rsidRPr="0067507D">
          <w:rPr>
            <w:rStyle w:val="Hyperlink"/>
          </w:rPr>
          <w:t>Information available on</w:t>
        </w:r>
        <w:r w:rsidRPr="0067507D">
          <w:rPr>
            <w:rStyle w:val="Hyperlink"/>
            <w:rFonts w:ascii="Calibri" w:hAnsi="Calibri"/>
          </w:rPr>
          <w:t> </w:t>
        </w:r>
        <w:r w:rsidRPr="0067507D">
          <w:rPr>
            <w:rStyle w:val="Hyperlink"/>
          </w:rPr>
          <w:t>request</w:t>
        </w:r>
      </w:hyperlink>
    </w:p>
    <w:p w14:paraId="0AE1564A" w14:textId="10242AC6" w:rsidR="008130D5" w:rsidRPr="0067507D" w:rsidRDefault="008130D5" w:rsidP="002936D7">
      <w:pPr>
        <w:pStyle w:val="TOC4"/>
        <w:ind w:left="2250"/>
        <w:rPr>
          <w:color w:val="auto"/>
          <w:kern w:val="2"/>
          <w:sz w:val="24"/>
          <w:szCs w:val="24"/>
          <w14:ligatures w14:val="standardContextual"/>
        </w:rPr>
      </w:pPr>
      <w:hyperlink w:anchor="_Toc210221156" w:history="1">
        <w:r w:rsidRPr="0067507D">
          <w:rPr>
            <w:rStyle w:val="Hyperlink"/>
          </w:rPr>
          <w:t>Attestation for financial management compliance with Ministerial Standing Direction 5.1.4</w:t>
        </w:r>
      </w:hyperlink>
    </w:p>
    <w:p w14:paraId="01B80C7C" w14:textId="7B326B3B" w:rsidR="008130D5" w:rsidRPr="0067507D" w:rsidRDefault="008130D5" w:rsidP="002936D7">
      <w:pPr>
        <w:pStyle w:val="TOC4"/>
        <w:ind w:left="2250"/>
        <w:rPr>
          <w:color w:val="auto"/>
          <w:kern w:val="2"/>
          <w:sz w:val="24"/>
          <w:szCs w:val="24"/>
          <w14:ligatures w14:val="standardContextual"/>
        </w:rPr>
      </w:pPr>
      <w:hyperlink w:anchor="_Toc210221157" w:history="1">
        <w:r w:rsidRPr="0067507D">
          <w:rPr>
            <w:rStyle w:val="Hyperlink"/>
          </w:rPr>
          <w:t>Compliance with DataVic Access Policy</w:t>
        </w:r>
      </w:hyperlink>
    </w:p>
    <w:p w14:paraId="0CC39BFC" w14:textId="71485027" w:rsidR="008130D5" w:rsidRPr="0067507D" w:rsidRDefault="008130D5">
      <w:pPr>
        <w:pStyle w:val="TOC2"/>
        <w:rPr>
          <w:rFonts w:eastAsiaTheme="minorEastAsia" w:cstheme="minorBidi"/>
          <w:color w:val="auto"/>
          <w:kern w:val="2"/>
          <w:sz w:val="24"/>
          <w:szCs w:val="24"/>
          <w14:ligatures w14:val="standardContextual"/>
        </w:rPr>
      </w:pPr>
      <w:hyperlink w:anchor="_Toc210221158" w:history="1">
        <w:r w:rsidRPr="0067507D">
          <w:rPr>
            <w:rStyle w:val="Hyperlink"/>
          </w:rPr>
          <w:t>Appendix 5</w:t>
        </w:r>
        <w:r w:rsidRPr="0067507D">
          <w:rPr>
            <w:rFonts w:eastAsiaTheme="minorEastAsia" w:cstheme="minorBidi"/>
            <w:color w:val="auto"/>
            <w:kern w:val="2"/>
            <w:sz w:val="24"/>
            <w:szCs w:val="24"/>
            <w14:ligatures w14:val="standardContextual"/>
          </w:rPr>
          <w:tab/>
        </w:r>
        <w:r w:rsidRPr="0067507D">
          <w:rPr>
            <w:rStyle w:val="Hyperlink"/>
          </w:rPr>
          <w:t>Disclosure index</w:t>
        </w:r>
        <w:r w:rsidRPr="0067507D">
          <w:rPr>
            <w:webHidden/>
          </w:rPr>
          <w:tab/>
        </w:r>
        <w:r w:rsidRPr="0067507D">
          <w:rPr>
            <w:webHidden/>
          </w:rPr>
          <w:fldChar w:fldCharType="begin"/>
        </w:r>
        <w:r w:rsidRPr="0067507D">
          <w:rPr>
            <w:webHidden/>
          </w:rPr>
          <w:instrText xml:space="preserve"> PAGEREF _Toc210221158 \h </w:instrText>
        </w:r>
        <w:r w:rsidRPr="0067507D">
          <w:rPr>
            <w:webHidden/>
          </w:rPr>
        </w:r>
        <w:r w:rsidRPr="0067507D">
          <w:rPr>
            <w:webHidden/>
          </w:rPr>
          <w:fldChar w:fldCharType="separate"/>
        </w:r>
        <w:r w:rsidR="008F4C0F">
          <w:rPr>
            <w:webHidden/>
          </w:rPr>
          <w:t>156</w:t>
        </w:r>
        <w:r w:rsidRPr="0067507D">
          <w:rPr>
            <w:webHidden/>
          </w:rPr>
          <w:fldChar w:fldCharType="end"/>
        </w:r>
      </w:hyperlink>
    </w:p>
    <w:p w14:paraId="649E19B1" w14:textId="4743C919" w:rsidR="003A27FC" w:rsidRPr="0067507D" w:rsidRDefault="003A27FC" w:rsidP="003A27FC">
      <w:pPr>
        <w:rPr>
          <w:rFonts w:cstheme="minorHAnsi"/>
        </w:rPr>
      </w:pPr>
      <w:r w:rsidRPr="0067507D">
        <w:rPr>
          <w:rFonts w:cstheme="minorHAnsi"/>
          <w:color w:val="505050"/>
        </w:rPr>
        <w:fldChar w:fldCharType="end"/>
      </w:r>
    </w:p>
    <w:p w14:paraId="144BA25D" w14:textId="77777777" w:rsidR="00B53492" w:rsidRPr="0067507D" w:rsidRDefault="00B53492" w:rsidP="00B53492">
      <w:pPr>
        <w:pStyle w:val="Heading2"/>
      </w:pPr>
      <w:bookmarkStart w:id="0" w:name="_Ref492631792"/>
      <w:r w:rsidRPr="0067507D">
        <w:t>Responsible Body’s declaration</w:t>
      </w:r>
      <w:bookmarkEnd w:id="0"/>
      <w:r w:rsidRPr="0067507D">
        <w:t xml:space="preserve"> </w:t>
      </w:r>
    </w:p>
    <w:p w14:paraId="025DAE81" w14:textId="36BAC57B" w:rsidR="00B22E97" w:rsidRDefault="00B53492" w:rsidP="00B53492">
      <w:r w:rsidRPr="0067507D">
        <w:t xml:space="preserve">In accordance with the </w:t>
      </w:r>
      <w:r w:rsidRPr="0067507D">
        <w:rPr>
          <w:i/>
        </w:rPr>
        <w:t>Financial Management Act 1994</w:t>
      </w:r>
      <w:r w:rsidRPr="0067507D">
        <w:t xml:space="preserve">, I am </w:t>
      </w:r>
      <w:r w:rsidRPr="0067507D">
        <w:br/>
        <w:t xml:space="preserve">pleased to present the Department of Treasury and Finance </w:t>
      </w:r>
      <w:r w:rsidRPr="0067507D">
        <w:br/>
        <w:t xml:space="preserve">Annual Report for the year ended </w:t>
      </w:r>
      <w:r w:rsidR="00C30F42" w:rsidRPr="0067507D">
        <w:t>30 June 2025</w:t>
      </w:r>
      <w:r w:rsidRPr="0067507D">
        <w:t xml:space="preserve">. </w:t>
      </w:r>
    </w:p>
    <w:p w14:paraId="2B3F5770" w14:textId="4E06C7F0" w:rsidR="00707A55" w:rsidRPr="00707A55" w:rsidRDefault="00707A55" w:rsidP="00707A55">
      <w:r w:rsidRPr="00707A55">
        <w:rPr>
          <w:noProof/>
        </w:rPr>
        <w:drawing>
          <wp:inline distT="0" distB="0" distL="0" distR="0" wp14:anchorId="4693B2CE" wp14:editId="6288ACEF">
            <wp:extent cx="1629335" cy="859536"/>
            <wp:effectExtent l="0" t="0" r="0" b="0"/>
            <wp:docPr id="1640920018" name="Picture 2" descr="Chris Barrett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920018" name="Picture 2" descr="Chris Barrett signa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9335" cy="859536"/>
                    </a:xfrm>
                    <a:prstGeom prst="rect">
                      <a:avLst/>
                    </a:prstGeom>
                    <a:noFill/>
                    <a:ln>
                      <a:noFill/>
                    </a:ln>
                  </pic:spPr>
                </pic:pic>
              </a:graphicData>
            </a:graphic>
          </wp:inline>
        </w:drawing>
      </w:r>
    </w:p>
    <w:p w14:paraId="04ED3A06" w14:textId="380A2BEB" w:rsidR="00530B02" w:rsidRPr="0067507D" w:rsidRDefault="00530B02" w:rsidP="00B53492"/>
    <w:p w14:paraId="415FC7F6" w14:textId="4ED6E0AF" w:rsidR="00B53492" w:rsidRPr="0067507D" w:rsidRDefault="00C149B0" w:rsidP="00B53492">
      <w:pPr>
        <w:spacing w:before="0"/>
        <w:rPr>
          <w:rFonts w:asciiTheme="majorHAnsi" w:hAnsiTheme="majorHAnsi" w:cstheme="minorHAnsi"/>
        </w:rPr>
      </w:pPr>
      <w:r w:rsidRPr="0067507D">
        <w:rPr>
          <w:rFonts w:asciiTheme="majorHAnsi" w:hAnsiTheme="majorHAnsi" w:cstheme="minorHAnsi"/>
        </w:rPr>
        <w:t>Chris Barrett</w:t>
      </w:r>
      <w:r w:rsidR="00B53492" w:rsidRPr="0067507D">
        <w:rPr>
          <w:rFonts w:asciiTheme="majorHAnsi" w:hAnsiTheme="majorHAnsi" w:cstheme="minorHAnsi"/>
        </w:rPr>
        <w:br/>
        <w:t xml:space="preserve">Secretary </w:t>
      </w:r>
    </w:p>
    <w:p w14:paraId="49441609" w14:textId="0817AFA7" w:rsidR="00B22E97" w:rsidRPr="0067507D" w:rsidRDefault="003618E7" w:rsidP="003A27FC">
      <w:r w:rsidRPr="00530B02">
        <w:t>1</w:t>
      </w:r>
      <w:r w:rsidR="00F50109">
        <w:t>7</w:t>
      </w:r>
      <w:r w:rsidR="00C30F42" w:rsidRPr="0067507D">
        <w:t xml:space="preserve"> October 2025</w:t>
      </w:r>
    </w:p>
    <w:p w14:paraId="2F1832E7" w14:textId="77777777" w:rsidR="003A27FC" w:rsidRPr="0067507D" w:rsidRDefault="003A27FC" w:rsidP="003A27FC">
      <w:pPr>
        <w:rPr>
          <w:rFonts w:cstheme="minorHAnsi"/>
        </w:rPr>
        <w:sectPr w:rsidR="003A27FC" w:rsidRPr="0067507D" w:rsidSect="00DA453D">
          <w:footerReference w:type="even" r:id="rId19"/>
          <w:footerReference w:type="default" r:id="rId20"/>
          <w:footerReference w:type="first" r:id="rId21"/>
          <w:pgSz w:w="11909" w:h="16834" w:code="9"/>
          <w:pgMar w:top="1728" w:right="1152" w:bottom="1152" w:left="1152" w:header="720" w:footer="288" w:gutter="0"/>
          <w:pgNumType w:fmt="lowerRoman" w:start="1"/>
          <w:cols w:space="720"/>
          <w:noEndnote/>
          <w:docGrid w:linePitch="272"/>
        </w:sectPr>
      </w:pPr>
    </w:p>
    <w:p w14:paraId="3061E32E" w14:textId="01C45DA4" w:rsidR="00F354CC" w:rsidRPr="0067507D" w:rsidRDefault="00F354CC" w:rsidP="00F354CC">
      <w:pPr>
        <w:pStyle w:val="Heading1"/>
      </w:pPr>
      <w:bookmarkStart w:id="1" w:name="_Toc337034707"/>
      <w:bookmarkStart w:id="2" w:name="_Toc337034816"/>
      <w:bookmarkStart w:id="3" w:name="_Toc210221134"/>
      <w:r w:rsidRPr="0067507D">
        <w:lastRenderedPageBreak/>
        <w:t>About DTF</w:t>
      </w:r>
      <w:bookmarkEnd w:id="1"/>
      <w:bookmarkEnd w:id="2"/>
      <w:bookmarkEnd w:id="3"/>
    </w:p>
    <w:p w14:paraId="36551DE0" w14:textId="77777777" w:rsidR="00F354CC" w:rsidRPr="0067507D" w:rsidRDefault="00F354CC" w:rsidP="00F354CC">
      <w:pPr>
        <w:rPr>
          <w:rFonts w:cstheme="minorHAnsi"/>
        </w:rPr>
        <w:sectPr w:rsidR="00F354CC" w:rsidRPr="0067507D" w:rsidSect="00D16853">
          <w:footerReference w:type="even" r:id="rId22"/>
          <w:footerReference w:type="default" r:id="rId23"/>
          <w:pgSz w:w="11909" w:h="16834" w:code="9"/>
          <w:pgMar w:top="1728" w:right="1152" w:bottom="1152" w:left="1152" w:header="720" w:footer="288" w:gutter="0"/>
          <w:pgNumType w:start="1"/>
          <w:cols w:space="720"/>
          <w:noEndnote/>
          <w:docGrid w:linePitch="272"/>
        </w:sectPr>
      </w:pPr>
    </w:p>
    <w:p w14:paraId="6ABE8379" w14:textId="7BE3E545" w:rsidR="00895B38" w:rsidRPr="0067507D" w:rsidRDefault="00895B38" w:rsidP="00F354CC">
      <w:pPr>
        <w:pStyle w:val="Heading2"/>
      </w:pPr>
      <w:bookmarkStart w:id="4" w:name="_Ref489435818"/>
    </w:p>
    <w:p w14:paraId="24B16F5B" w14:textId="10F503B9" w:rsidR="00F354CC" w:rsidRPr="0067507D" w:rsidRDefault="00F354CC" w:rsidP="00F354CC">
      <w:pPr>
        <w:pStyle w:val="Heading2"/>
      </w:pPr>
      <w:r w:rsidRPr="0067507D">
        <w:t xml:space="preserve">Our </w:t>
      </w:r>
      <w:bookmarkEnd w:id="4"/>
      <w:r w:rsidR="00707714" w:rsidRPr="0067507D">
        <w:t xml:space="preserve">strategic </w:t>
      </w:r>
      <w:r w:rsidR="00F113B0" w:rsidRPr="0067507D">
        <w:t>vision and values</w:t>
      </w:r>
    </w:p>
    <w:p w14:paraId="2532A63E" w14:textId="01EF0502" w:rsidR="00FC30E8" w:rsidRPr="0067507D" w:rsidRDefault="00FC30E8" w:rsidP="00FC30E8">
      <w:r w:rsidRPr="0067507D">
        <w:t>DTF exists to improve the lives and prosperity of Victorians. We do this by constantly growing our influence, wellbeing, leadership and expertise.</w:t>
      </w:r>
    </w:p>
    <w:p w14:paraId="232065B4" w14:textId="77777777" w:rsidR="00FC30E8" w:rsidRPr="0067507D" w:rsidRDefault="00FC30E8" w:rsidP="00FC30E8">
      <w:r w:rsidRPr="0067507D">
        <w:t>We are the indispensable partner inside and outside of government on economic, financial, infrastructure, industrial relations and commercial policy.</w:t>
      </w:r>
    </w:p>
    <w:p w14:paraId="0076C7DF" w14:textId="77777777" w:rsidR="00F354CC" w:rsidRPr="0067507D" w:rsidRDefault="00F354CC" w:rsidP="00F354CC">
      <w:pPr>
        <w:pStyle w:val="Heading2"/>
      </w:pPr>
      <w:r w:rsidRPr="0067507D">
        <w:t>Our role</w:t>
      </w:r>
    </w:p>
    <w:p w14:paraId="436BD6F1" w14:textId="0FA3A73B" w:rsidR="00FA2CF6" w:rsidRPr="0067507D" w:rsidRDefault="00FA2CF6" w:rsidP="00AA59BE">
      <w:pPr>
        <w:pStyle w:val="Bullet"/>
      </w:pPr>
      <w:r w:rsidRPr="0067507D">
        <w:t>We provide economic, financial, infrastructure, industrial relations and commercial policy advice to help the Victorian Government deliver its policies</w:t>
      </w:r>
      <w:r w:rsidR="00E702D5" w:rsidRPr="0067507D">
        <w:t>.</w:t>
      </w:r>
    </w:p>
    <w:p w14:paraId="1B21AF8C" w14:textId="51FDAAA1" w:rsidR="00FA2CF6" w:rsidRPr="0067507D" w:rsidRDefault="00FA2CF6" w:rsidP="00AA59BE">
      <w:pPr>
        <w:pStyle w:val="Bullet"/>
      </w:pPr>
      <w:r w:rsidRPr="0067507D">
        <w:t>We support the ministerial portfolios of the Treasurer, Minister for Finance, Minister for Industrial Relations and the Minister for WorkSafe and the TAC</w:t>
      </w:r>
      <w:r w:rsidR="00A138DD" w:rsidRPr="0067507D">
        <w:t>.</w:t>
      </w:r>
    </w:p>
    <w:p w14:paraId="76585916" w14:textId="48536595" w:rsidR="00FA2CF6" w:rsidRPr="0067507D" w:rsidRDefault="00FA2CF6" w:rsidP="00AA59BE">
      <w:pPr>
        <w:pStyle w:val="Bullet"/>
      </w:pPr>
      <w:r w:rsidRPr="0067507D">
        <w:t>We work with all Victorian departments and agencies to ensure the Government’s objectives are achieved</w:t>
      </w:r>
      <w:r w:rsidR="00C93C25" w:rsidRPr="0067507D">
        <w:t>.</w:t>
      </w:r>
    </w:p>
    <w:p w14:paraId="6C30E7B9" w14:textId="77777777" w:rsidR="00F354CC" w:rsidRPr="0067507D" w:rsidRDefault="00F354CC" w:rsidP="00F354CC">
      <w:pPr>
        <w:pStyle w:val="Heading2"/>
      </w:pPr>
      <w:r w:rsidRPr="0067507D">
        <w:t>Our objectives</w:t>
      </w:r>
    </w:p>
    <w:p w14:paraId="68FAF126" w14:textId="77777777" w:rsidR="00F354CC" w:rsidRPr="0067507D" w:rsidRDefault="00F354CC" w:rsidP="00F354CC">
      <w:r w:rsidRPr="0067507D">
        <w:t>DTF’s objectives are to:</w:t>
      </w:r>
    </w:p>
    <w:p w14:paraId="7E023916" w14:textId="77777777" w:rsidR="00F354CC" w:rsidRPr="0067507D" w:rsidRDefault="00F354CC" w:rsidP="00655729">
      <w:pPr>
        <w:pStyle w:val="Bullet"/>
      </w:pPr>
      <w:r w:rsidRPr="0067507D">
        <w:t>optimise Victoria’s fiscal resources</w:t>
      </w:r>
    </w:p>
    <w:p w14:paraId="3654EB9E" w14:textId="77777777" w:rsidR="00F354CC" w:rsidRPr="0067507D" w:rsidRDefault="00F354CC" w:rsidP="00655729">
      <w:pPr>
        <w:pStyle w:val="Bullet"/>
      </w:pPr>
      <w:r w:rsidRPr="0067507D">
        <w:t>strengthen Victoria’s economic performance</w:t>
      </w:r>
    </w:p>
    <w:p w14:paraId="72DFD227" w14:textId="0185BC6D" w:rsidR="00F354CC" w:rsidRPr="0067507D" w:rsidRDefault="00F354CC" w:rsidP="00655729">
      <w:pPr>
        <w:pStyle w:val="Bullet"/>
      </w:pPr>
      <w:r w:rsidRPr="0067507D">
        <w:t xml:space="preserve">improve how </w:t>
      </w:r>
      <w:r w:rsidR="0054689F" w:rsidRPr="0067507D">
        <w:t>the G</w:t>
      </w:r>
      <w:r w:rsidRPr="0067507D">
        <w:t>overnment manages its balance sheet, commercial activities and public sector infrastructure</w:t>
      </w:r>
    </w:p>
    <w:p w14:paraId="36EA0A2A" w14:textId="5BF75680" w:rsidR="00F63CEE" w:rsidRPr="0067507D" w:rsidRDefault="00DA111A" w:rsidP="00655729">
      <w:pPr>
        <w:pStyle w:val="Bullet"/>
      </w:pPr>
      <w:r w:rsidRPr="0067507D">
        <w:t>s</w:t>
      </w:r>
      <w:r w:rsidR="00F63CEE" w:rsidRPr="0067507D">
        <w:t>trengthen Victoria’s economic performance through fair, equitable and productive workplaces.</w:t>
      </w:r>
    </w:p>
    <w:p w14:paraId="0ADA4DF4" w14:textId="26352805" w:rsidR="00895B38" w:rsidRPr="0067507D" w:rsidRDefault="00F354CC" w:rsidP="00F354CC">
      <w:pPr>
        <w:pStyle w:val="Heading2"/>
      </w:pPr>
      <w:r w:rsidRPr="0067507D">
        <w:br w:type="column"/>
      </w:r>
    </w:p>
    <w:p w14:paraId="3BFB998C" w14:textId="4A932AB5" w:rsidR="00F354CC" w:rsidRPr="0067507D" w:rsidRDefault="00F354CC" w:rsidP="00F354CC">
      <w:pPr>
        <w:pStyle w:val="Heading2"/>
      </w:pPr>
      <w:r w:rsidRPr="0067507D">
        <w:t>Our values</w:t>
      </w:r>
    </w:p>
    <w:p w14:paraId="4AE5FC18" w14:textId="687F88AF" w:rsidR="00371480" w:rsidRPr="0067507D" w:rsidRDefault="00FA3819" w:rsidP="00485A02">
      <w:r w:rsidRPr="0067507D">
        <w:t>The way we do our work is as important to us at DTF as the work we do</w:t>
      </w:r>
      <w:r w:rsidR="00371480" w:rsidRPr="0067507D">
        <w:t>.</w:t>
      </w:r>
      <w:r w:rsidRPr="0067507D">
        <w:t xml:space="preserve"> </w:t>
      </w:r>
      <w:r w:rsidR="00523B1C" w:rsidRPr="0067507D">
        <w:t>In our day</w:t>
      </w:r>
      <w:r w:rsidR="006A5485">
        <w:noBreakHyphen/>
      </w:r>
      <w:r w:rsidR="00523B1C" w:rsidRPr="0067507D">
        <w:t>to</w:t>
      </w:r>
      <w:r w:rsidR="006A5485">
        <w:noBreakHyphen/>
      </w:r>
      <w:r w:rsidR="00523B1C" w:rsidRPr="0067507D">
        <w:t>day work, we are guided by the following six values:</w:t>
      </w:r>
    </w:p>
    <w:p w14:paraId="3E3E61D5" w14:textId="77777777" w:rsidR="00F354CC" w:rsidRPr="0067507D" w:rsidRDefault="00F354CC" w:rsidP="00655729">
      <w:pPr>
        <w:pStyle w:val="Bullet"/>
      </w:pPr>
      <w:r w:rsidRPr="0067507D">
        <w:t>We are influential</w:t>
      </w:r>
    </w:p>
    <w:p w14:paraId="7A3BF746" w14:textId="77777777" w:rsidR="00F354CC" w:rsidRPr="0067507D" w:rsidRDefault="00F354CC" w:rsidP="00655729">
      <w:pPr>
        <w:pStyle w:val="Dash"/>
      </w:pPr>
      <w:r w:rsidRPr="0067507D">
        <w:t>we demonstrate leadership in our work</w:t>
      </w:r>
    </w:p>
    <w:p w14:paraId="698A42E5" w14:textId="77777777" w:rsidR="00F354CC" w:rsidRPr="0067507D" w:rsidRDefault="00F354CC" w:rsidP="00655729">
      <w:pPr>
        <w:pStyle w:val="Dash"/>
      </w:pPr>
      <w:r w:rsidRPr="0067507D">
        <w:t>we negotiate effectively to get the best outcome for Victorians.</w:t>
      </w:r>
    </w:p>
    <w:p w14:paraId="78353ECD" w14:textId="77777777" w:rsidR="00F354CC" w:rsidRPr="0067507D" w:rsidRDefault="00F354CC" w:rsidP="00655729">
      <w:pPr>
        <w:pStyle w:val="Bullet"/>
      </w:pPr>
      <w:r w:rsidRPr="0067507D">
        <w:t>We are respectful</w:t>
      </w:r>
    </w:p>
    <w:p w14:paraId="2DB74917" w14:textId="77777777" w:rsidR="00F354CC" w:rsidRPr="0067507D" w:rsidRDefault="00F354CC" w:rsidP="00655729">
      <w:pPr>
        <w:pStyle w:val="Dash"/>
      </w:pPr>
      <w:r w:rsidRPr="0067507D">
        <w:t>we treat others fairly and inclusively</w:t>
      </w:r>
    </w:p>
    <w:p w14:paraId="6B7BD2B1" w14:textId="77777777" w:rsidR="00F354CC" w:rsidRPr="0067507D" w:rsidRDefault="00F354CC" w:rsidP="00655729">
      <w:pPr>
        <w:pStyle w:val="Dash"/>
      </w:pPr>
      <w:r w:rsidRPr="0067507D">
        <w:t>we cultivate a positive work environment and understand others’ priorities and</w:t>
      </w:r>
      <w:r w:rsidRPr="0067507D">
        <w:rPr>
          <w:rFonts w:ascii="Calibri" w:hAnsi="Calibri"/>
        </w:rPr>
        <w:t> </w:t>
      </w:r>
      <w:r w:rsidRPr="0067507D">
        <w:t>pressures.</w:t>
      </w:r>
    </w:p>
    <w:p w14:paraId="084EBA41" w14:textId="77777777" w:rsidR="00F354CC" w:rsidRPr="0067507D" w:rsidRDefault="00F354CC" w:rsidP="00655729">
      <w:pPr>
        <w:pStyle w:val="Bullet"/>
      </w:pPr>
      <w:r w:rsidRPr="0067507D">
        <w:t>We are collaborative</w:t>
      </w:r>
    </w:p>
    <w:p w14:paraId="4F4BFD18" w14:textId="77777777" w:rsidR="00F354CC" w:rsidRPr="0067507D" w:rsidRDefault="00F354CC" w:rsidP="00655729">
      <w:pPr>
        <w:pStyle w:val="Dash"/>
      </w:pPr>
      <w:r w:rsidRPr="0067507D">
        <w:t>we engage flexibly and constructively with our colleagues and stakeholders</w:t>
      </w:r>
    </w:p>
    <w:p w14:paraId="31396560" w14:textId="77777777" w:rsidR="00F354CC" w:rsidRPr="0067507D" w:rsidRDefault="00F354CC" w:rsidP="00655729">
      <w:pPr>
        <w:pStyle w:val="Dash"/>
      </w:pPr>
      <w:r w:rsidRPr="0067507D">
        <w:t>we work together as a team, speaking with one voice.</w:t>
      </w:r>
    </w:p>
    <w:p w14:paraId="01F2DDAF" w14:textId="77777777" w:rsidR="00F354CC" w:rsidRPr="0067507D" w:rsidRDefault="00F354CC" w:rsidP="00655729">
      <w:pPr>
        <w:pStyle w:val="Bullet"/>
      </w:pPr>
      <w:r w:rsidRPr="0067507D">
        <w:t>We are creative</w:t>
      </w:r>
    </w:p>
    <w:p w14:paraId="5D2F32D4" w14:textId="77777777" w:rsidR="00F354CC" w:rsidRPr="0067507D" w:rsidRDefault="00F354CC" w:rsidP="00655729">
      <w:pPr>
        <w:pStyle w:val="Dash"/>
      </w:pPr>
      <w:r w:rsidRPr="0067507D">
        <w:t>we foster innovative thinking to create opportunities and solve challenges</w:t>
      </w:r>
    </w:p>
    <w:p w14:paraId="76BDC7F4" w14:textId="77777777" w:rsidR="00F354CC" w:rsidRPr="0067507D" w:rsidRDefault="00F354CC" w:rsidP="00655729">
      <w:pPr>
        <w:pStyle w:val="Dash"/>
      </w:pPr>
      <w:r w:rsidRPr="0067507D">
        <w:t>we value and encourage diverse views and</w:t>
      </w:r>
      <w:r w:rsidRPr="0067507D">
        <w:rPr>
          <w:rFonts w:ascii="Calibri" w:hAnsi="Calibri"/>
        </w:rPr>
        <w:t> </w:t>
      </w:r>
      <w:r w:rsidRPr="0067507D">
        <w:t>ideas.</w:t>
      </w:r>
    </w:p>
    <w:p w14:paraId="69ACE3C8" w14:textId="77777777" w:rsidR="00F354CC" w:rsidRPr="0067507D" w:rsidRDefault="00F354CC" w:rsidP="00655729">
      <w:pPr>
        <w:pStyle w:val="Bullet"/>
      </w:pPr>
      <w:r w:rsidRPr="0067507D">
        <w:t>We are accountable</w:t>
      </w:r>
    </w:p>
    <w:p w14:paraId="28AB7182" w14:textId="77777777" w:rsidR="00F354CC" w:rsidRPr="0067507D" w:rsidRDefault="00F354CC" w:rsidP="00655729">
      <w:pPr>
        <w:pStyle w:val="Dash"/>
      </w:pPr>
      <w:r w:rsidRPr="0067507D">
        <w:t>we behave ethically, transparently and</w:t>
      </w:r>
      <w:r w:rsidR="00652462" w:rsidRPr="0067507D">
        <w:t xml:space="preserve"> </w:t>
      </w:r>
      <w:r w:rsidRPr="0067507D">
        <w:t>with</w:t>
      </w:r>
      <w:r w:rsidRPr="0067507D">
        <w:rPr>
          <w:rFonts w:ascii="Calibri" w:hAnsi="Calibri"/>
        </w:rPr>
        <w:t> </w:t>
      </w:r>
      <w:r w:rsidRPr="0067507D">
        <w:t>integrity</w:t>
      </w:r>
    </w:p>
    <w:p w14:paraId="542E59BF" w14:textId="77777777" w:rsidR="00F354CC" w:rsidRPr="0067507D" w:rsidRDefault="00F354CC" w:rsidP="00655729">
      <w:pPr>
        <w:pStyle w:val="Dash"/>
      </w:pPr>
      <w:r w:rsidRPr="0067507D">
        <w:t>we take responsibility for our work, decisions</w:t>
      </w:r>
      <w:r w:rsidRPr="0067507D">
        <w:rPr>
          <w:rFonts w:ascii="Calibri" w:hAnsi="Calibri" w:cs="Calibri"/>
        </w:rPr>
        <w:t> </w:t>
      </w:r>
      <w:r w:rsidRPr="0067507D">
        <w:t>and actions</w:t>
      </w:r>
    </w:p>
    <w:p w14:paraId="1135E635" w14:textId="40430DAD" w:rsidR="00F354CC" w:rsidRPr="0067507D" w:rsidRDefault="00F354CC" w:rsidP="00655729">
      <w:pPr>
        <w:pStyle w:val="Dash"/>
      </w:pPr>
      <w:r w:rsidRPr="0067507D">
        <w:t>we work efficiently to achieve value</w:t>
      </w:r>
      <w:r w:rsidR="5DA81B8F" w:rsidRPr="0067507D">
        <w:t xml:space="preserve"> </w:t>
      </w:r>
      <w:r w:rsidRPr="0067507D">
        <w:t>for</w:t>
      </w:r>
      <w:r w:rsidR="4C6BBDAC" w:rsidRPr="0067507D">
        <w:t xml:space="preserve"> </w:t>
      </w:r>
      <w:r w:rsidRPr="0067507D">
        <w:t>money outcomes.</w:t>
      </w:r>
    </w:p>
    <w:p w14:paraId="5BCD2F5B" w14:textId="77777777" w:rsidR="00F354CC" w:rsidRPr="0067507D" w:rsidRDefault="00F354CC" w:rsidP="00655729">
      <w:pPr>
        <w:pStyle w:val="Bullet"/>
      </w:pPr>
      <w:r w:rsidRPr="0067507D">
        <w:t>We are responsive</w:t>
      </w:r>
    </w:p>
    <w:p w14:paraId="699EA76C" w14:textId="77777777" w:rsidR="00F354CC" w:rsidRPr="0067507D" w:rsidRDefault="00F354CC" w:rsidP="00655729">
      <w:pPr>
        <w:pStyle w:val="Dash"/>
      </w:pPr>
      <w:bookmarkStart w:id="5" w:name="_Ref489435740"/>
      <w:r w:rsidRPr="0067507D">
        <w:t>we give timely, robust and impartial advice and services to stakeholders</w:t>
      </w:r>
    </w:p>
    <w:p w14:paraId="0689D39F" w14:textId="09A89FAD" w:rsidR="00F354CC" w:rsidRPr="0067507D" w:rsidRDefault="00F354CC" w:rsidP="00655729">
      <w:pPr>
        <w:pStyle w:val="Dash"/>
      </w:pPr>
      <w:r w:rsidRPr="0067507D">
        <w:t>we are proactive and solution focused, seeking opportunities to resolve issues and</w:t>
      </w:r>
      <w:r w:rsidRPr="0067507D">
        <w:rPr>
          <w:rFonts w:ascii="Calibri" w:hAnsi="Calibri" w:cs="Calibri"/>
        </w:rPr>
        <w:t> </w:t>
      </w:r>
      <w:r w:rsidRPr="0067507D">
        <w:t>risks.</w:t>
      </w:r>
    </w:p>
    <w:p w14:paraId="70883820" w14:textId="1E01BE71" w:rsidR="00F354CC" w:rsidRPr="00866B9C" w:rsidRDefault="00F354CC" w:rsidP="00F354CC">
      <w:pPr>
        <w:spacing w:before="0" w:after="0"/>
        <w:rPr>
          <w:color w:val="404040"/>
          <w:sz w:val="24"/>
          <w:szCs w:val="28"/>
        </w:rPr>
      </w:pPr>
      <w:r w:rsidRPr="0067507D">
        <w:br w:type="page"/>
      </w:r>
    </w:p>
    <w:bookmarkEnd w:id="5"/>
    <w:p w14:paraId="69AF175F" w14:textId="6D7B06EF" w:rsidR="00B4269B" w:rsidRPr="0067507D" w:rsidRDefault="00B4269B" w:rsidP="00B4269B">
      <w:pPr>
        <w:pStyle w:val="Heading2"/>
        <w:spacing w:after="360"/>
      </w:pPr>
      <w:r w:rsidRPr="0067507D">
        <w:rPr>
          <w:sz w:val="40"/>
          <w:szCs w:val="40"/>
        </w:rPr>
        <w:lastRenderedPageBreak/>
        <w:t>Our Ministers</w:t>
      </w:r>
      <w:r w:rsidRPr="0067507D">
        <w:br/>
      </w:r>
      <w:r w:rsidRPr="0067507D">
        <w:rPr>
          <w:rFonts w:asciiTheme="minorHAnsi" w:hAnsiTheme="minorHAnsi"/>
        </w:rPr>
        <w:t xml:space="preserve">as at </w:t>
      </w:r>
      <w:r w:rsidR="00C30F42" w:rsidRPr="0067507D">
        <w:rPr>
          <w:rFonts w:asciiTheme="minorHAnsi" w:hAnsiTheme="minorHAnsi"/>
        </w:rPr>
        <w:t>30 June 2025</w:t>
      </w:r>
    </w:p>
    <w:p w14:paraId="0088EB8B" w14:textId="77777777" w:rsidR="00D22EE1" w:rsidRPr="0067507D" w:rsidRDefault="00D22EE1" w:rsidP="00D22EE1"/>
    <w:p w14:paraId="47B57D7C" w14:textId="77777777" w:rsidR="00F354CC" w:rsidRPr="0067507D" w:rsidRDefault="00F354CC" w:rsidP="004F6550">
      <w:pPr>
        <w:rPr>
          <w:bCs/>
        </w:rPr>
        <w:sectPr w:rsidR="00F354CC" w:rsidRPr="0067507D" w:rsidSect="00D16853">
          <w:footerReference w:type="even" r:id="rId24"/>
          <w:footerReference w:type="default" r:id="rId25"/>
          <w:type w:val="continuous"/>
          <w:pgSz w:w="11909" w:h="16834" w:code="9"/>
          <w:pgMar w:top="1728" w:right="1152" w:bottom="1152" w:left="1152" w:header="720" w:footer="288" w:gutter="0"/>
          <w:cols w:num="2" w:space="720"/>
          <w:noEndnote/>
        </w:sectPr>
      </w:pPr>
    </w:p>
    <w:p w14:paraId="43B2F01F" w14:textId="57A6B290" w:rsidR="00D22EE1" w:rsidRPr="0067507D" w:rsidRDefault="002C3B80" w:rsidP="006E0B74">
      <w:pPr>
        <w:pStyle w:val="Heading3"/>
      </w:pPr>
      <w:r w:rsidRPr="0067507D">
        <w:t xml:space="preserve">Treasurer, Minister for Industrial Relations – </w:t>
      </w:r>
      <w:r w:rsidR="00D22EE1" w:rsidRPr="0067507D">
        <w:t>Jaclyn Symes MP</w:t>
      </w:r>
    </w:p>
    <w:p w14:paraId="42B2A164" w14:textId="0FC5B2A2" w:rsidR="00D22EE1" w:rsidRPr="0067507D" w:rsidRDefault="00D22EE1" w:rsidP="00D22EE1">
      <w:r w:rsidRPr="0067507D">
        <w:t>Jaclyn Symes</w:t>
      </w:r>
      <w:r w:rsidRPr="00866B9C">
        <w:rPr>
          <w:rFonts w:ascii="Calibri" w:hAnsi="Calibri" w:cs="Calibri"/>
          <w:bCs/>
        </w:rPr>
        <w:t> </w:t>
      </w:r>
      <w:r w:rsidRPr="0067507D">
        <w:t>MP</w:t>
      </w:r>
      <w:r w:rsidR="009F0381" w:rsidRPr="0067507D">
        <w:t xml:space="preserve"> </w:t>
      </w:r>
      <w:r w:rsidRPr="0067507D">
        <w:t>commenced as Treasurer of Victoria in December 2024.</w:t>
      </w:r>
    </w:p>
    <w:p w14:paraId="59E641C8" w14:textId="77777777" w:rsidR="00D22EE1" w:rsidRPr="0067507D" w:rsidRDefault="00D22EE1" w:rsidP="00D22EE1">
      <w:r w:rsidRPr="0067507D">
        <w:t>The Treasurer’s responsibilities include:</w:t>
      </w:r>
    </w:p>
    <w:p w14:paraId="7176884B" w14:textId="77777777" w:rsidR="00D22EE1" w:rsidRPr="0067507D" w:rsidRDefault="00D22EE1" w:rsidP="009F0381">
      <w:pPr>
        <w:pStyle w:val="Bullet"/>
      </w:pPr>
      <w:r w:rsidRPr="0067507D">
        <w:t>preparing and delivering the annual state budget</w:t>
      </w:r>
    </w:p>
    <w:p w14:paraId="6B57A200" w14:textId="77777777" w:rsidR="00D22EE1" w:rsidRPr="0067507D" w:rsidRDefault="00D22EE1" w:rsidP="009F0381">
      <w:pPr>
        <w:pStyle w:val="Bullet"/>
      </w:pPr>
      <w:r w:rsidRPr="0067507D">
        <w:t>promoting economic growth across Victoria</w:t>
      </w:r>
    </w:p>
    <w:p w14:paraId="1BEEC47A" w14:textId="77777777" w:rsidR="00D22EE1" w:rsidRPr="0067507D" w:rsidRDefault="00D22EE1" w:rsidP="009F0381">
      <w:pPr>
        <w:pStyle w:val="Bullet"/>
      </w:pPr>
      <w:r w:rsidRPr="0067507D">
        <w:t>developing the fiscal objectives and strategy for Victoria</w:t>
      </w:r>
    </w:p>
    <w:p w14:paraId="31F43425" w14:textId="77777777" w:rsidR="00D22EE1" w:rsidRPr="0067507D" w:rsidRDefault="00D22EE1" w:rsidP="009F0381">
      <w:pPr>
        <w:pStyle w:val="Bullet"/>
      </w:pPr>
      <w:r w:rsidRPr="0067507D">
        <w:t>overseeing the economic policy and economic strategy of the Government</w:t>
      </w:r>
    </w:p>
    <w:p w14:paraId="00812F49" w14:textId="77777777" w:rsidR="00D22EE1" w:rsidRPr="0067507D" w:rsidRDefault="00D22EE1" w:rsidP="009F0381">
      <w:pPr>
        <w:pStyle w:val="Bullet"/>
      </w:pPr>
      <w:r w:rsidRPr="0067507D">
        <w:t>driving wages policy, which operates in conjunction with industrial relations policies</w:t>
      </w:r>
    </w:p>
    <w:p w14:paraId="76FFADB3" w14:textId="77777777" w:rsidR="00D22EE1" w:rsidRPr="0067507D" w:rsidRDefault="00D22EE1" w:rsidP="009F0381">
      <w:pPr>
        <w:pStyle w:val="Bullet"/>
      </w:pPr>
      <w:r w:rsidRPr="0067507D">
        <w:t>overseeing the planning and delivery of major infrastructure projects undertaken across government</w:t>
      </w:r>
    </w:p>
    <w:p w14:paraId="49B7B659" w14:textId="77777777" w:rsidR="00D22EE1" w:rsidRPr="0067507D" w:rsidRDefault="00D22EE1" w:rsidP="009F0381">
      <w:pPr>
        <w:pStyle w:val="Bullet"/>
      </w:pPr>
      <w:r w:rsidRPr="0067507D">
        <w:t>revenue policy and collection for the State of Victoria, including land transfer duty, payroll tax and land tax</w:t>
      </w:r>
    </w:p>
    <w:p w14:paraId="27DB3F30" w14:textId="77777777" w:rsidR="00D22EE1" w:rsidRPr="0067507D" w:rsidRDefault="00D22EE1" w:rsidP="009F0381">
      <w:pPr>
        <w:pStyle w:val="Bullet"/>
      </w:pPr>
      <w:r w:rsidRPr="0067507D">
        <w:t>borrowing, investment and financial arrangements to hedge, protect and manage the State’s financial interests</w:t>
      </w:r>
    </w:p>
    <w:p w14:paraId="2113D986" w14:textId="77777777" w:rsidR="00D22EE1" w:rsidRPr="0067507D" w:rsidRDefault="00D22EE1" w:rsidP="009F0381">
      <w:pPr>
        <w:pStyle w:val="Bullet"/>
      </w:pPr>
      <w:r w:rsidRPr="0067507D">
        <w:t>providing investment and fund management services to the State and its statutory authorities.</w:t>
      </w:r>
    </w:p>
    <w:p w14:paraId="118CAF4B" w14:textId="0C84DE79" w:rsidR="00D22EE1" w:rsidRPr="0067507D" w:rsidRDefault="00D22EE1" w:rsidP="00D22EE1">
      <w:r w:rsidRPr="0067507D">
        <w:t>As Minister for Industrial Relations</w:t>
      </w:r>
      <w:r w:rsidR="00774586" w:rsidRPr="0067507D">
        <w:t>,</w:t>
      </w:r>
      <w:r w:rsidRPr="0067507D">
        <w:t xml:space="preserve"> DTF advises and supports this portfolio, principally through the team at Industrial Relations Victoria, who work towards achieving a positive working environment for all Victorians.</w:t>
      </w:r>
    </w:p>
    <w:p w14:paraId="72AA1DAE" w14:textId="05C273FD" w:rsidR="006657A0" w:rsidRPr="0067507D" w:rsidRDefault="006657A0" w:rsidP="00D22EE1">
      <w:r w:rsidRPr="0067507D">
        <w:t>The Treasurer is also Minister for Regional Development.</w:t>
      </w:r>
    </w:p>
    <w:p w14:paraId="3FE0FB2E" w14:textId="77777777" w:rsidR="00D22EE1" w:rsidRPr="0067507D" w:rsidRDefault="00D22EE1" w:rsidP="00F354CC"/>
    <w:p w14:paraId="1E0FCA59" w14:textId="00A9B9F8" w:rsidR="00F354CC" w:rsidRPr="0067507D" w:rsidRDefault="00F354CC" w:rsidP="00F354CC">
      <w:pPr>
        <w:pStyle w:val="Heading3"/>
        <w:spacing w:before="100"/>
      </w:pPr>
      <w:r w:rsidRPr="0067507D">
        <w:br w:type="column"/>
      </w:r>
      <w:r w:rsidR="003B031A" w:rsidRPr="0067507D">
        <w:t>Minister for Finance</w:t>
      </w:r>
      <w:r w:rsidRPr="0067507D">
        <w:t xml:space="preserve"> – </w:t>
      </w:r>
      <w:r w:rsidR="003B031A" w:rsidRPr="0067507D">
        <w:t xml:space="preserve">Hon. </w:t>
      </w:r>
      <w:r w:rsidRPr="0067507D">
        <w:t>Danny Pearson</w:t>
      </w:r>
      <w:r w:rsidR="0068459F" w:rsidRPr="0067507D">
        <w:rPr>
          <w:rFonts w:ascii="Calibri" w:hAnsi="Calibri" w:cs="Calibri"/>
        </w:rPr>
        <w:t> </w:t>
      </w:r>
      <w:r w:rsidRPr="0067507D">
        <w:t>MP</w:t>
      </w:r>
    </w:p>
    <w:p w14:paraId="5ED28A14" w14:textId="33184E9C" w:rsidR="00F354CC" w:rsidRPr="0067507D" w:rsidRDefault="00F354CC" w:rsidP="00F354CC">
      <w:pPr>
        <w:rPr>
          <w:sz w:val="24"/>
        </w:rPr>
      </w:pPr>
      <w:r w:rsidRPr="0067507D">
        <w:t>The Hon</w:t>
      </w:r>
      <w:r w:rsidR="00F24FE6" w:rsidRPr="0067507D">
        <w:t>.</w:t>
      </w:r>
      <w:r w:rsidRPr="0067507D">
        <w:t xml:space="preserve"> Danny Pearson MP commenced as </w:t>
      </w:r>
      <w:r w:rsidR="00672EFB" w:rsidRPr="0067507D">
        <w:t xml:space="preserve">Minister for Finance in December 2024. </w:t>
      </w:r>
    </w:p>
    <w:p w14:paraId="2433213B" w14:textId="77777777" w:rsidR="00F354CC" w:rsidRPr="0067507D" w:rsidRDefault="00F354CC" w:rsidP="00F354CC">
      <w:r w:rsidRPr="0067507D">
        <w:t>The Minister’s primary responsibilities are:</w:t>
      </w:r>
    </w:p>
    <w:p w14:paraId="242D1988" w14:textId="77777777" w:rsidR="00321FB2" w:rsidRPr="0067507D" w:rsidRDefault="00321FB2" w:rsidP="00655729">
      <w:pPr>
        <w:pStyle w:val="Bullet"/>
      </w:pPr>
      <w:r w:rsidRPr="0067507D">
        <w:t>the State’s financial reporting and accountability framework</w:t>
      </w:r>
    </w:p>
    <w:p w14:paraId="71393412" w14:textId="77777777" w:rsidR="00321FB2" w:rsidRPr="0067507D" w:rsidRDefault="00321FB2" w:rsidP="00655729">
      <w:pPr>
        <w:pStyle w:val="Bullet"/>
      </w:pPr>
      <w:r w:rsidRPr="0067507D">
        <w:t>whole of Victorian Government financial management and risk management frameworks</w:t>
      </w:r>
    </w:p>
    <w:p w14:paraId="3A8F8330" w14:textId="77777777" w:rsidR="00321FB2" w:rsidRPr="0067507D" w:rsidRDefault="00321FB2" w:rsidP="00655729">
      <w:pPr>
        <w:pStyle w:val="Bullet"/>
      </w:pPr>
      <w:r w:rsidRPr="0067507D">
        <w:t>overseeing superannuation policy for the State and oversight of the Emergency Services Superannuation Scheme</w:t>
      </w:r>
    </w:p>
    <w:p w14:paraId="2EA88A9A" w14:textId="77777777" w:rsidR="00321FB2" w:rsidRPr="0067507D" w:rsidRDefault="00321FB2" w:rsidP="00655729">
      <w:pPr>
        <w:pStyle w:val="Bullet"/>
      </w:pPr>
      <w:r w:rsidRPr="0067507D">
        <w:t>the Essential Services Commission, the independent economic regulator of the State’s essential services</w:t>
      </w:r>
    </w:p>
    <w:p w14:paraId="12D9F856" w14:textId="65CBEBF8" w:rsidR="00321FB2" w:rsidRPr="0067507D" w:rsidRDefault="00321FB2" w:rsidP="00655729">
      <w:pPr>
        <w:pStyle w:val="Bullet"/>
      </w:pPr>
      <w:r w:rsidRPr="0067507D">
        <w:t>the Registrar of housing agencies, who regulates Victoria’s registered community housing agencies</w:t>
      </w:r>
    </w:p>
    <w:p w14:paraId="76609FE3" w14:textId="41C334E7" w:rsidR="00834B32" w:rsidRPr="0067507D" w:rsidRDefault="00834B32" w:rsidP="00834B32">
      <w:pPr>
        <w:pStyle w:val="Bullet"/>
      </w:pPr>
      <w:r w:rsidRPr="0067507D">
        <w:rPr>
          <w:rFonts w:ascii="VIC" w:hAnsi="VIC"/>
        </w:rPr>
        <w:t>the Victorian Managed Insurance Authority, the Victorian Government’s insurer and risk adviser</w:t>
      </w:r>
    </w:p>
    <w:p w14:paraId="7B3BD876" w14:textId="7BB6F309" w:rsidR="32AF9FF4" w:rsidRPr="0067507D" w:rsidRDefault="00D966DF" w:rsidP="00655729">
      <w:pPr>
        <w:pStyle w:val="Bullet"/>
        <w:rPr>
          <w:rFonts w:ascii="VIC" w:hAnsi="VIC"/>
          <w:szCs w:val="17"/>
        </w:rPr>
      </w:pPr>
      <w:r w:rsidRPr="0067507D">
        <w:rPr>
          <w:rFonts w:ascii="VIC" w:hAnsi="VIC"/>
          <w:szCs w:val="17"/>
        </w:rPr>
        <w:t>o</w:t>
      </w:r>
      <w:r w:rsidR="32AF9FF4" w:rsidRPr="0067507D">
        <w:rPr>
          <w:rFonts w:ascii="VIC" w:hAnsi="VIC"/>
          <w:szCs w:val="17"/>
        </w:rPr>
        <w:t>verseeing regulatory reform across the whole of Victorian Government</w:t>
      </w:r>
      <w:r w:rsidR="00A14EB7" w:rsidRPr="0067507D">
        <w:rPr>
          <w:rFonts w:ascii="VIC" w:hAnsi="VIC"/>
          <w:szCs w:val="17"/>
        </w:rPr>
        <w:t>.</w:t>
      </w:r>
      <w:r w:rsidR="00831772" w:rsidRPr="0067507D" w:rsidDel="00831772">
        <w:rPr>
          <w:rFonts w:ascii="VIC" w:hAnsi="VIC"/>
          <w:szCs w:val="17"/>
          <w:highlight w:val="yellow"/>
        </w:rPr>
        <w:t xml:space="preserve"> </w:t>
      </w:r>
    </w:p>
    <w:p w14:paraId="2CE985C2" w14:textId="411C5D6C" w:rsidR="001F4F3A" w:rsidRPr="0067507D" w:rsidRDefault="00F354CC" w:rsidP="001F4F3A">
      <w:r w:rsidRPr="0067507D">
        <w:t xml:space="preserve">The </w:t>
      </w:r>
      <w:r w:rsidR="006719D8" w:rsidRPr="0067507D">
        <w:t>Minister for Finance</w:t>
      </w:r>
      <w:r w:rsidRPr="0067507D">
        <w:t xml:space="preserve"> is also Minister for </w:t>
      </w:r>
      <w:r w:rsidR="004A719D" w:rsidRPr="0067507D">
        <w:t xml:space="preserve">Economic Growth and Jobs. </w:t>
      </w:r>
    </w:p>
    <w:p w14:paraId="4F1752C0" w14:textId="77777777" w:rsidR="00FE2D95" w:rsidRPr="0067507D" w:rsidRDefault="00FE2D95" w:rsidP="001F4F3A"/>
    <w:p w14:paraId="20B81126" w14:textId="769ABCE7" w:rsidR="00B75021" w:rsidRPr="00866B9C" w:rsidRDefault="00B75021" w:rsidP="009F0381">
      <w:pPr>
        <w:pStyle w:val="Heading3"/>
        <w:rPr>
          <w:szCs w:val="22"/>
        </w:rPr>
      </w:pPr>
      <w:r w:rsidRPr="0067507D">
        <w:t xml:space="preserve">Minister for WorkSafe and the TAC </w:t>
      </w:r>
      <w:r w:rsidR="009F0381" w:rsidRPr="0067507D">
        <w:t>–</w:t>
      </w:r>
      <w:r w:rsidRPr="0067507D">
        <w:t xml:space="preserve"> Hon.</w:t>
      </w:r>
      <w:r w:rsidR="009F0381" w:rsidRPr="0067507D">
        <w:rPr>
          <w:rFonts w:ascii="Calibri" w:hAnsi="Calibri" w:cs="Calibri"/>
        </w:rPr>
        <w:t> </w:t>
      </w:r>
      <w:r w:rsidRPr="0067507D">
        <w:t>Ben Carroll MP</w:t>
      </w:r>
    </w:p>
    <w:p w14:paraId="62F14B81" w14:textId="77777777" w:rsidR="00B75021" w:rsidRPr="0067507D" w:rsidRDefault="00B75021" w:rsidP="00B75021">
      <w:r w:rsidRPr="0067507D">
        <w:t>The Hon. Ben Carroll MP commenced as Minister for WorkSafe and the TAC in December 2024.</w:t>
      </w:r>
    </w:p>
    <w:p w14:paraId="5DEA8A19" w14:textId="77777777" w:rsidR="00B75021" w:rsidRPr="0067507D" w:rsidRDefault="00B75021" w:rsidP="00B75021">
      <w:r w:rsidRPr="0067507D">
        <w:t>The Minister’s primary responsibilities include:</w:t>
      </w:r>
    </w:p>
    <w:p w14:paraId="09C0D30D" w14:textId="77777777" w:rsidR="00B75021" w:rsidRPr="0067507D" w:rsidRDefault="00B75021" w:rsidP="006E0B74">
      <w:pPr>
        <w:pStyle w:val="Bullet"/>
      </w:pPr>
      <w:r w:rsidRPr="0067507D">
        <w:t>overseeing Victoria’s workplace safety regulator and workers’ compensation scheme as delivered through WorkSafe Victoria</w:t>
      </w:r>
    </w:p>
    <w:p w14:paraId="56D767F8" w14:textId="1B8BF29B" w:rsidR="00F354CC" w:rsidRPr="0067507D" w:rsidRDefault="00B75021" w:rsidP="000F388A">
      <w:pPr>
        <w:pStyle w:val="Bullet"/>
      </w:pPr>
      <w:r w:rsidRPr="0067507D">
        <w:t>transport accident compensation delivered via the Transport Accident Commission.</w:t>
      </w:r>
    </w:p>
    <w:p w14:paraId="3F9550B8" w14:textId="6B8B245D" w:rsidR="00F354CC" w:rsidRPr="0067507D" w:rsidRDefault="000936A4" w:rsidP="00F354CC">
      <w:r w:rsidRPr="0067507D">
        <w:t xml:space="preserve">The Minister for WorkSafe and the TAC is </w:t>
      </w:r>
      <w:r w:rsidR="00FA0271" w:rsidRPr="0067507D">
        <w:t>also Deputy</w:t>
      </w:r>
      <w:r w:rsidR="001B0FAD">
        <w:rPr>
          <w:rFonts w:ascii="Calibri" w:hAnsi="Calibri" w:cs="Calibri"/>
        </w:rPr>
        <w:t> </w:t>
      </w:r>
      <w:r w:rsidR="00FA0271" w:rsidRPr="0067507D">
        <w:t>Premier and Minister for Education.</w:t>
      </w:r>
    </w:p>
    <w:p w14:paraId="78CE1860" w14:textId="570F4CD6" w:rsidR="00500E5E" w:rsidRPr="0067507D" w:rsidRDefault="00500E5E" w:rsidP="00F354CC">
      <w:pPr>
        <w:sectPr w:rsidR="00500E5E" w:rsidRPr="0067507D" w:rsidSect="00D16853">
          <w:type w:val="continuous"/>
          <w:pgSz w:w="11909" w:h="16834" w:code="9"/>
          <w:pgMar w:top="1728" w:right="1152" w:bottom="1152" w:left="1152" w:header="720" w:footer="288" w:gutter="0"/>
          <w:cols w:num="2" w:space="720"/>
          <w:noEndnote/>
        </w:sectPr>
      </w:pPr>
    </w:p>
    <w:p w14:paraId="158A0307" w14:textId="6759C154" w:rsidR="00F354CC" w:rsidRPr="0067507D" w:rsidRDefault="00F354CC" w:rsidP="00F354CC">
      <w:pPr>
        <w:pStyle w:val="Heading1a"/>
      </w:pPr>
      <w:r w:rsidRPr="0067507D">
        <w:lastRenderedPageBreak/>
        <w:t>Senior Executive</w:t>
      </w:r>
      <w:r w:rsidR="00F61E0E" w:rsidRPr="0067507D">
        <w:t>s</w:t>
      </w:r>
    </w:p>
    <w:p w14:paraId="4DE30E91" w14:textId="05F8712E" w:rsidR="00EB7E40" w:rsidRPr="0067507D" w:rsidRDefault="00F354CC" w:rsidP="00F354CC">
      <w:pPr>
        <w:rPr>
          <w:i/>
        </w:rPr>
      </w:pPr>
      <w:r w:rsidRPr="0067507D">
        <w:t xml:space="preserve">DTF is managed by the </w:t>
      </w:r>
      <w:r w:rsidR="00F61E0E" w:rsidRPr="0067507D">
        <w:t>DTF Board,</w:t>
      </w:r>
      <w:r w:rsidRPr="0067507D">
        <w:t xml:space="preserve"> which comprises the </w:t>
      </w:r>
      <w:r w:rsidR="00FF249B" w:rsidRPr="0067507D">
        <w:t>Senior Executive Group (SEG)</w:t>
      </w:r>
      <w:r w:rsidR="00296092" w:rsidRPr="0067507D">
        <w:t xml:space="preserve">, </w:t>
      </w:r>
      <w:r w:rsidR="00591C74" w:rsidRPr="0067507D">
        <w:t xml:space="preserve">and </w:t>
      </w:r>
      <w:r w:rsidR="00A1571F" w:rsidRPr="0067507D">
        <w:t xml:space="preserve">DTF </w:t>
      </w:r>
      <w:r w:rsidR="003D148F" w:rsidRPr="0067507D">
        <w:t>General Counsel</w:t>
      </w:r>
      <w:r w:rsidR="00EB4FC2" w:rsidRPr="0067507D">
        <w:t xml:space="preserve">. </w:t>
      </w:r>
      <w:r w:rsidRPr="0067507D">
        <w:t xml:space="preserve">Collectively, </w:t>
      </w:r>
      <w:r w:rsidR="00A02DD3" w:rsidRPr="0067507D">
        <w:t xml:space="preserve">the DTF Board </w:t>
      </w:r>
      <w:r w:rsidRPr="0067507D">
        <w:t xml:space="preserve">has significant public and private sector management experience in the areas of economics, finance, </w:t>
      </w:r>
      <w:r w:rsidR="00901CE8" w:rsidRPr="0067507D">
        <w:t xml:space="preserve">law, </w:t>
      </w:r>
      <w:r w:rsidRPr="0067507D">
        <w:t xml:space="preserve">commercial risk management, </w:t>
      </w:r>
      <w:r w:rsidR="00DA0B64" w:rsidRPr="0067507D">
        <w:t xml:space="preserve">infrastructure, </w:t>
      </w:r>
      <w:r w:rsidR="00901CE8" w:rsidRPr="0067507D">
        <w:t xml:space="preserve">industrial relations, </w:t>
      </w:r>
      <w:r w:rsidRPr="0067507D">
        <w:t>people management and technology.</w:t>
      </w:r>
    </w:p>
    <w:p w14:paraId="06E88C6B" w14:textId="77777777" w:rsidR="00F354CC" w:rsidRPr="0067507D" w:rsidRDefault="00F354CC" w:rsidP="00F354CC">
      <w:pPr>
        <w:sectPr w:rsidR="00F354CC" w:rsidRPr="0067507D" w:rsidSect="00D16853">
          <w:footerReference w:type="default" r:id="rId26"/>
          <w:pgSz w:w="11909" w:h="16834" w:code="9"/>
          <w:pgMar w:top="1728" w:right="1152" w:bottom="1152" w:left="1152" w:header="720" w:footer="288" w:gutter="0"/>
          <w:cols w:space="720"/>
          <w:noEndnote/>
        </w:sectPr>
      </w:pPr>
    </w:p>
    <w:p w14:paraId="0DB85540" w14:textId="7A376654" w:rsidR="006D6320" w:rsidRPr="0067507D" w:rsidRDefault="006D6320" w:rsidP="005670D7">
      <w:pPr>
        <w:pStyle w:val="Heading2"/>
        <w:spacing w:before="240"/>
      </w:pPr>
      <w:r w:rsidRPr="0067507D">
        <w:t xml:space="preserve">Senior Executive Group </w:t>
      </w:r>
    </w:p>
    <w:p w14:paraId="26EB2DE2" w14:textId="77777777" w:rsidR="00A80B2B" w:rsidRPr="0067507D" w:rsidRDefault="00A80B2B" w:rsidP="00F354CC">
      <w:pPr>
        <w:pStyle w:val="Heading3"/>
        <w:sectPr w:rsidR="00A80B2B" w:rsidRPr="0067507D" w:rsidSect="00EB7E40">
          <w:footerReference w:type="even" r:id="rId27"/>
          <w:footerReference w:type="default" r:id="rId28"/>
          <w:type w:val="continuous"/>
          <w:pgSz w:w="11909" w:h="16834" w:code="9"/>
          <w:pgMar w:top="1728" w:right="1152" w:bottom="1152" w:left="1152" w:header="720" w:footer="288" w:gutter="0"/>
          <w:cols w:num="2" w:space="720"/>
          <w:noEndnote/>
        </w:sectPr>
      </w:pPr>
    </w:p>
    <w:p w14:paraId="225FA5B0" w14:textId="380AB46C" w:rsidR="00F354CC" w:rsidRPr="0067507D" w:rsidRDefault="00C149B0" w:rsidP="00F354CC">
      <w:pPr>
        <w:pStyle w:val="Heading3"/>
      </w:pPr>
      <w:r w:rsidRPr="0067507D">
        <w:t>Chris Barrett</w:t>
      </w:r>
    </w:p>
    <w:p w14:paraId="4A6408FC" w14:textId="77777777" w:rsidR="00F354CC" w:rsidRPr="0067507D" w:rsidRDefault="00F354CC" w:rsidP="00F354CC">
      <w:pPr>
        <w:pStyle w:val="Heading5"/>
        <w:spacing w:after="80"/>
      </w:pPr>
      <w:r w:rsidRPr="0067507D">
        <w:t>Secretary, DTF</w:t>
      </w:r>
    </w:p>
    <w:p w14:paraId="3B7DAD1C" w14:textId="45BE017F" w:rsidR="00115370" w:rsidRPr="0067507D" w:rsidRDefault="00B627F1" w:rsidP="00115370">
      <w:r w:rsidRPr="0067507D">
        <w:t xml:space="preserve">Chris leads the Department in its role of providing economic, financial and resource management policy advice to the Government. </w:t>
      </w:r>
      <w:r w:rsidR="00115370" w:rsidRPr="0067507D">
        <w:t>Chris commenced as DTF Secretary in December 2023.</w:t>
      </w:r>
    </w:p>
    <w:p w14:paraId="073BEEFC" w14:textId="7641E2C6" w:rsidR="00115370" w:rsidRPr="0067507D" w:rsidRDefault="00115370" w:rsidP="00115370">
      <w:r w:rsidRPr="0067507D">
        <w:t>Chris joined DTF as Deputy Secretary of the Economic Division in January 2021. Chris was responsible for the provision of high</w:t>
      </w:r>
      <w:r w:rsidR="006A5485">
        <w:noBreakHyphen/>
      </w:r>
      <w:r w:rsidRPr="0067507D">
        <w:t>level economic and policy advice to the Government on productivity, taxation and regulation, along with social, environmental, and economic development issues.</w:t>
      </w:r>
    </w:p>
    <w:p w14:paraId="7871F51E" w14:textId="67C379B9" w:rsidR="00115370" w:rsidRPr="0067507D" w:rsidRDefault="00115370" w:rsidP="00115370">
      <w:r w:rsidRPr="0067507D">
        <w:t>Before this, Chris was the CEO of Invest Victoria, and led both the Victorian Government’s approach to investment attraction and the Economic Recovery Mission in response to coronavirus (COVID</w:t>
      </w:r>
      <w:r w:rsidR="006A5485">
        <w:noBreakHyphen/>
      </w:r>
      <w:r w:rsidRPr="0067507D">
        <w:t>19).</w:t>
      </w:r>
    </w:p>
    <w:p w14:paraId="04F13608" w14:textId="0EFF9F70" w:rsidR="00115370" w:rsidRPr="0067507D" w:rsidRDefault="00115370" w:rsidP="00115370">
      <w:r w:rsidRPr="0067507D">
        <w:t>In 2011, Chris was appointed Australian Ambassador to the Organisation for Economic Cooperation and Development (OECD) in Paris, where he led Australia’s engagement with the OECD and contributed to global best</w:t>
      </w:r>
      <w:r w:rsidR="006A5485">
        <w:noBreakHyphen/>
      </w:r>
      <w:r w:rsidRPr="0067507D">
        <w:t>practice public policy. Following on from his role with the OECD, Chris spent four years with the European Climate Foundation in Berlin, as Executive Director, Finance and Economics.</w:t>
      </w:r>
    </w:p>
    <w:p w14:paraId="34B2776C" w14:textId="77777777" w:rsidR="00115370" w:rsidRPr="0067507D" w:rsidRDefault="00115370" w:rsidP="00115370">
      <w:r w:rsidRPr="0067507D">
        <w:t>Chris has more than two decades of experience in public service and public policy, within Australian governments at state and federal level as well as internationally.</w:t>
      </w:r>
    </w:p>
    <w:p w14:paraId="2B0D1A8D" w14:textId="7A2F2DE4" w:rsidR="1D40873F" w:rsidRPr="0067507D" w:rsidRDefault="1D40873F" w:rsidP="006122FE"/>
    <w:p w14:paraId="222B0747" w14:textId="5A7B447C" w:rsidR="00F354CC" w:rsidRPr="0067507D" w:rsidRDefault="00271246" w:rsidP="00271246">
      <w:pPr>
        <w:pStyle w:val="Heading3"/>
      </w:pPr>
      <w:r w:rsidRPr="0067507D">
        <w:t>Chris Hotham</w:t>
      </w:r>
    </w:p>
    <w:p w14:paraId="67C2F48D" w14:textId="77777777" w:rsidR="00F354CC" w:rsidRPr="0067507D" w:rsidRDefault="00F354CC" w:rsidP="00F354CC">
      <w:pPr>
        <w:pStyle w:val="Heading5"/>
        <w:spacing w:after="80"/>
      </w:pPr>
      <w:r w:rsidRPr="0067507D">
        <w:t>Deputy Secretary, Budget and Finance Division</w:t>
      </w:r>
    </w:p>
    <w:p w14:paraId="494C4438" w14:textId="55051EB6" w:rsidR="000B76BF" w:rsidRPr="0067507D" w:rsidRDefault="003054B5" w:rsidP="0089632A">
      <w:r w:rsidRPr="0067507D">
        <w:t xml:space="preserve">Chris commenced as Deputy Secretary of the Budget and Finance Division in January 2024. Prior to joining DTF, Chris was with the Department of Health, where he was Deputy Secretary of the Infrastructure Division responsible for the Victorian Health Building Authority (VHBA). </w:t>
      </w:r>
    </w:p>
    <w:p w14:paraId="3CCD137F" w14:textId="7141881C" w:rsidR="00A32750" w:rsidRPr="0067507D" w:rsidRDefault="00A32750" w:rsidP="0089632A">
      <w:r w:rsidRPr="0067507D">
        <w:t xml:space="preserve">Prior to this he held senior leadership roles in housing during the early phases of the Big Build. </w:t>
      </w:r>
    </w:p>
    <w:p w14:paraId="12154D46" w14:textId="78363E2C" w:rsidR="003054B5" w:rsidRPr="0067507D" w:rsidRDefault="003054B5" w:rsidP="0089632A">
      <w:r w:rsidRPr="0067507D">
        <w:t xml:space="preserve">Before his time </w:t>
      </w:r>
      <w:r w:rsidR="0028728B" w:rsidRPr="0067507D">
        <w:t>in infrastructure</w:t>
      </w:r>
      <w:r w:rsidR="006A5485">
        <w:noBreakHyphen/>
      </w:r>
      <w:r w:rsidR="0028728B" w:rsidRPr="0067507D">
        <w:t>related roles</w:t>
      </w:r>
      <w:r w:rsidRPr="0067507D">
        <w:t>, Chris spent over 10 years with the Department of Premier and Cabinet</w:t>
      </w:r>
      <w:r w:rsidR="005968B3" w:rsidRPr="0067507D">
        <w:t xml:space="preserve"> (DPC)</w:t>
      </w:r>
      <w:r w:rsidRPr="0067507D">
        <w:t xml:space="preserve">, where he held several leadership roles, </w:t>
      </w:r>
      <w:r w:rsidR="00270859" w:rsidRPr="0067507D">
        <w:t>predominantly in climate policy working on emissions trading and the climate legislation. His time in DPC culminated in</w:t>
      </w:r>
      <w:r w:rsidRPr="0067507D">
        <w:t xml:space="preserve"> </w:t>
      </w:r>
      <w:r w:rsidR="0027555D" w:rsidRPr="0067507D">
        <w:t>his role as</w:t>
      </w:r>
      <w:r w:rsidRPr="0067507D">
        <w:t xml:space="preserve"> Executive Director of Economic Strategy</w:t>
      </w:r>
      <w:r w:rsidR="00CA0738" w:rsidRPr="0067507D">
        <w:t>,</w:t>
      </w:r>
      <w:r w:rsidRPr="0067507D">
        <w:t xml:space="preserve"> in which capacity he led DPC’s contribution to the budget process.</w:t>
      </w:r>
    </w:p>
    <w:p w14:paraId="747D135E" w14:textId="0E5A660F" w:rsidR="00F354CC" w:rsidRPr="0067507D" w:rsidRDefault="00F354CC" w:rsidP="0089632A"/>
    <w:p w14:paraId="6193062A" w14:textId="7E4EB01D" w:rsidR="325F8F1D" w:rsidRPr="0067507D" w:rsidRDefault="005D5829" w:rsidP="00274B20">
      <w:pPr>
        <w:pStyle w:val="Heading3"/>
      </w:pPr>
      <w:r w:rsidRPr="0067507D">
        <w:t>Camille Kingston</w:t>
      </w:r>
    </w:p>
    <w:p w14:paraId="30CDA04F" w14:textId="3D0A11DC" w:rsidR="006F1A16" w:rsidRPr="0067507D" w:rsidRDefault="006F1A16" w:rsidP="00C70F92">
      <w:pPr>
        <w:pStyle w:val="Heading5"/>
        <w:spacing w:after="80"/>
      </w:pPr>
      <w:bookmarkStart w:id="6" w:name="_Hlk167697948"/>
      <w:r w:rsidRPr="0067507D">
        <w:t>Deputy Secretary, Commercial Division</w:t>
      </w:r>
    </w:p>
    <w:bookmarkEnd w:id="6"/>
    <w:p w14:paraId="4D55C7B1" w14:textId="3A5D92AA" w:rsidR="00274B20" w:rsidRPr="0067507D" w:rsidRDefault="21E26284" w:rsidP="00B2009F">
      <w:pPr>
        <w:ind w:right="122"/>
      </w:pPr>
      <w:r w:rsidRPr="0067507D">
        <w:t xml:space="preserve">Camille commenced as Deputy Secretary of the Commercial Division in January 2024. Prior to joining DTF, Camille was with the Department of Families, Fairness and Housing as Deputy Secretary, System Reform and Workforce. </w:t>
      </w:r>
      <w:r w:rsidR="005E72E8" w:rsidRPr="0067507D">
        <w:t>Camille</w:t>
      </w:r>
      <w:r w:rsidRPr="0067507D">
        <w:t xml:space="preserve"> has also spent time in leadership roles with the Australian Federal Police and the Department of Justice and Community Safety, and prior to that was the Executive Director of the Strategy and Reform Group in DTF’s Economic Division.</w:t>
      </w:r>
    </w:p>
    <w:p w14:paraId="3D3EA301" w14:textId="0E5B9248" w:rsidR="00274B20" w:rsidRPr="0067507D" w:rsidRDefault="00274B20" w:rsidP="00274B20"/>
    <w:p w14:paraId="6141195E" w14:textId="797A3657" w:rsidR="00274B20" w:rsidRPr="0067507D" w:rsidRDefault="00274B20" w:rsidP="00274B20">
      <w:pPr>
        <w:pStyle w:val="Heading3"/>
      </w:pPr>
      <w:r w:rsidRPr="0067507D">
        <w:t>Paul Donegan</w:t>
      </w:r>
    </w:p>
    <w:p w14:paraId="34C3EDA4" w14:textId="0C6CFD69" w:rsidR="00274B20" w:rsidRPr="0067507D" w:rsidRDefault="00274B20" w:rsidP="00274B20">
      <w:pPr>
        <w:pStyle w:val="Heading5"/>
        <w:spacing w:after="80"/>
      </w:pPr>
      <w:r w:rsidRPr="0067507D">
        <w:t>Deputy Secretary, Economic Division</w:t>
      </w:r>
    </w:p>
    <w:p w14:paraId="75274666" w14:textId="7846E1F1" w:rsidR="00926C0A" w:rsidRPr="0067507D" w:rsidRDefault="001F25FC" w:rsidP="001F25FC">
      <w:r w:rsidRPr="0067507D">
        <w:t>Paul first joined DTF in 2016. Before starting as Deputy Secretary</w:t>
      </w:r>
      <w:r w:rsidR="00344FA7" w:rsidRPr="0067507D">
        <w:t xml:space="preserve"> </w:t>
      </w:r>
      <w:r w:rsidR="009E5C81" w:rsidRPr="0067507D">
        <w:t xml:space="preserve">of the Economic Division </w:t>
      </w:r>
      <w:r w:rsidR="00344FA7" w:rsidRPr="0067507D">
        <w:t xml:space="preserve">in </w:t>
      </w:r>
      <w:r w:rsidR="007E6C25" w:rsidRPr="0067507D">
        <w:t>December 2023</w:t>
      </w:r>
      <w:r w:rsidRPr="0067507D">
        <w:t>, Paul was the Executive Director of DTF’s Economic Group, and prior to that</w:t>
      </w:r>
      <w:r w:rsidR="00F22747" w:rsidRPr="0067507D">
        <w:t xml:space="preserve"> was the</w:t>
      </w:r>
      <w:r w:rsidRPr="0067507D">
        <w:t xml:space="preserve"> Director of Portfolio Analysis.</w:t>
      </w:r>
    </w:p>
    <w:p w14:paraId="7ACDA4FB" w14:textId="10147D49" w:rsidR="00714370" w:rsidRPr="0067507D" w:rsidRDefault="00CD14DD" w:rsidP="00B2009F">
      <w:pPr>
        <w:ind w:right="32"/>
      </w:pPr>
      <w:r w:rsidRPr="0067507D">
        <w:t>Paul</w:t>
      </w:r>
      <w:r w:rsidR="001F25FC" w:rsidRPr="0067507D">
        <w:t xml:space="preserve"> has </w:t>
      </w:r>
      <w:r w:rsidR="00710777" w:rsidRPr="0067507D">
        <w:t xml:space="preserve">experience </w:t>
      </w:r>
      <w:r w:rsidR="001F25FC" w:rsidRPr="0067507D">
        <w:t>addressing significant economic challenges</w:t>
      </w:r>
      <w:r w:rsidR="00710777" w:rsidRPr="0067507D">
        <w:t xml:space="preserve"> </w:t>
      </w:r>
      <w:r w:rsidR="001F25FC" w:rsidRPr="0067507D">
        <w:t xml:space="preserve">across </w:t>
      </w:r>
      <w:r w:rsidR="00926C0A" w:rsidRPr="0067507D">
        <w:t>a variety of roles, including at the Department of Premier and Cabinet, Department of the Prime Minister and Cabinet, and the Grattan Institute</w:t>
      </w:r>
      <w:r w:rsidR="001F25FC" w:rsidRPr="0067507D">
        <w:t>.</w:t>
      </w:r>
    </w:p>
    <w:p w14:paraId="45F435F2" w14:textId="77777777" w:rsidR="008F4EC1" w:rsidRPr="0067507D" w:rsidRDefault="008F4EC1" w:rsidP="00274B20"/>
    <w:p w14:paraId="79C13413" w14:textId="7363E930" w:rsidR="008F4EC1" w:rsidRPr="0067507D" w:rsidRDefault="008F4EC1" w:rsidP="00D741DE">
      <w:pPr>
        <w:pStyle w:val="Heading3"/>
      </w:pPr>
      <w:r w:rsidRPr="0067507D">
        <w:lastRenderedPageBreak/>
        <w:t>Kate O’Sullivan</w:t>
      </w:r>
    </w:p>
    <w:p w14:paraId="7F4C51C5" w14:textId="6822BF4C" w:rsidR="00D741DE" w:rsidRPr="0067507D" w:rsidRDefault="008F4EC1" w:rsidP="00FF47CD">
      <w:pPr>
        <w:pStyle w:val="Heading5"/>
        <w:spacing w:after="80"/>
      </w:pPr>
      <w:r w:rsidRPr="0067507D">
        <w:rPr>
          <w:szCs w:val="18"/>
        </w:rPr>
        <w:t>Deputy Secretary, Infrastructure Division</w:t>
      </w:r>
    </w:p>
    <w:p w14:paraId="7351AF94" w14:textId="6CC49634" w:rsidR="00804093" w:rsidRPr="0067507D" w:rsidRDefault="00615071" w:rsidP="00714370">
      <w:r w:rsidRPr="0067507D">
        <w:t xml:space="preserve">Kate </w:t>
      </w:r>
      <w:r w:rsidR="00344FA7" w:rsidRPr="0067507D">
        <w:t xml:space="preserve">commenced as Deputy Secretary </w:t>
      </w:r>
      <w:r w:rsidR="00A87C56" w:rsidRPr="0067507D">
        <w:t>of the</w:t>
      </w:r>
      <w:r w:rsidR="000F2008" w:rsidRPr="0067507D">
        <w:t xml:space="preserve"> new</w:t>
      </w:r>
      <w:r w:rsidR="00A87C56" w:rsidRPr="0067507D">
        <w:t xml:space="preserve"> Infrastructure Div</w:t>
      </w:r>
      <w:r w:rsidR="00DA327E" w:rsidRPr="0067507D">
        <w:t xml:space="preserve">ision in </w:t>
      </w:r>
      <w:r w:rsidR="000A4E1D" w:rsidRPr="0067507D">
        <w:t>January 2024</w:t>
      </w:r>
      <w:r w:rsidR="00277726" w:rsidRPr="0067507D">
        <w:t>. She</w:t>
      </w:r>
      <w:r w:rsidRPr="0067507D">
        <w:t xml:space="preserve"> has experience in public policy and infrastructure procurement and contracting</w:t>
      </w:r>
      <w:r w:rsidR="00717244" w:rsidRPr="0067507D">
        <w:t>,</w:t>
      </w:r>
      <w:r w:rsidRPr="0067507D">
        <w:t xml:space="preserve"> at both </w:t>
      </w:r>
      <w:r w:rsidR="004B3765" w:rsidRPr="0067507D">
        <w:t>s</w:t>
      </w:r>
      <w:r w:rsidR="00C07C5C" w:rsidRPr="0067507D">
        <w:t>tate</w:t>
      </w:r>
      <w:r w:rsidRPr="0067507D">
        <w:t xml:space="preserve"> and </w:t>
      </w:r>
      <w:r w:rsidR="004B3765" w:rsidRPr="0067507D">
        <w:t>f</w:t>
      </w:r>
      <w:r w:rsidR="00C07C5C" w:rsidRPr="0067507D">
        <w:t xml:space="preserve">ederal </w:t>
      </w:r>
      <w:r w:rsidR="004B3765" w:rsidRPr="0067507D">
        <w:t>g</w:t>
      </w:r>
      <w:r w:rsidRPr="0067507D">
        <w:t>overnment levels</w:t>
      </w:r>
      <w:r w:rsidR="00CF5908" w:rsidRPr="0067507D">
        <w:t>, and</w:t>
      </w:r>
      <w:r w:rsidR="00C424C7" w:rsidRPr="0067507D">
        <w:t xml:space="preserve"> </w:t>
      </w:r>
      <w:r w:rsidRPr="0067507D">
        <w:t>is responsible for providing assurance advice on infrastructure projects throughout all phases of development and implementation. This includes leading the division to produce advice on the capital budget, whole of government policy frameworks and guidance relating to infrastructure, data analysis and strategic research and insights relevant to the sector.</w:t>
      </w:r>
    </w:p>
    <w:p w14:paraId="77FAF05E" w14:textId="77777777" w:rsidR="00C87AF2" w:rsidRPr="0067507D" w:rsidRDefault="00C87AF2" w:rsidP="00714370"/>
    <w:p w14:paraId="0391BBA0" w14:textId="76D8D75C" w:rsidR="00D741DE" w:rsidRPr="0067507D" w:rsidRDefault="00D741DE" w:rsidP="00D741DE">
      <w:pPr>
        <w:pStyle w:val="Heading3"/>
      </w:pPr>
      <w:r w:rsidRPr="0067507D">
        <w:t>Matt O’Connor</w:t>
      </w:r>
    </w:p>
    <w:p w14:paraId="350CBD94" w14:textId="671D4AEF" w:rsidR="00D741DE" w:rsidRPr="0067507D" w:rsidRDefault="00D741DE" w:rsidP="00D741DE">
      <w:pPr>
        <w:pStyle w:val="Heading5"/>
        <w:spacing w:after="80"/>
      </w:pPr>
      <w:r w:rsidRPr="0067507D">
        <w:t>Deputy Secretary, Industrial Relations Victoria</w:t>
      </w:r>
    </w:p>
    <w:p w14:paraId="0C067F0D" w14:textId="77777777" w:rsidR="00EE0421" w:rsidRPr="0067507D" w:rsidRDefault="00EE0421" w:rsidP="00A850B7">
      <w:pPr>
        <w:keepNext/>
      </w:pPr>
      <w:r w:rsidRPr="0067507D">
        <w:t xml:space="preserve">Matt O’Connor was appointed as the Deputy Secretary of Industrial Relations Victoria in April 2015. </w:t>
      </w:r>
    </w:p>
    <w:p w14:paraId="19E49B55" w14:textId="09451C6F" w:rsidR="00EE0421" w:rsidRPr="0067507D" w:rsidRDefault="00EE0421" w:rsidP="00EE0421">
      <w:r w:rsidRPr="0067507D">
        <w:t>Matt has led the implementation of the public sector industrial relations bargaining strategy for several years and</w:t>
      </w:r>
      <w:r w:rsidR="009B2467" w:rsidRPr="0067507D">
        <w:t xml:space="preserve"> has </w:t>
      </w:r>
      <w:r w:rsidRPr="0067507D">
        <w:t xml:space="preserve">played a pivotal role in </w:t>
      </w:r>
      <w:r w:rsidR="00E752A5" w:rsidRPr="0067507D">
        <w:t xml:space="preserve">the </w:t>
      </w:r>
      <w:r w:rsidRPr="0067507D">
        <w:t>review</w:t>
      </w:r>
      <w:r w:rsidR="00E752A5" w:rsidRPr="0067507D">
        <w:t xml:space="preserve"> and application of</w:t>
      </w:r>
      <w:r w:rsidRPr="0067507D">
        <w:t xml:space="preserve"> Victorian public sector wages polic</w:t>
      </w:r>
      <w:r w:rsidR="00D76ABF" w:rsidRPr="0067507D">
        <w:t>ies</w:t>
      </w:r>
      <w:r w:rsidRPr="0067507D">
        <w:t>.</w:t>
      </w:r>
    </w:p>
    <w:p w14:paraId="7A749143" w14:textId="791A2897" w:rsidR="00EE0421" w:rsidRPr="0067507D" w:rsidRDefault="00EE0421" w:rsidP="00EE0421">
      <w:r w:rsidRPr="0067507D">
        <w:t xml:space="preserve">He has overseen the development of significant industrial relations legislative policy reforms including labour hire </w:t>
      </w:r>
      <w:r w:rsidR="003A7BDE" w:rsidRPr="0067507D">
        <w:t>regulation</w:t>
      </w:r>
      <w:r w:rsidRPr="0067507D">
        <w:t>, long service leave, child employment, wage theft and the gig economy.</w:t>
      </w:r>
    </w:p>
    <w:p w14:paraId="33BB40D7" w14:textId="26CA785E" w:rsidR="00EE0421" w:rsidRPr="0067507D" w:rsidRDefault="00EE0421" w:rsidP="00A13B42">
      <w:pPr>
        <w:ind w:right="-94"/>
      </w:pPr>
      <w:r w:rsidRPr="0067507D">
        <w:t xml:space="preserve">Matt has also overseen the </w:t>
      </w:r>
      <w:r w:rsidR="000D0CFA" w:rsidRPr="0067507D">
        <w:t>G</w:t>
      </w:r>
      <w:r w:rsidRPr="0067507D">
        <w:t xml:space="preserve">overnment’s participation in significant legal proceedings in the Fair Work Commission, advocating for increases to the national minimum wage and award rates, the introduction of paid family and domestic violence leave, and </w:t>
      </w:r>
      <w:r w:rsidR="00DD1E4D" w:rsidRPr="0067507D">
        <w:t>revie</w:t>
      </w:r>
      <w:r w:rsidR="002125BB" w:rsidRPr="0067507D">
        <w:t>ws of</w:t>
      </w:r>
      <w:r w:rsidR="005F62FC" w:rsidRPr="0067507D">
        <w:t xml:space="preserve"> award rates</w:t>
      </w:r>
      <w:r w:rsidR="002125BB" w:rsidRPr="0067507D">
        <w:t xml:space="preserve"> that have been the subject of gender undervaluation</w:t>
      </w:r>
      <w:r w:rsidRPr="0067507D">
        <w:t xml:space="preserve">. He has represented the Victorian Government in consultations with the Commonwealth Government on federal industrial relations legislative proposals including amendments to the </w:t>
      </w:r>
      <w:r w:rsidRPr="0067507D">
        <w:rPr>
          <w:i/>
        </w:rPr>
        <w:t>Fair Work Act</w:t>
      </w:r>
      <w:r w:rsidR="00804093" w:rsidRPr="0067507D">
        <w:rPr>
          <w:rFonts w:ascii="Calibri" w:hAnsi="Calibri" w:cs="Calibri"/>
          <w:i/>
        </w:rPr>
        <w:t> </w:t>
      </w:r>
      <w:r w:rsidRPr="0067507D">
        <w:rPr>
          <w:i/>
        </w:rPr>
        <w:t>2009</w:t>
      </w:r>
      <w:r w:rsidRPr="0067507D">
        <w:t>.</w:t>
      </w:r>
    </w:p>
    <w:p w14:paraId="3DEF1E6B" w14:textId="77777777" w:rsidR="00F85214" w:rsidRPr="0067507D" w:rsidRDefault="00F85214" w:rsidP="0089632A"/>
    <w:p w14:paraId="3FD0D0CB" w14:textId="09D9EC4B" w:rsidR="000760F2" w:rsidRPr="00866B9C" w:rsidRDefault="00804093" w:rsidP="00A850B7">
      <w:pPr>
        <w:pStyle w:val="Heading2"/>
        <w:rPr>
          <w:sz w:val="22"/>
          <w:szCs w:val="22"/>
          <w:shd w:val="clear" w:color="auto" w:fill="FFFFFF"/>
        </w:rPr>
      </w:pPr>
      <w:r w:rsidRPr="0067507D">
        <w:br w:type="column"/>
      </w:r>
      <w:r w:rsidR="000760F2" w:rsidRPr="0067507D">
        <w:t>Non</w:t>
      </w:r>
      <w:r w:rsidR="006A5485">
        <w:noBreakHyphen/>
      </w:r>
      <w:r w:rsidR="00EC1231" w:rsidRPr="0067507D">
        <w:t>Senior Executive</w:t>
      </w:r>
      <w:r w:rsidR="000760F2" w:rsidRPr="0067507D">
        <w:t xml:space="preserve"> Board</w:t>
      </w:r>
      <w:r w:rsidR="000760F2" w:rsidRPr="00866B9C">
        <w:rPr>
          <w:sz w:val="22"/>
          <w:szCs w:val="22"/>
          <w:shd w:val="clear" w:color="auto" w:fill="FFFFFF"/>
        </w:rPr>
        <w:t xml:space="preserve"> </w:t>
      </w:r>
      <w:r w:rsidR="000760F2" w:rsidRPr="0067507D">
        <w:rPr>
          <w:sz w:val="22"/>
          <w:szCs w:val="22"/>
          <w:shd w:val="clear" w:color="auto" w:fill="FFFFFF"/>
        </w:rPr>
        <w:t>Members</w:t>
      </w:r>
    </w:p>
    <w:p w14:paraId="5B5F904B" w14:textId="2E12C2DF" w:rsidR="00F85214" w:rsidRPr="0067507D" w:rsidRDefault="00F85214" w:rsidP="00F85214">
      <w:pPr>
        <w:pStyle w:val="Heading3"/>
        <w:rPr>
          <w:shd w:val="clear" w:color="auto" w:fill="FFFFFF"/>
        </w:rPr>
      </w:pPr>
      <w:r w:rsidRPr="0067507D">
        <w:rPr>
          <w:shd w:val="clear" w:color="auto" w:fill="FFFFFF"/>
        </w:rPr>
        <w:t>Agata Bober</w:t>
      </w:r>
    </w:p>
    <w:p w14:paraId="04619B9D" w14:textId="77777777" w:rsidR="00654B9F" w:rsidRPr="0067507D" w:rsidRDefault="00F85214" w:rsidP="00F85214">
      <w:pPr>
        <w:pStyle w:val="Heading5"/>
        <w:rPr>
          <w:shd w:val="clear" w:color="auto" w:fill="FFFFFF"/>
        </w:rPr>
      </w:pPr>
      <w:r w:rsidRPr="0067507D">
        <w:rPr>
          <w:shd w:val="clear" w:color="auto" w:fill="FFFFFF"/>
        </w:rPr>
        <w:t>DTF General Counsel</w:t>
      </w:r>
    </w:p>
    <w:p w14:paraId="025696F0" w14:textId="3C60BA1B" w:rsidR="0021065B" w:rsidRPr="0067507D" w:rsidRDefault="00513D65" w:rsidP="0089632A">
      <w:pPr>
        <w:rPr>
          <w:shd w:val="clear" w:color="auto" w:fill="FFFFFF"/>
        </w:rPr>
      </w:pPr>
      <w:r w:rsidRPr="0067507D">
        <w:rPr>
          <w:shd w:val="clear" w:color="auto" w:fill="FFFFFF"/>
        </w:rPr>
        <w:t>Agata is the Department</w:t>
      </w:r>
      <w:r w:rsidR="007E535D" w:rsidRPr="0067507D">
        <w:rPr>
          <w:shd w:val="clear" w:color="auto" w:fill="FFFFFF"/>
        </w:rPr>
        <w:t>’</w:t>
      </w:r>
      <w:r w:rsidRPr="0067507D">
        <w:rPr>
          <w:shd w:val="clear" w:color="auto" w:fill="FFFFFF"/>
        </w:rPr>
        <w:t>s most senior lawyer, leading the DTF Legal</w:t>
      </w:r>
      <w:r w:rsidR="1B7DA03E" w:rsidRPr="0067507D">
        <w:t xml:space="preserve">, </w:t>
      </w:r>
      <w:r w:rsidRPr="0067507D">
        <w:t xml:space="preserve">FOI </w:t>
      </w:r>
      <w:r w:rsidR="2943C22C" w:rsidRPr="0067507D">
        <w:t>and Operations</w:t>
      </w:r>
      <w:r w:rsidR="5FD96ACB" w:rsidRPr="0067507D">
        <w:t xml:space="preserve"> </w:t>
      </w:r>
      <w:r w:rsidRPr="0067507D">
        <w:t>team</w:t>
      </w:r>
      <w:r w:rsidR="00A6510C" w:rsidRPr="0067507D">
        <w:t>s</w:t>
      </w:r>
      <w:r w:rsidRPr="0067507D">
        <w:rPr>
          <w:shd w:val="clear" w:color="auto" w:fill="FFFFFF"/>
        </w:rPr>
        <w:t xml:space="preserve">. </w:t>
      </w:r>
      <w:r w:rsidR="0021065B" w:rsidRPr="0067507D">
        <w:rPr>
          <w:shd w:val="clear" w:color="auto" w:fill="FFFFFF"/>
        </w:rPr>
        <w:t xml:space="preserve">Agata was also the Deputy Chief of the Department’s Internal Procurement Unit for four years and now </w:t>
      </w:r>
      <w:r w:rsidR="00D529AF" w:rsidRPr="0067507D">
        <w:rPr>
          <w:shd w:val="clear" w:color="auto" w:fill="FFFFFF"/>
        </w:rPr>
        <w:t>represents DTF</w:t>
      </w:r>
      <w:r w:rsidR="0021065B" w:rsidRPr="0067507D">
        <w:rPr>
          <w:shd w:val="clear" w:color="auto" w:fill="FFFFFF"/>
        </w:rPr>
        <w:t xml:space="preserve"> on the </w:t>
      </w:r>
      <w:r w:rsidR="00D9797F" w:rsidRPr="0067507D">
        <w:rPr>
          <w:shd w:val="clear" w:color="auto" w:fill="FFFFFF"/>
        </w:rPr>
        <w:t xml:space="preserve">joint </w:t>
      </w:r>
      <w:r w:rsidR="001F712F" w:rsidRPr="0067507D">
        <w:rPr>
          <w:shd w:val="clear" w:color="auto" w:fill="FFFFFF"/>
        </w:rPr>
        <w:t xml:space="preserve">Procurement </w:t>
      </w:r>
      <w:r w:rsidR="00431C31" w:rsidRPr="0067507D">
        <w:rPr>
          <w:shd w:val="clear" w:color="auto" w:fill="FFFFFF"/>
        </w:rPr>
        <w:t xml:space="preserve">Governance </w:t>
      </w:r>
      <w:r w:rsidR="001F712F" w:rsidRPr="0067507D">
        <w:rPr>
          <w:shd w:val="clear" w:color="auto" w:fill="FFFFFF"/>
        </w:rPr>
        <w:t>Committee with DPC and DGS.</w:t>
      </w:r>
    </w:p>
    <w:p w14:paraId="335B9262" w14:textId="32FADC04" w:rsidR="00F85214" w:rsidRPr="0067507D" w:rsidRDefault="00513D65" w:rsidP="002B3DE2">
      <w:pPr>
        <w:ind w:right="-58"/>
      </w:pPr>
      <w:r w:rsidRPr="0067507D">
        <w:rPr>
          <w:shd w:val="clear" w:color="auto" w:fill="FFFFFF"/>
        </w:rPr>
        <w:t>Agata joined DTF as General Counsel in October</w:t>
      </w:r>
      <w:r w:rsidR="00804093" w:rsidRPr="0067507D">
        <w:rPr>
          <w:rFonts w:ascii="Calibri" w:hAnsi="Calibri" w:cs="Calibri"/>
          <w:shd w:val="clear" w:color="auto" w:fill="FFFFFF"/>
        </w:rPr>
        <w:t> </w:t>
      </w:r>
      <w:r w:rsidRPr="0067507D">
        <w:rPr>
          <w:shd w:val="clear" w:color="auto" w:fill="FFFFFF"/>
        </w:rPr>
        <w:t>2018. Before commencing at DTF, Agata worked for 12</w:t>
      </w:r>
      <w:r w:rsidR="00A13B42" w:rsidRPr="0067507D">
        <w:rPr>
          <w:rFonts w:ascii="Calibri" w:hAnsi="Calibri" w:cs="Calibri"/>
          <w:shd w:val="clear" w:color="auto" w:fill="FFFFFF"/>
        </w:rPr>
        <w:t> </w:t>
      </w:r>
      <w:r w:rsidRPr="0067507D">
        <w:rPr>
          <w:shd w:val="clear" w:color="auto" w:fill="FFFFFF"/>
        </w:rPr>
        <w:t>years at the international commercial law firm, King &amp; Wood Mallesons, in its Mergers &amp; Acquisitions department. Agata has more than 1</w:t>
      </w:r>
      <w:r w:rsidR="50463FD8" w:rsidRPr="0067507D">
        <w:rPr>
          <w:shd w:val="clear" w:color="auto" w:fill="FFFFFF"/>
        </w:rPr>
        <w:t>8</w:t>
      </w:r>
      <w:r w:rsidR="00804093" w:rsidRPr="0067507D">
        <w:rPr>
          <w:rFonts w:ascii="Calibri" w:hAnsi="Calibri" w:cs="Calibri"/>
          <w:shd w:val="clear" w:color="auto" w:fill="FFFFFF"/>
        </w:rPr>
        <w:t> </w:t>
      </w:r>
      <w:r w:rsidRPr="0067507D">
        <w:rPr>
          <w:shd w:val="clear" w:color="auto" w:fill="FFFFFF"/>
        </w:rPr>
        <w:t xml:space="preserve">years of experience in law, </w:t>
      </w:r>
      <w:r w:rsidR="49F7F470" w:rsidRPr="0067507D">
        <w:rPr>
          <w:shd w:val="clear" w:color="auto" w:fill="FFFFFF"/>
        </w:rPr>
        <w:t xml:space="preserve">governance, </w:t>
      </w:r>
      <w:r w:rsidRPr="0067507D">
        <w:rPr>
          <w:shd w:val="clear" w:color="auto" w:fill="FFFFFF"/>
        </w:rPr>
        <w:t xml:space="preserve">risk and procurement. </w:t>
      </w:r>
    </w:p>
    <w:p w14:paraId="21CAB697" w14:textId="77777777" w:rsidR="00D741DE" w:rsidRPr="0067507D" w:rsidRDefault="00D741DE" w:rsidP="00D741DE"/>
    <w:p w14:paraId="0DF97028" w14:textId="2C9D5EA0" w:rsidR="00D6473A" w:rsidRPr="0067507D" w:rsidRDefault="00D6473A" w:rsidP="00644CDF">
      <w:pPr>
        <w:pStyle w:val="Heading3"/>
        <w:rPr>
          <w:shd w:val="clear" w:color="auto" w:fill="FFFFFF"/>
        </w:rPr>
      </w:pPr>
      <w:r w:rsidRPr="0067507D">
        <w:rPr>
          <w:shd w:val="clear" w:color="auto" w:fill="FFFFFF"/>
        </w:rPr>
        <w:t>Paul Broderick</w:t>
      </w:r>
    </w:p>
    <w:p w14:paraId="35506AB3" w14:textId="52552D60" w:rsidR="00D6473A" w:rsidRPr="0067507D" w:rsidRDefault="00D6473A" w:rsidP="00644CDF">
      <w:pPr>
        <w:pStyle w:val="Heading5"/>
        <w:rPr>
          <w:shd w:val="clear" w:color="auto" w:fill="FFFFFF"/>
        </w:rPr>
      </w:pPr>
      <w:r w:rsidRPr="0067507D">
        <w:rPr>
          <w:shd w:val="clear" w:color="auto" w:fill="FFFFFF"/>
        </w:rPr>
        <w:t>Chief Executive Officer and Commissioner</w:t>
      </w:r>
      <w:r w:rsidR="003A5664" w:rsidRPr="0067507D">
        <w:rPr>
          <w:shd w:val="clear" w:color="auto" w:fill="FFFFFF"/>
        </w:rPr>
        <w:t xml:space="preserve"> of</w:t>
      </w:r>
      <w:r w:rsidRPr="0067507D">
        <w:rPr>
          <w:shd w:val="clear" w:color="auto" w:fill="FFFFFF"/>
        </w:rPr>
        <w:t xml:space="preserve"> </w:t>
      </w:r>
      <w:r w:rsidR="00297476" w:rsidRPr="0067507D">
        <w:rPr>
          <w:shd w:val="clear" w:color="auto" w:fill="FFFFFF"/>
        </w:rPr>
        <w:t xml:space="preserve">the </w:t>
      </w:r>
      <w:r w:rsidRPr="0067507D">
        <w:rPr>
          <w:shd w:val="clear" w:color="auto" w:fill="FFFFFF"/>
        </w:rPr>
        <w:t>State Revenue Office</w:t>
      </w:r>
    </w:p>
    <w:p w14:paraId="4B0FCDB0" w14:textId="29526FF9" w:rsidR="00644CDF" w:rsidRPr="0067507D" w:rsidRDefault="00D6473A" w:rsidP="00644CDF">
      <w:pPr>
        <w:rPr>
          <w:shd w:val="clear" w:color="auto" w:fill="FFFFFF"/>
        </w:rPr>
      </w:pPr>
      <w:r w:rsidRPr="0067507D">
        <w:rPr>
          <w:shd w:val="clear" w:color="auto" w:fill="FFFFFF"/>
        </w:rPr>
        <w:t xml:space="preserve">Paul was appointed Chief Executive Officer and Commissioner of the State Revenue Office </w:t>
      </w:r>
      <w:r w:rsidR="00190F81" w:rsidRPr="0067507D">
        <w:rPr>
          <w:shd w:val="clear" w:color="auto" w:fill="FFFFFF"/>
        </w:rPr>
        <w:t>(SRO)</w:t>
      </w:r>
      <w:r w:rsidRPr="0067507D">
        <w:rPr>
          <w:shd w:val="clear" w:color="auto" w:fill="FFFFFF"/>
        </w:rPr>
        <w:t xml:space="preserve"> in June</w:t>
      </w:r>
      <w:r w:rsidR="00BB16B7" w:rsidRPr="0067507D">
        <w:rPr>
          <w:rFonts w:ascii="Calibri" w:hAnsi="Calibri" w:cs="Calibri"/>
          <w:shd w:val="clear" w:color="auto" w:fill="FFFFFF"/>
        </w:rPr>
        <w:t> </w:t>
      </w:r>
      <w:r w:rsidRPr="0067507D">
        <w:rPr>
          <w:shd w:val="clear" w:color="auto" w:fill="FFFFFF"/>
        </w:rPr>
        <w:t xml:space="preserve">2002. Paul joined the SRO as Executive Director of Operations after holding senior positions with the Australian Securities and Investments Commission (ASIC). </w:t>
      </w:r>
    </w:p>
    <w:p w14:paraId="691A2965" w14:textId="275A834D" w:rsidR="00D6473A" w:rsidRPr="0067507D" w:rsidRDefault="00D6473A" w:rsidP="00644CDF">
      <w:pPr>
        <w:rPr>
          <w:shd w:val="clear" w:color="auto" w:fill="FFFFFF"/>
        </w:rPr>
      </w:pPr>
      <w:r w:rsidRPr="0067507D">
        <w:rPr>
          <w:shd w:val="clear" w:color="auto" w:fill="FFFFFF"/>
        </w:rPr>
        <w:t>Paul has a Master of Business Administration from the University of New England, is a Fellow of the Institute of Public Administration Australia, is a Committee for Economic Development of Australia Trustee and was recognised with a Public Service Medal for outstanding services to tax administration.</w:t>
      </w:r>
    </w:p>
    <w:p w14:paraId="21A9AD83" w14:textId="77777777" w:rsidR="00F54CA2" w:rsidRPr="0067507D" w:rsidRDefault="00F54CA2" w:rsidP="00674D09"/>
    <w:p w14:paraId="7A4BC597" w14:textId="77777777" w:rsidR="008B7724" w:rsidRPr="0067507D" w:rsidRDefault="008B7724" w:rsidP="00674D09">
      <w:pPr>
        <w:sectPr w:rsidR="008B7724" w:rsidRPr="0067507D" w:rsidSect="00EB7E40">
          <w:footerReference w:type="even" r:id="rId29"/>
          <w:footerReference w:type="default" r:id="rId30"/>
          <w:type w:val="continuous"/>
          <w:pgSz w:w="11909" w:h="16834" w:code="9"/>
          <w:pgMar w:top="1728" w:right="1152" w:bottom="1152" w:left="1152" w:header="720" w:footer="288" w:gutter="0"/>
          <w:cols w:num="2" w:space="720"/>
          <w:noEndnote/>
        </w:sectPr>
      </w:pPr>
    </w:p>
    <w:p w14:paraId="11F1FB6E" w14:textId="4EF1D0A4" w:rsidR="00D974B3" w:rsidRPr="0067507D" w:rsidRDefault="00F354CC" w:rsidP="002936D7">
      <w:pPr>
        <w:pStyle w:val="Heading4"/>
      </w:pPr>
      <w:bookmarkStart w:id="7" w:name="_Ref489439292"/>
      <w:r w:rsidRPr="0067507D">
        <w:lastRenderedPageBreak/>
        <w:t>Organisational chart</w:t>
      </w:r>
      <w:r w:rsidRPr="0067507D">
        <w:br/>
      </w:r>
      <w:r w:rsidRPr="0067507D">
        <w:rPr>
          <w:rFonts w:asciiTheme="minorHAnsi" w:hAnsiTheme="minorHAnsi"/>
        </w:rPr>
        <w:t xml:space="preserve">as at 30 June </w:t>
      </w:r>
      <w:bookmarkEnd w:id="7"/>
      <w:r w:rsidRPr="0067507D">
        <w:rPr>
          <w:rFonts w:asciiTheme="minorHAnsi" w:hAnsiTheme="minorHAnsi"/>
        </w:rPr>
        <w:t>202</w:t>
      </w:r>
      <w:r w:rsidR="00C30F42" w:rsidRPr="0067507D">
        <w:rPr>
          <w:rFonts w:asciiTheme="minorHAnsi" w:hAnsiTheme="minorHAnsi"/>
        </w:rPr>
        <w:t>5</w:t>
      </w:r>
    </w:p>
    <w:p w14:paraId="3A6C11C4" w14:textId="4DBE0FFB" w:rsidR="004002E6" w:rsidRPr="0067507D" w:rsidRDefault="004002E6" w:rsidP="00477A19">
      <w:pPr>
        <w:jc w:val="center"/>
      </w:pPr>
      <w:r w:rsidRPr="0067507D">
        <w:rPr>
          <w:noProof/>
        </w:rPr>
        <w:drawing>
          <wp:inline distT="0" distB="0" distL="0" distR="0" wp14:anchorId="0F77E7DA" wp14:editId="7F8D03DA">
            <wp:extent cx="5657850" cy="8002223"/>
            <wp:effectExtent l="0" t="0" r="0" b="0"/>
            <wp:docPr id="1562706898" name="Picture 1" descr="DTF organisational chart. Detailed descriptions for each Division are provided on pages 6 t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06898" name="Picture 1" descr="DTF organisational chart. Detailed descriptions for each Division are provided on pages 6 to 9."/>
                    <pic:cNvPicPr/>
                  </pic:nvPicPr>
                  <pic:blipFill>
                    <a:blip r:embed="rId31">
                      <a:extLst>
                        <a:ext uri="{96DAC541-7B7A-43D3-8B79-37D633B846F1}">
                          <asvg:svgBlip xmlns:asvg="http://schemas.microsoft.com/office/drawing/2016/SVG/main" r:embed="rId32"/>
                        </a:ext>
                      </a:extLst>
                    </a:blip>
                    <a:stretch>
                      <a:fillRect/>
                    </a:stretch>
                  </pic:blipFill>
                  <pic:spPr>
                    <a:xfrm>
                      <a:off x="0" y="0"/>
                      <a:ext cx="5657850" cy="8002223"/>
                    </a:xfrm>
                    <a:prstGeom prst="rect">
                      <a:avLst/>
                    </a:prstGeom>
                  </pic:spPr>
                </pic:pic>
              </a:graphicData>
            </a:graphic>
          </wp:inline>
        </w:drawing>
      </w:r>
    </w:p>
    <w:p w14:paraId="684927FA" w14:textId="38AAE0E5" w:rsidR="00F354CC" w:rsidRPr="0067507D" w:rsidRDefault="00F354CC" w:rsidP="002936D7">
      <w:pPr>
        <w:pStyle w:val="Heading1a"/>
        <w:pageBreakBefore/>
      </w:pPr>
      <w:bookmarkStart w:id="8" w:name="Functions_services"/>
      <w:r w:rsidRPr="0067507D">
        <w:lastRenderedPageBreak/>
        <w:t>Functions and services</w:t>
      </w:r>
      <w:bookmarkEnd w:id="8"/>
    </w:p>
    <w:p w14:paraId="598F8F84" w14:textId="77777777" w:rsidR="00F354CC" w:rsidRPr="0067507D" w:rsidRDefault="00F354CC" w:rsidP="00F354CC">
      <w:pPr>
        <w:sectPr w:rsidR="00F354CC" w:rsidRPr="0067507D" w:rsidSect="00D16853">
          <w:footerReference w:type="even" r:id="rId33"/>
          <w:pgSz w:w="11909" w:h="16834" w:code="9"/>
          <w:pgMar w:top="1728" w:right="1152" w:bottom="1152" w:left="1152" w:header="720" w:footer="288" w:gutter="0"/>
          <w:cols w:space="720"/>
          <w:noEndnote/>
        </w:sectPr>
      </w:pPr>
    </w:p>
    <w:p w14:paraId="7A308BBA" w14:textId="77777777" w:rsidR="00D81098" w:rsidRPr="0067507D" w:rsidRDefault="00D81098" w:rsidP="00D81098">
      <w:r w:rsidRPr="0067507D">
        <w:t>DTF comprises five core divisions, representing 19 business groups. The State Revenue Office (SRO) is a division of DTF which supports the Government’s revenue management functions.</w:t>
      </w:r>
    </w:p>
    <w:p w14:paraId="447DE931" w14:textId="77777777" w:rsidR="002E6683" w:rsidRPr="0067507D" w:rsidRDefault="002E6683" w:rsidP="009305C2"/>
    <w:p w14:paraId="14AA87DD" w14:textId="77777777" w:rsidR="002E6683" w:rsidRPr="0067507D" w:rsidRDefault="002E6683" w:rsidP="00AC11BB">
      <w:pPr>
        <w:sectPr w:rsidR="002E6683" w:rsidRPr="0067507D" w:rsidSect="009305C2">
          <w:type w:val="continuous"/>
          <w:pgSz w:w="11909" w:h="16834" w:code="9"/>
          <w:pgMar w:top="1728" w:right="1152" w:bottom="1152" w:left="1152" w:header="720" w:footer="288" w:gutter="0"/>
          <w:cols w:space="720"/>
          <w:noEndnote/>
        </w:sectPr>
      </w:pPr>
    </w:p>
    <w:p w14:paraId="70E0B3C8" w14:textId="6EE3699A" w:rsidR="00F354CC" w:rsidRPr="0067507D" w:rsidRDefault="00F354CC" w:rsidP="00F354CC">
      <w:pPr>
        <w:pStyle w:val="Heading2"/>
      </w:pPr>
      <w:r w:rsidRPr="0067507D">
        <w:t>Office of the Secretary</w:t>
      </w:r>
    </w:p>
    <w:p w14:paraId="775DF331" w14:textId="77777777" w:rsidR="00F354CC" w:rsidRPr="0067507D" w:rsidRDefault="00F354CC" w:rsidP="00F354CC">
      <w:r w:rsidRPr="0067507D">
        <w:t>The Office of the Secretary supports the Secretary.</w:t>
      </w:r>
    </w:p>
    <w:p w14:paraId="5877D279" w14:textId="77777777" w:rsidR="00F87A72" w:rsidRPr="0067507D" w:rsidRDefault="00F87A72" w:rsidP="00F354CC"/>
    <w:p w14:paraId="2C45713E" w14:textId="76C358D1" w:rsidR="008C738A" w:rsidRPr="0067507D" w:rsidRDefault="00600DD5" w:rsidP="008C738A">
      <w:pPr>
        <w:pStyle w:val="Heading4"/>
        <w:rPr>
          <w:szCs w:val="19"/>
        </w:rPr>
      </w:pPr>
      <w:r w:rsidRPr="0067507D">
        <w:rPr>
          <w:szCs w:val="19"/>
        </w:rPr>
        <w:t>DTF Office of the General Counsel</w:t>
      </w:r>
    </w:p>
    <w:p w14:paraId="15F9CBD6" w14:textId="10038A2C" w:rsidR="00600DD5" w:rsidRPr="0067507D" w:rsidRDefault="00600DD5" w:rsidP="00600DD5">
      <w:r w:rsidRPr="0067507D">
        <w:t xml:space="preserve">DTF </w:t>
      </w:r>
      <w:r w:rsidR="00D075FA" w:rsidRPr="0067507D">
        <w:rPr>
          <w:szCs w:val="19"/>
        </w:rPr>
        <w:t xml:space="preserve">Office of the General Counsel (OGC) </w:t>
      </w:r>
      <w:r w:rsidRPr="0067507D">
        <w:t xml:space="preserve">comprises the functions of the Legal team (DTF Legal), Freedom of Information team and the Operations function. </w:t>
      </w:r>
    </w:p>
    <w:p w14:paraId="2B0D9E25" w14:textId="77777777" w:rsidR="00600DD5" w:rsidRPr="0067507D" w:rsidRDefault="00600DD5" w:rsidP="00C87AF2">
      <w:pPr>
        <w:ind w:right="-148"/>
      </w:pPr>
      <w:r w:rsidRPr="0067507D">
        <w:t>DTF Legal is a team of trusted legal advisers delivering strategic and pragmatic solutions which are aligned with the Department’s objectives. The team’s core areas of responsibility include:</w:t>
      </w:r>
    </w:p>
    <w:p w14:paraId="4478BD45" w14:textId="77777777" w:rsidR="00600DD5" w:rsidRPr="0067507D" w:rsidRDefault="00600DD5" w:rsidP="00AA59BE">
      <w:pPr>
        <w:pStyle w:val="Bullet"/>
        <w:rPr>
          <w:rFonts w:cs="Helv"/>
          <w:color w:val="232B39" w:themeColor="text1"/>
          <w:sz w:val="19"/>
          <w:szCs w:val="17"/>
        </w:rPr>
      </w:pPr>
      <w:r w:rsidRPr="0067507D">
        <w:t>supporting the development and implementation of State significant policies (revenue reforms, Treaty, energy transition, housing, industrial relations policy)</w:t>
      </w:r>
    </w:p>
    <w:p w14:paraId="6701D303" w14:textId="77777777" w:rsidR="00600DD5" w:rsidRPr="0067507D" w:rsidRDefault="00600DD5" w:rsidP="00AA59BE">
      <w:pPr>
        <w:pStyle w:val="Bullet"/>
        <w:rPr>
          <w:rFonts w:cs="Helv"/>
          <w:color w:val="232B39" w:themeColor="text1"/>
          <w:sz w:val="19"/>
          <w:szCs w:val="17"/>
        </w:rPr>
      </w:pPr>
      <w:r w:rsidRPr="0067507D">
        <w:t xml:space="preserve">supporting the delivery of legislative projects, including legislation or subordinate instrument projects reform </w:t>
      </w:r>
    </w:p>
    <w:p w14:paraId="4C08F6DA" w14:textId="381EEF48" w:rsidR="00600DD5" w:rsidRPr="0067507D" w:rsidRDefault="00600DD5" w:rsidP="00AA59BE">
      <w:pPr>
        <w:pStyle w:val="Bullet"/>
        <w:rPr>
          <w:rFonts w:cs="Helv"/>
          <w:color w:val="232B39" w:themeColor="text1"/>
          <w:sz w:val="19"/>
          <w:szCs w:val="17"/>
        </w:rPr>
      </w:pPr>
      <w:r w:rsidRPr="0067507D">
        <w:t>assisting with disputes and inquiries (High Court constitutional matters, general litigation including class actions against the State</w:t>
      </w:r>
      <w:r w:rsidR="00BF458D" w:rsidRPr="0067507D">
        <w:t xml:space="preserve"> and</w:t>
      </w:r>
      <w:r w:rsidRPr="0067507D">
        <w:t xml:space="preserve"> Royal Commissions)</w:t>
      </w:r>
    </w:p>
    <w:p w14:paraId="0EF2DE18" w14:textId="77777777" w:rsidR="00600DD5" w:rsidRPr="0067507D" w:rsidRDefault="00600DD5" w:rsidP="00AA59BE">
      <w:pPr>
        <w:pStyle w:val="Bullet"/>
        <w:rPr>
          <w:rFonts w:cs="Helv"/>
          <w:color w:val="232B39" w:themeColor="text1"/>
          <w:sz w:val="19"/>
          <w:szCs w:val="17"/>
        </w:rPr>
      </w:pPr>
      <w:r w:rsidRPr="0067507D">
        <w:t>advising on the delivery of commercial, infrastructure and social policy projects</w:t>
      </w:r>
    </w:p>
    <w:p w14:paraId="163EEA7B" w14:textId="77777777" w:rsidR="00600DD5" w:rsidRPr="0067507D" w:rsidRDefault="00600DD5" w:rsidP="00AA59BE">
      <w:pPr>
        <w:pStyle w:val="Bullet"/>
        <w:rPr>
          <w:rFonts w:cs="Helv"/>
          <w:color w:val="232B39" w:themeColor="text1"/>
          <w:sz w:val="19"/>
          <w:szCs w:val="17"/>
        </w:rPr>
      </w:pPr>
      <w:r w:rsidRPr="0067507D">
        <w:t>managing external legal providers to ensure value and cost effectiveness</w:t>
      </w:r>
    </w:p>
    <w:p w14:paraId="06B62729" w14:textId="77777777" w:rsidR="00600DD5" w:rsidRPr="0067507D" w:rsidRDefault="00600DD5" w:rsidP="00AA59BE">
      <w:pPr>
        <w:pStyle w:val="Bullet"/>
      </w:pPr>
      <w:r w:rsidRPr="0067507D">
        <w:t>providing direction on strategic issues such as conflicts of interests and disclosures.</w:t>
      </w:r>
    </w:p>
    <w:p w14:paraId="7F3159C2" w14:textId="42D1CFB8" w:rsidR="00D22D07" w:rsidRPr="0067507D" w:rsidRDefault="00600DD5" w:rsidP="00D22D07">
      <w:r w:rsidRPr="0067507D">
        <w:t xml:space="preserve">The Freedom of Information team manages requests for access to departmental information in accordance with the </w:t>
      </w:r>
      <w:r w:rsidRPr="0067507D">
        <w:rPr>
          <w:i/>
        </w:rPr>
        <w:t xml:space="preserve">Freedom of Information Act 1982 </w:t>
      </w:r>
      <w:r w:rsidRPr="0067507D">
        <w:rPr>
          <w:iCs/>
        </w:rPr>
        <w:t>(FOI</w:t>
      </w:r>
      <w:r w:rsidR="003C3A25" w:rsidRPr="0067507D">
        <w:rPr>
          <w:iCs/>
        </w:rPr>
        <w:t xml:space="preserve"> Act</w:t>
      </w:r>
      <w:r w:rsidRPr="0067507D">
        <w:rPr>
          <w:iCs/>
        </w:rPr>
        <w:t>).</w:t>
      </w:r>
      <w:r w:rsidRPr="0067507D">
        <w:t xml:space="preserve"> The team promotes the object of the FOI</w:t>
      </w:r>
      <w:r w:rsidR="009F5839" w:rsidRPr="0067507D">
        <w:rPr>
          <w:rFonts w:ascii="Calibri" w:hAnsi="Calibri" w:cs="Calibri"/>
        </w:rPr>
        <w:t> </w:t>
      </w:r>
      <w:r w:rsidRPr="0067507D">
        <w:t>Act, while managing risks of information release, consistent with government and whole of Victorian Government policies</w:t>
      </w:r>
      <w:r w:rsidR="00DE5CF4" w:rsidRPr="0067507D">
        <w:t>.</w:t>
      </w:r>
      <w:r w:rsidR="00213905" w:rsidRPr="0067507D">
        <w:t xml:space="preserve"> </w:t>
      </w:r>
    </w:p>
    <w:p w14:paraId="604866EB" w14:textId="77BB8F80" w:rsidR="00213905" w:rsidRPr="0067507D" w:rsidRDefault="00213905" w:rsidP="00C87AF2">
      <w:pPr>
        <w:keepNext/>
        <w:contextualSpacing/>
      </w:pPr>
      <w:r w:rsidRPr="0067507D">
        <w:t>The Operations team within DTF OGC manages</w:t>
      </w:r>
      <w:r w:rsidR="00981C78" w:rsidRPr="0067507D">
        <w:t xml:space="preserve"> </w:t>
      </w:r>
      <w:r w:rsidRPr="0067507D">
        <w:t>the operations of the Department, overseeing</w:t>
      </w:r>
      <w:r w:rsidR="00981C78" w:rsidRPr="0067507D">
        <w:t xml:space="preserve"> </w:t>
      </w:r>
      <w:r w:rsidRPr="0067507D">
        <w:t>quality assurance programs, operational</w:t>
      </w:r>
      <w:r w:rsidR="00981C78" w:rsidRPr="0067507D">
        <w:t xml:space="preserve"> </w:t>
      </w:r>
      <w:r w:rsidRPr="0067507D">
        <w:t>processes and supervising the delivery of</w:t>
      </w:r>
      <w:r w:rsidR="00981C78" w:rsidRPr="0067507D">
        <w:t xml:space="preserve"> </w:t>
      </w:r>
      <w:r w:rsidRPr="0067507D">
        <w:t>corporate services to the Department by DGS.</w:t>
      </w:r>
      <w:r w:rsidR="00981C78" w:rsidRPr="0067507D">
        <w:t xml:space="preserve"> </w:t>
      </w:r>
      <w:r w:rsidRPr="0067507D">
        <w:t>The core areas of responsibility for the Operations</w:t>
      </w:r>
      <w:r w:rsidR="00981C78" w:rsidRPr="0067507D">
        <w:t xml:space="preserve"> </w:t>
      </w:r>
      <w:r w:rsidRPr="0067507D">
        <w:t>team are:</w:t>
      </w:r>
    </w:p>
    <w:p w14:paraId="70818027" w14:textId="31400F1F" w:rsidR="007557A6" w:rsidRPr="0067507D" w:rsidRDefault="007557A6" w:rsidP="00C87AF2">
      <w:pPr>
        <w:pStyle w:val="Bullet"/>
        <w:keepNext/>
      </w:pPr>
      <w:r w:rsidRPr="0067507D">
        <w:t>quality assurance – overseeing the</w:t>
      </w:r>
      <w:r w:rsidR="00BD4B32" w:rsidRPr="0067507D">
        <w:t xml:space="preserve"> </w:t>
      </w:r>
      <w:r w:rsidRPr="0067507D">
        <w:t>Department’s operations, quality assurance</w:t>
      </w:r>
      <w:r w:rsidR="00BD4B32" w:rsidRPr="0067507D">
        <w:t xml:space="preserve"> </w:t>
      </w:r>
      <w:r w:rsidRPr="0067507D">
        <w:t>programs and improving operational</w:t>
      </w:r>
      <w:r w:rsidR="00BD4B32" w:rsidRPr="0067507D">
        <w:t xml:space="preserve"> </w:t>
      </w:r>
      <w:r w:rsidRPr="0067507D">
        <w:t>processes</w:t>
      </w:r>
    </w:p>
    <w:p w14:paraId="21A38A2D" w14:textId="448C0158" w:rsidR="007557A6" w:rsidRPr="0067507D" w:rsidRDefault="007557A6" w:rsidP="006E0B74">
      <w:pPr>
        <w:pStyle w:val="Bullet"/>
      </w:pPr>
      <w:r w:rsidRPr="0067507D">
        <w:t>audit and compliance – managing and</w:t>
      </w:r>
      <w:r w:rsidR="0084508D" w:rsidRPr="0067507D">
        <w:t xml:space="preserve"> </w:t>
      </w:r>
      <w:r w:rsidRPr="0067507D">
        <w:t>coordinating the Department’s internal audit</w:t>
      </w:r>
      <w:r w:rsidR="0084508D" w:rsidRPr="0067507D">
        <w:t xml:space="preserve"> </w:t>
      </w:r>
      <w:r w:rsidRPr="0067507D">
        <w:t>program, including assisting with the</w:t>
      </w:r>
      <w:r w:rsidR="0084508D" w:rsidRPr="0067507D">
        <w:t xml:space="preserve"> </w:t>
      </w:r>
      <w:r w:rsidRPr="0067507D">
        <w:t>development of a risk</w:t>
      </w:r>
      <w:r w:rsidR="006A5485">
        <w:noBreakHyphen/>
      </w:r>
      <w:r w:rsidRPr="0067507D">
        <w:t>based strategic plan,</w:t>
      </w:r>
      <w:r w:rsidR="00615E8D" w:rsidRPr="0067507D">
        <w:t xml:space="preserve"> </w:t>
      </w:r>
      <w:r w:rsidRPr="0067507D">
        <w:t xml:space="preserve">contract management of </w:t>
      </w:r>
      <w:r w:rsidR="009A219F" w:rsidRPr="0067507D">
        <w:t xml:space="preserve">the Department’s internal audit </w:t>
      </w:r>
      <w:r w:rsidR="004F71E2" w:rsidRPr="0067507D">
        <w:t>provider</w:t>
      </w:r>
      <w:r w:rsidRPr="0067507D">
        <w:t xml:space="preserve"> and undertaking high</w:t>
      </w:r>
      <w:r w:rsidR="004571E7" w:rsidRPr="0067507D">
        <w:noBreakHyphen/>
      </w:r>
      <w:r w:rsidRPr="0067507D">
        <w:t>level follow</w:t>
      </w:r>
      <w:r w:rsidR="00F71D1A" w:rsidRPr="0067507D">
        <w:noBreakHyphen/>
      </w:r>
      <w:r w:rsidRPr="0067507D">
        <w:t>up activity</w:t>
      </w:r>
    </w:p>
    <w:p w14:paraId="7C5CB4E5" w14:textId="3DF74C80" w:rsidR="00717C41" w:rsidRPr="0067507D" w:rsidRDefault="007557A6" w:rsidP="006E0B74">
      <w:pPr>
        <w:pStyle w:val="Bullet"/>
      </w:pPr>
      <w:r w:rsidRPr="0067507D">
        <w:t>procurement and vendor management –overseeing the delivery of shared services to</w:t>
      </w:r>
      <w:r w:rsidR="00A109A3" w:rsidRPr="0067507D">
        <w:t xml:space="preserve"> </w:t>
      </w:r>
      <w:r w:rsidRPr="0067507D">
        <w:t>the Department by DGS, ensuring efficient,</w:t>
      </w:r>
      <w:r w:rsidR="00A109A3" w:rsidRPr="0067507D">
        <w:t xml:space="preserve"> </w:t>
      </w:r>
      <w:r w:rsidRPr="0067507D">
        <w:t>consistent, and high</w:t>
      </w:r>
      <w:r w:rsidR="006A5485">
        <w:noBreakHyphen/>
      </w:r>
      <w:r w:rsidRPr="0067507D">
        <w:t>quality support aligned</w:t>
      </w:r>
      <w:r w:rsidR="00A109A3" w:rsidRPr="0067507D">
        <w:t xml:space="preserve"> </w:t>
      </w:r>
      <w:r w:rsidRPr="0067507D">
        <w:t>with the Department’s policies and needs</w:t>
      </w:r>
      <w:r w:rsidR="00A109A3" w:rsidRPr="0067507D">
        <w:t xml:space="preserve"> </w:t>
      </w:r>
    </w:p>
    <w:p w14:paraId="6D9C1F7A" w14:textId="7F4E5D42" w:rsidR="001E2E7A" w:rsidRPr="0067507D" w:rsidRDefault="007557A6" w:rsidP="006E0B74">
      <w:pPr>
        <w:pStyle w:val="Bullet"/>
      </w:pPr>
      <w:r w:rsidRPr="0067507D">
        <w:t>strategic expertise – reviewing and critiquing</w:t>
      </w:r>
      <w:r w:rsidR="00A109A3" w:rsidRPr="0067507D">
        <w:t xml:space="preserve"> </w:t>
      </w:r>
      <w:r w:rsidRPr="0067507D">
        <w:t>existing strategies to ensure they meet</w:t>
      </w:r>
      <w:r w:rsidR="00A109A3" w:rsidRPr="0067507D">
        <w:t xml:space="preserve"> </w:t>
      </w:r>
      <w:r w:rsidRPr="0067507D">
        <w:t>Department goals and comply with industry</w:t>
      </w:r>
      <w:r w:rsidR="00A42154" w:rsidRPr="0067507D">
        <w:t xml:space="preserve"> </w:t>
      </w:r>
      <w:r w:rsidRPr="0067507D">
        <w:t>best practices.</w:t>
      </w:r>
    </w:p>
    <w:p w14:paraId="2BFAC599" w14:textId="77777777" w:rsidR="00F87A72" w:rsidRPr="0067507D" w:rsidRDefault="00F87A72" w:rsidP="0058685C"/>
    <w:p w14:paraId="6FC6377A" w14:textId="21ED7EC2" w:rsidR="006A5509" w:rsidRPr="0067507D" w:rsidRDefault="006A5509" w:rsidP="006A5509">
      <w:pPr>
        <w:pStyle w:val="Heading2"/>
      </w:pPr>
      <w:r w:rsidRPr="0067507D">
        <w:t>Budget and Finance Division</w:t>
      </w:r>
    </w:p>
    <w:p w14:paraId="224B2973" w14:textId="3236094D" w:rsidR="006A5509" w:rsidRPr="0067507D" w:rsidRDefault="006A5509" w:rsidP="006A5509">
      <w:pPr>
        <w:pStyle w:val="Heading4"/>
      </w:pPr>
      <w:r w:rsidRPr="0067507D">
        <w:t>Budget Strategy</w:t>
      </w:r>
    </w:p>
    <w:p w14:paraId="290CE0BC" w14:textId="18C6D475" w:rsidR="60155AAB" w:rsidRPr="0067507D" w:rsidRDefault="60155AAB" w:rsidP="7832D19F">
      <w:pPr>
        <w:spacing w:before="0" w:after="0"/>
      </w:pPr>
      <w:r w:rsidRPr="0067507D">
        <w:rPr>
          <w:szCs w:val="17"/>
        </w:rPr>
        <w:t>Provides advice on the State’s short to medium</w:t>
      </w:r>
      <w:r w:rsidR="00FF2222" w:rsidRPr="0067507D">
        <w:rPr>
          <w:szCs w:val="17"/>
        </w:rPr>
        <w:noBreakHyphen/>
      </w:r>
      <w:r w:rsidRPr="0067507D">
        <w:rPr>
          <w:szCs w:val="17"/>
        </w:rPr>
        <w:t xml:space="preserve">term budget outlook and fiscal strategy, its financial and resource management frameworks, including </w:t>
      </w:r>
      <w:r w:rsidR="00BB6CC3" w:rsidRPr="0067507D">
        <w:rPr>
          <w:szCs w:val="17"/>
        </w:rPr>
        <w:t xml:space="preserve">the ongoing </w:t>
      </w:r>
      <w:r w:rsidR="006720AC" w:rsidRPr="0067507D">
        <w:rPr>
          <w:szCs w:val="17"/>
        </w:rPr>
        <w:t xml:space="preserve">implementation of Program Budgeting and </w:t>
      </w:r>
      <w:r w:rsidR="009A3DA1" w:rsidRPr="0067507D">
        <w:rPr>
          <w:szCs w:val="17"/>
        </w:rPr>
        <w:t xml:space="preserve">Gender Responsive </w:t>
      </w:r>
      <w:r w:rsidR="00C204AD" w:rsidRPr="0067507D">
        <w:rPr>
          <w:szCs w:val="17"/>
        </w:rPr>
        <w:t>Budgeting, and public sector workforce advice and costings</w:t>
      </w:r>
      <w:r w:rsidR="00383FAA" w:rsidRPr="0067507D">
        <w:rPr>
          <w:szCs w:val="17"/>
        </w:rPr>
        <w:t xml:space="preserve">, including in relation to the Government’s </w:t>
      </w:r>
      <w:r w:rsidRPr="0067507D">
        <w:rPr>
          <w:szCs w:val="17"/>
        </w:rPr>
        <w:t>wages policy.</w:t>
      </w:r>
    </w:p>
    <w:p w14:paraId="6B0B6D01" w14:textId="37DF5A57" w:rsidR="006A5509" w:rsidRPr="0067507D" w:rsidRDefault="006A5509" w:rsidP="006A5509">
      <w:pPr>
        <w:pStyle w:val="Heading4"/>
      </w:pPr>
      <w:r w:rsidRPr="0067507D">
        <w:t>Financial Reporting</w:t>
      </w:r>
    </w:p>
    <w:p w14:paraId="3061A08C" w14:textId="51916B42" w:rsidR="006A5509" w:rsidRPr="0067507D" w:rsidRDefault="006A5509" w:rsidP="006A5509">
      <w:r w:rsidRPr="0067507D">
        <w:t>Provides advice on the financial reporting framework and accounting issues to support decision making and leads the production of government financial reporting publications including quarterly, mid</w:t>
      </w:r>
      <w:r w:rsidR="0045046E" w:rsidRPr="0067507D">
        <w:noBreakHyphen/>
      </w:r>
      <w:r w:rsidRPr="0067507D">
        <w:t>year, annual and estimated financial reports.</w:t>
      </w:r>
    </w:p>
    <w:p w14:paraId="2C58E4F7" w14:textId="388B902F" w:rsidR="006A5509" w:rsidRPr="0067507D" w:rsidRDefault="006A5509" w:rsidP="006A5509">
      <w:pPr>
        <w:pStyle w:val="Heading4"/>
      </w:pPr>
      <w:r w:rsidRPr="0067507D">
        <w:t>Portfolio Analysis</w:t>
      </w:r>
    </w:p>
    <w:p w14:paraId="6954A3DB" w14:textId="08CE9489" w:rsidR="006A5509" w:rsidRPr="0067507D" w:rsidRDefault="006A5509" w:rsidP="006A5509">
      <w:r w:rsidRPr="0067507D">
        <w:t>Provides advice on resource allocation, financial risk and government service performance and promotes sound financial management of the State’s fiscal resources throughout the Victorian public sector.</w:t>
      </w:r>
    </w:p>
    <w:p w14:paraId="733BCFBD" w14:textId="77777777" w:rsidR="00DF6E5F" w:rsidRPr="00866B9C" w:rsidRDefault="00DF6E5F" w:rsidP="00DF6E5F">
      <w:pPr>
        <w:pStyle w:val="Heading4"/>
        <w:rPr>
          <w:rFonts w:cs="VIC Medium"/>
        </w:rPr>
      </w:pPr>
      <w:r w:rsidRPr="0067507D">
        <w:lastRenderedPageBreak/>
        <w:t>Strategic Communications</w:t>
      </w:r>
      <w:r w:rsidRPr="00866B9C">
        <w:rPr>
          <w:rFonts w:cs="VIC Medium"/>
        </w:rPr>
        <w:t xml:space="preserve"> </w:t>
      </w:r>
      <w:r w:rsidRPr="0067507D">
        <w:rPr>
          <w:rFonts w:cs="VIC Medium"/>
        </w:rPr>
        <w:t>and Executive Services</w:t>
      </w:r>
    </w:p>
    <w:p w14:paraId="213324EB" w14:textId="77777777" w:rsidR="00FA6B88" w:rsidRPr="0067507D" w:rsidRDefault="00FA6B88" w:rsidP="00FA6B88">
      <w:r w:rsidRPr="0067507D">
        <w:t>Provides expert communications services and issues management advice to support DTF Ministers as well as DTF projects and programs, including developing communication strategies, supporting stakeholder engagement, managing media relations, digital channels, internal communications, and coordinating campaigns, events and production services.</w:t>
      </w:r>
    </w:p>
    <w:p w14:paraId="45D8CAD9" w14:textId="2FF6DE6C" w:rsidR="009917A5" w:rsidRPr="0067507D" w:rsidRDefault="00FA6B88" w:rsidP="009917A5">
      <w:r w:rsidRPr="0067507D">
        <w:t>Executive Services provides liaison support to DTF Ministers, budget operations support, and Cabinet, Parliamentary and Legislative services, including support to DTF and DTF’s Ministers for all Cabinet, legislation, Executive Council and parliamentary matters.</w:t>
      </w:r>
    </w:p>
    <w:p w14:paraId="5324F13C" w14:textId="2EBA0B7E" w:rsidR="00E41ED9" w:rsidRPr="0067507D" w:rsidRDefault="00E41ED9" w:rsidP="00E41ED9">
      <w:pPr>
        <w:pStyle w:val="Heading4"/>
      </w:pPr>
      <w:r w:rsidRPr="0067507D">
        <w:t xml:space="preserve">Financial </w:t>
      </w:r>
      <w:r w:rsidR="00E94F1C" w:rsidRPr="0067507D">
        <w:t>Sustainability</w:t>
      </w:r>
    </w:p>
    <w:p w14:paraId="74CB9655" w14:textId="14872FA6" w:rsidR="00DF6E5F" w:rsidRPr="0067507D" w:rsidRDefault="00C2260F" w:rsidP="006A5509">
      <w:r w:rsidRPr="0067507D">
        <w:t>Provides advice on savings and efficiency reforms and long</w:t>
      </w:r>
      <w:r w:rsidR="006A5485">
        <w:noBreakHyphen/>
      </w:r>
      <w:r w:rsidRPr="0067507D">
        <w:t>term budget sustainability to assist the State’s fiscal strategy, and oversight of partnerships with key agencies where long</w:t>
      </w:r>
      <w:r w:rsidR="006A5485">
        <w:noBreakHyphen/>
      </w:r>
      <w:r w:rsidRPr="0067507D">
        <w:t>term structural challenges to financial sustainability present.</w:t>
      </w:r>
    </w:p>
    <w:p w14:paraId="30EB8696" w14:textId="77777777" w:rsidR="00290ADF" w:rsidRPr="0067507D" w:rsidRDefault="00290ADF" w:rsidP="006A5509"/>
    <w:p w14:paraId="462E038F" w14:textId="184D8C62" w:rsidR="006A5509" w:rsidRPr="0067507D" w:rsidRDefault="006A5509" w:rsidP="00B47456">
      <w:pPr>
        <w:pStyle w:val="Heading4"/>
        <w:rPr>
          <w:szCs w:val="24"/>
        </w:rPr>
      </w:pPr>
      <w:r w:rsidRPr="0067507D">
        <w:rPr>
          <w:sz w:val="24"/>
          <w:szCs w:val="24"/>
        </w:rPr>
        <w:t>Commercial Division</w:t>
      </w:r>
    </w:p>
    <w:p w14:paraId="6E4B60A9" w14:textId="77777777" w:rsidR="006A5509" w:rsidRPr="0067507D" w:rsidRDefault="006A5509" w:rsidP="006A5509">
      <w:pPr>
        <w:pStyle w:val="Heading4"/>
      </w:pPr>
      <w:r w:rsidRPr="0067507D">
        <w:t>Commercial Transactions</w:t>
      </w:r>
    </w:p>
    <w:p w14:paraId="2CB13653" w14:textId="77777777" w:rsidR="00BB313C" w:rsidRPr="0067507D" w:rsidRDefault="002F6822" w:rsidP="002F6822">
      <w:pPr>
        <w:spacing w:before="0" w:after="0"/>
        <w:textAlignment w:val="baseline"/>
        <w:rPr>
          <w:rFonts w:cs="Arial"/>
          <w:color w:val="232B39"/>
          <w:szCs w:val="17"/>
        </w:rPr>
      </w:pPr>
      <w:r w:rsidRPr="0067507D">
        <w:rPr>
          <w:rFonts w:cs="Arial"/>
          <w:color w:val="232B39"/>
          <w:szCs w:val="17"/>
        </w:rPr>
        <w:t xml:space="preserve">Provides transaction advisory services and advice on whole of state negotiations and commercial transactions to the Government. </w:t>
      </w:r>
    </w:p>
    <w:p w14:paraId="1B1DCAC8" w14:textId="1238EB8D" w:rsidR="002F6822" w:rsidRPr="0067507D" w:rsidRDefault="002F6822" w:rsidP="00F9208D">
      <w:pPr>
        <w:rPr>
          <w:szCs w:val="20"/>
        </w:rPr>
      </w:pPr>
      <w:r w:rsidRPr="0067507D">
        <w:rPr>
          <w:szCs w:val="20"/>
        </w:rPr>
        <w:t>This includes:</w:t>
      </w:r>
    </w:p>
    <w:p w14:paraId="0E529224" w14:textId="77777777" w:rsidR="002F6822" w:rsidRPr="0067507D" w:rsidRDefault="002F6822" w:rsidP="00AA59BE">
      <w:pPr>
        <w:pStyle w:val="Bullet"/>
        <w:rPr>
          <w:color w:val="232B39"/>
          <w:szCs w:val="17"/>
        </w:rPr>
      </w:pPr>
      <w:r w:rsidRPr="0067507D">
        <w:t xml:space="preserve">identifying and </w:t>
      </w:r>
      <w:r w:rsidRPr="0067507D">
        <w:rPr>
          <w:szCs w:val="17"/>
        </w:rPr>
        <w:t xml:space="preserve">implementing asset reform opportunities to optimise the State’s balance sheet management </w:t>
      </w:r>
    </w:p>
    <w:p w14:paraId="10BD1C43" w14:textId="77777777" w:rsidR="002F6822" w:rsidRPr="0067507D" w:rsidRDefault="002F6822" w:rsidP="00AA59BE">
      <w:pPr>
        <w:pStyle w:val="Bullet"/>
        <w:rPr>
          <w:color w:val="000000"/>
          <w:szCs w:val="17"/>
        </w:rPr>
      </w:pPr>
      <w:r w:rsidRPr="0067507D">
        <w:t>leading and advising on complex commercial transactions and negotiations</w:t>
      </w:r>
    </w:p>
    <w:p w14:paraId="41F1FE1F" w14:textId="0B3A58A6" w:rsidR="002F6822" w:rsidRPr="0067507D" w:rsidRDefault="002F6822" w:rsidP="00AA59BE">
      <w:pPr>
        <w:pStyle w:val="Bullet"/>
        <w:rPr>
          <w:szCs w:val="17"/>
        </w:rPr>
      </w:pPr>
      <w:r w:rsidRPr="0067507D">
        <w:t>overseeing post</w:t>
      </w:r>
      <w:r w:rsidR="006A5485">
        <w:noBreakHyphen/>
      </w:r>
      <w:r w:rsidRPr="0067507D">
        <w:rPr>
          <w:szCs w:val="17"/>
        </w:rPr>
        <w:t xml:space="preserve">transaction governance arrangements and associated matters for complex commercial transactions </w:t>
      </w:r>
    </w:p>
    <w:p w14:paraId="20421B18" w14:textId="1F22B9A7" w:rsidR="002F6822" w:rsidRPr="0067507D" w:rsidRDefault="002F6822" w:rsidP="00AA59BE">
      <w:pPr>
        <w:pStyle w:val="Bullet"/>
      </w:pPr>
      <w:r w:rsidRPr="0067507D">
        <w:t>leading the implementation and delivery of government priorities related to social, affordable and market housing</w:t>
      </w:r>
      <w:r w:rsidR="006467F7" w:rsidRPr="0067507D">
        <w:t>.</w:t>
      </w:r>
    </w:p>
    <w:p w14:paraId="039372D2" w14:textId="28F1C794" w:rsidR="006A5509" w:rsidRPr="0067507D" w:rsidRDefault="00872CE3" w:rsidP="006A5509">
      <w:pPr>
        <w:pStyle w:val="Heading4"/>
      </w:pPr>
      <w:r w:rsidRPr="0067507D">
        <w:br w:type="column"/>
      </w:r>
      <w:r w:rsidR="006A5509" w:rsidRPr="0067507D">
        <w:t>Financial Assets and Liabilities</w:t>
      </w:r>
      <w:r w:rsidR="00F27680" w:rsidRPr="0067507D">
        <w:t xml:space="preserve"> and Workplace Safety</w:t>
      </w:r>
    </w:p>
    <w:p w14:paraId="3AB83A4F" w14:textId="77777777" w:rsidR="00E32E7C" w:rsidRPr="0067507D" w:rsidRDefault="00E32E7C" w:rsidP="00206DC8">
      <w:r w:rsidRPr="0067507D">
        <w:t>Advises the Government and reports on the State’s financial assets and liabilities and associated financial risks, including the State’s investments, debts, superannuation and insurance claims liabilities and guarantees associated with state lending programs.</w:t>
      </w:r>
    </w:p>
    <w:p w14:paraId="6AA274AC" w14:textId="77777777" w:rsidR="00E32E7C" w:rsidRPr="0067507D" w:rsidRDefault="00E32E7C" w:rsidP="00206DC8">
      <w:r w:rsidRPr="0067507D">
        <w:t>Provides governance and prudential oversight to the State’s public financial corporations, as well as analysis and policy advice on workplace safety issues to the Government.</w:t>
      </w:r>
    </w:p>
    <w:p w14:paraId="4AA89A7C" w14:textId="67EABAAB" w:rsidR="006A5509" w:rsidRPr="0067507D" w:rsidRDefault="00E32E7C" w:rsidP="0058685C">
      <w:pPr>
        <w:rPr>
          <w:rFonts w:cs="Arial"/>
          <w:color w:val="232B39"/>
          <w:szCs w:val="17"/>
        </w:rPr>
      </w:pPr>
      <w:r w:rsidRPr="0067507D">
        <w:rPr>
          <w:rFonts w:cs="Arial"/>
          <w:color w:val="232B39"/>
          <w:szCs w:val="17"/>
        </w:rPr>
        <w:t xml:space="preserve">The Financial Assets and Liabilities and Workplace Safety Group also delivers the Affordable Housing Investment Partnership </w:t>
      </w:r>
      <w:r w:rsidR="006E2E1D" w:rsidRPr="0067507D">
        <w:rPr>
          <w:rFonts w:cs="Arial"/>
          <w:color w:val="232B39"/>
          <w:szCs w:val="17"/>
        </w:rPr>
        <w:t>scheme</w:t>
      </w:r>
      <w:r w:rsidR="006A5509" w:rsidRPr="0067507D">
        <w:t>.</w:t>
      </w:r>
    </w:p>
    <w:p w14:paraId="29CD02B7" w14:textId="77777777" w:rsidR="006A5509" w:rsidRPr="0067507D" w:rsidRDefault="006A5509" w:rsidP="006A5509">
      <w:pPr>
        <w:pStyle w:val="Heading4"/>
      </w:pPr>
      <w:r w:rsidRPr="0067507D">
        <w:t xml:space="preserve">Shareholder Entities and Community Housing </w:t>
      </w:r>
    </w:p>
    <w:p w14:paraId="259A5ACD" w14:textId="15847F30" w:rsidR="00B022BF" w:rsidRPr="0067507D" w:rsidRDefault="00B022BF" w:rsidP="00B022BF">
      <w:r w:rsidRPr="0067507D">
        <w:rPr>
          <w:rFonts w:cs="Arial"/>
          <w:color w:val="232B39"/>
          <w:szCs w:val="17"/>
        </w:rPr>
        <w:t>Provides governance oversight of the State’s public non</w:t>
      </w:r>
      <w:r w:rsidR="006A5485">
        <w:rPr>
          <w:rFonts w:cs="Arial"/>
          <w:color w:val="232B39"/>
          <w:szCs w:val="17"/>
        </w:rPr>
        <w:noBreakHyphen/>
      </w:r>
      <w:r w:rsidRPr="0067507D">
        <w:rPr>
          <w:rFonts w:cs="Arial"/>
          <w:color w:val="232B39"/>
          <w:szCs w:val="17"/>
        </w:rPr>
        <w:t>financial corporations (PNFCs) and r</w:t>
      </w:r>
      <w:r w:rsidRPr="0067507D">
        <w:rPr>
          <w:rFonts w:cs="Arial"/>
          <w:szCs w:val="17"/>
        </w:rPr>
        <w:t>egulates the community housing sector.</w:t>
      </w:r>
    </w:p>
    <w:p w14:paraId="69F1621F" w14:textId="77777777" w:rsidR="00F87A72" w:rsidRPr="0067507D" w:rsidRDefault="00F87A72" w:rsidP="00B022BF"/>
    <w:p w14:paraId="6A47A299" w14:textId="1E97502B" w:rsidR="00F354CC" w:rsidRPr="0067507D" w:rsidRDefault="00F354CC" w:rsidP="00F354CC">
      <w:pPr>
        <w:pStyle w:val="Heading2"/>
      </w:pPr>
      <w:r w:rsidRPr="0067507D">
        <w:t>Economic Division</w:t>
      </w:r>
    </w:p>
    <w:p w14:paraId="5935B4E7" w14:textId="23C4D72F" w:rsidR="00F354CC" w:rsidRPr="0067507D" w:rsidRDefault="00F354CC" w:rsidP="00F354CC">
      <w:pPr>
        <w:pStyle w:val="Heading4"/>
      </w:pPr>
      <w:r w:rsidRPr="0067507D">
        <w:t>Economic</w:t>
      </w:r>
    </w:p>
    <w:p w14:paraId="66C29DCE" w14:textId="77777777" w:rsidR="00B45FD5" w:rsidRPr="0067507D" w:rsidRDefault="00F354CC" w:rsidP="00B45FD5">
      <w:pPr>
        <w:rPr>
          <w:szCs w:val="20"/>
        </w:rPr>
      </w:pPr>
      <w:r w:rsidRPr="0067507D">
        <w:t xml:space="preserve">Supports the Government in growing employment, </w:t>
      </w:r>
      <w:r w:rsidR="00B45FD5" w:rsidRPr="0067507D">
        <w:rPr>
          <w:szCs w:val="20"/>
        </w:rPr>
        <w:t xml:space="preserve">material </w:t>
      </w:r>
      <w:r w:rsidRPr="0067507D">
        <w:t>living standards and economic activity.</w:t>
      </w:r>
    </w:p>
    <w:p w14:paraId="532CCB91" w14:textId="60B73CC7" w:rsidR="00B45FD5" w:rsidRPr="0067507D" w:rsidRDefault="00B45FD5" w:rsidP="00B45FD5">
      <w:pPr>
        <w:rPr>
          <w:szCs w:val="20"/>
        </w:rPr>
      </w:pPr>
      <w:r w:rsidRPr="0067507D">
        <w:rPr>
          <w:szCs w:val="20"/>
        </w:rPr>
        <w:t>Advises on productivity growth, current and future macroeconomic conditions, energy, climate change and decarbonisation, industry development, employment policy, business innovation, transport and infrastructure policy, and land</w:t>
      </w:r>
      <w:r w:rsidR="00705680" w:rsidRPr="0067507D">
        <w:rPr>
          <w:szCs w:val="20"/>
        </w:rPr>
        <w:t xml:space="preserve"> </w:t>
      </w:r>
      <w:r w:rsidRPr="0067507D">
        <w:rPr>
          <w:szCs w:val="20"/>
        </w:rPr>
        <w:t>use planning.</w:t>
      </w:r>
    </w:p>
    <w:p w14:paraId="24D41BC5" w14:textId="3E4D11F9" w:rsidR="00B45FD5" w:rsidRPr="0067507D" w:rsidRDefault="00B45FD5" w:rsidP="00B45FD5">
      <w:r w:rsidRPr="0067507D">
        <w:t>Key tasks include providing advice on inclusively growing jobs and living standards while responding to the impact of cost</w:t>
      </w:r>
      <w:r w:rsidR="006A5485">
        <w:noBreakHyphen/>
      </w:r>
      <w:r w:rsidRPr="0067507D">
        <w:t>of</w:t>
      </w:r>
      <w:r w:rsidR="006A5485">
        <w:noBreakHyphen/>
      </w:r>
      <w:r w:rsidRPr="0067507D">
        <w:t>living pressures and reducing Victoria’s carbon emissions. Economic Group also supports the Minister for Finance in governance responsibilities for the Victorian Independent Remuneration Tribunal.</w:t>
      </w:r>
    </w:p>
    <w:p w14:paraId="0434923F" w14:textId="77777777" w:rsidR="00F354CC" w:rsidRPr="0067507D" w:rsidRDefault="00F354CC" w:rsidP="00F354CC">
      <w:pPr>
        <w:pStyle w:val="Heading4"/>
      </w:pPr>
      <w:r w:rsidRPr="0067507D">
        <w:t>Regulation</w:t>
      </w:r>
    </w:p>
    <w:p w14:paraId="24F91177" w14:textId="5F916D91" w:rsidR="00971E9A" w:rsidRPr="0067507D" w:rsidRDefault="00971E9A" w:rsidP="002348A7">
      <w:pPr>
        <w:rPr>
          <w:szCs w:val="20"/>
        </w:rPr>
      </w:pPr>
      <w:r w:rsidRPr="0067507D">
        <w:rPr>
          <w:szCs w:val="20"/>
        </w:rPr>
        <w:t>Provides policy advice and implementation support on improving the regulatory system across regulators and local councils to make it easier to do business while managing risks of harm, along with advice on regulation frameworks and regulator governance issues.</w:t>
      </w:r>
    </w:p>
    <w:p w14:paraId="452C2D61" w14:textId="4C16B241" w:rsidR="00F85CFC" w:rsidRPr="0067507D" w:rsidRDefault="00971E9A" w:rsidP="002348A7">
      <w:pPr>
        <w:rPr>
          <w:szCs w:val="20"/>
        </w:rPr>
      </w:pPr>
      <w:r w:rsidRPr="0067507D">
        <w:rPr>
          <w:szCs w:val="20"/>
        </w:rPr>
        <w:t>Regulation Group also provides advice on setting fees and charges across government, insurance and</w:t>
      </w:r>
      <w:r w:rsidR="00456A2B" w:rsidRPr="0067507D">
        <w:rPr>
          <w:rFonts w:ascii="Calibri" w:hAnsi="Calibri" w:cs="Calibri"/>
          <w:szCs w:val="20"/>
        </w:rPr>
        <w:t> </w:t>
      </w:r>
      <w:r w:rsidRPr="0067507D">
        <w:rPr>
          <w:szCs w:val="20"/>
        </w:rPr>
        <w:t>risk policy, and local government policy, along with supporting the Minister for Finance in governance responsibilities for the Essential Services Commission, Economic Growth Victoria and Better Regulation Victoria.</w:t>
      </w:r>
    </w:p>
    <w:p w14:paraId="765DFAC6" w14:textId="77777777" w:rsidR="00A77F0B" w:rsidRPr="0067507D" w:rsidRDefault="00A77F0B" w:rsidP="00A77F0B">
      <w:pPr>
        <w:pStyle w:val="Heading4"/>
      </w:pPr>
      <w:r w:rsidRPr="0067507D">
        <w:lastRenderedPageBreak/>
        <w:t xml:space="preserve">Revenue </w:t>
      </w:r>
    </w:p>
    <w:p w14:paraId="30978350" w14:textId="77777777" w:rsidR="00C13F0B" w:rsidRPr="0067507D" w:rsidRDefault="00C13F0B" w:rsidP="00C13F0B">
      <w:r w:rsidRPr="0067507D">
        <w:t>Provides analysis and advice on taxation and gambling policy, including reform options and opportunities to secure an efficient and sustainable tax base to support the delivery of government services and programs.</w:t>
      </w:r>
    </w:p>
    <w:p w14:paraId="3F9554F3" w14:textId="32DEC40C" w:rsidR="00C13F0B" w:rsidRPr="0067507D" w:rsidRDefault="00C13F0B" w:rsidP="00C13F0B">
      <w:r w:rsidRPr="0067507D">
        <w:t>The Revenue Group supports the Treasurer in a range of matters relating to Commonwealth</w:t>
      </w:r>
      <w:r w:rsidR="006A5485">
        <w:noBreakHyphen/>
      </w:r>
      <w:r w:rsidR="00F82DFE" w:rsidRPr="0067507D">
        <w:t>S</w:t>
      </w:r>
      <w:r w:rsidRPr="0067507D">
        <w:t>tate financial relations including through intergovernmental forums such as the Board of Treasurers and the Council on Federal Financial Relations. This covers matters including intergovernmental funding agreements and the Commonwealth Grants Commission’s methodology for distributing GST revenue.</w:t>
      </w:r>
    </w:p>
    <w:p w14:paraId="4FBB8E3C" w14:textId="25E63194" w:rsidR="00C13F0B" w:rsidRPr="0067507D" w:rsidRDefault="00C13F0B" w:rsidP="00C13F0B">
      <w:r w:rsidRPr="0067507D">
        <w:t>The Group also undertakes forecasting of state taxation revenue and the Goods and Service Tax (GST) to inform the State’s budget processes</w:t>
      </w:r>
      <w:r w:rsidR="003C3750" w:rsidRPr="0067507D">
        <w:t>.</w:t>
      </w:r>
    </w:p>
    <w:p w14:paraId="47ED27AE" w14:textId="77777777" w:rsidR="00F354CC" w:rsidRPr="0067507D" w:rsidRDefault="00F354CC" w:rsidP="00F354CC">
      <w:pPr>
        <w:pStyle w:val="Heading4"/>
      </w:pPr>
      <w:r w:rsidRPr="0067507D">
        <w:t>Social</w:t>
      </w:r>
    </w:p>
    <w:p w14:paraId="6E6D291E" w14:textId="27D9135F" w:rsidR="00B84D4A" w:rsidRPr="0067507D" w:rsidRDefault="00B84D4A" w:rsidP="00B84D4A">
      <w:r w:rsidRPr="0067507D">
        <w:t xml:space="preserve">Supports the Government to drive </w:t>
      </w:r>
      <w:r w:rsidR="004D4F38" w:rsidRPr="0067507D">
        <w:t xml:space="preserve">meaningful </w:t>
      </w:r>
      <w:r w:rsidRPr="0067507D">
        <w:t>improvements in the lives and experiences of Victorians in key social service systems and priority cohorts</w:t>
      </w:r>
      <w:r w:rsidR="00F33EBC" w:rsidRPr="0067507D">
        <w:t>, while providing value</w:t>
      </w:r>
      <w:r w:rsidR="006A5485">
        <w:noBreakHyphen/>
      </w:r>
      <w:r w:rsidR="00F33EBC" w:rsidRPr="0067507D">
        <w:t>for</w:t>
      </w:r>
      <w:r w:rsidR="006A5485">
        <w:noBreakHyphen/>
      </w:r>
      <w:r w:rsidR="00F33EBC" w:rsidRPr="0067507D">
        <w:t>money for government.</w:t>
      </w:r>
      <w:r w:rsidRPr="0067507D">
        <w:t xml:space="preserve"> Provides analysis and policy advice in areas such as First Peoples, justice, education and skills, health, human services, and housing.</w:t>
      </w:r>
    </w:p>
    <w:p w14:paraId="1A6213B3" w14:textId="05280C7A" w:rsidR="00791749" w:rsidRPr="0067507D" w:rsidRDefault="00B84D4A" w:rsidP="00791749">
      <w:r w:rsidRPr="0067507D">
        <w:t>The Social Group also implements the Early Intervention Investment Framework and the Partnerships Addressing Disadvantage initiative.</w:t>
      </w:r>
    </w:p>
    <w:p w14:paraId="63677752" w14:textId="516572DB" w:rsidR="00E17925" w:rsidRPr="0067507D" w:rsidRDefault="00BF27AB" w:rsidP="00124439">
      <w:pPr>
        <w:pStyle w:val="Heading2"/>
      </w:pPr>
      <w:r w:rsidRPr="0067507D">
        <w:br w:type="column"/>
      </w:r>
      <w:r w:rsidR="00E17925" w:rsidRPr="0067507D">
        <w:t>Infrastructure Division</w:t>
      </w:r>
    </w:p>
    <w:p w14:paraId="0EFE8068" w14:textId="77777777" w:rsidR="00E17925" w:rsidRPr="0067507D" w:rsidRDefault="00E17925" w:rsidP="00E17925">
      <w:pPr>
        <w:pStyle w:val="Heading4"/>
      </w:pPr>
      <w:r w:rsidRPr="0067507D">
        <w:t>Infrastructure Policy and Assurance</w:t>
      </w:r>
    </w:p>
    <w:p w14:paraId="5490C6DC" w14:textId="6C425EBE" w:rsidR="00E17925" w:rsidRPr="0067507D" w:rsidRDefault="00E17925" w:rsidP="00E17925">
      <w:r w:rsidRPr="0067507D">
        <w:t>Provides advice to the Government and guidance to departments on infrastructure investment, capital budget funding proposals, high</w:t>
      </w:r>
      <w:r w:rsidR="006A5485">
        <w:noBreakHyphen/>
      </w:r>
      <w:r w:rsidRPr="0067507D">
        <w:t>value high</w:t>
      </w:r>
      <w:r w:rsidR="006A5485">
        <w:noBreakHyphen/>
      </w:r>
      <w:r w:rsidRPr="0067507D">
        <w:t xml:space="preserve">risk assurance framework, and other major commercial projects. </w:t>
      </w:r>
    </w:p>
    <w:p w14:paraId="5129BEC9" w14:textId="77777777" w:rsidR="00E17925" w:rsidRPr="0067507D" w:rsidRDefault="00E17925" w:rsidP="00E17925">
      <w:pPr>
        <w:pStyle w:val="Heading4"/>
      </w:pPr>
      <w:r w:rsidRPr="0067507D">
        <w:t>Infrastructure Delivery</w:t>
      </w:r>
    </w:p>
    <w:p w14:paraId="3F588578" w14:textId="40E679AE" w:rsidR="00726B98" w:rsidRPr="0067507D" w:rsidRDefault="005D66E6" w:rsidP="00726B98">
      <w:bookmarkStart w:id="9" w:name="_Hlk200546508"/>
      <w:r w:rsidRPr="0067507D">
        <w:t>Provides specialist procurement and contracting advice and undertakes project assurance regarding major and complex infrastructure projects. Develops commercial and financial structures to support major project delivery including Partnerships Victoria projects utilising private finance. Develops and implements infrastructure procurement policies, standard contracts and the Market</w:t>
      </w:r>
      <w:r w:rsidR="006A5485">
        <w:noBreakHyphen/>
      </w:r>
      <w:r w:rsidRPr="0067507D">
        <w:t>led Proposals Guideline to facilitate private sector initiatives.</w:t>
      </w:r>
      <w:bookmarkEnd w:id="9"/>
    </w:p>
    <w:p w14:paraId="6853570C" w14:textId="12530014" w:rsidR="00DA41A3" w:rsidRPr="0067507D" w:rsidRDefault="00B07F91" w:rsidP="00DA41A3">
      <w:pPr>
        <w:pStyle w:val="Heading4"/>
      </w:pPr>
      <w:r w:rsidRPr="0067507D">
        <w:t>Strategy</w:t>
      </w:r>
      <w:r w:rsidR="00726B98" w:rsidRPr="0067507D">
        <w:t xml:space="preserve">, </w:t>
      </w:r>
      <w:r w:rsidRPr="0067507D">
        <w:t xml:space="preserve">Productivity </w:t>
      </w:r>
      <w:r w:rsidR="00726B98" w:rsidRPr="0067507D">
        <w:t>and Project Advisory</w:t>
      </w:r>
      <w:r w:rsidRPr="0067507D">
        <w:t xml:space="preserve"> </w:t>
      </w:r>
    </w:p>
    <w:p w14:paraId="27B2A145" w14:textId="15261ADB" w:rsidR="001F20CD" w:rsidRPr="0067507D" w:rsidRDefault="00EA556C" w:rsidP="001F20CD">
      <w:r w:rsidRPr="0067507D">
        <w:t>Provides best</w:t>
      </w:r>
      <w:r w:rsidR="006A5485">
        <w:noBreakHyphen/>
      </w:r>
      <w:r w:rsidRPr="0067507D">
        <w:t xml:space="preserve">practice infrastructure advice and strategies to achieve value for money for Victorians through industry capability uplift, project assurance, and developing systemic and legislative improvements. The team builds infrastructure delivery capability and skills through workshops and the </w:t>
      </w:r>
      <w:r w:rsidR="00E40BB6" w:rsidRPr="0067507D">
        <w:t>training programs</w:t>
      </w:r>
      <w:r w:rsidRPr="0067507D">
        <w:t xml:space="preserve">, implements the Gateway review process, and supports policy development aimed at addressing </w:t>
      </w:r>
      <w:r w:rsidRPr="0067507D">
        <w:rPr>
          <w:color w:val="000000"/>
        </w:rPr>
        <w:t xml:space="preserve">material and workforce shortages </w:t>
      </w:r>
      <w:r w:rsidR="0048504D" w:rsidRPr="0067507D">
        <w:rPr>
          <w:color w:val="000000"/>
        </w:rPr>
        <w:t xml:space="preserve">and </w:t>
      </w:r>
      <w:r w:rsidRPr="0067507D">
        <w:rPr>
          <w:color w:val="000000"/>
        </w:rPr>
        <w:t>market capacity</w:t>
      </w:r>
      <w:r w:rsidRPr="0067507D">
        <w:t>.</w:t>
      </w:r>
    </w:p>
    <w:p w14:paraId="2BA6EC10" w14:textId="1A6D8075" w:rsidR="00B07F91" w:rsidRPr="0067507D" w:rsidRDefault="00B07F91" w:rsidP="00124439">
      <w:pPr>
        <w:pStyle w:val="Heading4"/>
      </w:pPr>
      <w:r w:rsidRPr="0067507D">
        <w:t>Data and Analytics</w:t>
      </w:r>
    </w:p>
    <w:p w14:paraId="43CD0285" w14:textId="071F94AD" w:rsidR="00726B98" w:rsidRPr="0067507D" w:rsidRDefault="00FA7636" w:rsidP="00726B98">
      <w:r w:rsidRPr="0067507D">
        <w:rPr>
          <w:rFonts w:eastAsia="Calibri" w:cs="Calibri"/>
        </w:rPr>
        <w:t xml:space="preserve">Provides advice on infrastructure </w:t>
      </w:r>
      <w:r w:rsidR="00F93232" w:rsidRPr="0067507D">
        <w:rPr>
          <w:rFonts w:eastAsia="Calibri" w:cs="Calibri"/>
        </w:rPr>
        <w:t xml:space="preserve">and ICT </w:t>
      </w:r>
      <w:r w:rsidRPr="0067507D">
        <w:rPr>
          <w:rFonts w:eastAsia="Calibri" w:cs="Calibri"/>
        </w:rPr>
        <w:t>delivery through data</w:t>
      </w:r>
      <w:r w:rsidR="006A5485">
        <w:rPr>
          <w:rFonts w:eastAsia="Calibri" w:cs="Calibri"/>
        </w:rPr>
        <w:noBreakHyphen/>
      </w:r>
      <w:r w:rsidRPr="0067507D">
        <w:rPr>
          <w:rFonts w:eastAsia="Calibri" w:cs="Calibri"/>
        </w:rPr>
        <w:t>driven insights and system</w:t>
      </w:r>
      <w:r w:rsidR="006A5485">
        <w:rPr>
          <w:rFonts w:eastAsia="Calibri" w:cs="Calibri"/>
        </w:rPr>
        <w:noBreakHyphen/>
      </w:r>
      <w:r w:rsidRPr="0067507D">
        <w:rPr>
          <w:rFonts w:eastAsia="Calibri" w:cs="Calibri"/>
        </w:rPr>
        <w:t xml:space="preserve">wide analysis including on issues such as cost escalation, project performance and risk. Leads internal and external reporting on the performance of major infrastructure projects and </w:t>
      </w:r>
      <w:r w:rsidR="00ED06E9" w:rsidRPr="0067507D">
        <w:rPr>
          <w:rFonts w:eastAsia="Calibri" w:cs="Calibri"/>
        </w:rPr>
        <w:t>delivers public interfaces</w:t>
      </w:r>
      <w:r w:rsidRPr="0067507D">
        <w:rPr>
          <w:rFonts w:eastAsia="Calibri" w:cs="Calibri"/>
        </w:rPr>
        <w:t xml:space="preserve"> including the </w:t>
      </w:r>
      <w:r w:rsidR="00943F3E" w:rsidRPr="0067507D">
        <w:rPr>
          <w:rFonts w:eastAsia="Calibri" w:cs="Calibri"/>
        </w:rPr>
        <w:t xml:space="preserve">Construction Supplier Register (CSR), the </w:t>
      </w:r>
      <w:r w:rsidRPr="0067507D">
        <w:rPr>
          <w:rFonts w:eastAsia="Calibri" w:cs="Calibri"/>
        </w:rPr>
        <w:t xml:space="preserve">Capital Investment Dashboard and the Victorian Major Projects </w:t>
      </w:r>
      <w:r w:rsidR="008217D3" w:rsidRPr="0067507D">
        <w:rPr>
          <w:rFonts w:eastAsia="Calibri" w:cs="Calibri"/>
        </w:rPr>
        <w:t>Pipeline.</w:t>
      </w:r>
    </w:p>
    <w:p w14:paraId="5A50BABB" w14:textId="4AC5E501" w:rsidR="00124439" w:rsidRPr="0067507D" w:rsidRDefault="00324D18" w:rsidP="00124439">
      <w:pPr>
        <w:pStyle w:val="Heading2"/>
      </w:pPr>
      <w:r w:rsidRPr="0067507D">
        <w:br w:type="column"/>
      </w:r>
      <w:r w:rsidR="00104DDA" w:rsidRPr="0067507D">
        <w:lastRenderedPageBreak/>
        <w:t>Industrial Relations</w:t>
      </w:r>
      <w:r w:rsidR="00396861" w:rsidRPr="0067507D">
        <w:t xml:space="preserve"> Victoria</w:t>
      </w:r>
    </w:p>
    <w:p w14:paraId="74470102" w14:textId="77777777" w:rsidR="00124439" w:rsidRPr="0067507D" w:rsidRDefault="002F28C8" w:rsidP="00124439">
      <w:pPr>
        <w:pStyle w:val="Heading4"/>
      </w:pPr>
      <w:r w:rsidRPr="0067507D">
        <w:t xml:space="preserve">Private Sector Industrial Relations </w:t>
      </w:r>
    </w:p>
    <w:p w14:paraId="3F2B4D48" w14:textId="75FF5F20" w:rsidR="005E1509" w:rsidRPr="0067507D" w:rsidRDefault="00416E05" w:rsidP="00416E05">
      <w:pPr>
        <w:rPr>
          <w:szCs w:val="17"/>
        </w:rPr>
      </w:pPr>
      <w:r w:rsidRPr="0067507D">
        <w:rPr>
          <w:szCs w:val="17"/>
        </w:rPr>
        <w:t>Provid</w:t>
      </w:r>
      <w:r w:rsidR="00E30679" w:rsidRPr="0067507D">
        <w:rPr>
          <w:szCs w:val="17"/>
        </w:rPr>
        <w:t>es</w:t>
      </w:r>
      <w:r w:rsidRPr="0067507D">
        <w:rPr>
          <w:szCs w:val="17"/>
        </w:rPr>
        <w:t xml:space="preserve"> expert and strategic policy advice to the Government on private sector industrial relations matters, </w:t>
      </w:r>
      <w:r w:rsidR="0060492E" w:rsidRPr="0067507D">
        <w:rPr>
          <w:szCs w:val="17"/>
        </w:rPr>
        <w:t xml:space="preserve">and </w:t>
      </w:r>
      <w:r w:rsidRPr="0067507D">
        <w:rPr>
          <w:szCs w:val="17"/>
        </w:rPr>
        <w:t xml:space="preserve">workplace relations reforms, emerging issues and risks. </w:t>
      </w:r>
    </w:p>
    <w:p w14:paraId="6136F589" w14:textId="5B614009" w:rsidR="00821AA5" w:rsidRPr="0067507D" w:rsidRDefault="00416E05" w:rsidP="00416E05">
      <w:pPr>
        <w:rPr>
          <w:szCs w:val="17"/>
        </w:rPr>
      </w:pPr>
      <w:r w:rsidRPr="0067507D">
        <w:rPr>
          <w:szCs w:val="17"/>
        </w:rPr>
        <w:t>Lead</w:t>
      </w:r>
      <w:r w:rsidR="007A0E2A" w:rsidRPr="0067507D">
        <w:rPr>
          <w:szCs w:val="17"/>
        </w:rPr>
        <w:t>s</w:t>
      </w:r>
      <w:r w:rsidRPr="0067507D">
        <w:rPr>
          <w:szCs w:val="17"/>
        </w:rPr>
        <w:t xml:space="preserve"> </w:t>
      </w:r>
      <w:r w:rsidR="002E7FD9" w:rsidRPr="0067507D">
        <w:rPr>
          <w:szCs w:val="17"/>
        </w:rPr>
        <w:t>development and</w:t>
      </w:r>
      <w:r w:rsidR="00C1487A" w:rsidRPr="0067507D">
        <w:rPr>
          <w:szCs w:val="17"/>
        </w:rPr>
        <w:t xml:space="preserve"> presentation of </w:t>
      </w:r>
      <w:r w:rsidRPr="0067507D">
        <w:rPr>
          <w:szCs w:val="17"/>
        </w:rPr>
        <w:t xml:space="preserve">submissions to significant </w:t>
      </w:r>
      <w:r w:rsidR="0017307A" w:rsidRPr="0067507D">
        <w:rPr>
          <w:szCs w:val="17"/>
        </w:rPr>
        <w:t>Commonwea</w:t>
      </w:r>
      <w:r w:rsidR="00821AA5" w:rsidRPr="0067507D">
        <w:rPr>
          <w:szCs w:val="17"/>
        </w:rPr>
        <w:t>l</w:t>
      </w:r>
      <w:r w:rsidR="0017307A" w:rsidRPr="0067507D">
        <w:rPr>
          <w:szCs w:val="17"/>
        </w:rPr>
        <w:t xml:space="preserve">th and </w:t>
      </w:r>
      <w:r w:rsidR="00821AA5" w:rsidRPr="0067507D">
        <w:rPr>
          <w:szCs w:val="17"/>
        </w:rPr>
        <w:t xml:space="preserve">State </w:t>
      </w:r>
      <w:r w:rsidRPr="0067507D">
        <w:rPr>
          <w:szCs w:val="17"/>
        </w:rPr>
        <w:t xml:space="preserve">reviews and inquiries. </w:t>
      </w:r>
    </w:p>
    <w:p w14:paraId="6506E721" w14:textId="234E0803" w:rsidR="00854506" w:rsidRPr="0067507D" w:rsidRDefault="00057A54" w:rsidP="00416E05">
      <w:pPr>
        <w:rPr>
          <w:szCs w:val="17"/>
        </w:rPr>
      </w:pPr>
      <w:r w:rsidRPr="0067507D">
        <w:rPr>
          <w:szCs w:val="17"/>
        </w:rPr>
        <w:t>Leads advocacy</w:t>
      </w:r>
      <w:r w:rsidR="00003814" w:rsidRPr="0067507D">
        <w:rPr>
          <w:szCs w:val="17"/>
        </w:rPr>
        <w:t xml:space="preserve"> </w:t>
      </w:r>
      <w:r w:rsidR="00416E05" w:rsidRPr="0067507D">
        <w:rPr>
          <w:szCs w:val="17"/>
        </w:rPr>
        <w:t xml:space="preserve">to the Commonwealth </w:t>
      </w:r>
      <w:r w:rsidR="00D31D24" w:rsidRPr="0067507D">
        <w:rPr>
          <w:szCs w:val="17"/>
        </w:rPr>
        <w:t xml:space="preserve">for improvements to the </w:t>
      </w:r>
      <w:r w:rsidR="00416E05" w:rsidRPr="0067507D">
        <w:rPr>
          <w:szCs w:val="17"/>
        </w:rPr>
        <w:t>national industrial relations system</w:t>
      </w:r>
      <w:r w:rsidR="00D31D24" w:rsidRPr="0067507D">
        <w:rPr>
          <w:szCs w:val="17"/>
        </w:rPr>
        <w:t>.</w:t>
      </w:r>
      <w:r w:rsidR="00416E05" w:rsidRPr="0067507D">
        <w:rPr>
          <w:szCs w:val="17"/>
        </w:rPr>
        <w:t xml:space="preserve"> </w:t>
      </w:r>
    </w:p>
    <w:p w14:paraId="7D90CD41" w14:textId="138649F7" w:rsidR="00416E05" w:rsidRPr="0067507D" w:rsidRDefault="00D31D24" w:rsidP="00416E05">
      <w:r w:rsidRPr="0067507D">
        <w:rPr>
          <w:szCs w:val="17"/>
        </w:rPr>
        <w:t>Develops policy on</w:t>
      </w:r>
      <w:r w:rsidR="00416E05" w:rsidRPr="0067507D">
        <w:rPr>
          <w:szCs w:val="17"/>
        </w:rPr>
        <w:t xml:space="preserve"> national labour hire, gender pay equity and historic undervaluation</w:t>
      </w:r>
      <w:r w:rsidR="00311580" w:rsidRPr="0067507D">
        <w:rPr>
          <w:szCs w:val="17"/>
        </w:rPr>
        <w:t xml:space="preserve"> in female dominated awards</w:t>
      </w:r>
      <w:r w:rsidR="00416E05" w:rsidRPr="0067507D">
        <w:rPr>
          <w:szCs w:val="17"/>
        </w:rPr>
        <w:t>, use of non</w:t>
      </w:r>
      <w:r w:rsidR="00AC6E51" w:rsidRPr="0067507D">
        <w:rPr>
          <w:szCs w:val="17"/>
        </w:rPr>
        <w:noBreakHyphen/>
      </w:r>
      <w:r w:rsidR="00416E05" w:rsidRPr="0067507D">
        <w:rPr>
          <w:szCs w:val="17"/>
        </w:rPr>
        <w:t>disclosure agreements in workplace sexual harassment</w:t>
      </w:r>
      <w:r w:rsidR="00B220E1" w:rsidRPr="0067507D">
        <w:rPr>
          <w:szCs w:val="17"/>
        </w:rPr>
        <w:t xml:space="preserve"> cases</w:t>
      </w:r>
      <w:r w:rsidR="00416E05" w:rsidRPr="0067507D">
        <w:rPr>
          <w:szCs w:val="17"/>
        </w:rPr>
        <w:t>, protections for insecure or vulnerable workers</w:t>
      </w:r>
      <w:r w:rsidR="006928ED" w:rsidRPr="0067507D">
        <w:rPr>
          <w:szCs w:val="17"/>
        </w:rPr>
        <w:t xml:space="preserve"> including apprentices and trainees</w:t>
      </w:r>
      <w:r w:rsidR="0056314B" w:rsidRPr="0067507D">
        <w:rPr>
          <w:szCs w:val="17"/>
        </w:rPr>
        <w:t xml:space="preserve">, </w:t>
      </w:r>
      <w:r w:rsidR="00416E05" w:rsidRPr="0067507D">
        <w:rPr>
          <w:szCs w:val="17"/>
        </w:rPr>
        <w:t>integrity in public construction and future of work impacts such as workplace surveillance and AI.</w:t>
      </w:r>
    </w:p>
    <w:p w14:paraId="1DFADDD9" w14:textId="77777777" w:rsidR="00124439" w:rsidRPr="0067507D" w:rsidRDefault="005567C0" w:rsidP="00124439">
      <w:pPr>
        <w:pStyle w:val="Heading4"/>
      </w:pPr>
      <w:r w:rsidRPr="0067507D">
        <w:t>Public Sector Industrial Relations</w:t>
      </w:r>
    </w:p>
    <w:p w14:paraId="2FB7DAA2" w14:textId="28F49AFE" w:rsidR="00AC6E51" w:rsidRPr="0067507D" w:rsidRDefault="00614E11" w:rsidP="00AC6E51">
      <w:pPr>
        <w:rPr>
          <w:szCs w:val="17"/>
        </w:rPr>
      </w:pPr>
      <w:r w:rsidRPr="0067507D">
        <w:rPr>
          <w:szCs w:val="17"/>
        </w:rPr>
        <w:t>I</w:t>
      </w:r>
      <w:r w:rsidR="00AC6E51" w:rsidRPr="0067507D">
        <w:rPr>
          <w:szCs w:val="17"/>
        </w:rPr>
        <w:t>mplement</w:t>
      </w:r>
      <w:r w:rsidRPr="0067507D">
        <w:rPr>
          <w:szCs w:val="17"/>
        </w:rPr>
        <w:t xml:space="preserve">s the Government’s </w:t>
      </w:r>
      <w:r w:rsidR="00AC6E51" w:rsidRPr="0067507D">
        <w:rPr>
          <w:szCs w:val="17"/>
        </w:rPr>
        <w:t xml:space="preserve">policy objectives </w:t>
      </w:r>
      <w:r w:rsidR="0068226B" w:rsidRPr="0067507D">
        <w:rPr>
          <w:szCs w:val="17"/>
        </w:rPr>
        <w:t xml:space="preserve">to promote collaboration </w:t>
      </w:r>
      <w:r w:rsidR="009E492E" w:rsidRPr="0067507D">
        <w:rPr>
          <w:szCs w:val="17"/>
        </w:rPr>
        <w:t>and co</w:t>
      </w:r>
      <w:r w:rsidR="006A5485">
        <w:rPr>
          <w:szCs w:val="17"/>
        </w:rPr>
        <w:noBreakHyphen/>
      </w:r>
      <w:r w:rsidR="009E492E" w:rsidRPr="0067507D">
        <w:rPr>
          <w:szCs w:val="17"/>
        </w:rPr>
        <w:t xml:space="preserve">operation in public sector </w:t>
      </w:r>
      <w:r w:rsidR="00AC6E51" w:rsidRPr="0067507D">
        <w:rPr>
          <w:szCs w:val="17"/>
        </w:rPr>
        <w:t xml:space="preserve">industrial relations and progressive employment practices. </w:t>
      </w:r>
    </w:p>
    <w:p w14:paraId="3B4B55EA" w14:textId="012C5832" w:rsidR="00AC6E51" w:rsidRPr="0067507D" w:rsidRDefault="00FC6F1E" w:rsidP="00AC6E51">
      <w:pPr>
        <w:rPr>
          <w:szCs w:val="17"/>
        </w:rPr>
      </w:pPr>
      <w:r w:rsidRPr="0067507D">
        <w:rPr>
          <w:szCs w:val="17"/>
        </w:rPr>
        <w:t>Develops policy and p</w:t>
      </w:r>
      <w:r w:rsidR="00AC6E51" w:rsidRPr="0067507D">
        <w:rPr>
          <w:szCs w:val="17"/>
        </w:rPr>
        <w:t>rovides guidance to public sector employers and unions on industrial relations matters.</w:t>
      </w:r>
    </w:p>
    <w:p w14:paraId="721447D1" w14:textId="7DFB1E9D" w:rsidR="00F354CC" w:rsidRPr="0067507D" w:rsidRDefault="00AC6E51" w:rsidP="00124439">
      <w:pPr>
        <w:rPr>
          <w:rFonts w:eastAsiaTheme="minorEastAsia"/>
        </w:rPr>
      </w:pPr>
      <w:r w:rsidRPr="0067507D">
        <w:rPr>
          <w:szCs w:val="17"/>
        </w:rPr>
        <w:t>Provides enterprise bargaining oversight and support to public sector employers and unions as well as leading the negotiation of the VPS Enterprise Agreement.</w:t>
      </w:r>
    </w:p>
    <w:p w14:paraId="3E2A55D3" w14:textId="77777777" w:rsidR="00D41F9D" w:rsidRPr="0067507D" w:rsidRDefault="00D41F9D" w:rsidP="00124439">
      <w:pPr>
        <w:rPr>
          <w:rFonts w:eastAsiaTheme="minorEastAsia"/>
          <w:iCs/>
        </w:rPr>
      </w:pPr>
    </w:p>
    <w:p w14:paraId="2E1E73AE" w14:textId="2678E311" w:rsidR="00465369" w:rsidRPr="0067507D" w:rsidRDefault="00465369" w:rsidP="00C42850">
      <w:pPr>
        <w:pStyle w:val="Heading2"/>
      </w:pPr>
      <w:r w:rsidRPr="0067507D">
        <w:t>State Revenue Office</w:t>
      </w:r>
    </w:p>
    <w:p w14:paraId="362225F5" w14:textId="0C2AA108" w:rsidR="00C11738" w:rsidRPr="0067507D" w:rsidRDefault="00C11738" w:rsidP="00C11738">
      <w:r w:rsidRPr="0067507D">
        <w:t xml:space="preserve">The </w:t>
      </w:r>
      <w:r w:rsidR="005D06CE" w:rsidRPr="0067507D">
        <w:t>State Revenue Office (</w:t>
      </w:r>
      <w:r w:rsidRPr="0067507D">
        <w:t>SRO</w:t>
      </w:r>
      <w:r w:rsidR="005D06CE" w:rsidRPr="0067507D">
        <w:t>)</w:t>
      </w:r>
      <w:r w:rsidRPr="0067507D">
        <w:t xml:space="preserve"> supports the Government’s revenue management functions. The SRO administers Victoria’s taxation legislation and collects a range of taxes, duties and levies. The SRO also administers a range of grants, subsidies and exemptions.</w:t>
      </w:r>
    </w:p>
    <w:p w14:paraId="62CEC747" w14:textId="77777777" w:rsidR="00465369" w:rsidRPr="0067507D" w:rsidRDefault="00465369" w:rsidP="00E74700">
      <w:pPr>
        <w:rPr>
          <w:rFonts w:eastAsiaTheme="minorEastAsia"/>
          <w:iCs/>
        </w:rPr>
      </w:pPr>
    </w:p>
    <w:p w14:paraId="78FB930F" w14:textId="368CF66E" w:rsidR="00F354CC" w:rsidRPr="0067507D" w:rsidRDefault="00376EFE" w:rsidP="00F354CC">
      <w:r w:rsidRPr="0067507D">
        <w:br w:type="column"/>
      </w:r>
      <w:r w:rsidR="00F354CC" w:rsidRPr="0067507D">
        <w:t>DTF also supports the following portfolio agencies:</w:t>
      </w:r>
    </w:p>
    <w:p w14:paraId="7E6FCDE4" w14:textId="77777777" w:rsidR="00D86B44" w:rsidRPr="0067507D" w:rsidRDefault="00D86B44" w:rsidP="00655729">
      <w:pPr>
        <w:pStyle w:val="Bullet"/>
        <w:contextualSpacing/>
      </w:pPr>
      <w:r w:rsidRPr="0067507D">
        <w:t>Better Regulation Victoria</w:t>
      </w:r>
    </w:p>
    <w:p w14:paraId="72E28108" w14:textId="31E76428" w:rsidR="7C9D60FC" w:rsidRPr="0067507D" w:rsidRDefault="7C9D60FC" w:rsidP="2809C8CB">
      <w:pPr>
        <w:pStyle w:val="Bullet"/>
        <w:spacing w:before="40" w:after="40"/>
        <w:contextualSpacing/>
      </w:pPr>
      <w:r w:rsidRPr="0067507D">
        <w:t>Economic Growth Victoria</w:t>
      </w:r>
    </w:p>
    <w:p w14:paraId="18B56AD1" w14:textId="77777777" w:rsidR="00F354CC" w:rsidRPr="0067507D" w:rsidRDefault="00F354CC" w:rsidP="00655729">
      <w:pPr>
        <w:pStyle w:val="Bullet"/>
        <w:spacing w:before="40" w:after="40"/>
        <w:contextualSpacing/>
      </w:pPr>
      <w:r w:rsidRPr="0067507D">
        <w:t>Emergency Services and State Super</w:t>
      </w:r>
    </w:p>
    <w:p w14:paraId="02CF8096" w14:textId="77777777" w:rsidR="00F354CC" w:rsidRPr="0067507D" w:rsidRDefault="00F354CC" w:rsidP="00655729">
      <w:pPr>
        <w:pStyle w:val="Bullet"/>
        <w:contextualSpacing/>
      </w:pPr>
      <w:r w:rsidRPr="0067507D">
        <w:t>Essential Services Commission</w:t>
      </w:r>
    </w:p>
    <w:p w14:paraId="0022A6A6" w14:textId="7D29265F" w:rsidR="00224B9F" w:rsidRPr="0067507D" w:rsidRDefault="00224B9F" w:rsidP="00655729">
      <w:pPr>
        <w:pStyle w:val="Bullet"/>
        <w:contextualSpacing/>
      </w:pPr>
      <w:r w:rsidRPr="0067507D">
        <w:t>Infrastructure Victoria</w:t>
      </w:r>
    </w:p>
    <w:p w14:paraId="3D8D24F5" w14:textId="2CAA06EA" w:rsidR="00EB74B5" w:rsidRPr="0067507D" w:rsidRDefault="00EB74B5" w:rsidP="00EB74B5">
      <w:pPr>
        <w:pStyle w:val="Bullet"/>
        <w:contextualSpacing/>
      </w:pPr>
      <w:r w:rsidRPr="0067507D">
        <w:t>Labour Hire Authority</w:t>
      </w:r>
    </w:p>
    <w:p w14:paraId="6B180D6A" w14:textId="5507FD1C" w:rsidR="0042307D" w:rsidRPr="0067507D" w:rsidRDefault="00552296" w:rsidP="00655729">
      <w:pPr>
        <w:pStyle w:val="Bullet"/>
        <w:contextualSpacing/>
      </w:pPr>
      <w:r w:rsidRPr="0067507D">
        <w:t>Land Tax Hardship Relief Board</w:t>
      </w:r>
    </w:p>
    <w:p w14:paraId="3EE807CE" w14:textId="3662F934" w:rsidR="00446527" w:rsidRPr="0067507D" w:rsidRDefault="00446527" w:rsidP="00655729">
      <w:pPr>
        <w:pStyle w:val="Bullet"/>
        <w:contextualSpacing/>
      </w:pPr>
      <w:r w:rsidRPr="0067507D">
        <w:t>Medical Panels</w:t>
      </w:r>
    </w:p>
    <w:p w14:paraId="570D9EC2" w14:textId="6E9EBEDF" w:rsidR="00EB74B5" w:rsidRPr="0067507D" w:rsidRDefault="00EB74B5" w:rsidP="009305C2">
      <w:pPr>
        <w:pStyle w:val="Bullet"/>
        <w:contextualSpacing/>
      </w:pPr>
      <w:r w:rsidRPr="0067507D">
        <w:t xml:space="preserve">Portable Long Service Authority </w:t>
      </w:r>
    </w:p>
    <w:p w14:paraId="47C7ED3D" w14:textId="2A1B6709" w:rsidR="00F354CC" w:rsidRPr="0067507D" w:rsidRDefault="00F354CC" w:rsidP="00655729">
      <w:pPr>
        <w:pStyle w:val="Bullet"/>
        <w:spacing w:before="40" w:after="40"/>
        <w:contextualSpacing/>
      </w:pPr>
      <w:r w:rsidRPr="0067507D">
        <w:t>Registrar of Housing Agencies</w:t>
      </w:r>
    </w:p>
    <w:p w14:paraId="340E21B4" w14:textId="77777777" w:rsidR="00F354CC" w:rsidRPr="0067507D" w:rsidRDefault="00F354CC" w:rsidP="00655729">
      <w:pPr>
        <w:pStyle w:val="Bullet"/>
        <w:spacing w:before="40" w:after="40"/>
        <w:contextualSpacing/>
      </w:pPr>
      <w:r w:rsidRPr="0067507D">
        <w:t>State Trustees Limited</w:t>
      </w:r>
    </w:p>
    <w:p w14:paraId="558C6743" w14:textId="76A823BC" w:rsidR="000305B9" w:rsidRPr="0067507D" w:rsidRDefault="000305B9" w:rsidP="00655729">
      <w:pPr>
        <w:pStyle w:val="Bullet"/>
        <w:spacing w:before="40" w:after="40"/>
        <w:contextualSpacing/>
      </w:pPr>
      <w:r w:rsidRPr="0067507D">
        <w:t>Transport Accident Commission</w:t>
      </w:r>
    </w:p>
    <w:p w14:paraId="1D2FB7A8" w14:textId="77777777" w:rsidR="00F354CC" w:rsidRPr="0067507D" w:rsidRDefault="00F354CC" w:rsidP="00655729">
      <w:pPr>
        <w:pStyle w:val="Bullet"/>
        <w:spacing w:before="40" w:after="40"/>
        <w:contextualSpacing/>
      </w:pPr>
      <w:r w:rsidRPr="0067507D">
        <w:t>Treasury Corporation of Victoria</w:t>
      </w:r>
    </w:p>
    <w:p w14:paraId="15ACBDE7" w14:textId="1A64D6EF" w:rsidR="00424575" w:rsidRPr="0067507D" w:rsidRDefault="00424575" w:rsidP="00655729">
      <w:pPr>
        <w:pStyle w:val="Bullet"/>
        <w:spacing w:before="40" w:after="40"/>
        <w:contextualSpacing/>
      </w:pPr>
      <w:r w:rsidRPr="0067507D">
        <w:t>Victorian Asbestos Eradication Agency</w:t>
      </w:r>
    </w:p>
    <w:p w14:paraId="4AA56386" w14:textId="77777777" w:rsidR="00F354CC" w:rsidRPr="0067507D" w:rsidRDefault="00F354CC" w:rsidP="00655729">
      <w:pPr>
        <w:pStyle w:val="Bullet"/>
        <w:spacing w:before="40" w:after="40"/>
        <w:contextualSpacing/>
      </w:pPr>
      <w:r w:rsidRPr="0067507D">
        <w:t>Victorian Funds Management Corporation</w:t>
      </w:r>
    </w:p>
    <w:p w14:paraId="71CE6772" w14:textId="4D0BE569" w:rsidR="000442F1" w:rsidRPr="0067507D" w:rsidRDefault="000442F1" w:rsidP="00655729">
      <w:pPr>
        <w:pStyle w:val="Bullet"/>
        <w:spacing w:before="40" w:after="40"/>
        <w:contextualSpacing/>
      </w:pPr>
      <w:r w:rsidRPr="0067507D">
        <w:t>Victorian Independent Remuneration Tribunal</w:t>
      </w:r>
    </w:p>
    <w:p w14:paraId="3A4FDC52" w14:textId="77777777" w:rsidR="00161DD7" w:rsidRPr="0067507D" w:rsidRDefault="00F354CC" w:rsidP="00655729">
      <w:pPr>
        <w:pStyle w:val="Bullet"/>
        <w:spacing w:before="40" w:after="40"/>
        <w:contextualSpacing/>
      </w:pPr>
      <w:r w:rsidRPr="0067507D">
        <w:t>Victorian Managed Insurance Authority</w:t>
      </w:r>
    </w:p>
    <w:p w14:paraId="5FC6736A" w14:textId="4958703E" w:rsidR="00BA0616" w:rsidRPr="0067507D" w:rsidRDefault="00BA0616" w:rsidP="00655729">
      <w:pPr>
        <w:pStyle w:val="Bullet"/>
        <w:contextualSpacing/>
      </w:pPr>
      <w:r w:rsidRPr="0067507D">
        <w:t>Victorian Plantations Corporation</w:t>
      </w:r>
    </w:p>
    <w:p w14:paraId="37F390A3" w14:textId="040D6A08" w:rsidR="00C41FB5" w:rsidRPr="0067507D" w:rsidRDefault="00C41FB5" w:rsidP="00655729">
      <w:pPr>
        <w:pStyle w:val="Bullet"/>
        <w:contextualSpacing/>
      </w:pPr>
      <w:r w:rsidRPr="0067507D">
        <w:t>Wage Inspectorate Victoria</w:t>
      </w:r>
    </w:p>
    <w:p w14:paraId="668505F6" w14:textId="77777777" w:rsidR="00C42850" w:rsidRPr="0067507D" w:rsidRDefault="00BA0616" w:rsidP="00655729">
      <w:pPr>
        <w:pStyle w:val="Bullet"/>
        <w:contextualSpacing/>
      </w:pPr>
      <w:r w:rsidRPr="0067507D">
        <w:t>Workplace Injury Commission</w:t>
      </w:r>
    </w:p>
    <w:p w14:paraId="0FA5E5DC" w14:textId="01A6A589" w:rsidR="00E522B5" w:rsidRPr="0067507D" w:rsidRDefault="00161DD7" w:rsidP="00655729">
      <w:pPr>
        <w:pStyle w:val="Bullet"/>
        <w:contextualSpacing/>
      </w:pPr>
      <w:r w:rsidRPr="0067507D">
        <w:t>WorkSafe</w:t>
      </w:r>
      <w:r w:rsidR="00EC01A9" w:rsidRPr="0067507D">
        <w:t xml:space="preserve"> Victoria</w:t>
      </w:r>
    </w:p>
    <w:p w14:paraId="2DB36AFD" w14:textId="77777777" w:rsidR="00C72782" w:rsidRPr="0067507D" w:rsidRDefault="00C72782" w:rsidP="00E96413"/>
    <w:p w14:paraId="5FF11AD5" w14:textId="77777777" w:rsidR="00F354CC" w:rsidRPr="0067507D" w:rsidRDefault="00F354CC" w:rsidP="007E06F5">
      <w:pPr>
        <w:sectPr w:rsidR="00F354CC" w:rsidRPr="0067507D" w:rsidSect="00D16853">
          <w:type w:val="continuous"/>
          <w:pgSz w:w="11909" w:h="16834" w:code="9"/>
          <w:pgMar w:top="1728" w:right="1152" w:bottom="1152" w:left="1152" w:header="720" w:footer="288" w:gutter="0"/>
          <w:cols w:num="2" w:space="720"/>
          <w:noEndnote/>
        </w:sectPr>
      </w:pPr>
    </w:p>
    <w:p w14:paraId="3F9F5663" w14:textId="45755DF9" w:rsidR="00F354CC" w:rsidRPr="0067507D" w:rsidRDefault="00F354CC" w:rsidP="00F354CC">
      <w:pPr>
        <w:pStyle w:val="Heading1a"/>
      </w:pPr>
      <w:r w:rsidRPr="0067507D">
        <w:lastRenderedPageBreak/>
        <w:t>Governance of DTF</w:t>
      </w:r>
    </w:p>
    <w:p w14:paraId="5EC1FB37" w14:textId="77777777" w:rsidR="00F354CC" w:rsidRPr="0067507D" w:rsidRDefault="00F354CC" w:rsidP="00F354CC">
      <w:pPr>
        <w:sectPr w:rsidR="00F354CC" w:rsidRPr="0067507D" w:rsidSect="00D16853">
          <w:pgSz w:w="11909" w:h="16834" w:code="9"/>
          <w:pgMar w:top="1728" w:right="1152" w:bottom="1152" w:left="1152" w:header="720" w:footer="288" w:gutter="0"/>
          <w:cols w:space="720"/>
          <w:noEndnote/>
        </w:sectPr>
      </w:pPr>
    </w:p>
    <w:p w14:paraId="52CF525C" w14:textId="77777777" w:rsidR="00F354CC" w:rsidRPr="0067507D" w:rsidRDefault="00F354CC" w:rsidP="00F354CC">
      <w:r w:rsidRPr="0067507D">
        <w:t>The overarching governance body for the Department is the Treasury and Finance Board.</w:t>
      </w:r>
    </w:p>
    <w:p w14:paraId="7697640B" w14:textId="3D2610E0" w:rsidR="00F354CC" w:rsidRPr="0067507D" w:rsidRDefault="00F354CC" w:rsidP="00F354CC">
      <w:r w:rsidRPr="0067507D">
        <w:t xml:space="preserve">The Board’s membership </w:t>
      </w:r>
      <w:r w:rsidR="003253D0" w:rsidRPr="0067507D">
        <w:t xml:space="preserve">comprises the Senior Executive Group (SEG) and DTF General Counsel. </w:t>
      </w:r>
    </w:p>
    <w:p w14:paraId="5D40CD18" w14:textId="77777777" w:rsidR="002F51C5" w:rsidRPr="0067507D" w:rsidRDefault="002F51C5" w:rsidP="002F51C5">
      <w:r w:rsidRPr="0067507D">
        <w:t>The Board’s primary function is to set and monitor overall strategic direction, provide effective guidance and leadership, and ensure the sound financial management and compliance of the Department. The Board also provides high</w:t>
      </w:r>
      <w:r w:rsidRPr="0067507D">
        <w:noBreakHyphen/>
        <w:t>level monitoring and oversight of the Department’s people management and organisational strategies.</w:t>
      </w:r>
    </w:p>
    <w:p w14:paraId="168BED01" w14:textId="2DDB02C0" w:rsidR="00F354CC" w:rsidRPr="0067507D" w:rsidRDefault="00F354CC" w:rsidP="00F354CC">
      <w:r w:rsidRPr="0067507D">
        <w:t xml:space="preserve">The Board met </w:t>
      </w:r>
      <w:r w:rsidR="530DAA48" w:rsidRPr="0067507D">
        <w:t>nine</w:t>
      </w:r>
      <w:r w:rsidR="0D06C8C7" w:rsidRPr="0067507D">
        <w:t xml:space="preserve"> </w:t>
      </w:r>
      <w:r w:rsidRPr="0067507D">
        <w:t xml:space="preserve">times in </w:t>
      </w:r>
      <w:r w:rsidR="00C30F42" w:rsidRPr="0067507D">
        <w:t>2024</w:t>
      </w:r>
      <w:r w:rsidR="006A5485">
        <w:noBreakHyphen/>
      </w:r>
      <w:r w:rsidR="00C30F42" w:rsidRPr="0067507D">
        <w:t>25</w:t>
      </w:r>
      <w:r w:rsidRPr="0067507D">
        <w:t>.</w:t>
      </w:r>
    </w:p>
    <w:p w14:paraId="11100CD8" w14:textId="3DEC8A7C" w:rsidR="00F354CC" w:rsidRPr="0067507D" w:rsidRDefault="00F354CC" w:rsidP="00F354CC">
      <w:r w:rsidRPr="0067507D">
        <w:t xml:space="preserve">The functions of the Board are supported by </w:t>
      </w:r>
      <w:r w:rsidR="3EE752AF" w:rsidRPr="0067507D">
        <w:t>subcommittees.</w:t>
      </w:r>
      <w:r w:rsidRPr="0067507D">
        <w:t xml:space="preserve"> The current structure and role of</w:t>
      </w:r>
      <w:r w:rsidRPr="0067507D">
        <w:rPr>
          <w:rFonts w:ascii="Calibri" w:hAnsi="Calibri" w:cs="Calibri"/>
        </w:rPr>
        <w:t> </w:t>
      </w:r>
      <w:r w:rsidRPr="0067507D">
        <w:t xml:space="preserve">each </w:t>
      </w:r>
      <w:r w:rsidR="3EE752AF" w:rsidRPr="0067507D">
        <w:t>subcommittee is:</w:t>
      </w:r>
    </w:p>
    <w:p w14:paraId="2FC966E7" w14:textId="51AA7CCF" w:rsidR="00F354CC" w:rsidRPr="0067507D" w:rsidRDefault="00F354CC" w:rsidP="00655729">
      <w:pPr>
        <w:pStyle w:val="Bullet"/>
      </w:pPr>
      <w:r w:rsidRPr="0067507D">
        <w:rPr>
          <w:rFonts w:asciiTheme="majorHAnsi" w:hAnsiTheme="majorHAnsi"/>
          <w:bCs/>
        </w:rPr>
        <w:t>Information Management</w:t>
      </w:r>
      <w:r w:rsidR="427AF367" w:rsidRPr="0067507D">
        <w:rPr>
          <w:rFonts w:asciiTheme="majorHAnsi" w:hAnsiTheme="majorHAnsi"/>
          <w:bCs/>
        </w:rPr>
        <w:t xml:space="preserve"> Steering Committee</w:t>
      </w:r>
      <w:r w:rsidRPr="0067507D">
        <w:rPr>
          <w:rFonts w:asciiTheme="majorHAnsi" w:hAnsiTheme="majorHAnsi"/>
          <w:bCs/>
        </w:rPr>
        <w:t>:</w:t>
      </w:r>
      <w:r w:rsidRPr="0067507D">
        <w:t xml:space="preserve"> </w:t>
      </w:r>
      <w:r w:rsidR="000F7BD4" w:rsidRPr="0067507D">
        <w:t>guides and monitors information management and technology</w:t>
      </w:r>
      <w:r w:rsidR="006A5485">
        <w:noBreakHyphen/>
      </w:r>
      <w:r w:rsidR="000F7BD4" w:rsidRPr="0067507D">
        <w:t>enabled activities for DTF</w:t>
      </w:r>
    </w:p>
    <w:p w14:paraId="54DAA829" w14:textId="35A73212" w:rsidR="00F354CC" w:rsidRPr="0067507D" w:rsidRDefault="00F354CC" w:rsidP="00655729">
      <w:pPr>
        <w:pStyle w:val="Bullet"/>
      </w:pPr>
      <w:r w:rsidRPr="0067507D">
        <w:rPr>
          <w:rFonts w:asciiTheme="majorHAnsi" w:hAnsiTheme="majorHAnsi"/>
        </w:rPr>
        <w:t>People Committee:</w:t>
      </w:r>
      <w:r w:rsidRPr="0067507D">
        <w:t xml:space="preserve"> provides leadership to the Department and advises the Board on organisational culture, people, capability and communication issues and progresses initiatives defined within the People and Culture Strateg</w:t>
      </w:r>
      <w:r w:rsidR="00F47CA6" w:rsidRPr="0067507D">
        <w:t>ies</w:t>
      </w:r>
    </w:p>
    <w:p w14:paraId="6371FE44" w14:textId="50C68521" w:rsidR="00F354CC" w:rsidRPr="0067507D" w:rsidRDefault="00F354CC" w:rsidP="00655729">
      <w:pPr>
        <w:pStyle w:val="Bullet"/>
      </w:pPr>
      <w:r w:rsidRPr="0067507D">
        <w:rPr>
          <w:rFonts w:asciiTheme="majorHAnsi" w:hAnsiTheme="majorHAnsi"/>
        </w:rPr>
        <w:t>Remuneration Committee:</w:t>
      </w:r>
      <w:r w:rsidRPr="0067507D">
        <w:t xml:space="preserve"> reviews and approves all recruitment as well as related remuneration activities</w:t>
      </w:r>
    </w:p>
    <w:p w14:paraId="315F4CAB" w14:textId="3AC9AF22" w:rsidR="663DB9B2" w:rsidRPr="0067507D" w:rsidRDefault="663DB9B2" w:rsidP="4A475ECA">
      <w:pPr>
        <w:pStyle w:val="Bullet"/>
        <w:rPr>
          <w:rFonts w:ascii="VIC" w:hAnsi="VIC"/>
          <w:szCs w:val="17"/>
        </w:rPr>
      </w:pPr>
      <w:r w:rsidRPr="0067507D">
        <w:rPr>
          <w:rFonts w:asciiTheme="majorHAnsi" w:eastAsia="Arial" w:hAnsiTheme="majorHAnsi"/>
        </w:rPr>
        <w:t>Procurement Governance Committee</w:t>
      </w:r>
      <w:r w:rsidR="287E9A67" w:rsidRPr="0067507D">
        <w:rPr>
          <w:rFonts w:asciiTheme="majorHAnsi" w:eastAsia="Arial" w:hAnsiTheme="majorHAnsi"/>
        </w:rPr>
        <w:t>:</w:t>
      </w:r>
      <w:r w:rsidR="287E9A67" w:rsidRPr="0067507D">
        <w:rPr>
          <w:rFonts w:ascii="VIC" w:eastAsia="Arial" w:hAnsi="VIC" w:cs="Arial"/>
          <w:color w:val="232B39" w:themeColor="text1"/>
          <w:szCs w:val="17"/>
        </w:rPr>
        <w:t xml:space="preserve"> </w:t>
      </w:r>
      <w:r w:rsidR="00032A07" w:rsidRPr="0067507D">
        <w:rPr>
          <w:rFonts w:ascii="VIC" w:eastAsia="Arial" w:hAnsi="VIC" w:cs="Arial"/>
          <w:color w:val="232B39" w:themeColor="text1"/>
          <w:szCs w:val="17"/>
        </w:rPr>
        <w:t>o</w:t>
      </w:r>
      <w:r w:rsidR="287E9A67" w:rsidRPr="0067507D">
        <w:rPr>
          <w:rFonts w:ascii="VIC" w:eastAsia="Arial" w:hAnsi="VIC" w:cs="Arial"/>
          <w:color w:val="232B39" w:themeColor="text1"/>
          <w:szCs w:val="17"/>
        </w:rPr>
        <w:t>versees procurement governance across DTF, DPC and</w:t>
      </w:r>
      <w:r w:rsidR="00D41F9D" w:rsidRPr="0067507D">
        <w:rPr>
          <w:rFonts w:ascii="Calibri" w:eastAsia="Arial" w:hAnsi="Calibri" w:cs="Calibri"/>
          <w:color w:val="232B39" w:themeColor="text1"/>
          <w:szCs w:val="17"/>
        </w:rPr>
        <w:t> </w:t>
      </w:r>
      <w:r w:rsidR="287E9A67" w:rsidRPr="0067507D">
        <w:rPr>
          <w:rFonts w:ascii="VIC" w:eastAsia="Arial" w:hAnsi="VIC" w:cs="Arial"/>
          <w:color w:val="232B39" w:themeColor="text1"/>
          <w:szCs w:val="17"/>
        </w:rPr>
        <w:t>DGS</w:t>
      </w:r>
    </w:p>
    <w:p w14:paraId="36ED2347" w14:textId="33730271" w:rsidR="00137C70" w:rsidRPr="0067507D" w:rsidRDefault="00A655EE" w:rsidP="00026E3D">
      <w:pPr>
        <w:pStyle w:val="Bullet"/>
      </w:pPr>
      <w:r w:rsidRPr="0067507D">
        <w:rPr>
          <w:b/>
          <w:bCs/>
        </w:rPr>
        <w:t xml:space="preserve">Policy and Strategy Committee: </w:t>
      </w:r>
      <w:r w:rsidR="00026E3D" w:rsidRPr="0067507D">
        <w:t>provides strategic leadership within DTF on policy issues, drawing together expertise and perspectives from all areas of the department</w:t>
      </w:r>
    </w:p>
    <w:p w14:paraId="27345A96" w14:textId="7EDBEB5C" w:rsidR="00F354CC" w:rsidRPr="0067507D" w:rsidRDefault="00F354CC" w:rsidP="00655729">
      <w:pPr>
        <w:pStyle w:val="Bullet"/>
      </w:pPr>
      <w:r w:rsidRPr="0067507D">
        <w:rPr>
          <w:rFonts w:asciiTheme="majorHAnsi" w:hAnsiTheme="majorHAnsi"/>
          <w:bCs/>
        </w:rPr>
        <w:t>Audit and Risk Committee:</w:t>
      </w:r>
      <w:r w:rsidRPr="0067507D">
        <w:t xml:space="preserve"> see next column</w:t>
      </w:r>
      <w:r w:rsidR="0072391B" w:rsidRPr="0067507D">
        <w:t>.</w:t>
      </w:r>
    </w:p>
    <w:p w14:paraId="1E83E4D7" w14:textId="08196851" w:rsidR="00F354CC" w:rsidRPr="0067507D" w:rsidRDefault="00F354CC" w:rsidP="00F354CC">
      <w:pPr>
        <w:pStyle w:val="Heading3"/>
      </w:pPr>
      <w:r w:rsidRPr="0067507D">
        <w:br w:type="column"/>
      </w:r>
      <w:r w:rsidRPr="0067507D">
        <w:t>DTF Audit and Risk Committee membership and roles</w:t>
      </w:r>
    </w:p>
    <w:p w14:paraId="44EED65C" w14:textId="792C96E2" w:rsidR="00F354CC" w:rsidRPr="0067507D" w:rsidRDefault="00F354CC" w:rsidP="00F354CC">
      <w:bookmarkStart w:id="10" w:name="Functions_services2"/>
      <w:r w:rsidRPr="0067507D">
        <w:t xml:space="preserve">The Audit and Risk Committee comprised the following members as at </w:t>
      </w:r>
      <w:r w:rsidR="00C30F42" w:rsidRPr="0067507D">
        <w:t>30 June 2025</w:t>
      </w:r>
      <w:r w:rsidR="000555DD" w:rsidRPr="0067507D">
        <w:t>:</w:t>
      </w:r>
    </w:p>
    <w:bookmarkEnd w:id="10"/>
    <w:p w14:paraId="19A2617D" w14:textId="6AEE18A1" w:rsidR="00F354CC" w:rsidRPr="0067507D" w:rsidRDefault="00F57388" w:rsidP="00655729">
      <w:pPr>
        <w:pStyle w:val="Bullet"/>
      </w:pPr>
      <w:r w:rsidRPr="0067507D">
        <w:t>Mark Toohey</w:t>
      </w:r>
      <w:r w:rsidR="00F354CC" w:rsidRPr="0067507D">
        <w:t xml:space="preserve"> – Chair (</w:t>
      </w:r>
      <w:r w:rsidR="00C11E8F" w:rsidRPr="0067507D">
        <w:t>independent member</w:t>
      </w:r>
      <w:r w:rsidR="00F354CC" w:rsidRPr="0067507D">
        <w:t>)</w:t>
      </w:r>
    </w:p>
    <w:p w14:paraId="0582B8A1" w14:textId="4B33C9EE" w:rsidR="00F354CC" w:rsidRPr="0067507D" w:rsidRDefault="00F57388" w:rsidP="00655729">
      <w:pPr>
        <w:pStyle w:val="Bullet"/>
      </w:pPr>
      <w:r w:rsidRPr="0067507D">
        <w:t>Freya Marsden</w:t>
      </w:r>
      <w:r w:rsidR="00F354CC" w:rsidRPr="0067507D">
        <w:t xml:space="preserve"> (</w:t>
      </w:r>
      <w:r w:rsidR="00C11E8F" w:rsidRPr="0067507D">
        <w:t>independent member</w:t>
      </w:r>
      <w:r w:rsidR="00F354CC" w:rsidRPr="0067507D">
        <w:t>)</w:t>
      </w:r>
    </w:p>
    <w:p w14:paraId="02F19F28" w14:textId="1CD6899A" w:rsidR="00F354CC" w:rsidRPr="0067507D" w:rsidRDefault="00F354CC" w:rsidP="00655729">
      <w:pPr>
        <w:pStyle w:val="Bullet"/>
      </w:pPr>
      <w:r w:rsidRPr="0067507D">
        <w:rPr>
          <w:rFonts w:ascii="VIC" w:hAnsi="VIC"/>
        </w:rPr>
        <w:t>Jane Brockington (</w:t>
      </w:r>
      <w:r w:rsidR="00C11E8F" w:rsidRPr="0067507D">
        <w:t>independent member</w:t>
      </w:r>
      <w:r w:rsidRPr="0067507D">
        <w:rPr>
          <w:rFonts w:ascii="VIC" w:hAnsi="VIC"/>
        </w:rPr>
        <w:t>)</w:t>
      </w:r>
    </w:p>
    <w:p w14:paraId="0A736A85" w14:textId="47A843D9" w:rsidR="00F354CC" w:rsidRPr="0067507D" w:rsidRDefault="00BA7D5D" w:rsidP="00655729">
      <w:pPr>
        <w:pStyle w:val="Bullet"/>
      </w:pPr>
      <w:r w:rsidRPr="0067507D">
        <w:t>Kate O’Sullivan</w:t>
      </w:r>
    </w:p>
    <w:p w14:paraId="08CA3183" w14:textId="6276E22A" w:rsidR="00F354CC" w:rsidRPr="0067507D" w:rsidRDefault="00F354CC" w:rsidP="00655729">
      <w:pPr>
        <w:pStyle w:val="Bullet"/>
      </w:pPr>
      <w:r w:rsidRPr="0067507D">
        <w:t>Steve Mitsas</w:t>
      </w:r>
      <w:r w:rsidR="00EA3E51" w:rsidRPr="0067507D">
        <w:t>.</w:t>
      </w:r>
    </w:p>
    <w:p w14:paraId="4FDA13BF" w14:textId="02B6A107" w:rsidR="00F354CC" w:rsidRPr="0067507D" w:rsidRDefault="00F354CC" w:rsidP="00F354CC">
      <w:r w:rsidRPr="0067507D">
        <w:t>The main responsibilities of the Audit and Risk Committee are</w:t>
      </w:r>
      <w:r w:rsidR="00240BE7" w:rsidRPr="0067507D">
        <w:t xml:space="preserve"> </w:t>
      </w:r>
      <w:r w:rsidRPr="0067507D">
        <w:t>to:</w:t>
      </w:r>
    </w:p>
    <w:p w14:paraId="7C345490" w14:textId="77777777" w:rsidR="00F354CC" w:rsidRPr="0067507D" w:rsidRDefault="00F354CC" w:rsidP="00655729">
      <w:pPr>
        <w:pStyle w:val="Bullet"/>
      </w:pPr>
      <w:r w:rsidRPr="0067507D">
        <w:t>assist the Secretary in reviewing the effectiveness of the Department’s internal control environment covering:</w:t>
      </w:r>
    </w:p>
    <w:p w14:paraId="7E9D0AE0" w14:textId="77777777" w:rsidR="00F354CC" w:rsidRPr="0067507D" w:rsidRDefault="00F354CC" w:rsidP="00655729">
      <w:pPr>
        <w:pStyle w:val="Dash"/>
      </w:pPr>
      <w:r w:rsidRPr="0067507D">
        <w:t>effectiveness and efficiency of operations</w:t>
      </w:r>
    </w:p>
    <w:p w14:paraId="69B7293C" w14:textId="77777777" w:rsidR="00F354CC" w:rsidRPr="0067507D" w:rsidRDefault="00F354CC" w:rsidP="00655729">
      <w:pPr>
        <w:pStyle w:val="Dash"/>
      </w:pPr>
      <w:r w:rsidRPr="0067507D">
        <w:t>reliability of financial reporting</w:t>
      </w:r>
    </w:p>
    <w:p w14:paraId="32B5D85C" w14:textId="77777777" w:rsidR="00F354CC" w:rsidRPr="0067507D" w:rsidRDefault="00F354CC" w:rsidP="00655729">
      <w:pPr>
        <w:pStyle w:val="Dash"/>
      </w:pPr>
      <w:r w:rsidRPr="0067507D">
        <w:t>compliance with applicable laws and</w:t>
      </w:r>
      <w:r w:rsidRPr="0067507D">
        <w:rPr>
          <w:rFonts w:ascii="Calibri" w:hAnsi="Calibri"/>
        </w:rPr>
        <w:t> </w:t>
      </w:r>
      <w:r w:rsidRPr="0067507D">
        <w:t>regulations.</w:t>
      </w:r>
    </w:p>
    <w:p w14:paraId="053A1B0A" w14:textId="77777777" w:rsidR="00F354CC" w:rsidRPr="0067507D" w:rsidRDefault="00F354CC" w:rsidP="00655729">
      <w:pPr>
        <w:pStyle w:val="Bullet"/>
      </w:pPr>
      <w:r w:rsidRPr="0067507D">
        <w:t>determine the scope of the internal audit function and ensure its resources are adequate and used effectively, including coordination with the external auditors</w:t>
      </w:r>
    </w:p>
    <w:p w14:paraId="212C0B67" w14:textId="77777777" w:rsidR="00F354CC" w:rsidRPr="0067507D" w:rsidRDefault="00F354CC" w:rsidP="00655729">
      <w:pPr>
        <w:pStyle w:val="Bullet"/>
      </w:pPr>
      <w:r w:rsidRPr="0067507D">
        <w:t>maintain effective communication with external</w:t>
      </w:r>
      <w:r w:rsidRPr="0067507D">
        <w:rPr>
          <w:rFonts w:ascii="Calibri" w:hAnsi="Calibri"/>
        </w:rPr>
        <w:t> </w:t>
      </w:r>
      <w:r w:rsidRPr="0067507D">
        <w:t>auditors</w:t>
      </w:r>
    </w:p>
    <w:p w14:paraId="31BE2DCF" w14:textId="77777777" w:rsidR="00F354CC" w:rsidRPr="0067507D" w:rsidRDefault="00F354CC" w:rsidP="00275A0C">
      <w:pPr>
        <w:pStyle w:val="Bullet"/>
        <w:ind w:right="-58"/>
      </w:pPr>
      <w:r w:rsidRPr="0067507D">
        <w:t>consider recommendations made by internal and external auditors and review the implementation of actions to resolve issues raised</w:t>
      </w:r>
    </w:p>
    <w:p w14:paraId="67F02B4C" w14:textId="77777777" w:rsidR="00F354CC" w:rsidRPr="0067507D" w:rsidRDefault="00F354CC" w:rsidP="00655729">
      <w:pPr>
        <w:pStyle w:val="Bullet"/>
      </w:pPr>
      <w:r w:rsidRPr="0067507D">
        <w:t>oversee the effective operation of the risk management framework.</w:t>
      </w:r>
    </w:p>
    <w:p w14:paraId="03B9FF4B" w14:textId="236FC4FD" w:rsidR="00F354CC" w:rsidRPr="0067507D" w:rsidRDefault="00F354CC" w:rsidP="00F354CC">
      <w:r w:rsidRPr="0067507D">
        <w:t>The Department’s internal audit services were provided by KPMG.</w:t>
      </w:r>
    </w:p>
    <w:p w14:paraId="11839D51" w14:textId="77777777" w:rsidR="00F354CC" w:rsidRPr="0067507D" w:rsidRDefault="00F354CC" w:rsidP="00F354CC"/>
    <w:p w14:paraId="0136E154" w14:textId="77777777" w:rsidR="00F354CC" w:rsidRPr="0067507D" w:rsidRDefault="00F354CC" w:rsidP="00F354CC"/>
    <w:p w14:paraId="316F1022" w14:textId="77777777" w:rsidR="00F354CC" w:rsidRPr="0067507D" w:rsidRDefault="00F354CC" w:rsidP="00F354CC">
      <w:pPr>
        <w:sectPr w:rsidR="00F354CC" w:rsidRPr="0067507D" w:rsidSect="00031AEB">
          <w:type w:val="continuous"/>
          <w:pgSz w:w="11909" w:h="16834" w:code="9"/>
          <w:pgMar w:top="1728" w:right="1152" w:bottom="1152" w:left="1152" w:header="720" w:footer="288" w:gutter="0"/>
          <w:cols w:num="2" w:space="720"/>
          <w:noEndnote/>
        </w:sectPr>
      </w:pPr>
    </w:p>
    <w:p w14:paraId="0CCAC02C" w14:textId="5511B5C6" w:rsidR="00F354CC" w:rsidRPr="0067507D" w:rsidRDefault="00F354CC" w:rsidP="00F354CC">
      <w:pPr>
        <w:pStyle w:val="Heading1"/>
      </w:pPr>
      <w:bookmarkStart w:id="11" w:name="_Toc434228914"/>
      <w:bookmarkStart w:id="12" w:name="_Toc210221135"/>
      <w:bookmarkStart w:id="13" w:name="_Hlk49266275"/>
      <w:bookmarkStart w:id="14" w:name="_Hlk204248893"/>
      <w:r w:rsidRPr="0067507D">
        <w:lastRenderedPageBreak/>
        <w:t>Report of operations</w:t>
      </w:r>
      <w:bookmarkEnd w:id="11"/>
      <w:bookmarkEnd w:id="12"/>
    </w:p>
    <w:p w14:paraId="593B1277" w14:textId="77777777" w:rsidR="00F354CC" w:rsidRPr="0067507D" w:rsidRDefault="00F354CC" w:rsidP="00F354CC">
      <w:pPr>
        <w:pStyle w:val="Heading2"/>
        <w:sectPr w:rsidR="00F354CC" w:rsidRPr="0067507D" w:rsidSect="00D16853">
          <w:pgSz w:w="11909" w:h="16834" w:code="9"/>
          <w:pgMar w:top="1728" w:right="1152" w:bottom="1152" w:left="1152" w:header="720" w:footer="288" w:gutter="0"/>
          <w:cols w:space="720"/>
          <w:noEndnote/>
        </w:sectPr>
      </w:pPr>
    </w:p>
    <w:bookmarkEnd w:id="13"/>
    <w:p w14:paraId="4A404372" w14:textId="11E4DF07" w:rsidR="00F354CC" w:rsidRPr="0067507D" w:rsidRDefault="00F354CC" w:rsidP="00F354CC">
      <w:pPr>
        <w:pStyle w:val="Heading2"/>
      </w:pPr>
      <w:r w:rsidRPr="0067507D">
        <w:t>Secretary’s foreword</w:t>
      </w:r>
    </w:p>
    <w:p w14:paraId="0A27B90B" w14:textId="77777777" w:rsidR="00526FCC" w:rsidRPr="0067507D" w:rsidRDefault="00526FCC" w:rsidP="003D62FA">
      <w:pPr>
        <w:rPr>
          <w:szCs w:val="17"/>
        </w:rPr>
        <w:sectPr w:rsidR="00526FCC" w:rsidRPr="0067507D" w:rsidSect="007C2FF8">
          <w:headerReference w:type="even" r:id="rId34"/>
          <w:headerReference w:type="default" r:id="rId35"/>
          <w:footerReference w:type="default" r:id="rId36"/>
          <w:headerReference w:type="first" r:id="rId37"/>
          <w:footerReference w:type="first" r:id="rId38"/>
          <w:type w:val="continuous"/>
          <w:pgSz w:w="11909" w:h="16834" w:code="9"/>
          <w:pgMar w:top="1728" w:right="1152" w:bottom="1152" w:left="1152" w:header="720" w:footer="288" w:gutter="0"/>
          <w:cols w:num="2" w:space="720"/>
          <w:noEndnote/>
        </w:sectPr>
      </w:pPr>
    </w:p>
    <w:p w14:paraId="6361C22A" w14:textId="6D4397F2" w:rsidR="07F9A0CF" w:rsidRPr="0067507D" w:rsidRDefault="07F9A0CF" w:rsidP="00991BA8">
      <w:r w:rsidRPr="0067507D">
        <w:rPr>
          <w:rFonts w:eastAsia="Aptos" w:cs="Aptos"/>
          <w:szCs w:val="17"/>
        </w:rPr>
        <w:t xml:space="preserve">I am pleased to present the </w:t>
      </w:r>
      <w:r w:rsidR="00C30F42" w:rsidRPr="0067507D">
        <w:rPr>
          <w:rFonts w:eastAsia="Aptos" w:cs="Aptos"/>
          <w:i/>
          <w:szCs w:val="17"/>
        </w:rPr>
        <w:t>2024</w:t>
      </w:r>
      <w:r w:rsidR="006A5485">
        <w:rPr>
          <w:rFonts w:eastAsia="Aptos" w:cs="Aptos"/>
          <w:i/>
          <w:szCs w:val="17"/>
        </w:rPr>
        <w:noBreakHyphen/>
      </w:r>
      <w:r w:rsidR="00C30F42" w:rsidRPr="0067507D">
        <w:rPr>
          <w:rFonts w:eastAsia="Aptos" w:cs="Aptos"/>
          <w:i/>
          <w:szCs w:val="17"/>
        </w:rPr>
        <w:t>25</w:t>
      </w:r>
      <w:r w:rsidRPr="0067507D">
        <w:rPr>
          <w:rFonts w:eastAsia="Aptos" w:cs="Aptos"/>
          <w:i/>
          <w:szCs w:val="17"/>
        </w:rPr>
        <w:t xml:space="preserve"> Annual Report</w:t>
      </w:r>
      <w:r w:rsidRPr="0067507D">
        <w:rPr>
          <w:rFonts w:eastAsia="Aptos" w:cs="Aptos"/>
          <w:szCs w:val="17"/>
        </w:rPr>
        <w:t xml:space="preserve"> for the Department of Treasury and Finance (DTF). </w:t>
      </w:r>
    </w:p>
    <w:p w14:paraId="186CC717" w14:textId="2534184E" w:rsidR="006B0D6E" w:rsidRPr="0067507D" w:rsidRDefault="559D5208" w:rsidP="0047143F">
      <w:pPr>
        <w:rPr>
          <w:rFonts w:eastAsia="Times" w:cs="Times"/>
          <w:color w:val="000000"/>
        </w:rPr>
      </w:pPr>
      <w:r w:rsidRPr="0067507D">
        <w:rPr>
          <w:rFonts w:eastAsia="Times" w:cs="Times"/>
          <w:color w:val="000000"/>
        </w:rPr>
        <w:t xml:space="preserve">In a time of global economic challenge, DTF has supported the Government’s economic agenda </w:t>
      </w:r>
      <w:r w:rsidR="00686F7F" w:rsidRPr="0067507D">
        <w:rPr>
          <w:rFonts w:eastAsia="Times" w:cs="Times"/>
          <w:color w:val="000000"/>
        </w:rPr>
        <w:t>and its</w:t>
      </w:r>
      <w:r w:rsidR="47461E1D" w:rsidRPr="0067507D">
        <w:rPr>
          <w:rFonts w:eastAsia="Times" w:cs="Times"/>
          <w:color w:val="000000"/>
        </w:rPr>
        <w:t xml:space="preserve"> </w:t>
      </w:r>
      <w:r w:rsidRPr="0067507D">
        <w:rPr>
          <w:rFonts w:eastAsia="Times" w:cs="Times"/>
          <w:color w:val="000000"/>
        </w:rPr>
        <w:t xml:space="preserve">commitment to deliver </w:t>
      </w:r>
      <w:r w:rsidR="1AE5CE64" w:rsidRPr="0067507D">
        <w:rPr>
          <w:rFonts w:eastAsia="Times" w:cs="Times"/>
          <w:color w:val="000000"/>
        </w:rPr>
        <w:t xml:space="preserve">its </w:t>
      </w:r>
      <w:r w:rsidRPr="0067507D">
        <w:rPr>
          <w:rFonts w:eastAsia="Times" w:cs="Times"/>
          <w:color w:val="000000"/>
        </w:rPr>
        <w:t>five</w:t>
      </w:r>
      <w:r w:rsidR="006A5485">
        <w:rPr>
          <w:rFonts w:eastAsia="Times" w:cs="Times"/>
          <w:color w:val="000000"/>
        </w:rPr>
        <w:noBreakHyphen/>
      </w:r>
      <w:r w:rsidRPr="0067507D">
        <w:rPr>
          <w:rFonts w:eastAsia="Times" w:cs="Times"/>
          <w:color w:val="000000"/>
        </w:rPr>
        <w:t>step fiscal strategy and grow the Victorian economy.</w:t>
      </w:r>
      <w:r w:rsidR="00644244" w:rsidRPr="0067507D">
        <w:rPr>
          <w:rFonts w:eastAsia="Times" w:cs="Times"/>
          <w:color w:val="000000"/>
        </w:rPr>
        <w:t xml:space="preserve"> </w:t>
      </w:r>
    </w:p>
    <w:p w14:paraId="4140F858" w14:textId="52973825" w:rsidR="008653B5" w:rsidRPr="0067507D" w:rsidRDefault="008653B5" w:rsidP="0047143F">
      <w:pPr>
        <w:rPr>
          <w:rFonts w:ascii="Aptos" w:hAnsi="Aptos"/>
          <w:sz w:val="22"/>
          <w:szCs w:val="22"/>
        </w:rPr>
      </w:pPr>
      <w:r w:rsidRPr="0067507D">
        <w:t>This year has seen a strong Victorian economy and labour market with healthy job creation, as almost 85</w:t>
      </w:r>
      <w:r w:rsidR="00B01689" w:rsidRPr="0067507D">
        <w:rPr>
          <w:rFonts w:ascii="Calibri" w:hAnsi="Calibri" w:cs="Calibri"/>
        </w:rPr>
        <w:t> </w:t>
      </w:r>
      <w:r w:rsidRPr="0067507D">
        <w:t>000 more Victorians secured employment.</w:t>
      </w:r>
    </w:p>
    <w:p w14:paraId="7DDC6310" w14:textId="1E8CE6F2" w:rsidR="004E4534" w:rsidRPr="0067507D" w:rsidRDefault="008653B5" w:rsidP="0047143F">
      <w:r w:rsidRPr="0067507D">
        <w:t>We’ve seen headline inflation slow to 2.</w:t>
      </w:r>
      <w:r w:rsidR="00347E70" w:rsidRPr="0067507D">
        <w:t>1</w:t>
      </w:r>
      <w:r w:rsidR="005F0706" w:rsidRPr="0067507D">
        <w:t xml:space="preserve"> </w:t>
      </w:r>
      <w:r w:rsidRPr="0067507D">
        <w:t xml:space="preserve">per cent in </w:t>
      </w:r>
      <w:r w:rsidR="005F0706" w:rsidRPr="0067507D">
        <w:t xml:space="preserve">June </w:t>
      </w:r>
      <w:r w:rsidRPr="0067507D">
        <w:t xml:space="preserve">2025, enabling the Reserve Bank of Australia to begin reducing interest rates. However, cost of living pressures remain elevated as they do nationally, putting a strain on household budgets. </w:t>
      </w:r>
    </w:p>
    <w:p w14:paraId="74841C8F" w14:textId="03EB3A85" w:rsidR="008653B5" w:rsidRPr="0067507D" w:rsidRDefault="002C05E8" w:rsidP="0047143F">
      <w:r w:rsidRPr="0067507D">
        <w:t>The</w:t>
      </w:r>
      <w:r w:rsidR="008653B5" w:rsidRPr="0067507D">
        <w:t xml:space="preserve"> Victorian economy has been resilient to these</w:t>
      </w:r>
      <w:r w:rsidR="00B01689" w:rsidRPr="0067507D">
        <w:rPr>
          <w:rFonts w:ascii="Calibri" w:hAnsi="Calibri" w:cs="Calibri"/>
        </w:rPr>
        <w:t> </w:t>
      </w:r>
      <w:r w:rsidR="008653B5" w:rsidRPr="0067507D">
        <w:t xml:space="preserve">pressures as </w:t>
      </w:r>
      <w:r w:rsidRPr="0067507D">
        <w:t>it</w:t>
      </w:r>
      <w:r w:rsidR="008653B5" w:rsidRPr="0067507D">
        <w:t xml:space="preserve"> has continued to grow</w:t>
      </w:r>
      <w:r w:rsidR="00153542" w:rsidRPr="0067507D">
        <w:t>. U</w:t>
      </w:r>
      <w:r w:rsidR="008653B5" w:rsidRPr="0067507D">
        <w:t>nemployment remains low compared with the long</w:t>
      </w:r>
      <w:r w:rsidR="00114E27" w:rsidRPr="0067507D">
        <w:noBreakHyphen/>
      </w:r>
      <w:r w:rsidR="008653B5" w:rsidRPr="0067507D">
        <w:t>term pre</w:t>
      </w:r>
      <w:r w:rsidR="006A5485">
        <w:noBreakHyphen/>
      </w:r>
      <w:r w:rsidR="008653B5" w:rsidRPr="0067507D">
        <w:t>pandemic average. Against a backdrop of higher global risks and headwinds, the</w:t>
      </w:r>
      <w:r w:rsidR="00B01689" w:rsidRPr="0067507D">
        <w:rPr>
          <w:rFonts w:ascii="Calibri" w:hAnsi="Calibri" w:cs="Calibri"/>
        </w:rPr>
        <w:t> </w:t>
      </w:r>
      <w:r w:rsidR="008653B5" w:rsidRPr="0067507D">
        <w:t>State’s economic outlook remains robust.</w:t>
      </w:r>
    </w:p>
    <w:bookmarkEnd w:id="14"/>
    <w:p w14:paraId="165B236C" w14:textId="4B23288A" w:rsidR="07F9A0CF" w:rsidRPr="0067507D" w:rsidRDefault="07F9A0CF" w:rsidP="00991BA8">
      <w:r w:rsidRPr="0067507D">
        <w:rPr>
          <w:rFonts w:eastAsia="Aptos" w:cs="Aptos"/>
          <w:szCs w:val="17"/>
        </w:rPr>
        <w:t xml:space="preserve">The Department will continue to provide robust analysis and advice to inform the Government’s agenda. </w:t>
      </w:r>
    </w:p>
    <w:p w14:paraId="21A3F07B" w14:textId="7E7696F2" w:rsidR="00D702B8" w:rsidRPr="0067507D" w:rsidRDefault="07F9A0CF" w:rsidP="00991BA8">
      <w:r w:rsidRPr="0067507D">
        <w:rPr>
          <w:rFonts w:eastAsia="Aptos" w:cs="Aptos"/>
          <w:szCs w:val="17"/>
        </w:rPr>
        <w:t xml:space="preserve">The Department’s major achievements for </w:t>
      </w:r>
      <w:r w:rsidR="00C30F42" w:rsidRPr="0067507D">
        <w:rPr>
          <w:rFonts w:eastAsia="Aptos" w:cs="Aptos"/>
          <w:szCs w:val="17"/>
        </w:rPr>
        <w:t>2024</w:t>
      </w:r>
      <w:r w:rsidR="006A5485">
        <w:rPr>
          <w:rFonts w:eastAsia="Aptos" w:cs="Aptos"/>
          <w:szCs w:val="17"/>
        </w:rPr>
        <w:noBreakHyphen/>
      </w:r>
      <w:r w:rsidR="00C30F42" w:rsidRPr="0067507D">
        <w:rPr>
          <w:rFonts w:eastAsia="Aptos" w:cs="Aptos"/>
          <w:szCs w:val="17"/>
        </w:rPr>
        <w:t>25</w:t>
      </w:r>
      <w:r w:rsidRPr="0067507D">
        <w:rPr>
          <w:rFonts w:eastAsia="Aptos" w:cs="Aptos"/>
          <w:szCs w:val="17"/>
        </w:rPr>
        <w:t xml:space="preserve"> include: </w:t>
      </w:r>
    </w:p>
    <w:p w14:paraId="20374619" w14:textId="69987CFC" w:rsidR="00D702B8" w:rsidRPr="0067507D" w:rsidRDefault="00D702B8" w:rsidP="0047143F">
      <w:pPr>
        <w:pStyle w:val="Bullet"/>
        <w:rPr>
          <w:rFonts w:eastAsia="Aptos" w:cs="Aptos"/>
          <w:i/>
          <w:szCs w:val="17"/>
        </w:rPr>
      </w:pPr>
      <w:r w:rsidRPr="0067507D">
        <w:rPr>
          <w:rFonts w:eastAsia="Aptos"/>
        </w:rPr>
        <w:t xml:space="preserve">preparing and producing key financial publications, including the </w:t>
      </w:r>
      <w:r w:rsidRPr="0067507D">
        <w:rPr>
          <w:rFonts w:eastAsia="Aptos"/>
          <w:i/>
        </w:rPr>
        <w:t>202</w:t>
      </w:r>
      <w:r w:rsidR="00EF7445" w:rsidRPr="0067507D">
        <w:rPr>
          <w:rFonts w:eastAsia="Aptos"/>
          <w:i/>
        </w:rPr>
        <w:t>3</w:t>
      </w:r>
      <w:r w:rsidR="006A5485">
        <w:rPr>
          <w:rFonts w:eastAsia="Aptos"/>
          <w:i/>
        </w:rPr>
        <w:noBreakHyphen/>
      </w:r>
      <w:r w:rsidRPr="0067507D">
        <w:rPr>
          <w:rFonts w:eastAsia="Aptos"/>
          <w:i/>
        </w:rPr>
        <w:t>2</w:t>
      </w:r>
      <w:r w:rsidR="00EF7445" w:rsidRPr="0067507D">
        <w:rPr>
          <w:rFonts w:eastAsia="Aptos"/>
          <w:i/>
        </w:rPr>
        <w:t>4</w:t>
      </w:r>
      <w:r w:rsidRPr="0067507D">
        <w:rPr>
          <w:rFonts w:eastAsia="Aptos"/>
          <w:i/>
        </w:rPr>
        <w:t xml:space="preserve"> Financial Report</w:t>
      </w:r>
      <w:r w:rsidRPr="0067507D">
        <w:rPr>
          <w:rFonts w:eastAsia="Aptos" w:cs="Aptos"/>
          <w:szCs w:val="17"/>
        </w:rPr>
        <w:t xml:space="preserve">, the </w:t>
      </w:r>
      <w:r w:rsidRPr="0067507D">
        <w:rPr>
          <w:rFonts w:eastAsia="Aptos"/>
          <w:i/>
        </w:rPr>
        <w:t>202</w:t>
      </w:r>
      <w:r w:rsidR="006D103C" w:rsidRPr="0067507D">
        <w:rPr>
          <w:rFonts w:eastAsia="Aptos"/>
          <w:i/>
        </w:rPr>
        <w:t>4</w:t>
      </w:r>
      <w:r w:rsidR="006A5485">
        <w:rPr>
          <w:rFonts w:eastAsia="Aptos"/>
          <w:i/>
        </w:rPr>
        <w:noBreakHyphen/>
      </w:r>
      <w:r w:rsidRPr="0067507D">
        <w:rPr>
          <w:rFonts w:eastAsia="Aptos"/>
          <w:i/>
        </w:rPr>
        <w:t>2</w:t>
      </w:r>
      <w:r w:rsidR="006D103C" w:rsidRPr="0067507D">
        <w:rPr>
          <w:rFonts w:eastAsia="Aptos"/>
          <w:i/>
        </w:rPr>
        <w:t>5</w:t>
      </w:r>
      <w:r w:rsidRPr="0067507D">
        <w:rPr>
          <w:rFonts w:eastAsia="Aptos"/>
          <w:i/>
        </w:rPr>
        <w:t xml:space="preserve"> Budget Update</w:t>
      </w:r>
      <w:r w:rsidR="00BA2944" w:rsidRPr="0067507D">
        <w:rPr>
          <w:rFonts w:eastAsia="Aptos"/>
          <w:i/>
          <w:iCs/>
        </w:rPr>
        <w:t>,</w:t>
      </w:r>
      <w:r w:rsidRPr="0067507D">
        <w:rPr>
          <w:rFonts w:eastAsia="Aptos" w:cs="Aptos"/>
          <w:szCs w:val="17"/>
        </w:rPr>
        <w:t xml:space="preserve"> the </w:t>
      </w:r>
      <w:r w:rsidRPr="0067507D">
        <w:rPr>
          <w:rFonts w:eastAsia="Aptos"/>
          <w:i/>
        </w:rPr>
        <w:t>202</w:t>
      </w:r>
      <w:r w:rsidR="00EF7445" w:rsidRPr="0067507D">
        <w:rPr>
          <w:rFonts w:eastAsia="Aptos"/>
          <w:i/>
        </w:rPr>
        <w:t>4</w:t>
      </w:r>
      <w:r w:rsidR="00275A0C" w:rsidRPr="0067507D">
        <w:rPr>
          <w:rFonts w:eastAsia="Aptos"/>
          <w:i/>
        </w:rPr>
        <w:noBreakHyphen/>
      </w:r>
      <w:r w:rsidRPr="0067507D">
        <w:rPr>
          <w:rFonts w:eastAsia="Aptos"/>
          <w:i/>
        </w:rPr>
        <w:t>2</w:t>
      </w:r>
      <w:r w:rsidR="00EF7445" w:rsidRPr="0067507D">
        <w:rPr>
          <w:rFonts w:eastAsia="Aptos"/>
          <w:i/>
        </w:rPr>
        <w:t>5</w:t>
      </w:r>
      <w:r w:rsidR="00275A0C" w:rsidRPr="0067507D">
        <w:rPr>
          <w:rFonts w:ascii="Calibri" w:eastAsia="Aptos" w:hAnsi="Calibri" w:cs="Calibri"/>
          <w:i/>
        </w:rPr>
        <w:t> </w:t>
      </w:r>
      <w:r w:rsidRPr="0067507D">
        <w:rPr>
          <w:rFonts w:eastAsia="Aptos"/>
          <w:i/>
        </w:rPr>
        <w:t>Mid</w:t>
      </w:r>
      <w:r w:rsidR="006A5485">
        <w:rPr>
          <w:rFonts w:eastAsia="Aptos"/>
          <w:i/>
        </w:rPr>
        <w:noBreakHyphen/>
      </w:r>
      <w:r w:rsidRPr="0067507D">
        <w:rPr>
          <w:rFonts w:eastAsia="Aptos"/>
          <w:i/>
        </w:rPr>
        <w:t>Year Financial Report</w:t>
      </w:r>
      <w:r w:rsidRPr="0067507D">
        <w:rPr>
          <w:rFonts w:eastAsia="Aptos" w:cs="Aptos"/>
          <w:szCs w:val="17"/>
        </w:rPr>
        <w:t xml:space="preserve"> </w:t>
      </w:r>
      <w:r w:rsidR="00E266B5" w:rsidRPr="0067507D">
        <w:rPr>
          <w:rFonts w:eastAsia="Aptos" w:cs="Aptos"/>
          <w:szCs w:val="17"/>
        </w:rPr>
        <w:t xml:space="preserve">and the </w:t>
      </w:r>
      <w:r w:rsidR="00E266B5" w:rsidRPr="0067507D">
        <w:rPr>
          <w:rFonts w:eastAsia="Aptos"/>
          <w:i/>
        </w:rPr>
        <w:t>2025</w:t>
      </w:r>
      <w:r w:rsidR="00275A0C" w:rsidRPr="0067507D">
        <w:rPr>
          <w:rFonts w:eastAsia="Aptos"/>
          <w:i/>
        </w:rPr>
        <w:noBreakHyphen/>
      </w:r>
      <w:r w:rsidR="00E266B5" w:rsidRPr="0067507D">
        <w:rPr>
          <w:rFonts w:eastAsia="Aptos"/>
          <w:i/>
        </w:rPr>
        <w:t>26 Budget</w:t>
      </w:r>
    </w:p>
    <w:p w14:paraId="52B7F08A" w14:textId="0281D094" w:rsidR="00DF54A9" w:rsidRPr="0067507D" w:rsidRDefault="00DF54A9" w:rsidP="00DF54A9">
      <w:pPr>
        <w:pStyle w:val="Bullet"/>
        <w:rPr>
          <w:rFonts w:eastAsia="Aptos" w:cs="Aptos"/>
          <w:szCs w:val="17"/>
        </w:rPr>
      </w:pPr>
      <w:r w:rsidRPr="0067507D">
        <w:rPr>
          <w:rFonts w:eastAsia="Aptos"/>
        </w:rPr>
        <w:t xml:space="preserve">supporting the Government in </w:t>
      </w:r>
      <w:r w:rsidR="00783AC1" w:rsidRPr="0067507D">
        <w:rPr>
          <w:rFonts w:eastAsia="Aptos"/>
        </w:rPr>
        <w:t>continuing to deliver on its five</w:t>
      </w:r>
      <w:r w:rsidR="006A5485">
        <w:rPr>
          <w:rFonts w:eastAsia="Aptos"/>
        </w:rPr>
        <w:noBreakHyphen/>
      </w:r>
      <w:r w:rsidR="00783AC1" w:rsidRPr="0067507D">
        <w:rPr>
          <w:rFonts w:eastAsia="Aptos"/>
        </w:rPr>
        <w:t>step</w:t>
      </w:r>
      <w:r w:rsidRPr="0067507D">
        <w:rPr>
          <w:rFonts w:eastAsia="Aptos"/>
        </w:rPr>
        <w:t xml:space="preserve"> fiscal strategy </w:t>
      </w:r>
    </w:p>
    <w:p w14:paraId="5171D55D" w14:textId="0D9D3311" w:rsidR="000454D5" w:rsidRPr="0067507D" w:rsidRDefault="00783AC1" w:rsidP="0047143F">
      <w:pPr>
        <w:pStyle w:val="Bullet"/>
        <w:rPr>
          <w:rFonts w:ascii="Aptos" w:hAnsi="Aptos"/>
          <w:sz w:val="22"/>
          <w:szCs w:val="22"/>
        </w:rPr>
      </w:pPr>
      <w:r w:rsidRPr="0067507D">
        <w:t xml:space="preserve">helping develop </w:t>
      </w:r>
      <w:r w:rsidR="00554E3C" w:rsidRPr="0067507D">
        <w:t>the Government’s</w:t>
      </w:r>
      <w:r w:rsidR="00554E3C" w:rsidRPr="0067507D">
        <w:rPr>
          <w:i/>
        </w:rPr>
        <w:t xml:space="preserve"> Economic Growth Statement</w:t>
      </w:r>
      <w:r w:rsidR="00554E3C" w:rsidRPr="0067507D">
        <w:t xml:space="preserve">, with more than 40 initiatives </w:t>
      </w:r>
      <w:r w:rsidR="00851130" w:rsidRPr="0067507D">
        <w:t>supporting a vision for a prosperous Victoria</w:t>
      </w:r>
    </w:p>
    <w:p w14:paraId="359F7587" w14:textId="7E1BB7A7" w:rsidR="00702F79" w:rsidRPr="0067507D" w:rsidRDefault="00702F79" w:rsidP="0047143F">
      <w:pPr>
        <w:pStyle w:val="Bullet"/>
      </w:pPr>
      <w:r w:rsidRPr="0067507D">
        <w:t>supporting the development and introduction of the Financial Management Legislation Amendment Bill 2025</w:t>
      </w:r>
      <w:r w:rsidR="0035391B" w:rsidRPr="0067507D">
        <w:t xml:space="preserve"> to strengthen the </w:t>
      </w:r>
      <w:r w:rsidR="00FE2916" w:rsidRPr="0067507D">
        <w:t xml:space="preserve">requirements and accountability for financial management and modernise the </w:t>
      </w:r>
      <w:r w:rsidR="00FE2916" w:rsidRPr="0067507D">
        <w:rPr>
          <w:i/>
        </w:rPr>
        <w:t>Financial Management Act 1994</w:t>
      </w:r>
    </w:p>
    <w:p w14:paraId="60A8B4CA" w14:textId="20C9DE8A" w:rsidR="00554E3C" w:rsidRPr="0067507D" w:rsidRDefault="007E0530" w:rsidP="0047143F">
      <w:pPr>
        <w:pStyle w:val="Bullet"/>
      </w:pPr>
      <w:r w:rsidRPr="0067507D">
        <w:t>l</w:t>
      </w:r>
      <w:r w:rsidR="00554E3C" w:rsidRPr="0067507D">
        <w:t>eading Victoria’s contribution to the Commonwealth Grants Commission 2025 Methodology Review, including securing fair treatment of spending required to meet the needs of Victoria</w:t>
      </w:r>
      <w:r w:rsidR="007E535D" w:rsidRPr="0067507D">
        <w:t>’</w:t>
      </w:r>
      <w:r w:rsidR="00554E3C" w:rsidRPr="0067507D">
        <w:t>s growing population, and respond to the COVID</w:t>
      </w:r>
      <w:r w:rsidR="006A5485">
        <w:noBreakHyphen/>
      </w:r>
      <w:r w:rsidR="00554E3C" w:rsidRPr="0067507D">
        <w:t xml:space="preserve">19 pandemic </w:t>
      </w:r>
    </w:p>
    <w:p w14:paraId="0068FA01" w14:textId="3DFE6148" w:rsidR="00FC70D3" w:rsidRPr="0067507D" w:rsidRDefault="007E0530" w:rsidP="00FC1669">
      <w:pPr>
        <w:pStyle w:val="Bullet"/>
        <w:keepNext/>
      </w:pPr>
      <w:r w:rsidRPr="0067507D">
        <w:t>i</w:t>
      </w:r>
      <w:r w:rsidR="00554E3C" w:rsidRPr="0067507D">
        <w:t>mplementing the Emergency Services and Volunteers Fund, including a new volunteers</w:t>
      </w:r>
      <w:r w:rsidR="003B6B04" w:rsidRPr="0067507D">
        <w:t>’</w:t>
      </w:r>
      <w:r w:rsidR="00554E3C" w:rsidRPr="0067507D">
        <w:t xml:space="preserve"> exemption</w:t>
      </w:r>
    </w:p>
    <w:p w14:paraId="062A9DA1" w14:textId="408E637A" w:rsidR="47CC7DF5" w:rsidRPr="0067507D" w:rsidRDefault="007E0530" w:rsidP="0047143F">
      <w:pPr>
        <w:pStyle w:val="Bullet"/>
        <w:keepNext/>
        <w:ind w:right="-58"/>
        <w:rPr>
          <w:rFonts w:eastAsia="Aptos" w:cs="Aptos"/>
        </w:rPr>
      </w:pPr>
      <w:r w:rsidRPr="0067507D">
        <w:t>c</w:t>
      </w:r>
      <w:r w:rsidR="00554E3C" w:rsidRPr="0067507D">
        <w:t>ontributing to an integrated building regulator and insurer, the Building and Plumbing Commission, including transition of responsibility for domestic building insurance from the Victorian Managed Insurance Authority</w:t>
      </w:r>
    </w:p>
    <w:p w14:paraId="31D19218" w14:textId="028221D6" w:rsidR="2EC09C33" w:rsidRPr="0067507D" w:rsidRDefault="00BF3081" w:rsidP="00B47456">
      <w:pPr>
        <w:pStyle w:val="Bullet"/>
        <w:rPr>
          <w:rFonts w:eastAsia="Aptos"/>
        </w:rPr>
      </w:pPr>
      <w:r w:rsidRPr="0067507D">
        <w:rPr>
          <w:rFonts w:eastAsia="Aptos"/>
        </w:rPr>
        <w:t>s</w:t>
      </w:r>
      <w:r w:rsidR="2EC09C33" w:rsidRPr="0067507D">
        <w:rPr>
          <w:rFonts w:eastAsia="Aptos"/>
        </w:rPr>
        <w:t>upporting the procurement and delivery of high</w:t>
      </w:r>
      <w:r w:rsidR="00960EC7" w:rsidRPr="0067507D">
        <w:rPr>
          <w:rFonts w:eastAsia="Aptos"/>
        </w:rPr>
        <w:noBreakHyphen/>
      </w:r>
      <w:r w:rsidR="2EC09C33" w:rsidRPr="0067507D">
        <w:rPr>
          <w:rFonts w:eastAsia="Aptos"/>
        </w:rPr>
        <w:t>value infrastructure projects such as the Suburban Rail Loop, the North East Link and the High</w:t>
      </w:r>
      <w:r w:rsidR="006A5485">
        <w:rPr>
          <w:rFonts w:eastAsia="Aptos"/>
        </w:rPr>
        <w:noBreakHyphen/>
      </w:r>
      <w:r w:rsidR="00F65C05">
        <w:rPr>
          <w:rFonts w:eastAsia="Aptos"/>
        </w:rPr>
        <w:t>r</w:t>
      </w:r>
      <w:r w:rsidR="2EC09C33" w:rsidRPr="00B47456">
        <w:rPr>
          <w:rFonts w:eastAsia="Aptos"/>
        </w:rPr>
        <w:t>ise</w:t>
      </w:r>
      <w:r w:rsidR="2EC09C33" w:rsidRPr="0067507D">
        <w:rPr>
          <w:rFonts w:eastAsia="Aptos"/>
        </w:rPr>
        <w:t xml:space="preserve"> Redevelopment Program</w:t>
      </w:r>
    </w:p>
    <w:p w14:paraId="53D4365B" w14:textId="479301DD" w:rsidR="2EC09C33" w:rsidRPr="0067507D" w:rsidRDefault="00BF3081" w:rsidP="00C11A3A">
      <w:pPr>
        <w:pStyle w:val="Bullet"/>
        <w:ind w:right="-148"/>
        <w:rPr>
          <w:rFonts w:eastAsia="Aptos"/>
        </w:rPr>
      </w:pPr>
      <w:r w:rsidRPr="0067507D">
        <w:rPr>
          <w:rFonts w:eastAsia="Aptos"/>
        </w:rPr>
        <w:t>i</w:t>
      </w:r>
      <w:r w:rsidR="2EC09C33" w:rsidRPr="0067507D">
        <w:rPr>
          <w:rFonts w:eastAsia="Aptos"/>
        </w:rPr>
        <w:t>mproving infrastructure policies through new standard contracts and uplifting capability with over 400 participants completing DTF</w:t>
      </w:r>
      <w:r w:rsidR="006A5485">
        <w:rPr>
          <w:rFonts w:eastAsia="Aptos"/>
        </w:rPr>
        <w:noBreakHyphen/>
      </w:r>
      <w:r w:rsidR="2EC09C33" w:rsidRPr="0067507D">
        <w:rPr>
          <w:rFonts w:eastAsia="Aptos"/>
        </w:rPr>
        <w:t>led training</w:t>
      </w:r>
    </w:p>
    <w:p w14:paraId="650C669B" w14:textId="2C9BB227" w:rsidR="2EC09C33" w:rsidRPr="0067507D" w:rsidRDefault="00BF3081" w:rsidP="00C11A3A">
      <w:pPr>
        <w:pStyle w:val="Bullet"/>
        <w:ind w:right="-148"/>
        <w:rPr>
          <w:rFonts w:eastAsia="Aptos"/>
        </w:rPr>
      </w:pPr>
      <w:r w:rsidRPr="0067507D">
        <w:rPr>
          <w:rFonts w:eastAsia="Aptos"/>
        </w:rPr>
        <w:t>p</w:t>
      </w:r>
      <w:r w:rsidR="00CE61F5" w:rsidRPr="0067507D">
        <w:rPr>
          <w:rFonts w:eastAsia="Aptos"/>
        </w:rPr>
        <w:t>roviding</w:t>
      </w:r>
      <w:r w:rsidR="2EC09C33" w:rsidRPr="0067507D">
        <w:rPr>
          <w:rFonts w:eastAsia="Aptos"/>
        </w:rPr>
        <w:t xml:space="preserve"> robust public reporting on Victoria’s infrastructure projects through the Capital Investment Dashboard and Major Projects Pipeline</w:t>
      </w:r>
      <w:r w:rsidR="00D075FA" w:rsidRPr="0067507D">
        <w:rPr>
          <w:rFonts w:eastAsia="Aptos"/>
        </w:rPr>
        <w:t xml:space="preserve"> </w:t>
      </w:r>
    </w:p>
    <w:p w14:paraId="1BF9CE41" w14:textId="2B3C7BC2" w:rsidR="2EC09C33" w:rsidRPr="0067507D" w:rsidRDefault="00BF3081" w:rsidP="00B47456">
      <w:pPr>
        <w:pStyle w:val="Bullet"/>
        <w:rPr>
          <w:rFonts w:eastAsia="Aptos"/>
        </w:rPr>
      </w:pPr>
      <w:r w:rsidRPr="0067507D">
        <w:rPr>
          <w:rFonts w:eastAsia="Aptos"/>
        </w:rPr>
        <w:t>i</w:t>
      </w:r>
      <w:r w:rsidR="2EC09C33" w:rsidRPr="0067507D">
        <w:rPr>
          <w:rFonts w:eastAsia="Aptos"/>
        </w:rPr>
        <w:t>mproving risk management and reporting of the capital program through data analytics and completion of 60 independent assurance reviews</w:t>
      </w:r>
    </w:p>
    <w:p w14:paraId="7896DBB8" w14:textId="4A649924" w:rsidR="295EE9E7" w:rsidRPr="0067507D" w:rsidRDefault="00BF3081" w:rsidP="0047143F">
      <w:pPr>
        <w:pStyle w:val="Bullet"/>
        <w:ind w:right="-148"/>
        <w:rPr>
          <w:rFonts w:eastAsia="Aptos" w:cs="Aptos"/>
          <w:color w:val="000000"/>
          <w:szCs w:val="17"/>
        </w:rPr>
      </w:pPr>
      <w:r w:rsidRPr="0067507D">
        <w:rPr>
          <w:rFonts w:eastAsia="Aptos"/>
        </w:rPr>
        <w:t>s</w:t>
      </w:r>
      <w:r w:rsidR="2EC09C33" w:rsidRPr="0067507D">
        <w:rPr>
          <w:rFonts w:eastAsia="Aptos"/>
        </w:rPr>
        <w:t>upporting agencies across government with construction workforce and materials analysis, including through the Construction Skills Response</w:t>
      </w:r>
    </w:p>
    <w:p w14:paraId="26221A87" w14:textId="1053E7DA" w:rsidR="47CC7DF5" w:rsidRPr="0067507D" w:rsidRDefault="00BF3081" w:rsidP="00C11A3A">
      <w:pPr>
        <w:pStyle w:val="Bullet"/>
        <w:ind w:right="-58"/>
        <w:rPr>
          <w:rFonts w:eastAsia="Times"/>
        </w:rPr>
      </w:pPr>
      <w:r w:rsidRPr="0067507D">
        <w:rPr>
          <w:rFonts w:eastAsia="Times"/>
        </w:rPr>
        <w:t>m</w:t>
      </w:r>
      <w:r w:rsidR="0007413C" w:rsidRPr="0067507D">
        <w:rPr>
          <w:rFonts w:eastAsia="Times"/>
        </w:rPr>
        <w:t>anaging</w:t>
      </w:r>
      <w:r w:rsidR="60C1886B" w:rsidRPr="0067507D">
        <w:rPr>
          <w:rFonts w:eastAsia="Times"/>
        </w:rPr>
        <w:t xml:space="preserve"> approval of 29 public sector enterprise agreements including major agreements covering police, nurses and midwives and paramedics and a single agreement covering cultural and creative agencies</w:t>
      </w:r>
    </w:p>
    <w:p w14:paraId="56503195" w14:textId="193D8ACF" w:rsidR="47CC7DF5" w:rsidRPr="0067507D" w:rsidRDefault="00BF3081" w:rsidP="00B47456">
      <w:pPr>
        <w:pStyle w:val="Bullet"/>
        <w:rPr>
          <w:rFonts w:eastAsia="Times"/>
        </w:rPr>
      </w:pPr>
      <w:r w:rsidRPr="0067507D">
        <w:rPr>
          <w:rFonts w:eastAsia="Times"/>
        </w:rPr>
        <w:t>t</w:t>
      </w:r>
      <w:r w:rsidR="002F0C96" w:rsidRPr="0067507D">
        <w:rPr>
          <w:rFonts w:eastAsia="Times"/>
        </w:rPr>
        <w:t>ackling</w:t>
      </w:r>
      <w:r w:rsidR="60C1886B" w:rsidRPr="0067507D">
        <w:rPr>
          <w:rFonts w:eastAsia="Times"/>
        </w:rPr>
        <w:t xml:space="preserve"> gender pay gaps and inequities </w:t>
      </w:r>
      <w:r w:rsidR="00B63757" w:rsidRPr="0067507D">
        <w:rPr>
          <w:rFonts w:eastAsia="Times"/>
        </w:rPr>
        <w:t>by making</w:t>
      </w:r>
      <w:r w:rsidR="60C1886B" w:rsidRPr="0067507D">
        <w:rPr>
          <w:rFonts w:eastAsia="Times"/>
        </w:rPr>
        <w:t xml:space="preserve"> submissions to the Fair Work Commission’s gender </w:t>
      </w:r>
      <w:r w:rsidR="0060492E" w:rsidRPr="0067507D">
        <w:rPr>
          <w:rFonts w:eastAsia="Times"/>
        </w:rPr>
        <w:t xml:space="preserve">undervaluation </w:t>
      </w:r>
      <w:r w:rsidR="60C1886B" w:rsidRPr="0067507D">
        <w:rPr>
          <w:rFonts w:eastAsia="Times"/>
        </w:rPr>
        <w:t>awards and annual wage reviews, implement</w:t>
      </w:r>
      <w:r w:rsidR="00B63757" w:rsidRPr="0067507D">
        <w:rPr>
          <w:rFonts w:eastAsia="Times"/>
        </w:rPr>
        <w:t>ing</w:t>
      </w:r>
      <w:r w:rsidR="60C1886B" w:rsidRPr="0067507D">
        <w:rPr>
          <w:rFonts w:eastAsia="Times"/>
        </w:rPr>
        <w:t xml:space="preserve"> the Building Equality Policy</w:t>
      </w:r>
      <w:r w:rsidR="008829F3" w:rsidRPr="0067507D">
        <w:rPr>
          <w:rFonts w:eastAsia="Times"/>
        </w:rPr>
        <w:t xml:space="preserve">, </w:t>
      </w:r>
      <w:r w:rsidR="005036FF" w:rsidRPr="0067507D">
        <w:rPr>
          <w:rFonts w:eastAsia="Times"/>
        </w:rPr>
        <w:t xml:space="preserve">bringing a gender lens to advice to </w:t>
      </w:r>
      <w:r w:rsidR="004E6959" w:rsidRPr="0067507D">
        <w:rPr>
          <w:rFonts w:eastAsia="Times"/>
        </w:rPr>
        <w:t>government through</w:t>
      </w:r>
      <w:r w:rsidR="00351CDC" w:rsidRPr="0067507D">
        <w:rPr>
          <w:rFonts w:eastAsia="Times"/>
        </w:rPr>
        <w:t xml:space="preserve"> </w:t>
      </w:r>
      <w:r w:rsidR="00672A81" w:rsidRPr="0067507D">
        <w:rPr>
          <w:rFonts w:eastAsia="Times"/>
        </w:rPr>
        <w:t xml:space="preserve">Gender Responsive Budgeting </w:t>
      </w:r>
      <w:r w:rsidR="60C1886B" w:rsidRPr="0067507D">
        <w:rPr>
          <w:rFonts w:eastAsia="Times"/>
        </w:rPr>
        <w:t xml:space="preserve">and commissioning and publishing </w:t>
      </w:r>
      <w:r w:rsidR="00133B82" w:rsidRPr="0067507D">
        <w:rPr>
          <w:rFonts w:eastAsia="Times"/>
        </w:rPr>
        <w:t>significant</w:t>
      </w:r>
      <w:r w:rsidR="001C2418" w:rsidRPr="0067507D">
        <w:rPr>
          <w:rFonts w:eastAsia="Times"/>
        </w:rPr>
        <w:t xml:space="preserve"> </w:t>
      </w:r>
      <w:r w:rsidR="60C1886B" w:rsidRPr="0067507D">
        <w:rPr>
          <w:rFonts w:eastAsia="Times"/>
        </w:rPr>
        <w:t>research through the Equal Workplaces Advisory Council</w:t>
      </w:r>
    </w:p>
    <w:p w14:paraId="5ADD09D0" w14:textId="1D796BDF" w:rsidR="47CC7DF5" w:rsidRPr="0067507D" w:rsidRDefault="00BF3081" w:rsidP="00B47456">
      <w:pPr>
        <w:pStyle w:val="Bullet"/>
        <w:rPr>
          <w:rFonts w:eastAsia="Times"/>
        </w:rPr>
      </w:pPr>
      <w:r w:rsidRPr="0067507D">
        <w:rPr>
          <w:rFonts w:eastAsia="Times"/>
        </w:rPr>
        <w:t>i</w:t>
      </w:r>
      <w:r w:rsidR="60C1886B" w:rsidRPr="0067507D">
        <w:rPr>
          <w:rFonts w:eastAsia="Times"/>
        </w:rPr>
        <w:t>mplement</w:t>
      </w:r>
      <w:r w:rsidR="005F6125" w:rsidRPr="0067507D">
        <w:rPr>
          <w:rFonts w:eastAsia="Times"/>
        </w:rPr>
        <w:t>ing</w:t>
      </w:r>
      <w:r w:rsidR="60C1886B" w:rsidRPr="0067507D">
        <w:rPr>
          <w:rFonts w:eastAsia="Times"/>
        </w:rPr>
        <w:t xml:space="preserve"> initiatives arising from the Victorian Public Service Enterprise Agreement, including finalising </w:t>
      </w:r>
      <w:r w:rsidR="006E6A56" w:rsidRPr="0067507D">
        <w:rPr>
          <w:rFonts w:eastAsia="Times"/>
        </w:rPr>
        <w:t>52 Common Policies to support the implementation of the new VPS Enterprise Agreement 2024</w:t>
      </w:r>
    </w:p>
    <w:p w14:paraId="1B8E7E1E" w14:textId="700ACFAC" w:rsidR="53B427F3" w:rsidRPr="0067507D" w:rsidRDefault="60C1886B" w:rsidP="000802CC">
      <w:pPr>
        <w:pStyle w:val="Bullet"/>
        <w:keepNext/>
        <w:rPr>
          <w:rFonts w:eastAsia="Times"/>
        </w:rPr>
      </w:pPr>
      <w:r w:rsidRPr="0067507D">
        <w:rPr>
          <w:rFonts w:eastAsia="Times"/>
        </w:rPr>
        <w:lastRenderedPageBreak/>
        <w:t>implement</w:t>
      </w:r>
      <w:r w:rsidR="001364FE" w:rsidRPr="0067507D">
        <w:rPr>
          <w:rFonts w:eastAsia="Times"/>
        </w:rPr>
        <w:t>ing</w:t>
      </w:r>
      <w:r w:rsidRPr="0067507D">
        <w:rPr>
          <w:rFonts w:eastAsia="Times"/>
        </w:rPr>
        <w:t xml:space="preserve"> recommendations</w:t>
      </w:r>
      <w:r w:rsidR="0060492E" w:rsidRPr="0067507D">
        <w:rPr>
          <w:rFonts w:eastAsia="Times"/>
        </w:rPr>
        <w:t xml:space="preserve"> from the Formal Review into Victorian Government Bodies’ Engagement with </w:t>
      </w:r>
      <w:r w:rsidR="00777749" w:rsidRPr="0067507D">
        <w:rPr>
          <w:rFonts w:eastAsia="Times"/>
        </w:rPr>
        <w:t>Construction Companies and Construction Unions</w:t>
      </w:r>
      <w:r w:rsidRPr="0067507D">
        <w:rPr>
          <w:rFonts w:eastAsia="Times"/>
        </w:rPr>
        <w:t xml:space="preserve"> to address unacceptable behaviour in public construction, through </w:t>
      </w:r>
      <w:r w:rsidR="0098203D" w:rsidRPr="0067507D">
        <w:rPr>
          <w:rFonts w:eastAsia="Times"/>
        </w:rPr>
        <w:t>new</w:t>
      </w:r>
      <w:r w:rsidRPr="0067507D">
        <w:rPr>
          <w:rFonts w:eastAsia="Times"/>
        </w:rPr>
        <w:t xml:space="preserve"> powers and contracting arrangements</w:t>
      </w:r>
      <w:r w:rsidR="0098203D" w:rsidRPr="0067507D">
        <w:rPr>
          <w:rFonts w:eastAsia="Times"/>
        </w:rPr>
        <w:t xml:space="preserve"> and</w:t>
      </w:r>
      <w:r w:rsidRPr="0067507D">
        <w:rPr>
          <w:rFonts w:eastAsia="Times"/>
        </w:rPr>
        <w:t xml:space="preserve"> an Alliance of State and Commonwealth regulators and government agencies</w:t>
      </w:r>
    </w:p>
    <w:p w14:paraId="6F8F0E08" w14:textId="394A7EB2" w:rsidR="00241A4B" w:rsidRPr="0067507D" w:rsidRDefault="005E17A2" w:rsidP="00241A4B">
      <w:pPr>
        <w:pStyle w:val="Bullet"/>
        <w:rPr>
          <w:rFonts w:eastAsia="Times" w:cs="Times"/>
          <w:color w:val="000000"/>
        </w:rPr>
      </w:pPr>
      <w:r w:rsidRPr="0067507D">
        <w:rPr>
          <w:rFonts w:eastAsia="Times" w:cs="Times"/>
          <w:color w:val="000000"/>
        </w:rPr>
        <w:t>l</w:t>
      </w:r>
      <w:r w:rsidR="00241A4B" w:rsidRPr="0067507D">
        <w:rPr>
          <w:rFonts w:eastAsia="Times" w:cs="Times"/>
          <w:color w:val="000000"/>
        </w:rPr>
        <w:t>ead</w:t>
      </w:r>
      <w:r w:rsidRPr="0067507D">
        <w:rPr>
          <w:rFonts w:eastAsia="Times" w:cs="Times"/>
          <w:color w:val="000000"/>
        </w:rPr>
        <w:t>ing</w:t>
      </w:r>
      <w:r w:rsidR="00241A4B" w:rsidRPr="0067507D">
        <w:rPr>
          <w:rFonts w:eastAsia="Times" w:cs="Times"/>
          <w:color w:val="000000"/>
        </w:rPr>
        <w:t xml:space="preserve"> the delivery of the Victorian Homebuyer Fund, which has helped more than 15</w:t>
      </w:r>
      <w:r w:rsidR="0094015F" w:rsidRPr="0067507D">
        <w:rPr>
          <w:rFonts w:ascii="Calibri" w:eastAsia="Times" w:hAnsi="Calibri" w:cs="Calibri"/>
          <w:color w:val="000000"/>
        </w:rPr>
        <w:t> </w:t>
      </w:r>
      <w:r w:rsidR="00241A4B" w:rsidRPr="0067507D">
        <w:rPr>
          <w:rFonts w:eastAsia="Times" w:cs="Times"/>
          <w:color w:val="000000"/>
        </w:rPr>
        <w:t>400 Victorians buy their own home and is expected to assist up to 18</w:t>
      </w:r>
      <w:r w:rsidR="0094015F" w:rsidRPr="0067507D">
        <w:rPr>
          <w:rFonts w:ascii="Calibri" w:eastAsia="Times" w:hAnsi="Calibri" w:cs="Calibri"/>
          <w:color w:val="000000"/>
        </w:rPr>
        <w:t> </w:t>
      </w:r>
      <w:r w:rsidR="00241A4B" w:rsidRPr="0067507D">
        <w:rPr>
          <w:rFonts w:eastAsia="Times" w:cs="Times"/>
          <w:color w:val="000000"/>
        </w:rPr>
        <w:t>000 households once the $2.8</w:t>
      </w:r>
      <w:r w:rsidR="0094015F" w:rsidRPr="0067507D">
        <w:rPr>
          <w:rFonts w:ascii="Calibri" w:eastAsia="Times" w:hAnsi="Calibri" w:cs="Calibri"/>
          <w:color w:val="000000"/>
        </w:rPr>
        <w:t> </w:t>
      </w:r>
      <w:r w:rsidR="00241A4B" w:rsidRPr="0067507D">
        <w:rPr>
          <w:rFonts w:eastAsia="Times" w:cs="Times"/>
          <w:color w:val="000000"/>
        </w:rPr>
        <w:t xml:space="preserve">billion funding is allocated </w:t>
      </w:r>
    </w:p>
    <w:p w14:paraId="5E1A4D61" w14:textId="20350E2E" w:rsidR="00241A4B" w:rsidRPr="0067507D" w:rsidRDefault="005E17A2" w:rsidP="0047143F">
      <w:pPr>
        <w:pStyle w:val="Bullet"/>
        <w:ind w:right="-58"/>
        <w:rPr>
          <w:rFonts w:eastAsia="Times" w:cs="Times"/>
          <w:color w:val="000000"/>
        </w:rPr>
      </w:pPr>
      <w:r w:rsidRPr="0067507D">
        <w:rPr>
          <w:rFonts w:eastAsia="Times" w:cs="Times"/>
          <w:color w:val="000000"/>
        </w:rPr>
        <w:t>s</w:t>
      </w:r>
      <w:r w:rsidR="00241A4B" w:rsidRPr="0067507D">
        <w:rPr>
          <w:rFonts w:eastAsia="Times" w:cs="Times"/>
          <w:color w:val="000000"/>
        </w:rPr>
        <w:t>upport</w:t>
      </w:r>
      <w:r w:rsidRPr="0067507D">
        <w:rPr>
          <w:rFonts w:eastAsia="Times" w:cs="Times"/>
          <w:color w:val="000000"/>
        </w:rPr>
        <w:t>ing</w:t>
      </w:r>
      <w:r w:rsidR="00241A4B" w:rsidRPr="0067507D">
        <w:rPr>
          <w:rFonts w:eastAsia="Times" w:cs="Times"/>
          <w:color w:val="000000"/>
        </w:rPr>
        <w:t xml:space="preserve"> the development and introduction of legislative reforms including the </w:t>
      </w:r>
      <w:r w:rsidR="00241A4B" w:rsidRPr="0067507D">
        <w:rPr>
          <w:rFonts w:eastAsia="Times" w:cs="Times"/>
          <w:i/>
          <w:iCs/>
          <w:color w:val="000000"/>
        </w:rPr>
        <w:t>Help to Buy (Commonwealth Powers) Act 2025</w:t>
      </w:r>
      <w:r w:rsidR="00241A4B" w:rsidRPr="0067507D">
        <w:rPr>
          <w:rFonts w:eastAsia="Times" w:cs="Times"/>
          <w:color w:val="000000"/>
        </w:rPr>
        <w:t xml:space="preserve">, the Workplace Injury Rehabilitation and Compensation Amendment Bill 2025 and the Superannuation Legislation Amendment Bill 2025 </w:t>
      </w:r>
    </w:p>
    <w:p w14:paraId="32176179" w14:textId="7941463A" w:rsidR="00241A4B" w:rsidRPr="0067507D" w:rsidRDefault="005E17A2" w:rsidP="00241A4B">
      <w:pPr>
        <w:pStyle w:val="Bullet"/>
        <w:rPr>
          <w:rFonts w:eastAsia="Times" w:cs="Times"/>
          <w:color w:val="000000"/>
        </w:rPr>
      </w:pPr>
      <w:r w:rsidRPr="0067507D">
        <w:rPr>
          <w:rFonts w:eastAsia="Times" w:cs="Times"/>
          <w:color w:val="000000"/>
        </w:rPr>
        <w:t>r</w:t>
      </w:r>
      <w:r w:rsidR="00241A4B" w:rsidRPr="0067507D">
        <w:rPr>
          <w:rFonts w:eastAsia="Times" w:cs="Times"/>
          <w:color w:val="000000"/>
        </w:rPr>
        <w:t>egistered 12 new community housing agencies, reduced the time and cost of obtaining registration and improved the transparency of the performance of community housing agencies through real time online reporting of performance data</w:t>
      </w:r>
      <w:r w:rsidR="00C81875" w:rsidRPr="0067507D">
        <w:rPr>
          <w:rFonts w:eastAsia="Times" w:cs="Times"/>
          <w:color w:val="000000"/>
        </w:rPr>
        <w:t>.</w:t>
      </w:r>
      <w:r w:rsidR="00241A4B" w:rsidRPr="0067507D">
        <w:rPr>
          <w:rFonts w:eastAsia="Times" w:cs="Times"/>
          <w:color w:val="000000"/>
        </w:rPr>
        <w:t xml:space="preserve"> </w:t>
      </w:r>
    </w:p>
    <w:p w14:paraId="0857DC48" w14:textId="6D74BF1A" w:rsidR="07F9A0CF" w:rsidRPr="0067507D" w:rsidRDefault="0013360C" w:rsidP="003B6B18">
      <w:pPr>
        <w:pStyle w:val="Heading2"/>
      </w:pPr>
      <w:r w:rsidRPr="0067507D">
        <w:rPr>
          <w:rFonts w:eastAsia="Aptos" w:cs="Aptos"/>
        </w:rPr>
        <w:br w:type="column"/>
      </w:r>
      <w:r w:rsidR="07F9A0CF" w:rsidRPr="0067507D">
        <w:rPr>
          <w:rFonts w:eastAsia="Aptos"/>
        </w:rPr>
        <w:t xml:space="preserve">Future </w:t>
      </w:r>
      <w:r w:rsidR="00275B98" w:rsidRPr="0067507D">
        <w:rPr>
          <w:rFonts w:eastAsia="Aptos"/>
        </w:rPr>
        <w:t>priorities</w:t>
      </w:r>
      <w:r w:rsidR="07F9A0CF" w:rsidRPr="0067507D">
        <w:rPr>
          <w:rFonts w:eastAsia="Aptos"/>
        </w:rPr>
        <w:t xml:space="preserve"> </w:t>
      </w:r>
    </w:p>
    <w:p w14:paraId="11799B86" w14:textId="369FDFE1" w:rsidR="07F9A0CF" w:rsidRPr="0067507D" w:rsidRDefault="07F9A0CF" w:rsidP="00FC1669">
      <w:pPr>
        <w:ind w:right="-148"/>
      </w:pPr>
      <w:r w:rsidRPr="0067507D">
        <w:rPr>
          <w:rFonts w:eastAsia="Aptos" w:cs="Aptos"/>
          <w:szCs w:val="17"/>
        </w:rPr>
        <w:t>In 202</w:t>
      </w:r>
      <w:r w:rsidR="00D615B7" w:rsidRPr="0067507D">
        <w:rPr>
          <w:rFonts w:eastAsia="Aptos" w:cs="Aptos"/>
          <w:szCs w:val="17"/>
        </w:rPr>
        <w:t>5</w:t>
      </w:r>
      <w:r w:rsidR="006A5485">
        <w:rPr>
          <w:rFonts w:eastAsia="Aptos" w:cs="Aptos"/>
          <w:szCs w:val="17"/>
        </w:rPr>
        <w:noBreakHyphen/>
      </w:r>
      <w:r w:rsidRPr="0067507D">
        <w:rPr>
          <w:rFonts w:eastAsia="Aptos" w:cs="Aptos"/>
          <w:szCs w:val="17"/>
        </w:rPr>
        <w:t>2</w:t>
      </w:r>
      <w:r w:rsidR="00D615B7" w:rsidRPr="0067507D">
        <w:rPr>
          <w:rFonts w:eastAsia="Aptos" w:cs="Aptos"/>
          <w:szCs w:val="17"/>
        </w:rPr>
        <w:t>6</w:t>
      </w:r>
      <w:r w:rsidRPr="0067507D">
        <w:rPr>
          <w:rFonts w:eastAsia="Aptos" w:cs="Aptos"/>
          <w:szCs w:val="17"/>
        </w:rPr>
        <w:t xml:space="preserve">, the priority for the Department of Treasury and Finance will be supporting the Government to respond to </w:t>
      </w:r>
      <w:r w:rsidR="006F1BD3" w:rsidRPr="0067507D">
        <w:rPr>
          <w:rFonts w:eastAsia="Aptos" w:cs="Aptos"/>
          <w:szCs w:val="17"/>
        </w:rPr>
        <w:t>Victoria’</w:t>
      </w:r>
      <w:r w:rsidRPr="0067507D">
        <w:rPr>
          <w:rFonts w:eastAsia="Aptos" w:cs="Aptos"/>
          <w:szCs w:val="17"/>
        </w:rPr>
        <w:t xml:space="preserve">s economic and financial </w:t>
      </w:r>
      <w:r w:rsidR="005E4F81" w:rsidRPr="0067507D">
        <w:rPr>
          <w:rFonts w:eastAsia="Aptos" w:cs="Aptos"/>
          <w:szCs w:val="17"/>
        </w:rPr>
        <w:t xml:space="preserve">opportunities and </w:t>
      </w:r>
      <w:r w:rsidRPr="0067507D">
        <w:rPr>
          <w:rFonts w:eastAsia="Aptos" w:cs="Aptos"/>
          <w:szCs w:val="17"/>
        </w:rPr>
        <w:t xml:space="preserve">challenges. The Department’s </w:t>
      </w:r>
      <w:r w:rsidRPr="0067507D">
        <w:rPr>
          <w:rFonts w:eastAsia="Aptos" w:cs="Aptos"/>
          <w:i/>
          <w:szCs w:val="17"/>
        </w:rPr>
        <w:t>202</w:t>
      </w:r>
      <w:r w:rsidR="006D3B22" w:rsidRPr="0067507D">
        <w:rPr>
          <w:rFonts w:eastAsia="Aptos" w:cs="Aptos"/>
          <w:i/>
          <w:szCs w:val="17"/>
        </w:rPr>
        <w:t>5</w:t>
      </w:r>
      <w:r w:rsidR="00FC1669" w:rsidRPr="0067507D">
        <w:rPr>
          <w:rFonts w:eastAsia="Aptos" w:cs="Aptos"/>
          <w:i/>
          <w:szCs w:val="17"/>
        </w:rPr>
        <w:noBreakHyphen/>
      </w:r>
      <w:r w:rsidRPr="0067507D">
        <w:rPr>
          <w:rFonts w:eastAsia="Aptos" w:cs="Aptos"/>
          <w:i/>
          <w:szCs w:val="17"/>
        </w:rPr>
        <w:t>202</w:t>
      </w:r>
      <w:r w:rsidR="006D3B22" w:rsidRPr="0067507D">
        <w:rPr>
          <w:rFonts w:eastAsia="Aptos" w:cs="Aptos"/>
          <w:i/>
          <w:szCs w:val="17"/>
        </w:rPr>
        <w:t>9</w:t>
      </w:r>
      <w:r w:rsidRPr="0067507D">
        <w:rPr>
          <w:rFonts w:eastAsia="Aptos" w:cs="Aptos"/>
          <w:i/>
          <w:szCs w:val="17"/>
        </w:rPr>
        <w:t xml:space="preserve"> Corporate Plan </w:t>
      </w:r>
      <w:r w:rsidRPr="0067507D">
        <w:rPr>
          <w:rFonts w:eastAsia="Aptos" w:cs="Aptos"/>
          <w:szCs w:val="17"/>
        </w:rPr>
        <w:t xml:space="preserve">will drive our agenda. </w:t>
      </w:r>
    </w:p>
    <w:p w14:paraId="54E1C589" w14:textId="08B08D0A" w:rsidR="07F9A0CF" w:rsidRPr="0067507D" w:rsidRDefault="07F9A0CF" w:rsidP="008861B3">
      <w:pPr>
        <w:keepLines w:val="0"/>
        <w:spacing w:before="0" w:after="0"/>
        <w:rPr>
          <w:rFonts w:eastAsia="Aptos"/>
        </w:rPr>
      </w:pPr>
      <w:r w:rsidRPr="0067507D">
        <w:rPr>
          <w:rFonts w:eastAsia="Aptos" w:cs="Aptos"/>
          <w:szCs w:val="17"/>
        </w:rPr>
        <w:t xml:space="preserve">Significant priorities include: </w:t>
      </w:r>
    </w:p>
    <w:p w14:paraId="2E52F629" w14:textId="77777777" w:rsidR="00195F63" w:rsidRPr="0067507D" w:rsidRDefault="00D8522C" w:rsidP="00D8522C">
      <w:pPr>
        <w:pStyle w:val="Bullet"/>
        <w:rPr>
          <w:rFonts w:eastAsia="Aptos" w:cs="Aptos"/>
          <w:szCs w:val="17"/>
        </w:rPr>
      </w:pPr>
      <w:r w:rsidRPr="0067507D">
        <w:rPr>
          <w:rFonts w:eastAsia="Aptos"/>
        </w:rPr>
        <w:t>supporting the Government in continuing to deliver on its five step fiscal strategy</w:t>
      </w:r>
    </w:p>
    <w:p w14:paraId="398DC30C" w14:textId="41ADB4EC" w:rsidR="00D8522C" w:rsidRPr="0067507D" w:rsidRDefault="00E53C5A" w:rsidP="00D8522C">
      <w:pPr>
        <w:pStyle w:val="Bullet"/>
        <w:rPr>
          <w:rFonts w:eastAsia="Aptos" w:cs="Aptos"/>
          <w:szCs w:val="17"/>
        </w:rPr>
      </w:pPr>
      <w:r w:rsidRPr="0067507D">
        <w:rPr>
          <w:rFonts w:eastAsia="Aptos" w:cs="Aptos"/>
          <w:szCs w:val="17"/>
        </w:rPr>
        <w:t xml:space="preserve">playing </w:t>
      </w:r>
      <w:r w:rsidR="00C62DBB" w:rsidRPr="0067507D">
        <w:rPr>
          <w:rFonts w:eastAsia="Aptos" w:cs="Aptos"/>
          <w:szCs w:val="17"/>
        </w:rPr>
        <w:t>a central role in overseeing</w:t>
      </w:r>
      <w:r w:rsidR="00195F63" w:rsidRPr="0067507D">
        <w:rPr>
          <w:rFonts w:eastAsia="Aptos" w:cs="Aptos"/>
          <w:szCs w:val="17"/>
        </w:rPr>
        <w:t xml:space="preserve"> the implementation of the Government response to an independent review into the Victorian Public Service, led by Helen Silver AO</w:t>
      </w:r>
      <w:r w:rsidR="00D8522C" w:rsidRPr="0067507D">
        <w:rPr>
          <w:rFonts w:eastAsia="Aptos"/>
        </w:rPr>
        <w:t xml:space="preserve"> </w:t>
      </w:r>
    </w:p>
    <w:p w14:paraId="1C22E1F9" w14:textId="7AED6012" w:rsidR="00926989" w:rsidRPr="0067507D" w:rsidRDefault="00926989" w:rsidP="00926989">
      <w:pPr>
        <w:pStyle w:val="Bullet"/>
        <w:rPr>
          <w:rFonts w:eastAsia="Aptos" w:cs="Aptos"/>
          <w:szCs w:val="17"/>
        </w:rPr>
      </w:pPr>
      <w:r w:rsidRPr="0067507D">
        <w:rPr>
          <w:rFonts w:eastAsia="Aptos"/>
        </w:rPr>
        <w:t xml:space="preserve">strengthening public sector accountability and financial management reform, including </w:t>
      </w:r>
      <w:r w:rsidR="008A14CB" w:rsidRPr="0067507D">
        <w:rPr>
          <w:rFonts w:eastAsia="Aptos"/>
        </w:rPr>
        <w:t>embedding</w:t>
      </w:r>
      <w:r w:rsidRPr="0067507D">
        <w:rPr>
          <w:rFonts w:eastAsia="Aptos"/>
        </w:rPr>
        <w:t xml:space="preserve"> amendments to the </w:t>
      </w:r>
      <w:r w:rsidRPr="0067507D">
        <w:rPr>
          <w:rFonts w:eastAsia="Aptos" w:cs="Aptos"/>
          <w:i/>
          <w:szCs w:val="17"/>
        </w:rPr>
        <w:t>Financial Management Act 1994</w:t>
      </w:r>
    </w:p>
    <w:p w14:paraId="2DEC557D" w14:textId="31A2B918" w:rsidR="00EC3E11" w:rsidRPr="0067507D" w:rsidRDefault="00D320F6" w:rsidP="008861B3">
      <w:pPr>
        <w:pStyle w:val="Bullet"/>
      </w:pPr>
      <w:r w:rsidRPr="0067507D">
        <w:t>supporting the Gover</w:t>
      </w:r>
      <w:r w:rsidR="00DC793A" w:rsidRPr="0067507D">
        <w:t>nment’s financi</w:t>
      </w:r>
      <w:r w:rsidR="00B26F5E" w:rsidRPr="0067507D">
        <w:t>al decision</w:t>
      </w:r>
      <w:r w:rsidR="006A5485">
        <w:noBreakHyphen/>
      </w:r>
      <w:r w:rsidR="00B26F5E" w:rsidRPr="0067507D">
        <w:t xml:space="preserve">making through </w:t>
      </w:r>
      <w:r w:rsidR="00471978" w:rsidRPr="0067507D">
        <w:t xml:space="preserve">analysis and advice on </w:t>
      </w:r>
      <w:r w:rsidR="004D230F" w:rsidRPr="0067507D">
        <w:t>expenditure, savings and investment pri</w:t>
      </w:r>
      <w:r w:rsidR="00511162" w:rsidRPr="0067507D">
        <w:t>orities</w:t>
      </w:r>
      <w:r w:rsidR="00F555FD" w:rsidRPr="0067507D">
        <w:t xml:space="preserve">, and </w:t>
      </w:r>
      <w:r w:rsidR="00471978" w:rsidRPr="0067507D">
        <w:t>the performance of government departments and major public sector entities</w:t>
      </w:r>
    </w:p>
    <w:p w14:paraId="41ABCA88" w14:textId="188A204E" w:rsidR="00E067DD" w:rsidRPr="0067507D" w:rsidRDefault="00925979" w:rsidP="008861B3">
      <w:pPr>
        <w:pStyle w:val="Bullet"/>
      </w:pPr>
      <w:r w:rsidRPr="0067507D">
        <w:t xml:space="preserve">advising </w:t>
      </w:r>
      <w:r w:rsidR="00E067DD" w:rsidRPr="0067507D">
        <w:t>the Government</w:t>
      </w:r>
      <w:r w:rsidRPr="0067507D">
        <w:t xml:space="preserve"> on</w:t>
      </w:r>
      <w:r w:rsidR="00E067DD" w:rsidRPr="0067507D">
        <w:t xml:space="preserve"> economic </w:t>
      </w:r>
      <w:r w:rsidR="001255E1" w:rsidRPr="0067507D">
        <w:t>policy</w:t>
      </w:r>
      <w:r w:rsidR="007405B9" w:rsidRPr="0067507D">
        <w:t xml:space="preserve"> matters</w:t>
      </w:r>
      <w:r w:rsidR="009A1E88" w:rsidRPr="0067507D">
        <w:t xml:space="preserve">, including </w:t>
      </w:r>
      <w:r w:rsidR="001E7658" w:rsidRPr="0067507D">
        <w:t xml:space="preserve">Victorian and national </w:t>
      </w:r>
      <w:r w:rsidR="00B87D60" w:rsidRPr="0067507D">
        <w:t>productivity growth</w:t>
      </w:r>
      <w:r w:rsidR="0069092F" w:rsidRPr="0067507D">
        <w:t xml:space="preserve">, and </w:t>
      </w:r>
      <w:r w:rsidR="00E326B1" w:rsidRPr="0067507D">
        <w:t xml:space="preserve">potential </w:t>
      </w:r>
      <w:r w:rsidR="00696EFC" w:rsidRPr="0067507D">
        <w:t xml:space="preserve">disruptions to </w:t>
      </w:r>
      <w:r w:rsidR="00066CDD" w:rsidRPr="0067507D">
        <w:t>global trade</w:t>
      </w:r>
      <w:r w:rsidR="00E326B1" w:rsidRPr="0067507D">
        <w:t xml:space="preserve"> and economic growth</w:t>
      </w:r>
    </w:p>
    <w:p w14:paraId="6883C693" w14:textId="69101981" w:rsidR="00693160" w:rsidRPr="0067507D" w:rsidRDefault="006A346E" w:rsidP="008861B3">
      <w:pPr>
        <w:pStyle w:val="Bullet"/>
        <w:rPr>
          <w:rFonts w:ascii="Aptos" w:hAnsi="Aptos"/>
          <w:sz w:val="22"/>
          <w:szCs w:val="22"/>
        </w:rPr>
      </w:pPr>
      <w:r w:rsidRPr="0067507D">
        <w:t>i</w:t>
      </w:r>
      <w:r w:rsidR="00693160" w:rsidRPr="0067507D">
        <w:t xml:space="preserve">mplementing initiatives announced in the </w:t>
      </w:r>
      <w:r w:rsidR="00693160" w:rsidRPr="0067507D">
        <w:rPr>
          <w:i/>
          <w:iCs/>
        </w:rPr>
        <w:t>Economic Growth Statement</w:t>
      </w:r>
      <w:r w:rsidR="00693160" w:rsidRPr="0067507D">
        <w:t xml:space="preserve"> to make it easier to do business, including a $500</w:t>
      </w:r>
      <w:r w:rsidR="003D7444" w:rsidRPr="0067507D">
        <w:rPr>
          <w:rFonts w:ascii="Calibri" w:hAnsi="Calibri" w:cs="Calibri"/>
        </w:rPr>
        <w:t> </w:t>
      </w:r>
      <w:r w:rsidR="00693160" w:rsidRPr="0067507D">
        <w:t>m</w:t>
      </w:r>
      <w:r w:rsidR="003D7444" w:rsidRPr="0067507D">
        <w:t>illion</w:t>
      </w:r>
      <w:r w:rsidR="00693160" w:rsidRPr="0067507D">
        <w:t xml:space="preserve"> regulation burden reduction target, and halving the number of business regulators by 2030</w:t>
      </w:r>
    </w:p>
    <w:p w14:paraId="2265D47D" w14:textId="3F5D2E31" w:rsidR="00693160" w:rsidRPr="0067507D" w:rsidRDefault="004F7A68" w:rsidP="00633012">
      <w:pPr>
        <w:pStyle w:val="Bullet"/>
      </w:pPr>
      <w:r w:rsidRPr="0067507D">
        <w:t>contributing to</w:t>
      </w:r>
      <w:r w:rsidR="00D74079" w:rsidRPr="0067507D">
        <w:t xml:space="preserve"> </w:t>
      </w:r>
      <w:r w:rsidR="00703A61" w:rsidRPr="0067507D">
        <w:t>n</w:t>
      </w:r>
      <w:r w:rsidR="00693160" w:rsidRPr="0067507D">
        <w:t>egotiati</w:t>
      </w:r>
      <w:r w:rsidR="00D74079" w:rsidRPr="0067507D">
        <w:t>on of</w:t>
      </w:r>
      <w:r w:rsidR="00693160" w:rsidRPr="0067507D">
        <w:t xml:space="preserve"> Commonwealth funding arrangements for health, and service delivery and funding arrangements for disability </w:t>
      </w:r>
      <w:r w:rsidR="00483F87" w:rsidRPr="0067507D">
        <w:t>support</w:t>
      </w:r>
    </w:p>
    <w:p w14:paraId="37958625" w14:textId="7AEE0491" w:rsidR="00693160" w:rsidRPr="0067507D" w:rsidRDefault="00703A61" w:rsidP="0047143F">
      <w:pPr>
        <w:pStyle w:val="Bullet"/>
        <w:ind w:right="-148"/>
      </w:pPr>
      <w:r w:rsidRPr="0067507D">
        <w:t>s</w:t>
      </w:r>
      <w:r w:rsidR="00693160" w:rsidRPr="0067507D">
        <w:t>upporting the Government</w:t>
      </w:r>
      <w:r w:rsidR="007E535D" w:rsidRPr="0067507D">
        <w:t>’</w:t>
      </w:r>
      <w:r w:rsidR="00693160" w:rsidRPr="0067507D">
        <w:t>s negotiation and implementation of Victoria</w:t>
      </w:r>
      <w:r w:rsidR="007E535D" w:rsidRPr="0067507D">
        <w:t>’</w:t>
      </w:r>
      <w:r w:rsidR="00693160" w:rsidRPr="0067507D">
        <w:t>s first Statewide Treaty</w:t>
      </w:r>
    </w:p>
    <w:p w14:paraId="6C8CD9E8" w14:textId="46D00A58" w:rsidR="2B0C8F21" w:rsidRPr="0067507D" w:rsidRDefault="001448B8" w:rsidP="0047143F">
      <w:pPr>
        <w:pStyle w:val="Bullet"/>
        <w:ind w:right="-148"/>
        <w:rPr>
          <w:rFonts w:eastAsia="Aptos" w:cs="Aptos"/>
        </w:rPr>
      </w:pPr>
      <w:r w:rsidRPr="0067507D">
        <w:t>c</w:t>
      </w:r>
      <w:r w:rsidR="00693160" w:rsidRPr="0067507D">
        <w:t xml:space="preserve">ontributing to better outcomes for individuals and </w:t>
      </w:r>
      <w:r w:rsidR="008E5D53" w:rsidRPr="0067507D">
        <w:t xml:space="preserve">social </w:t>
      </w:r>
      <w:r w:rsidR="00693160" w:rsidRPr="0067507D">
        <w:t>services through the Early Intervention Investment Framework</w:t>
      </w:r>
    </w:p>
    <w:p w14:paraId="49DE890D" w14:textId="76BB1A9C" w:rsidR="0048544A" w:rsidRPr="0067507D" w:rsidRDefault="0048544A" w:rsidP="00633012">
      <w:pPr>
        <w:pStyle w:val="Bullet"/>
        <w:rPr>
          <w:rFonts w:ascii="Aptos" w:hAnsi="Aptos"/>
          <w:szCs w:val="17"/>
        </w:rPr>
      </w:pPr>
      <w:r w:rsidRPr="0067507D">
        <w:rPr>
          <w:szCs w:val="17"/>
        </w:rPr>
        <w:t>leading the Victorian Government’s response to industry</w:t>
      </w:r>
      <w:r w:rsidR="006A5485">
        <w:rPr>
          <w:szCs w:val="17"/>
        </w:rPr>
        <w:noBreakHyphen/>
      </w:r>
      <w:r w:rsidRPr="0067507D">
        <w:rPr>
          <w:szCs w:val="17"/>
        </w:rPr>
        <w:t>wide payments systems reform, including the phase</w:t>
      </w:r>
      <w:r w:rsidR="006A5485">
        <w:rPr>
          <w:szCs w:val="17"/>
        </w:rPr>
        <w:noBreakHyphen/>
      </w:r>
      <w:r w:rsidRPr="0067507D">
        <w:rPr>
          <w:szCs w:val="17"/>
        </w:rPr>
        <w:t>out of cheques, decommissioning of the bulk electronic clearing system and introduction of the new payments platform, and modernisation of card payment systems</w:t>
      </w:r>
    </w:p>
    <w:p w14:paraId="793C9E5F" w14:textId="3588F0B0" w:rsidR="0048544A" w:rsidRPr="0067507D" w:rsidRDefault="0048544A" w:rsidP="00FC1669">
      <w:pPr>
        <w:pStyle w:val="Bullet"/>
        <w:keepNext/>
        <w:rPr>
          <w:szCs w:val="17"/>
        </w:rPr>
      </w:pPr>
      <w:r w:rsidRPr="0067507D">
        <w:rPr>
          <w:szCs w:val="17"/>
        </w:rPr>
        <w:lastRenderedPageBreak/>
        <w:t>introduc</w:t>
      </w:r>
      <w:r w:rsidR="00F64D21" w:rsidRPr="0067507D">
        <w:rPr>
          <w:szCs w:val="17"/>
        </w:rPr>
        <w:t>ing</w:t>
      </w:r>
      <w:r w:rsidRPr="0067507D">
        <w:rPr>
          <w:szCs w:val="17"/>
        </w:rPr>
        <w:t xml:space="preserve"> the new Occupational Health and Safety (Psychological Health) Regulations, </w:t>
      </w:r>
      <w:r w:rsidR="00F64D21" w:rsidRPr="0067507D">
        <w:rPr>
          <w:szCs w:val="17"/>
        </w:rPr>
        <w:t>in partnership with WorkSafe, to</w:t>
      </w:r>
      <w:r w:rsidRPr="0067507D">
        <w:rPr>
          <w:szCs w:val="17"/>
        </w:rPr>
        <w:t xml:space="preserve"> help employers prevent workplace mental injuries, as well as reforms to strengthen and modernise the legislative and regulatory framework applying to dangerous goods</w:t>
      </w:r>
      <w:r w:rsidRPr="0067507D">
        <w:rPr>
          <w:rFonts w:ascii="Calibri" w:hAnsi="Calibri" w:cs="Calibri"/>
          <w:szCs w:val="17"/>
        </w:rPr>
        <w:t> </w:t>
      </w:r>
    </w:p>
    <w:p w14:paraId="32C6C9EE" w14:textId="51BDF150" w:rsidR="00693160" w:rsidRPr="0067507D" w:rsidRDefault="00774E9C" w:rsidP="004F1975">
      <w:pPr>
        <w:pStyle w:val="Bullet"/>
        <w:rPr>
          <w:rFonts w:eastAsia="Aptos" w:cs="Aptos"/>
        </w:rPr>
      </w:pPr>
      <w:r w:rsidRPr="0067507D">
        <w:rPr>
          <w:szCs w:val="17"/>
        </w:rPr>
        <w:t>m</w:t>
      </w:r>
      <w:r w:rsidR="0048544A" w:rsidRPr="0067507D">
        <w:rPr>
          <w:szCs w:val="17"/>
        </w:rPr>
        <w:t>onitor</w:t>
      </w:r>
      <w:r w:rsidRPr="0067507D">
        <w:rPr>
          <w:szCs w:val="17"/>
        </w:rPr>
        <w:t>ing</w:t>
      </w:r>
      <w:r w:rsidR="0048544A" w:rsidRPr="0067507D">
        <w:rPr>
          <w:szCs w:val="17"/>
        </w:rPr>
        <w:t xml:space="preserve"> the financial performance of government businesses with responsibility for delivering infrastructure and services to Victorians and</w:t>
      </w:r>
      <w:r w:rsidR="0013360C" w:rsidRPr="0067507D">
        <w:rPr>
          <w:rFonts w:ascii="Calibri" w:hAnsi="Calibri" w:cs="Calibri"/>
          <w:szCs w:val="17"/>
        </w:rPr>
        <w:t xml:space="preserve"> </w:t>
      </w:r>
      <w:r w:rsidR="0048544A" w:rsidRPr="0067507D">
        <w:rPr>
          <w:szCs w:val="17"/>
        </w:rPr>
        <w:t>regulat</w:t>
      </w:r>
      <w:r w:rsidRPr="0067507D">
        <w:rPr>
          <w:szCs w:val="17"/>
        </w:rPr>
        <w:t>ing</w:t>
      </w:r>
      <w:r w:rsidR="0048544A" w:rsidRPr="0067507D">
        <w:rPr>
          <w:szCs w:val="17"/>
        </w:rPr>
        <w:t xml:space="preserve"> the performance of community housing agencies</w:t>
      </w:r>
    </w:p>
    <w:p w14:paraId="42C6B71F" w14:textId="26C46921" w:rsidR="43FF575B" w:rsidRPr="0067507D" w:rsidRDefault="00E117EE" w:rsidP="2B0C8F21">
      <w:pPr>
        <w:pStyle w:val="Bullet"/>
        <w:rPr>
          <w:rFonts w:eastAsia="Aptos"/>
        </w:rPr>
      </w:pPr>
      <w:r w:rsidRPr="0067507D">
        <w:rPr>
          <w:rFonts w:eastAsia="Aptos"/>
        </w:rPr>
        <w:t>c</w:t>
      </w:r>
      <w:r w:rsidR="43FF575B" w:rsidRPr="0067507D">
        <w:rPr>
          <w:rFonts w:eastAsia="Aptos"/>
        </w:rPr>
        <w:t>oordinating the Government’s five</w:t>
      </w:r>
      <w:r w:rsidR="006A5485">
        <w:rPr>
          <w:rFonts w:eastAsia="Aptos"/>
        </w:rPr>
        <w:noBreakHyphen/>
      </w:r>
      <w:r w:rsidR="43FF575B" w:rsidRPr="0067507D">
        <w:rPr>
          <w:rFonts w:eastAsia="Aptos"/>
        </w:rPr>
        <w:t>year infrastructure plan in response to Infrastructure Victoria’s updated 30</w:t>
      </w:r>
      <w:r w:rsidR="006A5485">
        <w:rPr>
          <w:rFonts w:eastAsia="Aptos"/>
        </w:rPr>
        <w:noBreakHyphen/>
      </w:r>
      <w:r w:rsidR="43FF575B" w:rsidRPr="0067507D">
        <w:rPr>
          <w:rFonts w:eastAsia="Aptos"/>
        </w:rPr>
        <w:t>year strategy</w:t>
      </w:r>
    </w:p>
    <w:p w14:paraId="52A50D4A" w14:textId="2F06619B" w:rsidR="43FF575B" w:rsidRPr="0067507D" w:rsidRDefault="00B82963" w:rsidP="00B47456">
      <w:pPr>
        <w:pStyle w:val="Bullet"/>
        <w:rPr>
          <w:rFonts w:eastAsia="Aptos"/>
        </w:rPr>
      </w:pPr>
      <w:r w:rsidRPr="0067507D">
        <w:rPr>
          <w:rFonts w:eastAsia="Aptos"/>
        </w:rPr>
        <w:t>i</w:t>
      </w:r>
      <w:r w:rsidR="0023185C" w:rsidRPr="0067507D">
        <w:rPr>
          <w:rFonts w:eastAsia="Aptos"/>
        </w:rPr>
        <w:t>ncreasing</w:t>
      </w:r>
      <w:r w:rsidR="43FF575B" w:rsidRPr="0067507D">
        <w:rPr>
          <w:rFonts w:eastAsia="Aptos"/>
        </w:rPr>
        <w:t xml:space="preserve"> automation of budget process and collation, storage and analysis of key DTF data</w:t>
      </w:r>
    </w:p>
    <w:p w14:paraId="02FF555E" w14:textId="6DF5A357" w:rsidR="43FF575B" w:rsidRPr="0067507D" w:rsidRDefault="00E117EE" w:rsidP="00B47456">
      <w:pPr>
        <w:pStyle w:val="Bullet"/>
        <w:rPr>
          <w:rFonts w:eastAsia="Aptos"/>
        </w:rPr>
      </w:pPr>
      <w:r w:rsidRPr="0067507D">
        <w:rPr>
          <w:rFonts w:eastAsia="Aptos"/>
        </w:rPr>
        <w:t>a</w:t>
      </w:r>
      <w:r w:rsidR="43FF575B" w:rsidRPr="0067507D">
        <w:rPr>
          <w:rFonts w:eastAsia="Aptos"/>
        </w:rPr>
        <w:t>pplying innovative procurement and commercial models to deliver the infrastructure required for the energy transition</w:t>
      </w:r>
    </w:p>
    <w:p w14:paraId="1A35A719" w14:textId="5B86DD73" w:rsidR="43FF575B" w:rsidRPr="0067507D" w:rsidRDefault="00E117EE" w:rsidP="00B47456">
      <w:pPr>
        <w:pStyle w:val="Bullet"/>
        <w:rPr>
          <w:rFonts w:eastAsia="Aptos"/>
        </w:rPr>
      </w:pPr>
      <w:r w:rsidRPr="0067507D">
        <w:rPr>
          <w:rFonts w:eastAsia="Aptos"/>
        </w:rPr>
        <w:t>s</w:t>
      </w:r>
      <w:r w:rsidR="43FF575B" w:rsidRPr="0067507D">
        <w:rPr>
          <w:rFonts w:eastAsia="Aptos"/>
        </w:rPr>
        <w:t xml:space="preserve">upporting Government’s Climate Strategy </w:t>
      </w:r>
      <w:r w:rsidR="00833C3E" w:rsidRPr="0067507D">
        <w:rPr>
          <w:rFonts w:eastAsia="Aptos"/>
        </w:rPr>
        <w:t>by</w:t>
      </w:r>
      <w:r w:rsidR="43FF575B" w:rsidRPr="0067507D">
        <w:rPr>
          <w:rFonts w:eastAsia="Aptos"/>
        </w:rPr>
        <w:t xml:space="preserve"> embedding climate considerations in infrastructure decision</w:t>
      </w:r>
      <w:r w:rsidR="006A5485">
        <w:rPr>
          <w:rFonts w:eastAsia="Aptos"/>
        </w:rPr>
        <w:noBreakHyphen/>
      </w:r>
      <w:r w:rsidR="43FF575B" w:rsidRPr="0067507D">
        <w:rPr>
          <w:rFonts w:eastAsia="Aptos"/>
        </w:rPr>
        <w:t xml:space="preserve">making and expanding workforce modelling to include the energy transition </w:t>
      </w:r>
    </w:p>
    <w:p w14:paraId="7B268191" w14:textId="4A7277A8" w:rsidR="2B0C8F21" w:rsidRPr="0067507D" w:rsidRDefault="00E117EE" w:rsidP="00802498">
      <w:pPr>
        <w:pStyle w:val="Bullet"/>
        <w:ind w:right="122"/>
        <w:rPr>
          <w:rFonts w:eastAsia="Aptos" w:cs="Aptos"/>
        </w:rPr>
      </w:pPr>
      <w:r w:rsidRPr="0067507D">
        <w:rPr>
          <w:rFonts w:eastAsia="Aptos"/>
        </w:rPr>
        <w:t>a</w:t>
      </w:r>
      <w:r w:rsidR="43FF575B" w:rsidRPr="0067507D">
        <w:rPr>
          <w:rFonts w:eastAsia="Aptos"/>
        </w:rPr>
        <w:t>ssisting the successful day one opening of projects that utilise private finance including the West Gate Tunnel, Metro Tunnel and Footscray Hospital</w:t>
      </w:r>
    </w:p>
    <w:p w14:paraId="643E69A0" w14:textId="3CA16C0E" w:rsidR="2B0C8F21" w:rsidRPr="0067507D" w:rsidRDefault="00E117EE" w:rsidP="23F65D86">
      <w:pPr>
        <w:pStyle w:val="Bullet"/>
        <w:rPr>
          <w:rFonts w:eastAsia="Times"/>
        </w:rPr>
      </w:pPr>
      <w:r w:rsidRPr="0067507D">
        <w:rPr>
          <w:rFonts w:eastAsia="Times"/>
        </w:rPr>
        <w:t>p</w:t>
      </w:r>
      <w:r w:rsidR="5BF27643" w:rsidRPr="0067507D">
        <w:rPr>
          <w:rFonts w:eastAsia="Times"/>
        </w:rPr>
        <w:t>rogress pioneering legislative reform to restrict the use of non</w:t>
      </w:r>
      <w:r w:rsidR="006A5485">
        <w:rPr>
          <w:rFonts w:eastAsia="Times"/>
        </w:rPr>
        <w:noBreakHyphen/>
      </w:r>
      <w:r w:rsidR="5BF27643" w:rsidRPr="0067507D">
        <w:rPr>
          <w:rFonts w:eastAsia="Times"/>
        </w:rPr>
        <w:t>disclosure agreements in workplace sexual harassment cases</w:t>
      </w:r>
    </w:p>
    <w:p w14:paraId="0DB1332B" w14:textId="01CD99BE" w:rsidR="2B0C8F21" w:rsidRPr="0067507D" w:rsidRDefault="00E117EE" w:rsidP="00B47456">
      <w:pPr>
        <w:pStyle w:val="Bullet"/>
        <w:rPr>
          <w:rFonts w:eastAsia="Times" w:cs="Times"/>
          <w:color w:val="000000"/>
          <w:szCs w:val="17"/>
        </w:rPr>
      </w:pPr>
      <w:r w:rsidRPr="0067507D">
        <w:rPr>
          <w:rFonts w:eastAsia="Times"/>
        </w:rPr>
        <w:t>o</w:t>
      </w:r>
      <w:r w:rsidR="5BF27643" w:rsidRPr="0067507D">
        <w:rPr>
          <w:rFonts w:eastAsia="Times"/>
        </w:rPr>
        <w:t xml:space="preserve">versee bargaining for more than 65 public sector enterprise agreements including major agreements covering mental health workers, </w:t>
      </w:r>
      <w:r w:rsidR="001D0828" w:rsidRPr="0067507D">
        <w:rPr>
          <w:rFonts w:eastAsia="Times"/>
        </w:rPr>
        <w:t xml:space="preserve">medical specialists (including junior </w:t>
      </w:r>
      <w:r w:rsidR="5BF27643" w:rsidRPr="0067507D">
        <w:rPr>
          <w:rFonts w:eastAsia="Times"/>
        </w:rPr>
        <w:t>doctors</w:t>
      </w:r>
      <w:r w:rsidR="001D0828" w:rsidRPr="0067507D">
        <w:rPr>
          <w:rFonts w:eastAsia="Times"/>
        </w:rPr>
        <w:t>)</w:t>
      </w:r>
      <w:r w:rsidR="5BF27643" w:rsidRPr="0067507D">
        <w:rPr>
          <w:rFonts w:eastAsia="Times"/>
        </w:rPr>
        <w:t>, teachers and multi</w:t>
      </w:r>
      <w:r w:rsidR="006A5485">
        <w:rPr>
          <w:rFonts w:eastAsia="Times"/>
        </w:rPr>
        <w:noBreakHyphen/>
      </w:r>
      <w:r w:rsidR="5BF27643" w:rsidRPr="0067507D">
        <w:rPr>
          <w:rFonts w:eastAsia="Times"/>
        </w:rPr>
        <w:t>enterprise agreements covering water corporations and</w:t>
      </w:r>
      <w:r w:rsidR="0013360C" w:rsidRPr="0067507D">
        <w:rPr>
          <w:rFonts w:ascii="Calibri" w:eastAsia="Times" w:hAnsi="Calibri" w:cs="Calibri"/>
        </w:rPr>
        <w:t> </w:t>
      </w:r>
      <w:r w:rsidR="5BF27643" w:rsidRPr="0067507D">
        <w:rPr>
          <w:rFonts w:eastAsia="Times"/>
        </w:rPr>
        <w:t>TAFEs</w:t>
      </w:r>
    </w:p>
    <w:p w14:paraId="444A5321" w14:textId="10FDE6FC" w:rsidR="2B0C8F21" w:rsidRPr="0067507D" w:rsidRDefault="001C0EBE" w:rsidP="00B47456">
      <w:pPr>
        <w:pStyle w:val="Bullet"/>
        <w:rPr>
          <w:rFonts w:eastAsia="Times" w:cs="Times"/>
          <w:color w:val="000000"/>
          <w:szCs w:val="17"/>
        </w:rPr>
      </w:pPr>
      <w:r w:rsidRPr="0067507D">
        <w:rPr>
          <w:rFonts w:eastAsia="Times" w:cs="Times"/>
          <w:color w:val="000000"/>
          <w:szCs w:val="17"/>
        </w:rPr>
        <w:t>a</w:t>
      </w:r>
      <w:r w:rsidR="5BF27643" w:rsidRPr="0067507D">
        <w:rPr>
          <w:rFonts w:eastAsia="Times" w:cs="Times"/>
          <w:color w:val="000000"/>
          <w:szCs w:val="17"/>
        </w:rPr>
        <w:t>dvise Government on reform to manage the impact and opportunities from increased use of AI and other technology, including developing a response to the Parliamentary inquiry report on workplace surveillance</w:t>
      </w:r>
    </w:p>
    <w:p w14:paraId="6C70FACC" w14:textId="6EA37855" w:rsidR="2B0C8F21" w:rsidRPr="0067507D" w:rsidRDefault="009D23F5" w:rsidP="2B0C8F21">
      <w:pPr>
        <w:pStyle w:val="Bullet"/>
        <w:rPr>
          <w:rFonts w:eastAsia="Aptos" w:cs="Aptos"/>
        </w:rPr>
      </w:pPr>
      <w:r w:rsidRPr="0067507D">
        <w:rPr>
          <w:rFonts w:eastAsia="Times" w:cs="Times"/>
          <w:color w:val="000000"/>
          <w:szCs w:val="17"/>
        </w:rPr>
        <w:t>c</w:t>
      </w:r>
      <w:r w:rsidR="5BF27643" w:rsidRPr="0067507D">
        <w:rPr>
          <w:rFonts w:eastAsia="Times" w:cs="Times"/>
          <w:color w:val="000000"/>
          <w:szCs w:val="17"/>
        </w:rPr>
        <w:t xml:space="preserve">ontinue to work with the Commonwealth on national workplace relations reforms including </w:t>
      </w:r>
      <w:r w:rsidR="00284040" w:rsidRPr="0067507D">
        <w:rPr>
          <w:rFonts w:eastAsia="Times" w:cs="Times"/>
          <w:color w:val="000000"/>
          <w:szCs w:val="17"/>
        </w:rPr>
        <w:t xml:space="preserve">national </w:t>
      </w:r>
      <w:r w:rsidR="5BF27643" w:rsidRPr="0067507D">
        <w:rPr>
          <w:rFonts w:eastAsia="Times" w:cs="Times"/>
          <w:color w:val="000000"/>
          <w:szCs w:val="17"/>
        </w:rPr>
        <w:t>labour hire, the on</w:t>
      </w:r>
      <w:r w:rsidR="006A5485">
        <w:rPr>
          <w:rFonts w:eastAsia="Times" w:cs="Times"/>
          <w:color w:val="000000"/>
          <w:szCs w:val="17"/>
        </w:rPr>
        <w:noBreakHyphen/>
      </w:r>
      <w:r w:rsidR="5BF27643" w:rsidRPr="0067507D">
        <w:rPr>
          <w:rFonts w:eastAsia="Times" w:cs="Times"/>
          <w:color w:val="000000"/>
          <w:szCs w:val="17"/>
        </w:rPr>
        <w:t>demand economy and the expansion of protections for Victorian public and private sector workplaces.</w:t>
      </w:r>
    </w:p>
    <w:p w14:paraId="33370B78" w14:textId="7DD054D6" w:rsidR="0094158D" w:rsidRPr="0067507D" w:rsidRDefault="0013360C" w:rsidP="004F6550">
      <w:pPr>
        <w:pStyle w:val="Heading2"/>
        <w:rPr>
          <w:rFonts w:eastAsia="Aptos"/>
        </w:rPr>
      </w:pPr>
      <w:r w:rsidRPr="0067507D">
        <w:rPr>
          <w:rFonts w:eastAsia="Aptos"/>
        </w:rPr>
        <w:br w:type="column"/>
      </w:r>
      <w:r w:rsidR="07F9A0CF" w:rsidRPr="0067507D">
        <w:rPr>
          <w:rFonts w:eastAsia="Aptos"/>
        </w:rPr>
        <w:t>Our people</w:t>
      </w:r>
    </w:p>
    <w:p w14:paraId="499EC5A2" w14:textId="5680B0F7" w:rsidR="07F9A0CF" w:rsidRPr="0067507D" w:rsidRDefault="07F9A0CF" w:rsidP="00991BA8">
      <w:r w:rsidRPr="0067507D">
        <w:rPr>
          <w:rFonts w:eastAsia="Aptos" w:cs="Aptos"/>
          <w:color w:val="000000"/>
          <w:szCs w:val="17"/>
        </w:rPr>
        <w:t xml:space="preserve">DTF staff can be proud of their efforts to deliver on DTF’s objectives in </w:t>
      </w:r>
      <w:r w:rsidR="00C30F42" w:rsidRPr="0067507D">
        <w:rPr>
          <w:rFonts w:eastAsia="Aptos" w:cs="Aptos"/>
          <w:color w:val="000000"/>
          <w:szCs w:val="17"/>
        </w:rPr>
        <w:t>2024</w:t>
      </w:r>
      <w:r w:rsidR="006A5485">
        <w:rPr>
          <w:rFonts w:eastAsia="Aptos" w:cs="Aptos"/>
          <w:color w:val="000000"/>
          <w:szCs w:val="17"/>
        </w:rPr>
        <w:noBreakHyphen/>
      </w:r>
      <w:r w:rsidR="00C30F42" w:rsidRPr="0067507D">
        <w:rPr>
          <w:rFonts w:eastAsia="Aptos" w:cs="Aptos"/>
          <w:color w:val="000000"/>
          <w:szCs w:val="17"/>
        </w:rPr>
        <w:t>25</w:t>
      </w:r>
      <w:r w:rsidRPr="0067507D">
        <w:rPr>
          <w:rFonts w:eastAsia="Aptos" w:cs="Aptos"/>
          <w:color w:val="000000"/>
          <w:szCs w:val="17"/>
        </w:rPr>
        <w:t>, during a time of economic challenge</w:t>
      </w:r>
      <w:r w:rsidR="00325852" w:rsidRPr="0067507D">
        <w:rPr>
          <w:rFonts w:eastAsia="Aptos" w:cs="Aptos"/>
          <w:color w:val="000000"/>
          <w:szCs w:val="17"/>
        </w:rPr>
        <w:t xml:space="preserve">. </w:t>
      </w:r>
      <w:r w:rsidR="00E57653" w:rsidRPr="0067507D">
        <w:rPr>
          <w:rFonts w:eastAsia="Aptos" w:cs="Aptos"/>
          <w:color w:val="000000"/>
          <w:szCs w:val="17"/>
        </w:rPr>
        <w:t>The</w:t>
      </w:r>
      <w:r w:rsidR="00325852" w:rsidRPr="0067507D">
        <w:rPr>
          <w:rFonts w:eastAsia="Aptos" w:cs="Aptos"/>
          <w:color w:val="000000"/>
          <w:szCs w:val="17"/>
        </w:rPr>
        <w:t>ir</w:t>
      </w:r>
      <w:r w:rsidR="00E57653" w:rsidRPr="0067507D">
        <w:rPr>
          <w:rFonts w:eastAsia="Aptos" w:cs="Aptos"/>
          <w:color w:val="000000"/>
          <w:szCs w:val="17"/>
        </w:rPr>
        <w:t xml:space="preserve"> leadership, integrity and expertise provide a</w:t>
      </w:r>
      <w:r w:rsidR="000F55D2" w:rsidRPr="0067507D">
        <w:rPr>
          <w:rFonts w:eastAsia="Aptos" w:cs="Aptos"/>
          <w:color w:val="000000"/>
          <w:szCs w:val="17"/>
        </w:rPr>
        <w:t>n</w:t>
      </w:r>
      <w:r w:rsidR="00E57653" w:rsidRPr="0067507D">
        <w:rPr>
          <w:rFonts w:eastAsia="Aptos" w:cs="Aptos"/>
          <w:color w:val="000000"/>
          <w:szCs w:val="17"/>
        </w:rPr>
        <w:t xml:space="preserve"> </w:t>
      </w:r>
      <w:r w:rsidR="007E1600" w:rsidRPr="0067507D">
        <w:rPr>
          <w:rFonts w:eastAsia="Aptos" w:cs="Aptos"/>
          <w:color w:val="000000"/>
          <w:szCs w:val="17"/>
        </w:rPr>
        <w:t>essential</w:t>
      </w:r>
      <w:r w:rsidR="000F55D2" w:rsidRPr="0067507D">
        <w:rPr>
          <w:rFonts w:eastAsia="Aptos" w:cs="Aptos"/>
          <w:color w:val="000000"/>
          <w:szCs w:val="17"/>
        </w:rPr>
        <w:t xml:space="preserve"> resource</w:t>
      </w:r>
      <w:r w:rsidR="007E1600" w:rsidRPr="0067507D">
        <w:rPr>
          <w:rFonts w:eastAsia="Aptos" w:cs="Aptos"/>
          <w:color w:val="000000"/>
          <w:szCs w:val="17"/>
        </w:rPr>
        <w:t xml:space="preserve"> </w:t>
      </w:r>
      <w:r w:rsidR="007E1600" w:rsidRPr="0067507D">
        <w:rPr>
          <w:rFonts w:eastAsia="Times" w:cs="Times"/>
          <w:color w:val="000000"/>
          <w:szCs w:val="17"/>
        </w:rPr>
        <w:t>to advance</w:t>
      </w:r>
      <w:r w:rsidR="007E1600" w:rsidRPr="0067507D">
        <w:rPr>
          <w:rFonts w:eastAsia="Aptos" w:cs="Aptos"/>
          <w:color w:val="000000"/>
          <w:szCs w:val="17"/>
        </w:rPr>
        <w:t xml:space="preserve"> the </w:t>
      </w:r>
      <w:r w:rsidR="007E1600" w:rsidRPr="0067507D">
        <w:rPr>
          <w:rFonts w:eastAsia="Times" w:cs="Times"/>
          <w:color w:val="000000"/>
          <w:szCs w:val="17"/>
        </w:rPr>
        <w:t>Government’s</w:t>
      </w:r>
      <w:r w:rsidR="007E1600" w:rsidRPr="0067507D">
        <w:rPr>
          <w:rFonts w:eastAsia="Aptos" w:cs="Aptos"/>
          <w:color w:val="000000"/>
          <w:szCs w:val="17"/>
        </w:rPr>
        <w:t xml:space="preserve"> economic</w:t>
      </w:r>
      <w:r w:rsidR="007405B9" w:rsidRPr="0067507D">
        <w:rPr>
          <w:rFonts w:eastAsia="Aptos" w:cs="Aptos"/>
          <w:color w:val="000000"/>
          <w:szCs w:val="17"/>
        </w:rPr>
        <w:t xml:space="preserve"> and fiscal</w:t>
      </w:r>
      <w:r w:rsidR="007E1600" w:rsidRPr="0067507D">
        <w:rPr>
          <w:rFonts w:eastAsia="Aptos" w:cs="Aptos"/>
          <w:color w:val="000000"/>
          <w:szCs w:val="17"/>
        </w:rPr>
        <w:t xml:space="preserve"> </w:t>
      </w:r>
      <w:r w:rsidR="007E1600" w:rsidRPr="0067507D">
        <w:rPr>
          <w:rFonts w:eastAsia="Times" w:cs="Times"/>
          <w:color w:val="000000"/>
          <w:szCs w:val="17"/>
        </w:rPr>
        <w:t>agenda.</w:t>
      </w:r>
      <w:r w:rsidR="007E1600" w:rsidRPr="0067507D">
        <w:rPr>
          <w:rFonts w:eastAsia="Aptos" w:cs="Aptos"/>
          <w:color w:val="000000"/>
          <w:szCs w:val="17"/>
        </w:rPr>
        <w:t xml:space="preserve"> </w:t>
      </w:r>
    </w:p>
    <w:p w14:paraId="08080569" w14:textId="739DBCCB" w:rsidR="07F9A0CF" w:rsidRPr="0067507D" w:rsidRDefault="34D8700F" w:rsidP="3E84ED7C">
      <w:pPr>
        <w:rPr>
          <w:rFonts w:eastAsia="Times" w:cs="Times"/>
          <w:color w:val="000000"/>
          <w:szCs w:val="17"/>
        </w:rPr>
      </w:pPr>
      <w:r w:rsidRPr="0067507D">
        <w:rPr>
          <w:rFonts w:eastAsia="Times" w:cs="Times"/>
          <w:color w:val="000000"/>
          <w:szCs w:val="17"/>
        </w:rPr>
        <w:t>Staff wellbeing is central to all we do at DTF</w:t>
      </w:r>
      <w:r w:rsidR="00520175" w:rsidRPr="0067507D">
        <w:rPr>
          <w:rFonts w:eastAsia="Times" w:cs="Times"/>
          <w:color w:val="000000"/>
          <w:szCs w:val="17"/>
        </w:rPr>
        <w:t xml:space="preserve">, and </w:t>
      </w:r>
      <w:r w:rsidR="00FE1E96" w:rsidRPr="0067507D">
        <w:rPr>
          <w:rFonts w:eastAsia="Times" w:cs="Times"/>
          <w:color w:val="000000"/>
          <w:szCs w:val="17"/>
        </w:rPr>
        <w:t>remains</w:t>
      </w:r>
      <w:r w:rsidR="00EF3B95" w:rsidRPr="0067507D">
        <w:rPr>
          <w:rFonts w:eastAsia="Times" w:cs="Times"/>
          <w:color w:val="000000"/>
          <w:szCs w:val="17"/>
        </w:rPr>
        <w:t xml:space="preserve"> a </w:t>
      </w:r>
      <w:r w:rsidR="00FE1E96" w:rsidRPr="0067507D">
        <w:rPr>
          <w:rFonts w:eastAsia="Times" w:cs="Times"/>
          <w:color w:val="000000"/>
          <w:szCs w:val="17"/>
        </w:rPr>
        <w:t>key</w:t>
      </w:r>
      <w:r w:rsidR="00EF3B95" w:rsidRPr="0067507D">
        <w:rPr>
          <w:rFonts w:eastAsia="Times" w:cs="Times"/>
          <w:color w:val="000000"/>
          <w:szCs w:val="17"/>
        </w:rPr>
        <w:t xml:space="preserve"> priority </w:t>
      </w:r>
      <w:r w:rsidR="00C82218" w:rsidRPr="0067507D">
        <w:rPr>
          <w:rFonts w:eastAsia="Times" w:cs="Times"/>
          <w:color w:val="000000"/>
          <w:szCs w:val="17"/>
        </w:rPr>
        <w:t xml:space="preserve">for me </w:t>
      </w:r>
      <w:r w:rsidR="00EF3B95" w:rsidRPr="0067507D">
        <w:rPr>
          <w:rFonts w:eastAsia="Times" w:cs="Times"/>
          <w:color w:val="000000"/>
          <w:szCs w:val="17"/>
        </w:rPr>
        <w:t xml:space="preserve">as </w:t>
      </w:r>
      <w:r w:rsidR="00520175" w:rsidRPr="0067507D">
        <w:rPr>
          <w:rFonts w:eastAsia="Times" w:cs="Times"/>
          <w:color w:val="000000"/>
          <w:szCs w:val="17"/>
        </w:rPr>
        <w:t>Secretary</w:t>
      </w:r>
      <w:r w:rsidR="00EF3B95" w:rsidRPr="0067507D">
        <w:rPr>
          <w:rFonts w:eastAsia="Times" w:cs="Times"/>
          <w:color w:val="000000"/>
          <w:szCs w:val="17"/>
        </w:rPr>
        <w:t>.</w:t>
      </w:r>
      <w:r w:rsidR="00520175" w:rsidRPr="0067507D">
        <w:rPr>
          <w:rFonts w:eastAsia="Times" w:cs="Times"/>
          <w:color w:val="000000"/>
          <w:szCs w:val="17"/>
        </w:rPr>
        <w:t xml:space="preserve"> </w:t>
      </w:r>
      <w:r w:rsidRPr="0067507D">
        <w:rPr>
          <w:rFonts w:eastAsia="Times" w:cs="Times"/>
          <w:color w:val="000000"/>
          <w:szCs w:val="17"/>
        </w:rPr>
        <w:t xml:space="preserve">I was proud to launch the DTF Improvement Initiative </w:t>
      </w:r>
      <w:r w:rsidR="00C54C3E" w:rsidRPr="0067507D">
        <w:rPr>
          <w:rFonts w:eastAsia="Times" w:cs="Times"/>
          <w:color w:val="000000"/>
          <w:szCs w:val="17"/>
        </w:rPr>
        <w:t xml:space="preserve">(DTFii) </w:t>
      </w:r>
      <w:r w:rsidRPr="0067507D">
        <w:rPr>
          <w:rFonts w:eastAsia="Times" w:cs="Times"/>
          <w:color w:val="000000"/>
          <w:szCs w:val="17"/>
        </w:rPr>
        <w:t>in 2024, a</w:t>
      </w:r>
      <w:r w:rsidR="0051625C" w:rsidRPr="0067507D">
        <w:rPr>
          <w:rFonts w:ascii="Calibri" w:eastAsia="Times" w:hAnsi="Calibri" w:cs="Calibri"/>
          <w:color w:val="000000"/>
          <w:szCs w:val="17"/>
        </w:rPr>
        <w:t> </w:t>
      </w:r>
      <w:r w:rsidRPr="0067507D">
        <w:rPr>
          <w:rFonts w:eastAsia="Times" w:cs="Times"/>
          <w:color w:val="000000"/>
          <w:szCs w:val="17"/>
        </w:rPr>
        <w:t xml:space="preserve">program </w:t>
      </w:r>
      <w:r w:rsidR="00D01B27" w:rsidRPr="0067507D">
        <w:rPr>
          <w:rFonts w:eastAsia="Times" w:cs="Times"/>
          <w:color w:val="000000"/>
          <w:szCs w:val="17"/>
        </w:rPr>
        <w:t>created</w:t>
      </w:r>
      <w:r w:rsidRPr="0067507D">
        <w:rPr>
          <w:rFonts w:eastAsia="Times" w:cs="Times"/>
          <w:color w:val="000000"/>
          <w:szCs w:val="17"/>
        </w:rPr>
        <w:t xml:space="preserve"> to support and improve our people’s wellbeing and</w:t>
      </w:r>
      <w:r w:rsidR="00556F0B" w:rsidRPr="0067507D">
        <w:rPr>
          <w:rFonts w:eastAsia="Times" w:cs="Times"/>
          <w:color w:val="000000"/>
          <w:szCs w:val="17"/>
        </w:rPr>
        <w:t xml:space="preserve"> the</w:t>
      </w:r>
      <w:r w:rsidRPr="0067507D">
        <w:rPr>
          <w:rFonts w:eastAsia="Times" w:cs="Times"/>
          <w:color w:val="000000"/>
          <w:szCs w:val="17"/>
        </w:rPr>
        <w:t xml:space="preserve"> influence</w:t>
      </w:r>
      <w:r w:rsidR="00556F0B" w:rsidRPr="0067507D">
        <w:rPr>
          <w:rFonts w:eastAsia="Times" w:cs="Times"/>
          <w:color w:val="000000"/>
          <w:szCs w:val="17"/>
        </w:rPr>
        <w:t xml:space="preserve"> of our advice</w:t>
      </w:r>
      <w:r w:rsidRPr="0067507D">
        <w:rPr>
          <w:rFonts w:eastAsia="Times" w:cs="Times"/>
          <w:color w:val="000000"/>
          <w:szCs w:val="17"/>
        </w:rPr>
        <w:t xml:space="preserve">. </w:t>
      </w:r>
      <w:r w:rsidR="007B1A98" w:rsidRPr="0067507D">
        <w:rPr>
          <w:rFonts w:eastAsia="Times" w:cs="Times"/>
          <w:color w:val="000000"/>
          <w:szCs w:val="17"/>
        </w:rPr>
        <w:t>Designed around</w:t>
      </w:r>
      <w:r w:rsidRPr="0067507D">
        <w:rPr>
          <w:rFonts w:eastAsia="Times" w:cs="Times"/>
          <w:color w:val="000000"/>
          <w:szCs w:val="17"/>
        </w:rPr>
        <w:t xml:space="preserve"> consultation and collaboration, the </w:t>
      </w:r>
      <w:r w:rsidR="00C54C3E" w:rsidRPr="0067507D">
        <w:rPr>
          <w:rFonts w:eastAsia="Times" w:cs="Times"/>
          <w:color w:val="000000"/>
          <w:szCs w:val="17"/>
        </w:rPr>
        <w:t xml:space="preserve">initiative’s </w:t>
      </w:r>
      <w:r w:rsidRPr="0067507D">
        <w:rPr>
          <w:rFonts w:eastAsia="Times" w:cs="Times"/>
          <w:color w:val="000000"/>
          <w:szCs w:val="17"/>
        </w:rPr>
        <w:t>strategy aligns firmly with our immediate and long</w:t>
      </w:r>
      <w:r w:rsidR="004F69F2" w:rsidRPr="0067507D">
        <w:rPr>
          <w:rFonts w:eastAsia="Times" w:cs="Times"/>
          <w:color w:val="000000"/>
          <w:szCs w:val="17"/>
        </w:rPr>
        <w:noBreakHyphen/>
      </w:r>
      <w:r w:rsidRPr="0067507D">
        <w:rPr>
          <w:rFonts w:eastAsia="Times" w:cs="Times"/>
          <w:color w:val="000000"/>
          <w:szCs w:val="17"/>
        </w:rPr>
        <w:t xml:space="preserve">term goals. </w:t>
      </w:r>
    </w:p>
    <w:p w14:paraId="72AFAFAA" w14:textId="2CFFB2E3" w:rsidR="00EB7A64" w:rsidRPr="0067507D" w:rsidRDefault="00C54C3E" w:rsidP="00991BA8">
      <w:pPr>
        <w:rPr>
          <w:rFonts w:eastAsia="Times" w:cs="Times"/>
          <w:color w:val="000000"/>
          <w:szCs w:val="17"/>
        </w:rPr>
      </w:pPr>
      <w:r w:rsidRPr="0067507D">
        <w:rPr>
          <w:rFonts w:eastAsia="Times" w:cs="Times"/>
          <w:color w:val="000000"/>
          <w:szCs w:val="17"/>
        </w:rPr>
        <w:t>Our DTFii reforms are</w:t>
      </w:r>
      <w:r w:rsidR="00EB7A64" w:rsidRPr="0067507D">
        <w:rPr>
          <w:rFonts w:eastAsia="Times" w:cs="Times"/>
          <w:color w:val="000000"/>
          <w:szCs w:val="17"/>
        </w:rPr>
        <w:t xml:space="preserve"> supported by </w:t>
      </w:r>
      <w:r w:rsidR="0070681B" w:rsidRPr="0067507D">
        <w:rPr>
          <w:rFonts w:eastAsia="Times" w:cs="Times"/>
          <w:color w:val="000000"/>
          <w:szCs w:val="17"/>
        </w:rPr>
        <w:t>the</w:t>
      </w:r>
      <w:r w:rsidR="00EB7A64" w:rsidRPr="0067507D">
        <w:rPr>
          <w:rFonts w:eastAsia="Times" w:cs="Times"/>
          <w:color w:val="000000"/>
          <w:szCs w:val="17"/>
        </w:rPr>
        <w:t xml:space="preserve"> new</w:t>
      </w:r>
      <w:r w:rsidR="0053015E" w:rsidRPr="0067507D">
        <w:rPr>
          <w:rFonts w:eastAsia="Times" w:cs="Times"/>
          <w:color w:val="000000"/>
          <w:szCs w:val="17"/>
        </w:rPr>
        <w:t xml:space="preserve"> DTF People Committee, </w:t>
      </w:r>
      <w:r w:rsidR="00ED6F93" w:rsidRPr="0067507D">
        <w:rPr>
          <w:rFonts w:eastAsia="Times" w:cs="Times"/>
          <w:color w:val="000000"/>
          <w:szCs w:val="17"/>
        </w:rPr>
        <w:t xml:space="preserve">a </w:t>
      </w:r>
      <w:r w:rsidR="003A21A5" w:rsidRPr="0067507D">
        <w:rPr>
          <w:rFonts w:eastAsia="Times" w:cs="Times"/>
          <w:color w:val="000000"/>
          <w:szCs w:val="17"/>
        </w:rPr>
        <w:t xml:space="preserve">diverse group </w:t>
      </w:r>
      <w:r w:rsidR="00ED6F93" w:rsidRPr="0067507D">
        <w:rPr>
          <w:rFonts w:eastAsia="Times" w:cs="Times"/>
          <w:color w:val="000000"/>
          <w:szCs w:val="17"/>
        </w:rPr>
        <w:t>of executives an</w:t>
      </w:r>
      <w:r w:rsidR="003A21A5" w:rsidRPr="0067507D">
        <w:rPr>
          <w:rFonts w:eastAsia="Times" w:cs="Times"/>
          <w:color w:val="000000"/>
          <w:szCs w:val="17"/>
        </w:rPr>
        <w:t xml:space="preserve">d </w:t>
      </w:r>
      <w:r w:rsidR="00FA4860" w:rsidRPr="0067507D">
        <w:rPr>
          <w:rFonts w:eastAsia="Times" w:cs="Times"/>
          <w:color w:val="000000"/>
          <w:szCs w:val="17"/>
        </w:rPr>
        <w:t xml:space="preserve">VPS </w:t>
      </w:r>
      <w:r w:rsidR="003A21A5" w:rsidRPr="0067507D">
        <w:rPr>
          <w:rFonts w:eastAsia="Times" w:cs="Times"/>
          <w:color w:val="000000"/>
          <w:szCs w:val="17"/>
        </w:rPr>
        <w:t>staff</w:t>
      </w:r>
      <w:r w:rsidR="00C544D8" w:rsidRPr="0067507D">
        <w:rPr>
          <w:rFonts w:eastAsia="Times" w:cs="Times"/>
          <w:color w:val="000000"/>
          <w:szCs w:val="17"/>
        </w:rPr>
        <w:t xml:space="preserve"> </w:t>
      </w:r>
      <w:r w:rsidR="00FA4860" w:rsidRPr="0067507D">
        <w:rPr>
          <w:rFonts w:eastAsia="Times" w:cs="Times"/>
          <w:color w:val="000000"/>
          <w:szCs w:val="17"/>
        </w:rPr>
        <w:t>dedicated to</w:t>
      </w:r>
      <w:r w:rsidR="00C544D8" w:rsidRPr="0067507D">
        <w:rPr>
          <w:rFonts w:eastAsia="Times" w:cs="Times"/>
          <w:color w:val="000000"/>
          <w:szCs w:val="17"/>
        </w:rPr>
        <w:t xml:space="preserve"> </w:t>
      </w:r>
      <w:r w:rsidR="00AA4E99" w:rsidRPr="0067507D">
        <w:rPr>
          <w:rFonts w:eastAsia="Times" w:cs="Times"/>
          <w:color w:val="000000"/>
          <w:szCs w:val="17"/>
        </w:rPr>
        <w:t xml:space="preserve">driving and </w:t>
      </w:r>
      <w:r w:rsidR="00DA339D" w:rsidRPr="0067507D">
        <w:rPr>
          <w:rFonts w:eastAsia="Times" w:cs="Times"/>
          <w:color w:val="000000"/>
          <w:szCs w:val="17"/>
        </w:rPr>
        <w:t>progress</w:t>
      </w:r>
      <w:r w:rsidR="00FA4860" w:rsidRPr="0067507D">
        <w:rPr>
          <w:rFonts w:eastAsia="Times" w:cs="Times"/>
          <w:color w:val="000000"/>
          <w:szCs w:val="17"/>
        </w:rPr>
        <w:t>ing</w:t>
      </w:r>
      <w:r w:rsidR="002F1A3F" w:rsidRPr="0067507D">
        <w:rPr>
          <w:rFonts w:eastAsia="Times" w:cs="Times"/>
          <w:color w:val="000000"/>
          <w:szCs w:val="17"/>
        </w:rPr>
        <w:t xml:space="preserve"> </w:t>
      </w:r>
      <w:r w:rsidR="00DA339D" w:rsidRPr="0067507D">
        <w:rPr>
          <w:rFonts w:eastAsia="Times" w:cs="Times"/>
          <w:color w:val="000000"/>
          <w:szCs w:val="17"/>
        </w:rPr>
        <w:t>actions to improve</w:t>
      </w:r>
      <w:r w:rsidR="00AA4E99" w:rsidRPr="0067507D">
        <w:rPr>
          <w:rFonts w:eastAsia="Times" w:cs="Times"/>
          <w:color w:val="000000"/>
          <w:szCs w:val="17"/>
        </w:rPr>
        <w:t xml:space="preserve"> </w:t>
      </w:r>
      <w:r w:rsidR="005A7DDF" w:rsidRPr="0067507D">
        <w:rPr>
          <w:rFonts w:eastAsia="Times" w:cs="Times"/>
          <w:color w:val="000000"/>
          <w:szCs w:val="17"/>
        </w:rPr>
        <w:t xml:space="preserve">diversity, inclusion and wellbeing for </w:t>
      </w:r>
      <w:r w:rsidR="00F17D6B" w:rsidRPr="0067507D">
        <w:rPr>
          <w:rFonts w:eastAsia="Times" w:cs="Times"/>
          <w:color w:val="000000"/>
          <w:szCs w:val="17"/>
        </w:rPr>
        <w:t xml:space="preserve">all DTF staff. </w:t>
      </w:r>
    </w:p>
    <w:p w14:paraId="63DAC59E" w14:textId="7B246005" w:rsidR="07F9A0CF" w:rsidRPr="0067507D" w:rsidRDefault="34D8700F" w:rsidP="00991BA8">
      <w:pPr>
        <w:rPr>
          <w:rFonts w:eastAsia="Aptos" w:cs="Aptos"/>
          <w:color w:val="000000"/>
        </w:rPr>
      </w:pPr>
      <w:r w:rsidRPr="0067507D">
        <w:rPr>
          <w:rFonts w:eastAsia="Times" w:cs="Times"/>
          <w:color w:val="000000"/>
          <w:szCs w:val="17"/>
        </w:rPr>
        <w:t>We are committed to Truth, Treaty and Self</w:t>
      </w:r>
      <w:r w:rsidR="004F69F2" w:rsidRPr="0067507D">
        <w:rPr>
          <w:rFonts w:eastAsia="Times" w:cs="Times"/>
          <w:color w:val="000000"/>
          <w:szCs w:val="17"/>
        </w:rPr>
        <w:noBreakHyphen/>
      </w:r>
      <w:r w:rsidRPr="0067507D">
        <w:rPr>
          <w:rFonts w:eastAsia="Times" w:cs="Times"/>
          <w:color w:val="000000"/>
          <w:szCs w:val="17"/>
        </w:rPr>
        <w:t>determination, supporting the path that First</w:t>
      </w:r>
      <w:r w:rsidR="0013360C" w:rsidRPr="0067507D">
        <w:rPr>
          <w:rFonts w:ascii="Calibri" w:eastAsia="Times" w:hAnsi="Calibri" w:cs="Calibri"/>
          <w:color w:val="000000"/>
          <w:szCs w:val="17"/>
        </w:rPr>
        <w:t> </w:t>
      </w:r>
      <w:r w:rsidRPr="0067507D">
        <w:rPr>
          <w:rFonts w:eastAsia="Times" w:cs="Times"/>
          <w:color w:val="000000"/>
          <w:szCs w:val="17"/>
        </w:rPr>
        <w:t>Peoples and the State of Victoria are on. The DTF Self</w:t>
      </w:r>
      <w:r w:rsidR="006A5485">
        <w:rPr>
          <w:rFonts w:eastAsia="Times" w:cs="Times"/>
          <w:color w:val="000000"/>
          <w:szCs w:val="17"/>
        </w:rPr>
        <w:noBreakHyphen/>
      </w:r>
      <w:r w:rsidRPr="0067507D">
        <w:rPr>
          <w:rFonts w:eastAsia="Times" w:cs="Times"/>
          <w:color w:val="000000"/>
          <w:szCs w:val="17"/>
        </w:rPr>
        <w:t>Determination and Treaty Taskforce continues its work to embed self</w:t>
      </w:r>
      <w:r w:rsidR="006A5485">
        <w:rPr>
          <w:rFonts w:eastAsia="Times" w:cs="Times"/>
          <w:color w:val="000000"/>
          <w:szCs w:val="17"/>
        </w:rPr>
        <w:noBreakHyphen/>
      </w:r>
      <w:r w:rsidRPr="0067507D">
        <w:rPr>
          <w:rFonts w:eastAsia="Times" w:cs="Times"/>
          <w:color w:val="000000"/>
          <w:szCs w:val="17"/>
        </w:rPr>
        <w:t>determination in the Department’s operations, such as governance and budget reform, and to coordinate and prepare DTF for Treaty.</w:t>
      </w:r>
      <w:r w:rsidRPr="0067507D">
        <w:rPr>
          <w:rFonts w:eastAsia="Aptos" w:cs="Aptos"/>
          <w:color w:val="000000"/>
        </w:rPr>
        <w:t xml:space="preserve"> </w:t>
      </w:r>
    </w:p>
    <w:p w14:paraId="44B35869" w14:textId="5EBFB266" w:rsidR="003F223B" w:rsidRPr="0067507D" w:rsidRDefault="003F223B" w:rsidP="00991BA8">
      <w:r w:rsidRPr="0067507D">
        <w:t>In April we were also excited to launch the Women of Colour Network. This collaborative initiative, developed in partnership between DTF and the Essential Services Commission (ESC), offers a safe and supportive space for women of colour to share their experiences, access crucial resources and cultivate leadership.</w:t>
      </w:r>
    </w:p>
    <w:p w14:paraId="75E1EAAE" w14:textId="1256893F" w:rsidR="07F9A0CF" w:rsidRPr="0067507D" w:rsidRDefault="07F9A0CF" w:rsidP="00D86257">
      <w:pPr>
        <w:ind w:right="32"/>
      </w:pPr>
      <w:r w:rsidRPr="0067507D">
        <w:rPr>
          <w:rFonts w:eastAsia="Aptos" w:cs="Aptos"/>
          <w:color w:val="000000"/>
        </w:rPr>
        <w:t xml:space="preserve">In </w:t>
      </w:r>
      <w:r w:rsidR="00EF4EFF" w:rsidRPr="0067507D">
        <w:rPr>
          <w:rFonts w:eastAsia="Aptos" w:cs="Aptos"/>
          <w:color w:val="000000"/>
        </w:rPr>
        <w:t>May</w:t>
      </w:r>
      <w:r w:rsidRPr="0067507D">
        <w:rPr>
          <w:rFonts w:eastAsia="Aptos" w:cs="Aptos"/>
          <w:color w:val="000000"/>
        </w:rPr>
        <w:t xml:space="preserve">, the annual People Matter survey for </w:t>
      </w:r>
      <w:r w:rsidR="00B049DC" w:rsidRPr="0067507D">
        <w:rPr>
          <w:rFonts w:eastAsia="Aptos" w:cs="Aptos"/>
          <w:color w:val="000000"/>
        </w:rPr>
        <w:t>202</w:t>
      </w:r>
      <w:r w:rsidR="00EF4EFF" w:rsidRPr="0067507D">
        <w:rPr>
          <w:rFonts w:eastAsia="Aptos" w:cs="Aptos"/>
          <w:color w:val="000000"/>
        </w:rPr>
        <w:t>5</w:t>
      </w:r>
      <w:r w:rsidRPr="0067507D">
        <w:rPr>
          <w:rFonts w:eastAsia="Aptos" w:cs="Aptos"/>
          <w:color w:val="000000"/>
        </w:rPr>
        <w:t xml:space="preserve"> saw a record 8</w:t>
      </w:r>
      <w:r w:rsidR="00EF4EFF" w:rsidRPr="0067507D">
        <w:rPr>
          <w:rFonts w:eastAsia="Aptos" w:cs="Aptos"/>
          <w:color w:val="000000"/>
        </w:rPr>
        <w:t>6</w:t>
      </w:r>
      <w:r w:rsidRPr="0067507D">
        <w:rPr>
          <w:rFonts w:eastAsia="Aptos" w:cs="Aptos"/>
          <w:color w:val="000000"/>
        </w:rPr>
        <w:t xml:space="preserve"> per cent completion rate. </w:t>
      </w:r>
      <w:r w:rsidR="00BB2AE4" w:rsidRPr="0067507D">
        <w:rPr>
          <w:rFonts w:eastAsia="Aptos" w:cs="Aptos"/>
          <w:color w:val="000000"/>
          <w:szCs w:val="17"/>
        </w:rPr>
        <w:t>Results</w:t>
      </w:r>
      <w:r w:rsidR="006D7D7E" w:rsidRPr="0067507D">
        <w:rPr>
          <w:rFonts w:eastAsia="Aptos" w:cs="Aptos"/>
          <w:color w:val="000000"/>
          <w:szCs w:val="17"/>
        </w:rPr>
        <w:t xml:space="preserve"> for engagement (7</w:t>
      </w:r>
      <w:r w:rsidR="007F134E" w:rsidRPr="0067507D">
        <w:rPr>
          <w:rFonts w:eastAsia="Aptos" w:cs="Aptos"/>
          <w:color w:val="000000"/>
          <w:szCs w:val="17"/>
        </w:rPr>
        <w:t>2</w:t>
      </w:r>
      <w:r w:rsidR="006D7D7E" w:rsidRPr="0067507D">
        <w:rPr>
          <w:rFonts w:eastAsia="Aptos" w:cs="Aptos"/>
          <w:color w:val="000000"/>
          <w:szCs w:val="17"/>
        </w:rPr>
        <w:t xml:space="preserve"> per cent), satisfaction (7</w:t>
      </w:r>
      <w:r w:rsidR="00E16BF2" w:rsidRPr="0067507D">
        <w:rPr>
          <w:rFonts w:eastAsia="Aptos" w:cs="Aptos"/>
          <w:color w:val="000000"/>
          <w:szCs w:val="17"/>
        </w:rPr>
        <w:t>1</w:t>
      </w:r>
      <w:r w:rsidR="006D7D7E" w:rsidRPr="0067507D">
        <w:rPr>
          <w:rFonts w:eastAsia="Aptos" w:cs="Aptos"/>
          <w:color w:val="000000"/>
          <w:szCs w:val="17"/>
        </w:rPr>
        <w:t xml:space="preserve"> per cent) and inclusion (8</w:t>
      </w:r>
      <w:r w:rsidR="00E16BF2" w:rsidRPr="0067507D">
        <w:rPr>
          <w:rFonts w:eastAsia="Aptos" w:cs="Aptos"/>
          <w:color w:val="000000"/>
          <w:szCs w:val="17"/>
        </w:rPr>
        <w:t>3</w:t>
      </w:r>
      <w:r w:rsidR="006D7D7E" w:rsidRPr="0067507D">
        <w:rPr>
          <w:rFonts w:eastAsia="Aptos" w:cs="Aptos"/>
          <w:color w:val="000000"/>
          <w:szCs w:val="17"/>
        </w:rPr>
        <w:t xml:space="preserve"> per cent) were higher than the </w:t>
      </w:r>
      <w:r w:rsidR="00894E0D" w:rsidRPr="0067507D">
        <w:rPr>
          <w:rFonts w:eastAsia="Aptos" w:cs="Aptos"/>
          <w:color w:val="000000"/>
          <w:szCs w:val="17"/>
        </w:rPr>
        <w:t>public sector</w:t>
      </w:r>
      <w:r w:rsidR="006D7D7E" w:rsidRPr="0067507D">
        <w:rPr>
          <w:rFonts w:eastAsia="Aptos" w:cs="Aptos"/>
          <w:color w:val="000000"/>
          <w:szCs w:val="17"/>
        </w:rPr>
        <w:t xml:space="preserve"> comparator group.</w:t>
      </w:r>
      <w:r w:rsidR="006C38E7" w:rsidRPr="0067507D">
        <w:rPr>
          <w:rFonts w:eastAsia="Aptos" w:cs="Aptos"/>
          <w:color w:val="000000"/>
          <w:szCs w:val="17"/>
        </w:rPr>
        <w:t xml:space="preserve"> </w:t>
      </w:r>
      <w:r w:rsidRPr="0067507D">
        <w:rPr>
          <w:rFonts w:eastAsia="Aptos" w:cs="Aptos"/>
          <w:color w:val="000000"/>
          <w:szCs w:val="17"/>
        </w:rPr>
        <w:t>DTF</w:t>
      </w:r>
      <w:r w:rsidR="00144DEF" w:rsidRPr="0067507D">
        <w:rPr>
          <w:rFonts w:eastAsia="Aptos" w:cs="Aptos"/>
          <w:color w:val="000000"/>
          <w:szCs w:val="17"/>
        </w:rPr>
        <w:t xml:space="preserve">’s </w:t>
      </w:r>
      <w:r w:rsidRPr="0067507D">
        <w:rPr>
          <w:rFonts w:eastAsia="Aptos" w:cs="Aptos"/>
          <w:color w:val="000000"/>
          <w:szCs w:val="17"/>
        </w:rPr>
        <w:t xml:space="preserve">Parental Leave Transition Support Program </w:t>
      </w:r>
      <w:r w:rsidR="00144DEF" w:rsidRPr="0067507D">
        <w:rPr>
          <w:rFonts w:eastAsia="Aptos" w:cs="Aptos"/>
          <w:color w:val="000000"/>
          <w:szCs w:val="17"/>
        </w:rPr>
        <w:t xml:space="preserve">continues </w:t>
      </w:r>
      <w:r w:rsidRPr="0067507D">
        <w:rPr>
          <w:rFonts w:eastAsia="Aptos" w:cs="Aptos"/>
          <w:color w:val="000000"/>
          <w:szCs w:val="17"/>
        </w:rPr>
        <w:t xml:space="preserve">to support </w:t>
      </w:r>
      <w:r w:rsidR="00E52374" w:rsidRPr="0067507D">
        <w:rPr>
          <w:rFonts w:eastAsia="Aptos" w:cs="Aptos"/>
          <w:color w:val="000000"/>
          <w:szCs w:val="17"/>
        </w:rPr>
        <w:t xml:space="preserve">our </w:t>
      </w:r>
      <w:r w:rsidRPr="0067507D">
        <w:rPr>
          <w:rFonts w:eastAsia="Aptos" w:cs="Aptos"/>
          <w:color w:val="000000"/>
          <w:szCs w:val="17"/>
        </w:rPr>
        <w:t>working parent</w:t>
      </w:r>
      <w:r w:rsidR="00E52374" w:rsidRPr="0067507D">
        <w:rPr>
          <w:rFonts w:eastAsia="Aptos" w:cs="Aptos"/>
          <w:color w:val="000000"/>
          <w:szCs w:val="17"/>
        </w:rPr>
        <w:t xml:space="preserve"> staff</w:t>
      </w:r>
      <w:r w:rsidRPr="0067507D">
        <w:rPr>
          <w:rFonts w:eastAsia="Aptos" w:cs="Aptos"/>
          <w:color w:val="000000"/>
          <w:szCs w:val="17"/>
        </w:rPr>
        <w:t xml:space="preserve">. </w:t>
      </w:r>
      <w:r w:rsidR="00E52374" w:rsidRPr="0067507D">
        <w:rPr>
          <w:rFonts w:eastAsia="Aptos" w:cs="Aptos"/>
          <w:color w:val="000000"/>
          <w:szCs w:val="17"/>
        </w:rPr>
        <w:t xml:space="preserve">This </w:t>
      </w:r>
      <w:r w:rsidRPr="0067507D">
        <w:rPr>
          <w:rFonts w:eastAsia="Aptos" w:cs="Aptos"/>
          <w:color w:val="000000"/>
          <w:szCs w:val="17"/>
        </w:rPr>
        <w:t>free program</w:t>
      </w:r>
      <w:r w:rsidR="00E52374" w:rsidRPr="0067507D">
        <w:rPr>
          <w:rFonts w:eastAsia="Aptos" w:cs="Aptos"/>
          <w:color w:val="000000"/>
          <w:szCs w:val="17"/>
        </w:rPr>
        <w:t xml:space="preserve"> is</w:t>
      </w:r>
      <w:r w:rsidRPr="0067507D">
        <w:rPr>
          <w:rFonts w:eastAsia="Aptos" w:cs="Aptos"/>
          <w:color w:val="000000"/>
          <w:szCs w:val="17"/>
        </w:rPr>
        <w:t xml:space="preserve"> available to all primary or secondary carer</w:t>
      </w:r>
      <w:r w:rsidR="00E52374" w:rsidRPr="0067507D">
        <w:rPr>
          <w:rFonts w:eastAsia="Aptos" w:cs="Aptos"/>
          <w:color w:val="000000"/>
          <w:szCs w:val="17"/>
        </w:rPr>
        <w:t>s</w:t>
      </w:r>
      <w:r w:rsidRPr="0067507D">
        <w:rPr>
          <w:rFonts w:eastAsia="Aptos" w:cs="Aptos"/>
          <w:color w:val="000000"/>
          <w:szCs w:val="17"/>
        </w:rPr>
        <w:t xml:space="preserve">, </w:t>
      </w:r>
      <w:r w:rsidR="00E52374" w:rsidRPr="0067507D">
        <w:rPr>
          <w:rFonts w:eastAsia="Aptos" w:cs="Aptos"/>
          <w:color w:val="000000"/>
          <w:szCs w:val="17"/>
        </w:rPr>
        <w:t xml:space="preserve">with </w:t>
      </w:r>
      <w:r w:rsidRPr="0067507D">
        <w:rPr>
          <w:rFonts w:eastAsia="Aptos" w:cs="Aptos"/>
          <w:color w:val="000000"/>
          <w:szCs w:val="17"/>
        </w:rPr>
        <w:t xml:space="preserve">tailored coaching sessions and online support. </w:t>
      </w:r>
    </w:p>
    <w:p w14:paraId="080B199C" w14:textId="212FF1D8" w:rsidR="00B22E97" w:rsidRPr="0067507D" w:rsidRDefault="007145BA" w:rsidP="00B22E97">
      <w:pPr>
        <w:rPr>
          <w:rFonts w:eastAsia="Aptos" w:cs="Aptos"/>
          <w:color w:val="000000"/>
          <w:szCs w:val="17"/>
        </w:rPr>
      </w:pPr>
      <w:r w:rsidRPr="0067507D">
        <w:rPr>
          <w:rFonts w:eastAsia="Aptos" w:cs="Aptos"/>
          <w:color w:val="000000"/>
          <w:szCs w:val="17"/>
        </w:rPr>
        <w:t xml:space="preserve">I thank all DTF staff for their hard work and </w:t>
      </w:r>
      <w:r w:rsidR="00435D42" w:rsidRPr="0067507D">
        <w:rPr>
          <w:rFonts w:eastAsia="Aptos" w:cs="Aptos"/>
          <w:color w:val="000000"/>
          <w:szCs w:val="17"/>
        </w:rPr>
        <w:t>dedication</w:t>
      </w:r>
      <w:r w:rsidRPr="0067507D">
        <w:rPr>
          <w:rFonts w:eastAsia="Aptos" w:cs="Aptos"/>
          <w:color w:val="000000"/>
          <w:szCs w:val="17"/>
        </w:rPr>
        <w:t xml:space="preserve"> in </w:t>
      </w:r>
      <w:r w:rsidR="00C30F42" w:rsidRPr="0067507D">
        <w:rPr>
          <w:rFonts w:eastAsia="Aptos" w:cs="Aptos"/>
          <w:color w:val="000000"/>
          <w:szCs w:val="17"/>
        </w:rPr>
        <w:t>2024</w:t>
      </w:r>
      <w:r w:rsidR="006A5485">
        <w:rPr>
          <w:rFonts w:eastAsia="Aptos" w:cs="Aptos"/>
          <w:color w:val="000000"/>
          <w:szCs w:val="17"/>
        </w:rPr>
        <w:noBreakHyphen/>
      </w:r>
      <w:r w:rsidR="00C30F42" w:rsidRPr="0067507D">
        <w:rPr>
          <w:rFonts w:eastAsia="Aptos" w:cs="Aptos"/>
          <w:color w:val="000000"/>
          <w:szCs w:val="17"/>
        </w:rPr>
        <w:t>25</w:t>
      </w:r>
      <w:r w:rsidR="007F7EF5" w:rsidRPr="0067507D">
        <w:rPr>
          <w:rFonts w:eastAsia="Aptos" w:cs="Aptos"/>
          <w:color w:val="000000"/>
          <w:szCs w:val="17"/>
        </w:rPr>
        <w:t xml:space="preserve"> as we look ahead from a position of strength and confidence</w:t>
      </w:r>
      <w:r w:rsidR="00435D42" w:rsidRPr="0067507D">
        <w:rPr>
          <w:rFonts w:eastAsia="Aptos" w:cs="Aptos"/>
          <w:color w:val="000000"/>
          <w:szCs w:val="17"/>
        </w:rPr>
        <w:t xml:space="preserve">. </w:t>
      </w:r>
    </w:p>
    <w:p w14:paraId="746019C1" w14:textId="1B649D5F" w:rsidR="00343B95" w:rsidRPr="0067507D" w:rsidRDefault="00F86B06" w:rsidP="009C22C3">
      <w:pPr>
        <w:spacing w:before="60" w:after="60"/>
      </w:pPr>
      <w:bookmarkStart w:id="15" w:name="_Hlk83024572"/>
      <w:bookmarkStart w:id="16" w:name="_Toc337034709"/>
      <w:bookmarkStart w:id="17" w:name="_Toc337034818"/>
      <w:bookmarkStart w:id="18" w:name="_Toc434228915"/>
      <w:r w:rsidRPr="00707A55">
        <w:rPr>
          <w:noProof/>
        </w:rPr>
        <w:drawing>
          <wp:inline distT="0" distB="0" distL="0" distR="0" wp14:anchorId="7DF60FFD" wp14:editId="096D530C">
            <wp:extent cx="1629335" cy="859536"/>
            <wp:effectExtent l="0" t="0" r="0" b="0"/>
            <wp:docPr id="419780805" name="Picture 2" descr="Chris Barrett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80805" name="Picture 2" descr="Chris Barrett signa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9335" cy="859536"/>
                    </a:xfrm>
                    <a:prstGeom prst="rect">
                      <a:avLst/>
                    </a:prstGeom>
                    <a:noFill/>
                    <a:ln>
                      <a:noFill/>
                    </a:ln>
                  </pic:spPr>
                </pic:pic>
              </a:graphicData>
            </a:graphic>
          </wp:inline>
        </w:drawing>
      </w:r>
    </w:p>
    <w:p w14:paraId="25C9031E" w14:textId="77777777" w:rsidR="00343B95" w:rsidRPr="0067507D" w:rsidRDefault="00343B95" w:rsidP="00343B95">
      <w:pPr>
        <w:spacing w:before="0"/>
        <w:rPr>
          <w:rFonts w:asciiTheme="majorHAnsi" w:hAnsiTheme="majorHAnsi" w:cstheme="minorHAnsi"/>
        </w:rPr>
      </w:pPr>
      <w:r w:rsidRPr="0067507D">
        <w:rPr>
          <w:rFonts w:asciiTheme="majorHAnsi" w:hAnsiTheme="majorHAnsi" w:cstheme="minorHAnsi"/>
        </w:rPr>
        <w:t>Chris Barrett</w:t>
      </w:r>
      <w:r w:rsidRPr="0067507D">
        <w:rPr>
          <w:rFonts w:asciiTheme="majorHAnsi" w:hAnsiTheme="majorHAnsi" w:cstheme="minorHAnsi"/>
        </w:rPr>
        <w:br/>
        <w:t xml:space="preserve">Secretary </w:t>
      </w:r>
    </w:p>
    <w:p w14:paraId="2B894F12" w14:textId="2E6DB0A9" w:rsidR="00343B95" w:rsidRPr="0067507D" w:rsidRDefault="00343B95" w:rsidP="00343B95">
      <w:r w:rsidRPr="00530B02">
        <w:t>1</w:t>
      </w:r>
      <w:r w:rsidR="001B4621">
        <w:t>7</w:t>
      </w:r>
      <w:r w:rsidRPr="0067507D">
        <w:t xml:space="preserve"> October 2025</w:t>
      </w:r>
    </w:p>
    <w:p w14:paraId="1936F3FC" w14:textId="6E3A14FD" w:rsidR="005E6D06" w:rsidRPr="0067507D" w:rsidRDefault="00C30F42" w:rsidP="005E6D06">
      <w:pPr>
        <w:pStyle w:val="Heading2"/>
      </w:pPr>
      <w:r w:rsidRPr="0067507D">
        <w:lastRenderedPageBreak/>
        <w:t>2024</w:t>
      </w:r>
      <w:r w:rsidR="006A5485">
        <w:noBreakHyphen/>
      </w:r>
      <w:r w:rsidRPr="0067507D">
        <w:t>25</w:t>
      </w:r>
      <w:r w:rsidR="005E6D06" w:rsidRPr="0067507D">
        <w:t xml:space="preserve"> performance</w:t>
      </w:r>
    </w:p>
    <w:p w14:paraId="6C3AC9B6" w14:textId="351A8EB8" w:rsidR="005E6D06" w:rsidRPr="0067507D" w:rsidRDefault="005E6D06" w:rsidP="005E6D06">
      <w:r w:rsidRPr="0067507D">
        <w:t>DTF continues to perform strongly</w:t>
      </w:r>
      <w:r w:rsidR="00105C08" w:rsidRPr="0067507D">
        <w:t>,</w:t>
      </w:r>
      <w:r w:rsidRPr="0067507D">
        <w:t xml:space="preserve"> delivering its core business objectives as a provider of advice and services to Government. DTF also performed well in achieving its outputs as specified in the </w:t>
      </w:r>
      <w:r w:rsidR="00B44948" w:rsidRPr="0067507D">
        <w:t>S</w:t>
      </w:r>
      <w:r w:rsidRPr="0067507D">
        <w:t xml:space="preserve">tate’s </w:t>
      </w:r>
      <w:r w:rsidR="00C30F42" w:rsidRPr="0067507D">
        <w:t>2024</w:t>
      </w:r>
      <w:r w:rsidR="00C30F42" w:rsidRPr="0067507D">
        <w:noBreakHyphen/>
        <w:t>25</w:t>
      </w:r>
      <w:r w:rsidRPr="0067507D">
        <w:t xml:space="preserve"> Budget Paper No. 3 </w:t>
      </w:r>
      <w:r w:rsidRPr="0067507D">
        <w:rPr>
          <w:i/>
          <w:iCs/>
        </w:rPr>
        <w:t>Service Delivery</w:t>
      </w:r>
      <w:r w:rsidRPr="0067507D">
        <w:t xml:space="preserve">. Of the Department’s </w:t>
      </w:r>
      <w:r w:rsidR="00AE7EDC" w:rsidRPr="0067507D">
        <w:t>7</w:t>
      </w:r>
      <w:r w:rsidR="00D93CE9" w:rsidRPr="0067507D">
        <w:t>0</w:t>
      </w:r>
      <w:r w:rsidR="00E45284" w:rsidRPr="0067507D">
        <w:t xml:space="preserve"> </w:t>
      </w:r>
      <w:r w:rsidRPr="0067507D">
        <w:t xml:space="preserve">quantity, quality and timeliness output performance targets, </w:t>
      </w:r>
      <w:r w:rsidR="00AE7EDC" w:rsidRPr="0067507D">
        <w:t>8</w:t>
      </w:r>
      <w:r w:rsidR="00CF6E36" w:rsidRPr="0067507D">
        <w:t>6</w:t>
      </w:r>
      <w:r w:rsidR="005753BE" w:rsidRPr="0067507D">
        <w:rPr>
          <w:rFonts w:ascii="Calibri" w:hAnsi="Calibri" w:cs="Calibri"/>
        </w:rPr>
        <w:t> </w:t>
      </w:r>
      <w:r w:rsidR="005753BE" w:rsidRPr="0067507D">
        <w:rPr>
          <w:rFonts w:cs="Calibri"/>
        </w:rPr>
        <w:t>per</w:t>
      </w:r>
      <w:r w:rsidR="005753BE" w:rsidRPr="0067507D">
        <w:rPr>
          <w:rFonts w:ascii="Calibri" w:hAnsi="Calibri" w:cs="Calibri"/>
        </w:rPr>
        <w:t> </w:t>
      </w:r>
      <w:r w:rsidR="005753BE" w:rsidRPr="0067507D">
        <w:rPr>
          <w:rFonts w:cs="Calibri"/>
        </w:rPr>
        <w:t>cent</w:t>
      </w:r>
      <w:r w:rsidRPr="0067507D">
        <w:t xml:space="preserve"> were met or exceeded.</w:t>
      </w:r>
    </w:p>
    <w:bookmarkEnd w:id="15"/>
    <w:p w14:paraId="265929AE" w14:textId="5ACBF2D1" w:rsidR="005E6D06" w:rsidRPr="0067507D" w:rsidRDefault="005E6D06" w:rsidP="005E6D06">
      <w:pPr>
        <w:pStyle w:val="Heading3"/>
      </w:pPr>
      <w:r w:rsidRPr="0067507D">
        <w:br w:type="column"/>
      </w:r>
      <w:bookmarkStart w:id="19" w:name="_Ref489438932"/>
      <w:r w:rsidRPr="0067507D">
        <w:t>Departmental objectives, indicators and outputs</w:t>
      </w:r>
      <w:bookmarkEnd w:id="19"/>
    </w:p>
    <w:p w14:paraId="45A0B4AE" w14:textId="47CA5856" w:rsidR="005E6D06" w:rsidRPr="0067507D" w:rsidRDefault="005E6D06" w:rsidP="005E6D06">
      <w:pPr>
        <w:rPr>
          <w:rFonts w:cstheme="minorHAnsi"/>
        </w:rPr>
      </w:pPr>
      <w:r w:rsidRPr="0067507D">
        <w:rPr>
          <w:rFonts w:cstheme="minorHAnsi"/>
        </w:rPr>
        <w:t xml:space="preserve">The Department’s objectives, associated indicators and linked outputs as set out in the </w:t>
      </w:r>
      <w:r w:rsidR="00C30F42" w:rsidRPr="0067507D">
        <w:rPr>
          <w:rFonts w:cstheme="minorHAnsi"/>
        </w:rPr>
        <w:t>2024</w:t>
      </w:r>
      <w:r w:rsidR="006A5485">
        <w:rPr>
          <w:rFonts w:cstheme="minorHAnsi"/>
        </w:rPr>
        <w:noBreakHyphen/>
      </w:r>
      <w:r w:rsidR="00C30F42" w:rsidRPr="0067507D">
        <w:rPr>
          <w:rFonts w:cstheme="minorHAnsi"/>
        </w:rPr>
        <w:t>25</w:t>
      </w:r>
      <w:r w:rsidRPr="0067507D">
        <w:rPr>
          <w:rFonts w:cstheme="minorHAnsi"/>
        </w:rPr>
        <w:t xml:space="preserve"> Budget Paper No.</w:t>
      </w:r>
      <w:r w:rsidRPr="0067507D">
        <w:rPr>
          <w:rFonts w:ascii="Calibri" w:hAnsi="Calibri" w:cs="Calibri"/>
        </w:rPr>
        <w:t> </w:t>
      </w:r>
      <w:r w:rsidRPr="0067507D">
        <w:rPr>
          <w:rFonts w:cstheme="minorHAnsi"/>
        </w:rPr>
        <w:t xml:space="preserve">3 </w:t>
      </w:r>
      <w:r w:rsidRPr="0067507D">
        <w:rPr>
          <w:rFonts w:cstheme="minorHAnsi"/>
          <w:i/>
        </w:rPr>
        <w:t>Service Delivery</w:t>
      </w:r>
      <w:r w:rsidRPr="0067507D">
        <w:rPr>
          <w:rFonts w:cstheme="minorHAnsi"/>
        </w:rPr>
        <w:t xml:space="preserve"> </w:t>
      </w:r>
      <w:r w:rsidR="00DF1BED" w:rsidRPr="0067507D">
        <w:rPr>
          <w:rFonts w:cstheme="minorHAnsi"/>
        </w:rPr>
        <w:t xml:space="preserve">and the </w:t>
      </w:r>
      <w:r w:rsidR="00DF1BED" w:rsidRPr="0067507D">
        <w:rPr>
          <w:rFonts w:cstheme="minorHAnsi"/>
          <w:i/>
          <w:iCs/>
        </w:rPr>
        <w:t>2024</w:t>
      </w:r>
      <w:r w:rsidR="006A5485">
        <w:rPr>
          <w:rFonts w:cstheme="minorHAnsi"/>
          <w:i/>
          <w:iCs/>
        </w:rPr>
        <w:noBreakHyphen/>
      </w:r>
      <w:r w:rsidR="00DF1BED" w:rsidRPr="0067507D">
        <w:rPr>
          <w:rFonts w:cstheme="minorHAnsi"/>
          <w:i/>
          <w:iCs/>
        </w:rPr>
        <w:t>25 Department Performance Statement</w:t>
      </w:r>
      <w:r w:rsidR="00DF1BED" w:rsidRPr="0067507D">
        <w:rPr>
          <w:rFonts w:cstheme="minorHAnsi"/>
        </w:rPr>
        <w:t xml:space="preserve"> </w:t>
      </w:r>
      <w:r w:rsidRPr="0067507D">
        <w:rPr>
          <w:rFonts w:cstheme="minorHAnsi"/>
        </w:rPr>
        <w:t>are shown below.</w:t>
      </w:r>
    </w:p>
    <w:p w14:paraId="41404117" w14:textId="77777777" w:rsidR="005E6D06" w:rsidRPr="0067507D" w:rsidRDefault="005E6D06" w:rsidP="005E6D06">
      <w:pPr>
        <w:rPr>
          <w:rFonts w:cstheme="minorHAnsi"/>
        </w:rPr>
      </w:pPr>
    </w:p>
    <w:p w14:paraId="590DECF1" w14:textId="77777777" w:rsidR="005E6D06" w:rsidRPr="0067507D" w:rsidRDefault="005E6D06" w:rsidP="005E6D06">
      <w:pPr>
        <w:sectPr w:rsidR="005E6D06" w:rsidRPr="0067507D" w:rsidSect="00343B95">
          <w:headerReference w:type="even" r:id="rId39"/>
          <w:headerReference w:type="default" r:id="rId40"/>
          <w:footerReference w:type="even" r:id="rId41"/>
          <w:footerReference w:type="default" r:id="rId42"/>
          <w:headerReference w:type="first" r:id="rId43"/>
          <w:footerReference w:type="first" r:id="rId44"/>
          <w:type w:val="continuous"/>
          <w:pgSz w:w="11909" w:h="16834" w:code="9"/>
          <w:pgMar w:top="1728" w:right="1152" w:bottom="1152" w:left="1152" w:header="720" w:footer="288" w:gutter="0"/>
          <w:cols w:num="2" w:space="720"/>
          <w:noEndnote/>
        </w:sectPr>
      </w:pPr>
    </w:p>
    <w:p w14:paraId="0647AE60" w14:textId="77777777" w:rsidR="005E6D06" w:rsidRPr="0067507D" w:rsidRDefault="005E6D06" w:rsidP="00652462">
      <w:pPr>
        <w:pStyle w:val="Spacer"/>
      </w:pPr>
    </w:p>
    <w:tbl>
      <w:tblPr>
        <w:tblW w:w="0" w:type="auto"/>
        <w:tblLook w:val="0400" w:firstRow="0" w:lastRow="0" w:firstColumn="0" w:lastColumn="0" w:noHBand="0" w:noVBand="1"/>
      </w:tblPr>
      <w:tblGrid>
        <w:gridCol w:w="3690"/>
        <w:gridCol w:w="3060"/>
        <w:gridCol w:w="2855"/>
      </w:tblGrid>
      <w:tr w:rsidR="005E6D06" w:rsidRPr="0067507D" w14:paraId="5C72A19D" w14:textId="77777777" w:rsidTr="004D70AA">
        <w:trPr>
          <w:tblHeader/>
        </w:trPr>
        <w:tc>
          <w:tcPr>
            <w:tcW w:w="3690" w:type="dxa"/>
          </w:tcPr>
          <w:p w14:paraId="06F93DAB" w14:textId="128EAF76" w:rsidR="005E6D06" w:rsidRPr="0067507D" w:rsidRDefault="005E6D06" w:rsidP="0003762C">
            <w:pPr>
              <w:pStyle w:val="Tabletextheadingleft"/>
              <w:rPr>
                <w:szCs w:val="16"/>
              </w:rPr>
            </w:pPr>
            <w:r w:rsidRPr="0067507D">
              <w:rPr>
                <w:rFonts w:cstheme="minorHAnsi"/>
                <w:szCs w:val="16"/>
              </w:rPr>
              <w:t>Departmental objective</w:t>
            </w:r>
          </w:p>
        </w:tc>
        <w:tc>
          <w:tcPr>
            <w:tcW w:w="3060" w:type="dxa"/>
          </w:tcPr>
          <w:p w14:paraId="22BF83B8" w14:textId="6AE47A7E" w:rsidR="005E6D06" w:rsidRPr="0067507D" w:rsidRDefault="005E6D06" w:rsidP="0003762C">
            <w:pPr>
              <w:pStyle w:val="Tabletextheadingleft"/>
            </w:pPr>
            <w:r w:rsidRPr="0067507D">
              <w:t>Indicators</w:t>
            </w:r>
          </w:p>
        </w:tc>
        <w:tc>
          <w:tcPr>
            <w:tcW w:w="2855" w:type="dxa"/>
          </w:tcPr>
          <w:p w14:paraId="282CDEF8" w14:textId="77777777" w:rsidR="005E6D06" w:rsidRPr="0067507D" w:rsidRDefault="005E6D06" w:rsidP="0003762C">
            <w:pPr>
              <w:pStyle w:val="Tabletextheadingleft"/>
              <w:rPr>
                <w:szCs w:val="16"/>
              </w:rPr>
            </w:pPr>
            <w:r w:rsidRPr="0067507D">
              <w:rPr>
                <w:rFonts w:cstheme="minorHAnsi"/>
                <w:szCs w:val="16"/>
              </w:rPr>
              <w:t>Outputs</w:t>
            </w:r>
          </w:p>
        </w:tc>
      </w:tr>
      <w:tr w:rsidR="005E6D06" w:rsidRPr="0067507D" w14:paraId="01562F75" w14:textId="77777777" w:rsidTr="004D70AA">
        <w:tc>
          <w:tcPr>
            <w:tcW w:w="3690" w:type="dxa"/>
            <w:shd w:val="clear" w:color="auto" w:fill="E0E0E0"/>
          </w:tcPr>
          <w:p w14:paraId="34AEF5DA" w14:textId="77777777" w:rsidR="005E6D06" w:rsidRPr="0067507D" w:rsidRDefault="005E6D06" w:rsidP="0003762C">
            <w:pPr>
              <w:pStyle w:val="Tabletext"/>
              <w:rPr>
                <w:rFonts w:asciiTheme="majorHAnsi" w:hAnsiTheme="majorHAnsi"/>
                <w:szCs w:val="16"/>
              </w:rPr>
            </w:pPr>
            <w:r w:rsidRPr="0067507D">
              <w:rPr>
                <w:rFonts w:asciiTheme="majorHAnsi" w:hAnsiTheme="majorHAnsi" w:cstheme="minorHAnsi"/>
                <w:szCs w:val="16"/>
              </w:rPr>
              <w:t>Optimise Victoria’s fiscal resources</w:t>
            </w:r>
          </w:p>
          <w:p w14:paraId="54F54318" w14:textId="59479582" w:rsidR="009D4B85" w:rsidRPr="0067507D" w:rsidRDefault="009D4B85" w:rsidP="009D4B85">
            <w:pPr>
              <w:pStyle w:val="Tabletext"/>
            </w:pPr>
            <w:r w:rsidRPr="0067507D">
              <w:t>The Department of Treasury and Finance has the central role in providing high</w:t>
            </w:r>
            <w:r w:rsidR="006A5485">
              <w:noBreakHyphen/>
            </w:r>
            <w:r w:rsidRPr="0067507D">
              <w:t>quality advice to Government on sustainable financial, resource and performance management policy and other key policy priorities; overseeing related frameworks; as well as leading the production of the State budget papers and reports of both financial and non</w:t>
            </w:r>
            <w:r w:rsidR="006A5485">
              <w:noBreakHyphen/>
            </w:r>
            <w:r w:rsidRPr="0067507D">
              <w:t>financial performance in the Victorian public sector.</w:t>
            </w:r>
          </w:p>
          <w:p w14:paraId="601BD8EB" w14:textId="5FCC59E8" w:rsidR="009D4B85" w:rsidRPr="0067507D" w:rsidRDefault="009D4B85" w:rsidP="009D4B85">
            <w:pPr>
              <w:pStyle w:val="Tabletext"/>
            </w:pPr>
            <w:r w:rsidRPr="0067507D">
              <w:t>The Budget and Financial Advice output contributes to this objective by providing strategic, timely and comprehensive analysis and information to Government to support decision</w:t>
            </w:r>
            <w:r w:rsidR="006A5485">
              <w:noBreakHyphen/>
            </w:r>
            <w:r w:rsidRPr="0067507D">
              <w:t>making and reporting.</w:t>
            </w:r>
          </w:p>
          <w:p w14:paraId="79F2D1DB" w14:textId="0B2384FA" w:rsidR="005E6D06" w:rsidRPr="0067507D" w:rsidRDefault="009D4B85" w:rsidP="009D4B85">
            <w:pPr>
              <w:pStyle w:val="Tabletext"/>
            </w:pPr>
            <w:r w:rsidRPr="0067507D">
              <w:t>The Revenue Management and Administrative Services to Government output contributes to this objective by providing revenue management and administration services across the various state</w:t>
            </w:r>
            <w:r w:rsidR="006A5485">
              <w:noBreakHyphen/>
            </w:r>
            <w:r w:rsidRPr="0067507D">
              <w:t>based taxes for the benefit of all Victorians.</w:t>
            </w:r>
          </w:p>
        </w:tc>
        <w:tc>
          <w:tcPr>
            <w:tcW w:w="3060" w:type="dxa"/>
          </w:tcPr>
          <w:p w14:paraId="1479F346" w14:textId="6BD191EC" w:rsidR="009D4B85" w:rsidRPr="0067507D" w:rsidRDefault="009D4B85" w:rsidP="009D4B85">
            <w:pPr>
              <w:pStyle w:val="Tabletext"/>
            </w:pPr>
            <w:r w:rsidRPr="0067507D">
              <w:t>General government net debt as a percentage of gross state product (GSP) to stabilise and reduce in the medium term.</w:t>
            </w:r>
          </w:p>
          <w:p w14:paraId="2576829F" w14:textId="61D7F6EE" w:rsidR="009D4B85" w:rsidRPr="0067507D" w:rsidRDefault="009D4B85" w:rsidP="009D4B85">
            <w:pPr>
              <w:pStyle w:val="Tabletext"/>
            </w:pPr>
            <w:r w:rsidRPr="0067507D">
              <w:t>Fully fund the unfunded superannuation liability by 2035.</w:t>
            </w:r>
          </w:p>
          <w:p w14:paraId="4E7DDE75" w14:textId="3528ED64" w:rsidR="009D4B85" w:rsidRPr="0067507D" w:rsidRDefault="009D4B85" w:rsidP="009D4B85">
            <w:pPr>
              <w:pStyle w:val="Tabletext"/>
            </w:pPr>
            <w:r w:rsidRPr="0067507D">
              <w:t>A net operating cash surplus consistent with maintaining general government net debt at a sustainable level.</w:t>
            </w:r>
          </w:p>
          <w:p w14:paraId="4DCC2065" w14:textId="7E27E280" w:rsidR="009D4B85" w:rsidRPr="0067507D" w:rsidRDefault="009D4B85" w:rsidP="009D4B85">
            <w:pPr>
              <w:pStyle w:val="Tabletext"/>
            </w:pPr>
            <w:r w:rsidRPr="0067507D">
              <w:t>General government interest expense as a percentage of revenue to stabilise in the medium term.</w:t>
            </w:r>
          </w:p>
          <w:p w14:paraId="2B03A021" w14:textId="5B294C26" w:rsidR="009D4B85" w:rsidRPr="0067507D" w:rsidRDefault="009D4B85" w:rsidP="009D4B85">
            <w:pPr>
              <w:pStyle w:val="Tabletext"/>
            </w:pPr>
            <w:r w:rsidRPr="0067507D">
              <w:t xml:space="preserve">Agency compliance with the Standing Directions under the </w:t>
            </w:r>
            <w:r w:rsidRPr="0067507D">
              <w:rPr>
                <w:i/>
                <w:iCs/>
              </w:rPr>
              <w:t>Financial Management Act 1994.</w:t>
            </w:r>
          </w:p>
          <w:p w14:paraId="688A6AC0" w14:textId="7C849075" w:rsidR="005E6D06" w:rsidRPr="0067507D" w:rsidRDefault="009D4B85" w:rsidP="009D4B85">
            <w:pPr>
              <w:pStyle w:val="Tabletext"/>
            </w:pPr>
            <w:r w:rsidRPr="0067507D">
              <w:t>Advice contributes to the achievement of Government policies and priorities relating to optimising Victoria’s fiscal resources.</w:t>
            </w:r>
          </w:p>
        </w:tc>
        <w:tc>
          <w:tcPr>
            <w:tcW w:w="2855" w:type="dxa"/>
          </w:tcPr>
          <w:p w14:paraId="52E71331" w14:textId="77777777" w:rsidR="005E6D06" w:rsidRPr="0067507D" w:rsidRDefault="00DF6182" w:rsidP="0003762C">
            <w:pPr>
              <w:pStyle w:val="Tabletext"/>
            </w:pPr>
            <w:r w:rsidRPr="0067507D">
              <w:t>Budget and Financial Advice</w:t>
            </w:r>
          </w:p>
          <w:p w14:paraId="078B2D51" w14:textId="0251E71D" w:rsidR="00DF6182" w:rsidRPr="0067507D" w:rsidRDefault="00B66DC0" w:rsidP="0003762C">
            <w:pPr>
              <w:pStyle w:val="Tabletext"/>
            </w:pPr>
            <w:r w:rsidRPr="0067507D">
              <w:t>Revenue Management and Administrative Services</w:t>
            </w:r>
            <w:r w:rsidR="009F5232" w:rsidRPr="0067507D">
              <w:t xml:space="preserve"> to Government</w:t>
            </w:r>
          </w:p>
        </w:tc>
      </w:tr>
      <w:tr w:rsidR="005E6D06" w:rsidRPr="0067507D" w14:paraId="2531C10A" w14:textId="77777777" w:rsidTr="004D70AA">
        <w:tc>
          <w:tcPr>
            <w:tcW w:w="3690" w:type="dxa"/>
            <w:shd w:val="clear" w:color="auto" w:fill="E0E0E0"/>
          </w:tcPr>
          <w:p w14:paraId="6267435D" w14:textId="77777777" w:rsidR="005E6D06" w:rsidRPr="0067507D" w:rsidRDefault="005E6D06" w:rsidP="0003762C">
            <w:pPr>
              <w:pStyle w:val="Tabletext"/>
              <w:rPr>
                <w:rFonts w:asciiTheme="majorHAnsi" w:hAnsiTheme="majorHAnsi"/>
                <w:szCs w:val="16"/>
              </w:rPr>
            </w:pPr>
            <w:r w:rsidRPr="0067507D">
              <w:rPr>
                <w:rFonts w:asciiTheme="majorHAnsi" w:hAnsiTheme="majorHAnsi"/>
                <w:szCs w:val="16"/>
              </w:rPr>
              <w:t>Strengthen Victoria’s economic performance</w:t>
            </w:r>
          </w:p>
          <w:p w14:paraId="2DFA1573" w14:textId="77777777" w:rsidR="009D4B85" w:rsidRPr="0067507D" w:rsidRDefault="009D4B85" w:rsidP="009D4B85">
            <w:pPr>
              <w:pStyle w:val="Tabletext"/>
            </w:pPr>
            <w:r w:rsidRPr="0067507D">
              <w:t>The Department of Treasury and Finance provides the Government with advice on key economic matters and policies to increase economic productivity, competitiveness and equity across the Victorian economy.</w:t>
            </w:r>
          </w:p>
          <w:p w14:paraId="6E15A814" w14:textId="635CAA56" w:rsidR="009D4B85" w:rsidRPr="0067507D" w:rsidRDefault="009D4B85" w:rsidP="009D4B85">
            <w:pPr>
              <w:pStyle w:val="Tabletext"/>
            </w:pPr>
            <w:r w:rsidRPr="0067507D">
              <w:t>The Economic and Policy Advice output contributes to this objective by providing strategic, timely and comprehensive analysis and information to Government to support decision</w:t>
            </w:r>
            <w:r w:rsidR="006A5485">
              <w:noBreakHyphen/>
            </w:r>
            <w:r w:rsidRPr="0067507D">
              <w:t>making and reporting.</w:t>
            </w:r>
          </w:p>
          <w:p w14:paraId="5105A9D8" w14:textId="0E021D85" w:rsidR="005E6D06" w:rsidRPr="0067507D" w:rsidRDefault="009D4B85" w:rsidP="009D4B85">
            <w:pPr>
              <w:pStyle w:val="Tabletext"/>
            </w:pPr>
            <w:r w:rsidRPr="0067507D">
              <w:t>The Economic Regulatory Services output contributes to this objective by providing economic regulation of utilities and other specified markets in Victoria to protect the long</w:t>
            </w:r>
            <w:r w:rsidR="006A5485">
              <w:noBreakHyphen/>
            </w:r>
            <w:r w:rsidRPr="0067507D">
              <w:t>term interests of Victorian consumers with regard to price, quality and reliability of essential services.</w:t>
            </w:r>
          </w:p>
        </w:tc>
        <w:tc>
          <w:tcPr>
            <w:tcW w:w="3060" w:type="dxa"/>
          </w:tcPr>
          <w:p w14:paraId="3DB8AFB7" w14:textId="58A2778F" w:rsidR="009D4B85" w:rsidRPr="0067507D" w:rsidRDefault="009D4B85" w:rsidP="009D4B85">
            <w:pPr>
              <w:pStyle w:val="Tabletext"/>
            </w:pPr>
            <w:r w:rsidRPr="0067507D">
              <w:t>Economic growth to exceed population growth as expressed by GSP per capita increasing in real terms (annual percentage change).</w:t>
            </w:r>
          </w:p>
          <w:p w14:paraId="7139E77A" w14:textId="18037B6B" w:rsidR="009D4B85" w:rsidRPr="0067507D" w:rsidRDefault="009D4B85" w:rsidP="009D4B85">
            <w:pPr>
              <w:pStyle w:val="Tabletext"/>
            </w:pPr>
            <w:r w:rsidRPr="0067507D">
              <w:t>Total Victorian employment to grow each year (annual percentage change).</w:t>
            </w:r>
          </w:p>
          <w:p w14:paraId="57820701" w14:textId="053C9A88" w:rsidR="005E6D06" w:rsidRPr="0067507D" w:rsidRDefault="009D4B85" w:rsidP="009D4B85">
            <w:pPr>
              <w:pStyle w:val="Tabletext"/>
            </w:pPr>
            <w:r w:rsidRPr="0067507D">
              <w:t>Advice contributes to the achievement of government policies and priorities relating to economic and social outcomes.</w:t>
            </w:r>
          </w:p>
        </w:tc>
        <w:tc>
          <w:tcPr>
            <w:tcW w:w="2855" w:type="dxa"/>
          </w:tcPr>
          <w:p w14:paraId="33194895" w14:textId="77777777" w:rsidR="005E6D06" w:rsidRPr="0067507D" w:rsidRDefault="00DF6182" w:rsidP="0003762C">
            <w:pPr>
              <w:pStyle w:val="Tabletext"/>
            </w:pPr>
            <w:bookmarkStart w:id="20" w:name="_Hlk35004745"/>
            <w:r w:rsidRPr="0067507D">
              <w:t>Economic and Policy Advice</w:t>
            </w:r>
            <w:bookmarkEnd w:id="20"/>
          </w:p>
          <w:p w14:paraId="649AE435" w14:textId="53ED409F" w:rsidR="00DF6182" w:rsidRPr="0067507D" w:rsidRDefault="00DF6182" w:rsidP="0003762C">
            <w:pPr>
              <w:pStyle w:val="Tabletext"/>
            </w:pPr>
            <w:bookmarkStart w:id="21" w:name="_Hlk35004772"/>
            <w:r w:rsidRPr="0067507D">
              <w:t>Economic Regulatory Services</w:t>
            </w:r>
            <w:bookmarkEnd w:id="21"/>
          </w:p>
        </w:tc>
      </w:tr>
      <w:tr w:rsidR="005E6D06" w:rsidRPr="0067507D" w14:paraId="705AD833" w14:textId="77777777" w:rsidTr="004D70AA">
        <w:trPr>
          <w:cantSplit/>
        </w:trPr>
        <w:tc>
          <w:tcPr>
            <w:tcW w:w="3690" w:type="dxa"/>
            <w:shd w:val="clear" w:color="auto" w:fill="E0E0E0"/>
          </w:tcPr>
          <w:p w14:paraId="4F230BA2" w14:textId="7DDB9291" w:rsidR="00DF6182" w:rsidRPr="0067507D" w:rsidRDefault="001512D2" w:rsidP="00DF6182">
            <w:pPr>
              <w:pStyle w:val="Tabletext"/>
              <w:rPr>
                <w:rFonts w:asciiTheme="majorHAnsi" w:hAnsiTheme="majorHAnsi"/>
                <w:szCs w:val="16"/>
              </w:rPr>
            </w:pPr>
            <w:r w:rsidRPr="0067507D">
              <w:rPr>
                <w:rFonts w:asciiTheme="majorHAnsi" w:hAnsiTheme="majorHAnsi"/>
                <w:szCs w:val="16"/>
              </w:rPr>
              <w:lastRenderedPageBreak/>
              <w:t>Improve how Government manages its balance sheet, commercial activities and public sector infrastructure</w:t>
            </w:r>
          </w:p>
          <w:p w14:paraId="524AAF37" w14:textId="02DD5E51" w:rsidR="009D4B85" w:rsidRPr="0067507D" w:rsidRDefault="009D4B85" w:rsidP="009D4B85">
            <w:pPr>
              <w:pStyle w:val="Tabletext"/>
            </w:pPr>
            <w:r w:rsidRPr="0067507D">
              <w:t>The Department of Treasury and Finance develops and applies prudent financial and commercial principles and practices to influence and help deliver government policies focused on overseeing the State’s balance sheet, major infrastructure and government business enterprises (in the public non</w:t>
            </w:r>
            <w:r w:rsidR="006A5485">
              <w:noBreakHyphen/>
            </w:r>
            <w:r w:rsidRPr="0067507D">
              <w:t>financial corporations (PNFC) sector and public financial corporations (PFC) sector).</w:t>
            </w:r>
          </w:p>
          <w:p w14:paraId="1630A953" w14:textId="703CF478" w:rsidR="009D4B85" w:rsidRPr="0067507D" w:rsidRDefault="009D4B85" w:rsidP="009D4B85">
            <w:pPr>
              <w:pStyle w:val="Tabletext"/>
            </w:pPr>
            <w:r w:rsidRPr="0067507D">
              <w:t>The Commercial and Infrastructure Advice output contributes to this objective by providing strategic, timely and comprehensive analysis and information to the Government to support decision</w:t>
            </w:r>
            <w:r w:rsidR="006A5485">
              <w:noBreakHyphen/>
            </w:r>
            <w:r w:rsidRPr="0067507D">
              <w:t>making and reporting.</w:t>
            </w:r>
          </w:p>
          <w:p w14:paraId="6B4202EC" w14:textId="38F13062" w:rsidR="005E6D06" w:rsidRPr="0067507D" w:rsidRDefault="009D4B85" w:rsidP="009D4B85">
            <w:pPr>
              <w:pStyle w:val="Tabletext"/>
            </w:pPr>
            <w:r w:rsidRPr="0067507D">
              <w:t>The Infrastructure Victoria output provides independent and transparent advice to government on infrastructure priorities and sets a long</w:t>
            </w:r>
            <w:r w:rsidR="006A5485">
              <w:noBreakHyphen/>
            </w:r>
            <w:r w:rsidRPr="0067507D">
              <w:t>term strategy for infrastructure investment.</w:t>
            </w:r>
          </w:p>
        </w:tc>
        <w:tc>
          <w:tcPr>
            <w:tcW w:w="3060" w:type="dxa"/>
          </w:tcPr>
          <w:p w14:paraId="66591D0E" w14:textId="4641B715" w:rsidR="009D4B85" w:rsidRPr="0067507D" w:rsidRDefault="009D4B85" w:rsidP="009D4B85">
            <w:pPr>
              <w:pStyle w:val="Tabletext"/>
            </w:pPr>
            <w:r w:rsidRPr="0067507D">
              <w:t>High</w:t>
            </w:r>
            <w:r w:rsidR="006A5485">
              <w:noBreakHyphen/>
            </w:r>
            <w:r w:rsidRPr="0067507D">
              <w:t>Value High</w:t>
            </w:r>
            <w:r w:rsidR="006A5485">
              <w:noBreakHyphen/>
            </w:r>
            <w:r w:rsidRPr="0067507D">
              <w:t>Risk (HVHR) projects have had risks identified and managed through tailored project assurance, policy advice, governance and oversight to increase the likelihood that projects are completed within agreed timeframes, budget and scope</w:t>
            </w:r>
            <w:r w:rsidR="0030186D" w:rsidRPr="0067507D">
              <w:t>.</w:t>
            </w:r>
          </w:p>
          <w:p w14:paraId="03BC9029" w14:textId="09170144" w:rsidR="009D4B85" w:rsidRPr="0067507D" w:rsidRDefault="009D4B85" w:rsidP="009D4B85">
            <w:pPr>
              <w:pStyle w:val="Tabletext"/>
            </w:pPr>
            <w:r w:rsidRPr="0067507D">
              <w:t>Government Business Enterprises performing against agreed financial and non</w:t>
            </w:r>
            <w:r w:rsidR="006A5485">
              <w:noBreakHyphen/>
            </w:r>
            <w:r w:rsidRPr="0067507D">
              <w:t>financial indicators</w:t>
            </w:r>
            <w:r w:rsidR="0030186D" w:rsidRPr="0067507D">
              <w:t>.</w:t>
            </w:r>
          </w:p>
          <w:p w14:paraId="73F321D9" w14:textId="43EF2B1B" w:rsidR="009D4B85" w:rsidRPr="0067507D" w:rsidRDefault="009D4B85" w:rsidP="009D4B85">
            <w:pPr>
              <w:pStyle w:val="Tabletext"/>
            </w:pPr>
            <w:r w:rsidRPr="0067507D">
              <w:t>Advice contributes to the achievement of government policies and priorities relating to Victoria’s balance sheet, commercial activities and public sector infrastructure</w:t>
            </w:r>
            <w:r w:rsidR="0030186D" w:rsidRPr="0067507D">
              <w:t>.</w:t>
            </w:r>
          </w:p>
          <w:p w14:paraId="5B5299DC" w14:textId="45D506DF" w:rsidR="005E6D06" w:rsidRPr="0067507D" w:rsidRDefault="009D4B85" w:rsidP="009D4B85">
            <w:pPr>
              <w:pStyle w:val="Tabletext"/>
            </w:pPr>
            <w:r w:rsidRPr="0067507D">
              <w:t>Quality infrastructure drives economic growth activity in Victoria.</w:t>
            </w:r>
          </w:p>
        </w:tc>
        <w:tc>
          <w:tcPr>
            <w:tcW w:w="2855" w:type="dxa"/>
          </w:tcPr>
          <w:p w14:paraId="02AB6391" w14:textId="77777777" w:rsidR="005E6D06" w:rsidRPr="0067507D" w:rsidRDefault="00DF6182" w:rsidP="0003762C">
            <w:pPr>
              <w:pStyle w:val="Tabletext"/>
            </w:pPr>
            <w:bookmarkStart w:id="22" w:name="_Hlk5719610"/>
            <w:r w:rsidRPr="0067507D">
              <w:t>Commercial and Infrastructure Advice</w:t>
            </w:r>
            <w:bookmarkEnd w:id="22"/>
          </w:p>
          <w:p w14:paraId="1E56507F" w14:textId="580B5260" w:rsidR="00DF6182" w:rsidRPr="0067507D" w:rsidRDefault="00DF6182" w:rsidP="0003762C">
            <w:pPr>
              <w:pStyle w:val="Tabletext"/>
            </w:pPr>
            <w:r w:rsidRPr="0067507D">
              <w:t>Infrastructure Victoria</w:t>
            </w:r>
          </w:p>
        </w:tc>
      </w:tr>
      <w:tr w:rsidR="009D4B85" w:rsidRPr="0067507D" w14:paraId="5C876E89" w14:textId="77777777" w:rsidTr="004D70AA">
        <w:trPr>
          <w:cantSplit/>
        </w:trPr>
        <w:tc>
          <w:tcPr>
            <w:tcW w:w="3690" w:type="dxa"/>
            <w:shd w:val="clear" w:color="auto" w:fill="E0E0E0"/>
          </w:tcPr>
          <w:p w14:paraId="1A01C3E4" w14:textId="77777777" w:rsidR="009D4B85" w:rsidRPr="0067507D" w:rsidRDefault="009D4B85" w:rsidP="009D4B85">
            <w:pPr>
              <w:pStyle w:val="Tabletext"/>
              <w:rPr>
                <w:rFonts w:asciiTheme="majorHAnsi" w:hAnsiTheme="majorHAnsi"/>
                <w:szCs w:val="16"/>
              </w:rPr>
            </w:pPr>
            <w:r w:rsidRPr="0067507D">
              <w:rPr>
                <w:rFonts w:asciiTheme="majorHAnsi" w:hAnsiTheme="majorHAnsi"/>
                <w:szCs w:val="16"/>
              </w:rPr>
              <w:t>Strengthen Victoria’s economic performance through fair, equitable and productive workplaces</w:t>
            </w:r>
          </w:p>
          <w:p w14:paraId="50C4B60D" w14:textId="77777777" w:rsidR="009D4B85" w:rsidRPr="0067507D" w:rsidRDefault="009D4B85" w:rsidP="009D4B85">
            <w:pPr>
              <w:pStyle w:val="Tabletext"/>
            </w:pPr>
            <w:r w:rsidRPr="0067507D">
              <w:t>The Department of Treasury and Finance delivers strategic industrial relations legislative, policy and technical advice to the Government and departments. The Department develops and reviews regulatory frameworks to support a positive industrial relations environment and promotes fair and productive workplaces, secure work and gender pay equity.</w:t>
            </w:r>
          </w:p>
          <w:p w14:paraId="6A9B174A" w14:textId="258901B7" w:rsidR="009D4B85" w:rsidRPr="0067507D" w:rsidRDefault="009D4B85" w:rsidP="009D4B85">
            <w:pPr>
              <w:pStyle w:val="Tabletext"/>
            </w:pPr>
            <w:r w:rsidRPr="0067507D">
              <w:t>The Industrial Relations output contributes to this objective by providing oversight of enterprise bargaining across the Victorian public sector and supporting Victoria’s participation in the national workplace relations system.</w:t>
            </w:r>
          </w:p>
        </w:tc>
        <w:tc>
          <w:tcPr>
            <w:tcW w:w="3060" w:type="dxa"/>
          </w:tcPr>
          <w:p w14:paraId="5AD953AA" w14:textId="62E4CAB4" w:rsidR="009D4B85" w:rsidRPr="0067507D" w:rsidRDefault="009D4B85" w:rsidP="0001585A">
            <w:pPr>
              <w:pStyle w:val="Tabletext"/>
            </w:pPr>
            <w:r w:rsidRPr="0067507D">
              <w:t>Advice contributes to the achievement of government policies and priorities relating to industrial relations outcomes.</w:t>
            </w:r>
          </w:p>
        </w:tc>
        <w:tc>
          <w:tcPr>
            <w:tcW w:w="2855" w:type="dxa"/>
          </w:tcPr>
          <w:p w14:paraId="5E6B7C2B" w14:textId="08ED5F1C" w:rsidR="009D4B85" w:rsidRPr="0067507D" w:rsidRDefault="009D4B85" w:rsidP="0003762C">
            <w:pPr>
              <w:pStyle w:val="Tabletext"/>
            </w:pPr>
            <w:r w:rsidRPr="0067507D">
              <w:t>Industrial Relations</w:t>
            </w:r>
          </w:p>
        </w:tc>
      </w:tr>
    </w:tbl>
    <w:p w14:paraId="0D0207DE" w14:textId="24E5D1FD" w:rsidR="005E6D06" w:rsidRPr="0067507D" w:rsidRDefault="005E6D06" w:rsidP="005E6D06">
      <w:pPr>
        <w:pStyle w:val="Spacer"/>
      </w:pPr>
    </w:p>
    <w:p w14:paraId="21F48A52" w14:textId="77777777" w:rsidR="005E6D06" w:rsidRPr="0067507D" w:rsidRDefault="005E6D06" w:rsidP="005E6D06"/>
    <w:p w14:paraId="3D6B27E2" w14:textId="77777777" w:rsidR="005E6D06" w:rsidRPr="0067507D" w:rsidRDefault="005E6D06" w:rsidP="005E6D06">
      <w:pPr>
        <w:pStyle w:val="Heading3"/>
        <w:sectPr w:rsidR="005E6D06" w:rsidRPr="0067507D" w:rsidSect="00700E33">
          <w:type w:val="continuous"/>
          <w:pgSz w:w="11909" w:h="16834" w:code="9"/>
          <w:pgMar w:top="1728" w:right="1152" w:bottom="1152" w:left="1152" w:header="720" w:footer="288" w:gutter="0"/>
          <w:cols w:space="720"/>
          <w:noEndnote/>
        </w:sectPr>
      </w:pPr>
    </w:p>
    <w:p w14:paraId="52E5D680" w14:textId="67851F38" w:rsidR="005E6D06" w:rsidRPr="0067507D" w:rsidRDefault="005E6D06" w:rsidP="005E6D06">
      <w:pPr>
        <w:pStyle w:val="Heading3"/>
      </w:pPr>
      <w:bookmarkStart w:id="23" w:name="_Ref492626993"/>
      <w:r w:rsidRPr="0067507D">
        <w:lastRenderedPageBreak/>
        <w:t>Changes to the Department during</w:t>
      </w:r>
      <w:r w:rsidR="00806E4F" w:rsidRPr="0067507D">
        <w:rPr>
          <w:rFonts w:ascii="Calibri" w:hAnsi="Calibri"/>
        </w:rPr>
        <w:t> </w:t>
      </w:r>
      <w:r w:rsidR="00C30F42" w:rsidRPr="0067507D">
        <w:t>2024</w:t>
      </w:r>
      <w:r w:rsidR="009D4B85" w:rsidRPr="0067507D">
        <w:noBreakHyphen/>
      </w:r>
      <w:r w:rsidR="00C30F42" w:rsidRPr="0067507D">
        <w:t>25</w:t>
      </w:r>
      <w:bookmarkEnd w:id="23"/>
    </w:p>
    <w:p w14:paraId="5662DEB1" w14:textId="6D8B4EF6" w:rsidR="005E6D06" w:rsidRPr="0067507D" w:rsidRDefault="00797B7C" w:rsidP="005E6D06">
      <w:r w:rsidRPr="0067507D">
        <w:br w:type="column"/>
      </w:r>
    </w:p>
    <w:p w14:paraId="2A05FF40" w14:textId="77777777" w:rsidR="005E6D06" w:rsidRPr="0067507D" w:rsidRDefault="005E6D06" w:rsidP="005E6D06">
      <w:pPr>
        <w:sectPr w:rsidR="005E6D06" w:rsidRPr="0067507D" w:rsidSect="00FD7161">
          <w:pgSz w:w="11909" w:h="16834" w:code="9"/>
          <w:pgMar w:top="1728" w:right="1152" w:bottom="1152" w:left="1152" w:header="720" w:footer="288" w:gutter="0"/>
          <w:cols w:num="2" w:space="720"/>
          <w:noEndnote/>
        </w:sectPr>
      </w:pPr>
    </w:p>
    <w:p w14:paraId="431DF0A6" w14:textId="77777777" w:rsidR="005E6D06" w:rsidRPr="0067507D" w:rsidRDefault="005E6D06" w:rsidP="005E6D06">
      <w:pPr>
        <w:pStyle w:val="Heading4"/>
      </w:pPr>
      <w:r w:rsidRPr="0067507D">
        <w:t>Objectives</w:t>
      </w:r>
    </w:p>
    <w:p w14:paraId="6EA5E532" w14:textId="371F1865" w:rsidR="005E6D06" w:rsidRPr="0067507D" w:rsidRDefault="005E6D06" w:rsidP="005E6D06">
      <w:pPr>
        <w:rPr>
          <w:rFonts w:cstheme="minorBidi"/>
        </w:rPr>
      </w:pPr>
      <w:r w:rsidRPr="0067507D">
        <w:rPr>
          <w:rFonts w:cstheme="minorBidi"/>
        </w:rPr>
        <w:t xml:space="preserve">Changes to departmental objectives for </w:t>
      </w:r>
      <w:r w:rsidR="00C30F42" w:rsidRPr="0067507D">
        <w:rPr>
          <w:rFonts w:cstheme="minorBidi"/>
        </w:rPr>
        <w:t>2024</w:t>
      </w:r>
      <w:r w:rsidR="006A5485">
        <w:rPr>
          <w:rFonts w:cstheme="minorBidi"/>
        </w:rPr>
        <w:noBreakHyphen/>
      </w:r>
      <w:r w:rsidR="00C30F42" w:rsidRPr="0067507D">
        <w:rPr>
          <w:rFonts w:cstheme="minorBidi"/>
        </w:rPr>
        <w:t>25</w:t>
      </w:r>
      <w:r w:rsidRPr="0067507D">
        <w:rPr>
          <w:rFonts w:cstheme="minorBidi"/>
        </w:rPr>
        <w:t xml:space="preserve"> are reflected in the table below.</w:t>
      </w:r>
    </w:p>
    <w:tbl>
      <w:tblPr>
        <w:tblW w:w="9641" w:type="dxa"/>
        <w:tblInd w:w="29" w:type="dxa"/>
        <w:tblLook w:val="0480" w:firstRow="0" w:lastRow="0" w:firstColumn="1" w:lastColumn="0" w:noHBand="0" w:noVBand="1"/>
      </w:tblPr>
      <w:tblGrid>
        <w:gridCol w:w="2977"/>
        <w:gridCol w:w="2934"/>
        <w:gridCol w:w="3730"/>
      </w:tblGrid>
      <w:tr w:rsidR="005E6D06" w:rsidRPr="0067507D" w14:paraId="50A8B36C" w14:textId="77777777" w:rsidTr="004D70AA">
        <w:tc>
          <w:tcPr>
            <w:tcW w:w="2977" w:type="dxa"/>
            <w:shd w:val="clear" w:color="auto" w:fill="E0E0E0"/>
          </w:tcPr>
          <w:p w14:paraId="6D56A7A5" w14:textId="3D06F769" w:rsidR="005E6D06" w:rsidRPr="0067507D" w:rsidRDefault="00C30F42" w:rsidP="0003762C">
            <w:pPr>
              <w:pStyle w:val="Tabletextheadingleft"/>
            </w:pPr>
            <w:r w:rsidRPr="0067507D">
              <w:t>2024</w:t>
            </w:r>
            <w:r w:rsidR="006A5485">
              <w:noBreakHyphen/>
            </w:r>
            <w:r w:rsidRPr="0067507D">
              <w:t>25</w:t>
            </w:r>
            <w:r w:rsidR="005E6D06" w:rsidRPr="0067507D">
              <w:t xml:space="preserve"> departmental objective</w:t>
            </w:r>
          </w:p>
        </w:tc>
        <w:tc>
          <w:tcPr>
            <w:tcW w:w="2934" w:type="dxa"/>
          </w:tcPr>
          <w:p w14:paraId="306A6824" w14:textId="099FAF92" w:rsidR="005E6D06" w:rsidRPr="0067507D" w:rsidRDefault="00C30F42" w:rsidP="0003762C">
            <w:pPr>
              <w:pStyle w:val="Tabletextheadingleft"/>
            </w:pPr>
            <w:r w:rsidRPr="0067507D">
              <w:t>2023</w:t>
            </w:r>
            <w:r w:rsidR="006A5485">
              <w:noBreakHyphen/>
            </w:r>
            <w:r w:rsidRPr="0067507D">
              <w:t>24</w:t>
            </w:r>
            <w:r w:rsidR="00DF6182" w:rsidRPr="0067507D">
              <w:t xml:space="preserve"> departmental objective</w:t>
            </w:r>
          </w:p>
        </w:tc>
        <w:tc>
          <w:tcPr>
            <w:tcW w:w="3730" w:type="dxa"/>
          </w:tcPr>
          <w:p w14:paraId="7D2A0903" w14:textId="77777777" w:rsidR="005E6D06" w:rsidRPr="0067507D" w:rsidRDefault="005E6D06" w:rsidP="0003762C">
            <w:pPr>
              <w:pStyle w:val="Tabletextheadingleft"/>
            </w:pPr>
            <w:r w:rsidRPr="0067507D">
              <w:t>Reason for change</w:t>
            </w:r>
          </w:p>
        </w:tc>
      </w:tr>
      <w:tr w:rsidR="005E6D06" w:rsidRPr="0067507D" w14:paraId="6AE0A217" w14:textId="77777777" w:rsidTr="004D70AA">
        <w:tc>
          <w:tcPr>
            <w:tcW w:w="2977" w:type="dxa"/>
            <w:shd w:val="clear" w:color="auto" w:fill="E0E0E0"/>
          </w:tcPr>
          <w:p w14:paraId="72F80F79" w14:textId="43100935" w:rsidR="005E6D06" w:rsidRPr="0067507D" w:rsidRDefault="00C03480" w:rsidP="0003762C">
            <w:pPr>
              <w:pStyle w:val="Tabletext"/>
            </w:pPr>
            <w:r w:rsidRPr="0067507D">
              <w:t>n/a</w:t>
            </w:r>
          </w:p>
        </w:tc>
        <w:tc>
          <w:tcPr>
            <w:tcW w:w="2934" w:type="dxa"/>
          </w:tcPr>
          <w:p w14:paraId="31767B9C" w14:textId="5DBFC051" w:rsidR="005E6D06" w:rsidRPr="0067507D" w:rsidRDefault="005E6D06" w:rsidP="0003762C">
            <w:pPr>
              <w:pStyle w:val="Tabletext"/>
            </w:pPr>
          </w:p>
        </w:tc>
        <w:tc>
          <w:tcPr>
            <w:tcW w:w="3730" w:type="dxa"/>
          </w:tcPr>
          <w:p w14:paraId="2970E3D1" w14:textId="6EB62BEB" w:rsidR="005E6D06" w:rsidRPr="0067507D" w:rsidRDefault="005E6D06" w:rsidP="0003762C">
            <w:pPr>
              <w:pStyle w:val="Tabletext"/>
            </w:pPr>
          </w:p>
        </w:tc>
      </w:tr>
    </w:tbl>
    <w:p w14:paraId="46B72C0A" w14:textId="77777777" w:rsidR="005E6D06" w:rsidRPr="0067507D" w:rsidRDefault="005E6D06" w:rsidP="005E6D06"/>
    <w:p w14:paraId="7C2153D2" w14:textId="77777777" w:rsidR="005E6D06" w:rsidRPr="0067507D" w:rsidRDefault="005E6D06" w:rsidP="005E6D06">
      <w:pPr>
        <w:pStyle w:val="Heading4"/>
      </w:pPr>
      <w:r w:rsidRPr="0067507D">
        <w:t>Output structure</w:t>
      </w:r>
    </w:p>
    <w:p w14:paraId="2599977A" w14:textId="19D4A04E" w:rsidR="005E6D06" w:rsidRPr="0067507D" w:rsidRDefault="005E6D06" w:rsidP="005E6D06">
      <w:r w:rsidRPr="0067507D">
        <w:t xml:space="preserve">Changes to the Department’s output structure for </w:t>
      </w:r>
      <w:r w:rsidR="00C30F42" w:rsidRPr="0067507D">
        <w:t>2024</w:t>
      </w:r>
      <w:r w:rsidR="006A5485">
        <w:noBreakHyphen/>
      </w:r>
      <w:r w:rsidR="00C30F42" w:rsidRPr="0067507D">
        <w:t>25</w:t>
      </w:r>
      <w:r w:rsidRPr="0067507D">
        <w:t xml:space="preserve"> are reflected in the table below.</w:t>
      </w:r>
    </w:p>
    <w:tbl>
      <w:tblPr>
        <w:tblW w:w="9691" w:type="dxa"/>
        <w:tblInd w:w="29" w:type="dxa"/>
        <w:tblLook w:val="0480" w:firstRow="0" w:lastRow="0" w:firstColumn="1" w:lastColumn="0" w:noHBand="0" w:noVBand="1"/>
      </w:tblPr>
      <w:tblGrid>
        <w:gridCol w:w="2948"/>
        <w:gridCol w:w="3053"/>
        <w:gridCol w:w="3690"/>
      </w:tblGrid>
      <w:tr w:rsidR="009D4B85" w:rsidRPr="0067507D" w14:paraId="5B713215" w14:textId="77777777" w:rsidTr="004D70AA">
        <w:tc>
          <w:tcPr>
            <w:tcW w:w="2948" w:type="dxa"/>
            <w:shd w:val="clear" w:color="auto" w:fill="E0E0E0"/>
          </w:tcPr>
          <w:p w14:paraId="1054E449" w14:textId="33A915CA" w:rsidR="009D4B85" w:rsidRPr="0067507D" w:rsidRDefault="009D4B85" w:rsidP="009D4B85">
            <w:pPr>
              <w:pStyle w:val="Tabletextheadingleft"/>
            </w:pPr>
            <w:r w:rsidRPr="0067507D">
              <w:t>2024</w:t>
            </w:r>
            <w:r w:rsidR="006A5485">
              <w:noBreakHyphen/>
            </w:r>
            <w:r w:rsidRPr="0067507D">
              <w:t>25 departmental objective</w:t>
            </w:r>
          </w:p>
        </w:tc>
        <w:tc>
          <w:tcPr>
            <w:tcW w:w="3053" w:type="dxa"/>
          </w:tcPr>
          <w:p w14:paraId="23C68A81" w14:textId="6B748C3A" w:rsidR="009D4B85" w:rsidRPr="0067507D" w:rsidRDefault="009D4B85" w:rsidP="009D4B85">
            <w:pPr>
              <w:pStyle w:val="Tabletextheadingleft"/>
            </w:pPr>
            <w:r w:rsidRPr="0067507D">
              <w:t>2023</w:t>
            </w:r>
            <w:r w:rsidR="006A5485">
              <w:noBreakHyphen/>
            </w:r>
            <w:r w:rsidRPr="0067507D">
              <w:t>24 departmental objective</w:t>
            </w:r>
          </w:p>
        </w:tc>
        <w:tc>
          <w:tcPr>
            <w:tcW w:w="3690" w:type="dxa"/>
          </w:tcPr>
          <w:p w14:paraId="12BC435E" w14:textId="730088AC" w:rsidR="009D4B85" w:rsidRPr="0067507D" w:rsidRDefault="009D4B85" w:rsidP="009D4B85">
            <w:pPr>
              <w:pStyle w:val="Tabletextheadingleft"/>
            </w:pPr>
            <w:r w:rsidRPr="0067507D">
              <w:t>Reason for change</w:t>
            </w:r>
          </w:p>
        </w:tc>
      </w:tr>
      <w:tr w:rsidR="009D4B85" w:rsidRPr="0067507D" w14:paraId="55690DBD" w14:textId="77777777" w:rsidTr="004D70AA">
        <w:tc>
          <w:tcPr>
            <w:tcW w:w="2948" w:type="dxa"/>
            <w:shd w:val="clear" w:color="auto" w:fill="E0E0E0"/>
          </w:tcPr>
          <w:p w14:paraId="5B36A2B2" w14:textId="056D2D8C" w:rsidR="009D4B85" w:rsidRPr="0067507D" w:rsidRDefault="00A64C37" w:rsidP="009D4B85">
            <w:pPr>
              <w:pStyle w:val="Tabletext"/>
            </w:pPr>
            <w:r w:rsidRPr="0067507D">
              <w:t>n/a</w:t>
            </w:r>
          </w:p>
        </w:tc>
        <w:tc>
          <w:tcPr>
            <w:tcW w:w="3053" w:type="dxa"/>
          </w:tcPr>
          <w:p w14:paraId="5A0C6D17" w14:textId="4878FDE5" w:rsidR="009D4B85" w:rsidRPr="0067507D" w:rsidRDefault="009D4B85" w:rsidP="009D4B85">
            <w:pPr>
              <w:pStyle w:val="Tabletext"/>
            </w:pPr>
          </w:p>
        </w:tc>
        <w:tc>
          <w:tcPr>
            <w:tcW w:w="3690" w:type="dxa"/>
          </w:tcPr>
          <w:p w14:paraId="29C1F0CF" w14:textId="359EDFF7" w:rsidR="009D4B85" w:rsidRPr="0067507D" w:rsidRDefault="009D4B85" w:rsidP="009D4B85">
            <w:pPr>
              <w:pStyle w:val="Tabletext"/>
            </w:pPr>
          </w:p>
        </w:tc>
      </w:tr>
    </w:tbl>
    <w:p w14:paraId="4AE26E33" w14:textId="77777777" w:rsidR="005E6D06" w:rsidRPr="0067507D" w:rsidRDefault="005E6D06" w:rsidP="005E6D06"/>
    <w:p w14:paraId="6BAA85BF" w14:textId="77777777" w:rsidR="005E6D06" w:rsidRPr="0067507D" w:rsidRDefault="005E6D06" w:rsidP="005E6D06">
      <w:pPr>
        <w:sectPr w:rsidR="005E6D06" w:rsidRPr="0067507D" w:rsidSect="00D16853">
          <w:type w:val="continuous"/>
          <w:pgSz w:w="11909" w:h="16834" w:code="9"/>
          <w:pgMar w:top="1728" w:right="1152" w:bottom="1152" w:left="1152" w:header="720" w:footer="288" w:gutter="0"/>
          <w:cols w:space="720"/>
          <w:noEndnote/>
        </w:sectPr>
      </w:pPr>
    </w:p>
    <w:p w14:paraId="07D9EDD2" w14:textId="7C15152B" w:rsidR="005E6D06" w:rsidRPr="0067507D" w:rsidRDefault="005E6D06" w:rsidP="005E6D06">
      <w:pPr>
        <w:pStyle w:val="Heading3"/>
      </w:pPr>
      <w:bookmarkStart w:id="24" w:name="_Ref489439172"/>
      <w:r w:rsidRPr="0067507D">
        <w:t>Reporting progress towards achieving Departmental objectives and indicators</w:t>
      </w:r>
      <w:bookmarkEnd w:id="24"/>
    </w:p>
    <w:p w14:paraId="4E854776" w14:textId="77777777" w:rsidR="005E6D06" w:rsidRPr="0067507D" w:rsidRDefault="005E6D06" w:rsidP="005E6D06">
      <w:r w:rsidRPr="0067507D">
        <w:t>DTF’s objectives, indicators, and progress on those indicators are outlined below.</w:t>
      </w:r>
    </w:p>
    <w:p w14:paraId="1FFAD3FF" w14:textId="77777777" w:rsidR="00A8687D" w:rsidRPr="0067507D" w:rsidRDefault="00A8687D" w:rsidP="00E9632D">
      <w:pPr>
        <w:pStyle w:val="Normalbold"/>
        <w:sectPr w:rsidR="00A8687D" w:rsidRPr="0067507D" w:rsidSect="008F04CA">
          <w:footerReference w:type="even" r:id="rId45"/>
          <w:footerReference w:type="default" r:id="rId46"/>
          <w:type w:val="continuous"/>
          <w:pgSz w:w="11909" w:h="16834" w:code="9"/>
          <w:pgMar w:top="1728" w:right="1152" w:bottom="1152" w:left="1152" w:header="720" w:footer="288" w:gutter="0"/>
          <w:cols w:num="2" w:space="720"/>
          <w:noEndnote/>
        </w:sectPr>
      </w:pPr>
    </w:p>
    <w:p w14:paraId="6A136038" w14:textId="577BCE60" w:rsidR="005E6D06" w:rsidRPr="0067507D" w:rsidRDefault="005E6D06" w:rsidP="00AA55B3">
      <w:pPr>
        <w:pStyle w:val="Heading4"/>
      </w:pPr>
      <w:r w:rsidRPr="007D66CE">
        <w:t>Objective 1: Optimise Victoria’s fiscal resources</w:t>
      </w:r>
    </w:p>
    <w:p w14:paraId="045F22D5" w14:textId="31B2BB34" w:rsidR="005E6D06" w:rsidRPr="0067507D" w:rsidRDefault="005E6D06" w:rsidP="005E6D06">
      <w:pPr>
        <w:pStyle w:val="Heading5"/>
        <w:rPr>
          <w:rFonts w:cstheme="minorHAnsi"/>
        </w:rPr>
      </w:pPr>
      <w:r w:rsidRPr="0067507D">
        <w:rPr>
          <w:rFonts w:cstheme="minorHAnsi"/>
        </w:rPr>
        <w:t>Objective indicators</w:t>
      </w:r>
      <w:r w:rsidR="008A1F9F" w:rsidRPr="0067507D">
        <w:rPr>
          <w:rFonts w:cstheme="minorHAnsi"/>
        </w:rPr>
        <w:t xml:space="preserve"> </w:t>
      </w:r>
    </w:p>
    <w:p w14:paraId="567AE0A7" w14:textId="5841F459" w:rsidR="009D4B85" w:rsidRPr="0067507D" w:rsidRDefault="009D4B85" w:rsidP="009D4B85">
      <w:pPr>
        <w:pStyle w:val="ListNumber"/>
        <w:numPr>
          <w:ilvl w:val="0"/>
          <w:numId w:val="25"/>
        </w:numPr>
      </w:pPr>
      <w:r w:rsidRPr="0067507D">
        <w:t>General government net debt as a percentage of gross state product (GSP) to stabilise and reduce in the medium term.</w:t>
      </w:r>
    </w:p>
    <w:p w14:paraId="43093A70" w14:textId="2A4CF9F0" w:rsidR="009D4B85" w:rsidRPr="0067507D" w:rsidRDefault="009D4B85" w:rsidP="009D4B85">
      <w:pPr>
        <w:pStyle w:val="ListNumber"/>
        <w:numPr>
          <w:ilvl w:val="0"/>
          <w:numId w:val="25"/>
        </w:numPr>
      </w:pPr>
      <w:r w:rsidRPr="0067507D">
        <w:t>Fully fund the unfunded superannuation liability by 2035.</w:t>
      </w:r>
    </w:p>
    <w:p w14:paraId="5413B75F" w14:textId="5E132AF4" w:rsidR="009D4B85" w:rsidRPr="0067507D" w:rsidRDefault="009D4B85" w:rsidP="009D4B85">
      <w:pPr>
        <w:pStyle w:val="ListNumber"/>
        <w:numPr>
          <w:ilvl w:val="0"/>
          <w:numId w:val="25"/>
        </w:numPr>
      </w:pPr>
      <w:r w:rsidRPr="0067507D">
        <w:t>A net operating cash surplus consistent with maintaining general government net debt at a sustainable level.</w:t>
      </w:r>
    </w:p>
    <w:p w14:paraId="136EABCE" w14:textId="3ADF910D" w:rsidR="009D4B85" w:rsidRPr="0067507D" w:rsidRDefault="009D4B85" w:rsidP="009D4B85">
      <w:pPr>
        <w:pStyle w:val="ListNumber"/>
        <w:numPr>
          <w:ilvl w:val="0"/>
          <w:numId w:val="25"/>
        </w:numPr>
      </w:pPr>
      <w:r w:rsidRPr="0067507D">
        <w:t>General government interest expense as a percentage of revenue to stabilise in the medium</w:t>
      </w:r>
      <w:r w:rsidR="00103207" w:rsidRPr="0067507D">
        <w:rPr>
          <w:rFonts w:ascii="Calibri" w:hAnsi="Calibri" w:cs="Calibri"/>
        </w:rPr>
        <w:t> </w:t>
      </w:r>
      <w:r w:rsidRPr="0067507D">
        <w:t>term.</w:t>
      </w:r>
    </w:p>
    <w:p w14:paraId="17C1ADB8" w14:textId="0F55C9D1" w:rsidR="009D4B85" w:rsidRPr="0067507D" w:rsidRDefault="009D4B85" w:rsidP="009D4B85">
      <w:pPr>
        <w:pStyle w:val="ListNumber"/>
        <w:numPr>
          <w:ilvl w:val="0"/>
          <w:numId w:val="25"/>
        </w:numPr>
      </w:pPr>
      <w:r w:rsidRPr="0067507D">
        <w:t xml:space="preserve">Agency compliance with the Standing Directions under the </w:t>
      </w:r>
      <w:r w:rsidRPr="0067507D">
        <w:rPr>
          <w:i/>
          <w:iCs/>
        </w:rPr>
        <w:t>Financial Management Act 1994</w:t>
      </w:r>
      <w:r w:rsidRPr="0067507D">
        <w:t>.</w:t>
      </w:r>
    </w:p>
    <w:p w14:paraId="5314B469" w14:textId="7C3221F0" w:rsidR="005E6D06" w:rsidRPr="0067507D" w:rsidRDefault="009D4B85" w:rsidP="009D4B85">
      <w:pPr>
        <w:pStyle w:val="ListNumber"/>
        <w:numPr>
          <w:ilvl w:val="0"/>
          <w:numId w:val="25"/>
        </w:numPr>
      </w:pPr>
      <w:r w:rsidRPr="0067507D">
        <w:t>Advice contributes to the achievement of Government policies and priorities relating to optimising Victoria’s fiscal resources.</w:t>
      </w:r>
    </w:p>
    <w:p w14:paraId="5C5A097E" w14:textId="62A1B457" w:rsidR="005E6D06" w:rsidRPr="0067507D" w:rsidRDefault="005E6D06" w:rsidP="00E9632D">
      <w:pPr>
        <w:pStyle w:val="Normalbold"/>
      </w:pPr>
      <w:r w:rsidRPr="0067507D">
        <w:br w:type="column"/>
      </w:r>
      <w:r w:rsidRPr="0067507D">
        <w:rPr>
          <w:szCs w:val="17"/>
        </w:rPr>
        <w:t xml:space="preserve">Objective Indicator 1: </w:t>
      </w:r>
      <w:r w:rsidR="009D4B85" w:rsidRPr="0067507D">
        <w:t>General government net debt as a percentage of GSP to stabilise and reduce in the medium term.</w:t>
      </w:r>
    </w:p>
    <w:p w14:paraId="052B0F74" w14:textId="4249D02A" w:rsidR="005E6D06" w:rsidRPr="0067507D" w:rsidRDefault="005E6D06" w:rsidP="005E6D06">
      <w:pPr>
        <w:rPr>
          <w:rFonts w:eastAsia="VIC"/>
        </w:rPr>
      </w:pPr>
      <w:r w:rsidRPr="0067507D">
        <w:rPr>
          <w:rFonts w:eastAsia="VIC"/>
        </w:rPr>
        <w:t>This indicator will be assessed over the medium term.</w:t>
      </w:r>
    </w:p>
    <w:p w14:paraId="5FFC7F19" w14:textId="18BA2FC1" w:rsidR="005E6D06" w:rsidRPr="0067507D" w:rsidRDefault="005E6D06" w:rsidP="00103207">
      <w:r w:rsidRPr="0067507D">
        <w:rPr>
          <w:rFonts w:eastAsia="VIC"/>
        </w:rPr>
        <w:t xml:space="preserve">As outlined in the </w:t>
      </w:r>
      <w:r w:rsidRPr="0067507D">
        <w:rPr>
          <w:rFonts w:eastAsia="VIC"/>
          <w:i/>
        </w:rPr>
        <w:t>202</w:t>
      </w:r>
      <w:r w:rsidR="00FA4708" w:rsidRPr="0067507D">
        <w:rPr>
          <w:rFonts w:eastAsia="VIC"/>
          <w:i/>
        </w:rPr>
        <w:t>5</w:t>
      </w:r>
      <w:r w:rsidR="006A5485">
        <w:rPr>
          <w:rFonts w:eastAsia="VIC"/>
          <w:i/>
        </w:rPr>
        <w:noBreakHyphen/>
      </w:r>
      <w:r w:rsidRPr="0067507D">
        <w:rPr>
          <w:rFonts w:eastAsia="VIC"/>
          <w:i/>
        </w:rPr>
        <w:t>2</w:t>
      </w:r>
      <w:r w:rsidR="00FA4708" w:rsidRPr="0067507D">
        <w:rPr>
          <w:rFonts w:eastAsia="VIC"/>
          <w:i/>
        </w:rPr>
        <w:t>6</w:t>
      </w:r>
      <w:r w:rsidRPr="0067507D">
        <w:rPr>
          <w:rFonts w:eastAsia="VIC"/>
          <w:i/>
        </w:rPr>
        <w:t xml:space="preserve"> Budget</w:t>
      </w:r>
      <w:r w:rsidRPr="0067507D">
        <w:rPr>
          <w:rFonts w:eastAsia="VIC"/>
        </w:rPr>
        <w:t xml:space="preserve">, </w:t>
      </w:r>
      <w:r w:rsidR="00231338" w:rsidRPr="0067507D">
        <w:rPr>
          <w:rFonts w:eastAsia="VIC"/>
        </w:rPr>
        <w:t xml:space="preserve">the net debt to GSP ratio is estimated to stabilise </w:t>
      </w:r>
      <w:r w:rsidR="00F62D1F" w:rsidRPr="0067507D">
        <w:rPr>
          <w:rFonts w:eastAsia="VIC"/>
        </w:rPr>
        <w:t xml:space="preserve">and then reduce </w:t>
      </w:r>
      <w:r w:rsidR="00231338" w:rsidRPr="0067507D">
        <w:rPr>
          <w:rFonts w:eastAsia="VIC"/>
        </w:rPr>
        <w:t xml:space="preserve">within the forward estimates, from </w:t>
      </w:r>
      <w:r w:rsidR="006B0E43" w:rsidRPr="0067507D">
        <w:rPr>
          <w:rFonts w:eastAsia="VIC"/>
        </w:rPr>
        <w:t>25.2</w:t>
      </w:r>
      <w:r w:rsidR="005753BE" w:rsidRPr="0067507D">
        <w:rPr>
          <w:rFonts w:ascii="Calibri" w:eastAsia="VIC" w:hAnsi="Calibri" w:cs="Calibri"/>
        </w:rPr>
        <w:t> </w:t>
      </w:r>
      <w:r w:rsidR="005753BE" w:rsidRPr="0067507D">
        <w:rPr>
          <w:rFonts w:eastAsia="VIC" w:cs="Calibri"/>
        </w:rPr>
        <w:t>per</w:t>
      </w:r>
      <w:r w:rsidR="005753BE" w:rsidRPr="0067507D">
        <w:rPr>
          <w:rFonts w:ascii="Calibri" w:eastAsia="VIC" w:hAnsi="Calibri" w:cs="Calibri"/>
        </w:rPr>
        <w:t> </w:t>
      </w:r>
      <w:r w:rsidR="005753BE" w:rsidRPr="0067507D">
        <w:rPr>
          <w:rFonts w:eastAsia="VIC" w:cs="Calibri"/>
        </w:rPr>
        <w:t>cent</w:t>
      </w:r>
      <w:r w:rsidR="00231338" w:rsidRPr="0067507D">
        <w:rPr>
          <w:rFonts w:eastAsia="VIC"/>
        </w:rPr>
        <w:t xml:space="preserve"> in 2026</w:t>
      </w:r>
      <w:r w:rsidR="00E31064" w:rsidRPr="0067507D">
        <w:rPr>
          <w:rFonts w:eastAsia="VIC"/>
        </w:rPr>
        <w:noBreakHyphen/>
      </w:r>
      <w:r w:rsidR="00231338" w:rsidRPr="0067507D">
        <w:rPr>
          <w:rFonts w:eastAsia="VIC"/>
        </w:rPr>
        <w:t>27</w:t>
      </w:r>
      <w:r w:rsidR="00BA1965" w:rsidRPr="0067507D">
        <w:rPr>
          <w:rFonts w:eastAsia="VIC"/>
        </w:rPr>
        <w:t>,</w:t>
      </w:r>
      <w:r w:rsidR="006B0E43" w:rsidRPr="0067507D">
        <w:rPr>
          <w:rFonts w:eastAsia="VIC"/>
        </w:rPr>
        <w:t xml:space="preserve"> down to 25.</w:t>
      </w:r>
      <w:r w:rsidR="00142295" w:rsidRPr="0067507D">
        <w:rPr>
          <w:rFonts w:eastAsia="VIC"/>
        </w:rPr>
        <w:t>0</w:t>
      </w:r>
      <w:r w:rsidR="006B0E43" w:rsidRPr="0067507D">
        <w:rPr>
          <w:rFonts w:eastAsia="VIC"/>
        </w:rPr>
        <w:t xml:space="preserve"> per cent in 2027</w:t>
      </w:r>
      <w:r w:rsidR="006A5485">
        <w:rPr>
          <w:rFonts w:eastAsia="VIC"/>
        </w:rPr>
        <w:noBreakHyphen/>
      </w:r>
      <w:r w:rsidR="006B0E43" w:rsidRPr="0067507D">
        <w:rPr>
          <w:rFonts w:eastAsia="VIC"/>
        </w:rPr>
        <w:t>28</w:t>
      </w:r>
      <w:r w:rsidR="00BA1965" w:rsidRPr="0067507D">
        <w:rPr>
          <w:rFonts w:eastAsia="VIC"/>
        </w:rPr>
        <w:t xml:space="preserve"> and down to</w:t>
      </w:r>
      <w:r w:rsidR="006174DF" w:rsidRPr="0067507D">
        <w:rPr>
          <w:rFonts w:eastAsia="VIC"/>
        </w:rPr>
        <w:t xml:space="preserve"> </w:t>
      </w:r>
      <w:r w:rsidR="008F65D6" w:rsidRPr="0067507D">
        <w:rPr>
          <w:rFonts w:eastAsia="VIC"/>
        </w:rPr>
        <w:t xml:space="preserve">24.9 per cent in </w:t>
      </w:r>
      <w:r w:rsidR="00BA1965" w:rsidRPr="0067507D">
        <w:rPr>
          <w:rFonts w:eastAsia="VIC"/>
        </w:rPr>
        <w:t>2028</w:t>
      </w:r>
      <w:r w:rsidR="006A5485">
        <w:rPr>
          <w:rFonts w:eastAsia="VIC"/>
        </w:rPr>
        <w:noBreakHyphen/>
      </w:r>
      <w:r w:rsidR="00BA1965" w:rsidRPr="0067507D">
        <w:rPr>
          <w:rFonts w:eastAsia="VIC"/>
        </w:rPr>
        <w:t>29</w:t>
      </w:r>
      <w:r w:rsidR="00CD20D6" w:rsidRPr="0067507D">
        <w:rPr>
          <w:rFonts w:eastAsia="VIC"/>
        </w:rPr>
        <w:t>.</w:t>
      </w:r>
      <w:r w:rsidRPr="0067507D">
        <w:rPr>
          <w:rFonts w:eastAsia="VIC"/>
        </w:rPr>
        <w:t xml:space="preserve"> </w:t>
      </w:r>
    </w:p>
    <w:p w14:paraId="74A4D77E" w14:textId="7D87100D" w:rsidR="005E6D06" w:rsidRPr="0067507D" w:rsidRDefault="005E6D06" w:rsidP="00E9632D">
      <w:pPr>
        <w:pStyle w:val="Normalbold"/>
      </w:pPr>
      <w:r w:rsidRPr="0067507D">
        <w:t>Objective Indicator 2: Fully fund the unfunded superannuation liability by 2035.</w:t>
      </w:r>
    </w:p>
    <w:p w14:paraId="435A8911" w14:textId="6991FAA4" w:rsidR="003B16A6" w:rsidRPr="0067507D" w:rsidRDefault="004B0EE0" w:rsidP="003B16A6">
      <w:pPr>
        <w:rPr>
          <w:rFonts w:ascii="VIC" w:eastAsia="VIC" w:hAnsi="VIC" w:cs="VIC"/>
          <w:szCs w:val="17"/>
        </w:rPr>
      </w:pPr>
      <w:r w:rsidRPr="0067507D">
        <w:rPr>
          <w:rFonts w:ascii="VIC" w:eastAsia="VIC" w:hAnsi="VIC" w:cs="VIC"/>
          <w:szCs w:val="17"/>
        </w:rPr>
        <w:t>A</w:t>
      </w:r>
      <w:r w:rsidR="003B16A6" w:rsidRPr="0067507D">
        <w:rPr>
          <w:rFonts w:ascii="VIC" w:eastAsia="VIC" w:hAnsi="VIC" w:cs="VIC"/>
          <w:szCs w:val="17"/>
        </w:rPr>
        <w:t xml:space="preserve">s outlined in the </w:t>
      </w:r>
      <w:r w:rsidR="003B16A6" w:rsidRPr="0067507D">
        <w:rPr>
          <w:rFonts w:ascii="VIC" w:eastAsia="VIC" w:hAnsi="VIC" w:cs="VIC"/>
          <w:i/>
          <w:szCs w:val="17"/>
        </w:rPr>
        <w:t>202</w:t>
      </w:r>
      <w:r w:rsidR="005E6720" w:rsidRPr="0067507D">
        <w:rPr>
          <w:rFonts w:ascii="VIC" w:eastAsia="VIC" w:hAnsi="VIC" w:cs="VIC"/>
          <w:i/>
          <w:szCs w:val="17"/>
        </w:rPr>
        <w:t>5</w:t>
      </w:r>
      <w:r w:rsidR="00E31064" w:rsidRPr="0067507D">
        <w:rPr>
          <w:rFonts w:ascii="VIC" w:eastAsia="VIC" w:hAnsi="VIC" w:cs="VIC"/>
          <w:i/>
          <w:iCs/>
          <w:szCs w:val="17"/>
        </w:rPr>
        <w:noBreakHyphen/>
      </w:r>
      <w:r w:rsidR="003B16A6" w:rsidRPr="0067507D">
        <w:rPr>
          <w:rFonts w:ascii="VIC" w:eastAsia="VIC" w:hAnsi="VIC" w:cs="VIC"/>
          <w:i/>
          <w:szCs w:val="17"/>
        </w:rPr>
        <w:t>2</w:t>
      </w:r>
      <w:r w:rsidR="005E6720" w:rsidRPr="0067507D">
        <w:rPr>
          <w:rFonts w:ascii="VIC" w:eastAsia="VIC" w:hAnsi="VIC" w:cs="VIC"/>
          <w:i/>
          <w:szCs w:val="17"/>
        </w:rPr>
        <w:t>6</w:t>
      </w:r>
      <w:r w:rsidR="00EA50DD" w:rsidRPr="0067507D">
        <w:rPr>
          <w:rFonts w:ascii="Calibri" w:eastAsia="VIC" w:hAnsi="Calibri" w:cs="Calibri"/>
          <w:i/>
          <w:szCs w:val="17"/>
        </w:rPr>
        <w:t> </w:t>
      </w:r>
      <w:r w:rsidR="003B16A6" w:rsidRPr="0067507D">
        <w:rPr>
          <w:rFonts w:ascii="VIC" w:eastAsia="VIC" w:hAnsi="VIC" w:cs="VIC"/>
          <w:i/>
          <w:szCs w:val="17"/>
        </w:rPr>
        <w:t>Budget</w:t>
      </w:r>
      <w:r w:rsidR="003B16A6" w:rsidRPr="0067507D">
        <w:rPr>
          <w:rFonts w:ascii="VIC" w:eastAsia="VIC" w:hAnsi="VIC" w:cs="VIC"/>
          <w:szCs w:val="17"/>
        </w:rPr>
        <w:t>, the Government is on track to fully fund the unfunded superannuation liability by 2035.</w:t>
      </w:r>
    </w:p>
    <w:p w14:paraId="1627D917" w14:textId="092490BE" w:rsidR="001C4ED0" w:rsidRPr="0067507D" w:rsidRDefault="001C4ED0" w:rsidP="003B16A6">
      <w:pPr>
        <w:rPr>
          <w:rFonts w:ascii="VIC" w:eastAsia="VIC" w:hAnsi="VIC" w:cs="VIC"/>
          <w:szCs w:val="17"/>
        </w:rPr>
      </w:pPr>
      <w:r w:rsidRPr="0067507D">
        <w:rPr>
          <w:rFonts w:ascii="VIC" w:eastAsia="VIC" w:hAnsi="VIC" w:cs="VIC"/>
          <w:szCs w:val="17"/>
        </w:rPr>
        <w:t>This indicator will not be fully assessed until 2035.</w:t>
      </w:r>
    </w:p>
    <w:p w14:paraId="60358D15" w14:textId="608B7E4A" w:rsidR="005E6D06" w:rsidRPr="0067507D" w:rsidRDefault="005E6D06" w:rsidP="00B93DE0">
      <w:pPr>
        <w:pStyle w:val="Normalbold"/>
      </w:pPr>
      <w:r w:rsidRPr="0067507D">
        <w:t xml:space="preserve">Objective Indicator 3: </w:t>
      </w:r>
      <w:r w:rsidR="009D4B85" w:rsidRPr="0067507D">
        <w:t>A net operating cash surplus consistent with maintaining general government net debt at a sustainable level.</w:t>
      </w:r>
    </w:p>
    <w:p w14:paraId="19B2F9D1" w14:textId="303CDE07" w:rsidR="005E6D06" w:rsidRPr="0067507D" w:rsidRDefault="005E6D06" w:rsidP="00B93DE0">
      <w:pPr>
        <w:rPr>
          <w:rFonts w:eastAsia="VIC"/>
        </w:rPr>
      </w:pPr>
      <w:r w:rsidRPr="0067507D">
        <w:rPr>
          <w:rFonts w:eastAsia="VIC"/>
        </w:rPr>
        <w:t xml:space="preserve">As outlined in the </w:t>
      </w:r>
      <w:r w:rsidRPr="0067507D">
        <w:rPr>
          <w:rFonts w:eastAsia="VIC"/>
          <w:i/>
        </w:rPr>
        <w:t>202</w:t>
      </w:r>
      <w:r w:rsidR="005E6720" w:rsidRPr="0067507D">
        <w:rPr>
          <w:rFonts w:eastAsia="VIC"/>
          <w:i/>
        </w:rPr>
        <w:t>5</w:t>
      </w:r>
      <w:r w:rsidR="00E31064" w:rsidRPr="0067507D">
        <w:rPr>
          <w:rFonts w:eastAsia="VIC"/>
          <w:i/>
          <w:iCs/>
        </w:rPr>
        <w:noBreakHyphen/>
      </w:r>
      <w:r w:rsidRPr="0067507D">
        <w:rPr>
          <w:rFonts w:eastAsia="VIC"/>
          <w:i/>
        </w:rPr>
        <w:t>2</w:t>
      </w:r>
      <w:r w:rsidR="005E6720" w:rsidRPr="0067507D">
        <w:rPr>
          <w:rFonts w:eastAsia="VIC"/>
          <w:i/>
        </w:rPr>
        <w:t>6</w:t>
      </w:r>
      <w:r w:rsidRPr="0067507D">
        <w:rPr>
          <w:rFonts w:eastAsia="VIC"/>
          <w:i/>
        </w:rPr>
        <w:t xml:space="preserve"> Budget</w:t>
      </w:r>
      <w:r w:rsidRPr="0067507D">
        <w:rPr>
          <w:rFonts w:eastAsia="VIC"/>
        </w:rPr>
        <w:t xml:space="preserve">, the Government </w:t>
      </w:r>
      <w:r w:rsidR="00AF648E" w:rsidRPr="0067507D">
        <w:rPr>
          <w:rFonts w:eastAsia="VIC"/>
        </w:rPr>
        <w:t>forecast</w:t>
      </w:r>
      <w:r w:rsidRPr="0067507D">
        <w:rPr>
          <w:rFonts w:eastAsia="VIC"/>
        </w:rPr>
        <w:t xml:space="preserve"> a</w:t>
      </w:r>
      <w:r w:rsidR="005F0868" w:rsidRPr="0067507D">
        <w:rPr>
          <w:rFonts w:eastAsia="VIC"/>
        </w:rPr>
        <w:t>n</w:t>
      </w:r>
      <w:r w:rsidRPr="0067507D">
        <w:rPr>
          <w:rFonts w:eastAsia="VIC"/>
        </w:rPr>
        <w:t xml:space="preserve"> operating cash surplus</w:t>
      </w:r>
      <w:r w:rsidR="006454F6" w:rsidRPr="0067507D">
        <w:rPr>
          <w:rFonts w:eastAsia="VIC"/>
        </w:rPr>
        <w:t xml:space="preserve"> </w:t>
      </w:r>
      <w:r w:rsidR="006362C4" w:rsidRPr="0067507D">
        <w:rPr>
          <w:rFonts w:eastAsia="VIC"/>
        </w:rPr>
        <w:t>in</w:t>
      </w:r>
      <w:r w:rsidR="005F0868" w:rsidRPr="0067507D">
        <w:rPr>
          <w:rFonts w:eastAsia="VIC"/>
        </w:rPr>
        <w:t xml:space="preserve"> </w:t>
      </w:r>
      <w:r w:rsidR="00C30F42" w:rsidRPr="0067507D">
        <w:rPr>
          <w:rFonts w:eastAsia="VIC"/>
        </w:rPr>
        <w:t>2024</w:t>
      </w:r>
      <w:r w:rsidR="006A5485">
        <w:rPr>
          <w:rFonts w:eastAsia="VIC"/>
        </w:rPr>
        <w:noBreakHyphen/>
      </w:r>
      <w:r w:rsidR="00C30F42" w:rsidRPr="0067507D">
        <w:rPr>
          <w:rFonts w:eastAsia="VIC"/>
        </w:rPr>
        <w:t>25</w:t>
      </w:r>
      <w:r w:rsidR="006362C4" w:rsidRPr="0067507D">
        <w:rPr>
          <w:rFonts w:eastAsia="VIC"/>
        </w:rPr>
        <w:t xml:space="preserve"> and beyond</w:t>
      </w:r>
      <w:r w:rsidRPr="0067507D">
        <w:rPr>
          <w:rFonts w:eastAsia="VIC"/>
        </w:rPr>
        <w:t>.</w:t>
      </w:r>
      <w:r w:rsidR="006362C4" w:rsidRPr="0067507D">
        <w:rPr>
          <w:rFonts w:eastAsia="VIC"/>
        </w:rPr>
        <w:t xml:space="preserve"> The Government first achieved an operating cash surplus in </w:t>
      </w:r>
      <w:r w:rsidR="00C26172" w:rsidRPr="0067507D">
        <w:rPr>
          <w:rFonts w:eastAsia="VIC"/>
        </w:rPr>
        <w:t>2022</w:t>
      </w:r>
      <w:r w:rsidR="006A5485">
        <w:rPr>
          <w:rFonts w:eastAsia="VIC"/>
        </w:rPr>
        <w:noBreakHyphen/>
      </w:r>
      <w:r w:rsidR="00C26172" w:rsidRPr="0067507D">
        <w:rPr>
          <w:rFonts w:eastAsia="VIC"/>
        </w:rPr>
        <w:t>23</w:t>
      </w:r>
      <w:r w:rsidR="006362C4" w:rsidRPr="0067507D">
        <w:rPr>
          <w:rFonts w:eastAsia="VIC"/>
        </w:rPr>
        <w:t xml:space="preserve">. </w:t>
      </w:r>
    </w:p>
    <w:p w14:paraId="4F827A3D" w14:textId="27B7A041" w:rsidR="00257569" w:rsidRPr="0067507D" w:rsidRDefault="005E6D06" w:rsidP="009A4233">
      <w:pPr>
        <w:pStyle w:val="Normalbold"/>
        <w:rPr>
          <w:rFonts w:eastAsia="VIC"/>
        </w:rPr>
      </w:pPr>
      <w:r w:rsidRPr="0067507D">
        <w:lastRenderedPageBreak/>
        <w:t xml:space="preserve">Objective Indicator 4: </w:t>
      </w:r>
      <w:r w:rsidR="009D4B85" w:rsidRPr="0067507D">
        <w:t>General government interest expense as a percentage of revenue to stabilise in the medium term.</w:t>
      </w:r>
    </w:p>
    <w:p w14:paraId="3B3A5CE2" w14:textId="37880287" w:rsidR="00200AAE" w:rsidRPr="0067507D" w:rsidRDefault="001313BF" w:rsidP="00200AAE">
      <w:pPr>
        <w:rPr>
          <w:rFonts w:ascii="VIC" w:eastAsia="VIC" w:hAnsi="VIC" w:cs="VIC"/>
          <w:szCs w:val="17"/>
        </w:rPr>
      </w:pPr>
      <w:r w:rsidRPr="0067507D">
        <w:rPr>
          <w:rFonts w:eastAsia="Tahoma"/>
        </w:rPr>
        <w:t xml:space="preserve">This indicator </w:t>
      </w:r>
      <w:r w:rsidR="00836D21" w:rsidRPr="0067507D">
        <w:rPr>
          <w:rFonts w:eastAsia="Tahoma"/>
        </w:rPr>
        <w:t>assesses the Government’s ability to service its debt relative to its revenue and the indicator</w:t>
      </w:r>
      <w:r w:rsidR="00BE42C7" w:rsidRPr="0067507D">
        <w:rPr>
          <w:rFonts w:eastAsia="Tahoma"/>
        </w:rPr>
        <w:t xml:space="preserve"> will be assessed over the medium term.</w:t>
      </w:r>
      <w:r w:rsidR="005F0868" w:rsidRPr="0067507D">
        <w:rPr>
          <w:rFonts w:eastAsia="Tahoma"/>
        </w:rPr>
        <w:t xml:space="preserve"> </w:t>
      </w:r>
      <w:r w:rsidR="00F3475D" w:rsidRPr="0067507D">
        <w:rPr>
          <w:rFonts w:eastAsia="Tahoma"/>
        </w:rPr>
        <w:t>It will be assessed over the medium term, which could be outside the current forward estimates.</w:t>
      </w:r>
    </w:p>
    <w:p w14:paraId="4190C9BE" w14:textId="6E787A3D" w:rsidR="00200AAE" w:rsidRPr="0067507D" w:rsidRDefault="00BD5F8E" w:rsidP="00200AAE">
      <w:pPr>
        <w:rPr>
          <w:rFonts w:ascii="VIC" w:eastAsia="VIC" w:hAnsi="VIC" w:cs="VIC"/>
          <w:szCs w:val="17"/>
        </w:rPr>
      </w:pPr>
      <w:r w:rsidRPr="0067507D">
        <w:rPr>
          <w:rFonts w:ascii="VIC" w:eastAsia="VIC" w:hAnsi="VIC" w:cs="VIC"/>
          <w:szCs w:val="17"/>
        </w:rPr>
        <w:t>A</w:t>
      </w:r>
      <w:r w:rsidR="00200AAE" w:rsidRPr="0067507D">
        <w:rPr>
          <w:rFonts w:ascii="VIC" w:eastAsia="VIC" w:hAnsi="VIC" w:cs="VIC"/>
          <w:szCs w:val="17"/>
        </w:rPr>
        <w:t xml:space="preserve">s outlined in the </w:t>
      </w:r>
      <w:r w:rsidR="00200AAE" w:rsidRPr="0067507D">
        <w:rPr>
          <w:rFonts w:ascii="VIC" w:eastAsia="VIC" w:hAnsi="VIC" w:cs="VIC"/>
          <w:i/>
          <w:szCs w:val="17"/>
        </w:rPr>
        <w:t>202</w:t>
      </w:r>
      <w:r w:rsidR="00663B4A" w:rsidRPr="0067507D">
        <w:rPr>
          <w:rFonts w:ascii="VIC" w:eastAsia="VIC" w:hAnsi="VIC" w:cs="VIC"/>
          <w:i/>
          <w:szCs w:val="17"/>
        </w:rPr>
        <w:t>5</w:t>
      </w:r>
      <w:r w:rsidR="006A5485">
        <w:rPr>
          <w:rFonts w:ascii="VIC" w:eastAsia="VIC" w:hAnsi="VIC" w:cs="VIC"/>
          <w:i/>
          <w:szCs w:val="17"/>
        </w:rPr>
        <w:noBreakHyphen/>
      </w:r>
      <w:r w:rsidR="00200AAE" w:rsidRPr="0067507D">
        <w:rPr>
          <w:rFonts w:ascii="VIC" w:eastAsia="VIC" w:hAnsi="VIC" w:cs="VIC"/>
          <w:i/>
          <w:szCs w:val="17"/>
        </w:rPr>
        <w:t>2</w:t>
      </w:r>
      <w:r w:rsidR="00663B4A" w:rsidRPr="0067507D">
        <w:rPr>
          <w:rFonts w:ascii="VIC" w:eastAsia="VIC" w:hAnsi="VIC" w:cs="VIC"/>
          <w:i/>
          <w:szCs w:val="17"/>
        </w:rPr>
        <w:t>6</w:t>
      </w:r>
      <w:r w:rsidR="00200AAE" w:rsidRPr="0067507D">
        <w:rPr>
          <w:rFonts w:ascii="VIC" w:eastAsia="VIC" w:hAnsi="VIC" w:cs="VIC"/>
          <w:i/>
          <w:szCs w:val="17"/>
        </w:rPr>
        <w:t xml:space="preserve"> Budget</w:t>
      </w:r>
      <w:r w:rsidR="00200AAE" w:rsidRPr="0067507D">
        <w:rPr>
          <w:rFonts w:ascii="VIC" w:eastAsia="VIC" w:hAnsi="VIC" w:cs="VIC"/>
          <w:szCs w:val="17"/>
        </w:rPr>
        <w:t xml:space="preserve">, interest expense as a share of total revenue is expected to average </w:t>
      </w:r>
      <w:r w:rsidR="00761416" w:rsidRPr="0067507D">
        <w:rPr>
          <w:rFonts w:ascii="VIC" w:eastAsia="VIC" w:hAnsi="VIC" w:cs="VIC"/>
          <w:szCs w:val="17"/>
        </w:rPr>
        <w:t>8.0</w:t>
      </w:r>
      <w:r w:rsidR="005753BE" w:rsidRPr="0067507D">
        <w:rPr>
          <w:rFonts w:ascii="Calibri" w:eastAsia="VIC" w:hAnsi="Calibri" w:cs="Calibri"/>
          <w:szCs w:val="17"/>
        </w:rPr>
        <w:t> </w:t>
      </w:r>
      <w:r w:rsidR="005753BE" w:rsidRPr="0067507D">
        <w:rPr>
          <w:rFonts w:eastAsia="VIC" w:cs="Calibri"/>
          <w:szCs w:val="17"/>
        </w:rPr>
        <w:t>per</w:t>
      </w:r>
      <w:r w:rsidR="005753BE" w:rsidRPr="0067507D">
        <w:rPr>
          <w:rFonts w:ascii="Calibri" w:eastAsia="VIC" w:hAnsi="Calibri" w:cs="Calibri"/>
          <w:szCs w:val="17"/>
        </w:rPr>
        <w:t> </w:t>
      </w:r>
      <w:r w:rsidR="005753BE" w:rsidRPr="0067507D">
        <w:rPr>
          <w:rFonts w:eastAsia="VIC" w:cs="Calibri"/>
          <w:szCs w:val="17"/>
        </w:rPr>
        <w:t>cent</w:t>
      </w:r>
      <w:r w:rsidR="00200AAE" w:rsidRPr="0067507D">
        <w:rPr>
          <w:rFonts w:ascii="VIC" w:eastAsia="VIC" w:hAnsi="VIC" w:cs="VIC"/>
          <w:szCs w:val="17"/>
        </w:rPr>
        <w:t xml:space="preserve"> a year over the budget and forward estimates.</w:t>
      </w:r>
    </w:p>
    <w:p w14:paraId="1492C1E3" w14:textId="69757E99" w:rsidR="005E6D06" w:rsidRPr="0067507D" w:rsidRDefault="005E6D06" w:rsidP="005E6D06">
      <w:pPr>
        <w:pStyle w:val="Normalbold"/>
      </w:pPr>
      <w:r w:rsidRPr="0067507D">
        <w:t xml:space="preserve">Objective Indicator 5: </w:t>
      </w:r>
      <w:r w:rsidR="009D4B85" w:rsidRPr="0067507D">
        <w:t xml:space="preserve">Agency compliance with the Standing Directions under the </w:t>
      </w:r>
      <w:r w:rsidR="009D4B85" w:rsidRPr="0067507D">
        <w:rPr>
          <w:i/>
          <w:iCs/>
        </w:rPr>
        <w:t>Financial Management Act 1994</w:t>
      </w:r>
      <w:r w:rsidR="00343768" w:rsidRPr="0067507D">
        <w:t>.</w:t>
      </w:r>
    </w:p>
    <w:p w14:paraId="5D24CF49" w14:textId="77777777" w:rsidR="005E6D06" w:rsidRPr="0067507D" w:rsidRDefault="005E6D06" w:rsidP="005E6D06">
      <w:pPr>
        <w:rPr>
          <w:rFonts w:ascii="VIC" w:eastAsia="VIC" w:hAnsi="VIC" w:cs="VIC"/>
          <w:szCs w:val="17"/>
        </w:rPr>
      </w:pPr>
      <w:r w:rsidRPr="0067507D">
        <w:rPr>
          <w:rFonts w:ascii="VIC" w:eastAsia="VIC" w:hAnsi="VIC" w:cs="VIC"/>
          <w:szCs w:val="17"/>
        </w:rPr>
        <w:t xml:space="preserve">DTF continued to provide ongoing oversight and support to public sector agencies in maintaining robust financial management governance in line with the Standing Directions 2018. </w:t>
      </w:r>
    </w:p>
    <w:p w14:paraId="283155DD" w14:textId="2C23C295" w:rsidR="005425F7" w:rsidRPr="0067507D" w:rsidRDefault="0055496F" w:rsidP="0055496F">
      <w:r w:rsidRPr="0067507D">
        <w:t>For the 2023</w:t>
      </w:r>
      <w:r w:rsidR="006A5485">
        <w:noBreakHyphen/>
      </w:r>
      <w:r w:rsidRPr="0067507D">
        <w:t>24 compliance year, 231 VPS Agencies</w:t>
      </w:r>
      <w:r w:rsidR="00A95696" w:rsidRPr="0067507D">
        <w:t xml:space="preserve"> (</w:t>
      </w:r>
      <w:r w:rsidRPr="0067507D">
        <w:t>including Departments</w:t>
      </w:r>
      <w:r w:rsidR="00A95696" w:rsidRPr="0067507D">
        <w:t>)</w:t>
      </w:r>
      <w:r w:rsidRPr="0067507D">
        <w:t xml:space="preserve"> self</w:t>
      </w:r>
      <w:r w:rsidR="006A5485">
        <w:noBreakHyphen/>
      </w:r>
      <w:r w:rsidRPr="0067507D">
        <w:t>assessed annual compliance against all applicable FMA Standing Directions and Instructions. These results were internally attested, reviewed by each Agency’s audit committee, and reported to the relevant Portfolio department by the due date of 15 September 2024.</w:t>
      </w:r>
      <w:r w:rsidR="005425F7" w:rsidRPr="0067507D">
        <w:t xml:space="preserve"> </w:t>
      </w:r>
      <w:r w:rsidRPr="0067507D">
        <w:t xml:space="preserve">Portfolio departments consolidated these results and provided a Portfolio compliance summary report to DTF by the due date of 31 October 2024. </w:t>
      </w:r>
    </w:p>
    <w:p w14:paraId="77BBC18A" w14:textId="4B2428C1" w:rsidR="0055496F" w:rsidRPr="0067507D" w:rsidRDefault="0055496F" w:rsidP="0055496F">
      <w:r w:rsidRPr="0067507D">
        <w:t xml:space="preserve">Consistent with the enhanced Portfolio department role in the Directions, </w:t>
      </w:r>
      <w:r w:rsidR="008742B6" w:rsidRPr="0067507D">
        <w:t>d</w:t>
      </w:r>
      <w:r w:rsidRPr="0067507D">
        <w:t>epartments now hold detailed Portfolio agency compliance data and DTF receives an analysis and summary of this portfolio information and data from Portfolio departments.</w:t>
      </w:r>
    </w:p>
    <w:p w14:paraId="78FCB215" w14:textId="242CF636" w:rsidR="0055496F" w:rsidRPr="0067507D" w:rsidRDefault="0055496F" w:rsidP="00B93DE0">
      <w:pPr>
        <w:spacing w:after="240"/>
      </w:pPr>
      <w:r w:rsidRPr="0067507D">
        <w:t xml:space="preserve">In accordance with the </w:t>
      </w:r>
      <w:r w:rsidR="005425F7" w:rsidRPr="0067507D">
        <w:t xml:space="preserve">Standing Directions 2018 </w:t>
      </w:r>
      <w:r w:rsidRPr="0067507D">
        <w:t>Instructions, DTF is required to summarise the departmental portfolio reports and report 2023</w:t>
      </w:r>
      <w:r w:rsidR="006A5485">
        <w:noBreakHyphen/>
      </w:r>
      <w:r w:rsidRPr="0067507D">
        <w:t>24 WoVG compliance outcomes to the Minister for Finance by 15 February 2025 on 2023</w:t>
      </w:r>
      <w:r w:rsidR="006A5485">
        <w:noBreakHyphen/>
      </w:r>
      <w:r w:rsidRPr="0067507D">
        <w:t>24 whole of government compliance outcomes. DTF met this timeline and provided the report on 12 Feb</w:t>
      </w:r>
      <w:r w:rsidR="007E6F5B" w:rsidRPr="0067507D">
        <w:t>ruary</w:t>
      </w:r>
      <w:r w:rsidRPr="0067507D">
        <w:t xml:space="preserve"> 2025.</w:t>
      </w:r>
    </w:p>
    <w:p w14:paraId="1DCE8AEA" w14:textId="2010878D" w:rsidR="0055496F" w:rsidRPr="0067507D" w:rsidRDefault="0055496F" w:rsidP="0055496F">
      <w:r w:rsidRPr="0067507D">
        <w:t xml:space="preserve">Further investigation into strengthening the </w:t>
      </w:r>
      <w:r w:rsidR="005425F7" w:rsidRPr="0067507D">
        <w:t xml:space="preserve">Standing </w:t>
      </w:r>
      <w:r w:rsidRPr="0067507D">
        <w:t>D</w:t>
      </w:r>
      <w:r w:rsidR="005425F7" w:rsidRPr="0067507D">
        <w:t>irection</w:t>
      </w:r>
      <w:r w:rsidRPr="0067507D">
        <w:t>s with more specific requirements potentially to support more regular and detailed budget outcome reporting to Government from portfolio agencies will be undertaken through the 2025 calendar year. Only one material non</w:t>
      </w:r>
      <w:r w:rsidR="00A656C8" w:rsidRPr="0067507D">
        <w:noBreakHyphen/>
      </w:r>
      <w:r w:rsidRPr="0067507D">
        <w:t>compliance was reported</w:t>
      </w:r>
      <w:r w:rsidR="00BC5A9E" w:rsidRPr="0067507D">
        <w:t xml:space="preserve"> across the portfolio departments and agencies monitored by DTF,</w:t>
      </w:r>
      <w:r w:rsidRPr="0067507D">
        <w:t xml:space="preserve"> and it has been remediated.</w:t>
      </w:r>
    </w:p>
    <w:p w14:paraId="4252917F" w14:textId="67B9097F" w:rsidR="005E6D06" w:rsidRPr="0067507D" w:rsidRDefault="005E6D06" w:rsidP="005E6D06">
      <w:pPr>
        <w:pStyle w:val="Normalbold"/>
      </w:pPr>
      <w:r w:rsidRPr="0067507D">
        <w:t xml:space="preserve">Objective Indicator 6: </w:t>
      </w:r>
      <w:r w:rsidR="009D4B85" w:rsidRPr="0067507D">
        <w:t>Advice contributes to the achievement of Government policies and priorities relating to optimising Victoria’s fiscal resources.</w:t>
      </w:r>
    </w:p>
    <w:p w14:paraId="74A49365" w14:textId="2F5B0B06" w:rsidR="005E6D06" w:rsidRPr="0067507D" w:rsidRDefault="005E6D06" w:rsidP="005E6D06">
      <w:pPr>
        <w:rPr>
          <w:rFonts w:eastAsia="VIC"/>
        </w:rPr>
      </w:pPr>
      <w:r w:rsidRPr="0067507D">
        <w:rPr>
          <w:rFonts w:eastAsia="VIC"/>
        </w:rPr>
        <w:t xml:space="preserve">DTF </w:t>
      </w:r>
      <w:r w:rsidRPr="0067507D" w:rsidDel="00D77A69">
        <w:rPr>
          <w:rFonts w:eastAsia="VIC"/>
        </w:rPr>
        <w:t xml:space="preserve">has </w:t>
      </w:r>
      <w:r w:rsidRPr="0067507D">
        <w:rPr>
          <w:rFonts w:eastAsia="VIC"/>
        </w:rPr>
        <w:t>provided high</w:t>
      </w:r>
      <w:r w:rsidR="006A5485">
        <w:rPr>
          <w:rFonts w:eastAsia="VIC"/>
        </w:rPr>
        <w:noBreakHyphen/>
      </w:r>
      <w:r w:rsidRPr="0067507D">
        <w:rPr>
          <w:rFonts w:eastAsia="VIC"/>
        </w:rPr>
        <w:t xml:space="preserve">quality and timely advice to </w:t>
      </w:r>
      <w:r w:rsidR="001D244E" w:rsidRPr="0067507D">
        <w:rPr>
          <w:rFonts w:eastAsia="VIC"/>
        </w:rPr>
        <w:t xml:space="preserve">the </w:t>
      </w:r>
      <w:r w:rsidRPr="0067507D">
        <w:rPr>
          <w:rFonts w:eastAsia="VIC"/>
        </w:rPr>
        <w:t xml:space="preserve">Government throughout the year to support the achievement of </w:t>
      </w:r>
      <w:r w:rsidR="001D244E" w:rsidRPr="0067507D">
        <w:rPr>
          <w:rFonts w:eastAsia="VIC"/>
        </w:rPr>
        <w:t>g</w:t>
      </w:r>
      <w:r w:rsidRPr="0067507D">
        <w:rPr>
          <w:rFonts w:eastAsia="VIC"/>
        </w:rPr>
        <w:t xml:space="preserve">overnment policies and priorities relating to optimising Victoria’s fiscal resources. </w:t>
      </w:r>
    </w:p>
    <w:p w14:paraId="6127D106" w14:textId="134C7E52" w:rsidR="00651688" w:rsidRPr="0067507D" w:rsidRDefault="009008E1" w:rsidP="005E6D06">
      <w:pPr>
        <w:rPr>
          <w:rFonts w:eastAsia="VIC"/>
          <w:szCs w:val="17"/>
        </w:rPr>
      </w:pPr>
      <w:r w:rsidRPr="0067507D">
        <w:t xml:space="preserve">The </w:t>
      </w:r>
      <w:r w:rsidR="00651688" w:rsidRPr="0067507D">
        <w:t xml:space="preserve">Department supported the </w:t>
      </w:r>
      <w:r w:rsidR="00733B0E" w:rsidRPr="0067507D">
        <w:rPr>
          <w:i/>
          <w:iCs/>
        </w:rPr>
        <w:t>2025</w:t>
      </w:r>
      <w:r w:rsidR="006A5485">
        <w:rPr>
          <w:i/>
          <w:iCs/>
        </w:rPr>
        <w:noBreakHyphen/>
      </w:r>
      <w:r w:rsidR="00733B0E" w:rsidRPr="0067507D">
        <w:rPr>
          <w:i/>
          <w:iCs/>
        </w:rPr>
        <w:t>26</w:t>
      </w:r>
      <w:r w:rsidR="00E16398" w:rsidRPr="0067507D">
        <w:rPr>
          <w:rFonts w:ascii="Calibri" w:hAnsi="Calibri" w:cs="Calibri"/>
          <w:i/>
          <w:iCs/>
        </w:rPr>
        <w:t> </w:t>
      </w:r>
      <w:r w:rsidR="00651688" w:rsidRPr="0067507D">
        <w:rPr>
          <w:i/>
          <w:iCs/>
        </w:rPr>
        <w:t>Budget</w:t>
      </w:r>
      <w:r w:rsidR="00651688" w:rsidRPr="0067507D">
        <w:t xml:space="preserve"> process by providing advice on budget bids, as well as highlighting accounting and financial reporting implications as relevant.</w:t>
      </w:r>
    </w:p>
    <w:p w14:paraId="26A8504C" w14:textId="43BACD67" w:rsidR="00F1138E" w:rsidRPr="0067507D" w:rsidRDefault="0077105A" w:rsidP="00B961E7">
      <w:pPr>
        <w:rPr>
          <w:rFonts w:eastAsia="VIC"/>
          <w:szCs w:val="17"/>
        </w:rPr>
      </w:pPr>
      <w:r w:rsidRPr="0067507D">
        <w:rPr>
          <w:rFonts w:eastAsia="VIC"/>
          <w:szCs w:val="17"/>
        </w:rPr>
        <w:t xml:space="preserve">The Department continued to advise </w:t>
      </w:r>
      <w:r w:rsidRPr="0067507D">
        <w:rPr>
          <w:rFonts w:eastAsia="VIC"/>
        </w:rPr>
        <w:t xml:space="preserve">on </w:t>
      </w:r>
      <w:r w:rsidRPr="0067507D">
        <w:rPr>
          <w:rFonts w:eastAsia="VIC"/>
          <w:szCs w:val="17"/>
        </w:rPr>
        <w:t>several projects across the sector, with contributi</w:t>
      </w:r>
      <w:r w:rsidR="00BD5545" w:rsidRPr="0067507D">
        <w:rPr>
          <w:rFonts w:eastAsia="VIC"/>
          <w:szCs w:val="17"/>
        </w:rPr>
        <w:t>on</w:t>
      </w:r>
      <w:r w:rsidRPr="0067507D">
        <w:rPr>
          <w:rFonts w:eastAsia="VIC"/>
          <w:szCs w:val="17"/>
        </w:rPr>
        <w:t xml:space="preserve"> to the development of proposals, specifically relating to the financial accounting implications of th</w:t>
      </w:r>
      <w:r w:rsidR="00355368" w:rsidRPr="0067507D">
        <w:rPr>
          <w:rFonts w:eastAsia="VIC"/>
          <w:szCs w:val="17"/>
        </w:rPr>
        <w:t>e</w:t>
      </w:r>
      <w:r w:rsidRPr="0067507D">
        <w:rPr>
          <w:rFonts w:eastAsia="VIC"/>
          <w:szCs w:val="17"/>
        </w:rPr>
        <w:t>se projects</w:t>
      </w:r>
      <w:r w:rsidR="00015CA4" w:rsidRPr="0067507D">
        <w:rPr>
          <w:rFonts w:eastAsia="VIC"/>
          <w:szCs w:val="17"/>
        </w:rPr>
        <w:t xml:space="preserve">. </w:t>
      </w:r>
      <w:r w:rsidR="00015CA4" w:rsidRPr="0067507D" w:rsidDel="00F16644">
        <w:rPr>
          <w:rFonts w:eastAsia="VIC"/>
          <w:szCs w:val="17"/>
        </w:rPr>
        <w:t xml:space="preserve">In addition, </w:t>
      </w:r>
      <w:r w:rsidR="00F1138E" w:rsidRPr="0067507D">
        <w:rPr>
          <w:rFonts w:eastAsia="VIC"/>
          <w:szCs w:val="17"/>
        </w:rPr>
        <w:t xml:space="preserve">advice </w:t>
      </w:r>
      <w:r w:rsidR="00015CA4" w:rsidRPr="0067507D">
        <w:rPr>
          <w:rFonts w:eastAsia="VIC"/>
          <w:szCs w:val="17"/>
        </w:rPr>
        <w:t>was</w:t>
      </w:r>
      <w:r w:rsidR="00F16644" w:rsidRPr="0067507D">
        <w:rPr>
          <w:rFonts w:eastAsia="VIC"/>
          <w:szCs w:val="17"/>
        </w:rPr>
        <w:t xml:space="preserve"> </w:t>
      </w:r>
      <w:r w:rsidR="00015CA4" w:rsidRPr="0067507D">
        <w:rPr>
          <w:rFonts w:eastAsia="VIC"/>
          <w:szCs w:val="17"/>
        </w:rPr>
        <w:t xml:space="preserve">provided </w:t>
      </w:r>
      <w:r w:rsidR="00F1138E" w:rsidRPr="0067507D">
        <w:rPr>
          <w:rFonts w:eastAsia="VIC"/>
          <w:szCs w:val="17"/>
        </w:rPr>
        <w:t>on the year</w:t>
      </w:r>
      <w:r w:rsidR="0099723E" w:rsidRPr="0067507D">
        <w:rPr>
          <w:rFonts w:eastAsia="VIC"/>
          <w:szCs w:val="17"/>
        </w:rPr>
        <w:noBreakHyphen/>
      </w:r>
      <w:r w:rsidR="00F1138E" w:rsidRPr="0067507D">
        <w:rPr>
          <w:rFonts w:eastAsia="VIC"/>
          <w:szCs w:val="17"/>
        </w:rPr>
        <w:t>end forecasting process</w:t>
      </w:r>
      <w:r w:rsidR="006F4C3D" w:rsidRPr="0067507D">
        <w:rPr>
          <w:rFonts w:eastAsia="VIC"/>
          <w:szCs w:val="17"/>
        </w:rPr>
        <w:t xml:space="preserve"> </w:t>
      </w:r>
      <w:r w:rsidR="006F4C3D" w:rsidRPr="0067507D" w:rsidDel="00F16644">
        <w:rPr>
          <w:rFonts w:eastAsia="VIC"/>
          <w:szCs w:val="17"/>
        </w:rPr>
        <w:t>in advance</w:t>
      </w:r>
      <w:r w:rsidR="006F4C3D" w:rsidRPr="0067507D">
        <w:rPr>
          <w:rFonts w:eastAsia="VIC"/>
          <w:szCs w:val="17"/>
        </w:rPr>
        <w:t xml:space="preserve"> </w:t>
      </w:r>
      <w:r w:rsidR="008640F2" w:rsidRPr="0067507D">
        <w:rPr>
          <w:rFonts w:eastAsia="VIC"/>
          <w:szCs w:val="17"/>
        </w:rPr>
        <w:t xml:space="preserve">of the </w:t>
      </w:r>
      <w:r w:rsidR="00C30F42" w:rsidRPr="0067507D">
        <w:rPr>
          <w:rFonts w:eastAsia="VIC"/>
          <w:i/>
          <w:iCs/>
          <w:szCs w:val="17"/>
        </w:rPr>
        <w:t>2024</w:t>
      </w:r>
      <w:r w:rsidR="006A5485">
        <w:rPr>
          <w:rFonts w:eastAsia="VIC"/>
          <w:i/>
          <w:iCs/>
          <w:szCs w:val="17"/>
        </w:rPr>
        <w:noBreakHyphen/>
      </w:r>
      <w:r w:rsidR="00C30F42" w:rsidRPr="0067507D">
        <w:rPr>
          <w:rFonts w:eastAsia="VIC"/>
          <w:i/>
          <w:iCs/>
          <w:szCs w:val="17"/>
        </w:rPr>
        <w:t>25</w:t>
      </w:r>
      <w:r w:rsidR="008640F2" w:rsidRPr="0067507D">
        <w:rPr>
          <w:rFonts w:eastAsia="VIC"/>
          <w:i/>
          <w:iCs/>
          <w:szCs w:val="17"/>
        </w:rPr>
        <w:t xml:space="preserve"> Annual Financial Report</w:t>
      </w:r>
      <w:r w:rsidR="000E2C64" w:rsidRPr="0067507D">
        <w:rPr>
          <w:rFonts w:eastAsia="VIC"/>
          <w:szCs w:val="17"/>
        </w:rPr>
        <w:t>,</w:t>
      </w:r>
      <w:r w:rsidR="008640F2" w:rsidRPr="0067507D">
        <w:rPr>
          <w:rFonts w:eastAsia="VIC"/>
          <w:szCs w:val="17"/>
        </w:rPr>
        <w:t xml:space="preserve"> </w:t>
      </w:r>
      <w:r w:rsidR="00B44C00" w:rsidRPr="0067507D">
        <w:rPr>
          <w:rFonts w:eastAsia="VIC"/>
          <w:szCs w:val="17"/>
        </w:rPr>
        <w:t>specifically</w:t>
      </w:r>
      <w:r w:rsidR="008640F2" w:rsidRPr="0067507D">
        <w:rPr>
          <w:rFonts w:eastAsia="VIC"/>
          <w:szCs w:val="17"/>
        </w:rPr>
        <w:t xml:space="preserve"> in relation to meeting the objective of step 2 of the </w:t>
      </w:r>
      <w:r w:rsidR="00D90C98" w:rsidRPr="0067507D">
        <w:rPr>
          <w:rFonts w:eastAsia="VIC"/>
          <w:szCs w:val="17"/>
        </w:rPr>
        <w:t>G</w:t>
      </w:r>
      <w:r w:rsidR="008640F2" w:rsidRPr="0067507D">
        <w:rPr>
          <w:rFonts w:eastAsia="VIC"/>
          <w:szCs w:val="17"/>
        </w:rPr>
        <w:t xml:space="preserve">overnment’s fiscal strategy of an operating cash surplus in </w:t>
      </w:r>
      <w:r w:rsidR="00C30F42" w:rsidRPr="0067507D">
        <w:rPr>
          <w:rFonts w:eastAsia="VIC"/>
          <w:szCs w:val="17"/>
        </w:rPr>
        <w:t>2024</w:t>
      </w:r>
      <w:r w:rsidR="00D90C98" w:rsidRPr="0067507D">
        <w:rPr>
          <w:rFonts w:eastAsia="VIC"/>
          <w:szCs w:val="17"/>
        </w:rPr>
        <w:noBreakHyphen/>
      </w:r>
      <w:r w:rsidR="00C30F42" w:rsidRPr="0067507D">
        <w:rPr>
          <w:rFonts w:eastAsia="VIC"/>
          <w:szCs w:val="17"/>
        </w:rPr>
        <w:t>25</w:t>
      </w:r>
      <w:r w:rsidR="00C9412E" w:rsidRPr="0067507D">
        <w:rPr>
          <w:rFonts w:eastAsia="VIC"/>
          <w:szCs w:val="17"/>
        </w:rPr>
        <w:t>.</w:t>
      </w:r>
      <w:r w:rsidR="001606DE" w:rsidRPr="0067507D">
        <w:rPr>
          <w:rFonts w:eastAsia="VIC"/>
          <w:szCs w:val="17"/>
        </w:rPr>
        <w:t xml:space="preserve"> </w:t>
      </w:r>
    </w:p>
    <w:p w14:paraId="1FD953C7" w14:textId="77777777" w:rsidR="005E6D06" w:rsidRPr="0067507D" w:rsidRDefault="005E6D06" w:rsidP="005E6D06"/>
    <w:p w14:paraId="51CBAB76" w14:textId="7F62A425" w:rsidR="005E6D06" w:rsidRPr="0067507D" w:rsidRDefault="005E6D06" w:rsidP="005E6D06">
      <w:pPr>
        <w:sectPr w:rsidR="005E6D06" w:rsidRPr="0067507D" w:rsidSect="008F04CA">
          <w:footerReference w:type="even" r:id="rId47"/>
          <w:footerReference w:type="default" r:id="rId48"/>
          <w:type w:val="continuous"/>
          <w:pgSz w:w="11909" w:h="16834" w:code="9"/>
          <w:pgMar w:top="1728" w:right="1152" w:bottom="1152" w:left="1152" w:header="720" w:footer="288" w:gutter="0"/>
          <w:cols w:num="2" w:space="720"/>
          <w:noEndnote/>
        </w:sectPr>
      </w:pPr>
    </w:p>
    <w:p w14:paraId="0D7DA636" w14:textId="2E98F21B" w:rsidR="005E6D06" w:rsidRPr="0067507D" w:rsidRDefault="005E6D06" w:rsidP="005E6D06">
      <w:pPr>
        <w:pStyle w:val="Tableheading"/>
        <w:rPr>
          <w:color w:val="auto"/>
        </w:rPr>
      </w:pPr>
      <w:bookmarkStart w:id="25" w:name="_Hlk83024607"/>
      <w:r w:rsidRPr="0067507D">
        <w:rPr>
          <w:color w:val="auto"/>
        </w:rPr>
        <w:t xml:space="preserve">Table 1 – Progress towards objective – </w:t>
      </w:r>
      <w:r w:rsidR="00EE6E9F" w:rsidRPr="0067507D">
        <w:rPr>
          <w:color w:val="auto"/>
        </w:rPr>
        <w:t xml:space="preserve">Optimise </w:t>
      </w:r>
      <w:r w:rsidRPr="0067507D">
        <w:rPr>
          <w:color w:val="auto"/>
        </w:rPr>
        <w:t>Victoria’s fiscal resources</w:t>
      </w:r>
    </w:p>
    <w:tbl>
      <w:tblPr>
        <w:tblStyle w:val="AnnualReportfinancialtable"/>
        <w:tblW w:w="8879" w:type="dxa"/>
        <w:tblInd w:w="-90" w:type="dxa"/>
        <w:tblLayout w:type="fixed"/>
        <w:tblLook w:val="00A0" w:firstRow="1" w:lastRow="0" w:firstColumn="1" w:lastColumn="0" w:noHBand="0" w:noVBand="0"/>
      </w:tblPr>
      <w:tblGrid>
        <w:gridCol w:w="3715"/>
        <w:gridCol w:w="1032"/>
        <w:gridCol w:w="1033"/>
        <w:gridCol w:w="1033"/>
        <w:gridCol w:w="1033"/>
        <w:gridCol w:w="1033"/>
      </w:tblGrid>
      <w:tr w:rsidR="00A86107" w:rsidRPr="0067507D" w14:paraId="364C079C" w14:textId="24ED4ED4" w:rsidTr="00CC34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15" w:type="dxa"/>
          </w:tcPr>
          <w:p w14:paraId="285E1F04" w14:textId="77777777" w:rsidR="00DE7674" w:rsidRPr="0067507D" w:rsidRDefault="00DE7674" w:rsidP="00DE7674">
            <w:pPr>
              <w:pStyle w:val="Tabletextheadingleft"/>
            </w:pPr>
            <w:r w:rsidRPr="0067507D">
              <w:rPr>
                <w:rFonts w:cstheme="minorHAnsi"/>
              </w:rPr>
              <w:t>Indicator</w:t>
            </w:r>
          </w:p>
        </w:tc>
        <w:tc>
          <w:tcPr>
            <w:cnfStyle w:val="000010000000" w:firstRow="0" w:lastRow="0" w:firstColumn="0" w:lastColumn="0" w:oddVBand="1" w:evenVBand="0" w:oddHBand="0" w:evenHBand="0" w:firstRowFirstColumn="0" w:firstRowLastColumn="0" w:lastRowFirstColumn="0" w:lastRowLastColumn="0"/>
            <w:tcW w:w="1032" w:type="dxa"/>
            <w:shd w:val="clear" w:color="auto" w:fill="E0E0E0"/>
          </w:tcPr>
          <w:p w14:paraId="3DD8952D" w14:textId="77777777" w:rsidR="00DE7674" w:rsidRPr="0067507D" w:rsidRDefault="00DE7674" w:rsidP="00DE7674">
            <w:pPr>
              <w:pStyle w:val="Tabletextheadingcentred"/>
            </w:pPr>
            <w:r w:rsidRPr="0067507D">
              <w:t xml:space="preserve">Unit of </w:t>
            </w:r>
            <w:r w:rsidRPr="0067507D">
              <w:br/>
              <w:t>measure</w:t>
            </w:r>
          </w:p>
        </w:tc>
        <w:tc>
          <w:tcPr>
            <w:cnfStyle w:val="000001000000" w:firstRow="0" w:lastRow="0" w:firstColumn="0" w:lastColumn="0" w:oddVBand="0" w:evenVBand="1" w:oddHBand="0" w:evenHBand="0" w:firstRowFirstColumn="0" w:firstRowLastColumn="0" w:lastRowFirstColumn="0" w:lastRowLastColumn="0"/>
            <w:tcW w:w="1033" w:type="dxa"/>
          </w:tcPr>
          <w:p w14:paraId="787981CA" w14:textId="2FEF7E65" w:rsidR="00DE7674" w:rsidRPr="0067507D" w:rsidRDefault="00C30F42" w:rsidP="00DE7674">
            <w:pPr>
              <w:pStyle w:val="Tabletextheadingright"/>
              <w:rPr>
                <w:rFonts w:cstheme="minorBidi"/>
              </w:rPr>
            </w:pPr>
            <w:r w:rsidRPr="0067507D">
              <w:rPr>
                <w:rFonts w:cstheme="minorHAnsi"/>
              </w:rPr>
              <w:t>2021</w:t>
            </w:r>
            <w:r w:rsidR="006A5485">
              <w:rPr>
                <w:rFonts w:cstheme="minorHAnsi"/>
              </w:rPr>
              <w:noBreakHyphen/>
            </w:r>
            <w:r w:rsidRPr="0067507D">
              <w:rPr>
                <w:rFonts w:cstheme="minorHAnsi"/>
              </w:rPr>
              <w:t>22</w:t>
            </w:r>
            <w:r w:rsidR="00DE7674" w:rsidRPr="0067507D">
              <w:rPr>
                <w:rFonts w:cstheme="minorHAnsi"/>
              </w:rPr>
              <w:br/>
              <w:t>actual</w:t>
            </w:r>
          </w:p>
        </w:tc>
        <w:tc>
          <w:tcPr>
            <w:cnfStyle w:val="000010000000" w:firstRow="0" w:lastRow="0" w:firstColumn="0" w:lastColumn="0" w:oddVBand="1" w:evenVBand="0" w:oddHBand="0" w:evenHBand="0" w:firstRowFirstColumn="0" w:firstRowLastColumn="0" w:lastRowFirstColumn="0" w:lastRowLastColumn="0"/>
            <w:tcW w:w="1033" w:type="dxa"/>
            <w:shd w:val="clear" w:color="auto" w:fill="E0E0E0"/>
          </w:tcPr>
          <w:p w14:paraId="68750F10" w14:textId="0C5CDFC7" w:rsidR="00DE7674" w:rsidRPr="0067507D" w:rsidRDefault="00C30F42" w:rsidP="00DE7674">
            <w:pPr>
              <w:pStyle w:val="Tabletextheadingright"/>
              <w:rPr>
                <w:sz w:val="15"/>
                <w:szCs w:val="18"/>
              </w:rPr>
            </w:pPr>
            <w:r w:rsidRPr="0067507D">
              <w:rPr>
                <w:rFonts w:cstheme="minorHAnsi"/>
              </w:rPr>
              <w:t>2022</w:t>
            </w:r>
            <w:r w:rsidR="006A5485">
              <w:rPr>
                <w:rFonts w:cstheme="minorHAnsi"/>
              </w:rPr>
              <w:noBreakHyphen/>
            </w:r>
            <w:r w:rsidRPr="0067507D">
              <w:rPr>
                <w:rFonts w:cstheme="minorHAnsi"/>
              </w:rPr>
              <w:t>23</w:t>
            </w:r>
            <w:r w:rsidR="00DE7674" w:rsidRPr="0067507D">
              <w:rPr>
                <w:rFonts w:cstheme="minorHAnsi"/>
              </w:rPr>
              <w:br/>
              <w:t>actual</w:t>
            </w:r>
          </w:p>
        </w:tc>
        <w:tc>
          <w:tcPr>
            <w:cnfStyle w:val="000001000000" w:firstRow="0" w:lastRow="0" w:firstColumn="0" w:lastColumn="0" w:oddVBand="0" w:evenVBand="1" w:oddHBand="0" w:evenHBand="0" w:firstRowFirstColumn="0" w:firstRowLastColumn="0" w:lastRowFirstColumn="0" w:lastRowLastColumn="0"/>
            <w:tcW w:w="1033" w:type="dxa"/>
          </w:tcPr>
          <w:p w14:paraId="6DCFD7F7" w14:textId="707878C5" w:rsidR="00DE7674" w:rsidRPr="0067507D" w:rsidRDefault="00C30F42" w:rsidP="00DE7674">
            <w:pPr>
              <w:pStyle w:val="Tabletextheadingright"/>
              <w:rPr>
                <w:rFonts w:cstheme="minorBidi"/>
              </w:rPr>
            </w:pPr>
            <w:r w:rsidRPr="0067507D">
              <w:rPr>
                <w:rFonts w:cstheme="minorHAnsi"/>
              </w:rPr>
              <w:t>2023</w:t>
            </w:r>
            <w:r w:rsidR="006A5485">
              <w:rPr>
                <w:rFonts w:cstheme="minorHAnsi"/>
              </w:rPr>
              <w:noBreakHyphen/>
            </w:r>
            <w:r w:rsidRPr="0067507D">
              <w:rPr>
                <w:rFonts w:cstheme="minorHAnsi"/>
              </w:rPr>
              <w:t>24</w:t>
            </w:r>
            <w:r w:rsidR="00DE7674" w:rsidRPr="0067507D">
              <w:rPr>
                <w:rFonts w:cstheme="minorHAnsi"/>
              </w:rPr>
              <w:br/>
              <w:t>actual</w:t>
            </w:r>
          </w:p>
        </w:tc>
        <w:tc>
          <w:tcPr>
            <w:cnfStyle w:val="000010000000" w:firstRow="0" w:lastRow="0" w:firstColumn="0" w:lastColumn="0" w:oddVBand="1" w:evenVBand="0" w:oddHBand="0" w:evenHBand="0" w:firstRowFirstColumn="0" w:firstRowLastColumn="0" w:lastRowFirstColumn="0" w:lastRowLastColumn="0"/>
            <w:tcW w:w="1033" w:type="dxa"/>
            <w:shd w:val="clear" w:color="auto" w:fill="E0E0E0"/>
          </w:tcPr>
          <w:p w14:paraId="599D01EF" w14:textId="0E5579AA" w:rsidR="00DE7674" w:rsidRPr="0067507D" w:rsidRDefault="00C30F42" w:rsidP="00DE7674">
            <w:pPr>
              <w:pStyle w:val="Tabletextheadingright"/>
              <w:rPr>
                <w:rFonts w:cstheme="minorBidi"/>
              </w:rPr>
            </w:pPr>
            <w:r w:rsidRPr="0067507D">
              <w:rPr>
                <w:rFonts w:cstheme="minorHAnsi"/>
              </w:rPr>
              <w:t>2024</w:t>
            </w:r>
            <w:r w:rsidR="006A5485">
              <w:rPr>
                <w:rFonts w:cstheme="minorHAnsi"/>
              </w:rPr>
              <w:noBreakHyphen/>
            </w:r>
            <w:r w:rsidRPr="0067507D">
              <w:rPr>
                <w:rFonts w:cstheme="minorHAnsi"/>
              </w:rPr>
              <w:t>25</w:t>
            </w:r>
            <w:r w:rsidR="00DE7674" w:rsidRPr="0067507D">
              <w:rPr>
                <w:rFonts w:cstheme="minorHAnsi"/>
              </w:rPr>
              <w:br/>
              <w:t>actual</w:t>
            </w:r>
          </w:p>
        </w:tc>
      </w:tr>
      <w:tr w:rsidR="00E26BDE" w:rsidRPr="0067507D" w14:paraId="35779FA5" w14:textId="7C6BEAFA" w:rsidTr="00CC3462">
        <w:tc>
          <w:tcPr>
            <w:cnfStyle w:val="001000000000" w:firstRow="0" w:lastRow="0" w:firstColumn="1" w:lastColumn="0" w:oddVBand="0" w:evenVBand="0" w:oddHBand="0" w:evenHBand="0" w:firstRowFirstColumn="0" w:firstRowLastColumn="0" w:lastRowFirstColumn="0" w:lastRowLastColumn="0"/>
            <w:tcW w:w="3715" w:type="dxa"/>
          </w:tcPr>
          <w:p w14:paraId="1DCCB4F4" w14:textId="5820F804" w:rsidR="00DE7674" w:rsidRPr="0067507D" w:rsidRDefault="003340AF" w:rsidP="00C96289">
            <w:pPr>
              <w:pStyle w:val="Tabletext"/>
              <w:spacing w:before="20" w:after="20"/>
            </w:pPr>
            <w:r w:rsidRPr="0067507D">
              <w:t>A net operating cash surplus consistent with maintaining general government net debt at a sustainable level</w:t>
            </w:r>
          </w:p>
        </w:tc>
        <w:tc>
          <w:tcPr>
            <w:cnfStyle w:val="000010000000" w:firstRow="0" w:lastRow="0" w:firstColumn="0" w:lastColumn="0" w:oddVBand="1" w:evenVBand="0" w:oddHBand="0" w:evenHBand="0" w:firstRowFirstColumn="0" w:firstRowLastColumn="0" w:lastRowFirstColumn="0" w:lastRowLastColumn="0"/>
            <w:tcW w:w="1032" w:type="dxa"/>
          </w:tcPr>
          <w:p w14:paraId="5146C0D8" w14:textId="77777777" w:rsidR="00DE7674" w:rsidRPr="0067507D" w:rsidRDefault="00DE7674" w:rsidP="00C96289">
            <w:pPr>
              <w:pStyle w:val="Tabletextcentred"/>
              <w:spacing w:before="20" w:after="20"/>
            </w:pPr>
            <w:r w:rsidRPr="0067507D">
              <w:rPr>
                <w:rFonts w:cstheme="minorHAnsi"/>
              </w:rPr>
              <w:t>$</w:t>
            </w:r>
            <w:r w:rsidRPr="0067507D">
              <w:rPr>
                <w:rFonts w:ascii="Calibri" w:hAnsi="Calibri" w:cs="Calibri"/>
              </w:rPr>
              <w:t> </w:t>
            </w:r>
            <w:r w:rsidRPr="0067507D">
              <w:rPr>
                <w:rFonts w:cs="Segoe UI"/>
              </w:rPr>
              <w:t>billion</w:t>
            </w:r>
          </w:p>
        </w:tc>
        <w:tc>
          <w:tcPr>
            <w:cnfStyle w:val="000001000000" w:firstRow="0" w:lastRow="0" w:firstColumn="0" w:lastColumn="0" w:oddVBand="0" w:evenVBand="1" w:oddHBand="0" w:evenHBand="0" w:firstRowFirstColumn="0" w:firstRowLastColumn="0" w:lastRowFirstColumn="0" w:lastRowLastColumn="0"/>
            <w:tcW w:w="1033" w:type="dxa"/>
          </w:tcPr>
          <w:p w14:paraId="3CE735D7" w14:textId="42991ADB" w:rsidR="00DE7674" w:rsidRPr="0067507D" w:rsidRDefault="00920FAD" w:rsidP="00C96289">
            <w:pPr>
              <w:pStyle w:val="Tabletextright"/>
              <w:spacing w:before="20" w:after="20"/>
            </w:pPr>
            <w:r w:rsidRPr="0067507D">
              <w:t>(8.86)</w:t>
            </w:r>
          </w:p>
        </w:tc>
        <w:tc>
          <w:tcPr>
            <w:cnfStyle w:val="000010000000" w:firstRow="0" w:lastRow="0" w:firstColumn="0" w:lastColumn="0" w:oddVBand="1" w:evenVBand="0" w:oddHBand="0" w:evenHBand="0" w:firstRowFirstColumn="0" w:firstRowLastColumn="0" w:lastRowFirstColumn="0" w:lastRowLastColumn="0"/>
            <w:tcW w:w="1033" w:type="dxa"/>
          </w:tcPr>
          <w:p w14:paraId="0D094FF3" w14:textId="61DE0712" w:rsidR="00DE7674" w:rsidRPr="0067507D" w:rsidRDefault="00CD0F27" w:rsidP="00C96289">
            <w:pPr>
              <w:pStyle w:val="Tabletextright"/>
              <w:spacing w:before="20" w:after="20"/>
            </w:pPr>
            <w:r w:rsidRPr="0067507D">
              <w:t>4.25</w:t>
            </w:r>
          </w:p>
        </w:tc>
        <w:tc>
          <w:tcPr>
            <w:cnfStyle w:val="000001000000" w:firstRow="0" w:lastRow="0" w:firstColumn="0" w:lastColumn="0" w:oddVBand="0" w:evenVBand="1" w:oddHBand="0" w:evenHBand="0" w:firstRowFirstColumn="0" w:firstRowLastColumn="0" w:lastRowFirstColumn="0" w:lastRowLastColumn="0"/>
            <w:tcW w:w="1033" w:type="dxa"/>
          </w:tcPr>
          <w:p w14:paraId="394CE4C2" w14:textId="2D18D548" w:rsidR="00DE7674" w:rsidRPr="0067507D" w:rsidRDefault="00CD0F27" w:rsidP="00C96289">
            <w:pPr>
              <w:pStyle w:val="Tabletextright"/>
              <w:spacing w:before="20" w:after="20"/>
            </w:pPr>
            <w:r w:rsidRPr="0067507D">
              <w:t>2.62</w:t>
            </w:r>
          </w:p>
        </w:tc>
        <w:tc>
          <w:tcPr>
            <w:cnfStyle w:val="000010000000" w:firstRow="0" w:lastRow="0" w:firstColumn="0" w:lastColumn="0" w:oddVBand="1" w:evenVBand="0" w:oddHBand="0" w:evenHBand="0" w:firstRowFirstColumn="0" w:firstRowLastColumn="0" w:lastRowFirstColumn="0" w:lastRowLastColumn="0"/>
            <w:tcW w:w="1033" w:type="dxa"/>
          </w:tcPr>
          <w:p w14:paraId="55F0CB41" w14:textId="23EEB551" w:rsidR="00DE7674" w:rsidRPr="0067507D" w:rsidRDefault="00653958" w:rsidP="00C96289">
            <w:pPr>
              <w:pStyle w:val="Tabletextright"/>
              <w:spacing w:before="20" w:after="20"/>
            </w:pPr>
            <w:r w:rsidRPr="0067507D">
              <w:t>3.2</w:t>
            </w:r>
          </w:p>
        </w:tc>
      </w:tr>
      <w:tr w:rsidR="00E26BDE" w:rsidRPr="0067507D" w14:paraId="030DD879" w14:textId="6D2205FF" w:rsidTr="00CC3462">
        <w:tc>
          <w:tcPr>
            <w:cnfStyle w:val="001000000000" w:firstRow="0" w:lastRow="0" w:firstColumn="1" w:lastColumn="0" w:oddVBand="0" w:evenVBand="0" w:oddHBand="0" w:evenHBand="0" w:firstRowFirstColumn="0" w:firstRowLastColumn="0" w:lastRowFirstColumn="0" w:lastRowLastColumn="0"/>
            <w:tcW w:w="3715" w:type="dxa"/>
          </w:tcPr>
          <w:p w14:paraId="493459ED" w14:textId="149AB53F" w:rsidR="00DE7674" w:rsidRPr="0067507D" w:rsidRDefault="0063062F" w:rsidP="00C96289">
            <w:pPr>
              <w:pStyle w:val="Tabletext"/>
              <w:spacing w:before="20" w:after="20"/>
              <w:rPr>
                <w:vertAlign w:val="superscript"/>
              </w:rPr>
            </w:pPr>
            <w:r w:rsidRPr="0067507D">
              <w:t xml:space="preserve">General government net debt as a percentage of GSP to stabilise </w:t>
            </w:r>
            <w:r w:rsidR="009D70BB" w:rsidRPr="0067507D">
              <w:t xml:space="preserve">and reduce </w:t>
            </w:r>
            <w:r w:rsidRPr="0067507D">
              <w:t>in the medium term</w:t>
            </w:r>
            <w:r w:rsidRPr="0067507D">
              <w:rPr>
                <w:vertAlign w:val="superscript"/>
              </w:rPr>
              <w:t xml:space="preserve"> </w:t>
            </w:r>
            <w:r w:rsidR="00DE7674"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032" w:type="dxa"/>
          </w:tcPr>
          <w:p w14:paraId="786AC2E5" w14:textId="77777777" w:rsidR="00DE7674" w:rsidRPr="0067507D" w:rsidRDefault="00DE7674" w:rsidP="00C96289">
            <w:pPr>
              <w:pStyle w:val="Tabletextcentred"/>
              <w:spacing w:before="20" w:after="20"/>
            </w:pPr>
            <w:r w:rsidRPr="0067507D">
              <w:rPr>
                <w:rFonts w:cstheme="minorHAnsi"/>
              </w:rPr>
              <w:t>per cent</w:t>
            </w:r>
          </w:p>
        </w:tc>
        <w:tc>
          <w:tcPr>
            <w:cnfStyle w:val="000001000000" w:firstRow="0" w:lastRow="0" w:firstColumn="0" w:lastColumn="0" w:oddVBand="0" w:evenVBand="1" w:oddHBand="0" w:evenHBand="0" w:firstRowFirstColumn="0" w:firstRowLastColumn="0" w:lastRowFirstColumn="0" w:lastRowLastColumn="0"/>
            <w:tcW w:w="1033" w:type="dxa"/>
          </w:tcPr>
          <w:p w14:paraId="036EBD83" w14:textId="1D9ECAB8" w:rsidR="00DE7674" w:rsidRPr="0067507D" w:rsidRDefault="001438AB" w:rsidP="00C96289">
            <w:pPr>
              <w:pStyle w:val="Tabletextright"/>
              <w:spacing w:before="20" w:after="20"/>
            </w:pPr>
            <w:r w:rsidRPr="0067507D">
              <w:t>19.</w:t>
            </w:r>
            <w:r w:rsidR="00FE7BF9" w:rsidRPr="0067507D">
              <w:t>1</w:t>
            </w:r>
          </w:p>
        </w:tc>
        <w:tc>
          <w:tcPr>
            <w:cnfStyle w:val="000010000000" w:firstRow="0" w:lastRow="0" w:firstColumn="0" w:lastColumn="0" w:oddVBand="1" w:evenVBand="0" w:oddHBand="0" w:evenHBand="0" w:firstRowFirstColumn="0" w:firstRowLastColumn="0" w:lastRowFirstColumn="0" w:lastRowLastColumn="0"/>
            <w:tcW w:w="1033" w:type="dxa"/>
          </w:tcPr>
          <w:p w14:paraId="4A6902C9" w14:textId="6F4336A5" w:rsidR="00DE7674" w:rsidRPr="0067507D" w:rsidRDefault="00CD0F27" w:rsidP="00C96289">
            <w:pPr>
              <w:pStyle w:val="Tabletextright"/>
              <w:spacing w:before="20" w:after="20"/>
            </w:pPr>
            <w:r w:rsidRPr="0067507D">
              <w:t>20.</w:t>
            </w:r>
            <w:r w:rsidR="00FE7BF9" w:rsidRPr="0067507D">
              <w:t>1</w:t>
            </w:r>
          </w:p>
        </w:tc>
        <w:tc>
          <w:tcPr>
            <w:cnfStyle w:val="000001000000" w:firstRow="0" w:lastRow="0" w:firstColumn="0" w:lastColumn="0" w:oddVBand="0" w:evenVBand="1" w:oddHBand="0" w:evenHBand="0" w:firstRowFirstColumn="0" w:firstRowLastColumn="0" w:lastRowFirstColumn="0" w:lastRowLastColumn="0"/>
            <w:tcW w:w="1033" w:type="dxa"/>
          </w:tcPr>
          <w:p w14:paraId="399CBBB3" w14:textId="42F51717" w:rsidR="00DE7674" w:rsidRPr="0067507D" w:rsidRDefault="00FE7BF9" w:rsidP="00C96289">
            <w:pPr>
              <w:pStyle w:val="Tabletextright"/>
              <w:spacing w:before="20" w:after="20"/>
            </w:pPr>
            <w:r w:rsidRPr="0067507D">
              <w:t>22.0</w:t>
            </w:r>
          </w:p>
        </w:tc>
        <w:tc>
          <w:tcPr>
            <w:cnfStyle w:val="000010000000" w:firstRow="0" w:lastRow="0" w:firstColumn="0" w:lastColumn="0" w:oddVBand="1" w:evenVBand="0" w:oddHBand="0" w:evenHBand="0" w:firstRowFirstColumn="0" w:firstRowLastColumn="0" w:lastRowFirstColumn="0" w:lastRowLastColumn="0"/>
            <w:tcW w:w="1033" w:type="dxa"/>
          </w:tcPr>
          <w:p w14:paraId="4CD9A455" w14:textId="51812D08" w:rsidR="00DE7674" w:rsidRPr="0067507D" w:rsidRDefault="00DC3D2B" w:rsidP="00C96289">
            <w:pPr>
              <w:pStyle w:val="Tabletextright"/>
              <w:spacing w:before="20" w:after="20"/>
            </w:pPr>
            <w:r w:rsidRPr="0067507D">
              <w:t>23.8</w:t>
            </w:r>
          </w:p>
        </w:tc>
      </w:tr>
      <w:tr w:rsidR="00E26BDE" w:rsidRPr="0067507D" w14:paraId="4F21A2E0" w14:textId="77777777" w:rsidTr="00CC3462">
        <w:tc>
          <w:tcPr>
            <w:cnfStyle w:val="001000000000" w:firstRow="0" w:lastRow="0" w:firstColumn="1" w:lastColumn="0" w:oddVBand="0" w:evenVBand="0" w:oddHBand="0" w:evenHBand="0" w:firstRowFirstColumn="0" w:firstRowLastColumn="0" w:lastRowFirstColumn="0" w:lastRowLastColumn="0"/>
            <w:tcW w:w="3715" w:type="dxa"/>
          </w:tcPr>
          <w:p w14:paraId="262BC038" w14:textId="4D86A79B" w:rsidR="00DE7674" w:rsidRPr="0067507D" w:rsidRDefault="00E842A9" w:rsidP="00C96289">
            <w:pPr>
              <w:pStyle w:val="Tabletext"/>
              <w:spacing w:before="20" w:after="20"/>
            </w:pPr>
            <w:r w:rsidRPr="0067507D">
              <w:t xml:space="preserve">General government </w:t>
            </w:r>
            <w:r w:rsidR="009A37EF" w:rsidRPr="0067507D">
              <w:t>interest expense as a percentage of revenue to stab</w:t>
            </w:r>
            <w:r w:rsidR="000137F6" w:rsidRPr="0067507D">
              <w:t>ilise in the medium term</w:t>
            </w:r>
          </w:p>
        </w:tc>
        <w:tc>
          <w:tcPr>
            <w:cnfStyle w:val="000010000000" w:firstRow="0" w:lastRow="0" w:firstColumn="0" w:lastColumn="0" w:oddVBand="1" w:evenVBand="0" w:oddHBand="0" w:evenHBand="0" w:firstRowFirstColumn="0" w:firstRowLastColumn="0" w:lastRowFirstColumn="0" w:lastRowLastColumn="0"/>
            <w:tcW w:w="1032" w:type="dxa"/>
          </w:tcPr>
          <w:p w14:paraId="7779DF76" w14:textId="5FB0918B" w:rsidR="00DE7674" w:rsidRPr="0067507D" w:rsidRDefault="00DE7674" w:rsidP="00C96289">
            <w:pPr>
              <w:pStyle w:val="Tabletextcentred"/>
              <w:spacing w:before="20" w:after="20"/>
              <w:rPr>
                <w:rFonts w:cstheme="minorHAnsi"/>
              </w:rPr>
            </w:pPr>
            <w:r w:rsidRPr="0067507D">
              <w:rPr>
                <w:rFonts w:cstheme="minorHAnsi"/>
              </w:rPr>
              <w:t>per cent</w:t>
            </w:r>
          </w:p>
        </w:tc>
        <w:tc>
          <w:tcPr>
            <w:cnfStyle w:val="000001000000" w:firstRow="0" w:lastRow="0" w:firstColumn="0" w:lastColumn="0" w:oddVBand="0" w:evenVBand="1" w:oddHBand="0" w:evenHBand="0" w:firstRowFirstColumn="0" w:firstRowLastColumn="0" w:lastRowFirstColumn="0" w:lastRowLastColumn="0"/>
            <w:tcW w:w="1033" w:type="dxa"/>
          </w:tcPr>
          <w:p w14:paraId="197E97C6" w14:textId="5A1F47DD" w:rsidR="00DE7674" w:rsidRPr="0067507D" w:rsidRDefault="001438AB" w:rsidP="00C96289">
            <w:pPr>
              <w:pStyle w:val="Tabletextright"/>
              <w:spacing w:before="20" w:after="20"/>
            </w:pPr>
            <w:r w:rsidRPr="0067507D">
              <w:t>3.5</w:t>
            </w:r>
          </w:p>
        </w:tc>
        <w:tc>
          <w:tcPr>
            <w:cnfStyle w:val="000010000000" w:firstRow="0" w:lastRow="0" w:firstColumn="0" w:lastColumn="0" w:oddVBand="1" w:evenVBand="0" w:oddHBand="0" w:evenHBand="0" w:firstRowFirstColumn="0" w:firstRowLastColumn="0" w:lastRowFirstColumn="0" w:lastRowLastColumn="0"/>
            <w:tcW w:w="1033" w:type="dxa"/>
          </w:tcPr>
          <w:p w14:paraId="28913B9B" w14:textId="4FC02D2E" w:rsidR="00DE7674" w:rsidRPr="0067507D" w:rsidRDefault="00CD0F27" w:rsidP="00C96289">
            <w:pPr>
              <w:pStyle w:val="Tabletextright"/>
              <w:spacing w:before="20" w:after="20"/>
            </w:pPr>
            <w:r w:rsidRPr="0067507D">
              <w:t>4.7</w:t>
            </w:r>
          </w:p>
        </w:tc>
        <w:tc>
          <w:tcPr>
            <w:cnfStyle w:val="000001000000" w:firstRow="0" w:lastRow="0" w:firstColumn="0" w:lastColumn="0" w:oddVBand="0" w:evenVBand="1" w:oddHBand="0" w:evenHBand="0" w:firstRowFirstColumn="0" w:firstRowLastColumn="0" w:lastRowFirstColumn="0" w:lastRowLastColumn="0"/>
            <w:tcW w:w="1033" w:type="dxa"/>
          </w:tcPr>
          <w:p w14:paraId="66A87762" w14:textId="2E971143" w:rsidR="00DE7674" w:rsidRPr="0067507D" w:rsidRDefault="00440221" w:rsidP="00C96289">
            <w:pPr>
              <w:pStyle w:val="Tabletextright"/>
              <w:spacing w:before="20" w:after="20"/>
            </w:pPr>
            <w:r w:rsidRPr="0067507D">
              <w:t>6.1</w:t>
            </w:r>
          </w:p>
        </w:tc>
        <w:tc>
          <w:tcPr>
            <w:cnfStyle w:val="000010000000" w:firstRow="0" w:lastRow="0" w:firstColumn="0" w:lastColumn="0" w:oddVBand="1" w:evenVBand="0" w:oddHBand="0" w:evenHBand="0" w:firstRowFirstColumn="0" w:firstRowLastColumn="0" w:lastRowFirstColumn="0" w:lastRowLastColumn="0"/>
            <w:tcW w:w="1033" w:type="dxa"/>
          </w:tcPr>
          <w:p w14:paraId="67F8CEC7" w14:textId="42339EDA" w:rsidR="00DE7674" w:rsidRPr="0067507D" w:rsidRDefault="002C4EDC" w:rsidP="00C96289">
            <w:pPr>
              <w:pStyle w:val="Tabletextright"/>
              <w:spacing w:before="20" w:after="20"/>
            </w:pPr>
            <w:r w:rsidRPr="0067507D">
              <w:t>6.7</w:t>
            </w:r>
          </w:p>
        </w:tc>
      </w:tr>
    </w:tbl>
    <w:p w14:paraId="453639F4" w14:textId="0841CA96" w:rsidR="005E6D06" w:rsidRPr="0067507D" w:rsidRDefault="005E6D06" w:rsidP="005E6D06">
      <w:pPr>
        <w:pStyle w:val="Notes"/>
      </w:pPr>
      <w:r w:rsidRPr="0067507D">
        <w:t>Note:</w:t>
      </w:r>
    </w:p>
    <w:p w14:paraId="35EFD775" w14:textId="3E6A87C6" w:rsidR="005E6D06" w:rsidRPr="0067507D" w:rsidRDefault="005E6D06" w:rsidP="00BA0B22">
      <w:pPr>
        <w:pStyle w:val="Notes"/>
      </w:pPr>
      <w:r w:rsidRPr="0067507D">
        <w:t>(a) The ratio to GSP may vary from publications year to year due to revisions to the Australian Bureau of Statistics (ABS) data.</w:t>
      </w:r>
      <w:bookmarkEnd w:id="25"/>
    </w:p>
    <w:p w14:paraId="4D297A58" w14:textId="77777777" w:rsidR="005E6D06" w:rsidRPr="0067507D" w:rsidRDefault="005E6D06" w:rsidP="005E6D06">
      <w:pPr>
        <w:sectPr w:rsidR="005E6D06" w:rsidRPr="0067507D" w:rsidSect="004801BD">
          <w:type w:val="continuous"/>
          <w:pgSz w:w="11909" w:h="16834" w:code="9"/>
          <w:pgMar w:top="1728" w:right="1152" w:bottom="1152" w:left="1152" w:header="720" w:footer="288" w:gutter="0"/>
          <w:cols w:space="389"/>
          <w:noEndnote/>
        </w:sectPr>
      </w:pPr>
    </w:p>
    <w:p w14:paraId="4B476FD0" w14:textId="0E8B947C" w:rsidR="005E6D06" w:rsidRPr="0067507D" w:rsidRDefault="005E6D06" w:rsidP="005E6D06">
      <w:pPr>
        <w:pStyle w:val="Heading4"/>
      </w:pPr>
      <w:r w:rsidRPr="0067507D">
        <w:lastRenderedPageBreak/>
        <w:t>Objective 2: Strengthen Victoria’s economic performance</w:t>
      </w:r>
    </w:p>
    <w:p w14:paraId="0E996358" w14:textId="74346841" w:rsidR="005E6D06" w:rsidRPr="0067507D" w:rsidRDefault="005E6D06" w:rsidP="005E6D06">
      <w:pPr>
        <w:pStyle w:val="Heading5"/>
      </w:pPr>
      <w:r w:rsidRPr="0067507D">
        <w:t>Objective indicators</w:t>
      </w:r>
    </w:p>
    <w:p w14:paraId="1D5EB789" w14:textId="5167CA5C" w:rsidR="009D4B85" w:rsidRPr="0067507D" w:rsidRDefault="009D4B85" w:rsidP="009D4B85">
      <w:pPr>
        <w:pStyle w:val="ListNumber"/>
        <w:numPr>
          <w:ilvl w:val="0"/>
          <w:numId w:val="20"/>
        </w:numPr>
      </w:pPr>
      <w:r w:rsidRPr="0067507D">
        <w:t>Economic growth to exceed population growth as expressed by GSP per capita increasing in real terms (annual percentage change).</w:t>
      </w:r>
    </w:p>
    <w:p w14:paraId="55B3D531" w14:textId="5EBB6FFA" w:rsidR="009D4B85" w:rsidRPr="0067507D" w:rsidRDefault="009D4B85" w:rsidP="009D4B85">
      <w:pPr>
        <w:pStyle w:val="ListNumber"/>
        <w:numPr>
          <w:ilvl w:val="0"/>
          <w:numId w:val="20"/>
        </w:numPr>
      </w:pPr>
      <w:r w:rsidRPr="0067507D">
        <w:t>Total Victorian employment to grow each year (annual percentage change).</w:t>
      </w:r>
    </w:p>
    <w:p w14:paraId="20E6DB03" w14:textId="6F068B25" w:rsidR="00062088" w:rsidRPr="0067507D" w:rsidRDefault="009D4B85" w:rsidP="009D4B85">
      <w:pPr>
        <w:pStyle w:val="ListNumber"/>
        <w:numPr>
          <w:ilvl w:val="0"/>
          <w:numId w:val="20"/>
        </w:numPr>
      </w:pPr>
      <w:r w:rsidRPr="0067507D">
        <w:t>Advice contributes to the achievement of government policies and priorities relating to economic and social outcomes.</w:t>
      </w:r>
    </w:p>
    <w:p w14:paraId="6E31BFA9" w14:textId="76E16D0A" w:rsidR="005E6D06" w:rsidRPr="0067507D" w:rsidRDefault="005E6D06" w:rsidP="005E6D06">
      <w:pPr>
        <w:pStyle w:val="Normalbold"/>
      </w:pPr>
      <w:r w:rsidRPr="0067507D">
        <w:t xml:space="preserve">Objective Indicator 1: </w:t>
      </w:r>
      <w:r w:rsidR="009D4B85" w:rsidRPr="0067507D">
        <w:t>Economic growth to exceed population growth as expressed by GSP per capita increasing in real terms (annual percentage change).</w:t>
      </w:r>
    </w:p>
    <w:p w14:paraId="113E3B9A" w14:textId="741C2FF2" w:rsidR="006E19BE" w:rsidRPr="0067507D" w:rsidRDefault="001452A7" w:rsidP="00E7770A">
      <w:r w:rsidRPr="0067507D">
        <w:t xml:space="preserve">Based on the </w:t>
      </w:r>
      <w:r w:rsidR="002E516C" w:rsidRPr="0067507D">
        <w:rPr>
          <w:i/>
        </w:rPr>
        <w:t>2025</w:t>
      </w:r>
      <w:r w:rsidR="006A5485">
        <w:rPr>
          <w:i/>
        </w:rPr>
        <w:noBreakHyphen/>
      </w:r>
      <w:r w:rsidR="002E516C" w:rsidRPr="0067507D">
        <w:rPr>
          <w:i/>
        </w:rPr>
        <w:t>26 Budget</w:t>
      </w:r>
      <w:r w:rsidR="002E516C" w:rsidRPr="0067507D">
        <w:t xml:space="preserve"> forecasts, </w:t>
      </w:r>
      <w:r w:rsidR="006E19BE" w:rsidRPr="0067507D">
        <w:t>GSP per capita in 2024</w:t>
      </w:r>
      <w:r w:rsidR="003739FE" w:rsidRPr="0067507D">
        <w:noBreakHyphen/>
      </w:r>
      <w:r w:rsidR="006E19BE" w:rsidRPr="0067507D">
        <w:t xml:space="preserve">25 </w:t>
      </w:r>
      <w:r w:rsidR="001F77B3" w:rsidRPr="0067507D">
        <w:t xml:space="preserve">is expected to be </w:t>
      </w:r>
      <w:r w:rsidR="003818C3" w:rsidRPr="0067507D">
        <w:t xml:space="preserve">higher </w:t>
      </w:r>
      <w:r w:rsidR="006E19BE" w:rsidRPr="0067507D">
        <w:t>than in 2023</w:t>
      </w:r>
      <w:r w:rsidR="006A5485">
        <w:noBreakHyphen/>
      </w:r>
      <w:r w:rsidR="006E19BE" w:rsidRPr="0067507D">
        <w:t xml:space="preserve">24. </w:t>
      </w:r>
    </w:p>
    <w:p w14:paraId="0124F1B3" w14:textId="053A06B2" w:rsidR="007434ED" w:rsidRPr="0067507D" w:rsidRDefault="007434ED" w:rsidP="00E7770A">
      <w:r w:rsidRPr="0067507D">
        <w:t>Partial data indicate the economy has expanded mode</w:t>
      </w:r>
      <w:r w:rsidR="003818C3" w:rsidRPr="0067507D">
        <w:t>rately</w:t>
      </w:r>
      <w:r w:rsidRPr="0067507D">
        <w:t xml:space="preserve"> in 2024</w:t>
      </w:r>
      <w:r w:rsidR="006A5485">
        <w:noBreakHyphen/>
      </w:r>
      <w:r w:rsidRPr="0067507D">
        <w:t xml:space="preserve">25. Population growth has slowed compared to the previous year </w:t>
      </w:r>
      <w:r w:rsidR="00DD1062" w:rsidRPr="0067507D">
        <w:t xml:space="preserve">to </w:t>
      </w:r>
      <w:r w:rsidR="00300A30" w:rsidRPr="0067507D">
        <w:t>close to its long</w:t>
      </w:r>
      <w:r w:rsidR="0097632F" w:rsidRPr="0067507D">
        <w:noBreakHyphen/>
      </w:r>
      <w:r w:rsidR="00300A30" w:rsidRPr="0067507D">
        <w:t>term average rate</w:t>
      </w:r>
      <w:r w:rsidRPr="0067507D">
        <w:t xml:space="preserve">. This suggests a </w:t>
      </w:r>
      <w:r w:rsidR="00300A30" w:rsidRPr="0067507D">
        <w:t xml:space="preserve">modest increase </w:t>
      </w:r>
      <w:r w:rsidRPr="0067507D">
        <w:t>in GSP per capita in real terms is probable.</w:t>
      </w:r>
    </w:p>
    <w:p w14:paraId="25E25C8B" w14:textId="707D4C89" w:rsidR="00E7770A" w:rsidRPr="0067507D" w:rsidRDefault="00E7770A" w:rsidP="00E7770A">
      <w:r w:rsidRPr="0067507D">
        <w:t>Gross state product data</w:t>
      </w:r>
      <w:r w:rsidR="00B10E8F" w:rsidRPr="0067507D">
        <w:t xml:space="preserve"> </w:t>
      </w:r>
      <w:r w:rsidR="005807C7" w:rsidRPr="0067507D">
        <w:t xml:space="preserve">are </w:t>
      </w:r>
      <w:r w:rsidRPr="0067507D">
        <w:t xml:space="preserve">scheduled to be received from </w:t>
      </w:r>
      <w:r w:rsidR="00B10E8F" w:rsidRPr="0067507D">
        <w:t xml:space="preserve">the </w:t>
      </w:r>
      <w:r w:rsidRPr="0067507D">
        <w:t xml:space="preserve">Australian Bureau of Statistics </w:t>
      </w:r>
      <w:r w:rsidR="00FB7F4D" w:rsidRPr="0067507D">
        <w:t>i</w:t>
      </w:r>
      <w:r w:rsidRPr="0067507D">
        <w:t>n November</w:t>
      </w:r>
      <w:r w:rsidR="0053069D" w:rsidRPr="0067507D">
        <w:rPr>
          <w:rFonts w:ascii="Calibri" w:hAnsi="Calibri" w:cs="Calibri"/>
        </w:rPr>
        <w:t> </w:t>
      </w:r>
      <w:r w:rsidRPr="0067507D">
        <w:t>202</w:t>
      </w:r>
      <w:r w:rsidR="007434ED" w:rsidRPr="0067507D">
        <w:t>5</w:t>
      </w:r>
      <w:r w:rsidRPr="0067507D">
        <w:t xml:space="preserve">. </w:t>
      </w:r>
    </w:p>
    <w:p w14:paraId="4E861F64" w14:textId="27D895BA" w:rsidR="005E6D06" w:rsidRPr="0067507D" w:rsidRDefault="005E6D06" w:rsidP="005E6D06">
      <w:pPr>
        <w:pStyle w:val="Normalbold"/>
      </w:pPr>
      <w:r w:rsidRPr="0067507D">
        <w:t xml:space="preserve">Objective Indicator 2: </w:t>
      </w:r>
      <w:r w:rsidR="009D4B85" w:rsidRPr="0067507D">
        <w:t>Total Victorian employment to grow each year (annual percentage change).</w:t>
      </w:r>
    </w:p>
    <w:p w14:paraId="7352769F" w14:textId="3A7799F1" w:rsidR="00845862" w:rsidRPr="0067507D" w:rsidRDefault="00372C6F" w:rsidP="00AE2D50">
      <w:pPr>
        <w:ind w:right="-148"/>
      </w:pPr>
      <w:r w:rsidRPr="0067507D">
        <w:t>There has been e</w:t>
      </w:r>
      <w:r w:rsidR="00845862" w:rsidRPr="0067507D">
        <w:t>mployment growth of 2.</w:t>
      </w:r>
      <w:r w:rsidR="00AC5044" w:rsidRPr="0067507D">
        <w:t xml:space="preserve">5 </w:t>
      </w:r>
      <w:r w:rsidR="00845862" w:rsidRPr="0067507D">
        <w:t xml:space="preserve">per cent over the year to </w:t>
      </w:r>
      <w:r w:rsidR="00DC2A6C" w:rsidRPr="0067507D">
        <w:t>June</w:t>
      </w:r>
      <w:r w:rsidR="00845862" w:rsidRPr="0067507D">
        <w:t xml:space="preserve"> 2025.</w:t>
      </w:r>
      <w:r w:rsidR="008B487D" w:rsidRPr="0067507D">
        <w:t xml:space="preserve"> Employment growth has remained strong in 2024</w:t>
      </w:r>
      <w:r w:rsidR="006A5485">
        <w:noBreakHyphen/>
      </w:r>
      <w:r w:rsidR="008B487D" w:rsidRPr="0067507D">
        <w:t>25, based on 1</w:t>
      </w:r>
      <w:r w:rsidR="003368C7" w:rsidRPr="0067507D">
        <w:t>2</w:t>
      </w:r>
      <w:r w:rsidR="008B487D" w:rsidRPr="0067507D">
        <w:t xml:space="preserve"> months of data.</w:t>
      </w:r>
    </w:p>
    <w:p w14:paraId="61706BF3" w14:textId="719F8393" w:rsidR="005E6D06" w:rsidRPr="0067507D" w:rsidRDefault="005E6D06" w:rsidP="005E6D06">
      <w:pPr>
        <w:pStyle w:val="Normalbold"/>
      </w:pPr>
      <w:r w:rsidRPr="0067507D">
        <w:br w:type="column"/>
      </w:r>
      <w:r w:rsidRPr="0067507D">
        <w:t xml:space="preserve">Objective Indicator 3: </w:t>
      </w:r>
      <w:r w:rsidR="009D4B85" w:rsidRPr="0067507D">
        <w:t>Advice contributes to the achievement of government policies and priorities relating to economic and social outcomes.</w:t>
      </w:r>
    </w:p>
    <w:p w14:paraId="6FA1FC53" w14:textId="1B1B2DA0" w:rsidR="006207DD" w:rsidRPr="0067507D" w:rsidRDefault="006207DD" w:rsidP="005E6D06">
      <w:r w:rsidRPr="0067507D">
        <w:t xml:space="preserve">In </w:t>
      </w:r>
      <w:r w:rsidR="00C30F42" w:rsidRPr="0067507D">
        <w:t>2024</w:t>
      </w:r>
      <w:r w:rsidR="006A5485">
        <w:noBreakHyphen/>
      </w:r>
      <w:r w:rsidR="00C30F42" w:rsidRPr="0067507D">
        <w:t>25</w:t>
      </w:r>
      <w:r w:rsidRPr="0067507D">
        <w:t>, the</w:t>
      </w:r>
      <w:r w:rsidR="005E6D06" w:rsidRPr="0067507D">
        <w:rPr>
          <w:rFonts w:eastAsia="Tahoma"/>
        </w:rPr>
        <w:t xml:space="preserve"> Department supported the Treasurer and </w:t>
      </w:r>
      <w:r w:rsidR="00806318" w:rsidRPr="0067507D">
        <w:rPr>
          <w:rFonts w:eastAsia="Tahoma"/>
        </w:rPr>
        <w:t>Minister for Finance</w:t>
      </w:r>
      <w:r w:rsidR="005E6D06" w:rsidRPr="0067507D">
        <w:rPr>
          <w:rFonts w:eastAsia="Tahoma"/>
        </w:rPr>
        <w:t xml:space="preserve"> by providing advice that helped shape decisions about economic</w:t>
      </w:r>
      <w:r w:rsidR="00D40E39" w:rsidRPr="0067507D">
        <w:rPr>
          <w:rFonts w:eastAsia="Tahoma"/>
        </w:rPr>
        <w:t xml:space="preserve"> </w:t>
      </w:r>
      <w:r w:rsidR="005E6D06" w:rsidRPr="0067507D">
        <w:rPr>
          <w:rFonts w:eastAsia="Tahoma"/>
        </w:rPr>
        <w:t xml:space="preserve">and social priorities. </w:t>
      </w:r>
    </w:p>
    <w:p w14:paraId="231B9994" w14:textId="77777777" w:rsidR="00803B20" w:rsidRPr="0067507D" w:rsidRDefault="005E6D06" w:rsidP="005E6D06">
      <w:r w:rsidRPr="0067507D">
        <w:rPr>
          <w:rFonts w:eastAsia="Tahoma"/>
        </w:rPr>
        <w:t xml:space="preserve">DTF </w:t>
      </w:r>
      <w:r w:rsidR="00F63B65" w:rsidRPr="0067507D">
        <w:t xml:space="preserve">provided </w:t>
      </w:r>
      <w:r w:rsidR="00AB227D" w:rsidRPr="0067507D">
        <w:t>advice</w:t>
      </w:r>
      <w:r w:rsidR="00407C9D" w:rsidRPr="0067507D">
        <w:t xml:space="preserve"> to</w:t>
      </w:r>
      <w:r w:rsidR="00AB227D" w:rsidRPr="0067507D">
        <w:t xml:space="preserve"> </w:t>
      </w:r>
      <w:r w:rsidR="00A11237" w:rsidRPr="0067507D">
        <w:t xml:space="preserve">the </w:t>
      </w:r>
      <w:r w:rsidR="00AB227D" w:rsidRPr="0067507D">
        <w:t xml:space="preserve">Government </w:t>
      </w:r>
      <w:r w:rsidR="00453833" w:rsidRPr="0067507D">
        <w:t xml:space="preserve">on key areas such </w:t>
      </w:r>
      <w:r w:rsidR="00705943" w:rsidRPr="0067507D">
        <w:t>as</w:t>
      </w:r>
      <w:r w:rsidR="00803B20" w:rsidRPr="0067507D">
        <w:t>:</w:t>
      </w:r>
    </w:p>
    <w:p w14:paraId="7305AEFA" w14:textId="7C8AA0D6" w:rsidR="005C40DC" w:rsidRPr="0067507D" w:rsidRDefault="005C40DC" w:rsidP="005C40DC">
      <w:pPr>
        <w:pStyle w:val="Bullet"/>
        <w:rPr>
          <w:rFonts w:ascii="Aptos" w:hAnsi="Aptos"/>
          <w:sz w:val="22"/>
          <w:szCs w:val="22"/>
        </w:rPr>
      </w:pPr>
      <w:r w:rsidRPr="0067507D">
        <w:t xml:space="preserve">development of the </w:t>
      </w:r>
      <w:r w:rsidRPr="0067507D">
        <w:rPr>
          <w:iCs/>
        </w:rPr>
        <w:t>Government’s</w:t>
      </w:r>
      <w:r w:rsidRPr="0067507D">
        <w:rPr>
          <w:i/>
        </w:rPr>
        <w:t xml:space="preserve"> Economic Growth Statement</w:t>
      </w:r>
      <w:r w:rsidRPr="0067507D">
        <w:t>, with more than 40 initiatives supporting a vision for a prosperous Victoria</w:t>
      </w:r>
    </w:p>
    <w:p w14:paraId="3C16ADFF" w14:textId="172927F1" w:rsidR="005C40DC" w:rsidRPr="0067507D" w:rsidRDefault="005C40DC" w:rsidP="005C40DC">
      <w:pPr>
        <w:pStyle w:val="Bullet"/>
      </w:pPr>
      <w:r w:rsidRPr="0067507D">
        <w:t xml:space="preserve">leading Victoria’s contribution to the Commonwealth Grants Commission 2025 Methodology Review </w:t>
      </w:r>
    </w:p>
    <w:p w14:paraId="4D1DEF2B" w14:textId="0413BCD3" w:rsidR="005C40DC" w:rsidRPr="0067507D" w:rsidRDefault="005C40DC" w:rsidP="005C40DC">
      <w:pPr>
        <w:pStyle w:val="Bullet"/>
      </w:pPr>
      <w:r w:rsidRPr="0067507D">
        <w:t>implementing the Emergency Services and Volunteers Fund, including a new volunteers</w:t>
      </w:r>
      <w:r w:rsidR="005A145C" w:rsidRPr="0067507D">
        <w:t>’</w:t>
      </w:r>
      <w:r w:rsidRPr="0067507D">
        <w:t xml:space="preserve"> exemption</w:t>
      </w:r>
    </w:p>
    <w:p w14:paraId="42E14424" w14:textId="39DBF56D" w:rsidR="004C3A14" w:rsidRPr="0067507D" w:rsidRDefault="00435A5F" w:rsidP="00B2226F">
      <w:pPr>
        <w:pStyle w:val="Bullet"/>
      </w:pPr>
      <w:r w:rsidRPr="0067507D">
        <w:t xml:space="preserve">housing and planning initiatives to improve housing </w:t>
      </w:r>
      <w:r w:rsidR="00D60F8F" w:rsidRPr="0067507D">
        <w:t xml:space="preserve">supply and </w:t>
      </w:r>
      <w:r w:rsidRPr="0067507D">
        <w:t>affordability</w:t>
      </w:r>
      <w:r w:rsidR="008F48BC" w:rsidRPr="0067507D">
        <w:t>, as well as contributing to the Government’s response to the Social Housing Regulation Review</w:t>
      </w:r>
    </w:p>
    <w:p w14:paraId="558EEF59" w14:textId="1595A378" w:rsidR="00B86417" w:rsidRPr="0067507D" w:rsidRDefault="00D60F8F" w:rsidP="00B2226F">
      <w:pPr>
        <w:pStyle w:val="Bullet"/>
      </w:pPr>
      <w:r w:rsidRPr="0067507D">
        <w:t xml:space="preserve">the Government’s climate action agenda along with </w:t>
      </w:r>
      <w:r w:rsidR="00940740" w:rsidRPr="0067507D">
        <w:t xml:space="preserve">the energy transition, including initiatives relating to electricity generation and </w:t>
      </w:r>
      <w:r w:rsidR="00B86417" w:rsidRPr="0067507D" w:rsidDel="00D60F8F">
        <w:t>transmission</w:t>
      </w:r>
      <w:r w:rsidR="00B86417" w:rsidRPr="0067507D">
        <w:t>.</w:t>
      </w:r>
    </w:p>
    <w:p w14:paraId="3C4F7DB7" w14:textId="77777777" w:rsidR="00B86417" w:rsidRPr="0067507D" w:rsidRDefault="00B86417" w:rsidP="00F84D3E">
      <w:pPr>
        <w:ind w:right="47"/>
        <w:rPr>
          <w:highlight w:val="yellow"/>
        </w:rPr>
      </w:pPr>
    </w:p>
    <w:p w14:paraId="6502D69F" w14:textId="02FFAA08" w:rsidR="006F58B1" w:rsidRPr="0067507D" w:rsidRDefault="006F58B1" w:rsidP="007F5A71">
      <w:pPr>
        <w:sectPr w:rsidR="006F58B1" w:rsidRPr="0067507D" w:rsidSect="003C4FA0">
          <w:pgSz w:w="11909" w:h="16834" w:code="9"/>
          <w:pgMar w:top="1728" w:right="1152" w:bottom="1152" w:left="1152" w:header="720" w:footer="288" w:gutter="0"/>
          <w:cols w:num="2" w:space="720"/>
          <w:noEndnote/>
        </w:sectPr>
      </w:pPr>
    </w:p>
    <w:p w14:paraId="38F06F33" w14:textId="740406C0" w:rsidR="005E6D06" w:rsidRPr="0067507D" w:rsidRDefault="005E6D06" w:rsidP="005E6D06">
      <w:pPr>
        <w:pStyle w:val="Tableheading"/>
        <w:rPr>
          <w:color w:val="auto"/>
        </w:rPr>
      </w:pPr>
      <w:r w:rsidRPr="0067507D">
        <w:rPr>
          <w:color w:val="auto"/>
        </w:rPr>
        <w:t>Table 2 – Progress towards objective – Strengthen Victoria’s economic performance</w:t>
      </w:r>
    </w:p>
    <w:tbl>
      <w:tblPr>
        <w:tblStyle w:val="AnnualReportfinancialtable"/>
        <w:tblW w:w="9576" w:type="dxa"/>
        <w:tblInd w:w="-90" w:type="dxa"/>
        <w:tblLayout w:type="fixed"/>
        <w:tblLook w:val="00A0" w:firstRow="1" w:lastRow="0" w:firstColumn="1" w:lastColumn="0" w:noHBand="0" w:noVBand="0"/>
      </w:tblPr>
      <w:tblGrid>
        <w:gridCol w:w="4626"/>
        <w:gridCol w:w="990"/>
        <w:gridCol w:w="990"/>
        <w:gridCol w:w="990"/>
        <w:gridCol w:w="990"/>
        <w:gridCol w:w="990"/>
      </w:tblGrid>
      <w:tr w:rsidR="00E26BDE" w:rsidRPr="0067507D" w14:paraId="2F8413FD" w14:textId="1184E1CF" w:rsidTr="00A26E9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26" w:type="dxa"/>
          </w:tcPr>
          <w:p w14:paraId="7AE6BE68" w14:textId="30709D66" w:rsidR="00062088" w:rsidRPr="0067507D" w:rsidRDefault="00062088" w:rsidP="00062088">
            <w:pPr>
              <w:pStyle w:val="Tabletextheadingleft"/>
            </w:pPr>
            <w:r w:rsidRPr="0067507D">
              <w:rPr>
                <w:rFonts w:cstheme="minorHAnsi"/>
              </w:rPr>
              <w:t>Indicator</w:t>
            </w:r>
          </w:p>
        </w:tc>
        <w:tc>
          <w:tcPr>
            <w:cnfStyle w:val="000010000000" w:firstRow="0" w:lastRow="0" w:firstColumn="0" w:lastColumn="0" w:oddVBand="1" w:evenVBand="0" w:oddHBand="0" w:evenHBand="0" w:firstRowFirstColumn="0" w:firstRowLastColumn="0" w:lastRowFirstColumn="0" w:lastRowLastColumn="0"/>
            <w:tcW w:w="990" w:type="dxa"/>
            <w:shd w:val="clear" w:color="auto" w:fill="E0E0E0"/>
          </w:tcPr>
          <w:p w14:paraId="0123958B" w14:textId="77777777" w:rsidR="00062088" w:rsidRPr="0067507D" w:rsidRDefault="00062088" w:rsidP="00062088">
            <w:pPr>
              <w:pStyle w:val="Tabletextheadingcentred"/>
            </w:pPr>
            <w:r w:rsidRPr="0067507D">
              <w:t xml:space="preserve">Unit of </w:t>
            </w:r>
            <w:r w:rsidRPr="0067507D">
              <w:br/>
              <w:t>measure</w:t>
            </w:r>
          </w:p>
        </w:tc>
        <w:tc>
          <w:tcPr>
            <w:cnfStyle w:val="000001000000" w:firstRow="0" w:lastRow="0" w:firstColumn="0" w:lastColumn="0" w:oddVBand="0" w:evenVBand="1" w:oddHBand="0" w:evenHBand="0" w:firstRowFirstColumn="0" w:firstRowLastColumn="0" w:lastRowFirstColumn="0" w:lastRowLastColumn="0"/>
            <w:tcW w:w="990" w:type="dxa"/>
          </w:tcPr>
          <w:p w14:paraId="52A8FA8A" w14:textId="54AE53E0" w:rsidR="00062088" w:rsidRPr="0067507D" w:rsidRDefault="00C30F42" w:rsidP="00062088">
            <w:pPr>
              <w:pStyle w:val="Tabletextheadingright"/>
            </w:pPr>
            <w:r w:rsidRPr="0067507D">
              <w:t>2021</w:t>
            </w:r>
            <w:r w:rsidR="006A5485">
              <w:noBreakHyphen/>
            </w:r>
            <w:r w:rsidRPr="0067507D">
              <w:t>22</w:t>
            </w:r>
            <w:r w:rsidR="00062088" w:rsidRPr="0067507D">
              <w:t xml:space="preserve"> actual</w:t>
            </w:r>
          </w:p>
        </w:tc>
        <w:tc>
          <w:tcPr>
            <w:cnfStyle w:val="000010000000" w:firstRow="0" w:lastRow="0" w:firstColumn="0" w:lastColumn="0" w:oddVBand="1" w:evenVBand="0" w:oddHBand="0" w:evenHBand="0" w:firstRowFirstColumn="0" w:firstRowLastColumn="0" w:lastRowFirstColumn="0" w:lastRowLastColumn="0"/>
            <w:tcW w:w="990" w:type="dxa"/>
            <w:shd w:val="clear" w:color="auto" w:fill="E0E0E0"/>
          </w:tcPr>
          <w:p w14:paraId="37A054BA" w14:textId="7D250C33" w:rsidR="00062088" w:rsidRPr="0067507D" w:rsidRDefault="00C30F42" w:rsidP="00062088">
            <w:pPr>
              <w:pStyle w:val="Tabletextheadingright"/>
            </w:pPr>
            <w:r w:rsidRPr="0067507D">
              <w:t>2022</w:t>
            </w:r>
            <w:r w:rsidR="006A5485">
              <w:noBreakHyphen/>
            </w:r>
            <w:r w:rsidRPr="0067507D">
              <w:t>23</w:t>
            </w:r>
            <w:r w:rsidR="00062088" w:rsidRPr="0067507D">
              <w:t xml:space="preserve"> actual</w:t>
            </w:r>
          </w:p>
        </w:tc>
        <w:tc>
          <w:tcPr>
            <w:cnfStyle w:val="000001000000" w:firstRow="0" w:lastRow="0" w:firstColumn="0" w:lastColumn="0" w:oddVBand="0" w:evenVBand="1" w:oddHBand="0" w:evenHBand="0" w:firstRowFirstColumn="0" w:firstRowLastColumn="0" w:lastRowFirstColumn="0" w:lastRowLastColumn="0"/>
            <w:tcW w:w="990" w:type="dxa"/>
          </w:tcPr>
          <w:p w14:paraId="1CDF402F" w14:textId="10E4A3D7" w:rsidR="00062088" w:rsidRPr="0067507D" w:rsidRDefault="00C30F42" w:rsidP="00062088">
            <w:pPr>
              <w:pStyle w:val="Tabletextheadingright"/>
            </w:pPr>
            <w:r w:rsidRPr="0067507D">
              <w:t>2023</w:t>
            </w:r>
            <w:r w:rsidR="006A5485">
              <w:noBreakHyphen/>
            </w:r>
            <w:r w:rsidRPr="0067507D">
              <w:t>24</w:t>
            </w:r>
            <w:r w:rsidR="00062088" w:rsidRPr="0067507D">
              <w:t xml:space="preserve"> actual</w:t>
            </w:r>
          </w:p>
        </w:tc>
        <w:tc>
          <w:tcPr>
            <w:cnfStyle w:val="000010000000" w:firstRow="0" w:lastRow="0" w:firstColumn="0" w:lastColumn="0" w:oddVBand="1" w:evenVBand="0" w:oddHBand="0" w:evenHBand="0" w:firstRowFirstColumn="0" w:firstRowLastColumn="0" w:lastRowFirstColumn="0" w:lastRowLastColumn="0"/>
            <w:tcW w:w="990" w:type="dxa"/>
            <w:shd w:val="clear" w:color="auto" w:fill="E0E0E0"/>
          </w:tcPr>
          <w:p w14:paraId="3BAE1208" w14:textId="53BB4E15" w:rsidR="00062088" w:rsidRPr="0067507D" w:rsidRDefault="00C30F42" w:rsidP="00062088">
            <w:pPr>
              <w:pStyle w:val="Tabletextheadingright"/>
              <w:rPr>
                <w:highlight w:val="yellow"/>
              </w:rPr>
            </w:pPr>
            <w:r w:rsidRPr="0067507D">
              <w:t>2024</w:t>
            </w:r>
            <w:r w:rsidR="006A5485">
              <w:noBreakHyphen/>
            </w:r>
            <w:r w:rsidRPr="0067507D">
              <w:t>25</w:t>
            </w:r>
            <w:r w:rsidR="00062088" w:rsidRPr="0067507D">
              <w:t xml:space="preserve"> actual</w:t>
            </w:r>
          </w:p>
        </w:tc>
      </w:tr>
      <w:tr w:rsidR="00E26BDE" w:rsidRPr="0067507D" w14:paraId="3F492CCC" w14:textId="319681D9" w:rsidTr="00A26E90">
        <w:tc>
          <w:tcPr>
            <w:cnfStyle w:val="001000000000" w:firstRow="0" w:lastRow="0" w:firstColumn="1" w:lastColumn="0" w:oddVBand="0" w:evenVBand="0" w:oddHBand="0" w:evenHBand="0" w:firstRowFirstColumn="0" w:firstRowLastColumn="0" w:lastRowFirstColumn="0" w:lastRowLastColumn="0"/>
            <w:tcW w:w="4626" w:type="dxa"/>
          </w:tcPr>
          <w:p w14:paraId="78FFA880" w14:textId="1D77B4A2" w:rsidR="00062088" w:rsidRPr="0067507D" w:rsidRDefault="00062088" w:rsidP="00062088">
            <w:pPr>
              <w:pStyle w:val="Tabletext"/>
              <w:ind w:right="95"/>
            </w:pPr>
            <w:r w:rsidRPr="0067507D">
              <w:t xml:space="preserve">Economic growth to exceed population growth as expressed by GSP per capita increasing in real terms (annual percentage change) </w:t>
            </w:r>
            <w:r w:rsidRPr="0067507D">
              <w:rPr>
                <w:vertAlign w:val="superscript"/>
              </w:rPr>
              <w:t>(</w:t>
            </w:r>
            <w:r w:rsidR="003E16BF">
              <w:rPr>
                <w:vertAlign w:val="superscript"/>
              </w:rPr>
              <w:t>a</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990" w:type="dxa"/>
          </w:tcPr>
          <w:p w14:paraId="02F01D4E" w14:textId="77777777" w:rsidR="00062088" w:rsidRPr="0067507D" w:rsidRDefault="00062088" w:rsidP="00062088">
            <w:pPr>
              <w:pStyle w:val="Tabletextcentred"/>
              <w:rPr>
                <w:rFonts w:cstheme="minorBidi"/>
              </w:rPr>
            </w:pPr>
            <w:r w:rsidRPr="0067507D">
              <w:rPr>
                <w:rFonts w:cstheme="minorBidi"/>
              </w:rPr>
              <w:t>per cent</w:t>
            </w:r>
          </w:p>
        </w:tc>
        <w:tc>
          <w:tcPr>
            <w:cnfStyle w:val="000001000000" w:firstRow="0" w:lastRow="0" w:firstColumn="0" w:lastColumn="0" w:oddVBand="0" w:evenVBand="1" w:oddHBand="0" w:evenHBand="0" w:firstRowFirstColumn="0" w:firstRowLastColumn="0" w:lastRowFirstColumn="0" w:lastRowLastColumn="0"/>
            <w:tcW w:w="990" w:type="dxa"/>
          </w:tcPr>
          <w:p w14:paraId="52160E27" w14:textId="7793E4A6" w:rsidR="00062088" w:rsidRPr="0067507D" w:rsidRDefault="00104DD8" w:rsidP="00062088">
            <w:pPr>
              <w:pStyle w:val="Tabletextright"/>
              <w:rPr>
                <w:rFonts w:cstheme="minorBidi"/>
              </w:rPr>
            </w:pPr>
            <w:r w:rsidRPr="0067507D">
              <w:rPr>
                <w:rFonts w:cstheme="minorBidi"/>
              </w:rPr>
              <w:t>6.8</w:t>
            </w:r>
          </w:p>
        </w:tc>
        <w:tc>
          <w:tcPr>
            <w:cnfStyle w:val="000010000000" w:firstRow="0" w:lastRow="0" w:firstColumn="0" w:lastColumn="0" w:oddVBand="1" w:evenVBand="0" w:oddHBand="0" w:evenHBand="0" w:firstRowFirstColumn="0" w:firstRowLastColumn="0" w:lastRowFirstColumn="0" w:lastRowLastColumn="0"/>
            <w:tcW w:w="990" w:type="dxa"/>
          </w:tcPr>
          <w:p w14:paraId="3329D113" w14:textId="690BA8CC" w:rsidR="00062088" w:rsidRPr="0067507D" w:rsidRDefault="00104DD8" w:rsidP="00062088">
            <w:pPr>
              <w:pStyle w:val="Tabletextright"/>
              <w:rPr>
                <w:rFonts w:cstheme="minorBidi"/>
              </w:rPr>
            </w:pPr>
            <w:r w:rsidRPr="0067507D">
              <w:rPr>
                <w:rFonts w:cstheme="minorBidi"/>
              </w:rPr>
              <w:t>1.</w:t>
            </w:r>
            <w:r w:rsidR="008B2F57" w:rsidRPr="0067507D">
              <w:rPr>
                <w:rFonts w:cstheme="minorBidi"/>
              </w:rPr>
              <w:t>0</w:t>
            </w:r>
          </w:p>
        </w:tc>
        <w:tc>
          <w:tcPr>
            <w:cnfStyle w:val="000001000000" w:firstRow="0" w:lastRow="0" w:firstColumn="0" w:lastColumn="0" w:oddVBand="0" w:evenVBand="1" w:oddHBand="0" w:evenHBand="0" w:firstRowFirstColumn="0" w:firstRowLastColumn="0" w:lastRowFirstColumn="0" w:lastRowLastColumn="0"/>
            <w:tcW w:w="990" w:type="dxa"/>
          </w:tcPr>
          <w:p w14:paraId="664696BF" w14:textId="09FE3C4B" w:rsidR="00062088" w:rsidRPr="0067507D" w:rsidRDefault="006A5485" w:rsidP="00BC11DD">
            <w:pPr>
              <w:pStyle w:val="Tabletextright"/>
              <w:rPr>
                <w:rFonts w:cstheme="minorBidi"/>
              </w:rPr>
            </w:pPr>
            <w:r>
              <w:rPr>
                <w:rFonts w:cstheme="minorBidi"/>
              </w:rPr>
              <w:noBreakHyphen/>
            </w:r>
            <w:r w:rsidR="00104DD8" w:rsidRPr="0067507D">
              <w:rPr>
                <w:rFonts w:cstheme="minorBidi"/>
              </w:rPr>
              <w:t>1.</w:t>
            </w:r>
            <w:r w:rsidR="19F7F520" w:rsidRPr="0067507D">
              <w:rPr>
                <w:rFonts w:cstheme="minorBidi"/>
              </w:rPr>
              <w:t>1</w:t>
            </w:r>
          </w:p>
        </w:tc>
        <w:tc>
          <w:tcPr>
            <w:cnfStyle w:val="000010000000" w:firstRow="0" w:lastRow="0" w:firstColumn="0" w:lastColumn="0" w:oddVBand="1" w:evenVBand="0" w:oddHBand="0" w:evenHBand="0" w:firstRowFirstColumn="0" w:firstRowLastColumn="0" w:lastRowFirstColumn="0" w:lastRowLastColumn="0"/>
            <w:tcW w:w="990" w:type="dxa"/>
          </w:tcPr>
          <w:p w14:paraId="3D121D37" w14:textId="705E46AB" w:rsidR="00062088" w:rsidRPr="0067507D" w:rsidRDefault="00111334" w:rsidP="00062088">
            <w:pPr>
              <w:pStyle w:val="Tabletextright"/>
              <w:rPr>
                <w:rFonts w:cstheme="minorBidi"/>
              </w:rPr>
            </w:pPr>
            <w:r w:rsidRPr="0067507D">
              <w:rPr>
                <w:rFonts w:cstheme="minorBidi"/>
              </w:rPr>
              <w:t>n/a</w:t>
            </w:r>
            <w:r w:rsidR="00241455" w:rsidRPr="0067507D">
              <w:rPr>
                <w:rFonts w:cstheme="minorBidi"/>
              </w:rPr>
              <w:t xml:space="preserve"> </w:t>
            </w:r>
            <w:r w:rsidR="006C1223" w:rsidRPr="0067507D">
              <w:rPr>
                <w:vertAlign w:val="superscript"/>
              </w:rPr>
              <w:t>(</w:t>
            </w:r>
            <w:r w:rsidR="003E16BF">
              <w:rPr>
                <w:vertAlign w:val="superscript"/>
              </w:rPr>
              <w:t>b</w:t>
            </w:r>
            <w:r w:rsidR="006C1223" w:rsidRPr="0067507D">
              <w:rPr>
                <w:vertAlign w:val="superscript"/>
              </w:rPr>
              <w:t>)</w:t>
            </w:r>
          </w:p>
        </w:tc>
      </w:tr>
      <w:tr w:rsidR="00E26BDE" w:rsidRPr="0067507D" w14:paraId="46EA80E1" w14:textId="018B0C55" w:rsidTr="00A26E90">
        <w:tc>
          <w:tcPr>
            <w:cnfStyle w:val="001000000000" w:firstRow="0" w:lastRow="0" w:firstColumn="1" w:lastColumn="0" w:oddVBand="0" w:evenVBand="0" w:oddHBand="0" w:evenHBand="0" w:firstRowFirstColumn="0" w:firstRowLastColumn="0" w:lastRowFirstColumn="0" w:lastRowLastColumn="0"/>
            <w:tcW w:w="4626" w:type="dxa"/>
          </w:tcPr>
          <w:p w14:paraId="754859DC" w14:textId="42D25635" w:rsidR="00062088" w:rsidRPr="0067507D" w:rsidRDefault="00062088" w:rsidP="00062088">
            <w:pPr>
              <w:pStyle w:val="Tabletext"/>
            </w:pPr>
            <w:r w:rsidRPr="0067507D">
              <w:t xml:space="preserve">Total Victorian employment to grow each year (annual percentage change) </w:t>
            </w:r>
            <w:r w:rsidRPr="0067507D">
              <w:rPr>
                <w:vertAlign w:val="superscript"/>
              </w:rPr>
              <w:t>(</w:t>
            </w:r>
            <w:r w:rsidR="003E16BF">
              <w:rPr>
                <w:vertAlign w:val="superscript"/>
              </w:rPr>
              <w:t>a</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990" w:type="dxa"/>
          </w:tcPr>
          <w:p w14:paraId="73AC3F42" w14:textId="77777777" w:rsidR="00062088" w:rsidRPr="0067507D" w:rsidRDefault="00062088" w:rsidP="00062088">
            <w:pPr>
              <w:pStyle w:val="Tabletextcentred"/>
              <w:rPr>
                <w:rFonts w:cstheme="minorBidi"/>
              </w:rPr>
            </w:pPr>
            <w:r w:rsidRPr="0067507D">
              <w:rPr>
                <w:rFonts w:cstheme="minorBidi"/>
              </w:rPr>
              <w:t>per cent</w:t>
            </w:r>
          </w:p>
        </w:tc>
        <w:tc>
          <w:tcPr>
            <w:cnfStyle w:val="000001000000" w:firstRow="0" w:lastRow="0" w:firstColumn="0" w:lastColumn="0" w:oddVBand="0" w:evenVBand="1" w:oddHBand="0" w:evenHBand="0" w:firstRowFirstColumn="0" w:firstRowLastColumn="0" w:lastRowFirstColumn="0" w:lastRowLastColumn="0"/>
            <w:tcW w:w="990" w:type="dxa"/>
          </w:tcPr>
          <w:p w14:paraId="082F31FC" w14:textId="02E1DBAF" w:rsidR="00062088" w:rsidRPr="0067507D" w:rsidRDefault="008B2F57" w:rsidP="00062088">
            <w:pPr>
              <w:pStyle w:val="Tabletextright"/>
              <w:rPr>
                <w:rFonts w:cstheme="minorBidi"/>
              </w:rPr>
            </w:pPr>
            <w:r w:rsidRPr="0067507D">
              <w:rPr>
                <w:rFonts w:cstheme="minorBidi"/>
              </w:rPr>
              <w:t>3.</w:t>
            </w:r>
            <w:r w:rsidR="00C92CD5" w:rsidRPr="0067507D">
              <w:rPr>
                <w:rFonts w:cstheme="minorBidi"/>
              </w:rPr>
              <w:t>7</w:t>
            </w:r>
          </w:p>
        </w:tc>
        <w:tc>
          <w:tcPr>
            <w:cnfStyle w:val="000010000000" w:firstRow="0" w:lastRow="0" w:firstColumn="0" w:lastColumn="0" w:oddVBand="1" w:evenVBand="0" w:oddHBand="0" w:evenHBand="0" w:firstRowFirstColumn="0" w:firstRowLastColumn="0" w:lastRowFirstColumn="0" w:lastRowLastColumn="0"/>
            <w:tcW w:w="990" w:type="dxa"/>
          </w:tcPr>
          <w:p w14:paraId="159D368A" w14:textId="7FDF543C" w:rsidR="00062088" w:rsidRPr="0067507D" w:rsidRDefault="008B2F57" w:rsidP="00062088">
            <w:pPr>
              <w:pStyle w:val="Tabletextright"/>
              <w:rPr>
                <w:rFonts w:cstheme="minorBidi"/>
              </w:rPr>
            </w:pPr>
            <w:r w:rsidRPr="0067507D">
              <w:rPr>
                <w:rFonts w:cstheme="minorBidi"/>
              </w:rPr>
              <w:t>4.</w:t>
            </w:r>
            <w:r w:rsidR="00C92CD5" w:rsidRPr="0067507D">
              <w:rPr>
                <w:rFonts w:cstheme="minorBidi"/>
              </w:rPr>
              <w:t>1</w:t>
            </w:r>
          </w:p>
        </w:tc>
        <w:tc>
          <w:tcPr>
            <w:cnfStyle w:val="000001000000" w:firstRow="0" w:lastRow="0" w:firstColumn="0" w:lastColumn="0" w:oddVBand="0" w:evenVBand="1" w:oddHBand="0" w:evenHBand="0" w:firstRowFirstColumn="0" w:firstRowLastColumn="0" w:lastRowFirstColumn="0" w:lastRowLastColumn="0"/>
            <w:tcW w:w="990" w:type="dxa"/>
          </w:tcPr>
          <w:p w14:paraId="4B420321" w14:textId="4CF29178" w:rsidR="00062088" w:rsidRPr="0067507D" w:rsidRDefault="00E717F4" w:rsidP="00062088">
            <w:pPr>
              <w:pStyle w:val="Tabletextright"/>
              <w:rPr>
                <w:rFonts w:cstheme="minorBidi"/>
              </w:rPr>
            </w:pPr>
            <w:r w:rsidRPr="0067507D">
              <w:rPr>
                <w:rFonts w:cstheme="minorBidi"/>
              </w:rPr>
              <w:t>3.</w:t>
            </w:r>
            <w:r w:rsidR="00C904E9" w:rsidRPr="0067507D">
              <w:rPr>
                <w:rFonts w:cstheme="minorBidi"/>
              </w:rPr>
              <w:t>3</w:t>
            </w:r>
          </w:p>
        </w:tc>
        <w:tc>
          <w:tcPr>
            <w:cnfStyle w:val="000010000000" w:firstRow="0" w:lastRow="0" w:firstColumn="0" w:lastColumn="0" w:oddVBand="1" w:evenVBand="0" w:oddHBand="0" w:evenHBand="0" w:firstRowFirstColumn="0" w:firstRowLastColumn="0" w:lastRowFirstColumn="0" w:lastRowLastColumn="0"/>
            <w:tcW w:w="990" w:type="dxa"/>
          </w:tcPr>
          <w:p w14:paraId="3E7EEF44" w14:textId="3BC92AC5" w:rsidR="00062088" w:rsidRPr="0067507D" w:rsidRDefault="00E45584" w:rsidP="00062088">
            <w:pPr>
              <w:pStyle w:val="Tabletextright"/>
              <w:rPr>
                <w:rFonts w:cstheme="minorBidi"/>
              </w:rPr>
            </w:pPr>
            <w:r w:rsidRPr="0067507D">
              <w:rPr>
                <w:rFonts w:cstheme="minorBidi"/>
              </w:rPr>
              <w:t>2.</w:t>
            </w:r>
            <w:r w:rsidR="00AC5044" w:rsidRPr="0067507D">
              <w:rPr>
                <w:rFonts w:cstheme="minorBidi"/>
              </w:rPr>
              <w:t>5</w:t>
            </w:r>
          </w:p>
        </w:tc>
      </w:tr>
    </w:tbl>
    <w:p w14:paraId="2D5F10FB" w14:textId="3BBAC6C3" w:rsidR="005E6D06" w:rsidRPr="0067507D" w:rsidRDefault="005E6D06" w:rsidP="005E6D06">
      <w:pPr>
        <w:pStyle w:val="Notes"/>
      </w:pPr>
      <w:r w:rsidRPr="0067507D">
        <w:t>Note</w:t>
      </w:r>
      <w:r w:rsidR="002545E1" w:rsidRPr="0067507D">
        <w:t>s</w:t>
      </w:r>
      <w:r w:rsidRPr="0067507D">
        <w:t>:</w:t>
      </w:r>
    </w:p>
    <w:p w14:paraId="4C1042C0" w14:textId="028E4A75" w:rsidR="003E16BF" w:rsidRPr="0067507D" w:rsidRDefault="003E16BF" w:rsidP="003E16BF">
      <w:pPr>
        <w:pStyle w:val="Notes"/>
      </w:pPr>
      <w:r w:rsidRPr="0067507D">
        <w:t>(</w:t>
      </w:r>
      <w:r>
        <w:t>a</w:t>
      </w:r>
      <w:r w:rsidRPr="0067507D">
        <w:t>) Reported actuals may differ from previous annual reports due to data revisions by the ABS.</w:t>
      </w:r>
    </w:p>
    <w:p w14:paraId="331B2D79" w14:textId="4FB73321" w:rsidR="005E6D06" w:rsidRPr="0067507D" w:rsidRDefault="008F224C" w:rsidP="005E6D06">
      <w:pPr>
        <w:pStyle w:val="Notes"/>
      </w:pPr>
      <w:r w:rsidRPr="0067507D">
        <w:t>(</w:t>
      </w:r>
      <w:r w:rsidR="003E16BF">
        <w:t>b</w:t>
      </w:r>
      <w:r w:rsidRPr="0067507D">
        <w:t xml:space="preserve">) </w:t>
      </w:r>
      <w:r w:rsidR="005E6D06" w:rsidRPr="0067507D">
        <w:t xml:space="preserve">GSP per capita for </w:t>
      </w:r>
      <w:r w:rsidR="00C30F42" w:rsidRPr="0067507D">
        <w:t>2024</w:t>
      </w:r>
      <w:r w:rsidR="006A5485">
        <w:noBreakHyphen/>
      </w:r>
      <w:r w:rsidR="00C30F42" w:rsidRPr="0067507D">
        <w:t>25</w:t>
      </w:r>
      <w:r w:rsidR="005E6D06" w:rsidRPr="0067507D">
        <w:t xml:space="preserve"> will be published by the </w:t>
      </w:r>
      <w:r w:rsidR="00F94B29" w:rsidRPr="0067507D">
        <w:t>Australian Bureau of Statistics (</w:t>
      </w:r>
      <w:r w:rsidR="005E6D06" w:rsidRPr="0067507D">
        <w:t>ABS</w:t>
      </w:r>
      <w:r w:rsidR="00F94B29" w:rsidRPr="0067507D">
        <w:t>)</w:t>
      </w:r>
      <w:r w:rsidR="005E6D06" w:rsidRPr="0067507D">
        <w:t xml:space="preserve"> in November 202</w:t>
      </w:r>
      <w:r w:rsidR="000E7C60" w:rsidRPr="0067507D">
        <w:t>5</w:t>
      </w:r>
      <w:r w:rsidR="005E6D06" w:rsidRPr="0067507D">
        <w:t>.</w:t>
      </w:r>
    </w:p>
    <w:p w14:paraId="515DB1DE" w14:textId="77777777" w:rsidR="005E6D06" w:rsidRPr="0067507D" w:rsidRDefault="005E6D06" w:rsidP="005E6D06">
      <w:pPr>
        <w:pStyle w:val="Spacer"/>
      </w:pPr>
    </w:p>
    <w:p w14:paraId="127D7994" w14:textId="77777777" w:rsidR="005E6D06" w:rsidRPr="0067507D" w:rsidRDefault="005E6D06" w:rsidP="005E6D06">
      <w:pPr>
        <w:sectPr w:rsidR="005E6D06" w:rsidRPr="0067507D" w:rsidSect="003C4FA0">
          <w:type w:val="continuous"/>
          <w:pgSz w:w="11909" w:h="16834" w:code="9"/>
          <w:pgMar w:top="1728" w:right="1152" w:bottom="1152" w:left="1152" w:header="720" w:footer="288" w:gutter="0"/>
          <w:cols w:space="720"/>
          <w:noEndnote/>
        </w:sectPr>
      </w:pPr>
    </w:p>
    <w:p w14:paraId="72ADD3C4" w14:textId="191094DD" w:rsidR="005E6D06" w:rsidRPr="0067507D" w:rsidRDefault="003A5F34" w:rsidP="005E6D06">
      <w:pPr>
        <w:pStyle w:val="Heading4"/>
      </w:pPr>
      <w:r w:rsidRPr="0067507D">
        <w:rPr>
          <w:szCs w:val="16"/>
        </w:rPr>
        <w:lastRenderedPageBreak/>
        <w:t xml:space="preserve">Objective 3: </w:t>
      </w:r>
      <w:r w:rsidR="0030186D" w:rsidRPr="0067507D">
        <w:rPr>
          <w:szCs w:val="16"/>
        </w:rPr>
        <w:t>Improve how Government manages its balance sheet, commercial activities and public sector infrastructure</w:t>
      </w:r>
    </w:p>
    <w:p w14:paraId="11A1FE77" w14:textId="199088AA" w:rsidR="005E6D06" w:rsidRPr="0067507D" w:rsidRDefault="005E6D06" w:rsidP="005E6D06">
      <w:pPr>
        <w:pStyle w:val="Heading5"/>
        <w:rPr>
          <w:rFonts w:cstheme="minorHAnsi"/>
        </w:rPr>
      </w:pPr>
      <w:r w:rsidRPr="0067507D">
        <w:rPr>
          <w:rFonts w:cstheme="minorHAnsi"/>
        </w:rPr>
        <w:t>Objective indicators</w:t>
      </w:r>
    </w:p>
    <w:p w14:paraId="6C925145" w14:textId="0B816CD8" w:rsidR="0030186D" w:rsidRPr="0067507D" w:rsidRDefault="0030186D" w:rsidP="0030186D">
      <w:pPr>
        <w:pStyle w:val="ListNumber"/>
        <w:numPr>
          <w:ilvl w:val="0"/>
          <w:numId w:val="21"/>
        </w:numPr>
      </w:pPr>
      <w:r w:rsidRPr="0067507D">
        <w:t>High</w:t>
      </w:r>
      <w:r w:rsidR="006A5485">
        <w:noBreakHyphen/>
      </w:r>
      <w:r w:rsidRPr="0067507D">
        <w:t>Value High</w:t>
      </w:r>
      <w:r w:rsidR="006A5485">
        <w:noBreakHyphen/>
      </w:r>
      <w:r w:rsidRPr="0067507D">
        <w:t>Risk (HVHR) projects have had risks identified and managed through tailored project assurance, policy advice, governance and oversight to increase the likelihood that projects are completed within agreed timeframes, budget and scope.</w:t>
      </w:r>
    </w:p>
    <w:p w14:paraId="4444ACAB" w14:textId="52A70326" w:rsidR="0030186D" w:rsidRPr="0067507D" w:rsidRDefault="0030186D" w:rsidP="0030186D">
      <w:pPr>
        <w:pStyle w:val="ListNumber"/>
        <w:numPr>
          <w:ilvl w:val="0"/>
          <w:numId w:val="21"/>
        </w:numPr>
      </w:pPr>
      <w:r w:rsidRPr="0067507D">
        <w:t>Government Business Enterprises performing against agreed financial and non</w:t>
      </w:r>
      <w:r w:rsidR="006A5485">
        <w:noBreakHyphen/>
      </w:r>
      <w:r w:rsidRPr="0067507D">
        <w:t>financial indicators.</w:t>
      </w:r>
    </w:p>
    <w:p w14:paraId="19A0E57B" w14:textId="77777777" w:rsidR="0030186D" w:rsidRPr="0067507D" w:rsidRDefault="0030186D" w:rsidP="0030186D">
      <w:pPr>
        <w:pStyle w:val="ListNumber"/>
        <w:numPr>
          <w:ilvl w:val="0"/>
          <w:numId w:val="21"/>
        </w:numPr>
      </w:pPr>
      <w:r w:rsidRPr="0067507D">
        <w:t>Advice contributes to the achievement of government policies and priorities relating to Victoria’s balance sheet, commercial activities and public sector infrastructure.</w:t>
      </w:r>
    </w:p>
    <w:p w14:paraId="57E534C0" w14:textId="4C904C7E" w:rsidR="00D3617D" w:rsidRPr="0067507D" w:rsidRDefault="0030186D" w:rsidP="0030186D">
      <w:pPr>
        <w:pStyle w:val="ListNumber"/>
        <w:numPr>
          <w:ilvl w:val="0"/>
          <w:numId w:val="21"/>
        </w:numPr>
      </w:pPr>
      <w:r w:rsidRPr="0067507D">
        <w:t>Quality infrastructure drives economic growth activity in Victoria.</w:t>
      </w:r>
    </w:p>
    <w:p w14:paraId="20F34C11" w14:textId="5C8336EF" w:rsidR="00FF3926" w:rsidRPr="0067507D" w:rsidRDefault="002E60AF" w:rsidP="005E6D06">
      <w:pPr>
        <w:spacing w:before="0"/>
      </w:pPr>
      <w:r w:rsidRPr="0067507D">
        <w:rPr>
          <w:noProof/>
        </w:rPr>
        <w:drawing>
          <wp:inline distT="0" distB="0" distL="0" distR="0" wp14:anchorId="30DF47B1" wp14:editId="300033E2">
            <wp:extent cx="2820670" cy="2128520"/>
            <wp:effectExtent l="0" t="0" r="0" b="5080"/>
            <wp:docPr id="958405731" name="Chart 1" descr="Number of major capitals projects by year: June 20-21 (62); June 21-22 (89); June 22-23 (65); June 23-24 (63); and June 24-25 (63)">
              <a:extLst xmlns:a="http://schemas.openxmlformats.org/drawingml/2006/main">
                <a:ext uri="{FF2B5EF4-FFF2-40B4-BE49-F238E27FC236}">
                  <a16:creationId xmlns:a16="http://schemas.microsoft.com/office/drawing/2014/main" id="{6058688E-804E-4E7B-BF74-869533CC00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DFA24B2" w14:textId="32F157DD" w:rsidR="005E6D06" w:rsidRPr="0067507D" w:rsidRDefault="005E6D06" w:rsidP="00B5124B">
      <w:pPr>
        <w:pStyle w:val="Normalbold"/>
      </w:pPr>
      <w:r w:rsidRPr="0067507D">
        <w:t xml:space="preserve">Objective Indicator 1: </w:t>
      </w:r>
      <w:r w:rsidR="0030186D" w:rsidRPr="0067507D">
        <w:t>High</w:t>
      </w:r>
      <w:r w:rsidR="006A5485">
        <w:noBreakHyphen/>
      </w:r>
      <w:r w:rsidR="0030186D" w:rsidRPr="0067507D">
        <w:t>Value High</w:t>
      </w:r>
      <w:r w:rsidR="006A5485">
        <w:noBreakHyphen/>
      </w:r>
      <w:r w:rsidR="0030186D" w:rsidRPr="0067507D">
        <w:t>Risk (HVHR) projects have had risks identified and managed through tailored project assurance, policy advice, governance and oversight to increase the likelihood that projects are completed within agreed timeframes, budget and scope.</w:t>
      </w:r>
    </w:p>
    <w:p w14:paraId="4F3D2559" w14:textId="6E9781C5" w:rsidR="00335CD3" w:rsidRPr="0067507D" w:rsidRDefault="005D5F2F" w:rsidP="00586283">
      <w:pPr>
        <w:rPr>
          <w:rFonts w:eastAsia="VIC"/>
          <w:highlight w:val="yellow"/>
        </w:rPr>
      </w:pPr>
      <w:r w:rsidRPr="0067507D">
        <w:rPr>
          <w:rFonts w:eastAsia="VIC"/>
        </w:rPr>
        <w:t xml:space="preserve">There is ongoing assurance of HVHR projects </w:t>
      </w:r>
      <w:r w:rsidR="00FB40C3" w:rsidRPr="0067507D">
        <w:rPr>
          <w:rFonts w:eastAsia="VIC"/>
        </w:rPr>
        <w:t xml:space="preserve">across </w:t>
      </w:r>
      <w:r w:rsidR="002B5980" w:rsidRPr="0067507D">
        <w:rPr>
          <w:rFonts w:eastAsia="VIC"/>
        </w:rPr>
        <w:t>departments.</w:t>
      </w:r>
      <w:r w:rsidR="000A71C4" w:rsidRPr="0067507D">
        <w:rPr>
          <w:rFonts w:eastAsia="VIC"/>
        </w:rPr>
        <w:t xml:space="preserve"> </w:t>
      </w:r>
      <w:r w:rsidR="00651265" w:rsidRPr="0067507D">
        <w:rPr>
          <w:rFonts w:eastAsia="VIC"/>
        </w:rPr>
        <w:t xml:space="preserve">This has </w:t>
      </w:r>
      <w:r w:rsidR="004D540B" w:rsidRPr="0067507D">
        <w:rPr>
          <w:rFonts w:eastAsia="VIC"/>
        </w:rPr>
        <w:t xml:space="preserve">included </w:t>
      </w:r>
      <w:r w:rsidR="00281402" w:rsidRPr="0067507D">
        <w:rPr>
          <w:rFonts w:eastAsia="VIC"/>
        </w:rPr>
        <w:t xml:space="preserve">procurement </w:t>
      </w:r>
      <w:r w:rsidR="004D540B" w:rsidRPr="0067507D">
        <w:rPr>
          <w:rFonts w:eastAsia="VIC"/>
        </w:rPr>
        <w:t>milestone briefing advi</w:t>
      </w:r>
      <w:r w:rsidR="00B81649" w:rsidRPr="0067507D">
        <w:rPr>
          <w:rFonts w:eastAsia="VIC"/>
        </w:rPr>
        <w:t xml:space="preserve">ce on </w:t>
      </w:r>
      <w:r w:rsidR="006251A8" w:rsidRPr="0067507D">
        <w:rPr>
          <w:rFonts w:eastAsia="VIC"/>
        </w:rPr>
        <w:t xml:space="preserve">projects </w:t>
      </w:r>
      <w:r w:rsidR="0044598C" w:rsidRPr="0067507D">
        <w:rPr>
          <w:rFonts w:eastAsia="VIC"/>
        </w:rPr>
        <w:t xml:space="preserve">such as </w:t>
      </w:r>
      <w:r w:rsidR="006E6721" w:rsidRPr="0067507D">
        <w:rPr>
          <w:rFonts w:eastAsia="VIC"/>
        </w:rPr>
        <w:t xml:space="preserve">the Melbourne Arts Precinct </w:t>
      </w:r>
      <w:r w:rsidR="004428C3" w:rsidRPr="0067507D">
        <w:rPr>
          <w:rFonts w:eastAsia="VIC"/>
        </w:rPr>
        <w:t>T</w:t>
      </w:r>
      <w:r w:rsidR="006E6721" w:rsidRPr="0067507D">
        <w:rPr>
          <w:rFonts w:eastAsia="VIC"/>
        </w:rPr>
        <w:t xml:space="preserve">ransformation, </w:t>
      </w:r>
      <w:r w:rsidR="00DA64FD" w:rsidRPr="0067507D">
        <w:rPr>
          <w:rFonts w:eastAsia="VIC"/>
        </w:rPr>
        <w:t xml:space="preserve">Ballarat, </w:t>
      </w:r>
      <w:r w:rsidR="00335CD3" w:rsidRPr="0067507D">
        <w:rPr>
          <w:rFonts w:eastAsia="VIC"/>
        </w:rPr>
        <w:t>Boronia</w:t>
      </w:r>
      <w:r w:rsidR="00DA64FD" w:rsidRPr="0067507D">
        <w:rPr>
          <w:rFonts w:eastAsia="VIC"/>
        </w:rPr>
        <w:t xml:space="preserve"> and Tarneit West</w:t>
      </w:r>
      <w:r w:rsidR="00335CD3" w:rsidRPr="0067507D">
        <w:rPr>
          <w:rFonts w:eastAsia="VIC"/>
        </w:rPr>
        <w:t xml:space="preserve"> </w:t>
      </w:r>
      <w:r w:rsidR="00DA64FD" w:rsidRPr="0067507D">
        <w:rPr>
          <w:rFonts w:eastAsia="VIC"/>
        </w:rPr>
        <w:t>s</w:t>
      </w:r>
      <w:r w:rsidR="00335CD3" w:rsidRPr="0067507D">
        <w:rPr>
          <w:rFonts w:eastAsia="VIC"/>
        </w:rPr>
        <w:t xml:space="preserve">tation </w:t>
      </w:r>
      <w:r w:rsidR="00DA64FD" w:rsidRPr="0067507D">
        <w:rPr>
          <w:rFonts w:eastAsia="VIC"/>
        </w:rPr>
        <w:t>u</w:t>
      </w:r>
      <w:r w:rsidR="00335CD3" w:rsidRPr="0067507D">
        <w:rPr>
          <w:rFonts w:eastAsia="VIC"/>
        </w:rPr>
        <w:t>pgrade</w:t>
      </w:r>
      <w:r w:rsidR="00DA64FD" w:rsidRPr="0067507D">
        <w:rPr>
          <w:rFonts w:eastAsia="VIC"/>
        </w:rPr>
        <w:t>s</w:t>
      </w:r>
      <w:r w:rsidR="006E6721" w:rsidRPr="0067507D">
        <w:rPr>
          <w:rFonts w:eastAsia="VIC"/>
        </w:rPr>
        <w:t xml:space="preserve">, </w:t>
      </w:r>
      <w:r w:rsidR="00CC1E24" w:rsidRPr="0067507D">
        <w:rPr>
          <w:rFonts w:eastAsia="VIC"/>
        </w:rPr>
        <w:t>Northe</w:t>
      </w:r>
      <w:r w:rsidR="00371B03" w:rsidRPr="0067507D">
        <w:rPr>
          <w:rFonts w:eastAsia="VIC"/>
        </w:rPr>
        <w:t>r</w:t>
      </w:r>
      <w:r w:rsidR="00CC1E24" w:rsidRPr="0067507D">
        <w:rPr>
          <w:rFonts w:eastAsia="VIC"/>
        </w:rPr>
        <w:t xml:space="preserve">n Hospital redevelopment, </w:t>
      </w:r>
      <w:r w:rsidR="001603A7" w:rsidRPr="0067507D">
        <w:rPr>
          <w:rFonts w:eastAsia="VIC"/>
        </w:rPr>
        <w:t>NextGen Computer Aided Dispatch for Triple Zero</w:t>
      </w:r>
      <w:r w:rsidR="006049CC" w:rsidRPr="0067507D">
        <w:rPr>
          <w:rFonts w:eastAsia="VIC"/>
        </w:rPr>
        <w:t xml:space="preserve">, </w:t>
      </w:r>
      <w:r w:rsidR="00413D98" w:rsidRPr="0067507D">
        <w:rPr>
          <w:rFonts w:eastAsia="VIC"/>
        </w:rPr>
        <w:t xml:space="preserve">and </w:t>
      </w:r>
      <w:r w:rsidR="00335CD3" w:rsidRPr="0067507D">
        <w:rPr>
          <w:rFonts w:eastAsia="VIC"/>
        </w:rPr>
        <w:t xml:space="preserve">Monash Medical Centre Tower Expansion </w:t>
      </w:r>
      <w:r w:rsidR="00DA64FD" w:rsidRPr="0067507D">
        <w:rPr>
          <w:rFonts w:eastAsia="VIC"/>
        </w:rPr>
        <w:t>p</w:t>
      </w:r>
      <w:r w:rsidR="00335CD3" w:rsidRPr="0067507D">
        <w:rPr>
          <w:rFonts w:eastAsia="VIC"/>
        </w:rPr>
        <w:t>roject</w:t>
      </w:r>
      <w:r w:rsidR="006049CC" w:rsidRPr="0067507D">
        <w:rPr>
          <w:rFonts w:eastAsia="VIC"/>
        </w:rPr>
        <w:t>.</w:t>
      </w:r>
      <w:r w:rsidR="00335CD3" w:rsidRPr="0067507D">
        <w:rPr>
          <w:rFonts w:eastAsia="VIC"/>
        </w:rPr>
        <w:t xml:space="preserve"> </w:t>
      </w:r>
    </w:p>
    <w:p w14:paraId="46BDF254" w14:textId="63F3BCCB" w:rsidR="001022E5" w:rsidRPr="0067507D" w:rsidRDefault="00BC6A4C" w:rsidP="00586283">
      <w:pPr>
        <w:rPr>
          <w:rFonts w:eastAsia="VIC"/>
        </w:rPr>
      </w:pPr>
      <w:r w:rsidRPr="0067507D">
        <w:rPr>
          <w:rFonts w:eastAsia="VIC"/>
        </w:rPr>
        <w:t xml:space="preserve">DTF </w:t>
      </w:r>
      <w:r w:rsidR="006049CC" w:rsidRPr="0067507D">
        <w:rPr>
          <w:rFonts w:eastAsia="VIC"/>
        </w:rPr>
        <w:t xml:space="preserve">also </w:t>
      </w:r>
      <w:r w:rsidR="00C703CA" w:rsidRPr="0067507D">
        <w:rPr>
          <w:rFonts w:eastAsia="VIC"/>
        </w:rPr>
        <w:t>provided advice on Infrastructure Victoria’s 2023</w:t>
      </w:r>
      <w:r w:rsidR="006A5485">
        <w:rPr>
          <w:rFonts w:eastAsia="VIC"/>
        </w:rPr>
        <w:noBreakHyphen/>
      </w:r>
      <w:r w:rsidR="00C703CA" w:rsidRPr="0067507D">
        <w:rPr>
          <w:rFonts w:eastAsia="VIC"/>
        </w:rPr>
        <w:t>24 Annual Report and</w:t>
      </w:r>
      <w:r w:rsidRPr="0067507D">
        <w:rPr>
          <w:rFonts w:eastAsia="VIC"/>
        </w:rPr>
        <w:t xml:space="preserve"> regularly delivers Gateway </w:t>
      </w:r>
      <w:r w:rsidR="001A77B0" w:rsidRPr="0067507D">
        <w:rPr>
          <w:rFonts w:eastAsia="VIC"/>
        </w:rPr>
        <w:t>Reviews and undertakes Project Assurance Reviews.</w:t>
      </w:r>
    </w:p>
    <w:p w14:paraId="2ADFB110" w14:textId="1A9F46FD" w:rsidR="005E6D06" w:rsidRPr="0067507D" w:rsidRDefault="006F58B1" w:rsidP="005E6D06">
      <w:pPr>
        <w:pStyle w:val="Normalbold"/>
      </w:pPr>
      <w:r w:rsidRPr="0067507D">
        <w:br w:type="column"/>
      </w:r>
      <w:r w:rsidR="005E6D06" w:rsidRPr="0067507D">
        <w:t xml:space="preserve">Objective Indicator 2: </w:t>
      </w:r>
      <w:r w:rsidR="0030186D" w:rsidRPr="0067507D">
        <w:t>Government Business Enterprises performing against agreed financial and non</w:t>
      </w:r>
      <w:r w:rsidR="006A5485">
        <w:noBreakHyphen/>
      </w:r>
      <w:r w:rsidR="0030186D" w:rsidRPr="0067507D">
        <w:t>financial indicators.</w:t>
      </w:r>
    </w:p>
    <w:p w14:paraId="0E64B65B" w14:textId="394ED234" w:rsidR="005E6D06" w:rsidRPr="0067507D" w:rsidRDefault="005E6D06" w:rsidP="005E6D06">
      <w:r w:rsidRPr="0067507D">
        <w:rPr>
          <w:rFonts w:ascii="VIC" w:eastAsia="VIC" w:hAnsi="VIC" w:cs="VIC"/>
          <w:szCs w:val="17"/>
        </w:rPr>
        <w:t xml:space="preserve">As part of its oversight of Government Business Enterprises (GBEs) in </w:t>
      </w:r>
      <w:r w:rsidR="00C30F42" w:rsidRPr="0067507D">
        <w:rPr>
          <w:rFonts w:ascii="VIC" w:eastAsia="VIC" w:hAnsi="VIC" w:cs="VIC"/>
          <w:szCs w:val="17"/>
        </w:rPr>
        <w:t>2024</w:t>
      </w:r>
      <w:r w:rsidR="006A5485">
        <w:rPr>
          <w:rFonts w:ascii="VIC" w:eastAsia="VIC" w:hAnsi="VIC" w:cs="VIC"/>
          <w:szCs w:val="17"/>
        </w:rPr>
        <w:noBreakHyphen/>
      </w:r>
      <w:r w:rsidR="00C30F42" w:rsidRPr="0067507D">
        <w:rPr>
          <w:rFonts w:ascii="VIC" w:eastAsia="VIC" w:hAnsi="VIC" w:cs="VIC"/>
          <w:szCs w:val="17"/>
        </w:rPr>
        <w:t>25</w:t>
      </w:r>
      <w:r w:rsidRPr="0067507D">
        <w:rPr>
          <w:rFonts w:ascii="VIC" w:eastAsia="VIC" w:hAnsi="VIC" w:cs="VIC"/>
          <w:szCs w:val="17"/>
        </w:rPr>
        <w:t>, the Department regularly reviews</w:t>
      </w:r>
      <w:r w:rsidR="00935D91" w:rsidRPr="0067507D">
        <w:rPr>
          <w:rFonts w:ascii="VIC" w:eastAsia="VIC" w:hAnsi="VIC" w:cs="VIC"/>
          <w:szCs w:val="17"/>
        </w:rPr>
        <w:t>,</w:t>
      </w:r>
      <w:r w:rsidRPr="0067507D">
        <w:rPr>
          <w:rFonts w:ascii="VIC" w:eastAsia="VIC" w:hAnsi="VIC" w:cs="VIC"/>
          <w:szCs w:val="17"/>
        </w:rPr>
        <w:t xml:space="preserve"> analyses</w:t>
      </w:r>
      <w:r w:rsidR="00BE1AFB" w:rsidRPr="0067507D">
        <w:rPr>
          <w:rFonts w:ascii="VIC" w:eastAsia="VIC" w:hAnsi="VIC" w:cs="VIC"/>
          <w:szCs w:val="17"/>
        </w:rPr>
        <w:t>,</w:t>
      </w:r>
      <w:r w:rsidRPr="0067507D">
        <w:rPr>
          <w:rFonts w:ascii="VIC" w:eastAsia="VIC" w:hAnsi="VIC" w:cs="VIC"/>
          <w:szCs w:val="17"/>
        </w:rPr>
        <w:t xml:space="preserve"> and provides feedback to GBEs through the annual corporate planning cycle. The Treasurer and </w:t>
      </w:r>
      <w:r w:rsidR="00163B96" w:rsidRPr="0067507D">
        <w:rPr>
          <w:rFonts w:ascii="VIC" w:eastAsia="VIC" w:hAnsi="VIC" w:cs="VIC"/>
          <w:szCs w:val="17"/>
        </w:rPr>
        <w:t>Minister for Finance</w:t>
      </w:r>
      <w:r w:rsidR="00C90D63" w:rsidRPr="0067507D">
        <w:rPr>
          <w:rFonts w:ascii="VIC" w:eastAsia="VIC" w:hAnsi="VIC" w:cs="VIC"/>
          <w:szCs w:val="17"/>
        </w:rPr>
        <w:t xml:space="preserve"> are</w:t>
      </w:r>
      <w:r w:rsidRPr="0067507D">
        <w:rPr>
          <w:rFonts w:ascii="VIC" w:eastAsia="VIC" w:hAnsi="VIC" w:cs="VIC"/>
          <w:szCs w:val="17"/>
        </w:rPr>
        <w:t xml:space="preserve"> formally briefed and approve relevant GBE corporate plans.</w:t>
      </w:r>
    </w:p>
    <w:p w14:paraId="48B47DC0" w14:textId="5ECA22FA" w:rsidR="005E6D06" w:rsidRPr="0067507D" w:rsidRDefault="005E6D06" w:rsidP="005E6D06">
      <w:pPr>
        <w:rPr>
          <w:rFonts w:ascii="VIC" w:eastAsia="VIC" w:hAnsi="VIC" w:cs="VIC"/>
          <w:szCs w:val="17"/>
        </w:rPr>
      </w:pPr>
      <w:r w:rsidRPr="0067507D">
        <w:rPr>
          <w:rFonts w:ascii="VIC" w:eastAsia="VIC" w:hAnsi="VIC" w:cs="VIC"/>
          <w:szCs w:val="17"/>
        </w:rPr>
        <w:t xml:space="preserve">All GBE corporate plans and quarterly performance reports </w:t>
      </w:r>
      <w:r w:rsidR="001E6BEB" w:rsidRPr="0067507D">
        <w:rPr>
          <w:rFonts w:ascii="VIC" w:eastAsia="VIC" w:hAnsi="VIC" w:cs="VIC"/>
          <w:szCs w:val="17"/>
        </w:rPr>
        <w:t>are</w:t>
      </w:r>
      <w:r w:rsidRPr="0067507D">
        <w:rPr>
          <w:rFonts w:ascii="VIC" w:eastAsia="VIC" w:hAnsi="VIC" w:cs="VIC"/>
          <w:szCs w:val="17"/>
        </w:rPr>
        <w:t xml:space="preserve"> reviewed and analysed against key financial and performance indicators to ensure that there are no unexpected financial losses. GBEs remain financially viable and are achieving the objectives set by shareholder Ministers on behalf of the </w:t>
      </w:r>
      <w:r w:rsidR="00E8105B" w:rsidRPr="0067507D">
        <w:rPr>
          <w:rFonts w:ascii="VIC" w:eastAsia="VIC" w:hAnsi="VIC" w:cs="VIC"/>
          <w:szCs w:val="17"/>
        </w:rPr>
        <w:t>S</w:t>
      </w:r>
      <w:r w:rsidRPr="0067507D">
        <w:rPr>
          <w:rFonts w:ascii="VIC" w:eastAsia="VIC" w:hAnsi="VIC" w:cs="VIC"/>
          <w:szCs w:val="17"/>
        </w:rPr>
        <w:t>tate as owner of these entities. Shareholder Ministers are also briefed on key risks and their management.</w:t>
      </w:r>
    </w:p>
    <w:p w14:paraId="4F490D89" w14:textId="6352553E" w:rsidR="005E6D06" w:rsidRPr="0067507D" w:rsidRDefault="005E6D06" w:rsidP="005C4B08">
      <w:pPr>
        <w:pStyle w:val="Normalbold"/>
      </w:pPr>
      <w:r w:rsidRPr="0067507D">
        <w:t xml:space="preserve">Objective Indicator 3: </w:t>
      </w:r>
      <w:r w:rsidR="0030186D" w:rsidRPr="0067507D">
        <w:t>Advice contributes to the achievement of government policies and priorities relating to Victoria’s balance sheet, commercial activities and public sector infrastructure.</w:t>
      </w:r>
    </w:p>
    <w:p w14:paraId="65224D89" w14:textId="77777777" w:rsidR="009312DA" w:rsidRPr="0067507D" w:rsidRDefault="005E6D06" w:rsidP="005E6D06">
      <w:r w:rsidRPr="0067507D">
        <w:rPr>
          <w:rFonts w:ascii="VIC" w:eastAsia="VIC" w:hAnsi="VIC" w:cs="VIC"/>
          <w:szCs w:val="17"/>
        </w:rPr>
        <w:t>DTF</w:t>
      </w:r>
      <w:r w:rsidRPr="0067507D">
        <w:rPr>
          <w:rFonts w:eastAsia="Tahoma"/>
        </w:rPr>
        <w:t xml:space="preserve"> continues to provide advice to the Treasurer and </w:t>
      </w:r>
      <w:r w:rsidR="007002CB" w:rsidRPr="0067507D">
        <w:rPr>
          <w:rFonts w:eastAsia="Tahoma"/>
        </w:rPr>
        <w:t>Minister for Finance</w:t>
      </w:r>
      <w:r w:rsidRPr="0067507D">
        <w:rPr>
          <w:rFonts w:eastAsia="Tahoma"/>
        </w:rPr>
        <w:t xml:space="preserve"> </w:t>
      </w:r>
      <w:r w:rsidR="00A83A9D" w:rsidRPr="0067507D">
        <w:t xml:space="preserve">relating to balance sheet management, commercial activities and public sector infrastructure, and activities undertaken by Victorian </w:t>
      </w:r>
      <w:r w:rsidR="003B30BA" w:rsidRPr="0067507D">
        <w:t>public non</w:t>
      </w:r>
      <w:r w:rsidR="003B30BA" w:rsidRPr="0067507D">
        <w:noBreakHyphen/>
        <w:t>financial corporations</w:t>
      </w:r>
      <w:r w:rsidR="00A83A9D" w:rsidRPr="0067507D">
        <w:t xml:space="preserve"> for which the Treasurer is the shareholder.</w:t>
      </w:r>
      <w:r w:rsidR="00165C3D" w:rsidRPr="0067507D">
        <w:t xml:space="preserve"> </w:t>
      </w:r>
    </w:p>
    <w:p w14:paraId="26DC7D70" w14:textId="2A877650" w:rsidR="009312DA" w:rsidRPr="0067507D" w:rsidRDefault="00165C3D" w:rsidP="005E6D06">
      <w:r w:rsidRPr="0067507D">
        <w:t xml:space="preserve">Key credit exposures are </w:t>
      </w:r>
      <w:r w:rsidR="00885920" w:rsidRPr="0067507D">
        <w:t>reviewed</w:t>
      </w:r>
      <w:r w:rsidR="008433D1" w:rsidRPr="0067507D">
        <w:t xml:space="preserve"> monthly</w:t>
      </w:r>
      <w:r w:rsidR="00841FA9" w:rsidRPr="0067507D">
        <w:t xml:space="preserve"> </w:t>
      </w:r>
      <w:r w:rsidR="000B71F2" w:rsidRPr="0067507D">
        <w:t xml:space="preserve">by </w:t>
      </w:r>
      <w:r w:rsidR="002154BD" w:rsidRPr="0067507D">
        <w:t>taking into</w:t>
      </w:r>
      <w:r w:rsidR="00A871A3" w:rsidRPr="0067507D">
        <w:t xml:space="preserve"> consideration the terms of the different </w:t>
      </w:r>
      <w:r w:rsidR="00DA3819" w:rsidRPr="0067507D">
        <w:t>loan schemes</w:t>
      </w:r>
      <w:r w:rsidR="002E797A" w:rsidRPr="0067507D">
        <w:t>.</w:t>
      </w:r>
      <w:r w:rsidR="009312DA" w:rsidRPr="0067507D">
        <w:t xml:space="preserve"> </w:t>
      </w:r>
      <w:r w:rsidR="00B30F90" w:rsidRPr="0067507D">
        <w:t>The financial performance of the PNFC sector is actively monitored by DTF and</w:t>
      </w:r>
      <w:r w:rsidR="008B737D" w:rsidRPr="0067507D">
        <w:t>,</w:t>
      </w:r>
      <w:r w:rsidR="00B30F90" w:rsidRPr="0067507D">
        <w:t xml:space="preserve"> where </w:t>
      </w:r>
      <w:r w:rsidR="00D57E84" w:rsidRPr="0067507D">
        <w:t>appropriate</w:t>
      </w:r>
      <w:r w:rsidR="008B737D" w:rsidRPr="0067507D">
        <w:t>,</w:t>
      </w:r>
      <w:r w:rsidR="00D57E84" w:rsidRPr="0067507D">
        <w:t xml:space="preserve"> </w:t>
      </w:r>
      <w:r w:rsidR="008B737D" w:rsidRPr="0067507D">
        <w:t xml:space="preserve">DTF </w:t>
      </w:r>
      <w:r w:rsidR="00D57E84" w:rsidRPr="0067507D">
        <w:t xml:space="preserve">works in partnership with portfolio departments and agencies to actively manage the </w:t>
      </w:r>
      <w:r w:rsidR="00EF6D89" w:rsidRPr="0067507D">
        <w:t>performance of the sector</w:t>
      </w:r>
      <w:r w:rsidR="00D57E84" w:rsidRPr="0067507D">
        <w:t xml:space="preserve">. </w:t>
      </w:r>
    </w:p>
    <w:p w14:paraId="7FA96CF0" w14:textId="0786BB3E" w:rsidR="00E37973" w:rsidRPr="0067507D" w:rsidRDefault="00391696" w:rsidP="005E6D06">
      <w:r w:rsidRPr="0067507D">
        <w:t xml:space="preserve">The Victorian Future </w:t>
      </w:r>
      <w:r w:rsidR="000126AC" w:rsidRPr="0067507D">
        <w:t>Fund</w:t>
      </w:r>
      <w:r w:rsidR="00DE1DB6" w:rsidRPr="0067507D">
        <w:t xml:space="preserve"> </w:t>
      </w:r>
      <w:r w:rsidR="000126AC" w:rsidRPr="0067507D">
        <w:t xml:space="preserve">supports the </w:t>
      </w:r>
      <w:r w:rsidR="003E010D" w:rsidRPr="0067507D">
        <w:t xml:space="preserve">State’s </w:t>
      </w:r>
      <w:r w:rsidR="00500961" w:rsidRPr="0067507D">
        <w:t>debt stabilisation strategy</w:t>
      </w:r>
      <w:r w:rsidR="001639F6" w:rsidRPr="0067507D">
        <w:t xml:space="preserve">. The </w:t>
      </w:r>
      <w:r w:rsidR="000126AC" w:rsidRPr="0067507D">
        <w:t>VFF</w:t>
      </w:r>
      <w:r w:rsidR="001639F6" w:rsidRPr="0067507D">
        <w:t xml:space="preserve"> is monitored by the Department with support from the Victorian Funds Management Corporation</w:t>
      </w:r>
      <w:r w:rsidR="006F47C5" w:rsidRPr="0067507D">
        <w:t>.</w:t>
      </w:r>
    </w:p>
    <w:p w14:paraId="201EBCB4" w14:textId="22D1DAE2" w:rsidR="005E6D06" w:rsidRPr="0067507D" w:rsidRDefault="005E6D06" w:rsidP="005C4B08">
      <w:pPr>
        <w:pStyle w:val="Normalbold"/>
      </w:pPr>
      <w:r w:rsidRPr="0067507D">
        <w:t xml:space="preserve">Objective Indicator 4: </w:t>
      </w:r>
      <w:r w:rsidR="0030186D" w:rsidRPr="0067507D">
        <w:t>Quality infrastructure drives economic growth activity in Victoria.</w:t>
      </w:r>
    </w:p>
    <w:p w14:paraId="325661BE" w14:textId="6493F079" w:rsidR="00E612ED" w:rsidRPr="0067507D" w:rsidRDefault="00EF2590" w:rsidP="005C4B08">
      <w:pPr>
        <w:keepNext/>
        <w:ind w:right="-148"/>
        <w:rPr>
          <w:rFonts w:ascii="VIC" w:hAnsi="VIC"/>
        </w:rPr>
      </w:pPr>
      <w:r w:rsidRPr="0067507D">
        <w:rPr>
          <w:rFonts w:ascii="VIC" w:hAnsi="VIC"/>
        </w:rPr>
        <w:t>Infrastructure Victoria continues to improve long</w:t>
      </w:r>
      <w:r w:rsidR="007D72D5" w:rsidRPr="0067507D">
        <w:rPr>
          <w:rFonts w:ascii="VIC" w:hAnsi="VIC"/>
          <w:szCs w:val="17"/>
        </w:rPr>
        <w:noBreakHyphen/>
      </w:r>
      <w:r w:rsidRPr="0067507D">
        <w:rPr>
          <w:rFonts w:ascii="VIC" w:hAnsi="VIC"/>
        </w:rPr>
        <w:t xml:space="preserve">term infrastructure planning through </w:t>
      </w:r>
      <w:r w:rsidR="00A561CC" w:rsidRPr="0067507D">
        <w:rPr>
          <w:rFonts w:ascii="VIC" w:hAnsi="VIC"/>
        </w:rPr>
        <w:t>research</w:t>
      </w:r>
      <w:r w:rsidRPr="0067507D">
        <w:rPr>
          <w:rFonts w:ascii="VIC" w:hAnsi="VIC"/>
        </w:rPr>
        <w:t xml:space="preserve"> that uses a strong evidence base coupled with extensive consultation. Infrastructure Victoria’s work spans all sectors including culture, sport and community, digital connectivity, education, energy, environment, health and human services, justice and emergency services and water, plus land use planning. </w:t>
      </w:r>
    </w:p>
    <w:p w14:paraId="737BA8E2" w14:textId="0B106361" w:rsidR="00767DA0" w:rsidRPr="0067507D" w:rsidRDefault="004745A2" w:rsidP="005E6D06">
      <w:pPr>
        <w:rPr>
          <w:rFonts w:ascii="VIC" w:hAnsi="VIC"/>
          <w:szCs w:val="17"/>
        </w:rPr>
      </w:pPr>
      <w:r w:rsidRPr="0067507D">
        <w:rPr>
          <w:rFonts w:ascii="VIC" w:hAnsi="VIC"/>
          <w:szCs w:val="17"/>
        </w:rPr>
        <w:t xml:space="preserve">During </w:t>
      </w:r>
      <w:r w:rsidR="00C30F42" w:rsidRPr="0067507D">
        <w:rPr>
          <w:rFonts w:ascii="VIC" w:hAnsi="VIC"/>
          <w:szCs w:val="17"/>
        </w:rPr>
        <w:t>2024</w:t>
      </w:r>
      <w:r w:rsidR="006A5485">
        <w:rPr>
          <w:rFonts w:ascii="VIC" w:hAnsi="VIC"/>
          <w:szCs w:val="17"/>
        </w:rPr>
        <w:noBreakHyphen/>
      </w:r>
      <w:r w:rsidR="00C30F42" w:rsidRPr="0067507D">
        <w:rPr>
          <w:rFonts w:ascii="VIC" w:hAnsi="VIC"/>
          <w:szCs w:val="17"/>
        </w:rPr>
        <w:t>25</w:t>
      </w:r>
      <w:r w:rsidRPr="0067507D">
        <w:rPr>
          <w:rFonts w:ascii="VIC" w:hAnsi="VIC"/>
          <w:szCs w:val="17"/>
        </w:rPr>
        <w:t>,</w:t>
      </w:r>
      <w:r w:rsidR="00EF2590" w:rsidRPr="0067507D">
        <w:rPr>
          <w:rFonts w:ascii="VIC" w:hAnsi="VIC"/>
          <w:szCs w:val="17"/>
        </w:rPr>
        <w:t xml:space="preserve"> Infrastructure Victoria published </w:t>
      </w:r>
      <w:r w:rsidRPr="0067507D">
        <w:rPr>
          <w:rFonts w:ascii="VIC" w:hAnsi="VIC"/>
          <w:szCs w:val="17"/>
        </w:rPr>
        <w:t>s</w:t>
      </w:r>
      <w:r w:rsidR="00DB0733" w:rsidRPr="0067507D">
        <w:rPr>
          <w:rFonts w:ascii="VIC" w:hAnsi="VIC"/>
          <w:szCs w:val="17"/>
        </w:rPr>
        <w:t>ix</w:t>
      </w:r>
      <w:r w:rsidRPr="0067507D">
        <w:rPr>
          <w:rFonts w:ascii="VIC" w:hAnsi="VIC"/>
          <w:szCs w:val="17"/>
        </w:rPr>
        <w:t xml:space="preserve"> </w:t>
      </w:r>
      <w:r w:rsidR="00D23D47" w:rsidRPr="0067507D">
        <w:rPr>
          <w:rFonts w:ascii="VIC" w:hAnsi="VIC"/>
          <w:szCs w:val="17"/>
        </w:rPr>
        <w:t xml:space="preserve">significant </w:t>
      </w:r>
      <w:r w:rsidRPr="0067507D">
        <w:rPr>
          <w:rFonts w:ascii="VIC" w:hAnsi="VIC"/>
          <w:szCs w:val="17"/>
        </w:rPr>
        <w:t xml:space="preserve">reports. </w:t>
      </w:r>
    </w:p>
    <w:p w14:paraId="0C3584D1" w14:textId="2836DF22" w:rsidR="00CF4445" w:rsidRPr="0067507D" w:rsidRDefault="00EF2590" w:rsidP="005E6D06">
      <w:pPr>
        <w:rPr>
          <w:rFonts w:ascii="VIC" w:hAnsi="VIC"/>
          <w:szCs w:val="17"/>
        </w:rPr>
      </w:pPr>
      <w:r w:rsidRPr="0067507D">
        <w:rPr>
          <w:rFonts w:ascii="VIC" w:hAnsi="VIC"/>
          <w:szCs w:val="17"/>
        </w:rPr>
        <w:lastRenderedPageBreak/>
        <w:t xml:space="preserve">In the first quarter </w:t>
      </w:r>
      <w:r w:rsidR="001D0097" w:rsidRPr="0067507D">
        <w:rPr>
          <w:rFonts w:ascii="VIC" w:hAnsi="VIC"/>
          <w:szCs w:val="17"/>
        </w:rPr>
        <w:t xml:space="preserve">of </w:t>
      </w:r>
      <w:r w:rsidR="00C30F42" w:rsidRPr="0067507D">
        <w:rPr>
          <w:rFonts w:ascii="VIC" w:hAnsi="VIC"/>
          <w:szCs w:val="17"/>
        </w:rPr>
        <w:t>2024</w:t>
      </w:r>
      <w:r w:rsidR="006A5485">
        <w:rPr>
          <w:rFonts w:ascii="VIC" w:hAnsi="VIC"/>
          <w:szCs w:val="17"/>
        </w:rPr>
        <w:noBreakHyphen/>
      </w:r>
      <w:r w:rsidR="00C30F42" w:rsidRPr="0067507D">
        <w:rPr>
          <w:rFonts w:ascii="VIC" w:hAnsi="VIC"/>
          <w:szCs w:val="17"/>
        </w:rPr>
        <w:t>25</w:t>
      </w:r>
      <w:r w:rsidR="00B73380" w:rsidRPr="0067507D">
        <w:rPr>
          <w:rFonts w:ascii="VIC" w:hAnsi="VIC"/>
          <w:szCs w:val="17"/>
        </w:rPr>
        <w:t>,</w:t>
      </w:r>
      <w:r w:rsidRPr="0067507D">
        <w:rPr>
          <w:rFonts w:ascii="VIC" w:hAnsi="VIC"/>
          <w:szCs w:val="17"/>
        </w:rPr>
        <w:t xml:space="preserve"> Infrastructure Victoria published</w:t>
      </w:r>
      <w:r w:rsidR="00146869" w:rsidRPr="0067507D">
        <w:rPr>
          <w:rFonts w:ascii="VIC" w:hAnsi="VIC"/>
          <w:szCs w:val="17"/>
        </w:rPr>
        <w:t xml:space="preserve"> </w:t>
      </w:r>
      <w:r w:rsidR="00D23D47" w:rsidRPr="0067507D">
        <w:rPr>
          <w:rFonts w:ascii="VIC" w:hAnsi="VIC"/>
          <w:szCs w:val="17"/>
        </w:rPr>
        <w:t>the</w:t>
      </w:r>
      <w:r w:rsidRPr="0067507D">
        <w:rPr>
          <w:rFonts w:ascii="VIC" w:hAnsi="VIC"/>
          <w:szCs w:val="17"/>
        </w:rPr>
        <w:t xml:space="preserve"> </w:t>
      </w:r>
      <w:r w:rsidR="00D23D47" w:rsidRPr="0067507D">
        <w:rPr>
          <w:rFonts w:ascii="VIC" w:hAnsi="VIC"/>
          <w:i/>
          <w:iCs/>
          <w:szCs w:val="17"/>
        </w:rPr>
        <w:t xml:space="preserve">Digital </w:t>
      </w:r>
      <w:r w:rsidR="00E25D8D" w:rsidRPr="0067507D">
        <w:rPr>
          <w:rFonts w:ascii="VIC" w:hAnsi="VIC"/>
          <w:i/>
          <w:iCs/>
          <w:szCs w:val="17"/>
        </w:rPr>
        <w:t>t</w:t>
      </w:r>
      <w:r w:rsidR="003F68CE" w:rsidRPr="0067507D">
        <w:rPr>
          <w:rFonts w:ascii="VIC" w:hAnsi="VIC"/>
          <w:i/>
          <w:iCs/>
          <w:szCs w:val="17"/>
        </w:rPr>
        <w:t xml:space="preserve">echnology and </w:t>
      </w:r>
      <w:r w:rsidR="00E25D8D" w:rsidRPr="0067507D">
        <w:rPr>
          <w:rFonts w:ascii="VIC" w:hAnsi="VIC"/>
          <w:i/>
          <w:iCs/>
          <w:szCs w:val="17"/>
        </w:rPr>
        <w:t>i</w:t>
      </w:r>
      <w:r w:rsidR="003F68CE" w:rsidRPr="0067507D">
        <w:rPr>
          <w:rFonts w:ascii="VIC" w:hAnsi="VIC"/>
          <w:i/>
          <w:iCs/>
          <w:szCs w:val="17"/>
        </w:rPr>
        <w:t>nfrastructure productivity</w:t>
      </w:r>
      <w:r w:rsidR="00FB029F" w:rsidRPr="0067507D">
        <w:rPr>
          <w:rFonts w:ascii="VIC" w:hAnsi="VIC"/>
          <w:szCs w:val="17"/>
        </w:rPr>
        <w:t xml:space="preserve"> report </w:t>
      </w:r>
      <w:r w:rsidR="003F68CE" w:rsidRPr="0067507D">
        <w:rPr>
          <w:rFonts w:ascii="VIC" w:hAnsi="VIC"/>
          <w:szCs w:val="17"/>
        </w:rPr>
        <w:t>which assessed 25 existing digital technologies and their potential to boost productivity across government infrastructure in the near term</w:t>
      </w:r>
      <w:r w:rsidR="009953B8" w:rsidRPr="0067507D">
        <w:rPr>
          <w:rFonts w:ascii="VIC" w:hAnsi="VIC"/>
          <w:szCs w:val="17"/>
        </w:rPr>
        <w:t>.</w:t>
      </w:r>
      <w:r w:rsidR="007458E0" w:rsidRPr="0067507D">
        <w:rPr>
          <w:rFonts w:ascii="VIC" w:hAnsi="VIC"/>
          <w:szCs w:val="17"/>
        </w:rPr>
        <w:t xml:space="preserve"> </w:t>
      </w:r>
    </w:p>
    <w:p w14:paraId="424487E3" w14:textId="6BC45CB1" w:rsidR="00A30722" w:rsidRPr="0067507D" w:rsidRDefault="00F52934" w:rsidP="005E6D06">
      <w:pPr>
        <w:rPr>
          <w:rFonts w:ascii="VIC" w:hAnsi="VIC"/>
          <w:szCs w:val="17"/>
        </w:rPr>
      </w:pPr>
      <w:r w:rsidRPr="0067507D">
        <w:rPr>
          <w:rFonts w:ascii="VIC" w:hAnsi="VIC"/>
          <w:szCs w:val="17"/>
        </w:rPr>
        <w:t>In the second quarter</w:t>
      </w:r>
      <w:r w:rsidR="004850D1" w:rsidRPr="0067507D">
        <w:rPr>
          <w:rFonts w:ascii="VIC" w:hAnsi="VIC"/>
          <w:szCs w:val="17"/>
        </w:rPr>
        <w:t>,</w:t>
      </w:r>
      <w:r w:rsidR="00B033FC" w:rsidRPr="0067507D">
        <w:rPr>
          <w:rFonts w:ascii="VIC" w:hAnsi="VIC"/>
          <w:szCs w:val="17"/>
        </w:rPr>
        <w:t xml:space="preserve"> Infrastructure Victoria published</w:t>
      </w:r>
      <w:r w:rsidR="00C82B4D" w:rsidRPr="0067507D">
        <w:rPr>
          <w:rFonts w:ascii="VIC" w:hAnsi="VIC"/>
          <w:szCs w:val="17"/>
        </w:rPr>
        <w:t xml:space="preserve"> the</w:t>
      </w:r>
      <w:r w:rsidR="00B033FC" w:rsidRPr="0067507D">
        <w:rPr>
          <w:rFonts w:ascii="VIC" w:hAnsi="VIC"/>
          <w:szCs w:val="17"/>
        </w:rPr>
        <w:t xml:space="preserve"> </w:t>
      </w:r>
      <w:r w:rsidR="00654915" w:rsidRPr="0067507D">
        <w:rPr>
          <w:rFonts w:ascii="VIC" w:hAnsi="VIC"/>
          <w:i/>
          <w:iCs/>
          <w:szCs w:val="17"/>
        </w:rPr>
        <w:t xml:space="preserve">Getting </w:t>
      </w:r>
      <w:r w:rsidR="00E25D8D" w:rsidRPr="0067507D">
        <w:rPr>
          <w:rFonts w:ascii="VIC" w:hAnsi="VIC"/>
          <w:i/>
          <w:iCs/>
          <w:szCs w:val="17"/>
        </w:rPr>
        <w:t>m</w:t>
      </w:r>
      <w:r w:rsidR="00654915" w:rsidRPr="0067507D">
        <w:rPr>
          <w:rFonts w:ascii="VIC" w:hAnsi="VIC"/>
          <w:i/>
          <w:iCs/>
          <w:szCs w:val="17"/>
        </w:rPr>
        <w:t xml:space="preserve">ore </w:t>
      </w:r>
      <w:r w:rsidR="00E25D8D" w:rsidRPr="0067507D">
        <w:rPr>
          <w:rFonts w:ascii="VIC" w:hAnsi="VIC"/>
          <w:i/>
          <w:iCs/>
          <w:szCs w:val="17"/>
        </w:rPr>
        <w:t>f</w:t>
      </w:r>
      <w:r w:rsidR="00654915" w:rsidRPr="0067507D">
        <w:rPr>
          <w:rFonts w:ascii="VIC" w:hAnsi="VIC"/>
          <w:i/>
          <w:iCs/>
          <w:szCs w:val="17"/>
        </w:rPr>
        <w:t xml:space="preserve">rom </w:t>
      </w:r>
      <w:r w:rsidR="00E25D8D" w:rsidRPr="0067507D">
        <w:rPr>
          <w:rFonts w:ascii="VIC" w:hAnsi="VIC"/>
          <w:i/>
          <w:iCs/>
          <w:szCs w:val="17"/>
        </w:rPr>
        <w:t>s</w:t>
      </w:r>
      <w:r w:rsidR="00654915" w:rsidRPr="0067507D">
        <w:rPr>
          <w:rFonts w:ascii="VIC" w:hAnsi="VIC"/>
          <w:i/>
          <w:iCs/>
          <w:szCs w:val="17"/>
        </w:rPr>
        <w:t xml:space="preserve">chool </w:t>
      </w:r>
      <w:r w:rsidR="00E25D8D" w:rsidRPr="0067507D">
        <w:rPr>
          <w:rFonts w:ascii="VIC" w:hAnsi="VIC"/>
          <w:i/>
          <w:iCs/>
          <w:szCs w:val="17"/>
        </w:rPr>
        <w:t>g</w:t>
      </w:r>
      <w:r w:rsidR="00654915" w:rsidRPr="0067507D">
        <w:rPr>
          <w:rFonts w:ascii="VIC" w:hAnsi="VIC"/>
          <w:i/>
          <w:iCs/>
          <w:szCs w:val="17"/>
        </w:rPr>
        <w:t xml:space="preserve">rounds </w:t>
      </w:r>
      <w:r w:rsidR="00654915" w:rsidRPr="0067507D">
        <w:rPr>
          <w:rFonts w:ascii="VIC" w:hAnsi="VIC"/>
          <w:szCs w:val="17"/>
        </w:rPr>
        <w:t>report</w:t>
      </w:r>
      <w:r w:rsidR="00B033FC" w:rsidRPr="0067507D">
        <w:rPr>
          <w:rFonts w:ascii="VIC" w:hAnsi="VIC"/>
          <w:szCs w:val="17"/>
        </w:rPr>
        <w:t xml:space="preserve"> </w:t>
      </w:r>
      <w:r w:rsidR="004C4636" w:rsidRPr="0067507D">
        <w:rPr>
          <w:rFonts w:ascii="VIC" w:hAnsi="VIC"/>
          <w:szCs w:val="17"/>
        </w:rPr>
        <w:t xml:space="preserve">which provided evidence on </w:t>
      </w:r>
      <w:r w:rsidR="00F40002" w:rsidRPr="0067507D">
        <w:rPr>
          <w:rFonts w:ascii="VIC" w:hAnsi="VIC"/>
          <w:szCs w:val="17"/>
        </w:rPr>
        <w:t xml:space="preserve">the </w:t>
      </w:r>
      <w:r w:rsidR="004C4636" w:rsidRPr="0067507D">
        <w:rPr>
          <w:rFonts w:ascii="VIC" w:hAnsi="VIC"/>
          <w:szCs w:val="17"/>
        </w:rPr>
        <w:t>need for more open spac</w:t>
      </w:r>
      <w:r w:rsidR="00853650" w:rsidRPr="0067507D">
        <w:rPr>
          <w:rFonts w:ascii="VIC" w:hAnsi="VIC"/>
          <w:szCs w:val="17"/>
        </w:rPr>
        <w:t xml:space="preserve">es for communities to use, as well as advice on ways the </w:t>
      </w:r>
      <w:r w:rsidR="00F40002" w:rsidRPr="0067507D">
        <w:rPr>
          <w:rFonts w:ascii="VIC" w:hAnsi="VIC"/>
          <w:szCs w:val="17"/>
        </w:rPr>
        <w:t xml:space="preserve">Government </w:t>
      </w:r>
      <w:r w:rsidR="00853650" w:rsidRPr="0067507D">
        <w:rPr>
          <w:rFonts w:ascii="VIC" w:hAnsi="VIC"/>
          <w:szCs w:val="17"/>
        </w:rPr>
        <w:t>can help schools share outdoor spaces with communities.</w:t>
      </w:r>
      <w:r w:rsidR="00F40002" w:rsidRPr="0067507D">
        <w:rPr>
          <w:rFonts w:ascii="VIC" w:hAnsi="VIC"/>
          <w:szCs w:val="17"/>
        </w:rPr>
        <w:t xml:space="preserve"> </w:t>
      </w:r>
      <w:r w:rsidR="004B2309" w:rsidRPr="0067507D">
        <w:rPr>
          <w:rFonts w:ascii="VIC" w:hAnsi="VIC"/>
          <w:szCs w:val="17"/>
        </w:rPr>
        <w:t>Another report that was published</w:t>
      </w:r>
      <w:r w:rsidR="00EE4E34" w:rsidRPr="0067507D">
        <w:rPr>
          <w:rFonts w:ascii="VIC" w:hAnsi="VIC"/>
          <w:szCs w:val="17"/>
        </w:rPr>
        <w:t xml:space="preserve"> in </w:t>
      </w:r>
      <w:r w:rsidR="00146869" w:rsidRPr="0067507D">
        <w:rPr>
          <w:rFonts w:ascii="VIC" w:hAnsi="VIC"/>
          <w:szCs w:val="17"/>
        </w:rPr>
        <w:t xml:space="preserve">the </w:t>
      </w:r>
      <w:r w:rsidR="00EE4E34" w:rsidRPr="0067507D">
        <w:rPr>
          <w:rFonts w:ascii="VIC" w:hAnsi="VIC"/>
          <w:szCs w:val="17"/>
        </w:rPr>
        <w:t>same quarter</w:t>
      </w:r>
      <w:r w:rsidR="004B2309" w:rsidRPr="0067507D">
        <w:rPr>
          <w:rFonts w:ascii="VIC" w:hAnsi="VIC"/>
          <w:szCs w:val="17"/>
        </w:rPr>
        <w:t xml:space="preserve">, </w:t>
      </w:r>
      <w:r w:rsidR="000F633F" w:rsidRPr="0067507D">
        <w:rPr>
          <w:rFonts w:ascii="VIC" w:hAnsi="VIC"/>
          <w:i/>
          <w:iCs/>
          <w:szCs w:val="17"/>
        </w:rPr>
        <w:t>Learning for life: preparing kindergarten, school and TAFE infr</w:t>
      </w:r>
      <w:r w:rsidR="002837B9" w:rsidRPr="0067507D">
        <w:rPr>
          <w:rFonts w:ascii="VIC" w:hAnsi="VIC"/>
          <w:i/>
          <w:iCs/>
          <w:szCs w:val="17"/>
        </w:rPr>
        <w:t>a</w:t>
      </w:r>
      <w:r w:rsidR="000F633F" w:rsidRPr="0067507D">
        <w:rPr>
          <w:rFonts w:ascii="VIC" w:hAnsi="VIC"/>
          <w:i/>
          <w:iCs/>
          <w:szCs w:val="17"/>
        </w:rPr>
        <w:t>st</w:t>
      </w:r>
      <w:r w:rsidR="00955C4E" w:rsidRPr="0067507D">
        <w:rPr>
          <w:rFonts w:ascii="VIC" w:hAnsi="VIC"/>
          <w:i/>
          <w:iCs/>
          <w:szCs w:val="17"/>
        </w:rPr>
        <w:t>r</w:t>
      </w:r>
      <w:r w:rsidR="000F633F" w:rsidRPr="0067507D">
        <w:rPr>
          <w:rFonts w:ascii="VIC" w:hAnsi="VIC"/>
          <w:i/>
          <w:iCs/>
          <w:szCs w:val="17"/>
        </w:rPr>
        <w:t>ucture for the</w:t>
      </w:r>
      <w:r w:rsidR="004B2309" w:rsidRPr="0067507D">
        <w:rPr>
          <w:rFonts w:ascii="VIC" w:hAnsi="VIC"/>
          <w:i/>
          <w:iCs/>
          <w:szCs w:val="17"/>
        </w:rPr>
        <w:t xml:space="preserve"> future</w:t>
      </w:r>
      <w:r w:rsidR="000F633F" w:rsidRPr="0067507D">
        <w:rPr>
          <w:rFonts w:ascii="VIC" w:hAnsi="VIC"/>
          <w:szCs w:val="17"/>
        </w:rPr>
        <w:t>, made recommendations</w:t>
      </w:r>
      <w:r w:rsidR="004B2309" w:rsidRPr="0067507D">
        <w:rPr>
          <w:rFonts w:ascii="VIC" w:hAnsi="VIC"/>
          <w:szCs w:val="17"/>
        </w:rPr>
        <w:t xml:space="preserve"> </w:t>
      </w:r>
      <w:r w:rsidR="00B2600A" w:rsidRPr="0067507D">
        <w:rPr>
          <w:rFonts w:ascii="VIC" w:hAnsi="VIC"/>
          <w:szCs w:val="17"/>
        </w:rPr>
        <w:t>to guide the Government on future demand for education</w:t>
      </w:r>
      <w:r w:rsidR="00DB3B12" w:rsidRPr="0067507D">
        <w:rPr>
          <w:rFonts w:ascii="VIC" w:hAnsi="VIC"/>
          <w:szCs w:val="17"/>
        </w:rPr>
        <w:t xml:space="preserve"> infrastructure.</w:t>
      </w:r>
    </w:p>
    <w:p w14:paraId="4124275E" w14:textId="2B060FEB" w:rsidR="00CF4445" w:rsidRPr="0067507D" w:rsidRDefault="00EF2590" w:rsidP="005C4FE1">
      <w:pPr>
        <w:ind w:right="122"/>
        <w:rPr>
          <w:rFonts w:ascii="VIC" w:hAnsi="VIC"/>
          <w:szCs w:val="17"/>
        </w:rPr>
      </w:pPr>
      <w:r w:rsidRPr="0067507D">
        <w:rPr>
          <w:rFonts w:ascii="VIC" w:hAnsi="VIC"/>
          <w:szCs w:val="17"/>
        </w:rPr>
        <w:t xml:space="preserve">In the third quarter </w:t>
      </w:r>
      <w:r w:rsidR="00B73380" w:rsidRPr="0067507D">
        <w:rPr>
          <w:rFonts w:ascii="VIC" w:hAnsi="VIC"/>
          <w:szCs w:val="17"/>
        </w:rPr>
        <w:t xml:space="preserve">of </w:t>
      </w:r>
      <w:r w:rsidR="00C30F42" w:rsidRPr="0067507D">
        <w:rPr>
          <w:rFonts w:ascii="VIC" w:hAnsi="VIC"/>
          <w:szCs w:val="17"/>
        </w:rPr>
        <w:t>2024</w:t>
      </w:r>
      <w:r w:rsidR="006A5485">
        <w:rPr>
          <w:rFonts w:ascii="VIC" w:hAnsi="VIC"/>
          <w:szCs w:val="17"/>
        </w:rPr>
        <w:noBreakHyphen/>
      </w:r>
      <w:r w:rsidR="00C30F42" w:rsidRPr="0067507D">
        <w:rPr>
          <w:rFonts w:ascii="VIC" w:hAnsi="VIC"/>
          <w:szCs w:val="17"/>
        </w:rPr>
        <w:t>25</w:t>
      </w:r>
      <w:r w:rsidR="00B73380" w:rsidRPr="0067507D">
        <w:rPr>
          <w:rFonts w:ascii="VIC" w:hAnsi="VIC"/>
          <w:szCs w:val="17"/>
        </w:rPr>
        <w:t>,</w:t>
      </w:r>
      <w:r w:rsidRPr="0067507D">
        <w:rPr>
          <w:rFonts w:ascii="VIC" w:hAnsi="VIC"/>
          <w:szCs w:val="17"/>
        </w:rPr>
        <w:t xml:space="preserve"> Infrastructure Victoria published </w:t>
      </w:r>
      <w:r w:rsidR="00662B24" w:rsidRPr="0067507D">
        <w:rPr>
          <w:rFonts w:ascii="VIC" w:hAnsi="VIC"/>
          <w:i/>
          <w:szCs w:val="17"/>
        </w:rPr>
        <w:t>Victoria’s draft 30</w:t>
      </w:r>
      <w:r w:rsidR="006A5485">
        <w:rPr>
          <w:rFonts w:ascii="VIC" w:hAnsi="VIC"/>
          <w:i/>
          <w:szCs w:val="17"/>
        </w:rPr>
        <w:noBreakHyphen/>
      </w:r>
      <w:r w:rsidR="00662B24" w:rsidRPr="0067507D">
        <w:rPr>
          <w:rFonts w:ascii="VIC" w:hAnsi="VIC"/>
          <w:i/>
          <w:szCs w:val="17"/>
        </w:rPr>
        <w:t>year infrastructure strategy</w:t>
      </w:r>
      <w:r w:rsidR="00662B24" w:rsidRPr="0067507D">
        <w:rPr>
          <w:rFonts w:ascii="VIC" w:hAnsi="VIC"/>
          <w:iCs/>
          <w:szCs w:val="17"/>
        </w:rPr>
        <w:t>,</w:t>
      </w:r>
      <w:r w:rsidR="00662B24" w:rsidRPr="0067507D">
        <w:rPr>
          <w:rFonts w:ascii="VIC" w:hAnsi="VIC"/>
          <w:i/>
          <w:szCs w:val="17"/>
        </w:rPr>
        <w:t xml:space="preserve"> </w:t>
      </w:r>
      <w:r w:rsidR="00662B24" w:rsidRPr="0067507D">
        <w:rPr>
          <w:rFonts w:ascii="VIC" w:hAnsi="VIC"/>
          <w:iCs/>
          <w:szCs w:val="17"/>
        </w:rPr>
        <w:t>where 50 infrastructure priorities for the state were identified across housing, energy, transport, health, social infrastructure and the environment sectors.</w:t>
      </w:r>
      <w:r w:rsidR="00B711E7" w:rsidRPr="0067507D">
        <w:rPr>
          <w:rFonts w:ascii="VIC" w:hAnsi="VIC"/>
          <w:szCs w:val="17"/>
        </w:rPr>
        <w:t xml:space="preserve"> </w:t>
      </w:r>
    </w:p>
    <w:p w14:paraId="3D693D78" w14:textId="08B310CE" w:rsidR="005E6D06" w:rsidRPr="0067507D" w:rsidRDefault="00B711E7" w:rsidP="005C4FE1">
      <w:pPr>
        <w:ind w:right="122"/>
        <w:rPr>
          <w:rFonts w:ascii="VIC" w:hAnsi="VIC"/>
          <w:szCs w:val="17"/>
        </w:rPr>
      </w:pPr>
      <w:r w:rsidRPr="0067507D">
        <w:rPr>
          <w:rFonts w:ascii="VIC" w:hAnsi="VIC"/>
          <w:szCs w:val="17"/>
        </w:rPr>
        <w:t xml:space="preserve">In </w:t>
      </w:r>
      <w:r w:rsidR="00995DB1" w:rsidRPr="0067507D">
        <w:rPr>
          <w:rFonts w:ascii="VIC" w:hAnsi="VIC"/>
          <w:szCs w:val="17"/>
        </w:rPr>
        <w:t>the</w:t>
      </w:r>
      <w:r w:rsidRPr="0067507D">
        <w:rPr>
          <w:rFonts w:ascii="VIC" w:hAnsi="VIC"/>
          <w:szCs w:val="17"/>
        </w:rPr>
        <w:t xml:space="preserve"> last quarter</w:t>
      </w:r>
      <w:r w:rsidR="00995DB1" w:rsidRPr="0067507D">
        <w:rPr>
          <w:rFonts w:ascii="VIC" w:hAnsi="VIC"/>
          <w:szCs w:val="17"/>
        </w:rPr>
        <w:t xml:space="preserve"> of </w:t>
      </w:r>
      <w:r w:rsidR="00C30F42" w:rsidRPr="0067507D">
        <w:rPr>
          <w:rFonts w:ascii="VIC" w:hAnsi="VIC"/>
          <w:szCs w:val="17"/>
        </w:rPr>
        <w:t>2024</w:t>
      </w:r>
      <w:r w:rsidR="006A5485">
        <w:rPr>
          <w:rFonts w:ascii="VIC" w:hAnsi="VIC"/>
          <w:szCs w:val="17"/>
        </w:rPr>
        <w:noBreakHyphen/>
      </w:r>
      <w:r w:rsidR="00C30F42" w:rsidRPr="0067507D">
        <w:rPr>
          <w:rFonts w:ascii="VIC" w:hAnsi="VIC"/>
          <w:szCs w:val="17"/>
        </w:rPr>
        <w:t>25</w:t>
      </w:r>
      <w:r w:rsidR="00D16F8A" w:rsidRPr="0067507D">
        <w:rPr>
          <w:rFonts w:ascii="VIC" w:hAnsi="VIC"/>
          <w:szCs w:val="17"/>
        </w:rPr>
        <w:t xml:space="preserve">, Infrastructure Victoria </w:t>
      </w:r>
      <w:r w:rsidR="004C2615" w:rsidRPr="0067507D">
        <w:rPr>
          <w:rFonts w:ascii="VIC" w:hAnsi="VIC"/>
          <w:szCs w:val="17"/>
        </w:rPr>
        <w:t>and</w:t>
      </w:r>
      <w:r w:rsidR="00D16F8A" w:rsidRPr="0067507D">
        <w:rPr>
          <w:rFonts w:ascii="VIC" w:hAnsi="VIC"/>
          <w:szCs w:val="17"/>
        </w:rPr>
        <w:t xml:space="preserve"> the </w:t>
      </w:r>
      <w:r w:rsidR="004C2615" w:rsidRPr="0067507D">
        <w:rPr>
          <w:rFonts w:ascii="VIC" w:hAnsi="VIC"/>
          <w:szCs w:val="17"/>
        </w:rPr>
        <w:t xml:space="preserve">Victorian Aboriginal Community Controlled Health Organisation (VACCHO) published </w:t>
      </w:r>
      <w:r w:rsidR="004C2615" w:rsidRPr="0067507D">
        <w:rPr>
          <w:rFonts w:ascii="VIC" w:hAnsi="VIC"/>
          <w:i/>
          <w:iCs/>
          <w:szCs w:val="17"/>
        </w:rPr>
        <w:t>Closing the Gap: investing in Aboriginal community</w:t>
      </w:r>
      <w:r w:rsidR="006A5485">
        <w:rPr>
          <w:rFonts w:ascii="VIC" w:hAnsi="VIC"/>
          <w:i/>
          <w:iCs/>
          <w:szCs w:val="17"/>
        </w:rPr>
        <w:noBreakHyphen/>
      </w:r>
      <w:r w:rsidR="004C2615" w:rsidRPr="0067507D">
        <w:rPr>
          <w:rFonts w:ascii="VIC" w:hAnsi="VIC"/>
          <w:i/>
          <w:iCs/>
          <w:szCs w:val="17"/>
        </w:rPr>
        <w:t>controlled health and wellbeing</w:t>
      </w:r>
      <w:r w:rsidR="00D16F8A" w:rsidRPr="0067507D">
        <w:rPr>
          <w:rFonts w:ascii="VIC" w:hAnsi="VIC"/>
          <w:i/>
          <w:iCs/>
          <w:szCs w:val="17"/>
        </w:rPr>
        <w:t xml:space="preserve"> infrastructure</w:t>
      </w:r>
      <w:r w:rsidR="004C2615" w:rsidRPr="0067507D">
        <w:rPr>
          <w:rFonts w:ascii="VIC" w:hAnsi="VIC"/>
          <w:szCs w:val="17"/>
        </w:rPr>
        <w:t xml:space="preserve">. It recommends </w:t>
      </w:r>
      <w:r w:rsidR="00FA634A" w:rsidRPr="0067507D">
        <w:rPr>
          <w:rFonts w:ascii="VIC" w:hAnsi="VIC"/>
          <w:szCs w:val="17"/>
        </w:rPr>
        <w:t xml:space="preserve">the Victorian Government </w:t>
      </w:r>
      <w:r w:rsidR="004C2615" w:rsidRPr="0067507D">
        <w:rPr>
          <w:rFonts w:ascii="VIC" w:hAnsi="VIC"/>
          <w:szCs w:val="17"/>
        </w:rPr>
        <w:t xml:space="preserve">act now to fund urgent repairs to make ACCO buildings safe, operational and efficient. Infrastructure Victoria also published </w:t>
      </w:r>
      <w:r w:rsidR="004C2615" w:rsidRPr="0067507D">
        <w:rPr>
          <w:rFonts w:ascii="VIC" w:hAnsi="VIC"/>
          <w:i/>
          <w:iCs/>
          <w:szCs w:val="17"/>
        </w:rPr>
        <w:t>Getting</w:t>
      </w:r>
      <w:r w:rsidR="00FA634A" w:rsidRPr="0067507D">
        <w:rPr>
          <w:rFonts w:ascii="VIC" w:hAnsi="VIC"/>
          <w:i/>
          <w:szCs w:val="17"/>
        </w:rPr>
        <w:t xml:space="preserve"> better </w:t>
      </w:r>
      <w:r w:rsidR="004C2615" w:rsidRPr="0067507D">
        <w:rPr>
          <w:rFonts w:ascii="VIC" w:hAnsi="VIC"/>
          <w:i/>
          <w:iCs/>
          <w:szCs w:val="17"/>
        </w:rPr>
        <w:t>use from infrastructure</w:t>
      </w:r>
      <w:r w:rsidR="004C2615" w:rsidRPr="0067507D">
        <w:rPr>
          <w:rFonts w:ascii="VIC" w:hAnsi="VIC"/>
          <w:szCs w:val="17"/>
        </w:rPr>
        <w:t xml:space="preserve"> which examines how Victorian Government</w:t>
      </w:r>
      <w:r w:rsidR="00FA634A" w:rsidRPr="0067507D">
        <w:rPr>
          <w:rFonts w:ascii="VIC" w:hAnsi="VIC"/>
          <w:szCs w:val="17"/>
        </w:rPr>
        <w:t xml:space="preserve"> agencies</w:t>
      </w:r>
      <w:r w:rsidR="004C2615" w:rsidRPr="0067507D">
        <w:rPr>
          <w:rFonts w:ascii="VIC" w:hAnsi="VIC"/>
          <w:szCs w:val="17"/>
        </w:rPr>
        <w:t xml:space="preserve"> manage public infrastructure and how they could improve.</w:t>
      </w:r>
    </w:p>
    <w:p w14:paraId="42A3D71D" w14:textId="0FD37507" w:rsidR="0030186D" w:rsidRPr="0067507D" w:rsidRDefault="00FC46C7" w:rsidP="0030186D">
      <w:pPr>
        <w:pStyle w:val="Heading4"/>
      </w:pPr>
      <w:r w:rsidRPr="0067507D">
        <w:rPr>
          <w:szCs w:val="16"/>
        </w:rPr>
        <w:t xml:space="preserve">Objective 4: </w:t>
      </w:r>
      <w:r w:rsidR="0030186D" w:rsidRPr="0067507D">
        <w:rPr>
          <w:szCs w:val="16"/>
        </w:rPr>
        <w:t>Strengthen Victoria’s economic performance through fair, equitable and productive workplaces</w:t>
      </w:r>
    </w:p>
    <w:p w14:paraId="22803ACB" w14:textId="77777777" w:rsidR="0030186D" w:rsidRPr="0067507D" w:rsidRDefault="0030186D" w:rsidP="0030186D">
      <w:pPr>
        <w:pStyle w:val="Heading5"/>
        <w:rPr>
          <w:rFonts w:cstheme="minorHAnsi"/>
        </w:rPr>
      </w:pPr>
      <w:r w:rsidRPr="0067507D">
        <w:rPr>
          <w:rFonts w:cstheme="minorHAnsi"/>
        </w:rPr>
        <w:t>Objective indicators</w:t>
      </w:r>
    </w:p>
    <w:p w14:paraId="2C5C4D9F" w14:textId="4B5E5DCF" w:rsidR="0030186D" w:rsidRPr="0067507D" w:rsidRDefault="0030186D" w:rsidP="0030186D">
      <w:pPr>
        <w:pStyle w:val="ListNumber"/>
        <w:numPr>
          <w:ilvl w:val="0"/>
          <w:numId w:val="50"/>
        </w:numPr>
      </w:pPr>
      <w:r w:rsidRPr="0067507D">
        <w:t>Advice contributes to the achievement of government policies and priorities relating to industrial relations outcomes.</w:t>
      </w:r>
    </w:p>
    <w:p w14:paraId="1CBD8064" w14:textId="7C58A775" w:rsidR="0030186D" w:rsidRPr="0067507D" w:rsidRDefault="0030186D" w:rsidP="005C4B08">
      <w:pPr>
        <w:pStyle w:val="Normalbold"/>
      </w:pPr>
      <w:r w:rsidRPr="0067507D">
        <w:t>Objective Indicator 1: Advice contributes to the achievement of government policies and priorities relating to industrial relations outcomes.</w:t>
      </w:r>
    </w:p>
    <w:p w14:paraId="2CF34F33" w14:textId="1C2EF130" w:rsidR="0030186D" w:rsidRPr="0067507D" w:rsidRDefault="00A94128" w:rsidP="007E252E">
      <w:pPr>
        <w:spacing w:before="0"/>
        <w:ind w:right="122"/>
        <w:rPr>
          <w:rFonts w:ascii="VIC" w:eastAsia="VIC" w:hAnsi="VIC" w:cs="VIC"/>
          <w:szCs w:val="17"/>
        </w:rPr>
      </w:pPr>
      <w:r w:rsidRPr="0067507D">
        <w:rPr>
          <w:rFonts w:ascii="VIC" w:eastAsia="VIC" w:hAnsi="VIC" w:cs="VIC"/>
          <w:szCs w:val="17"/>
        </w:rPr>
        <w:t xml:space="preserve">Industrial Relations Victoria </w:t>
      </w:r>
      <w:r w:rsidR="00E41F29" w:rsidRPr="0067507D">
        <w:rPr>
          <w:rFonts w:ascii="VIC" w:eastAsia="VIC" w:hAnsi="VIC" w:cs="VIC"/>
          <w:szCs w:val="17"/>
        </w:rPr>
        <w:t>continues to advise</w:t>
      </w:r>
      <w:r w:rsidR="00367FDF" w:rsidRPr="0067507D">
        <w:rPr>
          <w:rFonts w:ascii="VIC" w:eastAsia="VIC" w:hAnsi="VIC" w:cs="VIC"/>
          <w:szCs w:val="17"/>
        </w:rPr>
        <w:t xml:space="preserve"> public sector departments, agencies and unions </w:t>
      </w:r>
      <w:r w:rsidR="004211FF" w:rsidRPr="0067507D">
        <w:rPr>
          <w:rFonts w:ascii="VIC" w:eastAsia="VIC" w:hAnsi="VIC" w:cs="VIC"/>
          <w:szCs w:val="17"/>
        </w:rPr>
        <w:t>on</w:t>
      </w:r>
      <w:r w:rsidR="00367FDF" w:rsidRPr="0067507D">
        <w:rPr>
          <w:rFonts w:ascii="VIC" w:eastAsia="VIC" w:hAnsi="VIC" w:cs="VIC"/>
          <w:szCs w:val="17"/>
        </w:rPr>
        <w:t xml:space="preserve"> industrial relations matters, enterprise bargaining and the Victorian Government’s Wages Policy</w:t>
      </w:r>
      <w:r w:rsidR="00E41F29" w:rsidRPr="0067507D">
        <w:rPr>
          <w:rFonts w:ascii="VIC" w:eastAsia="VIC" w:hAnsi="VIC" w:cs="VIC"/>
          <w:szCs w:val="17"/>
        </w:rPr>
        <w:t xml:space="preserve">. </w:t>
      </w:r>
      <w:r w:rsidR="004B603E" w:rsidRPr="0067507D">
        <w:rPr>
          <w:rFonts w:ascii="VIC" w:eastAsia="VIC" w:hAnsi="VIC" w:cs="VIC"/>
          <w:szCs w:val="17"/>
        </w:rPr>
        <w:t>Industrial Relations Victoria</w:t>
      </w:r>
      <w:r w:rsidR="00E41F29" w:rsidRPr="0067507D">
        <w:rPr>
          <w:rFonts w:ascii="VIC" w:eastAsia="VIC" w:hAnsi="VIC" w:cs="VIC"/>
          <w:szCs w:val="17"/>
        </w:rPr>
        <w:t xml:space="preserve"> </w:t>
      </w:r>
      <w:r w:rsidR="00E7284F" w:rsidRPr="0067507D">
        <w:rPr>
          <w:rFonts w:ascii="VIC" w:eastAsia="VIC" w:hAnsi="VIC" w:cs="VIC"/>
          <w:szCs w:val="17"/>
        </w:rPr>
        <w:t xml:space="preserve">provides expert and strategic advice and assistance to Government on private sector industrial relations matters, workplace relations reforms, as well as emerging issues and risks. </w:t>
      </w:r>
    </w:p>
    <w:p w14:paraId="4039E0AC" w14:textId="47D4DF8F" w:rsidR="00E7284F" w:rsidRPr="0067507D" w:rsidRDefault="006F5D6C" w:rsidP="0030186D">
      <w:pPr>
        <w:spacing w:before="0"/>
        <w:rPr>
          <w:rFonts w:ascii="VIC" w:eastAsia="VIC" w:hAnsi="VIC" w:cs="VIC"/>
          <w:szCs w:val="17"/>
        </w:rPr>
      </w:pPr>
      <w:r w:rsidRPr="0067507D">
        <w:rPr>
          <w:rFonts w:ascii="VIC" w:eastAsia="VIC" w:hAnsi="VIC" w:cs="VIC"/>
          <w:szCs w:val="17"/>
        </w:rPr>
        <w:t xml:space="preserve">In </w:t>
      </w:r>
      <w:r w:rsidR="008B116F" w:rsidRPr="0067507D">
        <w:rPr>
          <w:rFonts w:ascii="VIC" w:eastAsia="VIC" w:hAnsi="VIC" w:cs="VIC"/>
          <w:szCs w:val="17"/>
        </w:rPr>
        <w:t>FY</w:t>
      </w:r>
      <w:r w:rsidR="00214B0A" w:rsidRPr="0067507D">
        <w:rPr>
          <w:rFonts w:ascii="VIC" w:eastAsia="VIC" w:hAnsi="VIC" w:cs="VIC"/>
          <w:szCs w:val="17"/>
        </w:rPr>
        <w:t>2024/2</w:t>
      </w:r>
      <w:r w:rsidR="00652DF0" w:rsidRPr="0067507D">
        <w:rPr>
          <w:rFonts w:ascii="VIC" w:eastAsia="VIC" w:hAnsi="VIC" w:cs="VIC"/>
          <w:szCs w:val="17"/>
        </w:rPr>
        <w:t>5</w:t>
      </w:r>
      <w:r w:rsidR="00315928" w:rsidRPr="0067507D">
        <w:rPr>
          <w:rFonts w:ascii="VIC" w:eastAsia="VIC" w:hAnsi="VIC" w:cs="VIC"/>
          <w:szCs w:val="17"/>
        </w:rPr>
        <w:t xml:space="preserve">, bargaining for </w:t>
      </w:r>
      <w:r w:rsidR="00F318A5" w:rsidRPr="0067507D">
        <w:rPr>
          <w:rFonts w:ascii="VIC" w:eastAsia="VIC" w:hAnsi="VIC" w:cs="VIC"/>
          <w:szCs w:val="17"/>
        </w:rPr>
        <w:t>five</w:t>
      </w:r>
      <w:r w:rsidR="00315928" w:rsidRPr="0067507D">
        <w:rPr>
          <w:rFonts w:ascii="VIC" w:eastAsia="VIC" w:hAnsi="VIC" w:cs="VIC"/>
          <w:szCs w:val="17"/>
        </w:rPr>
        <w:t xml:space="preserve"> major agreements, including those covering the Victorian Public Service</w:t>
      </w:r>
      <w:r w:rsidR="00A03D2A" w:rsidRPr="0067507D">
        <w:rPr>
          <w:rFonts w:ascii="VIC" w:eastAsia="VIC" w:hAnsi="VIC" w:cs="VIC"/>
          <w:szCs w:val="17"/>
        </w:rPr>
        <w:t xml:space="preserve"> (VPS)</w:t>
      </w:r>
      <w:r w:rsidR="00315928" w:rsidRPr="0067507D">
        <w:rPr>
          <w:rFonts w:ascii="VIC" w:eastAsia="VIC" w:hAnsi="VIC" w:cs="VIC"/>
          <w:szCs w:val="17"/>
        </w:rPr>
        <w:t xml:space="preserve">, </w:t>
      </w:r>
      <w:r w:rsidR="00940DC0" w:rsidRPr="0067507D">
        <w:rPr>
          <w:rFonts w:ascii="VIC" w:eastAsia="VIC" w:hAnsi="VIC" w:cs="VIC"/>
          <w:szCs w:val="17"/>
        </w:rPr>
        <w:t xml:space="preserve">Victoria Police, </w:t>
      </w:r>
      <w:r w:rsidR="00315928" w:rsidRPr="0067507D">
        <w:rPr>
          <w:rFonts w:ascii="VIC" w:eastAsia="VIC" w:hAnsi="VIC" w:cs="VIC"/>
          <w:szCs w:val="17"/>
        </w:rPr>
        <w:t>Nurses and Midwives and Ambulance Victoria Paramedics, ha</w:t>
      </w:r>
      <w:r w:rsidR="002707EE" w:rsidRPr="0067507D">
        <w:rPr>
          <w:rFonts w:ascii="VIC" w:eastAsia="VIC" w:hAnsi="VIC" w:cs="VIC"/>
          <w:szCs w:val="17"/>
        </w:rPr>
        <w:t>ve</w:t>
      </w:r>
      <w:r w:rsidR="00315928" w:rsidRPr="0067507D">
        <w:rPr>
          <w:rFonts w:ascii="VIC" w:eastAsia="VIC" w:hAnsi="VIC" w:cs="VIC"/>
          <w:szCs w:val="17"/>
        </w:rPr>
        <w:t xml:space="preserve"> been finalised.</w:t>
      </w:r>
    </w:p>
    <w:p w14:paraId="5AB7D2FB" w14:textId="2C318B68" w:rsidR="00444E4C" w:rsidRPr="0067507D" w:rsidRDefault="00334F4F" w:rsidP="000A3693">
      <w:pPr>
        <w:spacing w:before="0"/>
        <w:rPr>
          <w:rFonts w:ascii="VIC" w:eastAsia="VIC" w:hAnsi="VIC" w:cs="VIC"/>
          <w:szCs w:val="17"/>
        </w:rPr>
      </w:pPr>
      <w:r w:rsidRPr="0067507D">
        <w:rPr>
          <w:rFonts w:ascii="VIC" w:eastAsia="VIC" w:hAnsi="VIC" w:cs="VIC"/>
          <w:szCs w:val="17"/>
        </w:rPr>
        <w:t>I</w:t>
      </w:r>
      <w:r w:rsidR="004B603E" w:rsidRPr="0067507D">
        <w:rPr>
          <w:rFonts w:ascii="VIC" w:eastAsia="VIC" w:hAnsi="VIC" w:cs="VIC"/>
          <w:szCs w:val="17"/>
        </w:rPr>
        <w:t>ndustrial Relations Victoria</w:t>
      </w:r>
      <w:r w:rsidR="006C57CD" w:rsidRPr="0067507D">
        <w:rPr>
          <w:rFonts w:ascii="VIC" w:eastAsia="VIC" w:hAnsi="VIC" w:cs="VIC"/>
          <w:szCs w:val="17"/>
        </w:rPr>
        <w:t xml:space="preserve"> (public sector)</w:t>
      </w:r>
      <w:r w:rsidR="00444E4C" w:rsidRPr="0067507D">
        <w:rPr>
          <w:rFonts w:ascii="VIC" w:eastAsia="VIC" w:hAnsi="VIC" w:cs="VIC"/>
          <w:szCs w:val="17"/>
        </w:rPr>
        <w:t>:</w:t>
      </w:r>
    </w:p>
    <w:p w14:paraId="5EC810F0" w14:textId="5244BB86" w:rsidR="00FB2FBB" w:rsidRPr="0067507D" w:rsidRDefault="00334F4F" w:rsidP="004956C8">
      <w:pPr>
        <w:pStyle w:val="Bullet"/>
        <w:rPr>
          <w:rFonts w:eastAsia="VIC"/>
        </w:rPr>
      </w:pPr>
      <w:r w:rsidRPr="0067507D">
        <w:rPr>
          <w:rFonts w:eastAsia="VIC"/>
        </w:rPr>
        <w:t xml:space="preserve">initiated projects from the new VPS </w:t>
      </w:r>
      <w:r w:rsidR="00D53AC2" w:rsidRPr="0067507D">
        <w:rPr>
          <w:rFonts w:eastAsia="VIC"/>
        </w:rPr>
        <w:t>E</w:t>
      </w:r>
      <w:r w:rsidRPr="0067507D">
        <w:rPr>
          <w:rFonts w:eastAsia="VIC"/>
        </w:rPr>
        <w:t>nterprise Agreement 2024, which included the establishment of the Alternative Ways of Working Committee, the establishment of a Payroll Community of Practice and the commencement of drafting new and revised common practice policies</w:t>
      </w:r>
    </w:p>
    <w:p w14:paraId="73C794B8" w14:textId="77777777" w:rsidR="00FB2FBB" w:rsidRPr="0067507D" w:rsidRDefault="00305C17" w:rsidP="004956C8">
      <w:pPr>
        <w:pStyle w:val="Bullet"/>
        <w:rPr>
          <w:rFonts w:eastAsia="VIC"/>
        </w:rPr>
      </w:pPr>
      <w:r w:rsidRPr="0067507D">
        <w:rPr>
          <w:rFonts w:eastAsia="VIC"/>
        </w:rPr>
        <w:t>finalised 52 Common Policies to support the implementation of the new VPS Enterprise Agreement 2024</w:t>
      </w:r>
    </w:p>
    <w:p w14:paraId="0605884A" w14:textId="77777777" w:rsidR="00FB2FBB" w:rsidRPr="0067507D" w:rsidRDefault="00305C17" w:rsidP="004956C8">
      <w:pPr>
        <w:pStyle w:val="Bullet"/>
        <w:rPr>
          <w:rFonts w:eastAsia="VIC"/>
        </w:rPr>
      </w:pPr>
      <w:r w:rsidRPr="0067507D">
        <w:rPr>
          <w:rFonts w:eastAsia="VIC"/>
        </w:rPr>
        <w:t>supported the completion of the first new Single Interest Employer Agreement for the Creative Agencies</w:t>
      </w:r>
    </w:p>
    <w:p w14:paraId="46C61CE8" w14:textId="6AB55513" w:rsidR="00305C17" w:rsidRPr="0067507D" w:rsidRDefault="00305C17" w:rsidP="004956C8">
      <w:pPr>
        <w:pStyle w:val="Bullet"/>
        <w:rPr>
          <w:rFonts w:eastAsia="VIC"/>
        </w:rPr>
      </w:pPr>
      <w:r w:rsidRPr="0067507D">
        <w:rPr>
          <w:rFonts w:eastAsia="VIC"/>
        </w:rPr>
        <w:t xml:space="preserve">finalised </w:t>
      </w:r>
      <w:r w:rsidR="006C026D" w:rsidRPr="0067507D">
        <w:rPr>
          <w:rFonts w:eastAsia="VIC"/>
        </w:rPr>
        <w:t>34</w:t>
      </w:r>
      <w:r w:rsidRPr="0067507D">
        <w:rPr>
          <w:rFonts w:eastAsia="VIC"/>
        </w:rPr>
        <w:t xml:space="preserve"> non</w:t>
      </w:r>
      <w:r w:rsidR="006A5485">
        <w:rPr>
          <w:rFonts w:eastAsia="VIC"/>
        </w:rPr>
        <w:noBreakHyphen/>
      </w:r>
      <w:r w:rsidRPr="0067507D">
        <w:rPr>
          <w:rFonts w:eastAsia="VIC"/>
        </w:rPr>
        <w:t>major agreements and commenced consultation to update and refresh the Public Sector Industrial Relations Policies</w:t>
      </w:r>
      <w:r w:rsidR="008C4CD2" w:rsidRPr="0067507D">
        <w:rPr>
          <w:rFonts w:eastAsia="VIC"/>
        </w:rPr>
        <w:t>.</w:t>
      </w:r>
      <w:r w:rsidRPr="0067507D">
        <w:rPr>
          <w:rFonts w:eastAsia="VIC"/>
        </w:rPr>
        <w:t xml:space="preserve"> </w:t>
      </w:r>
    </w:p>
    <w:p w14:paraId="43226E7B" w14:textId="03BDE303" w:rsidR="00A80114" w:rsidRPr="0067507D" w:rsidRDefault="0000236F" w:rsidP="00EC2F29">
      <w:pPr>
        <w:keepNext/>
        <w:spacing w:before="0"/>
        <w:rPr>
          <w:rFonts w:ascii="VIC" w:eastAsia="VIC" w:hAnsi="VIC" w:cs="VIC"/>
          <w:szCs w:val="17"/>
        </w:rPr>
      </w:pPr>
      <w:r w:rsidRPr="0067507D">
        <w:rPr>
          <w:rFonts w:ascii="VIC" w:eastAsia="VIC" w:hAnsi="VIC" w:cs="VIC"/>
          <w:szCs w:val="17"/>
        </w:rPr>
        <w:t>I</w:t>
      </w:r>
      <w:r w:rsidR="004B603E" w:rsidRPr="0067507D">
        <w:rPr>
          <w:rFonts w:ascii="VIC" w:eastAsia="VIC" w:hAnsi="VIC" w:cs="VIC"/>
          <w:szCs w:val="17"/>
        </w:rPr>
        <w:t>ndustrial Relations Victoria</w:t>
      </w:r>
      <w:r w:rsidR="006C57CD" w:rsidRPr="0067507D">
        <w:rPr>
          <w:rFonts w:ascii="VIC" w:eastAsia="VIC" w:hAnsi="VIC" w:cs="VIC"/>
          <w:szCs w:val="17"/>
        </w:rPr>
        <w:t xml:space="preserve"> (private sector)</w:t>
      </w:r>
      <w:r w:rsidR="00A80114" w:rsidRPr="0067507D">
        <w:rPr>
          <w:rFonts w:ascii="VIC" w:eastAsia="VIC" w:hAnsi="VIC" w:cs="VIC"/>
          <w:szCs w:val="17"/>
        </w:rPr>
        <w:t>:</w:t>
      </w:r>
    </w:p>
    <w:p w14:paraId="4980914D" w14:textId="5E1F2DA9" w:rsidR="00A80114" w:rsidRPr="0067507D" w:rsidRDefault="00F558A1" w:rsidP="004956C8">
      <w:pPr>
        <w:pStyle w:val="Bullet"/>
        <w:rPr>
          <w:rFonts w:eastAsia="VIC"/>
        </w:rPr>
      </w:pPr>
      <w:r w:rsidRPr="0067507D">
        <w:rPr>
          <w:rFonts w:eastAsia="VIC"/>
        </w:rPr>
        <w:t>commenced</w:t>
      </w:r>
      <w:r w:rsidR="00305C17" w:rsidRPr="0067507D">
        <w:rPr>
          <w:rFonts w:eastAsia="VIC"/>
        </w:rPr>
        <w:t xml:space="preserve"> the implementation of the</w:t>
      </w:r>
      <w:r w:rsidR="003E1270" w:rsidRPr="0067507D">
        <w:rPr>
          <w:rFonts w:eastAsia="VIC"/>
        </w:rPr>
        <w:t xml:space="preserve"> Formal Review into Victorian Government Bodies’ Engagement with Construction Companies and</w:t>
      </w:r>
      <w:r w:rsidR="0030353D" w:rsidRPr="0067507D">
        <w:rPr>
          <w:rFonts w:eastAsia="VIC"/>
        </w:rPr>
        <w:t xml:space="preserve"> Construction Unions </w:t>
      </w:r>
      <w:r w:rsidR="00305C17" w:rsidRPr="0067507D">
        <w:rPr>
          <w:rFonts w:eastAsia="VIC"/>
        </w:rPr>
        <w:t>recommendations</w:t>
      </w:r>
      <w:r w:rsidR="00C12B22" w:rsidRPr="0067507D">
        <w:rPr>
          <w:rFonts w:eastAsia="VIC"/>
        </w:rPr>
        <w:t xml:space="preserve"> </w:t>
      </w:r>
      <w:r w:rsidR="00BD6941" w:rsidRPr="0067507D">
        <w:rPr>
          <w:rFonts w:eastAsia="VIC"/>
        </w:rPr>
        <w:t>resulting in</w:t>
      </w:r>
      <w:r w:rsidR="00C12B22" w:rsidRPr="0067507D">
        <w:rPr>
          <w:rFonts w:eastAsia="VIC"/>
        </w:rPr>
        <w:t xml:space="preserve"> passage of </w:t>
      </w:r>
      <w:r w:rsidR="008D49CD" w:rsidRPr="0067507D">
        <w:rPr>
          <w:rFonts w:eastAsia="VIC"/>
        </w:rPr>
        <w:t xml:space="preserve">supporting </w:t>
      </w:r>
      <w:r w:rsidR="00C12B22" w:rsidRPr="0067507D">
        <w:rPr>
          <w:rFonts w:eastAsia="VIC"/>
        </w:rPr>
        <w:t>legislation</w:t>
      </w:r>
    </w:p>
    <w:p w14:paraId="5B4EA320" w14:textId="1356881A" w:rsidR="00A80114" w:rsidRPr="0067507D" w:rsidRDefault="0000236F" w:rsidP="004956C8">
      <w:pPr>
        <w:pStyle w:val="Bullet"/>
        <w:rPr>
          <w:rFonts w:eastAsia="VIC"/>
        </w:rPr>
      </w:pPr>
      <w:r w:rsidRPr="0067507D">
        <w:rPr>
          <w:rFonts w:eastAsia="VIC"/>
        </w:rPr>
        <w:t>negotiat</w:t>
      </w:r>
      <w:r w:rsidR="00DA431B" w:rsidRPr="0067507D">
        <w:rPr>
          <w:rFonts w:eastAsia="VIC"/>
        </w:rPr>
        <w:t>ed</w:t>
      </w:r>
      <w:r w:rsidRPr="0067507D">
        <w:rPr>
          <w:rFonts w:eastAsia="VIC"/>
        </w:rPr>
        <w:t xml:space="preserve"> and finalis</w:t>
      </w:r>
      <w:r w:rsidR="00DA431B" w:rsidRPr="0067507D">
        <w:rPr>
          <w:rFonts w:eastAsia="VIC"/>
        </w:rPr>
        <w:t>ed</w:t>
      </w:r>
      <w:r w:rsidRPr="0067507D">
        <w:rPr>
          <w:rFonts w:eastAsia="VIC"/>
        </w:rPr>
        <w:t xml:space="preserve"> </w:t>
      </w:r>
      <w:r w:rsidR="00AF13D5" w:rsidRPr="0067507D">
        <w:rPr>
          <w:rFonts w:eastAsia="VIC"/>
        </w:rPr>
        <w:t xml:space="preserve">the </w:t>
      </w:r>
      <w:r w:rsidRPr="0067507D">
        <w:rPr>
          <w:rFonts w:eastAsia="VIC"/>
        </w:rPr>
        <w:t xml:space="preserve">Federation Funding Agreement with the Commonwealth to </w:t>
      </w:r>
      <w:r w:rsidR="006C640A" w:rsidRPr="0067507D">
        <w:rPr>
          <w:rFonts w:eastAsia="VIC"/>
        </w:rPr>
        <w:t xml:space="preserve">lead </w:t>
      </w:r>
      <w:r w:rsidRPr="0067507D">
        <w:rPr>
          <w:rFonts w:eastAsia="VIC"/>
        </w:rPr>
        <w:t>development of a national labour hire scheme</w:t>
      </w:r>
    </w:p>
    <w:p w14:paraId="64030E3C" w14:textId="5B3545FB" w:rsidR="00271F20" w:rsidRPr="0067507D" w:rsidRDefault="005A1FB9" w:rsidP="00702298">
      <w:pPr>
        <w:pStyle w:val="Bullet"/>
        <w:rPr>
          <w:rFonts w:eastAsia="VIC"/>
        </w:rPr>
      </w:pPr>
      <w:r w:rsidRPr="0067507D">
        <w:rPr>
          <w:rFonts w:eastAsia="VIC"/>
        </w:rPr>
        <w:t>lodged submission</w:t>
      </w:r>
      <w:r w:rsidR="00AF2385" w:rsidRPr="0067507D">
        <w:rPr>
          <w:rFonts w:eastAsia="VIC"/>
        </w:rPr>
        <w:t>s</w:t>
      </w:r>
      <w:r w:rsidRPr="0067507D">
        <w:rPr>
          <w:rFonts w:eastAsia="VIC"/>
        </w:rPr>
        <w:t xml:space="preserve"> to the Fair Work Commission </w:t>
      </w:r>
      <w:r w:rsidR="003C1040" w:rsidRPr="0067507D">
        <w:rPr>
          <w:rFonts w:eastAsia="VIC"/>
        </w:rPr>
        <w:t xml:space="preserve">to address </w:t>
      </w:r>
      <w:r w:rsidRPr="0067507D">
        <w:rPr>
          <w:rFonts w:eastAsia="VIC"/>
        </w:rPr>
        <w:t>historical under</w:t>
      </w:r>
      <w:r w:rsidR="009009E2" w:rsidRPr="0067507D">
        <w:rPr>
          <w:rFonts w:eastAsia="VIC"/>
        </w:rPr>
        <w:t>valuation</w:t>
      </w:r>
      <w:r w:rsidRPr="0067507D">
        <w:rPr>
          <w:rFonts w:eastAsia="VIC"/>
        </w:rPr>
        <w:t xml:space="preserve"> of wages in female</w:t>
      </w:r>
      <w:r w:rsidR="006A5485">
        <w:rPr>
          <w:rFonts w:eastAsia="VIC"/>
        </w:rPr>
        <w:noBreakHyphen/>
      </w:r>
      <w:r w:rsidRPr="0067507D">
        <w:rPr>
          <w:rFonts w:eastAsia="VIC"/>
        </w:rPr>
        <w:t xml:space="preserve">dominated sectors </w:t>
      </w:r>
      <w:r w:rsidR="00DC2668" w:rsidRPr="0067507D">
        <w:rPr>
          <w:rFonts w:eastAsia="VIC"/>
        </w:rPr>
        <w:t xml:space="preserve">and </w:t>
      </w:r>
      <w:r w:rsidR="006E753F" w:rsidRPr="0067507D">
        <w:rPr>
          <w:rFonts w:eastAsia="VIC"/>
        </w:rPr>
        <w:t xml:space="preserve">to </w:t>
      </w:r>
      <w:r w:rsidR="00DC2668" w:rsidRPr="0067507D">
        <w:rPr>
          <w:rFonts w:eastAsia="VIC"/>
        </w:rPr>
        <w:t>protect penalty rates</w:t>
      </w:r>
    </w:p>
    <w:p w14:paraId="3E253CDC" w14:textId="77C5A4F8" w:rsidR="00BA3D70" w:rsidRPr="0067507D" w:rsidRDefault="00BA3D70" w:rsidP="00BA3D70">
      <w:pPr>
        <w:pStyle w:val="Bullet"/>
        <w:rPr>
          <w:rFonts w:eastAsia="VIC"/>
        </w:rPr>
      </w:pPr>
      <w:r w:rsidRPr="0067507D">
        <w:rPr>
          <w:rFonts w:eastAsia="VIC"/>
        </w:rPr>
        <w:t>led the preparation of the Annual Wage Review submission in April 2025</w:t>
      </w:r>
      <w:r w:rsidR="005548CB" w:rsidRPr="0067507D">
        <w:rPr>
          <w:rFonts w:eastAsia="VIC"/>
        </w:rPr>
        <w:t>, with</w:t>
      </w:r>
      <w:r w:rsidRPr="0067507D">
        <w:rPr>
          <w:rFonts w:eastAsia="VIC"/>
        </w:rPr>
        <w:t xml:space="preserve"> strong alignment between the </w:t>
      </w:r>
      <w:r w:rsidR="005548CB" w:rsidRPr="0067507D">
        <w:rPr>
          <w:rFonts w:eastAsia="VIC"/>
        </w:rPr>
        <w:t>Victorian Government’s position</w:t>
      </w:r>
      <w:r w:rsidR="008F237C" w:rsidRPr="0067507D">
        <w:rPr>
          <w:rFonts w:eastAsia="VIC"/>
        </w:rPr>
        <w:t xml:space="preserve"> </w:t>
      </w:r>
      <w:r w:rsidRPr="0067507D">
        <w:rPr>
          <w:rFonts w:eastAsia="VIC"/>
        </w:rPr>
        <w:t xml:space="preserve">and </w:t>
      </w:r>
      <w:r w:rsidR="005548CB" w:rsidRPr="0067507D">
        <w:rPr>
          <w:rFonts w:eastAsia="VIC"/>
        </w:rPr>
        <w:t xml:space="preserve">the </w:t>
      </w:r>
      <w:r w:rsidRPr="0067507D">
        <w:rPr>
          <w:rFonts w:eastAsia="VIC"/>
        </w:rPr>
        <w:t>FWC decision</w:t>
      </w:r>
    </w:p>
    <w:p w14:paraId="1F377109" w14:textId="69B972D8" w:rsidR="00576CEC" w:rsidRPr="0067507D" w:rsidRDefault="00576CEC" w:rsidP="00576CEC">
      <w:pPr>
        <w:pStyle w:val="Bullet"/>
        <w:rPr>
          <w:rFonts w:eastAsia="VIC"/>
        </w:rPr>
      </w:pPr>
      <w:r w:rsidRPr="0067507D">
        <w:rPr>
          <w:rFonts w:eastAsia="VIC"/>
        </w:rPr>
        <w:t>prepared drafting instructions for a Bill to restrict the use of non</w:t>
      </w:r>
      <w:r w:rsidR="006A5485">
        <w:rPr>
          <w:rFonts w:eastAsia="VIC"/>
        </w:rPr>
        <w:noBreakHyphen/>
      </w:r>
      <w:r w:rsidRPr="0067507D">
        <w:rPr>
          <w:rFonts w:eastAsia="VIC"/>
        </w:rPr>
        <w:t xml:space="preserve">disclosure agreements in workplace sexual harassment </w:t>
      </w:r>
      <w:r w:rsidR="00A91EFF" w:rsidRPr="0067507D">
        <w:rPr>
          <w:rFonts w:eastAsia="VIC"/>
        </w:rPr>
        <w:t>matters</w:t>
      </w:r>
    </w:p>
    <w:p w14:paraId="1D899D00" w14:textId="58166D05" w:rsidR="00573117" w:rsidRPr="0067507D" w:rsidRDefault="00573117" w:rsidP="00573117">
      <w:pPr>
        <w:pStyle w:val="Bullet"/>
        <w:rPr>
          <w:rFonts w:eastAsia="VIC"/>
        </w:rPr>
      </w:pPr>
      <w:r w:rsidRPr="0067507D">
        <w:rPr>
          <w:rFonts w:eastAsia="VIC"/>
        </w:rPr>
        <w:t>provided significant input to implementation of the Government response to the Apprenticeships Taskforce</w:t>
      </w:r>
      <w:r w:rsidR="008D75B6" w:rsidRPr="0067507D">
        <w:rPr>
          <w:rFonts w:eastAsia="VIC"/>
        </w:rPr>
        <w:t xml:space="preserve"> report</w:t>
      </w:r>
    </w:p>
    <w:p w14:paraId="0A4A4D17" w14:textId="1B9F29B1" w:rsidR="00C16B48" w:rsidRPr="0067507D" w:rsidRDefault="00227408" w:rsidP="000A3693">
      <w:pPr>
        <w:pStyle w:val="Bullet"/>
        <w:rPr>
          <w:rFonts w:eastAsia="VIC"/>
        </w:rPr>
      </w:pPr>
      <w:r w:rsidRPr="0067507D">
        <w:rPr>
          <w:rFonts w:eastAsia="VIC"/>
        </w:rPr>
        <w:t>worked</w:t>
      </w:r>
      <w:r w:rsidR="00A03D2A" w:rsidRPr="0067507D">
        <w:rPr>
          <w:rFonts w:eastAsia="VIC"/>
        </w:rPr>
        <w:t xml:space="preserve"> with the Commonwealth (at department and Ministerial levels) on reforms to the national industrial relations system</w:t>
      </w:r>
      <w:r w:rsidR="007E252E">
        <w:rPr>
          <w:rFonts w:eastAsia="VIC"/>
        </w:rPr>
        <w:t>.</w:t>
      </w:r>
    </w:p>
    <w:p w14:paraId="4C096BC6" w14:textId="77777777" w:rsidR="00D72757" w:rsidRPr="0067507D" w:rsidRDefault="00D72757" w:rsidP="00D72757">
      <w:pPr>
        <w:pStyle w:val="Heading3"/>
      </w:pPr>
      <w:r w:rsidRPr="0067507D">
        <w:rPr>
          <w:rFonts w:ascii="VIC" w:hAnsi="VIC"/>
          <w:szCs w:val="17"/>
        </w:rPr>
        <w:br w:type="column"/>
      </w:r>
      <w:bookmarkStart w:id="26" w:name="PerfOutput_start"/>
      <w:r w:rsidRPr="0067507D">
        <w:lastRenderedPageBreak/>
        <w:t>Performance against output performance measures</w:t>
      </w:r>
    </w:p>
    <w:bookmarkEnd w:id="26"/>
    <w:p w14:paraId="0A20785D" w14:textId="6657AABD" w:rsidR="00D72757" w:rsidRPr="0067507D" w:rsidRDefault="00D72757" w:rsidP="00D72757">
      <w:r w:rsidRPr="0067507D">
        <w:t xml:space="preserve">The following sections outline details of the outputs provided by the Department to the Government, including performance measures and costs for each output, and the actual performance results against budgeted targets by output for the Department over the full year ended </w:t>
      </w:r>
      <w:r w:rsidR="00C30F42" w:rsidRPr="0067507D">
        <w:t>30 June 2025</w:t>
      </w:r>
      <w:r w:rsidRPr="0067507D">
        <w:t>.</w:t>
      </w:r>
    </w:p>
    <w:p w14:paraId="1AB63FD6" w14:textId="77777777" w:rsidR="00D72757" w:rsidRPr="0067507D" w:rsidRDefault="00D72757" w:rsidP="00D72757">
      <w:pPr>
        <w:rPr>
          <w:rFonts w:cstheme="minorHAnsi"/>
        </w:rPr>
      </w:pPr>
    </w:p>
    <w:p w14:paraId="5CBBA31F" w14:textId="77777777" w:rsidR="00D72757" w:rsidRPr="0067507D" w:rsidRDefault="00D72757" w:rsidP="00D72757">
      <w:pPr>
        <w:pStyle w:val="Heading4"/>
      </w:pPr>
      <w:r w:rsidRPr="0067507D">
        <w:t>Legend of symbols</w:t>
      </w:r>
    </w:p>
    <w:p w14:paraId="256DC6D0" w14:textId="77777777" w:rsidR="00D72757" w:rsidRPr="0067507D" w:rsidRDefault="00D72757" w:rsidP="00D72757">
      <w:r w:rsidRPr="0067507D">
        <w:t>The following symbols are used to indicate the type of variance in performance against output performance measures:</w:t>
      </w:r>
    </w:p>
    <w:tbl>
      <w:tblPr>
        <w:tblW w:w="4500" w:type="dxa"/>
        <w:tblLook w:val="0680" w:firstRow="0" w:lastRow="0" w:firstColumn="1" w:lastColumn="0" w:noHBand="1" w:noVBand="1"/>
      </w:tblPr>
      <w:tblGrid>
        <w:gridCol w:w="360"/>
        <w:gridCol w:w="4140"/>
      </w:tblGrid>
      <w:tr w:rsidR="00D72757" w:rsidRPr="0067507D" w14:paraId="767DF752" w14:textId="77777777" w:rsidTr="004D70AA">
        <w:tc>
          <w:tcPr>
            <w:tcW w:w="360" w:type="dxa"/>
          </w:tcPr>
          <w:p w14:paraId="7F70D846" w14:textId="77777777" w:rsidR="00D72757" w:rsidRPr="0067507D" w:rsidRDefault="00D72757">
            <w:pPr>
              <w:pStyle w:val="TargetMet"/>
              <w:spacing w:line="264" w:lineRule="auto"/>
              <w:jc w:val="center"/>
              <w:rPr>
                <w:rFonts w:cstheme="minorHAnsi"/>
              </w:rPr>
            </w:pPr>
          </w:p>
        </w:tc>
        <w:tc>
          <w:tcPr>
            <w:tcW w:w="4140" w:type="dxa"/>
          </w:tcPr>
          <w:p w14:paraId="2725F6E8" w14:textId="35DB26D5" w:rsidR="00D72757" w:rsidRPr="0067507D" w:rsidRDefault="00D72757">
            <w:pPr>
              <w:pStyle w:val="Tabletext"/>
            </w:pPr>
            <w:r w:rsidRPr="0067507D">
              <w:t>Performance target achieved</w:t>
            </w:r>
            <w:r w:rsidR="009D33B9" w:rsidRPr="0067507D">
              <w:t xml:space="preserve"> or exceeded</w:t>
            </w:r>
            <w:r w:rsidR="008033F5" w:rsidRPr="0067507D">
              <w:t xml:space="preserve"> – </w:t>
            </w:r>
            <w:r w:rsidR="0013757C" w:rsidRPr="0067507D">
              <w:t>performance greater than target, either within 5</w:t>
            </w:r>
            <w:r w:rsidR="00FF4261">
              <w:rPr>
                <w:rFonts w:ascii="Calibri" w:hAnsi="Calibri" w:cs="Calibri"/>
              </w:rPr>
              <w:t> </w:t>
            </w:r>
            <w:r w:rsidR="0013757C" w:rsidRPr="0067507D">
              <w:t>per</w:t>
            </w:r>
            <w:r w:rsidR="00FF4261">
              <w:rPr>
                <w:rFonts w:ascii="Calibri" w:hAnsi="Calibri" w:cs="Calibri"/>
              </w:rPr>
              <w:t> </w:t>
            </w:r>
            <w:r w:rsidR="0013757C" w:rsidRPr="0067507D">
              <w:t>cent or exceeding 5 per cent variance.</w:t>
            </w:r>
          </w:p>
        </w:tc>
      </w:tr>
      <w:tr w:rsidR="00D72757" w:rsidRPr="0067507D" w14:paraId="021A12F9" w14:textId="77777777" w:rsidTr="004D70AA">
        <w:tc>
          <w:tcPr>
            <w:tcW w:w="360" w:type="dxa"/>
          </w:tcPr>
          <w:p w14:paraId="59860B36" w14:textId="77777777" w:rsidR="00D72757" w:rsidRPr="0067507D" w:rsidRDefault="00D72757">
            <w:pPr>
              <w:pStyle w:val="TargetNotMet5"/>
              <w:spacing w:line="264" w:lineRule="auto"/>
              <w:jc w:val="center"/>
              <w:rPr>
                <w:rFonts w:cstheme="minorHAnsi"/>
              </w:rPr>
            </w:pPr>
          </w:p>
        </w:tc>
        <w:tc>
          <w:tcPr>
            <w:tcW w:w="4140" w:type="dxa"/>
          </w:tcPr>
          <w:p w14:paraId="0668EB5D" w14:textId="77777777" w:rsidR="00D72757" w:rsidRPr="0067507D" w:rsidRDefault="00D72757">
            <w:pPr>
              <w:pStyle w:val="Tabletext"/>
            </w:pPr>
            <w:r w:rsidRPr="0067507D">
              <w:t>Performance target not achieved – within 5 per cent or $50 million (cost measures only) variance.</w:t>
            </w:r>
          </w:p>
        </w:tc>
      </w:tr>
      <w:tr w:rsidR="00D72757" w:rsidRPr="0067507D" w14:paraId="13269322" w14:textId="77777777" w:rsidTr="004D70AA">
        <w:tc>
          <w:tcPr>
            <w:tcW w:w="360" w:type="dxa"/>
          </w:tcPr>
          <w:p w14:paraId="3D56992C" w14:textId="77777777" w:rsidR="00D72757" w:rsidRPr="0067507D" w:rsidRDefault="00D72757">
            <w:pPr>
              <w:pStyle w:val="TargetNotMet50"/>
              <w:spacing w:line="264" w:lineRule="auto"/>
              <w:jc w:val="center"/>
              <w:rPr>
                <w:rFonts w:cstheme="minorHAnsi"/>
              </w:rPr>
            </w:pPr>
          </w:p>
        </w:tc>
        <w:tc>
          <w:tcPr>
            <w:tcW w:w="4140" w:type="dxa"/>
          </w:tcPr>
          <w:p w14:paraId="3E3F081A" w14:textId="77777777" w:rsidR="00D72757" w:rsidRPr="0067507D" w:rsidRDefault="00D72757">
            <w:pPr>
              <w:pStyle w:val="Tabletext"/>
            </w:pPr>
            <w:r w:rsidRPr="0067507D">
              <w:t>Performance target not achieved – exceeds 5</w:t>
            </w:r>
            <w:r w:rsidRPr="0067507D">
              <w:rPr>
                <w:rFonts w:ascii="Calibri" w:hAnsi="Calibri" w:cs="Calibri"/>
              </w:rPr>
              <w:t> </w:t>
            </w:r>
            <w:r w:rsidRPr="0067507D">
              <w:t>per</w:t>
            </w:r>
            <w:r w:rsidRPr="0067507D">
              <w:rPr>
                <w:rFonts w:ascii="Calibri" w:hAnsi="Calibri" w:cs="Calibri"/>
              </w:rPr>
              <w:t> </w:t>
            </w:r>
            <w:r w:rsidRPr="0067507D">
              <w:t>cent or $50 million (cost measures only) variance.</w:t>
            </w:r>
          </w:p>
        </w:tc>
      </w:tr>
    </w:tbl>
    <w:p w14:paraId="49E72FFB" w14:textId="77777777" w:rsidR="00D72757" w:rsidRPr="0067507D" w:rsidRDefault="00D72757" w:rsidP="00D72757"/>
    <w:p w14:paraId="4528859A" w14:textId="3646BDF2" w:rsidR="00D72757" w:rsidRPr="0067507D" w:rsidRDefault="00FA63DF" w:rsidP="00D72757">
      <w:pPr>
        <w:pStyle w:val="Heading3"/>
      </w:pPr>
      <w:r w:rsidRPr="0067507D">
        <w:br w:type="column"/>
      </w:r>
      <w:r w:rsidR="00D72757" w:rsidRPr="0067507D">
        <w:t>Style conventions</w:t>
      </w:r>
    </w:p>
    <w:p w14:paraId="3E9A417B" w14:textId="77777777" w:rsidR="00D72757" w:rsidRPr="0067507D" w:rsidRDefault="00D72757" w:rsidP="00D72757">
      <w:pPr>
        <w:rPr>
          <w:rFonts w:cstheme="minorHAnsi"/>
        </w:rPr>
      </w:pPr>
      <w:r w:rsidRPr="0067507D">
        <w:rPr>
          <w:rFonts w:cstheme="minorHAnsi"/>
        </w:rPr>
        <w:t>Figures in the tables and in the text have been rounded. Discrepancies in tables between totals and sums of components reflect rounding. Percentage variations in all tables are based on the underlying unrounded amounts.</w:t>
      </w:r>
    </w:p>
    <w:p w14:paraId="3ECEF209" w14:textId="77777777" w:rsidR="00D72757" w:rsidRPr="0067507D" w:rsidRDefault="00D72757" w:rsidP="00D72757">
      <w:pPr>
        <w:rPr>
          <w:rFonts w:cstheme="minorHAnsi"/>
        </w:rPr>
      </w:pPr>
      <w:r w:rsidRPr="0067507D">
        <w:rPr>
          <w:rFonts w:cstheme="minorHAnsi"/>
        </w:rPr>
        <w:t>The notation used in the tables is as follows:</w:t>
      </w:r>
    </w:p>
    <w:p w14:paraId="242821C2" w14:textId="77777777" w:rsidR="00D72757" w:rsidRPr="0067507D" w:rsidRDefault="00D72757" w:rsidP="00D72757">
      <w:pPr>
        <w:ind w:left="1980" w:hanging="1440"/>
        <w:rPr>
          <w:rFonts w:cstheme="minorHAnsi"/>
        </w:rPr>
      </w:pPr>
      <w:r w:rsidRPr="0067507D">
        <w:rPr>
          <w:rFonts w:cstheme="minorHAnsi"/>
        </w:rPr>
        <w:t>–</w:t>
      </w:r>
      <w:r w:rsidRPr="0067507D">
        <w:rPr>
          <w:rFonts w:cstheme="minorHAnsi"/>
        </w:rPr>
        <w:tab/>
        <w:t>zero, or rounded to zero</w:t>
      </w:r>
    </w:p>
    <w:p w14:paraId="32A3C4D4" w14:textId="77777777" w:rsidR="00D72757" w:rsidRPr="0067507D" w:rsidRDefault="00D72757" w:rsidP="00D72757">
      <w:pPr>
        <w:ind w:left="1980" w:hanging="1440"/>
        <w:rPr>
          <w:rFonts w:cstheme="minorHAnsi"/>
        </w:rPr>
      </w:pPr>
      <w:r w:rsidRPr="0067507D">
        <w:rPr>
          <w:rFonts w:cstheme="minorHAnsi"/>
        </w:rPr>
        <w:t>1</w:t>
      </w:r>
      <w:r w:rsidRPr="0067507D">
        <w:rPr>
          <w:rFonts w:ascii="Calibri" w:hAnsi="Calibri" w:cs="Calibri"/>
        </w:rPr>
        <w:t> </w:t>
      </w:r>
      <w:r w:rsidRPr="0067507D">
        <w:rPr>
          <w:rFonts w:cs="Segoe UI"/>
        </w:rPr>
        <w:t>billion</w:t>
      </w:r>
      <w:r w:rsidRPr="0067507D">
        <w:rPr>
          <w:rFonts w:cstheme="minorHAnsi"/>
        </w:rPr>
        <w:tab/>
        <w:t>1</w:t>
      </w:r>
      <w:r w:rsidRPr="0067507D">
        <w:rPr>
          <w:rFonts w:ascii="Calibri" w:hAnsi="Calibri" w:cs="Calibri"/>
        </w:rPr>
        <w:t> </w:t>
      </w:r>
      <w:r w:rsidRPr="0067507D">
        <w:rPr>
          <w:rFonts w:cstheme="minorHAnsi"/>
        </w:rPr>
        <w:t>000</w:t>
      </w:r>
      <w:r w:rsidRPr="0067507D">
        <w:rPr>
          <w:rFonts w:ascii="Calibri" w:hAnsi="Calibri" w:cs="Calibri"/>
        </w:rPr>
        <w:t> </w:t>
      </w:r>
      <w:r w:rsidRPr="0067507D">
        <w:rPr>
          <w:rFonts w:cs="Segoe UI"/>
        </w:rPr>
        <w:t>million</w:t>
      </w:r>
    </w:p>
    <w:p w14:paraId="4FC2B914" w14:textId="77777777" w:rsidR="00D72757" w:rsidRPr="0067507D" w:rsidRDefault="00D72757" w:rsidP="00D72757">
      <w:pPr>
        <w:ind w:left="1980" w:hanging="1440"/>
        <w:rPr>
          <w:rFonts w:cstheme="minorHAnsi"/>
        </w:rPr>
      </w:pPr>
      <w:r w:rsidRPr="0067507D">
        <w:rPr>
          <w:rFonts w:cstheme="minorHAnsi"/>
        </w:rPr>
        <w:t>202x</w:t>
      </w:r>
      <w:r w:rsidRPr="0067507D">
        <w:rPr>
          <w:rFonts w:cstheme="minorHAnsi"/>
        </w:rPr>
        <w:tab/>
        <w:t>year period</w:t>
      </w:r>
    </w:p>
    <w:p w14:paraId="7C4319B7" w14:textId="77777777" w:rsidR="00D72757" w:rsidRPr="0067507D" w:rsidRDefault="00D72757" w:rsidP="00D72757">
      <w:pPr>
        <w:ind w:left="1980" w:hanging="1440"/>
        <w:rPr>
          <w:rFonts w:cstheme="minorHAnsi"/>
        </w:rPr>
      </w:pPr>
      <w:r w:rsidRPr="0067507D">
        <w:rPr>
          <w:rFonts w:cstheme="minorHAnsi"/>
        </w:rPr>
        <w:t>202x</w:t>
      </w:r>
      <w:r w:rsidRPr="0067507D">
        <w:rPr>
          <w:rFonts w:cstheme="minorHAnsi"/>
        </w:rPr>
        <w:noBreakHyphen/>
        <w:t>2x</w:t>
      </w:r>
      <w:r w:rsidRPr="0067507D">
        <w:rPr>
          <w:rFonts w:cstheme="minorHAnsi"/>
        </w:rPr>
        <w:tab/>
        <w:t>year period</w:t>
      </w:r>
    </w:p>
    <w:p w14:paraId="353E7F70" w14:textId="77777777" w:rsidR="00D72757" w:rsidRPr="0067507D" w:rsidRDefault="00D72757" w:rsidP="00D72757">
      <w:pPr>
        <w:ind w:left="1980" w:hanging="1440"/>
        <w:rPr>
          <w:rFonts w:cstheme="minorHAnsi"/>
        </w:rPr>
      </w:pPr>
      <w:r w:rsidRPr="0067507D">
        <w:rPr>
          <w:rFonts w:cstheme="minorHAnsi"/>
        </w:rPr>
        <w:t>n/a</w:t>
      </w:r>
      <w:r w:rsidRPr="0067507D">
        <w:rPr>
          <w:rFonts w:cstheme="minorHAnsi"/>
        </w:rPr>
        <w:tab/>
        <w:t>not available or not applicable</w:t>
      </w:r>
    </w:p>
    <w:p w14:paraId="39ABAC34" w14:textId="77777777" w:rsidR="00D72757" w:rsidRPr="0067507D" w:rsidRDefault="00D72757" w:rsidP="00D72757">
      <w:pPr>
        <w:ind w:left="1980" w:hanging="1440"/>
        <w:rPr>
          <w:rFonts w:cstheme="minorBidi"/>
        </w:rPr>
      </w:pPr>
      <w:r w:rsidRPr="0067507D">
        <w:rPr>
          <w:rFonts w:cstheme="minorBidi"/>
        </w:rPr>
        <w:t>(x.x)</w:t>
      </w:r>
      <w:r w:rsidRPr="0067507D">
        <w:tab/>
      </w:r>
      <w:r w:rsidRPr="0067507D">
        <w:rPr>
          <w:rFonts w:cstheme="minorBidi"/>
        </w:rPr>
        <w:t>negative numbers</w:t>
      </w:r>
    </w:p>
    <w:p w14:paraId="09FA096E" w14:textId="77777777" w:rsidR="00D72757" w:rsidRPr="0067507D" w:rsidRDefault="00D72757" w:rsidP="00D72757">
      <w:pPr>
        <w:pStyle w:val="Spacer"/>
      </w:pPr>
    </w:p>
    <w:p w14:paraId="58487FD3" w14:textId="77777777" w:rsidR="00D72757" w:rsidRPr="0067507D" w:rsidRDefault="00D72757" w:rsidP="00D72757">
      <w:pPr>
        <w:rPr>
          <w:rFonts w:cstheme="minorHAnsi"/>
        </w:rPr>
      </w:pPr>
    </w:p>
    <w:p w14:paraId="5DC89E19" w14:textId="705CAAB3" w:rsidR="00D72757" w:rsidRPr="0067507D" w:rsidRDefault="00D72757" w:rsidP="005E6D06">
      <w:pPr>
        <w:rPr>
          <w:rFonts w:ascii="VIC" w:hAnsi="VIC"/>
          <w:szCs w:val="17"/>
        </w:rPr>
      </w:pPr>
    </w:p>
    <w:p w14:paraId="5E3887F3" w14:textId="4E387F56" w:rsidR="005E6D06" w:rsidRPr="0067507D" w:rsidRDefault="005E6D06" w:rsidP="000E5EDD">
      <w:pPr>
        <w:pStyle w:val="Notes"/>
        <w:sectPr w:rsidR="005E6D06" w:rsidRPr="0067507D" w:rsidSect="00F83E3D">
          <w:pgSz w:w="11909" w:h="16834" w:code="9"/>
          <w:pgMar w:top="1728" w:right="1152" w:bottom="1152" w:left="1152" w:header="720" w:footer="288" w:gutter="0"/>
          <w:cols w:num="2" w:space="720"/>
          <w:noEndnote/>
        </w:sectPr>
      </w:pPr>
    </w:p>
    <w:p w14:paraId="335526CF" w14:textId="58D7AFC2" w:rsidR="005E6D06" w:rsidRPr="0067507D" w:rsidRDefault="005E6D06" w:rsidP="005E6D06">
      <w:pPr>
        <w:pStyle w:val="Heading2"/>
      </w:pPr>
      <w:bookmarkStart w:id="27" w:name="PerfOutput_end"/>
      <w:r w:rsidRPr="0067507D">
        <w:lastRenderedPageBreak/>
        <w:t>Optimise Victoria’s fiscal resources</w:t>
      </w:r>
    </w:p>
    <w:p w14:paraId="2E36DB70" w14:textId="7AD73DFF" w:rsidR="00F0110F" w:rsidRPr="0067507D" w:rsidRDefault="00F0110F" w:rsidP="00F0110F">
      <w:r w:rsidRPr="0067507D">
        <w:t>Under this objective, the Department provides analysis and advice to the Government on the management of Victoria’s fiscal resources to support decision</w:t>
      </w:r>
      <w:r w:rsidR="006A5485">
        <w:noBreakHyphen/>
      </w:r>
      <w:r w:rsidRPr="0067507D">
        <w:t>making and reporting for the benefit of all Victorians.</w:t>
      </w:r>
    </w:p>
    <w:p w14:paraId="098D33EE" w14:textId="77777777" w:rsidR="00F0110F" w:rsidRPr="0067507D" w:rsidRDefault="00F0110F" w:rsidP="00F0110F">
      <w:r w:rsidRPr="0067507D">
        <w:t xml:space="preserve">The Department leads the development of financial policy advice to the Government and the Victorian public sector through detailed analysis of key policy priorities including resource allocation, financial risk and government service performance, financial reporting frameworks, and the State’s budget position to inform and support the publication of key whole of state financial reports. </w:t>
      </w:r>
    </w:p>
    <w:p w14:paraId="090DD594" w14:textId="77777777" w:rsidR="00F0110F" w:rsidRPr="0067507D" w:rsidRDefault="00F0110F" w:rsidP="00F0110F">
      <w:r w:rsidRPr="0067507D">
        <w:t>The departmental objective indicators that support the Government to achieve its fiscal objectives are:</w:t>
      </w:r>
    </w:p>
    <w:p w14:paraId="72C7575E" w14:textId="77777777" w:rsidR="00F0110F" w:rsidRPr="0067507D" w:rsidRDefault="00F0110F" w:rsidP="00F0110F">
      <w:pPr>
        <w:pStyle w:val="Bullet"/>
        <w:spacing w:before="40" w:after="40"/>
      </w:pPr>
      <w:r w:rsidRPr="0067507D">
        <w:t>general government net debt as a percentage of gross state product (GSP) to stabilise and reduce in the medium term</w:t>
      </w:r>
    </w:p>
    <w:p w14:paraId="646FB1B9" w14:textId="77777777" w:rsidR="00F0110F" w:rsidRPr="0067507D" w:rsidRDefault="00F0110F" w:rsidP="00F0110F">
      <w:pPr>
        <w:pStyle w:val="Bullet"/>
        <w:spacing w:before="40" w:after="40"/>
      </w:pPr>
      <w:r w:rsidRPr="0067507D">
        <w:t>fully fund the unfunded superannuation liability by 2035</w:t>
      </w:r>
    </w:p>
    <w:p w14:paraId="2C01FAB9" w14:textId="77777777" w:rsidR="00F0110F" w:rsidRPr="0067507D" w:rsidRDefault="00F0110F" w:rsidP="00F0110F">
      <w:pPr>
        <w:pStyle w:val="Bullet"/>
        <w:spacing w:before="40" w:after="40"/>
      </w:pPr>
      <w:r w:rsidRPr="0067507D">
        <w:t>a net operating cash surplus consistent with maintaining general government net debt at a sustainable level</w:t>
      </w:r>
    </w:p>
    <w:p w14:paraId="62FC4FFD" w14:textId="14C84372" w:rsidR="00F0110F" w:rsidRPr="0067507D" w:rsidRDefault="00F0110F" w:rsidP="00F0110F">
      <w:pPr>
        <w:pStyle w:val="Bullet"/>
        <w:spacing w:before="40" w:after="40"/>
      </w:pPr>
      <w:r w:rsidRPr="0067507D">
        <w:t>general government interest expense as a percentage of revenue to stabilise in the medium term</w:t>
      </w:r>
    </w:p>
    <w:p w14:paraId="04959360" w14:textId="77777777" w:rsidR="00F0110F" w:rsidRPr="0067507D" w:rsidRDefault="00F0110F" w:rsidP="00F0110F">
      <w:pPr>
        <w:pStyle w:val="Bullet"/>
        <w:spacing w:before="40" w:after="40"/>
      </w:pPr>
      <w:r w:rsidRPr="0067507D">
        <w:t xml:space="preserve">agency compliance with the Standing Directions under the </w:t>
      </w:r>
      <w:r w:rsidRPr="0067507D">
        <w:rPr>
          <w:i/>
          <w:iCs/>
        </w:rPr>
        <w:t>Financial Management Act 1994</w:t>
      </w:r>
    </w:p>
    <w:p w14:paraId="79438404" w14:textId="77777777" w:rsidR="00F0110F" w:rsidRPr="0067507D" w:rsidRDefault="00F0110F" w:rsidP="00F0110F">
      <w:pPr>
        <w:pStyle w:val="Bullet"/>
        <w:spacing w:before="40" w:after="40"/>
      </w:pPr>
      <w:r w:rsidRPr="0067507D">
        <w:t>advice contributes to the achievement of Government policies and priorities relating to optimising Victoria’s fiscal resources.</w:t>
      </w:r>
    </w:p>
    <w:p w14:paraId="7CFAE631" w14:textId="7C205977" w:rsidR="005E6D06" w:rsidRPr="0067507D" w:rsidRDefault="005E6D06" w:rsidP="005E6D06">
      <w:pPr>
        <w:pStyle w:val="Heading3"/>
      </w:pPr>
      <w:bookmarkStart w:id="28" w:name="_Hlk83024674"/>
      <w:r w:rsidRPr="0067507D">
        <w:t xml:space="preserve">Budget and </w:t>
      </w:r>
      <w:r w:rsidR="00CF17B8" w:rsidRPr="0067507D">
        <w:t>f</w:t>
      </w:r>
      <w:r w:rsidRPr="0067507D">
        <w:t xml:space="preserve">inancial </w:t>
      </w:r>
      <w:r w:rsidR="00CF17B8" w:rsidRPr="0067507D">
        <w:t>a</w:t>
      </w:r>
      <w:r w:rsidRPr="0067507D">
        <w:t>dvice</w:t>
      </w:r>
    </w:p>
    <w:bookmarkEnd w:id="28"/>
    <w:p w14:paraId="738D2924" w14:textId="77777777" w:rsidR="00F0110F" w:rsidRPr="0067507D" w:rsidRDefault="00F0110F" w:rsidP="00F0110F">
      <w:r w:rsidRPr="0067507D">
        <w:t xml:space="preserve">This output contributes to the provision of strategic, timely and comprehensive analysis and advice to Ministers, Cabinet and Cabinet Subcommittees on: </w:t>
      </w:r>
    </w:p>
    <w:p w14:paraId="09703BF9" w14:textId="77777777" w:rsidR="00F0110F" w:rsidRPr="0067507D" w:rsidRDefault="00F0110F" w:rsidP="00F0110F">
      <w:pPr>
        <w:pStyle w:val="Bullet"/>
      </w:pPr>
      <w:r w:rsidRPr="0067507D">
        <w:t>Victorian public sector resource allocation</w:t>
      </w:r>
    </w:p>
    <w:p w14:paraId="31B97688" w14:textId="77777777" w:rsidR="00F0110F" w:rsidRPr="0067507D" w:rsidRDefault="00F0110F" w:rsidP="00F0110F">
      <w:pPr>
        <w:pStyle w:val="Bullet"/>
      </w:pPr>
      <w:r w:rsidRPr="0067507D">
        <w:t xml:space="preserve">departmental financial, output and asset delivery performance to support government in making decisions on the allocation of the State’s fiscal resources </w:t>
      </w:r>
    </w:p>
    <w:p w14:paraId="3305064A" w14:textId="77777777" w:rsidR="00F0110F" w:rsidRPr="0067507D" w:rsidRDefault="00F0110F" w:rsidP="00F0110F">
      <w:pPr>
        <w:pStyle w:val="Bullet"/>
      </w:pPr>
      <w:r w:rsidRPr="0067507D" w:rsidDel="00352C06">
        <w:t xml:space="preserve">departmental and agency funding </w:t>
      </w:r>
      <w:r w:rsidRPr="0067507D">
        <w:t>reviews.</w:t>
      </w:r>
    </w:p>
    <w:p w14:paraId="62CF1847" w14:textId="77777777" w:rsidR="00F0110F" w:rsidRPr="0067507D" w:rsidRDefault="00F0110F" w:rsidP="00F0110F">
      <w:pPr>
        <w:keepNext/>
      </w:pPr>
      <w:r w:rsidRPr="0067507D">
        <w:t>This output maintains the integrity of systems and information for financial planning, management, monitoring and reporting of the State of Victoria via:</w:t>
      </w:r>
    </w:p>
    <w:p w14:paraId="3DE33C00" w14:textId="77777777" w:rsidR="00F0110F" w:rsidRPr="0067507D" w:rsidRDefault="00F0110F" w:rsidP="00F0110F">
      <w:pPr>
        <w:pStyle w:val="Bullet"/>
      </w:pPr>
      <w:r w:rsidRPr="0067507D">
        <w:t>a best practice financial reporting framework, and whole of state management information systems, supporting financial reporting across the Victorian public sector</w:t>
      </w:r>
    </w:p>
    <w:p w14:paraId="5181AE88" w14:textId="75D64136" w:rsidR="00F0110F" w:rsidRPr="0067507D" w:rsidRDefault="00F0110F" w:rsidP="00F0110F">
      <w:pPr>
        <w:pStyle w:val="Bullet"/>
      </w:pPr>
      <w:r w:rsidRPr="0067507D">
        <w:t>publication of the State budget and financial reports, including quarterly, mid</w:t>
      </w:r>
      <w:r w:rsidR="006A5485">
        <w:noBreakHyphen/>
      </w:r>
      <w:r w:rsidRPr="0067507D">
        <w:t>year, annual and estimated financial reports</w:t>
      </w:r>
    </w:p>
    <w:p w14:paraId="77116BC6" w14:textId="4298AEF0" w:rsidR="00F0110F" w:rsidRPr="0067507D" w:rsidRDefault="00F0110F" w:rsidP="00F0110F">
      <w:pPr>
        <w:pStyle w:val="Bullet"/>
      </w:pPr>
      <w:r w:rsidRPr="0067507D">
        <w:t>publication of non</w:t>
      </w:r>
      <w:r w:rsidR="006A5485">
        <w:noBreakHyphen/>
      </w:r>
      <w:r w:rsidRPr="0067507D">
        <w:t>financial performance in the Victorian public sector.</w:t>
      </w:r>
    </w:p>
    <w:p w14:paraId="726078FF" w14:textId="77777777" w:rsidR="00F0110F" w:rsidRPr="0067507D" w:rsidRDefault="00F0110F" w:rsidP="00F0110F">
      <w:r w:rsidRPr="0067507D">
        <w:t xml:space="preserve">This output develops and maintains cohesive financial and resource management frameworks that drive sound financial and resource management practices in the Victorian public sector by: </w:t>
      </w:r>
    </w:p>
    <w:p w14:paraId="7A0EC864" w14:textId="77777777" w:rsidR="00F0110F" w:rsidRPr="0067507D" w:rsidRDefault="00F0110F" w:rsidP="00F0110F">
      <w:pPr>
        <w:pStyle w:val="Bullet"/>
      </w:pPr>
      <w:r w:rsidRPr="0067507D">
        <w:t>enhancing key frameworks to drive performance</w:t>
      </w:r>
    </w:p>
    <w:p w14:paraId="242AAAFA" w14:textId="7C62CC61" w:rsidR="00F0110F" w:rsidRPr="0067507D" w:rsidRDefault="00F0110F" w:rsidP="00F0110F">
      <w:pPr>
        <w:pStyle w:val="Bullet"/>
      </w:pPr>
      <w:r w:rsidRPr="0067507D">
        <w:t xml:space="preserve">monitoring </w:t>
      </w:r>
      <w:bookmarkStart w:id="29" w:name="_Hlk71569422"/>
      <w:r w:rsidRPr="0067507D">
        <w:t xml:space="preserve">Victorian </w:t>
      </w:r>
      <w:r w:rsidR="007E252E" w:rsidRPr="0067507D">
        <w:t>public sector</w:t>
      </w:r>
      <w:r w:rsidRPr="0067507D">
        <w:t xml:space="preserve"> (VPS) agencies’ </w:t>
      </w:r>
      <w:bookmarkEnd w:id="29"/>
      <w:r w:rsidRPr="0067507D">
        <w:t>compliance</w:t>
      </w:r>
    </w:p>
    <w:p w14:paraId="13EDFC09" w14:textId="77777777" w:rsidR="00F0110F" w:rsidRPr="0067507D" w:rsidRDefault="00F0110F" w:rsidP="00F0110F">
      <w:pPr>
        <w:pStyle w:val="Bullet"/>
      </w:pPr>
      <w:r w:rsidRPr="0067507D">
        <w:t>advising government and key stakeholders on financial and resource management and compliance issues</w:t>
      </w:r>
    </w:p>
    <w:p w14:paraId="2BEA9620" w14:textId="77777777" w:rsidR="00F0110F" w:rsidRPr="0067507D" w:rsidRDefault="00F0110F" w:rsidP="00F0110F">
      <w:pPr>
        <w:pStyle w:val="Bullet"/>
      </w:pPr>
      <w:r w:rsidRPr="0067507D">
        <w:t>ensuring that financial and resource management frameworks are established and complied with</w:t>
      </w:r>
    </w:p>
    <w:p w14:paraId="618E0D95" w14:textId="77777777" w:rsidR="00F0110F" w:rsidRPr="0067507D" w:rsidRDefault="00F0110F" w:rsidP="00F0110F">
      <w:pPr>
        <w:pStyle w:val="Bullet"/>
      </w:pPr>
      <w:r w:rsidRPr="0067507D">
        <w:t>promoting continuous improvement in VPS resource allocation and management through regular reviews and updates to ensure the frameworks represent good practice</w:t>
      </w:r>
    </w:p>
    <w:p w14:paraId="21AC03AB" w14:textId="77777777" w:rsidR="00F0110F" w:rsidRPr="0067507D" w:rsidRDefault="00F0110F" w:rsidP="00F0110F">
      <w:pPr>
        <w:pStyle w:val="Bullet"/>
      </w:pPr>
      <w:r w:rsidRPr="0067507D">
        <w:t>promoting awareness of financial management accountabilities and roles.</w:t>
      </w:r>
    </w:p>
    <w:p w14:paraId="5F15783B" w14:textId="77777777" w:rsidR="00F0110F" w:rsidRPr="0067507D" w:rsidRDefault="00F0110F" w:rsidP="00F0110F">
      <w:r w:rsidRPr="0067507D">
        <w:t>This output contributes to the Department’s objective to optimise Victoria’s fiscal resources.</w:t>
      </w:r>
    </w:p>
    <w:p w14:paraId="708B7BBE" w14:textId="77777777" w:rsidR="00CA5640" w:rsidRPr="0067507D" w:rsidRDefault="00CA5640" w:rsidP="0043594B">
      <w:pPr>
        <w:pStyle w:val="Spacer"/>
      </w:pPr>
    </w:p>
    <w:p w14:paraId="7C6D142B" w14:textId="015AB8FE" w:rsidR="0098765F" w:rsidRPr="0067507D" w:rsidRDefault="0098765F" w:rsidP="005E6F43">
      <w:pPr>
        <w:pStyle w:val="Heading4"/>
      </w:pPr>
      <w:r w:rsidRPr="0067507D">
        <w:lastRenderedPageBreak/>
        <w:t>Key initiatives and projects</w:t>
      </w:r>
    </w:p>
    <w:p w14:paraId="1B3E9B05" w14:textId="3D03A88E" w:rsidR="000B786A" w:rsidRPr="0067507D" w:rsidRDefault="000B786A" w:rsidP="00C2723E">
      <w:pPr>
        <w:pStyle w:val="Bullet"/>
        <w:keepNext/>
        <w:rPr>
          <w:rFonts w:eastAsiaTheme="minorHAnsi" w:cstheme="minorBidi"/>
          <w:lang w:eastAsia="en-US"/>
        </w:rPr>
      </w:pPr>
      <w:r w:rsidRPr="0067507D">
        <w:rPr>
          <w:rFonts w:eastAsiaTheme="minorHAnsi" w:cstheme="minorBidi"/>
          <w:lang w:eastAsia="en-US"/>
        </w:rPr>
        <w:t xml:space="preserve">The </w:t>
      </w:r>
      <w:r w:rsidR="0084509B" w:rsidRPr="0067507D">
        <w:rPr>
          <w:rFonts w:eastAsiaTheme="minorHAnsi" w:cstheme="minorBidi"/>
          <w:lang w:eastAsia="en-US"/>
        </w:rPr>
        <w:t>annual</w:t>
      </w:r>
      <w:r w:rsidRPr="0067507D">
        <w:rPr>
          <w:rFonts w:eastAsiaTheme="minorHAnsi" w:cstheme="minorBidi"/>
          <w:lang w:eastAsia="en-US"/>
        </w:rPr>
        <w:t xml:space="preserve"> State Budget 202</w:t>
      </w:r>
      <w:r w:rsidR="000D00ED">
        <w:rPr>
          <w:rFonts w:eastAsiaTheme="minorHAnsi" w:cstheme="minorBidi"/>
          <w:lang w:eastAsia="en-US"/>
        </w:rPr>
        <w:t>5</w:t>
      </w:r>
      <w:r w:rsidR="006A5485">
        <w:rPr>
          <w:rFonts w:eastAsiaTheme="minorHAnsi" w:cstheme="minorBidi"/>
          <w:lang w:eastAsia="en-US"/>
        </w:rPr>
        <w:noBreakHyphen/>
      </w:r>
      <w:r w:rsidRPr="0067507D">
        <w:rPr>
          <w:rFonts w:eastAsiaTheme="minorHAnsi" w:cstheme="minorBidi"/>
          <w:lang w:eastAsia="en-US"/>
        </w:rPr>
        <w:t>2</w:t>
      </w:r>
      <w:r w:rsidR="000D00ED">
        <w:rPr>
          <w:rFonts w:eastAsiaTheme="minorHAnsi" w:cstheme="minorBidi"/>
          <w:lang w:eastAsia="en-US"/>
        </w:rPr>
        <w:t>6</w:t>
      </w:r>
      <w:r w:rsidRPr="0067507D">
        <w:rPr>
          <w:rFonts w:eastAsiaTheme="minorHAnsi" w:cstheme="minorBidi"/>
          <w:lang w:eastAsia="en-US"/>
        </w:rPr>
        <w:t xml:space="preserve"> was delivered and tabled in Parliament on </w:t>
      </w:r>
      <w:r w:rsidR="009B357E" w:rsidRPr="0067507D">
        <w:rPr>
          <w:rFonts w:eastAsiaTheme="minorHAnsi" w:cstheme="minorBidi"/>
          <w:lang w:eastAsia="en-US"/>
        </w:rPr>
        <w:t>Tuesday 20 May 2025</w:t>
      </w:r>
      <w:r w:rsidRPr="0067507D">
        <w:rPr>
          <w:rFonts w:eastAsiaTheme="minorHAnsi" w:cstheme="minorBidi"/>
          <w:lang w:eastAsia="en-US"/>
        </w:rPr>
        <w:t>.</w:t>
      </w:r>
    </w:p>
    <w:p w14:paraId="653BEE60" w14:textId="2F187070" w:rsidR="00D51988" w:rsidRPr="0067507D" w:rsidRDefault="00D51988" w:rsidP="00C2723E">
      <w:pPr>
        <w:pStyle w:val="Bullet"/>
        <w:keepNext/>
        <w:rPr>
          <w:rFonts w:eastAsiaTheme="minorHAnsi"/>
          <w:lang w:eastAsia="en-US"/>
        </w:rPr>
      </w:pPr>
      <w:r w:rsidRPr="0067507D">
        <w:rPr>
          <w:rFonts w:eastAsiaTheme="minorHAnsi"/>
          <w:lang w:eastAsia="en-US"/>
        </w:rPr>
        <w:t xml:space="preserve">Work is underway to continue to embed and improve Gender Responsive Budgeting by progressing the recommendations </w:t>
      </w:r>
      <w:r w:rsidRPr="0067507D">
        <w:rPr>
          <w:rFonts w:eastAsiaTheme="minorHAnsi"/>
        </w:rPr>
        <w:t>from</w:t>
      </w:r>
      <w:r w:rsidRPr="0067507D">
        <w:rPr>
          <w:rFonts w:eastAsiaTheme="minorHAnsi"/>
          <w:lang w:eastAsia="en-US"/>
        </w:rPr>
        <w:t xml:space="preserve"> the </w:t>
      </w:r>
      <w:r w:rsidR="004902DE" w:rsidRPr="0067507D">
        <w:rPr>
          <w:rFonts w:eastAsiaTheme="minorHAnsi"/>
          <w:lang w:eastAsia="en-US"/>
        </w:rPr>
        <w:t>Public Accounts and Estimates Committee</w:t>
      </w:r>
      <w:r w:rsidRPr="0067507D">
        <w:rPr>
          <w:rFonts w:eastAsiaTheme="minorHAnsi"/>
          <w:lang w:eastAsia="en-US"/>
        </w:rPr>
        <w:t xml:space="preserve"> inquiry into Gender Responsive Budgeting and other activities.</w:t>
      </w:r>
    </w:p>
    <w:p w14:paraId="030EC73C" w14:textId="5A4AE171" w:rsidR="006108C3" w:rsidRPr="0067507D" w:rsidRDefault="005D777F" w:rsidP="005C4B08">
      <w:pPr>
        <w:pStyle w:val="Bullet"/>
        <w:rPr>
          <w:rFonts w:eastAsiaTheme="minorHAnsi"/>
          <w:lang w:eastAsia="en-US"/>
        </w:rPr>
      </w:pPr>
      <w:r w:rsidRPr="0067507D">
        <w:rPr>
          <w:rFonts w:eastAsiaTheme="minorHAnsi"/>
          <w:lang w:eastAsia="en-US"/>
        </w:rPr>
        <w:t xml:space="preserve">Budget and Finance </w:t>
      </w:r>
      <w:r w:rsidR="0010738E" w:rsidRPr="0067507D">
        <w:rPr>
          <w:rFonts w:eastAsiaTheme="minorHAnsi"/>
          <w:lang w:eastAsia="en-US"/>
        </w:rPr>
        <w:t>Com</w:t>
      </w:r>
      <w:r w:rsidR="00611D2E" w:rsidRPr="0067507D">
        <w:rPr>
          <w:rFonts w:eastAsiaTheme="minorHAnsi"/>
          <w:lang w:eastAsia="en-US"/>
        </w:rPr>
        <w:t>m</w:t>
      </w:r>
      <w:r w:rsidR="0010738E" w:rsidRPr="0067507D">
        <w:rPr>
          <w:rFonts w:eastAsiaTheme="minorHAnsi"/>
          <w:lang w:eastAsia="en-US"/>
        </w:rPr>
        <w:t>ittee</w:t>
      </w:r>
      <w:r w:rsidR="00136E26" w:rsidRPr="0067507D">
        <w:rPr>
          <w:rFonts w:eastAsiaTheme="minorHAnsi"/>
          <w:lang w:eastAsia="en-US"/>
        </w:rPr>
        <w:t xml:space="preserve"> approved ongoing funding for the Gender Responsive Budget unit as part of the </w:t>
      </w:r>
      <w:r w:rsidR="00136E26" w:rsidRPr="0067507D">
        <w:rPr>
          <w:rFonts w:eastAsiaTheme="minorHAnsi"/>
          <w:i/>
          <w:lang w:eastAsia="en-US"/>
        </w:rPr>
        <w:t>2025</w:t>
      </w:r>
      <w:r w:rsidR="006A5485">
        <w:rPr>
          <w:rFonts w:eastAsiaTheme="minorHAnsi"/>
          <w:i/>
          <w:lang w:eastAsia="en-US"/>
        </w:rPr>
        <w:noBreakHyphen/>
      </w:r>
      <w:r w:rsidR="00136E26" w:rsidRPr="0067507D">
        <w:rPr>
          <w:rFonts w:eastAsiaTheme="minorHAnsi"/>
          <w:i/>
          <w:lang w:eastAsia="en-US"/>
        </w:rPr>
        <w:t>26 Budget</w:t>
      </w:r>
      <w:r w:rsidR="00136E26" w:rsidRPr="0067507D">
        <w:rPr>
          <w:rFonts w:eastAsiaTheme="minorHAnsi"/>
          <w:lang w:eastAsia="en-US"/>
        </w:rPr>
        <w:t>, to be funded from internal reprioritisa</w:t>
      </w:r>
      <w:r w:rsidR="006108C3" w:rsidRPr="0067507D">
        <w:rPr>
          <w:rFonts w:eastAsiaTheme="minorHAnsi"/>
          <w:lang w:eastAsia="en-US"/>
        </w:rPr>
        <w:t>t</w:t>
      </w:r>
      <w:r w:rsidR="00136E26" w:rsidRPr="0067507D">
        <w:rPr>
          <w:rFonts w:eastAsiaTheme="minorHAnsi"/>
          <w:lang w:eastAsia="en-US"/>
        </w:rPr>
        <w:t xml:space="preserve">ion. The </w:t>
      </w:r>
      <w:r w:rsidR="001A6270" w:rsidRPr="0067507D">
        <w:rPr>
          <w:rFonts w:eastAsiaTheme="minorHAnsi"/>
          <w:lang w:eastAsia="en-US"/>
        </w:rPr>
        <w:t>Gender Responsive Budget</w:t>
      </w:r>
      <w:r w:rsidR="00136E26" w:rsidRPr="0067507D">
        <w:rPr>
          <w:rFonts w:eastAsiaTheme="minorHAnsi"/>
          <w:lang w:eastAsia="en-US"/>
        </w:rPr>
        <w:t xml:space="preserve"> unit is collecting feedback on the 2025</w:t>
      </w:r>
      <w:r w:rsidR="006A5485">
        <w:rPr>
          <w:rFonts w:eastAsiaTheme="minorHAnsi"/>
          <w:lang w:eastAsia="en-US"/>
        </w:rPr>
        <w:noBreakHyphen/>
      </w:r>
      <w:r w:rsidR="00136E26" w:rsidRPr="0067507D">
        <w:rPr>
          <w:rFonts w:eastAsiaTheme="minorHAnsi"/>
          <w:lang w:eastAsia="en-US"/>
        </w:rPr>
        <w:t>26 Budget process to inform improvements to training and guidance documentation for future budgets.</w:t>
      </w:r>
    </w:p>
    <w:tbl>
      <w:tblPr>
        <w:tblStyle w:val="TableGrid"/>
        <w:tblW w:w="9679" w:type="dxa"/>
        <w:tblLook w:val="02A0" w:firstRow="1" w:lastRow="0" w:firstColumn="1" w:lastColumn="0" w:noHBand="1" w:noVBand="0"/>
      </w:tblPr>
      <w:tblGrid>
        <w:gridCol w:w="4410"/>
        <w:gridCol w:w="1017"/>
        <w:gridCol w:w="1001"/>
        <w:gridCol w:w="1001"/>
        <w:gridCol w:w="1260"/>
        <w:gridCol w:w="990"/>
      </w:tblGrid>
      <w:tr w:rsidR="00E26BDE" w:rsidRPr="0067507D" w14:paraId="325AB729" w14:textId="77777777" w:rsidTr="00FA139A">
        <w:trPr>
          <w:tblHeader/>
        </w:trPr>
        <w:tc>
          <w:tcPr>
            <w:cnfStyle w:val="001000000000" w:firstRow="0" w:lastRow="0" w:firstColumn="1" w:lastColumn="0" w:oddVBand="0" w:evenVBand="0" w:oddHBand="0" w:evenHBand="0" w:firstRowFirstColumn="0" w:firstRowLastColumn="0" w:lastRowFirstColumn="0" w:lastRowLastColumn="0"/>
            <w:tcW w:w="4410" w:type="dxa"/>
            <w:vAlign w:val="bottom"/>
          </w:tcPr>
          <w:p w14:paraId="1093FB2E" w14:textId="77777777" w:rsidR="00A16BB9" w:rsidRPr="0067507D" w:rsidRDefault="00A16BB9" w:rsidP="002F1410">
            <w:pPr>
              <w:pStyle w:val="Tabletextheadingleft"/>
              <w:rPr>
                <w:szCs w:val="16"/>
              </w:rPr>
            </w:pPr>
            <w:r w:rsidRPr="0067507D">
              <w:rPr>
                <w:szCs w:val="16"/>
              </w:rPr>
              <w:t>Performance measures</w:t>
            </w:r>
          </w:p>
        </w:tc>
        <w:tc>
          <w:tcPr>
            <w:cnfStyle w:val="000010000000" w:firstRow="0" w:lastRow="0" w:firstColumn="0" w:lastColumn="0" w:oddVBand="1" w:evenVBand="0" w:oddHBand="0" w:evenHBand="0" w:firstRowFirstColumn="0" w:firstRowLastColumn="0" w:lastRowFirstColumn="0" w:lastRowLastColumn="0"/>
            <w:tcW w:w="1017" w:type="dxa"/>
          </w:tcPr>
          <w:p w14:paraId="1817BC53" w14:textId="77777777" w:rsidR="00A16BB9" w:rsidRPr="0067507D" w:rsidRDefault="00A16BB9" w:rsidP="006B3412">
            <w:pPr>
              <w:pStyle w:val="Tabletextheadingcentred"/>
              <w:rPr>
                <w:szCs w:val="16"/>
              </w:rPr>
            </w:pPr>
            <w:r w:rsidRPr="0067507D">
              <w:rPr>
                <w:szCs w:val="16"/>
              </w:rPr>
              <w:t>Unit of measure</w:t>
            </w:r>
          </w:p>
        </w:tc>
        <w:tc>
          <w:tcPr>
            <w:cnfStyle w:val="000001000000" w:firstRow="0" w:lastRow="0" w:firstColumn="0" w:lastColumn="0" w:oddVBand="0" w:evenVBand="1" w:oddHBand="0" w:evenHBand="0" w:firstRowFirstColumn="0" w:firstRowLastColumn="0" w:lastRowFirstColumn="0" w:lastRowLastColumn="0"/>
            <w:tcW w:w="1001" w:type="dxa"/>
            <w:vAlign w:val="bottom"/>
          </w:tcPr>
          <w:p w14:paraId="61A080DC" w14:textId="701EE4E4" w:rsidR="00A16BB9"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A16BB9" w:rsidRPr="0067507D">
              <w:rPr>
                <w:szCs w:val="16"/>
              </w:rPr>
              <w:t xml:space="preserve"> actual</w:t>
            </w:r>
          </w:p>
        </w:tc>
        <w:tc>
          <w:tcPr>
            <w:cnfStyle w:val="000010000000" w:firstRow="0" w:lastRow="0" w:firstColumn="0" w:lastColumn="0" w:oddVBand="1" w:evenVBand="0" w:oddHBand="0" w:evenHBand="0" w:firstRowFirstColumn="0" w:firstRowLastColumn="0" w:lastRowFirstColumn="0" w:lastRowLastColumn="0"/>
            <w:tcW w:w="1001" w:type="dxa"/>
            <w:vAlign w:val="bottom"/>
          </w:tcPr>
          <w:p w14:paraId="657C676A" w14:textId="69E358CB" w:rsidR="00A16BB9"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A16BB9" w:rsidRPr="0067507D">
              <w:rPr>
                <w:szCs w:val="16"/>
              </w:rPr>
              <w:t xml:space="preserve"> target</w:t>
            </w:r>
          </w:p>
        </w:tc>
        <w:tc>
          <w:tcPr>
            <w:cnfStyle w:val="000001000000" w:firstRow="0" w:lastRow="0" w:firstColumn="0" w:lastColumn="0" w:oddVBand="0" w:evenVBand="1" w:oddHBand="0" w:evenHBand="0" w:firstRowFirstColumn="0" w:firstRowLastColumn="0" w:lastRowFirstColumn="0" w:lastRowLastColumn="0"/>
            <w:tcW w:w="1260" w:type="dxa"/>
            <w:vAlign w:val="bottom"/>
          </w:tcPr>
          <w:p w14:paraId="70983222" w14:textId="77777777" w:rsidR="00A16BB9" w:rsidRPr="0067507D" w:rsidRDefault="00A16BB9" w:rsidP="006B3412">
            <w:pPr>
              <w:pStyle w:val="Tabletextheadingright"/>
              <w:rPr>
                <w:szCs w:val="16"/>
              </w:rPr>
            </w:pPr>
            <w:r w:rsidRPr="0067507D">
              <w:rPr>
                <w:szCs w:val="16"/>
              </w:rPr>
              <w:t>Performance variation (%)</w:t>
            </w:r>
          </w:p>
        </w:tc>
        <w:tc>
          <w:tcPr>
            <w:cnfStyle w:val="000010000000" w:firstRow="0" w:lastRow="0" w:firstColumn="0" w:lastColumn="0" w:oddVBand="1" w:evenVBand="0" w:oddHBand="0" w:evenHBand="0" w:firstRowFirstColumn="0" w:firstRowLastColumn="0" w:lastRowFirstColumn="0" w:lastRowLastColumn="0"/>
            <w:tcW w:w="990" w:type="dxa"/>
            <w:vAlign w:val="bottom"/>
          </w:tcPr>
          <w:p w14:paraId="19C84062" w14:textId="77777777" w:rsidR="00A16BB9" w:rsidRPr="0067507D" w:rsidRDefault="00A16BB9" w:rsidP="006B3412">
            <w:pPr>
              <w:pStyle w:val="Tabletextheadingrightbold"/>
              <w:rPr>
                <w:szCs w:val="16"/>
              </w:rPr>
            </w:pPr>
            <w:r w:rsidRPr="0067507D">
              <w:rPr>
                <w:szCs w:val="16"/>
              </w:rPr>
              <w:t xml:space="preserve">Result </w:t>
            </w:r>
          </w:p>
        </w:tc>
      </w:tr>
      <w:tr w:rsidR="00E26BDE" w:rsidRPr="0067507D" w14:paraId="34650B33"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5D316547" w14:textId="71AB98D6" w:rsidR="00714F04" w:rsidRPr="0067507D" w:rsidRDefault="00714F04" w:rsidP="00714F04">
            <w:pPr>
              <w:pStyle w:val="Tabletextheadingleft"/>
              <w:rPr>
                <w:iCs/>
              </w:rPr>
            </w:pPr>
            <w:r w:rsidRPr="0067507D">
              <w:rPr>
                <w:iCs/>
              </w:rPr>
              <w:t>Quantity</w:t>
            </w:r>
          </w:p>
        </w:tc>
        <w:tc>
          <w:tcPr>
            <w:cnfStyle w:val="000010000000" w:firstRow="0" w:lastRow="0" w:firstColumn="0" w:lastColumn="0" w:oddVBand="1" w:evenVBand="0" w:oddHBand="0" w:evenHBand="0" w:firstRowFirstColumn="0" w:firstRowLastColumn="0" w:lastRowFirstColumn="0" w:lastRowLastColumn="0"/>
            <w:tcW w:w="1017" w:type="dxa"/>
          </w:tcPr>
          <w:p w14:paraId="4B073646" w14:textId="77777777" w:rsidR="00714F04" w:rsidRPr="0067507D" w:rsidRDefault="00714F04" w:rsidP="00714F04">
            <w:pPr>
              <w:pStyle w:val="Tabletextcentred"/>
              <w:rPr>
                <w:iCs/>
              </w:rPr>
            </w:pPr>
          </w:p>
        </w:tc>
        <w:tc>
          <w:tcPr>
            <w:cnfStyle w:val="000001000000" w:firstRow="0" w:lastRow="0" w:firstColumn="0" w:lastColumn="0" w:oddVBand="0" w:evenVBand="1" w:oddHBand="0" w:evenHBand="0" w:firstRowFirstColumn="0" w:firstRowLastColumn="0" w:lastRowFirstColumn="0" w:lastRowLastColumn="0"/>
            <w:tcW w:w="1001" w:type="dxa"/>
          </w:tcPr>
          <w:p w14:paraId="6EBA0154" w14:textId="77777777" w:rsidR="00714F04" w:rsidRPr="0067507D" w:rsidRDefault="00714F04" w:rsidP="00714F04">
            <w:pPr>
              <w:pStyle w:val="Tabletextright"/>
              <w:rPr>
                <w:iCs/>
              </w:rPr>
            </w:pPr>
          </w:p>
        </w:tc>
        <w:tc>
          <w:tcPr>
            <w:cnfStyle w:val="000010000000" w:firstRow="0" w:lastRow="0" w:firstColumn="0" w:lastColumn="0" w:oddVBand="1" w:evenVBand="0" w:oddHBand="0" w:evenHBand="0" w:firstRowFirstColumn="0" w:firstRowLastColumn="0" w:lastRowFirstColumn="0" w:lastRowLastColumn="0"/>
            <w:tcW w:w="1001" w:type="dxa"/>
          </w:tcPr>
          <w:p w14:paraId="70D1F4EA" w14:textId="77777777" w:rsidR="00714F04" w:rsidRPr="0067507D" w:rsidRDefault="00714F04" w:rsidP="00714F04">
            <w:pPr>
              <w:pStyle w:val="Tabletextright"/>
              <w:rPr>
                <w:iCs/>
              </w:rPr>
            </w:pPr>
          </w:p>
        </w:tc>
        <w:tc>
          <w:tcPr>
            <w:cnfStyle w:val="000001000000" w:firstRow="0" w:lastRow="0" w:firstColumn="0" w:lastColumn="0" w:oddVBand="0" w:evenVBand="1" w:oddHBand="0" w:evenHBand="0" w:firstRowFirstColumn="0" w:firstRowLastColumn="0" w:lastRowFirstColumn="0" w:lastRowLastColumn="0"/>
            <w:tcW w:w="1260" w:type="dxa"/>
          </w:tcPr>
          <w:p w14:paraId="41ADA986" w14:textId="77777777" w:rsidR="00714F04" w:rsidRPr="0067507D" w:rsidRDefault="00714F04" w:rsidP="00714F04">
            <w:pPr>
              <w:pStyle w:val="Tabletextright"/>
            </w:pPr>
          </w:p>
        </w:tc>
        <w:tc>
          <w:tcPr>
            <w:cnfStyle w:val="000010000000" w:firstRow="0" w:lastRow="0" w:firstColumn="0" w:lastColumn="0" w:oddVBand="1" w:evenVBand="0" w:oddHBand="0" w:evenHBand="0" w:firstRowFirstColumn="0" w:firstRowLastColumn="0" w:lastRowFirstColumn="0" w:lastRowLastColumn="0"/>
            <w:tcW w:w="990" w:type="dxa"/>
          </w:tcPr>
          <w:p w14:paraId="3E4D3E8A" w14:textId="77777777" w:rsidR="00714F04" w:rsidRPr="0067507D" w:rsidRDefault="00714F04" w:rsidP="00714F04">
            <w:pPr>
              <w:pStyle w:val="Tabletextright"/>
            </w:pPr>
          </w:p>
        </w:tc>
      </w:tr>
      <w:tr w:rsidR="00E26BDE" w:rsidRPr="0067507D" w14:paraId="5D127BE1"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061538D2" w14:textId="77777777" w:rsidR="00714F04" w:rsidRPr="0067507D" w:rsidRDefault="00714F04" w:rsidP="00714F04">
            <w:pPr>
              <w:pStyle w:val="Tabletext"/>
              <w:rPr>
                <w:iCs/>
              </w:rPr>
            </w:pPr>
            <w:r w:rsidRPr="0067507D">
              <w:rPr>
                <w:iCs/>
              </w:rPr>
              <w:t>Number of funding reviews contributed to by DTF</w:t>
            </w:r>
          </w:p>
          <w:p w14:paraId="236B7FEA" w14:textId="0F45B378" w:rsidR="00714F04" w:rsidRPr="0067507D" w:rsidRDefault="007E40DD" w:rsidP="00C2723E">
            <w:pPr>
              <w:pStyle w:val="Tabletextnotes"/>
              <w:spacing w:line="228" w:lineRule="auto"/>
            </w:pPr>
            <w:r w:rsidRPr="0067507D">
              <w:t>The 2024</w:t>
            </w:r>
            <w:r w:rsidR="006A5485">
              <w:noBreakHyphen/>
            </w:r>
            <w:r w:rsidRPr="0067507D">
              <w:t>25 actual is higher than the target due to a higher than anticipated number of funding reviews being commissioned.</w:t>
            </w:r>
          </w:p>
        </w:tc>
        <w:tc>
          <w:tcPr>
            <w:cnfStyle w:val="000010000000" w:firstRow="0" w:lastRow="0" w:firstColumn="0" w:lastColumn="0" w:oddVBand="1" w:evenVBand="0" w:oddHBand="0" w:evenHBand="0" w:firstRowFirstColumn="0" w:firstRowLastColumn="0" w:lastRowFirstColumn="0" w:lastRowLastColumn="0"/>
            <w:tcW w:w="1017" w:type="dxa"/>
          </w:tcPr>
          <w:p w14:paraId="6E170C6C" w14:textId="7D657025" w:rsidR="00714F04" w:rsidRPr="0067507D" w:rsidRDefault="00714F04" w:rsidP="00714F04">
            <w:pPr>
              <w:pStyle w:val="Tabletextcentred"/>
              <w:rPr>
                <w:iCs/>
              </w:rPr>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01" w:type="dxa"/>
          </w:tcPr>
          <w:p w14:paraId="054471F7" w14:textId="7BC045AB" w:rsidR="00714F04" w:rsidRPr="0067507D" w:rsidRDefault="00B313A3" w:rsidP="00714F04">
            <w:pPr>
              <w:pStyle w:val="Tabletextright"/>
              <w:rPr>
                <w:iCs/>
              </w:rPr>
            </w:pPr>
            <w:r w:rsidRPr="0067507D">
              <w:rPr>
                <w:iCs/>
              </w:rPr>
              <w:t>6</w:t>
            </w:r>
          </w:p>
        </w:tc>
        <w:tc>
          <w:tcPr>
            <w:cnfStyle w:val="000010000000" w:firstRow="0" w:lastRow="0" w:firstColumn="0" w:lastColumn="0" w:oddVBand="1" w:evenVBand="0" w:oddHBand="0" w:evenHBand="0" w:firstRowFirstColumn="0" w:firstRowLastColumn="0" w:lastRowFirstColumn="0" w:lastRowLastColumn="0"/>
            <w:tcW w:w="1001" w:type="dxa"/>
          </w:tcPr>
          <w:p w14:paraId="2DD4C568" w14:textId="18382D85" w:rsidR="00714F04" w:rsidRPr="0067507D" w:rsidRDefault="00714F04" w:rsidP="00714F04">
            <w:pPr>
              <w:pStyle w:val="Tabletextright"/>
              <w:rPr>
                <w:iCs/>
              </w:rPr>
            </w:pPr>
            <w:r w:rsidRPr="0067507D">
              <w:rPr>
                <w:iCs/>
              </w:rPr>
              <w:t>3</w:t>
            </w:r>
          </w:p>
        </w:tc>
        <w:tc>
          <w:tcPr>
            <w:cnfStyle w:val="000001000000" w:firstRow="0" w:lastRow="0" w:firstColumn="0" w:lastColumn="0" w:oddVBand="0" w:evenVBand="1" w:oddHBand="0" w:evenHBand="0" w:firstRowFirstColumn="0" w:firstRowLastColumn="0" w:lastRowFirstColumn="0" w:lastRowLastColumn="0"/>
            <w:tcW w:w="1260" w:type="dxa"/>
          </w:tcPr>
          <w:p w14:paraId="56A5F4DB" w14:textId="4C572670" w:rsidR="00714F04" w:rsidRPr="0067507D" w:rsidRDefault="00B313A3" w:rsidP="00714F04">
            <w:pPr>
              <w:pStyle w:val="Tabletextright"/>
            </w:pPr>
            <w:r w:rsidRPr="0067507D">
              <w:t>100</w:t>
            </w:r>
          </w:p>
        </w:tc>
        <w:tc>
          <w:tcPr>
            <w:cnfStyle w:val="000010000000" w:firstRow="0" w:lastRow="0" w:firstColumn="0" w:lastColumn="0" w:oddVBand="1" w:evenVBand="0" w:oddHBand="0" w:evenHBand="0" w:firstRowFirstColumn="0" w:firstRowLastColumn="0" w:lastRowFirstColumn="0" w:lastRowLastColumn="0"/>
            <w:tcW w:w="990" w:type="dxa"/>
          </w:tcPr>
          <w:p w14:paraId="37AF59BD" w14:textId="1C57982C" w:rsidR="00714F04" w:rsidRPr="0067507D" w:rsidRDefault="00714F04" w:rsidP="00F15489">
            <w:pPr>
              <w:pStyle w:val="TargetMet"/>
            </w:pPr>
          </w:p>
        </w:tc>
      </w:tr>
      <w:tr w:rsidR="00E26BDE" w:rsidRPr="0067507D" w14:paraId="74D3A3D2"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292746DF" w14:textId="3E36F805" w:rsidR="00714F04" w:rsidRPr="0067507D" w:rsidRDefault="00714F04" w:rsidP="00714F04">
            <w:pPr>
              <w:pStyle w:val="Tabletextheadingleft"/>
              <w:rPr>
                <w:rFonts w:eastAsia="Garamond"/>
                <w:iCs/>
              </w:rPr>
            </w:pPr>
            <w:r w:rsidRPr="0067507D">
              <w:rPr>
                <w:iCs/>
              </w:rPr>
              <w:t>Quality</w:t>
            </w:r>
          </w:p>
        </w:tc>
        <w:tc>
          <w:tcPr>
            <w:cnfStyle w:val="000010000000" w:firstRow="0" w:lastRow="0" w:firstColumn="0" w:lastColumn="0" w:oddVBand="1" w:evenVBand="0" w:oddHBand="0" w:evenHBand="0" w:firstRowFirstColumn="0" w:firstRowLastColumn="0" w:lastRowFirstColumn="0" w:lastRowLastColumn="0"/>
            <w:tcW w:w="1017" w:type="dxa"/>
          </w:tcPr>
          <w:p w14:paraId="62D6B493" w14:textId="77777777" w:rsidR="00714F04" w:rsidRPr="0067507D" w:rsidRDefault="00714F04" w:rsidP="00714F04">
            <w:pPr>
              <w:pStyle w:val="Tabletextcentred"/>
              <w:rPr>
                <w:rFonts w:eastAsia="Garamond"/>
                <w:iCs/>
              </w:rPr>
            </w:pPr>
          </w:p>
        </w:tc>
        <w:tc>
          <w:tcPr>
            <w:cnfStyle w:val="000001000000" w:firstRow="0" w:lastRow="0" w:firstColumn="0" w:lastColumn="0" w:oddVBand="0" w:evenVBand="1" w:oddHBand="0" w:evenHBand="0" w:firstRowFirstColumn="0" w:firstRowLastColumn="0" w:lastRowFirstColumn="0" w:lastRowLastColumn="0"/>
            <w:tcW w:w="1001" w:type="dxa"/>
          </w:tcPr>
          <w:p w14:paraId="61DA43E4" w14:textId="77777777" w:rsidR="00714F04" w:rsidRPr="0067507D" w:rsidRDefault="00714F04" w:rsidP="00714F04">
            <w:pPr>
              <w:pStyle w:val="Tabletextright"/>
              <w:rPr>
                <w:rFonts w:eastAsia="Garamond"/>
                <w:iCs/>
              </w:rPr>
            </w:pPr>
          </w:p>
        </w:tc>
        <w:tc>
          <w:tcPr>
            <w:cnfStyle w:val="000010000000" w:firstRow="0" w:lastRow="0" w:firstColumn="0" w:lastColumn="0" w:oddVBand="1" w:evenVBand="0" w:oddHBand="0" w:evenHBand="0" w:firstRowFirstColumn="0" w:firstRowLastColumn="0" w:lastRowFirstColumn="0" w:lastRowLastColumn="0"/>
            <w:tcW w:w="1001" w:type="dxa"/>
          </w:tcPr>
          <w:p w14:paraId="0D6B6F87" w14:textId="77777777" w:rsidR="00714F04" w:rsidRPr="0067507D" w:rsidRDefault="00714F04" w:rsidP="00714F04">
            <w:pPr>
              <w:pStyle w:val="Tabletextright"/>
              <w:rPr>
                <w:rFonts w:eastAsia="Garamond"/>
                <w:iCs/>
              </w:rPr>
            </w:pPr>
          </w:p>
        </w:tc>
        <w:tc>
          <w:tcPr>
            <w:cnfStyle w:val="000001000000" w:firstRow="0" w:lastRow="0" w:firstColumn="0" w:lastColumn="0" w:oddVBand="0" w:evenVBand="1" w:oddHBand="0" w:evenHBand="0" w:firstRowFirstColumn="0" w:firstRowLastColumn="0" w:lastRowFirstColumn="0" w:lastRowLastColumn="0"/>
            <w:tcW w:w="1260" w:type="dxa"/>
          </w:tcPr>
          <w:p w14:paraId="6DA23E85" w14:textId="77777777" w:rsidR="00714F04" w:rsidRPr="0067507D" w:rsidRDefault="00714F04" w:rsidP="00714F0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90" w:type="dxa"/>
          </w:tcPr>
          <w:p w14:paraId="0445622A" w14:textId="77777777" w:rsidR="00714F04" w:rsidRPr="0067507D" w:rsidRDefault="00714F04" w:rsidP="00714F04">
            <w:pPr>
              <w:pStyle w:val="Tabletextright"/>
              <w:rPr>
                <w:rFonts w:ascii="Calibri" w:eastAsia="Garamond" w:hAnsi="Calibri"/>
                <w:sz w:val="17"/>
                <w:szCs w:val="17"/>
              </w:rPr>
            </w:pPr>
          </w:p>
        </w:tc>
      </w:tr>
      <w:tr w:rsidR="00E26BDE" w:rsidRPr="0067507D" w14:paraId="31EB0EA1"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030ADE17" w14:textId="72F5096A" w:rsidR="00714F04" w:rsidRPr="0067507D" w:rsidRDefault="00714F04" w:rsidP="00714F04">
            <w:pPr>
              <w:pStyle w:val="Tabletext"/>
              <w:rPr>
                <w:iCs/>
              </w:rPr>
            </w:pPr>
            <w:r w:rsidRPr="0067507D">
              <w:rPr>
                <w:iCs/>
              </w:rPr>
              <w:t>Percentage of attendees at Gender Responsive Budgeting (GRB) and Gender Impact Assessment (GIA) information session who indicated the session helped improve their understanding of associated requirements</w:t>
            </w:r>
          </w:p>
          <w:p w14:paraId="7640A2D3" w14:textId="3CD36BBA" w:rsidR="00714F04" w:rsidRPr="0067507D" w:rsidRDefault="00DE1679" w:rsidP="00C2723E">
            <w:pPr>
              <w:pStyle w:val="Tabletextnotes"/>
              <w:spacing w:line="228" w:lineRule="auto"/>
              <w:rPr>
                <w:rFonts w:eastAsia="Garamond"/>
              </w:rPr>
            </w:pPr>
            <w:r w:rsidRPr="0067507D">
              <w:t>The 2024</w:t>
            </w:r>
            <w:r w:rsidR="006A5485">
              <w:noBreakHyphen/>
            </w:r>
            <w:r w:rsidRPr="0067507D">
              <w:t xml:space="preserve">25 actual is higher than the target due to the initial target for this measure being set without any historical data to provide a baseline. The target will be reviewed after three years of actual results have been collected. The </w:t>
            </w:r>
            <w:r w:rsidR="0017113D" w:rsidRPr="0067507D">
              <w:t>higher</w:t>
            </w:r>
            <w:r w:rsidR="006A5485">
              <w:noBreakHyphen/>
            </w:r>
            <w:r w:rsidR="0017113D" w:rsidRPr="0067507D">
              <w:t>than</w:t>
            </w:r>
            <w:r w:rsidR="006A5485">
              <w:noBreakHyphen/>
            </w:r>
            <w:r w:rsidR="0017113D" w:rsidRPr="0067507D">
              <w:t>expected</w:t>
            </w:r>
            <w:r w:rsidRPr="0067507D">
              <w:t xml:space="preserve"> result also indicates the low starting point for knowledge across the VPS in relation to gender impact assessments. </w:t>
            </w:r>
            <w:r w:rsidR="00A9520C" w:rsidRPr="0067507D">
              <w:t>As VPS capability grows, it should become more difficult to achieve this target.</w:t>
            </w:r>
          </w:p>
        </w:tc>
        <w:tc>
          <w:tcPr>
            <w:cnfStyle w:val="000010000000" w:firstRow="0" w:lastRow="0" w:firstColumn="0" w:lastColumn="0" w:oddVBand="1" w:evenVBand="0" w:oddHBand="0" w:evenHBand="0" w:firstRowFirstColumn="0" w:firstRowLastColumn="0" w:lastRowFirstColumn="0" w:lastRowLastColumn="0"/>
            <w:tcW w:w="1017" w:type="dxa"/>
          </w:tcPr>
          <w:p w14:paraId="28B37C74" w14:textId="6A6F074E" w:rsidR="00714F04" w:rsidRPr="0067507D" w:rsidRDefault="00714F04" w:rsidP="00714F04">
            <w:pPr>
              <w:pStyle w:val="Tabletextcentred"/>
              <w:rPr>
                <w:rFonts w:eastAsia="Garamond"/>
                <w:iCs/>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01" w:type="dxa"/>
          </w:tcPr>
          <w:p w14:paraId="08BA351A" w14:textId="1A3DB1C7" w:rsidR="00714F04" w:rsidRPr="0067507D" w:rsidRDefault="00B313A3" w:rsidP="00714F04">
            <w:pPr>
              <w:pStyle w:val="Tabletextright"/>
              <w:rPr>
                <w:rFonts w:eastAsia="Garamond"/>
                <w:iCs/>
              </w:rPr>
            </w:pPr>
            <w:r w:rsidRPr="0067507D">
              <w:rPr>
                <w:iCs/>
              </w:rPr>
              <w:t>91</w:t>
            </w:r>
          </w:p>
        </w:tc>
        <w:tc>
          <w:tcPr>
            <w:cnfStyle w:val="000010000000" w:firstRow="0" w:lastRow="0" w:firstColumn="0" w:lastColumn="0" w:oddVBand="1" w:evenVBand="0" w:oddHBand="0" w:evenHBand="0" w:firstRowFirstColumn="0" w:firstRowLastColumn="0" w:lastRowFirstColumn="0" w:lastRowLastColumn="0"/>
            <w:tcW w:w="1001" w:type="dxa"/>
          </w:tcPr>
          <w:p w14:paraId="6A93DA71" w14:textId="65E1D693" w:rsidR="00714F04" w:rsidRPr="0067507D" w:rsidRDefault="00714F04" w:rsidP="00714F04">
            <w:pPr>
              <w:pStyle w:val="Tabletextright"/>
              <w:rPr>
                <w:rFonts w:eastAsia="Garamond"/>
                <w:iCs/>
              </w:rPr>
            </w:pPr>
            <w:r w:rsidRPr="0067507D">
              <w:rPr>
                <w:iCs/>
              </w:rPr>
              <w:t>75</w:t>
            </w:r>
          </w:p>
        </w:tc>
        <w:tc>
          <w:tcPr>
            <w:cnfStyle w:val="000001000000" w:firstRow="0" w:lastRow="0" w:firstColumn="0" w:lastColumn="0" w:oddVBand="0" w:evenVBand="1" w:oddHBand="0" w:evenHBand="0" w:firstRowFirstColumn="0" w:firstRowLastColumn="0" w:lastRowFirstColumn="0" w:lastRowLastColumn="0"/>
            <w:tcW w:w="1260" w:type="dxa"/>
          </w:tcPr>
          <w:p w14:paraId="45302380" w14:textId="11A6DC1E" w:rsidR="00714F04" w:rsidRPr="0067507D" w:rsidRDefault="002C734E" w:rsidP="00714F04">
            <w:pPr>
              <w:pStyle w:val="Tabletextright"/>
              <w:rPr>
                <w:rFonts w:eastAsia="Garamond"/>
              </w:rPr>
            </w:pPr>
            <w:r w:rsidRPr="0067507D">
              <w:rPr>
                <w:rFonts w:eastAsia="Garamond"/>
              </w:rPr>
              <w:t>21</w:t>
            </w:r>
          </w:p>
        </w:tc>
        <w:tc>
          <w:tcPr>
            <w:cnfStyle w:val="000010000000" w:firstRow="0" w:lastRow="0" w:firstColumn="0" w:lastColumn="0" w:oddVBand="1" w:evenVBand="0" w:oddHBand="0" w:evenHBand="0" w:firstRowFirstColumn="0" w:firstRowLastColumn="0" w:lastRowFirstColumn="0" w:lastRowLastColumn="0"/>
            <w:tcW w:w="990" w:type="dxa"/>
          </w:tcPr>
          <w:p w14:paraId="62CEC867" w14:textId="77777777" w:rsidR="00714F04" w:rsidRPr="0067507D" w:rsidRDefault="00714F04" w:rsidP="00F15489">
            <w:pPr>
              <w:pStyle w:val="TargetMet"/>
              <w:rPr>
                <w:rFonts w:eastAsia="Garamond"/>
              </w:rPr>
            </w:pPr>
          </w:p>
        </w:tc>
      </w:tr>
      <w:tr w:rsidR="00E26BDE" w:rsidRPr="0067507D" w14:paraId="15AA1FAE"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219D0FF4" w14:textId="60A18B66" w:rsidR="00714F04" w:rsidRPr="0067507D" w:rsidRDefault="00714F04" w:rsidP="00714F04">
            <w:pPr>
              <w:pStyle w:val="Tabletext"/>
              <w:rPr>
                <w:rFonts w:eastAsia="Garamond"/>
                <w:iCs/>
              </w:rPr>
            </w:pPr>
            <w:r w:rsidRPr="0067507D">
              <w:rPr>
                <w:iCs/>
              </w:rPr>
              <w:t>Recommendations on financial management framework matters made by PAEC and VAGO and supported by Government are actioned</w:t>
            </w:r>
          </w:p>
        </w:tc>
        <w:tc>
          <w:tcPr>
            <w:cnfStyle w:val="000010000000" w:firstRow="0" w:lastRow="0" w:firstColumn="0" w:lastColumn="0" w:oddVBand="1" w:evenVBand="0" w:oddHBand="0" w:evenHBand="0" w:firstRowFirstColumn="0" w:firstRowLastColumn="0" w:lastRowFirstColumn="0" w:lastRowLastColumn="0"/>
            <w:tcW w:w="1017" w:type="dxa"/>
          </w:tcPr>
          <w:p w14:paraId="2179D8D6" w14:textId="306DB05B" w:rsidR="00714F04" w:rsidRPr="0067507D" w:rsidRDefault="00714F04" w:rsidP="00714F04">
            <w:pPr>
              <w:pStyle w:val="Tabletextcentred"/>
              <w:rPr>
                <w:rFonts w:eastAsia="Garamond"/>
                <w:iCs/>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01" w:type="dxa"/>
          </w:tcPr>
          <w:p w14:paraId="5A80515F" w14:textId="7B1366E6" w:rsidR="00714F04" w:rsidRPr="0067507D" w:rsidRDefault="00714F04" w:rsidP="00714F04">
            <w:pPr>
              <w:pStyle w:val="Tabletextright"/>
              <w:rPr>
                <w:rFonts w:eastAsia="Garamond"/>
                <w:iCs/>
              </w:rPr>
            </w:pPr>
            <w:r w:rsidRPr="0067507D">
              <w:rPr>
                <w:iCs/>
              </w:rPr>
              <w:t>100</w:t>
            </w:r>
          </w:p>
        </w:tc>
        <w:tc>
          <w:tcPr>
            <w:cnfStyle w:val="000010000000" w:firstRow="0" w:lastRow="0" w:firstColumn="0" w:lastColumn="0" w:oddVBand="1" w:evenVBand="0" w:oddHBand="0" w:evenHBand="0" w:firstRowFirstColumn="0" w:firstRowLastColumn="0" w:lastRowFirstColumn="0" w:lastRowLastColumn="0"/>
            <w:tcW w:w="1001" w:type="dxa"/>
          </w:tcPr>
          <w:p w14:paraId="07BE9C3B" w14:textId="325F8F93" w:rsidR="00714F04" w:rsidRPr="0067507D" w:rsidRDefault="00714F04" w:rsidP="00714F04">
            <w:pPr>
              <w:pStyle w:val="Tabletextright"/>
              <w:rPr>
                <w:rFonts w:eastAsia="Garamond"/>
                <w:iCs/>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60" w:type="dxa"/>
          </w:tcPr>
          <w:p w14:paraId="367C3A6F" w14:textId="63315146" w:rsidR="00714F04" w:rsidRPr="0067507D" w:rsidRDefault="00A75D13"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56DA743D" w14:textId="77777777" w:rsidR="00714F04" w:rsidRPr="0067507D" w:rsidRDefault="00714F04" w:rsidP="00F15489">
            <w:pPr>
              <w:pStyle w:val="TargetMet"/>
              <w:rPr>
                <w:rFonts w:eastAsia="Garamond"/>
              </w:rPr>
            </w:pPr>
          </w:p>
        </w:tc>
      </w:tr>
      <w:tr w:rsidR="00E26BDE" w:rsidRPr="0067507D" w14:paraId="0DC956FF"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3A8E0FAE" w14:textId="1713C45C" w:rsidR="00714F04" w:rsidRPr="0067507D" w:rsidRDefault="00714F04" w:rsidP="00714F04">
            <w:pPr>
              <w:pStyle w:val="Tabletext"/>
              <w:rPr>
                <w:rFonts w:eastAsia="Garamond"/>
                <w:iCs/>
              </w:rPr>
            </w:pPr>
            <w:r w:rsidRPr="0067507D">
              <w:rPr>
                <w:iCs/>
              </w:rPr>
              <w:t>Unqualified audit reports/reviews for the State of Victoria Financial Report and Estimated Financial Statements</w:t>
            </w:r>
          </w:p>
        </w:tc>
        <w:tc>
          <w:tcPr>
            <w:cnfStyle w:val="000010000000" w:firstRow="0" w:lastRow="0" w:firstColumn="0" w:lastColumn="0" w:oddVBand="1" w:evenVBand="0" w:oddHBand="0" w:evenHBand="0" w:firstRowFirstColumn="0" w:firstRowLastColumn="0" w:lastRowFirstColumn="0" w:lastRowLastColumn="0"/>
            <w:tcW w:w="1017" w:type="dxa"/>
          </w:tcPr>
          <w:p w14:paraId="76FC6C43" w14:textId="6C60BB9C" w:rsidR="00714F04" w:rsidRPr="0067507D" w:rsidRDefault="00714F04" w:rsidP="00714F04">
            <w:pPr>
              <w:pStyle w:val="Tabletextcentred"/>
              <w:rPr>
                <w:rFonts w:eastAsia="Garamond"/>
                <w:iCs/>
              </w:rPr>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01" w:type="dxa"/>
          </w:tcPr>
          <w:p w14:paraId="4CD22F50" w14:textId="560A46BB" w:rsidR="00714F04" w:rsidRPr="0067507D" w:rsidRDefault="00714F04" w:rsidP="00714F04">
            <w:pPr>
              <w:pStyle w:val="Tabletextright"/>
              <w:rPr>
                <w:rFonts w:eastAsia="Garamond"/>
                <w:iCs/>
              </w:rPr>
            </w:pPr>
            <w:r w:rsidRPr="0067507D">
              <w:rPr>
                <w:iCs/>
              </w:rPr>
              <w:t>2</w:t>
            </w:r>
          </w:p>
        </w:tc>
        <w:tc>
          <w:tcPr>
            <w:cnfStyle w:val="000010000000" w:firstRow="0" w:lastRow="0" w:firstColumn="0" w:lastColumn="0" w:oddVBand="1" w:evenVBand="0" w:oddHBand="0" w:evenHBand="0" w:firstRowFirstColumn="0" w:firstRowLastColumn="0" w:lastRowFirstColumn="0" w:lastRowLastColumn="0"/>
            <w:tcW w:w="1001" w:type="dxa"/>
          </w:tcPr>
          <w:p w14:paraId="366DFC56" w14:textId="634865E6" w:rsidR="00714F04" w:rsidRPr="0067507D" w:rsidRDefault="00714F04" w:rsidP="00714F04">
            <w:pPr>
              <w:pStyle w:val="Tabletextright"/>
              <w:rPr>
                <w:rFonts w:eastAsia="Garamond"/>
                <w:iCs/>
              </w:rPr>
            </w:pPr>
            <w:r w:rsidRPr="0067507D">
              <w:rPr>
                <w:iCs/>
              </w:rPr>
              <w:t>2</w:t>
            </w:r>
          </w:p>
        </w:tc>
        <w:tc>
          <w:tcPr>
            <w:cnfStyle w:val="000001000000" w:firstRow="0" w:lastRow="0" w:firstColumn="0" w:lastColumn="0" w:oddVBand="0" w:evenVBand="1" w:oddHBand="0" w:evenHBand="0" w:firstRowFirstColumn="0" w:firstRowLastColumn="0" w:lastRowFirstColumn="0" w:lastRowLastColumn="0"/>
            <w:tcW w:w="1260" w:type="dxa"/>
          </w:tcPr>
          <w:p w14:paraId="347634C7" w14:textId="5741CA0F" w:rsidR="00714F04" w:rsidRPr="0067507D" w:rsidRDefault="00A75D13"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35D37F59" w14:textId="77777777" w:rsidR="00714F04" w:rsidRPr="0067507D" w:rsidRDefault="00714F04" w:rsidP="00F15489">
            <w:pPr>
              <w:pStyle w:val="TargetMet"/>
              <w:rPr>
                <w:rFonts w:eastAsia="Garamond"/>
              </w:rPr>
            </w:pPr>
          </w:p>
        </w:tc>
      </w:tr>
      <w:tr w:rsidR="00E26BDE" w:rsidRPr="0067507D" w14:paraId="2B7A2E07"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1108D13F" w14:textId="77777777" w:rsidR="00714F04" w:rsidRPr="0067507D" w:rsidRDefault="00714F04" w:rsidP="00714F04">
            <w:pPr>
              <w:pStyle w:val="Tabletext"/>
              <w:rPr>
                <w:iCs/>
              </w:rPr>
            </w:pPr>
            <w:r w:rsidRPr="0067507D">
              <w:rPr>
                <w:iCs/>
              </w:rPr>
              <w:t>VPS stakeholder feedback indicates delivery of advice and information sessions supported the financial reporting framework across the VPS and supported the VPS to understand the financial management framework</w:t>
            </w:r>
          </w:p>
          <w:p w14:paraId="001B2A11" w14:textId="31C900E7" w:rsidR="00714F04" w:rsidRPr="0067507D" w:rsidRDefault="00905DBC" w:rsidP="00C2723E">
            <w:pPr>
              <w:pStyle w:val="Tabletextnotes"/>
              <w:spacing w:line="228" w:lineRule="auto"/>
              <w:rPr>
                <w:rFonts w:eastAsia="Garamond"/>
              </w:rPr>
            </w:pPr>
            <w:r w:rsidRPr="0067507D">
              <w:rPr>
                <w:rFonts w:eastAsia="Garamond"/>
              </w:rPr>
              <w:t>The 2024</w:t>
            </w:r>
            <w:r w:rsidR="006A5485">
              <w:rPr>
                <w:rFonts w:eastAsia="Garamond"/>
              </w:rPr>
              <w:noBreakHyphen/>
            </w:r>
            <w:r w:rsidRPr="0067507D">
              <w:rPr>
                <w:rFonts w:eastAsia="Garamond"/>
              </w:rPr>
              <w:t>25 actual is higher than the target due to stronger alignment between service delivery, stakeholder engagement and stakeholder expectations.</w:t>
            </w:r>
          </w:p>
        </w:tc>
        <w:tc>
          <w:tcPr>
            <w:cnfStyle w:val="000010000000" w:firstRow="0" w:lastRow="0" w:firstColumn="0" w:lastColumn="0" w:oddVBand="1" w:evenVBand="0" w:oddHBand="0" w:evenHBand="0" w:firstRowFirstColumn="0" w:firstRowLastColumn="0" w:lastRowFirstColumn="0" w:lastRowLastColumn="0"/>
            <w:tcW w:w="1017" w:type="dxa"/>
          </w:tcPr>
          <w:p w14:paraId="2D296ED9" w14:textId="444FFC21" w:rsidR="00714F04" w:rsidRPr="0067507D" w:rsidRDefault="00714F04" w:rsidP="00714F04">
            <w:pPr>
              <w:pStyle w:val="Tabletextcentred"/>
              <w:rPr>
                <w:rFonts w:eastAsia="Garamond"/>
                <w:iCs/>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01" w:type="dxa"/>
          </w:tcPr>
          <w:p w14:paraId="298E35CE" w14:textId="60A73098" w:rsidR="00714F04" w:rsidRPr="0067507D" w:rsidRDefault="000A1E90" w:rsidP="00714F04">
            <w:pPr>
              <w:pStyle w:val="Tabletextright"/>
              <w:rPr>
                <w:rFonts w:eastAsia="Garamond"/>
                <w:iCs/>
              </w:rPr>
            </w:pPr>
            <w:r w:rsidRPr="0067507D">
              <w:rPr>
                <w:iCs/>
              </w:rPr>
              <w:t>91</w:t>
            </w:r>
          </w:p>
        </w:tc>
        <w:tc>
          <w:tcPr>
            <w:cnfStyle w:val="000010000000" w:firstRow="0" w:lastRow="0" w:firstColumn="0" w:lastColumn="0" w:oddVBand="1" w:evenVBand="0" w:oddHBand="0" w:evenHBand="0" w:firstRowFirstColumn="0" w:firstRowLastColumn="0" w:lastRowFirstColumn="0" w:lastRowLastColumn="0"/>
            <w:tcW w:w="1001" w:type="dxa"/>
          </w:tcPr>
          <w:p w14:paraId="4FB2DFD3" w14:textId="47B83C09" w:rsidR="00714F04" w:rsidRPr="0067507D" w:rsidRDefault="00714F04" w:rsidP="00714F04">
            <w:pPr>
              <w:pStyle w:val="Tabletextright"/>
              <w:rPr>
                <w:rFonts w:eastAsia="Garamond"/>
                <w:iCs/>
              </w:rPr>
            </w:pPr>
            <w:r w:rsidRPr="0067507D">
              <w:rPr>
                <w:iCs/>
              </w:rPr>
              <w:t>80</w:t>
            </w:r>
          </w:p>
        </w:tc>
        <w:tc>
          <w:tcPr>
            <w:cnfStyle w:val="000001000000" w:firstRow="0" w:lastRow="0" w:firstColumn="0" w:lastColumn="0" w:oddVBand="0" w:evenVBand="1" w:oddHBand="0" w:evenHBand="0" w:firstRowFirstColumn="0" w:firstRowLastColumn="0" w:lastRowFirstColumn="0" w:lastRowLastColumn="0"/>
            <w:tcW w:w="1260" w:type="dxa"/>
          </w:tcPr>
          <w:p w14:paraId="1C418024" w14:textId="495714EF" w:rsidR="00714F04" w:rsidRPr="0067507D" w:rsidRDefault="00E47AE3" w:rsidP="00714F04">
            <w:pPr>
              <w:pStyle w:val="Tabletextright"/>
              <w:rPr>
                <w:rFonts w:eastAsia="Garamond"/>
              </w:rPr>
            </w:pPr>
            <w:r w:rsidRPr="0067507D">
              <w:rPr>
                <w:rFonts w:eastAsia="Garamond"/>
              </w:rPr>
              <w:t>1</w:t>
            </w:r>
            <w:r w:rsidR="00200789" w:rsidRPr="0067507D">
              <w:rPr>
                <w:rFonts w:eastAsia="Garamond"/>
              </w:rPr>
              <w:t>4</w:t>
            </w:r>
          </w:p>
        </w:tc>
        <w:tc>
          <w:tcPr>
            <w:cnfStyle w:val="000010000000" w:firstRow="0" w:lastRow="0" w:firstColumn="0" w:lastColumn="0" w:oddVBand="1" w:evenVBand="0" w:oddHBand="0" w:evenHBand="0" w:firstRowFirstColumn="0" w:firstRowLastColumn="0" w:lastRowFirstColumn="0" w:lastRowLastColumn="0"/>
            <w:tcW w:w="990" w:type="dxa"/>
          </w:tcPr>
          <w:p w14:paraId="17DD9A6E" w14:textId="77777777" w:rsidR="00714F04" w:rsidRPr="0067507D" w:rsidRDefault="00714F04" w:rsidP="00F15489">
            <w:pPr>
              <w:pStyle w:val="TargetMet"/>
              <w:rPr>
                <w:rFonts w:eastAsia="Garamond"/>
              </w:rPr>
            </w:pPr>
          </w:p>
        </w:tc>
      </w:tr>
      <w:tr w:rsidR="00E26BDE" w:rsidRPr="0067507D" w14:paraId="05900DAE"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094481A3" w14:textId="01E3EF14" w:rsidR="00714F04" w:rsidRPr="0067507D" w:rsidRDefault="00714F04" w:rsidP="00714F04">
            <w:pPr>
              <w:pStyle w:val="Tabletext"/>
              <w:rPr>
                <w:rFonts w:eastAsia="Garamond"/>
                <w:iCs/>
              </w:rPr>
            </w:pPr>
            <w:r w:rsidRPr="0067507D">
              <w:rPr>
                <w:iCs/>
              </w:rPr>
              <w:t>Variance of the revised estimate of general government budget expenditure</w:t>
            </w:r>
          </w:p>
        </w:tc>
        <w:tc>
          <w:tcPr>
            <w:cnfStyle w:val="000010000000" w:firstRow="0" w:lastRow="0" w:firstColumn="0" w:lastColumn="0" w:oddVBand="1" w:evenVBand="0" w:oddHBand="0" w:evenHBand="0" w:firstRowFirstColumn="0" w:firstRowLastColumn="0" w:lastRowFirstColumn="0" w:lastRowLastColumn="0"/>
            <w:tcW w:w="1017" w:type="dxa"/>
          </w:tcPr>
          <w:p w14:paraId="242DFB72" w14:textId="20578286" w:rsidR="00714F04" w:rsidRPr="0067507D" w:rsidRDefault="00714F04" w:rsidP="00714F04">
            <w:pPr>
              <w:pStyle w:val="Tabletextcentred"/>
              <w:rPr>
                <w:rFonts w:eastAsia="Garamond"/>
                <w:iCs/>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01" w:type="dxa"/>
          </w:tcPr>
          <w:p w14:paraId="131404DB" w14:textId="60C5C55F" w:rsidR="00714F04" w:rsidRPr="0067507D" w:rsidRDefault="00714F04" w:rsidP="00714F04">
            <w:pPr>
              <w:pStyle w:val="Tabletextright"/>
              <w:rPr>
                <w:rFonts w:eastAsia="Garamond"/>
                <w:iCs/>
              </w:rPr>
            </w:pPr>
            <w:r w:rsidRPr="0067507D">
              <w:t>≤5.0</w:t>
            </w:r>
            <w:r w:rsidR="00E15237" w:rsidRPr="0067507D">
              <w:t xml:space="preserve"> </w:t>
            </w:r>
            <w:r w:rsidR="00F10DAB" w:rsidRPr="0067507D">
              <w:br/>
            </w:r>
          </w:p>
        </w:tc>
        <w:tc>
          <w:tcPr>
            <w:cnfStyle w:val="000010000000" w:firstRow="0" w:lastRow="0" w:firstColumn="0" w:lastColumn="0" w:oddVBand="1" w:evenVBand="0" w:oddHBand="0" w:evenHBand="0" w:firstRowFirstColumn="0" w:firstRowLastColumn="0" w:lastRowFirstColumn="0" w:lastRowLastColumn="0"/>
            <w:tcW w:w="1001" w:type="dxa"/>
          </w:tcPr>
          <w:p w14:paraId="020B0121" w14:textId="513822C2" w:rsidR="00714F04" w:rsidRPr="0067507D" w:rsidRDefault="00714F04" w:rsidP="00714F04">
            <w:pPr>
              <w:pStyle w:val="Tabletextright"/>
              <w:rPr>
                <w:rFonts w:eastAsia="Garamond"/>
                <w:iCs/>
              </w:rPr>
            </w:pPr>
            <w:r w:rsidRPr="0067507D">
              <w:rPr>
                <w:iCs/>
              </w:rPr>
              <w:t>≤5.0</w:t>
            </w:r>
          </w:p>
        </w:tc>
        <w:tc>
          <w:tcPr>
            <w:cnfStyle w:val="000001000000" w:firstRow="0" w:lastRow="0" w:firstColumn="0" w:lastColumn="0" w:oddVBand="0" w:evenVBand="1" w:oddHBand="0" w:evenHBand="0" w:firstRowFirstColumn="0" w:firstRowLastColumn="0" w:lastRowFirstColumn="0" w:lastRowLastColumn="0"/>
            <w:tcW w:w="1260" w:type="dxa"/>
          </w:tcPr>
          <w:p w14:paraId="7B3711F9" w14:textId="0045E865" w:rsidR="00714F04" w:rsidRPr="0067507D" w:rsidRDefault="00A75D13"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0AB96623" w14:textId="77777777" w:rsidR="00714F04" w:rsidRPr="0067507D" w:rsidRDefault="00714F04" w:rsidP="004F6550">
            <w:pPr>
              <w:pStyle w:val="TargetMet"/>
              <w:rPr>
                <w:rFonts w:eastAsia="Garamond"/>
              </w:rPr>
            </w:pPr>
          </w:p>
        </w:tc>
      </w:tr>
      <w:tr w:rsidR="00E26BDE" w:rsidRPr="0067507D" w14:paraId="6BDBF4B4"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02699233" w14:textId="719A47E3" w:rsidR="00714F04" w:rsidRPr="0067507D" w:rsidRDefault="00714F04" w:rsidP="00714F04">
            <w:pPr>
              <w:pStyle w:val="Tabletextheadingleft"/>
              <w:rPr>
                <w:rFonts w:eastAsia="Garamond"/>
                <w:iCs/>
              </w:rPr>
            </w:pPr>
            <w:r w:rsidRPr="0067507D">
              <w:rPr>
                <w:iCs/>
              </w:rPr>
              <w:t>Timeliness</w:t>
            </w:r>
          </w:p>
        </w:tc>
        <w:tc>
          <w:tcPr>
            <w:cnfStyle w:val="000010000000" w:firstRow="0" w:lastRow="0" w:firstColumn="0" w:lastColumn="0" w:oddVBand="1" w:evenVBand="0" w:oddHBand="0" w:evenHBand="0" w:firstRowFirstColumn="0" w:firstRowLastColumn="0" w:lastRowFirstColumn="0" w:lastRowLastColumn="0"/>
            <w:tcW w:w="1017" w:type="dxa"/>
          </w:tcPr>
          <w:p w14:paraId="271A54AB" w14:textId="77777777" w:rsidR="00714F04" w:rsidRPr="0067507D" w:rsidRDefault="00714F04" w:rsidP="00714F04">
            <w:pPr>
              <w:pStyle w:val="Tabletextcentred"/>
              <w:rPr>
                <w:rFonts w:eastAsia="Garamond"/>
                <w:iCs/>
              </w:rPr>
            </w:pPr>
          </w:p>
        </w:tc>
        <w:tc>
          <w:tcPr>
            <w:cnfStyle w:val="000001000000" w:firstRow="0" w:lastRow="0" w:firstColumn="0" w:lastColumn="0" w:oddVBand="0" w:evenVBand="1" w:oddHBand="0" w:evenHBand="0" w:firstRowFirstColumn="0" w:firstRowLastColumn="0" w:lastRowFirstColumn="0" w:lastRowLastColumn="0"/>
            <w:tcW w:w="1001" w:type="dxa"/>
          </w:tcPr>
          <w:p w14:paraId="382EE90F" w14:textId="77777777" w:rsidR="00714F04" w:rsidRPr="0067507D" w:rsidRDefault="00714F04" w:rsidP="00714F04">
            <w:pPr>
              <w:pStyle w:val="Tabletextright"/>
              <w:rPr>
                <w:rFonts w:eastAsia="Garamond"/>
                <w:iCs/>
              </w:rPr>
            </w:pPr>
          </w:p>
        </w:tc>
        <w:tc>
          <w:tcPr>
            <w:cnfStyle w:val="000010000000" w:firstRow="0" w:lastRow="0" w:firstColumn="0" w:lastColumn="0" w:oddVBand="1" w:evenVBand="0" w:oddHBand="0" w:evenHBand="0" w:firstRowFirstColumn="0" w:firstRowLastColumn="0" w:lastRowFirstColumn="0" w:lastRowLastColumn="0"/>
            <w:tcW w:w="1001" w:type="dxa"/>
          </w:tcPr>
          <w:p w14:paraId="7AAFB31F" w14:textId="77777777" w:rsidR="00714F04" w:rsidRPr="0067507D" w:rsidRDefault="00714F04" w:rsidP="00714F04">
            <w:pPr>
              <w:pStyle w:val="Tabletextright"/>
              <w:rPr>
                <w:rFonts w:eastAsia="Garamond"/>
                <w:iCs/>
              </w:rPr>
            </w:pPr>
          </w:p>
        </w:tc>
        <w:tc>
          <w:tcPr>
            <w:cnfStyle w:val="000001000000" w:firstRow="0" w:lastRow="0" w:firstColumn="0" w:lastColumn="0" w:oddVBand="0" w:evenVBand="1" w:oddHBand="0" w:evenHBand="0" w:firstRowFirstColumn="0" w:firstRowLastColumn="0" w:lastRowFirstColumn="0" w:lastRowLastColumn="0"/>
            <w:tcW w:w="1260" w:type="dxa"/>
          </w:tcPr>
          <w:p w14:paraId="4177A1D3" w14:textId="77777777" w:rsidR="00714F04" w:rsidRPr="0067507D" w:rsidRDefault="00714F04" w:rsidP="00714F0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90" w:type="dxa"/>
          </w:tcPr>
          <w:p w14:paraId="2587F558" w14:textId="77777777" w:rsidR="00714F04" w:rsidRPr="0067507D" w:rsidRDefault="00714F04" w:rsidP="00714F04">
            <w:pPr>
              <w:pStyle w:val="Tabletextright"/>
              <w:rPr>
                <w:rFonts w:ascii="Calibri" w:eastAsia="Garamond" w:hAnsi="Calibri"/>
                <w:sz w:val="17"/>
                <w:szCs w:val="17"/>
              </w:rPr>
            </w:pPr>
          </w:p>
        </w:tc>
      </w:tr>
      <w:tr w:rsidR="00E26BDE" w:rsidRPr="0067507D" w14:paraId="373AC3C8"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70477F05" w14:textId="46C4C062" w:rsidR="00714F04" w:rsidRPr="0067507D" w:rsidRDefault="00714F04" w:rsidP="00714F04">
            <w:pPr>
              <w:pStyle w:val="Tabletext"/>
              <w:rPr>
                <w:rFonts w:eastAsia="Garamond"/>
                <w:iCs/>
              </w:rPr>
            </w:pPr>
            <w:r w:rsidRPr="0067507D">
              <w:rPr>
                <w:iCs/>
              </w:rPr>
              <w:t>Annual Budget published by date agreed by Treasurer</w:t>
            </w:r>
          </w:p>
        </w:tc>
        <w:tc>
          <w:tcPr>
            <w:cnfStyle w:val="000010000000" w:firstRow="0" w:lastRow="0" w:firstColumn="0" w:lastColumn="0" w:oddVBand="1" w:evenVBand="0" w:oddHBand="0" w:evenHBand="0" w:firstRowFirstColumn="0" w:firstRowLastColumn="0" w:lastRowFirstColumn="0" w:lastRowLastColumn="0"/>
            <w:tcW w:w="1017" w:type="dxa"/>
          </w:tcPr>
          <w:p w14:paraId="01E0D6BC" w14:textId="05153F41" w:rsidR="00714F04" w:rsidRPr="0067507D" w:rsidRDefault="00714F04" w:rsidP="00714F04">
            <w:pPr>
              <w:pStyle w:val="Tabletextcentred"/>
              <w:rPr>
                <w:rFonts w:eastAsia="Garamond"/>
                <w:iCs/>
              </w:rPr>
            </w:pPr>
            <w:r w:rsidRPr="0067507D">
              <w:rPr>
                <w:iCs/>
              </w:rPr>
              <w:t>date</w:t>
            </w:r>
          </w:p>
        </w:tc>
        <w:tc>
          <w:tcPr>
            <w:cnfStyle w:val="000001000000" w:firstRow="0" w:lastRow="0" w:firstColumn="0" w:lastColumn="0" w:oddVBand="0" w:evenVBand="1" w:oddHBand="0" w:evenHBand="0" w:firstRowFirstColumn="0" w:firstRowLastColumn="0" w:lastRowFirstColumn="0" w:lastRowLastColumn="0"/>
            <w:tcW w:w="1001" w:type="dxa"/>
          </w:tcPr>
          <w:p w14:paraId="299A9DC6" w14:textId="69050A5C" w:rsidR="00714F04" w:rsidRPr="0067507D" w:rsidRDefault="00714F04" w:rsidP="00714F04">
            <w:pPr>
              <w:pStyle w:val="Tabletextright"/>
              <w:rPr>
                <w:rFonts w:eastAsia="Garamond"/>
                <w:iCs/>
              </w:rPr>
            </w:pPr>
            <w:r w:rsidRPr="0067507D">
              <w:rPr>
                <w:iCs/>
              </w:rPr>
              <w:t>May 202</w:t>
            </w:r>
            <w:r w:rsidR="000C1244" w:rsidRPr="0067507D">
              <w:rPr>
                <w:iCs/>
              </w:rPr>
              <w:t>5</w:t>
            </w:r>
          </w:p>
        </w:tc>
        <w:tc>
          <w:tcPr>
            <w:cnfStyle w:val="000010000000" w:firstRow="0" w:lastRow="0" w:firstColumn="0" w:lastColumn="0" w:oddVBand="1" w:evenVBand="0" w:oddHBand="0" w:evenHBand="0" w:firstRowFirstColumn="0" w:firstRowLastColumn="0" w:lastRowFirstColumn="0" w:lastRowLastColumn="0"/>
            <w:tcW w:w="1001" w:type="dxa"/>
          </w:tcPr>
          <w:p w14:paraId="2BA3869B" w14:textId="75AA6277" w:rsidR="00714F04" w:rsidRPr="0067507D" w:rsidRDefault="00714F04" w:rsidP="00714F04">
            <w:pPr>
              <w:pStyle w:val="Tabletextright"/>
              <w:rPr>
                <w:rFonts w:eastAsia="Garamond"/>
                <w:iCs/>
              </w:rPr>
            </w:pPr>
            <w:r w:rsidRPr="0067507D">
              <w:rPr>
                <w:iCs/>
              </w:rPr>
              <w:t>May 2025</w:t>
            </w:r>
          </w:p>
        </w:tc>
        <w:tc>
          <w:tcPr>
            <w:cnfStyle w:val="000001000000" w:firstRow="0" w:lastRow="0" w:firstColumn="0" w:lastColumn="0" w:oddVBand="0" w:evenVBand="1" w:oddHBand="0" w:evenHBand="0" w:firstRowFirstColumn="0" w:firstRowLastColumn="0" w:lastRowFirstColumn="0" w:lastRowLastColumn="0"/>
            <w:tcW w:w="1260" w:type="dxa"/>
          </w:tcPr>
          <w:p w14:paraId="3B6FB257" w14:textId="664DCD08" w:rsidR="00714F04" w:rsidRPr="0067507D" w:rsidRDefault="00A75D13"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471978C4" w14:textId="77777777" w:rsidR="00714F04" w:rsidRPr="0067507D" w:rsidRDefault="00714F04" w:rsidP="00785108">
            <w:pPr>
              <w:pStyle w:val="TargetMet"/>
              <w:rPr>
                <w:rFonts w:eastAsia="Garamond"/>
              </w:rPr>
            </w:pPr>
          </w:p>
        </w:tc>
      </w:tr>
      <w:tr w:rsidR="00E26BDE" w:rsidRPr="0067507D" w14:paraId="6AF208CA"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64759B8F" w14:textId="2490573C" w:rsidR="00714F04" w:rsidRPr="0067507D" w:rsidRDefault="00714F04" w:rsidP="00714F04">
            <w:pPr>
              <w:pStyle w:val="Tabletext"/>
              <w:rPr>
                <w:rFonts w:eastAsia="Garamond"/>
                <w:iCs/>
              </w:rPr>
            </w:pPr>
            <w:r w:rsidRPr="0067507D">
              <w:rPr>
                <w:iCs/>
              </w:rPr>
              <w:t>Annual financial management compliance report for the previous financial year is submitted to the Assistant Treasurer</w:t>
            </w:r>
          </w:p>
        </w:tc>
        <w:tc>
          <w:tcPr>
            <w:cnfStyle w:val="000010000000" w:firstRow="0" w:lastRow="0" w:firstColumn="0" w:lastColumn="0" w:oddVBand="1" w:evenVBand="0" w:oddHBand="0" w:evenHBand="0" w:firstRowFirstColumn="0" w:firstRowLastColumn="0" w:lastRowFirstColumn="0" w:lastRowLastColumn="0"/>
            <w:tcW w:w="1017" w:type="dxa"/>
          </w:tcPr>
          <w:p w14:paraId="0EDD96DE" w14:textId="506F50C5" w:rsidR="00714F04" w:rsidRPr="0067507D" w:rsidRDefault="00714F04" w:rsidP="00714F04">
            <w:pPr>
              <w:pStyle w:val="Tabletextcentred"/>
              <w:rPr>
                <w:rFonts w:eastAsia="Garamond"/>
                <w:iCs/>
              </w:rPr>
            </w:pPr>
            <w:r w:rsidRPr="0067507D">
              <w:rPr>
                <w:iCs/>
              </w:rPr>
              <w:t>date</w:t>
            </w:r>
          </w:p>
        </w:tc>
        <w:tc>
          <w:tcPr>
            <w:cnfStyle w:val="000001000000" w:firstRow="0" w:lastRow="0" w:firstColumn="0" w:lastColumn="0" w:oddVBand="0" w:evenVBand="1" w:oddHBand="0" w:evenHBand="0" w:firstRowFirstColumn="0" w:firstRowLastColumn="0" w:lastRowFirstColumn="0" w:lastRowLastColumn="0"/>
            <w:tcW w:w="1001" w:type="dxa"/>
          </w:tcPr>
          <w:p w14:paraId="65F174EC" w14:textId="7C87CB06" w:rsidR="00714F04" w:rsidRPr="0067507D" w:rsidRDefault="00714F04" w:rsidP="00714F04">
            <w:pPr>
              <w:pStyle w:val="Tabletextright"/>
              <w:rPr>
                <w:rFonts w:eastAsia="Garamond"/>
                <w:iCs/>
              </w:rPr>
            </w:pPr>
            <w:r w:rsidRPr="0067507D">
              <w:rPr>
                <w:iCs/>
              </w:rPr>
              <w:t>1</w:t>
            </w:r>
            <w:r w:rsidR="000C1244" w:rsidRPr="0067507D">
              <w:rPr>
                <w:iCs/>
              </w:rPr>
              <w:t>2</w:t>
            </w:r>
            <w:r w:rsidRPr="0067507D">
              <w:rPr>
                <w:iCs/>
              </w:rPr>
              <w:t xml:space="preserve"> Feb 202</w:t>
            </w:r>
            <w:r w:rsidR="00BD7431" w:rsidRPr="0067507D">
              <w:rPr>
                <w:iCs/>
              </w:rPr>
              <w:t>5</w:t>
            </w:r>
          </w:p>
        </w:tc>
        <w:tc>
          <w:tcPr>
            <w:cnfStyle w:val="000010000000" w:firstRow="0" w:lastRow="0" w:firstColumn="0" w:lastColumn="0" w:oddVBand="1" w:evenVBand="0" w:oddHBand="0" w:evenHBand="0" w:firstRowFirstColumn="0" w:firstRowLastColumn="0" w:lastRowFirstColumn="0" w:lastRowLastColumn="0"/>
            <w:tcW w:w="1001" w:type="dxa"/>
          </w:tcPr>
          <w:p w14:paraId="7B1F7D5D" w14:textId="4741EF46" w:rsidR="00714F04" w:rsidRPr="0067507D" w:rsidRDefault="00714F04" w:rsidP="00714F04">
            <w:pPr>
              <w:pStyle w:val="Tabletextright"/>
              <w:rPr>
                <w:rFonts w:eastAsia="Garamond"/>
                <w:iCs/>
              </w:rPr>
            </w:pPr>
            <w:r w:rsidRPr="0067507D">
              <w:rPr>
                <w:iCs/>
              </w:rPr>
              <w:t>By 15 Feb 2025</w:t>
            </w:r>
          </w:p>
        </w:tc>
        <w:tc>
          <w:tcPr>
            <w:cnfStyle w:val="000001000000" w:firstRow="0" w:lastRow="0" w:firstColumn="0" w:lastColumn="0" w:oddVBand="0" w:evenVBand="1" w:oddHBand="0" w:evenHBand="0" w:firstRowFirstColumn="0" w:firstRowLastColumn="0" w:lastRowFirstColumn="0" w:lastRowLastColumn="0"/>
            <w:tcW w:w="1260" w:type="dxa"/>
          </w:tcPr>
          <w:p w14:paraId="02194DC1" w14:textId="647FACB2" w:rsidR="00714F04" w:rsidRPr="0067507D" w:rsidRDefault="00A75D13"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1FC8870F" w14:textId="77777777" w:rsidR="00714F04" w:rsidRPr="0067507D" w:rsidRDefault="00714F04" w:rsidP="002C2F28">
            <w:pPr>
              <w:pStyle w:val="TargetMet"/>
              <w:rPr>
                <w:rFonts w:eastAsia="Garamond"/>
              </w:rPr>
            </w:pPr>
          </w:p>
        </w:tc>
      </w:tr>
      <w:tr w:rsidR="00E26BDE" w:rsidRPr="0067507D" w14:paraId="557C75D1"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62482305" w14:textId="47853522" w:rsidR="00714F04" w:rsidRPr="0067507D" w:rsidRDefault="00714F04" w:rsidP="00714F04">
            <w:pPr>
              <w:pStyle w:val="Tabletext"/>
              <w:rPr>
                <w:rFonts w:eastAsia="Garamond"/>
                <w:iCs/>
              </w:rPr>
            </w:pPr>
            <w:r w:rsidRPr="0067507D">
              <w:rPr>
                <w:iCs/>
              </w:rPr>
              <w:t>Budget Update, Financial Report for the State of Victoria, Mid</w:t>
            </w:r>
            <w:r w:rsidRPr="0067507D">
              <w:rPr>
                <w:rFonts w:ascii="Cambria Math" w:hAnsi="Cambria Math" w:cs="Cambria Math"/>
                <w:iCs/>
              </w:rPr>
              <w:t>‑</w:t>
            </w:r>
            <w:r w:rsidRPr="0067507D">
              <w:rPr>
                <w:iCs/>
              </w:rPr>
              <w:t>Year Financial Report, and Quarterly Financial Reports are transmitted by legislated timelines</w:t>
            </w:r>
          </w:p>
        </w:tc>
        <w:tc>
          <w:tcPr>
            <w:cnfStyle w:val="000010000000" w:firstRow="0" w:lastRow="0" w:firstColumn="0" w:lastColumn="0" w:oddVBand="1" w:evenVBand="0" w:oddHBand="0" w:evenHBand="0" w:firstRowFirstColumn="0" w:firstRowLastColumn="0" w:lastRowFirstColumn="0" w:lastRowLastColumn="0"/>
            <w:tcW w:w="1017" w:type="dxa"/>
          </w:tcPr>
          <w:p w14:paraId="0474578E" w14:textId="5C5437FC" w:rsidR="00714F04" w:rsidRPr="0067507D" w:rsidRDefault="00714F04" w:rsidP="00714F04">
            <w:pPr>
              <w:pStyle w:val="Tabletextcentred"/>
              <w:rPr>
                <w:rFonts w:eastAsia="Garamond"/>
                <w:iCs/>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01" w:type="dxa"/>
          </w:tcPr>
          <w:p w14:paraId="7E4F82CD" w14:textId="25F4A833" w:rsidR="00714F04" w:rsidRPr="0067507D" w:rsidRDefault="00714F04" w:rsidP="00714F04">
            <w:pPr>
              <w:pStyle w:val="Tabletextright"/>
              <w:rPr>
                <w:rFonts w:eastAsia="Garamond"/>
                <w:iCs/>
              </w:rPr>
            </w:pPr>
            <w:r w:rsidRPr="0067507D">
              <w:rPr>
                <w:iCs/>
              </w:rPr>
              <w:t>100</w:t>
            </w:r>
          </w:p>
        </w:tc>
        <w:tc>
          <w:tcPr>
            <w:cnfStyle w:val="000010000000" w:firstRow="0" w:lastRow="0" w:firstColumn="0" w:lastColumn="0" w:oddVBand="1" w:evenVBand="0" w:oddHBand="0" w:evenHBand="0" w:firstRowFirstColumn="0" w:firstRowLastColumn="0" w:lastRowFirstColumn="0" w:lastRowLastColumn="0"/>
            <w:tcW w:w="1001" w:type="dxa"/>
          </w:tcPr>
          <w:p w14:paraId="4B59F6B9" w14:textId="35E5645A" w:rsidR="00714F04" w:rsidRPr="0067507D" w:rsidRDefault="00714F04" w:rsidP="00714F04">
            <w:pPr>
              <w:pStyle w:val="Tabletextright"/>
              <w:rPr>
                <w:rFonts w:eastAsia="Garamond"/>
                <w:iCs/>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60" w:type="dxa"/>
          </w:tcPr>
          <w:p w14:paraId="555AE19C" w14:textId="5E23FBAA" w:rsidR="00714F04" w:rsidRPr="0067507D" w:rsidRDefault="00A75D13"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1A8E05AD" w14:textId="77777777" w:rsidR="00714F04" w:rsidRPr="0067507D" w:rsidRDefault="00714F04" w:rsidP="002C2F28">
            <w:pPr>
              <w:pStyle w:val="TargetMet"/>
              <w:rPr>
                <w:rFonts w:eastAsia="Garamond"/>
              </w:rPr>
            </w:pPr>
          </w:p>
        </w:tc>
      </w:tr>
      <w:tr w:rsidR="00E26BDE" w:rsidRPr="0067507D" w14:paraId="504A9DAD"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22C0C711" w14:textId="3C479089" w:rsidR="00714F04" w:rsidRPr="0067507D" w:rsidRDefault="00714F04" w:rsidP="00714F04">
            <w:pPr>
              <w:pStyle w:val="Tabletext"/>
              <w:rPr>
                <w:rFonts w:eastAsia="Garamond"/>
                <w:iCs/>
              </w:rPr>
            </w:pPr>
            <w:r w:rsidRPr="0067507D">
              <w:rPr>
                <w:iCs/>
              </w:rPr>
              <w:t>Delivery of advice to Government on portfolio performance within agreed timeframes</w:t>
            </w:r>
          </w:p>
        </w:tc>
        <w:tc>
          <w:tcPr>
            <w:cnfStyle w:val="000010000000" w:firstRow="0" w:lastRow="0" w:firstColumn="0" w:lastColumn="0" w:oddVBand="1" w:evenVBand="0" w:oddHBand="0" w:evenHBand="0" w:firstRowFirstColumn="0" w:firstRowLastColumn="0" w:lastRowFirstColumn="0" w:lastRowLastColumn="0"/>
            <w:tcW w:w="1017" w:type="dxa"/>
          </w:tcPr>
          <w:p w14:paraId="58A19F7B" w14:textId="2080A852" w:rsidR="00714F04" w:rsidRPr="0067507D" w:rsidRDefault="00714F04" w:rsidP="00714F04">
            <w:pPr>
              <w:pStyle w:val="Tabletextcentred"/>
              <w:rPr>
                <w:rFonts w:eastAsia="Garamond"/>
                <w:iCs/>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01" w:type="dxa"/>
          </w:tcPr>
          <w:p w14:paraId="4B701663" w14:textId="02C60F62" w:rsidR="00714F04" w:rsidRPr="0067507D" w:rsidRDefault="00714F04" w:rsidP="00714F04">
            <w:pPr>
              <w:pStyle w:val="Tabletextright"/>
              <w:rPr>
                <w:rFonts w:eastAsia="Garamond"/>
                <w:iCs/>
              </w:rPr>
            </w:pPr>
            <w:r w:rsidRPr="0067507D">
              <w:rPr>
                <w:iCs/>
              </w:rPr>
              <w:t>100</w:t>
            </w:r>
          </w:p>
        </w:tc>
        <w:tc>
          <w:tcPr>
            <w:cnfStyle w:val="000010000000" w:firstRow="0" w:lastRow="0" w:firstColumn="0" w:lastColumn="0" w:oddVBand="1" w:evenVBand="0" w:oddHBand="0" w:evenHBand="0" w:firstRowFirstColumn="0" w:firstRowLastColumn="0" w:lastRowFirstColumn="0" w:lastRowLastColumn="0"/>
            <w:tcW w:w="1001" w:type="dxa"/>
          </w:tcPr>
          <w:p w14:paraId="2617B29A" w14:textId="0348E1EC" w:rsidR="00714F04" w:rsidRPr="0067507D" w:rsidRDefault="00714F04" w:rsidP="00714F04">
            <w:pPr>
              <w:pStyle w:val="Tabletextright"/>
              <w:rPr>
                <w:rFonts w:eastAsia="Garamond"/>
                <w:iCs/>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60" w:type="dxa"/>
          </w:tcPr>
          <w:p w14:paraId="762B813A" w14:textId="07A588F4" w:rsidR="00714F04" w:rsidRPr="0067507D" w:rsidRDefault="00A75D13"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7E09929D" w14:textId="77777777" w:rsidR="00714F04" w:rsidRPr="0067507D" w:rsidRDefault="00714F04" w:rsidP="002C2F28">
            <w:pPr>
              <w:pStyle w:val="TargetMet"/>
              <w:rPr>
                <w:rFonts w:eastAsia="Garamond"/>
              </w:rPr>
            </w:pPr>
          </w:p>
        </w:tc>
      </w:tr>
      <w:tr w:rsidR="00E26BDE" w:rsidRPr="0067507D" w14:paraId="00F0DBBF"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598FCD70" w14:textId="1E0FBA82" w:rsidR="00714F04" w:rsidRPr="0067507D" w:rsidRDefault="00714F04" w:rsidP="00714F04">
            <w:pPr>
              <w:pStyle w:val="Tabletextheadingleft"/>
              <w:rPr>
                <w:rFonts w:eastAsia="Garamond"/>
                <w:iCs/>
              </w:rPr>
            </w:pPr>
            <w:r w:rsidRPr="0067507D">
              <w:rPr>
                <w:iCs/>
              </w:rPr>
              <w:t>Cost</w:t>
            </w:r>
          </w:p>
        </w:tc>
        <w:tc>
          <w:tcPr>
            <w:cnfStyle w:val="000010000000" w:firstRow="0" w:lastRow="0" w:firstColumn="0" w:lastColumn="0" w:oddVBand="1" w:evenVBand="0" w:oddHBand="0" w:evenHBand="0" w:firstRowFirstColumn="0" w:firstRowLastColumn="0" w:lastRowFirstColumn="0" w:lastRowLastColumn="0"/>
            <w:tcW w:w="1017" w:type="dxa"/>
          </w:tcPr>
          <w:p w14:paraId="7CC9287C" w14:textId="77777777" w:rsidR="00714F04" w:rsidRPr="0067507D" w:rsidRDefault="00714F04" w:rsidP="00714F04">
            <w:pPr>
              <w:pStyle w:val="Tabletextcentred"/>
              <w:rPr>
                <w:rFonts w:eastAsia="Garamond"/>
                <w:iCs/>
              </w:rPr>
            </w:pPr>
          </w:p>
        </w:tc>
        <w:tc>
          <w:tcPr>
            <w:cnfStyle w:val="000001000000" w:firstRow="0" w:lastRow="0" w:firstColumn="0" w:lastColumn="0" w:oddVBand="0" w:evenVBand="1" w:oddHBand="0" w:evenHBand="0" w:firstRowFirstColumn="0" w:firstRowLastColumn="0" w:lastRowFirstColumn="0" w:lastRowLastColumn="0"/>
            <w:tcW w:w="1001" w:type="dxa"/>
          </w:tcPr>
          <w:p w14:paraId="4C232557" w14:textId="77777777" w:rsidR="00714F04" w:rsidRPr="0067507D" w:rsidRDefault="00714F04" w:rsidP="00714F04">
            <w:pPr>
              <w:pStyle w:val="Tabletextright"/>
              <w:rPr>
                <w:rFonts w:eastAsia="Garamond"/>
                <w:iCs/>
              </w:rPr>
            </w:pPr>
          </w:p>
        </w:tc>
        <w:tc>
          <w:tcPr>
            <w:cnfStyle w:val="000010000000" w:firstRow="0" w:lastRow="0" w:firstColumn="0" w:lastColumn="0" w:oddVBand="1" w:evenVBand="0" w:oddHBand="0" w:evenHBand="0" w:firstRowFirstColumn="0" w:firstRowLastColumn="0" w:lastRowFirstColumn="0" w:lastRowLastColumn="0"/>
            <w:tcW w:w="1001" w:type="dxa"/>
          </w:tcPr>
          <w:p w14:paraId="7B5C6407" w14:textId="77777777" w:rsidR="00714F04" w:rsidRPr="0067507D" w:rsidRDefault="00714F04" w:rsidP="00714F04">
            <w:pPr>
              <w:pStyle w:val="Tabletextright"/>
              <w:rPr>
                <w:rFonts w:eastAsia="Garamond"/>
                <w:iCs/>
              </w:rPr>
            </w:pPr>
          </w:p>
        </w:tc>
        <w:tc>
          <w:tcPr>
            <w:cnfStyle w:val="000001000000" w:firstRow="0" w:lastRow="0" w:firstColumn="0" w:lastColumn="0" w:oddVBand="0" w:evenVBand="1" w:oddHBand="0" w:evenHBand="0" w:firstRowFirstColumn="0" w:firstRowLastColumn="0" w:lastRowFirstColumn="0" w:lastRowLastColumn="0"/>
            <w:tcW w:w="1260" w:type="dxa"/>
          </w:tcPr>
          <w:p w14:paraId="22765030" w14:textId="77777777" w:rsidR="00714F04" w:rsidRPr="0067507D" w:rsidRDefault="00714F04" w:rsidP="00714F0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90" w:type="dxa"/>
          </w:tcPr>
          <w:p w14:paraId="2FEF0DCA" w14:textId="77777777" w:rsidR="00714F04" w:rsidRPr="0067507D" w:rsidRDefault="00714F04" w:rsidP="00714F04">
            <w:pPr>
              <w:pStyle w:val="Tabletextright"/>
              <w:rPr>
                <w:rFonts w:ascii="Calibri" w:eastAsia="Garamond" w:hAnsi="Calibri"/>
                <w:sz w:val="17"/>
                <w:szCs w:val="17"/>
              </w:rPr>
            </w:pPr>
          </w:p>
        </w:tc>
      </w:tr>
      <w:tr w:rsidR="00E26BDE" w:rsidRPr="0067507D" w14:paraId="42AFA279" w14:textId="77777777" w:rsidTr="00FA139A">
        <w:tc>
          <w:tcPr>
            <w:cnfStyle w:val="001000000000" w:firstRow="0" w:lastRow="0" w:firstColumn="1" w:lastColumn="0" w:oddVBand="0" w:evenVBand="0" w:oddHBand="0" w:evenHBand="0" w:firstRowFirstColumn="0" w:firstRowLastColumn="0" w:lastRowFirstColumn="0" w:lastRowLastColumn="0"/>
            <w:tcW w:w="4410" w:type="dxa"/>
          </w:tcPr>
          <w:p w14:paraId="783044BB" w14:textId="77777777" w:rsidR="00714F04" w:rsidRPr="0067507D" w:rsidRDefault="00714F04" w:rsidP="00714F04">
            <w:pPr>
              <w:pStyle w:val="Tabletext"/>
              <w:rPr>
                <w:iCs/>
              </w:rPr>
            </w:pPr>
            <w:r w:rsidRPr="0067507D">
              <w:rPr>
                <w:iCs/>
              </w:rPr>
              <w:t>Total output cost</w:t>
            </w:r>
          </w:p>
          <w:p w14:paraId="332AEE4D" w14:textId="0259255C" w:rsidR="00714F04" w:rsidRPr="0067507D" w:rsidRDefault="00000356" w:rsidP="00C2723E">
            <w:pPr>
              <w:pStyle w:val="Tabletextnotes"/>
              <w:spacing w:after="0" w:line="228" w:lineRule="auto"/>
              <w:rPr>
                <w:rFonts w:ascii="Calibri" w:eastAsia="Garamond" w:hAnsi="Calibri"/>
                <w:iCs/>
                <w:sz w:val="17"/>
              </w:rPr>
            </w:pPr>
            <w:r w:rsidRPr="0067507D">
              <w:rPr>
                <w:rFonts w:eastAsia="Garamond"/>
              </w:rPr>
              <w:t>The 2024</w:t>
            </w:r>
            <w:r w:rsidR="006A5485">
              <w:rPr>
                <w:rFonts w:eastAsia="Garamond"/>
              </w:rPr>
              <w:noBreakHyphen/>
            </w:r>
            <w:r w:rsidRPr="0067507D">
              <w:rPr>
                <w:rFonts w:eastAsia="Garamond"/>
              </w:rPr>
              <w:t xml:space="preserve">25 actual is higher than the target mainly reflecting higher employee expenses, including </w:t>
            </w:r>
            <w:r w:rsidR="00F56BCF" w:rsidRPr="0067507D">
              <w:rPr>
                <w:rFonts w:eastAsia="Garamond"/>
              </w:rPr>
              <w:t>some internal reallocation of resources towards budget and financial advice and the Victorian Public Service Enterprise Agreement 2024 outcomes.</w:t>
            </w:r>
          </w:p>
        </w:tc>
        <w:tc>
          <w:tcPr>
            <w:cnfStyle w:val="000010000000" w:firstRow="0" w:lastRow="0" w:firstColumn="0" w:lastColumn="0" w:oddVBand="1" w:evenVBand="0" w:oddHBand="0" w:evenHBand="0" w:firstRowFirstColumn="0" w:firstRowLastColumn="0" w:lastRowFirstColumn="0" w:lastRowLastColumn="0"/>
            <w:tcW w:w="1017" w:type="dxa"/>
          </w:tcPr>
          <w:p w14:paraId="1104D77E" w14:textId="3CE0D452" w:rsidR="00714F04" w:rsidRPr="0067507D" w:rsidRDefault="00714F04" w:rsidP="00714F04">
            <w:pPr>
              <w:pStyle w:val="Tabletextcentred"/>
              <w:rPr>
                <w:rFonts w:eastAsia="Garamond"/>
                <w:iCs/>
              </w:rPr>
            </w:pPr>
            <w:r w:rsidRPr="0067507D">
              <w:t>$ million</w:t>
            </w:r>
          </w:p>
        </w:tc>
        <w:tc>
          <w:tcPr>
            <w:cnfStyle w:val="000001000000" w:firstRow="0" w:lastRow="0" w:firstColumn="0" w:lastColumn="0" w:oddVBand="0" w:evenVBand="1" w:oddHBand="0" w:evenHBand="0" w:firstRowFirstColumn="0" w:firstRowLastColumn="0" w:lastRowFirstColumn="0" w:lastRowLastColumn="0"/>
            <w:tcW w:w="1001" w:type="dxa"/>
          </w:tcPr>
          <w:p w14:paraId="01CBC1C0" w14:textId="72C8F5FA" w:rsidR="00714F04" w:rsidRPr="0067507D" w:rsidRDefault="00C373E3" w:rsidP="00714F04">
            <w:pPr>
              <w:pStyle w:val="Tabletextright"/>
              <w:rPr>
                <w:rFonts w:eastAsia="Garamond"/>
                <w:iCs/>
              </w:rPr>
            </w:pPr>
            <w:r w:rsidRPr="0067507D">
              <w:rPr>
                <w:rFonts w:eastAsia="Garamond"/>
                <w:iCs/>
              </w:rPr>
              <w:t>46.3</w:t>
            </w:r>
          </w:p>
        </w:tc>
        <w:tc>
          <w:tcPr>
            <w:cnfStyle w:val="000010000000" w:firstRow="0" w:lastRow="0" w:firstColumn="0" w:lastColumn="0" w:oddVBand="1" w:evenVBand="0" w:oddHBand="0" w:evenHBand="0" w:firstRowFirstColumn="0" w:firstRowLastColumn="0" w:lastRowFirstColumn="0" w:lastRowLastColumn="0"/>
            <w:tcW w:w="1001" w:type="dxa"/>
          </w:tcPr>
          <w:p w14:paraId="00D48ABA" w14:textId="2158561F" w:rsidR="00714F04" w:rsidRPr="0067507D" w:rsidRDefault="00714F04" w:rsidP="00714F04">
            <w:pPr>
              <w:pStyle w:val="Tabletextright"/>
              <w:rPr>
                <w:rFonts w:eastAsia="Garamond"/>
                <w:iCs/>
              </w:rPr>
            </w:pPr>
            <w:r w:rsidRPr="0067507D">
              <w:rPr>
                <w:iCs/>
              </w:rPr>
              <w:t>39.0</w:t>
            </w:r>
          </w:p>
        </w:tc>
        <w:tc>
          <w:tcPr>
            <w:cnfStyle w:val="000001000000" w:firstRow="0" w:lastRow="0" w:firstColumn="0" w:lastColumn="0" w:oddVBand="0" w:evenVBand="1" w:oddHBand="0" w:evenHBand="0" w:firstRowFirstColumn="0" w:firstRowLastColumn="0" w:lastRowFirstColumn="0" w:lastRowLastColumn="0"/>
            <w:tcW w:w="1260" w:type="dxa"/>
          </w:tcPr>
          <w:p w14:paraId="74DAC498" w14:textId="789C4385" w:rsidR="00714F04" w:rsidRPr="0067507D" w:rsidRDefault="00C720C7" w:rsidP="00714F04">
            <w:pPr>
              <w:pStyle w:val="Tabletextright"/>
              <w:rPr>
                <w:rFonts w:eastAsia="Garamond"/>
              </w:rPr>
            </w:pPr>
            <w:r w:rsidRPr="0067507D">
              <w:rPr>
                <w:rFonts w:eastAsia="Garamond"/>
              </w:rPr>
              <w:t>19</w:t>
            </w:r>
          </w:p>
        </w:tc>
        <w:tc>
          <w:tcPr>
            <w:cnfStyle w:val="000010000000" w:firstRow="0" w:lastRow="0" w:firstColumn="0" w:lastColumn="0" w:oddVBand="1" w:evenVBand="0" w:oddHBand="0" w:evenHBand="0" w:firstRowFirstColumn="0" w:firstRowLastColumn="0" w:lastRowFirstColumn="0" w:lastRowLastColumn="0"/>
            <w:tcW w:w="990" w:type="dxa"/>
          </w:tcPr>
          <w:p w14:paraId="07B4EB32" w14:textId="2D16ECE9" w:rsidR="00714F04" w:rsidRPr="0067507D" w:rsidRDefault="00714F04" w:rsidP="00B41F4E">
            <w:pPr>
              <w:pStyle w:val="TargetNotMet50"/>
              <w:rPr>
                <w:rFonts w:eastAsia="Garamond"/>
              </w:rPr>
            </w:pPr>
          </w:p>
        </w:tc>
      </w:tr>
    </w:tbl>
    <w:p w14:paraId="57BF4289" w14:textId="2B73E0AB" w:rsidR="005E6D06" w:rsidRPr="0067507D" w:rsidRDefault="005E6D06" w:rsidP="005E6D06">
      <w:pPr>
        <w:pStyle w:val="Heading3"/>
      </w:pPr>
      <w:bookmarkStart w:id="30" w:name="_Hlk83024719"/>
      <w:r w:rsidRPr="0067507D">
        <w:lastRenderedPageBreak/>
        <w:t xml:space="preserve">Revenue </w:t>
      </w:r>
      <w:r w:rsidR="00CF17B8" w:rsidRPr="0067507D">
        <w:t>m</w:t>
      </w:r>
      <w:r w:rsidRPr="0067507D">
        <w:t xml:space="preserve">anagement and </w:t>
      </w:r>
      <w:r w:rsidR="00CF17B8" w:rsidRPr="0067507D">
        <w:t>a</w:t>
      </w:r>
      <w:r w:rsidRPr="0067507D">
        <w:t xml:space="preserve">dministrative </w:t>
      </w:r>
      <w:r w:rsidR="00CF17B8" w:rsidRPr="0067507D">
        <w:t>s</w:t>
      </w:r>
      <w:r w:rsidRPr="0067507D">
        <w:t xml:space="preserve">ervices to </w:t>
      </w:r>
      <w:r w:rsidR="00CF17B8" w:rsidRPr="0067507D">
        <w:t>g</w:t>
      </w:r>
      <w:r w:rsidRPr="0067507D">
        <w:t>overnment</w:t>
      </w:r>
    </w:p>
    <w:bookmarkEnd w:id="30"/>
    <w:p w14:paraId="5F687336" w14:textId="265A18A9" w:rsidR="005E6D06" w:rsidRPr="0067507D" w:rsidRDefault="003F43F7" w:rsidP="005E6D06">
      <w:r w:rsidRPr="0067507D">
        <w:t>This output provides revenue management and administrative services across the various state</w:t>
      </w:r>
      <w:r w:rsidR="006A5485">
        <w:noBreakHyphen/>
      </w:r>
      <w:r w:rsidRPr="0067507D">
        <w:t>based taxes in a fair and efficient manner for the benefit of all Victorians. By administering Victoria’s taxation legislation and collecting a range of taxes, duties and levies, this output contributes to the Department’s objective to optimise Victoria’s fiscal resources.</w:t>
      </w:r>
    </w:p>
    <w:p w14:paraId="1A5D7E19" w14:textId="77777777" w:rsidR="00E2593C" w:rsidRPr="0067507D" w:rsidRDefault="00E2593C" w:rsidP="0043594B">
      <w:pPr>
        <w:pStyle w:val="Spacer"/>
      </w:pPr>
    </w:p>
    <w:p w14:paraId="49B24B25" w14:textId="63F66CFA" w:rsidR="00E2593C" w:rsidRPr="0067507D" w:rsidRDefault="00E2593C" w:rsidP="0043594B">
      <w:pPr>
        <w:pStyle w:val="Heading4"/>
      </w:pPr>
      <w:r w:rsidRPr="0067507D">
        <w:t>Key initiatives and projects</w:t>
      </w:r>
    </w:p>
    <w:p w14:paraId="36D0BB95" w14:textId="29033865" w:rsidR="00231131" w:rsidRPr="0067507D" w:rsidRDefault="00626D34" w:rsidP="00FD7B55">
      <w:pPr>
        <w:pStyle w:val="Bullet"/>
        <w:rPr>
          <w:rFonts w:eastAsiaTheme="minorEastAsia"/>
        </w:rPr>
      </w:pPr>
      <w:r w:rsidRPr="0067507D">
        <w:rPr>
          <w:rFonts w:eastAsiaTheme="minorEastAsia"/>
        </w:rPr>
        <w:t>State Revenue Office (SRO) is continuing to enhance compliance through new technologies.</w:t>
      </w:r>
      <w:r w:rsidR="00E95A4B" w:rsidRPr="0067507D">
        <w:rPr>
          <w:rFonts w:eastAsiaTheme="minorEastAsia"/>
        </w:rPr>
        <w:t xml:space="preserve"> </w:t>
      </w:r>
      <w:r w:rsidRPr="0067507D">
        <w:rPr>
          <w:rFonts w:eastAsiaTheme="minorEastAsia"/>
        </w:rPr>
        <w:t xml:space="preserve">The Oracle cloud tenancy, required to build the Data Lakehouse, </w:t>
      </w:r>
      <w:r w:rsidR="00A776E3" w:rsidRPr="0067507D">
        <w:rPr>
          <w:rFonts w:eastAsiaTheme="minorEastAsia"/>
        </w:rPr>
        <w:t xml:space="preserve">was established </w:t>
      </w:r>
      <w:r w:rsidRPr="0067507D">
        <w:rPr>
          <w:rFonts w:eastAsiaTheme="minorEastAsia"/>
        </w:rPr>
        <w:t xml:space="preserve">in </w:t>
      </w:r>
      <w:r w:rsidR="00FD7B55" w:rsidRPr="0067507D">
        <w:rPr>
          <w:rFonts w:eastAsiaTheme="minorEastAsia"/>
        </w:rPr>
        <w:t>quarter</w:t>
      </w:r>
      <w:r w:rsidRPr="0067507D">
        <w:rPr>
          <w:rFonts w:eastAsiaTheme="minorEastAsia"/>
        </w:rPr>
        <w:t xml:space="preserve"> 1, 2024</w:t>
      </w:r>
      <w:r w:rsidR="006A5485">
        <w:rPr>
          <w:rFonts w:eastAsiaTheme="minorEastAsia"/>
        </w:rPr>
        <w:noBreakHyphen/>
      </w:r>
      <w:r w:rsidRPr="0067507D">
        <w:rPr>
          <w:rFonts w:eastAsiaTheme="minorEastAsia"/>
        </w:rPr>
        <w:t>25 and a</w:t>
      </w:r>
      <w:r w:rsidR="0038407D" w:rsidRPr="0067507D">
        <w:rPr>
          <w:rFonts w:eastAsiaTheme="minorEastAsia"/>
        </w:rPr>
        <w:t xml:space="preserve"> </w:t>
      </w:r>
      <w:r w:rsidR="005D67C8" w:rsidRPr="0067507D">
        <w:rPr>
          <w:rFonts w:eastAsiaTheme="minorEastAsia"/>
        </w:rPr>
        <w:t>Datalake Utilisation B</w:t>
      </w:r>
      <w:r w:rsidR="0038407D" w:rsidRPr="0067507D">
        <w:rPr>
          <w:rFonts w:eastAsiaTheme="minorEastAsia"/>
        </w:rPr>
        <w:t>usiness case has been approved.</w:t>
      </w:r>
    </w:p>
    <w:p w14:paraId="580E9672" w14:textId="76C6A042" w:rsidR="0015184A" w:rsidRPr="0067507D" w:rsidRDefault="0015184A" w:rsidP="00FD7B55">
      <w:pPr>
        <w:pStyle w:val="Bullet"/>
      </w:pPr>
      <w:r w:rsidRPr="0067507D">
        <w:t>Finalising the remediation of customer address and property</w:t>
      </w:r>
      <w:r w:rsidR="006A5485">
        <w:noBreakHyphen/>
      </w:r>
      <w:r w:rsidRPr="0067507D">
        <w:t>related data in core systems and commenced scoping data remediations required for revenue lines identified for early migration to the new Revenue Management System platform.</w:t>
      </w:r>
    </w:p>
    <w:p w14:paraId="0A839BF3" w14:textId="42AE6A7B" w:rsidR="0029700E" w:rsidRPr="0067507D" w:rsidRDefault="0015184A" w:rsidP="00FD7B55">
      <w:pPr>
        <w:pStyle w:val="Bullet"/>
      </w:pPr>
      <w:r w:rsidRPr="0067507D">
        <w:t>Utilised Cloud Intelligent Data Management to finalise Cataloguing of Critical Data Assets identified in the existing core revenue management system.</w:t>
      </w:r>
    </w:p>
    <w:p w14:paraId="20FAD01D" w14:textId="77777777" w:rsidR="0043594B" w:rsidRPr="0067507D" w:rsidRDefault="0043594B" w:rsidP="0043594B">
      <w:pPr>
        <w:pStyle w:val="Spacer"/>
      </w:pPr>
    </w:p>
    <w:tbl>
      <w:tblPr>
        <w:tblStyle w:val="TableGrid"/>
        <w:tblW w:w="0" w:type="auto"/>
        <w:tblLayout w:type="fixed"/>
        <w:tblLook w:val="02A0" w:firstRow="1" w:lastRow="0" w:firstColumn="1" w:lastColumn="0" w:noHBand="1" w:noVBand="0"/>
      </w:tblPr>
      <w:tblGrid>
        <w:gridCol w:w="3684"/>
        <w:gridCol w:w="996"/>
        <w:gridCol w:w="1035"/>
        <w:gridCol w:w="1035"/>
        <w:gridCol w:w="1260"/>
        <w:gridCol w:w="953"/>
      </w:tblGrid>
      <w:tr w:rsidR="00E26BDE" w:rsidRPr="0067507D" w14:paraId="1C27BE66" w14:textId="77777777" w:rsidTr="00FA139A">
        <w:trPr>
          <w:tblHeader/>
        </w:trPr>
        <w:tc>
          <w:tcPr>
            <w:cnfStyle w:val="001000000000" w:firstRow="0" w:lastRow="0" w:firstColumn="1" w:lastColumn="0" w:oddVBand="0" w:evenVBand="0" w:oddHBand="0" w:evenHBand="0" w:firstRowFirstColumn="0" w:firstRowLastColumn="0" w:lastRowFirstColumn="0" w:lastRowLastColumn="0"/>
            <w:tcW w:w="3684" w:type="dxa"/>
            <w:vAlign w:val="bottom"/>
          </w:tcPr>
          <w:p w14:paraId="090E9A6C" w14:textId="5FE5EEC4" w:rsidR="00F03F27" w:rsidRPr="0067507D" w:rsidRDefault="00F03F27" w:rsidP="00F03F27">
            <w:pPr>
              <w:pStyle w:val="Tabletextheadingleft"/>
              <w:rPr>
                <w:szCs w:val="16"/>
              </w:rPr>
            </w:pPr>
            <w:r w:rsidRPr="0067507D">
              <w:rPr>
                <w:szCs w:val="16"/>
              </w:rPr>
              <w:t>Performance measures</w:t>
            </w:r>
          </w:p>
        </w:tc>
        <w:tc>
          <w:tcPr>
            <w:cnfStyle w:val="000010000000" w:firstRow="0" w:lastRow="0" w:firstColumn="0" w:lastColumn="0" w:oddVBand="1" w:evenVBand="0" w:oddHBand="0" w:evenHBand="0" w:firstRowFirstColumn="0" w:firstRowLastColumn="0" w:lastRowFirstColumn="0" w:lastRowLastColumn="0"/>
            <w:tcW w:w="996" w:type="dxa"/>
          </w:tcPr>
          <w:p w14:paraId="1046C594" w14:textId="77777777" w:rsidR="00F03F27" w:rsidRPr="0067507D" w:rsidRDefault="00F03F27" w:rsidP="006B3412">
            <w:pPr>
              <w:pStyle w:val="Tabletextheadingcentred"/>
              <w:rPr>
                <w:szCs w:val="16"/>
              </w:rPr>
            </w:pPr>
            <w:r w:rsidRPr="0067507D">
              <w:rPr>
                <w:szCs w:val="16"/>
              </w:rPr>
              <w:t>Unit of measure</w:t>
            </w:r>
          </w:p>
        </w:tc>
        <w:tc>
          <w:tcPr>
            <w:cnfStyle w:val="000001000000" w:firstRow="0" w:lastRow="0" w:firstColumn="0" w:lastColumn="0" w:oddVBand="0" w:evenVBand="1" w:oddHBand="0" w:evenHBand="0" w:firstRowFirstColumn="0" w:firstRowLastColumn="0" w:lastRowFirstColumn="0" w:lastRowLastColumn="0"/>
            <w:tcW w:w="1035" w:type="dxa"/>
            <w:vAlign w:val="bottom"/>
          </w:tcPr>
          <w:p w14:paraId="061675EB" w14:textId="1C1CC3CF" w:rsidR="00F03F27"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F03F27" w:rsidRPr="0067507D">
              <w:rPr>
                <w:szCs w:val="16"/>
              </w:rPr>
              <w:t xml:space="preserve"> actual</w:t>
            </w:r>
          </w:p>
        </w:tc>
        <w:tc>
          <w:tcPr>
            <w:cnfStyle w:val="000010000000" w:firstRow="0" w:lastRow="0" w:firstColumn="0" w:lastColumn="0" w:oddVBand="1" w:evenVBand="0" w:oddHBand="0" w:evenHBand="0" w:firstRowFirstColumn="0" w:firstRowLastColumn="0" w:lastRowFirstColumn="0" w:lastRowLastColumn="0"/>
            <w:tcW w:w="1035" w:type="dxa"/>
            <w:vAlign w:val="bottom"/>
          </w:tcPr>
          <w:p w14:paraId="26B65FDC" w14:textId="442F42A6" w:rsidR="00F03F27"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F03F27" w:rsidRPr="0067507D">
              <w:rPr>
                <w:szCs w:val="16"/>
              </w:rPr>
              <w:t xml:space="preserve"> target</w:t>
            </w:r>
          </w:p>
        </w:tc>
        <w:tc>
          <w:tcPr>
            <w:cnfStyle w:val="000001000000" w:firstRow="0" w:lastRow="0" w:firstColumn="0" w:lastColumn="0" w:oddVBand="0" w:evenVBand="1" w:oddHBand="0" w:evenHBand="0" w:firstRowFirstColumn="0" w:firstRowLastColumn="0" w:lastRowFirstColumn="0" w:lastRowLastColumn="0"/>
            <w:tcW w:w="1260" w:type="dxa"/>
            <w:vAlign w:val="bottom"/>
          </w:tcPr>
          <w:p w14:paraId="3D884A32" w14:textId="77777777" w:rsidR="00F03F27" w:rsidRPr="0067507D" w:rsidRDefault="00F03F27" w:rsidP="006B3412">
            <w:pPr>
              <w:pStyle w:val="Tabletextheadingright"/>
              <w:rPr>
                <w:szCs w:val="16"/>
              </w:rPr>
            </w:pPr>
            <w:r w:rsidRPr="0067507D">
              <w:rPr>
                <w:szCs w:val="16"/>
              </w:rPr>
              <w:t>Performance variation (%)</w:t>
            </w:r>
          </w:p>
        </w:tc>
        <w:tc>
          <w:tcPr>
            <w:cnfStyle w:val="000010000000" w:firstRow="0" w:lastRow="0" w:firstColumn="0" w:lastColumn="0" w:oddVBand="1" w:evenVBand="0" w:oddHBand="0" w:evenHBand="0" w:firstRowFirstColumn="0" w:firstRowLastColumn="0" w:lastRowFirstColumn="0" w:lastRowLastColumn="0"/>
            <w:tcW w:w="953" w:type="dxa"/>
            <w:vAlign w:val="bottom"/>
          </w:tcPr>
          <w:p w14:paraId="309340BF" w14:textId="77777777" w:rsidR="00F03F27" w:rsidRPr="0067507D" w:rsidRDefault="00F03F27" w:rsidP="006B3412">
            <w:pPr>
              <w:pStyle w:val="Tabletextheadingrightbold"/>
              <w:rPr>
                <w:szCs w:val="16"/>
              </w:rPr>
            </w:pPr>
            <w:r w:rsidRPr="0067507D">
              <w:rPr>
                <w:szCs w:val="16"/>
              </w:rPr>
              <w:t xml:space="preserve">Result </w:t>
            </w:r>
          </w:p>
        </w:tc>
      </w:tr>
      <w:tr w:rsidR="00E26BDE" w:rsidRPr="0067507D" w14:paraId="0D94E0DC"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3BC00ED2" w14:textId="70413E21" w:rsidR="00714F04" w:rsidRPr="0067507D" w:rsidRDefault="00714F04" w:rsidP="00714F04">
            <w:pPr>
              <w:pStyle w:val="Tabletextheadingleft"/>
            </w:pPr>
            <w:r w:rsidRPr="0067507D">
              <w:rPr>
                <w:iCs/>
              </w:rPr>
              <w:t>Quantity</w:t>
            </w:r>
          </w:p>
        </w:tc>
        <w:tc>
          <w:tcPr>
            <w:cnfStyle w:val="000010000000" w:firstRow="0" w:lastRow="0" w:firstColumn="0" w:lastColumn="0" w:oddVBand="1" w:evenVBand="0" w:oddHBand="0" w:evenHBand="0" w:firstRowFirstColumn="0" w:firstRowLastColumn="0" w:lastRowFirstColumn="0" w:lastRowLastColumn="0"/>
            <w:tcW w:w="996" w:type="dxa"/>
          </w:tcPr>
          <w:p w14:paraId="520557DE" w14:textId="77777777" w:rsidR="00714F04" w:rsidRPr="0067507D" w:rsidRDefault="00714F04" w:rsidP="00714F04">
            <w:pPr>
              <w:pStyle w:val="Tabletextcentred"/>
            </w:pPr>
          </w:p>
        </w:tc>
        <w:tc>
          <w:tcPr>
            <w:cnfStyle w:val="000001000000" w:firstRow="0" w:lastRow="0" w:firstColumn="0" w:lastColumn="0" w:oddVBand="0" w:evenVBand="1" w:oddHBand="0" w:evenHBand="0" w:firstRowFirstColumn="0" w:firstRowLastColumn="0" w:lastRowFirstColumn="0" w:lastRowLastColumn="0"/>
            <w:tcW w:w="1035" w:type="dxa"/>
          </w:tcPr>
          <w:p w14:paraId="3208C7BA" w14:textId="77777777" w:rsidR="00714F04" w:rsidRPr="0067507D" w:rsidRDefault="00714F04" w:rsidP="00714F04">
            <w:pPr>
              <w:pStyle w:val="Tabletextright"/>
            </w:pPr>
          </w:p>
        </w:tc>
        <w:tc>
          <w:tcPr>
            <w:cnfStyle w:val="000010000000" w:firstRow="0" w:lastRow="0" w:firstColumn="0" w:lastColumn="0" w:oddVBand="1" w:evenVBand="0" w:oddHBand="0" w:evenHBand="0" w:firstRowFirstColumn="0" w:firstRowLastColumn="0" w:lastRowFirstColumn="0" w:lastRowLastColumn="0"/>
            <w:tcW w:w="1035" w:type="dxa"/>
          </w:tcPr>
          <w:p w14:paraId="15E2E983" w14:textId="77777777" w:rsidR="00714F04" w:rsidRPr="0067507D" w:rsidRDefault="00714F04" w:rsidP="00714F04">
            <w:pPr>
              <w:pStyle w:val="Tabletextright"/>
            </w:pPr>
          </w:p>
        </w:tc>
        <w:tc>
          <w:tcPr>
            <w:cnfStyle w:val="000001000000" w:firstRow="0" w:lastRow="0" w:firstColumn="0" w:lastColumn="0" w:oddVBand="0" w:evenVBand="1" w:oddHBand="0" w:evenHBand="0" w:firstRowFirstColumn="0" w:firstRowLastColumn="0" w:lastRowFirstColumn="0" w:lastRowLastColumn="0"/>
            <w:tcW w:w="1260" w:type="dxa"/>
          </w:tcPr>
          <w:p w14:paraId="3D25103F" w14:textId="77777777" w:rsidR="00714F04" w:rsidRPr="0067507D" w:rsidRDefault="00714F04" w:rsidP="00714F04">
            <w:pPr>
              <w:pStyle w:val="Tabletextright"/>
            </w:pPr>
          </w:p>
        </w:tc>
        <w:tc>
          <w:tcPr>
            <w:cnfStyle w:val="000010000000" w:firstRow="0" w:lastRow="0" w:firstColumn="0" w:lastColumn="0" w:oddVBand="1" w:evenVBand="0" w:oddHBand="0" w:evenHBand="0" w:firstRowFirstColumn="0" w:firstRowLastColumn="0" w:lastRowFirstColumn="0" w:lastRowLastColumn="0"/>
            <w:tcW w:w="953" w:type="dxa"/>
          </w:tcPr>
          <w:p w14:paraId="51ED0991" w14:textId="77777777" w:rsidR="00714F04" w:rsidRPr="0067507D" w:rsidRDefault="00714F04" w:rsidP="00714F04">
            <w:pPr>
              <w:pStyle w:val="Tabletextright"/>
            </w:pPr>
          </w:p>
        </w:tc>
      </w:tr>
      <w:tr w:rsidR="00E26BDE" w:rsidRPr="0067507D" w14:paraId="0EE453D9"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31F321C3" w14:textId="77777777" w:rsidR="00714F04" w:rsidRPr="0067507D" w:rsidRDefault="00714F04" w:rsidP="00714F04">
            <w:pPr>
              <w:pStyle w:val="Tabletext"/>
              <w:rPr>
                <w:iCs/>
              </w:rPr>
            </w:pPr>
            <w:r w:rsidRPr="0067507D">
              <w:rPr>
                <w:iCs/>
              </w:rPr>
              <w:t>Compliance revenue assessed meets target</w:t>
            </w:r>
          </w:p>
          <w:p w14:paraId="238321F4" w14:textId="3A1E394C" w:rsidR="00714F04" w:rsidRPr="0067507D" w:rsidRDefault="00B753F2" w:rsidP="00A42EAF">
            <w:pPr>
              <w:pStyle w:val="Tabletextnotes"/>
            </w:pPr>
            <w:r w:rsidRPr="0067507D">
              <w:t>The 2024</w:t>
            </w:r>
            <w:r w:rsidR="006A5485">
              <w:noBreakHyphen/>
            </w:r>
            <w:r w:rsidRPr="0067507D">
              <w:t xml:space="preserve">25 actual is higher than the target due to strong Land Tax and Payroll Tax receipts and an improving </w:t>
            </w:r>
            <w:r w:rsidR="00657BD1" w:rsidRPr="0067507D">
              <w:t xml:space="preserve">landholder </w:t>
            </w:r>
            <w:r w:rsidRPr="0067507D">
              <w:t>environment.</w:t>
            </w:r>
          </w:p>
        </w:tc>
        <w:tc>
          <w:tcPr>
            <w:cnfStyle w:val="000010000000" w:firstRow="0" w:lastRow="0" w:firstColumn="0" w:lastColumn="0" w:oddVBand="1" w:evenVBand="0" w:oddHBand="0" w:evenHBand="0" w:firstRowFirstColumn="0" w:firstRowLastColumn="0" w:lastRowFirstColumn="0" w:lastRowLastColumn="0"/>
            <w:tcW w:w="996" w:type="dxa"/>
          </w:tcPr>
          <w:p w14:paraId="78BA52CC" w14:textId="2A1A6669" w:rsidR="00714F04" w:rsidRPr="0067507D" w:rsidRDefault="00714F04" w:rsidP="00714F04">
            <w:pPr>
              <w:pStyle w:val="Tabletextcentred"/>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1F074F0D" w14:textId="1C28CDDF" w:rsidR="00714F04" w:rsidRPr="0067507D" w:rsidRDefault="00747A27" w:rsidP="00714F04">
            <w:pPr>
              <w:pStyle w:val="Tabletextright"/>
            </w:pPr>
            <w:r w:rsidRPr="0067507D">
              <w:t>108</w:t>
            </w:r>
          </w:p>
        </w:tc>
        <w:tc>
          <w:tcPr>
            <w:cnfStyle w:val="000010000000" w:firstRow="0" w:lastRow="0" w:firstColumn="0" w:lastColumn="0" w:oddVBand="1" w:evenVBand="0" w:oddHBand="0" w:evenHBand="0" w:firstRowFirstColumn="0" w:firstRowLastColumn="0" w:lastRowFirstColumn="0" w:lastRowLastColumn="0"/>
            <w:tcW w:w="1035" w:type="dxa"/>
          </w:tcPr>
          <w:p w14:paraId="767071C6" w14:textId="51D78A22" w:rsidR="00714F04" w:rsidRPr="0067507D" w:rsidRDefault="00714F04" w:rsidP="00714F04">
            <w:pPr>
              <w:pStyle w:val="Tabletextright"/>
            </w:pPr>
            <w:r w:rsidRPr="0067507D">
              <w:rPr>
                <w:iCs/>
              </w:rPr>
              <w:t>≥95</w:t>
            </w:r>
          </w:p>
        </w:tc>
        <w:tc>
          <w:tcPr>
            <w:cnfStyle w:val="000001000000" w:firstRow="0" w:lastRow="0" w:firstColumn="0" w:lastColumn="0" w:oddVBand="0" w:evenVBand="1" w:oddHBand="0" w:evenHBand="0" w:firstRowFirstColumn="0" w:firstRowLastColumn="0" w:lastRowFirstColumn="0" w:lastRowLastColumn="0"/>
            <w:tcW w:w="1260" w:type="dxa"/>
          </w:tcPr>
          <w:p w14:paraId="52C9A0C8" w14:textId="7FA02806" w:rsidR="00714F04" w:rsidRPr="0067507D" w:rsidRDefault="00747A27" w:rsidP="00714F04">
            <w:pPr>
              <w:pStyle w:val="Tabletextright"/>
            </w:pPr>
            <w:r w:rsidRPr="0067507D">
              <w:t>1</w:t>
            </w:r>
            <w:r w:rsidR="00200789" w:rsidRPr="0067507D">
              <w:t>4</w:t>
            </w:r>
          </w:p>
        </w:tc>
        <w:tc>
          <w:tcPr>
            <w:cnfStyle w:val="000010000000" w:firstRow="0" w:lastRow="0" w:firstColumn="0" w:lastColumn="0" w:oddVBand="1" w:evenVBand="0" w:oddHBand="0" w:evenHBand="0" w:firstRowFirstColumn="0" w:firstRowLastColumn="0" w:lastRowFirstColumn="0" w:lastRowLastColumn="0"/>
            <w:tcW w:w="953" w:type="dxa"/>
          </w:tcPr>
          <w:p w14:paraId="1C29E935" w14:textId="77777777" w:rsidR="00714F04" w:rsidRPr="0067507D" w:rsidRDefault="00714F04" w:rsidP="00733BBB">
            <w:pPr>
              <w:pStyle w:val="TargetMet"/>
            </w:pPr>
          </w:p>
        </w:tc>
      </w:tr>
      <w:tr w:rsidR="00E26BDE" w:rsidRPr="0067507D" w14:paraId="6B2F1F5D"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4A408FA9" w14:textId="77777777" w:rsidR="00714F04" w:rsidRPr="0067507D" w:rsidRDefault="00714F04" w:rsidP="00714F04">
            <w:pPr>
              <w:pStyle w:val="Tabletext"/>
              <w:rPr>
                <w:iCs/>
              </w:rPr>
            </w:pPr>
            <w:r w:rsidRPr="0067507D">
              <w:rPr>
                <w:iCs/>
              </w:rPr>
              <w:t>Revenue accrued as a percentage of State Budget forecast</w:t>
            </w:r>
          </w:p>
          <w:p w14:paraId="68716B25" w14:textId="053A1269" w:rsidR="00714F04" w:rsidRPr="0067507D" w:rsidRDefault="00425BCD" w:rsidP="00555005">
            <w:pPr>
              <w:pStyle w:val="Tabletextnotes"/>
            </w:pPr>
            <w:r w:rsidRPr="0067507D">
              <w:t>The 2024</w:t>
            </w:r>
            <w:r w:rsidR="006A5485">
              <w:noBreakHyphen/>
            </w:r>
            <w:r w:rsidRPr="0067507D">
              <w:t>25 actual is higher than the target due to strong Payroll Tax, Mental Health &amp; Wellbeing Surcharge, Payroll Tax COVID Debt Levy and Land Transfer Duty receipts.</w:t>
            </w:r>
          </w:p>
        </w:tc>
        <w:tc>
          <w:tcPr>
            <w:cnfStyle w:val="000010000000" w:firstRow="0" w:lastRow="0" w:firstColumn="0" w:lastColumn="0" w:oddVBand="1" w:evenVBand="0" w:oddHBand="0" w:evenHBand="0" w:firstRowFirstColumn="0" w:firstRowLastColumn="0" w:lastRowFirstColumn="0" w:lastRowLastColumn="0"/>
            <w:tcW w:w="996" w:type="dxa"/>
          </w:tcPr>
          <w:p w14:paraId="622856F0" w14:textId="7454A574" w:rsidR="00714F04" w:rsidRPr="0067507D" w:rsidRDefault="00714F04" w:rsidP="00714F04">
            <w:pPr>
              <w:pStyle w:val="Tabletextcentred"/>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409C0FA0" w14:textId="332E446D" w:rsidR="00714F04" w:rsidRPr="0067507D" w:rsidRDefault="00E057D6" w:rsidP="00714F04">
            <w:pPr>
              <w:pStyle w:val="Tabletextright"/>
            </w:pPr>
            <w:r w:rsidRPr="0067507D">
              <w:t>104</w:t>
            </w:r>
          </w:p>
        </w:tc>
        <w:tc>
          <w:tcPr>
            <w:cnfStyle w:val="000010000000" w:firstRow="0" w:lastRow="0" w:firstColumn="0" w:lastColumn="0" w:oddVBand="1" w:evenVBand="0" w:oddHBand="0" w:evenHBand="0" w:firstRowFirstColumn="0" w:firstRowLastColumn="0" w:lastRowFirstColumn="0" w:lastRowLastColumn="0"/>
            <w:tcW w:w="1035" w:type="dxa"/>
          </w:tcPr>
          <w:p w14:paraId="3E10502E" w14:textId="6E5C3991" w:rsidR="00714F04" w:rsidRPr="0067507D" w:rsidRDefault="00714F04" w:rsidP="00714F04">
            <w:pPr>
              <w:pStyle w:val="Tabletextright"/>
            </w:pPr>
            <w:r w:rsidRPr="0067507D">
              <w:rPr>
                <w:iCs/>
              </w:rPr>
              <w:t>≥99</w:t>
            </w:r>
          </w:p>
        </w:tc>
        <w:tc>
          <w:tcPr>
            <w:cnfStyle w:val="000001000000" w:firstRow="0" w:lastRow="0" w:firstColumn="0" w:lastColumn="0" w:oddVBand="0" w:evenVBand="1" w:oddHBand="0" w:evenHBand="0" w:firstRowFirstColumn="0" w:firstRowLastColumn="0" w:lastRowFirstColumn="0" w:lastRowLastColumn="0"/>
            <w:tcW w:w="1260" w:type="dxa"/>
          </w:tcPr>
          <w:p w14:paraId="12E0D380" w14:textId="11DA6AD9" w:rsidR="00714F04" w:rsidRPr="0067507D" w:rsidRDefault="00E057D6" w:rsidP="00714F04">
            <w:pPr>
              <w:pStyle w:val="Tabletextright"/>
            </w:pPr>
            <w:r w:rsidRPr="0067507D">
              <w:t>5</w:t>
            </w:r>
          </w:p>
        </w:tc>
        <w:tc>
          <w:tcPr>
            <w:cnfStyle w:val="000010000000" w:firstRow="0" w:lastRow="0" w:firstColumn="0" w:lastColumn="0" w:oddVBand="1" w:evenVBand="0" w:oddHBand="0" w:evenHBand="0" w:firstRowFirstColumn="0" w:firstRowLastColumn="0" w:lastRowFirstColumn="0" w:lastRowLastColumn="0"/>
            <w:tcW w:w="953" w:type="dxa"/>
          </w:tcPr>
          <w:p w14:paraId="561E805C" w14:textId="1F4D1547" w:rsidR="00714F04" w:rsidRPr="0067507D" w:rsidRDefault="00714F04" w:rsidP="00733BBB">
            <w:pPr>
              <w:pStyle w:val="TargetMet"/>
            </w:pPr>
          </w:p>
        </w:tc>
      </w:tr>
      <w:tr w:rsidR="00E26BDE" w:rsidRPr="0067507D" w14:paraId="1D410106"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09D319BE" w14:textId="63195534" w:rsidR="00714F04" w:rsidRPr="0067507D" w:rsidRDefault="00714F04" w:rsidP="00714F04">
            <w:pPr>
              <w:pStyle w:val="Tabletextheadingleft"/>
            </w:pPr>
            <w:r w:rsidRPr="0067507D">
              <w:t>Quality</w:t>
            </w:r>
          </w:p>
        </w:tc>
        <w:tc>
          <w:tcPr>
            <w:cnfStyle w:val="000010000000" w:firstRow="0" w:lastRow="0" w:firstColumn="0" w:lastColumn="0" w:oddVBand="1" w:evenVBand="0" w:oddHBand="0" w:evenHBand="0" w:firstRowFirstColumn="0" w:firstRowLastColumn="0" w:lastRowFirstColumn="0" w:lastRowLastColumn="0"/>
            <w:tcW w:w="996" w:type="dxa"/>
          </w:tcPr>
          <w:p w14:paraId="028F3152" w14:textId="087DB99E" w:rsidR="00714F04" w:rsidRPr="0067507D" w:rsidRDefault="00714F04" w:rsidP="00714F04">
            <w:pPr>
              <w:pStyle w:val="Tabletextcentred"/>
            </w:pPr>
          </w:p>
        </w:tc>
        <w:tc>
          <w:tcPr>
            <w:cnfStyle w:val="000001000000" w:firstRow="0" w:lastRow="0" w:firstColumn="0" w:lastColumn="0" w:oddVBand="0" w:evenVBand="1" w:oddHBand="0" w:evenHBand="0" w:firstRowFirstColumn="0" w:firstRowLastColumn="0" w:lastRowFirstColumn="0" w:lastRowLastColumn="0"/>
            <w:tcW w:w="1035" w:type="dxa"/>
          </w:tcPr>
          <w:p w14:paraId="4A63B91B" w14:textId="01A74138" w:rsidR="00714F04" w:rsidRPr="0067507D" w:rsidRDefault="00714F04" w:rsidP="00714F04">
            <w:pPr>
              <w:pStyle w:val="Tabletextright"/>
            </w:pPr>
          </w:p>
        </w:tc>
        <w:tc>
          <w:tcPr>
            <w:cnfStyle w:val="000010000000" w:firstRow="0" w:lastRow="0" w:firstColumn="0" w:lastColumn="0" w:oddVBand="1" w:evenVBand="0" w:oddHBand="0" w:evenHBand="0" w:firstRowFirstColumn="0" w:firstRowLastColumn="0" w:lastRowFirstColumn="0" w:lastRowLastColumn="0"/>
            <w:tcW w:w="1035" w:type="dxa"/>
          </w:tcPr>
          <w:p w14:paraId="6EC121FE" w14:textId="3BBAA05F" w:rsidR="00714F04" w:rsidRPr="0067507D" w:rsidRDefault="00714F04" w:rsidP="00714F04">
            <w:pPr>
              <w:pStyle w:val="Tabletextright"/>
            </w:pPr>
          </w:p>
        </w:tc>
        <w:tc>
          <w:tcPr>
            <w:cnfStyle w:val="000001000000" w:firstRow="0" w:lastRow="0" w:firstColumn="0" w:lastColumn="0" w:oddVBand="0" w:evenVBand="1" w:oddHBand="0" w:evenHBand="0" w:firstRowFirstColumn="0" w:firstRowLastColumn="0" w:lastRowFirstColumn="0" w:lastRowLastColumn="0"/>
            <w:tcW w:w="1260" w:type="dxa"/>
          </w:tcPr>
          <w:p w14:paraId="0241EE4F" w14:textId="43D77545" w:rsidR="00714F04" w:rsidRPr="0067507D" w:rsidRDefault="00714F04" w:rsidP="00714F04">
            <w:pPr>
              <w:pStyle w:val="Tabletextright"/>
            </w:pPr>
          </w:p>
        </w:tc>
        <w:tc>
          <w:tcPr>
            <w:cnfStyle w:val="000010000000" w:firstRow="0" w:lastRow="0" w:firstColumn="0" w:lastColumn="0" w:oddVBand="1" w:evenVBand="0" w:oddHBand="0" w:evenHBand="0" w:firstRowFirstColumn="0" w:firstRowLastColumn="0" w:lastRowFirstColumn="0" w:lastRowLastColumn="0"/>
            <w:tcW w:w="953" w:type="dxa"/>
          </w:tcPr>
          <w:p w14:paraId="366008DE" w14:textId="77777777" w:rsidR="00714F04" w:rsidRPr="0067507D" w:rsidRDefault="00714F04" w:rsidP="00714F04">
            <w:pPr>
              <w:pStyle w:val="Tabletextright"/>
            </w:pPr>
          </w:p>
        </w:tc>
      </w:tr>
      <w:tr w:rsidR="00E26BDE" w:rsidRPr="0067507D" w14:paraId="47307FB2"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3402BBB3" w14:textId="77777777" w:rsidR="00714F04" w:rsidRPr="0067507D" w:rsidRDefault="00714F04" w:rsidP="00714F04">
            <w:pPr>
              <w:pStyle w:val="Tabletext"/>
            </w:pPr>
            <w:r w:rsidRPr="0067507D">
              <w:t>Average debt over 12 months overdue as a percentage of overdue debt</w:t>
            </w:r>
          </w:p>
          <w:p w14:paraId="61D0FB86" w14:textId="7AEA75A5" w:rsidR="00714F04" w:rsidRPr="0067507D" w:rsidRDefault="00C37EC2" w:rsidP="00A42EAF">
            <w:pPr>
              <w:pStyle w:val="Tabletextnotes"/>
              <w:rPr>
                <w:rFonts w:eastAsia="Garamond"/>
              </w:rPr>
            </w:pPr>
            <w:r w:rsidRPr="0067507D">
              <w:rPr>
                <w:rFonts w:eastAsia="Garamond"/>
              </w:rPr>
              <w:t>The 2024</w:t>
            </w:r>
            <w:r w:rsidR="006A5485">
              <w:rPr>
                <w:rFonts w:eastAsia="Garamond"/>
              </w:rPr>
              <w:noBreakHyphen/>
            </w:r>
            <w:r w:rsidRPr="0067507D">
              <w:rPr>
                <w:rFonts w:eastAsia="Garamond"/>
              </w:rPr>
              <w:t>25 actual is higher than the target due to the significant increases experienced in aged debts both during, and post</w:t>
            </w:r>
            <w:r w:rsidR="006A5485">
              <w:rPr>
                <w:rFonts w:eastAsia="Garamond"/>
              </w:rPr>
              <w:noBreakHyphen/>
            </w:r>
            <w:r w:rsidRPr="0067507D">
              <w:rPr>
                <w:rFonts w:eastAsia="Garamond"/>
              </w:rPr>
              <w:t>COVID</w:t>
            </w:r>
            <w:r w:rsidR="006A5485">
              <w:rPr>
                <w:rFonts w:eastAsia="Garamond"/>
              </w:rPr>
              <w:noBreakHyphen/>
            </w:r>
            <w:r w:rsidRPr="0067507D">
              <w:rPr>
                <w:rFonts w:eastAsia="Garamond"/>
              </w:rPr>
              <w:t xml:space="preserve">19, particularly in relation to 2022, 2023 and 2024 Land Tax assessment cycles and more recently as a result of increases in the customer base and tax assessed. </w:t>
            </w:r>
            <w:r w:rsidR="00B4668E" w:rsidRPr="0067507D">
              <w:rPr>
                <w:rFonts w:eastAsia="Garamond"/>
              </w:rPr>
              <w:t>Several</w:t>
            </w:r>
            <w:r w:rsidRPr="0067507D">
              <w:rPr>
                <w:rFonts w:eastAsia="Garamond"/>
              </w:rPr>
              <w:t xml:space="preserve"> strategies and initiatives have been put in place to reduce aged debt which will continue to be progressed in 2025</w:t>
            </w:r>
            <w:r w:rsidR="006A5485">
              <w:rPr>
                <w:rFonts w:eastAsia="Garamond"/>
              </w:rPr>
              <w:noBreakHyphen/>
            </w:r>
            <w:r w:rsidRPr="0067507D">
              <w:rPr>
                <w:rFonts w:eastAsia="Garamond"/>
              </w:rPr>
              <w:t>26.</w:t>
            </w:r>
          </w:p>
        </w:tc>
        <w:tc>
          <w:tcPr>
            <w:cnfStyle w:val="000010000000" w:firstRow="0" w:lastRow="0" w:firstColumn="0" w:lastColumn="0" w:oddVBand="1" w:evenVBand="0" w:oddHBand="0" w:evenHBand="0" w:firstRowFirstColumn="0" w:firstRowLastColumn="0" w:lastRowFirstColumn="0" w:lastRowLastColumn="0"/>
            <w:tcW w:w="996" w:type="dxa"/>
          </w:tcPr>
          <w:p w14:paraId="294E344C" w14:textId="705D2053" w:rsidR="00714F04" w:rsidRPr="0067507D" w:rsidRDefault="00714F04" w:rsidP="00714F0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383921AD" w14:textId="0A09986D" w:rsidR="00714F04" w:rsidRPr="0067507D" w:rsidRDefault="00E057D6" w:rsidP="00714F04">
            <w:pPr>
              <w:pStyle w:val="Tabletextright"/>
              <w:rPr>
                <w:rFonts w:eastAsia="Garamond"/>
              </w:rPr>
            </w:pPr>
            <w:r w:rsidRPr="0067507D">
              <w:rPr>
                <w:rFonts w:eastAsia="Garamond"/>
              </w:rPr>
              <w:t>31</w:t>
            </w:r>
          </w:p>
        </w:tc>
        <w:tc>
          <w:tcPr>
            <w:cnfStyle w:val="000010000000" w:firstRow="0" w:lastRow="0" w:firstColumn="0" w:lastColumn="0" w:oddVBand="1" w:evenVBand="0" w:oddHBand="0" w:evenHBand="0" w:firstRowFirstColumn="0" w:firstRowLastColumn="0" w:lastRowFirstColumn="0" w:lastRowLastColumn="0"/>
            <w:tcW w:w="1035" w:type="dxa"/>
          </w:tcPr>
          <w:p w14:paraId="02CDAA11" w14:textId="3FAE14B3" w:rsidR="00714F04" w:rsidRPr="0067507D" w:rsidRDefault="00714F04" w:rsidP="00714F04">
            <w:pPr>
              <w:pStyle w:val="Tabletextright"/>
              <w:rPr>
                <w:rFonts w:eastAsia="Garamond"/>
              </w:rPr>
            </w:pPr>
            <w:r w:rsidRPr="0067507D">
              <w:rPr>
                <w:iCs/>
              </w:rPr>
              <w:t>&lt;25</w:t>
            </w:r>
          </w:p>
        </w:tc>
        <w:tc>
          <w:tcPr>
            <w:cnfStyle w:val="000001000000" w:firstRow="0" w:lastRow="0" w:firstColumn="0" w:lastColumn="0" w:oddVBand="0" w:evenVBand="1" w:oddHBand="0" w:evenHBand="0" w:firstRowFirstColumn="0" w:firstRowLastColumn="0" w:lastRowFirstColumn="0" w:lastRowLastColumn="0"/>
            <w:tcW w:w="1260" w:type="dxa"/>
          </w:tcPr>
          <w:p w14:paraId="2701F4D7" w14:textId="7481074A" w:rsidR="00714F04" w:rsidRPr="0067507D" w:rsidRDefault="006A5485" w:rsidP="00714F04">
            <w:pPr>
              <w:pStyle w:val="Tabletextright"/>
              <w:rPr>
                <w:rFonts w:eastAsia="Garamond"/>
              </w:rPr>
            </w:pPr>
            <w:r>
              <w:rPr>
                <w:rFonts w:eastAsia="Garamond"/>
              </w:rPr>
              <w:noBreakHyphen/>
            </w:r>
            <w:r w:rsidR="00B35256" w:rsidRPr="0067507D">
              <w:rPr>
                <w:rFonts w:eastAsia="Garamond"/>
              </w:rPr>
              <w:t>24</w:t>
            </w:r>
          </w:p>
        </w:tc>
        <w:tc>
          <w:tcPr>
            <w:cnfStyle w:val="000010000000" w:firstRow="0" w:lastRow="0" w:firstColumn="0" w:lastColumn="0" w:oddVBand="1" w:evenVBand="0" w:oddHBand="0" w:evenHBand="0" w:firstRowFirstColumn="0" w:firstRowLastColumn="0" w:lastRowFirstColumn="0" w:lastRowLastColumn="0"/>
            <w:tcW w:w="953" w:type="dxa"/>
          </w:tcPr>
          <w:p w14:paraId="111AAB76" w14:textId="77777777" w:rsidR="00714F04" w:rsidRPr="0067507D" w:rsidRDefault="00714F04" w:rsidP="00EA0EFE">
            <w:pPr>
              <w:pStyle w:val="TargetNotMet50"/>
              <w:rPr>
                <w:rFonts w:eastAsia="Garamond"/>
              </w:rPr>
            </w:pPr>
          </w:p>
        </w:tc>
      </w:tr>
      <w:tr w:rsidR="00E26BDE" w:rsidRPr="0067507D" w14:paraId="797C1563"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2A9FA17D" w14:textId="145CFD4F" w:rsidR="00714F04" w:rsidRPr="0067507D" w:rsidRDefault="00714F04" w:rsidP="00714F04">
            <w:pPr>
              <w:pStyle w:val="Tabletext"/>
              <w:rPr>
                <w:rFonts w:eastAsia="Garamond"/>
              </w:rPr>
            </w:pPr>
            <w:r w:rsidRPr="0067507D">
              <w:rPr>
                <w:iCs/>
              </w:rPr>
              <w:t>Business processes maintained to retain ISO 9001 (Quality Management Systems) Certification</w:t>
            </w:r>
          </w:p>
        </w:tc>
        <w:tc>
          <w:tcPr>
            <w:cnfStyle w:val="000010000000" w:firstRow="0" w:lastRow="0" w:firstColumn="0" w:lastColumn="0" w:oddVBand="1" w:evenVBand="0" w:oddHBand="0" w:evenHBand="0" w:firstRowFirstColumn="0" w:firstRowLastColumn="0" w:lastRowFirstColumn="0" w:lastRowLastColumn="0"/>
            <w:tcW w:w="996" w:type="dxa"/>
          </w:tcPr>
          <w:p w14:paraId="4902F95F" w14:textId="4E6E70DA" w:rsidR="00714F04" w:rsidRPr="0067507D" w:rsidRDefault="00714F04" w:rsidP="00714F0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12259DDC" w14:textId="76D5A1D0" w:rsidR="00714F04" w:rsidRPr="0067507D" w:rsidRDefault="0084117D" w:rsidP="00714F04">
            <w:pPr>
              <w:pStyle w:val="Tabletextright"/>
              <w:rPr>
                <w:rFonts w:eastAsia="Garamond"/>
              </w:rPr>
            </w:pPr>
            <w:r w:rsidRPr="0067507D">
              <w:rPr>
                <w:rFonts w:eastAsia="Garamond"/>
              </w:rPr>
              <w:t>100</w:t>
            </w:r>
          </w:p>
        </w:tc>
        <w:tc>
          <w:tcPr>
            <w:cnfStyle w:val="000010000000" w:firstRow="0" w:lastRow="0" w:firstColumn="0" w:lastColumn="0" w:oddVBand="1" w:evenVBand="0" w:oddHBand="0" w:evenHBand="0" w:firstRowFirstColumn="0" w:firstRowLastColumn="0" w:lastRowFirstColumn="0" w:lastRowLastColumn="0"/>
            <w:tcW w:w="1035" w:type="dxa"/>
          </w:tcPr>
          <w:p w14:paraId="4825CD6C" w14:textId="7DEC3B06" w:rsidR="00714F04" w:rsidRPr="0067507D" w:rsidRDefault="00714F04" w:rsidP="00714F04">
            <w:pPr>
              <w:pStyle w:val="Tabletextright"/>
              <w:rPr>
                <w:rFonts w:eastAsia="Garamond"/>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60" w:type="dxa"/>
          </w:tcPr>
          <w:p w14:paraId="6D469387" w14:textId="35A99000" w:rsidR="00714F04" w:rsidRPr="0067507D" w:rsidRDefault="00FA139A"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53" w:type="dxa"/>
          </w:tcPr>
          <w:p w14:paraId="4796A671" w14:textId="77777777" w:rsidR="00714F04" w:rsidRPr="0067507D" w:rsidRDefault="00714F04" w:rsidP="00EA0EFE">
            <w:pPr>
              <w:pStyle w:val="TargetMet"/>
              <w:rPr>
                <w:rFonts w:eastAsia="Garamond"/>
              </w:rPr>
            </w:pPr>
          </w:p>
        </w:tc>
      </w:tr>
      <w:tr w:rsidR="00E26BDE" w:rsidRPr="0067507D" w14:paraId="3407D75A"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284D7D17" w14:textId="6AA16198" w:rsidR="00714F04" w:rsidRPr="0067507D" w:rsidRDefault="00714F04" w:rsidP="00714F04">
            <w:pPr>
              <w:pStyle w:val="Tabletext"/>
              <w:rPr>
                <w:rFonts w:eastAsia="Garamond"/>
              </w:rPr>
            </w:pPr>
            <w:r w:rsidRPr="0067507D">
              <w:rPr>
                <w:iCs/>
              </w:rPr>
              <w:t>Customer satisfaction level</w:t>
            </w:r>
          </w:p>
        </w:tc>
        <w:tc>
          <w:tcPr>
            <w:cnfStyle w:val="000010000000" w:firstRow="0" w:lastRow="0" w:firstColumn="0" w:lastColumn="0" w:oddVBand="1" w:evenVBand="0" w:oddHBand="0" w:evenHBand="0" w:firstRowFirstColumn="0" w:firstRowLastColumn="0" w:lastRowFirstColumn="0" w:lastRowLastColumn="0"/>
            <w:tcW w:w="996" w:type="dxa"/>
          </w:tcPr>
          <w:p w14:paraId="3FC4943A" w14:textId="4C29ED58" w:rsidR="00714F04" w:rsidRPr="0067507D" w:rsidRDefault="00714F04" w:rsidP="00714F0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737749BD" w14:textId="439C6204" w:rsidR="00714F04" w:rsidRPr="0067507D" w:rsidRDefault="0084117D" w:rsidP="00714F04">
            <w:pPr>
              <w:pStyle w:val="Tabletextright"/>
              <w:rPr>
                <w:rFonts w:eastAsia="Garamond"/>
              </w:rPr>
            </w:pPr>
            <w:r w:rsidRPr="0067507D">
              <w:rPr>
                <w:rFonts w:eastAsia="Garamond"/>
              </w:rPr>
              <w:t>81</w:t>
            </w:r>
          </w:p>
        </w:tc>
        <w:tc>
          <w:tcPr>
            <w:cnfStyle w:val="000010000000" w:firstRow="0" w:lastRow="0" w:firstColumn="0" w:lastColumn="0" w:oddVBand="1" w:evenVBand="0" w:oddHBand="0" w:evenHBand="0" w:firstRowFirstColumn="0" w:firstRowLastColumn="0" w:lastRowFirstColumn="0" w:lastRowLastColumn="0"/>
            <w:tcW w:w="1035" w:type="dxa"/>
          </w:tcPr>
          <w:p w14:paraId="4254BB3D" w14:textId="7F831CBC" w:rsidR="00714F04" w:rsidRPr="0067507D" w:rsidRDefault="00714F04" w:rsidP="00714F04">
            <w:pPr>
              <w:pStyle w:val="Tabletextright"/>
              <w:rPr>
                <w:rFonts w:eastAsia="Garamond"/>
              </w:rPr>
            </w:pPr>
            <w:r w:rsidRPr="0067507D">
              <w:rPr>
                <w:iCs/>
              </w:rPr>
              <w:t>≥80</w:t>
            </w:r>
          </w:p>
        </w:tc>
        <w:tc>
          <w:tcPr>
            <w:cnfStyle w:val="000001000000" w:firstRow="0" w:lastRow="0" w:firstColumn="0" w:lastColumn="0" w:oddVBand="0" w:evenVBand="1" w:oddHBand="0" w:evenHBand="0" w:firstRowFirstColumn="0" w:firstRowLastColumn="0" w:lastRowFirstColumn="0" w:lastRowLastColumn="0"/>
            <w:tcW w:w="1260" w:type="dxa"/>
          </w:tcPr>
          <w:p w14:paraId="479FFC6F" w14:textId="0D21E887" w:rsidR="00714F04" w:rsidRPr="0067507D" w:rsidRDefault="0084117D" w:rsidP="00714F04">
            <w:pPr>
              <w:pStyle w:val="Tabletextright"/>
              <w:rPr>
                <w:rFonts w:eastAsia="Garamond"/>
              </w:rPr>
            </w:pPr>
            <w:r w:rsidRPr="0067507D">
              <w:rPr>
                <w:rFonts w:eastAsia="Garamond"/>
              </w:rPr>
              <w:t>1</w:t>
            </w:r>
          </w:p>
        </w:tc>
        <w:tc>
          <w:tcPr>
            <w:cnfStyle w:val="000010000000" w:firstRow="0" w:lastRow="0" w:firstColumn="0" w:lastColumn="0" w:oddVBand="1" w:evenVBand="0" w:oddHBand="0" w:evenHBand="0" w:firstRowFirstColumn="0" w:firstRowLastColumn="0" w:lastRowFirstColumn="0" w:lastRowLastColumn="0"/>
            <w:tcW w:w="953" w:type="dxa"/>
          </w:tcPr>
          <w:p w14:paraId="5FA41007" w14:textId="77777777" w:rsidR="00714F04" w:rsidRPr="0067507D" w:rsidRDefault="00714F04" w:rsidP="00294E77">
            <w:pPr>
              <w:pStyle w:val="TargetMet"/>
              <w:rPr>
                <w:rFonts w:eastAsia="Garamond"/>
              </w:rPr>
            </w:pPr>
          </w:p>
        </w:tc>
      </w:tr>
      <w:tr w:rsidR="00E26BDE" w:rsidRPr="0067507D" w14:paraId="541201A6"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28E7D42A" w14:textId="73A3426D" w:rsidR="00714F04" w:rsidRPr="0067507D" w:rsidRDefault="00714F04" w:rsidP="00714F04">
            <w:pPr>
              <w:pStyle w:val="Tabletext"/>
              <w:keepNext/>
              <w:rPr>
                <w:iCs/>
              </w:rPr>
            </w:pPr>
            <w:r w:rsidRPr="0067507D">
              <w:rPr>
                <w:iCs/>
              </w:rPr>
              <w:t>Litigated success rate</w:t>
            </w:r>
          </w:p>
          <w:p w14:paraId="2BDD665F" w14:textId="7991A4DF" w:rsidR="00714F04" w:rsidRPr="0067507D" w:rsidRDefault="00C37EC2" w:rsidP="00A42EAF">
            <w:pPr>
              <w:pStyle w:val="Tabletextnotes"/>
              <w:rPr>
                <w:rFonts w:eastAsia="Garamond"/>
              </w:rPr>
            </w:pPr>
            <w:r w:rsidRPr="0067507D">
              <w:rPr>
                <w:rFonts w:eastAsia="Garamond"/>
              </w:rPr>
              <w:t>The 2024</w:t>
            </w:r>
            <w:r w:rsidR="006A5485">
              <w:rPr>
                <w:rFonts w:eastAsia="Garamond"/>
              </w:rPr>
              <w:noBreakHyphen/>
            </w:r>
            <w:r w:rsidRPr="0067507D">
              <w:rPr>
                <w:rFonts w:eastAsia="Garamond"/>
              </w:rPr>
              <w:t>25 actual is higher than the target due to strong litigation outcomes for the financial year.</w:t>
            </w:r>
          </w:p>
        </w:tc>
        <w:tc>
          <w:tcPr>
            <w:cnfStyle w:val="000010000000" w:firstRow="0" w:lastRow="0" w:firstColumn="0" w:lastColumn="0" w:oddVBand="1" w:evenVBand="0" w:oddHBand="0" w:evenHBand="0" w:firstRowFirstColumn="0" w:firstRowLastColumn="0" w:lastRowFirstColumn="0" w:lastRowLastColumn="0"/>
            <w:tcW w:w="996" w:type="dxa"/>
          </w:tcPr>
          <w:p w14:paraId="67AD19B5" w14:textId="63A73355" w:rsidR="00714F04" w:rsidRPr="0067507D" w:rsidRDefault="00714F04" w:rsidP="00714F0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76C034BA" w14:textId="7E572322" w:rsidR="00714F04" w:rsidRPr="0067507D" w:rsidRDefault="0084117D" w:rsidP="00714F04">
            <w:pPr>
              <w:pStyle w:val="Tabletextright"/>
              <w:rPr>
                <w:rFonts w:eastAsia="Garamond"/>
              </w:rPr>
            </w:pPr>
            <w:r w:rsidRPr="0067507D">
              <w:rPr>
                <w:rFonts w:eastAsia="Garamond"/>
              </w:rPr>
              <w:t>82</w:t>
            </w:r>
          </w:p>
        </w:tc>
        <w:tc>
          <w:tcPr>
            <w:cnfStyle w:val="000010000000" w:firstRow="0" w:lastRow="0" w:firstColumn="0" w:lastColumn="0" w:oddVBand="1" w:evenVBand="0" w:oddHBand="0" w:evenHBand="0" w:firstRowFirstColumn="0" w:firstRowLastColumn="0" w:lastRowFirstColumn="0" w:lastRowLastColumn="0"/>
            <w:tcW w:w="1035" w:type="dxa"/>
          </w:tcPr>
          <w:p w14:paraId="46B3CD10" w14:textId="20692118" w:rsidR="00714F04" w:rsidRPr="0067507D" w:rsidRDefault="00714F04" w:rsidP="00714F04">
            <w:pPr>
              <w:pStyle w:val="Tabletextright"/>
              <w:rPr>
                <w:rFonts w:eastAsia="Garamond"/>
              </w:rPr>
            </w:pPr>
            <w:r w:rsidRPr="0067507D">
              <w:rPr>
                <w:iCs/>
              </w:rPr>
              <w:t>≥70</w:t>
            </w:r>
          </w:p>
        </w:tc>
        <w:tc>
          <w:tcPr>
            <w:cnfStyle w:val="000001000000" w:firstRow="0" w:lastRow="0" w:firstColumn="0" w:lastColumn="0" w:oddVBand="0" w:evenVBand="1" w:oddHBand="0" w:evenHBand="0" w:firstRowFirstColumn="0" w:firstRowLastColumn="0" w:lastRowFirstColumn="0" w:lastRowLastColumn="0"/>
            <w:tcW w:w="1260" w:type="dxa"/>
          </w:tcPr>
          <w:p w14:paraId="7ACEC4A3" w14:textId="4682BABB" w:rsidR="00714F04" w:rsidRPr="0067507D" w:rsidRDefault="005745C3" w:rsidP="00714F04">
            <w:pPr>
              <w:pStyle w:val="Tabletextright"/>
              <w:rPr>
                <w:rFonts w:eastAsia="Garamond"/>
              </w:rPr>
            </w:pPr>
            <w:r w:rsidRPr="0067507D">
              <w:rPr>
                <w:rFonts w:eastAsia="Garamond"/>
              </w:rPr>
              <w:t>17</w:t>
            </w:r>
          </w:p>
        </w:tc>
        <w:tc>
          <w:tcPr>
            <w:cnfStyle w:val="000010000000" w:firstRow="0" w:lastRow="0" w:firstColumn="0" w:lastColumn="0" w:oddVBand="1" w:evenVBand="0" w:oddHBand="0" w:evenHBand="0" w:firstRowFirstColumn="0" w:firstRowLastColumn="0" w:lastRowFirstColumn="0" w:lastRowLastColumn="0"/>
            <w:tcW w:w="953" w:type="dxa"/>
          </w:tcPr>
          <w:p w14:paraId="695A9BA5" w14:textId="77777777" w:rsidR="00714F04" w:rsidRPr="0067507D" w:rsidRDefault="00714F04" w:rsidP="00294E77">
            <w:pPr>
              <w:pStyle w:val="TargetMet"/>
              <w:rPr>
                <w:rFonts w:eastAsia="Garamond"/>
              </w:rPr>
            </w:pPr>
          </w:p>
        </w:tc>
      </w:tr>
      <w:tr w:rsidR="00E26BDE" w:rsidRPr="0067507D" w14:paraId="7D9DCC21"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532F6EEF" w14:textId="4E570957" w:rsidR="00714F04" w:rsidRPr="0067507D" w:rsidRDefault="00714F04" w:rsidP="00714F04">
            <w:pPr>
              <w:pStyle w:val="Tabletext"/>
              <w:rPr>
                <w:iCs/>
              </w:rPr>
            </w:pPr>
            <w:r w:rsidRPr="0067507D">
              <w:rPr>
                <w:iCs/>
              </w:rPr>
              <w:t>Objections received to assessments issued as a result of compliance projects</w:t>
            </w:r>
          </w:p>
          <w:p w14:paraId="51D62F0C" w14:textId="3569C57C" w:rsidR="00714F04" w:rsidRPr="0067507D" w:rsidRDefault="001326BD" w:rsidP="00A42EAF">
            <w:pPr>
              <w:pStyle w:val="Tabletextnotes"/>
              <w:rPr>
                <w:rFonts w:eastAsia="Garamond"/>
              </w:rPr>
            </w:pPr>
            <w:r w:rsidRPr="0067507D">
              <w:rPr>
                <w:rFonts w:eastAsia="Garamond"/>
              </w:rPr>
              <w:t>The 2024</w:t>
            </w:r>
            <w:r w:rsidR="006A5485">
              <w:rPr>
                <w:rFonts w:eastAsia="Garamond"/>
              </w:rPr>
              <w:noBreakHyphen/>
            </w:r>
            <w:r w:rsidRPr="0067507D">
              <w:rPr>
                <w:rFonts w:eastAsia="Garamond"/>
              </w:rPr>
              <w:t xml:space="preserve">25 </w:t>
            </w:r>
            <w:r w:rsidR="001E69AC" w:rsidRPr="0067507D">
              <w:rPr>
                <w:rFonts w:eastAsia="Garamond"/>
              </w:rPr>
              <w:t>actual is lower than the target</w:t>
            </w:r>
            <w:r w:rsidRPr="0067507D">
              <w:rPr>
                <w:rFonts w:eastAsia="Garamond"/>
              </w:rPr>
              <w:t xml:space="preserve"> </w:t>
            </w:r>
            <w:r w:rsidR="008045C3" w:rsidRPr="0067507D">
              <w:rPr>
                <w:rFonts w:eastAsia="Garamond"/>
              </w:rPr>
              <w:t>due to</w:t>
            </w:r>
            <w:r w:rsidRPr="0067507D">
              <w:rPr>
                <w:rFonts w:eastAsia="Garamond"/>
              </w:rPr>
              <w:t xml:space="preserve"> effective procedures and processes including data analytics, data matching</w:t>
            </w:r>
            <w:r w:rsidR="001C4790" w:rsidRPr="0067507D">
              <w:rPr>
                <w:rFonts w:eastAsia="Garamond"/>
              </w:rPr>
              <w:t>,</w:t>
            </w:r>
            <w:r w:rsidRPr="0067507D">
              <w:rPr>
                <w:rFonts w:eastAsia="Garamond"/>
              </w:rPr>
              <w:t xml:space="preserve"> etc resulting in consistently high </w:t>
            </w:r>
            <w:r w:rsidR="005F1574" w:rsidRPr="0067507D">
              <w:rPr>
                <w:rFonts w:eastAsia="Garamond"/>
              </w:rPr>
              <w:t>success rates from compliance efforts</w:t>
            </w:r>
            <w:r w:rsidR="008045C3"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6" w:type="dxa"/>
          </w:tcPr>
          <w:p w14:paraId="20D7AEDC" w14:textId="09F6576D" w:rsidR="00714F04" w:rsidRPr="0067507D" w:rsidRDefault="00714F04" w:rsidP="00714F0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0D5BFD0D" w14:textId="029E0E06" w:rsidR="00714F04" w:rsidRPr="0067507D" w:rsidRDefault="001F2345" w:rsidP="00714F04">
            <w:pPr>
              <w:pStyle w:val="Tabletextright"/>
              <w:rPr>
                <w:rFonts w:eastAsia="Garamond"/>
              </w:rPr>
            </w:pPr>
            <w:r w:rsidRPr="0067507D">
              <w:rPr>
                <w:rFonts w:eastAsia="Garamond"/>
              </w:rPr>
              <w:t>1</w:t>
            </w:r>
          </w:p>
        </w:tc>
        <w:tc>
          <w:tcPr>
            <w:cnfStyle w:val="000010000000" w:firstRow="0" w:lastRow="0" w:firstColumn="0" w:lastColumn="0" w:oddVBand="1" w:evenVBand="0" w:oddHBand="0" w:evenHBand="0" w:firstRowFirstColumn="0" w:firstRowLastColumn="0" w:lastRowFirstColumn="0" w:lastRowLastColumn="0"/>
            <w:tcW w:w="1035" w:type="dxa"/>
          </w:tcPr>
          <w:p w14:paraId="1D078802" w14:textId="1C813063" w:rsidR="00714F04" w:rsidRPr="0067507D" w:rsidRDefault="004E38AE" w:rsidP="00714F04">
            <w:pPr>
              <w:pStyle w:val="Tabletextright"/>
              <w:rPr>
                <w:rFonts w:eastAsia="Garamond"/>
              </w:rPr>
            </w:pPr>
            <w:r w:rsidRPr="0067507D">
              <w:rPr>
                <w:iCs/>
              </w:rPr>
              <w:t>&lt;</w:t>
            </w:r>
            <w:r w:rsidR="00714F04" w:rsidRPr="0067507D">
              <w:rPr>
                <w:iCs/>
              </w:rPr>
              <w:t>3</w:t>
            </w:r>
          </w:p>
        </w:tc>
        <w:tc>
          <w:tcPr>
            <w:cnfStyle w:val="000001000000" w:firstRow="0" w:lastRow="0" w:firstColumn="0" w:lastColumn="0" w:oddVBand="0" w:evenVBand="1" w:oddHBand="0" w:evenHBand="0" w:firstRowFirstColumn="0" w:firstRowLastColumn="0" w:lastRowFirstColumn="0" w:lastRowLastColumn="0"/>
            <w:tcW w:w="1260" w:type="dxa"/>
          </w:tcPr>
          <w:p w14:paraId="44F9759D" w14:textId="093798FE" w:rsidR="00714F04" w:rsidRPr="0067507D" w:rsidRDefault="00EB29C6" w:rsidP="00714F04">
            <w:pPr>
              <w:pStyle w:val="Tabletextright"/>
              <w:rPr>
                <w:rFonts w:eastAsia="Garamond"/>
              </w:rPr>
            </w:pPr>
            <w:r w:rsidRPr="0067507D">
              <w:rPr>
                <w:rFonts w:eastAsia="Garamond"/>
              </w:rPr>
              <w:t>67</w:t>
            </w:r>
          </w:p>
        </w:tc>
        <w:tc>
          <w:tcPr>
            <w:cnfStyle w:val="000010000000" w:firstRow="0" w:lastRow="0" w:firstColumn="0" w:lastColumn="0" w:oddVBand="1" w:evenVBand="0" w:oddHBand="0" w:evenHBand="0" w:firstRowFirstColumn="0" w:firstRowLastColumn="0" w:lastRowFirstColumn="0" w:lastRowLastColumn="0"/>
            <w:tcW w:w="953" w:type="dxa"/>
          </w:tcPr>
          <w:p w14:paraId="3121ED6A" w14:textId="77777777" w:rsidR="00714F04" w:rsidRPr="0067507D" w:rsidRDefault="00714F04" w:rsidP="004F6550">
            <w:pPr>
              <w:pStyle w:val="TargetMet"/>
              <w:rPr>
                <w:rFonts w:eastAsia="Garamond"/>
              </w:rPr>
            </w:pPr>
          </w:p>
        </w:tc>
      </w:tr>
      <w:tr w:rsidR="00E26BDE" w:rsidRPr="0067507D" w14:paraId="08AFF27B"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29ACF8EA" w14:textId="5E663543" w:rsidR="00714F04" w:rsidRPr="0067507D" w:rsidRDefault="00714F04" w:rsidP="00714F04">
            <w:pPr>
              <w:pStyle w:val="Tabletext"/>
              <w:rPr>
                <w:rFonts w:eastAsia="Garamond"/>
              </w:rPr>
            </w:pPr>
            <w:r w:rsidRPr="0067507D">
              <w:rPr>
                <w:iCs/>
              </w:rPr>
              <w:t>Ratio of outstanding debt to total revenue (monthly average)</w:t>
            </w:r>
          </w:p>
        </w:tc>
        <w:tc>
          <w:tcPr>
            <w:cnfStyle w:val="000010000000" w:firstRow="0" w:lastRow="0" w:firstColumn="0" w:lastColumn="0" w:oddVBand="1" w:evenVBand="0" w:oddHBand="0" w:evenHBand="0" w:firstRowFirstColumn="0" w:firstRowLastColumn="0" w:lastRowFirstColumn="0" w:lastRowLastColumn="0"/>
            <w:tcW w:w="996" w:type="dxa"/>
          </w:tcPr>
          <w:p w14:paraId="6BD5E446" w14:textId="12162EEC" w:rsidR="00714F04" w:rsidRPr="0067507D" w:rsidRDefault="00714F04" w:rsidP="00714F0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07A34546" w14:textId="0CBBDEE5" w:rsidR="00714F04" w:rsidRPr="0067507D" w:rsidRDefault="003B2184" w:rsidP="00714F04">
            <w:pPr>
              <w:pStyle w:val="Tabletextright"/>
              <w:rPr>
                <w:rFonts w:eastAsia="Garamond"/>
              </w:rPr>
            </w:pPr>
            <w:r w:rsidRPr="0067507D">
              <w:rPr>
                <w:rFonts w:eastAsia="Garamond"/>
              </w:rPr>
              <w:t>2</w:t>
            </w:r>
          </w:p>
        </w:tc>
        <w:tc>
          <w:tcPr>
            <w:cnfStyle w:val="000010000000" w:firstRow="0" w:lastRow="0" w:firstColumn="0" w:lastColumn="0" w:oddVBand="1" w:evenVBand="0" w:oddHBand="0" w:evenHBand="0" w:firstRowFirstColumn="0" w:firstRowLastColumn="0" w:lastRowFirstColumn="0" w:lastRowLastColumn="0"/>
            <w:tcW w:w="1035" w:type="dxa"/>
          </w:tcPr>
          <w:p w14:paraId="1DA53B04" w14:textId="53657B98" w:rsidR="00714F04" w:rsidRPr="0067507D" w:rsidRDefault="0087588D" w:rsidP="00714F04">
            <w:pPr>
              <w:pStyle w:val="Tabletextright"/>
              <w:rPr>
                <w:rFonts w:eastAsia="Garamond"/>
              </w:rPr>
            </w:pPr>
            <w:r w:rsidRPr="0067507D">
              <w:rPr>
                <w:iCs/>
              </w:rPr>
              <w:t>&lt;</w:t>
            </w:r>
            <w:r w:rsidR="00714F04" w:rsidRPr="0067507D">
              <w:rPr>
                <w:iCs/>
              </w:rPr>
              <w:t>2</w:t>
            </w:r>
          </w:p>
        </w:tc>
        <w:tc>
          <w:tcPr>
            <w:cnfStyle w:val="000001000000" w:firstRow="0" w:lastRow="0" w:firstColumn="0" w:lastColumn="0" w:oddVBand="0" w:evenVBand="1" w:oddHBand="0" w:evenHBand="0" w:firstRowFirstColumn="0" w:firstRowLastColumn="0" w:lastRowFirstColumn="0" w:lastRowLastColumn="0"/>
            <w:tcW w:w="1260" w:type="dxa"/>
          </w:tcPr>
          <w:p w14:paraId="66D5BED9" w14:textId="31F90EA8" w:rsidR="00714F04" w:rsidRPr="0067507D" w:rsidRDefault="00FA139A"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53" w:type="dxa"/>
          </w:tcPr>
          <w:p w14:paraId="31078617" w14:textId="77777777" w:rsidR="00714F04" w:rsidRPr="0067507D" w:rsidRDefault="00714F04" w:rsidP="004F6550">
            <w:pPr>
              <w:pStyle w:val="TargetMet"/>
              <w:rPr>
                <w:rFonts w:eastAsia="Garamond"/>
              </w:rPr>
            </w:pPr>
          </w:p>
        </w:tc>
      </w:tr>
      <w:tr w:rsidR="00E26BDE" w:rsidRPr="0067507D" w14:paraId="46468E6D"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60F60F28" w14:textId="05BE79C8" w:rsidR="00714F04" w:rsidRPr="0067507D" w:rsidRDefault="00714F04" w:rsidP="00714F04">
            <w:pPr>
              <w:pStyle w:val="Tabletextheadingleft"/>
              <w:rPr>
                <w:rFonts w:eastAsia="Garamond"/>
              </w:rPr>
            </w:pPr>
            <w:r w:rsidRPr="0067507D">
              <w:rPr>
                <w:iCs/>
              </w:rPr>
              <w:lastRenderedPageBreak/>
              <w:t>Timeliness</w:t>
            </w:r>
          </w:p>
        </w:tc>
        <w:tc>
          <w:tcPr>
            <w:cnfStyle w:val="000010000000" w:firstRow="0" w:lastRow="0" w:firstColumn="0" w:lastColumn="0" w:oddVBand="1" w:evenVBand="0" w:oddHBand="0" w:evenHBand="0" w:firstRowFirstColumn="0" w:firstRowLastColumn="0" w:lastRowFirstColumn="0" w:lastRowLastColumn="0"/>
            <w:tcW w:w="996" w:type="dxa"/>
          </w:tcPr>
          <w:p w14:paraId="5AB04D64" w14:textId="77777777" w:rsidR="00714F04" w:rsidRPr="0067507D" w:rsidRDefault="00714F04" w:rsidP="00714F04">
            <w:pPr>
              <w:pStyle w:val="Tabletextcentred"/>
              <w:rPr>
                <w:rFonts w:ascii="Calibri" w:eastAsia="Garamond" w:hAnsi="Calibri"/>
                <w:sz w:val="17"/>
              </w:rPr>
            </w:pPr>
          </w:p>
        </w:tc>
        <w:tc>
          <w:tcPr>
            <w:cnfStyle w:val="000001000000" w:firstRow="0" w:lastRow="0" w:firstColumn="0" w:lastColumn="0" w:oddVBand="0" w:evenVBand="1" w:oddHBand="0" w:evenHBand="0" w:firstRowFirstColumn="0" w:firstRowLastColumn="0" w:lastRowFirstColumn="0" w:lastRowLastColumn="0"/>
            <w:tcW w:w="1035" w:type="dxa"/>
          </w:tcPr>
          <w:p w14:paraId="3895E9B1" w14:textId="77777777" w:rsidR="00714F04" w:rsidRPr="0067507D" w:rsidRDefault="00714F04" w:rsidP="00714F0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1035" w:type="dxa"/>
          </w:tcPr>
          <w:p w14:paraId="6A330882" w14:textId="77777777" w:rsidR="00714F04" w:rsidRPr="0067507D" w:rsidRDefault="00714F04" w:rsidP="00714F04">
            <w:pPr>
              <w:pStyle w:val="Tabletextright"/>
              <w:rPr>
                <w:rFonts w:eastAsia="Garamond"/>
              </w:rPr>
            </w:pPr>
          </w:p>
        </w:tc>
        <w:tc>
          <w:tcPr>
            <w:cnfStyle w:val="000001000000" w:firstRow="0" w:lastRow="0" w:firstColumn="0" w:lastColumn="0" w:oddVBand="0" w:evenVBand="1" w:oddHBand="0" w:evenHBand="0" w:firstRowFirstColumn="0" w:firstRowLastColumn="0" w:lastRowFirstColumn="0" w:lastRowLastColumn="0"/>
            <w:tcW w:w="1260" w:type="dxa"/>
          </w:tcPr>
          <w:p w14:paraId="42DA61EE" w14:textId="77777777" w:rsidR="00714F04" w:rsidRPr="0067507D" w:rsidRDefault="00714F04" w:rsidP="00714F0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53" w:type="dxa"/>
          </w:tcPr>
          <w:p w14:paraId="4EEBC738" w14:textId="77777777" w:rsidR="00714F04" w:rsidRPr="0067507D" w:rsidRDefault="00714F04" w:rsidP="00714F04">
            <w:pPr>
              <w:pStyle w:val="Tabletextright"/>
              <w:rPr>
                <w:rFonts w:eastAsia="Garamond"/>
              </w:rPr>
            </w:pPr>
          </w:p>
        </w:tc>
      </w:tr>
      <w:tr w:rsidR="00E26BDE" w:rsidRPr="0067507D" w14:paraId="45493450"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6FEA26ED" w14:textId="77777777" w:rsidR="00714F04" w:rsidRPr="0067507D" w:rsidRDefault="00714F04" w:rsidP="00FD7B55">
            <w:pPr>
              <w:pStyle w:val="Tabletext"/>
              <w:keepNext/>
              <w:rPr>
                <w:iCs/>
              </w:rPr>
            </w:pPr>
            <w:r w:rsidRPr="0067507D">
              <w:rPr>
                <w:iCs/>
              </w:rPr>
              <w:t>Achievement of scheduled milestones in the Advanced Revenue Management Program</w:t>
            </w:r>
          </w:p>
          <w:p w14:paraId="1BD2D8B2" w14:textId="1D514858" w:rsidR="00714F04" w:rsidRPr="0067507D" w:rsidRDefault="00624A12" w:rsidP="00A42EAF">
            <w:pPr>
              <w:pStyle w:val="Tabletextnotes"/>
              <w:rPr>
                <w:rFonts w:eastAsia="Garamond"/>
              </w:rPr>
            </w:pPr>
            <w:r w:rsidRPr="0067507D">
              <w:rPr>
                <w:rFonts w:eastAsia="Garamond"/>
              </w:rPr>
              <w:t>The 2024</w:t>
            </w:r>
            <w:r w:rsidR="006A5485">
              <w:rPr>
                <w:rFonts w:eastAsia="Garamond"/>
              </w:rPr>
              <w:noBreakHyphen/>
            </w:r>
            <w:r w:rsidRPr="0067507D">
              <w:rPr>
                <w:rFonts w:eastAsia="Garamond"/>
              </w:rPr>
              <w:t>25 actual is higher than the target due to the achievement of milestones in line with approved tolerances.</w:t>
            </w:r>
          </w:p>
        </w:tc>
        <w:tc>
          <w:tcPr>
            <w:cnfStyle w:val="000010000000" w:firstRow="0" w:lastRow="0" w:firstColumn="0" w:lastColumn="0" w:oddVBand="1" w:evenVBand="0" w:oddHBand="0" w:evenHBand="0" w:firstRowFirstColumn="0" w:firstRowLastColumn="0" w:lastRowFirstColumn="0" w:lastRowLastColumn="0"/>
            <w:tcW w:w="996" w:type="dxa"/>
          </w:tcPr>
          <w:p w14:paraId="02CFEA20" w14:textId="37CE6918" w:rsidR="00714F04" w:rsidRPr="0067507D" w:rsidRDefault="00714F04" w:rsidP="00714F04">
            <w:pPr>
              <w:pStyle w:val="Tabletextcentred"/>
              <w:rPr>
                <w:rFonts w:ascii="Calibri" w:eastAsia="Garamond" w:hAnsi="Calibri"/>
                <w:sz w:val="17"/>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7D558FB5" w14:textId="6F433A25" w:rsidR="00714F04" w:rsidRPr="0067507D" w:rsidRDefault="005B1CB8" w:rsidP="00714F04">
            <w:pPr>
              <w:pStyle w:val="Tabletextright"/>
              <w:rPr>
                <w:rFonts w:eastAsia="Garamond"/>
              </w:rPr>
            </w:pPr>
            <w:r w:rsidRPr="0067507D">
              <w:rPr>
                <w:rFonts w:eastAsia="Garamond"/>
              </w:rPr>
              <w:t>9</w:t>
            </w:r>
            <w:r w:rsidR="003B2184" w:rsidRPr="0067507D">
              <w:rPr>
                <w:rFonts w:eastAsia="Garamond"/>
              </w:rPr>
              <w:t>2</w:t>
            </w:r>
          </w:p>
        </w:tc>
        <w:tc>
          <w:tcPr>
            <w:cnfStyle w:val="000010000000" w:firstRow="0" w:lastRow="0" w:firstColumn="0" w:lastColumn="0" w:oddVBand="1" w:evenVBand="0" w:oddHBand="0" w:evenHBand="0" w:firstRowFirstColumn="0" w:firstRowLastColumn="0" w:lastRowFirstColumn="0" w:lastRowLastColumn="0"/>
            <w:tcW w:w="1035" w:type="dxa"/>
          </w:tcPr>
          <w:p w14:paraId="56771AE6" w14:textId="04A28C79" w:rsidR="00714F04" w:rsidRPr="0067507D" w:rsidRDefault="00714F04" w:rsidP="00714F04">
            <w:pPr>
              <w:pStyle w:val="Tabletextright"/>
              <w:rPr>
                <w:rFonts w:eastAsia="Garamond"/>
              </w:rPr>
            </w:pPr>
            <w:r w:rsidRPr="0067507D">
              <w:rPr>
                <w:iCs/>
              </w:rPr>
              <w:t>&gt;85</w:t>
            </w:r>
          </w:p>
        </w:tc>
        <w:tc>
          <w:tcPr>
            <w:cnfStyle w:val="000001000000" w:firstRow="0" w:lastRow="0" w:firstColumn="0" w:lastColumn="0" w:oddVBand="0" w:evenVBand="1" w:oddHBand="0" w:evenHBand="0" w:firstRowFirstColumn="0" w:firstRowLastColumn="0" w:lastRowFirstColumn="0" w:lastRowLastColumn="0"/>
            <w:tcW w:w="1260" w:type="dxa"/>
          </w:tcPr>
          <w:p w14:paraId="324FDBF9" w14:textId="2E393FF1" w:rsidR="00714F04" w:rsidRPr="0067507D" w:rsidRDefault="005F094A" w:rsidP="00714F04">
            <w:pPr>
              <w:pStyle w:val="Tabletextright"/>
              <w:rPr>
                <w:rFonts w:eastAsia="Garamond"/>
              </w:rPr>
            </w:pPr>
            <w:r w:rsidRPr="0067507D">
              <w:rPr>
                <w:rFonts w:eastAsia="Garamond"/>
              </w:rPr>
              <w:t>8</w:t>
            </w:r>
          </w:p>
        </w:tc>
        <w:tc>
          <w:tcPr>
            <w:cnfStyle w:val="000010000000" w:firstRow="0" w:lastRow="0" w:firstColumn="0" w:lastColumn="0" w:oddVBand="1" w:evenVBand="0" w:oddHBand="0" w:evenHBand="0" w:firstRowFirstColumn="0" w:firstRowLastColumn="0" w:lastRowFirstColumn="0" w:lastRowLastColumn="0"/>
            <w:tcW w:w="953" w:type="dxa"/>
          </w:tcPr>
          <w:p w14:paraId="3CB6A0F2" w14:textId="77777777" w:rsidR="00714F04" w:rsidRPr="0067507D" w:rsidRDefault="00714F04" w:rsidP="004F6550">
            <w:pPr>
              <w:pStyle w:val="TargetMet"/>
              <w:rPr>
                <w:rFonts w:eastAsia="Garamond"/>
              </w:rPr>
            </w:pPr>
          </w:p>
        </w:tc>
      </w:tr>
      <w:tr w:rsidR="00E26BDE" w:rsidRPr="0067507D" w14:paraId="7AC9B0EC"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2468B715" w14:textId="6AF3ADC2" w:rsidR="00714F04" w:rsidRPr="0067507D" w:rsidRDefault="00714F04" w:rsidP="00714F04">
            <w:pPr>
              <w:pStyle w:val="Tabletext"/>
              <w:rPr>
                <w:rFonts w:eastAsia="Garamond"/>
              </w:rPr>
            </w:pPr>
            <w:r w:rsidRPr="0067507D">
              <w:rPr>
                <w:iCs/>
              </w:rPr>
              <w:t>Timely handling of objections (within 90 days)</w:t>
            </w:r>
          </w:p>
        </w:tc>
        <w:tc>
          <w:tcPr>
            <w:cnfStyle w:val="000010000000" w:firstRow="0" w:lastRow="0" w:firstColumn="0" w:lastColumn="0" w:oddVBand="1" w:evenVBand="0" w:oddHBand="0" w:evenHBand="0" w:firstRowFirstColumn="0" w:firstRowLastColumn="0" w:lastRowFirstColumn="0" w:lastRowLastColumn="0"/>
            <w:tcW w:w="996" w:type="dxa"/>
          </w:tcPr>
          <w:p w14:paraId="6044682F" w14:textId="215DE756" w:rsidR="00714F04" w:rsidRPr="0067507D" w:rsidRDefault="00714F04" w:rsidP="00714F04">
            <w:pPr>
              <w:pStyle w:val="Tabletextcentred"/>
              <w:rPr>
                <w:rFonts w:ascii="Calibri" w:eastAsia="Garamond" w:hAnsi="Calibri"/>
                <w:sz w:val="17"/>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3B5DBED2" w14:textId="1BD87D9F" w:rsidR="00714F04" w:rsidRPr="0067507D" w:rsidRDefault="005B1CB8" w:rsidP="00714F04">
            <w:pPr>
              <w:pStyle w:val="Tabletextright"/>
              <w:rPr>
                <w:rFonts w:eastAsia="Garamond"/>
              </w:rPr>
            </w:pPr>
            <w:r w:rsidRPr="0067507D">
              <w:rPr>
                <w:rFonts w:eastAsia="Garamond"/>
              </w:rPr>
              <w:t>76</w:t>
            </w:r>
          </w:p>
        </w:tc>
        <w:tc>
          <w:tcPr>
            <w:cnfStyle w:val="000010000000" w:firstRow="0" w:lastRow="0" w:firstColumn="0" w:lastColumn="0" w:oddVBand="1" w:evenVBand="0" w:oddHBand="0" w:evenHBand="0" w:firstRowFirstColumn="0" w:firstRowLastColumn="0" w:lastRowFirstColumn="0" w:lastRowLastColumn="0"/>
            <w:tcW w:w="1035" w:type="dxa"/>
          </w:tcPr>
          <w:p w14:paraId="166E5FC6" w14:textId="2A808B76" w:rsidR="00714F04" w:rsidRPr="0067507D" w:rsidRDefault="00714F04" w:rsidP="00714F04">
            <w:pPr>
              <w:pStyle w:val="Tabletextright"/>
              <w:rPr>
                <w:rFonts w:eastAsia="Garamond"/>
              </w:rPr>
            </w:pPr>
            <w:r w:rsidRPr="0067507D">
              <w:rPr>
                <w:iCs/>
              </w:rPr>
              <w:t>≥80</w:t>
            </w:r>
          </w:p>
        </w:tc>
        <w:tc>
          <w:tcPr>
            <w:cnfStyle w:val="000001000000" w:firstRow="0" w:lastRow="0" w:firstColumn="0" w:lastColumn="0" w:oddVBand="0" w:evenVBand="1" w:oddHBand="0" w:evenHBand="0" w:firstRowFirstColumn="0" w:firstRowLastColumn="0" w:lastRowFirstColumn="0" w:lastRowLastColumn="0"/>
            <w:tcW w:w="1260" w:type="dxa"/>
          </w:tcPr>
          <w:p w14:paraId="235CEE79" w14:textId="6556CF60" w:rsidR="00714F04" w:rsidRPr="0067507D" w:rsidRDefault="00F814EB" w:rsidP="00714F04">
            <w:pPr>
              <w:pStyle w:val="Tabletextright"/>
              <w:rPr>
                <w:rFonts w:eastAsia="Garamond"/>
              </w:rPr>
            </w:pPr>
            <w:r w:rsidRPr="0067507D">
              <w:rPr>
                <w:rFonts w:eastAsia="Garamond"/>
              </w:rPr>
              <w:t>5</w:t>
            </w:r>
          </w:p>
        </w:tc>
        <w:tc>
          <w:tcPr>
            <w:cnfStyle w:val="000010000000" w:firstRow="0" w:lastRow="0" w:firstColumn="0" w:lastColumn="0" w:oddVBand="1" w:evenVBand="0" w:oddHBand="0" w:evenHBand="0" w:firstRowFirstColumn="0" w:firstRowLastColumn="0" w:lastRowFirstColumn="0" w:lastRowLastColumn="0"/>
            <w:tcW w:w="953" w:type="dxa"/>
          </w:tcPr>
          <w:p w14:paraId="3F354CA2" w14:textId="77777777" w:rsidR="00714F04" w:rsidRPr="0067507D" w:rsidRDefault="00714F04" w:rsidP="00D6474C">
            <w:pPr>
              <w:pStyle w:val="TargetMet"/>
              <w:rPr>
                <w:rFonts w:eastAsia="Garamond"/>
              </w:rPr>
            </w:pPr>
          </w:p>
        </w:tc>
      </w:tr>
      <w:tr w:rsidR="00E26BDE" w:rsidRPr="0067507D" w14:paraId="1F063CB9"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26955847" w14:textId="0A0AFF54" w:rsidR="00714F04" w:rsidRPr="0067507D" w:rsidRDefault="00714F04" w:rsidP="00714F04">
            <w:pPr>
              <w:pStyle w:val="Tabletext"/>
              <w:rPr>
                <w:rFonts w:eastAsia="Garamond"/>
              </w:rPr>
            </w:pPr>
            <w:r w:rsidRPr="0067507D">
              <w:t>Timely handling of private rulings (within 90</w:t>
            </w:r>
            <w:r w:rsidRPr="0067507D">
              <w:rPr>
                <w:rFonts w:ascii="Calibri" w:hAnsi="Calibri" w:cs="Calibri"/>
              </w:rPr>
              <w:t> </w:t>
            </w:r>
            <w:r w:rsidRPr="0067507D">
              <w:t>days)</w:t>
            </w:r>
          </w:p>
        </w:tc>
        <w:tc>
          <w:tcPr>
            <w:cnfStyle w:val="000010000000" w:firstRow="0" w:lastRow="0" w:firstColumn="0" w:lastColumn="0" w:oddVBand="1" w:evenVBand="0" w:oddHBand="0" w:evenHBand="0" w:firstRowFirstColumn="0" w:firstRowLastColumn="0" w:lastRowFirstColumn="0" w:lastRowLastColumn="0"/>
            <w:tcW w:w="996" w:type="dxa"/>
          </w:tcPr>
          <w:p w14:paraId="4A687016" w14:textId="74890420" w:rsidR="00714F04" w:rsidRPr="0067507D" w:rsidRDefault="00714F04" w:rsidP="00714F04">
            <w:pPr>
              <w:pStyle w:val="Tabletextcentred"/>
              <w:rPr>
                <w:rFonts w:ascii="Calibri" w:eastAsia="Garamond" w:hAnsi="Calibri"/>
                <w:sz w:val="17"/>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23A0E318" w14:textId="6D09CE5C" w:rsidR="00714F04" w:rsidRPr="0067507D" w:rsidRDefault="00933EDC" w:rsidP="00714F04">
            <w:pPr>
              <w:pStyle w:val="Tabletextright"/>
              <w:rPr>
                <w:rFonts w:eastAsia="Garamond"/>
              </w:rPr>
            </w:pPr>
            <w:r w:rsidRPr="0067507D">
              <w:rPr>
                <w:rFonts w:eastAsia="Garamond"/>
              </w:rPr>
              <w:t>81</w:t>
            </w:r>
          </w:p>
        </w:tc>
        <w:tc>
          <w:tcPr>
            <w:cnfStyle w:val="000010000000" w:firstRow="0" w:lastRow="0" w:firstColumn="0" w:lastColumn="0" w:oddVBand="1" w:evenVBand="0" w:oddHBand="0" w:evenHBand="0" w:firstRowFirstColumn="0" w:firstRowLastColumn="0" w:lastRowFirstColumn="0" w:lastRowLastColumn="0"/>
            <w:tcW w:w="1035" w:type="dxa"/>
          </w:tcPr>
          <w:p w14:paraId="6E34E728" w14:textId="47703E8E" w:rsidR="00714F04" w:rsidRPr="0067507D" w:rsidRDefault="00714F04" w:rsidP="00714F04">
            <w:pPr>
              <w:pStyle w:val="Tabletextright"/>
              <w:rPr>
                <w:rFonts w:eastAsia="Garamond"/>
              </w:rPr>
            </w:pPr>
            <w:r w:rsidRPr="0067507D">
              <w:rPr>
                <w:iCs/>
              </w:rPr>
              <w:t>≥80</w:t>
            </w:r>
          </w:p>
        </w:tc>
        <w:tc>
          <w:tcPr>
            <w:cnfStyle w:val="000001000000" w:firstRow="0" w:lastRow="0" w:firstColumn="0" w:lastColumn="0" w:oddVBand="0" w:evenVBand="1" w:oddHBand="0" w:evenHBand="0" w:firstRowFirstColumn="0" w:firstRowLastColumn="0" w:lastRowFirstColumn="0" w:lastRowLastColumn="0"/>
            <w:tcW w:w="1260" w:type="dxa"/>
          </w:tcPr>
          <w:p w14:paraId="7E94E8C2" w14:textId="7D0A6A1D" w:rsidR="00714F04" w:rsidRPr="0067507D" w:rsidRDefault="00933EDC" w:rsidP="00714F04">
            <w:pPr>
              <w:pStyle w:val="Tabletextright"/>
              <w:rPr>
                <w:rFonts w:eastAsia="Garamond"/>
              </w:rPr>
            </w:pPr>
            <w:r w:rsidRPr="0067507D">
              <w:rPr>
                <w:rFonts w:eastAsia="Garamond"/>
              </w:rPr>
              <w:t>1</w:t>
            </w:r>
          </w:p>
        </w:tc>
        <w:tc>
          <w:tcPr>
            <w:cnfStyle w:val="000010000000" w:firstRow="0" w:lastRow="0" w:firstColumn="0" w:lastColumn="0" w:oddVBand="1" w:evenVBand="0" w:oddHBand="0" w:evenHBand="0" w:firstRowFirstColumn="0" w:firstRowLastColumn="0" w:lastRowFirstColumn="0" w:lastRowLastColumn="0"/>
            <w:tcW w:w="953" w:type="dxa"/>
          </w:tcPr>
          <w:p w14:paraId="31B244CD" w14:textId="77777777" w:rsidR="00714F04" w:rsidRPr="0067507D" w:rsidRDefault="00714F04" w:rsidP="004F6550">
            <w:pPr>
              <w:pStyle w:val="TargetMet"/>
              <w:rPr>
                <w:rFonts w:eastAsia="Garamond"/>
              </w:rPr>
            </w:pPr>
          </w:p>
        </w:tc>
      </w:tr>
      <w:tr w:rsidR="00E26BDE" w:rsidRPr="0067507D" w14:paraId="45502BD0"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4D544D4A" w14:textId="381C9C09" w:rsidR="00714F04" w:rsidRPr="0067507D" w:rsidRDefault="00714F04" w:rsidP="00714F04">
            <w:pPr>
              <w:pStyle w:val="Tabletextheadingleft"/>
            </w:pPr>
            <w:r w:rsidRPr="0067507D">
              <w:t>Cost</w:t>
            </w:r>
          </w:p>
        </w:tc>
        <w:tc>
          <w:tcPr>
            <w:cnfStyle w:val="000010000000" w:firstRow="0" w:lastRow="0" w:firstColumn="0" w:lastColumn="0" w:oddVBand="1" w:evenVBand="0" w:oddHBand="0" w:evenHBand="0" w:firstRowFirstColumn="0" w:firstRowLastColumn="0" w:lastRowFirstColumn="0" w:lastRowLastColumn="0"/>
            <w:tcW w:w="996" w:type="dxa"/>
          </w:tcPr>
          <w:p w14:paraId="3625DFAF" w14:textId="51BEF4F8" w:rsidR="00714F04" w:rsidRPr="0067507D" w:rsidRDefault="00714F04" w:rsidP="00714F04">
            <w:pPr>
              <w:pStyle w:val="Tabletextcentred"/>
            </w:pPr>
          </w:p>
        </w:tc>
        <w:tc>
          <w:tcPr>
            <w:cnfStyle w:val="000001000000" w:firstRow="0" w:lastRow="0" w:firstColumn="0" w:lastColumn="0" w:oddVBand="0" w:evenVBand="1" w:oddHBand="0" w:evenHBand="0" w:firstRowFirstColumn="0" w:firstRowLastColumn="0" w:lastRowFirstColumn="0" w:lastRowLastColumn="0"/>
            <w:tcW w:w="1035" w:type="dxa"/>
          </w:tcPr>
          <w:p w14:paraId="66030135" w14:textId="4AC063BC" w:rsidR="00714F04" w:rsidRPr="0067507D" w:rsidRDefault="00714F04" w:rsidP="00714F0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1035" w:type="dxa"/>
          </w:tcPr>
          <w:p w14:paraId="1C5236C8" w14:textId="1622A92A" w:rsidR="00714F04" w:rsidRPr="0067507D" w:rsidRDefault="00714F04" w:rsidP="00714F04">
            <w:pPr>
              <w:pStyle w:val="Tabletextright"/>
            </w:pPr>
          </w:p>
        </w:tc>
        <w:tc>
          <w:tcPr>
            <w:cnfStyle w:val="000001000000" w:firstRow="0" w:lastRow="0" w:firstColumn="0" w:lastColumn="0" w:oddVBand="0" w:evenVBand="1" w:oddHBand="0" w:evenHBand="0" w:firstRowFirstColumn="0" w:firstRowLastColumn="0" w:lastRowFirstColumn="0" w:lastRowLastColumn="0"/>
            <w:tcW w:w="1260" w:type="dxa"/>
          </w:tcPr>
          <w:p w14:paraId="190C590C" w14:textId="65C6C93A" w:rsidR="00714F04" w:rsidRPr="0067507D" w:rsidRDefault="00714F04" w:rsidP="00714F0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53" w:type="dxa"/>
          </w:tcPr>
          <w:p w14:paraId="09C0D24B" w14:textId="77777777" w:rsidR="00714F04" w:rsidRPr="0067507D" w:rsidRDefault="00714F04" w:rsidP="00714F04">
            <w:pPr>
              <w:pStyle w:val="Tabletextright"/>
              <w:rPr>
                <w:rFonts w:eastAsia="Garamond"/>
              </w:rPr>
            </w:pPr>
          </w:p>
        </w:tc>
      </w:tr>
      <w:tr w:rsidR="00E26BDE" w:rsidRPr="0067507D" w14:paraId="6FF4A9E2" w14:textId="77777777" w:rsidTr="00FA139A">
        <w:tc>
          <w:tcPr>
            <w:cnfStyle w:val="001000000000" w:firstRow="0" w:lastRow="0" w:firstColumn="1" w:lastColumn="0" w:oddVBand="0" w:evenVBand="0" w:oddHBand="0" w:evenHBand="0" w:firstRowFirstColumn="0" w:firstRowLastColumn="0" w:lastRowFirstColumn="0" w:lastRowLastColumn="0"/>
            <w:tcW w:w="3684" w:type="dxa"/>
          </w:tcPr>
          <w:p w14:paraId="2FAD969E" w14:textId="3C9AE5ED" w:rsidR="00714F04" w:rsidRPr="0067507D" w:rsidRDefault="00714F04" w:rsidP="00714F04">
            <w:pPr>
              <w:pStyle w:val="Tabletext"/>
              <w:rPr>
                <w:rFonts w:eastAsia="Garamond"/>
              </w:rPr>
            </w:pPr>
            <w:r w:rsidRPr="0067507D">
              <w:t>Total output cost</w:t>
            </w:r>
          </w:p>
        </w:tc>
        <w:tc>
          <w:tcPr>
            <w:cnfStyle w:val="000010000000" w:firstRow="0" w:lastRow="0" w:firstColumn="0" w:lastColumn="0" w:oddVBand="1" w:evenVBand="0" w:oddHBand="0" w:evenHBand="0" w:firstRowFirstColumn="0" w:firstRowLastColumn="0" w:lastRowFirstColumn="0" w:lastRowLastColumn="0"/>
            <w:tcW w:w="996" w:type="dxa"/>
          </w:tcPr>
          <w:p w14:paraId="3177ECE3" w14:textId="1D739B14" w:rsidR="00714F04" w:rsidRPr="0067507D" w:rsidRDefault="00714F04" w:rsidP="00714F04">
            <w:pPr>
              <w:pStyle w:val="Tabletextcentred"/>
              <w:rPr>
                <w:rFonts w:ascii="Calibri" w:eastAsia="Garamond" w:hAnsi="Calibri"/>
                <w:sz w:val="17"/>
              </w:rPr>
            </w:pPr>
            <w:r w:rsidRPr="0067507D">
              <w:rPr>
                <w:iCs/>
              </w:rPr>
              <w:t>$ million</w:t>
            </w:r>
          </w:p>
        </w:tc>
        <w:tc>
          <w:tcPr>
            <w:cnfStyle w:val="000001000000" w:firstRow="0" w:lastRow="0" w:firstColumn="0" w:lastColumn="0" w:oddVBand="0" w:evenVBand="1" w:oddHBand="0" w:evenHBand="0" w:firstRowFirstColumn="0" w:firstRowLastColumn="0" w:lastRowFirstColumn="0" w:lastRowLastColumn="0"/>
            <w:tcW w:w="1035" w:type="dxa"/>
          </w:tcPr>
          <w:p w14:paraId="60C790DC" w14:textId="775DAC97" w:rsidR="00714F04" w:rsidRPr="0067507D" w:rsidRDefault="00EA3AFD" w:rsidP="00714F04">
            <w:pPr>
              <w:pStyle w:val="Tabletextright"/>
              <w:rPr>
                <w:rFonts w:eastAsia="Garamond"/>
              </w:rPr>
            </w:pPr>
            <w:r w:rsidRPr="0067507D">
              <w:rPr>
                <w:rFonts w:eastAsia="Garamond"/>
              </w:rPr>
              <w:t>243</w:t>
            </w:r>
          </w:p>
        </w:tc>
        <w:tc>
          <w:tcPr>
            <w:cnfStyle w:val="000010000000" w:firstRow="0" w:lastRow="0" w:firstColumn="0" w:lastColumn="0" w:oddVBand="1" w:evenVBand="0" w:oddHBand="0" w:evenHBand="0" w:firstRowFirstColumn="0" w:firstRowLastColumn="0" w:lastRowFirstColumn="0" w:lastRowLastColumn="0"/>
            <w:tcW w:w="1035" w:type="dxa"/>
          </w:tcPr>
          <w:p w14:paraId="630D444D" w14:textId="771109E8" w:rsidR="00714F04" w:rsidRPr="0067507D" w:rsidRDefault="00714F04" w:rsidP="00714F04">
            <w:pPr>
              <w:pStyle w:val="Tabletextright"/>
              <w:rPr>
                <w:rFonts w:eastAsia="Garamond"/>
              </w:rPr>
            </w:pPr>
            <w:r w:rsidRPr="0067507D">
              <w:rPr>
                <w:iCs/>
              </w:rPr>
              <w:t>242.7</w:t>
            </w:r>
          </w:p>
        </w:tc>
        <w:tc>
          <w:tcPr>
            <w:cnfStyle w:val="000001000000" w:firstRow="0" w:lastRow="0" w:firstColumn="0" w:lastColumn="0" w:oddVBand="0" w:evenVBand="1" w:oddHBand="0" w:evenHBand="0" w:firstRowFirstColumn="0" w:firstRowLastColumn="0" w:lastRowFirstColumn="0" w:lastRowLastColumn="0"/>
            <w:tcW w:w="1260" w:type="dxa"/>
          </w:tcPr>
          <w:p w14:paraId="0F022BE5" w14:textId="0C4D3B5C" w:rsidR="00714F04" w:rsidRPr="0067507D" w:rsidRDefault="00FA139A" w:rsidP="00714F0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53" w:type="dxa"/>
          </w:tcPr>
          <w:p w14:paraId="615AB593" w14:textId="77777777" w:rsidR="00714F04" w:rsidRPr="0067507D" w:rsidRDefault="00714F04" w:rsidP="004956C8">
            <w:pPr>
              <w:pStyle w:val="TargetMet"/>
              <w:rPr>
                <w:rFonts w:eastAsia="Garamond"/>
              </w:rPr>
            </w:pPr>
          </w:p>
        </w:tc>
      </w:tr>
    </w:tbl>
    <w:p w14:paraId="4D4038DA" w14:textId="77777777" w:rsidR="003F43F7" w:rsidRPr="0067507D" w:rsidRDefault="003F43F7" w:rsidP="005E6D06"/>
    <w:p w14:paraId="42C48AD3" w14:textId="77777777" w:rsidR="00F03F27" w:rsidRPr="0067507D" w:rsidRDefault="00F03F27" w:rsidP="005E6D06"/>
    <w:p w14:paraId="71C1F39E" w14:textId="287367AA" w:rsidR="005E6D06" w:rsidRPr="0067507D" w:rsidRDefault="005E6D06" w:rsidP="005E6D06">
      <w:pPr>
        <w:pStyle w:val="Heading2"/>
        <w:pageBreakBefore/>
        <w:spacing w:line="240" w:lineRule="auto"/>
      </w:pPr>
      <w:r w:rsidRPr="0067507D">
        <w:lastRenderedPageBreak/>
        <w:t>Strengthen Victoria’s economic performance</w:t>
      </w:r>
    </w:p>
    <w:p w14:paraId="56C89188" w14:textId="0B533907" w:rsidR="004120BE" w:rsidRPr="0067507D" w:rsidRDefault="004120BE" w:rsidP="004120BE">
      <w:r w:rsidRPr="0067507D">
        <w:t>Under this objective, the Department delivers advice on economic policy, forecasts, legislation and frameworks. It also supports Government by administering economic regulation of utilities and other specified markets in Victoria to protect the long</w:t>
      </w:r>
      <w:r w:rsidR="006A5485">
        <w:noBreakHyphen/>
      </w:r>
      <w:r w:rsidRPr="0067507D">
        <w:t>term interests of Victorian consumers with regard to price, quality, efficiency and reliability of essential services.</w:t>
      </w:r>
    </w:p>
    <w:p w14:paraId="6783EA31" w14:textId="22955367" w:rsidR="004120BE" w:rsidRPr="0067507D" w:rsidRDefault="004120BE" w:rsidP="004120BE">
      <w:r w:rsidRPr="0067507D">
        <w:t>The Department leads the development of advice to Government on key economic and financial strategies including regulatory reform, tax policy and intergovernmental relations to drive improvements in Victoria</w:t>
      </w:r>
      <w:r w:rsidR="0084509B" w:rsidRPr="0067507D">
        <w:t>’</w:t>
      </w:r>
      <w:r w:rsidRPr="0067507D">
        <w:t>s productive and efficient resource allocation, competitiveness and equity across the Victorian economy.</w:t>
      </w:r>
    </w:p>
    <w:p w14:paraId="4ABC4732" w14:textId="77777777" w:rsidR="004120BE" w:rsidRPr="0067507D" w:rsidRDefault="004120BE" w:rsidP="004120BE">
      <w:r w:rsidRPr="0067507D">
        <w:t>The departmental objective indicators are:</w:t>
      </w:r>
    </w:p>
    <w:p w14:paraId="34042A7F" w14:textId="77777777" w:rsidR="004120BE" w:rsidRPr="0067507D" w:rsidRDefault="004120BE" w:rsidP="004120BE">
      <w:pPr>
        <w:pStyle w:val="Bullet"/>
      </w:pPr>
      <w:r w:rsidRPr="0067507D">
        <w:t>economic growth to exceed population growth as expressed by GSP per capita increasing in real terms (annual percentage change)</w:t>
      </w:r>
    </w:p>
    <w:p w14:paraId="1EDF221B" w14:textId="77777777" w:rsidR="004120BE" w:rsidRPr="0067507D" w:rsidRDefault="004120BE" w:rsidP="004120BE">
      <w:pPr>
        <w:pStyle w:val="Bullet"/>
      </w:pPr>
      <w:r w:rsidRPr="0067507D">
        <w:t>total Victorian employment to grow each year (annual percentage change)</w:t>
      </w:r>
    </w:p>
    <w:p w14:paraId="4AEC1509" w14:textId="712C22B9" w:rsidR="00886FF8" w:rsidRPr="0067507D" w:rsidRDefault="004120BE" w:rsidP="004120BE">
      <w:pPr>
        <w:pStyle w:val="Bullet"/>
      </w:pPr>
      <w:r w:rsidRPr="0067507D">
        <w:t>advice contributes to the achievement of Government policies and priorities relating to economic and social outcomes.</w:t>
      </w:r>
    </w:p>
    <w:p w14:paraId="0451D6A7" w14:textId="3E14DC4F" w:rsidR="005E6D06" w:rsidRPr="0067507D" w:rsidRDefault="005E6D06" w:rsidP="005E6D06">
      <w:pPr>
        <w:pStyle w:val="Heading3"/>
      </w:pPr>
      <w:r w:rsidRPr="0067507D">
        <w:t xml:space="preserve">Economic and </w:t>
      </w:r>
      <w:r w:rsidR="00287E7C" w:rsidRPr="0067507D">
        <w:t>p</w:t>
      </w:r>
      <w:r w:rsidRPr="0067507D">
        <w:t xml:space="preserve">olicy </w:t>
      </w:r>
      <w:r w:rsidR="00287E7C" w:rsidRPr="0067507D">
        <w:t>a</w:t>
      </w:r>
      <w:r w:rsidRPr="0067507D">
        <w:t>dvice</w:t>
      </w:r>
    </w:p>
    <w:p w14:paraId="7594410E" w14:textId="069DECAC" w:rsidR="002B69C3" w:rsidRPr="0067507D" w:rsidRDefault="002B69C3" w:rsidP="002B69C3">
      <w:r w:rsidRPr="0067507D">
        <w:t>This output contributes to the Department</w:t>
      </w:r>
      <w:r w:rsidR="0084509B" w:rsidRPr="0067507D">
        <w:t>’</w:t>
      </w:r>
      <w:r w:rsidRPr="0067507D">
        <w:t>s objective to strengthen Victoria</w:t>
      </w:r>
      <w:r w:rsidR="0084509B" w:rsidRPr="0067507D">
        <w:t>’</w:t>
      </w:r>
      <w:r w:rsidRPr="0067507D">
        <w:t>s economic performance through increased productive and efficient resource allocation, competitiveness and equity by providing evidence, advice and engagement on:</w:t>
      </w:r>
    </w:p>
    <w:p w14:paraId="5390BCCE" w14:textId="56C5294E" w:rsidR="002B69C3" w:rsidRPr="0067507D" w:rsidRDefault="002B69C3" w:rsidP="002B69C3">
      <w:pPr>
        <w:pStyle w:val="Bullet"/>
      </w:pPr>
      <w:r w:rsidRPr="0067507D">
        <w:t>medium and longer</w:t>
      </w:r>
      <w:r w:rsidR="006A5485">
        <w:noBreakHyphen/>
      </w:r>
      <w:r w:rsidRPr="0067507D">
        <w:t xml:space="preserve">term strategies to strengthen productivity, </w:t>
      </w:r>
      <w:r w:rsidR="00632E42" w:rsidRPr="0067507D">
        <w:t xml:space="preserve">workforce </w:t>
      </w:r>
      <w:r w:rsidRPr="0067507D">
        <w:t>participation and the State</w:t>
      </w:r>
      <w:r w:rsidR="0084509B" w:rsidRPr="0067507D">
        <w:t>’</w:t>
      </w:r>
      <w:r w:rsidRPr="0067507D">
        <w:t>s overall competitiveness</w:t>
      </w:r>
    </w:p>
    <w:p w14:paraId="72A81B73" w14:textId="77777777" w:rsidR="002B69C3" w:rsidRPr="0067507D" w:rsidRDefault="002B69C3" w:rsidP="002B69C3">
      <w:pPr>
        <w:pStyle w:val="Bullet"/>
      </w:pPr>
      <w:r w:rsidRPr="0067507D">
        <w:t>State tax and revenue policy</w:t>
      </w:r>
    </w:p>
    <w:p w14:paraId="36320B35" w14:textId="609FAB18" w:rsidR="002B69C3" w:rsidRPr="0067507D" w:rsidRDefault="002B69C3" w:rsidP="002B69C3">
      <w:pPr>
        <w:pStyle w:val="Bullet"/>
      </w:pPr>
      <w:r w:rsidRPr="0067507D">
        <w:t>intergovernmental relations, including the distribution of Commonwealth funding to Australian states and territories (including representation on various inter</w:t>
      </w:r>
      <w:r w:rsidR="006A5485">
        <w:noBreakHyphen/>
      </w:r>
      <w:r w:rsidRPr="0067507D">
        <w:t xml:space="preserve">jurisdictional </w:t>
      </w:r>
      <w:r w:rsidR="009A1164" w:rsidRPr="0067507D">
        <w:t>fora</w:t>
      </w:r>
      <w:r w:rsidRPr="0067507D">
        <w:t>)</w:t>
      </w:r>
    </w:p>
    <w:p w14:paraId="38E4B09E" w14:textId="77777777" w:rsidR="002B69C3" w:rsidRPr="0067507D" w:rsidRDefault="002B69C3" w:rsidP="002B69C3">
      <w:pPr>
        <w:pStyle w:val="Bullet"/>
      </w:pPr>
      <w:r w:rsidRPr="0067507D">
        <w:t>production of the economic and revenue forecasts that underpin the State budget</w:t>
      </w:r>
    </w:p>
    <w:p w14:paraId="3858785D" w14:textId="519E0D0C" w:rsidR="002B69C3" w:rsidRPr="0067507D" w:rsidRDefault="002B69C3" w:rsidP="002B69C3">
      <w:pPr>
        <w:pStyle w:val="Bullet"/>
      </w:pPr>
      <w:r w:rsidRPr="0067507D">
        <w:t xml:space="preserve">economic cost benefit analysis, </w:t>
      </w:r>
      <w:r w:rsidR="009052C4" w:rsidRPr="0067507D">
        <w:t>analysis of linked data</w:t>
      </w:r>
      <w:r w:rsidRPr="0067507D">
        <w:t xml:space="preserve"> and evaluation of best practice regulatory frameworks</w:t>
      </w:r>
    </w:p>
    <w:p w14:paraId="350E4EE5" w14:textId="77777777" w:rsidR="002B69C3" w:rsidRPr="0067507D" w:rsidRDefault="002B69C3" w:rsidP="002B69C3">
      <w:pPr>
        <w:pStyle w:val="Bullet"/>
      </w:pPr>
      <w:r w:rsidRPr="0067507D">
        <w:t>approaches for innovative, effective and efficient delivery of government services, including social services.</w:t>
      </w:r>
    </w:p>
    <w:p w14:paraId="00F56922" w14:textId="6C437FD8" w:rsidR="002B69C3" w:rsidRPr="0067507D" w:rsidRDefault="002B69C3" w:rsidP="002B69C3">
      <w:r w:rsidRPr="0067507D">
        <w:t xml:space="preserve">This output also provides advice on ways the Government can improve the business environment by the Commissioner for </w:t>
      </w:r>
      <w:r w:rsidR="001F5876" w:rsidRPr="0067507D">
        <w:t>Economic Growth and</w:t>
      </w:r>
      <w:r w:rsidRPr="0067507D">
        <w:t xml:space="preserve"> Better Regulation: </w:t>
      </w:r>
    </w:p>
    <w:p w14:paraId="61CEEAD5" w14:textId="1B77CE56" w:rsidR="002B69C3" w:rsidRPr="0067507D" w:rsidRDefault="002B69C3" w:rsidP="002B69C3">
      <w:pPr>
        <w:pStyle w:val="Bullet"/>
      </w:pPr>
      <w:r w:rsidRPr="0067507D">
        <w:t>reviewing Regulatory Impact Statements, Legislative Impact Assessments, and providing advice for Regulatory Change Measurements</w:t>
      </w:r>
    </w:p>
    <w:p w14:paraId="5A13D109" w14:textId="77777777" w:rsidR="002B69C3" w:rsidRPr="0067507D" w:rsidRDefault="002B69C3" w:rsidP="002B69C3">
      <w:pPr>
        <w:pStyle w:val="Bullet"/>
      </w:pPr>
      <w:r w:rsidRPr="0067507D">
        <w:t>assisting agencies to improve the quality of regulation in Victoria and undertaking research into matters referred to it by the Government</w:t>
      </w:r>
    </w:p>
    <w:p w14:paraId="45471B8A" w14:textId="0432FA84" w:rsidR="002B69C3" w:rsidRPr="0067507D" w:rsidRDefault="002B69C3" w:rsidP="002B69C3">
      <w:pPr>
        <w:pStyle w:val="Bullet"/>
      </w:pPr>
      <w:r w:rsidRPr="0067507D">
        <w:t>operating Victoria</w:t>
      </w:r>
      <w:r w:rsidR="0084509B" w:rsidRPr="0067507D">
        <w:t>’</w:t>
      </w:r>
      <w:r w:rsidRPr="0067507D">
        <w:t>s competitive neutrality unit</w:t>
      </w:r>
    </w:p>
    <w:p w14:paraId="3A6F8058" w14:textId="199A475C" w:rsidR="008F5EE0" w:rsidRPr="0067507D" w:rsidRDefault="002B69C3" w:rsidP="002B69C3">
      <w:pPr>
        <w:pStyle w:val="Bullet"/>
      </w:pPr>
      <w:r w:rsidRPr="0067507D">
        <w:t>working with businesses and not</w:t>
      </w:r>
      <w:r w:rsidR="006A5485">
        <w:noBreakHyphen/>
      </w:r>
      <w:r w:rsidRPr="0067507D">
        <w:t>for</w:t>
      </w:r>
      <w:r w:rsidR="006A5485">
        <w:noBreakHyphen/>
      </w:r>
      <w:r w:rsidRPr="0067507D">
        <w:t>profit organisations to identify and solve red tape issues.</w:t>
      </w:r>
    </w:p>
    <w:p w14:paraId="2708E322" w14:textId="77777777" w:rsidR="008F5EE0" w:rsidRPr="0067507D" w:rsidRDefault="008F5EE0" w:rsidP="00405856">
      <w:pPr>
        <w:pStyle w:val="Spacer"/>
      </w:pPr>
    </w:p>
    <w:p w14:paraId="67C83E6E" w14:textId="493C3D4F" w:rsidR="008F5EE0" w:rsidRPr="0067507D" w:rsidRDefault="008F5EE0" w:rsidP="008F5EE0">
      <w:pPr>
        <w:pStyle w:val="Heading3"/>
        <w:rPr>
          <w:sz w:val="20"/>
          <w:szCs w:val="20"/>
        </w:rPr>
      </w:pPr>
      <w:r w:rsidRPr="0067507D">
        <w:rPr>
          <w:sz w:val="20"/>
          <w:szCs w:val="20"/>
        </w:rPr>
        <w:t>Key initiatives and projects</w:t>
      </w:r>
    </w:p>
    <w:p w14:paraId="01A337C6" w14:textId="0D57E8C7" w:rsidR="00775135" w:rsidRPr="0067507D" w:rsidRDefault="00E27523" w:rsidP="00775135">
      <w:pPr>
        <w:pStyle w:val="Bullet"/>
        <w:rPr>
          <w:rFonts w:ascii="Aptos" w:hAnsi="Aptos"/>
          <w:sz w:val="22"/>
          <w:szCs w:val="22"/>
        </w:rPr>
      </w:pPr>
      <w:r w:rsidRPr="0067507D">
        <w:t xml:space="preserve">Central role in developing </w:t>
      </w:r>
      <w:r w:rsidR="00775135" w:rsidRPr="0067507D">
        <w:t xml:space="preserve">the </w:t>
      </w:r>
      <w:r w:rsidR="00775135" w:rsidRPr="0067507D">
        <w:rPr>
          <w:i/>
        </w:rPr>
        <w:t>Government’s Economic Growth Statement</w:t>
      </w:r>
      <w:r w:rsidR="00775135" w:rsidRPr="0067507D">
        <w:t>, with more than 40 initiatives supporting a vision for a prosperous Victoria</w:t>
      </w:r>
      <w:r w:rsidR="00EF7E7C" w:rsidRPr="0067507D">
        <w:t xml:space="preserve">, including </w:t>
      </w:r>
      <w:r w:rsidR="00417A8A" w:rsidRPr="0067507D">
        <w:t>commitments to a $500 million red tape reduction target, and halving the number of business regulators by 2030</w:t>
      </w:r>
      <w:r w:rsidR="004727EF">
        <w:t>.</w:t>
      </w:r>
    </w:p>
    <w:p w14:paraId="6D1A8D40" w14:textId="2CAD3183" w:rsidR="00D741F3" w:rsidRPr="0067507D" w:rsidRDefault="00D741F3" w:rsidP="00775135">
      <w:pPr>
        <w:pStyle w:val="Bullet"/>
        <w:rPr>
          <w:rFonts w:ascii="Aptos" w:hAnsi="Aptos"/>
          <w:sz w:val="22"/>
          <w:szCs w:val="22"/>
        </w:rPr>
      </w:pPr>
      <w:r w:rsidRPr="0067507D">
        <w:t>Regulatory reforms including funding regulators and local council</w:t>
      </w:r>
      <w:r w:rsidR="000945F3" w:rsidRPr="0067507D">
        <w:t xml:space="preserve"> projects</w:t>
      </w:r>
      <w:r w:rsidRPr="0067507D">
        <w:t xml:space="preserve"> to make it easier to do business through the Business Acceleration Fund</w:t>
      </w:r>
      <w:r w:rsidR="00FE3AB5" w:rsidRPr="0067507D">
        <w:t>,</w:t>
      </w:r>
      <w:r w:rsidRPr="0067507D">
        <w:t xml:space="preserve"> legislative reforms through the Regulatory Legislation Amendment (Reform) Bill 2025</w:t>
      </w:r>
      <w:r w:rsidR="00FE3AB5" w:rsidRPr="0067507D">
        <w:t>,</w:t>
      </w:r>
      <w:r w:rsidRPr="0067507D">
        <w:t xml:space="preserve"> </w:t>
      </w:r>
      <w:r w:rsidR="000945F3" w:rsidRPr="0067507D">
        <w:t xml:space="preserve">and </w:t>
      </w:r>
      <w:r w:rsidRPr="0067507D">
        <w:t>new model legislative provisions for Fit and Proper Persons Tests and Confidentiality and Information Sharing</w:t>
      </w:r>
      <w:r w:rsidR="004727EF">
        <w:t>.</w:t>
      </w:r>
    </w:p>
    <w:p w14:paraId="6D9F4A39" w14:textId="6DF9BC3F" w:rsidR="00775135" w:rsidRPr="0067507D" w:rsidRDefault="001B309A" w:rsidP="00775135">
      <w:pPr>
        <w:pStyle w:val="Bullet"/>
      </w:pPr>
      <w:r w:rsidRPr="0067507D">
        <w:t>L</w:t>
      </w:r>
      <w:r w:rsidR="00775135" w:rsidRPr="0067507D">
        <w:t>eading Victoria’s contribution to the Commonwealth Grants Commission 2025 Methodology Review</w:t>
      </w:r>
      <w:r w:rsidR="004727EF">
        <w:t>.</w:t>
      </w:r>
      <w:r w:rsidR="00775135" w:rsidRPr="0067507D">
        <w:t xml:space="preserve"> </w:t>
      </w:r>
    </w:p>
    <w:p w14:paraId="015236FA" w14:textId="45BE0014" w:rsidR="00775135" w:rsidRPr="0067507D" w:rsidRDefault="000120BA" w:rsidP="00775135">
      <w:pPr>
        <w:pStyle w:val="Bullet"/>
        <w:keepNext/>
        <w:ind w:right="-58"/>
        <w:rPr>
          <w:rFonts w:eastAsia="Aptos" w:cs="Aptos"/>
        </w:rPr>
      </w:pPr>
      <w:r w:rsidRPr="0067507D">
        <w:t>C</w:t>
      </w:r>
      <w:r w:rsidR="00775135" w:rsidRPr="0067507D">
        <w:t>ontributing to an integrated building regulator and insurer, the Building and Plumbing Commission, including transition of responsibility for domestic building insurance from the Victorian Managed Insurance Authority</w:t>
      </w:r>
      <w:r w:rsidR="004727EF">
        <w:t>.</w:t>
      </w:r>
    </w:p>
    <w:p w14:paraId="55AA161F" w14:textId="13BF69CE" w:rsidR="008E6E3B" w:rsidRPr="0067507D" w:rsidRDefault="009B6A74">
      <w:pPr>
        <w:pStyle w:val="Bullet"/>
      </w:pPr>
      <w:r w:rsidRPr="0067507D" w:rsidDel="000120BA">
        <w:t xml:space="preserve">Legislation </w:t>
      </w:r>
      <w:r w:rsidR="008E6E3B" w:rsidRPr="0067507D">
        <w:t xml:space="preserve">and implementation of the new Emergency Services and Volunteers Levy, </w:t>
      </w:r>
      <w:r w:rsidR="00C325A5" w:rsidRPr="0067507D">
        <w:t xml:space="preserve">and </w:t>
      </w:r>
      <w:r w:rsidR="00E05C73" w:rsidRPr="0067507D">
        <w:t xml:space="preserve">an </w:t>
      </w:r>
      <w:r w:rsidR="008E6E3B" w:rsidRPr="0067507D">
        <w:t>extension o</w:t>
      </w:r>
      <w:r w:rsidR="00781710" w:rsidRPr="0067507D">
        <w:t>f</w:t>
      </w:r>
      <w:r w:rsidR="008E6E3B" w:rsidRPr="0067507D">
        <w:t xml:space="preserve"> the off</w:t>
      </w:r>
      <w:r w:rsidR="006A5485">
        <w:noBreakHyphen/>
      </w:r>
      <w:r w:rsidR="008E6E3B" w:rsidRPr="0067507D">
        <w:t>the</w:t>
      </w:r>
      <w:r w:rsidR="006A5485">
        <w:noBreakHyphen/>
      </w:r>
      <w:r w:rsidR="008E6E3B" w:rsidRPr="0067507D">
        <w:t>plan land transfer duty concession</w:t>
      </w:r>
      <w:r w:rsidR="004727EF">
        <w:t>.</w:t>
      </w:r>
      <w:r w:rsidR="008E6E3B" w:rsidRPr="0067507D">
        <w:t xml:space="preserve"> </w:t>
      </w:r>
    </w:p>
    <w:p w14:paraId="752838A3" w14:textId="0704B3D2" w:rsidR="00E05C73" w:rsidRPr="0067507D" w:rsidRDefault="00E05C73">
      <w:pPr>
        <w:pStyle w:val="Bullet"/>
      </w:pPr>
      <w:r w:rsidRPr="0067507D">
        <w:lastRenderedPageBreak/>
        <w:t>Robust advice to the Government on Victoria’s economic conditions and outlook, along with rigorous economic and revenue forecasts</w:t>
      </w:r>
      <w:r w:rsidR="00A47686" w:rsidRPr="0067507D">
        <w:t>, including a refresh of a suite of forecasting models</w:t>
      </w:r>
      <w:r w:rsidR="00E86B06">
        <w:t>.</w:t>
      </w:r>
    </w:p>
    <w:p w14:paraId="79CEB24C" w14:textId="1A80347C" w:rsidR="00A47686" w:rsidRPr="0067507D" w:rsidRDefault="00751648" w:rsidP="008E6E3B">
      <w:pPr>
        <w:pStyle w:val="Bullet"/>
      </w:pPr>
      <w:r w:rsidRPr="0067507D">
        <w:t>S</w:t>
      </w:r>
      <w:r w:rsidR="008E6E3B" w:rsidRPr="0067507D">
        <w:t>upport</w:t>
      </w:r>
      <w:r w:rsidR="00A43A72" w:rsidRPr="0067507D">
        <w:t>ing</w:t>
      </w:r>
      <w:r w:rsidR="008E6E3B" w:rsidRPr="0067507D">
        <w:t xml:space="preserve"> </w:t>
      </w:r>
      <w:r w:rsidRPr="0067507D">
        <w:t>the Governmen</w:t>
      </w:r>
      <w:r w:rsidR="00A43A72" w:rsidRPr="0067507D">
        <w:t>t in</w:t>
      </w:r>
      <w:r w:rsidRPr="0067507D">
        <w:t xml:space="preserve"> </w:t>
      </w:r>
      <w:r w:rsidR="008E6E3B" w:rsidRPr="0067507D">
        <w:t xml:space="preserve">Treaty </w:t>
      </w:r>
      <w:r w:rsidR="00635F6A" w:rsidRPr="0067507D">
        <w:t>n</w:t>
      </w:r>
      <w:r w:rsidR="008E6E3B" w:rsidRPr="0067507D">
        <w:t>egotiations</w:t>
      </w:r>
      <w:r w:rsidR="000575B4" w:rsidRPr="0067507D">
        <w:t>,</w:t>
      </w:r>
      <w:r w:rsidR="00AB3E90" w:rsidRPr="0067507D">
        <w:t xml:space="preserve"> the </w:t>
      </w:r>
      <w:r w:rsidR="008E6E3B" w:rsidRPr="0067507D">
        <w:t xml:space="preserve">Yoorrook Justice Commission </w:t>
      </w:r>
      <w:r w:rsidR="000575B4" w:rsidRPr="0067507D">
        <w:t>and Closing the Gap</w:t>
      </w:r>
      <w:r w:rsidR="00E86B06">
        <w:t>.</w:t>
      </w:r>
    </w:p>
    <w:p w14:paraId="193C9F92" w14:textId="591E11EF" w:rsidR="0019089E" w:rsidRPr="0067507D" w:rsidRDefault="0019089E" w:rsidP="008E6E3B">
      <w:pPr>
        <w:pStyle w:val="Bullet"/>
      </w:pPr>
      <w:r w:rsidRPr="0067507D">
        <w:t xml:space="preserve">Advising the Government on productivity growth and on implementing its </w:t>
      </w:r>
      <w:r w:rsidR="00AC6166" w:rsidRPr="0067507D">
        <w:t xml:space="preserve">policy </w:t>
      </w:r>
      <w:r w:rsidRPr="0067507D">
        <w:t xml:space="preserve">agenda </w:t>
      </w:r>
      <w:r w:rsidR="00AC6166" w:rsidRPr="0067507D">
        <w:t>in areas including housing supply and affordability</w:t>
      </w:r>
      <w:r w:rsidR="004C354D" w:rsidRPr="0067507D">
        <w:t>,</w:t>
      </w:r>
      <w:r w:rsidR="00AC6166" w:rsidRPr="0067507D">
        <w:t xml:space="preserve"> workforce skills</w:t>
      </w:r>
      <w:r w:rsidR="004C354D" w:rsidRPr="0067507D">
        <w:t>,</w:t>
      </w:r>
      <w:r w:rsidR="00AC6166" w:rsidRPr="0067507D">
        <w:t xml:space="preserve"> </w:t>
      </w:r>
      <w:r w:rsidR="00DC3B84" w:rsidRPr="0067507D">
        <w:t>regulatory reform</w:t>
      </w:r>
      <w:r w:rsidR="004C354D" w:rsidRPr="0067507D">
        <w:t>,</w:t>
      </w:r>
      <w:r w:rsidR="00DC3B84" w:rsidRPr="0067507D">
        <w:t xml:space="preserve"> </w:t>
      </w:r>
      <w:r w:rsidR="00F84057" w:rsidRPr="0067507D">
        <w:t>social service delivery</w:t>
      </w:r>
      <w:r w:rsidR="004C354D" w:rsidRPr="0067507D">
        <w:t>,</w:t>
      </w:r>
      <w:r w:rsidR="00F84057" w:rsidRPr="0067507D">
        <w:t xml:space="preserve"> energy</w:t>
      </w:r>
      <w:r w:rsidR="004C354D" w:rsidRPr="0067507D">
        <w:t>,</w:t>
      </w:r>
      <w:r w:rsidR="00F84057" w:rsidRPr="0067507D">
        <w:t xml:space="preserve"> and </w:t>
      </w:r>
      <w:r w:rsidR="00413C04" w:rsidRPr="0067507D">
        <w:t>decarbonisation and climate change adaptation</w:t>
      </w:r>
      <w:r w:rsidR="00E86B06">
        <w:t>.</w:t>
      </w:r>
    </w:p>
    <w:p w14:paraId="5B6C51AD" w14:textId="1C6CB275" w:rsidR="008E6E3B" w:rsidRPr="0067507D" w:rsidRDefault="00390AFF" w:rsidP="008E6E3B">
      <w:pPr>
        <w:pStyle w:val="Bullet"/>
      </w:pPr>
      <w:r w:rsidRPr="0067507D">
        <w:t xml:space="preserve">Overseeing the Early Intervention Investment Framework (EIIF), including </w:t>
      </w:r>
      <w:r w:rsidR="00DC4660" w:rsidRPr="0067507D">
        <w:t>release of a new Cultural Safety Framework</w:t>
      </w:r>
      <w:r w:rsidR="00FE0A37" w:rsidRPr="0067507D">
        <w:t>,</w:t>
      </w:r>
      <w:r w:rsidR="00DC4660" w:rsidRPr="0067507D">
        <w:t xml:space="preserve"> </w:t>
      </w:r>
      <w:r w:rsidRPr="0067507D">
        <w:t>s</w:t>
      </w:r>
      <w:r w:rsidR="00DF65F4" w:rsidRPr="0067507D">
        <w:t xml:space="preserve">upporting the development of </w:t>
      </w:r>
      <w:r w:rsidRPr="0067507D">
        <w:t xml:space="preserve">a package of initiatives in the </w:t>
      </w:r>
      <w:r w:rsidR="00DC4660" w:rsidRPr="0067507D">
        <w:rPr>
          <w:i/>
          <w:iCs/>
        </w:rPr>
        <w:t>2025</w:t>
      </w:r>
      <w:r w:rsidR="006A5485">
        <w:rPr>
          <w:i/>
          <w:iCs/>
        </w:rPr>
        <w:noBreakHyphen/>
      </w:r>
      <w:r w:rsidR="00DC4660" w:rsidRPr="0067507D">
        <w:rPr>
          <w:i/>
          <w:iCs/>
        </w:rPr>
        <w:t>26 Budget</w:t>
      </w:r>
      <w:r w:rsidR="00A7018D" w:rsidRPr="0067507D">
        <w:t>,</w:t>
      </w:r>
      <w:r w:rsidR="00CC4B29" w:rsidRPr="0067507D">
        <w:t xml:space="preserve"> </w:t>
      </w:r>
      <w:r w:rsidR="00605C14" w:rsidRPr="0067507D">
        <w:t>and administering the Empowerment Fund to improve data and evaluation capability in the social services sector</w:t>
      </w:r>
      <w:r w:rsidR="00856FFF" w:rsidRPr="0067507D">
        <w:t>.</w:t>
      </w:r>
    </w:p>
    <w:p w14:paraId="68782C6E" w14:textId="77777777" w:rsidR="00405856" w:rsidRPr="0067507D" w:rsidRDefault="00405856" w:rsidP="00405856">
      <w:pPr>
        <w:pStyle w:val="Spacer"/>
      </w:pPr>
    </w:p>
    <w:tbl>
      <w:tblPr>
        <w:tblStyle w:val="TableGrid"/>
        <w:tblW w:w="0" w:type="auto"/>
        <w:tblLook w:val="02A0" w:firstRow="1" w:lastRow="0" w:firstColumn="1" w:lastColumn="0" w:noHBand="1" w:noVBand="0"/>
      </w:tblPr>
      <w:tblGrid>
        <w:gridCol w:w="3684"/>
        <w:gridCol w:w="1026"/>
        <w:gridCol w:w="1010"/>
        <w:gridCol w:w="990"/>
        <w:gridCol w:w="1258"/>
        <w:gridCol w:w="961"/>
      </w:tblGrid>
      <w:tr w:rsidR="00E26BDE" w:rsidRPr="0067507D" w14:paraId="52A3E711" w14:textId="77777777" w:rsidTr="004D70AA">
        <w:trPr>
          <w:tblHeader/>
        </w:trPr>
        <w:tc>
          <w:tcPr>
            <w:cnfStyle w:val="001000000000" w:firstRow="0" w:lastRow="0" w:firstColumn="1" w:lastColumn="0" w:oddVBand="0" w:evenVBand="0" w:oddHBand="0" w:evenHBand="0" w:firstRowFirstColumn="0" w:firstRowLastColumn="0" w:lastRowFirstColumn="0" w:lastRowLastColumn="0"/>
            <w:tcW w:w="3684" w:type="dxa"/>
            <w:vAlign w:val="bottom"/>
          </w:tcPr>
          <w:p w14:paraId="789FE220" w14:textId="77777777" w:rsidR="00907FAE" w:rsidRPr="0067507D" w:rsidRDefault="00907FAE" w:rsidP="006B3412">
            <w:pPr>
              <w:pStyle w:val="Tabletextheadingleft"/>
              <w:rPr>
                <w:szCs w:val="16"/>
              </w:rPr>
            </w:pPr>
            <w:r w:rsidRPr="0067507D">
              <w:rPr>
                <w:szCs w:val="16"/>
              </w:rPr>
              <w:t>Performance measures</w:t>
            </w:r>
          </w:p>
        </w:tc>
        <w:tc>
          <w:tcPr>
            <w:cnfStyle w:val="000010000000" w:firstRow="0" w:lastRow="0" w:firstColumn="0" w:lastColumn="0" w:oddVBand="1" w:evenVBand="0" w:oddHBand="0" w:evenHBand="0" w:firstRowFirstColumn="0" w:firstRowLastColumn="0" w:lastRowFirstColumn="0" w:lastRowLastColumn="0"/>
            <w:tcW w:w="1026" w:type="dxa"/>
          </w:tcPr>
          <w:p w14:paraId="28B2E4A1" w14:textId="77777777" w:rsidR="00907FAE" w:rsidRPr="0067507D" w:rsidRDefault="00907FAE" w:rsidP="006B3412">
            <w:pPr>
              <w:pStyle w:val="Tabletextheadingcentred"/>
              <w:rPr>
                <w:szCs w:val="16"/>
              </w:rPr>
            </w:pPr>
            <w:r w:rsidRPr="0067507D">
              <w:rPr>
                <w:szCs w:val="16"/>
              </w:rPr>
              <w:t>Unit of measure</w:t>
            </w:r>
          </w:p>
        </w:tc>
        <w:tc>
          <w:tcPr>
            <w:cnfStyle w:val="000001000000" w:firstRow="0" w:lastRow="0" w:firstColumn="0" w:lastColumn="0" w:oddVBand="0" w:evenVBand="1" w:oddHBand="0" w:evenHBand="0" w:firstRowFirstColumn="0" w:firstRowLastColumn="0" w:lastRowFirstColumn="0" w:lastRowLastColumn="0"/>
            <w:tcW w:w="1010" w:type="dxa"/>
            <w:vAlign w:val="bottom"/>
          </w:tcPr>
          <w:p w14:paraId="71F9C9D4" w14:textId="5471B4A9" w:rsidR="00907FAE"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907FAE" w:rsidRPr="0067507D">
              <w:rPr>
                <w:szCs w:val="16"/>
              </w:rPr>
              <w:t xml:space="preserve"> actual</w:t>
            </w:r>
          </w:p>
        </w:tc>
        <w:tc>
          <w:tcPr>
            <w:cnfStyle w:val="000010000000" w:firstRow="0" w:lastRow="0" w:firstColumn="0" w:lastColumn="0" w:oddVBand="1" w:evenVBand="0" w:oddHBand="0" w:evenHBand="0" w:firstRowFirstColumn="0" w:firstRowLastColumn="0" w:lastRowFirstColumn="0" w:lastRowLastColumn="0"/>
            <w:tcW w:w="990" w:type="dxa"/>
            <w:vAlign w:val="bottom"/>
          </w:tcPr>
          <w:p w14:paraId="16C0C5F3" w14:textId="2E6D753A" w:rsidR="00907FAE" w:rsidRPr="0067507D" w:rsidRDefault="00C30F42" w:rsidP="006B3412">
            <w:pPr>
              <w:pStyle w:val="Tabletextheadingrightbold"/>
            </w:pPr>
            <w:r w:rsidRPr="0067507D">
              <w:t>2024</w:t>
            </w:r>
            <w:r w:rsidR="006A5485">
              <w:noBreakHyphen/>
            </w:r>
            <w:r w:rsidRPr="0067507D">
              <w:t>25</w:t>
            </w:r>
            <w:r w:rsidR="00907FAE" w:rsidRPr="0067507D">
              <w:t xml:space="preserve"> target</w:t>
            </w:r>
          </w:p>
        </w:tc>
        <w:tc>
          <w:tcPr>
            <w:cnfStyle w:val="000001000000" w:firstRow="0" w:lastRow="0" w:firstColumn="0" w:lastColumn="0" w:oddVBand="0" w:evenVBand="1" w:oddHBand="0" w:evenHBand="0" w:firstRowFirstColumn="0" w:firstRowLastColumn="0" w:lastRowFirstColumn="0" w:lastRowLastColumn="0"/>
            <w:tcW w:w="1258" w:type="dxa"/>
            <w:vAlign w:val="bottom"/>
          </w:tcPr>
          <w:p w14:paraId="7C76BF89" w14:textId="77777777" w:rsidR="00907FAE" w:rsidRPr="0067507D" w:rsidRDefault="00907FAE" w:rsidP="006B3412">
            <w:pPr>
              <w:pStyle w:val="Tabletextheadingright"/>
              <w:rPr>
                <w:szCs w:val="16"/>
              </w:rPr>
            </w:pPr>
            <w:r w:rsidRPr="0067507D">
              <w:rPr>
                <w:szCs w:val="16"/>
              </w:rPr>
              <w:t>Performance variation (%)</w:t>
            </w:r>
          </w:p>
        </w:tc>
        <w:tc>
          <w:tcPr>
            <w:cnfStyle w:val="000010000000" w:firstRow="0" w:lastRow="0" w:firstColumn="0" w:lastColumn="0" w:oddVBand="1" w:evenVBand="0" w:oddHBand="0" w:evenHBand="0" w:firstRowFirstColumn="0" w:firstRowLastColumn="0" w:lastRowFirstColumn="0" w:lastRowLastColumn="0"/>
            <w:tcW w:w="961" w:type="dxa"/>
            <w:vAlign w:val="bottom"/>
          </w:tcPr>
          <w:p w14:paraId="729ED6D0" w14:textId="7A198474" w:rsidR="00907FAE" w:rsidRPr="0067507D" w:rsidRDefault="00907FAE" w:rsidP="006B3412">
            <w:pPr>
              <w:pStyle w:val="Tabletextheadingrightbold"/>
            </w:pPr>
            <w:r w:rsidRPr="0067507D">
              <w:t xml:space="preserve">Result </w:t>
            </w:r>
          </w:p>
        </w:tc>
      </w:tr>
      <w:tr w:rsidR="00E26BDE" w:rsidRPr="0067507D" w14:paraId="73C63BC0"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19859660" w14:textId="3C66AA4A" w:rsidR="00F05844" w:rsidRPr="0067507D" w:rsidRDefault="00F05844" w:rsidP="00F05844">
            <w:pPr>
              <w:pStyle w:val="Tabletextheadingleft"/>
            </w:pPr>
            <w:r w:rsidRPr="0067507D">
              <w:t>Quantity</w:t>
            </w:r>
          </w:p>
        </w:tc>
        <w:tc>
          <w:tcPr>
            <w:cnfStyle w:val="000010000000" w:firstRow="0" w:lastRow="0" w:firstColumn="0" w:lastColumn="0" w:oddVBand="1" w:evenVBand="0" w:oddHBand="0" w:evenHBand="0" w:firstRowFirstColumn="0" w:firstRowLastColumn="0" w:lastRowFirstColumn="0" w:lastRowLastColumn="0"/>
            <w:tcW w:w="1026" w:type="dxa"/>
          </w:tcPr>
          <w:p w14:paraId="34E69002" w14:textId="77777777" w:rsidR="00F05844" w:rsidRPr="0067507D" w:rsidRDefault="00F05844" w:rsidP="00F05844">
            <w:pPr>
              <w:pStyle w:val="Tabletextcentred"/>
            </w:pPr>
          </w:p>
        </w:tc>
        <w:tc>
          <w:tcPr>
            <w:cnfStyle w:val="000001000000" w:firstRow="0" w:lastRow="0" w:firstColumn="0" w:lastColumn="0" w:oddVBand="0" w:evenVBand="1" w:oddHBand="0" w:evenHBand="0" w:firstRowFirstColumn="0" w:firstRowLastColumn="0" w:lastRowFirstColumn="0" w:lastRowLastColumn="0"/>
            <w:tcW w:w="1010" w:type="dxa"/>
          </w:tcPr>
          <w:p w14:paraId="0C2F59DF"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990" w:type="dxa"/>
          </w:tcPr>
          <w:p w14:paraId="0F977BE2" w14:textId="77777777" w:rsidR="00F05844" w:rsidRPr="0067507D" w:rsidRDefault="00F05844" w:rsidP="00F05844">
            <w:pPr>
              <w:pStyle w:val="Tabletextright"/>
            </w:pPr>
          </w:p>
        </w:tc>
        <w:tc>
          <w:tcPr>
            <w:cnfStyle w:val="000001000000" w:firstRow="0" w:lastRow="0" w:firstColumn="0" w:lastColumn="0" w:oddVBand="0" w:evenVBand="1" w:oddHBand="0" w:evenHBand="0" w:firstRowFirstColumn="0" w:firstRowLastColumn="0" w:lastRowFirstColumn="0" w:lastRowLastColumn="0"/>
            <w:tcW w:w="1258" w:type="dxa"/>
          </w:tcPr>
          <w:p w14:paraId="41784599"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961" w:type="dxa"/>
          </w:tcPr>
          <w:p w14:paraId="3E12D6C6" w14:textId="77777777" w:rsidR="00F05844" w:rsidRPr="0067507D" w:rsidRDefault="00F05844" w:rsidP="00F05844">
            <w:pPr>
              <w:pStyle w:val="Tabletextright"/>
            </w:pPr>
          </w:p>
        </w:tc>
      </w:tr>
      <w:tr w:rsidR="00E26BDE" w:rsidRPr="0067507D" w14:paraId="670F242E"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40C61588" w14:textId="77777777" w:rsidR="00F05844" w:rsidRPr="0067507D" w:rsidRDefault="00F05844" w:rsidP="00F05844">
            <w:pPr>
              <w:pStyle w:val="Tabletext"/>
              <w:rPr>
                <w:iCs/>
              </w:rPr>
            </w:pPr>
            <w:r w:rsidRPr="0067507D">
              <w:rPr>
                <w:iCs/>
              </w:rPr>
              <w:t>Economic research projects and papers completed that contribute to deeper understanding of economic issues and development of government policy</w:t>
            </w:r>
          </w:p>
          <w:p w14:paraId="16EF1C14" w14:textId="20D76F19" w:rsidR="00F05844" w:rsidRPr="0067507D" w:rsidRDefault="004F61EF" w:rsidP="00032045">
            <w:pPr>
              <w:pStyle w:val="Tabletextnotes"/>
            </w:pPr>
            <w:r w:rsidRPr="0067507D">
              <w:t>The 2024</w:t>
            </w:r>
            <w:r w:rsidR="006A5485">
              <w:noBreakHyphen/>
            </w:r>
            <w:r w:rsidRPr="0067507D">
              <w:t>25 actual is higher than the target due to projects that commenced in 2023</w:t>
            </w:r>
            <w:r w:rsidR="006A5485">
              <w:noBreakHyphen/>
            </w:r>
            <w:r w:rsidRPr="0067507D">
              <w:t>24 and were finalised in 2024</w:t>
            </w:r>
            <w:r w:rsidR="006A5485">
              <w:noBreakHyphen/>
            </w:r>
            <w:r w:rsidRPr="0067507D">
              <w:t>25.</w:t>
            </w:r>
          </w:p>
        </w:tc>
        <w:tc>
          <w:tcPr>
            <w:cnfStyle w:val="000010000000" w:firstRow="0" w:lastRow="0" w:firstColumn="0" w:lastColumn="0" w:oddVBand="1" w:evenVBand="0" w:oddHBand="0" w:evenHBand="0" w:firstRowFirstColumn="0" w:firstRowLastColumn="0" w:lastRowFirstColumn="0" w:lastRowLastColumn="0"/>
            <w:tcW w:w="1026" w:type="dxa"/>
          </w:tcPr>
          <w:p w14:paraId="6E14F152" w14:textId="0DC65E53"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10" w:type="dxa"/>
          </w:tcPr>
          <w:p w14:paraId="347AD0A0" w14:textId="41AB5DD7" w:rsidR="00F05844" w:rsidRPr="0067507D" w:rsidRDefault="00A27F03" w:rsidP="00F05844">
            <w:pPr>
              <w:pStyle w:val="Tabletextright"/>
            </w:pPr>
            <w:r w:rsidRPr="0067507D">
              <w:t>10</w:t>
            </w:r>
          </w:p>
        </w:tc>
        <w:tc>
          <w:tcPr>
            <w:cnfStyle w:val="000010000000" w:firstRow="0" w:lastRow="0" w:firstColumn="0" w:lastColumn="0" w:oddVBand="1" w:evenVBand="0" w:oddHBand="0" w:evenHBand="0" w:firstRowFirstColumn="0" w:firstRowLastColumn="0" w:lastRowFirstColumn="0" w:lastRowLastColumn="0"/>
            <w:tcW w:w="990" w:type="dxa"/>
          </w:tcPr>
          <w:p w14:paraId="66A24B16" w14:textId="0E1D431D" w:rsidR="00F05844" w:rsidRPr="0067507D" w:rsidRDefault="00F05844" w:rsidP="00F05844">
            <w:pPr>
              <w:pStyle w:val="Tabletextright"/>
            </w:pPr>
            <w:r w:rsidRPr="0067507D">
              <w:rPr>
                <w:iCs/>
              </w:rPr>
              <w:t>8</w:t>
            </w:r>
          </w:p>
        </w:tc>
        <w:tc>
          <w:tcPr>
            <w:cnfStyle w:val="000001000000" w:firstRow="0" w:lastRow="0" w:firstColumn="0" w:lastColumn="0" w:oddVBand="0" w:evenVBand="1" w:oddHBand="0" w:evenHBand="0" w:firstRowFirstColumn="0" w:firstRowLastColumn="0" w:lastRowFirstColumn="0" w:lastRowLastColumn="0"/>
            <w:tcW w:w="1258" w:type="dxa"/>
          </w:tcPr>
          <w:p w14:paraId="7B277756" w14:textId="3405F7F5" w:rsidR="00F05844" w:rsidRPr="0067507D" w:rsidRDefault="00F74CBF" w:rsidP="00F05844">
            <w:pPr>
              <w:pStyle w:val="Tabletextright"/>
            </w:pPr>
            <w:r w:rsidRPr="0067507D">
              <w:t>25</w:t>
            </w:r>
          </w:p>
        </w:tc>
        <w:tc>
          <w:tcPr>
            <w:cnfStyle w:val="000010000000" w:firstRow="0" w:lastRow="0" w:firstColumn="0" w:lastColumn="0" w:oddVBand="1" w:evenVBand="0" w:oddHBand="0" w:evenHBand="0" w:firstRowFirstColumn="0" w:firstRowLastColumn="0" w:lastRowFirstColumn="0" w:lastRowLastColumn="0"/>
            <w:tcW w:w="961" w:type="dxa"/>
          </w:tcPr>
          <w:p w14:paraId="341A111C" w14:textId="77777777" w:rsidR="00F05844" w:rsidRPr="0067507D" w:rsidRDefault="00F05844" w:rsidP="004956C8">
            <w:pPr>
              <w:pStyle w:val="TargetMet"/>
            </w:pPr>
          </w:p>
        </w:tc>
      </w:tr>
      <w:tr w:rsidR="00E26BDE" w:rsidRPr="0067507D" w14:paraId="7A41FF07"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4EC95984" w14:textId="33702629" w:rsidR="00F05844" w:rsidRPr="0067507D" w:rsidRDefault="00F05844" w:rsidP="00F05844">
            <w:pPr>
              <w:pStyle w:val="Tabletext"/>
              <w:rPr>
                <w:iCs/>
              </w:rPr>
            </w:pPr>
            <w:r w:rsidRPr="0067507D">
              <w:rPr>
                <w:iCs/>
              </w:rPr>
              <w:t>High</w:t>
            </w:r>
            <w:r w:rsidR="006A5485">
              <w:rPr>
                <w:iCs/>
              </w:rPr>
              <w:noBreakHyphen/>
            </w:r>
            <w:r w:rsidRPr="0067507D">
              <w:rPr>
                <w:iCs/>
              </w:rPr>
              <w:t>level engagement with non</w:t>
            </w:r>
            <w:r w:rsidR="006A5485">
              <w:rPr>
                <w:iCs/>
              </w:rPr>
              <w:noBreakHyphen/>
            </w:r>
            <w:r w:rsidRPr="0067507D">
              <w:rPr>
                <w:iCs/>
              </w:rPr>
              <w:t>Victorian Public Service stakeholder groups that contributes to public policy debate</w:t>
            </w:r>
          </w:p>
          <w:p w14:paraId="4AEBDDB7" w14:textId="498C14BD" w:rsidR="00F05844" w:rsidRPr="0067507D" w:rsidRDefault="00A731C0" w:rsidP="00032045">
            <w:pPr>
              <w:pStyle w:val="Tabletextnotes"/>
            </w:pPr>
            <w:r w:rsidRPr="0067507D">
              <w:t>The 2024</w:t>
            </w:r>
            <w:r w:rsidR="006A5485">
              <w:noBreakHyphen/>
            </w:r>
            <w:r w:rsidRPr="0067507D">
              <w:t>25 actual is higher than the target due to consultation relating to the Economic Growth Statement, Emergency Services and Volunteers Fund, and Early Intervention Investment Framework program implementation.</w:t>
            </w:r>
          </w:p>
        </w:tc>
        <w:tc>
          <w:tcPr>
            <w:cnfStyle w:val="000010000000" w:firstRow="0" w:lastRow="0" w:firstColumn="0" w:lastColumn="0" w:oddVBand="1" w:evenVBand="0" w:oddHBand="0" w:evenHBand="0" w:firstRowFirstColumn="0" w:firstRowLastColumn="0" w:lastRowFirstColumn="0" w:lastRowLastColumn="0"/>
            <w:tcW w:w="1026" w:type="dxa"/>
          </w:tcPr>
          <w:p w14:paraId="55A589A0" w14:textId="24603CCC"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10" w:type="dxa"/>
          </w:tcPr>
          <w:p w14:paraId="4A9D984A" w14:textId="44760B34" w:rsidR="00F05844" w:rsidRPr="0067507D" w:rsidRDefault="00F74CBF" w:rsidP="00F05844">
            <w:pPr>
              <w:pStyle w:val="Tabletextright"/>
            </w:pPr>
            <w:r w:rsidRPr="0067507D">
              <w:t>54</w:t>
            </w:r>
          </w:p>
        </w:tc>
        <w:tc>
          <w:tcPr>
            <w:cnfStyle w:val="000010000000" w:firstRow="0" w:lastRow="0" w:firstColumn="0" w:lastColumn="0" w:oddVBand="1" w:evenVBand="0" w:oddHBand="0" w:evenHBand="0" w:firstRowFirstColumn="0" w:firstRowLastColumn="0" w:lastRowFirstColumn="0" w:lastRowLastColumn="0"/>
            <w:tcW w:w="990" w:type="dxa"/>
          </w:tcPr>
          <w:p w14:paraId="1AE82E92" w14:textId="1B09321B" w:rsidR="00F05844" w:rsidRPr="0067507D" w:rsidRDefault="00F05844" w:rsidP="00F05844">
            <w:pPr>
              <w:pStyle w:val="Tabletextright"/>
            </w:pPr>
            <w:r w:rsidRPr="0067507D">
              <w:rPr>
                <w:iCs/>
              </w:rPr>
              <w:t>35</w:t>
            </w:r>
          </w:p>
        </w:tc>
        <w:tc>
          <w:tcPr>
            <w:cnfStyle w:val="000001000000" w:firstRow="0" w:lastRow="0" w:firstColumn="0" w:lastColumn="0" w:oddVBand="0" w:evenVBand="1" w:oddHBand="0" w:evenHBand="0" w:firstRowFirstColumn="0" w:firstRowLastColumn="0" w:lastRowFirstColumn="0" w:lastRowLastColumn="0"/>
            <w:tcW w:w="1258" w:type="dxa"/>
          </w:tcPr>
          <w:p w14:paraId="584F48CA" w14:textId="2BCB9B4A" w:rsidR="00F05844" w:rsidRPr="0067507D" w:rsidRDefault="00F74CBF" w:rsidP="00F05844">
            <w:pPr>
              <w:pStyle w:val="Tabletextright"/>
            </w:pPr>
            <w:r w:rsidRPr="0067507D">
              <w:t>54</w:t>
            </w:r>
          </w:p>
        </w:tc>
        <w:tc>
          <w:tcPr>
            <w:cnfStyle w:val="000010000000" w:firstRow="0" w:lastRow="0" w:firstColumn="0" w:lastColumn="0" w:oddVBand="1" w:evenVBand="0" w:oddHBand="0" w:evenHBand="0" w:firstRowFirstColumn="0" w:firstRowLastColumn="0" w:lastRowFirstColumn="0" w:lastRowLastColumn="0"/>
            <w:tcW w:w="961" w:type="dxa"/>
          </w:tcPr>
          <w:p w14:paraId="74A85E99" w14:textId="77777777" w:rsidR="00F05844" w:rsidRPr="0067507D" w:rsidRDefault="00F05844" w:rsidP="004956C8">
            <w:pPr>
              <w:pStyle w:val="TargetMet"/>
            </w:pPr>
          </w:p>
        </w:tc>
      </w:tr>
      <w:tr w:rsidR="00E26BDE" w:rsidRPr="0067507D" w14:paraId="68291BD0"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6F81BD77" w14:textId="77777777" w:rsidR="00F05844" w:rsidRPr="0067507D" w:rsidRDefault="00F05844" w:rsidP="00F05844">
            <w:pPr>
              <w:pStyle w:val="Tabletext"/>
              <w:rPr>
                <w:iCs/>
              </w:rPr>
            </w:pPr>
            <w:r w:rsidRPr="0067507D">
              <w:rPr>
                <w:iCs/>
              </w:rPr>
              <w:t>Regulation reviews completed</w:t>
            </w:r>
          </w:p>
          <w:p w14:paraId="50E19BAA" w14:textId="1C3BC5A0" w:rsidR="00F05844" w:rsidRPr="0067507D" w:rsidRDefault="005A528E" w:rsidP="00A42EAF">
            <w:pPr>
              <w:pStyle w:val="Tabletextnotes"/>
            </w:pPr>
            <w:r w:rsidRPr="0067507D">
              <w:t>The 2024</w:t>
            </w:r>
            <w:r w:rsidR="006A5485">
              <w:noBreakHyphen/>
            </w:r>
            <w:r w:rsidRPr="0067507D">
              <w:t>25 actual is higher than the target due to a higher than anticipated number of reviews undertaken in 2024</w:t>
            </w:r>
            <w:r w:rsidR="006A5485">
              <w:noBreakHyphen/>
            </w:r>
            <w:r w:rsidRPr="0067507D">
              <w:t>25.</w:t>
            </w:r>
          </w:p>
        </w:tc>
        <w:tc>
          <w:tcPr>
            <w:cnfStyle w:val="000010000000" w:firstRow="0" w:lastRow="0" w:firstColumn="0" w:lastColumn="0" w:oddVBand="1" w:evenVBand="0" w:oddHBand="0" w:evenHBand="0" w:firstRowFirstColumn="0" w:firstRowLastColumn="0" w:lastRowFirstColumn="0" w:lastRowLastColumn="0"/>
            <w:tcW w:w="1026" w:type="dxa"/>
          </w:tcPr>
          <w:p w14:paraId="7A1DA6CA" w14:textId="42389E32"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10" w:type="dxa"/>
          </w:tcPr>
          <w:p w14:paraId="5E949203" w14:textId="520FB027" w:rsidR="00F05844" w:rsidRPr="0067507D" w:rsidRDefault="0020557D" w:rsidP="00F05844">
            <w:pPr>
              <w:pStyle w:val="Tabletextright"/>
            </w:pPr>
            <w:r w:rsidRPr="0067507D">
              <w:t>8</w:t>
            </w:r>
          </w:p>
        </w:tc>
        <w:tc>
          <w:tcPr>
            <w:cnfStyle w:val="000010000000" w:firstRow="0" w:lastRow="0" w:firstColumn="0" w:lastColumn="0" w:oddVBand="1" w:evenVBand="0" w:oddHBand="0" w:evenHBand="0" w:firstRowFirstColumn="0" w:firstRowLastColumn="0" w:lastRowFirstColumn="0" w:lastRowLastColumn="0"/>
            <w:tcW w:w="990" w:type="dxa"/>
          </w:tcPr>
          <w:p w14:paraId="04B25609" w14:textId="1119BB89" w:rsidR="00F05844" w:rsidRPr="0067507D" w:rsidRDefault="00F05844" w:rsidP="00F05844">
            <w:pPr>
              <w:pStyle w:val="Tabletextright"/>
            </w:pPr>
            <w:r w:rsidRPr="0067507D">
              <w:rPr>
                <w:iCs/>
              </w:rPr>
              <w:t>6</w:t>
            </w:r>
          </w:p>
        </w:tc>
        <w:tc>
          <w:tcPr>
            <w:cnfStyle w:val="000001000000" w:firstRow="0" w:lastRow="0" w:firstColumn="0" w:lastColumn="0" w:oddVBand="0" w:evenVBand="1" w:oddHBand="0" w:evenHBand="0" w:firstRowFirstColumn="0" w:firstRowLastColumn="0" w:lastRowFirstColumn="0" w:lastRowLastColumn="0"/>
            <w:tcW w:w="1258" w:type="dxa"/>
          </w:tcPr>
          <w:p w14:paraId="489B3BAF" w14:textId="09BFAA1B" w:rsidR="00F05844" w:rsidRPr="0067507D" w:rsidRDefault="0020557D" w:rsidP="00F05844">
            <w:pPr>
              <w:pStyle w:val="Tabletextright"/>
            </w:pPr>
            <w:r w:rsidRPr="0067507D">
              <w:t>33</w:t>
            </w:r>
          </w:p>
        </w:tc>
        <w:tc>
          <w:tcPr>
            <w:cnfStyle w:val="000010000000" w:firstRow="0" w:lastRow="0" w:firstColumn="0" w:lastColumn="0" w:oddVBand="1" w:evenVBand="0" w:oddHBand="0" w:evenHBand="0" w:firstRowFirstColumn="0" w:firstRowLastColumn="0" w:lastRowFirstColumn="0" w:lastRowLastColumn="0"/>
            <w:tcW w:w="961" w:type="dxa"/>
          </w:tcPr>
          <w:p w14:paraId="064D8D0F" w14:textId="77777777" w:rsidR="00F05844" w:rsidRPr="0067507D" w:rsidRDefault="00F05844" w:rsidP="001857CC">
            <w:pPr>
              <w:pStyle w:val="TargetMet"/>
            </w:pPr>
          </w:p>
        </w:tc>
      </w:tr>
      <w:tr w:rsidR="00E26BDE" w:rsidRPr="0067507D" w14:paraId="7B34B060"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0C1CF094" w14:textId="233C224E" w:rsidR="00F05844" w:rsidRPr="0067507D" w:rsidRDefault="00F05844" w:rsidP="00F05844">
            <w:pPr>
              <w:pStyle w:val="Tabletextheadingleft"/>
            </w:pPr>
            <w:r w:rsidRPr="0067507D">
              <w:t>Quality</w:t>
            </w:r>
          </w:p>
        </w:tc>
        <w:tc>
          <w:tcPr>
            <w:cnfStyle w:val="000010000000" w:firstRow="0" w:lastRow="0" w:firstColumn="0" w:lastColumn="0" w:oddVBand="1" w:evenVBand="0" w:oddHBand="0" w:evenHBand="0" w:firstRowFirstColumn="0" w:firstRowLastColumn="0" w:lastRowFirstColumn="0" w:lastRowLastColumn="0"/>
            <w:tcW w:w="1026" w:type="dxa"/>
          </w:tcPr>
          <w:p w14:paraId="4D461476" w14:textId="33926351" w:rsidR="00F05844" w:rsidRPr="0067507D" w:rsidRDefault="00F05844" w:rsidP="00F05844">
            <w:pPr>
              <w:pStyle w:val="Tabletextcentred"/>
            </w:pPr>
          </w:p>
        </w:tc>
        <w:tc>
          <w:tcPr>
            <w:cnfStyle w:val="000001000000" w:firstRow="0" w:lastRow="0" w:firstColumn="0" w:lastColumn="0" w:oddVBand="0" w:evenVBand="1" w:oddHBand="0" w:evenHBand="0" w:firstRowFirstColumn="0" w:firstRowLastColumn="0" w:lastRowFirstColumn="0" w:lastRowLastColumn="0"/>
            <w:tcW w:w="1010" w:type="dxa"/>
          </w:tcPr>
          <w:p w14:paraId="148BE3A3" w14:textId="5608B7BB"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990" w:type="dxa"/>
          </w:tcPr>
          <w:p w14:paraId="55A8A5DA" w14:textId="556D1D45" w:rsidR="00F05844" w:rsidRPr="0067507D" w:rsidRDefault="00F05844" w:rsidP="00F05844">
            <w:pPr>
              <w:pStyle w:val="Tabletextright"/>
            </w:pPr>
          </w:p>
        </w:tc>
        <w:tc>
          <w:tcPr>
            <w:cnfStyle w:val="000001000000" w:firstRow="0" w:lastRow="0" w:firstColumn="0" w:lastColumn="0" w:oddVBand="0" w:evenVBand="1" w:oddHBand="0" w:evenHBand="0" w:firstRowFirstColumn="0" w:firstRowLastColumn="0" w:lastRowFirstColumn="0" w:lastRowLastColumn="0"/>
            <w:tcW w:w="1258" w:type="dxa"/>
          </w:tcPr>
          <w:p w14:paraId="41EF7A88" w14:textId="631FC8F4"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961" w:type="dxa"/>
          </w:tcPr>
          <w:p w14:paraId="1B3C812F" w14:textId="77777777" w:rsidR="00F05844" w:rsidRPr="0067507D" w:rsidRDefault="00F05844" w:rsidP="00F05844">
            <w:pPr>
              <w:pStyle w:val="Tabletextright"/>
            </w:pPr>
          </w:p>
        </w:tc>
      </w:tr>
      <w:tr w:rsidR="00E26BDE" w:rsidRPr="0067507D" w14:paraId="165FDC01"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2F5F5DF1" w14:textId="54FCD244" w:rsidR="00F05844" w:rsidRPr="0067507D" w:rsidRDefault="00F05844" w:rsidP="00F05844">
            <w:pPr>
              <w:pStyle w:val="Tabletext"/>
            </w:pPr>
            <w:r w:rsidRPr="0067507D">
              <w:rPr>
                <w:iCs/>
              </w:rPr>
              <w:t>Accuracy of estimating State taxation revenue in the State budget</w:t>
            </w:r>
          </w:p>
        </w:tc>
        <w:tc>
          <w:tcPr>
            <w:cnfStyle w:val="000010000000" w:firstRow="0" w:lastRow="0" w:firstColumn="0" w:lastColumn="0" w:oddVBand="1" w:evenVBand="0" w:oddHBand="0" w:evenHBand="0" w:firstRowFirstColumn="0" w:firstRowLastColumn="0" w:lastRowFirstColumn="0" w:lastRowLastColumn="0"/>
            <w:tcW w:w="1026" w:type="dxa"/>
          </w:tcPr>
          <w:p w14:paraId="78A3C52F" w14:textId="021B62EF" w:rsidR="00F05844" w:rsidRPr="0067507D" w:rsidRDefault="00F05844" w:rsidP="00F05844">
            <w:pPr>
              <w:pStyle w:val="Tabletextcentred"/>
            </w:pPr>
            <w:r w:rsidRPr="0067507D">
              <w:rPr>
                <w:iCs/>
              </w:rPr>
              <w:t>percentage variance</w:t>
            </w:r>
          </w:p>
        </w:tc>
        <w:tc>
          <w:tcPr>
            <w:cnfStyle w:val="000001000000" w:firstRow="0" w:lastRow="0" w:firstColumn="0" w:lastColumn="0" w:oddVBand="0" w:evenVBand="1" w:oddHBand="0" w:evenHBand="0" w:firstRowFirstColumn="0" w:firstRowLastColumn="0" w:lastRowFirstColumn="0" w:lastRowLastColumn="0"/>
            <w:tcW w:w="1010" w:type="dxa"/>
          </w:tcPr>
          <w:p w14:paraId="3DD085B9" w14:textId="3715D616" w:rsidR="00F05844" w:rsidRPr="0067507D" w:rsidRDefault="0033149E" w:rsidP="00F05844">
            <w:pPr>
              <w:pStyle w:val="Tabletextright"/>
            </w:pPr>
            <w:r w:rsidRPr="0067507D">
              <w:rPr>
                <w:iCs/>
              </w:rPr>
              <w:t>≤5.0</w:t>
            </w:r>
          </w:p>
        </w:tc>
        <w:tc>
          <w:tcPr>
            <w:cnfStyle w:val="000010000000" w:firstRow="0" w:lastRow="0" w:firstColumn="0" w:lastColumn="0" w:oddVBand="1" w:evenVBand="0" w:oddHBand="0" w:evenHBand="0" w:firstRowFirstColumn="0" w:firstRowLastColumn="0" w:lastRowFirstColumn="0" w:lastRowLastColumn="0"/>
            <w:tcW w:w="990" w:type="dxa"/>
          </w:tcPr>
          <w:p w14:paraId="03A6E88C" w14:textId="6FAF1156" w:rsidR="00F05844" w:rsidRPr="0067507D" w:rsidRDefault="00F05844" w:rsidP="00F05844">
            <w:pPr>
              <w:pStyle w:val="Tabletextright"/>
            </w:pPr>
            <w:r w:rsidRPr="0067507D">
              <w:rPr>
                <w:iCs/>
              </w:rPr>
              <w:t>≤5.0</w:t>
            </w:r>
          </w:p>
        </w:tc>
        <w:tc>
          <w:tcPr>
            <w:cnfStyle w:val="000001000000" w:firstRow="0" w:lastRow="0" w:firstColumn="0" w:lastColumn="0" w:oddVBand="0" w:evenVBand="1" w:oddHBand="0" w:evenHBand="0" w:firstRowFirstColumn="0" w:firstRowLastColumn="0" w:lastRowFirstColumn="0" w:lastRowLastColumn="0"/>
            <w:tcW w:w="1258" w:type="dxa"/>
          </w:tcPr>
          <w:p w14:paraId="3533EA46" w14:textId="61E3F9DB" w:rsidR="00F05844" w:rsidRPr="0067507D" w:rsidRDefault="008113F1" w:rsidP="00F05844">
            <w:pPr>
              <w:pStyle w:val="Tabletextright"/>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61" w:type="dxa"/>
          </w:tcPr>
          <w:p w14:paraId="23AF47BD" w14:textId="77777777" w:rsidR="00F05844" w:rsidRPr="0067507D" w:rsidRDefault="00F05844" w:rsidP="004956C8">
            <w:pPr>
              <w:pStyle w:val="TargetMet"/>
            </w:pPr>
          </w:p>
        </w:tc>
      </w:tr>
      <w:tr w:rsidR="00E26BDE" w:rsidRPr="0067507D" w14:paraId="7EF8C2DD"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4276360B" w14:textId="77777777" w:rsidR="00F05844" w:rsidRPr="0067507D" w:rsidRDefault="00F05844" w:rsidP="00F05844">
            <w:pPr>
              <w:pStyle w:val="Tabletext"/>
              <w:rPr>
                <w:iCs/>
              </w:rPr>
            </w:pPr>
            <w:r w:rsidRPr="0067507D">
              <w:rPr>
                <w:iCs/>
              </w:rPr>
              <w:t>Accuracy of estimating the employment growth rate in the State budget</w:t>
            </w:r>
          </w:p>
          <w:p w14:paraId="7687CAA2" w14:textId="2F6C6CA7" w:rsidR="00F05844" w:rsidRPr="0067507D" w:rsidRDefault="00E12B22" w:rsidP="004956C8">
            <w:pPr>
              <w:pStyle w:val="Tabletext"/>
              <w:ind w:left="196"/>
              <w:rPr>
                <w:sz w:val="13"/>
                <w:szCs w:val="13"/>
              </w:rPr>
            </w:pPr>
            <w:r w:rsidRPr="0067507D">
              <w:rPr>
                <w:sz w:val="13"/>
                <w:szCs w:val="13"/>
              </w:rPr>
              <w:t>The 2024</w:t>
            </w:r>
            <w:r w:rsidR="006A5485">
              <w:rPr>
                <w:sz w:val="13"/>
                <w:szCs w:val="13"/>
              </w:rPr>
              <w:noBreakHyphen/>
            </w:r>
            <w:r w:rsidRPr="0067507D">
              <w:rPr>
                <w:sz w:val="13"/>
                <w:szCs w:val="13"/>
              </w:rPr>
              <w:t>25 actual is higher than the target due to ongoing resilient labour demand.</w:t>
            </w:r>
          </w:p>
        </w:tc>
        <w:tc>
          <w:tcPr>
            <w:cnfStyle w:val="000010000000" w:firstRow="0" w:lastRow="0" w:firstColumn="0" w:lastColumn="0" w:oddVBand="1" w:evenVBand="0" w:oddHBand="0" w:evenHBand="0" w:firstRowFirstColumn="0" w:firstRowLastColumn="0" w:lastRowFirstColumn="0" w:lastRowLastColumn="0"/>
            <w:tcW w:w="1026" w:type="dxa"/>
          </w:tcPr>
          <w:p w14:paraId="52759280" w14:textId="668FB83F" w:rsidR="00F05844" w:rsidRPr="0067507D" w:rsidRDefault="00F05844" w:rsidP="00F05844">
            <w:pPr>
              <w:pStyle w:val="Tabletextcentred"/>
            </w:pPr>
            <w:r w:rsidRPr="0067507D">
              <w:rPr>
                <w:iCs/>
              </w:rPr>
              <w:t>percentage point variance</w:t>
            </w:r>
          </w:p>
        </w:tc>
        <w:tc>
          <w:tcPr>
            <w:cnfStyle w:val="000001000000" w:firstRow="0" w:lastRow="0" w:firstColumn="0" w:lastColumn="0" w:oddVBand="0" w:evenVBand="1" w:oddHBand="0" w:evenHBand="0" w:firstRowFirstColumn="0" w:firstRowLastColumn="0" w:lastRowFirstColumn="0" w:lastRowLastColumn="0"/>
            <w:tcW w:w="1010" w:type="dxa"/>
          </w:tcPr>
          <w:p w14:paraId="038216D7" w14:textId="5F288279" w:rsidR="00F05844" w:rsidRPr="0067507D" w:rsidRDefault="008F2210" w:rsidP="00F05844">
            <w:pPr>
              <w:pStyle w:val="Tabletextright"/>
            </w:pPr>
            <w:r w:rsidRPr="0067507D">
              <w:t>1.6</w:t>
            </w:r>
          </w:p>
        </w:tc>
        <w:tc>
          <w:tcPr>
            <w:cnfStyle w:val="000010000000" w:firstRow="0" w:lastRow="0" w:firstColumn="0" w:lastColumn="0" w:oddVBand="1" w:evenVBand="0" w:oddHBand="0" w:evenHBand="0" w:firstRowFirstColumn="0" w:firstRowLastColumn="0" w:lastRowFirstColumn="0" w:lastRowLastColumn="0"/>
            <w:tcW w:w="990" w:type="dxa"/>
          </w:tcPr>
          <w:p w14:paraId="30B2DD85" w14:textId="329C4053" w:rsidR="00F05844" w:rsidRPr="0067507D" w:rsidRDefault="00F05844" w:rsidP="00F05844">
            <w:pPr>
              <w:pStyle w:val="Tabletextright"/>
            </w:pPr>
            <w:r w:rsidRPr="0067507D">
              <w:rPr>
                <w:iCs/>
              </w:rPr>
              <w:t>≤1.0</w:t>
            </w:r>
          </w:p>
        </w:tc>
        <w:tc>
          <w:tcPr>
            <w:cnfStyle w:val="000001000000" w:firstRow="0" w:lastRow="0" w:firstColumn="0" w:lastColumn="0" w:oddVBand="0" w:evenVBand="1" w:oddHBand="0" w:evenHBand="0" w:firstRowFirstColumn="0" w:firstRowLastColumn="0" w:lastRowFirstColumn="0" w:lastRowLastColumn="0"/>
            <w:tcW w:w="1258" w:type="dxa"/>
          </w:tcPr>
          <w:p w14:paraId="58E8FF9F" w14:textId="66967F09" w:rsidR="00F05844" w:rsidRPr="0067507D" w:rsidRDefault="008F2210" w:rsidP="00F05844">
            <w:pPr>
              <w:pStyle w:val="Tabletextright"/>
            </w:pPr>
            <w:r w:rsidRPr="0067507D">
              <w:t>60</w:t>
            </w:r>
          </w:p>
        </w:tc>
        <w:tc>
          <w:tcPr>
            <w:cnfStyle w:val="000010000000" w:firstRow="0" w:lastRow="0" w:firstColumn="0" w:lastColumn="0" w:oddVBand="1" w:evenVBand="0" w:oddHBand="0" w:evenHBand="0" w:firstRowFirstColumn="0" w:firstRowLastColumn="0" w:lastRowFirstColumn="0" w:lastRowLastColumn="0"/>
            <w:tcW w:w="961" w:type="dxa"/>
          </w:tcPr>
          <w:p w14:paraId="7DA35B76" w14:textId="77777777" w:rsidR="00F05844" w:rsidRPr="0067507D" w:rsidRDefault="00F05844" w:rsidP="004956C8">
            <w:pPr>
              <w:pStyle w:val="TargetMet"/>
            </w:pPr>
          </w:p>
        </w:tc>
      </w:tr>
      <w:tr w:rsidR="00E26BDE" w:rsidRPr="0067507D" w14:paraId="79659118"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21E3C481" w14:textId="7BAB4ADC" w:rsidR="00F05844" w:rsidRPr="0067507D" w:rsidRDefault="00F05844" w:rsidP="00F05844">
            <w:pPr>
              <w:pStyle w:val="Tabletext"/>
            </w:pPr>
            <w:r w:rsidRPr="0067507D">
              <w:t>Accuracy of estimating the gross state product growth rate in the State budget</w:t>
            </w:r>
          </w:p>
          <w:p w14:paraId="28588203" w14:textId="511CA319" w:rsidR="00F05844" w:rsidRPr="0067507D" w:rsidRDefault="00D337CF" w:rsidP="005D26AA">
            <w:pPr>
              <w:pStyle w:val="Tabletextnotes"/>
              <w:rPr>
                <w:rFonts w:eastAsia="Garamond"/>
                <w:highlight w:val="yellow"/>
              </w:rPr>
            </w:pPr>
            <w:r w:rsidRPr="0067507D">
              <w:t>The gross state product growth estimate will be available when the ABS State Accounts are released in November 2025.</w:t>
            </w:r>
          </w:p>
        </w:tc>
        <w:tc>
          <w:tcPr>
            <w:cnfStyle w:val="000010000000" w:firstRow="0" w:lastRow="0" w:firstColumn="0" w:lastColumn="0" w:oddVBand="1" w:evenVBand="0" w:oddHBand="0" w:evenHBand="0" w:firstRowFirstColumn="0" w:firstRowLastColumn="0" w:lastRowFirstColumn="0" w:lastRowLastColumn="0"/>
            <w:tcW w:w="1026" w:type="dxa"/>
          </w:tcPr>
          <w:p w14:paraId="66806BF4" w14:textId="097A85BA" w:rsidR="00F05844" w:rsidRPr="0067507D" w:rsidRDefault="00F05844" w:rsidP="00F05844">
            <w:pPr>
              <w:pStyle w:val="Tabletextcentred"/>
              <w:rPr>
                <w:rFonts w:eastAsia="Garamond"/>
              </w:rPr>
            </w:pPr>
            <w:r w:rsidRPr="0067507D">
              <w:rPr>
                <w:iCs/>
              </w:rPr>
              <w:t>percentage point variance</w:t>
            </w:r>
          </w:p>
        </w:tc>
        <w:tc>
          <w:tcPr>
            <w:cnfStyle w:val="000001000000" w:firstRow="0" w:lastRow="0" w:firstColumn="0" w:lastColumn="0" w:oddVBand="0" w:evenVBand="1" w:oddHBand="0" w:evenHBand="0" w:firstRowFirstColumn="0" w:firstRowLastColumn="0" w:lastRowFirstColumn="0" w:lastRowLastColumn="0"/>
            <w:tcW w:w="1010" w:type="dxa"/>
          </w:tcPr>
          <w:p w14:paraId="67BA58B0" w14:textId="4206BD30" w:rsidR="00F05844" w:rsidRPr="0067507D" w:rsidRDefault="00484A88" w:rsidP="00F05844">
            <w:pPr>
              <w:pStyle w:val="Tabletextright"/>
              <w:rPr>
                <w:rFonts w:eastAsia="Garamond"/>
                <w:szCs w:val="24"/>
              </w:rPr>
            </w:pPr>
            <w:r w:rsidRPr="0067507D">
              <w:rPr>
                <w:rFonts w:eastAsia="Garamond"/>
                <w:szCs w:val="24"/>
              </w:rPr>
              <w:t>n/a</w:t>
            </w:r>
          </w:p>
        </w:tc>
        <w:tc>
          <w:tcPr>
            <w:cnfStyle w:val="000010000000" w:firstRow="0" w:lastRow="0" w:firstColumn="0" w:lastColumn="0" w:oddVBand="1" w:evenVBand="0" w:oddHBand="0" w:evenHBand="0" w:firstRowFirstColumn="0" w:firstRowLastColumn="0" w:lastRowFirstColumn="0" w:lastRowLastColumn="0"/>
            <w:tcW w:w="990" w:type="dxa"/>
          </w:tcPr>
          <w:p w14:paraId="72E94B19" w14:textId="3C68F954" w:rsidR="00F05844" w:rsidRPr="0067507D" w:rsidRDefault="00F05844" w:rsidP="00F05844">
            <w:pPr>
              <w:pStyle w:val="Tabletextright"/>
              <w:rPr>
                <w:rFonts w:eastAsia="Garamond"/>
                <w:szCs w:val="24"/>
              </w:rPr>
            </w:pPr>
            <w:r w:rsidRPr="0067507D">
              <w:rPr>
                <w:iCs/>
              </w:rPr>
              <w:t>≤1</w:t>
            </w:r>
          </w:p>
        </w:tc>
        <w:tc>
          <w:tcPr>
            <w:cnfStyle w:val="000001000000" w:firstRow="0" w:lastRow="0" w:firstColumn="0" w:lastColumn="0" w:oddVBand="0" w:evenVBand="1" w:oddHBand="0" w:evenHBand="0" w:firstRowFirstColumn="0" w:firstRowLastColumn="0" w:lastRowFirstColumn="0" w:lastRowLastColumn="0"/>
            <w:tcW w:w="1258" w:type="dxa"/>
          </w:tcPr>
          <w:p w14:paraId="7AF30540" w14:textId="632BF98E" w:rsidR="00F05844" w:rsidRPr="0067507D" w:rsidRDefault="003E68C0" w:rsidP="00F05844">
            <w:pPr>
              <w:pStyle w:val="Tabletextright"/>
              <w:rPr>
                <w:rFonts w:eastAsia="Garamond"/>
                <w:szCs w:val="24"/>
              </w:rPr>
            </w:pPr>
            <w:r w:rsidRPr="0067507D">
              <w:rPr>
                <w:rFonts w:eastAsia="Garamond"/>
                <w:szCs w:val="24"/>
              </w:rPr>
              <w:t>n/a</w:t>
            </w:r>
          </w:p>
        </w:tc>
        <w:tc>
          <w:tcPr>
            <w:cnfStyle w:val="000010000000" w:firstRow="0" w:lastRow="0" w:firstColumn="0" w:lastColumn="0" w:oddVBand="1" w:evenVBand="0" w:oddHBand="0" w:evenHBand="0" w:firstRowFirstColumn="0" w:firstRowLastColumn="0" w:lastRowFirstColumn="0" w:lastRowLastColumn="0"/>
            <w:tcW w:w="961" w:type="dxa"/>
          </w:tcPr>
          <w:p w14:paraId="581D5C2A" w14:textId="244811FF" w:rsidR="00F05844" w:rsidRPr="0067507D" w:rsidRDefault="003E68C0" w:rsidP="00F05844">
            <w:pPr>
              <w:pStyle w:val="Tabletextright"/>
              <w:rPr>
                <w:rFonts w:eastAsia="Garamond"/>
                <w:szCs w:val="24"/>
              </w:rPr>
            </w:pPr>
            <w:r w:rsidRPr="0067507D">
              <w:rPr>
                <w:rFonts w:eastAsia="Garamond"/>
                <w:szCs w:val="24"/>
              </w:rPr>
              <w:t>n/a</w:t>
            </w:r>
          </w:p>
        </w:tc>
      </w:tr>
      <w:tr w:rsidR="00E26BDE" w:rsidRPr="0067507D" w14:paraId="45585145"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487C3DC1" w14:textId="2231CD4E" w:rsidR="00F05844" w:rsidRPr="0067507D" w:rsidRDefault="00F05844" w:rsidP="00F05844">
            <w:pPr>
              <w:pStyle w:val="Tabletext"/>
              <w:rPr>
                <w:rFonts w:eastAsia="Garamond"/>
              </w:rPr>
            </w:pPr>
            <w:r w:rsidRPr="0067507D">
              <w:rPr>
                <w:iCs/>
              </w:rPr>
              <w:t>Benefit to business (including through red tape savings) as a ratio of grant funding from the Business Acceleration Fund</w:t>
            </w:r>
          </w:p>
        </w:tc>
        <w:tc>
          <w:tcPr>
            <w:cnfStyle w:val="000010000000" w:firstRow="0" w:lastRow="0" w:firstColumn="0" w:lastColumn="0" w:oddVBand="1" w:evenVBand="0" w:oddHBand="0" w:evenHBand="0" w:firstRowFirstColumn="0" w:firstRowLastColumn="0" w:lastRowFirstColumn="0" w:lastRowLastColumn="0"/>
            <w:tcW w:w="1026" w:type="dxa"/>
          </w:tcPr>
          <w:p w14:paraId="6159EEA7" w14:textId="6B9DEF3E" w:rsidR="00F05844" w:rsidRPr="0067507D" w:rsidRDefault="00F05844" w:rsidP="00F05844">
            <w:pPr>
              <w:pStyle w:val="Tabletextcentred"/>
              <w:rPr>
                <w:rFonts w:eastAsia="Garamond"/>
              </w:rPr>
            </w:pPr>
            <w:r w:rsidRPr="0067507D">
              <w:rPr>
                <w:iCs/>
              </w:rPr>
              <w:t>ratio</w:t>
            </w:r>
          </w:p>
        </w:tc>
        <w:tc>
          <w:tcPr>
            <w:cnfStyle w:val="000001000000" w:firstRow="0" w:lastRow="0" w:firstColumn="0" w:lastColumn="0" w:oddVBand="0" w:evenVBand="1" w:oddHBand="0" w:evenHBand="0" w:firstRowFirstColumn="0" w:firstRowLastColumn="0" w:lastRowFirstColumn="0" w:lastRowLastColumn="0"/>
            <w:tcW w:w="1010" w:type="dxa"/>
          </w:tcPr>
          <w:p w14:paraId="522558D4" w14:textId="63EEFD40" w:rsidR="00F05844" w:rsidRPr="0067507D" w:rsidRDefault="00AF4EB6" w:rsidP="00F05844">
            <w:pPr>
              <w:pStyle w:val="Tabletextright"/>
              <w:rPr>
                <w:rFonts w:eastAsia="Garamond"/>
                <w:szCs w:val="24"/>
              </w:rPr>
            </w:pPr>
            <w:r w:rsidRPr="0067507D">
              <w:rPr>
                <w:rFonts w:eastAsia="Garamond"/>
                <w:szCs w:val="24"/>
              </w:rPr>
              <w:t>2:1</w:t>
            </w:r>
          </w:p>
        </w:tc>
        <w:tc>
          <w:tcPr>
            <w:cnfStyle w:val="000010000000" w:firstRow="0" w:lastRow="0" w:firstColumn="0" w:lastColumn="0" w:oddVBand="1" w:evenVBand="0" w:oddHBand="0" w:evenHBand="0" w:firstRowFirstColumn="0" w:firstRowLastColumn="0" w:lastRowFirstColumn="0" w:lastRowLastColumn="0"/>
            <w:tcW w:w="990" w:type="dxa"/>
          </w:tcPr>
          <w:p w14:paraId="7DCDA6E3" w14:textId="24F0096C" w:rsidR="00F05844" w:rsidRPr="0067507D" w:rsidRDefault="00F05844" w:rsidP="00F05844">
            <w:pPr>
              <w:pStyle w:val="Tabletextright"/>
              <w:rPr>
                <w:rFonts w:eastAsia="Garamond"/>
                <w:szCs w:val="24"/>
              </w:rPr>
            </w:pPr>
            <w:r w:rsidRPr="0067507D">
              <w:rPr>
                <w:iCs/>
              </w:rPr>
              <w:t>2:1</w:t>
            </w:r>
          </w:p>
        </w:tc>
        <w:tc>
          <w:tcPr>
            <w:cnfStyle w:val="000001000000" w:firstRow="0" w:lastRow="0" w:firstColumn="0" w:lastColumn="0" w:oddVBand="0" w:evenVBand="1" w:oddHBand="0" w:evenHBand="0" w:firstRowFirstColumn="0" w:firstRowLastColumn="0" w:lastRowFirstColumn="0" w:lastRowLastColumn="0"/>
            <w:tcW w:w="1258" w:type="dxa"/>
          </w:tcPr>
          <w:p w14:paraId="5588458E" w14:textId="006F9046" w:rsidR="00F05844" w:rsidRPr="0067507D" w:rsidRDefault="008113F1" w:rsidP="00F05844">
            <w:pPr>
              <w:pStyle w:val="Tabletextright"/>
              <w:rPr>
                <w:rFonts w:eastAsia="Garamond"/>
                <w:szCs w:val="24"/>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61" w:type="dxa"/>
          </w:tcPr>
          <w:p w14:paraId="67E1326C" w14:textId="77777777" w:rsidR="00F05844" w:rsidRPr="0067507D" w:rsidRDefault="00F05844" w:rsidP="001857CC">
            <w:pPr>
              <w:pStyle w:val="TargetMet"/>
              <w:rPr>
                <w:rFonts w:eastAsia="Garamond"/>
              </w:rPr>
            </w:pPr>
          </w:p>
        </w:tc>
      </w:tr>
      <w:tr w:rsidR="00E26BDE" w:rsidRPr="0067507D" w14:paraId="0368C32F"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5942D549" w14:textId="77777777" w:rsidR="00F05844" w:rsidRPr="0067507D" w:rsidRDefault="00F05844" w:rsidP="00FD7B55">
            <w:pPr>
              <w:pStyle w:val="Tabletext"/>
              <w:keepNext/>
              <w:rPr>
                <w:iCs/>
              </w:rPr>
            </w:pPr>
            <w:r w:rsidRPr="0067507D">
              <w:rPr>
                <w:iCs/>
              </w:rPr>
              <w:t>Better Regulation Victoria’s support for preparing Regulatory Impact Statements or Legislative Impact Assessments was valuable overall, as assessed by departments</w:t>
            </w:r>
          </w:p>
          <w:p w14:paraId="68329D74" w14:textId="1F1CD8B2" w:rsidR="00F05844" w:rsidRPr="0067507D" w:rsidRDefault="00C83A15" w:rsidP="00A42EAF">
            <w:pPr>
              <w:pStyle w:val="Tabletextnotes"/>
            </w:pPr>
            <w:r w:rsidRPr="0067507D">
              <w:t>The 2024</w:t>
            </w:r>
            <w:r w:rsidR="006A5485">
              <w:noBreakHyphen/>
            </w:r>
            <w:r w:rsidRPr="0067507D">
              <w:t xml:space="preserve">25 actual is higher than the target due to a </w:t>
            </w:r>
            <w:r w:rsidR="00C062EB" w:rsidRPr="0067507D">
              <w:t>higher</w:t>
            </w:r>
            <w:r w:rsidR="006A5485">
              <w:noBreakHyphen/>
            </w:r>
            <w:r w:rsidR="00C062EB" w:rsidRPr="0067507D">
              <w:t>than</w:t>
            </w:r>
            <w:r w:rsidR="006A5485">
              <w:noBreakHyphen/>
            </w:r>
            <w:r w:rsidR="00C062EB" w:rsidRPr="0067507D">
              <w:t>expected</w:t>
            </w:r>
            <w:r w:rsidRPr="0067507D">
              <w:t xml:space="preserve"> number of department responses indicating Better Regulation Victoria</w:t>
            </w:r>
            <w:r w:rsidR="007E535D" w:rsidRPr="0067507D">
              <w:t>’</w:t>
            </w:r>
            <w:r w:rsidRPr="0067507D">
              <w:t>s advice on Regulatory Impact Statements or Legislative Impact Assessments was useful.</w:t>
            </w:r>
          </w:p>
        </w:tc>
        <w:tc>
          <w:tcPr>
            <w:cnfStyle w:val="000010000000" w:firstRow="0" w:lastRow="0" w:firstColumn="0" w:lastColumn="0" w:oddVBand="1" w:evenVBand="0" w:oddHBand="0" w:evenHBand="0" w:firstRowFirstColumn="0" w:firstRowLastColumn="0" w:lastRowFirstColumn="0" w:lastRowLastColumn="0"/>
            <w:tcW w:w="1026" w:type="dxa"/>
          </w:tcPr>
          <w:p w14:paraId="78CF5FBA" w14:textId="2F8A1D8B" w:rsidR="00F05844" w:rsidRPr="0067507D" w:rsidRDefault="00F05844" w:rsidP="00F0584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10" w:type="dxa"/>
          </w:tcPr>
          <w:p w14:paraId="469854B0" w14:textId="13690C80" w:rsidR="00F05844" w:rsidRPr="0067507D" w:rsidRDefault="007F5B41" w:rsidP="00F05844">
            <w:pPr>
              <w:pStyle w:val="Tabletextright"/>
              <w:rPr>
                <w:rFonts w:eastAsia="Garamond"/>
                <w:szCs w:val="24"/>
              </w:rPr>
            </w:pPr>
            <w:r w:rsidRPr="0067507D">
              <w:rPr>
                <w:rFonts w:eastAsia="Garamond"/>
                <w:szCs w:val="24"/>
              </w:rPr>
              <w:t>100</w:t>
            </w:r>
          </w:p>
        </w:tc>
        <w:tc>
          <w:tcPr>
            <w:cnfStyle w:val="000010000000" w:firstRow="0" w:lastRow="0" w:firstColumn="0" w:lastColumn="0" w:oddVBand="1" w:evenVBand="0" w:oddHBand="0" w:evenHBand="0" w:firstRowFirstColumn="0" w:firstRowLastColumn="0" w:lastRowFirstColumn="0" w:lastRowLastColumn="0"/>
            <w:tcW w:w="990" w:type="dxa"/>
          </w:tcPr>
          <w:p w14:paraId="5CF5AFFD" w14:textId="609C3948" w:rsidR="00F05844" w:rsidRPr="0067507D" w:rsidRDefault="00F05844" w:rsidP="00F05844">
            <w:pPr>
              <w:pStyle w:val="Tabletextright"/>
              <w:rPr>
                <w:rFonts w:eastAsia="Garamond"/>
                <w:szCs w:val="24"/>
              </w:rPr>
            </w:pPr>
            <w:r w:rsidRPr="0067507D">
              <w:rPr>
                <w:iCs/>
              </w:rPr>
              <w:t>90</w:t>
            </w:r>
          </w:p>
        </w:tc>
        <w:tc>
          <w:tcPr>
            <w:cnfStyle w:val="000001000000" w:firstRow="0" w:lastRow="0" w:firstColumn="0" w:lastColumn="0" w:oddVBand="0" w:evenVBand="1" w:oddHBand="0" w:evenHBand="0" w:firstRowFirstColumn="0" w:firstRowLastColumn="0" w:lastRowFirstColumn="0" w:lastRowLastColumn="0"/>
            <w:tcW w:w="1258" w:type="dxa"/>
          </w:tcPr>
          <w:p w14:paraId="586D64C2" w14:textId="46EA5A9F" w:rsidR="00F05844" w:rsidRPr="0067507D" w:rsidRDefault="007F5B41" w:rsidP="00F05844">
            <w:pPr>
              <w:pStyle w:val="Tabletextright"/>
              <w:rPr>
                <w:rFonts w:eastAsia="Garamond"/>
                <w:szCs w:val="24"/>
              </w:rPr>
            </w:pPr>
            <w:r w:rsidRPr="0067507D">
              <w:rPr>
                <w:rFonts w:eastAsia="Garamond"/>
                <w:szCs w:val="24"/>
              </w:rPr>
              <w:t>1</w:t>
            </w:r>
            <w:r w:rsidR="00D248E5" w:rsidRPr="0067507D">
              <w:rPr>
                <w:rFonts w:eastAsia="Garamond"/>
                <w:szCs w:val="24"/>
              </w:rPr>
              <w:t>1</w:t>
            </w:r>
          </w:p>
        </w:tc>
        <w:tc>
          <w:tcPr>
            <w:cnfStyle w:val="000010000000" w:firstRow="0" w:lastRow="0" w:firstColumn="0" w:lastColumn="0" w:oddVBand="1" w:evenVBand="0" w:oddHBand="0" w:evenHBand="0" w:firstRowFirstColumn="0" w:firstRowLastColumn="0" w:lastRowFirstColumn="0" w:lastRowLastColumn="0"/>
            <w:tcW w:w="961" w:type="dxa"/>
          </w:tcPr>
          <w:p w14:paraId="77BF5D3C" w14:textId="77777777" w:rsidR="00F05844" w:rsidRPr="0067507D" w:rsidRDefault="00F05844" w:rsidP="001857CC">
            <w:pPr>
              <w:pStyle w:val="TargetMet"/>
              <w:rPr>
                <w:rFonts w:eastAsia="Garamond"/>
              </w:rPr>
            </w:pPr>
          </w:p>
        </w:tc>
      </w:tr>
      <w:tr w:rsidR="00E26BDE" w:rsidRPr="0067507D" w14:paraId="02D20D55"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6D245D21" w14:textId="77777777" w:rsidR="00F05844" w:rsidRPr="0067507D" w:rsidRDefault="00F05844" w:rsidP="00FD7B55">
            <w:pPr>
              <w:pStyle w:val="Tabletext"/>
              <w:rPr>
                <w:iCs/>
              </w:rPr>
            </w:pPr>
            <w:r w:rsidRPr="0067507D">
              <w:rPr>
                <w:iCs/>
              </w:rPr>
              <w:t>Conduct an annual survey to assess the impact of changes to Victorian regulations on business</w:t>
            </w:r>
          </w:p>
          <w:p w14:paraId="65148344" w14:textId="02A6E22B" w:rsidR="00F05844" w:rsidRPr="0067507D" w:rsidRDefault="00AE2618" w:rsidP="005D26AA">
            <w:pPr>
              <w:pStyle w:val="Tabletextnotes"/>
            </w:pPr>
            <w:r w:rsidRPr="0067507D">
              <w:t>The 2024</w:t>
            </w:r>
            <w:r w:rsidR="006A5485">
              <w:noBreakHyphen/>
            </w:r>
            <w:r w:rsidRPr="0067507D">
              <w:t>25 actual is lower than the target as the survey undertaken in previous years was not conducted due to methodological constraints in the survey. A survey is expected to resume in 2025</w:t>
            </w:r>
            <w:r w:rsidR="006A5485">
              <w:noBreakHyphen/>
            </w:r>
            <w:r w:rsidRPr="0067507D">
              <w:t>26.</w:t>
            </w:r>
          </w:p>
        </w:tc>
        <w:tc>
          <w:tcPr>
            <w:cnfStyle w:val="000010000000" w:firstRow="0" w:lastRow="0" w:firstColumn="0" w:lastColumn="0" w:oddVBand="1" w:evenVBand="0" w:oddHBand="0" w:evenHBand="0" w:firstRowFirstColumn="0" w:firstRowLastColumn="0" w:lastRowFirstColumn="0" w:lastRowLastColumn="0"/>
            <w:tcW w:w="1026" w:type="dxa"/>
          </w:tcPr>
          <w:p w14:paraId="5EFCB373" w14:textId="2FA73E8E" w:rsidR="00F05844" w:rsidRPr="0067507D" w:rsidRDefault="00F05844" w:rsidP="00F05844">
            <w:pPr>
              <w:pStyle w:val="Tabletextcentred"/>
              <w:rPr>
                <w:rFonts w:eastAsia="Garamond"/>
              </w:rPr>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10" w:type="dxa"/>
          </w:tcPr>
          <w:p w14:paraId="1F7D2443" w14:textId="5A83A0C0" w:rsidR="00F05844" w:rsidRPr="0067507D" w:rsidRDefault="008113F1" w:rsidP="00F05844">
            <w:pPr>
              <w:pStyle w:val="Tabletextright"/>
              <w:rPr>
                <w:rFonts w:eastAsia="Garamond"/>
                <w:szCs w:val="24"/>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1EE4DDE2" w14:textId="3E17A58D" w:rsidR="00F05844" w:rsidRPr="0067507D" w:rsidRDefault="00F05844" w:rsidP="00F05844">
            <w:pPr>
              <w:pStyle w:val="Tabletextright"/>
              <w:rPr>
                <w:rFonts w:eastAsia="Garamond"/>
                <w:szCs w:val="24"/>
              </w:rPr>
            </w:pPr>
            <w:r w:rsidRPr="0067507D">
              <w:rPr>
                <w:iCs/>
              </w:rPr>
              <w:t>1</w:t>
            </w:r>
          </w:p>
        </w:tc>
        <w:tc>
          <w:tcPr>
            <w:cnfStyle w:val="000001000000" w:firstRow="0" w:lastRow="0" w:firstColumn="0" w:lastColumn="0" w:oddVBand="0" w:evenVBand="1" w:oddHBand="0" w:evenHBand="0" w:firstRowFirstColumn="0" w:firstRowLastColumn="0" w:lastRowFirstColumn="0" w:lastRowLastColumn="0"/>
            <w:tcW w:w="1258" w:type="dxa"/>
          </w:tcPr>
          <w:p w14:paraId="4D20DBC7" w14:textId="3297DA69" w:rsidR="00F05844" w:rsidRPr="0067507D" w:rsidRDefault="006A5485" w:rsidP="00F05844">
            <w:pPr>
              <w:pStyle w:val="Tabletextright"/>
              <w:rPr>
                <w:rFonts w:eastAsia="Garamond"/>
                <w:szCs w:val="24"/>
              </w:rPr>
            </w:pPr>
            <w:r>
              <w:rPr>
                <w:rFonts w:eastAsia="Garamond"/>
                <w:szCs w:val="24"/>
              </w:rPr>
              <w:noBreakHyphen/>
            </w:r>
            <w:r w:rsidR="00AF4EB6" w:rsidRPr="0067507D">
              <w:rPr>
                <w:rFonts w:eastAsia="Garamond"/>
                <w:szCs w:val="24"/>
              </w:rPr>
              <w:t>1</w:t>
            </w:r>
            <w:r w:rsidR="00025900" w:rsidRPr="0067507D">
              <w:rPr>
                <w:rFonts w:eastAsia="Garamond"/>
                <w:szCs w:val="24"/>
              </w:rPr>
              <w:t>00</w:t>
            </w:r>
          </w:p>
        </w:tc>
        <w:tc>
          <w:tcPr>
            <w:cnfStyle w:val="000010000000" w:firstRow="0" w:lastRow="0" w:firstColumn="0" w:lastColumn="0" w:oddVBand="1" w:evenVBand="0" w:oddHBand="0" w:evenHBand="0" w:firstRowFirstColumn="0" w:firstRowLastColumn="0" w:lastRowFirstColumn="0" w:lastRowLastColumn="0"/>
            <w:tcW w:w="961" w:type="dxa"/>
          </w:tcPr>
          <w:p w14:paraId="009C2F5F" w14:textId="49B76F99" w:rsidR="00F05844" w:rsidRPr="0067507D" w:rsidRDefault="00F05844" w:rsidP="001857CC">
            <w:pPr>
              <w:pStyle w:val="TargetNotMet50"/>
              <w:rPr>
                <w:rFonts w:eastAsia="Garamond"/>
              </w:rPr>
            </w:pPr>
          </w:p>
        </w:tc>
      </w:tr>
      <w:tr w:rsidR="00E26BDE" w:rsidRPr="0067507D" w14:paraId="57C8FA17"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4F5623BC" w14:textId="2C36F581" w:rsidR="00F05844" w:rsidRPr="0067507D" w:rsidRDefault="00F05844" w:rsidP="00F05844">
            <w:pPr>
              <w:pStyle w:val="Tabletext"/>
            </w:pPr>
            <w:r w:rsidRPr="0067507D">
              <w:lastRenderedPageBreak/>
              <w:t>Proportion of stakeholders that found Better Regulation Victoria’s ‘regulatory helpdesk service’ responsive to their needs</w:t>
            </w:r>
          </w:p>
        </w:tc>
        <w:tc>
          <w:tcPr>
            <w:cnfStyle w:val="000010000000" w:firstRow="0" w:lastRow="0" w:firstColumn="0" w:lastColumn="0" w:oddVBand="1" w:evenVBand="0" w:oddHBand="0" w:evenHBand="0" w:firstRowFirstColumn="0" w:firstRowLastColumn="0" w:lastRowFirstColumn="0" w:lastRowLastColumn="0"/>
            <w:tcW w:w="1026" w:type="dxa"/>
          </w:tcPr>
          <w:p w14:paraId="36A5CEEE" w14:textId="53752330" w:rsidR="00F05844" w:rsidRPr="0067507D" w:rsidRDefault="00F05844" w:rsidP="00F05844">
            <w:pPr>
              <w:pStyle w:val="Tabletextcentred"/>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10" w:type="dxa"/>
          </w:tcPr>
          <w:p w14:paraId="120053B6" w14:textId="6E976CF2" w:rsidR="00F05844" w:rsidRPr="0067507D" w:rsidRDefault="005266FE" w:rsidP="00F05844">
            <w:pPr>
              <w:pStyle w:val="Tabletextright"/>
              <w:rPr>
                <w:rFonts w:eastAsia="Garamond"/>
                <w:szCs w:val="24"/>
              </w:rPr>
            </w:pPr>
            <w:r w:rsidRPr="0067507D">
              <w:rPr>
                <w:rFonts w:eastAsia="Garamond"/>
                <w:szCs w:val="24"/>
              </w:rPr>
              <w:t>83</w:t>
            </w:r>
          </w:p>
        </w:tc>
        <w:tc>
          <w:tcPr>
            <w:cnfStyle w:val="000010000000" w:firstRow="0" w:lastRow="0" w:firstColumn="0" w:lastColumn="0" w:oddVBand="1" w:evenVBand="0" w:oddHBand="0" w:evenHBand="0" w:firstRowFirstColumn="0" w:firstRowLastColumn="0" w:lastRowFirstColumn="0" w:lastRowLastColumn="0"/>
            <w:tcW w:w="990" w:type="dxa"/>
          </w:tcPr>
          <w:p w14:paraId="31981907" w14:textId="4FD3D3A9" w:rsidR="00F05844" w:rsidRPr="0067507D" w:rsidRDefault="00F05844" w:rsidP="00F05844">
            <w:pPr>
              <w:pStyle w:val="Tabletextright"/>
              <w:rPr>
                <w:rFonts w:eastAsia="Garamond"/>
                <w:szCs w:val="24"/>
              </w:rPr>
            </w:pPr>
            <w:r w:rsidRPr="0067507D">
              <w:rPr>
                <w:iCs/>
              </w:rPr>
              <w:t>80</w:t>
            </w:r>
          </w:p>
        </w:tc>
        <w:tc>
          <w:tcPr>
            <w:cnfStyle w:val="000001000000" w:firstRow="0" w:lastRow="0" w:firstColumn="0" w:lastColumn="0" w:oddVBand="0" w:evenVBand="1" w:oddHBand="0" w:evenHBand="0" w:firstRowFirstColumn="0" w:firstRowLastColumn="0" w:lastRowFirstColumn="0" w:lastRowLastColumn="0"/>
            <w:tcW w:w="1258" w:type="dxa"/>
          </w:tcPr>
          <w:p w14:paraId="3304E5F4" w14:textId="27A36F43" w:rsidR="00F05844" w:rsidRPr="0067507D" w:rsidRDefault="00200789" w:rsidP="00F05844">
            <w:pPr>
              <w:pStyle w:val="Tabletextright"/>
              <w:rPr>
                <w:rFonts w:eastAsia="Garamond"/>
                <w:szCs w:val="24"/>
              </w:rPr>
            </w:pPr>
            <w:r w:rsidRPr="0067507D">
              <w:rPr>
                <w:rFonts w:eastAsia="Garamond"/>
                <w:szCs w:val="24"/>
              </w:rPr>
              <w:t>4</w:t>
            </w:r>
          </w:p>
        </w:tc>
        <w:tc>
          <w:tcPr>
            <w:cnfStyle w:val="000010000000" w:firstRow="0" w:lastRow="0" w:firstColumn="0" w:lastColumn="0" w:oddVBand="1" w:evenVBand="0" w:oddHBand="0" w:evenHBand="0" w:firstRowFirstColumn="0" w:firstRowLastColumn="0" w:lastRowFirstColumn="0" w:lastRowLastColumn="0"/>
            <w:tcW w:w="961" w:type="dxa"/>
          </w:tcPr>
          <w:p w14:paraId="5DF69542" w14:textId="77777777" w:rsidR="00F05844" w:rsidRPr="0067507D" w:rsidRDefault="00F05844" w:rsidP="001857CC">
            <w:pPr>
              <w:pStyle w:val="TargetMet"/>
              <w:rPr>
                <w:rFonts w:eastAsia="Garamond"/>
              </w:rPr>
            </w:pPr>
          </w:p>
        </w:tc>
      </w:tr>
      <w:tr w:rsidR="00E26BDE" w:rsidRPr="0067507D" w14:paraId="25F6D390"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542F1A86" w14:textId="5D4C9130" w:rsidR="00F05844" w:rsidRPr="0067507D" w:rsidRDefault="00F05844" w:rsidP="004D1F01">
            <w:pPr>
              <w:pStyle w:val="Tabletext"/>
            </w:pPr>
            <w:r w:rsidRPr="0067507D">
              <w:t>Satisfaction of key stakeholders, including Members of Parliament, public sector employers and elected local government officials, with the Remuneration Tribunal’s process regarding determinations, reviews and advice</w:t>
            </w:r>
          </w:p>
        </w:tc>
        <w:tc>
          <w:tcPr>
            <w:cnfStyle w:val="000010000000" w:firstRow="0" w:lastRow="0" w:firstColumn="0" w:lastColumn="0" w:oddVBand="1" w:evenVBand="0" w:oddHBand="0" w:evenHBand="0" w:firstRowFirstColumn="0" w:firstRowLastColumn="0" w:lastRowFirstColumn="0" w:lastRowLastColumn="0"/>
            <w:tcW w:w="1026" w:type="dxa"/>
          </w:tcPr>
          <w:p w14:paraId="2E195C2D" w14:textId="1F4F7842" w:rsidR="00F05844" w:rsidRPr="0067507D" w:rsidRDefault="00F05844" w:rsidP="00F05844">
            <w:pPr>
              <w:pStyle w:val="Tabletextcentred"/>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10" w:type="dxa"/>
          </w:tcPr>
          <w:p w14:paraId="1DF1E77E" w14:textId="7514F277" w:rsidR="00F05844" w:rsidRPr="0067507D" w:rsidRDefault="00220CA9" w:rsidP="00F05844">
            <w:pPr>
              <w:pStyle w:val="Tabletextright"/>
              <w:rPr>
                <w:rFonts w:eastAsia="Garamond"/>
                <w:szCs w:val="24"/>
              </w:rPr>
            </w:pPr>
            <w:r w:rsidRPr="0067507D">
              <w:rPr>
                <w:rFonts w:eastAsia="Garamond"/>
                <w:szCs w:val="24"/>
              </w:rPr>
              <w:t>84</w:t>
            </w:r>
          </w:p>
        </w:tc>
        <w:tc>
          <w:tcPr>
            <w:cnfStyle w:val="000010000000" w:firstRow="0" w:lastRow="0" w:firstColumn="0" w:lastColumn="0" w:oddVBand="1" w:evenVBand="0" w:oddHBand="0" w:evenHBand="0" w:firstRowFirstColumn="0" w:firstRowLastColumn="0" w:lastRowFirstColumn="0" w:lastRowLastColumn="0"/>
            <w:tcW w:w="990" w:type="dxa"/>
          </w:tcPr>
          <w:p w14:paraId="644A88A4" w14:textId="46C52E07" w:rsidR="00F05844" w:rsidRPr="0067507D" w:rsidRDefault="00F05844" w:rsidP="00F05844">
            <w:pPr>
              <w:pStyle w:val="Tabletextright"/>
              <w:rPr>
                <w:rFonts w:eastAsia="Garamond"/>
                <w:szCs w:val="24"/>
              </w:rPr>
            </w:pPr>
            <w:r w:rsidRPr="0067507D">
              <w:rPr>
                <w:iCs/>
              </w:rPr>
              <w:t>80</w:t>
            </w:r>
          </w:p>
        </w:tc>
        <w:tc>
          <w:tcPr>
            <w:cnfStyle w:val="000001000000" w:firstRow="0" w:lastRow="0" w:firstColumn="0" w:lastColumn="0" w:oddVBand="0" w:evenVBand="1" w:oddHBand="0" w:evenHBand="0" w:firstRowFirstColumn="0" w:firstRowLastColumn="0" w:lastRowFirstColumn="0" w:lastRowLastColumn="0"/>
            <w:tcW w:w="1258" w:type="dxa"/>
          </w:tcPr>
          <w:p w14:paraId="1A68DA71" w14:textId="29B48DB4" w:rsidR="00F05844" w:rsidRPr="0067507D" w:rsidRDefault="00220CA9" w:rsidP="00F05844">
            <w:pPr>
              <w:pStyle w:val="Tabletextright"/>
              <w:rPr>
                <w:rFonts w:eastAsia="Garamond"/>
                <w:szCs w:val="24"/>
              </w:rPr>
            </w:pPr>
            <w:r w:rsidRPr="0067507D">
              <w:rPr>
                <w:rFonts w:eastAsia="Garamond"/>
                <w:szCs w:val="24"/>
              </w:rPr>
              <w:t>5</w:t>
            </w:r>
          </w:p>
        </w:tc>
        <w:tc>
          <w:tcPr>
            <w:cnfStyle w:val="000010000000" w:firstRow="0" w:lastRow="0" w:firstColumn="0" w:lastColumn="0" w:oddVBand="1" w:evenVBand="0" w:oddHBand="0" w:evenHBand="0" w:firstRowFirstColumn="0" w:firstRowLastColumn="0" w:lastRowFirstColumn="0" w:lastRowLastColumn="0"/>
            <w:tcW w:w="961" w:type="dxa"/>
          </w:tcPr>
          <w:p w14:paraId="4390D2E1" w14:textId="77777777" w:rsidR="00F05844" w:rsidRPr="0067507D" w:rsidRDefault="00F05844" w:rsidP="004956C8">
            <w:pPr>
              <w:pStyle w:val="TargetMet"/>
              <w:rPr>
                <w:rFonts w:eastAsia="Garamond"/>
              </w:rPr>
            </w:pPr>
          </w:p>
        </w:tc>
      </w:tr>
      <w:tr w:rsidR="00E26BDE" w:rsidRPr="0067507D" w14:paraId="436595C6"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091EFC47" w14:textId="1583A946" w:rsidR="00F05844" w:rsidRPr="0067507D" w:rsidRDefault="00F05844" w:rsidP="00F05844">
            <w:pPr>
              <w:pStyle w:val="Tabletextheadingleft"/>
              <w:rPr>
                <w:rFonts w:eastAsia="Garamond"/>
              </w:rPr>
            </w:pPr>
            <w:r w:rsidRPr="0067507D">
              <w:t>Timeliness</w:t>
            </w:r>
          </w:p>
        </w:tc>
        <w:tc>
          <w:tcPr>
            <w:cnfStyle w:val="000010000000" w:firstRow="0" w:lastRow="0" w:firstColumn="0" w:lastColumn="0" w:oddVBand="1" w:evenVBand="0" w:oddHBand="0" w:evenHBand="0" w:firstRowFirstColumn="0" w:firstRowLastColumn="0" w:lastRowFirstColumn="0" w:lastRowLastColumn="0"/>
            <w:tcW w:w="1026" w:type="dxa"/>
          </w:tcPr>
          <w:p w14:paraId="04C0F5C8" w14:textId="598ED0AC" w:rsidR="00F05844" w:rsidRPr="0067507D" w:rsidRDefault="00F05844" w:rsidP="00F05844">
            <w:pPr>
              <w:pStyle w:val="Tabletextcentred"/>
              <w:rPr>
                <w:rFonts w:eastAsia="Garamond"/>
              </w:rPr>
            </w:pPr>
          </w:p>
        </w:tc>
        <w:tc>
          <w:tcPr>
            <w:cnfStyle w:val="000001000000" w:firstRow="0" w:lastRow="0" w:firstColumn="0" w:lastColumn="0" w:oddVBand="0" w:evenVBand="1" w:oddHBand="0" w:evenHBand="0" w:firstRowFirstColumn="0" w:firstRowLastColumn="0" w:lastRowFirstColumn="0" w:lastRowLastColumn="0"/>
            <w:tcW w:w="1010" w:type="dxa"/>
          </w:tcPr>
          <w:p w14:paraId="79A19FCB" w14:textId="28E59B7D" w:rsidR="00F05844" w:rsidRPr="0067507D" w:rsidRDefault="00F05844" w:rsidP="00F05844">
            <w:pPr>
              <w:pStyle w:val="Tabletextright"/>
              <w:rPr>
                <w:rFonts w:eastAsia="Garamond"/>
                <w:szCs w:val="24"/>
              </w:rPr>
            </w:pPr>
          </w:p>
        </w:tc>
        <w:tc>
          <w:tcPr>
            <w:cnfStyle w:val="000010000000" w:firstRow="0" w:lastRow="0" w:firstColumn="0" w:lastColumn="0" w:oddVBand="1" w:evenVBand="0" w:oddHBand="0" w:evenHBand="0" w:firstRowFirstColumn="0" w:firstRowLastColumn="0" w:lastRowFirstColumn="0" w:lastRowLastColumn="0"/>
            <w:tcW w:w="990" w:type="dxa"/>
          </w:tcPr>
          <w:p w14:paraId="487C1A0B" w14:textId="1F8ABF9D" w:rsidR="00F05844" w:rsidRPr="0067507D" w:rsidRDefault="00F05844" w:rsidP="00F05844">
            <w:pPr>
              <w:pStyle w:val="Tabletextright"/>
              <w:rPr>
                <w:rFonts w:eastAsia="Garamond"/>
                <w:szCs w:val="24"/>
              </w:rPr>
            </w:pPr>
          </w:p>
        </w:tc>
        <w:tc>
          <w:tcPr>
            <w:cnfStyle w:val="000001000000" w:firstRow="0" w:lastRow="0" w:firstColumn="0" w:lastColumn="0" w:oddVBand="0" w:evenVBand="1" w:oddHBand="0" w:evenHBand="0" w:firstRowFirstColumn="0" w:firstRowLastColumn="0" w:lastRowFirstColumn="0" w:lastRowLastColumn="0"/>
            <w:tcW w:w="1258" w:type="dxa"/>
          </w:tcPr>
          <w:p w14:paraId="5BFFF608" w14:textId="106C2316" w:rsidR="00F05844" w:rsidRPr="0067507D" w:rsidRDefault="00F05844" w:rsidP="00F05844">
            <w:pPr>
              <w:pStyle w:val="Tabletextright"/>
              <w:rPr>
                <w:rFonts w:eastAsia="Garamond"/>
                <w:szCs w:val="24"/>
              </w:rPr>
            </w:pPr>
          </w:p>
        </w:tc>
        <w:tc>
          <w:tcPr>
            <w:cnfStyle w:val="000010000000" w:firstRow="0" w:lastRow="0" w:firstColumn="0" w:lastColumn="0" w:oddVBand="1" w:evenVBand="0" w:oddHBand="0" w:evenHBand="0" w:firstRowFirstColumn="0" w:firstRowLastColumn="0" w:lastRowFirstColumn="0" w:lastRowLastColumn="0"/>
            <w:tcW w:w="961" w:type="dxa"/>
          </w:tcPr>
          <w:p w14:paraId="058E692D" w14:textId="77777777" w:rsidR="00F05844" w:rsidRPr="0067507D" w:rsidRDefault="00F05844" w:rsidP="00F05844">
            <w:pPr>
              <w:pStyle w:val="Tabletextright"/>
              <w:rPr>
                <w:rFonts w:eastAsia="Garamond"/>
              </w:rPr>
            </w:pPr>
          </w:p>
        </w:tc>
      </w:tr>
      <w:tr w:rsidR="00E26BDE" w:rsidRPr="0067507D" w14:paraId="547534DD"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2B2FB023" w14:textId="77019707" w:rsidR="00F05844" w:rsidRPr="0067507D" w:rsidRDefault="00F05844" w:rsidP="00F05844">
            <w:pPr>
              <w:pStyle w:val="Tabletext"/>
              <w:rPr>
                <w:rFonts w:eastAsia="Garamond"/>
              </w:rPr>
            </w:pPr>
            <w:r w:rsidRPr="0067507D">
              <w:t>Better Regulation Victoria’s advice on Regulatory Impact Statements or Legislative Impact Assessments was timely, as assessed by departments</w:t>
            </w:r>
          </w:p>
        </w:tc>
        <w:tc>
          <w:tcPr>
            <w:cnfStyle w:val="000010000000" w:firstRow="0" w:lastRow="0" w:firstColumn="0" w:lastColumn="0" w:oddVBand="1" w:evenVBand="0" w:oddHBand="0" w:evenHBand="0" w:firstRowFirstColumn="0" w:firstRowLastColumn="0" w:lastRowFirstColumn="0" w:lastRowLastColumn="0"/>
            <w:tcW w:w="1026" w:type="dxa"/>
          </w:tcPr>
          <w:p w14:paraId="5F84F512" w14:textId="130BD504" w:rsidR="00F05844" w:rsidRPr="0067507D" w:rsidRDefault="00F05844" w:rsidP="00F0584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10" w:type="dxa"/>
          </w:tcPr>
          <w:p w14:paraId="0ABAA2E3" w14:textId="52AF8C7C" w:rsidR="00F05844" w:rsidRPr="0067507D" w:rsidRDefault="00823FFB" w:rsidP="00F05844">
            <w:pPr>
              <w:pStyle w:val="Tabletextright"/>
              <w:rPr>
                <w:rFonts w:eastAsia="Garamond"/>
                <w:szCs w:val="24"/>
              </w:rPr>
            </w:pPr>
            <w:r w:rsidRPr="0067507D">
              <w:rPr>
                <w:rFonts w:eastAsia="Garamond"/>
                <w:szCs w:val="24"/>
              </w:rPr>
              <w:t>89</w:t>
            </w:r>
          </w:p>
        </w:tc>
        <w:tc>
          <w:tcPr>
            <w:cnfStyle w:val="000010000000" w:firstRow="0" w:lastRow="0" w:firstColumn="0" w:lastColumn="0" w:oddVBand="1" w:evenVBand="0" w:oddHBand="0" w:evenHBand="0" w:firstRowFirstColumn="0" w:firstRowLastColumn="0" w:lastRowFirstColumn="0" w:lastRowLastColumn="0"/>
            <w:tcW w:w="990" w:type="dxa"/>
          </w:tcPr>
          <w:p w14:paraId="35078ECB" w14:textId="47F7BC77" w:rsidR="00F05844" w:rsidRPr="0067507D" w:rsidRDefault="00F05844" w:rsidP="00F05844">
            <w:pPr>
              <w:pStyle w:val="Tabletextright"/>
              <w:rPr>
                <w:rFonts w:eastAsia="Garamond"/>
                <w:szCs w:val="24"/>
              </w:rPr>
            </w:pPr>
            <w:r w:rsidRPr="0067507D">
              <w:rPr>
                <w:iCs/>
              </w:rPr>
              <w:t>90</w:t>
            </w:r>
          </w:p>
        </w:tc>
        <w:tc>
          <w:tcPr>
            <w:cnfStyle w:val="000001000000" w:firstRow="0" w:lastRow="0" w:firstColumn="0" w:lastColumn="0" w:oddVBand="0" w:evenVBand="1" w:oddHBand="0" w:evenHBand="0" w:firstRowFirstColumn="0" w:firstRowLastColumn="0" w:lastRowFirstColumn="0" w:lastRowLastColumn="0"/>
            <w:tcW w:w="1258" w:type="dxa"/>
          </w:tcPr>
          <w:p w14:paraId="7DFDE1A7" w14:textId="2B2FDF21" w:rsidR="00F05844" w:rsidRPr="0067507D" w:rsidRDefault="006A5485" w:rsidP="00F05844">
            <w:pPr>
              <w:pStyle w:val="Tabletextright"/>
              <w:rPr>
                <w:rFonts w:eastAsia="Garamond"/>
                <w:szCs w:val="24"/>
              </w:rPr>
            </w:pPr>
            <w:r>
              <w:rPr>
                <w:rFonts w:eastAsia="Garamond"/>
                <w:szCs w:val="24"/>
              </w:rPr>
              <w:noBreakHyphen/>
            </w:r>
            <w:r w:rsidR="00823FFB" w:rsidRPr="0067507D">
              <w:rPr>
                <w:rFonts w:eastAsia="Garamond"/>
                <w:szCs w:val="24"/>
              </w:rPr>
              <w:t>1</w:t>
            </w:r>
          </w:p>
        </w:tc>
        <w:tc>
          <w:tcPr>
            <w:cnfStyle w:val="000010000000" w:firstRow="0" w:lastRow="0" w:firstColumn="0" w:lastColumn="0" w:oddVBand="1" w:evenVBand="0" w:oddHBand="0" w:evenHBand="0" w:firstRowFirstColumn="0" w:firstRowLastColumn="0" w:lastRowFirstColumn="0" w:lastRowLastColumn="0"/>
            <w:tcW w:w="961" w:type="dxa"/>
          </w:tcPr>
          <w:p w14:paraId="0FC6B0B1" w14:textId="77777777" w:rsidR="00F05844" w:rsidRPr="0067507D" w:rsidRDefault="00F05844" w:rsidP="001857CC">
            <w:pPr>
              <w:pStyle w:val="TargetNotMet5"/>
              <w:rPr>
                <w:rFonts w:eastAsia="Garamond"/>
              </w:rPr>
            </w:pPr>
          </w:p>
        </w:tc>
      </w:tr>
      <w:tr w:rsidR="00E26BDE" w:rsidRPr="0067507D" w14:paraId="5BA4AE0B"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6C702597" w14:textId="0605FC0C" w:rsidR="00F05844" w:rsidRPr="0067507D" w:rsidRDefault="00F05844" w:rsidP="00F05844">
            <w:pPr>
              <w:pStyle w:val="Tabletext"/>
            </w:pPr>
            <w:r w:rsidRPr="0067507D">
              <w:t>Briefings on key Australian Bureau of Statistics economic data on the day of release</w:t>
            </w:r>
          </w:p>
        </w:tc>
        <w:tc>
          <w:tcPr>
            <w:cnfStyle w:val="000010000000" w:firstRow="0" w:lastRow="0" w:firstColumn="0" w:lastColumn="0" w:oddVBand="1" w:evenVBand="0" w:oddHBand="0" w:evenHBand="0" w:firstRowFirstColumn="0" w:firstRowLastColumn="0" w:lastRowFirstColumn="0" w:lastRowLastColumn="0"/>
            <w:tcW w:w="1026" w:type="dxa"/>
          </w:tcPr>
          <w:p w14:paraId="255F1056" w14:textId="2EA31188" w:rsidR="00F05844" w:rsidRPr="0067507D" w:rsidRDefault="00F05844" w:rsidP="00F05844">
            <w:pPr>
              <w:pStyle w:val="Tabletextcentred"/>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10" w:type="dxa"/>
          </w:tcPr>
          <w:p w14:paraId="4B027E18" w14:textId="3F5EC4C7" w:rsidR="00F05844" w:rsidRPr="0067507D" w:rsidRDefault="00293A9C" w:rsidP="00F05844">
            <w:pPr>
              <w:pStyle w:val="Tabletextright"/>
              <w:rPr>
                <w:rFonts w:eastAsia="Garamond"/>
                <w:szCs w:val="24"/>
              </w:rPr>
            </w:pPr>
            <w:r w:rsidRPr="0067507D">
              <w:rPr>
                <w:rFonts w:eastAsia="Garamond"/>
                <w:szCs w:val="24"/>
              </w:rPr>
              <w:t>100</w:t>
            </w:r>
          </w:p>
        </w:tc>
        <w:tc>
          <w:tcPr>
            <w:cnfStyle w:val="000010000000" w:firstRow="0" w:lastRow="0" w:firstColumn="0" w:lastColumn="0" w:oddVBand="1" w:evenVBand="0" w:oddHBand="0" w:evenHBand="0" w:firstRowFirstColumn="0" w:firstRowLastColumn="0" w:lastRowFirstColumn="0" w:lastRowLastColumn="0"/>
            <w:tcW w:w="990" w:type="dxa"/>
          </w:tcPr>
          <w:p w14:paraId="39AC4A2B" w14:textId="40E45896" w:rsidR="00F05844" w:rsidRPr="0067507D" w:rsidRDefault="00F05844" w:rsidP="00F05844">
            <w:pPr>
              <w:pStyle w:val="Tabletextright"/>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58" w:type="dxa"/>
          </w:tcPr>
          <w:p w14:paraId="21A6193B" w14:textId="64C5E7ED" w:rsidR="00F05844" w:rsidRPr="0067507D" w:rsidRDefault="008113F1" w:rsidP="00F05844">
            <w:pPr>
              <w:pStyle w:val="Tabletextright"/>
              <w:rPr>
                <w:rFonts w:eastAsia="Garamond"/>
                <w:szCs w:val="24"/>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61" w:type="dxa"/>
          </w:tcPr>
          <w:p w14:paraId="7C22BC74" w14:textId="77777777" w:rsidR="00F05844" w:rsidRPr="0067507D" w:rsidRDefault="00F05844" w:rsidP="004956C8">
            <w:pPr>
              <w:pStyle w:val="TargetMet"/>
              <w:rPr>
                <w:rFonts w:eastAsia="Garamond"/>
              </w:rPr>
            </w:pPr>
          </w:p>
        </w:tc>
      </w:tr>
      <w:tr w:rsidR="00E26BDE" w:rsidRPr="0067507D" w14:paraId="1700FC5A"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2F79F5D3" w14:textId="13274597" w:rsidR="00F05844" w:rsidRPr="0067507D" w:rsidRDefault="00F05844" w:rsidP="00F05844">
            <w:pPr>
              <w:pStyle w:val="Tabletext"/>
              <w:rPr>
                <w:rFonts w:eastAsia="Garamond"/>
              </w:rPr>
            </w:pPr>
            <w:r w:rsidRPr="0067507D">
              <w:t>Regulation reviews completed by scheduled date</w:t>
            </w:r>
          </w:p>
        </w:tc>
        <w:tc>
          <w:tcPr>
            <w:cnfStyle w:val="000010000000" w:firstRow="0" w:lastRow="0" w:firstColumn="0" w:lastColumn="0" w:oddVBand="1" w:evenVBand="0" w:oddHBand="0" w:evenHBand="0" w:firstRowFirstColumn="0" w:firstRowLastColumn="0" w:lastRowFirstColumn="0" w:lastRowLastColumn="0"/>
            <w:tcW w:w="1026" w:type="dxa"/>
          </w:tcPr>
          <w:p w14:paraId="74D87CEF" w14:textId="64A57630" w:rsidR="00F05844" w:rsidRPr="0067507D" w:rsidRDefault="00F05844" w:rsidP="00F0584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10" w:type="dxa"/>
          </w:tcPr>
          <w:p w14:paraId="303DE27F" w14:textId="79594F22" w:rsidR="00F05844" w:rsidRPr="0067507D" w:rsidRDefault="00933399" w:rsidP="00F05844">
            <w:pPr>
              <w:pStyle w:val="Tabletextright"/>
              <w:rPr>
                <w:rFonts w:eastAsia="Garamond"/>
                <w:szCs w:val="24"/>
              </w:rPr>
            </w:pPr>
            <w:r w:rsidRPr="0067507D">
              <w:rPr>
                <w:rFonts w:eastAsia="Garamond"/>
                <w:szCs w:val="24"/>
              </w:rPr>
              <w:t>100</w:t>
            </w:r>
          </w:p>
        </w:tc>
        <w:tc>
          <w:tcPr>
            <w:cnfStyle w:val="000010000000" w:firstRow="0" w:lastRow="0" w:firstColumn="0" w:lastColumn="0" w:oddVBand="1" w:evenVBand="0" w:oddHBand="0" w:evenHBand="0" w:firstRowFirstColumn="0" w:firstRowLastColumn="0" w:lastRowFirstColumn="0" w:lastRowLastColumn="0"/>
            <w:tcW w:w="990" w:type="dxa"/>
          </w:tcPr>
          <w:p w14:paraId="5126FDC6" w14:textId="3AB40274" w:rsidR="00F05844" w:rsidRPr="0067507D" w:rsidRDefault="00F05844" w:rsidP="00F05844">
            <w:pPr>
              <w:pStyle w:val="Tabletextright"/>
              <w:rPr>
                <w:rFonts w:eastAsia="Garamond"/>
                <w:szCs w:val="24"/>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58" w:type="dxa"/>
          </w:tcPr>
          <w:p w14:paraId="5FE27463" w14:textId="42E75775" w:rsidR="00F05844" w:rsidRPr="0067507D" w:rsidRDefault="008113F1" w:rsidP="00F0584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61" w:type="dxa"/>
          </w:tcPr>
          <w:p w14:paraId="0D97E38B" w14:textId="77777777" w:rsidR="00F05844" w:rsidRPr="0067507D" w:rsidRDefault="00F05844" w:rsidP="001857CC">
            <w:pPr>
              <w:pStyle w:val="TargetMet"/>
              <w:rPr>
                <w:rFonts w:eastAsia="Garamond"/>
              </w:rPr>
            </w:pPr>
          </w:p>
        </w:tc>
      </w:tr>
      <w:tr w:rsidR="00E26BDE" w:rsidRPr="0067507D" w14:paraId="260F4A86"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1BDDCCA8" w14:textId="26CEEF03" w:rsidR="00F05844" w:rsidRPr="0067507D" w:rsidRDefault="00F05844" w:rsidP="00F05844">
            <w:pPr>
              <w:pStyle w:val="Tabletextheadingleft"/>
              <w:rPr>
                <w:rFonts w:eastAsia="Garamond"/>
              </w:rPr>
            </w:pPr>
            <w:r w:rsidRPr="0067507D">
              <w:t>Cost</w:t>
            </w:r>
          </w:p>
        </w:tc>
        <w:tc>
          <w:tcPr>
            <w:cnfStyle w:val="000010000000" w:firstRow="0" w:lastRow="0" w:firstColumn="0" w:lastColumn="0" w:oddVBand="1" w:evenVBand="0" w:oddHBand="0" w:evenHBand="0" w:firstRowFirstColumn="0" w:firstRowLastColumn="0" w:lastRowFirstColumn="0" w:lastRowLastColumn="0"/>
            <w:tcW w:w="1026" w:type="dxa"/>
          </w:tcPr>
          <w:p w14:paraId="27011935" w14:textId="50714195" w:rsidR="00F05844" w:rsidRPr="0067507D" w:rsidRDefault="00F05844" w:rsidP="00F05844">
            <w:pPr>
              <w:pStyle w:val="Tabletextcentred"/>
              <w:rPr>
                <w:rFonts w:eastAsia="Garamond"/>
              </w:rPr>
            </w:pPr>
          </w:p>
        </w:tc>
        <w:tc>
          <w:tcPr>
            <w:cnfStyle w:val="000001000000" w:firstRow="0" w:lastRow="0" w:firstColumn="0" w:lastColumn="0" w:oddVBand="0" w:evenVBand="1" w:oddHBand="0" w:evenHBand="0" w:firstRowFirstColumn="0" w:firstRowLastColumn="0" w:lastRowFirstColumn="0" w:lastRowLastColumn="0"/>
            <w:tcW w:w="1010" w:type="dxa"/>
          </w:tcPr>
          <w:p w14:paraId="7030C75D" w14:textId="48C684C0" w:rsidR="00F05844" w:rsidRPr="0067507D" w:rsidRDefault="00F05844" w:rsidP="00F05844">
            <w:pPr>
              <w:pStyle w:val="Tabletextright"/>
              <w:rPr>
                <w:rFonts w:eastAsia="Garamond"/>
                <w:szCs w:val="24"/>
              </w:rPr>
            </w:pPr>
          </w:p>
        </w:tc>
        <w:tc>
          <w:tcPr>
            <w:cnfStyle w:val="000010000000" w:firstRow="0" w:lastRow="0" w:firstColumn="0" w:lastColumn="0" w:oddVBand="1" w:evenVBand="0" w:oddHBand="0" w:evenHBand="0" w:firstRowFirstColumn="0" w:firstRowLastColumn="0" w:lastRowFirstColumn="0" w:lastRowLastColumn="0"/>
            <w:tcW w:w="990" w:type="dxa"/>
          </w:tcPr>
          <w:p w14:paraId="1A5D3512" w14:textId="5F5E894F" w:rsidR="00F05844" w:rsidRPr="0067507D" w:rsidRDefault="00F05844" w:rsidP="00F05844">
            <w:pPr>
              <w:pStyle w:val="Tabletextright"/>
              <w:rPr>
                <w:rFonts w:eastAsia="Garamond"/>
                <w:szCs w:val="24"/>
              </w:rPr>
            </w:pPr>
          </w:p>
        </w:tc>
        <w:tc>
          <w:tcPr>
            <w:cnfStyle w:val="000001000000" w:firstRow="0" w:lastRow="0" w:firstColumn="0" w:lastColumn="0" w:oddVBand="0" w:evenVBand="1" w:oddHBand="0" w:evenHBand="0" w:firstRowFirstColumn="0" w:firstRowLastColumn="0" w:lastRowFirstColumn="0" w:lastRowLastColumn="0"/>
            <w:tcW w:w="1258" w:type="dxa"/>
          </w:tcPr>
          <w:p w14:paraId="04C9B7CD" w14:textId="623D2919"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61" w:type="dxa"/>
          </w:tcPr>
          <w:p w14:paraId="499CF928" w14:textId="77777777" w:rsidR="00F05844" w:rsidRPr="0067507D" w:rsidRDefault="00F05844" w:rsidP="00F05844">
            <w:pPr>
              <w:pStyle w:val="Tabletextright"/>
              <w:rPr>
                <w:rFonts w:eastAsia="Garamond"/>
              </w:rPr>
            </w:pPr>
          </w:p>
        </w:tc>
      </w:tr>
      <w:tr w:rsidR="00E26BDE" w:rsidRPr="0067507D" w14:paraId="743E2C1E" w14:textId="77777777" w:rsidTr="004D70AA">
        <w:tc>
          <w:tcPr>
            <w:cnfStyle w:val="001000000000" w:firstRow="0" w:lastRow="0" w:firstColumn="1" w:lastColumn="0" w:oddVBand="0" w:evenVBand="0" w:oddHBand="0" w:evenHBand="0" w:firstRowFirstColumn="0" w:firstRowLastColumn="0" w:lastRowFirstColumn="0" w:lastRowLastColumn="0"/>
            <w:tcW w:w="3684" w:type="dxa"/>
          </w:tcPr>
          <w:p w14:paraId="33AACC19" w14:textId="6BB41BE1" w:rsidR="00F05844" w:rsidRPr="0067507D" w:rsidRDefault="00F05844" w:rsidP="00F05844">
            <w:pPr>
              <w:pStyle w:val="Tabletext"/>
              <w:rPr>
                <w:rFonts w:eastAsia="Garamond"/>
              </w:rPr>
            </w:pPr>
            <w:r w:rsidRPr="0067507D">
              <w:t>Total output cost</w:t>
            </w:r>
          </w:p>
        </w:tc>
        <w:tc>
          <w:tcPr>
            <w:cnfStyle w:val="000010000000" w:firstRow="0" w:lastRow="0" w:firstColumn="0" w:lastColumn="0" w:oddVBand="1" w:evenVBand="0" w:oddHBand="0" w:evenHBand="0" w:firstRowFirstColumn="0" w:firstRowLastColumn="0" w:lastRowFirstColumn="0" w:lastRowLastColumn="0"/>
            <w:tcW w:w="1026" w:type="dxa"/>
          </w:tcPr>
          <w:p w14:paraId="3A64B79E" w14:textId="779E861D" w:rsidR="00F05844" w:rsidRPr="0067507D" w:rsidRDefault="00F05844" w:rsidP="00F05844">
            <w:pPr>
              <w:pStyle w:val="Tabletextcentred"/>
              <w:rPr>
                <w:rFonts w:eastAsia="Garamond"/>
              </w:rPr>
            </w:pPr>
            <w:r w:rsidRPr="0067507D">
              <w:t>$ million</w:t>
            </w:r>
          </w:p>
        </w:tc>
        <w:tc>
          <w:tcPr>
            <w:cnfStyle w:val="000001000000" w:firstRow="0" w:lastRow="0" w:firstColumn="0" w:lastColumn="0" w:oddVBand="0" w:evenVBand="1" w:oddHBand="0" w:evenHBand="0" w:firstRowFirstColumn="0" w:firstRowLastColumn="0" w:lastRowFirstColumn="0" w:lastRowLastColumn="0"/>
            <w:tcW w:w="1010" w:type="dxa"/>
          </w:tcPr>
          <w:p w14:paraId="44E50EC0" w14:textId="1414217D" w:rsidR="00F05844" w:rsidRPr="0067507D" w:rsidRDefault="006F11EF" w:rsidP="00F05844">
            <w:pPr>
              <w:pStyle w:val="Tabletextright"/>
              <w:rPr>
                <w:rFonts w:eastAsia="Garamond"/>
                <w:szCs w:val="24"/>
              </w:rPr>
            </w:pPr>
            <w:r w:rsidRPr="0067507D">
              <w:rPr>
                <w:rFonts w:eastAsia="Garamond"/>
                <w:szCs w:val="24"/>
              </w:rPr>
              <w:t>61</w:t>
            </w:r>
          </w:p>
        </w:tc>
        <w:tc>
          <w:tcPr>
            <w:cnfStyle w:val="000010000000" w:firstRow="0" w:lastRow="0" w:firstColumn="0" w:lastColumn="0" w:oddVBand="1" w:evenVBand="0" w:oddHBand="0" w:evenHBand="0" w:firstRowFirstColumn="0" w:firstRowLastColumn="0" w:lastRowFirstColumn="0" w:lastRowLastColumn="0"/>
            <w:tcW w:w="990" w:type="dxa"/>
          </w:tcPr>
          <w:p w14:paraId="2273BA3D" w14:textId="178BFEA6" w:rsidR="00F05844" w:rsidRPr="0067507D" w:rsidRDefault="00F05844" w:rsidP="00F05844">
            <w:pPr>
              <w:pStyle w:val="Tabletextright"/>
              <w:rPr>
                <w:rFonts w:eastAsia="Garamond"/>
                <w:szCs w:val="24"/>
              </w:rPr>
            </w:pPr>
            <w:r w:rsidRPr="0067507D">
              <w:rPr>
                <w:iCs/>
              </w:rPr>
              <w:t>60.3</w:t>
            </w:r>
          </w:p>
        </w:tc>
        <w:tc>
          <w:tcPr>
            <w:cnfStyle w:val="000001000000" w:firstRow="0" w:lastRow="0" w:firstColumn="0" w:lastColumn="0" w:oddVBand="0" w:evenVBand="1" w:oddHBand="0" w:evenHBand="0" w:firstRowFirstColumn="0" w:firstRowLastColumn="0" w:lastRowFirstColumn="0" w:lastRowLastColumn="0"/>
            <w:tcW w:w="1258" w:type="dxa"/>
          </w:tcPr>
          <w:p w14:paraId="4CBC6B82" w14:textId="0303B884" w:rsidR="00F05844" w:rsidRPr="0067507D" w:rsidRDefault="001D09F1" w:rsidP="00F05844">
            <w:pPr>
              <w:pStyle w:val="Tabletextright"/>
              <w:rPr>
                <w:rFonts w:eastAsia="Garamond"/>
              </w:rPr>
            </w:pPr>
            <w:r w:rsidRPr="0067507D">
              <w:rPr>
                <w:rFonts w:eastAsia="Garamond"/>
              </w:rPr>
              <w:t>0.9</w:t>
            </w:r>
          </w:p>
        </w:tc>
        <w:tc>
          <w:tcPr>
            <w:cnfStyle w:val="000010000000" w:firstRow="0" w:lastRow="0" w:firstColumn="0" w:lastColumn="0" w:oddVBand="1" w:evenVBand="0" w:oddHBand="0" w:evenHBand="0" w:firstRowFirstColumn="0" w:firstRowLastColumn="0" w:lastRowFirstColumn="0" w:lastRowLastColumn="0"/>
            <w:tcW w:w="961" w:type="dxa"/>
          </w:tcPr>
          <w:p w14:paraId="737540A7" w14:textId="77777777" w:rsidR="00F05844" w:rsidRPr="0067507D" w:rsidRDefault="00F05844" w:rsidP="004956C8">
            <w:pPr>
              <w:pStyle w:val="TargetMet"/>
              <w:rPr>
                <w:rFonts w:eastAsia="Garamond"/>
              </w:rPr>
            </w:pPr>
          </w:p>
        </w:tc>
      </w:tr>
    </w:tbl>
    <w:p w14:paraId="0A41D878" w14:textId="77777777" w:rsidR="00624F8E" w:rsidRPr="0067507D" w:rsidRDefault="00624F8E" w:rsidP="00624F8E"/>
    <w:p w14:paraId="3E973BBF" w14:textId="77777777" w:rsidR="00164EB5" w:rsidRPr="0067507D" w:rsidRDefault="00164EB5" w:rsidP="00624F8E"/>
    <w:p w14:paraId="51D7F122" w14:textId="12ABCDF9" w:rsidR="005E6D06" w:rsidRPr="0067507D" w:rsidRDefault="005E6D06" w:rsidP="005E6D06">
      <w:pPr>
        <w:pStyle w:val="Heading3"/>
        <w:pageBreakBefore/>
      </w:pPr>
      <w:bookmarkStart w:id="31" w:name="_Hlk83024798"/>
      <w:r w:rsidRPr="0067507D">
        <w:lastRenderedPageBreak/>
        <w:t>Economic Regulatory Services</w:t>
      </w:r>
    </w:p>
    <w:bookmarkEnd w:id="31"/>
    <w:p w14:paraId="57743F7B" w14:textId="43F02D97" w:rsidR="00D11601" w:rsidRPr="0067507D" w:rsidRDefault="002064D3" w:rsidP="000351B5">
      <w:pPr>
        <w:pStyle w:val="Bullet"/>
        <w:numPr>
          <w:ilvl w:val="0"/>
          <w:numId w:val="0"/>
        </w:numPr>
      </w:pPr>
      <w:r w:rsidRPr="0067507D">
        <w:t>This output provides economic regulation of utilities and other specified markets in Victoria to protect the long</w:t>
      </w:r>
      <w:r w:rsidR="00185020" w:rsidRPr="0067507D">
        <w:noBreakHyphen/>
      </w:r>
      <w:r w:rsidRPr="0067507D">
        <w:t>term interests of Victorian consumers with regard to price, quality, reliability and efficiency of essential services. By providing these services, this output contributes to the Departmental objective to strengthen Victoria’s economic performance.</w:t>
      </w:r>
    </w:p>
    <w:p w14:paraId="545B957B" w14:textId="77777777" w:rsidR="001B64D9" w:rsidRPr="0067507D" w:rsidRDefault="001B64D9" w:rsidP="00D11601">
      <w:pPr>
        <w:pStyle w:val="Spacer"/>
      </w:pPr>
    </w:p>
    <w:tbl>
      <w:tblPr>
        <w:tblStyle w:val="TableGrid"/>
        <w:tblW w:w="9000" w:type="dxa"/>
        <w:tblLayout w:type="fixed"/>
        <w:tblLook w:val="02A0" w:firstRow="1" w:lastRow="0" w:firstColumn="1" w:lastColumn="0" w:noHBand="1" w:noVBand="0"/>
      </w:tblPr>
      <w:tblGrid>
        <w:gridCol w:w="3690"/>
        <w:gridCol w:w="990"/>
        <w:gridCol w:w="1035"/>
        <w:gridCol w:w="1035"/>
        <w:gridCol w:w="1260"/>
        <w:gridCol w:w="990"/>
      </w:tblGrid>
      <w:tr w:rsidR="00E26BDE" w:rsidRPr="0067507D" w14:paraId="7234AAA1" w14:textId="77777777" w:rsidTr="00D609F5">
        <w:tc>
          <w:tcPr>
            <w:cnfStyle w:val="001000000000" w:firstRow="0" w:lastRow="0" w:firstColumn="1" w:lastColumn="0" w:oddVBand="0" w:evenVBand="0" w:oddHBand="0" w:evenHBand="0" w:firstRowFirstColumn="0" w:firstRowLastColumn="0" w:lastRowFirstColumn="0" w:lastRowLastColumn="0"/>
            <w:tcW w:w="3690" w:type="dxa"/>
            <w:vAlign w:val="bottom"/>
          </w:tcPr>
          <w:p w14:paraId="506868FA" w14:textId="7ED2903D" w:rsidR="00907FAE" w:rsidRPr="0067507D" w:rsidRDefault="00907FAE" w:rsidP="006B3412">
            <w:pPr>
              <w:pStyle w:val="Tabletextheadingleft"/>
              <w:rPr>
                <w:szCs w:val="16"/>
              </w:rPr>
            </w:pPr>
            <w:r w:rsidRPr="0067507D">
              <w:rPr>
                <w:szCs w:val="16"/>
              </w:rPr>
              <w:t>Performance measures</w:t>
            </w:r>
          </w:p>
        </w:tc>
        <w:tc>
          <w:tcPr>
            <w:cnfStyle w:val="000010000000" w:firstRow="0" w:lastRow="0" w:firstColumn="0" w:lastColumn="0" w:oddVBand="1" w:evenVBand="0" w:oddHBand="0" w:evenHBand="0" w:firstRowFirstColumn="0" w:firstRowLastColumn="0" w:lastRowFirstColumn="0" w:lastRowLastColumn="0"/>
            <w:tcW w:w="990" w:type="dxa"/>
          </w:tcPr>
          <w:p w14:paraId="50902AF1" w14:textId="77777777" w:rsidR="00907FAE" w:rsidRPr="0067507D" w:rsidRDefault="00907FAE" w:rsidP="006B3412">
            <w:pPr>
              <w:pStyle w:val="Tabletextheadingcentred"/>
              <w:rPr>
                <w:szCs w:val="16"/>
              </w:rPr>
            </w:pPr>
            <w:r w:rsidRPr="0067507D">
              <w:rPr>
                <w:szCs w:val="16"/>
              </w:rPr>
              <w:t>Unit of measure</w:t>
            </w:r>
          </w:p>
        </w:tc>
        <w:tc>
          <w:tcPr>
            <w:cnfStyle w:val="000001000000" w:firstRow="0" w:lastRow="0" w:firstColumn="0" w:lastColumn="0" w:oddVBand="0" w:evenVBand="1" w:oddHBand="0" w:evenHBand="0" w:firstRowFirstColumn="0" w:firstRowLastColumn="0" w:lastRowFirstColumn="0" w:lastRowLastColumn="0"/>
            <w:tcW w:w="1035" w:type="dxa"/>
            <w:vAlign w:val="bottom"/>
          </w:tcPr>
          <w:p w14:paraId="45CC3D83" w14:textId="5EBBB2A9" w:rsidR="00907FAE"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907FAE" w:rsidRPr="0067507D">
              <w:rPr>
                <w:szCs w:val="16"/>
              </w:rPr>
              <w:t xml:space="preserve"> actual</w:t>
            </w:r>
          </w:p>
        </w:tc>
        <w:tc>
          <w:tcPr>
            <w:cnfStyle w:val="000010000000" w:firstRow="0" w:lastRow="0" w:firstColumn="0" w:lastColumn="0" w:oddVBand="1" w:evenVBand="0" w:oddHBand="0" w:evenHBand="0" w:firstRowFirstColumn="0" w:firstRowLastColumn="0" w:lastRowFirstColumn="0" w:lastRowLastColumn="0"/>
            <w:tcW w:w="1035" w:type="dxa"/>
            <w:vAlign w:val="bottom"/>
          </w:tcPr>
          <w:p w14:paraId="47609BE3" w14:textId="6761C853" w:rsidR="00907FAE" w:rsidRPr="0067507D" w:rsidRDefault="00C30F42" w:rsidP="006B3412">
            <w:pPr>
              <w:pStyle w:val="Tabletextheadingrightbold"/>
            </w:pPr>
            <w:r w:rsidRPr="0067507D">
              <w:t>2024</w:t>
            </w:r>
            <w:r w:rsidR="006A5485">
              <w:noBreakHyphen/>
            </w:r>
            <w:r w:rsidRPr="0067507D">
              <w:t>25</w:t>
            </w:r>
            <w:r w:rsidR="00907FAE" w:rsidRPr="0067507D">
              <w:t xml:space="preserve"> target</w:t>
            </w:r>
          </w:p>
        </w:tc>
        <w:tc>
          <w:tcPr>
            <w:cnfStyle w:val="000001000000" w:firstRow="0" w:lastRow="0" w:firstColumn="0" w:lastColumn="0" w:oddVBand="0" w:evenVBand="1" w:oddHBand="0" w:evenHBand="0" w:firstRowFirstColumn="0" w:firstRowLastColumn="0" w:lastRowFirstColumn="0" w:lastRowLastColumn="0"/>
            <w:tcW w:w="1260" w:type="dxa"/>
            <w:vAlign w:val="bottom"/>
          </w:tcPr>
          <w:p w14:paraId="60493060" w14:textId="77777777" w:rsidR="00907FAE" w:rsidRPr="0067507D" w:rsidRDefault="00907FAE" w:rsidP="006B3412">
            <w:pPr>
              <w:pStyle w:val="Tabletextheadingright"/>
              <w:rPr>
                <w:szCs w:val="16"/>
              </w:rPr>
            </w:pPr>
            <w:r w:rsidRPr="0067507D">
              <w:rPr>
                <w:szCs w:val="16"/>
              </w:rPr>
              <w:t>Performance variation (%)</w:t>
            </w:r>
          </w:p>
        </w:tc>
        <w:tc>
          <w:tcPr>
            <w:cnfStyle w:val="000010000000" w:firstRow="0" w:lastRow="0" w:firstColumn="0" w:lastColumn="0" w:oddVBand="1" w:evenVBand="0" w:oddHBand="0" w:evenHBand="0" w:firstRowFirstColumn="0" w:firstRowLastColumn="0" w:lastRowFirstColumn="0" w:lastRowLastColumn="0"/>
            <w:tcW w:w="990" w:type="dxa"/>
            <w:vAlign w:val="bottom"/>
          </w:tcPr>
          <w:p w14:paraId="72D1B5B4" w14:textId="177359C5" w:rsidR="00907FAE" w:rsidRPr="0067507D" w:rsidRDefault="00907FAE" w:rsidP="006B3412">
            <w:pPr>
              <w:pStyle w:val="Tabletextheadingrightbold"/>
              <w:rPr>
                <w:szCs w:val="16"/>
              </w:rPr>
            </w:pPr>
            <w:r w:rsidRPr="0067507D">
              <w:rPr>
                <w:szCs w:val="16"/>
              </w:rPr>
              <w:t>Result</w:t>
            </w:r>
          </w:p>
        </w:tc>
      </w:tr>
      <w:tr w:rsidR="00E26BDE" w:rsidRPr="0067507D" w14:paraId="67E20D9D"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68F6148C" w14:textId="56338802" w:rsidR="00F05844" w:rsidRPr="0067507D" w:rsidRDefault="00F05844" w:rsidP="00F05844">
            <w:pPr>
              <w:pStyle w:val="Tabletextheadingleft"/>
            </w:pPr>
            <w:r w:rsidRPr="0067507D">
              <w:rPr>
                <w:iCs/>
              </w:rPr>
              <w:t>Quantity</w:t>
            </w:r>
          </w:p>
        </w:tc>
        <w:tc>
          <w:tcPr>
            <w:cnfStyle w:val="000010000000" w:firstRow="0" w:lastRow="0" w:firstColumn="0" w:lastColumn="0" w:oddVBand="1" w:evenVBand="0" w:oddHBand="0" w:evenHBand="0" w:firstRowFirstColumn="0" w:firstRowLastColumn="0" w:lastRowFirstColumn="0" w:lastRowLastColumn="0"/>
            <w:tcW w:w="990" w:type="dxa"/>
          </w:tcPr>
          <w:p w14:paraId="437F1B19" w14:textId="77777777" w:rsidR="00F05844" w:rsidRPr="0067507D" w:rsidRDefault="00F05844" w:rsidP="00F05844">
            <w:pPr>
              <w:pStyle w:val="Tabletextcentred"/>
            </w:pPr>
          </w:p>
        </w:tc>
        <w:tc>
          <w:tcPr>
            <w:cnfStyle w:val="000001000000" w:firstRow="0" w:lastRow="0" w:firstColumn="0" w:lastColumn="0" w:oddVBand="0" w:evenVBand="1" w:oddHBand="0" w:evenHBand="0" w:firstRowFirstColumn="0" w:firstRowLastColumn="0" w:lastRowFirstColumn="0" w:lastRowLastColumn="0"/>
            <w:tcW w:w="1035" w:type="dxa"/>
          </w:tcPr>
          <w:p w14:paraId="7E3F588F"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1035" w:type="dxa"/>
          </w:tcPr>
          <w:p w14:paraId="5F3554EB" w14:textId="77777777" w:rsidR="00F05844" w:rsidRPr="0067507D" w:rsidRDefault="00F05844" w:rsidP="00F05844">
            <w:pPr>
              <w:pStyle w:val="Tabletextright"/>
            </w:pPr>
          </w:p>
        </w:tc>
        <w:tc>
          <w:tcPr>
            <w:cnfStyle w:val="000001000000" w:firstRow="0" w:lastRow="0" w:firstColumn="0" w:lastColumn="0" w:oddVBand="0" w:evenVBand="1" w:oddHBand="0" w:evenHBand="0" w:firstRowFirstColumn="0" w:firstRowLastColumn="0" w:lastRowFirstColumn="0" w:lastRowLastColumn="0"/>
            <w:tcW w:w="1260" w:type="dxa"/>
          </w:tcPr>
          <w:p w14:paraId="1C0795AA"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990" w:type="dxa"/>
          </w:tcPr>
          <w:p w14:paraId="6A054983" w14:textId="77777777" w:rsidR="00F05844" w:rsidRPr="0067507D" w:rsidRDefault="00F05844" w:rsidP="00F05844">
            <w:pPr>
              <w:pStyle w:val="Tabletextright"/>
            </w:pPr>
          </w:p>
        </w:tc>
      </w:tr>
      <w:tr w:rsidR="00E26BDE" w:rsidRPr="0067507D" w14:paraId="0D631666"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631C0E81" w14:textId="77777777" w:rsidR="00F05844" w:rsidRPr="0067507D" w:rsidRDefault="00F05844" w:rsidP="00F05844">
            <w:pPr>
              <w:pStyle w:val="Tabletext"/>
              <w:rPr>
                <w:iCs/>
              </w:rPr>
            </w:pPr>
            <w:r w:rsidRPr="0067507D">
              <w:rPr>
                <w:iCs/>
              </w:rPr>
              <w:t>Compliance and enforcement activities – Energy</w:t>
            </w:r>
          </w:p>
          <w:p w14:paraId="663136DF" w14:textId="4C44054D" w:rsidR="00F05844" w:rsidRPr="0067507D" w:rsidRDefault="007D3272" w:rsidP="00A42EAF">
            <w:pPr>
              <w:pStyle w:val="Tabletextnotes"/>
            </w:pPr>
            <w:r w:rsidRPr="0067507D">
              <w:t>T</w:t>
            </w:r>
            <w:r w:rsidR="00CD7329" w:rsidRPr="0067507D">
              <w:t>he 2024</w:t>
            </w:r>
            <w:r w:rsidR="006A5485">
              <w:noBreakHyphen/>
            </w:r>
            <w:r w:rsidR="00CD7329" w:rsidRPr="0067507D">
              <w:t>25 actual is higher than the target due to a higher number of penalty notice</w:t>
            </w:r>
            <w:r w:rsidR="00A52A31" w:rsidRPr="0067507D">
              <w:t>s</w:t>
            </w:r>
            <w:r w:rsidR="00CD7329" w:rsidRPr="0067507D">
              <w:t xml:space="preserve"> being issued.</w:t>
            </w:r>
          </w:p>
        </w:tc>
        <w:tc>
          <w:tcPr>
            <w:cnfStyle w:val="000010000000" w:firstRow="0" w:lastRow="0" w:firstColumn="0" w:lastColumn="0" w:oddVBand="1" w:evenVBand="0" w:oddHBand="0" w:evenHBand="0" w:firstRowFirstColumn="0" w:firstRowLastColumn="0" w:lastRowFirstColumn="0" w:lastRowLastColumn="0"/>
            <w:tcW w:w="990" w:type="dxa"/>
          </w:tcPr>
          <w:p w14:paraId="0912E600" w14:textId="1414E63B"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5" w:type="dxa"/>
          </w:tcPr>
          <w:p w14:paraId="350E5170" w14:textId="592951CE" w:rsidR="00F05844" w:rsidRPr="0067507D" w:rsidRDefault="000177FA" w:rsidP="00F05844">
            <w:pPr>
              <w:pStyle w:val="Tabletextright"/>
            </w:pPr>
            <w:r w:rsidRPr="0067507D">
              <w:t>208</w:t>
            </w:r>
          </w:p>
        </w:tc>
        <w:tc>
          <w:tcPr>
            <w:cnfStyle w:val="000010000000" w:firstRow="0" w:lastRow="0" w:firstColumn="0" w:lastColumn="0" w:oddVBand="1" w:evenVBand="0" w:oddHBand="0" w:evenHBand="0" w:firstRowFirstColumn="0" w:firstRowLastColumn="0" w:lastRowFirstColumn="0" w:lastRowLastColumn="0"/>
            <w:tcW w:w="1035" w:type="dxa"/>
          </w:tcPr>
          <w:p w14:paraId="0156FB73" w14:textId="00D12101" w:rsidR="00F05844" w:rsidRPr="0067507D" w:rsidRDefault="00F05844" w:rsidP="00F05844">
            <w:pPr>
              <w:pStyle w:val="Tabletextright"/>
            </w:pPr>
            <w:r w:rsidRPr="0067507D">
              <w:rPr>
                <w:iCs/>
              </w:rPr>
              <w:t>150</w:t>
            </w:r>
          </w:p>
        </w:tc>
        <w:tc>
          <w:tcPr>
            <w:cnfStyle w:val="000001000000" w:firstRow="0" w:lastRow="0" w:firstColumn="0" w:lastColumn="0" w:oddVBand="0" w:evenVBand="1" w:oddHBand="0" w:evenHBand="0" w:firstRowFirstColumn="0" w:firstRowLastColumn="0" w:lastRowFirstColumn="0" w:lastRowLastColumn="0"/>
            <w:tcW w:w="1260" w:type="dxa"/>
          </w:tcPr>
          <w:p w14:paraId="00F92261" w14:textId="7449E3FC" w:rsidR="00F05844" w:rsidRPr="0067507D" w:rsidRDefault="000177FA" w:rsidP="00F05844">
            <w:pPr>
              <w:pStyle w:val="Tabletextright"/>
            </w:pPr>
            <w:r w:rsidRPr="0067507D">
              <w:t>3</w:t>
            </w:r>
            <w:r w:rsidR="00200789" w:rsidRPr="0067507D">
              <w:t>9</w:t>
            </w:r>
          </w:p>
        </w:tc>
        <w:tc>
          <w:tcPr>
            <w:cnfStyle w:val="000010000000" w:firstRow="0" w:lastRow="0" w:firstColumn="0" w:lastColumn="0" w:oddVBand="1" w:evenVBand="0" w:oddHBand="0" w:evenHBand="0" w:firstRowFirstColumn="0" w:firstRowLastColumn="0" w:lastRowFirstColumn="0" w:lastRowLastColumn="0"/>
            <w:tcW w:w="990" w:type="dxa"/>
          </w:tcPr>
          <w:p w14:paraId="70A88E2C" w14:textId="77777777" w:rsidR="00F05844" w:rsidRPr="0067507D" w:rsidRDefault="00F05844" w:rsidP="001857CC">
            <w:pPr>
              <w:pStyle w:val="TargetMet"/>
            </w:pPr>
          </w:p>
        </w:tc>
      </w:tr>
      <w:tr w:rsidR="00E26BDE" w:rsidRPr="0067507D" w14:paraId="79AF34CC"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685E80C7" w14:textId="77777777" w:rsidR="00F05844" w:rsidRPr="0067507D" w:rsidRDefault="00F05844" w:rsidP="00F05844">
            <w:pPr>
              <w:pStyle w:val="Tabletext"/>
              <w:rPr>
                <w:iCs/>
              </w:rPr>
            </w:pPr>
            <w:r w:rsidRPr="0067507D">
              <w:rPr>
                <w:iCs/>
              </w:rPr>
              <w:t>Compliance and enforcement activities – Victorian Energy Upgrades</w:t>
            </w:r>
          </w:p>
          <w:p w14:paraId="2D5EFB48" w14:textId="681D46DA" w:rsidR="00F05844" w:rsidRPr="0067507D" w:rsidRDefault="002D5C1F" w:rsidP="00A42EAF">
            <w:pPr>
              <w:pStyle w:val="Tabletextnotes"/>
            </w:pPr>
            <w:r w:rsidRPr="0067507D">
              <w:t>The 2024</w:t>
            </w:r>
            <w:r w:rsidR="006A5485">
              <w:noBreakHyphen/>
            </w:r>
            <w:r w:rsidRPr="0067507D">
              <w:t xml:space="preserve">25 actual is higher than the target due to </w:t>
            </w:r>
            <w:r w:rsidR="00A52A31" w:rsidRPr="0067507D">
              <w:t>increased</w:t>
            </w:r>
            <w:r w:rsidRPr="0067507D">
              <w:t xml:space="preserve"> numbers of accredited persons in the program and the embedding of new audit, compliance and enforcement functions.</w:t>
            </w:r>
          </w:p>
        </w:tc>
        <w:tc>
          <w:tcPr>
            <w:cnfStyle w:val="000010000000" w:firstRow="0" w:lastRow="0" w:firstColumn="0" w:lastColumn="0" w:oddVBand="1" w:evenVBand="0" w:oddHBand="0" w:evenHBand="0" w:firstRowFirstColumn="0" w:firstRowLastColumn="0" w:lastRowFirstColumn="0" w:lastRowLastColumn="0"/>
            <w:tcW w:w="990" w:type="dxa"/>
          </w:tcPr>
          <w:p w14:paraId="2FDAC3C9" w14:textId="01F0CD03"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5" w:type="dxa"/>
          </w:tcPr>
          <w:p w14:paraId="7695CC8F" w14:textId="28931E97" w:rsidR="00F05844" w:rsidRPr="0067507D" w:rsidRDefault="001E27F4" w:rsidP="00F05844">
            <w:pPr>
              <w:pStyle w:val="Tabletextright"/>
            </w:pPr>
            <w:r w:rsidRPr="0067507D">
              <w:t>226</w:t>
            </w:r>
          </w:p>
        </w:tc>
        <w:tc>
          <w:tcPr>
            <w:cnfStyle w:val="000010000000" w:firstRow="0" w:lastRow="0" w:firstColumn="0" w:lastColumn="0" w:oddVBand="1" w:evenVBand="0" w:oddHBand="0" w:evenHBand="0" w:firstRowFirstColumn="0" w:firstRowLastColumn="0" w:lastRowFirstColumn="0" w:lastRowLastColumn="0"/>
            <w:tcW w:w="1035" w:type="dxa"/>
          </w:tcPr>
          <w:p w14:paraId="6BD58248" w14:textId="0DF5A1AB" w:rsidR="00F05844" w:rsidRPr="0067507D" w:rsidRDefault="00F05844" w:rsidP="00F05844">
            <w:pPr>
              <w:pStyle w:val="Tabletextright"/>
            </w:pPr>
            <w:r w:rsidRPr="0067507D">
              <w:rPr>
                <w:iCs/>
              </w:rPr>
              <w:t>150</w:t>
            </w:r>
          </w:p>
        </w:tc>
        <w:tc>
          <w:tcPr>
            <w:cnfStyle w:val="000001000000" w:firstRow="0" w:lastRow="0" w:firstColumn="0" w:lastColumn="0" w:oddVBand="0" w:evenVBand="1" w:oddHBand="0" w:evenHBand="0" w:firstRowFirstColumn="0" w:firstRowLastColumn="0" w:lastRowFirstColumn="0" w:lastRowLastColumn="0"/>
            <w:tcW w:w="1260" w:type="dxa"/>
          </w:tcPr>
          <w:p w14:paraId="78F3F991" w14:textId="5BCD9EAE" w:rsidR="00F05844" w:rsidRPr="0067507D" w:rsidRDefault="0053377D" w:rsidP="00F05844">
            <w:pPr>
              <w:pStyle w:val="Tabletextright"/>
            </w:pPr>
            <w:r w:rsidRPr="0067507D">
              <w:t>51</w:t>
            </w:r>
          </w:p>
        </w:tc>
        <w:tc>
          <w:tcPr>
            <w:cnfStyle w:val="000010000000" w:firstRow="0" w:lastRow="0" w:firstColumn="0" w:lastColumn="0" w:oddVBand="1" w:evenVBand="0" w:oddHBand="0" w:evenHBand="0" w:firstRowFirstColumn="0" w:firstRowLastColumn="0" w:lastRowFirstColumn="0" w:lastRowLastColumn="0"/>
            <w:tcW w:w="990" w:type="dxa"/>
          </w:tcPr>
          <w:p w14:paraId="42BA21CB" w14:textId="77777777" w:rsidR="00F05844" w:rsidRPr="0067507D" w:rsidRDefault="00F05844" w:rsidP="001857CC">
            <w:pPr>
              <w:pStyle w:val="TargetMet"/>
            </w:pPr>
          </w:p>
        </w:tc>
      </w:tr>
      <w:tr w:rsidR="00E26BDE" w:rsidRPr="0067507D" w14:paraId="596529AC"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51895DF6" w14:textId="2347CBBB" w:rsidR="00F05844" w:rsidRPr="0067507D" w:rsidRDefault="00F05844" w:rsidP="00F05844">
            <w:pPr>
              <w:pStyle w:val="Tabletext"/>
            </w:pPr>
            <w:r w:rsidRPr="0067507D">
              <w:rPr>
                <w:iCs/>
              </w:rPr>
              <w:t>Performance reports for regulated industries</w:t>
            </w:r>
          </w:p>
        </w:tc>
        <w:tc>
          <w:tcPr>
            <w:cnfStyle w:val="000010000000" w:firstRow="0" w:lastRow="0" w:firstColumn="0" w:lastColumn="0" w:oddVBand="1" w:evenVBand="0" w:oddHBand="0" w:evenHBand="0" w:firstRowFirstColumn="0" w:firstRowLastColumn="0" w:lastRowFirstColumn="0" w:lastRowLastColumn="0"/>
            <w:tcW w:w="990" w:type="dxa"/>
          </w:tcPr>
          <w:p w14:paraId="1DE676EB" w14:textId="145F8EAB"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5" w:type="dxa"/>
          </w:tcPr>
          <w:p w14:paraId="2D6CD2F7" w14:textId="7624EFD0" w:rsidR="00F05844" w:rsidRPr="0067507D" w:rsidRDefault="0053377D" w:rsidP="00F05844">
            <w:pPr>
              <w:pStyle w:val="Tabletextright"/>
            </w:pPr>
            <w:r w:rsidRPr="0067507D">
              <w:t>12</w:t>
            </w:r>
          </w:p>
        </w:tc>
        <w:tc>
          <w:tcPr>
            <w:cnfStyle w:val="000010000000" w:firstRow="0" w:lastRow="0" w:firstColumn="0" w:lastColumn="0" w:oddVBand="1" w:evenVBand="0" w:oddHBand="0" w:evenHBand="0" w:firstRowFirstColumn="0" w:firstRowLastColumn="0" w:lastRowFirstColumn="0" w:lastRowLastColumn="0"/>
            <w:tcW w:w="1035" w:type="dxa"/>
          </w:tcPr>
          <w:p w14:paraId="42E60D0C" w14:textId="30F0DF68" w:rsidR="00F05844" w:rsidRPr="0067507D" w:rsidRDefault="00F05844" w:rsidP="00F05844">
            <w:pPr>
              <w:pStyle w:val="Tabletextright"/>
            </w:pPr>
            <w:r w:rsidRPr="0067507D">
              <w:rPr>
                <w:iCs/>
              </w:rPr>
              <w:t>12</w:t>
            </w:r>
          </w:p>
        </w:tc>
        <w:tc>
          <w:tcPr>
            <w:cnfStyle w:val="000001000000" w:firstRow="0" w:lastRow="0" w:firstColumn="0" w:lastColumn="0" w:oddVBand="0" w:evenVBand="1" w:oddHBand="0" w:evenHBand="0" w:firstRowFirstColumn="0" w:firstRowLastColumn="0" w:lastRowFirstColumn="0" w:lastRowLastColumn="0"/>
            <w:tcW w:w="1260" w:type="dxa"/>
          </w:tcPr>
          <w:p w14:paraId="0E8F4B7F" w14:textId="3ECB827B" w:rsidR="00F05844" w:rsidRPr="0067507D" w:rsidRDefault="008113F1" w:rsidP="00F05844">
            <w:pPr>
              <w:pStyle w:val="Tabletextright"/>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2A4FFB37" w14:textId="77777777" w:rsidR="00F05844" w:rsidRPr="0067507D" w:rsidRDefault="00F05844" w:rsidP="001857CC">
            <w:pPr>
              <w:pStyle w:val="TargetMet"/>
            </w:pPr>
          </w:p>
        </w:tc>
      </w:tr>
      <w:tr w:rsidR="00E26BDE" w:rsidRPr="0067507D" w14:paraId="6C48078B"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18FC8A45" w14:textId="23B775D8" w:rsidR="00F05844" w:rsidRPr="0067507D" w:rsidRDefault="00F05844" w:rsidP="00F05844">
            <w:pPr>
              <w:pStyle w:val="Tabletext"/>
            </w:pPr>
            <w:r w:rsidRPr="0067507D">
              <w:rPr>
                <w:iCs/>
              </w:rPr>
              <w:t>Price determinations of regulated businesses</w:t>
            </w:r>
          </w:p>
        </w:tc>
        <w:tc>
          <w:tcPr>
            <w:cnfStyle w:val="000010000000" w:firstRow="0" w:lastRow="0" w:firstColumn="0" w:lastColumn="0" w:oddVBand="1" w:evenVBand="0" w:oddHBand="0" w:evenHBand="0" w:firstRowFirstColumn="0" w:firstRowLastColumn="0" w:lastRowFirstColumn="0" w:lastRowLastColumn="0"/>
            <w:tcW w:w="990" w:type="dxa"/>
          </w:tcPr>
          <w:p w14:paraId="2B514A4A" w14:textId="5030A9DF"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5" w:type="dxa"/>
          </w:tcPr>
          <w:p w14:paraId="689BCED3" w14:textId="53F33B57" w:rsidR="00F05844" w:rsidRPr="0067507D" w:rsidRDefault="0053377D" w:rsidP="00F05844">
            <w:pPr>
              <w:pStyle w:val="Tabletextright"/>
            </w:pPr>
            <w:r w:rsidRPr="0067507D">
              <w:t>20</w:t>
            </w:r>
          </w:p>
        </w:tc>
        <w:tc>
          <w:tcPr>
            <w:cnfStyle w:val="000010000000" w:firstRow="0" w:lastRow="0" w:firstColumn="0" w:lastColumn="0" w:oddVBand="1" w:evenVBand="0" w:oddHBand="0" w:evenHBand="0" w:firstRowFirstColumn="0" w:firstRowLastColumn="0" w:lastRowFirstColumn="0" w:lastRowLastColumn="0"/>
            <w:tcW w:w="1035" w:type="dxa"/>
          </w:tcPr>
          <w:p w14:paraId="3C5A5B9B" w14:textId="75F1B802" w:rsidR="00F05844" w:rsidRPr="0067507D" w:rsidRDefault="00F05844" w:rsidP="00F05844">
            <w:pPr>
              <w:pStyle w:val="Tabletextright"/>
            </w:pPr>
            <w:r w:rsidRPr="0067507D">
              <w:rPr>
                <w:iCs/>
              </w:rPr>
              <w:t>19</w:t>
            </w:r>
          </w:p>
        </w:tc>
        <w:tc>
          <w:tcPr>
            <w:cnfStyle w:val="000001000000" w:firstRow="0" w:lastRow="0" w:firstColumn="0" w:lastColumn="0" w:oddVBand="0" w:evenVBand="1" w:oddHBand="0" w:evenHBand="0" w:firstRowFirstColumn="0" w:firstRowLastColumn="0" w:lastRowFirstColumn="0" w:lastRowLastColumn="0"/>
            <w:tcW w:w="1260" w:type="dxa"/>
          </w:tcPr>
          <w:p w14:paraId="717912D0" w14:textId="5AB3EE3B" w:rsidR="00F05844" w:rsidRPr="0067507D" w:rsidRDefault="0053377D" w:rsidP="00F05844">
            <w:pPr>
              <w:pStyle w:val="Tabletextright"/>
            </w:pPr>
            <w:r w:rsidRPr="0067507D">
              <w:t>5</w:t>
            </w:r>
          </w:p>
        </w:tc>
        <w:tc>
          <w:tcPr>
            <w:cnfStyle w:val="000010000000" w:firstRow="0" w:lastRow="0" w:firstColumn="0" w:lastColumn="0" w:oddVBand="1" w:evenVBand="0" w:oddHBand="0" w:evenHBand="0" w:firstRowFirstColumn="0" w:firstRowLastColumn="0" w:lastRowFirstColumn="0" w:lastRowLastColumn="0"/>
            <w:tcW w:w="990" w:type="dxa"/>
          </w:tcPr>
          <w:p w14:paraId="4CD396AB" w14:textId="7F12700E" w:rsidR="00F05844" w:rsidRPr="0067507D" w:rsidRDefault="00F05844" w:rsidP="001857CC">
            <w:pPr>
              <w:pStyle w:val="TargetMet"/>
            </w:pPr>
          </w:p>
        </w:tc>
      </w:tr>
      <w:tr w:rsidR="00E26BDE" w:rsidRPr="0067507D" w14:paraId="5FE57467"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6C82BA98" w14:textId="77777777" w:rsidR="00F05844" w:rsidRPr="0067507D" w:rsidRDefault="00F05844" w:rsidP="00F05844">
            <w:pPr>
              <w:pStyle w:val="Tabletext"/>
              <w:rPr>
                <w:iCs/>
              </w:rPr>
            </w:pPr>
            <w:r w:rsidRPr="0067507D">
              <w:rPr>
                <w:iCs/>
              </w:rPr>
              <w:t>Reviews, investigations or advisory projects</w:t>
            </w:r>
          </w:p>
          <w:p w14:paraId="22564F24" w14:textId="526CAD07" w:rsidR="00F05844" w:rsidRPr="0067507D" w:rsidRDefault="00377FDA" w:rsidP="00A42EAF">
            <w:pPr>
              <w:pStyle w:val="Tabletextnotes"/>
            </w:pPr>
            <w:r w:rsidRPr="0067507D">
              <w:t>The 2024</w:t>
            </w:r>
            <w:r w:rsidR="006A5485">
              <w:noBreakHyphen/>
            </w:r>
            <w:r w:rsidRPr="0067507D">
              <w:t>25 actual is higher than the target due to the accident towing review that is undertaken every four years.</w:t>
            </w:r>
          </w:p>
        </w:tc>
        <w:tc>
          <w:tcPr>
            <w:cnfStyle w:val="000010000000" w:firstRow="0" w:lastRow="0" w:firstColumn="0" w:lastColumn="0" w:oddVBand="1" w:evenVBand="0" w:oddHBand="0" w:evenHBand="0" w:firstRowFirstColumn="0" w:firstRowLastColumn="0" w:lastRowFirstColumn="0" w:lastRowLastColumn="0"/>
            <w:tcW w:w="990" w:type="dxa"/>
          </w:tcPr>
          <w:p w14:paraId="6426E46E" w14:textId="409B0873"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5" w:type="dxa"/>
          </w:tcPr>
          <w:p w14:paraId="43162D52" w14:textId="25741741" w:rsidR="00F05844" w:rsidRPr="0067507D" w:rsidRDefault="000D30C8" w:rsidP="00F05844">
            <w:pPr>
              <w:pStyle w:val="Tabletextright"/>
            </w:pPr>
            <w:r w:rsidRPr="0067507D">
              <w:t>3</w:t>
            </w:r>
          </w:p>
        </w:tc>
        <w:tc>
          <w:tcPr>
            <w:cnfStyle w:val="000010000000" w:firstRow="0" w:lastRow="0" w:firstColumn="0" w:lastColumn="0" w:oddVBand="1" w:evenVBand="0" w:oddHBand="0" w:evenHBand="0" w:firstRowFirstColumn="0" w:firstRowLastColumn="0" w:lastRowFirstColumn="0" w:lastRowLastColumn="0"/>
            <w:tcW w:w="1035" w:type="dxa"/>
          </w:tcPr>
          <w:p w14:paraId="44D58911" w14:textId="169FF30E" w:rsidR="00F05844" w:rsidRPr="0067507D" w:rsidRDefault="00F05844" w:rsidP="00F05844">
            <w:pPr>
              <w:pStyle w:val="Tabletextright"/>
            </w:pPr>
            <w:r w:rsidRPr="0067507D">
              <w:rPr>
                <w:iCs/>
              </w:rPr>
              <w:t>2</w:t>
            </w:r>
          </w:p>
        </w:tc>
        <w:tc>
          <w:tcPr>
            <w:cnfStyle w:val="000001000000" w:firstRow="0" w:lastRow="0" w:firstColumn="0" w:lastColumn="0" w:oddVBand="0" w:evenVBand="1" w:oddHBand="0" w:evenHBand="0" w:firstRowFirstColumn="0" w:firstRowLastColumn="0" w:lastRowFirstColumn="0" w:lastRowLastColumn="0"/>
            <w:tcW w:w="1260" w:type="dxa"/>
          </w:tcPr>
          <w:p w14:paraId="4EF828B1" w14:textId="0E7A3062" w:rsidR="00F05844" w:rsidRPr="0067507D" w:rsidRDefault="000D30C8" w:rsidP="00F05844">
            <w:pPr>
              <w:pStyle w:val="Tabletextright"/>
            </w:pPr>
            <w:r w:rsidRPr="0067507D">
              <w:t>50</w:t>
            </w:r>
          </w:p>
        </w:tc>
        <w:tc>
          <w:tcPr>
            <w:cnfStyle w:val="000010000000" w:firstRow="0" w:lastRow="0" w:firstColumn="0" w:lastColumn="0" w:oddVBand="1" w:evenVBand="0" w:oddHBand="0" w:evenHBand="0" w:firstRowFirstColumn="0" w:firstRowLastColumn="0" w:lastRowFirstColumn="0" w:lastRowLastColumn="0"/>
            <w:tcW w:w="990" w:type="dxa"/>
          </w:tcPr>
          <w:p w14:paraId="213DEE23" w14:textId="77777777" w:rsidR="00F05844" w:rsidRPr="0067507D" w:rsidRDefault="00F05844" w:rsidP="001857CC">
            <w:pPr>
              <w:pStyle w:val="TargetMet"/>
            </w:pPr>
          </w:p>
        </w:tc>
      </w:tr>
      <w:tr w:rsidR="00E26BDE" w:rsidRPr="0067507D" w14:paraId="37FFE1FD"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4087F840" w14:textId="77777777" w:rsidR="00F05844" w:rsidRPr="0067507D" w:rsidRDefault="00F05844" w:rsidP="00F05844">
            <w:pPr>
              <w:pStyle w:val="Tabletext"/>
              <w:rPr>
                <w:iCs/>
              </w:rPr>
            </w:pPr>
            <w:r w:rsidRPr="0067507D">
              <w:rPr>
                <w:iCs/>
              </w:rPr>
              <w:t>Setting of regulated prices and tariffs in the energy sector</w:t>
            </w:r>
          </w:p>
          <w:p w14:paraId="00AF7C66" w14:textId="04CEEA7C" w:rsidR="00F05844" w:rsidRPr="0067507D" w:rsidRDefault="00B32DDA" w:rsidP="005D26AA">
            <w:pPr>
              <w:pStyle w:val="Tabletextnotes"/>
            </w:pPr>
            <w:r w:rsidRPr="0067507D">
              <w:t>The 2024</w:t>
            </w:r>
            <w:r w:rsidR="006A5485">
              <w:noBreakHyphen/>
            </w:r>
            <w:r w:rsidRPr="0067507D">
              <w:t>25 actual is higher than the target due to a higher number of energy pricing decisions being made in the year than expected.</w:t>
            </w:r>
          </w:p>
        </w:tc>
        <w:tc>
          <w:tcPr>
            <w:cnfStyle w:val="000010000000" w:firstRow="0" w:lastRow="0" w:firstColumn="0" w:lastColumn="0" w:oddVBand="1" w:evenVBand="0" w:oddHBand="0" w:evenHBand="0" w:firstRowFirstColumn="0" w:firstRowLastColumn="0" w:lastRowFirstColumn="0" w:lastRowLastColumn="0"/>
            <w:tcW w:w="990" w:type="dxa"/>
          </w:tcPr>
          <w:p w14:paraId="6743F486" w14:textId="49CA0158"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5" w:type="dxa"/>
          </w:tcPr>
          <w:p w14:paraId="35089D9C" w14:textId="7B8113EA" w:rsidR="00F05844" w:rsidRPr="0067507D" w:rsidRDefault="000D30C8" w:rsidP="00F05844">
            <w:pPr>
              <w:pStyle w:val="Tabletextright"/>
            </w:pPr>
            <w:r w:rsidRPr="0067507D">
              <w:t>16</w:t>
            </w:r>
          </w:p>
        </w:tc>
        <w:tc>
          <w:tcPr>
            <w:cnfStyle w:val="000010000000" w:firstRow="0" w:lastRow="0" w:firstColumn="0" w:lastColumn="0" w:oddVBand="1" w:evenVBand="0" w:oddHBand="0" w:evenHBand="0" w:firstRowFirstColumn="0" w:firstRowLastColumn="0" w:lastRowFirstColumn="0" w:lastRowLastColumn="0"/>
            <w:tcW w:w="1035" w:type="dxa"/>
          </w:tcPr>
          <w:p w14:paraId="26934250" w14:textId="65A27318" w:rsidR="00F05844" w:rsidRPr="0067507D" w:rsidRDefault="00F05844" w:rsidP="00F05844">
            <w:pPr>
              <w:pStyle w:val="Tabletextright"/>
            </w:pPr>
            <w:r w:rsidRPr="0067507D">
              <w:rPr>
                <w:iCs/>
              </w:rPr>
              <w:t>15</w:t>
            </w:r>
          </w:p>
        </w:tc>
        <w:tc>
          <w:tcPr>
            <w:cnfStyle w:val="000001000000" w:firstRow="0" w:lastRow="0" w:firstColumn="0" w:lastColumn="0" w:oddVBand="0" w:evenVBand="1" w:oddHBand="0" w:evenHBand="0" w:firstRowFirstColumn="0" w:firstRowLastColumn="0" w:lastRowFirstColumn="0" w:lastRowLastColumn="0"/>
            <w:tcW w:w="1260" w:type="dxa"/>
          </w:tcPr>
          <w:p w14:paraId="7A63CC54" w14:textId="3D21D949" w:rsidR="00F05844" w:rsidRPr="0067507D" w:rsidRDefault="000D30C8" w:rsidP="00F05844">
            <w:pPr>
              <w:pStyle w:val="Tabletextright"/>
            </w:pPr>
            <w:r w:rsidRPr="0067507D">
              <w:t>7</w:t>
            </w:r>
          </w:p>
        </w:tc>
        <w:tc>
          <w:tcPr>
            <w:cnfStyle w:val="000010000000" w:firstRow="0" w:lastRow="0" w:firstColumn="0" w:lastColumn="0" w:oddVBand="1" w:evenVBand="0" w:oddHBand="0" w:evenHBand="0" w:firstRowFirstColumn="0" w:firstRowLastColumn="0" w:lastRowFirstColumn="0" w:lastRowLastColumn="0"/>
            <w:tcW w:w="990" w:type="dxa"/>
          </w:tcPr>
          <w:p w14:paraId="61A2A77A" w14:textId="77777777" w:rsidR="00F05844" w:rsidRPr="0067507D" w:rsidRDefault="00F05844" w:rsidP="001857CC">
            <w:pPr>
              <w:pStyle w:val="TargetMet"/>
            </w:pPr>
          </w:p>
        </w:tc>
      </w:tr>
      <w:tr w:rsidR="00E26BDE" w:rsidRPr="0067507D" w14:paraId="116248C4"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26E52B74" w14:textId="77777777" w:rsidR="00F05844" w:rsidRPr="0067507D" w:rsidRDefault="00F05844" w:rsidP="00F05844">
            <w:pPr>
              <w:pStyle w:val="Tabletext"/>
              <w:rPr>
                <w:iCs/>
              </w:rPr>
            </w:pPr>
            <w:r w:rsidRPr="0067507D">
              <w:rPr>
                <w:iCs/>
              </w:rPr>
              <w:t>Victorian Energy Upgrades program approvals and refusals</w:t>
            </w:r>
          </w:p>
          <w:p w14:paraId="6E8D8B9C" w14:textId="3E068F39" w:rsidR="00F05844" w:rsidRPr="0067507D" w:rsidRDefault="00CF5604" w:rsidP="00FB5B3D">
            <w:pPr>
              <w:pStyle w:val="Tabletextnotes"/>
            </w:pPr>
            <w:r w:rsidRPr="0067507D">
              <w:t>The 2024</w:t>
            </w:r>
            <w:r w:rsidR="006A5485">
              <w:noBreakHyphen/>
            </w:r>
            <w:r w:rsidRPr="0067507D">
              <w:t>25 actual is lower than the target reflecting changes to the Victorian Energy Upgrades (VEU) program.</w:t>
            </w:r>
            <w:r w:rsidR="00C5649A" w:rsidRPr="0067507D">
              <w:t xml:space="preserve"> 2025</w:t>
            </w:r>
            <w:r w:rsidR="006A5485">
              <w:noBreakHyphen/>
            </w:r>
            <w:r w:rsidR="00C5649A" w:rsidRPr="0067507D">
              <w:t>26 targets have been reduced to reflect this changing environment.</w:t>
            </w:r>
          </w:p>
        </w:tc>
        <w:tc>
          <w:tcPr>
            <w:cnfStyle w:val="000010000000" w:firstRow="0" w:lastRow="0" w:firstColumn="0" w:lastColumn="0" w:oddVBand="1" w:evenVBand="0" w:oddHBand="0" w:evenHBand="0" w:firstRowFirstColumn="0" w:firstRowLastColumn="0" w:lastRowFirstColumn="0" w:lastRowLastColumn="0"/>
            <w:tcW w:w="990" w:type="dxa"/>
          </w:tcPr>
          <w:p w14:paraId="4731E4AB" w14:textId="6CCAEE78"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5" w:type="dxa"/>
          </w:tcPr>
          <w:p w14:paraId="601E5DD8" w14:textId="7A1F14E3" w:rsidR="00F05844" w:rsidRPr="0067507D" w:rsidRDefault="000D30C8" w:rsidP="00F05844">
            <w:pPr>
              <w:pStyle w:val="Tabletextright"/>
            </w:pPr>
            <w:r w:rsidRPr="0067507D">
              <w:t>1</w:t>
            </w:r>
            <w:r w:rsidR="00CD6F15" w:rsidRPr="0067507D">
              <w:t xml:space="preserve"> </w:t>
            </w:r>
            <w:r w:rsidRPr="0067507D">
              <w:t>197</w:t>
            </w:r>
          </w:p>
        </w:tc>
        <w:tc>
          <w:tcPr>
            <w:cnfStyle w:val="000010000000" w:firstRow="0" w:lastRow="0" w:firstColumn="0" w:lastColumn="0" w:oddVBand="1" w:evenVBand="0" w:oddHBand="0" w:evenHBand="0" w:firstRowFirstColumn="0" w:firstRowLastColumn="0" w:lastRowFirstColumn="0" w:lastRowLastColumn="0"/>
            <w:tcW w:w="1035" w:type="dxa"/>
          </w:tcPr>
          <w:p w14:paraId="08030CA0" w14:textId="402B56E6" w:rsidR="00F05844" w:rsidRPr="0067507D" w:rsidRDefault="00F05844" w:rsidP="00F05844">
            <w:pPr>
              <w:pStyle w:val="Tabletextright"/>
            </w:pPr>
            <w:r w:rsidRPr="0067507D">
              <w:rPr>
                <w:iCs/>
              </w:rPr>
              <w:t>1 780</w:t>
            </w:r>
          </w:p>
        </w:tc>
        <w:tc>
          <w:tcPr>
            <w:cnfStyle w:val="000001000000" w:firstRow="0" w:lastRow="0" w:firstColumn="0" w:lastColumn="0" w:oddVBand="0" w:evenVBand="1" w:oddHBand="0" w:evenHBand="0" w:firstRowFirstColumn="0" w:firstRowLastColumn="0" w:lastRowFirstColumn="0" w:lastRowLastColumn="0"/>
            <w:tcW w:w="1260" w:type="dxa"/>
          </w:tcPr>
          <w:p w14:paraId="780811D7" w14:textId="599271E0" w:rsidR="00F05844" w:rsidRPr="0067507D" w:rsidRDefault="006A5485" w:rsidP="00F05844">
            <w:pPr>
              <w:pStyle w:val="Tabletextright"/>
            </w:pPr>
            <w:r>
              <w:noBreakHyphen/>
            </w:r>
            <w:r w:rsidR="000D30C8" w:rsidRPr="0067507D">
              <w:t>33</w:t>
            </w:r>
          </w:p>
        </w:tc>
        <w:tc>
          <w:tcPr>
            <w:cnfStyle w:val="000010000000" w:firstRow="0" w:lastRow="0" w:firstColumn="0" w:lastColumn="0" w:oddVBand="1" w:evenVBand="0" w:oddHBand="0" w:evenHBand="0" w:firstRowFirstColumn="0" w:firstRowLastColumn="0" w:lastRowFirstColumn="0" w:lastRowLastColumn="0"/>
            <w:tcW w:w="990" w:type="dxa"/>
          </w:tcPr>
          <w:p w14:paraId="68A15C64" w14:textId="77777777" w:rsidR="00F05844" w:rsidRPr="0067507D" w:rsidRDefault="00F05844" w:rsidP="001857CC">
            <w:pPr>
              <w:pStyle w:val="TargetNotMet50"/>
            </w:pPr>
          </w:p>
        </w:tc>
      </w:tr>
      <w:tr w:rsidR="00E26BDE" w:rsidRPr="0067507D" w14:paraId="53D27F6A"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028E31EB" w14:textId="59B17F35" w:rsidR="00F05844" w:rsidRPr="0067507D" w:rsidRDefault="00F05844" w:rsidP="00F05844">
            <w:pPr>
              <w:pStyle w:val="Tabletextheadingleft"/>
              <w:rPr>
                <w:rFonts w:eastAsia="Garamond"/>
              </w:rPr>
            </w:pPr>
            <w:r w:rsidRPr="0067507D">
              <w:rPr>
                <w:iCs/>
              </w:rPr>
              <w:t>Quality</w:t>
            </w:r>
          </w:p>
        </w:tc>
        <w:tc>
          <w:tcPr>
            <w:cnfStyle w:val="000010000000" w:firstRow="0" w:lastRow="0" w:firstColumn="0" w:lastColumn="0" w:oddVBand="1" w:evenVBand="0" w:oddHBand="0" w:evenHBand="0" w:firstRowFirstColumn="0" w:firstRowLastColumn="0" w:lastRowFirstColumn="0" w:lastRowLastColumn="0"/>
            <w:tcW w:w="990" w:type="dxa"/>
          </w:tcPr>
          <w:p w14:paraId="241DA604" w14:textId="77777777" w:rsidR="00F05844" w:rsidRPr="0067507D" w:rsidRDefault="00F05844" w:rsidP="00F05844">
            <w:pPr>
              <w:pStyle w:val="Tabletextcentred"/>
              <w:rPr>
                <w:rFonts w:eastAsia="Garamond"/>
              </w:rPr>
            </w:pPr>
          </w:p>
        </w:tc>
        <w:tc>
          <w:tcPr>
            <w:cnfStyle w:val="000001000000" w:firstRow="0" w:lastRow="0" w:firstColumn="0" w:lastColumn="0" w:oddVBand="0" w:evenVBand="1" w:oddHBand="0" w:evenHBand="0" w:firstRowFirstColumn="0" w:firstRowLastColumn="0" w:lastRowFirstColumn="0" w:lastRowLastColumn="0"/>
            <w:tcW w:w="1035" w:type="dxa"/>
          </w:tcPr>
          <w:p w14:paraId="2076B04A"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1035" w:type="dxa"/>
          </w:tcPr>
          <w:p w14:paraId="0455C048" w14:textId="77777777" w:rsidR="00F05844" w:rsidRPr="0067507D" w:rsidRDefault="00F05844" w:rsidP="00F05844">
            <w:pPr>
              <w:pStyle w:val="Tabletextright"/>
              <w:rPr>
                <w:rFonts w:ascii="Calibri" w:eastAsia="Garamond" w:hAnsi="Calibri"/>
                <w:sz w:val="17"/>
                <w:szCs w:val="17"/>
              </w:rPr>
            </w:pPr>
          </w:p>
        </w:tc>
        <w:tc>
          <w:tcPr>
            <w:cnfStyle w:val="000001000000" w:firstRow="0" w:lastRow="0" w:firstColumn="0" w:lastColumn="0" w:oddVBand="0" w:evenVBand="1" w:oddHBand="0" w:evenHBand="0" w:firstRowFirstColumn="0" w:firstRowLastColumn="0" w:lastRowFirstColumn="0" w:lastRowLastColumn="0"/>
            <w:tcW w:w="1260" w:type="dxa"/>
          </w:tcPr>
          <w:p w14:paraId="68BE42E0" w14:textId="77777777" w:rsidR="00F05844" w:rsidRPr="0067507D" w:rsidRDefault="00F05844" w:rsidP="00F05844">
            <w:pPr>
              <w:pStyle w:val="Tabletextright"/>
              <w:rPr>
                <w:rFonts w:ascii="Calibri" w:eastAsia="Garamond" w:hAnsi="Calibri"/>
                <w:sz w:val="17"/>
                <w:szCs w:val="17"/>
              </w:rPr>
            </w:pPr>
          </w:p>
        </w:tc>
        <w:tc>
          <w:tcPr>
            <w:cnfStyle w:val="000010000000" w:firstRow="0" w:lastRow="0" w:firstColumn="0" w:lastColumn="0" w:oddVBand="1" w:evenVBand="0" w:oddHBand="0" w:evenHBand="0" w:firstRowFirstColumn="0" w:firstRowLastColumn="0" w:lastRowFirstColumn="0" w:lastRowLastColumn="0"/>
            <w:tcW w:w="990" w:type="dxa"/>
          </w:tcPr>
          <w:p w14:paraId="66187878" w14:textId="77777777" w:rsidR="00F05844" w:rsidRPr="0067507D" w:rsidRDefault="00F05844" w:rsidP="00F05844">
            <w:pPr>
              <w:pStyle w:val="Tabletextright"/>
              <w:rPr>
                <w:rFonts w:ascii="Calibri" w:eastAsia="Garamond" w:hAnsi="Calibri"/>
                <w:sz w:val="17"/>
                <w:szCs w:val="17"/>
              </w:rPr>
            </w:pPr>
          </w:p>
        </w:tc>
      </w:tr>
      <w:tr w:rsidR="00E26BDE" w:rsidRPr="0067507D" w14:paraId="072A8623"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4D6EEDF5" w14:textId="096A034D" w:rsidR="00F05844" w:rsidRPr="0067507D" w:rsidRDefault="00F05844" w:rsidP="00F05844">
            <w:pPr>
              <w:pStyle w:val="Tabletext"/>
              <w:rPr>
                <w:rFonts w:eastAsia="Garamond"/>
              </w:rPr>
            </w:pPr>
            <w:r w:rsidRPr="0067507D">
              <w:rPr>
                <w:iCs/>
              </w:rPr>
              <w:t>Stakeholder satisfaction survey result</w:t>
            </w:r>
          </w:p>
        </w:tc>
        <w:tc>
          <w:tcPr>
            <w:cnfStyle w:val="000010000000" w:firstRow="0" w:lastRow="0" w:firstColumn="0" w:lastColumn="0" w:oddVBand="1" w:evenVBand="0" w:oddHBand="0" w:evenHBand="0" w:firstRowFirstColumn="0" w:firstRowLastColumn="0" w:lastRowFirstColumn="0" w:lastRowLastColumn="0"/>
            <w:tcW w:w="990" w:type="dxa"/>
          </w:tcPr>
          <w:p w14:paraId="33ABB1C9" w14:textId="430D5BCB" w:rsidR="00F05844" w:rsidRPr="0067507D" w:rsidRDefault="00F05844" w:rsidP="00F0584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5CD0476E" w14:textId="27979F6D" w:rsidR="00F05844" w:rsidRPr="0067507D" w:rsidRDefault="000D30C8" w:rsidP="00F05844">
            <w:pPr>
              <w:pStyle w:val="Tabletextright"/>
              <w:rPr>
                <w:rFonts w:eastAsia="Garamond"/>
              </w:rPr>
            </w:pPr>
            <w:r w:rsidRPr="0067507D">
              <w:rPr>
                <w:rFonts w:eastAsia="Garamond"/>
              </w:rPr>
              <w:t>68</w:t>
            </w:r>
          </w:p>
        </w:tc>
        <w:tc>
          <w:tcPr>
            <w:cnfStyle w:val="000010000000" w:firstRow="0" w:lastRow="0" w:firstColumn="0" w:lastColumn="0" w:oddVBand="1" w:evenVBand="0" w:oddHBand="0" w:evenHBand="0" w:firstRowFirstColumn="0" w:firstRowLastColumn="0" w:lastRowFirstColumn="0" w:lastRowLastColumn="0"/>
            <w:tcW w:w="1035" w:type="dxa"/>
          </w:tcPr>
          <w:p w14:paraId="3D5137E1" w14:textId="728744C6" w:rsidR="00F05844" w:rsidRPr="0067507D" w:rsidRDefault="00F05844" w:rsidP="00F05844">
            <w:pPr>
              <w:pStyle w:val="Tabletextright"/>
              <w:rPr>
                <w:rFonts w:eastAsia="Garamond"/>
              </w:rPr>
            </w:pPr>
            <w:r w:rsidRPr="0067507D">
              <w:rPr>
                <w:iCs/>
              </w:rPr>
              <w:t>≥65</w:t>
            </w:r>
          </w:p>
        </w:tc>
        <w:tc>
          <w:tcPr>
            <w:cnfStyle w:val="000001000000" w:firstRow="0" w:lastRow="0" w:firstColumn="0" w:lastColumn="0" w:oddVBand="0" w:evenVBand="1" w:oddHBand="0" w:evenHBand="0" w:firstRowFirstColumn="0" w:firstRowLastColumn="0" w:lastRowFirstColumn="0" w:lastRowLastColumn="0"/>
            <w:tcW w:w="1260" w:type="dxa"/>
          </w:tcPr>
          <w:p w14:paraId="6FD9824F" w14:textId="15B0A855" w:rsidR="00F05844" w:rsidRPr="0067507D" w:rsidRDefault="00395810" w:rsidP="00F05844">
            <w:pPr>
              <w:pStyle w:val="Tabletextright"/>
              <w:rPr>
                <w:rFonts w:eastAsia="Garamond"/>
              </w:rPr>
            </w:pPr>
            <w:r w:rsidRPr="0067507D">
              <w:rPr>
                <w:rFonts w:eastAsia="Garamond"/>
              </w:rPr>
              <w:t>5</w:t>
            </w:r>
          </w:p>
        </w:tc>
        <w:tc>
          <w:tcPr>
            <w:cnfStyle w:val="000010000000" w:firstRow="0" w:lastRow="0" w:firstColumn="0" w:lastColumn="0" w:oddVBand="1" w:evenVBand="0" w:oddHBand="0" w:evenHBand="0" w:firstRowFirstColumn="0" w:firstRowLastColumn="0" w:lastRowFirstColumn="0" w:lastRowLastColumn="0"/>
            <w:tcW w:w="990" w:type="dxa"/>
          </w:tcPr>
          <w:p w14:paraId="06690D29" w14:textId="77777777" w:rsidR="00F05844" w:rsidRPr="0067507D" w:rsidRDefault="00F05844" w:rsidP="001857CC">
            <w:pPr>
              <w:pStyle w:val="TargetMet"/>
              <w:rPr>
                <w:rFonts w:eastAsia="Garamond"/>
              </w:rPr>
            </w:pPr>
          </w:p>
        </w:tc>
      </w:tr>
      <w:tr w:rsidR="00E26BDE" w:rsidRPr="0067507D" w14:paraId="7E9B18BB"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05688E96" w14:textId="4A664B74" w:rsidR="00F05844" w:rsidRPr="0067507D" w:rsidRDefault="00F05844" w:rsidP="00F05844">
            <w:pPr>
              <w:pStyle w:val="Tabletextheadingleft"/>
              <w:rPr>
                <w:rFonts w:eastAsia="Garamond"/>
              </w:rPr>
            </w:pPr>
            <w:r w:rsidRPr="0067507D">
              <w:rPr>
                <w:iCs/>
              </w:rPr>
              <w:t>Timeliness</w:t>
            </w:r>
          </w:p>
        </w:tc>
        <w:tc>
          <w:tcPr>
            <w:cnfStyle w:val="000010000000" w:firstRow="0" w:lastRow="0" w:firstColumn="0" w:lastColumn="0" w:oddVBand="1" w:evenVBand="0" w:oddHBand="0" w:evenHBand="0" w:firstRowFirstColumn="0" w:firstRowLastColumn="0" w:lastRowFirstColumn="0" w:lastRowLastColumn="0"/>
            <w:tcW w:w="990" w:type="dxa"/>
          </w:tcPr>
          <w:p w14:paraId="1732C7DE" w14:textId="77777777" w:rsidR="00F05844" w:rsidRPr="0067507D" w:rsidRDefault="00F05844" w:rsidP="00F05844">
            <w:pPr>
              <w:pStyle w:val="Tabletextcentred"/>
              <w:rPr>
                <w:rFonts w:ascii="Calibri" w:eastAsia="Garamond" w:hAnsi="Calibri"/>
                <w:sz w:val="17"/>
              </w:rPr>
            </w:pPr>
          </w:p>
        </w:tc>
        <w:tc>
          <w:tcPr>
            <w:cnfStyle w:val="000001000000" w:firstRow="0" w:lastRow="0" w:firstColumn="0" w:lastColumn="0" w:oddVBand="0" w:evenVBand="1" w:oddHBand="0" w:evenHBand="0" w:firstRowFirstColumn="0" w:firstRowLastColumn="0" w:lastRowFirstColumn="0" w:lastRowLastColumn="0"/>
            <w:tcW w:w="1035" w:type="dxa"/>
          </w:tcPr>
          <w:p w14:paraId="122A4C0B"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1035" w:type="dxa"/>
          </w:tcPr>
          <w:p w14:paraId="7BB404E7" w14:textId="77777777" w:rsidR="00F05844" w:rsidRPr="0067507D" w:rsidRDefault="00F05844" w:rsidP="00F05844">
            <w:pPr>
              <w:pStyle w:val="Tabletextright"/>
              <w:rPr>
                <w:rFonts w:eastAsia="Garamond"/>
              </w:rPr>
            </w:pPr>
          </w:p>
        </w:tc>
        <w:tc>
          <w:tcPr>
            <w:cnfStyle w:val="000001000000" w:firstRow="0" w:lastRow="0" w:firstColumn="0" w:lastColumn="0" w:oddVBand="0" w:evenVBand="1" w:oddHBand="0" w:evenHBand="0" w:firstRowFirstColumn="0" w:firstRowLastColumn="0" w:lastRowFirstColumn="0" w:lastRowLastColumn="0"/>
            <w:tcW w:w="1260" w:type="dxa"/>
          </w:tcPr>
          <w:p w14:paraId="442D19FD"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90" w:type="dxa"/>
          </w:tcPr>
          <w:p w14:paraId="114AD35C" w14:textId="77777777" w:rsidR="00F05844" w:rsidRPr="0067507D" w:rsidRDefault="00F05844" w:rsidP="00F05844">
            <w:pPr>
              <w:pStyle w:val="Tabletextright"/>
              <w:rPr>
                <w:rFonts w:eastAsia="Garamond"/>
              </w:rPr>
            </w:pPr>
          </w:p>
        </w:tc>
      </w:tr>
      <w:tr w:rsidR="00E26BDE" w:rsidRPr="0067507D" w14:paraId="6C4E0065"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1F10B380" w14:textId="51696DCB" w:rsidR="00F05844" w:rsidRPr="0067507D" w:rsidRDefault="00F05844" w:rsidP="00F05844">
            <w:pPr>
              <w:pStyle w:val="Tabletext"/>
              <w:rPr>
                <w:rFonts w:eastAsia="Garamond"/>
              </w:rPr>
            </w:pPr>
            <w:r w:rsidRPr="0067507D">
              <w:rPr>
                <w:iCs/>
              </w:rPr>
              <w:t>Delivery of major milestones within agreed timelines</w:t>
            </w:r>
          </w:p>
        </w:tc>
        <w:tc>
          <w:tcPr>
            <w:cnfStyle w:val="000010000000" w:firstRow="0" w:lastRow="0" w:firstColumn="0" w:lastColumn="0" w:oddVBand="1" w:evenVBand="0" w:oddHBand="0" w:evenHBand="0" w:firstRowFirstColumn="0" w:firstRowLastColumn="0" w:lastRowFirstColumn="0" w:lastRowLastColumn="0"/>
            <w:tcW w:w="990" w:type="dxa"/>
          </w:tcPr>
          <w:p w14:paraId="5EC2E8D3" w14:textId="54A5D79E" w:rsidR="00F05844" w:rsidRPr="0067507D" w:rsidRDefault="00F05844" w:rsidP="00F05844">
            <w:pPr>
              <w:pStyle w:val="Tabletextcentred"/>
              <w:rPr>
                <w:rFonts w:ascii="Calibri" w:eastAsia="Garamond" w:hAnsi="Calibri"/>
                <w:sz w:val="17"/>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5" w:type="dxa"/>
          </w:tcPr>
          <w:p w14:paraId="766AD0BF" w14:textId="73DAE639" w:rsidR="00F05844" w:rsidRPr="0067507D" w:rsidRDefault="00523B81" w:rsidP="00F05844">
            <w:pPr>
              <w:pStyle w:val="Tabletextright"/>
              <w:rPr>
                <w:rFonts w:eastAsia="Garamond"/>
              </w:rPr>
            </w:pPr>
            <w:r w:rsidRPr="0067507D">
              <w:rPr>
                <w:rFonts w:eastAsia="Garamond"/>
              </w:rPr>
              <w:t>100</w:t>
            </w:r>
          </w:p>
        </w:tc>
        <w:tc>
          <w:tcPr>
            <w:cnfStyle w:val="000010000000" w:firstRow="0" w:lastRow="0" w:firstColumn="0" w:lastColumn="0" w:oddVBand="1" w:evenVBand="0" w:oddHBand="0" w:evenHBand="0" w:firstRowFirstColumn="0" w:firstRowLastColumn="0" w:lastRowFirstColumn="0" w:lastRowLastColumn="0"/>
            <w:tcW w:w="1035" w:type="dxa"/>
          </w:tcPr>
          <w:p w14:paraId="7AD73761" w14:textId="794D9E30" w:rsidR="00F05844" w:rsidRPr="0067507D" w:rsidRDefault="00F05844" w:rsidP="00F05844">
            <w:pPr>
              <w:pStyle w:val="Tabletextright"/>
              <w:rPr>
                <w:rFonts w:eastAsia="Garamond"/>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60" w:type="dxa"/>
          </w:tcPr>
          <w:p w14:paraId="2D747827" w14:textId="515C6932" w:rsidR="00F05844" w:rsidRPr="0067507D" w:rsidRDefault="008113F1" w:rsidP="00F0584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90" w:type="dxa"/>
          </w:tcPr>
          <w:p w14:paraId="68324A01" w14:textId="77777777" w:rsidR="00F05844" w:rsidRPr="0067507D" w:rsidRDefault="00F05844" w:rsidP="001857CC">
            <w:pPr>
              <w:pStyle w:val="TargetMet"/>
              <w:rPr>
                <w:rFonts w:eastAsia="Garamond"/>
              </w:rPr>
            </w:pPr>
          </w:p>
        </w:tc>
      </w:tr>
      <w:tr w:rsidR="00E26BDE" w:rsidRPr="0067507D" w14:paraId="253B0255"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07722273" w14:textId="31BA96D1" w:rsidR="00F05844" w:rsidRPr="0067507D" w:rsidRDefault="00F05844" w:rsidP="00F05844">
            <w:pPr>
              <w:pStyle w:val="Tabletextheadingleft"/>
              <w:rPr>
                <w:rFonts w:eastAsia="Garamond"/>
              </w:rPr>
            </w:pPr>
            <w:r w:rsidRPr="0067507D">
              <w:rPr>
                <w:iCs/>
              </w:rPr>
              <w:t>Cost</w:t>
            </w:r>
          </w:p>
        </w:tc>
        <w:tc>
          <w:tcPr>
            <w:cnfStyle w:val="000010000000" w:firstRow="0" w:lastRow="0" w:firstColumn="0" w:lastColumn="0" w:oddVBand="1" w:evenVBand="0" w:oddHBand="0" w:evenHBand="0" w:firstRowFirstColumn="0" w:firstRowLastColumn="0" w:lastRowFirstColumn="0" w:lastRowLastColumn="0"/>
            <w:tcW w:w="990" w:type="dxa"/>
          </w:tcPr>
          <w:p w14:paraId="40A03DB7" w14:textId="77777777" w:rsidR="00F05844" w:rsidRPr="0067507D" w:rsidRDefault="00F05844" w:rsidP="00F05844">
            <w:pPr>
              <w:pStyle w:val="Tabletextcentred"/>
              <w:rPr>
                <w:rFonts w:ascii="Calibri" w:eastAsia="Garamond" w:hAnsi="Calibri"/>
                <w:sz w:val="17"/>
              </w:rPr>
            </w:pPr>
          </w:p>
        </w:tc>
        <w:tc>
          <w:tcPr>
            <w:cnfStyle w:val="000001000000" w:firstRow="0" w:lastRow="0" w:firstColumn="0" w:lastColumn="0" w:oddVBand="0" w:evenVBand="1" w:oddHBand="0" w:evenHBand="0" w:firstRowFirstColumn="0" w:firstRowLastColumn="0" w:lastRowFirstColumn="0" w:lastRowLastColumn="0"/>
            <w:tcW w:w="1035" w:type="dxa"/>
          </w:tcPr>
          <w:p w14:paraId="5E6C6833"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1035" w:type="dxa"/>
          </w:tcPr>
          <w:p w14:paraId="7FE65ABE" w14:textId="77777777" w:rsidR="00F05844" w:rsidRPr="0067507D" w:rsidRDefault="00F05844" w:rsidP="00F05844">
            <w:pPr>
              <w:pStyle w:val="Tabletextright"/>
              <w:rPr>
                <w:rFonts w:eastAsia="Garamond"/>
              </w:rPr>
            </w:pPr>
          </w:p>
        </w:tc>
        <w:tc>
          <w:tcPr>
            <w:cnfStyle w:val="000001000000" w:firstRow="0" w:lastRow="0" w:firstColumn="0" w:lastColumn="0" w:oddVBand="0" w:evenVBand="1" w:oddHBand="0" w:evenHBand="0" w:firstRowFirstColumn="0" w:firstRowLastColumn="0" w:lastRowFirstColumn="0" w:lastRowLastColumn="0"/>
            <w:tcW w:w="1260" w:type="dxa"/>
          </w:tcPr>
          <w:p w14:paraId="433432A5"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90" w:type="dxa"/>
          </w:tcPr>
          <w:p w14:paraId="4487B517" w14:textId="77777777" w:rsidR="00F05844" w:rsidRPr="0067507D" w:rsidRDefault="00F05844" w:rsidP="00F05844">
            <w:pPr>
              <w:pStyle w:val="Tabletextright"/>
              <w:rPr>
                <w:rFonts w:eastAsia="Garamond"/>
              </w:rPr>
            </w:pPr>
          </w:p>
        </w:tc>
      </w:tr>
      <w:tr w:rsidR="00E26BDE" w:rsidRPr="0067507D" w14:paraId="37FC9E87"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494BD656" w14:textId="77777777" w:rsidR="00F05844" w:rsidRPr="0067507D" w:rsidRDefault="00F05844" w:rsidP="00F05844">
            <w:pPr>
              <w:pStyle w:val="Tabletext"/>
              <w:rPr>
                <w:iCs/>
              </w:rPr>
            </w:pPr>
            <w:r w:rsidRPr="0067507D">
              <w:rPr>
                <w:iCs/>
              </w:rPr>
              <w:t>Total output cost</w:t>
            </w:r>
          </w:p>
          <w:p w14:paraId="63D53B96" w14:textId="2294411E" w:rsidR="00F05844" w:rsidRPr="0067507D" w:rsidRDefault="000D1799" w:rsidP="00B93726">
            <w:pPr>
              <w:pStyle w:val="Tabletextnotes"/>
              <w:rPr>
                <w:rFonts w:ascii="Calibri" w:eastAsia="Garamond" w:hAnsi="Calibri"/>
                <w:sz w:val="17"/>
              </w:rPr>
            </w:pPr>
            <w:r w:rsidRPr="0067507D">
              <w:t>The 2024</w:t>
            </w:r>
            <w:r w:rsidR="006A5485">
              <w:noBreakHyphen/>
            </w:r>
            <w:r w:rsidRPr="0067507D">
              <w:t>25 actual is higher than the target as it mainly reflects the Victorian Public Service Enterprise Agreement 2024 outcomes.</w:t>
            </w:r>
          </w:p>
        </w:tc>
        <w:tc>
          <w:tcPr>
            <w:cnfStyle w:val="000010000000" w:firstRow="0" w:lastRow="0" w:firstColumn="0" w:lastColumn="0" w:oddVBand="1" w:evenVBand="0" w:oddHBand="0" w:evenHBand="0" w:firstRowFirstColumn="0" w:firstRowLastColumn="0" w:lastRowFirstColumn="0" w:lastRowLastColumn="0"/>
            <w:tcW w:w="990" w:type="dxa"/>
          </w:tcPr>
          <w:p w14:paraId="065BD8FD" w14:textId="3D9F23D8" w:rsidR="00F05844" w:rsidRPr="0067507D" w:rsidRDefault="00F05844" w:rsidP="00F05844">
            <w:pPr>
              <w:pStyle w:val="Tabletextcentred"/>
              <w:rPr>
                <w:rFonts w:ascii="Calibri" w:eastAsia="Garamond" w:hAnsi="Calibri"/>
                <w:sz w:val="17"/>
              </w:rPr>
            </w:pPr>
            <w:r w:rsidRPr="0067507D">
              <w:t>$ million</w:t>
            </w:r>
          </w:p>
        </w:tc>
        <w:tc>
          <w:tcPr>
            <w:cnfStyle w:val="000001000000" w:firstRow="0" w:lastRow="0" w:firstColumn="0" w:lastColumn="0" w:oddVBand="0" w:evenVBand="1" w:oddHBand="0" w:evenHBand="0" w:firstRowFirstColumn="0" w:firstRowLastColumn="0" w:lastRowFirstColumn="0" w:lastRowLastColumn="0"/>
            <w:tcW w:w="1035" w:type="dxa"/>
          </w:tcPr>
          <w:p w14:paraId="0CA0202E" w14:textId="75F994C2" w:rsidR="00F05844" w:rsidRPr="0067507D" w:rsidRDefault="00D5126E" w:rsidP="00F05844">
            <w:pPr>
              <w:pStyle w:val="Tabletextright"/>
              <w:rPr>
                <w:rFonts w:eastAsia="Garamond"/>
              </w:rPr>
            </w:pPr>
            <w:r w:rsidRPr="0067507D">
              <w:rPr>
                <w:rFonts w:eastAsia="Garamond"/>
              </w:rPr>
              <w:t>10</w:t>
            </w:r>
          </w:p>
        </w:tc>
        <w:tc>
          <w:tcPr>
            <w:cnfStyle w:val="000010000000" w:firstRow="0" w:lastRow="0" w:firstColumn="0" w:lastColumn="0" w:oddVBand="1" w:evenVBand="0" w:oddHBand="0" w:evenHBand="0" w:firstRowFirstColumn="0" w:firstRowLastColumn="0" w:lastRowFirstColumn="0" w:lastRowLastColumn="0"/>
            <w:tcW w:w="1035" w:type="dxa"/>
          </w:tcPr>
          <w:p w14:paraId="75FF3603" w14:textId="1D2EDF93" w:rsidR="00F05844" w:rsidRPr="0067507D" w:rsidRDefault="00F05844" w:rsidP="00F05844">
            <w:pPr>
              <w:pStyle w:val="Tabletextright"/>
              <w:rPr>
                <w:rFonts w:eastAsia="Garamond"/>
              </w:rPr>
            </w:pPr>
            <w:r w:rsidRPr="0067507D">
              <w:rPr>
                <w:iCs/>
              </w:rPr>
              <w:t>8.2</w:t>
            </w:r>
          </w:p>
        </w:tc>
        <w:tc>
          <w:tcPr>
            <w:cnfStyle w:val="000001000000" w:firstRow="0" w:lastRow="0" w:firstColumn="0" w:lastColumn="0" w:oddVBand="0" w:evenVBand="1" w:oddHBand="0" w:evenHBand="0" w:firstRowFirstColumn="0" w:firstRowLastColumn="0" w:lastRowFirstColumn="0" w:lastRowLastColumn="0"/>
            <w:tcW w:w="1260" w:type="dxa"/>
          </w:tcPr>
          <w:p w14:paraId="5AC7FEDC" w14:textId="10DA8AF0" w:rsidR="00F05844" w:rsidRPr="0067507D" w:rsidRDefault="004D5AD2" w:rsidP="00F05844">
            <w:pPr>
              <w:pStyle w:val="Tabletextright"/>
              <w:rPr>
                <w:rFonts w:eastAsia="Garamond"/>
              </w:rPr>
            </w:pPr>
            <w:r w:rsidRPr="0067507D">
              <w:rPr>
                <w:rFonts w:eastAsia="Garamond"/>
              </w:rPr>
              <w:t>23.9</w:t>
            </w:r>
          </w:p>
        </w:tc>
        <w:tc>
          <w:tcPr>
            <w:cnfStyle w:val="000010000000" w:firstRow="0" w:lastRow="0" w:firstColumn="0" w:lastColumn="0" w:oddVBand="1" w:evenVBand="0" w:oddHBand="0" w:evenHBand="0" w:firstRowFirstColumn="0" w:firstRowLastColumn="0" w:lastRowFirstColumn="0" w:lastRowLastColumn="0"/>
            <w:tcW w:w="990" w:type="dxa"/>
          </w:tcPr>
          <w:p w14:paraId="45891BCF" w14:textId="379FA4AA" w:rsidR="00F05844" w:rsidRPr="0067507D" w:rsidRDefault="00F05844" w:rsidP="00B41F4E">
            <w:pPr>
              <w:pStyle w:val="TargetNotMet50"/>
              <w:rPr>
                <w:rFonts w:eastAsia="Garamond"/>
              </w:rPr>
            </w:pPr>
          </w:p>
        </w:tc>
      </w:tr>
    </w:tbl>
    <w:p w14:paraId="7D25C330" w14:textId="77777777" w:rsidR="005E6D06" w:rsidRPr="0067507D" w:rsidRDefault="005E6D06" w:rsidP="005E6D06">
      <w:pPr>
        <w:pStyle w:val="Notes"/>
        <w:spacing w:before="0" w:after="0"/>
      </w:pPr>
    </w:p>
    <w:p w14:paraId="5679BF8D" w14:textId="58A4CDED" w:rsidR="005E6D06" w:rsidRPr="0067507D" w:rsidRDefault="005E6D06" w:rsidP="005E6D06">
      <w:pPr>
        <w:pStyle w:val="Heading2"/>
        <w:pageBreakBefore/>
      </w:pPr>
      <w:r w:rsidRPr="0067507D">
        <w:lastRenderedPageBreak/>
        <w:t xml:space="preserve">Improve how </w:t>
      </w:r>
      <w:r w:rsidR="00BC00D5" w:rsidRPr="0067507D">
        <w:t>g</w:t>
      </w:r>
      <w:r w:rsidRPr="0067507D">
        <w:t>overnment manages its balance sheet, commercial activities and public sector infrastructure</w:t>
      </w:r>
    </w:p>
    <w:p w14:paraId="04AD2D6D" w14:textId="35367210" w:rsidR="0082204E" w:rsidRPr="0067507D" w:rsidRDefault="0082204E" w:rsidP="0082204E">
      <w:pPr>
        <w:pStyle w:val="Heading3"/>
        <w:rPr>
          <w:rFonts w:asciiTheme="minorHAnsi" w:hAnsiTheme="minorHAnsi" w:cs="Times New Roman"/>
          <w:bCs w:val="0"/>
          <w:color w:val="auto"/>
          <w:sz w:val="17"/>
          <w:szCs w:val="24"/>
        </w:rPr>
      </w:pPr>
      <w:r w:rsidRPr="0067507D">
        <w:rPr>
          <w:rFonts w:asciiTheme="minorHAnsi" w:hAnsiTheme="minorHAnsi" w:cs="Times New Roman"/>
          <w:bCs w:val="0"/>
          <w:color w:val="auto"/>
          <w:sz w:val="17"/>
          <w:szCs w:val="24"/>
        </w:rPr>
        <w:t xml:space="preserve">Under this objective, the Department delivers </w:t>
      </w:r>
      <w:r w:rsidR="00624670" w:rsidRPr="0067507D">
        <w:rPr>
          <w:rFonts w:asciiTheme="minorHAnsi" w:hAnsiTheme="minorHAnsi" w:cs="Times New Roman"/>
          <w:bCs w:val="0"/>
          <w:color w:val="auto"/>
          <w:sz w:val="17"/>
          <w:szCs w:val="24"/>
        </w:rPr>
        <w:t>g</w:t>
      </w:r>
      <w:r w:rsidRPr="0067507D">
        <w:rPr>
          <w:rFonts w:asciiTheme="minorHAnsi" w:hAnsiTheme="minorHAnsi" w:cs="Times New Roman"/>
          <w:bCs w:val="0"/>
          <w:color w:val="auto"/>
          <w:sz w:val="17"/>
          <w:szCs w:val="24"/>
        </w:rPr>
        <w:t>overnment policies focused on overseeing the State</w:t>
      </w:r>
      <w:r w:rsidR="0084509B" w:rsidRPr="0067507D">
        <w:rPr>
          <w:rFonts w:asciiTheme="minorHAnsi" w:hAnsiTheme="minorHAnsi" w:cs="Times New Roman"/>
          <w:bCs w:val="0"/>
          <w:color w:val="auto"/>
          <w:sz w:val="17"/>
          <w:szCs w:val="24"/>
        </w:rPr>
        <w:t>’</w:t>
      </w:r>
      <w:r w:rsidRPr="0067507D">
        <w:rPr>
          <w:rFonts w:asciiTheme="minorHAnsi" w:hAnsiTheme="minorHAnsi" w:cs="Times New Roman"/>
          <w:bCs w:val="0"/>
          <w:color w:val="auto"/>
          <w:sz w:val="17"/>
          <w:szCs w:val="24"/>
        </w:rPr>
        <w:t xml:space="preserve">s balance sheet, major infrastructure and Government Business Enterprises by the delivery and application of prudent financial and commercial principles and practices. </w:t>
      </w:r>
    </w:p>
    <w:p w14:paraId="02B4544A" w14:textId="535A22A8" w:rsidR="0082204E" w:rsidRPr="0067507D" w:rsidRDefault="0082204E" w:rsidP="0082204E">
      <w:pPr>
        <w:pStyle w:val="Heading3"/>
        <w:rPr>
          <w:rFonts w:asciiTheme="minorHAnsi" w:hAnsiTheme="minorHAnsi" w:cs="Times New Roman"/>
          <w:bCs w:val="0"/>
          <w:color w:val="auto"/>
          <w:sz w:val="17"/>
          <w:szCs w:val="24"/>
        </w:rPr>
      </w:pPr>
      <w:r w:rsidRPr="0067507D">
        <w:rPr>
          <w:rFonts w:asciiTheme="minorHAnsi" w:hAnsiTheme="minorHAnsi" w:cs="Times New Roman"/>
          <w:bCs w:val="0"/>
          <w:color w:val="auto"/>
          <w:sz w:val="17"/>
          <w:szCs w:val="24"/>
        </w:rPr>
        <w:t>The Department leads the development of strategic commercial and financial advice to Government to support key decisions regarding the State</w:t>
      </w:r>
      <w:r w:rsidR="0084509B" w:rsidRPr="0067507D">
        <w:rPr>
          <w:rFonts w:asciiTheme="minorHAnsi" w:hAnsiTheme="minorHAnsi" w:cs="Times New Roman"/>
          <w:bCs w:val="0"/>
          <w:color w:val="auto"/>
          <w:sz w:val="17"/>
          <w:szCs w:val="24"/>
        </w:rPr>
        <w:t>’</w:t>
      </w:r>
      <w:r w:rsidRPr="0067507D">
        <w:rPr>
          <w:rFonts w:asciiTheme="minorHAnsi" w:hAnsiTheme="minorHAnsi" w:cs="Times New Roman"/>
          <w:bCs w:val="0"/>
          <w:color w:val="auto"/>
          <w:sz w:val="17"/>
          <w:szCs w:val="24"/>
        </w:rPr>
        <w:t>s financial assets and liabilities and infrastructure investment to drive improvement in public sector commercial and asset management and the delivery of infrastructure for the State of</w:t>
      </w:r>
      <w:r w:rsidR="00444139" w:rsidRPr="0067507D">
        <w:rPr>
          <w:rFonts w:ascii="Calibri" w:hAnsi="Calibri" w:cs="Calibri"/>
          <w:bCs w:val="0"/>
          <w:color w:val="auto"/>
          <w:sz w:val="17"/>
          <w:szCs w:val="24"/>
        </w:rPr>
        <w:t> </w:t>
      </w:r>
      <w:r w:rsidRPr="0067507D">
        <w:rPr>
          <w:rFonts w:asciiTheme="minorHAnsi" w:hAnsiTheme="minorHAnsi" w:cs="Times New Roman"/>
          <w:bCs w:val="0"/>
          <w:color w:val="auto"/>
          <w:sz w:val="17"/>
          <w:szCs w:val="24"/>
        </w:rPr>
        <w:t>Victoria.</w:t>
      </w:r>
    </w:p>
    <w:p w14:paraId="5B125C5E" w14:textId="77777777" w:rsidR="0082204E" w:rsidRPr="0067507D" w:rsidRDefault="0082204E" w:rsidP="0082204E">
      <w:pPr>
        <w:pStyle w:val="Heading3"/>
        <w:rPr>
          <w:rFonts w:asciiTheme="minorHAnsi" w:hAnsiTheme="minorHAnsi" w:cs="Times New Roman"/>
          <w:bCs w:val="0"/>
          <w:color w:val="auto"/>
          <w:sz w:val="17"/>
          <w:szCs w:val="24"/>
        </w:rPr>
      </w:pPr>
      <w:r w:rsidRPr="0067507D">
        <w:rPr>
          <w:rFonts w:asciiTheme="minorHAnsi" w:hAnsiTheme="minorHAnsi" w:cs="Times New Roman"/>
          <w:bCs w:val="0"/>
          <w:color w:val="auto"/>
          <w:sz w:val="17"/>
          <w:szCs w:val="24"/>
        </w:rPr>
        <w:t>The departmental objective indicators are:</w:t>
      </w:r>
    </w:p>
    <w:p w14:paraId="6A6E78E9" w14:textId="71822D00" w:rsidR="0082204E" w:rsidRPr="0067507D" w:rsidRDefault="0082204E" w:rsidP="0082204E">
      <w:pPr>
        <w:pStyle w:val="Bullet"/>
      </w:pPr>
      <w:r w:rsidRPr="0067507D">
        <w:t>High</w:t>
      </w:r>
      <w:r w:rsidR="005A62A2" w:rsidRPr="0067507D">
        <w:t xml:space="preserve"> </w:t>
      </w:r>
      <w:r w:rsidRPr="0067507D">
        <w:t>Value High</w:t>
      </w:r>
      <w:r w:rsidR="005A62A2" w:rsidRPr="0067507D">
        <w:t xml:space="preserve"> </w:t>
      </w:r>
      <w:r w:rsidRPr="0067507D">
        <w:t>Risk (HVHR) projects have had risks identified and managed through tailored project assurance, policy advice, governance and oversight to increase the likelihood that projects are completed within agreed timeframes, budget and scope</w:t>
      </w:r>
    </w:p>
    <w:p w14:paraId="2B216FAB" w14:textId="1707E91A" w:rsidR="0082204E" w:rsidRPr="0067507D" w:rsidRDefault="0082204E" w:rsidP="0082204E">
      <w:pPr>
        <w:pStyle w:val="Bullet"/>
      </w:pPr>
      <w:r w:rsidRPr="0067507D">
        <w:t>Government Business Enterprises performing against agreed financial and non</w:t>
      </w:r>
      <w:r w:rsidR="006A5485">
        <w:noBreakHyphen/>
      </w:r>
      <w:r w:rsidRPr="0067507D">
        <w:t>financial indicators</w:t>
      </w:r>
    </w:p>
    <w:p w14:paraId="3CC5B19D" w14:textId="3F82942C" w:rsidR="0082204E" w:rsidRPr="0067507D" w:rsidRDefault="0082204E" w:rsidP="0082204E">
      <w:pPr>
        <w:pStyle w:val="Bullet"/>
      </w:pPr>
      <w:r w:rsidRPr="0067507D">
        <w:t>advice contributes to the achievement of Government policies and priorities relating to Victoria</w:t>
      </w:r>
      <w:r w:rsidR="0084509B" w:rsidRPr="0067507D">
        <w:t>’</w:t>
      </w:r>
      <w:r w:rsidRPr="0067507D">
        <w:t xml:space="preserve">s balance sheet, commercial activities and public sector infrastructure </w:t>
      </w:r>
    </w:p>
    <w:p w14:paraId="073B9A3F" w14:textId="77777777" w:rsidR="0082204E" w:rsidRPr="0067507D" w:rsidRDefault="0082204E" w:rsidP="0082204E">
      <w:pPr>
        <w:pStyle w:val="Bullet"/>
      </w:pPr>
      <w:r w:rsidRPr="0067507D">
        <w:t>quality infrastructure drives economic growth activity in Victoria.</w:t>
      </w:r>
    </w:p>
    <w:p w14:paraId="0026BC1D" w14:textId="36F10E75" w:rsidR="005E6D06" w:rsidRPr="0067507D" w:rsidRDefault="005E6D06" w:rsidP="005E6D06">
      <w:pPr>
        <w:pStyle w:val="Heading3"/>
      </w:pPr>
      <w:r w:rsidRPr="0067507D">
        <w:t>Commercial and Infrastructure Advice</w:t>
      </w:r>
    </w:p>
    <w:p w14:paraId="4B5BC0BD" w14:textId="04D550F1" w:rsidR="00454238" w:rsidRPr="0067507D" w:rsidRDefault="00454238" w:rsidP="00454238">
      <w:r w:rsidRPr="0067507D">
        <w:t>This output contributes to the Department</w:t>
      </w:r>
      <w:r w:rsidR="0084509B" w:rsidRPr="0067507D">
        <w:t>’</w:t>
      </w:r>
      <w:r w:rsidRPr="0067507D">
        <w:t xml:space="preserve">s objective to improve how Government manages its balance sheet, commercial activities and public sector infrastructure by: </w:t>
      </w:r>
    </w:p>
    <w:p w14:paraId="19FDE2D6" w14:textId="77777777" w:rsidR="00454238" w:rsidRPr="0067507D" w:rsidRDefault="00454238" w:rsidP="00454238">
      <w:pPr>
        <w:pStyle w:val="Bullet"/>
      </w:pPr>
      <w:r w:rsidRPr="0067507D">
        <w:t>providing advice to Government and guidance to departments on infrastructure investment and other major commercial projects</w:t>
      </w:r>
    </w:p>
    <w:p w14:paraId="27511328" w14:textId="03FB5F97" w:rsidR="00E33D00" w:rsidRPr="0067507D" w:rsidRDefault="00454238" w:rsidP="00843B79">
      <w:pPr>
        <w:pStyle w:val="Bullet"/>
      </w:pPr>
      <w:r w:rsidRPr="0067507D">
        <w:t>providing advice and reports on the State</w:t>
      </w:r>
      <w:r w:rsidR="0084509B" w:rsidRPr="0067507D">
        <w:t>’</w:t>
      </w:r>
      <w:r w:rsidRPr="0067507D">
        <w:t>s financial assets and liabilities and associated financial risks, including the State</w:t>
      </w:r>
      <w:r w:rsidR="0084509B" w:rsidRPr="0067507D">
        <w:t>’</w:t>
      </w:r>
      <w:r w:rsidRPr="0067507D">
        <w:t xml:space="preserve">s investments, debts, unfunded superannuation, insurance claims liabilities </w:t>
      </w:r>
      <w:r w:rsidR="00F009D6" w:rsidRPr="0067507D">
        <w:t>and overseeing the registration and regulation of rental housing agencies</w:t>
      </w:r>
    </w:p>
    <w:p w14:paraId="17D2617B" w14:textId="2B9A860B" w:rsidR="00454238" w:rsidRPr="0067507D" w:rsidRDefault="00454238" w:rsidP="00454238">
      <w:pPr>
        <w:pStyle w:val="Bullet"/>
      </w:pPr>
      <w:r w:rsidRPr="0067507D">
        <w:t>providing commercial, financial and risk management advice to Government and guidance to departments regarding infrastructure projects including Partnerships Victoria projects, administration of the Market</w:t>
      </w:r>
      <w:r w:rsidR="006A5485">
        <w:noBreakHyphen/>
      </w:r>
      <w:r w:rsidRPr="0067507D">
        <w:t>led Proposals Guidelines and managing major commercial activities on behalf of Government</w:t>
      </w:r>
    </w:p>
    <w:p w14:paraId="7CF26FF1" w14:textId="1A54C118" w:rsidR="00454238" w:rsidRPr="0067507D" w:rsidRDefault="00454238" w:rsidP="00454238">
      <w:pPr>
        <w:pStyle w:val="Bullet"/>
      </w:pPr>
      <w:r w:rsidRPr="0067507D">
        <w:t>providing project advice on technical, scope, cost and scheduling matters at key milestones in a project</w:t>
      </w:r>
      <w:r w:rsidR="0084509B" w:rsidRPr="0067507D">
        <w:t>’</w:t>
      </w:r>
      <w:r w:rsidRPr="0067507D">
        <w:t>s lifecycle to complement the economic, financial, contractual and risk advice provided by the Department</w:t>
      </w:r>
    </w:p>
    <w:p w14:paraId="7BBD5C98" w14:textId="77777777" w:rsidR="00454238" w:rsidRPr="0067507D" w:rsidRDefault="00454238" w:rsidP="00454238">
      <w:pPr>
        <w:pStyle w:val="Bullet"/>
      </w:pPr>
      <w:r w:rsidRPr="0067507D">
        <w:t>management of Public Account operations</w:t>
      </w:r>
    </w:p>
    <w:p w14:paraId="692F890A" w14:textId="3774AE5F" w:rsidR="00D90F01" w:rsidRPr="0067507D" w:rsidRDefault="00D90F01" w:rsidP="00454238">
      <w:pPr>
        <w:pStyle w:val="Bullet"/>
      </w:pPr>
      <w:r w:rsidRPr="0067507D">
        <w:t>overseeing potential commercialisation opportunities</w:t>
      </w:r>
    </w:p>
    <w:p w14:paraId="7D938CFA" w14:textId="6554A027" w:rsidR="00AA03F2" w:rsidRPr="0067507D" w:rsidRDefault="00454238" w:rsidP="00D21F55">
      <w:pPr>
        <w:pStyle w:val="Bullet"/>
      </w:pPr>
      <w:r w:rsidRPr="0067507D">
        <w:t>producing budget and financial reporting data for Government Business Enterprise sectors.</w:t>
      </w:r>
    </w:p>
    <w:p w14:paraId="617184F4" w14:textId="77777777" w:rsidR="00D11601" w:rsidRPr="0067507D" w:rsidRDefault="00D11601" w:rsidP="00D11601">
      <w:pPr>
        <w:pStyle w:val="Spacer"/>
      </w:pPr>
    </w:p>
    <w:p w14:paraId="5B067C00" w14:textId="7BC9AB87" w:rsidR="00D11601" w:rsidRPr="0067507D" w:rsidRDefault="00D11601" w:rsidP="00D11601">
      <w:pPr>
        <w:pStyle w:val="Heading3"/>
        <w:rPr>
          <w:sz w:val="20"/>
          <w:szCs w:val="20"/>
        </w:rPr>
      </w:pPr>
      <w:r w:rsidRPr="0067507D">
        <w:rPr>
          <w:sz w:val="20"/>
          <w:szCs w:val="20"/>
        </w:rPr>
        <w:t>Key initiatives and projects</w:t>
      </w:r>
    </w:p>
    <w:p w14:paraId="4A75362A" w14:textId="4878411C" w:rsidR="00BE5043" w:rsidRPr="0067507D" w:rsidRDefault="00334BEA" w:rsidP="00D11601">
      <w:pPr>
        <w:pStyle w:val="Bullet"/>
      </w:pPr>
      <w:r w:rsidRPr="0067507D">
        <w:t xml:space="preserve">Funding </w:t>
      </w:r>
      <w:r w:rsidR="006F1960" w:rsidRPr="0067507D">
        <w:t xml:space="preserve">was </w:t>
      </w:r>
      <w:r w:rsidRPr="0067507D">
        <w:t xml:space="preserve">provided to expand the Victorian Homebuyer Fund to accelerate more Victorians into home ownership. </w:t>
      </w:r>
      <w:r w:rsidR="00BE5043" w:rsidRPr="0067507D">
        <w:t>Settlements have now exceeded 15</w:t>
      </w:r>
      <w:r w:rsidR="00423A67" w:rsidRPr="0067507D">
        <w:rPr>
          <w:rFonts w:ascii="Calibri" w:hAnsi="Calibri" w:cs="Calibri"/>
        </w:rPr>
        <w:t> </w:t>
      </w:r>
      <w:r w:rsidR="00BE5043" w:rsidRPr="0067507D">
        <w:t>000, with over another 2</w:t>
      </w:r>
      <w:r w:rsidR="00423A67" w:rsidRPr="0067507D">
        <w:rPr>
          <w:rFonts w:ascii="Calibri" w:hAnsi="Calibri" w:cs="Calibri"/>
        </w:rPr>
        <w:t> </w:t>
      </w:r>
      <w:r w:rsidR="00BE5043" w:rsidRPr="0067507D">
        <w:t>000 approved to participate in the scheme to buy a home. As of 30 June 2025, shared equity places have been offered to almost 18</w:t>
      </w:r>
      <w:r w:rsidR="00423A67" w:rsidRPr="0067507D">
        <w:rPr>
          <w:rFonts w:ascii="Calibri" w:hAnsi="Calibri" w:cs="Calibri"/>
        </w:rPr>
        <w:t> </w:t>
      </w:r>
      <w:r w:rsidR="00BE5043" w:rsidRPr="0067507D">
        <w:t>000 Victorian households.</w:t>
      </w:r>
    </w:p>
    <w:p w14:paraId="2B802FA1" w14:textId="60054E00" w:rsidR="00BE5043" w:rsidRPr="0067507D" w:rsidRDefault="00BE5043" w:rsidP="00D11601">
      <w:pPr>
        <w:pStyle w:val="Bullet"/>
      </w:pPr>
      <w:r w:rsidRPr="0067507D">
        <w:t>The Victorian Homebuyer Fund was due to close on 30 June 2025, but the Government provide</w:t>
      </w:r>
      <w:r w:rsidR="006F1960" w:rsidRPr="0067507D">
        <w:t>d</w:t>
      </w:r>
      <w:r w:rsidRPr="0067507D">
        <w:t xml:space="preserve"> a short</w:t>
      </w:r>
      <w:r w:rsidR="006A5485">
        <w:noBreakHyphen/>
      </w:r>
      <w:r w:rsidRPr="0067507D">
        <w:t>term extension until all funds are exhausted.</w:t>
      </w:r>
    </w:p>
    <w:p w14:paraId="300D7883" w14:textId="35E2FB94" w:rsidR="000763D1" w:rsidRPr="0067507D" w:rsidRDefault="005D2169" w:rsidP="00D11601">
      <w:pPr>
        <w:pStyle w:val="Bullet"/>
      </w:pPr>
      <w:r w:rsidRPr="0067507D">
        <w:t xml:space="preserve">Commonwealth and Victorian Help to Buy legislation has been passed and the Help to Buy Program Directions have been registered. This means Victorians will be able to participate in Help to Buy as soon as it is launched </w:t>
      </w:r>
      <w:r w:rsidR="00887011" w:rsidRPr="0067507D">
        <w:t xml:space="preserve">by the Commonwealth </w:t>
      </w:r>
      <w:r w:rsidRPr="0067507D">
        <w:t>(expected to be late 2025).</w:t>
      </w:r>
    </w:p>
    <w:p w14:paraId="3634A00C" w14:textId="3F7E1C6B" w:rsidR="00202DB6" w:rsidRPr="0067507D" w:rsidRDefault="00202DB6" w:rsidP="00D11601">
      <w:pPr>
        <w:pStyle w:val="Bullet"/>
      </w:pPr>
      <w:r w:rsidRPr="0067507D">
        <w:t>In 2024</w:t>
      </w:r>
      <w:r w:rsidR="006A5485">
        <w:noBreakHyphen/>
      </w:r>
      <w:r w:rsidRPr="0067507D">
        <w:t xml:space="preserve">25, Infrastructure Victoria published </w:t>
      </w:r>
      <w:r w:rsidR="00E82F85" w:rsidRPr="0067507D">
        <w:t>six</w:t>
      </w:r>
      <w:r w:rsidRPr="0067507D">
        <w:t xml:space="preserve"> significant reports</w:t>
      </w:r>
      <w:r w:rsidR="008A40FE" w:rsidRPr="0067507D">
        <w:t>:</w:t>
      </w:r>
      <w:r w:rsidRPr="0067507D">
        <w:t xml:space="preserve"> </w:t>
      </w:r>
      <w:r w:rsidR="00C964E9" w:rsidRPr="00D80261">
        <w:rPr>
          <w:i/>
          <w:iCs/>
        </w:rPr>
        <w:t xml:space="preserve">Digital technology and infrastructure productivity report; Getting more from school grounds; Learning for life: preparing kindergarten, school and TAFE infrastructure for the future; </w:t>
      </w:r>
      <w:r w:rsidR="00DE2AB9" w:rsidRPr="00D80261">
        <w:rPr>
          <w:i/>
          <w:iCs/>
        </w:rPr>
        <w:t>Victoria’s draft 30</w:t>
      </w:r>
      <w:r w:rsidR="006A5485" w:rsidRPr="00D80261">
        <w:rPr>
          <w:i/>
          <w:iCs/>
        </w:rPr>
        <w:noBreakHyphen/>
      </w:r>
      <w:r w:rsidR="00DE2AB9" w:rsidRPr="00D80261">
        <w:rPr>
          <w:i/>
          <w:iCs/>
        </w:rPr>
        <w:t xml:space="preserve">year infrastructure strategy; </w:t>
      </w:r>
      <w:r w:rsidR="00C964E9" w:rsidRPr="00D80261">
        <w:rPr>
          <w:i/>
          <w:iCs/>
        </w:rPr>
        <w:t>Closing the Gap: investing in Aboriginal community</w:t>
      </w:r>
      <w:r w:rsidR="006A5485" w:rsidRPr="00D80261">
        <w:rPr>
          <w:i/>
          <w:iCs/>
        </w:rPr>
        <w:noBreakHyphen/>
      </w:r>
      <w:r w:rsidR="00C964E9" w:rsidRPr="00D80261">
        <w:rPr>
          <w:i/>
          <w:iCs/>
        </w:rPr>
        <w:t>controlled health and wellbeing infrastructure</w:t>
      </w:r>
      <w:r w:rsidR="00C964E9" w:rsidRPr="0067507D">
        <w:t xml:space="preserve">; </w:t>
      </w:r>
      <w:r w:rsidR="00DE2AB9" w:rsidRPr="0067507D">
        <w:t xml:space="preserve">and </w:t>
      </w:r>
      <w:r w:rsidR="00DE2AB9" w:rsidRPr="00D80261">
        <w:rPr>
          <w:i/>
          <w:iCs/>
        </w:rPr>
        <w:t>Getting better use from infrastructure</w:t>
      </w:r>
      <w:r w:rsidR="00DE2AB9" w:rsidRPr="0067507D">
        <w:t>.</w:t>
      </w:r>
    </w:p>
    <w:p w14:paraId="70ECAB43" w14:textId="179A2584" w:rsidR="0003531F" w:rsidRPr="0067507D" w:rsidRDefault="00F54BFE" w:rsidP="0080069B">
      <w:pPr>
        <w:pStyle w:val="Bullet"/>
      </w:pPr>
      <w:r w:rsidRPr="0067507D">
        <w:lastRenderedPageBreak/>
        <w:t>DTF provide</w:t>
      </w:r>
      <w:r w:rsidR="0049465B" w:rsidRPr="0067507D">
        <w:t>s</w:t>
      </w:r>
      <w:r w:rsidRPr="0067507D" w:rsidDel="0028163A">
        <w:t xml:space="preserve"> </w:t>
      </w:r>
      <w:r w:rsidR="0028163A" w:rsidRPr="0067507D">
        <w:t xml:space="preserve">improved </w:t>
      </w:r>
      <w:r w:rsidRPr="0067507D">
        <w:t xml:space="preserve">transparency over funding allocations to capital projects through its regular release of the BP4 Capital Investment Dashboard and Victorian Major Projects Pipeline. The Capital Investment Dashboard was published in May 2025 alongside the publication of the </w:t>
      </w:r>
      <w:r w:rsidRPr="0067507D">
        <w:rPr>
          <w:i/>
        </w:rPr>
        <w:t>2025</w:t>
      </w:r>
      <w:r w:rsidR="006A5485">
        <w:rPr>
          <w:i/>
        </w:rPr>
        <w:noBreakHyphen/>
      </w:r>
      <w:r w:rsidRPr="0067507D">
        <w:rPr>
          <w:i/>
        </w:rPr>
        <w:t>26 Budget</w:t>
      </w:r>
      <w:r w:rsidRPr="0067507D">
        <w:t>.</w:t>
      </w:r>
    </w:p>
    <w:p w14:paraId="217CC74E" w14:textId="54CCF6F6" w:rsidR="00B4736B" w:rsidRPr="0067507D" w:rsidRDefault="00F54BFE" w:rsidP="0080069B">
      <w:pPr>
        <w:pStyle w:val="Bullet"/>
      </w:pPr>
      <w:r w:rsidRPr="0067507D">
        <w:t xml:space="preserve">The Victorian Major Projects Pipeline is currently in production and expected to be published in </w:t>
      </w:r>
      <w:r w:rsidR="00417ABD" w:rsidRPr="0067507D">
        <w:t>August</w:t>
      </w:r>
      <w:r w:rsidRPr="0067507D">
        <w:t xml:space="preserve"> 2025. DTF also provides regular reporting through the Major Projects Performance Report to Cabinet on the project and systemic risks in the state</w:t>
      </w:r>
      <w:r w:rsidR="007E535D" w:rsidRPr="0067507D">
        <w:t>’</w:t>
      </w:r>
      <w:r w:rsidRPr="0067507D">
        <w:t xml:space="preserve">s infrastructure portfolio. </w:t>
      </w:r>
    </w:p>
    <w:p w14:paraId="0FBB2398" w14:textId="392AC222" w:rsidR="00E66BDF" w:rsidRPr="0067507D" w:rsidRDefault="00F54BFE" w:rsidP="0080069B">
      <w:pPr>
        <w:pStyle w:val="Bullet"/>
      </w:pPr>
      <w:r w:rsidRPr="0067507D">
        <w:t>The M</w:t>
      </w:r>
      <w:r w:rsidR="007D22E4" w:rsidRPr="0067507D">
        <w:t xml:space="preserve">ajor </w:t>
      </w:r>
      <w:r w:rsidRPr="0067507D">
        <w:t>P</w:t>
      </w:r>
      <w:r w:rsidR="007D22E4" w:rsidRPr="0067507D">
        <w:t xml:space="preserve">rojects </w:t>
      </w:r>
      <w:r w:rsidRPr="0067507D">
        <w:t>P</w:t>
      </w:r>
      <w:r w:rsidR="007D22E4" w:rsidRPr="0067507D">
        <w:t xml:space="preserve">erformance </w:t>
      </w:r>
      <w:r w:rsidRPr="0067507D">
        <w:t>R</w:t>
      </w:r>
      <w:r w:rsidR="007D22E4" w:rsidRPr="0067507D">
        <w:t>eport</w:t>
      </w:r>
      <w:r w:rsidRPr="0067507D">
        <w:t xml:space="preserve"> data collection process has been fully digitised through an online reporting platform, helping drive down risk. DTF has also invested in migrating the Gateway process to the online reporting platform to drive greater efficiencies, with the system now live and users progressively being onboarded in Q4 2024</w:t>
      </w:r>
      <w:r w:rsidR="006A5485">
        <w:noBreakHyphen/>
      </w:r>
      <w:r w:rsidRPr="0067507D">
        <w:t>25.</w:t>
      </w:r>
    </w:p>
    <w:p w14:paraId="1EB9835F" w14:textId="77777777" w:rsidR="00D11601" w:rsidRPr="0067507D" w:rsidRDefault="00D11601" w:rsidP="00D11601">
      <w:pPr>
        <w:pStyle w:val="Spacer"/>
      </w:pPr>
    </w:p>
    <w:tbl>
      <w:tblPr>
        <w:tblStyle w:val="TableGrid"/>
        <w:tblW w:w="0" w:type="auto"/>
        <w:tblLayout w:type="fixed"/>
        <w:tblLook w:val="02A0" w:firstRow="1" w:lastRow="0" w:firstColumn="1" w:lastColumn="0" w:noHBand="1" w:noVBand="0"/>
      </w:tblPr>
      <w:tblGrid>
        <w:gridCol w:w="3780"/>
        <w:gridCol w:w="996"/>
        <w:gridCol w:w="1032"/>
        <w:gridCol w:w="1032"/>
        <w:gridCol w:w="1260"/>
        <w:gridCol w:w="900"/>
      </w:tblGrid>
      <w:tr w:rsidR="00E26BDE" w:rsidRPr="0067507D" w14:paraId="1A311C54" w14:textId="77777777" w:rsidTr="00D609F5">
        <w:trPr>
          <w:tblHeader/>
        </w:trPr>
        <w:tc>
          <w:tcPr>
            <w:cnfStyle w:val="001000000000" w:firstRow="0" w:lastRow="0" w:firstColumn="1" w:lastColumn="0" w:oddVBand="0" w:evenVBand="0" w:oddHBand="0" w:evenHBand="0" w:firstRowFirstColumn="0" w:firstRowLastColumn="0" w:lastRowFirstColumn="0" w:lastRowLastColumn="0"/>
            <w:tcW w:w="3780" w:type="dxa"/>
            <w:vAlign w:val="bottom"/>
          </w:tcPr>
          <w:p w14:paraId="63DC7C2E" w14:textId="2EB39C2D" w:rsidR="00907FAE" w:rsidRPr="0067507D" w:rsidRDefault="00907FAE" w:rsidP="006B3412">
            <w:pPr>
              <w:pStyle w:val="Tabletextheadingleft"/>
              <w:rPr>
                <w:szCs w:val="16"/>
              </w:rPr>
            </w:pPr>
            <w:r w:rsidRPr="0067507D">
              <w:rPr>
                <w:szCs w:val="16"/>
              </w:rPr>
              <w:t>Performance measures</w:t>
            </w:r>
          </w:p>
        </w:tc>
        <w:tc>
          <w:tcPr>
            <w:cnfStyle w:val="000010000000" w:firstRow="0" w:lastRow="0" w:firstColumn="0" w:lastColumn="0" w:oddVBand="1" w:evenVBand="0" w:oddHBand="0" w:evenHBand="0" w:firstRowFirstColumn="0" w:firstRowLastColumn="0" w:lastRowFirstColumn="0" w:lastRowLastColumn="0"/>
            <w:tcW w:w="996" w:type="dxa"/>
          </w:tcPr>
          <w:p w14:paraId="1C94D857" w14:textId="77777777" w:rsidR="00907FAE" w:rsidRPr="0067507D" w:rsidRDefault="00907FAE" w:rsidP="006B3412">
            <w:pPr>
              <w:pStyle w:val="Tabletextheadingcentred"/>
              <w:rPr>
                <w:szCs w:val="16"/>
              </w:rPr>
            </w:pPr>
            <w:r w:rsidRPr="0067507D">
              <w:rPr>
                <w:szCs w:val="16"/>
              </w:rPr>
              <w:t>Unit of measure</w:t>
            </w:r>
          </w:p>
        </w:tc>
        <w:tc>
          <w:tcPr>
            <w:cnfStyle w:val="000001000000" w:firstRow="0" w:lastRow="0" w:firstColumn="0" w:lastColumn="0" w:oddVBand="0" w:evenVBand="1" w:oddHBand="0" w:evenHBand="0" w:firstRowFirstColumn="0" w:firstRowLastColumn="0" w:lastRowFirstColumn="0" w:lastRowLastColumn="0"/>
            <w:tcW w:w="1032" w:type="dxa"/>
            <w:vAlign w:val="bottom"/>
          </w:tcPr>
          <w:p w14:paraId="153C3D1A" w14:textId="4AECF582" w:rsidR="00907FAE"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907FAE" w:rsidRPr="0067507D">
              <w:rPr>
                <w:szCs w:val="16"/>
              </w:rPr>
              <w:t xml:space="preserve"> actual</w:t>
            </w:r>
          </w:p>
        </w:tc>
        <w:tc>
          <w:tcPr>
            <w:cnfStyle w:val="000010000000" w:firstRow="0" w:lastRow="0" w:firstColumn="0" w:lastColumn="0" w:oddVBand="1" w:evenVBand="0" w:oddHBand="0" w:evenHBand="0" w:firstRowFirstColumn="0" w:firstRowLastColumn="0" w:lastRowFirstColumn="0" w:lastRowLastColumn="0"/>
            <w:tcW w:w="1032" w:type="dxa"/>
            <w:vAlign w:val="bottom"/>
          </w:tcPr>
          <w:p w14:paraId="4300CA77" w14:textId="541FC76A" w:rsidR="00907FAE"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907FAE" w:rsidRPr="0067507D">
              <w:rPr>
                <w:szCs w:val="16"/>
              </w:rPr>
              <w:t xml:space="preserve"> target</w:t>
            </w:r>
          </w:p>
        </w:tc>
        <w:tc>
          <w:tcPr>
            <w:cnfStyle w:val="000001000000" w:firstRow="0" w:lastRow="0" w:firstColumn="0" w:lastColumn="0" w:oddVBand="0" w:evenVBand="1" w:oddHBand="0" w:evenHBand="0" w:firstRowFirstColumn="0" w:firstRowLastColumn="0" w:lastRowFirstColumn="0" w:lastRowLastColumn="0"/>
            <w:tcW w:w="1260" w:type="dxa"/>
            <w:vAlign w:val="bottom"/>
          </w:tcPr>
          <w:p w14:paraId="1063FDAB" w14:textId="77777777" w:rsidR="00907FAE" w:rsidRPr="0067507D" w:rsidRDefault="00907FAE" w:rsidP="006B3412">
            <w:pPr>
              <w:pStyle w:val="Tabletextheadingright"/>
              <w:rPr>
                <w:szCs w:val="16"/>
              </w:rPr>
            </w:pPr>
            <w:r w:rsidRPr="0067507D">
              <w:rPr>
                <w:szCs w:val="16"/>
              </w:rPr>
              <w:t>Performance variation (%)</w:t>
            </w:r>
          </w:p>
        </w:tc>
        <w:tc>
          <w:tcPr>
            <w:cnfStyle w:val="000010000000" w:firstRow="0" w:lastRow="0" w:firstColumn="0" w:lastColumn="0" w:oddVBand="1" w:evenVBand="0" w:oddHBand="0" w:evenHBand="0" w:firstRowFirstColumn="0" w:firstRowLastColumn="0" w:lastRowFirstColumn="0" w:lastRowLastColumn="0"/>
            <w:tcW w:w="900" w:type="dxa"/>
            <w:vAlign w:val="bottom"/>
          </w:tcPr>
          <w:p w14:paraId="670732B4" w14:textId="77777777" w:rsidR="00907FAE" w:rsidRPr="0067507D" w:rsidRDefault="00907FAE" w:rsidP="006B3412">
            <w:pPr>
              <w:pStyle w:val="Tabletextheadingrightbold"/>
              <w:rPr>
                <w:szCs w:val="16"/>
              </w:rPr>
            </w:pPr>
            <w:r w:rsidRPr="0067507D">
              <w:rPr>
                <w:szCs w:val="16"/>
              </w:rPr>
              <w:t xml:space="preserve">Result </w:t>
            </w:r>
          </w:p>
        </w:tc>
      </w:tr>
      <w:tr w:rsidR="00E26BDE" w:rsidRPr="0067507D" w14:paraId="1E00FE33"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370A4242" w14:textId="2D76F607" w:rsidR="00F05844" w:rsidRPr="0067507D" w:rsidRDefault="00F05844" w:rsidP="00F05844">
            <w:pPr>
              <w:pStyle w:val="Tabletextheadingleft"/>
            </w:pPr>
            <w:r w:rsidRPr="0067507D">
              <w:rPr>
                <w:iCs/>
              </w:rPr>
              <w:t>Quantity</w:t>
            </w:r>
          </w:p>
        </w:tc>
        <w:tc>
          <w:tcPr>
            <w:cnfStyle w:val="000010000000" w:firstRow="0" w:lastRow="0" w:firstColumn="0" w:lastColumn="0" w:oddVBand="1" w:evenVBand="0" w:oddHBand="0" w:evenHBand="0" w:firstRowFirstColumn="0" w:firstRowLastColumn="0" w:lastRowFirstColumn="0" w:lastRowLastColumn="0"/>
            <w:tcW w:w="996" w:type="dxa"/>
          </w:tcPr>
          <w:p w14:paraId="1F9CA828" w14:textId="77777777" w:rsidR="00F05844" w:rsidRPr="0067507D" w:rsidRDefault="00F05844" w:rsidP="00F05844">
            <w:pPr>
              <w:pStyle w:val="Tabletextcentred"/>
            </w:pPr>
          </w:p>
        </w:tc>
        <w:tc>
          <w:tcPr>
            <w:cnfStyle w:val="000001000000" w:firstRow="0" w:lastRow="0" w:firstColumn="0" w:lastColumn="0" w:oddVBand="0" w:evenVBand="1" w:oddHBand="0" w:evenHBand="0" w:firstRowFirstColumn="0" w:firstRowLastColumn="0" w:lastRowFirstColumn="0" w:lastRowLastColumn="0"/>
            <w:tcW w:w="1032" w:type="dxa"/>
          </w:tcPr>
          <w:p w14:paraId="57EBD9A0"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1032" w:type="dxa"/>
          </w:tcPr>
          <w:p w14:paraId="0E08B9D4" w14:textId="77777777" w:rsidR="00F05844" w:rsidRPr="0067507D" w:rsidRDefault="00F05844" w:rsidP="00F05844">
            <w:pPr>
              <w:pStyle w:val="Tabletextright"/>
            </w:pPr>
          </w:p>
        </w:tc>
        <w:tc>
          <w:tcPr>
            <w:cnfStyle w:val="000001000000" w:firstRow="0" w:lastRow="0" w:firstColumn="0" w:lastColumn="0" w:oddVBand="0" w:evenVBand="1" w:oddHBand="0" w:evenHBand="0" w:firstRowFirstColumn="0" w:firstRowLastColumn="0" w:lastRowFirstColumn="0" w:lastRowLastColumn="0"/>
            <w:tcW w:w="1260" w:type="dxa"/>
          </w:tcPr>
          <w:p w14:paraId="7FCDA04D"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900" w:type="dxa"/>
          </w:tcPr>
          <w:p w14:paraId="0E8BA336" w14:textId="77777777" w:rsidR="00F05844" w:rsidRPr="0067507D" w:rsidRDefault="00F05844" w:rsidP="00F05844">
            <w:pPr>
              <w:pStyle w:val="Tabletextright"/>
            </w:pPr>
          </w:p>
        </w:tc>
      </w:tr>
      <w:tr w:rsidR="00E26BDE" w:rsidRPr="0067507D" w14:paraId="447BA160"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7AB67A4A" w14:textId="77777777" w:rsidR="00F05844" w:rsidRPr="0067507D" w:rsidRDefault="00F05844" w:rsidP="00F05844">
            <w:pPr>
              <w:pStyle w:val="Tabletext"/>
              <w:rPr>
                <w:iCs/>
              </w:rPr>
            </w:pPr>
            <w:r w:rsidRPr="0067507D">
              <w:rPr>
                <w:iCs/>
              </w:rPr>
              <w:t>Assurance and Gateway reviews undertaken</w:t>
            </w:r>
          </w:p>
          <w:p w14:paraId="2724AB1E" w14:textId="2BA269F6" w:rsidR="00F05844" w:rsidRPr="0067507D" w:rsidRDefault="00C11147" w:rsidP="00FB5B3D">
            <w:pPr>
              <w:pStyle w:val="Tabletextnotes"/>
            </w:pPr>
            <w:r w:rsidRPr="0067507D">
              <w:t>The 2024</w:t>
            </w:r>
            <w:r w:rsidR="006A5485">
              <w:noBreakHyphen/>
            </w:r>
            <w:r w:rsidRPr="0067507D">
              <w:t xml:space="preserve">25 actual is lower than the target due to </w:t>
            </w:r>
            <w:r w:rsidR="0072234B" w:rsidRPr="0067507D">
              <w:t xml:space="preserve">fewer </w:t>
            </w:r>
            <w:r w:rsidR="00BB3936" w:rsidRPr="0067507D">
              <w:t>reviews occurring</w:t>
            </w:r>
            <w:r w:rsidRPr="0067507D">
              <w:t xml:space="preserve"> </w:t>
            </w:r>
            <w:r w:rsidR="00BB3936" w:rsidRPr="0067507D">
              <w:t xml:space="preserve">in </w:t>
            </w:r>
            <w:r w:rsidRPr="0067507D">
              <w:t xml:space="preserve">the second half of the financial year </w:t>
            </w:r>
            <w:r w:rsidR="00BB3936" w:rsidRPr="0067507D">
              <w:t>compared to the</w:t>
            </w:r>
            <w:r w:rsidR="001E67D3" w:rsidRPr="0067507D">
              <w:t xml:space="preserve"> same period in the</w:t>
            </w:r>
            <w:r w:rsidR="00BB3936" w:rsidRPr="0067507D">
              <w:t xml:space="preserve"> </w:t>
            </w:r>
            <w:r w:rsidRPr="0067507D">
              <w:t>previous year. This is due to a reduction in new projects being funded. 2025</w:t>
            </w:r>
            <w:r w:rsidR="006A5485">
              <w:noBreakHyphen/>
            </w:r>
            <w:r w:rsidRPr="0067507D">
              <w:t>26 targets have been reduced to reflect this changing environment.</w:t>
            </w:r>
          </w:p>
        </w:tc>
        <w:tc>
          <w:tcPr>
            <w:cnfStyle w:val="000010000000" w:firstRow="0" w:lastRow="0" w:firstColumn="0" w:lastColumn="0" w:oddVBand="1" w:evenVBand="0" w:oddHBand="0" w:evenHBand="0" w:firstRowFirstColumn="0" w:firstRowLastColumn="0" w:lastRowFirstColumn="0" w:lastRowLastColumn="0"/>
            <w:tcW w:w="996" w:type="dxa"/>
          </w:tcPr>
          <w:p w14:paraId="44C56767" w14:textId="0E292299"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2" w:type="dxa"/>
          </w:tcPr>
          <w:p w14:paraId="641CBB86" w14:textId="679E95E1" w:rsidR="00F05844" w:rsidRPr="0067507D" w:rsidRDefault="00523B81" w:rsidP="00F05844">
            <w:pPr>
              <w:pStyle w:val="Tabletextright"/>
            </w:pPr>
            <w:r w:rsidRPr="0067507D">
              <w:t>60</w:t>
            </w:r>
          </w:p>
        </w:tc>
        <w:tc>
          <w:tcPr>
            <w:cnfStyle w:val="000010000000" w:firstRow="0" w:lastRow="0" w:firstColumn="0" w:lastColumn="0" w:oddVBand="1" w:evenVBand="0" w:oddHBand="0" w:evenHBand="0" w:firstRowFirstColumn="0" w:firstRowLastColumn="0" w:lastRowFirstColumn="0" w:lastRowLastColumn="0"/>
            <w:tcW w:w="1032" w:type="dxa"/>
          </w:tcPr>
          <w:p w14:paraId="3D52ED1B" w14:textId="5B20FD14" w:rsidR="00F05844" w:rsidRPr="0067507D" w:rsidRDefault="00F05844" w:rsidP="00F05844">
            <w:pPr>
              <w:pStyle w:val="Tabletextright"/>
            </w:pPr>
            <w:r w:rsidRPr="0067507D">
              <w:rPr>
                <w:iCs/>
              </w:rPr>
              <w:t>72</w:t>
            </w:r>
          </w:p>
        </w:tc>
        <w:tc>
          <w:tcPr>
            <w:cnfStyle w:val="000001000000" w:firstRow="0" w:lastRow="0" w:firstColumn="0" w:lastColumn="0" w:oddVBand="0" w:evenVBand="1" w:oddHBand="0" w:evenHBand="0" w:firstRowFirstColumn="0" w:firstRowLastColumn="0" w:lastRowFirstColumn="0" w:lastRowLastColumn="0"/>
            <w:tcW w:w="1260" w:type="dxa"/>
          </w:tcPr>
          <w:p w14:paraId="315EEE17" w14:textId="5DC235A6" w:rsidR="00F05844" w:rsidRPr="0067507D" w:rsidRDefault="006A5485" w:rsidP="00F05844">
            <w:pPr>
              <w:pStyle w:val="Tabletextright"/>
            </w:pPr>
            <w:r>
              <w:noBreakHyphen/>
            </w:r>
            <w:r w:rsidR="00523B81" w:rsidRPr="0067507D">
              <w:t>17</w:t>
            </w:r>
          </w:p>
        </w:tc>
        <w:tc>
          <w:tcPr>
            <w:cnfStyle w:val="000010000000" w:firstRow="0" w:lastRow="0" w:firstColumn="0" w:lastColumn="0" w:oddVBand="1" w:evenVBand="0" w:oddHBand="0" w:evenHBand="0" w:firstRowFirstColumn="0" w:firstRowLastColumn="0" w:lastRowFirstColumn="0" w:lastRowLastColumn="0"/>
            <w:tcW w:w="900" w:type="dxa"/>
          </w:tcPr>
          <w:p w14:paraId="21E0B48F" w14:textId="77777777" w:rsidR="00F05844" w:rsidRPr="0067507D" w:rsidRDefault="00F05844" w:rsidP="001857CC">
            <w:pPr>
              <w:pStyle w:val="TargetNotMet50"/>
            </w:pPr>
          </w:p>
        </w:tc>
      </w:tr>
      <w:tr w:rsidR="00E26BDE" w:rsidRPr="0067507D" w14:paraId="1F95C50E"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7B606E17" w14:textId="77777777" w:rsidR="00F05844" w:rsidRPr="0067507D" w:rsidRDefault="00F05844" w:rsidP="00F05844">
            <w:pPr>
              <w:pStyle w:val="Tabletext"/>
              <w:rPr>
                <w:iCs/>
              </w:rPr>
            </w:pPr>
            <w:r w:rsidRPr="0067507D">
              <w:rPr>
                <w:iCs/>
              </w:rPr>
              <w:t>Department action plans</w:t>
            </w:r>
          </w:p>
          <w:p w14:paraId="55EAA808" w14:textId="185A26F0" w:rsidR="00F05844" w:rsidRPr="0067507D" w:rsidRDefault="00BE529C" w:rsidP="00FB5B3D">
            <w:pPr>
              <w:pStyle w:val="Tabletextnotes"/>
            </w:pPr>
            <w:r w:rsidRPr="0067507D">
              <w:t>The 2024</w:t>
            </w:r>
            <w:r w:rsidR="006A5485">
              <w:noBreakHyphen/>
            </w:r>
            <w:r w:rsidRPr="0067507D">
              <w:t>25 actual is lower than the target as action</w:t>
            </w:r>
            <w:r w:rsidR="003B2C46" w:rsidRPr="0067507D">
              <w:rPr>
                <w:rFonts w:ascii="Calibri" w:hAnsi="Calibri" w:cs="Calibri"/>
              </w:rPr>
              <w:t> </w:t>
            </w:r>
            <w:r w:rsidRPr="0067507D">
              <w:t>plans will need to be developed in preparation for new psychological health regulations (commencing in December 2025). As the final version of the regulations will not be made public until October</w:t>
            </w:r>
            <w:r w:rsidR="006B68F2" w:rsidRPr="0067507D">
              <w:rPr>
                <w:rFonts w:ascii="Calibri" w:hAnsi="Calibri" w:cs="Calibri"/>
              </w:rPr>
              <w:t> </w:t>
            </w:r>
            <w:r w:rsidRPr="0067507D">
              <w:t>2025, action plans were not able to be completed in the 2024</w:t>
            </w:r>
            <w:r w:rsidR="006A5485">
              <w:noBreakHyphen/>
            </w:r>
            <w:r w:rsidRPr="0067507D">
              <w:t>25 year.</w:t>
            </w:r>
          </w:p>
        </w:tc>
        <w:tc>
          <w:tcPr>
            <w:cnfStyle w:val="000010000000" w:firstRow="0" w:lastRow="0" w:firstColumn="0" w:lastColumn="0" w:oddVBand="1" w:evenVBand="0" w:oddHBand="0" w:evenHBand="0" w:firstRowFirstColumn="0" w:firstRowLastColumn="0" w:lastRowFirstColumn="0" w:lastRowLastColumn="0"/>
            <w:tcW w:w="996" w:type="dxa"/>
          </w:tcPr>
          <w:p w14:paraId="263D11AD" w14:textId="78B1E9B2"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2" w:type="dxa"/>
          </w:tcPr>
          <w:p w14:paraId="0FDBDA5D" w14:textId="752D9F67" w:rsidR="00F05844" w:rsidRPr="0067507D" w:rsidRDefault="000D228B" w:rsidP="00F05844">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1032" w:type="dxa"/>
          </w:tcPr>
          <w:p w14:paraId="0054E453" w14:textId="5C5F505E" w:rsidR="00F05844" w:rsidRPr="0067507D" w:rsidRDefault="00F05844" w:rsidP="00F05844">
            <w:pPr>
              <w:pStyle w:val="Tabletextright"/>
            </w:pPr>
            <w:r w:rsidRPr="0067507D">
              <w:rPr>
                <w:iCs/>
              </w:rPr>
              <w:t>9</w:t>
            </w:r>
          </w:p>
        </w:tc>
        <w:tc>
          <w:tcPr>
            <w:cnfStyle w:val="000001000000" w:firstRow="0" w:lastRow="0" w:firstColumn="0" w:lastColumn="0" w:oddVBand="0" w:evenVBand="1" w:oddHBand="0" w:evenHBand="0" w:firstRowFirstColumn="0" w:firstRowLastColumn="0" w:lastRowFirstColumn="0" w:lastRowLastColumn="0"/>
            <w:tcW w:w="1260" w:type="dxa"/>
          </w:tcPr>
          <w:p w14:paraId="53C80304" w14:textId="3FA0387E" w:rsidR="00F05844" w:rsidRPr="0067507D" w:rsidRDefault="006A5485" w:rsidP="00F05844">
            <w:pPr>
              <w:pStyle w:val="Tabletextright"/>
            </w:pPr>
            <w:r>
              <w:noBreakHyphen/>
            </w:r>
            <w:r w:rsidR="000D228B" w:rsidRPr="0067507D">
              <w:t>100</w:t>
            </w:r>
          </w:p>
        </w:tc>
        <w:tc>
          <w:tcPr>
            <w:cnfStyle w:val="000010000000" w:firstRow="0" w:lastRow="0" w:firstColumn="0" w:lastColumn="0" w:oddVBand="1" w:evenVBand="0" w:oddHBand="0" w:evenHBand="0" w:firstRowFirstColumn="0" w:firstRowLastColumn="0" w:lastRowFirstColumn="0" w:lastRowLastColumn="0"/>
            <w:tcW w:w="900" w:type="dxa"/>
          </w:tcPr>
          <w:p w14:paraId="3B289981" w14:textId="77777777" w:rsidR="00F05844" w:rsidRPr="0067507D" w:rsidRDefault="00F05844" w:rsidP="001857CC">
            <w:pPr>
              <w:pStyle w:val="TargetNotMet50"/>
            </w:pPr>
          </w:p>
        </w:tc>
      </w:tr>
      <w:tr w:rsidR="00E26BDE" w:rsidRPr="0067507D" w14:paraId="1296FA16"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229F53C8" w14:textId="77777777" w:rsidR="00F05844" w:rsidRPr="0067507D" w:rsidRDefault="00F05844" w:rsidP="00F05844">
            <w:pPr>
              <w:pStyle w:val="Tabletext"/>
              <w:rPr>
                <w:iCs/>
              </w:rPr>
            </w:pPr>
            <w:r w:rsidRPr="0067507D">
              <w:rPr>
                <w:iCs/>
              </w:rPr>
              <w:t>Develop and implement policy guidance and infrastructure investment frameworks to govern and build capability to deliver infrastructure</w:t>
            </w:r>
          </w:p>
          <w:p w14:paraId="4FB55FBC" w14:textId="336E6A3D" w:rsidR="00F05844" w:rsidRPr="0067507D" w:rsidRDefault="00F528FF" w:rsidP="00B93726">
            <w:pPr>
              <w:pStyle w:val="Tabletextnotes"/>
            </w:pPr>
            <w:r w:rsidRPr="0067507D">
              <w:t>The 2024</w:t>
            </w:r>
            <w:r w:rsidR="006A5485">
              <w:noBreakHyphen/>
            </w:r>
            <w:r w:rsidRPr="0067507D">
              <w:t>25 actual is higher than the target due to the delivery of additional infrastructure procurement framework training.</w:t>
            </w:r>
          </w:p>
        </w:tc>
        <w:tc>
          <w:tcPr>
            <w:cnfStyle w:val="000010000000" w:firstRow="0" w:lastRow="0" w:firstColumn="0" w:lastColumn="0" w:oddVBand="1" w:evenVBand="0" w:oddHBand="0" w:evenHBand="0" w:firstRowFirstColumn="0" w:firstRowLastColumn="0" w:lastRowFirstColumn="0" w:lastRowLastColumn="0"/>
            <w:tcW w:w="996" w:type="dxa"/>
          </w:tcPr>
          <w:p w14:paraId="7C268B3B" w14:textId="0941543D"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2" w:type="dxa"/>
          </w:tcPr>
          <w:p w14:paraId="6DB851C3" w14:textId="03AE7275" w:rsidR="00F05844" w:rsidRPr="0067507D" w:rsidRDefault="000D228B" w:rsidP="00F05844">
            <w:pPr>
              <w:pStyle w:val="Tabletextright"/>
            </w:pPr>
            <w:r w:rsidRPr="0067507D">
              <w:t>63</w:t>
            </w:r>
          </w:p>
        </w:tc>
        <w:tc>
          <w:tcPr>
            <w:cnfStyle w:val="000010000000" w:firstRow="0" w:lastRow="0" w:firstColumn="0" w:lastColumn="0" w:oddVBand="1" w:evenVBand="0" w:oddHBand="0" w:evenHBand="0" w:firstRowFirstColumn="0" w:firstRowLastColumn="0" w:lastRowFirstColumn="0" w:lastRowLastColumn="0"/>
            <w:tcW w:w="1032" w:type="dxa"/>
          </w:tcPr>
          <w:p w14:paraId="5325A571" w14:textId="2A496AC6" w:rsidR="00F05844" w:rsidRPr="0067507D" w:rsidRDefault="00F05844" w:rsidP="00F05844">
            <w:pPr>
              <w:pStyle w:val="Tabletextright"/>
            </w:pPr>
            <w:r w:rsidRPr="0067507D">
              <w:rPr>
                <w:iCs/>
              </w:rPr>
              <w:t>58</w:t>
            </w:r>
          </w:p>
        </w:tc>
        <w:tc>
          <w:tcPr>
            <w:cnfStyle w:val="000001000000" w:firstRow="0" w:lastRow="0" w:firstColumn="0" w:lastColumn="0" w:oddVBand="0" w:evenVBand="1" w:oddHBand="0" w:evenHBand="0" w:firstRowFirstColumn="0" w:firstRowLastColumn="0" w:lastRowFirstColumn="0" w:lastRowLastColumn="0"/>
            <w:tcW w:w="1260" w:type="dxa"/>
          </w:tcPr>
          <w:p w14:paraId="6648C6C7" w14:textId="4A71EF57" w:rsidR="00F05844" w:rsidRPr="0067507D" w:rsidRDefault="000D228B" w:rsidP="00F05844">
            <w:pPr>
              <w:pStyle w:val="Tabletextright"/>
            </w:pPr>
            <w:r w:rsidRPr="0067507D">
              <w:t>9</w:t>
            </w:r>
          </w:p>
        </w:tc>
        <w:tc>
          <w:tcPr>
            <w:cnfStyle w:val="000010000000" w:firstRow="0" w:lastRow="0" w:firstColumn="0" w:lastColumn="0" w:oddVBand="1" w:evenVBand="0" w:oddHBand="0" w:evenHBand="0" w:firstRowFirstColumn="0" w:firstRowLastColumn="0" w:lastRowFirstColumn="0" w:lastRowLastColumn="0"/>
            <w:tcW w:w="900" w:type="dxa"/>
          </w:tcPr>
          <w:p w14:paraId="10FE9B42" w14:textId="77777777" w:rsidR="00F05844" w:rsidRPr="0067507D" w:rsidRDefault="00F05844" w:rsidP="001857CC">
            <w:pPr>
              <w:pStyle w:val="TargetMet"/>
            </w:pPr>
          </w:p>
        </w:tc>
      </w:tr>
      <w:tr w:rsidR="00E26BDE" w:rsidRPr="0067507D" w14:paraId="1179DAC7"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10C8C595" w14:textId="77777777" w:rsidR="00F05844" w:rsidRPr="0067507D" w:rsidRDefault="00F05844" w:rsidP="00F05844">
            <w:pPr>
              <w:pStyle w:val="Tabletext"/>
              <w:rPr>
                <w:iCs/>
              </w:rPr>
            </w:pPr>
            <w:r w:rsidRPr="0067507D">
              <w:rPr>
                <w:iCs/>
              </w:rPr>
              <w:t>Develop and implement training to build capability to deliver infrastructure</w:t>
            </w:r>
          </w:p>
          <w:p w14:paraId="4504DFEE" w14:textId="329752D4" w:rsidR="00F05844" w:rsidRPr="0067507D" w:rsidRDefault="008E4E77" w:rsidP="00FB5B3D">
            <w:pPr>
              <w:pStyle w:val="Tabletextnotes"/>
            </w:pPr>
            <w:r w:rsidRPr="0067507D">
              <w:t>The 2024</w:t>
            </w:r>
            <w:r w:rsidR="006A5485">
              <w:noBreakHyphen/>
            </w:r>
            <w:r w:rsidRPr="0067507D">
              <w:t>25 actual is lower than the target as DTF is retendering some capability programs. Lower training completions were anticipated due to this process.</w:t>
            </w:r>
          </w:p>
        </w:tc>
        <w:tc>
          <w:tcPr>
            <w:cnfStyle w:val="000010000000" w:firstRow="0" w:lastRow="0" w:firstColumn="0" w:lastColumn="0" w:oddVBand="1" w:evenVBand="0" w:oddHBand="0" w:evenHBand="0" w:firstRowFirstColumn="0" w:firstRowLastColumn="0" w:lastRowFirstColumn="0" w:lastRowLastColumn="0"/>
            <w:tcW w:w="996" w:type="dxa"/>
          </w:tcPr>
          <w:p w14:paraId="670F814E" w14:textId="434164C5"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2" w:type="dxa"/>
          </w:tcPr>
          <w:p w14:paraId="58E070FD" w14:textId="270D7382" w:rsidR="00F05844" w:rsidRPr="0067507D" w:rsidRDefault="000D228B" w:rsidP="00F05844">
            <w:pPr>
              <w:pStyle w:val="Tabletextright"/>
            </w:pPr>
            <w:r w:rsidRPr="0067507D">
              <w:t>35</w:t>
            </w:r>
          </w:p>
        </w:tc>
        <w:tc>
          <w:tcPr>
            <w:cnfStyle w:val="000010000000" w:firstRow="0" w:lastRow="0" w:firstColumn="0" w:lastColumn="0" w:oddVBand="1" w:evenVBand="0" w:oddHBand="0" w:evenHBand="0" w:firstRowFirstColumn="0" w:firstRowLastColumn="0" w:lastRowFirstColumn="0" w:lastRowLastColumn="0"/>
            <w:tcW w:w="1032" w:type="dxa"/>
          </w:tcPr>
          <w:p w14:paraId="355B8A14" w14:textId="3EC3A6BE" w:rsidR="00F05844" w:rsidRPr="0067507D" w:rsidRDefault="00F05844" w:rsidP="00F05844">
            <w:pPr>
              <w:pStyle w:val="Tabletextright"/>
            </w:pPr>
            <w:r w:rsidRPr="0067507D">
              <w:rPr>
                <w:iCs/>
              </w:rPr>
              <w:t>56</w:t>
            </w:r>
          </w:p>
        </w:tc>
        <w:tc>
          <w:tcPr>
            <w:cnfStyle w:val="000001000000" w:firstRow="0" w:lastRow="0" w:firstColumn="0" w:lastColumn="0" w:oddVBand="0" w:evenVBand="1" w:oddHBand="0" w:evenHBand="0" w:firstRowFirstColumn="0" w:firstRowLastColumn="0" w:lastRowFirstColumn="0" w:lastRowLastColumn="0"/>
            <w:tcW w:w="1260" w:type="dxa"/>
          </w:tcPr>
          <w:p w14:paraId="13CCF7E3" w14:textId="36E74A0A" w:rsidR="00F05844" w:rsidRPr="0067507D" w:rsidRDefault="006A5485" w:rsidP="00F05844">
            <w:pPr>
              <w:pStyle w:val="Tabletextright"/>
            </w:pPr>
            <w:r>
              <w:noBreakHyphen/>
            </w:r>
            <w:r w:rsidR="000D228B" w:rsidRPr="0067507D">
              <w:t>38</w:t>
            </w:r>
          </w:p>
        </w:tc>
        <w:tc>
          <w:tcPr>
            <w:cnfStyle w:val="000010000000" w:firstRow="0" w:lastRow="0" w:firstColumn="0" w:lastColumn="0" w:oddVBand="1" w:evenVBand="0" w:oddHBand="0" w:evenHBand="0" w:firstRowFirstColumn="0" w:firstRowLastColumn="0" w:lastRowFirstColumn="0" w:lastRowLastColumn="0"/>
            <w:tcW w:w="900" w:type="dxa"/>
          </w:tcPr>
          <w:p w14:paraId="394E720B" w14:textId="77777777" w:rsidR="00F05844" w:rsidRPr="0067507D" w:rsidRDefault="00F05844" w:rsidP="001857CC">
            <w:pPr>
              <w:pStyle w:val="TargetNotMet50"/>
            </w:pPr>
          </w:p>
        </w:tc>
      </w:tr>
      <w:tr w:rsidR="00E26BDE" w:rsidRPr="0067507D" w14:paraId="29CD804A"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09169F8E" w14:textId="77777777" w:rsidR="00F05844" w:rsidRPr="0067507D" w:rsidRDefault="00F05844" w:rsidP="00F05844">
            <w:pPr>
              <w:pStyle w:val="Tabletext"/>
              <w:rPr>
                <w:iCs/>
              </w:rPr>
            </w:pPr>
            <w:r w:rsidRPr="0067507D">
              <w:rPr>
                <w:iCs/>
              </w:rPr>
              <w:t>Dwellings supported by Affordable Housing Investment Partnerships</w:t>
            </w:r>
          </w:p>
          <w:p w14:paraId="0ACAC269" w14:textId="228FF099" w:rsidR="00F05844" w:rsidRPr="0067507D" w:rsidRDefault="00BB59A0" w:rsidP="00B93726">
            <w:pPr>
              <w:pStyle w:val="Tabletextnotes"/>
            </w:pPr>
            <w:r w:rsidRPr="0067507D">
              <w:t>The 2024</w:t>
            </w:r>
            <w:r w:rsidR="006A5485">
              <w:noBreakHyphen/>
            </w:r>
            <w:r w:rsidRPr="0067507D">
              <w:t>25 actual is higher than the target due to the AHIP continuing to respond to significant demand for new loans through other government grant funding programs, including through the HAFF and SHGF grants program.</w:t>
            </w:r>
          </w:p>
        </w:tc>
        <w:tc>
          <w:tcPr>
            <w:cnfStyle w:val="000010000000" w:firstRow="0" w:lastRow="0" w:firstColumn="0" w:lastColumn="0" w:oddVBand="1" w:evenVBand="0" w:oddHBand="0" w:evenHBand="0" w:firstRowFirstColumn="0" w:firstRowLastColumn="0" w:lastRowFirstColumn="0" w:lastRowLastColumn="0"/>
            <w:tcW w:w="996" w:type="dxa"/>
          </w:tcPr>
          <w:p w14:paraId="1F90FFE0" w14:textId="2F0C4A02"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2" w:type="dxa"/>
          </w:tcPr>
          <w:p w14:paraId="18B50407" w14:textId="65F2D122" w:rsidR="00F05844" w:rsidRPr="0067507D" w:rsidRDefault="00F917C6" w:rsidP="00F05844">
            <w:pPr>
              <w:pStyle w:val="Tabletextright"/>
            </w:pPr>
            <w:r w:rsidRPr="0067507D">
              <w:t>596</w:t>
            </w:r>
          </w:p>
        </w:tc>
        <w:tc>
          <w:tcPr>
            <w:cnfStyle w:val="000010000000" w:firstRow="0" w:lastRow="0" w:firstColumn="0" w:lastColumn="0" w:oddVBand="1" w:evenVBand="0" w:oddHBand="0" w:evenHBand="0" w:firstRowFirstColumn="0" w:firstRowLastColumn="0" w:lastRowFirstColumn="0" w:lastRowLastColumn="0"/>
            <w:tcW w:w="1032" w:type="dxa"/>
          </w:tcPr>
          <w:p w14:paraId="7368373D" w14:textId="05800A5E" w:rsidR="00F05844" w:rsidRPr="0067507D" w:rsidRDefault="00F05844" w:rsidP="00F05844">
            <w:pPr>
              <w:pStyle w:val="Tabletextright"/>
            </w:pPr>
            <w:r w:rsidRPr="0067507D">
              <w:rPr>
                <w:iCs/>
              </w:rPr>
              <w:t>500</w:t>
            </w:r>
          </w:p>
        </w:tc>
        <w:tc>
          <w:tcPr>
            <w:cnfStyle w:val="000001000000" w:firstRow="0" w:lastRow="0" w:firstColumn="0" w:lastColumn="0" w:oddVBand="0" w:evenVBand="1" w:oddHBand="0" w:evenHBand="0" w:firstRowFirstColumn="0" w:firstRowLastColumn="0" w:lastRowFirstColumn="0" w:lastRowLastColumn="0"/>
            <w:tcW w:w="1260" w:type="dxa"/>
          </w:tcPr>
          <w:p w14:paraId="001C0FEE" w14:textId="489DBECE" w:rsidR="00F05844" w:rsidRPr="0067507D" w:rsidRDefault="00F917C6" w:rsidP="00F05844">
            <w:pPr>
              <w:pStyle w:val="Tabletextright"/>
            </w:pPr>
            <w:r w:rsidRPr="0067507D">
              <w:t>19</w:t>
            </w:r>
          </w:p>
        </w:tc>
        <w:tc>
          <w:tcPr>
            <w:cnfStyle w:val="000010000000" w:firstRow="0" w:lastRow="0" w:firstColumn="0" w:lastColumn="0" w:oddVBand="1" w:evenVBand="0" w:oddHBand="0" w:evenHBand="0" w:firstRowFirstColumn="0" w:firstRowLastColumn="0" w:lastRowFirstColumn="0" w:lastRowLastColumn="0"/>
            <w:tcW w:w="900" w:type="dxa"/>
          </w:tcPr>
          <w:p w14:paraId="4F9BDF2C" w14:textId="77777777" w:rsidR="00F05844" w:rsidRPr="0067507D" w:rsidRDefault="00F05844" w:rsidP="001857CC">
            <w:pPr>
              <w:pStyle w:val="TargetMet"/>
            </w:pPr>
          </w:p>
        </w:tc>
      </w:tr>
      <w:tr w:rsidR="00E26BDE" w:rsidRPr="0067507D" w14:paraId="0F46569C"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3CA4ACD7" w14:textId="77777777" w:rsidR="00F05844" w:rsidRPr="0067507D" w:rsidRDefault="00F05844" w:rsidP="00F05844">
            <w:pPr>
              <w:pStyle w:val="Tabletext"/>
              <w:rPr>
                <w:iCs/>
              </w:rPr>
            </w:pPr>
            <w:r w:rsidRPr="0067507D">
              <w:rPr>
                <w:iCs/>
              </w:rPr>
              <w:t>Home purchases settled through the Victorian Homebuyer Fund</w:t>
            </w:r>
          </w:p>
          <w:p w14:paraId="4BBF6EEC" w14:textId="2C29A621" w:rsidR="00F05844" w:rsidRPr="0067507D" w:rsidRDefault="006C25EB" w:rsidP="00B93726">
            <w:pPr>
              <w:pStyle w:val="Tabletextnotes"/>
            </w:pPr>
            <w:r w:rsidRPr="0067507D">
              <w:t>The 2024</w:t>
            </w:r>
            <w:r w:rsidR="006A5485">
              <w:noBreakHyphen/>
            </w:r>
            <w:r w:rsidRPr="0067507D">
              <w:t>25 actual is higher than the target due to consistently strong demand for the scheme and an additional $700</w:t>
            </w:r>
            <w:r w:rsidR="006B68F2" w:rsidRPr="0067507D">
              <w:t xml:space="preserve"> </w:t>
            </w:r>
            <w:r w:rsidRPr="0067507D">
              <w:t>m</w:t>
            </w:r>
            <w:r w:rsidR="006B68F2" w:rsidRPr="0067507D">
              <w:t>illion</w:t>
            </w:r>
            <w:r w:rsidRPr="0067507D">
              <w:t xml:space="preserve"> investment from the Victorian Government in the </w:t>
            </w:r>
            <w:r w:rsidRPr="0067507D">
              <w:rPr>
                <w:i/>
                <w:iCs/>
              </w:rPr>
              <w:t>2024</w:t>
            </w:r>
            <w:r w:rsidR="006A5485">
              <w:rPr>
                <w:i/>
                <w:iCs/>
              </w:rPr>
              <w:noBreakHyphen/>
            </w:r>
            <w:r w:rsidRPr="0067507D">
              <w:rPr>
                <w:i/>
                <w:iCs/>
              </w:rPr>
              <w:t>25 Budget</w:t>
            </w:r>
            <w:r w:rsidRPr="0067507D">
              <w:t>.</w:t>
            </w:r>
          </w:p>
        </w:tc>
        <w:tc>
          <w:tcPr>
            <w:cnfStyle w:val="000010000000" w:firstRow="0" w:lastRow="0" w:firstColumn="0" w:lastColumn="0" w:oddVBand="1" w:evenVBand="0" w:oddHBand="0" w:evenHBand="0" w:firstRowFirstColumn="0" w:firstRowLastColumn="0" w:lastRowFirstColumn="0" w:lastRowLastColumn="0"/>
            <w:tcW w:w="996" w:type="dxa"/>
          </w:tcPr>
          <w:p w14:paraId="0A0F3DFC" w14:textId="3D774119"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2" w:type="dxa"/>
          </w:tcPr>
          <w:p w14:paraId="05C9B5C1" w14:textId="27B098DC" w:rsidR="00F05844" w:rsidRPr="0067507D" w:rsidRDefault="00343E04" w:rsidP="00F05844">
            <w:pPr>
              <w:pStyle w:val="Tabletextright"/>
            </w:pPr>
            <w:r w:rsidRPr="0067507D">
              <w:t>4</w:t>
            </w:r>
            <w:r w:rsidR="00FB022F" w:rsidRPr="0067507D">
              <w:t xml:space="preserve"> </w:t>
            </w:r>
            <w:r w:rsidRPr="0067507D">
              <w:t>688</w:t>
            </w:r>
          </w:p>
        </w:tc>
        <w:tc>
          <w:tcPr>
            <w:cnfStyle w:val="000010000000" w:firstRow="0" w:lastRow="0" w:firstColumn="0" w:lastColumn="0" w:oddVBand="1" w:evenVBand="0" w:oddHBand="0" w:evenHBand="0" w:firstRowFirstColumn="0" w:firstRowLastColumn="0" w:lastRowFirstColumn="0" w:lastRowLastColumn="0"/>
            <w:tcW w:w="1032" w:type="dxa"/>
          </w:tcPr>
          <w:p w14:paraId="264E7259" w14:textId="2309334D" w:rsidR="00F05844" w:rsidRPr="0067507D" w:rsidRDefault="00F05844" w:rsidP="00F05844">
            <w:pPr>
              <w:pStyle w:val="Tabletextright"/>
            </w:pPr>
            <w:r w:rsidRPr="0067507D">
              <w:rPr>
                <w:iCs/>
              </w:rPr>
              <w:t>600</w:t>
            </w:r>
          </w:p>
        </w:tc>
        <w:tc>
          <w:tcPr>
            <w:cnfStyle w:val="000001000000" w:firstRow="0" w:lastRow="0" w:firstColumn="0" w:lastColumn="0" w:oddVBand="0" w:evenVBand="1" w:oddHBand="0" w:evenHBand="0" w:firstRowFirstColumn="0" w:firstRowLastColumn="0" w:lastRowFirstColumn="0" w:lastRowLastColumn="0"/>
            <w:tcW w:w="1260" w:type="dxa"/>
          </w:tcPr>
          <w:p w14:paraId="2A8593E1" w14:textId="4A935988" w:rsidR="00F05844" w:rsidRPr="0067507D" w:rsidRDefault="00343E04" w:rsidP="00F05844">
            <w:pPr>
              <w:pStyle w:val="Tabletextright"/>
            </w:pPr>
            <w:r w:rsidRPr="0067507D">
              <w:t>681</w:t>
            </w:r>
          </w:p>
        </w:tc>
        <w:tc>
          <w:tcPr>
            <w:cnfStyle w:val="000010000000" w:firstRow="0" w:lastRow="0" w:firstColumn="0" w:lastColumn="0" w:oddVBand="1" w:evenVBand="0" w:oddHBand="0" w:evenHBand="0" w:firstRowFirstColumn="0" w:firstRowLastColumn="0" w:lastRowFirstColumn="0" w:lastRowLastColumn="0"/>
            <w:tcW w:w="900" w:type="dxa"/>
          </w:tcPr>
          <w:p w14:paraId="6186E685" w14:textId="77777777" w:rsidR="00F05844" w:rsidRPr="0067507D" w:rsidRDefault="00F05844" w:rsidP="001857CC">
            <w:pPr>
              <w:pStyle w:val="TargetMet"/>
            </w:pPr>
          </w:p>
        </w:tc>
      </w:tr>
      <w:tr w:rsidR="00E26BDE" w:rsidRPr="0067507D" w14:paraId="0DA9A43B"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5B290E15" w14:textId="77777777" w:rsidR="00F05844" w:rsidRPr="0067507D" w:rsidRDefault="00F05844" w:rsidP="00F05844">
            <w:pPr>
              <w:pStyle w:val="Tabletext"/>
              <w:keepNext/>
              <w:rPr>
                <w:iCs/>
              </w:rPr>
            </w:pPr>
            <w:r w:rsidRPr="0067507D">
              <w:rPr>
                <w:iCs/>
              </w:rPr>
              <w:lastRenderedPageBreak/>
              <w:t>Number of HVHR project assurance plans in place</w:t>
            </w:r>
          </w:p>
          <w:p w14:paraId="18754D6E" w14:textId="332C93D2" w:rsidR="00F05844" w:rsidRPr="0067507D" w:rsidRDefault="00D3301A" w:rsidP="00545D80">
            <w:pPr>
              <w:pStyle w:val="Tabletextnotes"/>
              <w:spacing w:after="50"/>
              <w:ind w:right="187"/>
            </w:pPr>
            <w:r w:rsidRPr="0067507D">
              <w:t>The 2024</w:t>
            </w:r>
            <w:r w:rsidR="006A5485">
              <w:noBreakHyphen/>
            </w:r>
            <w:r w:rsidRPr="0067507D">
              <w:t>25 actual is higher than the target due to the number of updates to existing High Value High</w:t>
            </w:r>
            <w:r w:rsidR="00900812" w:rsidRPr="0067507D">
              <w:rPr>
                <w:rFonts w:ascii="Calibri" w:hAnsi="Calibri" w:cs="Calibri"/>
              </w:rPr>
              <w:t> </w:t>
            </w:r>
            <w:r w:rsidRPr="0067507D">
              <w:t xml:space="preserve">Risk (HVHR) assurance plans which is in addition to those required for new projects approved in the </w:t>
            </w:r>
            <w:r w:rsidRPr="0067507D">
              <w:rPr>
                <w:i/>
              </w:rPr>
              <w:t>2024</w:t>
            </w:r>
            <w:r w:rsidR="006A5485">
              <w:rPr>
                <w:i/>
              </w:rPr>
              <w:noBreakHyphen/>
            </w:r>
            <w:r w:rsidRPr="0067507D">
              <w:rPr>
                <w:i/>
              </w:rPr>
              <w:t>25 Budget</w:t>
            </w:r>
            <w:r w:rsidRPr="0067507D">
              <w:t>.</w:t>
            </w:r>
          </w:p>
        </w:tc>
        <w:tc>
          <w:tcPr>
            <w:cnfStyle w:val="000010000000" w:firstRow="0" w:lastRow="0" w:firstColumn="0" w:lastColumn="0" w:oddVBand="1" w:evenVBand="0" w:oddHBand="0" w:evenHBand="0" w:firstRowFirstColumn="0" w:firstRowLastColumn="0" w:lastRowFirstColumn="0" w:lastRowLastColumn="0"/>
            <w:tcW w:w="996" w:type="dxa"/>
          </w:tcPr>
          <w:p w14:paraId="6728359F" w14:textId="6852A4FF"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2" w:type="dxa"/>
          </w:tcPr>
          <w:p w14:paraId="0C9E0B9A" w14:textId="0E6E61D5" w:rsidR="00F05844" w:rsidRPr="0067507D" w:rsidRDefault="00094101" w:rsidP="00F05844">
            <w:pPr>
              <w:pStyle w:val="Tabletextright"/>
            </w:pPr>
            <w:r w:rsidRPr="0067507D">
              <w:t>13</w:t>
            </w:r>
          </w:p>
        </w:tc>
        <w:tc>
          <w:tcPr>
            <w:cnfStyle w:val="000010000000" w:firstRow="0" w:lastRow="0" w:firstColumn="0" w:lastColumn="0" w:oddVBand="1" w:evenVBand="0" w:oddHBand="0" w:evenHBand="0" w:firstRowFirstColumn="0" w:firstRowLastColumn="0" w:lastRowFirstColumn="0" w:lastRowLastColumn="0"/>
            <w:tcW w:w="1032" w:type="dxa"/>
          </w:tcPr>
          <w:p w14:paraId="262FC992" w14:textId="4590B21D" w:rsidR="00F05844" w:rsidRPr="0067507D" w:rsidRDefault="00F05844" w:rsidP="00F05844">
            <w:pPr>
              <w:pStyle w:val="Tabletextright"/>
            </w:pPr>
            <w:r w:rsidRPr="0067507D">
              <w:rPr>
                <w:iCs/>
              </w:rPr>
              <w:t>6</w:t>
            </w:r>
          </w:p>
        </w:tc>
        <w:tc>
          <w:tcPr>
            <w:cnfStyle w:val="000001000000" w:firstRow="0" w:lastRow="0" w:firstColumn="0" w:lastColumn="0" w:oddVBand="0" w:evenVBand="1" w:oddHBand="0" w:evenHBand="0" w:firstRowFirstColumn="0" w:firstRowLastColumn="0" w:lastRowFirstColumn="0" w:lastRowLastColumn="0"/>
            <w:tcW w:w="1260" w:type="dxa"/>
          </w:tcPr>
          <w:p w14:paraId="1254A97A" w14:textId="69C731AC" w:rsidR="00F05844" w:rsidRPr="0067507D" w:rsidRDefault="00094101" w:rsidP="00F05844">
            <w:pPr>
              <w:pStyle w:val="Tabletextright"/>
            </w:pPr>
            <w:r w:rsidRPr="0067507D">
              <w:t>117</w:t>
            </w:r>
          </w:p>
        </w:tc>
        <w:tc>
          <w:tcPr>
            <w:cnfStyle w:val="000010000000" w:firstRow="0" w:lastRow="0" w:firstColumn="0" w:lastColumn="0" w:oddVBand="1" w:evenVBand="0" w:oddHBand="0" w:evenHBand="0" w:firstRowFirstColumn="0" w:firstRowLastColumn="0" w:lastRowFirstColumn="0" w:lastRowLastColumn="0"/>
            <w:tcW w:w="900" w:type="dxa"/>
          </w:tcPr>
          <w:p w14:paraId="54F67314" w14:textId="77777777" w:rsidR="00F05844" w:rsidRPr="0067507D" w:rsidRDefault="00F05844" w:rsidP="001857CC">
            <w:pPr>
              <w:pStyle w:val="TargetMet"/>
            </w:pPr>
          </w:p>
        </w:tc>
      </w:tr>
      <w:tr w:rsidR="00E26BDE" w:rsidRPr="0067507D" w14:paraId="556D1B98"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2EB4345B" w14:textId="77777777" w:rsidR="00F05844" w:rsidRPr="0067507D" w:rsidRDefault="00F05844" w:rsidP="00B93726">
            <w:pPr>
              <w:pStyle w:val="Tabletext"/>
              <w:keepNext/>
            </w:pPr>
            <w:r w:rsidRPr="0067507D">
              <w:t>Percentage of registered housing agencies assessed annually against performance standards</w:t>
            </w:r>
          </w:p>
          <w:p w14:paraId="400E165E" w14:textId="27DBFF2F" w:rsidR="00F05844" w:rsidRPr="0067507D" w:rsidRDefault="00335899" w:rsidP="00545D80">
            <w:pPr>
              <w:pStyle w:val="Tabletextnotes"/>
              <w:spacing w:after="50"/>
              <w:ind w:right="7"/>
              <w:rPr>
                <w:rFonts w:eastAsia="Garamond"/>
              </w:rPr>
            </w:pPr>
            <w:r w:rsidRPr="0067507D">
              <w:t>The 2024</w:t>
            </w:r>
            <w:r w:rsidR="006A5485">
              <w:noBreakHyphen/>
            </w:r>
            <w:r w:rsidRPr="0067507D">
              <w:t>25 actual is higher than the target as the Housing Registrar has moved to real</w:t>
            </w:r>
            <w:r w:rsidR="006A5485">
              <w:noBreakHyphen/>
            </w:r>
            <w:r w:rsidRPr="0067507D">
              <w:t>time reporting by registered agencies. The increased transparency of performance outcomes achieved has led to all agencies constantly updating their performance against performance standards.</w:t>
            </w:r>
          </w:p>
        </w:tc>
        <w:tc>
          <w:tcPr>
            <w:cnfStyle w:val="000010000000" w:firstRow="0" w:lastRow="0" w:firstColumn="0" w:lastColumn="0" w:oddVBand="1" w:evenVBand="0" w:oddHBand="0" w:evenHBand="0" w:firstRowFirstColumn="0" w:firstRowLastColumn="0" w:lastRowFirstColumn="0" w:lastRowLastColumn="0"/>
            <w:tcW w:w="996" w:type="dxa"/>
          </w:tcPr>
          <w:p w14:paraId="777CF10E" w14:textId="3CE90AC4" w:rsidR="00F05844" w:rsidRPr="0067507D" w:rsidRDefault="00F05844" w:rsidP="00F0584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2" w:type="dxa"/>
          </w:tcPr>
          <w:p w14:paraId="0F38AF48" w14:textId="32FDC33A" w:rsidR="00F05844" w:rsidRPr="0067507D" w:rsidRDefault="00850C28" w:rsidP="00F05844">
            <w:pPr>
              <w:pStyle w:val="Tabletextright"/>
              <w:rPr>
                <w:rFonts w:eastAsia="Garamond"/>
              </w:rPr>
            </w:pPr>
            <w:r w:rsidRPr="0067507D">
              <w:rPr>
                <w:rFonts w:eastAsia="Garamond"/>
              </w:rPr>
              <w:t>100</w:t>
            </w:r>
          </w:p>
        </w:tc>
        <w:tc>
          <w:tcPr>
            <w:cnfStyle w:val="000010000000" w:firstRow="0" w:lastRow="0" w:firstColumn="0" w:lastColumn="0" w:oddVBand="1" w:evenVBand="0" w:oddHBand="0" w:evenHBand="0" w:firstRowFirstColumn="0" w:firstRowLastColumn="0" w:lastRowFirstColumn="0" w:lastRowLastColumn="0"/>
            <w:tcW w:w="1032" w:type="dxa"/>
          </w:tcPr>
          <w:p w14:paraId="0CA9271D" w14:textId="534EC6E3" w:rsidR="00F05844" w:rsidRPr="0067507D" w:rsidRDefault="00F05844" w:rsidP="00F05844">
            <w:pPr>
              <w:pStyle w:val="Tabletextright"/>
              <w:rPr>
                <w:rFonts w:eastAsia="Garamond"/>
              </w:rPr>
            </w:pPr>
            <w:r w:rsidRPr="0067507D">
              <w:rPr>
                <w:iCs/>
              </w:rPr>
              <w:t>90</w:t>
            </w:r>
          </w:p>
        </w:tc>
        <w:tc>
          <w:tcPr>
            <w:cnfStyle w:val="000001000000" w:firstRow="0" w:lastRow="0" w:firstColumn="0" w:lastColumn="0" w:oddVBand="0" w:evenVBand="1" w:oddHBand="0" w:evenHBand="0" w:firstRowFirstColumn="0" w:firstRowLastColumn="0" w:lastRowFirstColumn="0" w:lastRowLastColumn="0"/>
            <w:tcW w:w="1260" w:type="dxa"/>
          </w:tcPr>
          <w:p w14:paraId="504E41BA" w14:textId="1C67C6DB" w:rsidR="00F05844" w:rsidRPr="0067507D" w:rsidRDefault="00850C28" w:rsidP="00F05844">
            <w:pPr>
              <w:pStyle w:val="Tabletextright"/>
              <w:rPr>
                <w:rFonts w:eastAsia="Garamond"/>
              </w:rPr>
            </w:pPr>
            <w:r w:rsidRPr="0067507D">
              <w:rPr>
                <w:rFonts w:eastAsia="Garamond"/>
              </w:rPr>
              <w:t>11</w:t>
            </w:r>
          </w:p>
        </w:tc>
        <w:tc>
          <w:tcPr>
            <w:cnfStyle w:val="000010000000" w:firstRow="0" w:lastRow="0" w:firstColumn="0" w:lastColumn="0" w:oddVBand="1" w:evenVBand="0" w:oddHBand="0" w:evenHBand="0" w:firstRowFirstColumn="0" w:firstRowLastColumn="0" w:lastRowFirstColumn="0" w:lastRowLastColumn="0"/>
            <w:tcW w:w="900" w:type="dxa"/>
          </w:tcPr>
          <w:p w14:paraId="653C4D44" w14:textId="77777777" w:rsidR="00F05844" w:rsidRPr="0067507D" w:rsidRDefault="00F05844" w:rsidP="001857CC">
            <w:pPr>
              <w:pStyle w:val="TargetMet"/>
              <w:rPr>
                <w:rFonts w:eastAsia="Garamond"/>
              </w:rPr>
            </w:pPr>
          </w:p>
        </w:tc>
      </w:tr>
      <w:tr w:rsidR="00496164" w:rsidRPr="0067507D" w14:paraId="27213147"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55C873A7" w14:textId="1030C976" w:rsidR="00496164" w:rsidRPr="0067507D" w:rsidRDefault="00496164" w:rsidP="00496164">
            <w:pPr>
              <w:pStyle w:val="Tabletext"/>
              <w:rPr>
                <w:rFonts w:eastAsia="Garamond"/>
              </w:rPr>
            </w:pPr>
            <w:r w:rsidRPr="0067507D">
              <w:t>Provide effective monitoring of the delivery of HVHR public infrastructure commitments through quarterly reporting</w:t>
            </w:r>
          </w:p>
        </w:tc>
        <w:tc>
          <w:tcPr>
            <w:cnfStyle w:val="000010000000" w:firstRow="0" w:lastRow="0" w:firstColumn="0" w:lastColumn="0" w:oddVBand="1" w:evenVBand="0" w:oddHBand="0" w:evenHBand="0" w:firstRowFirstColumn="0" w:firstRowLastColumn="0" w:lastRowFirstColumn="0" w:lastRowLastColumn="0"/>
            <w:tcW w:w="996" w:type="dxa"/>
          </w:tcPr>
          <w:p w14:paraId="0609BAEB" w14:textId="3AAD62EC" w:rsidR="00496164" w:rsidRPr="0067507D" w:rsidRDefault="00496164" w:rsidP="0049616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2" w:type="dxa"/>
          </w:tcPr>
          <w:p w14:paraId="3E547667" w14:textId="58132567" w:rsidR="00496164" w:rsidRPr="0067507D" w:rsidRDefault="00496164" w:rsidP="00496164">
            <w:pPr>
              <w:pStyle w:val="Tabletextright"/>
              <w:rPr>
                <w:rFonts w:eastAsia="Garamond"/>
              </w:rPr>
            </w:pPr>
            <w:r w:rsidRPr="0067507D">
              <w:rPr>
                <w:rFonts w:eastAsia="Garamond"/>
              </w:rPr>
              <w:t>4</w:t>
            </w:r>
          </w:p>
        </w:tc>
        <w:tc>
          <w:tcPr>
            <w:cnfStyle w:val="000010000000" w:firstRow="0" w:lastRow="0" w:firstColumn="0" w:lastColumn="0" w:oddVBand="1" w:evenVBand="0" w:oddHBand="0" w:evenHBand="0" w:firstRowFirstColumn="0" w:firstRowLastColumn="0" w:lastRowFirstColumn="0" w:lastRowLastColumn="0"/>
            <w:tcW w:w="1032" w:type="dxa"/>
          </w:tcPr>
          <w:p w14:paraId="494F2DA0" w14:textId="28B8D446" w:rsidR="00496164" w:rsidRPr="0067507D" w:rsidRDefault="00496164" w:rsidP="00496164">
            <w:pPr>
              <w:pStyle w:val="Tabletextright"/>
              <w:rPr>
                <w:rFonts w:eastAsia="Garamond"/>
              </w:rPr>
            </w:pPr>
            <w:r w:rsidRPr="0067507D">
              <w:rPr>
                <w:iCs/>
              </w:rPr>
              <w:t>4</w:t>
            </w:r>
          </w:p>
        </w:tc>
        <w:tc>
          <w:tcPr>
            <w:cnfStyle w:val="000001000000" w:firstRow="0" w:lastRow="0" w:firstColumn="0" w:lastColumn="0" w:oddVBand="0" w:evenVBand="1" w:oddHBand="0" w:evenHBand="0" w:firstRowFirstColumn="0" w:firstRowLastColumn="0" w:lastRowFirstColumn="0" w:lastRowLastColumn="0"/>
            <w:tcW w:w="1260" w:type="dxa"/>
          </w:tcPr>
          <w:p w14:paraId="7D9635A7" w14:textId="0A403484" w:rsidR="00496164" w:rsidRPr="0067507D" w:rsidRDefault="00496164" w:rsidP="0049616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00" w:type="dxa"/>
          </w:tcPr>
          <w:p w14:paraId="06954268" w14:textId="77777777" w:rsidR="00496164" w:rsidRPr="0067507D" w:rsidRDefault="00496164" w:rsidP="00496164">
            <w:pPr>
              <w:pStyle w:val="TargetMet"/>
              <w:rPr>
                <w:rFonts w:eastAsia="Garamond"/>
              </w:rPr>
            </w:pPr>
          </w:p>
        </w:tc>
      </w:tr>
      <w:tr w:rsidR="00496164" w:rsidRPr="0067507D" w14:paraId="27BFB205"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3F6C2BB0" w14:textId="55B4416B" w:rsidR="00496164" w:rsidRPr="0067507D" w:rsidRDefault="00496164" w:rsidP="00496164">
            <w:pPr>
              <w:pStyle w:val="Tabletext"/>
            </w:pPr>
            <w:r w:rsidRPr="0067507D">
              <w:rPr>
                <w:iCs/>
              </w:rPr>
              <w:t>Provision of PNFC/PFC financial estimates and actuals, along with commentary and analysis, for the State budget papers and financial reports</w:t>
            </w:r>
          </w:p>
        </w:tc>
        <w:tc>
          <w:tcPr>
            <w:cnfStyle w:val="000010000000" w:firstRow="0" w:lastRow="0" w:firstColumn="0" w:lastColumn="0" w:oddVBand="1" w:evenVBand="0" w:oddHBand="0" w:evenHBand="0" w:firstRowFirstColumn="0" w:firstRowLastColumn="0" w:lastRowFirstColumn="0" w:lastRowLastColumn="0"/>
            <w:tcW w:w="996" w:type="dxa"/>
          </w:tcPr>
          <w:p w14:paraId="33D4CFF0" w14:textId="7F3E845A" w:rsidR="00496164" w:rsidRPr="0067507D" w:rsidRDefault="00496164" w:rsidP="0049616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2" w:type="dxa"/>
          </w:tcPr>
          <w:p w14:paraId="0639EB3B" w14:textId="427CE716" w:rsidR="00496164" w:rsidRPr="0067507D" w:rsidRDefault="00496164" w:rsidP="00496164">
            <w:pPr>
              <w:pStyle w:val="Tabletextright"/>
              <w:rPr>
                <w:rFonts w:eastAsia="Garamond"/>
              </w:rPr>
            </w:pPr>
            <w:r w:rsidRPr="0067507D">
              <w:rPr>
                <w:rFonts w:eastAsia="Garamond"/>
              </w:rPr>
              <w:t>6</w:t>
            </w:r>
          </w:p>
        </w:tc>
        <w:tc>
          <w:tcPr>
            <w:cnfStyle w:val="000010000000" w:firstRow="0" w:lastRow="0" w:firstColumn="0" w:lastColumn="0" w:oddVBand="1" w:evenVBand="0" w:oddHBand="0" w:evenHBand="0" w:firstRowFirstColumn="0" w:firstRowLastColumn="0" w:lastRowFirstColumn="0" w:lastRowLastColumn="0"/>
            <w:tcW w:w="1032" w:type="dxa"/>
          </w:tcPr>
          <w:p w14:paraId="7701DD05" w14:textId="1C6872C6" w:rsidR="00496164" w:rsidRPr="0067507D" w:rsidRDefault="00496164" w:rsidP="00496164">
            <w:pPr>
              <w:pStyle w:val="Tabletextright"/>
              <w:rPr>
                <w:rFonts w:eastAsia="Garamond"/>
              </w:rPr>
            </w:pPr>
            <w:r w:rsidRPr="0067507D">
              <w:rPr>
                <w:iCs/>
              </w:rPr>
              <w:t>6</w:t>
            </w:r>
          </w:p>
        </w:tc>
        <w:tc>
          <w:tcPr>
            <w:cnfStyle w:val="000001000000" w:firstRow="0" w:lastRow="0" w:firstColumn="0" w:lastColumn="0" w:oddVBand="0" w:evenVBand="1" w:oddHBand="0" w:evenHBand="0" w:firstRowFirstColumn="0" w:firstRowLastColumn="0" w:lastRowFirstColumn="0" w:lastRowLastColumn="0"/>
            <w:tcW w:w="1260" w:type="dxa"/>
          </w:tcPr>
          <w:p w14:paraId="1D88F790" w14:textId="5C2B53AA" w:rsidR="00496164" w:rsidRPr="0067507D" w:rsidRDefault="00496164" w:rsidP="0049616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00" w:type="dxa"/>
          </w:tcPr>
          <w:p w14:paraId="2A8E14C6" w14:textId="77777777" w:rsidR="00496164" w:rsidRPr="0067507D" w:rsidRDefault="00496164" w:rsidP="00496164">
            <w:pPr>
              <w:pStyle w:val="TargetMet"/>
              <w:rPr>
                <w:rFonts w:eastAsia="Garamond"/>
              </w:rPr>
            </w:pPr>
          </w:p>
        </w:tc>
      </w:tr>
      <w:tr w:rsidR="00E26BDE" w:rsidRPr="0067507D" w14:paraId="458EDC13"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0551FE3E" w14:textId="77777777" w:rsidR="00F05844" w:rsidRPr="0067507D" w:rsidRDefault="00F05844" w:rsidP="00F05844">
            <w:pPr>
              <w:pStyle w:val="Tabletext"/>
              <w:rPr>
                <w:iCs/>
              </w:rPr>
            </w:pPr>
            <w:r w:rsidRPr="0067507D">
              <w:rPr>
                <w:iCs/>
              </w:rPr>
              <w:t>Social Housing dwellings committed by the Social Housing Growth Fund Grants Program</w:t>
            </w:r>
          </w:p>
          <w:p w14:paraId="001D253D" w14:textId="57D0AC46" w:rsidR="00F05844" w:rsidRPr="0067507D" w:rsidRDefault="009364D7" w:rsidP="00545D80">
            <w:pPr>
              <w:pStyle w:val="Tabletextnotes"/>
              <w:spacing w:after="50"/>
              <w:ind w:right="97"/>
            </w:pPr>
            <w:r w:rsidRPr="0067507D">
              <w:t>The 2024</w:t>
            </w:r>
            <w:r w:rsidR="006A5485">
              <w:noBreakHyphen/>
            </w:r>
            <w:r w:rsidRPr="0067507D">
              <w:t>25 actual is higher than the target as several projects were contracted earlier or later than anticipated, however, the net overall impact is a 6</w:t>
            </w:r>
            <w:r w:rsidR="00B93726" w:rsidRPr="0067507D">
              <w:rPr>
                <w:rFonts w:ascii="Calibri" w:hAnsi="Calibri" w:cs="Calibri"/>
              </w:rPr>
              <w:t> </w:t>
            </w:r>
            <w:r w:rsidR="00B93726" w:rsidRPr="0067507D">
              <w:t>per cent</w:t>
            </w:r>
            <w:r w:rsidRPr="0067507D">
              <w:t xml:space="preserve"> increase relative to the target.</w:t>
            </w:r>
          </w:p>
        </w:tc>
        <w:tc>
          <w:tcPr>
            <w:cnfStyle w:val="000010000000" w:firstRow="0" w:lastRow="0" w:firstColumn="0" w:lastColumn="0" w:oddVBand="1" w:evenVBand="0" w:oddHBand="0" w:evenHBand="0" w:firstRowFirstColumn="0" w:firstRowLastColumn="0" w:lastRowFirstColumn="0" w:lastRowLastColumn="0"/>
            <w:tcW w:w="996" w:type="dxa"/>
          </w:tcPr>
          <w:p w14:paraId="792A4A35" w14:textId="3DA956BA"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2" w:type="dxa"/>
          </w:tcPr>
          <w:p w14:paraId="666DC42C" w14:textId="4BBA082B" w:rsidR="00F05844" w:rsidRPr="0067507D" w:rsidRDefault="00B864BB" w:rsidP="00F05844">
            <w:pPr>
              <w:pStyle w:val="Tabletextright"/>
              <w:rPr>
                <w:rFonts w:eastAsia="Garamond"/>
              </w:rPr>
            </w:pPr>
            <w:r w:rsidRPr="0067507D">
              <w:rPr>
                <w:rFonts w:eastAsia="Garamond"/>
              </w:rPr>
              <w:t>532</w:t>
            </w:r>
          </w:p>
        </w:tc>
        <w:tc>
          <w:tcPr>
            <w:cnfStyle w:val="000010000000" w:firstRow="0" w:lastRow="0" w:firstColumn="0" w:lastColumn="0" w:oddVBand="1" w:evenVBand="0" w:oddHBand="0" w:evenHBand="0" w:firstRowFirstColumn="0" w:firstRowLastColumn="0" w:lastRowFirstColumn="0" w:lastRowLastColumn="0"/>
            <w:tcW w:w="1032" w:type="dxa"/>
          </w:tcPr>
          <w:p w14:paraId="1C0BAA06" w14:textId="2470F550" w:rsidR="00F05844" w:rsidRPr="0067507D" w:rsidRDefault="00F05844" w:rsidP="00F05844">
            <w:pPr>
              <w:pStyle w:val="Tabletextright"/>
              <w:rPr>
                <w:rFonts w:eastAsia="Garamond"/>
              </w:rPr>
            </w:pPr>
            <w:r w:rsidRPr="0067507D">
              <w:rPr>
                <w:iCs/>
              </w:rPr>
              <w:t>500</w:t>
            </w:r>
          </w:p>
        </w:tc>
        <w:tc>
          <w:tcPr>
            <w:cnfStyle w:val="000001000000" w:firstRow="0" w:lastRow="0" w:firstColumn="0" w:lastColumn="0" w:oddVBand="0" w:evenVBand="1" w:oddHBand="0" w:evenHBand="0" w:firstRowFirstColumn="0" w:firstRowLastColumn="0" w:lastRowFirstColumn="0" w:lastRowLastColumn="0"/>
            <w:tcW w:w="1260" w:type="dxa"/>
          </w:tcPr>
          <w:p w14:paraId="06865A16" w14:textId="41D16164" w:rsidR="00F05844" w:rsidRPr="0067507D" w:rsidRDefault="00B864BB" w:rsidP="00F05844">
            <w:pPr>
              <w:pStyle w:val="Tabletextright"/>
              <w:rPr>
                <w:rFonts w:eastAsia="Garamond"/>
              </w:rPr>
            </w:pPr>
            <w:r w:rsidRPr="0067507D">
              <w:rPr>
                <w:rFonts w:eastAsia="Garamond"/>
              </w:rPr>
              <w:t>6</w:t>
            </w:r>
          </w:p>
        </w:tc>
        <w:tc>
          <w:tcPr>
            <w:cnfStyle w:val="000010000000" w:firstRow="0" w:lastRow="0" w:firstColumn="0" w:lastColumn="0" w:oddVBand="1" w:evenVBand="0" w:oddHBand="0" w:evenHBand="0" w:firstRowFirstColumn="0" w:firstRowLastColumn="0" w:lastRowFirstColumn="0" w:lastRowLastColumn="0"/>
            <w:tcW w:w="900" w:type="dxa"/>
          </w:tcPr>
          <w:p w14:paraId="6B3AB06B" w14:textId="77777777" w:rsidR="00F05844" w:rsidRPr="0067507D" w:rsidRDefault="00F05844" w:rsidP="001857CC">
            <w:pPr>
              <w:pStyle w:val="TargetMet"/>
              <w:rPr>
                <w:rFonts w:eastAsia="Garamond"/>
              </w:rPr>
            </w:pPr>
          </w:p>
        </w:tc>
      </w:tr>
      <w:tr w:rsidR="00E26BDE" w:rsidRPr="0067507D" w14:paraId="688EFE06"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149DB1A0" w14:textId="1C7FCC71" w:rsidR="00F05844" w:rsidRPr="0067507D" w:rsidRDefault="00F05844" w:rsidP="00F05844">
            <w:pPr>
              <w:pStyle w:val="Tabletextheadingleft"/>
              <w:rPr>
                <w:rFonts w:eastAsia="Garamond"/>
              </w:rPr>
            </w:pPr>
            <w:r w:rsidRPr="0067507D">
              <w:rPr>
                <w:iCs/>
              </w:rPr>
              <w:t>Quality</w:t>
            </w:r>
          </w:p>
        </w:tc>
        <w:tc>
          <w:tcPr>
            <w:cnfStyle w:val="000010000000" w:firstRow="0" w:lastRow="0" w:firstColumn="0" w:lastColumn="0" w:oddVBand="1" w:evenVBand="0" w:oddHBand="0" w:evenHBand="0" w:firstRowFirstColumn="0" w:firstRowLastColumn="0" w:lastRowFirstColumn="0" w:lastRowLastColumn="0"/>
            <w:tcW w:w="996" w:type="dxa"/>
          </w:tcPr>
          <w:p w14:paraId="00B4101C" w14:textId="77777777" w:rsidR="00F05844" w:rsidRPr="0067507D" w:rsidRDefault="00F05844" w:rsidP="00F05844">
            <w:pPr>
              <w:pStyle w:val="Tabletextcentred"/>
              <w:rPr>
                <w:rFonts w:ascii="Calibri" w:eastAsia="Garamond" w:hAnsi="Calibri"/>
                <w:sz w:val="17"/>
              </w:rPr>
            </w:pPr>
          </w:p>
        </w:tc>
        <w:tc>
          <w:tcPr>
            <w:cnfStyle w:val="000001000000" w:firstRow="0" w:lastRow="0" w:firstColumn="0" w:lastColumn="0" w:oddVBand="0" w:evenVBand="1" w:oddHBand="0" w:evenHBand="0" w:firstRowFirstColumn="0" w:firstRowLastColumn="0" w:lastRowFirstColumn="0" w:lastRowLastColumn="0"/>
            <w:tcW w:w="1032" w:type="dxa"/>
          </w:tcPr>
          <w:p w14:paraId="16DAB281"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1032" w:type="dxa"/>
          </w:tcPr>
          <w:p w14:paraId="5EFEB868" w14:textId="77777777" w:rsidR="00F05844" w:rsidRPr="0067507D" w:rsidRDefault="00F05844" w:rsidP="00F05844">
            <w:pPr>
              <w:pStyle w:val="Tabletextright"/>
              <w:rPr>
                <w:rFonts w:eastAsia="Garamond"/>
              </w:rPr>
            </w:pPr>
          </w:p>
        </w:tc>
        <w:tc>
          <w:tcPr>
            <w:cnfStyle w:val="000001000000" w:firstRow="0" w:lastRow="0" w:firstColumn="0" w:lastColumn="0" w:oddVBand="0" w:evenVBand="1" w:oddHBand="0" w:evenHBand="0" w:firstRowFirstColumn="0" w:firstRowLastColumn="0" w:lastRowFirstColumn="0" w:lastRowLastColumn="0"/>
            <w:tcW w:w="1260" w:type="dxa"/>
          </w:tcPr>
          <w:p w14:paraId="6CF5664D"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00" w:type="dxa"/>
          </w:tcPr>
          <w:p w14:paraId="1D628B84" w14:textId="77777777" w:rsidR="00F05844" w:rsidRPr="0067507D" w:rsidRDefault="00F05844" w:rsidP="001857CC">
            <w:pPr>
              <w:pStyle w:val="TargetNotMet5"/>
              <w:numPr>
                <w:ilvl w:val="0"/>
                <w:numId w:val="0"/>
              </w:numPr>
              <w:rPr>
                <w:rFonts w:ascii="Calibri" w:eastAsia="Garamond" w:hAnsi="Calibri"/>
                <w:sz w:val="17"/>
                <w:szCs w:val="17"/>
              </w:rPr>
            </w:pPr>
          </w:p>
        </w:tc>
      </w:tr>
      <w:tr w:rsidR="00E26BDE" w:rsidRPr="0067507D" w14:paraId="74E316BC"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78EA82CA" w14:textId="77777777" w:rsidR="00F05844" w:rsidRPr="0067507D" w:rsidRDefault="00F05844" w:rsidP="00F05844">
            <w:pPr>
              <w:pStyle w:val="Tabletext"/>
              <w:rPr>
                <w:iCs/>
              </w:rPr>
            </w:pPr>
            <w:r w:rsidRPr="0067507D">
              <w:rPr>
                <w:iCs/>
              </w:rPr>
              <w:t>Credit agencies agree that the presentation and information provided support annual assessment</w:t>
            </w:r>
          </w:p>
          <w:p w14:paraId="50B4196D" w14:textId="3F321108" w:rsidR="00F05844" w:rsidRPr="0067507D" w:rsidRDefault="00FD3448" w:rsidP="00545D80">
            <w:pPr>
              <w:pStyle w:val="Tabletextnotes"/>
              <w:spacing w:after="50"/>
              <w:ind w:right="97"/>
              <w:rPr>
                <w:rFonts w:eastAsia="Garamond"/>
              </w:rPr>
            </w:pPr>
            <w:r w:rsidRPr="0067507D">
              <w:t>The 2024</w:t>
            </w:r>
            <w:r w:rsidR="006A5485">
              <w:noBreakHyphen/>
            </w:r>
            <w:r w:rsidRPr="0067507D">
              <w:t>25 actual is higher than the target due to rating agencies providing the highest rating based on the timeliness of responses and quality of departmental engagement.</w:t>
            </w:r>
          </w:p>
        </w:tc>
        <w:tc>
          <w:tcPr>
            <w:cnfStyle w:val="000010000000" w:firstRow="0" w:lastRow="0" w:firstColumn="0" w:lastColumn="0" w:oddVBand="1" w:evenVBand="0" w:oddHBand="0" w:evenHBand="0" w:firstRowFirstColumn="0" w:firstRowLastColumn="0" w:lastRowFirstColumn="0" w:lastRowLastColumn="0"/>
            <w:tcW w:w="996" w:type="dxa"/>
          </w:tcPr>
          <w:p w14:paraId="28403DFF" w14:textId="48DE52F9" w:rsidR="00F05844" w:rsidRPr="0067507D" w:rsidRDefault="00F05844" w:rsidP="00F05844">
            <w:pPr>
              <w:pStyle w:val="Tabletextcentred"/>
              <w:rPr>
                <w:rFonts w:ascii="Calibri" w:eastAsia="Garamond" w:hAnsi="Calibri"/>
                <w:sz w:val="17"/>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2" w:type="dxa"/>
          </w:tcPr>
          <w:p w14:paraId="4397197B" w14:textId="6B225A28" w:rsidR="00F05844" w:rsidRPr="0067507D" w:rsidRDefault="00B864BB" w:rsidP="00F05844">
            <w:pPr>
              <w:pStyle w:val="Tabletextright"/>
              <w:rPr>
                <w:rFonts w:eastAsia="Garamond"/>
              </w:rPr>
            </w:pPr>
            <w:r w:rsidRPr="0067507D">
              <w:rPr>
                <w:rFonts w:eastAsia="Garamond"/>
              </w:rPr>
              <w:t>100</w:t>
            </w:r>
          </w:p>
        </w:tc>
        <w:tc>
          <w:tcPr>
            <w:cnfStyle w:val="000010000000" w:firstRow="0" w:lastRow="0" w:firstColumn="0" w:lastColumn="0" w:oddVBand="1" w:evenVBand="0" w:oddHBand="0" w:evenHBand="0" w:firstRowFirstColumn="0" w:firstRowLastColumn="0" w:lastRowFirstColumn="0" w:lastRowLastColumn="0"/>
            <w:tcW w:w="1032" w:type="dxa"/>
          </w:tcPr>
          <w:p w14:paraId="16B96638" w14:textId="1421FC17" w:rsidR="00F05844" w:rsidRPr="0067507D" w:rsidRDefault="00F05844" w:rsidP="00F05844">
            <w:pPr>
              <w:pStyle w:val="Tabletextright"/>
              <w:rPr>
                <w:rFonts w:eastAsia="Garamond"/>
              </w:rPr>
            </w:pPr>
            <w:r w:rsidRPr="0067507D">
              <w:rPr>
                <w:iCs/>
              </w:rPr>
              <w:t>80</w:t>
            </w:r>
          </w:p>
        </w:tc>
        <w:tc>
          <w:tcPr>
            <w:cnfStyle w:val="000001000000" w:firstRow="0" w:lastRow="0" w:firstColumn="0" w:lastColumn="0" w:oddVBand="0" w:evenVBand="1" w:oddHBand="0" w:evenHBand="0" w:firstRowFirstColumn="0" w:firstRowLastColumn="0" w:lastRowFirstColumn="0" w:lastRowLastColumn="0"/>
            <w:tcW w:w="1260" w:type="dxa"/>
          </w:tcPr>
          <w:p w14:paraId="61932059" w14:textId="4C2427BE" w:rsidR="00F05844" w:rsidRPr="0067507D" w:rsidRDefault="00B864BB" w:rsidP="00F05844">
            <w:pPr>
              <w:pStyle w:val="Tabletextright"/>
              <w:rPr>
                <w:rFonts w:eastAsia="Garamond"/>
              </w:rPr>
            </w:pPr>
            <w:r w:rsidRPr="0067507D">
              <w:rPr>
                <w:rFonts w:eastAsia="Garamond"/>
              </w:rPr>
              <w:t>25</w:t>
            </w:r>
          </w:p>
        </w:tc>
        <w:tc>
          <w:tcPr>
            <w:cnfStyle w:val="000010000000" w:firstRow="0" w:lastRow="0" w:firstColumn="0" w:lastColumn="0" w:oddVBand="1" w:evenVBand="0" w:oddHBand="0" w:evenHBand="0" w:firstRowFirstColumn="0" w:firstRowLastColumn="0" w:lastRowFirstColumn="0" w:lastRowLastColumn="0"/>
            <w:tcW w:w="900" w:type="dxa"/>
          </w:tcPr>
          <w:p w14:paraId="644CE466" w14:textId="77777777" w:rsidR="00F05844" w:rsidRPr="0067507D" w:rsidRDefault="00F05844" w:rsidP="001857CC">
            <w:pPr>
              <w:pStyle w:val="TargetMet"/>
              <w:rPr>
                <w:rFonts w:eastAsia="Garamond"/>
              </w:rPr>
            </w:pPr>
          </w:p>
        </w:tc>
      </w:tr>
      <w:tr w:rsidR="00E26BDE" w:rsidRPr="0067507D" w14:paraId="064410D3"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75C3D8B9" w14:textId="77777777" w:rsidR="00F05844" w:rsidRPr="0067507D" w:rsidRDefault="00F05844" w:rsidP="00F05844">
            <w:pPr>
              <w:pStyle w:val="Tabletext"/>
              <w:rPr>
                <w:iCs/>
              </w:rPr>
            </w:pPr>
            <w:r w:rsidRPr="0067507D">
              <w:rPr>
                <w:iCs/>
              </w:rPr>
              <w:t>Senior responsible owner agrees Gateway review was beneficial and would impact positively on project outcomes</w:t>
            </w:r>
          </w:p>
          <w:p w14:paraId="46EC29E6" w14:textId="494421EB" w:rsidR="00F05844" w:rsidRPr="0067507D" w:rsidRDefault="003A0732" w:rsidP="00833F61">
            <w:pPr>
              <w:pStyle w:val="Tabletextnotes"/>
              <w:spacing w:after="50"/>
            </w:pPr>
            <w:r w:rsidRPr="0067507D">
              <w:t>The 2024</w:t>
            </w:r>
            <w:r w:rsidR="006A5485">
              <w:noBreakHyphen/>
            </w:r>
            <w:r w:rsidRPr="0067507D">
              <w:t>25 actual is lower than the target reflecting feedback from Senior Responsible Owners directly managing project delivery. Gateway has transitioned to a new Online Reporting Platform aimed to make it easier for users, including S</w:t>
            </w:r>
            <w:r w:rsidR="00127322" w:rsidRPr="0067507D">
              <w:t xml:space="preserve">tate </w:t>
            </w:r>
            <w:r w:rsidRPr="0067507D">
              <w:t>R</w:t>
            </w:r>
            <w:r w:rsidR="00127322" w:rsidRPr="0067507D">
              <w:t xml:space="preserve">evenue </w:t>
            </w:r>
            <w:r w:rsidRPr="0067507D">
              <w:t>O</w:t>
            </w:r>
            <w:r w:rsidR="00AE1096" w:rsidRPr="0067507D">
              <w:t>ffice</w:t>
            </w:r>
            <w:r w:rsidRPr="0067507D">
              <w:t>s to implement the Gateway process which should help achieve the target in the future.</w:t>
            </w:r>
          </w:p>
        </w:tc>
        <w:tc>
          <w:tcPr>
            <w:cnfStyle w:val="000010000000" w:firstRow="0" w:lastRow="0" w:firstColumn="0" w:lastColumn="0" w:oddVBand="1" w:evenVBand="0" w:oddHBand="0" w:evenHBand="0" w:firstRowFirstColumn="0" w:firstRowLastColumn="0" w:lastRowFirstColumn="0" w:lastRowLastColumn="0"/>
            <w:tcW w:w="996" w:type="dxa"/>
          </w:tcPr>
          <w:p w14:paraId="6D104347" w14:textId="43287D2D" w:rsidR="00F05844" w:rsidRPr="0067507D" w:rsidRDefault="00F05844" w:rsidP="00F05844">
            <w:pPr>
              <w:pStyle w:val="Tabletextcentred"/>
              <w:rPr>
                <w:rFonts w:ascii="Calibri" w:eastAsia="Garamond" w:hAnsi="Calibri"/>
                <w:sz w:val="17"/>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2" w:type="dxa"/>
          </w:tcPr>
          <w:p w14:paraId="23F1FC1F" w14:textId="34E6235D" w:rsidR="00F05844" w:rsidRPr="0067507D" w:rsidRDefault="00FF5DB2" w:rsidP="00F05844">
            <w:pPr>
              <w:pStyle w:val="Tabletextright"/>
              <w:rPr>
                <w:rFonts w:eastAsia="Garamond"/>
              </w:rPr>
            </w:pPr>
            <w:r w:rsidRPr="0067507D">
              <w:rPr>
                <w:rFonts w:eastAsia="Garamond"/>
              </w:rPr>
              <w:t>85</w:t>
            </w:r>
          </w:p>
        </w:tc>
        <w:tc>
          <w:tcPr>
            <w:cnfStyle w:val="000010000000" w:firstRow="0" w:lastRow="0" w:firstColumn="0" w:lastColumn="0" w:oddVBand="1" w:evenVBand="0" w:oddHBand="0" w:evenHBand="0" w:firstRowFirstColumn="0" w:firstRowLastColumn="0" w:lastRowFirstColumn="0" w:lastRowLastColumn="0"/>
            <w:tcW w:w="1032" w:type="dxa"/>
          </w:tcPr>
          <w:p w14:paraId="1561F885" w14:textId="0356F640" w:rsidR="00F05844" w:rsidRPr="0067507D" w:rsidRDefault="00F05844" w:rsidP="00F05844">
            <w:pPr>
              <w:pStyle w:val="Tabletextright"/>
              <w:rPr>
                <w:rFonts w:eastAsia="Garamond"/>
              </w:rPr>
            </w:pPr>
            <w:r w:rsidRPr="0067507D">
              <w:rPr>
                <w:iCs/>
              </w:rPr>
              <w:t>90</w:t>
            </w:r>
          </w:p>
        </w:tc>
        <w:tc>
          <w:tcPr>
            <w:cnfStyle w:val="000001000000" w:firstRow="0" w:lastRow="0" w:firstColumn="0" w:lastColumn="0" w:oddVBand="0" w:evenVBand="1" w:oddHBand="0" w:evenHBand="0" w:firstRowFirstColumn="0" w:firstRowLastColumn="0" w:lastRowFirstColumn="0" w:lastRowLastColumn="0"/>
            <w:tcW w:w="1260" w:type="dxa"/>
          </w:tcPr>
          <w:p w14:paraId="6A87D630" w14:textId="131C5A90" w:rsidR="00F05844" w:rsidRPr="0067507D" w:rsidRDefault="006A5485" w:rsidP="00F05844">
            <w:pPr>
              <w:pStyle w:val="Tabletextright"/>
              <w:rPr>
                <w:rFonts w:eastAsia="Garamond"/>
              </w:rPr>
            </w:pPr>
            <w:r>
              <w:rPr>
                <w:rFonts w:eastAsia="Garamond"/>
              </w:rPr>
              <w:noBreakHyphen/>
            </w:r>
            <w:r w:rsidR="00FF5DB2" w:rsidRPr="0067507D">
              <w:rPr>
                <w:rFonts w:eastAsia="Garamond"/>
              </w:rPr>
              <w:t>6</w:t>
            </w:r>
          </w:p>
        </w:tc>
        <w:tc>
          <w:tcPr>
            <w:cnfStyle w:val="000010000000" w:firstRow="0" w:lastRow="0" w:firstColumn="0" w:lastColumn="0" w:oddVBand="1" w:evenVBand="0" w:oddHBand="0" w:evenHBand="0" w:firstRowFirstColumn="0" w:firstRowLastColumn="0" w:lastRowFirstColumn="0" w:lastRowLastColumn="0"/>
            <w:tcW w:w="900" w:type="dxa"/>
          </w:tcPr>
          <w:p w14:paraId="7830E166" w14:textId="77777777" w:rsidR="00F05844" w:rsidRPr="0067507D" w:rsidRDefault="00F05844" w:rsidP="001857CC">
            <w:pPr>
              <w:pStyle w:val="TargetNotMet50"/>
              <w:rPr>
                <w:rFonts w:eastAsia="Garamond"/>
              </w:rPr>
            </w:pPr>
          </w:p>
        </w:tc>
      </w:tr>
      <w:tr w:rsidR="00E26BDE" w:rsidRPr="0067507D" w14:paraId="7356FBB6"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7C463169" w14:textId="3A31B2FE" w:rsidR="00F05844" w:rsidRPr="0067507D" w:rsidRDefault="00F05844" w:rsidP="00F05844">
            <w:pPr>
              <w:pStyle w:val="Tabletext"/>
            </w:pPr>
            <w:r w:rsidRPr="0067507D">
              <w:rPr>
                <w:iCs/>
              </w:rPr>
              <w:t>Timeliness</w:t>
            </w:r>
          </w:p>
        </w:tc>
        <w:tc>
          <w:tcPr>
            <w:cnfStyle w:val="000010000000" w:firstRow="0" w:lastRow="0" w:firstColumn="0" w:lastColumn="0" w:oddVBand="1" w:evenVBand="0" w:oddHBand="0" w:evenHBand="0" w:firstRowFirstColumn="0" w:firstRowLastColumn="0" w:lastRowFirstColumn="0" w:lastRowLastColumn="0"/>
            <w:tcW w:w="996" w:type="dxa"/>
          </w:tcPr>
          <w:p w14:paraId="2BE28347" w14:textId="0CADD3FB" w:rsidR="00F05844" w:rsidRPr="0067507D" w:rsidRDefault="00F05844" w:rsidP="00F05844">
            <w:pPr>
              <w:pStyle w:val="Tabletextcentred"/>
              <w:rPr>
                <w:rFonts w:ascii="Calibri" w:eastAsia="Garamond" w:hAnsi="Calibri"/>
                <w:sz w:val="17"/>
              </w:rPr>
            </w:pPr>
          </w:p>
        </w:tc>
        <w:tc>
          <w:tcPr>
            <w:cnfStyle w:val="000001000000" w:firstRow="0" w:lastRow="0" w:firstColumn="0" w:lastColumn="0" w:oddVBand="0" w:evenVBand="1" w:oddHBand="0" w:evenHBand="0" w:firstRowFirstColumn="0" w:firstRowLastColumn="0" w:lastRowFirstColumn="0" w:lastRowLastColumn="0"/>
            <w:tcW w:w="1032" w:type="dxa"/>
          </w:tcPr>
          <w:p w14:paraId="2BD317A1" w14:textId="0FFD8A43"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1032" w:type="dxa"/>
          </w:tcPr>
          <w:p w14:paraId="5C3E5759" w14:textId="36A917A9" w:rsidR="00F05844" w:rsidRPr="0067507D" w:rsidRDefault="00F05844" w:rsidP="00F05844">
            <w:pPr>
              <w:pStyle w:val="Tabletextright"/>
              <w:rPr>
                <w:rFonts w:eastAsia="Garamond"/>
              </w:rPr>
            </w:pPr>
          </w:p>
        </w:tc>
        <w:tc>
          <w:tcPr>
            <w:cnfStyle w:val="000001000000" w:firstRow="0" w:lastRow="0" w:firstColumn="0" w:lastColumn="0" w:oddVBand="0" w:evenVBand="1" w:oddHBand="0" w:evenHBand="0" w:firstRowFirstColumn="0" w:firstRowLastColumn="0" w:lastRowFirstColumn="0" w:lastRowLastColumn="0"/>
            <w:tcW w:w="1260" w:type="dxa"/>
          </w:tcPr>
          <w:p w14:paraId="5EA9E5B2" w14:textId="67BF72EF"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00" w:type="dxa"/>
          </w:tcPr>
          <w:p w14:paraId="36DDBAE0" w14:textId="77777777" w:rsidR="00F05844" w:rsidRPr="0067507D" w:rsidRDefault="00F05844" w:rsidP="00F05844">
            <w:pPr>
              <w:pStyle w:val="Tabletextright"/>
              <w:rPr>
                <w:rFonts w:eastAsia="Garamond"/>
              </w:rPr>
            </w:pPr>
          </w:p>
        </w:tc>
      </w:tr>
      <w:tr w:rsidR="00E26BDE" w:rsidRPr="0067507D" w14:paraId="503716D7"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6B037B3D" w14:textId="1FAC8787" w:rsidR="00F05844" w:rsidRPr="0067507D" w:rsidRDefault="00F05844" w:rsidP="00F05844">
            <w:pPr>
              <w:pStyle w:val="Tabletext"/>
            </w:pPr>
            <w:r w:rsidRPr="0067507D">
              <w:rPr>
                <w:iCs/>
              </w:rPr>
              <w:t>Advice provided to Government on board appointments at least three months prior to upcoming board vacancies</w:t>
            </w:r>
          </w:p>
        </w:tc>
        <w:tc>
          <w:tcPr>
            <w:cnfStyle w:val="000010000000" w:firstRow="0" w:lastRow="0" w:firstColumn="0" w:lastColumn="0" w:oddVBand="1" w:evenVBand="0" w:oddHBand="0" w:evenHBand="0" w:firstRowFirstColumn="0" w:firstRowLastColumn="0" w:lastRowFirstColumn="0" w:lastRowLastColumn="0"/>
            <w:tcW w:w="996" w:type="dxa"/>
          </w:tcPr>
          <w:p w14:paraId="7F9BB264" w14:textId="38D803EF" w:rsidR="00F05844" w:rsidRPr="0067507D" w:rsidRDefault="00F05844" w:rsidP="00F05844">
            <w:pPr>
              <w:pStyle w:val="Tabletextcentred"/>
              <w:rPr>
                <w:rFonts w:ascii="Calibri" w:eastAsia="Garamond" w:hAnsi="Calibri"/>
                <w:sz w:val="17"/>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2" w:type="dxa"/>
          </w:tcPr>
          <w:p w14:paraId="1317A170" w14:textId="39626FA9" w:rsidR="00F05844" w:rsidRPr="0067507D" w:rsidRDefault="00FF5DB2" w:rsidP="00F05844">
            <w:pPr>
              <w:pStyle w:val="Tabletextright"/>
              <w:rPr>
                <w:rFonts w:eastAsia="Garamond"/>
              </w:rPr>
            </w:pPr>
            <w:r w:rsidRPr="0067507D">
              <w:rPr>
                <w:rFonts w:eastAsia="Garamond"/>
              </w:rPr>
              <w:t>100</w:t>
            </w:r>
          </w:p>
        </w:tc>
        <w:tc>
          <w:tcPr>
            <w:cnfStyle w:val="000010000000" w:firstRow="0" w:lastRow="0" w:firstColumn="0" w:lastColumn="0" w:oddVBand="1" w:evenVBand="0" w:oddHBand="0" w:evenHBand="0" w:firstRowFirstColumn="0" w:firstRowLastColumn="0" w:lastRowFirstColumn="0" w:lastRowLastColumn="0"/>
            <w:tcW w:w="1032" w:type="dxa"/>
          </w:tcPr>
          <w:p w14:paraId="0C9909F3" w14:textId="521BC303" w:rsidR="00F05844" w:rsidRPr="0067507D" w:rsidRDefault="00F05844" w:rsidP="00F05844">
            <w:pPr>
              <w:pStyle w:val="Tabletextright"/>
              <w:rPr>
                <w:rFonts w:eastAsia="Garamond"/>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60" w:type="dxa"/>
          </w:tcPr>
          <w:p w14:paraId="661F74F5" w14:textId="34AC2D21" w:rsidR="00F05844" w:rsidRPr="0067507D" w:rsidRDefault="00496164" w:rsidP="00F0584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00" w:type="dxa"/>
          </w:tcPr>
          <w:p w14:paraId="5FD6D85B" w14:textId="77777777" w:rsidR="00F05844" w:rsidRPr="0067507D" w:rsidRDefault="00F05844" w:rsidP="001857CC">
            <w:pPr>
              <w:pStyle w:val="TargetMet"/>
              <w:rPr>
                <w:rFonts w:eastAsia="Garamond"/>
              </w:rPr>
            </w:pPr>
          </w:p>
        </w:tc>
      </w:tr>
      <w:tr w:rsidR="00E26BDE" w:rsidRPr="0067507D" w14:paraId="0D03EB2E"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052D6293" w14:textId="77777777" w:rsidR="00F05844" w:rsidRPr="0067507D" w:rsidRDefault="00F05844" w:rsidP="00F05844">
            <w:pPr>
              <w:pStyle w:val="Tabletext"/>
            </w:pPr>
            <w:r w:rsidRPr="0067507D">
              <w:t>Analysis and review of corporate plans within two months of receipt</w:t>
            </w:r>
          </w:p>
          <w:p w14:paraId="6C7412A4" w14:textId="25A0AC3E" w:rsidR="00F05844" w:rsidRPr="0067507D" w:rsidRDefault="003A0732" w:rsidP="00833F61">
            <w:pPr>
              <w:pStyle w:val="Tabletextnotes"/>
              <w:spacing w:after="50"/>
              <w:rPr>
                <w:rFonts w:eastAsia="Garamond"/>
              </w:rPr>
            </w:pPr>
            <w:r w:rsidRPr="0067507D">
              <w:rPr>
                <w:rFonts w:eastAsia="Garamond"/>
              </w:rPr>
              <w:t>The 2024</w:t>
            </w:r>
            <w:r w:rsidR="006A5485">
              <w:rPr>
                <w:rFonts w:eastAsia="Garamond"/>
              </w:rPr>
              <w:noBreakHyphen/>
            </w:r>
            <w:r w:rsidRPr="0067507D">
              <w:rPr>
                <w:rFonts w:eastAsia="Garamond"/>
              </w:rPr>
              <w:t>25 actual is lower than the target as prioritisation of resources to the most significant entities has resulted in unavoidable delays in briefing the Treasurer within 2 months of receipt of the corporate plans for some less significant entities.</w:t>
            </w:r>
          </w:p>
        </w:tc>
        <w:tc>
          <w:tcPr>
            <w:cnfStyle w:val="000010000000" w:firstRow="0" w:lastRow="0" w:firstColumn="0" w:lastColumn="0" w:oddVBand="1" w:evenVBand="0" w:oddHBand="0" w:evenHBand="0" w:firstRowFirstColumn="0" w:firstRowLastColumn="0" w:lastRowFirstColumn="0" w:lastRowLastColumn="0"/>
            <w:tcW w:w="996" w:type="dxa"/>
          </w:tcPr>
          <w:p w14:paraId="3BFC03EE" w14:textId="5C638F62" w:rsidR="00F05844" w:rsidRPr="0067507D" w:rsidRDefault="00F05844" w:rsidP="00F05844">
            <w:pPr>
              <w:pStyle w:val="Tabletextcentred"/>
              <w:rPr>
                <w:rFonts w:ascii="Calibri" w:eastAsia="Garamond" w:hAnsi="Calibri"/>
                <w:sz w:val="17"/>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2" w:type="dxa"/>
          </w:tcPr>
          <w:p w14:paraId="4E2FA018" w14:textId="66DC5F2C" w:rsidR="00F05844" w:rsidRPr="0067507D" w:rsidRDefault="0037251B" w:rsidP="00F05844">
            <w:pPr>
              <w:pStyle w:val="Tabletextright"/>
              <w:rPr>
                <w:rFonts w:eastAsia="Garamond"/>
              </w:rPr>
            </w:pPr>
            <w:r w:rsidRPr="0067507D">
              <w:rPr>
                <w:rFonts w:eastAsia="Garamond"/>
              </w:rPr>
              <w:t>87</w:t>
            </w:r>
          </w:p>
        </w:tc>
        <w:tc>
          <w:tcPr>
            <w:cnfStyle w:val="000010000000" w:firstRow="0" w:lastRow="0" w:firstColumn="0" w:lastColumn="0" w:oddVBand="1" w:evenVBand="0" w:oddHBand="0" w:evenHBand="0" w:firstRowFirstColumn="0" w:firstRowLastColumn="0" w:lastRowFirstColumn="0" w:lastRowLastColumn="0"/>
            <w:tcW w:w="1032" w:type="dxa"/>
          </w:tcPr>
          <w:p w14:paraId="141DA25F" w14:textId="72807791" w:rsidR="00F05844" w:rsidRPr="0067507D" w:rsidRDefault="00F05844" w:rsidP="00F05844">
            <w:pPr>
              <w:pStyle w:val="Tabletextright"/>
              <w:rPr>
                <w:rFonts w:eastAsia="Garamond"/>
              </w:rPr>
            </w:pPr>
            <w:r w:rsidRPr="0067507D">
              <w:rPr>
                <w:iCs/>
              </w:rPr>
              <w:t>95</w:t>
            </w:r>
          </w:p>
        </w:tc>
        <w:tc>
          <w:tcPr>
            <w:cnfStyle w:val="000001000000" w:firstRow="0" w:lastRow="0" w:firstColumn="0" w:lastColumn="0" w:oddVBand="0" w:evenVBand="1" w:oddHBand="0" w:evenHBand="0" w:firstRowFirstColumn="0" w:firstRowLastColumn="0" w:lastRowFirstColumn="0" w:lastRowLastColumn="0"/>
            <w:tcW w:w="1260" w:type="dxa"/>
          </w:tcPr>
          <w:p w14:paraId="4FEACE55" w14:textId="371CFE6D" w:rsidR="00F05844" w:rsidRPr="0067507D" w:rsidRDefault="006A5485" w:rsidP="00F05844">
            <w:pPr>
              <w:pStyle w:val="Tabletextright"/>
              <w:rPr>
                <w:rFonts w:eastAsia="Garamond"/>
              </w:rPr>
            </w:pPr>
            <w:r>
              <w:rPr>
                <w:rFonts w:eastAsia="Garamond"/>
              </w:rPr>
              <w:noBreakHyphen/>
            </w:r>
            <w:r w:rsidR="0037251B" w:rsidRPr="0067507D">
              <w:rPr>
                <w:rFonts w:eastAsia="Garamond"/>
              </w:rPr>
              <w:t>8</w:t>
            </w:r>
          </w:p>
        </w:tc>
        <w:tc>
          <w:tcPr>
            <w:cnfStyle w:val="000010000000" w:firstRow="0" w:lastRow="0" w:firstColumn="0" w:lastColumn="0" w:oddVBand="1" w:evenVBand="0" w:oddHBand="0" w:evenHBand="0" w:firstRowFirstColumn="0" w:firstRowLastColumn="0" w:lastRowFirstColumn="0" w:lastRowLastColumn="0"/>
            <w:tcW w:w="900" w:type="dxa"/>
          </w:tcPr>
          <w:p w14:paraId="7DFA7914" w14:textId="77777777" w:rsidR="00F05844" w:rsidRPr="0067507D" w:rsidRDefault="00F05844" w:rsidP="001857CC">
            <w:pPr>
              <w:pStyle w:val="TargetNotMet50"/>
              <w:rPr>
                <w:rFonts w:eastAsia="Garamond"/>
              </w:rPr>
            </w:pPr>
          </w:p>
        </w:tc>
      </w:tr>
      <w:tr w:rsidR="00E26BDE" w:rsidRPr="0067507D" w14:paraId="373140F1"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6A620160" w14:textId="4577F521" w:rsidR="00F05844" w:rsidRPr="0067507D" w:rsidRDefault="00F05844" w:rsidP="00F05844">
            <w:pPr>
              <w:pStyle w:val="Tabletext"/>
              <w:rPr>
                <w:rFonts w:ascii="Calibri" w:eastAsia="Garamond" w:hAnsi="Calibri"/>
                <w:sz w:val="17"/>
              </w:rPr>
            </w:pPr>
            <w:r w:rsidRPr="0067507D">
              <w:t>Dividend collection in accordance with budget decisions</w:t>
            </w:r>
          </w:p>
        </w:tc>
        <w:tc>
          <w:tcPr>
            <w:cnfStyle w:val="000010000000" w:firstRow="0" w:lastRow="0" w:firstColumn="0" w:lastColumn="0" w:oddVBand="1" w:evenVBand="0" w:oddHBand="0" w:evenHBand="0" w:firstRowFirstColumn="0" w:firstRowLastColumn="0" w:lastRowFirstColumn="0" w:lastRowLastColumn="0"/>
            <w:tcW w:w="996" w:type="dxa"/>
          </w:tcPr>
          <w:p w14:paraId="4CDBAC85" w14:textId="2603CBC8" w:rsidR="00F05844" w:rsidRPr="0067507D" w:rsidRDefault="00F05844" w:rsidP="00F05844">
            <w:pPr>
              <w:pStyle w:val="Tabletextcentred"/>
              <w:rPr>
                <w:rFonts w:ascii="Calibri" w:eastAsia="Garamond" w:hAnsi="Calibri"/>
                <w:sz w:val="17"/>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2" w:type="dxa"/>
          </w:tcPr>
          <w:p w14:paraId="227652B2" w14:textId="3B602D5D" w:rsidR="00F05844" w:rsidRPr="0067507D" w:rsidRDefault="0037251B" w:rsidP="00F05844">
            <w:pPr>
              <w:pStyle w:val="Tabletextright"/>
              <w:rPr>
                <w:rFonts w:eastAsia="Garamond"/>
              </w:rPr>
            </w:pPr>
            <w:r w:rsidRPr="0067507D">
              <w:rPr>
                <w:rFonts w:eastAsia="Garamond"/>
              </w:rPr>
              <w:t>100</w:t>
            </w:r>
          </w:p>
        </w:tc>
        <w:tc>
          <w:tcPr>
            <w:cnfStyle w:val="000010000000" w:firstRow="0" w:lastRow="0" w:firstColumn="0" w:lastColumn="0" w:oddVBand="1" w:evenVBand="0" w:oddHBand="0" w:evenHBand="0" w:firstRowFirstColumn="0" w:firstRowLastColumn="0" w:lastRowFirstColumn="0" w:lastRowLastColumn="0"/>
            <w:tcW w:w="1032" w:type="dxa"/>
          </w:tcPr>
          <w:p w14:paraId="304F2B1D" w14:textId="7AAD747F" w:rsidR="00F05844" w:rsidRPr="0067507D" w:rsidRDefault="00F05844" w:rsidP="00F05844">
            <w:pPr>
              <w:pStyle w:val="Tabletextright"/>
              <w:rPr>
                <w:rFonts w:eastAsia="Garamond"/>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60" w:type="dxa"/>
          </w:tcPr>
          <w:p w14:paraId="6835D711" w14:textId="116C6C15" w:rsidR="00F05844" w:rsidRPr="0067507D" w:rsidRDefault="00496164" w:rsidP="00F0584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00" w:type="dxa"/>
          </w:tcPr>
          <w:p w14:paraId="748897B7" w14:textId="71E248B7" w:rsidR="00F05844" w:rsidRPr="0067507D" w:rsidRDefault="00F05844" w:rsidP="001857CC">
            <w:pPr>
              <w:pStyle w:val="TargetMet"/>
              <w:rPr>
                <w:rFonts w:eastAsia="Garamond"/>
              </w:rPr>
            </w:pPr>
          </w:p>
        </w:tc>
      </w:tr>
      <w:tr w:rsidR="00E26BDE" w:rsidRPr="0067507D" w14:paraId="6EDE1AC8"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66E7FEDB" w14:textId="59B6622A" w:rsidR="00F05844" w:rsidRPr="0067507D" w:rsidRDefault="00F05844" w:rsidP="00F05844">
            <w:pPr>
              <w:pStyle w:val="Tabletextheadingleft"/>
            </w:pPr>
            <w:r w:rsidRPr="0067507D">
              <w:t>Cost</w:t>
            </w:r>
          </w:p>
        </w:tc>
        <w:tc>
          <w:tcPr>
            <w:cnfStyle w:val="000010000000" w:firstRow="0" w:lastRow="0" w:firstColumn="0" w:lastColumn="0" w:oddVBand="1" w:evenVBand="0" w:oddHBand="0" w:evenHBand="0" w:firstRowFirstColumn="0" w:firstRowLastColumn="0" w:lastRowFirstColumn="0" w:lastRowLastColumn="0"/>
            <w:tcW w:w="996" w:type="dxa"/>
          </w:tcPr>
          <w:p w14:paraId="6D290CAB" w14:textId="77777777" w:rsidR="00F05844" w:rsidRPr="0067507D" w:rsidRDefault="00F05844" w:rsidP="00F05844">
            <w:pPr>
              <w:pStyle w:val="Tabletextcentred"/>
              <w:rPr>
                <w:iCs/>
              </w:rPr>
            </w:pPr>
          </w:p>
        </w:tc>
        <w:tc>
          <w:tcPr>
            <w:cnfStyle w:val="000001000000" w:firstRow="0" w:lastRow="0" w:firstColumn="0" w:lastColumn="0" w:oddVBand="0" w:evenVBand="1" w:oddHBand="0" w:evenHBand="0" w:firstRowFirstColumn="0" w:firstRowLastColumn="0" w:lastRowFirstColumn="0" w:lastRowLastColumn="0"/>
            <w:tcW w:w="1032" w:type="dxa"/>
          </w:tcPr>
          <w:p w14:paraId="5AD7F8A7"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1032" w:type="dxa"/>
          </w:tcPr>
          <w:p w14:paraId="2A6AF450" w14:textId="77777777" w:rsidR="00F05844" w:rsidRPr="0067507D" w:rsidRDefault="00F05844" w:rsidP="00F05844">
            <w:pPr>
              <w:pStyle w:val="Tabletextright"/>
              <w:rPr>
                <w:iCs/>
              </w:rPr>
            </w:pPr>
          </w:p>
        </w:tc>
        <w:tc>
          <w:tcPr>
            <w:cnfStyle w:val="000001000000" w:firstRow="0" w:lastRow="0" w:firstColumn="0" w:lastColumn="0" w:oddVBand="0" w:evenVBand="1" w:oddHBand="0" w:evenHBand="0" w:firstRowFirstColumn="0" w:firstRowLastColumn="0" w:lastRowFirstColumn="0" w:lastRowLastColumn="0"/>
            <w:tcW w:w="1260" w:type="dxa"/>
          </w:tcPr>
          <w:p w14:paraId="642B6C24"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00" w:type="dxa"/>
          </w:tcPr>
          <w:p w14:paraId="70E07B10" w14:textId="77777777" w:rsidR="00F05844" w:rsidRPr="0067507D" w:rsidRDefault="00F05844" w:rsidP="00F05844">
            <w:pPr>
              <w:pStyle w:val="Tabletextright"/>
              <w:rPr>
                <w:rFonts w:ascii="Calibri" w:eastAsia="Garamond" w:hAnsi="Calibri"/>
                <w:sz w:val="17"/>
                <w:szCs w:val="17"/>
              </w:rPr>
            </w:pPr>
          </w:p>
        </w:tc>
      </w:tr>
      <w:tr w:rsidR="00E26BDE" w:rsidRPr="0067507D" w14:paraId="78304085" w14:textId="77777777" w:rsidTr="00D609F5">
        <w:tc>
          <w:tcPr>
            <w:cnfStyle w:val="001000000000" w:firstRow="0" w:lastRow="0" w:firstColumn="1" w:lastColumn="0" w:oddVBand="0" w:evenVBand="0" w:oddHBand="0" w:evenHBand="0" w:firstRowFirstColumn="0" w:firstRowLastColumn="0" w:lastRowFirstColumn="0" w:lastRowLastColumn="0"/>
            <w:tcW w:w="3780" w:type="dxa"/>
          </w:tcPr>
          <w:p w14:paraId="29F11B35" w14:textId="77777777" w:rsidR="00F05844" w:rsidRPr="0067507D" w:rsidRDefault="00F05844" w:rsidP="00F05844">
            <w:pPr>
              <w:pStyle w:val="Tabletext"/>
              <w:rPr>
                <w:iCs/>
              </w:rPr>
            </w:pPr>
            <w:r w:rsidRPr="0067507D">
              <w:rPr>
                <w:iCs/>
              </w:rPr>
              <w:t>Total output cost</w:t>
            </w:r>
          </w:p>
          <w:p w14:paraId="7936EDB0" w14:textId="7945D7FE" w:rsidR="00F05844" w:rsidRPr="0067507D" w:rsidRDefault="00930F88" w:rsidP="00833F61">
            <w:pPr>
              <w:pStyle w:val="Tabletextnotes"/>
              <w:spacing w:after="50"/>
              <w:rPr>
                <w:iCs/>
              </w:rPr>
            </w:pPr>
            <w:r w:rsidRPr="0067507D">
              <w:rPr>
                <w:rFonts w:eastAsia="Garamond"/>
              </w:rPr>
              <w:t>The 2024</w:t>
            </w:r>
            <w:r w:rsidR="006A5485">
              <w:rPr>
                <w:rFonts w:eastAsia="Garamond"/>
              </w:rPr>
              <w:noBreakHyphen/>
            </w:r>
            <w:r w:rsidRPr="0067507D">
              <w:rPr>
                <w:rFonts w:eastAsia="Garamond"/>
              </w:rPr>
              <w:t>25 actual is lower than the target mainly due to funding rephased into future years.</w:t>
            </w:r>
          </w:p>
        </w:tc>
        <w:tc>
          <w:tcPr>
            <w:cnfStyle w:val="000010000000" w:firstRow="0" w:lastRow="0" w:firstColumn="0" w:lastColumn="0" w:oddVBand="1" w:evenVBand="0" w:oddHBand="0" w:evenHBand="0" w:firstRowFirstColumn="0" w:firstRowLastColumn="0" w:lastRowFirstColumn="0" w:lastRowLastColumn="0"/>
            <w:tcW w:w="996" w:type="dxa"/>
          </w:tcPr>
          <w:p w14:paraId="4B496476" w14:textId="17878AE4" w:rsidR="00F05844" w:rsidRPr="0067507D" w:rsidRDefault="00F05844" w:rsidP="00F05844">
            <w:pPr>
              <w:pStyle w:val="Tabletextcentred"/>
              <w:rPr>
                <w:iCs/>
              </w:rPr>
            </w:pPr>
            <w:r w:rsidRPr="0067507D">
              <w:t>$ million</w:t>
            </w:r>
          </w:p>
        </w:tc>
        <w:tc>
          <w:tcPr>
            <w:cnfStyle w:val="000001000000" w:firstRow="0" w:lastRow="0" w:firstColumn="0" w:lastColumn="0" w:oddVBand="0" w:evenVBand="1" w:oddHBand="0" w:evenHBand="0" w:firstRowFirstColumn="0" w:firstRowLastColumn="0" w:lastRowFirstColumn="0" w:lastRowLastColumn="0"/>
            <w:tcW w:w="1032" w:type="dxa"/>
          </w:tcPr>
          <w:p w14:paraId="599FCF85" w14:textId="53677984" w:rsidR="00F05844" w:rsidRPr="0067507D" w:rsidRDefault="004D5AD2" w:rsidP="00F05844">
            <w:pPr>
              <w:pStyle w:val="Tabletextright"/>
              <w:rPr>
                <w:rFonts w:eastAsia="Garamond"/>
              </w:rPr>
            </w:pPr>
            <w:r w:rsidRPr="0067507D">
              <w:rPr>
                <w:rFonts w:eastAsia="Garamond"/>
              </w:rPr>
              <w:t>70</w:t>
            </w:r>
          </w:p>
        </w:tc>
        <w:tc>
          <w:tcPr>
            <w:cnfStyle w:val="000010000000" w:firstRow="0" w:lastRow="0" w:firstColumn="0" w:lastColumn="0" w:oddVBand="1" w:evenVBand="0" w:oddHBand="0" w:evenHBand="0" w:firstRowFirstColumn="0" w:firstRowLastColumn="0" w:lastRowFirstColumn="0" w:lastRowLastColumn="0"/>
            <w:tcW w:w="1032" w:type="dxa"/>
          </w:tcPr>
          <w:p w14:paraId="62E8F42F" w14:textId="45E8009B" w:rsidR="00F05844" w:rsidRPr="0067507D" w:rsidRDefault="00F05844" w:rsidP="00F05844">
            <w:pPr>
              <w:pStyle w:val="Tabletextright"/>
              <w:rPr>
                <w:iCs/>
              </w:rPr>
            </w:pPr>
            <w:r w:rsidRPr="0067507D">
              <w:rPr>
                <w:iCs/>
              </w:rPr>
              <w:t>85.6</w:t>
            </w:r>
          </w:p>
        </w:tc>
        <w:tc>
          <w:tcPr>
            <w:cnfStyle w:val="000001000000" w:firstRow="0" w:lastRow="0" w:firstColumn="0" w:lastColumn="0" w:oddVBand="0" w:evenVBand="1" w:oddHBand="0" w:evenHBand="0" w:firstRowFirstColumn="0" w:firstRowLastColumn="0" w:lastRowFirstColumn="0" w:lastRowLastColumn="0"/>
            <w:tcW w:w="1260" w:type="dxa"/>
          </w:tcPr>
          <w:p w14:paraId="1DECAB3C" w14:textId="42BC2C22" w:rsidR="00F05844" w:rsidRPr="0067507D" w:rsidRDefault="006A5485" w:rsidP="00F05844">
            <w:pPr>
              <w:pStyle w:val="Tabletextright"/>
              <w:rPr>
                <w:rFonts w:eastAsia="Garamond"/>
              </w:rPr>
            </w:pPr>
            <w:r>
              <w:rPr>
                <w:rFonts w:eastAsia="Garamond"/>
              </w:rPr>
              <w:noBreakHyphen/>
            </w:r>
            <w:r w:rsidR="00F51F50" w:rsidRPr="0067507D">
              <w:rPr>
                <w:rFonts w:eastAsia="Garamond"/>
              </w:rPr>
              <w:t>18.4</w:t>
            </w:r>
          </w:p>
        </w:tc>
        <w:tc>
          <w:tcPr>
            <w:cnfStyle w:val="000010000000" w:firstRow="0" w:lastRow="0" w:firstColumn="0" w:lastColumn="0" w:oddVBand="1" w:evenVBand="0" w:oddHBand="0" w:evenHBand="0" w:firstRowFirstColumn="0" w:firstRowLastColumn="0" w:lastRowFirstColumn="0" w:lastRowLastColumn="0"/>
            <w:tcW w:w="900" w:type="dxa"/>
          </w:tcPr>
          <w:p w14:paraId="1B71CF73" w14:textId="77777777" w:rsidR="00F05844" w:rsidRPr="0067507D" w:rsidRDefault="00F05844" w:rsidP="004956C8">
            <w:pPr>
              <w:pStyle w:val="TargetNotMet50"/>
              <w:rPr>
                <w:rFonts w:eastAsia="Garamond"/>
              </w:rPr>
            </w:pPr>
          </w:p>
        </w:tc>
      </w:tr>
    </w:tbl>
    <w:p w14:paraId="1B49938F" w14:textId="7F0D32D5" w:rsidR="005E6D06" w:rsidRPr="0067507D" w:rsidRDefault="005E6D06" w:rsidP="005E6D06">
      <w:pPr>
        <w:pStyle w:val="Heading2"/>
        <w:pageBreakBefore/>
      </w:pPr>
      <w:r w:rsidRPr="0067507D">
        <w:lastRenderedPageBreak/>
        <w:t>Infrastructure Victoria</w:t>
      </w:r>
    </w:p>
    <w:p w14:paraId="3D1CE9C2" w14:textId="43352326" w:rsidR="007D696C" w:rsidRPr="0067507D" w:rsidRDefault="007D696C">
      <w:r w:rsidRPr="0067507D">
        <w:t>This output provides independent and transparent advice to government on infrastructure priorities and sets a long</w:t>
      </w:r>
      <w:r w:rsidR="006A5485">
        <w:noBreakHyphen/>
      </w:r>
      <w:r w:rsidRPr="0067507D">
        <w:t>term strategy for infrastructure investment.</w:t>
      </w:r>
    </w:p>
    <w:p w14:paraId="130DC348" w14:textId="77777777" w:rsidR="00721AC8" w:rsidRPr="0067507D" w:rsidRDefault="00721AC8" w:rsidP="00721AC8">
      <w:pPr>
        <w:pStyle w:val="Spacer"/>
      </w:pPr>
    </w:p>
    <w:tbl>
      <w:tblPr>
        <w:tblStyle w:val="TableGrid"/>
        <w:tblW w:w="0" w:type="auto"/>
        <w:tblLook w:val="02A0" w:firstRow="1" w:lastRow="0" w:firstColumn="1" w:lastColumn="0" w:noHBand="1" w:noVBand="0"/>
      </w:tblPr>
      <w:tblGrid>
        <w:gridCol w:w="3690"/>
        <w:gridCol w:w="998"/>
        <w:gridCol w:w="986"/>
        <w:gridCol w:w="986"/>
        <w:gridCol w:w="1350"/>
        <w:gridCol w:w="900"/>
      </w:tblGrid>
      <w:tr w:rsidR="00E26BDE" w:rsidRPr="0067507D" w14:paraId="0BE78A4A" w14:textId="77777777" w:rsidTr="00D609F5">
        <w:tc>
          <w:tcPr>
            <w:cnfStyle w:val="001000000000" w:firstRow="0" w:lastRow="0" w:firstColumn="1" w:lastColumn="0" w:oddVBand="0" w:evenVBand="0" w:oddHBand="0" w:evenHBand="0" w:firstRowFirstColumn="0" w:firstRowLastColumn="0" w:lastRowFirstColumn="0" w:lastRowLastColumn="0"/>
            <w:tcW w:w="3690" w:type="dxa"/>
            <w:vAlign w:val="bottom"/>
          </w:tcPr>
          <w:p w14:paraId="75C65FCC" w14:textId="4769F86A" w:rsidR="00721AC8" w:rsidRPr="0067507D" w:rsidRDefault="00721AC8" w:rsidP="00721AC8">
            <w:pPr>
              <w:pStyle w:val="Tabletextheadingleft"/>
              <w:rPr>
                <w:szCs w:val="16"/>
              </w:rPr>
            </w:pPr>
            <w:r w:rsidRPr="0067507D">
              <w:rPr>
                <w:szCs w:val="16"/>
              </w:rPr>
              <w:t>Performance measures</w:t>
            </w:r>
          </w:p>
        </w:tc>
        <w:tc>
          <w:tcPr>
            <w:cnfStyle w:val="000010000000" w:firstRow="0" w:lastRow="0" w:firstColumn="0" w:lastColumn="0" w:oddVBand="1" w:evenVBand="0" w:oddHBand="0" w:evenHBand="0" w:firstRowFirstColumn="0" w:firstRowLastColumn="0" w:lastRowFirstColumn="0" w:lastRowLastColumn="0"/>
            <w:tcW w:w="998" w:type="dxa"/>
          </w:tcPr>
          <w:p w14:paraId="565619BB" w14:textId="77777777" w:rsidR="00721AC8" w:rsidRPr="0067507D" w:rsidRDefault="00721AC8" w:rsidP="006B3412">
            <w:pPr>
              <w:pStyle w:val="Tabletextheadingcentred"/>
              <w:rPr>
                <w:szCs w:val="16"/>
              </w:rPr>
            </w:pPr>
            <w:r w:rsidRPr="0067507D">
              <w:rPr>
                <w:szCs w:val="16"/>
              </w:rPr>
              <w:t>Unit of measure</w:t>
            </w:r>
          </w:p>
        </w:tc>
        <w:tc>
          <w:tcPr>
            <w:cnfStyle w:val="000001000000" w:firstRow="0" w:lastRow="0" w:firstColumn="0" w:lastColumn="0" w:oddVBand="0" w:evenVBand="1" w:oddHBand="0" w:evenHBand="0" w:firstRowFirstColumn="0" w:firstRowLastColumn="0" w:lastRowFirstColumn="0" w:lastRowLastColumn="0"/>
            <w:tcW w:w="986" w:type="dxa"/>
            <w:vAlign w:val="bottom"/>
          </w:tcPr>
          <w:p w14:paraId="40260841" w14:textId="50BCC6F6" w:rsidR="00721AC8"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721AC8" w:rsidRPr="0067507D">
              <w:rPr>
                <w:szCs w:val="16"/>
              </w:rPr>
              <w:t xml:space="preserve"> actual</w:t>
            </w:r>
          </w:p>
        </w:tc>
        <w:tc>
          <w:tcPr>
            <w:cnfStyle w:val="000010000000" w:firstRow="0" w:lastRow="0" w:firstColumn="0" w:lastColumn="0" w:oddVBand="1" w:evenVBand="0" w:oddHBand="0" w:evenHBand="0" w:firstRowFirstColumn="0" w:firstRowLastColumn="0" w:lastRowFirstColumn="0" w:lastRowLastColumn="0"/>
            <w:tcW w:w="986" w:type="dxa"/>
            <w:vAlign w:val="bottom"/>
          </w:tcPr>
          <w:p w14:paraId="0E177FFB" w14:textId="5CBEB0E1" w:rsidR="00721AC8" w:rsidRPr="0067507D" w:rsidRDefault="00C30F42" w:rsidP="006B3412">
            <w:pPr>
              <w:pStyle w:val="Tabletextheadingrightbold"/>
              <w:rPr>
                <w:szCs w:val="16"/>
              </w:rPr>
            </w:pPr>
            <w:r w:rsidRPr="0067507D">
              <w:rPr>
                <w:szCs w:val="16"/>
              </w:rPr>
              <w:t>2024</w:t>
            </w:r>
            <w:r w:rsidR="006A5485">
              <w:rPr>
                <w:szCs w:val="16"/>
              </w:rPr>
              <w:noBreakHyphen/>
            </w:r>
            <w:r w:rsidRPr="0067507D">
              <w:rPr>
                <w:szCs w:val="16"/>
              </w:rPr>
              <w:t>25</w:t>
            </w:r>
            <w:r w:rsidR="00721AC8" w:rsidRPr="0067507D">
              <w:rPr>
                <w:szCs w:val="16"/>
              </w:rPr>
              <w:t xml:space="preserve"> target</w:t>
            </w:r>
          </w:p>
        </w:tc>
        <w:tc>
          <w:tcPr>
            <w:cnfStyle w:val="000001000000" w:firstRow="0" w:lastRow="0" w:firstColumn="0" w:lastColumn="0" w:oddVBand="0" w:evenVBand="1" w:oddHBand="0" w:evenHBand="0" w:firstRowFirstColumn="0" w:firstRowLastColumn="0" w:lastRowFirstColumn="0" w:lastRowLastColumn="0"/>
            <w:tcW w:w="1350" w:type="dxa"/>
            <w:vAlign w:val="bottom"/>
          </w:tcPr>
          <w:p w14:paraId="369575E8" w14:textId="77777777" w:rsidR="00721AC8" w:rsidRPr="0067507D" w:rsidRDefault="00721AC8" w:rsidP="006B3412">
            <w:pPr>
              <w:pStyle w:val="Tabletextheadingright"/>
              <w:rPr>
                <w:szCs w:val="16"/>
              </w:rPr>
            </w:pPr>
            <w:r w:rsidRPr="0067507D">
              <w:rPr>
                <w:szCs w:val="16"/>
              </w:rPr>
              <w:t>Performance variation (%)</w:t>
            </w:r>
          </w:p>
        </w:tc>
        <w:tc>
          <w:tcPr>
            <w:cnfStyle w:val="000010000000" w:firstRow="0" w:lastRow="0" w:firstColumn="0" w:lastColumn="0" w:oddVBand="1" w:evenVBand="0" w:oddHBand="0" w:evenHBand="0" w:firstRowFirstColumn="0" w:firstRowLastColumn="0" w:lastRowFirstColumn="0" w:lastRowLastColumn="0"/>
            <w:tcW w:w="900" w:type="dxa"/>
            <w:vAlign w:val="bottom"/>
          </w:tcPr>
          <w:p w14:paraId="1ED92830" w14:textId="77777777" w:rsidR="00721AC8" w:rsidRPr="0067507D" w:rsidRDefault="00721AC8" w:rsidP="006B3412">
            <w:pPr>
              <w:pStyle w:val="Tabletextheadingrightbold"/>
              <w:rPr>
                <w:szCs w:val="16"/>
              </w:rPr>
            </w:pPr>
            <w:r w:rsidRPr="0067507D">
              <w:rPr>
                <w:szCs w:val="16"/>
              </w:rPr>
              <w:t xml:space="preserve">Result </w:t>
            </w:r>
          </w:p>
        </w:tc>
      </w:tr>
      <w:tr w:rsidR="00E26BDE" w:rsidRPr="0067507D" w14:paraId="1D891C76"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4CB0EBFC" w14:textId="236132E4" w:rsidR="00F05844" w:rsidRPr="0067507D" w:rsidRDefault="00F05844" w:rsidP="00F05844">
            <w:pPr>
              <w:pStyle w:val="Tabletextheadingleft"/>
            </w:pPr>
            <w:r w:rsidRPr="0067507D">
              <w:t>Quantity</w:t>
            </w:r>
          </w:p>
        </w:tc>
        <w:tc>
          <w:tcPr>
            <w:cnfStyle w:val="000010000000" w:firstRow="0" w:lastRow="0" w:firstColumn="0" w:lastColumn="0" w:oddVBand="1" w:evenVBand="0" w:oddHBand="0" w:evenHBand="0" w:firstRowFirstColumn="0" w:firstRowLastColumn="0" w:lastRowFirstColumn="0" w:lastRowLastColumn="0"/>
            <w:tcW w:w="998" w:type="dxa"/>
          </w:tcPr>
          <w:p w14:paraId="3A59F7BE" w14:textId="77777777" w:rsidR="00F05844" w:rsidRPr="0067507D" w:rsidRDefault="00F05844" w:rsidP="00F05844">
            <w:pPr>
              <w:pStyle w:val="Tabletextcentred"/>
            </w:pPr>
          </w:p>
        </w:tc>
        <w:tc>
          <w:tcPr>
            <w:cnfStyle w:val="000001000000" w:firstRow="0" w:lastRow="0" w:firstColumn="0" w:lastColumn="0" w:oddVBand="0" w:evenVBand="1" w:oddHBand="0" w:evenHBand="0" w:firstRowFirstColumn="0" w:firstRowLastColumn="0" w:lastRowFirstColumn="0" w:lastRowLastColumn="0"/>
            <w:tcW w:w="986" w:type="dxa"/>
          </w:tcPr>
          <w:p w14:paraId="2881FBA8"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986" w:type="dxa"/>
          </w:tcPr>
          <w:p w14:paraId="1DA02863" w14:textId="77777777" w:rsidR="00F05844" w:rsidRPr="0067507D" w:rsidRDefault="00F05844" w:rsidP="00F05844">
            <w:pPr>
              <w:pStyle w:val="Tabletextright"/>
            </w:pPr>
          </w:p>
        </w:tc>
        <w:tc>
          <w:tcPr>
            <w:cnfStyle w:val="000001000000" w:firstRow="0" w:lastRow="0" w:firstColumn="0" w:lastColumn="0" w:oddVBand="0" w:evenVBand="1" w:oddHBand="0" w:evenHBand="0" w:firstRowFirstColumn="0" w:firstRowLastColumn="0" w:lastRowFirstColumn="0" w:lastRowLastColumn="0"/>
            <w:tcW w:w="1350" w:type="dxa"/>
          </w:tcPr>
          <w:p w14:paraId="243A14F7"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900" w:type="dxa"/>
          </w:tcPr>
          <w:p w14:paraId="634307A4" w14:textId="77777777" w:rsidR="00F05844" w:rsidRPr="0067507D" w:rsidRDefault="00F05844" w:rsidP="00F05844">
            <w:pPr>
              <w:pStyle w:val="Tabletextright"/>
            </w:pPr>
          </w:p>
        </w:tc>
      </w:tr>
      <w:tr w:rsidR="00E26BDE" w:rsidRPr="0067507D" w14:paraId="6BC97B32"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30159457" w14:textId="62EA2D64" w:rsidR="00F05844" w:rsidRPr="0067507D" w:rsidRDefault="00F05844" w:rsidP="00F05844">
            <w:pPr>
              <w:pStyle w:val="Tabletext"/>
            </w:pPr>
            <w:r w:rsidRPr="0067507D">
              <w:t>Number of publications or discussion papers released</w:t>
            </w:r>
          </w:p>
        </w:tc>
        <w:tc>
          <w:tcPr>
            <w:cnfStyle w:val="000010000000" w:firstRow="0" w:lastRow="0" w:firstColumn="0" w:lastColumn="0" w:oddVBand="1" w:evenVBand="0" w:oddHBand="0" w:evenHBand="0" w:firstRowFirstColumn="0" w:firstRowLastColumn="0" w:lastRowFirstColumn="0" w:lastRowLastColumn="0"/>
            <w:tcW w:w="998" w:type="dxa"/>
          </w:tcPr>
          <w:p w14:paraId="46E88D4B" w14:textId="4CDC49FE" w:rsidR="00F05844" w:rsidRPr="0067507D" w:rsidRDefault="00F05844" w:rsidP="00F05844">
            <w:pPr>
              <w:pStyle w:val="Tabletextcentred"/>
            </w:pPr>
            <w:r w:rsidRPr="0067507D">
              <w:t>number</w:t>
            </w:r>
          </w:p>
        </w:tc>
        <w:tc>
          <w:tcPr>
            <w:cnfStyle w:val="000001000000" w:firstRow="0" w:lastRow="0" w:firstColumn="0" w:lastColumn="0" w:oddVBand="0" w:evenVBand="1" w:oddHBand="0" w:evenHBand="0" w:firstRowFirstColumn="0" w:firstRowLastColumn="0" w:lastRowFirstColumn="0" w:lastRowLastColumn="0"/>
            <w:tcW w:w="986" w:type="dxa"/>
          </w:tcPr>
          <w:p w14:paraId="62815F38" w14:textId="7C63F8E5" w:rsidR="00F05844" w:rsidRPr="0067507D" w:rsidRDefault="00F6097F" w:rsidP="00F05844">
            <w:pPr>
              <w:pStyle w:val="Tabletextright"/>
            </w:pPr>
            <w:r w:rsidRPr="0067507D">
              <w:t>6</w:t>
            </w:r>
          </w:p>
        </w:tc>
        <w:tc>
          <w:tcPr>
            <w:cnfStyle w:val="000010000000" w:firstRow="0" w:lastRow="0" w:firstColumn="0" w:lastColumn="0" w:oddVBand="1" w:evenVBand="0" w:oddHBand="0" w:evenHBand="0" w:firstRowFirstColumn="0" w:firstRowLastColumn="0" w:lastRowFirstColumn="0" w:lastRowLastColumn="0"/>
            <w:tcW w:w="986" w:type="dxa"/>
          </w:tcPr>
          <w:p w14:paraId="182ED38B" w14:textId="3A0F67FF" w:rsidR="00F05844" w:rsidRPr="0067507D" w:rsidRDefault="00F05844" w:rsidP="00F05844">
            <w:pPr>
              <w:pStyle w:val="Tabletextright"/>
            </w:pPr>
            <w:r w:rsidRPr="0067507D">
              <w:t>6</w:t>
            </w:r>
          </w:p>
        </w:tc>
        <w:tc>
          <w:tcPr>
            <w:cnfStyle w:val="000001000000" w:firstRow="0" w:lastRow="0" w:firstColumn="0" w:lastColumn="0" w:oddVBand="0" w:evenVBand="1" w:oddHBand="0" w:evenHBand="0" w:firstRowFirstColumn="0" w:firstRowLastColumn="0" w:lastRowFirstColumn="0" w:lastRowLastColumn="0"/>
            <w:tcW w:w="1350" w:type="dxa"/>
          </w:tcPr>
          <w:p w14:paraId="57763A0F" w14:textId="3F973495" w:rsidR="00F05844" w:rsidRPr="0067507D" w:rsidRDefault="007533F6" w:rsidP="00F05844">
            <w:pPr>
              <w:pStyle w:val="Tabletextright"/>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00" w:type="dxa"/>
          </w:tcPr>
          <w:p w14:paraId="6D9E44FC" w14:textId="77777777" w:rsidR="00F05844" w:rsidRPr="0067507D" w:rsidRDefault="00F05844" w:rsidP="001857CC">
            <w:pPr>
              <w:pStyle w:val="TargetMet"/>
            </w:pPr>
          </w:p>
        </w:tc>
      </w:tr>
      <w:tr w:rsidR="00E26BDE" w:rsidRPr="0067507D" w14:paraId="3DB755AE"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2B880C8D" w14:textId="7C15697D" w:rsidR="00F05844" w:rsidRPr="0067507D" w:rsidRDefault="00F05844" w:rsidP="00F05844">
            <w:pPr>
              <w:pStyle w:val="Tabletextheadingleft"/>
              <w:rPr>
                <w:rFonts w:eastAsia="Garamond"/>
              </w:rPr>
            </w:pPr>
            <w:r w:rsidRPr="0067507D">
              <w:t>Quality</w:t>
            </w:r>
          </w:p>
        </w:tc>
        <w:tc>
          <w:tcPr>
            <w:cnfStyle w:val="000010000000" w:firstRow="0" w:lastRow="0" w:firstColumn="0" w:lastColumn="0" w:oddVBand="1" w:evenVBand="0" w:oddHBand="0" w:evenHBand="0" w:firstRowFirstColumn="0" w:firstRowLastColumn="0" w:lastRowFirstColumn="0" w:lastRowLastColumn="0"/>
            <w:tcW w:w="998" w:type="dxa"/>
          </w:tcPr>
          <w:p w14:paraId="1D56398B" w14:textId="77777777" w:rsidR="00F05844" w:rsidRPr="0067507D" w:rsidRDefault="00F05844" w:rsidP="00F05844">
            <w:pPr>
              <w:pStyle w:val="Tabletextcentred"/>
              <w:rPr>
                <w:rFonts w:eastAsia="Garamond"/>
              </w:rPr>
            </w:pPr>
          </w:p>
        </w:tc>
        <w:tc>
          <w:tcPr>
            <w:cnfStyle w:val="000001000000" w:firstRow="0" w:lastRow="0" w:firstColumn="0" w:lastColumn="0" w:oddVBand="0" w:evenVBand="1" w:oddHBand="0" w:evenHBand="0" w:firstRowFirstColumn="0" w:firstRowLastColumn="0" w:lastRowFirstColumn="0" w:lastRowLastColumn="0"/>
            <w:tcW w:w="986" w:type="dxa"/>
          </w:tcPr>
          <w:p w14:paraId="0FEA4571"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86" w:type="dxa"/>
          </w:tcPr>
          <w:p w14:paraId="2976BF84" w14:textId="77777777" w:rsidR="00F05844" w:rsidRPr="0067507D" w:rsidRDefault="00F05844" w:rsidP="00F05844">
            <w:pPr>
              <w:pStyle w:val="Tabletextright"/>
              <w:rPr>
                <w:rFonts w:eastAsia="Garamond"/>
              </w:rPr>
            </w:pPr>
          </w:p>
        </w:tc>
        <w:tc>
          <w:tcPr>
            <w:cnfStyle w:val="000001000000" w:firstRow="0" w:lastRow="0" w:firstColumn="0" w:lastColumn="0" w:oddVBand="0" w:evenVBand="1" w:oddHBand="0" w:evenHBand="0" w:firstRowFirstColumn="0" w:firstRowLastColumn="0" w:lastRowFirstColumn="0" w:lastRowLastColumn="0"/>
            <w:tcW w:w="1350" w:type="dxa"/>
          </w:tcPr>
          <w:p w14:paraId="4B9DFF06"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00" w:type="dxa"/>
          </w:tcPr>
          <w:p w14:paraId="074D5B61" w14:textId="77777777" w:rsidR="00F05844" w:rsidRPr="0067507D" w:rsidRDefault="00F05844" w:rsidP="00F05844">
            <w:pPr>
              <w:pStyle w:val="Tabletextright"/>
              <w:rPr>
                <w:rFonts w:eastAsia="Garamond"/>
              </w:rPr>
            </w:pPr>
          </w:p>
        </w:tc>
      </w:tr>
      <w:tr w:rsidR="00E26BDE" w:rsidRPr="0067507D" w14:paraId="158E6D49"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0DF82A25" w14:textId="77777777" w:rsidR="00F05844" w:rsidRPr="0067507D" w:rsidRDefault="00F05844" w:rsidP="00F05844">
            <w:pPr>
              <w:pStyle w:val="Tabletext"/>
            </w:pPr>
            <w:r w:rsidRPr="0067507D">
              <w:t>Stakeholder satisfaction with consultation process</w:t>
            </w:r>
          </w:p>
          <w:p w14:paraId="3D5ECBF4" w14:textId="4D89A475" w:rsidR="00F05844" w:rsidRPr="0067507D" w:rsidRDefault="003D3C2B" w:rsidP="00A32BDB">
            <w:pPr>
              <w:pStyle w:val="Tabletextnotes"/>
              <w:rPr>
                <w:rFonts w:eastAsia="Garamond"/>
              </w:rPr>
            </w:pPr>
            <w:r w:rsidRPr="0067507D">
              <w:rPr>
                <w:rFonts w:eastAsia="Garamond"/>
              </w:rPr>
              <w:t>The 2024</w:t>
            </w:r>
            <w:r w:rsidR="006A5485">
              <w:rPr>
                <w:rFonts w:eastAsia="Garamond"/>
              </w:rPr>
              <w:noBreakHyphen/>
            </w:r>
            <w:r w:rsidRPr="0067507D">
              <w:rPr>
                <w:rFonts w:eastAsia="Garamond"/>
              </w:rPr>
              <w:t>25 actual is higher than the target as Infrastructure Victoria consistently performs strongly in relation to stakeholder satisfaction.</w:t>
            </w:r>
          </w:p>
        </w:tc>
        <w:tc>
          <w:tcPr>
            <w:cnfStyle w:val="000010000000" w:firstRow="0" w:lastRow="0" w:firstColumn="0" w:lastColumn="0" w:oddVBand="1" w:evenVBand="0" w:oddHBand="0" w:evenHBand="0" w:firstRowFirstColumn="0" w:firstRowLastColumn="0" w:lastRowFirstColumn="0" w:lastRowLastColumn="0"/>
            <w:tcW w:w="998" w:type="dxa"/>
          </w:tcPr>
          <w:p w14:paraId="78C31E03" w14:textId="3EDE4C0E" w:rsidR="00F05844" w:rsidRPr="0067507D" w:rsidRDefault="00F05844" w:rsidP="00F05844">
            <w:pPr>
              <w:pStyle w:val="Tabletextcentred"/>
              <w:rPr>
                <w:rFonts w:eastAsia="Garamond"/>
              </w:rPr>
            </w:pPr>
            <w:r w:rsidRPr="0067507D">
              <w:t>per cent</w:t>
            </w:r>
          </w:p>
        </w:tc>
        <w:tc>
          <w:tcPr>
            <w:cnfStyle w:val="000001000000" w:firstRow="0" w:lastRow="0" w:firstColumn="0" w:lastColumn="0" w:oddVBand="0" w:evenVBand="1" w:oddHBand="0" w:evenHBand="0" w:firstRowFirstColumn="0" w:firstRowLastColumn="0" w:lastRowFirstColumn="0" w:lastRowLastColumn="0"/>
            <w:tcW w:w="986" w:type="dxa"/>
          </w:tcPr>
          <w:p w14:paraId="70635924" w14:textId="3507858F" w:rsidR="00F05844" w:rsidRPr="0067507D" w:rsidRDefault="00F6097F" w:rsidP="00F05844">
            <w:pPr>
              <w:pStyle w:val="Tabletextright"/>
              <w:rPr>
                <w:rFonts w:eastAsia="Garamond"/>
              </w:rPr>
            </w:pPr>
            <w:r w:rsidRPr="0067507D">
              <w:rPr>
                <w:rFonts w:eastAsia="Garamond"/>
              </w:rPr>
              <w:t>86</w:t>
            </w:r>
          </w:p>
        </w:tc>
        <w:tc>
          <w:tcPr>
            <w:cnfStyle w:val="000010000000" w:firstRow="0" w:lastRow="0" w:firstColumn="0" w:lastColumn="0" w:oddVBand="1" w:evenVBand="0" w:oddHBand="0" w:evenHBand="0" w:firstRowFirstColumn="0" w:firstRowLastColumn="0" w:lastRowFirstColumn="0" w:lastRowLastColumn="0"/>
            <w:tcW w:w="986" w:type="dxa"/>
          </w:tcPr>
          <w:p w14:paraId="2E5FA441" w14:textId="7118840F" w:rsidR="00F05844" w:rsidRPr="0067507D" w:rsidRDefault="00F05844" w:rsidP="00F05844">
            <w:pPr>
              <w:pStyle w:val="Tabletextright"/>
              <w:rPr>
                <w:rFonts w:eastAsia="Garamond"/>
              </w:rPr>
            </w:pPr>
            <w:r w:rsidRPr="0067507D">
              <w:t>75</w:t>
            </w:r>
          </w:p>
        </w:tc>
        <w:tc>
          <w:tcPr>
            <w:cnfStyle w:val="000001000000" w:firstRow="0" w:lastRow="0" w:firstColumn="0" w:lastColumn="0" w:oddVBand="0" w:evenVBand="1" w:oddHBand="0" w:evenHBand="0" w:firstRowFirstColumn="0" w:firstRowLastColumn="0" w:lastRowFirstColumn="0" w:lastRowLastColumn="0"/>
            <w:tcW w:w="1350" w:type="dxa"/>
          </w:tcPr>
          <w:p w14:paraId="262D13ED" w14:textId="6E6058B5" w:rsidR="00F05844" w:rsidRPr="0067507D" w:rsidRDefault="005F267A" w:rsidP="00F05844">
            <w:pPr>
              <w:pStyle w:val="Tabletextright"/>
              <w:rPr>
                <w:rFonts w:eastAsia="Garamond"/>
              </w:rPr>
            </w:pPr>
            <w:r w:rsidRPr="0067507D">
              <w:rPr>
                <w:rFonts w:eastAsia="Garamond"/>
              </w:rPr>
              <w:t>15</w:t>
            </w:r>
          </w:p>
        </w:tc>
        <w:tc>
          <w:tcPr>
            <w:cnfStyle w:val="000010000000" w:firstRow="0" w:lastRow="0" w:firstColumn="0" w:lastColumn="0" w:oddVBand="1" w:evenVBand="0" w:oddHBand="0" w:evenHBand="0" w:firstRowFirstColumn="0" w:firstRowLastColumn="0" w:lastRowFirstColumn="0" w:lastRowLastColumn="0"/>
            <w:tcW w:w="900" w:type="dxa"/>
          </w:tcPr>
          <w:p w14:paraId="2A623B6C" w14:textId="77777777" w:rsidR="00F05844" w:rsidRPr="0067507D" w:rsidRDefault="00F05844" w:rsidP="001857CC">
            <w:pPr>
              <w:pStyle w:val="TargetMet"/>
              <w:rPr>
                <w:rFonts w:eastAsia="Garamond"/>
              </w:rPr>
            </w:pPr>
          </w:p>
        </w:tc>
      </w:tr>
      <w:tr w:rsidR="00E26BDE" w:rsidRPr="0067507D" w14:paraId="715C9F09"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14035533" w14:textId="548F1E85" w:rsidR="00F05844" w:rsidRPr="0067507D" w:rsidRDefault="00F05844" w:rsidP="00F05844">
            <w:pPr>
              <w:pStyle w:val="Tabletextheadingleft"/>
              <w:rPr>
                <w:rFonts w:eastAsia="Garamond"/>
              </w:rPr>
            </w:pPr>
            <w:r w:rsidRPr="0067507D">
              <w:t>Timeliness</w:t>
            </w:r>
          </w:p>
        </w:tc>
        <w:tc>
          <w:tcPr>
            <w:cnfStyle w:val="000010000000" w:firstRow="0" w:lastRow="0" w:firstColumn="0" w:lastColumn="0" w:oddVBand="1" w:evenVBand="0" w:oddHBand="0" w:evenHBand="0" w:firstRowFirstColumn="0" w:firstRowLastColumn="0" w:lastRowFirstColumn="0" w:lastRowLastColumn="0"/>
            <w:tcW w:w="998" w:type="dxa"/>
          </w:tcPr>
          <w:p w14:paraId="5EE84A89" w14:textId="77777777" w:rsidR="00F05844" w:rsidRPr="0067507D" w:rsidRDefault="00F05844" w:rsidP="00F05844">
            <w:pPr>
              <w:pStyle w:val="Tabletextcentred"/>
              <w:rPr>
                <w:rFonts w:ascii="Calibri" w:eastAsia="Garamond" w:hAnsi="Calibri"/>
                <w:sz w:val="17"/>
              </w:rPr>
            </w:pPr>
          </w:p>
        </w:tc>
        <w:tc>
          <w:tcPr>
            <w:cnfStyle w:val="000001000000" w:firstRow="0" w:lastRow="0" w:firstColumn="0" w:lastColumn="0" w:oddVBand="0" w:evenVBand="1" w:oddHBand="0" w:evenHBand="0" w:firstRowFirstColumn="0" w:firstRowLastColumn="0" w:lastRowFirstColumn="0" w:lastRowLastColumn="0"/>
            <w:tcW w:w="986" w:type="dxa"/>
          </w:tcPr>
          <w:p w14:paraId="10804EC7"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86" w:type="dxa"/>
          </w:tcPr>
          <w:p w14:paraId="255AD613" w14:textId="77777777" w:rsidR="00F05844" w:rsidRPr="0067507D" w:rsidRDefault="00F05844" w:rsidP="00F05844">
            <w:pPr>
              <w:pStyle w:val="Tabletextright"/>
              <w:rPr>
                <w:rFonts w:eastAsia="Garamond"/>
              </w:rPr>
            </w:pPr>
          </w:p>
        </w:tc>
        <w:tc>
          <w:tcPr>
            <w:cnfStyle w:val="000001000000" w:firstRow="0" w:lastRow="0" w:firstColumn="0" w:lastColumn="0" w:oddVBand="0" w:evenVBand="1" w:oddHBand="0" w:evenHBand="0" w:firstRowFirstColumn="0" w:firstRowLastColumn="0" w:lastRowFirstColumn="0" w:lastRowLastColumn="0"/>
            <w:tcW w:w="1350" w:type="dxa"/>
          </w:tcPr>
          <w:p w14:paraId="28D37012"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00" w:type="dxa"/>
          </w:tcPr>
          <w:p w14:paraId="527F1BDC" w14:textId="77777777" w:rsidR="00F05844" w:rsidRPr="0067507D" w:rsidRDefault="00F05844" w:rsidP="00F05844">
            <w:pPr>
              <w:pStyle w:val="Tabletextright"/>
              <w:rPr>
                <w:rFonts w:eastAsia="Garamond"/>
              </w:rPr>
            </w:pPr>
          </w:p>
        </w:tc>
      </w:tr>
      <w:tr w:rsidR="00E26BDE" w:rsidRPr="0067507D" w14:paraId="62A34413"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094E0D7D" w14:textId="1192C3E3" w:rsidR="00F05844" w:rsidRPr="0067507D" w:rsidRDefault="00F05844" w:rsidP="00F05844">
            <w:pPr>
              <w:pStyle w:val="Tabletext"/>
            </w:pPr>
            <w:r w:rsidRPr="0067507D">
              <w:t>Delivery of research, advisory or infrastructure strategies within agreed timelines</w:t>
            </w:r>
          </w:p>
        </w:tc>
        <w:tc>
          <w:tcPr>
            <w:cnfStyle w:val="000010000000" w:firstRow="0" w:lastRow="0" w:firstColumn="0" w:lastColumn="0" w:oddVBand="1" w:evenVBand="0" w:oddHBand="0" w:evenHBand="0" w:firstRowFirstColumn="0" w:firstRowLastColumn="0" w:lastRowFirstColumn="0" w:lastRowLastColumn="0"/>
            <w:tcW w:w="998" w:type="dxa"/>
          </w:tcPr>
          <w:p w14:paraId="12683992" w14:textId="4671A0B3" w:rsidR="00F05844" w:rsidRPr="0067507D" w:rsidRDefault="00F05844" w:rsidP="00F05844">
            <w:pPr>
              <w:pStyle w:val="Tabletextcentred"/>
              <w:rPr>
                <w:rFonts w:ascii="Calibri" w:eastAsia="Garamond" w:hAnsi="Calibri"/>
                <w:sz w:val="17"/>
              </w:rPr>
            </w:pPr>
            <w:r w:rsidRPr="0067507D">
              <w:t>per cent</w:t>
            </w:r>
          </w:p>
        </w:tc>
        <w:tc>
          <w:tcPr>
            <w:cnfStyle w:val="000001000000" w:firstRow="0" w:lastRow="0" w:firstColumn="0" w:lastColumn="0" w:oddVBand="0" w:evenVBand="1" w:oddHBand="0" w:evenHBand="0" w:firstRowFirstColumn="0" w:firstRowLastColumn="0" w:lastRowFirstColumn="0" w:lastRowLastColumn="0"/>
            <w:tcW w:w="986" w:type="dxa"/>
          </w:tcPr>
          <w:p w14:paraId="4375629E" w14:textId="76C26D15" w:rsidR="00F05844" w:rsidRPr="0067507D" w:rsidRDefault="00845AC9" w:rsidP="00F05844">
            <w:pPr>
              <w:pStyle w:val="Tabletextright"/>
              <w:rPr>
                <w:rFonts w:eastAsia="Garamond"/>
              </w:rPr>
            </w:pPr>
            <w:r w:rsidRPr="0067507D">
              <w:rPr>
                <w:rFonts w:eastAsia="Garamond"/>
              </w:rPr>
              <w:t>100</w:t>
            </w:r>
          </w:p>
        </w:tc>
        <w:tc>
          <w:tcPr>
            <w:cnfStyle w:val="000010000000" w:firstRow="0" w:lastRow="0" w:firstColumn="0" w:lastColumn="0" w:oddVBand="1" w:evenVBand="0" w:oddHBand="0" w:evenHBand="0" w:firstRowFirstColumn="0" w:firstRowLastColumn="0" w:lastRowFirstColumn="0" w:lastRowLastColumn="0"/>
            <w:tcW w:w="986" w:type="dxa"/>
          </w:tcPr>
          <w:p w14:paraId="0955134E" w14:textId="102EC693" w:rsidR="00F05844" w:rsidRPr="0067507D" w:rsidRDefault="00F05844" w:rsidP="00F05844">
            <w:pPr>
              <w:pStyle w:val="Tabletextright"/>
              <w:rPr>
                <w:rFonts w:eastAsia="Garamond"/>
              </w:rPr>
            </w:pPr>
            <w:r w:rsidRPr="0067507D">
              <w:t>100</w:t>
            </w:r>
          </w:p>
        </w:tc>
        <w:tc>
          <w:tcPr>
            <w:cnfStyle w:val="000001000000" w:firstRow="0" w:lastRow="0" w:firstColumn="0" w:lastColumn="0" w:oddVBand="0" w:evenVBand="1" w:oddHBand="0" w:evenHBand="0" w:firstRowFirstColumn="0" w:firstRowLastColumn="0" w:lastRowFirstColumn="0" w:lastRowLastColumn="0"/>
            <w:tcW w:w="1350" w:type="dxa"/>
          </w:tcPr>
          <w:p w14:paraId="1FD24AE4" w14:textId="0F654ED0" w:rsidR="00F05844" w:rsidRPr="0067507D" w:rsidRDefault="007533F6" w:rsidP="00F05844">
            <w:pPr>
              <w:pStyle w:val="Tabletextright"/>
              <w:rPr>
                <w:rFonts w:eastAsia="Garamond"/>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00" w:type="dxa"/>
          </w:tcPr>
          <w:p w14:paraId="618FBF1A" w14:textId="77777777" w:rsidR="00F05844" w:rsidRPr="0067507D" w:rsidRDefault="00F05844" w:rsidP="001857CC">
            <w:pPr>
              <w:pStyle w:val="TargetMet"/>
              <w:rPr>
                <w:rFonts w:eastAsia="Garamond"/>
              </w:rPr>
            </w:pPr>
          </w:p>
        </w:tc>
      </w:tr>
      <w:tr w:rsidR="00E26BDE" w:rsidRPr="0067507D" w14:paraId="5E5078EA"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2C7781DE" w14:textId="6D84BD2E" w:rsidR="00F05844" w:rsidRPr="0067507D" w:rsidRDefault="00F05844" w:rsidP="00F05844">
            <w:pPr>
              <w:pStyle w:val="Tabletextheadingleft"/>
              <w:rPr>
                <w:rFonts w:eastAsia="Garamond"/>
              </w:rPr>
            </w:pPr>
            <w:r w:rsidRPr="0067507D">
              <w:t>Cost</w:t>
            </w:r>
          </w:p>
        </w:tc>
        <w:tc>
          <w:tcPr>
            <w:cnfStyle w:val="000010000000" w:firstRow="0" w:lastRow="0" w:firstColumn="0" w:lastColumn="0" w:oddVBand="1" w:evenVBand="0" w:oddHBand="0" w:evenHBand="0" w:firstRowFirstColumn="0" w:firstRowLastColumn="0" w:lastRowFirstColumn="0" w:lastRowLastColumn="0"/>
            <w:tcW w:w="998" w:type="dxa"/>
          </w:tcPr>
          <w:p w14:paraId="7FBDE9E0" w14:textId="77777777" w:rsidR="00F05844" w:rsidRPr="0067507D" w:rsidRDefault="00F05844" w:rsidP="00F05844">
            <w:pPr>
              <w:pStyle w:val="Tabletextcentred"/>
              <w:rPr>
                <w:rFonts w:ascii="Calibri" w:eastAsia="Garamond" w:hAnsi="Calibri"/>
                <w:sz w:val="17"/>
              </w:rPr>
            </w:pPr>
          </w:p>
        </w:tc>
        <w:tc>
          <w:tcPr>
            <w:cnfStyle w:val="000001000000" w:firstRow="0" w:lastRow="0" w:firstColumn="0" w:lastColumn="0" w:oddVBand="0" w:evenVBand="1" w:oddHBand="0" w:evenHBand="0" w:firstRowFirstColumn="0" w:firstRowLastColumn="0" w:lastRowFirstColumn="0" w:lastRowLastColumn="0"/>
            <w:tcW w:w="986" w:type="dxa"/>
          </w:tcPr>
          <w:p w14:paraId="33C23A7A"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86" w:type="dxa"/>
          </w:tcPr>
          <w:p w14:paraId="3D4A16CA" w14:textId="77777777" w:rsidR="00F05844" w:rsidRPr="0067507D" w:rsidRDefault="00F05844" w:rsidP="00F05844">
            <w:pPr>
              <w:pStyle w:val="Tabletextright"/>
              <w:rPr>
                <w:rFonts w:eastAsia="Garamond"/>
              </w:rPr>
            </w:pPr>
          </w:p>
        </w:tc>
        <w:tc>
          <w:tcPr>
            <w:cnfStyle w:val="000001000000" w:firstRow="0" w:lastRow="0" w:firstColumn="0" w:lastColumn="0" w:oddVBand="0" w:evenVBand="1" w:oddHBand="0" w:evenHBand="0" w:firstRowFirstColumn="0" w:firstRowLastColumn="0" w:lastRowFirstColumn="0" w:lastRowLastColumn="0"/>
            <w:tcW w:w="1350" w:type="dxa"/>
          </w:tcPr>
          <w:p w14:paraId="5E590D43" w14:textId="77777777" w:rsidR="00F05844" w:rsidRPr="0067507D" w:rsidRDefault="00F05844" w:rsidP="00F05844">
            <w:pPr>
              <w:pStyle w:val="Tabletextright"/>
              <w:rPr>
                <w:rFonts w:eastAsia="Garamond"/>
              </w:rPr>
            </w:pPr>
          </w:p>
        </w:tc>
        <w:tc>
          <w:tcPr>
            <w:cnfStyle w:val="000010000000" w:firstRow="0" w:lastRow="0" w:firstColumn="0" w:lastColumn="0" w:oddVBand="1" w:evenVBand="0" w:oddHBand="0" w:evenHBand="0" w:firstRowFirstColumn="0" w:firstRowLastColumn="0" w:lastRowFirstColumn="0" w:lastRowLastColumn="0"/>
            <w:tcW w:w="900" w:type="dxa"/>
          </w:tcPr>
          <w:p w14:paraId="195EA0EE" w14:textId="77777777" w:rsidR="00F05844" w:rsidRPr="0067507D" w:rsidRDefault="00F05844" w:rsidP="00F05844">
            <w:pPr>
              <w:pStyle w:val="Tabletextright"/>
              <w:rPr>
                <w:rFonts w:eastAsia="Garamond"/>
              </w:rPr>
            </w:pPr>
          </w:p>
        </w:tc>
      </w:tr>
      <w:tr w:rsidR="00E26BDE" w:rsidRPr="0067507D" w14:paraId="3050301E" w14:textId="77777777" w:rsidTr="00D609F5">
        <w:tc>
          <w:tcPr>
            <w:cnfStyle w:val="001000000000" w:firstRow="0" w:lastRow="0" w:firstColumn="1" w:lastColumn="0" w:oddVBand="0" w:evenVBand="0" w:oddHBand="0" w:evenHBand="0" w:firstRowFirstColumn="0" w:firstRowLastColumn="0" w:lastRowFirstColumn="0" w:lastRowLastColumn="0"/>
            <w:tcW w:w="3690" w:type="dxa"/>
          </w:tcPr>
          <w:p w14:paraId="503B9A86" w14:textId="185A8E5E" w:rsidR="00F05844" w:rsidRPr="0067507D" w:rsidRDefault="00F05844" w:rsidP="00F05844">
            <w:pPr>
              <w:pStyle w:val="Tabletext"/>
              <w:rPr>
                <w:rFonts w:eastAsia="Garamond"/>
              </w:rPr>
            </w:pPr>
            <w:r w:rsidRPr="0067507D">
              <w:t>Total output cost</w:t>
            </w:r>
          </w:p>
        </w:tc>
        <w:tc>
          <w:tcPr>
            <w:cnfStyle w:val="000010000000" w:firstRow="0" w:lastRow="0" w:firstColumn="0" w:lastColumn="0" w:oddVBand="1" w:evenVBand="0" w:oddHBand="0" w:evenHBand="0" w:firstRowFirstColumn="0" w:firstRowLastColumn="0" w:lastRowFirstColumn="0" w:lastRowLastColumn="0"/>
            <w:tcW w:w="998" w:type="dxa"/>
          </w:tcPr>
          <w:p w14:paraId="19A3E7A4" w14:textId="65145AFA" w:rsidR="00F05844" w:rsidRPr="0067507D" w:rsidRDefault="00F05844" w:rsidP="00F05844">
            <w:pPr>
              <w:pStyle w:val="Tabletextcentred"/>
              <w:rPr>
                <w:rFonts w:eastAsia="Garamond"/>
              </w:rPr>
            </w:pPr>
            <w:r w:rsidRPr="0067507D">
              <w:t>$ million</w:t>
            </w:r>
          </w:p>
        </w:tc>
        <w:tc>
          <w:tcPr>
            <w:cnfStyle w:val="000001000000" w:firstRow="0" w:lastRow="0" w:firstColumn="0" w:lastColumn="0" w:oddVBand="0" w:evenVBand="1" w:oddHBand="0" w:evenHBand="0" w:firstRowFirstColumn="0" w:firstRowLastColumn="0" w:lastRowFirstColumn="0" w:lastRowLastColumn="0"/>
            <w:tcW w:w="986" w:type="dxa"/>
          </w:tcPr>
          <w:p w14:paraId="3FFA33B4" w14:textId="4256C2D9" w:rsidR="00F05844" w:rsidRPr="0067507D" w:rsidRDefault="00F51F50" w:rsidP="00F05844">
            <w:pPr>
              <w:pStyle w:val="Tabletextright"/>
              <w:rPr>
                <w:rFonts w:eastAsia="Garamond"/>
                <w:szCs w:val="24"/>
              </w:rPr>
            </w:pPr>
            <w:r w:rsidRPr="0067507D">
              <w:rPr>
                <w:rFonts w:eastAsia="Garamond"/>
                <w:szCs w:val="24"/>
              </w:rPr>
              <w:t>9</w:t>
            </w:r>
          </w:p>
        </w:tc>
        <w:tc>
          <w:tcPr>
            <w:cnfStyle w:val="000010000000" w:firstRow="0" w:lastRow="0" w:firstColumn="0" w:lastColumn="0" w:oddVBand="1" w:evenVBand="0" w:oddHBand="0" w:evenHBand="0" w:firstRowFirstColumn="0" w:firstRowLastColumn="0" w:lastRowFirstColumn="0" w:lastRowLastColumn="0"/>
            <w:tcW w:w="986" w:type="dxa"/>
          </w:tcPr>
          <w:p w14:paraId="7C9E51E9" w14:textId="58F316D0" w:rsidR="00F05844" w:rsidRPr="0067507D" w:rsidRDefault="00F05844" w:rsidP="00F05844">
            <w:pPr>
              <w:pStyle w:val="Tabletextright"/>
              <w:rPr>
                <w:rFonts w:eastAsia="Garamond"/>
                <w:szCs w:val="24"/>
              </w:rPr>
            </w:pPr>
            <w:r w:rsidRPr="0067507D">
              <w:t>9.2</w:t>
            </w:r>
          </w:p>
        </w:tc>
        <w:tc>
          <w:tcPr>
            <w:cnfStyle w:val="000001000000" w:firstRow="0" w:lastRow="0" w:firstColumn="0" w:lastColumn="0" w:oddVBand="0" w:evenVBand="1" w:oddHBand="0" w:evenHBand="0" w:firstRowFirstColumn="0" w:firstRowLastColumn="0" w:lastRowFirstColumn="0" w:lastRowLastColumn="0"/>
            <w:tcW w:w="1350" w:type="dxa"/>
          </w:tcPr>
          <w:p w14:paraId="60B94975" w14:textId="2AEB610A" w:rsidR="00F05844" w:rsidRPr="0067507D" w:rsidRDefault="004F4476" w:rsidP="00F05844">
            <w:pPr>
              <w:pStyle w:val="Tabletextright"/>
              <w:rPr>
                <w:rFonts w:eastAsia="Garamond"/>
                <w:szCs w:val="24"/>
              </w:rPr>
            </w:pPr>
            <w:r>
              <w:rPr>
                <w:rFonts w:eastAsia="Garamond"/>
                <w:szCs w:val="24"/>
              </w:rPr>
              <w:t>-</w:t>
            </w:r>
            <w:r w:rsidR="006F11EF" w:rsidRPr="0067507D">
              <w:rPr>
                <w:rFonts w:eastAsia="Garamond"/>
                <w:szCs w:val="24"/>
              </w:rPr>
              <w:t>2.2</w:t>
            </w:r>
          </w:p>
        </w:tc>
        <w:tc>
          <w:tcPr>
            <w:cnfStyle w:val="000010000000" w:firstRow="0" w:lastRow="0" w:firstColumn="0" w:lastColumn="0" w:oddVBand="1" w:evenVBand="0" w:oddHBand="0" w:evenHBand="0" w:firstRowFirstColumn="0" w:firstRowLastColumn="0" w:lastRowFirstColumn="0" w:lastRowLastColumn="0"/>
            <w:tcW w:w="900" w:type="dxa"/>
          </w:tcPr>
          <w:p w14:paraId="3F440A69" w14:textId="1F0544E8" w:rsidR="00F05844" w:rsidRPr="0067507D" w:rsidRDefault="00F05844" w:rsidP="004956C8">
            <w:pPr>
              <w:pStyle w:val="TargetMet"/>
              <w:rPr>
                <w:rFonts w:eastAsia="Garamond"/>
              </w:rPr>
            </w:pPr>
          </w:p>
        </w:tc>
      </w:tr>
    </w:tbl>
    <w:p w14:paraId="7324AA39" w14:textId="77777777" w:rsidR="005E6D06" w:rsidRPr="0067507D" w:rsidRDefault="005E6D06" w:rsidP="005E6D06">
      <w:pPr>
        <w:pStyle w:val="Spacer"/>
      </w:pPr>
    </w:p>
    <w:bookmarkEnd w:id="27"/>
    <w:p w14:paraId="6FDA0FD6" w14:textId="77777777" w:rsidR="00FB0315" w:rsidRPr="0067507D" w:rsidRDefault="00FB0315" w:rsidP="00FB0315">
      <w:pPr>
        <w:rPr>
          <w:rFonts w:eastAsiaTheme="minorHAnsi"/>
        </w:rPr>
      </w:pPr>
    </w:p>
    <w:p w14:paraId="0BD08037" w14:textId="365D19D3" w:rsidR="00A41A9A" w:rsidRPr="0067507D" w:rsidRDefault="00A41A9A" w:rsidP="00260A41">
      <w:pPr>
        <w:pStyle w:val="Heading2"/>
        <w:pageBreakBefore/>
      </w:pPr>
      <w:r w:rsidRPr="0067507D">
        <w:lastRenderedPageBreak/>
        <w:t xml:space="preserve">Strengthen Victoria’s economic performance through fair, equitable and productive workplaces </w:t>
      </w:r>
    </w:p>
    <w:p w14:paraId="5B07A6A4" w14:textId="77777777" w:rsidR="00A41A9A" w:rsidRPr="0067507D" w:rsidRDefault="00A41A9A" w:rsidP="00A41A9A">
      <w:r w:rsidRPr="0067507D">
        <w:t xml:space="preserve">Under this objective, the Department delivers strategic industrial relations legislative, policy and technical advice to the Government and departments. The Department develops and reviews regulatory frameworks to support a positive industrial relations environment and promotes fair and productive workplaces, secure work and gender pay equity. </w:t>
      </w:r>
    </w:p>
    <w:p w14:paraId="20589215" w14:textId="38F99CF8" w:rsidR="00A41A9A" w:rsidRPr="0067507D" w:rsidRDefault="00A41A9A" w:rsidP="00A41A9A">
      <w:r w:rsidRPr="0067507D">
        <w:t>The departmental objective indicator is:</w:t>
      </w:r>
    </w:p>
    <w:p w14:paraId="794B5D8C" w14:textId="40CDF087" w:rsidR="00E175B5" w:rsidRPr="0067507D" w:rsidRDefault="00E175B5" w:rsidP="004F6550">
      <w:pPr>
        <w:pStyle w:val="Bullet"/>
      </w:pPr>
      <w:r w:rsidRPr="0067507D">
        <w:t>advice contributes to the achievement of government policies and priorities relating to industrial relations outcomes.</w:t>
      </w:r>
    </w:p>
    <w:p w14:paraId="0AFBE1FC" w14:textId="77777777" w:rsidR="005F169F" w:rsidRPr="0067507D" w:rsidRDefault="005F169F" w:rsidP="005F169F"/>
    <w:p w14:paraId="339C58CD" w14:textId="52AB2C54" w:rsidR="00AA4068" w:rsidRPr="0067507D" w:rsidRDefault="00AA4068" w:rsidP="0080069B">
      <w:pPr>
        <w:pStyle w:val="Heading2"/>
      </w:pPr>
      <w:r w:rsidRPr="0067507D">
        <w:t>Industrial Relations</w:t>
      </w:r>
    </w:p>
    <w:p w14:paraId="79E8C189" w14:textId="017B9773" w:rsidR="00BF62B2" w:rsidRPr="0067507D" w:rsidRDefault="00F05844">
      <w:r w:rsidRPr="0067507D">
        <w:t>This output contributes to the promotion of fair jobs and a positive industrial relations environment through sound industrial relations policy and advice to government. This includes oversight of enterprise bargaining across the Victorian public sector and support for Victoria’s participation in the national workplace relations system.</w:t>
      </w:r>
    </w:p>
    <w:p w14:paraId="452CE640" w14:textId="77777777" w:rsidR="0081409F" w:rsidRPr="0067507D" w:rsidRDefault="0081409F" w:rsidP="0025640F">
      <w:pPr>
        <w:pStyle w:val="Notes"/>
      </w:pPr>
    </w:p>
    <w:tbl>
      <w:tblPr>
        <w:tblStyle w:val="TableGrid"/>
        <w:tblW w:w="0" w:type="auto"/>
        <w:tblLook w:val="02A0" w:firstRow="1" w:lastRow="0" w:firstColumn="1" w:lastColumn="0" w:noHBand="1" w:noVBand="0"/>
      </w:tblPr>
      <w:tblGrid>
        <w:gridCol w:w="3690"/>
        <w:gridCol w:w="998"/>
        <w:gridCol w:w="1031"/>
        <w:gridCol w:w="1031"/>
        <w:gridCol w:w="1259"/>
        <w:gridCol w:w="901"/>
      </w:tblGrid>
      <w:tr w:rsidR="00E26BDE" w:rsidRPr="0067507D" w14:paraId="41FCD814" w14:textId="77777777" w:rsidTr="007533F6">
        <w:trPr>
          <w:tblHeader/>
        </w:trPr>
        <w:tc>
          <w:tcPr>
            <w:cnfStyle w:val="001000000000" w:firstRow="0" w:lastRow="0" w:firstColumn="1" w:lastColumn="0" w:oddVBand="0" w:evenVBand="0" w:oddHBand="0" w:evenHBand="0" w:firstRowFirstColumn="0" w:firstRowLastColumn="0" w:lastRowFirstColumn="0" w:lastRowLastColumn="0"/>
            <w:tcW w:w="3690" w:type="dxa"/>
            <w:vAlign w:val="bottom"/>
          </w:tcPr>
          <w:p w14:paraId="5B2EAD9F" w14:textId="476BD6AB" w:rsidR="00AA4068" w:rsidRPr="0067507D" w:rsidRDefault="00AA4068" w:rsidP="005C1648">
            <w:pPr>
              <w:pStyle w:val="Tabletextheadingleft"/>
              <w:rPr>
                <w:szCs w:val="16"/>
              </w:rPr>
            </w:pPr>
            <w:r w:rsidRPr="0067507D">
              <w:rPr>
                <w:szCs w:val="16"/>
              </w:rPr>
              <w:t>Performance measures</w:t>
            </w:r>
          </w:p>
        </w:tc>
        <w:tc>
          <w:tcPr>
            <w:cnfStyle w:val="000010000000" w:firstRow="0" w:lastRow="0" w:firstColumn="0" w:lastColumn="0" w:oddVBand="1" w:evenVBand="0" w:oddHBand="0" w:evenHBand="0" w:firstRowFirstColumn="0" w:firstRowLastColumn="0" w:lastRowFirstColumn="0" w:lastRowLastColumn="0"/>
            <w:tcW w:w="998" w:type="dxa"/>
          </w:tcPr>
          <w:p w14:paraId="28C787CD" w14:textId="77777777" w:rsidR="00AA4068" w:rsidRPr="0067507D" w:rsidRDefault="00AA4068" w:rsidP="005C1648">
            <w:pPr>
              <w:pStyle w:val="Tabletextheadingcentred"/>
              <w:rPr>
                <w:szCs w:val="16"/>
              </w:rPr>
            </w:pPr>
            <w:r w:rsidRPr="0067507D">
              <w:rPr>
                <w:szCs w:val="16"/>
              </w:rPr>
              <w:t>Unit of measure</w:t>
            </w:r>
          </w:p>
        </w:tc>
        <w:tc>
          <w:tcPr>
            <w:cnfStyle w:val="000001000000" w:firstRow="0" w:lastRow="0" w:firstColumn="0" w:lastColumn="0" w:oddVBand="0" w:evenVBand="1" w:oddHBand="0" w:evenHBand="0" w:firstRowFirstColumn="0" w:firstRowLastColumn="0" w:lastRowFirstColumn="0" w:lastRowLastColumn="0"/>
            <w:tcW w:w="1031" w:type="dxa"/>
            <w:vAlign w:val="bottom"/>
          </w:tcPr>
          <w:p w14:paraId="09B1918D" w14:textId="50CFF6EB" w:rsidR="00AA4068" w:rsidRPr="0067507D" w:rsidRDefault="00C30F42" w:rsidP="005C1648">
            <w:pPr>
              <w:pStyle w:val="Tabletextheadingrightbold"/>
              <w:rPr>
                <w:szCs w:val="16"/>
              </w:rPr>
            </w:pPr>
            <w:r w:rsidRPr="0067507D">
              <w:rPr>
                <w:szCs w:val="16"/>
              </w:rPr>
              <w:t>2024</w:t>
            </w:r>
            <w:r w:rsidR="006A5485">
              <w:rPr>
                <w:szCs w:val="16"/>
              </w:rPr>
              <w:noBreakHyphen/>
            </w:r>
            <w:r w:rsidRPr="0067507D">
              <w:rPr>
                <w:szCs w:val="16"/>
              </w:rPr>
              <w:t>25</w:t>
            </w:r>
            <w:r w:rsidR="00AA4068" w:rsidRPr="0067507D">
              <w:rPr>
                <w:szCs w:val="16"/>
              </w:rPr>
              <w:t xml:space="preserve"> actual</w:t>
            </w:r>
          </w:p>
        </w:tc>
        <w:tc>
          <w:tcPr>
            <w:cnfStyle w:val="000010000000" w:firstRow="0" w:lastRow="0" w:firstColumn="0" w:lastColumn="0" w:oddVBand="1" w:evenVBand="0" w:oddHBand="0" w:evenHBand="0" w:firstRowFirstColumn="0" w:firstRowLastColumn="0" w:lastRowFirstColumn="0" w:lastRowLastColumn="0"/>
            <w:tcW w:w="1031" w:type="dxa"/>
            <w:vAlign w:val="bottom"/>
          </w:tcPr>
          <w:p w14:paraId="7C298C09" w14:textId="25D466D3" w:rsidR="00AA4068" w:rsidRPr="0067507D" w:rsidRDefault="00C30F42" w:rsidP="005C1648">
            <w:pPr>
              <w:pStyle w:val="Tabletextheadingrightbold"/>
              <w:rPr>
                <w:szCs w:val="16"/>
              </w:rPr>
            </w:pPr>
            <w:r w:rsidRPr="0067507D">
              <w:rPr>
                <w:szCs w:val="16"/>
              </w:rPr>
              <w:t>2024</w:t>
            </w:r>
            <w:r w:rsidR="006A5485">
              <w:rPr>
                <w:szCs w:val="16"/>
              </w:rPr>
              <w:noBreakHyphen/>
            </w:r>
            <w:r w:rsidRPr="0067507D">
              <w:rPr>
                <w:szCs w:val="16"/>
              </w:rPr>
              <w:t>25</w:t>
            </w:r>
            <w:r w:rsidR="00AA4068" w:rsidRPr="0067507D">
              <w:rPr>
                <w:szCs w:val="16"/>
              </w:rPr>
              <w:t xml:space="preserve"> target</w:t>
            </w:r>
          </w:p>
        </w:tc>
        <w:tc>
          <w:tcPr>
            <w:cnfStyle w:val="000001000000" w:firstRow="0" w:lastRow="0" w:firstColumn="0" w:lastColumn="0" w:oddVBand="0" w:evenVBand="1" w:oddHBand="0" w:evenHBand="0" w:firstRowFirstColumn="0" w:firstRowLastColumn="0" w:lastRowFirstColumn="0" w:lastRowLastColumn="0"/>
            <w:tcW w:w="1259" w:type="dxa"/>
            <w:vAlign w:val="bottom"/>
          </w:tcPr>
          <w:p w14:paraId="60EE2FDA" w14:textId="77777777" w:rsidR="00AA4068" w:rsidRPr="0067507D" w:rsidRDefault="00AA4068" w:rsidP="005C1648">
            <w:pPr>
              <w:pStyle w:val="Tabletextheadingright"/>
              <w:rPr>
                <w:szCs w:val="16"/>
              </w:rPr>
            </w:pPr>
            <w:r w:rsidRPr="0067507D">
              <w:rPr>
                <w:szCs w:val="16"/>
              </w:rPr>
              <w:t>Performance variation (%)</w:t>
            </w:r>
          </w:p>
        </w:tc>
        <w:tc>
          <w:tcPr>
            <w:cnfStyle w:val="000010000000" w:firstRow="0" w:lastRow="0" w:firstColumn="0" w:lastColumn="0" w:oddVBand="1" w:evenVBand="0" w:oddHBand="0" w:evenHBand="0" w:firstRowFirstColumn="0" w:firstRowLastColumn="0" w:lastRowFirstColumn="0" w:lastRowLastColumn="0"/>
            <w:tcW w:w="901" w:type="dxa"/>
            <w:vAlign w:val="bottom"/>
          </w:tcPr>
          <w:p w14:paraId="2CAE9E54" w14:textId="77777777" w:rsidR="00AA4068" w:rsidRPr="0067507D" w:rsidRDefault="00AA4068" w:rsidP="005C1648">
            <w:pPr>
              <w:pStyle w:val="Tabletextheadingrightbold"/>
              <w:rPr>
                <w:szCs w:val="16"/>
              </w:rPr>
            </w:pPr>
            <w:r w:rsidRPr="0067507D">
              <w:rPr>
                <w:szCs w:val="16"/>
              </w:rPr>
              <w:t xml:space="preserve">Result </w:t>
            </w:r>
          </w:p>
        </w:tc>
      </w:tr>
      <w:tr w:rsidR="00E26BDE" w:rsidRPr="0067507D" w14:paraId="4C08B161"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1BFA4FC2" w14:textId="39ED055B" w:rsidR="00F05844" w:rsidRPr="0067507D" w:rsidRDefault="00F05844" w:rsidP="00F05844">
            <w:pPr>
              <w:pStyle w:val="Tabletextheadingleft"/>
            </w:pPr>
            <w:r w:rsidRPr="0067507D">
              <w:rPr>
                <w:iCs/>
              </w:rPr>
              <w:t>Quantity</w:t>
            </w:r>
          </w:p>
        </w:tc>
        <w:tc>
          <w:tcPr>
            <w:cnfStyle w:val="000010000000" w:firstRow="0" w:lastRow="0" w:firstColumn="0" w:lastColumn="0" w:oddVBand="1" w:evenVBand="0" w:oddHBand="0" w:evenHBand="0" w:firstRowFirstColumn="0" w:firstRowLastColumn="0" w:lastRowFirstColumn="0" w:lastRowLastColumn="0"/>
            <w:tcW w:w="998" w:type="dxa"/>
          </w:tcPr>
          <w:p w14:paraId="6CD28CCE" w14:textId="77777777" w:rsidR="00F05844" w:rsidRPr="0067507D" w:rsidRDefault="00F05844" w:rsidP="00F05844">
            <w:pPr>
              <w:pStyle w:val="Tabletextcentred"/>
            </w:pPr>
          </w:p>
        </w:tc>
        <w:tc>
          <w:tcPr>
            <w:cnfStyle w:val="000001000000" w:firstRow="0" w:lastRow="0" w:firstColumn="0" w:lastColumn="0" w:oddVBand="0" w:evenVBand="1" w:oddHBand="0" w:evenHBand="0" w:firstRowFirstColumn="0" w:firstRowLastColumn="0" w:lastRowFirstColumn="0" w:lastRowLastColumn="0"/>
            <w:tcW w:w="1031" w:type="dxa"/>
          </w:tcPr>
          <w:p w14:paraId="6470B80A"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1031" w:type="dxa"/>
          </w:tcPr>
          <w:p w14:paraId="5351458D" w14:textId="77777777" w:rsidR="00F05844" w:rsidRPr="0067507D" w:rsidRDefault="00F05844" w:rsidP="00F05844">
            <w:pPr>
              <w:pStyle w:val="Tabletextright"/>
            </w:pPr>
          </w:p>
        </w:tc>
        <w:tc>
          <w:tcPr>
            <w:cnfStyle w:val="000001000000" w:firstRow="0" w:lastRow="0" w:firstColumn="0" w:lastColumn="0" w:oddVBand="0" w:evenVBand="1" w:oddHBand="0" w:evenHBand="0" w:firstRowFirstColumn="0" w:firstRowLastColumn="0" w:lastRowFirstColumn="0" w:lastRowLastColumn="0"/>
            <w:tcW w:w="1259" w:type="dxa"/>
          </w:tcPr>
          <w:p w14:paraId="6FE61DF8" w14:textId="77777777" w:rsidR="00F05844" w:rsidRPr="0067507D" w:rsidRDefault="00F05844" w:rsidP="00F05844">
            <w:pPr>
              <w:pStyle w:val="Tabletextright"/>
            </w:pPr>
          </w:p>
        </w:tc>
        <w:tc>
          <w:tcPr>
            <w:cnfStyle w:val="000010000000" w:firstRow="0" w:lastRow="0" w:firstColumn="0" w:lastColumn="0" w:oddVBand="1" w:evenVBand="0" w:oddHBand="0" w:evenHBand="0" w:firstRowFirstColumn="0" w:firstRowLastColumn="0" w:lastRowFirstColumn="0" w:lastRowLastColumn="0"/>
            <w:tcW w:w="901" w:type="dxa"/>
          </w:tcPr>
          <w:p w14:paraId="6A189493" w14:textId="77777777" w:rsidR="00F05844" w:rsidRPr="0067507D" w:rsidRDefault="00F05844" w:rsidP="00F05844">
            <w:pPr>
              <w:pStyle w:val="Tabletextright"/>
            </w:pPr>
          </w:p>
        </w:tc>
      </w:tr>
      <w:tr w:rsidR="00E26BDE" w:rsidRPr="0067507D" w14:paraId="4E8F4B1C"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06F78172" w14:textId="77777777" w:rsidR="00F05844" w:rsidRPr="0067507D" w:rsidRDefault="00F05844" w:rsidP="00F05844">
            <w:pPr>
              <w:pStyle w:val="Tabletext"/>
            </w:pPr>
            <w:r w:rsidRPr="0067507D">
              <w:t>Employers informed on OH&amp;S obligations under both State and Commonwealth legislation and regulations</w:t>
            </w:r>
          </w:p>
          <w:p w14:paraId="0489B840" w14:textId="2C4F9951" w:rsidR="00F05844" w:rsidRPr="0067507D" w:rsidRDefault="006E041B" w:rsidP="00B93726">
            <w:pPr>
              <w:pStyle w:val="Tabletextnotes"/>
            </w:pPr>
            <w:r w:rsidRPr="0067507D">
              <w:rPr>
                <w:rFonts w:eastAsia="Garamond"/>
              </w:rPr>
              <w:t>The 2024</w:t>
            </w:r>
            <w:r w:rsidR="006A5485">
              <w:rPr>
                <w:rFonts w:eastAsia="Garamond"/>
              </w:rPr>
              <w:noBreakHyphen/>
            </w:r>
            <w:r w:rsidRPr="0067507D">
              <w:rPr>
                <w:rFonts w:eastAsia="Garamond"/>
              </w:rPr>
              <w:t>25 actual is higher than the target due to increased use of digital platforms resulting in greater reach.</w:t>
            </w:r>
          </w:p>
        </w:tc>
        <w:tc>
          <w:tcPr>
            <w:cnfStyle w:val="000010000000" w:firstRow="0" w:lastRow="0" w:firstColumn="0" w:lastColumn="0" w:oddVBand="1" w:evenVBand="0" w:oddHBand="0" w:evenHBand="0" w:firstRowFirstColumn="0" w:firstRowLastColumn="0" w:lastRowFirstColumn="0" w:lastRowLastColumn="0"/>
            <w:tcW w:w="998" w:type="dxa"/>
          </w:tcPr>
          <w:p w14:paraId="326E12D8" w14:textId="1131CE12" w:rsidR="00F05844" w:rsidRPr="0067507D" w:rsidRDefault="00F05844" w:rsidP="00F05844">
            <w:pPr>
              <w:pStyle w:val="Tabletextcentred"/>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1" w:type="dxa"/>
          </w:tcPr>
          <w:p w14:paraId="43D5A6A9" w14:textId="0E591203" w:rsidR="00F05844" w:rsidRPr="0067507D" w:rsidRDefault="00D94BC4" w:rsidP="00F05844">
            <w:pPr>
              <w:pStyle w:val="Tabletextright"/>
            </w:pPr>
            <w:r w:rsidRPr="0067507D">
              <w:t>7</w:t>
            </w:r>
            <w:r w:rsidR="00FA150D" w:rsidRPr="0067507D">
              <w:t xml:space="preserve"> </w:t>
            </w:r>
            <w:r w:rsidRPr="0067507D">
              <w:t>551</w:t>
            </w:r>
          </w:p>
        </w:tc>
        <w:tc>
          <w:tcPr>
            <w:cnfStyle w:val="000010000000" w:firstRow="0" w:lastRow="0" w:firstColumn="0" w:lastColumn="0" w:oddVBand="1" w:evenVBand="0" w:oddHBand="0" w:evenHBand="0" w:firstRowFirstColumn="0" w:firstRowLastColumn="0" w:lastRowFirstColumn="0" w:lastRowLastColumn="0"/>
            <w:tcW w:w="1031" w:type="dxa"/>
          </w:tcPr>
          <w:p w14:paraId="76677217" w14:textId="3EBB4B86" w:rsidR="00F05844" w:rsidRPr="0067507D" w:rsidRDefault="00F05844" w:rsidP="00F05844">
            <w:pPr>
              <w:pStyle w:val="Tabletextright"/>
            </w:pPr>
            <w:r w:rsidRPr="0067507D">
              <w:rPr>
                <w:iCs/>
              </w:rPr>
              <w:t>&gt;3500</w:t>
            </w:r>
          </w:p>
        </w:tc>
        <w:tc>
          <w:tcPr>
            <w:cnfStyle w:val="000001000000" w:firstRow="0" w:lastRow="0" w:firstColumn="0" w:lastColumn="0" w:oddVBand="0" w:evenVBand="1" w:oddHBand="0" w:evenHBand="0" w:firstRowFirstColumn="0" w:firstRowLastColumn="0" w:lastRowFirstColumn="0" w:lastRowLastColumn="0"/>
            <w:tcW w:w="1259" w:type="dxa"/>
          </w:tcPr>
          <w:p w14:paraId="7990CE3E" w14:textId="48BC0309" w:rsidR="00F05844" w:rsidRPr="0067507D" w:rsidRDefault="00240A90" w:rsidP="00F05844">
            <w:pPr>
              <w:pStyle w:val="Tabletextright"/>
            </w:pPr>
            <w:r w:rsidRPr="0067507D">
              <w:t>115.7</w:t>
            </w:r>
          </w:p>
        </w:tc>
        <w:tc>
          <w:tcPr>
            <w:cnfStyle w:val="000010000000" w:firstRow="0" w:lastRow="0" w:firstColumn="0" w:lastColumn="0" w:oddVBand="1" w:evenVBand="0" w:oddHBand="0" w:evenHBand="0" w:firstRowFirstColumn="0" w:firstRowLastColumn="0" w:lastRowFirstColumn="0" w:lastRowLastColumn="0"/>
            <w:tcW w:w="901" w:type="dxa"/>
          </w:tcPr>
          <w:p w14:paraId="43452453" w14:textId="77777777" w:rsidR="00F05844" w:rsidRPr="0067507D" w:rsidRDefault="00F05844" w:rsidP="004F6550">
            <w:pPr>
              <w:pStyle w:val="TargetMet"/>
            </w:pPr>
          </w:p>
        </w:tc>
      </w:tr>
      <w:tr w:rsidR="00E26BDE" w:rsidRPr="0067507D" w14:paraId="50BBAB78"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37D41F6A" w14:textId="7EDA868E" w:rsidR="00F05844" w:rsidRPr="0067507D" w:rsidRDefault="00F05844" w:rsidP="00F05844">
            <w:pPr>
              <w:pStyle w:val="Tabletext"/>
            </w:pPr>
            <w:r w:rsidRPr="0067507D">
              <w:t>Wage Inspectorate Victoria: Child employment investigations and compliance activities completed</w:t>
            </w:r>
          </w:p>
          <w:p w14:paraId="07B58CAC" w14:textId="5AB1F477" w:rsidR="00F05844" w:rsidRPr="0067507D" w:rsidRDefault="00540EA0" w:rsidP="00B93726">
            <w:pPr>
              <w:pStyle w:val="Tabletextnotes"/>
              <w:rPr>
                <w:rFonts w:eastAsia="Garamond"/>
              </w:rPr>
            </w:pPr>
            <w:r w:rsidRPr="0067507D">
              <w:rPr>
                <w:rFonts w:eastAsia="Garamond"/>
              </w:rPr>
              <w:t>The 2024</w:t>
            </w:r>
            <w:r w:rsidR="006A5485">
              <w:rPr>
                <w:rFonts w:eastAsia="Garamond"/>
              </w:rPr>
              <w:noBreakHyphen/>
            </w:r>
            <w:r w:rsidRPr="0067507D">
              <w:rPr>
                <w:rFonts w:eastAsia="Garamond"/>
              </w:rPr>
              <w:t>25 actual is higher than the target as</w:t>
            </w:r>
            <w:r w:rsidR="008901C3" w:rsidRPr="0067507D">
              <w:rPr>
                <w:rFonts w:eastAsia="Garamond"/>
              </w:rPr>
              <w:t>,</w:t>
            </w:r>
            <w:r w:rsidRPr="0067507D">
              <w:rPr>
                <w:rFonts w:eastAsia="Garamond"/>
              </w:rPr>
              <w:t xml:space="preserve"> </w:t>
            </w:r>
            <w:r w:rsidR="008901C3" w:rsidRPr="0067507D">
              <w:rPr>
                <w:rFonts w:eastAsia="Garamond"/>
              </w:rPr>
              <w:t>f</w:t>
            </w:r>
            <w:r w:rsidRPr="0067507D">
              <w:rPr>
                <w:rFonts w:eastAsia="Garamond"/>
              </w:rPr>
              <w:t>ollowing the cessation of its Wage Theft Operations, the Wage Inspectorate reallocated resources to focus on other laws within its legislative remit. This additional resource enabled the Wage Inspectorate to exceed performance measure targets for these remits.</w:t>
            </w:r>
          </w:p>
        </w:tc>
        <w:tc>
          <w:tcPr>
            <w:cnfStyle w:val="000010000000" w:firstRow="0" w:lastRow="0" w:firstColumn="0" w:lastColumn="0" w:oddVBand="1" w:evenVBand="0" w:oddHBand="0" w:evenHBand="0" w:firstRowFirstColumn="0" w:firstRowLastColumn="0" w:lastRowFirstColumn="0" w:lastRowLastColumn="0"/>
            <w:tcW w:w="998" w:type="dxa"/>
          </w:tcPr>
          <w:p w14:paraId="5AE262FF" w14:textId="58113F61" w:rsidR="00F05844" w:rsidRPr="0067507D" w:rsidRDefault="00F05844" w:rsidP="00F05844">
            <w:pPr>
              <w:pStyle w:val="Tabletextcentred"/>
              <w:rPr>
                <w:rFonts w:eastAsia="Garamond"/>
              </w:rPr>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1" w:type="dxa"/>
          </w:tcPr>
          <w:p w14:paraId="39FCB989" w14:textId="4D0A639E" w:rsidR="00F05844" w:rsidRPr="0067507D" w:rsidRDefault="00D94BC4" w:rsidP="00F05844">
            <w:pPr>
              <w:pStyle w:val="Tabletextright"/>
              <w:rPr>
                <w:rFonts w:eastAsia="Garamond"/>
                <w:szCs w:val="24"/>
              </w:rPr>
            </w:pPr>
            <w:r w:rsidRPr="0067507D">
              <w:rPr>
                <w:rFonts w:eastAsia="Garamond"/>
                <w:szCs w:val="24"/>
              </w:rPr>
              <w:t>280</w:t>
            </w:r>
          </w:p>
        </w:tc>
        <w:tc>
          <w:tcPr>
            <w:cnfStyle w:val="000010000000" w:firstRow="0" w:lastRow="0" w:firstColumn="0" w:lastColumn="0" w:oddVBand="1" w:evenVBand="0" w:oddHBand="0" w:evenHBand="0" w:firstRowFirstColumn="0" w:firstRowLastColumn="0" w:lastRowFirstColumn="0" w:lastRowLastColumn="0"/>
            <w:tcW w:w="1031" w:type="dxa"/>
          </w:tcPr>
          <w:p w14:paraId="2F66A200" w14:textId="28B961A7" w:rsidR="00F05844" w:rsidRPr="0067507D" w:rsidRDefault="00F05844" w:rsidP="00F05844">
            <w:pPr>
              <w:pStyle w:val="Tabletextright"/>
              <w:rPr>
                <w:rFonts w:eastAsia="Garamond"/>
                <w:szCs w:val="24"/>
              </w:rPr>
            </w:pPr>
            <w:r w:rsidRPr="0067507D">
              <w:rPr>
                <w:iCs/>
              </w:rPr>
              <w:t>200</w:t>
            </w:r>
          </w:p>
        </w:tc>
        <w:tc>
          <w:tcPr>
            <w:cnfStyle w:val="000001000000" w:firstRow="0" w:lastRow="0" w:firstColumn="0" w:lastColumn="0" w:oddVBand="0" w:evenVBand="1" w:oddHBand="0" w:evenHBand="0" w:firstRowFirstColumn="0" w:firstRowLastColumn="0" w:lastRowFirstColumn="0" w:lastRowLastColumn="0"/>
            <w:tcW w:w="1259" w:type="dxa"/>
          </w:tcPr>
          <w:p w14:paraId="0F619CB1" w14:textId="3E624C58" w:rsidR="00F05844" w:rsidRPr="0067507D" w:rsidRDefault="00240A90" w:rsidP="00F05844">
            <w:pPr>
              <w:pStyle w:val="Tabletextright"/>
              <w:ind w:left="720"/>
              <w:rPr>
                <w:rFonts w:eastAsia="Garamond"/>
                <w:szCs w:val="24"/>
              </w:rPr>
            </w:pPr>
            <w:r w:rsidRPr="0067507D">
              <w:rPr>
                <w:rFonts w:eastAsia="Garamond"/>
                <w:szCs w:val="24"/>
              </w:rPr>
              <w:t>40.0</w:t>
            </w:r>
          </w:p>
        </w:tc>
        <w:tc>
          <w:tcPr>
            <w:cnfStyle w:val="000010000000" w:firstRow="0" w:lastRow="0" w:firstColumn="0" w:lastColumn="0" w:oddVBand="1" w:evenVBand="0" w:oddHBand="0" w:evenHBand="0" w:firstRowFirstColumn="0" w:firstRowLastColumn="0" w:lastRowFirstColumn="0" w:lastRowLastColumn="0"/>
            <w:tcW w:w="901" w:type="dxa"/>
          </w:tcPr>
          <w:p w14:paraId="2EC4D8BE" w14:textId="77777777" w:rsidR="00F05844" w:rsidRPr="0067507D" w:rsidRDefault="00F05844" w:rsidP="004F6550">
            <w:pPr>
              <w:pStyle w:val="TargetMet"/>
              <w:rPr>
                <w:rFonts w:eastAsia="Garamond"/>
              </w:rPr>
            </w:pPr>
          </w:p>
        </w:tc>
      </w:tr>
      <w:tr w:rsidR="00E26BDE" w:rsidRPr="0067507D" w14:paraId="7AF70C65"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47046C38" w14:textId="77777777" w:rsidR="00F05844" w:rsidRPr="0067507D" w:rsidRDefault="00F05844" w:rsidP="00F05844">
            <w:pPr>
              <w:pStyle w:val="Tabletext"/>
            </w:pPr>
            <w:r w:rsidRPr="0067507D">
              <w:t>Workers informed on OH&amp;S obligations under both State and Commonwealth legislation and regulations</w:t>
            </w:r>
          </w:p>
          <w:p w14:paraId="3E43751F" w14:textId="27B51813" w:rsidR="00F05844" w:rsidRPr="0067507D" w:rsidRDefault="008901C3" w:rsidP="00B93726">
            <w:pPr>
              <w:pStyle w:val="Tabletextnotes"/>
            </w:pPr>
            <w:r w:rsidRPr="0067507D">
              <w:rPr>
                <w:rFonts w:eastAsia="Garamond"/>
              </w:rPr>
              <w:t>The 2024</w:t>
            </w:r>
            <w:r w:rsidR="006A5485">
              <w:rPr>
                <w:rFonts w:eastAsia="Garamond"/>
              </w:rPr>
              <w:noBreakHyphen/>
            </w:r>
            <w:r w:rsidRPr="0067507D">
              <w:rPr>
                <w:rFonts w:eastAsia="Garamond"/>
              </w:rPr>
              <w:t>25 actual is higher than the target due to increased use of digital platforms resulting in greater reach.</w:t>
            </w:r>
          </w:p>
        </w:tc>
        <w:tc>
          <w:tcPr>
            <w:cnfStyle w:val="000010000000" w:firstRow="0" w:lastRow="0" w:firstColumn="0" w:lastColumn="0" w:oddVBand="1" w:evenVBand="0" w:oddHBand="0" w:evenHBand="0" w:firstRowFirstColumn="0" w:firstRowLastColumn="0" w:lastRowFirstColumn="0" w:lastRowLastColumn="0"/>
            <w:tcW w:w="998" w:type="dxa"/>
          </w:tcPr>
          <w:p w14:paraId="3CF0F277" w14:textId="4A2D8E57" w:rsidR="00F05844" w:rsidRPr="0067507D" w:rsidRDefault="00F05844" w:rsidP="00F05844">
            <w:pPr>
              <w:pStyle w:val="Tabletextcentred"/>
              <w:rPr>
                <w:rFonts w:eastAsia="Garamond"/>
              </w:rPr>
            </w:pPr>
            <w:r w:rsidRPr="0067507D">
              <w:rPr>
                <w:iCs/>
              </w:rPr>
              <w:t>number</w:t>
            </w:r>
          </w:p>
        </w:tc>
        <w:tc>
          <w:tcPr>
            <w:cnfStyle w:val="000001000000" w:firstRow="0" w:lastRow="0" w:firstColumn="0" w:lastColumn="0" w:oddVBand="0" w:evenVBand="1" w:oddHBand="0" w:evenHBand="0" w:firstRowFirstColumn="0" w:firstRowLastColumn="0" w:lastRowFirstColumn="0" w:lastRowLastColumn="0"/>
            <w:tcW w:w="1031" w:type="dxa"/>
          </w:tcPr>
          <w:p w14:paraId="02928EA9" w14:textId="2A169C1E" w:rsidR="00F05844" w:rsidRPr="0067507D" w:rsidRDefault="00D94BC4" w:rsidP="00F05844">
            <w:pPr>
              <w:pStyle w:val="Tabletextright"/>
              <w:rPr>
                <w:rFonts w:eastAsia="Garamond"/>
                <w:szCs w:val="24"/>
              </w:rPr>
            </w:pPr>
            <w:r w:rsidRPr="0067507D">
              <w:rPr>
                <w:rFonts w:eastAsia="Garamond"/>
                <w:szCs w:val="24"/>
              </w:rPr>
              <w:t>56</w:t>
            </w:r>
            <w:r w:rsidR="00FA150D" w:rsidRPr="0067507D">
              <w:rPr>
                <w:rFonts w:eastAsia="Garamond"/>
                <w:szCs w:val="24"/>
              </w:rPr>
              <w:t xml:space="preserve"> </w:t>
            </w:r>
            <w:r w:rsidRPr="0067507D">
              <w:rPr>
                <w:rFonts w:eastAsia="Garamond"/>
                <w:szCs w:val="24"/>
              </w:rPr>
              <w:t>015</w:t>
            </w:r>
          </w:p>
        </w:tc>
        <w:tc>
          <w:tcPr>
            <w:cnfStyle w:val="000010000000" w:firstRow="0" w:lastRow="0" w:firstColumn="0" w:lastColumn="0" w:oddVBand="1" w:evenVBand="0" w:oddHBand="0" w:evenHBand="0" w:firstRowFirstColumn="0" w:firstRowLastColumn="0" w:lastRowFirstColumn="0" w:lastRowLastColumn="0"/>
            <w:tcW w:w="1031" w:type="dxa"/>
          </w:tcPr>
          <w:p w14:paraId="4B778B30" w14:textId="4D57534D" w:rsidR="00F05844" w:rsidRPr="0067507D" w:rsidRDefault="00F05844" w:rsidP="00F05844">
            <w:pPr>
              <w:pStyle w:val="Tabletextright"/>
              <w:rPr>
                <w:rFonts w:eastAsia="Garamond"/>
                <w:szCs w:val="24"/>
              </w:rPr>
            </w:pPr>
            <w:r w:rsidRPr="0067507D">
              <w:rPr>
                <w:iCs/>
              </w:rPr>
              <w:t>&gt;40</w:t>
            </w:r>
            <w:r w:rsidR="00997351" w:rsidRPr="0067507D">
              <w:rPr>
                <w:iCs/>
              </w:rPr>
              <w:t xml:space="preserve"> </w:t>
            </w:r>
            <w:r w:rsidRPr="0067507D">
              <w:rPr>
                <w:iCs/>
              </w:rPr>
              <w:t>000</w:t>
            </w:r>
          </w:p>
        </w:tc>
        <w:tc>
          <w:tcPr>
            <w:cnfStyle w:val="000001000000" w:firstRow="0" w:lastRow="0" w:firstColumn="0" w:lastColumn="0" w:oddVBand="0" w:evenVBand="1" w:oddHBand="0" w:evenHBand="0" w:firstRowFirstColumn="0" w:firstRowLastColumn="0" w:lastRowFirstColumn="0" w:lastRowLastColumn="0"/>
            <w:tcW w:w="1259" w:type="dxa"/>
          </w:tcPr>
          <w:p w14:paraId="44238735" w14:textId="04805CB6" w:rsidR="00F05844" w:rsidRPr="0067507D" w:rsidRDefault="006015BC" w:rsidP="00F05844">
            <w:pPr>
              <w:pStyle w:val="Tabletextright"/>
              <w:rPr>
                <w:rFonts w:eastAsia="Garamond"/>
                <w:szCs w:val="24"/>
              </w:rPr>
            </w:pPr>
            <w:r w:rsidRPr="0067507D">
              <w:rPr>
                <w:rFonts w:eastAsia="Garamond"/>
                <w:szCs w:val="24"/>
              </w:rPr>
              <w:t>40.0</w:t>
            </w:r>
          </w:p>
        </w:tc>
        <w:tc>
          <w:tcPr>
            <w:cnfStyle w:val="000010000000" w:firstRow="0" w:lastRow="0" w:firstColumn="0" w:lastColumn="0" w:oddVBand="1" w:evenVBand="0" w:oddHBand="0" w:evenHBand="0" w:firstRowFirstColumn="0" w:firstRowLastColumn="0" w:lastRowFirstColumn="0" w:lastRowLastColumn="0"/>
            <w:tcW w:w="901" w:type="dxa"/>
          </w:tcPr>
          <w:p w14:paraId="2206D3C6" w14:textId="77777777" w:rsidR="00F05844" w:rsidRPr="0067507D" w:rsidRDefault="00F05844" w:rsidP="004F6550">
            <w:pPr>
              <w:pStyle w:val="TargetMet"/>
              <w:rPr>
                <w:rFonts w:eastAsia="Garamond"/>
              </w:rPr>
            </w:pPr>
          </w:p>
        </w:tc>
      </w:tr>
      <w:tr w:rsidR="00E26BDE" w:rsidRPr="0067507D" w14:paraId="5500B8C7"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6A414B88" w14:textId="1E8108B0" w:rsidR="00F05844" w:rsidRPr="0067507D" w:rsidRDefault="00F05844" w:rsidP="00F05844">
            <w:pPr>
              <w:pStyle w:val="Tabletextheadingleft"/>
              <w:rPr>
                <w:rFonts w:eastAsia="Garamond"/>
              </w:rPr>
            </w:pPr>
            <w:r w:rsidRPr="0067507D">
              <w:rPr>
                <w:iCs/>
              </w:rPr>
              <w:t>Quality</w:t>
            </w:r>
          </w:p>
        </w:tc>
        <w:tc>
          <w:tcPr>
            <w:cnfStyle w:val="000010000000" w:firstRow="0" w:lastRow="0" w:firstColumn="0" w:lastColumn="0" w:oddVBand="1" w:evenVBand="0" w:oddHBand="0" w:evenHBand="0" w:firstRowFirstColumn="0" w:firstRowLastColumn="0" w:lastRowFirstColumn="0" w:lastRowLastColumn="0"/>
            <w:tcW w:w="998" w:type="dxa"/>
          </w:tcPr>
          <w:p w14:paraId="65FBA2DB" w14:textId="77777777" w:rsidR="00F05844" w:rsidRPr="0067507D" w:rsidRDefault="00F05844" w:rsidP="00F05844">
            <w:pPr>
              <w:pStyle w:val="Tabletextcentred"/>
              <w:rPr>
                <w:rFonts w:eastAsia="Garamond"/>
              </w:rPr>
            </w:pPr>
          </w:p>
        </w:tc>
        <w:tc>
          <w:tcPr>
            <w:cnfStyle w:val="000001000000" w:firstRow="0" w:lastRow="0" w:firstColumn="0" w:lastColumn="0" w:oddVBand="0" w:evenVBand="1" w:oddHBand="0" w:evenHBand="0" w:firstRowFirstColumn="0" w:firstRowLastColumn="0" w:lastRowFirstColumn="0" w:lastRowLastColumn="0"/>
            <w:tcW w:w="1031" w:type="dxa"/>
          </w:tcPr>
          <w:p w14:paraId="01A38E78" w14:textId="77777777" w:rsidR="00F05844" w:rsidRPr="0067507D" w:rsidRDefault="00F05844" w:rsidP="00F05844">
            <w:pPr>
              <w:pStyle w:val="Tabletextright"/>
              <w:rPr>
                <w:rFonts w:eastAsia="Garamond"/>
                <w:szCs w:val="24"/>
              </w:rPr>
            </w:pPr>
          </w:p>
        </w:tc>
        <w:tc>
          <w:tcPr>
            <w:cnfStyle w:val="000010000000" w:firstRow="0" w:lastRow="0" w:firstColumn="0" w:lastColumn="0" w:oddVBand="1" w:evenVBand="0" w:oddHBand="0" w:evenHBand="0" w:firstRowFirstColumn="0" w:firstRowLastColumn="0" w:lastRowFirstColumn="0" w:lastRowLastColumn="0"/>
            <w:tcW w:w="1031" w:type="dxa"/>
          </w:tcPr>
          <w:p w14:paraId="7A9D3C13" w14:textId="77777777" w:rsidR="00F05844" w:rsidRPr="0067507D" w:rsidRDefault="00F05844" w:rsidP="00F05844">
            <w:pPr>
              <w:pStyle w:val="Tabletextright"/>
              <w:rPr>
                <w:rFonts w:eastAsia="Garamond"/>
                <w:szCs w:val="24"/>
              </w:rPr>
            </w:pPr>
          </w:p>
        </w:tc>
        <w:tc>
          <w:tcPr>
            <w:cnfStyle w:val="000001000000" w:firstRow="0" w:lastRow="0" w:firstColumn="0" w:lastColumn="0" w:oddVBand="0" w:evenVBand="1" w:oddHBand="0" w:evenHBand="0" w:firstRowFirstColumn="0" w:firstRowLastColumn="0" w:lastRowFirstColumn="0" w:lastRowLastColumn="0"/>
            <w:tcW w:w="1259" w:type="dxa"/>
          </w:tcPr>
          <w:p w14:paraId="7D16A4BA" w14:textId="77777777" w:rsidR="00F05844" w:rsidRPr="0067507D" w:rsidRDefault="00F05844" w:rsidP="00F05844">
            <w:pPr>
              <w:pStyle w:val="Tabletextright"/>
              <w:rPr>
                <w:rFonts w:eastAsia="Garamond"/>
                <w:szCs w:val="24"/>
              </w:rPr>
            </w:pPr>
          </w:p>
        </w:tc>
        <w:tc>
          <w:tcPr>
            <w:cnfStyle w:val="000010000000" w:firstRow="0" w:lastRow="0" w:firstColumn="0" w:lastColumn="0" w:oddVBand="1" w:evenVBand="0" w:oddHBand="0" w:evenHBand="0" w:firstRowFirstColumn="0" w:firstRowLastColumn="0" w:lastRowFirstColumn="0" w:lastRowLastColumn="0"/>
            <w:tcW w:w="901" w:type="dxa"/>
          </w:tcPr>
          <w:p w14:paraId="68BA7AAA" w14:textId="77777777" w:rsidR="00F05844" w:rsidRPr="0067507D" w:rsidRDefault="00F05844" w:rsidP="00F05844">
            <w:pPr>
              <w:pStyle w:val="Tabletextright"/>
              <w:rPr>
                <w:rFonts w:ascii="Calibri" w:eastAsia="Garamond" w:hAnsi="Calibri"/>
                <w:sz w:val="17"/>
                <w:szCs w:val="17"/>
              </w:rPr>
            </w:pPr>
          </w:p>
        </w:tc>
      </w:tr>
      <w:tr w:rsidR="007533F6" w:rsidRPr="0067507D" w14:paraId="518B5029"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17BD8F26" w14:textId="57371CFB" w:rsidR="007533F6" w:rsidRPr="0067507D" w:rsidRDefault="007533F6" w:rsidP="007533F6">
            <w:pPr>
              <w:pStyle w:val="Tabletext"/>
              <w:rPr>
                <w:rFonts w:eastAsia="Garamond"/>
              </w:rPr>
            </w:pPr>
            <w:r w:rsidRPr="0067507D">
              <w:rPr>
                <w:iCs/>
              </w:rPr>
              <w:t>Public sector agreements renewed and approved within current enterprise bargaining framework</w:t>
            </w:r>
          </w:p>
        </w:tc>
        <w:tc>
          <w:tcPr>
            <w:cnfStyle w:val="000010000000" w:firstRow="0" w:lastRow="0" w:firstColumn="0" w:lastColumn="0" w:oddVBand="1" w:evenVBand="0" w:oddHBand="0" w:evenHBand="0" w:firstRowFirstColumn="0" w:firstRowLastColumn="0" w:lastRowFirstColumn="0" w:lastRowLastColumn="0"/>
            <w:tcW w:w="998" w:type="dxa"/>
          </w:tcPr>
          <w:p w14:paraId="5E296B03" w14:textId="785FA93D" w:rsidR="007533F6" w:rsidRPr="0067507D" w:rsidRDefault="007533F6" w:rsidP="007533F6">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1" w:type="dxa"/>
          </w:tcPr>
          <w:p w14:paraId="75FB337E" w14:textId="61D51371" w:rsidR="007533F6" w:rsidRPr="0067507D" w:rsidRDefault="007533F6" w:rsidP="007533F6">
            <w:pPr>
              <w:pStyle w:val="Tabletextright"/>
              <w:rPr>
                <w:rFonts w:eastAsia="Garamond"/>
                <w:szCs w:val="24"/>
              </w:rPr>
            </w:pPr>
            <w:r w:rsidRPr="0067507D">
              <w:rPr>
                <w:rFonts w:eastAsia="Garamond"/>
                <w:szCs w:val="24"/>
              </w:rPr>
              <w:t>100</w:t>
            </w:r>
          </w:p>
        </w:tc>
        <w:tc>
          <w:tcPr>
            <w:cnfStyle w:val="000010000000" w:firstRow="0" w:lastRow="0" w:firstColumn="0" w:lastColumn="0" w:oddVBand="1" w:evenVBand="0" w:oddHBand="0" w:evenHBand="0" w:firstRowFirstColumn="0" w:firstRowLastColumn="0" w:lastRowFirstColumn="0" w:lastRowLastColumn="0"/>
            <w:tcW w:w="1031" w:type="dxa"/>
          </w:tcPr>
          <w:p w14:paraId="40F36E12" w14:textId="08EC841F" w:rsidR="007533F6" w:rsidRPr="0067507D" w:rsidRDefault="007533F6" w:rsidP="007533F6">
            <w:pPr>
              <w:pStyle w:val="Tabletextright"/>
              <w:rPr>
                <w:rFonts w:eastAsia="Garamond"/>
                <w:szCs w:val="24"/>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59" w:type="dxa"/>
          </w:tcPr>
          <w:p w14:paraId="55D287C6" w14:textId="291A4E26" w:rsidR="007533F6" w:rsidRPr="0067507D" w:rsidRDefault="007533F6" w:rsidP="007533F6">
            <w:pPr>
              <w:pStyle w:val="Tabletextright"/>
              <w:rPr>
                <w:rFonts w:eastAsia="Garamond"/>
                <w:szCs w:val="24"/>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01" w:type="dxa"/>
          </w:tcPr>
          <w:p w14:paraId="08AF8B9A" w14:textId="77777777" w:rsidR="007533F6" w:rsidRPr="0067507D" w:rsidRDefault="007533F6" w:rsidP="007533F6">
            <w:pPr>
              <w:pStyle w:val="TargetMet"/>
              <w:rPr>
                <w:rFonts w:eastAsia="Garamond"/>
              </w:rPr>
            </w:pPr>
          </w:p>
        </w:tc>
      </w:tr>
      <w:tr w:rsidR="007533F6" w:rsidRPr="0067507D" w14:paraId="60ACCEC5"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6C9F04D6" w14:textId="74954F95" w:rsidR="007533F6" w:rsidRPr="0067507D" w:rsidRDefault="007533F6" w:rsidP="007533F6">
            <w:pPr>
              <w:pStyle w:val="Tabletext"/>
              <w:rPr>
                <w:rFonts w:eastAsia="Garamond"/>
              </w:rPr>
            </w:pPr>
            <w:r w:rsidRPr="0067507D">
              <w:rPr>
                <w:iCs/>
              </w:rPr>
              <w:t>Victoria represented in major industrial relations cases and inquiries</w:t>
            </w:r>
          </w:p>
        </w:tc>
        <w:tc>
          <w:tcPr>
            <w:cnfStyle w:val="000010000000" w:firstRow="0" w:lastRow="0" w:firstColumn="0" w:lastColumn="0" w:oddVBand="1" w:evenVBand="0" w:oddHBand="0" w:evenHBand="0" w:firstRowFirstColumn="0" w:firstRowLastColumn="0" w:lastRowFirstColumn="0" w:lastRowLastColumn="0"/>
            <w:tcW w:w="998" w:type="dxa"/>
          </w:tcPr>
          <w:p w14:paraId="2B897157" w14:textId="1F1AFB6C" w:rsidR="007533F6" w:rsidRPr="0067507D" w:rsidRDefault="007533F6" w:rsidP="007533F6">
            <w:pPr>
              <w:pStyle w:val="Tabletextcentred"/>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1" w:type="dxa"/>
          </w:tcPr>
          <w:p w14:paraId="52CDEA26" w14:textId="40B83286" w:rsidR="007533F6" w:rsidRPr="0067507D" w:rsidRDefault="007533F6" w:rsidP="007533F6">
            <w:pPr>
              <w:pStyle w:val="Tabletextright"/>
              <w:rPr>
                <w:rFonts w:eastAsia="Garamond"/>
                <w:szCs w:val="24"/>
              </w:rPr>
            </w:pPr>
            <w:r w:rsidRPr="0067507D">
              <w:rPr>
                <w:rFonts w:eastAsia="Garamond"/>
                <w:szCs w:val="24"/>
              </w:rPr>
              <w:t>100</w:t>
            </w:r>
          </w:p>
        </w:tc>
        <w:tc>
          <w:tcPr>
            <w:cnfStyle w:val="000010000000" w:firstRow="0" w:lastRow="0" w:firstColumn="0" w:lastColumn="0" w:oddVBand="1" w:evenVBand="0" w:oddHBand="0" w:evenHBand="0" w:firstRowFirstColumn="0" w:firstRowLastColumn="0" w:lastRowFirstColumn="0" w:lastRowLastColumn="0"/>
            <w:tcW w:w="1031" w:type="dxa"/>
          </w:tcPr>
          <w:p w14:paraId="409CA1F3" w14:textId="692C0E1D" w:rsidR="007533F6" w:rsidRPr="0067507D" w:rsidRDefault="007533F6" w:rsidP="007533F6">
            <w:pPr>
              <w:pStyle w:val="Tabletextright"/>
              <w:rPr>
                <w:rFonts w:eastAsia="Garamond"/>
                <w:szCs w:val="24"/>
              </w:rPr>
            </w:pPr>
            <w:r w:rsidRPr="0067507D">
              <w:rPr>
                <w:iCs/>
              </w:rPr>
              <w:t>100</w:t>
            </w:r>
          </w:p>
        </w:tc>
        <w:tc>
          <w:tcPr>
            <w:cnfStyle w:val="000001000000" w:firstRow="0" w:lastRow="0" w:firstColumn="0" w:lastColumn="0" w:oddVBand="0" w:evenVBand="1" w:oddHBand="0" w:evenHBand="0" w:firstRowFirstColumn="0" w:firstRowLastColumn="0" w:lastRowFirstColumn="0" w:lastRowLastColumn="0"/>
            <w:tcW w:w="1259" w:type="dxa"/>
          </w:tcPr>
          <w:p w14:paraId="53FDC191" w14:textId="7134DA5F" w:rsidR="007533F6" w:rsidRPr="0067507D" w:rsidRDefault="007533F6" w:rsidP="007533F6">
            <w:pPr>
              <w:pStyle w:val="Tabletextright"/>
              <w:rPr>
                <w:rFonts w:eastAsia="Garamond"/>
                <w:szCs w:val="24"/>
              </w:rPr>
            </w:pPr>
            <w:r w:rsidRPr="0067507D">
              <w:rPr>
                <w:rFonts w:eastAsia="Garamond"/>
              </w:rPr>
              <w:t>–</w:t>
            </w:r>
          </w:p>
        </w:tc>
        <w:tc>
          <w:tcPr>
            <w:cnfStyle w:val="000010000000" w:firstRow="0" w:lastRow="0" w:firstColumn="0" w:lastColumn="0" w:oddVBand="1" w:evenVBand="0" w:oddHBand="0" w:evenHBand="0" w:firstRowFirstColumn="0" w:firstRowLastColumn="0" w:lastRowFirstColumn="0" w:lastRowLastColumn="0"/>
            <w:tcW w:w="901" w:type="dxa"/>
          </w:tcPr>
          <w:p w14:paraId="48F7ACCB" w14:textId="77777777" w:rsidR="007533F6" w:rsidRPr="0067507D" w:rsidRDefault="007533F6" w:rsidP="007533F6">
            <w:pPr>
              <w:pStyle w:val="TargetMet"/>
              <w:rPr>
                <w:rFonts w:eastAsia="Garamond"/>
              </w:rPr>
            </w:pPr>
          </w:p>
        </w:tc>
      </w:tr>
      <w:tr w:rsidR="00E26BDE" w:rsidRPr="0067507D" w14:paraId="250E1845"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688F1E17" w14:textId="5A264AFF" w:rsidR="00F05844" w:rsidRPr="0067507D" w:rsidRDefault="00F05844" w:rsidP="00F05844">
            <w:pPr>
              <w:pStyle w:val="Tabletextheadingleft"/>
              <w:rPr>
                <w:rFonts w:eastAsia="Garamond"/>
              </w:rPr>
            </w:pPr>
            <w:r w:rsidRPr="0067507D">
              <w:rPr>
                <w:iCs/>
              </w:rPr>
              <w:t>Timeliness</w:t>
            </w:r>
          </w:p>
        </w:tc>
        <w:tc>
          <w:tcPr>
            <w:cnfStyle w:val="000010000000" w:firstRow="0" w:lastRow="0" w:firstColumn="0" w:lastColumn="0" w:oddVBand="1" w:evenVBand="0" w:oddHBand="0" w:evenHBand="0" w:firstRowFirstColumn="0" w:firstRowLastColumn="0" w:lastRowFirstColumn="0" w:lastRowLastColumn="0"/>
            <w:tcW w:w="998" w:type="dxa"/>
          </w:tcPr>
          <w:p w14:paraId="55825975" w14:textId="77777777" w:rsidR="00F05844" w:rsidRPr="0067507D" w:rsidRDefault="00F05844" w:rsidP="00F05844">
            <w:pPr>
              <w:pStyle w:val="Tabletextcentred"/>
              <w:rPr>
                <w:rFonts w:eastAsia="Garamond"/>
              </w:rPr>
            </w:pPr>
          </w:p>
        </w:tc>
        <w:tc>
          <w:tcPr>
            <w:cnfStyle w:val="000001000000" w:firstRow="0" w:lastRow="0" w:firstColumn="0" w:lastColumn="0" w:oddVBand="0" w:evenVBand="1" w:oddHBand="0" w:evenHBand="0" w:firstRowFirstColumn="0" w:firstRowLastColumn="0" w:lastRowFirstColumn="0" w:lastRowLastColumn="0"/>
            <w:tcW w:w="1031" w:type="dxa"/>
          </w:tcPr>
          <w:p w14:paraId="04AEB613" w14:textId="77777777" w:rsidR="00F05844" w:rsidRPr="0067507D" w:rsidRDefault="00F05844" w:rsidP="00F05844">
            <w:pPr>
              <w:pStyle w:val="Tabletextright"/>
              <w:rPr>
                <w:rFonts w:eastAsia="Garamond"/>
                <w:szCs w:val="24"/>
              </w:rPr>
            </w:pPr>
          </w:p>
        </w:tc>
        <w:tc>
          <w:tcPr>
            <w:cnfStyle w:val="000010000000" w:firstRow="0" w:lastRow="0" w:firstColumn="0" w:lastColumn="0" w:oddVBand="1" w:evenVBand="0" w:oddHBand="0" w:evenHBand="0" w:firstRowFirstColumn="0" w:firstRowLastColumn="0" w:lastRowFirstColumn="0" w:lastRowLastColumn="0"/>
            <w:tcW w:w="1031" w:type="dxa"/>
          </w:tcPr>
          <w:p w14:paraId="3D8B9ED7" w14:textId="77777777" w:rsidR="00F05844" w:rsidRPr="0067507D" w:rsidRDefault="00F05844" w:rsidP="00F05844">
            <w:pPr>
              <w:pStyle w:val="Tabletextright"/>
              <w:rPr>
                <w:rFonts w:eastAsia="Garamond"/>
                <w:szCs w:val="24"/>
              </w:rPr>
            </w:pPr>
          </w:p>
        </w:tc>
        <w:tc>
          <w:tcPr>
            <w:cnfStyle w:val="000001000000" w:firstRow="0" w:lastRow="0" w:firstColumn="0" w:lastColumn="0" w:oddVBand="0" w:evenVBand="1" w:oddHBand="0" w:evenHBand="0" w:firstRowFirstColumn="0" w:firstRowLastColumn="0" w:lastRowFirstColumn="0" w:lastRowLastColumn="0"/>
            <w:tcW w:w="1259" w:type="dxa"/>
          </w:tcPr>
          <w:p w14:paraId="305970D4" w14:textId="77777777" w:rsidR="00F05844" w:rsidRPr="0067507D" w:rsidRDefault="00F05844" w:rsidP="00F05844">
            <w:pPr>
              <w:pStyle w:val="Tabletextright"/>
              <w:rPr>
                <w:rFonts w:eastAsia="Garamond"/>
                <w:szCs w:val="24"/>
              </w:rPr>
            </w:pPr>
          </w:p>
        </w:tc>
        <w:tc>
          <w:tcPr>
            <w:cnfStyle w:val="000010000000" w:firstRow="0" w:lastRow="0" w:firstColumn="0" w:lastColumn="0" w:oddVBand="1" w:evenVBand="0" w:oddHBand="0" w:evenHBand="0" w:firstRowFirstColumn="0" w:firstRowLastColumn="0" w:lastRowFirstColumn="0" w:lastRowLastColumn="0"/>
            <w:tcW w:w="901" w:type="dxa"/>
          </w:tcPr>
          <w:p w14:paraId="724A3CDE" w14:textId="77777777" w:rsidR="00F05844" w:rsidRPr="0067507D" w:rsidRDefault="00F05844" w:rsidP="00F05844">
            <w:pPr>
              <w:pStyle w:val="Tabletextright"/>
              <w:rPr>
                <w:rFonts w:ascii="Calibri" w:eastAsia="Garamond" w:hAnsi="Calibri"/>
                <w:sz w:val="17"/>
                <w:szCs w:val="17"/>
              </w:rPr>
            </w:pPr>
          </w:p>
        </w:tc>
      </w:tr>
      <w:tr w:rsidR="00E26BDE" w:rsidRPr="0067507D" w14:paraId="0F8434FD"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4155BD18" w14:textId="77777777" w:rsidR="00F05844" w:rsidRPr="0067507D" w:rsidRDefault="00F05844" w:rsidP="00F05844">
            <w:pPr>
              <w:pStyle w:val="Tabletext"/>
              <w:rPr>
                <w:iCs/>
              </w:rPr>
            </w:pPr>
            <w:r w:rsidRPr="0067507D">
              <w:rPr>
                <w:iCs/>
              </w:rPr>
              <w:t>Review and assessment of submitted public sector enterprise bargaining costings and proposed agreements completed and submitted for approval within four weeks</w:t>
            </w:r>
          </w:p>
          <w:p w14:paraId="28C5E037" w14:textId="06FB08B5" w:rsidR="00F05844" w:rsidRPr="0067507D" w:rsidRDefault="00641251" w:rsidP="007533F6">
            <w:pPr>
              <w:pStyle w:val="Tabletextnotes"/>
              <w:ind w:right="180"/>
            </w:pPr>
            <w:r w:rsidRPr="0067507D">
              <w:rPr>
                <w:rFonts w:eastAsia="Garamond"/>
              </w:rPr>
              <w:t>The 2024</w:t>
            </w:r>
            <w:r w:rsidR="006A5485">
              <w:rPr>
                <w:rFonts w:eastAsia="Garamond"/>
              </w:rPr>
              <w:noBreakHyphen/>
            </w:r>
            <w:r w:rsidRPr="0067507D">
              <w:rPr>
                <w:rFonts w:eastAsia="Garamond"/>
              </w:rPr>
              <w:t>25 actual is higher than the target due to preparatory work undertaken in consultation with departmental and portfolio stakeholders. This enabled the progress of all the agreements to be completed and submitted for approval within four weeks.</w:t>
            </w:r>
          </w:p>
        </w:tc>
        <w:tc>
          <w:tcPr>
            <w:cnfStyle w:val="000010000000" w:firstRow="0" w:lastRow="0" w:firstColumn="0" w:lastColumn="0" w:oddVBand="1" w:evenVBand="0" w:oddHBand="0" w:evenHBand="0" w:firstRowFirstColumn="0" w:firstRowLastColumn="0" w:lastRowFirstColumn="0" w:lastRowLastColumn="0"/>
            <w:tcW w:w="998" w:type="dxa"/>
          </w:tcPr>
          <w:p w14:paraId="4A376CF4" w14:textId="5492BA6C" w:rsidR="00F05844" w:rsidRPr="0067507D" w:rsidRDefault="00F05844" w:rsidP="00F0584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1" w:type="dxa"/>
          </w:tcPr>
          <w:p w14:paraId="4B5BB7B6" w14:textId="1374A99C" w:rsidR="00F05844" w:rsidRPr="0067507D" w:rsidRDefault="001D6B17" w:rsidP="00F05844">
            <w:pPr>
              <w:pStyle w:val="Tabletextright"/>
              <w:rPr>
                <w:rFonts w:eastAsia="Garamond"/>
                <w:szCs w:val="24"/>
              </w:rPr>
            </w:pPr>
            <w:r w:rsidRPr="0067507D">
              <w:rPr>
                <w:rFonts w:eastAsia="Garamond"/>
                <w:szCs w:val="24"/>
              </w:rPr>
              <w:t>100</w:t>
            </w:r>
          </w:p>
        </w:tc>
        <w:tc>
          <w:tcPr>
            <w:cnfStyle w:val="000010000000" w:firstRow="0" w:lastRow="0" w:firstColumn="0" w:lastColumn="0" w:oddVBand="1" w:evenVBand="0" w:oddHBand="0" w:evenHBand="0" w:firstRowFirstColumn="0" w:firstRowLastColumn="0" w:lastRowFirstColumn="0" w:lastRowLastColumn="0"/>
            <w:tcW w:w="1031" w:type="dxa"/>
          </w:tcPr>
          <w:p w14:paraId="18A3B09D" w14:textId="1C069C93" w:rsidR="00F05844" w:rsidRPr="0067507D" w:rsidRDefault="00F05844" w:rsidP="00F05844">
            <w:pPr>
              <w:pStyle w:val="Tabletextright"/>
              <w:rPr>
                <w:rFonts w:eastAsia="Garamond"/>
                <w:szCs w:val="24"/>
              </w:rPr>
            </w:pPr>
            <w:r w:rsidRPr="0067507D">
              <w:rPr>
                <w:iCs/>
              </w:rPr>
              <w:t>90</w:t>
            </w:r>
          </w:p>
        </w:tc>
        <w:tc>
          <w:tcPr>
            <w:cnfStyle w:val="000001000000" w:firstRow="0" w:lastRow="0" w:firstColumn="0" w:lastColumn="0" w:oddVBand="0" w:evenVBand="1" w:oddHBand="0" w:evenHBand="0" w:firstRowFirstColumn="0" w:firstRowLastColumn="0" w:lastRowFirstColumn="0" w:lastRowLastColumn="0"/>
            <w:tcW w:w="1259" w:type="dxa"/>
          </w:tcPr>
          <w:p w14:paraId="5ABB354D" w14:textId="168C5F99" w:rsidR="00F05844" w:rsidRPr="0067507D" w:rsidRDefault="00351860" w:rsidP="00F05844">
            <w:pPr>
              <w:pStyle w:val="Tabletextright"/>
              <w:rPr>
                <w:rFonts w:eastAsia="Garamond"/>
                <w:szCs w:val="24"/>
              </w:rPr>
            </w:pPr>
            <w:r w:rsidRPr="0067507D">
              <w:rPr>
                <w:rFonts w:eastAsia="Garamond"/>
                <w:szCs w:val="24"/>
              </w:rPr>
              <w:t>11</w:t>
            </w:r>
          </w:p>
        </w:tc>
        <w:tc>
          <w:tcPr>
            <w:cnfStyle w:val="000010000000" w:firstRow="0" w:lastRow="0" w:firstColumn="0" w:lastColumn="0" w:oddVBand="1" w:evenVBand="0" w:oddHBand="0" w:evenHBand="0" w:firstRowFirstColumn="0" w:firstRowLastColumn="0" w:lastRowFirstColumn="0" w:lastRowLastColumn="0"/>
            <w:tcW w:w="901" w:type="dxa"/>
          </w:tcPr>
          <w:p w14:paraId="5AF8A2A3" w14:textId="77777777" w:rsidR="00F05844" w:rsidRPr="0067507D" w:rsidRDefault="00F05844" w:rsidP="004F6550">
            <w:pPr>
              <w:pStyle w:val="TargetMet"/>
              <w:rPr>
                <w:rFonts w:eastAsia="Garamond"/>
              </w:rPr>
            </w:pPr>
          </w:p>
        </w:tc>
      </w:tr>
      <w:tr w:rsidR="00E26BDE" w:rsidRPr="0067507D" w14:paraId="08B410F5"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312A5B06" w14:textId="54821141" w:rsidR="00F05844" w:rsidRPr="0067507D" w:rsidRDefault="00F05844" w:rsidP="00DE1F16">
            <w:pPr>
              <w:pStyle w:val="Tabletext"/>
              <w:rPr>
                <w:iCs/>
              </w:rPr>
            </w:pPr>
            <w:r w:rsidRPr="0067507D">
              <w:rPr>
                <w:iCs/>
              </w:rPr>
              <w:lastRenderedPageBreak/>
              <w:t>Wage Inspectorate Victoria: Long Service leave investigations completed within 90</w:t>
            </w:r>
            <w:r w:rsidRPr="0067507D">
              <w:rPr>
                <w:rFonts w:ascii="Calibri" w:hAnsi="Calibri" w:cs="Calibri"/>
              </w:rPr>
              <w:t> </w:t>
            </w:r>
            <w:r w:rsidRPr="0067507D">
              <w:rPr>
                <w:iCs/>
              </w:rPr>
              <w:t>days of lodgement</w:t>
            </w:r>
          </w:p>
          <w:p w14:paraId="38C18E8E" w14:textId="28E9633B" w:rsidR="00F05844" w:rsidRPr="0067507D" w:rsidRDefault="00DE1F16" w:rsidP="00B93726">
            <w:pPr>
              <w:pStyle w:val="Tabletextnotes"/>
              <w:rPr>
                <w:rFonts w:eastAsia="Garamond"/>
              </w:rPr>
            </w:pPr>
            <w:r w:rsidRPr="0067507D">
              <w:rPr>
                <w:rFonts w:eastAsia="Garamond"/>
              </w:rPr>
              <w:t>The 2024</w:t>
            </w:r>
            <w:r w:rsidR="006A5485">
              <w:rPr>
                <w:rFonts w:eastAsia="Garamond"/>
              </w:rPr>
              <w:noBreakHyphen/>
            </w:r>
            <w:r w:rsidRPr="0067507D">
              <w:rPr>
                <w:rFonts w:eastAsia="Garamond"/>
              </w:rPr>
              <w:t>25 actual is higher than the target as, per the Wage Inspectorate</w:t>
            </w:r>
            <w:r w:rsidR="003E456D" w:rsidRPr="0067507D">
              <w:rPr>
                <w:rFonts w:eastAsia="Garamond"/>
              </w:rPr>
              <w:t xml:space="preserve"> Victoria</w:t>
            </w:r>
            <w:r w:rsidRPr="0067507D">
              <w:rPr>
                <w:rFonts w:eastAsia="Garamond"/>
              </w:rPr>
              <w:t xml:space="preserve">’s </w:t>
            </w:r>
            <w:r w:rsidR="003E456D" w:rsidRPr="0067507D">
              <w:rPr>
                <w:rFonts w:eastAsia="Garamond"/>
              </w:rPr>
              <w:t xml:space="preserve">(WIV) </w:t>
            </w:r>
            <w:r w:rsidRPr="0067507D">
              <w:rPr>
                <w:rFonts w:eastAsia="Garamond"/>
              </w:rPr>
              <w:t xml:space="preserve">standard practice, a range of innovations and efficiencies across the Long Service Leave and Child Employment teams have enabled WIV to exceed its current measures. </w:t>
            </w:r>
          </w:p>
        </w:tc>
        <w:tc>
          <w:tcPr>
            <w:cnfStyle w:val="000010000000" w:firstRow="0" w:lastRow="0" w:firstColumn="0" w:lastColumn="0" w:oddVBand="1" w:evenVBand="0" w:oddHBand="0" w:evenHBand="0" w:firstRowFirstColumn="0" w:firstRowLastColumn="0" w:lastRowFirstColumn="0" w:lastRowLastColumn="0"/>
            <w:tcW w:w="998" w:type="dxa"/>
          </w:tcPr>
          <w:p w14:paraId="7486B027" w14:textId="672E9B9A" w:rsidR="00F05844" w:rsidRPr="0067507D" w:rsidRDefault="00F05844" w:rsidP="00F05844">
            <w:pPr>
              <w:pStyle w:val="Tabletextcentred"/>
              <w:rPr>
                <w:rFonts w:eastAsia="Garamond"/>
              </w:rPr>
            </w:pPr>
            <w:r w:rsidRPr="0067507D">
              <w:rPr>
                <w:iCs/>
              </w:rPr>
              <w:t>per cent</w:t>
            </w:r>
          </w:p>
        </w:tc>
        <w:tc>
          <w:tcPr>
            <w:cnfStyle w:val="000001000000" w:firstRow="0" w:lastRow="0" w:firstColumn="0" w:lastColumn="0" w:oddVBand="0" w:evenVBand="1" w:oddHBand="0" w:evenHBand="0" w:firstRowFirstColumn="0" w:firstRowLastColumn="0" w:lastRowFirstColumn="0" w:lastRowLastColumn="0"/>
            <w:tcW w:w="1031" w:type="dxa"/>
          </w:tcPr>
          <w:p w14:paraId="6E20CED0" w14:textId="0A9C7688" w:rsidR="00F05844" w:rsidRPr="0067507D" w:rsidRDefault="00B34849" w:rsidP="00F05844">
            <w:pPr>
              <w:pStyle w:val="Tabletextright"/>
              <w:rPr>
                <w:rFonts w:eastAsia="Garamond"/>
                <w:szCs w:val="24"/>
              </w:rPr>
            </w:pPr>
            <w:r w:rsidRPr="0067507D">
              <w:rPr>
                <w:rFonts w:eastAsia="Garamond"/>
                <w:szCs w:val="24"/>
              </w:rPr>
              <w:t>74.42</w:t>
            </w:r>
          </w:p>
        </w:tc>
        <w:tc>
          <w:tcPr>
            <w:cnfStyle w:val="000010000000" w:firstRow="0" w:lastRow="0" w:firstColumn="0" w:lastColumn="0" w:oddVBand="1" w:evenVBand="0" w:oddHBand="0" w:evenHBand="0" w:firstRowFirstColumn="0" w:firstRowLastColumn="0" w:lastRowFirstColumn="0" w:lastRowLastColumn="0"/>
            <w:tcW w:w="1031" w:type="dxa"/>
          </w:tcPr>
          <w:p w14:paraId="7BAAEB22" w14:textId="02145F08" w:rsidR="00F05844" w:rsidRPr="0067507D" w:rsidRDefault="00F05844" w:rsidP="00F05844">
            <w:pPr>
              <w:pStyle w:val="Tabletextright"/>
              <w:rPr>
                <w:rFonts w:eastAsia="Garamond"/>
                <w:szCs w:val="24"/>
              </w:rPr>
            </w:pPr>
            <w:r w:rsidRPr="0067507D">
              <w:rPr>
                <w:iCs/>
              </w:rPr>
              <w:t>50</w:t>
            </w:r>
          </w:p>
        </w:tc>
        <w:tc>
          <w:tcPr>
            <w:cnfStyle w:val="000001000000" w:firstRow="0" w:lastRow="0" w:firstColumn="0" w:lastColumn="0" w:oddVBand="0" w:evenVBand="1" w:oddHBand="0" w:evenHBand="0" w:firstRowFirstColumn="0" w:firstRowLastColumn="0" w:lastRowFirstColumn="0" w:lastRowLastColumn="0"/>
            <w:tcW w:w="1259" w:type="dxa"/>
          </w:tcPr>
          <w:p w14:paraId="670B7501" w14:textId="5BC4EB91" w:rsidR="00F05844" w:rsidRPr="0067507D" w:rsidRDefault="00D74520" w:rsidP="00F05844">
            <w:pPr>
              <w:pStyle w:val="Tabletextright"/>
              <w:rPr>
                <w:rFonts w:eastAsia="Garamond"/>
                <w:szCs w:val="24"/>
              </w:rPr>
            </w:pPr>
            <w:r w:rsidRPr="0067507D">
              <w:rPr>
                <w:rFonts w:eastAsia="Garamond"/>
                <w:szCs w:val="24"/>
              </w:rPr>
              <w:t>48.8</w:t>
            </w:r>
          </w:p>
        </w:tc>
        <w:tc>
          <w:tcPr>
            <w:cnfStyle w:val="000010000000" w:firstRow="0" w:lastRow="0" w:firstColumn="0" w:lastColumn="0" w:oddVBand="1" w:evenVBand="0" w:oddHBand="0" w:evenHBand="0" w:firstRowFirstColumn="0" w:firstRowLastColumn="0" w:lastRowFirstColumn="0" w:lastRowLastColumn="0"/>
            <w:tcW w:w="901" w:type="dxa"/>
          </w:tcPr>
          <w:p w14:paraId="3D9498BB" w14:textId="77777777" w:rsidR="00F05844" w:rsidRPr="0067507D" w:rsidRDefault="00F05844" w:rsidP="004F6550">
            <w:pPr>
              <w:pStyle w:val="TargetMet"/>
              <w:rPr>
                <w:rFonts w:eastAsia="Garamond"/>
              </w:rPr>
            </w:pPr>
          </w:p>
        </w:tc>
      </w:tr>
      <w:tr w:rsidR="00E26BDE" w:rsidRPr="0067507D" w14:paraId="20167D08"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58CB6902" w14:textId="628E6196" w:rsidR="00F05844" w:rsidRPr="0067507D" w:rsidRDefault="00F05844" w:rsidP="00F05844">
            <w:pPr>
              <w:pStyle w:val="Tabletextheadingleft"/>
            </w:pPr>
            <w:r w:rsidRPr="0067507D">
              <w:rPr>
                <w:iCs/>
              </w:rPr>
              <w:t>Cost</w:t>
            </w:r>
          </w:p>
        </w:tc>
        <w:tc>
          <w:tcPr>
            <w:cnfStyle w:val="000010000000" w:firstRow="0" w:lastRow="0" w:firstColumn="0" w:lastColumn="0" w:oddVBand="1" w:evenVBand="0" w:oddHBand="0" w:evenHBand="0" w:firstRowFirstColumn="0" w:firstRowLastColumn="0" w:lastRowFirstColumn="0" w:lastRowLastColumn="0"/>
            <w:tcW w:w="998" w:type="dxa"/>
          </w:tcPr>
          <w:p w14:paraId="0E88595B" w14:textId="70808120" w:rsidR="00F05844" w:rsidRPr="0067507D" w:rsidRDefault="00F05844" w:rsidP="00F05844">
            <w:pPr>
              <w:pStyle w:val="Tabletextcentred"/>
              <w:rPr>
                <w:rFonts w:eastAsia="Garamond"/>
              </w:rPr>
            </w:pPr>
          </w:p>
        </w:tc>
        <w:tc>
          <w:tcPr>
            <w:cnfStyle w:val="000001000000" w:firstRow="0" w:lastRow="0" w:firstColumn="0" w:lastColumn="0" w:oddVBand="0" w:evenVBand="1" w:oddHBand="0" w:evenHBand="0" w:firstRowFirstColumn="0" w:firstRowLastColumn="0" w:lastRowFirstColumn="0" w:lastRowLastColumn="0"/>
            <w:tcW w:w="1031" w:type="dxa"/>
          </w:tcPr>
          <w:p w14:paraId="1FD8B38E" w14:textId="5C48D0D6" w:rsidR="00F05844" w:rsidRPr="0067507D" w:rsidRDefault="00F05844" w:rsidP="00F05844">
            <w:pPr>
              <w:pStyle w:val="Tabletextright"/>
              <w:rPr>
                <w:rFonts w:eastAsia="Garamond"/>
                <w:szCs w:val="24"/>
              </w:rPr>
            </w:pPr>
          </w:p>
        </w:tc>
        <w:tc>
          <w:tcPr>
            <w:cnfStyle w:val="000010000000" w:firstRow="0" w:lastRow="0" w:firstColumn="0" w:lastColumn="0" w:oddVBand="1" w:evenVBand="0" w:oddHBand="0" w:evenHBand="0" w:firstRowFirstColumn="0" w:firstRowLastColumn="0" w:lastRowFirstColumn="0" w:lastRowLastColumn="0"/>
            <w:tcW w:w="1031" w:type="dxa"/>
          </w:tcPr>
          <w:p w14:paraId="576D0A9A" w14:textId="758DCEF0" w:rsidR="00F05844" w:rsidRPr="0067507D" w:rsidRDefault="00F05844" w:rsidP="00F05844">
            <w:pPr>
              <w:pStyle w:val="Tabletextright"/>
              <w:rPr>
                <w:rFonts w:eastAsia="Garamond"/>
                <w:szCs w:val="24"/>
              </w:rPr>
            </w:pPr>
          </w:p>
        </w:tc>
        <w:tc>
          <w:tcPr>
            <w:cnfStyle w:val="000001000000" w:firstRow="0" w:lastRow="0" w:firstColumn="0" w:lastColumn="0" w:oddVBand="0" w:evenVBand="1" w:oddHBand="0" w:evenHBand="0" w:firstRowFirstColumn="0" w:firstRowLastColumn="0" w:lastRowFirstColumn="0" w:lastRowLastColumn="0"/>
            <w:tcW w:w="1259" w:type="dxa"/>
          </w:tcPr>
          <w:p w14:paraId="0D3CA2BF" w14:textId="7216F3A4" w:rsidR="00F05844" w:rsidRPr="0067507D" w:rsidRDefault="00F05844" w:rsidP="00F05844">
            <w:pPr>
              <w:pStyle w:val="Tabletextright"/>
              <w:rPr>
                <w:rFonts w:eastAsia="Garamond"/>
                <w:szCs w:val="24"/>
              </w:rPr>
            </w:pPr>
          </w:p>
        </w:tc>
        <w:tc>
          <w:tcPr>
            <w:cnfStyle w:val="000010000000" w:firstRow="0" w:lastRow="0" w:firstColumn="0" w:lastColumn="0" w:oddVBand="1" w:evenVBand="0" w:oddHBand="0" w:evenHBand="0" w:firstRowFirstColumn="0" w:firstRowLastColumn="0" w:lastRowFirstColumn="0" w:lastRowLastColumn="0"/>
            <w:tcW w:w="901" w:type="dxa"/>
          </w:tcPr>
          <w:p w14:paraId="6A3C22F8" w14:textId="77777777" w:rsidR="00F05844" w:rsidRPr="0067507D" w:rsidRDefault="00F05844" w:rsidP="00F05844">
            <w:pPr>
              <w:pStyle w:val="Tabletextright"/>
              <w:rPr>
                <w:rFonts w:eastAsia="Garamond"/>
              </w:rPr>
            </w:pPr>
          </w:p>
        </w:tc>
      </w:tr>
      <w:tr w:rsidR="00E26BDE" w:rsidRPr="0067507D" w14:paraId="6EF7E623" w14:textId="77777777" w:rsidTr="007533F6">
        <w:tc>
          <w:tcPr>
            <w:cnfStyle w:val="001000000000" w:firstRow="0" w:lastRow="0" w:firstColumn="1" w:lastColumn="0" w:oddVBand="0" w:evenVBand="0" w:oddHBand="0" w:evenHBand="0" w:firstRowFirstColumn="0" w:firstRowLastColumn="0" w:lastRowFirstColumn="0" w:lastRowLastColumn="0"/>
            <w:tcW w:w="3690" w:type="dxa"/>
          </w:tcPr>
          <w:p w14:paraId="234485D9" w14:textId="77777777" w:rsidR="00F05844" w:rsidRPr="0067507D" w:rsidRDefault="00F05844" w:rsidP="00F05844">
            <w:pPr>
              <w:pStyle w:val="Tabletext"/>
            </w:pPr>
            <w:r w:rsidRPr="0067507D">
              <w:t>Total output cost</w:t>
            </w:r>
          </w:p>
          <w:p w14:paraId="788B6032" w14:textId="70220A50" w:rsidR="00F05844" w:rsidRPr="0067507D" w:rsidRDefault="00E701E8" w:rsidP="00B93726">
            <w:pPr>
              <w:pStyle w:val="Tabletextnotes"/>
            </w:pPr>
            <w:r w:rsidRPr="0067507D">
              <w:rPr>
                <w:rFonts w:eastAsia="Garamond"/>
              </w:rPr>
              <w:t>The 2024</w:t>
            </w:r>
            <w:r w:rsidR="006A5485">
              <w:rPr>
                <w:rFonts w:eastAsia="Garamond"/>
              </w:rPr>
              <w:noBreakHyphen/>
            </w:r>
            <w:r w:rsidRPr="0067507D">
              <w:rPr>
                <w:rFonts w:eastAsia="Garamond"/>
              </w:rPr>
              <w:t>25 actual is lower than the target mainly due to funding rephased into future years.</w:t>
            </w:r>
          </w:p>
        </w:tc>
        <w:tc>
          <w:tcPr>
            <w:cnfStyle w:val="000010000000" w:firstRow="0" w:lastRow="0" w:firstColumn="0" w:lastColumn="0" w:oddVBand="1" w:evenVBand="0" w:oddHBand="0" w:evenHBand="0" w:firstRowFirstColumn="0" w:firstRowLastColumn="0" w:lastRowFirstColumn="0" w:lastRowLastColumn="0"/>
            <w:tcW w:w="998" w:type="dxa"/>
          </w:tcPr>
          <w:p w14:paraId="15F64D5C" w14:textId="18F5B732" w:rsidR="00F05844" w:rsidRPr="0067507D" w:rsidRDefault="00F05844" w:rsidP="00F05844">
            <w:pPr>
              <w:pStyle w:val="Tabletextcentred"/>
              <w:rPr>
                <w:rFonts w:eastAsia="Garamond"/>
              </w:rPr>
            </w:pPr>
            <w:r w:rsidRPr="0067507D">
              <w:t>$ million</w:t>
            </w:r>
          </w:p>
        </w:tc>
        <w:tc>
          <w:tcPr>
            <w:cnfStyle w:val="000001000000" w:firstRow="0" w:lastRow="0" w:firstColumn="0" w:lastColumn="0" w:oddVBand="0" w:evenVBand="1" w:oddHBand="0" w:evenHBand="0" w:firstRowFirstColumn="0" w:firstRowLastColumn="0" w:lastRowFirstColumn="0" w:lastRowLastColumn="0"/>
            <w:tcW w:w="1031" w:type="dxa"/>
          </w:tcPr>
          <w:p w14:paraId="25028B2E" w14:textId="7044A42D" w:rsidR="00F05844" w:rsidRPr="0067507D" w:rsidRDefault="006F11EF" w:rsidP="00F05844">
            <w:pPr>
              <w:pStyle w:val="Tabletextright"/>
              <w:rPr>
                <w:rFonts w:eastAsia="Garamond"/>
                <w:szCs w:val="24"/>
              </w:rPr>
            </w:pPr>
            <w:r w:rsidRPr="0067507D">
              <w:rPr>
                <w:rFonts w:eastAsia="Garamond"/>
                <w:szCs w:val="24"/>
              </w:rPr>
              <w:t>20</w:t>
            </w:r>
          </w:p>
        </w:tc>
        <w:tc>
          <w:tcPr>
            <w:cnfStyle w:val="000010000000" w:firstRow="0" w:lastRow="0" w:firstColumn="0" w:lastColumn="0" w:oddVBand="1" w:evenVBand="0" w:oddHBand="0" w:evenHBand="0" w:firstRowFirstColumn="0" w:firstRowLastColumn="0" w:lastRowFirstColumn="0" w:lastRowLastColumn="0"/>
            <w:tcW w:w="1031" w:type="dxa"/>
          </w:tcPr>
          <w:p w14:paraId="6DA2257F" w14:textId="2581BDBA" w:rsidR="00F05844" w:rsidRPr="0067507D" w:rsidRDefault="00F05844" w:rsidP="00F05844">
            <w:pPr>
              <w:pStyle w:val="Tabletextright"/>
              <w:rPr>
                <w:rFonts w:eastAsia="Garamond"/>
                <w:szCs w:val="24"/>
              </w:rPr>
            </w:pPr>
            <w:r w:rsidRPr="0067507D">
              <w:rPr>
                <w:iCs/>
              </w:rPr>
              <w:t>32.4</w:t>
            </w:r>
          </w:p>
        </w:tc>
        <w:tc>
          <w:tcPr>
            <w:cnfStyle w:val="000001000000" w:firstRow="0" w:lastRow="0" w:firstColumn="0" w:lastColumn="0" w:oddVBand="0" w:evenVBand="1" w:oddHBand="0" w:evenHBand="0" w:firstRowFirstColumn="0" w:firstRowLastColumn="0" w:lastRowFirstColumn="0" w:lastRowLastColumn="0"/>
            <w:tcW w:w="1259" w:type="dxa"/>
          </w:tcPr>
          <w:p w14:paraId="0085656A" w14:textId="22F67A27" w:rsidR="00F05844" w:rsidRPr="0067507D" w:rsidRDefault="004F4476" w:rsidP="00F05844">
            <w:pPr>
              <w:pStyle w:val="Tabletextright"/>
              <w:rPr>
                <w:rFonts w:eastAsia="Garamond"/>
                <w:szCs w:val="24"/>
              </w:rPr>
            </w:pPr>
            <w:r>
              <w:rPr>
                <w:rFonts w:eastAsia="Garamond"/>
                <w:szCs w:val="24"/>
              </w:rPr>
              <w:t>-</w:t>
            </w:r>
            <w:r w:rsidR="006F11EF" w:rsidRPr="0067507D">
              <w:rPr>
                <w:rFonts w:eastAsia="Garamond"/>
                <w:szCs w:val="24"/>
              </w:rPr>
              <w:t>37.9</w:t>
            </w:r>
          </w:p>
        </w:tc>
        <w:tc>
          <w:tcPr>
            <w:cnfStyle w:val="000010000000" w:firstRow="0" w:lastRow="0" w:firstColumn="0" w:lastColumn="0" w:oddVBand="1" w:evenVBand="0" w:oddHBand="0" w:evenHBand="0" w:firstRowFirstColumn="0" w:firstRowLastColumn="0" w:lastRowFirstColumn="0" w:lastRowLastColumn="0"/>
            <w:tcW w:w="901" w:type="dxa"/>
          </w:tcPr>
          <w:p w14:paraId="189032C1" w14:textId="77777777" w:rsidR="00F05844" w:rsidRPr="0067507D" w:rsidRDefault="00F05844" w:rsidP="004956C8">
            <w:pPr>
              <w:pStyle w:val="TargetNotMet50"/>
              <w:rPr>
                <w:rFonts w:eastAsia="Garamond"/>
              </w:rPr>
            </w:pPr>
          </w:p>
        </w:tc>
      </w:tr>
    </w:tbl>
    <w:p w14:paraId="0C05017A" w14:textId="048C8F54" w:rsidR="00795F50" w:rsidRPr="0067507D" w:rsidRDefault="00795F50" w:rsidP="0043156E">
      <w:pPr>
        <w:rPr>
          <w:rFonts w:eastAsiaTheme="minorHAnsi"/>
          <w:sz w:val="16"/>
        </w:rPr>
      </w:pPr>
    </w:p>
    <w:p w14:paraId="067D5AA9" w14:textId="22C16205" w:rsidR="005E6D06" w:rsidRPr="0067507D" w:rsidRDefault="005E6D06" w:rsidP="005E6D06">
      <w:pPr>
        <w:pStyle w:val="Heading2"/>
        <w:spacing w:before="0"/>
        <w:rPr>
          <w:rFonts w:eastAsiaTheme="minorHAnsi"/>
          <w:sz w:val="22"/>
          <w:szCs w:val="24"/>
        </w:rPr>
      </w:pPr>
      <w:r w:rsidRPr="0067507D">
        <w:rPr>
          <w:rFonts w:eastAsiaTheme="minorHAnsi"/>
          <w:sz w:val="22"/>
          <w:szCs w:val="24"/>
        </w:rPr>
        <w:t>Discontinued operations</w:t>
      </w:r>
    </w:p>
    <w:p w14:paraId="120BC589" w14:textId="481D24BF" w:rsidR="005E6D06" w:rsidRPr="0067507D" w:rsidRDefault="005E6D06" w:rsidP="005E6D06">
      <w:r w:rsidRPr="0067507D">
        <w:t xml:space="preserve">There were no discontinued operations in </w:t>
      </w:r>
      <w:r w:rsidR="00C30F42" w:rsidRPr="0067507D">
        <w:t>2024</w:t>
      </w:r>
      <w:r w:rsidR="006A5485">
        <w:noBreakHyphen/>
      </w:r>
      <w:r w:rsidR="00C30F42" w:rsidRPr="0067507D">
        <w:t>25</w:t>
      </w:r>
      <w:r w:rsidRPr="0067507D">
        <w:t>.</w:t>
      </w:r>
    </w:p>
    <w:p w14:paraId="64D721D4" w14:textId="3FA55449" w:rsidR="002D2CF9" w:rsidRPr="0067507D" w:rsidRDefault="002D2CF9" w:rsidP="005E6D06"/>
    <w:p w14:paraId="68A5DED3" w14:textId="77777777" w:rsidR="005E6D06" w:rsidRPr="0067507D" w:rsidRDefault="005E6D06" w:rsidP="005E6D06">
      <w:pPr>
        <w:pStyle w:val="Spacer"/>
      </w:pPr>
    </w:p>
    <w:p w14:paraId="3E623E7C" w14:textId="77777777" w:rsidR="005E6D06" w:rsidRPr="0067507D" w:rsidRDefault="005E6D06" w:rsidP="005E6D06">
      <w:pPr>
        <w:sectPr w:rsidR="005E6D06" w:rsidRPr="0067507D" w:rsidSect="00ED640C">
          <w:footerReference w:type="even" r:id="rId50"/>
          <w:footerReference w:type="default" r:id="rId51"/>
          <w:pgSz w:w="11909" w:h="16834" w:code="9"/>
          <w:pgMar w:top="1728" w:right="1152" w:bottom="1152" w:left="1152" w:header="720" w:footer="288" w:gutter="0"/>
          <w:cols w:space="720"/>
          <w:noEndnote/>
        </w:sectPr>
      </w:pPr>
    </w:p>
    <w:p w14:paraId="5A040239" w14:textId="2612270C" w:rsidR="005E6D06" w:rsidRPr="0067507D" w:rsidRDefault="005E6D06" w:rsidP="005E6D06">
      <w:pPr>
        <w:pStyle w:val="Heading3"/>
      </w:pPr>
      <w:bookmarkStart w:id="32" w:name="_Hlk79095829"/>
      <w:r w:rsidRPr="0067507D">
        <w:lastRenderedPageBreak/>
        <w:t>Capital projects/asset investment programs</w:t>
      </w:r>
    </w:p>
    <w:bookmarkEnd w:id="32"/>
    <w:p w14:paraId="400E0AA5" w14:textId="77777777" w:rsidR="005E6D06" w:rsidRPr="0067507D" w:rsidRDefault="005E6D06" w:rsidP="005E6D06">
      <w:r w:rsidRPr="0067507D">
        <w:t>Information on the new and existing capital projects for Departments and the broader Victorian public sector is contained in Budget Paper No.</w:t>
      </w:r>
      <w:r w:rsidRPr="0067507D">
        <w:rPr>
          <w:rFonts w:ascii="Calibri" w:hAnsi="Calibri" w:cs="Calibri"/>
        </w:rPr>
        <w:t> </w:t>
      </w:r>
      <w:r w:rsidRPr="0067507D">
        <w:t xml:space="preserve">4 </w:t>
      </w:r>
      <w:r w:rsidRPr="0067507D">
        <w:rPr>
          <w:i/>
        </w:rPr>
        <w:t>State Capital Program</w:t>
      </w:r>
      <w:r w:rsidRPr="0067507D">
        <w:t xml:space="preserve">, which is available on DTF’s website. </w:t>
      </w:r>
    </w:p>
    <w:p w14:paraId="75BB2020" w14:textId="0A06F8D4" w:rsidR="005E6D06" w:rsidRPr="0067507D" w:rsidRDefault="005E6D06" w:rsidP="005E6D06">
      <w:r w:rsidRPr="0067507D">
        <w:t>No major projects with a total estimated investment of $10</w:t>
      </w:r>
      <w:r w:rsidRPr="0067507D">
        <w:rPr>
          <w:rFonts w:ascii="Calibri" w:hAnsi="Calibri" w:cs="Calibri"/>
        </w:rPr>
        <w:t> </w:t>
      </w:r>
      <w:r w:rsidRPr="0067507D">
        <w:rPr>
          <w:rFonts w:cs="Segoe UI"/>
        </w:rPr>
        <w:t>million</w:t>
      </w:r>
      <w:r w:rsidRPr="0067507D">
        <w:t xml:space="preserve"> or greater were completed during the</w:t>
      </w:r>
      <w:r w:rsidRPr="0067507D">
        <w:rPr>
          <w:rFonts w:ascii="Calibri" w:hAnsi="Calibri" w:cs="Calibri"/>
        </w:rPr>
        <w:t> </w:t>
      </w:r>
      <w:r w:rsidRPr="0067507D">
        <w:t>year.</w:t>
      </w:r>
    </w:p>
    <w:p w14:paraId="26CC50B5" w14:textId="77777777" w:rsidR="005E6D06" w:rsidRPr="0067507D" w:rsidRDefault="005E6D06" w:rsidP="005E6D06"/>
    <w:p w14:paraId="5996920B" w14:textId="0EC790AB" w:rsidR="004E2C91" w:rsidRPr="0067507D" w:rsidRDefault="00322EDC" w:rsidP="004E2C91">
      <w:pPr>
        <w:pStyle w:val="Heading3"/>
      </w:pPr>
      <w:r w:rsidRPr="0067507D">
        <w:t>Disclosure of grants and transfer payments (other than contributions by owners)</w:t>
      </w:r>
      <w:r w:rsidR="004E2C91" w:rsidRPr="0067507D">
        <w:t xml:space="preserve"> </w:t>
      </w:r>
    </w:p>
    <w:p w14:paraId="5CA89275" w14:textId="208610C0" w:rsidR="00B35ABB" w:rsidRPr="0067507D" w:rsidRDefault="0058497D" w:rsidP="00322EDC">
      <w:r w:rsidRPr="0067507D">
        <w:t>The Department of Treasury and Finance provided grants to various Departments, Councils and organisations in 2024</w:t>
      </w:r>
      <w:r w:rsidR="006A5485">
        <w:noBreakHyphen/>
      </w:r>
      <w:r w:rsidRPr="0067507D">
        <w:t>25. The grants provided were as follows, including GST where applicable.</w:t>
      </w:r>
    </w:p>
    <w:p w14:paraId="162141AF" w14:textId="58CCA6B8" w:rsidR="00322EDC" w:rsidRPr="0067507D" w:rsidRDefault="00F86AD8" w:rsidP="00463C79">
      <w:pPr>
        <w:pStyle w:val="Heading4"/>
        <w:spacing w:before="240"/>
      </w:pPr>
      <w:r w:rsidRPr="0067507D">
        <w:t>Budget and Financial Policy Advice</w:t>
      </w:r>
    </w:p>
    <w:p w14:paraId="2B6B870B" w14:textId="03FC742F" w:rsidR="00322EDC" w:rsidRPr="0067507D" w:rsidRDefault="00322EDC" w:rsidP="00322EDC">
      <w:r w:rsidRPr="0067507D">
        <w:rPr>
          <w:rFonts w:asciiTheme="majorHAnsi" w:hAnsiTheme="majorHAnsi"/>
        </w:rPr>
        <w:t xml:space="preserve">Grant </w:t>
      </w:r>
      <w:r w:rsidR="001D36EE" w:rsidRPr="0067507D">
        <w:t xml:space="preserve">– </w:t>
      </w:r>
      <w:r w:rsidR="00F86AD8" w:rsidRPr="0067507D">
        <w:t>Jewish Community Security Group Funding</w:t>
      </w:r>
    </w:p>
    <w:p w14:paraId="572878A0" w14:textId="09CE7722" w:rsidR="00322EDC" w:rsidRPr="0067507D" w:rsidRDefault="00F86AD8" w:rsidP="00322EDC">
      <w:r w:rsidRPr="0067507D">
        <w:t>A grant to the Jewish Community Security Group Victoria to address heightened security needs of the Jewish community.</w:t>
      </w:r>
    </w:p>
    <w:tbl>
      <w:tblPr>
        <w:tblStyle w:val="AnnualReportfinancialtable1"/>
        <w:tblW w:w="4644" w:type="dxa"/>
        <w:tblLook w:val="06A0" w:firstRow="1" w:lastRow="0" w:firstColumn="1" w:lastColumn="0" w:noHBand="1" w:noVBand="1"/>
      </w:tblPr>
      <w:tblGrid>
        <w:gridCol w:w="3510"/>
        <w:gridCol w:w="1134"/>
      </w:tblGrid>
      <w:tr w:rsidR="00001812" w:rsidRPr="0067507D" w14:paraId="0B610083" w14:textId="77777777" w:rsidTr="004D70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6A884D7" w14:textId="77777777" w:rsidR="00322EDC" w:rsidRPr="0067507D" w:rsidRDefault="00322EDC" w:rsidP="00322EDC">
            <w:pPr>
              <w:pStyle w:val="Tabletextheadingleft"/>
            </w:pPr>
            <w:r w:rsidRPr="0067507D">
              <w:t xml:space="preserve">Organisation </w:t>
            </w:r>
          </w:p>
        </w:tc>
        <w:tc>
          <w:tcPr>
            <w:tcW w:w="1134" w:type="dxa"/>
          </w:tcPr>
          <w:p w14:paraId="49FD0977" w14:textId="004250D6" w:rsidR="00322EDC" w:rsidRPr="0067507D" w:rsidRDefault="00322EDC" w:rsidP="00322EDC">
            <w:pPr>
              <w:pStyle w:val="Tabletextheading"/>
              <w:cnfStyle w:val="100000000000" w:firstRow="1" w:lastRow="0" w:firstColumn="0" w:lastColumn="0" w:oddVBand="0" w:evenVBand="0" w:oddHBand="0" w:evenHBand="0" w:firstRowFirstColumn="0" w:firstRowLastColumn="0" w:lastRowFirstColumn="0" w:lastRowLastColumn="0"/>
            </w:pPr>
            <w:r w:rsidRPr="0067507D">
              <w:t xml:space="preserve">Payment </w:t>
            </w:r>
            <w:r w:rsidRPr="0067507D">
              <w:br/>
              <w:t>($)</w:t>
            </w:r>
          </w:p>
        </w:tc>
      </w:tr>
      <w:tr w:rsidR="008F21AB" w:rsidRPr="0067507D" w14:paraId="7412119C" w14:textId="77777777" w:rsidTr="004D70AA">
        <w:tc>
          <w:tcPr>
            <w:cnfStyle w:val="001000000000" w:firstRow="0" w:lastRow="0" w:firstColumn="1" w:lastColumn="0" w:oddVBand="0" w:evenVBand="0" w:oddHBand="0" w:evenHBand="0" w:firstRowFirstColumn="0" w:firstRowLastColumn="0" w:lastRowFirstColumn="0" w:lastRowLastColumn="0"/>
            <w:tcW w:w="3510" w:type="dxa"/>
          </w:tcPr>
          <w:p w14:paraId="235D52BF" w14:textId="702ED2A3" w:rsidR="00322EDC" w:rsidRPr="0067507D" w:rsidRDefault="00234F91" w:rsidP="00322EDC">
            <w:pPr>
              <w:pStyle w:val="Tabletext"/>
            </w:pPr>
            <w:r w:rsidRPr="0067507D">
              <w:t>Jewish Community Security Group</w:t>
            </w:r>
          </w:p>
        </w:tc>
        <w:tc>
          <w:tcPr>
            <w:tcW w:w="1134" w:type="dxa"/>
          </w:tcPr>
          <w:p w14:paraId="4E3C22DB" w14:textId="1630C566" w:rsidR="00322EDC" w:rsidRPr="0067507D" w:rsidRDefault="00234F91" w:rsidP="00322EDC">
            <w:pPr>
              <w:pStyle w:val="Tabletextright"/>
              <w:cnfStyle w:val="000000000000" w:firstRow="0" w:lastRow="0" w:firstColumn="0" w:lastColumn="0" w:oddVBand="0" w:evenVBand="0" w:oddHBand="0" w:evenHBand="0" w:firstRowFirstColumn="0" w:firstRowLastColumn="0" w:lastRowFirstColumn="0" w:lastRowLastColumn="0"/>
            </w:pPr>
            <w:r w:rsidRPr="0067507D">
              <w:t>500 000</w:t>
            </w:r>
          </w:p>
        </w:tc>
      </w:tr>
    </w:tbl>
    <w:p w14:paraId="1043A1D0" w14:textId="77777777" w:rsidR="00445FD1" w:rsidRPr="0067507D" w:rsidRDefault="00445FD1" w:rsidP="00445FD1"/>
    <w:p w14:paraId="42BE68C3" w14:textId="6DC82F6C" w:rsidR="00322EDC" w:rsidRPr="0067507D" w:rsidRDefault="00463C79" w:rsidP="00445FD1">
      <w:pPr>
        <w:pStyle w:val="Heading4"/>
      </w:pPr>
      <w:r w:rsidRPr="0067507D">
        <w:rPr>
          <w:highlight w:val="yellow"/>
        </w:rPr>
        <w:br w:type="column"/>
      </w:r>
      <w:r w:rsidR="00B00F68" w:rsidRPr="0067507D">
        <w:t>Strengthening Victoria’s economic performance</w:t>
      </w:r>
    </w:p>
    <w:p w14:paraId="2E960A49" w14:textId="326C73AF" w:rsidR="00322EDC" w:rsidRPr="0067507D" w:rsidRDefault="00322EDC" w:rsidP="00322EDC">
      <w:pPr>
        <w:rPr>
          <w:highlight w:val="yellow"/>
        </w:rPr>
      </w:pPr>
      <w:r w:rsidRPr="0067507D">
        <w:rPr>
          <w:rFonts w:asciiTheme="majorHAnsi" w:hAnsiTheme="majorHAnsi"/>
        </w:rPr>
        <w:t xml:space="preserve">Grant </w:t>
      </w:r>
      <w:r w:rsidR="001D36EE" w:rsidRPr="0067507D">
        <w:t xml:space="preserve">– </w:t>
      </w:r>
      <w:r w:rsidR="00DA4AED" w:rsidRPr="0067507D">
        <w:t>Business Acceleration Fund (BAF)</w:t>
      </w:r>
    </w:p>
    <w:p w14:paraId="4D154DDD" w14:textId="3F0B5146" w:rsidR="00322EDC" w:rsidRPr="0067507D" w:rsidRDefault="00F76AB2" w:rsidP="00322EDC">
      <w:pPr>
        <w:rPr>
          <w:highlight w:val="yellow"/>
        </w:rPr>
      </w:pPr>
      <w:r w:rsidRPr="0067507D">
        <w:t>Grant</w:t>
      </w:r>
      <w:r w:rsidR="00B00F68" w:rsidRPr="0067507D">
        <w:t>s</w:t>
      </w:r>
      <w:r w:rsidRPr="0067507D">
        <w:t xml:space="preserve"> to support projects that modernise and streamline regulatory processes across the State's regulators and local councils.</w:t>
      </w:r>
    </w:p>
    <w:tbl>
      <w:tblPr>
        <w:tblStyle w:val="AnnualReportfinancialtable1"/>
        <w:tblW w:w="4464" w:type="dxa"/>
        <w:tblLook w:val="06A0" w:firstRow="1" w:lastRow="0" w:firstColumn="1" w:lastColumn="0" w:noHBand="1" w:noVBand="1"/>
      </w:tblPr>
      <w:tblGrid>
        <w:gridCol w:w="3330"/>
        <w:gridCol w:w="1134"/>
      </w:tblGrid>
      <w:tr w:rsidR="00001812" w:rsidRPr="0067507D" w14:paraId="75C0B6DE" w14:textId="77777777" w:rsidTr="000303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0" w:type="dxa"/>
            <w:vAlign w:val="bottom"/>
          </w:tcPr>
          <w:p w14:paraId="4558EBBB" w14:textId="57C19B35" w:rsidR="001D36EE" w:rsidRPr="0067507D" w:rsidRDefault="001D36EE" w:rsidP="005666DD">
            <w:pPr>
              <w:pStyle w:val="Tabletextheadingleft"/>
            </w:pPr>
            <w:r w:rsidRPr="0067507D">
              <w:t xml:space="preserve">Organisation </w:t>
            </w:r>
          </w:p>
        </w:tc>
        <w:tc>
          <w:tcPr>
            <w:tcW w:w="1134" w:type="dxa"/>
          </w:tcPr>
          <w:p w14:paraId="7F58339B" w14:textId="77777777" w:rsidR="001D36EE" w:rsidRPr="0067507D" w:rsidRDefault="001D36EE" w:rsidP="005666DD">
            <w:pPr>
              <w:pStyle w:val="Tabletextheading"/>
              <w:cnfStyle w:val="100000000000" w:firstRow="1" w:lastRow="0" w:firstColumn="0" w:lastColumn="0" w:oddVBand="0" w:evenVBand="0" w:oddHBand="0" w:evenHBand="0" w:firstRowFirstColumn="0" w:firstRowLastColumn="0" w:lastRowFirstColumn="0" w:lastRowLastColumn="0"/>
            </w:pPr>
            <w:r w:rsidRPr="0067507D">
              <w:t xml:space="preserve">Payment </w:t>
            </w:r>
            <w:r w:rsidRPr="0067507D">
              <w:br/>
              <w:t>($)</w:t>
            </w:r>
          </w:p>
        </w:tc>
      </w:tr>
      <w:tr w:rsidR="005666DD" w:rsidRPr="0067507D" w14:paraId="5B8CF0F3"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4ABA1A02" w14:textId="0D17BC57" w:rsidR="005666DD" w:rsidRPr="0067507D" w:rsidRDefault="005666DD" w:rsidP="005666DD">
            <w:pPr>
              <w:pStyle w:val="Tabletext"/>
              <w:rPr>
                <w:highlight w:val="yellow"/>
              </w:rPr>
            </w:pPr>
            <w:r w:rsidRPr="0067507D">
              <w:t>Bayside City Council</w:t>
            </w:r>
          </w:p>
        </w:tc>
        <w:tc>
          <w:tcPr>
            <w:tcW w:w="1134" w:type="dxa"/>
          </w:tcPr>
          <w:p w14:paraId="6084A3CE" w14:textId="14F37F40"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70 000 </w:t>
            </w:r>
          </w:p>
        </w:tc>
      </w:tr>
      <w:tr w:rsidR="005666DD" w:rsidRPr="0067507D" w14:paraId="3DAD382D"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7E41766A" w14:textId="54E0D394" w:rsidR="005666DD" w:rsidRPr="0067507D" w:rsidRDefault="005666DD" w:rsidP="005666DD">
            <w:pPr>
              <w:pStyle w:val="Tabletext"/>
              <w:rPr>
                <w:highlight w:val="yellow"/>
              </w:rPr>
            </w:pPr>
            <w:r w:rsidRPr="0067507D">
              <w:t>Cardinia Shire Council</w:t>
            </w:r>
          </w:p>
        </w:tc>
        <w:tc>
          <w:tcPr>
            <w:tcW w:w="1134" w:type="dxa"/>
          </w:tcPr>
          <w:p w14:paraId="3068C07D" w14:textId="511CD874"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37 000 </w:t>
            </w:r>
          </w:p>
        </w:tc>
      </w:tr>
      <w:tr w:rsidR="005666DD" w:rsidRPr="0067507D" w14:paraId="26A6A8D8"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6047A178" w14:textId="39116C83" w:rsidR="005666DD" w:rsidRPr="0067507D" w:rsidRDefault="005666DD" w:rsidP="005666DD">
            <w:pPr>
              <w:pStyle w:val="Tabletext"/>
              <w:rPr>
                <w:highlight w:val="yellow"/>
              </w:rPr>
            </w:pPr>
            <w:r w:rsidRPr="0067507D">
              <w:t>City of Boroondara</w:t>
            </w:r>
          </w:p>
        </w:tc>
        <w:tc>
          <w:tcPr>
            <w:tcW w:w="1134" w:type="dxa"/>
          </w:tcPr>
          <w:p w14:paraId="370A713B" w14:textId="77F81BA4"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50 000 </w:t>
            </w:r>
          </w:p>
        </w:tc>
      </w:tr>
      <w:tr w:rsidR="005666DD" w:rsidRPr="0067507D" w14:paraId="360B645B"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4ED2F1AF" w14:textId="087BBE4A" w:rsidR="005666DD" w:rsidRPr="0067507D" w:rsidRDefault="005666DD" w:rsidP="005666DD">
            <w:pPr>
              <w:pStyle w:val="Tabletext"/>
              <w:rPr>
                <w:highlight w:val="yellow"/>
              </w:rPr>
            </w:pPr>
            <w:r w:rsidRPr="0067507D">
              <w:t>City of Greater Dandenong</w:t>
            </w:r>
          </w:p>
        </w:tc>
        <w:tc>
          <w:tcPr>
            <w:tcW w:w="1134" w:type="dxa"/>
          </w:tcPr>
          <w:p w14:paraId="0D8EB03A" w14:textId="3F1ABB39"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100 000 </w:t>
            </w:r>
          </w:p>
        </w:tc>
      </w:tr>
      <w:tr w:rsidR="005666DD" w:rsidRPr="0067507D" w14:paraId="2E4FB5D2"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2FD026A9" w14:textId="437390B6" w:rsidR="005666DD" w:rsidRPr="0067507D" w:rsidRDefault="005666DD" w:rsidP="005666DD">
            <w:pPr>
              <w:pStyle w:val="Tabletext"/>
              <w:rPr>
                <w:highlight w:val="yellow"/>
              </w:rPr>
            </w:pPr>
            <w:r w:rsidRPr="0067507D">
              <w:t>City of Melbourne</w:t>
            </w:r>
          </w:p>
        </w:tc>
        <w:tc>
          <w:tcPr>
            <w:tcW w:w="1134" w:type="dxa"/>
          </w:tcPr>
          <w:p w14:paraId="5F67DB2A" w14:textId="35140079"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60 000 </w:t>
            </w:r>
          </w:p>
        </w:tc>
      </w:tr>
      <w:tr w:rsidR="005666DD" w:rsidRPr="0067507D" w14:paraId="2992149C"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1D071881" w14:textId="24D816C3" w:rsidR="005666DD" w:rsidRPr="0067507D" w:rsidRDefault="005666DD" w:rsidP="005666DD">
            <w:pPr>
              <w:pStyle w:val="Tabletext"/>
              <w:rPr>
                <w:highlight w:val="yellow"/>
              </w:rPr>
            </w:pPr>
            <w:r w:rsidRPr="0067507D">
              <w:t>City of Yarra</w:t>
            </w:r>
          </w:p>
        </w:tc>
        <w:tc>
          <w:tcPr>
            <w:tcW w:w="1134" w:type="dxa"/>
          </w:tcPr>
          <w:p w14:paraId="3443D6BE" w14:textId="6D7E1017"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50 000 </w:t>
            </w:r>
          </w:p>
        </w:tc>
      </w:tr>
      <w:tr w:rsidR="005666DD" w:rsidRPr="0067507D" w14:paraId="5C6766F8"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421ED1F1" w14:textId="1778BB18" w:rsidR="005666DD" w:rsidRPr="0067507D" w:rsidRDefault="005666DD" w:rsidP="005666DD">
            <w:pPr>
              <w:pStyle w:val="Tabletext"/>
              <w:rPr>
                <w:highlight w:val="yellow"/>
              </w:rPr>
            </w:pPr>
            <w:r w:rsidRPr="0067507D">
              <w:t>Corangamite Shire Council</w:t>
            </w:r>
          </w:p>
        </w:tc>
        <w:tc>
          <w:tcPr>
            <w:tcW w:w="1134" w:type="dxa"/>
          </w:tcPr>
          <w:p w14:paraId="3368F40D" w14:textId="02CAC25E"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200 000 </w:t>
            </w:r>
          </w:p>
        </w:tc>
      </w:tr>
      <w:tr w:rsidR="005666DD" w:rsidRPr="0067507D" w14:paraId="5165EB6C"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614ED7F3" w14:textId="70F67543" w:rsidR="005666DD" w:rsidRPr="0067507D" w:rsidRDefault="005666DD" w:rsidP="005666DD">
            <w:pPr>
              <w:pStyle w:val="Tabletext"/>
              <w:rPr>
                <w:highlight w:val="yellow"/>
              </w:rPr>
            </w:pPr>
            <w:r w:rsidRPr="0067507D">
              <w:t>Department of Energy, Environment and Climate Action</w:t>
            </w:r>
          </w:p>
        </w:tc>
        <w:tc>
          <w:tcPr>
            <w:tcW w:w="1134" w:type="dxa"/>
          </w:tcPr>
          <w:p w14:paraId="28BF63D7" w14:textId="30274829"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2</w:t>
            </w:r>
            <w:r w:rsidR="00AB39FF" w:rsidRPr="0067507D">
              <w:t xml:space="preserve"> </w:t>
            </w:r>
            <w:r w:rsidRPr="0067507D">
              <w:t xml:space="preserve">721 000 </w:t>
            </w:r>
          </w:p>
        </w:tc>
      </w:tr>
      <w:tr w:rsidR="005666DD" w:rsidRPr="0067507D" w14:paraId="648BFF7A"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0C1AF7EF" w14:textId="4F18A2A8" w:rsidR="005666DD" w:rsidRPr="0067507D" w:rsidRDefault="005666DD" w:rsidP="005666DD">
            <w:pPr>
              <w:pStyle w:val="Tabletext"/>
              <w:rPr>
                <w:highlight w:val="yellow"/>
              </w:rPr>
            </w:pPr>
            <w:r w:rsidRPr="0067507D">
              <w:t xml:space="preserve">Department of Jobs, Skills, Industry and Regions </w:t>
            </w:r>
          </w:p>
        </w:tc>
        <w:tc>
          <w:tcPr>
            <w:tcW w:w="1134" w:type="dxa"/>
          </w:tcPr>
          <w:p w14:paraId="01A6515D" w14:textId="0CDB94CF"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850 000 </w:t>
            </w:r>
          </w:p>
        </w:tc>
      </w:tr>
      <w:tr w:rsidR="005666DD" w:rsidRPr="0067507D" w14:paraId="0F555799"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34FE9516" w14:textId="44F33B43" w:rsidR="005666DD" w:rsidRPr="0067507D" w:rsidRDefault="005666DD" w:rsidP="005666DD">
            <w:pPr>
              <w:pStyle w:val="Tabletext"/>
              <w:rPr>
                <w:highlight w:val="yellow"/>
              </w:rPr>
            </w:pPr>
            <w:r w:rsidRPr="0067507D">
              <w:t>Department of Justice and Community Safety</w:t>
            </w:r>
          </w:p>
        </w:tc>
        <w:tc>
          <w:tcPr>
            <w:tcW w:w="1134" w:type="dxa"/>
          </w:tcPr>
          <w:p w14:paraId="25AA3F91" w14:textId="6F879546"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383 000 </w:t>
            </w:r>
          </w:p>
        </w:tc>
      </w:tr>
      <w:tr w:rsidR="005666DD" w:rsidRPr="0067507D" w14:paraId="1B28EEA9"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1B00D945" w14:textId="11AB2A0F" w:rsidR="005666DD" w:rsidRPr="0067507D" w:rsidRDefault="005666DD" w:rsidP="005666DD">
            <w:pPr>
              <w:pStyle w:val="Tabletext"/>
              <w:rPr>
                <w:highlight w:val="yellow"/>
              </w:rPr>
            </w:pPr>
            <w:r w:rsidRPr="0067507D">
              <w:t>Department of Premier and Cabinet</w:t>
            </w:r>
          </w:p>
        </w:tc>
        <w:tc>
          <w:tcPr>
            <w:tcW w:w="1134" w:type="dxa"/>
          </w:tcPr>
          <w:p w14:paraId="0A9BEEE8" w14:textId="01633523"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105 000 </w:t>
            </w:r>
          </w:p>
        </w:tc>
      </w:tr>
      <w:tr w:rsidR="005666DD" w:rsidRPr="0067507D" w14:paraId="3278876B"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444FE511" w14:textId="13EE9398" w:rsidR="005666DD" w:rsidRPr="0067507D" w:rsidRDefault="005666DD" w:rsidP="005666DD">
            <w:pPr>
              <w:pStyle w:val="Tabletext"/>
              <w:rPr>
                <w:highlight w:val="yellow"/>
              </w:rPr>
            </w:pPr>
            <w:r w:rsidRPr="0067507D">
              <w:t>Department of Transport and Planning</w:t>
            </w:r>
          </w:p>
        </w:tc>
        <w:tc>
          <w:tcPr>
            <w:tcW w:w="1134" w:type="dxa"/>
          </w:tcPr>
          <w:p w14:paraId="48139644" w14:textId="3698D0DF"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750 000 </w:t>
            </w:r>
          </w:p>
        </w:tc>
      </w:tr>
      <w:tr w:rsidR="005666DD" w:rsidRPr="0067507D" w14:paraId="2A61CF17"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1939EA1F" w14:textId="31E2511F" w:rsidR="005666DD" w:rsidRPr="0067507D" w:rsidRDefault="005666DD" w:rsidP="005666DD">
            <w:pPr>
              <w:pStyle w:val="Tabletext"/>
              <w:rPr>
                <w:highlight w:val="yellow"/>
              </w:rPr>
            </w:pPr>
            <w:r w:rsidRPr="0067507D">
              <w:t>Department of Transport and Planning</w:t>
            </w:r>
          </w:p>
        </w:tc>
        <w:tc>
          <w:tcPr>
            <w:tcW w:w="1134" w:type="dxa"/>
          </w:tcPr>
          <w:p w14:paraId="5DD75EEF" w14:textId="46CDCCB9"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950 000 </w:t>
            </w:r>
          </w:p>
        </w:tc>
      </w:tr>
      <w:tr w:rsidR="005666DD" w:rsidRPr="0067507D" w14:paraId="3422A775"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204693EA" w14:textId="7C93A01E" w:rsidR="005666DD" w:rsidRPr="0067507D" w:rsidRDefault="005666DD" w:rsidP="005666DD">
            <w:pPr>
              <w:pStyle w:val="Tabletext"/>
              <w:rPr>
                <w:highlight w:val="yellow"/>
              </w:rPr>
            </w:pPr>
            <w:r w:rsidRPr="0067507D">
              <w:t>Environment Protection Authority</w:t>
            </w:r>
          </w:p>
        </w:tc>
        <w:tc>
          <w:tcPr>
            <w:tcW w:w="1134" w:type="dxa"/>
          </w:tcPr>
          <w:p w14:paraId="4EA53D04" w14:textId="3D81B612"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100 000 </w:t>
            </w:r>
          </w:p>
        </w:tc>
      </w:tr>
      <w:tr w:rsidR="005666DD" w:rsidRPr="0067507D" w14:paraId="1C714739"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22A0FE4D" w14:textId="35AD816F" w:rsidR="005666DD" w:rsidRPr="0067507D" w:rsidRDefault="005666DD" w:rsidP="005666DD">
            <w:pPr>
              <w:pStyle w:val="Tabletext"/>
              <w:rPr>
                <w:highlight w:val="yellow"/>
              </w:rPr>
            </w:pPr>
            <w:r w:rsidRPr="0067507D">
              <w:t>Hobsons Bay City Council</w:t>
            </w:r>
          </w:p>
        </w:tc>
        <w:tc>
          <w:tcPr>
            <w:tcW w:w="1134" w:type="dxa"/>
          </w:tcPr>
          <w:p w14:paraId="15489463" w14:textId="183C361F"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60 000 </w:t>
            </w:r>
          </w:p>
        </w:tc>
      </w:tr>
      <w:tr w:rsidR="005666DD" w:rsidRPr="0067507D" w14:paraId="3999C9BA"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56CC428E" w14:textId="52B985A5" w:rsidR="005666DD" w:rsidRPr="0067507D" w:rsidRDefault="005666DD" w:rsidP="005666DD">
            <w:pPr>
              <w:pStyle w:val="Tabletext"/>
              <w:rPr>
                <w:highlight w:val="yellow"/>
              </w:rPr>
            </w:pPr>
            <w:r w:rsidRPr="0067507D">
              <w:t>Knox City Council</w:t>
            </w:r>
          </w:p>
        </w:tc>
        <w:tc>
          <w:tcPr>
            <w:tcW w:w="1134" w:type="dxa"/>
          </w:tcPr>
          <w:p w14:paraId="752222B1" w14:textId="58F50F2A"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61 000 </w:t>
            </w:r>
          </w:p>
        </w:tc>
      </w:tr>
      <w:tr w:rsidR="005666DD" w:rsidRPr="0067507D" w14:paraId="439D651D"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68940F3A" w14:textId="303E8CAF" w:rsidR="005666DD" w:rsidRPr="0067507D" w:rsidRDefault="005666DD" w:rsidP="005666DD">
            <w:pPr>
              <w:pStyle w:val="Tabletext"/>
              <w:rPr>
                <w:highlight w:val="yellow"/>
              </w:rPr>
            </w:pPr>
            <w:r w:rsidRPr="0067507D">
              <w:t>Mansfield Shire Council</w:t>
            </w:r>
          </w:p>
        </w:tc>
        <w:tc>
          <w:tcPr>
            <w:tcW w:w="1134" w:type="dxa"/>
          </w:tcPr>
          <w:p w14:paraId="13191092" w14:textId="2C01AED2"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278 000 </w:t>
            </w:r>
          </w:p>
        </w:tc>
      </w:tr>
      <w:tr w:rsidR="005666DD" w:rsidRPr="0067507D" w14:paraId="1F7FE820"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16485959" w14:textId="47172D00" w:rsidR="005666DD" w:rsidRPr="0067507D" w:rsidRDefault="005666DD" w:rsidP="005666DD">
            <w:pPr>
              <w:pStyle w:val="Tabletext"/>
              <w:rPr>
                <w:highlight w:val="yellow"/>
              </w:rPr>
            </w:pPr>
            <w:r w:rsidRPr="0067507D">
              <w:t>Maribyrnong City Council</w:t>
            </w:r>
          </w:p>
        </w:tc>
        <w:tc>
          <w:tcPr>
            <w:tcW w:w="1134" w:type="dxa"/>
          </w:tcPr>
          <w:p w14:paraId="70985849" w14:textId="4C53982C"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60 000 </w:t>
            </w:r>
          </w:p>
        </w:tc>
      </w:tr>
      <w:tr w:rsidR="005666DD" w:rsidRPr="0067507D" w14:paraId="621FF3AF"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7E52FC19" w14:textId="191CEEF9" w:rsidR="005666DD" w:rsidRPr="0067507D" w:rsidRDefault="005666DD" w:rsidP="005666DD">
            <w:pPr>
              <w:pStyle w:val="Tabletext"/>
              <w:rPr>
                <w:highlight w:val="yellow"/>
              </w:rPr>
            </w:pPr>
            <w:r w:rsidRPr="0067507D">
              <w:t>Merri</w:t>
            </w:r>
            <w:r w:rsidR="006A5485">
              <w:noBreakHyphen/>
            </w:r>
            <w:r w:rsidRPr="0067507D">
              <w:t>Bek City Council</w:t>
            </w:r>
          </w:p>
        </w:tc>
        <w:tc>
          <w:tcPr>
            <w:tcW w:w="1134" w:type="dxa"/>
          </w:tcPr>
          <w:p w14:paraId="509E4092" w14:textId="0298A50F"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175 000 </w:t>
            </w:r>
          </w:p>
        </w:tc>
      </w:tr>
      <w:tr w:rsidR="005666DD" w:rsidRPr="0067507D" w14:paraId="3EBBA71E"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478DA27C" w14:textId="58B8AF59" w:rsidR="005666DD" w:rsidRPr="0067507D" w:rsidRDefault="005666DD" w:rsidP="005666DD">
            <w:pPr>
              <w:pStyle w:val="Tabletext"/>
              <w:rPr>
                <w:highlight w:val="yellow"/>
              </w:rPr>
            </w:pPr>
            <w:r w:rsidRPr="0067507D">
              <w:t>Safe Transport Victoria</w:t>
            </w:r>
          </w:p>
        </w:tc>
        <w:tc>
          <w:tcPr>
            <w:tcW w:w="1134" w:type="dxa"/>
          </w:tcPr>
          <w:p w14:paraId="1F9F563A" w14:textId="3C173684"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200 000 </w:t>
            </w:r>
          </w:p>
        </w:tc>
      </w:tr>
      <w:tr w:rsidR="005666DD" w:rsidRPr="0067507D" w14:paraId="1F26F0AA"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3273471B" w14:textId="69D7218F" w:rsidR="005666DD" w:rsidRPr="0067507D" w:rsidRDefault="005666DD" w:rsidP="005666DD">
            <w:pPr>
              <w:pStyle w:val="Tabletext"/>
              <w:rPr>
                <w:highlight w:val="yellow"/>
              </w:rPr>
            </w:pPr>
            <w:r w:rsidRPr="0067507D">
              <w:t>The Greater Geelong City Council</w:t>
            </w:r>
          </w:p>
        </w:tc>
        <w:tc>
          <w:tcPr>
            <w:tcW w:w="1134" w:type="dxa"/>
          </w:tcPr>
          <w:p w14:paraId="0B7B959A" w14:textId="62E2C687"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319 921 </w:t>
            </w:r>
          </w:p>
        </w:tc>
      </w:tr>
      <w:tr w:rsidR="005666DD" w:rsidRPr="0067507D" w14:paraId="6A7CF658"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7DBC0750" w14:textId="5D282379" w:rsidR="005666DD" w:rsidRPr="0067507D" w:rsidRDefault="005666DD" w:rsidP="005666DD">
            <w:pPr>
              <w:pStyle w:val="Tabletext"/>
              <w:rPr>
                <w:highlight w:val="yellow"/>
              </w:rPr>
            </w:pPr>
            <w:r w:rsidRPr="0067507D">
              <w:t xml:space="preserve">Veterinary Practitioners Registration Board </w:t>
            </w:r>
            <w:r w:rsidR="00030321" w:rsidRPr="0067507D">
              <w:t xml:space="preserve">of </w:t>
            </w:r>
            <w:r w:rsidRPr="0067507D">
              <w:t>Victoria</w:t>
            </w:r>
          </w:p>
        </w:tc>
        <w:tc>
          <w:tcPr>
            <w:tcW w:w="1134" w:type="dxa"/>
          </w:tcPr>
          <w:p w14:paraId="3171815F" w14:textId="3E01A8A0"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90 000 </w:t>
            </w:r>
          </w:p>
        </w:tc>
      </w:tr>
      <w:tr w:rsidR="005666DD" w:rsidRPr="0067507D" w14:paraId="5710C215"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731D6D5B" w14:textId="42530044" w:rsidR="005666DD" w:rsidRPr="0067507D" w:rsidRDefault="005666DD" w:rsidP="005666DD">
            <w:pPr>
              <w:pStyle w:val="Tabletext"/>
              <w:rPr>
                <w:highlight w:val="yellow"/>
              </w:rPr>
            </w:pPr>
            <w:r w:rsidRPr="0067507D">
              <w:t>Vicscreen</w:t>
            </w:r>
          </w:p>
        </w:tc>
        <w:tc>
          <w:tcPr>
            <w:tcW w:w="1134" w:type="dxa"/>
          </w:tcPr>
          <w:p w14:paraId="4AF93FC8" w14:textId="30421260"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195 000 </w:t>
            </w:r>
          </w:p>
        </w:tc>
      </w:tr>
      <w:tr w:rsidR="005666DD" w:rsidRPr="0067507D" w14:paraId="53882F51"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61DA3B17" w14:textId="36A059C2" w:rsidR="005666DD" w:rsidRPr="0067507D" w:rsidRDefault="005666DD" w:rsidP="005666DD">
            <w:pPr>
              <w:pStyle w:val="Tabletext"/>
              <w:rPr>
                <w:highlight w:val="yellow"/>
              </w:rPr>
            </w:pPr>
            <w:r w:rsidRPr="0067507D">
              <w:t>Victoria Police</w:t>
            </w:r>
          </w:p>
        </w:tc>
        <w:tc>
          <w:tcPr>
            <w:tcW w:w="1134" w:type="dxa"/>
          </w:tcPr>
          <w:p w14:paraId="0C19C430" w14:textId="3B4D6178"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450 000 </w:t>
            </w:r>
          </w:p>
        </w:tc>
      </w:tr>
      <w:tr w:rsidR="005666DD" w:rsidRPr="0067507D" w14:paraId="15B5886A"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0CBF427D" w14:textId="5CA66CBD" w:rsidR="005666DD" w:rsidRPr="0067507D" w:rsidRDefault="005666DD" w:rsidP="005666DD">
            <w:pPr>
              <w:pStyle w:val="Tabletext"/>
              <w:rPr>
                <w:highlight w:val="yellow"/>
              </w:rPr>
            </w:pPr>
            <w:r w:rsidRPr="0067507D">
              <w:t>Victorian Building Authority</w:t>
            </w:r>
          </w:p>
        </w:tc>
        <w:tc>
          <w:tcPr>
            <w:tcW w:w="1134" w:type="dxa"/>
          </w:tcPr>
          <w:p w14:paraId="2066757A" w14:textId="68F8B62A"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353 500 </w:t>
            </w:r>
          </w:p>
        </w:tc>
      </w:tr>
      <w:tr w:rsidR="005666DD" w:rsidRPr="0067507D" w14:paraId="012011F7"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02574461" w14:textId="46B0406A" w:rsidR="005666DD" w:rsidRPr="0067507D" w:rsidRDefault="005666DD" w:rsidP="005666DD">
            <w:pPr>
              <w:pStyle w:val="Tabletext"/>
              <w:rPr>
                <w:highlight w:val="yellow"/>
              </w:rPr>
            </w:pPr>
            <w:r w:rsidRPr="0067507D">
              <w:t>Victorian Fisheries Authority</w:t>
            </w:r>
          </w:p>
        </w:tc>
        <w:tc>
          <w:tcPr>
            <w:tcW w:w="1134" w:type="dxa"/>
          </w:tcPr>
          <w:p w14:paraId="68E7010C" w14:textId="4BE5F398"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250 000 </w:t>
            </w:r>
          </w:p>
        </w:tc>
      </w:tr>
      <w:tr w:rsidR="005666DD" w:rsidRPr="0067507D" w14:paraId="7DAA8B61"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13CEA41F" w14:textId="1579D203" w:rsidR="005666DD" w:rsidRPr="0067507D" w:rsidRDefault="005666DD" w:rsidP="005666DD">
            <w:pPr>
              <w:pStyle w:val="Tabletext"/>
              <w:rPr>
                <w:highlight w:val="yellow"/>
              </w:rPr>
            </w:pPr>
            <w:r w:rsidRPr="0067507D">
              <w:t>Victorian Gambling and Casino Control Commission</w:t>
            </w:r>
          </w:p>
        </w:tc>
        <w:tc>
          <w:tcPr>
            <w:tcW w:w="1134" w:type="dxa"/>
          </w:tcPr>
          <w:p w14:paraId="797AF8DF" w14:textId="13DA663B"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650 000 </w:t>
            </w:r>
          </w:p>
        </w:tc>
      </w:tr>
      <w:tr w:rsidR="005666DD" w:rsidRPr="0067507D" w14:paraId="4F89D5A1"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2C92C2C4" w14:textId="5CBEC209" w:rsidR="005666DD" w:rsidRPr="0067507D" w:rsidRDefault="005666DD" w:rsidP="005666DD">
            <w:pPr>
              <w:pStyle w:val="Tabletext"/>
              <w:rPr>
                <w:highlight w:val="yellow"/>
              </w:rPr>
            </w:pPr>
            <w:r w:rsidRPr="0067507D">
              <w:t>Wage Inspectorate Victoria</w:t>
            </w:r>
          </w:p>
        </w:tc>
        <w:tc>
          <w:tcPr>
            <w:tcW w:w="1134" w:type="dxa"/>
          </w:tcPr>
          <w:p w14:paraId="15469333" w14:textId="60AED764"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79 796 </w:t>
            </w:r>
          </w:p>
        </w:tc>
      </w:tr>
      <w:tr w:rsidR="005666DD" w:rsidRPr="0067507D" w14:paraId="55CFB4EA"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79B13DE2" w14:textId="73EDAD40" w:rsidR="005666DD" w:rsidRPr="0067507D" w:rsidRDefault="005666DD" w:rsidP="005666DD">
            <w:pPr>
              <w:pStyle w:val="Tabletext"/>
              <w:rPr>
                <w:highlight w:val="yellow"/>
              </w:rPr>
            </w:pPr>
            <w:r w:rsidRPr="0067507D">
              <w:t>Warrnambool City Council</w:t>
            </w:r>
          </w:p>
        </w:tc>
        <w:tc>
          <w:tcPr>
            <w:tcW w:w="1134" w:type="dxa"/>
          </w:tcPr>
          <w:p w14:paraId="1F9FF03A" w14:textId="457837CF"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200 000 </w:t>
            </w:r>
          </w:p>
        </w:tc>
      </w:tr>
      <w:tr w:rsidR="005666DD" w:rsidRPr="0067507D" w14:paraId="746A23EB" w14:textId="77777777" w:rsidTr="00030321">
        <w:tc>
          <w:tcPr>
            <w:cnfStyle w:val="001000000000" w:firstRow="0" w:lastRow="0" w:firstColumn="1" w:lastColumn="0" w:oddVBand="0" w:evenVBand="0" w:oddHBand="0" w:evenHBand="0" w:firstRowFirstColumn="0" w:firstRowLastColumn="0" w:lastRowFirstColumn="0" w:lastRowLastColumn="0"/>
            <w:tcW w:w="3330" w:type="dxa"/>
          </w:tcPr>
          <w:p w14:paraId="26C779B8" w14:textId="5AF3C7D7" w:rsidR="005666DD" w:rsidRPr="0067507D" w:rsidRDefault="005666DD" w:rsidP="005666DD">
            <w:pPr>
              <w:pStyle w:val="Tabletext"/>
              <w:rPr>
                <w:highlight w:val="yellow"/>
              </w:rPr>
            </w:pPr>
            <w:r w:rsidRPr="0067507D">
              <w:t>Whitehorse City Council</w:t>
            </w:r>
          </w:p>
        </w:tc>
        <w:tc>
          <w:tcPr>
            <w:tcW w:w="1134" w:type="dxa"/>
          </w:tcPr>
          <w:p w14:paraId="4D9551A6" w14:textId="2E8A0C4B" w:rsidR="005666DD" w:rsidRPr="0067507D" w:rsidRDefault="005666DD" w:rsidP="005666DD">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60 000 </w:t>
            </w:r>
          </w:p>
        </w:tc>
      </w:tr>
    </w:tbl>
    <w:p w14:paraId="1D40892C" w14:textId="2AFD2D76" w:rsidR="00445FD1" w:rsidRPr="0067507D" w:rsidRDefault="00445FD1" w:rsidP="005C42F0">
      <w:pPr>
        <w:keepNext/>
        <w:rPr>
          <w:highlight w:val="yellow"/>
        </w:rPr>
      </w:pPr>
      <w:r w:rsidRPr="0067507D">
        <w:rPr>
          <w:rFonts w:asciiTheme="majorHAnsi" w:hAnsiTheme="majorHAnsi"/>
        </w:rPr>
        <w:lastRenderedPageBreak/>
        <w:t xml:space="preserve">Grant </w:t>
      </w:r>
      <w:r w:rsidRPr="0067507D">
        <w:t xml:space="preserve">– </w:t>
      </w:r>
      <w:r w:rsidR="009463E8" w:rsidRPr="0067507D">
        <w:t>Empowerment Fund</w:t>
      </w:r>
    </w:p>
    <w:p w14:paraId="4FDB1B19" w14:textId="04C72A29" w:rsidR="00445FD1" w:rsidRPr="0067507D" w:rsidRDefault="00863607" w:rsidP="00545D80">
      <w:pPr>
        <w:keepNext/>
        <w:rPr>
          <w:highlight w:val="yellow"/>
        </w:rPr>
      </w:pPr>
      <w:r w:rsidRPr="0067507D">
        <w:t xml:space="preserve">The Empowerment Fund </w:t>
      </w:r>
      <w:r w:rsidR="007246EC" w:rsidRPr="0067507D">
        <w:t xml:space="preserve">is designed </w:t>
      </w:r>
      <w:r w:rsidRPr="0067507D">
        <w:t>to address barriers the social services sector face</w:t>
      </w:r>
      <w:r w:rsidR="007246EC" w:rsidRPr="0067507D">
        <w:t>s</w:t>
      </w:r>
      <w:r w:rsidRPr="0067507D">
        <w:t xml:space="preserve"> relating to data and evaluation capability. A key objective of the Empowerment Fund is to enable greater sharing of useful evaluation findings and improved data collection and management processes. The organisations that received funding are published on the DTF website, and outcomes are reported on the DTF website when they become available.</w:t>
      </w:r>
    </w:p>
    <w:tbl>
      <w:tblPr>
        <w:tblStyle w:val="AnnualReportfinancialtable1"/>
        <w:tblW w:w="4464" w:type="dxa"/>
        <w:tblLook w:val="06A0" w:firstRow="1" w:lastRow="0" w:firstColumn="1" w:lastColumn="0" w:noHBand="1" w:noVBand="1"/>
      </w:tblPr>
      <w:tblGrid>
        <w:gridCol w:w="3330"/>
        <w:gridCol w:w="1134"/>
      </w:tblGrid>
      <w:tr w:rsidR="00001812" w:rsidRPr="0067507D" w14:paraId="46C24E30" w14:textId="77777777" w:rsidTr="00F26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0" w:type="dxa"/>
            <w:vAlign w:val="bottom"/>
          </w:tcPr>
          <w:p w14:paraId="778B00C6" w14:textId="77777777" w:rsidR="001D36EE" w:rsidRPr="0067507D" w:rsidRDefault="001D36EE" w:rsidP="00AB39FF">
            <w:pPr>
              <w:pStyle w:val="Tabletextheadingleft"/>
            </w:pPr>
            <w:r w:rsidRPr="0067507D">
              <w:t xml:space="preserve">Organisation </w:t>
            </w:r>
          </w:p>
        </w:tc>
        <w:tc>
          <w:tcPr>
            <w:tcW w:w="1134" w:type="dxa"/>
          </w:tcPr>
          <w:p w14:paraId="2AA994E8" w14:textId="77777777" w:rsidR="001D36EE" w:rsidRPr="0067507D" w:rsidRDefault="001D36EE">
            <w:pPr>
              <w:pStyle w:val="Tabletextheading"/>
              <w:cnfStyle w:val="100000000000" w:firstRow="1" w:lastRow="0" w:firstColumn="0" w:lastColumn="0" w:oddVBand="0" w:evenVBand="0" w:oddHBand="0" w:evenHBand="0" w:firstRowFirstColumn="0" w:firstRowLastColumn="0" w:lastRowFirstColumn="0" w:lastRowLastColumn="0"/>
            </w:pPr>
            <w:r w:rsidRPr="0067507D">
              <w:t xml:space="preserve">Payment </w:t>
            </w:r>
            <w:r w:rsidRPr="0067507D">
              <w:br/>
              <w:t>($)</w:t>
            </w:r>
          </w:p>
        </w:tc>
      </w:tr>
      <w:tr w:rsidR="00366D32" w:rsidRPr="0067507D" w14:paraId="6BF348F0"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2AA16B05" w14:textId="24F84708" w:rsidR="00366D32" w:rsidRPr="0067507D" w:rsidRDefault="00366D32" w:rsidP="00366D32">
            <w:pPr>
              <w:pStyle w:val="Tabletext"/>
              <w:rPr>
                <w:highlight w:val="yellow"/>
              </w:rPr>
            </w:pPr>
            <w:r w:rsidRPr="0067507D">
              <w:t>Anchor Community Care Pty Ltd</w:t>
            </w:r>
          </w:p>
        </w:tc>
        <w:tc>
          <w:tcPr>
            <w:tcW w:w="1134" w:type="dxa"/>
          </w:tcPr>
          <w:p w14:paraId="0D936E18" w14:textId="63C9B8CC"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176 881</w:t>
            </w:r>
          </w:p>
        </w:tc>
      </w:tr>
      <w:tr w:rsidR="00366D32" w:rsidRPr="0067507D" w14:paraId="62A3EEA0"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5A2128DC" w14:textId="4CC36178" w:rsidR="00366D32" w:rsidRPr="0067507D" w:rsidRDefault="00366D32" w:rsidP="00366D32">
            <w:pPr>
              <w:pStyle w:val="Tabletext"/>
              <w:rPr>
                <w:highlight w:val="yellow"/>
              </w:rPr>
            </w:pPr>
            <w:r w:rsidRPr="0067507D">
              <w:t xml:space="preserve">Australian Community Support Organisation Limited </w:t>
            </w:r>
          </w:p>
        </w:tc>
        <w:tc>
          <w:tcPr>
            <w:tcW w:w="1134" w:type="dxa"/>
          </w:tcPr>
          <w:p w14:paraId="45297615" w14:textId="7E7F1FFE"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89 296</w:t>
            </w:r>
          </w:p>
        </w:tc>
      </w:tr>
      <w:tr w:rsidR="00366D32" w:rsidRPr="0067507D" w14:paraId="3001214C"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21EB5D30" w14:textId="6DFB4696" w:rsidR="00366D32" w:rsidRPr="0067507D" w:rsidRDefault="00366D32" w:rsidP="00366D32">
            <w:pPr>
              <w:pStyle w:val="Tabletext"/>
              <w:rPr>
                <w:highlight w:val="yellow"/>
              </w:rPr>
            </w:pPr>
            <w:r w:rsidRPr="0067507D">
              <w:t>Berry Street Victoria</w:t>
            </w:r>
          </w:p>
        </w:tc>
        <w:tc>
          <w:tcPr>
            <w:tcW w:w="1134" w:type="dxa"/>
          </w:tcPr>
          <w:p w14:paraId="5D62BD32" w14:textId="5BCFD74F"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74 382</w:t>
            </w:r>
          </w:p>
        </w:tc>
      </w:tr>
      <w:tr w:rsidR="00366D32" w:rsidRPr="0067507D" w14:paraId="187E8B59"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5A9F5702" w14:textId="4F83E46A" w:rsidR="00366D32" w:rsidRPr="0067507D" w:rsidRDefault="00366D32" w:rsidP="00366D32">
            <w:pPr>
              <w:pStyle w:val="Tabletext"/>
              <w:rPr>
                <w:highlight w:val="yellow"/>
              </w:rPr>
            </w:pPr>
            <w:r w:rsidRPr="0067507D">
              <w:t>Beyond the Bell Great South Coast</w:t>
            </w:r>
          </w:p>
        </w:tc>
        <w:tc>
          <w:tcPr>
            <w:tcW w:w="1134" w:type="dxa"/>
          </w:tcPr>
          <w:p w14:paraId="2DD9D2F3" w14:textId="11DE93DF"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44 796</w:t>
            </w:r>
          </w:p>
        </w:tc>
      </w:tr>
      <w:tr w:rsidR="00366D32" w:rsidRPr="0067507D" w14:paraId="26231708"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318CDED5" w14:textId="22DB91ED" w:rsidR="00366D32" w:rsidRPr="0067507D" w:rsidRDefault="00366D32" w:rsidP="00366D32">
            <w:pPr>
              <w:pStyle w:val="Tabletext"/>
              <w:rPr>
                <w:highlight w:val="yellow"/>
              </w:rPr>
            </w:pPr>
            <w:r w:rsidRPr="0067507D">
              <w:t>Brotherhood of St Laurence</w:t>
            </w:r>
          </w:p>
        </w:tc>
        <w:tc>
          <w:tcPr>
            <w:tcW w:w="1134" w:type="dxa"/>
          </w:tcPr>
          <w:p w14:paraId="044D5784" w14:textId="5C7A089D"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294 457</w:t>
            </w:r>
          </w:p>
        </w:tc>
      </w:tr>
      <w:tr w:rsidR="00366D32" w:rsidRPr="0067507D" w14:paraId="76612674"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4681B1B0" w14:textId="50A94EDE" w:rsidR="00366D32" w:rsidRPr="0067507D" w:rsidRDefault="00366D32" w:rsidP="00366D32">
            <w:pPr>
              <w:pStyle w:val="Tabletext"/>
              <w:rPr>
                <w:highlight w:val="yellow"/>
              </w:rPr>
            </w:pPr>
            <w:r w:rsidRPr="0067507D">
              <w:t>Centre for Excellence in Child &amp; Family Welfare Inc</w:t>
            </w:r>
          </w:p>
        </w:tc>
        <w:tc>
          <w:tcPr>
            <w:tcW w:w="1134" w:type="dxa"/>
          </w:tcPr>
          <w:p w14:paraId="788A8D71" w14:textId="0A4380B4"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306 334</w:t>
            </w:r>
          </w:p>
        </w:tc>
      </w:tr>
      <w:tr w:rsidR="00366D32" w:rsidRPr="0067507D" w14:paraId="0F537D65"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2AA1131E" w14:textId="5AAD3C00" w:rsidR="00366D32" w:rsidRPr="0067507D" w:rsidRDefault="00366D32" w:rsidP="00366D32">
            <w:pPr>
              <w:pStyle w:val="Tabletext"/>
              <w:rPr>
                <w:highlight w:val="yellow"/>
              </w:rPr>
            </w:pPr>
            <w:r w:rsidRPr="0067507D">
              <w:t>Each</w:t>
            </w:r>
          </w:p>
        </w:tc>
        <w:tc>
          <w:tcPr>
            <w:tcW w:w="1134" w:type="dxa"/>
          </w:tcPr>
          <w:p w14:paraId="0067206C" w14:textId="42E3B832"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500 500</w:t>
            </w:r>
          </w:p>
        </w:tc>
      </w:tr>
      <w:tr w:rsidR="00366D32" w:rsidRPr="0067507D" w14:paraId="48088449"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414056E1" w14:textId="015B9D94" w:rsidR="00366D32" w:rsidRPr="0067507D" w:rsidRDefault="00366D32" w:rsidP="00366D32">
            <w:pPr>
              <w:pStyle w:val="Tabletext"/>
              <w:rPr>
                <w:highlight w:val="yellow"/>
              </w:rPr>
            </w:pPr>
            <w:r w:rsidRPr="0067507D">
              <w:t xml:space="preserve">Elizabeth Morgan House Aboriginal </w:t>
            </w:r>
            <w:r w:rsidR="0067507D" w:rsidRPr="0067507D">
              <w:t>Women’s</w:t>
            </w:r>
            <w:r w:rsidRPr="0067507D">
              <w:t xml:space="preserve"> Services Inc</w:t>
            </w:r>
          </w:p>
        </w:tc>
        <w:tc>
          <w:tcPr>
            <w:tcW w:w="1134" w:type="dxa"/>
          </w:tcPr>
          <w:p w14:paraId="5C51C53C" w14:textId="63CDD4E5"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184 215</w:t>
            </w:r>
          </w:p>
        </w:tc>
      </w:tr>
      <w:tr w:rsidR="00366D32" w:rsidRPr="0067507D" w14:paraId="35B94CF2"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72127005" w14:textId="6A6D327A" w:rsidR="00366D32" w:rsidRPr="0067507D" w:rsidRDefault="00366D32" w:rsidP="00366D32">
            <w:pPr>
              <w:pStyle w:val="Tabletext"/>
              <w:rPr>
                <w:highlight w:val="yellow"/>
              </w:rPr>
            </w:pPr>
            <w:r w:rsidRPr="0067507D">
              <w:t>Flat Out Inc</w:t>
            </w:r>
          </w:p>
        </w:tc>
        <w:tc>
          <w:tcPr>
            <w:tcW w:w="1134" w:type="dxa"/>
          </w:tcPr>
          <w:p w14:paraId="4860696D" w14:textId="7A3651A0"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195 487</w:t>
            </w:r>
          </w:p>
        </w:tc>
      </w:tr>
      <w:tr w:rsidR="00366D32" w:rsidRPr="0067507D" w14:paraId="2F3C3C31"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7D94F9F3" w14:textId="10E66921" w:rsidR="00366D32" w:rsidRPr="0067507D" w:rsidRDefault="00366D32" w:rsidP="00366D32">
            <w:pPr>
              <w:pStyle w:val="Tabletext"/>
              <w:rPr>
                <w:highlight w:val="yellow"/>
              </w:rPr>
            </w:pPr>
            <w:r w:rsidRPr="0067507D">
              <w:t>Health Justice Australia</w:t>
            </w:r>
          </w:p>
        </w:tc>
        <w:tc>
          <w:tcPr>
            <w:tcW w:w="1134" w:type="dxa"/>
          </w:tcPr>
          <w:p w14:paraId="5745E3AD" w14:textId="725BD028"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80 080</w:t>
            </w:r>
          </w:p>
        </w:tc>
      </w:tr>
      <w:tr w:rsidR="00366D32" w:rsidRPr="0067507D" w14:paraId="19C907C6"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2CD29140" w14:textId="474D7F13" w:rsidR="00366D32" w:rsidRPr="0067507D" w:rsidRDefault="00366D32" w:rsidP="00366D32">
            <w:pPr>
              <w:pStyle w:val="Tabletext"/>
              <w:rPr>
                <w:highlight w:val="yellow"/>
              </w:rPr>
            </w:pPr>
            <w:r w:rsidRPr="0067507D">
              <w:t>Inclusion Melbourne Inc</w:t>
            </w:r>
          </w:p>
        </w:tc>
        <w:tc>
          <w:tcPr>
            <w:tcW w:w="1134" w:type="dxa"/>
          </w:tcPr>
          <w:p w14:paraId="251B0CDC" w14:textId="0310CF27"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51 013</w:t>
            </w:r>
          </w:p>
        </w:tc>
      </w:tr>
      <w:tr w:rsidR="00366D32" w:rsidRPr="0067507D" w14:paraId="547730C9"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7B954E5A" w14:textId="36E7B714" w:rsidR="00366D32" w:rsidRPr="0067507D" w:rsidRDefault="00366D32" w:rsidP="00366D32">
            <w:pPr>
              <w:pStyle w:val="Tabletext"/>
              <w:rPr>
                <w:highlight w:val="yellow"/>
              </w:rPr>
            </w:pPr>
            <w:r w:rsidRPr="0067507D">
              <w:t>Launch Housing Limited</w:t>
            </w:r>
          </w:p>
        </w:tc>
        <w:tc>
          <w:tcPr>
            <w:tcW w:w="1134" w:type="dxa"/>
          </w:tcPr>
          <w:p w14:paraId="29EBC1D1" w14:textId="72673EAD"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308 000</w:t>
            </w:r>
          </w:p>
        </w:tc>
      </w:tr>
      <w:tr w:rsidR="00366D32" w:rsidRPr="0067507D" w14:paraId="06376151"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70D25A06" w14:textId="7DDC5D78" w:rsidR="00366D32" w:rsidRPr="0067507D" w:rsidRDefault="00366D32" w:rsidP="00366D32">
            <w:pPr>
              <w:pStyle w:val="Tabletext"/>
              <w:rPr>
                <w:highlight w:val="yellow"/>
              </w:rPr>
            </w:pPr>
            <w:r w:rsidRPr="0067507D">
              <w:t>Law and Advocacy Centre for Women Ltd</w:t>
            </w:r>
          </w:p>
        </w:tc>
        <w:tc>
          <w:tcPr>
            <w:tcW w:w="1134" w:type="dxa"/>
          </w:tcPr>
          <w:p w14:paraId="50D493D0" w14:textId="09FAB0B8"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134 750</w:t>
            </w:r>
          </w:p>
        </w:tc>
      </w:tr>
      <w:tr w:rsidR="00366D32" w:rsidRPr="0067507D" w14:paraId="70DBE273"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609C161A" w14:textId="715A3A83" w:rsidR="00366D32" w:rsidRPr="0067507D" w:rsidRDefault="00366D32" w:rsidP="00366D32">
            <w:pPr>
              <w:pStyle w:val="Tabletext"/>
              <w:rPr>
                <w:highlight w:val="yellow"/>
              </w:rPr>
            </w:pPr>
            <w:r w:rsidRPr="0067507D">
              <w:t>Ozchild</w:t>
            </w:r>
          </w:p>
        </w:tc>
        <w:tc>
          <w:tcPr>
            <w:tcW w:w="1134" w:type="dxa"/>
          </w:tcPr>
          <w:p w14:paraId="5F08D4E3" w14:textId="2D83B238"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306 318</w:t>
            </w:r>
          </w:p>
        </w:tc>
      </w:tr>
      <w:tr w:rsidR="00366D32" w:rsidRPr="0067507D" w14:paraId="2A029084"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69EE0C14" w14:textId="3058E749" w:rsidR="00366D32" w:rsidRPr="0067507D" w:rsidRDefault="00366D32" w:rsidP="00366D32">
            <w:pPr>
              <w:pStyle w:val="Tabletext"/>
              <w:rPr>
                <w:highlight w:val="yellow"/>
              </w:rPr>
            </w:pPr>
            <w:r w:rsidRPr="0067507D">
              <w:t>Parenting Research Centre</w:t>
            </w:r>
          </w:p>
        </w:tc>
        <w:tc>
          <w:tcPr>
            <w:tcW w:w="1134" w:type="dxa"/>
          </w:tcPr>
          <w:p w14:paraId="6C523D32" w14:textId="5DADA64C"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152 460</w:t>
            </w:r>
          </w:p>
        </w:tc>
      </w:tr>
      <w:tr w:rsidR="00366D32" w:rsidRPr="0067507D" w14:paraId="581C0058"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4A59C048" w14:textId="69D19616" w:rsidR="00366D32" w:rsidRPr="0067507D" w:rsidRDefault="00366D32" w:rsidP="00366D32">
            <w:pPr>
              <w:pStyle w:val="Tabletext"/>
              <w:rPr>
                <w:highlight w:val="yellow"/>
              </w:rPr>
            </w:pPr>
            <w:r w:rsidRPr="0067507D">
              <w:t>Sacred Heart Mission Inc</w:t>
            </w:r>
          </w:p>
        </w:tc>
        <w:tc>
          <w:tcPr>
            <w:tcW w:w="1134" w:type="dxa"/>
          </w:tcPr>
          <w:p w14:paraId="70326365" w14:textId="2877BA16"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26 950</w:t>
            </w:r>
          </w:p>
        </w:tc>
      </w:tr>
      <w:tr w:rsidR="00366D32" w:rsidRPr="0067507D" w14:paraId="4E2C30C7"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4B6CE437" w14:textId="142AADA5" w:rsidR="00366D32" w:rsidRPr="0067507D" w:rsidRDefault="00366D32" w:rsidP="00366D32">
            <w:pPr>
              <w:pStyle w:val="Tabletext"/>
              <w:rPr>
                <w:highlight w:val="yellow"/>
              </w:rPr>
            </w:pPr>
            <w:r w:rsidRPr="0067507D">
              <w:t>Victorian Aboriginal Child and Community Agency Co Op Ltd</w:t>
            </w:r>
          </w:p>
        </w:tc>
        <w:tc>
          <w:tcPr>
            <w:tcW w:w="1134" w:type="dxa"/>
          </w:tcPr>
          <w:p w14:paraId="2B7BF9D5" w14:textId="445449A4"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198 444</w:t>
            </w:r>
          </w:p>
        </w:tc>
      </w:tr>
      <w:tr w:rsidR="00366D32" w:rsidRPr="0067507D" w14:paraId="0E8CD463"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4DB8C29E" w14:textId="7099E2FB" w:rsidR="00366D32" w:rsidRPr="0067507D" w:rsidRDefault="00366D32" w:rsidP="00366D32">
            <w:pPr>
              <w:pStyle w:val="Tabletext"/>
              <w:rPr>
                <w:highlight w:val="yellow"/>
              </w:rPr>
            </w:pPr>
            <w:r w:rsidRPr="0067507D">
              <w:t>Western Community Legal Centre Limited</w:t>
            </w:r>
          </w:p>
        </w:tc>
        <w:tc>
          <w:tcPr>
            <w:tcW w:w="1134" w:type="dxa"/>
          </w:tcPr>
          <w:p w14:paraId="440F0057" w14:textId="5AA59F2F"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231 000</w:t>
            </w:r>
          </w:p>
        </w:tc>
      </w:tr>
      <w:tr w:rsidR="00366D32" w:rsidRPr="0067507D" w14:paraId="7F030A88"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32B3CAAE" w14:textId="1ED8AC69" w:rsidR="00366D32" w:rsidRPr="0067507D" w:rsidRDefault="00366D32" w:rsidP="00366D32">
            <w:pPr>
              <w:pStyle w:val="Tabletext"/>
              <w:rPr>
                <w:highlight w:val="yellow"/>
              </w:rPr>
            </w:pPr>
            <w:r w:rsidRPr="0067507D">
              <w:t>Windana Drug and Alcohol Recovery Limited</w:t>
            </w:r>
          </w:p>
        </w:tc>
        <w:tc>
          <w:tcPr>
            <w:tcW w:w="1134" w:type="dxa"/>
          </w:tcPr>
          <w:p w14:paraId="367343F6" w14:textId="795B05EB"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153 546</w:t>
            </w:r>
          </w:p>
        </w:tc>
      </w:tr>
      <w:tr w:rsidR="00366D32" w:rsidRPr="0067507D" w14:paraId="242E4818"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2706DBBC" w14:textId="33FEF70B" w:rsidR="00366D32" w:rsidRPr="0067507D" w:rsidRDefault="00366D32" w:rsidP="00366D32">
            <w:pPr>
              <w:pStyle w:val="Tabletext"/>
              <w:rPr>
                <w:highlight w:val="yellow"/>
              </w:rPr>
            </w:pPr>
            <w:r w:rsidRPr="0067507D">
              <w:t>Youth Affairs Council Victoria Inc</w:t>
            </w:r>
          </w:p>
        </w:tc>
        <w:tc>
          <w:tcPr>
            <w:tcW w:w="1134" w:type="dxa"/>
          </w:tcPr>
          <w:p w14:paraId="4D287571" w14:textId="57581F69"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296 512</w:t>
            </w:r>
          </w:p>
        </w:tc>
      </w:tr>
      <w:tr w:rsidR="00366D32" w:rsidRPr="0067507D" w14:paraId="40D0FDD2"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61594FF9" w14:textId="6AB9E4BF" w:rsidR="00366D32" w:rsidRPr="0067507D" w:rsidRDefault="00366D32" w:rsidP="00366D32">
            <w:pPr>
              <w:pStyle w:val="Tabletext"/>
              <w:rPr>
                <w:highlight w:val="yellow"/>
              </w:rPr>
            </w:pPr>
            <w:r w:rsidRPr="0067507D">
              <w:t>Youth Projects</w:t>
            </w:r>
          </w:p>
        </w:tc>
        <w:tc>
          <w:tcPr>
            <w:tcW w:w="1134" w:type="dxa"/>
          </w:tcPr>
          <w:p w14:paraId="3A5DF01B" w14:textId="788958E9" w:rsidR="00366D32" w:rsidRPr="0067507D" w:rsidRDefault="00366D32" w:rsidP="00366D32">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111 019</w:t>
            </w:r>
          </w:p>
        </w:tc>
      </w:tr>
    </w:tbl>
    <w:p w14:paraId="1576DEDA" w14:textId="77777777" w:rsidR="00F26CB7" w:rsidRPr="0067507D" w:rsidRDefault="00F26CB7" w:rsidP="00B71146">
      <w:pPr>
        <w:rPr>
          <w:highlight w:val="yellow"/>
        </w:rPr>
      </w:pPr>
    </w:p>
    <w:p w14:paraId="550F10FA" w14:textId="1C9B6548" w:rsidR="00445FD1" w:rsidRPr="0067507D" w:rsidRDefault="00445FD1" w:rsidP="00B71146">
      <w:pPr>
        <w:rPr>
          <w:highlight w:val="yellow"/>
        </w:rPr>
      </w:pPr>
      <w:r w:rsidRPr="0067507D">
        <w:rPr>
          <w:rFonts w:asciiTheme="majorHAnsi" w:hAnsiTheme="majorHAnsi"/>
        </w:rPr>
        <w:t xml:space="preserve">Grant </w:t>
      </w:r>
      <w:r w:rsidRPr="0067507D">
        <w:t xml:space="preserve">– </w:t>
      </w:r>
      <w:r w:rsidR="008B0288" w:rsidRPr="0067507D">
        <w:t>Centralised Municipal Annual Valuations</w:t>
      </w:r>
    </w:p>
    <w:p w14:paraId="3E0B180B" w14:textId="35E77419" w:rsidR="00445FD1" w:rsidRPr="0067507D" w:rsidRDefault="00136021" w:rsidP="00445FD1">
      <w:pPr>
        <w:rPr>
          <w:highlight w:val="yellow"/>
        </w:rPr>
      </w:pPr>
      <w:r w:rsidRPr="0067507D">
        <w:t>Grant to assist revenue forecasting.</w:t>
      </w:r>
    </w:p>
    <w:tbl>
      <w:tblPr>
        <w:tblStyle w:val="AnnualReportfinancialtable1"/>
        <w:tblW w:w="4644" w:type="dxa"/>
        <w:tblLook w:val="06A0" w:firstRow="1" w:lastRow="0" w:firstColumn="1" w:lastColumn="0" w:noHBand="1" w:noVBand="1"/>
      </w:tblPr>
      <w:tblGrid>
        <w:gridCol w:w="3510"/>
        <w:gridCol w:w="1134"/>
      </w:tblGrid>
      <w:tr w:rsidR="00001812" w:rsidRPr="0067507D" w14:paraId="2F605C3F" w14:textId="77777777" w:rsidTr="00AB39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vAlign w:val="bottom"/>
          </w:tcPr>
          <w:p w14:paraId="7C6711C3" w14:textId="77777777" w:rsidR="00DA3612" w:rsidRPr="0067507D" w:rsidRDefault="00DA3612" w:rsidP="00AB39FF">
            <w:pPr>
              <w:pStyle w:val="Tabletextheadingleft"/>
            </w:pPr>
            <w:r w:rsidRPr="0067507D">
              <w:t xml:space="preserve">Organisation </w:t>
            </w:r>
          </w:p>
        </w:tc>
        <w:tc>
          <w:tcPr>
            <w:tcW w:w="1134" w:type="dxa"/>
          </w:tcPr>
          <w:p w14:paraId="19215902" w14:textId="77777777" w:rsidR="00DA3612" w:rsidRPr="0067507D" w:rsidRDefault="00DA3612">
            <w:pPr>
              <w:pStyle w:val="Tabletextheading"/>
              <w:cnfStyle w:val="100000000000" w:firstRow="1" w:lastRow="0" w:firstColumn="0" w:lastColumn="0" w:oddVBand="0" w:evenVBand="0" w:oddHBand="0" w:evenHBand="0" w:firstRowFirstColumn="0" w:firstRowLastColumn="0" w:lastRowFirstColumn="0" w:lastRowLastColumn="0"/>
            </w:pPr>
            <w:r w:rsidRPr="0067507D">
              <w:t xml:space="preserve">Payment </w:t>
            </w:r>
            <w:r w:rsidRPr="0067507D">
              <w:br/>
              <w:t>($)</w:t>
            </w:r>
          </w:p>
        </w:tc>
      </w:tr>
      <w:tr w:rsidR="008F21AB" w:rsidRPr="0067507D" w14:paraId="6580F8AD" w14:textId="77777777" w:rsidTr="004D70AA">
        <w:tc>
          <w:tcPr>
            <w:cnfStyle w:val="001000000000" w:firstRow="0" w:lastRow="0" w:firstColumn="1" w:lastColumn="0" w:oddVBand="0" w:evenVBand="0" w:oddHBand="0" w:evenHBand="0" w:firstRowFirstColumn="0" w:firstRowLastColumn="0" w:lastRowFirstColumn="0" w:lastRowLastColumn="0"/>
            <w:tcW w:w="3510" w:type="dxa"/>
          </w:tcPr>
          <w:p w14:paraId="1EBFB168" w14:textId="300E7245" w:rsidR="005F279E" w:rsidRPr="0067507D" w:rsidRDefault="00136021" w:rsidP="005F279E">
            <w:pPr>
              <w:pStyle w:val="Tabletext"/>
              <w:rPr>
                <w:highlight w:val="yellow"/>
              </w:rPr>
            </w:pPr>
            <w:r w:rsidRPr="0067507D">
              <w:t>Hume City Council</w:t>
            </w:r>
          </w:p>
        </w:tc>
        <w:tc>
          <w:tcPr>
            <w:tcW w:w="1134" w:type="dxa"/>
          </w:tcPr>
          <w:p w14:paraId="3B05B86D" w14:textId="30C776A5" w:rsidR="005F279E" w:rsidRPr="0067507D" w:rsidRDefault="00047990" w:rsidP="005F279E">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13 056</w:t>
            </w:r>
          </w:p>
        </w:tc>
      </w:tr>
    </w:tbl>
    <w:p w14:paraId="5B742CCC" w14:textId="77777777" w:rsidR="00217F85" w:rsidRPr="0067507D" w:rsidRDefault="00217F85" w:rsidP="00217F85">
      <w:pPr>
        <w:pStyle w:val="Spacer"/>
      </w:pPr>
    </w:p>
    <w:p w14:paraId="5F4F8308" w14:textId="5277E11F" w:rsidR="00047990" w:rsidRPr="0067507D" w:rsidRDefault="00F26CB7" w:rsidP="00047990">
      <w:pPr>
        <w:pStyle w:val="Heading4"/>
        <w:rPr>
          <w:highlight w:val="yellow"/>
        </w:rPr>
      </w:pPr>
      <w:r w:rsidRPr="0067507D">
        <w:br w:type="column"/>
      </w:r>
      <w:r w:rsidR="00217F85" w:rsidRPr="0067507D">
        <w:t>Industrial Relations</w:t>
      </w:r>
    </w:p>
    <w:p w14:paraId="5DC1FD5D" w14:textId="4F780188" w:rsidR="00445FD1" w:rsidRPr="0067507D" w:rsidRDefault="00445FD1" w:rsidP="00C12266">
      <w:pPr>
        <w:spacing w:before="240"/>
      </w:pPr>
      <w:r w:rsidRPr="0067507D">
        <w:rPr>
          <w:rFonts w:asciiTheme="majorHAnsi" w:hAnsiTheme="majorHAnsi"/>
        </w:rPr>
        <w:t xml:space="preserve">Program </w:t>
      </w:r>
      <w:r w:rsidRPr="0067507D">
        <w:t xml:space="preserve">– </w:t>
      </w:r>
      <w:r w:rsidR="00DE02F3" w:rsidRPr="0067507D">
        <w:t xml:space="preserve">Building Equality Policy </w:t>
      </w:r>
    </w:p>
    <w:p w14:paraId="7621B34C" w14:textId="31B79CA7" w:rsidR="00445FD1" w:rsidRPr="0067507D" w:rsidRDefault="00445FD1">
      <w:pPr>
        <w:rPr>
          <w:highlight w:val="yellow"/>
        </w:rPr>
      </w:pPr>
      <w:r w:rsidRPr="0067507D">
        <w:rPr>
          <w:rFonts w:asciiTheme="majorHAnsi" w:hAnsiTheme="majorHAnsi"/>
        </w:rPr>
        <w:t xml:space="preserve">Grant </w:t>
      </w:r>
      <w:r w:rsidRPr="0067507D">
        <w:t xml:space="preserve">– </w:t>
      </w:r>
      <w:r w:rsidR="00AF7E5F" w:rsidRPr="0067507D">
        <w:t>Building Equity Onsite project</w:t>
      </w:r>
    </w:p>
    <w:p w14:paraId="05E854A3" w14:textId="46B1DD1B" w:rsidR="00445FD1" w:rsidRPr="0067507D" w:rsidRDefault="00AF7E5F" w:rsidP="00445FD1">
      <w:pPr>
        <w:rPr>
          <w:highlight w:val="yellow"/>
        </w:rPr>
      </w:pPr>
      <w:r w:rsidRPr="0067507D">
        <w:t xml:space="preserve">Grant to create training and employment opportunities for women through government procurement on building, infrastructure, civil engineering and other capital works projects. The Women </w:t>
      </w:r>
      <w:r w:rsidR="00446F3B" w:rsidRPr="0067507D">
        <w:t>O</w:t>
      </w:r>
      <w:r w:rsidRPr="0067507D">
        <w:t>nsite project supports women entering an apprenticeship or traineeship.</w:t>
      </w:r>
    </w:p>
    <w:tbl>
      <w:tblPr>
        <w:tblStyle w:val="AnnualReportfinancialtable1"/>
        <w:tblW w:w="4464" w:type="dxa"/>
        <w:tblLook w:val="06A0" w:firstRow="1" w:lastRow="0" w:firstColumn="1" w:lastColumn="0" w:noHBand="1" w:noVBand="1"/>
      </w:tblPr>
      <w:tblGrid>
        <w:gridCol w:w="3330"/>
        <w:gridCol w:w="1134"/>
      </w:tblGrid>
      <w:tr w:rsidR="00001812" w:rsidRPr="0067507D" w14:paraId="1CDCD5CF" w14:textId="77777777" w:rsidTr="00F26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0" w:type="dxa"/>
            <w:vAlign w:val="bottom"/>
          </w:tcPr>
          <w:p w14:paraId="6CD1DF2C" w14:textId="77777777" w:rsidR="00DA3612" w:rsidRPr="0067507D" w:rsidRDefault="00DA3612" w:rsidP="00AB39FF">
            <w:pPr>
              <w:pStyle w:val="Tabletextheadingleft"/>
            </w:pPr>
            <w:r w:rsidRPr="0067507D">
              <w:t xml:space="preserve">Organisation </w:t>
            </w:r>
          </w:p>
        </w:tc>
        <w:tc>
          <w:tcPr>
            <w:tcW w:w="1134" w:type="dxa"/>
          </w:tcPr>
          <w:p w14:paraId="4A6B9917" w14:textId="77777777" w:rsidR="00DA3612" w:rsidRPr="0067507D" w:rsidRDefault="00DA3612">
            <w:pPr>
              <w:pStyle w:val="Tabletextheading"/>
              <w:cnfStyle w:val="100000000000" w:firstRow="1" w:lastRow="0" w:firstColumn="0" w:lastColumn="0" w:oddVBand="0" w:evenVBand="0" w:oddHBand="0" w:evenHBand="0" w:firstRowFirstColumn="0" w:firstRowLastColumn="0" w:lastRowFirstColumn="0" w:lastRowLastColumn="0"/>
            </w:pPr>
            <w:r w:rsidRPr="0067507D">
              <w:t xml:space="preserve">Payment </w:t>
            </w:r>
            <w:r w:rsidRPr="0067507D">
              <w:br/>
              <w:t>($)</w:t>
            </w:r>
          </w:p>
        </w:tc>
      </w:tr>
      <w:tr w:rsidR="008F21AB" w:rsidRPr="0067507D" w14:paraId="755312C1"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5F03207E" w14:textId="2ACC7F96" w:rsidR="00E068BE" w:rsidRPr="0067507D" w:rsidRDefault="00335683" w:rsidP="00E068BE">
            <w:pPr>
              <w:pStyle w:val="Tabletext"/>
              <w:rPr>
                <w:highlight w:val="yellow"/>
              </w:rPr>
            </w:pPr>
            <w:r w:rsidRPr="0067507D">
              <w:t>Industry Capability Network (Victoria) Limited</w:t>
            </w:r>
          </w:p>
        </w:tc>
        <w:tc>
          <w:tcPr>
            <w:tcW w:w="1134" w:type="dxa"/>
          </w:tcPr>
          <w:p w14:paraId="160267C1" w14:textId="0B0B6767" w:rsidR="00E068BE" w:rsidRPr="0067507D" w:rsidRDefault="0041617A" w:rsidP="00E068BE">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112 670</w:t>
            </w:r>
          </w:p>
        </w:tc>
      </w:tr>
    </w:tbl>
    <w:p w14:paraId="56F673B8" w14:textId="1179395A" w:rsidR="00445FD1" w:rsidRPr="0067507D" w:rsidRDefault="00445FD1" w:rsidP="00C12266">
      <w:pPr>
        <w:spacing w:before="240"/>
      </w:pPr>
      <w:r w:rsidRPr="0067507D">
        <w:rPr>
          <w:rFonts w:asciiTheme="majorHAnsi" w:hAnsiTheme="majorHAnsi"/>
        </w:rPr>
        <w:t xml:space="preserve">Program </w:t>
      </w:r>
      <w:r w:rsidRPr="0067507D">
        <w:t xml:space="preserve">– </w:t>
      </w:r>
      <w:r w:rsidR="006434D2" w:rsidRPr="0067507D">
        <w:t>Construction Industry Safety</w:t>
      </w:r>
    </w:p>
    <w:p w14:paraId="47C24704" w14:textId="1F475AE0" w:rsidR="00445FD1" w:rsidRPr="0067507D" w:rsidRDefault="00445FD1">
      <w:pPr>
        <w:rPr>
          <w:highlight w:val="yellow"/>
        </w:rPr>
      </w:pPr>
      <w:r w:rsidRPr="0067507D">
        <w:rPr>
          <w:rFonts w:asciiTheme="majorHAnsi" w:hAnsiTheme="majorHAnsi"/>
        </w:rPr>
        <w:t xml:space="preserve">Grant </w:t>
      </w:r>
      <w:r w:rsidRPr="0067507D">
        <w:t xml:space="preserve">– </w:t>
      </w:r>
      <w:r w:rsidR="004F5005" w:rsidRPr="0067507D">
        <w:t>Incolink Grants 202</w:t>
      </w:r>
      <w:r w:rsidR="00C753E5" w:rsidRPr="0067507D">
        <w:t>4</w:t>
      </w:r>
    </w:p>
    <w:p w14:paraId="032B30E2" w14:textId="523A8258" w:rsidR="00445FD1" w:rsidRPr="0067507D" w:rsidRDefault="00552D49" w:rsidP="00445FD1">
      <w:pPr>
        <w:rPr>
          <w:highlight w:val="yellow"/>
        </w:rPr>
      </w:pPr>
      <w:r w:rsidRPr="0067507D">
        <w:t>Grants to industry body Incolink to support employer and employee organisations to deliver OHS training in the construction industry.</w:t>
      </w:r>
    </w:p>
    <w:tbl>
      <w:tblPr>
        <w:tblStyle w:val="AnnualReportfinancialtable1"/>
        <w:tblW w:w="4464" w:type="dxa"/>
        <w:tblLook w:val="06A0" w:firstRow="1" w:lastRow="0" w:firstColumn="1" w:lastColumn="0" w:noHBand="1" w:noVBand="1"/>
      </w:tblPr>
      <w:tblGrid>
        <w:gridCol w:w="3330"/>
        <w:gridCol w:w="1134"/>
      </w:tblGrid>
      <w:tr w:rsidR="00001812" w:rsidRPr="0067507D" w14:paraId="51E02589" w14:textId="77777777" w:rsidTr="00F26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0" w:type="dxa"/>
            <w:vAlign w:val="bottom"/>
          </w:tcPr>
          <w:p w14:paraId="7198FDF8" w14:textId="77777777" w:rsidR="00DA3612" w:rsidRPr="0067507D" w:rsidRDefault="00DA3612" w:rsidP="00AB39FF">
            <w:pPr>
              <w:pStyle w:val="Tabletextheadingleft"/>
            </w:pPr>
            <w:r w:rsidRPr="0067507D">
              <w:t xml:space="preserve">Organisation </w:t>
            </w:r>
          </w:p>
        </w:tc>
        <w:tc>
          <w:tcPr>
            <w:tcW w:w="1134" w:type="dxa"/>
          </w:tcPr>
          <w:p w14:paraId="1553FB66" w14:textId="77777777" w:rsidR="00DA3612" w:rsidRPr="0067507D" w:rsidRDefault="00DA3612">
            <w:pPr>
              <w:pStyle w:val="Tabletextheading"/>
              <w:cnfStyle w:val="100000000000" w:firstRow="1" w:lastRow="0" w:firstColumn="0" w:lastColumn="0" w:oddVBand="0" w:evenVBand="0" w:oddHBand="0" w:evenHBand="0" w:firstRowFirstColumn="0" w:firstRowLastColumn="0" w:lastRowFirstColumn="0" w:lastRowLastColumn="0"/>
            </w:pPr>
            <w:r w:rsidRPr="0067507D">
              <w:t xml:space="preserve">Payment </w:t>
            </w:r>
            <w:r w:rsidRPr="0067507D">
              <w:br/>
              <w:t>($)</w:t>
            </w:r>
          </w:p>
        </w:tc>
      </w:tr>
      <w:tr w:rsidR="008F21AB" w:rsidRPr="0067507D" w14:paraId="4ACF4509"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1F0CDC6D" w14:textId="736B9DBA" w:rsidR="006434D2" w:rsidRPr="0067507D" w:rsidRDefault="006434D2" w:rsidP="006434D2">
            <w:pPr>
              <w:pStyle w:val="Tabletext"/>
            </w:pPr>
            <w:r w:rsidRPr="0067507D">
              <w:t>Incolink Redundancy Payment Fund Ltd</w:t>
            </w:r>
          </w:p>
        </w:tc>
        <w:tc>
          <w:tcPr>
            <w:tcW w:w="1134" w:type="dxa"/>
          </w:tcPr>
          <w:p w14:paraId="4B710B67" w14:textId="020B5511" w:rsidR="006434D2" w:rsidRPr="0067507D" w:rsidRDefault="00552D49" w:rsidP="006434D2">
            <w:pPr>
              <w:pStyle w:val="Tabletextright"/>
              <w:cnfStyle w:val="000000000000" w:firstRow="0" w:lastRow="0" w:firstColumn="0" w:lastColumn="0" w:oddVBand="0" w:evenVBand="0" w:oddHBand="0" w:evenHBand="0" w:firstRowFirstColumn="0" w:firstRowLastColumn="0" w:lastRowFirstColumn="0" w:lastRowLastColumn="0"/>
            </w:pPr>
            <w:r w:rsidRPr="0067507D">
              <w:t xml:space="preserve">1 </w:t>
            </w:r>
            <w:r w:rsidR="007C42FB" w:rsidRPr="0067507D">
              <w:t>10</w:t>
            </w:r>
            <w:r w:rsidRPr="0067507D">
              <w:t>0 000</w:t>
            </w:r>
          </w:p>
        </w:tc>
      </w:tr>
    </w:tbl>
    <w:p w14:paraId="4BC08986" w14:textId="77777777" w:rsidR="005F2A36" w:rsidRPr="0067507D" w:rsidRDefault="005F2A36" w:rsidP="005F2A36">
      <w:pPr>
        <w:spacing w:before="240"/>
      </w:pPr>
      <w:r w:rsidRPr="0067507D">
        <w:rPr>
          <w:rFonts w:asciiTheme="majorHAnsi" w:hAnsiTheme="majorHAnsi"/>
        </w:rPr>
        <w:t xml:space="preserve">Program </w:t>
      </w:r>
      <w:r w:rsidRPr="0067507D">
        <w:t>– Construction Industry Safety</w:t>
      </w:r>
    </w:p>
    <w:p w14:paraId="3468BFA8" w14:textId="77777777" w:rsidR="005F2A36" w:rsidRPr="0067507D" w:rsidRDefault="005F2A36" w:rsidP="005F2A36">
      <w:pPr>
        <w:rPr>
          <w:highlight w:val="yellow"/>
        </w:rPr>
      </w:pPr>
      <w:r w:rsidRPr="0067507D">
        <w:rPr>
          <w:rFonts w:asciiTheme="majorHAnsi" w:hAnsiTheme="majorHAnsi"/>
        </w:rPr>
        <w:t xml:space="preserve">Grant </w:t>
      </w:r>
      <w:r w:rsidRPr="0067507D">
        <w:t>– Incolink Grants 2025</w:t>
      </w:r>
    </w:p>
    <w:p w14:paraId="318D720A" w14:textId="77777777" w:rsidR="005F2A36" w:rsidRPr="0067507D" w:rsidRDefault="005F2A36" w:rsidP="005F2A36">
      <w:pPr>
        <w:rPr>
          <w:highlight w:val="yellow"/>
        </w:rPr>
      </w:pPr>
      <w:r w:rsidRPr="0067507D">
        <w:t>Grants to industry body Incolink to support employer and employee organisations to deliver OHS training in the construction industry.</w:t>
      </w:r>
    </w:p>
    <w:tbl>
      <w:tblPr>
        <w:tblStyle w:val="AnnualReportfinancialtable1"/>
        <w:tblW w:w="4464" w:type="dxa"/>
        <w:tblLook w:val="06A0" w:firstRow="1" w:lastRow="0" w:firstColumn="1" w:lastColumn="0" w:noHBand="1" w:noVBand="1"/>
      </w:tblPr>
      <w:tblGrid>
        <w:gridCol w:w="3330"/>
        <w:gridCol w:w="1134"/>
      </w:tblGrid>
      <w:tr w:rsidR="005F2A36" w:rsidRPr="0067507D" w14:paraId="66F1AB0E" w14:textId="77777777" w:rsidTr="00F26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0" w:type="dxa"/>
            <w:vAlign w:val="bottom"/>
          </w:tcPr>
          <w:p w14:paraId="1A5CB397" w14:textId="77777777" w:rsidR="005F2A36" w:rsidRPr="0067507D" w:rsidRDefault="005F2A36" w:rsidP="00AB39FF">
            <w:pPr>
              <w:pStyle w:val="Tabletextheadingleft"/>
            </w:pPr>
            <w:r w:rsidRPr="0067507D">
              <w:t xml:space="preserve">Organisation </w:t>
            </w:r>
          </w:p>
        </w:tc>
        <w:tc>
          <w:tcPr>
            <w:tcW w:w="1134" w:type="dxa"/>
          </w:tcPr>
          <w:p w14:paraId="7162660B" w14:textId="77777777" w:rsidR="005F2A36" w:rsidRPr="0067507D" w:rsidRDefault="005F2A36">
            <w:pPr>
              <w:pStyle w:val="Tabletextheading"/>
              <w:cnfStyle w:val="100000000000" w:firstRow="1" w:lastRow="0" w:firstColumn="0" w:lastColumn="0" w:oddVBand="0" w:evenVBand="0" w:oddHBand="0" w:evenHBand="0" w:firstRowFirstColumn="0" w:firstRowLastColumn="0" w:lastRowFirstColumn="0" w:lastRowLastColumn="0"/>
            </w:pPr>
            <w:r w:rsidRPr="0067507D">
              <w:t xml:space="preserve">Payment </w:t>
            </w:r>
            <w:r w:rsidRPr="0067507D">
              <w:br/>
              <w:t>($)</w:t>
            </w:r>
          </w:p>
        </w:tc>
      </w:tr>
      <w:tr w:rsidR="005F2A36" w:rsidRPr="0067507D" w14:paraId="739EC9BF"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603C2A0D" w14:textId="77777777" w:rsidR="005F2A36" w:rsidRPr="0067507D" w:rsidRDefault="005F2A36">
            <w:pPr>
              <w:pStyle w:val="Tabletext"/>
            </w:pPr>
            <w:r w:rsidRPr="0067507D">
              <w:t>Incolink Redundancy Payment Fund Ltd</w:t>
            </w:r>
          </w:p>
        </w:tc>
        <w:tc>
          <w:tcPr>
            <w:tcW w:w="1134" w:type="dxa"/>
          </w:tcPr>
          <w:p w14:paraId="7F26191F" w14:textId="3A9F4662" w:rsidR="005F2A36" w:rsidRPr="0067507D" w:rsidRDefault="005F2A36">
            <w:pPr>
              <w:pStyle w:val="Tabletextright"/>
              <w:cnfStyle w:val="000000000000" w:firstRow="0" w:lastRow="0" w:firstColumn="0" w:lastColumn="0" w:oddVBand="0" w:evenVBand="0" w:oddHBand="0" w:evenHBand="0" w:firstRowFirstColumn="0" w:firstRowLastColumn="0" w:lastRowFirstColumn="0" w:lastRowLastColumn="0"/>
            </w:pPr>
            <w:r w:rsidRPr="0067507D">
              <w:t>5</w:t>
            </w:r>
            <w:r w:rsidR="006037FE" w:rsidRPr="0067507D">
              <w:t>5</w:t>
            </w:r>
            <w:r w:rsidRPr="0067507D">
              <w:t>0 000</w:t>
            </w:r>
          </w:p>
        </w:tc>
      </w:tr>
    </w:tbl>
    <w:p w14:paraId="49A2E949" w14:textId="2348B277" w:rsidR="00C12266" w:rsidRPr="0067507D" w:rsidRDefault="00C12266" w:rsidP="00C12266">
      <w:pPr>
        <w:spacing w:before="240"/>
      </w:pPr>
      <w:r w:rsidRPr="0067507D">
        <w:rPr>
          <w:rFonts w:asciiTheme="majorHAnsi" w:hAnsiTheme="majorHAnsi"/>
        </w:rPr>
        <w:t xml:space="preserve">Program </w:t>
      </w:r>
      <w:r w:rsidRPr="0067507D">
        <w:t xml:space="preserve">– </w:t>
      </w:r>
      <w:r w:rsidR="0079774D" w:rsidRPr="0067507D">
        <w:t>Workplace Gender Pay Equity</w:t>
      </w:r>
    </w:p>
    <w:p w14:paraId="09DC5FDA" w14:textId="7EAFEEA5" w:rsidR="00C12266" w:rsidRPr="0067507D" w:rsidRDefault="00C12266" w:rsidP="00C12266">
      <w:pPr>
        <w:rPr>
          <w:highlight w:val="yellow"/>
        </w:rPr>
      </w:pPr>
      <w:r w:rsidRPr="0067507D">
        <w:rPr>
          <w:rFonts w:asciiTheme="majorHAnsi" w:hAnsiTheme="majorHAnsi"/>
        </w:rPr>
        <w:t xml:space="preserve">Grant </w:t>
      </w:r>
      <w:r w:rsidRPr="0067507D">
        <w:t xml:space="preserve">– </w:t>
      </w:r>
      <w:r w:rsidR="0079774D" w:rsidRPr="0067507D">
        <w:t>Equal pay matters: Achieving pay equality in small to medium enterprises (SMEs)</w:t>
      </w:r>
    </w:p>
    <w:p w14:paraId="6655E8DD" w14:textId="45CAEFE6" w:rsidR="00C12266" w:rsidRPr="0067507D" w:rsidRDefault="007812F0" w:rsidP="00CE5872">
      <w:pPr>
        <w:ind w:right="-148"/>
        <w:rPr>
          <w:highlight w:val="yellow"/>
        </w:rPr>
      </w:pPr>
      <w:r w:rsidRPr="0067507D">
        <w:t>Funding to Victoria Equal Opportunity and Human Rights Commission to implement recommendation five</w:t>
      </w:r>
      <w:r w:rsidR="00CE5872" w:rsidRPr="0067507D">
        <w:rPr>
          <w:rFonts w:ascii="Calibri" w:hAnsi="Calibri" w:cs="Calibri"/>
        </w:rPr>
        <w:t> </w:t>
      </w:r>
      <w:r w:rsidRPr="0067507D">
        <w:t>of the Equal Pay Matters Report. Recommendation included developing simple tools and templates that SMEs can use to support pay equity in their businesses.</w:t>
      </w:r>
    </w:p>
    <w:tbl>
      <w:tblPr>
        <w:tblStyle w:val="AnnualReportfinancialtable1"/>
        <w:tblW w:w="4464" w:type="dxa"/>
        <w:tblLook w:val="06A0" w:firstRow="1" w:lastRow="0" w:firstColumn="1" w:lastColumn="0" w:noHBand="1" w:noVBand="1"/>
      </w:tblPr>
      <w:tblGrid>
        <w:gridCol w:w="3330"/>
        <w:gridCol w:w="1134"/>
      </w:tblGrid>
      <w:tr w:rsidR="00001812" w:rsidRPr="0067507D" w14:paraId="3B8B176D" w14:textId="77777777" w:rsidTr="00F26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0" w:type="dxa"/>
            <w:vAlign w:val="bottom"/>
          </w:tcPr>
          <w:p w14:paraId="08D348BF" w14:textId="77777777" w:rsidR="00C12266" w:rsidRPr="0067507D" w:rsidRDefault="00C12266" w:rsidP="00AB39FF">
            <w:pPr>
              <w:pStyle w:val="Tabletextheadingleft"/>
            </w:pPr>
            <w:r w:rsidRPr="0067507D">
              <w:t xml:space="preserve">Organisation </w:t>
            </w:r>
          </w:p>
        </w:tc>
        <w:tc>
          <w:tcPr>
            <w:tcW w:w="1134" w:type="dxa"/>
          </w:tcPr>
          <w:p w14:paraId="2C9A6E6D" w14:textId="77777777" w:rsidR="00C12266" w:rsidRPr="0067507D" w:rsidRDefault="00C12266">
            <w:pPr>
              <w:pStyle w:val="Tabletextheading"/>
              <w:cnfStyle w:val="100000000000" w:firstRow="1" w:lastRow="0" w:firstColumn="0" w:lastColumn="0" w:oddVBand="0" w:evenVBand="0" w:oddHBand="0" w:evenHBand="0" w:firstRowFirstColumn="0" w:firstRowLastColumn="0" w:lastRowFirstColumn="0" w:lastRowLastColumn="0"/>
            </w:pPr>
            <w:r w:rsidRPr="0067507D">
              <w:t xml:space="preserve">Payment </w:t>
            </w:r>
            <w:r w:rsidRPr="0067507D">
              <w:br/>
              <w:t>($)</w:t>
            </w:r>
          </w:p>
        </w:tc>
      </w:tr>
      <w:tr w:rsidR="008F21AB" w:rsidRPr="0067507D" w14:paraId="67B5E0DE" w14:textId="77777777" w:rsidTr="00F26CB7">
        <w:tc>
          <w:tcPr>
            <w:cnfStyle w:val="001000000000" w:firstRow="0" w:lastRow="0" w:firstColumn="1" w:lastColumn="0" w:oddVBand="0" w:evenVBand="0" w:oddHBand="0" w:evenHBand="0" w:firstRowFirstColumn="0" w:firstRowLastColumn="0" w:lastRowFirstColumn="0" w:lastRowLastColumn="0"/>
            <w:tcW w:w="3330" w:type="dxa"/>
          </w:tcPr>
          <w:p w14:paraId="620E838B" w14:textId="63A381B7" w:rsidR="002E5A98" w:rsidRPr="0067507D" w:rsidRDefault="007812F0" w:rsidP="002E5A98">
            <w:pPr>
              <w:pStyle w:val="Tabletext"/>
              <w:rPr>
                <w:highlight w:val="yellow"/>
              </w:rPr>
            </w:pPr>
            <w:r w:rsidRPr="0067507D">
              <w:t>Victoria Equal Opportunity and Human Rights Commission</w:t>
            </w:r>
          </w:p>
        </w:tc>
        <w:tc>
          <w:tcPr>
            <w:tcW w:w="1134" w:type="dxa"/>
          </w:tcPr>
          <w:p w14:paraId="61D94841" w14:textId="35B537FE" w:rsidR="002E5A98" w:rsidRPr="0067507D" w:rsidRDefault="006462AC" w:rsidP="002E5A98">
            <w:pPr>
              <w:pStyle w:val="Tabletextright"/>
              <w:cnfStyle w:val="000000000000" w:firstRow="0" w:lastRow="0" w:firstColumn="0" w:lastColumn="0" w:oddVBand="0" w:evenVBand="0" w:oddHBand="0" w:evenHBand="0" w:firstRowFirstColumn="0" w:firstRowLastColumn="0" w:lastRowFirstColumn="0" w:lastRowLastColumn="0"/>
              <w:rPr>
                <w:highlight w:val="yellow"/>
              </w:rPr>
            </w:pPr>
            <w:r w:rsidRPr="0067507D">
              <w:t>160 000</w:t>
            </w:r>
          </w:p>
        </w:tc>
      </w:tr>
    </w:tbl>
    <w:p w14:paraId="148AB20D" w14:textId="38A6863F" w:rsidR="00940E66" w:rsidRPr="0067507D" w:rsidRDefault="00940E66" w:rsidP="00D944BA">
      <w:pPr>
        <w:pStyle w:val="Spacer"/>
      </w:pPr>
    </w:p>
    <w:p w14:paraId="1E96886A" w14:textId="77777777" w:rsidR="005E6D06" w:rsidRPr="0067507D" w:rsidRDefault="005E6D06" w:rsidP="005E6D06">
      <w:pPr>
        <w:pStyle w:val="Heading2"/>
        <w:sectPr w:rsidR="005E6D06" w:rsidRPr="0067507D" w:rsidSect="009F79EE">
          <w:pgSz w:w="11909" w:h="16834" w:code="9"/>
          <w:pgMar w:top="1728" w:right="1152" w:bottom="1152" w:left="1152" w:header="720" w:footer="288" w:gutter="0"/>
          <w:cols w:num="2" w:space="720"/>
          <w:noEndnote/>
        </w:sectPr>
      </w:pPr>
    </w:p>
    <w:bookmarkEnd w:id="16"/>
    <w:bookmarkEnd w:id="17"/>
    <w:bookmarkEnd w:id="18"/>
    <w:p w14:paraId="004EB273" w14:textId="196C0ABD" w:rsidR="00A03B90" w:rsidRPr="0067507D" w:rsidRDefault="00A03B90" w:rsidP="005E6D06">
      <w:pPr>
        <w:pStyle w:val="Heading2"/>
      </w:pPr>
      <w:r w:rsidRPr="0067507D">
        <w:lastRenderedPageBreak/>
        <w:t xml:space="preserve">Victorian Future </w:t>
      </w:r>
      <w:r w:rsidR="00D0788B" w:rsidRPr="0067507D">
        <w:t>Fund</w:t>
      </w:r>
    </w:p>
    <w:p w14:paraId="1A8DBC2E" w14:textId="77777777" w:rsidR="00245692" w:rsidRPr="0067507D" w:rsidRDefault="00245692" w:rsidP="00245692">
      <w:pPr>
        <w:pStyle w:val="Heading3"/>
      </w:pPr>
      <w:r w:rsidRPr="0067507D">
        <w:t>Overview</w:t>
      </w:r>
    </w:p>
    <w:p w14:paraId="4A78F053" w14:textId="4964AB7C" w:rsidR="00245692" w:rsidRPr="0067507D" w:rsidRDefault="00245692" w:rsidP="00245692">
      <w:r w:rsidRPr="0067507D">
        <w:t xml:space="preserve">The Victorian Future Fund (the Fund, or ‘VFF’) was announced in the </w:t>
      </w:r>
      <w:r w:rsidRPr="0067507D">
        <w:rPr>
          <w:i/>
        </w:rPr>
        <w:t>2022</w:t>
      </w:r>
      <w:r w:rsidR="006A5485">
        <w:rPr>
          <w:i/>
        </w:rPr>
        <w:noBreakHyphen/>
      </w:r>
      <w:r w:rsidRPr="0067507D">
        <w:rPr>
          <w:i/>
        </w:rPr>
        <w:t>23 Budget</w:t>
      </w:r>
      <w:r w:rsidRPr="0067507D">
        <w:t xml:space="preserve"> as part of the Government’s debt stabilisation strategy. The purpose of the Fund is to help manage the fiscal impact of the COVID</w:t>
      </w:r>
      <w:r w:rsidR="006A5485">
        <w:noBreakHyphen/>
      </w:r>
      <w:r w:rsidRPr="0067507D">
        <w:t xml:space="preserve">19 pandemic and deliver positive outcomes for Victorians by reducing the debt burden on future generations. </w:t>
      </w:r>
    </w:p>
    <w:p w14:paraId="1CA88229" w14:textId="77777777" w:rsidR="00245692" w:rsidRPr="0067507D" w:rsidRDefault="00245692" w:rsidP="00245692">
      <w:r w:rsidRPr="0067507D">
        <w:t xml:space="preserve">The Fund was established as a notional allocation within the Consolidated Fund using proceeds from the VicRoads Modernisation Joint Venture. </w:t>
      </w:r>
      <w:r w:rsidRPr="0067507D">
        <w:rPr>
          <w:bCs/>
        </w:rPr>
        <w:t>Further investments will continue to</w:t>
      </w:r>
      <w:r w:rsidRPr="0067507D">
        <w:t xml:space="preserve"> be allocated to the Fund in the future through proceeds from designated government land sales and a proportion of future budget surpluses once net debt stabilises. </w:t>
      </w:r>
    </w:p>
    <w:p w14:paraId="079628DA" w14:textId="77777777" w:rsidR="00245692" w:rsidRPr="0067507D" w:rsidRDefault="00245692" w:rsidP="00245692">
      <w:pPr>
        <w:pStyle w:val="Heading3"/>
      </w:pPr>
      <w:r w:rsidRPr="0067507D">
        <w:t>Structure and governance</w:t>
      </w:r>
    </w:p>
    <w:p w14:paraId="26A9F163" w14:textId="77777777" w:rsidR="00245692" w:rsidRPr="0067507D" w:rsidRDefault="00245692" w:rsidP="00245692">
      <w:r w:rsidRPr="0067507D">
        <w:t xml:space="preserve">The Treasurer is responsible for administering the Fund and has appointed the Victorian Funds Management Corporation (VFMC) as fund manager to invest the assets of the Fund in accordance with section 9A(3) of the </w:t>
      </w:r>
      <w:r w:rsidRPr="0067507D">
        <w:rPr>
          <w:i/>
        </w:rPr>
        <w:t>Victorian Funds Management Corporation Act 1994</w:t>
      </w:r>
      <w:r w:rsidRPr="0067507D">
        <w:t xml:space="preserve">. </w:t>
      </w:r>
    </w:p>
    <w:p w14:paraId="609E33A9" w14:textId="77777777" w:rsidR="00245692" w:rsidRPr="0067507D" w:rsidRDefault="00245692" w:rsidP="00245692">
      <w:r w:rsidRPr="0067507D">
        <w:t>DTF supports the Treasurer in administering the Fund from a whole of State balance sheet and risk management perspective, and monitoring and reporting on the balance and performance of the</w:t>
      </w:r>
      <w:r w:rsidRPr="0067507D">
        <w:rPr>
          <w:bCs/>
        </w:rPr>
        <w:t xml:space="preserve"> </w:t>
      </w:r>
      <w:r w:rsidRPr="0067507D">
        <w:t xml:space="preserve">Fund. </w:t>
      </w:r>
    </w:p>
    <w:p w14:paraId="3030CC49" w14:textId="77777777" w:rsidR="00245692" w:rsidRPr="0067507D" w:rsidRDefault="00245692" w:rsidP="00245692">
      <w:r w:rsidRPr="0067507D">
        <w:t xml:space="preserve">The </w:t>
      </w:r>
      <w:r w:rsidRPr="0067507D">
        <w:rPr>
          <w:i/>
        </w:rPr>
        <w:t>Victorian Future Fund Act 2023</w:t>
      </w:r>
      <w:r w:rsidRPr="0067507D">
        <w:t xml:space="preserve"> (VFF Act) received Royal Assent in June 2023 and came into operation on 22 August 2023. The VFF Act </w:t>
      </w:r>
      <w:r w:rsidRPr="0067507D">
        <w:rPr>
          <w:bCs/>
        </w:rPr>
        <w:t>established</w:t>
      </w:r>
      <w:r w:rsidRPr="0067507D">
        <w:t xml:space="preserve"> the VFF as a dedicated account in the Public Account as part of the Trust Fund and sets out the purpose of the Fund, its administration and payments into and from the Fund. In particular, the VFF Act prescribes that funds can only be used to reduce the State’s debt or for costs and expenses incurred in administering the Fund. </w:t>
      </w:r>
    </w:p>
    <w:p w14:paraId="5B19E9F4" w14:textId="512A3D82" w:rsidR="00245692" w:rsidRPr="0067507D" w:rsidRDefault="005C42F0" w:rsidP="00245692">
      <w:pPr>
        <w:pStyle w:val="Heading3"/>
      </w:pPr>
      <w:r w:rsidRPr="0067507D">
        <w:br w:type="column"/>
      </w:r>
      <w:r w:rsidR="00245692" w:rsidRPr="0067507D">
        <w:t>Investment approach</w:t>
      </w:r>
    </w:p>
    <w:p w14:paraId="0C3122E4" w14:textId="77777777" w:rsidR="00245692" w:rsidRPr="0067507D" w:rsidRDefault="00245692" w:rsidP="00245692">
      <w:r w:rsidRPr="0067507D">
        <w:t xml:space="preserve">The balance of the Fund was held in the State’s Central Banking System (CBS) prior to the VFF Act coming into operation in August 2023. </w:t>
      </w:r>
    </w:p>
    <w:p w14:paraId="541431DC" w14:textId="26AA357A" w:rsidR="00245692" w:rsidRPr="0067507D" w:rsidRDefault="00245692" w:rsidP="00245692">
      <w:r w:rsidRPr="0067507D">
        <w:t>The VFMC adopted a phased approach to deploying the Fund balance to manage risk and optimise its performance, with the final tranche being invested in Q1 of the 2024</w:t>
      </w:r>
      <w:r w:rsidR="006A5485">
        <w:noBreakHyphen/>
      </w:r>
      <w:r w:rsidRPr="0067507D">
        <w:t>25 financial year. Funds that were awaiting deployment in that period earned interest and were quarantined in the VFMC’s CBS account.</w:t>
      </w:r>
    </w:p>
    <w:p w14:paraId="344EFDA5" w14:textId="0163159E" w:rsidR="00EA4478" w:rsidRPr="0067507D" w:rsidRDefault="00F969C8" w:rsidP="00EA4478">
      <w:r w:rsidRPr="0067507D">
        <w:t xml:space="preserve">The Fund is </w:t>
      </w:r>
      <w:r w:rsidR="00197BE9" w:rsidRPr="0067507D">
        <w:t>invested by VFMC in a long</w:t>
      </w:r>
      <w:r w:rsidR="006A5485">
        <w:noBreakHyphen/>
      </w:r>
      <w:r w:rsidR="00197BE9" w:rsidRPr="0067507D">
        <w:t>term, growth</w:t>
      </w:r>
      <w:r w:rsidR="006A5485">
        <w:noBreakHyphen/>
      </w:r>
      <w:r w:rsidR="00197BE9" w:rsidRPr="0067507D">
        <w:t xml:space="preserve">oriented, and diversified portfolio. VFMC is managing the Fund in line with environmental, social and governance (ESG) principles consistent with VFMC’s Investment Stewardship Policy. </w:t>
      </w:r>
      <w:r w:rsidR="00EA4478" w:rsidRPr="0067507D">
        <w:t>VFMC proactively engages on a range of ESG matters and ensures relevant ESG factors are integrated into the selection, management and monitoring of the Fund’s investments.</w:t>
      </w:r>
    </w:p>
    <w:p w14:paraId="55657942" w14:textId="77777777" w:rsidR="00EA4478" w:rsidRPr="0067507D" w:rsidRDefault="00EA4478" w:rsidP="00EA4478">
      <w:pPr>
        <w:pStyle w:val="Heading3"/>
      </w:pPr>
      <w:r w:rsidRPr="0067507D">
        <w:t>Investment objective and performance</w:t>
      </w:r>
    </w:p>
    <w:p w14:paraId="30E9BC68" w14:textId="44201500" w:rsidR="00EA4478" w:rsidRPr="0067507D" w:rsidRDefault="00EA4478" w:rsidP="00EA4478">
      <w:r w:rsidRPr="0067507D">
        <w:t>The investment return objective of the Fund is to achieve CPI + 4.0 per cent a year over rolling 10</w:t>
      </w:r>
      <w:r w:rsidR="006A5485">
        <w:noBreakHyphen/>
      </w:r>
      <w:r w:rsidRPr="0067507D">
        <w:t>year periods.</w:t>
      </w:r>
    </w:p>
    <w:p w14:paraId="11EDBD0C" w14:textId="2CF65057" w:rsidR="00EA4478" w:rsidRPr="0067507D" w:rsidRDefault="00EA4478" w:rsidP="00EA4478">
      <w:r w:rsidRPr="0067507D">
        <w:t>The Fund’s actual performance for the 2024</w:t>
      </w:r>
      <w:r w:rsidR="006A5485">
        <w:noBreakHyphen/>
      </w:r>
      <w:r w:rsidRPr="0067507D">
        <w:t>25 financial year is provided below:</w:t>
      </w:r>
    </w:p>
    <w:p w14:paraId="687A31F9" w14:textId="77777777" w:rsidR="00EA4478" w:rsidRPr="0067507D" w:rsidRDefault="00EA4478" w:rsidP="00EA4478">
      <w:pPr>
        <w:pStyle w:val="Tabletextheadingright"/>
        <w:jc w:val="left"/>
      </w:pPr>
      <w:r w:rsidRPr="0067507D">
        <w:t>Fund performance</w:t>
      </w:r>
    </w:p>
    <w:tbl>
      <w:tblPr>
        <w:tblStyle w:val="AnnualReportfinancialtable1"/>
        <w:tblW w:w="4312" w:type="dxa"/>
        <w:tblInd w:w="-90" w:type="dxa"/>
        <w:tblLook w:val="0020" w:firstRow="1" w:lastRow="0" w:firstColumn="0" w:lastColumn="0" w:noHBand="0" w:noVBand="0"/>
      </w:tblPr>
      <w:tblGrid>
        <w:gridCol w:w="3119"/>
        <w:gridCol w:w="1193"/>
      </w:tblGrid>
      <w:tr w:rsidR="00A36CBB" w:rsidRPr="00866B9C" w14:paraId="13377085" w14:textId="77777777" w:rsidTr="00124CD5">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3119" w:type="dxa"/>
            <w:hideMark/>
          </w:tcPr>
          <w:p w14:paraId="32DC1BA3" w14:textId="77777777" w:rsidR="00EA4478" w:rsidRPr="00866B9C" w:rsidRDefault="00EA4478">
            <w:pPr>
              <w:keepLines w:val="0"/>
              <w:spacing w:before="0" w:after="0"/>
              <w:textAlignment w:val="baseline"/>
              <w:rPr>
                <w:rFonts w:cs="Segoe UI"/>
                <w:bCs/>
                <w:sz w:val="18"/>
                <w:szCs w:val="18"/>
              </w:rPr>
            </w:pPr>
            <w:r w:rsidRPr="00866B9C">
              <w:rPr>
                <w:rFonts w:ascii="Calibri" w:hAnsi="Calibri" w:cs="Calibri"/>
                <w:bCs/>
                <w:sz w:val="15"/>
                <w:szCs w:val="15"/>
              </w:rPr>
              <w:t> </w:t>
            </w:r>
          </w:p>
        </w:tc>
        <w:tc>
          <w:tcPr>
            <w:cnfStyle w:val="000001000000" w:firstRow="0" w:lastRow="0" w:firstColumn="0" w:lastColumn="0" w:oddVBand="0" w:evenVBand="1" w:oddHBand="0" w:evenHBand="0" w:firstRowFirstColumn="0" w:firstRowLastColumn="0" w:lastRowFirstColumn="0" w:lastRowLastColumn="0"/>
            <w:tcW w:w="1193" w:type="dxa"/>
            <w:hideMark/>
          </w:tcPr>
          <w:p w14:paraId="411D118F" w14:textId="77777777" w:rsidR="00EA4478" w:rsidRPr="00866B9C" w:rsidRDefault="00EA4478">
            <w:pPr>
              <w:pStyle w:val="Tabletextheadingright"/>
              <w:rPr>
                <w:rFonts w:cs="Segoe UI"/>
                <w:bCs/>
                <w:szCs w:val="16"/>
              </w:rPr>
            </w:pPr>
            <w:r w:rsidRPr="00866B9C">
              <w:t>(%)</w:t>
            </w:r>
          </w:p>
        </w:tc>
      </w:tr>
      <w:tr w:rsidR="00A36CBB" w:rsidRPr="0067507D" w14:paraId="080077FE" w14:textId="77777777" w:rsidTr="00124CD5">
        <w:tc>
          <w:tcPr>
            <w:cnfStyle w:val="000010000000" w:firstRow="0" w:lastRow="0" w:firstColumn="0" w:lastColumn="0" w:oddVBand="1" w:evenVBand="0" w:oddHBand="0" w:evenHBand="0" w:firstRowFirstColumn="0" w:firstRowLastColumn="0" w:lastRowFirstColumn="0" w:lastRowLastColumn="0"/>
            <w:tcW w:w="3119" w:type="dxa"/>
            <w:hideMark/>
          </w:tcPr>
          <w:p w14:paraId="50E4626D" w14:textId="77777777" w:rsidR="00EA4478" w:rsidRPr="0067507D" w:rsidRDefault="00EA4478" w:rsidP="00124CD5">
            <w:pPr>
              <w:pStyle w:val="Tabletext"/>
              <w:jc w:val="left"/>
            </w:pPr>
            <w:r w:rsidRPr="0067507D">
              <w:t>Net return (after fees)</w:t>
            </w:r>
          </w:p>
        </w:tc>
        <w:tc>
          <w:tcPr>
            <w:cnfStyle w:val="000001000000" w:firstRow="0" w:lastRow="0" w:firstColumn="0" w:lastColumn="0" w:oddVBand="0" w:evenVBand="1" w:oddHBand="0" w:evenHBand="0" w:firstRowFirstColumn="0" w:firstRowLastColumn="0" w:lastRowFirstColumn="0" w:lastRowLastColumn="0"/>
            <w:tcW w:w="1193" w:type="dxa"/>
            <w:hideMark/>
          </w:tcPr>
          <w:p w14:paraId="64A0CDB5" w14:textId="77777777" w:rsidR="00EA4478" w:rsidRPr="0067507D" w:rsidRDefault="00EA4478">
            <w:pPr>
              <w:pStyle w:val="Tabletextright"/>
              <w:rPr>
                <w:highlight w:val="yellow"/>
              </w:rPr>
            </w:pPr>
            <w:r w:rsidRPr="0067507D">
              <w:t>11.8</w:t>
            </w:r>
          </w:p>
        </w:tc>
      </w:tr>
    </w:tbl>
    <w:p w14:paraId="1507F995" w14:textId="3E0EB368" w:rsidR="00EA4478" w:rsidRPr="0067507D" w:rsidRDefault="00EA4478" w:rsidP="00EA4478">
      <w:pPr>
        <w:pStyle w:val="Notes"/>
      </w:pPr>
      <w:r w:rsidRPr="0067507D">
        <w:t>Note:</w:t>
      </w:r>
    </w:p>
    <w:p w14:paraId="6DFE8658" w14:textId="2210C990" w:rsidR="00EA4478" w:rsidRPr="0067507D" w:rsidRDefault="00EA4478" w:rsidP="00EA4478">
      <w:pPr>
        <w:pStyle w:val="Notes"/>
      </w:pPr>
      <w:r w:rsidRPr="0067507D">
        <w:t>(a) This net return reflects the actual performance of the Fund balance deployed to the long</w:t>
      </w:r>
      <w:r w:rsidR="006A5485">
        <w:noBreakHyphen/>
      </w:r>
      <w:r w:rsidRPr="0067507D">
        <w:t xml:space="preserve">term portfolio. </w:t>
      </w:r>
    </w:p>
    <w:p w14:paraId="5874C72B" w14:textId="290C0F6D" w:rsidR="00EA4478" w:rsidRPr="0067507D" w:rsidRDefault="00EA4478" w:rsidP="00EA4478">
      <w:r w:rsidRPr="0067507D">
        <w:t>The Fund delivered a total investment return of $1</w:t>
      </w:r>
      <w:r w:rsidR="00302550" w:rsidRPr="0067507D">
        <w:rPr>
          <w:rFonts w:ascii="Calibri" w:hAnsi="Calibri" w:cs="Calibri"/>
        </w:rPr>
        <w:t> </w:t>
      </w:r>
      <w:r w:rsidRPr="0067507D">
        <w:t>billion in the 2024</w:t>
      </w:r>
      <w:r w:rsidR="006A5485">
        <w:noBreakHyphen/>
      </w:r>
      <w:r w:rsidRPr="0067507D">
        <w:t xml:space="preserve">25 financial year. This reflects the combined total of interest earned whilst held in the State’s CBS prior to the VFMC commencing investment, as well as investment returns generated by the VFMC since that time. </w:t>
      </w:r>
    </w:p>
    <w:p w14:paraId="1309975D" w14:textId="77777777" w:rsidR="00EA4478" w:rsidRPr="0067507D" w:rsidRDefault="00EA4478" w:rsidP="00EA4478">
      <w:r w:rsidRPr="0067507D">
        <w:t xml:space="preserve">The Fund has performed strongly since inception and the investment returns from the financial year have been quarantined and reinvested within the Fund, supporting its balance to grow over time. </w:t>
      </w:r>
    </w:p>
    <w:p w14:paraId="72007CFC" w14:textId="77777777" w:rsidR="00EA4478" w:rsidRPr="0067507D" w:rsidRDefault="00EA4478" w:rsidP="00EA4478">
      <w:r w:rsidRPr="0067507D">
        <w:t>Over the long term, the Fund’s investment return is expected to exceed the State’s cost of borrowing, meaning it improves the State’s overall fiscal position more than simply paying down debt would.</w:t>
      </w:r>
    </w:p>
    <w:p w14:paraId="17C7C437" w14:textId="37676B9E" w:rsidR="00EA4478" w:rsidRPr="0067507D" w:rsidRDefault="005C42F0" w:rsidP="00EA4478">
      <w:pPr>
        <w:pStyle w:val="Heading3"/>
      </w:pPr>
      <w:r w:rsidRPr="0067507D">
        <w:br w:type="column"/>
      </w:r>
      <w:r w:rsidR="00EA4478" w:rsidRPr="0067507D">
        <w:lastRenderedPageBreak/>
        <w:t>Contributions and redemptions</w:t>
      </w:r>
    </w:p>
    <w:p w14:paraId="6FFE9754" w14:textId="65C2741F" w:rsidR="00EA4478" w:rsidRPr="0067507D" w:rsidRDefault="00EA4478" w:rsidP="00EA4478">
      <w:r w:rsidRPr="0067507D">
        <w:t>During 2024</w:t>
      </w:r>
      <w:r w:rsidR="006A5485">
        <w:noBreakHyphen/>
      </w:r>
      <w:r w:rsidRPr="0067507D">
        <w:t>25 proceeds from departmental land sales of $96 million were contributed to the Fund. $1.7</w:t>
      </w:r>
      <w:r w:rsidR="00C501E0" w:rsidRPr="0067507D">
        <w:rPr>
          <w:rFonts w:ascii="Calibri" w:hAnsi="Calibri" w:cs="Calibri"/>
        </w:rPr>
        <w:t> </w:t>
      </w:r>
      <w:r w:rsidRPr="0067507D">
        <w:t>million of contributions were retained to fund administrative expenses associated with the fund to 202</w:t>
      </w:r>
      <w:r w:rsidR="38D5963E" w:rsidRPr="0067507D">
        <w:t>8</w:t>
      </w:r>
      <w:r w:rsidR="006A5485">
        <w:noBreakHyphen/>
      </w:r>
      <w:r w:rsidR="5BF71F29" w:rsidRPr="0067507D">
        <w:t>29</w:t>
      </w:r>
      <w:r w:rsidRPr="0067507D">
        <w:t>, inclusive.</w:t>
      </w:r>
      <w:r w:rsidR="005C365C" w:rsidRPr="0067507D">
        <w:t xml:space="preserve"> </w:t>
      </w:r>
      <w:r w:rsidRPr="0067507D">
        <w:t>There were no withdrawals from the Fund in 2024</w:t>
      </w:r>
      <w:r w:rsidR="006A5485">
        <w:noBreakHyphen/>
      </w:r>
      <w:r w:rsidRPr="0067507D">
        <w:t>25, and the value of the Fund as at 30 June 2025 was $9.9 billion.</w:t>
      </w:r>
    </w:p>
    <w:p w14:paraId="15007505" w14:textId="753686B5" w:rsidR="00EA4478" w:rsidRPr="0067507D" w:rsidRDefault="00EA4478" w:rsidP="00EA4478">
      <w:pPr>
        <w:pStyle w:val="Tabletextheadingright"/>
        <w:jc w:val="left"/>
      </w:pPr>
      <w:r w:rsidRPr="0067507D">
        <w:t xml:space="preserve">Reconciliation of </w:t>
      </w:r>
      <w:r w:rsidR="00904203" w:rsidRPr="0067507D">
        <w:t xml:space="preserve">fund </w:t>
      </w:r>
      <w:r w:rsidRPr="0067507D">
        <w:t>balance</w:t>
      </w:r>
    </w:p>
    <w:tbl>
      <w:tblPr>
        <w:tblStyle w:val="AnnualReportfinancialtable"/>
        <w:tblW w:w="4442" w:type="dxa"/>
        <w:tblLook w:val="02A0" w:firstRow="1" w:lastRow="0" w:firstColumn="1" w:lastColumn="0" w:noHBand="1" w:noVBand="0"/>
      </w:tblPr>
      <w:tblGrid>
        <w:gridCol w:w="3554"/>
        <w:gridCol w:w="888"/>
      </w:tblGrid>
      <w:tr w:rsidR="00B814D0" w:rsidRPr="0067507D" w14:paraId="72136701" w14:textId="77777777" w:rsidTr="00725B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4" w:type="dxa"/>
            <w:hideMark/>
          </w:tcPr>
          <w:p w14:paraId="4D95EBE6" w14:textId="77777777" w:rsidR="00EA4478" w:rsidRPr="0067507D" w:rsidRDefault="00EA4478">
            <w:pPr>
              <w:pStyle w:val="Tabletextheading"/>
            </w:pPr>
          </w:p>
        </w:tc>
        <w:tc>
          <w:tcPr>
            <w:cnfStyle w:val="000010000000" w:firstRow="0" w:lastRow="0" w:firstColumn="0" w:lastColumn="0" w:oddVBand="1" w:evenVBand="0" w:oddHBand="0" w:evenHBand="0" w:firstRowFirstColumn="0" w:firstRowLastColumn="0" w:lastRowFirstColumn="0" w:lastRowLastColumn="0"/>
            <w:tcW w:w="888" w:type="dxa"/>
            <w:hideMark/>
          </w:tcPr>
          <w:p w14:paraId="0B87C168" w14:textId="0D5CEE2D" w:rsidR="00EA4478" w:rsidRPr="0067507D" w:rsidRDefault="00EA4478">
            <w:pPr>
              <w:pStyle w:val="Tabletextheadingright"/>
            </w:pPr>
            <w:r w:rsidRPr="0067507D">
              <w:t>2024</w:t>
            </w:r>
            <w:r w:rsidR="006A5485">
              <w:noBreakHyphen/>
            </w:r>
            <w:r w:rsidRPr="0067507D">
              <w:t xml:space="preserve">25 actual </w:t>
            </w:r>
            <w:r w:rsidRPr="0067507D">
              <w:br/>
              <w:t>$m</w:t>
            </w:r>
          </w:p>
        </w:tc>
      </w:tr>
      <w:tr w:rsidR="006F44D6" w:rsidRPr="0067507D" w14:paraId="34DFF563" w14:textId="77777777" w:rsidTr="00725B4C">
        <w:tc>
          <w:tcPr>
            <w:cnfStyle w:val="001000000000" w:firstRow="0" w:lastRow="0" w:firstColumn="1" w:lastColumn="0" w:oddVBand="0" w:evenVBand="0" w:oddHBand="0" w:evenHBand="0" w:firstRowFirstColumn="0" w:firstRowLastColumn="0" w:lastRowFirstColumn="0" w:lastRowLastColumn="0"/>
            <w:tcW w:w="3554" w:type="dxa"/>
            <w:hideMark/>
          </w:tcPr>
          <w:p w14:paraId="6D63825A" w14:textId="77777777" w:rsidR="00EA4478" w:rsidRPr="0067507D" w:rsidRDefault="00EA4478">
            <w:pPr>
              <w:pStyle w:val="Tabletextbold"/>
              <w:rPr>
                <w:rFonts w:ascii="Segoe UI" w:hAnsi="Segoe UI"/>
                <w:sz w:val="18"/>
                <w:szCs w:val="18"/>
              </w:rPr>
            </w:pPr>
            <w:r w:rsidRPr="0067507D">
              <w:t>Opening balance</w:t>
            </w:r>
          </w:p>
        </w:tc>
        <w:tc>
          <w:tcPr>
            <w:cnfStyle w:val="000010000000" w:firstRow="0" w:lastRow="0" w:firstColumn="0" w:lastColumn="0" w:oddVBand="1" w:evenVBand="0" w:oddHBand="0" w:evenHBand="0" w:firstRowFirstColumn="0" w:firstRowLastColumn="0" w:lastRowFirstColumn="0" w:lastRowLastColumn="0"/>
            <w:tcW w:w="888" w:type="dxa"/>
            <w:hideMark/>
          </w:tcPr>
          <w:p w14:paraId="1D8CB39A" w14:textId="77777777" w:rsidR="00EA4478" w:rsidRPr="0067507D" w:rsidRDefault="00EA4478">
            <w:pPr>
              <w:pStyle w:val="Tabletextrightbold"/>
              <w:rPr>
                <w:rFonts w:ascii="Segoe UI" w:hAnsi="Segoe UI"/>
                <w:sz w:val="18"/>
                <w:szCs w:val="18"/>
              </w:rPr>
            </w:pPr>
            <w:r w:rsidRPr="0067507D">
              <w:t>8 780</w:t>
            </w:r>
          </w:p>
        </w:tc>
      </w:tr>
      <w:tr w:rsidR="006F44D6" w:rsidRPr="0067507D" w14:paraId="686C909B" w14:textId="77777777" w:rsidTr="00725B4C">
        <w:tc>
          <w:tcPr>
            <w:cnfStyle w:val="001000000000" w:firstRow="0" w:lastRow="0" w:firstColumn="1" w:lastColumn="0" w:oddVBand="0" w:evenVBand="0" w:oddHBand="0" w:evenHBand="0" w:firstRowFirstColumn="0" w:firstRowLastColumn="0" w:lastRowFirstColumn="0" w:lastRowLastColumn="0"/>
            <w:tcW w:w="3554" w:type="dxa"/>
            <w:hideMark/>
          </w:tcPr>
          <w:p w14:paraId="6BDAA224" w14:textId="7A4752EB" w:rsidR="00EA4478" w:rsidRPr="0067507D" w:rsidRDefault="00EA4478">
            <w:pPr>
              <w:pStyle w:val="Tabletextindent"/>
              <w:ind w:left="0"/>
            </w:pPr>
            <w:r w:rsidRPr="0067507D">
              <w:t xml:space="preserve">Contributions from Government </w:t>
            </w:r>
            <w:r w:rsidR="00302550" w:rsidRPr="0067507D">
              <w:t>land sales</w:t>
            </w:r>
            <w:r w:rsidR="009E7846" w:rsidRPr="0067507D">
              <w:rPr>
                <w:vertAlign w:val="superscript"/>
              </w:rPr>
              <w:t xml:space="preserve"> </w:t>
            </w:r>
            <w:r w:rsidR="0085715A" w:rsidRPr="0067507D">
              <w:rPr>
                <w:vertAlign w:val="superscript"/>
              </w:rPr>
              <w:t>(</w:t>
            </w:r>
            <w:r w:rsidR="009E7846" w:rsidRPr="0067507D">
              <w:rPr>
                <w:vertAlign w:val="superscript"/>
              </w:rPr>
              <w:t>a</w:t>
            </w:r>
            <w:r w:rsidR="0085715A"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888" w:type="dxa"/>
            <w:hideMark/>
          </w:tcPr>
          <w:p w14:paraId="3D8B1F10" w14:textId="719924EC" w:rsidR="00EA4478" w:rsidRPr="0067507D" w:rsidRDefault="00EA4478">
            <w:pPr>
              <w:pStyle w:val="Tabletextright"/>
            </w:pPr>
            <w:r w:rsidRPr="0067507D">
              <w:t>94</w:t>
            </w:r>
          </w:p>
        </w:tc>
      </w:tr>
      <w:tr w:rsidR="006F44D6" w:rsidRPr="0067507D" w14:paraId="1AC903AB" w14:textId="77777777" w:rsidTr="00725B4C">
        <w:tc>
          <w:tcPr>
            <w:cnfStyle w:val="001000000000" w:firstRow="0" w:lastRow="0" w:firstColumn="1" w:lastColumn="0" w:oddVBand="0" w:evenVBand="0" w:oddHBand="0" w:evenHBand="0" w:firstRowFirstColumn="0" w:firstRowLastColumn="0" w:lastRowFirstColumn="0" w:lastRowLastColumn="0"/>
            <w:tcW w:w="3554" w:type="dxa"/>
          </w:tcPr>
          <w:p w14:paraId="5A56674A" w14:textId="77777777" w:rsidR="00EA4478" w:rsidRPr="0067507D" w:rsidDel="00E91DBC" w:rsidRDefault="00EA4478">
            <w:pPr>
              <w:pStyle w:val="Tabletextindent"/>
              <w:ind w:left="0"/>
            </w:pPr>
            <w:r w:rsidRPr="0067507D">
              <w:t>Investment returns (net of fees)</w:t>
            </w:r>
          </w:p>
        </w:tc>
        <w:tc>
          <w:tcPr>
            <w:cnfStyle w:val="000010000000" w:firstRow="0" w:lastRow="0" w:firstColumn="0" w:lastColumn="0" w:oddVBand="1" w:evenVBand="0" w:oddHBand="0" w:evenHBand="0" w:firstRowFirstColumn="0" w:firstRowLastColumn="0" w:lastRowFirstColumn="0" w:lastRowLastColumn="0"/>
            <w:tcW w:w="888" w:type="dxa"/>
          </w:tcPr>
          <w:p w14:paraId="3FC56AB5" w14:textId="77777777" w:rsidR="00EA4478" w:rsidRPr="0067507D" w:rsidRDefault="00EA4478">
            <w:pPr>
              <w:pStyle w:val="Tabletextright"/>
            </w:pPr>
            <w:r w:rsidRPr="0067507D">
              <w:t>1 032</w:t>
            </w:r>
          </w:p>
        </w:tc>
      </w:tr>
      <w:tr w:rsidR="006F44D6" w:rsidRPr="0067507D" w14:paraId="1C54F9BD" w14:textId="77777777" w:rsidTr="00725B4C">
        <w:tc>
          <w:tcPr>
            <w:cnfStyle w:val="001000000000" w:firstRow="0" w:lastRow="0" w:firstColumn="1" w:lastColumn="0" w:oddVBand="0" w:evenVBand="0" w:oddHBand="0" w:evenHBand="0" w:firstRowFirstColumn="0" w:firstRowLastColumn="0" w:lastRowFirstColumn="0" w:lastRowLastColumn="0"/>
            <w:tcW w:w="3554" w:type="dxa"/>
            <w:hideMark/>
          </w:tcPr>
          <w:p w14:paraId="4F8AE042" w14:textId="77777777" w:rsidR="00EA4478" w:rsidRPr="0067507D" w:rsidRDefault="00EA4478">
            <w:pPr>
              <w:pStyle w:val="Tabletextbold"/>
              <w:rPr>
                <w:rFonts w:ascii="Segoe UI" w:hAnsi="Segoe UI"/>
                <w:sz w:val="18"/>
                <w:szCs w:val="18"/>
              </w:rPr>
            </w:pPr>
            <w:r w:rsidRPr="0067507D">
              <w:t>Closing balance</w:t>
            </w:r>
          </w:p>
        </w:tc>
        <w:tc>
          <w:tcPr>
            <w:cnfStyle w:val="000010000000" w:firstRow="0" w:lastRow="0" w:firstColumn="0" w:lastColumn="0" w:oddVBand="1" w:evenVBand="0" w:oddHBand="0" w:evenHBand="0" w:firstRowFirstColumn="0" w:firstRowLastColumn="0" w:lastRowFirstColumn="0" w:lastRowLastColumn="0"/>
            <w:tcW w:w="888" w:type="dxa"/>
            <w:hideMark/>
          </w:tcPr>
          <w:p w14:paraId="1DCA36C5" w14:textId="77777777" w:rsidR="00EA4478" w:rsidRPr="0067507D" w:rsidRDefault="00EA4478">
            <w:pPr>
              <w:pStyle w:val="Tabletextrightbold"/>
            </w:pPr>
            <w:r w:rsidRPr="0067507D">
              <w:t>9 906</w:t>
            </w:r>
          </w:p>
        </w:tc>
      </w:tr>
    </w:tbl>
    <w:p w14:paraId="199F03B0" w14:textId="27C95FCE" w:rsidR="007920A1" w:rsidRPr="0067507D" w:rsidRDefault="007920A1" w:rsidP="00545D80">
      <w:pPr>
        <w:pStyle w:val="Notes"/>
      </w:pPr>
      <w:r w:rsidRPr="0067507D">
        <w:t>Note:</w:t>
      </w:r>
    </w:p>
    <w:p w14:paraId="3A7157F7" w14:textId="024FFD11" w:rsidR="008E502D" w:rsidRPr="0067507D" w:rsidRDefault="008E502D" w:rsidP="009030E7">
      <w:pPr>
        <w:pStyle w:val="Notes"/>
      </w:pPr>
      <w:r w:rsidRPr="0067507D">
        <w:t>(a) Contribution is net of administrative costs to support the fund to 2028</w:t>
      </w:r>
      <w:r w:rsidR="006A5485">
        <w:noBreakHyphen/>
      </w:r>
      <w:r w:rsidRPr="0067507D">
        <w:t>29.</w:t>
      </w:r>
    </w:p>
    <w:p w14:paraId="531A8CD6" w14:textId="03F445B3" w:rsidR="005E6D06" w:rsidRPr="0067507D" w:rsidRDefault="005E6D06" w:rsidP="005E6D06">
      <w:pPr>
        <w:pStyle w:val="Heading2"/>
      </w:pPr>
      <w:r w:rsidRPr="0067507D">
        <w:br w:type="column"/>
      </w:r>
      <w:bookmarkStart w:id="33" w:name="_Toc335747362"/>
      <w:bookmarkStart w:id="34" w:name="_Toc337034820"/>
      <w:bookmarkStart w:id="35" w:name="BudgetPortfolioOutcomes_start"/>
      <w:r w:rsidRPr="0067507D">
        <w:t>Budget portfolio outcomes</w:t>
      </w:r>
      <w:bookmarkEnd w:id="33"/>
      <w:bookmarkEnd w:id="34"/>
    </w:p>
    <w:bookmarkEnd w:id="35"/>
    <w:p w14:paraId="26C4B8E1" w14:textId="5D883063" w:rsidR="005B71D9" w:rsidRPr="0067507D" w:rsidRDefault="003E5E5A" w:rsidP="005B71D9">
      <w:pPr>
        <w:ind w:right="122"/>
      </w:pPr>
      <w:r w:rsidRPr="0067507D">
        <w:t>The budget portfolio outcomes statements provide a comparison between the actual financial information of all general government entities within the portfolio and the forecasted financial information published in the budget papers. The budget portfolio outcomes comprise the comprehensive operating statement, balance sheet, statement of changes in equity, cash flow statement, and administered items statement.</w:t>
      </w:r>
    </w:p>
    <w:p w14:paraId="49440F21" w14:textId="53C5EA2C" w:rsidR="00633163" w:rsidRPr="0067507D" w:rsidRDefault="00B07418" w:rsidP="00633163">
      <w:pPr>
        <w:ind w:right="122"/>
      </w:pPr>
      <w:r w:rsidRPr="0067507D">
        <w:t>The following budget portfolio outcomes statements are not subject to audit by the Victorian Auditor</w:t>
      </w:r>
      <w:r w:rsidR="006A5485">
        <w:noBreakHyphen/>
      </w:r>
      <w:r w:rsidRPr="0067507D">
        <w:t xml:space="preserve">General’s Office. </w:t>
      </w:r>
      <w:r w:rsidR="00A129BF" w:rsidRPr="0067507D">
        <w:t>Additionally, t</w:t>
      </w:r>
      <w:r w:rsidRPr="0067507D">
        <w:t xml:space="preserve">hey are not prepared on the same basis as the Department’s financial statements as they include the consolidated financial information of Infrastructure Victoria. Infrastructure Victoria is not consolidated in the Department’s audited financial statements </w:t>
      </w:r>
      <w:r w:rsidR="00D35364" w:rsidRPr="0067507D">
        <w:t>presented</w:t>
      </w:r>
      <w:r w:rsidR="00147152" w:rsidRPr="0067507D">
        <w:t xml:space="preserve"> </w:t>
      </w:r>
      <w:r w:rsidRPr="0067507D">
        <w:t>within this annual report, as they prepare a separate annual report for tabling in Parliament. Further, the Department’s audited financial statements include certain whole of government transactions, as referred to in note 4.3. Otherwise, albeit in a different format, the following statements are reflective of the audited financial statements.</w:t>
      </w:r>
    </w:p>
    <w:p w14:paraId="0449DD1D" w14:textId="7555A087" w:rsidR="002D2CF9" w:rsidRPr="0067507D" w:rsidRDefault="002D2CF9" w:rsidP="005B71D9">
      <w:pPr>
        <w:ind w:right="122"/>
      </w:pPr>
    </w:p>
    <w:p w14:paraId="67D186EC" w14:textId="4C449535" w:rsidR="004147BB" w:rsidRPr="0067507D" w:rsidRDefault="004147BB" w:rsidP="004147BB"/>
    <w:p w14:paraId="31AE7F56" w14:textId="77777777" w:rsidR="006E38D3" w:rsidRPr="0067507D" w:rsidRDefault="006E38D3" w:rsidP="004147BB">
      <w:pPr>
        <w:sectPr w:rsidR="006E38D3" w:rsidRPr="0067507D" w:rsidSect="0033286A">
          <w:headerReference w:type="default" r:id="rId52"/>
          <w:pgSz w:w="11909" w:h="16834" w:code="9"/>
          <w:pgMar w:top="1728" w:right="1152" w:bottom="1152" w:left="1152" w:header="720" w:footer="288" w:gutter="0"/>
          <w:cols w:num="2" w:space="720"/>
          <w:noEndnote/>
        </w:sectPr>
      </w:pPr>
    </w:p>
    <w:p w14:paraId="71C67781" w14:textId="3DC78652" w:rsidR="006E38D3" w:rsidRPr="0067507D" w:rsidRDefault="006E38D3" w:rsidP="006E38D3">
      <w:pPr>
        <w:pStyle w:val="Heading2"/>
      </w:pPr>
      <w:r w:rsidRPr="0067507D">
        <w:lastRenderedPageBreak/>
        <w:t>Budget portfolio outcomes</w:t>
      </w:r>
    </w:p>
    <w:p w14:paraId="65E37E61" w14:textId="62D53364" w:rsidR="006E38D3" w:rsidRPr="0067507D" w:rsidRDefault="006E38D3" w:rsidP="006E38D3">
      <w:pPr>
        <w:pStyle w:val="Heading3"/>
      </w:pPr>
      <w:r w:rsidRPr="0067507D">
        <w:t xml:space="preserve">Comprehensive operating statement for the year ended </w:t>
      </w:r>
      <w:r w:rsidR="00C30F42" w:rsidRPr="0067507D">
        <w:t>30 June 2025</w:t>
      </w:r>
    </w:p>
    <w:tbl>
      <w:tblPr>
        <w:tblStyle w:val="AnnualReporttexttable"/>
        <w:tblW w:w="7938" w:type="dxa"/>
        <w:tblLayout w:type="fixed"/>
        <w:tblLook w:val="02A0" w:firstRow="1" w:lastRow="0" w:firstColumn="1" w:lastColumn="0" w:noHBand="1" w:noVBand="0"/>
      </w:tblPr>
      <w:tblGrid>
        <w:gridCol w:w="4608"/>
        <w:gridCol w:w="1110"/>
        <w:gridCol w:w="1110"/>
        <w:gridCol w:w="1110"/>
      </w:tblGrid>
      <w:tr w:rsidR="000423F1" w:rsidRPr="0067507D" w14:paraId="5F553039" w14:textId="77777777" w:rsidTr="000423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8" w:type="dxa"/>
          </w:tcPr>
          <w:p w14:paraId="5A343173" w14:textId="77777777" w:rsidR="000423F1" w:rsidRPr="0067507D" w:rsidRDefault="000423F1">
            <w:pPr>
              <w:pStyle w:val="Tabletextheadingleft"/>
              <w:rPr>
                <w:b w:val="0"/>
              </w:rPr>
            </w:pPr>
            <w:r w:rsidRPr="0067507D">
              <w:rPr>
                <w:b w:val="0"/>
              </w:rPr>
              <w:t>Controlled</w:t>
            </w:r>
          </w:p>
        </w:tc>
        <w:tc>
          <w:tcPr>
            <w:cnfStyle w:val="000010000000" w:firstRow="0" w:lastRow="0" w:firstColumn="0" w:lastColumn="0" w:oddVBand="1" w:evenVBand="0" w:oddHBand="0" w:evenHBand="0" w:firstRowFirstColumn="0" w:firstRowLastColumn="0" w:lastRowFirstColumn="0" w:lastRowLastColumn="0"/>
            <w:tcW w:w="1110" w:type="dxa"/>
            <w:shd w:val="clear" w:color="auto" w:fill="auto"/>
          </w:tcPr>
          <w:p w14:paraId="67F0D834" w14:textId="4CBC27C0" w:rsidR="000423F1" w:rsidRPr="0067507D" w:rsidRDefault="000423F1" w:rsidP="002E5509">
            <w:pPr>
              <w:pStyle w:val="Tabletextheadingright"/>
              <w:rPr>
                <w:b w:val="0"/>
              </w:rPr>
            </w:pPr>
            <w:r w:rsidRPr="0067507D">
              <w:rPr>
                <w:b w:val="0"/>
              </w:rPr>
              <w:t>2024</w:t>
            </w:r>
            <w:r w:rsidR="006A5485">
              <w:rPr>
                <w:b w:val="0"/>
              </w:rPr>
              <w:noBreakHyphen/>
            </w:r>
            <w:r w:rsidRPr="0067507D">
              <w:rPr>
                <w:b w:val="0"/>
              </w:rPr>
              <w:t>25 budget</w:t>
            </w:r>
          </w:p>
        </w:tc>
        <w:tc>
          <w:tcPr>
            <w:cnfStyle w:val="000001000000" w:firstRow="0" w:lastRow="0" w:firstColumn="0" w:lastColumn="0" w:oddVBand="0" w:evenVBand="1" w:oddHBand="0" w:evenHBand="0" w:firstRowFirstColumn="0" w:firstRowLastColumn="0" w:lastRowFirstColumn="0" w:lastRowLastColumn="0"/>
            <w:tcW w:w="1110" w:type="dxa"/>
            <w:shd w:val="clear" w:color="auto" w:fill="auto"/>
          </w:tcPr>
          <w:p w14:paraId="1F59F13B" w14:textId="66428CF8" w:rsidR="000423F1" w:rsidRPr="0067507D" w:rsidRDefault="000423F1">
            <w:pPr>
              <w:pStyle w:val="Tabletextheadingright"/>
              <w:rPr>
                <w:b w:val="0"/>
              </w:rPr>
            </w:pPr>
            <w:r w:rsidRPr="0067507D">
              <w:rPr>
                <w:b w:val="0"/>
              </w:rPr>
              <w:t>2024</w:t>
            </w:r>
            <w:r w:rsidR="006A5485">
              <w:rPr>
                <w:b w:val="0"/>
              </w:rPr>
              <w:noBreakHyphen/>
            </w:r>
            <w:r w:rsidRPr="0067507D">
              <w:rPr>
                <w:b w:val="0"/>
              </w:rPr>
              <w:t>25 actual</w:t>
            </w:r>
          </w:p>
        </w:tc>
        <w:tc>
          <w:tcPr>
            <w:cnfStyle w:val="000010000000" w:firstRow="0" w:lastRow="0" w:firstColumn="0" w:lastColumn="0" w:oddVBand="1" w:evenVBand="0" w:oddHBand="0" w:evenHBand="0" w:firstRowFirstColumn="0" w:firstRowLastColumn="0" w:lastRowFirstColumn="0" w:lastRowLastColumn="0"/>
            <w:tcW w:w="1110" w:type="dxa"/>
            <w:shd w:val="clear" w:color="auto" w:fill="auto"/>
            <w:noWrap/>
            <w:vAlign w:val="bottom"/>
          </w:tcPr>
          <w:p w14:paraId="793AC99B" w14:textId="6D9E2C1A" w:rsidR="000423F1" w:rsidRPr="0067507D" w:rsidRDefault="000423F1">
            <w:pPr>
              <w:pStyle w:val="Tabletextheadingright"/>
              <w:rPr>
                <w:b w:val="0"/>
              </w:rPr>
            </w:pPr>
            <w:r w:rsidRPr="0067507D">
              <w:rPr>
                <w:b w:val="0"/>
              </w:rPr>
              <w:t>Variance</w:t>
            </w:r>
          </w:p>
        </w:tc>
      </w:tr>
      <w:tr w:rsidR="000423F1" w:rsidRPr="0067507D" w14:paraId="7D197BBC"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6227F0B8" w14:textId="77777777" w:rsidR="000423F1" w:rsidRPr="0067507D" w:rsidRDefault="000423F1">
            <w:pPr>
              <w:pStyle w:val="Tabletext"/>
              <w:rPr>
                <w:rFonts w:ascii="Arial" w:hAnsi="Arial"/>
                <w:bCs/>
              </w:rPr>
            </w:pPr>
          </w:p>
        </w:tc>
        <w:tc>
          <w:tcPr>
            <w:cnfStyle w:val="000010000000" w:firstRow="0" w:lastRow="0" w:firstColumn="0" w:lastColumn="0" w:oddVBand="1" w:evenVBand="0" w:oddHBand="0" w:evenHBand="0" w:firstRowFirstColumn="0" w:firstRowLastColumn="0" w:lastRowFirstColumn="0" w:lastRowLastColumn="0"/>
            <w:tcW w:w="1110" w:type="dxa"/>
            <w:shd w:val="clear" w:color="auto" w:fill="auto"/>
          </w:tcPr>
          <w:p w14:paraId="0802F5F7" w14:textId="156F351E" w:rsidR="000423F1" w:rsidRPr="0067507D" w:rsidRDefault="000423F1" w:rsidP="002E5509">
            <w:pPr>
              <w:pStyle w:val="Tabletextheadingright"/>
              <w:rPr>
                <w:bCs/>
              </w:rPr>
            </w:pPr>
            <w:r w:rsidRPr="0067507D">
              <w:rPr>
                <w:bCs/>
              </w:rPr>
              <w:t>$m</w:t>
            </w:r>
          </w:p>
        </w:tc>
        <w:tc>
          <w:tcPr>
            <w:cnfStyle w:val="000001000000" w:firstRow="0" w:lastRow="0" w:firstColumn="0" w:lastColumn="0" w:oddVBand="0" w:evenVBand="1" w:oddHBand="0" w:evenHBand="0" w:firstRowFirstColumn="0" w:firstRowLastColumn="0" w:lastRowFirstColumn="0" w:lastRowLastColumn="0"/>
            <w:tcW w:w="1110" w:type="dxa"/>
            <w:shd w:val="clear" w:color="auto" w:fill="auto"/>
          </w:tcPr>
          <w:p w14:paraId="314A9FE8" w14:textId="77777777" w:rsidR="000423F1" w:rsidRPr="0067507D" w:rsidRDefault="000423F1">
            <w:pPr>
              <w:pStyle w:val="Tabletextheadingright"/>
              <w:rPr>
                <w:bCs/>
              </w:rPr>
            </w:pPr>
            <w:r w:rsidRPr="0067507D">
              <w:rPr>
                <w:bCs/>
              </w:rPr>
              <w:t>$m</w:t>
            </w:r>
          </w:p>
        </w:tc>
        <w:tc>
          <w:tcPr>
            <w:cnfStyle w:val="000010000000" w:firstRow="0" w:lastRow="0" w:firstColumn="0" w:lastColumn="0" w:oddVBand="1" w:evenVBand="0" w:oddHBand="0" w:evenHBand="0" w:firstRowFirstColumn="0" w:firstRowLastColumn="0" w:lastRowFirstColumn="0" w:lastRowLastColumn="0"/>
            <w:tcW w:w="1110" w:type="dxa"/>
            <w:shd w:val="clear" w:color="auto" w:fill="auto"/>
            <w:noWrap/>
          </w:tcPr>
          <w:p w14:paraId="767B8E92" w14:textId="180E1D42" w:rsidR="000423F1" w:rsidRPr="0067507D" w:rsidRDefault="000423F1">
            <w:pPr>
              <w:pStyle w:val="Tabletextheadingright"/>
              <w:rPr>
                <w:bCs/>
              </w:rPr>
            </w:pPr>
            <w:r w:rsidRPr="0067507D">
              <w:rPr>
                <w:bCs/>
              </w:rPr>
              <w:t>$m</w:t>
            </w:r>
          </w:p>
        </w:tc>
      </w:tr>
      <w:tr w:rsidR="000423F1" w:rsidRPr="0067507D" w14:paraId="2D89B75D"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55ACCF82" w14:textId="77EF33E7" w:rsidR="000423F1" w:rsidRPr="0067507D" w:rsidRDefault="000423F1" w:rsidP="00281B40">
            <w:pPr>
              <w:pStyle w:val="Tabletextbold"/>
            </w:pPr>
            <w:r w:rsidRPr="0067507D">
              <w:t>Income from transactions</w:t>
            </w:r>
          </w:p>
        </w:tc>
        <w:tc>
          <w:tcPr>
            <w:cnfStyle w:val="000010000000" w:firstRow="0" w:lastRow="0" w:firstColumn="0" w:lastColumn="0" w:oddVBand="1" w:evenVBand="0" w:oddHBand="0" w:evenHBand="0" w:firstRowFirstColumn="0" w:firstRowLastColumn="0" w:lastRowFirstColumn="0" w:lastRowLastColumn="0"/>
            <w:tcW w:w="1110" w:type="dxa"/>
          </w:tcPr>
          <w:p w14:paraId="65D75951" w14:textId="77777777" w:rsidR="000423F1" w:rsidRPr="0067507D" w:rsidRDefault="000423F1" w:rsidP="00281B40">
            <w:pPr>
              <w:pStyle w:val="Tabletextright"/>
            </w:pPr>
          </w:p>
        </w:tc>
        <w:tc>
          <w:tcPr>
            <w:cnfStyle w:val="000001000000" w:firstRow="0" w:lastRow="0" w:firstColumn="0" w:lastColumn="0" w:oddVBand="0" w:evenVBand="1" w:oddHBand="0" w:evenHBand="0" w:firstRowFirstColumn="0" w:firstRowLastColumn="0" w:lastRowFirstColumn="0" w:lastRowLastColumn="0"/>
            <w:tcW w:w="1110" w:type="dxa"/>
          </w:tcPr>
          <w:p w14:paraId="61A1A3F0" w14:textId="77777777" w:rsidR="000423F1" w:rsidRPr="0067507D" w:rsidRDefault="000423F1" w:rsidP="00281B40">
            <w:pPr>
              <w:pStyle w:val="Tabletextright"/>
            </w:pPr>
          </w:p>
        </w:tc>
        <w:tc>
          <w:tcPr>
            <w:cnfStyle w:val="000010000000" w:firstRow="0" w:lastRow="0" w:firstColumn="0" w:lastColumn="0" w:oddVBand="1" w:evenVBand="0" w:oddHBand="0" w:evenHBand="0" w:firstRowFirstColumn="0" w:firstRowLastColumn="0" w:lastRowFirstColumn="0" w:lastRowLastColumn="0"/>
            <w:tcW w:w="1110" w:type="dxa"/>
            <w:noWrap/>
          </w:tcPr>
          <w:p w14:paraId="571DCE8C" w14:textId="2169BC81" w:rsidR="000423F1" w:rsidRPr="0067507D" w:rsidRDefault="000423F1" w:rsidP="00281B40">
            <w:pPr>
              <w:pStyle w:val="Tabletextright"/>
            </w:pPr>
          </w:p>
        </w:tc>
      </w:tr>
      <w:tr w:rsidR="000423F1" w:rsidRPr="0067507D" w14:paraId="63569BE8"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174C30D9" w14:textId="5DEEA082" w:rsidR="000423F1" w:rsidRPr="0067507D" w:rsidRDefault="000423F1" w:rsidP="000423F1">
            <w:pPr>
              <w:pStyle w:val="Tabletext"/>
              <w:rPr>
                <w:vertAlign w:val="superscript"/>
              </w:rPr>
            </w:pPr>
            <w:r w:rsidRPr="0067507D">
              <w:t xml:space="preserve">Output appropriations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110" w:type="dxa"/>
          </w:tcPr>
          <w:p w14:paraId="4E902FAA" w14:textId="296E7E25" w:rsidR="000423F1" w:rsidRPr="0067507D" w:rsidRDefault="000423F1" w:rsidP="000423F1">
            <w:pPr>
              <w:pStyle w:val="Tabletextright"/>
            </w:pPr>
            <w:r w:rsidRPr="0067507D">
              <w:t>442</w:t>
            </w:r>
          </w:p>
        </w:tc>
        <w:tc>
          <w:tcPr>
            <w:cnfStyle w:val="000001000000" w:firstRow="0" w:lastRow="0" w:firstColumn="0" w:lastColumn="0" w:oddVBand="0" w:evenVBand="1" w:oddHBand="0" w:evenHBand="0" w:firstRowFirstColumn="0" w:firstRowLastColumn="0" w:lastRowFirstColumn="0" w:lastRowLastColumn="0"/>
            <w:tcW w:w="1110" w:type="dxa"/>
          </w:tcPr>
          <w:p w14:paraId="60FAA1F0" w14:textId="0EEA298F" w:rsidR="000423F1" w:rsidRPr="0067507D" w:rsidRDefault="000423F1" w:rsidP="000423F1">
            <w:pPr>
              <w:pStyle w:val="Tabletextright"/>
            </w:pPr>
            <w:r w:rsidRPr="0067507D">
              <w:t>455</w:t>
            </w:r>
          </w:p>
        </w:tc>
        <w:tc>
          <w:tcPr>
            <w:cnfStyle w:val="000010000000" w:firstRow="0" w:lastRow="0" w:firstColumn="0" w:lastColumn="0" w:oddVBand="1" w:evenVBand="0" w:oddHBand="0" w:evenHBand="0" w:firstRowFirstColumn="0" w:firstRowLastColumn="0" w:lastRowFirstColumn="0" w:lastRowLastColumn="0"/>
            <w:tcW w:w="1110" w:type="dxa"/>
            <w:noWrap/>
          </w:tcPr>
          <w:p w14:paraId="0974DD33" w14:textId="54173B1B" w:rsidR="000423F1" w:rsidRPr="0067507D" w:rsidRDefault="000423F1" w:rsidP="000423F1">
            <w:pPr>
              <w:pStyle w:val="Tabletextright"/>
            </w:pPr>
            <w:r w:rsidRPr="0067507D">
              <w:t>13</w:t>
            </w:r>
          </w:p>
        </w:tc>
      </w:tr>
      <w:tr w:rsidR="000423F1" w:rsidRPr="0067507D" w14:paraId="08AF89CE"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21DCF950" w14:textId="553A16A5" w:rsidR="000423F1" w:rsidRPr="0067507D" w:rsidRDefault="000423F1" w:rsidP="000423F1">
            <w:pPr>
              <w:pStyle w:val="Tabletext"/>
            </w:pPr>
            <w:r w:rsidRPr="0067507D">
              <w:t>Sales of goods and services</w:t>
            </w:r>
          </w:p>
        </w:tc>
        <w:tc>
          <w:tcPr>
            <w:cnfStyle w:val="000010000000" w:firstRow="0" w:lastRow="0" w:firstColumn="0" w:lastColumn="0" w:oddVBand="1" w:evenVBand="0" w:oddHBand="0" w:evenHBand="0" w:firstRowFirstColumn="0" w:firstRowLastColumn="0" w:lastRowFirstColumn="0" w:lastRowLastColumn="0"/>
            <w:tcW w:w="1110" w:type="dxa"/>
          </w:tcPr>
          <w:p w14:paraId="35553E1E" w14:textId="26771BEA" w:rsidR="000423F1" w:rsidRPr="0067507D" w:rsidRDefault="0097780F" w:rsidP="000423F1">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110" w:type="dxa"/>
          </w:tcPr>
          <w:p w14:paraId="223CC663" w14:textId="38092CEC" w:rsidR="000423F1" w:rsidRPr="0067507D" w:rsidRDefault="000423F1" w:rsidP="000423F1">
            <w:pPr>
              <w:pStyle w:val="Tabletextright"/>
            </w:pPr>
            <w:r w:rsidRPr="0067507D">
              <w:t>2</w:t>
            </w:r>
          </w:p>
        </w:tc>
        <w:tc>
          <w:tcPr>
            <w:cnfStyle w:val="000010000000" w:firstRow="0" w:lastRow="0" w:firstColumn="0" w:lastColumn="0" w:oddVBand="1" w:evenVBand="0" w:oddHBand="0" w:evenHBand="0" w:firstRowFirstColumn="0" w:firstRowLastColumn="0" w:lastRowFirstColumn="0" w:lastRowLastColumn="0"/>
            <w:tcW w:w="1110" w:type="dxa"/>
            <w:noWrap/>
          </w:tcPr>
          <w:p w14:paraId="1093945E" w14:textId="79D8F26F" w:rsidR="000423F1" w:rsidRPr="0067507D" w:rsidRDefault="000423F1" w:rsidP="000423F1">
            <w:pPr>
              <w:pStyle w:val="Tabletextright"/>
            </w:pPr>
            <w:r w:rsidRPr="0067507D">
              <w:t>2</w:t>
            </w:r>
          </w:p>
        </w:tc>
      </w:tr>
      <w:tr w:rsidR="000423F1" w:rsidRPr="0067507D" w14:paraId="032B459F"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35A175E3" w14:textId="4284162F" w:rsidR="000423F1" w:rsidRPr="0067507D" w:rsidRDefault="000423F1" w:rsidP="000423F1">
            <w:pPr>
              <w:pStyle w:val="Tabletext"/>
            </w:pPr>
            <w:r w:rsidRPr="0067507D">
              <w:t>Grants</w:t>
            </w:r>
          </w:p>
        </w:tc>
        <w:tc>
          <w:tcPr>
            <w:cnfStyle w:val="000010000000" w:firstRow="0" w:lastRow="0" w:firstColumn="0" w:lastColumn="0" w:oddVBand="1" w:evenVBand="0" w:oddHBand="0" w:evenHBand="0" w:firstRowFirstColumn="0" w:firstRowLastColumn="0" w:lastRowFirstColumn="0" w:lastRowLastColumn="0"/>
            <w:tcW w:w="1110" w:type="dxa"/>
          </w:tcPr>
          <w:p w14:paraId="0E3446BB" w14:textId="530D1F58" w:rsidR="000423F1" w:rsidRPr="0067507D" w:rsidRDefault="000423F1" w:rsidP="000423F1">
            <w:pPr>
              <w:pStyle w:val="Tabletextright"/>
            </w:pPr>
            <w:r w:rsidRPr="0067507D">
              <w:t>1</w:t>
            </w:r>
          </w:p>
        </w:tc>
        <w:tc>
          <w:tcPr>
            <w:cnfStyle w:val="000001000000" w:firstRow="0" w:lastRow="0" w:firstColumn="0" w:lastColumn="0" w:oddVBand="0" w:evenVBand="1" w:oddHBand="0" w:evenHBand="0" w:firstRowFirstColumn="0" w:firstRowLastColumn="0" w:lastRowFirstColumn="0" w:lastRowLastColumn="0"/>
            <w:tcW w:w="1110" w:type="dxa"/>
          </w:tcPr>
          <w:p w14:paraId="068A2F6E" w14:textId="397842FE" w:rsidR="000423F1" w:rsidRPr="0067507D" w:rsidRDefault="000423F1" w:rsidP="000423F1">
            <w:pPr>
              <w:pStyle w:val="Tabletextright"/>
            </w:pPr>
            <w:r w:rsidRPr="0067507D">
              <w:t>1</w:t>
            </w:r>
          </w:p>
        </w:tc>
        <w:tc>
          <w:tcPr>
            <w:cnfStyle w:val="000010000000" w:firstRow="0" w:lastRow="0" w:firstColumn="0" w:lastColumn="0" w:oddVBand="1" w:evenVBand="0" w:oddHBand="0" w:evenHBand="0" w:firstRowFirstColumn="0" w:firstRowLastColumn="0" w:lastRowFirstColumn="0" w:lastRowLastColumn="0"/>
            <w:tcW w:w="1110" w:type="dxa"/>
            <w:noWrap/>
          </w:tcPr>
          <w:p w14:paraId="7E4A4AFA" w14:textId="276B5C9F" w:rsidR="000423F1" w:rsidRPr="0067507D" w:rsidRDefault="0097780F" w:rsidP="000423F1">
            <w:pPr>
              <w:pStyle w:val="Tabletextright"/>
            </w:pPr>
            <w:r w:rsidRPr="0067507D">
              <w:t>–</w:t>
            </w:r>
          </w:p>
        </w:tc>
      </w:tr>
      <w:tr w:rsidR="000423F1" w:rsidRPr="0067507D" w14:paraId="674FF94A"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0CA7FDD5" w14:textId="2B3A1FAD" w:rsidR="000423F1" w:rsidRPr="0067507D" w:rsidRDefault="000423F1" w:rsidP="000423F1">
            <w:pPr>
              <w:pStyle w:val="Tabletext"/>
              <w:rPr>
                <w:vertAlign w:val="superscript"/>
              </w:rPr>
            </w:pPr>
            <w:r w:rsidRPr="0067507D">
              <w:t>Fair value of assets and services received free of charge or for nominal consideration</w:t>
            </w:r>
          </w:p>
        </w:tc>
        <w:tc>
          <w:tcPr>
            <w:cnfStyle w:val="000010000000" w:firstRow="0" w:lastRow="0" w:firstColumn="0" w:lastColumn="0" w:oddVBand="1" w:evenVBand="0" w:oddHBand="0" w:evenHBand="0" w:firstRowFirstColumn="0" w:firstRowLastColumn="0" w:lastRowFirstColumn="0" w:lastRowLastColumn="0"/>
            <w:tcW w:w="1110" w:type="dxa"/>
          </w:tcPr>
          <w:p w14:paraId="4BBCF202" w14:textId="55AEE3D0" w:rsidR="000423F1" w:rsidRPr="0067507D" w:rsidRDefault="000423F1" w:rsidP="000423F1">
            <w:pPr>
              <w:pStyle w:val="Tabletextright"/>
            </w:pPr>
            <w:r w:rsidRPr="0067507D">
              <w:t>8</w:t>
            </w:r>
          </w:p>
        </w:tc>
        <w:tc>
          <w:tcPr>
            <w:cnfStyle w:val="000001000000" w:firstRow="0" w:lastRow="0" w:firstColumn="0" w:lastColumn="0" w:oddVBand="0" w:evenVBand="1" w:oddHBand="0" w:evenHBand="0" w:firstRowFirstColumn="0" w:firstRowLastColumn="0" w:lastRowFirstColumn="0" w:lastRowLastColumn="0"/>
            <w:tcW w:w="1110" w:type="dxa"/>
          </w:tcPr>
          <w:p w14:paraId="23C19319" w14:textId="31667EBA" w:rsidR="000423F1" w:rsidRPr="0067507D" w:rsidRDefault="000423F1" w:rsidP="000423F1">
            <w:pPr>
              <w:pStyle w:val="Tabletextright"/>
            </w:pPr>
            <w:r w:rsidRPr="0067507D">
              <w:t>8</w:t>
            </w:r>
          </w:p>
        </w:tc>
        <w:tc>
          <w:tcPr>
            <w:cnfStyle w:val="000010000000" w:firstRow="0" w:lastRow="0" w:firstColumn="0" w:lastColumn="0" w:oddVBand="1" w:evenVBand="0" w:oddHBand="0" w:evenHBand="0" w:firstRowFirstColumn="0" w:firstRowLastColumn="0" w:lastRowFirstColumn="0" w:lastRowLastColumn="0"/>
            <w:tcW w:w="1110" w:type="dxa"/>
            <w:noWrap/>
          </w:tcPr>
          <w:p w14:paraId="0ABBF26D" w14:textId="3DDE59DC" w:rsidR="000423F1" w:rsidRPr="0067507D" w:rsidRDefault="0097780F" w:rsidP="000423F1">
            <w:pPr>
              <w:pStyle w:val="Tabletextright"/>
            </w:pPr>
            <w:r w:rsidRPr="0067507D">
              <w:t>–</w:t>
            </w:r>
          </w:p>
        </w:tc>
      </w:tr>
      <w:tr w:rsidR="000423F1" w:rsidRPr="0067507D" w14:paraId="57F9518E"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4B2B7E5B" w14:textId="25973392" w:rsidR="000423F1" w:rsidRPr="0067507D" w:rsidRDefault="000423F1" w:rsidP="000423F1">
            <w:pPr>
              <w:pStyle w:val="Tabletext"/>
            </w:pPr>
            <w:r w:rsidRPr="0067507D">
              <w:t>Other revenue and income</w:t>
            </w:r>
          </w:p>
        </w:tc>
        <w:tc>
          <w:tcPr>
            <w:cnfStyle w:val="000010000000" w:firstRow="0" w:lastRow="0" w:firstColumn="0" w:lastColumn="0" w:oddVBand="1" w:evenVBand="0" w:oddHBand="0" w:evenHBand="0" w:firstRowFirstColumn="0" w:firstRowLastColumn="0" w:lastRowFirstColumn="0" w:lastRowLastColumn="0"/>
            <w:tcW w:w="1110" w:type="dxa"/>
          </w:tcPr>
          <w:p w14:paraId="60A95959" w14:textId="44186915" w:rsidR="000423F1" w:rsidRPr="0067507D" w:rsidRDefault="000423F1" w:rsidP="000423F1">
            <w:pPr>
              <w:pStyle w:val="Tabletextright"/>
            </w:pPr>
            <w:r w:rsidRPr="0067507D">
              <w:t>2</w:t>
            </w:r>
          </w:p>
        </w:tc>
        <w:tc>
          <w:tcPr>
            <w:cnfStyle w:val="000001000000" w:firstRow="0" w:lastRow="0" w:firstColumn="0" w:lastColumn="0" w:oddVBand="0" w:evenVBand="1" w:oddHBand="0" w:evenHBand="0" w:firstRowFirstColumn="0" w:firstRowLastColumn="0" w:lastRowFirstColumn="0" w:lastRowLastColumn="0"/>
            <w:tcW w:w="1110" w:type="dxa"/>
          </w:tcPr>
          <w:p w14:paraId="5E9B39D4" w14:textId="3BBFEAF5" w:rsidR="000423F1" w:rsidRPr="0067507D" w:rsidRDefault="0097780F" w:rsidP="000423F1">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110" w:type="dxa"/>
            <w:noWrap/>
          </w:tcPr>
          <w:p w14:paraId="0671D4B2" w14:textId="56940552" w:rsidR="000423F1" w:rsidRPr="0067507D" w:rsidRDefault="000423F1" w:rsidP="000423F1">
            <w:pPr>
              <w:pStyle w:val="Tabletextright"/>
            </w:pPr>
            <w:r w:rsidRPr="0067507D">
              <w:t>(2)</w:t>
            </w:r>
          </w:p>
        </w:tc>
      </w:tr>
      <w:tr w:rsidR="000423F1" w:rsidRPr="0067507D" w14:paraId="062F499D"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12BAAAD3" w14:textId="48B10BD2" w:rsidR="000423F1" w:rsidRPr="0067507D" w:rsidRDefault="000423F1" w:rsidP="000423F1">
            <w:pPr>
              <w:pStyle w:val="Tabletextbold"/>
            </w:pPr>
            <w:r w:rsidRPr="0067507D">
              <w:t>Total revenue and income from transactions</w:t>
            </w:r>
          </w:p>
        </w:tc>
        <w:tc>
          <w:tcPr>
            <w:cnfStyle w:val="000010000000" w:firstRow="0" w:lastRow="0" w:firstColumn="0" w:lastColumn="0" w:oddVBand="1" w:evenVBand="0" w:oddHBand="0" w:evenHBand="0" w:firstRowFirstColumn="0" w:firstRowLastColumn="0" w:lastRowFirstColumn="0" w:lastRowLastColumn="0"/>
            <w:tcW w:w="1110" w:type="dxa"/>
          </w:tcPr>
          <w:p w14:paraId="70C7B7E9" w14:textId="2180D7E6" w:rsidR="000423F1" w:rsidRPr="0067507D" w:rsidRDefault="000423F1" w:rsidP="000423F1">
            <w:pPr>
              <w:pStyle w:val="Tabletextrightbold"/>
            </w:pPr>
            <w:r w:rsidRPr="0067507D">
              <w:t>452</w:t>
            </w:r>
          </w:p>
        </w:tc>
        <w:tc>
          <w:tcPr>
            <w:cnfStyle w:val="000001000000" w:firstRow="0" w:lastRow="0" w:firstColumn="0" w:lastColumn="0" w:oddVBand="0" w:evenVBand="1" w:oddHBand="0" w:evenHBand="0" w:firstRowFirstColumn="0" w:firstRowLastColumn="0" w:lastRowFirstColumn="0" w:lastRowLastColumn="0"/>
            <w:tcW w:w="1110" w:type="dxa"/>
          </w:tcPr>
          <w:p w14:paraId="1E382C42" w14:textId="66E7644D" w:rsidR="000423F1" w:rsidRPr="0067507D" w:rsidRDefault="000423F1" w:rsidP="000423F1">
            <w:pPr>
              <w:pStyle w:val="Tabletextrightbold"/>
            </w:pPr>
            <w:r w:rsidRPr="0067507D">
              <w:t>466</w:t>
            </w:r>
          </w:p>
        </w:tc>
        <w:tc>
          <w:tcPr>
            <w:cnfStyle w:val="000010000000" w:firstRow="0" w:lastRow="0" w:firstColumn="0" w:lastColumn="0" w:oddVBand="1" w:evenVBand="0" w:oddHBand="0" w:evenHBand="0" w:firstRowFirstColumn="0" w:firstRowLastColumn="0" w:lastRowFirstColumn="0" w:lastRowLastColumn="0"/>
            <w:tcW w:w="1110" w:type="dxa"/>
            <w:noWrap/>
          </w:tcPr>
          <w:p w14:paraId="54E8E894" w14:textId="54496252" w:rsidR="000423F1" w:rsidRPr="0067507D" w:rsidRDefault="000423F1" w:rsidP="000423F1">
            <w:pPr>
              <w:pStyle w:val="Tabletextrightbold"/>
            </w:pPr>
            <w:r w:rsidRPr="0067507D">
              <w:t>14</w:t>
            </w:r>
          </w:p>
        </w:tc>
      </w:tr>
      <w:tr w:rsidR="000423F1" w:rsidRPr="0067507D" w14:paraId="2C0392FD"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5F27C953" w14:textId="77777777" w:rsidR="000423F1" w:rsidRPr="0067507D" w:rsidRDefault="000423F1" w:rsidP="000423F1">
            <w:pPr>
              <w:pStyle w:val="Tabletext"/>
              <w:rPr>
                <w:rFonts w:ascii="Arial" w:hAnsi="Arial"/>
                <w:sz w:val="8"/>
              </w:rPr>
            </w:pPr>
          </w:p>
        </w:tc>
        <w:tc>
          <w:tcPr>
            <w:cnfStyle w:val="000010000000" w:firstRow="0" w:lastRow="0" w:firstColumn="0" w:lastColumn="0" w:oddVBand="1" w:evenVBand="0" w:oddHBand="0" w:evenHBand="0" w:firstRowFirstColumn="0" w:firstRowLastColumn="0" w:lastRowFirstColumn="0" w:lastRowLastColumn="0"/>
            <w:tcW w:w="1110" w:type="dxa"/>
          </w:tcPr>
          <w:p w14:paraId="08B1E01D" w14:textId="77777777" w:rsidR="000423F1" w:rsidRPr="0067507D" w:rsidRDefault="000423F1" w:rsidP="000423F1">
            <w:pPr>
              <w:pStyle w:val="Tabletextright"/>
              <w:rPr>
                <w:sz w:val="8"/>
              </w:rPr>
            </w:pPr>
          </w:p>
        </w:tc>
        <w:tc>
          <w:tcPr>
            <w:cnfStyle w:val="000001000000" w:firstRow="0" w:lastRow="0" w:firstColumn="0" w:lastColumn="0" w:oddVBand="0" w:evenVBand="1" w:oddHBand="0" w:evenHBand="0" w:firstRowFirstColumn="0" w:firstRowLastColumn="0" w:lastRowFirstColumn="0" w:lastRowLastColumn="0"/>
            <w:tcW w:w="1110" w:type="dxa"/>
          </w:tcPr>
          <w:p w14:paraId="14636553" w14:textId="77777777" w:rsidR="000423F1" w:rsidRPr="0067507D" w:rsidRDefault="000423F1" w:rsidP="000423F1">
            <w:pPr>
              <w:pStyle w:val="Tabletextright"/>
              <w:rPr>
                <w:sz w:val="8"/>
              </w:rPr>
            </w:pPr>
          </w:p>
        </w:tc>
        <w:tc>
          <w:tcPr>
            <w:cnfStyle w:val="000010000000" w:firstRow="0" w:lastRow="0" w:firstColumn="0" w:lastColumn="0" w:oddVBand="1" w:evenVBand="0" w:oddHBand="0" w:evenHBand="0" w:firstRowFirstColumn="0" w:firstRowLastColumn="0" w:lastRowFirstColumn="0" w:lastRowLastColumn="0"/>
            <w:tcW w:w="1110" w:type="dxa"/>
            <w:noWrap/>
          </w:tcPr>
          <w:p w14:paraId="6C985BB8" w14:textId="036B5F79" w:rsidR="000423F1" w:rsidRPr="0067507D" w:rsidRDefault="000423F1" w:rsidP="000423F1">
            <w:pPr>
              <w:pStyle w:val="Tabletextright"/>
              <w:rPr>
                <w:sz w:val="8"/>
              </w:rPr>
            </w:pPr>
          </w:p>
        </w:tc>
      </w:tr>
      <w:tr w:rsidR="000423F1" w:rsidRPr="0067507D" w14:paraId="2CD8F0A9"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202AB22E" w14:textId="790F954E" w:rsidR="000423F1" w:rsidRPr="0067507D" w:rsidRDefault="000423F1" w:rsidP="000423F1">
            <w:pPr>
              <w:pStyle w:val="Tabletextbold"/>
            </w:pPr>
            <w:r w:rsidRPr="0067507D">
              <w:t>Expenses from transactions</w:t>
            </w:r>
          </w:p>
        </w:tc>
        <w:tc>
          <w:tcPr>
            <w:cnfStyle w:val="000010000000" w:firstRow="0" w:lastRow="0" w:firstColumn="0" w:lastColumn="0" w:oddVBand="1" w:evenVBand="0" w:oddHBand="0" w:evenHBand="0" w:firstRowFirstColumn="0" w:firstRowLastColumn="0" w:lastRowFirstColumn="0" w:lastRowLastColumn="0"/>
            <w:tcW w:w="1110" w:type="dxa"/>
          </w:tcPr>
          <w:p w14:paraId="2F65ABA9" w14:textId="77777777" w:rsidR="000423F1" w:rsidRPr="0067507D" w:rsidRDefault="000423F1" w:rsidP="000423F1">
            <w:pPr>
              <w:pStyle w:val="Tabletextright"/>
            </w:pPr>
          </w:p>
        </w:tc>
        <w:tc>
          <w:tcPr>
            <w:cnfStyle w:val="000001000000" w:firstRow="0" w:lastRow="0" w:firstColumn="0" w:lastColumn="0" w:oddVBand="0" w:evenVBand="1" w:oddHBand="0" w:evenHBand="0" w:firstRowFirstColumn="0" w:firstRowLastColumn="0" w:lastRowFirstColumn="0" w:lastRowLastColumn="0"/>
            <w:tcW w:w="1110" w:type="dxa"/>
          </w:tcPr>
          <w:p w14:paraId="21024004" w14:textId="77777777" w:rsidR="000423F1" w:rsidRPr="0067507D" w:rsidRDefault="000423F1" w:rsidP="000423F1">
            <w:pPr>
              <w:pStyle w:val="Tabletextright"/>
            </w:pPr>
          </w:p>
        </w:tc>
        <w:tc>
          <w:tcPr>
            <w:cnfStyle w:val="000010000000" w:firstRow="0" w:lastRow="0" w:firstColumn="0" w:lastColumn="0" w:oddVBand="1" w:evenVBand="0" w:oddHBand="0" w:evenHBand="0" w:firstRowFirstColumn="0" w:firstRowLastColumn="0" w:lastRowFirstColumn="0" w:lastRowLastColumn="0"/>
            <w:tcW w:w="1110" w:type="dxa"/>
            <w:noWrap/>
          </w:tcPr>
          <w:p w14:paraId="3F4DF5BC" w14:textId="3B7F729E" w:rsidR="000423F1" w:rsidRPr="0067507D" w:rsidRDefault="000423F1" w:rsidP="000423F1">
            <w:pPr>
              <w:pStyle w:val="Tabletextright"/>
            </w:pPr>
          </w:p>
        </w:tc>
      </w:tr>
      <w:tr w:rsidR="000423F1" w:rsidRPr="0067507D" w14:paraId="2878DC8D"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19954230" w14:textId="57D51D1A" w:rsidR="000423F1" w:rsidRPr="0067507D" w:rsidRDefault="000423F1" w:rsidP="000423F1">
            <w:pPr>
              <w:pStyle w:val="Tabletext"/>
            </w:pPr>
            <w:r w:rsidRPr="0067507D">
              <w:t xml:space="preserve">Employee benefits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1110" w:type="dxa"/>
          </w:tcPr>
          <w:p w14:paraId="61FEDB3E" w14:textId="55FFBE54" w:rsidR="000423F1" w:rsidRPr="0067507D" w:rsidRDefault="000423F1" w:rsidP="000423F1">
            <w:pPr>
              <w:pStyle w:val="Tabletextright"/>
            </w:pPr>
            <w:r w:rsidRPr="0067507D">
              <w:t>237</w:t>
            </w:r>
          </w:p>
        </w:tc>
        <w:tc>
          <w:tcPr>
            <w:cnfStyle w:val="000001000000" w:firstRow="0" w:lastRow="0" w:firstColumn="0" w:lastColumn="0" w:oddVBand="0" w:evenVBand="1" w:oddHBand="0" w:evenHBand="0" w:firstRowFirstColumn="0" w:firstRowLastColumn="0" w:lastRowFirstColumn="0" w:lastRowLastColumn="0"/>
            <w:tcW w:w="1110" w:type="dxa"/>
          </w:tcPr>
          <w:p w14:paraId="0E18E729" w14:textId="4F358CFB" w:rsidR="000423F1" w:rsidRPr="0067507D" w:rsidRDefault="000423F1" w:rsidP="000423F1">
            <w:pPr>
              <w:pStyle w:val="Tabletextright"/>
            </w:pPr>
            <w:r w:rsidRPr="0067507D">
              <w:t>267</w:t>
            </w:r>
          </w:p>
        </w:tc>
        <w:tc>
          <w:tcPr>
            <w:cnfStyle w:val="000010000000" w:firstRow="0" w:lastRow="0" w:firstColumn="0" w:lastColumn="0" w:oddVBand="1" w:evenVBand="0" w:oddHBand="0" w:evenHBand="0" w:firstRowFirstColumn="0" w:firstRowLastColumn="0" w:lastRowFirstColumn="0" w:lastRowLastColumn="0"/>
            <w:tcW w:w="1110" w:type="dxa"/>
            <w:noWrap/>
          </w:tcPr>
          <w:p w14:paraId="08C5D494" w14:textId="3B2588BE" w:rsidR="000423F1" w:rsidRPr="0067507D" w:rsidRDefault="000423F1" w:rsidP="000423F1">
            <w:pPr>
              <w:pStyle w:val="Tabletextright"/>
            </w:pPr>
            <w:r w:rsidRPr="0067507D">
              <w:t>30</w:t>
            </w:r>
          </w:p>
        </w:tc>
      </w:tr>
      <w:tr w:rsidR="000423F1" w:rsidRPr="0067507D" w14:paraId="5D6F6654"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3FB1DC33" w14:textId="3DEA748C" w:rsidR="000423F1" w:rsidRPr="0067507D" w:rsidRDefault="000423F1" w:rsidP="000423F1">
            <w:pPr>
              <w:pStyle w:val="Tabletext"/>
            </w:pPr>
            <w:r w:rsidRPr="0067507D">
              <w:t xml:space="preserve">Depreciation </w:t>
            </w:r>
            <w:r w:rsidRPr="0067507D">
              <w:rPr>
                <w:vertAlign w:val="superscript"/>
              </w:rPr>
              <w:t>(c)</w:t>
            </w:r>
          </w:p>
        </w:tc>
        <w:tc>
          <w:tcPr>
            <w:cnfStyle w:val="000010000000" w:firstRow="0" w:lastRow="0" w:firstColumn="0" w:lastColumn="0" w:oddVBand="1" w:evenVBand="0" w:oddHBand="0" w:evenHBand="0" w:firstRowFirstColumn="0" w:firstRowLastColumn="0" w:lastRowFirstColumn="0" w:lastRowLastColumn="0"/>
            <w:tcW w:w="1110" w:type="dxa"/>
          </w:tcPr>
          <w:p w14:paraId="57F02AEC" w14:textId="546E6BAC" w:rsidR="000423F1" w:rsidRPr="0067507D" w:rsidRDefault="000423F1" w:rsidP="000423F1">
            <w:pPr>
              <w:pStyle w:val="Tabletextright"/>
            </w:pPr>
            <w:r w:rsidRPr="0067507D">
              <w:t>13</w:t>
            </w:r>
          </w:p>
        </w:tc>
        <w:tc>
          <w:tcPr>
            <w:cnfStyle w:val="000001000000" w:firstRow="0" w:lastRow="0" w:firstColumn="0" w:lastColumn="0" w:oddVBand="0" w:evenVBand="1" w:oddHBand="0" w:evenHBand="0" w:firstRowFirstColumn="0" w:firstRowLastColumn="0" w:lastRowFirstColumn="0" w:lastRowLastColumn="0"/>
            <w:tcW w:w="1110" w:type="dxa"/>
          </w:tcPr>
          <w:p w14:paraId="2559553D" w14:textId="2B25944E" w:rsidR="000423F1" w:rsidRPr="0067507D" w:rsidRDefault="000423F1" w:rsidP="000423F1">
            <w:pPr>
              <w:pStyle w:val="Tabletextright"/>
            </w:pPr>
            <w:r w:rsidRPr="0067507D">
              <w:t>10</w:t>
            </w:r>
          </w:p>
        </w:tc>
        <w:tc>
          <w:tcPr>
            <w:cnfStyle w:val="000010000000" w:firstRow="0" w:lastRow="0" w:firstColumn="0" w:lastColumn="0" w:oddVBand="1" w:evenVBand="0" w:oddHBand="0" w:evenHBand="0" w:firstRowFirstColumn="0" w:firstRowLastColumn="0" w:lastRowFirstColumn="0" w:lastRowLastColumn="0"/>
            <w:tcW w:w="1110" w:type="dxa"/>
            <w:noWrap/>
          </w:tcPr>
          <w:p w14:paraId="6521D182" w14:textId="0786AFF3" w:rsidR="000423F1" w:rsidRPr="0067507D" w:rsidRDefault="000423F1" w:rsidP="000423F1">
            <w:pPr>
              <w:pStyle w:val="Tabletextright"/>
            </w:pPr>
            <w:r w:rsidRPr="0067507D">
              <w:t>(3)</w:t>
            </w:r>
          </w:p>
        </w:tc>
      </w:tr>
      <w:tr w:rsidR="000423F1" w:rsidRPr="0067507D" w14:paraId="2BC51976"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15B59942" w14:textId="376D96EB" w:rsidR="000423F1" w:rsidRPr="0067507D" w:rsidRDefault="000423F1" w:rsidP="000423F1">
            <w:pPr>
              <w:pStyle w:val="Tabletext"/>
            </w:pPr>
            <w:r w:rsidRPr="0067507D">
              <w:t xml:space="preserve">Grant expense </w:t>
            </w:r>
            <w:r w:rsidRPr="0067507D">
              <w:rPr>
                <w:vertAlign w:val="superscript"/>
              </w:rPr>
              <w:t>(d)</w:t>
            </w:r>
          </w:p>
        </w:tc>
        <w:tc>
          <w:tcPr>
            <w:cnfStyle w:val="000010000000" w:firstRow="0" w:lastRow="0" w:firstColumn="0" w:lastColumn="0" w:oddVBand="1" w:evenVBand="0" w:oddHBand="0" w:evenHBand="0" w:firstRowFirstColumn="0" w:firstRowLastColumn="0" w:lastRowFirstColumn="0" w:lastRowLastColumn="0"/>
            <w:tcW w:w="1110" w:type="dxa"/>
          </w:tcPr>
          <w:p w14:paraId="54559180" w14:textId="5BB7409D" w:rsidR="000423F1" w:rsidRPr="0067507D" w:rsidRDefault="000423F1" w:rsidP="000423F1">
            <w:pPr>
              <w:pStyle w:val="Tabletextright"/>
            </w:pPr>
            <w:r w:rsidRPr="0067507D">
              <w:t>34</w:t>
            </w:r>
          </w:p>
        </w:tc>
        <w:tc>
          <w:tcPr>
            <w:cnfStyle w:val="000001000000" w:firstRow="0" w:lastRow="0" w:firstColumn="0" w:lastColumn="0" w:oddVBand="0" w:evenVBand="1" w:oddHBand="0" w:evenHBand="0" w:firstRowFirstColumn="0" w:firstRowLastColumn="0" w:lastRowFirstColumn="0" w:lastRowLastColumn="0"/>
            <w:tcW w:w="1110" w:type="dxa"/>
          </w:tcPr>
          <w:p w14:paraId="72C52C4D" w14:textId="20369D6E" w:rsidR="000423F1" w:rsidRPr="0067507D" w:rsidRDefault="000423F1" w:rsidP="000423F1">
            <w:pPr>
              <w:pStyle w:val="Tabletextright"/>
            </w:pPr>
            <w:r w:rsidRPr="0067507D">
              <w:t>30</w:t>
            </w:r>
          </w:p>
        </w:tc>
        <w:tc>
          <w:tcPr>
            <w:cnfStyle w:val="000010000000" w:firstRow="0" w:lastRow="0" w:firstColumn="0" w:lastColumn="0" w:oddVBand="1" w:evenVBand="0" w:oddHBand="0" w:evenHBand="0" w:firstRowFirstColumn="0" w:firstRowLastColumn="0" w:lastRowFirstColumn="0" w:lastRowLastColumn="0"/>
            <w:tcW w:w="1110" w:type="dxa"/>
            <w:noWrap/>
          </w:tcPr>
          <w:p w14:paraId="1675442C" w14:textId="1C13E174" w:rsidR="000423F1" w:rsidRPr="0067507D" w:rsidRDefault="000423F1" w:rsidP="000423F1">
            <w:pPr>
              <w:pStyle w:val="Tabletextright"/>
            </w:pPr>
            <w:r w:rsidRPr="0067507D">
              <w:t>(4)</w:t>
            </w:r>
          </w:p>
        </w:tc>
      </w:tr>
      <w:tr w:rsidR="000423F1" w:rsidRPr="0067507D" w14:paraId="4927CDC8"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436E96AA" w14:textId="2F2FB5CB" w:rsidR="000423F1" w:rsidRPr="0067507D" w:rsidRDefault="000423F1" w:rsidP="000423F1">
            <w:pPr>
              <w:pStyle w:val="Tabletext"/>
            </w:pPr>
            <w:r w:rsidRPr="0067507D">
              <w:t xml:space="preserve">Other operating expenses </w:t>
            </w:r>
            <w:r w:rsidRPr="0067507D">
              <w:rPr>
                <w:vertAlign w:val="superscript"/>
              </w:rPr>
              <w:t>(e)</w:t>
            </w:r>
          </w:p>
        </w:tc>
        <w:tc>
          <w:tcPr>
            <w:cnfStyle w:val="000010000000" w:firstRow="0" w:lastRow="0" w:firstColumn="0" w:lastColumn="0" w:oddVBand="1" w:evenVBand="0" w:oddHBand="0" w:evenHBand="0" w:firstRowFirstColumn="0" w:firstRowLastColumn="0" w:lastRowFirstColumn="0" w:lastRowLastColumn="0"/>
            <w:tcW w:w="1110" w:type="dxa"/>
          </w:tcPr>
          <w:p w14:paraId="64EEB8E1" w14:textId="6A4248FE" w:rsidR="000423F1" w:rsidRPr="0067507D" w:rsidRDefault="000423F1" w:rsidP="000423F1">
            <w:pPr>
              <w:pStyle w:val="Tabletextright"/>
            </w:pPr>
            <w:r w:rsidRPr="0067507D">
              <w:t>167</w:t>
            </w:r>
          </w:p>
        </w:tc>
        <w:tc>
          <w:tcPr>
            <w:cnfStyle w:val="000001000000" w:firstRow="0" w:lastRow="0" w:firstColumn="0" w:lastColumn="0" w:oddVBand="0" w:evenVBand="1" w:oddHBand="0" w:evenHBand="0" w:firstRowFirstColumn="0" w:firstRowLastColumn="0" w:lastRowFirstColumn="0" w:lastRowLastColumn="0"/>
            <w:tcW w:w="1110" w:type="dxa"/>
          </w:tcPr>
          <w:p w14:paraId="0496C696" w14:textId="0BF735C8" w:rsidR="000423F1" w:rsidRPr="0067507D" w:rsidRDefault="000423F1" w:rsidP="000423F1">
            <w:pPr>
              <w:pStyle w:val="Tabletextright"/>
            </w:pPr>
            <w:r w:rsidRPr="0067507D">
              <w:t>152</w:t>
            </w:r>
          </w:p>
        </w:tc>
        <w:tc>
          <w:tcPr>
            <w:cnfStyle w:val="000010000000" w:firstRow="0" w:lastRow="0" w:firstColumn="0" w:lastColumn="0" w:oddVBand="1" w:evenVBand="0" w:oddHBand="0" w:evenHBand="0" w:firstRowFirstColumn="0" w:firstRowLastColumn="0" w:lastRowFirstColumn="0" w:lastRowLastColumn="0"/>
            <w:tcW w:w="1110" w:type="dxa"/>
            <w:noWrap/>
          </w:tcPr>
          <w:p w14:paraId="54B54513" w14:textId="6BDB3BD1" w:rsidR="000423F1" w:rsidRPr="0067507D" w:rsidRDefault="000423F1" w:rsidP="000423F1">
            <w:pPr>
              <w:pStyle w:val="Tabletextright"/>
            </w:pPr>
            <w:r w:rsidRPr="0067507D">
              <w:t>(15)</w:t>
            </w:r>
          </w:p>
        </w:tc>
      </w:tr>
      <w:tr w:rsidR="000423F1" w:rsidRPr="0067507D" w14:paraId="7996B95D"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170E505E" w14:textId="064BAEEF" w:rsidR="000423F1" w:rsidRPr="0067507D" w:rsidRDefault="000423F1" w:rsidP="000423F1">
            <w:pPr>
              <w:pStyle w:val="Tabletextbold"/>
            </w:pPr>
            <w:r w:rsidRPr="0067507D">
              <w:t>Total expenses from transactions</w:t>
            </w:r>
          </w:p>
        </w:tc>
        <w:tc>
          <w:tcPr>
            <w:cnfStyle w:val="000010000000" w:firstRow="0" w:lastRow="0" w:firstColumn="0" w:lastColumn="0" w:oddVBand="1" w:evenVBand="0" w:oddHBand="0" w:evenHBand="0" w:firstRowFirstColumn="0" w:firstRowLastColumn="0" w:lastRowFirstColumn="0" w:lastRowLastColumn="0"/>
            <w:tcW w:w="1110" w:type="dxa"/>
          </w:tcPr>
          <w:p w14:paraId="34C43C86" w14:textId="25D6F6A6" w:rsidR="000423F1" w:rsidRPr="0067507D" w:rsidRDefault="000423F1" w:rsidP="000423F1">
            <w:pPr>
              <w:pStyle w:val="Tabletextrightbold"/>
            </w:pPr>
            <w:r w:rsidRPr="0067507D">
              <w:t>452</w:t>
            </w:r>
          </w:p>
        </w:tc>
        <w:tc>
          <w:tcPr>
            <w:cnfStyle w:val="000001000000" w:firstRow="0" w:lastRow="0" w:firstColumn="0" w:lastColumn="0" w:oddVBand="0" w:evenVBand="1" w:oddHBand="0" w:evenHBand="0" w:firstRowFirstColumn="0" w:firstRowLastColumn="0" w:lastRowFirstColumn="0" w:lastRowLastColumn="0"/>
            <w:tcW w:w="1110" w:type="dxa"/>
          </w:tcPr>
          <w:p w14:paraId="1B2DF068" w14:textId="42C11299" w:rsidR="000423F1" w:rsidRPr="0067507D" w:rsidRDefault="000423F1" w:rsidP="000423F1">
            <w:pPr>
              <w:pStyle w:val="Tabletextrightbold"/>
            </w:pPr>
            <w:r w:rsidRPr="0067507D">
              <w:t>459</w:t>
            </w:r>
          </w:p>
        </w:tc>
        <w:tc>
          <w:tcPr>
            <w:cnfStyle w:val="000010000000" w:firstRow="0" w:lastRow="0" w:firstColumn="0" w:lastColumn="0" w:oddVBand="1" w:evenVBand="0" w:oddHBand="0" w:evenHBand="0" w:firstRowFirstColumn="0" w:firstRowLastColumn="0" w:lastRowFirstColumn="0" w:lastRowLastColumn="0"/>
            <w:tcW w:w="1110" w:type="dxa"/>
            <w:noWrap/>
          </w:tcPr>
          <w:p w14:paraId="787D4A42" w14:textId="45CD92BB" w:rsidR="000423F1" w:rsidRPr="0067507D" w:rsidRDefault="000423F1" w:rsidP="000423F1">
            <w:pPr>
              <w:pStyle w:val="Tabletextrightbold"/>
            </w:pPr>
            <w:r w:rsidRPr="0067507D">
              <w:t>7</w:t>
            </w:r>
          </w:p>
        </w:tc>
      </w:tr>
      <w:tr w:rsidR="000423F1" w:rsidRPr="00866B9C" w14:paraId="2FBCD4CB"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26521A80" w14:textId="77777777" w:rsidR="000423F1" w:rsidRPr="00866B9C" w:rsidRDefault="000423F1" w:rsidP="000423F1">
            <w:pPr>
              <w:pStyle w:val="Tabletextbold"/>
              <w:rPr>
                <w:rFonts w:ascii="Arial" w:hAnsi="Arial"/>
                <w:sz w:val="8"/>
              </w:rPr>
            </w:pPr>
          </w:p>
        </w:tc>
        <w:tc>
          <w:tcPr>
            <w:cnfStyle w:val="000010000000" w:firstRow="0" w:lastRow="0" w:firstColumn="0" w:lastColumn="0" w:oddVBand="1" w:evenVBand="0" w:oddHBand="0" w:evenHBand="0" w:firstRowFirstColumn="0" w:firstRowLastColumn="0" w:lastRowFirstColumn="0" w:lastRowLastColumn="0"/>
            <w:tcW w:w="1110" w:type="dxa"/>
          </w:tcPr>
          <w:p w14:paraId="70354029" w14:textId="77777777" w:rsidR="000423F1" w:rsidRPr="00866B9C" w:rsidRDefault="000423F1" w:rsidP="000423F1">
            <w:pPr>
              <w:pStyle w:val="Tabletextrightbold"/>
              <w:rPr>
                <w:rFonts w:ascii="Arial" w:hAnsi="Arial"/>
                <w:sz w:val="8"/>
              </w:rPr>
            </w:pPr>
          </w:p>
        </w:tc>
        <w:tc>
          <w:tcPr>
            <w:cnfStyle w:val="000001000000" w:firstRow="0" w:lastRow="0" w:firstColumn="0" w:lastColumn="0" w:oddVBand="0" w:evenVBand="1" w:oddHBand="0" w:evenHBand="0" w:firstRowFirstColumn="0" w:firstRowLastColumn="0" w:lastRowFirstColumn="0" w:lastRowLastColumn="0"/>
            <w:tcW w:w="1110" w:type="dxa"/>
          </w:tcPr>
          <w:p w14:paraId="36CF61C3" w14:textId="77777777" w:rsidR="000423F1" w:rsidRPr="00866B9C" w:rsidRDefault="000423F1" w:rsidP="000423F1">
            <w:pPr>
              <w:pStyle w:val="Tabletextrightbold"/>
              <w:rPr>
                <w:rFonts w:ascii="Arial" w:hAnsi="Arial"/>
                <w:sz w:val="8"/>
              </w:rPr>
            </w:pPr>
          </w:p>
        </w:tc>
        <w:tc>
          <w:tcPr>
            <w:cnfStyle w:val="000010000000" w:firstRow="0" w:lastRow="0" w:firstColumn="0" w:lastColumn="0" w:oddVBand="1" w:evenVBand="0" w:oddHBand="0" w:evenHBand="0" w:firstRowFirstColumn="0" w:firstRowLastColumn="0" w:lastRowFirstColumn="0" w:lastRowLastColumn="0"/>
            <w:tcW w:w="1110" w:type="dxa"/>
            <w:noWrap/>
          </w:tcPr>
          <w:p w14:paraId="3BBF2A0C" w14:textId="555AAA5D" w:rsidR="000423F1" w:rsidRPr="00866B9C" w:rsidRDefault="000423F1" w:rsidP="000423F1">
            <w:pPr>
              <w:pStyle w:val="Tabletextright"/>
              <w:rPr>
                <w:rFonts w:ascii="Arial" w:hAnsi="Arial"/>
                <w:sz w:val="8"/>
              </w:rPr>
            </w:pPr>
          </w:p>
        </w:tc>
      </w:tr>
      <w:tr w:rsidR="000423F1" w:rsidRPr="0067507D" w14:paraId="2C88631B"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7A3C3FB1" w14:textId="20DD4735" w:rsidR="000423F1" w:rsidRPr="0067507D" w:rsidRDefault="000423F1" w:rsidP="000423F1">
            <w:pPr>
              <w:pStyle w:val="Tabletextbold"/>
            </w:pPr>
            <w:r w:rsidRPr="0067507D">
              <w:t>Net result from transactions (net operating balance)</w:t>
            </w:r>
          </w:p>
        </w:tc>
        <w:tc>
          <w:tcPr>
            <w:cnfStyle w:val="000010000000" w:firstRow="0" w:lastRow="0" w:firstColumn="0" w:lastColumn="0" w:oddVBand="1" w:evenVBand="0" w:oddHBand="0" w:evenHBand="0" w:firstRowFirstColumn="0" w:firstRowLastColumn="0" w:lastRowFirstColumn="0" w:lastRowLastColumn="0"/>
            <w:tcW w:w="1110" w:type="dxa"/>
          </w:tcPr>
          <w:p w14:paraId="36F657E9" w14:textId="560B3AE2" w:rsidR="000423F1" w:rsidRPr="0067507D" w:rsidRDefault="0097780F" w:rsidP="000423F1">
            <w:pPr>
              <w:pStyle w:val="Tabletextrightbold"/>
            </w:pPr>
            <w:r w:rsidRPr="0067507D">
              <w:t>–</w:t>
            </w:r>
          </w:p>
        </w:tc>
        <w:tc>
          <w:tcPr>
            <w:cnfStyle w:val="000001000000" w:firstRow="0" w:lastRow="0" w:firstColumn="0" w:lastColumn="0" w:oddVBand="0" w:evenVBand="1" w:oddHBand="0" w:evenHBand="0" w:firstRowFirstColumn="0" w:firstRowLastColumn="0" w:lastRowFirstColumn="0" w:lastRowLastColumn="0"/>
            <w:tcW w:w="1110" w:type="dxa"/>
          </w:tcPr>
          <w:p w14:paraId="7464623B" w14:textId="2A843704" w:rsidR="000423F1" w:rsidRPr="0067507D" w:rsidRDefault="000423F1" w:rsidP="000423F1">
            <w:pPr>
              <w:pStyle w:val="Tabletextrightbold"/>
            </w:pPr>
            <w:r w:rsidRPr="0067507D">
              <w:t>7</w:t>
            </w:r>
          </w:p>
        </w:tc>
        <w:tc>
          <w:tcPr>
            <w:cnfStyle w:val="000010000000" w:firstRow="0" w:lastRow="0" w:firstColumn="0" w:lastColumn="0" w:oddVBand="1" w:evenVBand="0" w:oddHBand="0" w:evenHBand="0" w:firstRowFirstColumn="0" w:firstRowLastColumn="0" w:lastRowFirstColumn="0" w:lastRowLastColumn="0"/>
            <w:tcW w:w="1110" w:type="dxa"/>
            <w:noWrap/>
          </w:tcPr>
          <w:p w14:paraId="4E264095" w14:textId="293A893B" w:rsidR="000423F1" w:rsidRPr="0067507D" w:rsidRDefault="000423F1" w:rsidP="000423F1">
            <w:pPr>
              <w:pStyle w:val="Tabletextrightbold"/>
            </w:pPr>
            <w:r w:rsidRPr="0067507D">
              <w:t>7</w:t>
            </w:r>
          </w:p>
        </w:tc>
      </w:tr>
      <w:tr w:rsidR="000423F1" w:rsidRPr="0067507D" w14:paraId="7D12DE08"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074EC786" w14:textId="77777777" w:rsidR="000423F1" w:rsidRPr="0067507D" w:rsidRDefault="000423F1" w:rsidP="000423F1">
            <w:pPr>
              <w:pStyle w:val="Tabletext"/>
              <w:rPr>
                <w:rFonts w:ascii="Arial" w:hAnsi="Arial"/>
                <w:sz w:val="8"/>
              </w:rPr>
            </w:pPr>
          </w:p>
        </w:tc>
        <w:tc>
          <w:tcPr>
            <w:cnfStyle w:val="000010000000" w:firstRow="0" w:lastRow="0" w:firstColumn="0" w:lastColumn="0" w:oddVBand="1" w:evenVBand="0" w:oddHBand="0" w:evenHBand="0" w:firstRowFirstColumn="0" w:firstRowLastColumn="0" w:lastRowFirstColumn="0" w:lastRowLastColumn="0"/>
            <w:tcW w:w="1110" w:type="dxa"/>
          </w:tcPr>
          <w:p w14:paraId="3819376C" w14:textId="77777777" w:rsidR="000423F1" w:rsidRPr="0067507D" w:rsidRDefault="000423F1" w:rsidP="000423F1">
            <w:pPr>
              <w:pStyle w:val="Tabletextright"/>
              <w:rPr>
                <w:sz w:val="8"/>
              </w:rPr>
            </w:pPr>
          </w:p>
        </w:tc>
        <w:tc>
          <w:tcPr>
            <w:cnfStyle w:val="000001000000" w:firstRow="0" w:lastRow="0" w:firstColumn="0" w:lastColumn="0" w:oddVBand="0" w:evenVBand="1" w:oddHBand="0" w:evenHBand="0" w:firstRowFirstColumn="0" w:firstRowLastColumn="0" w:lastRowFirstColumn="0" w:lastRowLastColumn="0"/>
            <w:tcW w:w="1110" w:type="dxa"/>
          </w:tcPr>
          <w:p w14:paraId="74490272" w14:textId="77777777" w:rsidR="000423F1" w:rsidRPr="0067507D" w:rsidRDefault="000423F1" w:rsidP="000423F1">
            <w:pPr>
              <w:pStyle w:val="Tabletextright"/>
              <w:rPr>
                <w:sz w:val="8"/>
              </w:rPr>
            </w:pPr>
          </w:p>
        </w:tc>
        <w:tc>
          <w:tcPr>
            <w:cnfStyle w:val="000010000000" w:firstRow="0" w:lastRow="0" w:firstColumn="0" w:lastColumn="0" w:oddVBand="1" w:evenVBand="0" w:oddHBand="0" w:evenHBand="0" w:firstRowFirstColumn="0" w:firstRowLastColumn="0" w:lastRowFirstColumn="0" w:lastRowLastColumn="0"/>
            <w:tcW w:w="1110" w:type="dxa"/>
            <w:noWrap/>
          </w:tcPr>
          <w:p w14:paraId="19DAE1BD" w14:textId="0EF6347C" w:rsidR="000423F1" w:rsidRPr="0067507D" w:rsidRDefault="000423F1" w:rsidP="000423F1">
            <w:pPr>
              <w:pStyle w:val="Tabletextright"/>
              <w:rPr>
                <w:sz w:val="8"/>
              </w:rPr>
            </w:pPr>
          </w:p>
        </w:tc>
      </w:tr>
      <w:tr w:rsidR="000423F1" w:rsidRPr="0067507D" w14:paraId="7E867405"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57DCD8F5" w14:textId="1C662650" w:rsidR="000423F1" w:rsidRPr="0067507D" w:rsidRDefault="000423F1" w:rsidP="000423F1">
            <w:pPr>
              <w:pStyle w:val="Tabletextbold"/>
            </w:pPr>
            <w:r w:rsidRPr="0067507D">
              <w:t>Other economic flows included in net result</w:t>
            </w:r>
          </w:p>
        </w:tc>
        <w:tc>
          <w:tcPr>
            <w:cnfStyle w:val="000010000000" w:firstRow="0" w:lastRow="0" w:firstColumn="0" w:lastColumn="0" w:oddVBand="1" w:evenVBand="0" w:oddHBand="0" w:evenHBand="0" w:firstRowFirstColumn="0" w:firstRowLastColumn="0" w:lastRowFirstColumn="0" w:lastRowLastColumn="0"/>
            <w:tcW w:w="1110" w:type="dxa"/>
          </w:tcPr>
          <w:p w14:paraId="5BAF6A71" w14:textId="37B33D2E" w:rsidR="000423F1" w:rsidRPr="0067507D" w:rsidRDefault="0097780F" w:rsidP="000423F1">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110" w:type="dxa"/>
          </w:tcPr>
          <w:p w14:paraId="4E7C192D" w14:textId="70AF9C6E" w:rsidR="000423F1" w:rsidRPr="0067507D" w:rsidRDefault="0097780F" w:rsidP="000423F1">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110" w:type="dxa"/>
            <w:noWrap/>
          </w:tcPr>
          <w:p w14:paraId="40DD22A2" w14:textId="55817B88" w:rsidR="000423F1" w:rsidRPr="0067507D" w:rsidRDefault="0097780F" w:rsidP="000423F1">
            <w:pPr>
              <w:pStyle w:val="Tabletextright"/>
            </w:pPr>
            <w:r w:rsidRPr="0067507D">
              <w:t>–</w:t>
            </w:r>
          </w:p>
        </w:tc>
      </w:tr>
      <w:tr w:rsidR="000423F1" w:rsidRPr="0067507D" w14:paraId="3FC5888D"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1BA4699C" w14:textId="7F5E8A4B" w:rsidR="000423F1" w:rsidRPr="0067507D" w:rsidRDefault="000423F1" w:rsidP="000423F1">
            <w:pPr>
              <w:pStyle w:val="Tabletextbold"/>
            </w:pPr>
            <w:r w:rsidRPr="0067507D">
              <w:t>Net result</w:t>
            </w:r>
          </w:p>
        </w:tc>
        <w:tc>
          <w:tcPr>
            <w:cnfStyle w:val="000010000000" w:firstRow="0" w:lastRow="0" w:firstColumn="0" w:lastColumn="0" w:oddVBand="1" w:evenVBand="0" w:oddHBand="0" w:evenHBand="0" w:firstRowFirstColumn="0" w:firstRowLastColumn="0" w:lastRowFirstColumn="0" w:lastRowLastColumn="0"/>
            <w:tcW w:w="1110" w:type="dxa"/>
          </w:tcPr>
          <w:p w14:paraId="6CC086BE" w14:textId="72FAF5BF" w:rsidR="000423F1" w:rsidRPr="0067507D" w:rsidRDefault="0097780F" w:rsidP="000423F1">
            <w:pPr>
              <w:pStyle w:val="Tabletextrightbold"/>
            </w:pPr>
            <w:r w:rsidRPr="0067507D">
              <w:t>–</w:t>
            </w:r>
          </w:p>
        </w:tc>
        <w:tc>
          <w:tcPr>
            <w:cnfStyle w:val="000001000000" w:firstRow="0" w:lastRow="0" w:firstColumn="0" w:lastColumn="0" w:oddVBand="0" w:evenVBand="1" w:oddHBand="0" w:evenHBand="0" w:firstRowFirstColumn="0" w:firstRowLastColumn="0" w:lastRowFirstColumn="0" w:lastRowLastColumn="0"/>
            <w:tcW w:w="1110" w:type="dxa"/>
          </w:tcPr>
          <w:p w14:paraId="0D743EC5" w14:textId="0785E86F" w:rsidR="000423F1" w:rsidRPr="0067507D" w:rsidRDefault="000423F1" w:rsidP="000423F1">
            <w:pPr>
              <w:pStyle w:val="Tabletextrightbold"/>
            </w:pPr>
            <w:r w:rsidRPr="0067507D">
              <w:t>7</w:t>
            </w:r>
          </w:p>
        </w:tc>
        <w:tc>
          <w:tcPr>
            <w:cnfStyle w:val="000010000000" w:firstRow="0" w:lastRow="0" w:firstColumn="0" w:lastColumn="0" w:oddVBand="1" w:evenVBand="0" w:oddHBand="0" w:evenHBand="0" w:firstRowFirstColumn="0" w:firstRowLastColumn="0" w:lastRowFirstColumn="0" w:lastRowLastColumn="0"/>
            <w:tcW w:w="1110" w:type="dxa"/>
            <w:noWrap/>
          </w:tcPr>
          <w:p w14:paraId="64417F82" w14:textId="1F5D6923" w:rsidR="000423F1" w:rsidRPr="0067507D" w:rsidRDefault="000423F1" w:rsidP="000423F1">
            <w:pPr>
              <w:pStyle w:val="Tabletextrightbold"/>
            </w:pPr>
            <w:r w:rsidRPr="0067507D">
              <w:t>7</w:t>
            </w:r>
          </w:p>
        </w:tc>
      </w:tr>
      <w:tr w:rsidR="000423F1" w:rsidRPr="0067507D" w14:paraId="0FC8183D"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18145966" w14:textId="77777777" w:rsidR="000423F1" w:rsidRPr="0067507D" w:rsidRDefault="000423F1" w:rsidP="000423F1">
            <w:pPr>
              <w:pStyle w:val="Tabletext"/>
              <w:rPr>
                <w:rFonts w:ascii="Arial" w:hAnsi="Arial"/>
                <w:sz w:val="8"/>
              </w:rPr>
            </w:pPr>
          </w:p>
        </w:tc>
        <w:tc>
          <w:tcPr>
            <w:cnfStyle w:val="000010000000" w:firstRow="0" w:lastRow="0" w:firstColumn="0" w:lastColumn="0" w:oddVBand="1" w:evenVBand="0" w:oddHBand="0" w:evenHBand="0" w:firstRowFirstColumn="0" w:firstRowLastColumn="0" w:lastRowFirstColumn="0" w:lastRowLastColumn="0"/>
            <w:tcW w:w="1110" w:type="dxa"/>
          </w:tcPr>
          <w:p w14:paraId="049C92E3" w14:textId="77777777" w:rsidR="000423F1" w:rsidRPr="0067507D" w:rsidRDefault="000423F1" w:rsidP="000423F1">
            <w:pPr>
              <w:pStyle w:val="Tabletextright"/>
              <w:rPr>
                <w:rFonts w:ascii="Arial" w:hAnsi="Arial"/>
                <w:sz w:val="8"/>
              </w:rPr>
            </w:pPr>
          </w:p>
        </w:tc>
        <w:tc>
          <w:tcPr>
            <w:cnfStyle w:val="000001000000" w:firstRow="0" w:lastRow="0" w:firstColumn="0" w:lastColumn="0" w:oddVBand="0" w:evenVBand="1" w:oddHBand="0" w:evenHBand="0" w:firstRowFirstColumn="0" w:firstRowLastColumn="0" w:lastRowFirstColumn="0" w:lastRowLastColumn="0"/>
            <w:tcW w:w="1110" w:type="dxa"/>
          </w:tcPr>
          <w:p w14:paraId="5FB65F2A" w14:textId="77777777" w:rsidR="000423F1" w:rsidRPr="0067507D" w:rsidRDefault="000423F1" w:rsidP="000423F1">
            <w:pPr>
              <w:pStyle w:val="Tabletextright"/>
              <w:rPr>
                <w:rFonts w:ascii="Arial" w:hAnsi="Arial"/>
                <w:sz w:val="8"/>
              </w:rPr>
            </w:pPr>
          </w:p>
        </w:tc>
        <w:tc>
          <w:tcPr>
            <w:cnfStyle w:val="000010000000" w:firstRow="0" w:lastRow="0" w:firstColumn="0" w:lastColumn="0" w:oddVBand="1" w:evenVBand="0" w:oddHBand="0" w:evenHBand="0" w:firstRowFirstColumn="0" w:firstRowLastColumn="0" w:lastRowFirstColumn="0" w:lastRowLastColumn="0"/>
            <w:tcW w:w="1110" w:type="dxa"/>
            <w:noWrap/>
          </w:tcPr>
          <w:p w14:paraId="78B340C1" w14:textId="1CD686FD" w:rsidR="000423F1" w:rsidRPr="0067507D" w:rsidRDefault="000423F1" w:rsidP="000423F1">
            <w:pPr>
              <w:pStyle w:val="Tabletextright"/>
              <w:rPr>
                <w:rFonts w:ascii="Arial" w:hAnsi="Arial"/>
                <w:sz w:val="8"/>
              </w:rPr>
            </w:pPr>
          </w:p>
        </w:tc>
      </w:tr>
      <w:tr w:rsidR="000423F1" w:rsidRPr="0067507D" w14:paraId="65D9446F"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0A5693D6" w14:textId="5B6A645A" w:rsidR="000423F1" w:rsidRPr="0067507D" w:rsidRDefault="000423F1" w:rsidP="000423F1">
            <w:pPr>
              <w:pStyle w:val="Tabletextbold"/>
            </w:pPr>
            <w:r w:rsidRPr="0067507D">
              <w:t>Other economic flows</w:t>
            </w:r>
            <w:r w:rsidR="008033F5" w:rsidRPr="0067507D">
              <w:t xml:space="preserve"> – </w:t>
            </w:r>
            <w:r w:rsidRPr="0067507D">
              <w:t>other comprehensive income</w:t>
            </w:r>
          </w:p>
        </w:tc>
        <w:tc>
          <w:tcPr>
            <w:cnfStyle w:val="000010000000" w:firstRow="0" w:lastRow="0" w:firstColumn="0" w:lastColumn="0" w:oddVBand="1" w:evenVBand="0" w:oddHBand="0" w:evenHBand="0" w:firstRowFirstColumn="0" w:firstRowLastColumn="0" w:lastRowFirstColumn="0" w:lastRowLastColumn="0"/>
            <w:tcW w:w="1110" w:type="dxa"/>
          </w:tcPr>
          <w:p w14:paraId="13AF494F" w14:textId="32242936" w:rsidR="000423F1" w:rsidRPr="0067507D" w:rsidRDefault="0097780F" w:rsidP="000423F1">
            <w:pPr>
              <w:pStyle w:val="Tabletextrightbold"/>
            </w:pPr>
            <w:r w:rsidRPr="0067507D">
              <w:t>–</w:t>
            </w:r>
          </w:p>
        </w:tc>
        <w:tc>
          <w:tcPr>
            <w:cnfStyle w:val="000001000000" w:firstRow="0" w:lastRow="0" w:firstColumn="0" w:lastColumn="0" w:oddVBand="0" w:evenVBand="1" w:oddHBand="0" w:evenHBand="0" w:firstRowFirstColumn="0" w:firstRowLastColumn="0" w:lastRowFirstColumn="0" w:lastRowLastColumn="0"/>
            <w:tcW w:w="1110" w:type="dxa"/>
          </w:tcPr>
          <w:p w14:paraId="36722AA5" w14:textId="0540D912" w:rsidR="000423F1" w:rsidRPr="0067507D" w:rsidRDefault="0097780F" w:rsidP="000423F1">
            <w:pPr>
              <w:pStyle w:val="Tabletextrightbold"/>
            </w:pPr>
            <w:r w:rsidRPr="0067507D">
              <w:t>–</w:t>
            </w:r>
          </w:p>
        </w:tc>
        <w:tc>
          <w:tcPr>
            <w:cnfStyle w:val="000010000000" w:firstRow="0" w:lastRow="0" w:firstColumn="0" w:lastColumn="0" w:oddVBand="1" w:evenVBand="0" w:oddHBand="0" w:evenHBand="0" w:firstRowFirstColumn="0" w:firstRowLastColumn="0" w:lastRowFirstColumn="0" w:lastRowLastColumn="0"/>
            <w:tcW w:w="1110" w:type="dxa"/>
            <w:noWrap/>
          </w:tcPr>
          <w:p w14:paraId="6A1FED23" w14:textId="1FE03A84" w:rsidR="000423F1" w:rsidRPr="0067507D" w:rsidRDefault="0097780F" w:rsidP="000423F1">
            <w:pPr>
              <w:pStyle w:val="Tabletextrightbold"/>
            </w:pPr>
            <w:r w:rsidRPr="0067507D">
              <w:t>–</w:t>
            </w:r>
          </w:p>
        </w:tc>
      </w:tr>
      <w:tr w:rsidR="000423F1" w:rsidRPr="0067507D" w14:paraId="2900F9E4" w14:textId="77777777" w:rsidTr="000423F1">
        <w:tc>
          <w:tcPr>
            <w:cnfStyle w:val="001000000000" w:firstRow="0" w:lastRow="0" w:firstColumn="1" w:lastColumn="0" w:oddVBand="0" w:evenVBand="0" w:oddHBand="0" w:evenHBand="0" w:firstRowFirstColumn="0" w:firstRowLastColumn="0" w:lastRowFirstColumn="0" w:lastRowLastColumn="0"/>
            <w:tcW w:w="4608" w:type="dxa"/>
          </w:tcPr>
          <w:p w14:paraId="5B2345AB" w14:textId="23511886" w:rsidR="000423F1" w:rsidRPr="0067507D" w:rsidRDefault="000423F1" w:rsidP="000423F1">
            <w:pPr>
              <w:pStyle w:val="Tabletextbold"/>
            </w:pPr>
            <w:r w:rsidRPr="0067507D">
              <w:t>Comprehensive result</w:t>
            </w:r>
          </w:p>
        </w:tc>
        <w:tc>
          <w:tcPr>
            <w:cnfStyle w:val="000010000000" w:firstRow="0" w:lastRow="0" w:firstColumn="0" w:lastColumn="0" w:oddVBand="1" w:evenVBand="0" w:oddHBand="0" w:evenHBand="0" w:firstRowFirstColumn="0" w:firstRowLastColumn="0" w:lastRowFirstColumn="0" w:lastRowLastColumn="0"/>
            <w:tcW w:w="1110" w:type="dxa"/>
          </w:tcPr>
          <w:p w14:paraId="74FA09A3" w14:textId="346880D7" w:rsidR="000423F1" w:rsidRPr="0067507D" w:rsidRDefault="0097780F" w:rsidP="000423F1">
            <w:pPr>
              <w:pStyle w:val="Tabletextrightbold"/>
            </w:pPr>
            <w:r w:rsidRPr="0067507D">
              <w:t>–</w:t>
            </w:r>
          </w:p>
        </w:tc>
        <w:tc>
          <w:tcPr>
            <w:cnfStyle w:val="000001000000" w:firstRow="0" w:lastRow="0" w:firstColumn="0" w:lastColumn="0" w:oddVBand="0" w:evenVBand="1" w:oddHBand="0" w:evenHBand="0" w:firstRowFirstColumn="0" w:firstRowLastColumn="0" w:lastRowFirstColumn="0" w:lastRowLastColumn="0"/>
            <w:tcW w:w="1110" w:type="dxa"/>
          </w:tcPr>
          <w:p w14:paraId="733487CF" w14:textId="7BE1968E" w:rsidR="000423F1" w:rsidRPr="0067507D" w:rsidRDefault="000423F1" w:rsidP="000423F1">
            <w:pPr>
              <w:pStyle w:val="Tabletextrightbold"/>
            </w:pPr>
            <w:r w:rsidRPr="0067507D">
              <w:t>7</w:t>
            </w:r>
          </w:p>
        </w:tc>
        <w:tc>
          <w:tcPr>
            <w:cnfStyle w:val="000010000000" w:firstRow="0" w:lastRow="0" w:firstColumn="0" w:lastColumn="0" w:oddVBand="1" w:evenVBand="0" w:oddHBand="0" w:evenHBand="0" w:firstRowFirstColumn="0" w:firstRowLastColumn="0" w:lastRowFirstColumn="0" w:lastRowLastColumn="0"/>
            <w:tcW w:w="1110" w:type="dxa"/>
            <w:noWrap/>
          </w:tcPr>
          <w:p w14:paraId="78A9E69C" w14:textId="2E798694" w:rsidR="000423F1" w:rsidRPr="0067507D" w:rsidRDefault="000423F1" w:rsidP="000423F1">
            <w:pPr>
              <w:pStyle w:val="Tabletextrightbold"/>
            </w:pPr>
            <w:r w:rsidRPr="0067507D">
              <w:t>7</w:t>
            </w:r>
          </w:p>
        </w:tc>
      </w:tr>
    </w:tbl>
    <w:p w14:paraId="19395254" w14:textId="77777777" w:rsidR="00620CE0" w:rsidRPr="0067507D" w:rsidRDefault="00620CE0" w:rsidP="00620CE0">
      <w:pPr>
        <w:pStyle w:val="Notes"/>
      </w:pPr>
      <w:r w:rsidRPr="0067507D">
        <w:t>Notes:</w:t>
      </w:r>
    </w:p>
    <w:p w14:paraId="2D6351E5" w14:textId="109D00FE" w:rsidR="001559DD" w:rsidRPr="0067507D" w:rsidRDefault="001559DD" w:rsidP="001559DD">
      <w:pPr>
        <w:pStyle w:val="Notes"/>
        <w:ind w:right="1685"/>
      </w:pPr>
      <w:r w:rsidRPr="0067507D">
        <w:t>(a) Higher actuals primarily reflect funding for the new Victorian Public Service Enterprise Agreement 2024, the recognition of the funding for Industrial Relations Victoria and Victorian Independent Remuneration Tribunal, partly offset by underspends in expenditure as outlined below.</w:t>
      </w:r>
    </w:p>
    <w:p w14:paraId="4A79DB67" w14:textId="08961FB6" w:rsidR="001559DD" w:rsidRPr="0067507D" w:rsidRDefault="001559DD" w:rsidP="001559DD">
      <w:pPr>
        <w:pStyle w:val="Notes"/>
        <w:ind w:right="1685"/>
      </w:pPr>
      <w:r w:rsidRPr="0067507D">
        <w:t xml:space="preserve">(b) Higher actuals primarily reflect funding for Industrial Relations Victoria and </w:t>
      </w:r>
      <w:r w:rsidR="005E71C8" w:rsidRPr="0067507D">
        <w:t xml:space="preserve">the </w:t>
      </w:r>
      <w:r w:rsidRPr="0067507D">
        <w:t>Victorian Independent Remuneration Tribunal and the Victorian Public Service Enterprise Agreement 2024 outcomes which were not included in the Budget.</w:t>
      </w:r>
    </w:p>
    <w:p w14:paraId="7FD0C824" w14:textId="19C8D7E5" w:rsidR="001559DD" w:rsidRPr="0067507D" w:rsidRDefault="001559DD" w:rsidP="001559DD">
      <w:pPr>
        <w:pStyle w:val="Notes"/>
        <w:ind w:right="1685"/>
      </w:pPr>
      <w:r w:rsidRPr="0067507D">
        <w:t>(c) Lower actuals primarily reflect revised delivery timeline</w:t>
      </w:r>
      <w:r w:rsidR="002565CF" w:rsidRPr="0067507D">
        <w:t>s</w:t>
      </w:r>
      <w:r w:rsidRPr="0067507D">
        <w:t xml:space="preserve"> of capital projects with the State Revenue Office.</w:t>
      </w:r>
    </w:p>
    <w:p w14:paraId="6167DFC4" w14:textId="192A1E5F" w:rsidR="001559DD" w:rsidRPr="0067507D" w:rsidRDefault="001559DD" w:rsidP="001559DD">
      <w:pPr>
        <w:pStyle w:val="Notes"/>
        <w:ind w:right="1685"/>
      </w:pPr>
      <w:r w:rsidRPr="0067507D">
        <w:t>(d) Lower actuals primarily reflect revised delivery timeline</w:t>
      </w:r>
      <w:r w:rsidR="002565CF" w:rsidRPr="0067507D">
        <w:t>s</w:t>
      </w:r>
      <w:r w:rsidRPr="0067507D">
        <w:t xml:space="preserve"> for various grants programs, including the Business Acceleration Fund initiative.</w:t>
      </w:r>
    </w:p>
    <w:p w14:paraId="31D7842D" w14:textId="7FDBDBC1" w:rsidR="00C6471C" w:rsidRPr="0067507D" w:rsidRDefault="001559DD" w:rsidP="001559DD">
      <w:pPr>
        <w:pStyle w:val="Notes"/>
        <w:ind w:right="1685"/>
      </w:pPr>
      <w:r w:rsidRPr="0067507D">
        <w:t xml:space="preserve">(e) Lower actuals primarily reflect underspends in the State Revenue Office and lower than expected expenditure on various initiatives in the DTF divisions, including initiatives such as supporting the sector </w:t>
      </w:r>
      <w:r w:rsidR="002565CF" w:rsidRPr="0067507D">
        <w:t>to</w:t>
      </w:r>
      <w:r w:rsidRPr="0067507D">
        <w:t xml:space="preserve"> maximise outcomes through social investments. </w:t>
      </w:r>
    </w:p>
    <w:p w14:paraId="779C8D73" w14:textId="77777777" w:rsidR="00344B6A" w:rsidRPr="0067507D" w:rsidRDefault="00344B6A" w:rsidP="003D471D">
      <w:pPr>
        <w:pStyle w:val="Notes"/>
        <w:ind w:right="1685"/>
      </w:pPr>
    </w:p>
    <w:p w14:paraId="2C1A6C96" w14:textId="77777777" w:rsidR="006E38D3" w:rsidRPr="0067507D" w:rsidRDefault="006E38D3" w:rsidP="00C6471C">
      <w:pPr>
        <w:pStyle w:val="Heading2"/>
        <w:pageBreakBefore/>
      </w:pPr>
      <w:r w:rsidRPr="0067507D">
        <w:lastRenderedPageBreak/>
        <w:t>Budget portfolio outcomes</w:t>
      </w:r>
    </w:p>
    <w:p w14:paraId="0CC484DF" w14:textId="00028EC1" w:rsidR="006E38D3" w:rsidRPr="0067507D" w:rsidRDefault="006E38D3" w:rsidP="006E38D3">
      <w:pPr>
        <w:pStyle w:val="Heading3"/>
      </w:pPr>
      <w:r w:rsidRPr="0067507D">
        <w:t xml:space="preserve">Balance sheet as at </w:t>
      </w:r>
      <w:r w:rsidR="00C30F42" w:rsidRPr="0067507D">
        <w:t>30 June 2025</w:t>
      </w:r>
    </w:p>
    <w:tbl>
      <w:tblPr>
        <w:tblStyle w:val="AnnualReporttexttable"/>
        <w:tblW w:w="7710" w:type="dxa"/>
        <w:tblLayout w:type="fixed"/>
        <w:tblLook w:val="00A0" w:firstRow="1" w:lastRow="0" w:firstColumn="1" w:lastColumn="0" w:noHBand="0" w:noVBand="0"/>
      </w:tblPr>
      <w:tblGrid>
        <w:gridCol w:w="4244"/>
        <w:gridCol w:w="1155"/>
        <w:gridCol w:w="1155"/>
        <w:gridCol w:w="1156"/>
      </w:tblGrid>
      <w:tr w:rsidR="000423F1" w:rsidRPr="0067507D" w14:paraId="0EEC0C6C" w14:textId="77777777" w:rsidTr="000423F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766A241F" w14:textId="77777777" w:rsidR="000423F1" w:rsidRPr="0067507D" w:rsidRDefault="000423F1">
            <w:pPr>
              <w:pStyle w:val="Tabletextheadingleft"/>
              <w:rPr>
                <w:b w:val="0"/>
                <w:bCs/>
              </w:rPr>
            </w:pPr>
            <w:r w:rsidRPr="0067507D">
              <w:rPr>
                <w:b w:val="0"/>
                <w:bCs/>
              </w:rPr>
              <w:t>Controlled</w:t>
            </w:r>
          </w:p>
        </w:tc>
        <w:tc>
          <w:tcPr>
            <w:cnfStyle w:val="000010000000" w:firstRow="0" w:lastRow="0" w:firstColumn="0" w:lastColumn="0" w:oddVBand="1" w:evenVBand="0" w:oddHBand="0" w:evenHBand="0" w:firstRowFirstColumn="0" w:firstRowLastColumn="0" w:lastRowFirstColumn="0" w:lastRowLastColumn="0"/>
            <w:tcW w:w="1155" w:type="dxa"/>
            <w:shd w:val="clear" w:color="auto" w:fill="auto"/>
          </w:tcPr>
          <w:p w14:paraId="36663D3D" w14:textId="4A15F23A" w:rsidR="000423F1" w:rsidRPr="0067507D" w:rsidRDefault="000423F1" w:rsidP="002E5509">
            <w:pPr>
              <w:pStyle w:val="Tabletextheadingright"/>
              <w:rPr>
                <w:b w:val="0"/>
                <w:bCs/>
              </w:rPr>
            </w:pPr>
            <w:r w:rsidRPr="0067507D">
              <w:rPr>
                <w:b w:val="0"/>
                <w:bCs/>
              </w:rPr>
              <w:t>2024</w:t>
            </w:r>
            <w:r w:rsidR="006A5485">
              <w:rPr>
                <w:b w:val="0"/>
                <w:bCs/>
              </w:rPr>
              <w:noBreakHyphen/>
            </w:r>
            <w:r w:rsidRPr="0067507D">
              <w:rPr>
                <w:b w:val="0"/>
                <w:bCs/>
              </w:rPr>
              <w:t>25 budget</w:t>
            </w:r>
            <w:r w:rsidR="00A31D37" w:rsidRPr="0067507D">
              <w:rPr>
                <w:b w:val="0"/>
                <w:bCs/>
              </w:rPr>
              <w:t xml:space="preserve"> </w:t>
            </w:r>
            <w:r w:rsidR="00A31D37" w:rsidRPr="0067507D">
              <w:rPr>
                <w:b w:val="0"/>
                <w:bCs/>
                <w:vertAlign w:val="superscript"/>
              </w:rPr>
              <w:t>(a)</w:t>
            </w:r>
          </w:p>
        </w:tc>
        <w:tc>
          <w:tcPr>
            <w:cnfStyle w:val="000001000000" w:firstRow="0" w:lastRow="0" w:firstColumn="0" w:lastColumn="0" w:oddVBand="0" w:evenVBand="1" w:oddHBand="0" w:evenHBand="0" w:firstRowFirstColumn="0" w:firstRowLastColumn="0" w:lastRowFirstColumn="0" w:lastRowLastColumn="0"/>
            <w:tcW w:w="1155" w:type="dxa"/>
            <w:shd w:val="clear" w:color="auto" w:fill="auto"/>
          </w:tcPr>
          <w:p w14:paraId="60F8B125" w14:textId="114A017C" w:rsidR="000423F1" w:rsidRPr="0067507D" w:rsidRDefault="000423F1">
            <w:pPr>
              <w:pStyle w:val="Tabletextheadingright"/>
              <w:rPr>
                <w:b w:val="0"/>
                <w:bCs/>
              </w:rPr>
            </w:pPr>
            <w:r w:rsidRPr="0067507D">
              <w:rPr>
                <w:b w:val="0"/>
                <w:bCs/>
              </w:rPr>
              <w:t>2024</w:t>
            </w:r>
            <w:r w:rsidR="006A5485">
              <w:rPr>
                <w:b w:val="0"/>
                <w:bCs/>
              </w:rPr>
              <w:noBreakHyphen/>
            </w:r>
            <w:r w:rsidRPr="0067507D">
              <w:rPr>
                <w:b w:val="0"/>
                <w:bCs/>
              </w:rPr>
              <w:t>25 actual</w:t>
            </w:r>
          </w:p>
        </w:tc>
        <w:tc>
          <w:tcPr>
            <w:cnfStyle w:val="000010000000" w:firstRow="0" w:lastRow="0" w:firstColumn="0" w:lastColumn="0" w:oddVBand="1" w:evenVBand="0" w:oddHBand="0" w:evenHBand="0" w:firstRowFirstColumn="0" w:firstRowLastColumn="0" w:lastRowFirstColumn="0" w:lastRowLastColumn="0"/>
            <w:tcW w:w="1156" w:type="dxa"/>
            <w:shd w:val="clear" w:color="auto" w:fill="auto"/>
            <w:noWrap/>
          </w:tcPr>
          <w:p w14:paraId="7C4C1C71" w14:textId="12000991" w:rsidR="000423F1" w:rsidRPr="0067507D" w:rsidRDefault="000423F1">
            <w:pPr>
              <w:pStyle w:val="Tabletextheadingright"/>
              <w:rPr>
                <w:b w:val="0"/>
                <w:bCs/>
              </w:rPr>
            </w:pPr>
            <w:r w:rsidRPr="0067507D">
              <w:rPr>
                <w:b w:val="0"/>
                <w:bCs/>
              </w:rPr>
              <w:t>Variance</w:t>
            </w:r>
          </w:p>
        </w:tc>
      </w:tr>
      <w:tr w:rsidR="000423F1" w:rsidRPr="0067507D" w14:paraId="20AC043A"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10A537F8" w14:textId="77777777" w:rsidR="000423F1" w:rsidRPr="0067507D" w:rsidRDefault="000423F1">
            <w:pPr>
              <w:pStyle w:val="Tabletext"/>
            </w:pPr>
          </w:p>
        </w:tc>
        <w:tc>
          <w:tcPr>
            <w:cnfStyle w:val="000010000000" w:firstRow="0" w:lastRow="0" w:firstColumn="0" w:lastColumn="0" w:oddVBand="1" w:evenVBand="0" w:oddHBand="0" w:evenHBand="0" w:firstRowFirstColumn="0" w:firstRowLastColumn="0" w:lastRowFirstColumn="0" w:lastRowLastColumn="0"/>
            <w:tcW w:w="1155" w:type="dxa"/>
            <w:shd w:val="clear" w:color="auto" w:fill="auto"/>
          </w:tcPr>
          <w:p w14:paraId="5A27E3D1" w14:textId="0A81E19C" w:rsidR="000423F1" w:rsidRPr="0067507D" w:rsidRDefault="000423F1" w:rsidP="002E5509">
            <w:pPr>
              <w:pStyle w:val="Tabletextheadingright"/>
            </w:pPr>
            <w:r w:rsidRPr="0067507D">
              <w:t>$m</w:t>
            </w:r>
          </w:p>
        </w:tc>
        <w:tc>
          <w:tcPr>
            <w:cnfStyle w:val="000001000000" w:firstRow="0" w:lastRow="0" w:firstColumn="0" w:lastColumn="0" w:oddVBand="0" w:evenVBand="1" w:oddHBand="0" w:evenHBand="0" w:firstRowFirstColumn="0" w:firstRowLastColumn="0" w:lastRowFirstColumn="0" w:lastRowLastColumn="0"/>
            <w:tcW w:w="1155" w:type="dxa"/>
            <w:shd w:val="clear" w:color="auto" w:fill="auto"/>
          </w:tcPr>
          <w:p w14:paraId="2D60E96E" w14:textId="77777777" w:rsidR="000423F1" w:rsidRPr="0067507D" w:rsidRDefault="000423F1">
            <w:pPr>
              <w:pStyle w:val="Tabletextheadingright"/>
            </w:pPr>
            <w:r w:rsidRPr="0067507D">
              <w:t>$m</w:t>
            </w:r>
          </w:p>
        </w:tc>
        <w:tc>
          <w:tcPr>
            <w:cnfStyle w:val="000010000000" w:firstRow="0" w:lastRow="0" w:firstColumn="0" w:lastColumn="0" w:oddVBand="1" w:evenVBand="0" w:oddHBand="0" w:evenHBand="0" w:firstRowFirstColumn="0" w:firstRowLastColumn="0" w:lastRowFirstColumn="0" w:lastRowLastColumn="0"/>
            <w:tcW w:w="1156" w:type="dxa"/>
            <w:shd w:val="clear" w:color="auto" w:fill="auto"/>
            <w:noWrap/>
          </w:tcPr>
          <w:p w14:paraId="519372E8" w14:textId="61F30E2A" w:rsidR="000423F1" w:rsidRPr="0067507D" w:rsidRDefault="000423F1">
            <w:pPr>
              <w:pStyle w:val="Tabletextheadingright"/>
            </w:pPr>
            <w:r w:rsidRPr="0067507D">
              <w:t>$m</w:t>
            </w:r>
          </w:p>
        </w:tc>
      </w:tr>
      <w:tr w:rsidR="000423F1" w:rsidRPr="0067507D" w14:paraId="045EB364"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377BD6AD" w14:textId="19092A70" w:rsidR="000423F1" w:rsidRPr="0067507D" w:rsidRDefault="000423F1" w:rsidP="00475BF0">
            <w:pPr>
              <w:pStyle w:val="Tabletextbold"/>
            </w:pPr>
            <w:r w:rsidRPr="0067507D">
              <w:t>Assets</w:t>
            </w:r>
          </w:p>
        </w:tc>
        <w:tc>
          <w:tcPr>
            <w:cnfStyle w:val="000010000000" w:firstRow="0" w:lastRow="0" w:firstColumn="0" w:lastColumn="0" w:oddVBand="1" w:evenVBand="0" w:oddHBand="0" w:evenHBand="0" w:firstRowFirstColumn="0" w:firstRowLastColumn="0" w:lastRowFirstColumn="0" w:lastRowLastColumn="0"/>
            <w:tcW w:w="1155" w:type="dxa"/>
          </w:tcPr>
          <w:p w14:paraId="24E77315" w14:textId="77777777" w:rsidR="000423F1" w:rsidRPr="0067507D" w:rsidRDefault="000423F1" w:rsidP="00475BF0">
            <w:pPr>
              <w:pStyle w:val="Tabletextright"/>
            </w:pPr>
          </w:p>
        </w:tc>
        <w:tc>
          <w:tcPr>
            <w:cnfStyle w:val="000001000000" w:firstRow="0" w:lastRow="0" w:firstColumn="0" w:lastColumn="0" w:oddVBand="0" w:evenVBand="1" w:oddHBand="0" w:evenHBand="0" w:firstRowFirstColumn="0" w:firstRowLastColumn="0" w:lastRowFirstColumn="0" w:lastRowLastColumn="0"/>
            <w:tcW w:w="1155" w:type="dxa"/>
          </w:tcPr>
          <w:p w14:paraId="5E36A400" w14:textId="77777777" w:rsidR="000423F1" w:rsidRPr="0067507D" w:rsidRDefault="000423F1" w:rsidP="00475BF0">
            <w:pPr>
              <w:pStyle w:val="Tabletextright"/>
            </w:pPr>
          </w:p>
        </w:tc>
        <w:tc>
          <w:tcPr>
            <w:cnfStyle w:val="000010000000" w:firstRow="0" w:lastRow="0" w:firstColumn="0" w:lastColumn="0" w:oddVBand="1" w:evenVBand="0" w:oddHBand="0" w:evenHBand="0" w:firstRowFirstColumn="0" w:firstRowLastColumn="0" w:lastRowFirstColumn="0" w:lastRowLastColumn="0"/>
            <w:tcW w:w="1156" w:type="dxa"/>
            <w:noWrap/>
          </w:tcPr>
          <w:p w14:paraId="713E76C1" w14:textId="67E82FF9" w:rsidR="000423F1" w:rsidRPr="0067507D" w:rsidRDefault="000423F1" w:rsidP="00475BF0">
            <w:pPr>
              <w:pStyle w:val="Tabletextright"/>
            </w:pPr>
          </w:p>
        </w:tc>
      </w:tr>
      <w:tr w:rsidR="000423F1" w:rsidRPr="0067507D" w14:paraId="25551EDE"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022AE5AA" w14:textId="1B89D336" w:rsidR="000423F1" w:rsidRPr="0067507D" w:rsidRDefault="000423F1" w:rsidP="00475BF0">
            <w:pPr>
              <w:pStyle w:val="Tabletextbold"/>
            </w:pPr>
            <w:r w:rsidRPr="0067507D">
              <w:t>Financial assets</w:t>
            </w:r>
          </w:p>
        </w:tc>
        <w:tc>
          <w:tcPr>
            <w:cnfStyle w:val="000010000000" w:firstRow="0" w:lastRow="0" w:firstColumn="0" w:lastColumn="0" w:oddVBand="1" w:evenVBand="0" w:oddHBand="0" w:evenHBand="0" w:firstRowFirstColumn="0" w:firstRowLastColumn="0" w:lastRowFirstColumn="0" w:lastRowLastColumn="0"/>
            <w:tcW w:w="1155" w:type="dxa"/>
          </w:tcPr>
          <w:p w14:paraId="2CF8D9A2" w14:textId="77777777" w:rsidR="000423F1" w:rsidRPr="0067507D" w:rsidRDefault="000423F1" w:rsidP="00475BF0">
            <w:pPr>
              <w:pStyle w:val="Tabletextright"/>
            </w:pPr>
          </w:p>
        </w:tc>
        <w:tc>
          <w:tcPr>
            <w:cnfStyle w:val="000001000000" w:firstRow="0" w:lastRow="0" w:firstColumn="0" w:lastColumn="0" w:oddVBand="0" w:evenVBand="1" w:oddHBand="0" w:evenHBand="0" w:firstRowFirstColumn="0" w:firstRowLastColumn="0" w:lastRowFirstColumn="0" w:lastRowLastColumn="0"/>
            <w:tcW w:w="1155" w:type="dxa"/>
          </w:tcPr>
          <w:p w14:paraId="42B94DE6" w14:textId="77777777" w:rsidR="000423F1" w:rsidRPr="0067507D" w:rsidRDefault="000423F1" w:rsidP="00475BF0">
            <w:pPr>
              <w:pStyle w:val="Tabletextright"/>
            </w:pPr>
          </w:p>
        </w:tc>
        <w:tc>
          <w:tcPr>
            <w:cnfStyle w:val="000010000000" w:firstRow="0" w:lastRow="0" w:firstColumn="0" w:lastColumn="0" w:oddVBand="1" w:evenVBand="0" w:oddHBand="0" w:evenHBand="0" w:firstRowFirstColumn="0" w:firstRowLastColumn="0" w:lastRowFirstColumn="0" w:lastRowLastColumn="0"/>
            <w:tcW w:w="1156" w:type="dxa"/>
            <w:noWrap/>
          </w:tcPr>
          <w:p w14:paraId="26BFC0D3" w14:textId="476F508A" w:rsidR="000423F1" w:rsidRPr="0067507D" w:rsidRDefault="000423F1" w:rsidP="00475BF0">
            <w:pPr>
              <w:pStyle w:val="Tabletextright"/>
            </w:pPr>
          </w:p>
        </w:tc>
      </w:tr>
      <w:tr w:rsidR="000423F1" w:rsidRPr="0067507D" w14:paraId="2DC467A7"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4D8DF7AD" w14:textId="56C05D3D" w:rsidR="000423F1" w:rsidRPr="0067507D" w:rsidRDefault="000423F1" w:rsidP="000423F1">
            <w:pPr>
              <w:pStyle w:val="Tabletext"/>
            </w:pPr>
            <w:r w:rsidRPr="0067507D">
              <w:t>Cash and deposits</w:t>
            </w:r>
          </w:p>
        </w:tc>
        <w:tc>
          <w:tcPr>
            <w:cnfStyle w:val="000010000000" w:firstRow="0" w:lastRow="0" w:firstColumn="0" w:lastColumn="0" w:oddVBand="1" w:evenVBand="0" w:oddHBand="0" w:evenHBand="0" w:firstRowFirstColumn="0" w:firstRowLastColumn="0" w:lastRowFirstColumn="0" w:lastRowLastColumn="0"/>
            <w:tcW w:w="1155" w:type="dxa"/>
          </w:tcPr>
          <w:p w14:paraId="0CBEB069" w14:textId="0910572B" w:rsidR="000423F1" w:rsidRPr="0067507D" w:rsidRDefault="000423F1" w:rsidP="000423F1">
            <w:pPr>
              <w:pStyle w:val="Tabletextright"/>
            </w:pPr>
            <w:r w:rsidRPr="0067507D">
              <w:t>11</w:t>
            </w:r>
          </w:p>
        </w:tc>
        <w:tc>
          <w:tcPr>
            <w:cnfStyle w:val="000001000000" w:firstRow="0" w:lastRow="0" w:firstColumn="0" w:lastColumn="0" w:oddVBand="0" w:evenVBand="1" w:oddHBand="0" w:evenHBand="0" w:firstRowFirstColumn="0" w:firstRowLastColumn="0" w:lastRowFirstColumn="0" w:lastRowLastColumn="0"/>
            <w:tcW w:w="1155" w:type="dxa"/>
          </w:tcPr>
          <w:p w14:paraId="5A637732" w14:textId="52ECB96D" w:rsidR="000423F1" w:rsidRPr="0067507D" w:rsidRDefault="000423F1" w:rsidP="000423F1">
            <w:pPr>
              <w:pStyle w:val="Tabletextright"/>
            </w:pPr>
            <w:r w:rsidRPr="0067507D">
              <w:t>12</w:t>
            </w:r>
          </w:p>
        </w:tc>
        <w:tc>
          <w:tcPr>
            <w:cnfStyle w:val="000010000000" w:firstRow="0" w:lastRow="0" w:firstColumn="0" w:lastColumn="0" w:oddVBand="1" w:evenVBand="0" w:oddHBand="0" w:evenHBand="0" w:firstRowFirstColumn="0" w:firstRowLastColumn="0" w:lastRowFirstColumn="0" w:lastRowLastColumn="0"/>
            <w:tcW w:w="1156" w:type="dxa"/>
            <w:noWrap/>
          </w:tcPr>
          <w:p w14:paraId="2882675F" w14:textId="2B7A02D3" w:rsidR="000423F1" w:rsidRPr="0067507D" w:rsidRDefault="000423F1" w:rsidP="000423F1">
            <w:pPr>
              <w:pStyle w:val="Tabletextright"/>
            </w:pPr>
            <w:r w:rsidRPr="0067507D">
              <w:t>1</w:t>
            </w:r>
          </w:p>
        </w:tc>
      </w:tr>
      <w:tr w:rsidR="000423F1" w:rsidRPr="0067507D" w14:paraId="4F6E286A"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62C937B9" w14:textId="3344083D" w:rsidR="000423F1" w:rsidRPr="0067507D" w:rsidRDefault="000423F1" w:rsidP="000423F1">
            <w:pPr>
              <w:pStyle w:val="Tabletext"/>
            </w:pPr>
            <w:r w:rsidRPr="0067507D">
              <w:t xml:space="preserve">Receivables from government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1155" w:type="dxa"/>
          </w:tcPr>
          <w:p w14:paraId="03C73700" w14:textId="5E927C43" w:rsidR="000423F1" w:rsidRPr="0067507D" w:rsidRDefault="000423F1" w:rsidP="000423F1">
            <w:pPr>
              <w:pStyle w:val="Tabletextright"/>
            </w:pPr>
            <w:r w:rsidRPr="0067507D">
              <w:t>179</w:t>
            </w:r>
          </w:p>
        </w:tc>
        <w:tc>
          <w:tcPr>
            <w:cnfStyle w:val="000001000000" w:firstRow="0" w:lastRow="0" w:firstColumn="0" w:lastColumn="0" w:oddVBand="0" w:evenVBand="1" w:oddHBand="0" w:evenHBand="0" w:firstRowFirstColumn="0" w:firstRowLastColumn="0" w:lastRowFirstColumn="0" w:lastRowLastColumn="0"/>
            <w:tcW w:w="1155" w:type="dxa"/>
          </w:tcPr>
          <w:p w14:paraId="5C6BAE0A" w14:textId="34B6053C" w:rsidR="000423F1" w:rsidRPr="0067507D" w:rsidRDefault="000423F1" w:rsidP="000423F1">
            <w:pPr>
              <w:pStyle w:val="Tabletextright"/>
            </w:pPr>
            <w:r w:rsidRPr="0067507D">
              <w:t>158</w:t>
            </w:r>
          </w:p>
        </w:tc>
        <w:tc>
          <w:tcPr>
            <w:cnfStyle w:val="000010000000" w:firstRow="0" w:lastRow="0" w:firstColumn="0" w:lastColumn="0" w:oddVBand="1" w:evenVBand="0" w:oddHBand="0" w:evenHBand="0" w:firstRowFirstColumn="0" w:firstRowLastColumn="0" w:lastRowFirstColumn="0" w:lastRowLastColumn="0"/>
            <w:tcW w:w="1156" w:type="dxa"/>
            <w:noWrap/>
          </w:tcPr>
          <w:p w14:paraId="748C8F9B" w14:textId="456B21D4" w:rsidR="000423F1" w:rsidRPr="0067507D" w:rsidRDefault="000423F1" w:rsidP="000423F1">
            <w:pPr>
              <w:pStyle w:val="Tabletextright"/>
            </w:pPr>
            <w:r w:rsidRPr="0067507D">
              <w:t>(21)</w:t>
            </w:r>
          </w:p>
        </w:tc>
      </w:tr>
      <w:tr w:rsidR="000423F1" w:rsidRPr="0067507D" w14:paraId="4D495D03"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50115521" w14:textId="42D6349C" w:rsidR="000423F1" w:rsidRPr="0067507D" w:rsidRDefault="000423F1" w:rsidP="000423F1">
            <w:pPr>
              <w:pStyle w:val="Tabletext"/>
            </w:pPr>
            <w:r w:rsidRPr="0067507D">
              <w:t>Other receivables</w:t>
            </w:r>
          </w:p>
        </w:tc>
        <w:tc>
          <w:tcPr>
            <w:cnfStyle w:val="000010000000" w:firstRow="0" w:lastRow="0" w:firstColumn="0" w:lastColumn="0" w:oddVBand="1" w:evenVBand="0" w:oddHBand="0" w:evenHBand="0" w:firstRowFirstColumn="0" w:firstRowLastColumn="0" w:lastRowFirstColumn="0" w:lastRowLastColumn="0"/>
            <w:tcW w:w="1155" w:type="dxa"/>
          </w:tcPr>
          <w:p w14:paraId="02120361" w14:textId="45F3A20B" w:rsidR="000423F1" w:rsidRPr="0067507D" w:rsidRDefault="000423F1" w:rsidP="000423F1">
            <w:pPr>
              <w:pStyle w:val="Tabletextright"/>
            </w:pPr>
            <w:r w:rsidRPr="0067507D">
              <w:t>6</w:t>
            </w:r>
          </w:p>
        </w:tc>
        <w:tc>
          <w:tcPr>
            <w:cnfStyle w:val="000001000000" w:firstRow="0" w:lastRow="0" w:firstColumn="0" w:lastColumn="0" w:oddVBand="0" w:evenVBand="1" w:oddHBand="0" w:evenHBand="0" w:firstRowFirstColumn="0" w:firstRowLastColumn="0" w:lastRowFirstColumn="0" w:lastRowLastColumn="0"/>
            <w:tcW w:w="1155" w:type="dxa"/>
          </w:tcPr>
          <w:p w14:paraId="43FBBF09" w14:textId="2E9C5245" w:rsidR="000423F1" w:rsidRPr="0067507D" w:rsidRDefault="000423F1" w:rsidP="000423F1">
            <w:pPr>
              <w:pStyle w:val="Tabletextright"/>
            </w:pPr>
            <w:r w:rsidRPr="0067507D">
              <w:t>5</w:t>
            </w:r>
          </w:p>
        </w:tc>
        <w:tc>
          <w:tcPr>
            <w:cnfStyle w:val="000010000000" w:firstRow="0" w:lastRow="0" w:firstColumn="0" w:lastColumn="0" w:oddVBand="1" w:evenVBand="0" w:oddHBand="0" w:evenHBand="0" w:firstRowFirstColumn="0" w:firstRowLastColumn="0" w:lastRowFirstColumn="0" w:lastRowLastColumn="0"/>
            <w:tcW w:w="1156" w:type="dxa"/>
            <w:noWrap/>
          </w:tcPr>
          <w:p w14:paraId="480A46C2" w14:textId="1C947B40" w:rsidR="000423F1" w:rsidRPr="0067507D" w:rsidRDefault="000423F1" w:rsidP="000423F1">
            <w:pPr>
              <w:pStyle w:val="Tabletextright"/>
            </w:pPr>
            <w:r w:rsidRPr="0067507D">
              <w:t>(1)</w:t>
            </w:r>
          </w:p>
        </w:tc>
      </w:tr>
      <w:tr w:rsidR="000423F1" w:rsidRPr="0067507D" w14:paraId="6B07769F"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12822272" w14:textId="70A93A69" w:rsidR="000423F1" w:rsidRPr="0067507D" w:rsidRDefault="000423F1" w:rsidP="000423F1">
            <w:pPr>
              <w:pStyle w:val="Tabletext"/>
            </w:pPr>
            <w:r w:rsidRPr="0067507D">
              <w:t>Other financial assets</w:t>
            </w:r>
          </w:p>
        </w:tc>
        <w:tc>
          <w:tcPr>
            <w:cnfStyle w:val="000010000000" w:firstRow="0" w:lastRow="0" w:firstColumn="0" w:lastColumn="0" w:oddVBand="1" w:evenVBand="0" w:oddHBand="0" w:evenHBand="0" w:firstRowFirstColumn="0" w:firstRowLastColumn="0" w:lastRowFirstColumn="0" w:lastRowLastColumn="0"/>
            <w:tcW w:w="1155" w:type="dxa"/>
          </w:tcPr>
          <w:p w14:paraId="7F9E892B" w14:textId="5CC52F41" w:rsidR="000423F1" w:rsidRPr="0067507D" w:rsidRDefault="00CA711C" w:rsidP="000423F1">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155" w:type="dxa"/>
          </w:tcPr>
          <w:p w14:paraId="2570278A" w14:textId="4BD6EC8F" w:rsidR="000423F1" w:rsidRPr="0067507D" w:rsidRDefault="00CA711C" w:rsidP="000423F1">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156" w:type="dxa"/>
            <w:noWrap/>
          </w:tcPr>
          <w:p w14:paraId="35CBEB1D" w14:textId="5789208C" w:rsidR="000423F1" w:rsidRPr="0067507D" w:rsidRDefault="00CA711C" w:rsidP="000423F1">
            <w:pPr>
              <w:pStyle w:val="Tabletextright"/>
            </w:pPr>
            <w:r w:rsidRPr="0067507D">
              <w:t>–</w:t>
            </w:r>
          </w:p>
        </w:tc>
      </w:tr>
      <w:tr w:rsidR="000423F1" w:rsidRPr="0067507D" w14:paraId="3E110D7C"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185EAFB8" w14:textId="2AB88AD4" w:rsidR="000423F1" w:rsidRPr="0067507D" w:rsidRDefault="000423F1" w:rsidP="000423F1">
            <w:pPr>
              <w:pStyle w:val="Tabletextbold"/>
            </w:pPr>
            <w:r w:rsidRPr="0067507D">
              <w:t>Total financial assets</w:t>
            </w:r>
          </w:p>
        </w:tc>
        <w:tc>
          <w:tcPr>
            <w:cnfStyle w:val="000010000000" w:firstRow="0" w:lastRow="0" w:firstColumn="0" w:lastColumn="0" w:oddVBand="1" w:evenVBand="0" w:oddHBand="0" w:evenHBand="0" w:firstRowFirstColumn="0" w:firstRowLastColumn="0" w:lastRowFirstColumn="0" w:lastRowLastColumn="0"/>
            <w:tcW w:w="1155" w:type="dxa"/>
          </w:tcPr>
          <w:p w14:paraId="58C3BA55" w14:textId="2BB0884D" w:rsidR="000423F1" w:rsidRPr="0067507D" w:rsidRDefault="000423F1" w:rsidP="000423F1">
            <w:pPr>
              <w:pStyle w:val="Tabletextrightbold"/>
            </w:pPr>
            <w:r w:rsidRPr="0067507D">
              <w:t>196</w:t>
            </w:r>
          </w:p>
        </w:tc>
        <w:tc>
          <w:tcPr>
            <w:cnfStyle w:val="000001000000" w:firstRow="0" w:lastRow="0" w:firstColumn="0" w:lastColumn="0" w:oddVBand="0" w:evenVBand="1" w:oddHBand="0" w:evenHBand="0" w:firstRowFirstColumn="0" w:firstRowLastColumn="0" w:lastRowFirstColumn="0" w:lastRowLastColumn="0"/>
            <w:tcW w:w="1155" w:type="dxa"/>
          </w:tcPr>
          <w:p w14:paraId="0387E65C" w14:textId="2E69C824" w:rsidR="000423F1" w:rsidRPr="0067507D" w:rsidRDefault="000423F1" w:rsidP="000423F1">
            <w:pPr>
              <w:pStyle w:val="Tabletextrightbold"/>
            </w:pPr>
            <w:r w:rsidRPr="0067507D">
              <w:t>175</w:t>
            </w:r>
          </w:p>
        </w:tc>
        <w:tc>
          <w:tcPr>
            <w:cnfStyle w:val="000010000000" w:firstRow="0" w:lastRow="0" w:firstColumn="0" w:lastColumn="0" w:oddVBand="1" w:evenVBand="0" w:oddHBand="0" w:evenHBand="0" w:firstRowFirstColumn="0" w:firstRowLastColumn="0" w:lastRowFirstColumn="0" w:lastRowLastColumn="0"/>
            <w:tcW w:w="1156" w:type="dxa"/>
            <w:noWrap/>
          </w:tcPr>
          <w:p w14:paraId="18F9B13C" w14:textId="66173847" w:rsidR="000423F1" w:rsidRPr="0067507D" w:rsidRDefault="000423F1" w:rsidP="000423F1">
            <w:pPr>
              <w:pStyle w:val="Tabletextrightbold"/>
            </w:pPr>
            <w:r w:rsidRPr="0067507D">
              <w:t>(21)</w:t>
            </w:r>
          </w:p>
        </w:tc>
      </w:tr>
      <w:tr w:rsidR="000423F1" w:rsidRPr="0067507D" w14:paraId="507DD1D1"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2F3F1ADA" w14:textId="77777777" w:rsidR="000423F1" w:rsidRPr="0067507D" w:rsidRDefault="000423F1" w:rsidP="000423F1">
            <w:pPr>
              <w:pStyle w:val="Tabletext"/>
            </w:pPr>
          </w:p>
        </w:tc>
        <w:tc>
          <w:tcPr>
            <w:cnfStyle w:val="000010000000" w:firstRow="0" w:lastRow="0" w:firstColumn="0" w:lastColumn="0" w:oddVBand="1" w:evenVBand="0" w:oddHBand="0" w:evenHBand="0" w:firstRowFirstColumn="0" w:firstRowLastColumn="0" w:lastRowFirstColumn="0" w:lastRowLastColumn="0"/>
            <w:tcW w:w="1155" w:type="dxa"/>
          </w:tcPr>
          <w:p w14:paraId="6D6B9B6E" w14:textId="77777777" w:rsidR="000423F1" w:rsidRPr="0067507D" w:rsidRDefault="000423F1" w:rsidP="000423F1">
            <w:pPr>
              <w:pStyle w:val="Tabletextright"/>
            </w:pPr>
          </w:p>
        </w:tc>
        <w:tc>
          <w:tcPr>
            <w:cnfStyle w:val="000001000000" w:firstRow="0" w:lastRow="0" w:firstColumn="0" w:lastColumn="0" w:oddVBand="0" w:evenVBand="1" w:oddHBand="0" w:evenHBand="0" w:firstRowFirstColumn="0" w:firstRowLastColumn="0" w:lastRowFirstColumn="0" w:lastRowLastColumn="0"/>
            <w:tcW w:w="1155" w:type="dxa"/>
          </w:tcPr>
          <w:p w14:paraId="22F5D7A4" w14:textId="77777777" w:rsidR="000423F1" w:rsidRPr="0067507D" w:rsidRDefault="000423F1" w:rsidP="000423F1">
            <w:pPr>
              <w:pStyle w:val="Tabletextright"/>
            </w:pPr>
          </w:p>
        </w:tc>
        <w:tc>
          <w:tcPr>
            <w:cnfStyle w:val="000010000000" w:firstRow="0" w:lastRow="0" w:firstColumn="0" w:lastColumn="0" w:oddVBand="1" w:evenVBand="0" w:oddHBand="0" w:evenHBand="0" w:firstRowFirstColumn="0" w:firstRowLastColumn="0" w:lastRowFirstColumn="0" w:lastRowLastColumn="0"/>
            <w:tcW w:w="1156" w:type="dxa"/>
            <w:noWrap/>
          </w:tcPr>
          <w:p w14:paraId="5FCCD7C0" w14:textId="2EDC50F2" w:rsidR="000423F1" w:rsidRPr="0067507D" w:rsidRDefault="000423F1" w:rsidP="000423F1">
            <w:pPr>
              <w:pStyle w:val="Tabletextright"/>
            </w:pPr>
          </w:p>
        </w:tc>
      </w:tr>
      <w:tr w:rsidR="000423F1" w:rsidRPr="0067507D" w14:paraId="0C3F9BDF"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05E71C71" w14:textId="0EC3BA54" w:rsidR="000423F1" w:rsidRPr="0067507D" w:rsidRDefault="000423F1" w:rsidP="000423F1">
            <w:pPr>
              <w:pStyle w:val="Tabletextbold"/>
            </w:pPr>
            <w:r w:rsidRPr="0067507D">
              <w:t>Non</w:t>
            </w:r>
            <w:r w:rsidR="006A5485">
              <w:noBreakHyphen/>
            </w:r>
            <w:r w:rsidRPr="0067507D">
              <w:t>financial assets</w:t>
            </w:r>
          </w:p>
        </w:tc>
        <w:tc>
          <w:tcPr>
            <w:cnfStyle w:val="000010000000" w:firstRow="0" w:lastRow="0" w:firstColumn="0" w:lastColumn="0" w:oddVBand="1" w:evenVBand="0" w:oddHBand="0" w:evenHBand="0" w:firstRowFirstColumn="0" w:firstRowLastColumn="0" w:lastRowFirstColumn="0" w:lastRowLastColumn="0"/>
            <w:tcW w:w="1155" w:type="dxa"/>
          </w:tcPr>
          <w:p w14:paraId="5B4D88D9" w14:textId="77777777" w:rsidR="000423F1" w:rsidRPr="0067507D" w:rsidRDefault="000423F1" w:rsidP="000423F1">
            <w:pPr>
              <w:pStyle w:val="Tabletextright"/>
            </w:pPr>
          </w:p>
        </w:tc>
        <w:tc>
          <w:tcPr>
            <w:cnfStyle w:val="000001000000" w:firstRow="0" w:lastRow="0" w:firstColumn="0" w:lastColumn="0" w:oddVBand="0" w:evenVBand="1" w:oddHBand="0" w:evenHBand="0" w:firstRowFirstColumn="0" w:firstRowLastColumn="0" w:lastRowFirstColumn="0" w:lastRowLastColumn="0"/>
            <w:tcW w:w="1155" w:type="dxa"/>
          </w:tcPr>
          <w:p w14:paraId="0E3AC28B" w14:textId="77777777" w:rsidR="000423F1" w:rsidRPr="0067507D" w:rsidRDefault="000423F1" w:rsidP="000423F1">
            <w:pPr>
              <w:pStyle w:val="Tabletextright"/>
            </w:pPr>
          </w:p>
        </w:tc>
        <w:tc>
          <w:tcPr>
            <w:cnfStyle w:val="000010000000" w:firstRow="0" w:lastRow="0" w:firstColumn="0" w:lastColumn="0" w:oddVBand="1" w:evenVBand="0" w:oddHBand="0" w:evenHBand="0" w:firstRowFirstColumn="0" w:firstRowLastColumn="0" w:lastRowFirstColumn="0" w:lastRowLastColumn="0"/>
            <w:tcW w:w="1156" w:type="dxa"/>
            <w:noWrap/>
          </w:tcPr>
          <w:p w14:paraId="3A31315D" w14:textId="08C12E04" w:rsidR="000423F1" w:rsidRPr="0067507D" w:rsidRDefault="000423F1" w:rsidP="000423F1">
            <w:pPr>
              <w:pStyle w:val="Tabletextright"/>
            </w:pPr>
          </w:p>
        </w:tc>
      </w:tr>
      <w:tr w:rsidR="000423F1" w:rsidRPr="0067507D" w14:paraId="21D49C79"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7F4B80BE" w14:textId="03710CDF" w:rsidR="000423F1" w:rsidRPr="0067507D" w:rsidRDefault="000423F1" w:rsidP="000423F1">
            <w:pPr>
              <w:pStyle w:val="Tabletext"/>
              <w:rPr>
                <w:vertAlign w:val="superscript"/>
              </w:rPr>
            </w:pPr>
            <w:r w:rsidRPr="0067507D">
              <w:t>Property, plant, and equipment</w:t>
            </w:r>
          </w:p>
        </w:tc>
        <w:tc>
          <w:tcPr>
            <w:cnfStyle w:val="000010000000" w:firstRow="0" w:lastRow="0" w:firstColumn="0" w:lastColumn="0" w:oddVBand="1" w:evenVBand="0" w:oddHBand="0" w:evenHBand="0" w:firstRowFirstColumn="0" w:firstRowLastColumn="0" w:lastRowFirstColumn="0" w:lastRowLastColumn="0"/>
            <w:tcW w:w="1155" w:type="dxa"/>
          </w:tcPr>
          <w:p w14:paraId="01DCB1B4" w14:textId="2B2FE293" w:rsidR="000423F1" w:rsidRPr="0067507D" w:rsidRDefault="000423F1" w:rsidP="000423F1">
            <w:pPr>
              <w:pStyle w:val="Tabletextright"/>
            </w:pPr>
            <w:r w:rsidRPr="0067507D">
              <w:t>5</w:t>
            </w:r>
          </w:p>
        </w:tc>
        <w:tc>
          <w:tcPr>
            <w:cnfStyle w:val="000001000000" w:firstRow="0" w:lastRow="0" w:firstColumn="0" w:lastColumn="0" w:oddVBand="0" w:evenVBand="1" w:oddHBand="0" w:evenHBand="0" w:firstRowFirstColumn="0" w:firstRowLastColumn="0" w:lastRowFirstColumn="0" w:lastRowLastColumn="0"/>
            <w:tcW w:w="1155" w:type="dxa"/>
          </w:tcPr>
          <w:p w14:paraId="0E96E4D9" w14:textId="6713DE8B" w:rsidR="000423F1" w:rsidRPr="0067507D" w:rsidRDefault="000423F1" w:rsidP="000423F1">
            <w:pPr>
              <w:pStyle w:val="Tabletextright"/>
            </w:pPr>
            <w:r w:rsidRPr="0067507D">
              <w:t>3</w:t>
            </w:r>
          </w:p>
        </w:tc>
        <w:tc>
          <w:tcPr>
            <w:cnfStyle w:val="000010000000" w:firstRow="0" w:lastRow="0" w:firstColumn="0" w:lastColumn="0" w:oddVBand="1" w:evenVBand="0" w:oddHBand="0" w:evenHBand="0" w:firstRowFirstColumn="0" w:firstRowLastColumn="0" w:lastRowFirstColumn="0" w:lastRowLastColumn="0"/>
            <w:tcW w:w="1156" w:type="dxa"/>
            <w:noWrap/>
          </w:tcPr>
          <w:p w14:paraId="29D66B06" w14:textId="14BEAD3D" w:rsidR="000423F1" w:rsidRPr="0067507D" w:rsidRDefault="000423F1" w:rsidP="000423F1">
            <w:pPr>
              <w:pStyle w:val="Tabletextright"/>
            </w:pPr>
            <w:r w:rsidRPr="0067507D">
              <w:t>(2)</w:t>
            </w:r>
          </w:p>
        </w:tc>
      </w:tr>
      <w:tr w:rsidR="000423F1" w:rsidRPr="0067507D" w14:paraId="7F153FA6"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748398E2" w14:textId="2ACB1326" w:rsidR="000423F1" w:rsidRPr="0067507D" w:rsidRDefault="000423F1" w:rsidP="000423F1">
            <w:pPr>
              <w:pStyle w:val="Tabletext"/>
            </w:pPr>
            <w:r w:rsidRPr="0067507D">
              <w:t xml:space="preserve">Intangible assets </w:t>
            </w:r>
            <w:r w:rsidRPr="0067507D">
              <w:rPr>
                <w:vertAlign w:val="superscript"/>
              </w:rPr>
              <w:t>(c)</w:t>
            </w:r>
          </w:p>
        </w:tc>
        <w:tc>
          <w:tcPr>
            <w:cnfStyle w:val="000010000000" w:firstRow="0" w:lastRow="0" w:firstColumn="0" w:lastColumn="0" w:oddVBand="1" w:evenVBand="0" w:oddHBand="0" w:evenHBand="0" w:firstRowFirstColumn="0" w:firstRowLastColumn="0" w:lastRowFirstColumn="0" w:lastRowLastColumn="0"/>
            <w:tcW w:w="1155" w:type="dxa"/>
          </w:tcPr>
          <w:p w14:paraId="7E96A6BB" w14:textId="004D5CBB" w:rsidR="000423F1" w:rsidRPr="0067507D" w:rsidRDefault="000423F1" w:rsidP="000423F1">
            <w:pPr>
              <w:pStyle w:val="Tabletextright"/>
            </w:pPr>
            <w:r w:rsidRPr="0067507D">
              <w:t>46</w:t>
            </w:r>
          </w:p>
        </w:tc>
        <w:tc>
          <w:tcPr>
            <w:cnfStyle w:val="000001000000" w:firstRow="0" w:lastRow="0" w:firstColumn="0" w:lastColumn="0" w:oddVBand="0" w:evenVBand="1" w:oddHBand="0" w:evenHBand="0" w:firstRowFirstColumn="0" w:firstRowLastColumn="0" w:lastRowFirstColumn="0" w:lastRowLastColumn="0"/>
            <w:tcW w:w="1155" w:type="dxa"/>
          </w:tcPr>
          <w:p w14:paraId="778D0884" w14:textId="32EB2A6E" w:rsidR="000423F1" w:rsidRPr="0067507D" w:rsidRDefault="000423F1" w:rsidP="000423F1">
            <w:pPr>
              <w:pStyle w:val="Tabletextright"/>
            </w:pPr>
            <w:r w:rsidRPr="0067507D">
              <w:t>43</w:t>
            </w:r>
          </w:p>
        </w:tc>
        <w:tc>
          <w:tcPr>
            <w:cnfStyle w:val="000010000000" w:firstRow="0" w:lastRow="0" w:firstColumn="0" w:lastColumn="0" w:oddVBand="1" w:evenVBand="0" w:oddHBand="0" w:evenHBand="0" w:firstRowFirstColumn="0" w:firstRowLastColumn="0" w:lastRowFirstColumn="0" w:lastRowLastColumn="0"/>
            <w:tcW w:w="1156" w:type="dxa"/>
            <w:noWrap/>
          </w:tcPr>
          <w:p w14:paraId="44AB6A2E" w14:textId="287AE801" w:rsidR="000423F1" w:rsidRPr="0067507D" w:rsidRDefault="000423F1" w:rsidP="000423F1">
            <w:pPr>
              <w:pStyle w:val="Tabletextright"/>
            </w:pPr>
            <w:r w:rsidRPr="0067507D">
              <w:t>(3)</w:t>
            </w:r>
          </w:p>
        </w:tc>
      </w:tr>
      <w:tr w:rsidR="000423F1" w:rsidRPr="0067507D" w14:paraId="5C5A2AF5"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6D37B472" w14:textId="1DDC5289" w:rsidR="000423F1" w:rsidRPr="0067507D" w:rsidRDefault="000423F1" w:rsidP="000423F1">
            <w:pPr>
              <w:pStyle w:val="Tabletext"/>
            </w:pPr>
            <w:r w:rsidRPr="0067507D">
              <w:t>Other</w:t>
            </w:r>
          </w:p>
        </w:tc>
        <w:tc>
          <w:tcPr>
            <w:cnfStyle w:val="000010000000" w:firstRow="0" w:lastRow="0" w:firstColumn="0" w:lastColumn="0" w:oddVBand="1" w:evenVBand="0" w:oddHBand="0" w:evenHBand="0" w:firstRowFirstColumn="0" w:firstRowLastColumn="0" w:lastRowFirstColumn="0" w:lastRowLastColumn="0"/>
            <w:tcW w:w="1155" w:type="dxa"/>
          </w:tcPr>
          <w:p w14:paraId="2CD069AD" w14:textId="02C79628" w:rsidR="000423F1" w:rsidRPr="0067507D" w:rsidRDefault="000423F1" w:rsidP="000423F1">
            <w:pPr>
              <w:pStyle w:val="Tabletextright"/>
            </w:pPr>
            <w:r w:rsidRPr="0067507D">
              <w:t>4</w:t>
            </w:r>
          </w:p>
        </w:tc>
        <w:tc>
          <w:tcPr>
            <w:cnfStyle w:val="000001000000" w:firstRow="0" w:lastRow="0" w:firstColumn="0" w:lastColumn="0" w:oddVBand="0" w:evenVBand="1" w:oddHBand="0" w:evenHBand="0" w:firstRowFirstColumn="0" w:firstRowLastColumn="0" w:lastRowFirstColumn="0" w:lastRowLastColumn="0"/>
            <w:tcW w:w="1155" w:type="dxa"/>
          </w:tcPr>
          <w:p w14:paraId="0D125E0C" w14:textId="3DD83660" w:rsidR="000423F1" w:rsidRPr="0067507D" w:rsidRDefault="000423F1" w:rsidP="000423F1">
            <w:pPr>
              <w:pStyle w:val="Tabletextright"/>
            </w:pPr>
            <w:r w:rsidRPr="0067507D">
              <w:t>6</w:t>
            </w:r>
          </w:p>
        </w:tc>
        <w:tc>
          <w:tcPr>
            <w:cnfStyle w:val="000010000000" w:firstRow="0" w:lastRow="0" w:firstColumn="0" w:lastColumn="0" w:oddVBand="1" w:evenVBand="0" w:oddHBand="0" w:evenHBand="0" w:firstRowFirstColumn="0" w:firstRowLastColumn="0" w:lastRowFirstColumn="0" w:lastRowLastColumn="0"/>
            <w:tcW w:w="1156" w:type="dxa"/>
            <w:noWrap/>
          </w:tcPr>
          <w:p w14:paraId="0ACC580A" w14:textId="12070565" w:rsidR="000423F1" w:rsidRPr="0067507D" w:rsidRDefault="000423F1" w:rsidP="000423F1">
            <w:pPr>
              <w:pStyle w:val="Tabletextright"/>
            </w:pPr>
            <w:r w:rsidRPr="0067507D">
              <w:t>2</w:t>
            </w:r>
          </w:p>
        </w:tc>
      </w:tr>
      <w:tr w:rsidR="000423F1" w:rsidRPr="0067507D" w14:paraId="6CB9E81C"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0A2EE31B" w14:textId="14DAF28F" w:rsidR="000423F1" w:rsidRPr="0067507D" w:rsidRDefault="000423F1" w:rsidP="000423F1">
            <w:pPr>
              <w:pStyle w:val="Tabletextbold"/>
            </w:pPr>
            <w:r w:rsidRPr="0067507D">
              <w:t>Total non</w:t>
            </w:r>
            <w:r w:rsidR="006A5485">
              <w:noBreakHyphen/>
            </w:r>
            <w:r w:rsidRPr="0067507D">
              <w:t>financial assets</w:t>
            </w:r>
          </w:p>
        </w:tc>
        <w:tc>
          <w:tcPr>
            <w:cnfStyle w:val="000010000000" w:firstRow="0" w:lastRow="0" w:firstColumn="0" w:lastColumn="0" w:oddVBand="1" w:evenVBand="0" w:oddHBand="0" w:evenHBand="0" w:firstRowFirstColumn="0" w:firstRowLastColumn="0" w:lastRowFirstColumn="0" w:lastRowLastColumn="0"/>
            <w:tcW w:w="1155" w:type="dxa"/>
          </w:tcPr>
          <w:p w14:paraId="18F61BB8" w14:textId="2AAAE369" w:rsidR="000423F1" w:rsidRPr="0067507D" w:rsidRDefault="000423F1" w:rsidP="000423F1">
            <w:pPr>
              <w:pStyle w:val="Tabletextrightbold"/>
            </w:pPr>
            <w:r w:rsidRPr="0067507D">
              <w:t>55</w:t>
            </w:r>
          </w:p>
        </w:tc>
        <w:tc>
          <w:tcPr>
            <w:cnfStyle w:val="000001000000" w:firstRow="0" w:lastRow="0" w:firstColumn="0" w:lastColumn="0" w:oddVBand="0" w:evenVBand="1" w:oddHBand="0" w:evenHBand="0" w:firstRowFirstColumn="0" w:firstRowLastColumn="0" w:lastRowFirstColumn="0" w:lastRowLastColumn="0"/>
            <w:tcW w:w="1155" w:type="dxa"/>
          </w:tcPr>
          <w:p w14:paraId="43CB3E14" w14:textId="78E2F826" w:rsidR="000423F1" w:rsidRPr="0067507D" w:rsidRDefault="000423F1" w:rsidP="000423F1">
            <w:pPr>
              <w:pStyle w:val="Tabletextrightbold"/>
            </w:pPr>
            <w:r w:rsidRPr="0067507D">
              <w:t>52</w:t>
            </w:r>
          </w:p>
        </w:tc>
        <w:tc>
          <w:tcPr>
            <w:cnfStyle w:val="000010000000" w:firstRow="0" w:lastRow="0" w:firstColumn="0" w:lastColumn="0" w:oddVBand="1" w:evenVBand="0" w:oddHBand="0" w:evenHBand="0" w:firstRowFirstColumn="0" w:firstRowLastColumn="0" w:lastRowFirstColumn="0" w:lastRowLastColumn="0"/>
            <w:tcW w:w="1156" w:type="dxa"/>
            <w:noWrap/>
          </w:tcPr>
          <w:p w14:paraId="518815D2" w14:textId="0BF6832F" w:rsidR="000423F1" w:rsidRPr="0067507D" w:rsidRDefault="000423F1" w:rsidP="000423F1">
            <w:pPr>
              <w:pStyle w:val="Tabletextrightbold"/>
            </w:pPr>
            <w:r w:rsidRPr="0067507D">
              <w:t>(3)</w:t>
            </w:r>
          </w:p>
        </w:tc>
      </w:tr>
      <w:tr w:rsidR="000423F1" w:rsidRPr="0067507D" w14:paraId="26102B83"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330A7DAC" w14:textId="49D7D4C0" w:rsidR="000423F1" w:rsidRPr="0067507D" w:rsidRDefault="000423F1" w:rsidP="000423F1">
            <w:pPr>
              <w:pStyle w:val="Tabletextbold"/>
            </w:pPr>
            <w:r w:rsidRPr="0067507D">
              <w:t>Total assets</w:t>
            </w:r>
          </w:p>
        </w:tc>
        <w:tc>
          <w:tcPr>
            <w:cnfStyle w:val="000010000000" w:firstRow="0" w:lastRow="0" w:firstColumn="0" w:lastColumn="0" w:oddVBand="1" w:evenVBand="0" w:oddHBand="0" w:evenHBand="0" w:firstRowFirstColumn="0" w:firstRowLastColumn="0" w:lastRowFirstColumn="0" w:lastRowLastColumn="0"/>
            <w:tcW w:w="1155" w:type="dxa"/>
          </w:tcPr>
          <w:p w14:paraId="51CFBCB1" w14:textId="3656D52C" w:rsidR="000423F1" w:rsidRPr="0067507D" w:rsidRDefault="000423F1" w:rsidP="000423F1">
            <w:pPr>
              <w:pStyle w:val="Tabletextrightbold"/>
            </w:pPr>
            <w:r w:rsidRPr="0067507D">
              <w:t>250</w:t>
            </w:r>
          </w:p>
        </w:tc>
        <w:tc>
          <w:tcPr>
            <w:cnfStyle w:val="000001000000" w:firstRow="0" w:lastRow="0" w:firstColumn="0" w:lastColumn="0" w:oddVBand="0" w:evenVBand="1" w:oddHBand="0" w:evenHBand="0" w:firstRowFirstColumn="0" w:firstRowLastColumn="0" w:lastRowFirstColumn="0" w:lastRowLastColumn="0"/>
            <w:tcW w:w="1155" w:type="dxa"/>
          </w:tcPr>
          <w:p w14:paraId="348400EF" w14:textId="3C3CCD21" w:rsidR="000423F1" w:rsidRPr="0067507D" w:rsidRDefault="000423F1" w:rsidP="000423F1">
            <w:pPr>
              <w:pStyle w:val="Tabletextrightbold"/>
            </w:pPr>
            <w:r w:rsidRPr="0067507D">
              <w:t>227</w:t>
            </w:r>
          </w:p>
        </w:tc>
        <w:tc>
          <w:tcPr>
            <w:cnfStyle w:val="000010000000" w:firstRow="0" w:lastRow="0" w:firstColumn="0" w:lastColumn="0" w:oddVBand="1" w:evenVBand="0" w:oddHBand="0" w:evenHBand="0" w:firstRowFirstColumn="0" w:firstRowLastColumn="0" w:lastRowFirstColumn="0" w:lastRowLastColumn="0"/>
            <w:tcW w:w="1156" w:type="dxa"/>
            <w:noWrap/>
          </w:tcPr>
          <w:p w14:paraId="6180D249" w14:textId="7A28F98C" w:rsidR="000423F1" w:rsidRPr="0067507D" w:rsidRDefault="000423F1" w:rsidP="000423F1">
            <w:pPr>
              <w:pStyle w:val="Tabletextrightbold"/>
            </w:pPr>
            <w:r w:rsidRPr="0067507D">
              <w:t>(23)</w:t>
            </w:r>
          </w:p>
        </w:tc>
      </w:tr>
      <w:tr w:rsidR="000423F1" w:rsidRPr="0067507D" w14:paraId="7F292043"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55621722" w14:textId="77777777" w:rsidR="000423F1" w:rsidRPr="0067507D" w:rsidRDefault="000423F1" w:rsidP="000423F1">
            <w:pPr>
              <w:pStyle w:val="Tabletext"/>
            </w:pPr>
          </w:p>
        </w:tc>
        <w:tc>
          <w:tcPr>
            <w:cnfStyle w:val="000010000000" w:firstRow="0" w:lastRow="0" w:firstColumn="0" w:lastColumn="0" w:oddVBand="1" w:evenVBand="0" w:oddHBand="0" w:evenHBand="0" w:firstRowFirstColumn="0" w:firstRowLastColumn="0" w:lastRowFirstColumn="0" w:lastRowLastColumn="0"/>
            <w:tcW w:w="1155" w:type="dxa"/>
          </w:tcPr>
          <w:p w14:paraId="6B75D8AB" w14:textId="77777777" w:rsidR="000423F1" w:rsidRPr="0067507D" w:rsidRDefault="000423F1" w:rsidP="000423F1">
            <w:pPr>
              <w:pStyle w:val="Tabletextright"/>
            </w:pPr>
          </w:p>
        </w:tc>
        <w:tc>
          <w:tcPr>
            <w:cnfStyle w:val="000001000000" w:firstRow="0" w:lastRow="0" w:firstColumn="0" w:lastColumn="0" w:oddVBand="0" w:evenVBand="1" w:oddHBand="0" w:evenHBand="0" w:firstRowFirstColumn="0" w:firstRowLastColumn="0" w:lastRowFirstColumn="0" w:lastRowLastColumn="0"/>
            <w:tcW w:w="1155" w:type="dxa"/>
          </w:tcPr>
          <w:p w14:paraId="2F1E4553" w14:textId="77777777" w:rsidR="000423F1" w:rsidRPr="0067507D" w:rsidRDefault="000423F1" w:rsidP="000423F1">
            <w:pPr>
              <w:pStyle w:val="Tabletextright"/>
            </w:pPr>
          </w:p>
        </w:tc>
        <w:tc>
          <w:tcPr>
            <w:cnfStyle w:val="000010000000" w:firstRow="0" w:lastRow="0" w:firstColumn="0" w:lastColumn="0" w:oddVBand="1" w:evenVBand="0" w:oddHBand="0" w:evenHBand="0" w:firstRowFirstColumn="0" w:firstRowLastColumn="0" w:lastRowFirstColumn="0" w:lastRowLastColumn="0"/>
            <w:tcW w:w="1156" w:type="dxa"/>
            <w:noWrap/>
          </w:tcPr>
          <w:p w14:paraId="0549E6D5" w14:textId="2506384F" w:rsidR="000423F1" w:rsidRPr="0067507D" w:rsidRDefault="000423F1" w:rsidP="000423F1">
            <w:pPr>
              <w:pStyle w:val="Tabletextright"/>
            </w:pPr>
          </w:p>
        </w:tc>
      </w:tr>
      <w:tr w:rsidR="000423F1" w:rsidRPr="0067507D" w14:paraId="6EC7C79D"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67C7B4F5" w14:textId="5B6A486E" w:rsidR="000423F1" w:rsidRPr="0067507D" w:rsidRDefault="000423F1" w:rsidP="000423F1">
            <w:pPr>
              <w:pStyle w:val="Tabletextbold"/>
            </w:pPr>
            <w:r w:rsidRPr="0067507D">
              <w:t>Liabilities</w:t>
            </w:r>
          </w:p>
        </w:tc>
        <w:tc>
          <w:tcPr>
            <w:cnfStyle w:val="000010000000" w:firstRow="0" w:lastRow="0" w:firstColumn="0" w:lastColumn="0" w:oddVBand="1" w:evenVBand="0" w:oddHBand="0" w:evenHBand="0" w:firstRowFirstColumn="0" w:firstRowLastColumn="0" w:lastRowFirstColumn="0" w:lastRowLastColumn="0"/>
            <w:tcW w:w="1155" w:type="dxa"/>
          </w:tcPr>
          <w:p w14:paraId="57D4723F" w14:textId="77777777" w:rsidR="000423F1" w:rsidRPr="0067507D" w:rsidRDefault="000423F1" w:rsidP="000423F1">
            <w:pPr>
              <w:pStyle w:val="Tabletextright"/>
            </w:pPr>
          </w:p>
        </w:tc>
        <w:tc>
          <w:tcPr>
            <w:cnfStyle w:val="000001000000" w:firstRow="0" w:lastRow="0" w:firstColumn="0" w:lastColumn="0" w:oddVBand="0" w:evenVBand="1" w:oddHBand="0" w:evenHBand="0" w:firstRowFirstColumn="0" w:firstRowLastColumn="0" w:lastRowFirstColumn="0" w:lastRowLastColumn="0"/>
            <w:tcW w:w="1155" w:type="dxa"/>
          </w:tcPr>
          <w:p w14:paraId="7375F657" w14:textId="77777777" w:rsidR="000423F1" w:rsidRPr="0067507D" w:rsidRDefault="000423F1" w:rsidP="000423F1">
            <w:pPr>
              <w:pStyle w:val="Tabletextright"/>
            </w:pPr>
          </w:p>
        </w:tc>
        <w:tc>
          <w:tcPr>
            <w:cnfStyle w:val="000010000000" w:firstRow="0" w:lastRow="0" w:firstColumn="0" w:lastColumn="0" w:oddVBand="1" w:evenVBand="0" w:oddHBand="0" w:evenHBand="0" w:firstRowFirstColumn="0" w:firstRowLastColumn="0" w:lastRowFirstColumn="0" w:lastRowLastColumn="0"/>
            <w:tcW w:w="1156" w:type="dxa"/>
            <w:noWrap/>
          </w:tcPr>
          <w:p w14:paraId="15DD886F" w14:textId="3460339B" w:rsidR="000423F1" w:rsidRPr="0067507D" w:rsidRDefault="000423F1" w:rsidP="000423F1">
            <w:pPr>
              <w:pStyle w:val="Tabletextright"/>
            </w:pPr>
          </w:p>
        </w:tc>
      </w:tr>
      <w:tr w:rsidR="000423F1" w:rsidRPr="0067507D" w14:paraId="3B5790F3"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0141C235" w14:textId="47703799" w:rsidR="000423F1" w:rsidRPr="0067507D" w:rsidRDefault="000423F1" w:rsidP="000423F1">
            <w:pPr>
              <w:pStyle w:val="Tabletext"/>
            </w:pPr>
            <w:r w:rsidRPr="0067507D">
              <w:t xml:space="preserve">Payables </w:t>
            </w:r>
            <w:r w:rsidRPr="0067507D">
              <w:rPr>
                <w:vertAlign w:val="superscript"/>
              </w:rPr>
              <w:t>(d)</w:t>
            </w:r>
          </w:p>
        </w:tc>
        <w:tc>
          <w:tcPr>
            <w:cnfStyle w:val="000010000000" w:firstRow="0" w:lastRow="0" w:firstColumn="0" w:lastColumn="0" w:oddVBand="1" w:evenVBand="0" w:oddHBand="0" w:evenHBand="0" w:firstRowFirstColumn="0" w:firstRowLastColumn="0" w:lastRowFirstColumn="0" w:lastRowLastColumn="0"/>
            <w:tcW w:w="1155" w:type="dxa"/>
          </w:tcPr>
          <w:p w14:paraId="010E5338" w14:textId="03964428" w:rsidR="000423F1" w:rsidRPr="0067507D" w:rsidRDefault="000423F1" w:rsidP="000423F1">
            <w:pPr>
              <w:pStyle w:val="Tabletextright"/>
            </w:pPr>
            <w:r w:rsidRPr="0067507D">
              <w:t>93</w:t>
            </w:r>
          </w:p>
        </w:tc>
        <w:tc>
          <w:tcPr>
            <w:cnfStyle w:val="000001000000" w:firstRow="0" w:lastRow="0" w:firstColumn="0" w:lastColumn="0" w:oddVBand="0" w:evenVBand="1" w:oddHBand="0" w:evenHBand="0" w:firstRowFirstColumn="0" w:firstRowLastColumn="0" w:lastRowFirstColumn="0" w:lastRowLastColumn="0"/>
            <w:tcW w:w="1155" w:type="dxa"/>
          </w:tcPr>
          <w:p w14:paraId="52C41B95" w14:textId="36C16BDA" w:rsidR="000423F1" w:rsidRPr="0067507D" w:rsidRDefault="000423F1" w:rsidP="000423F1">
            <w:pPr>
              <w:pStyle w:val="Tabletextright"/>
            </w:pPr>
            <w:r w:rsidRPr="0067507D">
              <w:t>72</w:t>
            </w:r>
          </w:p>
        </w:tc>
        <w:tc>
          <w:tcPr>
            <w:cnfStyle w:val="000010000000" w:firstRow="0" w:lastRow="0" w:firstColumn="0" w:lastColumn="0" w:oddVBand="1" w:evenVBand="0" w:oddHBand="0" w:evenHBand="0" w:firstRowFirstColumn="0" w:firstRowLastColumn="0" w:lastRowFirstColumn="0" w:lastRowLastColumn="0"/>
            <w:tcW w:w="1156" w:type="dxa"/>
            <w:noWrap/>
          </w:tcPr>
          <w:p w14:paraId="197868C2" w14:textId="1CAAE177" w:rsidR="000423F1" w:rsidRPr="0067507D" w:rsidRDefault="000423F1" w:rsidP="000423F1">
            <w:pPr>
              <w:pStyle w:val="Tabletextright"/>
            </w:pPr>
            <w:r w:rsidRPr="0067507D">
              <w:t>(21)</w:t>
            </w:r>
          </w:p>
        </w:tc>
      </w:tr>
      <w:tr w:rsidR="000423F1" w:rsidRPr="0067507D" w14:paraId="597C0427"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29609624" w14:textId="4B1BC22A" w:rsidR="000423F1" w:rsidRPr="0067507D" w:rsidRDefault="000423F1" w:rsidP="000423F1">
            <w:pPr>
              <w:pStyle w:val="Tabletext"/>
            </w:pPr>
            <w:r w:rsidRPr="0067507D">
              <w:t xml:space="preserve">Borrowings </w:t>
            </w:r>
          </w:p>
        </w:tc>
        <w:tc>
          <w:tcPr>
            <w:cnfStyle w:val="000010000000" w:firstRow="0" w:lastRow="0" w:firstColumn="0" w:lastColumn="0" w:oddVBand="1" w:evenVBand="0" w:oddHBand="0" w:evenHBand="0" w:firstRowFirstColumn="0" w:firstRowLastColumn="0" w:lastRowFirstColumn="0" w:lastRowLastColumn="0"/>
            <w:tcW w:w="1155" w:type="dxa"/>
          </w:tcPr>
          <w:p w14:paraId="118245DA" w14:textId="35536250" w:rsidR="000423F1" w:rsidRPr="0067507D" w:rsidRDefault="000423F1" w:rsidP="000423F1">
            <w:pPr>
              <w:pStyle w:val="Tabletextright"/>
            </w:pPr>
            <w:r w:rsidRPr="0067507D">
              <w:t>3</w:t>
            </w:r>
          </w:p>
        </w:tc>
        <w:tc>
          <w:tcPr>
            <w:cnfStyle w:val="000001000000" w:firstRow="0" w:lastRow="0" w:firstColumn="0" w:lastColumn="0" w:oddVBand="0" w:evenVBand="1" w:oddHBand="0" w:evenHBand="0" w:firstRowFirstColumn="0" w:firstRowLastColumn="0" w:lastRowFirstColumn="0" w:lastRowLastColumn="0"/>
            <w:tcW w:w="1155" w:type="dxa"/>
          </w:tcPr>
          <w:p w14:paraId="796CB113" w14:textId="5AEF61EA" w:rsidR="000423F1" w:rsidRPr="0067507D" w:rsidRDefault="000423F1" w:rsidP="000423F1">
            <w:pPr>
              <w:pStyle w:val="Tabletextright"/>
            </w:pPr>
            <w:r w:rsidRPr="0067507D">
              <w:t>3</w:t>
            </w:r>
          </w:p>
        </w:tc>
        <w:tc>
          <w:tcPr>
            <w:cnfStyle w:val="000010000000" w:firstRow="0" w:lastRow="0" w:firstColumn="0" w:lastColumn="0" w:oddVBand="1" w:evenVBand="0" w:oddHBand="0" w:evenHBand="0" w:firstRowFirstColumn="0" w:firstRowLastColumn="0" w:lastRowFirstColumn="0" w:lastRowLastColumn="0"/>
            <w:tcW w:w="1156" w:type="dxa"/>
            <w:noWrap/>
          </w:tcPr>
          <w:p w14:paraId="6E8E05A9" w14:textId="6180AB46" w:rsidR="000423F1" w:rsidRPr="0067507D" w:rsidRDefault="00CA711C" w:rsidP="000423F1">
            <w:pPr>
              <w:pStyle w:val="Tabletextright"/>
            </w:pPr>
            <w:r w:rsidRPr="0067507D">
              <w:t>–</w:t>
            </w:r>
          </w:p>
        </w:tc>
      </w:tr>
      <w:tr w:rsidR="000423F1" w:rsidRPr="0067507D" w14:paraId="3172B6E6"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05B82B68" w14:textId="0C89C9EF" w:rsidR="000423F1" w:rsidRPr="0067507D" w:rsidRDefault="000423F1" w:rsidP="000423F1">
            <w:pPr>
              <w:pStyle w:val="Tabletext"/>
            </w:pPr>
            <w:r w:rsidRPr="0067507D">
              <w:t>Provisions</w:t>
            </w:r>
          </w:p>
        </w:tc>
        <w:tc>
          <w:tcPr>
            <w:cnfStyle w:val="000010000000" w:firstRow="0" w:lastRow="0" w:firstColumn="0" w:lastColumn="0" w:oddVBand="1" w:evenVBand="0" w:oddHBand="0" w:evenHBand="0" w:firstRowFirstColumn="0" w:firstRowLastColumn="0" w:lastRowFirstColumn="0" w:lastRowLastColumn="0"/>
            <w:tcW w:w="1155" w:type="dxa"/>
          </w:tcPr>
          <w:p w14:paraId="5472FA9F" w14:textId="2C8C3975" w:rsidR="000423F1" w:rsidRPr="0067507D" w:rsidRDefault="000423F1" w:rsidP="000423F1">
            <w:pPr>
              <w:pStyle w:val="Tabletextright"/>
            </w:pPr>
            <w:r w:rsidRPr="0067507D">
              <w:t>67</w:t>
            </w:r>
          </w:p>
        </w:tc>
        <w:tc>
          <w:tcPr>
            <w:cnfStyle w:val="000001000000" w:firstRow="0" w:lastRow="0" w:firstColumn="0" w:lastColumn="0" w:oddVBand="0" w:evenVBand="1" w:oddHBand="0" w:evenHBand="0" w:firstRowFirstColumn="0" w:firstRowLastColumn="0" w:lastRowFirstColumn="0" w:lastRowLastColumn="0"/>
            <w:tcW w:w="1155" w:type="dxa"/>
          </w:tcPr>
          <w:p w14:paraId="0565E317" w14:textId="1A85031D" w:rsidR="000423F1" w:rsidRPr="0067507D" w:rsidRDefault="000423F1" w:rsidP="000423F1">
            <w:pPr>
              <w:pStyle w:val="Tabletextright"/>
            </w:pPr>
            <w:r w:rsidRPr="0067507D">
              <w:t>69</w:t>
            </w:r>
          </w:p>
        </w:tc>
        <w:tc>
          <w:tcPr>
            <w:cnfStyle w:val="000010000000" w:firstRow="0" w:lastRow="0" w:firstColumn="0" w:lastColumn="0" w:oddVBand="1" w:evenVBand="0" w:oddHBand="0" w:evenHBand="0" w:firstRowFirstColumn="0" w:firstRowLastColumn="0" w:lastRowFirstColumn="0" w:lastRowLastColumn="0"/>
            <w:tcW w:w="1156" w:type="dxa"/>
            <w:noWrap/>
          </w:tcPr>
          <w:p w14:paraId="2994183D" w14:textId="0990F0DA" w:rsidR="000423F1" w:rsidRPr="0067507D" w:rsidRDefault="000423F1" w:rsidP="000423F1">
            <w:pPr>
              <w:pStyle w:val="Tabletextright"/>
            </w:pPr>
            <w:r w:rsidRPr="0067507D">
              <w:t>2</w:t>
            </w:r>
          </w:p>
        </w:tc>
      </w:tr>
      <w:tr w:rsidR="000423F1" w:rsidRPr="0067507D" w14:paraId="7B0195E1"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18DF6E1F" w14:textId="01B1555A" w:rsidR="000423F1" w:rsidRPr="0067507D" w:rsidRDefault="000423F1" w:rsidP="000423F1">
            <w:pPr>
              <w:pStyle w:val="Tabletextbold"/>
            </w:pPr>
            <w:r w:rsidRPr="0067507D">
              <w:t>Total liabilities</w:t>
            </w:r>
          </w:p>
        </w:tc>
        <w:tc>
          <w:tcPr>
            <w:cnfStyle w:val="000010000000" w:firstRow="0" w:lastRow="0" w:firstColumn="0" w:lastColumn="0" w:oddVBand="1" w:evenVBand="0" w:oddHBand="0" w:evenHBand="0" w:firstRowFirstColumn="0" w:firstRowLastColumn="0" w:lastRowFirstColumn="0" w:lastRowLastColumn="0"/>
            <w:tcW w:w="1155" w:type="dxa"/>
          </w:tcPr>
          <w:p w14:paraId="3FB7880F" w14:textId="7BD53F8E" w:rsidR="000423F1" w:rsidRPr="0067507D" w:rsidRDefault="000423F1" w:rsidP="000423F1">
            <w:pPr>
              <w:pStyle w:val="Tabletextrightbold"/>
            </w:pPr>
            <w:r w:rsidRPr="0067507D">
              <w:t>163</w:t>
            </w:r>
          </w:p>
        </w:tc>
        <w:tc>
          <w:tcPr>
            <w:cnfStyle w:val="000001000000" w:firstRow="0" w:lastRow="0" w:firstColumn="0" w:lastColumn="0" w:oddVBand="0" w:evenVBand="1" w:oddHBand="0" w:evenHBand="0" w:firstRowFirstColumn="0" w:firstRowLastColumn="0" w:lastRowFirstColumn="0" w:lastRowLastColumn="0"/>
            <w:tcW w:w="1155" w:type="dxa"/>
          </w:tcPr>
          <w:p w14:paraId="4E906990" w14:textId="3EF42A7D" w:rsidR="000423F1" w:rsidRPr="0067507D" w:rsidRDefault="000423F1" w:rsidP="000423F1">
            <w:pPr>
              <w:pStyle w:val="Tabletextrightbold"/>
            </w:pPr>
            <w:r w:rsidRPr="0067507D">
              <w:t>144</w:t>
            </w:r>
          </w:p>
        </w:tc>
        <w:tc>
          <w:tcPr>
            <w:cnfStyle w:val="000010000000" w:firstRow="0" w:lastRow="0" w:firstColumn="0" w:lastColumn="0" w:oddVBand="1" w:evenVBand="0" w:oddHBand="0" w:evenHBand="0" w:firstRowFirstColumn="0" w:firstRowLastColumn="0" w:lastRowFirstColumn="0" w:lastRowLastColumn="0"/>
            <w:tcW w:w="1156" w:type="dxa"/>
            <w:noWrap/>
          </w:tcPr>
          <w:p w14:paraId="35BEFD20" w14:textId="0E1BCCB5" w:rsidR="000423F1" w:rsidRPr="0067507D" w:rsidRDefault="000423F1" w:rsidP="000423F1">
            <w:pPr>
              <w:pStyle w:val="Tabletextrightbold"/>
            </w:pPr>
            <w:r w:rsidRPr="0067507D">
              <w:t>(19)</w:t>
            </w:r>
          </w:p>
        </w:tc>
      </w:tr>
      <w:tr w:rsidR="000423F1" w:rsidRPr="0067507D" w14:paraId="71266D1C"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06DFD01A" w14:textId="713B8717" w:rsidR="000423F1" w:rsidRPr="0067507D" w:rsidRDefault="000423F1" w:rsidP="000423F1">
            <w:pPr>
              <w:pStyle w:val="Tabletextbold"/>
            </w:pPr>
            <w:r w:rsidRPr="0067507D">
              <w:t>Net assets</w:t>
            </w:r>
          </w:p>
        </w:tc>
        <w:tc>
          <w:tcPr>
            <w:cnfStyle w:val="000010000000" w:firstRow="0" w:lastRow="0" w:firstColumn="0" w:lastColumn="0" w:oddVBand="1" w:evenVBand="0" w:oddHBand="0" w:evenHBand="0" w:firstRowFirstColumn="0" w:firstRowLastColumn="0" w:lastRowFirstColumn="0" w:lastRowLastColumn="0"/>
            <w:tcW w:w="1155" w:type="dxa"/>
          </w:tcPr>
          <w:p w14:paraId="34A5F719" w14:textId="380ED9A6" w:rsidR="000423F1" w:rsidRPr="0067507D" w:rsidRDefault="000423F1" w:rsidP="000423F1">
            <w:pPr>
              <w:pStyle w:val="Tabletextrightbold"/>
            </w:pPr>
            <w:r w:rsidRPr="0067507D">
              <w:t>87</w:t>
            </w:r>
          </w:p>
        </w:tc>
        <w:tc>
          <w:tcPr>
            <w:cnfStyle w:val="000001000000" w:firstRow="0" w:lastRow="0" w:firstColumn="0" w:lastColumn="0" w:oddVBand="0" w:evenVBand="1" w:oddHBand="0" w:evenHBand="0" w:firstRowFirstColumn="0" w:firstRowLastColumn="0" w:lastRowFirstColumn="0" w:lastRowLastColumn="0"/>
            <w:tcW w:w="1155" w:type="dxa"/>
          </w:tcPr>
          <w:p w14:paraId="533F368F" w14:textId="2CC07FC9" w:rsidR="000423F1" w:rsidRPr="0067507D" w:rsidRDefault="000423F1" w:rsidP="000423F1">
            <w:pPr>
              <w:pStyle w:val="Tabletextrightbold"/>
            </w:pPr>
            <w:r w:rsidRPr="0067507D">
              <w:t>83</w:t>
            </w:r>
          </w:p>
        </w:tc>
        <w:tc>
          <w:tcPr>
            <w:cnfStyle w:val="000010000000" w:firstRow="0" w:lastRow="0" w:firstColumn="0" w:lastColumn="0" w:oddVBand="1" w:evenVBand="0" w:oddHBand="0" w:evenHBand="0" w:firstRowFirstColumn="0" w:firstRowLastColumn="0" w:lastRowFirstColumn="0" w:lastRowLastColumn="0"/>
            <w:tcW w:w="1156" w:type="dxa"/>
            <w:noWrap/>
          </w:tcPr>
          <w:p w14:paraId="5DC53245" w14:textId="2D875A72" w:rsidR="000423F1" w:rsidRPr="0067507D" w:rsidRDefault="000423F1" w:rsidP="000423F1">
            <w:pPr>
              <w:pStyle w:val="Tabletextrightbold"/>
            </w:pPr>
            <w:r w:rsidRPr="0067507D">
              <w:t>(4)</w:t>
            </w:r>
          </w:p>
        </w:tc>
      </w:tr>
      <w:tr w:rsidR="000423F1" w:rsidRPr="0067507D" w14:paraId="36AE5054"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6A34C886" w14:textId="77777777" w:rsidR="000423F1" w:rsidRPr="0067507D" w:rsidRDefault="000423F1" w:rsidP="000423F1">
            <w:pPr>
              <w:pStyle w:val="Tabletext"/>
              <w:rPr>
                <w:rFonts w:ascii="Arial" w:hAnsi="Arial"/>
              </w:rPr>
            </w:pPr>
          </w:p>
        </w:tc>
        <w:tc>
          <w:tcPr>
            <w:cnfStyle w:val="000010000000" w:firstRow="0" w:lastRow="0" w:firstColumn="0" w:lastColumn="0" w:oddVBand="1" w:evenVBand="0" w:oddHBand="0" w:evenHBand="0" w:firstRowFirstColumn="0" w:firstRowLastColumn="0" w:lastRowFirstColumn="0" w:lastRowLastColumn="0"/>
            <w:tcW w:w="1155" w:type="dxa"/>
          </w:tcPr>
          <w:p w14:paraId="73386E23" w14:textId="77777777" w:rsidR="000423F1" w:rsidRPr="0067507D" w:rsidRDefault="000423F1" w:rsidP="000423F1">
            <w:pPr>
              <w:pStyle w:val="Tabletextright"/>
            </w:pPr>
          </w:p>
        </w:tc>
        <w:tc>
          <w:tcPr>
            <w:cnfStyle w:val="000001000000" w:firstRow="0" w:lastRow="0" w:firstColumn="0" w:lastColumn="0" w:oddVBand="0" w:evenVBand="1" w:oddHBand="0" w:evenHBand="0" w:firstRowFirstColumn="0" w:firstRowLastColumn="0" w:lastRowFirstColumn="0" w:lastRowLastColumn="0"/>
            <w:tcW w:w="1155" w:type="dxa"/>
          </w:tcPr>
          <w:p w14:paraId="05FDB88A" w14:textId="77777777" w:rsidR="000423F1" w:rsidRPr="0067507D" w:rsidRDefault="000423F1" w:rsidP="000423F1">
            <w:pPr>
              <w:pStyle w:val="Tabletextright"/>
            </w:pPr>
          </w:p>
        </w:tc>
        <w:tc>
          <w:tcPr>
            <w:cnfStyle w:val="000010000000" w:firstRow="0" w:lastRow="0" w:firstColumn="0" w:lastColumn="0" w:oddVBand="1" w:evenVBand="0" w:oddHBand="0" w:evenHBand="0" w:firstRowFirstColumn="0" w:firstRowLastColumn="0" w:lastRowFirstColumn="0" w:lastRowLastColumn="0"/>
            <w:tcW w:w="1156" w:type="dxa"/>
            <w:noWrap/>
          </w:tcPr>
          <w:p w14:paraId="392AB6A9" w14:textId="3B3AB865" w:rsidR="000423F1" w:rsidRPr="0067507D" w:rsidRDefault="000423F1" w:rsidP="000423F1">
            <w:pPr>
              <w:pStyle w:val="Tabletextright"/>
            </w:pPr>
          </w:p>
        </w:tc>
      </w:tr>
      <w:tr w:rsidR="000423F1" w:rsidRPr="0067507D" w14:paraId="15E97131" w14:textId="77777777" w:rsidTr="000423F1">
        <w:trPr>
          <w:trHeight w:val="285"/>
        </w:trPr>
        <w:tc>
          <w:tcPr>
            <w:cnfStyle w:val="001000000000" w:firstRow="0" w:lastRow="0" w:firstColumn="1" w:lastColumn="0" w:oddVBand="0" w:evenVBand="0" w:oddHBand="0" w:evenHBand="0" w:firstRowFirstColumn="0" w:firstRowLastColumn="0" w:lastRowFirstColumn="0" w:lastRowLastColumn="0"/>
            <w:tcW w:w="4244" w:type="dxa"/>
            <w:noWrap/>
          </w:tcPr>
          <w:p w14:paraId="584C85AC" w14:textId="000EB062" w:rsidR="000423F1" w:rsidRPr="0067507D" w:rsidRDefault="000423F1" w:rsidP="000423F1">
            <w:pPr>
              <w:pStyle w:val="Tabletextbold"/>
            </w:pPr>
            <w:r w:rsidRPr="0067507D">
              <w:t>Equity</w:t>
            </w:r>
          </w:p>
        </w:tc>
        <w:tc>
          <w:tcPr>
            <w:cnfStyle w:val="000010000000" w:firstRow="0" w:lastRow="0" w:firstColumn="0" w:lastColumn="0" w:oddVBand="1" w:evenVBand="0" w:oddHBand="0" w:evenHBand="0" w:firstRowFirstColumn="0" w:firstRowLastColumn="0" w:lastRowFirstColumn="0" w:lastRowLastColumn="0"/>
            <w:tcW w:w="1155" w:type="dxa"/>
          </w:tcPr>
          <w:p w14:paraId="70BAD643" w14:textId="77777777" w:rsidR="000423F1" w:rsidRPr="0067507D" w:rsidRDefault="000423F1" w:rsidP="000423F1">
            <w:pPr>
              <w:pStyle w:val="Tabletextright"/>
            </w:pPr>
          </w:p>
        </w:tc>
        <w:tc>
          <w:tcPr>
            <w:cnfStyle w:val="000001000000" w:firstRow="0" w:lastRow="0" w:firstColumn="0" w:lastColumn="0" w:oddVBand="0" w:evenVBand="1" w:oddHBand="0" w:evenHBand="0" w:firstRowFirstColumn="0" w:firstRowLastColumn="0" w:lastRowFirstColumn="0" w:lastRowLastColumn="0"/>
            <w:tcW w:w="1155" w:type="dxa"/>
          </w:tcPr>
          <w:p w14:paraId="0AB10B8D" w14:textId="77777777" w:rsidR="000423F1" w:rsidRPr="0067507D" w:rsidRDefault="000423F1" w:rsidP="000423F1">
            <w:pPr>
              <w:pStyle w:val="Tabletextright"/>
            </w:pPr>
          </w:p>
        </w:tc>
        <w:tc>
          <w:tcPr>
            <w:cnfStyle w:val="000010000000" w:firstRow="0" w:lastRow="0" w:firstColumn="0" w:lastColumn="0" w:oddVBand="1" w:evenVBand="0" w:oddHBand="0" w:evenHBand="0" w:firstRowFirstColumn="0" w:firstRowLastColumn="0" w:lastRowFirstColumn="0" w:lastRowLastColumn="0"/>
            <w:tcW w:w="1156" w:type="dxa"/>
            <w:noWrap/>
          </w:tcPr>
          <w:p w14:paraId="4D1E13C6" w14:textId="6ED8A580" w:rsidR="000423F1" w:rsidRPr="0067507D" w:rsidRDefault="000423F1" w:rsidP="000423F1">
            <w:pPr>
              <w:pStyle w:val="Tabletextright"/>
            </w:pPr>
          </w:p>
        </w:tc>
      </w:tr>
      <w:tr w:rsidR="000423F1" w:rsidRPr="0067507D" w14:paraId="34CDBEDD" w14:textId="77777777" w:rsidTr="000423F1">
        <w:trPr>
          <w:trHeight w:val="255"/>
        </w:trPr>
        <w:tc>
          <w:tcPr>
            <w:cnfStyle w:val="001000000000" w:firstRow="0" w:lastRow="0" w:firstColumn="1" w:lastColumn="0" w:oddVBand="0" w:evenVBand="0" w:oddHBand="0" w:evenHBand="0" w:firstRowFirstColumn="0" w:firstRowLastColumn="0" w:lastRowFirstColumn="0" w:lastRowLastColumn="0"/>
            <w:tcW w:w="4244" w:type="dxa"/>
            <w:noWrap/>
          </w:tcPr>
          <w:p w14:paraId="37A82B9C" w14:textId="3849B6A5" w:rsidR="000423F1" w:rsidRPr="0067507D" w:rsidRDefault="000423F1" w:rsidP="000423F1">
            <w:pPr>
              <w:pStyle w:val="Tabletext"/>
            </w:pPr>
            <w:r w:rsidRPr="0067507D">
              <w:t>Accumulated surplus</w:t>
            </w:r>
          </w:p>
        </w:tc>
        <w:tc>
          <w:tcPr>
            <w:cnfStyle w:val="000010000000" w:firstRow="0" w:lastRow="0" w:firstColumn="0" w:lastColumn="0" w:oddVBand="1" w:evenVBand="0" w:oddHBand="0" w:evenHBand="0" w:firstRowFirstColumn="0" w:firstRowLastColumn="0" w:lastRowFirstColumn="0" w:lastRowLastColumn="0"/>
            <w:tcW w:w="1155" w:type="dxa"/>
          </w:tcPr>
          <w:p w14:paraId="2B87D415" w14:textId="6FF30A9F" w:rsidR="000423F1" w:rsidRPr="0067507D" w:rsidRDefault="000423F1" w:rsidP="000423F1">
            <w:pPr>
              <w:pStyle w:val="Tabletextright"/>
            </w:pPr>
            <w:r w:rsidRPr="0067507D">
              <w:t>55</w:t>
            </w:r>
          </w:p>
        </w:tc>
        <w:tc>
          <w:tcPr>
            <w:cnfStyle w:val="000001000000" w:firstRow="0" w:lastRow="0" w:firstColumn="0" w:lastColumn="0" w:oddVBand="0" w:evenVBand="1" w:oddHBand="0" w:evenHBand="0" w:firstRowFirstColumn="0" w:firstRowLastColumn="0" w:lastRowFirstColumn="0" w:lastRowLastColumn="0"/>
            <w:tcW w:w="1155" w:type="dxa"/>
          </w:tcPr>
          <w:p w14:paraId="499DCC19" w14:textId="59EB7656" w:rsidR="000423F1" w:rsidRPr="0067507D" w:rsidRDefault="000423F1" w:rsidP="000423F1">
            <w:pPr>
              <w:pStyle w:val="Tabletextright"/>
            </w:pPr>
            <w:r w:rsidRPr="0067507D">
              <w:t>62</w:t>
            </w:r>
          </w:p>
        </w:tc>
        <w:tc>
          <w:tcPr>
            <w:cnfStyle w:val="000010000000" w:firstRow="0" w:lastRow="0" w:firstColumn="0" w:lastColumn="0" w:oddVBand="1" w:evenVBand="0" w:oddHBand="0" w:evenHBand="0" w:firstRowFirstColumn="0" w:firstRowLastColumn="0" w:lastRowFirstColumn="0" w:lastRowLastColumn="0"/>
            <w:tcW w:w="1156" w:type="dxa"/>
            <w:noWrap/>
          </w:tcPr>
          <w:p w14:paraId="68DB014C" w14:textId="2498CD39" w:rsidR="000423F1" w:rsidRPr="0067507D" w:rsidRDefault="000423F1" w:rsidP="000423F1">
            <w:pPr>
              <w:pStyle w:val="Tabletextright"/>
            </w:pPr>
            <w:r w:rsidRPr="0067507D">
              <w:t>7</w:t>
            </w:r>
          </w:p>
        </w:tc>
      </w:tr>
      <w:tr w:rsidR="000423F1" w:rsidRPr="0067507D" w14:paraId="5C6D6A13"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54200099" w14:textId="0A13E3C6" w:rsidR="000423F1" w:rsidRPr="0067507D" w:rsidRDefault="000423F1" w:rsidP="000423F1">
            <w:pPr>
              <w:pStyle w:val="Tabletext"/>
            </w:pPr>
            <w:r w:rsidRPr="0067507D">
              <w:t xml:space="preserve">Contributed capital </w:t>
            </w:r>
            <w:r w:rsidRPr="0067507D">
              <w:rPr>
                <w:vertAlign w:val="superscript"/>
              </w:rPr>
              <w:t>(e)</w:t>
            </w:r>
          </w:p>
        </w:tc>
        <w:tc>
          <w:tcPr>
            <w:cnfStyle w:val="000010000000" w:firstRow="0" w:lastRow="0" w:firstColumn="0" w:lastColumn="0" w:oddVBand="1" w:evenVBand="0" w:oddHBand="0" w:evenHBand="0" w:firstRowFirstColumn="0" w:firstRowLastColumn="0" w:lastRowFirstColumn="0" w:lastRowLastColumn="0"/>
            <w:tcW w:w="1155" w:type="dxa"/>
          </w:tcPr>
          <w:p w14:paraId="5DDC6864" w14:textId="3927B5C2" w:rsidR="000423F1" w:rsidRPr="0067507D" w:rsidRDefault="000423F1" w:rsidP="000423F1">
            <w:pPr>
              <w:pStyle w:val="Tabletextright"/>
            </w:pPr>
            <w:r w:rsidRPr="0067507D">
              <w:t>32</w:t>
            </w:r>
          </w:p>
        </w:tc>
        <w:tc>
          <w:tcPr>
            <w:cnfStyle w:val="000001000000" w:firstRow="0" w:lastRow="0" w:firstColumn="0" w:lastColumn="0" w:oddVBand="0" w:evenVBand="1" w:oddHBand="0" w:evenHBand="0" w:firstRowFirstColumn="0" w:firstRowLastColumn="0" w:lastRowFirstColumn="0" w:lastRowLastColumn="0"/>
            <w:tcW w:w="1155" w:type="dxa"/>
          </w:tcPr>
          <w:p w14:paraId="6AC3BF07" w14:textId="43749843" w:rsidR="000423F1" w:rsidRPr="0067507D" w:rsidRDefault="000423F1" w:rsidP="000423F1">
            <w:pPr>
              <w:pStyle w:val="Tabletextright"/>
            </w:pPr>
            <w:r w:rsidRPr="0067507D">
              <w:t>21</w:t>
            </w:r>
          </w:p>
        </w:tc>
        <w:tc>
          <w:tcPr>
            <w:cnfStyle w:val="000010000000" w:firstRow="0" w:lastRow="0" w:firstColumn="0" w:lastColumn="0" w:oddVBand="1" w:evenVBand="0" w:oddHBand="0" w:evenHBand="0" w:firstRowFirstColumn="0" w:firstRowLastColumn="0" w:lastRowFirstColumn="0" w:lastRowLastColumn="0"/>
            <w:tcW w:w="1156" w:type="dxa"/>
            <w:noWrap/>
          </w:tcPr>
          <w:p w14:paraId="5A8C88EA" w14:textId="0B54F83E" w:rsidR="000423F1" w:rsidRPr="0067507D" w:rsidRDefault="000423F1" w:rsidP="000423F1">
            <w:pPr>
              <w:pStyle w:val="Tabletextright"/>
            </w:pPr>
            <w:r w:rsidRPr="0067507D">
              <w:t>(11)</w:t>
            </w:r>
          </w:p>
        </w:tc>
      </w:tr>
      <w:tr w:rsidR="000423F1" w:rsidRPr="0067507D" w14:paraId="3A0272CA" w14:textId="77777777" w:rsidTr="000423F1">
        <w:trPr>
          <w:trHeight w:val="270"/>
        </w:trPr>
        <w:tc>
          <w:tcPr>
            <w:cnfStyle w:val="001000000000" w:firstRow="0" w:lastRow="0" w:firstColumn="1" w:lastColumn="0" w:oddVBand="0" w:evenVBand="0" w:oddHBand="0" w:evenHBand="0" w:firstRowFirstColumn="0" w:firstRowLastColumn="0" w:lastRowFirstColumn="0" w:lastRowLastColumn="0"/>
            <w:tcW w:w="4244" w:type="dxa"/>
            <w:noWrap/>
          </w:tcPr>
          <w:p w14:paraId="6C8B3869" w14:textId="645CDD3E" w:rsidR="000423F1" w:rsidRPr="0067507D" w:rsidRDefault="000423F1" w:rsidP="000423F1">
            <w:pPr>
              <w:pStyle w:val="Tabletextbold"/>
            </w:pPr>
            <w:r w:rsidRPr="0067507D">
              <w:t>Total equity</w:t>
            </w:r>
          </w:p>
        </w:tc>
        <w:tc>
          <w:tcPr>
            <w:cnfStyle w:val="000010000000" w:firstRow="0" w:lastRow="0" w:firstColumn="0" w:lastColumn="0" w:oddVBand="1" w:evenVBand="0" w:oddHBand="0" w:evenHBand="0" w:firstRowFirstColumn="0" w:firstRowLastColumn="0" w:lastRowFirstColumn="0" w:lastRowLastColumn="0"/>
            <w:tcW w:w="1155" w:type="dxa"/>
          </w:tcPr>
          <w:p w14:paraId="60DCB12F" w14:textId="6B021270" w:rsidR="000423F1" w:rsidRPr="0067507D" w:rsidRDefault="000423F1" w:rsidP="000423F1">
            <w:pPr>
              <w:pStyle w:val="Tabletextrightbold"/>
            </w:pPr>
            <w:r w:rsidRPr="0067507D">
              <w:t>87</w:t>
            </w:r>
          </w:p>
        </w:tc>
        <w:tc>
          <w:tcPr>
            <w:cnfStyle w:val="000001000000" w:firstRow="0" w:lastRow="0" w:firstColumn="0" w:lastColumn="0" w:oddVBand="0" w:evenVBand="1" w:oddHBand="0" w:evenHBand="0" w:firstRowFirstColumn="0" w:firstRowLastColumn="0" w:lastRowFirstColumn="0" w:lastRowLastColumn="0"/>
            <w:tcW w:w="1155" w:type="dxa"/>
          </w:tcPr>
          <w:p w14:paraId="3400085C" w14:textId="498A3332" w:rsidR="000423F1" w:rsidRPr="0067507D" w:rsidRDefault="000423F1" w:rsidP="000423F1">
            <w:pPr>
              <w:pStyle w:val="Tabletextrightbold"/>
            </w:pPr>
            <w:r w:rsidRPr="0067507D">
              <w:t>83</w:t>
            </w:r>
          </w:p>
        </w:tc>
        <w:tc>
          <w:tcPr>
            <w:cnfStyle w:val="000010000000" w:firstRow="0" w:lastRow="0" w:firstColumn="0" w:lastColumn="0" w:oddVBand="1" w:evenVBand="0" w:oddHBand="0" w:evenHBand="0" w:firstRowFirstColumn="0" w:firstRowLastColumn="0" w:lastRowFirstColumn="0" w:lastRowLastColumn="0"/>
            <w:tcW w:w="1156" w:type="dxa"/>
            <w:noWrap/>
          </w:tcPr>
          <w:p w14:paraId="3851ED1E" w14:textId="51A4E995" w:rsidR="000423F1" w:rsidRPr="0067507D" w:rsidRDefault="000423F1" w:rsidP="000423F1">
            <w:pPr>
              <w:pStyle w:val="Tabletextrightbold"/>
            </w:pPr>
            <w:r w:rsidRPr="0067507D">
              <w:t>(4)</w:t>
            </w:r>
          </w:p>
        </w:tc>
      </w:tr>
    </w:tbl>
    <w:p w14:paraId="1AB498BF" w14:textId="77777777" w:rsidR="00FB27C5" w:rsidRPr="0067507D" w:rsidRDefault="00FB27C5" w:rsidP="00FB27C5">
      <w:pPr>
        <w:pStyle w:val="Notes"/>
      </w:pPr>
      <w:r w:rsidRPr="0067507D">
        <w:t>Notes:</w:t>
      </w:r>
    </w:p>
    <w:p w14:paraId="0967507C" w14:textId="5EDC922A" w:rsidR="007F1C40" w:rsidRPr="0067507D" w:rsidRDefault="007F1C40" w:rsidP="00072775">
      <w:pPr>
        <w:pStyle w:val="Notes"/>
      </w:pPr>
      <w:r w:rsidRPr="0067507D">
        <w:t>(a) The 2024</w:t>
      </w:r>
      <w:r w:rsidR="006A5485">
        <w:noBreakHyphen/>
      </w:r>
      <w:r w:rsidRPr="0067507D">
        <w:t>25 budget figures have been restated to reflect the 2023</w:t>
      </w:r>
      <w:r w:rsidR="006A5485">
        <w:noBreakHyphen/>
      </w:r>
      <w:r w:rsidRPr="0067507D">
        <w:t>24 actual closing balances.</w:t>
      </w:r>
    </w:p>
    <w:p w14:paraId="5B875167" w14:textId="308A89A1" w:rsidR="007F1C40" w:rsidRPr="0067507D" w:rsidRDefault="007F1C40" w:rsidP="00072775">
      <w:pPr>
        <w:pStyle w:val="Notes"/>
      </w:pPr>
      <w:r w:rsidRPr="0067507D">
        <w:t>(b) Lower actuals primarily reflect lower funds held in the State Administration Unit.</w:t>
      </w:r>
    </w:p>
    <w:p w14:paraId="714ACAA3" w14:textId="495FD424" w:rsidR="007F1C40" w:rsidRPr="0067507D" w:rsidRDefault="007F1C40" w:rsidP="00072775">
      <w:pPr>
        <w:pStyle w:val="Notes"/>
      </w:pPr>
      <w:r w:rsidRPr="0067507D">
        <w:t>(c) Lower actuals primarily reflect revised delivery timeline of capital projects with the State Revenue</w:t>
      </w:r>
      <w:r w:rsidR="00BB6E4C">
        <w:t xml:space="preserve"> Office</w:t>
      </w:r>
      <w:r w:rsidR="006A3372">
        <w:t>.</w:t>
      </w:r>
    </w:p>
    <w:p w14:paraId="5D4CB078" w14:textId="77777777" w:rsidR="007F1C40" w:rsidRPr="0067507D" w:rsidRDefault="007F1C40" w:rsidP="00072775">
      <w:pPr>
        <w:pStyle w:val="Notes"/>
      </w:pPr>
      <w:r w:rsidRPr="0067507D">
        <w:t>(d) Higher budget primarily reflects accrued grants payable by State Revenue Office (such as the Fire Service Property Levy to councils) at the time of the published budget.</w:t>
      </w:r>
    </w:p>
    <w:p w14:paraId="758F1F31" w14:textId="0D44582D" w:rsidR="00344B6A" w:rsidRPr="0067507D" w:rsidRDefault="007F1C40" w:rsidP="00072775">
      <w:pPr>
        <w:pStyle w:val="Notes"/>
      </w:pPr>
      <w:r w:rsidRPr="0067507D">
        <w:t>(e) The budget reflects capital funding from Addition to Net Asset Base (ATNAB). Capital expenditure in 2024</w:t>
      </w:r>
      <w:r w:rsidR="006A5485">
        <w:noBreakHyphen/>
      </w:r>
      <w:r w:rsidRPr="0067507D">
        <w:t>25 was fully covered by Depreciation Equivalent funding and, hence, ATNAB was not utilised.</w:t>
      </w:r>
    </w:p>
    <w:p w14:paraId="5FE398B9" w14:textId="64219B06" w:rsidR="006E38D3" w:rsidRPr="0067507D" w:rsidRDefault="006E38D3" w:rsidP="003D471D">
      <w:pPr>
        <w:spacing w:before="0" w:after="0"/>
      </w:pPr>
      <w:r w:rsidRPr="0067507D">
        <w:br w:type="page"/>
      </w:r>
    </w:p>
    <w:p w14:paraId="3966D96F" w14:textId="77777777" w:rsidR="006E38D3" w:rsidRPr="0067507D" w:rsidRDefault="006E38D3" w:rsidP="006E38D3">
      <w:pPr>
        <w:pStyle w:val="Heading2"/>
      </w:pPr>
      <w:r w:rsidRPr="0067507D">
        <w:lastRenderedPageBreak/>
        <w:t>Budget portfolio outcomes</w:t>
      </w:r>
    </w:p>
    <w:p w14:paraId="39B04434" w14:textId="7C2CC51D" w:rsidR="006E38D3" w:rsidRPr="0067507D" w:rsidRDefault="006E38D3" w:rsidP="006E38D3">
      <w:pPr>
        <w:pStyle w:val="Heading3"/>
      </w:pPr>
      <w:r w:rsidRPr="0067507D">
        <w:t xml:space="preserve">Cash flow statement for the year ended </w:t>
      </w:r>
      <w:r w:rsidR="00C30F42" w:rsidRPr="0067507D">
        <w:t>30 June 2025</w:t>
      </w:r>
    </w:p>
    <w:tbl>
      <w:tblPr>
        <w:tblStyle w:val="AnnualReporttexttable"/>
        <w:tblW w:w="7755" w:type="dxa"/>
        <w:tblLayout w:type="fixed"/>
        <w:tblLook w:val="02A0" w:firstRow="1" w:lastRow="0" w:firstColumn="1" w:lastColumn="0" w:noHBand="1" w:noVBand="0"/>
      </w:tblPr>
      <w:tblGrid>
        <w:gridCol w:w="4245"/>
        <w:gridCol w:w="1170"/>
        <w:gridCol w:w="1170"/>
        <w:gridCol w:w="1170"/>
      </w:tblGrid>
      <w:tr w:rsidR="008D7274" w:rsidRPr="0067507D" w14:paraId="35168101" w14:textId="77777777" w:rsidTr="008D727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245" w:type="dxa"/>
            <w:noWrap/>
            <w:vAlign w:val="bottom"/>
          </w:tcPr>
          <w:p w14:paraId="14659AA6" w14:textId="793E3C55" w:rsidR="008D7274" w:rsidRPr="0067507D" w:rsidRDefault="005955E8">
            <w:pPr>
              <w:pStyle w:val="Tabletextheadingleft"/>
              <w:rPr>
                <w:b w:val="0"/>
              </w:rPr>
            </w:pPr>
            <w:r w:rsidRPr="0067507D">
              <w:rPr>
                <w:b w:val="0"/>
              </w:rPr>
              <w:t>Controlled</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tcPr>
          <w:p w14:paraId="6BE7B620" w14:textId="5A6A436B" w:rsidR="008D7274" w:rsidRPr="0067507D" w:rsidRDefault="008D7274" w:rsidP="00FA589B">
            <w:pPr>
              <w:pStyle w:val="Tabletextheadingright"/>
              <w:rPr>
                <w:b w:val="0"/>
              </w:rPr>
            </w:pPr>
            <w:r w:rsidRPr="0067507D">
              <w:rPr>
                <w:b w:val="0"/>
              </w:rPr>
              <w:t>2024</w:t>
            </w:r>
            <w:r w:rsidR="006A5485">
              <w:rPr>
                <w:b w:val="0"/>
              </w:rPr>
              <w:noBreakHyphen/>
            </w:r>
            <w:r w:rsidRPr="0067507D">
              <w:rPr>
                <w:b w:val="0"/>
              </w:rPr>
              <w:t>25 budget</w:t>
            </w:r>
          </w:p>
        </w:tc>
        <w:tc>
          <w:tcPr>
            <w:cnfStyle w:val="000001000000" w:firstRow="0" w:lastRow="0" w:firstColumn="0" w:lastColumn="0" w:oddVBand="0" w:evenVBand="1" w:oddHBand="0" w:evenHBand="0" w:firstRowFirstColumn="0" w:firstRowLastColumn="0" w:lastRowFirstColumn="0" w:lastRowLastColumn="0"/>
            <w:tcW w:w="1170" w:type="dxa"/>
            <w:shd w:val="clear" w:color="auto" w:fill="auto"/>
            <w:noWrap/>
          </w:tcPr>
          <w:p w14:paraId="18EA8303" w14:textId="3019FE9F" w:rsidR="008D7274" w:rsidRPr="0067507D" w:rsidRDefault="008D7274">
            <w:pPr>
              <w:pStyle w:val="Tabletextheadingright"/>
              <w:rPr>
                <w:b w:val="0"/>
              </w:rPr>
            </w:pPr>
            <w:r w:rsidRPr="0067507D">
              <w:rPr>
                <w:b w:val="0"/>
              </w:rPr>
              <w:t>2024</w:t>
            </w:r>
            <w:r w:rsidR="006A5485">
              <w:rPr>
                <w:b w:val="0"/>
              </w:rPr>
              <w:noBreakHyphen/>
            </w:r>
            <w:r w:rsidRPr="0067507D">
              <w:rPr>
                <w:b w:val="0"/>
              </w:rPr>
              <w:t>25 actual</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noWrap/>
            <w:vAlign w:val="bottom"/>
          </w:tcPr>
          <w:p w14:paraId="52C6F0F3" w14:textId="596C183C" w:rsidR="008D7274" w:rsidRPr="0067507D" w:rsidRDefault="008D7274">
            <w:pPr>
              <w:pStyle w:val="Tabletextheadingright"/>
              <w:rPr>
                <w:b w:val="0"/>
              </w:rPr>
            </w:pPr>
            <w:r w:rsidRPr="0067507D">
              <w:rPr>
                <w:b w:val="0"/>
              </w:rPr>
              <w:t>Variance</w:t>
            </w:r>
          </w:p>
        </w:tc>
      </w:tr>
      <w:tr w:rsidR="008D7274" w:rsidRPr="0067507D" w14:paraId="2F8470B0" w14:textId="77777777" w:rsidTr="008D7274">
        <w:trPr>
          <w:trHeight w:val="270"/>
        </w:trPr>
        <w:tc>
          <w:tcPr>
            <w:cnfStyle w:val="001000000000" w:firstRow="0" w:lastRow="0" w:firstColumn="1" w:lastColumn="0" w:oddVBand="0" w:evenVBand="0" w:oddHBand="0" w:evenHBand="0" w:firstRowFirstColumn="0" w:firstRowLastColumn="0" w:lastRowFirstColumn="0" w:lastRowLastColumn="0"/>
            <w:tcW w:w="4245" w:type="dxa"/>
            <w:noWrap/>
          </w:tcPr>
          <w:p w14:paraId="3B5FDE54" w14:textId="77777777" w:rsidR="008D7274" w:rsidRPr="0067507D" w:rsidRDefault="008D7274">
            <w:pPr>
              <w:pStyle w:val="Tabletext"/>
              <w:rPr>
                <w:rFonts w:ascii="Arial" w:hAnsi="Arial"/>
              </w:rPr>
            </w:pP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tcPr>
          <w:p w14:paraId="6B5817A2" w14:textId="763ED0A1" w:rsidR="008D7274" w:rsidRPr="0067507D" w:rsidRDefault="008D7274" w:rsidP="00FA589B">
            <w:pPr>
              <w:pStyle w:val="Tabletextheadingright"/>
            </w:pPr>
            <w:r w:rsidRPr="0067507D">
              <w:t>$m</w:t>
            </w:r>
          </w:p>
        </w:tc>
        <w:tc>
          <w:tcPr>
            <w:cnfStyle w:val="000001000000" w:firstRow="0" w:lastRow="0" w:firstColumn="0" w:lastColumn="0" w:oddVBand="0" w:evenVBand="1" w:oddHBand="0" w:evenHBand="0" w:firstRowFirstColumn="0" w:firstRowLastColumn="0" w:lastRowFirstColumn="0" w:lastRowLastColumn="0"/>
            <w:tcW w:w="1170" w:type="dxa"/>
            <w:shd w:val="clear" w:color="auto" w:fill="auto"/>
            <w:noWrap/>
          </w:tcPr>
          <w:p w14:paraId="67E1039F" w14:textId="77777777" w:rsidR="008D7274" w:rsidRPr="0067507D" w:rsidRDefault="008D7274">
            <w:pPr>
              <w:pStyle w:val="Tabletextheadingright"/>
            </w:pPr>
            <w:r w:rsidRPr="0067507D">
              <w:t>$m</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noWrap/>
          </w:tcPr>
          <w:p w14:paraId="5731E0A8" w14:textId="148AD4EC" w:rsidR="008D7274" w:rsidRPr="0067507D" w:rsidRDefault="008D7274">
            <w:pPr>
              <w:pStyle w:val="Tabletextheadingright"/>
            </w:pPr>
            <w:r w:rsidRPr="0067507D">
              <w:t>$m</w:t>
            </w:r>
          </w:p>
        </w:tc>
      </w:tr>
      <w:tr w:rsidR="008D7274" w:rsidRPr="0067507D" w14:paraId="2D641212"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06E3D9BF" w14:textId="6052D4CB" w:rsidR="008D7274" w:rsidRPr="0067507D" w:rsidRDefault="008D7274" w:rsidP="008D7274">
            <w:pPr>
              <w:pStyle w:val="Tabletextbold"/>
            </w:pPr>
            <w:r w:rsidRPr="0067507D">
              <w:t>Cash flows from operating activities</w:t>
            </w:r>
          </w:p>
        </w:tc>
        <w:tc>
          <w:tcPr>
            <w:cnfStyle w:val="000010000000" w:firstRow="0" w:lastRow="0" w:firstColumn="0" w:lastColumn="0" w:oddVBand="1" w:evenVBand="0" w:oddHBand="0" w:evenHBand="0" w:firstRowFirstColumn="0" w:firstRowLastColumn="0" w:lastRowFirstColumn="0" w:lastRowLastColumn="0"/>
            <w:tcW w:w="1170" w:type="dxa"/>
          </w:tcPr>
          <w:p w14:paraId="6A612B04" w14:textId="77777777" w:rsidR="008D7274" w:rsidRPr="0067507D" w:rsidRDefault="008D7274" w:rsidP="008D7274">
            <w:pPr>
              <w:pStyle w:val="Tabletextright"/>
            </w:pPr>
          </w:p>
        </w:tc>
        <w:tc>
          <w:tcPr>
            <w:cnfStyle w:val="000001000000" w:firstRow="0" w:lastRow="0" w:firstColumn="0" w:lastColumn="0" w:oddVBand="0" w:evenVBand="1" w:oddHBand="0" w:evenHBand="0" w:firstRowFirstColumn="0" w:firstRowLastColumn="0" w:lastRowFirstColumn="0" w:lastRowLastColumn="0"/>
            <w:tcW w:w="1170" w:type="dxa"/>
            <w:noWrap/>
          </w:tcPr>
          <w:p w14:paraId="6E2524A3" w14:textId="77777777" w:rsidR="008D7274" w:rsidRPr="0067507D" w:rsidRDefault="008D7274" w:rsidP="008D7274">
            <w:pPr>
              <w:pStyle w:val="Tabletextright"/>
            </w:pPr>
          </w:p>
        </w:tc>
        <w:tc>
          <w:tcPr>
            <w:cnfStyle w:val="000010000000" w:firstRow="0" w:lastRow="0" w:firstColumn="0" w:lastColumn="0" w:oddVBand="1" w:evenVBand="0" w:oddHBand="0" w:evenHBand="0" w:firstRowFirstColumn="0" w:firstRowLastColumn="0" w:lastRowFirstColumn="0" w:lastRowLastColumn="0"/>
            <w:tcW w:w="1170" w:type="dxa"/>
            <w:noWrap/>
          </w:tcPr>
          <w:p w14:paraId="487E392B" w14:textId="3D1C3540" w:rsidR="008D7274" w:rsidRPr="0067507D" w:rsidRDefault="008D7274" w:rsidP="008D7274">
            <w:pPr>
              <w:pStyle w:val="Tabletextright"/>
            </w:pPr>
          </w:p>
        </w:tc>
      </w:tr>
      <w:tr w:rsidR="008D7274" w:rsidRPr="00866B9C" w14:paraId="751F0162"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1555AE9D" w14:textId="5A860713" w:rsidR="008D7274" w:rsidRPr="00866B9C" w:rsidRDefault="008D7274" w:rsidP="008D7274">
            <w:pPr>
              <w:pStyle w:val="Tabletext"/>
              <w:rPr>
                <w:bCs/>
              </w:rPr>
            </w:pPr>
            <w:r w:rsidRPr="00866B9C">
              <w:t>Receipts</w:t>
            </w:r>
          </w:p>
        </w:tc>
        <w:tc>
          <w:tcPr>
            <w:cnfStyle w:val="000010000000" w:firstRow="0" w:lastRow="0" w:firstColumn="0" w:lastColumn="0" w:oddVBand="1" w:evenVBand="0" w:oddHBand="0" w:evenHBand="0" w:firstRowFirstColumn="0" w:firstRowLastColumn="0" w:lastRowFirstColumn="0" w:lastRowLastColumn="0"/>
            <w:tcW w:w="1170" w:type="dxa"/>
          </w:tcPr>
          <w:p w14:paraId="13188C50" w14:textId="77777777" w:rsidR="008D7274" w:rsidRPr="00866B9C" w:rsidRDefault="008D7274" w:rsidP="008D7274">
            <w:pPr>
              <w:pStyle w:val="Tabletextright"/>
              <w:rPr>
                <w:bCs/>
              </w:rPr>
            </w:pPr>
          </w:p>
        </w:tc>
        <w:tc>
          <w:tcPr>
            <w:cnfStyle w:val="000001000000" w:firstRow="0" w:lastRow="0" w:firstColumn="0" w:lastColumn="0" w:oddVBand="0" w:evenVBand="1" w:oddHBand="0" w:evenHBand="0" w:firstRowFirstColumn="0" w:firstRowLastColumn="0" w:lastRowFirstColumn="0" w:lastRowLastColumn="0"/>
            <w:tcW w:w="1170" w:type="dxa"/>
            <w:noWrap/>
          </w:tcPr>
          <w:p w14:paraId="2FCB9348" w14:textId="77777777" w:rsidR="008D7274" w:rsidRPr="00866B9C" w:rsidRDefault="008D7274" w:rsidP="008D7274">
            <w:pPr>
              <w:pStyle w:val="Tabletextright"/>
              <w:rPr>
                <w:bCs/>
              </w:rPr>
            </w:pPr>
          </w:p>
        </w:tc>
        <w:tc>
          <w:tcPr>
            <w:cnfStyle w:val="000010000000" w:firstRow="0" w:lastRow="0" w:firstColumn="0" w:lastColumn="0" w:oddVBand="1" w:evenVBand="0" w:oddHBand="0" w:evenHBand="0" w:firstRowFirstColumn="0" w:firstRowLastColumn="0" w:lastRowFirstColumn="0" w:lastRowLastColumn="0"/>
            <w:tcW w:w="1170" w:type="dxa"/>
            <w:noWrap/>
          </w:tcPr>
          <w:p w14:paraId="2FDE102B" w14:textId="57413AFD" w:rsidR="008D7274" w:rsidRPr="00866B9C" w:rsidRDefault="008D7274" w:rsidP="008D7274">
            <w:pPr>
              <w:pStyle w:val="Tabletextright"/>
              <w:rPr>
                <w:bCs/>
              </w:rPr>
            </w:pPr>
          </w:p>
        </w:tc>
      </w:tr>
      <w:tr w:rsidR="008D7274" w:rsidRPr="0067507D" w14:paraId="0F5A7544"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73160225" w14:textId="07304B59" w:rsidR="008D7274" w:rsidRPr="0067507D" w:rsidRDefault="008D7274" w:rsidP="008D7274">
            <w:pPr>
              <w:pStyle w:val="Tabletext"/>
              <w:rPr>
                <w:vertAlign w:val="superscript"/>
              </w:rPr>
            </w:pPr>
            <w:r w:rsidRPr="0067507D">
              <w:t xml:space="preserve">Receipts from Government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170" w:type="dxa"/>
          </w:tcPr>
          <w:p w14:paraId="6C7738DF" w14:textId="71C82D69" w:rsidR="008D7274" w:rsidRPr="0067507D" w:rsidRDefault="008D7274" w:rsidP="008D7274">
            <w:pPr>
              <w:pStyle w:val="Tabletextright"/>
            </w:pPr>
            <w:r w:rsidRPr="0067507D">
              <w:t>427</w:t>
            </w:r>
          </w:p>
        </w:tc>
        <w:tc>
          <w:tcPr>
            <w:cnfStyle w:val="000001000000" w:firstRow="0" w:lastRow="0" w:firstColumn="0" w:lastColumn="0" w:oddVBand="0" w:evenVBand="1" w:oddHBand="0" w:evenHBand="0" w:firstRowFirstColumn="0" w:firstRowLastColumn="0" w:lastRowFirstColumn="0" w:lastRowLastColumn="0"/>
            <w:tcW w:w="1170" w:type="dxa"/>
            <w:noWrap/>
          </w:tcPr>
          <w:p w14:paraId="2E5D3BD4" w14:textId="27830CCF" w:rsidR="008D7274" w:rsidRPr="0067507D" w:rsidRDefault="008D7274" w:rsidP="008D7274">
            <w:pPr>
              <w:pStyle w:val="Tabletextright"/>
            </w:pPr>
            <w:r w:rsidRPr="0067507D">
              <w:t>461</w:t>
            </w:r>
          </w:p>
        </w:tc>
        <w:tc>
          <w:tcPr>
            <w:cnfStyle w:val="000010000000" w:firstRow="0" w:lastRow="0" w:firstColumn="0" w:lastColumn="0" w:oddVBand="1" w:evenVBand="0" w:oddHBand="0" w:evenHBand="0" w:firstRowFirstColumn="0" w:firstRowLastColumn="0" w:lastRowFirstColumn="0" w:lastRowLastColumn="0"/>
            <w:tcW w:w="1170" w:type="dxa"/>
            <w:noWrap/>
          </w:tcPr>
          <w:p w14:paraId="5A8DDCBF" w14:textId="698F17D2" w:rsidR="008D7274" w:rsidRPr="0067507D" w:rsidRDefault="008D7274" w:rsidP="008D7274">
            <w:pPr>
              <w:pStyle w:val="Tabletextright"/>
            </w:pPr>
            <w:r w:rsidRPr="0067507D">
              <w:t>34</w:t>
            </w:r>
          </w:p>
        </w:tc>
      </w:tr>
      <w:tr w:rsidR="008D7274" w:rsidRPr="0067507D" w14:paraId="22FE6F2D"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3456B078" w14:textId="49B430B6" w:rsidR="008D7274" w:rsidRPr="0067507D" w:rsidRDefault="008D7274" w:rsidP="008D7274">
            <w:pPr>
              <w:pStyle w:val="Tabletext"/>
            </w:pPr>
            <w:r w:rsidRPr="0067507D">
              <w:t>Receipts from other entities</w:t>
            </w:r>
          </w:p>
        </w:tc>
        <w:tc>
          <w:tcPr>
            <w:cnfStyle w:val="000010000000" w:firstRow="0" w:lastRow="0" w:firstColumn="0" w:lastColumn="0" w:oddVBand="1" w:evenVBand="0" w:oddHBand="0" w:evenHBand="0" w:firstRowFirstColumn="0" w:firstRowLastColumn="0" w:lastRowFirstColumn="0" w:lastRowLastColumn="0"/>
            <w:tcW w:w="1170" w:type="dxa"/>
          </w:tcPr>
          <w:p w14:paraId="7CBCADE7" w14:textId="3191BD17" w:rsidR="008D7274" w:rsidRPr="0067507D" w:rsidRDefault="008D7274" w:rsidP="008D7274">
            <w:pPr>
              <w:pStyle w:val="Tabletextright"/>
            </w:pPr>
            <w:r w:rsidRPr="0067507D">
              <w:t>1</w:t>
            </w:r>
          </w:p>
        </w:tc>
        <w:tc>
          <w:tcPr>
            <w:cnfStyle w:val="000001000000" w:firstRow="0" w:lastRow="0" w:firstColumn="0" w:lastColumn="0" w:oddVBand="0" w:evenVBand="1" w:oddHBand="0" w:evenHBand="0" w:firstRowFirstColumn="0" w:firstRowLastColumn="0" w:lastRowFirstColumn="0" w:lastRowLastColumn="0"/>
            <w:tcW w:w="1170" w:type="dxa"/>
            <w:noWrap/>
          </w:tcPr>
          <w:p w14:paraId="6D686D9A" w14:textId="3F0FE11D" w:rsidR="008D7274" w:rsidRPr="0067507D" w:rsidRDefault="008D7274" w:rsidP="008D7274">
            <w:pPr>
              <w:pStyle w:val="Tabletextright"/>
            </w:pPr>
            <w:r w:rsidRPr="0067507D">
              <w:t>1</w:t>
            </w:r>
          </w:p>
        </w:tc>
        <w:tc>
          <w:tcPr>
            <w:cnfStyle w:val="000010000000" w:firstRow="0" w:lastRow="0" w:firstColumn="0" w:lastColumn="0" w:oddVBand="1" w:evenVBand="0" w:oddHBand="0" w:evenHBand="0" w:firstRowFirstColumn="0" w:firstRowLastColumn="0" w:lastRowFirstColumn="0" w:lastRowLastColumn="0"/>
            <w:tcW w:w="1170" w:type="dxa"/>
            <w:noWrap/>
          </w:tcPr>
          <w:p w14:paraId="5A41A25B" w14:textId="2A2A52D4" w:rsidR="008D7274" w:rsidRPr="0067507D" w:rsidRDefault="00CA711C" w:rsidP="008D7274">
            <w:pPr>
              <w:pStyle w:val="Tabletextright"/>
            </w:pPr>
            <w:r w:rsidRPr="0067507D">
              <w:t>–</w:t>
            </w:r>
          </w:p>
        </w:tc>
      </w:tr>
      <w:tr w:rsidR="008D7274" w:rsidRPr="0067507D" w14:paraId="034FF16C"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1C515812" w14:textId="1B9671AF" w:rsidR="008D7274" w:rsidRPr="0067507D" w:rsidRDefault="008D7274" w:rsidP="008D7274">
            <w:pPr>
              <w:pStyle w:val="Tabletext"/>
            </w:pPr>
            <w:r w:rsidRPr="0067507D">
              <w:t>Other receipts</w:t>
            </w:r>
          </w:p>
        </w:tc>
        <w:tc>
          <w:tcPr>
            <w:cnfStyle w:val="000010000000" w:firstRow="0" w:lastRow="0" w:firstColumn="0" w:lastColumn="0" w:oddVBand="1" w:evenVBand="0" w:oddHBand="0" w:evenHBand="0" w:firstRowFirstColumn="0" w:firstRowLastColumn="0" w:lastRowFirstColumn="0" w:lastRowLastColumn="0"/>
            <w:tcW w:w="1170" w:type="dxa"/>
          </w:tcPr>
          <w:p w14:paraId="60131C75" w14:textId="3D1C6252" w:rsidR="008D7274" w:rsidRPr="0067507D" w:rsidRDefault="00CA711C" w:rsidP="008D7274">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170" w:type="dxa"/>
            <w:noWrap/>
          </w:tcPr>
          <w:p w14:paraId="77AC5E03" w14:textId="055E1F3D" w:rsidR="008D7274" w:rsidRPr="0067507D" w:rsidRDefault="008D7274" w:rsidP="008D7274">
            <w:pPr>
              <w:pStyle w:val="Tabletextright"/>
            </w:pPr>
            <w:r w:rsidRPr="0067507D">
              <w:t>1</w:t>
            </w:r>
          </w:p>
        </w:tc>
        <w:tc>
          <w:tcPr>
            <w:cnfStyle w:val="000010000000" w:firstRow="0" w:lastRow="0" w:firstColumn="0" w:lastColumn="0" w:oddVBand="1" w:evenVBand="0" w:oddHBand="0" w:evenHBand="0" w:firstRowFirstColumn="0" w:firstRowLastColumn="0" w:lastRowFirstColumn="0" w:lastRowLastColumn="0"/>
            <w:tcW w:w="1170" w:type="dxa"/>
            <w:noWrap/>
          </w:tcPr>
          <w:p w14:paraId="468F522A" w14:textId="06E123A2" w:rsidR="008D7274" w:rsidRPr="0067507D" w:rsidRDefault="008D7274" w:rsidP="008D7274">
            <w:pPr>
              <w:pStyle w:val="Tabletextright"/>
            </w:pPr>
            <w:r w:rsidRPr="0067507D">
              <w:t>1</w:t>
            </w:r>
          </w:p>
        </w:tc>
      </w:tr>
      <w:tr w:rsidR="008D7274" w:rsidRPr="0067507D" w14:paraId="00C3C1C3"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2CED7FBF" w14:textId="6CCBDC8F" w:rsidR="008D7274" w:rsidRPr="0067507D" w:rsidRDefault="008D7274" w:rsidP="008D7274">
            <w:pPr>
              <w:pStyle w:val="Tabletextbold"/>
            </w:pPr>
            <w:r w:rsidRPr="0067507D">
              <w:t>Total receipts</w:t>
            </w:r>
          </w:p>
        </w:tc>
        <w:tc>
          <w:tcPr>
            <w:cnfStyle w:val="000010000000" w:firstRow="0" w:lastRow="0" w:firstColumn="0" w:lastColumn="0" w:oddVBand="1" w:evenVBand="0" w:oddHBand="0" w:evenHBand="0" w:firstRowFirstColumn="0" w:firstRowLastColumn="0" w:lastRowFirstColumn="0" w:lastRowLastColumn="0"/>
            <w:tcW w:w="1170" w:type="dxa"/>
          </w:tcPr>
          <w:p w14:paraId="4B25B8D5" w14:textId="0620A15F" w:rsidR="008D7274" w:rsidRPr="0067507D" w:rsidRDefault="008D7274" w:rsidP="008D7274">
            <w:pPr>
              <w:pStyle w:val="Tabletextrightbold"/>
            </w:pPr>
            <w:r w:rsidRPr="0067507D">
              <w:t>428</w:t>
            </w:r>
          </w:p>
        </w:tc>
        <w:tc>
          <w:tcPr>
            <w:cnfStyle w:val="000001000000" w:firstRow="0" w:lastRow="0" w:firstColumn="0" w:lastColumn="0" w:oddVBand="0" w:evenVBand="1" w:oddHBand="0" w:evenHBand="0" w:firstRowFirstColumn="0" w:firstRowLastColumn="0" w:lastRowFirstColumn="0" w:lastRowLastColumn="0"/>
            <w:tcW w:w="1170" w:type="dxa"/>
            <w:noWrap/>
          </w:tcPr>
          <w:p w14:paraId="2E4A8F1E" w14:textId="2CDB70BC" w:rsidR="008D7274" w:rsidRPr="0067507D" w:rsidRDefault="008D7274" w:rsidP="008D7274">
            <w:pPr>
              <w:pStyle w:val="Tabletextrightbold"/>
            </w:pPr>
            <w:r w:rsidRPr="0067507D">
              <w:t>463</w:t>
            </w:r>
          </w:p>
        </w:tc>
        <w:tc>
          <w:tcPr>
            <w:cnfStyle w:val="000010000000" w:firstRow="0" w:lastRow="0" w:firstColumn="0" w:lastColumn="0" w:oddVBand="1" w:evenVBand="0" w:oddHBand="0" w:evenHBand="0" w:firstRowFirstColumn="0" w:firstRowLastColumn="0" w:lastRowFirstColumn="0" w:lastRowLastColumn="0"/>
            <w:tcW w:w="1170" w:type="dxa"/>
            <w:noWrap/>
          </w:tcPr>
          <w:p w14:paraId="16561DD9" w14:textId="7980B11D" w:rsidR="008D7274" w:rsidRPr="0067507D" w:rsidRDefault="008D7274" w:rsidP="008D7274">
            <w:pPr>
              <w:pStyle w:val="Tabletextrightbold"/>
            </w:pPr>
            <w:r w:rsidRPr="0067507D">
              <w:t>35</w:t>
            </w:r>
          </w:p>
        </w:tc>
      </w:tr>
      <w:tr w:rsidR="008D7274" w:rsidRPr="0067507D" w14:paraId="3E459DA2" w14:textId="77777777" w:rsidTr="008D7274">
        <w:trPr>
          <w:trHeight w:val="300"/>
        </w:trPr>
        <w:tc>
          <w:tcPr>
            <w:cnfStyle w:val="001000000000" w:firstRow="0" w:lastRow="0" w:firstColumn="1" w:lastColumn="0" w:oddVBand="0" w:evenVBand="0" w:oddHBand="0" w:evenHBand="0" w:firstRowFirstColumn="0" w:firstRowLastColumn="0" w:lastRowFirstColumn="0" w:lastRowLastColumn="0"/>
            <w:tcW w:w="4245" w:type="dxa"/>
            <w:noWrap/>
          </w:tcPr>
          <w:p w14:paraId="70ED0498" w14:textId="77777777" w:rsidR="008D7274" w:rsidRPr="0067507D" w:rsidRDefault="008D7274" w:rsidP="008D7274">
            <w:pPr>
              <w:pStyle w:val="Tabletext"/>
            </w:pPr>
          </w:p>
        </w:tc>
        <w:tc>
          <w:tcPr>
            <w:cnfStyle w:val="000010000000" w:firstRow="0" w:lastRow="0" w:firstColumn="0" w:lastColumn="0" w:oddVBand="1" w:evenVBand="0" w:oddHBand="0" w:evenHBand="0" w:firstRowFirstColumn="0" w:firstRowLastColumn="0" w:lastRowFirstColumn="0" w:lastRowLastColumn="0"/>
            <w:tcW w:w="1170" w:type="dxa"/>
          </w:tcPr>
          <w:p w14:paraId="3DC004DD" w14:textId="77777777" w:rsidR="008D7274" w:rsidRPr="0067507D" w:rsidRDefault="008D7274" w:rsidP="008D7274">
            <w:pPr>
              <w:pStyle w:val="Tabletextright"/>
            </w:pPr>
          </w:p>
        </w:tc>
        <w:tc>
          <w:tcPr>
            <w:cnfStyle w:val="000001000000" w:firstRow="0" w:lastRow="0" w:firstColumn="0" w:lastColumn="0" w:oddVBand="0" w:evenVBand="1" w:oddHBand="0" w:evenHBand="0" w:firstRowFirstColumn="0" w:firstRowLastColumn="0" w:lastRowFirstColumn="0" w:lastRowLastColumn="0"/>
            <w:tcW w:w="1170" w:type="dxa"/>
            <w:noWrap/>
          </w:tcPr>
          <w:p w14:paraId="4FD6223F" w14:textId="77777777" w:rsidR="008D7274" w:rsidRPr="0067507D" w:rsidRDefault="008D7274" w:rsidP="008D7274">
            <w:pPr>
              <w:pStyle w:val="Tabletextright"/>
            </w:pPr>
          </w:p>
        </w:tc>
        <w:tc>
          <w:tcPr>
            <w:cnfStyle w:val="000010000000" w:firstRow="0" w:lastRow="0" w:firstColumn="0" w:lastColumn="0" w:oddVBand="1" w:evenVBand="0" w:oddHBand="0" w:evenHBand="0" w:firstRowFirstColumn="0" w:firstRowLastColumn="0" w:lastRowFirstColumn="0" w:lastRowLastColumn="0"/>
            <w:tcW w:w="1170" w:type="dxa"/>
            <w:noWrap/>
          </w:tcPr>
          <w:p w14:paraId="65CE815C" w14:textId="641688D7" w:rsidR="008D7274" w:rsidRPr="0067507D" w:rsidRDefault="008D7274" w:rsidP="008D7274">
            <w:pPr>
              <w:pStyle w:val="Tabletextright"/>
            </w:pPr>
          </w:p>
        </w:tc>
      </w:tr>
      <w:tr w:rsidR="008D7274" w:rsidRPr="0067507D" w14:paraId="1B055A5C" w14:textId="77777777" w:rsidTr="008D7274">
        <w:trPr>
          <w:trHeight w:val="285"/>
        </w:trPr>
        <w:tc>
          <w:tcPr>
            <w:cnfStyle w:val="001000000000" w:firstRow="0" w:lastRow="0" w:firstColumn="1" w:lastColumn="0" w:oddVBand="0" w:evenVBand="0" w:oddHBand="0" w:evenHBand="0" w:firstRowFirstColumn="0" w:firstRowLastColumn="0" w:lastRowFirstColumn="0" w:lastRowLastColumn="0"/>
            <w:tcW w:w="4245" w:type="dxa"/>
            <w:noWrap/>
          </w:tcPr>
          <w:p w14:paraId="0FBD2952" w14:textId="5DEB3D70" w:rsidR="008D7274" w:rsidRPr="0067507D" w:rsidRDefault="008D7274" w:rsidP="008D7274">
            <w:pPr>
              <w:pStyle w:val="Tabletextbold"/>
            </w:pPr>
            <w:r w:rsidRPr="0067507D">
              <w:t>Payments</w:t>
            </w:r>
          </w:p>
        </w:tc>
        <w:tc>
          <w:tcPr>
            <w:cnfStyle w:val="000010000000" w:firstRow="0" w:lastRow="0" w:firstColumn="0" w:lastColumn="0" w:oddVBand="1" w:evenVBand="0" w:oddHBand="0" w:evenHBand="0" w:firstRowFirstColumn="0" w:firstRowLastColumn="0" w:lastRowFirstColumn="0" w:lastRowLastColumn="0"/>
            <w:tcW w:w="1170" w:type="dxa"/>
          </w:tcPr>
          <w:p w14:paraId="0834C9A1" w14:textId="77777777" w:rsidR="008D7274" w:rsidRPr="0067507D" w:rsidRDefault="008D7274" w:rsidP="008D7274">
            <w:pPr>
              <w:pStyle w:val="Tabletextright"/>
            </w:pPr>
          </w:p>
        </w:tc>
        <w:tc>
          <w:tcPr>
            <w:cnfStyle w:val="000001000000" w:firstRow="0" w:lastRow="0" w:firstColumn="0" w:lastColumn="0" w:oddVBand="0" w:evenVBand="1" w:oddHBand="0" w:evenHBand="0" w:firstRowFirstColumn="0" w:firstRowLastColumn="0" w:lastRowFirstColumn="0" w:lastRowLastColumn="0"/>
            <w:tcW w:w="1170" w:type="dxa"/>
            <w:noWrap/>
          </w:tcPr>
          <w:p w14:paraId="66E6DD9E" w14:textId="77777777" w:rsidR="008D7274" w:rsidRPr="0067507D" w:rsidRDefault="008D7274" w:rsidP="008D7274">
            <w:pPr>
              <w:pStyle w:val="Tabletextright"/>
            </w:pPr>
          </w:p>
        </w:tc>
        <w:tc>
          <w:tcPr>
            <w:cnfStyle w:val="000010000000" w:firstRow="0" w:lastRow="0" w:firstColumn="0" w:lastColumn="0" w:oddVBand="1" w:evenVBand="0" w:oddHBand="0" w:evenHBand="0" w:firstRowFirstColumn="0" w:firstRowLastColumn="0" w:lastRowFirstColumn="0" w:lastRowLastColumn="0"/>
            <w:tcW w:w="1170" w:type="dxa"/>
            <w:noWrap/>
          </w:tcPr>
          <w:p w14:paraId="05D6C30C" w14:textId="4DB830AF" w:rsidR="008D7274" w:rsidRPr="0067507D" w:rsidRDefault="008D7274" w:rsidP="008D7274">
            <w:pPr>
              <w:pStyle w:val="Tabletextright"/>
            </w:pPr>
          </w:p>
        </w:tc>
      </w:tr>
      <w:tr w:rsidR="008D7274" w:rsidRPr="0067507D" w14:paraId="734CC9B9" w14:textId="77777777" w:rsidTr="008D7274">
        <w:trPr>
          <w:trHeight w:val="270"/>
        </w:trPr>
        <w:tc>
          <w:tcPr>
            <w:cnfStyle w:val="001000000000" w:firstRow="0" w:lastRow="0" w:firstColumn="1" w:lastColumn="0" w:oddVBand="0" w:evenVBand="0" w:oddHBand="0" w:evenHBand="0" w:firstRowFirstColumn="0" w:firstRowLastColumn="0" w:lastRowFirstColumn="0" w:lastRowLastColumn="0"/>
            <w:tcW w:w="4245" w:type="dxa"/>
            <w:noWrap/>
          </w:tcPr>
          <w:p w14:paraId="37683B56" w14:textId="499B3578" w:rsidR="008D7274" w:rsidRPr="0067507D" w:rsidRDefault="008D7274" w:rsidP="008D7274">
            <w:pPr>
              <w:pStyle w:val="Tabletext"/>
              <w:rPr>
                <w:vertAlign w:val="superscript"/>
              </w:rPr>
            </w:pPr>
            <w:r w:rsidRPr="0067507D">
              <w:t xml:space="preserve">Payments of grants and other transfers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1170" w:type="dxa"/>
          </w:tcPr>
          <w:p w14:paraId="15070950" w14:textId="5917970D" w:rsidR="008D7274" w:rsidRPr="0067507D" w:rsidRDefault="008D7274" w:rsidP="008D7274">
            <w:pPr>
              <w:pStyle w:val="Tabletextright"/>
            </w:pPr>
            <w:r w:rsidRPr="0067507D">
              <w:t>(32)</w:t>
            </w:r>
          </w:p>
        </w:tc>
        <w:tc>
          <w:tcPr>
            <w:cnfStyle w:val="000001000000" w:firstRow="0" w:lastRow="0" w:firstColumn="0" w:lastColumn="0" w:oddVBand="0" w:evenVBand="1" w:oddHBand="0" w:evenHBand="0" w:firstRowFirstColumn="0" w:firstRowLastColumn="0" w:lastRowFirstColumn="0" w:lastRowLastColumn="0"/>
            <w:tcW w:w="1170" w:type="dxa"/>
            <w:noWrap/>
          </w:tcPr>
          <w:p w14:paraId="34B929C2" w14:textId="790AAEC0" w:rsidR="008D7274" w:rsidRPr="0067507D" w:rsidRDefault="008D7274" w:rsidP="008D7274">
            <w:pPr>
              <w:pStyle w:val="Tabletextright"/>
            </w:pPr>
            <w:r w:rsidRPr="0067507D">
              <w:t>(39)</w:t>
            </w:r>
          </w:p>
        </w:tc>
        <w:tc>
          <w:tcPr>
            <w:cnfStyle w:val="000010000000" w:firstRow="0" w:lastRow="0" w:firstColumn="0" w:lastColumn="0" w:oddVBand="1" w:evenVBand="0" w:oddHBand="0" w:evenHBand="0" w:firstRowFirstColumn="0" w:firstRowLastColumn="0" w:lastRowFirstColumn="0" w:lastRowLastColumn="0"/>
            <w:tcW w:w="1170" w:type="dxa"/>
            <w:noWrap/>
          </w:tcPr>
          <w:p w14:paraId="62E7D7C0" w14:textId="29DF0492" w:rsidR="008D7274" w:rsidRPr="0067507D" w:rsidRDefault="008D7274" w:rsidP="008D7274">
            <w:pPr>
              <w:pStyle w:val="Tabletextright"/>
            </w:pPr>
            <w:r w:rsidRPr="0067507D">
              <w:t>(7)</w:t>
            </w:r>
          </w:p>
        </w:tc>
      </w:tr>
      <w:tr w:rsidR="008D7274" w:rsidRPr="0067507D" w14:paraId="3EBE61E6"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63E3AA67" w14:textId="20BA188B" w:rsidR="008D7274" w:rsidRPr="0067507D" w:rsidRDefault="008D7274" w:rsidP="008D7274">
            <w:pPr>
              <w:pStyle w:val="Tabletext"/>
              <w:rPr>
                <w:vertAlign w:val="superscript"/>
              </w:rPr>
            </w:pPr>
            <w:r w:rsidRPr="0067507D">
              <w:t xml:space="preserve">Payments to suppliers and employees </w:t>
            </w:r>
            <w:r w:rsidRPr="0067507D">
              <w:rPr>
                <w:vertAlign w:val="superscript"/>
              </w:rPr>
              <w:t>(</w:t>
            </w:r>
            <w:r w:rsidR="00384B33" w:rsidRPr="0067507D">
              <w:rPr>
                <w:vertAlign w:val="superscript"/>
              </w:rPr>
              <w:t>a</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1170" w:type="dxa"/>
          </w:tcPr>
          <w:p w14:paraId="7C0D7AF1" w14:textId="6BBF2296" w:rsidR="008D7274" w:rsidRPr="0067507D" w:rsidRDefault="008D7274" w:rsidP="008D7274">
            <w:pPr>
              <w:pStyle w:val="Tabletextright"/>
            </w:pPr>
            <w:r w:rsidRPr="0067507D">
              <w:t>(391)</w:t>
            </w:r>
          </w:p>
        </w:tc>
        <w:tc>
          <w:tcPr>
            <w:cnfStyle w:val="000001000000" w:firstRow="0" w:lastRow="0" w:firstColumn="0" w:lastColumn="0" w:oddVBand="0" w:evenVBand="1" w:oddHBand="0" w:evenHBand="0" w:firstRowFirstColumn="0" w:firstRowLastColumn="0" w:lastRowFirstColumn="0" w:lastRowLastColumn="0"/>
            <w:tcW w:w="1170" w:type="dxa"/>
            <w:noWrap/>
          </w:tcPr>
          <w:p w14:paraId="300D1659" w14:textId="1E9ED49F" w:rsidR="008D7274" w:rsidRPr="0067507D" w:rsidRDefault="008D7274" w:rsidP="008D7274">
            <w:pPr>
              <w:pStyle w:val="Tabletextright"/>
            </w:pPr>
            <w:r w:rsidRPr="0067507D">
              <w:t>(417)</w:t>
            </w:r>
          </w:p>
        </w:tc>
        <w:tc>
          <w:tcPr>
            <w:cnfStyle w:val="000010000000" w:firstRow="0" w:lastRow="0" w:firstColumn="0" w:lastColumn="0" w:oddVBand="1" w:evenVBand="0" w:oddHBand="0" w:evenHBand="0" w:firstRowFirstColumn="0" w:firstRowLastColumn="0" w:lastRowFirstColumn="0" w:lastRowLastColumn="0"/>
            <w:tcW w:w="1170" w:type="dxa"/>
            <w:noWrap/>
          </w:tcPr>
          <w:p w14:paraId="22555584" w14:textId="4E4FA29D" w:rsidR="008D7274" w:rsidRPr="0067507D" w:rsidRDefault="008D7274" w:rsidP="008D7274">
            <w:pPr>
              <w:pStyle w:val="Tabletextright"/>
            </w:pPr>
            <w:r w:rsidRPr="0067507D">
              <w:t>(26)</w:t>
            </w:r>
          </w:p>
        </w:tc>
      </w:tr>
      <w:tr w:rsidR="008D7274" w:rsidRPr="0067507D" w14:paraId="607CAE40"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28BE9BB2" w14:textId="5AEB3596" w:rsidR="008D7274" w:rsidRPr="0067507D" w:rsidRDefault="008D7274" w:rsidP="008D7274">
            <w:pPr>
              <w:pStyle w:val="Tabletextbold"/>
            </w:pPr>
            <w:r w:rsidRPr="0067507D">
              <w:t>Total payments</w:t>
            </w:r>
          </w:p>
        </w:tc>
        <w:tc>
          <w:tcPr>
            <w:cnfStyle w:val="000010000000" w:firstRow="0" w:lastRow="0" w:firstColumn="0" w:lastColumn="0" w:oddVBand="1" w:evenVBand="0" w:oddHBand="0" w:evenHBand="0" w:firstRowFirstColumn="0" w:firstRowLastColumn="0" w:lastRowFirstColumn="0" w:lastRowLastColumn="0"/>
            <w:tcW w:w="1170" w:type="dxa"/>
          </w:tcPr>
          <w:p w14:paraId="0FD67A3C" w14:textId="601E4C7B" w:rsidR="008D7274" w:rsidRPr="0067507D" w:rsidRDefault="008D7274" w:rsidP="008D7274">
            <w:pPr>
              <w:pStyle w:val="Tabletextrightbold"/>
            </w:pPr>
            <w:r w:rsidRPr="0067507D">
              <w:t>(424)</w:t>
            </w:r>
          </w:p>
        </w:tc>
        <w:tc>
          <w:tcPr>
            <w:cnfStyle w:val="000001000000" w:firstRow="0" w:lastRow="0" w:firstColumn="0" w:lastColumn="0" w:oddVBand="0" w:evenVBand="1" w:oddHBand="0" w:evenHBand="0" w:firstRowFirstColumn="0" w:firstRowLastColumn="0" w:lastRowFirstColumn="0" w:lastRowLastColumn="0"/>
            <w:tcW w:w="1170" w:type="dxa"/>
            <w:noWrap/>
          </w:tcPr>
          <w:p w14:paraId="3367C372" w14:textId="0568F6A9" w:rsidR="008D7274" w:rsidRPr="0067507D" w:rsidRDefault="008D7274" w:rsidP="008D7274">
            <w:pPr>
              <w:pStyle w:val="Tabletextrightbold"/>
            </w:pPr>
            <w:r w:rsidRPr="0067507D">
              <w:t>(456)</w:t>
            </w:r>
          </w:p>
        </w:tc>
        <w:tc>
          <w:tcPr>
            <w:cnfStyle w:val="000010000000" w:firstRow="0" w:lastRow="0" w:firstColumn="0" w:lastColumn="0" w:oddVBand="1" w:evenVBand="0" w:oddHBand="0" w:evenHBand="0" w:firstRowFirstColumn="0" w:firstRowLastColumn="0" w:lastRowFirstColumn="0" w:lastRowLastColumn="0"/>
            <w:tcW w:w="1170" w:type="dxa"/>
            <w:noWrap/>
          </w:tcPr>
          <w:p w14:paraId="5AF0BC82" w14:textId="26CB5B0E" w:rsidR="008D7274" w:rsidRPr="0067507D" w:rsidRDefault="008D7274" w:rsidP="008D7274">
            <w:pPr>
              <w:pStyle w:val="Tabletextrightbold"/>
            </w:pPr>
            <w:r w:rsidRPr="0067507D">
              <w:t>(32)</w:t>
            </w:r>
          </w:p>
        </w:tc>
      </w:tr>
      <w:tr w:rsidR="008D7274" w:rsidRPr="0067507D" w14:paraId="47E18D47" w14:textId="77777777" w:rsidTr="008D7274">
        <w:trPr>
          <w:trHeight w:val="270"/>
        </w:trPr>
        <w:tc>
          <w:tcPr>
            <w:cnfStyle w:val="001000000000" w:firstRow="0" w:lastRow="0" w:firstColumn="1" w:lastColumn="0" w:oddVBand="0" w:evenVBand="0" w:oddHBand="0" w:evenHBand="0" w:firstRowFirstColumn="0" w:firstRowLastColumn="0" w:lastRowFirstColumn="0" w:lastRowLastColumn="0"/>
            <w:tcW w:w="4245" w:type="dxa"/>
            <w:noWrap/>
          </w:tcPr>
          <w:p w14:paraId="2A35C417" w14:textId="34ADA4BB" w:rsidR="008D7274" w:rsidRPr="0067507D" w:rsidRDefault="008D7274" w:rsidP="008D7274">
            <w:pPr>
              <w:pStyle w:val="Tabletextbold"/>
            </w:pPr>
            <w:r w:rsidRPr="0067507D">
              <w:t>Net cash flows from/(used in) operating activities</w:t>
            </w:r>
          </w:p>
        </w:tc>
        <w:tc>
          <w:tcPr>
            <w:cnfStyle w:val="000010000000" w:firstRow="0" w:lastRow="0" w:firstColumn="0" w:lastColumn="0" w:oddVBand="1" w:evenVBand="0" w:oddHBand="0" w:evenHBand="0" w:firstRowFirstColumn="0" w:firstRowLastColumn="0" w:lastRowFirstColumn="0" w:lastRowLastColumn="0"/>
            <w:tcW w:w="1170" w:type="dxa"/>
          </w:tcPr>
          <w:p w14:paraId="6087E629" w14:textId="627101A0" w:rsidR="008D7274" w:rsidRPr="0067507D" w:rsidRDefault="008D7274" w:rsidP="008D7274">
            <w:pPr>
              <w:pStyle w:val="Tabletextrightbold"/>
            </w:pPr>
            <w:r w:rsidRPr="0067507D">
              <w:t>4</w:t>
            </w:r>
          </w:p>
        </w:tc>
        <w:tc>
          <w:tcPr>
            <w:cnfStyle w:val="000001000000" w:firstRow="0" w:lastRow="0" w:firstColumn="0" w:lastColumn="0" w:oddVBand="0" w:evenVBand="1" w:oddHBand="0" w:evenHBand="0" w:firstRowFirstColumn="0" w:firstRowLastColumn="0" w:lastRowFirstColumn="0" w:lastRowLastColumn="0"/>
            <w:tcW w:w="1170" w:type="dxa"/>
            <w:noWrap/>
          </w:tcPr>
          <w:p w14:paraId="6BB05CFA" w14:textId="2458334A" w:rsidR="008D7274" w:rsidRPr="0067507D" w:rsidRDefault="008D7274" w:rsidP="008D7274">
            <w:pPr>
              <w:pStyle w:val="Tabletextrightbold"/>
            </w:pPr>
            <w:r w:rsidRPr="0067507D">
              <w:t>7</w:t>
            </w:r>
          </w:p>
        </w:tc>
        <w:tc>
          <w:tcPr>
            <w:cnfStyle w:val="000010000000" w:firstRow="0" w:lastRow="0" w:firstColumn="0" w:lastColumn="0" w:oddVBand="1" w:evenVBand="0" w:oddHBand="0" w:evenHBand="0" w:firstRowFirstColumn="0" w:firstRowLastColumn="0" w:lastRowFirstColumn="0" w:lastRowLastColumn="0"/>
            <w:tcW w:w="1170" w:type="dxa"/>
            <w:noWrap/>
          </w:tcPr>
          <w:p w14:paraId="5C15B585" w14:textId="66B46164" w:rsidR="008D7274" w:rsidRPr="0067507D" w:rsidRDefault="008D7274" w:rsidP="008D7274">
            <w:pPr>
              <w:pStyle w:val="Tabletextrightbold"/>
            </w:pPr>
            <w:r w:rsidRPr="0067507D">
              <w:t>3</w:t>
            </w:r>
          </w:p>
        </w:tc>
      </w:tr>
      <w:tr w:rsidR="008D7274" w:rsidRPr="0067507D" w14:paraId="7909AEE3" w14:textId="77777777" w:rsidTr="008D7274">
        <w:trPr>
          <w:trHeight w:val="270"/>
        </w:trPr>
        <w:tc>
          <w:tcPr>
            <w:cnfStyle w:val="001000000000" w:firstRow="0" w:lastRow="0" w:firstColumn="1" w:lastColumn="0" w:oddVBand="0" w:evenVBand="0" w:oddHBand="0" w:evenHBand="0" w:firstRowFirstColumn="0" w:firstRowLastColumn="0" w:lastRowFirstColumn="0" w:lastRowLastColumn="0"/>
            <w:tcW w:w="4245" w:type="dxa"/>
            <w:noWrap/>
          </w:tcPr>
          <w:p w14:paraId="32F5AE17" w14:textId="77777777" w:rsidR="008D7274" w:rsidRPr="0067507D" w:rsidRDefault="008D7274" w:rsidP="008D7274">
            <w:pPr>
              <w:pStyle w:val="Tabletext"/>
              <w:rPr>
                <w:rFonts w:ascii="Arial" w:hAnsi="Arial"/>
              </w:rPr>
            </w:pPr>
          </w:p>
        </w:tc>
        <w:tc>
          <w:tcPr>
            <w:cnfStyle w:val="000010000000" w:firstRow="0" w:lastRow="0" w:firstColumn="0" w:lastColumn="0" w:oddVBand="1" w:evenVBand="0" w:oddHBand="0" w:evenHBand="0" w:firstRowFirstColumn="0" w:firstRowLastColumn="0" w:lastRowFirstColumn="0" w:lastRowLastColumn="0"/>
            <w:tcW w:w="1170" w:type="dxa"/>
          </w:tcPr>
          <w:p w14:paraId="1AD1E915" w14:textId="77777777" w:rsidR="008D7274" w:rsidRPr="0067507D" w:rsidRDefault="008D7274" w:rsidP="008D7274">
            <w:pPr>
              <w:pStyle w:val="Tabletextright"/>
            </w:pPr>
          </w:p>
        </w:tc>
        <w:tc>
          <w:tcPr>
            <w:cnfStyle w:val="000001000000" w:firstRow="0" w:lastRow="0" w:firstColumn="0" w:lastColumn="0" w:oddVBand="0" w:evenVBand="1" w:oddHBand="0" w:evenHBand="0" w:firstRowFirstColumn="0" w:firstRowLastColumn="0" w:lastRowFirstColumn="0" w:lastRowLastColumn="0"/>
            <w:tcW w:w="1170" w:type="dxa"/>
            <w:noWrap/>
          </w:tcPr>
          <w:p w14:paraId="16248545" w14:textId="77777777" w:rsidR="008D7274" w:rsidRPr="0067507D" w:rsidRDefault="008D7274" w:rsidP="008D7274">
            <w:pPr>
              <w:pStyle w:val="Tabletextright"/>
            </w:pPr>
          </w:p>
        </w:tc>
        <w:tc>
          <w:tcPr>
            <w:cnfStyle w:val="000010000000" w:firstRow="0" w:lastRow="0" w:firstColumn="0" w:lastColumn="0" w:oddVBand="1" w:evenVBand="0" w:oddHBand="0" w:evenHBand="0" w:firstRowFirstColumn="0" w:firstRowLastColumn="0" w:lastRowFirstColumn="0" w:lastRowLastColumn="0"/>
            <w:tcW w:w="1170" w:type="dxa"/>
            <w:noWrap/>
          </w:tcPr>
          <w:p w14:paraId="7332A5A5" w14:textId="1D9AB844" w:rsidR="008D7274" w:rsidRPr="0067507D" w:rsidRDefault="008D7274" w:rsidP="008D7274">
            <w:pPr>
              <w:pStyle w:val="Tabletextright"/>
            </w:pPr>
          </w:p>
        </w:tc>
      </w:tr>
      <w:tr w:rsidR="008D7274" w:rsidRPr="0067507D" w14:paraId="6B0ACB26" w14:textId="77777777" w:rsidTr="008D7274">
        <w:trPr>
          <w:trHeight w:val="270"/>
        </w:trPr>
        <w:tc>
          <w:tcPr>
            <w:cnfStyle w:val="001000000000" w:firstRow="0" w:lastRow="0" w:firstColumn="1" w:lastColumn="0" w:oddVBand="0" w:evenVBand="0" w:oddHBand="0" w:evenHBand="0" w:firstRowFirstColumn="0" w:firstRowLastColumn="0" w:lastRowFirstColumn="0" w:lastRowLastColumn="0"/>
            <w:tcW w:w="4245" w:type="dxa"/>
            <w:noWrap/>
          </w:tcPr>
          <w:p w14:paraId="038735BA" w14:textId="1E8B22C4" w:rsidR="008D7274" w:rsidRPr="0067507D" w:rsidRDefault="008D7274" w:rsidP="008D7274">
            <w:pPr>
              <w:pStyle w:val="Tabletextbold"/>
            </w:pPr>
            <w:r w:rsidRPr="0067507D">
              <w:t>Cash flows from investing activities</w:t>
            </w:r>
          </w:p>
        </w:tc>
        <w:tc>
          <w:tcPr>
            <w:cnfStyle w:val="000010000000" w:firstRow="0" w:lastRow="0" w:firstColumn="0" w:lastColumn="0" w:oddVBand="1" w:evenVBand="0" w:oddHBand="0" w:evenHBand="0" w:firstRowFirstColumn="0" w:firstRowLastColumn="0" w:lastRowFirstColumn="0" w:lastRowLastColumn="0"/>
            <w:tcW w:w="1170" w:type="dxa"/>
          </w:tcPr>
          <w:p w14:paraId="58A31F87" w14:textId="77777777" w:rsidR="008D7274" w:rsidRPr="0067507D" w:rsidRDefault="008D7274" w:rsidP="008D7274">
            <w:pPr>
              <w:pStyle w:val="Tabletextright"/>
            </w:pPr>
          </w:p>
        </w:tc>
        <w:tc>
          <w:tcPr>
            <w:cnfStyle w:val="000001000000" w:firstRow="0" w:lastRow="0" w:firstColumn="0" w:lastColumn="0" w:oddVBand="0" w:evenVBand="1" w:oddHBand="0" w:evenHBand="0" w:firstRowFirstColumn="0" w:firstRowLastColumn="0" w:lastRowFirstColumn="0" w:lastRowLastColumn="0"/>
            <w:tcW w:w="1170" w:type="dxa"/>
            <w:noWrap/>
          </w:tcPr>
          <w:p w14:paraId="7524CC67" w14:textId="77777777" w:rsidR="008D7274" w:rsidRPr="0067507D" w:rsidRDefault="008D7274" w:rsidP="008D7274">
            <w:pPr>
              <w:pStyle w:val="Tabletextright"/>
            </w:pPr>
          </w:p>
        </w:tc>
        <w:tc>
          <w:tcPr>
            <w:cnfStyle w:val="000010000000" w:firstRow="0" w:lastRow="0" w:firstColumn="0" w:lastColumn="0" w:oddVBand="1" w:evenVBand="0" w:oddHBand="0" w:evenHBand="0" w:firstRowFirstColumn="0" w:firstRowLastColumn="0" w:lastRowFirstColumn="0" w:lastRowLastColumn="0"/>
            <w:tcW w:w="1170" w:type="dxa"/>
            <w:noWrap/>
          </w:tcPr>
          <w:p w14:paraId="0131B574" w14:textId="380EACD0" w:rsidR="008D7274" w:rsidRPr="0067507D" w:rsidRDefault="008D7274" w:rsidP="008D7274">
            <w:pPr>
              <w:pStyle w:val="Tabletextright"/>
            </w:pPr>
          </w:p>
        </w:tc>
      </w:tr>
      <w:tr w:rsidR="008D7274" w:rsidRPr="0067507D" w14:paraId="237B4006"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182070DC" w14:textId="5DFF648A" w:rsidR="008D7274" w:rsidRPr="0067507D" w:rsidRDefault="008D7274" w:rsidP="008D7274">
            <w:pPr>
              <w:pStyle w:val="Tabletext"/>
              <w:rPr>
                <w:vertAlign w:val="superscript"/>
              </w:rPr>
            </w:pPr>
            <w:r w:rsidRPr="0067507D">
              <w:t>Payments for non</w:t>
            </w:r>
            <w:r w:rsidR="006A5485">
              <w:noBreakHyphen/>
            </w:r>
            <w:r w:rsidRPr="0067507D">
              <w:t xml:space="preserve">financial assets </w:t>
            </w:r>
            <w:r w:rsidRPr="0067507D">
              <w:rPr>
                <w:vertAlign w:val="superscript"/>
              </w:rPr>
              <w:t>(</w:t>
            </w:r>
            <w:r w:rsidR="006C6742" w:rsidRPr="0067507D">
              <w:rPr>
                <w:vertAlign w:val="superscript"/>
              </w:rPr>
              <w:t>c</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1170" w:type="dxa"/>
          </w:tcPr>
          <w:p w14:paraId="1D2BB6DA" w14:textId="31092C6B" w:rsidR="008D7274" w:rsidRPr="0067507D" w:rsidRDefault="008D7274" w:rsidP="008D7274">
            <w:pPr>
              <w:pStyle w:val="Tabletextright"/>
            </w:pPr>
            <w:r w:rsidRPr="0067507D">
              <w:t>(15)</w:t>
            </w:r>
          </w:p>
        </w:tc>
        <w:tc>
          <w:tcPr>
            <w:cnfStyle w:val="000001000000" w:firstRow="0" w:lastRow="0" w:firstColumn="0" w:lastColumn="0" w:oddVBand="0" w:evenVBand="1" w:oddHBand="0" w:evenHBand="0" w:firstRowFirstColumn="0" w:firstRowLastColumn="0" w:lastRowFirstColumn="0" w:lastRowLastColumn="0"/>
            <w:tcW w:w="1170" w:type="dxa"/>
            <w:noWrap/>
          </w:tcPr>
          <w:p w14:paraId="2F967746" w14:textId="47F9DEB6" w:rsidR="008D7274" w:rsidRPr="0067507D" w:rsidRDefault="008D7274" w:rsidP="008D7274">
            <w:pPr>
              <w:pStyle w:val="Tabletextright"/>
            </w:pPr>
            <w:r w:rsidRPr="0067507D">
              <w:t>(8)</w:t>
            </w:r>
          </w:p>
        </w:tc>
        <w:tc>
          <w:tcPr>
            <w:cnfStyle w:val="000010000000" w:firstRow="0" w:lastRow="0" w:firstColumn="0" w:lastColumn="0" w:oddVBand="1" w:evenVBand="0" w:oddHBand="0" w:evenHBand="0" w:firstRowFirstColumn="0" w:firstRowLastColumn="0" w:lastRowFirstColumn="0" w:lastRowLastColumn="0"/>
            <w:tcW w:w="1170" w:type="dxa"/>
            <w:noWrap/>
          </w:tcPr>
          <w:p w14:paraId="21C87D4A" w14:textId="57E1BDCA" w:rsidR="008D7274" w:rsidRPr="0067507D" w:rsidRDefault="008D7274" w:rsidP="008D7274">
            <w:pPr>
              <w:pStyle w:val="Tabletextright"/>
            </w:pPr>
            <w:r w:rsidRPr="0067507D">
              <w:t>7</w:t>
            </w:r>
          </w:p>
        </w:tc>
      </w:tr>
      <w:tr w:rsidR="008D7274" w:rsidRPr="0067507D" w14:paraId="402C3C5E"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4A53EC3D" w14:textId="6BBA37F7" w:rsidR="008D7274" w:rsidRPr="0067507D" w:rsidRDefault="008D7274" w:rsidP="008D7274">
            <w:pPr>
              <w:pStyle w:val="Tabletext"/>
            </w:pPr>
            <w:r w:rsidRPr="0067507D">
              <w:t>Proceeds from sale of non</w:t>
            </w:r>
            <w:r w:rsidR="006A5485">
              <w:noBreakHyphen/>
            </w:r>
            <w:r w:rsidRPr="0067507D">
              <w:t>financial assets</w:t>
            </w:r>
          </w:p>
        </w:tc>
        <w:tc>
          <w:tcPr>
            <w:cnfStyle w:val="000010000000" w:firstRow="0" w:lastRow="0" w:firstColumn="0" w:lastColumn="0" w:oddVBand="1" w:evenVBand="0" w:oddHBand="0" w:evenHBand="0" w:firstRowFirstColumn="0" w:firstRowLastColumn="0" w:lastRowFirstColumn="0" w:lastRowLastColumn="0"/>
            <w:tcW w:w="1170" w:type="dxa"/>
          </w:tcPr>
          <w:p w14:paraId="7C2A998E" w14:textId="46BE3804" w:rsidR="008D7274" w:rsidRPr="0067507D" w:rsidRDefault="00CA711C" w:rsidP="008D7274">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170" w:type="dxa"/>
            <w:noWrap/>
          </w:tcPr>
          <w:p w14:paraId="109AB3A2" w14:textId="0C0EC529" w:rsidR="008D7274" w:rsidRPr="0067507D" w:rsidRDefault="008D7274" w:rsidP="008D7274">
            <w:pPr>
              <w:pStyle w:val="Tabletextright"/>
            </w:pPr>
            <w:r w:rsidRPr="0067507D">
              <w:t>1</w:t>
            </w:r>
          </w:p>
        </w:tc>
        <w:tc>
          <w:tcPr>
            <w:cnfStyle w:val="000010000000" w:firstRow="0" w:lastRow="0" w:firstColumn="0" w:lastColumn="0" w:oddVBand="1" w:evenVBand="0" w:oddHBand="0" w:evenHBand="0" w:firstRowFirstColumn="0" w:firstRowLastColumn="0" w:lastRowFirstColumn="0" w:lastRowLastColumn="0"/>
            <w:tcW w:w="1170" w:type="dxa"/>
            <w:noWrap/>
          </w:tcPr>
          <w:p w14:paraId="43416E2B" w14:textId="2DAE5B49" w:rsidR="008D7274" w:rsidRPr="0067507D" w:rsidRDefault="008D7274" w:rsidP="008D7274">
            <w:pPr>
              <w:pStyle w:val="Tabletextright"/>
            </w:pPr>
            <w:r w:rsidRPr="0067507D">
              <w:t>1</w:t>
            </w:r>
          </w:p>
        </w:tc>
      </w:tr>
      <w:tr w:rsidR="008D7274" w:rsidRPr="0067507D" w14:paraId="51078EF6"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416C9278" w14:textId="6FFE9929" w:rsidR="008D7274" w:rsidRPr="0067507D" w:rsidRDefault="008D7274" w:rsidP="008D7274">
            <w:pPr>
              <w:pStyle w:val="Tabletextbold"/>
            </w:pPr>
            <w:r w:rsidRPr="0067507D">
              <w:t>Net cash flows from/(used in) investing activities</w:t>
            </w:r>
          </w:p>
        </w:tc>
        <w:tc>
          <w:tcPr>
            <w:cnfStyle w:val="000010000000" w:firstRow="0" w:lastRow="0" w:firstColumn="0" w:lastColumn="0" w:oddVBand="1" w:evenVBand="0" w:oddHBand="0" w:evenHBand="0" w:firstRowFirstColumn="0" w:firstRowLastColumn="0" w:lastRowFirstColumn="0" w:lastRowLastColumn="0"/>
            <w:tcW w:w="1170" w:type="dxa"/>
          </w:tcPr>
          <w:p w14:paraId="24A1777F" w14:textId="14F0CB80" w:rsidR="008D7274" w:rsidRPr="0067507D" w:rsidRDefault="008D7274" w:rsidP="008D7274">
            <w:pPr>
              <w:pStyle w:val="Tabletextrightbold"/>
            </w:pPr>
            <w:r w:rsidRPr="0067507D">
              <w:t>(15)</w:t>
            </w:r>
          </w:p>
        </w:tc>
        <w:tc>
          <w:tcPr>
            <w:cnfStyle w:val="000001000000" w:firstRow="0" w:lastRow="0" w:firstColumn="0" w:lastColumn="0" w:oddVBand="0" w:evenVBand="1" w:oddHBand="0" w:evenHBand="0" w:firstRowFirstColumn="0" w:firstRowLastColumn="0" w:lastRowFirstColumn="0" w:lastRowLastColumn="0"/>
            <w:tcW w:w="1170" w:type="dxa"/>
            <w:noWrap/>
          </w:tcPr>
          <w:p w14:paraId="7D3BDED4" w14:textId="74BBA804" w:rsidR="008D7274" w:rsidRPr="0067507D" w:rsidRDefault="008D7274" w:rsidP="008D7274">
            <w:pPr>
              <w:pStyle w:val="Tabletextrightbold"/>
            </w:pPr>
            <w:r w:rsidRPr="0067507D">
              <w:t>(7)</w:t>
            </w:r>
          </w:p>
        </w:tc>
        <w:tc>
          <w:tcPr>
            <w:cnfStyle w:val="000010000000" w:firstRow="0" w:lastRow="0" w:firstColumn="0" w:lastColumn="0" w:oddVBand="1" w:evenVBand="0" w:oddHBand="0" w:evenHBand="0" w:firstRowFirstColumn="0" w:firstRowLastColumn="0" w:lastRowFirstColumn="0" w:lastRowLastColumn="0"/>
            <w:tcW w:w="1170" w:type="dxa"/>
            <w:noWrap/>
          </w:tcPr>
          <w:p w14:paraId="4A699F0D" w14:textId="5E299C56" w:rsidR="008D7274" w:rsidRPr="0067507D" w:rsidRDefault="008D7274" w:rsidP="008D7274">
            <w:pPr>
              <w:pStyle w:val="Tabletextrightbold"/>
            </w:pPr>
            <w:r w:rsidRPr="0067507D">
              <w:t>8</w:t>
            </w:r>
          </w:p>
        </w:tc>
      </w:tr>
      <w:tr w:rsidR="008D7274" w:rsidRPr="0067507D" w14:paraId="4F778611" w14:textId="77777777" w:rsidTr="008D7274">
        <w:trPr>
          <w:trHeight w:val="270"/>
        </w:trPr>
        <w:tc>
          <w:tcPr>
            <w:cnfStyle w:val="001000000000" w:firstRow="0" w:lastRow="0" w:firstColumn="1" w:lastColumn="0" w:oddVBand="0" w:evenVBand="0" w:oddHBand="0" w:evenHBand="0" w:firstRowFirstColumn="0" w:firstRowLastColumn="0" w:lastRowFirstColumn="0" w:lastRowLastColumn="0"/>
            <w:tcW w:w="4245" w:type="dxa"/>
            <w:noWrap/>
          </w:tcPr>
          <w:p w14:paraId="2A045A05" w14:textId="77777777" w:rsidR="008D7274" w:rsidRPr="0067507D" w:rsidRDefault="008D7274" w:rsidP="008D7274">
            <w:pPr>
              <w:pStyle w:val="Tabletext"/>
            </w:pPr>
          </w:p>
        </w:tc>
        <w:tc>
          <w:tcPr>
            <w:cnfStyle w:val="000010000000" w:firstRow="0" w:lastRow="0" w:firstColumn="0" w:lastColumn="0" w:oddVBand="1" w:evenVBand="0" w:oddHBand="0" w:evenHBand="0" w:firstRowFirstColumn="0" w:firstRowLastColumn="0" w:lastRowFirstColumn="0" w:lastRowLastColumn="0"/>
            <w:tcW w:w="1170" w:type="dxa"/>
          </w:tcPr>
          <w:p w14:paraId="28842FF3" w14:textId="77777777" w:rsidR="008D7274" w:rsidRPr="0067507D" w:rsidRDefault="008D7274" w:rsidP="008D7274">
            <w:pPr>
              <w:pStyle w:val="Tabletextright"/>
            </w:pPr>
          </w:p>
        </w:tc>
        <w:tc>
          <w:tcPr>
            <w:cnfStyle w:val="000001000000" w:firstRow="0" w:lastRow="0" w:firstColumn="0" w:lastColumn="0" w:oddVBand="0" w:evenVBand="1" w:oddHBand="0" w:evenHBand="0" w:firstRowFirstColumn="0" w:firstRowLastColumn="0" w:lastRowFirstColumn="0" w:lastRowLastColumn="0"/>
            <w:tcW w:w="1170" w:type="dxa"/>
            <w:noWrap/>
          </w:tcPr>
          <w:p w14:paraId="03FE45D1" w14:textId="77777777" w:rsidR="008D7274" w:rsidRPr="0067507D" w:rsidRDefault="008D7274" w:rsidP="008D7274">
            <w:pPr>
              <w:pStyle w:val="Tabletextright"/>
            </w:pPr>
          </w:p>
        </w:tc>
        <w:tc>
          <w:tcPr>
            <w:cnfStyle w:val="000010000000" w:firstRow="0" w:lastRow="0" w:firstColumn="0" w:lastColumn="0" w:oddVBand="1" w:evenVBand="0" w:oddHBand="0" w:evenHBand="0" w:firstRowFirstColumn="0" w:firstRowLastColumn="0" w:lastRowFirstColumn="0" w:lastRowLastColumn="0"/>
            <w:tcW w:w="1170" w:type="dxa"/>
            <w:noWrap/>
          </w:tcPr>
          <w:p w14:paraId="573CB84F" w14:textId="2EC94FAB" w:rsidR="008D7274" w:rsidRPr="0067507D" w:rsidRDefault="008D7274" w:rsidP="008D7274">
            <w:pPr>
              <w:pStyle w:val="Tabletextright"/>
            </w:pPr>
          </w:p>
        </w:tc>
      </w:tr>
      <w:tr w:rsidR="008D7274" w:rsidRPr="0067507D" w14:paraId="39E814DA" w14:textId="77777777" w:rsidTr="008D7274">
        <w:trPr>
          <w:trHeight w:val="270"/>
        </w:trPr>
        <w:tc>
          <w:tcPr>
            <w:cnfStyle w:val="001000000000" w:firstRow="0" w:lastRow="0" w:firstColumn="1" w:lastColumn="0" w:oddVBand="0" w:evenVBand="0" w:oddHBand="0" w:evenHBand="0" w:firstRowFirstColumn="0" w:firstRowLastColumn="0" w:lastRowFirstColumn="0" w:lastRowLastColumn="0"/>
            <w:tcW w:w="4245" w:type="dxa"/>
            <w:noWrap/>
          </w:tcPr>
          <w:p w14:paraId="375F0C13" w14:textId="15D6C416" w:rsidR="008D7274" w:rsidRPr="0067507D" w:rsidRDefault="008D7274" w:rsidP="008D7274">
            <w:pPr>
              <w:pStyle w:val="Tabletextbold"/>
            </w:pPr>
            <w:r w:rsidRPr="0067507D">
              <w:t>Cash flows from financing activities</w:t>
            </w:r>
          </w:p>
        </w:tc>
        <w:tc>
          <w:tcPr>
            <w:cnfStyle w:val="000010000000" w:firstRow="0" w:lastRow="0" w:firstColumn="0" w:lastColumn="0" w:oddVBand="1" w:evenVBand="0" w:oddHBand="0" w:evenHBand="0" w:firstRowFirstColumn="0" w:firstRowLastColumn="0" w:lastRowFirstColumn="0" w:lastRowLastColumn="0"/>
            <w:tcW w:w="1170" w:type="dxa"/>
          </w:tcPr>
          <w:p w14:paraId="1B68D013" w14:textId="77777777" w:rsidR="008D7274" w:rsidRPr="0067507D" w:rsidRDefault="008D7274" w:rsidP="008D7274">
            <w:pPr>
              <w:pStyle w:val="Tabletextright"/>
            </w:pPr>
          </w:p>
        </w:tc>
        <w:tc>
          <w:tcPr>
            <w:cnfStyle w:val="000001000000" w:firstRow="0" w:lastRow="0" w:firstColumn="0" w:lastColumn="0" w:oddVBand="0" w:evenVBand="1" w:oddHBand="0" w:evenHBand="0" w:firstRowFirstColumn="0" w:firstRowLastColumn="0" w:lastRowFirstColumn="0" w:lastRowLastColumn="0"/>
            <w:tcW w:w="1170" w:type="dxa"/>
            <w:noWrap/>
          </w:tcPr>
          <w:p w14:paraId="545EFCD5" w14:textId="77777777" w:rsidR="008D7274" w:rsidRPr="0067507D" w:rsidRDefault="008D7274" w:rsidP="008D7274">
            <w:pPr>
              <w:pStyle w:val="Tabletextright"/>
            </w:pPr>
          </w:p>
        </w:tc>
        <w:tc>
          <w:tcPr>
            <w:cnfStyle w:val="000010000000" w:firstRow="0" w:lastRow="0" w:firstColumn="0" w:lastColumn="0" w:oddVBand="1" w:evenVBand="0" w:oddHBand="0" w:evenHBand="0" w:firstRowFirstColumn="0" w:firstRowLastColumn="0" w:lastRowFirstColumn="0" w:lastRowLastColumn="0"/>
            <w:tcW w:w="1170" w:type="dxa"/>
            <w:noWrap/>
          </w:tcPr>
          <w:p w14:paraId="045E8A30" w14:textId="4D73387F" w:rsidR="008D7274" w:rsidRPr="0067507D" w:rsidRDefault="008D7274" w:rsidP="008D7274">
            <w:pPr>
              <w:pStyle w:val="Tabletextright"/>
            </w:pPr>
          </w:p>
        </w:tc>
      </w:tr>
      <w:tr w:rsidR="008D7274" w:rsidRPr="0067507D" w14:paraId="159C8FFB"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1774B8A1" w14:textId="2A139303" w:rsidR="008D7274" w:rsidRPr="0067507D" w:rsidRDefault="008D7274" w:rsidP="008D7274">
            <w:pPr>
              <w:pStyle w:val="Tabletext"/>
            </w:pPr>
            <w:r w:rsidRPr="0067507D">
              <w:t xml:space="preserve">Owner contributions by State Government </w:t>
            </w:r>
            <w:r w:rsidRPr="0067507D">
              <w:rPr>
                <w:vertAlign w:val="superscript"/>
              </w:rPr>
              <w:t>(</w:t>
            </w:r>
            <w:r w:rsidR="006C6742" w:rsidRPr="0067507D">
              <w:rPr>
                <w:vertAlign w:val="superscript"/>
              </w:rPr>
              <w:t>d</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1170" w:type="dxa"/>
          </w:tcPr>
          <w:p w14:paraId="4616D8CB" w14:textId="7D5F64E2" w:rsidR="008D7274" w:rsidRPr="0067507D" w:rsidRDefault="008D7274" w:rsidP="008D7274">
            <w:pPr>
              <w:pStyle w:val="Tabletextright"/>
            </w:pPr>
            <w:r w:rsidRPr="0067507D">
              <w:t>10</w:t>
            </w:r>
          </w:p>
        </w:tc>
        <w:tc>
          <w:tcPr>
            <w:cnfStyle w:val="000001000000" w:firstRow="0" w:lastRow="0" w:firstColumn="0" w:lastColumn="0" w:oddVBand="0" w:evenVBand="1" w:oddHBand="0" w:evenHBand="0" w:firstRowFirstColumn="0" w:firstRowLastColumn="0" w:lastRowFirstColumn="0" w:lastRowLastColumn="0"/>
            <w:tcW w:w="1170" w:type="dxa"/>
            <w:noWrap/>
          </w:tcPr>
          <w:p w14:paraId="73DBAC43" w14:textId="7EFE6955" w:rsidR="008D7274" w:rsidRPr="0067507D" w:rsidRDefault="00CA711C" w:rsidP="008D7274">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170" w:type="dxa"/>
            <w:noWrap/>
          </w:tcPr>
          <w:p w14:paraId="54A69485" w14:textId="669665A2" w:rsidR="008D7274" w:rsidRPr="0067507D" w:rsidRDefault="008D7274" w:rsidP="008D7274">
            <w:pPr>
              <w:pStyle w:val="Tabletextright"/>
            </w:pPr>
            <w:r w:rsidRPr="0067507D">
              <w:t>(10)</w:t>
            </w:r>
          </w:p>
        </w:tc>
      </w:tr>
      <w:tr w:rsidR="008D7274" w:rsidRPr="0067507D" w14:paraId="2DC66A44"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324C459C" w14:textId="257F41AD" w:rsidR="008D7274" w:rsidRPr="0067507D" w:rsidRDefault="008D7274" w:rsidP="008D7274">
            <w:pPr>
              <w:pStyle w:val="Tabletext"/>
              <w:rPr>
                <w:rFonts w:ascii="VIC" w:hAnsi="VIC" w:cs="Arial"/>
                <w:szCs w:val="15"/>
              </w:rPr>
            </w:pPr>
            <w:r w:rsidRPr="0067507D">
              <w:t>Net cash flows from / (used in) financing activities</w:t>
            </w:r>
          </w:p>
        </w:tc>
        <w:tc>
          <w:tcPr>
            <w:cnfStyle w:val="000010000000" w:firstRow="0" w:lastRow="0" w:firstColumn="0" w:lastColumn="0" w:oddVBand="1" w:evenVBand="0" w:oddHBand="0" w:evenHBand="0" w:firstRowFirstColumn="0" w:firstRowLastColumn="0" w:lastRowFirstColumn="0" w:lastRowLastColumn="0"/>
            <w:tcW w:w="1170" w:type="dxa"/>
          </w:tcPr>
          <w:p w14:paraId="22AD816A" w14:textId="32C5E566" w:rsidR="008D7274" w:rsidRPr="0067507D" w:rsidRDefault="008D7274" w:rsidP="008D7274">
            <w:pPr>
              <w:pStyle w:val="Tabletextright"/>
            </w:pPr>
            <w:r w:rsidRPr="0067507D">
              <w:t>10</w:t>
            </w:r>
          </w:p>
        </w:tc>
        <w:tc>
          <w:tcPr>
            <w:cnfStyle w:val="000001000000" w:firstRow="0" w:lastRow="0" w:firstColumn="0" w:lastColumn="0" w:oddVBand="0" w:evenVBand="1" w:oddHBand="0" w:evenHBand="0" w:firstRowFirstColumn="0" w:firstRowLastColumn="0" w:lastRowFirstColumn="0" w:lastRowLastColumn="0"/>
            <w:tcW w:w="1170" w:type="dxa"/>
            <w:noWrap/>
          </w:tcPr>
          <w:p w14:paraId="331738B4" w14:textId="24869F58" w:rsidR="008D7274" w:rsidRPr="0067507D" w:rsidRDefault="00CA711C" w:rsidP="008D7274">
            <w:pPr>
              <w:pStyle w:val="Tabletextright"/>
              <w:rPr>
                <w:rFonts w:ascii="VIC" w:hAnsi="VIC" w:cs="Arial"/>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1170" w:type="dxa"/>
            <w:noWrap/>
          </w:tcPr>
          <w:p w14:paraId="6C91BB2C" w14:textId="715BA717" w:rsidR="008D7274" w:rsidRPr="0067507D" w:rsidRDefault="008D7274" w:rsidP="008D7274">
            <w:pPr>
              <w:pStyle w:val="Tabletextright"/>
              <w:rPr>
                <w:rFonts w:ascii="VIC" w:hAnsi="VIC" w:cs="Arial"/>
                <w:szCs w:val="15"/>
              </w:rPr>
            </w:pPr>
            <w:r w:rsidRPr="0067507D">
              <w:t>(10)</w:t>
            </w:r>
          </w:p>
        </w:tc>
      </w:tr>
      <w:tr w:rsidR="008D7274" w:rsidRPr="0067507D" w14:paraId="787E5212"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2FE7801B" w14:textId="020C6515" w:rsidR="008D7274" w:rsidRPr="0067507D" w:rsidRDefault="008D7274" w:rsidP="008D7274">
            <w:pPr>
              <w:pStyle w:val="Tabletext"/>
            </w:pPr>
          </w:p>
        </w:tc>
        <w:tc>
          <w:tcPr>
            <w:cnfStyle w:val="000010000000" w:firstRow="0" w:lastRow="0" w:firstColumn="0" w:lastColumn="0" w:oddVBand="1" w:evenVBand="0" w:oddHBand="0" w:evenHBand="0" w:firstRowFirstColumn="0" w:firstRowLastColumn="0" w:lastRowFirstColumn="0" w:lastRowLastColumn="0"/>
            <w:tcW w:w="1170" w:type="dxa"/>
          </w:tcPr>
          <w:p w14:paraId="0C4DBCD9" w14:textId="6D425EE9" w:rsidR="008D7274" w:rsidRPr="0067507D" w:rsidRDefault="008D7274" w:rsidP="008D7274">
            <w:pPr>
              <w:pStyle w:val="Tabletextright"/>
            </w:pPr>
          </w:p>
        </w:tc>
        <w:tc>
          <w:tcPr>
            <w:cnfStyle w:val="000001000000" w:firstRow="0" w:lastRow="0" w:firstColumn="0" w:lastColumn="0" w:oddVBand="0" w:evenVBand="1" w:oddHBand="0" w:evenHBand="0" w:firstRowFirstColumn="0" w:firstRowLastColumn="0" w:lastRowFirstColumn="0" w:lastRowLastColumn="0"/>
            <w:tcW w:w="1170" w:type="dxa"/>
            <w:noWrap/>
          </w:tcPr>
          <w:p w14:paraId="5F2A57A2" w14:textId="63F5F199" w:rsidR="008D7274" w:rsidRPr="0067507D" w:rsidRDefault="008D7274" w:rsidP="008D7274">
            <w:pPr>
              <w:pStyle w:val="Tabletextright"/>
            </w:pPr>
          </w:p>
        </w:tc>
        <w:tc>
          <w:tcPr>
            <w:cnfStyle w:val="000010000000" w:firstRow="0" w:lastRow="0" w:firstColumn="0" w:lastColumn="0" w:oddVBand="1" w:evenVBand="0" w:oddHBand="0" w:evenHBand="0" w:firstRowFirstColumn="0" w:firstRowLastColumn="0" w:lastRowFirstColumn="0" w:lastRowLastColumn="0"/>
            <w:tcW w:w="1170" w:type="dxa"/>
            <w:noWrap/>
          </w:tcPr>
          <w:p w14:paraId="629490A7" w14:textId="38AD93D5" w:rsidR="008D7274" w:rsidRPr="0067507D" w:rsidRDefault="008D7274" w:rsidP="008D7274">
            <w:pPr>
              <w:pStyle w:val="Tabletextright"/>
              <w:rPr>
                <w:highlight w:val="yellow"/>
              </w:rPr>
            </w:pPr>
          </w:p>
        </w:tc>
      </w:tr>
      <w:tr w:rsidR="008D7274" w:rsidRPr="0067507D" w14:paraId="16362482" w14:textId="77777777" w:rsidTr="008D7274">
        <w:trPr>
          <w:trHeight w:val="270"/>
        </w:trPr>
        <w:tc>
          <w:tcPr>
            <w:cnfStyle w:val="001000000000" w:firstRow="0" w:lastRow="0" w:firstColumn="1" w:lastColumn="0" w:oddVBand="0" w:evenVBand="0" w:oddHBand="0" w:evenHBand="0" w:firstRowFirstColumn="0" w:firstRowLastColumn="0" w:lastRowFirstColumn="0" w:lastRowLastColumn="0"/>
            <w:tcW w:w="4245" w:type="dxa"/>
            <w:noWrap/>
          </w:tcPr>
          <w:p w14:paraId="34AB58E0" w14:textId="657E9AD7" w:rsidR="008D7274" w:rsidRPr="0067507D" w:rsidRDefault="008D7274" w:rsidP="008D7274">
            <w:pPr>
              <w:pStyle w:val="Tabletextbold"/>
            </w:pPr>
            <w:r w:rsidRPr="0067507D">
              <w:t>Net increase/(decrease) in cash and cash equivalents</w:t>
            </w:r>
          </w:p>
        </w:tc>
        <w:tc>
          <w:tcPr>
            <w:cnfStyle w:val="000010000000" w:firstRow="0" w:lastRow="0" w:firstColumn="0" w:lastColumn="0" w:oddVBand="1" w:evenVBand="0" w:oddHBand="0" w:evenHBand="0" w:firstRowFirstColumn="0" w:firstRowLastColumn="0" w:lastRowFirstColumn="0" w:lastRowLastColumn="0"/>
            <w:tcW w:w="1170" w:type="dxa"/>
          </w:tcPr>
          <w:p w14:paraId="4C3D58A5" w14:textId="64260162" w:rsidR="008D7274" w:rsidRPr="0067507D" w:rsidRDefault="008D7274" w:rsidP="008D7274">
            <w:pPr>
              <w:pStyle w:val="Tabletextrightbold"/>
            </w:pPr>
            <w:r w:rsidRPr="0067507D">
              <w:t>(1)</w:t>
            </w:r>
          </w:p>
        </w:tc>
        <w:tc>
          <w:tcPr>
            <w:cnfStyle w:val="000001000000" w:firstRow="0" w:lastRow="0" w:firstColumn="0" w:lastColumn="0" w:oddVBand="0" w:evenVBand="1" w:oddHBand="0" w:evenHBand="0" w:firstRowFirstColumn="0" w:firstRowLastColumn="0" w:lastRowFirstColumn="0" w:lastRowLastColumn="0"/>
            <w:tcW w:w="1170" w:type="dxa"/>
            <w:noWrap/>
          </w:tcPr>
          <w:p w14:paraId="2C7D696F" w14:textId="3E941B11" w:rsidR="008D7274" w:rsidRPr="0067507D" w:rsidRDefault="00CA711C" w:rsidP="008D7274">
            <w:pPr>
              <w:pStyle w:val="Tabletextrightbold"/>
            </w:pPr>
            <w:r w:rsidRPr="0067507D">
              <w:t>–</w:t>
            </w:r>
          </w:p>
        </w:tc>
        <w:tc>
          <w:tcPr>
            <w:cnfStyle w:val="000010000000" w:firstRow="0" w:lastRow="0" w:firstColumn="0" w:lastColumn="0" w:oddVBand="1" w:evenVBand="0" w:oddHBand="0" w:evenHBand="0" w:firstRowFirstColumn="0" w:firstRowLastColumn="0" w:lastRowFirstColumn="0" w:lastRowLastColumn="0"/>
            <w:tcW w:w="1170" w:type="dxa"/>
            <w:noWrap/>
          </w:tcPr>
          <w:p w14:paraId="306462FC" w14:textId="7CDCAE21" w:rsidR="008D7274" w:rsidRPr="0067507D" w:rsidRDefault="008D7274" w:rsidP="008D7274">
            <w:pPr>
              <w:pStyle w:val="Tabletextright"/>
              <w:rPr>
                <w:b/>
              </w:rPr>
            </w:pPr>
            <w:r w:rsidRPr="0067507D">
              <w:t>1</w:t>
            </w:r>
          </w:p>
        </w:tc>
      </w:tr>
      <w:tr w:rsidR="008D7274" w:rsidRPr="0067507D" w14:paraId="41DA2A3D" w14:textId="77777777" w:rsidTr="008D7274">
        <w:trPr>
          <w:trHeight w:val="270"/>
        </w:trPr>
        <w:tc>
          <w:tcPr>
            <w:cnfStyle w:val="001000000000" w:firstRow="0" w:lastRow="0" w:firstColumn="1" w:lastColumn="0" w:oddVBand="0" w:evenVBand="0" w:oddHBand="0" w:evenHBand="0" w:firstRowFirstColumn="0" w:firstRowLastColumn="0" w:lastRowFirstColumn="0" w:lastRowLastColumn="0"/>
            <w:tcW w:w="4245" w:type="dxa"/>
            <w:noWrap/>
          </w:tcPr>
          <w:p w14:paraId="3623433A" w14:textId="208F57D5" w:rsidR="008D7274" w:rsidRPr="0067507D" w:rsidRDefault="008D7274" w:rsidP="008D7274">
            <w:pPr>
              <w:pStyle w:val="Tabletextbold"/>
            </w:pPr>
            <w:r w:rsidRPr="0067507D">
              <w:t>Cash and cash equivalents at the beginning of the financial year</w:t>
            </w:r>
          </w:p>
        </w:tc>
        <w:tc>
          <w:tcPr>
            <w:cnfStyle w:val="000010000000" w:firstRow="0" w:lastRow="0" w:firstColumn="0" w:lastColumn="0" w:oddVBand="1" w:evenVBand="0" w:oddHBand="0" w:evenHBand="0" w:firstRowFirstColumn="0" w:firstRowLastColumn="0" w:lastRowFirstColumn="0" w:lastRowLastColumn="0"/>
            <w:tcW w:w="1170" w:type="dxa"/>
          </w:tcPr>
          <w:p w14:paraId="6E89B75F" w14:textId="3911250B" w:rsidR="008D7274" w:rsidRPr="0067507D" w:rsidRDefault="008D7274" w:rsidP="008D7274">
            <w:pPr>
              <w:pStyle w:val="Tabletextrightbold"/>
            </w:pPr>
            <w:r w:rsidRPr="0067507D">
              <w:t>12</w:t>
            </w:r>
          </w:p>
        </w:tc>
        <w:tc>
          <w:tcPr>
            <w:cnfStyle w:val="000001000000" w:firstRow="0" w:lastRow="0" w:firstColumn="0" w:lastColumn="0" w:oddVBand="0" w:evenVBand="1" w:oddHBand="0" w:evenHBand="0" w:firstRowFirstColumn="0" w:firstRowLastColumn="0" w:lastRowFirstColumn="0" w:lastRowLastColumn="0"/>
            <w:tcW w:w="1170" w:type="dxa"/>
            <w:noWrap/>
          </w:tcPr>
          <w:p w14:paraId="01D6E429" w14:textId="61C6F6FA" w:rsidR="008D7274" w:rsidRPr="0067507D" w:rsidRDefault="008D7274" w:rsidP="008D7274">
            <w:pPr>
              <w:pStyle w:val="Tabletextrightbold"/>
            </w:pPr>
            <w:r w:rsidRPr="0067507D">
              <w:t>12</w:t>
            </w:r>
          </w:p>
        </w:tc>
        <w:tc>
          <w:tcPr>
            <w:cnfStyle w:val="000010000000" w:firstRow="0" w:lastRow="0" w:firstColumn="0" w:lastColumn="0" w:oddVBand="1" w:evenVBand="0" w:oddHBand="0" w:evenHBand="0" w:firstRowFirstColumn="0" w:firstRowLastColumn="0" w:lastRowFirstColumn="0" w:lastRowLastColumn="0"/>
            <w:tcW w:w="1170" w:type="dxa"/>
            <w:noWrap/>
          </w:tcPr>
          <w:p w14:paraId="726C5A89" w14:textId="5C540E01" w:rsidR="008D7274" w:rsidRPr="0067507D" w:rsidRDefault="00CA711C" w:rsidP="008D7274">
            <w:pPr>
              <w:pStyle w:val="Tabletextrightbold"/>
            </w:pPr>
            <w:r w:rsidRPr="0067507D">
              <w:t>–</w:t>
            </w:r>
          </w:p>
        </w:tc>
      </w:tr>
      <w:tr w:rsidR="008D7274" w:rsidRPr="0067507D" w14:paraId="59F2718A" w14:textId="77777777" w:rsidTr="008D7274">
        <w:trPr>
          <w:trHeight w:val="255"/>
        </w:trPr>
        <w:tc>
          <w:tcPr>
            <w:cnfStyle w:val="001000000000" w:firstRow="0" w:lastRow="0" w:firstColumn="1" w:lastColumn="0" w:oddVBand="0" w:evenVBand="0" w:oddHBand="0" w:evenHBand="0" w:firstRowFirstColumn="0" w:firstRowLastColumn="0" w:lastRowFirstColumn="0" w:lastRowLastColumn="0"/>
            <w:tcW w:w="4245" w:type="dxa"/>
            <w:noWrap/>
          </w:tcPr>
          <w:p w14:paraId="6993325C" w14:textId="60AE6F65" w:rsidR="008D7274" w:rsidRPr="0067507D" w:rsidRDefault="008D7274" w:rsidP="008D7274">
            <w:pPr>
              <w:pStyle w:val="Tabletextbold"/>
            </w:pPr>
            <w:r w:rsidRPr="0067507D">
              <w:t>Cash and cash equivalents at the end of the financial year</w:t>
            </w:r>
          </w:p>
        </w:tc>
        <w:tc>
          <w:tcPr>
            <w:cnfStyle w:val="000010000000" w:firstRow="0" w:lastRow="0" w:firstColumn="0" w:lastColumn="0" w:oddVBand="1" w:evenVBand="0" w:oddHBand="0" w:evenHBand="0" w:firstRowFirstColumn="0" w:firstRowLastColumn="0" w:lastRowFirstColumn="0" w:lastRowLastColumn="0"/>
            <w:tcW w:w="1170" w:type="dxa"/>
          </w:tcPr>
          <w:p w14:paraId="0F36276F" w14:textId="2B0D8DEF" w:rsidR="008D7274" w:rsidRPr="0067507D" w:rsidRDefault="008D7274" w:rsidP="008D7274">
            <w:pPr>
              <w:pStyle w:val="Tabletextrightbold"/>
            </w:pPr>
            <w:r w:rsidRPr="0067507D">
              <w:t>11</w:t>
            </w:r>
          </w:p>
        </w:tc>
        <w:tc>
          <w:tcPr>
            <w:cnfStyle w:val="000001000000" w:firstRow="0" w:lastRow="0" w:firstColumn="0" w:lastColumn="0" w:oddVBand="0" w:evenVBand="1" w:oddHBand="0" w:evenHBand="0" w:firstRowFirstColumn="0" w:firstRowLastColumn="0" w:lastRowFirstColumn="0" w:lastRowLastColumn="0"/>
            <w:tcW w:w="1170" w:type="dxa"/>
            <w:noWrap/>
          </w:tcPr>
          <w:p w14:paraId="4EFFE935" w14:textId="420AD068" w:rsidR="008D7274" w:rsidRPr="0067507D" w:rsidRDefault="008D7274" w:rsidP="008D7274">
            <w:pPr>
              <w:pStyle w:val="Tabletextrightbold"/>
            </w:pPr>
            <w:r w:rsidRPr="0067507D">
              <w:t>12</w:t>
            </w:r>
          </w:p>
        </w:tc>
        <w:tc>
          <w:tcPr>
            <w:cnfStyle w:val="000010000000" w:firstRow="0" w:lastRow="0" w:firstColumn="0" w:lastColumn="0" w:oddVBand="1" w:evenVBand="0" w:oddHBand="0" w:evenHBand="0" w:firstRowFirstColumn="0" w:firstRowLastColumn="0" w:lastRowFirstColumn="0" w:lastRowLastColumn="0"/>
            <w:tcW w:w="1170" w:type="dxa"/>
            <w:noWrap/>
          </w:tcPr>
          <w:p w14:paraId="57CC76B2" w14:textId="33EA03AB" w:rsidR="008D7274" w:rsidRPr="0067507D" w:rsidRDefault="008D7274" w:rsidP="008D7274">
            <w:pPr>
              <w:pStyle w:val="Tabletextrightbold"/>
            </w:pPr>
            <w:r w:rsidRPr="0067507D">
              <w:t>1</w:t>
            </w:r>
          </w:p>
        </w:tc>
      </w:tr>
    </w:tbl>
    <w:p w14:paraId="695FA54C" w14:textId="77777777" w:rsidR="003103C7" w:rsidRPr="0067507D" w:rsidRDefault="003103C7" w:rsidP="003103C7">
      <w:pPr>
        <w:pStyle w:val="Notes"/>
      </w:pPr>
      <w:r w:rsidRPr="0067507D">
        <w:t>Notes:</w:t>
      </w:r>
    </w:p>
    <w:p w14:paraId="14925DF5" w14:textId="495C9E73" w:rsidR="008340A1" w:rsidRPr="0067507D" w:rsidRDefault="008340A1" w:rsidP="00072775">
      <w:pPr>
        <w:pStyle w:val="Notes"/>
      </w:pPr>
      <w:r w:rsidRPr="0067507D">
        <w:t xml:space="preserve">(a) Higher actuals primarily reflect funding </w:t>
      </w:r>
      <w:r w:rsidR="00DC2301" w:rsidRPr="0067507D">
        <w:t xml:space="preserve">allocations </w:t>
      </w:r>
      <w:r w:rsidRPr="0067507D">
        <w:t xml:space="preserve">for Industrial Relations Victoria and </w:t>
      </w:r>
      <w:r w:rsidR="00592F8A" w:rsidRPr="0067507D">
        <w:t xml:space="preserve">the </w:t>
      </w:r>
      <w:r w:rsidRPr="0067507D">
        <w:t>Victorian Independent Remuneration Tribunal and the new Victorian Public Service Enterprise Agreement 2024 which were not included in the Budget.</w:t>
      </w:r>
    </w:p>
    <w:p w14:paraId="4E2B3B6C" w14:textId="1F8268AC" w:rsidR="008340A1" w:rsidRPr="0067507D" w:rsidRDefault="008340A1" w:rsidP="00072775">
      <w:pPr>
        <w:pStyle w:val="Notes"/>
      </w:pPr>
      <w:r w:rsidRPr="0067507D">
        <w:t xml:space="preserve">(b) Higher actuals primarily reflect grants programs for Industrial Relations Victoria which </w:t>
      </w:r>
      <w:r w:rsidR="00DC2301" w:rsidRPr="0067507D">
        <w:t xml:space="preserve">were </w:t>
      </w:r>
      <w:r w:rsidRPr="0067507D">
        <w:t>not included in the Budget, and grant payments that were accrued and not budgeted for.</w:t>
      </w:r>
    </w:p>
    <w:p w14:paraId="13AE9FDD" w14:textId="1C76B359" w:rsidR="008340A1" w:rsidRPr="0067507D" w:rsidRDefault="008340A1" w:rsidP="00072775">
      <w:pPr>
        <w:pStyle w:val="Notes"/>
      </w:pPr>
      <w:r w:rsidRPr="0067507D">
        <w:t>(</w:t>
      </w:r>
      <w:r w:rsidR="006C6742" w:rsidRPr="0067507D">
        <w:t>c</w:t>
      </w:r>
      <w:r w:rsidRPr="0067507D">
        <w:t>) Lower actuals primarily reflect revised delivery timeline</w:t>
      </w:r>
      <w:r w:rsidR="00DC2301" w:rsidRPr="0067507D">
        <w:t>s</w:t>
      </w:r>
      <w:r w:rsidRPr="0067507D">
        <w:t xml:space="preserve"> of capital projects with the State Revenue Office.</w:t>
      </w:r>
    </w:p>
    <w:p w14:paraId="0760869A" w14:textId="7EC98928" w:rsidR="00344B6A" w:rsidRPr="0067507D" w:rsidRDefault="008340A1" w:rsidP="00072775">
      <w:pPr>
        <w:pStyle w:val="Notes"/>
      </w:pPr>
      <w:r w:rsidRPr="0067507D">
        <w:t>(</w:t>
      </w:r>
      <w:r w:rsidR="006C6742" w:rsidRPr="0067507D">
        <w:t>d</w:t>
      </w:r>
      <w:r w:rsidRPr="0067507D">
        <w:t>) The budget reflects capital funding from ATNAB. Capital expenditure in 2024</w:t>
      </w:r>
      <w:r w:rsidR="006A5485">
        <w:noBreakHyphen/>
      </w:r>
      <w:r w:rsidRPr="0067507D">
        <w:t>25 was fully covered by Depreciation Equivalent funding and, hence, ATNAB was not utilised.</w:t>
      </w:r>
    </w:p>
    <w:p w14:paraId="6F4A0F3E" w14:textId="77777777" w:rsidR="006E38D3" w:rsidRPr="0067507D" w:rsidRDefault="006E38D3" w:rsidP="006E38D3">
      <w:pPr>
        <w:spacing w:before="0" w:after="0"/>
      </w:pPr>
      <w:r w:rsidRPr="0067507D">
        <w:br w:type="page"/>
      </w:r>
    </w:p>
    <w:p w14:paraId="0737BCE8" w14:textId="77777777" w:rsidR="006E38D3" w:rsidRPr="0067507D" w:rsidRDefault="006E38D3" w:rsidP="006E38D3">
      <w:pPr>
        <w:pStyle w:val="Heading2"/>
      </w:pPr>
      <w:r w:rsidRPr="0067507D">
        <w:lastRenderedPageBreak/>
        <w:t>Budget portfolio outcomes</w:t>
      </w:r>
    </w:p>
    <w:p w14:paraId="0056BBAB" w14:textId="0AE44BFF" w:rsidR="006E38D3" w:rsidRPr="0067507D" w:rsidRDefault="006E38D3" w:rsidP="006E38D3">
      <w:pPr>
        <w:pStyle w:val="Heading3"/>
      </w:pPr>
      <w:r w:rsidRPr="0067507D">
        <w:t xml:space="preserve">Statement of changes in equity for the year ended </w:t>
      </w:r>
      <w:r w:rsidR="00C30F42" w:rsidRPr="0067507D">
        <w:t>30 June 2025</w:t>
      </w:r>
    </w:p>
    <w:tbl>
      <w:tblPr>
        <w:tblStyle w:val="AnnualReporttexttable"/>
        <w:tblW w:w="8499" w:type="dxa"/>
        <w:tblLayout w:type="fixed"/>
        <w:tblLook w:val="02A0" w:firstRow="1" w:lastRow="0" w:firstColumn="1" w:lastColumn="0" w:noHBand="1" w:noVBand="0"/>
      </w:tblPr>
      <w:tblGrid>
        <w:gridCol w:w="4608"/>
        <w:gridCol w:w="1297"/>
        <w:gridCol w:w="1384"/>
        <w:gridCol w:w="1210"/>
      </w:tblGrid>
      <w:tr w:rsidR="00356BF9" w:rsidRPr="0067507D" w14:paraId="7298541D" w14:textId="77777777" w:rsidTr="00F10DAB">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608" w:type="dxa"/>
            <w:noWrap/>
            <w:vAlign w:val="bottom"/>
            <w:hideMark/>
          </w:tcPr>
          <w:p w14:paraId="3444AC61" w14:textId="77777777" w:rsidR="00356BF9" w:rsidRPr="0067507D" w:rsidRDefault="00356BF9">
            <w:pPr>
              <w:pStyle w:val="Tabletextheadingleft"/>
              <w:rPr>
                <w:b w:val="0"/>
              </w:rPr>
            </w:pPr>
            <w:r w:rsidRPr="0067507D">
              <w:rPr>
                <w:b w:val="0"/>
              </w:rPr>
              <w:t>Controlled</w:t>
            </w:r>
          </w:p>
        </w:tc>
        <w:tc>
          <w:tcPr>
            <w:cnfStyle w:val="000010000000" w:firstRow="0" w:lastRow="0" w:firstColumn="0" w:lastColumn="0" w:oddVBand="1" w:evenVBand="0" w:oddHBand="0" w:evenHBand="0" w:firstRowFirstColumn="0" w:firstRowLastColumn="0" w:lastRowFirstColumn="0" w:lastRowLastColumn="0"/>
            <w:tcW w:w="1297" w:type="dxa"/>
            <w:shd w:val="clear" w:color="auto" w:fill="auto"/>
            <w:noWrap/>
            <w:vAlign w:val="bottom"/>
            <w:hideMark/>
          </w:tcPr>
          <w:p w14:paraId="4995D230" w14:textId="77777777" w:rsidR="00356BF9" w:rsidRPr="0067507D" w:rsidRDefault="00356BF9">
            <w:pPr>
              <w:pStyle w:val="Tabletextheadingright"/>
              <w:rPr>
                <w:b w:val="0"/>
              </w:rPr>
            </w:pPr>
            <w:r w:rsidRPr="0067507D">
              <w:rPr>
                <w:b w:val="0"/>
              </w:rPr>
              <w:t>Accumulated surplus</w:t>
            </w:r>
          </w:p>
        </w:tc>
        <w:tc>
          <w:tcPr>
            <w:cnfStyle w:val="000001000000" w:firstRow="0" w:lastRow="0" w:firstColumn="0" w:lastColumn="0" w:oddVBand="0" w:evenVBand="1" w:oddHBand="0" w:evenHBand="0" w:firstRowFirstColumn="0" w:firstRowLastColumn="0" w:lastRowFirstColumn="0" w:lastRowLastColumn="0"/>
            <w:tcW w:w="1384" w:type="dxa"/>
            <w:shd w:val="clear" w:color="auto" w:fill="auto"/>
            <w:noWrap/>
            <w:vAlign w:val="bottom"/>
            <w:hideMark/>
          </w:tcPr>
          <w:p w14:paraId="13AD6A2F" w14:textId="77777777" w:rsidR="00356BF9" w:rsidRPr="0067507D" w:rsidRDefault="00356BF9">
            <w:pPr>
              <w:pStyle w:val="Tabletextheadingright"/>
              <w:rPr>
                <w:b w:val="0"/>
              </w:rPr>
            </w:pPr>
            <w:r w:rsidRPr="0067507D">
              <w:rPr>
                <w:b w:val="0"/>
              </w:rPr>
              <w:t>Contributions by owner</w:t>
            </w:r>
          </w:p>
        </w:tc>
        <w:tc>
          <w:tcPr>
            <w:cnfStyle w:val="000010000000" w:firstRow="0" w:lastRow="0" w:firstColumn="0" w:lastColumn="0" w:oddVBand="1" w:evenVBand="0" w:oddHBand="0" w:evenHBand="0" w:firstRowFirstColumn="0" w:firstRowLastColumn="0" w:lastRowFirstColumn="0" w:lastRowLastColumn="0"/>
            <w:tcW w:w="1210" w:type="dxa"/>
            <w:shd w:val="clear" w:color="auto" w:fill="auto"/>
            <w:noWrap/>
            <w:vAlign w:val="bottom"/>
            <w:hideMark/>
          </w:tcPr>
          <w:p w14:paraId="7ECF5261" w14:textId="77777777" w:rsidR="00356BF9" w:rsidRPr="0067507D" w:rsidRDefault="00356BF9">
            <w:pPr>
              <w:pStyle w:val="Tabletextheadingright"/>
              <w:rPr>
                <w:b w:val="0"/>
              </w:rPr>
            </w:pPr>
            <w:r w:rsidRPr="0067507D">
              <w:rPr>
                <w:b w:val="0"/>
              </w:rPr>
              <w:t xml:space="preserve">Total </w:t>
            </w:r>
            <w:r w:rsidRPr="0067507D">
              <w:rPr>
                <w:b w:val="0"/>
              </w:rPr>
              <w:br/>
              <w:t>equity</w:t>
            </w:r>
          </w:p>
        </w:tc>
      </w:tr>
      <w:tr w:rsidR="00356BF9" w:rsidRPr="0067507D" w14:paraId="485ADAFA" w14:textId="77777777" w:rsidTr="00F10DAB">
        <w:trPr>
          <w:trHeight w:val="255"/>
        </w:trPr>
        <w:tc>
          <w:tcPr>
            <w:cnfStyle w:val="001000000000" w:firstRow="0" w:lastRow="0" w:firstColumn="1" w:lastColumn="0" w:oddVBand="0" w:evenVBand="0" w:oddHBand="0" w:evenHBand="0" w:firstRowFirstColumn="0" w:firstRowLastColumn="0" w:lastRowFirstColumn="0" w:lastRowLastColumn="0"/>
            <w:tcW w:w="4608" w:type="dxa"/>
            <w:noWrap/>
          </w:tcPr>
          <w:p w14:paraId="58DFC68F" w14:textId="77777777" w:rsidR="00356BF9" w:rsidRPr="0067507D" w:rsidRDefault="00356BF9">
            <w:pPr>
              <w:pStyle w:val="Tabletextheadingleft"/>
            </w:pPr>
          </w:p>
        </w:tc>
        <w:tc>
          <w:tcPr>
            <w:cnfStyle w:val="000010000000" w:firstRow="0" w:lastRow="0" w:firstColumn="0" w:lastColumn="0" w:oddVBand="1" w:evenVBand="0" w:oddHBand="0" w:evenHBand="0" w:firstRowFirstColumn="0" w:firstRowLastColumn="0" w:lastRowFirstColumn="0" w:lastRowLastColumn="0"/>
            <w:tcW w:w="1297" w:type="dxa"/>
            <w:shd w:val="clear" w:color="auto" w:fill="auto"/>
            <w:noWrap/>
          </w:tcPr>
          <w:p w14:paraId="1BD136B1" w14:textId="77777777" w:rsidR="00356BF9" w:rsidRPr="0067507D" w:rsidRDefault="00356BF9">
            <w:pPr>
              <w:pStyle w:val="Tabletextheadingright"/>
            </w:pPr>
            <w:r w:rsidRPr="0067507D">
              <w:t>$m</w:t>
            </w:r>
          </w:p>
        </w:tc>
        <w:tc>
          <w:tcPr>
            <w:cnfStyle w:val="000001000000" w:firstRow="0" w:lastRow="0" w:firstColumn="0" w:lastColumn="0" w:oddVBand="0" w:evenVBand="1" w:oddHBand="0" w:evenHBand="0" w:firstRowFirstColumn="0" w:firstRowLastColumn="0" w:lastRowFirstColumn="0" w:lastRowLastColumn="0"/>
            <w:tcW w:w="1384" w:type="dxa"/>
            <w:shd w:val="clear" w:color="auto" w:fill="auto"/>
            <w:noWrap/>
          </w:tcPr>
          <w:p w14:paraId="442BD681" w14:textId="77777777" w:rsidR="00356BF9" w:rsidRPr="0067507D" w:rsidRDefault="00356BF9">
            <w:pPr>
              <w:pStyle w:val="Tabletextheadingright"/>
            </w:pPr>
            <w:r w:rsidRPr="0067507D">
              <w:t>$m</w:t>
            </w:r>
          </w:p>
        </w:tc>
        <w:tc>
          <w:tcPr>
            <w:cnfStyle w:val="000010000000" w:firstRow="0" w:lastRow="0" w:firstColumn="0" w:lastColumn="0" w:oddVBand="1" w:evenVBand="0" w:oddHBand="0" w:evenHBand="0" w:firstRowFirstColumn="0" w:firstRowLastColumn="0" w:lastRowFirstColumn="0" w:lastRowLastColumn="0"/>
            <w:tcW w:w="1210" w:type="dxa"/>
            <w:shd w:val="clear" w:color="auto" w:fill="auto"/>
            <w:noWrap/>
          </w:tcPr>
          <w:p w14:paraId="60D0E129" w14:textId="77777777" w:rsidR="00356BF9" w:rsidRPr="0067507D" w:rsidRDefault="00356BF9">
            <w:pPr>
              <w:pStyle w:val="Tabletextheadingright"/>
            </w:pPr>
            <w:r w:rsidRPr="0067507D">
              <w:t>$m</w:t>
            </w:r>
          </w:p>
        </w:tc>
      </w:tr>
      <w:tr w:rsidR="00287B8C" w:rsidRPr="0067507D" w14:paraId="3F97ADE9"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608F970A" w14:textId="51866536" w:rsidR="00287B8C" w:rsidRPr="0067507D" w:rsidRDefault="00287B8C" w:rsidP="00287B8C">
            <w:pPr>
              <w:pStyle w:val="Tabletextheadingleft"/>
            </w:pPr>
            <w:r w:rsidRPr="0067507D">
              <w:t>2024</w:t>
            </w:r>
            <w:r w:rsidR="006A5485">
              <w:noBreakHyphen/>
            </w:r>
            <w:r w:rsidRPr="0067507D">
              <w:t>25 actuals</w:t>
            </w:r>
          </w:p>
        </w:tc>
        <w:tc>
          <w:tcPr>
            <w:cnfStyle w:val="000010000000" w:firstRow="0" w:lastRow="0" w:firstColumn="0" w:lastColumn="0" w:oddVBand="1" w:evenVBand="0" w:oddHBand="0" w:evenHBand="0" w:firstRowFirstColumn="0" w:firstRowLastColumn="0" w:lastRowFirstColumn="0" w:lastRowLastColumn="0"/>
            <w:tcW w:w="1297" w:type="dxa"/>
            <w:noWrap/>
          </w:tcPr>
          <w:p w14:paraId="7FA23BE3" w14:textId="601621F6" w:rsidR="00287B8C" w:rsidRPr="0067507D" w:rsidRDefault="00287B8C" w:rsidP="00287B8C">
            <w:pPr>
              <w:pStyle w:val="Tabletextrightbold"/>
            </w:pPr>
          </w:p>
        </w:tc>
        <w:tc>
          <w:tcPr>
            <w:cnfStyle w:val="000001000000" w:firstRow="0" w:lastRow="0" w:firstColumn="0" w:lastColumn="0" w:oddVBand="0" w:evenVBand="1" w:oddHBand="0" w:evenHBand="0" w:firstRowFirstColumn="0" w:firstRowLastColumn="0" w:lastRowFirstColumn="0" w:lastRowLastColumn="0"/>
            <w:tcW w:w="1384" w:type="dxa"/>
            <w:noWrap/>
          </w:tcPr>
          <w:p w14:paraId="0DE06AD4" w14:textId="4C21BF4C" w:rsidR="00287B8C" w:rsidRPr="0067507D" w:rsidRDefault="00287B8C" w:rsidP="00287B8C">
            <w:pPr>
              <w:pStyle w:val="Tabletextrightbold"/>
            </w:pPr>
          </w:p>
        </w:tc>
        <w:tc>
          <w:tcPr>
            <w:cnfStyle w:val="000010000000" w:firstRow="0" w:lastRow="0" w:firstColumn="0" w:lastColumn="0" w:oddVBand="1" w:evenVBand="0" w:oddHBand="0" w:evenHBand="0" w:firstRowFirstColumn="0" w:firstRowLastColumn="0" w:lastRowFirstColumn="0" w:lastRowLastColumn="0"/>
            <w:tcW w:w="1210" w:type="dxa"/>
            <w:noWrap/>
          </w:tcPr>
          <w:p w14:paraId="756F0820" w14:textId="45B493C9" w:rsidR="00287B8C" w:rsidRPr="0067507D" w:rsidRDefault="00287B8C" w:rsidP="00287B8C">
            <w:pPr>
              <w:pStyle w:val="Tabletextrightbold"/>
            </w:pPr>
          </w:p>
        </w:tc>
      </w:tr>
      <w:tr w:rsidR="00287B8C" w:rsidRPr="0067507D" w14:paraId="66CA6AD5"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683C5B73" w14:textId="50C6641F" w:rsidR="00287B8C" w:rsidRPr="0067507D" w:rsidRDefault="00287B8C" w:rsidP="00287B8C">
            <w:pPr>
              <w:pStyle w:val="Tabletext"/>
            </w:pPr>
            <w:r w:rsidRPr="0067507D">
              <w:t>Balance at 1 July 2024</w:t>
            </w:r>
          </w:p>
        </w:tc>
        <w:tc>
          <w:tcPr>
            <w:cnfStyle w:val="000010000000" w:firstRow="0" w:lastRow="0" w:firstColumn="0" w:lastColumn="0" w:oddVBand="1" w:evenVBand="0" w:oddHBand="0" w:evenHBand="0" w:firstRowFirstColumn="0" w:firstRowLastColumn="0" w:lastRowFirstColumn="0" w:lastRowLastColumn="0"/>
            <w:tcW w:w="1297" w:type="dxa"/>
            <w:noWrap/>
          </w:tcPr>
          <w:p w14:paraId="6E8D3373" w14:textId="27257BDD" w:rsidR="00287B8C" w:rsidRPr="0067507D" w:rsidRDefault="00287B8C" w:rsidP="00287B8C">
            <w:pPr>
              <w:pStyle w:val="Tabletextright"/>
            </w:pPr>
            <w:r w:rsidRPr="0067507D">
              <w:t>55</w:t>
            </w:r>
          </w:p>
        </w:tc>
        <w:tc>
          <w:tcPr>
            <w:cnfStyle w:val="000001000000" w:firstRow="0" w:lastRow="0" w:firstColumn="0" w:lastColumn="0" w:oddVBand="0" w:evenVBand="1" w:oddHBand="0" w:evenHBand="0" w:firstRowFirstColumn="0" w:firstRowLastColumn="0" w:lastRowFirstColumn="0" w:lastRowLastColumn="0"/>
            <w:tcW w:w="1384" w:type="dxa"/>
            <w:noWrap/>
          </w:tcPr>
          <w:p w14:paraId="39FBB977" w14:textId="640D9032" w:rsidR="00287B8C" w:rsidRPr="0067507D" w:rsidRDefault="00287B8C" w:rsidP="00287B8C">
            <w:pPr>
              <w:pStyle w:val="Tabletextright"/>
            </w:pPr>
            <w:r w:rsidRPr="0067507D">
              <w:t>21</w:t>
            </w:r>
          </w:p>
        </w:tc>
        <w:tc>
          <w:tcPr>
            <w:cnfStyle w:val="000010000000" w:firstRow="0" w:lastRow="0" w:firstColumn="0" w:lastColumn="0" w:oddVBand="1" w:evenVBand="0" w:oddHBand="0" w:evenHBand="0" w:firstRowFirstColumn="0" w:firstRowLastColumn="0" w:lastRowFirstColumn="0" w:lastRowLastColumn="0"/>
            <w:tcW w:w="1210" w:type="dxa"/>
            <w:noWrap/>
          </w:tcPr>
          <w:p w14:paraId="0906D949" w14:textId="7761AFDE" w:rsidR="00287B8C" w:rsidRPr="0067507D" w:rsidRDefault="00287B8C" w:rsidP="00287B8C">
            <w:pPr>
              <w:pStyle w:val="Tabletextright"/>
            </w:pPr>
            <w:r w:rsidRPr="0067507D">
              <w:t>76</w:t>
            </w:r>
          </w:p>
        </w:tc>
      </w:tr>
      <w:tr w:rsidR="00287B8C" w:rsidRPr="0067507D" w14:paraId="5B667AA9"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38F787E8" w14:textId="7A97BF72" w:rsidR="00287B8C" w:rsidRPr="0067507D" w:rsidRDefault="00287B8C" w:rsidP="00287B8C">
            <w:pPr>
              <w:pStyle w:val="Tabletext"/>
            </w:pPr>
            <w:r w:rsidRPr="0067507D">
              <w:t>Comprehensive result</w:t>
            </w:r>
          </w:p>
        </w:tc>
        <w:tc>
          <w:tcPr>
            <w:cnfStyle w:val="000010000000" w:firstRow="0" w:lastRow="0" w:firstColumn="0" w:lastColumn="0" w:oddVBand="1" w:evenVBand="0" w:oddHBand="0" w:evenHBand="0" w:firstRowFirstColumn="0" w:firstRowLastColumn="0" w:lastRowFirstColumn="0" w:lastRowLastColumn="0"/>
            <w:tcW w:w="1297" w:type="dxa"/>
            <w:noWrap/>
          </w:tcPr>
          <w:p w14:paraId="0B2594F8" w14:textId="79A4D274" w:rsidR="00287B8C" w:rsidRPr="0067507D" w:rsidRDefault="00287B8C" w:rsidP="00287B8C">
            <w:pPr>
              <w:pStyle w:val="Tabletextright"/>
            </w:pPr>
            <w:r w:rsidRPr="0067507D">
              <w:t>7</w:t>
            </w:r>
          </w:p>
        </w:tc>
        <w:tc>
          <w:tcPr>
            <w:cnfStyle w:val="000001000000" w:firstRow="0" w:lastRow="0" w:firstColumn="0" w:lastColumn="0" w:oddVBand="0" w:evenVBand="1" w:oddHBand="0" w:evenHBand="0" w:firstRowFirstColumn="0" w:firstRowLastColumn="0" w:lastRowFirstColumn="0" w:lastRowLastColumn="0"/>
            <w:tcW w:w="1384" w:type="dxa"/>
            <w:noWrap/>
          </w:tcPr>
          <w:p w14:paraId="3BD09EB9" w14:textId="4E54F0F7" w:rsidR="00287B8C" w:rsidRPr="0067507D" w:rsidRDefault="00CA711C" w:rsidP="00287B8C">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210" w:type="dxa"/>
            <w:noWrap/>
          </w:tcPr>
          <w:p w14:paraId="4D65F4A0" w14:textId="432AA141" w:rsidR="00287B8C" w:rsidRPr="0067507D" w:rsidRDefault="00287B8C" w:rsidP="00287B8C">
            <w:pPr>
              <w:pStyle w:val="Tabletextright"/>
            </w:pPr>
            <w:r w:rsidRPr="0067507D">
              <w:t>7</w:t>
            </w:r>
          </w:p>
        </w:tc>
      </w:tr>
      <w:tr w:rsidR="00287B8C" w:rsidRPr="0067507D" w14:paraId="2A95D14E"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057C8BC0" w14:textId="10ABB45E" w:rsidR="00287B8C" w:rsidRPr="0067507D" w:rsidRDefault="00287B8C" w:rsidP="00287B8C">
            <w:pPr>
              <w:pStyle w:val="Tabletext"/>
            </w:pPr>
            <w:r w:rsidRPr="0067507D">
              <w:t>Transactions with owners in their capacity as owners</w:t>
            </w:r>
          </w:p>
        </w:tc>
        <w:tc>
          <w:tcPr>
            <w:cnfStyle w:val="000010000000" w:firstRow="0" w:lastRow="0" w:firstColumn="0" w:lastColumn="0" w:oddVBand="1" w:evenVBand="0" w:oddHBand="0" w:evenHBand="0" w:firstRowFirstColumn="0" w:firstRowLastColumn="0" w:lastRowFirstColumn="0" w:lastRowLastColumn="0"/>
            <w:tcW w:w="1297" w:type="dxa"/>
            <w:noWrap/>
          </w:tcPr>
          <w:p w14:paraId="1609FCE0" w14:textId="69FC31D9" w:rsidR="00287B8C" w:rsidRPr="0067507D" w:rsidRDefault="0078650A" w:rsidP="00287B8C">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384" w:type="dxa"/>
            <w:noWrap/>
          </w:tcPr>
          <w:p w14:paraId="1836D2BA" w14:textId="29300CB2" w:rsidR="00287B8C" w:rsidRPr="0067507D" w:rsidRDefault="00CA711C" w:rsidP="00287B8C">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210" w:type="dxa"/>
            <w:noWrap/>
          </w:tcPr>
          <w:p w14:paraId="0A3EE9A3" w14:textId="156ED4A8" w:rsidR="00287B8C" w:rsidRPr="0067507D" w:rsidRDefault="00CA711C" w:rsidP="00287B8C">
            <w:pPr>
              <w:pStyle w:val="Tabletextright"/>
            </w:pPr>
            <w:r w:rsidRPr="0067507D">
              <w:t>–</w:t>
            </w:r>
          </w:p>
        </w:tc>
      </w:tr>
      <w:tr w:rsidR="00287B8C" w:rsidRPr="0067507D" w14:paraId="5151C5BD" w14:textId="77777777">
        <w:tc>
          <w:tcPr>
            <w:cnfStyle w:val="001000000000" w:firstRow="0" w:lastRow="0" w:firstColumn="1" w:lastColumn="0" w:oddVBand="0" w:evenVBand="0" w:oddHBand="0" w:evenHBand="0" w:firstRowFirstColumn="0" w:firstRowLastColumn="0" w:lastRowFirstColumn="0" w:lastRowLastColumn="0"/>
            <w:tcW w:w="4608" w:type="dxa"/>
            <w:noWrap/>
          </w:tcPr>
          <w:p w14:paraId="1DAD54FB" w14:textId="06740444" w:rsidR="00287B8C" w:rsidRPr="0067507D" w:rsidRDefault="00287B8C" w:rsidP="00287B8C">
            <w:pPr>
              <w:pStyle w:val="Tabletextheadingleft"/>
              <w:rPr>
                <w:sz w:val="8"/>
              </w:rPr>
            </w:pPr>
            <w:r w:rsidRPr="0067507D">
              <w:t>Balance at 30 June 2025</w:t>
            </w:r>
          </w:p>
        </w:tc>
        <w:tc>
          <w:tcPr>
            <w:cnfStyle w:val="000010000000" w:firstRow="0" w:lastRow="0" w:firstColumn="0" w:lastColumn="0" w:oddVBand="1" w:evenVBand="0" w:oddHBand="0" w:evenHBand="0" w:firstRowFirstColumn="0" w:firstRowLastColumn="0" w:lastRowFirstColumn="0" w:lastRowLastColumn="0"/>
            <w:tcW w:w="1297" w:type="dxa"/>
            <w:noWrap/>
          </w:tcPr>
          <w:p w14:paraId="1DA1F63B" w14:textId="2F576534" w:rsidR="00287B8C" w:rsidRPr="0067507D" w:rsidRDefault="00287B8C" w:rsidP="00287B8C">
            <w:pPr>
              <w:pStyle w:val="Tabletextrightbold"/>
              <w:rPr>
                <w:sz w:val="8"/>
              </w:rPr>
            </w:pPr>
            <w:r w:rsidRPr="0067507D">
              <w:t>62</w:t>
            </w:r>
          </w:p>
        </w:tc>
        <w:tc>
          <w:tcPr>
            <w:cnfStyle w:val="000001000000" w:firstRow="0" w:lastRow="0" w:firstColumn="0" w:lastColumn="0" w:oddVBand="0" w:evenVBand="1" w:oddHBand="0" w:evenHBand="0" w:firstRowFirstColumn="0" w:firstRowLastColumn="0" w:lastRowFirstColumn="0" w:lastRowLastColumn="0"/>
            <w:tcW w:w="1384" w:type="dxa"/>
            <w:noWrap/>
          </w:tcPr>
          <w:p w14:paraId="696FEF20" w14:textId="46D23822" w:rsidR="00287B8C" w:rsidRPr="0067507D" w:rsidRDefault="00287B8C" w:rsidP="00287B8C">
            <w:pPr>
              <w:pStyle w:val="Tabletextrightbold"/>
              <w:rPr>
                <w:sz w:val="8"/>
              </w:rPr>
            </w:pPr>
            <w:r w:rsidRPr="0067507D">
              <w:t>21</w:t>
            </w:r>
          </w:p>
        </w:tc>
        <w:tc>
          <w:tcPr>
            <w:cnfStyle w:val="000010000000" w:firstRow="0" w:lastRow="0" w:firstColumn="0" w:lastColumn="0" w:oddVBand="1" w:evenVBand="0" w:oddHBand="0" w:evenHBand="0" w:firstRowFirstColumn="0" w:firstRowLastColumn="0" w:lastRowFirstColumn="0" w:lastRowLastColumn="0"/>
            <w:tcW w:w="1210" w:type="dxa"/>
            <w:noWrap/>
          </w:tcPr>
          <w:p w14:paraId="06359996" w14:textId="09C04BB1" w:rsidR="00287B8C" w:rsidRPr="0067507D" w:rsidRDefault="00287B8C" w:rsidP="00287B8C">
            <w:pPr>
              <w:pStyle w:val="Tabletextrightbold"/>
              <w:rPr>
                <w:sz w:val="8"/>
              </w:rPr>
            </w:pPr>
            <w:r w:rsidRPr="0067507D">
              <w:t>83</w:t>
            </w:r>
          </w:p>
        </w:tc>
      </w:tr>
      <w:tr w:rsidR="00287B8C" w:rsidRPr="0067507D" w14:paraId="24934024"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491BD0FB" w14:textId="3FFE6AA0" w:rsidR="00287B8C" w:rsidRPr="0067507D" w:rsidRDefault="00287B8C" w:rsidP="00287B8C">
            <w:pPr>
              <w:pStyle w:val="Tabletextheadingleft"/>
            </w:pPr>
          </w:p>
        </w:tc>
        <w:tc>
          <w:tcPr>
            <w:cnfStyle w:val="000010000000" w:firstRow="0" w:lastRow="0" w:firstColumn="0" w:lastColumn="0" w:oddVBand="1" w:evenVBand="0" w:oddHBand="0" w:evenHBand="0" w:firstRowFirstColumn="0" w:firstRowLastColumn="0" w:lastRowFirstColumn="0" w:lastRowLastColumn="0"/>
            <w:tcW w:w="1297" w:type="dxa"/>
            <w:noWrap/>
          </w:tcPr>
          <w:p w14:paraId="4B2D078C" w14:textId="1E4D4A94" w:rsidR="00287B8C" w:rsidRPr="0067507D" w:rsidRDefault="00287B8C" w:rsidP="00287B8C">
            <w:pPr>
              <w:pStyle w:val="Tabletextrightbold"/>
            </w:pPr>
          </w:p>
        </w:tc>
        <w:tc>
          <w:tcPr>
            <w:cnfStyle w:val="000001000000" w:firstRow="0" w:lastRow="0" w:firstColumn="0" w:lastColumn="0" w:oddVBand="0" w:evenVBand="1" w:oddHBand="0" w:evenHBand="0" w:firstRowFirstColumn="0" w:firstRowLastColumn="0" w:lastRowFirstColumn="0" w:lastRowLastColumn="0"/>
            <w:tcW w:w="1384" w:type="dxa"/>
            <w:noWrap/>
          </w:tcPr>
          <w:p w14:paraId="198761F3" w14:textId="1632CA10" w:rsidR="00287B8C" w:rsidRPr="0067507D" w:rsidRDefault="00287B8C" w:rsidP="00287B8C">
            <w:pPr>
              <w:pStyle w:val="Tabletextrightbold"/>
            </w:pPr>
          </w:p>
        </w:tc>
        <w:tc>
          <w:tcPr>
            <w:cnfStyle w:val="000010000000" w:firstRow="0" w:lastRow="0" w:firstColumn="0" w:lastColumn="0" w:oddVBand="1" w:evenVBand="0" w:oddHBand="0" w:evenHBand="0" w:firstRowFirstColumn="0" w:firstRowLastColumn="0" w:lastRowFirstColumn="0" w:lastRowLastColumn="0"/>
            <w:tcW w:w="1210" w:type="dxa"/>
            <w:noWrap/>
          </w:tcPr>
          <w:p w14:paraId="79C563D1" w14:textId="357E876D" w:rsidR="00287B8C" w:rsidRPr="0067507D" w:rsidRDefault="00287B8C" w:rsidP="00287B8C">
            <w:pPr>
              <w:pStyle w:val="Tabletextrightbold"/>
            </w:pPr>
          </w:p>
        </w:tc>
      </w:tr>
      <w:tr w:rsidR="00287B8C" w:rsidRPr="0067507D" w14:paraId="0F8A5F28"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40105841" w14:textId="24624AFF" w:rsidR="00287B8C" w:rsidRPr="0067507D" w:rsidRDefault="00287B8C" w:rsidP="00F63EA6">
            <w:pPr>
              <w:pStyle w:val="Tabletextbold"/>
              <w:rPr>
                <w:rFonts w:ascii="VIC SemiBold" w:hAnsi="VIC SemiBold"/>
                <w:sz w:val="16"/>
                <w:szCs w:val="16"/>
              </w:rPr>
            </w:pPr>
            <w:r w:rsidRPr="0067507D">
              <w:rPr>
                <w:sz w:val="16"/>
                <w:szCs w:val="16"/>
              </w:rPr>
              <w:t>2024</w:t>
            </w:r>
            <w:r w:rsidR="006A5485">
              <w:rPr>
                <w:sz w:val="16"/>
                <w:szCs w:val="16"/>
              </w:rPr>
              <w:noBreakHyphen/>
            </w:r>
            <w:r w:rsidRPr="0067507D">
              <w:rPr>
                <w:sz w:val="16"/>
                <w:szCs w:val="16"/>
              </w:rPr>
              <w:t xml:space="preserve">25 </w:t>
            </w:r>
            <w:r w:rsidR="00F63EA6" w:rsidRPr="0067507D">
              <w:rPr>
                <w:sz w:val="16"/>
                <w:szCs w:val="16"/>
              </w:rPr>
              <w:t>original budget</w:t>
            </w:r>
          </w:p>
        </w:tc>
        <w:tc>
          <w:tcPr>
            <w:cnfStyle w:val="000010000000" w:firstRow="0" w:lastRow="0" w:firstColumn="0" w:lastColumn="0" w:oddVBand="1" w:evenVBand="0" w:oddHBand="0" w:evenHBand="0" w:firstRowFirstColumn="0" w:firstRowLastColumn="0" w:lastRowFirstColumn="0" w:lastRowLastColumn="0"/>
            <w:tcW w:w="1297" w:type="dxa"/>
            <w:noWrap/>
          </w:tcPr>
          <w:p w14:paraId="4E1691C6" w14:textId="5E4034E4" w:rsidR="00287B8C" w:rsidRPr="0067507D" w:rsidRDefault="00287B8C" w:rsidP="00287B8C">
            <w:pPr>
              <w:pStyle w:val="Tabletextright"/>
              <w:rPr>
                <w:rFonts w:ascii="VIC SemiBold" w:hAnsi="VIC SemiBold"/>
              </w:rPr>
            </w:pPr>
          </w:p>
        </w:tc>
        <w:tc>
          <w:tcPr>
            <w:cnfStyle w:val="000001000000" w:firstRow="0" w:lastRow="0" w:firstColumn="0" w:lastColumn="0" w:oddVBand="0" w:evenVBand="1" w:oddHBand="0" w:evenHBand="0" w:firstRowFirstColumn="0" w:firstRowLastColumn="0" w:lastRowFirstColumn="0" w:lastRowLastColumn="0"/>
            <w:tcW w:w="1384" w:type="dxa"/>
            <w:noWrap/>
          </w:tcPr>
          <w:p w14:paraId="52E342CD" w14:textId="603A060A" w:rsidR="00287B8C" w:rsidRPr="0067507D" w:rsidRDefault="00287B8C" w:rsidP="00287B8C">
            <w:pPr>
              <w:pStyle w:val="Tabletextright"/>
              <w:rPr>
                <w:rFonts w:ascii="VIC SemiBold" w:hAnsi="VIC SemiBold"/>
              </w:rPr>
            </w:pPr>
          </w:p>
        </w:tc>
        <w:tc>
          <w:tcPr>
            <w:cnfStyle w:val="000010000000" w:firstRow="0" w:lastRow="0" w:firstColumn="0" w:lastColumn="0" w:oddVBand="1" w:evenVBand="0" w:oddHBand="0" w:evenHBand="0" w:firstRowFirstColumn="0" w:firstRowLastColumn="0" w:lastRowFirstColumn="0" w:lastRowLastColumn="0"/>
            <w:tcW w:w="1210" w:type="dxa"/>
            <w:noWrap/>
          </w:tcPr>
          <w:p w14:paraId="7386A58F" w14:textId="2D068719" w:rsidR="00287B8C" w:rsidRPr="0067507D" w:rsidRDefault="00287B8C" w:rsidP="00287B8C">
            <w:pPr>
              <w:pStyle w:val="Tabletextright"/>
              <w:rPr>
                <w:rFonts w:ascii="VIC SemiBold" w:hAnsi="VIC SemiBold"/>
              </w:rPr>
            </w:pPr>
          </w:p>
        </w:tc>
      </w:tr>
      <w:tr w:rsidR="00287B8C" w:rsidRPr="0067507D" w14:paraId="787C676C"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4A712CEA" w14:textId="54BB6589" w:rsidR="00287B8C" w:rsidRPr="0067507D" w:rsidRDefault="00287B8C" w:rsidP="00287B8C">
            <w:pPr>
              <w:pStyle w:val="Tabletext"/>
            </w:pPr>
            <w:r w:rsidRPr="0067507D">
              <w:t>Balance at 1 July 2024</w:t>
            </w:r>
          </w:p>
        </w:tc>
        <w:tc>
          <w:tcPr>
            <w:cnfStyle w:val="000010000000" w:firstRow="0" w:lastRow="0" w:firstColumn="0" w:lastColumn="0" w:oddVBand="1" w:evenVBand="0" w:oddHBand="0" w:evenHBand="0" w:firstRowFirstColumn="0" w:firstRowLastColumn="0" w:lastRowFirstColumn="0" w:lastRowLastColumn="0"/>
            <w:tcW w:w="1297" w:type="dxa"/>
            <w:noWrap/>
          </w:tcPr>
          <w:p w14:paraId="72D4ED5D" w14:textId="312488E3" w:rsidR="00287B8C" w:rsidRPr="0067507D" w:rsidRDefault="00287B8C" w:rsidP="00287B8C">
            <w:pPr>
              <w:pStyle w:val="Tabletextright"/>
            </w:pPr>
            <w:r w:rsidRPr="0067507D">
              <w:t>55</w:t>
            </w:r>
          </w:p>
        </w:tc>
        <w:tc>
          <w:tcPr>
            <w:cnfStyle w:val="000001000000" w:firstRow="0" w:lastRow="0" w:firstColumn="0" w:lastColumn="0" w:oddVBand="0" w:evenVBand="1" w:oddHBand="0" w:evenHBand="0" w:firstRowFirstColumn="0" w:firstRowLastColumn="0" w:lastRowFirstColumn="0" w:lastRowLastColumn="0"/>
            <w:tcW w:w="1384" w:type="dxa"/>
            <w:noWrap/>
          </w:tcPr>
          <w:p w14:paraId="6DA2F940" w14:textId="61A44028" w:rsidR="00287B8C" w:rsidRPr="0067507D" w:rsidRDefault="00287B8C" w:rsidP="00287B8C">
            <w:pPr>
              <w:pStyle w:val="Tabletextright"/>
            </w:pPr>
            <w:r w:rsidRPr="0067507D">
              <w:t>21</w:t>
            </w:r>
          </w:p>
        </w:tc>
        <w:tc>
          <w:tcPr>
            <w:cnfStyle w:val="000010000000" w:firstRow="0" w:lastRow="0" w:firstColumn="0" w:lastColumn="0" w:oddVBand="1" w:evenVBand="0" w:oddHBand="0" w:evenHBand="0" w:firstRowFirstColumn="0" w:firstRowLastColumn="0" w:lastRowFirstColumn="0" w:lastRowLastColumn="0"/>
            <w:tcW w:w="1210" w:type="dxa"/>
            <w:noWrap/>
          </w:tcPr>
          <w:p w14:paraId="2040FED1" w14:textId="753E3A9C" w:rsidR="00287B8C" w:rsidRPr="0067507D" w:rsidRDefault="00287B8C" w:rsidP="00287B8C">
            <w:pPr>
              <w:pStyle w:val="Tabletextright"/>
            </w:pPr>
            <w:r w:rsidRPr="0067507D">
              <w:t>76</w:t>
            </w:r>
          </w:p>
        </w:tc>
      </w:tr>
      <w:tr w:rsidR="00287B8C" w:rsidRPr="0067507D" w14:paraId="38639234"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7987D72B" w14:textId="353AE477" w:rsidR="00287B8C" w:rsidRPr="0067507D" w:rsidRDefault="00287B8C" w:rsidP="009F355F">
            <w:pPr>
              <w:pStyle w:val="Tabletext"/>
            </w:pPr>
            <w:r w:rsidRPr="0067507D">
              <w:t>Comprehensive result</w:t>
            </w:r>
          </w:p>
        </w:tc>
        <w:tc>
          <w:tcPr>
            <w:cnfStyle w:val="000010000000" w:firstRow="0" w:lastRow="0" w:firstColumn="0" w:lastColumn="0" w:oddVBand="1" w:evenVBand="0" w:oddHBand="0" w:evenHBand="0" w:firstRowFirstColumn="0" w:firstRowLastColumn="0" w:lastRowFirstColumn="0" w:lastRowLastColumn="0"/>
            <w:tcW w:w="1297" w:type="dxa"/>
            <w:noWrap/>
          </w:tcPr>
          <w:p w14:paraId="6B5688A0" w14:textId="40BD7ABB" w:rsidR="00287B8C" w:rsidRPr="0067507D" w:rsidRDefault="00CA711C" w:rsidP="00287B8C">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384" w:type="dxa"/>
            <w:noWrap/>
          </w:tcPr>
          <w:p w14:paraId="71C453A3" w14:textId="758C1635" w:rsidR="00287B8C" w:rsidRPr="0067507D" w:rsidRDefault="00CA711C" w:rsidP="00287B8C">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210" w:type="dxa"/>
            <w:noWrap/>
          </w:tcPr>
          <w:p w14:paraId="13C99B9D" w14:textId="6D6081BD" w:rsidR="00287B8C" w:rsidRPr="0067507D" w:rsidRDefault="00CA711C" w:rsidP="00287B8C">
            <w:pPr>
              <w:pStyle w:val="Tabletextright"/>
            </w:pPr>
            <w:r w:rsidRPr="0067507D">
              <w:t>–</w:t>
            </w:r>
          </w:p>
        </w:tc>
      </w:tr>
      <w:tr w:rsidR="00287B8C" w:rsidRPr="0067507D" w14:paraId="5C35265E"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57988FB9" w14:textId="2DEF1C85" w:rsidR="00287B8C" w:rsidRPr="0067507D" w:rsidRDefault="00287B8C" w:rsidP="00287B8C">
            <w:pPr>
              <w:pStyle w:val="Tabletext"/>
            </w:pPr>
            <w:r w:rsidRPr="0067507D">
              <w:t>Transactions with owners in their capacity as owners</w:t>
            </w:r>
          </w:p>
        </w:tc>
        <w:tc>
          <w:tcPr>
            <w:cnfStyle w:val="000010000000" w:firstRow="0" w:lastRow="0" w:firstColumn="0" w:lastColumn="0" w:oddVBand="1" w:evenVBand="0" w:oddHBand="0" w:evenHBand="0" w:firstRowFirstColumn="0" w:firstRowLastColumn="0" w:lastRowFirstColumn="0" w:lastRowLastColumn="0"/>
            <w:tcW w:w="1297" w:type="dxa"/>
            <w:noWrap/>
          </w:tcPr>
          <w:p w14:paraId="12CE7EDB" w14:textId="1052319C" w:rsidR="00287B8C" w:rsidRPr="0067507D" w:rsidRDefault="0052284B" w:rsidP="00287B8C">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384" w:type="dxa"/>
            <w:noWrap/>
          </w:tcPr>
          <w:p w14:paraId="16E55873" w14:textId="10F8FA12" w:rsidR="00287B8C" w:rsidRPr="0067507D" w:rsidRDefault="00287B8C" w:rsidP="00287B8C">
            <w:pPr>
              <w:pStyle w:val="Tabletextright"/>
            </w:pPr>
            <w:r w:rsidRPr="0067507D">
              <w:t>10</w:t>
            </w:r>
          </w:p>
        </w:tc>
        <w:tc>
          <w:tcPr>
            <w:cnfStyle w:val="000010000000" w:firstRow="0" w:lastRow="0" w:firstColumn="0" w:lastColumn="0" w:oddVBand="1" w:evenVBand="0" w:oddHBand="0" w:evenHBand="0" w:firstRowFirstColumn="0" w:firstRowLastColumn="0" w:lastRowFirstColumn="0" w:lastRowLastColumn="0"/>
            <w:tcW w:w="1210" w:type="dxa"/>
            <w:noWrap/>
          </w:tcPr>
          <w:p w14:paraId="777EF2CA" w14:textId="3A9E2EA6" w:rsidR="00287B8C" w:rsidRPr="0067507D" w:rsidRDefault="00287B8C" w:rsidP="00287B8C">
            <w:pPr>
              <w:pStyle w:val="Tabletextright"/>
            </w:pPr>
            <w:r w:rsidRPr="0067507D">
              <w:t>10</w:t>
            </w:r>
          </w:p>
        </w:tc>
      </w:tr>
      <w:tr w:rsidR="00287B8C" w:rsidRPr="0067507D" w14:paraId="4B060A20"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76834557" w14:textId="3FDECC7E" w:rsidR="00287B8C" w:rsidRPr="0067507D" w:rsidRDefault="00287B8C" w:rsidP="009F355F">
            <w:pPr>
              <w:pStyle w:val="Tabletextbold"/>
              <w:rPr>
                <w:sz w:val="16"/>
                <w:szCs w:val="16"/>
              </w:rPr>
            </w:pPr>
            <w:r w:rsidRPr="0067507D">
              <w:rPr>
                <w:sz w:val="16"/>
                <w:szCs w:val="16"/>
              </w:rPr>
              <w:t xml:space="preserve">Balance at 30 June 2025 </w:t>
            </w:r>
            <w:r w:rsidRPr="0067507D">
              <w:rPr>
                <w:sz w:val="16"/>
                <w:szCs w:val="16"/>
                <w:vertAlign w:val="superscript"/>
              </w:rPr>
              <w:t>(a)</w:t>
            </w:r>
          </w:p>
        </w:tc>
        <w:tc>
          <w:tcPr>
            <w:cnfStyle w:val="000010000000" w:firstRow="0" w:lastRow="0" w:firstColumn="0" w:lastColumn="0" w:oddVBand="1" w:evenVBand="0" w:oddHBand="0" w:evenHBand="0" w:firstRowFirstColumn="0" w:firstRowLastColumn="0" w:lastRowFirstColumn="0" w:lastRowLastColumn="0"/>
            <w:tcW w:w="1297" w:type="dxa"/>
            <w:noWrap/>
          </w:tcPr>
          <w:p w14:paraId="250807DA" w14:textId="6170734A" w:rsidR="00287B8C" w:rsidRPr="0067507D" w:rsidRDefault="00287B8C" w:rsidP="00287B8C">
            <w:pPr>
              <w:pStyle w:val="Tabletextrightbold"/>
            </w:pPr>
            <w:r w:rsidRPr="0067507D">
              <w:t>55</w:t>
            </w:r>
          </w:p>
        </w:tc>
        <w:tc>
          <w:tcPr>
            <w:cnfStyle w:val="000001000000" w:firstRow="0" w:lastRow="0" w:firstColumn="0" w:lastColumn="0" w:oddVBand="0" w:evenVBand="1" w:oddHBand="0" w:evenHBand="0" w:firstRowFirstColumn="0" w:firstRowLastColumn="0" w:lastRowFirstColumn="0" w:lastRowLastColumn="0"/>
            <w:tcW w:w="1384" w:type="dxa"/>
            <w:noWrap/>
          </w:tcPr>
          <w:p w14:paraId="402209BE" w14:textId="3203C7AF" w:rsidR="00287B8C" w:rsidRPr="0067507D" w:rsidRDefault="00287B8C" w:rsidP="00287B8C">
            <w:pPr>
              <w:pStyle w:val="Tabletextrightbold"/>
            </w:pPr>
            <w:r w:rsidRPr="0067507D">
              <w:t>32</w:t>
            </w:r>
          </w:p>
        </w:tc>
        <w:tc>
          <w:tcPr>
            <w:cnfStyle w:val="000010000000" w:firstRow="0" w:lastRow="0" w:firstColumn="0" w:lastColumn="0" w:oddVBand="1" w:evenVBand="0" w:oddHBand="0" w:evenHBand="0" w:firstRowFirstColumn="0" w:firstRowLastColumn="0" w:lastRowFirstColumn="0" w:lastRowLastColumn="0"/>
            <w:tcW w:w="1210" w:type="dxa"/>
            <w:noWrap/>
          </w:tcPr>
          <w:p w14:paraId="74DC85CD" w14:textId="56104A55" w:rsidR="00287B8C" w:rsidRPr="0067507D" w:rsidRDefault="00287B8C" w:rsidP="00287B8C">
            <w:pPr>
              <w:pStyle w:val="Tabletextrightbold"/>
            </w:pPr>
            <w:r w:rsidRPr="0067507D">
              <w:t>87</w:t>
            </w:r>
          </w:p>
        </w:tc>
      </w:tr>
      <w:tr w:rsidR="00287B8C" w:rsidRPr="0067507D" w14:paraId="7AAA5EF8" w14:textId="77777777">
        <w:tc>
          <w:tcPr>
            <w:cnfStyle w:val="001000000000" w:firstRow="0" w:lastRow="0" w:firstColumn="1" w:lastColumn="0" w:oddVBand="0" w:evenVBand="0" w:oddHBand="0" w:evenHBand="0" w:firstRowFirstColumn="0" w:firstRowLastColumn="0" w:lastRowFirstColumn="0" w:lastRowLastColumn="0"/>
            <w:tcW w:w="4608" w:type="dxa"/>
            <w:noWrap/>
          </w:tcPr>
          <w:p w14:paraId="41BF42D2" w14:textId="3CC41157" w:rsidR="00287B8C" w:rsidRPr="0067507D" w:rsidRDefault="00287B8C" w:rsidP="00287B8C">
            <w:pPr>
              <w:pStyle w:val="Tabletextheadingleft"/>
              <w:rPr>
                <w:sz w:val="8"/>
              </w:rPr>
            </w:pPr>
          </w:p>
        </w:tc>
        <w:tc>
          <w:tcPr>
            <w:cnfStyle w:val="000010000000" w:firstRow="0" w:lastRow="0" w:firstColumn="0" w:lastColumn="0" w:oddVBand="1" w:evenVBand="0" w:oddHBand="0" w:evenHBand="0" w:firstRowFirstColumn="0" w:firstRowLastColumn="0" w:lastRowFirstColumn="0" w:lastRowLastColumn="0"/>
            <w:tcW w:w="1297" w:type="dxa"/>
            <w:noWrap/>
          </w:tcPr>
          <w:p w14:paraId="617339EB" w14:textId="77777777" w:rsidR="00287B8C" w:rsidRPr="0067507D" w:rsidRDefault="00287B8C" w:rsidP="00287B8C">
            <w:pPr>
              <w:pStyle w:val="Tabletextright"/>
              <w:rPr>
                <w:sz w:val="8"/>
              </w:rPr>
            </w:pPr>
          </w:p>
        </w:tc>
        <w:tc>
          <w:tcPr>
            <w:cnfStyle w:val="000001000000" w:firstRow="0" w:lastRow="0" w:firstColumn="0" w:lastColumn="0" w:oddVBand="0" w:evenVBand="1" w:oddHBand="0" w:evenHBand="0" w:firstRowFirstColumn="0" w:firstRowLastColumn="0" w:lastRowFirstColumn="0" w:lastRowLastColumn="0"/>
            <w:tcW w:w="1384" w:type="dxa"/>
            <w:noWrap/>
          </w:tcPr>
          <w:p w14:paraId="1C81DF17" w14:textId="77777777" w:rsidR="00287B8C" w:rsidRPr="0067507D" w:rsidRDefault="00287B8C" w:rsidP="00287B8C">
            <w:pPr>
              <w:pStyle w:val="Tabletextright"/>
              <w:rPr>
                <w:sz w:val="8"/>
              </w:rPr>
            </w:pPr>
          </w:p>
        </w:tc>
        <w:tc>
          <w:tcPr>
            <w:cnfStyle w:val="000010000000" w:firstRow="0" w:lastRow="0" w:firstColumn="0" w:lastColumn="0" w:oddVBand="1" w:evenVBand="0" w:oddHBand="0" w:evenHBand="0" w:firstRowFirstColumn="0" w:firstRowLastColumn="0" w:lastRowFirstColumn="0" w:lastRowLastColumn="0"/>
            <w:tcW w:w="1210" w:type="dxa"/>
            <w:noWrap/>
          </w:tcPr>
          <w:p w14:paraId="3D582C5A" w14:textId="77777777" w:rsidR="00287B8C" w:rsidRPr="0067507D" w:rsidRDefault="00287B8C" w:rsidP="00287B8C">
            <w:pPr>
              <w:pStyle w:val="Tabletextright"/>
              <w:rPr>
                <w:sz w:val="8"/>
              </w:rPr>
            </w:pPr>
          </w:p>
        </w:tc>
      </w:tr>
      <w:tr w:rsidR="00287B8C" w:rsidRPr="0067507D" w14:paraId="445AC632"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750A4DF8" w14:textId="5D39123C" w:rsidR="00287B8C" w:rsidRPr="0067507D" w:rsidRDefault="00287B8C" w:rsidP="009F355F">
            <w:pPr>
              <w:pStyle w:val="Tabletextbold"/>
              <w:rPr>
                <w:rFonts w:ascii="VIC SemiBold" w:hAnsi="VIC SemiBold"/>
                <w:sz w:val="16"/>
                <w:szCs w:val="16"/>
              </w:rPr>
            </w:pPr>
            <w:r w:rsidRPr="0067507D">
              <w:rPr>
                <w:sz w:val="16"/>
                <w:szCs w:val="16"/>
              </w:rPr>
              <w:t>Variance</w:t>
            </w:r>
          </w:p>
        </w:tc>
        <w:tc>
          <w:tcPr>
            <w:cnfStyle w:val="000010000000" w:firstRow="0" w:lastRow="0" w:firstColumn="0" w:lastColumn="0" w:oddVBand="1" w:evenVBand="0" w:oddHBand="0" w:evenHBand="0" w:firstRowFirstColumn="0" w:firstRowLastColumn="0" w:lastRowFirstColumn="0" w:lastRowLastColumn="0"/>
            <w:tcW w:w="1297" w:type="dxa"/>
            <w:noWrap/>
          </w:tcPr>
          <w:p w14:paraId="275E294B" w14:textId="5CF6AADD" w:rsidR="00287B8C" w:rsidRPr="0067507D" w:rsidRDefault="00287B8C" w:rsidP="00287B8C">
            <w:pPr>
              <w:pStyle w:val="Tabletextright"/>
              <w:rPr>
                <w:rFonts w:ascii="VIC SemiBold" w:hAnsi="VIC SemiBold"/>
              </w:rPr>
            </w:pPr>
          </w:p>
        </w:tc>
        <w:tc>
          <w:tcPr>
            <w:cnfStyle w:val="000001000000" w:firstRow="0" w:lastRow="0" w:firstColumn="0" w:lastColumn="0" w:oddVBand="0" w:evenVBand="1" w:oddHBand="0" w:evenHBand="0" w:firstRowFirstColumn="0" w:firstRowLastColumn="0" w:lastRowFirstColumn="0" w:lastRowLastColumn="0"/>
            <w:tcW w:w="1384" w:type="dxa"/>
            <w:noWrap/>
          </w:tcPr>
          <w:p w14:paraId="6262E202" w14:textId="7E05C583" w:rsidR="00287B8C" w:rsidRPr="0067507D" w:rsidRDefault="00287B8C" w:rsidP="00287B8C">
            <w:pPr>
              <w:pStyle w:val="Tabletextright"/>
              <w:rPr>
                <w:rFonts w:ascii="VIC SemiBold" w:hAnsi="VIC SemiBold"/>
              </w:rPr>
            </w:pPr>
          </w:p>
        </w:tc>
        <w:tc>
          <w:tcPr>
            <w:cnfStyle w:val="000010000000" w:firstRow="0" w:lastRow="0" w:firstColumn="0" w:lastColumn="0" w:oddVBand="1" w:evenVBand="0" w:oddHBand="0" w:evenHBand="0" w:firstRowFirstColumn="0" w:firstRowLastColumn="0" w:lastRowFirstColumn="0" w:lastRowLastColumn="0"/>
            <w:tcW w:w="1210" w:type="dxa"/>
            <w:noWrap/>
          </w:tcPr>
          <w:p w14:paraId="068556AC" w14:textId="3E771BA4" w:rsidR="00287B8C" w:rsidRPr="0067507D" w:rsidRDefault="00287B8C" w:rsidP="00287B8C">
            <w:pPr>
              <w:pStyle w:val="Tabletextright"/>
              <w:rPr>
                <w:rFonts w:ascii="VIC SemiBold" w:hAnsi="VIC SemiBold"/>
              </w:rPr>
            </w:pPr>
          </w:p>
        </w:tc>
      </w:tr>
      <w:tr w:rsidR="00287B8C" w:rsidRPr="0067507D" w14:paraId="7F8A93F8"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69725177" w14:textId="73831B7D" w:rsidR="00287B8C" w:rsidRPr="0067507D" w:rsidRDefault="00287B8C" w:rsidP="009F355F">
            <w:pPr>
              <w:pStyle w:val="Tabletext"/>
            </w:pPr>
            <w:r w:rsidRPr="0067507D">
              <w:t>Balance at 1 July 2024</w:t>
            </w:r>
          </w:p>
        </w:tc>
        <w:tc>
          <w:tcPr>
            <w:cnfStyle w:val="000010000000" w:firstRow="0" w:lastRow="0" w:firstColumn="0" w:lastColumn="0" w:oddVBand="1" w:evenVBand="0" w:oddHBand="0" w:evenHBand="0" w:firstRowFirstColumn="0" w:firstRowLastColumn="0" w:lastRowFirstColumn="0" w:lastRowLastColumn="0"/>
            <w:tcW w:w="1297" w:type="dxa"/>
            <w:noWrap/>
          </w:tcPr>
          <w:p w14:paraId="61AC323F" w14:textId="72B4FE4A" w:rsidR="00287B8C" w:rsidRPr="0067507D" w:rsidRDefault="00CA711C" w:rsidP="00287B8C">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384" w:type="dxa"/>
            <w:noWrap/>
          </w:tcPr>
          <w:p w14:paraId="261089EF" w14:textId="3446EFEC" w:rsidR="00287B8C" w:rsidRPr="0067507D" w:rsidRDefault="00CA711C" w:rsidP="00287B8C">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210" w:type="dxa"/>
            <w:noWrap/>
          </w:tcPr>
          <w:p w14:paraId="638850A4" w14:textId="5AAE4C59" w:rsidR="00287B8C" w:rsidRPr="0067507D" w:rsidRDefault="00CA711C" w:rsidP="00287B8C">
            <w:pPr>
              <w:pStyle w:val="Tabletextright"/>
            </w:pPr>
            <w:r w:rsidRPr="0067507D">
              <w:t>–</w:t>
            </w:r>
          </w:p>
        </w:tc>
      </w:tr>
      <w:tr w:rsidR="00287B8C" w:rsidRPr="0067507D" w14:paraId="70565293"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47C037C0" w14:textId="7A03BB2E" w:rsidR="00287B8C" w:rsidRPr="0067507D" w:rsidRDefault="00287B8C" w:rsidP="009F355F">
            <w:pPr>
              <w:pStyle w:val="Tabletext"/>
            </w:pPr>
            <w:r w:rsidRPr="0067507D">
              <w:t>Comprehensive result</w:t>
            </w:r>
          </w:p>
        </w:tc>
        <w:tc>
          <w:tcPr>
            <w:cnfStyle w:val="000010000000" w:firstRow="0" w:lastRow="0" w:firstColumn="0" w:lastColumn="0" w:oddVBand="1" w:evenVBand="0" w:oddHBand="0" w:evenHBand="0" w:firstRowFirstColumn="0" w:firstRowLastColumn="0" w:lastRowFirstColumn="0" w:lastRowLastColumn="0"/>
            <w:tcW w:w="1297" w:type="dxa"/>
            <w:noWrap/>
          </w:tcPr>
          <w:p w14:paraId="3427A42E" w14:textId="7B8C9258" w:rsidR="00287B8C" w:rsidRPr="0067507D" w:rsidRDefault="00287B8C" w:rsidP="00287B8C">
            <w:pPr>
              <w:pStyle w:val="Tabletextrightbold"/>
              <w:rPr>
                <w:rFonts w:asciiTheme="minorHAnsi" w:hAnsiTheme="minorHAnsi"/>
              </w:rPr>
            </w:pPr>
            <w:r w:rsidRPr="0067507D">
              <w:t>7</w:t>
            </w:r>
          </w:p>
        </w:tc>
        <w:tc>
          <w:tcPr>
            <w:cnfStyle w:val="000001000000" w:firstRow="0" w:lastRow="0" w:firstColumn="0" w:lastColumn="0" w:oddVBand="0" w:evenVBand="1" w:oddHBand="0" w:evenHBand="0" w:firstRowFirstColumn="0" w:firstRowLastColumn="0" w:lastRowFirstColumn="0" w:lastRowLastColumn="0"/>
            <w:tcW w:w="1384" w:type="dxa"/>
            <w:noWrap/>
          </w:tcPr>
          <w:p w14:paraId="6FD253F9" w14:textId="56124A75" w:rsidR="00287B8C" w:rsidRPr="0067507D" w:rsidRDefault="00CA711C" w:rsidP="00287B8C">
            <w:pPr>
              <w:pStyle w:val="Tabletextrightbold"/>
              <w:rPr>
                <w:rFonts w:asciiTheme="minorHAnsi" w:hAnsiTheme="minorHAnsi"/>
              </w:rPr>
            </w:pPr>
            <w:r w:rsidRPr="0067507D">
              <w:t>–</w:t>
            </w:r>
          </w:p>
        </w:tc>
        <w:tc>
          <w:tcPr>
            <w:cnfStyle w:val="000010000000" w:firstRow="0" w:lastRow="0" w:firstColumn="0" w:lastColumn="0" w:oddVBand="1" w:evenVBand="0" w:oddHBand="0" w:evenHBand="0" w:firstRowFirstColumn="0" w:firstRowLastColumn="0" w:lastRowFirstColumn="0" w:lastRowLastColumn="0"/>
            <w:tcW w:w="1210" w:type="dxa"/>
            <w:noWrap/>
          </w:tcPr>
          <w:p w14:paraId="72EC5A6F" w14:textId="0B7B375B" w:rsidR="00287B8C" w:rsidRPr="0067507D" w:rsidRDefault="00287B8C" w:rsidP="00287B8C">
            <w:pPr>
              <w:pStyle w:val="Tabletextrightbold"/>
              <w:rPr>
                <w:rFonts w:asciiTheme="minorHAnsi" w:hAnsiTheme="minorHAnsi"/>
              </w:rPr>
            </w:pPr>
            <w:r w:rsidRPr="0067507D">
              <w:t>7</w:t>
            </w:r>
          </w:p>
        </w:tc>
      </w:tr>
      <w:tr w:rsidR="00287B8C" w:rsidRPr="0067507D" w14:paraId="3737633F"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3D14C8DB" w14:textId="618A6702" w:rsidR="00287B8C" w:rsidRPr="0067507D" w:rsidRDefault="00287B8C" w:rsidP="009F355F">
            <w:pPr>
              <w:pStyle w:val="Tabletext"/>
            </w:pPr>
            <w:r w:rsidRPr="0067507D">
              <w:t xml:space="preserve">Transactions with owners in their capacity as owners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1297" w:type="dxa"/>
            <w:noWrap/>
          </w:tcPr>
          <w:p w14:paraId="616A4A08" w14:textId="20D31683" w:rsidR="00287B8C" w:rsidRPr="0067507D" w:rsidRDefault="00335C28" w:rsidP="00287B8C">
            <w:pPr>
              <w:pStyle w:val="Tabletextrightbold"/>
              <w:rPr>
                <w:rFonts w:asciiTheme="minorHAnsi" w:hAnsiTheme="minorHAnsi"/>
              </w:rPr>
            </w:pPr>
            <w:r w:rsidRPr="0067507D">
              <w:t>–</w:t>
            </w:r>
          </w:p>
        </w:tc>
        <w:tc>
          <w:tcPr>
            <w:cnfStyle w:val="000001000000" w:firstRow="0" w:lastRow="0" w:firstColumn="0" w:lastColumn="0" w:oddVBand="0" w:evenVBand="1" w:oddHBand="0" w:evenHBand="0" w:firstRowFirstColumn="0" w:firstRowLastColumn="0" w:lastRowFirstColumn="0" w:lastRowLastColumn="0"/>
            <w:tcW w:w="1384" w:type="dxa"/>
            <w:noWrap/>
          </w:tcPr>
          <w:p w14:paraId="45A6F1E4" w14:textId="6225D70D" w:rsidR="00287B8C" w:rsidRPr="0067507D" w:rsidRDefault="00287B8C" w:rsidP="00287B8C">
            <w:pPr>
              <w:pStyle w:val="Tabletextrightbold"/>
              <w:rPr>
                <w:rFonts w:asciiTheme="minorHAnsi" w:hAnsiTheme="minorHAnsi"/>
              </w:rPr>
            </w:pPr>
            <w:r w:rsidRPr="0067507D">
              <w:t>(10)</w:t>
            </w:r>
          </w:p>
        </w:tc>
        <w:tc>
          <w:tcPr>
            <w:cnfStyle w:val="000010000000" w:firstRow="0" w:lastRow="0" w:firstColumn="0" w:lastColumn="0" w:oddVBand="1" w:evenVBand="0" w:oddHBand="0" w:evenHBand="0" w:firstRowFirstColumn="0" w:firstRowLastColumn="0" w:lastRowFirstColumn="0" w:lastRowLastColumn="0"/>
            <w:tcW w:w="1210" w:type="dxa"/>
            <w:noWrap/>
          </w:tcPr>
          <w:p w14:paraId="309AA1A1" w14:textId="60B7EF6D" w:rsidR="00287B8C" w:rsidRPr="0067507D" w:rsidRDefault="00287B8C" w:rsidP="00287B8C">
            <w:pPr>
              <w:pStyle w:val="Tabletextrightbold"/>
              <w:rPr>
                <w:rFonts w:asciiTheme="minorHAnsi" w:hAnsiTheme="minorHAnsi"/>
              </w:rPr>
            </w:pPr>
            <w:r w:rsidRPr="0067507D">
              <w:t>(10)</w:t>
            </w:r>
          </w:p>
        </w:tc>
      </w:tr>
      <w:tr w:rsidR="00287B8C" w:rsidRPr="0067507D" w14:paraId="30C0DFF8" w14:textId="77777777">
        <w:trPr>
          <w:trHeight w:val="240"/>
        </w:trPr>
        <w:tc>
          <w:tcPr>
            <w:cnfStyle w:val="001000000000" w:firstRow="0" w:lastRow="0" w:firstColumn="1" w:lastColumn="0" w:oddVBand="0" w:evenVBand="0" w:oddHBand="0" w:evenHBand="0" w:firstRowFirstColumn="0" w:firstRowLastColumn="0" w:lastRowFirstColumn="0" w:lastRowLastColumn="0"/>
            <w:tcW w:w="4608" w:type="dxa"/>
            <w:noWrap/>
          </w:tcPr>
          <w:p w14:paraId="6EDDA942" w14:textId="01BBCC15" w:rsidR="00287B8C" w:rsidRPr="0067507D" w:rsidRDefault="00287B8C" w:rsidP="00287B8C">
            <w:pPr>
              <w:pStyle w:val="Tabletextheadingleft"/>
            </w:pPr>
            <w:r w:rsidRPr="0067507D">
              <w:t>Balance at 30 June 2025</w:t>
            </w:r>
          </w:p>
        </w:tc>
        <w:tc>
          <w:tcPr>
            <w:cnfStyle w:val="000010000000" w:firstRow="0" w:lastRow="0" w:firstColumn="0" w:lastColumn="0" w:oddVBand="1" w:evenVBand="0" w:oddHBand="0" w:evenHBand="0" w:firstRowFirstColumn="0" w:firstRowLastColumn="0" w:lastRowFirstColumn="0" w:lastRowLastColumn="0"/>
            <w:tcW w:w="1297" w:type="dxa"/>
            <w:noWrap/>
          </w:tcPr>
          <w:p w14:paraId="48B345A8" w14:textId="0B692369" w:rsidR="00287B8C" w:rsidRPr="0067507D" w:rsidRDefault="00287B8C" w:rsidP="00287B8C">
            <w:pPr>
              <w:pStyle w:val="Tabletextrightbold"/>
            </w:pPr>
            <w:r w:rsidRPr="0067507D">
              <w:t>7</w:t>
            </w:r>
          </w:p>
        </w:tc>
        <w:tc>
          <w:tcPr>
            <w:cnfStyle w:val="000001000000" w:firstRow="0" w:lastRow="0" w:firstColumn="0" w:lastColumn="0" w:oddVBand="0" w:evenVBand="1" w:oddHBand="0" w:evenHBand="0" w:firstRowFirstColumn="0" w:firstRowLastColumn="0" w:lastRowFirstColumn="0" w:lastRowLastColumn="0"/>
            <w:tcW w:w="1384" w:type="dxa"/>
            <w:noWrap/>
          </w:tcPr>
          <w:p w14:paraId="20842177" w14:textId="5B801B74" w:rsidR="00287B8C" w:rsidRPr="0067507D" w:rsidRDefault="00287B8C" w:rsidP="00287B8C">
            <w:pPr>
              <w:pStyle w:val="Tabletextrightbold"/>
            </w:pPr>
            <w:r w:rsidRPr="0067507D">
              <w:t>(10)</w:t>
            </w:r>
          </w:p>
        </w:tc>
        <w:tc>
          <w:tcPr>
            <w:cnfStyle w:val="000010000000" w:firstRow="0" w:lastRow="0" w:firstColumn="0" w:lastColumn="0" w:oddVBand="1" w:evenVBand="0" w:oddHBand="0" w:evenHBand="0" w:firstRowFirstColumn="0" w:firstRowLastColumn="0" w:lastRowFirstColumn="0" w:lastRowLastColumn="0"/>
            <w:tcW w:w="1210" w:type="dxa"/>
            <w:noWrap/>
          </w:tcPr>
          <w:p w14:paraId="08048722" w14:textId="5CAA26B4" w:rsidR="00287B8C" w:rsidRPr="0067507D" w:rsidRDefault="00287B8C" w:rsidP="00287B8C">
            <w:pPr>
              <w:pStyle w:val="Tabletextrightbold"/>
            </w:pPr>
            <w:r w:rsidRPr="0067507D">
              <w:t>(3)</w:t>
            </w:r>
          </w:p>
        </w:tc>
      </w:tr>
    </w:tbl>
    <w:p w14:paraId="62E745D8" w14:textId="627F4C9A" w:rsidR="00356BF9" w:rsidRPr="0067507D" w:rsidRDefault="00356BF9" w:rsidP="00356BF9">
      <w:pPr>
        <w:pStyle w:val="Notes"/>
      </w:pPr>
      <w:r w:rsidRPr="0067507D">
        <w:t>Note</w:t>
      </w:r>
      <w:r w:rsidR="00734D62" w:rsidRPr="0067507D">
        <w:t>s</w:t>
      </w:r>
      <w:r w:rsidRPr="0067507D">
        <w:t>:</w:t>
      </w:r>
    </w:p>
    <w:p w14:paraId="01173877" w14:textId="5923D5AD" w:rsidR="00734D62" w:rsidRPr="0067507D" w:rsidRDefault="00734D62" w:rsidP="00072775">
      <w:pPr>
        <w:pStyle w:val="Notes"/>
      </w:pPr>
      <w:r w:rsidRPr="0067507D">
        <w:t>(a) The 2024</w:t>
      </w:r>
      <w:r w:rsidR="006A5485">
        <w:noBreakHyphen/>
      </w:r>
      <w:r w:rsidRPr="0067507D">
        <w:t>25 budget figures have been restated to reflect the 2023</w:t>
      </w:r>
      <w:r w:rsidR="006A5485">
        <w:noBreakHyphen/>
      </w:r>
      <w:r w:rsidRPr="0067507D">
        <w:t>24 actual closing balances.</w:t>
      </w:r>
    </w:p>
    <w:p w14:paraId="6057A4E9" w14:textId="19C1918C" w:rsidR="00344B6A" w:rsidRPr="0067507D" w:rsidRDefault="00734D62" w:rsidP="00072775">
      <w:pPr>
        <w:pStyle w:val="Notes"/>
      </w:pPr>
      <w:r w:rsidRPr="0067507D">
        <w:t>(b) The budget reflects capital funding from ATNAB. Capital expenditure in 2024</w:t>
      </w:r>
      <w:r w:rsidR="006A5485">
        <w:noBreakHyphen/>
      </w:r>
      <w:r w:rsidRPr="0067507D">
        <w:t>25 was fully covered by Depreciation Equivalent funding and, hence, ATNAB was not utilised.</w:t>
      </w:r>
    </w:p>
    <w:p w14:paraId="47FB6A24" w14:textId="77777777" w:rsidR="006E38D3" w:rsidRPr="0067507D" w:rsidRDefault="006E38D3" w:rsidP="006E38D3">
      <w:pPr>
        <w:spacing w:before="0" w:after="0"/>
      </w:pPr>
      <w:r w:rsidRPr="0067507D">
        <w:br w:type="page"/>
      </w:r>
    </w:p>
    <w:p w14:paraId="1323D0F4" w14:textId="77777777" w:rsidR="006E38D3" w:rsidRPr="0067507D" w:rsidRDefault="006E38D3" w:rsidP="006E38D3">
      <w:pPr>
        <w:pStyle w:val="Heading2"/>
      </w:pPr>
      <w:r w:rsidRPr="0067507D">
        <w:lastRenderedPageBreak/>
        <w:t>Budget portfolio outcomes</w:t>
      </w:r>
    </w:p>
    <w:p w14:paraId="6013ED5E" w14:textId="1E18DD29" w:rsidR="006E38D3" w:rsidRPr="0067507D" w:rsidRDefault="006E38D3" w:rsidP="006E38D3">
      <w:pPr>
        <w:pStyle w:val="Heading3"/>
      </w:pPr>
      <w:r w:rsidRPr="0067507D">
        <w:t xml:space="preserve">Administered items statement for the year ended </w:t>
      </w:r>
      <w:r w:rsidR="00C30F42" w:rsidRPr="0067507D">
        <w:t>30 June 2025</w:t>
      </w:r>
    </w:p>
    <w:tbl>
      <w:tblPr>
        <w:tblStyle w:val="AnnualReporttexttable"/>
        <w:tblW w:w="4363" w:type="pct"/>
        <w:tblLayout w:type="fixed"/>
        <w:tblLook w:val="02A0" w:firstRow="1" w:lastRow="0" w:firstColumn="1" w:lastColumn="0" w:noHBand="1" w:noVBand="0"/>
      </w:tblPr>
      <w:tblGrid>
        <w:gridCol w:w="4948"/>
        <w:gridCol w:w="1145"/>
        <w:gridCol w:w="1145"/>
        <w:gridCol w:w="1143"/>
      </w:tblGrid>
      <w:tr w:rsidR="00A24428" w:rsidRPr="00866B9C" w14:paraId="5B7492D3" w14:textId="77777777" w:rsidTr="00F10DAB">
        <w:trPr>
          <w:cnfStyle w:val="100000000000" w:firstRow="1" w:lastRow="0" w:firstColumn="0" w:lastColumn="0" w:oddVBand="0" w:evenVBand="0" w:oddHBand="0" w:evenHBand="0" w:firstRowFirstColumn="0" w:firstRowLastColumn="0" w:lastRowFirstColumn="0" w:lastRowLastColumn="0"/>
          <w:trHeight w:val="369"/>
          <w:tblHeader/>
        </w:trPr>
        <w:tc>
          <w:tcPr>
            <w:cnfStyle w:val="001000000000" w:firstRow="0" w:lastRow="0" w:firstColumn="1" w:lastColumn="0" w:oddVBand="0" w:evenVBand="0" w:oddHBand="0" w:evenHBand="0" w:firstRowFirstColumn="0" w:firstRowLastColumn="0" w:lastRowFirstColumn="0" w:lastRowLastColumn="0"/>
            <w:tcW w:w="2952" w:type="pct"/>
            <w:noWrap/>
          </w:tcPr>
          <w:p w14:paraId="3CCE18AB" w14:textId="77777777" w:rsidR="00A24428" w:rsidRPr="00866B9C" w:rsidRDefault="00A24428">
            <w:pPr>
              <w:pStyle w:val="Tabletext"/>
              <w:rPr>
                <w:b w:val="0"/>
              </w:rPr>
            </w:pPr>
          </w:p>
        </w:tc>
        <w:tc>
          <w:tcPr>
            <w:cnfStyle w:val="000010000000" w:firstRow="0" w:lastRow="0" w:firstColumn="0" w:lastColumn="0" w:oddVBand="1" w:evenVBand="0" w:oddHBand="0" w:evenHBand="0" w:firstRowFirstColumn="0" w:firstRowLastColumn="0" w:lastRowFirstColumn="0" w:lastRowLastColumn="0"/>
            <w:tcW w:w="683" w:type="pct"/>
            <w:shd w:val="clear" w:color="auto" w:fill="auto"/>
          </w:tcPr>
          <w:p w14:paraId="56AE23AB" w14:textId="471609E2" w:rsidR="000E73B4" w:rsidRPr="00866B9C" w:rsidRDefault="000E73B4" w:rsidP="000E73B4">
            <w:pPr>
              <w:pStyle w:val="Tabletextheadingright"/>
              <w:rPr>
                <w:b w:val="0"/>
              </w:rPr>
            </w:pPr>
            <w:r w:rsidRPr="00866B9C">
              <w:rPr>
                <w:b w:val="0"/>
              </w:rPr>
              <w:t>202</w:t>
            </w:r>
            <w:r w:rsidR="005955E8" w:rsidRPr="00866B9C">
              <w:rPr>
                <w:b w:val="0"/>
              </w:rPr>
              <w:t>4</w:t>
            </w:r>
            <w:r w:rsidR="003F781E">
              <w:rPr>
                <w:b w:val="0"/>
              </w:rPr>
              <w:noBreakHyphen/>
            </w:r>
            <w:r w:rsidRPr="00866B9C">
              <w:rPr>
                <w:b w:val="0"/>
              </w:rPr>
              <w:t>2</w:t>
            </w:r>
            <w:r w:rsidR="005955E8" w:rsidRPr="00866B9C">
              <w:rPr>
                <w:b w:val="0"/>
              </w:rPr>
              <w:t>5</w:t>
            </w:r>
            <w:r w:rsidRPr="00866B9C">
              <w:rPr>
                <w:b w:val="0"/>
              </w:rPr>
              <w:t xml:space="preserve"> budget</w:t>
            </w:r>
            <w:r w:rsidR="00952B92" w:rsidRPr="00866B9C">
              <w:rPr>
                <w:b w:val="0"/>
              </w:rPr>
              <w:t xml:space="preserve"> </w:t>
            </w:r>
            <w:r w:rsidR="002273A3" w:rsidRPr="00866B9C">
              <w:rPr>
                <w:b w:val="0"/>
                <w:vertAlign w:val="superscript"/>
              </w:rPr>
              <w:t>(a)</w:t>
            </w:r>
            <w:r w:rsidR="00952B92" w:rsidRPr="00866B9C">
              <w:rPr>
                <w:b w:val="0"/>
              </w:rPr>
              <w:t xml:space="preserve"> </w:t>
            </w:r>
          </w:p>
        </w:tc>
        <w:tc>
          <w:tcPr>
            <w:cnfStyle w:val="000001000000" w:firstRow="0" w:lastRow="0" w:firstColumn="0" w:lastColumn="0" w:oddVBand="0" w:evenVBand="1" w:oddHBand="0" w:evenHBand="0" w:firstRowFirstColumn="0" w:firstRowLastColumn="0" w:lastRowFirstColumn="0" w:lastRowLastColumn="0"/>
            <w:tcW w:w="683" w:type="pct"/>
            <w:shd w:val="clear" w:color="auto" w:fill="auto"/>
            <w:noWrap/>
          </w:tcPr>
          <w:p w14:paraId="49952B11" w14:textId="34A78DD9" w:rsidR="00A24428" w:rsidRPr="00866B9C" w:rsidRDefault="00A24428">
            <w:pPr>
              <w:pStyle w:val="Tabletextheadingright"/>
              <w:rPr>
                <w:b w:val="0"/>
              </w:rPr>
            </w:pPr>
            <w:r w:rsidRPr="00866B9C">
              <w:rPr>
                <w:b w:val="0"/>
              </w:rPr>
              <w:t>202</w:t>
            </w:r>
            <w:r w:rsidR="005955E8" w:rsidRPr="00866B9C">
              <w:rPr>
                <w:b w:val="0"/>
              </w:rPr>
              <w:t>4</w:t>
            </w:r>
            <w:r w:rsidR="003F781E">
              <w:rPr>
                <w:b w:val="0"/>
              </w:rPr>
              <w:noBreakHyphen/>
            </w:r>
            <w:r w:rsidRPr="00866B9C">
              <w:rPr>
                <w:b w:val="0"/>
              </w:rPr>
              <w:t>2</w:t>
            </w:r>
            <w:r w:rsidR="005955E8" w:rsidRPr="00866B9C">
              <w:rPr>
                <w:b w:val="0"/>
              </w:rPr>
              <w:t>5</w:t>
            </w:r>
            <w:r w:rsidRPr="00866B9C">
              <w:rPr>
                <w:b w:val="0"/>
              </w:rPr>
              <w:t xml:space="preserve"> </w:t>
            </w:r>
            <w:r w:rsidR="0063282E" w:rsidRPr="00866B9C">
              <w:rPr>
                <w:b w:val="0"/>
              </w:rPr>
              <w:t>actual</w:t>
            </w:r>
          </w:p>
        </w:tc>
        <w:tc>
          <w:tcPr>
            <w:cnfStyle w:val="000010000000" w:firstRow="0" w:lastRow="0" w:firstColumn="0" w:lastColumn="0" w:oddVBand="1" w:evenVBand="0" w:oddHBand="0" w:evenHBand="0" w:firstRowFirstColumn="0" w:firstRowLastColumn="0" w:lastRowFirstColumn="0" w:lastRowLastColumn="0"/>
            <w:tcW w:w="682" w:type="pct"/>
            <w:shd w:val="clear" w:color="auto" w:fill="auto"/>
            <w:noWrap/>
            <w:vAlign w:val="bottom"/>
          </w:tcPr>
          <w:p w14:paraId="35175715" w14:textId="77777777" w:rsidR="00A24428" w:rsidRPr="00866B9C" w:rsidRDefault="00A24428">
            <w:pPr>
              <w:pStyle w:val="Tabletextheadingright"/>
              <w:rPr>
                <w:b w:val="0"/>
              </w:rPr>
            </w:pPr>
            <w:r w:rsidRPr="00866B9C">
              <w:rPr>
                <w:b w:val="0"/>
              </w:rPr>
              <w:t>Variance</w:t>
            </w:r>
          </w:p>
        </w:tc>
      </w:tr>
      <w:tr w:rsidR="00A24428" w:rsidRPr="0067507D" w14:paraId="46906DA4" w14:textId="77777777" w:rsidTr="00F10DA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52" w:type="pct"/>
            <w:noWrap/>
          </w:tcPr>
          <w:p w14:paraId="22318C75" w14:textId="77777777" w:rsidR="00A24428" w:rsidRPr="0067507D" w:rsidRDefault="00A24428">
            <w:pPr>
              <w:pStyle w:val="Tabletext"/>
            </w:pPr>
          </w:p>
        </w:tc>
        <w:tc>
          <w:tcPr>
            <w:cnfStyle w:val="000010000000" w:firstRow="0" w:lastRow="0" w:firstColumn="0" w:lastColumn="0" w:oddVBand="1" w:evenVBand="0" w:oddHBand="0" w:evenHBand="0" w:firstRowFirstColumn="0" w:firstRowLastColumn="0" w:lastRowFirstColumn="0" w:lastRowLastColumn="0"/>
            <w:tcW w:w="683" w:type="pct"/>
            <w:shd w:val="clear" w:color="auto" w:fill="auto"/>
          </w:tcPr>
          <w:p w14:paraId="0C333DDD" w14:textId="76EA2CDE" w:rsidR="000E73B4" w:rsidRPr="0067507D" w:rsidRDefault="000E73B4" w:rsidP="000E73B4">
            <w:pPr>
              <w:pStyle w:val="Tabletextheadingright"/>
              <w:rPr>
                <w:b w:val="0"/>
              </w:rPr>
            </w:pPr>
            <w:r w:rsidRPr="0067507D">
              <w:rPr>
                <w:b w:val="0"/>
              </w:rPr>
              <w:t>$m</w:t>
            </w:r>
          </w:p>
        </w:tc>
        <w:tc>
          <w:tcPr>
            <w:cnfStyle w:val="000001000000" w:firstRow="0" w:lastRow="0" w:firstColumn="0" w:lastColumn="0" w:oddVBand="0" w:evenVBand="1" w:oddHBand="0" w:evenHBand="0" w:firstRowFirstColumn="0" w:firstRowLastColumn="0" w:lastRowFirstColumn="0" w:lastRowLastColumn="0"/>
            <w:tcW w:w="683" w:type="pct"/>
            <w:shd w:val="clear" w:color="auto" w:fill="auto"/>
            <w:noWrap/>
          </w:tcPr>
          <w:p w14:paraId="61E63C3E" w14:textId="4DCB52C5" w:rsidR="00A24428" w:rsidRPr="0067507D" w:rsidRDefault="00A24428">
            <w:pPr>
              <w:pStyle w:val="Tabletextheadingright"/>
              <w:rPr>
                <w:b w:val="0"/>
              </w:rPr>
            </w:pPr>
            <w:r w:rsidRPr="0067507D">
              <w:rPr>
                <w:b w:val="0"/>
              </w:rPr>
              <w:t>$m</w:t>
            </w:r>
          </w:p>
        </w:tc>
        <w:tc>
          <w:tcPr>
            <w:cnfStyle w:val="000010000000" w:firstRow="0" w:lastRow="0" w:firstColumn="0" w:lastColumn="0" w:oddVBand="1" w:evenVBand="0" w:oddHBand="0" w:evenHBand="0" w:firstRowFirstColumn="0" w:firstRowLastColumn="0" w:lastRowFirstColumn="0" w:lastRowLastColumn="0"/>
            <w:tcW w:w="682" w:type="pct"/>
            <w:shd w:val="clear" w:color="auto" w:fill="auto"/>
            <w:noWrap/>
          </w:tcPr>
          <w:p w14:paraId="5B96E307" w14:textId="77777777" w:rsidR="00A24428" w:rsidRPr="0067507D" w:rsidRDefault="00A24428">
            <w:pPr>
              <w:pStyle w:val="Tabletextheadingright"/>
              <w:rPr>
                <w:b w:val="0"/>
              </w:rPr>
            </w:pPr>
            <w:r w:rsidRPr="0067507D">
              <w:rPr>
                <w:b w:val="0"/>
              </w:rPr>
              <w:t>$m</w:t>
            </w:r>
          </w:p>
        </w:tc>
      </w:tr>
      <w:tr w:rsidR="008033F5" w:rsidRPr="0067507D" w14:paraId="6EE1176D" w14:textId="77777777" w:rsidTr="001E2BFF">
        <w:tc>
          <w:tcPr>
            <w:cnfStyle w:val="001000000000" w:firstRow="0" w:lastRow="0" w:firstColumn="1" w:lastColumn="0" w:oddVBand="0" w:evenVBand="0" w:oddHBand="0" w:evenHBand="0" w:firstRowFirstColumn="0" w:firstRowLastColumn="0" w:lastRowFirstColumn="0" w:lastRowLastColumn="0"/>
            <w:tcW w:w="2952" w:type="pct"/>
            <w:noWrap/>
          </w:tcPr>
          <w:p w14:paraId="2DCB0E36" w14:textId="55622112" w:rsidR="008033F5" w:rsidRPr="0067507D" w:rsidRDefault="008033F5" w:rsidP="008033F5">
            <w:pPr>
              <w:pStyle w:val="Tabletextbold"/>
            </w:pPr>
            <w:r w:rsidRPr="0067507D">
              <w:t>Administered income</w:t>
            </w:r>
          </w:p>
        </w:tc>
        <w:tc>
          <w:tcPr>
            <w:cnfStyle w:val="000010000000" w:firstRow="0" w:lastRow="0" w:firstColumn="0" w:lastColumn="0" w:oddVBand="1" w:evenVBand="0" w:oddHBand="0" w:evenHBand="0" w:firstRowFirstColumn="0" w:firstRowLastColumn="0" w:lastRowFirstColumn="0" w:lastRowLastColumn="0"/>
            <w:tcW w:w="683" w:type="pct"/>
          </w:tcPr>
          <w:p w14:paraId="5E47A057" w14:textId="77777777" w:rsidR="008033F5" w:rsidRPr="0067507D" w:rsidRDefault="008033F5" w:rsidP="008033F5">
            <w:pPr>
              <w:pStyle w:val="Tabletextright"/>
            </w:pPr>
          </w:p>
        </w:tc>
        <w:tc>
          <w:tcPr>
            <w:cnfStyle w:val="000001000000" w:firstRow="0" w:lastRow="0" w:firstColumn="0" w:lastColumn="0" w:oddVBand="0" w:evenVBand="1" w:oddHBand="0" w:evenHBand="0" w:firstRowFirstColumn="0" w:firstRowLastColumn="0" w:lastRowFirstColumn="0" w:lastRowLastColumn="0"/>
            <w:tcW w:w="683" w:type="pct"/>
            <w:noWrap/>
          </w:tcPr>
          <w:p w14:paraId="61ECFB17" w14:textId="109FD1FD" w:rsidR="008033F5" w:rsidRPr="0067507D" w:rsidRDefault="008033F5" w:rsidP="008033F5">
            <w:pPr>
              <w:pStyle w:val="Tabletextright"/>
            </w:pPr>
          </w:p>
        </w:tc>
        <w:tc>
          <w:tcPr>
            <w:cnfStyle w:val="000010000000" w:firstRow="0" w:lastRow="0" w:firstColumn="0" w:lastColumn="0" w:oddVBand="1" w:evenVBand="0" w:oddHBand="0" w:evenHBand="0" w:firstRowFirstColumn="0" w:firstRowLastColumn="0" w:lastRowFirstColumn="0" w:lastRowLastColumn="0"/>
            <w:tcW w:w="682" w:type="pct"/>
            <w:noWrap/>
          </w:tcPr>
          <w:p w14:paraId="7D5988C6" w14:textId="77777777" w:rsidR="008033F5" w:rsidRPr="0067507D" w:rsidRDefault="008033F5" w:rsidP="008033F5">
            <w:pPr>
              <w:pStyle w:val="Tabletextright"/>
            </w:pPr>
          </w:p>
        </w:tc>
      </w:tr>
      <w:tr w:rsidR="008033F5" w:rsidRPr="0067507D" w14:paraId="1B2137F0"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4C4CA868" w14:textId="1702916E" w:rsidR="008033F5" w:rsidRPr="0067507D" w:rsidRDefault="008033F5" w:rsidP="008033F5">
            <w:pPr>
              <w:pStyle w:val="Tabletext"/>
            </w:pPr>
            <w:r w:rsidRPr="0067507D">
              <w:t xml:space="preserve">Appropriations – payments made on behalf of the State </w:t>
            </w:r>
            <w:r w:rsidRPr="0067507D">
              <w:rPr>
                <w:vertAlign w:val="superscript"/>
              </w:rPr>
              <w:t>(</w:t>
            </w:r>
            <w:r w:rsidR="002273A3" w:rsidRPr="0067507D">
              <w:rPr>
                <w:vertAlign w:val="superscript"/>
              </w:rPr>
              <w:t>b</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683" w:type="pct"/>
          </w:tcPr>
          <w:p w14:paraId="3D665D61" w14:textId="75491F67" w:rsidR="008033F5" w:rsidRPr="0067507D" w:rsidRDefault="008033F5" w:rsidP="008033F5">
            <w:pPr>
              <w:pStyle w:val="Tabletextright"/>
            </w:pPr>
            <w:r w:rsidRPr="0067507D">
              <w:t xml:space="preserve">24 153 </w:t>
            </w:r>
          </w:p>
        </w:tc>
        <w:tc>
          <w:tcPr>
            <w:cnfStyle w:val="000001000000" w:firstRow="0" w:lastRow="0" w:firstColumn="0" w:lastColumn="0" w:oddVBand="0" w:evenVBand="1" w:oddHBand="0" w:evenHBand="0" w:firstRowFirstColumn="0" w:firstRowLastColumn="0" w:lastRowFirstColumn="0" w:lastRowLastColumn="0"/>
            <w:tcW w:w="683" w:type="pct"/>
            <w:noWrap/>
          </w:tcPr>
          <w:p w14:paraId="33E588B4" w14:textId="11469973" w:rsidR="008033F5" w:rsidRPr="0067507D" w:rsidRDefault="008033F5" w:rsidP="008033F5">
            <w:pPr>
              <w:pStyle w:val="Tabletextright"/>
            </w:pPr>
            <w:r w:rsidRPr="0067507D">
              <w:t xml:space="preserve">7 233 </w:t>
            </w:r>
          </w:p>
        </w:tc>
        <w:tc>
          <w:tcPr>
            <w:cnfStyle w:val="000010000000" w:firstRow="0" w:lastRow="0" w:firstColumn="0" w:lastColumn="0" w:oddVBand="1" w:evenVBand="0" w:oddHBand="0" w:evenHBand="0" w:firstRowFirstColumn="0" w:firstRowLastColumn="0" w:lastRowFirstColumn="0" w:lastRowLastColumn="0"/>
            <w:tcW w:w="682" w:type="pct"/>
            <w:noWrap/>
          </w:tcPr>
          <w:p w14:paraId="0FA72ACA" w14:textId="5C797AF6" w:rsidR="008033F5" w:rsidRPr="0067507D" w:rsidRDefault="008033F5" w:rsidP="008033F5">
            <w:pPr>
              <w:pStyle w:val="Tabletextright"/>
            </w:pPr>
            <w:r w:rsidRPr="0067507D">
              <w:t xml:space="preserve">(16 920) </w:t>
            </w:r>
          </w:p>
        </w:tc>
      </w:tr>
      <w:tr w:rsidR="008033F5" w:rsidRPr="0067507D" w14:paraId="384CD153"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646BC0A3" w14:textId="36EE32F0" w:rsidR="008033F5" w:rsidRPr="0067507D" w:rsidRDefault="008033F5" w:rsidP="008033F5">
            <w:pPr>
              <w:pStyle w:val="Tabletext"/>
            </w:pPr>
            <w:r w:rsidRPr="0067507D">
              <w:t xml:space="preserve">Special appropriations </w:t>
            </w:r>
            <w:r w:rsidRPr="0067507D">
              <w:rPr>
                <w:vertAlign w:val="superscript"/>
              </w:rPr>
              <w:t>(</w:t>
            </w:r>
            <w:r w:rsidR="002273A3" w:rsidRPr="0067507D">
              <w:rPr>
                <w:vertAlign w:val="superscript"/>
              </w:rPr>
              <w:t>c</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683" w:type="pct"/>
          </w:tcPr>
          <w:p w14:paraId="2256DD44" w14:textId="087BBFBB" w:rsidR="008033F5" w:rsidRPr="0067507D" w:rsidRDefault="008033F5" w:rsidP="008033F5">
            <w:pPr>
              <w:pStyle w:val="Tabletextright"/>
            </w:pPr>
            <w:r w:rsidRPr="0067507D">
              <w:t xml:space="preserve">2 300 </w:t>
            </w:r>
          </w:p>
        </w:tc>
        <w:tc>
          <w:tcPr>
            <w:cnfStyle w:val="000001000000" w:firstRow="0" w:lastRow="0" w:firstColumn="0" w:lastColumn="0" w:oddVBand="0" w:evenVBand="1" w:oddHBand="0" w:evenHBand="0" w:firstRowFirstColumn="0" w:firstRowLastColumn="0" w:lastRowFirstColumn="0" w:lastRowLastColumn="0"/>
            <w:tcW w:w="683" w:type="pct"/>
            <w:noWrap/>
          </w:tcPr>
          <w:p w14:paraId="14CA0DE0" w14:textId="0E771D03" w:rsidR="008033F5" w:rsidRPr="0067507D" w:rsidRDefault="008033F5" w:rsidP="008033F5">
            <w:pPr>
              <w:pStyle w:val="Tabletextright"/>
            </w:pPr>
            <w:r w:rsidRPr="0067507D">
              <w:t xml:space="preserve">1 305 </w:t>
            </w:r>
          </w:p>
        </w:tc>
        <w:tc>
          <w:tcPr>
            <w:cnfStyle w:val="000010000000" w:firstRow="0" w:lastRow="0" w:firstColumn="0" w:lastColumn="0" w:oddVBand="1" w:evenVBand="0" w:oddHBand="0" w:evenHBand="0" w:firstRowFirstColumn="0" w:firstRowLastColumn="0" w:lastRowFirstColumn="0" w:lastRowLastColumn="0"/>
            <w:tcW w:w="682" w:type="pct"/>
            <w:noWrap/>
          </w:tcPr>
          <w:p w14:paraId="0C2310EB" w14:textId="449E39B5" w:rsidR="008033F5" w:rsidRPr="0067507D" w:rsidRDefault="008033F5" w:rsidP="008033F5">
            <w:pPr>
              <w:pStyle w:val="Tabletextright"/>
            </w:pPr>
            <w:r w:rsidRPr="0067507D">
              <w:t xml:space="preserve">(995) </w:t>
            </w:r>
          </w:p>
        </w:tc>
      </w:tr>
      <w:tr w:rsidR="008033F5" w:rsidRPr="0067507D" w14:paraId="34371DB9"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760741B4" w14:textId="1DA05347" w:rsidR="008033F5" w:rsidRPr="0067507D" w:rsidRDefault="008033F5" w:rsidP="008033F5">
            <w:pPr>
              <w:pStyle w:val="Tabletext"/>
            </w:pPr>
            <w:r w:rsidRPr="0067507D">
              <w:t>Sales of goods and services</w:t>
            </w:r>
          </w:p>
        </w:tc>
        <w:tc>
          <w:tcPr>
            <w:cnfStyle w:val="000010000000" w:firstRow="0" w:lastRow="0" w:firstColumn="0" w:lastColumn="0" w:oddVBand="1" w:evenVBand="0" w:oddHBand="0" w:evenHBand="0" w:firstRowFirstColumn="0" w:firstRowLastColumn="0" w:lastRowFirstColumn="0" w:lastRowLastColumn="0"/>
            <w:tcW w:w="683" w:type="pct"/>
          </w:tcPr>
          <w:p w14:paraId="3532870C" w14:textId="2AA77A60" w:rsidR="008033F5" w:rsidRPr="0067507D" w:rsidRDefault="008033F5" w:rsidP="008033F5">
            <w:pPr>
              <w:pStyle w:val="Tabletextright"/>
            </w:pPr>
            <w:r w:rsidRPr="0067507D">
              <w:t xml:space="preserve"> 46 </w:t>
            </w:r>
          </w:p>
        </w:tc>
        <w:tc>
          <w:tcPr>
            <w:cnfStyle w:val="000001000000" w:firstRow="0" w:lastRow="0" w:firstColumn="0" w:lastColumn="0" w:oddVBand="0" w:evenVBand="1" w:oddHBand="0" w:evenHBand="0" w:firstRowFirstColumn="0" w:firstRowLastColumn="0" w:lastRowFirstColumn="0" w:lastRowLastColumn="0"/>
            <w:tcW w:w="683" w:type="pct"/>
            <w:noWrap/>
          </w:tcPr>
          <w:p w14:paraId="0F708D74" w14:textId="760E7576" w:rsidR="008033F5" w:rsidRPr="0067507D" w:rsidRDefault="008033F5" w:rsidP="008033F5">
            <w:pPr>
              <w:pStyle w:val="Tabletextright"/>
            </w:pPr>
            <w:r w:rsidRPr="0067507D">
              <w:t xml:space="preserve"> 102 </w:t>
            </w:r>
          </w:p>
        </w:tc>
        <w:tc>
          <w:tcPr>
            <w:cnfStyle w:val="000010000000" w:firstRow="0" w:lastRow="0" w:firstColumn="0" w:lastColumn="0" w:oddVBand="1" w:evenVBand="0" w:oddHBand="0" w:evenHBand="0" w:firstRowFirstColumn="0" w:firstRowLastColumn="0" w:lastRowFirstColumn="0" w:lastRowLastColumn="0"/>
            <w:tcW w:w="682" w:type="pct"/>
            <w:noWrap/>
          </w:tcPr>
          <w:p w14:paraId="5A456B6D" w14:textId="23BD1FBD" w:rsidR="008033F5" w:rsidRPr="0067507D" w:rsidRDefault="008033F5" w:rsidP="008033F5">
            <w:pPr>
              <w:pStyle w:val="Tabletextright"/>
            </w:pPr>
            <w:r w:rsidRPr="0067507D">
              <w:t xml:space="preserve"> 56 </w:t>
            </w:r>
          </w:p>
        </w:tc>
      </w:tr>
      <w:tr w:rsidR="008033F5" w:rsidRPr="0067507D" w14:paraId="148BE39C"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417C15FA" w14:textId="0CE428C4" w:rsidR="008033F5" w:rsidRPr="0067507D" w:rsidRDefault="008033F5" w:rsidP="008033F5">
            <w:pPr>
              <w:pStyle w:val="Tabletext"/>
            </w:pPr>
            <w:r w:rsidRPr="0067507D">
              <w:t xml:space="preserve">Grants </w:t>
            </w:r>
            <w:r w:rsidRPr="0067507D">
              <w:rPr>
                <w:vertAlign w:val="superscript"/>
              </w:rPr>
              <w:t>(</w:t>
            </w:r>
            <w:r w:rsidR="002273A3" w:rsidRPr="0067507D">
              <w:rPr>
                <w:vertAlign w:val="superscript"/>
              </w:rPr>
              <w:t>d</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683" w:type="pct"/>
          </w:tcPr>
          <w:p w14:paraId="420B307E" w14:textId="6C8D59A3" w:rsidR="008033F5" w:rsidRPr="0067507D" w:rsidRDefault="008033F5" w:rsidP="008033F5">
            <w:pPr>
              <w:pStyle w:val="Tabletextright"/>
            </w:pPr>
            <w:r w:rsidRPr="0067507D">
              <w:t xml:space="preserve">34 601 </w:t>
            </w:r>
          </w:p>
        </w:tc>
        <w:tc>
          <w:tcPr>
            <w:cnfStyle w:val="000001000000" w:firstRow="0" w:lastRow="0" w:firstColumn="0" w:lastColumn="0" w:oddVBand="0" w:evenVBand="1" w:oddHBand="0" w:evenHBand="0" w:firstRowFirstColumn="0" w:firstRowLastColumn="0" w:lastRowFirstColumn="0" w:lastRowLastColumn="0"/>
            <w:tcW w:w="683" w:type="pct"/>
            <w:noWrap/>
          </w:tcPr>
          <w:p w14:paraId="5063F482" w14:textId="05B4B529" w:rsidR="008033F5" w:rsidRPr="0067507D" w:rsidRDefault="008033F5" w:rsidP="008033F5">
            <w:pPr>
              <w:pStyle w:val="Tabletextright"/>
            </w:pPr>
            <w:r w:rsidRPr="0067507D">
              <w:t xml:space="preserve">37 091 </w:t>
            </w:r>
          </w:p>
        </w:tc>
        <w:tc>
          <w:tcPr>
            <w:cnfStyle w:val="000010000000" w:firstRow="0" w:lastRow="0" w:firstColumn="0" w:lastColumn="0" w:oddVBand="1" w:evenVBand="0" w:oddHBand="0" w:evenHBand="0" w:firstRowFirstColumn="0" w:firstRowLastColumn="0" w:lastRowFirstColumn="0" w:lastRowLastColumn="0"/>
            <w:tcW w:w="682" w:type="pct"/>
            <w:noWrap/>
          </w:tcPr>
          <w:p w14:paraId="3641C769" w14:textId="00968B96" w:rsidR="008033F5" w:rsidRPr="0067507D" w:rsidRDefault="008033F5" w:rsidP="008033F5">
            <w:pPr>
              <w:pStyle w:val="Tabletextright"/>
            </w:pPr>
            <w:r w:rsidRPr="0067507D">
              <w:t xml:space="preserve">2 490 </w:t>
            </w:r>
          </w:p>
        </w:tc>
      </w:tr>
      <w:tr w:rsidR="008033F5" w:rsidRPr="0067507D" w14:paraId="69577406"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55A790B1" w14:textId="0192FF96" w:rsidR="008033F5" w:rsidRPr="0067507D" w:rsidRDefault="008033F5" w:rsidP="008033F5">
            <w:pPr>
              <w:pStyle w:val="Tabletext"/>
            </w:pPr>
            <w:r w:rsidRPr="0067507D">
              <w:t>Interest income</w:t>
            </w:r>
          </w:p>
        </w:tc>
        <w:tc>
          <w:tcPr>
            <w:cnfStyle w:val="000010000000" w:firstRow="0" w:lastRow="0" w:firstColumn="0" w:lastColumn="0" w:oddVBand="1" w:evenVBand="0" w:oddHBand="0" w:evenHBand="0" w:firstRowFirstColumn="0" w:firstRowLastColumn="0" w:lastRowFirstColumn="0" w:lastRowLastColumn="0"/>
            <w:tcW w:w="683" w:type="pct"/>
          </w:tcPr>
          <w:p w14:paraId="59B16AF9" w14:textId="7F63D8A5" w:rsidR="008033F5" w:rsidRPr="0067507D" w:rsidRDefault="008033F5" w:rsidP="008033F5">
            <w:pPr>
              <w:pStyle w:val="Tabletextright"/>
            </w:pPr>
            <w:r w:rsidRPr="0067507D">
              <w:t xml:space="preserve"> 398 </w:t>
            </w:r>
          </w:p>
        </w:tc>
        <w:tc>
          <w:tcPr>
            <w:cnfStyle w:val="000001000000" w:firstRow="0" w:lastRow="0" w:firstColumn="0" w:lastColumn="0" w:oddVBand="0" w:evenVBand="1" w:oddHBand="0" w:evenHBand="0" w:firstRowFirstColumn="0" w:firstRowLastColumn="0" w:lastRowFirstColumn="0" w:lastRowLastColumn="0"/>
            <w:tcW w:w="683" w:type="pct"/>
            <w:noWrap/>
          </w:tcPr>
          <w:p w14:paraId="1866B8E9" w14:textId="347B2E83" w:rsidR="008033F5" w:rsidRPr="0067507D" w:rsidRDefault="008033F5" w:rsidP="008033F5">
            <w:pPr>
              <w:pStyle w:val="Tabletextright"/>
            </w:pPr>
            <w:r w:rsidRPr="0067507D">
              <w:t xml:space="preserve"> 488 </w:t>
            </w:r>
          </w:p>
        </w:tc>
        <w:tc>
          <w:tcPr>
            <w:cnfStyle w:val="000010000000" w:firstRow="0" w:lastRow="0" w:firstColumn="0" w:lastColumn="0" w:oddVBand="1" w:evenVBand="0" w:oddHBand="0" w:evenHBand="0" w:firstRowFirstColumn="0" w:firstRowLastColumn="0" w:lastRowFirstColumn="0" w:lastRowLastColumn="0"/>
            <w:tcW w:w="682" w:type="pct"/>
            <w:noWrap/>
          </w:tcPr>
          <w:p w14:paraId="5389D259" w14:textId="74B428E2" w:rsidR="008033F5" w:rsidRPr="0067507D" w:rsidRDefault="008033F5" w:rsidP="008033F5">
            <w:pPr>
              <w:pStyle w:val="Tabletextright"/>
            </w:pPr>
            <w:r w:rsidRPr="0067507D">
              <w:t xml:space="preserve"> 90 </w:t>
            </w:r>
          </w:p>
        </w:tc>
      </w:tr>
      <w:tr w:rsidR="008033F5" w:rsidRPr="0067507D" w14:paraId="2636F17D"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5B0B0642" w14:textId="420DBCBF" w:rsidR="008033F5" w:rsidRPr="0067507D" w:rsidRDefault="008033F5" w:rsidP="008033F5">
            <w:pPr>
              <w:pStyle w:val="Tabletext"/>
            </w:pPr>
            <w:r w:rsidRPr="0067507D">
              <w:t xml:space="preserve">Other revenue and income </w:t>
            </w:r>
            <w:r w:rsidRPr="0067507D">
              <w:rPr>
                <w:vertAlign w:val="superscript"/>
              </w:rPr>
              <w:t>(</w:t>
            </w:r>
            <w:r w:rsidR="002273A3" w:rsidRPr="0067507D">
              <w:rPr>
                <w:vertAlign w:val="superscript"/>
              </w:rPr>
              <w:t>e</w:t>
            </w:r>
            <w:r w:rsidRPr="0067507D">
              <w:rPr>
                <w:vertAlign w:val="superscript"/>
              </w:rPr>
              <w:t>)</w:t>
            </w:r>
            <w:r w:rsidRPr="0067507D">
              <w:t xml:space="preserve"> </w:t>
            </w:r>
          </w:p>
        </w:tc>
        <w:tc>
          <w:tcPr>
            <w:cnfStyle w:val="000010000000" w:firstRow="0" w:lastRow="0" w:firstColumn="0" w:lastColumn="0" w:oddVBand="1" w:evenVBand="0" w:oddHBand="0" w:evenHBand="0" w:firstRowFirstColumn="0" w:firstRowLastColumn="0" w:lastRowFirstColumn="0" w:lastRowLastColumn="0"/>
            <w:tcW w:w="683" w:type="pct"/>
          </w:tcPr>
          <w:p w14:paraId="163F9EC9" w14:textId="51FE6BA2" w:rsidR="008033F5" w:rsidRPr="0067507D" w:rsidRDefault="008033F5" w:rsidP="008033F5">
            <w:pPr>
              <w:pStyle w:val="Tabletextright"/>
            </w:pPr>
            <w:r w:rsidRPr="0067507D">
              <w:t xml:space="preserve">34 208 </w:t>
            </w:r>
          </w:p>
        </w:tc>
        <w:tc>
          <w:tcPr>
            <w:cnfStyle w:val="000001000000" w:firstRow="0" w:lastRow="0" w:firstColumn="0" w:lastColumn="0" w:oddVBand="0" w:evenVBand="1" w:oddHBand="0" w:evenHBand="0" w:firstRowFirstColumn="0" w:firstRowLastColumn="0" w:lastRowFirstColumn="0" w:lastRowLastColumn="0"/>
            <w:tcW w:w="683" w:type="pct"/>
            <w:noWrap/>
          </w:tcPr>
          <w:p w14:paraId="50FC0A63" w14:textId="28740397" w:rsidR="008033F5" w:rsidRPr="0067507D" w:rsidRDefault="008033F5" w:rsidP="008033F5">
            <w:pPr>
              <w:pStyle w:val="Tabletextright"/>
            </w:pPr>
            <w:r w:rsidRPr="0067507D">
              <w:t xml:space="preserve">36 209 </w:t>
            </w:r>
          </w:p>
        </w:tc>
        <w:tc>
          <w:tcPr>
            <w:cnfStyle w:val="000010000000" w:firstRow="0" w:lastRow="0" w:firstColumn="0" w:lastColumn="0" w:oddVBand="1" w:evenVBand="0" w:oddHBand="0" w:evenHBand="0" w:firstRowFirstColumn="0" w:firstRowLastColumn="0" w:lastRowFirstColumn="0" w:lastRowLastColumn="0"/>
            <w:tcW w:w="682" w:type="pct"/>
            <w:noWrap/>
          </w:tcPr>
          <w:p w14:paraId="2EE1C45D" w14:textId="05BA7440" w:rsidR="008033F5" w:rsidRPr="0067507D" w:rsidRDefault="008033F5" w:rsidP="008033F5">
            <w:pPr>
              <w:pStyle w:val="Tabletextright"/>
            </w:pPr>
            <w:r w:rsidRPr="0067507D">
              <w:t xml:space="preserve">2 001 </w:t>
            </w:r>
          </w:p>
        </w:tc>
      </w:tr>
      <w:tr w:rsidR="008033F5" w:rsidRPr="0067507D" w14:paraId="5290024A"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24DB09C0" w14:textId="7696CC99" w:rsidR="008033F5" w:rsidRPr="0067507D" w:rsidRDefault="008033F5" w:rsidP="008033F5">
            <w:pPr>
              <w:pStyle w:val="Tabletextbold"/>
            </w:pPr>
            <w:r w:rsidRPr="0067507D">
              <w:t>Total administered income</w:t>
            </w:r>
          </w:p>
        </w:tc>
        <w:tc>
          <w:tcPr>
            <w:cnfStyle w:val="000010000000" w:firstRow="0" w:lastRow="0" w:firstColumn="0" w:lastColumn="0" w:oddVBand="1" w:evenVBand="0" w:oddHBand="0" w:evenHBand="0" w:firstRowFirstColumn="0" w:firstRowLastColumn="0" w:lastRowFirstColumn="0" w:lastRowLastColumn="0"/>
            <w:tcW w:w="683" w:type="pct"/>
          </w:tcPr>
          <w:p w14:paraId="45C4E65B" w14:textId="12340465" w:rsidR="008033F5" w:rsidRPr="0067507D" w:rsidRDefault="008033F5" w:rsidP="008033F5">
            <w:pPr>
              <w:pStyle w:val="Tabletextrightbold"/>
            </w:pPr>
            <w:r w:rsidRPr="0067507D">
              <w:t xml:space="preserve">95 706 </w:t>
            </w:r>
          </w:p>
        </w:tc>
        <w:tc>
          <w:tcPr>
            <w:cnfStyle w:val="000001000000" w:firstRow="0" w:lastRow="0" w:firstColumn="0" w:lastColumn="0" w:oddVBand="0" w:evenVBand="1" w:oddHBand="0" w:evenHBand="0" w:firstRowFirstColumn="0" w:firstRowLastColumn="0" w:lastRowFirstColumn="0" w:lastRowLastColumn="0"/>
            <w:tcW w:w="683" w:type="pct"/>
            <w:noWrap/>
          </w:tcPr>
          <w:p w14:paraId="0211CD37" w14:textId="70993F13" w:rsidR="008033F5" w:rsidRPr="0067507D" w:rsidRDefault="008033F5" w:rsidP="008033F5">
            <w:pPr>
              <w:pStyle w:val="Tabletextrightbold"/>
            </w:pPr>
            <w:r w:rsidRPr="0067507D">
              <w:t xml:space="preserve">82 428 </w:t>
            </w:r>
          </w:p>
        </w:tc>
        <w:tc>
          <w:tcPr>
            <w:cnfStyle w:val="000010000000" w:firstRow="0" w:lastRow="0" w:firstColumn="0" w:lastColumn="0" w:oddVBand="1" w:evenVBand="0" w:oddHBand="0" w:evenHBand="0" w:firstRowFirstColumn="0" w:firstRowLastColumn="0" w:lastRowFirstColumn="0" w:lastRowLastColumn="0"/>
            <w:tcW w:w="682" w:type="pct"/>
            <w:noWrap/>
          </w:tcPr>
          <w:p w14:paraId="457C748C" w14:textId="4215B86F" w:rsidR="008033F5" w:rsidRPr="0067507D" w:rsidRDefault="008033F5" w:rsidP="008033F5">
            <w:pPr>
              <w:pStyle w:val="Tabletextrightbold"/>
            </w:pPr>
            <w:r w:rsidRPr="0067507D">
              <w:t xml:space="preserve">(13 278) </w:t>
            </w:r>
          </w:p>
        </w:tc>
      </w:tr>
      <w:tr w:rsidR="008033F5" w:rsidRPr="0067507D" w14:paraId="255A84A3" w14:textId="77777777" w:rsidTr="001E2BFF">
        <w:tc>
          <w:tcPr>
            <w:cnfStyle w:val="001000000000" w:firstRow="0" w:lastRow="0" w:firstColumn="1" w:lastColumn="0" w:oddVBand="0" w:evenVBand="0" w:oddHBand="0" w:evenHBand="0" w:firstRowFirstColumn="0" w:firstRowLastColumn="0" w:lastRowFirstColumn="0" w:lastRowLastColumn="0"/>
            <w:tcW w:w="2952" w:type="pct"/>
            <w:noWrap/>
          </w:tcPr>
          <w:p w14:paraId="79B4AC24" w14:textId="77777777" w:rsidR="008033F5" w:rsidRPr="0067507D" w:rsidRDefault="008033F5" w:rsidP="008033F5">
            <w:pPr>
              <w:pStyle w:val="Tabletext"/>
            </w:pPr>
          </w:p>
        </w:tc>
        <w:tc>
          <w:tcPr>
            <w:cnfStyle w:val="000010000000" w:firstRow="0" w:lastRow="0" w:firstColumn="0" w:lastColumn="0" w:oddVBand="1" w:evenVBand="0" w:oddHBand="0" w:evenHBand="0" w:firstRowFirstColumn="0" w:firstRowLastColumn="0" w:lastRowFirstColumn="0" w:lastRowLastColumn="0"/>
            <w:tcW w:w="683" w:type="pct"/>
          </w:tcPr>
          <w:p w14:paraId="2D10F8D2" w14:textId="77777777" w:rsidR="008033F5" w:rsidRPr="0067507D" w:rsidRDefault="008033F5" w:rsidP="008033F5">
            <w:pPr>
              <w:pStyle w:val="Tabletextrightbold"/>
            </w:pPr>
          </w:p>
        </w:tc>
        <w:tc>
          <w:tcPr>
            <w:cnfStyle w:val="000001000000" w:firstRow="0" w:lastRow="0" w:firstColumn="0" w:lastColumn="0" w:oddVBand="0" w:evenVBand="1" w:oddHBand="0" w:evenHBand="0" w:firstRowFirstColumn="0" w:firstRowLastColumn="0" w:lastRowFirstColumn="0" w:lastRowLastColumn="0"/>
            <w:tcW w:w="683" w:type="pct"/>
            <w:noWrap/>
          </w:tcPr>
          <w:p w14:paraId="233CEA6C" w14:textId="6281EA93" w:rsidR="008033F5" w:rsidRPr="0067507D" w:rsidRDefault="008033F5" w:rsidP="008033F5">
            <w:pPr>
              <w:pStyle w:val="Tabletextrightbold"/>
            </w:pPr>
          </w:p>
        </w:tc>
        <w:tc>
          <w:tcPr>
            <w:cnfStyle w:val="000010000000" w:firstRow="0" w:lastRow="0" w:firstColumn="0" w:lastColumn="0" w:oddVBand="1" w:evenVBand="0" w:oddHBand="0" w:evenHBand="0" w:firstRowFirstColumn="0" w:firstRowLastColumn="0" w:lastRowFirstColumn="0" w:lastRowLastColumn="0"/>
            <w:tcW w:w="682" w:type="pct"/>
            <w:noWrap/>
          </w:tcPr>
          <w:p w14:paraId="7D3CECEF" w14:textId="77777777" w:rsidR="008033F5" w:rsidRPr="0067507D" w:rsidRDefault="008033F5" w:rsidP="008033F5">
            <w:pPr>
              <w:pStyle w:val="Tabletextrightbold"/>
            </w:pPr>
          </w:p>
        </w:tc>
      </w:tr>
      <w:tr w:rsidR="008033F5" w:rsidRPr="0067507D" w14:paraId="6D673A55" w14:textId="77777777" w:rsidTr="001E2BFF">
        <w:tc>
          <w:tcPr>
            <w:cnfStyle w:val="001000000000" w:firstRow="0" w:lastRow="0" w:firstColumn="1" w:lastColumn="0" w:oddVBand="0" w:evenVBand="0" w:oddHBand="0" w:evenHBand="0" w:firstRowFirstColumn="0" w:firstRowLastColumn="0" w:lastRowFirstColumn="0" w:lastRowLastColumn="0"/>
            <w:tcW w:w="2952" w:type="pct"/>
            <w:noWrap/>
          </w:tcPr>
          <w:p w14:paraId="1C9F25C7" w14:textId="0875A82D" w:rsidR="008033F5" w:rsidRPr="0067507D" w:rsidRDefault="008033F5" w:rsidP="008033F5">
            <w:pPr>
              <w:pStyle w:val="Tabletextbold"/>
            </w:pPr>
            <w:r w:rsidRPr="0067507D">
              <w:t>Administered expenses</w:t>
            </w:r>
          </w:p>
        </w:tc>
        <w:tc>
          <w:tcPr>
            <w:cnfStyle w:val="000010000000" w:firstRow="0" w:lastRow="0" w:firstColumn="0" w:lastColumn="0" w:oddVBand="1" w:evenVBand="0" w:oddHBand="0" w:evenHBand="0" w:firstRowFirstColumn="0" w:firstRowLastColumn="0" w:lastRowFirstColumn="0" w:lastRowLastColumn="0"/>
            <w:tcW w:w="683" w:type="pct"/>
          </w:tcPr>
          <w:p w14:paraId="0240F076" w14:textId="77777777" w:rsidR="008033F5" w:rsidRPr="0067507D" w:rsidRDefault="008033F5" w:rsidP="008033F5">
            <w:pPr>
              <w:pStyle w:val="Tabletextright"/>
            </w:pPr>
          </w:p>
        </w:tc>
        <w:tc>
          <w:tcPr>
            <w:cnfStyle w:val="000001000000" w:firstRow="0" w:lastRow="0" w:firstColumn="0" w:lastColumn="0" w:oddVBand="0" w:evenVBand="1" w:oddHBand="0" w:evenHBand="0" w:firstRowFirstColumn="0" w:firstRowLastColumn="0" w:lastRowFirstColumn="0" w:lastRowLastColumn="0"/>
            <w:tcW w:w="683" w:type="pct"/>
            <w:noWrap/>
          </w:tcPr>
          <w:p w14:paraId="2078FE7D" w14:textId="52FE5648" w:rsidR="008033F5" w:rsidRPr="0067507D" w:rsidRDefault="008033F5" w:rsidP="008033F5">
            <w:pPr>
              <w:pStyle w:val="Tabletextright"/>
            </w:pPr>
          </w:p>
        </w:tc>
        <w:tc>
          <w:tcPr>
            <w:cnfStyle w:val="000010000000" w:firstRow="0" w:lastRow="0" w:firstColumn="0" w:lastColumn="0" w:oddVBand="1" w:evenVBand="0" w:oddHBand="0" w:evenHBand="0" w:firstRowFirstColumn="0" w:firstRowLastColumn="0" w:lastRowFirstColumn="0" w:lastRowLastColumn="0"/>
            <w:tcW w:w="682" w:type="pct"/>
            <w:noWrap/>
          </w:tcPr>
          <w:p w14:paraId="774D5949" w14:textId="77777777" w:rsidR="008033F5" w:rsidRPr="0067507D" w:rsidRDefault="008033F5" w:rsidP="008033F5">
            <w:pPr>
              <w:pStyle w:val="Tabletextright"/>
            </w:pPr>
          </w:p>
        </w:tc>
      </w:tr>
      <w:tr w:rsidR="008033F5" w:rsidRPr="0067507D" w14:paraId="671ECB11"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2C35AF9D" w14:textId="612B7F3A" w:rsidR="008033F5" w:rsidRPr="0067507D" w:rsidRDefault="008033F5" w:rsidP="008033F5">
            <w:pPr>
              <w:pStyle w:val="Tabletext"/>
            </w:pPr>
            <w:r w:rsidRPr="0067507D">
              <w:t xml:space="preserve">Expenses on behalf of the State </w:t>
            </w:r>
            <w:r w:rsidRPr="0067507D">
              <w:rPr>
                <w:vertAlign w:val="superscript"/>
              </w:rPr>
              <w:t>(</w:t>
            </w:r>
            <w:r w:rsidR="002273A3" w:rsidRPr="0067507D">
              <w:rPr>
                <w:vertAlign w:val="superscript"/>
              </w:rPr>
              <w:t>b</w:t>
            </w:r>
            <w:r w:rsidRPr="0067507D">
              <w:rPr>
                <w:vertAlign w:val="superscript"/>
              </w:rPr>
              <w:t>)</w:t>
            </w:r>
            <w:r w:rsidRPr="0067507D">
              <w:t xml:space="preserve"> </w:t>
            </w:r>
          </w:p>
        </w:tc>
        <w:tc>
          <w:tcPr>
            <w:cnfStyle w:val="000010000000" w:firstRow="0" w:lastRow="0" w:firstColumn="0" w:lastColumn="0" w:oddVBand="1" w:evenVBand="0" w:oddHBand="0" w:evenHBand="0" w:firstRowFirstColumn="0" w:firstRowLastColumn="0" w:lastRowFirstColumn="0" w:lastRowLastColumn="0"/>
            <w:tcW w:w="683" w:type="pct"/>
          </w:tcPr>
          <w:p w14:paraId="358B6654" w14:textId="68A7CE52" w:rsidR="008033F5" w:rsidRPr="0067507D" w:rsidRDefault="008033F5" w:rsidP="008033F5">
            <w:pPr>
              <w:pStyle w:val="Tabletextright"/>
            </w:pPr>
            <w:r w:rsidRPr="0067507D">
              <w:t xml:space="preserve">2 431 </w:t>
            </w:r>
          </w:p>
        </w:tc>
        <w:tc>
          <w:tcPr>
            <w:cnfStyle w:val="000001000000" w:firstRow="0" w:lastRow="0" w:firstColumn="0" w:lastColumn="0" w:oddVBand="0" w:evenVBand="1" w:oddHBand="0" w:evenHBand="0" w:firstRowFirstColumn="0" w:firstRowLastColumn="0" w:lastRowFirstColumn="0" w:lastRowLastColumn="0"/>
            <w:tcW w:w="683" w:type="pct"/>
            <w:noWrap/>
          </w:tcPr>
          <w:p w14:paraId="229EE0B2" w14:textId="08A31521" w:rsidR="008033F5" w:rsidRPr="0067507D" w:rsidRDefault="008033F5" w:rsidP="008033F5">
            <w:pPr>
              <w:pStyle w:val="Tabletextright"/>
            </w:pPr>
            <w:r w:rsidRPr="0067507D">
              <w:t xml:space="preserve"> 377 </w:t>
            </w:r>
          </w:p>
        </w:tc>
        <w:tc>
          <w:tcPr>
            <w:cnfStyle w:val="000010000000" w:firstRow="0" w:lastRow="0" w:firstColumn="0" w:lastColumn="0" w:oddVBand="1" w:evenVBand="0" w:oddHBand="0" w:evenHBand="0" w:firstRowFirstColumn="0" w:firstRowLastColumn="0" w:lastRowFirstColumn="0" w:lastRowLastColumn="0"/>
            <w:tcW w:w="682" w:type="pct"/>
            <w:noWrap/>
          </w:tcPr>
          <w:p w14:paraId="6C6483BD" w14:textId="736E57B2" w:rsidR="008033F5" w:rsidRPr="0067507D" w:rsidRDefault="008033F5" w:rsidP="008033F5">
            <w:pPr>
              <w:pStyle w:val="Tabletextright"/>
            </w:pPr>
            <w:r w:rsidRPr="0067507D">
              <w:t xml:space="preserve">(2 054) </w:t>
            </w:r>
          </w:p>
        </w:tc>
      </w:tr>
      <w:tr w:rsidR="008033F5" w:rsidRPr="0067507D" w14:paraId="5DC1580E"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23612A1D" w14:textId="36C71FB0" w:rsidR="008033F5" w:rsidRPr="0067507D" w:rsidRDefault="008033F5" w:rsidP="008033F5">
            <w:pPr>
              <w:pStyle w:val="Tabletext"/>
            </w:pPr>
            <w:r w:rsidRPr="0067507D">
              <w:t xml:space="preserve">Grant expense </w:t>
            </w:r>
            <w:r w:rsidRPr="0067507D">
              <w:rPr>
                <w:vertAlign w:val="superscript"/>
              </w:rPr>
              <w:t>(</w:t>
            </w:r>
            <w:r w:rsidR="002273A3" w:rsidRPr="0067507D">
              <w:rPr>
                <w:vertAlign w:val="superscript"/>
              </w:rPr>
              <w:t>b</w:t>
            </w:r>
            <w:r w:rsidRPr="0067507D">
              <w:rPr>
                <w:vertAlign w:val="superscript"/>
              </w:rPr>
              <w:t>)</w:t>
            </w:r>
            <w:r w:rsidRPr="0067507D">
              <w:t xml:space="preserve"> </w:t>
            </w:r>
          </w:p>
        </w:tc>
        <w:tc>
          <w:tcPr>
            <w:cnfStyle w:val="000010000000" w:firstRow="0" w:lastRow="0" w:firstColumn="0" w:lastColumn="0" w:oddVBand="1" w:evenVBand="0" w:oddHBand="0" w:evenHBand="0" w:firstRowFirstColumn="0" w:firstRowLastColumn="0" w:lastRowFirstColumn="0" w:lastRowLastColumn="0"/>
            <w:tcW w:w="683" w:type="pct"/>
          </w:tcPr>
          <w:p w14:paraId="09E88A7F" w14:textId="5D06A2A2" w:rsidR="008033F5" w:rsidRPr="0067507D" w:rsidRDefault="008033F5" w:rsidP="008033F5">
            <w:pPr>
              <w:pStyle w:val="Tabletextright"/>
            </w:pPr>
            <w:r w:rsidRPr="0067507D">
              <w:t xml:space="preserve">7 125 </w:t>
            </w:r>
          </w:p>
        </w:tc>
        <w:tc>
          <w:tcPr>
            <w:cnfStyle w:val="000001000000" w:firstRow="0" w:lastRow="0" w:firstColumn="0" w:lastColumn="0" w:oddVBand="0" w:evenVBand="1" w:oddHBand="0" w:evenHBand="0" w:firstRowFirstColumn="0" w:firstRowLastColumn="0" w:lastRowFirstColumn="0" w:lastRowLastColumn="0"/>
            <w:tcW w:w="683" w:type="pct"/>
            <w:noWrap/>
          </w:tcPr>
          <w:p w14:paraId="61995354" w14:textId="629A1597" w:rsidR="008033F5" w:rsidRPr="0067507D" w:rsidRDefault="008033F5" w:rsidP="008033F5">
            <w:pPr>
              <w:pStyle w:val="Tabletextright"/>
            </w:pPr>
            <w:r w:rsidRPr="0067507D">
              <w:t xml:space="preserve">6 388 </w:t>
            </w:r>
          </w:p>
        </w:tc>
        <w:tc>
          <w:tcPr>
            <w:cnfStyle w:val="000010000000" w:firstRow="0" w:lastRow="0" w:firstColumn="0" w:lastColumn="0" w:oddVBand="1" w:evenVBand="0" w:oddHBand="0" w:evenHBand="0" w:firstRowFirstColumn="0" w:firstRowLastColumn="0" w:lastRowFirstColumn="0" w:lastRowLastColumn="0"/>
            <w:tcW w:w="682" w:type="pct"/>
            <w:noWrap/>
          </w:tcPr>
          <w:p w14:paraId="7E8F6276" w14:textId="6F21343A" w:rsidR="008033F5" w:rsidRPr="0067507D" w:rsidRDefault="008033F5" w:rsidP="008033F5">
            <w:pPr>
              <w:pStyle w:val="Tabletextright"/>
            </w:pPr>
            <w:r w:rsidRPr="0067507D">
              <w:t xml:space="preserve">(737) </w:t>
            </w:r>
          </w:p>
        </w:tc>
      </w:tr>
      <w:tr w:rsidR="008033F5" w:rsidRPr="0067507D" w14:paraId="6DB6EF53"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5D5BEF6B" w14:textId="1C3E7B75" w:rsidR="008033F5" w:rsidRPr="0067507D" w:rsidRDefault="008033F5" w:rsidP="008033F5">
            <w:pPr>
              <w:pStyle w:val="Tabletext"/>
            </w:pPr>
            <w:r w:rsidRPr="0067507D">
              <w:t xml:space="preserve">Employee benefits </w:t>
            </w:r>
            <w:r w:rsidRPr="0067507D">
              <w:rPr>
                <w:vertAlign w:val="superscript"/>
              </w:rPr>
              <w:t>(</w:t>
            </w:r>
            <w:r w:rsidR="002273A3" w:rsidRPr="0067507D">
              <w:rPr>
                <w:vertAlign w:val="superscript"/>
              </w:rPr>
              <w:t>b</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683" w:type="pct"/>
          </w:tcPr>
          <w:p w14:paraId="1A55787B" w14:textId="261535AC" w:rsidR="008033F5" w:rsidRPr="0067507D" w:rsidRDefault="008033F5" w:rsidP="008033F5">
            <w:pPr>
              <w:pStyle w:val="Tabletextright"/>
            </w:pPr>
            <w:r w:rsidRPr="0067507D">
              <w:t xml:space="preserve">3 817 </w:t>
            </w:r>
          </w:p>
        </w:tc>
        <w:tc>
          <w:tcPr>
            <w:cnfStyle w:val="000001000000" w:firstRow="0" w:lastRow="0" w:firstColumn="0" w:lastColumn="0" w:oddVBand="0" w:evenVBand="1" w:oddHBand="0" w:evenHBand="0" w:firstRowFirstColumn="0" w:firstRowLastColumn="0" w:lastRowFirstColumn="0" w:lastRowLastColumn="0"/>
            <w:tcW w:w="683" w:type="pct"/>
            <w:noWrap/>
          </w:tcPr>
          <w:p w14:paraId="2AFCD003" w14:textId="16B8DA48" w:rsidR="008033F5" w:rsidRPr="0067507D" w:rsidRDefault="008033F5" w:rsidP="008033F5">
            <w:pPr>
              <w:pStyle w:val="Tabletextright"/>
            </w:pPr>
            <w:r w:rsidRPr="0067507D">
              <w:t xml:space="preserve">1 303 </w:t>
            </w:r>
          </w:p>
        </w:tc>
        <w:tc>
          <w:tcPr>
            <w:cnfStyle w:val="000010000000" w:firstRow="0" w:lastRow="0" w:firstColumn="0" w:lastColumn="0" w:oddVBand="1" w:evenVBand="0" w:oddHBand="0" w:evenHBand="0" w:firstRowFirstColumn="0" w:firstRowLastColumn="0" w:lastRowFirstColumn="0" w:lastRowLastColumn="0"/>
            <w:tcW w:w="682" w:type="pct"/>
            <w:noWrap/>
          </w:tcPr>
          <w:p w14:paraId="7BBBC664" w14:textId="4C9ACAFB" w:rsidR="008033F5" w:rsidRPr="0067507D" w:rsidRDefault="008033F5" w:rsidP="008033F5">
            <w:pPr>
              <w:pStyle w:val="Tabletextright"/>
            </w:pPr>
            <w:r w:rsidRPr="0067507D">
              <w:t xml:space="preserve">(2 514) </w:t>
            </w:r>
          </w:p>
        </w:tc>
      </w:tr>
      <w:tr w:rsidR="008033F5" w:rsidRPr="0067507D" w14:paraId="57DCD67E"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1E082CE1" w14:textId="7D1AF494" w:rsidR="008033F5" w:rsidRPr="0067507D" w:rsidRDefault="008033F5" w:rsidP="008033F5">
            <w:pPr>
              <w:pStyle w:val="Tabletext"/>
            </w:pPr>
            <w:r w:rsidRPr="0067507D">
              <w:t xml:space="preserve">Payments into the Consolidated Fund </w:t>
            </w:r>
            <w:r w:rsidRPr="0067507D">
              <w:rPr>
                <w:vertAlign w:val="superscript"/>
              </w:rPr>
              <w:t>(</w:t>
            </w:r>
            <w:r w:rsidR="002273A3" w:rsidRPr="0067507D">
              <w:rPr>
                <w:vertAlign w:val="superscript"/>
              </w:rPr>
              <w:t>f</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683" w:type="pct"/>
          </w:tcPr>
          <w:p w14:paraId="67DD81FA" w14:textId="3CBD93C6" w:rsidR="008033F5" w:rsidRPr="0067507D" w:rsidRDefault="008033F5" w:rsidP="008033F5">
            <w:pPr>
              <w:pStyle w:val="Tabletextright"/>
            </w:pPr>
            <w:r w:rsidRPr="0067507D">
              <w:t xml:space="preserve">91 212 </w:t>
            </w:r>
          </w:p>
        </w:tc>
        <w:tc>
          <w:tcPr>
            <w:cnfStyle w:val="000001000000" w:firstRow="0" w:lastRow="0" w:firstColumn="0" w:lastColumn="0" w:oddVBand="0" w:evenVBand="1" w:oddHBand="0" w:evenHBand="0" w:firstRowFirstColumn="0" w:firstRowLastColumn="0" w:lastRowFirstColumn="0" w:lastRowLastColumn="0"/>
            <w:tcW w:w="683" w:type="pct"/>
            <w:noWrap/>
          </w:tcPr>
          <w:p w14:paraId="3AAE729B" w14:textId="4FDAF1A3" w:rsidR="008033F5" w:rsidRPr="0067507D" w:rsidRDefault="008033F5" w:rsidP="008033F5">
            <w:pPr>
              <w:pStyle w:val="Tabletextright"/>
            </w:pPr>
            <w:r w:rsidRPr="0067507D">
              <w:t xml:space="preserve">85 599 </w:t>
            </w:r>
          </w:p>
        </w:tc>
        <w:tc>
          <w:tcPr>
            <w:cnfStyle w:val="000010000000" w:firstRow="0" w:lastRow="0" w:firstColumn="0" w:lastColumn="0" w:oddVBand="1" w:evenVBand="0" w:oddHBand="0" w:evenHBand="0" w:firstRowFirstColumn="0" w:firstRowLastColumn="0" w:lastRowFirstColumn="0" w:lastRowLastColumn="0"/>
            <w:tcW w:w="682" w:type="pct"/>
            <w:noWrap/>
          </w:tcPr>
          <w:p w14:paraId="39CF1170" w14:textId="1D74EAD6" w:rsidR="008033F5" w:rsidRPr="0067507D" w:rsidRDefault="008033F5" w:rsidP="008033F5">
            <w:pPr>
              <w:pStyle w:val="Tabletextright"/>
            </w:pPr>
            <w:r w:rsidRPr="0067507D">
              <w:t xml:space="preserve">(5 613) </w:t>
            </w:r>
          </w:p>
        </w:tc>
      </w:tr>
      <w:tr w:rsidR="008033F5" w:rsidRPr="0067507D" w14:paraId="7F178748"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4E1D93B0" w14:textId="272D20A1" w:rsidR="008033F5" w:rsidRPr="0067507D" w:rsidRDefault="008033F5" w:rsidP="008033F5">
            <w:pPr>
              <w:pStyle w:val="Tabletext"/>
            </w:pPr>
            <w:r w:rsidRPr="0067507D">
              <w:t>Interest expense</w:t>
            </w:r>
          </w:p>
        </w:tc>
        <w:tc>
          <w:tcPr>
            <w:cnfStyle w:val="000010000000" w:firstRow="0" w:lastRow="0" w:firstColumn="0" w:lastColumn="0" w:oddVBand="1" w:evenVBand="0" w:oddHBand="0" w:evenHBand="0" w:firstRowFirstColumn="0" w:firstRowLastColumn="0" w:lastRowFirstColumn="0" w:lastRowLastColumn="0"/>
            <w:tcW w:w="683" w:type="pct"/>
          </w:tcPr>
          <w:p w14:paraId="19DCF750" w14:textId="09498D85" w:rsidR="008033F5" w:rsidRPr="0067507D" w:rsidRDefault="008033F5" w:rsidP="008033F5">
            <w:pPr>
              <w:pStyle w:val="Tabletextright"/>
            </w:pPr>
            <w:r w:rsidRPr="0067507D">
              <w:t xml:space="preserve">5 754 </w:t>
            </w:r>
          </w:p>
        </w:tc>
        <w:tc>
          <w:tcPr>
            <w:cnfStyle w:val="000001000000" w:firstRow="0" w:lastRow="0" w:firstColumn="0" w:lastColumn="0" w:oddVBand="0" w:evenVBand="1" w:oddHBand="0" w:evenHBand="0" w:firstRowFirstColumn="0" w:firstRowLastColumn="0" w:lastRowFirstColumn="0" w:lastRowLastColumn="0"/>
            <w:tcW w:w="683" w:type="pct"/>
            <w:noWrap/>
          </w:tcPr>
          <w:p w14:paraId="5FB7A0B3" w14:textId="65C6D04D" w:rsidR="008033F5" w:rsidRPr="0067507D" w:rsidRDefault="008033F5" w:rsidP="008033F5">
            <w:pPr>
              <w:pStyle w:val="Tabletextright"/>
            </w:pPr>
            <w:r w:rsidRPr="0067507D">
              <w:t xml:space="preserve">5 890 </w:t>
            </w:r>
          </w:p>
        </w:tc>
        <w:tc>
          <w:tcPr>
            <w:cnfStyle w:val="000010000000" w:firstRow="0" w:lastRow="0" w:firstColumn="0" w:lastColumn="0" w:oddVBand="1" w:evenVBand="0" w:oddHBand="0" w:evenHBand="0" w:firstRowFirstColumn="0" w:firstRowLastColumn="0" w:lastRowFirstColumn="0" w:lastRowLastColumn="0"/>
            <w:tcW w:w="682" w:type="pct"/>
            <w:noWrap/>
          </w:tcPr>
          <w:p w14:paraId="77E74A3A" w14:textId="17320187" w:rsidR="008033F5" w:rsidRPr="0067507D" w:rsidRDefault="008033F5" w:rsidP="008033F5">
            <w:pPr>
              <w:pStyle w:val="Tabletextright"/>
            </w:pPr>
            <w:r w:rsidRPr="0067507D">
              <w:t xml:space="preserve"> 136 </w:t>
            </w:r>
          </w:p>
        </w:tc>
      </w:tr>
      <w:tr w:rsidR="008033F5" w:rsidRPr="0067507D" w14:paraId="7FEE0B59"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44ADCADE" w14:textId="39933D2E" w:rsidR="008033F5" w:rsidRPr="0067507D" w:rsidRDefault="008033F5" w:rsidP="008033F5">
            <w:pPr>
              <w:pStyle w:val="Tabletextbold"/>
            </w:pPr>
            <w:r w:rsidRPr="0067507D">
              <w:t>Total administered expenses</w:t>
            </w:r>
          </w:p>
        </w:tc>
        <w:tc>
          <w:tcPr>
            <w:cnfStyle w:val="000010000000" w:firstRow="0" w:lastRow="0" w:firstColumn="0" w:lastColumn="0" w:oddVBand="1" w:evenVBand="0" w:oddHBand="0" w:evenHBand="0" w:firstRowFirstColumn="0" w:firstRowLastColumn="0" w:lastRowFirstColumn="0" w:lastRowLastColumn="0"/>
            <w:tcW w:w="683" w:type="pct"/>
          </w:tcPr>
          <w:p w14:paraId="5A42696C" w14:textId="609ED3C4" w:rsidR="008033F5" w:rsidRPr="0067507D" w:rsidRDefault="008033F5" w:rsidP="008033F5">
            <w:pPr>
              <w:pStyle w:val="Tabletextrightbold"/>
            </w:pPr>
            <w:r w:rsidRPr="0067507D">
              <w:t xml:space="preserve">110 340 </w:t>
            </w:r>
          </w:p>
        </w:tc>
        <w:tc>
          <w:tcPr>
            <w:cnfStyle w:val="000001000000" w:firstRow="0" w:lastRow="0" w:firstColumn="0" w:lastColumn="0" w:oddVBand="0" w:evenVBand="1" w:oddHBand="0" w:evenHBand="0" w:firstRowFirstColumn="0" w:firstRowLastColumn="0" w:lastRowFirstColumn="0" w:lastRowLastColumn="0"/>
            <w:tcW w:w="683" w:type="pct"/>
            <w:noWrap/>
          </w:tcPr>
          <w:p w14:paraId="5A4C8E46" w14:textId="482F0009" w:rsidR="008033F5" w:rsidRPr="0067507D" w:rsidRDefault="008033F5" w:rsidP="008033F5">
            <w:pPr>
              <w:pStyle w:val="Tabletextrightbold"/>
            </w:pPr>
            <w:r w:rsidRPr="0067507D">
              <w:t xml:space="preserve">99 557 </w:t>
            </w:r>
          </w:p>
        </w:tc>
        <w:tc>
          <w:tcPr>
            <w:cnfStyle w:val="000010000000" w:firstRow="0" w:lastRow="0" w:firstColumn="0" w:lastColumn="0" w:oddVBand="1" w:evenVBand="0" w:oddHBand="0" w:evenHBand="0" w:firstRowFirstColumn="0" w:firstRowLastColumn="0" w:lastRowFirstColumn="0" w:lastRowLastColumn="0"/>
            <w:tcW w:w="682" w:type="pct"/>
            <w:noWrap/>
          </w:tcPr>
          <w:p w14:paraId="47A0D3E6" w14:textId="4E214072" w:rsidR="008033F5" w:rsidRPr="0067507D" w:rsidRDefault="008033F5" w:rsidP="008033F5">
            <w:pPr>
              <w:pStyle w:val="Tabletextrightbold"/>
            </w:pPr>
            <w:r w:rsidRPr="0067507D">
              <w:t xml:space="preserve">(10 783) </w:t>
            </w:r>
          </w:p>
        </w:tc>
      </w:tr>
      <w:tr w:rsidR="008033F5" w:rsidRPr="0067507D" w14:paraId="1917861E"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6A364BA4" w14:textId="0B7AFA66" w:rsidR="008033F5" w:rsidRPr="0067507D" w:rsidRDefault="008033F5" w:rsidP="008033F5">
            <w:pPr>
              <w:pStyle w:val="Tabletextbold"/>
            </w:pPr>
            <w:r w:rsidRPr="0067507D">
              <w:t>Income less expenses</w:t>
            </w:r>
          </w:p>
        </w:tc>
        <w:tc>
          <w:tcPr>
            <w:cnfStyle w:val="000010000000" w:firstRow="0" w:lastRow="0" w:firstColumn="0" w:lastColumn="0" w:oddVBand="1" w:evenVBand="0" w:oddHBand="0" w:evenHBand="0" w:firstRowFirstColumn="0" w:firstRowLastColumn="0" w:lastRowFirstColumn="0" w:lastRowLastColumn="0"/>
            <w:tcW w:w="683" w:type="pct"/>
          </w:tcPr>
          <w:p w14:paraId="28638BE4" w14:textId="07E4DF51" w:rsidR="008033F5" w:rsidRPr="0067507D" w:rsidRDefault="008033F5" w:rsidP="008033F5">
            <w:pPr>
              <w:pStyle w:val="Tabletextrightbold"/>
            </w:pPr>
            <w:r w:rsidRPr="0067507D">
              <w:t xml:space="preserve">(14 633) </w:t>
            </w:r>
          </w:p>
        </w:tc>
        <w:tc>
          <w:tcPr>
            <w:cnfStyle w:val="000001000000" w:firstRow="0" w:lastRow="0" w:firstColumn="0" w:lastColumn="0" w:oddVBand="0" w:evenVBand="1" w:oddHBand="0" w:evenHBand="0" w:firstRowFirstColumn="0" w:firstRowLastColumn="0" w:lastRowFirstColumn="0" w:lastRowLastColumn="0"/>
            <w:tcW w:w="683" w:type="pct"/>
            <w:noWrap/>
          </w:tcPr>
          <w:p w14:paraId="4000CB96" w14:textId="7257EC1B" w:rsidR="008033F5" w:rsidRPr="0067507D" w:rsidRDefault="008033F5" w:rsidP="008033F5">
            <w:pPr>
              <w:pStyle w:val="Tabletextrightbold"/>
            </w:pPr>
            <w:r w:rsidRPr="0067507D">
              <w:t xml:space="preserve">(17 129) </w:t>
            </w:r>
          </w:p>
        </w:tc>
        <w:tc>
          <w:tcPr>
            <w:cnfStyle w:val="000010000000" w:firstRow="0" w:lastRow="0" w:firstColumn="0" w:lastColumn="0" w:oddVBand="1" w:evenVBand="0" w:oddHBand="0" w:evenHBand="0" w:firstRowFirstColumn="0" w:firstRowLastColumn="0" w:lastRowFirstColumn="0" w:lastRowLastColumn="0"/>
            <w:tcW w:w="682" w:type="pct"/>
            <w:noWrap/>
          </w:tcPr>
          <w:p w14:paraId="02E7FE68" w14:textId="3209C52A" w:rsidR="008033F5" w:rsidRPr="0067507D" w:rsidRDefault="008033F5" w:rsidP="008033F5">
            <w:pPr>
              <w:pStyle w:val="Tabletextrightbold"/>
            </w:pPr>
            <w:r w:rsidRPr="0067507D">
              <w:t xml:space="preserve">(2 496) </w:t>
            </w:r>
          </w:p>
        </w:tc>
      </w:tr>
      <w:tr w:rsidR="008033F5" w:rsidRPr="0067507D" w14:paraId="7A0458C4" w14:textId="77777777" w:rsidTr="001E2BFF">
        <w:tc>
          <w:tcPr>
            <w:cnfStyle w:val="001000000000" w:firstRow="0" w:lastRow="0" w:firstColumn="1" w:lastColumn="0" w:oddVBand="0" w:evenVBand="0" w:oddHBand="0" w:evenHBand="0" w:firstRowFirstColumn="0" w:firstRowLastColumn="0" w:lastRowFirstColumn="0" w:lastRowLastColumn="0"/>
            <w:tcW w:w="2952" w:type="pct"/>
            <w:noWrap/>
          </w:tcPr>
          <w:p w14:paraId="3680F86E" w14:textId="77777777" w:rsidR="008033F5" w:rsidRPr="0067507D" w:rsidRDefault="008033F5" w:rsidP="008033F5">
            <w:pPr>
              <w:pStyle w:val="Tabletext"/>
            </w:pPr>
          </w:p>
        </w:tc>
        <w:tc>
          <w:tcPr>
            <w:cnfStyle w:val="000010000000" w:firstRow="0" w:lastRow="0" w:firstColumn="0" w:lastColumn="0" w:oddVBand="1" w:evenVBand="0" w:oddHBand="0" w:evenHBand="0" w:firstRowFirstColumn="0" w:firstRowLastColumn="0" w:lastRowFirstColumn="0" w:lastRowLastColumn="0"/>
            <w:tcW w:w="683" w:type="pct"/>
          </w:tcPr>
          <w:p w14:paraId="5FB7B6E6" w14:textId="77777777" w:rsidR="008033F5" w:rsidRPr="0067507D" w:rsidRDefault="008033F5" w:rsidP="008033F5">
            <w:pPr>
              <w:pStyle w:val="Tabletextright"/>
            </w:pPr>
          </w:p>
        </w:tc>
        <w:tc>
          <w:tcPr>
            <w:cnfStyle w:val="000001000000" w:firstRow="0" w:lastRow="0" w:firstColumn="0" w:lastColumn="0" w:oddVBand="0" w:evenVBand="1" w:oddHBand="0" w:evenHBand="0" w:firstRowFirstColumn="0" w:firstRowLastColumn="0" w:lastRowFirstColumn="0" w:lastRowLastColumn="0"/>
            <w:tcW w:w="683" w:type="pct"/>
            <w:noWrap/>
          </w:tcPr>
          <w:p w14:paraId="0CC7620A" w14:textId="66803680" w:rsidR="008033F5" w:rsidRPr="0067507D" w:rsidRDefault="008033F5" w:rsidP="008033F5">
            <w:pPr>
              <w:pStyle w:val="Tabletextright"/>
            </w:pPr>
          </w:p>
        </w:tc>
        <w:tc>
          <w:tcPr>
            <w:cnfStyle w:val="000010000000" w:firstRow="0" w:lastRow="0" w:firstColumn="0" w:lastColumn="0" w:oddVBand="1" w:evenVBand="0" w:oddHBand="0" w:evenHBand="0" w:firstRowFirstColumn="0" w:firstRowLastColumn="0" w:lastRowFirstColumn="0" w:lastRowLastColumn="0"/>
            <w:tcW w:w="682" w:type="pct"/>
            <w:noWrap/>
          </w:tcPr>
          <w:p w14:paraId="663E2AFF" w14:textId="77777777" w:rsidR="008033F5" w:rsidRPr="0067507D" w:rsidRDefault="008033F5" w:rsidP="008033F5">
            <w:pPr>
              <w:pStyle w:val="Tabletextright"/>
            </w:pPr>
          </w:p>
        </w:tc>
      </w:tr>
      <w:tr w:rsidR="008033F5" w:rsidRPr="0067507D" w14:paraId="51063C3D" w14:textId="77777777" w:rsidTr="001E2BFF">
        <w:tc>
          <w:tcPr>
            <w:cnfStyle w:val="001000000000" w:firstRow="0" w:lastRow="0" w:firstColumn="1" w:lastColumn="0" w:oddVBand="0" w:evenVBand="0" w:oddHBand="0" w:evenHBand="0" w:firstRowFirstColumn="0" w:firstRowLastColumn="0" w:lastRowFirstColumn="0" w:lastRowLastColumn="0"/>
            <w:tcW w:w="2952" w:type="pct"/>
            <w:noWrap/>
          </w:tcPr>
          <w:p w14:paraId="13CE5922" w14:textId="42F8F641" w:rsidR="008033F5" w:rsidRPr="0067507D" w:rsidRDefault="008033F5" w:rsidP="008033F5">
            <w:pPr>
              <w:pStyle w:val="Tabletextbold"/>
            </w:pPr>
            <w:r w:rsidRPr="0067507D">
              <w:t>Other economic flows included in net result</w:t>
            </w:r>
          </w:p>
        </w:tc>
        <w:tc>
          <w:tcPr>
            <w:cnfStyle w:val="000010000000" w:firstRow="0" w:lastRow="0" w:firstColumn="0" w:lastColumn="0" w:oddVBand="1" w:evenVBand="0" w:oddHBand="0" w:evenHBand="0" w:firstRowFirstColumn="0" w:firstRowLastColumn="0" w:lastRowFirstColumn="0" w:lastRowLastColumn="0"/>
            <w:tcW w:w="683" w:type="pct"/>
          </w:tcPr>
          <w:p w14:paraId="006A0947" w14:textId="77777777" w:rsidR="008033F5" w:rsidRPr="0067507D" w:rsidRDefault="008033F5" w:rsidP="008033F5">
            <w:pPr>
              <w:pStyle w:val="Tabletextright"/>
            </w:pPr>
          </w:p>
        </w:tc>
        <w:tc>
          <w:tcPr>
            <w:cnfStyle w:val="000001000000" w:firstRow="0" w:lastRow="0" w:firstColumn="0" w:lastColumn="0" w:oddVBand="0" w:evenVBand="1" w:oddHBand="0" w:evenHBand="0" w:firstRowFirstColumn="0" w:firstRowLastColumn="0" w:lastRowFirstColumn="0" w:lastRowLastColumn="0"/>
            <w:tcW w:w="683" w:type="pct"/>
            <w:noWrap/>
          </w:tcPr>
          <w:p w14:paraId="6E3E1FA0" w14:textId="354DB01D" w:rsidR="008033F5" w:rsidRPr="0067507D" w:rsidRDefault="008033F5" w:rsidP="008033F5">
            <w:pPr>
              <w:pStyle w:val="Tabletextright"/>
            </w:pPr>
          </w:p>
        </w:tc>
        <w:tc>
          <w:tcPr>
            <w:cnfStyle w:val="000010000000" w:firstRow="0" w:lastRow="0" w:firstColumn="0" w:lastColumn="0" w:oddVBand="1" w:evenVBand="0" w:oddHBand="0" w:evenHBand="0" w:firstRowFirstColumn="0" w:firstRowLastColumn="0" w:lastRowFirstColumn="0" w:lastRowLastColumn="0"/>
            <w:tcW w:w="682" w:type="pct"/>
            <w:noWrap/>
          </w:tcPr>
          <w:p w14:paraId="009E393B" w14:textId="47A3C6C8" w:rsidR="008033F5" w:rsidRPr="0067507D" w:rsidRDefault="008033F5" w:rsidP="008033F5">
            <w:pPr>
              <w:pStyle w:val="Tabletextright"/>
            </w:pPr>
          </w:p>
        </w:tc>
      </w:tr>
      <w:tr w:rsidR="008033F5" w:rsidRPr="0067507D" w14:paraId="503D10FC"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73DDD616" w14:textId="73283F8E" w:rsidR="008033F5" w:rsidRPr="0067507D" w:rsidRDefault="008033F5" w:rsidP="008033F5">
            <w:pPr>
              <w:pStyle w:val="Tabletext"/>
            </w:pPr>
            <w:r w:rsidRPr="0067507D">
              <w:t xml:space="preserve">Other gains / (losses) from other economic flows </w:t>
            </w:r>
            <w:r w:rsidRPr="0067507D">
              <w:rPr>
                <w:vertAlign w:val="superscript"/>
              </w:rPr>
              <w:t>(</w:t>
            </w:r>
            <w:r w:rsidR="002273A3" w:rsidRPr="0067507D">
              <w:rPr>
                <w:vertAlign w:val="superscript"/>
              </w:rPr>
              <w:t>g</w:t>
            </w:r>
            <w:r w:rsidRPr="0067507D">
              <w:rPr>
                <w:vertAlign w:val="superscript"/>
              </w:rPr>
              <w:t>)</w:t>
            </w:r>
          </w:p>
        </w:tc>
        <w:tc>
          <w:tcPr>
            <w:cnfStyle w:val="000010000000" w:firstRow="0" w:lastRow="0" w:firstColumn="0" w:lastColumn="0" w:oddVBand="1" w:evenVBand="0" w:oddHBand="0" w:evenHBand="0" w:firstRowFirstColumn="0" w:firstRowLastColumn="0" w:lastRowFirstColumn="0" w:lastRowLastColumn="0"/>
            <w:tcW w:w="683" w:type="pct"/>
          </w:tcPr>
          <w:p w14:paraId="2A934475" w14:textId="5BC93CB4" w:rsidR="008033F5" w:rsidRPr="0067507D" w:rsidRDefault="008033F5" w:rsidP="008033F5">
            <w:pPr>
              <w:pStyle w:val="Tabletextright"/>
            </w:pPr>
            <w:r w:rsidRPr="0067507D">
              <w:t xml:space="preserve"> 63 </w:t>
            </w:r>
          </w:p>
        </w:tc>
        <w:tc>
          <w:tcPr>
            <w:cnfStyle w:val="000001000000" w:firstRow="0" w:lastRow="0" w:firstColumn="0" w:lastColumn="0" w:oddVBand="0" w:evenVBand="1" w:oddHBand="0" w:evenHBand="0" w:firstRowFirstColumn="0" w:firstRowLastColumn="0" w:lastRowFirstColumn="0" w:lastRowLastColumn="0"/>
            <w:tcW w:w="683" w:type="pct"/>
            <w:noWrap/>
          </w:tcPr>
          <w:p w14:paraId="206B0D58" w14:textId="522ABD93" w:rsidR="008033F5" w:rsidRPr="0067507D" w:rsidRDefault="008033F5" w:rsidP="008033F5">
            <w:pPr>
              <w:pStyle w:val="Tabletextright"/>
            </w:pPr>
            <w:r w:rsidRPr="0067507D">
              <w:t xml:space="preserve"> 686 </w:t>
            </w:r>
          </w:p>
        </w:tc>
        <w:tc>
          <w:tcPr>
            <w:cnfStyle w:val="000010000000" w:firstRow="0" w:lastRow="0" w:firstColumn="0" w:lastColumn="0" w:oddVBand="1" w:evenVBand="0" w:oddHBand="0" w:evenHBand="0" w:firstRowFirstColumn="0" w:firstRowLastColumn="0" w:lastRowFirstColumn="0" w:lastRowLastColumn="0"/>
            <w:tcW w:w="682" w:type="pct"/>
            <w:noWrap/>
          </w:tcPr>
          <w:p w14:paraId="7D44B768" w14:textId="4CB797BA" w:rsidR="008033F5" w:rsidRPr="0067507D" w:rsidRDefault="008033F5" w:rsidP="008033F5">
            <w:pPr>
              <w:pStyle w:val="Tabletextright"/>
            </w:pPr>
            <w:r w:rsidRPr="0067507D">
              <w:t xml:space="preserve"> 623 </w:t>
            </w:r>
          </w:p>
        </w:tc>
      </w:tr>
      <w:tr w:rsidR="008033F5" w:rsidRPr="0067507D" w14:paraId="0C4695AD"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51C1654B" w14:textId="76C451DF" w:rsidR="008033F5" w:rsidRPr="0067507D" w:rsidRDefault="008033F5" w:rsidP="008033F5">
            <w:pPr>
              <w:pStyle w:val="Tabletextbold"/>
            </w:pPr>
            <w:r w:rsidRPr="0067507D">
              <w:t>Total other economic flows included in net result</w:t>
            </w:r>
          </w:p>
        </w:tc>
        <w:tc>
          <w:tcPr>
            <w:cnfStyle w:val="000010000000" w:firstRow="0" w:lastRow="0" w:firstColumn="0" w:lastColumn="0" w:oddVBand="1" w:evenVBand="0" w:oddHBand="0" w:evenHBand="0" w:firstRowFirstColumn="0" w:firstRowLastColumn="0" w:lastRowFirstColumn="0" w:lastRowLastColumn="0"/>
            <w:tcW w:w="683" w:type="pct"/>
          </w:tcPr>
          <w:p w14:paraId="1DE279CF" w14:textId="6485C34F" w:rsidR="008033F5" w:rsidRPr="0067507D" w:rsidRDefault="008033F5" w:rsidP="008033F5">
            <w:pPr>
              <w:pStyle w:val="Tabletextrightbold"/>
            </w:pPr>
            <w:r w:rsidRPr="0067507D">
              <w:t xml:space="preserve"> 63 </w:t>
            </w:r>
          </w:p>
        </w:tc>
        <w:tc>
          <w:tcPr>
            <w:cnfStyle w:val="000001000000" w:firstRow="0" w:lastRow="0" w:firstColumn="0" w:lastColumn="0" w:oddVBand="0" w:evenVBand="1" w:oddHBand="0" w:evenHBand="0" w:firstRowFirstColumn="0" w:firstRowLastColumn="0" w:lastRowFirstColumn="0" w:lastRowLastColumn="0"/>
            <w:tcW w:w="683" w:type="pct"/>
            <w:noWrap/>
          </w:tcPr>
          <w:p w14:paraId="0357CE9C" w14:textId="7AA28BBB" w:rsidR="008033F5" w:rsidRPr="0067507D" w:rsidRDefault="008033F5" w:rsidP="008033F5">
            <w:pPr>
              <w:pStyle w:val="Tabletextrightbold"/>
            </w:pPr>
            <w:r w:rsidRPr="0067507D">
              <w:t xml:space="preserve"> 686 </w:t>
            </w:r>
          </w:p>
        </w:tc>
        <w:tc>
          <w:tcPr>
            <w:cnfStyle w:val="000010000000" w:firstRow="0" w:lastRow="0" w:firstColumn="0" w:lastColumn="0" w:oddVBand="1" w:evenVBand="0" w:oddHBand="0" w:evenHBand="0" w:firstRowFirstColumn="0" w:firstRowLastColumn="0" w:lastRowFirstColumn="0" w:lastRowLastColumn="0"/>
            <w:tcW w:w="682" w:type="pct"/>
            <w:noWrap/>
          </w:tcPr>
          <w:p w14:paraId="74D0E0A2" w14:textId="48D78390" w:rsidR="008033F5" w:rsidRPr="0067507D" w:rsidRDefault="008033F5" w:rsidP="008033F5">
            <w:pPr>
              <w:pStyle w:val="Tabletextrightbold"/>
            </w:pPr>
            <w:r w:rsidRPr="0067507D">
              <w:t xml:space="preserve"> 623 </w:t>
            </w:r>
          </w:p>
        </w:tc>
      </w:tr>
      <w:tr w:rsidR="008033F5" w:rsidRPr="0067507D" w14:paraId="20EB1A0B"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0AE8B3D7" w14:textId="1CB2FC65" w:rsidR="008033F5" w:rsidRPr="0067507D" w:rsidRDefault="008033F5" w:rsidP="008033F5">
            <w:pPr>
              <w:pStyle w:val="Tabletextbold"/>
            </w:pPr>
            <w:r w:rsidRPr="0067507D">
              <w:t>Net result</w:t>
            </w:r>
          </w:p>
        </w:tc>
        <w:tc>
          <w:tcPr>
            <w:cnfStyle w:val="000010000000" w:firstRow="0" w:lastRow="0" w:firstColumn="0" w:lastColumn="0" w:oddVBand="1" w:evenVBand="0" w:oddHBand="0" w:evenHBand="0" w:firstRowFirstColumn="0" w:firstRowLastColumn="0" w:lastRowFirstColumn="0" w:lastRowLastColumn="0"/>
            <w:tcW w:w="683" w:type="pct"/>
          </w:tcPr>
          <w:p w14:paraId="05279F9E" w14:textId="19896CCF" w:rsidR="008033F5" w:rsidRPr="0067507D" w:rsidRDefault="008033F5" w:rsidP="008033F5">
            <w:pPr>
              <w:pStyle w:val="Tabletextrightbold"/>
            </w:pPr>
            <w:r w:rsidRPr="0067507D">
              <w:t xml:space="preserve">(14 571) </w:t>
            </w:r>
          </w:p>
        </w:tc>
        <w:tc>
          <w:tcPr>
            <w:cnfStyle w:val="000001000000" w:firstRow="0" w:lastRow="0" w:firstColumn="0" w:lastColumn="0" w:oddVBand="0" w:evenVBand="1" w:oddHBand="0" w:evenHBand="0" w:firstRowFirstColumn="0" w:firstRowLastColumn="0" w:lastRowFirstColumn="0" w:lastRowLastColumn="0"/>
            <w:tcW w:w="683" w:type="pct"/>
            <w:noWrap/>
          </w:tcPr>
          <w:p w14:paraId="1C47F61B" w14:textId="48200AEE" w:rsidR="008033F5" w:rsidRPr="0067507D" w:rsidRDefault="008033F5" w:rsidP="008033F5">
            <w:pPr>
              <w:pStyle w:val="Tabletextrightbold"/>
            </w:pPr>
            <w:r w:rsidRPr="0067507D">
              <w:t xml:space="preserve">(16 443) </w:t>
            </w:r>
          </w:p>
        </w:tc>
        <w:tc>
          <w:tcPr>
            <w:cnfStyle w:val="000010000000" w:firstRow="0" w:lastRow="0" w:firstColumn="0" w:lastColumn="0" w:oddVBand="1" w:evenVBand="0" w:oddHBand="0" w:evenHBand="0" w:firstRowFirstColumn="0" w:firstRowLastColumn="0" w:lastRowFirstColumn="0" w:lastRowLastColumn="0"/>
            <w:tcW w:w="682" w:type="pct"/>
            <w:noWrap/>
          </w:tcPr>
          <w:p w14:paraId="4D8275B9" w14:textId="10501C1D" w:rsidR="008033F5" w:rsidRPr="0067507D" w:rsidRDefault="008033F5" w:rsidP="008033F5">
            <w:pPr>
              <w:pStyle w:val="Tabletextrightbold"/>
            </w:pPr>
            <w:r w:rsidRPr="0067507D">
              <w:t xml:space="preserve">(1 872) </w:t>
            </w:r>
          </w:p>
        </w:tc>
      </w:tr>
      <w:tr w:rsidR="008033F5" w:rsidRPr="0067507D" w14:paraId="3419A685" w14:textId="77777777" w:rsidTr="001E2BFF">
        <w:tc>
          <w:tcPr>
            <w:cnfStyle w:val="001000000000" w:firstRow="0" w:lastRow="0" w:firstColumn="1" w:lastColumn="0" w:oddVBand="0" w:evenVBand="0" w:oddHBand="0" w:evenHBand="0" w:firstRowFirstColumn="0" w:firstRowLastColumn="0" w:lastRowFirstColumn="0" w:lastRowLastColumn="0"/>
            <w:tcW w:w="2952" w:type="pct"/>
            <w:noWrap/>
          </w:tcPr>
          <w:p w14:paraId="7652D7AF" w14:textId="77777777" w:rsidR="008033F5" w:rsidRPr="0067507D" w:rsidRDefault="008033F5" w:rsidP="008033F5">
            <w:pPr>
              <w:pStyle w:val="Tabletextbold"/>
            </w:pPr>
          </w:p>
        </w:tc>
        <w:tc>
          <w:tcPr>
            <w:cnfStyle w:val="000010000000" w:firstRow="0" w:lastRow="0" w:firstColumn="0" w:lastColumn="0" w:oddVBand="1" w:evenVBand="0" w:oddHBand="0" w:evenHBand="0" w:firstRowFirstColumn="0" w:firstRowLastColumn="0" w:lastRowFirstColumn="0" w:lastRowLastColumn="0"/>
            <w:tcW w:w="683" w:type="pct"/>
          </w:tcPr>
          <w:p w14:paraId="6DF1BBE5" w14:textId="77777777" w:rsidR="008033F5" w:rsidRPr="0067507D" w:rsidRDefault="008033F5" w:rsidP="008033F5">
            <w:pPr>
              <w:pStyle w:val="Tabletextrightbold"/>
            </w:pPr>
          </w:p>
        </w:tc>
        <w:tc>
          <w:tcPr>
            <w:cnfStyle w:val="000001000000" w:firstRow="0" w:lastRow="0" w:firstColumn="0" w:lastColumn="0" w:oddVBand="0" w:evenVBand="1" w:oddHBand="0" w:evenHBand="0" w:firstRowFirstColumn="0" w:firstRowLastColumn="0" w:lastRowFirstColumn="0" w:lastRowLastColumn="0"/>
            <w:tcW w:w="683" w:type="pct"/>
            <w:noWrap/>
          </w:tcPr>
          <w:p w14:paraId="63293D8C" w14:textId="3D7288AA" w:rsidR="008033F5" w:rsidRPr="0067507D" w:rsidRDefault="008033F5" w:rsidP="008033F5">
            <w:pPr>
              <w:pStyle w:val="Tabletextrightbold"/>
            </w:pPr>
          </w:p>
        </w:tc>
        <w:tc>
          <w:tcPr>
            <w:cnfStyle w:val="000010000000" w:firstRow="0" w:lastRow="0" w:firstColumn="0" w:lastColumn="0" w:oddVBand="1" w:evenVBand="0" w:oddHBand="0" w:evenHBand="0" w:firstRowFirstColumn="0" w:firstRowLastColumn="0" w:lastRowFirstColumn="0" w:lastRowLastColumn="0"/>
            <w:tcW w:w="682" w:type="pct"/>
            <w:noWrap/>
          </w:tcPr>
          <w:p w14:paraId="4F16ADE2" w14:textId="77777777" w:rsidR="008033F5" w:rsidRPr="0067507D" w:rsidRDefault="008033F5" w:rsidP="008033F5">
            <w:pPr>
              <w:pStyle w:val="Tabletextrightbold"/>
            </w:pPr>
          </w:p>
        </w:tc>
      </w:tr>
      <w:tr w:rsidR="008033F5" w:rsidRPr="0067507D" w14:paraId="0751652D" w14:textId="77777777" w:rsidTr="001E2BFF">
        <w:tc>
          <w:tcPr>
            <w:cnfStyle w:val="001000000000" w:firstRow="0" w:lastRow="0" w:firstColumn="1" w:lastColumn="0" w:oddVBand="0" w:evenVBand="0" w:oddHBand="0" w:evenHBand="0" w:firstRowFirstColumn="0" w:firstRowLastColumn="0" w:lastRowFirstColumn="0" w:lastRowLastColumn="0"/>
            <w:tcW w:w="2952" w:type="pct"/>
            <w:noWrap/>
          </w:tcPr>
          <w:p w14:paraId="571619FA" w14:textId="3C8D9374" w:rsidR="008033F5" w:rsidRPr="0067507D" w:rsidRDefault="008033F5" w:rsidP="008033F5">
            <w:pPr>
              <w:pStyle w:val="Tabletextbold"/>
            </w:pPr>
            <w:r w:rsidRPr="0067507D">
              <w:t>Other economic flows – Other comprehensive income</w:t>
            </w:r>
          </w:p>
        </w:tc>
        <w:tc>
          <w:tcPr>
            <w:cnfStyle w:val="000010000000" w:firstRow="0" w:lastRow="0" w:firstColumn="0" w:lastColumn="0" w:oddVBand="1" w:evenVBand="0" w:oddHBand="0" w:evenHBand="0" w:firstRowFirstColumn="0" w:firstRowLastColumn="0" w:lastRowFirstColumn="0" w:lastRowLastColumn="0"/>
            <w:tcW w:w="683" w:type="pct"/>
          </w:tcPr>
          <w:p w14:paraId="33DC16BD" w14:textId="77777777" w:rsidR="008033F5" w:rsidRPr="0067507D" w:rsidRDefault="008033F5" w:rsidP="008033F5">
            <w:pPr>
              <w:pStyle w:val="Tabletextrightbold"/>
            </w:pPr>
          </w:p>
        </w:tc>
        <w:tc>
          <w:tcPr>
            <w:cnfStyle w:val="000001000000" w:firstRow="0" w:lastRow="0" w:firstColumn="0" w:lastColumn="0" w:oddVBand="0" w:evenVBand="1" w:oddHBand="0" w:evenHBand="0" w:firstRowFirstColumn="0" w:firstRowLastColumn="0" w:lastRowFirstColumn="0" w:lastRowLastColumn="0"/>
            <w:tcW w:w="683" w:type="pct"/>
            <w:noWrap/>
          </w:tcPr>
          <w:p w14:paraId="05EF679D" w14:textId="2EC76E38" w:rsidR="008033F5" w:rsidRPr="0067507D" w:rsidRDefault="008033F5" w:rsidP="008033F5">
            <w:pPr>
              <w:pStyle w:val="Tabletextrightbold"/>
            </w:pPr>
          </w:p>
        </w:tc>
        <w:tc>
          <w:tcPr>
            <w:cnfStyle w:val="000010000000" w:firstRow="0" w:lastRow="0" w:firstColumn="0" w:lastColumn="0" w:oddVBand="1" w:evenVBand="0" w:oddHBand="0" w:evenHBand="0" w:firstRowFirstColumn="0" w:firstRowLastColumn="0" w:lastRowFirstColumn="0" w:lastRowLastColumn="0"/>
            <w:tcW w:w="682" w:type="pct"/>
            <w:noWrap/>
          </w:tcPr>
          <w:p w14:paraId="1616E4BA" w14:textId="77777777" w:rsidR="008033F5" w:rsidRPr="0067507D" w:rsidRDefault="008033F5" w:rsidP="008033F5">
            <w:pPr>
              <w:pStyle w:val="Tabletextrightbold"/>
            </w:pPr>
          </w:p>
        </w:tc>
      </w:tr>
      <w:tr w:rsidR="008033F5" w:rsidRPr="0067507D" w14:paraId="6F90A273"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58A32C43" w14:textId="53DD043F" w:rsidR="008033F5" w:rsidRPr="0067507D" w:rsidRDefault="008033F5" w:rsidP="008033F5">
            <w:pPr>
              <w:pStyle w:val="Tabletext"/>
            </w:pPr>
            <w:r w:rsidRPr="0067507D">
              <w:t>Remeasurement of superannuation defined benefit plans</w:t>
            </w:r>
          </w:p>
        </w:tc>
        <w:tc>
          <w:tcPr>
            <w:cnfStyle w:val="000010000000" w:firstRow="0" w:lastRow="0" w:firstColumn="0" w:lastColumn="0" w:oddVBand="1" w:evenVBand="0" w:oddHBand="0" w:evenHBand="0" w:firstRowFirstColumn="0" w:firstRowLastColumn="0" w:lastRowFirstColumn="0" w:lastRowLastColumn="0"/>
            <w:tcW w:w="683" w:type="pct"/>
          </w:tcPr>
          <w:p w14:paraId="688F320D" w14:textId="60F8D4E7" w:rsidR="008033F5" w:rsidRPr="0067507D" w:rsidRDefault="008033F5" w:rsidP="008033F5">
            <w:pPr>
              <w:pStyle w:val="Tabletextright"/>
            </w:pPr>
            <w:r w:rsidRPr="0067507D">
              <w:t xml:space="preserve"> 725 </w:t>
            </w:r>
          </w:p>
        </w:tc>
        <w:tc>
          <w:tcPr>
            <w:cnfStyle w:val="000001000000" w:firstRow="0" w:lastRow="0" w:firstColumn="0" w:lastColumn="0" w:oddVBand="0" w:evenVBand="1" w:oddHBand="0" w:evenHBand="0" w:firstRowFirstColumn="0" w:firstRowLastColumn="0" w:lastRowFirstColumn="0" w:lastRowLastColumn="0"/>
            <w:tcW w:w="683" w:type="pct"/>
            <w:noWrap/>
          </w:tcPr>
          <w:p w14:paraId="06E5FA08" w14:textId="450C90F6" w:rsidR="008033F5" w:rsidRPr="0067507D" w:rsidRDefault="008033F5" w:rsidP="008033F5">
            <w:pPr>
              <w:pStyle w:val="Tabletextright"/>
            </w:pPr>
            <w:r w:rsidRPr="0067507D">
              <w:t xml:space="preserve"> 786 </w:t>
            </w:r>
          </w:p>
        </w:tc>
        <w:tc>
          <w:tcPr>
            <w:cnfStyle w:val="000010000000" w:firstRow="0" w:lastRow="0" w:firstColumn="0" w:lastColumn="0" w:oddVBand="1" w:evenVBand="0" w:oddHBand="0" w:evenHBand="0" w:firstRowFirstColumn="0" w:firstRowLastColumn="0" w:lastRowFirstColumn="0" w:lastRowLastColumn="0"/>
            <w:tcW w:w="682" w:type="pct"/>
            <w:noWrap/>
          </w:tcPr>
          <w:p w14:paraId="3C0A3B45" w14:textId="0E220E8D" w:rsidR="008033F5" w:rsidRPr="0067507D" w:rsidRDefault="008033F5" w:rsidP="008033F5">
            <w:pPr>
              <w:pStyle w:val="Tabletextright"/>
            </w:pPr>
            <w:r w:rsidRPr="0067507D">
              <w:t xml:space="preserve"> 61 </w:t>
            </w:r>
          </w:p>
        </w:tc>
      </w:tr>
      <w:tr w:rsidR="008033F5" w:rsidRPr="0067507D" w14:paraId="141676E6"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798A0684" w14:textId="4B950140" w:rsidR="008033F5" w:rsidRPr="0067507D" w:rsidRDefault="008033F5" w:rsidP="008033F5">
            <w:pPr>
              <w:pStyle w:val="Tabletext"/>
            </w:pPr>
            <w:r w:rsidRPr="0067507D">
              <w:t>Other</w:t>
            </w:r>
          </w:p>
        </w:tc>
        <w:tc>
          <w:tcPr>
            <w:cnfStyle w:val="000010000000" w:firstRow="0" w:lastRow="0" w:firstColumn="0" w:lastColumn="0" w:oddVBand="1" w:evenVBand="0" w:oddHBand="0" w:evenHBand="0" w:firstRowFirstColumn="0" w:firstRowLastColumn="0" w:lastRowFirstColumn="0" w:lastRowLastColumn="0"/>
            <w:tcW w:w="683" w:type="pct"/>
          </w:tcPr>
          <w:p w14:paraId="3F28E90B" w14:textId="2E5DDFC6" w:rsidR="008033F5" w:rsidRPr="0067507D" w:rsidRDefault="008033F5" w:rsidP="008033F5">
            <w:pPr>
              <w:pStyle w:val="Tabletextright"/>
            </w:pPr>
            <w:r w:rsidRPr="0067507D">
              <w:t xml:space="preserve"> 23 </w:t>
            </w:r>
          </w:p>
        </w:tc>
        <w:tc>
          <w:tcPr>
            <w:cnfStyle w:val="000001000000" w:firstRow="0" w:lastRow="0" w:firstColumn="0" w:lastColumn="0" w:oddVBand="0" w:evenVBand="1" w:oddHBand="0" w:evenHBand="0" w:firstRowFirstColumn="0" w:firstRowLastColumn="0" w:lastRowFirstColumn="0" w:lastRowLastColumn="0"/>
            <w:tcW w:w="683" w:type="pct"/>
            <w:noWrap/>
          </w:tcPr>
          <w:p w14:paraId="1F8124D6" w14:textId="69F8261B" w:rsidR="008033F5" w:rsidRPr="0067507D" w:rsidRDefault="008033F5" w:rsidP="008033F5">
            <w:pPr>
              <w:pStyle w:val="Tabletextright"/>
            </w:pPr>
            <w:r w:rsidRPr="0067507D">
              <w:t xml:space="preserve"> </w:t>
            </w:r>
            <w:r w:rsidR="00321977" w:rsidRPr="0067507D">
              <w:t>–</w:t>
            </w:r>
          </w:p>
        </w:tc>
        <w:tc>
          <w:tcPr>
            <w:cnfStyle w:val="000010000000" w:firstRow="0" w:lastRow="0" w:firstColumn="0" w:lastColumn="0" w:oddVBand="1" w:evenVBand="0" w:oddHBand="0" w:evenHBand="0" w:firstRowFirstColumn="0" w:firstRowLastColumn="0" w:lastRowFirstColumn="0" w:lastRowLastColumn="0"/>
            <w:tcW w:w="682" w:type="pct"/>
            <w:noWrap/>
          </w:tcPr>
          <w:p w14:paraId="386EF76A" w14:textId="1F92DDEE" w:rsidR="008033F5" w:rsidRPr="0067507D" w:rsidRDefault="008033F5" w:rsidP="008033F5">
            <w:pPr>
              <w:pStyle w:val="Tabletextright"/>
            </w:pPr>
            <w:r w:rsidRPr="0067507D">
              <w:t xml:space="preserve">(23) </w:t>
            </w:r>
          </w:p>
        </w:tc>
      </w:tr>
      <w:tr w:rsidR="008033F5" w:rsidRPr="0067507D" w14:paraId="10F3419C"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1AB5148F" w14:textId="3006C433" w:rsidR="008033F5" w:rsidRPr="0067507D" w:rsidRDefault="008033F5" w:rsidP="00B5373D">
            <w:pPr>
              <w:pStyle w:val="Tabletextbold"/>
              <w:rPr>
                <w:rFonts w:ascii="VIC SemiBold" w:hAnsi="VIC SemiBold"/>
              </w:rPr>
            </w:pPr>
            <w:r w:rsidRPr="0067507D">
              <w:t>Total other economic flows – Other comprehensive income</w:t>
            </w:r>
          </w:p>
        </w:tc>
        <w:tc>
          <w:tcPr>
            <w:cnfStyle w:val="000010000000" w:firstRow="0" w:lastRow="0" w:firstColumn="0" w:lastColumn="0" w:oddVBand="1" w:evenVBand="0" w:oddHBand="0" w:evenHBand="0" w:firstRowFirstColumn="0" w:firstRowLastColumn="0" w:lastRowFirstColumn="0" w:lastRowLastColumn="0"/>
            <w:tcW w:w="683" w:type="pct"/>
          </w:tcPr>
          <w:p w14:paraId="46497770" w14:textId="56745238" w:rsidR="008033F5" w:rsidRPr="0067507D" w:rsidRDefault="008033F5" w:rsidP="008033F5">
            <w:pPr>
              <w:pStyle w:val="Tabletextrightbold"/>
              <w:rPr>
                <w:rFonts w:ascii="VIC SemiBold" w:hAnsi="VIC SemiBold"/>
              </w:rPr>
            </w:pPr>
            <w:r w:rsidRPr="0067507D">
              <w:t xml:space="preserve"> 747 </w:t>
            </w:r>
          </w:p>
        </w:tc>
        <w:tc>
          <w:tcPr>
            <w:cnfStyle w:val="000001000000" w:firstRow="0" w:lastRow="0" w:firstColumn="0" w:lastColumn="0" w:oddVBand="0" w:evenVBand="1" w:oddHBand="0" w:evenHBand="0" w:firstRowFirstColumn="0" w:firstRowLastColumn="0" w:lastRowFirstColumn="0" w:lastRowLastColumn="0"/>
            <w:tcW w:w="683" w:type="pct"/>
            <w:noWrap/>
          </w:tcPr>
          <w:p w14:paraId="2FE27250" w14:textId="478313F2" w:rsidR="008033F5" w:rsidRPr="0067507D" w:rsidRDefault="008033F5" w:rsidP="008033F5">
            <w:pPr>
              <w:pStyle w:val="Tabletextrightbold"/>
              <w:rPr>
                <w:rFonts w:ascii="VIC SemiBold" w:hAnsi="VIC SemiBold"/>
              </w:rPr>
            </w:pPr>
            <w:r w:rsidRPr="0067507D">
              <w:t xml:space="preserve"> 786 </w:t>
            </w:r>
          </w:p>
        </w:tc>
        <w:tc>
          <w:tcPr>
            <w:cnfStyle w:val="000010000000" w:firstRow="0" w:lastRow="0" w:firstColumn="0" w:lastColumn="0" w:oddVBand="1" w:evenVBand="0" w:oddHBand="0" w:evenHBand="0" w:firstRowFirstColumn="0" w:firstRowLastColumn="0" w:lastRowFirstColumn="0" w:lastRowLastColumn="0"/>
            <w:tcW w:w="682" w:type="pct"/>
            <w:noWrap/>
          </w:tcPr>
          <w:p w14:paraId="7819CDA6" w14:textId="0AA11072" w:rsidR="008033F5" w:rsidRPr="0067507D" w:rsidRDefault="008033F5" w:rsidP="008033F5">
            <w:pPr>
              <w:pStyle w:val="Tabletextrightbold"/>
              <w:rPr>
                <w:rFonts w:ascii="VIC SemiBold" w:hAnsi="VIC SemiBold"/>
              </w:rPr>
            </w:pPr>
            <w:r w:rsidRPr="0067507D">
              <w:t xml:space="preserve"> 39 </w:t>
            </w:r>
          </w:p>
        </w:tc>
      </w:tr>
      <w:tr w:rsidR="008033F5" w:rsidRPr="0067507D" w14:paraId="654FEB33"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5F28AB27" w14:textId="12AB4C5B" w:rsidR="008033F5" w:rsidRPr="0067507D" w:rsidRDefault="008033F5" w:rsidP="008033F5">
            <w:pPr>
              <w:pStyle w:val="Tabletextbold"/>
            </w:pPr>
            <w:r w:rsidRPr="0067507D">
              <w:t>Comprehensive result</w:t>
            </w:r>
          </w:p>
        </w:tc>
        <w:tc>
          <w:tcPr>
            <w:cnfStyle w:val="000010000000" w:firstRow="0" w:lastRow="0" w:firstColumn="0" w:lastColumn="0" w:oddVBand="1" w:evenVBand="0" w:oddHBand="0" w:evenHBand="0" w:firstRowFirstColumn="0" w:firstRowLastColumn="0" w:lastRowFirstColumn="0" w:lastRowLastColumn="0"/>
            <w:tcW w:w="683" w:type="pct"/>
          </w:tcPr>
          <w:p w14:paraId="74C6652B" w14:textId="509CFB00" w:rsidR="008033F5" w:rsidRPr="0067507D" w:rsidRDefault="008033F5" w:rsidP="008033F5">
            <w:pPr>
              <w:pStyle w:val="Tabletextrightbold"/>
            </w:pPr>
            <w:r w:rsidRPr="0067507D">
              <w:t xml:space="preserve">(13 823) </w:t>
            </w:r>
          </w:p>
        </w:tc>
        <w:tc>
          <w:tcPr>
            <w:cnfStyle w:val="000001000000" w:firstRow="0" w:lastRow="0" w:firstColumn="0" w:lastColumn="0" w:oddVBand="0" w:evenVBand="1" w:oddHBand="0" w:evenHBand="0" w:firstRowFirstColumn="0" w:firstRowLastColumn="0" w:lastRowFirstColumn="0" w:lastRowLastColumn="0"/>
            <w:tcW w:w="683" w:type="pct"/>
            <w:noWrap/>
          </w:tcPr>
          <w:p w14:paraId="363ADAD3" w14:textId="315614D4" w:rsidR="008033F5" w:rsidRPr="0067507D" w:rsidRDefault="008033F5" w:rsidP="008033F5">
            <w:pPr>
              <w:pStyle w:val="Tabletextrightbold"/>
            </w:pPr>
            <w:r w:rsidRPr="0067507D">
              <w:t xml:space="preserve">(15 657) </w:t>
            </w:r>
          </w:p>
        </w:tc>
        <w:tc>
          <w:tcPr>
            <w:cnfStyle w:val="000010000000" w:firstRow="0" w:lastRow="0" w:firstColumn="0" w:lastColumn="0" w:oddVBand="1" w:evenVBand="0" w:oddHBand="0" w:evenHBand="0" w:firstRowFirstColumn="0" w:firstRowLastColumn="0" w:lastRowFirstColumn="0" w:lastRowLastColumn="0"/>
            <w:tcW w:w="682" w:type="pct"/>
            <w:noWrap/>
          </w:tcPr>
          <w:p w14:paraId="3ED7511F" w14:textId="4E69DD16" w:rsidR="008033F5" w:rsidRPr="0067507D" w:rsidRDefault="008033F5" w:rsidP="008033F5">
            <w:pPr>
              <w:pStyle w:val="Tabletextrightbold"/>
            </w:pPr>
            <w:r w:rsidRPr="0067507D">
              <w:t xml:space="preserve">(1 834) </w:t>
            </w:r>
          </w:p>
        </w:tc>
      </w:tr>
      <w:tr w:rsidR="008033F5" w:rsidRPr="0067507D" w14:paraId="089D7E47" w14:textId="77777777" w:rsidTr="001E2BFF">
        <w:tc>
          <w:tcPr>
            <w:cnfStyle w:val="001000000000" w:firstRow="0" w:lastRow="0" w:firstColumn="1" w:lastColumn="0" w:oddVBand="0" w:evenVBand="0" w:oddHBand="0" w:evenHBand="0" w:firstRowFirstColumn="0" w:firstRowLastColumn="0" w:lastRowFirstColumn="0" w:lastRowLastColumn="0"/>
            <w:tcW w:w="2952" w:type="pct"/>
            <w:noWrap/>
          </w:tcPr>
          <w:p w14:paraId="45FEF4AB" w14:textId="1617C0CC" w:rsidR="008033F5" w:rsidRPr="0067507D" w:rsidRDefault="008033F5" w:rsidP="008033F5">
            <w:pPr>
              <w:pStyle w:val="Tabletextbold"/>
            </w:pPr>
          </w:p>
        </w:tc>
        <w:tc>
          <w:tcPr>
            <w:cnfStyle w:val="000010000000" w:firstRow="0" w:lastRow="0" w:firstColumn="0" w:lastColumn="0" w:oddVBand="1" w:evenVBand="0" w:oddHBand="0" w:evenHBand="0" w:firstRowFirstColumn="0" w:firstRowLastColumn="0" w:lastRowFirstColumn="0" w:lastRowLastColumn="0"/>
            <w:tcW w:w="683" w:type="pct"/>
          </w:tcPr>
          <w:p w14:paraId="56A1D129" w14:textId="77777777" w:rsidR="008033F5" w:rsidRPr="0067507D" w:rsidRDefault="008033F5" w:rsidP="008033F5">
            <w:pPr>
              <w:pStyle w:val="Tabletextrightbold"/>
            </w:pPr>
          </w:p>
        </w:tc>
        <w:tc>
          <w:tcPr>
            <w:cnfStyle w:val="000001000000" w:firstRow="0" w:lastRow="0" w:firstColumn="0" w:lastColumn="0" w:oddVBand="0" w:evenVBand="1" w:oddHBand="0" w:evenHBand="0" w:firstRowFirstColumn="0" w:firstRowLastColumn="0" w:lastRowFirstColumn="0" w:lastRowLastColumn="0"/>
            <w:tcW w:w="683" w:type="pct"/>
            <w:noWrap/>
          </w:tcPr>
          <w:p w14:paraId="60FD2899" w14:textId="140D206E" w:rsidR="008033F5" w:rsidRPr="0067507D" w:rsidRDefault="008033F5" w:rsidP="008033F5">
            <w:pPr>
              <w:pStyle w:val="Tabletextrightbold"/>
            </w:pPr>
          </w:p>
        </w:tc>
        <w:tc>
          <w:tcPr>
            <w:cnfStyle w:val="000010000000" w:firstRow="0" w:lastRow="0" w:firstColumn="0" w:lastColumn="0" w:oddVBand="1" w:evenVBand="0" w:oddHBand="0" w:evenHBand="0" w:firstRowFirstColumn="0" w:firstRowLastColumn="0" w:lastRowFirstColumn="0" w:lastRowLastColumn="0"/>
            <w:tcW w:w="682" w:type="pct"/>
            <w:noWrap/>
          </w:tcPr>
          <w:p w14:paraId="2F486D7F" w14:textId="6944FCB7" w:rsidR="008033F5" w:rsidRPr="0067507D" w:rsidRDefault="008033F5" w:rsidP="008033F5">
            <w:pPr>
              <w:pStyle w:val="Tabletextrightbold"/>
            </w:pPr>
          </w:p>
        </w:tc>
      </w:tr>
      <w:tr w:rsidR="008033F5" w:rsidRPr="0067507D" w14:paraId="7EF5E654" w14:textId="77777777" w:rsidTr="001E2BFF">
        <w:tc>
          <w:tcPr>
            <w:cnfStyle w:val="001000000000" w:firstRow="0" w:lastRow="0" w:firstColumn="1" w:lastColumn="0" w:oddVBand="0" w:evenVBand="0" w:oddHBand="0" w:evenHBand="0" w:firstRowFirstColumn="0" w:firstRowLastColumn="0" w:lastRowFirstColumn="0" w:lastRowLastColumn="0"/>
            <w:tcW w:w="2952" w:type="pct"/>
            <w:noWrap/>
          </w:tcPr>
          <w:p w14:paraId="1D0214CE" w14:textId="70AA803D" w:rsidR="008033F5" w:rsidRPr="0067507D" w:rsidRDefault="008033F5" w:rsidP="008033F5">
            <w:pPr>
              <w:pStyle w:val="Tabletextbold"/>
            </w:pPr>
            <w:r w:rsidRPr="0067507D">
              <w:t>Administered assets</w:t>
            </w:r>
          </w:p>
        </w:tc>
        <w:tc>
          <w:tcPr>
            <w:cnfStyle w:val="000010000000" w:firstRow="0" w:lastRow="0" w:firstColumn="0" w:lastColumn="0" w:oddVBand="1" w:evenVBand="0" w:oddHBand="0" w:evenHBand="0" w:firstRowFirstColumn="0" w:firstRowLastColumn="0" w:lastRowFirstColumn="0" w:lastRowLastColumn="0"/>
            <w:tcW w:w="683" w:type="pct"/>
          </w:tcPr>
          <w:p w14:paraId="335812A0" w14:textId="77777777" w:rsidR="008033F5" w:rsidRPr="0067507D" w:rsidRDefault="008033F5" w:rsidP="008033F5">
            <w:pPr>
              <w:pStyle w:val="Tabletextrightbold"/>
            </w:pPr>
          </w:p>
        </w:tc>
        <w:tc>
          <w:tcPr>
            <w:cnfStyle w:val="000001000000" w:firstRow="0" w:lastRow="0" w:firstColumn="0" w:lastColumn="0" w:oddVBand="0" w:evenVBand="1" w:oddHBand="0" w:evenHBand="0" w:firstRowFirstColumn="0" w:firstRowLastColumn="0" w:lastRowFirstColumn="0" w:lastRowLastColumn="0"/>
            <w:tcW w:w="683" w:type="pct"/>
            <w:noWrap/>
          </w:tcPr>
          <w:p w14:paraId="73E4E059" w14:textId="7690FD73" w:rsidR="008033F5" w:rsidRPr="0067507D" w:rsidRDefault="008033F5" w:rsidP="008033F5">
            <w:pPr>
              <w:pStyle w:val="Tabletextrightbold"/>
            </w:pPr>
          </w:p>
        </w:tc>
        <w:tc>
          <w:tcPr>
            <w:cnfStyle w:val="000010000000" w:firstRow="0" w:lastRow="0" w:firstColumn="0" w:lastColumn="0" w:oddVBand="1" w:evenVBand="0" w:oddHBand="0" w:evenHBand="0" w:firstRowFirstColumn="0" w:firstRowLastColumn="0" w:lastRowFirstColumn="0" w:lastRowLastColumn="0"/>
            <w:tcW w:w="682" w:type="pct"/>
            <w:noWrap/>
          </w:tcPr>
          <w:p w14:paraId="75454F08" w14:textId="77777777" w:rsidR="008033F5" w:rsidRPr="0067507D" w:rsidRDefault="008033F5" w:rsidP="008033F5">
            <w:pPr>
              <w:pStyle w:val="Tabletextrightbold"/>
            </w:pPr>
          </w:p>
        </w:tc>
      </w:tr>
      <w:tr w:rsidR="008033F5" w:rsidRPr="0067507D" w14:paraId="68C75496"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3A92319B" w14:textId="118BD928" w:rsidR="008033F5" w:rsidRPr="0067507D" w:rsidRDefault="008033F5" w:rsidP="00B17F8C">
            <w:pPr>
              <w:pStyle w:val="Tabletext"/>
            </w:pPr>
            <w:r w:rsidRPr="0067507D">
              <w:t xml:space="preserve">Cash and deposits </w:t>
            </w:r>
            <w:r w:rsidRPr="0067507D">
              <w:rPr>
                <w:vertAlign w:val="superscript"/>
              </w:rPr>
              <w:t>(h)</w:t>
            </w:r>
          </w:p>
        </w:tc>
        <w:tc>
          <w:tcPr>
            <w:cnfStyle w:val="000010000000" w:firstRow="0" w:lastRow="0" w:firstColumn="0" w:lastColumn="0" w:oddVBand="1" w:evenVBand="0" w:oddHBand="0" w:evenHBand="0" w:firstRowFirstColumn="0" w:firstRowLastColumn="0" w:lastRowFirstColumn="0" w:lastRowLastColumn="0"/>
            <w:tcW w:w="683" w:type="pct"/>
          </w:tcPr>
          <w:p w14:paraId="55B5FF9E" w14:textId="3D168DD3" w:rsidR="008033F5" w:rsidRPr="0067507D" w:rsidRDefault="008033F5" w:rsidP="008033F5">
            <w:pPr>
              <w:pStyle w:val="Tabletextright"/>
            </w:pPr>
            <w:r w:rsidRPr="0067507D">
              <w:t xml:space="preserve"> 883 </w:t>
            </w:r>
          </w:p>
        </w:tc>
        <w:tc>
          <w:tcPr>
            <w:cnfStyle w:val="000001000000" w:firstRow="0" w:lastRow="0" w:firstColumn="0" w:lastColumn="0" w:oddVBand="0" w:evenVBand="1" w:oddHBand="0" w:evenHBand="0" w:firstRowFirstColumn="0" w:firstRowLastColumn="0" w:lastRowFirstColumn="0" w:lastRowLastColumn="0"/>
            <w:tcW w:w="683" w:type="pct"/>
            <w:noWrap/>
          </w:tcPr>
          <w:p w14:paraId="1585E259" w14:textId="254BBDA2" w:rsidR="008033F5" w:rsidRPr="0067507D" w:rsidRDefault="008033F5" w:rsidP="008033F5">
            <w:pPr>
              <w:pStyle w:val="Tabletextright"/>
            </w:pPr>
            <w:r w:rsidRPr="0067507D">
              <w:t xml:space="preserve">4 427 </w:t>
            </w:r>
          </w:p>
        </w:tc>
        <w:tc>
          <w:tcPr>
            <w:cnfStyle w:val="000010000000" w:firstRow="0" w:lastRow="0" w:firstColumn="0" w:lastColumn="0" w:oddVBand="1" w:evenVBand="0" w:oddHBand="0" w:evenHBand="0" w:firstRowFirstColumn="0" w:firstRowLastColumn="0" w:lastRowFirstColumn="0" w:lastRowLastColumn="0"/>
            <w:tcW w:w="682" w:type="pct"/>
            <w:noWrap/>
          </w:tcPr>
          <w:p w14:paraId="30EBFFF6" w14:textId="65B6AB7E" w:rsidR="008033F5" w:rsidRPr="0067507D" w:rsidRDefault="008033F5" w:rsidP="008033F5">
            <w:pPr>
              <w:pStyle w:val="Tabletextright"/>
            </w:pPr>
            <w:r w:rsidRPr="0067507D">
              <w:t xml:space="preserve">3 544 </w:t>
            </w:r>
          </w:p>
        </w:tc>
      </w:tr>
      <w:tr w:rsidR="008033F5" w:rsidRPr="0067507D" w14:paraId="5339CA16"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4204DEA0" w14:textId="7C76E3E8" w:rsidR="008033F5" w:rsidRPr="0067507D" w:rsidRDefault="008033F5" w:rsidP="008033F5">
            <w:pPr>
              <w:pStyle w:val="Tabletext"/>
            </w:pPr>
            <w:r w:rsidRPr="0067507D">
              <w:t>Receivables</w:t>
            </w:r>
          </w:p>
        </w:tc>
        <w:tc>
          <w:tcPr>
            <w:cnfStyle w:val="000010000000" w:firstRow="0" w:lastRow="0" w:firstColumn="0" w:lastColumn="0" w:oddVBand="1" w:evenVBand="0" w:oddHBand="0" w:evenHBand="0" w:firstRowFirstColumn="0" w:firstRowLastColumn="0" w:lastRowFirstColumn="0" w:lastRowLastColumn="0"/>
            <w:tcW w:w="683" w:type="pct"/>
          </w:tcPr>
          <w:p w14:paraId="1D283BA9" w14:textId="78123257" w:rsidR="008033F5" w:rsidRPr="0067507D" w:rsidRDefault="008033F5" w:rsidP="008033F5">
            <w:pPr>
              <w:pStyle w:val="Tabletextright"/>
            </w:pPr>
            <w:r w:rsidRPr="0067507D">
              <w:t xml:space="preserve">6 731 </w:t>
            </w:r>
          </w:p>
        </w:tc>
        <w:tc>
          <w:tcPr>
            <w:cnfStyle w:val="000001000000" w:firstRow="0" w:lastRow="0" w:firstColumn="0" w:lastColumn="0" w:oddVBand="0" w:evenVBand="1" w:oddHBand="0" w:evenHBand="0" w:firstRowFirstColumn="0" w:firstRowLastColumn="0" w:lastRowFirstColumn="0" w:lastRowLastColumn="0"/>
            <w:tcW w:w="683" w:type="pct"/>
            <w:noWrap/>
          </w:tcPr>
          <w:p w14:paraId="4FDD7BB0" w14:textId="6D222592" w:rsidR="008033F5" w:rsidRPr="0067507D" w:rsidRDefault="008033F5" w:rsidP="008033F5">
            <w:pPr>
              <w:pStyle w:val="Tabletextright"/>
            </w:pPr>
            <w:r w:rsidRPr="0067507D">
              <w:t xml:space="preserve">6 502 </w:t>
            </w:r>
          </w:p>
        </w:tc>
        <w:tc>
          <w:tcPr>
            <w:cnfStyle w:val="000010000000" w:firstRow="0" w:lastRow="0" w:firstColumn="0" w:lastColumn="0" w:oddVBand="1" w:evenVBand="0" w:oddHBand="0" w:evenHBand="0" w:firstRowFirstColumn="0" w:firstRowLastColumn="0" w:lastRowFirstColumn="0" w:lastRowLastColumn="0"/>
            <w:tcW w:w="682" w:type="pct"/>
            <w:noWrap/>
          </w:tcPr>
          <w:p w14:paraId="48612E4B" w14:textId="27F18E8F" w:rsidR="008033F5" w:rsidRPr="0067507D" w:rsidRDefault="008033F5" w:rsidP="008033F5">
            <w:pPr>
              <w:pStyle w:val="Tabletextright"/>
            </w:pPr>
            <w:r w:rsidRPr="0067507D">
              <w:t xml:space="preserve">(229) </w:t>
            </w:r>
          </w:p>
        </w:tc>
      </w:tr>
      <w:tr w:rsidR="008033F5" w:rsidRPr="0067507D" w14:paraId="75BAF000"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6B0A9BD6" w14:textId="1394B9E2" w:rsidR="008033F5" w:rsidRPr="0067507D" w:rsidRDefault="008033F5" w:rsidP="008033F5">
            <w:pPr>
              <w:pStyle w:val="Tabletext"/>
            </w:pPr>
            <w:r w:rsidRPr="0067507D">
              <w:t xml:space="preserve">Other financial assets </w:t>
            </w:r>
            <w:r w:rsidRPr="0067507D">
              <w:rPr>
                <w:vertAlign w:val="superscript"/>
              </w:rPr>
              <w:t>(i)</w:t>
            </w:r>
          </w:p>
        </w:tc>
        <w:tc>
          <w:tcPr>
            <w:cnfStyle w:val="000010000000" w:firstRow="0" w:lastRow="0" w:firstColumn="0" w:lastColumn="0" w:oddVBand="1" w:evenVBand="0" w:oddHBand="0" w:evenHBand="0" w:firstRowFirstColumn="0" w:firstRowLastColumn="0" w:lastRowFirstColumn="0" w:lastRowLastColumn="0"/>
            <w:tcW w:w="683" w:type="pct"/>
          </w:tcPr>
          <w:p w14:paraId="6440AD90" w14:textId="4BABC5AE" w:rsidR="008033F5" w:rsidRPr="0067507D" w:rsidRDefault="008033F5" w:rsidP="008033F5">
            <w:pPr>
              <w:pStyle w:val="Tabletextright"/>
            </w:pPr>
            <w:r w:rsidRPr="0067507D">
              <w:t xml:space="preserve">13 940 </w:t>
            </w:r>
          </w:p>
        </w:tc>
        <w:tc>
          <w:tcPr>
            <w:cnfStyle w:val="000001000000" w:firstRow="0" w:lastRow="0" w:firstColumn="0" w:lastColumn="0" w:oddVBand="0" w:evenVBand="1" w:oddHBand="0" w:evenHBand="0" w:firstRowFirstColumn="0" w:firstRowLastColumn="0" w:lastRowFirstColumn="0" w:lastRowLastColumn="0"/>
            <w:tcW w:w="683" w:type="pct"/>
            <w:noWrap/>
          </w:tcPr>
          <w:p w14:paraId="11094586" w14:textId="17CB6EFE" w:rsidR="008033F5" w:rsidRPr="0067507D" w:rsidRDefault="008033F5" w:rsidP="008033F5">
            <w:pPr>
              <w:pStyle w:val="Tabletextright"/>
            </w:pPr>
            <w:r w:rsidRPr="0067507D">
              <w:t xml:space="preserve">14 766 </w:t>
            </w:r>
          </w:p>
        </w:tc>
        <w:tc>
          <w:tcPr>
            <w:cnfStyle w:val="000010000000" w:firstRow="0" w:lastRow="0" w:firstColumn="0" w:lastColumn="0" w:oddVBand="1" w:evenVBand="0" w:oddHBand="0" w:evenHBand="0" w:firstRowFirstColumn="0" w:firstRowLastColumn="0" w:lastRowFirstColumn="0" w:lastRowLastColumn="0"/>
            <w:tcW w:w="682" w:type="pct"/>
            <w:noWrap/>
          </w:tcPr>
          <w:p w14:paraId="08A9D0C6" w14:textId="726DC463" w:rsidR="008033F5" w:rsidRPr="0067507D" w:rsidRDefault="008033F5" w:rsidP="008033F5">
            <w:pPr>
              <w:pStyle w:val="Tabletextright"/>
            </w:pPr>
            <w:r w:rsidRPr="0067507D">
              <w:t xml:space="preserve"> 826 </w:t>
            </w:r>
          </w:p>
        </w:tc>
      </w:tr>
      <w:tr w:rsidR="008033F5" w:rsidRPr="0067507D" w14:paraId="0DB6B005"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1F96396C" w14:textId="591089CF" w:rsidR="008033F5" w:rsidRPr="0067507D" w:rsidRDefault="008033F5" w:rsidP="008033F5">
            <w:pPr>
              <w:pStyle w:val="Tabletext"/>
            </w:pPr>
            <w:r w:rsidRPr="0067507D">
              <w:t xml:space="preserve">Property, plant and equipment </w:t>
            </w:r>
            <w:r w:rsidRPr="0067507D">
              <w:rPr>
                <w:vertAlign w:val="superscript"/>
              </w:rPr>
              <w:t>(</w:t>
            </w:r>
            <w:r w:rsidR="002273A3" w:rsidRPr="0067507D">
              <w:rPr>
                <w:vertAlign w:val="superscript"/>
              </w:rPr>
              <w:t>b</w:t>
            </w:r>
            <w:r w:rsidRPr="0067507D">
              <w:rPr>
                <w:vertAlign w:val="superscript"/>
              </w:rPr>
              <w:t>)</w:t>
            </w:r>
            <w:r w:rsidRPr="0067507D">
              <w:t xml:space="preserve"> </w:t>
            </w:r>
          </w:p>
        </w:tc>
        <w:tc>
          <w:tcPr>
            <w:cnfStyle w:val="000010000000" w:firstRow="0" w:lastRow="0" w:firstColumn="0" w:lastColumn="0" w:oddVBand="1" w:evenVBand="0" w:oddHBand="0" w:evenHBand="0" w:firstRowFirstColumn="0" w:firstRowLastColumn="0" w:lastRowFirstColumn="0" w:lastRowLastColumn="0"/>
            <w:tcW w:w="683" w:type="pct"/>
          </w:tcPr>
          <w:p w14:paraId="433B44C8" w14:textId="39045938" w:rsidR="008033F5" w:rsidRPr="0067507D" w:rsidRDefault="008033F5" w:rsidP="008033F5">
            <w:pPr>
              <w:pStyle w:val="Tabletextright"/>
            </w:pPr>
            <w:r w:rsidRPr="0067507D">
              <w:t xml:space="preserve">3 988 </w:t>
            </w:r>
          </w:p>
        </w:tc>
        <w:tc>
          <w:tcPr>
            <w:cnfStyle w:val="000001000000" w:firstRow="0" w:lastRow="0" w:firstColumn="0" w:lastColumn="0" w:oddVBand="0" w:evenVBand="1" w:oddHBand="0" w:evenHBand="0" w:firstRowFirstColumn="0" w:firstRowLastColumn="0" w:lastRowFirstColumn="0" w:lastRowLastColumn="0"/>
            <w:tcW w:w="683" w:type="pct"/>
            <w:noWrap/>
          </w:tcPr>
          <w:p w14:paraId="61259CCE" w14:textId="6A59CE2B" w:rsidR="008033F5" w:rsidRPr="0067507D" w:rsidRDefault="00321977" w:rsidP="008033F5">
            <w:pPr>
              <w:pStyle w:val="Tabletextright"/>
            </w:pPr>
            <w:r w:rsidRPr="0067507D">
              <w:t>–</w:t>
            </w:r>
            <w:r w:rsidR="008033F5" w:rsidRPr="0067507D">
              <w:t xml:space="preserve"> </w:t>
            </w:r>
          </w:p>
        </w:tc>
        <w:tc>
          <w:tcPr>
            <w:cnfStyle w:val="000010000000" w:firstRow="0" w:lastRow="0" w:firstColumn="0" w:lastColumn="0" w:oddVBand="1" w:evenVBand="0" w:oddHBand="0" w:evenHBand="0" w:firstRowFirstColumn="0" w:firstRowLastColumn="0" w:lastRowFirstColumn="0" w:lastRowLastColumn="0"/>
            <w:tcW w:w="682" w:type="pct"/>
            <w:noWrap/>
          </w:tcPr>
          <w:p w14:paraId="66D82956" w14:textId="78D9725B" w:rsidR="008033F5" w:rsidRPr="0067507D" w:rsidRDefault="008033F5" w:rsidP="008033F5">
            <w:pPr>
              <w:pStyle w:val="Tabletextright"/>
            </w:pPr>
            <w:r w:rsidRPr="0067507D">
              <w:t xml:space="preserve">(3 988) </w:t>
            </w:r>
          </w:p>
        </w:tc>
      </w:tr>
      <w:tr w:rsidR="008033F5" w:rsidRPr="0067507D" w14:paraId="011FA864"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32CD4AE4" w14:textId="49051235" w:rsidR="008033F5" w:rsidRPr="0067507D" w:rsidRDefault="008033F5" w:rsidP="00D7479F">
            <w:pPr>
              <w:pStyle w:val="Tabletextbold"/>
            </w:pPr>
            <w:r w:rsidRPr="0067507D">
              <w:t>Total administered assets</w:t>
            </w:r>
          </w:p>
        </w:tc>
        <w:tc>
          <w:tcPr>
            <w:cnfStyle w:val="000010000000" w:firstRow="0" w:lastRow="0" w:firstColumn="0" w:lastColumn="0" w:oddVBand="1" w:evenVBand="0" w:oddHBand="0" w:evenHBand="0" w:firstRowFirstColumn="0" w:firstRowLastColumn="0" w:lastRowFirstColumn="0" w:lastRowLastColumn="0"/>
            <w:tcW w:w="683" w:type="pct"/>
          </w:tcPr>
          <w:p w14:paraId="08BEE7F2" w14:textId="62984C8D" w:rsidR="008033F5" w:rsidRPr="0067507D" w:rsidRDefault="008033F5" w:rsidP="00D7479F">
            <w:pPr>
              <w:pStyle w:val="Tabletextrightbold"/>
            </w:pPr>
            <w:r w:rsidRPr="0067507D">
              <w:t xml:space="preserve">25 541 </w:t>
            </w:r>
          </w:p>
        </w:tc>
        <w:tc>
          <w:tcPr>
            <w:cnfStyle w:val="000001000000" w:firstRow="0" w:lastRow="0" w:firstColumn="0" w:lastColumn="0" w:oddVBand="0" w:evenVBand="1" w:oddHBand="0" w:evenHBand="0" w:firstRowFirstColumn="0" w:firstRowLastColumn="0" w:lastRowFirstColumn="0" w:lastRowLastColumn="0"/>
            <w:tcW w:w="683" w:type="pct"/>
            <w:noWrap/>
          </w:tcPr>
          <w:p w14:paraId="1ED4DD99" w14:textId="07BD9A23" w:rsidR="008033F5" w:rsidRPr="0067507D" w:rsidRDefault="008033F5" w:rsidP="00D7479F">
            <w:pPr>
              <w:pStyle w:val="Tabletextrightbold"/>
            </w:pPr>
            <w:r w:rsidRPr="0067507D">
              <w:t xml:space="preserve">25 695 </w:t>
            </w:r>
          </w:p>
        </w:tc>
        <w:tc>
          <w:tcPr>
            <w:cnfStyle w:val="000010000000" w:firstRow="0" w:lastRow="0" w:firstColumn="0" w:lastColumn="0" w:oddVBand="1" w:evenVBand="0" w:oddHBand="0" w:evenHBand="0" w:firstRowFirstColumn="0" w:firstRowLastColumn="0" w:lastRowFirstColumn="0" w:lastRowLastColumn="0"/>
            <w:tcW w:w="682" w:type="pct"/>
            <w:noWrap/>
          </w:tcPr>
          <w:p w14:paraId="6745F046" w14:textId="0FCEED2F" w:rsidR="008033F5" w:rsidRPr="0067507D" w:rsidRDefault="008033F5" w:rsidP="00D7479F">
            <w:pPr>
              <w:pStyle w:val="Tabletextrightbold"/>
            </w:pPr>
            <w:r w:rsidRPr="0067507D">
              <w:t xml:space="preserve"> 154 </w:t>
            </w:r>
          </w:p>
        </w:tc>
      </w:tr>
      <w:tr w:rsidR="008033F5" w:rsidRPr="0067507D" w14:paraId="4FDD596C"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6406A90E" w14:textId="644E8739" w:rsidR="008033F5" w:rsidRPr="0067507D" w:rsidRDefault="008033F5" w:rsidP="00CF59C6">
            <w:pPr>
              <w:pStyle w:val="Tabletextbold"/>
              <w:pageBreakBefore/>
            </w:pPr>
            <w:r w:rsidRPr="0067507D">
              <w:lastRenderedPageBreak/>
              <w:t>Administered liabilities</w:t>
            </w:r>
          </w:p>
        </w:tc>
        <w:tc>
          <w:tcPr>
            <w:cnfStyle w:val="000010000000" w:firstRow="0" w:lastRow="0" w:firstColumn="0" w:lastColumn="0" w:oddVBand="1" w:evenVBand="0" w:oddHBand="0" w:evenHBand="0" w:firstRowFirstColumn="0" w:firstRowLastColumn="0" w:lastRowFirstColumn="0" w:lastRowLastColumn="0"/>
            <w:tcW w:w="683" w:type="pct"/>
          </w:tcPr>
          <w:p w14:paraId="4C0C01D2" w14:textId="77777777" w:rsidR="008033F5" w:rsidRPr="00866B9C" w:rsidRDefault="008033F5" w:rsidP="00866B9C">
            <w:pPr>
              <w:pStyle w:val="Tabletextright"/>
            </w:pPr>
          </w:p>
        </w:tc>
        <w:tc>
          <w:tcPr>
            <w:cnfStyle w:val="000001000000" w:firstRow="0" w:lastRow="0" w:firstColumn="0" w:lastColumn="0" w:oddVBand="0" w:evenVBand="1" w:oddHBand="0" w:evenHBand="0" w:firstRowFirstColumn="0" w:firstRowLastColumn="0" w:lastRowFirstColumn="0" w:lastRowLastColumn="0"/>
            <w:tcW w:w="683" w:type="pct"/>
            <w:noWrap/>
          </w:tcPr>
          <w:p w14:paraId="6E906F00" w14:textId="4ACA4027" w:rsidR="008033F5" w:rsidRPr="0067507D" w:rsidRDefault="008033F5" w:rsidP="008033F5">
            <w:pPr>
              <w:pStyle w:val="Tabletextright"/>
              <w:rPr>
                <w:b/>
                <w:bCs/>
              </w:rPr>
            </w:pPr>
          </w:p>
        </w:tc>
        <w:tc>
          <w:tcPr>
            <w:cnfStyle w:val="000010000000" w:firstRow="0" w:lastRow="0" w:firstColumn="0" w:lastColumn="0" w:oddVBand="1" w:evenVBand="0" w:oddHBand="0" w:evenHBand="0" w:firstRowFirstColumn="0" w:firstRowLastColumn="0" w:lastRowFirstColumn="0" w:lastRowLastColumn="0"/>
            <w:tcW w:w="682" w:type="pct"/>
            <w:noWrap/>
          </w:tcPr>
          <w:p w14:paraId="1D9DF56F" w14:textId="77777777" w:rsidR="008033F5" w:rsidRPr="0067507D" w:rsidRDefault="008033F5" w:rsidP="008033F5">
            <w:pPr>
              <w:pStyle w:val="Tabletextright"/>
              <w:rPr>
                <w:b/>
                <w:bCs/>
              </w:rPr>
            </w:pPr>
          </w:p>
        </w:tc>
      </w:tr>
      <w:tr w:rsidR="008033F5" w:rsidRPr="0067507D" w14:paraId="78CD404A"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13A9972F" w14:textId="181145FC" w:rsidR="008033F5" w:rsidRPr="0067507D" w:rsidRDefault="008033F5" w:rsidP="00B17F8C">
            <w:pPr>
              <w:pStyle w:val="Tabletext"/>
            </w:pPr>
            <w:r w:rsidRPr="0067507D">
              <w:t>Payables</w:t>
            </w:r>
          </w:p>
        </w:tc>
        <w:tc>
          <w:tcPr>
            <w:cnfStyle w:val="000010000000" w:firstRow="0" w:lastRow="0" w:firstColumn="0" w:lastColumn="0" w:oddVBand="1" w:evenVBand="0" w:oddHBand="0" w:evenHBand="0" w:firstRowFirstColumn="0" w:firstRowLastColumn="0" w:lastRowFirstColumn="0" w:lastRowLastColumn="0"/>
            <w:tcW w:w="683" w:type="pct"/>
          </w:tcPr>
          <w:p w14:paraId="60C96170" w14:textId="69B68F23" w:rsidR="008033F5" w:rsidRPr="0067507D" w:rsidRDefault="008033F5" w:rsidP="00B17F8C">
            <w:pPr>
              <w:pStyle w:val="Tabletextright"/>
            </w:pPr>
            <w:r w:rsidRPr="0067507D">
              <w:t xml:space="preserve"> 586 </w:t>
            </w:r>
          </w:p>
        </w:tc>
        <w:tc>
          <w:tcPr>
            <w:cnfStyle w:val="000001000000" w:firstRow="0" w:lastRow="0" w:firstColumn="0" w:lastColumn="0" w:oddVBand="0" w:evenVBand="1" w:oddHBand="0" w:evenHBand="0" w:firstRowFirstColumn="0" w:firstRowLastColumn="0" w:lastRowFirstColumn="0" w:lastRowLastColumn="0"/>
            <w:tcW w:w="683" w:type="pct"/>
            <w:noWrap/>
          </w:tcPr>
          <w:p w14:paraId="6C19A456" w14:textId="1B9E3391" w:rsidR="008033F5" w:rsidRPr="0067507D" w:rsidRDefault="008033F5" w:rsidP="00B17F8C">
            <w:pPr>
              <w:pStyle w:val="Tabletextright"/>
            </w:pPr>
            <w:r w:rsidRPr="0067507D">
              <w:t xml:space="preserve"> 538 </w:t>
            </w:r>
          </w:p>
        </w:tc>
        <w:tc>
          <w:tcPr>
            <w:cnfStyle w:val="000010000000" w:firstRow="0" w:lastRow="0" w:firstColumn="0" w:lastColumn="0" w:oddVBand="1" w:evenVBand="0" w:oddHBand="0" w:evenHBand="0" w:firstRowFirstColumn="0" w:firstRowLastColumn="0" w:lastRowFirstColumn="0" w:lastRowLastColumn="0"/>
            <w:tcW w:w="682" w:type="pct"/>
            <w:noWrap/>
          </w:tcPr>
          <w:p w14:paraId="7519C5FC" w14:textId="687C7A5F" w:rsidR="008033F5" w:rsidRPr="0067507D" w:rsidRDefault="008033F5" w:rsidP="00B17F8C">
            <w:pPr>
              <w:pStyle w:val="Tabletextright"/>
            </w:pPr>
            <w:r w:rsidRPr="0067507D">
              <w:t xml:space="preserve">(48) </w:t>
            </w:r>
          </w:p>
        </w:tc>
      </w:tr>
      <w:tr w:rsidR="008033F5" w:rsidRPr="0067507D" w14:paraId="40F7E8A4"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1AD9BB73" w14:textId="6883B1A6" w:rsidR="008033F5" w:rsidRPr="0067507D" w:rsidRDefault="008033F5" w:rsidP="008033F5">
            <w:pPr>
              <w:pStyle w:val="Tabletext"/>
            </w:pPr>
            <w:r w:rsidRPr="0067507D">
              <w:t xml:space="preserve">Borrowings </w:t>
            </w:r>
            <w:r w:rsidRPr="0067507D">
              <w:rPr>
                <w:vertAlign w:val="superscript"/>
              </w:rPr>
              <w:t>(j)</w:t>
            </w:r>
          </w:p>
        </w:tc>
        <w:tc>
          <w:tcPr>
            <w:cnfStyle w:val="000010000000" w:firstRow="0" w:lastRow="0" w:firstColumn="0" w:lastColumn="0" w:oddVBand="1" w:evenVBand="0" w:oddHBand="0" w:evenHBand="0" w:firstRowFirstColumn="0" w:firstRowLastColumn="0" w:lastRowFirstColumn="0" w:lastRowLastColumn="0"/>
            <w:tcW w:w="683" w:type="pct"/>
          </w:tcPr>
          <w:p w14:paraId="4ECF6E6B" w14:textId="1F431EAC" w:rsidR="008033F5" w:rsidRPr="0067507D" w:rsidRDefault="008033F5" w:rsidP="008033F5">
            <w:pPr>
              <w:pStyle w:val="Tabletextright"/>
            </w:pPr>
            <w:r w:rsidRPr="0067507D">
              <w:t xml:space="preserve">168 549 </w:t>
            </w:r>
          </w:p>
        </w:tc>
        <w:tc>
          <w:tcPr>
            <w:cnfStyle w:val="000001000000" w:firstRow="0" w:lastRow="0" w:firstColumn="0" w:lastColumn="0" w:oddVBand="0" w:evenVBand="1" w:oddHBand="0" w:evenHBand="0" w:firstRowFirstColumn="0" w:firstRowLastColumn="0" w:lastRowFirstColumn="0" w:lastRowLastColumn="0"/>
            <w:tcW w:w="683" w:type="pct"/>
            <w:noWrap/>
          </w:tcPr>
          <w:p w14:paraId="2DF8DD6E" w14:textId="6CFC7F81" w:rsidR="008033F5" w:rsidRPr="0067507D" w:rsidRDefault="008033F5" w:rsidP="008033F5">
            <w:pPr>
              <w:pStyle w:val="Tabletextright"/>
            </w:pPr>
            <w:r w:rsidRPr="0067507D">
              <w:t xml:space="preserve">164 649 </w:t>
            </w:r>
          </w:p>
        </w:tc>
        <w:tc>
          <w:tcPr>
            <w:cnfStyle w:val="000010000000" w:firstRow="0" w:lastRow="0" w:firstColumn="0" w:lastColumn="0" w:oddVBand="1" w:evenVBand="0" w:oddHBand="0" w:evenHBand="0" w:firstRowFirstColumn="0" w:firstRowLastColumn="0" w:lastRowFirstColumn="0" w:lastRowLastColumn="0"/>
            <w:tcW w:w="682" w:type="pct"/>
            <w:noWrap/>
          </w:tcPr>
          <w:p w14:paraId="04C97E1E" w14:textId="2DB45B98" w:rsidR="008033F5" w:rsidRPr="0067507D" w:rsidRDefault="008033F5" w:rsidP="008033F5">
            <w:pPr>
              <w:pStyle w:val="Tabletextright"/>
            </w:pPr>
            <w:r w:rsidRPr="0067507D">
              <w:t xml:space="preserve">(3 900) </w:t>
            </w:r>
          </w:p>
        </w:tc>
      </w:tr>
      <w:tr w:rsidR="008033F5" w:rsidRPr="0067507D" w14:paraId="6C69BFB6"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01A4A7B6" w14:textId="2E5810A4" w:rsidR="008033F5" w:rsidRPr="0067507D" w:rsidRDefault="008033F5" w:rsidP="008033F5">
            <w:pPr>
              <w:pStyle w:val="Tabletext"/>
            </w:pPr>
            <w:r w:rsidRPr="0067507D">
              <w:t>Other</w:t>
            </w:r>
          </w:p>
        </w:tc>
        <w:tc>
          <w:tcPr>
            <w:cnfStyle w:val="000010000000" w:firstRow="0" w:lastRow="0" w:firstColumn="0" w:lastColumn="0" w:oddVBand="1" w:evenVBand="0" w:oddHBand="0" w:evenHBand="0" w:firstRowFirstColumn="0" w:firstRowLastColumn="0" w:lastRowFirstColumn="0" w:lastRowLastColumn="0"/>
            <w:tcW w:w="683" w:type="pct"/>
          </w:tcPr>
          <w:p w14:paraId="2B7F147C" w14:textId="038338ED" w:rsidR="008033F5" w:rsidRPr="0067507D" w:rsidRDefault="008033F5" w:rsidP="008033F5">
            <w:pPr>
              <w:pStyle w:val="Tabletextright"/>
            </w:pPr>
            <w:r w:rsidRPr="0067507D">
              <w:t xml:space="preserve">18 125 </w:t>
            </w:r>
          </w:p>
        </w:tc>
        <w:tc>
          <w:tcPr>
            <w:cnfStyle w:val="000001000000" w:firstRow="0" w:lastRow="0" w:firstColumn="0" w:lastColumn="0" w:oddVBand="0" w:evenVBand="1" w:oddHBand="0" w:evenHBand="0" w:firstRowFirstColumn="0" w:firstRowLastColumn="0" w:lastRowFirstColumn="0" w:lastRowLastColumn="0"/>
            <w:tcW w:w="683" w:type="pct"/>
            <w:noWrap/>
          </w:tcPr>
          <w:p w14:paraId="24C29336" w14:textId="5C2B8B4D" w:rsidR="008033F5" w:rsidRPr="0067507D" w:rsidRDefault="008033F5" w:rsidP="008033F5">
            <w:pPr>
              <w:pStyle w:val="Tabletextright"/>
            </w:pPr>
            <w:r w:rsidRPr="0067507D">
              <w:t xml:space="preserve">18 284 </w:t>
            </w:r>
          </w:p>
        </w:tc>
        <w:tc>
          <w:tcPr>
            <w:cnfStyle w:val="000010000000" w:firstRow="0" w:lastRow="0" w:firstColumn="0" w:lastColumn="0" w:oddVBand="1" w:evenVBand="0" w:oddHBand="0" w:evenHBand="0" w:firstRowFirstColumn="0" w:firstRowLastColumn="0" w:lastRowFirstColumn="0" w:lastRowLastColumn="0"/>
            <w:tcW w:w="682" w:type="pct"/>
            <w:noWrap/>
          </w:tcPr>
          <w:p w14:paraId="3BC41516" w14:textId="0D8BF373" w:rsidR="008033F5" w:rsidRPr="0067507D" w:rsidRDefault="008033F5" w:rsidP="008033F5">
            <w:pPr>
              <w:pStyle w:val="Tabletextright"/>
            </w:pPr>
            <w:r w:rsidRPr="0067507D">
              <w:t xml:space="preserve"> 159 </w:t>
            </w:r>
          </w:p>
        </w:tc>
      </w:tr>
      <w:tr w:rsidR="008033F5" w:rsidRPr="0067507D" w14:paraId="486CF049"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2FEC9757" w14:textId="295D05EA" w:rsidR="008033F5" w:rsidRPr="0067507D" w:rsidRDefault="008033F5" w:rsidP="00035716">
            <w:pPr>
              <w:pStyle w:val="Tabletextbold"/>
            </w:pPr>
            <w:r w:rsidRPr="0067507D">
              <w:t>Total administered liabilities</w:t>
            </w:r>
          </w:p>
        </w:tc>
        <w:tc>
          <w:tcPr>
            <w:cnfStyle w:val="000010000000" w:firstRow="0" w:lastRow="0" w:firstColumn="0" w:lastColumn="0" w:oddVBand="1" w:evenVBand="0" w:oddHBand="0" w:evenHBand="0" w:firstRowFirstColumn="0" w:firstRowLastColumn="0" w:lastRowFirstColumn="0" w:lastRowLastColumn="0"/>
            <w:tcW w:w="683" w:type="pct"/>
          </w:tcPr>
          <w:p w14:paraId="2E109C7D" w14:textId="70B8B6AD" w:rsidR="008033F5" w:rsidRPr="0067507D" w:rsidRDefault="008033F5" w:rsidP="008033F5">
            <w:pPr>
              <w:pStyle w:val="Tabletextrightbold"/>
              <w:rPr>
                <w:rFonts w:asciiTheme="minorHAnsi" w:hAnsiTheme="minorHAnsi"/>
              </w:rPr>
            </w:pPr>
            <w:r w:rsidRPr="0067507D">
              <w:t xml:space="preserve">187 260 </w:t>
            </w:r>
          </w:p>
        </w:tc>
        <w:tc>
          <w:tcPr>
            <w:cnfStyle w:val="000001000000" w:firstRow="0" w:lastRow="0" w:firstColumn="0" w:lastColumn="0" w:oddVBand="0" w:evenVBand="1" w:oddHBand="0" w:evenHBand="0" w:firstRowFirstColumn="0" w:firstRowLastColumn="0" w:lastRowFirstColumn="0" w:lastRowLastColumn="0"/>
            <w:tcW w:w="683" w:type="pct"/>
            <w:noWrap/>
          </w:tcPr>
          <w:p w14:paraId="22769F93" w14:textId="7944EE6D" w:rsidR="008033F5" w:rsidRPr="0067507D" w:rsidRDefault="008033F5" w:rsidP="008033F5">
            <w:pPr>
              <w:pStyle w:val="Tabletextrightbold"/>
              <w:rPr>
                <w:rFonts w:asciiTheme="minorHAnsi" w:hAnsiTheme="minorHAnsi"/>
              </w:rPr>
            </w:pPr>
            <w:r w:rsidRPr="0067507D">
              <w:t xml:space="preserve">183 471 </w:t>
            </w:r>
          </w:p>
        </w:tc>
        <w:tc>
          <w:tcPr>
            <w:cnfStyle w:val="000010000000" w:firstRow="0" w:lastRow="0" w:firstColumn="0" w:lastColumn="0" w:oddVBand="1" w:evenVBand="0" w:oddHBand="0" w:evenHBand="0" w:firstRowFirstColumn="0" w:firstRowLastColumn="0" w:lastRowFirstColumn="0" w:lastRowLastColumn="0"/>
            <w:tcW w:w="682" w:type="pct"/>
            <w:noWrap/>
          </w:tcPr>
          <w:p w14:paraId="6765D36D" w14:textId="647BB4DF" w:rsidR="008033F5" w:rsidRPr="0067507D" w:rsidRDefault="008033F5" w:rsidP="008033F5">
            <w:pPr>
              <w:pStyle w:val="Tabletextrightbold"/>
              <w:rPr>
                <w:rFonts w:asciiTheme="minorHAnsi" w:hAnsiTheme="minorHAnsi"/>
              </w:rPr>
            </w:pPr>
            <w:r w:rsidRPr="0067507D">
              <w:t xml:space="preserve">(3 789) </w:t>
            </w:r>
          </w:p>
        </w:tc>
      </w:tr>
      <w:tr w:rsidR="008033F5" w:rsidRPr="0067507D" w14:paraId="1988E56B" w14:textId="77777777">
        <w:tc>
          <w:tcPr>
            <w:cnfStyle w:val="001000000000" w:firstRow="0" w:lastRow="0" w:firstColumn="1" w:lastColumn="0" w:oddVBand="0" w:evenVBand="0" w:oddHBand="0" w:evenHBand="0" w:firstRowFirstColumn="0" w:firstRowLastColumn="0" w:lastRowFirstColumn="0" w:lastRowLastColumn="0"/>
            <w:tcW w:w="2952" w:type="pct"/>
            <w:noWrap/>
          </w:tcPr>
          <w:p w14:paraId="164B0BBF" w14:textId="5F493728" w:rsidR="008033F5" w:rsidRPr="0067507D" w:rsidRDefault="008033F5" w:rsidP="00035716">
            <w:pPr>
              <w:pStyle w:val="Tabletextbold"/>
            </w:pPr>
            <w:r w:rsidRPr="0067507D">
              <w:t>Net assets</w:t>
            </w:r>
          </w:p>
        </w:tc>
        <w:tc>
          <w:tcPr>
            <w:cnfStyle w:val="000010000000" w:firstRow="0" w:lastRow="0" w:firstColumn="0" w:lastColumn="0" w:oddVBand="1" w:evenVBand="0" w:oddHBand="0" w:evenHBand="0" w:firstRowFirstColumn="0" w:firstRowLastColumn="0" w:lastRowFirstColumn="0" w:lastRowLastColumn="0"/>
            <w:tcW w:w="683" w:type="pct"/>
          </w:tcPr>
          <w:p w14:paraId="01A32581" w14:textId="16D5EA73" w:rsidR="008033F5" w:rsidRPr="0067507D" w:rsidRDefault="008033F5" w:rsidP="008033F5">
            <w:pPr>
              <w:pStyle w:val="Tabletextrightbold"/>
            </w:pPr>
            <w:r w:rsidRPr="0067507D">
              <w:t xml:space="preserve">(161 719) </w:t>
            </w:r>
          </w:p>
        </w:tc>
        <w:tc>
          <w:tcPr>
            <w:cnfStyle w:val="000001000000" w:firstRow="0" w:lastRow="0" w:firstColumn="0" w:lastColumn="0" w:oddVBand="0" w:evenVBand="1" w:oddHBand="0" w:evenHBand="0" w:firstRowFirstColumn="0" w:firstRowLastColumn="0" w:lastRowFirstColumn="0" w:lastRowLastColumn="0"/>
            <w:tcW w:w="683" w:type="pct"/>
            <w:noWrap/>
          </w:tcPr>
          <w:p w14:paraId="580E4F17" w14:textId="27900D5A" w:rsidR="008033F5" w:rsidRPr="0067507D" w:rsidRDefault="008033F5" w:rsidP="008033F5">
            <w:pPr>
              <w:pStyle w:val="Tabletextrightbold"/>
            </w:pPr>
            <w:r w:rsidRPr="0067507D">
              <w:t xml:space="preserve">(157 776) </w:t>
            </w:r>
          </w:p>
        </w:tc>
        <w:tc>
          <w:tcPr>
            <w:cnfStyle w:val="000010000000" w:firstRow="0" w:lastRow="0" w:firstColumn="0" w:lastColumn="0" w:oddVBand="1" w:evenVBand="0" w:oddHBand="0" w:evenHBand="0" w:firstRowFirstColumn="0" w:firstRowLastColumn="0" w:lastRowFirstColumn="0" w:lastRowLastColumn="0"/>
            <w:tcW w:w="682" w:type="pct"/>
            <w:noWrap/>
          </w:tcPr>
          <w:p w14:paraId="0038AE71" w14:textId="5C5D0BC9" w:rsidR="008033F5" w:rsidRPr="0067507D" w:rsidRDefault="008033F5" w:rsidP="008033F5">
            <w:pPr>
              <w:pStyle w:val="Tabletextrightbold"/>
            </w:pPr>
            <w:r w:rsidRPr="0067507D">
              <w:t xml:space="preserve">3 943 </w:t>
            </w:r>
          </w:p>
        </w:tc>
      </w:tr>
    </w:tbl>
    <w:p w14:paraId="75FE5D0C" w14:textId="77777777" w:rsidR="00A24428" w:rsidRPr="0067507D" w:rsidRDefault="00A24428" w:rsidP="00A24428">
      <w:pPr>
        <w:pStyle w:val="Notes"/>
      </w:pPr>
      <w:r w:rsidRPr="0067507D">
        <w:t>Notes:</w:t>
      </w:r>
    </w:p>
    <w:p w14:paraId="4F35407D" w14:textId="5D5FFAC9" w:rsidR="002273A3" w:rsidRPr="0067507D" w:rsidRDefault="002273A3" w:rsidP="002273A3">
      <w:pPr>
        <w:pStyle w:val="Notes"/>
      </w:pPr>
      <w:r w:rsidRPr="0067507D">
        <w:t>(a) The 2024</w:t>
      </w:r>
      <w:r w:rsidR="006A5485">
        <w:noBreakHyphen/>
      </w:r>
      <w:r w:rsidRPr="0067507D">
        <w:t>25 budget figures have been restated to reflect the 2023</w:t>
      </w:r>
      <w:r w:rsidR="006A5485">
        <w:noBreakHyphen/>
      </w:r>
      <w:r w:rsidRPr="0067507D">
        <w:t>24 actual closing balances.</w:t>
      </w:r>
    </w:p>
    <w:p w14:paraId="23199F1E" w14:textId="7AAC0543" w:rsidR="00A10901" w:rsidRPr="0067507D" w:rsidRDefault="00A10901" w:rsidP="00A10901">
      <w:pPr>
        <w:pStyle w:val="Notes"/>
      </w:pPr>
      <w:r w:rsidRPr="0067507D">
        <w:t>(</w:t>
      </w:r>
      <w:r w:rsidR="001B7180" w:rsidRPr="0067507D">
        <w:t>b</w:t>
      </w:r>
      <w:r w:rsidRPr="0067507D">
        <w:t>) The budget for the Department includes the estimates for Treasurer's Advances which may be provided during the year to all departments. This includes both the appropriation revenue and the underlying expenditure.</w:t>
      </w:r>
    </w:p>
    <w:p w14:paraId="28FA18D1" w14:textId="0F13AE3D" w:rsidR="00A10901" w:rsidRPr="0067507D" w:rsidRDefault="00A10901" w:rsidP="00A10901">
      <w:pPr>
        <w:pStyle w:val="Notes"/>
      </w:pPr>
      <w:r w:rsidRPr="0067507D">
        <w:t>(</w:t>
      </w:r>
      <w:r w:rsidR="001B7180" w:rsidRPr="0067507D">
        <w:t>c</w:t>
      </w:r>
      <w:r w:rsidRPr="0067507D">
        <w:t>) The lower actual result reflects a lower than budgeted debt retirement during 2024</w:t>
      </w:r>
      <w:r w:rsidR="006A5485">
        <w:noBreakHyphen/>
      </w:r>
      <w:r w:rsidRPr="0067507D">
        <w:t xml:space="preserve">25 (under </w:t>
      </w:r>
      <w:r w:rsidRPr="0067507D">
        <w:rPr>
          <w:i/>
          <w:iCs/>
        </w:rPr>
        <w:t>Treasury Corporation of Victoria Act No. 80 of 1992</w:t>
      </w:r>
      <w:r w:rsidRPr="0067507D">
        <w:t>, Section 38 – Debt Retirement).</w:t>
      </w:r>
    </w:p>
    <w:p w14:paraId="1D96D861" w14:textId="0C97ED55" w:rsidR="00A10901" w:rsidRPr="0067507D" w:rsidRDefault="00A10901" w:rsidP="00A10901">
      <w:pPr>
        <w:pStyle w:val="Notes"/>
      </w:pPr>
      <w:r w:rsidRPr="0067507D">
        <w:t>(</w:t>
      </w:r>
      <w:r w:rsidR="001B7180" w:rsidRPr="0067507D">
        <w:t>d</w:t>
      </w:r>
      <w:r w:rsidRPr="0067507D">
        <w:t>) Higher actuals primarily reflect higher than expected grants from the Commonwealth government, such as Energy Bill Relief payments, GST grants and grants to the education sector.</w:t>
      </w:r>
    </w:p>
    <w:p w14:paraId="3EF7BB88" w14:textId="036A077B" w:rsidR="00A10901" w:rsidRPr="0067507D" w:rsidRDefault="00A10901" w:rsidP="00A10901">
      <w:pPr>
        <w:pStyle w:val="Notes"/>
      </w:pPr>
      <w:r w:rsidRPr="0067507D">
        <w:t>(</w:t>
      </w:r>
      <w:r w:rsidR="001B7180" w:rsidRPr="0067507D">
        <w:t>e</w:t>
      </w:r>
      <w:r w:rsidRPr="0067507D">
        <w:t xml:space="preserve">) Higher actuals primarily reflect income tax equivalent receipts and dividends from the Transport Accident Commission due to higher returns compared to budget. There </w:t>
      </w:r>
      <w:r w:rsidR="00E46ED8" w:rsidRPr="0067507D">
        <w:t>we</w:t>
      </w:r>
      <w:r w:rsidR="00B06480" w:rsidRPr="0067507D">
        <w:t>re</w:t>
      </w:r>
      <w:r w:rsidR="00E46ED8" w:rsidRPr="0067507D">
        <w:t xml:space="preserve"> </w:t>
      </w:r>
      <w:r w:rsidRPr="0067507D">
        <w:t>also higher than expected unclaimed monies received by the State Revenue Office.</w:t>
      </w:r>
    </w:p>
    <w:p w14:paraId="40E23662" w14:textId="679BA9E0" w:rsidR="00A10901" w:rsidRPr="0067507D" w:rsidRDefault="00A10901" w:rsidP="00A10901">
      <w:pPr>
        <w:pStyle w:val="Notes"/>
      </w:pPr>
      <w:r w:rsidRPr="0067507D">
        <w:t>(</w:t>
      </w:r>
      <w:r w:rsidR="001B7180" w:rsidRPr="0067507D">
        <w:t>f</w:t>
      </w:r>
      <w:r w:rsidRPr="0067507D">
        <w:t>) The 2024</w:t>
      </w:r>
      <w:r w:rsidR="006A5485">
        <w:noBreakHyphen/>
      </w:r>
      <w:r w:rsidRPr="0067507D">
        <w:t>25 budget figure has been restated to reflect the year</w:t>
      </w:r>
      <w:r w:rsidR="006A5485">
        <w:noBreakHyphen/>
      </w:r>
      <w:r w:rsidRPr="0067507D">
        <w:t>on</w:t>
      </w:r>
      <w:r w:rsidR="006A5485">
        <w:noBreakHyphen/>
      </w:r>
      <w:r w:rsidRPr="0067507D">
        <w:t>year increase in borrowings paid into the Consolidated Fund</w:t>
      </w:r>
      <w:r w:rsidR="00B06480" w:rsidRPr="0067507D">
        <w:t>,</w:t>
      </w:r>
      <w:r w:rsidRPr="0067507D">
        <w:t xml:space="preserve"> consistent with the treatment in the Department of Treasury and Finance </w:t>
      </w:r>
      <w:r w:rsidRPr="0067507D">
        <w:rPr>
          <w:i/>
          <w:iCs/>
        </w:rPr>
        <w:t>2023</w:t>
      </w:r>
      <w:r w:rsidR="006A5485">
        <w:rPr>
          <w:i/>
          <w:iCs/>
        </w:rPr>
        <w:noBreakHyphen/>
      </w:r>
      <w:r w:rsidRPr="0067507D">
        <w:rPr>
          <w:i/>
          <w:iCs/>
        </w:rPr>
        <w:t>24 Annual Report</w:t>
      </w:r>
      <w:r w:rsidRPr="0067507D">
        <w:t>. Lower actual primarily reflects lower levels of borrowing when compared with the published budget.</w:t>
      </w:r>
    </w:p>
    <w:p w14:paraId="414D2F9C" w14:textId="62C74CB0" w:rsidR="00A10901" w:rsidRPr="0067507D" w:rsidRDefault="00A10901" w:rsidP="00A10901">
      <w:pPr>
        <w:pStyle w:val="Notes"/>
      </w:pPr>
      <w:r w:rsidRPr="0067507D">
        <w:t>(</w:t>
      </w:r>
      <w:r w:rsidR="001B7180" w:rsidRPr="0067507D">
        <w:t>g</w:t>
      </w:r>
      <w:r w:rsidRPr="0067507D">
        <w:t>) Higher actuals primarily reflect holding gains on financial assets held by the Victorian Future Fund and the Social Housing Growth Fund.</w:t>
      </w:r>
    </w:p>
    <w:p w14:paraId="27D107AE" w14:textId="12A5453E" w:rsidR="00A10901" w:rsidRPr="0067507D" w:rsidRDefault="00A10901" w:rsidP="00A10901">
      <w:pPr>
        <w:pStyle w:val="Notes"/>
      </w:pPr>
      <w:r w:rsidRPr="0067507D">
        <w:t xml:space="preserve">(h) Higher actuals primarily reflect higher than expected balances in the public account. The actuals also include the recognition of cash balances previously included in whole of government budgets and are therefore not reflected in the Department of Treasury and Finance's </w:t>
      </w:r>
      <w:r w:rsidR="00041508" w:rsidRPr="0067507D">
        <w:t>budget portfolio outcomes</w:t>
      </w:r>
      <w:r w:rsidRPr="0067507D">
        <w:t>.</w:t>
      </w:r>
    </w:p>
    <w:p w14:paraId="19206EE9" w14:textId="3724831A" w:rsidR="00A10901" w:rsidRPr="0067507D" w:rsidRDefault="00A10901" w:rsidP="00072775">
      <w:pPr>
        <w:pStyle w:val="Notes"/>
      </w:pPr>
      <w:r w:rsidRPr="0067507D">
        <w:t>(i) Higher actuals primarily reflect better than expected returns from the Victorian Future Fund's managed investments held with the Victorian Funds Management Corporation.</w:t>
      </w:r>
    </w:p>
    <w:p w14:paraId="3C84F835" w14:textId="0160CCDD" w:rsidR="00FD5D78" w:rsidRPr="0067507D" w:rsidRDefault="00A10901" w:rsidP="00FD5D78">
      <w:pPr>
        <w:pStyle w:val="Notes"/>
      </w:pPr>
      <w:r w:rsidRPr="0067507D">
        <w:t>(j) Lower than expected actual borrowings compared with the 2024</w:t>
      </w:r>
      <w:r w:rsidR="006A5485">
        <w:noBreakHyphen/>
      </w:r>
      <w:r w:rsidRPr="0067507D">
        <w:t xml:space="preserve">25 published budget </w:t>
      </w:r>
      <w:r w:rsidR="00B06480" w:rsidRPr="0067507D">
        <w:t xml:space="preserve">are </w:t>
      </w:r>
      <w:r w:rsidRPr="0067507D">
        <w:t>primarily due to the actual operating cash flow surplus being higher and the net purchase of non</w:t>
      </w:r>
      <w:r w:rsidR="006A5485">
        <w:noBreakHyphen/>
      </w:r>
      <w:r w:rsidRPr="0067507D">
        <w:t>financial assets being lower for the general government sector.</w:t>
      </w:r>
      <w:bookmarkStart w:id="36" w:name="BudgetPortfolioOutcomes_end"/>
    </w:p>
    <w:bookmarkEnd w:id="36"/>
    <w:p w14:paraId="3301B0EF" w14:textId="77777777" w:rsidR="006E38D3" w:rsidRPr="0067507D" w:rsidRDefault="006E38D3" w:rsidP="006E38D3">
      <w:pPr>
        <w:pStyle w:val="Notes"/>
        <w:ind w:right="1505"/>
      </w:pPr>
    </w:p>
    <w:p w14:paraId="034D2854" w14:textId="77777777" w:rsidR="00E94EAB" w:rsidRPr="00866B9C" w:rsidRDefault="00E94EAB">
      <w:pPr>
        <w:keepLines w:val="0"/>
        <w:spacing w:before="0" w:after="0"/>
        <w:rPr>
          <w:rFonts w:cstheme="minorHAnsi"/>
          <w:color w:val="404040"/>
          <w:sz w:val="24"/>
          <w:szCs w:val="28"/>
        </w:rPr>
      </w:pPr>
      <w:bookmarkStart w:id="37" w:name="_Hlk83026523"/>
      <w:bookmarkStart w:id="38" w:name="_Hlk15653905"/>
      <w:r w:rsidRPr="0067507D">
        <w:br w:type="page"/>
      </w:r>
    </w:p>
    <w:p w14:paraId="71D1B5D3" w14:textId="3E6D5470" w:rsidR="00E94EAB" w:rsidRPr="0067507D" w:rsidRDefault="00E94EAB" w:rsidP="00E94EAB">
      <w:pPr>
        <w:pStyle w:val="Heading2"/>
      </w:pPr>
      <w:r w:rsidRPr="0067507D">
        <w:lastRenderedPageBreak/>
        <w:t>Financial performance</w:t>
      </w:r>
    </w:p>
    <w:p w14:paraId="15395D16" w14:textId="77777777" w:rsidR="00E94EAB" w:rsidRPr="0067507D" w:rsidRDefault="00E94EAB" w:rsidP="00E94EAB">
      <w:pPr>
        <w:pStyle w:val="Heading3"/>
      </w:pPr>
      <w:bookmarkStart w:id="39" w:name="_Ref492626953"/>
      <w:bookmarkEnd w:id="37"/>
      <w:r w:rsidRPr="0067507D">
        <w:t>Overview</w:t>
      </w:r>
      <w:bookmarkEnd w:id="39"/>
    </w:p>
    <w:p w14:paraId="54B4CB2A" w14:textId="77777777" w:rsidR="00E94EAB" w:rsidRPr="0067507D" w:rsidRDefault="00E94EAB" w:rsidP="00E94EAB">
      <w:pPr>
        <w:sectPr w:rsidR="00E94EAB" w:rsidRPr="0067507D" w:rsidSect="00C43C0F">
          <w:footerReference w:type="even" r:id="rId53"/>
          <w:footerReference w:type="default" r:id="rId54"/>
          <w:pgSz w:w="11909" w:h="16834" w:code="9"/>
          <w:pgMar w:top="1728" w:right="1152" w:bottom="1152" w:left="1152" w:header="720" w:footer="288" w:gutter="0"/>
          <w:cols w:space="720"/>
          <w:noEndnote/>
        </w:sectPr>
      </w:pPr>
    </w:p>
    <w:p w14:paraId="1C100643" w14:textId="76595FA0" w:rsidR="00944F5C" w:rsidRPr="0067507D" w:rsidRDefault="00944F5C" w:rsidP="00944F5C">
      <w:r w:rsidRPr="0067507D">
        <w:t>The Department recorded a surplus on its net result from transactions of $6.4 million in 2024</w:t>
      </w:r>
      <w:r w:rsidR="006A5485">
        <w:noBreakHyphen/>
      </w:r>
      <w:r w:rsidRPr="0067507D">
        <w:t>25 compared to $0.2 million in 2023</w:t>
      </w:r>
      <w:r w:rsidR="006A5485">
        <w:noBreakHyphen/>
      </w:r>
      <w:r w:rsidRPr="0067507D">
        <w:t>24.</w:t>
      </w:r>
    </w:p>
    <w:p w14:paraId="2DCCEA3E" w14:textId="3D404EBB" w:rsidR="00944F5C" w:rsidRPr="0067507D" w:rsidRDefault="00944F5C" w:rsidP="00944F5C">
      <w:r w:rsidRPr="0067507D">
        <w:t>The 2024</w:t>
      </w:r>
      <w:r w:rsidR="006A5485">
        <w:noBreakHyphen/>
      </w:r>
      <w:r w:rsidRPr="0067507D">
        <w:t>25 surplus resulted from lower than expected expenditure by the State Revenue Office. The 2023</w:t>
      </w:r>
      <w:r w:rsidR="006A5485">
        <w:noBreakHyphen/>
      </w:r>
      <w:r w:rsidRPr="0067507D">
        <w:t xml:space="preserve">24 surplus reflected effectively a balanced budget. </w:t>
      </w:r>
    </w:p>
    <w:p w14:paraId="29432551" w14:textId="4F7F9B49" w:rsidR="00944F5C" w:rsidRPr="0067507D" w:rsidRDefault="00944F5C" w:rsidP="00944F5C">
      <w:r w:rsidRPr="0067507D">
        <w:t>Total assets of the Department w</w:t>
      </w:r>
      <w:r w:rsidR="00CD43C8" w:rsidRPr="0067507D">
        <w:t>ere</w:t>
      </w:r>
      <w:r w:rsidRPr="0067507D">
        <w:t xml:space="preserve"> $224 million in 2024</w:t>
      </w:r>
      <w:r w:rsidR="006A5485">
        <w:noBreakHyphen/>
      </w:r>
      <w:r w:rsidRPr="0067507D">
        <w:t xml:space="preserve">25, which </w:t>
      </w:r>
      <w:r w:rsidR="009E7A22" w:rsidRPr="0067507D">
        <w:t xml:space="preserve">consisted </w:t>
      </w:r>
      <w:r w:rsidRPr="0067507D">
        <w:t xml:space="preserve">primarily of receivables from Government and intangible assets </w:t>
      </w:r>
      <w:r w:rsidR="009E7A22" w:rsidRPr="0067507D">
        <w:t xml:space="preserve">in </w:t>
      </w:r>
      <w:r w:rsidRPr="0067507D">
        <w:t xml:space="preserve">the State Revenue Office. Total liabilities </w:t>
      </w:r>
      <w:r w:rsidR="009E7A22" w:rsidRPr="0067507D">
        <w:t xml:space="preserve">were </w:t>
      </w:r>
      <w:r w:rsidRPr="0067507D">
        <w:t>$142 million in 2024</w:t>
      </w:r>
      <w:r w:rsidR="006A5485">
        <w:noBreakHyphen/>
      </w:r>
      <w:r w:rsidRPr="0067507D">
        <w:t xml:space="preserve">25, which </w:t>
      </w:r>
      <w:r w:rsidR="009E7A22" w:rsidRPr="0067507D">
        <w:t xml:space="preserve">consisted </w:t>
      </w:r>
      <w:r w:rsidRPr="0067507D">
        <w:t xml:space="preserve">primarily of amounts owing at the end of the financial year for operating expenses, and employee benefits provisions. </w:t>
      </w:r>
    </w:p>
    <w:p w14:paraId="0FFB5145" w14:textId="77777777" w:rsidR="00A94F19" w:rsidRPr="0067507D" w:rsidRDefault="00A94F19" w:rsidP="00944F5C">
      <w:pPr>
        <w:pStyle w:val="Heading3"/>
      </w:pPr>
      <w:r w:rsidRPr="0067507D">
        <w:t>Core operations</w:t>
      </w:r>
    </w:p>
    <w:p w14:paraId="37698A6D" w14:textId="1FDA8BA9" w:rsidR="00944F5C" w:rsidRPr="0067507D" w:rsidRDefault="00944F5C" w:rsidP="00944F5C">
      <w:pPr>
        <w:rPr>
          <w:strike/>
        </w:rPr>
      </w:pPr>
      <w:r w:rsidRPr="0067507D">
        <w:t>Total revenue paid by Government for DTF outputs increased to $455 million in 2024</w:t>
      </w:r>
      <w:r w:rsidR="006A5485">
        <w:noBreakHyphen/>
      </w:r>
      <w:r w:rsidRPr="0067507D">
        <w:t>25, from $388 million in 2023</w:t>
      </w:r>
      <w:r w:rsidR="006A5485">
        <w:noBreakHyphen/>
      </w:r>
      <w:r w:rsidRPr="0067507D">
        <w:t xml:space="preserve">24. The increase was mainly due to new funding announced in the </w:t>
      </w:r>
      <w:r w:rsidRPr="0067507D">
        <w:rPr>
          <w:i/>
          <w:iCs/>
        </w:rPr>
        <w:t>2024</w:t>
      </w:r>
      <w:r w:rsidR="006A5485">
        <w:rPr>
          <w:i/>
          <w:iCs/>
        </w:rPr>
        <w:noBreakHyphen/>
      </w:r>
      <w:r w:rsidRPr="0067507D">
        <w:rPr>
          <w:i/>
          <w:iCs/>
        </w:rPr>
        <w:t>25 Budget</w:t>
      </w:r>
      <w:r w:rsidRPr="0067507D">
        <w:t xml:space="preserve"> such as </w:t>
      </w:r>
      <w:r w:rsidR="008B475B" w:rsidRPr="0067507D">
        <w:t xml:space="preserve">the </w:t>
      </w:r>
      <w:r w:rsidRPr="0067507D">
        <w:t>State Revenue Office</w:t>
      </w:r>
      <w:r w:rsidR="008B475B" w:rsidRPr="0067507D">
        <w:t>’s</w:t>
      </w:r>
      <w:r w:rsidRPr="0067507D">
        <w:t xml:space="preserve"> expanded compliance program, the full year impact of the transfer of Industrial Relations Victoria and Wage Inspectorate Victoria from the Department of Premier and Cabinet to the department as part of the machinery of government change on 1</w:t>
      </w:r>
      <w:r w:rsidR="00007BD8" w:rsidRPr="0067507D">
        <w:rPr>
          <w:rFonts w:ascii="Calibri" w:hAnsi="Calibri" w:cs="Calibri"/>
        </w:rPr>
        <w:t> </w:t>
      </w:r>
      <w:r w:rsidRPr="0067507D">
        <w:t xml:space="preserve">February 2024, and the impact of 2024 VPS Enterprise Bargaining Agreement outcomes. </w:t>
      </w:r>
    </w:p>
    <w:p w14:paraId="699F21AC" w14:textId="323D2A5E" w:rsidR="00E94EAB" w:rsidRPr="0067507D" w:rsidRDefault="00E94EAB" w:rsidP="00E94EAB">
      <w:r w:rsidRPr="0067507D">
        <w:rPr>
          <w:rFonts w:cstheme="minorHAnsi"/>
        </w:rPr>
        <w:t>The following table details operational revenue by output group.</w:t>
      </w:r>
    </w:p>
    <w:p w14:paraId="18DBB84D" w14:textId="77777777" w:rsidR="00E94EAB" w:rsidRPr="0067507D" w:rsidRDefault="00E94EAB" w:rsidP="00E94EAB">
      <w:pPr>
        <w:pStyle w:val="Tableheading"/>
        <w:rPr>
          <w:vertAlign w:val="superscript"/>
        </w:rPr>
      </w:pPr>
      <w:r w:rsidRPr="0067507D">
        <w:t>Revenue from the provision of outputs</w:t>
      </w:r>
      <w:r w:rsidRPr="0067507D">
        <w:rPr>
          <w:vertAlign w:val="superscript"/>
        </w:rPr>
        <w:t>(a)</w:t>
      </w:r>
    </w:p>
    <w:tbl>
      <w:tblPr>
        <w:tblStyle w:val="AnnualReportfinancialtable"/>
        <w:tblW w:w="4608" w:type="dxa"/>
        <w:tblLook w:val="01E0" w:firstRow="1" w:lastRow="1" w:firstColumn="1" w:lastColumn="1" w:noHBand="0" w:noVBand="0"/>
      </w:tblPr>
      <w:tblGrid>
        <w:gridCol w:w="2070"/>
        <w:gridCol w:w="846"/>
        <w:gridCol w:w="846"/>
        <w:gridCol w:w="846"/>
      </w:tblGrid>
      <w:tr w:rsidR="00B01224" w:rsidRPr="0067507D" w14:paraId="796DA529" w14:textId="77777777" w:rsidTr="004D70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vAlign w:val="bottom"/>
          </w:tcPr>
          <w:p w14:paraId="403A1C44" w14:textId="77777777" w:rsidR="00F12C5D" w:rsidRPr="0067507D" w:rsidRDefault="00F12C5D" w:rsidP="00F12C5D">
            <w:pPr>
              <w:pStyle w:val="Tabletextheadingleft"/>
            </w:pPr>
            <w:r w:rsidRPr="0067507D">
              <w:t xml:space="preserve">Output group </w:t>
            </w:r>
          </w:p>
        </w:tc>
        <w:tc>
          <w:tcPr>
            <w:cnfStyle w:val="000010000000" w:firstRow="0" w:lastRow="0" w:firstColumn="0" w:lastColumn="0" w:oddVBand="1" w:evenVBand="0" w:oddHBand="0" w:evenHBand="0" w:firstRowFirstColumn="0" w:firstRowLastColumn="0" w:lastRowFirstColumn="0" w:lastRowLastColumn="0"/>
            <w:tcW w:w="846" w:type="dxa"/>
          </w:tcPr>
          <w:p w14:paraId="105B42AF" w14:textId="2D9707FF" w:rsidR="00F12C5D" w:rsidRPr="0067507D" w:rsidRDefault="00C30F42" w:rsidP="00F12C5D">
            <w:pPr>
              <w:pStyle w:val="Tabletextheadingright"/>
            </w:pPr>
            <w:r w:rsidRPr="0067507D">
              <w:t>2024</w:t>
            </w:r>
            <w:r w:rsidR="006A5485">
              <w:noBreakHyphen/>
            </w:r>
            <w:r w:rsidRPr="0067507D">
              <w:t>25</w:t>
            </w:r>
            <w:r w:rsidR="00F12C5D" w:rsidRPr="0067507D">
              <w:br/>
              <w:t>$m</w:t>
            </w:r>
          </w:p>
        </w:tc>
        <w:tc>
          <w:tcPr>
            <w:cnfStyle w:val="000001000000" w:firstRow="0" w:lastRow="0" w:firstColumn="0" w:lastColumn="0" w:oddVBand="0" w:evenVBand="1" w:oddHBand="0" w:evenHBand="0" w:firstRowFirstColumn="0" w:firstRowLastColumn="0" w:lastRowFirstColumn="0" w:lastRowLastColumn="0"/>
            <w:tcW w:w="846" w:type="dxa"/>
          </w:tcPr>
          <w:p w14:paraId="1819EF38" w14:textId="118CD9E1" w:rsidR="00F12C5D" w:rsidRPr="0067507D" w:rsidRDefault="00C30F42" w:rsidP="00F12C5D">
            <w:pPr>
              <w:pStyle w:val="Tabletextheadingright"/>
            </w:pPr>
            <w:r w:rsidRPr="0067507D">
              <w:t>2023</w:t>
            </w:r>
            <w:r w:rsidR="006A5485">
              <w:noBreakHyphen/>
            </w:r>
            <w:r w:rsidRPr="0067507D">
              <w:t>24</w:t>
            </w:r>
            <w:r w:rsidR="00F12C5D" w:rsidRPr="0067507D">
              <w:br/>
              <w:t>$m</w:t>
            </w:r>
          </w:p>
        </w:tc>
        <w:tc>
          <w:tcPr>
            <w:cnfStyle w:val="000010000000" w:firstRow="0" w:lastRow="0" w:firstColumn="0" w:lastColumn="0" w:oddVBand="1" w:evenVBand="0" w:oddHBand="0" w:evenHBand="0" w:firstRowFirstColumn="0" w:firstRowLastColumn="0" w:lastRowFirstColumn="0" w:lastRowLastColumn="0"/>
            <w:tcW w:w="846" w:type="dxa"/>
          </w:tcPr>
          <w:p w14:paraId="35FB014D" w14:textId="77777777" w:rsidR="00F12C5D" w:rsidRPr="0067507D" w:rsidRDefault="00F12C5D" w:rsidP="00F12C5D">
            <w:pPr>
              <w:pStyle w:val="Tabletextheadingright"/>
            </w:pPr>
            <w:r w:rsidRPr="0067507D">
              <w:t>Change</w:t>
            </w:r>
            <w:r w:rsidRPr="0067507D">
              <w:br/>
              <w:t>$m</w:t>
            </w:r>
          </w:p>
        </w:tc>
      </w:tr>
      <w:tr w:rsidR="00940F42" w:rsidRPr="0067507D" w14:paraId="551C7F2F" w14:textId="77777777" w:rsidTr="004D70AA">
        <w:tc>
          <w:tcPr>
            <w:cnfStyle w:val="001000000000" w:firstRow="0" w:lastRow="0" w:firstColumn="1" w:lastColumn="0" w:oddVBand="0" w:evenVBand="0" w:oddHBand="0" w:evenHBand="0" w:firstRowFirstColumn="0" w:firstRowLastColumn="0" w:lastRowFirstColumn="0" w:lastRowLastColumn="0"/>
            <w:tcW w:w="2070" w:type="dxa"/>
          </w:tcPr>
          <w:p w14:paraId="7E660CF4" w14:textId="1163294F" w:rsidR="00F12C5D" w:rsidRPr="0067507D" w:rsidRDefault="00F12C5D" w:rsidP="00F12C5D">
            <w:pPr>
              <w:pStyle w:val="Tabletext"/>
            </w:pPr>
            <w:r w:rsidRPr="0067507D">
              <w:t xml:space="preserve">Optimise </w:t>
            </w:r>
            <w:r w:rsidR="005605B9" w:rsidRPr="0067507D">
              <w:t>Victoria's</w:t>
            </w:r>
            <w:r w:rsidRPr="0067507D">
              <w:t xml:space="preserve"> fiscal resources</w:t>
            </w:r>
          </w:p>
        </w:tc>
        <w:tc>
          <w:tcPr>
            <w:cnfStyle w:val="000010000000" w:firstRow="0" w:lastRow="0" w:firstColumn="0" w:lastColumn="0" w:oddVBand="1" w:evenVBand="0" w:oddHBand="0" w:evenHBand="0" w:firstRowFirstColumn="0" w:firstRowLastColumn="0" w:lastRowFirstColumn="0" w:lastRowLastColumn="0"/>
            <w:tcW w:w="846" w:type="dxa"/>
          </w:tcPr>
          <w:p w14:paraId="2C0BDE9C" w14:textId="24346630" w:rsidR="00F12C5D" w:rsidRPr="0067507D" w:rsidRDefault="005605B9" w:rsidP="00F12C5D">
            <w:pPr>
              <w:pStyle w:val="Tabletextright"/>
            </w:pPr>
            <w:r w:rsidRPr="0067507D">
              <w:t>291</w:t>
            </w:r>
          </w:p>
        </w:tc>
        <w:tc>
          <w:tcPr>
            <w:cnfStyle w:val="000001000000" w:firstRow="0" w:lastRow="0" w:firstColumn="0" w:lastColumn="0" w:oddVBand="0" w:evenVBand="1" w:oddHBand="0" w:evenHBand="0" w:firstRowFirstColumn="0" w:firstRowLastColumn="0" w:lastRowFirstColumn="0" w:lastRowLastColumn="0"/>
            <w:tcW w:w="846" w:type="dxa"/>
          </w:tcPr>
          <w:p w14:paraId="5E67C4C9" w14:textId="0940F28B" w:rsidR="00F12C5D" w:rsidRPr="0067507D" w:rsidRDefault="005605B9" w:rsidP="00F12C5D">
            <w:pPr>
              <w:pStyle w:val="Tabletextright"/>
            </w:pPr>
            <w:r w:rsidRPr="0067507D">
              <w:t>253</w:t>
            </w:r>
          </w:p>
        </w:tc>
        <w:tc>
          <w:tcPr>
            <w:cnfStyle w:val="000010000000" w:firstRow="0" w:lastRow="0" w:firstColumn="0" w:lastColumn="0" w:oddVBand="1" w:evenVBand="0" w:oddHBand="0" w:evenHBand="0" w:firstRowFirstColumn="0" w:firstRowLastColumn="0" w:lastRowFirstColumn="0" w:lastRowLastColumn="0"/>
            <w:tcW w:w="846" w:type="dxa"/>
          </w:tcPr>
          <w:p w14:paraId="4DF5431D" w14:textId="1BA56D54" w:rsidR="00F12C5D" w:rsidRPr="0067507D" w:rsidRDefault="005605B9" w:rsidP="00F12C5D">
            <w:pPr>
              <w:pStyle w:val="Tabletextright"/>
            </w:pPr>
            <w:r w:rsidRPr="0067507D">
              <w:t>38</w:t>
            </w:r>
          </w:p>
        </w:tc>
      </w:tr>
      <w:tr w:rsidR="00940F42" w:rsidRPr="0067507D" w14:paraId="6696179A" w14:textId="77777777" w:rsidTr="004D70AA">
        <w:tc>
          <w:tcPr>
            <w:cnfStyle w:val="001000000000" w:firstRow="0" w:lastRow="0" w:firstColumn="1" w:lastColumn="0" w:oddVBand="0" w:evenVBand="0" w:oddHBand="0" w:evenHBand="0" w:firstRowFirstColumn="0" w:firstRowLastColumn="0" w:lastRowFirstColumn="0" w:lastRowLastColumn="0"/>
            <w:tcW w:w="2070" w:type="dxa"/>
          </w:tcPr>
          <w:p w14:paraId="41480B23" w14:textId="60993928" w:rsidR="00F12C5D" w:rsidRPr="0067507D" w:rsidRDefault="00F12C5D" w:rsidP="00F12C5D">
            <w:pPr>
              <w:pStyle w:val="Tabletext"/>
            </w:pPr>
            <w:r w:rsidRPr="0067507D">
              <w:t xml:space="preserve">Strengthen </w:t>
            </w:r>
            <w:r w:rsidR="005605B9" w:rsidRPr="0067507D">
              <w:t>Victoria's</w:t>
            </w:r>
            <w:r w:rsidRPr="0067507D">
              <w:t xml:space="preserve"> economic performance </w:t>
            </w:r>
          </w:p>
        </w:tc>
        <w:tc>
          <w:tcPr>
            <w:cnfStyle w:val="000010000000" w:firstRow="0" w:lastRow="0" w:firstColumn="0" w:lastColumn="0" w:oddVBand="1" w:evenVBand="0" w:oddHBand="0" w:evenHBand="0" w:firstRowFirstColumn="0" w:firstRowLastColumn="0" w:lastRowFirstColumn="0" w:lastRowLastColumn="0"/>
            <w:tcW w:w="846" w:type="dxa"/>
          </w:tcPr>
          <w:p w14:paraId="03E0081F" w14:textId="713290E4" w:rsidR="00F12C5D" w:rsidRPr="0067507D" w:rsidRDefault="005605B9" w:rsidP="00F12C5D">
            <w:pPr>
              <w:pStyle w:val="Tabletextright"/>
            </w:pPr>
            <w:r w:rsidRPr="0067507D">
              <w:t>69</w:t>
            </w:r>
          </w:p>
        </w:tc>
        <w:tc>
          <w:tcPr>
            <w:cnfStyle w:val="000001000000" w:firstRow="0" w:lastRow="0" w:firstColumn="0" w:lastColumn="0" w:oddVBand="0" w:evenVBand="1" w:oddHBand="0" w:evenHBand="0" w:firstRowFirstColumn="0" w:firstRowLastColumn="0" w:lastRowFirstColumn="0" w:lastRowLastColumn="0"/>
            <w:tcW w:w="846" w:type="dxa"/>
          </w:tcPr>
          <w:p w14:paraId="44A44EE6" w14:textId="3BED611B" w:rsidR="00F12C5D" w:rsidRPr="0067507D" w:rsidRDefault="005605B9" w:rsidP="00F12C5D">
            <w:pPr>
              <w:pStyle w:val="Tabletextright"/>
            </w:pPr>
            <w:r w:rsidRPr="0067507D">
              <w:t>61</w:t>
            </w:r>
          </w:p>
        </w:tc>
        <w:tc>
          <w:tcPr>
            <w:cnfStyle w:val="000010000000" w:firstRow="0" w:lastRow="0" w:firstColumn="0" w:lastColumn="0" w:oddVBand="1" w:evenVBand="0" w:oddHBand="0" w:evenHBand="0" w:firstRowFirstColumn="0" w:firstRowLastColumn="0" w:lastRowFirstColumn="0" w:lastRowLastColumn="0"/>
            <w:tcW w:w="846" w:type="dxa"/>
          </w:tcPr>
          <w:p w14:paraId="6E73ABE3" w14:textId="1CB32067" w:rsidR="00F12C5D" w:rsidRPr="0067507D" w:rsidRDefault="005605B9" w:rsidP="00F12C5D">
            <w:pPr>
              <w:pStyle w:val="Tabletextright"/>
            </w:pPr>
            <w:r w:rsidRPr="0067507D">
              <w:t>8</w:t>
            </w:r>
          </w:p>
        </w:tc>
      </w:tr>
      <w:tr w:rsidR="00940F42" w:rsidRPr="0067507D" w14:paraId="46B8291D" w14:textId="77777777" w:rsidTr="004D70AA">
        <w:tc>
          <w:tcPr>
            <w:cnfStyle w:val="001000000000" w:firstRow="0" w:lastRow="0" w:firstColumn="1" w:lastColumn="0" w:oddVBand="0" w:evenVBand="0" w:oddHBand="0" w:evenHBand="0" w:firstRowFirstColumn="0" w:firstRowLastColumn="0" w:lastRowFirstColumn="0" w:lastRowLastColumn="0"/>
            <w:tcW w:w="2070" w:type="dxa"/>
          </w:tcPr>
          <w:p w14:paraId="27145DC4" w14:textId="4AA8E67D" w:rsidR="00F12C5D" w:rsidRPr="0067507D" w:rsidRDefault="00F12C5D" w:rsidP="00F12C5D">
            <w:pPr>
              <w:pStyle w:val="Tabletext"/>
            </w:pPr>
            <w:r w:rsidRPr="0067507D">
              <w:t>Improve how Government manages its balance sheet, commercial activities and public sector infrastructure</w:t>
            </w:r>
          </w:p>
        </w:tc>
        <w:tc>
          <w:tcPr>
            <w:cnfStyle w:val="000010000000" w:firstRow="0" w:lastRow="0" w:firstColumn="0" w:lastColumn="0" w:oddVBand="1" w:evenVBand="0" w:oddHBand="0" w:evenHBand="0" w:firstRowFirstColumn="0" w:firstRowLastColumn="0" w:lastRowFirstColumn="0" w:lastRowLastColumn="0"/>
            <w:tcW w:w="846" w:type="dxa"/>
          </w:tcPr>
          <w:p w14:paraId="535DF47B" w14:textId="4C9F32C2" w:rsidR="00F12C5D" w:rsidRPr="0067507D" w:rsidRDefault="005605B9" w:rsidP="00F12C5D">
            <w:pPr>
              <w:pStyle w:val="Tabletextright"/>
            </w:pPr>
            <w:r w:rsidRPr="0067507D">
              <w:t>75</w:t>
            </w:r>
          </w:p>
        </w:tc>
        <w:tc>
          <w:tcPr>
            <w:cnfStyle w:val="000001000000" w:firstRow="0" w:lastRow="0" w:firstColumn="0" w:lastColumn="0" w:oddVBand="0" w:evenVBand="1" w:oddHBand="0" w:evenHBand="0" w:firstRowFirstColumn="0" w:firstRowLastColumn="0" w:lastRowFirstColumn="0" w:lastRowLastColumn="0"/>
            <w:tcW w:w="846" w:type="dxa"/>
          </w:tcPr>
          <w:p w14:paraId="5678E913" w14:textId="126B2528" w:rsidR="00F12C5D" w:rsidRPr="0067507D" w:rsidRDefault="005605B9" w:rsidP="00F12C5D">
            <w:pPr>
              <w:pStyle w:val="Tabletextright"/>
            </w:pPr>
            <w:r w:rsidRPr="0067507D">
              <w:t>59</w:t>
            </w:r>
          </w:p>
        </w:tc>
        <w:tc>
          <w:tcPr>
            <w:cnfStyle w:val="000010000000" w:firstRow="0" w:lastRow="0" w:firstColumn="0" w:lastColumn="0" w:oddVBand="1" w:evenVBand="0" w:oddHBand="0" w:evenHBand="0" w:firstRowFirstColumn="0" w:firstRowLastColumn="0" w:lastRowFirstColumn="0" w:lastRowLastColumn="0"/>
            <w:tcW w:w="846" w:type="dxa"/>
          </w:tcPr>
          <w:p w14:paraId="7792684C" w14:textId="337D197E" w:rsidR="00F12C5D" w:rsidRPr="0067507D" w:rsidRDefault="005605B9" w:rsidP="00F12C5D">
            <w:pPr>
              <w:pStyle w:val="Tabletextright"/>
            </w:pPr>
            <w:r w:rsidRPr="0067507D">
              <w:t>16</w:t>
            </w:r>
          </w:p>
        </w:tc>
      </w:tr>
      <w:tr w:rsidR="00940F42" w:rsidRPr="0067507D" w14:paraId="73826241" w14:textId="77777777" w:rsidTr="004D70AA">
        <w:tc>
          <w:tcPr>
            <w:cnfStyle w:val="001000000000" w:firstRow="0" w:lastRow="0" w:firstColumn="1" w:lastColumn="0" w:oddVBand="0" w:evenVBand="0" w:oddHBand="0" w:evenHBand="0" w:firstRowFirstColumn="0" w:firstRowLastColumn="0" w:lastRowFirstColumn="0" w:lastRowLastColumn="0"/>
            <w:tcW w:w="2070" w:type="dxa"/>
          </w:tcPr>
          <w:p w14:paraId="683185A9" w14:textId="197CFB55" w:rsidR="00E345C4" w:rsidRPr="0067507D" w:rsidRDefault="00E345C4">
            <w:pPr>
              <w:pStyle w:val="Tabletext"/>
            </w:pPr>
            <w:r w:rsidRPr="0067507D">
              <w:t xml:space="preserve">Strengthen </w:t>
            </w:r>
            <w:r w:rsidR="005605B9" w:rsidRPr="0067507D">
              <w:t>Victoria's</w:t>
            </w:r>
            <w:r w:rsidRPr="0067507D">
              <w:t xml:space="preserve"> economic performance through fair, equitable and productive workplaces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846" w:type="dxa"/>
          </w:tcPr>
          <w:p w14:paraId="4EE19B9B" w14:textId="401EB325" w:rsidR="00E345C4" w:rsidRPr="0067507D" w:rsidRDefault="00504756">
            <w:pPr>
              <w:pStyle w:val="Tabletextright"/>
            </w:pPr>
            <w:r w:rsidRPr="0067507D">
              <w:t>20</w:t>
            </w:r>
          </w:p>
        </w:tc>
        <w:tc>
          <w:tcPr>
            <w:cnfStyle w:val="000001000000" w:firstRow="0" w:lastRow="0" w:firstColumn="0" w:lastColumn="0" w:oddVBand="0" w:evenVBand="1" w:oddHBand="0" w:evenHBand="0" w:firstRowFirstColumn="0" w:firstRowLastColumn="0" w:lastRowFirstColumn="0" w:lastRowLastColumn="0"/>
            <w:tcW w:w="846" w:type="dxa"/>
          </w:tcPr>
          <w:p w14:paraId="401B62C6" w14:textId="4B9B62F3" w:rsidR="00E345C4" w:rsidRPr="0067507D" w:rsidRDefault="00F9647E">
            <w:pPr>
              <w:pStyle w:val="Tabletextright"/>
            </w:pPr>
            <w:r w:rsidRPr="0067507D">
              <w:t>14</w:t>
            </w:r>
          </w:p>
        </w:tc>
        <w:tc>
          <w:tcPr>
            <w:cnfStyle w:val="000010000000" w:firstRow="0" w:lastRow="0" w:firstColumn="0" w:lastColumn="0" w:oddVBand="1" w:evenVBand="0" w:oddHBand="0" w:evenHBand="0" w:firstRowFirstColumn="0" w:firstRowLastColumn="0" w:lastRowFirstColumn="0" w:lastRowLastColumn="0"/>
            <w:tcW w:w="846" w:type="dxa"/>
          </w:tcPr>
          <w:p w14:paraId="75A91B1F" w14:textId="25D87D0B" w:rsidR="00E345C4" w:rsidRPr="0067507D" w:rsidRDefault="00F9647E">
            <w:pPr>
              <w:pStyle w:val="Tabletextright"/>
            </w:pPr>
            <w:r w:rsidRPr="0067507D">
              <w:t>6</w:t>
            </w:r>
          </w:p>
        </w:tc>
      </w:tr>
      <w:tr w:rsidR="00940F42" w:rsidRPr="0067507D" w14:paraId="0A87D2C7" w14:textId="77777777" w:rsidTr="004D70AA">
        <w:tc>
          <w:tcPr>
            <w:cnfStyle w:val="001000000000" w:firstRow="0" w:lastRow="0" w:firstColumn="1" w:lastColumn="0" w:oddVBand="0" w:evenVBand="0" w:oddHBand="0" w:evenHBand="0" w:firstRowFirstColumn="0" w:firstRowLastColumn="0" w:lastRowFirstColumn="0" w:lastRowLastColumn="0"/>
            <w:tcW w:w="2070" w:type="dxa"/>
          </w:tcPr>
          <w:p w14:paraId="33F38CFB" w14:textId="006C7D02" w:rsidR="00F12C5D" w:rsidRPr="0067507D" w:rsidRDefault="00F12C5D" w:rsidP="00F12C5D">
            <w:pPr>
              <w:pStyle w:val="Tabletextbold"/>
            </w:pPr>
            <w:r w:rsidRPr="0067507D">
              <w:t>Total</w:t>
            </w:r>
          </w:p>
        </w:tc>
        <w:tc>
          <w:tcPr>
            <w:cnfStyle w:val="000010000000" w:firstRow="0" w:lastRow="0" w:firstColumn="0" w:lastColumn="0" w:oddVBand="1" w:evenVBand="0" w:oddHBand="0" w:evenHBand="0" w:firstRowFirstColumn="0" w:firstRowLastColumn="0" w:lastRowFirstColumn="0" w:lastRowLastColumn="0"/>
            <w:tcW w:w="846" w:type="dxa"/>
          </w:tcPr>
          <w:p w14:paraId="21744444" w14:textId="64E555AE" w:rsidR="00F12C5D" w:rsidRPr="0067507D" w:rsidRDefault="00504756" w:rsidP="00F12C5D">
            <w:pPr>
              <w:pStyle w:val="Tabletextrightbold"/>
            </w:pPr>
            <w:r w:rsidRPr="0067507D">
              <w:t>455</w:t>
            </w:r>
          </w:p>
        </w:tc>
        <w:tc>
          <w:tcPr>
            <w:cnfStyle w:val="000001000000" w:firstRow="0" w:lastRow="0" w:firstColumn="0" w:lastColumn="0" w:oddVBand="0" w:evenVBand="1" w:oddHBand="0" w:evenHBand="0" w:firstRowFirstColumn="0" w:firstRowLastColumn="0" w:lastRowFirstColumn="0" w:lastRowLastColumn="0"/>
            <w:tcW w:w="846" w:type="dxa"/>
          </w:tcPr>
          <w:p w14:paraId="046B9855" w14:textId="45407888" w:rsidR="00F12C5D" w:rsidRPr="0067507D" w:rsidRDefault="00F9647E" w:rsidP="00F12C5D">
            <w:pPr>
              <w:pStyle w:val="Tabletextrightbold"/>
            </w:pPr>
            <w:r w:rsidRPr="0067507D">
              <w:t>388</w:t>
            </w:r>
          </w:p>
        </w:tc>
        <w:tc>
          <w:tcPr>
            <w:cnfStyle w:val="000010000000" w:firstRow="0" w:lastRow="0" w:firstColumn="0" w:lastColumn="0" w:oddVBand="1" w:evenVBand="0" w:oddHBand="0" w:evenHBand="0" w:firstRowFirstColumn="0" w:firstRowLastColumn="0" w:lastRowFirstColumn="0" w:lastRowLastColumn="0"/>
            <w:tcW w:w="846" w:type="dxa"/>
          </w:tcPr>
          <w:p w14:paraId="2EBFAE20" w14:textId="5A08E42F" w:rsidR="00F12C5D" w:rsidRPr="0067507D" w:rsidRDefault="00F9647E" w:rsidP="00F12C5D">
            <w:pPr>
              <w:pStyle w:val="Tabletextrightbold"/>
            </w:pPr>
            <w:r w:rsidRPr="0067507D">
              <w:t>67</w:t>
            </w:r>
          </w:p>
        </w:tc>
      </w:tr>
    </w:tbl>
    <w:p w14:paraId="17ADC4E8" w14:textId="0125E0AC" w:rsidR="00E94EAB" w:rsidRPr="0067507D" w:rsidRDefault="00E94EAB" w:rsidP="00E94EAB">
      <w:pPr>
        <w:pStyle w:val="Notes"/>
      </w:pPr>
      <w:r w:rsidRPr="0067507D">
        <w:t>Note</w:t>
      </w:r>
      <w:r w:rsidR="00DD4D7B" w:rsidRPr="0067507D">
        <w:t>s</w:t>
      </w:r>
      <w:r w:rsidRPr="0067507D">
        <w:t>:</w:t>
      </w:r>
    </w:p>
    <w:p w14:paraId="0067BCFF" w14:textId="77777777" w:rsidR="00E94EAB" w:rsidRPr="0067507D" w:rsidRDefault="00E94EAB" w:rsidP="00E94EAB">
      <w:pPr>
        <w:pStyle w:val="Notes"/>
      </w:pPr>
      <w:r w:rsidRPr="0067507D">
        <w:t>(a) Includes only Parliamentary appropriations.</w:t>
      </w:r>
    </w:p>
    <w:p w14:paraId="63384CD2" w14:textId="0D092857" w:rsidR="0071702F" w:rsidRPr="0067507D" w:rsidRDefault="0071702F" w:rsidP="0071702F">
      <w:pPr>
        <w:pStyle w:val="Notes"/>
      </w:pPr>
      <w:r w:rsidRPr="0067507D">
        <w:t xml:space="preserve">(b) This new output group was created in </w:t>
      </w:r>
      <w:r w:rsidR="00C46C0B" w:rsidRPr="0067507D">
        <w:t>2023</w:t>
      </w:r>
      <w:r w:rsidR="006A5485">
        <w:noBreakHyphen/>
      </w:r>
      <w:r w:rsidR="00C46C0B" w:rsidRPr="0067507D">
        <w:t>24</w:t>
      </w:r>
      <w:r w:rsidRPr="0067507D">
        <w:t xml:space="preserve"> following the transfer of Industrial Relations Victoria and Wage Inspectorate Victoria from the Department of Premier and Cabinet to the department as part of the machinery of government change on 1</w:t>
      </w:r>
      <w:r w:rsidRPr="0067507D">
        <w:rPr>
          <w:rFonts w:ascii="Calibri" w:hAnsi="Calibri" w:cs="Calibri"/>
        </w:rPr>
        <w:t> </w:t>
      </w:r>
      <w:r w:rsidRPr="0067507D">
        <w:t>February 2024.</w:t>
      </w:r>
    </w:p>
    <w:p w14:paraId="38425CF2" w14:textId="77777777" w:rsidR="00C04794" w:rsidRPr="0067507D" w:rsidRDefault="00C04794" w:rsidP="00E94EAB">
      <w:pPr>
        <w:pStyle w:val="Notes"/>
      </w:pPr>
    </w:p>
    <w:p w14:paraId="26CA2568" w14:textId="77777777" w:rsidR="00E94EAB" w:rsidRPr="0067507D" w:rsidRDefault="00E94EAB" w:rsidP="00E94EAB">
      <w:pPr>
        <w:sectPr w:rsidR="00E94EAB" w:rsidRPr="0067507D" w:rsidSect="00006DF3">
          <w:type w:val="continuous"/>
          <w:pgSz w:w="11909" w:h="16834" w:code="9"/>
          <w:pgMar w:top="1728" w:right="1152" w:bottom="1152" w:left="1152" w:header="720" w:footer="288" w:gutter="0"/>
          <w:cols w:num="2" w:space="389"/>
          <w:noEndnote/>
        </w:sectPr>
      </w:pPr>
    </w:p>
    <w:p w14:paraId="3409C50D" w14:textId="4F4ABF4D" w:rsidR="00E94EAB" w:rsidRPr="0067507D" w:rsidRDefault="00E94EAB" w:rsidP="00E94EAB">
      <w:pPr>
        <w:pStyle w:val="Tableheading"/>
      </w:pPr>
      <w:bookmarkStart w:id="40" w:name="_Ref492626911"/>
      <w:r w:rsidRPr="0067507D">
        <w:t>Five</w:t>
      </w:r>
      <w:r w:rsidRPr="0067507D">
        <w:noBreakHyphen/>
        <w:t>year financial summary: departmental (controlled) activities</w:t>
      </w:r>
      <w:bookmarkEnd w:id="40"/>
    </w:p>
    <w:tbl>
      <w:tblPr>
        <w:tblStyle w:val="AnnualReportfinancialtable"/>
        <w:tblW w:w="4957" w:type="pct"/>
        <w:tblLook w:val="00A0" w:firstRow="1" w:lastRow="0" w:firstColumn="1" w:lastColumn="0" w:noHBand="0" w:noVBand="0"/>
      </w:tblPr>
      <w:tblGrid>
        <w:gridCol w:w="3868"/>
        <w:gridCol w:w="1186"/>
        <w:gridCol w:w="1186"/>
        <w:gridCol w:w="1242"/>
        <w:gridCol w:w="1021"/>
        <w:gridCol w:w="1019"/>
      </w:tblGrid>
      <w:tr w:rsidR="00A3167D" w:rsidRPr="0067507D" w14:paraId="61390CC5" w14:textId="77777777" w:rsidTr="004D70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1" w:type="pct"/>
          </w:tcPr>
          <w:p w14:paraId="75D94369" w14:textId="77777777" w:rsidR="00E94EAB" w:rsidRPr="0067507D" w:rsidRDefault="00E94EAB">
            <w:pPr>
              <w:pStyle w:val="Tabletext"/>
              <w:spacing w:before="25" w:after="25"/>
            </w:pPr>
          </w:p>
        </w:tc>
        <w:tc>
          <w:tcPr>
            <w:cnfStyle w:val="000010000000" w:firstRow="0" w:lastRow="0" w:firstColumn="0" w:lastColumn="0" w:oddVBand="1" w:evenVBand="0" w:oddHBand="0" w:evenHBand="0" w:firstRowFirstColumn="0" w:firstRowLastColumn="0" w:lastRowFirstColumn="0" w:lastRowLastColumn="0"/>
            <w:tcW w:w="623" w:type="pct"/>
          </w:tcPr>
          <w:p w14:paraId="2AFBFC1F" w14:textId="51F43F7B" w:rsidR="00E94EAB" w:rsidRPr="0067507D" w:rsidRDefault="00C30F42">
            <w:pPr>
              <w:pStyle w:val="Tabletextheading"/>
              <w:spacing w:before="25" w:after="25"/>
            </w:pPr>
            <w:r w:rsidRPr="0067507D">
              <w:t>2024</w:t>
            </w:r>
            <w:r w:rsidR="006A5485">
              <w:noBreakHyphen/>
            </w:r>
            <w:r w:rsidRPr="0067507D">
              <w:t>25</w:t>
            </w:r>
            <w:r w:rsidR="00F23542" w:rsidRPr="0067507D">
              <w:br/>
              <w:t>$m</w:t>
            </w:r>
          </w:p>
        </w:tc>
        <w:tc>
          <w:tcPr>
            <w:cnfStyle w:val="000001000000" w:firstRow="0" w:lastRow="0" w:firstColumn="0" w:lastColumn="0" w:oddVBand="0" w:evenVBand="1" w:oddHBand="0" w:evenHBand="0" w:firstRowFirstColumn="0" w:firstRowLastColumn="0" w:lastRowFirstColumn="0" w:lastRowLastColumn="0"/>
            <w:tcW w:w="623" w:type="pct"/>
          </w:tcPr>
          <w:p w14:paraId="2003F72C" w14:textId="469EC38A" w:rsidR="00E94EAB" w:rsidRPr="0067507D" w:rsidRDefault="00C30F42">
            <w:pPr>
              <w:pStyle w:val="Tabletextheading"/>
              <w:spacing w:before="25" w:after="25"/>
            </w:pPr>
            <w:r w:rsidRPr="0067507D">
              <w:t>2023</w:t>
            </w:r>
            <w:r w:rsidR="006A5485">
              <w:noBreakHyphen/>
            </w:r>
            <w:r w:rsidRPr="0067507D">
              <w:t>24</w:t>
            </w:r>
            <w:r w:rsidR="00F23542" w:rsidRPr="0067507D">
              <w:br/>
              <w:t>$m</w:t>
            </w:r>
          </w:p>
        </w:tc>
        <w:tc>
          <w:tcPr>
            <w:cnfStyle w:val="000010000000" w:firstRow="0" w:lastRow="0" w:firstColumn="0" w:lastColumn="0" w:oddVBand="1" w:evenVBand="0" w:oddHBand="0" w:evenHBand="0" w:firstRowFirstColumn="0" w:firstRowLastColumn="0" w:lastRowFirstColumn="0" w:lastRowLastColumn="0"/>
            <w:tcW w:w="652" w:type="pct"/>
          </w:tcPr>
          <w:p w14:paraId="532E1884" w14:textId="18D1280F" w:rsidR="00E94EAB" w:rsidRPr="0067507D" w:rsidRDefault="00C30F42">
            <w:pPr>
              <w:pStyle w:val="Tabletextheading"/>
              <w:spacing w:before="25" w:after="25"/>
            </w:pPr>
            <w:r w:rsidRPr="0067507D">
              <w:t>2022</w:t>
            </w:r>
            <w:r w:rsidR="006A5485">
              <w:noBreakHyphen/>
            </w:r>
            <w:r w:rsidRPr="0067507D">
              <w:t>23</w:t>
            </w:r>
            <w:r w:rsidR="00F23542" w:rsidRPr="0067507D">
              <w:rPr>
                <w:vertAlign w:val="superscript"/>
              </w:rPr>
              <w:br/>
            </w:r>
            <w:r w:rsidR="00F23542" w:rsidRPr="0067507D">
              <w:t>$m</w:t>
            </w:r>
          </w:p>
        </w:tc>
        <w:tc>
          <w:tcPr>
            <w:cnfStyle w:val="000001000000" w:firstRow="0" w:lastRow="0" w:firstColumn="0" w:lastColumn="0" w:oddVBand="0" w:evenVBand="1" w:oddHBand="0" w:evenHBand="0" w:firstRowFirstColumn="0" w:firstRowLastColumn="0" w:lastRowFirstColumn="0" w:lastRowLastColumn="0"/>
            <w:tcW w:w="536" w:type="pct"/>
          </w:tcPr>
          <w:p w14:paraId="2A6F6F60" w14:textId="684A50BF" w:rsidR="00E94EAB" w:rsidRPr="0067507D" w:rsidRDefault="00C30F42">
            <w:pPr>
              <w:pStyle w:val="Tabletextheading"/>
              <w:spacing w:before="25" w:after="25"/>
            </w:pPr>
            <w:r w:rsidRPr="0067507D">
              <w:t>2021</w:t>
            </w:r>
            <w:r w:rsidR="006A5485">
              <w:noBreakHyphen/>
            </w:r>
            <w:r w:rsidRPr="0067507D">
              <w:t>22</w:t>
            </w:r>
            <w:r w:rsidR="00F23542" w:rsidRPr="0067507D">
              <w:rPr>
                <w:vertAlign w:val="superscript"/>
              </w:rPr>
              <w:br/>
            </w:r>
            <w:r w:rsidR="00F23542" w:rsidRPr="0067507D">
              <w:t>$m</w:t>
            </w:r>
          </w:p>
        </w:tc>
        <w:tc>
          <w:tcPr>
            <w:cnfStyle w:val="000010000000" w:firstRow="0" w:lastRow="0" w:firstColumn="0" w:lastColumn="0" w:oddVBand="1" w:evenVBand="0" w:oddHBand="0" w:evenHBand="0" w:firstRowFirstColumn="0" w:firstRowLastColumn="0" w:lastRowFirstColumn="0" w:lastRowLastColumn="0"/>
            <w:tcW w:w="535" w:type="pct"/>
          </w:tcPr>
          <w:p w14:paraId="10106D2D" w14:textId="15818E53" w:rsidR="00E94EAB" w:rsidRPr="0067507D" w:rsidRDefault="00C30F42">
            <w:pPr>
              <w:pStyle w:val="Tabletextheading"/>
              <w:spacing w:before="25" w:after="25"/>
            </w:pPr>
            <w:r w:rsidRPr="0067507D">
              <w:t>2020</w:t>
            </w:r>
            <w:r w:rsidR="006A5485">
              <w:noBreakHyphen/>
            </w:r>
            <w:r w:rsidRPr="0067507D">
              <w:t>21</w:t>
            </w:r>
            <w:r w:rsidR="00F23542" w:rsidRPr="0067507D">
              <w:rPr>
                <w:vertAlign w:val="superscript"/>
              </w:rPr>
              <w:br/>
            </w:r>
            <w:r w:rsidR="00F23542" w:rsidRPr="0067507D">
              <w:t>$m</w:t>
            </w:r>
          </w:p>
        </w:tc>
      </w:tr>
      <w:tr w:rsidR="00E26BDE" w:rsidRPr="0067507D" w14:paraId="3053279B"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64ABCEF6" w14:textId="45FCA919" w:rsidR="00F23542" w:rsidRPr="0067507D" w:rsidRDefault="00F23542" w:rsidP="00F23542">
            <w:pPr>
              <w:pStyle w:val="Tabletext"/>
            </w:pPr>
            <w:r w:rsidRPr="0067507D">
              <w:t xml:space="preserve">Government output appropriations income </w:t>
            </w:r>
          </w:p>
        </w:tc>
        <w:tc>
          <w:tcPr>
            <w:cnfStyle w:val="000010000000" w:firstRow="0" w:lastRow="0" w:firstColumn="0" w:lastColumn="0" w:oddVBand="1" w:evenVBand="0" w:oddHBand="0" w:evenHBand="0" w:firstRowFirstColumn="0" w:firstRowLastColumn="0" w:lastRowFirstColumn="0" w:lastRowLastColumn="0"/>
            <w:tcW w:w="623" w:type="pct"/>
          </w:tcPr>
          <w:p w14:paraId="2E2F94B3" w14:textId="08EFF53C" w:rsidR="00F23542" w:rsidRPr="0067507D" w:rsidRDefault="0050752F" w:rsidP="00F23542">
            <w:pPr>
              <w:pStyle w:val="Tabletextright"/>
            </w:pPr>
            <w:r w:rsidRPr="0067507D">
              <w:t>455</w:t>
            </w:r>
          </w:p>
        </w:tc>
        <w:tc>
          <w:tcPr>
            <w:cnfStyle w:val="000001000000" w:firstRow="0" w:lastRow="0" w:firstColumn="0" w:lastColumn="0" w:oddVBand="0" w:evenVBand="1" w:oddHBand="0" w:evenHBand="0" w:firstRowFirstColumn="0" w:firstRowLastColumn="0" w:lastRowFirstColumn="0" w:lastRowLastColumn="0"/>
            <w:tcW w:w="623" w:type="pct"/>
          </w:tcPr>
          <w:p w14:paraId="72686EFE" w14:textId="789FA768" w:rsidR="00F23542" w:rsidRPr="0067507D" w:rsidRDefault="0050752F" w:rsidP="00F23542">
            <w:pPr>
              <w:pStyle w:val="Tabletextright"/>
            </w:pPr>
            <w:r w:rsidRPr="0067507D">
              <w:t>388</w:t>
            </w:r>
          </w:p>
        </w:tc>
        <w:tc>
          <w:tcPr>
            <w:cnfStyle w:val="000010000000" w:firstRow="0" w:lastRow="0" w:firstColumn="0" w:lastColumn="0" w:oddVBand="1" w:evenVBand="0" w:oddHBand="0" w:evenHBand="0" w:firstRowFirstColumn="0" w:firstRowLastColumn="0" w:lastRowFirstColumn="0" w:lastRowLastColumn="0"/>
            <w:tcW w:w="652" w:type="pct"/>
          </w:tcPr>
          <w:p w14:paraId="2B76E98E" w14:textId="1FE62BDB" w:rsidR="00F23542" w:rsidRPr="0067507D" w:rsidRDefault="0050752F" w:rsidP="00F23542">
            <w:pPr>
              <w:pStyle w:val="Tabletextright"/>
            </w:pPr>
            <w:r w:rsidRPr="0067507D">
              <w:t>428</w:t>
            </w:r>
          </w:p>
        </w:tc>
        <w:tc>
          <w:tcPr>
            <w:cnfStyle w:val="000001000000" w:firstRow="0" w:lastRow="0" w:firstColumn="0" w:lastColumn="0" w:oddVBand="0" w:evenVBand="1" w:oddHBand="0" w:evenHBand="0" w:firstRowFirstColumn="0" w:firstRowLastColumn="0" w:lastRowFirstColumn="0" w:lastRowLastColumn="0"/>
            <w:tcW w:w="536" w:type="pct"/>
          </w:tcPr>
          <w:p w14:paraId="0BEAB9FE" w14:textId="5C2D39C3" w:rsidR="00F23542" w:rsidRPr="0067507D" w:rsidRDefault="0050752F" w:rsidP="00F23542">
            <w:pPr>
              <w:pStyle w:val="Tabletextright"/>
            </w:pPr>
            <w:r w:rsidRPr="0067507D">
              <w:t>516</w:t>
            </w:r>
          </w:p>
        </w:tc>
        <w:tc>
          <w:tcPr>
            <w:cnfStyle w:val="000010000000" w:firstRow="0" w:lastRow="0" w:firstColumn="0" w:lastColumn="0" w:oddVBand="1" w:evenVBand="0" w:oddHBand="0" w:evenHBand="0" w:firstRowFirstColumn="0" w:firstRowLastColumn="0" w:lastRowFirstColumn="0" w:lastRowLastColumn="0"/>
            <w:tcW w:w="535" w:type="pct"/>
          </w:tcPr>
          <w:p w14:paraId="46EDEABD" w14:textId="4E0DD970" w:rsidR="00F23542" w:rsidRPr="0067507D" w:rsidRDefault="0050752F" w:rsidP="00F23542">
            <w:pPr>
              <w:pStyle w:val="Tabletextright"/>
            </w:pPr>
            <w:r w:rsidRPr="0067507D">
              <w:t>506</w:t>
            </w:r>
          </w:p>
        </w:tc>
      </w:tr>
      <w:tr w:rsidR="00E26BDE" w:rsidRPr="0067507D" w14:paraId="3B164801"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01234213" w14:textId="4313D294" w:rsidR="00F23542" w:rsidRPr="0067507D" w:rsidRDefault="00F23542" w:rsidP="00F23542">
            <w:pPr>
              <w:pStyle w:val="Tabletext"/>
            </w:pPr>
            <w:r w:rsidRPr="0067507D">
              <w:t xml:space="preserve">Other income </w:t>
            </w:r>
          </w:p>
        </w:tc>
        <w:tc>
          <w:tcPr>
            <w:cnfStyle w:val="000010000000" w:firstRow="0" w:lastRow="0" w:firstColumn="0" w:lastColumn="0" w:oddVBand="1" w:evenVBand="0" w:oddHBand="0" w:evenHBand="0" w:firstRowFirstColumn="0" w:firstRowLastColumn="0" w:lastRowFirstColumn="0" w:lastRowLastColumn="0"/>
            <w:tcW w:w="623" w:type="pct"/>
          </w:tcPr>
          <w:p w14:paraId="40AA816F" w14:textId="6A82520D" w:rsidR="00F23542" w:rsidRPr="0067507D" w:rsidRDefault="0050752F" w:rsidP="00F23542">
            <w:pPr>
              <w:pStyle w:val="Tabletextright"/>
            </w:pPr>
            <w:r w:rsidRPr="0067507D">
              <w:t>10</w:t>
            </w:r>
          </w:p>
        </w:tc>
        <w:tc>
          <w:tcPr>
            <w:cnfStyle w:val="000001000000" w:firstRow="0" w:lastRow="0" w:firstColumn="0" w:lastColumn="0" w:oddVBand="0" w:evenVBand="1" w:oddHBand="0" w:evenHBand="0" w:firstRowFirstColumn="0" w:firstRowLastColumn="0" w:lastRowFirstColumn="0" w:lastRowLastColumn="0"/>
            <w:tcW w:w="623" w:type="pct"/>
          </w:tcPr>
          <w:p w14:paraId="68345172" w14:textId="2492B835" w:rsidR="00F23542" w:rsidRPr="0067507D" w:rsidRDefault="0050752F" w:rsidP="00F23542">
            <w:pPr>
              <w:pStyle w:val="Tabletextright"/>
            </w:pPr>
            <w:r w:rsidRPr="0067507D">
              <w:t>11</w:t>
            </w:r>
          </w:p>
        </w:tc>
        <w:tc>
          <w:tcPr>
            <w:cnfStyle w:val="000010000000" w:firstRow="0" w:lastRow="0" w:firstColumn="0" w:lastColumn="0" w:oddVBand="1" w:evenVBand="0" w:oddHBand="0" w:evenHBand="0" w:firstRowFirstColumn="0" w:firstRowLastColumn="0" w:lastRowFirstColumn="0" w:lastRowLastColumn="0"/>
            <w:tcW w:w="652" w:type="pct"/>
          </w:tcPr>
          <w:p w14:paraId="3A256AB7" w14:textId="2BB189EB" w:rsidR="00F23542" w:rsidRPr="0067507D" w:rsidRDefault="0050752F" w:rsidP="00F23542">
            <w:pPr>
              <w:pStyle w:val="Tabletextright"/>
            </w:pPr>
            <w:r w:rsidRPr="0067507D">
              <w:t>58</w:t>
            </w:r>
          </w:p>
        </w:tc>
        <w:tc>
          <w:tcPr>
            <w:cnfStyle w:val="000001000000" w:firstRow="0" w:lastRow="0" w:firstColumn="0" w:lastColumn="0" w:oddVBand="0" w:evenVBand="1" w:oddHBand="0" w:evenHBand="0" w:firstRowFirstColumn="0" w:firstRowLastColumn="0" w:lastRowFirstColumn="0" w:lastRowLastColumn="0"/>
            <w:tcW w:w="536" w:type="pct"/>
          </w:tcPr>
          <w:p w14:paraId="487BC253" w14:textId="5504CCD8" w:rsidR="00F23542" w:rsidRPr="0067507D" w:rsidRDefault="0050752F" w:rsidP="00F23542">
            <w:pPr>
              <w:pStyle w:val="Tabletextright"/>
            </w:pPr>
            <w:r w:rsidRPr="0067507D">
              <w:t>91</w:t>
            </w:r>
          </w:p>
        </w:tc>
        <w:tc>
          <w:tcPr>
            <w:cnfStyle w:val="000010000000" w:firstRow="0" w:lastRow="0" w:firstColumn="0" w:lastColumn="0" w:oddVBand="1" w:evenVBand="0" w:oddHBand="0" w:evenHBand="0" w:firstRowFirstColumn="0" w:firstRowLastColumn="0" w:lastRowFirstColumn="0" w:lastRowLastColumn="0"/>
            <w:tcW w:w="535" w:type="pct"/>
          </w:tcPr>
          <w:p w14:paraId="4EDACDCE" w14:textId="34335775" w:rsidR="00F23542" w:rsidRPr="0067507D" w:rsidRDefault="0050752F" w:rsidP="00F23542">
            <w:pPr>
              <w:pStyle w:val="Tabletextright"/>
            </w:pPr>
            <w:r w:rsidRPr="0067507D">
              <w:t>98</w:t>
            </w:r>
          </w:p>
        </w:tc>
      </w:tr>
      <w:tr w:rsidR="00E26BDE" w:rsidRPr="0067507D" w14:paraId="7E6E8F16"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60D524FB" w14:textId="40DE714F" w:rsidR="00F23542" w:rsidRPr="0067507D" w:rsidRDefault="00F23542" w:rsidP="00F23542">
            <w:pPr>
              <w:pStyle w:val="Tabletext"/>
            </w:pPr>
            <w:r w:rsidRPr="0067507D">
              <w:t xml:space="preserve">Total income from transactions </w:t>
            </w:r>
          </w:p>
        </w:tc>
        <w:tc>
          <w:tcPr>
            <w:cnfStyle w:val="000010000000" w:firstRow="0" w:lastRow="0" w:firstColumn="0" w:lastColumn="0" w:oddVBand="1" w:evenVBand="0" w:oddHBand="0" w:evenHBand="0" w:firstRowFirstColumn="0" w:firstRowLastColumn="0" w:lastRowFirstColumn="0" w:lastRowLastColumn="0"/>
            <w:tcW w:w="623" w:type="pct"/>
          </w:tcPr>
          <w:p w14:paraId="6BF88A1F" w14:textId="30ADC1A9" w:rsidR="00F23542" w:rsidRPr="0067507D" w:rsidRDefault="0050752F" w:rsidP="00F23542">
            <w:pPr>
              <w:pStyle w:val="Tabletextright"/>
            </w:pPr>
            <w:r w:rsidRPr="0067507D">
              <w:t>465</w:t>
            </w:r>
          </w:p>
        </w:tc>
        <w:tc>
          <w:tcPr>
            <w:cnfStyle w:val="000001000000" w:firstRow="0" w:lastRow="0" w:firstColumn="0" w:lastColumn="0" w:oddVBand="0" w:evenVBand="1" w:oddHBand="0" w:evenHBand="0" w:firstRowFirstColumn="0" w:firstRowLastColumn="0" w:lastRowFirstColumn="0" w:lastRowLastColumn="0"/>
            <w:tcW w:w="623" w:type="pct"/>
          </w:tcPr>
          <w:p w14:paraId="38D7B867" w14:textId="14EB41B2" w:rsidR="00F23542" w:rsidRPr="0067507D" w:rsidRDefault="0050752F" w:rsidP="00F23542">
            <w:pPr>
              <w:pStyle w:val="Tabletextright"/>
            </w:pPr>
            <w:r w:rsidRPr="0067507D">
              <w:t>399</w:t>
            </w:r>
          </w:p>
        </w:tc>
        <w:tc>
          <w:tcPr>
            <w:cnfStyle w:val="000010000000" w:firstRow="0" w:lastRow="0" w:firstColumn="0" w:lastColumn="0" w:oddVBand="1" w:evenVBand="0" w:oddHBand="0" w:evenHBand="0" w:firstRowFirstColumn="0" w:firstRowLastColumn="0" w:lastRowFirstColumn="0" w:lastRowLastColumn="0"/>
            <w:tcW w:w="652" w:type="pct"/>
          </w:tcPr>
          <w:p w14:paraId="46CA2C0C" w14:textId="20440037" w:rsidR="00F23542" w:rsidRPr="0067507D" w:rsidRDefault="0050752F" w:rsidP="00F23542">
            <w:pPr>
              <w:pStyle w:val="Tabletextright"/>
            </w:pPr>
            <w:r w:rsidRPr="0067507D">
              <w:t>486</w:t>
            </w:r>
          </w:p>
        </w:tc>
        <w:tc>
          <w:tcPr>
            <w:cnfStyle w:val="000001000000" w:firstRow="0" w:lastRow="0" w:firstColumn="0" w:lastColumn="0" w:oddVBand="0" w:evenVBand="1" w:oddHBand="0" w:evenHBand="0" w:firstRowFirstColumn="0" w:firstRowLastColumn="0" w:lastRowFirstColumn="0" w:lastRowLastColumn="0"/>
            <w:tcW w:w="536" w:type="pct"/>
          </w:tcPr>
          <w:p w14:paraId="5508A006" w14:textId="6BC8FA72" w:rsidR="00F23542" w:rsidRPr="0067507D" w:rsidRDefault="0050752F" w:rsidP="00F23542">
            <w:pPr>
              <w:pStyle w:val="Tabletextright"/>
            </w:pPr>
            <w:r w:rsidRPr="0067507D">
              <w:t>607</w:t>
            </w:r>
          </w:p>
        </w:tc>
        <w:tc>
          <w:tcPr>
            <w:cnfStyle w:val="000010000000" w:firstRow="0" w:lastRow="0" w:firstColumn="0" w:lastColumn="0" w:oddVBand="1" w:evenVBand="0" w:oddHBand="0" w:evenHBand="0" w:firstRowFirstColumn="0" w:firstRowLastColumn="0" w:lastRowFirstColumn="0" w:lastRowLastColumn="0"/>
            <w:tcW w:w="535" w:type="pct"/>
          </w:tcPr>
          <w:p w14:paraId="46EFF3F3" w14:textId="183CD7A9" w:rsidR="00F23542" w:rsidRPr="0067507D" w:rsidRDefault="0050752F" w:rsidP="00F23542">
            <w:pPr>
              <w:pStyle w:val="Tabletextright"/>
            </w:pPr>
            <w:r w:rsidRPr="0067507D">
              <w:t>604</w:t>
            </w:r>
          </w:p>
        </w:tc>
      </w:tr>
      <w:tr w:rsidR="00E26BDE" w:rsidRPr="0067507D" w14:paraId="7DC87A28"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727428B7" w14:textId="78F7B2F5" w:rsidR="00F23542" w:rsidRPr="0067507D" w:rsidRDefault="00F23542" w:rsidP="00F23542">
            <w:pPr>
              <w:pStyle w:val="Tabletext"/>
            </w:pPr>
            <w:r w:rsidRPr="0067507D">
              <w:t xml:space="preserve">Total expenses from transactions </w:t>
            </w:r>
          </w:p>
        </w:tc>
        <w:tc>
          <w:tcPr>
            <w:cnfStyle w:val="000010000000" w:firstRow="0" w:lastRow="0" w:firstColumn="0" w:lastColumn="0" w:oddVBand="1" w:evenVBand="0" w:oddHBand="0" w:evenHBand="0" w:firstRowFirstColumn="0" w:firstRowLastColumn="0" w:lastRowFirstColumn="0" w:lastRowLastColumn="0"/>
            <w:tcW w:w="623" w:type="pct"/>
          </w:tcPr>
          <w:p w14:paraId="6D4AD9B5" w14:textId="51994A6D" w:rsidR="00F23542" w:rsidRPr="0067507D" w:rsidRDefault="0050752F" w:rsidP="00F23542">
            <w:pPr>
              <w:pStyle w:val="Tabletextright"/>
            </w:pPr>
            <w:r w:rsidRPr="0067507D">
              <w:t>(459)</w:t>
            </w:r>
          </w:p>
        </w:tc>
        <w:tc>
          <w:tcPr>
            <w:cnfStyle w:val="000001000000" w:firstRow="0" w:lastRow="0" w:firstColumn="0" w:lastColumn="0" w:oddVBand="0" w:evenVBand="1" w:oddHBand="0" w:evenHBand="0" w:firstRowFirstColumn="0" w:firstRowLastColumn="0" w:lastRowFirstColumn="0" w:lastRowLastColumn="0"/>
            <w:tcW w:w="623" w:type="pct"/>
          </w:tcPr>
          <w:p w14:paraId="6B8EDDE0" w14:textId="00C92752" w:rsidR="00F23542" w:rsidRPr="0067507D" w:rsidRDefault="0050752F" w:rsidP="00F23542">
            <w:pPr>
              <w:pStyle w:val="Tabletextright"/>
            </w:pPr>
            <w:r w:rsidRPr="0067507D">
              <w:t>(398)</w:t>
            </w:r>
          </w:p>
        </w:tc>
        <w:tc>
          <w:tcPr>
            <w:cnfStyle w:val="000010000000" w:firstRow="0" w:lastRow="0" w:firstColumn="0" w:lastColumn="0" w:oddVBand="1" w:evenVBand="0" w:oddHBand="0" w:evenHBand="0" w:firstRowFirstColumn="0" w:firstRowLastColumn="0" w:lastRowFirstColumn="0" w:lastRowLastColumn="0"/>
            <w:tcW w:w="652" w:type="pct"/>
          </w:tcPr>
          <w:p w14:paraId="62E2D495" w14:textId="3FF62199" w:rsidR="00F23542" w:rsidRPr="0067507D" w:rsidRDefault="0050752F" w:rsidP="00F23542">
            <w:pPr>
              <w:pStyle w:val="Tabletextright"/>
            </w:pPr>
            <w:r w:rsidRPr="0067507D">
              <w:t>(473)</w:t>
            </w:r>
          </w:p>
        </w:tc>
        <w:tc>
          <w:tcPr>
            <w:cnfStyle w:val="000001000000" w:firstRow="0" w:lastRow="0" w:firstColumn="0" w:lastColumn="0" w:oddVBand="0" w:evenVBand="1" w:oddHBand="0" w:evenHBand="0" w:firstRowFirstColumn="0" w:firstRowLastColumn="0" w:lastRowFirstColumn="0" w:lastRowLastColumn="0"/>
            <w:tcW w:w="536" w:type="pct"/>
          </w:tcPr>
          <w:p w14:paraId="33023BDC" w14:textId="6073B5E2" w:rsidR="00F23542" w:rsidRPr="0067507D" w:rsidRDefault="0050752F" w:rsidP="00F23542">
            <w:pPr>
              <w:pStyle w:val="Tabletextright"/>
            </w:pPr>
            <w:r w:rsidRPr="0067507D">
              <w:t>(585)</w:t>
            </w:r>
          </w:p>
        </w:tc>
        <w:tc>
          <w:tcPr>
            <w:cnfStyle w:val="000010000000" w:firstRow="0" w:lastRow="0" w:firstColumn="0" w:lastColumn="0" w:oddVBand="1" w:evenVBand="0" w:oddHBand="0" w:evenHBand="0" w:firstRowFirstColumn="0" w:firstRowLastColumn="0" w:lastRowFirstColumn="0" w:lastRowLastColumn="0"/>
            <w:tcW w:w="535" w:type="pct"/>
          </w:tcPr>
          <w:p w14:paraId="77BF37B1" w14:textId="52159975" w:rsidR="00F23542" w:rsidRPr="0067507D" w:rsidRDefault="0050752F" w:rsidP="00F23542">
            <w:pPr>
              <w:pStyle w:val="Tabletextright"/>
            </w:pPr>
            <w:r w:rsidRPr="0067507D">
              <w:t>(570)</w:t>
            </w:r>
          </w:p>
        </w:tc>
      </w:tr>
      <w:tr w:rsidR="00E26BDE" w:rsidRPr="0067507D" w14:paraId="7C5A2C53"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0F03504A" w14:textId="0728F3A6" w:rsidR="00F23542" w:rsidRPr="0067507D" w:rsidRDefault="00F23542" w:rsidP="00F23542">
            <w:pPr>
              <w:pStyle w:val="Tabletext"/>
            </w:pPr>
            <w:r w:rsidRPr="0067507D">
              <w:t xml:space="preserve">Net result from transactions </w:t>
            </w:r>
          </w:p>
        </w:tc>
        <w:tc>
          <w:tcPr>
            <w:cnfStyle w:val="000010000000" w:firstRow="0" w:lastRow="0" w:firstColumn="0" w:lastColumn="0" w:oddVBand="1" w:evenVBand="0" w:oddHBand="0" w:evenHBand="0" w:firstRowFirstColumn="0" w:firstRowLastColumn="0" w:lastRowFirstColumn="0" w:lastRowLastColumn="0"/>
            <w:tcW w:w="623" w:type="pct"/>
          </w:tcPr>
          <w:p w14:paraId="0D2BCED3" w14:textId="4917D84F" w:rsidR="00F23542" w:rsidRPr="0067507D" w:rsidRDefault="0050752F" w:rsidP="00F23542">
            <w:pPr>
              <w:pStyle w:val="Tabletextright"/>
            </w:pPr>
            <w:r w:rsidRPr="0067507D">
              <w:t>6</w:t>
            </w:r>
          </w:p>
        </w:tc>
        <w:tc>
          <w:tcPr>
            <w:cnfStyle w:val="000001000000" w:firstRow="0" w:lastRow="0" w:firstColumn="0" w:lastColumn="0" w:oddVBand="0" w:evenVBand="1" w:oddHBand="0" w:evenHBand="0" w:firstRowFirstColumn="0" w:firstRowLastColumn="0" w:lastRowFirstColumn="0" w:lastRowLastColumn="0"/>
            <w:tcW w:w="623" w:type="pct"/>
          </w:tcPr>
          <w:p w14:paraId="64AA2102" w14:textId="51B24ADF" w:rsidR="00F23542" w:rsidRPr="0067507D" w:rsidRDefault="0050752F" w:rsidP="00F23542">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652" w:type="pct"/>
          </w:tcPr>
          <w:p w14:paraId="6DC137F2" w14:textId="42395583" w:rsidR="00F23542" w:rsidRPr="0067507D" w:rsidRDefault="0050752F" w:rsidP="00F23542">
            <w:pPr>
              <w:pStyle w:val="Tabletextright"/>
            </w:pPr>
            <w:r w:rsidRPr="0067507D">
              <w:t>13</w:t>
            </w:r>
          </w:p>
        </w:tc>
        <w:tc>
          <w:tcPr>
            <w:cnfStyle w:val="000001000000" w:firstRow="0" w:lastRow="0" w:firstColumn="0" w:lastColumn="0" w:oddVBand="0" w:evenVBand="1" w:oddHBand="0" w:evenHBand="0" w:firstRowFirstColumn="0" w:firstRowLastColumn="0" w:lastRowFirstColumn="0" w:lastRowLastColumn="0"/>
            <w:tcW w:w="536" w:type="pct"/>
          </w:tcPr>
          <w:p w14:paraId="288C202C" w14:textId="2C926AD1" w:rsidR="00F23542" w:rsidRPr="0067507D" w:rsidRDefault="0050752F" w:rsidP="00F23542">
            <w:pPr>
              <w:pStyle w:val="Tabletextright"/>
            </w:pPr>
            <w:r w:rsidRPr="0067507D">
              <w:t>22</w:t>
            </w:r>
          </w:p>
        </w:tc>
        <w:tc>
          <w:tcPr>
            <w:cnfStyle w:val="000010000000" w:firstRow="0" w:lastRow="0" w:firstColumn="0" w:lastColumn="0" w:oddVBand="1" w:evenVBand="0" w:oddHBand="0" w:evenHBand="0" w:firstRowFirstColumn="0" w:firstRowLastColumn="0" w:lastRowFirstColumn="0" w:lastRowLastColumn="0"/>
            <w:tcW w:w="535" w:type="pct"/>
          </w:tcPr>
          <w:p w14:paraId="22BB0922" w14:textId="0818A0CE" w:rsidR="00F23542" w:rsidRPr="0067507D" w:rsidRDefault="0050752F" w:rsidP="00F23542">
            <w:pPr>
              <w:pStyle w:val="Tabletextright"/>
            </w:pPr>
            <w:r w:rsidRPr="0067507D">
              <w:t>34</w:t>
            </w:r>
          </w:p>
        </w:tc>
      </w:tr>
      <w:tr w:rsidR="00E26BDE" w:rsidRPr="0067507D" w14:paraId="1A64247C"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2A63573A" w14:textId="5D2520AE" w:rsidR="00F23542" w:rsidRPr="0067507D" w:rsidRDefault="00F23542" w:rsidP="00F23542">
            <w:pPr>
              <w:pStyle w:val="Tabletext"/>
            </w:pPr>
            <w:r w:rsidRPr="0067507D">
              <w:t xml:space="preserve">Total other economic flows included in net result </w:t>
            </w:r>
          </w:p>
        </w:tc>
        <w:tc>
          <w:tcPr>
            <w:cnfStyle w:val="000010000000" w:firstRow="0" w:lastRow="0" w:firstColumn="0" w:lastColumn="0" w:oddVBand="1" w:evenVBand="0" w:oddHBand="0" w:evenHBand="0" w:firstRowFirstColumn="0" w:firstRowLastColumn="0" w:lastRowFirstColumn="0" w:lastRowLastColumn="0"/>
            <w:tcW w:w="623" w:type="pct"/>
          </w:tcPr>
          <w:p w14:paraId="40161547" w14:textId="27D56D79" w:rsidR="00F23542" w:rsidRPr="0067507D" w:rsidRDefault="0050752F" w:rsidP="00F23542">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623" w:type="pct"/>
          </w:tcPr>
          <w:p w14:paraId="2A3B0A07" w14:textId="2A327CE1" w:rsidR="00F23542" w:rsidRPr="0067507D" w:rsidRDefault="0050752F" w:rsidP="00F23542">
            <w:pPr>
              <w:pStyle w:val="Tabletextright"/>
            </w:pPr>
            <w:r w:rsidRPr="0067507D">
              <w:t>1</w:t>
            </w:r>
          </w:p>
        </w:tc>
        <w:tc>
          <w:tcPr>
            <w:cnfStyle w:val="000010000000" w:firstRow="0" w:lastRow="0" w:firstColumn="0" w:lastColumn="0" w:oddVBand="1" w:evenVBand="0" w:oddHBand="0" w:evenHBand="0" w:firstRowFirstColumn="0" w:firstRowLastColumn="0" w:lastRowFirstColumn="0" w:lastRowLastColumn="0"/>
            <w:tcW w:w="652" w:type="pct"/>
          </w:tcPr>
          <w:p w14:paraId="35FC8217" w14:textId="6DED8CCA" w:rsidR="00F23542" w:rsidRPr="0067507D" w:rsidRDefault="0050752F" w:rsidP="00F23542">
            <w:pPr>
              <w:pStyle w:val="Tabletextright"/>
            </w:pPr>
            <w:r w:rsidRPr="0067507D">
              <w:t>1</w:t>
            </w:r>
          </w:p>
        </w:tc>
        <w:tc>
          <w:tcPr>
            <w:cnfStyle w:val="000001000000" w:firstRow="0" w:lastRow="0" w:firstColumn="0" w:lastColumn="0" w:oddVBand="0" w:evenVBand="1" w:oddHBand="0" w:evenHBand="0" w:firstRowFirstColumn="0" w:firstRowLastColumn="0" w:lastRowFirstColumn="0" w:lastRowLastColumn="0"/>
            <w:tcW w:w="536" w:type="pct"/>
          </w:tcPr>
          <w:p w14:paraId="33177423" w14:textId="4D3F2568" w:rsidR="00F23542" w:rsidRPr="0067507D" w:rsidRDefault="0050752F" w:rsidP="00F23542">
            <w:pPr>
              <w:pStyle w:val="Tabletextright"/>
            </w:pPr>
            <w:r w:rsidRPr="0067507D">
              <w:t>4</w:t>
            </w:r>
          </w:p>
        </w:tc>
        <w:tc>
          <w:tcPr>
            <w:cnfStyle w:val="000010000000" w:firstRow="0" w:lastRow="0" w:firstColumn="0" w:lastColumn="0" w:oddVBand="1" w:evenVBand="0" w:oddHBand="0" w:evenHBand="0" w:firstRowFirstColumn="0" w:firstRowLastColumn="0" w:lastRowFirstColumn="0" w:lastRowLastColumn="0"/>
            <w:tcW w:w="535" w:type="pct"/>
          </w:tcPr>
          <w:p w14:paraId="25CF3D01" w14:textId="0A8AE2B9" w:rsidR="00F23542" w:rsidRPr="0067507D" w:rsidRDefault="0050752F" w:rsidP="00F23542">
            <w:pPr>
              <w:pStyle w:val="Tabletextright"/>
            </w:pPr>
            <w:r w:rsidRPr="0067507D">
              <w:t>4</w:t>
            </w:r>
          </w:p>
        </w:tc>
      </w:tr>
      <w:tr w:rsidR="00E26BDE" w:rsidRPr="0067507D" w14:paraId="6205EC63"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0ED869B7" w14:textId="613EC715" w:rsidR="00F23542" w:rsidRPr="0067507D" w:rsidRDefault="00F23542" w:rsidP="00F23542">
            <w:pPr>
              <w:pStyle w:val="Tabletext"/>
            </w:pPr>
            <w:r w:rsidRPr="0067507D">
              <w:t xml:space="preserve">Net result </w:t>
            </w:r>
            <w:r w:rsidR="00B12AB7"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623" w:type="pct"/>
          </w:tcPr>
          <w:p w14:paraId="1F5C3B98" w14:textId="7DC59C61" w:rsidR="00F23542" w:rsidRPr="0067507D" w:rsidRDefault="0050752F" w:rsidP="00F23542">
            <w:pPr>
              <w:pStyle w:val="Tabletextright"/>
            </w:pPr>
            <w:r w:rsidRPr="0067507D">
              <w:t>7</w:t>
            </w:r>
          </w:p>
        </w:tc>
        <w:tc>
          <w:tcPr>
            <w:cnfStyle w:val="000001000000" w:firstRow="0" w:lastRow="0" w:firstColumn="0" w:lastColumn="0" w:oddVBand="0" w:evenVBand="1" w:oddHBand="0" w:evenHBand="0" w:firstRowFirstColumn="0" w:firstRowLastColumn="0" w:lastRowFirstColumn="0" w:lastRowLastColumn="0"/>
            <w:tcW w:w="623" w:type="pct"/>
          </w:tcPr>
          <w:p w14:paraId="3066ECD8" w14:textId="210D37D7" w:rsidR="00F23542" w:rsidRPr="0067507D" w:rsidRDefault="0050752F" w:rsidP="00F23542">
            <w:pPr>
              <w:pStyle w:val="Tabletextright"/>
            </w:pPr>
            <w:r w:rsidRPr="0067507D">
              <w:t>1</w:t>
            </w:r>
          </w:p>
        </w:tc>
        <w:tc>
          <w:tcPr>
            <w:cnfStyle w:val="000010000000" w:firstRow="0" w:lastRow="0" w:firstColumn="0" w:lastColumn="0" w:oddVBand="1" w:evenVBand="0" w:oddHBand="0" w:evenHBand="0" w:firstRowFirstColumn="0" w:firstRowLastColumn="0" w:lastRowFirstColumn="0" w:lastRowLastColumn="0"/>
            <w:tcW w:w="652" w:type="pct"/>
          </w:tcPr>
          <w:p w14:paraId="7798DDE7" w14:textId="1323FDAA" w:rsidR="00F23542" w:rsidRPr="0067507D" w:rsidRDefault="0050752F" w:rsidP="00F23542">
            <w:pPr>
              <w:pStyle w:val="Tabletextright"/>
            </w:pPr>
            <w:r w:rsidRPr="0067507D">
              <w:t>14</w:t>
            </w:r>
          </w:p>
        </w:tc>
        <w:tc>
          <w:tcPr>
            <w:cnfStyle w:val="000001000000" w:firstRow="0" w:lastRow="0" w:firstColumn="0" w:lastColumn="0" w:oddVBand="0" w:evenVBand="1" w:oddHBand="0" w:evenHBand="0" w:firstRowFirstColumn="0" w:firstRowLastColumn="0" w:lastRowFirstColumn="0" w:lastRowLastColumn="0"/>
            <w:tcW w:w="536" w:type="pct"/>
          </w:tcPr>
          <w:p w14:paraId="3E85D30A" w14:textId="66C70BF7" w:rsidR="00F23542" w:rsidRPr="0067507D" w:rsidRDefault="0050752F" w:rsidP="00F23542">
            <w:pPr>
              <w:pStyle w:val="Tabletextright"/>
            </w:pPr>
            <w:r w:rsidRPr="0067507D">
              <w:t>26</w:t>
            </w:r>
          </w:p>
        </w:tc>
        <w:tc>
          <w:tcPr>
            <w:cnfStyle w:val="000010000000" w:firstRow="0" w:lastRow="0" w:firstColumn="0" w:lastColumn="0" w:oddVBand="1" w:evenVBand="0" w:oddHBand="0" w:evenHBand="0" w:firstRowFirstColumn="0" w:firstRowLastColumn="0" w:lastRowFirstColumn="0" w:lastRowLastColumn="0"/>
            <w:tcW w:w="535" w:type="pct"/>
          </w:tcPr>
          <w:p w14:paraId="2EFE04AB" w14:textId="7D22FF2F" w:rsidR="00F23542" w:rsidRPr="0067507D" w:rsidRDefault="0050752F" w:rsidP="00F23542">
            <w:pPr>
              <w:pStyle w:val="Tabletextright"/>
            </w:pPr>
            <w:r w:rsidRPr="0067507D">
              <w:t>38</w:t>
            </w:r>
          </w:p>
        </w:tc>
      </w:tr>
      <w:tr w:rsidR="00E26BDE" w:rsidRPr="0067507D" w14:paraId="74DEBD66"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184A6AC2" w14:textId="410C9EFE" w:rsidR="00F23542" w:rsidRPr="0067507D" w:rsidRDefault="00F23542" w:rsidP="00F23542">
            <w:pPr>
              <w:pStyle w:val="Tabletext"/>
            </w:pPr>
            <w:r w:rsidRPr="0067507D">
              <w:t xml:space="preserve">Net cash flow from operations </w:t>
            </w:r>
          </w:p>
        </w:tc>
        <w:tc>
          <w:tcPr>
            <w:cnfStyle w:val="000010000000" w:firstRow="0" w:lastRow="0" w:firstColumn="0" w:lastColumn="0" w:oddVBand="1" w:evenVBand="0" w:oddHBand="0" w:evenHBand="0" w:firstRowFirstColumn="0" w:firstRowLastColumn="0" w:lastRowFirstColumn="0" w:lastRowLastColumn="0"/>
            <w:tcW w:w="623" w:type="pct"/>
          </w:tcPr>
          <w:p w14:paraId="79EE5151" w14:textId="1C3C5822" w:rsidR="00F23542" w:rsidRPr="0067507D" w:rsidRDefault="0050752F" w:rsidP="00F23542">
            <w:pPr>
              <w:pStyle w:val="Tabletextright"/>
            </w:pPr>
            <w:r w:rsidRPr="0067507D">
              <w:t>7</w:t>
            </w:r>
          </w:p>
        </w:tc>
        <w:tc>
          <w:tcPr>
            <w:cnfStyle w:val="000001000000" w:firstRow="0" w:lastRow="0" w:firstColumn="0" w:lastColumn="0" w:oddVBand="0" w:evenVBand="1" w:oddHBand="0" w:evenHBand="0" w:firstRowFirstColumn="0" w:firstRowLastColumn="0" w:lastRowFirstColumn="0" w:lastRowLastColumn="0"/>
            <w:tcW w:w="623" w:type="pct"/>
          </w:tcPr>
          <w:p w14:paraId="46B27D26" w14:textId="520DCC5E" w:rsidR="00F23542" w:rsidRPr="0067507D" w:rsidRDefault="0050752F" w:rsidP="00F23542">
            <w:pPr>
              <w:pStyle w:val="Tabletextright"/>
            </w:pPr>
            <w:r w:rsidRPr="0067507D">
              <w:t>21</w:t>
            </w:r>
          </w:p>
        </w:tc>
        <w:tc>
          <w:tcPr>
            <w:cnfStyle w:val="000010000000" w:firstRow="0" w:lastRow="0" w:firstColumn="0" w:lastColumn="0" w:oddVBand="1" w:evenVBand="0" w:oddHBand="0" w:evenHBand="0" w:firstRowFirstColumn="0" w:firstRowLastColumn="0" w:lastRowFirstColumn="0" w:lastRowLastColumn="0"/>
            <w:tcW w:w="652" w:type="pct"/>
          </w:tcPr>
          <w:p w14:paraId="4877E3DC" w14:textId="76661EF1" w:rsidR="00F23542" w:rsidRPr="0067507D" w:rsidRDefault="0050752F" w:rsidP="00F23542">
            <w:pPr>
              <w:pStyle w:val="Tabletextright"/>
            </w:pPr>
            <w:r w:rsidRPr="0067507D">
              <w:t>30</w:t>
            </w:r>
          </w:p>
        </w:tc>
        <w:tc>
          <w:tcPr>
            <w:cnfStyle w:val="000001000000" w:firstRow="0" w:lastRow="0" w:firstColumn="0" w:lastColumn="0" w:oddVBand="0" w:evenVBand="1" w:oddHBand="0" w:evenHBand="0" w:firstRowFirstColumn="0" w:firstRowLastColumn="0" w:lastRowFirstColumn="0" w:lastRowLastColumn="0"/>
            <w:tcW w:w="536" w:type="pct"/>
          </w:tcPr>
          <w:p w14:paraId="3A6D4C95" w14:textId="46BDF9DD" w:rsidR="00F23542" w:rsidRPr="0067507D" w:rsidRDefault="0050752F" w:rsidP="00F23542">
            <w:pPr>
              <w:pStyle w:val="Tabletextright"/>
            </w:pPr>
            <w:r w:rsidRPr="0067507D">
              <w:t>19</w:t>
            </w:r>
          </w:p>
        </w:tc>
        <w:tc>
          <w:tcPr>
            <w:cnfStyle w:val="000010000000" w:firstRow="0" w:lastRow="0" w:firstColumn="0" w:lastColumn="0" w:oddVBand="1" w:evenVBand="0" w:oddHBand="0" w:evenHBand="0" w:firstRowFirstColumn="0" w:firstRowLastColumn="0" w:lastRowFirstColumn="0" w:lastRowLastColumn="0"/>
            <w:tcW w:w="535" w:type="pct"/>
          </w:tcPr>
          <w:p w14:paraId="0E1FCBEB" w14:textId="012765EF" w:rsidR="00F23542" w:rsidRPr="0067507D" w:rsidRDefault="0050752F" w:rsidP="00F23542">
            <w:pPr>
              <w:pStyle w:val="Tabletextright"/>
            </w:pPr>
            <w:r w:rsidRPr="0067507D">
              <w:t>34</w:t>
            </w:r>
          </w:p>
        </w:tc>
      </w:tr>
      <w:tr w:rsidR="00E26BDE" w:rsidRPr="0067507D" w14:paraId="237FA31F"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2014F9C1" w14:textId="09D22580" w:rsidR="00F23542" w:rsidRPr="0067507D" w:rsidRDefault="00F23542" w:rsidP="00F23542">
            <w:pPr>
              <w:pStyle w:val="Tabletextbold"/>
              <w:spacing w:before="25" w:after="25"/>
              <w:rPr>
                <w:rFonts w:asciiTheme="minorHAnsi" w:hAnsiTheme="minorHAnsi"/>
              </w:rPr>
            </w:pPr>
            <w:r w:rsidRPr="0067507D">
              <w:rPr>
                <w:rFonts w:asciiTheme="minorHAnsi" w:hAnsiTheme="minorHAnsi"/>
              </w:rPr>
              <w:t xml:space="preserve">Total assets </w:t>
            </w:r>
          </w:p>
        </w:tc>
        <w:tc>
          <w:tcPr>
            <w:cnfStyle w:val="000010000000" w:firstRow="0" w:lastRow="0" w:firstColumn="0" w:lastColumn="0" w:oddVBand="1" w:evenVBand="0" w:oddHBand="0" w:evenHBand="0" w:firstRowFirstColumn="0" w:firstRowLastColumn="0" w:lastRowFirstColumn="0" w:lastRowLastColumn="0"/>
            <w:tcW w:w="623" w:type="pct"/>
          </w:tcPr>
          <w:p w14:paraId="5FBE12CA" w14:textId="5DF55539" w:rsidR="00F23542" w:rsidRPr="0067507D" w:rsidRDefault="0050752F" w:rsidP="00F23542">
            <w:pPr>
              <w:pStyle w:val="Tabletextrightbold"/>
              <w:rPr>
                <w:rFonts w:asciiTheme="minorHAnsi" w:hAnsiTheme="minorHAnsi"/>
              </w:rPr>
            </w:pPr>
            <w:r w:rsidRPr="0067507D">
              <w:rPr>
                <w:rFonts w:asciiTheme="minorHAnsi" w:hAnsiTheme="minorHAnsi"/>
              </w:rPr>
              <w:t>224</w:t>
            </w:r>
          </w:p>
        </w:tc>
        <w:tc>
          <w:tcPr>
            <w:cnfStyle w:val="000001000000" w:firstRow="0" w:lastRow="0" w:firstColumn="0" w:lastColumn="0" w:oddVBand="0" w:evenVBand="1" w:oddHBand="0" w:evenHBand="0" w:firstRowFirstColumn="0" w:firstRowLastColumn="0" w:lastRowFirstColumn="0" w:lastRowLastColumn="0"/>
            <w:tcW w:w="623" w:type="pct"/>
          </w:tcPr>
          <w:p w14:paraId="19E3B9A2" w14:textId="27D34E9D" w:rsidR="00F23542" w:rsidRPr="0067507D" w:rsidRDefault="0050752F" w:rsidP="00F23542">
            <w:pPr>
              <w:pStyle w:val="Tabletextrightbold"/>
              <w:rPr>
                <w:rFonts w:asciiTheme="minorHAnsi" w:hAnsiTheme="minorHAnsi"/>
              </w:rPr>
            </w:pPr>
            <w:r w:rsidRPr="0067507D">
              <w:rPr>
                <w:rFonts w:asciiTheme="minorHAnsi" w:hAnsiTheme="minorHAnsi"/>
              </w:rPr>
              <w:t>232</w:t>
            </w:r>
          </w:p>
        </w:tc>
        <w:tc>
          <w:tcPr>
            <w:cnfStyle w:val="000010000000" w:firstRow="0" w:lastRow="0" w:firstColumn="0" w:lastColumn="0" w:oddVBand="1" w:evenVBand="0" w:oddHBand="0" w:evenHBand="0" w:firstRowFirstColumn="0" w:firstRowLastColumn="0" w:lastRowFirstColumn="0" w:lastRowLastColumn="0"/>
            <w:tcW w:w="652" w:type="pct"/>
          </w:tcPr>
          <w:p w14:paraId="5055450E" w14:textId="707BADE1" w:rsidR="00F23542" w:rsidRPr="0067507D" w:rsidRDefault="0050752F" w:rsidP="00F23542">
            <w:pPr>
              <w:pStyle w:val="Tabletextrightbold"/>
              <w:rPr>
                <w:rFonts w:asciiTheme="minorHAnsi" w:hAnsiTheme="minorHAnsi"/>
              </w:rPr>
            </w:pPr>
            <w:r w:rsidRPr="0067507D">
              <w:rPr>
                <w:rFonts w:asciiTheme="minorHAnsi" w:hAnsiTheme="minorHAnsi"/>
              </w:rPr>
              <w:t>218</w:t>
            </w:r>
          </w:p>
        </w:tc>
        <w:tc>
          <w:tcPr>
            <w:cnfStyle w:val="000001000000" w:firstRow="0" w:lastRow="0" w:firstColumn="0" w:lastColumn="0" w:oddVBand="0" w:evenVBand="1" w:oddHBand="0" w:evenHBand="0" w:firstRowFirstColumn="0" w:firstRowLastColumn="0" w:lastRowFirstColumn="0" w:lastRowLastColumn="0"/>
            <w:tcW w:w="536" w:type="pct"/>
          </w:tcPr>
          <w:p w14:paraId="724715AE" w14:textId="53CA9091" w:rsidR="00F23542" w:rsidRPr="0067507D" w:rsidRDefault="0050752F" w:rsidP="00F23542">
            <w:pPr>
              <w:pStyle w:val="Tabletextrightbold"/>
              <w:rPr>
                <w:rFonts w:asciiTheme="minorHAnsi" w:hAnsiTheme="minorHAnsi"/>
              </w:rPr>
            </w:pPr>
            <w:r w:rsidRPr="0067507D">
              <w:rPr>
                <w:rFonts w:asciiTheme="minorHAnsi" w:hAnsiTheme="minorHAnsi"/>
              </w:rPr>
              <w:t>1,676</w:t>
            </w:r>
          </w:p>
        </w:tc>
        <w:tc>
          <w:tcPr>
            <w:cnfStyle w:val="000010000000" w:firstRow="0" w:lastRow="0" w:firstColumn="0" w:lastColumn="0" w:oddVBand="1" w:evenVBand="0" w:oddHBand="0" w:evenHBand="0" w:firstRowFirstColumn="0" w:firstRowLastColumn="0" w:lastRowFirstColumn="0" w:lastRowLastColumn="0"/>
            <w:tcW w:w="535" w:type="pct"/>
          </w:tcPr>
          <w:p w14:paraId="2C17AE1F" w14:textId="0CB1D73B" w:rsidR="00F23542" w:rsidRPr="0067507D" w:rsidRDefault="0050752F" w:rsidP="00F23542">
            <w:pPr>
              <w:pStyle w:val="Tabletextrightbold"/>
              <w:rPr>
                <w:rFonts w:asciiTheme="minorHAnsi" w:hAnsiTheme="minorHAnsi"/>
              </w:rPr>
            </w:pPr>
            <w:r w:rsidRPr="0067507D">
              <w:rPr>
                <w:rFonts w:asciiTheme="minorHAnsi" w:hAnsiTheme="minorHAnsi"/>
              </w:rPr>
              <w:t>1</w:t>
            </w:r>
            <w:r w:rsidR="00007BD8" w:rsidRPr="0067507D">
              <w:rPr>
                <w:rFonts w:asciiTheme="minorHAnsi" w:hAnsiTheme="minorHAnsi"/>
              </w:rPr>
              <w:t xml:space="preserve"> </w:t>
            </w:r>
            <w:r w:rsidRPr="0067507D">
              <w:rPr>
                <w:rFonts w:asciiTheme="minorHAnsi" w:hAnsiTheme="minorHAnsi"/>
              </w:rPr>
              <w:t>392</w:t>
            </w:r>
          </w:p>
        </w:tc>
      </w:tr>
      <w:tr w:rsidR="00E26BDE" w:rsidRPr="0067507D" w14:paraId="0B3BC85E" w14:textId="77777777" w:rsidTr="004D70AA">
        <w:tc>
          <w:tcPr>
            <w:cnfStyle w:val="001000000000" w:firstRow="0" w:lastRow="0" w:firstColumn="1" w:lastColumn="0" w:oddVBand="0" w:evenVBand="0" w:oddHBand="0" w:evenHBand="0" w:firstRowFirstColumn="0" w:firstRowLastColumn="0" w:lastRowFirstColumn="0" w:lastRowLastColumn="0"/>
            <w:tcW w:w="2031" w:type="pct"/>
            <w:hideMark/>
          </w:tcPr>
          <w:p w14:paraId="72A19727" w14:textId="49109B13" w:rsidR="00F23542" w:rsidRPr="0067507D" w:rsidRDefault="00F23542" w:rsidP="00F23542">
            <w:pPr>
              <w:pStyle w:val="Tabletextbold"/>
              <w:spacing w:before="25" w:after="25"/>
              <w:rPr>
                <w:rFonts w:asciiTheme="minorHAnsi" w:hAnsiTheme="minorHAnsi"/>
              </w:rPr>
            </w:pPr>
            <w:r w:rsidRPr="0067507D">
              <w:rPr>
                <w:rFonts w:asciiTheme="minorHAnsi" w:hAnsiTheme="minorHAnsi"/>
              </w:rPr>
              <w:t xml:space="preserve">Total liabilities </w:t>
            </w:r>
          </w:p>
        </w:tc>
        <w:tc>
          <w:tcPr>
            <w:cnfStyle w:val="000010000000" w:firstRow="0" w:lastRow="0" w:firstColumn="0" w:lastColumn="0" w:oddVBand="1" w:evenVBand="0" w:oddHBand="0" w:evenHBand="0" w:firstRowFirstColumn="0" w:firstRowLastColumn="0" w:lastRowFirstColumn="0" w:lastRowLastColumn="0"/>
            <w:tcW w:w="623" w:type="pct"/>
          </w:tcPr>
          <w:p w14:paraId="3C30AA88" w14:textId="1D1A0604" w:rsidR="00F23542" w:rsidRPr="0067507D" w:rsidRDefault="0050752F" w:rsidP="00F23542">
            <w:pPr>
              <w:pStyle w:val="Tabletextrightbold"/>
              <w:rPr>
                <w:rFonts w:asciiTheme="minorHAnsi" w:hAnsiTheme="minorHAnsi"/>
              </w:rPr>
            </w:pPr>
            <w:r w:rsidRPr="0067507D">
              <w:rPr>
                <w:rFonts w:asciiTheme="minorHAnsi" w:hAnsiTheme="minorHAnsi"/>
              </w:rPr>
              <w:t>142</w:t>
            </w:r>
          </w:p>
        </w:tc>
        <w:tc>
          <w:tcPr>
            <w:cnfStyle w:val="000001000000" w:firstRow="0" w:lastRow="0" w:firstColumn="0" w:lastColumn="0" w:oddVBand="0" w:evenVBand="1" w:oddHBand="0" w:evenHBand="0" w:firstRowFirstColumn="0" w:firstRowLastColumn="0" w:lastRowFirstColumn="0" w:lastRowLastColumn="0"/>
            <w:tcW w:w="623" w:type="pct"/>
          </w:tcPr>
          <w:p w14:paraId="320AE485" w14:textId="0A658054" w:rsidR="00F23542" w:rsidRPr="0067507D" w:rsidRDefault="0050752F" w:rsidP="00F23542">
            <w:pPr>
              <w:pStyle w:val="Tabletextrightbold"/>
              <w:rPr>
                <w:rFonts w:asciiTheme="minorHAnsi" w:hAnsiTheme="minorHAnsi"/>
              </w:rPr>
            </w:pPr>
            <w:r w:rsidRPr="0067507D">
              <w:rPr>
                <w:rFonts w:asciiTheme="minorHAnsi" w:hAnsiTheme="minorHAnsi"/>
              </w:rPr>
              <w:t>156</w:t>
            </w:r>
          </w:p>
        </w:tc>
        <w:tc>
          <w:tcPr>
            <w:cnfStyle w:val="000010000000" w:firstRow="0" w:lastRow="0" w:firstColumn="0" w:lastColumn="0" w:oddVBand="1" w:evenVBand="0" w:oddHBand="0" w:evenHBand="0" w:firstRowFirstColumn="0" w:firstRowLastColumn="0" w:lastRowFirstColumn="0" w:lastRowLastColumn="0"/>
            <w:tcW w:w="652" w:type="pct"/>
          </w:tcPr>
          <w:p w14:paraId="66ED963C" w14:textId="72F8C4D2" w:rsidR="00F23542" w:rsidRPr="0067507D" w:rsidRDefault="0050752F" w:rsidP="00F23542">
            <w:pPr>
              <w:pStyle w:val="Tabletextrightbold"/>
              <w:rPr>
                <w:rFonts w:asciiTheme="minorHAnsi" w:hAnsiTheme="minorHAnsi"/>
              </w:rPr>
            </w:pPr>
            <w:r w:rsidRPr="0067507D">
              <w:rPr>
                <w:rFonts w:asciiTheme="minorHAnsi" w:hAnsiTheme="minorHAnsi"/>
              </w:rPr>
              <w:t>135</w:t>
            </w:r>
          </w:p>
        </w:tc>
        <w:tc>
          <w:tcPr>
            <w:cnfStyle w:val="000001000000" w:firstRow="0" w:lastRow="0" w:firstColumn="0" w:lastColumn="0" w:oddVBand="0" w:evenVBand="1" w:oddHBand="0" w:evenHBand="0" w:firstRowFirstColumn="0" w:firstRowLastColumn="0" w:lastRowFirstColumn="0" w:lastRowLastColumn="0"/>
            <w:tcW w:w="536" w:type="pct"/>
          </w:tcPr>
          <w:p w14:paraId="43A9666C" w14:textId="4CA38FDE" w:rsidR="00F23542" w:rsidRPr="0067507D" w:rsidRDefault="0050752F" w:rsidP="00F23542">
            <w:pPr>
              <w:pStyle w:val="Tabletextrightbold"/>
              <w:rPr>
                <w:rFonts w:asciiTheme="minorHAnsi" w:hAnsiTheme="minorHAnsi"/>
              </w:rPr>
            </w:pPr>
            <w:r w:rsidRPr="0067507D">
              <w:rPr>
                <w:rFonts w:asciiTheme="minorHAnsi" w:hAnsiTheme="minorHAnsi"/>
              </w:rPr>
              <w:t>195</w:t>
            </w:r>
          </w:p>
        </w:tc>
        <w:tc>
          <w:tcPr>
            <w:cnfStyle w:val="000010000000" w:firstRow="0" w:lastRow="0" w:firstColumn="0" w:lastColumn="0" w:oddVBand="1" w:evenVBand="0" w:oddHBand="0" w:evenHBand="0" w:firstRowFirstColumn="0" w:firstRowLastColumn="0" w:lastRowFirstColumn="0" w:lastRowLastColumn="0"/>
            <w:tcW w:w="535" w:type="pct"/>
          </w:tcPr>
          <w:p w14:paraId="54CB02EB" w14:textId="39D320EC" w:rsidR="00F23542" w:rsidRPr="0067507D" w:rsidRDefault="0050752F" w:rsidP="00F23542">
            <w:pPr>
              <w:pStyle w:val="Tabletextrightbold"/>
              <w:rPr>
                <w:rFonts w:asciiTheme="minorHAnsi" w:hAnsiTheme="minorHAnsi"/>
              </w:rPr>
            </w:pPr>
            <w:r w:rsidRPr="0067507D">
              <w:rPr>
                <w:rFonts w:asciiTheme="minorHAnsi" w:hAnsiTheme="minorHAnsi"/>
              </w:rPr>
              <w:t>151</w:t>
            </w:r>
          </w:p>
        </w:tc>
      </w:tr>
    </w:tbl>
    <w:bookmarkEnd w:id="38"/>
    <w:p w14:paraId="175E7A33" w14:textId="77777777" w:rsidR="00343396" w:rsidRPr="0067507D" w:rsidRDefault="00AC418A" w:rsidP="00A46E0D">
      <w:pPr>
        <w:pStyle w:val="Notes"/>
      </w:pPr>
      <w:r w:rsidRPr="0067507D">
        <w:t>Notes:</w:t>
      </w:r>
    </w:p>
    <w:p w14:paraId="11522A94" w14:textId="4C05D8E4" w:rsidR="004147BB" w:rsidRPr="0067507D" w:rsidRDefault="00CF31FE" w:rsidP="00295DDF">
      <w:pPr>
        <w:pStyle w:val="Notes"/>
        <w:rPr>
          <w:szCs w:val="14"/>
        </w:rPr>
      </w:pPr>
      <w:r w:rsidRPr="0067507D">
        <w:rPr>
          <w:szCs w:val="14"/>
        </w:rPr>
        <w:t xml:space="preserve">(a) </w:t>
      </w:r>
      <w:r w:rsidR="00AC418A" w:rsidRPr="0067507D">
        <w:rPr>
          <w:szCs w:val="14"/>
        </w:rPr>
        <w:t>Table may not add due to rounding</w:t>
      </w:r>
      <w:r w:rsidRPr="0067507D">
        <w:rPr>
          <w:szCs w:val="14"/>
        </w:rPr>
        <w:t>.</w:t>
      </w:r>
    </w:p>
    <w:p w14:paraId="19A4406E" w14:textId="2DEAA288" w:rsidR="004147BB" w:rsidRPr="0067507D" w:rsidRDefault="004147BB" w:rsidP="005D773F">
      <w:pPr>
        <w:pStyle w:val="Notes"/>
        <w:rPr>
          <w:szCs w:val="14"/>
        </w:rPr>
        <w:sectPr w:rsidR="004147BB" w:rsidRPr="0067507D" w:rsidSect="00AF5161">
          <w:type w:val="continuous"/>
          <w:pgSz w:w="11909" w:h="16834" w:code="9"/>
          <w:pgMar w:top="1728" w:right="1152" w:bottom="1152" w:left="1152" w:header="720" w:footer="288" w:gutter="0"/>
          <w:cols w:space="569"/>
          <w:noEndnote/>
        </w:sectPr>
      </w:pPr>
    </w:p>
    <w:p w14:paraId="4C120C12" w14:textId="0A69C291" w:rsidR="00250469" w:rsidRPr="0067507D" w:rsidRDefault="00F32C4A" w:rsidP="00F32C4A">
      <w:pPr>
        <w:pStyle w:val="Heading1"/>
      </w:pPr>
      <w:bookmarkStart w:id="41" w:name="_Toc525026156"/>
      <w:bookmarkStart w:id="42" w:name="_Toc17189953"/>
      <w:bookmarkStart w:id="43" w:name="_Toc85547999"/>
      <w:bookmarkStart w:id="44" w:name="_Toc178687202"/>
      <w:bookmarkStart w:id="45" w:name="_Toc210221136"/>
      <w:bookmarkStart w:id="46" w:name="Section_02"/>
      <w:bookmarkStart w:id="47" w:name="_Toc456085525"/>
      <w:bookmarkStart w:id="48" w:name="_Toc493685431"/>
      <w:bookmarkStart w:id="49" w:name="_Toc337034710"/>
      <w:bookmarkStart w:id="50" w:name="_Toc337034819"/>
      <w:bookmarkStart w:id="51" w:name="_Toc434228916"/>
      <w:bookmarkStart w:id="52" w:name="_Toc85548000"/>
      <w:r w:rsidRPr="0067507D">
        <w:lastRenderedPageBreak/>
        <w:t xml:space="preserve">Financial </w:t>
      </w:r>
      <w:bookmarkEnd w:id="41"/>
      <w:bookmarkEnd w:id="42"/>
      <w:bookmarkEnd w:id="43"/>
      <w:r w:rsidRPr="0067507D">
        <w:t>statements</w:t>
      </w:r>
      <w:bookmarkEnd w:id="44"/>
      <w:bookmarkEnd w:id="45"/>
    </w:p>
    <w:p w14:paraId="6001060C" w14:textId="77777777" w:rsidR="005D2595" w:rsidRPr="0067507D" w:rsidRDefault="005D2595" w:rsidP="005D2595">
      <w:pPr>
        <w:pStyle w:val="Heading2"/>
      </w:pPr>
      <w:r w:rsidRPr="0067507D">
        <w:t>Contents</w:t>
      </w:r>
    </w:p>
    <w:bookmarkStart w:id="53" w:name="_Ref492631681"/>
    <w:bookmarkStart w:id="54" w:name="_Toc303670541"/>
    <w:bookmarkStart w:id="55" w:name="_Toc335740840"/>
    <w:bookmarkEnd w:id="46"/>
    <w:bookmarkEnd w:id="47"/>
    <w:bookmarkEnd w:id="48"/>
    <w:bookmarkEnd w:id="49"/>
    <w:bookmarkEnd w:id="50"/>
    <w:bookmarkEnd w:id="51"/>
    <w:bookmarkEnd w:id="52"/>
    <w:p w14:paraId="2251D609" w14:textId="4098B3A6"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r w:rsidRPr="0067507D">
        <w:rPr>
          <w:rFonts w:asciiTheme="minorHAnsi" w:hAnsiTheme="minorHAnsi"/>
          <w:b/>
          <w:noProof w:val="0"/>
          <w:color w:val="4A4A4A"/>
          <w:sz w:val="20"/>
        </w:rPr>
        <w:fldChar w:fldCharType="begin"/>
      </w:r>
      <w:r w:rsidRPr="0067507D">
        <w:rPr>
          <w:noProof w:val="0"/>
        </w:rPr>
        <w:instrText xml:space="preserve"> TOC \h \z \t " Heading Fin,1,Heading 1 numbered,1,Heading 2 numbered,3 \b Section_02,Heading 2 numbered,3 \b Section_03,Heading 2 numbered,3 \b Section_04,Heading 2 numbered,3 \b Section_05, Heading 2 numbered,3 \b Section_06,Heading 2 numbered,3 \b Section_07, Heading 2 numbered,3 \b Section_08,Heading 2 numbered,3 \b Section_09</w:instrText>
      </w:r>
      <w:r w:rsidRPr="0067507D">
        <w:rPr>
          <w:rFonts w:asciiTheme="minorHAnsi" w:hAnsiTheme="minorHAnsi"/>
          <w:b/>
          <w:noProof w:val="0"/>
          <w:color w:val="4A4A4A"/>
          <w:sz w:val="20"/>
        </w:rPr>
        <w:fldChar w:fldCharType="separate"/>
      </w:r>
      <w:hyperlink w:anchor="_Toc210213988" w:history="1">
        <w:r w:rsidRPr="0067507D">
          <w:rPr>
            <w:rStyle w:val="Hyperlink"/>
          </w:rPr>
          <w:t>Comprehensive operating statement</w:t>
        </w:r>
        <w:r w:rsidRPr="0067507D">
          <w:rPr>
            <w:webHidden/>
          </w:rPr>
          <w:tab/>
        </w:r>
        <w:r w:rsidRPr="0067507D">
          <w:rPr>
            <w:webHidden/>
          </w:rPr>
          <w:fldChar w:fldCharType="begin"/>
        </w:r>
        <w:r w:rsidRPr="0067507D">
          <w:rPr>
            <w:webHidden/>
          </w:rPr>
          <w:instrText xml:space="preserve"> PAGEREF _Toc210213988 \h </w:instrText>
        </w:r>
        <w:r w:rsidRPr="0067507D">
          <w:rPr>
            <w:webHidden/>
          </w:rPr>
        </w:r>
        <w:r w:rsidRPr="0067507D">
          <w:rPr>
            <w:webHidden/>
          </w:rPr>
          <w:fldChar w:fldCharType="separate"/>
        </w:r>
        <w:r w:rsidR="008F4C0F">
          <w:rPr>
            <w:webHidden/>
          </w:rPr>
          <w:t>53</w:t>
        </w:r>
        <w:r w:rsidRPr="0067507D">
          <w:rPr>
            <w:webHidden/>
          </w:rPr>
          <w:fldChar w:fldCharType="end"/>
        </w:r>
      </w:hyperlink>
    </w:p>
    <w:p w14:paraId="388CE6FE" w14:textId="132C3195"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3989" w:history="1">
        <w:r w:rsidRPr="0067507D">
          <w:rPr>
            <w:rStyle w:val="Hyperlink"/>
          </w:rPr>
          <w:t>Balance sheet</w:t>
        </w:r>
        <w:r w:rsidRPr="0067507D">
          <w:rPr>
            <w:webHidden/>
          </w:rPr>
          <w:tab/>
        </w:r>
        <w:r w:rsidRPr="0067507D">
          <w:rPr>
            <w:webHidden/>
          </w:rPr>
          <w:fldChar w:fldCharType="begin"/>
        </w:r>
        <w:r w:rsidRPr="0067507D">
          <w:rPr>
            <w:webHidden/>
          </w:rPr>
          <w:instrText xml:space="preserve"> PAGEREF _Toc210213989 \h </w:instrText>
        </w:r>
        <w:r w:rsidRPr="0067507D">
          <w:rPr>
            <w:webHidden/>
          </w:rPr>
        </w:r>
        <w:r w:rsidRPr="0067507D">
          <w:rPr>
            <w:webHidden/>
          </w:rPr>
          <w:fldChar w:fldCharType="separate"/>
        </w:r>
        <w:r w:rsidR="008F4C0F">
          <w:rPr>
            <w:webHidden/>
          </w:rPr>
          <w:t>54</w:t>
        </w:r>
        <w:r w:rsidRPr="0067507D">
          <w:rPr>
            <w:webHidden/>
          </w:rPr>
          <w:fldChar w:fldCharType="end"/>
        </w:r>
      </w:hyperlink>
    </w:p>
    <w:p w14:paraId="1086824E" w14:textId="663196B4"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3990" w:history="1">
        <w:r w:rsidRPr="0067507D">
          <w:rPr>
            <w:rStyle w:val="Hyperlink"/>
          </w:rPr>
          <w:t>Statement of changes in equity</w:t>
        </w:r>
        <w:r w:rsidRPr="0067507D">
          <w:rPr>
            <w:webHidden/>
          </w:rPr>
          <w:tab/>
        </w:r>
        <w:r w:rsidRPr="0067507D">
          <w:rPr>
            <w:webHidden/>
          </w:rPr>
          <w:fldChar w:fldCharType="begin"/>
        </w:r>
        <w:r w:rsidRPr="0067507D">
          <w:rPr>
            <w:webHidden/>
          </w:rPr>
          <w:instrText xml:space="preserve"> PAGEREF _Toc210213990 \h </w:instrText>
        </w:r>
        <w:r w:rsidRPr="0067507D">
          <w:rPr>
            <w:webHidden/>
          </w:rPr>
        </w:r>
        <w:r w:rsidRPr="0067507D">
          <w:rPr>
            <w:webHidden/>
          </w:rPr>
          <w:fldChar w:fldCharType="separate"/>
        </w:r>
        <w:r w:rsidR="008F4C0F">
          <w:rPr>
            <w:webHidden/>
          </w:rPr>
          <w:t>55</w:t>
        </w:r>
        <w:r w:rsidRPr="0067507D">
          <w:rPr>
            <w:webHidden/>
          </w:rPr>
          <w:fldChar w:fldCharType="end"/>
        </w:r>
      </w:hyperlink>
    </w:p>
    <w:p w14:paraId="1341B09F" w14:textId="27D93016"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3991" w:history="1">
        <w:r w:rsidRPr="0067507D">
          <w:rPr>
            <w:rStyle w:val="Hyperlink"/>
          </w:rPr>
          <w:t>Cash flow statement</w:t>
        </w:r>
        <w:r w:rsidRPr="0067507D">
          <w:rPr>
            <w:webHidden/>
          </w:rPr>
          <w:tab/>
        </w:r>
        <w:r w:rsidRPr="0067507D">
          <w:rPr>
            <w:webHidden/>
          </w:rPr>
          <w:fldChar w:fldCharType="begin"/>
        </w:r>
        <w:r w:rsidRPr="0067507D">
          <w:rPr>
            <w:webHidden/>
          </w:rPr>
          <w:instrText xml:space="preserve"> PAGEREF _Toc210213991 \h </w:instrText>
        </w:r>
        <w:r w:rsidRPr="0067507D">
          <w:rPr>
            <w:webHidden/>
          </w:rPr>
        </w:r>
        <w:r w:rsidRPr="0067507D">
          <w:rPr>
            <w:webHidden/>
          </w:rPr>
          <w:fldChar w:fldCharType="separate"/>
        </w:r>
        <w:r w:rsidR="008F4C0F">
          <w:rPr>
            <w:webHidden/>
          </w:rPr>
          <w:t>56</w:t>
        </w:r>
        <w:r w:rsidRPr="0067507D">
          <w:rPr>
            <w:webHidden/>
          </w:rPr>
          <w:fldChar w:fldCharType="end"/>
        </w:r>
      </w:hyperlink>
    </w:p>
    <w:p w14:paraId="5A2185C6" w14:textId="4415055E"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3993" w:history="1">
        <w:r w:rsidRPr="0067507D">
          <w:rPr>
            <w:rStyle w:val="Hyperlink"/>
          </w:rPr>
          <w:t>1</w:t>
        </w:r>
        <w:r w:rsidRPr="0067507D">
          <w:rPr>
            <w:rFonts w:asciiTheme="minorHAnsi" w:eastAsiaTheme="minorEastAsia" w:hAnsiTheme="minorHAnsi" w:cstheme="minorBidi"/>
            <w:color w:val="auto"/>
            <w:kern w:val="2"/>
            <w:sz w:val="24"/>
            <w:szCs w:val="24"/>
            <w14:ligatures w14:val="standardContextual"/>
          </w:rPr>
          <w:tab/>
        </w:r>
        <w:r w:rsidRPr="0067507D">
          <w:rPr>
            <w:rStyle w:val="Hyperlink"/>
          </w:rPr>
          <w:t>About this report</w:t>
        </w:r>
        <w:r w:rsidRPr="0067507D">
          <w:rPr>
            <w:webHidden/>
          </w:rPr>
          <w:tab/>
        </w:r>
        <w:r w:rsidRPr="0067507D">
          <w:rPr>
            <w:webHidden/>
          </w:rPr>
          <w:fldChar w:fldCharType="begin"/>
        </w:r>
        <w:r w:rsidRPr="0067507D">
          <w:rPr>
            <w:webHidden/>
          </w:rPr>
          <w:instrText xml:space="preserve"> PAGEREF _Toc210213993 \h </w:instrText>
        </w:r>
        <w:r w:rsidRPr="0067507D">
          <w:rPr>
            <w:webHidden/>
          </w:rPr>
        </w:r>
        <w:r w:rsidRPr="0067507D">
          <w:rPr>
            <w:webHidden/>
          </w:rPr>
          <w:fldChar w:fldCharType="separate"/>
        </w:r>
        <w:r w:rsidR="008F4C0F">
          <w:rPr>
            <w:webHidden/>
          </w:rPr>
          <w:t>57</w:t>
        </w:r>
        <w:r w:rsidRPr="0067507D">
          <w:rPr>
            <w:webHidden/>
          </w:rPr>
          <w:fldChar w:fldCharType="end"/>
        </w:r>
      </w:hyperlink>
    </w:p>
    <w:p w14:paraId="5315D7BE" w14:textId="259C531F"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3994" w:history="1">
        <w:r w:rsidRPr="0067507D">
          <w:rPr>
            <w:rStyle w:val="Hyperlink"/>
          </w:rPr>
          <w:t>2</w:t>
        </w:r>
        <w:r w:rsidRPr="0067507D">
          <w:rPr>
            <w:rFonts w:asciiTheme="minorHAnsi" w:eastAsiaTheme="minorEastAsia" w:hAnsiTheme="minorHAnsi" w:cstheme="minorBidi"/>
            <w:color w:val="auto"/>
            <w:kern w:val="2"/>
            <w:sz w:val="24"/>
            <w:szCs w:val="24"/>
            <w14:ligatures w14:val="standardContextual"/>
          </w:rPr>
          <w:tab/>
        </w:r>
        <w:r w:rsidRPr="0067507D">
          <w:rPr>
            <w:rStyle w:val="Hyperlink"/>
          </w:rPr>
          <w:t>Funding delivery of services</w:t>
        </w:r>
        <w:r w:rsidRPr="0067507D">
          <w:rPr>
            <w:webHidden/>
          </w:rPr>
          <w:tab/>
        </w:r>
        <w:r w:rsidRPr="0067507D">
          <w:rPr>
            <w:webHidden/>
          </w:rPr>
          <w:fldChar w:fldCharType="begin"/>
        </w:r>
        <w:r w:rsidRPr="0067507D">
          <w:rPr>
            <w:webHidden/>
          </w:rPr>
          <w:instrText xml:space="preserve"> PAGEREF _Toc210213994 \h </w:instrText>
        </w:r>
        <w:r w:rsidRPr="0067507D">
          <w:rPr>
            <w:webHidden/>
          </w:rPr>
        </w:r>
        <w:r w:rsidRPr="0067507D">
          <w:rPr>
            <w:webHidden/>
          </w:rPr>
          <w:fldChar w:fldCharType="separate"/>
        </w:r>
        <w:r w:rsidR="008F4C0F">
          <w:rPr>
            <w:webHidden/>
          </w:rPr>
          <w:t>59</w:t>
        </w:r>
        <w:r w:rsidRPr="0067507D">
          <w:rPr>
            <w:webHidden/>
          </w:rPr>
          <w:fldChar w:fldCharType="end"/>
        </w:r>
      </w:hyperlink>
    </w:p>
    <w:p w14:paraId="08027390" w14:textId="64A3A3A3" w:rsidR="005D2595" w:rsidRPr="0067507D" w:rsidRDefault="005D2595" w:rsidP="005D2595">
      <w:pPr>
        <w:pStyle w:val="TOC3"/>
        <w:rPr>
          <w:noProof/>
          <w:color w:val="auto"/>
          <w:kern w:val="2"/>
          <w:sz w:val="24"/>
          <w:szCs w:val="24"/>
          <w14:ligatures w14:val="standardContextual"/>
        </w:rPr>
      </w:pPr>
      <w:hyperlink w:anchor="_Toc210213995" w:history="1">
        <w:r w:rsidRPr="0067507D">
          <w:rPr>
            <w:rStyle w:val="Hyperlink"/>
            <w:noProof/>
          </w:rPr>
          <w:t>2.1</w:t>
        </w:r>
        <w:r w:rsidRPr="0067507D">
          <w:rPr>
            <w:noProof/>
            <w:color w:val="auto"/>
            <w:kern w:val="2"/>
            <w:sz w:val="24"/>
            <w:szCs w:val="24"/>
            <w14:ligatures w14:val="standardContextual"/>
          </w:rPr>
          <w:tab/>
        </w:r>
        <w:r w:rsidRPr="0067507D">
          <w:rPr>
            <w:rStyle w:val="Hyperlink"/>
            <w:noProof/>
          </w:rPr>
          <w:t>Introduction</w:t>
        </w:r>
        <w:r w:rsidRPr="0067507D">
          <w:rPr>
            <w:noProof/>
            <w:webHidden/>
          </w:rPr>
          <w:tab/>
        </w:r>
        <w:r w:rsidRPr="0067507D">
          <w:rPr>
            <w:noProof/>
            <w:webHidden/>
          </w:rPr>
          <w:fldChar w:fldCharType="begin"/>
        </w:r>
        <w:r w:rsidRPr="0067507D">
          <w:rPr>
            <w:noProof/>
            <w:webHidden/>
          </w:rPr>
          <w:instrText xml:space="preserve"> PAGEREF _Toc210213995 \h </w:instrText>
        </w:r>
        <w:r w:rsidRPr="0067507D">
          <w:rPr>
            <w:noProof/>
            <w:webHidden/>
          </w:rPr>
        </w:r>
        <w:r w:rsidRPr="0067507D">
          <w:rPr>
            <w:noProof/>
            <w:webHidden/>
          </w:rPr>
          <w:fldChar w:fldCharType="separate"/>
        </w:r>
        <w:r w:rsidR="008F4C0F">
          <w:rPr>
            <w:noProof/>
            <w:webHidden/>
          </w:rPr>
          <w:t>59</w:t>
        </w:r>
        <w:r w:rsidRPr="0067507D">
          <w:rPr>
            <w:noProof/>
            <w:webHidden/>
          </w:rPr>
          <w:fldChar w:fldCharType="end"/>
        </w:r>
      </w:hyperlink>
    </w:p>
    <w:p w14:paraId="6117FF20" w14:textId="72EF99FE" w:rsidR="005D2595" w:rsidRPr="0067507D" w:rsidRDefault="005D2595" w:rsidP="005D2595">
      <w:pPr>
        <w:pStyle w:val="TOC3"/>
        <w:rPr>
          <w:noProof/>
          <w:color w:val="auto"/>
          <w:kern w:val="2"/>
          <w:sz w:val="24"/>
          <w:szCs w:val="24"/>
          <w14:ligatures w14:val="standardContextual"/>
        </w:rPr>
      </w:pPr>
      <w:hyperlink w:anchor="_Toc210213996" w:history="1">
        <w:r w:rsidRPr="0067507D">
          <w:rPr>
            <w:rStyle w:val="Hyperlink"/>
            <w:noProof/>
          </w:rPr>
          <w:t>2.2</w:t>
        </w:r>
        <w:r w:rsidRPr="0067507D">
          <w:rPr>
            <w:noProof/>
            <w:color w:val="auto"/>
            <w:kern w:val="2"/>
            <w:sz w:val="24"/>
            <w:szCs w:val="24"/>
            <w14:ligatures w14:val="standardContextual"/>
          </w:rPr>
          <w:tab/>
        </w:r>
        <w:r w:rsidRPr="0067507D">
          <w:rPr>
            <w:rStyle w:val="Hyperlink"/>
            <w:noProof/>
          </w:rPr>
          <w:t>Summary of compliance with annual parliamentary appropriations</w:t>
        </w:r>
        <w:r w:rsidRPr="0067507D">
          <w:rPr>
            <w:noProof/>
            <w:webHidden/>
          </w:rPr>
          <w:tab/>
        </w:r>
        <w:r w:rsidRPr="0067507D">
          <w:rPr>
            <w:noProof/>
            <w:webHidden/>
          </w:rPr>
          <w:fldChar w:fldCharType="begin"/>
        </w:r>
        <w:r w:rsidRPr="0067507D">
          <w:rPr>
            <w:noProof/>
            <w:webHidden/>
          </w:rPr>
          <w:instrText xml:space="preserve"> PAGEREF _Toc210213996 \h </w:instrText>
        </w:r>
        <w:r w:rsidRPr="0067507D">
          <w:rPr>
            <w:noProof/>
            <w:webHidden/>
          </w:rPr>
        </w:r>
        <w:r w:rsidRPr="0067507D">
          <w:rPr>
            <w:noProof/>
            <w:webHidden/>
          </w:rPr>
          <w:fldChar w:fldCharType="separate"/>
        </w:r>
        <w:r w:rsidR="008F4C0F">
          <w:rPr>
            <w:noProof/>
            <w:webHidden/>
          </w:rPr>
          <w:t>59</w:t>
        </w:r>
        <w:r w:rsidRPr="0067507D">
          <w:rPr>
            <w:noProof/>
            <w:webHidden/>
          </w:rPr>
          <w:fldChar w:fldCharType="end"/>
        </w:r>
      </w:hyperlink>
    </w:p>
    <w:p w14:paraId="70A36815" w14:textId="5A9E8560" w:rsidR="005D2595" w:rsidRPr="0067507D" w:rsidRDefault="005D2595" w:rsidP="005D2595">
      <w:pPr>
        <w:pStyle w:val="TOC3"/>
        <w:rPr>
          <w:noProof/>
          <w:color w:val="auto"/>
          <w:kern w:val="2"/>
          <w:sz w:val="24"/>
          <w:szCs w:val="24"/>
          <w14:ligatures w14:val="standardContextual"/>
        </w:rPr>
      </w:pPr>
      <w:hyperlink w:anchor="_Toc210213997" w:history="1">
        <w:r w:rsidRPr="0067507D">
          <w:rPr>
            <w:rStyle w:val="Hyperlink"/>
            <w:noProof/>
          </w:rPr>
          <w:t>2.3</w:t>
        </w:r>
        <w:r w:rsidRPr="0067507D">
          <w:rPr>
            <w:noProof/>
            <w:color w:val="auto"/>
            <w:kern w:val="2"/>
            <w:sz w:val="24"/>
            <w:szCs w:val="24"/>
            <w14:ligatures w14:val="standardContextual"/>
          </w:rPr>
          <w:tab/>
        </w:r>
        <w:r w:rsidRPr="0067507D">
          <w:rPr>
            <w:rStyle w:val="Hyperlink"/>
            <w:noProof/>
          </w:rPr>
          <w:t>Summary of compliance with special appropriations</w:t>
        </w:r>
        <w:r w:rsidRPr="0067507D">
          <w:rPr>
            <w:noProof/>
            <w:webHidden/>
          </w:rPr>
          <w:tab/>
        </w:r>
        <w:r w:rsidRPr="0067507D">
          <w:rPr>
            <w:noProof/>
            <w:webHidden/>
          </w:rPr>
          <w:fldChar w:fldCharType="begin"/>
        </w:r>
        <w:r w:rsidRPr="0067507D">
          <w:rPr>
            <w:noProof/>
            <w:webHidden/>
          </w:rPr>
          <w:instrText xml:space="preserve"> PAGEREF _Toc210213997 \h </w:instrText>
        </w:r>
        <w:r w:rsidRPr="0067507D">
          <w:rPr>
            <w:noProof/>
            <w:webHidden/>
          </w:rPr>
        </w:r>
        <w:r w:rsidRPr="0067507D">
          <w:rPr>
            <w:noProof/>
            <w:webHidden/>
          </w:rPr>
          <w:fldChar w:fldCharType="separate"/>
        </w:r>
        <w:r w:rsidR="008F4C0F">
          <w:rPr>
            <w:noProof/>
            <w:webHidden/>
          </w:rPr>
          <w:t>61</w:t>
        </w:r>
        <w:r w:rsidRPr="0067507D">
          <w:rPr>
            <w:noProof/>
            <w:webHidden/>
          </w:rPr>
          <w:fldChar w:fldCharType="end"/>
        </w:r>
      </w:hyperlink>
    </w:p>
    <w:p w14:paraId="47DCD854" w14:textId="6B2BD9AA" w:rsidR="005D2595" w:rsidRPr="0067507D" w:rsidRDefault="005D2595" w:rsidP="005D2595">
      <w:pPr>
        <w:pStyle w:val="TOC3"/>
        <w:rPr>
          <w:noProof/>
          <w:color w:val="auto"/>
          <w:kern w:val="2"/>
          <w:sz w:val="24"/>
          <w:szCs w:val="24"/>
          <w14:ligatures w14:val="standardContextual"/>
        </w:rPr>
      </w:pPr>
      <w:hyperlink w:anchor="_Toc210213998" w:history="1">
        <w:r w:rsidRPr="0067507D">
          <w:rPr>
            <w:rStyle w:val="Hyperlink"/>
            <w:noProof/>
          </w:rPr>
          <w:t>2.4</w:t>
        </w:r>
        <w:r w:rsidRPr="0067507D">
          <w:rPr>
            <w:noProof/>
            <w:color w:val="auto"/>
            <w:kern w:val="2"/>
            <w:sz w:val="24"/>
            <w:szCs w:val="24"/>
            <w14:ligatures w14:val="standardContextual"/>
          </w:rPr>
          <w:tab/>
        </w:r>
        <w:r w:rsidRPr="0067507D">
          <w:rPr>
            <w:rStyle w:val="Hyperlink"/>
            <w:noProof/>
          </w:rPr>
          <w:t>Annotated income agreements</w:t>
        </w:r>
        <w:r w:rsidRPr="0067507D">
          <w:rPr>
            <w:noProof/>
            <w:webHidden/>
          </w:rPr>
          <w:tab/>
        </w:r>
        <w:r w:rsidRPr="0067507D">
          <w:rPr>
            <w:noProof/>
            <w:webHidden/>
          </w:rPr>
          <w:fldChar w:fldCharType="begin"/>
        </w:r>
        <w:r w:rsidRPr="0067507D">
          <w:rPr>
            <w:noProof/>
            <w:webHidden/>
          </w:rPr>
          <w:instrText xml:space="preserve"> PAGEREF _Toc210213998 \h </w:instrText>
        </w:r>
        <w:r w:rsidRPr="0067507D">
          <w:rPr>
            <w:noProof/>
            <w:webHidden/>
          </w:rPr>
        </w:r>
        <w:r w:rsidRPr="0067507D">
          <w:rPr>
            <w:noProof/>
            <w:webHidden/>
          </w:rPr>
          <w:fldChar w:fldCharType="separate"/>
        </w:r>
        <w:r w:rsidR="008F4C0F">
          <w:rPr>
            <w:noProof/>
            <w:webHidden/>
          </w:rPr>
          <w:t>62</w:t>
        </w:r>
        <w:r w:rsidRPr="0067507D">
          <w:rPr>
            <w:noProof/>
            <w:webHidden/>
          </w:rPr>
          <w:fldChar w:fldCharType="end"/>
        </w:r>
      </w:hyperlink>
    </w:p>
    <w:p w14:paraId="7E63DB2A" w14:textId="16DE667C" w:rsidR="005D2595" w:rsidRPr="0067507D" w:rsidRDefault="005D2595" w:rsidP="005D2595">
      <w:pPr>
        <w:pStyle w:val="TOC3"/>
        <w:rPr>
          <w:noProof/>
          <w:color w:val="auto"/>
          <w:kern w:val="2"/>
          <w:sz w:val="24"/>
          <w:szCs w:val="24"/>
          <w14:ligatures w14:val="standardContextual"/>
        </w:rPr>
      </w:pPr>
      <w:hyperlink w:anchor="_Toc210213999" w:history="1">
        <w:r w:rsidRPr="0067507D">
          <w:rPr>
            <w:rStyle w:val="Hyperlink"/>
            <w:noProof/>
          </w:rPr>
          <w:t>2.5</w:t>
        </w:r>
        <w:r w:rsidRPr="0067507D">
          <w:rPr>
            <w:noProof/>
            <w:color w:val="auto"/>
            <w:kern w:val="2"/>
            <w:sz w:val="24"/>
            <w:szCs w:val="24"/>
            <w14:ligatures w14:val="standardContextual"/>
          </w:rPr>
          <w:tab/>
        </w:r>
        <w:r w:rsidRPr="0067507D">
          <w:rPr>
            <w:rStyle w:val="Hyperlink"/>
            <w:noProof/>
          </w:rPr>
          <w:t>Other income</w:t>
        </w:r>
        <w:r w:rsidRPr="0067507D">
          <w:rPr>
            <w:noProof/>
            <w:webHidden/>
          </w:rPr>
          <w:tab/>
        </w:r>
        <w:r w:rsidRPr="0067507D">
          <w:rPr>
            <w:noProof/>
            <w:webHidden/>
          </w:rPr>
          <w:fldChar w:fldCharType="begin"/>
        </w:r>
        <w:r w:rsidRPr="0067507D">
          <w:rPr>
            <w:noProof/>
            <w:webHidden/>
          </w:rPr>
          <w:instrText xml:space="preserve"> PAGEREF _Toc210213999 \h </w:instrText>
        </w:r>
        <w:r w:rsidRPr="0067507D">
          <w:rPr>
            <w:noProof/>
            <w:webHidden/>
          </w:rPr>
        </w:r>
        <w:r w:rsidRPr="0067507D">
          <w:rPr>
            <w:noProof/>
            <w:webHidden/>
          </w:rPr>
          <w:fldChar w:fldCharType="separate"/>
        </w:r>
        <w:r w:rsidR="008F4C0F">
          <w:rPr>
            <w:noProof/>
            <w:webHidden/>
          </w:rPr>
          <w:t>63</w:t>
        </w:r>
        <w:r w:rsidRPr="0067507D">
          <w:rPr>
            <w:noProof/>
            <w:webHidden/>
          </w:rPr>
          <w:fldChar w:fldCharType="end"/>
        </w:r>
      </w:hyperlink>
    </w:p>
    <w:p w14:paraId="57DBD37E" w14:textId="59708BFB"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4000" w:history="1">
        <w:r w:rsidRPr="0067507D">
          <w:rPr>
            <w:rStyle w:val="Hyperlink"/>
          </w:rPr>
          <w:t>3</w:t>
        </w:r>
        <w:r w:rsidRPr="0067507D">
          <w:rPr>
            <w:rFonts w:asciiTheme="minorHAnsi" w:eastAsiaTheme="minorEastAsia" w:hAnsiTheme="minorHAnsi" w:cstheme="minorBidi"/>
            <w:color w:val="auto"/>
            <w:kern w:val="2"/>
            <w:sz w:val="24"/>
            <w:szCs w:val="24"/>
            <w14:ligatures w14:val="standardContextual"/>
          </w:rPr>
          <w:tab/>
        </w:r>
        <w:r w:rsidRPr="0067507D">
          <w:rPr>
            <w:rStyle w:val="Hyperlink"/>
          </w:rPr>
          <w:t>Cost of delivering services</w:t>
        </w:r>
        <w:r w:rsidRPr="0067507D">
          <w:rPr>
            <w:webHidden/>
          </w:rPr>
          <w:tab/>
        </w:r>
        <w:r w:rsidRPr="0067507D">
          <w:rPr>
            <w:webHidden/>
          </w:rPr>
          <w:fldChar w:fldCharType="begin"/>
        </w:r>
        <w:r w:rsidRPr="0067507D">
          <w:rPr>
            <w:webHidden/>
          </w:rPr>
          <w:instrText xml:space="preserve"> PAGEREF _Toc210214000 \h </w:instrText>
        </w:r>
        <w:r w:rsidRPr="0067507D">
          <w:rPr>
            <w:webHidden/>
          </w:rPr>
        </w:r>
        <w:r w:rsidRPr="0067507D">
          <w:rPr>
            <w:webHidden/>
          </w:rPr>
          <w:fldChar w:fldCharType="separate"/>
        </w:r>
        <w:r w:rsidR="008F4C0F">
          <w:rPr>
            <w:webHidden/>
          </w:rPr>
          <w:t>64</w:t>
        </w:r>
        <w:r w:rsidRPr="0067507D">
          <w:rPr>
            <w:webHidden/>
          </w:rPr>
          <w:fldChar w:fldCharType="end"/>
        </w:r>
      </w:hyperlink>
    </w:p>
    <w:p w14:paraId="274D5EB8" w14:textId="00EC0021" w:rsidR="005D2595" w:rsidRPr="0067507D" w:rsidRDefault="005D2595" w:rsidP="005D2595">
      <w:pPr>
        <w:pStyle w:val="TOC3"/>
        <w:rPr>
          <w:noProof/>
          <w:color w:val="auto"/>
          <w:kern w:val="2"/>
          <w:sz w:val="24"/>
          <w:szCs w:val="24"/>
          <w14:ligatures w14:val="standardContextual"/>
        </w:rPr>
      </w:pPr>
      <w:hyperlink w:anchor="_Toc210214001" w:history="1">
        <w:r w:rsidRPr="0067507D">
          <w:rPr>
            <w:rStyle w:val="Hyperlink"/>
            <w:noProof/>
          </w:rPr>
          <w:t>3.1</w:t>
        </w:r>
        <w:r w:rsidRPr="0067507D">
          <w:rPr>
            <w:noProof/>
            <w:color w:val="auto"/>
            <w:kern w:val="2"/>
            <w:sz w:val="24"/>
            <w:szCs w:val="24"/>
            <w14:ligatures w14:val="standardContextual"/>
          </w:rPr>
          <w:tab/>
        </w:r>
        <w:r w:rsidRPr="0067507D">
          <w:rPr>
            <w:rStyle w:val="Hyperlink"/>
            <w:noProof/>
          </w:rPr>
          <w:t>Introduction</w:t>
        </w:r>
        <w:r w:rsidRPr="0067507D">
          <w:rPr>
            <w:noProof/>
            <w:webHidden/>
          </w:rPr>
          <w:tab/>
        </w:r>
        <w:r w:rsidRPr="0067507D">
          <w:rPr>
            <w:noProof/>
            <w:webHidden/>
          </w:rPr>
          <w:fldChar w:fldCharType="begin"/>
        </w:r>
        <w:r w:rsidRPr="0067507D">
          <w:rPr>
            <w:noProof/>
            <w:webHidden/>
          </w:rPr>
          <w:instrText xml:space="preserve"> PAGEREF _Toc210214001 \h </w:instrText>
        </w:r>
        <w:r w:rsidRPr="0067507D">
          <w:rPr>
            <w:noProof/>
            <w:webHidden/>
          </w:rPr>
        </w:r>
        <w:r w:rsidRPr="0067507D">
          <w:rPr>
            <w:noProof/>
            <w:webHidden/>
          </w:rPr>
          <w:fldChar w:fldCharType="separate"/>
        </w:r>
        <w:r w:rsidR="008F4C0F">
          <w:rPr>
            <w:noProof/>
            <w:webHidden/>
          </w:rPr>
          <w:t>64</w:t>
        </w:r>
        <w:r w:rsidRPr="0067507D">
          <w:rPr>
            <w:noProof/>
            <w:webHidden/>
          </w:rPr>
          <w:fldChar w:fldCharType="end"/>
        </w:r>
      </w:hyperlink>
    </w:p>
    <w:p w14:paraId="5E37796E" w14:textId="03FB5BCA" w:rsidR="005D2595" w:rsidRPr="0067507D" w:rsidRDefault="005D2595" w:rsidP="005D2595">
      <w:pPr>
        <w:pStyle w:val="TOC3"/>
        <w:rPr>
          <w:noProof/>
          <w:color w:val="auto"/>
          <w:kern w:val="2"/>
          <w:sz w:val="24"/>
          <w:szCs w:val="24"/>
          <w14:ligatures w14:val="standardContextual"/>
        </w:rPr>
      </w:pPr>
      <w:hyperlink w:anchor="_Toc210214002" w:history="1">
        <w:r w:rsidRPr="0067507D">
          <w:rPr>
            <w:rStyle w:val="Hyperlink"/>
            <w:noProof/>
          </w:rPr>
          <w:t>3.2</w:t>
        </w:r>
        <w:r w:rsidRPr="0067507D">
          <w:rPr>
            <w:noProof/>
            <w:color w:val="auto"/>
            <w:kern w:val="2"/>
            <w:sz w:val="24"/>
            <w:szCs w:val="24"/>
            <w14:ligatures w14:val="standardContextual"/>
          </w:rPr>
          <w:tab/>
        </w:r>
        <w:r w:rsidRPr="0067507D">
          <w:rPr>
            <w:rStyle w:val="Hyperlink"/>
            <w:noProof/>
          </w:rPr>
          <w:t>Employee benefits</w:t>
        </w:r>
        <w:r w:rsidRPr="0067507D">
          <w:rPr>
            <w:noProof/>
            <w:webHidden/>
          </w:rPr>
          <w:tab/>
        </w:r>
        <w:r w:rsidRPr="0067507D">
          <w:rPr>
            <w:noProof/>
            <w:webHidden/>
          </w:rPr>
          <w:fldChar w:fldCharType="begin"/>
        </w:r>
        <w:r w:rsidRPr="0067507D">
          <w:rPr>
            <w:noProof/>
            <w:webHidden/>
          </w:rPr>
          <w:instrText xml:space="preserve"> PAGEREF _Toc210214002 \h </w:instrText>
        </w:r>
        <w:r w:rsidRPr="0067507D">
          <w:rPr>
            <w:noProof/>
            <w:webHidden/>
          </w:rPr>
        </w:r>
        <w:r w:rsidRPr="0067507D">
          <w:rPr>
            <w:noProof/>
            <w:webHidden/>
          </w:rPr>
          <w:fldChar w:fldCharType="separate"/>
        </w:r>
        <w:r w:rsidR="008F4C0F">
          <w:rPr>
            <w:noProof/>
            <w:webHidden/>
          </w:rPr>
          <w:t>64</w:t>
        </w:r>
        <w:r w:rsidRPr="0067507D">
          <w:rPr>
            <w:noProof/>
            <w:webHidden/>
          </w:rPr>
          <w:fldChar w:fldCharType="end"/>
        </w:r>
      </w:hyperlink>
    </w:p>
    <w:p w14:paraId="113A60D5" w14:textId="6F54B4EC" w:rsidR="005D2595" w:rsidRPr="0067507D" w:rsidRDefault="005D2595" w:rsidP="005D2595">
      <w:pPr>
        <w:pStyle w:val="TOC3"/>
        <w:rPr>
          <w:noProof/>
          <w:color w:val="auto"/>
          <w:kern w:val="2"/>
          <w:sz w:val="24"/>
          <w:szCs w:val="24"/>
          <w14:ligatures w14:val="standardContextual"/>
        </w:rPr>
      </w:pPr>
      <w:hyperlink w:anchor="_Toc210214003" w:history="1">
        <w:r w:rsidRPr="0067507D">
          <w:rPr>
            <w:rStyle w:val="Hyperlink"/>
            <w:noProof/>
          </w:rPr>
          <w:t>3.3</w:t>
        </w:r>
        <w:r w:rsidRPr="0067507D">
          <w:rPr>
            <w:noProof/>
            <w:color w:val="auto"/>
            <w:kern w:val="2"/>
            <w:sz w:val="24"/>
            <w:szCs w:val="24"/>
            <w14:ligatures w14:val="standardContextual"/>
          </w:rPr>
          <w:tab/>
        </w:r>
        <w:r w:rsidRPr="0067507D">
          <w:rPr>
            <w:rStyle w:val="Hyperlink"/>
            <w:noProof/>
          </w:rPr>
          <w:t>Grant expenses</w:t>
        </w:r>
        <w:r w:rsidRPr="0067507D">
          <w:rPr>
            <w:noProof/>
            <w:webHidden/>
          </w:rPr>
          <w:tab/>
        </w:r>
        <w:r w:rsidRPr="0067507D">
          <w:rPr>
            <w:noProof/>
            <w:webHidden/>
          </w:rPr>
          <w:fldChar w:fldCharType="begin"/>
        </w:r>
        <w:r w:rsidRPr="0067507D">
          <w:rPr>
            <w:noProof/>
            <w:webHidden/>
          </w:rPr>
          <w:instrText xml:space="preserve"> PAGEREF _Toc210214003 \h </w:instrText>
        </w:r>
        <w:r w:rsidRPr="0067507D">
          <w:rPr>
            <w:noProof/>
            <w:webHidden/>
          </w:rPr>
        </w:r>
        <w:r w:rsidRPr="0067507D">
          <w:rPr>
            <w:noProof/>
            <w:webHidden/>
          </w:rPr>
          <w:fldChar w:fldCharType="separate"/>
        </w:r>
        <w:r w:rsidR="008F4C0F">
          <w:rPr>
            <w:noProof/>
            <w:webHidden/>
          </w:rPr>
          <w:t>66</w:t>
        </w:r>
        <w:r w:rsidRPr="0067507D">
          <w:rPr>
            <w:noProof/>
            <w:webHidden/>
          </w:rPr>
          <w:fldChar w:fldCharType="end"/>
        </w:r>
      </w:hyperlink>
    </w:p>
    <w:p w14:paraId="07A18620" w14:textId="670FF047" w:rsidR="005D2595" w:rsidRPr="0067507D" w:rsidRDefault="005D2595" w:rsidP="005D2595">
      <w:pPr>
        <w:pStyle w:val="TOC3"/>
        <w:rPr>
          <w:noProof/>
          <w:color w:val="auto"/>
          <w:kern w:val="2"/>
          <w:sz w:val="24"/>
          <w:szCs w:val="24"/>
          <w14:ligatures w14:val="standardContextual"/>
        </w:rPr>
      </w:pPr>
      <w:hyperlink w:anchor="_Toc210214004" w:history="1">
        <w:r w:rsidRPr="0067507D">
          <w:rPr>
            <w:rStyle w:val="Hyperlink"/>
            <w:noProof/>
          </w:rPr>
          <w:t>3.4</w:t>
        </w:r>
        <w:r w:rsidRPr="0067507D">
          <w:rPr>
            <w:noProof/>
            <w:color w:val="auto"/>
            <w:kern w:val="2"/>
            <w:sz w:val="24"/>
            <w:szCs w:val="24"/>
            <w14:ligatures w14:val="standardContextual"/>
          </w:rPr>
          <w:tab/>
        </w:r>
        <w:r w:rsidRPr="0067507D">
          <w:rPr>
            <w:rStyle w:val="Hyperlink"/>
            <w:noProof/>
          </w:rPr>
          <w:t>Other operating expenses</w:t>
        </w:r>
        <w:r w:rsidRPr="0067507D">
          <w:rPr>
            <w:noProof/>
            <w:webHidden/>
          </w:rPr>
          <w:tab/>
        </w:r>
        <w:r w:rsidRPr="0067507D">
          <w:rPr>
            <w:noProof/>
            <w:webHidden/>
          </w:rPr>
          <w:fldChar w:fldCharType="begin"/>
        </w:r>
        <w:r w:rsidRPr="0067507D">
          <w:rPr>
            <w:noProof/>
            <w:webHidden/>
          </w:rPr>
          <w:instrText xml:space="preserve"> PAGEREF _Toc210214004 \h </w:instrText>
        </w:r>
        <w:r w:rsidRPr="0067507D">
          <w:rPr>
            <w:noProof/>
            <w:webHidden/>
          </w:rPr>
        </w:r>
        <w:r w:rsidRPr="0067507D">
          <w:rPr>
            <w:noProof/>
            <w:webHidden/>
          </w:rPr>
          <w:fldChar w:fldCharType="separate"/>
        </w:r>
        <w:r w:rsidR="008F4C0F">
          <w:rPr>
            <w:noProof/>
            <w:webHidden/>
          </w:rPr>
          <w:t>67</w:t>
        </w:r>
        <w:r w:rsidRPr="0067507D">
          <w:rPr>
            <w:noProof/>
            <w:webHidden/>
          </w:rPr>
          <w:fldChar w:fldCharType="end"/>
        </w:r>
      </w:hyperlink>
    </w:p>
    <w:p w14:paraId="5AA33CAF" w14:textId="3352DEF5"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4005" w:history="1">
        <w:r w:rsidRPr="0067507D">
          <w:rPr>
            <w:rStyle w:val="Hyperlink"/>
          </w:rPr>
          <w:t>4</w:t>
        </w:r>
        <w:r w:rsidRPr="0067507D">
          <w:rPr>
            <w:rFonts w:asciiTheme="minorHAnsi" w:eastAsiaTheme="minorEastAsia" w:hAnsiTheme="minorHAnsi" w:cstheme="minorBidi"/>
            <w:color w:val="auto"/>
            <w:kern w:val="2"/>
            <w:sz w:val="24"/>
            <w:szCs w:val="24"/>
            <w14:ligatures w14:val="standardContextual"/>
          </w:rPr>
          <w:tab/>
        </w:r>
        <w:r w:rsidRPr="0067507D">
          <w:rPr>
            <w:rStyle w:val="Hyperlink"/>
          </w:rPr>
          <w:t>Disaggregated financial information by output</w:t>
        </w:r>
        <w:r w:rsidRPr="0067507D">
          <w:rPr>
            <w:webHidden/>
          </w:rPr>
          <w:tab/>
        </w:r>
        <w:r w:rsidRPr="0067507D">
          <w:rPr>
            <w:webHidden/>
          </w:rPr>
          <w:fldChar w:fldCharType="begin"/>
        </w:r>
        <w:r w:rsidRPr="0067507D">
          <w:rPr>
            <w:webHidden/>
          </w:rPr>
          <w:instrText xml:space="preserve"> PAGEREF _Toc210214005 \h </w:instrText>
        </w:r>
        <w:r w:rsidRPr="0067507D">
          <w:rPr>
            <w:webHidden/>
          </w:rPr>
        </w:r>
        <w:r w:rsidRPr="0067507D">
          <w:rPr>
            <w:webHidden/>
          </w:rPr>
          <w:fldChar w:fldCharType="separate"/>
        </w:r>
        <w:r w:rsidR="008F4C0F">
          <w:rPr>
            <w:webHidden/>
          </w:rPr>
          <w:t>68</w:t>
        </w:r>
        <w:r w:rsidRPr="0067507D">
          <w:rPr>
            <w:webHidden/>
          </w:rPr>
          <w:fldChar w:fldCharType="end"/>
        </w:r>
      </w:hyperlink>
    </w:p>
    <w:p w14:paraId="435BF538" w14:textId="7370AF0B" w:rsidR="005D2595" w:rsidRPr="0067507D" w:rsidRDefault="005D2595" w:rsidP="005D2595">
      <w:pPr>
        <w:pStyle w:val="TOC3"/>
        <w:rPr>
          <w:noProof/>
          <w:color w:val="auto"/>
          <w:kern w:val="2"/>
          <w:sz w:val="24"/>
          <w:szCs w:val="24"/>
          <w14:ligatures w14:val="standardContextual"/>
        </w:rPr>
      </w:pPr>
      <w:hyperlink w:anchor="_Toc210214006" w:history="1">
        <w:r w:rsidRPr="0067507D">
          <w:rPr>
            <w:rStyle w:val="Hyperlink"/>
            <w:noProof/>
          </w:rPr>
          <w:t>4.1</w:t>
        </w:r>
        <w:r w:rsidRPr="0067507D">
          <w:rPr>
            <w:noProof/>
            <w:color w:val="auto"/>
            <w:kern w:val="2"/>
            <w:sz w:val="24"/>
            <w:szCs w:val="24"/>
            <w14:ligatures w14:val="standardContextual"/>
          </w:rPr>
          <w:tab/>
        </w:r>
        <w:r w:rsidRPr="0067507D">
          <w:rPr>
            <w:rStyle w:val="Hyperlink"/>
            <w:noProof/>
          </w:rPr>
          <w:t>Introduction</w:t>
        </w:r>
        <w:r w:rsidRPr="0067507D">
          <w:rPr>
            <w:noProof/>
            <w:webHidden/>
          </w:rPr>
          <w:tab/>
        </w:r>
        <w:r w:rsidRPr="0067507D">
          <w:rPr>
            <w:noProof/>
            <w:webHidden/>
          </w:rPr>
          <w:fldChar w:fldCharType="begin"/>
        </w:r>
        <w:r w:rsidRPr="0067507D">
          <w:rPr>
            <w:noProof/>
            <w:webHidden/>
          </w:rPr>
          <w:instrText xml:space="preserve"> PAGEREF _Toc210214006 \h </w:instrText>
        </w:r>
        <w:r w:rsidRPr="0067507D">
          <w:rPr>
            <w:noProof/>
            <w:webHidden/>
          </w:rPr>
        </w:r>
        <w:r w:rsidRPr="0067507D">
          <w:rPr>
            <w:noProof/>
            <w:webHidden/>
          </w:rPr>
          <w:fldChar w:fldCharType="separate"/>
        </w:r>
        <w:r w:rsidR="008F4C0F">
          <w:rPr>
            <w:noProof/>
            <w:webHidden/>
          </w:rPr>
          <w:t>68</w:t>
        </w:r>
        <w:r w:rsidRPr="0067507D">
          <w:rPr>
            <w:noProof/>
            <w:webHidden/>
          </w:rPr>
          <w:fldChar w:fldCharType="end"/>
        </w:r>
      </w:hyperlink>
    </w:p>
    <w:p w14:paraId="39DB318C" w14:textId="0038DC8E" w:rsidR="005D2595" w:rsidRPr="0067507D" w:rsidRDefault="005D2595" w:rsidP="005D2595">
      <w:pPr>
        <w:pStyle w:val="TOC3"/>
        <w:rPr>
          <w:noProof/>
          <w:color w:val="auto"/>
          <w:kern w:val="2"/>
          <w:sz w:val="24"/>
          <w:szCs w:val="24"/>
          <w14:ligatures w14:val="standardContextual"/>
        </w:rPr>
      </w:pPr>
      <w:hyperlink w:anchor="_Toc210214007" w:history="1">
        <w:r w:rsidRPr="0067507D">
          <w:rPr>
            <w:rStyle w:val="Hyperlink"/>
            <w:noProof/>
          </w:rPr>
          <w:t>4.2</w:t>
        </w:r>
        <w:r w:rsidRPr="0067507D">
          <w:rPr>
            <w:noProof/>
            <w:color w:val="auto"/>
            <w:kern w:val="2"/>
            <w:sz w:val="24"/>
            <w:szCs w:val="24"/>
            <w14:ligatures w14:val="standardContextual"/>
          </w:rPr>
          <w:tab/>
        </w:r>
        <w:r w:rsidRPr="0067507D">
          <w:rPr>
            <w:rStyle w:val="Hyperlink"/>
            <w:noProof/>
          </w:rPr>
          <w:t>Departmental outputs</w:t>
        </w:r>
        <w:r w:rsidRPr="0067507D">
          <w:rPr>
            <w:noProof/>
            <w:webHidden/>
          </w:rPr>
          <w:tab/>
        </w:r>
        <w:r w:rsidRPr="0067507D">
          <w:rPr>
            <w:noProof/>
            <w:webHidden/>
          </w:rPr>
          <w:fldChar w:fldCharType="begin"/>
        </w:r>
        <w:r w:rsidRPr="0067507D">
          <w:rPr>
            <w:noProof/>
            <w:webHidden/>
          </w:rPr>
          <w:instrText xml:space="preserve"> PAGEREF _Toc210214007 \h </w:instrText>
        </w:r>
        <w:r w:rsidRPr="0067507D">
          <w:rPr>
            <w:noProof/>
            <w:webHidden/>
          </w:rPr>
        </w:r>
        <w:r w:rsidRPr="0067507D">
          <w:rPr>
            <w:noProof/>
            <w:webHidden/>
          </w:rPr>
          <w:fldChar w:fldCharType="separate"/>
        </w:r>
        <w:r w:rsidR="008F4C0F">
          <w:rPr>
            <w:noProof/>
            <w:webHidden/>
          </w:rPr>
          <w:t>68</w:t>
        </w:r>
        <w:r w:rsidRPr="0067507D">
          <w:rPr>
            <w:noProof/>
            <w:webHidden/>
          </w:rPr>
          <w:fldChar w:fldCharType="end"/>
        </w:r>
      </w:hyperlink>
    </w:p>
    <w:p w14:paraId="29089749" w14:textId="4AA65A69" w:rsidR="005D2595" w:rsidRPr="0067507D" w:rsidRDefault="005D2595" w:rsidP="005D2595">
      <w:pPr>
        <w:pStyle w:val="TOC3"/>
        <w:rPr>
          <w:noProof/>
          <w:color w:val="auto"/>
          <w:kern w:val="2"/>
          <w:sz w:val="24"/>
          <w:szCs w:val="24"/>
          <w14:ligatures w14:val="standardContextual"/>
        </w:rPr>
      </w:pPr>
      <w:hyperlink w:anchor="_Toc210214008" w:history="1">
        <w:r w:rsidRPr="0067507D">
          <w:rPr>
            <w:rStyle w:val="Hyperlink"/>
            <w:noProof/>
          </w:rPr>
          <w:t>4.3</w:t>
        </w:r>
        <w:r w:rsidRPr="0067507D">
          <w:rPr>
            <w:noProof/>
            <w:color w:val="auto"/>
            <w:kern w:val="2"/>
            <w:sz w:val="24"/>
            <w:szCs w:val="24"/>
            <w14:ligatures w14:val="standardContextual"/>
          </w:rPr>
          <w:tab/>
        </w:r>
        <w:r w:rsidRPr="0067507D">
          <w:rPr>
            <w:rStyle w:val="Hyperlink"/>
            <w:noProof/>
          </w:rPr>
          <w:t>Administered items</w:t>
        </w:r>
        <w:r w:rsidRPr="0067507D">
          <w:rPr>
            <w:noProof/>
            <w:webHidden/>
          </w:rPr>
          <w:tab/>
        </w:r>
        <w:r w:rsidRPr="0067507D">
          <w:rPr>
            <w:noProof/>
            <w:webHidden/>
          </w:rPr>
          <w:fldChar w:fldCharType="begin"/>
        </w:r>
        <w:r w:rsidRPr="0067507D">
          <w:rPr>
            <w:noProof/>
            <w:webHidden/>
          </w:rPr>
          <w:instrText xml:space="preserve"> PAGEREF _Toc210214008 \h </w:instrText>
        </w:r>
        <w:r w:rsidRPr="0067507D">
          <w:rPr>
            <w:noProof/>
            <w:webHidden/>
          </w:rPr>
        </w:r>
        <w:r w:rsidRPr="0067507D">
          <w:rPr>
            <w:noProof/>
            <w:webHidden/>
          </w:rPr>
          <w:fldChar w:fldCharType="separate"/>
        </w:r>
        <w:r w:rsidR="008F4C0F">
          <w:rPr>
            <w:noProof/>
            <w:webHidden/>
          </w:rPr>
          <w:t>71</w:t>
        </w:r>
        <w:r w:rsidRPr="0067507D">
          <w:rPr>
            <w:noProof/>
            <w:webHidden/>
          </w:rPr>
          <w:fldChar w:fldCharType="end"/>
        </w:r>
      </w:hyperlink>
    </w:p>
    <w:p w14:paraId="49A093AD" w14:textId="471D3092"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4009" w:history="1">
        <w:r w:rsidRPr="0067507D">
          <w:rPr>
            <w:rStyle w:val="Hyperlink"/>
          </w:rPr>
          <w:t>5</w:t>
        </w:r>
        <w:r w:rsidRPr="0067507D">
          <w:rPr>
            <w:rFonts w:asciiTheme="minorHAnsi" w:eastAsiaTheme="minorEastAsia" w:hAnsiTheme="minorHAnsi" w:cstheme="minorBidi"/>
            <w:color w:val="auto"/>
            <w:kern w:val="2"/>
            <w:sz w:val="24"/>
            <w:szCs w:val="24"/>
            <w14:ligatures w14:val="standardContextual"/>
          </w:rPr>
          <w:tab/>
        </w:r>
        <w:r w:rsidRPr="0067507D">
          <w:rPr>
            <w:rStyle w:val="Hyperlink"/>
          </w:rPr>
          <w:t>Key assets available to support output delivery</w:t>
        </w:r>
        <w:r w:rsidRPr="0067507D">
          <w:rPr>
            <w:webHidden/>
          </w:rPr>
          <w:tab/>
        </w:r>
        <w:r w:rsidRPr="0067507D">
          <w:rPr>
            <w:webHidden/>
          </w:rPr>
          <w:fldChar w:fldCharType="begin"/>
        </w:r>
        <w:r w:rsidRPr="0067507D">
          <w:rPr>
            <w:webHidden/>
          </w:rPr>
          <w:instrText xml:space="preserve"> PAGEREF _Toc210214009 \h </w:instrText>
        </w:r>
        <w:r w:rsidRPr="0067507D">
          <w:rPr>
            <w:webHidden/>
          </w:rPr>
        </w:r>
        <w:r w:rsidRPr="0067507D">
          <w:rPr>
            <w:webHidden/>
          </w:rPr>
          <w:fldChar w:fldCharType="separate"/>
        </w:r>
        <w:r w:rsidR="008F4C0F">
          <w:rPr>
            <w:webHidden/>
          </w:rPr>
          <w:t>85</w:t>
        </w:r>
        <w:r w:rsidRPr="0067507D">
          <w:rPr>
            <w:webHidden/>
          </w:rPr>
          <w:fldChar w:fldCharType="end"/>
        </w:r>
      </w:hyperlink>
    </w:p>
    <w:p w14:paraId="304E2A9E" w14:textId="50B74BED" w:rsidR="005D2595" w:rsidRPr="0067507D" w:rsidRDefault="005D2595" w:rsidP="005D2595">
      <w:pPr>
        <w:pStyle w:val="TOC3"/>
        <w:rPr>
          <w:noProof/>
          <w:color w:val="auto"/>
          <w:kern w:val="2"/>
          <w:sz w:val="24"/>
          <w:szCs w:val="24"/>
          <w14:ligatures w14:val="standardContextual"/>
        </w:rPr>
      </w:pPr>
      <w:hyperlink w:anchor="_Toc210214010" w:history="1">
        <w:r w:rsidRPr="0067507D">
          <w:rPr>
            <w:rStyle w:val="Hyperlink"/>
            <w:noProof/>
          </w:rPr>
          <w:t>5.1</w:t>
        </w:r>
        <w:r w:rsidRPr="0067507D">
          <w:rPr>
            <w:noProof/>
            <w:color w:val="auto"/>
            <w:kern w:val="2"/>
            <w:sz w:val="24"/>
            <w:szCs w:val="24"/>
            <w14:ligatures w14:val="standardContextual"/>
          </w:rPr>
          <w:tab/>
        </w:r>
        <w:r w:rsidRPr="0067507D">
          <w:rPr>
            <w:rStyle w:val="Hyperlink"/>
            <w:noProof/>
          </w:rPr>
          <w:t>Introduction</w:t>
        </w:r>
        <w:r w:rsidRPr="0067507D">
          <w:rPr>
            <w:noProof/>
            <w:webHidden/>
          </w:rPr>
          <w:tab/>
        </w:r>
        <w:r w:rsidRPr="0067507D">
          <w:rPr>
            <w:noProof/>
            <w:webHidden/>
          </w:rPr>
          <w:fldChar w:fldCharType="begin"/>
        </w:r>
        <w:r w:rsidRPr="0067507D">
          <w:rPr>
            <w:noProof/>
            <w:webHidden/>
          </w:rPr>
          <w:instrText xml:space="preserve"> PAGEREF _Toc210214010 \h </w:instrText>
        </w:r>
        <w:r w:rsidRPr="0067507D">
          <w:rPr>
            <w:noProof/>
            <w:webHidden/>
          </w:rPr>
        </w:r>
        <w:r w:rsidRPr="0067507D">
          <w:rPr>
            <w:noProof/>
            <w:webHidden/>
          </w:rPr>
          <w:fldChar w:fldCharType="separate"/>
        </w:r>
        <w:r w:rsidR="008F4C0F">
          <w:rPr>
            <w:noProof/>
            <w:webHidden/>
          </w:rPr>
          <w:t>85</w:t>
        </w:r>
        <w:r w:rsidRPr="0067507D">
          <w:rPr>
            <w:noProof/>
            <w:webHidden/>
          </w:rPr>
          <w:fldChar w:fldCharType="end"/>
        </w:r>
      </w:hyperlink>
    </w:p>
    <w:p w14:paraId="41C5AFE9" w14:textId="5340992F" w:rsidR="005D2595" w:rsidRPr="0067507D" w:rsidRDefault="005D2595" w:rsidP="005D2595">
      <w:pPr>
        <w:pStyle w:val="TOC3"/>
        <w:rPr>
          <w:noProof/>
          <w:color w:val="auto"/>
          <w:kern w:val="2"/>
          <w:sz w:val="24"/>
          <w:szCs w:val="24"/>
          <w14:ligatures w14:val="standardContextual"/>
        </w:rPr>
      </w:pPr>
      <w:hyperlink w:anchor="_Toc210214011" w:history="1">
        <w:r w:rsidRPr="0067507D">
          <w:rPr>
            <w:rStyle w:val="Hyperlink"/>
            <w:noProof/>
          </w:rPr>
          <w:t>5.2</w:t>
        </w:r>
        <w:r w:rsidRPr="0067507D">
          <w:rPr>
            <w:noProof/>
            <w:color w:val="auto"/>
            <w:kern w:val="2"/>
            <w:sz w:val="24"/>
            <w:szCs w:val="24"/>
            <w14:ligatures w14:val="standardContextual"/>
          </w:rPr>
          <w:tab/>
        </w:r>
        <w:r w:rsidRPr="0067507D">
          <w:rPr>
            <w:rStyle w:val="Hyperlink"/>
            <w:noProof/>
          </w:rPr>
          <w:t>Intangible assets</w:t>
        </w:r>
        <w:r w:rsidRPr="0067507D">
          <w:rPr>
            <w:noProof/>
            <w:webHidden/>
          </w:rPr>
          <w:tab/>
        </w:r>
        <w:r w:rsidRPr="0067507D">
          <w:rPr>
            <w:noProof/>
            <w:webHidden/>
          </w:rPr>
          <w:fldChar w:fldCharType="begin"/>
        </w:r>
        <w:r w:rsidRPr="0067507D">
          <w:rPr>
            <w:noProof/>
            <w:webHidden/>
          </w:rPr>
          <w:instrText xml:space="preserve"> PAGEREF _Toc210214011 \h </w:instrText>
        </w:r>
        <w:r w:rsidRPr="0067507D">
          <w:rPr>
            <w:noProof/>
            <w:webHidden/>
          </w:rPr>
        </w:r>
        <w:r w:rsidRPr="0067507D">
          <w:rPr>
            <w:noProof/>
            <w:webHidden/>
          </w:rPr>
          <w:fldChar w:fldCharType="separate"/>
        </w:r>
        <w:r w:rsidR="008F4C0F">
          <w:rPr>
            <w:noProof/>
            <w:webHidden/>
          </w:rPr>
          <w:t>85</w:t>
        </w:r>
        <w:r w:rsidRPr="0067507D">
          <w:rPr>
            <w:noProof/>
            <w:webHidden/>
          </w:rPr>
          <w:fldChar w:fldCharType="end"/>
        </w:r>
      </w:hyperlink>
    </w:p>
    <w:p w14:paraId="57FA668B" w14:textId="1AEED7AF"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4012" w:history="1">
        <w:r w:rsidRPr="0067507D">
          <w:rPr>
            <w:rStyle w:val="Hyperlink"/>
          </w:rPr>
          <w:t>6</w:t>
        </w:r>
        <w:r w:rsidRPr="0067507D">
          <w:rPr>
            <w:rFonts w:asciiTheme="minorHAnsi" w:eastAsiaTheme="minorEastAsia" w:hAnsiTheme="minorHAnsi" w:cstheme="minorBidi"/>
            <w:color w:val="auto"/>
            <w:kern w:val="2"/>
            <w:sz w:val="24"/>
            <w:szCs w:val="24"/>
            <w14:ligatures w14:val="standardContextual"/>
          </w:rPr>
          <w:tab/>
        </w:r>
        <w:r w:rsidRPr="0067507D">
          <w:rPr>
            <w:rStyle w:val="Hyperlink"/>
          </w:rPr>
          <w:t>Other assets and liabilities</w:t>
        </w:r>
        <w:r w:rsidRPr="0067507D">
          <w:rPr>
            <w:webHidden/>
          </w:rPr>
          <w:tab/>
        </w:r>
        <w:r w:rsidRPr="0067507D">
          <w:rPr>
            <w:webHidden/>
          </w:rPr>
          <w:fldChar w:fldCharType="begin"/>
        </w:r>
        <w:r w:rsidRPr="0067507D">
          <w:rPr>
            <w:webHidden/>
          </w:rPr>
          <w:instrText xml:space="preserve"> PAGEREF _Toc210214012 \h </w:instrText>
        </w:r>
        <w:r w:rsidRPr="0067507D">
          <w:rPr>
            <w:webHidden/>
          </w:rPr>
        </w:r>
        <w:r w:rsidRPr="0067507D">
          <w:rPr>
            <w:webHidden/>
          </w:rPr>
          <w:fldChar w:fldCharType="separate"/>
        </w:r>
        <w:r w:rsidR="008F4C0F">
          <w:rPr>
            <w:webHidden/>
          </w:rPr>
          <w:t>87</w:t>
        </w:r>
        <w:r w:rsidRPr="0067507D">
          <w:rPr>
            <w:webHidden/>
          </w:rPr>
          <w:fldChar w:fldCharType="end"/>
        </w:r>
      </w:hyperlink>
    </w:p>
    <w:p w14:paraId="3C3CC7BA" w14:textId="22972CEA" w:rsidR="005D2595" w:rsidRPr="0067507D" w:rsidRDefault="005D2595" w:rsidP="005D2595">
      <w:pPr>
        <w:pStyle w:val="TOC3"/>
        <w:rPr>
          <w:noProof/>
          <w:color w:val="auto"/>
          <w:kern w:val="2"/>
          <w:sz w:val="24"/>
          <w:szCs w:val="24"/>
          <w14:ligatures w14:val="standardContextual"/>
        </w:rPr>
      </w:pPr>
      <w:hyperlink w:anchor="_Toc210214013" w:history="1">
        <w:r w:rsidRPr="0067507D">
          <w:rPr>
            <w:rStyle w:val="Hyperlink"/>
            <w:noProof/>
          </w:rPr>
          <w:t>6.1</w:t>
        </w:r>
        <w:r w:rsidRPr="0067507D">
          <w:rPr>
            <w:noProof/>
            <w:color w:val="auto"/>
            <w:kern w:val="2"/>
            <w:sz w:val="24"/>
            <w:szCs w:val="24"/>
            <w14:ligatures w14:val="standardContextual"/>
          </w:rPr>
          <w:tab/>
        </w:r>
        <w:r w:rsidRPr="0067507D">
          <w:rPr>
            <w:rStyle w:val="Hyperlink"/>
            <w:noProof/>
          </w:rPr>
          <w:t>Introduction</w:t>
        </w:r>
        <w:r w:rsidRPr="0067507D">
          <w:rPr>
            <w:noProof/>
            <w:webHidden/>
          </w:rPr>
          <w:tab/>
        </w:r>
        <w:r w:rsidRPr="0067507D">
          <w:rPr>
            <w:noProof/>
            <w:webHidden/>
          </w:rPr>
          <w:fldChar w:fldCharType="begin"/>
        </w:r>
        <w:r w:rsidRPr="0067507D">
          <w:rPr>
            <w:noProof/>
            <w:webHidden/>
          </w:rPr>
          <w:instrText xml:space="preserve"> PAGEREF _Toc210214013 \h </w:instrText>
        </w:r>
        <w:r w:rsidRPr="0067507D">
          <w:rPr>
            <w:noProof/>
            <w:webHidden/>
          </w:rPr>
        </w:r>
        <w:r w:rsidRPr="0067507D">
          <w:rPr>
            <w:noProof/>
            <w:webHidden/>
          </w:rPr>
          <w:fldChar w:fldCharType="separate"/>
        </w:r>
        <w:r w:rsidR="008F4C0F">
          <w:rPr>
            <w:noProof/>
            <w:webHidden/>
          </w:rPr>
          <w:t>87</w:t>
        </w:r>
        <w:r w:rsidRPr="0067507D">
          <w:rPr>
            <w:noProof/>
            <w:webHidden/>
          </w:rPr>
          <w:fldChar w:fldCharType="end"/>
        </w:r>
      </w:hyperlink>
    </w:p>
    <w:p w14:paraId="02C6ED43" w14:textId="2D264B0B" w:rsidR="005D2595" w:rsidRPr="0067507D" w:rsidRDefault="005D2595" w:rsidP="005D2595">
      <w:pPr>
        <w:pStyle w:val="TOC3"/>
        <w:rPr>
          <w:noProof/>
          <w:color w:val="auto"/>
          <w:kern w:val="2"/>
          <w:sz w:val="24"/>
          <w:szCs w:val="24"/>
          <w14:ligatures w14:val="standardContextual"/>
        </w:rPr>
      </w:pPr>
      <w:hyperlink w:anchor="_Toc210214014" w:history="1">
        <w:r w:rsidRPr="0067507D">
          <w:rPr>
            <w:rStyle w:val="Hyperlink"/>
            <w:noProof/>
          </w:rPr>
          <w:t>6.2</w:t>
        </w:r>
        <w:r w:rsidRPr="0067507D">
          <w:rPr>
            <w:noProof/>
            <w:color w:val="auto"/>
            <w:kern w:val="2"/>
            <w:sz w:val="24"/>
            <w:szCs w:val="24"/>
            <w14:ligatures w14:val="standardContextual"/>
          </w:rPr>
          <w:tab/>
        </w:r>
        <w:r w:rsidRPr="0067507D">
          <w:rPr>
            <w:rStyle w:val="Hyperlink"/>
            <w:noProof/>
          </w:rPr>
          <w:t>Receivables</w:t>
        </w:r>
        <w:r w:rsidRPr="0067507D">
          <w:rPr>
            <w:noProof/>
            <w:webHidden/>
          </w:rPr>
          <w:tab/>
        </w:r>
        <w:r w:rsidRPr="0067507D">
          <w:rPr>
            <w:noProof/>
            <w:webHidden/>
          </w:rPr>
          <w:fldChar w:fldCharType="begin"/>
        </w:r>
        <w:r w:rsidRPr="0067507D">
          <w:rPr>
            <w:noProof/>
            <w:webHidden/>
          </w:rPr>
          <w:instrText xml:space="preserve"> PAGEREF _Toc210214014 \h </w:instrText>
        </w:r>
        <w:r w:rsidRPr="0067507D">
          <w:rPr>
            <w:noProof/>
            <w:webHidden/>
          </w:rPr>
        </w:r>
        <w:r w:rsidRPr="0067507D">
          <w:rPr>
            <w:noProof/>
            <w:webHidden/>
          </w:rPr>
          <w:fldChar w:fldCharType="separate"/>
        </w:r>
        <w:r w:rsidR="008F4C0F">
          <w:rPr>
            <w:noProof/>
            <w:webHidden/>
          </w:rPr>
          <w:t>87</w:t>
        </w:r>
        <w:r w:rsidRPr="0067507D">
          <w:rPr>
            <w:noProof/>
            <w:webHidden/>
          </w:rPr>
          <w:fldChar w:fldCharType="end"/>
        </w:r>
      </w:hyperlink>
    </w:p>
    <w:p w14:paraId="2488C9C8" w14:textId="43BAE96A" w:rsidR="005D2595" w:rsidRPr="0067507D" w:rsidRDefault="005D2595" w:rsidP="005D2595">
      <w:pPr>
        <w:pStyle w:val="TOC3"/>
        <w:rPr>
          <w:noProof/>
          <w:color w:val="auto"/>
          <w:kern w:val="2"/>
          <w:sz w:val="24"/>
          <w:szCs w:val="24"/>
          <w14:ligatures w14:val="standardContextual"/>
        </w:rPr>
      </w:pPr>
      <w:hyperlink w:anchor="_Toc210214015" w:history="1">
        <w:r w:rsidRPr="0067507D">
          <w:rPr>
            <w:rStyle w:val="Hyperlink"/>
            <w:noProof/>
          </w:rPr>
          <w:t>6.3</w:t>
        </w:r>
        <w:r w:rsidRPr="0067507D">
          <w:rPr>
            <w:noProof/>
            <w:color w:val="auto"/>
            <w:kern w:val="2"/>
            <w:sz w:val="24"/>
            <w:szCs w:val="24"/>
            <w14:ligatures w14:val="standardContextual"/>
          </w:rPr>
          <w:tab/>
        </w:r>
        <w:r w:rsidRPr="0067507D">
          <w:rPr>
            <w:rStyle w:val="Hyperlink"/>
            <w:noProof/>
          </w:rPr>
          <w:t>Payables</w:t>
        </w:r>
        <w:r w:rsidRPr="0067507D">
          <w:rPr>
            <w:noProof/>
            <w:webHidden/>
          </w:rPr>
          <w:tab/>
        </w:r>
        <w:r w:rsidRPr="0067507D">
          <w:rPr>
            <w:noProof/>
            <w:webHidden/>
          </w:rPr>
          <w:fldChar w:fldCharType="begin"/>
        </w:r>
        <w:r w:rsidRPr="0067507D">
          <w:rPr>
            <w:noProof/>
            <w:webHidden/>
          </w:rPr>
          <w:instrText xml:space="preserve"> PAGEREF _Toc210214015 \h </w:instrText>
        </w:r>
        <w:r w:rsidRPr="0067507D">
          <w:rPr>
            <w:noProof/>
            <w:webHidden/>
          </w:rPr>
        </w:r>
        <w:r w:rsidRPr="0067507D">
          <w:rPr>
            <w:noProof/>
            <w:webHidden/>
          </w:rPr>
          <w:fldChar w:fldCharType="separate"/>
        </w:r>
        <w:r w:rsidR="008F4C0F">
          <w:rPr>
            <w:noProof/>
            <w:webHidden/>
          </w:rPr>
          <w:t>88</w:t>
        </w:r>
        <w:r w:rsidRPr="0067507D">
          <w:rPr>
            <w:noProof/>
            <w:webHidden/>
          </w:rPr>
          <w:fldChar w:fldCharType="end"/>
        </w:r>
      </w:hyperlink>
    </w:p>
    <w:p w14:paraId="2EB1B81B" w14:textId="3B2725C8"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4016" w:history="1">
        <w:r w:rsidRPr="0067507D">
          <w:rPr>
            <w:rStyle w:val="Hyperlink"/>
          </w:rPr>
          <w:t>7</w:t>
        </w:r>
        <w:r w:rsidRPr="0067507D">
          <w:rPr>
            <w:rFonts w:asciiTheme="minorHAnsi" w:eastAsiaTheme="minorEastAsia" w:hAnsiTheme="minorHAnsi" w:cstheme="minorBidi"/>
            <w:color w:val="auto"/>
            <w:kern w:val="2"/>
            <w:sz w:val="24"/>
            <w:szCs w:val="24"/>
            <w14:ligatures w14:val="standardContextual"/>
          </w:rPr>
          <w:tab/>
        </w:r>
        <w:r w:rsidRPr="0067507D">
          <w:rPr>
            <w:rStyle w:val="Hyperlink"/>
          </w:rPr>
          <w:t>Financing operations</w:t>
        </w:r>
        <w:r w:rsidRPr="0067507D">
          <w:rPr>
            <w:webHidden/>
          </w:rPr>
          <w:tab/>
        </w:r>
        <w:r w:rsidRPr="0067507D">
          <w:rPr>
            <w:webHidden/>
          </w:rPr>
          <w:fldChar w:fldCharType="begin"/>
        </w:r>
        <w:r w:rsidRPr="0067507D">
          <w:rPr>
            <w:webHidden/>
          </w:rPr>
          <w:instrText xml:space="preserve"> PAGEREF _Toc210214016 \h </w:instrText>
        </w:r>
        <w:r w:rsidRPr="0067507D">
          <w:rPr>
            <w:webHidden/>
          </w:rPr>
        </w:r>
        <w:r w:rsidRPr="0067507D">
          <w:rPr>
            <w:webHidden/>
          </w:rPr>
          <w:fldChar w:fldCharType="separate"/>
        </w:r>
        <w:r w:rsidR="008F4C0F">
          <w:rPr>
            <w:webHidden/>
          </w:rPr>
          <w:t>89</w:t>
        </w:r>
        <w:r w:rsidRPr="0067507D">
          <w:rPr>
            <w:webHidden/>
          </w:rPr>
          <w:fldChar w:fldCharType="end"/>
        </w:r>
      </w:hyperlink>
    </w:p>
    <w:p w14:paraId="72F0A1FF" w14:textId="45CAC91F" w:rsidR="005D2595" w:rsidRPr="0067507D" w:rsidRDefault="005D2595" w:rsidP="005D2595">
      <w:pPr>
        <w:pStyle w:val="TOC3"/>
        <w:rPr>
          <w:noProof/>
          <w:color w:val="auto"/>
          <w:kern w:val="2"/>
          <w:sz w:val="24"/>
          <w:szCs w:val="24"/>
          <w14:ligatures w14:val="standardContextual"/>
        </w:rPr>
      </w:pPr>
      <w:hyperlink w:anchor="_Toc210214017" w:history="1">
        <w:r w:rsidRPr="0067507D">
          <w:rPr>
            <w:rStyle w:val="Hyperlink"/>
            <w:noProof/>
          </w:rPr>
          <w:t>7.1</w:t>
        </w:r>
        <w:r w:rsidRPr="0067507D">
          <w:rPr>
            <w:noProof/>
            <w:color w:val="auto"/>
            <w:kern w:val="2"/>
            <w:sz w:val="24"/>
            <w:szCs w:val="24"/>
            <w14:ligatures w14:val="standardContextual"/>
          </w:rPr>
          <w:tab/>
        </w:r>
        <w:r w:rsidRPr="0067507D">
          <w:rPr>
            <w:rStyle w:val="Hyperlink"/>
            <w:noProof/>
          </w:rPr>
          <w:t>Introduction</w:t>
        </w:r>
        <w:r w:rsidRPr="0067507D">
          <w:rPr>
            <w:noProof/>
            <w:webHidden/>
          </w:rPr>
          <w:tab/>
        </w:r>
        <w:r w:rsidRPr="0067507D">
          <w:rPr>
            <w:noProof/>
            <w:webHidden/>
          </w:rPr>
          <w:fldChar w:fldCharType="begin"/>
        </w:r>
        <w:r w:rsidRPr="0067507D">
          <w:rPr>
            <w:noProof/>
            <w:webHidden/>
          </w:rPr>
          <w:instrText xml:space="preserve"> PAGEREF _Toc210214017 \h </w:instrText>
        </w:r>
        <w:r w:rsidRPr="0067507D">
          <w:rPr>
            <w:noProof/>
            <w:webHidden/>
          </w:rPr>
        </w:r>
        <w:r w:rsidRPr="0067507D">
          <w:rPr>
            <w:noProof/>
            <w:webHidden/>
          </w:rPr>
          <w:fldChar w:fldCharType="separate"/>
        </w:r>
        <w:r w:rsidR="008F4C0F">
          <w:rPr>
            <w:noProof/>
            <w:webHidden/>
          </w:rPr>
          <w:t>89</w:t>
        </w:r>
        <w:r w:rsidRPr="0067507D">
          <w:rPr>
            <w:noProof/>
            <w:webHidden/>
          </w:rPr>
          <w:fldChar w:fldCharType="end"/>
        </w:r>
      </w:hyperlink>
    </w:p>
    <w:p w14:paraId="1483AAB3" w14:textId="03F0DEF7" w:rsidR="005D2595" w:rsidRPr="0067507D" w:rsidRDefault="005D2595" w:rsidP="005D2595">
      <w:pPr>
        <w:pStyle w:val="TOC3"/>
        <w:rPr>
          <w:noProof/>
          <w:color w:val="auto"/>
          <w:kern w:val="2"/>
          <w:sz w:val="24"/>
          <w:szCs w:val="24"/>
          <w14:ligatures w14:val="standardContextual"/>
        </w:rPr>
      </w:pPr>
      <w:hyperlink w:anchor="_Toc210214018" w:history="1">
        <w:r w:rsidRPr="0067507D">
          <w:rPr>
            <w:rStyle w:val="Hyperlink"/>
            <w:noProof/>
          </w:rPr>
          <w:t>7.2</w:t>
        </w:r>
        <w:r w:rsidRPr="0067507D">
          <w:rPr>
            <w:noProof/>
            <w:color w:val="auto"/>
            <w:kern w:val="2"/>
            <w:sz w:val="24"/>
            <w:szCs w:val="24"/>
            <w14:ligatures w14:val="standardContextual"/>
          </w:rPr>
          <w:tab/>
        </w:r>
        <w:r w:rsidRPr="0067507D">
          <w:rPr>
            <w:rStyle w:val="Hyperlink"/>
            <w:noProof/>
          </w:rPr>
          <w:t>Cash flow information and balances</w:t>
        </w:r>
        <w:r w:rsidRPr="0067507D">
          <w:rPr>
            <w:noProof/>
            <w:webHidden/>
          </w:rPr>
          <w:tab/>
        </w:r>
        <w:r w:rsidRPr="0067507D">
          <w:rPr>
            <w:noProof/>
            <w:webHidden/>
          </w:rPr>
          <w:fldChar w:fldCharType="begin"/>
        </w:r>
        <w:r w:rsidRPr="0067507D">
          <w:rPr>
            <w:noProof/>
            <w:webHidden/>
          </w:rPr>
          <w:instrText xml:space="preserve"> PAGEREF _Toc210214018 \h </w:instrText>
        </w:r>
        <w:r w:rsidRPr="0067507D">
          <w:rPr>
            <w:noProof/>
            <w:webHidden/>
          </w:rPr>
        </w:r>
        <w:r w:rsidRPr="0067507D">
          <w:rPr>
            <w:noProof/>
            <w:webHidden/>
          </w:rPr>
          <w:fldChar w:fldCharType="separate"/>
        </w:r>
        <w:r w:rsidR="008F4C0F">
          <w:rPr>
            <w:noProof/>
            <w:webHidden/>
          </w:rPr>
          <w:t>89</w:t>
        </w:r>
        <w:r w:rsidRPr="0067507D">
          <w:rPr>
            <w:noProof/>
            <w:webHidden/>
          </w:rPr>
          <w:fldChar w:fldCharType="end"/>
        </w:r>
      </w:hyperlink>
    </w:p>
    <w:p w14:paraId="1A3860A2" w14:textId="6AB1932A" w:rsidR="005D2595" w:rsidRPr="0067507D" w:rsidRDefault="005D2595" w:rsidP="005D2595">
      <w:pPr>
        <w:pStyle w:val="TOC3"/>
        <w:rPr>
          <w:noProof/>
          <w:color w:val="auto"/>
          <w:kern w:val="2"/>
          <w:sz w:val="24"/>
          <w:szCs w:val="24"/>
          <w14:ligatures w14:val="standardContextual"/>
        </w:rPr>
      </w:pPr>
      <w:hyperlink w:anchor="_Toc210214019" w:history="1">
        <w:r w:rsidRPr="0067507D">
          <w:rPr>
            <w:rStyle w:val="Hyperlink"/>
            <w:noProof/>
          </w:rPr>
          <w:t>7.3</w:t>
        </w:r>
        <w:r w:rsidRPr="0067507D">
          <w:rPr>
            <w:noProof/>
            <w:color w:val="auto"/>
            <w:kern w:val="2"/>
            <w:sz w:val="24"/>
            <w:szCs w:val="24"/>
            <w14:ligatures w14:val="standardContextual"/>
          </w:rPr>
          <w:tab/>
        </w:r>
        <w:r w:rsidRPr="0067507D">
          <w:rPr>
            <w:rStyle w:val="Hyperlink"/>
            <w:noProof/>
          </w:rPr>
          <w:t>Trust account balances</w:t>
        </w:r>
        <w:r w:rsidRPr="0067507D">
          <w:rPr>
            <w:noProof/>
            <w:webHidden/>
          </w:rPr>
          <w:tab/>
        </w:r>
        <w:r w:rsidRPr="0067507D">
          <w:rPr>
            <w:noProof/>
            <w:webHidden/>
          </w:rPr>
          <w:fldChar w:fldCharType="begin"/>
        </w:r>
        <w:r w:rsidRPr="0067507D">
          <w:rPr>
            <w:noProof/>
            <w:webHidden/>
          </w:rPr>
          <w:instrText xml:space="preserve"> PAGEREF _Toc210214019 \h </w:instrText>
        </w:r>
        <w:r w:rsidRPr="0067507D">
          <w:rPr>
            <w:noProof/>
            <w:webHidden/>
          </w:rPr>
        </w:r>
        <w:r w:rsidRPr="0067507D">
          <w:rPr>
            <w:noProof/>
            <w:webHidden/>
          </w:rPr>
          <w:fldChar w:fldCharType="separate"/>
        </w:r>
        <w:r w:rsidR="008F4C0F">
          <w:rPr>
            <w:noProof/>
            <w:webHidden/>
          </w:rPr>
          <w:t>90</w:t>
        </w:r>
        <w:r w:rsidRPr="0067507D">
          <w:rPr>
            <w:noProof/>
            <w:webHidden/>
          </w:rPr>
          <w:fldChar w:fldCharType="end"/>
        </w:r>
      </w:hyperlink>
    </w:p>
    <w:p w14:paraId="7FDFE4E3" w14:textId="5A3BEA47" w:rsidR="005D2595" w:rsidRPr="0067507D" w:rsidRDefault="005D2595" w:rsidP="005D2595">
      <w:pPr>
        <w:pStyle w:val="TOC3"/>
        <w:rPr>
          <w:noProof/>
          <w:color w:val="auto"/>
          <w:kern w:val="2"/>
          <w:sz w:val="24"/>
          <w:szCs w:val="24"/>
          <w14:ligatures w14:val="standardContextual"/>
        </w:rPr>
      </w:pPr>
      <w:hyperlink w:anchor="_Toc210214020" w:history="1">
        <w:r w:rsidRPr="0067507D">
          <w:rPr>
            <w:rStyle w:val="Hyperlink"/>
            <w:noProof/>
          </w:rPr>
          <w:t>7.4</w:t>
        </w:r>
        <w:r w:rsidRPr="0067507D">
          <w:rPr>
            <w:noProof/>
            <w:color w:val="auto"/>
            <w:kern w:val="2"/>
            <w:sz w:val="24"/>
            <w:szCs w:val="24"/>
            <w14:ligatures w14:val="standardContextual"/>
          </w:rPr>
          <w:tab/>
        </w:r>
        <w:r w:rsidRPr="0067507D">
          <w:rPr>
            <w:rStyle w:val="Hyperlink"/>
            <w:noProof/>
          </w:rPr>
          <w:t>Commitments for expenditure</w:t>
        </w:r>
        <w:r w:rsidRPr="0067507D">
          <w:rPr>
            <w:noProof/>
            <w:webHidden/>
          </w:rPr>
          <w:tab/>
        </w:r>
        <w:r w:rsidRPr="0067507D">
          <w:rPr>
            <w:noProof/>
            <w:webHidden/>
          </w:rPr>
          <w:fldChar w:fldCharType="begin"/>
        </w:r>
        <w:r w:rsidRPr="0067507D">
          <w:rPr>
            <w:noProof/>
            <w:webHidden/>
          </w:rPr>
          <w:instrText xml:space="preserve"> PAGEREF _Toc210214020 \h </w:instrText>
        </w:r>
        <w:r w:rsidRPr="0067507D">
          <w:rPr>
            <w:noProof/>
            <w:webHidden/>
          </w:rPr>
        </w:r>
        <w:r w:rsidRPr="0067507D">
          <w:rPr>
            <w:noProof/>
            <w:webHidden/>
          </w:rPr>
          <w:fldChar w:fldCharType="separate"/>
        </w:r>
        <w:r w:rsidR="008F4C0F">
          <w:rPr>
            <w:noProof/>
            <w:webHidden/>
          </w:rPr>
          <w:t>92</w:t>
        </w:r>
        <w:r w:rsidRPr="0067507D">
          <w:rPr>
            <w:noProof/>
            <w:webHidden/>
          </w:rPr>
          <w:fldChar w:fldCharType="end"/>
        </w:r>
      </w:hyperlink>
    </w:p>
    <w:p w14:paraId="4B5CE7F4" w14:textId="1E7A8850"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4021" w:history="1">
        <w:r w:rsidRPr="0067507D">
          <w:rPr>
            <w:rStyle w:val="Hyperlink"/>
          </w:rPr>
          <w:t>8</w:t>
        </w:r>
        <w:r w:rsidRPr="0067507D">
          <w:rPr>
            <w:rFonts w:asciiTheme="minorHAnsi" w:eastAsiaTheme="minorEastAsia" w:hAnsiTheme="minorHAnsi" w:cstheme="minorBidi"/>
            <w:color w:val="auto"/>
            <w:kern w:val="2"/>
            <w:sz w:val="24"/>
            <w:szCs w:val="24"/>
            <w14:ligatures w14:val="standardContextual"/>
          </w:rPr>
          <w:tab/>
        </w:r>
        <w:r w:rsidRPr="0067507D">
          <w:rPr>
            <w:rStyle w:val="Hyperlink"/>
          </w:rPr>
          <w:t>Risks and valuation judgements</w:t>
        </w:r>
        <w:r w:rsidRPr="0067507D">
          <w:rPr>
            <w:webHidden/>
          </w:rPr>
          <w:tab/>
        </w:r>
        <w:r w:rsidRPr="0067507D">
          <w:rPr>
            <w:webHidden/>
          </w:rPr>
          <w:fldChar w:fldCharType="begin"/>
        </w:r>
        <w:r w:rsidRPr="0067507D">
          <w:rPr>
            <w:webHidden/>
          </w:rPr>
          <w:instrText xml:space="preserve"> PAGEREF _Toc210214021 \h </w:instrText>
        </w:r>
        <w:r w:rsidRPr="0067507D">
          <w:rPr>
            <w:webHidden/>
          </w:rPr>
        </w:r>
        <w:r w:rsidRPr="0067507D">
          <w:rPr>
            <w:webHidden/>
          </w:rPr>
          <w:fldChar w:fldCharType="separate"/>
        </w:r>
        <w:r w:rsidR="008F4C0F">
          <w:rPr>
            <w:webHidden/>
          </w:rPr>
          <w:t>93</w:t>
        </w:r>
        <w:r w:rsidRPr="0067507D">
          <w:rPr>
            <w:webHidden/>
          </w:rPr>
          <w:fldChar w:fldCharType="end"/>
        </w:r>
      </w:hyperlink>
    </w:p>
    <w:p w14:paraId="463B4F7C" w14:textId="7C6B5A0E" w:rsidR="005D2595" w:rsidRPr="0067507D" w:rsidRDefault="005D2595" w:rsidP="005D2595">
      <w:pPr>
        <w:pStyle w:val="TOC3"/>
        <w:rPr>
          <w:noProof/>
          <w:color w:val="auto"/>
          <w:kern w:val="2"/>
          <w:sz w:val="24"/>
          <w:szCs w:val="24"/>
          <w14:ligatures w14:val="standardContextual"/>
        </w:rPr>
      </w:pPr>
      <w:hyperlink w:anchor="_Toc210214022" w:history="1">
        <w:r w:rsidRPr="0067507D">
          <w:rPr>
            <w:rStyle w:val="Hyperlink"/>
            <w:noProof/>
          </w:rPr>
          <w:t>8.1</w:t>
        </w:r>
        <w:r w:rsidRPr="0067507D">
          <w:rPr>
            <w:noProof/>
            <w:color w:val="auto"/>
            <w:kern w:val="2"/>
            <w:sz w:val="24"/>
            <w:szCs w:val="24"/>
            <w14:ligatures w14:val="standardContextual"/>
          </w:rPr>
          <w:tab/>
        </w:r>
        <w:r w:rsidRPr="0067507D">
          <w:rPr>
            <w:rStyle w:val="Hyperlink"/>
            <w:noProof/>
          </w:rPr>
          <w:t>Introduction</w:t>
        </w:r>
        <w:r w:rsidRPr="0067507D">
          <w:rPr>
            <w:noProof/>
            <w:webHidden/>
          </w:rPr>
          <w:tab/>
        </w:r>
        <w:r w:rsidRPr="0067507D">
          <w:rPr>
            <w:noProof/>
            <w:webHidden/>
          </w:rPr>
          <w:fldChar w:fldCharType="begin"/>
        </w:r>
        <w:r w:rsidRPr="0067507D">
          <w:rPr>
            <w:noProof/>
            <w:webHidden/>
          </w:rPr>
          <w:instrText xml:space="preserve"> PAGEREF _Toc210214022 \h </w:instrText>
        </w:r>
        <w:r w:rsidRPr="0067507D">
          <w:rPr>
            <w:noProof/>
            <w:webHidden/>
          </w:rPr>
        </w:r>
        <w:r w:rsidRPr="0067507D">
          <w:rPr>
            <w:noProof/>
            <w:webHidden/>
          </w:rPr>
          <w:fldChar w:fldCharType="separate"/>
        </w:r>
        <w:r w:rsidR="008F4C0F">
          <w:rPr>
            <w:noProof/>
            <w:webHidden/>
          </w:rPr>
          <w:t>93</w:t>
        </w:r>
        <w:r w:rsidRPr="0067507D">
          <w:rPr>
            <w:noProof/>
            <w:webHidden/>
          </w:rPr>
          <w:fldChar w:fldCharType="end"/>
        </w:r>
      </w:hyperlink>
    </w:p>
    <w:p w14:paraId="6C652BB3" w14:textId="46A39502" w:rsidR="005D2595" w:rsidRPr="0067507D" w:rsidRDefault="005D2595" w:rsidP="005D2595">
      <w:pPr>
        <w:pStyle w:val="TOC3"/>
        <w:rPr>
          <w:noProof/>
          <w:color w:val="auto"/>
          <w:kern w:val="2"/>
          <w:sz w:val="24"/>
          <w:szCs w:val="24"/>
          <w14:ligatures w14:val="standardContextual"/>
        </w:rPr>
      </w:pPr>
      <w:hyperlink w:anchor="_Toc210214023" w:history="1">
        <w:r w:rsidRPr="0067507D">
          <w:rPr>
            <w:rStyle w:val="Hyperlink"/>
            <w:noProof/>
          </w:rPr>
          <w:t>8.2</w:t>
        </w:r>
        <w:r w:rsidRPr="0067507D">
          <w:rPr>
            <w:noProof/>
            <w:color w:val="auto"/>
            <w:kern w:val="2"/>
            <w:sz w:val="24"/>
            <w:szCs w:val="24"/>
            <w14:ligatures w14:val="standardContextual"/>
          </w:rPr>
          <w:tab/>
        </w:r>
        <w:r w:rsidRPr="0067507D">
          <w:rPr>
            <w:rStyle w:val="Hyperlink"/>
            <w:noProof/>
          </w:rPr>
          <w:t>Financial instrument specific disclosures</w:t>
        </w:r>
        <w:r w:rsidRPr="0067507D">
          <w:rPr>
            <w:noProof/>
            <w:webHidden/>
          </w:rPr>
          <w:tab/>
        </w:r>
        <w:r w:rsidRPr="0067507D">
          <w:rPr>
            <w:noProof/>
            <w:webHidden/>
          </w:rPr>
          <w:fldChar w:fldCharType="begin"/>
        </w:r>
        <w:r w:rsidRPr="0067507D">
          <w:rPr>
            <w:noProof/>
            <w:webHidden/>
          </w:rPr>
          <w:instrText xml:space="preserve"> PAGEREF _Toc210214023 \h </w:instrText>
        </w:r>
        <w:r w:rsidRPr="0067507D">
          <w:rPr>
            <w:noProof/>
            <w:webHidden/>
          </w:rPr>
        </w:r>
        <w:r w:rsidRPr="0067507D">
          <w:rPr>
            <w:noProof/>
            <w:webHidden/>
          </w:rPr>
          <w:fldChar w:fldCharType="separate"/>
        </w:r>
        <w:r w:rsidR="008F4C0F">
          <w:rPr>
            <w:noProof/>
            <w:webHidden/>
          </w:rPr>
          <w:t>93</w:t>
        </w:r>
        <w:r w:rsidRPr="0067507D">
          <w:rPr>
            <w:noProof/>
            <w:webHidden/>
          </w:rPr>
          <w:fldChar w:fldCharType="end"/>
        </w:r>
      </w:hyperlink>
    </w:p>
    <w:p w14:paraId="004A6233" w14:textId="47468B22" w:rsidR="005D2595" w:rsidRPr="0067507D" w:rsidRDefault="005D2595" w:rsidP="005D2595">
      <w:pPr>
        <w:pStyle w:val="TOC1"/>
        <w:rPr>
          <w:rFonts w:asciiTheme="minorHAnsi" w:eastAsiaTheme="minorEastAsia" w:hAnsiTheme="minorHAnsi" w:cstheme="minorBidi"/>
          <w:color w:val="auto"/>
          <w:kern w:val="2"/>
          <w:sz w:val="24"/>
          <w:szCs w:val="24"/>
          <w14:ligatures w14:val="standardContextual"/>
        </w:rPr>
      </w:pPr>
      <w:hyperlink w:anchor="_Toc210214024" w:history="1">
        <w:r w:rsidRPr="0067507D">
          <w:rPr>
            <w:rStyle w:val="Hyperlink"/>
          </w:rPr>
          <w:t>9</w:t>
        </w:r>
        <w:r w:rsidRPr="0067507D">
          <w:rPr>
            <w:rFonts w:asciiTheme="minorHAnsi" w:eastAsiaTheme="minorEastAsia" w:hAnsiTheme="minorHAnsi" w:cstheme="minorBidi"/>
            <w:color w:val="auto"/>
            <w:kern w:val="2"/>
            <w:sz w:val="24"/>
            <w:szCs w:val="24"/>
            <w14:ligatures w14:val="standardContextual"/>
          </w:rPr>
          <w:tab/>
        </w:r>
        <w:r w:rsidRPr="0067507D">
          <w:rPr>
            <w:rStyle w:val="Hyperlink"/>
          </w:rPr>
          <w:t>Other disclosures</w:t>
        </w:r>
        <w:r w:rsidRPr="0067507D">
          <w:rPr>
            <w:webHidden/>
          </w:rPr>
          <w:tab/>
        </w:r>
        <w:r w:rsidRPr="0067507D">
          <w:rPr>
            <w:webHidden/>
          </w:rPr>
          <w:fldChar w:fldCharType="begin"/>
        </w:r>
        <w:r w:rsidRPr="0067507D">
          <w:rPr>
            <w:webHidden/>
          </w:rPr>
          <w:instrText xml:space="preserve"> PAGEREF _Toc210214024 \h </w:instrText>
        </w:r>
        <w:r w:rsidRPr="0067507D">
          <w:rPr>
            <w:webHidden/>
          </w:rPr>
        </w:r>
        <w:r w:rsidRPr="0067507D">
          <w:rPr>
            <w:webHidden/>
          </w:rPr>
          <w:fldChar w:fldCharType="separate"/>
        </w:r>
        <w:r w:rsidR="008F4C0F">
          <w:rPr>
            <w:webHidden/>
          </w:rPr>
          <w:t>96</w:t>
        </w:r>
        <w:r w:rsidRPr="0067507D">
          <w:rPr>
            <w:webHidden/>
          </w:rPr>
          <w:fldChar w:fldCharType="end"/>
        </w:r>
      </w:hyperlink>
    </w:p>
    <w:p w14:paraId="40A5EEDB" w14:textId="5CF6FA68" w:rsidR="005D2595" w:rsidRPr="0067507D" w:rsidRDefault="005D2595" w:rsidP="005D2595">
      <w:pPr>
        <w:pStyle w:val="TOC3"/>
        <w:rPr>
          <w:noProof/>
          <w:color w:val="auto"/>
          <w:kern w:val="2"/>
          <w:sz w:val="24"/>
          <w:szCs w:val="24"/>
          <w14:ligatures w14:val="standardContextual"/>
        </w:rPr>
      </w:pPr>
      <w:hyperlink w:anchor="_Toc210214025" w:history="1">
        <w:r w:rsidRPr="0067507D">
          <w:rPr>
            <w:rStyle w:val="Hyperlink"/>
            <w:noProof/>
          </w:rPr>
          <w:t>9.1</w:t>
        </w:r>
        <w:r w:rsidRPr="0067507D">
          <w:rPr>
            <w:noProof/>
            <w:color w:val="auto"/>
            <w:kern w:val="2"/>
            <w:sz w:val="24"/>
            <w:szCs w:val="24"/>
            <w14:ligatures w14:val="standardContextual"/>
          </w:rPr>
          <w:tab/>
        </w:r>
        <w:r w:rsidRPr="0067507D">
          <w:rPr>
            <w:rStyle w:val="Hyperlink"/>
            <w:noProof/>
          </w:rPr>
          <w:t>Introduction</w:t>
        </w:r>
        <w:r w:rsidRPr="0067507D">
          <w:rPr>
            <w:noProof/>
            <w:webHidden/>
          </w:rPr>
          <w:tab/>
        </w:r>
        <w:r w:rsidRPr="0067507D">
          <w:rPr>
            <w:noProof/>
            <w:webHidden/>
          </w:rPr>
          <w:fldChar w:fldCharType="begin"/>
        </w:r>
        <w:r w:rsidRPr="0067507D">
          <w:rPr>
            <w:noProof/>
            <w:webHidden/>
          </w:rPr>
          <w:instrText xml:space="preserve"> PAGEREF _Toc210214025 \h </w:instrText>
        </w:r>
        <w:r w:rsidRPr="0067507D">
          <w:rPr>
            <w:noProof/>
            <w:webHidden/>
          </w:rPr>
        </w:r>
        <w:r w:rsidRPr="0067507D">
          <w:rPr>
            <w:noProof/>
            <w:webHidden/>
          </w:rPr>
          <w:fldChar w:fldCharType="separate"/>
        </w:r>
        <w:r w:rsidR="008F4C0F">
          <w:rPr>
            <w:noProof/>
            <w:webHidden/>
          </w:rPr>
          <w:t>96</w:t>
        </w:r>
        <w:r w:rsidRPr="0067507D">
          <w:rPr>
            <w:noProof/>
            <w:webHidden/>
          </w:rPr>
          <w:fldChar w:fldCharType="end"/>
        </w:r>
      </w:hyperlink>
    </w:p>
    <w:p w14:paraId="38C92778" w14:textId="0B57956F" w:rsidR="005D2595" w:rsidRPr="0067507D" w:rsidRDefault="005D2595" w:rsidP="005D2595">
      <w:pPr>
        <w:pStyle w:val="TOC3"/>
        <w:rPr>
          <w:noProof/>
          <w:color w:val="auto"/>
          <w:kern w:val="2"/>
          <w:sz w:val="24"/>
          <w:szCs w:val="24"/>
          <w14:ligatures w14:val="standardContextual"/>
        </w:rPr>
      </w:pPr>
      <w:hyperlink w:anchor="_Toc210214026" w:history="1">
        <w:r w:rsidRPr="0067507D">
          <w:rPr>
            <w:rStyle w:val="Hyperlink"/>
            <w:noProof/>
          </w:rPr>
          <w:t>9.2</w:t>
        </w:r>
        <w:r w:rsidRPr="0067507D">
          <w:rPr>
            <w:noProof/>
            <w:color w:val="auto"/>
            <w:kern w:val="2"/>
            <w:sz w:val="24"/>
            <w:szCs w:val="24"/>
            <w14:ligatures w14:val="standardContextual"/>
          </w:rPr>
          <w:tab/>
        </w:r>
        <w:r w:rsidRPr="0067507D">
          <w:rPr>
            <w:rStyle w:val="Hyperlink"/>
            <w:noProof/>
          </w:rPr>
          <w:t>Responsible persons</w:t>
        </w:r>
        <w:r w:rsidRPr="0067507D">
          <w:rPr>
            <w:noProof/>
            <w:webHidden/>
          </w:rPr>
          <w:tab/>
        </w:r>
        <w:r w:rsidRPr="0067507D">
          <w:rPr>
            <w:noProof/>
            <w:webHidden/>
          </w:rPr>
          <w:fldChar w:fldCharType="begin"/>
        </w:r>
        <w:r w:rsidRPr="0067507D">
          <w:rPr>
            <w:noProof/>
            <w:webHidden/>
          </w:rPr>
          <w:instrText xml:space="preserve"> PAGEREF _Toc210214026 \h </w:instrText>
        </w:r>
        <w:r w:rsidRPr="0067507D">
          <w:rPr>
            <w:noProof/>
            <w:webHidden/>
          </w:rPr>
        </w:r>
        <w:r w:rsidRPr="0067507D">
          <w:rPr>
            <w:noProof/>
            <w:webHidden/>
          </w:rPr>
          <w:fldChar w:fldCharType="separate"/>
        </w:r>
        <w:r w:rsidR="008F4C0F">
          <w:rPr>
            <w:noProof/>
            <w:webHidden/>
          </w:rPr>
          <w:t>96</w:t>
        </w:r>
        <w:r w:rsidRPr="0067507D">
          <w:rPr>
            <w:noProof/>
            <w:webHidden/>
          </w:rPr>
          <w:fldChar w:fldCharType="end"/>
        </w:r>
      </w:hyperlink>
    </w:p>
    <w:p w14:paraId="17FBFBA4" w14:textId="08F1C246" w:rsidR="005D2595" w:rsidRPr="0067507D" w:rsidRDefault="005D2595" w:rsidP="005D2595">
      <w:pPr>
        <w:pStyle w:val="TOC3"/>
        <w:rPr>
          <w:noProof/>
          <w:color w:val="auto"/>
          <w:kern w:val="2"/>
          <w:sz w:val="24"/>
          <w:szCs w:val="24"/>
          <w14:ligatures w14:val="standardContextual"/>
        </w:rPr>
      </w:pPr>
      <w:hyperlink w:anchor="_Toc210214027" w:history="1">
        <w:r w:rsidRPr="0067507D">
          <w:rPr>
            <w:rStyle w:val="Hyperlink"/>
            <w:noProof/>
          </w:rPr>
          <w:t>9.3</w:t>
        </w:r>
        <w:r w:rsidRPr="0067507D">
          <w:rPr>
            <w:noProof/>
            <w:color w:val="auto"/>
            <w:kern w:val="2"/>
            <w:sz w:val="24"/>
            <w:szCs w:val="24"/>
            <w14:ligatures w14:val="standardContextual"/>
          </w:rPr>
          <w:tab/>
        </w:r>
        <w:r w:rsidRPr="0067507D">
          <w:rPr>
            <w:rStyle w:val="Hyperlink"/>
            <w:noProof/>
          </w:rPr>
          <w:t>Remuneration of executives</w:t>
        </w:r>
        <w:r w:rsidRPr="0067507D">
          <w:rPr>
            <w:noProof/>
            <w:webHidden/>
          </w:rPr>
          <w:tab/>
        </w:r>
        <w:r w:rsidRPr="0067507D">
          <w:rPr>
            <w:noProof/>
            <w:webHidden/>
          </w:rPr>
          <w:fldChar w:fldCharType="begin"/>
        </w:r>
        <w:r w:rsidRPr="0067507D">
          <w:rPr>
            <w:noProof/>
            <w:webHidden/>
          </w:rPr>
          <w:instrText xml:space="preserve"> PAGEREF _Toc210214027 \h </w:instrText>
        </w:r>
        <w:r w:rsidRPr="0067507D">
          <w:rPr>
            <w:noProof/>
            <w:webHidden/>
          </w:rPr>
        </w:r>
        <w:r w:rsidRPr="0067507D">
          <w:rPr>
            <w:noProof/>
            <w:webHidden/>
          </w:rPr>
          <w:fldChar w:fldCharType="separate"/>
        </w:r>
        <w:r w:rsidR="008F4C0F">
          <w:rPr>
            <w:noProof/>
            <w:webHidden/>
          </w:rPr>
          <w:t>97</w:t>
        </w:r>
        <w:r w:rsidRPr="0067507D">
          <w:rPr>
            <w:noProof/>
            <w:webHidden/>
          </w:rPr>
          <w:fldChar w:fldCharType="end"/>
        </w:r>
      </w:hyperlink>
    </w:p>
    <w:p w14:paraId="38F17C46" w14:textId="21FB6CA6" w:rsidR="005D2595" w:rsidRPr="0067507D" w:rsidRDefault="005D2595" w:rsidP="005D2595">
      <w:pPr>
        <w:pStyle w:val="TOC3"/>
        <w:rPr>
          <w:noProof/>
          <w:color w:val="auto"/>
          <w:kern w:val="2"/>
          <w:sz w:val="24"/>
          <w:szCs w:val="24"/>
          <w14:ligatures w14:val="standardContextual"/>
        </w:rPr>
      </w:pPr>
      <w:hyperlink w:anchor="_Toc210214028" w:history="1">
        <w:r w:rsidRPr="0067507D">
          <w:rPr>
            <w:rStyle w:val="Hyperlink"/>
            <w:noProof/>
          </w:rPr>
          <w:t>9.4</w:t>
        </w:r>
        <w:r w:rsidRPr="0067507D">
          <w:rPr>
            <w:noProof/>
            <w:color w:val="auto"/>
            <w:kern w:val="2"/>
            <w:sz w:val="24"/>
            <w:szCs w:val="24"/>
            <w14:ligatures w14:val="standardContextual"/>
          </w:rPr>
          <w:tab/>
        </w:r>
        <w:r w:rsidRPr="0067507D">
          <w:rPr>
            <w:rStyle w:val="Hyperlink"/>
            <w:noProof/>
          </w:rPr>
          <w:t>Related parties</w:t>
        </w:r>
        <w:r w:rsidRPr="0067507D">
          <w:rPr>
            <w:noProof/>
            <w:webHidden/>
          </w:rPr>
          <w:tab/>
        </w:r>
        <w:r w:rsidRPr="0067507D">
          <w:rPr>
            <w:noProof/>
            <w:webHidden/>
          </w:rPr>
          <w:fldChar w:fldCharType="begin"/>
        </w:r>
        <w:r w:rsidRPr="0067507D">
          <w:rPr>
            <w:noProof/>
            <w:webHidden/>
          </w:rPr>
          <w:instrText xml:space="preserve"> PAGEREF _Toc210214028 \h </w:instrText>
        </w:r>
        <w:r w:rsidRPr="0067507D">
          <w:rPr>
            <w:noProof/>
            <w:webHidden/>
          </w:rPr>
        </w:r>
        <w:r w:rsidRPr="0067507D">
          <w:rPr>
            <w:noProof/>
            <w:webHidden/>
          </w:rPr>
          <w:fldChar w:fldCharType="separate"/>
        </w:r>
        <w:r w:rsidR="008F4C0F">
          <w:rPr>
            <w:noProof/>
            <w:webHidden/>
          </w:rPr>
          <w:t>98</w:t>
        </w:r>
        <w:r w:rsidRPr="0067507D">
          <w:rPr>
            <w:noProof/>
            <w:webHidden/>
          </w:rPr>
          <w:fldChar w:fldCharType="end"/>
        </w:r>
      </w:hyperlink>
    </w:p>
    <w:p w14:paraId="23395E07" w14:textId="6DC9B1B0" w:rsidR="005D2595" w:rsidRPr="0067507D" w:rsidRDefault="005D2595" w:rsidP="005D2595">
      <w:pPr>
        <w:pStyle w:val="TOC3"/>
        <w:rPr>
          <w:noProof/>
          <w:color w:val="auto"/>
          <w:kern w:val="2"/>
          <w:sz w:val="24"/>
          <w:szCs w:val="24"/>
          <w14:ligatures w14:val="standardContextual"/>
        </w:rPr>
      </w:pPr>
      <w:hyperlink w:anchor="_Toc210214029" w:history="1">
        <w:r w:rsidRPr="0067507D">
          <w:rPr>
            <w:rStyle w:val="Hyperlink"/>
            <w:noProof/>
          </w:rPr>
          <w:t>9.5</w:t>
        </w:r>
        <w:r w:rsidRPr="0067507D">
          <w:rPr>
            <w:noProof/>
            <w:color w:val="auto"/>
            <w:kern w:val="2"/>
            <w:sz w:val="24"/>
            <w:szCs w:val="24"/>
            <w14:ligatures w14:val="standardContextual"/>
          </w:rPr>
          <w:tab/>
        </w:r>
        <w:r w:rsidRPr="0067507D">
          <w:rPr>
            <w:rStyle w:val="Hyperlink"/>
            <w:noProof/>
          </w:rPr>
          <w:t>Remuneration of auditors</w:t>
        </w:r>
        <w:r w:rsidRPr="0067507D">
          <w:rPr>
            <w:noProof/>
            <w:webHidden/>
          </w:rPr>
          <w:tab/>
        </w:r>
        <w:r w:rsidRPr="0067507D">
          <w:rPr>
            <w:noProof/>
            <w:webHidden/>
          </w:rPr>
          <w:fldChar w:fldCharType="begin"/>
        </w:r>
        <w:r w:rsidRPr="0067507D">
          <w:rPr>
            <w:noProof/>
            <w:webHidden/>
          </w:rPr>
          <w:instrText xml:space="preserve"> PAGEREF _Toc210214029 \h </w:instrText>
        </w:r>
        <w:r w:rsidRPr="0067507D">
          <w:rPr>
            <w:noProof/>
            <w:webHidden/>
          </w:rPr>
        </w:r>
        <w:r w:rsidRPr="0067507D">
          <w:rPr>
            <w:noProof/>
            <w:webHidden/>
          </w:rPr>
          <w:fldChar w:fldCharType="separate"/>
        </w:r>
        <w:r w:rsidR="008F4C0F">
          <w:rPr>
            <w:noProof/>
            <w:webHidden/>
          </w:rPr>
          <w:t>99</w:t>
        </w:r>
        <w:r w:rsidRPr="0067507D">
          <w:rPr>
            <w:noProof/>
            <w:webHidden/>
          </w:rPr>
          <w:fldChar w:fldCharType="end"/>
        </w:r>
      </w:hyperlink>
    </w:p>
    <w:p w14:paraId="6AD8E8CA" w14:textId="76C0BCD4" w:rsidR="005D2595" w:rsidRPr="0067507D" w:rsidRDefault="005D2595" w:rsidP="005D2595">
      <w:pPr>
        <w:pStyle w:val="TOC3"/>
        <w:rPr>
          <w:noProof/>
          <w:color w:val="auto"/>
          <w:kern w:val="2"/>
          <w:sz w:val="24"/>
          <w:szCs w:val="24"/>
          <w14:ligatures w14:val="standardContextual"/>
        </w:rPr>
      </w:pPr>
      <w:hyperlink w:anchor="_Toc210214030" w:history="1">
        <w:r w:rsidRPr="0067507D">
          <w:rPr>
            <w:rStyle w:val="Hyperlink"/>
            <w:noProof/>
          </w:rPr>
          <w:t>9.6</w:t>
        </w:r>
        <w:r w:rsidRPr="0067507D">
          <w:rPr>
            <w:noProof/>
            <w:color w:val="auto"/>
            <w:kern w:val="2"/>
            <w:sz w:val="24"/>
            <w:szCs w:val="24"/>
            <w14:ligatures w14:val="standardContextual"/>
          </w:rPr>
          <w:tab/>
        </w:r>
        <w:r w:rsidRPr="0067507D">
          <w:rPr>
            <w:rStyle w:val="Hyperlink"/>
            <w:noProof/>
          </w:rPr>
          <w:t>Australian Accounting Standards issued that are not yet effective</w:t>
        </w:r>
        <w:r w:rsidRPr="0067507D">
          <w:rPr>
            <w:noProof/>
            <w:webHidden/>
          </w:rPr>
          <w:tab/>
        </w:r>
        <w:r w:rsidRPr="0067507D">
          <w:rPr>
            <w:noProof/>
            <w:webHidden/>
          </w:rPr>
          <w:fldChar w:fldCharType="begin"/>
        </w:r>
        <w:r w:rsidRPr="0067507D">
          <w:rPr>
            <w:noProof/>
            <w:webHidden/>
          </w:rPr>
          <w:instrText xml:space="preserve"> PAGEREF _Toc210214030 \h </w:instrText>
        </w:r>
        <w:r w:rsidRPr="0067507D">
          <w:rPr>
            <w:noProof/>
            <w:webHidden/>
          </w:rPr>
        </w:r>
        <w:r w:rsidRPr="0067507D">
          <w:rPr>
            <w:noProof/>
            <w:webHidden/>
          </w:rPr>
          <w:fldChar w:fldCharType="separate"/>
        </w:r>
        <w:r w:rsidR="008F4C0F">
          <w:rPr>
            <w:noProof/>
            <w:webHidden/>
          </w:rPr>
          <w:t>100</w:t>
        </w:r>
        <w:r w:rsidRPr="0067507D">
          <w:rPr>
            <w:noProof/>
            <w:webHidden/>
          </w:rPr>
          <w:fldChar w:fldCharType="end"/>
        </w:r>
      </w:hyperlink>
    </w:p>
    <w:p w14:paraId="1E677AB5" w14:textId="69270093" w:rsidR="005D2595" w:rsidRPr="0067507D" w:rsidRDefault="005D2595" w:rsidP="005D2595">
      <w:pPr>
        <w:pStyle w:val="TOC3"/>
        <w:rPr>
          <w:noProof/>
          <w:color w:val="auto"/>
          <w:kern w:val="2"/>
          <w:sz w:val="24"/>
          <w:szCs w:val="24"/>
          <w14:ligatures w14:val="standardContextual"/>
        </w:rPr>
      </w:pPr>
      <w:hyperlink w:anchor="_Toc210214031" w:history="1">
        <w:r w:rsidRPr="0067507D">
          <w:rPr>
            <w:rStyle w:val="Hyperlink"/>
            <w:noProof/>
          </w:rPr>
          <w:t>9.7</w:t>
        </w:r>
        <w:r w:rsidRPr="0067507D">
          <w:rPr>
            <w:noProof/>
            <w:color w:val="auto"/>
            <w:kern w:val="2"/>
            <w:sz w:val="24"/>
            <w:szCs w:val="24"/>
            <w14:ligatures w14:val="standardContextual"/>
          </w:rPr>
          <w:tab/>
        </w:r>
        <w:r w:rsidRPr="0067507D">
          <w:rPr>
            <w:rStyle w:val="Hyperlink"/>
            <w:noProof/>
          </w:rPr>
          <w:t>Subsequent events</w:t>
        </w:r>
        <w:r w:rsidRPr="0067507D">
          <w:rPr>
            <w:noProof/>
            <w:webHidden/>
          </w:rPr>
          <w:tab/>
        </w:r>
        <w:r w:rsidRPr="0067507D">
          <w:rPr>
            <w:noProof/>
            <w:webHidden/>
          </w:rPr>
          <w:fldChar w:fldCharType="begin"/>
        </w:r>
        <w:r w:rsidRPr="0067507D">
          <w:rPr>
            <w:noProof/>
            <w:webHidden/>
          </w:rPr>
          <w:instrText xml:space="preserve"> PAGEREF _Toc210214031 \h </w:instrText>
        </w:r>
        <w:r w:rsidRPr="0067507D">
          <w:rPr>
            <w:noProof/>
            <w:webHidden/>
          </w:rPr>
        </w:r>
        <w:r w:rsidRPr="0067507D">
          <w:rPr>
            <w:noProof/>
            <w:webHidden/>
          </w:rPr>
          <w:fldChar w:fldCharType="separate"/>
        </w:r>
        <w:r w:rsidR="008F4C0F">
          <w:rPr>
            <w:noProof/>
            <w:webHidden/>
          </w:rPr>
          <w:t>100</w:t>
        </w:r>
        <w:r w:rsidRPr="0067507D">
          <w:rPr>
            <w:noProof/>
            <w:webHidden/>
          </w:rPr>
          <w:fldChar w:fldCharType="end"/>
        </w:r>
      </w:hyperlink>
    </w:p>
    <w:p w14:paraId="02DB25D5" w14:textId="02954D5C" w:rsidR="005D2595" w:rsidRPr="0067507D" w:rsidRDefault="005D2595" w:rsidP="005D2595">
      <w:pPr>
        <w:pStyle w:val="TOC3"/>
        <w:rPr>
          <w:noProof/>
        </w:rPr>
      </w:pPr>
      <w:hyperlink w:anchor="_Toc210214032" w:history="1">
        <w:r w:rsidRPr="0067507D">
          <w:rPr>
            <w:rStyle w:val="Hyperlink"/>
            <w:noProof/>
            <w:color w:val="4D4D4D"/>
            <w:u w:val="none"/>
          </w:rPr>
          <w:t>9.8</w:t>
        </w:r>
        <w:r w:rsidRPr="0067507D">
          <w:rPr>
            <w:noProof/>
          </w:rPr>
          <w:tab/>
        </w:r>
        <w:r w:rsidRPr="0067507D">
          <w:rPr>
            <w:rStyle w:val="Hyperlink"/>
            <w:noProof/>
            <w:color w:val="4D4D4D"/>
            <w:u w:val="none"/>
          </w:rPr>
          <w:t>Glossary of technical terms</w:t>
        </w:r>
        <w:r w:rsidRPr="0067507D">
          <w:rPr>
            <w:noProof/>
            <w:webHidden/>
          </w:rPr>
          <w:tab/>
        </w:r>
        <w:r w:rsidRPr="0067507D">
          <w:rPr>
            <w:noProof/>
            <w:webHidden/>
          </w:rPr>
          <w:fldChar w:fldCharType="begin"/>
        </w:r>
        <w:r w:rsidRPr="0067507D">
          <w:rPr>
            <w:noProof/>
            <w:webHidden/>
          </w:rPr>
          <w:instrText xml:space="preserve"> PAGEREF _Toc210214032 \h </w:instrText>
        </w:r>
        <w:r w:rsidRPr="0067507D">
          <w:rPr>
            <w:noProof/>
            <w:webHidden/>
          </w:rPr>
        </w:r>
        <w:r w:rsidRPr="0067507D">
          <w:rPr>
            <w:noProof/>
            <w:webHidden/>
          </w:rPr>
          <w:fldChar w:fldCharType="separate"/>
        </w:r>
        <w:r w:rsidR="008F4C0F">
          <w:rPr>
            <w:noProof/>
            <w:webHidden/>
          </w:rPr>
          <w:t>100</w:t>
        </w:r>
        <w:r w:rsidRPr="0067507D">
          <w:rPr>
            <w:noProof/>
            <w:webHidden/>
          </w:rPr>
          <w:fldChar w:fldCharType="end"/>
        </w:r>
      </w:hyperlink>
    </w:p>
    <w:p w14:paraId="2C471913" w14:textId="00972C1A" w:rsidR="005D2595" w:rsidRPr="0067507D" w:rsidRDefault="005D2595" w:rsidP="005D2595">
      <w:pPr>
        <w:pStyle w:val="Heading2Notes"/>
        <w:pageBreakBefore/>
      </w:pPr>
      <w:r w:rsidRPr="0067507D">
        <w:lastRenderedPageBreak/>
        <w:fldChar w:fldCharType="end"/>
      </w:r>
      <w:bookmarkStart w:id="56" w:name="SD5_2"/>
      <w:bookmarkEnd w:id="53"/>
      <w:r w:rsidRPr="0067507D">
        <w:t>Accountable Officer’s and Chief Financial Officer’s declaration</w:t>
      </w:r>
      <w:bookmarkEnd w:id="56"/>
    </w:p>
    <w:p w14:paraId="3E99A653" w14:textId="77777777" w:rsidR="005D2595" w:rsidRPr="0067507D" w:rsidRDefault="005D2595" w:rsidP="005D2595">
      <w:r w:rsidRPr="0067507D">
        <w:t xml:space="preserve">The attached financial statements for the Department of Treasury and Finance have been prepared in accordance with Direction 5.2 of the Standing Directions of the Minister for Finance under the </w:t>
      </w:r>
      <w:bookmarkStart w:id="57" w:name="FMA"/>
      <w:r w:rsidRPr="0067507D">
        <w:rPr>
          <w:i/>
        </w:rPr>
        <w:t>Financial Management Act 1994</w:t>
      </w:r>
      <w:bookmarkEnd w:id="57"/>
      <w:r w:rsidRPr="0067507D">
        <w:t>, applicable Financial Reporting Directions, Australian Accounting Standards including interpretations and other mandatory professional reporting requirements.</w:t>
      </w:r>
    </w:p>
    <w:p w14:paraId="278EA661" w14:textId="4C42602C" w:rsidR="005D2595" w:rsidRPr="0067507D" w:rsidRDefault="005D2595" w:rsidP="005D2595">
      <w:r w:rsidRPr="0067507D">
        <w:t xml:space="preserve">We further state that, in our opinion, the information set out in the comprehensive operating statement, balance sheet, statement of changes in equity, cash flow statement and accompanying notes, presents fairly the financial transactions during the year ended 30 June 2025 and </w:t>
      </w:r>
      <w:r w:rsidR="00E60CF4" w:rsidRPr="0067507D">
        <w:t xml:space="preserve">the </w:t>
      </w:r>
      <w:r w:rsidRPr="0067507D">
        <w:t>financial position of the Department at 30 June 2025.</w:t>
      </w:r>
    </w:p>
    <w:p w14:paraId="2691A41E" w14:textId="77777777" w:rsidR="005D2595" w:rsidRPr="0067507D" w:rsidRDefault="005D2595" w:rsidP="005D2595">
      <w:r w:rsidRPr="0067507D">
        <w:t>At the time of signing, we are not aware of any circumstances which would render any particulars included in the financial statements to be misleading or inaccurate.</w:t>
      </w:r>
    </w:p>
    <w:p w14:paraId="3C51D450" w14:textId="77777777" w:rsidR="005D2595" w:rsidRPr="0067507D" w:rsidRDefault="005D2595" w:rsidP="005D2595">
      <w:r w:rsidRPr="0067507D">
        <w:t>We authorise the attached financial statements for issue on 24 September 2025.</w:t>
      </w:r>
    </w:p>
    <w:p w14:paraId="2A4ACA7E" w14:textId="740F779E" w:rsidR="005D2595" w:rsidRPr="0067507D" w:rsidRDefault="00A6545C" w:rsidP="005D2595">
      <w:pPr>
        <w:tabs>
          <w:tab w:val="left" w:pos="5310"/>
        </w:tabs>
        <w:spacing w:before="500"/>
        <w:rPr>
          <w:rFonts w:asciiTheme="majorHAnsi" w:hAnsiTheme="majorHAnsi" w:cstheme="minorHAnsi"/>
        </w:rPr>
      </w:pPr>
      <w:r w:rsidRPr="0067507D">
        <w:rPr>
          <w:noProof/>
        </w:rPr>
        <w:drawing>
          <wp:inline distT="0" distB="0" distL="0" distR="0" wp14:anchorId="7E24BE37" wp14:editId="0900B3F7">
            <wp:extent cx="1511667" cy="775909"/>
            <wp:effectExtent l="0" t="0" r="0" b="5715"/>
            <wp:docPr id="802881804" name="Picture 4" descr="Julio Labrin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81804" name="Picture 4" descr="Julio Labrin signatur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19279" cy="779816"/>
                    </a:xfrm>
                    <a:prstGeom prst="rect">
                      <a:avLst/>
                    </a:prstGeom>
                    <a:noFill/>
                  </pic:spPr>
                </pic:pic>
              </a:graphicData>
            </a:graphic>
          </wp:inline>
        </w:drawing>
      </w:r>
      <w:r w:rsidR="005D2595" w:rsidRPr="0067507D">
        <w:tab/>
      </w:r>
      <w:r w:rsidR="005D2595" w:rsidRPr="0067507D">
        <w:rPr>
          <w:noProof/>
        </w:rPr>
        <w:drawing>
          <wp:inline distT="0" distB="0" distL="0" distR="0" wp14:anchorId="16001064" wp14:editId="5B206FFE">
            <wp:extent cx="1633235" cy="862180"/>
            <wp:effectExtent l="0" t="0" r="5080" b="0"/>
            <wp:docPr id="696413318" name="Picture 6" descr="Chris Barrett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13318" name="Picture 6" descr="Chris Barrett signatur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55305" cy="873831"/>
                    </a:xfrm>
                    <a:prstGeom prst="rect">
                      <a:avLst/>
                    </a:prstGeom>
                    <a:noFill/>
                    <a:ln>
                      <a:noFill/>
                    </a:ln>
                  </pic:spPr>
                </pic:pic>
              </a:graphicData>
            </a:graphic>
          </wp:inline>
        </w:drawing>
      </w:r>
    </w:p>
    <w:p w14:paraId="12471DEA" w14:textId="77777777" w:rsidR="005D2595" w:rsidRPr="0067507D" w:rsidRDefault="005D2595" w:rsidP="005D2595">
      <w:pPr>
        <w:tabs>
          <w:tab w:val="left" w:pos="5310"/>
        </w:tabs>
        <w:spacing w:before="0"/>
        <w:rPr>
          <w:rFonts w:asciiTheme="majorHAnsi" w:hAnsiTheme="majorHAnsi" w:cstheme="minorHAnsi"/>
        </w:rPr>
      </w:pPr>
      <w:r w:rsidRPr="0067507D">
        <w:rPr>
          <w:rFonts w:asciiTheme="majorHAnsi" w:hAnsiTheme="majorHAnsi" w:cstheme="minorHAnsi"/>
        </w:rPr>
        <w:t>Julio Labrin</w:t>
      </w:r>
      <w:r w:rsidRPr="0067507D">
        <w:rPr>
          <w:rFonts w:asciiTheme="majorHAnsi" w:hAnsiTheme="majorHAnsi" w:cstheme="minorHAnsi"/>
        </w:rPr>
        <w:tab/>
        <w:t>Chris Barrett</w:t>
      </w:r>
      <w:r w:rsidRPr="0067507D">
        <w:rPr>
          <w:rFonts w:asciiTheme="majorHAnsi" w:hAnsiTheme="majorHAnsi" w:cstheme="minorHAnsi"/>
        </w:rPr>
        <w:br/>
        <w:t>Chief Finance Officer</w:t>
      </w:r>
      <w:r w:rsidRPr="0067507D">
        <w:rPr>
          <w:rFonts w:asciiTheme="majorHAnsi" w:hAnsiTheme="majorHAnsi" w:cstheme="minorHAnsi"/>
        </w:rPr>
        <w:tab/>
        <w:t>Secretary</w:t>
      </w:r>
      <w:r w:rsidRPr="0067507D">
        <w:rPr>
          <w:rFonts w:asciiTheme="majorHAnsi" w:hAnsiTheme="majorHAnsi" w:cstheme="minorHAnsi"/>
        </w:rPr>
        <w:br/>
        <w:t>Department of Treasury and Finance</w:t>
      </w:r>
      <w:r w:rsidRPr="0067507D">
        <w:rPr>
          <w:rFonts w:asciiTheme="majorHAnsi" w:hAnsiTheme="majorHAnsi" w:cstheme="minorHAnsi"/>
        </w:rPr>
        <w:tab/>
        <w:t>Department of Treasury and Finance</w:t>
      </w:r>
    </w:p>
    <w:p w14:paraId="4D536130" w14:textId="77777777" w:rsidR="005D2595" w:rsidRPr="0067507D" w:rsidRDefault="005D2595" w:rsidP="005D2595">
      <w:pPr>
        <w:tabs>
          <w:tab w:val="left" w:pos="5310"/>
        </w:tabs>
        <w:rPr>
          <w:rFonts w:cstheme="minorHAnsi"/>
        </w:rPr>
      </w:pPr>
      <w:r w:rsidRPr="0067507D">
        <w:rPr>
          <w:rFonts w:cstheme="minorHAnsi"/>
        </w:rPr>
        <w:t>Melbourne</w:t>
      </w:r>
      <w:r w:rsidRPr="0067507D">
        <w:rPr>
          <w:rFonts w:cstheme="minorHAnsi"/>
        </w:rPr>
        <w:tab/>
        <w:t>Melbourne</w:t>
      </w:r>
      <w:r w:rsidRPr="0067507D">
        <w:rPr>
          <w:rFonts w:cstheme="minorHAnsi"/>
        </w:rPr>
        <w:br/>
        <w:t>24 September 2025</w:t>
      </w:r>
      <w:r w:rsidRPr="0067507D">
        <w:rPr>
          <w:rFonts w:cstheme="minorHAnsi"/>
        </w:rPr>
        <w:tab/>
        <w:t>24 September 2025</w:t>
      </w:r>
    </w:p>
    <w:p w14:paraId="12C45DB6" w14:textId="77777777" w:rsidR="005D2595" w:rsidRPr="00866B9C" w:rsidRDefault="005D2595" w:rsidP="005D2595">
      <w:pPr>
        <w:spacing w:before="0" w:after="0"/>
        <w:rPr>
          <w:rFonts w:cstheme="minorHAnsi"/>
          <w:color w:val="404040"/>
          <w:sz w:val="24"/>
          <w:szCs w:val="28"/>
        </w:rPr>
      </w:pPr>
      <w:r w:rsidRPr="0067507D">
        <w:br w:type="page"/>
      </w:r>
    </w:p>
    <w:p w14:paraId="124BB87B" w14:textId="77777777" w:rsidR="005D2595" w:rsidRPr="0067507D" w:rsidRDefault="005D2595" w:rsidP="005D2595">
      <w:pPr>
        <w:pStyle w:val="Heading2"/>
      </w:pPr>
      <w:r w:rsidRPr="0067507D">
        <w:lastRenderedPageBreak/>
        <w:t>Independent auditor’s report</w:t>
      </w:r>
    </w:p>
    <w:p w14:paraId="7DF10459" w14:textId="77777777" w:rsidR="005D2595" w:rsidRPr="0067507D" w:rsidRDefault="005D2595" w:rsidP="005D2595">
      <w:r w:rsidRPr="0067507D">
        <w:rPr>
          <w:noProof/>
        </w:rPr>
        <w:drawing>
          <wp:inline distT="0" distB="0" distL="0" distR="0" wp14:anchorId="563E2366" wp14:editId="1DCE9005">
            <wp:extent cx="6099175" cy="8348870"/>
            <wp:effectExtent l="0" t="0" r="0" b="0"/>
            <wp:docPr id="1570604386" name="Picture 1" descr="Independent Auditor's Report,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04386" name="Picture 1" descr="Independent Auditor's Report, page 1"/>
                    <pic:cNvPicPr/>
                  </pic:nvPicPr>
                  <pic:blipFill rotWithShape="1">
                    <a:blip r:embed="rId57"/>
                    <a:srcRect b="3254"/>
                    <a:stretch>
                      <a:fillRect/>
                    </a:stretch>
                  </pic:blipFill>
                  <pic:spPr bwMode="auto">
                    <a:xfrm>
                      <a:off x="0" y="0"/>
                      <a:ext cx="6099175" cy="8348870"/>
                    </a:xfrm>
                    <a:prstGeom prst="rect">
                      <a:avLst/>
                    </a:prstGeom>
                    <a:ln>
                      <a:noFill/>
                    </a:ln>
                    <a:extLst>
                      <a:ext uri="{53640926-AAD7-44D8-BBD7-CCE9431645EC}">
                        <a14:shadowObscured xmlns:a14="http://schemas.microsoft.com/office/drawing/2010/main"/>
                      </a:ext>
                    </a:extLst>
                  </pic:spPr>
                </pic:pic>
              </a:graphicData>
            </a:graphic>
          </wp:inline>
        </w:drawing>
      </w:r>
    </w:p>
    <w:p w14:paraId="2240B6FB" w14:textId="77777777" w:rsidR="005D2595" w:rsidRPr="0067507D" w:rsidRDefault="005D2595" w:rsidP="005D2595">
      <w:pPr>
        <w:pStyle w:val="Heading2"/>
        <w:pageBreakBefore/>
        <w:rPr>
          <w:i/>
        </w:rPr>
      </w:pPr>
      <w:r w:rsidRPr="0067507D">
        <w:lastRenderedPageBreak/>
        <w:t xml:space="preserve">Independent auditor’s report </w:t>
      </w:r>
      <w:r w:rsidRPr="0067507D">
        <w:rPr>
          <w:i/>
        </w:rPr>
        <w:t>(continued)</w:t>
      </w:r>
    </w:p>
    <w:p w14:paraId="27B87D59" w14:textId="77777777" w:rsidR="005D2595" w:rsidRPr="0067507D" w:rsidRDefault="005D2595" w:rsidP="005D2595">
      <w:r w:rsidRPr="0067507D">
        <w:rPr>
          <w:noProof/>
        </w:rPr>
        <w:drawing>
          <wp:inline distT="0" distB="0" distL="0" distR="0" wp14:anchorId="553C360D" wp14:editId="3FC5D8EF">
            <wp:extent cx="6099175" cy="7999012"/>
            <wp:effectExtent l="0" t="0" r="0" b="2540"/>
            <wp:docPr id="2100708895" name="Picture 1" descr="Independent Auditor's Report,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08895" name="Picture 1" descr="Independent Auditor's Report, page 2"/>
                    <pic:cNvPicPr/>
                  </pic:nvPicPr>
                  <pic:blipFill rotWithShape="1">
                    <a:blip r:embed="rId58"/>
                    <a:srcRect b="7308"/>
                    <a:stretch>
                      <a:fillRect/>
                    </a:stretch>
                  </pic:blipFill>
                  <pic:spPr bwMode="auto">
                    <a:xfrm>
                      <a:off x="0" y="0"/>
                      <a:ext cx="6099175" cy="7999012"/>
                    </a:xfrm>
                    <a:prstGeom prst="rect">
                      <a:avLst/>
                    </a:prstGeom>
                    <a:ln>
                      <a:noFill/>
                    </a:ln>
                    <a:extLst>
                      <a:ext uri="{53640926-AAD7-44D8-BBD7-CCE9431645EC}">
                        <a14:shadowObscured xmlns:a14="http://schemas.microsoft.com/office/drawing/2010/main"/>
                      </a:ext>
                    </a:extLst>
                  </pic:spPr>
                </pic:pic>
              </a:graphicData>
            </a:graphic>
          </wp:inline>
        </w:drawing>
      </w:r>
    </w:p>
    <w:p w14:paraId="6BAD81B7" w14:textId="77777777" w:rsidR="005D2595" w:rsidRPr="0067507D" w:rsidRDefault="005D2595" w:rsidP="005D2595">
      <w:pPr>
        <w:pStyle w:val="Heading2"/>
        <w:pageBreakBefore/>
        <w:rPr>
          <w:i/>
        </w:rPr>
      </w:pPr>
      <w:r w:rsidRPr="0067507D">
        <w:lastRenderedPageBreak/>
        <w:t xml:space="preserve">Independent auditor’s report </w:t>
      </w:r>
      <w:r w:rsidRPr="0067507D">
        <w:rPr>
          <w:i/>
        </w:rPr>
        <w:t>(continued)</w:t>
      </w:r>
    </w:p>
    <w:p w14:paraId="7A564722" w14:textId="77777777" w:rsidR="005D2595" w:rsidRPr="0067507D" w:rsidRDefault="005D2595" w:rsidP="005D2595">
      <w:r w:rsidRPr="0067507D">
        <w:rPr>
          <w:noProof/>
        </w:rPr>
        <w:drawing>
          <wp:inline distT="0" distB="0" distL="0" distR="0" wp14:anchorId="4EB7C7E9" wp14:editId="6F0F509C">
            <wp:extent cx="6099175" cy="7760473"/>
            <wp:effectExtent l="0" t="0" r="0" b="0"/>
            <wp:docPr id="1165474376" name="Picture 1" descr="Independent Auditor's Report,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74376" name="Picture 1" descr="Independent Auditor's Report, page 3"/>
                    <pic:cNvPicPr/>
                  </pic:nvPicPr>
                  <pic:blipFill rotWithShape="1">
                    <a:blip r:embed="rId59"/>
                    <a:srcRect b="10072"/>
                    <a:stretch>
                      <a:fillRect/>
                    </a:stretch>
                  </pic:blipFill>
                  <pic:spPr bwMode="auto">
                    <a:xfrm>
                      <a:off x="0" y="0"/>
                      <a:ext cx="6099175" cy="7760473"/>
                    </a:xfrm>
                    <a:prstGeom prst="rect">
                      <a:avLst/>
                    </a:prstGeom>
                    <a:ln>
                      <a:noFill/>
                    </a:ln>
                    <a:extLst>
                      <a:ext uri="{53640926-AAD7-44D8-BBD7-CCE9431645EC}">
                        <a14:shadowObscured xmlns:a14="http://schemas.microsoft.com/office/drawing/2010/main"/>
                      </a:ext>
                    </a:extLst>
                  </pic:spPr>
                </pic:pic>
              </a:graphicData>
            </a:graphic>
          </wp:inline>
        </w:drawing>
      </w:r>
    </w:p>
    <w:p w14:paraId="5AF3D4B7" w14:textId="77777777" w:rsidR="005D2595" w:rsidRPr="0067507D" w:rsidRDefault="005D2595" w:rsidP="005D2595">
      <w:pPr>
        <w:pStyle w:val="Heading2"/>
        <w:pageBreakBefore/>
        <w:rPr>
          <w:i/>
        </w:rPr>
      </w:pPr>
      <w:r w:rsidRPr="0067507D">
        <w:lastRenderedPageBreak/>
        <w:t xml:space="preserve">Independent auditor’s report </w:t>
      </w:r>
      <w:r w:rsidRPr="0067507D">
        <w:rPr>
          <w:i/>
        </w:rPr>
        <w:t>(continued)</w:t>
      </w:r>
    </w:p>
    <w:p w14:paraId="573469F0" w14:textId="77777777" w:rsidR="005D2595" w:rsidRPr="0067507D" w:rsidRDefault="005D2595" w:rsidP="005D2595">
      <w:r w:rsidRPr="0067507D">
        <w:rPr>
          <w:noProof/>
        </w:rPr>
        <w:drawing>
          <wp:inline distT="0" distB="0" distL="0" distR="0" wp14:anchorId="09C799B5" wp14:editId="4BB43294">
            <wp:extent cx="6099175" cy="8150087"/>
            <wp:effectExtent l="0" t="0" r="0" b="3810"/>
            <wp:docPr id="296945637" name="Picture 1" descr="Independent Auditor's Report,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45637" name="Picture 1" descr="Independent Auditor's Report, page 4"/>
                    <pic:cNvPicPr/>
                  </pic:nvPicPr>
                  <pic:blipFill rotWithShape="1">
                    <a:blip r:embed="rId60"/>
                    <a:srcRect b="5557"/>
                    <a:stretch>
                      <a:fillRect/>
                    </a:stretch>
                  </pic:blipFill>
                  <pic:spPr bwMode="auto">
                    <a:xfrm>
                      <a:off x="0" y="0"/>
                      <a:ext cx="6099175" cy="8150087"/>
                    </a:xfrm>
                    <a:prstGeom prst="rect">
                      <a:avLst/>
                    </a:prstGeom>
                    <a:ln>
                      <a:noFill/>
                    </a:ln>
                    <a:extLst>
                      <a:ext uri="{53640926-AAD7-44D8-BBD7-CCE9431645EC}">
                        <a14:shadowObscured xmlns:a14="http://schemas.microsoft.com/office/drawing/2010/main"/>
                      </a:ext>
                    </a:extLst>
                  </pic:spPr>
                </pic:pic>
              </a:graphicData>
            </a:graphic>
          </wp:inline>
        </w:drawing>
      </w:r>
    </w:p>
    <w:p w14:paraId="10D106E3" w14:textId="77777777" w:rsidR="005D2595" w:rsidRPr="0067507D" w:rsidRDefault="005D2595" w:rsidP="005D2595">
      <w:pPr>
        <w:pStyle w:val="HeadingFin"/>
        <w:pageBreakBefore/>
      </w:pPr>
      <w:bookmarkStart w:id="58" w:name="_Toc210213988"/>
      <w:bookmarkStart w:id="59" w:name="_Toc210213935"/>
      <w:r w:rsidRPr="0067507D">
        <w:lastRenderedPageBreak/>
        <w:t>Comprehensive operating statement</w:t>
      </w:r>
      <w:bookmarkEnd w:id="54"/>
      <w:bookmarkEnd w:id="55"/>
      <w:bookmarkEnd w:id="58"/>
      <w:bookmarkEnd w:id="59"/>
    </w:p>
    <w:p w14:paraId="3E01FF1E" w14:textId="77777777" w:rsidR="005D2595" w:rsidRPr="0067507D" w:rsidRDefault="005D2595" w:rsidP="005D2595">
      <w:pPr>
        <w:pStyle w:val="Heading2"/>
        <w:spacing w:before="0"/>
      </w:pPr>
      <w:r w:rsidRPr="0067507D">
        <w:t>for the financial year ended 30 June 2025</w:t>
      </w:r>
    </w:p>
    <w:tbl>
      <w:tblPr>
        <w:tblW w:w="8134" w:type="dxa"/>
        <w:tblLayout w:type="fixed"/>
        <w:tblLook w:val="0000" w:firstRow="0" w:lastRow="0" w:firstColumn="0" w:lastColumn="0" w:noHBand="0" w:noVBand="0"/>
      </w:tblPr>
      <w:tblGrid>
        <w:gridCol w:w="4770"/>
        <w:gridCol w:w="990"/>
        <w:gridCol w:w="1187"/>
        <w:gridCol w:w="1187"/>
      </w:tblGrid>
      <w:tr w:rsidR="00871267" w:rsidRPr="0067507D" w14:paraId="1949EB72" w14:textId="77777777" w:rsidTr="00871267">
        <w:tc>
          <w:tcPr>
            <w:tcW w:w="4770" w:type="dxa"/>
          </w:tcPr>
          <w:p w14:paraId="6DA4F4C4" w14:textId="77777777" w:rsidR="00871267" w:rsidRPr="0067507D" w:rsidRDefault="00871267" w:rsidP="00871267">
            <w:pPr>
              <w:pStyle w:val="Tabletext"/>
            </w:pPr>
            <w:r w:rsidRPr="0067507D">
              <w:br w:type="page"/>
            </w:r>
          </w:p>
        </w:tc>
        <w:tc>
          <w:tcPr>
            <w:tcW w:w="990" w:type="dxa"/>
            <w:vAlign w:val="bottom"/>
          </w:tcPr>
          <w:p w14:paraId="6C4EFF5B" w14:textId="0658B88D" w:rsidR="00871267" w:rsidRPr="0067507D" w:rsidRDefault="00871267" w:rsidP="00871267">
            <w:pPr>
              <w:pStyle w:val="Tabletextheadingcentred"/>
            </w:pPr>
            <w:r w:rsidRPr="0067507D">
              <w:t>Notes</w:t>
            </w:r>
          </w:p>
        </w:tc>
        <w:tc>
          <w:tcPr>
            <w:tcW w:w="1187" w:type="dxa"/>
          </w:tcPr>
          <w:p w14:paraId="2DA74583" w14:textId="48754B68" w:rsidR="00871267" w:rsidRPr="0067507D" w:rsidRDefault="00871267" w:rsidP="00871267">
            <w:pPr>
              <w:pStyle w:val="Tabletextheadingright"/>
            </w:pPr>
            <w:r w:rsidRPr="0067507D">
              <w:rPr>
                <w:szCs w:val="16"/>
              </w:rPr>
              <w:t>2025</w:t>
            </w:r>
            <w:r>
              <w:rPr>
                <w:szCs w:val="16"/>
              </w:rPr>
              <w:br/>
            </w:r>
            <w:r w:rsidRPr="0067507D">
              <w:t>$’000</w:t>
            </w:r>
          </w:p>
        </w:tc>
        <w:tc>
          <w:tcPr>
            <w:tcW w:w="1187" w:type="dxa"/>
          </w:tcPr>
          <w:p w14:paraId="05228B62" w14:textId="1C89D109" w:rsidR="00871267" w:rsidRPr="0067507D" w:rsidRDefault="00871267" w:rsidP="00871267">
            <w:pPr>
              <w:pStyle w:val="Tabletextheadingright"/>
            </w:pPr>
            <w:r w:rsidRPr="0067507D">
              <w:rPr>
                <w:szCs w:val="16"/>
              </w:rPr>
              <w:t>2024</w:t>
            </w:r>
            <w:r>
              <w:rPr>
                <w:szCs w:val="16"/>
              </w:rPr>
              <w:br/>
            </w:r>
            <w:r w:rsidRPr="0067507D">
              <w:t>$’000</w:t>
            </w:r>
          </w:p>
        </w:tc>
      </w:tr>
      <w:tr w:rsidR="005D2595" w:rsidRPr="0067507D" w14:paraId="097C76D0" w14:textId="77777777" w:rsidTr="00FC3AF2">
        <w:tc>
          <w:tcPr>
            <w:tcW w:w="4770" w:type="dxa"/>
          </w:tcPr>
          <w:p w14:paraId="29402F82" w14:textId="77777777" w:rsidR="005D2595" w:rsidRPr="0067507D" w:rsidRDefault="005D2595" w:rsidP="00FC3AF2">
            <w:pPr>
              <w:pStyle w:val="Tabletextbold"/>
              <w:rPr>
                <w:szCs w:val="15"/>
              </w:rPr>
            </w:pPr>
            <w:r w:rsidRPr="0067507D">
              <w:t>Income from transactions</w:t>
            </w:r>
          </w:p>
        </w:tc>
        <w:tc>
          <w:tcPr>
            <w:tcW w:w="990" w:type="dxa"/>
          </w:tcPr>
          <w:p w14:paraId="1E6B5470" w14:textId="77777777" w:rsidR="005D2595" w:rsidRPr="0067507D" w:rsidRDefault="005D2595" w:rsidP="00FC3AF2">
            <w:pPr>
              <w:pStyle w:val="Tabletextcentred"/>
              <w:rPr>
                <w:szCs w:val="15"/>
              </w:rPr>
            </w:pPr>
          </w:p>
        </w:tc>
        <w:tc>
          <w:tcPr>
            <w:tcW w:w="1187" w:type="dxa"/>
            <w:shd w:val="clear" w:color="auto" w:fill="E0E0E0"/>
          </w:tcPr>
          <w:p w14:paraId="169307BC" w14:textId="77777777" w:rsidR="005D2595" w:rsidRPr="0067507D" w:rsidRDefault="005D2595" w:rsidP="00FC3AF2">
            <w:pPr>
              <w:pStyle w:val="Tabletextright"/>
              <w:rPr>
                <w:szCs w:val="15"/>
              </w:rPr>
            </w:pPr>
          </w:p>
        </w:tc>
        <w:tc>
          <w:tcPr>
            <w:tcW w:w="1187" w:type="dxa"/>
          </w:tcPr>
          <w:p w14:paraId="219C6FDF" w14:textId="77777777" w:rsidR="005D2595" w:rsidRPr="0067507D" w:rsidRDefault="005D2595" w:rsidP="00FC3AF2">
            <w:pPr>
              <w:pStyle w:val="Tabletextright"/>
              <w:rPr>
                <w:szCs w:val="15"/>
              </w:rPr>
            </w:pPr>
          </w:p>
        </w:tc>
      </w:tr>
      <w:tr w:rsidR="005D2595" w:rsidRPr="0067507D" w14:paraId="7D3B6015" w14:textId="77777777" w:rsidTr="00FC3AF2">
        <w:tc>
          <w:tcPr>
            <w:tcW w:w="4770" w:type="dxa"/>
          </w:tcPr>
          <w:p w14:paraId="06E6B0E7" w14:textId="77777777" w:rsidR="005D2595" w:rsidRPr="0067507D" w:rsidRDefault="005D2595" w:rsidP="00FC3AF2">
            <w:pPr>
              <w:pStyle w:val="Tabletext"/>
              <w:rPr>
                <w:szCs w:val="15"/>
              </w:rPr>
            </w:pPr>
            <w:r w:rsidRPr="0067507D">
              <w:t>Output appropriations</w:t>
            </w:r>
          </w:p>
        </w:tc>
        <w:tc>
          <w:tcPr>
            <w:tcW w:w="990" w:type="dxa"/>
          </w:tcPr>
          <w:p w14:paraId="5B1D4F41" w14:textId="77777777" w:rsidR="005D2595" w:rsidRPr="0067507D" w:rsidRDefault="005D2595" w:rsidP="00FC3AF2">
            <w:pPr>
              <w:pStyle w:val="Tabletextcentred"/>
              <w:rPr>
                <w:szCs w:val="15"/>
              </w:rPr>
            </w:pPr>
            <w:r w:rsidRPr="0067507D">
              <w:t>2.2</w:t>
            </w:r>
          </w:p>
        </w:tc>
        <w:tc>
          <w:tcPr>
            <w:tcW w:w="1187" w:type="dxa"/>
            <w:shd w:val="clear" w:color="auto" w:fill="E0E0E0"/>
          </w:tcPr>
          <w:p w14:paraId="0E765971" w14:textId="77777777" w:rsidR="005D2595" w:rsidRPr="0067507D" w:rsidRDefault="005D2595" w:rsidP="00FC3AF2">
            <w:pPr>
              <w:pStyle w:val="Tabletextright"/>
              <w:rPr>
                <w:szCs w:val="15"/>
              </w:rPr>
            </w:pPr>
            <w:r w:rsidRPr="0067507D">
              <w:t xml:space="preserve">455 232 </w:t>
            </w:r>
          </w:p>
        </w:tc>
        <w:tc>
          <w:tcPr>
            <w:tcW w:w="1187" w:type="dxa"/>
          </w:tcPr>
          <w:p w14:paraId="6D51FBF2" w14:textId="77777777" w:rsidR="005D2595" w:rsidRPr="0067507D" w:rsidRDefault="005D2595" w:rsidP="00FC3AF2">
            <w:pPr>
              <w:pStyle w:val="Tabletextright"/>
              <w:rPr>
                <w:szCs w:val="15"/>
              </w:rPr>
            </w:pPr>
            <w:r w:rsidRPr="0067507D">
              <w:t xml:space="preserve">387 796 </w:t>
            </w:r>
          </w:p>
        </w:tc>
      </w:tr>
      <w:tr w:rsidR="005D2595" w:rsidRPr="0067507D" w14:paraId="06CA551E" w14:textId="77777777" w:rsidTr="00FC3AF2">
        <w:tc>
          <w:tcPr>
            <w:tcW w:w="4770" w:type="dxa"/>
          </w:tcPr>
          <w:p w14:paraId="69E1F87E" w14:textId="77777777" w:rsidR="005D2595" w:rsidRPr="0067507D" w:rsidRDefault="005D2595" w:rsidP="00FC3AF2">
            <w:pPr>
              <w:pStyle w:val="Tabletext"/>
              <w:rPr>
                <w:szCs w:val="15"/>
              </w:rPr>
            </w:pPr>
            <w:r w:rsidRPr="0067507D">
              <w:t>Other income</w:t>
            </w:r>
          </w:p>
        </w:tc>
        <w:tc>
          <w:tcPr>
            <w:tcW w:w="990" w:type="dxa"/>
          </w:tcPr>
          <w:p w14:paraId="1D06E526" w14:textId="77777777" w:rsidR="005D2595" w:rsidRPr="0067507D" w:rsidRDefault="005D2595" w:rsidP="00FC3AF2">
            <w:pPr>
              <w:pStyle w:val="Tabletextcentred"/>
              <w:rPr>
                <w:szCs w:val="15"/>
              </w:rPr>
            </w:pPr>
            <w:r w:rsidRPr="0067507D">
              <w:t>2.5</w:t>
            </w:r>
          </w:p>
        </w:tc>
        <w:tc>
          <w:tcPr>
            <w:tcW w:w="1187" w:type="dxa"/>
            <w:shd w:val="clear" w:color="auto" w:fill="E0E0E0"/>
          </w:tcPr>
          <w:p w14:paraId="2C91A172" w14:textId="77777777" w:rsidR="005D2595" w:rsidRPr="0067507D" w:rsidRDefault="005D2595" w:rsidP="00FC3AF2">
            <w:pPr>
              <w:pStyle w:val="Tabletextright"/>
              <w:rPr>
                <w:szCs w:val="15"/>
              </w:rPr>
            </w:pPr>
            <w:r w:rsidRPr="0067507D">
              <w:t xml:space="preserve">10 073 </w:t>
            </w:r>
          </w:p>
        </w:tc>
        <w:tc>
          <w:tcPr>
            <w:tcW w:w="1187" w:type="dxa"/>
          </w:tcPr>
          <w:p w14:paraId="69EB668E" w14:textId="77777777" w:rsidR="005D2595" w:rsidRPr="0067507D" w:rsidRDefault="005D2595" w:rsidP="00FC3AF2">
            <w:pPr>
              <w:pStyle w:val="Tabletextright"/>
              <w:rPr>
                <w:szCs w:val="15"/>
              </w:rPr>
            </w:pPr>
            <w:r w:rsidRPr="0067507D">
              <w:t xml:space="preserve">10 851 </w:t>
            </w:r>
          </w:p>
        </w:tc>
      </w:tr>
      <w:tr w:rsidR="005D2595" w:rsidRPr="0067507D" w14:paraId="4B615EDB" w14:textId="77777777" w:rsidTr="00FC3AF2">
        <w:tc>
          <w:tcPr>
            <w:tcW w:w="4770" w:type="dxa"/>
          </w:tcPr>
          <w:p w14:paraId="1B301939" w14:textId="77777777" w:rsidR="005D2595" w:rsidRPr="0067507D" w:rsidRDefault="005D2595" w:rsidP="00FC3AF2">
            <w:pPr>
              <w:pStyle w:val="Tabletextbold"/>
            </w:pPr>
            <w:r w:rsidRPr="0067507D">
              <w:t>Total income from transactions</w:t>
            </w:r>
          </w:p>
        </w:tc>
        <w:tc>
          <w:tcPr>
            <w:tcW w:w="990" w:type="dxa"/>
          </w:tcPr>
          <w:p w14:paraId="1F445176" w14:textId="77777777" w:rsidR="005D2595" w:rsidRPr="0067507D" w:rsidRDefault="005D2595" w:rsidP="00FC3AF2">
            <w:pPr>
              <w:pStyle w:val="Tabletextcentred"/>
              <w:rPr>
                <w:szCs w:val="15"/>
              </w:rPr>
            </w:pPr>
          </w:p>
        </w:tc>
        <w:tc>
          <w:tcPr>
            <w:tcW w:w="1187" w:type="dxa"/>
            <w:shd w:val="clear" w:color="auto" w:fill="E0E0E0"/>
          </w:tcPr>
          <w:p w14:paraId="1AF5E6B9" w14:textId="77777777" w:rsidR="005D2595" w:rsidRPr="0067507D" w:rsidRDefault="005D2595" w:rsidP="00FC3AF2">
            <w:pPr>
              <w:pStyle w:val="Tabletextrightbold"/>
              <w:rPr>
                <w:szCs w:val="15"/>
              </w:rPr>
            </w:pPr>
            <w:r w:rsidRPr="0067507D">
              <w:t xml:space="preserve">465 305 </w:t>
            </w:r>
          </w:p>
        </w:tc>
        <w:tc>
          <w:tcPr>
            <w:tcW w:w="1187" w:type="dxa"/>
          </w:tcPr>
          <w:p w14:paraId="66A10C4A" w14:textId="77777777" w:rsidR="005D2595" w:rsidRPr="0067507D" w:rsidRDefault="005D2595" w:rsidP="00FC3AF2">
            <w:pPr>
              <w:pStyle w:val="Tabletextrightbold"/>
              <w:rPr>
                <w:szCs w:val="15"/>
              </w:rPr>
            </w:pPr>
            <w:r w:rsidRPr="0067507D">
              <w:t xml:space="preserve">398 647 </w:t>
            </w:r>
          </w:p>
        </w:tc>
      </w:tr>
      <w:tr w:rsidR="005D2595" w:rsidRPr="0067507D" w14:paraId="187A6166" w14:textId="77777777" w:rsidTr="00FC3AF2">
        <w:tc>
          <w:tcPr>
            <w:tcW w:w="4770" w:type="dxa"/>
          </w:tcPr>
          <w:p w14:paraId="7180C794" w14:textId="77777777" w:rsidR="005D2595" w:rsidRPr="0067507D" w:rsidRDefault="005D2595" w:rsidP="00FC3AF2">
            <w:pPr>
              <w:pStyle w:val="Tabletextbold"/>
              <w:rPr>
                <w:szCs w:val="15"/>
              </w:rPr>
            </w:pPr>
          </w:p>
        </w:tc>
        <w:tc>
          <w:tcPr>
            <w:tcW w:w="990" w:type="dxa"/>
          </w:tcPr>
          <w:p w14:paraId="747578AA" w14:textId="77777777" w:rsidR="005D2595" w:rsidRPr="0067507D" w:rsidRDefault="005D2595" w:rsidP="00FC3AF2">
            <w:pPr>
              <w:pStyle w:val="Tabletextcentred"/>
              <w:rPr>
                <w:szCs w:val="15"/>
              </w:rPr>
            </w:pPr>
          </w:p>
        </w:tc>
        <w:tc>
          <w:tcPr>
            <w:tcW w:w="1187" w:type="dxa"/>
            <w:shd w:val="clear" w:color="auto" w:fill="E0E0E0"/>
          </w:tcPr>
          <w:p w14:paraId="59A3145B" w14:textId="77777777" w:rsidR="005D2595" w:rsidRPr="0067507D" w:rsidRDefault="005D2595" w:rsidP="00FC3AF2">
            <w:pPr>
              <w:pStyle w:val="Tabletextright"/>
              <w:rPr>
                <w:szCs w:val="15"/>
              </w:rPr>
            </w:pPr>
          </w:p>
        </w:tc>
        <w:tc>
          <w:tcPr>
            <w:tcW w:w="1187" w:type="dxa"/>
          </w:tcPr>
          <w:p w14:paraId="6050D7F9" w14:textId="77777777" w:rsidR="005D2595" w:rsidRPr="0067507D" w:rsidRDefault="005D2595" w:rsidP="00FC3AF2">
            <w:pPr>
              <w:pStyle w:val="Tabletextright"/>
              <w:rPr>
                <w:szCs w:val="15"/>
              </w:rPr>
            </w:pPr>
          </w:p>
        </w:tc>
      </w:tr>
      <w:tr w:rsidR="005D2595" w:rsidRPr="0067507D" w14:paraId="44E5EE48" w14:textId="77777777" w:rsidTr="00FC3AF2">
        <w:tc>
          <w:tcPr>
            <w:tcW w:w="4770" w:type="dxa"/>
          </w:tcPr>
          <w:p w14:paraId="29F735C9" w14:textId="77777777" w:rsidR="005D2595" w:rsidRPr="0067507D" w:rsidRDefault="005D2595" w:rsidP="00FC3AF2">
            <w:pPr>
              <w:pStyle w:val="Tabletextbold"/>
              <w:rPr>
                <w:szCs w:val="15"/>
              </w:rPr>
            </w:pPr>
            <w:r w:rsidRPr="0067507D">
              <w:t>Expenses from transactions</w:t>
            </w:r>
          </w:p>
        </w:tc>
        <w:tc>
          <w:tcPr>
            <w:tcW w:w="990" w:type="dxa"/>
          </w:tcPr>
          <w:p w14:paraId="0BD72E8C" w14:textId="77777777" w:rsidR="005D2595" w:rsidRPr="0067507D" w:rsidRDefault="005D2595" w:rsidP="00FC3AF2">
            <w:pPr>
              <w:pStyle w:val="Tabletextcentred"/>
              <w:rPr>
                <w:szCs w:val="15"/>
              </w:rPr>
            </w:pPr>
          </w:p>
        </w:tc>
        <w:tc>
          <w:tcPr>
            <w:tcW w:w="1187" w:type="dxa"/>
            <w:shd w:val="clear" w:color="auto" w:fill="E0E0E0"/>
          </w:tcPr>
          <w:p w14:paraId="5921721F" w14:textId="77777777" w:rsidR="005D2595" w:rsidRPr="0067507D" w:rsidRDefault="005D2595" w:rsidP="00FC3AF2">
            <w:pPr>
              <w:pStyle w:val="Tabletextright"/>
              <w:rPr>
                <w:szCs w:val="15"/>
              </w:rPr>
            </w:pPr>
          </w:p>
        </w:tc>
        <w:tc>
          <w:tcPr>
            <w:tcW w:w="1187" w:type="dxa"/>
          </w:tcPr>
          <w:p w14:paraId="7323F11E" w14:textId="77777777" w:rsidR="005D2595" w:rsidRPr="0067507D" w:rsidRDefault="005D2595" w:rsidP="00FC3AF2">
            <w:pPr>
              <w:pStyle w:val="Tabletextright"/>
              <w:rPr>
                <w:szCs w:val="15"/>
              </w:rPr>
            </w:pPr>
          </w:p>
        </w:tc>
      </w:tr>
      <w:tr w:rsidR="005D2595" w:rsidRPr="0067507D" w14:paraId="628913AE" w14:textId="77777777" w:rsidTr="00FC3AF2">
        <w:tc>
          <w:tcPr>
            <w:tcW w:w="4770" w:type="dxa"/>
          </w:tcPr>
          <w:p w14:paraId="43F306AA" w14:textId="77777777" w:rsidR="005D2595" w:rsidRPr="0067507D" w:rsidRDefault="005D2595" w:rsidP="00FC3AF2">
            <w:pPr>
              <w:pStyle w:val="Tabletext"/>
              <w:rPr>
                <w:szCs w:val="15"/>
              </w:rPr>
            </w:pPr>
            <w:r w:rsidRPr="0067507D">
              <w:t>Employee benefit expense</w:t>
            </w:r>
          </w:p>
        </w:tc>
        <w:tc>
          <w:tcPr>
            <w:tcW w:w="990" w:type="dxa"/>
          </w:tcPr>
          <w:p w14:paraId="5D537EAC" w14:textId="77777777" w:rsidR="005D2595" w:rsidRPr="0067507D" w:rsidRDefault="005D2595" w:rsidP="00FC3AF2">
            <w:pPr>
              <w:pStyle w:val="Tabletextcentred"/>
              <w:rPr>
                <w:szCs w:val="15"/>
              </w:rPr>
            </w:pPr>
            <w:r w:rsidRPr="0067507D">
              <w:t>3.2.1</w:t>
            </w:r>
          </w:p>
        </w:tc>
        <w:tc>
          <w:tcPr>
            <w:tcW w:w="1187" w:type="dxa"/>
            <w:shd w:val="clear" w:color="auto" w:fill="E0E0E0"/>
          </w:tcPr>
          <w:p w14:paraId="672F814C" w14:textId="77777777" w:rsidR="005D2595" w:rsidRPr="0067507D" w:rsidRDefault="005D2595" w:rsidP="00FC3AF2">
            <w:pPr>
              <w:pStyle w:val="Tabletextright"/>
              <w:rPr>
                <w:szCs w:val="15"/>
              </w:rPr>
            </w:pPr>
            <w:r w:rsidRPr="0067507D">
              <w:t xml:space="preserve">(259 726) </w:t>
            </w:r>
          </w:p>
        </w:tc>
        <w:tc>
          <w:tcPr>
            <w:tcW w:w="1187" w:type="dxa"/>
          </w:tcPr>
          <w:p w14:paraId="24802145" w14:textId="77777777" w:rsidR="005D2595" w:rsidRPr="0067507D" w:rsidRDefault="005D2595" w:rsidP="00FC3AF2">
            <w:pPr>
              <w:pStyle w:val="Tabletextright"/>
              <w:rPr>
                <w:szCs w:val="15"/>
              </w:rPr>
            </w:pPr>
            <w:r w:rsidRPr="0067507D">
              <w:t xml:space="preserve">(210 569) </w:t>
            </w:r>
          </w:p>
        </w:tc>
      </w:tr>
      <w:tr w:rsidR="005D2595" w:rsidRPr="0067507D" w14:paraId="73F81B45" w14:textId="77777777" w:rsidTr="00FC3AF2">
        <w:tc>
          <w:tcPr>
            <w:tcW w:w="4770" w:type="dxa"/>
          </w:tcPr>
          <w:p w14:paraId="3FC4DC38" w14:textId="77777777" w:rsidR="005D2595" w:rsidRPr="0067507D" w:rsidRDefault="005D2595" w:rsidP="00FC3AF2">
            <w:pPr>
              <w:pStyle w:val="Tabletext"/>
              <w:rPr>
                <w:szCs w:val="15"/>
              </w:rPr>
            </w:pPr>
            <w:r w:rsidRPr="0067507D">
              <w:t>Depreciation and amortisation</w:t>
            </w:r>
          </w:p>
        </w:tc>
        <w:tc>
          <w:tcPr>
            <w:tcW w:w="990" w:type="dxa"/>
          </w:tcPr>
          <w:p w14:paraId="7E411A4B" w14:textId="77777777" w:rsidR="005D2595" w:rsidRPr="0067507D" w:rsidRDefault="005D2595" w:rsidP="00FC3AF2">
            <w:pPr>
              <w:pStyle w:val="Tabletextcentred"/>
              <w:rPr>
                <w:szCs w:val="15"/>
              </w:rPr>
            </w:pPr>
          </w:p>
        </w:tc>
        <w:tc>
          <w:tcPr>
            <w:tcW w:w="1187" w:type="dxa"/>
            <w:shd w:val="clear" w:color="auto" w:fill="E0E0E0"/>
          </w:tcPr>
          <w:p w14:paraId="229ABA2A" w14:textId="77777777" w:rsidR="005D2595" w:rsidRPr="0067507D" w:rsidRDefault="005D2595" w:rsidP="00FC3AF2">
            <w:pPr>
              <w:pStyle w:val="Tabletextright"/>
              <w:rPr>
                <w:szCs w:val="15"/>
              </w:rPr>
            </w:pPr>
            <w:r w:rsidRPr="0067507D">
              <w:t xml:space="preserve">(9 294) </w:t>
            </w:r>
          </w:p>
        </w:tc>
        <w:tc>
          <w:tcPr>
            <w:tcW w:w="1187" w:type="dxa"/>
          </w:tcPr>
          <w:p w14:paraId="24E4AE1B" w14:textId="77777777" w:rsidR="005D2595" w:rsidRPr="0067507D" w:rsidRDefault="005D2595" w:rsidP="00FC3AF2">
            <w:pPr>
              <w:pStyle w:val="Tabletextright"/>
              <w:rPr>
                <w:szCs w:val="15"/>
              </w:rPr>
            </w:pPr>
            <w:r w:rsidRPr="0067507D">
              <w:t xml:space="preserve">(7 744) </w:t>
            </w:r>
          </w:p>
        </w:tc>
      </w:tr>
      <w:tr w:rsidR="005D2595" w:rsidRPr="0067507D" w14:paraId="787C776D" w14:textId="77777777" w:rsidTr="00FC3AF2">
        <w:tc>
          <w:tcPr>
            <w:tcW w:w="4770" w:type="dxa"/>
          </w:tcPr>
          <w:p w14:paraId="103B21A0" w14:textId="77777777" w:rsidR="005D2595" w:rsidRPr="0067507D" w:rsidRDefault="005D2595" w:rsidP="00FC3AF2">
            <w:pPr>
              <w:pStyle w:val="Tabletext"/>
              <w:rPr>
                <w:szCs w:val="15"/>
              </w:rPr>
            </w:pPr>
            <w:r w:rsidRPr="0067507D">
              <w:t>Interest expense</w:t>
            </w:r>
          </w:p>
        </w:tc>
        <w:tc>
          <w:tcPr>
            <w:tcW w:w="990" w:type="dxa"/>
          </w:tcPr>
          <w:p w14:paraId="4785BED5" w14:textId="77777777" w:rsidR="005D2595" w:rsidRPr="0067507D" w:rsidRDefault="005D2595" w:rsidP="00FC3AF2">
            <w:pPr>
              <w:pStyle w:val="Tabletextcentred"/>
              <w:rPr>
                <w:szCs w:val="15"/>
              </w:rPr>
            </w:pPr>
          </w:p>
        </w:tc>
        <w:tc>
          <w:tcPr>
            <w:tcW w:w="1187" w:type="dxa"/>
            <w:shd w:val="clear" w:color="auto" w:fill="E0E0E0"/>
          </w:tcPr>
          <w:p w14:paraId="70F6C4B2" w14:textId="77777777" w:rsidR="005D2595" w:rsidRPr="0067507D" w:rsidRDefault="005D2595" w:rsidP="00FC3AF2">
            <w:pPr>
              <w:pStyle w:val="Tabletextright"/>
              <w:rPr>
                <w:szCs w:val="15"/>
              </w:rPr>
            </w:pPr>
            <w:r w:rsidRPr="0067507D">
              <w:t xml:space="preserve">(58) </w:t>
            </w:r>
          </w:p>
        </w:tc>
        <w:tc>
          <w:tcPr>
            <w:tcW w:w="1187" w:type="dxa"/>
          </w:tcPr>
          <w:p w14:paraId="45E4E044" w14:textId="77777777" w:rsidR="005D2595" w:rsidRPr="0067507D" w:rsidRDefault="005D2595" w:rsidP="00FC3AF2">
            <w:pPr>
              <w:pStyle w:val="Tabletextright"/>
              <w:rPr>
                <w:szCs w:val="15"/>
              </w:rPr>
            </w:pPr>
            <w:r w:rsidRPr="0067507D">
              <w:t xml:space="preserve">(28) </w:t>
            </w:r>
          </w:p>
        </w:tc>
      </w:tr>
      <w:tr w:rsidR="005D2595" w:rsidRPr="0067507D" w14:paraId="27904014" w14:textId="77777777" w:rsidTr="00FC3AF2">
        <w:tc>
          <w:tcPr>
            <w:tcW w:w="4770" w:type="dxa"/>
          </w:tcPr>
          <w:p w14:paraId="59FE91EC" w14:textId="77777777" w:rsidR="005D2595" w:rsidRPr="0067507D" w:rsidRDefault="005D2595" w:rsidP="00FC3AF2">
            <w:pPr>
              <w:pStyle w:val="Tabletext"/>
              <w:rPr>
                <w:szCs w:val="15"/>
              </w:rPr>
            </w:pPr>
            <w:r w:rsidRPr="0067507D">
              <w:t>Grant expenses</w:t>
            </w:r>
          </w:p>
        </w:tc>
        <w:tc>
          <w:tcPr>
            <w:tcW w:w="990" w:type="dxa"/>
          </w:tcPr>
          <w:p w14:paraId="1630F85B" w14:textId="77777777" w:rsidR="005D2595" w:rsidRPr="0067507D" w:rsidRDefault="005D2595" w:rsidP="00FC3AF2">
            <w:pPr>
              <w:pStyle w:val="Tabletextcentred"/>
              <w:rPr>
                <w:szCs w:val="15"/>
              </w:rPr>
            </w:pPr>
            <w:r w:rsidRPr="0067507D">
              <w:t>3.3</w:t>
            </w:r>
          </w:p>
        </w:tc>
        <w:tc>
          <w:tcPr>
            <w:tcW w:w="1187" w:type="dxa"/>
            <w:shd w:val="clear" w:color="auto" w:fill="E0E0E0"/>
          </w:tcPr>
          <w:p w14:paraId="6FB48AEE" w14:textId="77777777" w:rsidR="005D2595" w:rsidRPr="0067507D" w:rsidRDefault="005D2595" w:rsidP="00FC3AF2">
            <w:pPr>
              <w:pStyle w:val="Tabletextright"/>
              <w:rPr>
                <w:szCs w:val="15"/>
              </w:rPr>
            </w:pPr>
            <w:r w:rsidRPr="0067507D">
              <w:t xml:space="preserve">(39 910) </w:t>
            </w:r>
          </w:p>
        </w:tc>
        <w:tc>
          <w:tcPr>
            <w:tcW w:w="1187" w:type="dxa"/>
          </w:tcPr>
          <w:p w14:paraId="7C42BE6C" w14:textId="77777777" w:rsidR="005D2595" w:rsidRPr="0067507D" w:rsidRDefault="005D2595" w:rsidP="00FC3AF2">
            <w:pPr>
              <w:pStyle w:val="Tabletextright"/>
              <w:rPr>
                <w:szCs w:val="15"/>
              </w:rPr>
            </w:pPr>
            <w:r w:rsidRPr="0067507D">
              <w:t xml:space="preserve">(32 762) </w:t>
            </w:r>
          </w:p>
        </w:tc>
      </w:tr>
      <w:tr w:rsidR="005D2595" w:rsidRPr="0067507D" w14:paraId="5695A1C6" w14:textId="77777777" w:rsidTr="00FC3AF2">
        <w:tc>
          <w:tcPr>
            <w:tcW w:w="4770" w:type="dxa"/>
          </w:tcPr>
          <w:p w14:paraId="63F70911" w14:textId="77777777" w:rsidR="005D2595" w:rsidRPr="0067507D" w:rsidRDefault="005D2595" w:rsidP="00FC3AF2">
            <w:pPr>
              <w:pStyle w:val="Tabletext"/>
              <w:rPr>
                <w:szCs w:val="15"/>
              </w:rPr>
            </w:pPr>
            <w:r w:rsidRPr="0067507D">
              <w:t>Other operating expenses</w:t>
            </w:r>
          </w:p>
        </w:tc>
        <w:tc>
          <w:tcPr>
            <w:tcW w:w="990" w:type="dxa"/>
          </w:tcPr>
          <w:p w14:paraId="1723CE29" w14:textId="77777777" w:rsidR="005D2595" w:rsidRPr="0067507D" w:rsidRDefault="005D2595" w:rsidP="00FC3AF2">
            <w:pPr>
              <w:pStyle w:val="Tabletextcentred"/>
              <w:rPr>
                <w:szCs w:val="15"/>
              </w:rPr>
            </w:pPr>
            <w:r w:rsidRPr="0067507D">
              <w:t>3.4</w:t>
            </w:r>
          </w:p>
        </w:tc>
        <w:tc>
          <w:tcPr>
            <w:tcW w:w="1187" w:type="dxa"/>
            <w:shd w:val="clear" w:color="auto" w:fill="E0E0E0"/>
          </w:tcPr>
          <w:p w14:paraId="53A8AD78" w14:textId="77777777" w:rsidR="005D2595" w:rsidRPr="0067507D" w:rsidRDefault="005D2595" w:rsidP="00FC3AF2">
            <w:pPr>
              <w:pStyle w:val="Tabletextright"/>
              <w:rPr>
                <w:szCs w:val="15"/>
              </w:rPr>
            </w:pPr>
            <w:r w:rsidRPr="0067507D">
              <w:t xml:space="preserve">(149 906) </w:t>
            </w:r>
          </w:p>
        </w:tc>
        <w:tc>
          <w:tcPr>
            <w:tcW w:w="1187" w:type="dxa"/>
          </w:tcPr>
          <w:p w14:paraId="0913C5BD" w14:textId="77777777" w:rsidR="005D2595" w:rsidRPr="0067507D" w:rsidRDefault="005D2595" w:rsidP="00FC3AF2">
            <w:pPr>
              <w:pStyle w:val="Tabletextright"/>
              <w:rPr>
                <w:szCs w:val="15"/>
              </w:rPr>
            </w:pPr>
            <w:r w:rsidRPr="0067507D">
              <w:t xml:space="preserve">(147 321) </w:t>
            </w:r>
          </w:p>
        </w:tc>
      </w:tr>
      <w:tr w:rsidR="005D2595" w:rsidRPr="0067507D" w14:paraId="2659B133" w14:textId="77777777" w:rsidTr="00FC3AF2">
        <w:tc>
          <w:tcPr>
            <w:tcW w:w="4770" w:type="dxa"/>
          </w:tcPr>
          <w:p w14:paraId="456C1906" w14:textId="77777777" w:rsidR="005D2595" w:rsidRPr="0067507D" w:rsidRDefault="005D2595" w:rsidP="00FC3AF2">
            <w:pPr>
              <w:pStyle w:val="Tabletextbold"/>
              <w:rPr>
                <w:szCs w:val="15"/>
              </w:rPr>
            </w:pPr>
            <w:r w:rsidRPr="0067507D">
              <w:t>Total expenses from transactions</w:t>
            </w:r>
          </w:p>
        </w:tc>
        <w:tc>
          <w:tcPr>
            <w:tcW w:w="990" w:type="dxa"/>
          </w:tcPr>
          <w:p w14:paraId="5F08CAD4" w14:textId="77777777" w:rsidR="005D2595" w:rsidRPr="0067507D" w:rsidRDefault="005D2595" w:rsidP="00FC3AF2">
            <w:pPr>
              <w:pStyle w:val="Tabletextcentred"/>
              <w:rPr>
                <w:szCs w:val="15"/>
              </w:rPr>
            </w:pPr>
          </w:p>
        </w:tc>
        <w:tc>
          <w:tcPr>
            <w:tcW w:w="1187" w:type="dxa"/>
            <w:shd w:val="clear" w:color="auto" w:fill="E0E0E0"/>
          </w:tcPr>
          <w:p w14:paraId="6F5A0413" w14:textId="77777777" w:rsidR="005D2595" w:rsidRPr="0067507D" w:rsidRDefault="005D2595" w:rsidP="00FC3AF2">
            <w:pPr>
              <w:pStyle w:val="Tabletextrightbold"/>
              <w:rPr>
                <w:szCs w:val="15"/>
              </w:rPr>
            </w:pPr>
            <w:r w:rsidRPr="0067507D">
              <w:t xml:space="preserve">(458 894) </w:t>
            </w:r>
          </w:p>
        </w:tc>
        <w:tc>
          <w:tcPr>
            <w:tcW w:w="1187" w:type="dxa"/>
          </w:tcPr>
          <w:p w14:paraId="6B5B3DAB" w14:textId="77777777" w:rsidR="005D2595" w:rsidRPr="0067507D" w:rsidRDefault="005D2595" w:rsidP="00FC3AF2">
            <w:pPr>
              <w:pStyle w:val="Tabletextrightbold"/>
              <w:rPr>
                <w:szCs w:val="15"/>
              </w:rPr>
            </w:pPr>
            <w:r w:rsidRPr="0067507D">
              <w:t xml:space="preserve">(398 424) </w:t>
            </w:r>
          </w:p>
        </w:tc>
      </w:tr>
      <w:tr w:rsidR="005D2595" w:rsidRPr="0067507D" w14:paraId="2DBEFA57" w14:textId="77777777" w:rsidTr="00FC3AF2">
        <w:tc>
          <w:tcPr>
            <w:tcW w:w="4770" w:type="dxa"/>
          </w:tcPr>
          <w:p w14:paraId="59EFB08A" w14:textId="77777777" w:rsidR="005D2595" w:rsidRPr="0067507D" w:rsidRDefault="005D2595" w:rsidP="00FC3AF2">
            <w:pPr>
              <w:pStyle w:val="Tabletextbold"/>
              <w:rPr>
                <w:szCs w:val="15"/>
              </w:rPr>
            </w:pPr>
          </w:p>
        </w:tc>
        <w:tc>
          <w:tcPr>
            <w:tcW w:w="990" w:type="dxa"/>
          </w:tcPr>
          <w:p w14:paraId="5B54951E" w14:textId="77777777" w:rsidR="005D2595" w:rsidRPr="0067507D" w:rsidRDefault="005D2595" w:rsidP="00FC3AF2">
            <w:pPr>
              <w:pStyle w:val="Tabletextcentred"/>
              <w:rPr>
                <w:szCs w:val="15"/>
              </w:rPr>
            </w:pPr>
          </w:p>
        </w:tc>
        <w:tc>
          <w:tcPr>
            <w:tcW w:w="1187" w:type="dxa"/>
            <w:shd w:val="clear" w:color="auto" w:fill="E0E0E0"/>
          </w:tcPr>
          <w:p w14:paraId="56E98AD2" w14:textId="77777777" w:rsidR="005D2595" w:rsidRPr="0067507D" w:rsidRDefault="005D2595" w:rsidP="00FC3AF2">
            <w:pPr>
              <w:pStyle w:val="Tabletextright"/>
              <w:rPr>
                <w:szCs w:val="15"/>
              </w:rPr>
            </w:pPr>
          </w:p>
        </w:tc>
        <w:tc>
          <w:tcPr>
            <w:tcW w:w="1187" w:type="dxa"/>
          </w:tcPr>
          <w:p w14:paraId="587F7BD8" w14:textId="77777777" w:rsidR="005D2595" w:rsidRPr="0067507D" w:rsidRDefault="005D2595" w:rsidP="00FC3AF2">
            <w:pPr>
              <w:pStyle w:val="Tabletextright"/>
              <w:rPr>
                <w:szCs w:val="15"/>
              </w:rPr>
            </w:pPr>
          </w:p>
        </w:tc>
      </w:tr>
      <w:tr w:rsidR="005D2595" w:rsidRPr="0067507D" w14:paraId="051E7F75" w14:textId="77777777" w:rsidTr="00FC3AF2">
        <w:tc>
          <w:tcPr>
            <w:tcW w:w="4770" w:type="dxa"/>
          </w:tcPr>
          <w:p w14:paraId="1296B286" w14:textId="77777777" w:rsidR="005D2595" w:rsidRPr="0067507D" w:rsidRDefault="005D2595" w:rsidP="00FC3AF2">
            <w:pPr>
              <w:pStyle w:val="Tabletextbold"/>
            </w:pPr>
            <w:r w:rsidRPr="0067507D">
              <w:t>Net result from transactions (net operating balance)</w:t>
            </w:r>
          </w:p>
        </w:tc>
        <w:tc>
          <w:tcPr>
            <w:tcW w:w="990" w:type="dxa"/>
          </w:tcPr>
          <w:p w14:paraId="3A4B8D21" w14:textId="77777777" w:rsidR="005D2595" w:rsidRPr="0067507D" w:rsidRDefault="005D2595" w:rsidP="00FC3AF2">
            <w:pPr>
              <w:pStyle w:val="Tabletextcentred"/>
              <w:rPr>
                <w:szCs w:val="15"/>
              </w:rPr>
            </w:pPr>
          </w:p>
        </w:tc>
        <w:tc>
          <w:tcPr>
            <w:tcW w:w="1187" w:type="dxa"/>
            <w:shd w:val="clear" w:color="auto" w:fill="E0E0E0"/>
          </w:tcPr>
          <w:p w14:paraId="7F720BA4" w14:textId="77777777" w:rsidR="005D2595" w:rsidRPr="0067507D" w:rsidRDefault="005D2595" w:rsidP="00FC3AF2">
            <w:pPr>
              <w:pStyle w:val="Tabletextrightbold"/>
              <w:rPr>
                <w:szCs w:val="15"/>
              </w:rPr>
            </w:pPr>
            <w:r w:rsidRPr="0067507D">
              <w:t xml:space="preserve">6 411 </w:t>
            </w:r>
          </w:p>
        </w:tc>
        <w:tc>
          <w:tcPr>
            <w:tcW w:w="1187" w:type="dxa"/>
          </w:tcPr>
          <w:p w14:paraId="55359EEB" w14:textId="77777777" w:rsidR="005D2595" w:rsidRPr="0067507D" w:rsidRDefault="005D2595" w:rsidP="00FC3AF2">
            <w:pPr>
              <w:pStyle w:val="Tabletextrightbold"/>
              <w:rPr>
                <w:szCs w:val="15"/>
              </w:rPr>
            </w:pPr>
            <w:r w:rsidRPr="0067507D">
              <w:t xml:space="preserve"> 223 </w:t>
            </w:r>
          </w:p>
        </w:tc>
      </w:tr>
      <w:tr w:rsidR="005D2595" w:rsidRPr="0067507D" w14:paraId="410723BF" w14:textId="77777777" w:rsidTr="00FC3AF2">
        <w:tc>
          <w:tcPr>
            <w:tcW w:w="4770" w:type="dxa"/>
          </w:tcPr>
          <w:p w14:paraId="7E0C560F" w14:textId="77777777" w:rsidR="005D2595" w:rsidRPr="0067507D" w:rsidRDefault="005D2595" w:rsidP="00FC3AF2">
            <w:pPr>
              <w:pStyle w:val="Tabletext"/>
              <w:rPr>
                <w:szCs w:val="15"/>
              </w:rPr>
            </w:pPr>
          </w:p>
        </w:tc>
        <w:tc>
          <w:tcPr>
            <w:tcW w:w="990" w:type="dxa"/>
          </w:tcPr>
          <w:p w14:paraId="3A4E843F" w14:textId="77777777" w:rsidR="005D2595" w:rsidRPr="0067507D" w:rsidRDefault="005D2595" w:rsidP="00FC3AF2">
            <w:pPr>
              <w:pStyle w:val="Tabletextcentred"/>
              <w:rPr>
                <w:szCs w:val="15"/>
              </w:rPr>
            </w:pPr>
          </w:p>
        </w:tc>
        <w:tc>
          <w:tcPr>
            <w:tcW w:w="1187" w:type="dxa"/>
            <w:shd w:val="clear" w:color="auto" w:fill="E0E0E0"/>
          </w:tcPr>
          <w:p w14:paraId="71343608" w14:textId="77777777" w:rsidR="005D2595" w:rsidRPr="0067507D" w:rsidRDefault="005D2595" w:rsidP="00FC3AF2">
            <w:pPr>
              <w:pStyle w:val="Tabletextright"/>
              <w:rPr>
                <w:szCs w:val="15"/>
              </w:rPr>
            </w:pPr>
          </w:p>
        </w:tc>
        <w:tc>
          <w:tcPr>
            <w:tcW w:w="1187" w:type="dxa"/>
          </w:tcPr>
          <w:p w14:paraId="7B09C63E" w14:textId="77777777" w:rsidR="005D2595" w:rsidRPr="0067507D" w:rsidRDefault="005D2595" w:rsidP="00FC3AF2">
            <w:pPr>
              <w:pStyle w:val="Tabletextright"/>
              <w:rPr>
                <w:szCs w:val="15"/>
              </w:rPr>
            </w:pPr>
          </w:p>
        </w:tc>
      </w:tr>
      <w:tr w:rsidR="005D2595" w:rsidRPr="0067507D" w14:paraId="7DE7BAC3" w14:textId="77777777" w:rsidTr="00FC3AF2">
        <w:tc>
          <w:tcPr>
            <w:tcW w:w="4770" w:type="dxa"/>
          </w:tcPr>
          <w:p w14:paraId="49F32D87" w14:textId="77777777" w:rsidR="005D2595" w:rsidRPr="0067507D" w:rsidRDefault="005D2595" w:rsidP="00FC3AF2">
            <w:pPr>
              <w:pStyle w:val="Tabletextbold"/>
              <w:rPr>
                <w:szCs w:val="15"/>
              </w:rPr>
            </w:pPr>
            <w:r w:rsidRPr="0067507D">
              <w:t>Other economic flows included in net result</w:t>
            </w:r>
          </w:p>
        </w:tc>
        <w:tc>
          <w:tcPr>
            <w:tcW w:w="990" w:type="dxa"/>
          </w:tcPr>
          <w:p w14:paraId="11267767" w14:textId="77777777" w:rsidR="005D2595" w:rsidRPr="0067507D" w:rsidRDefault="005D2595" w:rsidP="00FC3AF2">
            <w:pPr>
              <w:pStyle w:val="Tabletextcentred"/>
              <w:rPr>
                <w:szCs w:val="15"/>
              </w:rPr>
            </w:pPr>
          </w:p>
        </w:tc>
        <w:tc>
          <w:tcPr>
            <w:tcW w:w="1187" w:type="dxa"/>
            <w:shd w:val="clear" w:color="auto" w:fill="E0E0E0"/>
          </w:tcPr>
          <w:p w14:paraId="0BBF585A" w14:textId="77777777" w:rsidR="005D2595" w:rsidRPr="0067507D" w:rsidRDefault="005D2595" w:rsidP="00FC3AF2">
            <w:pPr>
              <w:pStyle w:val="Tabletextright"/>
              <w:rPr>
                <w:szCs w:val="15"/>
              </w:rPr>
            </w:pPr>
          </w:p>
        </w:tc>
        <w:tc>
          <w:tcPr>
            <w:tcW w:w="1187" w:type="dxa"/>
          </w:tcPr>
          <w:p w14:paraId="46AD356F" w14:textId="77777777" w:rsidR="005D2595" w:rsidRPr="0067507D" w:rsidRDefault="005D2595" w:rsidP="00FC3AF2">
            <w:pPr>
              <w:pStyle w:val="Tabletextright"/>
              <w:rPr>
                <w:szCs w:val="15"/>
              </w:rPr>
            </w:pPr>
          </w:p>
        </w:tc>
      </w:tr>
      <w:tr w:rsidR="005D2595" w:rsidRPr="0067507D" w14:paraId="5232F007" w14:textId="77777777" w:rsidTr="00FC3AF2">
        <w:tc>
          <w:tcPr>
            <w:tcW w:w="4770" w:type="dxa"/>
          </w:tcPr>
          <w:p w14:paraId="3DF4CA12" w14:textId="5DE4005A" w:rsidR="005D2595" w:rsidRPr="0067507D" w:rsidRDefault="005D2595" w:rsidP="00FC3AF2">
            <w:pPr>
              <w:pStyle w:val="Tabletext"/>
              <w:rPr>
                <w:szCs w:val="15"/>
              </w:rPr>
            </w:pPr>
            <w:r w:rsidRPr="0067507D">
              <w:t>Net gain/(loss) on non</w:t>
            </w:r>
            <w:r w:rsidR="006A5485">
              <w:noBreakHyphen/>
            </w:r>
            <w:r w:rsidRPr="0067507D">
              <w:t>financial assets</w:t>
            </w:r>
          </w:p>
        </w:tc>
        <w:tc>
          <w:tcPr>
            <w:tcW w:w="990" w:type="dxa"/>
          </w:tcPr>
          <w:p w14:paraId="72F8D87F" w14:textId="77777777" w:rsidR="005D2595" w:rsidRPr="0067507D" w:rsidRDefault="005D2595" w:rsidP="00FC3AF2">
            <w:pPr>
              <w:pStyle w:val="Tabletextcentred"/>
              <w:rPr>
                <w:szCs w:val="15"/>
              </w:rPr>
            </w:pPr>
          </w:p>
        </w:tc>
        <w:tc>
          <w:tcPr>
            <w:tcW w:w="1187" w:type="dxa"/>
            <w:shd w:val="clear" w:color="auto" w:fill="E0E0E0"/>
          </w:tcPr>
          <w:p w14:paraId="4F9676AC" w14:textId="77777777" w:rsidR="005D2595" w:rsidRPr="0067507D" w:rsidRDefault="005D2595" w:rsidP="00FC3AF2">
            <w:pPr>
              <w:pStyle w:val="Tabletextright"/>
              <w:rPr>
                <w:szCs w:val="15"/>
              </w:rPr>
            </w:pPr>
            <w:r w:rsidRPr="0067507D">
              <w:t xml:space="preserve"> 135 </w:t>
            </w:r>
          </w:p>
        </w:tc>
        <w:tc>
          <w:tcPr>
            <w:tcW w:w="1187" w:type="dxa"/>
          </w:tcPr>
          <w:p w14:paraId="5A538C1C" w14:textId="77777777" w:rsidR="005D2595" w:rsidRPr="0067507D" w:rsidRDefault="005D2595" w:rsidP="00FC3AF2">
            <w:pPr>
              <w:pStyle w:val="Tabletextright"/>
              <w:rPr>
                <w:szCs w:val="15"/>
              </w:rPr>
            </w:pPr>
            <w:r w:rsidRPr="0067507D">
              <w:t xml:space="preserve"> 227 </w:t>
            </w:r>
          </w:p>
        </w:tc>
      </w:tr>
      <w:tr w:rsidR="005D2595" w:rsidRPr="0067507D" w14:paraId="10A6EAED" w14:textId="77777777" w:rsidTr="00FC3AF2">
        <w:tc>
          <w:tcPr>
            <w:tcW w:w="4770" w:type="dxa"/>
          </w:tcPr>
          <w:p w14:paraId="072F1EED" w14:textId="77777777" w:rsidR="005D2595" w:rsidRPr="0067507D" w:rsidRDefault="005D2595" w:rsidP="00FC3AF2">
            <w:pPr>
              <w:pStyle w:val="Tabletext"/>
              <w:rPr>
                <w:szCs w:val="15"/>
              </w:rPr>
            </w:pPr>
            <w:r w:rsidRPr="0067507D">
              <w:t>Net gain/(loss) on financial instruments</w:t>
            </w:r>
          </w:p>
        </w:tc>
        <w:tc>
          <w:tcPr>
            <w:tcW w:w="990" w:type="dxa"/>
          </w:tcPr>
          <w:p w14:paraId="35C23088" w14:textId="77777777" w:rsidR="005D2595" w:rsidRPr="0067507D" w:rsidRDefault="005D2595" w:rsidP="00FC3AF2">
            <w:pPr>
              <w:pStyle w:val="Tabletextcentred"/>
              <w:rPr>
                <w:szCs w:val="15"/>
              </w:rPr>
            </w:pPr>
          </w:p>
        </w:tc>
        <w:tc>
          <w:tcPr>
            <w:tcW w:w="1187" w:type="dxa"/>
            <w:shd w:val="clear" w:color="auto" w:fill="E0E0E0"/>
          </w:tcPr>
          <w:p w14:paraId="75CCA15A" w14:textId="77777777" w:rsidR="005D2595" w:rsidRPr="0067507D" w:rsidRDefault="005D2595" w:rsidP="00FC3AF2">
            <w:pPr>
              <w:pStyle w:val="Tabletextright"/>
              <w:rPr>
                <w:szCs w:val="15"/>
              </w:rPr>
            </w:pPr>
            <w:r w:rsidRPr="0067507D">
              <w:t xml:space="preserve">(28) </w:t>
            </w:r>
          </w:p>
        </w:tc>
        <w:tc>
          <w:tcPr>
            <w:tcW w:w="1187" w:type="dxa"/>
          </w:tcPr>
          <w:p w14:paraId="4656F2A1" w14:textId="77777777" w:rsidR="005D2595" w:rsidRPr="0067507D" w:rsidRDefault="005D2595" w:rsidP="00FC3AF2">
            <w:pPr>
              <w:pStyle w:val="Tabletextright"/>
              <w:rPr>
                <w:szCs w:val="15"/>
              </w:rPr>
            </w:pPr>
            <w:r w:rsidRPr="0067507D">
              <w:t xml:space="preserve">(22) </w:t>
            </w:r>
          </w:p>
        </w:tc>
      </w:tr>
      <w:tr w:rsidR="005D2595" w:rsidRPr="0067507D" w14:paraId="2E10706E" w14:textId="77777777" w:rsidTr="00FC3AF2">
        <w:tc>
          <w:tcPr>
            <w:tcW w:w="4770" w:type="dxa"/>
          </w:tcPr>
          <w:p w14:paraId="6E8F30CE" w14:textId="77777777" w:rsidR="005D2595" w:rsidRPr="0067507D" w:rsidRDefault="005D2595" w:rsidP="00FC3AF2">
            <w:pPr>
              <w:pStyle w:val="Tabletext"/>
              <w:rPr>
                <w:szCs w:val="15"/>
              </w:rPr>
            </w:pPr>
            <w:r w:rsidRPr="0067507D">
              <w:t>Other gains/(losses) from other economic flows</w:t>
            </w:r>
          </w:p>
        </w:tc>
        <w:tc>
          <w:tcPr>
            <w:tcW w:w="990" w:type="dxa"/>
          </w:tcPr>
          <w:p w14:paraId="06503D36" w14:textId="77777777" w:rsidR="005D2595" w:rsidRPr="0067507D" w:rsidRDefault="005D2595" w:rsidP="00FC3AF2">
            <w:pPr>
              <w:pStyle w:val="Tabletextcentred"/>
              <w:rPr>
                <w:szCs w:val="15"/>
              </w:rPr>
            </w:pPr>
          </w:p>
        </w:tc>
        <w:tc>
          <w:tcPr>
            <w:tcW w:w="1187" w:type="dxa"/>
            <w:shd w:val="clear" w:color="auto" w:fill="E0E0E0"/>
          </w:tcPr>
          <w:p w14:paraId="4F48E329" w14:textId="77777777" w:rsidR="005D2595" w:rsidRPr="0067507D" w:rsidRDefault="005D2595" w:rsidP="00FC3AF2">
            <w:pPr>
              <w:pStyle w:val="Tabletextright"/>
              <w:rPr>
                <w:szCs w:val="15"/>
              </w:rPr>
            </w:pPr>
            <w:r w:rsidRPr="0067507D">
              <w:t xml:space="preserve">138 </w:t>
            </w:r>
          </w:p>
        </w:tc>
        <w:tc>
          <w:tcPr>
            <w:tcW w:w="1187" w:type="dxa"/>
          </w:tcPr>
          <w:p w14:paraId="3A3F6B9E" w14:textId="77777777" w:rsidR="005D2595" w:rsidRPr="0067507D" w:rsidRDefault="005D2595" w:rsidP="00FC3AF2">
            <w:pPr>
              <w:pStyle w:val="Tabletextright"/>
              <w:rPr>
                <w:szCs w:val="15"/>
              </w:rPr>
            </w:pPr>
            <w:r w:rsidRPr="0067507D">
              <w:t xml:space="preserve"> 533 </w:t>
            </w:r>
          </w:p>
        </w:tc>
      </w:tr>
      <w:tr w:rsidR="005D2595" w:rsidRPr="0067507D" w14:paraId="7E68F2D3" w14:textId="77777777" w:rsidTr="00FC3AF2">
        <w:tc>
          <w:tcPr>
            <w:tcW w:w="4770" w:type="dxa"/>
          </w:tcPr>
          <w:p w14:paraId="47B5F23E" w14:textId="77777777" w:rsidR="005D2595" w:rsidRPr="0067507D" w:rsidRDefault="005D2595" w:rsidP="00FC3AF2">
            <w:pPr>
              <w:pStyle w:val="Tabletextbold"/>
              <w:rPr>
                <w:szCs w:val="15"/>
              </w:rPr>
            </w:pPr>
            <w:r w:rsidRPr="0067507D">
              <w:t>Total other economic flows included in net result</w:t>
            </w:r>
          </w:p>
        </w:tc>
        <w:tc>
          <w:tcPr>
            <w:tcW w:w="990" w:type="dxa"/>
          </w:tcPr>
          <w:p w14:paraId="2A1B1CE6" w14:textId="77777777" w:rsidR="005D2595" w:rsidRPr="0067507D" w:rsidRDefault="005D2595" w:rsidP="00FC3AF2">
            <w:pPr>
              <w:pStyle w:val="Tabletextcentred"/>
              <w:rPr>
                <w:szCs w:val="15"/>
              </w:rPr>
            </w:pPr>
          </w:p>
        </w:tc>
        <w:tc>
          <w:tcPr>
            <w:tcW w:w="1187" w:type="dxa"/>
            <w:shd w:val="clear" w:color="auto" w:fill="E0E0E0"/>
          </w:tcPr>
          <w:p w14:paraId="6D307E5E" w14:textId="77777777" w:rsidR="005D2595" w:rsidRPr="0067507D" w:rsidRDefault="005D2595" w:rsidP="00FC3AF2">
            <w:pPr>
              <w:pStyle w:val="Tabletextrightbold"/>
              <w:rPr>
                <w:szCs w:val="15"/>
              </w:rPr>
            </w:pPr>
            <w:r w:rsidRPr="0067507D">
              <w:t xml:space="preserve">245 </w:t>
            </w:r>
          </w:p>
        </w:tc>
        <w:tc>
          <w:tcPr>
            <w:tcW w:w="1187" w:type="dxa"/>
          </w:tcPr>
          <w:p w14:paraId="786CBBAE" w14:textId="77777777" w:rsidR="005D2595" w:rsidRPr="0067507D" w:rsidRDefault="005D2595" w:rsidP="00FC3AF2">
            <w:pPr>
              <w:pStyle w:val="Tabletextrightbold"/>
              <w:rPr>
                <w:szCs w:val="15"/>
              </w:rPr>
            </w:pPr>
            <w:r w:rsidRPr="0067507D">
              <w:t xml:space="preserve"> 738 </w:t>
            </w:r>
          </w:p>
        </w:tc>
      </w:tr>
      <w:tr w:rsidR="005D2595" w:rsidRPr="0067507D" w14:paraId="473BD42B" w14:textId="77777777" w:rsidTr="00FC3AF2">
        <w:tc>
          <w:tcPr>
            <w:tcW w:w="4770" w:type="dxa"/>
          </w:tcPr>
          <w:p w14:paraId="1B388928" w14:textId="77777777" w:rsidR="005D2595" w:rsidRPr="0067507D" w:rsidRDefault="005D2595" w:rsidP="00FC3AF2">
            <w:pPr>
              <w:pStyle w:val="Tabletext"/>
              <w:rPr>
                <w:szCs w:val="15"/>
              </w:rPr>
            </w:pPr>
          </w:p>
        </w:tc>
        <w:tc>
          <w:tcPr>
            <w:tcW w:w="990" w:type="dxa"/>
          </w:tcPr>
          <w:p w14:paraId="62F28AC9" w14:textId="77777777" w:rsidR="005D2595" w:rsidRPr="0067507D" w:rsidRDefault="005D2595" w:rsidP="00FC3AF2">
            <w:pPr>
              <w:pStyle w:val="Tabletextcentred"/>
              <w:rPr>
                <w:szCs w:val="15"/>
              </w:rPr>
            </w:pPr>
          </w:p>
        </w:tc>
        <w:tc>
          <w:tcPr>
            <w:tcW w:w="1187" w:type="dxa"/>
            <w:shd w:val="clear" w:color="auto" w:fill="E0E0E0"/>
          </w:tcPr>
          <w:p w14:paraId="0DC33742" w14:textId="77777777" w:rsidR="005D2595" w:rsidRPr="0067507D" w:rsidRDefault="005D2595" w:rsidP="00FC3AF2">
            <w:pPr>
              <w:pStyle w:val="Tabletextright"/>
              <w:rPr>
                <w:szCs w:val="15"/>
              </w:rPr>
            </w:pPr>
          </w:p>
        </w:tc>
        <w:tc>
          <w:tcPr>
            <w:tcW w:w="1187" w:type="dxa"/>
          </w:tcPr>
          <w:p w14:paraId="152BAA95" w14:textId="77777777" w:rsidR="005D2595" w:rsidRPr="0067507D" w:rsidRDefault="005D2595" w:rsidP="00FC3AF2">
            <w:pPr>
              <w:pStyle w:val="Tabletextright"/>
              <w:rPr>
                <w:szCs w:val="15"/>
              </w:rPr>
            </w:pPr>
          </w:p>
        </w:tc>
      </w:tr>
      <w:tr w:rsidR="005D2595" w:rsidRPr="0067507D" w14:paraId="7A70474E" w14:textId="77777777" w:rsidTr="00FC3AF2">
        <w:tc>
          <w:tcPr>
            <w:tcW w:w="4770" w:type="dxa"/>
          </w:tcPr>
          <w:p w14:paraId="5D475EBE" w14:textId="77777777" w:rsidR="005D2595" w:rsidRPr="0067507D" w:rsidRDefault="005D2595" w:rsidP="00FC3AF2">
            <w:pPr>
              <w:pStyle w:val="Tabletextbold"/>
              <w:rPr>
                <w:szCs w:val="15"/>
              </w:rPr>
            </w:pPr>
            <w:r w:rsidRPr="0067507D">
              <w:t>Net result</w:t>
            </w:r>
          </w:p>
        </w:tc>
        <w:tc>
          <w:tcPr>
            <w:tcW w:w="990" w:type="dxa"/>
          </w:tcPr>
          <w:p w14:paraId="160A9929" w14:textId="77777777" w:rsidR="005D2595" w:rsidRPr="0067507D" w:rsidRDefault="005D2595" w:rsidP="00FC3AF2">
            <w:pPr>
              <w:pStyle w:val="Tabletextcentred"/>
              <w:rPr>
                <w:szCs w:val="15"/>
              </w:rPr>
            </w:pPr>
          </w:p>
        </w:tc>
        <w:tc>
          <w:tcPr>
            <w:tcW w:w="1187" w:type="dxa"/>
            <w:shd w:val="clear" w:color="auto" w:fill="E0E0E0"/>
          </w:tcPr>
          <w:p w14:paraId="2FA27038" w14:textId="77777777" w:rsidR="005D2595" w:rsidRPr="0067507D" w:rsidRDefault="005D2595" w:rsidP="00FC3AF2">
            <w:pPr>
              <w:pStyle w:val="Tabletextrightbold"/>
              <w:rPr>
                <w:szCs w:val="15"/>
              </w:rPr>
            </w:pPr>
            <w:r w:rsidRPr="0067507D">
              <w:t xml:space="preserve">6 656 </w:t>
            </w:r>
          </w:p>
        </w:tc>
        <w:tc>
          <w:tcPr>
            <w:tcW w:w="1187" w:type="dxa"/>
          </w:tcPr>
          <w:p w14:paraId="05B7E246" w14:textId="77777777" w:rsidR="005D2595" w:rsidRPr="0067507D" w:rsidRDefault="005D2595" w:rsidP="00FC3AF2">
            <w:pPr>
              <w:pStyle w:val="Tabletextrightbold"/>
              <w:rPr>
                <w:szCs w:val="15"/>
              </w:rPr>
            </w:pPr>
            <w:r w:rsidRPr="0067507D">
              <w:t xml:space="preserve"> 961 </w:t>
            </w:r>
          </w:p>
        </w:tc>
      </w:tr>
      <w:tr w:rsidR="005D2595" w:rsidRPr="0067507D" w14:paraId="736FC2C1" w14:textId="77777777" w:rsidTr="00FC3AF2">
        <w:tc>
          <w:tcPr>
            <w:tcW w:w="4770" w:type="dxa"/>
          </w:tcPr>
          <w:p w14:paraId="406C7E29" w14:textId="77777777" w:rsidR="005D2595" w:rsidRPr="0067507D" w:rsidRDefault="005D2595" w:rsidP="00FC3AF2">
            <w:pPr>
              <w:pStyle w:val="Tabletextbold"/>
              <w:rPr>
                <w:szCs w:val="15"/>
              </w:rPr>
            </w:pPr>
          </w:p>
        </w:tc>
        <w:tc>
          <w:tcPr>
            <w:tcW w:w="990" w:type="dxa"/>
          </w:tcPr>
          <w:p w14:paraId="1D30CA6E" w14:textId="77777777" w:rsidR="005D2595" w:rsidRPr="0067507D" w:rsidRDefault="005D2595" w:rsidP="00FC3AF2">
            <w:pPr>
              <w:pStyle w:val="Tabletextcentred"/>
              <w:rPr>
                <w:szCs w:val="15"/>
              </w:rPr>
            </w:pPr>
          </w:p>
        </w:tc>
        <w:tc>
          <w:tcPr>
            <w:tcW w:w="1187" w:type="dxa"/>
            <w:shd w:val="clear" w:color="auto" w:fill="E0E0E0"/>
          </w:tcPr>
          <w:p w14:paraId="73D2A823" w14:textId="77777777" w:rsidR="005D2595" w:rsidRPr="0067507D" w:rsidRDefault="005D2595" w:rsidP="00FC3AF2">
            <w:pPr>
              <w:pStyle w:val="Tabletextright"/>
              <w:rPr>
                <w:szCs w:val="15"/>
              </w:rPr>
            </w:pPr>
          </w:p>
        </w:tc>
        <w:tc>
          <w:tcPr>
            <w:tcW w:w="1187" w:type="dxa"/>
          </w:tcPr>
          <w:p w14:paraId="7389402C" w14:textId="77777777" w:rsidR="005D2595" w:rsidRPr="0067507D" w:rsidRDefault="005D2595" w:rsidP="00FC3AF2">
            <w:pPr>
              <w:pStyle w:val="Tabletextright"/>
              <w:rPr>
                <w:szCs w:val="15"/>
              </w:rPr>
            </w:pPr>
          </w:p>
        </w:tc>
      </w:tr>
      <w:tr w:rsidR="005D2595" w:rsidRPr="0067507D" w14:paraId="26F8C1C6" w14:textId="77777777" w:rsidTr="00FC3AF2">
        <w:tc>
          <w:tcPr>
            <w:tcW w:w="4770" w:type="dxa"/>
          </w:tcPr>
          <w:p w14:paraId="218F602C" w14:textId="77777777" w:rsidR="005D2595" w:rsidRPr="0067507D" w:rsidRDefault="005D2595" w:rsidP="00FC3AF2">
            <w:pPr>
              <w:pStyle w:val="Tabletextbold"/>
              <w:rPr>
                <w:szCs w:val="15"/>
              </w:rPr>
            </w:pPr>
            <w:r w:rsidRPr="0067507D">
              <w:t>Comprehensive result</w:t>
            </w:r>
          </w:p>
        </w:tc>
        <w:tc>
          <w:tcPr>
            <w:tcW w:w="990" w:type="dxa"/>
          </w:tcPr>
          <w:p w14:paraId="14694DC8" w14:textId="77777777" w:rsidR="005D2595" w:rsidRPr="0067507D" w:rsidRDefault="005D2595" w:rsidP="00FC3AF2">
            <w:pPr>
              <w:pStyle w:val="Tabletextcentred"/>
              <w:rPr>
                <w:szCs w:val="15"/>
              </w:rPr>
            </w:pPr>
          </w:p>
        </w:tc>
        <w:tc>
          <w:tcPr>
            <w:tcW w:w="1187" w:type="dxa"/>
            <w:shd w:val="clear" w:color="auto" w:fill="E0E0E0"/>
          </w:tcPr>
          <w:p w14:paraId="26D9A44F" w14:textId="77777777" w:rsidR="005D2595" w:rsidRPr="0067507D" w:rsidRDefault="005D2595" w:rsidP="00FC3AF2">
            <w:pPr>
              <w:pStyle w:val="Tabletextrightbold"/>
              <w:rPr>
                <w:szCs w:val="15"/>
              </w:rPr>
            </w:pPr>
            <w:r w:rsidRPr="0067507D">
              <w:t xml:space="preserve">6 656 </w:t>
            </w:r>
          </w:p>
        </w:tc>
        <w:tc>
          <w:tcPr>
            <w:tcW w:w="1187" w:type="dxa"/>
          </w:tcPr>
          <w:p w14:paraId="06813C73" w14:textId="77777777" w:rsidR="005D2595" w:rsidRPr="0067507D" w:rsidRDefault="005D2595" w:rsidP="00FC3AF2">
            <w:pPr>
              <w:pStyle w:val="Tabletextrightbold"/>
              <w:rPr>
                <w:szCs w:val="15"/>
              </w:rPr>
            </w:pPr>
            <w:r w:rsidRPr="0067507D">
              <w:t xml:space="preserve"> 961 </w:t>
            </w:r>
          </w:p>
        </w:tc>
      </w:tr>
    </w:tbl>
    <w:p w14:paraId="302E9309" w14:textId="77777777" w:rsidR="005D2595" w:rsidRPr="0067507D" w:rsidRDefault="005D2595" w:rsidP="005D2595">
      <w:pPr>
        <w:pStyle w:val="Notes"/>
      </w:pPr>
      <w:r w:rsidRPr="0067507D">
        <w:t>The above comprehensive operating statement should be read in conjunction with the notes to the financial statements.</w:t>
      </w:r>
    </w:p>
    <w:p w14:paraId="05CB8C67" w14:textId="77777777" w:rsidR="005D2595" w:rsidRPr="0067507D" w:rsidRDefault="005D2595" w:rsidP="005D2595">
      <w:pPr>
        <w:spacing w:before="0" w:after="0"/>
      </w:pPr>
      <w:r w:rsidRPr="0067507D">
        <w:br w:type="page"/>
      </w:r>
    </w:p>
    <w:p w14:paraId="6CD5ED82" w14:textId="77777777" w:rsidR="005D2595" w:rsidRPr="0067507D" w:rsidRDefault="005D2595" w:rsidP="005D2595">
      <w:pPr>
        <w:pStyle w:val="HeadingFin"/>
      </w:pPr>
      <w:bookmarkStart w:id="60" w:name="_Toc210213989"/>
      <w:bookmarkStart w:id="61" w:name="_Toc210213936"/>
      <w:r w:rsidRPr="0067507D">
        <w:lastRenderedPageBreak/>
        <w:t>Balance sheet</w:t>
      </w:r>
      <w:bookmarkEnd w:id="60"/>
      <w:bookmarkEnd w:id="61"/>
    </w:p>
    <w:p w14:paraId="660586DD" w14:textId="77777777" w:rsidR="005D2595" w:rsidRPr="0067507D" w:rsidRDefault="005D2595" w:rsidP="005D2595">
      <w:pPr>
        <w:pStyle w:val="Heading2"/>
        <w:spacing w:before="0"/>
      </w:pPr>
      <w:r w:rsidRPr="0067507D">
        <w:t>as at 30 June 2025</w:t>
      </w:r>
    </w:p>
    <w:tbl>
      <w:tblPr>
        <w:tblW w:w="8208" w:type="dxa"/>
        <w:tblLayout w:type="fixed"/>
        <w:tblLook w:val="0000" w:firstRow="0" w:lastRow="0" w:firstColumn="0" w:lastColumn="0" w:noHBand="0" w:noVBand="0"/>
      </w:tblPr>
      <w:tblGrid>
        <w:gridCol w:w="4788"/>
        <w:gridCol w:w="990"/>
        <w:gridCol w:w="1170"/>
        <w:gridCol w:w="1260"/>
      </w:tblGrid>
      <w:tr w:rsidR="00871267" w:rsidRPr="0067507D" w14:paraId="73CF3B29" w14:textId="77777777" w:rsidTr="00871267">
        <w:trPr>
          <w:cantSplit/>
        </w:trPr>
        <w:tc>
          <w:tcPr>
            <w:tcW w:w="4788" w:type="dxa"/>
          </w:tcPr>
          <w:p w14:paraId="7D13C930" w14:textId="77777777" w:rsidR="00871267" w:rsidRPr="0067507D" w:rsidRDefault="00871267" w:rsidP="00871267">
            <w:pPr>
              <w:pStyle w:val="Tabletext"/>
            </w:pPr>
          </w:p>
        </w:tc>
        <w:tc>
          <w:tcPr>
            <w:tcW w:w="990" w:type="dxa"/>
            <w:vAlign w:val="bottom"/>
          </w:tcPr>
          <w:p w14:paraId="7B1A2EC5" w14:textId="67C646EB" w:rsidR="00871267" w:rsidRPr="0067507D" w:rsidRDefault="00871267" w:rsidP="00871267">
            <w:pPr>
              <w:pStyle w:val="Tabletextheadingleft"/>
              <w:jc w:val="center"/>
            </w:pPr>
            <w:r w:rsidRPr="0067507D">
              <w:t>Notes</w:t>
            </w:r>
          </w:p>
        </w:tc>
        <w:tc>
          <w:tcPr>
            <w:tcW w:w="1170" w:type="dxa"/>
          </w:tcPr>
          <w:p w14:paraId="368130FB" w14:textId="2D0D8381" w:rsidR="00871267" w:rsidRPr="0067507D" w:rsidRDefault="00871267" w:rsidP="00871267">
            <w:pPr>
              <w:pStyle w:val="Tabletextheadingright"/>
              <w:rPr>
                <w:vertAlign w:val="superscript"/>
              </w:rPr>
            </w:pPr>
            <w:r w:rsidRPr="0067507D">
              <w:rPr>
                <w:szCs w:val="16"/>
              </w:rPr>
              <w:t>2025</w:t>
            </w:r>
            <w:r>
              <w:rPr>
                <w:szCs w:val="16"/>
              </w:rPr>
              <w:br/>
            </w:r>
            <w:r w:rsidRPr="0067507D">
              <w:t>$’000</w:t>
            </w:r>
          </w:p>
        </w:tc>
        <w:tc>
          <w:tcPr>
            <w:tcW w:w="1260" w:type="dxa"/>
          </w:tcPr>
          <w:p w14:paraId="1540D8F0" w14:textId="538955DB" w:rsidR="00871267" w:rsidRPr="0067507D" w:rsidRDefault="00871267" w:rsidP="00871267">
            <w:pPr>
              <w:pStyle w:val="Tabletextheadingright"/>
            </w:pPr>
            <w:r w:rsidRPr="0067507D">
              <w:rPr>
                <w:szCs w:val="16"/>
              </w:rPr>
              <w:t>2024</w:t>
            </w:r>
            <w:r>
              <w:rPr>
                <w:szCs w:val="16"/>
              </w:rPr>
              <w:br/>
            </w:r>
            <w:r w:rsidRPr="0067507D">
              <w:t>$’000</w:t>
            </w:r>
          </w:p>
        </w:tc>
      </w:tr>
      <w:tr w:rsidR="005D2595" w:rsidRPr="0067507D" w14:paraId="0EE5409E" w14:textId="77777777" w:rsidTr="00FC3AF2">
        <w:trPr>
          <w:cantSplit/>
        </w:trPr>
        <w:tc>
          <w:tcPr>
            <w:tcW w:w="4788" w:type="dxa"/>
          </w:tcPr>
          <w:p w14:paraId="02F824EE" w14:textId="77777777" w:rsidR="005D2595" w:rsidRPr="0067507D" w:rsidRDefault="005D2595" w:rsidP="00FC3AF2">
            <w:pPr>
              <w:pStyle w:val="Tabletextbold"/>
            </w:pPr>
            <w:r w:rsidRPr="0067507D">
              <w:t>Assets</w:t>
            </w:r>
          </w:p>
        </w:tc>
        <w:tc>
          <w:tcPr>
            <w:tcW w:w="990" w:type="dxa"/>
          </w:tcPr>
          <w:p w14:paraId="04AD777C" w14:textId="77777777" w:rsidR="005D2595" w:rsidRPr="0067507D" w:rsidRDefault="005D2595" w:rsidP="00FC3AF2">
            <w:pPr>
              <w:pStyle w:val="Tabletextcentred"/>
            </w:pPr>
          </w:p>
        </w:tc>
        <w:tc>
          <w:tcPr>
            <w:tcW w:w="1170" w:type="dxa"/>
            <w:shd w:val="clear" w:color="auto" w:fill="E0E0E0"/>
          </w:tcPr>
          <w:p w14:paraId="0DCD8C4C" w14:textId="77777777" w:rsidR="005D2595" w:rsidRPr="0067507D" w:rsidRDefault="005D2595" w:rsidP="00FC3AF2">
            <w:pPr>
              <w:pStyle w:val="Tabletextright"/>
            </w:pPr>
          </w:p>
        </w:tc>
        <w:tc>
          <w:tcPr>
            <w:tcW w:w="1260" w:type="dxa"/>
          </w:tcPr>
          <w:p w14:paraId="218BE537" w14:textId="77777777" w:rsidR="005D2595" w:rsidRPr="0067507D" w:rsidRDefault="005D2595" w:rsidP="00FC3AF2">
            <w:pPr>
              <w:pStyle w:val="Tabletextright"/>
            </w:pPr>
          </w:p>
        </w:tc>
      </w:tr>
      <w:tr w:rsidR="005D2595" w:rsidRPr="0067507D" w14:paraId="6218F933" w14:textId="77777777" w:rsidTr="00FC3AF2">
        <w:trPr>
          <w:cantSplit/>
        </w:trPr>
        <w:tc>
          <w:tcPr>
            <w:tcW w:w="4788" w:type="dxa"/>
          </w:tcPr>
          <w:p w14:paraId="0BECB020" w14:textId="77777777" w:rsidR="005D2595" w:rsidRPr="0067507D" w:rsidDel="00511BE6" w:rsidRDefault="005D2595" w:rsidP="00FC3AF2">
            <w:pPr>
              <w:pStyle w:val="Tabletextbold"/>
            </w:pPr>
            <w:r w:rsidRPr="0067507D">
              <w:t>Financial assets</w:t>
            </w:r>
          </w:p>
        </w:tc>
        <w:tc>
          <w:tcPr>
            <w:tcW w:w="990" w:type="dxa"/>
          </w:tcPr>
          <w:p w14:paraId="122D78BB" w14:textId="77777777" w:rsidR="005D2595" w:rsidRPr="0067507D" w:rsidRDefault="005D2595" w:rsidP="00FC3AF2">
            <w:pPr>
              <w:pStyle w:val="Tabletextcentred"/>
            </w:pPr>
          </w:p>
        </w:tc>
        <w:tc>
          <w:tcPr>
            <w:tcW w:w="1170" w:type="dxa"/>
            <w:shd w:val="clear" w:color="auto" w:fill="E0E0E0"/>
          </w:tcPr>
          <w:p w14:paraId="757D697F" w14:textId="77777777" w:rsidR="005D2595" w:rsidRPr="0067507D" w:rsidRDefault="005D2595" w:rsidP="00FC3AF2">
            <w:pPr>
              <w:pStyle w:val="Tabletextright"/>
            </w:pPr>
          </w:p>
        </w:tc>
        <w:tc>
          <w:tcPr>
            <w:tcW w:w="1260" w:type="dxa"/>
          </w:tcPr>
          <w:p w14:paraId="6745213C" w14:textId="77777777" w:rsidR="005D2595" w:rsidRPr="0067507D" w:rsidRDefault="005D2595" w:rsidP="00FC3AF2">
            <w:pPr>
              <w:pStyle w:val="Tabletextright"/>
            </w:pPr>
          </w:p>
        </w:tc>
      </w:tr>
      <w:tr w:rsidR="005D2595" w:rsidRPr="0067507D" w14:paraId="45807824" w14:textId="77777777" w:rsidTr="00FC3AF2">
        <w:trPr>
          <w:cantSplit/>
        </w:trPr>
        <w:tc>
          <w:tcPr>
            <w:tcW w:w="4788" w:type="dxa"/>
          </w:tcPr>
          <w:p w14:paraId="731D03C6" w14:textId="77777777" w:rsidR="005D2595" w:rsidRPr="0067507D" w:rsidRDefault="005D2595" w:rsidP="00FC3AF2">
            <w:pPr>
              <w:pStyle w:val="Tabletext"/>
            </w:pPr>
            <w:r w:rsidRPr="0067507D">
              <w:t>Cash</w:t>
            </w:r>
          </w:p>
        </w:tc>
        <w:tc>
          <w:tcPr>
            <w:tcW w:w="990" w:type="dxa"/>
          </w:tcPr>
          <w:p w14:paraId="3B26B280" w14:textId="77777777" w:rsidR="005D2595" w:rsidRPr="0067507D" w:rsidRDefault="005D2595" w:rsidP="00FC3AF2">
            <w:pPr>
              <w:pStyle w:val="Tabletextcentred"/>
            </w:pPr>
            <w:r w:rsidRPr="0067507D">
              <w:t>7.2</w:t>
            </w:r>
          </w:p>
        </w:tc>
        <w:tc>
          <w:tcPr>
            <w:tcW w:w="1170" w:type="dxa"/>
            <w:shd w:val="clear" w:color="auto" w:fill="E0E0E0"/>
          </w:tcPr>
          <w:p w14:paraId="569A9DCF" w14:textId="77777777" w:rsidR="005D2595" w:rsidRPr="0067507D" w:rsidRDefault="005D2595" w:rsidP="00FC3AF2">
            <w:pPr>
              <w:pStyle w:val="Tabletextright"/>
            </w:pPr>
            <w:r w:rsidRPr="0067507D">
              <w:t xml:space="preserve">11 242 </w:t>
            </w:r>
          </w:p>
        </w:tc>
        <w:tc>
          <w:tcPr>
            <w:tcW w:w="1260" w:type="dxa"/>
          </w:tcPr>
          <w:p w14:paraId="04A4E8B7" w14:textId="77777777" w:rsidR="005D2595" w:rsidRPr="0067507D" w:rsidRDefault="005D2595" w:rsidP="00FC3AF2">
            <w:pPr>
              <w:pStyle w:val="Tabletextright"/>
            </w:pPr>
            <w:r w:rsidRPr="0067507D">
              <w:t xml:space="preserve">11 549 </w:t>
            </w:r>
          </w:p>
        </w:tc>
      </w:tr>
      <w:tr w:rsidR="005D2595" w:rsidRPr="0067507D" w14:paraId="63A8FC80" w14:textId="77777777" w:rsidTr="00FC3AF2">
        <w:trPr>
          <w:cantSplit/>
        </w:trPr>
        <w:tc>
          <w:tcPr>
            <w:tcW w:w="4788" w:type="dxa"/>
          </w:tcPr>
          <w:p w14:paraId="6C8DD7BD" w14:textId="77777777" w:rsidR="005D2595" w:rsidRPr="0067507D" w:rsidRDefault="005D2595" w:rsidP="00FC3AF2">
            <w:pPr>
              <w:pStyle w:val="Tabletext"/>
            </w:pPr>
            <w:r w:rsidRPr="0067507D">
              <w:t>Receivables</w:t>
            </w:r>
          </w:p>
        </w:tc>
        <w:tc>
          <w:tcPr>
            <w:tcW w:w="990" w:type="dxa"/>
          </w:tcPr>
          <w:p w14:paraId="189A65A0" w14:textId="77777777" w:rsidR="005D2595" w:rsidRPr="0067507D" w:rsidRDefault="005D2595" w:rsidP="00FC3AF2">
            <w:pPr>
              <w:pStyle w:val="Tabletextcentred"/>
            </w:pPr>
            <w:r w:rsidRPr="0067507D">
              <w:t>6.2</w:t>
            </w:r>
          </w:p>
        </w:tc>
        <w:tc>
          <w:tcPr>
            <w:tcW w:w="1170" w:type="dxa"/>
            <w:shd w:val="clear" w:color="auto" w:fill="E0E0E0"/>
          </w:tcPr>
          <w:p w14:paraId="76395741" w14:textId="77777777" w:rsidR="005D2595" w:rsidRPr="0067507D" w:rsidRDefault="005D2595" w:rsidP="00FC3AF2">
            <w:pPr>
              <w:pStyle w:val="Tabletextright"/>
            </w:pPr>
            <w:r w:rsidRPr="0067507D">
              <w:t xml:space="preserve">162 241 </w:t>
            </w:r>
          </w:p>
        </w:tc>
        <w:tc>
          <w:tcPr>
            <w:tcW w:w="1260" w:type="dxa"/>
          </w:tcPr>
          <w:p w14:paraId="10D5584B" w14:textId="77777777" w:rsidR="005D2595" w:rsidRPr="0067507D" w:rsidRDefault="005D2595" w:rsidP="00FC3AF2">
            <w:pPr>
              <w:pStyle w:val="Tabletextright"/>
            </w:pPr>
            <w:r w:rsidRPr="0067507D">
              <w:t xml:space="preserve">168 289 </w:t>
            </w:r>
          </w:p>
        </w:tc>
      </w:tr>
      <w:tr w:rsidR="005D2595" w:rsidRPr="0067507D" w14:paraId="7BD64392" w14:textId="77777777" w:rsidTr="00FC3AF2">
        <w:trPr>
          <w:cantSplit/>
        </w:trPr>
        <w:tc>
          <w:tcPr>
            <w:tcW w:w="4788" w:type="dxa"/>
          </w:tcPr>
          <w:p w14:paraId="64EBB0BC" w14:textId="77777777" w:rsidR="005D2595" w:rsidRPr="0067507D" w:rsidRDefault="005D2595" w:rsidP="00FC3AF2">
            <w:pPr>
              <w:pStyle w:val="Tabletextbold"/>
            </w:pPr>
            <w:r w:rsidRPr="0067507D">
              <w:t>Total financial assets</w:t>
            </w:r>
          </w:p>
        </w:tc>
        <w:tc>
          <w:tcPr>
            <w:tcW w:w="990" w:type="dxa"/>
          </w:tcPr>
          <w:p w14:paraId="40E80E43" w14:textId="77777777" w:rsidR="005D2595" w:rsidRPr="0067507D" w:rsidRDefault="005D2595" w:rsidP="00FC3AF2">
            <w:pPr>
              <w:pStyle w:val="Tabletextcentred"/>
            </w:pPr>
          </w:p>
        </w:tc>
        <w:tc>
          <w:tcPr>
            <w:tcW w:w="1170" w:type="dxa"/>
            <w:shd w:val="clear" w:color="auto" w:fill="E0E0E0"/>
          </w:tcPr>
          <w:p w14:paraId="217804BF" w14:textId="77777777" w:rsidR="005D2595" w:rsidRPr="0067507D" w:rsidRDefault="005D2595" w:rsidP="00FC3AF2">
            <w:pPr>
              <w:pStyle w:val="Tabletextrightbold"/>
            </w:pPr>
            <w:r w:rsidRPr="0067507D">
              <w:t xml:space="preserve">173 483 </w:t>
            </w:r>
          </w:p>
        </w:tc>
        <w:tc>
          <w:tcPr>
            <w:tcW w:w="1260" w:type="dxa"/>
          </w:tcPr>
          <w:p w14:paraId="145AD627" w14:textId="77777777" w:rsidR="005D2595" w:rsidRPr="0067507D" w:rsidRDefault="005D2595" w:rsidP="00FC3AF2">
            <w:pPr>
              <w:pStyle w:val="Tabletextrightbold"/>
            </w:pPr>
            <w:r w:rsidRPr="0067507D">
              <w:t xml:space="preserve">179 838 </w:t>
            </w:r>
          </w:p>
        </w:tc>
      </w:tr>
      <w:tr w:rsidR="005D2595" w:rsidRPr="0067507D" w14:paraId="6EEA7389" w14:textId="77777777" w:rsidTr="00FC3AF2">
        <w:trPr>
          <w:cantSplit/>
        </w:trPr>
        <w:tc>
          <w:tcPr>
            <w:tcW w:w="4788" w:type="dxa"/>
          </w:tcPr>
          <w:p w14:paraId="65EB3B16" w14:textId="77777777" w:rsidR="005D2595" w:rsidRPr="0067507D" w:rsidRDefault="005D2595" w:rsidP="00FC3AF2">
            <w:pPr>
              <w:pStyle w:val="Tabletext"/>
            </w:pPr>
          </w:p>
        </w:tc>
        <w:tc>
          <w:tcPr>
            <w:tcW w:w="990" w:type="dxa"/>
          </w:tcPr>
          <w:p w14:paraId="0C46AF5C" w14:textId="77777777" w:rsidR="005D2595" w:rsidRPr="0067507D" w:rsidRDefault="005D2595" w:rsidP="00FC3AF2">
            <w:pPr>
              <w:pStyle w:val="Tabletextcentred"/>
            </w:pPr>
          </w:p>
        </w:tc>
        <w:tc>
          <w:tcPr>
            <w:tcW w:w="1170" w:type="dxa"/>
            <w:shd w:val="clear" w:color="auto" w:fill="E0E0E0"/>
          </w:tcPr>
          <w:p w14:paraId="0EC21346" w14:textId="77777777" w:rsidR="005D2595" w:rsidRPr="00866B9C" w:rsidRDefault="005D2595" w:rsidP="00866B9C">
            <w:pPr>
              <w:pStyle w:val="Tabletextright"/>
            </w:pPr>
          </w:p>
        </w:tc>
        <w:tc>
          <w:tcPr>
            <w:tcW w:w="1260" w:type="dxa"/>
          </w:tcPr>
          <w:p w14:paraId="466A1668" w14:textId="77777777" w:rsidR="005D2595" w:rsidRPr="00866B9C" w:rsidRDefault="005D2595" w:rsidP="00866B9C">
            <w:pPr>
              <w:pStyle w:val="Tabletextright"/>
            </w:pPr>
          </w:p>
        </w:tc>
      </w:tr>
      <w:tr w:rsidR="005D2595" w:rsidRPr="0067507D" w14:paraId="70D12B16" w14:textId="77777777" w:rsidTr="00FC3AF2">
        <w:trPr>
          <w:cantSplit/>
        </w:trPr>
        <w:tc>
          <w:tcPr>
            <w:tcW w:w="4788" w:type="dxa"/>
          </w:tcPr>
          <w:p w14:paraId="335F5438" w14:textId="69D667CA" w:rsidR="005D2595" w:rsidRPr="0067507D" w:rsidRDefault="005D2595" w:rsidP="00FC3AF2">
            <w:pPr>
              <w:pStyle w:val="Tabletextbold"/>
            </w:pPr>
            <w:r w:rsidRPr="0067507D">
              <w:t>Non</w:t>
            </w:r>
            <w:r w:rsidR="006A5485">
              <w:noBreakHyphen/>
            </w:r>
            <w:r w:rsidRPr="0067507D">
              <w:t>financial assets</w:t>
            </w:r>
          </w:p>
        </w:tc>
        <w:tc>
          <w:tcPr>
            <w:tcW w:w="990" w:type="dxa"/>
          </w:tcPr>
          <w:p w14:paraId="6B2EAF26" w14:textId="77777777" w:rsidR="005D2595" w:rsidRPr="0067507D" w:rsidRDefault="005D2595" w:rsidP="00FC3AF2">
            <w:pPr>
              <w:pStyle w:val="Tabletextcentred"/>
            </w:pPr>
          </w:p>
        </w:tc>
        <w:tc>
          <w:tcPr>
            <w:tcW w:w="1170" w:type="dxa"/>
            <w:shd w:val="clear" w:color="auto" w:fill="E0E0E0"/>
          </w:tcPr>
          <w:p w14:paraId="79023797" w14:textId="77777777" w:rsidR="005D2595" w:rsidRPr="00866B9C" w:rsidRDefault="005D2595" w:rsidP="00866B9C">
            <w:pPr>
              <w:pStyle w:val="Tabletextright"/>
            </w:pPr>
          </w:p>
        </w:tc>
        <w:tc>
          <w:tcPr>
            <w:tcW w:w="1260" w:type="dxa"/>
          </w:tcPr>
          <w:p w14:paraId="651BA68C" w14:textId="77777777" w:rsidR="005D2595" w:rsidRPr="00866B9C" w:rsidRDefault="005D2595" w:rsidP="00866B9C">
            <w:pPr>
              <w:pStyle w:val="Tabletextright"/>
            </w:pPr>
          </w:p>
        </w:tc>
      </w:tr>
      <w:tr w:rsidR="005D2595" w:rsidRPr="0067507D" w14:paraId="207A2E64" w14:textId="77777777" w:rsidTr="00FC3AF2">
        <w:trPr>
          <w:cantSplit/>
        </w:trPr>
        <w:tc>
          <w:tcPr>
            <w:tcW w:w="4788" w:type="dxa"/>
          </w:tcPr>
          <w:p w14:paraId="236EF037" w14:textId="77777777" w:rsidR="005D2595" w:rsidRPr="0067507D" w:rsidRDefault="005D2595" w:rsidP="00FC3AF2">
            <w:pPr>
              <w:pStyle w:val="Tabletext"/>
            </w:pPr>
            <w:r w:rsidRPr="0067507D">
              <w:t>Prepayments</w:t>
            </w:r>
          </w:p>
        </w:tc>
        <w:tc>
          <w:tcPr>
            <w:tcW w:w="990" w:type="dxa"/>
          </w:tcPr>
          <w:p w14:paraId="72024651" w14:textId="77777777" w:rsidR="005D2595" w:rsidRPr="0067507D" w:rsidRDefault="005D2595" w:rsidP="00FC3AF2">
            <w:pPr>
              <w:pStyle w:val="Tabletextcentred"/>
            </w:pPr>
          </w:p>
        </w:tc>
        <w:tc>
          <w:tcPr>
            <w:tcW w:w="1170" w:type="dxa"/>
            <w:shd w:val="clear" w:color="auto" w:fill="E0E0E0"/>
          </w:tcPr>
          <w:p w14:paraId="5C50978C" w14:textId="77777777" w:rsidR="005D2595" w:rsidRPr="0067507D" w:rsidRDefault="005D2595" w:rsidP="00FC3AF2">
            <w:pPr>
              <w:pStyle w:val="Tabletextright"/>
            </w:pPr>
            <w:r w:rsidRPr="0067507D">
              <w:t xml:space="preserve">5 324 </w:t>
            </w:r>
          </w:p>
        </w:tc>
        <w:tc>
          <w:tcPr>
            <w:tcW w:w="1260" w:type="dxa"/>
          </w:tcPr>
          <w:p w14:paraId="1AD2B519" w14:textId="77777777" w:rsidR="005D2595" w:rsidRPr="0067507D" w:rsidRDefault="005D2595" w:rsidP="00FC3AF2">
            <w:pPr>
              <w:pStyle w:val="Tabletextright"/>
            </w:pPr>
            <w:r w:rsidRPr="0067507D">
              <w:t xml:space="preserve">4 018 </w:t>
            </w:r>
          </w:p>
        </w:tc>
      </w:tr>
      <w:tr w:rsidR="005D2595" w:rsidRPr="0067507D" w14:paraId="02FCABDA" w14:textId="77777777" w:rsidTr="00FC3AF2">
        <w:trPr>
          <w:cantSplit/>
        </w:trPr>
        <w:tc>
          <w:tcPr>
            <w:tcW w:w="4788" w:type="dxa"/>
          </w:tcPr>
          <w:p w14:paraId="0A526F8C" w14:textId="226CDCD0" w:rsidR="005D2595" w:rsidRPr="0067507D" w:rsidRDefault="005D2595" w:rsidP="00FC3AF2">
            <w:pPr>
              <w:pStyle w:val="Tabletext"/>
            </w:pPr>
            <w:r w:rsidRPr="0067507D">
              <w:t>Non</w:t>
            </w:r>
            <w:r w:rsidR="006A5485">
              <w:noBreakHyphen/>
            </w:r>
            <w:r w:rsidRPr="0067507D">
              <w:t>financial assets classified as held for sale</w:t>
            </w:r>
          </w:p>
        </w:tc>
        <w:tc>
          <w:tcPr>
            <w:tcW w:w="990" w:type="dxa"/>
          </w:tcPr>
          <w:p w14:paraId="178E10B3" w14:textId="77777777" w:rsidR="005D2595" w:rsidRPr="0067507D" w:rsidRDefault="005D2595" w:rsidP="00FC3AF2">
            <w:pPr>
              <w:pStyle w:val="Tabletextcentred"/>
            </w:pPr>
          </w:p>
        </w:tc>
        <w:tc>
          <w:tcPr>
            <w:tcW w:w="1170" w:type="dxa"/>
            <w:shd w:val="clear" w:color="auto" w:fill="E0E0E0"/>
          </w:tcPr>
          <w:p w14:paraId="40235767" w14:textId="77777777" w:rsidR="005D2595" w:rsidRPr="0067507D" w:rsidRDefault="005D2595" w:rsidP="00FC3AF2">
            <w:pPr>
              <w:pStyle w:val="Tabletextright"/>
            </w:pPr>
            <w:r w:rsidRPr="0067507D">
              <w:t xml:space="preserve"> 0 </w:t>
            </w:r>
          </w:p>
        </w:tc>
        <w:tc>
          <w:tcPr>
            <w:tcW w:w="1260" w:type="dxa"/>
          </w:tcPr>
          <w:p w14:paraId="26DCE2FC" w14:textId="77777777" w:rsidR="005D2595" w:rsidRPr="0067507D" w:rsidRDefault="005D2595" w:rsidP="00FC3AF2">
            <w:pPr>
              <w:pStyle w:val="Tabletextright"/>
            </w:pPr>
            <w:r w:rsidRPr="0067507D">
              <w:t xml:space="preserve"> 12 </w:t>
            </w:r>
          </w:p>
        </w:tc>
      </w:tr>
      <w:tr w:rsidR="005D2595" w:rsidRPr="0067507D" w14:paraId="31352C80" w14:textId="77777777" w:rsidTr="00FC3AF2">
        <w:trPr>
          <w:cantSplit/>
        </w:trPr>
        <w:tc>
          <w:tcPr>
            <w:tcW w:w="4788" w:type="dxa"/>
          </w:tcPr>
          <w:p w14:paraId="3259768E" w14:textId="77777777" w:rsidR="005D2595" w:rsidRPr="0067507D" w:rsidRDefault="005D2595" w:rsidP="00FC3AF2">
            <w:pPr>
              <w:pStyle w:val="Tabletext"/>
            </w:pPr>
            <w:r w:rsidRPr="0067507D">
              <w:t>Property, plant and equipment</w:t>
            </w:r>
          </w:p>
        </w:tc>
        <w:tc>
          <w:tcPr>
            <w:tcW w:w="990" w:type="dxa"/>
          </w:tcPr>
          <w:p w14:paraId="2D25ED72" w14:textId="77777777" w:rsidR="005D2595" w:rsidRPr="0067507D" w:rsidRDefault="005D2595" w:rsidP="00FC3AF2">
            <w:pPr>
              <w:pStyle w:val="Tabletextcentred"/>
            </w:pPr>
          </w:p>
        </w:tc>
        <w:tc>
          <w:tcPr>
            <w:tcW w:w="1170" w:type="dxa"/>
            <w:shd w:val="clear" w:color="auto" w:fill="E0E0E0"/>
          </w:tcPr>
          <w:p w14:paraId="23130050" w14:textId="77777777" w:rsidR="005D2595" w:rsidRPr="0067507D" w:rsidRDefault="005D2595" w:rsidP="00FC3AF2">
            <w:pPr>
              <w:pStyle w:val="Tabletextright"/>
            </w:pPr>
            <w:r w:rsidRPr="0067507D">
              <w:t xml:space="preserve">2 183 </w:t>
            </w:r>
          </w:p>
        </w:tc>
        <w:tc>
          <w:tcPr>
            <w:tcW w:w="1260" w:type="dxa"/>
          </w:tcPr>
          <w:p w14:paraId="2AFFC4FF" w14:textId="77777777" w:rsidR="005D2595" w:rsidRPr="0067507D" w:rsidRDefault="005D2595" w:rsidP="00FC3AF2">
            <w:pPr>
              <w:pStyle w:val="Tabletextright"/>
            </w:pPr>
            <w:r w:rsidRPr="0067507D">
              <w:t xml:space="preserve">2 456 </w:t>
            </w:r>
          </w:p>
        </w:tc>
      </w:tr>
      <w:tr w:rsidR="005D2595" w:rsidRPr="0067507D" w14:paraId="0F0E4FF8" w14:textId="77777777" w:rsidTr="00FC3AF2">
        <w:trPr>
          <w:cantSplit/>
        </w:trPr>
        <w:tc>
          <w:tcPr>
            <w:tcW w:w="4788" w:type="dxa"/>
          </w:tcPr>
          <w:p w14:paraId="5FF8F760" w14:textId="77777777" w:rsidR="005D2595" w:rsidRPr="0067507D" w:rsidRDefault="005D2595" w:rsidP="00FC3AF2">
            <w:pPr>
              <w:pStyle w:val="Tabletext"/>
            </w:pPr>
            <w:r w:rsidRPr="0067507D">
              <w:t>Intangible assets</w:t>
            </w:r>
          </w:p>
        </w:tc>
        <w:tc>
          <w:tcPr>
            <w:tcW w:w="990" w:type="dxa"/>
          </w:tcPr>
          <w:p w14:paraId="6D3705A6" w14:textId="77777777" w:rsidR="005D2595" w:rsidRPr="0067507D" w:rsidRDefault="005D2595" w:rsidP="00FC3AF2">
            <w:pPr>
              <w:pStyle w:val="Tabletextcentred"/>
            </w:pPr>
            <w:r w:rsidRPr="0067507D">
              <w:t>5.2</w:t>
            </w:r>
          </w:p>
        </w:tc>
        <w:tc>
          <w:tcPr>
            <w:tcW w:w="1170" w:type="dxa"/>
            <w:shd w:val="clear" w:color="auto" w:fill="E0E0E0"/>
          </w:tcPr>
          <w:p w14:paraId="72E0A118" w14:textId="77777777" w:rsidR="005D2595" w:rsidRPr="0067507D" w:rsidRDefault="005D2595" w:rsidP="00FC3AF2">
            <w:pPr>
              <w:pStyle w:val="Tabletextright"/>
            </w:pPr>
            <w:r w:rsidRPr="0067507D">
              <w:t xml:space="preserve">43 277 </w:t>
            </w:r>
          </w:p>
        </w:tc>
        <w:tc>
          <w:tcPr>
            <w:tcW w:w="1260" w:type="dxa"/>
          </w:tcPr>
          <w:p w14:paraId="2E911639" w14:textId="77777777" w:rsidR="005D2595" w:rsidRPr="0067507D" w:rsidRDefault="005D2595" w:rsidP="00FC3AF2">
            <w:pPr>
              <w:pStyle w:val="Tabletextright"/>
            </w:pPr>
            <w:r w:rsidRPr="0067507D">
              <w:t xml:space="preserve">45 260 </w:t>
            </w:r>
          </w:p>
        </w:tc>
      </w:tr>
      <w:tr w:rsidR="005D2595" w:rsidRPr="0067507D" w14:paraId="42232FE4" w14:textId="77777777" w:rsidTr="00FC3AF2">
        <w:trPr>
          <w:cantSplit/>
        </w:trPr>
        <w:tc>
          <w:tcPr>
            <w:tcW w:w="4788" w:type="dxa"/>
          </w:tcPr>
          <w:p w14:paraId="331E869B" w14:textId="0A024D85" w:rsidR="005D2595" w:rsidRPr="0067507D" w:rsidRDefault="005D2595" w:rsidP="00FC3AF2">
            <w:pPr>
              <w:pStyle w:val="Tabletextbold"/>
            </w:pPr>
            <w:r w:rsidRPr="0067507D">
              <w:t>Total non</w:t>
            </w:r>
            <w:r w:rsidR="006A5485">
              <w:noBreakHyphen/>
            </w:r>
            <w:r w:rsidRPr="0067507D">
              <w:t>financial assets</w:t>
            </w:r>
          </w:p>
        </w:tc>
        <w:tc>
          <w:tcPr>
            <w:tcW w:w="990" w:type="dxa"/>
          </w:tcPr>
          <w:p w14:paraId="351EB3EA" w14:textId="77777777" w:rsidR="005D2595" w:rsidRPr="0067507D" w:rsidRDefault="005D2595" w:rsidP="00FC3AF2">
            <w:pPr>
              <w:pStyle w:val="Tabletextcentred"/>
            </w:pPr>
          </w:p>
        </w:tc>
        <w:tc>
          <w:tcPr>
            <w:tcW w:w="1170" w:type="dxa"/>
            <w:shd w:val="clear" w:color="auto" w:fill="E0E0E0"/>
          </w:tcPr>
          <w:p w14:paraId="75E8D60C" w14:textId="77777777" w:rsidR="005D2595" w:rsidRPr="0067507D" w:rsidRDefault="005D2595" w:rsidP="00FC3AF2">
            <w:pPr>
              <w:pStyle w:val="Tabletextrightbold"/>
            </w:pPr>
            <w:r w:rsidRPr="0067507D">
              <w:t xml:space="preserve">50 784 </w:t>
            </w:r>
          </w:p>
        </w:tc>
        <w:tc>
          <w:tcPr>
            <w:tcW w:w="1260" w:type="dxa"/>
          </w:tcPr>
          <w:p w14:paraId="0068737D" w14:textId="77777777" w:rsidR="005D2595" w:rsidRPr="0067507D" w:rsidRDefault="005D2595" w:rsidP="00FC3AF2">
            <w:pPr>
              <w:pStyle w:val="Tabletextrightbold"/>
            </w:pPr>
            <w:r w:rsidRPr="0067507D">
              <w:t xml:space="preserve">51 746 </w:t>
            </w:r>
          </w:p>
        </w:tc>
      </w:tr>
      <w:tr w:rsidR="005D2595" w:rsidRPr="0067507D" w14:paraId="1018CA93" w14:textId="77777777" w:rsidTr="00FC3AF2">
        <w:trPr>
          <w:cantSplit/>
        </w:trPr>
        <w:tc>
          <w:tcPr>
            <w:tcW w:w="4788" w:type="dxa"/>
          </w:tcPr>
          <w:p w14:paraId="5AF1217C" w14:textId="77777777" w:rsidR="005D2595" w:rsidRPr="0067507D" w:rsidRDefault="005D2595" w:rsidP="00FC3AF2">
            <w:pPr>
              <w:pStyle w:val="Tabletextbold"/>
              <w:rPr>
                <w:bCs/>
              </w:rPr>
            </w:pPr>
          </w:p>
        </w:tc>
        <w:tc>
          <w:tcPr>
            <w:tcW w:w="990" w:type="dxa"/>
          </w:tcPr>
          <w:p w14:paraId="6F9E6A3C" w14:textId="77777777" w:rsidR="005D2595" w:rsidRPr="0067507D" w:rsidRDefault="005D2595" w:rsidP="00FC3AF2">
            <w:pPr>
              <w:pStyle w:val="Tabletextcentred"/>
            </w:pPr>
          </w:p>
        </w:tc>
        <w:tc>
          <w:tcPr>
            <w:tcW w:w="1170" w:type="dxa"/>
            <w:shd w:val="clear" w:color="auto" w:fill="E0E0E0"/>
          </w:tcPr>
          <w:p w14:paraId="2B5E77FC" w14:textId="77777777" w:rsidR="005D2595" w:rsidRPr="0067507D" w:rsidRDefault="005D2595" w:rsidP="00FC3AF2">
            <w:pPr>
              <w:pStyle w:val="Tabletextrightbold"/>
            </w:pPr>
          </w:p>
        </w:tc>
        <w:tc>
          <w:tcPr>
            <w:tcW w:w="1260" w:type="dxa"/>
          </w:tcPr>
          <w:p w14:paraId="622DBF82" w14:textId="77777777" w:rsidR="005D2595" w:rsidRPr="0067507D" w:rsidRDefault="005D2595" w:rsidP="00FC3AF2">
            <w:pPr>
              <w:pStyle w:val="Tabletextrightbold"/>
            </w:pPr>
          </w:p>
        </w:tc>
      </w:tr>
      <w:tr w:rsidR="005D2595" w:rsidRPr="0067507D" w14:paraId="32A366A3" w14:textId="77777777" w:rsidTr="00FC3AF2">
        <w:trPr>
          <w:cantSplit/>
        </w:trPr>
        <w:tc>
          <w:tcPr>
            <w:tcW w:w="4788" w:type="dxa"/>
          </w:tcPr>
          <w:p w14:paraId="222035E8" w14:textId="77777777" w:rsidR="005D2595" w:rsidRPr="0067507D" w:rsidRDefault="005D2595" w:rsidP="00FC3AF2">
            <w:pPr>
              <w:pStyle w:val="Tabletextbold"/>
            </w:pPr>
            <w:r w:rsidRPr="0067507D">
              <w:t>Total assets</w:t>
            </w:r>
          </w:p>
        </w:tc>
        <w:tc>
          <w:tcPr>
            <w:tcW w:w="990" w:type="dxa"/>
          </w:tcPr>
          <w:p w14:paraId="48C0CA37" w14:textId="77777777" w:rsidR="005D2595" w:rsidRPr="0067507D" w:rsidRDefault="005D2595" w:rsidP="00FC3AF2">
            <w:pPr>
              <w:pStyle w:val="Tabletextcentred"/>
            </w:pPr>
          </w:p>
        </w:tc>
        <w:tc>
          <w:tcPr>
            <w:tcW w:w="1170" w:type="dxa"/>
            <w:shd w:val="clear" w:color="auto" w:fill="E0E0E0"/>
          </w:tcPr>
          <w:p w14:paraId="271A7E04" w14:textId="77777777" w:rsidR="005D2595" w:rsidRPr="0067507D" w:rsidRDefault="005D2595" w:rsidP="00FC3AF2">
            <w:pPr>
              <w:pStyle w:val="Tabletextrightbold"/>
            </w:pPr>
            <w:r w:rsidRPr="0067507D">
              <w:t xml:space="preserve">224 267 </w:t>
            </w:r>
          </w:p>
        </w:tc>
        <w:tc>
          <w:tcPr>
            <w:tcW w:w="1260" w:type="dxa"/>
          </w:tcPr>
          <w:p w14:paraId="3E6137B8" w14:textId="77777777" w:rsidR="005D2595" w:rsidRPr="0067507D" w:rsidRDefault="005D2595" w:rsidP="00FC3AF2">
            <w:pPr>
              <w:pStyle w:val="Tabletextrightbold"/>
            </w:pPr>
            <w:r w:rsidRPr="0067507D">
              <w:t xml:space="preserve">231 584 </w:t>
            </w:r>
          </w:p>
        </w:tc>
      </w:tr>
      <w:tr w:rsidR="005D2595" w:rsidRPr="0067507D" w14:paraId="31278D25" w14:textId="77777777" w:rsidTr="00FC3AF2">
        <w:trPr>
          <w:cantSplit/>
        </w:trPr>
        <w:tc>
          <w:tcPr>
            <w:tcW w:w="4788" w:type="dxa"/>
          </w:tcPr>
          <w:p w14:paraId="41A5380F" w14:textId="77777777" w:rsidR="005D2595" w:rsidRPr="0067507D" w:rsidRDefault="005D2595" w:rsidP="00FC3AF2">
            <w:pPr>
              <w:pStyle w:val="Tabletext"/>
            </w:pPr>
          </w:p>
        </w:tc>
        <w:tc>
          <w:tcPr>
            <w:tcW w:w="990" w:type="dxa"/>
          </w:tcPr>
          <w:p w14:paraId="7A645DCE" w14:textId="77777777" w:rsidR="005D2595" w:rsidRPr="0067507D" w:rsidRDefault="005D2595" w:rsidP="00FC3AF2">
            <w:pPr>
              <w:pStyle w:val="Tabletextcentred"/>
            </w:pPr>
          </w:p>
        </w:tc>
        <w:tc>
          <w:tcPr>
            <w:tcW w:w="1170" w:type="dxa"/>
            <w:shd w:val="clear" w:color="auto" w:fill="E0E0E0"/>
          </w:tcPr>
          <w:p w14:paraId="776F972D" w14:textId="77777777" w:rsidR="005D2595" w:rsidRPr="00866B9C" w:rsidRDefault="005D2595" w:rsidP="00866B9C">
            <w:pPr>
              <w:pStyle w:val="Tabletextright"/>
            </w:pPr>
          </w:p>
        </w:tc>
        <w:tc>
          <w:tcPr>
            <w:tcW w:w="1260" w:type="dxa"/>
          </w:tcPr>
          <w:p w14:paraId="0F07968E" w14:textId="77777777" w:rsidR="005D2595" w:rsidRPr="00866B9C" w:rsidRDefault="005D2595" w:rsidP="00866B9C">
            <w:pPr>
              <w:pStyle w:val="Tabletextright"/>
            </w:pPr>
          </w:p>
        </w:tc>
      </w:tr>
      <w:tr w:rsidR="005D2595" w:rsidRPr="0067507D" w14:paraId="7FBCD3BD" w14:textId="77777777" w:rsidTr="00FC3AF2">
        <w:trPr>
          <w:cantSplit/>
        </w:trPr>
        <w:tc>
          <w:tcPr>
            <w:tcW w:w="4788" w:type="dxa"/>
          </w:tcPr>
          <w:p w14:paraId="555E89D3" w14:textId="77777777" w:rsidR="005D2595" w:rsidRPr="0067507D" w:rsidRDefault="005D2595" w:rsidP="00FC3AF2">
            <w:pPr>
              <w:pStyle w:val="Tabletextbold"/>
            </w:pPr>
            <w:r w:rsidRPr="0067507D">
              <w:t>Liabilities</w:t>
            </w:r>
          </w:p>
        </w:tc>
        <w:tc>
          <w:tcPr>
            <w:tcW w:w="990" w:type="dxa"/>
          </w:tcPr>
          <w:p w14:paraId="26DA4523" w14:textId="77777777" w:rsidR="005D2595" w:rsidRPr="0067507D" w:rsidRDefault="005D2595" w:rsidP="00FC3AF2">
            <w:pPr>
              <w:pStyle w:val="Tabletextcentred"/>
            </w:pPr>
          </w:p>
        </w:tc>
        <w:tc>
          <w:tcPr>
            <w:tcW w:w="1170" w:type="dxa"/>
            <w:shd w:val="clear" w:color="auto" w:fill="E0E0E0"/>
          </w:tcPr>
          <w:p w14:paraId="1E9B0F42" w14:textId="77777777" w:rsidR="005D2595" w:rsidRPr="00866B9C" w:rsidRDefault="005D2595" w:rsidP="00866B9C">
            <w:pPr>
              <w:pStyle w:val="Tabletextright"/>
            </w:pPr>
          </w:p>
        </w:tc>
        <w:tc>
          <w:tcPr>
            <w:tcW w:w="1260" w:type="dxa"/>
          </w:tcPr>
          <w:p w14:paraId="3DA50BA7" w14:textId="77777777" w:rsidR="005D2595" w:rsidRPr="00866B9C" w:rsidRDefault="005D2595" w:rsidP="00866B9C">
            <w:pPr>
              <w:pStyle w:val="Tabletextright"/>
            </w:pPr>
          </w:p>
        </w:tc>
      </w:tr>
      <w:tr w:rsidR="005D2595" w:rsidRPr="0067507D" w14:paraId="5C4BA03F" w14:textId="77777777" w:rsidTr="00FC3AF2">
        <w:trPr>
          <w:cantSplit/>
        </w:trPr>
        <w:tc>
          <w:tcPr>
            <w:tcW w:w="4788" w:type="dxa"/>
          </w:tcPr>
          <w:p w14:paraId="0A140435" w14:textId="77777777" w:rsidR="005D2595" w:rsidRPr="0067507D" w:rsidRDefault="005D2595" w:rsidP="00FC3AF2">
            <w:pPr>
              <w:pStyle w:val="Tabletext"/>
            </w:pPr>
            <w:r w:rsidRPr="0067507D">
              <w:t>Payables</w:t>
            </w:r>
          </w:p>
        </w:tc>
        <w:tc>
          <w:tcPr>
            <w:tcW w:w="990" w:type="dxa"/>
          </w:tcPr>
          <w:p w14:paraId="3CF2132F" w14:textId="77777777" w:rsidR="005D2595" w:rsidRPr="0067507D" w:rsidRDefault="005D2595" w:rsidP="00FC3AF2">
            <w:pPr>
              <w:pStyle w:val="Tabletextcentred"/>
            </w:pPr>
            <w:r w:rsidRPr="0067507D">
              <w:t>6.3</w:t>
            </w:r>
          </w:p>
        </w:tc>
        <w:tc>
          <w:tcPr>
            <w:tcW w:w="1170" w:type="dxa"/>
            <w:shd w:val="clear" w:color="auto" w:fill="E0E0E0"/>
          </w:tcPr>
          <w:p w14:paraId="2DD6D92D" w14:textId="77777777" w:rsidR="005D2595" w:rsidRPr="0067507D" w:rsidRDefault="005D2595" w:rsidP="00FC3AF2">
            <w:pPr>
              <w:pStyle w:val="Tabletextright"/>
            </w:pPr>
            <w:r w:rsidRPr="0067507D">
              <w:t xml:space="preserve">68 658 </w:t>
            </w:r>
          </w:p>
        </w:tc>
        <w:tc>
          <w:tcPr>
            <w:tcW w:w="1260" w:type="dxa"/>
          </w:tcPr>
          <w:p w14:paraId="26566ACA" w14:textId="77777777" w:rsidR="005D2595" w:rsidRPr="0067507D" w:rsidRDefault="005D2595" w:rsidP="00FC3AF2">
            <w:pPr>
              <w:pStyle w:val="Tabletextright"/>
            </w:pPr>
            <w:r w:rsidRPr="0067507D">
              <w:t xml:space="preserve">88 174 </w:t>
            </w:r>
          </w:p>
        </w:tc>
      </w:tr>
      <w:tr w:rsidR="005D2595" w:rsidRPr="0067507D" w14:paraId="3A558CDD" w14:textId="77777777" w:rsidTr="00FC3AF2">
        <w:trPr>
          <w:cantSplit/>
        </w:trPr>
        <w:tc>
          <w:tcPr>
            <w:tcW w:w="4788" w:type="dxa"/>
          </w:tcPr>
          <w:p w14:paraId="5C4F7B0F" w14:textId="77777777" w:rsidR="005D2595" w:rsidRPr="0067507D" w:rsidRDefault="005D2595" w:rsidP="00FC3AF2">
            <w:pPr>
              <w:pStyle w:val="Tabletext"/>
            </w:pPr>
            <w:r w:rsidRPr="0067507D">
              <w:t>Contract liabilities</w:t>
            </w:r>
          </w:p>
        </w:tc>
        <w:tc>
          <w:tcPr>
            <w:tcW w:w="990" w:type="dxa"/>
          </w:tcPr>
          <w:p w14:paraId="7030D70C" w14:textId="77777777" w:rsidR="005D2595" w:rsidRPr="0067507D" w:rsidRDefault="005D2595" w:rsidP="00FC3AF2">
            <w:pPr>
              <w:pStyle w:val="Tabletextcentred"/>
            </w:pPr>
          </w:p>
        </w:tc>
        <w:tc>
          <w:tcPr>
            <w:tcW w:w="1170" w:type="dxa"/>
            <w:shd w:val="clear" w:color="auto" w:fill="E0E0E0"/>
          </w:tcPr>
          <w:p w14:paraId="1CB6D714" w14:textId="77777777" w:rsidR="005D2595" w:rsidRPr="0067507D" w:rsidRDefault="005D2595" w:rsidP="00FC3AF2">
            <w:pPr>
              <w:pStyle w:val="Tabletextright"/>
            </w:pPr>
            <w:r w:rsidRPr="0067507D">
              <w:t xml:space="preserve">4 071 </w:t>
            </w:r>
          </w:p>
        </w:tc>
        <w:tc>
          <w:tcPr>
            <w:tcW w:w="1260" w:type="dxa"/>
          </w:tcPr>
          <w:p w14:paraId="2D65ED83" w14:textId="77777777" w:rsidR="005D2595" w:rsidRPr="0067507D" w:rsidRDefault="005D2595" w:rsidP="00FC3AF2">
            <w:pPr>
              <w:pStyle w:val="Tabletextright"/>
            </w:pPr>
            <w:r w:rsidRPr="0067507D">
              <w:t xml:space="preserve">4 888 </w:t>
            </w:r>
          </w:p>
        </w:tc>
      </w:tr>
      <w:tr w:rsidR="005D2595" w:rsidRPr="0067507D" w14:paraId="7802C149" w14:textId="77777777" w:rsidTr="00FC3AF2">
        <w:trPr>
          <w:cantSplit/>
        </w:trPr>
        <w:tc>
          <w:tcPr>
            <w:tcW w:w="4788" w:type="dxa"/>
          </w:tcPr>
          <w:p w14:paraId="7F09BEB1" w14:textId="77777777" w:rsidR="005D2595" w:rsidRPr="0067507D" w:rsidRDefault="005D2595" w:rsidP="00FC3AF2">
            <w:pPr>
              <w:pStyle w:val="Tabletext"/>
            </w:pPr>
            <w:r w:rsidRPr="0067507D">
              <w:t>Borrowings</w:t>
            </w:r>
          </w:p>
        </w:tc>
        <w:tc>
          <w:tcPr>
            <w:tcW w:w="990" w:type="dxa"/>
          </w:tcPr>
          <w:p w14:paraId="33E58649" w14:textId="77777777" w:rsidR="005D2595" w:rsidRPr="0067507D" w:rsidRDefault="005D2595" w:rsidP="00FC3AF2">
            <w:pPr>
              <w:pStyle w:val="Tabletextcentred"/>
            </w:pPr>
          </w:p>
        </w:tc>
        <w:tc>
          <w:tcPr>
            <w:tcW w:w="1170" w:type="dxa"/>
            <w:shd w:val="clear" w:color="auto" w:fill="E0E0E0"/>
          </w:tcPr>
          <w:p w14:paraId="075D6D46" w14:textId="77777777" w:rsidR="005D2595" w:rsidRPr="0067507D" w:rsidDel="00993F23" w:rsidRDefault="005D2595" w:rsidP="00FC3AF2">
            <w:pPr>
              <w:pStyle w:val="Tabletextright"/>
            </w:pPr>
            <w:r w:rsidRPr="0067507D">
              <w:t xml:space="preserve">1 930 </w:t>
            </w:r>
          </w:p>
        </w:tc>
        <w:tc>
          <w:tcPr>
            <w:tcW w:w="1260" w:type="dxa"/>
          </w:tcPr>
          <w:p w14:paraId="2635C63C" w14:textId="77777777" w:rsidR="005D2595" w:rsidRPr="0067507D" w:rsidDel="00993F23" w:rsidRDefault="005D2595" w:rsidP="00FC3AF2">
            <w:pPr>
              <w:pStyle w:val="Tabletextright"/>
            </w:pPr>
            <w:r w:rsidRPr="0067507D">
              <w:t xml:space="preserve">2 306 </w:t>
            </w:r>
          </w:p>
        </w:tc>
      </w:tr>
      <w:tr w:rsidR="005D2595" w:rsidRPr="0067507D" w14:paraId="51AF7855" w14:textId="77777777" w:rsidTr="00FC3AF2">
        <w:trPr>
          <w:cantSplit/>
        </w:trPr>
        <w:tc>
          <w:tcPr>
            <w:tcW w:w="4788" w:type="dxa"/>
          </w:tcPr>
          <w:p w14:paraId="1CBE1764" w14:textId="77777777" w:rsidR="005D2595" w:rsidRPr="0067507D" w:rsidRDefault="005D2595" w:rsidP="00FC3AF2">
            <w:pPr>
              <w:pStyle w:val="Tabletext"/>
            </w:pPr>
            <w:r w:rsidRPr="0067507D">
              <w:t>Employee benefit provisions</w:t>
            </w:r>
          </w:p>
        </w:tc>
        <w:tc>
          <w:tcPr>
            <w:tcW w:w="990" w:type="dxa"/>
          </w:tcPr>
          <w:p w14:paraId="43941332" w14:textId="77777777" w:rsidR="005D2595" w:rsidRPr="0067507D" w:rsidRDefault="005D2595" w:rsidP="00FC3AF2">
            <w:pPr>
              <w:pStyle w:val="Tabletextcentred"/>
            </w:pPr>
            <w:r w:rsidRPr="0067507D">
              <w:t>3.2.2</w:t>
            </w:r>
          </w:p>
        </w:tc>
        <w:tc>
          <w:tcPr>
            <w:tcW w:w="1170" w:type="dxa"/>
            <w:shd w:val="clear" w:color="auto" w:fill="E0E0E0"/>
          </w:tcPr>
          <w:p w14:paraId="22B14407" w14:textId="77777777" w:rsidR="005D2595" w:rsidRPr="0067507D" w:rsidRDefault="005D2595" w:rsidP="00FC3AF2">
            <w:pPr>
              <w:pStyle w:val="Tabletextright"/>
            </w:pPr>
            <w:r w:rsidRPr="0067507D">
              <w:t xml:space="preserve">67 779 </w:t>
            </w:r>
          </w:p>
        </w:tc>
        <w:tc>
          <w:tcPr>
            <w:tcW w:w="1260" w:type="dxa"/>
          </w:tcPr>
          <w:p w14:paraId="058B7260" w14:textId="77777777" w:rsidR="005D2595" w:rsidRPr="0067507D" w:rsidRDefault="005D2595" w:rsidP="00FC3AF2">
            <w:pPr>
              <w:pStyle w:val="Tabletextright"/>
            </w:pPr>
            <w:r w:rsidRPr="0067507D">
              <w:t xml:space="preserve">61 043 </w:t>
            </w:r>
          </w:p>
        </w:tc>
      </w:tr>
      <w:tr w:rsidR="005D2595" w:rsidRPr="0067507D" w14:paraId="3388C935" w14:textId="77777777" w:rsidTr="00FC3AF2">
        <w:trPr>
          <w:cantSplit/>
        </w:trPr>
        <w:tc>
          <w:tcPr>
            <w:tcW w:w="4788" w:type="dxa"/>
          </w:tcPr>
          <w:p w14:paraId="53A83C34" w14:textId="77777777" w:rsidR="005D2595" w:rsidRPr="0067507D" w:rsidRDefault="005D2595" w:rsidP="00FC3AF2">
            <w:pPr>
              <w:pStyle w:val="Tabletextbold"/>
            </w:pPr>
            <w:r w:rsidRPr="0067507D">
              <w:t>Total liabilities</w:t>
            </w:r>
          </w:p>
        </w:tc>
        <w:tc>
          <w:tcPr>
            <w:tcW w:w="990" w:type="dxa"/>
          </w:tcPr>
          <w:p w14:paraId="781A833C" w14:textId="77777777" w:rsidR="005D2595" w:rsidRPr="0067507D" w:rsidRDefault="005D2595" w:rsidP="00FC3AF2">
            <w:pPr>
              <w:pStyle w:val="Tabletextcentred"/>
            </w:pPr>
          </w:p>
        </w:tc>
        <w:tc>
          <w:tcPr>
            <w:tcW w:w="1170" w:type="dxa"/>
            <w:shd w:val="clear" w:color="auto" w:fill="E0E0E0"/>
          </w:tcPr>
          <w:p w14:paraId="2C2987AA" w14:textId="77777777" w:rsidR="005D2595" w:rsidRPr="0067507D" w:rsidRDefault="005D2595" w:rsidP="00FC3AF2">
            <w:pPr>
              <w:pStyle w:val="Tabletextrightbold"/>
            </w:pPr>
            <w:r w:rsidRPr="0067507D">
              <w:t xml:space="preserve">142 438 </w:t>
            </w:r>
          </w:p>
        </w:tc>
        <w:tc>
          <w:tcPr>
            <w:tcW w:w="1260" w:type="dxa"/>
          </w:tcPr>
          <w:p w14:paraId="504649C4" w14:textId="77777777" w:rsidR="005D2595" w:rsidRPr="0067507D" w:rsidRDefault="005D2595" w:rsidP="00FC3AF2">
            <w:pPr>
              <w:pStyle w:val="Tabletextrightbold"/>
            </w:pPr>
            <w:r w:rsidRPr="0067507D">
              <w:t xml:space="preserve">156 411 </w:t>
            </w:r>
          </w:p>
        </w:tc>
      </w:tr>
      <w:tr w:rsidR="005D2595" w:rsidRPr="0067507D" w14:paraId="1885CA1F" w14:textId="77777777" w:rsidTr="00FC3AF2">
        <w:trPr>
          <w:cantSplit/>
        </w:trPr>
        <w:tc>
          <w:tcPr>
            <w:tcW w:w="4788" w:type="dxa"/>
          </w:tcPr>
          <w:p w14:paraId="219BCA67" w14:textId="77777777" w:rsidR="005D2595" w:rsidRPr="0067507D" w:rsidRDefault="005D2595" w:rsidP="00FC3AF2">
            <w:pPr>
              <w:pStyle w:val="Tabletext"/>
            </w:pPr>
          </w:p>
        </w:tc>
        <w:tc>
          <w:tcPr>
            <w:tcW w:w="990" w:type="dxa"/>
          </w:tcPr>
          <w:p w14:paraId="70B08437" w14:textId="77777777" w:rsidR="005D2595" w:rsidRPr="0067507D" w:rsidRDefault="005D2595" w:rsidP="00FC3AF2">
            <w:pPr>
              <w:pStyle w:val="Tabletextcentred"/>
            </w:pPr>
          </w:p>
        </w:tc>
        <w:tc>
          <w:tcPr>
            <w:tcW w:w="1170" w:type="dxa"/>
            <w:shd w:val="clear" w:color="auto" w:fill="E0E0E0"/>
          </w:tcPr>
          <w:p w14:paraId="3ECD3807" w14:textId="77777777" w:rsidR="005D2595" w:rsidRPr="00866B9C" w:rsidRDefault="005D2595" w:rsidP="00866B9C">
            <w:pPr>
              <w:pStyle w:val="Tabletextright"/>
            </w:pPr>
          </w:p>
        </w:tc>
        <w:tc>
          <w:tcPr>
            <w:tcW w:w="1260" w:type="dxa"/>
          </w:tcPr>
          <w:p w14:paraId="61EB3CBB" w14:textId="77777777" w:rsidR="005D2595" w:rsidRPr="00866B9C" w:rsidRDefault="005D2595" w:rsidP="00866B9C">
            <w:pPr>
              <w:pStyle w:val="Tabletextright"/>
            </w:pPr>
          </w:p>
        </w:tc>
      </w:tr>
      <w:tr w:rsidR="005D2595" w:rsidRPr="0067507D" w14:paraId="4B9D3C6B" w14:textId="77777777" w:rsidTr="00FC3AF2">
        <w:trPr>
          <w:cantSplit/>
        </w:trPr>
        <w:tc>
          <w:tcPr>
            <w:tcW w:w="4788" w:type="dxa"/>
          </w:tcPr>
          <w:p w14:paraId="5FA7C839" w14:textId="77777777" w:rsidR="005D2595" w:rsidRPr="0067507D" w:rsidRDefault="005D2595" w:rsidP="00FC3AF2">
            <w:pPr>
              <w:pStyle w:val="Tabletextbold"/>
            </w:pPr>
            <w:r w:rsidRPr="0067507D">
              <w:t>Net assets</w:t>
            </w:r>
          </w:p>
        </w:tc>
        <w:tc>
          <w:tcPr>
            <w:tcW w:w="990" w:type="dxa"/>
          </w:tcPr>
          <w:p w14:paraId="42B91F0E" w14:textId="77777777" w:rsidR="005D2595" w:rsidRPr="0067507D" w:rsidRDefault="005D2595" w:rsidP="00FC3AF2">
            <w:pPr>
              <w:pStyle w:val="Tabletextcentred"/>
            </w:pPr>
          </w:p>
        </w:tc>
        <w:tc>
          <w:tcPr>
            <w:tcW w:w="1170" w:type="dxa"/>
            <w:shd w:val="clear" w:color="auto" w:fill="E0E0E0"/>
          </w:tcPr>
          <w:p w14:paraId="52E92896" w14:textId="77777777" w:rsidR="005D2595" w:rsidRPr="0067507D" w:rsidRDefault="005D2595" w:rsidP="00FC3AF2">
            <w:pPr>
              <w:pStyle w:val="Tabletextrightbold"/>
            </w:pPr>
            <w:r w:rsidRPr="0067507D">
              <w:t xml:space="preserve">81 829 </w:t>
            </w:r>
          </w:p>
        </w:tc>
        <w:tc>
          <w:tcPr>
            <w:tcW w:w="1260" w:type="dxa"/>
          </w:tcPr>
          <w:p w14:paraId="55C6EDCA" w14:textId="77777777" w:rsidR="005D2595" w:rsidRPr="0067507D" w:rsidRDefault="005D2595" w:rsidP="00FC3AF2">
            <w:pPr>
              <w:pStyle w:val="Tabletextrightbold"/>
            </w:pPr>
            <w:r w:rsidRPr="0067507D">
              <w:t xml:space="preserve">75 173 </w:t>
            </w:r>
          </w:p>
        </w:tc>
      </w:tr>
      <w:tr w:rsidR="005D2595" w:rsidRPr="0067507D" w14:paraId="594F8089" w14:textId="77777777" w:rsidTr="00FC3AF2">
        <w:trPr>
          <w:cantSplit/>
        </w:trPr>
        <w:tc>
          <w:tcPr>
            <w:tcW w:w="4788" w:type="dxa"/>
          </w:tcPr>
          <w:p w14:paraId="6A23AD22" w14:textId="77777777" w:rsidR="005D2595" w:rsidRPr="0067507D" w:rsidRDefault="005D2595" w:rsidP="00FC3AF2">
            <w:pPr>
              <w:pStyle w:val="Tabletext"/>
            </w:pPr>
          </w:p>
        </w:tc>
        <w:tc>
          <w:tcPr>
            <w:tcW w:w="990" w:type="dxa"/>
          </w:tcPr>
          <w:p w14:paraId="75B5F080" w14:textId="77777777" w:rsidR="005D2595" w:rsidRPr="0067507D" w:rsidRDefault="005D2595" w:rsidP="00FC3AF2">
            <w:pPr>
              <w:pStyle w:val="Tabletextcentred"/>
            </w:pPr>
          </w:p>
        </w:tc>
        <w:tc>
          <w:tcPr>
            <w:tcW w:w="1170" w:type="dxa"/>
            <w:shd w:val="clear" w:color="auto" w:fill="E0E0E0"/>
          </w:tcPr>
          <w:p w14:paraId="5FD86811" w14:textId="77777777" w:rsidR="005D2595" w:rsidRPr="00866B9C" w:rsidRDefault="005D2595" w:rsidP="00866B9C">
            <w:pPr>
              <w:pStyle w:val="Tabletextright"/>
            </w:pPr>
          </w:p>
        </w:tc>
        <w:tc>
          <w:tcPr>
            <w:tcW w:w="1260" w:type="dxa"/>
          </w:tcPr>
          <w:p w14:paraId="0C1D40E6" w14:textId="77777777" w:rsidR="005D2595" w:rsidRPr="00866B9C" w:rsidRDefault="005D2595" w:rsidP="00866B9C">
            <w:pPr>
              <w:pStyle w:val="Tabletextright"/>
            </w:pPr>
          </w:p>
        </w:tc>
      </w:tr>
      <w:tr w:rsidR="005D2595" w:rsidRPr="0067507D" w14:paraId="5090ED8F" w14:textId="77777777" w:rsidTr="00FC3AF2">
        <w:trPr>
          <w:cantSplit/>
        </w:trPr>
        <w:tc>
          <w:tcPr>
            <w:tcW w:w="4788" w:type="dxa"/>
          </w:tcPr>
          <w:p w14:paraId="5A02DE76" w14:textId="77777777" w:rsidR="005D2595" w:rsidRPr="0067507D" w:rsidRDefault="005D2595" w:rsidP="00FC3AF2">
            <w:pPr>
              <w:pStyle w:val="Tabletextbold"/>
            </w:pPr>
            <w:r w:rsidRPr="0067507D">
              <w:t>Equity</w:t>
            </w:r>
          </w:p>
        </w:tc>
        <w:tc>
          <w:tcPr>
            <w:tcW w:w="990" w:type="dxa"/>
          </w:tcPr>
          <w:p w14:paraId="3B1D34C7" w14:textId="77777777" w:rsidR="005D2595" w:rsidRPr="0067507D" w:rsidRDefault="005D2595" w:rsidP="00FC3AF2">
            <w:pPr>
              <w:pStyle w:val="Tabletextcentred"/>
            </w:pPr>
          </w:p>
        </w:tc>
        <w:tc>
          <w:tcPr>
            <w:tcW w:w="1170" w:type="dxa"/>
            <w:shd w:val="clear" w:color="auto" w:fill="E0E0E0"/>
          </w:tcPr>
          <w:p w14:paraId="6A7E7CF3" w14:textId="77777777" w:rsidR="005D2595" w:rsidRPr="00866B9C" w:rsidRDefault="005D2595" w:rsidP="00866B9C">
            <w:pPr>
              <w:pStyle w:val="Tabletextright"/>
            </w:pPr>
          </w:p>
        </w:tc>
        <w:tc>
          <w:tcPr>
            <w:tcW w:w="1260" w:type="dxa"/>
          </w:tcPr>
          <w:p w14:paraId="118C5B22" w14:textId="77777777" w:rsidR="005D2595" w:rsidRPr="00866B9C" w:rsidRDefault="005D2595" w:rsidP="00866B9C">
            <w:pPr>
              <w:pStyle w:val="Tabletextright"/>
            </w:pPr>
          </w:p>
        </w:tc>
      </w:tr>
      <w:tr w:rsidR="005D2595" w:rsidRPr="0067507D" w14:paraId="181F91E2" w14:textId="77777777" w:rsidTr="00FC3AF2">
        <w:trPr>
          <w:cantSplit/>
        </w:trPr>
        <w:tc>
          <w:tcPr>
            <w:tcW w:w="4788" w:type="dxa"/>
          </w:tcPr>
          <w:p w14:paraId="62F6685B" w14:textId="77777777" w:rsidR="005D2595" w:rsidRPr="0067507D" w:rsidRDefault="005D2595" w:rsidP="00FC3AF2">
            <w:pPr>
              <w:pStyle w:val="Tabletext"/>
            </w:pPr>
            <w:r w:rsidRPr="0067507D">
              <w:t>Accumulated surplus</w:t>
            </w:r>
          </w:p>
        </w:tc>
        <w:tc>
          <w:tcPr>
            <w:tcW w:w="990" w:type="dxa"/>
          </w:tcPr>
          <w:p w14:paraId="220E49FF" w14:textId="77777777" w:rsidR="005D2595" w:rsidRPr="0067507D" w:rsidRDefault="005D2595" w:rsidP="00FC3AF2">
            <w:pPr>
              <w:pStyle w:val="Tabletextcentred"/>
            </w:pPr>
          </w:p>
        </w:tc>
        <w:tc>
          <w:tcPr>
            <w:tcW w:w="1170" w:type="dxa"/>
            <w:shd w:val="clear" w:color="auto" w:fill="E0E0E0"/>
          </w:tcPr>
          <w:p w14:paraId="1939746F" w14:textId="77777777" w:rsidR="005D2595" w:rsidRPr="0067507D" w:rsidRDefault="005D2595" w:rsidP="00FC3AF2">
            <w:pPr>
              <w:pStyle w:val="Tabletextright"/>
            </w:pPr>
            <w:r w:rsidRPr="0067507D">
              <w:t xml:space="preserve">60 359 </w:t>
            </w:r>
          </w:p>
        </w:tc>
        <w:tc>
          <w:tcPr>
            <w:tcW w:w="1260" w:type="dxa"/>
          </w:tcPr>
          <w:p w14:paraId="4C349406" w14:textId="77777777" w:rsidR="005D2595" w:rsidRPr="0067507D" w:rsidRDefault="005D2595" w:rsidP="00FC3AF2">
            <w:pPr>
              <w:pStyle w:val="Tabletextright"/>
            </w:pPr>
            <w:r w:rsidRPr="0067507D">
              <w:t xml:space="preserve">53 703 </w:t>
            </w:r>
          </w:p>
        </w:tc>
      </w:tr>
      <w:tr w:rsidR="005D2595" w:rsidRPr="0067507D" w14:paraId="29C93354" w14:textId="77777777" w:rsidTr="00FC3AF2">
        <w:trPr>
          <w:cantSplit/>
        </w:trPr>
        <w:tc>
          <w:tcPr>
            <w:tcW w:w="4788" w:type="dxa"/>
          </w:tcPr>
          <w:p w14:paraId="0E2C4D91" w14:textId="77777777" w:rsidR="005D2595" w:rsidRPr="0067507D" w:rsidRDefault="005D2595" w:rsidP="00FC3AF2">
            <w:pPr>
              <w:pStyle w:val="Tabletext"/>
            </w:pPr>
            <w:r w:rsidRPr="0067507D">
              <w:t>Contributed capital</w:t>
            </w:r>
          </w:p>
        </w:tc>
        <w:tc>
          <w:tcPr>
            <w:tcW w:w="990" w:type="dxa"/>
          </w:tcPr>
          <w:p w14:paraId="54A86B92" w14:textId="77777777" w:rsidR="005D2595" w:rsidRPr="0067507D" w:rsidRDefault="005D2595" w:rsidP="00FC3AF2">
            <w:pPr>
              <w:pStyle w:val="Tabletextcentred"/>
            </w:pPr>
          </w:p>
        </w:tc>
        <w:tc>
          <w:tcPr>
            <w:tcW w:w="1170" w:type="dxa"/>
            <w:shd w:val="clear" w:color="auto" w:fill="E0E0E0"/>
          </w:tcPr>
          <w:p w14:paraId="5C33AD35" w14:textId="77777777" w:rsidR="005D2595" w:rsidRPr="0067507D" w:rsidRDefault="005D2595" w:rsidP="00FC3AF2">
            <w:pPr>
              <w:pStyle w:val="Tabletextright"/>
            </w:pPr>
            <w:r w:rsidRPr="0067507D">
              <w:t xml:space="preserve">21 470 </w:t>
            </w:r>
          </w:p>
        </w:tc>
        <w:tc>
          <w:tcPr>
            <w:tcW w:w="1260" w:type="dxa"/>
          </w:tcPr>
          <w:p w14:paraId="4588BD0B" w14:textId="77777777" w:rsidR="005D2595" w:rsidRPr="0067507D" w:rsidRDefault="005D2595" w:rsidP="00FC3AF2">
            <w:pPr>
              <w:pStyle w:val="Tabletextright"/>
            </w:pPr>
            <w:r w:rsidRPr="0067507D">
              <w:t xml:space="preserve">21 470 </w:t>
            </w:r>
          </w:p>
        </w:tc>
      </w:tr>
      <w:tr w:rsidR="005D2595" w:rsidRPr="0067507D" w14:paraId="75F48205" w14:textId="77777777" w:rsidTr="00FC3AF2">
        <w:trPr>
          <w:cantSplit/>
        </w:trPr>
        <w:tc>
          <w:tcPr>
            <w:tcW w:w="4788" w:type="dxa"/>
          </w:tcPr>
          <w:p w14:paraId="26C2D94F" w14:textId="77777777" w:rsidR="005D2595" w:rsidRPr="0067507D" w:rsidRDefault="005D2595" w:rsidP="00FC3AF2">
            <w:pPr>
              <w:pStyle w:val="Tabletext"/>
            </w:pPr>
          </w:p>
        </w:tc>
        <w:tc>
          <w:tcPr>
            <w:tcW w:w="990" w:type="dxa"/>
          </w:tcPr>
          <w:p w14:paraId="1C178398" w14:textId="77777777" w:rsidR="005D2595" w:rsidRPr="0067507D" w:rsidRDefault="005D2595" w:rsidP="00FC3AF2">
            <w:pPr>
              <w:pStyle w:val="Tabletextcentred"/>
            </w:pPr>
          </w:p>
        </w:tc>
        <w:tc>
          <w:tcPr>
            <w:tcW w:w="1170" w:type="dxa"/>
            <w:shd w:val="clear" w:color="auto" w:fill="E0E0E0"/>
          </w:tcPr>
          <w:p w14:paraId="4D20142B" w14:textId="77777777" w:rsidR="005D2595" w:rsidRPr="0067507D" w:rsidRDefault="005D2595" w:rsidP="00FC3AF2">
            <w:pPr>
              <w:pStyle w:val="Tabletextright"/>
              <w:rPr>
                <w:bCs/>
              </w:rPr>
            </w:pPr>
          </w:p>
        </w:tc>
        <w:tc>
          <w:tcPr>
            <w:tcW w:w="1260" w:type="dxa"/>
          </w:tcPr>
          <w:p w14:paraId="62B28711" w14:textId="77777777" w:rsidR="005D2595" w:rsidRPr="0067507D" w:rsidRDefault="005D2595" w:rsidP="00FC3AF2">
            <w:pPr>
              <w:pStyle w:val="Tabletextright"/>
              <w:rPr>
                <w:bCs/>
              </w:rPr>
            </w:pPr>
          </w:p>
        </w:tc>
      </w:tr>
      <w:tr w:rsidR="005D2595" w:rsidRPr="0067507D" w14:paraId="1E5929AD" w14:textId="77777777" w:rsidTr="00FC3AF2">
        <w:trPr>
          <w:cantSplit/>
        </w:trPr>
        <w:tc>
          <w:tcPr>
            <w:tcW w:w="4788" w:type="dxa"/>
          </w:tcPr>
          <w:p w14:paraId="402CFAC5" w14:textId="77777777" w:rsidR="005D2595" w:rsidRPr="0067507D" w:rsidRDefault="005D2595" w:rsidP="00FC3AF2">
            <w:pPr>
              <w:pStyle w:val="Tabletextbold"/>
            </w:pPr>
            <w:r w:rsidRPr="0067507D">
              <w:t>Net worth</w:t>
            </w:r>
          </w:p>
        </w:tc>
        <w:tc>
          <w:tcPr>
            <w:tcW w:w="990" w:type="dxa"/>
          </w:tcPr>
          <w:p w14:paraId="189D2246" w14:textId="77777777" w:rsidR="005D2595" w:rsidRPr="0067507D" w:rsidRDefault="005D2595" w:rsidP="00FC3AF2">
            <w:pPr>
              <w:pStyle w:val="Tabletextcentred"/>
            </w:pPr>
          </w:p>
        </w:tc>
        <w:tc>
          <w:tcPr>
            <w:tcW w:w="1170" w:type="dxa"/>
            <w:shd w:val="clear" w:color="auto" w:fill="E0E0E0"/>
          </w:tcPr>
          <w:p w14:paraId="5F388E93" w14:textId="77777777" w:rsidR="005D2595" w:rsidRPr="0067507D" w:rsidRDefault="005D2595" w:rsidP="00FC3AF2">
            <w:pPr>
              <w:pStyle w:val="Tabletextrightbold"/>
            </w:pPr>
            <w:r w:rsidRPr="0067507D">
              <w:t xml:space="preserve">81 829 </w:t>
            </w:r>
          </w:p>
        </w:tc>
        <w:tc>
          <w:tcPr>
            <w:tcW w:w="1260" w:type="dxa"/>
          </w:tcPr>
          <w:p w14:paraId="17C2919E" w14:textId="77777777" w:rsidR="005D2595" w:rsidRPr="0067507D" w:rsidRDefault="005D2595" w:rsidP="00FC3AF2">
            <w:pPr>
              <w:pStyle w:val="Tabletextrightbold"/>
            </w:pPr>
            <w:r w:rsidRPr="0067507D">
              <w:t xml:space="preserve">75 173 </w:t>
            </w:r>
          </w:p>
        </w:tc>
      </w:tr>
    </w:tbl>
    <w:p w14:paraId="5DA08C11" w14:textId="77777777" w:rsidR="005D2595" w:rsidRPr="0067507D" w:rsidRDefault="005D2595" w:rsidP="005D2595">
      <w:pPr>
        <w:pStyle w:val="Notes"/>
      </w:pPr>
      <w:r w:rsidRPr="0067507D">
        <w:t>The above balance sheet should be read in conjunction with the notes to the financial statements.</w:t>
      </w:r>
    </w:p>
    <w:p w14:paraId="732A472F" w14:textId="77777777" w:rsidR="005D2595" w:rsidRPr="0067507D" w:rsidRDefault="005D2595" w:rsidP="005D2595">
      <w:bookmarkStart w:id="62" w:name="_Toc303670543"/>
      <w:bookmarkStart w:id="63" w:name="_Toc335740842"/>
      <w:r w:rsidRPr="0067507D">
        <w:br w:type="page"/>
      </w:r>
    </w:p>
    <w:p w14:paraId="37F9BC34" w14:textId="77777777" w:rsidR="005D2595" w:rsidRPr="0067507D" w:rsidRDefault="005D2595" w:rsidP="005D2595">
      <w:pPr>
        <w:pStyle w:val="HeadingFin"/>
      </w:pPr>
      <w:bookmarkStart w:id="64" w:name="_Toc210213990"/>
      <w:bookmarkStart w:id="65" w:name="_Toc210213937"/>
      <w:r w:rsidRPr="0067507D">
        <w:lastRenderedPageBreak/>
        <w:t>Statement of changes in equity</w:t>
      </w:r>
      <w:bookmarkEnd w:id="62"/>
      <w:bookmarkEnd w:id="63"/>
      <w:bookmarkEnd w:id="64"/>
      <w:bookmarkEnd w:id="65"/>
    </w:p>
    <w:p w14:paraId="02B5E08D" w14:textId="77777777" w:rsidR="005D2595" w:rsidRPr="0067507D" w:rsidRDefault="005D2595" w:rsidP="005D2595">
      <w:pPr>
        <w:pStyle w:val="Heading2"/>
        <w:spacing w:before="0"/>
      </w:pPr>
      <w:r w:rsidRPr="0067507D">
        <w:t>for the financial year ended 30 June 2025</w:t>
      </w:r>
    </w:p>
    <w:tbl>
      <w:tblPr>
        <w:tblW w:w="0" w:type="auto"/>
        <w:tblLayout w:type="fixed"/>
        <w:tblLook w:val="01E0" w:firstRow="1" w:lastRow="1" w:firstColumn="1" w:lastColumn="1" w:noHBand="0" w:noVBand="0"/>
      </w:tblPr>
      <w:tblGrid>
        <w:gridCol w:w="4410"/>
        <w:gridCol w:w="810"/>
        <w:gridCol w:w="1350"/>
        <w:gridCol w:w="1350"/>
        <w:gridCol w:w="1116"/>
      </w:tblGrid>
      <w:tr w:rsidR="005D2595" w:rsidRPr="0067507D" w14:paraId="7513338D" w14:textId="77777777" w:rsidTr="00FC3AF2">
        <w:tc>
          <w:tcPr>
            <w:tcW w:w="4410" w:type="dxa"/>
          </w:tcPr>
          <w:p w14:paraId="1674238B" w14:textId="77777777" w:rsidR="005D2595" w:rsidRPr="0067507D" w:rsidRDefault="005D2595" w:rsidP="00FC3AF2">
            <w:pPr>
              <w:pStyle w:val="Tabletext"/>
            </w:pPr>
          </w:p>
        </w:tc>
        <w:tc>
          <w:tcPr>
            <w:tcW w:w="810" w:type="dxa"/>
          </w:tcPr>
          <w:p w14:paraId="00844652" w14:textId="77777777" w:rsidR="005D2595" w:rsidRPr="0067507D" w:rsidRDefault="005D2595" w:rsidP="00FC3AF2">
            <w:pPr>
              <w:pStyle w:val="Tabletextheadingcentred"/>
            </w:pPr>
          </w:p>
        </w:tc>
        <w:tc>
          <w:tcPr>
            <w:tcW w:w="1350" w:type="dxa"/>
            <w:vAlign w:val="bottom"/>
          </w:tcPr>
          <w:p w14:paraId="6D8A7275" w14:textId="77777777" w:rsidR="005D2595" w:rsidRPr="0067507D" w:rsidRDefault="005D2595" w:rsidP="00FC3AF2">
            <w:pPr>
              <w:pStyle w:val="Tabletextheadingright"/>
            </w:pPr>
            <w:r w:rsidRPr="0067507D">
              <w:t>Accumulated surplus</w:t>
            </w:r>
          </w:p>
        </w:tc>
        <w:tc>
          <w:tcPr>
            <w:tcW w:w="1350" w:type="dxa"/>
            <w:vAlign w:val="bottom"/>
          </w:tcPr>
          <w:p w14:paraId="7355D4F5" w14:textId="77777777" w:rsidR="005D2595" w:rsidRPr="0067507D" w:rsidRDefault="005D2595" w:rsidP="00FC3AF2">
            <w:pPr>
              <w:pStyle w:val="Tabletextheadingright"/>
            </w:pPr>
            <w:r w:rsidRPr="0067507D">
              <w:t>Contributed capital</w:t>
            </w:r>
          </w:p>
        </w:tc>
        <w:tc>
          <w:tcPr>
            <w:tcW w:w="1116" w:type="dxa"/>
            <w:vAlign w:val="bottom"/>
          </w:tcPr>
          <w:p w14:paraId="3ED7BA4F" w14:textId="77777777" w:rsidR="005D2595" w:rsidRPr="0067507D" w:rsidRDefault="005D2595" w:rsidP="00FC3AF2">
            <w:pPr>
              <w:pStyle w:val="Tabletextheadingright"/>
            </w:pPr>
            <w:r w:rsidRPr="0067507D">
              <w:t>Total</w:t>
            </w:r>
          </w:p>
        </w:tc>
      </w:tr>
      <w:tr w:rsidR="005D2595" w:rsidRPr="0067507D" w14:paraId="32CE87C6" w14:textId="77777777" w:rsidTr="00FC3AF2">
        <w:tc>
          <w:tcPr>
            <w:tcW w:w="4410" w:type="dxa"/>
          </w:tcPr>
          <w:p w14:paraId="7CAD93AB" w14:textId="77777777" w:rsidR="005D2595" w:rsidRPr="0067507D" w:rsidRDefault="005D2595" w:rsidP="00FC3AF2">
            <w:pPr>
              <w:pStyle w:val="Tabletext"/>
            </w:pPr>
          </w:p>
        </w:tc>
        <w:tc>
          <w:tcPr>
            <w:tcW w:w="810" w:type="dxa"/>
          </w:tcPr>
          <w:p w14:paraId="2A06F33F" w14:textId="77777777" w:rsidR="005D2595" w:rsidRPr="0067507D" w:rsidRDefault="005D2595" w:rsidP="00FC3AF2">
            <w:pPr>
              <w:pStyle w:val="Tabletextheadingcentred"/>
            </w:pPr>
            <w:r w:rsidRPr="0067507D">
              <w:t>Notes</w:t>
            </w:r>
          </w:p>
        </w:tc>
        <w:tc>
          <w:tcPr>
            <w:tcW w:w="1350" w:type="dxa"/>
          </w:tcPr>
          <w:p w14:paraId="67AE6F8E" w14:textId="77777777" w:rsidR="005D2595" w:rsidRPr="0067507D" w:rsidRDefault="005D2595" w:rsidP="00FC3AF2">
            <w:pPr>
              <w:pStyle w:val="Tabletextheadingright"/>
            </w:pPr>
            <w:r w:rsidRPr="0067507D">
              <w:t>$’000</w:t>
            </w:r>
          </w:p>
        </w:tc>
        <w:tc>
          <w:tcPr>
            <w:tcW w:w="1350" w:type="dxa"/>
          </w:tcPr>
          <w:p w14:paraId="29FA9937" w14:textId="77777777" w:rsidR="005D2595" w:rsidRPr="0067507D" w:rsidRDefault="005D2595" w:rsidP="00FC3AF2">
            <w:pPr>
              <w:pStyle w:val="Tabletextheadingright"/>
            </w:pPr>
            <w:r w:rsidRPr="0067507D">
              <w:t>$’000</w:t>
            </w:r>
          </w:p>
        </w:tc>
        <w:tc>
          <w:tcPr>
            <w:tcW w:w="1116" w:type="dxa"/>
          </w:tcPr>
          <w:p w14:paraId="0DD4ABC6" w14:textId="77777777" w:rsidR="005D2595" w:rsidRPr="0067507D" w:rsidRDefault="005D2595" w:rsidP="00FC3AF2">
            <w:pPr>
              <w:pStyle w:val="Tabletextheadingright"/>
            </w:pPr>
            <w:r w:rsidRPr="0067507D">
              <w:t>$’000</w:t>
            </w:r>
          </w:p>
        </w:tc>
      </w:tr>
      <w:tr w:rsidR="005D2595" w:rsidRPr="0067507D" w14:paraId="0DDBB3B6" w14:textId="77777777" w:rsidTr="00FC3AF2">
        <w:tc>
          <w:tcPr>
            <w:tcW w:w="4410" w:type="dxa"/>
          </w:tcPr>
          <w:p w14:paraId="383B7D4A" w14:textId="77777777" w:rsidR="005D2595" w:rsidRPr="0067507D" w:rsidRDefault="005D2595" w:rsidP="00FC3AF2">
            <w:pPr>
              <w:pStyle w:val="Tabletextbold"/>
            </w:pPr>
            <w:r w:rsidRPr="0067507D">
              <w:t>Balance at 1 July 2023</w:t>
            </w:r>
          </w:p>
        </w:tc>
        <w:tc>
          <w:tcPr>
            <w:tcW w:w="810" w:type="dxa"/>
          </w:tcPr>
          <w:p w14:paraId="5D4248DD" w14:textId="77777777" w:rsidR="005D2595" w:rsidRPr="0067507D" w:rsidRDefault="005D2595" w:rsidP="00FC3AF2">
            <w:pPr>
              <w:pStyle w:val="Tabletextcentred"/>
            </w:pPr>
          </w:p>
        </w:tc>
        <w:tc>
          <w:tcPr>
            <w:tcW w:w="1350" w:type="dxa"/>
            <w:shd w:val="clear" w:color="auto" w:fill="E0E0E0"/>
          </w:tcPr>
          <w:p w14:paraId="52F21CFA" w14:textId="77777777" w:rsidR="005D2595" w:rsidRPr="0067507D" w:rsidRDefault="005D2595" w:rsidP="00FC3AF2">
            <w:pPr>
              <w:pStyle w:val="Tabletextrightbold"/>
            </w:pPr>
            <w:r w:rsidRPr="0067507D">
              <w:t xml:space="preserve">52 742 </w:t>
            </w:r>
          </w:p>
        </w:tc>
        <w:tc>
          <w:tcPr>
            <w:tcW w:w="1350" w:type="dxa"/>
            <w:shd w:val="clear" w:color="auto" w:fill="FFFFFF" w:themeFill="background1"/>
          </w:tcPr>
          <w:p w14:paraId="2D4E82BB" w14:textId="77777777" w:rsidR="005D2595" w:rsidRPr="0067507D" w:rsidRDefault="005D2595" w:rsidP="00FC3AF2">
            <w:pPr>
              <w:pStyle w:val="Tabletextrightbold"/>
            </w:pPr>
            <w:r w:rsidRPr="0067507D">
              <w:t xml:space="preserve">30 094 </w:t>
            </w:r>
          </w:p>
        </w:tc>
        <w:tc>
          <w:tcPr>
            <w:tcW w:w="1116" w:type="dxa"/>
            <w:shd w:val="clear" w:color="auto" w:fill="E0E0E0"/>
          </w:tcPr>
          <w:p w14:paraId="37FA0697" w14:textId="77777777" w:rsidR="005D2595" w:rsidRPr="0067507D" w:rsidRDefault="005D2595" w:rsidP="00FC3AF2">
            <w:pPr>
              <w:pStyle w:val="Tabletextrightbold"/>
            </w:pPr>
            <w:r w:rsidRPr="0067507D">
              <w:t xml:space="preserve">82 836 </w:t>
            </w:r>
          </w:p>
        </w:tc>
      </w:tr>
      <w:tr w:rsidR="005D2595" w:rsidRPr="0067507D" w14:paraId="28C13814" w14:textId="77777777" w:rsidTr="00FC3AF2">
        <w:tc>
          <w:tcPr>
            <w:tcW w:w="4410" w:type="dxa"/>
          </w:tcPr>
          <w:p w14:paraId="408A1353" w14:textId="77777777" w:rsidR="005D2595" w:rsidRPr="0067507D" w:rsidRDefault="005D2595" w:rsidP="00FC3AF2">
            <w:pPr>
              <w:pStyle w:val="Tabletext"/>
            </w:pPr>
            <w:r w:rsidRPr="0067507D">
              <w:t>Net result for year</w:t>
            </w:r>
          </w:p>
        </w:tc>
        <w:tc>
          <w:tcPr>
            <w:tcW w:w="810" w:type="dxa"/>
          </w:tcPr>
          <w:p w14:paraId="0C143890" w14:textId="77777777" w:rsidR="005D2595" w:rsidRPr="0067507D" w:rsidRDefault="005D2595" w:rsidP="00FC3AF2">
            <w:pPr>
              <w:pStyle w:val="Tabletextcentred"/>
            </w:pPr>
          </w:p>
        </w:tc>
        <w:tc>
          <w:tcPr>
            <w:tcW w:w="1350" w:type="dxa"/>
            <w:shd w:val="clear" w:color="auto" w:fill="E0E0E0"/>
          </w:tcPr>
          <w:p w14:paraId="7ECAA4E1" w14:textId="77777777" w:rsidR="005D2595" w:rsidRPr="0067507D" w:rsidRDefault="005D2595" w:rsidP="00FC3AF2">
            <w:pPr>
              <w:pStyle w:val="Tabletextright"/>
            </w:pPr>
            <w:r w:rsidRPr="0067507D">
              <w:t xml:space="preserve">961 </w:t>
            </w:r>
          </w:p>
        </w:tc>
        <w:tc>
          <w:tcPr>
            <w:tcW w:w="1350" w:type="dxa"/>
            <w:shd w:val="clear" w:color="auto" w:fill="FFFFFF" w:themeFill="background1"/>
          </w:tcPr>
          <w:p w14:paraId="3F245143" w14:textId="77777777" w:rsidR="005D2595" w:rsidRPr="0067507D" w:rsidRDefault="005D2595" w:rsidP="00FC3AF2">
            <w:pPr>
              <w:pStyle w:val="Tabletextright"/>
            </w:pPr>
            <w:r w:rsidRPr="0067507D">
              <w:t xml:space="preserve">– </w:t>
            </w:r>
          </w:p>
        </w:tc>
        <w:tc>
          <w:tcPr>
            <w:tcW w:w="1116" w:type="dxa"/>
            <w:shd w:val="clear" w:color="auto" w:fill="E0E0E0"/>
          </w:tcPr>
          <w:p w14:paraId="6F4E4530" w14:textId="77777777" w:rsidR="005D2595" w:rsidRPr="0067507D" w:rsidRDefault="005D2595" w:rsidP="00FC3AF2">
            <w:pPr>
              <w:pStyle w:val="Tabletextright"/>
            </w:pPr>
            <w:r w:rsidRPr="0067507D">
              <w:t xml:space="preserve"> 961 </w:t>
            </w:r>
          </w:p>
        </w:tc>
      </w:tr>
      <w:tr w:rsidR="005D2595" w:rsidRPr="0067507D" w14:paraId="426A7A4C" w14:textId="77777777" w:rsidTr="00FC3AF2">
        <w:tc>
          <w:tcPr>
            <w:tcW w:w="4410" w:type="dxa"/>
          </w:tcPr>
          <w:p w14:paraId="179111A3" w14:textId="77777777" w:rsidR="005D2595" w:rsidRPr="0067507D" w:rsidRDefault="005D2595" w:rsidP="00FC3AF2">
            <w:pPr>
              <w:pStyle w:val="Tabletext"/>
            </w:pPr>
            <w:r w:rsidRPr="0067507D">
              <w:t>Capital appropriations</w:t>
            </w:r>
          </w:p>
        </w:tc>
        <w:tc>
          <w:tcPr>
            <w:tcW w:w="810" w:type="dxa"/>
          </w:tcPr>
          <w:p w14:paraId="335E60CC" w14:textId="77777777" w:rsidR="005D2595" w:rsidRPr="0067507D" w:rsidRDefault="005D2595" w:rsidP="00FC3AF2">
            <w:pPr>
              <w:pStyle w:val="Tabletextcentred"/>
            </w:pPr>
            <w:r w:rsidRPr="0067507D">
              <w:t>2.2</w:t>
            </w:r>
          </w:p>
        </w:tc>
        <w:tc>
          <w:tcPr>
            <w:tcW w:w="1350" w:type="dxa"/>
            <w:shd w:val="clear" w:color="auto" w:fill="E0E0E0"/>
          </w:tcPr>
          <w:p w14:paraId="46B44FFF" w14:textId="77777777" w:rsidR="005D2595" w:rsidRPr="0067507D" w:rsidRDefault="005D2595" w:rsidP="00FC3AF2">
            <w:pPr>
              <w:pStyle w:val="Tabletextright"/>
            </w:pPr>
            <w:r w:rsidRPr="0067507D">
              <w:t>–</w:t>
            </w:r>
          </w:p>
        </w:tc>
        <w:tc>
          <w:tcPr>
            <w:tcW w:w="1350" w:type="dxa"/>
            <w:shd w:val="clear" w:color="auto" w:fill="FFFFFF" w:themeFill="background1"/>
          </w:tcPr>
          <w:p w14:paraId="0E6DB3F8" w14:textId="77777777" w:rsidR="005D2595" w:rsidRPr="0067507D" w:rsidRDefault="005D2595" w:rsidP="00FC3AF2">
            <w:pPr>
              <w:pStyle w:val="Tabletextright"/>
            </w:pPr>
            <w:r w:rsidRPr="0067507D">
              <w:t xml:space="preserve">1 974 </w:t>
            </w:r>
          </w:p>
        </w:tc>
        <w:tc>
          <w:tcPr>
            <w:tcW w:w="1116" w:type="dxa"/>
            <w:shd w:val="clear" w:color="auto" w:fill="E0E0E0"/>
          </w:tcPr>
          <w:p w14:paraId="219DEBC4" w14:textId="77777777" w:rsidR="005D2595" w:rsidRPr="0067507D" w:rsidRDefault="005D2595" w:rsidP="00FC3AF2">
            <w:pPr>
              <w:pStyle w:val="Tabletextright"/>
            </w:pPr>
            <w:r w:rsidRPr="0067507D">
              <w:t xml:space="preserve">1 974 </w:t>
            </w:r>
          </w:p>
        </w:tc>
      </w:tr>
      <w:tr w:rsidR="005D2595" w:rsidRPr="0067507D" w14:paraId="264DD401" w14:textId="77777777" w:rsidTr="00FC3AF2">
        <w:tc>
          <w:tcPr>
            <w:tcW w:w="4410" w:type="dxa"/>
          </w:tcPr>
          <w:p w14:paraId="09E28304" w14:textId="77777777" w:rsidR="005D2595" w:rsidRPr="0067507D" w:rsidRDefault="005D2595" w:rsidP="00FC3AF2">
            <w:pPr>
              <w:pStyle w:val="Tabletext"/>
              <w:rPr>
                <w:bCs/>
              </w:rPr>
            </w:pPr>
            <w:r w:rsidRPr="0067507D">
              <w:t>Capital contribution received from machinery of government changes</w:t>
            </w:r>
          </w:p>
        </w:tc>
        <w:tc>
          <w:tcPr>
            <w:tcW w:w="810" w:type="dxa"/>
          </w:tcPr>
          <w:p w14:paraId="51C8D5EB" w14:textId="77777777" w:rsidR="005D2595" w:rsidRPr="0067507D" w:rsidRDefault="005D2595" w:rsidP="00FC3AF2">
            <w:pPr>
              <w:pStyle w:val="Tabletextcentred"/>
            </w:pPr>
          </w:p>
        </w:tc>
        <w:tc>
          <w:tcPr>
            <w:tcW w:w="1350" w:type="dxa"/>
            <w:shd w:val="clear" w:color="auto" w:fill="E0E0E0"/>
          </w:tcPr>
          <w:p w14:paraId="20C36B52" w14:textId="77777777" w:rsidR="005D2595" w:rsidRPr="0067507D" w:rsidRDefault="005D2595" w:rsidP="00FC3AF2">
            <w:pPr>
              <w:pStyle w:val="Tabletextright"/>
            </w:pPr>
            <w:r w:rsidRPr="0067507D">
              <w:t>–</w:t>
            </w:r>
          </w:p>
        </w:tc>
        <w:tc>
          <w:tcPr>
            <w:tcW w:w="1350" w:type="dxa"/>
            <w:shd w:val="clear" w:color="auto" w:fill="FFFFFF" w:themeFill="background1"/>
          </w:tcPr>
          <w:p w14:paraId="03F8DF31" w14:textId="77777777" w:rsidR="005D2595" w:rsidRPr="0067507D" w:rsidRDefault="005D2595" w:rsidP="00FC3AF2">
            <w:pPr>
              <w:pStyle w:val="Tabletextright"/>
            </w:pPr>
            <w:r w:rsidRPr="0067507D">
              <w:t xml:space="preserve"> 105 </w:t>
            </w:r>
          </w:p>
        </w:tc>
        <w:tc>
          <w:tcPr>
            <w:tcW w:w="1116" w:type="dxa"/>
            <w:shd w:val="clear" w:color="auto" w:fill="E0E0E0"/>
          </w:tcPr>
          <w:p w14:paraId="7D970954" w14:textId="77777777" w:rsidR="005D2595" w:rsidRPr="0067507D" w:rsidRDefault="005D2595" w:rsidP="00FC3AF2">
            <w:pPr>
              <w:pStyle w:val="Tabletextright"/>
            </w:pPr>
            <w:r w:rsidRPr="0067507D">
              <w:t xml:space="preserve"> 105 </w:t>
            </w:r>
          </w:p>
        </w:tc>
      </w:tr>
      <w:tr w:rsidR="005D2595" w:rsidRPr="0067507D" w14:paraId="6D31AD4E" w14:textId="77777777" w:rsidTr="00FC3AF2">
        <w:tc>
          <w:tcPr>
            <w:tcW w:w="4410" w:type="dxa"/>
          </w:tcPr>
          <w:p w14:paraId="12CAE0D7" w14:textId="77777777" w:rsidR="005D2595" w:rsidRPr="0067507D" w:rsidRDefault="005D2595" w:rsidP="00FC3AF2">
            <w:pPr>
              <w:pStyle w:val="Tabletext"/>
            </w:pPr>
            <w:r w:rsidRPr="0067507D">
              <w:t xml:space="preserve">Capital contribution transferred to Department of Government Services </w:t>
            </w:r>
            <w:r w:rsidRPr="0067507D">
              <w:rPr>
                <w:vertAlign w:val="superscript"/>
              </w:rPr>
              <w:t>(a)</w:t>
            </w:r>
          </w:p>
        </w:tc>
        <w:tc>
          <w:tcPr>
            <w:tcW w:w="810" w:type="dxa"/>
          </w:tcPr>
          <w:p w14:paraId="0C204D9C" w14:textId="77777777" w:rsidR="005D2595" w:rsidRPr="0067507D" w:rsidRDefault="005D2595" w:rsidP="00FC3AF2">
            <w:pPr>
              <w:pStyle w:val="Tabletextcentred"/>
            </w:pPr>
          </w:p>
        </w:tc>
        <w:tc>
          <w:tcPr>
            <w:tcW w:w="1350" w:type="dxa"/>
            <w:shd w:val="clear" w:color="auto" w:fill="E0E0E0"/>
          </w:tcPr>
          <w:p w14:paraId="4E4E014F" w14:textId="77777777" w:rsidR="005D2595" w:rsidRPr="0067507D" w:rsidRDefault="005D2595" w:rsidP="00FC3AF2">
            <w:pPr>
              <w:pStyle w:val="Tabletextright"/>
            </w:pPr>
            <w:r w:rsidRPr="0067507D">
              <w:t>–</w:t>
            </w:r>
          </w:p>
        </w:tc>
        <w:tc>
          <w:tcPr>
            <w:tcW w:w="1350" w:type="dxa"/>
            <w:shd w:val="clear" w:color="auto" w:fill="FFFFFF" w:themeFill="background1"/>
          </w:tcPr>
          <w:p w14:paraId="219510EA" w14:textId="77777777" w:rsidR="005D2595" w:rsidRPr="0067507D" w:rsidRDefault="005D2595" w:rsidP="00FC3AF2">
            <w:pPr>
              <w:pStyle w:val="Tabletextright"/>
            </w:pPr>
            <w:r w:rsidRPr="0067507D">
              <w:t xml:space="preserve">(9 000) </w:t>
            </w:r>
          </w:p>
        </w:tc>
        <w:tc>
          <w:tcPr>
            <w:tcW w:w="1116" w:type="dxa"/>
            <w:shd w:val="clear" w:color="auto" w:fill="E0E0E0"/>
          </w:tcPr>
          <w:p w14:paraId="6EB692FC" w14:textId="77777777" w:rsidR="005D2595" w:rsidRPr="0067507D" w:rsidRDefault="005D2595" w:rsidP="00FC3AF2">
            <w:pPr>
              <w:pStyle w:val="Tabletextright"/>
            </w:pPr>
            <w:r w:rsidRPr="0067507D">
              <w:t xml:space="preserve">(9 000) </w:t>
            </w:r>
          </w:p>
        </w:tc>
      </w:tr>
      <w:tr w:rsidR="005D2595" w:rsidRPr="0067507D" w14:paraId="1AF07A4D" w14:textId="77777777" w:rsidTr="00FC3AF2">
        <w:tc>
          <w:tcPr>
            <w:tcW w:w="4410" w:type="dxa"/>
          </w:tcPr>
          <w:p w14:paraId="25D26892" w14:textId="77777777" w:rsidR="005D2595" w:rsidRPr="0067507D" w:rsidRDefault="005D2595" w:rsidP="00FC3AF2">
            <w:pPr>
              <w:pStyle w:val="Tabletext"/>
            </w:pPr>
            <w:r w:rsidRPr="0067507D">
              <w:t xml:space="preserve">Capital contribution transferred to Essential Services Commission </w:t>
            </w:r>
            <w:r w:rsidRPr="0067507D">
              <w:rPr>
                <w:vertAlign w:val="superscript"/>
              </w:rPr>
              <w:t>(a)</w:t>
            </w:r>
          </w:p>
        </w:tc>
        <w:tc>
          <w:tcPr>
            <w:tcW w:w="810" w:type="dxa"/>
          </w:tcPr>
          <w:p w14:paraId="14027DC9" w14:textId="77777777" w:rsidR="005D2595" w:rsidRPr="0067507D" w:rsidRDefault="005D2595" w:rsidP="00FC3AF2">
            <w:pPr>
              <w:pStyle w:val="Tabletextcentred"/>
            </w:pPr>
          </w:p>
        </w:tc>
        <w:tc>
          <w:tcPr>
            <w:tcW w:w="1350" w:type="dxa"/>
            <w:shd w:val="clear" w:color="auto" w:fill="E0E0E0"/>
          </w:tcPr>
          <w:p w14:paraId="3EA04C34" w14:textId="77777777" w:rsidR="005D2595" w:rsidRPr="0067507D" w:rsidRDefault="005D2595" w:rsidP="00FC3AF2">
            <w:pPr>
              <w:pStyle w:val="Tabletextright"/>
            </w:pPr>
            <w:r w:rsidRPr="0067507D">
              <w:t>–</w:t>
            </w:r>
          </w:p>
        </w:tc>
        <w:tc>
          <w:tcPr>
            <w:tcW w:w="1350" w:type="dxa"/>
            <w:shd w:val="clear" w:color="auto" w:fill="FFFFFF" w:themeFill="background1"/>
          </w:tcPr>
          <w:p w14:paraId="26984BF9" w14:textId="77777777" w:rsidR="005D2595" w:rsidRPr="0067507D" w:rsidRDefault="005D2595" w:rsidP="00FC3AF2">
            <w:pPr>
              <w:pStyle w:val="Tabletextright"/>
            </w:pPr>
            <w:r w:rsidRPr="0067507D">
              <w:t xml:space="preserve">(1 703) </w:t>
            </w:r>
          </w:p>
        </w:tc>
        <w:tc>
          <w:tcPr>
            <w:tcW w:w="1116" w:type="dxa"/>
            <w:shd w:val="clear" w:color="auto" w:fill="E0E0E0"/>
          </w:tcPr>
          <w:p w14:paraId="3BA74435" w14:textId="77777777" w:rsidR="005D2595" w:rsidRPr="0067507D" w:rsidRDefault="005D2595" w:rsidP="00FC3AF2">
            <w:pPr>
              <w:pStyle w:val="Tabletextright"/>
            </w:pPr>
            <w:r w:rsidRPr="0067507D">
              <w:t xml:space="preserve">(1 703) </w:t>
            </w:r>
          </w:p>
        </w:tc>
      </w:tr>
      <w:tr w:rsidR="005D2595" w:rsidRPr="0067507D" w14:paraId="16DAE7B5" w14:textId="77777777" w:rsidTr="00FC3AF2">
        <w:tc>
          <w:tcPr>
            <w:tcW w:w="4410" w:type="dxa"/>
          </w:tcPr>
          <w:p w14:paraId="169095AC" w14:textId="77777777" w:rsidR="005D2595" w:rsidRPr="0067507D" w:rsidRDefault="005D2595" w:rsidP="00FC3AF2">
            <w:pPr>
              <w:pStyle w:val="Tabletextbold"/>
              <w:rPr>
                <w:bCs/>
              </w:rPr>
            </w:pPr>
            <w:r w:rsidRPr="0067507D">
              <w:t>Balance at 30 June 2024</w:t>
            </w:r>
          </w:p>
        </w:tc>
        <w:tc>
          <w:tcPr>
            <w:tcW w:w="810" w:type="dxa"/>
          </w:tcPr>
          <w:p w14:paraId="43CA95B7" w14:textId="77777777" w:rsidR="005D2595" w:rsidRPr="0067507D" w:rsidRDefault="005D2595" w:rsidP="00FC3AF2">
            <w:pPr>
              <w:pStyle w:val="Tabletextcentred"/>
            </w:pPr>
          </w:p>
        </w:tc>
        <w:tc>
          <w:tcPr>
            <w:tcW w:w="1350" w:type="dxa"/>
            <w:shd w:val="clear" w:color="auto" w:fill="E0E0E0"/>
          </w:tcPr>
          <w:p w14:paraId="4DDE6A17" w14:textId="77777777" w:rsidR="005D2595" w:rsidRPr="0067507D" w:rsidRDefault="005D2595" w:rsidP="00FC3AF2">
            <w:pPr>
              <w:pStyle w:val="Tabletextrightbold"/>
            </w:pPr>
            <w:r w:rsidRPr="0067507D">
              <w:t xml:space="preserve">53 703 </w:t>
            </w:r>
          </w:p>
        </w:tc>
        <w:tc>
          <w:tcPr>
            <w:tcW w:w="1350" w:type="dxa"/>
            <w:shd w:val="clear" w:color="auto" w:fill="FFFFFF" w:themeFill="background1"/>
          </w:tcPr>
          <w:p w14:paraId="6898E1AC" w14:textId="77777777" w:rsidR="005D2595" w:rsidRPr="0067507D" w:rsidRDefault="005D2595" w:rsidP="00FC3AF2">
            <w:pPr>
              <w:pStyle w:val="Tabletextrightbold"/>
            </w:pPr>
            <w:r w:rsidRPr="0067507D">
              <w:t xml:space="preserve">21 470 </w:t>
            </w:r>
          </w:p>
        </w:tc>
        <w:tc>
          <w:tcPr>
            <w:tcW w:w="1116" w:type="dxa"/>
            <w:shd w:val="clear" w:color="auto" w:fill="E0E0E0"/>
          </w:tcPr>
          <w:p w14:paraId="4C168436" w14:textId="77777777" w:rsidR="005D2595" w:rsidRPr="0067507D" w:rsidRDefault="005D2595" w:rsidP="00FC3AF2">
            <w:pPr>
              <w:pStyle w:val="Tabletextrightbold"/>
            </w:pPr>
            <w:r w:rsidRPr="0067507D">
              <w:t xml:space="preserve">75 173 </w:t>
            </w:r>
          </w:p>
        </w:tc>
      </w:tr>
      <w:tr w:rsidR="005D2595" w:rsidRPr="0067507D" w14:paraId="1FDA054F" w14:textId="77777777" w:rsidTr="00FC3AF2">
        <w:tc>
          <w:tcPr>
            <w:tcW w:w="4410" w:type="dxa"/>
          </w:tcPr>
          <w:p w14:paraId="66F7C74B" w14:textId="77777777" w:rsidR="005D2595" w:rsidRPr="0067507D" w:rsidRDefault="005D2595" w:rsidP="00FC3AF2">
            <w:pPr>
              <w:pStyle w:val="Tabletext"/>
            </w:pPr>
          </w:p>
        </w:tc>
        <w:tc>
          <w:tcPr>
            <w:tcW w:w="810" w:type="dxa"/>
          </w:tcPr>
          <w:p w14:paraId="4AA57F75" w14:textId="77777777" w:rsidR="005D2595" w:rsidRPr="0067507D" w:rsidDel="001D1BB4" w:rsidRDefault="005D2595" w:rsidP="00FC3AF2">
            <w:pPr>
              <w:pStyle w:val="Tabletextcentred"/>
            </w:pPr>
          </w:p>
        </w:tc>
        <w:tc>
          <w:tcPr>
            <w:tcW w:w="1350" w:type="dxa"/>
            <w:shd w:val="clear" w:color="auto" w:fill="E0E0E0"/>
          </w:tcPr>
          <w:p w14:paraId="4A1784F8" w14:textId="77777777" w:rsidR="005D2595" w:rsidRPr="0067507D" w:rsidRDefault="005D2595" w:rsidP="00FC3AF2">
            <w:pPr>
              <w:pStyle w:val="Tabletextright"/>
            </w:pPr>
          </w:p>
        </w:tc>
        <w:tc>
          <w:tcPr>
            <w:tcW w:w="1350" w:type="dxa"/>
            <w:shd w:val="clear" w:color="auto" w:fill="FFFFFF" w:themeFill="background1"/>
          </w:tcPr>
          <w:p w14:paraId="0354F34B" w14:textId="77777777" w:rsidR="005D2595" w:rsidRPr="0067507D" w:rsidRDefault="005D2595" w:rsidP="00FC3AF2">
            <w:pPr>
              <w:pStyle w:val="Tabletextright"/>
            </w:pPr>
          </w:p>
        </w:tc>
        <w:tc>
          <w:tcPr>
            <w:tcW w:w="1116" w:type="dxa"/>
            <w:shd w:val="clear" w:color="auto" w:fill="E0E0E0"/>
          </w:tcPr>
          <w:p w14:paraId="6D062583" w14:textId="77777777" w:rsidR="005D2595" w:rsidRPr="0067507D" w:rsidRDefault="005D2595" w:rsidP="00FC3AF2">
            <w:pPr>
              <w:pStyle w:val="Tabletextright"/>
            </w:pPr>
          </w:p>
        </w:tc>
      </w:tr>
      <w:tr w:rsidR="005D2595" w:rsidRPr="0067507D" w14:paraId="46E5EE9F" w14:textId="77777777" w:rsidTr="00FC3AF2">
        <w:tc>
          <w:tcPr>
            <w:tcW w:w="4410" w:type="dxa"/>
          </w:tcPr>
          <w:p w14:paraId="0A0A75B4" w14:textId="77777777" w:rsidR="005D2595" w:rsidRPr="0067507D" w:rsidRDefault="005D2595" w:rsidP="00FC3AF2">
            <w:pPr>
              <w:pStyle w:val="Tabletextbold"/>
            </w:pPr>
            <w:r w:rsidRPr="0067507D">
              <w:t>Balance at 1 July 2024</w:t>
            </w:r>
          </w:p>
        </w:tc>
        <w:tc>
          <w:tcPr>
            <w:tcW w:w="810" w:type="dxa"/>
          </w:tcPr>
          <w:p w14:paraId="4E52313D" w14:textId="77777777" w:rsidR="005D2595" w:rsidRPr="0067507D" w:rsidRDefault="005D2595" w:rsidP="00FC3AF2">
            <w:pPr>
              <w:pStyle w:val="Tabletextcentred"/>
            </w:pPr>
          </w:p>
        </w:tc>
        <w:tc>
          <w:tcPr>
            <w:tcW w:w="1350" w:type="dxa"/>
            <w:shd w:val="clear" w:color="auto" w:fill="E0E0E0"/>
          </w:tcPr>
          <w:p w14:paraId="4237C980" w14:textId="77777777" w:rsidR="005D2595" w:rsidRPr="0067507D" w:rsidRDefault="005D2595" w:rsidP="00FC3AF2">
            <w:pPr>
              <w:pStyle w:val="Tabletextrightbold"/>
            </w:pPr>
            <w:r w:rsidRPr="0067507D">
              <w:t xml:space="preserve">53 703 </w:t>
            </w:r>
          </w:p>
        </w:tc>
        <w:tc>
          <w:tcPr>
            <w:tcW w:w="1350" w:type="dxa"/>
            <w:shd w:val="clear" w:color="auto" w:fill="FFFFFF" w:themeFill="background1"/>
          </w:tcPr>
          <w:p w14:paraId="713A1341" w14:textId="77777777" w:rsidR="005D2595" w:rsidRPr="0067507D" w:rsidDel="00940222" w:rsidRDefault="005D2595" w:rsidP="00FC3AF2">
            <w:pPr>
              <w:pStyle w:val="Tabletextrightbold"/>
            </w:pPr>
            <w:r w:rsidRPr="0067507D">
              <w:t xml:space="preserve">21 470 </w:t>
            </w:r>
          </w:p>
        </w:tc>
        <w:tc>
          <w:tcPr>
            <w:tcW w:w="1116" w:type="dxa"/>
            <w:shd w:val="clear" w:color="auto" w:fill="E0E0E0"/>
          </w:tcPr>
          <w:p w14:paraId="5C01AA0F" w14:textId="77777777" w:rsidR="005D2595" w:rsidRPr="0067507D" w:rsidDel="00940222" w:rsidRDefault="005D2595" w:rsidP="00FC3AF2">
            <w:pPr>
              <w:pStyle w:val="Tabletextrightbold"/>
            </w:pPr>
            <w:r w:rsidRPr="0067507D">
              <w:t xml:space="preserve">75 173 </w:t>
            </w:r>
          </w:p>
        </w:tc>
      </w:tr>
      <w:tr w:rsidR="005D2595" w:rsidRPr="0067507D" w14:paraId="4E198A86" w14:textId="77777777" w:rsidTr="00FC3AF2">
        <w:tc>
          <w:tcPr>
            <w:tcW w:w="4410" w:type="dxa"/>
          </w:tcPr>
          <w:p w14:paraId="7E00162F" w14:textId="77777777" w:rsidR="005D2595" w:rsidRPr="0067507D" w:rsidRDefault="005D2595" w:rsidP="00FC3AF2">
            <w:pPr>
              <w:pStyle w:val="Tabletext"/>
            </w:pPr>
            <w:r w:rsidRPr="0067507D">
              <w:t>Net result for year</w:t>
            </w:r>
          </w:p>
        </w:tc>
        <w:tc>
          <w:tcPr>
            <w:tcW w:w="810" w:type="dxa"/>
          </w:tcPr>
          <w:p w14:paraId="646013C4" w14:textId="77777777" w:rsidR="005D2595" w:rsidRPr="0067507D" w:rsidRDefault="005D2595" w:rsidP="00FC3AF2">
            <w:pPr>
              <w:pStyle w:val="Tabletextcentred"/>
            </w:pPr>
          </w:p>
        </w:tc>
        <w:tc>
          <w:tcPr>
            <w:tcW w:w="1350" w:type="dxa"/>
            <w:shd w:val="clear" w:color="auto" w:fill="E0E0E0"/>
          </w:tcPr>
          <w:p w14:paraId="54E3286F" w14:textId="77777777" w:rsidR="005D2595" w:rsidRPr="0067507D" w:rsidRDefault="005D2595" w:rsidP="00FC3AF2">
            <w:pPr>
              <w:pStyle w:val="Tabletextright"/>
            </w:pPr>
            <w:r w:rsidRPr="0067507D">
              <w:t xml:space="preserve">6 656 </w:t>
            </w:r>
          </w:p>
        </w:tc>
        <w:tc>
          <w:tcPr>
            <w:tcW w:w="1350" w:type="dxa"/>
            <w:shd w:val="clear" w:color="auto" w:fill="FFFFFF" w:themeFill="background1"/>
          </w:tcPr>
          <w:p w14:paraId="2993092F" w14:textId="77777777" w:rsidR="005D2595" w:rsidRPr="0067507D" w:rsidRDefault="005D2595" w:rsidP="00FC3AF2">
            <w:pPr>
              <w:pStyle w:val="Tabletextright"/>
            </w:pPr>
            <w:r w:rsidRPr="0067507D">
              <w:t>–</w:t>
            </w:r>
          </w:p>
        </w:tc>
        <w:tc>
          <w:tcPr>
            <w:tcW w:w="1116" w:type="dxa"/>
            <w:shd w:val="clear" w:color="auto" w:fill="E0E0E0"/>
          </w:tcPr>
          <w:p w14:paraId="08D42845" w14:textId="77777777" w:rsidR="005D2595" w:rsidRPr="0067507D" w:rsidRDefault="005D2595" w:rsidP="00FC3AF2">
            <w:pPr>
              <w:pStyle w:val="Tabletextright"/>
            </w:pPr>
            <w:r w:rsidRPr="0067507D">
              <w:t xml:space="preserve">6 656 </w:t>
            </w:r>
          </w:p>
        </w:tc>
      </w:tr>
      <w:tr w:rsidR="005D2595" w:rsidRPr="0067507D" w14:paraId="7634612E" w14:textId="77777777" w:rsidTr="00FC3AF2">
        <w:tc>
          <w:tcPr>
            <w:tcW w:w="4410" w:type="dxa"/>
          </w:tcPr>
          <w:p w14:paraId="44E41E01" w14:textId="77777777" w:rsidR="005D2595" w:rsidRPr="0067507D" w:rsidRDefault="005D2595" w:rsidP="00FC3AF2">
            <w:pPr>
              <w:pStyle w:val="Tabletext"/>
            </w:pPr>
            <w:r w:rsidRPr="0067507D">
              <w:t>Capital appropriations</w:t>
            </w:r>
          </w:p>
        </w:tc>
        <w:tc>
          <w:tcPr>
            <w:tcW w:w="810" w:type="dxa"/>
          </w:tcPr>
          <w:p w14:paraId="7E5FF8B5" w14:textId="77777777" w:rsidR="005D2595" w:rsidRPr="0067507D" w:rsidRDefault="005D2595" w:rsidP="00FC3AF2">
            <w:pPr>
              <w:pStyle w:val="Tabletextcentred"/>
            </w:pPr>
            <w:r w:rsidRPr="0067507D">
              <w:t>2.2</w:t>
            </w:r>
          </w:p>
        </w:tc>
        <w:tc>
          <w:tcPr>
            <w:tcW w:w="1350" w:type="dxa"/>
            <w:shd w:val="clear" w:color="auto" w:fill="E0E0E0"/>
          </w:tcPr>
          <w:p w14:paraId="42D52A9E" w14:textId="77777777" w:rsidR="005D2595" w:rsidRPr="0067507D" w:rsidRDefault="005D2595" w:rsidP="00FC3AF2">
            <w:pPr>
              <w:pStyle w:val="Tabletextright"/>
            </w:pPr>
            <w:r w:rsidRPr="0067507D">
              <w:t>–</w:t>
            </w:r>
          </w:p>
        </w:tc>
        <w:tc>
          <w:tcPr>
            <w:tcW w:w="1350" w:type="dxa"/>
            <w:shd w:val="clear" w:color="auto" w:fill="FFFFFF" w:themeFill="background1"/>
          </w:tcPr>
          <w:p w14:paraId="06D0DAC6" w14:textId="77777777" w:rsidR="005D2595" w:rsidRPr="0067507D" w:rsidRDefault="005D2595" w:rsidP="00FC3AF2">
            <w:pPr>
              <w:pStyle w:val="Tabletextright"/>
            </w:pPr>
            <w:r w:rsidRPr="0067507D">
              <w:t>–</w:t>
            </w:r>
          </w:p>
        </w:tc>
        <w:tc>
          <w:tcPr>
            <w:tcW w:w="1116" w:type="dxa"/>
            <w:shd w:val="clear" w:color="auto" w:fill="E0E0E0"/>
          </w:tcPr>
          <w:p w14:paraId="15659C93" w14:textId="77777777" w:rsidR="005D2595" w:rsidRPr="0067507D" w:rsidRDefault="005D2595" w:rsidP="00FC3AF2">
            <w:pPr>
              <w:pStyle w:val="Tabletextright"/>
            </w:pPr>
            <w:r w:rsidRPr="0067507D">
              <w:t>–</w:t>
            </w:r>
          </w:p>
        </w:tc>
      </w:tr>
      <w:tr w:rsidR="005D2595" w:rsidRPr="0067507D" w14:paraId="0C88672B" w14:textId="77777777" w:rsidTr="00FC3AF2">
        <w:tc>
          <w:tcPr>
            <w:tcW w:w="4410" w:type="dxa"/>
          </w:tcPr>
          <w:p w14:paraId="5281213D" w14:textId="77777777" w:rsidR="005D2595" w:rsidRPr="0067507D" w:rsidRDefault="005D2595" w:rsidP="00FC3AF2">
            <w:pPr>
              <w:pStyle w:val="Tabletextbold"/>
            </w:pPr>
            <w:r w:rsidRPr="0067507D">
              <w:t>Balance at 30 June 2025</w:t>
            </w:r>
          </w:p>
        </w:tc>
        <w:tc>
          <w:tcPr>
            <w:tcW w:w="810" w:type="dxa"/>
          </w:tcPr>
          <w:p w14:paraId="3EE500FE" w14:textId="77777777" w:rsidR="005D2595" w:rsidRPr="0067507D" w:rsidRDefault="005D2595" w:rsidP="00FC3AF2">
            <w:pPr>
              <w:pStyle w:val="Tabletextcentred"/>
            </w:pPr>
          </w:p>
        </w:tc>
        <w:tc>
          <w:tcPr>
            <w:tcW w:w="1350" w:type="dxa"/>
            <w:shd w:val="clear" w:color="auto" w:fill="E0E0E0"/>
          </w:tcPr>
          <w:p w14:paraId="7263F653" w14:textId="77777777" w:rsidR="005D2595" w:rsidRPr="0067507D" w:rsidRDefault="005D2595" w:rsidP="00FC3AF2">
            <w:pPr>
              <w:pStyle w:val="Tabletextrightbold"/>
            </w:pPr>
            <w:r w:rsidRPr="0067507D">
              <w:t xml:space="preserve">60 359 </w:t>
            </w:r>
          </w:p>
        </w:tc>
        <w:tc>
          <w:tcPr>
            <w:tcW w:w="1350" w:type="dxa"/>
            <w:shd w:val="clear" w:color="auto" w:fill="FFFFFF" w:themeFill="background1"/>
          </w:tcPr>
          <w:p w14:paraId="7FEDB720" w14:textId="77777777" w:rsidR="005D2595" w:rsidRPr="0067507D" w:rsidRDefault="005D2595" w:rsidP="00FC3AF2">
            <w:pPr>
              <w:pStyle w:val="Tabletextrightbold"/>
            </w:pPr>
            <w:r w:rsidRPr="0067507D">
              <w:t xml:space="preserve">21 470 </w:t>
            </w:r>
          </w:p>
        </w:tc>
        <w:tc>
          <w:tcPr>
            <w:tcW w:w="1116" w:type="dxa"/>
            <w:shd w:val="clear" w:color="auto" w:fill="E0E0E0"/>
          </w:tcPr>
          <w:p w14:paraId="5D9732E5" w14:textId="77777777" w:rsidR="005D2595" w:rsidRPr="0067507D" w:rsidRDefault="005D2595" w:rsidP="00FC3AF2">
            <w:pPr>
              <w:pStyle w:val="Tabletextrightbold"/>
            </w:pPr>
            <w:r w:rsidRPr="0067507D">
              <w:t xml:space="preserve">81 829 </w:t>
            </w:r>
          </w:p>
        </w:tc>
      </w:tr>
    </w:tbl>
    <w:p w14:paraId="67EA8647" w14:textId="77777777" w:rsidR="005D2595" w:rsidRPr="0067507D" w:rsidRDefault="005D2595" w:rsidP="005D2595">
      <w:pPr>
        <w:pStyle w:val="Notes"/>
      </w:pPr>
      <w:r w:rsidRPr="0067507D">
        <w:t>The above statement of changes in equity should be read in conjunction with the notes to the financial statements.</w:t>
      </w:r>
    </w:p>
    <w:p w14:paraId="2B2E51B2" w14:textId="77777777" w:rsidR="005D2595" w:rsidRPr="0067507D" w:rsidRDefault="005D2595" w:rsidP="005D2595">
      <w:pPr>
        <w:pStyle w:val="Notes"/>
      </w:pPr>
      <w:r w:rsidRPr="0067507D">
        <w:t xml:space="preserve">Note: </w:t>
      </w:r>
    </w:p>
    <w:p w14:paraId="2B00F5D4" w14:textId="501A4957" w:rsidR="005D2595" w:rsidRPr="0067507D" w:rsidRDefault="005D2595" w:rsidP="005D2595">
      <w:pPr>
        <w:pStyle w:val="Notes"/>
      </w:pPr>
      <w:r w:rsidRPr="0067507D">
        <w:t>(a) A portion of the Department's unallocated prior year surplus State Administration Unit (SAU) was transferred to the Department of Government Services and Essential Services Commission using contributed capital in accordance with FRD 119 in 2023</w:t>
      </w:r>
      <w:r w:rsidR="006A5485">
        <w:noBreakHyphen/>
      </w:r>
      <w:r w:rsidRPr="0067507D">
        <w:t>24.</w:t>
      </w:r>
    </w:p>
    <w:p w14:paraId="5EE38986" w14:textId="77777777" w:rsidR="005D2595" w:rsidRPr="0067507D" w:rsidRDefault="005D2595" w:rsidP="005D2595">
      <w:bookmarkStart w:id="66" w:name="_Toc303670544"/>
      <w:bookmarkStart w:id="67" w:name="_Toc335740843"/>
      <w:r w:rsidRPr="0067507D">
        <w:br w:type="page"/>
      </w:r>
    </w:p>
    <w:p w14:paraId="5A1FCCC5" w14:textId="77777777" w:rsidR="005D2595" w:rsidRPr="0067507D" w:rsidRDefault="005D2595" w:rsidP="005D2595">
      <w:pPr>
        <w:pStyle w:val="HeadingFin"/>
      </w:pPr>
      <w:bookmarkStart w:id="68" w:name="_Toc210213991"/>
      <w:bookmarkStart w:id="69" w:name="_Toc210213938"/>
      <w:bookmarkStart w:id="70" w:name="CashflowStatement"/>
      <w:r w:rsidRPr="0067507D">
        <w:lastRenderedPageBreak/>
        <w:t>Cash flow statement</w:t>
      </w:r>
      <w:bookmarkEnd w:id="66"/>
      <w:bookmarkEnd w:id="67"/>
      <w:bookmarkEnd w:id="68"/>
      <w:bookmarkEnd w:id="69"/>
    </w:p>
    <w:bookmarkEnd w:id="70"/>
    <w:p w14:paraId="10FF7B69" w14:textId="77777777" w:rsidR="005D2595" w:rsidRPr="0067507D" w:rsidRDefault="005D2595" w:rsidP="005D2595">
      <w:pPr>
        <w:pStyle w:val="Heading2"/>
        <w:spacing w:before="0"/>
      </w:pPr>
      <w:r w:rsidRPr="0067507D">
        <w:t>for the financial year ended 30 June 2025</w:t>
      </w:r>
    </w:p>
    <w:tbl>
      <w:tblPr>
        <w:tblW w:w="8118" w:type="dxa"/>
        <w:tblLayout w:type="fixed"/>
        <w:tblLook w:val="0000" w:firstRow="0" w:lastRow="0" w:firstColumn="0" w:lastColumn="0" w:noHBand="0" w:noVBand="0"/>
      </w:tblPr>
      <w:tblGrid>
        <w:gridCol w:w="4860"/>
        <w:gridCol w:w="810"/>
        <w:gridCol w:w="1224"/>
        <w:gridCol w:w="1224"/>
      </w:tblGrid>
      <w:tr w:rsidR="00C4517E" w:rsidRPr="0067507D" w14:paraId="0131944A" w14:textId="77777777" w:rsidTr="00C4517E">
        <w:tc>
          <w:tcPr>
            <w:tcW w:w="4860" w:type="dxa"/>
          </w:tcPr>
          <w:p w14:paraId="342E1674" w14:textId="77777777" w:rsidR="00C4517E" w:rsidRPr="0067507D" w:rsidRDefault="00C4517E" w:rsidP="00C4517E">
            <w:pPr>
              <w:pStyle w:val="Tabletext"/>
            </w:pPr>
          </w:p>
        </w:tc>
        <w:tc>
          <w:tcPr>
            <w:tcW w:w="810" w:type="dxa"/>
            <w:vAlign w:val="bottom"/>
          </w:tcPr>
          <w:p w14:paraId="67203987" w14:textId="4193639B" w:rsidR="00C4517E" w:rsidRPr="0067507D" w:rsidRDefault="00C4517E" w:rsidP="00C4517E">
            <w:pPr>
              <w:pStyle w:val="Tabletextheadingcentred"/>
            </w:pPr>
            <w:r w:rsidRPr="0067507D">
              <w:t>Notes</w:t>
            </w:r>
          </w:p>
        </w:tc>
        <w:tc>
          <w:tcPr>
            <w:tcW w:w="1224" w:type="dxa"/>
          </w:tcPr>
          <w:p w14:paraId="5A4BE4A1" w14:textId="6E803479" w:rsidR="00C4517E" w:rsidRPr="0067507D" w:rsidRDefault="00C4517E" w:rsidP="00C4517E">
            <w:pPr>
              <w:pStyle w:val="Tabletextheadingright"/>
            </w:pPr>
            <w:r w:rsidRPr="0067507D">
              <w:t>2025</w:t>
            </w:r>
            <w:r>
              <w:rPr>
                <w:szCs w:val="16"/>
              </w:rPr>
              <w:br/>
            </w:r>
            <w:r w:rsidRPr="0067507D">
              <w:t>$’000</w:t>
            </w:r>
          </w:p>
        </w:tc>
        <w:tc>
          <w:tcPr>
            <w:tcW w:w="1224" w:type="dxa"/>
          </w:tcPr>
          <w:p w14:paraId="2C8EE69B" w14:textId="47225FBF" w:rsidR="00C4517E" w:rsidRPr="0067507D" w:rsidRDefault="00C4517E" w:rsidP="00C4517E">
            <w:pPr>
              <w:pStyle w:val="Tabletextheadingright"/>
            </w:pPr>
            <w:r w:rsidRPr="0067507D">
              <w:t>2024</w:t>
            </w:r>
            <w:r>
              <w:rPr>
                <w:szCs w:val="16"/>
              </w:rPr>
              <w:br/>
            </w:r>
            <w:r w:rsidRPr="0067507D">
              <w:t>$’000</w:t>
            </w:r>
          </w:p>
        </w:tc>
      </w:tr>
      <w:tr w:rsidR="005D2595" w:rsidRPr="0067507D" w14:paraId="6FBBE585" w14:textId="77777777" w:rsidTr="00FC3AF2">
        <w:tc>
          <w:tcPr>
            <w:tcW w:w="4860" w:type="dxa"/>
          </w:tcPr>
          <w:p w14:paraId="29C5D068" w14:textId="77777777" w:rsidR="005D2595" w:rsidRPr="0067507D" w:rsidRDefault="005D2595" w:rsidP="00FC3AF2">
            <w:pPr>
              <w:pStyle w:val="Tabletextbold"/>
            </w:pPr>
            <w:r w:rsidRPr="0067507D">
              <w:t>Cash flows from operating activities</w:t>
            </w:r>
          </w:p>
        </w:tc>
        <w:tc>
          <w:tcPr>
            <w:tcW w:w="810" w:type="dxa"/>
          </w:tcPr>
          <w:p w14:paraId="24D8F535" w14:textId="77777777" w:rsidR="005D2595" w:rsidRPr="0067507D" w:rsidRDefault="005D2595" w:rsidP="00FC3AF2">
            <w:pPr>
              <w:pStyle w:val="Tabletextcentred"/>
            </w:pPr>
          </w:p>
        </w:tc>
        <w:tc>
          <w:tcPr>
            <w:tcW w:w="1224" w:type="dxa"/>
            <w:shd w:val="clear" w:color="auto" w:fill="E0E0E0"/>
          </w:tcPr>
          <w:p w14:paraId="3243BA69" w14:textId="77777777" w:rsidR="005D2595" w:rsidRPr="0067507D" w:rsidRDefault="005D2595" w:rsidP="00FC3AF2">
            <w:pPr>
              <w:pStyle w:val="Tabletextright"/>
            </w:pPr>
          </w:p>
        </w:tc>
        <w:tc>
          <w:tcPr>
            <w:tcW w:w="1224" w:type="dxa"/>
          </w:tcPr>
          <w:p w14:paraId="6B5324E9" w14:textId="77777777" w:rsidR="005D2595" w:rsidRPr="0067507D" w:rsidRDefault="005D2595" w:rsidP="00FC3AF2">
            <w:pPr>
              <w:pStyle w:val="Tabletextright"/>
            </w:pPr>
          </w:p>
        </w:tc>
      </w:tr>
      <w:tr w:rsidR="005D2595" w:rsidRPr="0067507D" w14:paraId="20F51119" w14:textId="77777777" w:rsidTr="00FC3AF2">
        <w:tc>
          <w:tcPr>
            <w:tcW w:w="4860" w:type="dxa"/>
          </w:tcPr>
          <w:p w14:paraId="1661084B" w14:textId="77777777" w:rsidR="005D2595" w:rsidRPr="0067507D" w:rsidRDefault="005D2595" w:rsidP="00FC3AF2">
            <w:pPr>
              <w:pStyle w:val="Tabletextsemibold"/>
            </w:pPr>
            <w:r w:rsidRPr="0067507D">
              <w:t>Receipts</w:t>
            </w:r>
          </w:p>
        </w:tc>
        <w:tc>
          <w:tcPr>
            <w:tcW w:w="810" w:type="dxa"/>
          </w:tcPr>
          <w:p w14:paraId="2387EB28" w14:textId="77777777" w:rsidR="005D2595" w:rsidRPr="0067507D" w:rsidRDefault="005D2595" w:rsidP="00FC3AF2">
            <w:pPr>
              <w:pStyle w:val="Tabletextcentred"/>
            </w:pPr>
          </w:p>
        </w:tc>
        <w:tc>
          <w:tcPr>
            <w:tcW w:w="1224" w:type="dxa"/>
            <w:shd w:val="clear" w:color="auto" w:fill="E0E0E0"/>
          </w:tcPr>
          <w:p w14:paraId="30552311" w14:textId="77777777" w:rsidR="005D2595" w:rsidRPr="0067507D" w:rsidRDefault="005D2595" w:rsidP="00FC3AF2">
            <w:pPr>
              <w:pStyle w:val="Tabletextright"/>
              <w:rPr>
                <w:bCs/>
              </w:rPr>
            </w:pPr>
          </w:p>
        </w:tc>
        <w:tc>
          <w:tcPr>
            <w:tcW w:w="1224" w:type="dxa"/>
          </w:tcPr>
          <w:p w14:paraId="4D2F0C3B" w14:textId="77777777" w:rsidR="005D2595" w:rsidRPr="0067507D" w:rsidRDefault="005D2595" w:rsidP="00FC3AF2">
            <w:pPr>
              <w:pStyle w:val="Tabletextright"/>
              <w:rPr>
                <w:bCs/>
              </w:rPr>
            </w:pPr>
          </w:p>
        </w:tc>
      </w:tr>
      <w:tr w:rsidR="005D2595" w:rsidRPr="0067507D" w14:paraId="0DEBFB0B" w14:textId="77777777" w:rsidTr="00FC3AF2">
        <w:tc>
          <w:tcPr>
            <w:tcW w:w="4860" w:type="dxa"/>
          </w:tcPr>
          <w:p w14:paraId="749DA181" w14:textId="77777777" w:rsidR="005D2595" w:rsidRPr="0067507D" w:rsidRDefault="005D2595" w:rsidP="00FC3AF2">
            <w:pPr>
              <w:pStyle w:val="Tabletext"/>
            </w:pPr>
            <w:r w:rsidRPr="0067507D">
              <w:t>Receipts from government</w:t>
            </w:r>
          </w:p>
        </w:tc>
        <w:tc>
          <w:tcPr>
            <w:tcW w:w="810" w:type="dxa"/>
          </w:tcPr>
          <w:p w14:paraId="5E49BF42" w14:textId="77777777" w:rsidR="005D2595" w:rsidRPr="0067507D" w:rsidRDefault="005D2595" w:rsidP="00FC3AF2">
            <w:pPr>
              <w:pStyle w:val="Tabletextcentred"/>
            </w:pPr>
          </w:p>
        </w:tc>
        <w:tc>
          <w:tcPr>
            <w:tcW w:w="1224" w:type="dxa"/>
            <w:shd w:val="clear" w:color="auto" w:fill="E0E0E0"/>
          </w:tcPr>
          <w:p w14:paraId="4E3B284F" w14:textId="77777777" w:rsidR="005D2595" w:rsidRPr="0067507D" w:rsidRDefault="005D2595" w:rsidP="00FC3AF2">
            <w:pPr>
              <w:pStyle w:val="Tabletextright"/>
              <w:rPr>
                <w:bCs/>
              </w:rPr>
            </w:pPr>
            <w:r w:rsidRPr="0067507D">
              <w:t xml:space="preserve">461 257 </w:t>
            </w:r>
          </w:p>
        </w:tc>
        <w:tc>
          <w:tcPr>
            <w:tcW w:w="1224" w:type="dxa"/>
          </w:tcPr>
          <w:p w14:paraId="4E8636AA" w14:textId="77777777" w:rsidR="005D2595" w:rsidRPr="0067507D" w:rsidRDefault="005D2595" w:rsidP="00FC3AF2">
            <w:pPr>
              <w:pStyle w:val="Tabletextright"/>
              <w:rPr>
                <w:bCs/>
              </w:rPr>
            </w:pPr>
            <w:r w:rsidRPr="0067507D">
              <w:t xml:space="preserve">363 106 </w:t>
            </w:r>
          </w:p>
        </w:tc>
      </w:tr>
      <w:tr w:rsidR="005D2595" w:rsidRPr="0067507D" w14:paraId="378FA99A" w14:textId="77777777" w:rsidTr="00FC3AF2">
        <w:tc>
          <w:tcPr>
            <w:tcW w:w="4860" w:type="dxa"/>
          </w:tcPr>
          <w:p w14:paraId="310A7BF6" w14:textId="77777777" w:rsidR="005D2595" w:rsidRPr="0067507D" w:rsidRDefault="005D2595" w:rsidP="00FC3AF2">
            <w:pPr>
              <w:pStyle w:val="Tabletext"/>
            </w:pPr>
            <w:r w:rsidRPr="0067507D">
              <w:t>Receipts from other entities</w:t>
            </w:r>
          </w:p>
        </w:tc>
        <w:tc>
          <w:tcPr>
            <w:tcW w:w="810" w:type="dxa"/>
          </w:tcPr>
          <w:p w14:paraId="7A425139" w14:textId="77777777" w:rsidR="005D2595" w:rsidRPr="0067507D" w:rsidRDefault="005D2595" w:rsidP="00FC3AF2">
            <w:pPr>
              <w:pStyle w:val="Tabletextcentred"/>
            </w:pPr>
          </w:p>
        </w:tc>
        <w:tc>
          <w:tcPr>
            <w:tcW w:w="1224" w:type="dxa"/>
            <w:shd w:val="clear" w:color="auto" w:fill="E0E0E0"/>
          </w:tcPr>
          <w:p w14:paraId="5D32F523" w14:textId="77777777" w:rsidR="005D2595" w:rsidRPr="0067507D" w:rsidRDefault="005D2595" w:rsidP="00FC3AF2">
            <w:pPr>
              <w:pStyle w:val="Tabletextright"/>
              <w:rPr>
                <w:bCs/>
              </w:rPr>
            </w:pPr>
            <w:r w:rsidRPr="0067507D">
              <w:t xml:space="preserve">9 742 </w:t>
            </w:r>
          </w:p>
        </w:tc>
        <w:tc>
          <w:tcPr>
            <w:tcW w:w="1224" w:type="dxa"/>
          </w:tcPr>
          <w:p w14:paraId="06F31C41" w14:textId="77777777" w:rsidR="005D2595" w:rsidRPr="0067507D" w:rsidRDefault="005D2595" w:rsidP="00FC3AF2">
            <w:pPr>
              <w:pStyle w:val="Tabletextright"/>
              <w:rPr>
                <w:bCs/>
              </w:rPr>
            </w:pPr>
            <w:r w:rsidRPr="0067507D">
              <w:t xml:space="preserve">10 723 </w:t>
            </w:r>
          </w:p>
        </w:tc>
      </w:tr>
      <w:tr w:rsidR="005D2595" w:rsidRPr="0067507D" w14:paraId="1C04ECAD" w14:textId="77777777" w:rsidTr="00FC3AF2">
        <w:trPr>
          <w:trHeight w:val="230"/>
        </w:trPr>
        <w:tc>
          <w:tcPr>
            <w:tcW w:w="4860" w:type="dxa"/>
          </w:tcPr>
          <w:p w14:paraId="1D6A576F" w14:textId="77777777" w:rsidR="005D2595" w:rsidRPr="0067507D" w:rsidRDefault="005D2595" w:rsidP="00FC3AF2">
            <w:pPr>
              <w:pStyle w:val="Tabletext"/>
              <w:rPr>
                <w:vertAlign w:val="superscript"/>
              </w:rPr>
            </w:pPr>
            <w:r w:rsidRPr="0067507D">
              <w:t xml:space="preserve">Goods and services tax recovered from Australian Tax Office </w:t>
            </w:r>
            <w:r w:rsidRPr="0067507D">
              <w:rPr>
                <w:vertAlign w:val="superscript"/>
              </w:rPr>
              <w:t>(a)</w:t>
            </w:r>
          </w:p>
        </w:tc>
        <w:tc>
          <w:tcPr>
            <w:tcW w:w="810" w:type="dxa"/>
          </w:tcPr>
          <w:p w14:paraId="13A8F2AD" w14:textId="77777777" w:rsidR="005D2595" w:rsidRPr="0067507D" w:rsidRDefault="005D2595" w:rsidP="00FC3AF2">
            <w:pPr>
              <w:pStyle w:val="Tabletextcentred"/>
            </w:pPr>
          </w:p>
        </w:tc>
        <w:tc>
          <w:tcPr>
            <w:tcW w:w="1224" w:type="dxa"/>
            <w:shd w:val="clear" w:color="auto" w:fill="E0E0E0"/>
          </w:tcPr>
          <w:p w14:paraId="537296E9" w14:textId="77777777" w:rsidR="005D2595" w:rsidRPr="0067507D" w:rsidRDefault="005D2595" w:rsidP="00FC3AF2">
            <w:pPr>
              <w:pStyle w:val="Tabletextright"/>
            </w:pPr>
            <w:r w:rsidRPr="0067507D">
              <w:t xml:space="preserve"> 232 </w:t>
            </w:r>
          </w:p>
        </w:tc>
        <w:tc>
          <w:tcPr>
            <w:tcW w:w="1224" w:type="dxa"/>
          </w:tcPr>
          <w:p w14:paraId="6E144E18" w14:textId="77777777" w:rsidR="005D2595" w:rsidRPr="0067507D" w:rsidRDefault="005D2595" w:rsidP="00FC3AF2">
            <w:pPr>
              <w:pStyle w:val="Tabletextright"/>
            </w:pPr>
            <w:r w:rsidRPr="0067507D">
              <w:t xml:space="preserve">9 938 </w:t>
            </w:r>
          </w:p>
        </w:tc>
      </w:tr>
      <w:tr w:rsidR="005D2595" w:rsidRPr="0067507D" w14:paraId="48725589" w14:textId="77777777" w:rsidTr="00FC3AF2">
        <w:tc>
          <w:tcPr>
            <w:tcW w:w="4860" w:type="dxa"/>
          </w:tcPr>
          <w:p w14:paraId="03F8695D" w14:textId="77777777" w:rsidR="005D2595" w:rsidRPr="0067507D" w:rsidRDefault="005D2595" w:rsidP="00FC3AF2">
            <w:pPr>
              <w:pStyle w:val="Tabletextbold"/>
            </w:pPr>
            <w:r w:rsidRPr="0067507D">
              <w:t>Total receipts</w:t>
            </w:r>
          </w:p>
        </w:tc>
        <w:tc>
          <w:tcPr>
            <w:tcW w:w="810" w:type="dxa"/>
          </w:tcPr>
          <w:p w14:paraId="6BEED752" w14:textId="77777777" w:rsidR="005D2595" w:rsidRPr="0067507D" w:rsidRDefault="005D2595" w:rsidP="00FC3AF2">
            <w:pPr>
              <w:pStyle w:val="Tabletextcentred"/>
            </w:pPr>
          </w:p>
        </w:tc>
        <w:tc>
          <w:tcPr>
            <w:tcW w:w="1224" w:type="dxa"/>
            <w:shd w:val="clear" w:color="auto" w:fill="E0E0E0"/>
          </w:tcPr>
          <w:p w14:paraId="44C74A04" w14:textId="77777777" w:rsidR="005D2595" w:rsidRPr="0067507D" w:rsidRDefault="005D2595" w:rsidP="00FC3AF2">
            <w:pPr>
              <w:pStyle w:val="Tabletextrightbold"/>
            </w:pPr>
            <w:r w:rsidRPr="0067507D">
              <w:t xml:space="preserve">471 231 </w:t>
            </w:r>
          </w:p>
        </w:tc>
        <w:tc>
          <w:tcPr>
            <w:tcW w:w="1224" w:type="dxa"/>
          </w:tcPr>
          <w:p w14:paraId="2C6F6494" w14:textId="77777777" w:rsidR="005D2595" w:rsidRPr="0067507D" w:rsidRDefault="005D2595" w:rsidP="00FC3AF2">
            <w:pPr>
              <w:pStyle w:val="Tabletextrightbold"/>
            </w:pPr>
            <w:r w:rsidRPr="0067507D">
              <w:t xml:space="preserve">383 767 </w:t>
            </w:r>
          </w:p>
        </w:tc>
      </w:tr>
      <w:tr w:rsidR="005D2595" w:rsidRPr="0067507D" w14:paraId="207F6C15" w14:textId="77777777" w:rsidTr="00FC3AF2">
        <w:tc>
          <w:tcPr>
            <w:tcW w:w="4860" w:type="dxa"/>
          </w:tcPr>
          <w:p w14:paraId="65484574" w14:textId="77777777" w:rsidR="005D2595" w:rsidRPr="0067507D" w:rsidRDefault="005D2595" w:rsidP="00FC3AF2">
            <w:pPr>
              <w:pStyle w:val="Tabletext"/>
            </w:pPr>
          </w:p>
        </w:tc>
        <w:tc>
          <w:tcPr>
            <w:tcW w:w="810" w:type="dxa"/>
          </w:tcPr>
          <w:p w14:paraId="209D676E" w14:textId="77777777" w:rsidR="005D2595" w:rsidRPr="0067507D" w:rsidRDefault="005D2595" w:rsidP="00FC3AF2">
            <w:pPr>
              <w:pStyle w:val="Tabletextcentred"/>
            </w:pPr>
          </w:p>
        </w:tc>
        <w:tc>
          <w:tcPr>
            <w:tcW w:w="1224" w:type="dxa"/>
            <w:shd w:val="clear" w:color="auto" w:fill="E0E0E0"/>
          </w:tcPr>
          <w:p w14:paraId="5195BD34" w14:textId="77777777" w:rsidR="005D2595" w:rsidRPr="0067507D" w:rsidRDefault="005D2595" w:rsidP="00FC3AF2">
            <w:pPr>
              <w:pStyle w:val="Tabletextright"/>
              <w:rPr>
                <w:bCs/>
              </w:rPr>
            </w:pPr>
          </w:p>
        </w:tc>
        <w:tc>
          <w:tcPr>
            <w:tcW w:w="1224" w:type="dxa"/>
          </w:tcPr>
          <w:p w14:paraId="78885059" w14:textId="77777777" w:rsidR="005D2595" w:rsidRPr="0067507D" w:rsidRDefault="005D2595" w:rsidP="00FC3AF2">
            <w:pPr>
              <w:pStyle w:val="Tabletextright"/>
              <w:rPr>
                <w:bCs/>
              </w:rPr>
            </w:pPr>
          </w:p>
        </w:tc>
      </w:tr>
      <w:tr w:rsidR="005D2595" w:rsidRPr="0067507D" w14:paraId="70EB8C26" w14:textId="77777777" w:rsidTr="00FC3AF2">
        <w:tc>
          <w:tcPr>
            <w:tcW w:w="4860" w:type="dxa"/>
          </w:tcPr>
          <w:p w14:paraId="53621DF2" w14:textId="77777777" w:rsidR="005D2595" w:rsidRPr="0067507D" w:rsidRDefault="005D2595" w:rsidP="00FC3AF2">
            <w:pPr>
              <w:pStyle w:val="Tabletextsemibold"/>
            </w:pPr>
            <w:r w:rsidRPr="0067507D">
              <w:t>Payments</w:t>
            </w:r>
          </w:p>
        </w:tc>
        <w:tc>
          <w:tcPr>
            <w:tcW w:w="810" w:type="dxa"/>
          </w:tcPr>
          <w:p w14:paraId="7623AF38" w14:textId="77777777" w:rsidR="005D2595" w:rsidRPr="0067507D" w:rsidRDefault="005D2595" w:rsidP="00FC3AF2">
            <w:pPr>
              <w:pStyle w:val="Tabletextcentred"/>
            </w:pPr>
          </w:p>
        </w:tc>
        <w:tc>
          <w:tcPr>
            <w:tcW w:w="1224" w:type="dxa"/>
            <w:shd w:val="clear" w:color="auto" w:fill="E0E0E0"/>
          </w:tcPr>
          <w:p w14:paraId="5205DD2C" w14:textId="77777777" w:rsidR="005D2595" w:rsidRPr="0067507D" w:rsidRDefault="005D2595" w:rsidP="00FC3AF2">
            <w:pPr>
              <w:pStyle w:val="Tabletextright"/>
              <w:rPr>
                <w:bCs/>
              </w:rPr>
            </w:pPr>
          </w:p>
        </w:tc>
        <w:tc>
          <w:tcPr>
            <w:tcW w:w="1224" w:type="dxa"/>
          </w:tcPr>
          <w:p w14:paraId="4602B521" w14:textId="77777777" w:rsidR="005D2595" w:rsidRPr="0067507D" w:rsidRDefault="005D2595" w:rsidP="00FC3AF2">
            <w:pPr>
              <w:pStyle w:val="Tabletextright"/>
              <w:rPr>
                <w:bCs/>
              </w:rPr>
            </w:pPr>
          </w:p>
        </w:tc>
      </w:tr>
      <w:tr w:rsidR="005D2595" w:rsidRPr="0067507D" w14:paraId="66A4FB63" w14:textId="77777777" w:rsidTr="00FC3AF2">
        <w:tc>
          <w:tcPr>
            <w:tcW w:w="4860" w:type="dxa"/>
          </w:tcPr>
          <w:p w14:paraId="176C93DB" w14:textId="77777777" w:rsidR="005D2595" w:rsidRPr="0067507D" w:rsidRDefault="005D2595" w:rsidP="00FC3AF2">
            <w:pPr>
              <w:pStyle w:val="Tabletext"/>
            </w:pPr>
            <w:r w:rsidRPr="0067507D">
              <w:t xml:space="preserve">Payments to suppliers and employees </w:t>
            </w:r>
          </w:p>
        </w:tc>
        <w:tc>
          <w:tcPr>
            <w:tcW w:w="810" w:type="dxa"/>
          </w:tcPr>
          <w:p w14:paraId="3B70EA63" w14:textId="77777777" w:rsidR="005D2595" w:rsidRPr="0067507D" w:rsidRDefault="005D2595" w:rsidP="00FC3AF2">
            <w:pPr>
              <w:pStyle w:val="Tabletextcentred"/>
            </w:pPr>
          </w:p>
        </w:tc>
        <w:tc>
          <w:tcPr>
            <w:tcW w:w="1224" w:type="dxa"/>
            <w:shd w:val="clear" w:color="auto" w:fill="E0E0E0"/>
          </w:tcPr>
          <w:p w14:paraId="75DCA9C9" w14:textId="77777777" w:rsidR="005D2595" w:rsidRPr="0067507D" w:rsidRDefault="005D2595" w:rsidP="00FC3AF2">
            <w:pPr>
              <w:pStyle w:val="Tabletextright"/>
              <w:rPr>
                <w:bCs/>
              </w:rPr>
            </w:pPr>
            <w:r w:rsidRPr="0067507D">
              <w:t xml:space="preserve">(424 303) </w:t>
            </w:r>
          </w:p>
        </w:tc>
        <w:tc>
          <w:tcPr>
            <w:tcW w:w="1224" w:type="dxa"/>
          </w:tcPr>
          <w:p w14:paraId="2D6A6B59" w14:textId="77777777" w:rsidR="005D2595" w:rsidRPr="0067507D" w:rsidRDefault="005D2595" w:rsidP="00FC3AF2">
            <w:pPr>
              <w:pStyle w:val="Tabletextright"/>
              <w:rPr>
                <w:bCs/>
              </w:rPr>
            </w:pPr>
            <w:r w:rsidRPr="0067507D">
              <w:t xml:space="preserve">(329 984) </w:t>
            </w:r>
          </w:p>
        </w:tc>
      </w:tr>
      <w:tr w:rsidR="005D2595" w:rsidRPr="0067507D" w14:paraId="6DC25183" w14:textId="77777777" w:rsidTr="00FC3AF2">
        <w:tc>
          <w:tcPr>
            <w:tcW w:w="4860" w:type="dxa"/>
          </w:tcPr>
          <w:p w14:paraId="624CFECC" w14:textId="77777777" w:rsidR="005D2595" w:rsidRPr="0067507D" w:rsidRDefault="005D2595" w:rsidP="00FC3AF2">
            <w:pPr>
              <w:pStyle w:val="Tabletext"/>
            </w:pPr>
            <w:r w:rsidRPr="0067507D">
              <w:t xml:space="preserve">Payments of grant expenses </w:t>
            </w:r>
          </w:p>
        </w:tc>
        <w:tc>
          <w:tcPr>
            <w:tcW w:w="810" w:type="dxa"/>
          </w:tcPr>
          <w:p w14:paraId="3ED7BF49" w14:textId="77777777" w:rsidR="005D2595" w:rsidRPr="0067507D" w:rsidRDefault="005D2595" w:rsidP="00FC3AF2">
            <w:pPr>
              <w:pStyle w:val="Tabletextcentred"/>
            </w:pPr>
          </w:p>
        </w:tc>
        <w:tc>
          <w:tcPr>
            <w:tcW w:w="1224" w:type="dxa"/>
            <w:shd w:val="clear" w:color="auto" w:fill="E0E0E0"/>
          </w:tcPr>
          <w:p w14:paraId="75D231ED" w14:textId="77777777" w:rsidR="005D2595" w:rsidRPr="0067507D" w:rsidRDefault="005D2595" w:rsidP="00FC3AF2">
            <w:pPr>
              <w:pStyle w:val="Tabletextright"/>
            </w:pPr>
            <w:r w:rsidRPr="0067507D">
              <w:t xml:space="preserve">(39 910) </w:t>
            </w:r>
          </w:p>
        </w:tc>
        <w:tc>
          <w:tcPr>
            <w:tcW w:w="1224" w:type="dxa"/>
          </w:tcPr>
          <w:p w14:paraId="1BD24C35" w14:textId="77777777" w:rsidR="005D2595" w:rsidRPr="0067507D" w:rsidRDefault="005D2595" w:rsidP="00FC3AF2">
            <w:pPr>
              <w:pStyle w:val="Tabletextright"/>
            </w:pPr>
            <w:r w:rsidRPr="0067507D">
              <w:t xml:space="preserve">(32 762) </w:t>
            </w:r>
          </w:p>
        </w:tc>
      </w:tr>
      <w:tr w:rsidR="005D2595" w:rsidRPr="0067507D" w14:paraId="7BE86192" w14:textId="77777777" w:rsidTr="00FC3AF2">
        <w:tc>
          <w:tcPr>
            <w:tcW w:w="4860" w:type="dxa"/>
          </w:tcPr>
          <w:p w14:paraId="52BDFAA3" w14:textId="77777777" w:rsidR="005D2595" w:rsidRPr="0067507D" w:rsidRDefault="005D2595" w:rsidP="00FC3AF2">
            <w:pPr>
              <w:pStyle w:val="Tabletext"/>
            </w:pPr>
            <w:r w:rsidRPr="0067507D">
              <w:t>Interest and other costs of finance paid</w:t>
            </w:r>
          </w:p>
        </w:tc>
        <w:tc>
          <w:tcPr>
            <w:tcW w:w="810" w:type="dxa"/>
          </w:tcPr>
          <w:p w14:paraId="5D45165B" w14:textId="77777777" w:rsidR="005D2595" w:rsidRPr="0067507D" w:rsidRDefault="005D2595" w:rsidP="00FC3AF2">
            <w:pPr>
              <w:pStyle w:val="Tabletextcentred"/>
            </w:pPr>
          </w:p>
        </w:tc>
        <w:tc>
          <w:tcPr>
            <w:tcW w:w="1224" w:type="dxa"/>
            <w:shd w:val="clear" w:color="auto" w:fill="E0E0E0"/>
          </w:tcPr>
          <w:p w14:paraId="3E77846A" w14:textId="77777777" w:rsidR="005D2595" w:rsidRPr="0067507D" w:rsidRDefault="005D2595" w:rsidP="00FC3AF2">
            <w:pPr>
              <w:pStyle w:val="Tabletextright"/>
            </w:pPr>
            <w:r w:rsidRPr="0067507D">
              <w:t xml:space="preserve">(58) </w:t>
            </w:r>
          </w:p>
        </w:tc>
        <w:tc>
          <w:tcPr>
            <w:tcW w:w="1224" w:type="dxa"/>
          </w:tcPr>
          <w:p w14:paraId="0A1FAACE" w14:textId="77777777" w:rsidR="005D2595" w:rsidRPr="0067507D" w:rsidRDefault="005D2595" w:rsidP="00FC3AF2">
            <w:pPr>
              <w:pStyle w:val="Tabletextright"/>
            </w:pPr>
            <w:r w:rsidRPr="0067507D">
              <w:t xml:space="preserve">(28) </w:t>
            </w:r>
          </w:p>
        </w:tc>
      </w:tr>
      <w:tr w:rsidR="005D2595" w:rsidRPr="0067507D" w14:paraId="61BD55B5" w14:textId="77777777" w:rsidTr="00FC3AF2">
        <w:tc>
          <w:tcPr>
            <w:tcW w:w="4860" w:type="dxa"/>
          </w:tcPr>
          <w:p w14:paraId="1CF41BD9" w14:textId="77777777" w:rsidR="005D2595" w:rsidRPr="0067507D" w:rsidRDefault="005D2595" w:rsidP="00FC3AF2">
            <w:pPr>
              <w:pStyle w:val="Tabletextbold"/>
            </w:pPr>
            <w:r w:rsidRPr="0067507D">
              <w:t>Total payments</w:t>
            </w:r>
          </w:p>
        </w:tc>
        <w:tc>
          <w:tcPr>
            <w:tcW w:w="810" w:type="dxa"/>
          </w:tcPr>
          <w:p w14:paraId="5BDD0668" w14:textId="77777777" w:rsidR="005D2595" w:rsidRPr="0067507D" w:rsidRDefault="005D2595" w:rsidP="00FC3AF2">
            <w:pPr>
              <w:pStyle w:val="Tabletextcentred"/>
            </w:pPr>
          </w:p>
        </w:tc>
        <w:tc>
          <w:tcPr>
            <w:tcW w:w="1224" w:type="dxa"/>
            <w:shd w:val="clear" w:color="auto" w:fill="E0E0E0"/>
          </w:tcPr>
          <w:p w14:paraId="494BB4EC" w14:textId="77777777" w:rsidR="005D2595" w:rsidRPr="0067507D" w:rsidRDefault="005D2595" w:rsidP="00FC3AF2">
            <w:pPr>
              <w:pStyle w:val="Tabletextrightbold"/>
            </w:pPr>
            <w:r w:rsidRPr="0067507D">
              <w:t xml:space="preserve">(464 271) </w:t>
            </w:r>
          </w:p>
        </w:tc>
        <w:tc>
          <w:tcPr>
            <w:tcW w:w="1224" w:type="dxa"/>
          </w:tcPr>
          <w:p w14:paraId="7868A636" w14:textId="77777777" w:rsidR="005D2595" w:rsidRPr="0067507D" w:rsidRDefault="005D2595" w:rsidP="00FC3AF2">
            <w:pPr>
              <w:pStyle w:val="Tabletextrightbold"/>
            </w:pPr>
            <w:r w:rsidRPr="0067507D">
              <w:t xml:space="preserve">(362 774) </w:t>
            </w:r>
          </w:p>
        </w:tc>
      </w:tr>
      <w:tr w:rsidR="005D2595" w:rsidRPr="0067507D" w14:paraId="29533F89" w14:textId="77777777" w:rsidTr="00FC3AF2">
        <w:tc>
          <w:tcPr>
            <w:tcW w:w="4860" w:type="dxa"/>
          </w:tcPr>
          <w:p w14:paraId="378DF6C4" w14:textId="77777777" w:rsidR="005D2595" w:rsidRPr="0067507D" w:rsidRDefault="005D2595" w:rsidP="00FC3AF2">
            <w:pPr>
              <w:pStyle w:val="Tabletext"/>
            </w:pPr>
          </w:p>
        </w:tc>
        <w:tc>
          <w:tcPr>
            <w:tcW w:w="810" w:type="dxa"/>
          </w:tcPr>
          <w:p w14:paraId="5C409A43" w14:textId="77777777" w:rsidR="005D2595" w:rsidRPr="0067507D" w:rsidRDefault="005D2595" w:rsidP="00FC3AF2">
            <w:pPr>
              <w:pStyle w:val="Tabletextcentred"/>
            </w:pPr>
          </w:p>
        </w:tc>
        <w:tc>
          <w:tcPr>
            <w:tcW w:w="1224" w:type="dxa"/>
            <w:shd w:val="clear" w:color="auto" w:fill="E0E0E0"/>
          </w:tcPr>
          <w:p w14:paraId="356AED1C" w14:textId="77777777" w:rsidR="005D2595" w:rsidRPr="0067507D" w:rsidRDefault="005D2595" w:rsidP="00FC3AF2">
            <w:pPr>
              <w:pStyle w:val="Tabletextright"/>
              <w:rPr>
                <w:bCs/>
              </w:rPr>
            </w:pPr>
          </w:p>
        </w:tc>
        <w:tc>
          <w:tcPr>
            <w:tcW w:w="1224" w:type="dxa"/>
          </w:tcPr>
          <w:p w14:paraId="62170CCF" w14:textId="77777777" w:rsidR="005D2595" w:rsidRPr="0067507D" w:rsidRDefault="005D2595" w:rsidP="00FC3AF2">
            <w:pPr>
              <w:pStyle w:val="Tabletextright"/>
              <w:rPr>
                <w:bCs/>
              </w:rPr>
            </w:pPr>
          </w:p>
        </w:tc>
      </w:tr>
      <w:tr w:rsidR="005D2595" w:rsidRPr="0067507D" w14:paraId="4FCF0D8A" w14:textId="77777777" w:rsidTr="00FC3AF2">
        <w:tc>
          <w:tcPr>
            <w:tcW w:w="4860" w:type="dxa"/>
          </w:tcPr>
          <w:p w14:paraId="79B9388B" w14:textId="77777777" w:rsidR="005D2595" w:rsidRPr="0067507D" w:rsidRDefault="005D2595" w:rsidP="00FC3AF2">
            <w:pPr>
              <w:pStyle w:val="Tabletextbold"/>
              <w:rPr>
                <w:i/>
                <w:iCs/>
              </w:rPr>
            </w:pPr>
            <w:r w:rsidRPr="0067507D">
              <w:t>Net cash flows from/(used in) operating activities</w:t>
            </w:r>
          </w:p>
        </w:tc>
        <w:tc>
          <w:tcPr>
            <w:tcW w:w="810" w:type="dxa"/>
          </w:tcPr>
          <w:p w14:paraId="51BB1B2A" w14:textId="77777777" w:rsidR="005D2595" w:rsidRPr="0067507D" w:rsidRDefault="005D2595" w:rsidP="00FC3AF2">
            <w:pPr>
              <w:pStyle w:val="Tabletextcentred"/>
            </w:pPr>
          </w:p>
        </w:tc>
        <w:tc>
          <w:tcPr>
            <w:tcW w:w="1224" w:type="dxa"/>
            <w:shd w:val="clear" w:color="auto" w:fill="E0E0E0"/>
          </w:tcPr>
          <w:p w14:paraId="120DFF0A" w14:textId="77777777" w:rsidR="005D2595" w:rsidRPr="0067507D" w:rsidRDefault="005D2595" w:rsidP="00FC3AF2">
            <w:pPr>
              <w:pStyle w:val="Tabletextrightbold"/>
            </w:pPr>
            <w:r w:rsidRPr="0067507D">
              <w:t xml:space="preserve">6 960 </w:t>
            </w:r>
          </w:p>
        </w:tc>
        <w:tc>
          <w:tcPr>
            <w:tcW w:w="1224" w:type="dxa"/>
          </w:tcPr>
          <w:p w14:paraId="3DFDE1DF" w14:textId="77777777" w:rsidR="005D2595" w:rsidRPr="0067507D" w:rsidRDefault="005D2595" w:rsidP="00FC3AF2">
            <w:pPr>
              <w:pStyle w:val="Tabletextrightbold"/>
            </w:pPr>
            <w:r w:rsidRPr="0067507D">
              <w:t xml:space="preserve">20 993 </w:t>
            </w:r>
          </w:p>
        </w:tc>
      </w:tr>
      <w:tr w:rsidR="005D2595" w:rsidRPr="0067507D" w14:paraId="7FD9893A" w14:textId="77777777" w:rsidTr="00FC3AF2">
        <w:tc>
          <w:tcPr>
            <w:tcW w:w="4860" w:type="dxa"/>
          </w:tcPr>
          <w:p w14:paraId="554745B1" w14:textId="77777777" w:rsidR="005D2595" w:rsidRPr="0067507D" w:rsidRDefault="005D2595" w:rsidP="00FC3AF2">
            <w:pPr>
              <w:pStyle w:val="Tabletext"/>
            </w:pPr>
          </w:p>
        </w:tc>
        <w:tc>
          <w:tcPr>
            <w:tcW w:w="810" w:type="dxa"/>
          </w:tcPr>
          <w:p w14:paraId="2A4979FC" w14:textId="77777777" w:rsidR="005D2595" w:rsidRPr="0067507D" w:rsidRDefault="005D2595" w:rsidP="00FC3AF2">
            <w:pPr>
              <w:pStyle w:val="Tabletextcentred"/>
            </w:pPr>
          </w:p>
        </w:tc>
        <w:tc>
          <w:tcPr>
            <w:tcW w:w="1224" w:type="dxa"/>
            <w:shd w:val="clear" w:color="auto" w:fill="E0E0E0"/>
          </w:tcPr>
          <w:p w14:paraId="5FD9747D" w14:textId="77777777" w:rsidR="005D2595" w:rsidRPr="0067507D" w:rsidRDefault="005D2595" w:rsidP="00FC3AF2">
            <w:pPr>
              <w:pStyle w:val="Tabletextright"/>
              <w:rPr>
                <w:bCs/>
              </w:rPr>
            </w:pPr>
          </w:p>
        </w:tc>
        <w:tc>
          <w:tcPr>
            <w:tcW w:w="1224" w:type="dxa"/>
          </w:tcPr>
          <w:p w14:paraId="3456C53D" w14:textId="77777777" w:rsidR="005D2595" w:rsidRPr="0067507D" w:rsidRDefault="005D2595" w:rsidP="00FC3AF2">
            <w:pPr>
              <w:pStyle w:val="Tabletextright"/>
              <w:rPr>
                <w:bCs/>
              </w:rPr>
            </w:pPr>
          </w:p>
        </w:tc>
      </w:tr>
      <w:tr w:rsidR="005D2595" w:rsidRPr="0067507D" w14:paraId="6D538869" w14:textId="77777777" w:rsidTr="00FC3AF2">
        <w:tc>
          <w:tcPr>
            <w:tcW w:w="4860" w:type="dxa"/>
          </w:tcPr>
          <w:p w14:paraId="57726EA1" w14:textId="77777777" w:rsidR="005D2595" w:rsidRPr="0067507D" w:rsidRDefault="005D2595" w:rsidP="00FC3AF2">
            <w:pPr>
              <w:pStyle w:val="Tabletextbold"/>
            </w:pPr>
            <w:r w:rsidRPr="0067507D">
              <w:t>Cash flows from investing activities</w:t>
            </w:r>
          </w:p>
        </w:tc>
        <w:tc>
          <w:tcPr>
            <w:tcW w:w="810" w:type="dxa"/>
          </w:tcPr>
          <w:p w14:paraId="5C0AFA5E" w14:textId="77777777" w:rsidR="005D2595" w:rsidRPr="0067507D" w:rsidRDefault="005D2595" w:rsidP="00FC3AF2">
            <w:pPr>
              <w:pStyle w:val="Tabletextcentred"/>
            </w:pPr>
          </w:p>
        </w:tc>
        <w:tc>
          <w:tcPr>
            <w:tcW w:w="1224" w:type="dxa"/>
            <w:shd w:val="clear" w:color="auto" w:fill="E0E0E0"/>
          </w:tcPr>
          <w:p w14:paraId="2C33C6DC" w14:textId="77777777" w:rsidR="005D2595" w:rsidRPr="0067507D" w:rsidRDefault="005D2595" w:rsidP="00FC3AF2">
            <w:pPr>
              <w:pStyle w:val="Tabletextright"/>
              <w:rPr>
                <w:bCs/>
              </w:rPr>
            </w:pPr>
          </w:p>
        </w:tc>
        <w:tc>
          <w:tcPr>
            <w:tcW w:w="1224" w:type="dxa"/>
          </w:tcPr>
          <w:p w14:paraId="5960B02D" w14:textId="77777777" w:rsidR="005D2595" w:rsidRPr="0067507D" w:rsidRDefault="005D2595" w:rsidP="00FC3AF2">
            <w:pPr>
              <w:pStyle w:val="Tabletextright"/>
              <w:rPr>
                <w:bCs/>
              </w:rPr>
            </w:pPr>
          </w:p>
        </w:tc>
      </w:tr>
      <w:tr w:rsidR="005D2595" w:rsidRPr="0067507D" w14:paraId="08D3625E" w14:textId="77777777" w:rsidTr="00FC3AF2">
        <w:tc>
          <w:tcPr>
            <w:tcW w:w="4860" w:type="dxa"/>
          </w:tcPr>
          <w:p w14:paraId="38A50AB9" w14:textId="0E669319" w:rsidR="005D2595" w:rsidRPr="0067507D" w:rsidRDefault="005D2595" w:rsidP="00FC3AF2">
            <w:pPr>
              <w:pStyle w:val="Tabletext"/>
            </w:pPr>
            <w:r w:rsidRPr="0067507D">
              <w:t>Purchases of non</w:t>
            </w:r>
            <w:r w:rsidR="006A5485">
              <w:noBreakHyphen/>
            </w:r>
            <w:r w:rsidRPr="0067507D">
              <w:t xml:space="preserve">financial assets </w:t>
            </w:r>
          </w:p>
        </w:tc>
        <w:tc>
          <w:tcPr>
            <w:tcW w:w="810" w:type="dxa"/>
          </w:tcPr>
          <w:p w14:paraId="2E99284F" w14:textId="77777777" w:rsidR="005D2595" w:rsidRPr="0067507D" w:rsidRDefault="005D2595" w:rsidP="00FC3AF2">
            <w:pPr>
              <w:pStyle w:val="Tabletextcentred"/>
            </w:pPr>
          </w:p>
        </w:tc>
        <w:tc>
          <w:tcPr>
            <w:tcW w:w="1224" w:type="dxa"/>
            <w:shd w:val="clear" w:color="auto" w:fill="E0E0E0"/>
          </w:tcPr>
          <w:p w14:paraId="44AC3504" w14:textId="77777777" w:rsidR="005D2595" w:rsidRPr="0067507D" w:rsidRDefault="005D2595" w:rsidP="00FC3AF2">
            <w:pPr>
              <w:pStyle w:val="Tabletextright"/>
              <w:rPr>
                <w:bCs/>
              </w:rPr>
            </w:pPr>
            <w:r w:rsidRPr="0067507D">
              <w:t xml:space="preserve">(6 673) </w:t>
            </w:r>
          </w:p>
        </w:tc>
        <w:tc>
          <w:tcPr>
            <w:tcW w:w="1224" w:type="dxa"/>
          </w:tcPr>
          <w:p w14:paraId="1D7ABDE3" w14:textId="77777777" w:rsidR="005D2595" w:rsidRPr="0067507D" w:rsidRDefault="005D2595" w:rsidP="00FC3AF2">
            <w:pPr>
              <w:pStyle w:val="Tabletextright"/>
              <w:rPr>
                <w:bCs/>
              </w:rPr>
            </w:pPr>
            <w:r w:rsidRPr="0067507D">
              <w:t xml:space="preserve">(15 251) </w:t>
            </w:r>
          </w:p>
        </w:tc>
      </w:tr>
      <w:tr w:rsidR="005D2595" w:rsidRPr="0067507D" w14:paraId="38A2A757" w14:textId="77777777" w:rsidTr="00FC3AF2">
        <w:tc>
          <w:tcPr>
            <w:tcW w:w="4860" w:type="dxa"/>
          </w:tcPr>
          <w:p w14:paraId="30716CC4" w14:textId="18EC9F8B" w:rsidR="005D2595" w:rsidRPr="0067507D" w:rsidRDefault="005D2595" w:rsidP="00FC3AF2">
            <w:pPr>
              <w:pStyle w:val="Tabletext"/>
            </w:pPr>
            <w:r w:rsidRPr="0067507D">
              <w:t>Sales of non</w:t>
            </w:r>
            <w:r w:rsidR="006A5485">
              <w:noBreakHyphen/>
            </w:r>
            <w:r w:rsidRPr="0067507D">
              <w:t>financial assets</w:t>
            </w:r>
          </w:p>
        </w:tc>
        <w:tc>
          <w:tcPr>
            <w:tcW w:w="810" w:type="dxa"/>
          </w:tcPr>
          <w:p w14:paraId="0A667306" w14:textId="77777777" w:rsidR="005D2595" w:rsidRPr="0067507D" w:rsidRDefault="005D2595" w:rsidP="00FC3AF2">
            <w:pPr>
              <w:pStyle w:val="Tabletextcentred"/>
            </w:pPr>
          </w:p>
        </w:tc>
        <w:tc>
          <w:tcPr>
            <w:tcW w:w="1224" w:type="dxa"/>
            <w:shd w:val="clear" w:color="auto" w:fill="E0E0E0"/>
          </w:tcPr>
          <w:p w14:paraId="17575C2A" w14:textId="77777777" w:rsidR="005D2595" w:rsidRPr="0067507D" w:rsidRDefault="005D2595" w:rsidP="00FC3AF2">
            <w:pPr>
              <w:pStyle w:val="Tabletextright"/>
              <w:rPr>
                <w:bCs/>
              </w:rPr>
            </w:pPr>
            <w:r w:rsidRPr="0067507D">
              <w:t xml:space="preserve"> 472 </w:t>
            </w:r>
          </w:p>
        </w:tc>
        <w:tc>
          <w:tcPr>
            <w:tcW w:w="1224" w:type="dxa"/>
          </w:tcPr>
          <w:p w14:paraId="0D776677" w14:textId="77777777" w:rsidR="005D2595" w:rsidRPr="0067507D" w:rsidRDefault="005D2595" w:rsidP="00FC3AF2">
            <w:pPr>
              <w:pStyle w:val="Tabletextright"/>
              <w:rPr>
                <w:bCs/>
              </w:rPr>
            </w:pPr>
            <w:r w:rsidRPr="0067507D">
              <w:t xml:space="preserve"> 664 </w:t>
            </w:r>
          </w:p>
        </w:tc>
      </w:tr>
      <w:tr w:rsidR="005D2595" w:rsidRPr="0067507D" w14:paraId="5F482B8A" w14:textId="77777777" w:rsidTr="00FC3AF2">
        <w:tc>
          <w:tcPr>
            <w:tcW w:w="4860" w:type="dxa"/>
          </w:tcPr>
          <w:p w14:paraId="52FA92B7" w14:textId="77777777" w:rsidR="005D2595" w:rsidRPr="0067507D" w:rsidRDefault="005D2595" w:rsidP="00FC3AF2">
            <w:pPr>
              <w:pStyle w:val="Tabletextbold"/>
            </w:pPr>
            <w:r w:rsidRPr="0067507D">
              <w:t>Net cash flows from/(used in) investing activities</w:t>
            </w:r>
          </w:p>
        </w:tc>
        <w:tc>
          <w:tcPr>
            <w:tcW w:w="810" w:type="dxa"/>
          </w:tcPr>
          <w:p w14:paraId="71DB55B6" w14:textId="77777777" w:rsidR="005D2595" w:rsidRPr="0067507D" w:rsidRDefault="005D2595" w:rsidP="00FC3AF2">
            <w:pPr>
              <w:pStyle w:val="Tabletextcentred"/>
            </w:pPr>
          </w:p>
        </w:tc>
        <w:tc>
          <w:tcPr>
            <w:tcW w:w="1224" w:type="dxa"/>
            <w:shd w:val="clear" w:color="auto" w:fill="E0E0E0"/>
          </w:tcPr>
          <w:p w14:paraId="06742227" w14:textId="77777777" w:rsidR="005D2595" w:rsidRPr="0067507D" w:rsidRDefault="005D2595" w:rsidP="00FC3AF2">
            <w:pPr>
              <w:pStyle w:val="Tabletextrightbold"/>
            </w:pPr>
            <w:r w:rsidRPr="0067507D">
              <w:t xml:space="preserve">(6 201) </w:t>
            </w:r>
          </w:p>
        </w:tc>
        <w:tc>
          <w:tcPr>
            <w:tcW w:w="1224" w:type="dxa"/>
          </w:tcPr>
          <w:p w14:paraId="304EEF89" w14:textId="77777777" w:rsidR="005D2595" w:rsidRPr="0067507D" w:rsidRDefault="005D2595" w:rsidP="00FC3AF2">
            <w:pPr>
              <w:pStyle w:val="Tabletextrightbold"/>
            </w:pPr>
            <w:r w:rsidRPr="0067507D">
              <w:t xml:space="preserve">(14 587) </w:t>
            </w:r>
          </w:p>
        </w:tc>
      </w:tr>
      <w:tr w:rsidR="005D2595" w:rsidRPr="0067507D" w14:paraId="3F8999BF" w14:textId="77777777" w:rsidTr="00FC3AF2">
        <w:tc>
          <w:tcPr>
            <w:tcW w:w="4860" w:type="dxa"/>
          </w:tcPr>
          <w:p w14:paraId="6EBB45FD" w14:textId="77777777" w:rsidR="005D2595" w:rsidRPr="0067507D" w:rsidRDefault="005D2595" w:rsidP="00FC3AF2">
            <w:pPr>
              <w:pStyle w:val="Tabletext"/>
            </w:pPr>
          </w:p>
        </w:tc>
        <w:tc>
          <w:tcPr>
            <w:tcW w:w="810" w:type="dxa"/>
          </w:tcPr>
          <w:p w14:paraId="2178FA97" w14:textId="77777777" w:rsidR="005D2595" w:rsidRPr="0067507D" w:rsidRDefault="005D2595" w:rsidP="00FC3AF2">
            <w:pPr>
              <w:pStyle w:val="Tabletextcentred"/>
            </w:pPr>
          </w:p>
        </w:tc>
        <w:tc>
          <w:tcPr>
            <w:tcW w:w="1224" w:type="dxa"/>
            <w:shd w:val="clear" w:color="auto" w:fill="E0E0E0"/>
          </w:tcPr>
          <w:p w14:paraId="39323A1D" w14:textId="77777777" w:rsidR="005D2595" w:rsidRPr="0067507D" w:rsidRDefault="005D2595" w:rsidP="00FC3AF2">
            <w:pPr>
              <w:pStyle w:val="Tabletextright"/>
              <w:rPr>
                <w:bCs/>
              </w:rPr>
            </w:pPr>
          </w:p>
        </w:tc>
        <w:tc>
          <w:tcPr>
            <w:tcW w:w="1224" w:type="dxa"/>
          </w:tcPr>
          <w:p w14:paraId="56EC3A68" w14:textId="77777777" w:rsidR="005D2595" w:rsidRPr="0067507D" w:rsidRDefault="005D2595" w:rsidP="00FC3AF2">
            <w:pPr>
              <w:pStyle w:val="Tabletextright"/>
              <w:rPr>
                <w:bCs/>
              </w:rPr>
            </w:pPr>
          </w:p>
        </w:tc>
      </w:tr>
      <w:tr w:rsidR="005D2595" w:rsidRPr="0067507D" w14:paraId="348BE127" w14:textId="77777777" w:rsidTr="00FC3AF2">
        <w:tc>
          <w:tcPr>
            <w:tcW w:w="4860" w:type="dxa"/>
          </w:tcPr>
          <w:p w14:paraId="1CDC18CB" w14:textId="77777777" w:rsidR="005D2595" w:rsidRPr="0067507D" w:rsidRDefault="005D2595" w:rsidP="00FC3AF2">
            <w:pPr>
              <w:pStyle w:val="Tabletextbold"/>
            </w:pPr>
            <w:r w:rsidRPr="0067507D">
              <w:t>Cash flows from financing activities</w:t>
            </w:r>
          </w:p>
        </w:tc>
        <w:tc>
          <w:tcPr>
            <w:tcW w:w="810" w:type="dxa"/>
          </w:tcPr>
          <w:p w14:paraId="42AFE682" w14:textId="77777777" w:rsidR="005D2595" w:rsidRPr="0067507D" w:rsidRDefault="005D2595" w:rsidP="00FC3AF2">
            <w:pPr>
              <w:pStyle w:val="Tabletextcentred"/>
            </w:pPr>
          </w:p>
        </w:tc>
        <w:tc>
          <w:tcPr>
            <w:tcW w:w="1224" w:type="dxa"/>
            <w:shd w:val="clear" w:color="auto" w:fill="E0E0E0"/>
          </w:tcPr>
          <w:p w14:paraId="712ADCFE" w14:textId="77777777" w:rsidR="005D2595" w:rsidRPr="0067507D" w:rsidRDefault="005D2595" w:rsidP="00FC3AF2">
            <w:pPr>
              <w:pStyle w:val="Tabletextright"/>
              <w:rPr>
                <w:bCs/>
              </w:rPr>
            </w:pPr>
          </w:p>
        </w:tc>
        <w:tc>
          <w:tcPr>
            <w:tcW w:w="1224" w:type="dxa"/>
          </w:tcPr>
          <w:p w14:paraId="146CFF53" w14:textId="77777777" w:rsidR="005D2595" w:rsidRPr="0067507D" w:rsidRDefault="005D2595" w:rsidP="00FC3AF2">
            <w:pPr>
              <w:pStyle w:val="Tabletextright"/>
              <w:rPr>
                <w:bCs/>
              </w:rPr>
            </w:pPr>
          </w:p>
        </w:tc>
      </w:tr>
      <w:tr w:rsidR="005D2595" w:rsidRPr="0067507D" w14:paraId="16BE02D4" w14:textId="77777777" w:rsidTr="00FC3AF2">
        <w:tc>
          <w:tcPr>
            <w:tcW w:w="4860" w:type="dxa"/>
          </w:tcPr>
          <w:p w14:paraId="75497260" w14:textId="77777777" w:rsidR="005D2595" w:rsidRPr="0067507D" w:rsidRDefault="005D2595" w:rsidP="00FC3AF2">
            <w:pPr>
              <w:pStyle w:val="Tabletext"/>
            </w:pPr>
            <w:r w:rsidRPr="0067507D">
              <w:t>Cash received from machinery of government changes</w:t>
            </w:r>
          </w:p>
        </w:tc>
        <w:tc>
          <w:tcPr>
            <w:tcW w:w="810" w:type="dxa"/>
          </w:tcPr>
          <w:p w14:paraId="1DB5CB95" w14:textId="77777777" w:rsidR="005D2595" w:rsidRPr="0067507D" w:rsidRDefault="005D2595" w:rsidP="00FC3AF2">
            <w:pPr>
              <w:pStyle w:val="Tabletextcentred"/>
            </w:pPr>
          </w:p>
        </w:tc>
        <w:tc>
          <w:tcPr>
            <w:tcW w:w="1224" w:type="dxa"/>
            <w:shd w:val="clear" w:color="auto" w:fill="E0E0E0"/>
          </w:tcPr>
          <w:p w14:paraId="624FCC99" w14:textId="77777777" w:rsidR="005D2595" w:rsidRPr="0067507D" w:rsidRDefault="005D2595" w:rsidP="00FC3AF2">
            <w:pPr>
              <w:pStyle w:val="Tabletextright"/>
            </w:pPr>
            <w:r w:rsidRPr="0067507D">
              <w:t>–</w:t>
            </w:r>
          </w:p>
        </w:tc>
        <w:tc>
          <w:tcPr>
            <w:tcW w:w="1224" w:type="dxa"/>
          </w:tcPr>
          <w:p w14:paraId="2A68EFA3" w14:textId="77777777" w:rsidR="005D2595" w:rsidRPr="0067507D" w:rsidRDefault="005D2595" w:rsidP="00FC3AF2">
            <w:pPr>
              <w:pStyle w:val="Tabletextright"/>
            </w:pPr>
            <w:r w:rsidRPr="0067507D">
              <w:t xml:space="preserve"> 104 </w:t>
            </w:r>
          </w:p>
        </w:tc>
      </w:tr>
      <w:tr w:rsidR="005D2595" w:rsidRPr="0067507D" w14:paraId="1E2B570C" w14:textId="77777777" w:rsidTr="00FC3AF2">
        <w:tc>
          <w:tcPr>
            <w:tcW w:w="4860" w:type="dxa"/>
          </w:tcPr>
          <w:p w14:paraId="127F44DA" w14:textId="77777777" w:rsidR="005D2595" w:rsidRPr="0067507D" w:rsidRDefault="005D2595" w:rsidP="00FC3AF2">
            <w:pPr>
              <w:pStyle w:val="Tabletext"/>
            </w:pPr>
            <w:r w:rsidRPr="0067507D">
              <w:t xml:space="preserve">Cash transferred to Department of Government Services </w:t>
            </w:r>
            <w:r w:rsidRPr="0067507D">
              <w:rPr>
                <w:vertAlign w:val="superscript"/>
              </w:rPr>
              <w:t>(b)</w:t>
            </w:r>
          </w:p>
        </w:tc>
        <w:tc>
          <w:tcPr>
            <w:tcW w:w="810" w:type="dxa"/>
          </w:tcPr>
          <w:p w14:paraId="37811DC3" w14:textId="77777777" w:rsidR="005D2595" w:rsidRPr="0067507D" w:rsidRDefault="005D2595" w:rsidP="00FC3AF2">
            <w:pPr>
              <w:pStyle w:val="Tabletextcentred"/>
            </w:pPr>
          </w:p>
        </w:tc>
        <w:tc>
          <w:tcPr>
            <w:tcW w:w="1224" w:type="dxa"/>
            <w:shd w:val="clear" w:color="auto" w:fill="E0E0E0"/>
          </w:tcPr>
          <w:p w14:paraId="6F5F8F03" w14:textId="77777777" w:rsidR="005D2595" w:rsidRPr="0067507D" w:rsidRDefault="005D2595" w:rsidP="00FC3AF2">
            <w:pPr>
              <w:pStyle w:val="Tabletextright"/>
              <w:rPr>
                <w:bCs/>
              </w:rPr>
            </w:pPr>
            <w:r w:rsidRPr="0067507D">
              <w:t>–</w:t>
            </w:r>
          </w:p>
        </w:tc>
        <w:tc>
          <w:tcPr>
            <w:tcW w:w="1224" w:type="dxa"/>
          </w:tcPr>
          <w:p w14:paraId="3FFE69BD" w14:textId="77777777" w:rsidR="005D2595" w:rsidRPr="0067507D" w:rsidRDefault="005D2595" w:rsidP="00FC3AF2">
            <w:pPr>
              <w:pStyle w:val="Tabletextright"/>
              <w:rPr>
                <w:bCs/>
              </w:rPr>
            </w:pPr>
            <w:r w:rsidRPr="0067507D">
              <w:t xml:space="preserve">(9 000) </w:t>
            </w:r>
          </w:p>
        </w:tc>
      </w:tr>
      <w:tr w:rsidR="005D2595" w:rsidRPr="0067507D" w14:paraId="5C262978" w14:textId="77777777" w:rsidTr="00FC3AF2">
        <w:tc>
          <w:tcPr>
            <w:tcW w:w="4860" w:type="dxa"/>
          </w:tcPr>
          <w:p w14:paraId="7FB72399" w14:textId="77777777" w:rsidR="005D2595" w:rsidRPr="0067507D" w:rsidRDefault="005D2595" w:rsidP="00FC3AF2">
            <w:pPr>
              <w:pStyle w:val="Tabletext"/>
            </w:pPr>
            <w:r w:rsidRPr="0067507D">
              <w:t xml:space="preserve">Cash transferred to Essential Services Commission </w:t>
            </w:r>
            <w:r w:rsidRPr="0067507D">
              <w:rPr>
                <w:vertAlign w:val="superscript"/>
              </w:rPr>
              <w:t>(b)</w:t>
            </w:r>
          </w:p>
        </w:tc>
        <w:tc>
          <w:tcPr>
            <w:tcW w:w="810" w:type="dxa"/>
          </w:tcPr>
          <w:p w14:paraId="2FDDA649" w14:textId="77777777" w:rsidR="005D2595" w:rsidRPr="0067507D" w:rsidRDefault="005D2595" w:rsidP="00FC3AF2">
            <w:pPr>
              <w:pStyle w:val="Tabletextcentred"/>
            </w:pPr>
          </w:p>
        </w:tc>
        <w:tc>
          <w:tcPr>
            <w:tcW w:w="1224" w:type="dxa"/>
            <w:shd w:val="clear" w:color="auto" w:fill="E0E0E0"/>
          </w:tcPr>
          <w:p w14:paraId="6541022E" w14:textId="77777777" w:rsidR="005D2595" w:rsidRPr="0067507D" w:rsidRDefault="005D2595" w:rsidP="00FC3AF2">
            <w:pPr>
              <w:pStyle w:val="Tabletextright"/>
            </w:pPr>
            <w:r w:rsidRPr="0067507D">
              <w:t>–</w:t>
            </w:r>
          </w:p>
        </w:tc>
        <w:tc>
          <w:tcPr>
            <w:tcW w:w="1224" w:type="dxa"/>
          </w:tcPr>
          <w:p w14:paraId="09FD7961" w14:textId="77777777" w:rsidR="005D2595" w:rsidRPr="0067507D" w:rsidRDefault="005D2595" w:rsidP="00FC3AF2">
            <w:pPr>
              <w:pStyle w:val="Tabletextright"/>
            </w:pPr>
            <w:r w:rsidRPr="0067507D">
              <w:t xml:space="preserve">(1 703) </w:t>
            </w:r>
          </w:p>
        </w:tc>
      </w:tr>
      <w:tr w:rsidR="005D2595" w:rsidRPr="0067507D" w14:paraId="5EAB9FB6" w14:textId="77777777" w:rsidTr="00FC3AF2">
        <w:tc>
          <w:tcPr>
            <w:tcW w:w="4860" w:type="dxa"/>
          </w:tcPr>
          <w:p w14:paraId="3F11D961" w14:textId="77777777" w:rsidR="005D2595" w:rsidRPr="0067507D" w:rsidRDefault="005D2595" w:rsidP="00FC3AF2">
            <w:pPr>
              <w:pStyle w:val="Tabletext"/>
            </w:pPr>
            <w:r w:rsidRPr="0067507D">
              <w:t>Cash received from capital appropriations</w:t>
            </w:r>
          </w:p>
        </w:tc>
        <w:tc>
          <w:tcPr>
            <w:tcW w:w="810" w:type="dxa"/>
          </w:tcPr>
          <w:p w14:paraId="2ACD3096" w14:textId="77777777" w:rsidR="005D2595" w:rsidRPr="0067507D" w:rsidRDefault="005D2595" w:rsidP="00FC3AF2">
            <w:pPr>
              <w:pStyle w:val="Tabletextcentred"/>
            </w:pPr>
            <w:r w:rsidRPr="0067507D">
              <w:t>2.2</w:t>
            </w:r>
          </w:p>
        </w:tc>
        <w:tc>
          <w:tcPr>
            <w:tcW w:w="1224" w:type="dxa"/>
            <w:shd w:val="clear" w:color="auto" w:fill="E0E0E0"/>
          </w:tcPr>
          <w:p w14:paraId="1CCDB5DF" w14:textId="77777777" w:rsidR="005D2595" w:rsidRPr="0067507D" w:rsidRDefault="005D2595" w:rsidP="00FC3AF2">
            <w:pPr>
              <w:pStyle w:val="Tabletextright"/>
            </w:pPr>
            <w:r w:rsidRPr="0067507D">
              <w:t>–</w:t>
            </w:r>
          </w:p>
        </w:tc>
        <w:tc>
          <w:tcPr>
            <w:tcW w:w="1224" w:type="dxa"/>
          </w:tcPr>
          <w:p w14:paraId="1AC6FB83" w14:textId="77777777" w:rsidR="005D2595" w:rsidRPr="0067507D" w:rsidRDefault="005D2595" w:rsidP="00FC3AF2">
            <w:pPr>
              <w:pStyle w:val="Tabletextright"/>
            </w:pPr>
            <w:r w:rsidRPr="0067507D">
              <w:t xml:space="preserve">1 974 </w:t>
            </w:r>
          </w:p>
        </w:tc>
      </w:tr>
      <w:tr w:rsidR="005D2595" w:rsidRPr="0067507D" w14:paraId="43A2F900" w14:textId="77777777" w:rsidTr="00FC3AF2">
        <w:tc>
          <w:tcPr>
            <w:tcW w:w="4860" w:type="dxa"/>
          </w:tcPr>
          <w:p w14:paraId="791B0220" w14:textId="77777777" w:rsidR="005D2595" w:rsidRPr="0067507D" w:rsidRDefault="005D2595" w:rsidP="00FC3AF2">
            <w:pPr>
              <w:pStyle w:val="Tabletext"/>
            </w:pPr>
            <w:r w:rsidRPr="0067507D">
              <w:t>Repayment of borrowings</w:t>
            </w:r>
          </w:p>
        </w:tc>
        <w:tc>
          <w:tcPr>
            <w:tcW w:w="810" w:type="dxa"/>
          </w:tcPr>
          <w:p w14:paraId="1C2D6CE1" w14:textId="77777777" w:rsidR="005D2595" w:rsidRPr="0067507D" w:rsidRDefault="005D2595" w:rsidP="00FC3AF2">
            <w:pPr>
              <w:pStyle w:val="Tabletextcentred"/>
            </w:pPr>
          </w:p>
        </w:tc>
        <w:tc>
          <w:tcPr>
            <w:tcW w:w="1224" w:type="dxa"/>
            <w:shd w:val="clear" w:color="auto" w:fill="E0E0E0"/>
          </w:tcPr>
          <w:p w14:paraId="15B6B2E8" w14:textId="77777777" w:rsidR="005D2595" w:rsidRPr="0067507D" w:rsidRDefault="005D2595" w:rsidP="00FC3AF2">
            <w:pPr>
              <w:pStyle w:val="Tabletextright"/>
            </w:pPr>
            <w:r w:rsidRPr="0067507D">
              <w:t xml:space="preserve">(1 066) </w:t>
            </w:r>
          </w:p>
        </w:tc>
        <w:tc>
          <w:tcPr>
            <w:tcW w:w="1224" w:type="dxa"/>
          </w:tcPr>
          <w:p w14:paraId="1CFA267B" w14:textId="77777777" w:rsidR="005D2595" w:rsidRPr="0067507D" w:rsidRDefault="005D2595" w:rsidP="00FC3AF2">
            <w:pPr>
              <w:pStyle w:val="Tabletextright"/>
            </w:pPr>
            <w:r w:rsidRPr="0067507D">
              <w:t xml:space="preserve">(1 095) </w:t>
            </w:r>
          </w:p>
        </w:tc>
      </w:tr>
      <w:tr w:rsidR="005D2595" w:rsidRPr="0067507D" w14:paraId="27933DEC" w14:textId="77777777" w:rsidTr="00FC3AF2">
        <w:tc>
          <w:tcPr>
            <w:tcW w:w="4860" w:type="dxa"/>
          </w:tcPr>
          <w:p w14:paraId="5E37574E" w14:textId="77777777" w:rsidR="005D2595" w:rsidRPr="0067507D" w:rsidRDefault="005D2595" w:rsidP="00FC3AF2">
            <w:pPr>
              <w:pStyle w:val="Tabletextbold"/>
              <w:rPr>
                <w:i/>
                <w:iCs/>
              </w:rPr>
            </w:pPr>
            <w:r w:rsidRPr="0067507D">
              <w:t>Net cash flows from/(used in) financing activities</w:t>
            </w:r>
          </w:p>
        </w:tc>
        <w:tc>
          <w:tcPr>
            <w:tcW w:w="810" w:type="dxa"/>
          </w:tcPr>
          <w:p w14:paraId="0C1D312B" w14:textId="77777777" w:rsidR="005D2595" w:rsidRPr="0067507D" w:rsidRDefault="005D2595" w:rsidP="00FC3AF2">
            <w:pPr>
              <w:pStyle w:val="Tabletextcentred"/>
            </w:pPr>
          </w:p>
        </w:tc>
        <w:tc>
          <w:tcPr>
            <w:tcW w:w="1224" w:type="dxa"/>
            <w:shd w:val="clear" w:color="auto" w:fill="E0E0E0"/>
          </w:tcPr>
          <w:p w14:paraId="56F3EC54" w14:textId="77777777" w:rsidR="005D2595" w:rsidRPr="0067507D" w:rsidRDefault="005D2595" w:rsidP="00FC3AF2">
            <w:pPr>
              <w:pStyle w:val="Tabletextrightbold"/>
            </w:pPr>
            <w:r w:rsidRPr="0067507D">
              <w:t xml:space="preserve">(1 066) </w:t>
            </w:r>
          </w:p>
        </w:tc>
        <w:tc>
          <w:tcPr>
            <w:tcW w:w="1224" w:type="dxa"/>
          </w:tcPr>
          <w:p w14:paraId="66BE24B6" w14:textId="77777777" w:rsidR="005D2595" w:rsidRPr="0067507D" w:rsidRDefault="005D2595" w:rsidP="00FC3AF2">
            <w:pPr>
              <w:pStyle w:val="Tabletextrightbold"/>
            </w:pPr>
            <w:r w:rsidRPr="0067507D">
              <w:t xml:space="preserve">(9 720) </w:t>
            </w:r>
          </w:p>
        </w:tc>
      </w:tr>
      <w:tr w:rsidR="005D2595" w:rsidRPr="0067507D" w14:paraId="3D749D40" w14:textId="77777777" w:rsidTr="00FC3AF2">
        <w:tc>
          <w:tcPr>
            <w:tcW w:w="4860" w:type="dxa"/>
          </w:tcPr>
          <w:p w14:paraId="56BB5E79" w14:textId="77777777" w:rsidR="005D2595" w:rsidRPr="0067507D" w:rsidRDefault="005D2595" w:rsidP="00FC3AF2">
            <w:pPr>
              <w:pStyle w:val="Tabletext"/>
            </w:pPr>
          </w:p>
        </w:tc>
        <w:tc>
          <w:tcPr>
            <w:tcW w:w="810" w:type="dxa"/>
          </w:tcPr>
          <w:p w14:paraId="6D243CB1" w14:textId="77777777" w:rsidR="005D2595" w:rsidRPr="0067507D" w:rsidRDefault="005D2595" w:rsidP="00FC3AF2">
            <w:pPr>
              <w:pStyle w:val="Tabletextcentred"/>
            </w:pPr>
          </w:p>
        </w:tc>
        <w:tc>
          <w:tcPr>
            <w:tcW w:w="1224" w:type="dxa"/>
            <w:shd w:val="clear" w:color="auto" w:fill="E0E0E0"/>
          </w:tcPr>
          <w:p w14:paraId="2239525B" w14:textId="77777777" w:rsidR="005D2595" w:rsidRPr="0067507D" w:rsidRDefault="005D2595" w:rsidP="00FC3AF2">
            <w:pPr>
              <w:pStyle w:val="Tabletextright"/>
              <w:rPr>
                <w:bCs/>
              </w:rPr>
            </w:pPr>
          </w:p>
        </w:tc>
        <w:tc>
          <w:tcPr>
            <w:tcW w:w="1224" w:type="dxa"/>
          </w:tcPr>
          <w:p w14:paraId="0C1930DF" w14:textId="77777777" w:rsidR="005D2595" w:rsidRPr="0067507D" w:rsidRDefault="005D2595" w:rsidP="00FC3AF2">
            <w:pPr>
              <w:pStyle w:val="Tabletextright"/>
              <w:rPr>
                <w:bCs/>
              </w:rPr>
            </w:pPr>
          </w:p>
        </w:tc>
      </w:tr>
      <w:tr w:rsidR="005D2595" w:rsidRPr="0067507D" w14:paraId="278F274C" w14:textId="77777777" w:rsidTr="00FC3AF2">
        <w:tc>
          <w:tcPr>
            <w:tcW w:w="4860" w:type="dxa"/>
          </w:tcPr>
          <w:p w14:paraId="3DC1699B" w14:textId="77777777" w:rsidR="005D2595" w:rsidRPr="0067507D" w:rsidRDefault="005D2595" w:rsidP="00FC3AF2">
            <w:pPr>
              <w:pStyle w:val="Tabletextbold"/>
            </w:pPr>
            <w:r w:rsidRPr="0067507D">
              <w:t>Net increase/(decrease) in cash and cash equivalents</w:t>
            </w:r>
          </w:p>
        </w:tc>
        <w:tc>
          <w:tcPr>
            <w:tcW w:w="810" w:type="dxa"/>
          </w:tcPr>
          <w:p w14:paraId="3FFD327B" w14:textId="77777777" w:rsidR="005D2595" w:rsidRPr="0067507D" w:rsidRDefault="005D2595" w:rsidP="00FC3AF2">
            <w:pPr>
              <w:pStyle w:val="Tabletextcentred"/>
            </w:pPr>
          </w:p>
        </w:tc>
        <w:tc>
          <w:tcPr>
            <w:tcW w:w="1224" w:type="dxa"/>
            <w:shd w:val="clear" w:color="auto" w:fill="E0E0E0"/>
          </w:tcPr>
          <w:p w14:paraId="6F8663FC" w14:textId="77777777" w:rsidR="005D2595" w:rsidRPr="0067507D" w:rsidRDefault="005D2595" w:rsidP="00FC3AF2">
            <w:pPr>
              <w:pStyle w:val="Tabletextrightbold"/>
            </w:pPr>
            <w:r w:rsidRPr="0067507D">
              <w:t xml:space="preserve">(307) </w:t>
            </w:r>
          </w:p>
        </w:tc>
        <w:tc>
          <w:tcPr>
            <w:tcW w:w="1224" w:type="dxa"/>
          </w:tcPr>
          <w:p w14:paraId="11B6A972" w14:textId="77777777" w:rsidR="005D2595" w:rsidRPr="0067507D" w:rsidRDefault="005D2595" w:rsidP="00FC3AF2">
            <w:pPr>
              <w:pStyle w:val="Tabletextrightbold"/>
            </w:pPr>
            <w:r w:rsidRPr="0067507D">
              <w:t xml:space="preserve">(3 314) </w:t>
            </w:r>
          </w:p>
        </w:tc>
      </w:tr>
      <w:tr w:rsidR="005D2595" w:rsidRPr="0067507D" w14:paraId="546DE151" w14:textId="77777777" w:rsidTr="00FC3AF2">
        <w:tc>
          <w:tcPr>
            <w:tcW w:w="4860" w:type="dxa"/>
          </w:tcPr>
          <w:p w14:paraId="39E360E2" w14:textId="77777777" w:rsidR="005D2595" w:rsidRPr="0067507D" w:rsidRDefault="005D2595" w:rsidP="00FC3AF2">
            <w:pPr>
              <w:pStyle w:val="Tabletext"/>
            </w:pPr>
            <w:r w:rsidRPr="0067507D">
              <w:t>Cash and cash equivalents at beginning of financial year</w:t>
            </w:r>
          </w:p>
        </w:tc>
        <w:tc>
          <w:tcPr>
            <w:tcW w:w="810" w:type="dxa"/>
          </w:tcPr>
          <w:p w14:paraId="63088282" w14:textId="77777777" w:rsidR="005D2595" w:rsidRPr="0067507D" w:rsidRDefault="005D2595" w:rsidP="00FC3AF2">
            <w:pPr>
              <w:pStyle w:val="Tabletextcentred"/>
            </w:pPr>
          </w:p>
        </w:tc>
        <w:tc>
          <w:tcPr>
            <w:tcW w:w="1224" w:type="dxa"/>
            <w:shd w:val="clear" w:color="auto" w:fill="E0E0E0"/>
          </w:tcPr>
          <w:p w14:paraId="5883AF35" w14:textId="77777777" w:rsidR="005D2595" w:rsidRPr="0067507D" w:rsidRDefault="005D2595" w:rsidP="00FC3AF2">
            <w:pPr>
              <w:pStyle w:val="Tabletextright"/>
            </w:pPr>
            <w:r w:rsidRPr="0067507D">
              <w:t xml:space="preserve">11 549 </w:t>
            </w:r>
          </w:p>
        </w:tc>
        <w:tc>
          <w:tcPr>
            <w:tcW w:w="1224" w:type="dxa"/>
          </w:tcPr>
          <w:p w14:paraId="4EE5795E" w14:textId="77777777" w:rsidR="005D2595" w:rsidRPr="0067507D" w:rsidRDefault="005D2595" w:rsidP="00FC3AF2">
            <w:pPr>
              <w:pStyle w:val="Tabletextright"/>
            </w:pPr>
            <w:r w:rsidRPr="0067507D">
              <w:t xml:space="preserve">14 863 </w:t>
            </w:r>
          </w:p>
        </w:tc>
      </w:tr>
      <w:tr w:rsidR="005D2595" w:rsidRPr="0067507D" w14:paraId="40A8D0AF" w14:textId="77777777" w:rsidTr="00FC3AF2">
        <w:tc>
          <w:tcPr>
            <w:tcW w:w="4860" w:type="dxa"/>
          </w:tcPr>
          <w:p w14:paraId="1669B5EC" w14:textId="77777777" w:rsidR="005D2595" w:rsidRPr="0067507D" w:rsidRDefault="005D2595" w:rsidP="00FC3AF2">
            <w:pPr>
              <w:pStyle w:val="Tabletextbold"/>
            </w:pPr>
            <w:r w:rsidRPr="0067507D">
              <w:t>Cash and cash equivalents at end of financial year</w:t>
            </w:r>
          </w:p>
        </w:tc>
        <w:tc>
          <w:tcPr>
            <w:tcW w:w="810" w:type="dxa"/>
          </w:tcPr>
          <w:p w14:paraId="7074DBE0" w14:textId="77777777" w:rsidR="005D2595" w:rsidRPr="0067507D" w:rsidRDefault="005D2595" w:rsidP="00FC3AF2">
            <w:pPr>
              <w:pStyle w:val="Tabletextcentred"/>
            </w:pPr>
          </w:p>
        </w:tc>
        <w:tc>
          <w:tcPr>
            <w:tcW w:w="1224" w:type="dxa"/>
            <w:shd w:val="clear" w:color="auto" w:fill="E0E0E0"/>
          </w:tcPr>
          <w:p w14:paraId="4E24029B" w14:textId="77777777" w:rsidR="005D2595" w:rsidRPr="0067507D" w:rsidRDefault="005D2595" w:rsidP="00FC3AF2">
            <w:pPr>
              <w:pStyle w:val="Tabletextrightbold"/>
            </w:pPr>
            <w:r w:rsidRPr="0067507D">
              <w:t xml:space="preserve">11 242 </w:t>
            </w:r>
          </w:p>
        </w:tc>
        <w:tc>
          <w:tcPr>
            <w:tcW w:w="1224" w:type="dxa"/>
          </w:tcPr>
          <w:p w14:paraId="5684D33E" w14:textId="77777777" w:rsidR="005D2595" w:rsidRPr="0067507D" w:rsidRDefault="005D2595" w:rsidP="00FC3AF2">
            <w:pPr>
              <w:pStyle w:val="Tabletextrightbold"/>
            </w:pPr>
            <w:r w:rsidRPr="0067507D">
              <w:t xml:space="preserve">11 549 </w:t>
            </w:r>
          </w:p>
        </w:tc>
      </w:tr>
    </w:tbl>
    <w:p w14:paraId="275A9747" w14:textId="77777777" w:rsidR="005D2595" w:rsidRPr="0067507D" w:rsidRDefault="005D2595" w:rsidP="005D2595">
      <w:pPr>
        <w:pStyle w:val="Notes"/>
      </w:pPr>
      <w:r w:rsidRPr="0067507D">
        <w:t>The above cash flow statement should be read in conjunction with the notes to the financial statements.</w:t>
      </w:r>
    </w:p>
    <w:p w14:paraId="596A4021" w14:textId="77777777" w:rsidR="005D2595" w:rsidRPr="0067507D" w:rsidRDefault="005D2595" w:rsidP="005D2595">
      <w:pPr>
        <w:pStyle w:val="Notes"/>
      </w:pPr>
      <w:r w:rsidRPr="0067507D">
        <w:t>Notes:</w:t>
      </w:r>
    </w:p>
    <w:p w14:paraId="5C2B1AD0" w14:textId="77777777" w:rsidR="005D2595" w:rsidRPr="0067507D" w:rsidRDefault="005D2595" w:rsidP="005D2595">
      <w:pPr>
        <w:spacing w:before="0" w:after="0"/>
        <w:rPr>
          <w:rFonts w:cs="AGaramondPro-Regular"/>
          <w:color w:val="4A4A4A"/>
          <w:sz w:val="14"/>
          <w:szCs w:val="18"/>
        </w:rPr>
      </w:pPr>
      <w:r w:rsidRPr="0067507D">
        <w:rPr>
          <w:rFonts w:cs="AGaramondPro-Regular"/>
          <w:color w:val="4A4A4A"/>
          <w:sz w:val="14"/>
          <w:szCs w:val="18"/>
        </w:rPr>
        <w:t>(a) Goods and services tax recovered from the Australian Tax Office is presented on a net basis.</w:t>
      </w:r>
    </w:p>
    <w:p w14:paraId="7CB07BD2" w14:textId="57564471" w:rsidR="005D2595" w:rsidRPr="0067507D" w:rsidRDefault="005D2595" w:rsidP="005D2595">
      <w:pPr>
        <w:spacing w:before="0" w:after="0"/>
        <w:rPr>
          <w:rFonts w:cs="AGaramondPro-Regular"/>
          <w:color w:val="4A4A4A"/>
          <w:sz w:val="14"/>
          <w:szCs w:val="14"/>
        </w:rPr>
      </w:pPr>
      <w:r w:rsidRPr="0067507D">
        <w:rPr>
          <w:rFonts w:cs="AGaramondPro-Regular"/>
          <w:color w:val="4A4A4A"/>
          <w:sz w:val="14"/>
          <w:szCs w:val="18"/>
        </w:rPr>
        <w:t>(b) A portion of the Department's unallocated prior year surplus State Administration Unit (SAU) was transferred to the Department of</w:t>
      </w:r>
      <w:r w:rsidRPr="0067507D">
        <w:rPr>
          <w:rFonts w:ascii="Calibri" w:hAnsi="Calibri" w:cs="Calibri"/>
          <w:color w:val="4A4A4A"/>
          <w:sz w:val="14"/>
          <w:szCs w:val="18"/>
        </w:rPr>
        <w:t> </w:t>
      </w:r>
      <w:r w:rsidRPr="0067507D">
        <w:rPr>
          <w:rFonts w:cs="AGaramondPro-Regular"/>
          <w:color w:val="4A4A4A"/>
          <w:sz w:val="14"/>
          <w:szCs w:val="18"/>
        </w:rPr>
        <w:t>Government Services and Essential Services Commission using contributed capital in accordance with the Financial Reporting Direction</w:t>
      </w:r>
      <w:r w:rsidRPr="0067507D">
        <w:rPr>
          <w:rFonts w:ascii="Calibri" w:hAnsi="Calibri" w:cs="Calibri"/>
          <w:color w:val="4A4A4A"/>
          <w:sz w:val="14"/>
          <w:szCs w:val="18"/>
        </w:rPr>
        <w:t> </w:t>
      </w:r>
      <w:r w:rsidRPr="0067507D">
        <w:rPr>
          <w:rFonts w:cs="AGaramondPro-Regular"/>
          <w:color w:val="4A4A4A"/>
          <w:sz w:val="14"/>
          <w:szCs w:val="18"/>
        </w:rPr>
        <w:t xml:space="preserve">(FRD) 119 </w:t>
      </w:r>
      <w:r w:rsidRPr="0067507D">
        <w:rPr>
          <w:rFonts w:cs="AGaramondPro-Regular"/>
          <w:i/>
          <w:iCs/>
          <w:color w:val="4A4A4A"/>
          <w:sz w:val="14"/>
          <w:szCs w:val="18"/>
        </w:rPr>
        <w:t>Transfers through contributed capital</w:t>
      </w:r>
      <w:r w:rsidRPr="0067507D">
        <w:rPr>
          <w:rFonts w:cs="AGaramondPro-Regular"/>
          <w:color w:val="4A4A4A"/>
          <w:sz w:val="14"/>
          <w:szCs w:val="18"/>
        </w:rPr>
        <w:t xml:space="preserve"> in 2023</w:t>
      </w:r>
      <w:r w:rsidR="006A5485">
        <w:rPr>
          <w:rFonts w:cs="AGaramondPro-Regular"/>
          <w:color w:val="4A4A4A"/>
          <w:sz w:val="14"/>
          <w:szCs w:val="18"/>
        </w:rPr>
        <w:noBreakHyphen/>
      </w:r>
      <w:r w:rsidRPr="0067507D">
        <w:rPr>
          <w:rFonts w:cs="AGaramondPro-Regular"/>
          <w:color w:val="4A4A4A"/>
          <w:sz w:val="14"/>
          <w:szCs w:val="18"/>
        </w:rPr>
        <w:t>24.</w:t>
      </w:r>
    </w:p>
    <w:p w14:paraId="198B1476" w14:textId="77777777" w:rsidR="005D2595" w:rsidRPr="0067507D" w:rsidRDefault="005D2595" w:rsidP="005D2595">
      <w:pPr>
        <w:spacing w:before="0" w:after="0"/>
        <w:rPr>
          <w:rFonts w:cs="AGaramondPro-Regular"/>
          <w:color w:val="4A4A4A"/>
          <w:sz w:val="14"/>
          <w:szCs w:val="14"/>
        </w:rPr>
      </w:pPr>
    </w:p>
    <w:p w14:paraId="079CBF5F" w14:textId="77777777" w:rsidR="005D2595" w:rsidRPr="0067507D" w:rsidRDefault="005D2595" w:rsidP="006273F6">
      <w:pPr>
        <w:pStyle w:val="Heading1numbered"/>
        <w:ind w:left="720" w:hanging="360"/>
        <w:sectPr w:rsidR="005D2595" w:rsidRPr="0067507D" w:rsidSect="005D2595">
          <w:headerReference w:type="default" r:id="rId61"/>
          <w:footerReference w:type="even" r:id="rId62"/>
          <w:footerReference w:type="default" r:id="rId63"/>
          <w:footerReference w:type="first" r:id="rId64"/>
          <w:pgSz w:w="11909" w:h="16834" w:code="9"/>
          <w:pgMar w:top="1728" w:right="1152" w:bottom="1152" w:left="1152" w:header="720" w:footer="288" w:gutter="0"/>
          <w:cols w:space="720"/>
          <w:noEndnote/>
          <w:titlePg/>
          <w:docGrid w:linePitch="231"/>
        </w:sectPr>
      </w:pPr>
      <w:bookmarkStart w:id="71" w:name="_Toc210213992"/>
      <w:bookmarkStart w:id="72" w:name="_Toc210213939"/>
      <w:bookmarkEnd w:id="71"/>
      <w:bookmarkEnd w:id="72"/>
    </w:p>
    <w:p w14:paraId="23666473" w14:textId="77777777" w:rsidR="005D2595" w:rsidRPr="0067507D" w:rsidRDefault="005D2595" w:rsidP="006273F6">
      <w:pPr>
        <w:pStyle w:val="Heading1numbered"/>
      </w:pPr>
      <w:bookmarkStart w:id="73" w:name="_Toc210213993"/>
      <w:bookmarkStart w:id="74" w:name="_Toc210213940"/>
      <w:r w:rsidRPr="0067507D">
        <w:lastRenderedPageBreak/>
        <w:t>About this report</w:t>
      </w:r>
      <w:bookmarkEnd w:id="73"/>
      <w:bookmarkEnd w:id="74"/>
    </w:p>
    <w:p w14:paraId="2A284773" w14:textId="77777777" w:rsidR="005D2595" w:rsidRPr="0067507D" w:rsidRDefault="005D2595" w:rsidP="005D2595">
      <w:pPr>
        <w:sectPr w:rsidR="005D2595" w:rsidRPr="0067507D" w:rsidSect="005D2595">
          <w:headerReference w:type="even" r:id="rId65"/>
          <w:headerReference w:type="default" r:id="rId66"/>
          <w:pgSz w:w="11909" w:h="16834" w:code="9"/>
          <w:pgMar w:top="1728" w:right="1152" w:bottom="1152" w:left="1152" w:header="720" w:footer="288" w:gutter="0"/>
          <w:cols w:space="720"/>
          <w:noEndnote/>
        </w:sectPr>
      </w:pPr>
    </w:p>
    <w:p w14:paraId="6649DF0A" w14:textId="77777777" w:rsidR="005D2595" w:rsidRPr="0067507D" w:rsidRDefault="005D2595" w:rsidP="005D2595">
      <w:r w:rsidRPr="0067507D">
        <w:t xml:space="preserve">The Department of Treasury and Finance (the Department) is a government department of the State of Victoria, established pursuant to an order made by the Premier under the </w:t>
      </w:r>
      <w:r w:rsidRPr="0067507D">
        <w:rPr>
          <w:i/>
          <w:iCs/>
        </w:rPr>
        <w:t>Public Administration Act 2004</w:t>
      </w:r>
      <w:r w:rsidRPr="0067507D">
        <w:t>. It is an administrative agency acting on behalf of the Crown.</w:t>
      </w:r>
    </w:p>
    <w:p w14:paraId="3AFE81C9" w14:textId="77777777" w:rsidR="005D2595" w:rsidRPr="0067507D" w:rsidRDefault="005D2595" w:rsidP="005D2595">
      <w:r w:rsidRPr="0067507D">
        <w:t>A description of the nature of its operations and its principal activities is included in the report of operations, which does not form part of these financial statements.</w:t>
      </w:r>
    </w:p>
    <w:p w14:paraId="50C5DF39" w14:textId="77777777" w:rsidR="005D2595" w:rsidRPr="0067507D" w:rsidRDefault="005D2595" w:rsidP="005D2595">
      <w:pPr>
        <w:ind w:left="2160" w:hanging="2160"/>
      </w:pPr>
      <w:r w:rsidRPr="0067507D">
        <w:t>Its principal address is:</w:t>
      </w:r>
      <w:r w:rsidRPr="0067507D">
        <w:tab/>
        <w:t>1 Treasury Place</w:t>
      </w:r>
      <w:r w:rsidRPr="0067507D">
        <w:br/>
        <w:t>Melbourne VIC 3002</w:t>
      </w:r>
    </w:p>
    <w:p w14:paraId="52117A6D" w14:textId="77777777" w:rsidR="005D2595" w:rsidRPr="0067507D" w:rsidRDefault="005D2595" w:rsidP="005D2595">
      <w:pPr>
        <w:pStyle w:val="Heading2Notes"/>
      </w:pPr>
      <w:r w:rsidRPr="0067507D">
        <w:t>Basis of preparation</w:t>
      </w:r>
    </w:p>
    <w:p w14:paraId="039296F2" w14:textId="77777777" w:rsidR="005D2595" w:rsidRPr="0067507D" w:rsidRDefault="005D2595" w:rsidP="005D2595">
      <w:r w:rsidRPr="0067507D">
        <w:t>These financial statements have been prepared on an accruals basis, whereby assets, liabilities, equity, income and expenses are recognised in the reporting period to which they relate, regardless of when cash is received or paid.</w:t>
      </w:r>
    </w:p>
    <w:p w14:paraId="29B5723F" w14:textId="77777777" w:rsidR="005D2595" w:rsidRPr="0067507D" w:rsidRDefault="005D2595" w:rsidP="005D2595">
      <w:r w:rsidRPr="0067507D">
        <w:t>Transactions and balances are based on historical costs unless a different measurement basis is specifically disclosed in the note associated with the item measured on a different basis.</w:t>
      </w:r>
    </w:p>
    <w:p w14:paraId="30EC946F" w14:textId="77777777" w:rsidR="005D2595" w:rsidRPr="0067507D" w:rsidRDefault="005D2595" w:rsidP="005D2595">
      <w:r w:rsidRPr="0067507D">
        <w:t>The functional and presentation currency is the Australian dollar. Amounts have been rounded to the nearest thousand dollars unless otherwise stated.</w:t>
      </w:r>
    </w:p>
    <w:p w14:paraId="7F072CFA" w14:textId="77777777" w:rsidR="005D2595" w:rsidRPr="0067507D" w:rsidRDefault="005D2595" w:rsidP="005D2595">
      <w:r w:rsidRPr="0067507D">
        <w:t>Judgements, estimates and assumptions are made in applying Australian Accounting Standards. The estimates and associated assumptions are based on historical experience and various other factors that are believed to be reasonable under the circumstances. Actual results may differ from these estimates.</w:t>
      </w:r>
    </w:p>
    <w:p w14:paraId="51557E09" w14:textId="77777777" w:rsidR="005D2595" w:rsidRPr="0067507D" w:rsidRDefault="005D2595" w:rsidP="005D2595">
      <w:r w:rsidRPr="0067507D">
        <w:t>The estimates and underlying assumptions are reviewed on an ongoing basis. Revisions to accounting estimates are recognised in the period in which the estimate is revised and also in future periods that are affected by the revision.</w:t>
      </w:r>
    </w:p>
    <w:p w14:paraId="57D10BFD" w14:textId="77777777" w:rsidR="005D2595" w:rsidRPr="0067507D" w:rsidRDefault="005D2595" w:rsidP="005D2595">
      <w:r w:rsidRPr="0067507D">
        <w:t>Judgements, assumptions and estimates that have significant effects on the financial statements are disclosed in the notes under the heading ‘significant judgements or estimates’.</w:t>
      </w:r>
    </w:p>
    <w:p w14:paraId="09C5D842" w14:textId="77777777" w:rsidR="005D2595" w:rsidRPr="0067507D" w:rsidRDefault="005D2595" w:rsidP="005D2595">
      <w:r w:rsidRPr="0067507D">
        <w:br w:type="column"/>
      </w:r>
      <w:r w:rsidRPr="0067507D">
        <w:t xml:space="preserve">Consistent with the requirements of AASB 1004 </w:t>
      </w:r>
      <w:r w:rsidRPr="0067507D">
        <w:rPr>
          <w:i/>
          <w:iCs/>
        </w:rPr>
        <w:t>Contributions</w:t>
      </w:r>
      <w:r w:rsidRPr="0067507D">
        <w:t>, contributions by owners (that is, contributed capital and its repayment) are treated as equity transactions and, therefore, do not form part of the income and expenses of the Department.</w:t>
      </w:r>
    </w:p>
    <w:p w14:paraId="06060C4F" w14:textId="77777777" w:rsidR="005D2595" w:rsidRPr="0067507D" w:rsidRDefault="005D2595" w:rsidP="005D2595">
      <w:r w:rsidRPr="0067507D">
        <w:t>Additions to net assets which have been designated as contributions by owners are recognised as contributed capital. Other transfers that are in the nature of contributions to or distributions by owners have also been designated as contributions by owners.</w:t>
      </w:r>
    </w:p>
    <w:p w14:paraId="3112EC3F" w14:textId="77777777" w:rsidR="005D2595" w:rsidRPr="0067507D" w:rsidRDefault="005D2595" w:rsidP="005D2595">
      <w:r w:rsidRPr="0067507D">
        <w:t>These financial statements cover the Department of Treasury and Finance as an individual reporting entity and include all the controlled activities of the Department. DTF administers certain activities for the State and such administered items are disclosed in note 4.3 and where clearly identified in other notes such as in notes 2.3 and 7.3.</w:t>
      </w:r>
    </w:p>
    <w:p w14:paraId="3DFDF38B" w14:textId="77777777" w:rsidR="005D2595" w:rsidRPr="0067507D" w:rsidRDefault="005D2595" w:rsidP="005D2595">
      <w:r w:rsidRPr="0067507D">
        <w:t xml:space="preserve">The following agencies have been aggregated into the Department’s financial statements pursuant to a determination made by the Minister for Finance under section 53(1)(b) of the </w:t>
      </w:r>
      <w:r w:rsidRPr="0067507D">
        <w:rPr>
          <w:i/>
          <w:iCs/>
        </w:rPr>
        <w:t>Financial Management Act 1994</w:t>
      </w:r>
      <w:r w:rsidRPr="0067507D">
        <w:t>. These agencies are reported in aggregate and are not controlled by the Department:</w:t>
      </w:r>
    </w:p>
    <w:p w14:paraId="52750059" w14:textId="77777777" w:rsidR="005D2595" w:rsidRPr="0067507D" w:rsidRDefault="005D2595" w:rsidP="006273F6">
      <w:pPr>
        <w:pStyle w:val="Bullet"/>
        <w:numPr>
          <w:ilvl w:val="0"/>
          <w:numId w:val="22"/>
        </w:numPr>
      </w:pPr>
      <w:r w:rsidRPr="0067507D">
        <w:t xml:space="preserve">Registrar of Housing Agencies, established under the </w:t>
      </w:r>
      <w:r w:rsidRPr="0067507D">
        <w:rPr>
          <w:i/>
          <w:iCs/>
        </w:rPr>
        <w:t>Housing Act 1983</w:t>
      </w:r>
      <w:r w:rsidRPr="0067507D">
        <w:t>.</w:t>
      </w:r>
    </w:p>
    <w:p w14:paraId="6D9B42E7" w14:textId="77777777" w:rsidR="005D2595" w:rsidRPr="0067507D" w:rsidRDefault="005D2595" w:rsidP="006273F6">
      <w:pPr>
        <w:pStyle w:val="Bullet"/>
        <w:numPr>
          <w:ilvl w:val="0"/>
          <w:numId w:val="22"/>
        </w:numPr>
      </w:pPr>
      <w:r w:rsidRPr="0067507D">
        <w:t xml:space="preserve">Wage Inspectorate Victoria, established under the </w:t>
      </w:r>
      <w:r w:rsidRPr="0067507D">
        <w:rPr>
          <w:i/>
          <w:iCs/>
        </w:rPr>
        <w:t>Wage Theft Act 2020</w:t>
      </w:r>
      <w:r w:rsidRPr="0067507D">
        <w:t xml:space="preserve"> and transferred to the Department under a machinery of government change on 1 February 2024. </w:t>
      </w:r>
    </w:p>
    <w:p w14:paraId="78627952" w14:textId="77777777" w:rsidR="005D2595" w:rsidRPr="0067507D" w:rsidRDefault="005D2595" w:rsidP="006273F6">
      <w:pPr>
        <w:pStyle w:val="Bullet"/>
        <w:numPr>
          <w:ilvl w:val="0"/>
          <w:numId w:val="22"/>
        </w:numPr>
        <w:ind w:right="-58"/>
      </w:pPr>
      <w:r w:rsidRPr="0067507D">
        <w:t xml:space="preserve">Victorian Independent Remuneration Tribunal, established under the </w:t>
      </w:r>
      <w:r w:rsidRPr="0067507D">
        <w:rPr>
          <w:i/>
          <w:iCs/>
        </w:rPr>
        <w:t>Victorian Independent Remuneration Tribunal and</w:t>
      </w:r>
      <w:r w:rsidRPr="0067507D">
        <w:t xml:space="preserve"> </w:t>
      </w:r>
      <w:r w:rsidRPr="0067507D">
        <w:rPr>
          <w:i/>
          <w:iCs/>
        </w:rPr>
        <w:t>Improving Parliamentary Standards Act 2019</w:t>
      </w:r>
      <w:r w:rsidRPr="0067507D">
        <w:t xml:space="preserve"> and transferred to the Department under a machinery of government change on 1 February 2024. </w:t>
      </w:r>
    </w:p>
    <w:p w14:paraId="74D54415" w14:textId="77777777" w:rsidR="005D2595" w:rsidRPr="0067507D" w:rsidRDefault="005D2595" w:rsidP="005D2595">
      <w:r w:rsidRPr="0067507D">
        <w:t>In preparing these financial statements, all material transactions and balances between aggregated entities are eliminated.</w:t>
      </w:r>
    </w:p>
    <w:p w14:paraId="34A1DF3A" w14:textId="77777777" w:rsidR="005D2595" w:rsidRPr="0067507D" w:rsidRDefault="005D2595" w:rsidP="005D2595">
      <w:pPr>
        <w:pStyle w:val="Heading2Notes"/>
      </w:pPr>
      <w:bookmarkStart w:id="75" w:name="AAS_compliance"/>
      <w:r w:rsidRPr="0067507D">
        <w:lastRenderedPageBreak/>
        <w:t>Compliance information</w:t>
      </w:r>
    </w:p>
    <w:bookmarkEnd w:id="75"/>
    <w:p w14:paraId="40FD88D1" w14:textId="77777777" w:rsidR="005D2595" w:rsidRPr="0067507D" w:rsidRDefault="005D2595" w:rsidP="005D2595">
      <w:pPr>
        <w:keepNext/>
      </w:pPr>
      <w:r w:rsidRPr="0067507D">
        <w:t xml:space="preserve">These general purpose financial statements (Tier 1) have been prepared in accordance with the </w:t>
      </w:r>
      <w:r w:rsidRPr="0067507D">
        <w:rPr>
          <w:i/>
          <w:iCs/>
        </w:rPr>
        <w:t>Financial Management Act 1994</w:t>
      </w:r>
      <w:r w:rsidRPr="0067507D">
        <w:t xml:space="preserve"> and applicable Australian Accounting Standards, including Interpretations, issued by the Australian Accounting Standards Board (AASB). In particular, they are presented in a manner consistent with the requirements of AASB</w:t>
      </w:r>
      <w:r w:rsidRPr="0067507D">
        <w:rPr>
          <w:rFonts w:ascii="Calibri" w:hAnsi="Calibri" w:cs="Calibri"/>
        </w:rPr>
        <w:t> </w:t>
      </w:r>
      <w:r w:rsidRPr="0067507D">
        <w:t xml:space="preserve">1049 </w:t>
      </w:r>
      <w:r w:rsidRPr="0067507D">
        <w:rPr>
          <w:i/>
          <w:iCs/>
        </w:rPr>
        <w:t>Whole of Government and General Government Sector Financial Reporting</w:t>
      </w:r>
      <w:r w:rsidRPr="0067507D">
        <w:t>.</w:t>
      </w:r>
    </w:p>
    <w:p w14:paraId="59767E1C" w14:textId="54A9419A" w:rsidR="005D2595" w:rsidRPr="0067507D" w:rsidRDefault="005D2595" w:rsidP="005D2595">
      <w:r w:rsidRPr="0067507D">
        <w:t>Where appropriate, those Australian Accounting Standards’ paragraphs applicable to not</w:t>
      </w:r>
      <w:r w:rsidR="006A5485">
        <w:noBreakHyphen/>
      </w:r>
      <w:r w:rsidRPr="0067507D">
        <w:t>for</w:t>
      </w:r>
      <w:r w:rsidR="006A5485">
        <w:noBreakHyphen/>
      </w:r>
      <w:r w:rsidRPr="0067507D">
        <w:t>profit entities have been applied. Accounting policies selected and applied in these financial statements ensure that the resulting financial information satisfies the concepts of relevance and reliability, thereby ensuring that the substance of the underlying transactions or other events is reported.</w:t>
      </w:r>
    </w:p>
    <w:p w14:paraId="31D0DD40" w14:textId="77777777" w:rsidR="005D2595" w:rsidRPr="0067507D" w:rsidRDefault="005D2595" w:rsidP="006273F6">
      <w:pPr>
        <w:pStyle w:val="Heading1numbered"/>
        <w:numPr>
          <w:ilvl w:val="0"/>
          <w:numId w:val="11"/>
        </w:numPr>
        <w:sectPr w:rsidR="005D2595" w:rsidRPr="0067507D" w:rsidSect="005D2595">
          <w:headerReference w:type="even" r:id="rId67"/>
          <w:headerReference w:type="default" r:id="rId68"/>
          <w:type w:val="continuous"/>
          <w:pgSz w:w="11909" w:h="16834" w:code="9"/>
          <w:pgMar w:top="1728" w:right="1152" w:bottom="1152" w:left="1152" w:header="720" w:footer="288" w:gutter="0"/>
          <w:cols w:num="2" w:space="720"/>
          <w:noEndnote/>
        </w:sectPr>
      </w:pPr>
    </w:p>
    <w:p w14:paraId="34C4BB5D" w14:textId="77777777" w:rsidR="005D2595" w:rsidRPr="0067507D" w:rsidRDefault="005D2595" w:rsidP="006273F6">
      <w:pPr>
        <w:pStyle w:val="Heading1numbered"/>
        <w:numPr>
          <w:ilvl w:val="0"/>
          <w:numId w:val="11"/>
        </w:numPr>
      </w:pPr>
      <w:bookmarkStart w:id="76" w:name="_Toc210213994"/>
      <w:bookmarkStart w:id="77" w:name="_Toc210213941"/>
      <w:r w:rsidRPr="0067507D">
        <w:lastRenderedPageBreak/>
        <w:t>Funding delivery of services</w:t>
      </w:r>
      <w:bookmarkEnd w:id="76"/>
      <w:bookmarkEnd w:id="77"/>
    </w:p>
    <w:p w14:paraId="7A54B3D3" w14:textId="77777777" w:rsidR="005D2595" w:rsidRPr="0067507D" w:rsidRDefault="005D2595" w:rsidP="006273F6">
      <w:pPr>
        <w:pStyle w:val="Heading2numbered"/>
        <w:numPr>
          <w:ilvl w:val="1"/>
          <w:numId w:val="11"/>
        </w:numPr>
        <w:sectPr w:rsidR="005D2595" w:rsidRPr="0067507D" w:rsidSect="005D2595">
          <w:headerReference w:type="default" r:id="rId69"/>
          <w:pgSz w:w="11909" w:h="16834" w:code="9"/>
          <w:pgMar w:top="1728" w:right="1152" w:bottom="1152" w:left="1152" w:header="720" w:footer="288" w:gutter="0"/>
          <w:cols w:space="720"/>
          <w:noEndnote/>
        </w:sectPr>
      </w:pPr>
    </w:p>
    <w:p w14:paraId="1E83AC13" w14:textId="77777777" w:rsidR="005D2595" w:rsidRPr="0067507D" w:rsidRDefault="005D2595" w:rsidP="006273F6">
      <w:pPr>
        <w:pStyle w:val="Heading2numbered"/>
        <w:numPr>
          <w:ilvl w:val="1"/>
          <w:numId w:val="11"/>
        </w:numPr>
      </w:pPr>
      <w:bookmarkStart w:id="78" w:name="_Toc210213995"/>
      <w:bookmarkStart w:id="79" w:name="_Toc210213942"/>
      <w:r w:rsidRPr="0067507D">
        <w:t>Introduction</w:t>
      </w:r>
      <w:bookmarkEnd w:id="78"/>
      <w:bookmarkEnd w:id="79"/>
    </w:p>
    <w:p w14:paraId="3C6D29A6" w14:textId="77777777" w:rsidR="005D2595" w:rsidRPr="0067507D" w:rsidRDefault="005D2595" w:rsidP="005D2595">
      <w:r w:rsidRPr="0067507D">
        <w:t>The Department's overall objective is to pursue its mission of providing economic, commercial, financial and resource management advice to help the Victorian Government deliver its policies. Its key objectives are:</w:t>
      </w:r>
    </w:p>
    <w:p w14:paraId="42E3897D" w14:textId="77777777" w:rsidR="005D2595" w:rsidRPr="0067507D" w:rsidRDefault="005D2595" w:rsidP="006273F6">
      <w:pPr>
        <w:pStyle w:val="Bullet"/>
        <w:numPr>
          <w:ilvl w:val="0"/>
          <w:numId w:val="22"/>
        </w:numPr>
      </w:pPr>
      <w:r w:rsidRPr="0067507D">
        <w:t>Optimise Victoria's fiscal resources</w:t>
      </w:r>
    </w:p>
    <w:p w14:paraId="2E1E657D" w14:textId="77777777" w:rsidR="005D2595" w:rsidRPr="0067507D" w:rsidRDefault="005D2595" w:rsidP="006273F6">
      <w:pPr>
        <w:pStyle w:val="Bullet"/>
        <w:numPr>
          <w:ilvl w:val="0"/>
          <w:numId w:val="22"/>
        </w:numPr>
      </w:pPr>
      <w:r w:rsidRPr="0067507D">
        <w:t>Strengthen Victoria's economic performance</w:t>
      </w:r>
    </w:p>
    <w:p w14:paraId="5F284785" w14:textId="77777777" w:rsidR="005D2595" w:rsidRPr="0067507D" w:rsidRDefault="005D2595" w:rsidP="006273F6">
      <w:pPr>
        <w:pStyle w:val="Bullet"/>
        <w:numPr>
          <w:ilvl w:val="0"/>
          <w:numId w:val="22"/>
        </w:numPr>
      </w:pPr>
      <w:r w:rsidRPr="0067507D">
        <w:t>Improve how Government manages its balance sheet, commercial activities and public sector infrastructure</w:t>
      </w:r>
    </w:p>
    <w:p w14:paraId="274CB4BA" w14:textId="77777777" w:rsidR="005D2595" w:rsidRPr="0067507D" w:rsidRDefault="005D2595" w:rsidP="006273F6">
      <w:pPr>
        <w:pStyle w:val="Bullet"/>
        <w:numPr>
          <w:ilvl w:val="0"/>
          <w:numId w:val="22"/>
        </w:numPr>
      </w:pPr>
      <w:r w:rsidRPr="0067507D">
        <w:t>Strengthen Victoria's economic performance through fair, equitable and productive workplaces.</w:t>
      </w:r>
    </w:p>
    <w:p w14:paraId="44BDFD44" w14:textId="77777777" w:rsidR="005D2595" w:rsidRPr="0067507D" w:rsidRDefault="005D2595" w:rsidP="005D2595">
      <w:r w:rsidRPr="0067507D">
        <w:t>To enable the Department to fulfil its objectives and provide outputs as described in note 4, it receives income (predominantly accrual based parliamentary appropriations). Income that funds the delivery of the Department’s services are accounted for consistently with the requirements of the relevant accounting standards disclosed in the following notes.</w:t>
      </w:r>
    </w:p>
    <w:p w14:paraId="47A9EE4C" w14:textId="77777777" w:rsidR="005D2595" w:rsidRPr="0067507D" w:rsidRDefault="005D2595" w:rsidP="009714E6">
      <w:pPr>
        <w:pStyle w:val="Heading2numbered"/>
      </w:pPr>
      <w:r w:rsidRPr="0067507D">
        <w:br w:type="column"/>
      </w:r>
      <w:bookmarkStart w:id="80" w:name="ParlAppropriations"/>
      <w:bookmarkStart w:id="81" w:name="_Toc210213996"/>
      <w:bookmarkStart w:id="82" w:name="_Toc210213943"/>
      <w:r w:rsidRPr="0067507D">
        <w:t>Summary of compliance with annual parliamentary appropriations</w:t>
      </w:r>
      <w:bookmarkEnd w:id="80"/>
      <w:bookmarkEnd w:id="81"/>
      <w:bookmarkEnd w:id="82"/>
    </w:p>
    <w:p w14:paraId="5D27B638" w14:textId="77777777" w:rsidR="005D2595" w:rsidRPr="0067507D" w:rsidRDefault="005D2595" w:rsidP="005D2595">
      <w:r w:rsidRPr="0067507D">
        <w:t>Appropriation is an authority given by the Victorian State Parliament to draw certain sums out of the State’s Consolidated Fund, now or at some future point in time, for the purposes stated, up to the limit of the amount in a particular Act.</w:t>
      </w:r>
    </w:p>
    <w:p w14:paraId="57866FAA" w14:textId="77777777" w:rsidR="005D2595" w:rsidRPr="0067507D" w:rsidRDefault="005D2595" w:rsidP="005D2595">
      <w:r w:rsidRPr="0067507D">
        <w:t>Annual appropriations are set out in the annual appropriation act and provide for the ordinary annual services of the State Government for a specific financial year. The Act outlines the amount of public money appropriated to each department for the ‘provision of outputs’, ‘additions to net asset base’, ‘payments made on behalf of the State’ and other appropriations specified in the Act for a given financial year.</w:t>
      </w:r>
    </w:p>
    <w:p w14:paraId="5B76A71F" w14:textId="2704589B" w:rsidR="005D2595" w:rsidRPr="0067507D" w:rsidRDefault="005D2595" w:rsidP="005D2595">
      <w:r w:rsidRPr="0067507D">
        <w:t xml:space="preserve">Output appropriations, as shown in the comprehensive operating statement, are the appropriations recognised for the ‘provision of outputs’ delivered by the Department in a particular financial year, and are recognised under AASB 1058 </w:t>
      </w:r>
      <w:r w:rsidRPr="0067507D">
        <w:rPr>
          <w:i/>
          <w:iCs/>
        </w:rPr>
        <w:t>Income of not</w:t>
      </w:r>
      <w:r w:rsidR="006A5485">
        <w:rPr>
          <w:i/>
          <w:iCs/>
        </w:rPr>
        <w:noBreakHyphen/>
      </w:r>
      <w:r w:rsidRPr="0067507D">
        <w:rPr>
          <w:i/>
          <w:iCs/>
        </w:rPr>
        <w:t>for</w:t>
      </w:r>
      <w:r w:rsidR="006A5485">
        <w:rPr>
          <w:i/>
          <w:iCs/>
        </w:rPr>
        <w:noBreakHyphen/>
      </w:r>
      <w:r w:rsidRPr="0067507D">
        <w:rPr>
          <w:i/>
          <w:iCs/>
        </w:rPr>
        <w:t>profit entities</w:t>
      </w:r>
      <w:r w:rsidRPr="0067507D">
        <w:t>.</w:t>
      </w:r>
    </w:p>
    <w:p w14:paraId="71F62C59" w14:textId="77777777" w:rsidR="005D2595" w:rsidRPr="0067507D" w:rsidRDefault="005D2595" w:rsidP="005D2595">
      <w:r w:rsidRPr="0067507D">
        <w:t xml:space="preserve">Capital appropriations, as shown in the statement of changes in equity, are the appropriations recognised for ‘additions to net asset base’ of the Department in a particular financial year, and are recognised under AASB 1004 </w:t>
      </w:r>
      <w:r w:rsidRPr="0067507D">
        <w:rPr>
          <w:i/>
          <w:iCs/>
        </w:rPr>
        <w:t>Contributions</w:t>
      </w:r>
      <w:r w:rsidRPr="0067507D">
        <w:t>.</w:t>
      </w:r>
    </w:p>
    <w:p w14:paraId="0C10353E" w14:textId="77777777" w:rsidR="005D2595" w:rsidRPr="0067507D" w:rsidRDefault="005D2595" w:rsidP="005D2595">
      <w:r w:rsidRPr="0067507D">
        <w:t>Appropriations for payments made on behalf of the State, as shown in note 4.3, are the appropriations recognised for payments made on behalf of the State in a particular financial year, and are recognised under AASB 1058.</w:t>
      </w:r>
    </w:p>
    <w:p w14:paraId="64D73602" w14:textId="77777777" w:rsidR="005D2595" w:rsidRPr="0067507D" w:rsidRDefault="005D2595" w:rsidP="005D2595">
      <w:r w:rsidRPr="0067507D">
        <w:t>The amount of appropriation recognised each year depends on the Department’s performance in delivering its provision of outputs and additions to net asset base against agreed performance criteria, and the activity in relation to payments on behalf of the State. The amount of appropriation recognised is formally applied and certified by the Treasurer.</w:t>
      </w:r>
    </w:p>
    <w:p w14:paraId="2F3FC431" w14:textId="4F75F746" w:rsidR="005D2595" w:rsidRPr="0067507D" w:rsidRDefault="005D2595" w:rsidP="005D2595">
      <w:r w:rsidRPr="0067507D">
        <w:t>In accordance with accrual output</w:t>
      </w:r>
      <w:r w:rsidR="006A5485">
        <w:noBreakHyphen/>
      </w:r>
      <w:r w:rsidRPr="0067507D">
        <w:t>based management procedures, ‘provision of outputs’ and ‘additions to net asset base’ are disclosed as ‘controlled’ activities of the Department. ‘Payments made on behalf of the State’ are undertaken on behalf of the State over which the Department has no control or discretion and are therefore disclosed as an ‘administered’ activity of the Department.</w:t>
      </w:r>
    </w:p>
    <w:p w14:paraId="3C5660FF" w14:textId="77777777" w:rsidR="005D2595" w:rsidRPr="0067507D" w:rsidRDefault="005D2595" w:rsidP="005D2595"/>
    <w:p w14:paraId="58D3DE44"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720"/>
          <w:noEndnote/>
        </w:sectPr>
      </w:pPr>
    </w:p>
    <w:p w14:paraId="5302C96B" w14:textId="77777777" w:rsidR="005D2595" w:rsidRPr="0067507D" w:rsidRDefault="005D2595" w:rsidP="005D2595">
      <w:r w:rsidRPr="0067507D">
        <w:lastRenderedPageBreak/>
        <w:t>The following table discloses the details of the various annual parliamentary appropriations received by the Department for the year.</w:t>
      </w:r>
    </w:p>
    <w:tbl>
      <w:tblPr>
        <w:tblW w:w="13800" w:type="dxa"/>
        <w:tblLayout w:type="fixed"/>
        <w:tblCellMar>
          <w:left w:w="58" w:type="dxa"/>
          <w:right w:w="58" w:type="dxa"/>
        </w:tblCellMar>
        <w:tblLook w:val="0000" w:firstRow="0" w:lastRow="0" w:firstColumn="0" w:lastColumn="0" w:noHBand="0" w:noVBand="0"/>
      </w:tblPr>
      <w:tblGrid>
        <w:gridCol w:w="3330"/>
        <w:gridCol w:w="1282"/>
        <w:gridCol w:w="1193"/>
        <w:gridCol w:w="180"/>
        <w:gridCol w:w="960"/>
        <w:gridCol w:w="960"/>
        <w:gridCol w:w="960"/>
        <w:gridCol w:w="1233"/>
        <w:gridCol w:w="1234"/>
        <w:gridCol w:w="1234"/>
        <w:gridCol w:w="1234"/>
      </w:tblGrid>
      <w:tr w:rsidR="005D2595" w:rsidRPr="0067507D" w14:paraId="481FDECA" w14:textId="77777777" w:rsidTr="00FC3AF2">
        <w:trPr>
          <w:trHeight w:val="270"/>
        </w:trPr>
        <w:tc>
          <w:tcPr>
            <w:tcW w:w="3330" w:type="dxa"/>
          </w:tcPr>
          <w:p w14:paraId="2CF5EB3C" w14:textId="77777777" w:rsidR="005D2595" w:rsidRPr="0067507D" w:rsidRDefault="005D2595" w:rsidP="00FC3AF2">
            <w:pPr>
              <w:pStyle w:val="Tabletextbold"/>
              <w:rPr>
                <w:sz w:val="14"/>
                <w:szCs w:val="14"/>
              </w:rPr>
            </w:pPr>
          </w:p>
        </w:tc>
        <w:tc>
          <w:tcPr>
            <w:tcW w:w="2475" w:type="dxa"/>
            <w:gridSpan w:val="2"/>
            <w:shd w:val="clear" w:color="auto" w:fill="DDDDDD"/>
            <w:vAlign w:val="bottom"/>
          </w:tcPr>
          <w:p w14:paraId="714E1CB5" w14:textId="77777777" w:rsidR="005D2595" w:rsidRPr="0067507D" w:rsidRDefault="005D2595" w:rsidP="00FC3AF2">
            <w:pPr>
              <w:pStyle w:val="Tabletextheadingcentred"/>
              <w:rPr>
                <w:sz w:val="14"/>
                <w:szCs w:val="14"/>
              </w:rPr>
            </w:pPr>
            <w:r w:rsidRPr="0067507D">
              <w:t>Appropriation Act</w:t>
            </w:r>
          </w:p>
        </w:tc>
        <w:tc>
          <w:tcPr>
            <w:tcW w:w="180" w:type="dxa"/>
          </w:tcPr>
          <w:p w14:paraId="5CB049A2" w14:textId="77777777" w:rsidR="005D2595" w:rsidRPr="0067507D" w:rsidRDefault="005D2595" w:rsidP="00FC3AF2">
            <w:pPr>
              <w:pStyle w:val="Tabletextheadingright"/>
              <w:rPr>
                <w:sz w:val="14"/>
                <w:szCs w:val="14"/>
              </w:rPr>
            </w:pPr>
          </w:p>
        </w:tc>
        <w:tc>
          <w:tcPr>
            <w:tcW w:w="2880" w:type="dxa"/>
            <w:gridSpan w:val="3"/>
            <w:shd w:val="clear" w:color="auto" w:fill="DDDDDD"/>
            <w:vAlign w:val="bottom"/>
          </w:tcPr>
          <w:p w14:paraId="7205ABAF" w14:textId="77777777" w:rsidR="005D2595" w:rsidRPr="0067507D" w:rsidRDefault="005D2595" w:rsidP="00FC3AF2">
            <w:pPr>
              <w:pStyle w:val="Tabletextheadingcentred"/>
            </w:pPr>
            <w:r w:rsidRPr="0067507D">
              <w:rPr>
                <w:i/>
              </w:rPr>
              <w:t>Financial Management Act</w:t>
            </w:r>
            <w:r w:rsidRPr="0067507D">
              <w:rPr>
                <w:rFonts w:ascii="Times New Roman" w:hAnsi="Times New Roman"/>
                <w:i/>
              </w:rPr>
              <w:t> </w:t>
            </w:r>
            <w:r w:rsidRPr="0067507D">
              <w:rPr>
                <w:i/>
              </w:rPr>
              <w:t>1994</w:t>
            </w:r>
          </w:p>
        </w:tc>
        <w:tc>
          <w:tcPr>
            <w:tcW w:w="1233" w:type="dxa"/>
          </w:tcPr>
          <w:p w14:paraId="5E983EA0" w14:textId="77777777" w:rsidR="005D2595" w:rsidRPr="0067507D" w:rsidRDefault="005D2595" w:rsidP="00FC3AF2">
            <w:pPr>
              <w:pStyle w:val="Tabletextheadingright"/>
              <w:rPr>
                <w:sz w:val="14"/>
                <w:szCs w:val="14"/>
              </w:rPr>
            </w:pPr>
          </w:p>
        </w:tc>
        <w:tc>
          <w:tcPr>
            <w:tcW w:w="1234" w:type="dxa"/>
            <w:vAlign w:val="bottom"/>
          </w:tcPr>
          <w:p w14:paraId="11A76941" w14:textId="77777777" w:rsidR="005D2595" w:rsidRPr="0067507D" w:rsidRDefault="005D2595" w:rsidP="00FC3AF2">
            <w:pPr>
              <w:pStyle w:val="Tabletextheadingright"/>
              <w:rPr>
                <w:sz w:val="14"/>
                <w:szCs w:val="14"/>
              </w:rPr>
            </w:pPr>
          </w:p>
        </w:tc>
        <w:tc>
          <w:tcPr>
            <w:tcW w:w="1234" w:type="dxa"/>
            <w:vAlign w:val="bottom"/>
          </w:tcPr>
          <w:p w14:paraId="5E7D9005" w14:textId="77777777" w:rsidR="005D2595" w:rsidRPr="0067507D" w:rsidRDefault="005D2595" w:rsidP="00FC3AF2">
            <w:pPr>
              <w:pStyle w:val="Tabletextheadingright"/>
              <w:rPr>
                <w:sz w:val="14"/>
                <w:szCs w:val="14"/>
              </w:rPr>
            </w:pPr>
          </w:p>
        </w:tc>
        <w:tc>
          <w:tcPr>
            <w:tcW w:w="1234" w:type="dxa"/>
            <w:vAlign w:val="bottom"/>
          </w:tcPr>
          <w:p w14:paraId="120AEC81" w14:textId="77777777" w:rsidR="005D2595" w:rsidRPr="0067507D" w:rsidRDefault="005D2595" w:rsidP="00FC3AF2">
            <w:pPr>
              <w:pStyle w:val="Tabletextheadingright"/>
              <w:rPr>
                <w:sz w:val="14"/>
                <w:szCs w:val="14"/>
              </w:rPr>
            </w:pPr>
          </w:p>
        </w:tc>
      </w:tr>
      <w:tr w:rsidR="005D2595" w:rsidRPr="0067507D" w14:paraId="5AFE2A66" w14:textId="77777777" w:rsidTr="00FC3AF2">
        <w:trPr>
          <w:trHeight w:val="270"/>
        </w:trPr>
        <w:tc>
          <w:tcPr>
            <w:tcW w:w="3330" w:type="dxa"/>
          </w:tcPr>
          <w:p w14:paraId="09B2C1A1" w14:textId="77777777" w:rsidR="005D2595" w:rsidRPr="0067507D" w:rsidRDefault="005D2595" w:rsidP="00FC3AF2">
            <w:pPr>
              <w:pStyle w:val="Tabletextbold"/>
              <w:rPr>
                <w:sz w:val="14"/>
                <w:szCs w:val="14"/>
              </w:rPr>
            </w:pPr>
          </w:p>
        </w:tc>
        <w:tc>
          <w:tcPr>
            <w:tcW w:w="1282" w:type="dxa"/>
            <w:vAlign w:val="bottom"/>
          </w:tcPr>
          <w:p w14:paraId="29BAF397" w14:textId="77777777" w:rsidR="005D2595" w:rsidRPr="0067507D" w:rsidRDefault="005D2595" w:rsidP="00FC3AF2">
            <w:pPr>
              <w:pStyle w:val="Tabletextheadingright"/>
              <w:rPr>
                <w:sz w:val="14"/>
                <w:szCs w:val="14"/>
              </w:rPr>
            </w:pPr>
            <w:r w:rsidRPr="0067507D">
              <w:rPr>
                <w:sz w:val="14"/>
                <w:szCs w:val="14"/>
              </w:rPr>
              <w:t>Annual appropriations</w:t>
            </w:r>
          </w:p>
        </w:tc>
        <w:tc>
          <w:tcPr>
            <w:tcW w:w="1193" w:type="dxa"/>
            <w:vAlign w:val="bottom"/>
          </w:tcPr>
          <w:p w14:paraId="041FA0E1" w14:textId="77777777" w:rsidR="005D2595" w:rsidRPr="0067507D" w:rsidRDefault="005D2595" w:rsidP="00FC3AF2">
            <w:pPr>
              <w:pStyle w:val="Tabletextheadingright"/>
              <w:rPr>
                <w:sz w:val="14"/>
                <w:szCs w:val="14"/>
              </w:rPr>
            </w:pPr>
            <w:r w:rsidRPr="0067507D">
              <w:rPr>
                <w:sz w:val="14"/>
                <w:szCs w:val="14"/>
              </w:rPr>
              <w:t xml:space="preserve">Advance from </w:t>
            </w:r>
            <w:r w:rsidRPr="0067507D">
              <w:rPr>
                <w:sz w:val="14"/>
                <w:szCs w:val="14"/>
              </w:rPr>
              <w:br/>
              <w:t>Treasurer</w:t>
            </w:r>
          </w:p>
        </w:tc>
        <w:tc>
          <w:tcPr>
            <w:tcW w:w="180" w:type="dxa"/>
          </w:tcPr>
          <w:p w14:paraId="4C6B93FB" w14:textId="77777777" w:rsidR="005D2595" w:rsidRPr="0067507D" w:rsidRDefault="005D2595" w:rsidP="00FC3AF2">
            <w:pPr>
              <w:pStyle w:val="Tabletextheadingright"/>
              <w:rPr>
                <w:sz w:val="14"/>
                <w:szCs w:val="14"/>
              </w:rPr>
            </w:pPr>
          </w:p>
        </w:tc>
        <w:tc>
          <w:tcPr>
            <w:tcW w:w="960" w:type="dxa"/>
            <w:vAlign w:val="bottom"/>
          </w:tcPr>
          <w:p w14:paraId="5618DF85" w14:textId="77777777" w:rsidR="005D2595" w:rsidRPr="0067507D" w:rsidRDefault="005D2595" w:rsidP="00FC3AF2">
            <w:pPr>
              <w:pStyle w:val="Tabletextheadingright"/>
              <w:rPr>
                <w:sz w:val="14"/>
                <w:szCs w:val="14"/>
              </w:rPr>
            </w:pPr>
            <w:r w:rsidRPr="0067507D">
              <w:rPr>
                <w:sz w:val="14"/>
                <w:szCs w:val="14"/>
              </w:rPr>
              <w:t>Section 29</w:t>
            </w:r>
            <w:r w:rsidRPr="0067507D">
              <w:rPr>
                <w:sz w:val="14"/>
                <w:szCs w:val="14"/>
                <w:vertAlign w:val="superscript"/>
              </w:rPr>
              <w:t>(a)</w:t>
            </w:r>
          </w:p>
        </w:tc>
        <w:tc>
          <w:tcPr>
            <w:tcW w:w="960" w:type="dxa"/>
            <w:vAlign w:val="bottom"/>
          </w:tcPr>
          <w:p w14:paraId="1343DB45" w14:textId="77777777" w:rsidR="005D2595" w:rsidRPr="0067507D" w:rsidRDefault="005D2595" w:rsidP="00FC3AF2">
            <w:pPr>
              <w:pStyle w:val="Tabletextheadingright"/>
              <w:rPr>
                <w:sz w:val="14"/>
                <w:szCs w:val="14"/>
              </w:rPr>
            </w:pPr>
            <w:r w:rsidRPr="0067507D">
              <w:rPr>
                <w:sz w:val="14"/>
                <w:szCs w:val="14"/>
              </w:rPr>
              <w:t>Section 30</w:t>
            </w:r>
          </w:p>
        </w:tc>
        <w:tc>
          <w:tcPr>
            <w:tcW w:w="960" w:type="dxa"/>
            <w:vAlign w:val="bottom"/>
          </w:tcPr>
          <w:p w14:paraId="2D3F9366" w14:textId="77777777" w:rsidR="005D2595" w:rsidRPr="0067507D" w:rsidRDefault="005D2595" w:rsidP="00FC3AF2">
            <w:pPr>
              <w:pStyle w:val="Tabletextheadingright"/>
              <w:rPr>
                <w:sz w:val="14"/>
                <w:szCs w:val="14"/>
              </w:rPr>
            </w:pPr>
            <w:r w:rsidRPr="0067507D">
              <w:rPr>
                <w:sz w:val="14"/>
                <w:szCs w:val="14"/>
              </w:rPr>
              <w:t>Section 32</w:t>
            </w:r>
          </w:p>
        </w:tc>
        <w:tc>
          <w:tcPr>
            <w:tcW w:w="1233" w:type="dxa"/>
            <w:vAlign w:val="bottom"/>
          </w:tcPr>
          <w:p w14:paraId="7B0685C5" w14:textId="77777777" w:rsidR="005D2595" w:rsidRPr="0067507D" w:rsidRDefault="005D2595" w:rsidP="00FC3AF2">
            <w:pPr>
              <w:pStyle w:val="Tabletextheadingright"/>
              <w:rPr>
                <w:sz w:val="14"/>
                <w:szCs w:val="14"/>
              </w:rPr>
            </w:pPr>
            <w:r w:rsidRPr="0067507D">
              <w:rPr>
                <w:sz w:val="14"/>
                <w:szCs w:val="14"/>
              </w:rPr>
              <w:t>Machinery of government changes</w:t>
            </w:r>
          </w:p>
        </w:tc>
        <w:tc>
          <w:tcPr>
            <w:tcW w:w="1234" w:type="dxa"/>
            <w:vAlign w:val="bottom"/>
          </w:tcPr>
          <w:p w14:paraId="4446CEFA" w14:textId="77777777" w:rsidR="005D2595" w:rsidRPr="0067507D" w:rsidRDefault="005D2595" w:rsidP="00FC3AF2">
            <w:pPr>
              <w:pStyle w:val="Tabletextheadingright"/>
              <w:rPr>
                <w:sz w:val="14"/>
                <w:szCs w:val="14"/>
              </w:rPr>
            </w:pPr>
            <w:r w:rsidRPr="0067507D">
              <w:rPr>
                <w:sz w:val="14"/>
                <w:szCs w:val="14"/>
              </w:rPr>
              <w:t>Total parliamentary authority</w:t>
            </w:r>
          </w:p>
        </w:tc>
        <w:tc>
          <w:tcPr>
            <w:tcW w:w="1234" w:type="dxa"/>
            <w:vAlign w:val="bottom"/>
          </w:tcPr>
          <w:p w14:paraId="6B7F22C3" w14:textId="77777777" w:rsidR="005D2595" w:rsidRPr="0067507D" w:rsidRDefault="005D2595" w:rsidP="00FC3AF2">
            <w:pPr>
              <w:pStyle w:val="Tabletextheadingright"/>
              <w:rPr>
                <w:sz w:val="14"/>
                <w:szCs w:val="14"/>
              </w:rPr>
            </w:pPr>
            <w:r w:rsidRPr="0067507D">
              <w:rPr>
                <w:sz w:val="14"/>
                <w:szCs w:val="14"/>
              </w:rPr>
              <w:t>Appropriations applied</w:t>
            </w:r>
          </w:p>
        </w:tc>
        <w:tc>
          <w:tcPr>
            <w:tcW w:w="1234" w:type="dxa"/>
            <w:vAlign w:val="bottom"/>
          </w:tcPr>
          <w:p w14:paraId="076579CC" w14:textId="77777777" w:rsidR="005D2595" w:rsidRPr="0067507D" w:rsidRDefault="005D2595" w:rsidP="00FC3AF2">
            <w:pPr>
              <w:pStyle w:val="Tabletextheadingright"/>
              <w:rPr>
                <w:sz w:val="14"/>
                <w:szCs w:val="14"/>
              </w:rPr>
            </w:pPr>
            <w:r w:rsidRPr="0067507D">
              <w:rPr>
                <w:sz w:val="14"/>
                <w:szCs w:val="14"/>
              </w:rPr>
              <w:t>Variance</w:t>
            </w:r>
          </w:p>
        </w:tc>
      </w:tr>
      <w:tr w:rsidR="005D2595" w:rsidRPr="0067507D" w14:paraId="7DE2BC3B" w14:textId="77777777" w:rsidTr="00FC3AF2">
        <w:trPr>
          <w:trHeight w:val="270"/>
        </w:trPr>
        <w:tc>
          <w:tcPr>
            <w:tcW w:w="3330" w:type="dxa"/>
          </w:tcPr>
          <w:p w14:paraId="63AD7A19" w14:textId="77777777" w:rsidR="005D2595" w:rsidRPr="0067507D" w:rsidRDefault="005D2595" w:rsidP="00FC3AF2">
            <w:pPr>
              <w:pStyle w:val="Tabletextbold"/>
              <w:rPr>
                <w:sz w:val="14"/>
                <w:szCs w:val="14"/>
              </w:rPr>
            </w:pPr>
          </w:p>
        </w:tc>
        <w:tc>
          <w:tcPr>
            <w:tcW w:w="1282" w:type="dxa"/>
            <w:vAlign w:val="bottom"/>
          </w:tcPr>
          <w:p w14:paraId="1131F244" w14:textId="77777777" w:rsidR="005D2595" w:rsidRPr="0067507D" w:rsidRDefault="005D2595" w:rsidP="00FC3AF2">
            <w:pPr>
              <w:pStyle w:val="Tabletextheadingright"/>
              <w:rPr>
                <w:sz w:val="14"/>
                <w:szCs w:val="14"/>
              </w:rPr>
            </w:pPr>
            <w:r w:rsidRPr="0067507D">
              <w:rPr>
                <w:sz w:val="14"/>
                <w:szCs w:val="14"/>
              </w:rPr>
              <w:t>$’000</w:t>
            </w:r>
          </w:p>
        </w:tc>
        <w:tc>
          <w:tcPr>
            <w:tcW w:w="1193" w:type="dxa"/>
          </w:tcPr>
          <w:p w14:paraId="4427E4BB" w14:textId="77777777" w:rsidR="005D2595" w:rsidRPr="0067507D" w:rsidRDefault="005D2595" w:rsidP="00FC3AF2">
            <w:pPr>
              <w:pStyle w:val="Tabletextheadingright"/>
              <w:rPr>
                <w:sz w:val="14"/>
                <w:szCs w:val="14"/>
              </w:rPr>
            </w:pPr>
            <w:r w:rsidRPr="0067507D">
              <w:rPr>
                <w:sz w:val="14"/>
                <w:szCs w:val="14"/>
              </w:rPr>
              <w:t>$’000</w:t>
            </w:r>
          </w:p>
        </w:tc>
        <w:tc>
          <w:tcPr>
            <w:tcW w:w="180" w:type="dxa"/>
          </w:tcPr>
          <w:p w14:paraId="497EC575" w14:textId="77777777" w:rsidR="005D2595" w:rsidRPr="0067507D" w:rsidRDefault="005D2595" w:rsidP="00FC3AF2">
            <w:pPr>
              <w:pStyle w:val="Tabletextheadingright"/>
              <w:rPr>
                <w:sz w:val="14"/>
                <w:szCs w:val="14"/>
              </w:rPr>
            </w:pPr>
          </w:p>
        </w:tc>
        <w:tc>
          <w:tcPr>
            <w:tcW w:w="960" w:type="dxa"/>
          </w:tcPr>
          <w:p w14:paraId="1F69E615" w14:textId="77777777" w:rsidR="005D2595" w:rsidRPr="0067507D" w:rsidRDefault="005D2595" w:rsidP="00FC3AF2">
            <w:pPr>
              <w:pStyle w:val="Tabletextheadingright"/>
              <w:rPr>
                <w:sz w:val="14"/>
                <w:szCs w:val="14"/>
              </w:rPr>
            </w:pPr>
            <w:r w:rsidRPr="0067507D">
              <w:rPr>
                <w:sz w:val="14"/>
                <w:szCs w:val="14"/>
              </w:rPr>
              <w:t>$’000</w:t>
            </w:r>
          </w:p>
        </w:tc>
        <w:tc>
          <w:tcPr>
            <w:tcW w:w="960" w:type="dxa"/>
          </w:tcPr>
          <w:p w14:paraId="3CAC7F88" w14:textId="77777777" w:rsidR="005D2595" w:rsidRPr="0067507D" w:rsidRDefault="005D2595" w:rsidP="00FC3AF2">
            <w:pPr>
              <w:pStyle w:val="Tabletextheadingright"/>
              <w:jc w:val="center"/>
              <w:rPr>
                <w:sz w:val="14"/>
                <w:szCs w:val="14"/>
              </w:rPr>
            </w:pPr>
            <w:r w:rsidRPr="0067507D">
              <w:rPr>
                <w:sz w:val="14"/>
                <w:szCs w:val="14"/>
              </w:rPr>
              <w:t>$’000</w:t>
            </w:r>
          </w:p>
        </w:tc>
        <w:tc>
          <w:tcPr>
            <w:tcW w:w="960" w:type="dxa"/>
          </w:tcPr>
          <w:p w14:paraId="40A55E52" w14:textId="77777777" w:rsidR="005D2595" w:rsidRPr="0067507D" w:rsidRDefault="005D2595" w:rsidP="00FC3AF2">
            <w:pPr>
              <w:pStyle w:val="Tabletextheadingright"/>
              <w:rPr>
                <w:sz w:val="14"/>
                <w:szCs w:val="14"/>
              </w:rPr>
            </w:pPr>
            <w:r w:rsidRPr="0067507D">
              <w:rPr>
                <w:sz w:val="14"/>
                <w:szCs w:val="14"/>
              </w:rPr>
              <w:t>$’000</w:t>
            </w:r>
          </w:p>
        </w:tc>
        <w:tc>
          <w:tcPr>
            <w:tcW w:w="1233" w:type="dxa"/>
          </w:tcPr>
          <w:p w14:paraId="2320486E" w14:textId="77777777" w:rsidR="005D2595" w:rsidRPr="0067507D" w:rsidRDefault="005D2595" w:rsidP="00FC3AF2">
            <w:pPr>
              <w:pStyle w:val="Tabletextheadingright"/>
              <w:rPr>
                <w:sz w:val="14"/>
                <w:szCs w:val="14"/>
              </w:rPr>
            </w:pPr>
            <w:r w:rsidRPr="0067507D">
              <w:rPr>
                <w:sz w:val="14"/>
                <w:szCs w:val="14"/>
              </w:rPr>
              <w:t>$’000</w:t>
            </w:r>
          </w:p>
        </w:tc>
        <w:tc>
          <w:tcPr>
            <w:tcW w:w="1234" w:type="dxa"/>
          </w:tcPr>
          <w:p w14:paraId="2887793B" w14:textId="77777777" w:rsidR="005D2595" w:rsidRPr="0067507D" w:rsidRDefault="005D2595" w:rsidP="00FC3AF2">
            <w:pPr>
              <w:pStyle w:val="Tabletextheadingright"/>
              <w:rPr>
                <w:sz w:val="14"/>
                <w:szCs w:val="14"/>
              </w:rPr>
            </w:pPr>
            <w:r w:rsidRPr="0067507D">
              <w:rPr>
                <w:sz w:val="14"/>
                <w:szCs w:val="14"/>
              </w:rPr>
              <w:t>$’000</w:t>
            </w:r>
          </w:p>
        </w:tc>
        <w:tc>
          <w:tcPr>
            <w:tcW w:w="1234" w:type="dxa"/>
          </w:tcPr>
          <w:p w14:paraId="70429B08" w14:textId="77777777" w:rsidR="005D2595" w:rsidRPr="0067507D" w:rsidRDefault="005D2595" w:rsidP="00FC3AF2">
            <w:pPr>
              <w:pStyle w:val="Tabletextheadingright"/>
              <w:rPr>
                <w:sz w:val="14"/>
                <w:szCs w:val="14"/>
              </w:rPr>
            </w:pPr>
            <w:r w:rsidRPr="0067507D">
              <w:rPr>
                <w:sz w:val="14"/>
                <w:szCs w:val="14"/>
              </w:rPr>
              <w:t>$’000</w:t>
            </w:r>
          </w:p>
        </w:tc>
        <w:tc>
          <w:tcPr>
            <w:tcW w:w="1234" w:type="dxa"/>
          </w:tcPr>
          <w:p w14:paraId="46427080" w14:textId="77777777" w:rsidR="005D2595" w:rsidRPr="0067507D" w:rsidRDefault="005D2595" w:rsidP="00FC3AF2">
            <w:pPr>
              <w:pStyle w:val="Tabletextheadingright"/>
              <w:rPr>
                <w:sz w:val="14"/>
                <w:szCs w:val="14"/>
              </w:rPr>
            </w:pPr>
            <w:r w:rsidRPr="0067507D">
              <w:rPr>
                <w:sz w:val="14"/>
                <w:szCs w:val="14"/>
              </w:rPr>
              <w:t>$’000</w:t>
            </w:r>
          </w:p>
        </w:tc>
      </w:tr>
      <w:tr w:rsidR="005D2595" w:rsidRPr="0067507D" w14:paraId="2DCDEE27" w14:textId="77777777" w:rsidTr="00FC3AF2">
        <w:trPr>
          <w:trHeight w:val="270"/>
        </w:trPr>
        <w:tc>
          <w:tcPr>
            <w:tcW w:w="3330" w:type="dxa"/>
          </w:tcPr>
          <w:p w14:paraId="7E5C2C8D" w14:textId="77777777" w:rsidR="005D2595" w:rsidRPr="0067507D" w:rsidRDefault="005D2595" w:rsidP="00FC3AF2">
            <w:pPr>
              <w:pStyle w:val="Tabletextbold"/>
            </w:pPr>
            <w:r w:rsidRPr="0067507D">
              <w:t>2025</w:t>
            </w:r>
          </w:p>
        </w:tc>
        <w:tc>
          <w:tcPr>
            <w:tcW w:w="1282" w:type="dxa"/>
            <w:shd w:val="clear" w:color="auto" w:fill="DDDDDD"/>
          </w:tcPr>
          <w:p w14:paraId="312606A6" w14:textId="77777777" w:rsidR="005D2595" w:rsidRPr="0067507D" w:rsidRDefault="005D2595" w:rsidP="00FC3AF2">
            <w:pPr>
              <w:pStyle w:val="Tabletextright"/>
            </w:pPr>
          </w:p>
        </w:tc>
        <w:tc>
          <w:tcPr>
            <w:tcW w:w="1193" w:type="dxa"/>
          </w:tcPr>
          <w:p w14:paraId="1AD9D7A9" w14:textId="77777777" w:rsidR="005D2595" w:rsidRPr="0067507D" w:rsidRDefault="005D2595" w:rsidP="00FC3AF2">
            <w:pPr>
              <w:pStyle w:val="Tabletextright"/>
            </w:pPr>
          </w:p>
        </w:tc>
        <w:tc>
          <w:tcPr>
            <w:tcW w:w="180" w:type="dxa"/>
          </w:tcPr>
          <w:p w14:paraId="32334191" w14:textId="77777777" w:rsidR="005D2595" w:rsidRPr="0067507D" w:rsidRDefault="005D2595" w:rsidP="00FC3AF2">
            <w:pPr>
              <w:pStyle w:val="Tabletextright"/>
            </w:pPr>
          </w:p>
        </w:tc>
        <w:tc>
          <w:tcPr>
            <w:tcW w:w="960" w:type="dxa"/>
            <w:shd w:val="clear" w:color="auto" w:fill="DDDDDD"/>
          </w:tcPr>
          <w:p w14:paraId="736722FA" w14:textId="77777777" w:rsidR="005D2595" w:rsidRPr="0067507D" w:rsidRDefault="005D2595" w:rsidP="00FC3AF2">
            <w:pPr>
              <w:pStyle w:val="Tabletextright"/>
            </w:pPr>
          </w:p>
        </w:tc>
        <w:tc>
          <w:tcPr>
            <w:tcW w:w="960" w:type="dxa"/>
          </w:tcPr>
          <w:p w14:paraId="56B5BFB7" w14:textId="77777777" w:rsidR="005D2595" w:rsidRPr="0067507D" w:rsidRDefault="005D2595" w:rsidP="00FC3AF2">
            <w:pPr>
              <w:pStyle w:val="Tabletextright"/>
            </w:pPr>
          </w:p>
        </w:tc>
        <w:tc>
          <w:tcPr>
            <w:tcW w:w="960" w:type="dxa"/>
            <w:shd w:val="clear" w:color="auto" w:fill="DDDDDD"/>
          </w:tcPr>
          <w:p w14:paraId="1588A2BB" w14:textId="77777777" w:rsidR="005D2595" w:rsidRPr="0067507D" w:rsidRDefault="005D2595" w:rsidP="00FC3AF2">
            <w:pPr>
              <w:pStyle w:val="Tabletextright"/>
            </w:pPr>
          </w:p>
        </w:tc>
        <w:tc>
          <w:tcPr>
            <w:tcW w:w="1233" w:type="dxa"/>
          </w:tcPr>
          <w:p w14:paraId="35D78BD8" w14:textId="77777777" w:rsidR="005D2595" w:rsidRPr="0067507D" w:rsidRDefault="005D2595" w:rsidP="00FC3AF2">
            <w:pPr>
              <w:pStyle w:val="Tabletextright"/>
            </w:pPr>
          </w:p>
        </w:tc>
        <w:tc>
          <w:tcPr>
            <w:tcW w:w="1234" w:type="dxa"/>
          </w:tcPr>
          <w:p w14:paraId="291CA1E1" w14:textId="77777777" w:rsidR="005D2595" w:rsidRPr="0067507D" w:rsidRDefault="005D2595" w:rsidP="00FC3AF2">
            <w:pPr>
              <w:pStyle w:val="Tabletextright"/>
            </w:pPr>
          </w:p>
        </w:tc>
        <w:tc>
          <w:tcPr>
            <w:tcW w:w="1234" w:type="dxa"/>
            <w:shd w:val="clear" w:color="auto" w:fill="DDDDDD"/>
          </w:tcPr>
          <w:p w14:paraId="4A7B085C" w14:textId="77777777" w:rsidR="005D2595" w:rsidRPr="0067507D" w:rsidRDefault="005D2595" w:rsidP="00FC3AF2">
            <w:pPr>
              <w:pStyle w:val="Tabletextright"/>
            </w:pPr>
          </w:p>
        </w:tc>
        <w:tc>
          <w:tcPr>
            <w:tcW w:w="1234" w:type="dxa"/>
          </w:tcPr>
          <w:p w14:paraId="6CFC802B" w14:textId="77777777" w:rsidR="005D2595" w:rsidRPr="0067507D" w:rsidRDefault="005D2595" w:rsidP="00FC3AF2">
            <w:pPr>
              <w:pStyle w:val="Tabletextright"/>
            </w:pPr>
          </w:p>
        </w:tc>
      </w:tr>
      <w:tr w:rsidR="005D2595" w:rsidRPr="0067507D" w14:paraId="06B2D7E0" w14:textId="77777777" w:rsidTr="00FC3AF2">
        <w:trPr>
          <w:trHeight w:val="165"/>
        </w:trPr>
        <w:tc>
          <w:tcPr>
            <w:tcW w:w="3330" w:type="dxa"/>
          </w:tcPr>
          <w:p w14:paraId="503623CF" w14:textId="77777777" w:rsidR="005D2595" w:rsidRPr="0067507D" w:rsidRDefault="005D2595" w:rsidP="00FC3AF2">
            <w:pPr>
              <w:pStyle w:val="Tabletextbold"/>
            </w:pPr>
            <w:r w:rsidRPr="0067507D">
              <w:t>Controlled</w:t>
            </w:r>
          </w:p>
        </w:tc>
        <w:tc>
          <w:tcPr>
            <w:tcW w:w="1282" w:type="dxa"/>
            <w:shd w:val="clear" w:color="auto" w:fill="DDDDDD"/>
          </w:tcPr>
          <w:p w14:paraId="4808ADA4" w14:textId="77777777" w:rsidR="005D2595" w:rsidRPr="0067507D" w:rsidRDefault="005D2595" w:rsidP="00FC3AF2">
            <w:pPr>
              <w:pStyle w:val="Tabletextright"/>
            </w:pPr>
          </w:p>
        </w:tc>
        <w:tc>
          <w:tcPr>
            <w:tcW w:w="1193" w:type="dxa"/>
          </w:tcPr>
          <w:p w14:paraId="0FFA4692" w14:textId="77777777" w:rsidR="005D2595" w:rsidRPr="0067507D" w:rsidRDefault="005D2595" w:rsidP="00FC3AF2">
            <w:pPr>
              <w:pStyle w:val="Tabletextright"/>
            </w:pPr>
          </w:p>
        </w:tc>
        <w:tc>
          <w:tcPr>
            <w:tcW w:w="180" w:type="dxa"/>
          </w:tcPr>
          <w:p w14:paraId="0F72084A" w14:textId="77777777" w:rsidR="005D2595" w:rsidRPr="0067507D" w:rsidRDefault="005D2595" w:rsidP="00FC3AF2">
            <w:pPr>
              <w:pStyle w:val="Tabletextright"/>
            </w:pPr>
          </w:p>
        </w:tc>
        <w:tc>
          <w:tcPr>
            <w:tcW w:w="960" w:type="dxa"/>
            <w:shd w:val="clear" w:color="auto" w:fill="DDDDDD"/>
          </w:tcPr>
          <w:p w14:paraId="24B4A9AB" w14:textId="77777777" w:rsidR="005D2595" w:rsidRPr="0067507D" w:rsidRDefault="005D2595" w:rsidP="00FC3AF2">
            <w:pPr>
              <w:pStyle w:val="Tabletextright"/>
            </w:pPr>
          </w:p>
        </w:tc>
        <w:tc>
          <w:tcPr>
            <w:tcW w:w="960" w:type="dxa"/>
          </w:tcPr>
          <w:p w14:paraId="41DDD419" w14:textId="77777777" w:rsidR="005D2595" w:rsidRPr="0067507D" w:rsidRDefault="005D2595" w:rsidP="00FC3AF2">
            <w:pPr>
              <w:pStyle w:val="Tabletextright"/>
            </w:pPr>
          </w:p>
        </w:tc>
        <w:tc>
          <w:tcPr>
            <w:tcW w:w="960" w:type="dxa"/>
            <w:shd w:val="clear" w:color="auto" w:fill="DDDDDD"/>
          </w:tcPr>
          <w:p w14:paraId="761E87CA" w14:textId="77777777" w:rsidR="005D2595" w:rsidRPr="0067507D" w:rsidRDefault="005D2595" w:rsidP="00FC3AF2">
            <w:pPr>
              <w:pStyle w:val="Tabletextright"/>
            </w:pPr>
          </w:p>
        </w:tc>
        <w:tc>
          <w:tcPr>
            <w:tcW w:w="1233" w:type="dxa"/>
          </w:tcPr>
          <w:p w14:paraId="0C4C3FE1" w14:textId="77777777" w:rsidR="005D2595" w:rsidRPr="0067507D" w:rsidRDefault="005D2595" w:rsidP="00FC3AF2">
            <w:pPr>
              <w:pStyle w:val="Tabletextright"/>
            </w:pPr>
          </w:p>
        </w:tc>
        <w:tc>
          <w:tcPr>
            <w:tcW w:w="1234" w:type="dxa"/>
          </w:tcPr>
          <w:p w14:paraId="643B5900" w14:textId="77777777" w:rsidR="005D2595" w:rsidRPr="0067507D" w:rsidRDefault="005D2595" w:rsidP="00FC3AF2">
            <w:pPr>
              <w:pStyle w:val="Tabletextright"/>
            </w:pPr>
          </w:p>
        </w:tc>
        <w:tc>
          <w:tcPr>
            <w:tcW w:w="1234" w:type="dxa"/>
            <w:shd w:val="clear" w:color="auto" w:fill="DDDDDD"/>
          </w:tcPr>
          <w:p w14:paraId="53D25307" w14:textId="77777777" w:rsidR="005D2595" w:rsidRPr="0067507D" w:rsidRDefault="005D2595" w:rsidP="00FC3AF2">
            <w:pPr>
              <w:pStyle w:val="Tabletextright"/>
            </w:pPr>
          </w:p>
        </w:tc>
        <w:tc>
          <w:tcPr>
            <w:tcW w:w="1234" w:type="dxa"/>
          </w:tcPr>
          <w:p w14:paraId="46C82150" w14:textId="77777777" w:rsidR="005D2595" w:rsidRPr="0067507D" w:rsidRDefault="005D2595" w:rsidP="00FC3AF2">
            <w:pPr>
              <w:pStyle w:val="Tabletextright"/>
            </w:pPr>
          </w:p>
        </w:tc>
      </w:tr>
      <w:tr w:rsidR="005D2595" w:rsidRPr="0067507D" w14:paraId="1CAACF66" w14:textId="77777777" w:rsidTr="00FC3AF2">
        <w:trPr>
          <w:trHeight w:val="165"/>
        </w:trPr>
        <w:tc>
          <w:tcPr>
            <w:tcW w:w="3330" w:type="dxa"/>
          </w:tcPr>
          <w:p w14:paraId="16106FBD" w14:textId="77777777" w:rsidR="005D2595" w:rsidRPr="0067507D" w:rsidRDefault="005D2595" w:rsidP="00FC3AF2">
            <w:pPr>
              <w:pStyle w:val="Tabletext"/>
            </w:pPr>
            <w:r w:rsidRPr="0067507D">
              <w:t>Provision of outputs</w:t>
            </w:r>
          </w:p>
        </w:tc>
        <w:tc>
          <w:tcPr>
            <w:tcW w:w="1282" w:type="dxa"/>
            <w:shd w:val="clear" w:color="auto" w:fill="DDDDDD"/>
          </w:tcPr>
          <w:p w14:paraId="0F9B6474" w14:textId="77777777" w:rsidR="005D2595" w:rsidRPr="0067507D" w:rsidRDefault="005D2595" w:rsidP="00FC3AF2">
            <w:pPr>
              <w:pStyle w:val="Tabletextright"/>
            </w:pPr>
            <w:r w:rsidRPr="0067507D">
              <w:t xml:space="preserve">436 860 </w:t>
            </w:r>
          </w:p>
        </w:tc>
        <w:tc>
          <w:tcPr>
            <w:tcW w:w="1193" w:type="dxa"/>
          </w:tcPr>
          <w:p w14:paraId="576971DB" w14:textId="77777777" w:rsidR="005D2595" w:rsidRPr="0067507D" w:rsidRDefault="005D2595" w:rsidP="00FC3AF2">
            <w:pPr>
              <w:pStyle w:val="Tabletextright"/>
            </w:pPr>
            <w:r w:rsidRPr="0067507D">
              <w:t xml:space="preserve">30 453 </w:t>
            </w:r>
          </w:p>
        </w:tc>
        <w:tc>
          <w:tcPr>
            <w:tcW w:w="180" w:type="dxa"/>
          </w:tcPr>
          <w:p w14:paraId="0341D5D9" w14:textId="77777777" w:rsidR="005D2595" w:rsidRPr="0067507D" w:rsidRDefault="005D2595" w:rsidP="00FC3AF2">
            <w:pPr>
              <w:pStyle w:val="Tabletextright"/>
            </w:pPr>
          </w:p>
        </w:tc>
        <w:tc>
          <w:tcPr>
            <w:tcW w:w="960" w:type="dxa"/>
            <w:shd w:val="clear" w:color="auto" w:fill="DDDDDD"/>
          </w:tcPr>
          <w:p w14:paraId="0FB59FE8" w14:textId="77777777" w:rsidR="005D2595" w:rsidRPr="0067507D" w:rsidRDefault="005D2595" w:rsidP="00FC3AF2">
            <w:pPr>
              <w:pStyle w:val="Tabletextright"/>
            </w:pPr>
            <w:r w:rsidRPr="0067507D">
              <w:t xml:space="preserve">8 615 </w:t>
            </w:r>
          </w:p>
        </w:tc>
        <w:tc>
          <w:tcPr>
            <w:tcW w:w="960" w:type="dxa"/>
          </w:tcPr>
          <w:p w14:paraId="45C431FE" w14:textId="77777777" w:rsidR="005D2595" w:rsidRPr="0067507D" w:rsidRDefault="005D2595" w:rsidP="00FC3AF2">
            <w:pPr>
              <w:pStyle w:val="Tabletextright"/>
            </w:pPr>
            <w:r w:rsidRPr="0067507D">
              <w:t xml:space="preserve">3 000 </w:t>
            </w:r>
          </w:p>
        </w:tc>
        <w:tc>
          <w:tcPr>
            <w:tcW w:w="960" w:type="dxa"/>
            <w:shd w:val="clear" w:color="auto" w:fill="DDDDDD"/>
          </w:tcPr>
          <w:p w14:paraId="12BEBC49" w14:textId="77777777" w:rsidR="005D2595" w:rsidRPr="0067507D" w:rsidRDefault="005D2595" w:rsidP="00FC3AF2">
            <w:pPr>
              <w:pStyle w:val="Tabletextright"/>
            </w:pPr>
            <w:r w:rsidRPr="0067507D">
              <w:t xml:space="preserve">23 615 </w:t>
            </w:r>
          </w:p>
        </w:tc>
        <w:tc>
          <w:tcPr>
            <w:tcW w:w="1233" w:type="dxa"/>
          </w:tcPr>
          <w:p w14:paraId="3A49FC49" w14:textId="77777777" w:rsidR="005D2595" w:rsidRPr="0067507D" w:rsidRDefault="005D2595" w:rsidP="00FC3AF2">
            <w:pPr>
              <w:pStyle w:val="Tabletextright"/>
            </w:pPr>
            <w:r w:rsidRPr="0067507D">
              <w:t xml:space="preserve">– </w:t>
            </w:r>
          </w:p>
        </w:tc>
        <w:tc>
          <w:tcPr>
            <w:tcW w:w="1234" w:type="dxa"/>
          </w:tcPr>
          <w:p w14:paraId="43604619" w14:textId="77777777" w:rsidR="005D2595" w:rsidRPr="0067507D" w:rsidRDefault="005D2595" w:rsidP="00FC3AF2">
            <w:pPr>
              <w:pStyle w:val="Tabletextright"/>
            </w:pPr>
            <w:r w:rsidRPr="0067507D">
              <w:t xml:space="preserve">502 543 </w:t>
            </w:r>
          </w:p>
        </w:tc>
        <w:tc>
          <w:tcPr>
            <w:tcW w:w="1234" w:type="dxa"/>
            <w:shd w:val="clear" w:color="auto" w:fill="DDDDDD"/>
          </w:tcPr>
          <w:p w14:paraId="5F6E1528" w14:textId="77777777" w:rsidR="005D2595" w:rsidRPr="0067507D" w:rsidRDefault="005D2595" w:rsidP="00FC3AF2">
            <w:pPr>
              <w:pStyle w:val="Tabletextright"/>
            </w:pPr>
            <w:r w:rsidRPr="0067507D">
              <w:t xml:space="preserve">455 232 </w:t>
            </w:r>
          </w:p>
        </w:tc>
        <w:tc>
          <w:tcPr>
            <w:tcW w:w="1234" w:type="dxa"/>
          </w:tcPr>
          <w:p w14:paraId="1D2E84D6" w14:textId="77777777" w:rsidR="005D2595" w:rsidRPr="0067507D" w:rsidRDefault="005D2595" w:rsidP="00FC3AF2">
            <w:pPr>
              <w:pStyle w:val="Tabletextright"/>
            </w:pPr>
            <w:r w:rsidRPr="0067507D">
              <w:t xml:space="preserve">47 311 </w:t>
            </w:r>
          </w:p>
        </w:tc>
      </w:tr>
      <w:tr w:rsidR="005D2595" w:rsidRPr="0067507D" w14:paraId="6A5EEECB" w14:textId="77777777" w:rsidTr="00FC3AF2">
        <w:tc>
          <w:tcPr>
            <w:tcW w:w="3330" w:type="dxa"/>
          </w:tcPr>
          <w:p w14:paraId="5FE344BC" w14:textId="77777777" w:rsidR="005D2595" w:rsidRPr="0067507D" w:rsidRDefault="005D2595" w:rsidP="00FC3AF2">
            <w:pPr>
              <w:pStyle w:val="Tabletext"/>
            </w:pPr>
            <w:r w:rsidRPr="0067507D">
              <w:t>Additions to net asset base</w:t>
            </w:r>
          </w:p>
        </w:tc>
        <w:tc>
          <w:tcPr>
            <w:tcW w:w="1282" w:type="dxa"/>
            <w:shd w:val="clear" w:color="auto" w:fill="DDDDDD"/>
          </w:tcPr>
          <w:p w14:paraId="2CD0C17B" w14:textId="77777777" w:rsidR="005D2595" w:rsidRPr="0067507D" w:rsidRDefault="005D2595" w:rsidP="00FC3AF2">
            <w:pPr>
              <w:pStyle w:val="Tabletextright"/>
            </w:pPr>
            <w:r w:rsidRPr="0067507D">
              <w:t xml:space="preserve">10 324 </w:t>
            </w:r>
          </w:p>
        </w:tc>
        <w:tc>
          <w:tcPr>
            <w:tcW w:w="1193" w:type="dxa"/>
          </w:tcPr>
          <w:p w14:paraId="5F9B55B6" w14:textId="77777777" w:rsidR="005D2595" w:rsidRPr="0067507D" w:rsidRDefault="005D2595" w:rsidP="00FC3AF2">
            <w:pPr>
              <w:pStyle w:val="Tabletextright"/>
            </w:pPr>
            <w:r w:rsidRPr="0067507D">
              <w:t>–</w:t>
            </w:r>
          </w:p>
        </w:tc>
        <w:tc>
          <w:tcPr>
            <w:tcW w:w="180" w:type="dxa"/>
          </w:tcPr>
          <w:p w14:paraId="653412A3" w14:textId="77777777" w:rsidR="005D2595" w:rsidRPr="0067507D" w:rsidRDefault="005D2595" w:rsidP="00FC3AF2">
            <w:pPr>
              <w:pStyle w:val="Tabletextright"/>
            </w:pPr>
          </w:p>
        </w:tc>
        <w:tc>
          <w:tcPr>
            <w:tcW w:w="960" w:type="dxa"/>
            <w:shd w:val="clear" w:color="auto" w:fill="DDDDDD"/>
          </w:tcPr>
          <w:p w14:paraId="19BBEA28" w14:textId="77777777" w:rsidR="005D2595" w:rsidRPr="0067507D" w:rsidRDefault="005D2595" w:rsidP="00FC3AF2">
            <w:pPr>
              <w:pStyle w:val="Tabletextright"/>
            </w:pPr>
            <w:r w:rsidRPr="0067507D">
              <w:t>–</w:t>
            </w:r>
          </w:p>
        </w:tc>
        <w:tc>
          <w:tcPr>
            <w:tcW w:w="960" w:type="dxa"/>
          </w:tcPr>
          <w:p w14:paraId="5912CC6F" w14:textId="77777777" w:rsidR="005D2595" w:rsidRPr="0067507D" w:rsidRDefault="005D2595" w:rsidP="00FC3AF2">
            <w:pPr>
              <w:pStyle w:val="Tabletextright"/>
            </w:pPr>
            <w:r w:rsidRPr="0067507D">
              <w:t xml:space="preserve">(3 000) </w:t>
            </w:r>
          </w:p>
        </w:tc>
        <w:tc>
          <w:tcPr>
            <w:tcW w:w="960" w:type="dxa"/>
            <w:shd w:val="clear" w:color="auto" w:fill="DDDDDD"/>
          </w:tcPr>
          <w:p w14:paraId="4139983D" w14:textId="77777777" w:rsidR="005D2595" w:rsidRPr="0067507D" w:rsidRDefault="005D2595" w:rsidP="00FC3AF2">
            <w:pPr>
              <w:pStyle w:val="Tabletextright"/>
            </w:pPr>
            <w:r w:rsidRPr="0067507D">
              <w:t>–</w:t>
            </w:r>
          </w:p>
        </w:tc>
        <w:tc>
          <w:tcPr>
            <w:tcW w:w="1233" w:type="dxa"/>
          </w:tcPr>
          <w:p w14:paraId="599234CD" w14:textId="77777777" w:rsidR="005D2595" w:rsidRPr="0067507D" w:rsidRDefault="005D2595" w:rsidP="00FC3AF2">
            <w:pPr>
              <w:pStyle w:val="Tabletextright"/>
            </w:pPr>
            <w:r w:rsidRPr="0067507D">
              <w:t>–</w:t>
            </w:r>
          </w:p>
        </w:tc>
        <w:tc>
          <w:tcPr>
            <w:tcW w:w="1234" w:type="dxa"/>
          </w:tcPr>
          <w:p w14:paraId="590071BD" w14:textId="77777777" w:rsidR="005D2595" w:rsidRPr="0067507D" w:rsidRDefault="005D2595" w:rsidP="00FC3AF2">
            <w:pPr>
              <w:pStyle w:val="Tabletextright"/>
            </w:pPr>
            <w:r w:rsidRPr="0067507D">
              <w:t xml:space="preserve">7 324 </w:t>
            </w:r>
          </w:p>
        </w:tc>
        <w:tc>
          <w:tcPr>
            <w:tcW w:w="1234" w:type="dxa"/>
            <w:shd w:val="clear" w:color="auto" w:fill="DDDDDD"/>
          </w:tcPr>
          <w:p w14:paraId="011854A1" w14:textId="77777777" w:rsidR="005D2595" w:rsidRPr="0067507D" w:rsidRDefault="005D2595" w:rsidP="00FC3AF2">
            <w:pPr>
              <w:pStyle w:val="Tabletextright"/>
            </w:pPr>
            <w:r w:rsidRPr="0067507D">
              <w:t>–</w:t>
            </w:r>
          </w:p>
        </w:tc>
        <w:tc>
          <w:tcPr>
            <w:tcW w:w="1234" w:type="dxa"/>
          </w:tcPr>
          <w:p w14:paraId="1D73465C" w14:textId="77777777" w:rsidR="005D2595" w:rsidRPr="0067507D" w:rsidRDefault="005D2595" w:rsidP="00FC3AF2">
            <w:pPr>
              <w:pStyle w:val="Tabletextright"/>
            </w:pPr>
            <w:r w:rsidRPr="0067507D">
              <w:t xml:space="preserve">7 324 </w:t>
            </w:r>
          </w:p>
        </w:tc>
      </w:tr>
      <w:tr w:rsidR="005D2595" w:rsidRPr="0067507D" w14:paraId="3D9B347C" w14:textId="77777777" w:rsidTr="00FC3AF2">
        <w:trPr>
          <w:trHeight w:val="165"/>
        </w:trPr>
        <w:tc>
          <w:tcPr>
            <w:tcW w:w="3330" w:type="dxa"/>
          </w:tcPr>
          <w:p w14:paraId="56FBD001" w14:textId="77777777" w:rsidR="005D2595" w:rsidRPr="0067507D" w:rsidRDefault="005D2595" w:rsidP="00FC3AF2">
            <w:pPr>
              <w:pStyle w:val="Tabletext"/>
              <w:rPr>
                <w:sz w:val="8"/>
              </w:rPr>
            </w:pPr>
          </w:p>
        </w:tc>
        <w:tc>
          <w:tcPr>
            <w:tcW w:w="1282" w:type="dxa"/>
            <w:shd w:val="clear" w:color="auto" w:fill="DDDDDD"/>
          </w:tcPr>
          <w:p w14:paraId="156787E3" w14:textId="77777777" w:rsidR="005D2595" w:rsidRPr="0067507D" w:rsidRDefault="005D2595" w:rsidP="00FC3AF2">
            <w:pPr>
              <w:pStyle w:val="Tabletextright"/>
              <w:rPr>
                <w:sz w:val="8"/>
              </w:rPr>
            </w:pPr>
          </w:p>
        </w:tc>
        <w:tc>
          <w:tcPr>
            <w:tcW w:w="1193" w:type="dxa"/>
          </w:tcPr>
          <w:p w14:paraId="3FD4DAEB" w14:textId="77777777" w:rsidR="005D2595" w:rsidRPr="0067507D" w:rsidRDefault="005D2595" w:rsidP="00FC3AF2">
            <w:pPr>
              <w:pStyle w:val="Tabletextright"/>
              <w:rPr>
                <w:sz w:val="8"/>
              </w:rPr>
            </w:pPr>
          </w:p>
        </w:tc>
        <w:tc>
          <w:tcPr>
            <w:tcW w:w="180" w:type="dxa"/>
          </w:tcPr>
          <w:p w14:paraId="63DF3FD6" w14:textId="77777777" w:rsidR="005D2595" w:rsidRPr="0067507D" w:rsidRDefault="005D2595" w:rsidP="00FC3AF2">
            <w:pPr>
              <w:pStyle w:val="Tabletextright"/>
              <w:rPr>
                <w:sz w:val="8"/>
              </w:rPr>
            </w:pPr>
          </w:p>
        </w:tc>
        <w:tc>
          <w:tcPr>
            <w:tcW w:w="960" w:type="dxa"/>
            <w:shd w:val="clear" w:color="auto" w:fill="DDDDDD"/>
          </w:tcPr>
          <w:p w14:paraId="06A0E61D" w14:textId="77777777" w:rsidR="005D2595" w:rsidRPr="0067507D" w:rsidRDefault="005D2595" w:rsidP="00FC3AF2">
            <w:pPr>
              <w:pStyle w:val="Tabletextright"/>
              <w:rPr>
                <w:sz w:val="8"/>
              </w:rPr>
            </w:pPr>
          </w:p>
        </w:tc>
        <w:tc>
          <w:tcPr>
            <w:tcW w:w="960" w:type="dxa"/>
          </w:tcPr>
          <w:p w14:paraId="65A89331" w14:textId="77777777" w:rsidR="005D2595" w:rsidRPr="0067507D" w:rsidRDefault="005D2595" w:rsidP="00FC3AF2">
            <w:pPr>
              <w:pStyle w:val="Tabletextright"/>
              <w:rPr>
                <w:sz w:val="8"/>
              </w:rPr>
            </w:pPr>
          </w:p>
        </w:tc>
        <w:tc>
          <w:tcPr>
            <w:tcW w:w="960" w:type="dxa"/>
            <w:shd w:val="clear" w:color="auto" w:fill="DDDDDD"/>
          </w:tcPr>
          <w:p w14:paraId="0F23A289" w14:textId="77777777" w:rsidR="005D2595" w:rsidRPr="0067507D" w:rsidRDefault="005D2595" w:rsidP="00FC3AF2">
            <w:pPr>
              <w:pStyle w:val="Tabletextright"/>
              <w:rPr>
                <w:sz w:val="8"/>
              </w:rPr>
            </w:pPr>
          </w:p>
        </w:tc>
        <w:tc>
          <w:tcPr>
            <w:tcW w:w="1233" w:type="dxa"/>
          </w:tcPr>
          <w:p w14:paraId="651F0C2D" w14:textId="77777777" w:rsidR="005D2595" w:rsidRPr="0067507D" w:rsidRDefault="005D2595" w:rsidP="00FC3AF2">
            <w:pPr>
              <w:pStyle w:val="Tabletextright"/>
              <w:rPr>
                <w:sz w:val="8"/>
              </w:rPr>
            </w:pPr>
          </w:p>
        </w:tc>
        <w:tc>
          <w:tcPr>
            <w:tcW w:w="1234" w:type="dxa"/>
          </w:tcPr>
          <w:p w14:paraId="73231334" w14:textId="77777777" w:rsidR="005D2595" w:rsidRPr="0067507D" w:rsidRDefault="005D2595" w:rsidP="00FC3AF2">
            <w:pPr>
              <w:pStyle w:val="Tabletextright"/>
              <w:rPr>
                <w:sz w:val="8"/>
              </w:rPr>
            </w:pPr>
          </w:p>
        </w:tc>
        <w:tc>
          <w:tcPr>
            <w:tcW w:w="1234" w:type="dxa"/>
            <w:shd w:val="clear" w:color="auto" w:fill="DDDDDD"/>
          </w:tcPr>
          <w:p w14:paraId="23A4B192" w14:textId="77777777" w:rsidR="005D2595" w:rsidRPr="0067507D" w:rsidRDefault="005D2595" w:rsidP="00FC3AF2">
            <w:pPr>
              <w:pStyle w:val="Tabletextright"/>
              <w:rPr>
                <w:sz w:val="8"/>
              </w:rPr>
            </w:pPr>
          </w:p>
        </w:tc>
        <w:tc>
          <w:tcPr>
            <w:tcW w:w="1234" w:type="dxa"/>
          </w:tcPr>
          <w:p w14:paraId="003CF54D" w14:textId="77777777" w:rsidR="005D2595" w:rsidRPr="0067507D" w:rsidRDefault="005D2595" w:rsidP="00FC3AF2">
            <w:pPr>
              <w:pStyle w:val="Tabletextright"/>
              <w:rPr>
                <w:sz w:val="8"/>
              </w:rPr>
            </w:pPr>
          </w:p>
        </w:tc>
      </w:tr>
      <w:tr w:rsidR="005D2595" w:rsidRPr="0067507D" w14:paraId="3E1926CC" w14:textId="77777777" w:rsidTr="00FC3AF2">
        <w:trPr>
          <w:trHeight w:val="165"/>
        </w:trPr>
        <w:tc>
          <w:tcPr>
            <w:tcW w:w="3330" w:type="dxa"/>
          </w:tcPr>
          <w:p w14:paraId="063944A8" w14:textId="77777777" w:rsidR="005D2595" w:rsidRPr="0067507D" w:rsidRDefault="005D2595" w:rsidP="00FC3AF2">
            <w:pPr>
              <w:pStyle w:val="Tabletextbold"/>
            </w:pPr>
            <w:r w:rsidRPr="0067507D">
              <w:t>Administered</w:t>
            </w:r>
          </w:p>
        </w:tc>
        <w:tc>
          <w:tcPr>
            <w:tcW w:w="1282" w:type="dxa"/>
            <w:shd w:val="clear" w:color="auto" w:fill="DDDDDD"/>
          </w:tcPr>
          <w:p w14:paraId="5E0B8718" w14:textId="77777777" w:rsidR="005D2595" w:rsidRPr="0067507D" w:rsidRDefault="005D2595" w:rsidP="00FC3AF2">
            <w:pPr>
              <w:pStyle w:val="Tabletextright"/>
            </w:pPr>
          </w:p>
        </w:tc>
        <w:tc>
          <w:tcPr>
            <w:tcW w:w="1193" w:type="dxa"/>
          </w:tcPr>
          <w:p w14:paraId="7B4A880B" w14:textId="77777777" w:rsidR="005D2595" w:rsidRPr="0067507D" w:rsidRDefault="005D2595" w:rsidP="00FC3AF2">
            <w:pPr>
              <w:pStyle w:val="Tabletextright"/>
            </w:pPr>
          </w:p>
        </w:tc>
        <w:tc>
          <w:tcPr>
            <w:tcW w:w="180" w:type="dxa"/>
          </w:tcPr>
          <w:p w14:paraId="75521683" w14:textId="77777777" w:rsidR="005D2595" w:rsidRPr="0067507D" w:rsidRDefault="005D2595" w:rsidP="00FC3AF2">
            <w:pPr>
              <w:pStyle w:val="Tabletextright"/>
            </w:pPr>
          </w:p>
        </w:tc>
        <w:tc>
          <w:tcPr>
            <w:tcW w:w="960" w:type="dxa"/>
            <w:shd w:val="clear" w:color="auto" w:fill="DDDDDD"/>
          </w:tcPr>
          <w:p w14:paraId="69369DFE" w14:textId="77777777" w:rsidR="005D2595" w:rsidRPr="0067507D" w:rsidRDefault="005D2595" w:rsidP="00FC3AF2">
            <w:pPr>
              <w:pStyle w:val="Tabletextright"/>
            </w:pPr>
          </w:p>
        </w:tc>
        <w:tc>
          <w:tcPr>
            <w:tcW w:w="960" w:type="dxa"/>
          </w:tcPr>
          <w:p w14:paraId="6F580398" w14:textId="77777777" w:rsidR="005D2595" w:rsidRPr="0067507D" w:rsidRDefault="005D2595" w:rsidP="00FC3AF2">
            <w:pPr>
              <w:pStyle w:val="Tabletextright"/>
            </w:pPr>
          </w:p>
        </w:tc>
        <w:tc>
          <w:tcPr>
            <w:tcW w:w="960" w:type="dxa"/>
            <w:shd w:val="clear" w:color="auto" w:fill="DDDDDD"/>
          </w:tcPr>
          <w:p w14:paraId="1E8ED4C2" w14:textId="77777777" w:rsidR="005D2595" w:rsidRPr="0067507D" w:rsidRDefault="005D2595" w:rsidP="00FC3AF2">
            <w:pPr>
              <w:pStyle w:val="Tabletextright"/>
            </w:pPr>
          </w:p>
        </w:tc>
        <w:tc>
          <w:tcPr>
            <w:tcW w:w="1233" w:type="dxa"/>
          </w:tcPr>
          <w:p w14:paraId="6884D7BD" w14:textId="77777777" w:rsidR="005D2595" w:rsidRPr="0067507D" w:rsidRDefault="005D2595" w:rsidP="00FC3AF2">
            <w:pPr>
              <w:pStyle w:val="Tabletextright"/>
            </w:pPr>
          </w:p>
        </w:tc>
        <w:tc>
          <w:tcPr>
            <w:tcW w:w="1234" w:type="dxa"/>
          </w:tcPr>
          <w:p w14:paraId="4B554F84" w14:textId="77777777" w:rsidR="005D2595" w:rsidRPr="0067507D" w:rsidRDefault="005D2595" w:rsidP="00FC3AF2">
            <w:pPr>
              <w:pStyle w:val="Tabletextright"/>
            </w:pPr>
          </w:p>
        </w:tc>
        <w:tc>
          <w:tcPr>
            <w:tcW w:w="1234" w:type="dxa"/>
            <w:shd w:val="clear" w:color="auto" w:fill="DDDDDD"/>
          </w:tcPr>
          <w:p w14:paraId="22D85D56" w14:textId="77777777" w:rsidR="005D2595" w:rsidRPr="0067507D" w:rsidRDefault="005D2595" w:rsidP="00FC3AF2">
            <w:pPr>
              <w:pStyle w:val="Tabletextright"/>
            </w:pPr>
          </w:p>
        </w:tc>
        <w:tc>
          <w:tcPr>
            <w:tcW w:w="1234" w:type="dxa"/>
          </w:tcPr>
          <w:p w14:paraId="618172AC" w14:textId="77777777" w:rsidR="005D2595" w:rsidRPr="0067507D" w:rsidRDefault="005D2595" w:rsidP="00FC3AF2">
            <w:pPr>
              <w:pStyle w:val="Tabletextright"/>
            </w:pPr>
          </w:p>
        </w:tc>
      </w:tr>
      <w:tr w:rsidR="005D2595" w:rsidRPr="0067507D" w14:paraId="75567D01" w14:textId="77777777" w:rsidTr="00FC3AF2">
        <w:trPr>
          <w:trHeight w:val="165"/>
        </w:trPr>
        <w:tc>
          <w:tcPr>
            <w:tcW w:w="3330" w:type="dxa"/>
          </w:tcPr>
          <w:p w14:paraId="65F232AE" w14:textId="77777777" w:rsidR="005D2595" w:rsidRPr="0067507D" w:rsidRDefault="005D2595" w:rsidP="00FC3AF2">
            <w:pPr>
              <w:pStyle w:val="Tabletext"/>
            </w:pPr>
            <w:r w:rsidRPr="0067507D">
              <w:t>Payments made on behalf of State</w:t>
            </w:r>
          </w:p>
        </w:tc>
        <w:tc>
          <w:tcPr>
            <w:tcW w:w="1282" w:type="dxa"/>
            <w:shd w:val="clear" w:color="auto" w:fill="DDDDDD"/>
          </w:tcPr>
          <w:p w14:paraId="178F1D7F" w14:textId="77777777" w:rsidR="005D2595" w:rsidRPr="0067507D" w:rsidRDefault="005D2595" w:rsidP="00FC3AF2">
            <w:pPr>
              <w:pStyle w:val="Tabletextright"/>
            </w:pPr>
            <w:r w:rsidRPr="0067507D">
              <w:t xml:space="preserve">12 047 496 </w:t>
            </w:r>
          </w:p>
        </w:tc>
        <w:tc>
          <w:tcPr>
            <w:tcW w:w="1193" w:type="dxa"/>
          </w:tcPr>
          <w:p w14:paraId="686B5445" w14:textId="77777777" w:rsidR="005D2595" w:rsidRPr="0067507D" w:rsidRDefault="005D2595" w:rsidP="00FC3AF2">
            <w:pPr>
              <w:pStyle w:val="Tabletextright"/>
            </w:pPr>
            <w:r w:rsidRPr="0067507D">
              <w:t xml:space="preserve">182 723 </w:t>
            </w:r>
          </w:p>
        </w:tc>
        <w:tc>
          <w:tcPr>
            <w:tcW w:w="180" w:type="dxa"/>
          </w:tcPr>
          <w:p w14:paraId="788CD1AD" w14:textId="77777777" w:rsidR="005D2595" w:rsidRPr="0067507D" w:rsidRDefault="005D2595" w:rsidP="00FC3AF2">
            <w:pPr>
              <w:pStyle w:val="Tabletextright"/>
            </w:pPr>
          </w:p>
        </w:tc>
        <w:tc>
          <w:tcPr>
            <w:tcW w:w="960" w:type="dxa"/>
            <w:shd w:val="clear" w:color="auto" w:fill="DDDDDD"/>
          </w:tcPr>
          <w:p w14:paraId="4D54C84B" w14:textId="77777777" w:rsidR="005D2595" w:rsidRPr="0067507D" w:rsidRDefault="005D2595" w:rsidP="00FC3AF2">
            <w:pPr>
              <w:pStyle w:val="Tabletextright"/>
            </w:pPr>
            <w:r w:rsidRPr="0067507D">
              <w:t>–</w:t>
            </w:r>
          </w:p>
        </w:tc>
        <w:tc>
          <w:tcPr>
            <w:tcW w:w="960" w:type="dxa"/>
          </w:tcPr>
          <w:p w14:paraId="4894B532" w14:textId="77777777" w:rsidR="005D2595" w:rsidRPr="0067507D" w:rsidRDefault="005D2595" w:rsidP="00FC3AF2">
            <w:pPr>
              <w:pStyle w:val="Tabletextright"/>
            </w:pPr>
            <w:r w:rsidRPr="0067507D">
              <w:t>–</w:t>
            </w:r>
          </w:p>
        </w:tc>
        <w:tc>
          <w:tcPr>
            <w:tcW w:w="960" w:type="dxa"/>
            <w:shd w:val="clear" w:color="auto" w:fill="DDDDDD"/>
          </w:tcPr>
          <w:p w14:paraId="0BF811BD" w14:textId="77777777" w:rsidR="005D2595" w:rsidRPr="0067507D" w:rsidRDefault="005D2595" w:rsidP="00FC3AF2">
            <w:pPr>
              <w:pStyle w:val="Tabletextright"/>
            </w:pPr>
            <w:r w:rsidRPr="0067507D">
              <w:t>–</w:t>
            </w:r>
          </w:p>
        </w:tc>
        <w:tc>
          <w:tcPr>
            <w:tcW w:w="1233" w:type="dxa"/>
          </w:tcPr>
          <w:p w14:paraId="46CD3994" w14:textId="77777777" w:rsidR="005D2595" w:rsidRPr="0067507D" w:rsidRDefault="005D2595" w:rsidP="00FC3AF2">
            <w:pPr>
              <w:pStyle w:val="Tabletextright"/>
            </w:pPr>
            <w:r w:rsidRPr="0067507D">
              <w:t>–</w:t>
            </w:r>
          </w:p>
        </w:tc>
        <w:tc>
          <w:tcPr>
            <w:tcW w:w="1234" w:type="dxa"/>
          </w:tcPr>
          <w:p w14:paraId="4A26CC44" w14:textId="77777777" w:rsidR="005D2595" w:rsidRPr="0067507D" w:rsidRDefault="005D2595" w:rsidP="00FC3AF2">
            <w:pPr>
              <w:pStyle w:val="Tabletextright"/>
            </w:pPr>
            <w:r w:rsidRPr="0067507D">
              <w:t xml:space="preserve">12 230 219 </w:t>
            </w:r>
          </w:p>
        </w:tc>
        <w:tc>
          <w:tcPr>
            <w:tcW w:w="1234" w:type="dxa"/>
            <w:shd w:val="clear" w:color="auto" w:fill="DDDDDD"/>
          </w:tcPr>
          <w:p w14:paraId="4D771CF3" w14:textId="77777777" w:rsidR="005D2595" w:rsidRPr="0067507D" w:rsidRDefault="005D2595" w:rsidP="00FC3AF2">
            <w:pPr>
              <w:pStyle w:val="Tabletextright"/>
            </w:pPr>
            <w:r w:rsidRPr="0067507D">
              <w:t xml:space="preserve">7 233 273 </w:t>
            </w:r>
          </w:p>
        </w:tc>
        <w:tc>
          <w:tcPr>
            <w:tcW w:w="1234" w:type="dxa"/>
          </w:tcPr>
          <w:p w14:paraId="6D9E84B8" w14:textId="77777777" w:rsidR="005D2595" w:rsidRPr="0067507D" w:rsidRDefault="005D2595" w:rsidP="00FC3AF2">
            <w:pPr>
              <w:pStyle w:val="Tabletextright"/>
            </w:pPr>
            <w:r w:rsidRPr="0067507D">
              <w:t xml:space="preserve">4 996 946 </w:t>
            </w:r>
          </w:p>
        </w:tc>
      </w:tr>
      <w:tr w:rsidR="005D2595" w:rsidRPr="0067507D" w14:paraId="220F8BD9" w14:textId="77777777" w:rsidTr="00FC3AF2">
        <w:trPr>
          <w:trHeight w:val="180"/>
        </w:trPr>
        <w:tc>
          <w:tcPr>
            <w:tcW w:w="3330" w:type="dxa"/>
          </w:tcPr>
          <w:p w14:paraId="12067A70" w14:textId="77777777" w:rsidR="005D2595" w:rsidRPr="0067507D" w:rsidRDefault="005D2595" w:rsidP="00FC3AF2">
            <w:pPr>
              <w:pStyle w:val="Tabletextbold"/>
            </w:pPr>
            <w:r w:rsidRPr="0067507D">
              <w:t>Total</w:t>
            </w:r>
          </w:p>
        </w:tc>
        <w:tc>
          <w:tcPr>
            <w:tcW w:w="1282" w:type="dxa"/>
            <w:shd w:val="clear" w:color="auto" w:fill="DDDDDD"/>
          </w:tcPr>
          <w:p w14:paraId="1D93E3E5" w14:textId="77777777" w:rsidR="005D2595" w:rsidRPr="0067507D" w:rsidRDefault="005D2595" w:rsidP="00FC3AF2">
            <w:pPr>
              <w:pStyle w:val="Tabletextrightbold"/>
            </w:pPr>
            <w:r w:rsidRPr="0067507D">
              <w:t xml:space="preserve">12 494 680 </w:t>
            </w:r>
          </w:p>
        </w:tc>
        <w:tc>
          <w:tcPr>
            <w:tcW w:w="1193" w:type="dxa"/>
          </w:tcPr>
          <w:p w14:paraId="4D9A8D6D" w14:textId="77777777" w:rsidR="005D2595" w:rsidRPr="0067507D" w:rsidRDefault="005D2595" w:rsidP="00FC3AF2">
            <w:pPr>
              <w:pStyle w:val="Tabletextrightbold"/>
            </w:pPr>
            <w:r w:rsidRPr="0067507D">
              <w:t xml:space="preserve">213 176 </w:t>
            </w:r>
          </w:p>
        </w:tc>
        <w:tc>
          <w:tcPr>
            <w:tcW w:w="180" w:type="dxa"/>
          </w:tcPr>
          <w:p w14:paraId="3D306225" w14:textId="77777777" w:rsidR="005D2595" w:rsidRPr="0067507D" w:rsidRDefault="005D2595" w:rsidP="00FC3AF2">
            <w:pPr>
              <w:pStyle w:val="Tabletextrightbold"/>
            </w:pPr>
          </w:p>
        </w:tc>
        <w:tc>
          <w:tcPr>
            <w:tcW w:w="960" w:type="dxa"/>
            <w:shd w:val="clear" w:color="auto" w:fill="DDDDDD"/>
          </w:tcPr>
          <w:p w14:paraId="0431ED3A" w14:textId="77777777" w:rsidR="005D2595" w:rsidRPr="0067507D" w:rsidRDefault="005D2595" w:rsidP="00FC3AF2">
            <w:pPr>
              <w:pStyle w:val="Tabletextrightbold"/>
            </w:pPr>
            <w:r w:rsidRPr="0067507D">
              <w:t xml:space="preserve">8 615 </w:t>
            </w:r>
          </w:p>
        </w:tc>
        <w:tc>
          <w:tcPr>
            <w:tcW w:w="960" w:type="dxa"/>
          </w:tcPr>
          <w:p w14:paraId="0A667E00" w14:textId="77777777" w:rsidR="005D2595" w:rsidRPr="0067507D" w:rsidRDefault="005D2595" w:rsidP="00FC3AF2">
            <w:pPr>
              <w:pStyle w:val="Tabletextrightbold"/>
            </w:pPr>
            <w:r w:rsidRPr="0067507D">
              <w:t xml:space="preserve">– </w:t>
            </w:r>
          </w:p>
        </w:tc>
        <w:tc>
          <w:tcPr>
            <w:tcW w:w="960" w:type="dxa"/>
            <w:shd w:val="clear" w:color="auto" w:fill="DDDDDD"/>
          </w:tcPr>
          <w:p w14:paraId="18FC74C2" w14:textId="77777777" w:rsidR="005D2595" w:rsidRPr="0067507D" w:rsidRDefault="005D2595" w:rsidP="00FC3AF2">
            <w:pPr>
              <w:pStyle w:val="Tabletextrightbold"/>
            </w:pPr>
            <w:r w:rsidRPr="0067507D">
              <w:t xml:space="preserve">23 615 </w:t>
            </w:r>
          </w:p>
        </w:tc>
        <w:tc>
          <w:tcPr>
            <w:tcW w:w="1233" w:type="dxa"/>
          </w:tcPr>
          <w:p w14:paraId="2817F724" w14:textId="77777777" w:rsidR="005D2595" w:rsidRPr="0067507D" w:rsidRDefault="005D2595" w:rsidP="00FC3AF2">
            <w:pPr>
              <w:pStyle w:val="Tabletextrightbold"/>
            </w:pPr>
            <w:r w:rsidRPr="0067507D">
              <w:t xml:space="preserve">– </w:t>
            </w:r>
          </w:p>
        </w:tc>
        <w:tc>
          <w:tcPr>
            <w:tcW w:w="1234" w:type="dxa"/>
          </w:tcPr>
          <w:p w14:paraId="3A70F08D" w14:textId="77777777" w:rsidR="005D2595" w:rsidRPr="0067507D" w:rsidRDefault="005D2595" w:rsidP="00FC3AF2">
            <w:pPr>
              <w:pStyle w:val="Tabletextrightbold"/>
            </w:pPr>
            <w:r w:rsidRPr="0067507D">
              <w:t xml:space="preserve">12 740 086 </w:t>
            </w:r>
          </w:p>
        </w:tc>
        <w:tc>
          <w:tcPr>
            <w:tcW w:w="1234" w:type="dxa"/>
            <w:shd w:val="clear" w:color="auto" w:fill="DDDDDD"/>
          </w:tcPr>
          <w:p w14:paraId="19C92E36" w14:textId="77777777" w:rsidR="005D2595" w:rsidRPr="0067507D" w:rsidRDefault="005D2595" w:rsidP="00FC3AF2">
            <w:pPr>
              <w:pStyle w:val="Tabletextrightbold"/>
            </w:pPr>
            <w:r w:rsidRPr="0067507D">
              <w:t xml:space="preserve">7 688 505 </w:t>
            </w:r>
          </w:p>
        </w:tc>
        <w:tc>
          <w:tcPr>
            <w:tcW w:w="1234" w:type="dxa"/>
          </w:tcPr>
          <w:p w14:paraId="55FE910D" w14:textId="77777777" w:rsidR="005D2595" w:rsidRPr="0067507D" w:rsidRDefault="005D2595" w:rsidP="00FC3AF2">
            <w:pPr>
              <w:pStyle w:val="Tabletextrightbold"/>
            </w:pPr>
            <w:r w:rsidRPr="0067507D">
              <w:t xml:space="preserve">5 051 581 </w:t>
            </w:r>
          </w:p>
        </w:tc>
      </w:tr>
      <w:tr w:rsidR="005D2595" w:rsidRPr="0067507D" w14:paraId="1C973A70" w14:textId="77777777" w:rsidTr="00FC3AF2">
        <w:trPr>
          <w:trHeight w:val="180"/>
        </w:trPr>
        <w:tc>
          <w:tcPr>
            <w:tcW w:w="3330" w:type="dxa"/>
          </w:tcPr>
          <w:p w14:paraId="4974BB6E" w14:textId="77777777" w:rsidR="005D2595" w:rsidRPr="0067507D" w:rsidRDefault="005D2595" w:rsidP="00FC3AF2">
            <w:pPr>
              <w:pStyle w:val="Tabletext"/>
              <w:rPr>
                <w:sz w:val="8"/>
              </w:rPr>
            </w:pPr>
          </w:p>
        </w:tc>
        <w:tc>
          <w:tcPr>
            <w:tcW w:w="1282" w:type="dxa"/>
            <w:shd w:val="clear" w:color="auto" w:fill="DDDDDD"/>
          </w:tcPr>
          <w:p w14:paraId="1E473C43" w14:textId="77777777" w:rsidR="005D2595" w:rsidRPr="0067507D" w:rsidRDefault="005D2595" w:rsidP="00FC3AF2">
            <w:pPr>
              <w:pStyle w:val="Tabletextright"/>
              <w:rPr>
                <w:sz w:val="8"/>
              </w:rPr>
            </w:pPr>
          </w:p>
        </w:tc>
        <w:tc>
          <w:tcPr>
            <w:tcW w:w="1193" w:type="dxa"/>
          </w:tcPr>
          <w:p w14:paraId="2DDF8CE4" w14:textId="77777777" w:rsidR="005D2595" w:rsidRPr="0067507D" w:rsidRDefault="005D2595" w:rsidP="00FC3AF2">
            <w:pPr>
              <w:pStyle w:val="Tabletextright"/>
              <w:rPr>
                <w:sz w:val="8"/>
              </w:rPr>
            </w:pPr>
          </w:p>
        </w:tc>
        <w:tc>
          <w:tcPr>
            <w:tcW w:w="180" w:type="dxa"/>
          </w:tcPr>
          <w:p w14:paraId="742CC34B" w14:textId="77777777" w:rsidR="005D2595" w:rsidRPr="0067507D" w:rsidRDefault="005D2595" w:rsidP="00FC3AF2">
            <w:pPr>
              <w:pStyle w:val="Tabletextright"/>
              <w:rPr>
                <w:bCs/>
                <w:color w:val="000000"/>
                <w:sz w:val="8"/>
                <w:szCs w:val="16"/>
              </w:rPr>
            </w:pPr>
          </w:p>
        </w:tc>
        <w:tc>
          <w:tcPr>
            <w:tcW w:w="960" w:type="dxa"/>
            <w:shd w:val="clear" w:color="auto" w:fill="DDDDDD"/>
          </w:tcPr>
          <w:p w14:paraId="744D047C" w14:textId="77777777" w:rsidR="005D2595" w:rsidRPr="0067507D" w:rsidRDefault="005D2595" w:rsidP="00FC3AF2">
            <w:pPr>
              <w:pStyle w:val="Tabletextright"/>
              <w:rPr>
                <w:bCs/>
                <w:color w:val="000000"/>
                <w:sz w:val="8"/>
                <w:szCs w:val="16"/>
              </w:rPr>
            </w:pPr>
          </w:p>
        </w:tc>
        <w:tc>
          <w:tcPr>
            <w:tcW w:w="960" w:type="dxa"/>
          </w:tcPr>
          <w:p w14:paraId="49B20D25" w14:textId="77777777" w:rsidR="005D2595" w:rsidRPr="0067507D" w:rsidRDefault="005D2595" w:rsidP="00FC3AF2">
            <w:pPr>
              <w:pStyle w:val="Tabletextright"/>
              <w:rPr>
                <w:bCs/>
                <w:color w:val="000000"/>
                <w:sz w:val="8"/>
                <w:szCs w:val="16"/>
              </w:rPr>
            </w:pPr>
          </w:p>
        </w:tc>
        <w:tc>
          <w:tcPr>
            <w:tcW w:w="960" w:type="dxa"/>
            <w:shd w:val="clear" w:color="auto" w:fill="DDDDDD"/>
          </w:tcPr>
          <w:p w14:paraId="4EAF2745" w14:textId="77777777" w:rsidR="005D2595" w:rsidRPr="0067507D" w:rsidRDefault="005D2595" w:rsidP="00FC3AF2">
            <w:pPr>
              <w:pStyle w:val="Tabletextright"/>
              <w:rPr>
                <w:bCs/>
                <w:color w:val="000000"/>
                <w:sz w:val="8"/>
                <w:szCs w:val="16"/>
              </w:rPr>
            </w:pPr>
          </w:p>
        </w:tc>
        <w:tc>
          <w:tcPr>
            <w:tcW w:w="1233" w:type="dxa"/>
          </w:tcPr>
          <w:p w14:paraId="3082724F" w14:textId="77777777" w:rsidR="005D2595" w:rsidRPr="0067507D" w:rsidRDefault="005D2595" w:rsidP="00FC3AF2">
            <w:pPr>
              <w:pStyle w:val="Tabletextright"/>
              <w:rPr>
                <w:bCs/>
                <w:color w:val="000000"/>
                <w:sz w:val="8"/>
                <w:szCs w:val="16"/>
              </w:rPr>
            </w:pPr>
          </w:p>
        </w:tc>
        <w:tc>
          <w:tcPr>
            <w:tcW w:w="1234" w:type="dxa"/>
          </w:tcPr>
          <w:p w14:paraId="17681E4A" w14:textId="77777777" w:rsidR="005D2595" w:rsidRPr="0067507D" w:rsidRDefault="005D2595" w:rsidP="00FC3AF2">
            <w:pPr>
              <w:pStyle w:val="Tabletextright"/>
              <w:rPr>
                <w:bCs/>
                <w:color w:val="000000"/>
                <w:sz w:val="8"/>
                <w:szCs w:val="16"/>
              </w:rPr>
            </w:pPr>
          </w:p>
        </w:tc>
        <w:tc>
          <w:tcPr>
            <w:tcW w:w="1234" w:type="dxa"/>
            <w:shd w:val="clear" w:color="auto" w:fill="DDDDDD"/>
          </w:tcPr>
          <w:p w14:paraId="105EAB57" w14:textId="77777777" w:rsidR="005D2595" w:rsidRPr="0067507D" w:rsidRDefault="005D2595" w:rsidP="00FC3AF2">
            <w:pPr>
              <w:pStyle w:val="Tabletextright"/>
              <w:rPr>
                <w:bCs/>
                <w:color w:val="000000"/>
                <w:sz w:val="8"/>
                <w:szCs w:val="16"/>
              </w:rPr>
            </w:pPr>
          </w:p>
        </w:tc>
        <w:tc>
          <w:tcPr>
            <w:tcW w:w="1234" w:type="dxa"/>
          </w:tcPr>
          <w:p w14:paraId="1ADFF3C3" w14:textId="77777777" w:rsidR="005D2595" w:rsidRPr="0067507D" w:rsidRDefault="005D2595" w:rsidP="00FC3AF2">
            <w:pPr>
              <w:pStyle w:val="Tabletextright"/>
              <w:rPr>
                <w:bCs/>
                <w:color w:val="000000"/>
                <w:sz w:val="8"/>
                <w:szCs w:val="16"/>
              </w:rPr>
            </w:pPr>
          </w:p>
        </w:tc>
      </w:tr>
      <w:tr w:rsidR="005D2595" w:rsidRPr="0067507D" w14:paraId="4FFCFA6D" w14:textId="77777777" w:rsidTr="00FC3AF2">
        <w:trPr>
          <w:trHeight w:val="270"/>
        </w:trPr>
        <w:tc>
          <w:tcPr>
            <w:tcW w:w="3330" w:type="dxa"/>
          </w:tcPr>
          <w:p w14:paraId="70A98FCF" w14:textId="77777777" w:rsidR="005D2595" w:rsidRPr="0067507D" w:rsidRDefault="005D2595" w:rsidP="00FC3AF2">
            <w:pPr>
              <w:pStyle w:val="Tabletextbold"/>
            </w:pPr>
            <w:r w:rsidRPr="0067507D">
              <w:t>2024</w:t>
            </w:r>
          </w:p>
        </w:tc>
        <w:tc>
          <w:tcPr>
            <w:tcW w:w="1282" w:type="dxa"/>
            <w:shd w:val="clear" w:color="auto" w:fill="DDDDDD"/>
          </w:tcPr>
          <w:p w14:paraId="33FEF016" w14:textId="77777777" w:rsidR="005D2595" w:rsidRPr="0067507D" w:rsidRDefault="005D2595" w:rsidP="00FC3AF2">
            <w:pPr>
              <w:pStyle w:val="Tabletextright"/>
            </w:pPr>
          </w:p>
        </w:tc>
        <w:tc>
          <w:tcPr>
            <w:tcW w:w="1193" w:type="dxa"/>
          </w:tcPr>
          <w:p w14:paraId="564D4772" w14:textId="77777777" w:rsidR="005D2595" w:rsidRPr="0067507D" w:rsidRDefault="005D2595" w:rsidP="00FC3AF2">
            <w:pPr>
              <w:pStyle w:val="Tabletextright"/>
            </w:pPr>
          </w:p>
        </w:tc>
        <w:tc>
          <w:tcPr>
            <w:tcW w:w="180" w:type="dxa"/>
          </w:tcPr>
          <w:p w14:paraId="6DBAB6E1" w14:textId="77777777" w:rsidR="005D2595" w:rsidRPr="0067507D" w:rsidRDefault="005D2595" w:rsidP="00FC3AF2">
            <w:pPr>
              <w:pStyle w:val="Tabletextright"/>
            </w:pPr>
          </w:p>
        </w:tc>
        <w:tc>
          <w:tcPr>
            <w:tcW w:w="960" w:type="dxa"/>
            <w:shd w:val="clear" w:color="auto" w:fill="DDDDDD"/>
          </w:tcPr>
          <w:p w14:paraId="2F06C71B" w14:textId="77777777" w:rsidR="005D2595" w:rsidRPr="0067507D" w:rsidRDefault="005D2595" w:rsidP="00FC3AF2">
            <w:pPr>
              <w:pStyle w:val="Tabletextright"/>
            </w:pPr>
          </w:p>
        </w:tc>
        <w:tc>
          <w:tcPr>
            <w:tcW w:w="960" w:type="dxa"/>
          </w:tcPr>
          <w:p w14:paraId="321129E8" w14:textId="77777777" w:rsidR="005D2595" w:rsidRPr="0067507D" w:rsidRDefault="005D2595" w:rsidP="00FC3AF2">
            <w:pPr>
              <w:pStyle w:val="Tabletextright"/>
            </w:pPr>
          </w:p>
        </w:tc>
        <w:tc>
          <w:tcPr>
            <w:tcW w:w="960" w:type="dxa"/>
            <w:shd w:val="clear" w:color="auto" w:fill="DDDDDD"/>
          </w:tcPr>
          <w:p w14:paraId="57816D9D" w14:textId="77777777" w:rsidR="005D2595" w:rsidRPr="0067507D" w:rsidRDefault="005D2595" w:rsidP="00FC3AF2">
            <w:pPr>
              <w:pStyle w:val="Tabletextright"/>
            </w:pPr>
          </w:p>
        </w:tc>
        <w:tc>
          <w:tcPr>
            <w:tcW w:w="1233" w:type="dxa"/>
          </w:tcPr>
          <w:p w14:paraId="1B57130D" w14:textId="77777777" w:rsidR="005D2595" w:rsidRPr="0067507D" w:rsidRDefault="005D2595" w:rsidP="00FC3AF2">
            <w:pPr>
              <w:pStyle w:val="Tabletextright"/>
            </w:pPr>
          </w:p>
        </w:tc>
        <w:tc>
          <w:tcPr>
            <w:tcW w:w="1234" w:type="dxa"/>
          </w:tcPr>
          <w:p w14:paraId="7682AC97" w14:textId="77777777" w:rsidR="005D2595" w:rsidRPr="0067507D" w:rsidRDefault="005D2595" w:rsidP="00FC3AF2">
            <w:pPr>
              <w:pStyle w:val="Tabletextright"/>
            </w:pPr>
          </w:p>
        </w:tc>
        <w:tc>
          <w:tcPr>
            <w:tcW w:w="1234" w:type="dxa"/>
            <w:shd w:val="clear" w:color="auto" w:fill="DDDDDD"/>
          </w:tcPr>
          <w:p w14:paraId="0E241904" w14:textId="77777777" w:rsidR="005D2595" w:rsidRPr="0067507D" w:rsidRDefault="005D2595" w:rsidP="00FC3AF2">
            <w:pPr>
              <w:pStyle w:val="Tabletextright"/>
            </w:pPr>
          </w:p>
        </w:tc>
        <w:tc>
          <w:tcPr>
            <w:tcW w:w="1234" w:type="dxa"/>
          </w:tcPr>
          <w:p w14:paraId="19E0612F" w14:textId="77777777" w:rsidR="005D2595" w:rsidRPr="0067507D" w:rsidRDefault="005D2595" w:rsidP="00FC3AF2">
            <w:pPr>
              <w:pStyle w:val="Tabletextright"/>
            </w:pPr>
          </w:p>
        </w:tc>
      </w:tr>
      <w:tr w:rsidR="005D2595" w:rsidRPr="0067507D" w14:paraId="12B182B2" w14:textId="77777777" w:rsidTr="00FC3AF2">
        <w:trPr>
          <w:trHeight w:val="165"/>
        </w:trPr>
        <w:tc>
          <w:tcPr>
            <w:tcW w:w="3330" w:type="dxa"/>
          </w:tcPr>
          <w:p w14:paraId="372003D6" w14:textId="77777777" w:rsidR="005D2595" w:rsidRPr="0067507D" w:rsidRDefault="005D2595" w:rsidP="00FC3AF2">
            <w:pPr>
              <w:pStyle w:val="Tabletextbold"/>
            </w:pPr>
            <w:r w:rsidRPr="0067507D">
              <w:t>Controlled</w:t>
            </w:r>
          </w:p>
        </w:tc>
        <w:tc>
          <w:tcPr>
            <w:tcW w:w="1282" w:type="dxa"/>
            <w:shd w:val="clear" w:color="auto" w:fill="DDDDDD"/>
          </w:tcPr>
          <w:p w14:paraId="623FF338" w14:textId="77777777" w:rsidR="005D2595" w:rsidRPr="0067507D" w:rsidRDefault="005D2595" w:rsidP="00FC3AF2">
            <w:pPr>
              <w:pStyle w:val="Tabletextright"/>
            </w:pPr>
          </w:p>
        </w:tc>
        <w:tc>
          <w:tcPr>
            <w:tcW w:w="1193" w:type="dxa"/>
          </w:tcPr>
          <w:p w14:paraId="4A629A50" w14:textId="77777777" w:rsidR="005D2595" w:rsidRPr="0067507D" w:rsidRDefault="005D2595" w:rsidP="00FC3AF2">
            <w:pPr>
              <w:pStyle w:val="Tabletextright"/>
            </w:pPr>
          </w:p>
        </w:tc>
        <w:tc>
          <w:tcPr>
            <w:tcW w:w="180" w:type="dxa"/>
          </w:tcPr>
          <w:p w14:paraId="43C6C947" w14:textId="77777777" w:rsidR="005D2595" w:rsidRPr="0067507D" w:rsidRDefault="005D2595" w:rsidP="00FC3AF2">
            <w:pPr>
              <w:pStyle w:val="Tabletextright"/>
            </w:pPr>
          </w:p>
        </w:tc>
        <w:tc>
          <w:tcPr>
            <w:tcW w:w="960" w:type="dxa"/>
            <w:shd w:val="clear" w:color="auto" w:fill="DDDDDD"/>
          </w:tcPr>
          <w:p w14:paraId="3C2476F2" w14:textId="77777777" w:rsidR="005D2595" w:rsidRPr="0067507D" w:rsidRDefault="005D2595" w:rsidP="00FC3AF2">
            <w:pPr>
              <w:pStyle w:val="Tabletextright"/>
            </w:pPr>
          </w:p>
        </w:tc>
        <w:tc>
          <w:tcPr>
            <w:tcW w:w="960" w:type="dxa"/>
          </w:tcPr>
          <w:p w14:paraId="5DF3E6B2" w14:textId="77777777" w:rsidR="005D2595" w:rsidRPr="0067507D" w:rsidRDefault="005D2595" w:rsidP="00FC3AF2">
            <w:pPr>
              <w:pStyle w:val="Tabletextright"/>
            </w:pPr>
          </w:p>
        </w:tc>
        <w:tc>
          <w:tcPr>
            <w:tcW w:w="960" w:type="dxa"/>
            <w:shd w:val="clear" w:color="auto" w:fill="DDDDDD"/>
          </w:tcPr>
          <w:p w14:paraId="70E6311F" w14:textId="77777777" w:rsidR="005D2595" w:rsidRPr="0067507D" w:rsidRDefault="005D2595" w:rsidP="00FC3AF2">
            <w:pPr>
              <w:pStyle w:val="Tabletextright"/>
            </w:pPr>
          </w:p>
        </w:tc>
        <w:tc>
          <w:tcPr>
            <w:tcW w:w="1233" w:type="dxa"/>
          </w:tcPr>
          <w:p w14:paraId="49F77922" w14:textId="77777777" w:rsidR="005D2595" w:rsidRPr="0067507D" w:rsidRDefault="005D2595" w:rsidP="00FC3AF2">
            <w:pPr>
              <w:pStyle w:val="Tabletextright"/>
            </w:pPr>
          </w:p>
        </w:tc>
        <w:tc>
          <w:tcPr>
            <w:tcW w:w="1234" w:type="dxa"/>
          </w:tcPr>
          <w:p w14:paraId="35EEE565" w14:textId="77777777" w:rsidR="005D2595" w:rsidRPr="0067507D" w:rsidRDefault="005D2595" w:rsidP="00FC3AF2">
            <w:pPr>
              <w:pStyle w:val="Tabletextright"/>
            </w:pPr>
          </w:p>
        </w:tc>
        <w:tc>
          <w:tcPr>
            <w:tcW w:w="1234" w:type="dxa"/>
            <w:shd w:val="clear" w:color="auto" w:fill="DDDDDD"/>
          </w:tcPr>
          <w:p w14:paraId="28E31794" w14:textId="77777777" w:rsidR="005D2595" w:rsidRPr="0067507D" w:rsidRDefault="005D2595" w:rsidP="00FC3AF2">
            <w:pPr>
              <w:pStyle w:val="Tabletextright"/>
            </w:pPr>
          </w:p>
        </w:tc>
        <w:tc>
          <w:tcPr>
            <w:tcW w:w="1234" w:type="dxa"/>
          </w:tcPr>
          <w:p w14:paraId="2B0C51F9" w14:textId="77777777" w:rsidR="005D2595" w:rsidRPr="0067507D" w:rsidRDefault="005D2595" w:rsidP="00FC3AF2">
            <w:pPr>
              <w:pStyle w:val="Tabletextright"/>
            </w:pPr>
          </w:p>
        </w:tc>
      </w:tr>
      <w:tr w:rsidR="005D2595" w:rsidRPr="0067507D" w14:paraId="040B5DB8" w14:textId="77777777" w:rsidTr="00FC3AF2">
        <w:trPr>
          <w:trHeight w:val="165"/>
        </w:trPr>
        <w:tc>
          <w:tcPr>
            <w:tcW w:w="3330" w:type="dxa"/>
          </w:tcPr>
          <w:p w14:paraId="3EEF93D9" w14:textId="77777777" w:rsidR="005D2595" w:rsidRPr="0067507D" w:rsidRDefault="005D2595" w:rsidP="00FC3AF2">
            <w:pPr>
              <w:pStyle w:val="Tabletext"/>
            </w:pPr>
            <w:r w:rsidRPr="0067507D">
              <w:t>Provision of outputs</w:t>
            </w:r>
          </w:p>
        </w:tc>
        <w:tc>
          <w:tcPr>
            <w:tcW w:w="1282" w:type="dxa"/>
            <w:shd w:val="clear" w:color="auto" w:fill="DDDDDD"/>
          </w:tcPr>
          <w:p w14:paraId="0807B39E" w14:textId="77777777" w:rsidR="005D2595" w:rsidRPr="0067507D" w:rsidRDefault="005D2595" w:rsidP="00FC3AF2">
            <w:pPr>
              <w:pStyle w:val="Tabletextright"/>
            </w:pPr>
            <w:r w:rsidRPr="0067507D">
              <w:t xml:space="preserve">403 019 </w:t>
            </w:r>
          </w:p>
        </w:tc>
        <w:tc>
          <w:tcPr>
            <w:tcW w:w="1193" w:type="dxa"/>
          </w:tcPr>
          <w:p w14:paraId="2A826853" w14:textId="77777777" w:rsidR="005D2595" w:rsidRPr="0067507D" w:rsidRDefault="005D2595" w:rsidP="00FC3AF2">
            <w:pPr>
              <w:pStyle w:val="Tabletextright"/>
            </w:pPr>
            <w:r w:rsidRPr="0067507D">
              <w:t xml:space="preserve">16 994 </w:t>
            </w:r>
          </w:p>
        </w:tc>
        <w:tc>
          <w:tcPr>
            <w:tcW w:w="180" w:type="dxa"/>
          </w:tcPr>
          <w:p w14:paraId="67E90D45" w14:textId="77777777" w:rsidR="005D2595" w:rsidRPr="0067507D" w:rsidRDefault="005D2595" w:rsidP="00FC3AF2">
            <w:pPr>
              <w:pStyle w:val="Tabletextright"/>
            </w:pPr>
          </w:p>
        </w:tc>
        <w:tc>
          <w:tcPr>
            <w:tcW w:w="960" w:type="dxa"/>
            <w:shd w:val="clear" w:color="auto" w:fill="DDDDDD"/>
          </w:tcPr>
          <w:p w14:paraId="72AEF717" w14:textId="77777777" w:rsidR="005D2595" w:rsidRPr="0067507D" w:rsidRDefault="005D2595" w:rsidP="00FC3AF2">
            <w:pPr>
              <w:pStyle w:val="Tabletextright"/>
            </w:pPr>
            <w:r w:rsidRPr="0067507D">
              <w:t xml:space="preserve">5 790 </w:t>
            </w:r>
          </w:p>
        </w:tc>
        <w:tc>
          <w:tcPr>
            <w:tcW w:w="960" w:type="dxa"/>
          </w:tcPr>
          <w:p w14:paraId="3D4A2431" w14:textId="77777777" w:rsidR="005D2595" w:rsidRPr="0067507D" w:rsidRDefault="005D2595" w:rsidP="00FC3AF2">
            <w:pPr>
              <w:pStyle w:val="Tabletextright"/>
            </w:pPr>
            <w:r w:rsidRPr="0067507D">
              <w:t xml:space="preserve">– </w:t>
            </w:r>
          </w:p>
        </w:tc>
        <w:tc>
          <w:tcPr>
            <w:tcW w:w="960" w:type="dxa"/>
            <w:shd w:val="clear" w:color="auto" w:fill="DDDDDD"/>
          </w:tcPr>
          <w:p w14:paraId="605B48EF" w14:textId="77777777" w:rsidR="005D2595" w:rsidRPr="0067507D" w:rsidRDefault="005D2595" w:rsidP="00FC3AF2">
            <w:pPr>
              <w:pStyle w:val="Tabletextright"/>
            </w:pPr>
            <w:r w:rsidRPr="0067507D">
              <w:t xml:space="preserve">14 944 </w:t>
            </w:r>
          </w:p>
        </w:tc>
        <w:tc>
          <w:tcPr>
            <w:tcW w:w="1233" w:type="dxa"/>
          </w:tcPr>
          <w:p w14:paraId="2909F090" w14:textId="77777777" w:rsidR="005D2595" w:rsidRPr="0067507D" w:rsidRDefault="005D2595" w:rsidP="00FC3AF2">
            <w:pPr>
              <w:pStyle w:val="Tabletextright"/>
            </w:pPr>
            <w:r w:rsidRPr="0067507D">
              <w:t xml:space="preserve">14 822 </w:t>
            </w:r>
          </w:p>
        </w:tc>
        <w:tc>
          <w:tcPr>
            <w:tcW w:w="1234" w:type="dxa"/>
          </w:tcPr>
          <w:p w14:paraId="7D5E81D3" w14:textId="77777777" w:rsidR="005D2595" w:rsidRPr="0067507D" w:rsidRDefault="005D2595" w:rsidP="00FC3AF2">
            <w:pPr>
              <w:pStyle w:val="Tabletextright"/>
            </w:pPr>
            <w:r w:rsidRPr="0067507D">
              <w:t xml:space="preserve">455 569 </w:t>
            </w:r>
          </w:p>
        </w:tc>
        <w:tc>
          <w:tcPr>
            <w:tcW w:w="1234" w:type="dxa"/>
            <w:shd w:val="clear" w:color="auto" w:fill="DDDDDD"/>
          </w:tcPr>
          <w:p w14:paraId="2DA780BA" w14:textId="77777777" w:rsidR="005D2595" w:rsidRPr="0067507D" w:rsidRDefault="005D2595" w:rsidP="00FC3AF2">
            <w:pPr>
              <w:pStyle w:val="Tabletextright"/>
            </w:pPr>
            <w:r w:rsidRPr="0067507D">
              <w:t xml:space="preserve">387 796 </w:t>
            </w:r>
          </w:p>
        </w:tc>
        <w:tc>
          <w:tcPr>
            <w:tcW w:w="1234" w:type="dxa"/>
          </w:tcPr>
          <w:p w14:paraId="0E0229D4" w14:textId="77777777" w:rsidR="005D2595" w:rsidRPr="0067507D" w:rsidRDefault="005D2595" w:rsidP="00FC3AF2">
            <w:pPr>
              <w:pStyle w:val="Tabletextright"/>
            </w:pPr>
            <w:r w:rsidRPr="0067507D">
              <w:t xml:space="preserve">67 773 </w:t>
            </w:r>
          </w:p>
        </w:tc>
      </w:tr>
      <w:tr w:rsidR="005D2595" w:rsidRPr="0067507D" w14:paraId="7BBD208A" w14:textId="77777777" w:rsidTr="00FC3AF2">
        <w:tc>
          <w:tcPr>
            <w:tcW w:w="3330" w:type="dxa"/>
          </w:tcPr>
          <w:p w14:paraId="43171C0F" w14:textId="77777777" w:rsidR="005D2595" w:rsidRPr="0067507D" w:rsidRDefault="005D2595" w:rsidP="00FC3AF2">
            <w:pPr>
              <w:pStyle w:val="Tabletext"/>
            </w:pPr>
            <w:r w:rsidRPr="0067507D">
              <w:t>Additions to net asset base</w:t>
            </w:r>
          </w:p>
        </w:tc>
        <w:tc>
          <w:tcPr>
            <w:tcW w:w="1282" w:type="dxa"/>
            <w:shd w:val="clear" w:color="auto" w:fill="DDDDDD"/>
          </w:tcPr>
          <w:p w14:paraId="689C3879" w14:textId="77777777" w:rsidR="005D2595" w:rsidRPr="0067507D" w:rsidRDefault="005D2595" w:rsidP="00FC3AF2">
            <w:pPr>
              <w:pStyle w:val="Tabletextright"/>
            </w:pPr>
            <w:r w:rsidRPr="0067507D">
              <w:t xml:space="preserve">10 286 </w:t>
            </w:r>
          </w:p>
        </w:tc>
        <w:tc>
          <w:tcPr>
            <w:tcW w:w="1193" w:type="dxa"/>
          </w:tcPr>
          <w:p w14:paraId="4C2F6FAB" w14:textId="77777777" w:rsidR="005D2595" w:rsidRPr="0067507D" w:rsidRDefault="005D2595" w:rsidP="00FC3AF2">
            <w:pPr>
              <w:pStyle w:val="Tabletextright"/>
            </w:pPr>
            <w:r w:rsidRPr="0067507D">
              <w:t xml:space="preserve">– </w:t>
            </w:r>
          </w:p>
        </w:tc>
        <w:tc>
          <w:tcPr>
            <w:tcW w:w="180" w:type="dxa"/>
          </w:tcPr>
          <w:p w14:paraId="52DBDAAC" w14:textId="77777777" w:rsidR="005D2595" w:rsidRPr="0067507D" w:rsidRDefault="005D2595" w:rsidP="00FC3AF2">
            <w:pPr>
              <w:pStyle w:val="Tabletextright"/>
            </w:pPr>
          </w:p>
        </w:tc>
        <w:tc>
          <w:tcPr>
            <w:tcW w:w="960" w:type="dxa"/>
            <w:shd w:val="clear" w:color="auto" w:fill="DDDDDD"/>
          </w:tcPr>
          <w:p w14:paraId="5760D35F" w14:textId="77777777" w:rsidR="005D2595" w:rsidRPr="0067507D" w:rsidRDefault="005D2595" w:rsidP="00FC3AF2">
            <w:pPr>
              <w:pStyle w:val="Tabletextright"/>
            </w:pPr>
            <w:r w:rsidRPr="0067507D">
              <w:t>–</w:t>
            </w:r>
          </w:p>
        </w:tc>
        <w:tc>
          <w:tcPr>
            <w:tcW w:w="960" w:type="dxa"/>
          </w:tcPr>
          <w:p w14:paraId="3899CA04" w14:textId="77777777" w:rsidR="005D2595" w:rsidRPr="0067507D" w:rsidRDefault="005D2595" w:rsidP="00FC3AF2">
            <w:pPr>
              <w:pStyle w:val="Tabletextright"/>
            </w:pPr>
            <w:r w:rsidRPr="0067507D">
              <w:t>–</w:t>
            </w:r>
          </w:p>
        </w:tc>
        <w:tc>
          <w:tcPr>
            <w:tcW w:w="960" w:type="dxa"/>
            <w:shd w:val="clear" w:color="auto" w:fill="DDDDDD"/>
          </w:tcPr>
          <w:p w14:paraId="7EE7C182" w14:textId="77777777" w:rsidR="005D2595" w:rsidRPr="0067507D" w:rsidRDefault="005D2595" w:rsidP="00FC3AF2">
            <w:pPr>
              <w:pStyle w:val="Tabletextright"/>
            </w:pPr>
            <w:r w:rsidRPr="0067507D">
              <w:t xml:space="preserve"> 504 </w:t>
            </w:r>
          </w:p>
        </w:tc>
        <w:tc>
          <w:tcPr>
            <w:tcW w:w="1233" w:type="dxa"/>
          </w:tcPr>
          <w:p w14:paraId="1BF79210" w14:textId="77777777" w:rsidR="005D2595" w:rsidRPr="0067507D" w:rsidRDefault="005D2595" w:rsidP="00FC3AF2">
            <w:pPr>
              <w:pStyle w:val="Tabletextright"/>
            </w:pPr>
            <w:r w:rsidRPr="0067507D">
              <w:t xml:space="preserve">– </w:t>
            </w:r>
          </w:p>
        </w:tc>
        <w:tc>
          <w:tcPr>
            <w:tcW w:w="1234" w:type="dxa"/>
          </w:tcPr>
          <w:p w14:paraId="03AB30C8" w14:textId="77777777" w:rsidR="005D2595" w:rsidRPr="0067507D" w:rsidRDefault="005D2595" w:rsidP="00FC3AF2">
            <w:pPr>
              <w:pStyle w:val="Tabletextright"/>
            </w:pPr>
            <w:r w:rsidRPr="0067507D">
              <w:t xml:space="preserve">10 790 </w:t>
            </w:r>
          </w:p>
        </w:tc>
        <w:tc>
          <w:tcPr>
            <w:tcW w:w="1234" w:type="dxa"/>
            <w:shd w:val="clear" w:color="auto" w:fill="DDDDDD"/>
          </w:tcPr>
          <w:p w14:paraId="597B0846" w14:textId="77777777" w:rsidR="005D2595" w:rsidRPr="0067507D" w:rsidRDefault="005D2595" w:rsidP="00FC3AF2">
            <w:pPr>
              <w:pStyle w:val="Tabletextright"/>
            </w:pPr>
            <w:r w:rsidRPr="0067507D">
              <w:t xml:space="preserve">1 974 </w:t>
            </w:r>
          </w:p>
        </w:tc>
        <w:tc>
          <w:tcPr>
            <w:tcW w:w="1234" w:type="dxa"/>
          </w:tcPr>
          <w:p w14:paraId="5FF9584B" w14:textId="77777777" w:rsidR="005D2595" w:rsidRPr="0067507D" w:rsidRDefault="005D2595" w:rsidP="00FC3AF2">
            <w:pPr>
              <w:pStyle w:val="Tabletextright"/>
            </w:pPr>
            <w:r w:rsidRPr="0067507D">
              <w:t xml:space="preserve">8 816 </w:t>
            </w:r>
          </w:p>
        </w:tc>
      </w:tr>
      <w:tr w:rsidR="005D2595" w:rsidRPr="0067507D" w14:paraId="11D48DF7" w14:textId="77777777" w:rsidTr="00FC3AF2">
        <w:trPr>
          <w:trHeight w:val="165"/>
        </w:trPr>
        <w:tc>
          <w:tcPr>
            <w:tcW w:w="3330" w:type="dxa"/>
          </w:tcPr>
          <w:p w14:paraId="21965289" w14:textId="77777777" w:rsidR="005D2595" w:rsidRPr="0067507D" w:rsidRDefault="005D2595" w:rsidP="00FC3AF2">
            <w:pPr>
              <w:pStyle w:val="Tabletext"/>
              <w:rPr>
                <w:sz w:val="8"/>
              </w:rPr>
            </w:pPr>
          </w:p>
        </w:tc>
        <w:tc>
          <w:tcPr>
            <w:tcW w:w="1282" w:type="dxa"/>
            <w:shd w:val="clear" w:color="auto" w:fill="DDDDDD"/>
          </w:tcPr>
          <w:p w14:paraId="1EE903C0" w14:textId="77777777" w:rsidR="005D2595" w:rsidRPr="0067507D" w:rsidRDefault="005D2595" w:rsidP="00FC3AF2">
            <w:pPr>
              <w:pStyle w:val="Tabletextright"/>
              <w:rPr>
                <w:sz w:val="8"/>
              </w:rPr>
            </w:pPr>
          </w:p>
        </w:tc>
        <w:tc>
          <w:tcPr>
            <w:tcW w:w="1193" w:type="dxa"/>
          </w:tcPr>
          <w:p w14:paraId="6C419625" w14:textId="77777777" w:rsidR="005D2595" w:rsidRPr="0067507D" w:rsidRDefault="005D2595" w:rsidP="00FC3AF2">
            <w:pPr>
              <w:pStyle w:val="Tabletextright"/>
              <w:rPr>
                <w:sz w:val="8"/>
              </w:rPr>
            </w:pPr>
          </w:p>
        </w:tc>
        <w:tc>
          <w:tcPr>
            <w:tcW w:w="180" w:type="dxa"/>
          </w:tcPr>
          <w:p w14:paraId="2B29E887" w14:textId="77777777" w:rsidR="005D2595" w:rsidRPr="0067507D" w:rsidRDefault="005D2595" w:rsidP="00FC3AF2">
            <w:pPr>
              <w:pStyle w:val="Tabletextright"/>
              <w:rPr>
                <w:sz w:val="8"/>
              </w:rPr>
            </w:pPr>
          </w:p>
        </w:tc>
        <w:tc>
          <w:tcPr>
            <w:tcW w:w="960" w:type="dxa"/>
            <w:shd w:val="clear" w:color="auto" w:fill="DDDDDD"/>
          </w:tcPr>
          <w:p w14:paraId="01CA49DB" w14:textId="77777777" w:rsidR="005D2595" w:rsidRPr="0067507D" w:rsidRDefault="005D2595" w:rsidP="00FC3AF2">
            <w:pPr>
              <w:pStyle w:val="Tabletextright"/>
              <w:rPr>
                <w:sz w:val="8"/>
              </w:rPr>
            </w:pPr>
          </w:p>
        </w:tc>
        <w:tc>
          <w:tcPr>
            <w:tcW w:w="960" w:type="dxa"/>
          </w:tcPr>
          <w:p w14:paraId="487FFC9F" w14:textId="77777777" w:rsidR="005D2595" w:rsidRPr="0067507D" w:rsidRDefault="005D2595" w:rsidP="00FC3AF2">
            <w:pPr>
              <w:pStyle w:val="Tabletextright"/>
              <w:rPr>
                <w:sz w:val="8"/>
              </w:rPr>
            </w:pPr>
          </w:p>
        </w:tc>
        <w:tc>
          <w:tcPr>
            <w:tcW w:w="960" w:type="dxa"/>
            <w:shd w:val="clear" w:color="auto" w:fill="DDDDDD"/>
          </w:tcPr>
          <w:p w14:paraId="710B4417" w14:textId="77777777" w:rsidR="005D2595" w:rsidRPr="0067507D" w:rsidRDefault="005D2595" w:rsidP="00FC3AF2">
            <w:pPr>
              <w:pStyle w:val="Tabletextright"/>
              <w:rPr>
                <w:sz w:val="8"/>
              </w:rPr>
            </w:pPr>
          </w:p>
        </w:tc>
        <w:tc>
          <w:tcPr>
            <w:tcW w:w="1233" w:type="dxa"/>
          </w:tcPr>
          <w:p w14:paraId="58401F83" w14:textId="77777777" w:rsidR="005D2595" w:rsidRPr="0067507D" w:rsidRDefault="005D2595" w:rsidP="00FC3AF2">
            <w:pPr>
              <w:pStyle w:val="Tabletextright"/>
              <w:rPr>
                <w:sz w:val="8"/>
              </w:rPr>
            </w:pPr>
          </w:p>
        </w:tc>
        <w:tc>
          <w:tcPr>
            <w:tcW w:w="1234" w:type="dxa"/>
          </w:tcPr>
          <w:p w14:paraId="2F05D9DB" w14:textId="77777777" w:rsidR="005D2595" w:rsidRPr="0067507D" w:rsidRDefault="005D2595" w:rsidP="00FC3AF2">
            <w:pPr>
              <w:pStyle w:val="Tabletextright"/>
              <w:rPr>
                <w:sz w:val="8"/>
              </w:rPr>
            </w:pPr>
          </w:p>
        </w:tc>
        <w:tc>
          <w:tcPr>
            <w:tcW w:w="1234" w:type="dxa"/>
            <w:shd w:val="clear" w:color="auto" w:fill="DDDDDD"/>
          </w:tcPr>
          <w:p w14:paraId="0E83644E" w14:textId="77777777" w:rsidR="005D2595" w:rsidRPr="0067507D" w:rsidRDefault="005D2595" w:rsidP="00FC3AF2">
            <w:pPr>
              <w:pStyle w:val="Tabletextright"/>
              <w:rPr>
                <w:sz w:val="8"/>
              </w:rPr>
            </w:pPr>
          </w:p>
        </w:tc>
        <w:tc>
          <w:tcPr>
            <w:tcW w:w="1234" w:type="dxa"/>
          </w:tcPr>
          <w:p w14:paraId="61ABAB39" w14:textId="77777777" w:rsidR="005D2595" w:rsidRPr="0067507D" w:rsidRDefault="005D2595" w:rsidP="00FC3AF2">
            <w:pPr>
              <w:pStyle w:val="Tabletextright"/>
              <w:rPr>
                <w:sz w:val="8"/>
              </w:rPr>
            </w:pPr>
          </w:p>
        </w:tc>
      </w:tr>
      <w:tr w:rsidR="005D2595" w:rsidRPr="0067507D" w14:paraId="08B6F472" w14:textId="77777777" w:rsidTr="00FC3AF2">
        <w:trPr>
          <w:trHeight w:val="165"/>
        </w:trPr>
        <w:tc>
          <w:tcPr>
            <w:tcW w:w="3330" w:type="dxa"/>
          </w:tcPr>
          <w:p w14:paraId="2256F18F" w14:textId="77777777" w:rsidR="005D2595" w:rsidRPr="0067507D" w:rsidRDefault="005D2595" w:rsidP="00FC3AF2">
            <w:pPr>
              <w:pStyle w:val="Tabletextbold"/>
            </w:pPr>
            <w:r w:rsidRPr="0067507D">
              <w:t>Administered</w:t>
            </w:r>
          </w:p>
        </w:tc>
        <w:tc>
          <w:tcPr>
            <w:tcW w:w="1282" w:type="dxa"/>
            <w:shd w:val="clear" w:color="auto" w:fill="DDDDDD"/>
          </w:tcPr>
          <w:p w14:paraId="7C7DB098" w14:textId="77777777" w:rsidR="005D2595" w:rsidRPr="0067507D" w:rsidRDefault="005D2595" w:rsidP="00FC3AF2">
            <w:pPr>
              <w:pStyle w:val="Tabletextright"/>
            </w:pPr>
          </w:p>
        </w:tc>
        <w:tc>
          <w:tcPr>
            <w:tcW w:w="1193" w:type="dxa"/>
          </w:tcPr>
          <w:p w14:paraId="7CECB984" w14:textId="77777777" w:rsidR="005D2595" w:rsidRPr="0067507D" w:rsidRDefault="005D2595" w:rsidP="00FC3AF2">
            <w:pPr>
              <w:pStyle w:val="Tabletextright"/>
            </w:pPr>
          </w:p>
        </w:tc>
        <w:tc>
          <w:tcPr>
            <w:tcW w:w="180" w:type="dxa"/>
          </w:tcPr>
          <w:p w14:paraId="2095F85D" w14:textId="77777777" w:rsidR="005D2595" w:rsidRPr="0067507D" w:rsidRDefault="005D2595" w:rsidP="00FC3AF2">
            <w:pPr>
              <w:pStyle w:val="Tabletextright"/>
            </w:pPr>
          </w:p>
        </w:tc>
        <w:tc>
          <w:tcPr>
            <w:tcW w:w="960" w:type="dxa"/>
            <w:shd w:val="clear" w:color="auto" w:fill="DDDDDD"/>
          </w:tcPr>
          <w:p w14:paraId="3465C18E" w14:textId="77777777" w:rsidR="005D2595" w:rsidRPr="0067507D" w:rsidRDefault="005D2595" w:rsidP="00FC3AF2">
            <w:pPr>
              <w:pStyle w:val="Tabletextright"/>
            </w:pPr>
          </w:p>
        </w:tc>
        <w:tc>
          <w:tcPr>
            <w:tcW w:w="960" w:type="dxa"/>
          </w:tcPr>
          <w:p w14:paraId="3EBF4026" w14:textId="77777777" w:rsidR="005D2595" w:rsidRPr="0067507D" w:rsidRDefault="005D2595" w:rsidP="00FC3AF2">
            <w:pPr>
              <w:pStyle w:val="Tabletextright"/>
            </w:pPr>
          </w:p>
        </w:tc>
        <w:tc>
          <w:tcPr>
            <w:tcW w:w="960" w:type="dxa"/>
            <w:shd w:val="clear" w:color="auto" w:fill="DDDDDD"/>
          </w:tcPr>
          <w:p w14:paraId="4A0CCA4B" w14:textId="77777777" w:rsidR="005D2595" w:rsidRPr="0067507D" w:rsidRDefault="005D2595" w:rsidP="00FC3AF2">
            <w:pPr>
              <w:pStyle w:val="Tabletextright"/>
            </w:pPr>
          </w:p>
        </w:tc>
        <w:tc>
          <w:tcPr>
            <w:tcW w:w="1233" w:type="dxa"/>
          </w:tcPr>
          <w:p w14:paraId="67B98CF0" w14:textId="77777777" w:rsidR="005D2595" w:rsidRPr="0067507D" w:rsidRDefault="005D2595" w:rsidP="00FC3AF2">
            <w:pPr>
              <w:pStyle w:val="Tabletextright"/>
            </w:pPr>
          </w:p>
        </w:tc>
        <w:tc>
          <w:tcPr>
            <w:tcW w:w="1234" w:type="dxa"/>
          </w:tcPr>
          <w:p w14:paraId="5460D064" w14:textId="77777777" w:rsidR="005D2595" w:rsidRPr="0067507D" w:rsidRDefault="005D2595" w:rsidP="00FC3AF2">
            <w:pPr>
              <w:pStyle w:val="Tabletextright"/>
            </w:pPr>
          </w:p>
        </w:tc>
        <w:tc>
          <w:tcPr>
            <w:tcW w:w="1234" w:type="dxa"/>
            <w:shd w:val="clear" w:color="auto" w:fill="DDDDDD"/>
          </w:tcPr>
          <w:p w14:paraId="21277A2D" w14:textId="77777777" w:rsidR="005D2595" w:rsidRPr="0067507D" w:rsidRDefault="005D2595" w:rsidP="00FC3AF2">
            <w:pPr>
              <w:pStyle w:val="Tabletextright"/>
            </w:pPr>
          </w:p>
        </w:tc>
        <w:tc>
          <w:tcPr>
            <w:tcW w:w="1234" w:type="dxa"/>
          </w:tcPr>
          <w:p w14:paraId="0286CEC4" w14:textId="77777777" w:rsidR="005D2595" w:rsidRPr="0067507D" w:rsidRDefault="005D2595" w:rsidP="00FC3AF2">
            <w:pPr>
              <w:pStyle w:val="Tabletextright"/>
            </w:pPr>
          </w:p>
        </w:tc>
      </w:tr>
      <w:tr w:rsidR="005D2595" w:rsidRPr="0067507D" w14:paraId="0CF07B5C" w14:textId="77777777" w:rsidTr="00FC3AF2">
        <w:trPr>
          <w:trHeight w:val="165"/>
        </w:trPr>
        <w:tc>
          <w:tcPr>
            <w:tcW w:w="3330" w:type="dxa"/>
          </w:tcPr>
          <w:p w14:paraId="6DCC7894" w14:textId="77777777" w:rsidR="005D2595" w:rsidRPr="0067507D" w:rsidRDefault="005D2595" w:rsidP="00FC3AF2">
            <w:pPr>
              <w:pStyle w:val="Tabletext"/>
            </w:pPr>
            <w:r w:rsidRPr="0067507D">
              <w:t>Payments made on behalf of State</w:t>
            </w:r>
          </w:p>
        </w:tc>
        <w:tc>
          <w:tcPr>
            <w:tcW w:w="1282" w:type="dxa"/>
            <w:shd w:val="clear" w:color="auto" w:fill="DDDDDD"/>
          </w:tcPr>
          <w:p w14:paraId="583ABB51" w14:textId="77777777" w:rsidR="005D2595" w:rsidRPr="0067507D" w:rsidRDefault="005D2595" w:rsidP="00FC3AF2">
            <w:pPr>
              <w:pStyle w:val="Tabletextright"/>
            </w:pPr>
            <w:r w:rsidRPr="0067507D">
              <w:t xml:space="preserve">10 151 154 </w:t>
            </w:r>
          </w:p>
        </w:tc>
        <w:tc>
          <w:tcPr>
            <w:tcW w:w="1193" w:type="dxa"/>
          </w:tcPr>
          <w:p w14:paraId="60310331" w14:textId="77777777" w:rsidR="005D2595" w:rsidRPr="0067507D" w:rsidRDefault="005D2595" w:rsidP="00FC3AF2">
            <w:pPr>
              <w:pStyle w:val="Tabletextright"/>
            </w:pPr>
            <w:r w:rsidRPr="0067507D">
              <w:t xml:space="preserve">380 000 </w:t>
            </w:r>
          </w:p>
        </w:tc>
        <w:tc>
          <w:tcPr>
            <w:tcW w:w="180" w:type="dxa"/>
          </w:tcPr>
          <w:p w14:paraId="535456CD" w14:textId="77777777" w:rsidR="005D2595" w:rsidRPr="0067507D" w:rsidRDefault="005D2595" w:rsidP="00FC3AF2">
            <w:pPr>
              <w:pStyle w:val="Tabletextright"/>
            </w:pPr>
          </w:p>
        </w:tc>
        <w:tc>
          <w:tcPr>
            <w:tcW w:w="960" w:type="dxa"/>
            <w:shd w:val="clear" w:color="auto" w:fill="DDDDDD"/>
          </w:tcPr>
          <w:p w14:paraId="6592D4CE" w14:textId="77777777" w:rsidR="005D2595" w:rsidRPr="0067507D" w:rsidRDefault="005D2595" w:rsidP="00FC3AF2">
            <w:pPr>
              <w:pStyle w:val="Tabletextright"/>
            </w:pPr>
            <w:r w:rsidRPr="0067507D">
              <w:t>–</w:t>
            </w:r>
          </w:p>
        </w:tc>
        <w:tc>
          <w:tcPr>
            <w:tcW w:w="960" w:type="dxa"/>
          </w:tcPr>
          <w:p w14:paraId="4CFAD6F9" w14:textId="77777777" w:rsidR="005D2595" w:rsidRPr="0067507D" w:rsidRDefault="005D2595" w:rsidP="00FC3AF2">
            <w:pPr>
              <w:pStyle w:val="Tabletextright"/>
            </w:pPr>
            <w:r w:rsidRPr="0067507D">
              <w:t>–</w:t>
            </w:r>
          </w:p>
        </w:tc>
        <w:tc>
          <w:tcPr>
            <w:tcW w:w="960" w:type="dxa"/>
            <w:shd w:val="clear" w:color="auto" w:fill="DDDDDD"/>
          </w:tcPr>
          <w:p w14:paraId="4E15FD20" w14:textId="77777777" w:rsidR="005D2595" w:rsidRPr="0067507D" w:rsidRDefault="005D2595" w:rsidP="00FC3AF2">
            <w:pPr>
              <w:pStyle w:val="Tabletextright"/>
            </w:pPr>
            <w:r w:rsidRPr="0067507D">
              <w:t>–</w:t>
            </w:r>
          </w:p>
        </w:tc>
        <w:tc>
          <w:tcPr>
            <w:tcW w:w="1233" w:type="dxa"/>
          </w:tcPr>
          <w:p w14:paraId="3C9C9954" w14:textId="77777777" w:rsidR="005D2595" w:rsidRPr="0067507D" w:rsidRDefault="005D2595" w:rsidP="00FC3AF2">
            <w:pPr>
              <w:pStyle w:val="Tabletextright"/>
            </w:pPr>
            <w:r w:rsidRPr="0067507D">
              <w:t>–</w:t>
            </w:r>
          </w:p>
        </w:tc>
        <w:tc>
          <w:tcPr>
            <w:tcW w:w="1234" w:type="dxa"/>
          </w:tcPr>
          <w:p w14:paraId="5EB30A26" w14:textId="77777777" w:rsidR="005D2595" w:rsidRPr="0067507D" w:rsidRDefault="005D2595" w:rsidP="00FC3AF2">
            <w:pPr>
              <w:pStyle w:val="Tabletextright"/>
            </w:pPr>
            <w:r w:rsidRPr="0067507D">
              <w:t xml:space="preserve">10 531 154 </w:t>
            </w:r>
          </w:p>
        </w:tc>
        <w:tc>
          <w:tcPr>
            <w:tcW w:w="1234" w:type="dxa"/>
            <w:shd w:val="clear" w:color="auto" w:fill="DDDDDD"/>
          </w:tcPr>
          <w:p w14:paraId="15993D75" w14:textId="77777777" w:rsidR="005D2595" w:rsidRPr="0067507D" w:rsidRDefault="005D2595" w:rsidP="00FC3AF2">
            <w:pPr>
              <w:pStyle w:val="Tabletextright"/>
            </w:pPr>
            <w:r w:rsidRPr="0067507D">
              <w:t xml:space="preserve">7 271 761 </w:t>
            </w:r>
          </w:p>
        </w:tc>
        <w:tc>
          <w:tcPr>
            <w:tcW w:w="1234" w:type="dxa"/>
          </w:tcPr>
          <w:p w14:paraId="32D76954" w14:textId="77777777" w:rsidR="005D2595" w:rsidRPr="0067507D" w:rsidRDefault="005D2595" w:rsidP="00FC3AF2">
            <w:pPr>
              <w:pStyle w:val="Tabletextright"/>
            </w:pPr>
            <w:r w:rsidRPr="0067507D">
              <w:t xml:space="preserve">3 259 393 </w:t>
            </w:r>
          </w:p>
        </w:tc>
      </w:tr>
      <w:tr w:rsidR="005D2595" w:rsidRPr="0067507D" w14:paraId="3D36E822" w14:textId="77777777" w:rsidTr="00FC3AF2">
        <w:trPr>
          <w:trHeight w:val="180"/>
        </w:trPr>
        <w:tc>
          <w:tcPr>
            <w:tcW w:w="3330" w:type="dxa"/>
          </w:tcPr>
          <w:p w14:paraId="00B9229C" w14:textId="77777777" w:rsidR="005D2595" w:rsidRPr="0067507D" w:rsidRDefault="005D2595" w:rsidP="00FC3AF2">
            <w:pPr>
              <w:pStyle w:val="Tabletextbold"/>
            </w:pPr>
            <w:r w:rsidRPr="0067507D">
              <w:t>Total</w:t>
            </w:r>
          </w:p>
        </w:tc>
        <w:tc>
          <w:tcPr>
            <w:tcW w:w="1282" w:type="dxa"/>
            <w:shd w:val="clear" w:color="auto" w:fill="DDDDDD"/>
          </w:tcPr>
          <w:p w14:paraId="59717843" w14:textId="77777777" w:rsidR="005D2595" w:rsidRPr="0067507D" w:rsidRDefault="005D2595" w:rsidP="00FC3AF2">
            <w:pPr>
              <w:pStyle w:val="Tabletextrightbold"/>
            </w:pPr>
            <w:r w:rsidRPr="0067507D">
              <w:t xml:space="preserve">10 564 459 </w:t>
            </w:r>
          </w:p>
        </w:tc>
        <w:tc>
          <w:tcPr>
            <w:tcW w:w="1193" w:type="dxa"/>
          </w:tcPr>
          <w:p w14:paraId="711F8804" w14:textId="77777777" w:rsidR="005D2595" w:rsidRPr="0067507D" w:rsidRDefault="005D2595" w:rsidP="00FC3AF2">
            <w:pPr>
              <w:pStyle w:val="Tabletextrightbold"/>
            </w:pPr>
            <w:r w:rsidRPr="0067507D">
              <w:t xml:space="preserve">396 994 </w:t>
            </w:r>
          </w:p>
        </w:tc>
        <w:tc>
          <w:tcPr>
            <w:tcW w:w="180" w:type="dxa"/>
          </w:tcPr>
          <w:p w14:paraId="61B1F969" w14:textId="77777777" w:rsidR="005D2595" w:rsidRPr="0067507D" w:rsidRDefault="005D2595" w:rsidP="00FC3AF2">
            <w:pPr>
              <w:pStyle w:val="Tabletextrightbold"/>
            </w:pPr>
          </w:p>
        </w:tc>
        <w:tc>
          <w:tcPr>
            <w:tcW w:w="960" w:type="dxa"/>
            <w:shd w:val="clear" w:color="auto" w:fill="DDDDDD"/>
          </w:tcPr>
          <w:p w14:paraId="03BA2A02" w14:textId="77777777" w:rsidR="005D2595" w:rsidRPr="0067507D" w:rsidRDefault="005D2595" w:rsidP="00FC3AF2">
            <w:pPr>
              <w:pStyle w:val="Tabletextrightbold"/>
            </w:pPr>
            <w:r w:rsidRPr="0067507D">
              <w:t xml:space="preserve">5 790 </w:t>
            </w:r>
          </w:p>
        </w:tc>
        <w:tc>
          <w:tcPr>
            <w:tcW w:w="960" w:type="dxa"/>
          </w:tcPr>
          <w:p w14:paraId="17EA41AE" w14:textId="77777777" w:rsidR="005D2595" w:rsidRPr="0067507D" w:rsidRDefault="005D2595" w:rsidP="00FC3AF2">
            <w:pPr>
              <w:pStyle w:val="Tabletextrightbold"/>
            </w:pPr>
            <w:r w:rsidRPr="0067507D">
              <w:t xml:space="preserve"> 0 </w:t>
            </w:r>
          </w:p>
        </w:tc>
        <w:tc>
          <w:tcPr>
            <w:tcW w:w="960" w:type="dxa"/>
            <w:shd w:val="clear" w:color="auto" w:fill="DDDDDD"/>
          </w:tcPr>
          <w:p w14:paraId="10E67779" w14:textId="77777777" w:rsidR="005D2595" w:rsidRPr="0067507D" w:rsidRDefault="005D2595" w:rsidP="00FC3AF2">
            <w:pPr>
              <w:pStyle w:val="Tabletextrightbold"/>
            </w:pPr>
            <w:r w:rsidRPr="0067507D">
              <w:t xml:space="preserve">15 448 </w:t>
            </w:r>
          </w:p>
        </w:tc>
        <w:tc>
          <w:tcPr>
            <w:tcW w:w="1233" w:type="dxa"/>
          </w:tcPr>
          <w:p w14:paraId="74820677" w14:textId="77777777" w:rsidR="005D2595" w:rsidRPr="0067507D" w:rsidRDefault="005D2595" w:rsidP="00FC3AF2">
            <w:pPr>
              <w:pStyle w:val="Tabletextrightbold"/>
            </w:pPr>
            <w:r w:rsidRPr="0067507D">
              <w:t xml:space="preserve">14 822 </w:t>
            </w:r>
          </w:p>
        </w:tc>
        <w:tc>
          <w:tcPr>
            <w:tcW w:w="1234" w:type="dxa"/>
          </w:tcPr>
          <w:p w14:paraId="3B3EF532" w14:textId="77777777" w:rsidR="005D2595" w:rsidRPr="0067507D" w:rsidRDefault="005D2595" w:rsidP="00FC3AF2">
            <w:pPr>
              <w:pStyle w:val="Tabletextrightbold"/>
            </w:pPr>
            <w:r w:rsidRPr="0067507D">
              <w:t xml:space="preserve">10 997 513 </w:t>
            </w:r>
          </w:p>
        </w:tc>
        <w:tc>
          <w:tcPr>
            <w:tcW w:w="1234" w:type="dxa"/>
            <w:shd w:val="clear" w:color="auto" w:fill="DDDDDD"/>
          </w:tcPr>
          <w:p w14:paraId="795163A4" w14:textId="77777777" w:rsidR="005D2595" w:rsidRPr="0067507D" w:rsidRDefault="005D2595" w:rsidP="00FC3AF2">
            <w:pPr>
              <w:pStyle w:val="Tabletextrightbold"/>
            </w:pPr>
            <w:r w:rsidRPr="0067507D">
              <w:t xml:space="preserve">7 661 531 </w:t>
            </w:r>
          </w:p>
        </w:tc>
        <w:tc>
          <w:tcPr>
            <w:tcW w:w="1234" w:type="dxa"/>
          </w:tcPr>
          <w:p w14:paraId="42687AAC" w14:textId="77777777" w:rsidR="005D2595" w:rsidRPr="0067507D" w:rsidRDefault="005D2595" w:rsidP="00FC3AF2">
            <w:pPr>
              <w:pStyle w:val="Tabletextrightbold"/>
            </w:pPr>
            <w:r w:rsidRPr="0067507D">
              <w:t xml:space="preserve">3 335 982 </w:t>
            </w:r>
          </w:p>
        </w:tc>
      </w:tr>
    </w:tbl>
    <w:p w14:paraId="7E743D69" w14:textId="77777777" w:rsidR="005D2595" w:rsidRPr="0067507D" w:rsidRDefault="005D2595" w:rsidP="005D2595">
      <w:pPr>
        <w:pStyle w:val="Notes"/>
      </w:pPr>
      <w:r w:rsidRPr="0067507D">
        <w:t>Note:</w:t>
      </w:r>
    </w:p>
    <w:p w14:paraId="4C64D5E9" w14:textId="77777777" w:rsidR="005D2595" w:rsidRPr="0067507D" w:rsidRDefault="005D2595" w:rsidP="005D2595">
      <w:pPr>
        <w:pStyle w:val="Notes"/>
      </w:pPr>
      <w:r w:rsidRPr="0067507D">
        <w:t xml:space="preserve">(a) Refer to note 2.4 for further information on the income retained by the Department under section 29 of the </w:t>
      </w:r>
      <w:r w:rsidRPr="0067507D">
        <w:rPr>
          <w:i/>
          <w:iCs/>
        </w:rPr>
        <w:t>Financial Management Act 1994</w:t>
      </w:r>
      <w:r w:rsidRPr="0067507D">
        <w:t>.</w:t>
      </w:r>
    </w:p>
    <w:p w14:paraId="536F33B8" w14:textId="77777777" w:rsidR="005D2595" w:rsidRPr="0067507D" w:rsidRDefault="005D2595" w:rsidP="005D2595">
      <w:pPr>
        <w:pStyle w:val="Notes"/>
      </w:pPr>
    </w:p>
    <w:p w14:paraId="6C1FFF25" w14:textId="77777777" w:rsidR="005D2595" w:rsidRPr="0067507D" w:rsidRDefault="005D2595" w:rsidP="005D2595">
      <w:pPr>
        <w:pStyle w:val="Notes"/>
      </w:pPr>
      <w:r w:rsidRPr="0067507D">
        <w:t>Explanation of key variances between total parliamentary authority and appropriations applied for the year ended 30 June 2025:</w:t>
      </w:r>
    </w:p>
    <w:p w14:paraId="228C1E76" w14:textId="77777777" w:rsidR="005D2595" w:rsidRPr="0067507D" w:rsidRDefault="005D2595" w:rsidP="005D2595">
      <w:pPr>
        <w:pStyle w:val="Notesbullet"/>
        <w:ind w:left="270" w:hanging="270"/>
      </w:pPr>
      <w:r w:rsidRPr="0067507D">
        <w:rPr>
          <w:rFonts w:asciiTheme="majorHAnsi" w:hAnsiTheme="majorHAnsi"/>
        </w:rPr>
        <w:t>Provision of outputs</w:t>
      </w:r>
      <w:r w:rsidRPr="0067507D">
        <w:t>: Unapplied funding is mainly due to underspends in various projects and rephasing of expenditure into future years for various initiatives. These include:</w:t>
      </w:r>
    </w:p>
    <w:p w14:paraId="74795D9F" w14:textId="77777777" w:rsidR="005D2595" w:rsidRPr="0067507D" w:rsidRDefault="005D2595" w:rsidP="005D2595">
      <w:pPr>
        <w:pStyle w:val="NotesDash"/>
        <w:ind w:left="562" w:hanging="288"/>
      </w:pPr>
      <w:r w:rsidRPr="0067507D">
        <w:t xml:space="preserve">the Victorian Homebuyer Fund and Rent to Buy </w:t>
      </w:r>
    </w:p>
    <w:p w14:paraId="6F0984E9" w14:textId="77777777" w:rsidR="005D2595" w:rsidRPr="0067507D" w:rsidRDefault="005D2595" w:rsidP="005D2595">
      <w:pPr>
        <w:pStyle w:val="NotesDash"/>
        <w:ind w:left="562" w:hanging="288"/>
      </w:pPr>
      <w:r w:rsidRPr="0067507D">
        <w:t xml:space="preserve">various IT refreshes and systems </w:t>
      </w:r>
    </w:p>
    <w:p w14:paraId="5B3CCB10" w14:textId="77777777" w:rsidR="005D2595" w:rsidRPr="0067507D" w:rsidRDefault="005D2595" w:rsidP="005D2595">
      <w:pPr>
        <w:pStyle w:val="NotesDash"/>
        <w:ind w:left="562" w:hanging="288"/>
      </w:pPr>
      <w:r w:rsidRPr="0067507D">
        <w:t xml:space="preserve">industrial relations grant programs </w:t>
      </w:r>
    </w:p>
    <w:p w14:paraId="46471EB9" w14:textId="77777777" w:rsidR="005D2595" w:rsidRPr="0067507D" w:rsidRDefault="005D2595" w:rsidP="005D2595">
      <w:pPr>
        <w:pStyle w:val="NotesDash"/>
        <w:ind w:left="562" w:hanging="288"/>
      </w:pPr>
      <w:r w:rsidRPr="0067507D">
        <w:t xml:space="preserve">funding for Partnerships Addressing Disadvantages </w:t>
      </w:r>
    </w:p>
    <w:p w14:paraId="317266FD" w14:textId="77777777" w:rsidR="005D2595" w:rsidRPr="0067507D" w:rsidRDefault="005D2595" w:rsidP="005D2595">
      <w:pPr>
        <w:pStyle w:val="NotesDash"/>
        <w:ind w:left="562" w:hanging="288"/>
      </w:pPr>
      <w:r w:rsidRPr="0067507D">
        <w:t>State Revenue Office projects including Advanced Revenue Management and Compliance programs</w:t>
      </w:r>
    </w:p>
    <w:p w14:paraId="0CE5D234" w14:textId="77777777" w:rsidR="005D2595" w:rsidRPr="0067507D" w:rsidRDefault="005D2595" w:rsidP="005D2595">
      <w:pPr>
        <w:pStyle w:val="NotesDash"/>
        <w:ind w:left="562" w:hanging="288"/>
      </w:pPr>
      <w:r w:rsidRPr="0067507D">
        <w:t>funding for Commercial Reform and Advisory Services</w:t>
      </w:r>
    </w:p>
    <w:p w14:paraId="67BDC3A5" w14:textId="77777777" w:rsidR="005D2595" w:rsidRPr="0067507D" w:rsidRDefault="005D2595" w:rsidP="005D2595">
      <w:pPr>
        <w:pStyle w:val="NotesDash"/>
        <w:ind w:left="562" w:hanging="288"/>
      </w:pPr>
      <w:r w:rsidRPr="0067507D">
        <w:t xml:space="preserve">the Business Acceleration Fund. </w:t>
      </w:r>
    </w:p>
    <w:p w14:paraId="760777F7" w14:textId="2C1142C7" w:rsidR="005D2595" w:rsidRPr="0067507D" w:rsidRDefault="005D2595" w:rsidP="005D2595">
      <w:pPr>
        <w:pStyle w:val="Notesbullet"/>
        <w:ind w:left="270" w:hanging="270"/>
      </w:pPr>
      <w:r w:rsidRPr="0067507D">
        <w:rPr>
          <w:rFonts w:asciiTheme="majorHAnsi" w:hAnsiTheme="majorHAnsi"/>
        </w:rPr>
        <w:t>Additions to net asset base</w:t>
      </w:r>
      <w:r w:rsidRPr="0067507D">
        <w:t>: Unapplied funding is mainly due to changes in project scheduling with the State Revenue Office. All capital expenditure incurred in 2024</w:t>
      </w:r>
      <w:r w:rsidR="006A5485">
        <w:noBreakHyphen/>
      </w:r>
      <w:r w:rsidRPr="0067507D">
        <w:t>25 was covered by Depreciation Equivalent funding.</w:t>
      </w:r>
    </w:p>
    <w:p w14:paraId="17923592" w14:textId="606D658B" w:rsidR="005D2595" w:rsidRPr="0067507D" w:rsidRDefault="005D2595" w:rsidP="005D2595">
      <w:pPr>
        <w:pStyle w:val="Notesbullet"/>
        <w:ind w:left="270" w:hanging="270"/>
      </w:pPr>
      <w:r w:rsidRPr="0067507D">
        <w:rPr>
          <w:rFonts w:asciiTheme="majorHAnsi" w:hAnsiTheme="majorHAnsi"/>
        </w:rPr>
        <w:t>Payments made on behalf of State</w:t>
      </w:r>
      <w:r w:rsidRPr="0067507D">
        <w:t>: Unapplied funding is mainly driven by a provision for repayment of a portion of the Centralised Banking System (CBS) overdraft (borrowings) in the event departments and agencies withdraw their deposits, or if interest rates warranted borrowing funds off TCV rather than use the overdraft, which was unutilised by DTF for this purpose in 2024</w:t>
      </w:r>
      <w:r w:rsidR="006A5485">
        <w:noBreakHyphen/>
      </w:r>
      <w:r w:rsidRPr="0067507D">
        <w:t>25.</w:t>
      </w:r>
    </w:p>
    <w:p w14:paraId="5F1DD8CF" w14:textId="77777777" w:rsidR="005D2595" w:rsidRPr="0067507D" w:rsidRDefault="005D2595" w:rsidP="005D2595">
      <w:pPr>
        <w:pStyle w:val="Notes"/>
        <w:sectPr w:rsidR="005D2595" w:rsidRPr="0067507D" w:rsidSect="005D2595">
          <w:headerReference w:type="even" r:id="rId70"/>
          <w:headerReference w:type="default" r:id="rId71"/>
          <w:footerReference w:type="even" r:id="rId72"/>
          <w:footerReference w:type="default" r:id="rId73"/>
          <w:pgSz w:w="16834" w:h="11909" w:orient="landscape" w:code="9"/>
          <w:pgMar w:top="1152" w:right="1728" w:bottom="1152" w:left="1440" w:header="720" w:footer="288" w:gutter="0"/>
          <w:cols w:space="720"/>
          <w:noEndnote/>
          <w:docGrid w:linePitch="231"/>
        </w:sectPr>
      </w:pPr>
    </w:p>
    <w:p w14:paraId="171374F0" w14:textId="77777777" w:rsidR="005D2595" w:rsidRPr="0067507D" w:rsidRDefault="005D2595" w:rsidP="009714E6">
      <w:pPr>
        <w:pStyle w:val="Heading2numbered"/>
      </w:pPr>
      <w:bookmarkStart w:id="83" w:name="_Toc210213997"/>
      <w:bookmarkStart w:id="84" w:name="_Toc210213944"/>
      <w:r w:rsidRPr="0067507D">
        <w:lastRenderedPageBreak/>
        <w:t>Summary of compliance with special appropriations</w:t>
      </w:r>
      <w:bookmarkEnd w:id="83"/>
      <w:bookmarkEnd w:id="84"/>
    </w:p>
    <w:p w14:paraId="6079D8B4" w14:textId="77777777" w:rsidR="005D2595" w:rsidRPr="0067507D" w:rsidRDefault="005D2595" w:rsidP="005D2595">
      <w:pPr>
        <w:sectPr w:rsidR="005D2595" w:rsidRPr="0067507D" w:rsidSect="005D2595">
          <w:headerReference w:type="even" r:id="rId74"/>
          <w:headerReference w:type="default" r:id="rId75"/>
          <w:footerReference w:type="even" r:id="rId76"/>
          <w:footerReference w:type="default" r:id="rId77"/>
          <w:type w:val="continuous"/>
          <w:pgSz w:w="11909" w:h="16834" w:code="9"/>
          <w:pgMar w:top="1728" w:right="1152" w:bottom="1152" w:left="1152" w:header="720" w:footer="288" w:gutter="0"/>
          <w:cols w:num="2" w:space="720"/>
          <w:noEndnote/>
        </w:sectPr>
      </w:pPr>
    </w:p>
    <w:p w14:paraId="3D7B501A" w14:textId="77777777" w:rsidR="005D2595" w:rsidRPr="0067507D" w:rsidRDefault="005D2595" w:rsidP="005D2595">
      <w:r w:rsidRPr="0067507D">
        <w:t>A special appropriation is a provision within an Act that provides authority to spend money for a particular purpose. Special appropriations represent a standing authority and remain in force until the relevant legislation providing for the special appropriation is amended or repealed by Parliament.</w:t>
      </w:r>
    </w:p>
    <w:p w14:paraId="3EBCBFB3" w14:textId="77777777" w:rsidR="005D2595" w:rsidRPr="0067507D" w:rsidRDefault="005D2595" w:rsidP="005D2595">
      <w:r w:rsidRPr="0067507D">
        <w:t>Income is recognised when the amount appropriated for a specific purpose is due and payable by the Department.</w:t>
      </w:r>
    </w:p>
    <w:p w14:paraId="6A131017" w14:textId="77777777" w:rsidR="005D2595" w:rsidRPr="0067507D" w:rsidRDefault="005D2595" w:rsidP="005D2595">
      <w:r w:rsidRPr="0067507D">
        <w:t>The following table discloses the summary of compliance with special appropriations.</w:t>
      </w:r>
    </w:p>
    <w:p w14:paraId="785D28EE"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720"/>
          <w:noEndnote/>
        </w:sectPr>
      </w:pPr>
    </w:p>
    <w:p w14:paraId="28F825DA" w14:textId="77777777" w:rsidR="005D2595" w:rsidRPr="0067507D" w:rsidRDefault="005D2595" w:rsidP="005D2595"/>
    <w:tbl>
      <w:tblPr>
        <w:tblStyle w:val="AnnualReporttexttable"/>
        <w:tblW w:w="0" w:type="auto"/>
        <w:tblLayout w:type="fixed"/>
        <w:tblLook w:val="06A0" w:firstRow="1" w:lastRow="0" w:firstColumn="1" w:lastColumn="0" w:noHBand="1" w:noVBand="1"/>
      </w:tblPr>
      <w:tblGrid>
        <w:gridCol w:w="3600"/>
        <w:gridCol w:w="2880"/>
        <w:gridCol w:w="1158"/>
        <w:gridCol w:w="1159"/>
      </w:tblGrid>
      <w:tr w:rsidR="005D2595" w:rsidRPr="0067507D" w14:paraId="1C283564" w14:textId="77777777" w:rsidTr="007E5E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0" w:type="dxa"/>
            <w:vAlign w:val="bottom"/>
          </w:tcPr>
          <w:p w14:paraId="52D0EB8B" w14:textId="77777777" w:rsidR="005D2595" w:rsidRPr="007E5E23" w:rsidRDefault="005D2595" w:rsidP="00FC3AF2">
            <w:pPr>
              <w:pStyle w:val="Tabletextbold"/>
              <w:rPr>
                <w:b w:val="0"/>
                <w:bCs/>
              </w:rPr>
            </w:pPr>
          </w:p>
        </w:tc>
        <w:tc>
          <w:tcPr>
            <w:tcW w:w="2880" w:type="dxa"/>
            <w:vAlign w:val="bottom"/>
          </w:tcPr>
          <w:p w14:paraId="33E91B0C" w14:textId="77777777" w:rsidR="005D2595" w:rsidRPr="007E5E23" w:rsidRDefault="005D2595" w:rsidP="00FC3AF2">
            <w:pPr>
              <w:pStyle w:val="Tabletextbold"/>
              <w:cnfStyle w:val="100000000000" w:firstRow="1" w:lastRow="0" w:firstColumn="0" w:lastColumn="0" w:oddVBand="0" w:evenVBand="0" w:oddHBand="0" w:evenHBand="0" w:firstRowFirstColumn="0" w:firstRowLastColumn="0" w:lastRowFirstColumn="0" w:lastRowLastColumn="0"/>
              <w:rPr>
                <w:b w:val="0"/>
                <w:bCs/>
              </w:rPr>
            </w:pPr>
          </w:p>
        </w:tc>
        <w:tc>
          <w:tcPr>
            <w:tcW w:w="2317" w:type="dxa"/>
            <w:gridSpan w:val="2"/>
          </w:tcPr>
          <w:p w14:paraId="10BF7640" w14:textId="77777777" w:rsidR="005D2595" w:rsidRPr="007E5E23" w:rsidRDefault="005D2595" w:rsidP="00FC3AF2">
            <w:pPr>
              <w:pStyle w:val="Tabletextheadingcentred"/>
              <w:cnfStyle w:val="100000000000" w:firstRow="1" w:lastRow="0" w:firstColumn="0" w:lastColumn="0" w:oddVBand="0" w:evenVBand="0" w:oddHBand="0" w:evenHBand="0" w:firstRowFirstColumn="0" w:firstRowLastColumn="0" w:lastRowFirstColumn="0" w:lastRowLastColumn="0"/>
              <w:rPr>
                <w:b w:val="0"/>
                <w:bCs/>
              </w:rPr>
            </w:pPr>
            <w:r w:rsidRPr="007E5E23">
              <w:rPr>
                <w:b w:val="0"/>
                <w:bCs/>
              </w:rPr>
              <w:t>Appropriations applied</w:t>
            </w:r>
          </w:p>
        </w:tc>
      </w:tr>
      <w:tr w:rsidR="005D2595" w:rsidRPr="0067507D" w14:paraId="20606C64" w14:textId="77777777" w:rsidTr="007E5E23">
        <w:tc>
          <w:tcPr>
            <w:cnfStyle w:val="001000000000" w:firstRow="0" w:lastRow="0" w:firstColumn="1" w:lastColumn="0" w:oddVBand="0" w:evenVBand="0" w:oddHBand="0" w:evenHBand="0" w:firstRowFirstColumn="0" w:firstRowLastColumn="0" w:lastRowFirstColumn="0" w:lastRowLastColumn="0"/>
            <w:tcW w:w="3600" w:type="dxa"/>
            <w:vAlign w:val="bottom"/>
          </w:tcPr>
          <w:p w14:paraId="4D950363" w14:textId="77777777" w:rsidR="005D2595" w:rsidRPr="0067507D" w:rsidRDefault="005D2595" w:rsidP="00FC3AF2">
            <w:pPr>
              <w:pStyle w:val="Tabletextbold"/>
            </w:pPr>
            <w:r w:rsidRPr="0067507D">
              <w:t>Authority</w:t>
            </w:r>
          </w:p>
        </w:tc>
        <w:tc>
          <w:tcPr>
            <w:tcW w:w="2880" w:type="dxa"/>
            <w:vAlign w:val="bottom"/>
          </w:tcPr>
          <w:p w14:paraId="68AFC06F" w14:textId="77777777" w:rsidR="005D2595" w:rsidRPr="0067507D" w:rsidRDefault="005D2595" w:rsidP="00FC3AF2">
            <w:pPr>
              <w:pStyle w:val="Tabletextbold"/>
              <w:cnfStyle w:val="000000000000" w:firstRow="0" w:lastRow="0" w:firstColumn="0" w:lastColumn="0" w:oddVBand="0" w:evenVBand="0" w:oddHBand="0" w:evenHBand="0" w:firstRowFirstColumn="0" w:firstRowLastColumn="0" w:lastRowFirstColumn="0" w:lastRowLastColumn="0"/>
            </w:pPr>
            <w:r w:rsidRPr="0067507D">
              <w:t>Purpose</w:t>
            </w:r>
          </w:p>
        </w:tc>
        <w:tc>
          <w:tcPr>
            <w:tcW w:w="1158" w:type="dxa"/>
          </w:tcPr>
          <w:p w14:paraId="39764980" w14:textId="77777777" w:rsidR="005D2595" w:rsidRPr="0067507D" w:rsidRDefault="005D2595" w:rsidP="00FC3AF2">
            <w:pPr>
              <w:pStyle w:val="Tabletextrightbold"/>
              <w:cnfStyle w:val="000000000000" w:firstRow="0" w:lastRow="0" w:firstColumn="0" w:lastColumn="0" w:oddVBand="0" w:evenVBand="0" w:oddHBand="0" w:evenHBand="0" w:firstRowFirstColumn="0" w:firstRowLastColumn="0" w:lastRowFirstColumn="0" w:lastRowLastColumn="0"/>
            </w:pPr>
            <w:r w:rsidRPr="0067507D">
              <w:t>2025</w:t>
            </w:r>
            <w:r w:rsidRPr="0067507D">
              <w:br/>
              <w:t>$’000</w:t>
            </w:r>
          </w:p>
        </w:tc>
        <w:tc>
          <w:tcPr>
            <w:tcW w:w="1159" w:type="dxa"/>
          </w:tcPr>
          <w:p w14:paraId="09EE91EA" w14:textId="77777777" w:rsidR="005D2595" w:rsidRPr="0067507D" w:rsidRDefault="005D2595" w:rsidP="00FC3AF2">
            <w:pPr>
              <w:pStyle w:val="Tabletextrightbold"/>
              <w:cnfStyle w:val="000000000000" w:firstRow="0" w:lastRow="0" w:firstColumn="0" w:lastColumn="0" w:oddVBand="0" w:evenVBand="0" w:oddHBand="0" w:evenHBand="0" w:firstRowFirstColumn="0" w:firstRowLastColumn="0" w:lastRowFirstColumn="0" w:lastRowLastColumn="0"/>
            </w:pPr>
            <w:r w:rsidRPr="0067507D">
              <w:t>2024</w:t>
            </w:r>
            <w:r w:rsidRPr="0067507D">
              <w:br/>
              <w:t>$’000</w:t>
            </w:r>
          </w:p>
        </w:tc>
      </w:tr>
      <w:tr w:rsidR="005D2595" w:rsidRPr="0067507D" w14:paraId="0D1A4F2B"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2E2AFC84" w14:textId="77777777" w:rsidR="005D2595" w:rsidRPr="0067507D" w:rsidRDefault="005D2595" w:rsidP="00FC3AF2">
            <w:pPr>
              <w:pStyle w:val="Tabletextbold"/>
            </w:pPr>
            <w:r w:rsidRPr="0067507D">
              <w:t>Administered</w:t>
            </w:r>
          </w:p>
        </w:tc>
        <w:tc>
          <w:tcPr>
            <w:tcW w:w="2880" w:type="dxa"/>
          </w:tcPr>
          <w:p w14:paraId="422612AB"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p>
        </w:tc>
        <w:tc>
          <w:tcPr>
            <w:tcW w:w="1158" w:type="dxa"/>
            <w:shd w:val="clear" w:color="auto" w:fill="DDDDDD"/>
          </w:tcPr>
          <w:p w14:paraId="49A7053C"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p>
        </w:tc>
        <w:tc>
          <w:tcPr>
            <w:tcW w:w="1159" w:type="dxa"/>
          </w:tcPr>
          <w:p w14:paraId="2780A3D8"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p>
        </w:tc>
      </w:tr>
      <w:tr w:rsidR="005D2595" w:rsidRPr="0067507D" w14:paraId="4BE9C626"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455BD2DA" w14:textId="77777777" w:rsidR="005D2595" w:rsidRPr="0067507D" w:rsidRDefault="005D2595" w:rsidP="00FC3AF2">
            <w:pPr>
              <w:pStyle w:val="Tabletext"/>
              <w:ind w:left="250" w:hanging="250"/>
            </w:pPr>
            <w:r w:rsidRPr="0067507D">
              <w:t xml:space="preserve">1. </w:t>
            </w:r>
            <w:r w:rsidRPr="0067507D">
              <w:tab/>
            </w:r>
            <w:r w:rsidRPr="0067507D">
              <w:rPr>
                <w:i/>
                <w:iCs/>
              </w:rPr>
              <w:t>Constitution Act, No. 8750 of 1975</w:t>
            </w:r>
          </w:p>
        </w:tc>
        <w:tc>
          <w:tcPr>
            <w:tcW w:w="2880" w:type="dxa"/>
          </w:tcPr>
          <w:p w14:paraId="6EB4D1CE"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Governors' pensions</w:t>
            </w:r>
          </w:p>
        </w:tc>
        <w:tc>
          <w:tcPr>
            <w:tcW w:w="1158" w:type="dxa"/>
            <w:shd w:val="clear" w:color="auto" w:fill="DDDDDD"/>
          </w:tcPr>
          <w:p w14:paraId="29E1B928"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1 804 </w:t>
            </w:r>
          </w:p>
        </w:tc>
        <w:tc>
          <w:tcPr>
            <w:tcW w:w="1159" w:type="dxa"/>
          </w:tcPr>
          <w:p w14:paraId="53890DF8"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1 663 </w:t>
            </w:r>
          </w:p>
        </w:tc>
      </w:tr>
      <w:tr w:rsidR="005D2595" w:rsidRPr="0067507D" w14:paraId="2E1387E9"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62637E96" w14:textId="77777777" w:rsidR="005D2595" w:rsidRPr="0067507D" w:rsidRDefault="005D2595" w:rsidP="00FC3AF2">
            <w:pPr>
              <w:pStyle w:val="Tabletext"/>
              <w:ind w:left="250" w:hanging="250"/>
            </w:pPr>
            <w:r w:rsidRPr="0067507D">
              <w:t xml:space="preserve">2. </w:t>
            </w:r>
            <w:r w:rsidRPr="0067507D">
              <w:tab/>
            </w:r>
            <w:r w:rsidRPr="0067507D">
              <w:rPr>
                <w:i/>
                <w:iCs/>
              </w:rPr>
              <w:t>Constitution Act, No. 8750 of 1975</w:t>
            </w:r>
          </w:p>
        </w:tc>
        <w:tc>
          <w:tcPr>
            <w:tcW w:w="2880" w:type="dxa"/>
          </w:tcPr>
          <w:p w14:paraId="1DFC3815"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Judges' pensions</w:t>
            </w:r>
          </w:p>
        </w:tc>
        <w:tc>
          <w:tcPr>
            <w:tcW w:w="1158" w:type="dxa"/>
            <w:shd w:val="clear" w:color="auto" w:fill="DDDDDD"/>
          </w:tcPr>
          <w:p w14:paraId="70002D35"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21 016 </w:t>
            </w:r>
          </w:p>
        </w:tc>
        <w:tc>
          <w:tcPr>
            <w:tcW w:w="1159" w:type="dxa"/>
          </w:tcPr>
          <w:p w14:paraId="51D33134"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18 939 </w:t>
            </w:r>
          </w:p>
        </w:tc>
      </w:tr>
      <w:tr w:rsidR="005D2595" w:rsidRPr="0067507D" w14:paraId="4B38EF6F"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3E51BE53" w14:textId="77777777" w:rsidR="005D2595" w:rsidRPr="0067507D" w:rsidRDefault="005D2595" w:rsidP="00FC3AF2">
            <w:pPr>
              <w:pStyle w:val="Tabletext"/>
              <w:ind w:left="250" w:hanging="250"/>
            </w:pPr>
            <w:r w:rsidRPr="0067507D">
              <w:t xml:space="preserve">3. </w:t>
            </w:r>
            <w:r w:rsidRPr="0067507D">
              <w:tab/>
            </w:r>
            <w:r w:rsidRPr="0067507D">
              <w:rPr>
                <w:i/>
                <w:iCs/>
              </w:rPr>
              <w:t>County Court Act, No. 6230 of 1958</w:t>
            </w:r>
          </w:p>
        </w:tc>
        <w:tc>
          <w:tcPr>
            <w:tcW w:w="2880" w:type="dxa"/>
          </w:tcPr>
          <w:p w14:paraId="60FF5755"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Judges' pensions</w:t>
            </w:r>
          </w:p>
        </w:tc>
        <w:tc>
          <w:tcPr>
            <w:tcW w:w="1158" w:type="dxa"/>
            <w:shd w:val="clear" w:color="auto" w:fill="DDDDDD"/>
          </w:tcPr>
          <w:p w14:paraId="3EC64846"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25 350 </w:t>
            </w:r>
          </w:p>
        </w:tc>
        <w:tc>
          <w:tcPr>
            <w:tcW w:w="1159" w:type="dxa"/>
          </w:tcPr>
          <w:p w14:paraId="57CF6A96"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24 635 </w:t>
            </w:r>
          </w:p>
        </w:tc>
      </w:tr>
      <w:tr w:rsidR="005D2595" w:rsidRPr="0067507D" w14:paraId="3EF85B5B"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6246413A" w14:textId="77777777" w:rsidR="005D2595" w:rsidRPr="0067507D" w:rsidRDefault="005D2595" w:rsidP="00FC3AF2">
            <w:pPr>
              <w:pStyle w:val="Tabletext"/>
              <w:ind w:left="250" w:hanging="250"/>
            </w:pPr>
            <w:r w:rsidRPr="0067507D">
              <w:t xml:space="preserve">4. </w:t>
            </w:r>
            <w:r w:rsidRPr="0067507D">
              <w:tab/>
            </w:r>
            <w:r w:rsidRPr="0067507D">
              <w:rPr>
                <w:i/>
                <w:iCs/>
              </w:rPr>
              <w:t>Financial Management Act, No. 18 of 1994</w:t>
            </w:r>
            <w:r w:rsidRPr="0067507D">
              <w:t xml:space="preserve">, section 10 </w:t>
            </w:r>
            <w:r w:rsidRPr="0067507D">
              <w:rPr>
                <w:vertAlign w:val="superscript"/>
              </w:rPr>
              <w:t>(a)</w:t>
            </w:r>
          </w:p>
        </w:tc>
        <w:tc>
          <w:tcPr>
            <w:tcW w:w="2880" w:type="dxa"/>
          </w:tcPr>
          <w:p w14:paraId="3C4127FC"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Appropriation of Commonwealth grants</w:t>
            </w:r>
          </w:p>
        </w:tc>
        <w:tc>
          <w:tcPr>
            <w:tcW w:w="1158" w:type="dxa"/>
            <w:shd w:val="clear" w:color="auto" w:fill="DDDDDD"/>
          </w:tcPr>
          <w:p w14:paraId="2AA7C730"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40 611 </w:t>
            </w:r>
          </w:p>
        </w:tc>
        <w:tc>
          <w:tcPr>
            <w:tcW w:w="1159" w:type="dxa"/>
          </w:tcPr>
          <w:p w14:paraId="019151B6"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8 459 </w:t>
            </w:r>
          </w:p>
        </w:tc>
      </w:tr>
      <w:tr w:rsidR="005D2595" w:rsidRPr="0067507D" w14:paraId="74AB4AC7"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58D57A4A" w14:textId="77777777" w:rsidR="005D2595" w:rsidRPr="0067507D" w:rsidRDefault="005D2595" w:rsidP="00FC3AF2">
            <w:pPr>
              <w:pStyle w:val="Tabletext"/>
              <w:ind w:left="250" w:hanging="250"/>
            </w:pPr>
            <w:r w:rsidRPr="0067507D">
              <w:t xml:space="preserve">5. </w:t>
            </w:r>
            <w:r w:rsidRPr="0067507D">
              <w:tab/>
            </w:r>
            <w:r w:rsidRPr="0067507D">
              <w:rPr>
                <w:i/>
                <w:iCs/>
              </w:rPr>
              <w:t>Gambling Regulation Act, No. 114 of 2003</w:t>
            </w:r>
            <w:r w:rsidRPr="0067507D">
              <w:t>, section 3.6.12</w:t>
            </w:r>
          </w:p>
        </w:tc>
        <w:tc>
          <w:tcPr>
            <w:tcW w:w="2880" w:type="dxa"/>
          </w:tcPr>
          <w:p w14:paraId="10C15216"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Payments to Community Support Fund</w:t>
            </w:r>
          </w:p>
        </w:tc>
        <w:tc>
          <w:tcPr>
            <w:tcW w:w="1158" w:type="dxa"/>
            <w:shd w:val="clear" w:color="auto" w:fill="DDDDDD"/>
          </w:tcPr>
          <w:p w14:paraId="6376CA5D"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168 735 </w:t>
            </w:r>
          </w:p>
        </w:tc>
        <w:tc>
          <w:tcPr>
            <w:tcW w:w="1159" w:type="dxa"/>
          </w:tcPr>
          <w:p w14:paraId="5F3E50B6"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166 052 </w:t>
            </w:r>
          </w:p>
        </w:tc>
      </w:tr>
      <w:tr w:rsidR="005D2595" w:rsidRPr="0067507D" w14:paraId="2396D767"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6A60AD60" w14:textId="77777777" w:rsidR="005D2595" w:rsidRPr="0067507D" w:rsidRDefault="005D2595" w:rsidP="00FC3AF2">
            <w:pPr>
              <w:pStyle w:val="Tabletext"/>
              <w:ind w:left="250" w:hanging="250"/>
            </w:pPr>
            <w:r w:rsidRPr="0067507D">
              <w:t xml:space="preserve">7. </w:t>
            </w:r>
            <w:r w:rsidRPr="0067507D">
              <w:tab/>
            </w:r>
            <w:r w:rsidRPr="0067507D">
              <w:rPr>
                <w:i/>
                <w:iCs/>
              </w:rPr>
              <w:t>Gambling Taxation Act, No. 14 of 2023</w:t>
            </w:r>
            <w:r w:rsidRPr="0067507D">
              <w:t xml:space="preserve">, section 33 </w:t>
            </w:r>
            <w:r w:rsidRPr="0067507D">
              <w:rPr>
                <w:vertAlign w:val="superscript"/>
              </w:rPr>
              <w:t>(b)</w:t>
            </w:r>
          </w:p>
        </w:tc>
        <w:tc>
          <w:tcPr>
            <w:tcW w:w="2880" w:type="dxa"/>
          </w:tcPr>
          <w:p w14:paraId="19E82A19"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Payments to Victorian Racing Industry</w:t>
            </w:r>
          </w:p>
        </w:tc>
        <w:tc>
          <w:tcPr>
            <w:tcW w:w="1158" w:type="dxa"/>
            <w:shd w:val="clear" w:color="auto" w:fill="DDDDDD"/>
          </w:tcPr>
          <w:p w14:paraId="7AA3BBF9"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163 739 </w:t>
            </w:r>
          </w:p>
        </w:tc>
        <w:tc>
          <w:tcPr>
            <w:tcW w:w="1159" w:type="dxa"/>
          </w:tcPr>
          <w:p w14:paraId="766F36D1"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85 105 </w:t>
            </w:r>
          </w:p>
        </w:tc>
      </w:tr>
      <w:tr w:rsidR="005D2595" w:rsidRPr="0067507D" w14:paraId="72AD17CC"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6CD25E69" w14:textId="77777777" w:rsidR="005D2595" w:rsidRPr="0067507D" w:rsidRDefault="005D2595" w:rsidP="00FC3AF2">
            <w:pPr>
              <w:pStyle w:val="Tabletext"/>
              <w:ind w:left="250" w:hanging="250"/>
            </w:pPr>
            <w:r w:rsidRPr="0067507D">
              <w:t xml:space="preserve">6. </w:t>
            </w:r>
            <w:r w:rsidRPr="0067507D">
              <w:tab/>
            </w:r>
            <w:r w:rsidRPr="0067507D">
              <w:rPr>
                <w:i/>
                <w:iCs/>
              </w:rPr>
              <w:t>Gambling Taxation Act, No. 14 of 2023</w:t>
            </w:r>
            <w:r w:rsidRPr="0067507D">
              <w:t xml:space="preserve">, section 34 </w:t>
            </w:r>
          </w:p>
        </w:tc>
        <w:tc>
          <w:tcPr>
            <w:tcW w:w="2880" w:type="dxa"/>
          </w:tcPr>
          <w:p w14:paraId="5D7CD3BC"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Payments to Anzac Day Proceeds Fund</w:t>
            </w:r>
          </w:p>
        </w:tc>
        <w:tc>
          <w:tcPr>
            <w:tcW w:w="1158" w:type="dxa"/>
            <w:shd w:val="clear" w:color="auto" w:fill="DDDDDD"/>
          </w:tcPr>
          <w:p w14:paraId="18D3BB3A"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1 030 </w:t>
            </w:r>
          </w:p>
        </w:tc>
        <w:tc>
          <w:tcPr>
            <w:tcW w:w="1159" w:type="dxa"/>
          </w:tcPr>
          <w:p w14:paraId="0DC25114"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w:t>
            </w:r>
          </w:p>
        </w:tc>
      </w:tr>
      <w:tr w:rsidR="005D2595" w:rsidRPr="0067507D" w14:paraId="70077594"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7576DB67" w14:textId="77777777" w:rsidR="005D2595" w:rsidRPr="0067507D" w:rsidRDefault="005D2595" w:rsidP="00FC3AF2">
            <w:pPr>
              <w:pStyle w:val="Tabletext"/>
              <w:ind w:left="250" w:hanging="250"/>
            </w:pPr>
            <w:r w:rsidRPr="0067507D">
              <w:t xml:space="preserve">8. </w:t>
            </w:r>
            <w:r w:rsidRPr="0067507D">
              <w:tab/>
            </w:r>
            <w:r w:rsidRPr="0067507D">
              <w:rPr>
                <w:i/>
                <w:iCs/>
              </w:rPr>
              <w:t>Liquor Control Reform Act, No. 94 of 1998</w:t>
            </w:r>
            <w:r w:rsidRPr="0067507D">
              <w:t>, section 177</w:t>
            </w:r>
          </w:p>
        </w:tc>
        <w:tc>
          <w:tcPr>
            <w:tcW w:w="2880" w:type="dxa"/>
          </w:tcPr>
          <w:p w14:paraId="6BCBE6A4"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Safety net payments</w:t>
            </w:r>
          </w:p>
        </w:tc>
        <w:tc>
          <w:tcPr>
            <w:tcW w:w="1158" w:type="dxa"/>
            <w:shd w:val="clear" w:color="auto" w:fill="DDDDDD"/>
          </w:tcPr>
          <w:p w14:paraId="085C14E6"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4 829 </w:t>
            </w:r>
          </w:p>
        </w:tc>
        <w:tc>
          <w:tcPr>
            <w:tcW w:w="1159" w:type="dxa"/>
          </w:tcPr>
          <w:p w14:paraId="4F9A5DA5"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5 339 </w:t>
            </w:r>
          </w:p>
        </w:tc>
      </w:tr>
      <w:tr w:rsidR="005D2595" w:rsidRPr="0067507D" w14:paraId="73C48C65"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6936AB85" w14:textId="77777777" w:rsidR="005D2595" w:rsidRPr="0067507D" w:rsidRDefault="005D2595" w:rsidP="00FC3AF2">
            <w:pPr>
              <w:pStyle w:val="Tabletext"/>
              <w:ind w:left="250" w:hanging="250"/>
            </w:pPr>
            <w:r w:rsidRPr="0067507D">
              <w:t xml:space="preserve">9. </w:t>
            </w:r>
            <w:r w:rsidRPr="0067507D">
              <w:tab/>
            </w:r>
            <w:r w:rsidRPr="0067507D">
              <w:rPr>
                <w:i/>
                <w:iCs/>
              </w:rPr>
              <w:t>State Owned Enterprises Act No. 90 of 1992</w:t>
            </w:r>
            <w:r w:rsidRPr="0067507D">
              <w:t>, section 88</w:t>
            </w:r>
          </w:p>
        </w:tc>
        <w:tc>
          <w:tcPr>
            <w:tcW w:w="2880" w:type="dxa"/>
          </w:tcPr>
          <w:p w14:paraId="715EF7C9"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State equivalent tax refunds</w:t>
            </w:r>
          </w:p>
        </w:tc>
        <w:tc>
          <w:tcPr>
            <w:tcW w:w="1158" w:type="dxa"/>
            <w:shd w:val="clear" w:color="auto" w:fill="DDDDDD"/>
          </w:tcPr>
          <w:p w14:paraId="6354DE7E"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1 828 </w:t>
            </w:r>
          </w:p>
        </w:tc>
        <w:tc>
          <w:tcPr>
            <w:tcW w:w="1159" w:type="dxa"/>
          </w:tcPr>
          <w:p w14:paraId="49E86702"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1 655 </w:t>
            </w:r>
          </w:p>
        </w:tc>
      </w:tr>
      <w:tr w:rsidR="005D2595" w:rsidRPr="0067507D" w14:paraId="26877BE7"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564AE245" w14:textId="77777777" w:rsidR="005D2595" w:rsidRPr="0067507D" w:rsidRDefault="005D2595" w:rsidP="00FC3AF2">
            <w:pPr>
              <w:pStyle w:val="Tabletext"/>
              <w:ind w:left="250" w:hanging="250"/>
            </w:pPr>
            <w:r w:rsidRPr="0067507D">
              <w:t xml:space="preserve">10. </w:t>
            </w:r>
            <w:r w:rsidRPr="0067507D">
              <w:tab/>
            </w:r>
            <w:r w:rsidRPr="0067507D">
              <w:rPr>
                <w:i/>
                <w:iCs/>
              </w:rPr>
              <w:t>State Superannuation Act, No. 50 of 1988</w:t>
            </w:r>
            <w:r w:rsidRPr="0067507D">
              <w:t>, section 90</w:t>
            </w:r>
          </w:p>
        </w:tc>
        <w:tc>
          <w:tcPr>
            <w:tcW w:w="2880" w:type="dxa"/>
          </w:tcPr>
          <w:p w14:paraId="11D75A58"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Superannuation contributions</w:t>
            </w:r>
          </w:p>
        </w:tc>
        <w:tc>
          <w:tcPr>
            <w:tcW w:w="1158" w:type="dxa"/>
            <w:shd w:val="clear" w:color="auto" w:fill="DDDDDD"/>
          </w:tcPr>
          <w:p w14:paraId="0DB19D51"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402 036 </w:t>
            </w:r>
          </w:p>
        </w:tc>
        <w:tc>
          <w:tcPr>
            <w:tcW w:w="1159" w:type="dxa"/>
          </w:tcPr>
          <w:p w14:paraId="71ECDA81"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rPr>
                <w:bCs/>
              </w:rPr>
            </w:pPr>
            <w:r w:rsidRPr="0067507D">
              <w:t xml:space="preserve"> 180 943 </w:t>
            </w:r>
          </w:p>
        </w:tc>
      </w:tr>
      <w:tr w:rsidR="005D2595" w:rsidRPr="0067507D" w14:paraId="184F396D"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36A91C45" w14:textId="77777777" w:rsidR="005D2595" w:rsidRPr="0067507D" w:rsidRDefault="005D2595" w:rsidP="00FC3AF2">
            <w:pPr>
              <w:pStyle w:val="Tabletext"/>
              <w:ind w:left="250" w:hanging="250"/>
            </w:pPr>
            <w:r w:rsidRPr="0067507D">
              <w:t xml:space="preserve">11. </w:t>
            </w:r>
            <w:r w:rsidRPr="0067507D">
              <w:tab/>
            </w:r>
            <w:r w:rsidRPr="0067507D">
              <w:rPr>
                <w:i/>
                <w:iCs/>
              </w:rPr>
              <w:t>Taxation Administration Act, No. 40 of 1997</w:t>
            </w:r>
            <w:r w:rsidRPr="0067507D">
              <w:t xml:space="preserve">, section 121 </w:t>
            </w:r>
            <w:r w:rsidRPr="0067507D">
              <w:rPr>
                <w:vertAlign w:val="superscript"/>
              </w:rPr>
              <w:t>(c)</w:t>
            </w:r>
          </w:p>
        </w:tc>
        <w:tc>
          <w:tcPr>
            <w:tcW w:w="2880" w:type="dxa"/>
          </w:tcPr>
          <w:p w14:paraId="10AE4442"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Tax waivers, refunds and court costs</w:t>
            </w:r>
          </w:p>
        </w:tc>
        <w:tc>
          <w:tcPr>
            <w:tcW w:w="1158" w:type="dxa"/>
            <w:shd w:val="clear" w:color="auto" w:fill="DDDDDD"/>
          </w:tcPr>
          <w:p w14:paraId="087D4C81"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r w:rsidRPr="0067507D">
              <w:t xml:space="preserve"> 345 353 </w:t>
            </w:r>
          </w:p>
        </w:tc>
        <w:tc>
          <w:tcPr>
            <w:tcW w:w="1159" w:type="dxa"/>
          </w:tcPr>
          <w:p w14:paraId="49ECB100"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r w:rsidRPr="0067507D">
              <w:t xml:space="preserve"> 3 841 </w:t>
            </w:r>
          </w:p>
        </w:tc>
      </w:tr>
      <w:tr w:rsidR="005D2595" w:rsidRPr="0067507D" w14:paraId="1F5B9EEC"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325AB7B5" w14:textId="77777777" w:rsidR="005D2595" w:rsidRPr="0067507D" w:rsidRDefault="005D2595" w:rsidP="00FC3AF2">
            <w:pPr>
              <w:pStyle w:val="Tabletext"/>
              <w:ind w:left="250" w:hanging="250"/>
            </w:pPr>
            <w:r w:rsidRPr="0067507D">
              <w:t>12.</w:t>
            </w:r>
            <w:r w:rsidRPr="0067507D">
              <w:tab/>
            </w:r>
            <w:r w:rsidRPr="0067507D">
              <w:rPr>
                <w:i/>
                <w:iCs/>
              </w:rPr>
              <w:t>Treasury Corporation of Victoria Act, No. 80 of 1992</w:t>
            </w:r>
            <w:r w:rsidRPr="0067507D">
              <w:t xml:space="preserve">, section 38 </w:t>
            </w:r>
            <w:r w:rsidRPr="0067507D">
              <w:rPr>
                <w:vertAlign w:val="superscript"/>
              </w:rPr>
              <w:t>(d)</w:t>
            </w:r>
          </w:p>
        </w:tc>
        <w:tc>
          <w:tcPr>
            <w:tcW w:w="2880" w:type="dxa"/>
          </w:tcPr>
          <w:p w14:paraId="5D465B91"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Budget sector debt retirement</w:t>
            </w:r>
          </w:p>
        </w:tc>
        <w:tc>
          <w:tcPr>
            <w:tcW w:w="1158" w:type="dxa"/>
            <w:shd w:val="clear" w:color="auto" w:fill="DDDDDD"/>
          </w:tcPr>
          <w:p w14:paraId="6F33A815"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r w:rsidRPr="0067507D">
              <w:t xml:space="preserve"> 34 822 </w:t>
            </w:r>
          </w:p>
        </w:tc>
        <w:tc>
          <w:tcPr>
            <w:tcW w:w="1159" w:type="dxa"/>
          </w:tcPr>
          <w:p w14:paraId="2BC428BD"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r w:rsidRPr="0067507D">
              <w:t xml:space="preserve"> 26 168 </w:t>
            </w:r>
          </w:p>
        </w:tc>
      </w:tr>
      <w:tr w:rsidR="005D2595" w:rsidRPr="0067507D" w14:paraId="79C4CA72"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18EC896C" w14:textId="77777777" w:rsidR="005D2595" w:rsidRPr="0067507D" w:rsidRDefault="005D2595" w:rsidP="00FC3AF2">
            <w:pPr>
              <w:pStyle w:val="Tabletext"/>
              <w:ind w:left="250" w:hanging="250"/>
            </w:pPr>
            <w:r w:rsidRPr="0067507D">
              <w:t>13.</w:t>
            </w:r>
            <w:r w:rsidRPr="0067507D">
              <w:tab/>
            </w:r>
            <w:r w:rsidRPr="0067507D">
              <w:rPr>
                <w:i/>
                <w:iCs/>
              </w:rPr>
              <w:t>Victorian Future Fund Act, No. 19 of 2023</w:t>
            </w:r>
            <w:r w:rsidRPr="0067507D">
              <w:t xml:space="preserve">, section 8 </w:t>
            </w:r>
            <w:r w:rsidRPr="0067507D">
              <w:rPr>
                <w:vertAlign w:val="superscript"/>
              </w:rPr>
              <w:t>(e)</w:t>
            </w:r>
          </w:p>
        </w:tc>
        <w:tc>
          <w:tcPr>
            <w:tcW w:w="2880" w:type="dxa"/>
          </w:tcPr>
          <w:p w14:paraId="4560A4DD"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r w:rsidRPr="0067507D">
              <w:t>Payments to Victorian Future Fund</w:t>
            </w:r>
          </w:p>
        </w:tc>
        <w:tc>
          <w:tcPr>
            <w:tcW w:w="1158" w:type="dxa"/>
            <w:shd w:val="clear" w:color="auto" w:fill="DDDDDD"/>
          </w:tcPr>
          <w:p w14:paraId="27A187B5"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r w:rsidRPr="0067507D">
              <w:t xml:space="preserve"> 94 095 </w:t>
            </w:r>
          </w:p>
        </w:tc>
        <w:tc>
          <w:tcPr>
            <w:tcW w:w="1159" w:type="dxa"/>
          </w:tcPr>
          <w:p w14:paraId="7ADFE0EC"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r w:rsidRPr="0067507D">
              <w:t xml:space="preserve">8 266 287 </w:t>
            </w:r>
          </w:p>
        </w:tc>
      </w:tr>
      <w:tr w:rsidR="005D2595" w:rsidRPr="0067507D" w14:paraId="685FB082" w14:textId="77777777" w:rsidTr="007E5E23">
        <w:trPr>
          <w:trHeight w:hRule="exact" w:val="120"/>
        </w:trPr>
        <w:tc>
          <w:tcPr>
            <w:cnfStyle w:val="001000000000" w:firstRow="0" w:lastRow="0" w:firstColumn="1" w:lastColumn="0" w:oddVBand="0" w:evenVBand="0" w:oddHBand="0" w:evenHBand="0" w:firstRowFirstColumn="0" w:firstRowLastColumn="0" w:lastRowFirstColumn="0" w:lastRowLastColumn="0"/>
            <w:tcW w:w="3600" w:type="dxa"/>
          </w:tcPr>
          <w:p w14:paraId="0D977C6A" w14:textId="77777777" w:rsidR="005D2595" w:rsidRPr="0067507D" w:rsidRDefault="005D2595" w:rsidP="00FC3AF2">
            <w:pPr>
              <w:pStyle w:val="Tabletext"/>
              <w:rPr>
                <w:bCs/>
                <w:i/>
              </w:rPr>
            </w:pPr>
          </w:p>
        </w:tc>
        <w:tc>
          <w:tcPr>
            <w:tcW w:w="2880" w:type="dxa"/>
          </w:tcPr>
          <w:p w14:paraId="078CB1DF"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p>
        </w:tc>
        <w:tc>
          <w:tcPr>
            <w:tcW w:w="1158" w:type="dxa"/>
            <w:shd w:val="clear" w:color="auto" w:fill="DDDDDD"/>
          </w:tcPr>
          <w:p w14:paraId="3B9076CD"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p>
        </w:tc>
        <w:tc>
          <w:tcPr>
            <w:tcW w:w="1159" w:type="dxa"/>
          </w:tcPr>
          <w:p w14:paraId="302A788E" w14:textId="77777777" w:rsidR="005D2595" w:rsidRPr="0067507D" w:rsidRDefault="005D2595" w:rsidP="00FC3AF2">
            <w:pPr>
              <w:pStyle w:val="Tabletextright"/>
              <w:cnfStyle w:val="000000000000" w:firstRow="0" w:lastRow="0" w:firstColumn="0" w:lastColumn="0" w:oddVBand="0" w:evenVBand="0" w:oddHBand="0" w:evenHBand="0" w:firstRowFirstColumn="0" w:firstRowLastColumn="0" w:lastRowFirstColumn="0" w:lastRowLastColumn="0"/>
            </w:pPr>
          </w:p>
        </w:tc>
      </w:tr>
      <w:tr w:rsidR="005D2595" w:rsidRPr="0067507D" w14:paraId="57B3910C" w14:textId="77777777" w:rsidTr="007E5E23">
        <w:tc>
          <w:tcPr>
            <w:cnfStyle w:val="001000000000" w:firstRow="0" w:lastRow="0" w:firstColumn="1" w:lastColumn="0" w:oddVBand="0" w:evenVBand="0" w:oddHBand="0" w:evenHBand="0" w:firstRowFirstColumn="0" w:firstRowLastColumn="0" w:lastRowFirstColumn="0" w:lastRowLastColumn="0"/>
            <w:tcW w:w="3600" w:type="dxa"/>
          </w:tcPr>
          <w:p w14:paraId="3A034BA9" w14:textId="77777777" w:rsidR="005D2595" w:rsidRPr="0067507D" w:rsidRDefault="005D2595" w:rsidP="00FC3AF2">
            <w:pPr>
              <w:pStyle w:val="Tabletextbold"/>
            </w:pPr>
            <w:r w:rsidRPr="0067507D">
              <w:t>Total special appropriations</w:t>
            </w:r>
          </w:p>
        </w:tc>
        <w:tc>
          <w:tcPr>
            <w:tcW w:w="2880" w:type="dxa"/>
          </w:tcPr>
          <w:p w14:paraId="2B7A6378" w14:textId="77777777" w:rsidR="005D2595" w:rsidRPr="0067507D" w:rsidRDefault="005D2595" w:rsidP="00FC3AF2">
            <w:pPr>
              <w:pStyle w:val="Tabletext"/>
              <w:cnfStyle w:val="000000000000" w:firstRow="0" w:lastRow="0" w:firstColumn="0" w:lastColumn="0" w:oddVBand="0" w:evenVBand="0" w:oddHBand="0" w:evenHBand="0" w:firstRowFirstColumn="0" w:firstRowLastColumn="0" w:lastRowFirstColumn="0" w:lastRowLastColumn="0"/>
            </w:pPr>
          </w:p>
        </w:tc>
        <w:tc>
          <w:tcPr>
            <w:tcW w:w="1158" w:type="dxa"/>
            <w:shd w:val="clear" w:color="auto" w:fill="DDDDDD"/>
          </w:tcPr>
          <w:p w14:paraId="1146BA9A" w14:textId="77777777" w:rsidR="005D2595" w:rsidRPr="0067507D" w:rsidRDefault="005D2595" w:rsidP="00FC3AF2">
            <w:pPr>
              <w:pStyle w:val="Tabletextrightbold"/>
              <w:cnfStyle w:val="000000000000" w:firstRow="0" w:lastRow="0" w:firstColumn="0" w:lastColumn="0" w:oddVBand="0" w:evenVBand="0" w:oddHBand="0" w:evenHBand="0" w:firstRowFirstColumn="0" w:firstRowLastColumn="0" w:lastRowFirstColumn="0" w:lastRowLastColumn="0"/>
            </w:pPr>
            <w:r w:rsidRPr="0067507D">
              <w:t xml:space="preserve">1 305 248 </w:t>
            </w:r>
          </w:p>
        </w:tc>
        <w:tc>
          <w:tcPr>
            <w:tcW w:w="1159" w:type="dxa"/>
          </w:tcPr>
          <w:p w14:paraId="61716EC6" w14:textId="77777777" w:rsidR="005D2595" w:rsidRPr="0067507D" w:rsidRDefault="005D2595" w:rsidP="00FC3AF2">
            <w:pPr>
              <w:pStyle w:val="Tabletextrightbold"/>
              <w:cnfStyle w:val="000000000000" w:firstRow="0" w:lastRow="0" w:firstColumn="0" w:lastColumn="0" w:oddVBand="0" w:evenVBand="0" w:oddHBand="0" w:evenHBand="0" w:firstRowFirstColumn="0" w:firstRowLastColumn="0" w:lastRowFirstColumn="0" w:lastRowLastColumn="0"/>
            </w:pPr>
            <w:r w:rsidRPr="0067507D">
              <w:t xml:space="preserve">8 789 086 </w:t>
            </w:r>
          </w:p>
        </w:tc>
      </w:tr>
    </w:tbl>
    <w:p w14:paraId="1ED06183" w14:textId="77777777" w:rsidR="005D2595" w:rsidRPr="0067507D" w:rsidRDefault="005D2595" w:rsidP="005D2595">
      <w:pPr>
        <w:pStyle w:val="Notes"/>
      </w:pPr>
      <w:r w:rsidRPr="0067507D">
        <w:t>Notes:</w:t>
      </w:r>
    </w:p>
    <w:p w14:paraId="3B39A480" w14:textId="77777777" w:rsidR="005D2595" w:rsidRPr="0067507D" w:rsidRDefault="005D2595" w:rsidP="005D2595">
      <w:pPr>
        <w:pStyle w:val="Notes"/>
      </w:pPr>
      <w:r w:rsidRPr="0067507D">
        <w:t>(a) Appropriation of Commonwealth grants to Victoria to deliver the homebuilder grant scheme and the Housing Support Program – Priority Works.</w:t>
      </w:r>
    </w:p>
    <w:p w14:paraId="2D688809" w14:textId="4F39C2E4" w:rsidR="005D2595" w:rsidRPr="0067507D" w:rsidRDefault="005D2595" w:rsidP="005D2595">
      <w:pPr>
        <w:pStyle w:val="Notes"/>
      </w:pPr>
      <w:r w:rsidRPr="0067507D">
        <w:t xml:space="preserve">(b) As announced in the </w:t>
      </w:r>
      <w:r w:rsidRPr="0067507D">
        <w:rPr>
          <w:i/>
          <w:iCs/>
        </w:rPr>
        <w:t>2023</w:t>
      </w:r>
      <w:r w:rsidR="006A5485">
        <w:rPr>
          <w:i/>
          <w:iCs/>
        </w:rPr>
        <w:noBreakHyphen/>
      </w:r>
      <w:r w:rsidRPr="0067507D">
        <w:rPr>
          <w:i/>
          <w:iCs/>
        </w:rPr>
        <w:t>24 Budget</w:t>
      </w:r>
      <w:r w:rsidRPr="0067507D">
        <w:t>, the Government has increased the wagering and betting tax rate from 10 per cent to 15 per cent, and the amount of net wagering revenue returned to the Victorian Racing Industry from 3.5 per cent to 7.5 per cent from 1 July 2024.</w:t>
      </w:r>
    </w:p>
    <w:p w14:paraId="1E378A54" w14:textId="0C15BB6B" w:rsidR="005D2595" w:rsidRPr="0067507D" w:rsidRDefault="005D2595" w:rsidP="005D2595">
      <w:pPr>
        <w:pStyle w:val="Notes"/>
      </w:pPr>
      <w:r w:rsidRPr="0067507D">
        <w:t xml:space="preserve">(c) The authority to pay the refunded tax revenue from the consolidated fund is provided under section 121 of the </w:t>
      </w:r>
      <w:r w:rsidRPr="0067507D">
        <w:rPr>
          <w:i/>
          <w:iCs/>
        </w:rPr>
        <w:t>Taxation Administration Act 1997</w:t>
      </w:r>
      <w:r w:rsidRPr="0067507D">
        <w:t>, which provides the authority to pay from a special appropriation. In prior years, refunds were offset against the tax revenue receipts. This has been corrected in 2024</w:t>
      </w:r>
      <w:r w:rsidR="006A5485">
        <w:noBreakHyphen/>
      </w:r>
      <w:r w:rsidRPr="0067507D">
        <w:t xml:space="preserve">25. </w:t>
      </w:r>
      <w:r w:rsidR="00D2436B" w:rsidRPr="0067507D">
        <w:t>Had the same approach been used to calculate the 2024 appropriation as for the 2025 appropriation, the 2024 value would have been</w:t>
      </w:r>
      <w:r w:rsidR="00D2436B" w:rsidRPr="0067507D" w:rsidDel="00D2436B">
        <w:t xml:space="preserve"> </w:t>
      </w:r>
      <w:r w:rsidRPr="0067507D">
        <w:t>$291.7 million.</w:t>
      </w:r>
    </w:p>
    <w:p w14:paraId="53C26FD0" w14:textId="77777777" w:rsidR="005D2595" w:rsidRPr="0067507D" w:rsidRDefault="005D2595" w:rsidP="005D2595">
      <w:pPr>
        <w:pStyle w:val="Notes"/>
      </w:pPr>
      <w:r w:rsidRPr="0067507D">
        <w:t>(d) Based on future funding requirements and the State's liquidity position at a given point in time, decisions are taken by the Department and the Treasury Corporation of Victoria to retire maturing debt. These decisions are part of broader decisions taken in terms of managing the budget sector debt portfolio in the most efficient manner (reduce debt and interest expenses even at shorter time frames) and maximising the available liquidity.</w:t>
      </w:r>
    </w:p>
    <w:p w14:paraId="65485A59" w14:textId="77777777" w:rsidR="005D2595" w:rsidRPr="0067507D" w:rsidRDefault="005D2595" w:rsidP="005D2595">
      <w:pPr>
        <w:pStyle w:val="Notes"/>
      </w:pPr>
      <w:r w:rsidRPr="0067507D">
        <w:t>(e) The higher 2024 figure reflects the drawdown of the Victorian Future Fund as special appropriation since it became effective on 22</w:t>
      </w:r>
      <w:r w:rsidRPr="0067507D">
        <w:rPr>
          <w:rFonts w:ascii="Calibri" w:hAnsi="Calibri" w:cs="Calibri"/>
        </w:rPr>
        <w:t> </w:t>
      </w:r>
      <w:r w:rsidRPr="0067507D">
        <w:t>August 2023.</w:t>
      </w:r>
    </w:p>
    <w:p w14:paraId="23BEF5BB" w14:textId="77777777" w:rsidR="005D2595" w:rsidRPr="0067507D" w:rsidRDefault="005D2595" w:rsidP="005D2595">
      <w:pPr>
        <w:pStyle w:val="Notes"/>
      </w:pPr>
    </w:p>
    <w:p w14:paraId="6FE5C1E6"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space="720"/>
          <w:noEndnote/>
        </w:sectPr>
      </w:pPr>
    </w:p>
    <w:p w14:paraId="5C4C92E2" w14:textId="77777777" w:rsidR="005D2595" w:rsidRPr="0067507D" w:rsidRDefault="005D2595" w:rsidP="009714E6">
      <w:pPr>
        <w:pStyle w:val="Heading2numbered"/>
      </w:pPr>
      <w:bookmarkStart w:id="85" w:name="_Toc210213998"/>
      <w:bookmarkStart w:id="86" w:name="_Toc210213945"/>
      <w:r w:rsidRPr="0067507D">
        <w:lastRenderedPageBreak/>
        <w:t>Annotated income agreements</w:t>
      </w:r>
      <w:bookmarkEnd w:id="85"/>
      <w:bookmarkEnd w:id="86"/>
    </w:p>
    <w:p w14:paraId="00ABCB89" w14:textId="7F39EA50" w:rsidR="005D2595" w:rsidRPr="0067507D" w:rsidRDefault="005D2595" w:rsidP="005D2595">
      <w:r w:rsidRPr="0067507D">
        <w:t xml:space="preserve">The Department is permitted under section 29 of the </w:t>
      </w:r>
      <w:r w:rsidRPr="0067507D">
        <w:rPr>
          <w:i/>
          <w:iCs/>
        </w:rPr>
        <w:t>Financial Management Act 1994</w:t>
      </w:r>
      <w:r w:rsidRPr="0067507D">
        <w:t xml:space="preserve"> to have certain income annotated to the annual appropriation. The income, which forms part of a section 29 agreement, is recognised by the Department as an administered item and includes the receipts paid into the consolidated fund. At the point of income recognition, section 29 provides for an equivalent amount to be added to the annual appropriation. The following is a list of annotated income agreements approved by the Treasurer under section 29 of the </w:t>
      </w:r>
      <w:r w:rsidRPr="0067507D">
        <w:rPr>
          <w:i/>
          <w:iCs/>
        </w:rPr>
        <w:t xml:space="preserve">Financial Management </w:t>
      </w:r>
      <w:r w:rsidR="004D4FA7">
        <w:rPr>
          <w:i/>
          <w:iCs/>
        </w:rPr>
        <w:t xml:space="preserve">Act </w:t>
      </w:r>
      <w:r w:rsidRPr="0067507D">
        <w:rPr>
          <w:i/>
          <w:iCs/>
        </w:rPr>
        <w:t>1994</w:t>
      </w:r>
      <w:r w:rsidRPr="0067507D">
        <w:t>.</w:t>
      </w:r>
    </w:p>
    <w:p w14:paraId="59ABFBAB" w14:textId="77777777" w:rsidR="005D2595" w:rsidRPr="0067507D" w:rsidRDefault="005D2595" w:rsidP="005D2595"/>
    <w:p w14:paraId="35E2B21A"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720"/>
          <w:noEndnote/>
        </w:sectPr>
      </w:pPr>
    </w:p>
    <w:p w14:paraId="54D772B9" w14:textId="77777777" w:rsidR="005D2595" w:rsidRPr="0067507D" w:rsidRDefault="005D2595" w:rsidP="005D2595">
      <w:pPr>
        <w:pStyle w:val="Spacer"/>
        <w:spacing w:before="240"/>
      </w:pPr>
    </w:p>
    <w:tbl>
      <w:tblPr>
        <w:tblW w:w="7218" w:type="dxa"/>
        <w:tblLayout w:type="fixed"/>
        <w:tblLook w:val="00A0" w:firstRow="1" w:lastRow="0" w:firstColumn="1" w:lastColumn="0" w:noHBand="0" w:noVBand="0"/>
      </w:tblPr>
      <w:tblGrid>
        <w:gridCol w:w="5148"/>
        <w:gridCol w:w="1035"/>
        <w:gridCol w:w="1035"/>
      </w:tblGrid>
      <w:tr w:rsidR="005D2595" w:rsidRPr="0067507D" w14:paraId="7857A2C9" w14:textId="77777777" w:rsidTr="00FC3AF2">
        <w:trPr>
          <w:trHeight w:val="284"/>
        </w:trPr>
        <w:tc>
          <w:tcPr>
            <w:tcW w:w="5148" w:type="dxa"/>
          </w:tcPr>
          <w:p w14:paraId="685916E5" w14:textId="77777777" w:rsidR="005D2595" w:rsidRPr="00866B9C" w:rsidRDefault="005D2595" w:rsidP="00866B9C">
            <w:pPr>
              <w:pStyle w:val="Tabletext"/>
            </w:pPr>
          </w:p>
        </w:tc>
        <w:tc>
          <w:tcPr>
            <w:tcW w:w="1035" w:type="dxa"/>
          </w:tcPr>
          <w:p w14:paraId="3CD03A6A" w14:textId="1DD2CEC3" w:rsidR="005D2595" w:rsidRPr="0067507D" w:rsidRDefault="005D2595" w:rsidP="00FC3AF2">
            <w:pPr>
              <w:pStyle w:val="Tabletextheadingright"/>
            </w:pPr>
            <w:r w:rsidRPr="0067507D">
              <w:t>2025</w:t>
            </w:r>
            <w:r w:rsidR="002031E0">
              <w:br/>
            </w:r>
            <w:r w:rsidR="002031E0" w:rsidRPr="0067507D">
              <w:t>$’000</w:t>
            </w:r>
          </w:p>
        </w:tc>
        <w:tc>
          <w:tcPr>
            <w:tcW w:w="1035" w:type="dxa"/>
          </w:tcPr>
          <w:p w14:paraId="1B5DCB94" w14:textId="70EAA8D4" w:rsidR="005D2595" w:rsidRPr="0067507D" w:rsidRDefault="005D2595" w:rsidP="00FC3AF2">
            <w:pPr>
              <w:pStyle w:val="Tabletextheadingright"/>
            </w:pPr>
            <w:r w:rsidRPr="0067507D">
              <w:t>2024</w:t>
            </w:r>
            <w:r w:rsidR="002031E0">
              <w:br/>
            </w:r>
            <w:r w:rsidR="002031E0" w:rsidRPr="0067507D">
              <w:t>$’000</w:t>
            </w:r>
          </w:p>
        </w:tc>
      </w:tr>
      <w:tr w:rsidR="005D2595" w:rsidRPr="0067507D" w14:paraId="6A0DE336" w14:textId="77777777" w:rsidTr="00FC3AF2">
        <w:trPr>
          <w:trHeight w:val="284"/>
        </w:trPr>
        <w:tc>
          <w:tcPr>
            <w:tcW w:w="5148" w:type="dxa"/>
          </w:tcPr>
          <w:p w14:paraId="65E778F6" w14:textId="77777777" w:rsidR="005D2595" w:rsidRPr="0067507D" w:rsidDel="00CB02D5" w:rsidRDefault="005D2595" w:rsidP="00FC3AF2">
            <w:pPr>
              <w:pStyle w:val="Tabletextbold"/>
            </w:pPr>
            <w:r w:rsidRPr="0067507D">
              <w:t>User charges</w:t>
            </w:r>
          </w:p>
        </w:tc>
        <w:tc>
          <w:tcPr>
            <w:tcW w:w="1035" w:type="dxa"/>
            <w:shd w:val="clear" w:color="auto" w:fill="DDDDDD"/>
          </w:tcPr>
          <w:p w14:paraId="7C18677B" w14:textId="77777777" w:rsidR="005D2595" w:rsidRPr="0067507D" w:rsidRDefault="005D2595" w:rsidP="00FC3AF2">
            <w:pPr>
              <w:pStyle w:val="Tabletextright"/>
            </w:pPr>
          </w:p>
        </w:tc>
        <w:tc>
          <w:tcPr>
            <w:tcW w:w="1035" w:type="dxa"/>
          </w:tcPr>
          <w:p w14:paraId="4F46CC06" w14:textId="77777777" w:rsidR="005D2595" w:rsidRPr="0067507D" w:rsidRDefault="005D2595" w:rsidP="00FC3AF2">
            <w:pPr>
              <w:pStyle w:val="Tabletextright"/>
            </w:pPr>
          </w:p>
        </w:tc>
      </w:tr>
      <w:tr w:rsidR="005D2595" w:rsidRPr="0067507D" w14:paraId="409BB534" w14:textId="77777777" w:rsidTr="00FC3AF2">
        <w:trPr>
          <w:trHeight w:val="284"/>
        </w:trPr>
        <w:tc>
          <w:tcPr>
            <w:tcW w:w="5148" w:type="dxa"/>
          </w:tcPr>
          <w:p w14:paraId="31D27113" w14:textId="77777777" w:rsidR="005D2595" w:rsidRPr="0067507D" w:rsidRDefault="005D2595" w:rsidP="00FC3AF2">
            <w:pPr>
              <w:pStyle w:val="Tabletext"/>
            </w:pPr>
            <w:r w:rsidRPr="0067507D">
              <w:t>Land tax certificates</w:t>
            </w:r>
          </w:p>
        </w:tc>
        <w:tc>
          <w:tcPr>
            <w:tcW w:w="1035" w:type="dxa"/>
            <w:shd w:val="clear" w:color="auto" w:fill="DDDDDD"/>
          </w:tcPr>
          <w:p w14:paraId="7148B34D" w14:textId="77777777" w:rsidR="005D2595" w:rsidRPr="0067507D" w:rsidRDefault="005D2595" w:rsidP="00FC3AF2">
            <w:pPr>
              <w:pStyle w:val="Tabletextright"/>
            </w:pPr>
            <w:r w:rsidRPr="0067507D">
              <w:t xml:space="preserve">6 184 </w:t>
            </w:r>
          </w:p>
        </w:tc>
        <w:tc>
          <w:tcPr>
            <w:tcW w:w="1035" w:type="dxa"/>
          </w:tcPr>
          <w:p w14:paraId="0D13832B" w14:textId="77777777" w:rsidR="005D2595" w:rsidRPr="0067507D" w:rsidRDefault="005D2595" w:rsidP="00FC3AF2">
            <w:pPr>
              <w:pStyle w:val="Tabletextright"/>
            </w:pPr>
            <w:r w:rsidRPr="0067507D">
              <w:t xml:space="preserve">5 269 </w:t>
            </w:r>
          </w:p>
        </w:tc>
      </w:tr>
      <w:tr w:rsidR="005D2595" w:rsidRPr="0067507D" w14:paraId="0DF9882A" w14:textId="77777777" w:rsidTr="00FC3AF2">
        <w:trPr>
          <w:trHeight w:val="284"/>
        </w:trPr>
        <w:tc>
          <w:tcPr>
            <w:tcW w:w="5148" w:type="dxa"/>
          </w:tcPr>
          <w:p w14:paraId="308368A7" w14:textId="77777777" w:rsidR="005D2595" w:rsidRPr="0067507D" w:rsidRDefault="005D2595" w:rsidP="00FC3AF2">
            <w:pPr>
              <w:pStyle w:val="Tabletext"/>
              <w:rPr>
                <w:vertAlign w:val="superscript"/>
              </w:rPr>
            </w:pPr>
            <w:r w:rsidRPr="0067507D">
              <w:t>Property Exchange Australia</w:t>
            </w:r>
          </w:p>
        </w:tc>
        <w:tc>
          <w:tcPr>
            <w:tcW w:w="1035" w:type="dxa"/>
            <w:shd w:val="clear" w:color="auto" w:fill="DDDDDD"/>
          </w:tcPr>
          <w:p w14:paraId="3C52A390" w14:textId="77777777" w:rsidR="005D2595" w:rsidRPr="0067507D" w:rsidRDefault="005D2595" w:rsidP="00FC3AF2">
            <w:pPr>
              <w:pStyle w:val="Tabletextright"/>
            </w:pPr>
            <w:r w:rsidRPr="0067507D">
              <w:t xml:space="preserve"> 627 </w:t>
            </w:r>
          </w:p>
        </w:tc>
        <w:tc>
          <w:tcPr>
            <w:tcW w:w="1035" w:type="dxa"/>
          </w:tcPr>
          <w:p w14:paraId="49599D6F" w14:textId="77777777" w:rsidR="005D2595" w:rsidRPr="0067507D" w:rsidRDefault="005D2595" w:rsidP="00FC3AF2">
            <w:pPr>
              <w:pStyle w:val="Tabletextright"/>
            </w:pPr>
            <w:r w:rsidRPr="0067507D">
              <w:t>–</w:t>
            </w:r>
          </w:p>
        </w:tc>
      </w:tr>
      <w:tr w:rsidR="005D2595" w:rsidRPr="0067507D" w14:paraId="20FF92C0" w14:textId="77777777" w:rsidTr="00FC3AF2">
        <w:tc>
          <w:tcPr>
            <w:tcW w:w="5148" w:type="dxa"/>
          </w:tcPr>
          <w:p w14:paraId="38E968C2" w14:textId="77777777" w:rsidR="005D2595" w:rsidRPr="0067507D" w:rsidRDefault="005D2595" w:rsidP="00FC3AF2">
            <w:pPr>
              <w:pStyle w:val="Tabletext"/>
              <w:rPr>
                <w:sz w:val="8"/>
              </w:rPr>
            </w:pPr>
          </w:p>
        </w:tc>
        <w:tc>
          <w:tcPr>
            <w:tcW w:w="1035" w:type="dxa"/>
            <w:shd w:val="clear" w:color="auto" w:fill="DDDDDD"/>
          </w:tcPr>
          <w:p w14:paraId="6D64A879" w14:textId="77777777" w:rsidR="005D2595" w:rsidRPr="0067507D" w:rsidRDefault="005D2595" w:rsidP="00FC3AF2">
            <w:pPr>
              <w:pStyle w:val="Tabletextright"/>
              <w:rPr>
                <w:sz w:val="8"/>
              </w:rPr>
            </w:pPr>
          </w:p>
        </w:tc>
        <w:tc>
          <w:tcPr>
            <w:tcW w:w="1035" w:type="dxa"/>
          </w:tcPr>
          <w:p w14:paraId="49A02D88" w14:textId="77777777" w:rsidR="005D2595" w:rsidRPr="0067507D" w:rsidRDefault="005D2595" w:rsidP="00FC3AF2">
            <w:pPr>
              <w:pStyle w:val="Tabletextright"/>
              <w:rPr>
                <w:sz w:val="8"/>
              </w:rPr>
            </w:pPr>
          </w:p>
        </w:tc>
      </w:tr>
      <w:tr w:rsidR="005D2595" w:rsidRPr="0067507D" w14:paraId="7070DBC0" w14:textId="77777777" w:rsidTr="00FC3AF2">
        <w:trPr>
          <w:trHeight w:val="284"/>
        </w:trPr>
        <w:tc>
          <w:tcPr>
            <w:tcW w:w="5148" w:type="dxa"/>
          </w:tcPr>
          <w:p w14:paraId="07AD8926" w14:textId="77777777" w:rsidR="005D2595" w:rsidRPr="0067507D" w:rsidRDefault="005D2595" w:rsidP="00FC3AF2">
            <w:pPr>
              <w:pStyle w:val="Tabletextbold"/>
            </w:pPr>
            <w:r w:rsidRPr="0067507D">
              <w:t>Receipts from other departments, agencies and municipal councils</w:t>
            </w:r>
          </w:p>
        </w:tc>
        <w:tc>
          <w:tcPr>
            <w:tcW w:w="1035" w:type="dxa"/>
            <w:shd w:val="clear" w:color="auto" w:fill="DDDDDD"/>
          </w:tcPr>
          <w:p w14:paraId="27732F87" w14:textId="77777777" w:rsidR="005D2595" w:rsidRPr="0067507D" w:rsidRDefault="005D2595" w:rsidP="00FC3AF2">
            <w:pPr>
              <w:pStyle w:val="Tabletextright"/>
            </w:pPr>
          </w:p>
        </w:tc>
        <w:tc>
          <w:tcPr>
            <w:tcW w:w="1035" w:type="dxa"/>
          </w:tcPr>
          <w:p w14:paraId="08F314C7" w14:textId="77777777" w:rsidR="005D2595" w:rsidRPr="0067507D" w:rsidRDefault="005D2595" w:rsidP="00FC3AF2">
            <w:pPr>
              <w:pStyle w:val="Tabletextright"/>
            </w:pPr>
          </w:p>
        </w:tc>
      </w:tr>
      <w:tr w:rsidR="005D2595" w:rsidRPr="0067507D" w14:paraId="740E07DE" w14:textId="77777777" w:rsidTr="00FC3AF2">
        <w:trPr>
          <w:trHeight w:val="284"/>
        </w:trPr>
        <w:tc>
          <w:tcPr>
            <w:tcW w:w="5148" w:type="dxa"/>
          </w:tcPr>
          <w:p w14:paraId="34AB3D33" w14:textId="45914701" w:rsidR="005D2595" w:rsidRPr="0067507D" w:rsidRDefault="005D2595" w:rsidP="00FC3AF2">
            <w:pPr>
              <w:pStyle w:val="Tabletext"/>
            </w:pPr>
            <w:r w:rsidRPr="0067507D">
              <w:t>Collaborative inter</w:t>
            </w:r>
            <w:r w:rsidR="006A5485">
              <w:noBreakHyphen/>
            </w:r>
            <w:r w:rsidRPr="0067507D">
              <w:t xml:space="preserve">governmental projects </w:t>
            </w:r>
          </w:p>
        </w:tc>
        <w:tc>
          <w:tcPr>
            <w:tcW w:w="1035" w:type="dxa"/>
            <w:shd w:val="clear" w:color="auto" w:fill="DDDDDD"/>
          </w:tcPr>
          <w:p w14:paraId="2857AF76" w14:textId="77777777" w:rsidR="005D2595" w:rsidRPr="0067507D" w:rsidRDefault="005D2595" w:rsidP="00FC3AF2">
            <w:pPr>
              <w:pStyle w:val="Tabletextright"/>
            </w:pPr>
            <w:r w:rsidRPr="0067507D">
              <w:t xml:space="preserve">– </w:t>
            </w:r>
          </w:p>
        </w:tc>
        <w:tc>
          <w:tcPr>
            <w:tcW w:w="1035" w:type="dxa"/>
          </w:tcPr>
          <w:p w14:paraId="46F304DA" w14:textId="77777777" w:rsidR="005D2595" w:rsidRPr="0067507D" w:rsidRDefault="005D2595" w:rsidP="00FC3AF2">
            <w:pPr>
              <w:pStyle w:val="Tabletextright"/>
            </w:pPr>
            <w:r w:rsidRPr="0067507D">
              <w:t xml:space="preserve"> 47 </w:t>
            </w:r>
          </w:p>
        </w:tc>
      </w:tr>
      <w:tr w:rsidR="005D2595" w:rsidRPr="0067507D" w14:paraId="1CF5D11C" w14:textId="77777777" w:rsidTr="00FC3AF2">
        <w:trPr>
          <w:trHeight w:val="284"/>
        </w:trPr>
        <w:tc>
          <w:tcPr>
            <w:tcW w:w="5148" w:type="dxa"/>
          </w:tcPr>
          <w:p w14:paraId="5950C655" w14:textId="77777777" w:rsidR="005D2595" w:rsidRPr="0067507D" w:rsidRDefault="005D2595" w:rsidP="00FC3AF2">
            <w:pPr>
              <w:pStyle w:val="Tabletext"/>
            </w:pPr>
            <w:r w:rsidRPr="0067507D">
              <w:t>Construction supplier register</w:t>
            </w:r>
          </w:p>
        </w:tc>
        <w:tc>
          <w:tcPr>
            <w:tcW w:w="1035" w:type="dxa"/>
            <w:shd w:val="clear" w:color="auto" w:fill="DDDDDD"/>
          </w:tcPr>
          <w:p w14:paraId="0AD5A04C" w14:textId="77777777" w:rsidR="005D2595" w:rsidRPr="0067507D" w:rsidRDefault="005D2595" w:rsidP="00FC3AF2">
            <w:pPr>
              <w:pStyle w:val="Tabletextright"/>
            </w:pPr>
            <w:r w:rsidRPr="0067507D">
              <w:t xml:space="preserve"> 48 </w:t>
            </w:r>
          </w:p>
        </w:tc>
        <w:tc>
          <w:tcPr>
            <w:tcW w:w="1035" w:type="dxa"/>
          </w:tcPr>
          <w:p w14:paraId="407328ED" w14:textId="77777777" w:rsidR="005D2595" w:rsidRPr="0067507D" w:rsidRDefault="005D2595" w:rsidP="00FC3AF2">
            <w:pPr>
              <w:pStyle w:val="Tabletextright"/>
            </w:pPr>
            <w:r w:rsidRPr="0067507D">
              <w:t xml:space="preserve"> 424 </w:t>
            </w:r>
          </w:p>
        </w:tc>
      </w:tr>
      <w:tr w:rsidR="005D2595" w:rsidRPr="0067507D" w14:paraId="37EEB70E" w14:textId="77777777" w:rsidTr="00FC3AF2">
        <w:trPr>
          <w:trHeight w:val="284"/>
        </w:trPr>
        <w:tc>
          <w:tcPr>
            <w:tcW w:w="5148" w:type="dxa"/>
          </w:tcPr>
          <w:p w14:paraId="1D63DDD0" w14:textId="77777777" w:rsidR="005D2595" w:rsidRPr="0067507D" w:rsidRDefault="005D2595" w:rsidP="00FC3AF2">
            <w:pPr>
              <w:pStyle w:val="Tabletext"/>
            </w:pPr>
            <w:r w:rsidRPr="0067507D">
              <w:t xml:space="preserve">Government business enterprise performance monitoring and financial risk management </w:t>
            </w:r>
          </w:p>
        </w:tc>
        <w:tc>
          <w:tcPr>
            <w:tcW w:w="1035" w:type="dxa"/>
            <w:shd w:val="clear" w:color="auto" w:fill="DDDDDD"/>
          </w:tcPr>
          <w:p w14:paraId="1B4148B6" w14:textId="77777777" w:rsidR="005D2595" w:rsidRPr="0067507D" w:rsidRDefault="005D2595" w:rsidP="00FC3AF2">
            <w:pPr>
              <w:pStyle w:val="Tabletextright"/>
            </w:pPr>
            <w:r w:rsidRPr="0067507D">
              <w:t xml:space="preserve"> 175 </w:t>
            </w:r>
          </w:p>
        </w:tc>
        <w:tc>
          <w:tcPr>
            <w:tcW w:w="1035" w:type="dxa"/>
          </w:tcPr>
          <w:p w14:paraId="328F20EB" w14:textId="77777777" w:rsidR="005D2595" w:rsidRPr="0067507D" w:rsidRDefault="005D2595" w:rsidP="00FC3AF2">
            <w:pPr>
              <w:pStyle w:val="Tabletextright"/>
            </w:pPr>
            <w:r w:rsidRPr="0067507D">
              <w:t xml:space="preserve"> 50 </w:t>
            </w:r>
          </w:p>
        </w:tc>
      </w:tr>
      <w:tr w:rsidR="005D2595" w:rsidRPr="0067507D" w14:paraId="2A415491" w14:textId="77777777" w:rsidTr="00FC3AF2">
        <w:trPr>
          <w:trHeight w:val="284"/>
        </w:trPr>
        <w:tc>
          <w:tcPr>
            <w:tcW w:w="5148" w:type="dxa"/>
          </w:tcPr>
          <w:p w14:paraId="5BF16C33" w14:textId="77777777" w:rsidR="005D2595" w:rsidRPr="0067507D" w:rsidRDefault="005D2595" w:rsidP="00FC3AF2">
            <w:pPr>
              <w:pStyle w:val="Tabletext"/>
            </w:pPr>
            <w:r w:rsidRPr="0067507D">
              <w:t xml:space="preserve">National Labour Hire Licensing Scheme </w:t>
            </w:r>
            <w:r w:rsidRPr="0067507D">
              <w:rPr>
                <w:vertAlign w:val="superscript"/>
              </w:rPr>
              <w:t>(a)</w:t>
            </w:r>
          </w:p>
        </w:tc>
        <w:tc>
          <w:tcPr>
            <w:tcW w:w="1035" w:type="dxa"/>
            <w:shd w:val="clear" w:color="auto" w:fill="DDDDDD"/>
          </w:tcPr>
          <w:p w14:paraId="57D0D1BE" w14:textId="77777777" w:rsidR="005D2595" w:rsidRPr="0067507D" w:rsidRDefault="005D2595" w:rsidP="00FC3AF2">
            <w:pPr>
              <w:pStyle w:val="Tabletextright"/>
            </w:pPr>
            <w:r w:rsidRPr="0067507D">
              <w:t xml:space="preserve">1 581 </w:t>
            </w:r>
          </w:p>
        </w:tc>
        <w:tc>
          <w:tcPr>
            <w:tcW w:w="1035" w:type="dxa"/>
          </w:tcPr>
          <w:p w14:paraId="010B517A" w14:textId="77777777" w:rsidR="005D2595" w:rsidRPr="0067507D" w:rsidRDefault="005D2595" w:rsidP="00FC3AF2">
            <w:pPr>
              <w:pStyle w:val="Tabletextright"/>
            </w:pPr>
            <w:r w:rsidRPr="0067507D">
              <w:t>–</w:t>
            </w:r>
          </w:p>
        </w:tc>
      </w:tr>
      <w:tr w:rsidR="005D2595" w:rsidRPr="0067507D" w14:paraId="31FA49D5" w14:textId="77777777" w:rsidTr="00FC3AF2">
        <w:tc>
          <w:tcPr>
            <w:tcW w:w="5148" w:type="dxa"/>
          </w:tcPr>
          <w:p w14:paraId="27560EB4" w14:textId="77777777" w:rsidR="005D2595" w:rsidRPr="0067507D" w:rsidRDefault="005D2595" w:rsidP="00FC3AF2">
            <w:pPr>
              <w:pStyle w:val="Tabletext"/>
              <w:rPr>
                <w:sz w:val="8"/>
              </w:rPr>
            </w:pPr>
          </w:p>
        </w:tc>
        <w:tc>
          <w:tcPr>
            <w:tcW w:w="1035" w:type="dxa"/>
            <w:shd w:val="clear" w:color="auto" w:fill="DDDDDD"/>
          </w:tcPr>
          <w:p w14:paraId="2B7ECE12" w14:textId="77777777" w:rsidR="005D2595" w:rsidRPr="0067507D" w:rsidRDefault="005D2595" w:rsidP="00FC3AF2">
            <w:pPr>
              <w:pStyle w:val="Tabletextright"/>
              <w:rPr>
                <w:sz w:val="8"/>
              </w:rPr>
            </w:pPr>
          </w:p>
        </w:tc>
        <w:tc>
          <w:tcPr>
            <w:tcW w:w="1035" w:type="dxa"/>
          </w:tcPr>
          <w:p w14:paraId="3AB44CFD" w14:textId="77777777" w:rsidR="005D2595" w:rsidRPr="0067507D" w:rsidRDefault="005D2595" w:rsidP="00FC3AF2">
            <w:pPr>
              <w:pStyle w:val="Tabletextright"/>
              <w:rPr>
                <w:sz w:val="8"/>
              </w:rPr>
            </w:pPr>
          </w:p>
        </w:tc>
      </w:tr>
      <w:tr w:rsidR="005D2595" w:rsidRPr="0067507D" w14:paraId="3122CF1F" w14:textId="77777777" w:rsidTr="00FC3AF2">
        <w:trPr>
          <w:trHeight w:val="284"/>
        </w:trPr>
        <w:tc>
          <w:tcPr>
            <w:tcW w:w="5148" w:type="dxa"/>
          </w:tcPr>
          <w:p w14:paraId="69EF5049" w14:textId="77777777" w:rsidR="005D2595" w:rsidRPr="0067507D" w:rsidRDefault="005D2595" w:rsidP="00FC3AF2">
            <w:pPr>
              <w:pStyle w:val="Tabletextbold"/>
            </w:pPr>
            <w:r w:rsidRPr="0067507D">
              <w:t>Total annotated income agreements</w:t>
            </w:r>
          </w:p>
        </w:tc>
        <w:tc>
          <w:tcPr>
            <w:tcW w:w="1035" w:type="dxa"/>
            <w:shd w:val="clear" w:color="auto" w:fill="DDDDDD"/>
          </w:tcPr>
          <w:p w14:paraId="1CE7ED8B" w14:textId="77777777" w:rsidR="005D2595" w:rsidRPr="0067507D" w:rsidRDefault="005D2595" w:rsidP="00FC3AF2">
            <w:pPr>
              <w:pStyle w:val="Tabletextrightbold"/>
            </w:pPr>
            <w:r w:rsidRPr="0067507D">
              <w:t xml:space="preserve">8 615 </w:t>
            </w:r>
          </w:p>
        </w:tc>
        <w:tc>
          <w:tcPr>
            <w:tcW w:w="1035" w:type="dxa"/>
          </w:tcPr>
          <w:p w14:paraId="0890ABFD" w14:textId="77777777" w:rsidR="005D2595" w:rsidRPr="0067507D" w:rsidRDefault="005D2595" w:rsidP="00FC3AF2">
            <w:pPr>
              <w:pStyle w:val="Tabletextrightbold"/>
            </w:pPr>
            <w:r w:rsidRPr="0067507D">
              <w:t xml:space="preserve">5 790 </w:t>
            </w:r>
          </w:p>
        </w:tc>
      </w:tr>
    </w:tbl>
    <w:p w14:paraId="1F70934F" w14:textId="77777777" w:rsidR="005D2595" w:rsidRPr="0067507D" w:rsidRDefault="005D2595" w:rsidP="005D2595">
      <w:pPr>
        <w:pStyle w:val="Notes"/>
      </w:pPr>
      <w:r w:rsidRPr="0067507D">
        <w:t>Note:</w:t>
      </w:r>
    </w:p>
    <w:p w14:paraId="3CCFF645" w14:textId="77777777" w:rsidR="005D2595" w:rsidRPr="0067507D" w:rsidRDefault="005D2595" w:rsidP="003C4727">
      <w:pPr>
        <w:pStyle w:val="Notes"/>
        <w:ind w:right="2405"/>
      </w:pPr>
      <w:r w:rsidRPr="0067507D">
        <w:t>(a) Commonwealth funding to Victoria, as in principle host jurisdiction, to lead national labour hire implementation development as well as the establishment of a project office which is managing a range of scoping and planning work for a National Labour Hire Regulator.</w:t>
      </w:r>
    </w:p>
    <w:p w14:paraId="1127943B" w14:textId="77777777" w:rsidR="005D2595" w:rsidRPr="0067507D" w:rsidRDefault="005D2595" w:rsidP="00866B9C">
      <w:r w:rsidRPr="0067507D">
        <w:br w:type="page"/>
      </w:r>
    </w:p>
    <w:p w14:paraId="366E42C6" w14:textId="77777777" w:rsidR="005D2595" w:rsidRPr="0067507D" w:rsidRDefault="005D2595" w:rsidP="009714E6">
      <w:pPr>
        <w:pStyle w:val="Heading2numbered"/>
      </w:pPr>
      <w:bookmarkStart w:id="87" w:name="_Toc210213999"/>
      <w:bookmarkStart w:id="88" w:name="_Toc210213946"/>
      <w:r w:rsidRPr="0067507D">
        <w:lastRenderedPageBreak/>
        <w:t>Other income</w:t>
      </w:r>
      <w:bookmarkEnd w:id="87"/>
      <w:bookmarkEnd w:id="88"/>
    </w:p>
    <w:tbl>
      <w:tblPr>
        <w:tblW w:w="7308" w:type="dxa"/>
        <w:tblLayout w:type="fixed"/>
        <w:tblLook w:val="0080" w:firstRow="0" w:lastRow="0" w:firstColumn="1" w:lastColumn="0" w:noHBand="0" w:noVBand="0"/>
      </w:tblPr>
      <w:tblGrid>
        <w:gridCol w:w="5148"/>
        <w:gridCol w:w="1080"/>
        <w:gridCol w:w="1080"/>
      </w:tblGrid>
      <w:tr w:rsidR="005D2595" w:rsidRPr="0067507D" w14:paraId="69FA3024" w14:textId="77777777" w:rsidTr="00FC3AF2">
        <w:trPr>
          <w:trHeight w:val="279"/>
        </w:trPr>
        <w:tc>
          <w:tcPr>
            <w:tcW w:w="5148" w:type="dxa"/>
          </w:tcPr>
          <w:p w14:paraId="3F046744" w14:textId="77777777" w:rsidR="005D2595" w:rsidRPr="0067507D" w:rsidRDefault="005D2595" w:rsidP="00FC3AF2">
            <w:pPr>
              <w:pStyle w:val="Tabletext"/>
            </w:pPr>
          </w:p>
        </w:tc>
        <w:tc>
          <w:tcPr>
            <w:tcW w:w="1080" w:type="dxa"/>
          </w:tcPr>
          <w:p w14:paraId="26FA8488" w14:textId="5CAB5C6A" w:rsidR="005D2595" w:rsidRPr="0067507D" w:rsidRDefault="005D2595" w:rsidP="00FC3AF2">
            <w:pPr>
              <w:pStyle w:val="Tabletextheadingright"/>
            </w:pPr>
            <w:r w:rsidRPr="0067507D">
              <w:t>2025</w:t>
            </w:r>
            <w:r w:rsidR="004E2E92">
              <w:br/>
            </w:r>
            <w:r w:rsidR="004E2E92" w:rsidRPr="0067507D">
              <w:t>$’000</w:t>
            </w:r>
          </w:p>
        </w:tc>
        <w:tc>
          <w:tcPr>
            <w:tcW w:w="1080" w:type="dxa"/>
          </w:tcPr>
          <w:p w14:paraId="73BB0D4D" w14:textId="62AC95FF" w:rsidR="005D2595" w:rsidRPr="0067507D" w:rsidRDefault="005D2595" w:rsidP="00FC3AF2">
            <w:pPr>
              <w:pStyle w:val="Tabletextheadingright"/>
            </w:pPr>
            <w:r w:rsidRPr="0067507D">
              <w:t>2024</w:t>
            </w:r>
            <w:r w:rsidR="004E2E92">
              <w:br/>
            </w:r>
            <w:r w:rsidR="004E2E92" w:rsidRPr="0067507D">
              <w:t>$’000</w:t>
            </w:r>
          </w:p>
        </w:tc>
      </w:tr>
      <w:tr w:rsidR="005D2595" w:rsidRPr="0067507D" w14:paraId="17EC11E5" w14:textId="77777777" w:rsidTr="00FC3AF2">
        <w:trPr>
          <w:trHeight w:val="254"/>
        </w:trPr>
        <w:tc>
          <w:tcPr>
            <w:tcW w:w="5148" w:type="dxa"/>
          </w:tcPr>
          <w:p w14:paraId="0A21A6CD" w14:textId="77777777" w:rsidR="005D2595" w:rsidRPr="0067507D" w:rsidRDefault="005D2595" w:rsidP="00FC3AF2">
            <w:pPr>
              <w:pStyle w:val="Tabletext"/>
            </w:pPr>
            <w:r w:rsidRPr="0067507D">
              <w:t xml:space="preserve">Provision of services income </w:t>
            </w:r>
          </w:p>
        </w:tc>
        <w:tc>
          <w:tcPr>
            <w:tcW w:w="1080" w:type="dxa"/>
            <w:shd w:val="clear" w:color="auto" w:fill="DDDDDD"/>
          </w:tcPr>
          <w:p w14:paraId="4808C364" w14:textId="77777777" w:rsidR="005D2595" w:rsidRPr="0067507D" w:rsidRDefault="005D2595" w:rsidP="00FC3AF2">
            <w:pPr>
              <w:pStyle w:val="Tabletextright"/>
            </w:pPr>
            <w:r w:rsidRPr="0067507D">
              <w:t xml:space="preserve">1 712 </w:t>
            </w:r>
          </w:p>
        </w:tc>
        <w:tc>
          <w:tcPr>
            <w:tcW w:w="1080" w:type="dxa"/>
          </w:tcPr>
          <w:p w14:paraId="133CA0A8" w14:textId="77777777" w:rsidR="005D2595" w:rsidRPr="0067507D" w:rsidRDefault="005D2595" w:rsidP="00FC3AF2">
            <w:pPr>
              <w:pStyle w:val="Tabletextright"/>
            </w:pPr>
            <w:r w:rsidRPr="0067507D">
              <w:t xml:space="preserve">2 674 </w:t>
            </w:r>
          </w:p>
        </w:tc>
      </w:tr>
      <w:tr w:rsidR="005D2595" w:rsidRPr="0067507D" w14:paraId="1F383471" w14:textId="77777777" w:rsidTr="00FC3AF2">
        <w:trPr>
          <w:trHeight w:val="254"/>
        </w:trPr>
        <w:tc>
          <w:tcPr>
            <w:tcW w:w="5148" w:type="dxa"/>
          </w:tcPr>
          <w:p w14:paraId="56772EE5" w14:textId="77777777" w:rsidR="005D2595" w:rsidRPr="0067507D" w:rsidRDefault="005D2595" w:rsidP="00FC3AF2">
            <w:pPr>
              <w:pStyle w:val="Tabletext"/>
            </w:pPr>
            <w:r w:rsidRPr="0067507D">
              <w:t xml:space="preserve">Grant income </w:t>
            </w:r>
          </w:p>
        </w:tc>
        <w:tc>
          <w:tcPr>
            <w:tcW w:w="1080" w:type="dxa"/>
            <w:shd w:val="clear" w:color="auto" w:fill="DDDDDD"/>
          </w:tcPr>
          <w:p w14:paraId="354EE394" w14:textId="77777777" w:rsidR="005D2595" w:rsidRPr="0067507D" w:rsidRDefault="005D2595" w:rsidP="00FC3AF2">
            <w:pPr>
              <w:pStyle w:val="Tabletextright"/>
            </w:pPr>
            <w:r w:rsidRPr="0067507D">
              <w:t xml:space="preserve"> 661 </w:t>
            </w:r>
          </w:p>
        </w:tc>
        <w:tc>
          <w:tcPr>
            <w:tcW w:w="1080" w:type="dxa"/>
          </w:tcPr>
          <w:p w14:paraId="2E7D7D2F" w14:textId="77777777" w:rsidR="005D2595" w:rsidRPr="0067507D" w:rsidRDefault="005D2595" w:rsidP="00FC3AF2">
            <w:pPr>
              <w:pStyle w:val="Tabletextright"/>
            </w:pPr>
            <w:r w:rsidRPr="0067507D">
              <w:t xml:space="preserve"> 477 </w:t>
            </w:r>
          </w:p>
        </w:tc>
      </w:tr>
      <w:tr w:rsidR="005D2595" w:rsidRPr="0067507D" w14:paraId="19470748" w14:textId="77777777" w:rsidTr="00FC3AF2">
        <w:trPr>
          <w:trHeight w:val="254"/>
        </w:trPr>
        <w:tc>
          <w:tcPr>
            <w:tcW w:w="5148" w:type="dxa"/>
          </w:tcPr>
          <w:p w14:paraId="4A4087A6" w14:textId="77777777" w:rsidR="005D2595" w:rsidRPr="0067507D" w:rsidRDefault="005D2595" w:rsidP="00FC3AF2">
            <w:pPr>
              <w:pStyle w:val="Tabletext"/>
            </w:pPr>
            <w:r w:rsidRPr="0067507D">
              <w:t>Resources received free of charge</w:t>
            </w:r>
          </w:p>
        </w:tc>
        <w:tc>
          <w:tcPr>
            <w:tcW w:w="1080" w:type="dxa"/>
            <w:shd w:val="clear" w:color="auto" w:fill="DDDDDD"/>
          </w:tcPr>
          <w:p w14:paraId="28A0D8C7" w14:textId="77777777" w:rsidR="005D2595" w:rsidRPr="0067507D" w:rsidRDefault="005D2595" w:rsidP="00FC3AF2">
            <w:pPr>
              <w:pStyle w:val="Tabletextright"/>
            </w:pPr>
            <w:r w:rsidRPr="0067507D">
              <w:t xml:space="preserve">7 700 </w:t>
            </w:r>
          </w:p>
        </w:tc>
        <w:tc>
          <w:tcPr>
            <w:tcW w:w="1080" w:type="dxa"/>
          </w:tcPr>
          <w:p w14:paraId="3DA90C3B" w14:textId="77777777" w:rsidR="005D2595" w:rsidRPr="0067507D" w:rsidRDefault="005D2595" w:rsidP="00FC3AF2">
            <w:pPr>
              <w:pStyle w:val="Tabletextright"/>
            </w:pPr>
            <w:r w:rsidRPr="0067507D">
              <w:t xml:space="preserve">7 700 </w:t>
            </w:r>
          </w:p>
        </w:tc>
      </w:tr>
      <w:tr w:rsidR="005D2595" w:rsidRPr="0067507D" w14:paraId="232A0154" w14:textId="77777777" w:rsidTr="00FC3AF2">
        <w:tc>
          <w:tcPr>
            <w:tcW w:w="5148" w:type="dxa"/>
          </w:tcPr>
          <w:p w14:paraId="54EF1272" w14:textId="77777777" w:rsidR="005D2595" w:rsidRPr="0067507D" w:rsidRDefault="005D2595" w:rsidP="00FC3AF2">
            <w:pPr>
              <w:pStyle w:val="Tabletextbold"/>
            </w:pPr>
            <w:r w:rsidRPr="0067507D">
              <w:t>Total other income</w:t>
            </w:r>
          </w:p>
        </w:tc>
        <w:tc>
          <w:tcPr>
            <w:tcW w:w="1080" w:type="dxa"/>
            <w:shd w:val="clear" w:color="auto" w:fill="DDDDDD"/>
          </w:tcPr>
          <w:p w14:paraId="72A38F94" w14:textId="77777777" w:rsidR="005D2595" w:rsidRPr="0067507D" w:rsidRDefault="005D2595" w:rsidP="00FC3AF2">
            <w:pPr>
              <w:pStyle w:val="Tabletextrightbold"/>
            </w:pPr>
            <w:r w:rsidRPr="0067507D">
              <w:t xml:space="preserve">10 073 </w:t>
            </w:r>
          </w:p>
        </w:tc>
        <w:tc>
          <w:tcPr>
            <w:tcW w:w="1080" w:type="dxa"/>
          </w:tcPr>
          <w:p w14:paraId="07C81DC0" w14:textId="77777777" w:rsidR="005D2595" w:rsidRPr="0067507D" w:rsidRDefault="005D2595" w:rsidP="00FC3AF2">
            <w:pPr>
              <w:pStyle w:val="Tabletextrightbold"/>
            </w:pPr>
            <w:r w:rsidRPr="0067507D">
              <w:t xml:space="preserve">10 851 </w:t>
            </w:r>
          </w:p>
        </w:tc>
      </w:tr>
    </w:tbl>
    <w:p w14:paraId="1D81BE4C" w14:textId="77777777" w:rsidR="005D2595" w:rsidRPr="0067507D" w:rsidRDefault="005D2595" w:rsidP="005D2595"/>
    <w:p w14:paraId="156E27BA" w14:textId="77777777" w:rsidR="005D2595" w:rsidRPr="0067507D" w:rsidRDefault="005D2595" w:rsidP="005D2595">
      <w:pPr>
        <w:sectPr w:rsidR="005D2595" w:rsidRPr="0067507D" w:rsidSect="005D2595">
          <w:headerReference w:type="default" r:id="rId78"/>
          <w:footerReference w:type="even" r:id="rId79"/>
          <w:footerReference w:type="default" r:id="rId80"/>
          <w:type w:val="continuous"/>
          <w:pgSz w:w="11909" w:h="16834" w:code="9"/>
          <w:pgMar w:top="1728" w:right="1152" w:bottom="1152" w:left="1152" w:header="720" w:footer="288" w:gutter="0"/>
          <w:cols w:space="720"/>
          <w:noEndnote/>
        </w:sectPr>
      </w:pPr>
    </w:p>
    <w:p w14:paraId="3DF6D44D" w14:textId="77777777" w:rsidR="005D2595" w:rsidRPr="0067507D" w:rsidRDefault="005D2595" w:rsidP="005D2595">
      <w:r w:rsidRPr="0067507D">
        <w:rPr>
          <w:rFonts w:asciiTheme="majorHAnsi" w:hAnsiTheme="majorHAnsi"/>
        </w:rPr>
        <w:t>Provision of services income</w:t>
      </w:r>
      <w:r w:rsidRPr="0067507D">
        <w:t xml:space="preserve"> is recognised under AASB 15 </w:t>
      </w:r>
      <w:r w:rsidRPr="0067507D">
        <w:rPr>
          <w:i/>
          <w:iCs/>
        </w:rPr>
        <w:t>Revenue from contracts with customers</w:t>
      </w:r>
      <w:r w:rsidRPr="0067507D">
        <w:t xml:space="preserve"> and is measured based on the consideration specified in the contract with the customer. The revenue is recognised when the Department transfers control of a service to the customer, i.e. when the performance obligations for the sale of the services to the customer are satisfied. Revenue from the rendering of services is recognised at a point in time when the performance obligation is satisfied when the service is completed, and over time when the customer simultaneously receives and consumes the services as it is provided.</w:t>
      </w:r>
    </w:p>
    <w:p w14:paraId="413B5D9F" w14:textId="3DE5DFFC" w:rsidR="005D2595" w:rsidRPr="0067507D" w:rsidRDefault="005D2595" w:rsidP="005D2595">
      <w:r w:rsidRPr="0067507D">
        <w:rPr>
          <w:rFonts w:asciiTheme="majorHAnsi" w:hAnsiTheme="majorHAnsi"/>
        </w:rPr>
        <w:t xml:space="preserve">Grant income </w:t>
      </w:r>
      <w:r w:rsidRPr="0067507D">
        <w:t>received by this Department relates to arrangements that are either not enforceable and/or do not contain sufficiently specific performance obligations. Therefore</w:t>
      </w:r>
      <w:r w:rsidR="001E0B21" w:rsidRPr="0067507D">
        <w:t>,</w:t>
      </w:r>
      <w:r w:rsidRPr="0067507D">
        <w:t xml:space="preserve"> grant income is recognised under AASB 1058 when the Department has an unconditional right to receive cash, which usually coincides with the receipt of cash.</w:t>
      </w:r>
    </w:p>
    <w:p w14:paraId="1D8379D3" w14:textId="77777777" w:rsidR="005D2595" w:rsidRPr="0067507D" w:rsidRDefault="005D2595" w:rsidP="005D2595">
      <w:r w:rsidRPr="0067507D">
        <w:rPr>
          <w:rFonts w:asciiTheme="majorHAnsi" w:hAnsiTheme="majorHAnsi"/>
        </w:rPr>
        <w:br w:type="column"/>
      </w:r>
      <w:r w:rsidRPr="0067507D">
        <w:rPr>
          <w:rFonts w:asciiTheme="majorHAnsi" w:hAnsiTheme="majorHAnsi"/>
        </w:rPr>
        <w:t>Resources received free of charge</w:t>
      </w:r>
      <w:r w:rsidRPr="0067507D">
        <w:t xml:space="preserve"> or for nominal consideration by this Department mainly relate to corporate shared services provided by the Department of Government Services. These resources are recognised under AASB 1058 at their fair value when the Department obtains control over the resources, irrespective of whether restrictions or conditions are imposed over the use of the contributions. The exception to this would be when the resource is received from another government department (or agency) as a consequence of a restructuring of administrative arrangements, in which case such a transfer will be recognised at its carrying value from the transferring department or agency as a capital contribution transfer.</w:t>
      </w:r>
    </w:p>
    <w:p w14:paraId="57E55E0E" w14:textId="77777777" w:rsidR="005D2595" w:rsidRPr="0067507D" w:rsidRDefault="005D2595" w:rsidP="005D2595"/>
    <w:p w14:paraId="2657D31D" w14:textId="77777777" w:rsidR="005D2595" w:rsidRPr="0067507D" w:rsidRDefault="005D2595" w:rsidP="00400DB2">
      <w:pPr>
        <w:pStyle w:val="Heading1numbered"/>
        <w:numPr>
          <w:ilvl w:val="0"/>
          <w:numId w:val="11"/>
        </w:numPr>
        <w:sectPr w:rsidR="005D2595" w:rsidRPr="0067507D" w:rsidSect="005D2595">
          <w:headerReference w:type="even" r:id="rId81"/>
          <w:headerReference w:type="default" r:id="rId82"/>
          <w:footerReference w:type="even" r:id="rId83"/>
          <w:type w:val="continuous"/>
          <w:pgSz w:w="11909" w:h="16834" w:code="9"/>
          <w:pgMar w:top="1728" w:right="1152" w:bottom="1152" w:left="1152" w:header="720" w:footer="288" w:gutter="0"/>
          <w:cols w:num="2" w:space="720"/>
          <w:noEndnote/>
        </w:sectPr>
      </w:pPr>
    </w:p>
    <w:p w14:paraId="25265554" w14:textId="77777777" w:rsidR="005D2595" w:rsidRPr="0067507D" w:rsidRDefault="005D2595" w:rsidP="00A6545C">
      <w:pPr>
        <w:pStyle w:val="Heading1numbered"/>
      </w:pPr>
      <w:bookmarkStart w:id="89" w:name="_Toc210214000"/>
      <w:bookmarkStart w:id="90" w:name="_Toc210213947"/>
      <w:r w:rsidRPr="0067507D">
        <w:lastRenderedPageBreak/>
        <w:t>Cost of delivering services</w:t>
      </w:r>
      <w:bookmarkEnd w:id="89"/>
      <w:bookmarkEnd w:id="90"/>
    </w:p>
    <w:p w14:paraId="4AA4454A" w14:textId="77777777" w:rsidR="005D2595" w:rsidRPr="0067507D" w:rsidRDefault="005D2595" w:rsidP="005D2595">
      <w:pPr>
        <w:spacing w:before="0" w:after="0"/>
        <w:sectPr w:rsidR="005D2595" w:rsidRPr="0067507D" w:rsidSect="005D2595">
          <w:headerReference w:type="even" r:id="rId84"/>
          <w:headerReference w:type="default" r:id="rId85"/>
          <w:pgSz w:w="11909" w:h="16834" w:code="9"/>
          <w:pgMar w:top="1728" w:right="1152" w:bottom="1152" w:left="1152" w:header="720" w:footer="288" w:gutter="0"/>
          <w:cols w:space="720"/>
          <w:noEndnote/>
        </w:sectPr>
      </w:pPr>
    </w:p>
    <w:p w14:paraId="1B03168E" w14:textId="77777777" w:rsidR="005D2595" w:rsidRPr="0067507D" w:rsidRDefault="005D2595" w:rsidP="009714E6">
      <w:pPr>
        <w:pStyle w:val="Heading2numbered"/>
      </w:pPr>
      <w:bookmarkStart w:id="91" w:name="_Toc210214001"/>
      <w:bookmarkStart w:id="92" w:name="_Toc210213948"/>
      <w:bookmarkStart w:id="93" w:name="Section_03"/>
      <w:r w:rsidRPr="0067507D">
        <w:t>Introduction</w:t>
      </w:r>
      <w:bookmarkEnd w:id="91"/>
      <w:bookmarkEnd w:id="92"/>
    </w:p>
    <w:p w14:paraId="608503ED" w14:textId="77777777" w:rsidR="005D2595" w:rsidRPr="0067507D" w:rsidRDefault="005D2595" w:rsidP="005D2595">
      <w:r w:rsidRPr="0067507D">
        <w:t>This note provides an account of the expenses incurred by the Department in delivering services and outputs. In note 2 the funds that enable the provision of services were disclosed and in this note the costs associated with the provision of services are recorded. Note 4 discloses information in relation to the income and expenses by output.</w:t>
      </w:r>
    </w:p>
    <w:p w14:paraId="69F479BB" w14:textId="77777777" w:rsidR="005D2595" w:rsidRPr="0067507D" w:rsidRDefault="005D2595" w:rsidP="005D2595">
      <w:pPr>
        <w:pStyle w:val="Heading4"/>
      </w:pPr>
      <w:r w:rsidRPr="0067507D">
        <w:br w:type="column"/>
      </w:r>
    </w:p>
    <w:p w14:paraId="62EEE495" w14:textId="77777777" w:rsidR="005D2595" w:rsidRPr="0067507D" w:rsidRDefault="005D2595" w:rsidP="005D2595">
      <w:pPr>
        <w:sectPr w:rsidR="005D2595" w:rsidRPr="0067507D" w:rsidSect="005D2595">
          <w:headerReference w:type="even" r:id="rId86"/>
          <w:type w:val="continuous"/>
          <w:pgSz w:w="11909" w:h="16834" w:code="9"/>
          <w:pgMar w:top="1728" w:right="1152" w:bottom="1152" w:left="1152" w:header="720" w:footer="288" w:gutter="0"/>
          <w:cols w:num="2" w:space="720"/>
          <w:noEndnote/>
        </w:sectPr>
      </w:pPr>
    </w:p>
    <w:p w14:paraId="01C40651" w14:textId="77777777" w:rsidR="005D2595" w:rsidRPr="0067507D" w:rsidRDefault="005D2595" w:rsidP="009714E6">
      <w:pPr>
        <w:pStyle w:val="Heading2numbered"/>
      </w:pPr>
      <w:bookmarkStart w:id="94" w:name="_Toc178153907"/>
      <w:bookmarkStart w:id="95" w:name="_Toc210214002"/>
      <w:bookmarkStart w:id="96" w:name="_Toc210213949"/>
      <w:r w:rsidRPr="0067507D">
        <w:t>Employee benefits</w:t>
      </w:r>
      <w:bookmarkEnd w:id="94"/>
      <w:bookmarkEnd w:id="95"/>
      <w:bookmarkEnd w:id="96"/>
    </w:p>
    <w:p w14:paraId="58331143" w14:textId="77777777" w:rsidR="005D2595" w:rsidRPr="0067507D" w:rsidRDefault="005D2595" w:rsidP="006273F6">
      <w:pPr>
        <w:pStyle w:val="Heading3numbered"/>
        <w:ind w:left="576" w:hanging="576"/>
      </w:pPr>
      <w:r w:rsidRPr="0067507D">
        <w:t>Employee benefit expense in the comprehensive operating statement</w:t>
      </w:r>
    </w:p>
    <w:tbl>
      <w:tblPr>
        <w:tblW w:w="7218" w:type="dxa"/>
        <w:tblLayout w:type="fixed"/>
        <w:tblLook w:val="00A0" w:firstRow="1" w:lastRow="0" w:firstColumn="1" w:lastColumn="0" w:noHBand="0" w:noVBand="0"/>
      </w:tblPr>
      <w:tblGrid>
        <w:gridCol w:w="5148"/>
        <w:gridCol w:w="1035"/>
        <w:gridCol w:w="1035"/>
      </w:tblGrid>
      <w:tr w:rsidR="005D2595" w:rsidRPr="0067507D" w14:paraId="65700C9B" w14:textId="77777777" w:rsidTr="00FC3AF2">
        <w:trPr>
          <w:trHeight w:val="284"/>
        </w:trPr>
        <w:tc>
          <w:tcPr>
            <w:tcW w:w="5148" w:type="dxa"/>
            <w:vAlign w:val="bottom"/>
          </w:tcPr>
          <w:p w14:paraId="3A2A2E41" w14:textId="77777777" w:rsidR="005D2595" w:rsidRPr="002F6A35" w:rsidRDefault="005D2595" w:rsidP="002F6A35">
            <w:pPr>
              <w:pStyle w:val="Tabletext"/>
            </w:pPr>
          </w:p>
        </w:tc>
        <w:tc>
          <w:tcPr>
            <w:tcW w:w="1035" w:type="dxa"/>
          </w:tcPr>
          <w:p w14:paraId="7F3D4834" w14:textId="67290378" w:rsidR="005D2595" w:rsidRPr="0067507D" w:rsidRDefault="005D2595" w:rsidP="00FC3AF2">
            <w:pPr>
              <w:pStyle w:val="Tabletextheadingright"/>
            </w:pPr>
            <w:r w:rsidRPr="0067507D">
              <w:t>2025</w:t>
            </w:r>
            <w:r w:rsidR="004E2E92">
              <w:br/>
            </w:r>
            <w:r w:rsidR="004E2E92" w:rsidRPr="0067507D">
              <w:t>$’000</w:t>
            </w:r>
          </w:p>
        </w:tc>
        <w:tc>
          <w:tcPr>
            <w:tcW w:w="1035" w:type="dxa"/>
          </w:tcPr>
          <w:p w14:paraId="6D07F5DD" w14:textId="100525B6" w:rsidR="005D2595" w:rsidRPr="0067507D" w:rsidRDefault="005D2595" w:rsidP="00FC3AF2">
            <w:pPr>
              <w:pStyle w:val="Tabletextheadingright"/>
            </w:pPr>
            <w:r w:rsidRPr="0067507D">
              <w:t>2024</w:t>
            </w:r>
            <w:r w:rsidR="004E2E92">
              <w:br/>
            </w:r>
            <w:r w:rsidR="004E2E92" w:rsidRPr="0067507D">
              <w:t>$’000</w:t>
            </w:r>
          </w:p>
        </w:tc>
      </w:tr>
      <w:tr w:rsidR="005D2595" w:rsidRPr="0067507D" w14:paraId="277902CE" w14:textId="77777777" w:rsidTr="00FC3AF2">
        <w:trPr>
          <w:trHeight w:val="284"/>
        </w:trPr>
        <w:tc>
          <w:tcPr>
            <w:tcW w:w="5148" w:type="dxa"/>
          </w:tcPr>
          <w:p w14:paraId="0335E2AD" w14:textId="77777777" w:rsidR="005D2595" w:rsidRPr="0067507D" w:rsidRDefault="005D2595" w:rsidP="00FC3AF2">
            <w:pPr>
              <w:pStyle w:val="Tabletext"/>
            </w:pPr>
            <w:r w:rsidRPr="0067507D">
              <w:t xml:space="preserve">Salaries and wages, annual leave and long service leave </w:t>
            </w:r>
            <w:r w:rsidRPr="0067507D">
              <w:rPr>
                <w:vertAlign w:val="superscript"/>
              </w:rPr>
              <w:t>(a)</w:t>
            </w:r>
          </w:p>
        </w:tc>
        <w:tc>
          <w:tcPr>
            <w:tcW w:w="1035" w:type="dxa"/>
            <w:shd w:val="clear" w:color="auto" w:fill="DDDDDD"/>
          </w:tcPr>
          <w:p w14:paraId="4545C783" w14:textId="77777777" w:rsidR="005D2595" w:rsidRPr="0067507D" w:rsidRDefault="005D2595" w:rsidP="00FC3AF2">
            <w:pPr>
              <w:pStyle w:val="Tabletextright"/>
              <w:rPr>
                <w:bCs/>
              </w:rPr>
            </w:pPr>
            <w:r w:rsidRPr="0067507D">
              <w:t xml:space="preserve">234 080 </w:t>
            </w:r>
          </w:p>
        </w:tc>
        <w:tc>
          <w:tcPr>
            <w:tcW w:w="1035" w:type="dxa"/>
          </w:tcPr>
          <w:p w14:paraId="2103BD11" w14:textId="77777777" w:rsidR="005D2595" w:rsidRPr="0067507D" w:rsidRDefault="005D2595" w:rsidP="00FC3AF2">
            <w:pPr>
              <w:pStyle w:val="Tabletextright"/>
              <w:rPr>
                <w:bCs/>
              </w:rPr>
            </w:pPr>
            <w:r w:rsidRPr="0067507D">
              <w:t xml:space="preserve">190 577 </w:t>
            </w:r>
          </w:p>
        </w:tc>
      </w:tr>
      <w:tr w:rsidR="005D2595" w:rsidRPr="0067507D" w14:paraId="194B0BD2" w14:textId="77777777" w:rsidTr="00FC3AF2">
        <w:trPr>
          <w:trHeight w:val="284"/>
        </w:trPr>
        <w:tc>
          <w:tcPr>
            <w:tcW w:w="5148" w:type="dxa"/>
          </w:tcPr>
          <w:p w14:paraId="686D5334" w14:textId="77777777" w:rsidR="005D2595" w:rsidRPr="0067507D" w:rsidRDefault="005D2595" w:rsidP="00FC3AF2">
            <w:pPr>
              <w:pStyle w:val="Tabletext"/>
            </w:pPr>
            <w:r w:rsidRPr="0067507D">
              <w:t xml:space="preserve">Defined contribution superannuation </w:t>
            </w:r>
          </w:p>
        </w:tc>
        <w:tc>
          <w:tcPr>
            <w:tcW w:w="1035" w:type="dxa"/>
            <w:shd w:val="clear" w:color="auto" w:fill="DDDDDD"/>
          </w:tcPr>
          <w:p w14:paraId="451DDED6" w14:textId="77777777" w:rsidR="005D2595" w:rsidRPr="0067507D" w:rsidRDefault="005D2595" w:rsidP="00FC3AF2">
            <w:pPr>
              <w:pStyle w:val="Tabletextright"/>
            </w:pPr>
            <w:r w:rsidRPr="0067507D">
              <w:t xml:space="preserve">23 180 </w:t>
            </w:r>
          </w:p>
        </w:tc>
        <w:tc>
          <w:tcPr>
            <w:tcW w:w="1035" w:type="dxa"/>
          </w:tcPr>
          <w:p w14:paraId="25FA95A1" w14:textId="77777777" w:rsidR="005D2595" w:rsidRPr="0067507D" w:rsidRDefault="005D2595" w:rsidP="00FC3AF2">
            <w:pPr>
              <w:pStyle w:val="Tabletextright"/>
            </w:pPr>
            <w:r w:rsidRPr="0067507D">
              <w:t xml:space="preserve">18 135 </w:t>
            </w:r>
          </w:p>
        </w:tc>
      </w:tr>
      <w:tr w:rsidR="005D2595" w:rsidRPr="0067507D" w14:paraId="171C04A4" w14:textId="77777777" w:rsidTr="00FC3AF2">
        <w:trPr>
          <w:trHeight w:val="284"/>
        </w:trPr>
        <w:tc>
          <w:tcPr>
            <w:tcW w:w="5148" w:type="dxa"/>
          </w:tcPr>
          <w:p w14:paraId="6F1131F5" w14:textId="77777777" w:rsidR="005D2595" w:rsidRPr="0067507D" w:rsidRDefault="005D2595" w:rsidP="00FC3AF2">
            <w:pPr>
              <w:pStyle w:val="Tabletext"/>
            </w:pPr>
            <w:bookmarkStart w:id="97" w:name="Defined_benefit"/>
            <w:r w:rsidRPr="0067507D">
              <w:t>Defined benefit superannuation</w:t>
            </w:r>
            <w:bookmarkEnd w:id="97"/>
          </w:p>
        </w:tc>
        <w:tc>
          <w:tcPr>
            <w:tcW w:w="1035" w:type="dxa"/>
            <w:shd w:val="clear" w:color="auto" w:fill="DDDDDD"/>
          </w:tcPr>
          <w:p w14:paraId="01B66677" w14:textId="77777777" w:rsidR="005D2595" w:rsidRPr="0067507D" w:rsidRDefault="005D2595" w:rsidP="00FC3AF2">
            <w:pPr>
              <w:pStyle w:val="Tabletextright"/>
            </w:pPr>
            <w:r w:rsidRPr="0067507D">
              <w:t xml:space="preserve"> 729 </w:t>
            </w:r>
          </w:p>
        </w:tc>
        <w:tc>
          <w:tcPr>
            <w:tcW w:w="1035" w:type="dxa"/>
          </w:tcPr>
          <w:p w14:paraId="4D858A6B" w14:textId="77777777" w:rsidR="005D2595" w:rsidRPr="0067507D" w:rsidRDefault="005D2595" w:rsidP="00FC3AF2">
            <w:pPr>
              <w:pStyle w:val="Tabletextright"/>
            </w:pPr>
            <w:r w:rsidRPr="0067507D">
              <w:t xml:space="preserve"> 773 </w:t>
            </w:r>
          </w:p>
        </w:tc>
      </w:tr>
      <w:tr w:rsidR="005D2595" w:rsidRPr="0067507D" w14:paraId="33BCB82A" w14:textId="77777777" w:rsidTr="00FC3AF2">
        <w:trPr>
          <w:trHeight w:val="284"/>
        </w:trPr>
        <w:tc>
          <w:tcPr>
            <w:tcW w:w="5148" w:type="dxa"/>
          </w:tcPr>
          <w:p w14:paraId="28EAC2EC" w14:textId="77777777" w:rsidR="005D2595" w:rsidRPr="0067507D" w:rsidRDefault="005D2595" w:rsidP="00FC3AF2">
            <w:pPr>
              <w:pStyle w:val="Tabletext"/>
            </w:pPr>
            <w:r w:rsidRPr="0067507D">
              <w:t xml:space="preserve">Termination benefits </w:t>
            </w:r>
            <w:r w:rsidRPr="0067507D">
              <w:rPr>
                <w:vertAlign w:val="superscript"/>
              </w:rPr>
              <w:t>(a)</w:t>
            </w:r>
          </w:p>
        </w:tc>
        <w:tc>
          <w:tcPr>
            <w:tcW w:w="1035" w:type="dxa"/>
            <w:shd w:val="clear" w:color="auto" w:fill="DDDDDD"/>
          </w:tcPr>
          <w:p w14:paraId="5144AC2E" w14:textId="77777777" w:rsidR="005D2595" w:rsidRPr="0067507D" w:rsidRDefault="005D2595" w:rsidP="00FC3AF2">
            <w:pPr>
              <w:pStyle w:val="Tabletextright"/>
            </w:pPr>
            <w:r w:rsidRPr="0067507D">
              <w:t xml:space="preserve">1 737 </w:t>
            </w:r>
          </w:p>
        </w:tc>
        <w:tc>
          <w:tcPr>
            <w:tcW w:w="1035" w:type="dxa"/>
          </w:tcPr>
          <w:p w14:paraId="528E2F63" w14:textId="77777777" w:rsidR="005D2595" w:rsidRPr="0067507D" w:rsidRDefault="005D2595" w:rsidP="00FC3AF2">
            <w:pPr>
              <w:pStyle w:val="Tabletextright"/>
            </w:pPr>
            <w:r w:rsidRPr="0067507D">
              <w:t xml:space="preserve">1 084 </w:t>
            </w:r>
          </w:p>
        </w:tc>
      </w:tr>
      <w:tr w:rsidR="005D2595" w:rsidRPr="0067507D" w14:paraId="3358C47B" w14:textId="77777777" w:rsidTr="00FC3AF2">
        <w:trPr>
          <w:trHeight w:val="284"/>
        </w:trPr>
        <w:tc>
          <w:tcPr>
            <w:tcW w:w="5148" w:type="dxa"/>
          </w:tcPr>
          <w:p w14:paraId="69F1FCDF" w14:textId="77777777" w:rsidR="005D2595" w:rsidRPr="0067507D" w:rsidRDefault="005D2595" w:rsidP="00FC3AF2">
            <w:pPr>
              <w:pStyle w:val="Tabletextbold"/>
            </w:pPr>
            <w:r w:rsidRPr="0067507D">
              <w:t>Total employee expenses</w:t>
            </w:r>
          </w:p>
        </w:tc>
        <w:tc>
          <w:tcPr>
            <w:tcW w:w="1035" w:type="dxa"/>
            <w:shd w:val="clear" w:color="auto" w:fill="DDDDDD"/>
          </w:tcPr>
          <w:p w14:paraId="037EDA25" w14:textId="77777777" w:rsidR="005D2595" w:rsidRPr="0067507D" w:rsidRDefault="005D2595" w:rsidP="00FC3AF2">
            <w:pPr>
              <w:pStyle w:val="Tabletextrightbold"/>
            </w:pPr>
            <w:r w:rsidRPr="0067507D">
              <w:t xml:space="preserve">259 726 </w:t>
            </w:r>
          </w:p>
        </w:tc>
        <w:tc>
          <w:tcPr>
            <w:tcW w:w="1035" w:type="dxa"/>
          </w:tcPr>
          <w:p w14:paraId="34837CD5" w14:textId="77777777" w:rsidR="005D2595" w:rsidRPr="0067507D" w:rsidRDefault="005D2595" w:rsidP="00FC3AF2">
            <w:pPr>
              <w:pStyle w:val="Tabletextrightbold"/>
            </w:pPr>
            <w:r w:rsidRPr="0067507D">
              <w:t xml:space="preserve">210 569 </w:t>
            </w:r>
          </w:p>
        </w:tc>
      </w:tr>
    </w:tbl>
    <w:p w14:paraId="6F767900" w14:textId="77777777" w:rsidR="005D2595" w:rsidRPr="0067507D" w:rsidRDefault="005D2595" w:rsidP="005D2595">
      <w:pPr>
        <w:pStyle w:val="Notes"/>
      </w:pPr>
      <w:r w:rsidRPr="0067507D">
        <w:t>Note:</w:t>
      </w:r>
    </w:p>
    <w:p w14:paraId="2F0CD86E" w14:textId="36381C57" w:rsidR="005D2595" w:rsidRPr="0067507D" w:rsidRDefault="005D2595" w:rsidP="003C4727">
      <w:pPr>
        <w:pStyle w:val="Notes"/>
        <w:ind w:right="2315"/>
      </w:pPr>
      <w:r w:rsidRPr="0067507D">
        <w:t>(a) The 2023</w:t>
      </w:r>
      <w:r w:rsidR="006A5485">
        <w:noBreakHyphen/>
      </w:r>
      <w:r w:rsidRPr="0067507D">
        <w:t>24 figure has been adjusted to move $0.9 million to termination benefits which had been incorrectly included in salaries and wages, annual leave and long service leave.</w:t>
      </w:r>
    </w:p>
    <w:p w14:paraId="1AD7CF4D" w14:textId="77777777" w:rsidR="005D2595" w:rsidRPr="0067507D" w:rsidRDefault="005D2595" w:rsidP="005D2595">
      <w:pPr>
        <w:pStyle w:val="Notes"/>
      </w:pPr>
    </w:p>
    <w:p w14:paraId="6438808E" w14:textId="77777777" w:rsidR="005D2595" w:rsidRPr="0067507D" w:rsidRDefault="005D2595" w:rsidP="005D2595">
      <w:pPr>
        <w:sectPr w:rsidR="005D2595" w:rsidRPr="0067507D" w:rsidSect="005D2595">
          <w:headerReference w:type="even" r:id="rId87"/>
          <w:headerReference w:type="default" r:id="rId88"/>
          <w:type w:val="continuous"/>
          <w:pgSz w:w="11909" w:h="16834" w:code="9"/>
          <w:pgMar w:top="1728" w:right="1152" w:bottom="1152" w:left="1152" w:header="720" w:footer="288" w:gutter="0"/>
          <w:cols w:space="720"/>
          <w:noEndnote/>
        </w:sectPr>
      </w:pPr>
    </w:p>
    <w:p w14:paraId="66A8C1A4" w14:textId="77777777" w:rsidR="005D2595" w:rsidRPr="0067507D" w:rsidRDefault="005D2595" w:rsidP="005D2595">
      <w:r w:rsidRPr="0067507D">
        <w:rPr>
          <w:rFonts w:asciiTheme="majorHAnsi" w:hAnsiTheme="majorHAnsi"/>
        </w:rPr>
        <w:t>Employee benefit expense</w:t>
      </w:r>
      <w:r w:rsidRPr="0067507D">
        <w:t xml:space="preserve"> includes all costs related to employment including wages and salaries, superannuation, fringe benefits tax, leave entitlements, termination payments and WorkCover premiums.</w:t>
      </w:r>
    </w:p>
    <w:p w14:paraId="7319ACA8" w14:textId="77777777" w:rsidR="005D2595" w:rsidRPr="0067507D" w:rsidRDefault="005D2595" w:rsidP="005D2595">
      <w:r w:rsidRPr="0067507D">
        <w:t>Superannuation expenses represent the employer contributions for members of both defined benefit and defined contribution superannuation plans that are paid or payable during the reporting period. The Department does not recognise any defined benefit liabilities because it has no legal or constructive obligation to pay future benefits relating to its employees. Instead, the Department discloses, on behalf of the State as the sponsoring employer, the net defined benefit cost related to the members of these plans as an administered item in note 4.3.</w:t>
      </w:r>
    </w:p>
    <w:p w14:paraId="3B01A171" w14:textId="77777777" w:rsidR="005D2595" w:rsidRPr="0067507D" w:rsidRDefault="005D2595" w:rsidP="005D2595">
      <w:r w:rsidRPr="0067507D">
        <w:t>Termination benefits are payable when employment is terminated before the normal retirement date, or when an employee accepts an offer of benefits in exchange for the termination of employment. Termination benefits are recognised when the Department is demonstrably committed to terminating the employment of current employees according to a detailed formal plan without possibility of withdrawal or providing termination benefits as a result of an offer made to encourage voluntary redundancy.</w:t>
      </w:r>
    </w:p>
    <w:p w14:paraId="489B41FE" w14:textId="77777777" w:rsidR="005D2595" w:rsidRPr="0067507D" w:rsidRDefault="005D2595" w:rsidP="005D2595">
      <w:pPr>
        <w:sectPr w:rsidR="005D2595" w:rsidRPr="0067507D" w:rsidSect="005D2595">
          <w:headerReference w:type="even" r:id="rId89"/>
          <w:headerReference w:type="default" r:id="rId90"/>
          <w:type w:val="continuous"/>
          <w:pgSz w:w="11909" w:h="16834" w:code="9"/>
          <w:pgMar w:top="1728" w:right="1152" w:bottom="1152" w:left="1152" w:header="720" w:footer="288" w:gutter="0"/>
          <w:cols w:num="2" w:space="569"/>
          <w:noEndnote/>
        </w:sectPr>
      </w:pPr>
    </w:p>
    <w:p w14:paraId="073F943B" w14:textId="77777777" w:rsidR="005D2595" w:rsidRPr="0067507D" w:rsidRDefault="005D2595" w:rsidP="006273F6">
      <w:pPr>
        <w:pStyle w:val="Heading3numbered"/>
        <w:ind w:left="576" w:hanging="576"/>
      </w:pPr>
      <w:r w:rsidRPr="0067507D">
        <w:lastRenderedPageBreak/>
        <w:t>Employee benefit provisions in the balance sheet</w:t>
      </w:r>
    </w:p>
    <w:p w14:paraId="2D263E94" w14:textId="77777777" w:rsidR="005D2595" w:rsidRPr="0067507D" w:rsidRDefault="005D2595" w:rsidP="005D2595">
      <w:pPr>
        <w:ind w:right="4385"/>
      </w:pPr>
      <w:r w:rsidRPr="0067507D">
        <w:t>Provision is made for benefits accruing to employees in respect of annual leave and long service leave for services rendered to the reporting date and recorded as an expense during the period the services are delivered.</w:t>
      </w:r>
    </w:p>
    <w:p w14:paraId="2F3B6E83" w14:textId="77777777" w:rsidR="005D2595" w:rsidRPr="0067507D" w:rsidRDefault="005D2595" w:rsidP="005D2595">
      <w:pPr>
        <w:ind w:right="4385"/>
      </w:pPr>
    </w:p>
    <w:tbl>
      <w:tblPr>
        <w:tblW w:w="0" w:type="auto"/>
        <w:tblLayout w:type="fixed"/>
        <w:tblLook w:val="00A0" w:firstRow="1" w:lastRow="0" w:firstColumn="1" w:lastColumn="0" w:noHBand="0" w:noVBand="0"/>
      </w:tblPr>
      <w:tblGrid>
        <w:gridCol w:w="5508"/>
        <w:gridCol w:w="1080"/>
        <w:gridCol w:w="1080"/>
      </w:tblGrid>
      <w:tr w:rsidR="005D2595" w:rsidRPr="0067507D" w14:paraId="700F251B" w14:textId="77777777" w:rsidTr="00FC3AF2">
        <w:trPr>
          <w:trHeight w:val="263"/>
        </w:trPr>
        <w:tc>
          <w:tcPr>
            <w:tcW w:w="5508" w:type="dxa"/>
            <w:vAlign w:val="bottom"/>
          </w:tcPr>
          <w:p w14:paraId="160B5AA7" w14:textId="77777777" w:rsidR="005D2595" w:rsidRPr="002F6A35" w:rsidRDefault="005D2595" w:rsidP="002F6A35">
            <w:pPr>
              <w:pStyle w:val="Tabletext"/>
            </w:pPr>
          </w:p>
        </w:tc>
        <w:tc>
          <w:tcPr>
            <w:tcW w:w="1080" w:type="dxa"/>
            <w:vAlign w:val="bottom"/>
          </w:tcPr>
          <w:p w14:paraId="4CA181F3" w14:textId="745C4834" w:rsidR="005D2595" w:rsidRPr="0067507D" w:rsidRDefault="005D2595" w:rsidP="00FC3AF2">
            <w:pPr>
              <w:pStyle w:val="Tabletextheadingright"/>
            </w:pPr>
            <w:r w:rsidRPr="0067507D">
              <w:t>2025</w:t>
            </w:r>
            <w:r w:rsidR="000F022B">
              <w:br/>
            </w:r>
            <w:r w:rsidR="000F022B" w:rsidRPr="0067507D">
              <w:t>$’000</w:t>
            </w:r>
          </w:p>
        </w:tc>
        <w:tc>
          <w:tcPr>
            <w:tcW w:w="1080" w:type="dxa"/>
            <w:vAlign w:val="bottom"/>
          </w:tcPr>
          <w:p w14:paraId="6B03137A" w14:textId="563F8907" w:rsidR="005D2595" w:rsidRPr="0067507D" w:rsidRDefault="005D2595" w:rsidP="00FC3AF2">
            <w:pPr>
              <w:pStyle w:val="Tabletextheadingright"/>
            </w:pPr>
            <w:r w:rsidRPr="0067507D">
              <w:t>2024</w:t>
            </w:r>
            <w:r w:rsidR="000F022B">
              <w:br/>
            </w:r>
            <w:r w:rsidR="000F022B" w:rsidRPr="0067507D">
              <w:t>$’000</w:t>
            </w:r>
          </w:p>
        </w:tc>
      </w:tr>
      <w:tr w:rsidR="005D2595" w:rsidRPr="0067507D" w14:paraId="37EAB1F4" w14:textId="77777777" w:rsidTr="00FC3AF2">
        <w:trPr>
          <w:trHeight w:val="263"/>
        </w:trPr>
        <w:tc>
          <w:tcPr>
            <w:tcW w:w="5508" w:type="dxa"/>
          </w:tcPr>
          <w:p w14:paraId="492B5844" w14:textId="77777777" w:rsidR="005D2595" w:rsidRPr="0067507D" w:rsidRDefault="005D2595" w:rsidP="00FC3AF2">
            <w:pPr>
              <w:pStyle w:val="Tabletextbold"/>
            </w:pPr>
          </w:p>
        </w:tc>
        <w:tc>
          <w:tcPr>
            <w:tcW w:w="1080" w:type="dxa"/>
            <w:shd w:val="clear" w:color="auto" w:fill="DDDDDD"/>
          </w:tcPr>
          <w:p w14:paraId="1EE60E3C" w14:textId="77777777" w:rsidR="005D2595" w:rsidRPr="002F6A35" w:rsidRDefault="005D2595" w:rsidP="002F6A35">
            <w:pPr>
              <w:pStyle w:val="Tabletextright"/>
            </w:pPr>
          </w:p>
        </w:tc>
        <w:tc>
          <w:tcPr>
            <w:tcW w:w="1080" w:type="dxa"/>
          </w:tcPr>
          <w:p w14:paraId="7ABCCBFD" w14:textId="77777777" w:rsidR="005D2595" w:rsidRPr="002F6A35" w:rsidRDefault="005D2595" w:rsidP="002F6A35">
            <w:pPr>
              <w:pStyle w:val="Tabletextright"/>
            </w:pPr>
          </w:p>
        </w:tc>
      </w:tr>
      <w:tr w:rsidR="005D2595" w:rsidRPr="0067507D" w14:paraId="2C82A01F" w14:textId="77777777" w:rsidTr="00FC3AF2">
        <w:trPr>
          <w:trHeight w:val="187"/>
        </w:trPr>
        <w:tc>
          <w:tcPr>
            <w:tcW w:w="5508" w:type="dxa"/>
          </w:tcPr>
          <w:p w14:paraId="41B9C006" w14:textId="77777777" w:rsidR="005D2595" w:rsidRPr="0067507D" w:rsidRDefault="005D2595" w:rsidP="00FC3AF2">
            <w:pPr>
              <w:pStyle w:val="Tabletextbold"/>
            </w:pPr>
            <w:r w:rsidRPr="0067507D">
              <w:t>Current provisions</w:t>
            </w:r>
          </w:p>
        </w:tc>
        <w:tc>
          <w:tcPr>
            <w:tcW w:w="1080" w:type="dxa"/>
            <w:shd w:val="clear" w:color="auto" w:fill="DDDDDD"/>
          </w:tcPr>
          <w:p w14:paraId="0E086C9E" w14:textId="77777777" w:rsidR="005D2595" w:rsidRPr="002F6A35" w:rsidRDefault="005D2595" w:rsidP="002F6A35">
            <w:pPr>
              <w:pStyle w:val="Tabletextright"/>
            </w:pPr>
          </w:p>
        </w:tc>
        <w:tc>
          <w:tcPr>
            <w:tcW w:w="1080" w:type="dxa"/>
          </w:tcPr>
          <w:p w14:paraId="743B92FB" w14:textId="77777777" w:rsidR="005D2595" w:rsidRPr="002F6A35" w:rsidRDefault="005D2595" w:rsidP="002F6A35">
            <w:pPr>
              <w:pStyle w:val="Tabletextright"/>
            </w:pPr>
          </w:p>
        </w:tc>
      </w:tr>
      <w:tr w:rsidR="005D2595" w:rsidRPr="0067507D" w14:paraId="71DED122" w14:textId="77777777" w:rsidTr="00FC3AF2">
        <w:tc>
          <w:tcPr>
            <w:tcW w:w="5508" w:type="dxa"/>
            <w:shd w:val="clear" w:color="auto" w:fill="FFFFFF" w:themeFill="background1"/>
          </w:tcPr>
          <w:p w14:paraId="2A457F55" w14:textId="77777777" w:rsidR="005D2595" w:rsidRPr="0067507D" w:rsidRDefault="005D2595" w:rsidP="00FC3AF2">
            <w:pPr>
              <w:pStyle w:val="Tabletext"/>
              <w:rPr>
                <w:iCs/>
              </w:rPr>
            </w:pPr>
            <w:r w:rsidRPr="0067507D">
              <w:t>Annual leave</w:t>
            </w:r>
          </w:p>
        </w:tc>
        <w:tc>
          <w:tcPr>
            <w:tcW w:w="1080" w:type="dxa"/>
            <w:shd w:val="clear" w:color="auto" w:fill="DDDDDD"/>
          </w:tcPr>
          <w:p w14:paraId="4732B0F4" w14:textId="77777777" w:rsidR="005D2595" w:rsidRPr="002F6A35" w:rsidRDefault="005D2595" w:rsidP="002F6A35">
            <w:pPr>
              <w:pStyle w:val="Tabletextright"/>
            </w:pPr>
          </w:p>
        </w:tc>
        <w:tc>
          <w:tcPr>
            <w:tcW w:w="1080" w:type="dxa"/>
          </w:tcPr>
          <w:p w14:paraId="7EBB48A5" w14:textId="77777777" w:rsidR="005D2595" w:rsidRPr="002F6A35" w:rsidRDefault="005D2595" w:rsidP="002F6A35">
            <w:pPr>
              <w:pStyle w:val="Tabletextright"/>
            </w:pPr>
          </w:p>
        </w:tc>
      </w:tr>
      <w:tr w:rsidR="005D2595" w:rsidRPr="0067507D" w14:paraId="210F4330" w14:textId="77777777" w:rsidTr="00FC3AF2">
        <w:tc>
          <w:tcPr>
            <w:tcW w:w="5508" w:type="dxa"/>
            <w:shd w:val="clear" w:color="auto" w:fill="FFFFFF" w:themeFill="background1"/>
          </w:tcPr>
          <w:p w14:paraId="0C09F479" w14:textId="77777777" w:rsidR="005D2595" w:rsidRPr="0067507D" w:rsidRDefault="005D2595" w:rsidP="00FC3AF2">
            <w:pPr>
              <w:pStyle w:val="Tablebullet"/>
              <w:keepLines w:val="0"/>
              <w:tabs>
                <w:tab w:val="clear" w:pos="360"/>
                <w:tab w:val="num" w:pos="257"/>
              </w:tabs>
            </w:pPr>
            <w:r w:rsidRPr="0067507D">
              <w:t>Unconditional and expected to settle within 12 months</w:t>
            </w:r>
          </w:p>
        </w:tc>
        <w:tc>
          <w:tcPr>
            <w:tcW w:w="1080" w:type="dxa"/>
            <w:shd w:val="clear" w:color="auto" w:fill="DDDDDD"/>
          </w:tcPr>
          <w:p w14:paraId="74F487D1" w14:textId="77777777" w:rsidR="005D2595" w:rsidRPr="0067507D" w:rsidRDefault="005D2595" w:rsidP="00FC3AF2">
            <w:pPr>
              <w:pStyle w:val="Tabletextright"/>
            </w:pPr>
            <w:r w:rsidRPr="0067507D">
              <w:t xml:space="preserve">13 021 </w:t>
            </w:r>
          </w:p>
        </w:tc>
        <w:tc>
          <w:tcPr>
            <w:tcW w:w="1080" w:type="dxa"/>
          </w:tcPr>
          <w:p w14:paraId="640B502A" w14:textId="77777777" w:rsidR="005D2595" w:rsidRPr="0067507D" w:rsidRDefault="005D2595" w:rsidP="00FC3AF2">
            <w:pPr>
              <w:pStyle w:val="Tabletextright"/>
            </w:pPr>
            <w:r w:rsidRPr="0067507D">
              <w:t xml:space="preserve">11 514 </w:t>
            </w:r>
          </w:p>
        </w:tc>
      </w:tr>
      <w:tr w:rsidR="005D2595" w:rsidRPr="0067507D" w14:paraId="21D9E07B" w14:textId="77777777" w:rsidTr="00FC3AF2">
        <w:tc>
          <w:tcPr>
            <w:tcW w:w="5508" w:type="dxa"/>
            <w:shd w:val="clear" w:color="auto" w:fill="FFFFFF" w:themeFill="background1"/>
          </w:tcPr>
          <w:p w14:paraId="61913970" w14:textId="77777777" w:rsidR="005D2595" w:rsidRPr="0067507D" w:rsidRDefault="005D2595" w:rsidP="00FC3AF2">
            <w:pPr>
              <w:pStyle w:val="Tablebullet"/>
              <w:keepLines w:val="0"/>
              <w:tabs>
                <w:tab w:val="clear" w:pos="360"/>
                <w:tab w:val="num" w:pos="257"/>
              </w:tabs>
            </w:pPr>
            <w:r w:rsidRPr="0067507D">
              <w:t>Unconditional and expected to settle after 12 months</w:t>
            </w:r>
          </w:p>
        </w:tc>
        <w:tc>
          <w:tcPr>
            <w:tcW w:w="1080" w:type="dxa"/>
            <w:shd w:val="clear" w:color="auto" w:fill="DDDDDD"/>
          </w:tcPr>
          <w:p w14:paraId="1B5575F3" w14:textId="77777777" w:rsidR="005D2595" w:rsidRPr="0067507D" w:rsidRDefault="005D2595" w:rsidP="00FC3AF2">
            <w:pPr>
              <w:pStyle w:val="Tabletextright"/>
            </w:pPr>
            <w:r w:rsidRPr="0067507D">
              <w:t xml:space="preserve">6 048 </w:t>
            </w:r>
          </w:p>
        </w:tc>
        <w:tc>
          <w:tcPr>
            <w:tcW w:w="1080" w:type="dxa"/>
          </w:tcPr>
          <w:p w14:paraId="389AB336" w14:textId="77777777" w:rsidR="005D2595" w:rsidRPr="0067507D" w:rsidRDefault="005D2595" w:rsidP="00FC3AF2">
            <w:pPr>
              <w:pStyle w:val="Tabletextright"/>
            </w:pPr>
            <w:r w:rsidRPr="0067507D">
              <w:t xml:space="preserve">6 862 </w:t>
            </w:r>
          </w:p>
        </w:tc>
      </w:tr>
      <w:tr w:rsidR="005D2595" w:rsidRPr="0067507D" w14:paraId="6E520323" w14:textId="77777777" w:rsidTr="00FC3AF2">
        <w:tc>
          <w:tcPr>
            <w:tcW w:w="5508" w:type="dxa"/>
            <w:shd w:val="clear" w:color="auto" w:fill="FFFFFF" w:themeFill="background1"/>
          </w:tcPr>
          <w:p w14:paraId="3E859B8F" w14:textId="77777777" w:rsidR="005D2595" w:rsidRPr="0067507D" w:rsidRDefault="005D2595" w:rsidP="00FC3AF2">
            <w:pPr>
              <w:pStyle w:val="Tabletext"/>
              <w:rPr>
                <w:iCs/>
              </w:rPr>
            </w:pPr>
            <w:r w:rsidRPr="0067507D">
              <w:t>Long service leave</w:t>
            </w:r>
          </w:p>
        </w:tc>
        <w:tc>
          <w:tcPr>
            <w:tcW w:w="1080" w:type="dxa"/>
            <w:shd w:val="clear" w:color="auto" w:fill="DDDDDD"/>
          </w:tcPr>
          <w:p w14:paraId="26ADA4BA" w14:textId="77777777" w:rsidR="005D2595" w:rsidRPr="0067507D" w:rsidRDefault="005D2595" w:rsidP="00FC3AF2">
            <w:pPr>
              <w:pStyle w:val="Tabletextright"/>
            </w:pPr>
          </w:p>
        </w:tc>
        <w:tc>
          <w:tcPr>
            <w:tcW w:w="1080" w:type="dxa"/>
          </w:tcPr>
          <w:p w14:paraId="6E953CFF" w14:textId="77777777" w:rsidR="005D2595" w:rsidRPr="0067507D" w:rsidRDefault="005D2595" w:rsidP="00FC3AF2">
            <w:pPr>
              <w:pStyle w:val="Tabletextright"/>
            </w:pPr>
          </w:p>
        </w:tc>
      </w:tr>
      <w:tr w:rsidR="005D2595" w:rsidRPr="0067507D" w14:paraId="2AE338CC" w14:textId="77777777" w:rsidTr="00FC3AF2">
        <w:tc>
          <w:tcPr>
            <w:tcW w:w="5508" w:type="dxa"/>
          </w:tcPr>
          <w:p w14:paraId="5B4F4355" w14:textId="77777777" w:rsidR="005D2595" w:rsidRPr="0067507D" w:rsidRDefault="005D2595" w:rsidP="00FC3AF2">
            <w:pPr>
              <w:pStyle w:val="Tablebullet"/>
              <w:keepLines w:val="0"/>
              <w:tabs>
                <w:tab w:val="clear" w:pos="360"/>
                <w:tab w:val="num" w:pos="257"/>
              </w:tabs>
            </w:pPr>
            <w:r w:rsidRPr="0067507D">
              <w:t>Unconditional and expected to settle within 12 months</w:t>
            </w:r>
          </w:p>
        </w:tc>
        <w:tc>
          <w:tcPr>
            <w:tcW w:w="1080" w:type="dxa"/>
            <w:shd w:val="clear" w:color="auto" w:fill="DDDDDD"/>
          </w:tcPr>
          <w:p w14:paraId="0AD70A32" w14:textId="77777777" w:rsidR="005D2595" w:rsidRPr="0067507D" w:rsidRDefault="005D2595" w:rsidP="00FC3AF2">
            <w:pPr>
              <w:pStyle w:val="Tabletextright"/>
            </w:pPr>
            <w:r w:rsidRPr="0067507D">
              <w:t xml:space="preserve">3 045 </w:t>
            </w:r>
          </w:p>
        </w:tc>
        <w:tc>
          <w:tcPr>
            <w:tcW w:w="1080" w:type="dxa"/>
          </w:tcPr>
          <w:p w14:paraId="76AECC5E" w14:textId="77777777" w:rsidR="005D2595" w:rsidRPr="0067507D" w:rsidRDefault="005D2595" w:rsidP="00FC3AF2">
            <w:pPr>
              <w:pStyle w:val="Tabletextright"/>
            </w:pPr>
            <w:r w:rsidRPr="0067507D">
              <w:t xml:space="preserve">2 404 </w:t>
            </w:r>
          </w:p>
        </w:tc>
      </w:tr>
      <w:tr w:rsidR="005D2595" w:rsidRPr="0067507D" w14:paraId="32A74A1D" w14:textId="77777777" w:rsidTr="00FC3AF2">
        <w:tc>
          <w:tcPr>
            <w:tcW w:w="5508" w:type="dxa"/>
          </w:tcPr>
          <w:p w14:paraId="6A06AD51" w14:textId="77777777" w:rsidR="005D2595" w:rsidRPr="0067507D" w:rsidRDefault="005D2595" w:rsidP="00FC3AF2">
            <w:pPr>
              <w:pStyle w:val="Tablebullet"/>
              <w:keepLines w:val="0"/>
              <w:tabs>
                <w:tab w:val="clear" w:pos="360"/>
                <w:tab w:val="num" w:pos="257"/>
              </w:tabs>
            </w:pPr>
            <w:r w:rsidRPr="0067507D">
              <w:t>Unconditional and expected to settle after 12 months</w:t>
            </w:r>
          </w:p>
        </w:tc>
        <w:tc>
          <w:tcPr>
            <w:tcW w:w="1080" w:type="dxa"/>
            <w:shd w:val="clear" w:color="auto" w:fill="DDDDDD"/>
          </w:tcPr>
          <w:p w14:paraId="1D33FA02" w14:textId="77777777" w:rsidR="005D2595" w:rsidRPr="0067507D" w:rsidRDefault="005D2595" w:rsidP="00FC3AF2">
            <w:pPr>
              <w:pStyle w:val="Tabletextright"/>
            </w:pPr>
            <w:r w:rsidRPr="0067507D">
              <w:t xml:space="preserve">27 947 </w:t>
            </w:r>
          </w:p>
        </w:tc>
        <w:tc>
          <w:tcPr>
            <w:tcW w:w="1080" w:type="dxa"/>
          </w:tcPr>
          <w:p w14:paraId="6E0AE2AF" w14:textId="77777777" w:rsidR="005D2595" w:rsidRPr="0067507D" w:rsidRDefault="005D2595" w:rsidP="00FC3AF2">
            <w:pPr>
              <w:pStyle w:val="Tabletextright"/>
            </w:pPr>
            <w:r w:rsidRPr="0067507D">
              <w:t xml:space="preserve">26 128 </w:t>
            </w:r>
          </w:p>
        </w:tc>
      </w:tr>
      <w:tr w:rsidR="005D2595" w:rsidRPr="0067507D" w14:paraId="0190DF0C" w14:textId="77777777" w:rsidTr="00FC3AF2">
        <w:tc>
          <w:tcPr>
            <w:tcW w:w="5508" w:type="dxa"/>
          </w:tcPr>
          <w:p w14:paraId="56D2FBCC" w14:textId="2BD4F267" w:rsidR="005D2595" w:rsidRPr="0067507D" w:rsidRDefault="005D2595" w:rsidP="00FC3AF2">
            <w:pPr>
              <w:pStyle w:val="Tabletext"/>
            </w:pPr>
            <w:r w:rsidRPr="0067507D">
              <w:t>On</w:t>
            </w:r>
            <w:r w:rsidR="006A5485">
              <w:noBreakHyphen/>
            </w:r>
            <w:r w:rsidRPr="0067507D">
              <w:t>costs</w:t>
            </w:r>
          </w:p>
        </w:tc>
        <w:tc>
          <w:tcPr>
            <w:tcW w:w="1080" w:type="dxa"/>
            <w:shd w:val="clear" w:color="auto" w:fill="DDDDDD"/>
          </w:tcPr>
          <w:p w14:paraId="7712A2F6" w14:textId="77777777" w:rsidR="005D2595" w:rsidRPr="0067507D" w:rsidRDefault="005D2595" w:rsidP="00FC3AF2">
            <w:pPr>
              <w:pStyle w:val="Tabletextright"/>
            </w:pPr>
            <w:r w:rsidRPr="0067507D">
              <w:t xml:space="preserve">10 087 </w:t>
            </w:r>
          </w:p>
        </w:tc>
        <w:tc>
          <w:tcPr>
            <w:tcW w:w="1080" w:type="dxa"/>
          </w:tcPr>
          <w:p w14:paraId="2102C01D" w14:textId="77777777" w:rsidR="005D2595" w:rsidRPr="0067507D" w:rsidRDefault="005D2595" w:rsidP="00FC3AF2">
            <w:pPr>
              <w:pStyle w:val="Tabletextright"/>
            </w:pPr>
            <w:r w:rsidRPr="0067507D">
              <w:t xml:space="preserve">7 662 </w:t>
            </w:r>
          </w:p>
        </w:tc>
      </w:tr>
      <w:tr w:rsidR="005D2595" w:rsidRPr="0067507D" w14:paraId="08CEFE06" w14:textId="77777777" w:rsidTr="00FC3AF2">
        <w:tc>
          <w:tcPr>
            <w:tcW w:w="5508" w:type="dxa"/>
          </w:tcPr>
          <w:p w14:paraId="2DC97FEA" w14:textId="77777777" w:rsidR="005D2595" w:rsidRPr="0067507D" w:rsidRDefault="005D2595" w:rsidP="00FC3AF2">
            <w:pPr>
              <w:pStyle w:val="Tabletext"/>
            </w:pPr>
            <w:r w:rsidRPr="0067507D">
              <w:t>Other employee related provisions</w:t>
            </w:r>
          </w:p>
        </w:tc>
        <w:tc>
          <w:tcPr>
            <w:tcW w:w="1080" w:type="dxa"/>
            <w:shd w:val="clear" w:color="auto" w:fill="DDDDDD"/>
          </w:tcPr>
          <w:p w14:paraId="263D0276" w14:textId="77777777" w:rsidR="005D2595" w:rsidRPr="0067507D" w:rsidRDefault="005D2595" w:rsidP="00FC3AF2">
            <w:pPr>
              <w:pStyle w:val="Tabletextright"/>
            </w:pPr>
            <w:r w:rsidRPr="0067507D">
              <w:t xml:space="preserve"> 506 </w:t>
            </w:r>
          </w:p>
        </w:tc>
        <w:tc>
          <w:tcPr>
            <w:tcW w:w="1080" w:type="dxa"/>
          </w:tcPr>
          <w:p w14:paraId="0D942EAB" w14:textId="77777777" w:rsidR="005D2595" w:rsidRPr="0067507D" w:rsidRDefault="005D2595" w:rsidP="00FC3AF2">
            <w:pPr>
              <w:pStyle w:val="Tabletextright"/>
            </w:pPr>
            <w:r w:rsidRPr="0067507D">
              <w:t xml:space="preserve"> 333 </w:t>
            </w:r>
          </w:p>
        </w:tc>
      </w:tr>
      <w:tr w:rsidR="005D2595" w:rsidRPr="0067507D" w14:paraId="75C5B918" w14:textId="77777777" w:rsidTr="00FC3AF2">
        <w:tc>
          <w:tcPr>
            <w:tcW w:w="5508" w:type="dxa"/>
          </w:tcPr>
          <w:p w14:paraId="07F3E83D" w14:textId="77777777" w:rsidR="005D2595" w:rsidRPr="0067507D" w:rsidRDefault="005D2595" w:rsidP="00FC3AF2">
            <w:pPr>
              <w:pStyle w:val="Tabletextbold"/>
            </w:pPr>
            <w:r w:rsidRPr="0067507D">
              <w:t>Total current provisions for employee benefits</w:t>
            </w:r>
          </w:p>
        </w:tc>
        <w:tc>
          <w:tcPr>
            <w:tcW w:w="1080" w:type="dxa"/>
            <w:shd w:val="clear" w:color="auto" w:fill="DDDDDD"/>
          </w:tcPr>
          <w:p w14:paraId="332122E5" w14:textId="77777777" w:rsidR="005D2595" w:rsidRPr="0067507D" w:rsidRDefault="005D2595" w:rsidP="00FC3AF2">
            <w:pPr>
              <w:pStyle w:val="Tabletextrightbold"/>
            </w:pPr>
            <w:r w:rsidRPr="0067507D">
              <w:t xml:space="preserve">60 654 </w:t>
            </w:r>
          </w:p>
        </w:tc>
        <w:tc>
          <w:tcPr>
            <w:tcW w:w="1080" w:type="dxa"/>
          </w:tcPr>
          <w:p w14:paraId="19448C44" w14:textId="77777777" w:rsidR="005D2595" w:rsidRPr="0067507D" w:rsidRDefault="005D2595" w:rsidP="00FC3AF2">
            <w:pPr>
              <w:pStyle w:val="Tabletextrightbold"/>
            </w:pPr>
            <w:r w:rsidRPr="0067507D">
              <w:t xml:space="preserve">54 903 </w:t>
            </w:r>
          </w:p>
        </w:tc>
      </w:tr>
      <w:tr w:rsidR="005D2595" w:rsidRPr="0067507D" w14:paraId="089C6AD5" w14:textId="77777777" w:rsidTr="00FC3AF2">
        <w:tc>
          <w:tcPr>
            <w:tcW w:w="5508" w:type="dxa"/>
          </w:tcPr>
          <w:p w14:paraId="3D5AD29B" w14:textId="77777777" w:rsidR="005D2595" w:rsidRPr="002F6A35" w:rsidRDefault="005D2595" w:rsidP="00FC3AF2">
            <w:pPr>
              <w:pStyle w:val="Tabletext"/>
              <w:rPr>
                <w:bCs/>
                <w:sz w:val="4"/>
              </w:rPr>
            </w:pPr>
          </w:p>
        </w:tc>
        <w:tc>
          <w:tcPr>
            <w:tcW w:w="1080" w:type="dxa"/>
            <w:shd w:val="clear" w:color="auto" w:fill="DDDDDD"/>
          </w:tcPr>
          <w:p w14:paraId="604E505C" w14:textId="77777777" w:rsidR="005D2595" w:rsidRPr="002F6A35" w:rsidRDefault="005D2595" w:rsidP="00FC3AF2">
            <w:pPr>
              <w:pStyle w:val="Tabletextright"/>
              <w:rPr>
                <w:bCs/>
                <w:sz w:val="4"/>
              </w:rPr>
            </w:pPr>
          </w:p>
        </w:tc>
        <w:tc>
          <w:tcPr>
            <w:tcW w:w="1080" w:type="dxa"/>
          </w:tcPr>
          <w:p w14:paraId="376DC146" w14:textId="77777777" w:rsidR="005D2595" w:rsidRPr="002F6A35" w:rsidRDefault="005D2595" w:rsidP="00FC3AF2">
            <w:pPr>
              <w:pStyle w:val="Tabletextright"/>
              <w:rPr>
                <w:bCs/>
                <w:sz w:val="4"/>
              </w:rPr>
            </w:pPr>
          </w:p>
        </w:tc>
      </w:tr>
      <w:tr w:rsidR="005D2595" w:rsidRPr="0067507D" w14:paraId="7ACFDD7B" w14:textId="77777777" w:rsidTr="00FC3AF2">
        <w:trPr>
          <w:trHeight w:val="269"/>
        </w:trPr>
        <w:tc>
          <w:tcPr>
            <w:tcW w:w="5508" w:type="dxa"/>
          </w:tcPr>
          <w:p w14:paraId="73BB1D08" w14:textId="515DB2B5" w:rsidR="005D2595" w:rsidRPr="0067507D" w:rsidRDefault="005D2595" w:rsidP="00FC3AF2">
            <w:pPr>
              <w:pStyle w:val="Tabletextbold"/>
            </w:pPr>
            <w:r w:rsidRPr="0067507D">
              <w:t>Non</w:t>
            </w:r>
            <w:r w:rsidR="006A5485">
              <w:noBreakHyphen/>
            </w:r>
            <w:r w:rsidRPr="0067507D">
              <w:t>current provisions</w:t>
            </w:r>
          </w:p>
        </w:tc>
        <w:tc>
          <w:tcPr>
            <w:tcW w:w="1080" w:type="dxa"/>
            <w:shd w:val="clear" w:color="auto" w:fill="DDDDDD"/>
          </w:tcPr>
          <w:p w14:paraId="6C55A9D3" w14:textId="77777777" w:rsidR="005D2595" w:rsidRPr="0067507D" w:rsidRDefault="005D2595" w:rsidP="00FC3AF2">
            <w:pPr>
              <w:pStyle w:val="Tabletextright"/>
            </w:pPr>
          </w:p>
        </w:tc>
        <w:tc>
          <w:tcPr>
            <w:tcW w:w="1080" w:type="dxa"/>
          </w:tcPr>
          <w:p w14:paraId="2D60EF7A" w14:textId="77777777" w:rsidR="005D2595" w:rsidRPr="0067507D" w:rsidRDefault="005D2595" w:rsidP="00FC3AF2">
            <w:pPr>
              <w:pStyle w:val="Tabletextright"/>
            </w:pPr>
          </w:p>
        </w:tc>
      </w:tr>
      <w:tr w:rsidR="005D2595" w:rsidRPr="0067507D" w14:paraId="4F61EF59" w14:textId="77777777" w:rsidTr="00FC3AF2">
        <w:trPr>
          <w:trHeight w:val="259"/>
        </w:trPr>
        <w:tc>
          <w:tcPr>
            <w:tcW w:w="5508" w:type="dxa"/>
          </w:tcPr>
          <w:p w14:paraId="1370A070" w14:textId="77777777" w:rsidR="005D2595" w:rsidRPr="0067507D" w:rsidRDefault="005D2595" w:rsidP="00FC3AF2">
            <w:pPr>
              <w:pStyle w:val="Tabletext"/>
            </w:pPr>
            <w:r w:rsidRPr="0067507D">
              <w:t>Long service leave</w:t>
            </w:r>
          </w:p>
        </w:tc>
        <w:tc>
          <w:tcPr>
            <w:tcW w:w="1080" w:type="dxa"/>
            <w:shd w:val="clear" w:color="auto" w:fill="DDDDDD"/>
          </w:tcPr>
          <w:p w14:paraId="62C799C4" w14:textId="77777777" w:rsidR="005D2595" w:rsidRPr="0067507D" w:rsidRDefault="005D2595" w:rsidP="00FC3AF2">
            <w:pPr>
              <w:pStyle w:val="Tabletextright"/>
            </w:pPr>
            <w:r w:rsidRPr="0067507D">
              <w:t xml:space="preserve">5 916 </w:t>
            </w:r>
          </w:p>
        </w:tc>
        <w:tc>
          <w:tcPr>
            <w:tcW w:w="1080" w:type="dxa"/>
          </w:tcPr>
          <w:p w14:paraId="1E62CD12" w14:textId="77777777" w:rsidR="005D2595" w:rsidRPr="0067507D" w:rsidRDefault="005D2595" w:rsidP="00FC3AF2">
            <w:pPr>
              <w:pStyle w:val="Tabletextright"/>
            </w:pPr>
            <w:r w:rsidRPr="0067507D">
              <w:t xml:space="preserve">5 368 </w:t>
            </w:r>
          </w:p>
        </w:tc>
      </w:tr>
      <w:tr w:rsidR="005D2595" w:rsidRPr="0067507D" w14:paraId="37704347" w14:textId="77777777" w:rsidTr="00FC3AF2">
        <w:tc>
          <w:tcPr>
            <w:tcW w:w="5508" w:type="dxa"/>
          </w:tcPr>
          <w:p w14:paraId="7B2811EE" w14:textId="43F8D722" w:rsidR="005D2595" w:rsidRPr="0067507D" w:rsidRDefault="005D2595" w:rsidP="00FC3AF2">
            <w:pPr>
              <w:pStyle w:val="Tabletext"/>
            </w:pPr>
            <w:r w:rsidRPr="0067507D">
              <w:t>On</w:t>
            </w:r>
            <w:r w:rsidR="006A5485">
              <w:noBreakHyphen/>
            </w:r>
            <w:r w:rsidRPr="0067507D">
              <w:t>costs</w:t>
            </w:r>
          </w:p>
        </w:tc>
        <w:tc>
          <w:tcPr>
            <w:tcW w:w="1080" w:type="dxa"/>
            <w:shd w:val="clear" w:color="auto" w:fill="DDDDDD"/>
          </w:tcPr>
          <w:p w14:paraId="4B44C72E" w14:textId="77777777" w:rsidR="005D2595" w:rsidRPr="0067507D" w:rsidRDefault="005D2595" w:rsidP="00FC3AF2">
            <w:pPr>
              <w:pStyle w:val="Tabletextright"/>
            </w:pPr>
            <w:r w:rsidRPr="0067507D">
              <w:t xml:space="preserve">1 209 </w:t>
            </w:r>
          </w:p>
        </w:tc>
        <w:tc>
          <w:tcPr>
            <w:tcW w:w="1080" w:type="dxa"/>
          </w:tcPr>
          <w:p w14:paraId="289A02F5" w14:textId="77777777" w:rsidR="005D2595" w:rsidRPr="0067507D" w:rsidRDefault="005D2595" w:rsidP="00FC3AF2">
            <w:pPr>
              <w:pStyle w:val="Tabletextright"/>
            </w:pPr>
            <w:r w:rsidRPr="0067507D">
              <w:t xml:space="preserve"> 772 </w:t>
            </w:r>
          </w:p>
        </w:tc>
      </w:tr>
      <w:tr w:rsidR="005D2595" w:rsidRPr="0067507D" w14:paraId="7AA958C5" w14:textId="77777777" w:rsidTr="00FC3AF2">
        <w:trPr>
          <w:trHeight w:val="259"/>
        </w:trPr>
        <w:tc>
          <w:tcPr>
            <w:tcW w:w="5508" w:type="dxa"/>
          </w:tcPr>
          <w:p w14:paraId="68D1BF33" w14:textId="18A6A237" w:rsidR="005D2595" w:rsidRPr="0067507D" w:rsidRDefault="005D2595" w:rsidP="00FC3AF2">
            <w:pPr>
              <w:pStyle w:val="Tabletextbold"/>
            </w:pPr>
            <w:r w:rsidRPr="0067507D">
              <w:t>Total non</w:t>
            </w:r>
            <w:r w:rsidR="006A5485">
              <w:noBreakHyphen/>
            </w:r>
            <w:r w:rsidRPr="0067507D">
              <w:t>current provisions for employee benefits</w:t>
            </w:r>
          </w:p>
        </w:tc>
        <w:tc>
          <w:tcPr>
            <w:tcW w:w="1080" w:type="dxa"/>
            <w:shd w:val="clear" w:color="auto" w:fill="DDDDDD"/>
          </w:tcPr>
          <w:p w14:paraId="51A10183" w14:textId="77777777" w:rsidR="005D2595" w:rsidRPr="0067507D" w:rsidRDefault="005D2595" w:rsidP="00FC3AF2">
            <w:pPr>
              <w:pStyle w:val="Tabletextrightbold"/>
            </w:pPr>
            <w:r w:rsidRPr="0067507D">
              <w:t xml:space="preserve">7 125 </w:t>
            </w:r>
          </w:p>
        </w:tc>
        <w:tc>
          <w:tcPr>
            <w:tcW w:w="1080" w:type="dxa"/>
          </w:tcPr>
          <w:p w14:paraId="28C3CD57" w14:textId="77777777" w:rsidR="005D2595" w:rsidRPr="0067507D" w:rsidRDefault="005D2595" w:rsidP="00FC3AF2">
            <w:pPr>
              <w:pStyle w:val="Tabletextrightbold"/>
            </w:pPr>
            <w:r w:rsidRPr="0067507D">
              <w:t xml:space="preserve">6 140 </w:t>
            </w:r>
          </w:p>
        </w:tc>
      </w:tr>
      <w:tr w:rsidR="005D2595" w:rsidRPr="0067507D" w14:paraId="0987D695" w14:textId="77777777" w:rsidTr="00FC3AF2">
        <w:tc>
          <w:tcPr>
            <w:tcW w:w="5508" w:type="dxa"/>
          </w:tcPr>
          <w:p w14:paraId="4DBF796C" w14:textId="77777777" w:rsidR="005D2595" w:rsidRPr="0067507D" w:rsidRDefault="005D2595" w:rsidP="00FC3AF2">
            <w:pPr>
              <w:pStyle w:val="Tabletext"/>
              <w:rPr>
                <w:sz w:val="4"/>
                <w:szCs w:val="4"/>
              </w:rPr>
            </w:pPr>
          </w:p>
        </w:tc>
        <w:tc>
          <w:tcPr>
            <w:tcW w:w="1080" w:type="dxa"/>
            <w:shd w:val="clear" w:color="auto" w:fill="DDDDDD"/>
          </w:tcPr>
          <w:p w14:paraId="45A207D0" w14:textId="77777777" w:rsidR="005D2595" w:rsidRPr="0067507D" w:rsidRDefault="005D2595" w:rsidP="00FC3AF2">
            <w:pPr>
              <w:pStyle w:val="Tabletextright"/>
              <w:rPr>
                <w:sz w:val="4"/>
                <w:szCs w:val="4"/>
              </w:rPr>
            </w:pPr>
          </w:p>
        </w:tc>
        <w:tc>
          <w:tcPr>
            <w:tcW w:w="1080" w:type="dxa"/>
          </w:tcPr>
          <w:p w14:paraId="74129FC2" w14:textId="77777777" w:rsidR="005D2595" w:rsidRPr="0067507D" w:rsidRDefault="005D2595" w:rsidP="00FC3AF2">
            <w:pPr>
              <w:pStyle w:val="Tabletextright"/>
              <w:rPr>
                <w:sz w:val="4"/>
                <w:szCs w:val="4"/>
              </w:rPr>
            </w:pPr>
          </w:p>
        </w:tc>
      </w:tr>
      <w:tr w:rsidR="005D2595" w:rsidRPr="0067507D" w14:paraId="3EC92C62" w14:textId="77777777" w:rsidTr="00FC3AF2">
        <w:tc>
          <w:tcPr>
            <w:tcW w:w="5508" w:type="dxa"/>
          </w:tcPr>
          <w:p w14:paraId="3B3FC468" w14:textId="77777777" w:rsidR="005D2595" w:rsidRPr="0067507D" w:rsidRDefault="005D2595" w:rsidP="00FC3AF2">
            <w:pPr>
              <w:pStyle w:val="Tabletextbold"/>
            </w:pPr>
            <w:r w:rsidRPr="0067507D">
              <w:t>Total provisions for employee benefits</w:t>
            </w:r>
          </w:p>
        </w:tc>
        <w:tc>
          <w:tcPr>
            <w:tcW w:w="1080" w:type="dxa"/>
            <w:shd w:val="clear" w:color="auto" w:fill="DDDDDD"/>
          </w:tcPr>
          <w:p w14:paraId="185E9F0D" w14:textId="77777777" w:rsidR="005D2595" w:rsidRPr="0067507D" w:rsidRDefault="005D2595" w:rsidP="00FC3AF2">
            <w:pPr>
              <w:pStyle w:val="Tabletextrightbold"/>
            </w:pPr>
            <w:r w:rsidRPr="0067507D">
              <w:t xml:space="preserve">67 779 </w:t>
            </w:r>
          </w:p>
        </w:tc>
        <w:tc>
          <w:tcPr>
            <w:tcW w:w="1080" w:type="dxa"/>
          </w:tcPr>
          <w:p w14:paraId="01088454" w14:textId="77777777" w:rsidR="005D2595" w:rsidRPr="0067507D" w:rsidRDefault="005D2595" w:rsidP="00FC3AF2">
            <w:pPr>
              <w:pStyle w:val="Tabletextrightbold"/>
            </w:pPr>
            <w:r w:rsidRPr="0067507D">
              <w:t xml:space="preserve">61 043 </w:t>
            </w:r>
          </w:p>
        </w:tc>
      </w:tr>
    </w:tbl>
    <w:p w14:paraId="46B88957" w14:textId="77777777" w:rsidR="005D2595" w:rsidRPr="0067507D" w:rsidRDefault="005D2595" w:rsidP="005D2595"/>
    <w:p w14:paraId="30799677" w14:textId="77777777" w:rsidR="005D2595" w:rsidRPr="0067507D" w:rsidRDefault="005D2595" w:rsidP="006273F6">
      <w:pPr>
        <w:pStyle w:val="Heading3numbered"/>
        <w:ind w:left="576" w:hanging="576"/>
      </w:pPr>
      <w:r w:rsidRPr="0067507D">
        <w:t>Reconciliation of movement in on</w:t>
      </w:r>
      <w:r w:rsidRPr="0067507D">
        <w:noBreakHyphen/>
        <w:t>costs provisions</w:t>
      </w:r>
    </w:p>
    <w:tbl>
      <w:tblPr>
        <w:tblW w:w="7650" w:type="dxa"/>
        <w:tblLayout w:type="fixed"/>
        <w:tblLook w:val="0080" w:firstRow="0" w:lastRow="0" w:firstColumn="1" w:lastColumn="0" w:noHBand="0" w:noVBand="0"/>
      </w:tblPr>
      <w:tblGrid>
        <w:gridCol w:w="5490"/>
        <w:gridCol w:w="1080"/>
        <w:gridCol w:w="1080"/>
      </w:tblGrid>
      <w:tr w:rsidR="005D2595" w:rsidRPr="0067507D" w14:paraId="66E2C935" w14:textId="77777777" w:rsidTr="00FC3AF2">
        <w:tc>
          <w:tcPr>
            <w:tcW w:w="5490" w:type="dxa"/>
          </w:tcPr>
          <w:p w14:paraId="438E0E20" w14:textId="77777777" w:rsidR="005D2595" w:rsidRPr="0067507D" w:rsidRDefault="005D2595" w:rsidP="00FC3AF2">
            <w:pPr>
              <w:pStyle w:val="Tabletext"/>
            </w:pPr>
          </w:p>
        </w:tc>
        <w:tc>
          <w:tcPr>
            <w:tcW w:w="1080" w:type="dxa"/>
          </w:tcPr>
          <w:p w14:paraId="3BC0B2A0" w14:textId="138D0752" w:rsidR="005D2595" w:rsidRPr="0067507D" w:rsidRDefault="005D2595" w:rsidP="00FC3AF2">
            <w:pPr>
              <w:pStyle w:val="Tabletextheadingright"/>
            </w:pPr>
            <w:r w:rsidRPr="0067507D">
              <w:t>2025</w:t>
            </w:r>
            <w:r w:rsidR="00797AE5">
              <w:br/>
            </w:r>
            <w:r w:rsidR="00797AE5" w:rsidRPr="0067507D">
              <w:t>$’000</w:t>
            </w:r>
          </w:p>
        </w:tc>
        <w:tc>
          <w:tcPr>
            <w:tcW w:w="1080" w:type="dxa"/>
          </w:tcPr>
          <w:p w14:paraId="6A916529" w14:textId="619F7A0B" w:rsidR="005D2595" w:rsidRPr="0067507D" w:rsidRDefault="005D2595" w:rsidP="00FC3AF2">
            <w:pPr>
              <w:pStyle w:val="Tabletextheadingright"/>
            </w:pPr>
            <w:r w:rsidRPr="0067507D">
              <w:t>2024</w:t>
            </w:r>
            <w:r w:rsidR="00797AE5">
              <w:br/>
            </w:r>
            <w:r w:rsidR="00797AE5" w:rsidRPr="0067507D">
              <w:t>$’000</w:t>
            </w:r>
          </w:p>
        </w:tc>
      </w:tr>
      <w:tr w:rsidR="005D2595" w:rsidRPr="0067507D" w14:paraId="21F12CF1" w14:textId="77777777" w:rsidTr="00FC3AF2">
        <w:tc>
          <w:tcPr>
            <w:tcW w:w="5490" w:type="dxa"/>
          </w:tcPr>
          <w:p w14:paraId="6BDF9250" w14:textId="77777777" w:rsidR="005D2595" w:rsidRPr="0067507D" w:rsidRDefault="005D2595" w:rsidP="00FC3AF2">
            <w:pPr>
              <w:pStyle w:val="Tabletextbold"/>
              <w:rPr>
                <w:color w:val="000000"/>
              </w:rPr>
            </w:pPr>
            <w:r w:rsidRPr="0067507D">
              <w:t>Opening balance</w:t>
            </w:r>
          </w:p>
        </w:tc>
        <w:tc>
          <w:tcPr>
            <w:tcW w:w="1080" w:type="dxa"/>
            <w:shd w:val="clear" w:color="auto" w:fill="DDDDDD"/>
          </w:tcPr>
          <w:p w14:paraId="7AFD05FD" w14:textId="77777777" w:rsidR="005D2595" w:rsidRPr="0067507D" w:rsidRDefault="005D2595" w:rsidP="00FC3AF2">
            <w:pPr>
              <w:pStyle w:val="Tabletextrightbold"/>
            </w:pPr>
            <w:r w:rsidRPr="0067507D">
              <w:t xml:space="preserve">8 434 </w:t>
            </w:r>
          </w:p>
        </w:tc>
        <w:tc>
          <w:tcPr>
            <w:tcW w:w="1080" w:type="dxa"/>
            <w:shd w:val="clear" w:color="auto" w:fill="DDDDDD"/>
          </w:tcPr>
          <w:p w14:paraId="57DBAFB9" w14:textId="77777777" w:rsidR="005D2595" w:rsidRPr="0067507D" w:rsidRDefault="005D2595" w:rsidP="00FC3AF2">
            <w:pPr>
              <w:pStyle w:val="Tabletextrightbold"/>
            </w:pPr>
            <w:r w:rsidRPr="0067507D">
              <w:t xml:space="preserve">6 850 </w:t>
            </w:r>
          </w:p>
        </w:tc>
      </w:tr>
      <w:tr w:rsidR="005D2595" w:rsidRPr="0067507D" w14:paraId="25D09872" w14:textId="77777777" w:rsidTr="00FC3AF2">
        <w:tc>
          <w:tcPr>
            <w:tcW w:w="5490" w:type="dxa"/>
          </w:tcPr>
          <w:p w14:paraId="3C55E022" w14:textId="77777777" w:rsidR="005D2595" w:rsidRPr="0067507D" w:rsidRDefault="005D2595" w:rsidP="00FC3AF2">
            <w:pPr>
              <w:pStyle w:val="Tabletext"/>
              <w:rPr>
                <w:color w:val="000000"/>
              </w:rPr>
            </w:pPr>
            <w:r w:rsidRPr="0067507D">
              <w:t>Additional provisions recognised</w:t>
            </w:r>
          </w:p>
        </w:tc>
        <w:tc>
          <w:tcPr>
            <w:tcW w:w="1080" w:type="dxa"/>
            <w:shd w:val="clear" w:color="auto" w:fill="DDDDDD"/>
          </w:tcPr>
          <w:p w14:paraId="4584563D" w14:textId="77777777" w:rsidR="005D2595" w:rsidRPr="0067507D" w:rsidRDefault="005D2595" w:rsidP="00FC3AF2">
            <w:pPr>
              <w:pStyle w:val="Tabletextright"/>
            </w:pPr>
            <w:r w:rsidRPr="0067507D">
              <w:t xml:space="preserve">5 140 </w:t>
            </w:r>
          </w:p>
        </w:tc>
        <w:tc>
          <w:tcPr>
            <w:tcW w:w="1080" w:type="dxa"/>
            <w:shd w:val="clear" w:color="auto" w:fill="DDDDDD"/>
          </w:tcPr>
          <w:p w14:paraId="00ED2C7E" w14:textId="77777777" w:rsidR="005D2595" w:rsidRPr="0067507D" w:rsidRDefault="005D2595" w:rsidP="00FC3AF2">
            <w:pPr>
              <w:pStyle w:val="Tabletextright"/>
            </w:pPr>
            <w:r w:rsidRPr="0067507D">
              <w:t xml:space="preserve">3 796 </w:t>
            </w:r>
          </w:p>
        </w:tc>
      </w:tr>
      <w:tr w:rsidR="005D2595" w:rsidRPr="0067507D" w14:paraId="4D965586" w14:textId="77777777" w:rsidTr="00FC3AF2">
        <w:tc>
          <w:tcPr>
            <w:tcW w:w="5490" w:type="dxa"/>
          </w:tcPr>
          <w:p w14:paraId="4E750982" w14:textId="77777777" w:rsidR="005D2595" w:rsidRPr="0067507D" w:rsidRDefault="005D2595" w:rsidP="00FC3AF2">
            <w:pPr>
              <w:pStyle w:val="Tabletext"/>
              <w:rPr>
                <w:color w:val="000000"/>
              </w:rPr>
            </w:pPr>
            <w:r w:rsidRPr="0067507D">
              <w:t>Reductions arising from payments/other sacrifices of future economic</w:t>
            </w:r>
            <w:r w:rsidRPr="0067507D">
              <w:rPr>
                <w:rFonts w:ascii="Calibri" w:hAnsi="Calibri" w:cs="Calibri"/>
              </w:rPr>
              <w:t> </w:t>
            </w:r>
            <w:r w:rsidRPr="0067507D">
              <w:t>benefits</w:t>
            </w:r>
          </w:p>
        </w:tc>
        <w:tc>
          <w:tcPr>
            <w:tcW w:w="1080" w:type="dxa"/>
            <w:shd w:val="clear" w:color="auto" w:fill="DDDDDD"/>
          </w:tcPr>
          <w:p w14:paraId="7AFA9920" w14:textId="77777777" w:rsidR="005D2595" w:rsidRPr="0067507D" w:rsidRDefault="005D2595" w:rsidP="00FC3AF2">
            <w:pPr>
              <w:pStyle w:val="Tabletextright"/>
            </w:pPr>
            <w:r w:rsidRPr="0067507D">
              <w:t xml:space="preserve">(2 255) </w:t>
            </w:r>
          </w:p>
        </w:tc>
        <w:tc>
          <w:tcPr>
            <w:tcW w:w="1080" w:type="dxa"/>
            <w:shd w:val="clear" w:color="auto" w:fill="DDDDDD"/>
          </w:tcPr>
          <w:p w14:paraId="7AD16180" w14:textId="77777777" w:rsidR="005D2595" w:rsidRPr="0067507D" w:rsidRDefault="005D2595" w:rsidP="00FC3AF2">
            <w:pPr>
              <w:pStyle w:val="Tabletextright"/>
            </w:pPr>
            <w:r w:rsidRPr="0067507D">
              <w:t xml:space="preserve">(2 138) </w:t>
            </w:r>
          </w:p>
        </w:tc>
      </w:tr>
      <w:tr w:rsidR="005D2595" w:rsidRPr="0067507D" w14:paraId="074AF3A3" w14:textId="77777777" w:rsidTr="00FC3AF2">
        <w:tc>
          <w:tcPr>
            <w:tcW w:w="5490" w:type="dxa"/>
          </w:tcPr>
          <w:p w14:paraId="1B5BD06C" w14:textId="77777777" w:rsidR="005D2595" w:rsidRPr="0067507D" w:rsidRDefault="005D2595" w:rsidP="00FC3AF2">
            <w:pPr>
              <w:pStyle w:val="Tabletext"/>
              <w:rPr>
                <w:color w:val="000000"/>
              </w:rPr>
            </w:pPr>
            <w:r w:rsidRPr="0067507D">
              <w:t>Unwind of discount and effect of changes in discount rate</w:t>
            </w:r>
          </w:p>
        </w:tc>
        <w:tc>
          <w:tcPr>
            <w:tcW w:w="1080" w:type="dxa"/>
            <w:shd w:val="clear" w:color="auto" w:fill="DDDDDD"/>
          </w:tcPr>
          <w:p w14:paraId="2C577170" w14:textId="77777777" w:rsidR="005D2595" w:rsidRPr="0067507D" w:rsidRDefault="005D2595" w:rsidP="00FC3AF2">
            <w:pPr>
              <w:pStyle w:val="Tabletextright"/>
            </w:pPr>
            <w:r w:rsidRPr="0067507D">
              <w:t xml:space="preserve">(23) </w:t>
            </w:r>
          </w:p>
        </w:tc>
        <w:tc>
          <w:tcPr>
            <w:tcW w:w="1080" w:type="dxa"/>
            <w:shd w:val="clear" w:color="auto" w:fill="DDDDDD"/>
          </w:tcPr>
          <w:p w14:paraId="31A7A3FD" w14:textId="77777777" w:rsidR="005D2595" w:rsidRPr="0067507D" w:rsidRDefault="005D2595" w:rsidP="00FC3AF2">
            <w:pPr>
              <w:pStyle w:val="Tabletextright"/>
            </w:pPr>
            <w:r w:rsidRPr="0067507D">
              <w:t xml:space="preserve">(74) </w:t>
            </w:r>
          </w:p>
        </w:tc>
      </w:tr>
      <w:tr w:rsidR="005D2595" w:rsidRPr="0067507D" w14:paraId="01BE5966" w14:textId="77777777" w:rsidTr="00FC3AF2">
        <w:tc>
          <w:tcPr>
            <w:tcW w:w="5490" w:type="dxa"/>
          </w:tcPr>
          <w:p w14:paraId="617155B5" w14:textId="77777777" w:rsidR="005D2595" w:rsidRPr="0067507D" w:rsidRDefault="005D2595" w:rsidP="00FC3AF2">
            <w:pPr>
              <w:pStyle w:val="Tabletextbold"/>
              <w:rPr>
                <w:color w:val="000000"/>
              </w:rPr>
            </w:pPr>
            <w:r w:rsidRPr="0067507D">
              <w:t>Closing balance</w:t>
            </w:r>
          </w:p>
        </w:tc>
        <w:tc>
          <w:tcPr>
            <w:tcW w:w="1080" w:type="dxa"/>
            <w:shd w:val="clear" w:color="auto" w:fill="DDDDDD"/>
          </w:tcPr>
          <w:p w14:paraId="53F1E203" w14:textId="77777777" w:rsidR="005D2595" w:rsidRPr="0067507D" w:rsidRDefault="005D2595" w:rsidP="00FC3AF2">
            <w:pPr>
              <w:pStyle w:val="Tabletextrightbold"/>
            </w:pPr>
            <w:r w:rsidRPr="0067507D">
              <w:t xml:space="preserve">11 296 </w:t>
            </w:r>
          </w:p>
        </w:tc>
        <w:tc>
          <w:tcPr>
            <w:tcW w:w="1080" w:type="dxa"/>
            <w:shd w:val="clear" w:color="auto" w:fill="DDDDDD"/>
          </w:tcPr>
          <w:p w14:paraId="01785E17" w14:textId="77777777" w:rsidR="005D2595" w:rsidRPr="0067507D" w:rsidRDefault="005D2595" w:rsidP="00FC3AF2">
            <w:pPr>
              <w:pStyle w:val="Tabletextrightbold"/>
            </w:pPr>
            <w:r w:rsidRPr="0067507D">
              <w:t xml:space="preserve">8 434 </w:t>
            </w:r>
          </w:p>
        </w:tc>
      </w:tr>
      <w:tr w:rsidR="005D2595" w:rsidRPr="0067507D" w14:paraId="45D5861B" w14:textId="77777777" w:rsidTr="00FC3AF2">
        <w:tc>
          <w:tcPr>
            <w:tcW w:w="5490" w:type="dxa"/>
          </w:tcPr>
          <w:p w14:paraId="7E7844A4" w14:textId="77777777" w:rsidR="005D2595" w:rsidRPr="0067507D" w:rsidRDefault="005D2595" w:rsidP="00FC3AF2">
            <w:pPr>
              <w:pStyle w:val="Tabletextbold"/>
              <w:rPr>
                <w:sz w:val="4"/>
              </w:rPr>
            </w:pPr>
          </w:p>
        </w:tc>
        <w:tc>
          <w:tcPr>
            <w:tcW w:w="1080" w:type="dxa"/>
            <w:shd w:val="clear" w:color="auto" w:fill="DDDDDD"/>
          </w:tcPr>
          <w:p w14:paraId="66EE41D2" w14:textId="77777777" w:rsidR="005D2595" w:rsidRPr="0067507D" w:rsidRDefault="005D2595" w:rsidP="00FC3AF2">
            <w:pPr>
              <w:pStyle w:val="Tabletextrightbold"/>
              <w:rPr>
                <w:sz w:val="4"/>
              </w:rPr>
            </w:pPr>
          </w:p>
        </w:tc>
        <w:tc>
          <w:tcPr>
            <w:tcW w:w="1080" w:type="dxa"/>
            <w:shd w:val="clear" w:color="auto" w:fill="DDDDDD"/>
          </w:tcPr>
          <w:p w14:paraId="5D5FF8B8" w14:textId="77777777" w:rsidR="005D2595" w:rsidRPr="0067507D" w:rsidRDefault="005D2595" w:rsidP="00FC3AF2">
            <w:pPr>
              <w:pStyle w:val="Tabletextrightbold"/>
              <w:rPr>
                <w:sz w:val="4"/>
              </w:rPr>
            </w:pPr>
          </w:p>
        </w:tc>
      </w:tr>
      <w:tr w:rsidR="005D2595" w:rsidRPr="0067507D" w14:paraId="5F580694" w14:textId="77777777" w:rsidTr="00FC3AF2">
        <w:tc>
          <w:tcPr>
            <w:tcW w:w="5490" w:type="dxa"/>
          </w:tcPr>
          <w:p w14:paraId="2B869CCA" w14:textId="77777777" w:rsidR="005D2595" w:rsidRPr="0067507D" w:rsidRDefault="005D2595" w:rsidP="00FC3AF2">
            <w:pPr>
              <w:pStyle w:val="Tabletext"/>
              <w:rPr>
                <w:color w:val="000000"/>
              </w:rPr>
            </w:pPr>
            <w:r w:rsidRPr="0067507D">
              <w:t>Current</w:t>
            </w:r>
          </w:p>
        </w:tc>
        <w:tc>
          <w:tcPr>
            <w:tcW w:w="1080" w:type="dxa"/>
            <w:shd w:val="clear" w:color="auto" w:fill="DDDDDD"/>
          </w:tcPr>
          <w:p w14:paraId="6639C932" w14:textId="77777777" w:rsidR="005D2595" w:rsidRPr="0067507D" w:rsidRDefault="005D2595" w:rsidP="00FC3AF2">
            <w:pPr>
              <w:pStyle w:val="Tabletextright"/>
            </w:pPr>
            <w:r w:rsidRPr="0067507D">
              <w:t xml:space="preserve">10 087 </w:t>
            </w:r>
          </w:p>
        </w:tc>
        <w:tc>
          <w:tcPr>
            <w:tcW w:w="1080" w:type="dxa"/>
            <w:shd w:val="clear" w:color="auto" w:fill="DDDDDD"/>
          </w:tcPr>
          <w:p w14:paraId="51E87EDF" w14:textId="77777777" w:rsidR="005D2595" w:rsidRPr="0067507D" w:rsidRDefault="005D2595" w:rsidP="00FC3AF2">
            <w:pPr>
              <w:pStyle w:val="Tabletextright"/>
            </w:pPr>
            <w:r w:rsidRPr="0067507D">
              <w:t xml:space="preserve">7 662 </w:t>
            </w:r>
          </w:p>
        </w:tc>
      </w:tr>
      <w:tr w:rsidR="005D2595" w:rsidRPr="0067507D" w14:paraId="2202ECB8" w14:textId="77777777" w:rsidTr="00FC3AF2">
        <w:tc>
          <w:tcPr>
            <w:tcW w:w="5490" w:type="dxa"/>
          </w:tcPr>
          <w:p w14:paraId="4F01463D" w14:textId="3EECAD2E" w:rsidR="005D2595" w:rsidRPr="0067507D" w:rsidRDefault="005D2595" w:rsidP="00FC3AF2">
            <w:pPr>
              <w:pStyle w:val="Tabletext"/>
              <w:rPr>
                <w:color w:val="000000"/>
              </w:rPr>
            </w:pPr>
            <w:r w:rsidRPr="0067507D">
              <w:t>Non</w:t>
            </w:r>
            <w:r w:rsidR="006A5485">
              <w:noBreakHyphen/>
            </w:r>
            <w:r w:rsidRPr="0067507D">
              <w:t>current</w:t>
            </w:r>
          </w:p>
        </w:tc>
        <w:tc>
          <w:tcPr>
            <w:tcW w:w="1080" w:type="dxa"/>
            <w:shd w:val="clear" w:color="auto" w:fill="DDDDDD"/>
          </w:tcPr>
          <w:p w14:paraId="7EF07044" w14:textId="77777777" w:rsidR="005D2595" w:rsidRPr="0067507D" w:rsidRDefault="005D2595" w:rsidP="00FC3AF2">
            <w:pPr>
              <w:pStyle w:val="Tabletextright"/>
            </w:pPr>
            <w:r w:rsidRPr="0067507D">
              <w:t xml:space="preserve">1 209 </w:t>
            </w:r>
          </w:p>
        </w:tc>
        <w:tc>
          <w:tcPr>
            <w:tcW w:w="1080" w:type="dxa"/>
            <w:shd w:val="clear" w:color="auto" w:fill="DDDDDD"/>
          </w:tcPr>
          <w:p w14:paraId="690FE64C" w14:textId="77777777" w:rsidR="005D2595" w:rsidRPr="0067507D" w:rsidRDefault="005D2595" w:rsidP="00FC3AF2">
            <w:pPr>
              <w:pStyle w:val="Tabletextright"/>
            </w:pPr>
            <w:r w:rsidRPr="0067507D">
              <w:t xml:space="preserve"> 772 </w:t>
            </w:r>
          </w:p>
        </w:tc>
      </w:tr>
    </w:tbl>
    <w:p w14:paraId="65401307" w14:textId="77777777" w:rsidR="005D2595" w:rsidRPr="0067507D" w:rsidRDefault="005D2595" w:rsidP="005D2595"/>
    <w:p w14:paraId="6626D89F" w14:textId="77777777" w:rsidR="005D2595" w:rsidRPr="0067507D" w:rsidRDefault="005D2595" w:rsidP="005D2595">
      <w:pPr>
        <w:pStyle w:val="Spacer"/>
        <w:sectPr w:rsidR="005D2595" w:rsidRPr="0067507D" w:rsidSect="005D2595">
          <w:headerReference w:type="even" r:id="rId91"/>
          <w:pgSz w:w="11909" w:h="16834" w:code="9"/>
          <w:pgMar w:top="1728" w:right="1152" w:bottom="1152" w:left="1152" w:header="720" w:footer="288" w:gutter="0"/>
          <w:cols w:space="720"/>
          <w:noEndnote/>
        </w:sectPr>
      </w:pPr>
    </w:p>
    <w:p w14:paraId="7B5126DF" w14:textId="77777777" w:rsidR="005D2595" w:rsidRPr="0067507D" w:rsidRDefault="005D2595" w:rsidP="001338EA">
      <w:pPr>
        <w:spacing w:before="0"/>
      </w:pPr>
      <w:r w:rsidRPr="0067507D">
        <w:rPr>
          <w:rFonts w:asciiTheme="majorHAnsi" w:hAnsiTheme="majorHAnsi"/>
        </w:rPr>
        <w:lastRenderedPageBreak/>
        <w:t>Annual leave liabilities</w:t>
      </w:r>
      <w:r w:rsidRPr="0067507D">
        <w:t xml:space="preserve"> are recognised in the provision for employee benefits as current liabilities because the Department does not have the unconditional right to defer settlement of these liabilities. Those liabilities that are expected to be settled within 12 months of the reporting period are measured at nominal values. Those liabilities that are not expected to be settled within 12 months are also recognised in the provision for employee benefits as current liabilities, but are measured at present value of the amounts expected to be paid when the liabilities are settled using the remuneration rate expected to apply at the time of settlement.</w:t>
      </w:r>
    </w:p>
    <w:p w14:paraId="734D346A" w14:textId="77777777" w:rsidR="005D2595" w:rsidRPr="0067507D" w:rsidRDefault="005D2595" w:rsidP="005D2595">
      <w:r w:rsidRPr="0067507D">
        <w:rPr>
          <w:rFonts w:asciiTheme="majorHAnsi" w:hAnsiTheme="majorHAnsi"/>
        </w:rPr>
        <w:t>Long service leave liabilities</w:t>
      </w:r>
      <w:r w:rsidRPr="0067507D">
        <w:t xml:space="preserve"> are recognised in the provision for employee benefits.</w:t>
      </w:r>
    </w:p>
    <w:p w14:paraId="73E0CD00" w14:textId="77777777" w:rsidR="005D2595" w:rsidRPr="0067507D" w:rsidRDefault="005D2595" w:rsidP="005D2595">
      <w:r w:rsidRPr="0067507D">
        <w:rPr>
          <w:rFonts w:asciiTheme="majorHAnsi" w:hAnsiTheme="majorHAnsi"/>
        </w:rPr>
        <w:t>Unconditional long service leave</w:t>
      </w:r>
      <w:r w:rsidRPr="0067507D">
        <w:t xml:space="preserve"> is disclosed as a current liability, even where the Department does not expect to settle the liability within 12 months because it will not have the unconditional right to defer the settlement of the entitlement should an employee take leave within 12 months.</w:t>
      </w:r>
    </w:p>
    <w:p w14:paraId="12257B01" w14:textId="77777777" w:rsidR="005D2595" w:rsidRPr="0067507D" w:rsidRDefault="005D2595" w:rsidP="005D2595">
      <w:r w:rsidRPr="0067507D">
        <w:t>The components of this current long service leave liability are measured at:</w:t>
      </w:r>
    </w:p>
    <w:p w14:paraId="42EC8E89" w14:textId="77777777" w:rsidR="005D2595" w:rsidRPr="0067507D" w:rsidRDefault="005D2595" w:rsidP="006273F6">
      <w:pPr>
        <w:pStyle w:val="Bullet"/>
        <w:numPr>
          <w:ilvl w:val="0"/>
          <w:numId w:val="22"/>
        </w:numPr>
      </w:pPr>
      <w:r w:rsidRPr="0067507D">
        <w:t>undiscounted value if the Department expects to wholly settle within 12 months, or</w:t>
      </w:r>
    </w:p>
    <w:p w14:paraId="0824E7F4" w14:textId="77777777" w:rsidR="005D2595" w:rsidRPr="0067507D" w:rsidRDefault="005D2595" w:rsidP="006273F6">
      <w:pPr>
        <w:pStyle w:val="Bullet"/>
        <w:numPr>
          <w:ilvl w:val="0"/>
          <w:numId w:val="22"/>
        </w:numPr>
      </w:pPr>
      <w:r w:rsidRPr="0067507D">
        <w:t>present value if the Department does not expect to wholly settle within 12 months.</w:t>
      </w:r>
    </w:p>
    <w:p w14:paraId="0AE32860" w14:textId="0866768E" w:rsidR="005D2595" w:rsidRPr="0067507D" w:rsidRDefault="005D2595" w:rsidP="005D2595">
      <w:r w:rsidRPr="0067507D">
        <w:rPr>
          <w:rFonts w:asciiTheme="majorHAnsi" w:hAnsiTheme="majorHAnsi"/>
        </w:rPr>
        <w:t>Conditional long service leave</w:t>
      </w:r>
      <w:r w:rsidRPr="0067507D">
        <w:t xml:space="preserve"> is disclosed as a non</w:t>
      </w:r>
      <w:r w:rsidR="006A5485">
        <w:noBreakHyphen/>
      </w:r>
      <w:r w:rsidRPr="0067507D">
        <w:t>current liability. There is a conditional right to defer the settlement of the entitlement until the employee has completed the requisite years of service. This non</w:t>
      </w:r>
      <w:r w:rsidR="006A5485">
        <w:noBreakHyphen/>
      </w:r>
      <w:r w:rsidRPr="0067507D">
        <w:t>current long service leave is measured at present value.</w:t>
      </w:r>
    </w:p>
    <w:p w14:paraId="4790AF36" w14:textId="4B9B7111" w:rsidR="005D2595" w:rsidRPr="0067507D" w:rsidRDefault="005D2595" w:rsidP="005D2595">
      <w:r w:rsidRPr="0067507D">
        <w:t>Any gain or loss following revaluation of the present value of non</w:t>
      </w:r>
      <w:r w:rsidR="006A5485">
        <w:noBreakHyphen/>
      </w:r>
      <w:r w:rsidRPr="0067507D">
        <w:t>current long service leave liability is recognised as a transaction, except to the extent that a gain or loss arises due to changes in bond rates for which it is then recognised as an 'other economic flow' in the net result.</w:t>
      </w:r>
    </w:p>
    <w:p w14:paraId="149E7746" w14:textId="287E63E7" w:rsidR="005D2595" w:rsidRPr="0067507D" w:rsidRDefault="005D2595" w:rsidP="005D2595">
      <w:r w:rsidRPr="0067507D">
        <w:rPr>
          <w:rFonts w:asciiTheme="majorHAnsi" w:hAnsiTheme="majorHAnsi"/>
        </w:rPr>
        <w:t>Employee on</w:t>
      </w:r>
      <w:r w:rsidR="006A5485">
        <w:rPr>
          <w:rFonts w:asciiTheme="majorHAnsi" w:hAnsiTheme="majorHAnsi"/>
        </w:rPr>
        <w:noBreakHyphen/>
      </w:r>
      <w:r w:rsidRPr="0067507D">
        <w:rPr>
          <w:rFonts w:asciiTheme="majorHAnsi" w:hAnsiTheme="majorHAnsi"/>
        </w:rPr>
        <w:t>costs</w:t>
      </w:r>
      <w:r w:rsidRPr="0067507D">
        <w:t xml:space="preserve"> such as payroll tax, superannuation and workers compensation are not employee benefits. They are disclosed separately as a component of the provision for employee benefits when the employment to which they relate has occurred.</w:t>
      </w:r>
    </w:p>
    <w:p w14:paraId="1E5264F1" w14:textId="132F1F7F" w:rsidR="005D2595" w:rsidRPr="0067507D" w:rsidRDefault="005D2595" w:rsidP="005D2595">
      <w:r w:rsidRPr="0067507D">
        <w:rPr>
          <w:rFonts w:asciiTheme="majorHAnsi" w:hAnsiTheme="majorHAnsi"/>
        </w:rPr>
        <w:t>No provision has been made for sick leave</w:t>
      </w:r>
      <w:r w:rsidRPr="0067507D">
        <w:t xml:space="preserve"> as all sick leave is non</w:t>
      </w:r>
      <w:r w:rsidR="006A5485">
        <w:noBreakHyphen/>
      </w:r>
      <w:r w:rsidRPr="0067507D">
        <w:t>vesting and it is not considered probable that the average sick leave taken in the future will be greater than the benefits accrued in the future. As sick leave is non</w:t>
      </w:r>
      <w:r w:rsidR="006A5485">
        <w:noBreakHyphen/>
      </w:r>
      <w:r w:rsidRPr="0067507D">
        <w:t>vesting, an expense is recognised in the comprehensive operating statement as it is taken.</w:t>
      </w:r>
    </w:p>
    <w:p w14:paraId="59F720FB" w14:textId="77777777" w:rsidR="005D2595" w:rsidRPr="0067507D" w:rsidRDefault="005D2595" w:rsidP="005D2595">
      <w:r w:rsidRPr="0067507D">
        <w:rPr>
          <w:rFonts w:asciiTheme="majorHAnsi" w:hAnsiTheme="majorHAnsi"/>
        </w:rPr>
        <w:t>Wages and salaries liabilities</w:t>
      </w:r>
      <w:r w:rsidRPr="0067507D">
        <w:t xml:space="preserve"> are in payables (note</w:t>
      </w:r>
      <w:r w:rsidRPr="0067507D">
        <w:rPr>
          <w:rFonts w:ascii="Calibri" w:hAnsi="Calibri" w:cs="Calibri"/>
        </w:rPr>
        <w:t> </w:t>
      </w:r>
      <w:r w:rsidRPr="0067507D">
        <w:t>6.3).</w:t>
      </w:r>
    </w:p>
    <w:p w14:paraId="78B91632" w14:textId="77777777" w:rsidR="005D2595" w:rsidRPr="0067507D" w:rsidRDefault="005D2595" w:rsidP="005D2595">
      <w:pPr>
        <w:sectPr w:rsidR="005D2595" w:rsidRPr="0067507D" w:rsidSect="005D2595">
          <w:headerReference w:type="default" r:id="rId92"/>
          <w:pgSz w:w="11909" w:h="16834" w:code="9"/>
          <w:pgMar w:top="1728" w:right="1152" w:bottom="1152" w:left="1152" w:header="720" w:footer="288" w:gutter="0"/>
          <w:cols w:num="2" w:space="569"/>
          <w:noEndnote/>
        </w:sectPr>
      </w:pPr>
    </w:p>
    <w:p w14:paraId="6F957446" w14:textId="77777777" w:rsidR="005D2595" w:rsidRPr="0067507D" w:rsidRDefault="005D2595" w:rsidP="006A35E7">
      <w:pPr>
        <w:pStyle w:val="Heading2numbered"/>
        <w:spacing w:before="400"/>
      </w:pPr>
      <w:bookmarkStart w:id="98" w:name="_Toc178153908"/>
      <w:bookmarkStart w:id="99" w:name="_Toc210214003"/>
      <w:bookmarkStart w:id="100" w:name="_Toc210213950"/>
      <w:r w:rsidRPr="0067507D">
        <w:t>Grant expenses</w:t>
      </w:r>
      <w:bookmarkEnd w:id="98"/>
      <w:bookmarkEnd w:id="99"/>
      <w:bookmarkEnd w:id="100"/>
    </w:p>
    <w:tbl>
      <w:tblPr>
        <w:tblStyle w:val="AnnualReporttexttable"/>
        <w:tblW w:w="7668" w:type="dxa"/>
        <w:tblLayout w:type="fixed"/>
        <w:tblLook w:val="00A0" w:firstRow="1" w:lastRow="0" w:firstColumn="1" w:lastColumn="0" w:noHBand="0" w:noVBand="0"/>
      </w:tblPr>
      <w:tblGrid>
        <w:gridCol w:w="5508"/>
        <w:gridCol w:w="1080"/>
        <w:gridCol w:w="1080"/>
      </w:tblGrid>
      <w:tr w:rsidR="005D2595" w:rsidRPr="0067507D" w14:paraId="0EE087AF" w14:textId="77777777" w:rsidTr="007E5E23">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08" w:type="dxa"/>
          </w:tcPr>
          <w:p w14:paraId="539A81DD" w14:textId="77777777" w:rsidR="005D2595" w:rsidRPr="007E5E23" w:rsidRDefault="005D2595" w:rsidP="00FC3AF2">
            <w:pPr>
              <w:pStyle w:val="Tabletextheadingleft"/>
              <w:rPr>
                <w:b w:val="0"/>
                <w:bCs/>
              </w:rPr>
            </w:pPr>
          </w:p>
        </w:tc>
        <w:tc>
          <w:tcPr>
            <w:cnfStyle w:val="000010000000" w:firstRow="0" w:lastRow="0" w:firstColumn="0" w:lastColumn="0" w:oddVBand="1" w:evenVBand="0" w:oddHBand="0" w:evenHBand="0" w:firstRowFirstColumn="0" w:firstRowLastColumn="0" w:lastRowFirstColumn="0" w:lastRowLastColumn="0"/>
            <w:tcW w:w="1080" w:type="dxa"/>
            <w:shd w:val="clear" w:color="auto" w:fill="auto"/>
          </w:tcPr>
          <w:p w14:paraId="6974CC6E" w14:textId="7E091B98" w:rsidR="005D2595" w:rsidRPr="007E5E23" w:rsidRDefault="005D2595" w:rsidP="00FC3AF2">
            <w:pPr>
              <w:pStyle w:val="Tabletextheadingright"/>
              <w:rPr>
                <w:b w:val="0"/>
                <w:bCs/>
              </w:rPr>
            </w:pPr>
            <w:r w:rsidRPr="007E5E23">
              <w:rPr>
                <w:b w:val="0"/>
                <w:bCs/>
              </w:rPr>
              <w:t>2025</w:t>
            </w:r>
            <w:r w:rsidR="007E5E23" w:rsidRPr="007E5E23">
              <w:rPr>
                <w:b w:val="0"/>
                <w:bCs/>
              </w:rPr>
              <w:br/>
              <w:t>$’000</w:t>
            </w:r>
          </w:p>
        </w:tc>
        <w:tc>
          <w:tcPr>
            <w:cnfStyle w:val="000001000000" w:firstRow="0" w:lastRow="0" w:firstColumn="0" w:lastColumn="0" w:oddVBand="0" w:evenVBand="1" w:oddHBand="0" w:evenHBand="0" w:firstRowFirstColumn="0" w:firstRowLastColumn="0" w:lastRowFirstColumn="0" w:lastRowLastColumn="0"/>
            <w:tcW w:w="1080" w:type="dxa"/>
          </w:tcPr>
          <w:p w14:paraId="40D38D4D" w14:textId="0E795659" w:rsidR="005D2595" w:rsidRPr="007E5E23" w:rsidRDefault="005D2595" w:rsidP="00FC3AF2">
            <w:pPr>
              <w:pStyle w:val="Tabletextheadingright"/>
              <w:rPr>
                <w:b w:val="0"/>
                <w:bCs/>
              </w:rPr>
            </w:pPr>
            <w:r w:rsidRPr="007E5E23">
              <w:rPr>
                <w:b w:val="0"/>
                <w:bCs/>
              </w:rPr>
              <w:t>2024</w:t>
            </w:r>
            <w:r w:rsidR="007E5E23" w:rsidRPr="007E5E23">
              <w:rPr>
                <w:b w:val="0"/>
                <w:bCs/>
              </w:rPr>
              <w:br/>
              <w:t>$’000</w:t>
            </w:r>
          </w:p>
        </w:tc>
      </w:tr>
      <w:tr w:rsidR="005D2595" w:rsidRPr="0067507D" w14:paraId="3C25BF31" w14:textId="77777777" w:rsidTr="007E5E23">
        <w:trPr>
          <w:trHeight w:val="279"/>
        </w:trPr>
        <w:tc>
          <w:tcPr>
            <w:cnfStyle w:val="001000000000" w:firstRow="0" w:lastRow="0" w:firstColumn="1" w:lastColumn="0" w:oddVBand="0" w:evenVBand="0" w:oddHBand="0" w:evenHBand="0" w:firstRowFirstColumn="0" w:firstRowLastColumn="0" w:lastRowFirstColumn="0" w:lastRowLastColumn="0"/>
            <w:tcW w:w="5508" w:type="dxa"/>
          </w:tcPr>
          <w:p w14:paraId="3B35EDC5" w14:textId="77777777" w:rsidR="005D2595" w:rsidRPr="0067507D" w:rsidRDefault="005D2595" w:rsidP="00FC3AF2">
            <w:pPr>
              <w:pStyle w:val="Tabletext"/>
            </w:pPr>
            <w:r w:rsidRPr="0067507D">
              <w:t xml:space="preserve">Victorian government entities </w:t>
            </w:r>
          </w:p>
        </w:tc>
        <w:tc>
          <w:tcPr>
            <w:cnfStyle w:val="000010000000" w:firstRow="0" w:lastRow="0" w:firstColumn="0" w:lastColumn="0" w:oddVBand="1" w:evenVBand="0" w:oddHBand="0" w:evenHBand="0" w:firstRowFirstColumn="0" w:firstRowLastColumn="0" w:lastRowFirstColumn="0" w:lastRowLastColumn="0"/>
            <w:tcW w:w="1080" w:type="dxa"/>
          </w:tcPr>
          <w:p w14:paraId="1EEF60A8" w14:textId="77777777" w:rsidR="005D2595" w:rsidRPr="0067507D" w:rsidRDefault="005D2595" w:rsidP="00FC3AF2">
            <w:pPr>
              <w:pStyle w:val="Tabletextright"/>
            </w:pPr>
            <w:r w:rsidRPr="0067507D">
              <w:t xml:space="preserve">32 341 </w:t>
            </w:r>
          </w:p>
        </w:tc>
        <w:tc>
          <w:tcPr>
            <w:cnfStyle w:val="000001000000" w:firstRow="0" w:lastRow="0" w:firstColumn="0" w:lastColumn="0" w:oddVBand="0" w:evenVBand="1" w:oddHBand="0" w:evenHBand="0" w:firstRowFirstColumn="0" w:firstRowLastColumn="0" w:lastRowFirstColumn="0" w:lastRowLastColumn="0"/>
            <w:tcW w:w="1080" w:type="dxa"/>
          </w:tcPr>
          <w:p w14:paraId="605BC873" w14:textId="77777777" w:rsidR="005D2595" w:rsidRPr="0067507D" w:rsidRDefault="005D2595" w:rsidP="00FC3AF2">
            <w:pPr>
              <w:pStyle w:val="Tabletextright"/>
            </w:pPr>
            <w:r w:rsidRPr="0067507D">
              <w:t xml:space="preserve">29 061 </w:t>
            </w:r>
          </w:p>
        </w:tc>
      </w:tr>
      <w:tr w:rsidR="005D2595" w:rsidRPr="0067507D" w14:paraId="48605970" w14:textId="77777777" w:rsidTr="007E5E23">
        <w:trPr>
          <w:trHeight w:val="279"/>
        </w:trPr>
        <w:tc>
          <w:tcPr>
            <w:cnfStyle w:val="001000000000" w:firstRow="0" w:lastRow="0" w:firstColumn="1" w:lastColumn="0" w:oddVBand="0" w:evenVBand="0" w:oddHBand="0" w:evenHBand="0" w:firstRowFirstColumn="0" w:firstRowLastColumn="0" w:lastRowFirstColumn="0" w:lastRowLastColumn="0"/>
            <w:tcW w:w="5508" w:type="dxa"/>
          </w:tcPr>
          <w:p w14:paraId="0F24855C" w14:textId="77777777" w:rsidR="005D2595" w:rsidRPr="0067507D" w:rsidRDefault="005D2595" w:rsidP="00FC3AF2">
            <w:pPr>
              <w:pStyle w:val="Tabletext"/>
            </w:pPr>
            <w:r w:rsidRPr="0067507D">
              <w:t xml:space="preserve">Other government entities </w:t>
            </w:r>
          </w:p>
        </w:tc>
        <w:tc>
          <w:tcPr>
            <w:cnfStyle w:val="000010000000" w:firstRow="0" w:lastRow="0" w:firstColumn="0" w:lastColumn="0" w:oddVBand="1" w:evenVBand="0" w:oddHBand="0" w:evenHBand="0" w:firstRowFirstColumn="0" w:firstRowLastColumn="0" w:lastRowFirstColumn="0" w:lastRowLastColumn="0"/>
            <w:tcW w:w="1080" w:type="dxa"/>
          </w:tcPr>
          <w:p w14:paraId="071CC3A3" w14:textId="77777777" w:rsidR="005D2595" w:rsidRPr="0067507D" w:rsidRDefault="005D2595" w:rsidP="00FC3AF2">
            <w:pPr>
              <w:pStyle w:val="Tabletextright"/>
            </w:pPr>
            <w:r w:rsidRPr="0067507D">
              <w:t xml:space="preserve">1 905 </w:t>
            </w:r>
          </w:p>
        </w:tc>
        <w:tc>
          <w:tcPr>
            <w:cnfStyle w:val="000001000000" w:firstRow="0" w:lastRow="0" w:firstColumn="0" w:lastColumn="0" w:oddVBand="0" w:evenVBand="1" w:oddHBand="0" w:evenHBand="0" w:firstRowFirstColumn="0" w:firstRowLastColumn="0" w:lastRowFirstColumn="0" w:lastRowLastColumn="0"/>
            <w:tcW w:w="1080" w:type="dxa"/>
          </w:tcPr>
          <w:p w14:paraId="7589F3F1" w14:textId="77777777" w:rsidR="005D2595" w:rsidRPr="0067507D" w:rsidRDefault="005D2595" w:rsidP="00FC3AF2">
            <w:pPr>
              <w:pStyle w:val="Tabletextright"/>
            </w:pPr>
            <w:r w:rsidRPr="0067507D">
              <w:t xml:space="preserve">1 336 </w:t>
            </w:r>
          </w:p>
        </w:tc>
      </w:tr>
      <w:tr w:rsidR="005D2595" w:rsidRPr="0067507D" w14:paraId="27512E8C" w14:textId="77777777" w:rsidTr="007E5E23">
        <w:trPr>
          <w:trHeight w:val="279"/>
        </w:trPr>
        <w:tc>
          <w:tcPr>
            <w:cnfStyle w:val="001000000000" w:firstRow="0" w:lastRow="0" w:firstColumn="1" w:lastColumn="0" w:oddVBand="0" w:evenVBand="0" w:oddHBand="0" w:evenHBand="0" w:firstRowFirstColumn="0" w:firstRowLastColumn="0" w:lastRowFirstColumn="0" w:lastRowLastColumn="0"/>
            <w:tcW w:w="5508" w:type="dxa"/>
          </w:tcPr>
          <w:p w14:paraId="33540550" w14:textId="77777777" w:rsidR="005D2595" w:rsidRPr="0067507D" w:rsidRDefault="005D2595" w:rsidP="00FC3AF2">
            <w:pPr>
              <w:pStyle w:val="Tabletext"/>
            </w:pPr>
            <w:r w:rsidRPr="0067507D">
              <w:t xml:space="preserve">Other organisations </w:t>
            </w:r>
          </w:p>
        </w:tc>
        <w:tc>
          <w:tcPr>
            <w:cnfStyle w:val="000010000000" w:firstRow="0" w:lastRow="0" w:firstColumn="0" w:lastColumn="0" w:oddVBand="1" w:evenVBand="0" w:oddHBand="0" w:evenHBand="0" w:firstRowFirstColumn="0" w:firstRowLastColumn="0" w:lastRowFirstColumn="0" w:lastRowLastColumn="0"/>
            <w:tcW w:w="1080" w:type="dxa"/>
          </w:tcPr>
          <w:p w14:paraId="395CAFEB" w14:textId="77777777" w:rsidR="005D2595" w:rsidRPr="0067507D" w:rsidRDefault="005D2595" w:rsidP="00FC3AF2">
            <w:pPr>
              <w:pStyle w:val="Tabletextright"/>
            </w:pPr>
            <w:r w:rsidRPr="0067507D">
              <w:t xml:space="preserve">5 664 </w:t>
            </w:r>
          </w:p>
        </w:tc>
        <w:tc>
          <w:tcPr>
            <w:cnfStyle w:val="000001000000" w:firstRow="0" w:lastRow="0" w:firstColumn="0" w:lastColumn="0" w:oddVBand="0" w:evenVBand="1" w:oddHBand="0" w:evenHBand="0" w:firstRowFirstColumn="0" w:firstRowLastColumn="0" w:lastRowFirstColumn="0" w:lastRowLastColumn="0"/>
            <w:tcW w:w="1080" w:type="dxa"/>
          </w:tcPr>
          <w:p w14:paraId="33D5ACC1" w14:textId="77777777" w:rsidR="005D2595" w:rsidRPr="0067507D" w:rsidRDefault="005D2595" w:rsidP="00FC3AF2">
            <w:pPr>
              <w:pStyle w:val="Tabletextright"/>
            </w:pPr>
            <w:r w:rsidRPr="0067507D">
              <w:t xml:space="preserve">2 365 </w:t>
            </w:r>
          </w:p>
        </w:tc>
      </w:tr>
      <w:tr w:rsidR="005D2595" w:rsidRPr="0067507D" w14:paraId="4F002E12" w14:textId="77777777" w:rsidTr="007E5E23">
        <w:trPr>
          <w:trHeight w:val="279"/>
        </w:trPr>
        <w:tc>
          <w:tcPr>
            <w:cnfStyle w:val="001000000000" w:firstRow="0" w:lastRow="0" w:firstColumn="1" w:lastColumn="0" w:oddVBand="0" w:evenVBand="0" w:oddHBand="0" w:evenHBand="0" w:firstRowFirstColumn="0" w:firstRowLastColumn="0" w:lastRowFirstColumn="0" w:lastRowLastColumn="0"/>
            <w:tcW w:w="5508" w:type="dxa"/>
          </w:tcPr>
          <w:p w14:paraId="707380CE" w14:textId="77777777" w:rsidR="005D2595" w:rsidRPr="0067507D" w:rsidRDefault="005D2595" w:rsidP="00FC3AF2">
            <w:pPr>
              <w:pStyle w:val="Tabletextbold"/>
            </w:pPr>
            <w:r w:rsidRPr="0067507D">
              <w:t xml:space="preserve">Total grant expenses </w:t>
            </w:r>
          </w:p>
        </w:tc>
        <w:tc>
          <w:tcPr>
            <w:cnfStyle w:val="000010000000" w:firstRow="0" w:lastRow="0" w:firstColumn="0" w:lastColumn="0" w:oddVBand="1" w:evenVBand="0" w:oddHBand="0" w:evenHBand="0" w:firstRowFirstColumn="0" w:firstRowLastColumn="0" w:lastRowFirstColumn="0" w:lastRowLastColumn="0"/>
            <w:tcW w:w="1080" w:type="dxa"/>
          </w:tcPr>
          <w:p w14:paraId="1A2157C6" w14:textId="77777777" w:rsidR="005D2595" w:rsidRPr="0067507D" w:rsidRDefault="005D2595" w:rsidP="00FC3AF2">
            <w:pPr>
              <w:pStyle w:val="Tabletextrightbold"/>
            </w:pPr>
            <w:r w:rsidRPr="0067507D">
              <w:t xml:space="preserve">39 910 </w:t>
            </w:r>
          </w:p>
        </w:tc>
        <w:tc>
          <w:tcPr>
            <w:cnfStyle w:val="000001000000" w:firstRow="0" w:lastRow="0" w:firstColumn="0" w:lastColumn="0" w:oddVBand="0" w:evenVBand="1" w:oddHBand="0" w:evenHBand="0" w:firstRowFirstColumn="0" w:firstRowLastColumn="0" w:lastRowFirstColumn="0" w:lastRowLastColumn="0"/>
            <w:tcW w:w="1080" w:type="dxa"/>
          </w:tcPr>
          <w:p w14:paraId="0C310101" w14:textId="77777777" w:rsidR="005D2595" w:rsidRPr="0067507D" w:rsidRDefault="005D2595" w:rsidP="00FC3AF2">
            <w:pPr>
              <w:pStyle w:val="Tabletextrightbold"/>
            </w:pPr>
            <w:r w:rsidRPr="0067507D">
              <w:t xml:space="preserve">32 762 </w:t>
            </w:r>
          </w:p>
        </w:tc>
      </w:tr>
    </w:tbl>
    <w:p w14:paraId="54F456E8" w14:textId="77777777" w:rsidR="005D2595" w:rsidRPr="0067507D" w:rsidRDefault="005D2595" w:rsidP="005D2595">
      <w:pPr>
        <w:pStyle w:val="Notes"/>
      </w:pPr>
    </w:p>
    <w:p w14:paraId="3CB6F17A"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space="720"/>
          <w:noEndnote/>
        </w:sectPr>
      </w:pPr>
    </w:p>
    <w:p w14:paraId="515A9E13" w14:textId="77777777" w:rsidR="005D2595" w:rsidRPr="0067507D" w:rsidRDefault="005D2595" w:rsidP="005D2595">
      <w:r w:rsidRPr="0067507D">
        <w:rPr>
          <w:rFonts w:asciiTheme="majorHAnsi" w:hAnsiTheme="majorHAnsi"/>
        </w:rPr>
        <w:t>Grant expenses</w:t>
      </w:r>
      <w:r w:rsidRPr="0067507D">
        <w:t xml:space="preserve"> are contributions of the Department's resources to another party for specific or general purposes where there is no expectation that the amount will be repaid in equal value (either by money, goods or services). </w:t>
      </w:r>
    </w:p>
    <w:p w14:paraId="1C6F270E" w14:textId="24CB902B" w:rsidR="005D2595" w:rsidRPr="0067507D" w:rsidRDefault="005D2595" w:rsidP="005D2595">
      <w:r w:rsidRPr="0067507D">
        <w:t>Grants can be paid as general</w:t>
      </w:r>
      <w:r w:rsidR="006A5485">
        <w:noBreakHyphen/>
      </w:r>
      <w:r w:rsidRPr="0067507D">
        <w:t>purpose grants, which refer to grants that are not subject to conditions regarding their use. Alternatively, they may be paid as specific purpose grants which are paid for a particular purpose and/or have conditions attached regarding their use.</w:t>
      </w:r>
    </w:p>
    <w:p w14:paraId="6F3A09FE" w14:textId="77777777" w:rsidR="005D2595" w:rsidRPr="0067507D" w:rsidRDefault="005D2595" w:rsidP="005D2595">
      <w:r w:rsidRPr="0067507D">
        <w:t>Grant expenses are recognised in the reporting period in which they are paid or payable.</w:t>
      </w:r>
    </w:p>
    <w:p w14:paraId="209E412C" w14:textId="77777777" w:rsidR="005D2595" w:rsidRPr="0067507D" w:rsidRDefault="005D2595" w:rsidP="005D2595">
      <w:r w:rsidRPr="0067507D">
        <w:br w:type="column"/>
      </w:r>
    </w:p>
    <w:p w14:paraId="7236FE09"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720"/>
          <w:noEndnote/>
        </w:sectPr>
      </w:pPr>
    </w:p>
    <w:p w14:paraId="42BCA34B" w14:textId="77777777" w:rsidR="005D2595" w:rsidRPr="0067507D" w:rsidRDefault="005D2595" w:rsidP="000D5F54">
      <w:pPr>
        <w:pStyle w:val="Heading2numbered"/>
      </w:pPr>
      <w:bookmarkStart w:id="101" w:name="_Toc210214004"/>
      <w:bookmarkStart w:id="102" w:name="_Toc210213951"/>
      <w:r w:rsidRPr="0067507D">
        <w:lastRenderedPageBreak/>
        <w:t>Other operating expenses</w:t>
      </w:r>
      <w:bookmarkEnd w:id="101"/>
      <w:bookmarkEnd w:id="102"/>
    </w:p>
    <w:tbl>
      <w:tblPr>
        <w:tblW w:w="7738" w:type="dxa"/>
        <w:tblLayout w:type="fixed"/>
        <w:tblLook w:val="0080" w:firstRow="0" w:lastRow="0" w:firstColumn="1" w:lastColumn="0" w:noHBand="0" w:noVBand="0"/>
      </w:tblPr>
      <w:tblGrid>
        <w:gridCol w:w="5490"/>
        <w:gridCol w:w="1125"/>
        <w:gridCol w:w="1123"/>
      </w:tblGrid>
      <w:tr w:rsidR="005D2595" w:rsidRPr="0067507D" w14:paraId="5CBFB7B5" w14:textId="77777777" w:rsidTr="00FC3AF2">
        <w:tc>
          <w:tcPr>
            <w:tcW w:w="5490" w:type="dxa"/>
          </w:tcPr>
          <w:p w14:paraId="59D1502F" w14:textId="77777777" w:rsidR="005D2595" w:rsidRPr="0067507D" w:rsidRDefault="005D2595" w:rsidP="00FC3AF2">
            <w:pPr>
              <w:pStyle w:val="Tabletextheadingleft"/>
            </w:pPr>
          </w:p>
        </w:tc>
        <w:tc>
          <w:tcPr>
            <w:tcW w:w="1125" w:type="dxa"/>
            <w:vAlign w:val="bottom"/>
          </w:tcPr>
          <w:p w14:paraId="4DFDF00B" w14:textId="3CC47448" w:rsidR="005D2595" w:rsidRPr="0067507D" w:rsidRDefault="005D2595" w:rsidP="00FC3AF2">
            <w:pPr>
              <w:pStyle w:val="Tabletextheadingright"/>
            </w:pPr>
            <w:r w:rsidRPr="0067507D">
              <w:t>2025</w:t>
            </w:r>
            <w:r w:rsidR="00797AE5">
              <w:br/>
            </w:r>
            <w:r w:rsidR="00797AE5" w:rsidRPr="0067507D">
              <w:t>$’000</w:t>
            </w:r>
          </w:p>
        </w:tc>
        <w:tc>
          <w:tcPr>
            <w:tcW w:w="1123" w:type="dxa"/>
            <w:vAlign w:val="bottom"/>
          </w:tcPr>
          <w:p w14:paraId="21EEAF17" w14:textId="578327BE" w:rsidR="005D2595" w:rsidRPr="0067507D" w:rsidRDefault="005D2595" w:rsidP="00FC3AF2">
            <w:pPr>
              <w:pStyle w:val="Tabletextheadingright"/>
            </w:pPr>
            <w:r w:rsidRPr="0067507D">
              <w:t>2024</w:t>
            </w:r>
            <w:r w:rsidR="00797AE5">
              <w:br/>
            </w:r>
            <w:r w:rsidR="00797AE5" w:rsidRPr="0067507D">
              <w:t>$’000</w:t>
            </w:r>
          </w:p>
        </w:tc>
      </w:tr>
      <w:tr w:rsidR="005D2595" w:rsidRPr="0067507D" w14:paraId="26330328" w14:textId="77777777" w:rsidTr="00FC3AF2">
        <w:tc>
          <w:tcPr>
            <w:tcW w:w="5490" w:type="dxa"/>
          </w:tcPr>
          <w:p w14:paraId="7E5E9299" w14:textId="77777777" w:rsidR="005D2595" w:rsidRPr="0067507D" w:rsidRDefault="005D2595" w:rsidP="00FC3AF2">
            <w:pPr>
              <w:pStyle w:val="Tabletext"/>
            </w:pPr>
            <w:r w:rsidRPr="0067507D">
              <w:t xml:space="preserve">Contractors, professional services and consultants </w:t>
            </w:r>
          </w:p>
        </w:tc>
        <w:tc>
          <w:tcPr>
            <w:tcW w:w="1125" w:type="dxa"/>
            <w:shd w:val="clear" w:color="auto" w:fill="DDDDDD"/>
          </w:tcPr>
          <w:p w14:paraId="0D2AE2BC" w14:textId="77777777" w:rsidR="005D2595" w:rsidRPr="0067507D" w:rsidRDefault="005D2595" w:rsidP="00FC3AF2">
            <w:pPr>
              <w:pStyle w:val="Tabletextright"/>
            </w:pPr>
            <w:r w:rsidRPr="0067507D">
              <w:t xml:space="preserve">95 245 </w:t>
            </w:r>
          </w:p>
        </w:tc>
        <w:tc>
          <w:tcPr>
            <w:tcW w:w="1123" w:type="dxa"/>
          </w:tcPr>
          <w:p w14:paraId="4148F02F" w14:textId="77777777" w:rsidR="005D2595" w:rsidRPr="0067507D" w:rsidRDefault="005D2595" w:rsidP="00FC3AF2">
            <w:pPr>
              <w:pStyle w:val="Tabletextright"/>
            </w:pPr>
            <w:r w:rsidRPr="0067507D">
              <w:t xml:space="preserve">96 432 </w:t>
            </w:r>
          </w:p>
        </w:tc>
      </w:tr>
      <w:tr w:rsidR="005D2595" w:rsidRPr="0067507D" w14:paraId="3CCB2549" w14:textId="77777777" w:rsidTr="00FC3AF2">
        <w:tc>
          <w:tcPr>
            <w:tcW w:w="5490" w:type="dxa"/>
          </w:tcPr>
          <w:p w14:paraId="0E0CE555" w14:textId="77777777" w:rsidR="005D2595" w:rsidRPr="0067507D" w:rsidRDefault="005D2595" w:rsidP="00FC3AF2">
            <w:pPr>
              <w:pStyle w:val="Tabletext"/>
            </w:pPr>
            <w:r w:rsidRPr="0067507D">
              <w:t>Accommodation and property services</w:t>
            </w:r>
          </w:p>
        </w:tc>
        <w:tc>
          <w:tcPr>
            <w:tcW w:w="1125" w:type="dxa"/>
            <w:shd w:val="clear" w:color="auto" w:fill="DDDDDD"/>
          </w:tcPr>
          <w:p w14:paraId="1FC6B284" w14:textId="77777777" w:rsidR="005D2595" w:rsidRPr="0067507D" w:rsidRDefault="005D2595" w:rsidP="00FC3AF2">
            <w:pPr>
              <w:pStyle w:val="Tabletextright"/>
            </w:pPr>
            <w:r w:rsidRPr="0067507D">
              <w:t xml:space="preserve">19 469 </w:t>
            </w:r>
          </w:p>
        </w:tc>
        <w:tc>
          <w:tcPr>
            <w:tcW w:w="1123" w:type="dxa"/>
          </w:tcPr>
          <w:p w14:paraId="24BB341E" w14:textId="77777777" w:rsidR="005D2595" w:rsidRPr="0067507D" w:rsidRDefault="005D2595" w:rsidP="00FC3AF2">
            <w:pPr>
              <w:pStyle w:val="Tabletextright"/>
            </w:pPr>
            <w:r w:rsidRPr="0067507D">
              <w:t xml:space="preserve">19 242 </w:t>
            </w:r>
          </w:p>
        </w:tc>
      </w:tr>
      <w:tr w:rsidR="005D2595" w:rsidRPr="0067507D" w14:paraId="1B299D81" w14:textId="77777777" w:rsidTr="00FC3AF2">
        <w:tc>
          <w:tcPr>
            <w:tcW w:w="5490" w:type="dxa"/>
          </w:tcPr>
          <w:p w14:paraId="586238CF" w14:textId="77777777" w:rsidR="005D2595" w:rsidRPr="0067507D" w:rsidRDefault="005D2595" w:rsidP="00FC3AF2">
            <w:pPr>
              <w:pStyle w:val="Tabletext"/>
            </w:pPr>
            <w:r w:rsidRPr="0067507D">
              <w:t xml:space="preserve">Information and communication technology services </w:t>
            </w:r>
          </w:p>
        </w:tc>
        <w:tc>
          <w:tcPr>
            <w:tcW w:w="1125" w:type="dxa"/>
            <w:shd w:val="clear" w:color="auto" w:fill="DDDDDD"/>
          </w:tcPr>
          <w:p w14:paraId="4B2A4E7E" w14:textId="77777777" w:rsidR="005D2595" w:rsidRPr="0067507D" w:rsidRDefault="005D2595" w:rsidP="00FC3AF2">
            <w:pPr>
              <w:pStyle w:val="Tabletextright"/>
            </w:pPr>
            <w:r w:rsidRPr="0067507D">
              <w:t xml:space="preserve">19 370 </w:t>
            </w:r>
          </w:p>
        </w:tc>
        <w:tc>
          <w:tcPr>
            <w:tcW w:w="1123" w:type="dxa"/>
          </w:tcPr>
          <w:p w14:paraId="311203D4" w14:textId="77777777" w:rsidR="005D2595" w:rsidRPr="0067507D" w:rsidRDefault="005D2595" w:rsidP="00FC3AF2">
            <w:pPr>
              <w:pStyle w:val="Tabletextright"/>
            </w:pPr>
            <w:r w:rsidRPr="0067507D">
              <w:t xml:space="preserve">15 526 </w:t>
            </w:r>
          </w:p>
        </w:tc>
      </w:tr>
      <w:tr w:rsidR="005D2595" w:rsidRPr="0067507D" w14:paraId="5C3B78A4" w14:textId="77777777" w:rsidTr="00FC3AF2">
        <w:tc>
          <w:tcPr>
            <w:tcW w:w="5490" w:type="dxa"/>
          </w:tcPr>
          <w:p w14:paraId="268C2E43" w14:textId="6878914A" w:rsidR="005D2595" w:rsidRPr="0067507D" w:rsidRDefault="005D2595" w:rsidP="00FC3AF2">
            <w:pPr>
              <w:pStyle w:val="Tabletext"/>
            </w:pPr>
            <w:r w:rsidRPr="0067507D">
              <w:t>Ex</w:t>
            </w:r>
            <w:r w:rsidR="006A5485">
              <w:noBreakHyphen/>
            </w:r>
            <w:r w:rsidRPr="0067507D">
              <w:t>gratia expense</w:t>
            </w:r>
          </w:p>
        </w:tc>
        <w:tc>
          <w:tcPr>
            <w:tcW w:w="1125" w:type="dxa"/>
            <w:shd w:val="clear" w:color="auto" w:fill="DDDDDD"/>
          </w:tcPr>
          <w:p w14:paraId="6AD7965B" w14:textId="77777777" w:rsidR="005D2595" w:rsidRPr="0067507D" w:rsidRDefault="005D2595" w:rsidP="00FC3AF2">
            <w:pPr>
              <w:pStyle w:val="Tabletextright"/>
            </w:pPr>
            <w:r w:rsidRPr="0067507D">
              <w:t xml:space="preserve">– </w:t>
            </w:r>
          </w:p>
        </w:tc>
        <w:tc>
          <w:tcPr>
            <w:tcW w:w="1123" w:type="dxa"/>
          </w:tcPr>
          <w:p w14:paraId="6BB00EFA" w14:textId="77777777" w:rsidR="005D2595" w:rsidRPr="0067507D" w:rsidRDefault="005D2595" w:rsidP="00FC3AF2">
            <w:pPr>
              <w:pStyle w:val="Tabletextright"/>
            </w:pPr>
            <w:r w:rsidRPr="0067507D">
              <w:t xml:space="preserve"> 155 </w:t>
            </w:r>
          </w:p>
        </w:tc>
      </w:tr>
      <w:tr w:rsidR="005D2595" w:rsidRPr="0067507D" w14:paraId="0EDD162D" w14:textId="77777777" w:rsidTr="00FC3AF2">
        <w:tc>
          <w:tcPr>
            <w:tcW w:w="5490" w:type="dxa"/>
          </w:tcPr>
          <w:p w14:paraId="7090141A" w14:textId="77777777" w:rsidR="005D2595" w:rsidRPr="0067507D" w:rsidRDefault="005D2595" w:rsidP="00FC3AF2">
            <w:pPr>
              <w:pStyle w:val="Tabletext"/>
            </w:pPr>
            <w:r w:rsidRPr="0067507D">
              <w:t>Resources given free of charge</w:t>
            </w:r>
          </w:p>
        </w:tc>
        <w:tc>
          <w:tcPr>
            <w:tcW w:w="1125" w:type="dxa"/>
            <w:shd w:val="clear" w:color="auto" w:fill="DDDDDD"/>
          </w:tcPr>
          <w:p w14:paraId="62601231" w14:textId="77777777" w:rsidR="005D2595" w:rsidRPr="0067507D" w:rsidRDefault="005D2595" w:rsidP="00FC3AF2">
            <w:pPr>
              <w:pStyle w:val="Tabletextright"/>
            </w:pPr>
            <w:r w:rsidRPr="0067507D">
              <w:t xml:space="preserve">7 700 </w:t>
            </w:r>
          </w:p>
        </w:tc>
        <w:tc>
          <w:tcPr>
            <w:tcW w:w="1123" w:type="dxa"/>
          </w:tcPr>
          <w:p w14:paraId="1AA6DF9C" w14:textId="77777777" w:rsidR="005D2595" w:rsidRPr="0067507D" w:rsidRDefault="005D2595" w:rsidP="00FC3AF2">
            <w:pPr>
              <w:pStyle w:val="Tabletextright"/>
            </w:pPr>
            <w:r w:rsidRPr="0067507D">
              <w:t xml:space="preserve">7 700 </w:t>
            </w:r>
          </w:p>
        </w:tc>
      </w:tr>
      <w:tr w:rsidR="005D2595" w:rsidRPr="0067507D" w14:paraId="68B98EEC" w14:textId="77777777" w:rsidTr="00FC3AF2">
        <w:tc>
          <w:tcPr>
            <w:tcW w:w="5490" w:type="dxa"/>
          </w:tcPr>
          <w:p w14:paraId="52A88028" w14:textId="77777777" w:rsidR="005D2595" w:rsidRPr="0067507D" w:rsidRDefault="005D2595" w:rsidP="00FC3AF2">
            <w:pPr>
              <w:pStyle w:val="Tabletext"/>
            </w:pPr>
            <w:r w:rsidRPr="0067507D">
              <w:t xml:space="preserve">Other </w:t>
            </w:r>
          </w:p>
        </w:tc>
        <w:tc>
          <w:tcPr>
            <w:tcW w:w="1125" w:type="dxa"/>
            <w:shd w:val="clear" w:color="auto" w:fill="DDDDDD"/>
          </w:tcPr>
          <w:p w14:paraId="25496722" w14:textId="77777777" w:rsidR="005D2595" w:rsidRPr="0067507D" w:rsidRDefault="005D2595" w:rsidP="00FC3AF2">
            <w:pPr>
              <w:pStyle w:val="Tabletextright"/>
            </w:pPr>
            <w:r w:rsidRPr="0067507D">
              <w:t xml:space="preserve">8 122 </w:t>
            </w:r>
          </w:p>
        </w:tc>
        <w:tc>
          <w:tcPr>
            <w:tcW w:w="1123" w:type="dxa"/>
          </w:tcPr>
          <w:p w14:paraId="0C064CB6" w14:textId="77777777" w:rsidR="005D2595" w:rsidRPr="0067507D" w:rsidRDefault="005D2595" w:rsidP="00FC3AF2">
            <w:pPr>
              <w:pStyle w:val="Tabletextright"/>
            </w:pPr>
            <w:r w:rsidRPr="0067507D">
              <w:t xml:space="preserve">8 266 </w:t>
            </w:r>
          </w:p>
        </w:tc>
      </w:tr>
      <w:tr w:rsidR="005D2595" w:rsidRPr="0067507D" w14:paraId="3C1CB7F4" w14:textId="77777777" w:rsidTr="00FC3AF2">
        <w:tc>
          <w:tcPr>
            <w:tcW w:w="5490" w:type="dxa"/>
          </w:tcPr>
          <w:p w14:paraId="31ACE567" w14:textId="77777777" w:rsidR="005D2595" w:rsidRPr="0067507D" w:rsidRDefault="005D2595" w:rsidP="00FC3AF2">
            <w:pPr>
              <w:pStyle w:val="Tabletextbold"/>
            </w:pPr>
            <w:r w:rsidRPr="0067507D">
              <w:t>Total other operating expenses</w:t>
            </w:r>
          </w:p>
        </w:tc>
        <w:tc>
          <w:tcPr>
            <w:tcW w:w="1125" w:type="dxa"/>
            <w:shd w:val="clear" w:color="auto" w:fill="DDDDDD"/>
          </w:tcPr>
          <w:p w14:paraId="50E968F3" w14:textId="77777777" w:rsidR="005D2595" w:rsidRPr="0067507D" w:rsidRDefault="005D2595" w:rsidP="00FC3AF2">
            <w:pPr>
              <w:pStyle w:val="Tabletextrightbold"/>
            </w:pPr>
            <w:r w:rsidRPr="0067507D">
              <w:t xml:space="preserve">149 906 </w:t>
            </w:r>
          </w:p>
        </w:tc>
        <w:tc>
          <w:tcPr>
            <w:tcW w:w="1123" w:type="dxa"/>
          </w:tcPr>
          <w:p w14:paraId="256C0586" w14:textId="77777777" w:rsidR="005D2595" w:rsidRPr="0067507D" w:rsidRDefault="005D2595" w:rsidP="00FC3AF2">
            <w:pPr>
              <w:pStyle w:val="Tabletextrightbold"/>
            </w:pPr>
            <w:r w:rsidRPr="0067507D">
              <w:t xml:space="preserve">147 321 </w:t>
            </w:r>
          </w:p>
        </w:tc>
      </w:tr>
    </w:tbl>
    <w:p w14:paraId="34C9D00D" w14:textId="77777777" w:rsidR="005D2595" w:rsidRPr="0067507D" w:rsidRDefault="005D2595" w:rsidP="005D2595">
      <w:pPr>
        <w:pStyle w:val="Notes"/>
        <w:ind w:right="1505"/>
      </w:pPr>
    </w:p>
    <w:p w14:paraId="3D3F5658" w14:textId="77777777" w:rsidR="005D2595" w:rsidRPr="0067507D" w:rsidRDefault="005D2595" w:rsidP="005D2595">
      <w:pPr>
        <w:sectPr w:rsidR="005D2595" w:rsidRPr="0067507D" w:rsidSect="005D2595">
          <w:pgSz w:w="11909" w:h="16834" w:code="9"/>
          <w:pgMar w:top="1728" w:right="1152" w:bottom="1152" w:left="1152" w:header="720" w:footer="288" w:gutter="0"/>
          <w:cols w:space="720"/>
          <w:noEndnote/>
        </w:sectPr>
      </w:pPr>
    </w:p>
    <w:p w14:paraId="41E03CB8" w14:textId="56793289" w:rsidR="005D2595" w:rsidRPr="0067507D" w:rsidRDefault="005D2595" w:rsidP="005D2595">
      <w:r w:rsidRPr="0067507D">
        <w:t>Other operating expenses generally represent the day</w:t>
      </w:r>
      <w:r w:rsidR="006A5485">
        <w:noBreakHyphen/>
      </w:r>
      <w:r w:rsidRPr="0067507D">
        <w:t>to</w:t>
      </w:r>
      <w:r w:rsidR="006A5485">
        <w:noBreakHyphen/>
      </w:r>
      <w:r w:rsidRPr="0067507D">
        <w:t>day running costs incurred in normal operations, and are recognised as an expense in the reporting period in which they are incurred.</w:t>
      </w:r>
    </w:p>
    <w:p w14:paraId="52863503" w14:textId="77777777" w:rsidR="005D2595" w:rsidRPr="0067507D" w:rsidRDefault="005D2595" w:rsidP="005D2595">
      <w:r w:rsidRPr="0067507D">
        <w:rPr>
          <w:rFonts w:asciiTheme="majorHAnsi" w:hAnsiTheme="majorHAnsi"/>
        </w:rPr>
        <w:t>Contractors, professional services and consultants expenses</w:t>
      </w:r>
      <w:r w:rsidRPr="0067507D">
        <w:t xml:space="preserve"> relate to contractors and professional services costs for legal, valuation and auditing.</w:t>
      </w:r>
    </w:p>
    <w:p w14:paraId="01AC8996" w14:textId="77777777" w:rsidR="005D2595" w:rsidRPr="0067507D" w:rsidRDefault="005D2595" w:rsidP="005D2595">
      <w:r w:rsidRPr="0067507D">
        <w:rPr>
          <w:rFonts w:asciiTheme="majorHAnsi" w:hAnsiTheme="majorHAnsi"/>
        </w:rPr>
        <w:t>Accommodation and property services expenses</w:t>
      </w:r>
      <w:r w:rsidRPr="0067507D">
        <w:t xml:space="preserve"> mainly relate to accommodation and accommodation management costs paid to Accommodation, Carpool and Library Services (ACLS), and repair and maintenance costs. ACLS is responsible for developing whole of Victorian Government office accommodation strategies that meet department office workspace business needs under the Centralised Accommodation Management (CAM).</w:t>
      </w:r>
    </w:p>
    <w:p w14:paraId="5326FCA2" w14:textId="77777777" w:rsidR="005D2595" w:rsidRPr="0067507D" w:rsidRDefault="005D2595" w:rsidP="005D2595">
      <w:r w:rsidRPr="0067507D">
        <w:rPr>
          <w:rFonts w:asciiTheme="majorHAnsi" w:hAnsiTheme="majorHAnsi"/>
        </w:rPr>
        <w:t>Information and communication technology services expenses</w:t>
      </w:r>
      <w:r w:rsidRPr="0067507D">
        <w:t xml:space="preserve"> relate to computer hardware purchase, IT equipment lease, software purchase, licensing and maintenance, and network costs.</w:t>
      </w:r>
    </w:p>
    <w:p w14:paraId="19B6B516" w14:textId="19A55B5C" w:rsidR="005D2595" w:rsidRPr="0067507D" w:rsidRDefault="005D2595" w:rsidP="005D2595">
      <w:r w:rsidRPr="0067507D">
        <w:rPr>
          <w:rFonts w:asciiTheme="majorHAnsi" w:hAnsiTheme="majorHAnsi"/>
        </w:rPr>
        <w:t>Ex</w:t>
      </w:r>
      <w:r w:rsidR="006A5485">
        <w:rPr>
          <w:rFonts w:asciiTheme="majorHAnsi" w:hAnsiTheme="majorHAnsi"/>
        </w:rPr>
        <w:noBreakHyphen/>
      </w:r>
      <w:r w:rsidRPr="0067507D">
        <w:rPr>
          <w:rFonts w:asciiTheme="majorHAnsi" w:hAnsiTheme="majorHAnsi"/>
        </w:rPr>
        <w:t>gratia employee expense</w:t>
      </w:r>
      <w:r w:rsidRPr="0067507D">
        <w:t xml:space="preserve"> relates to compensation for economic loss.</w:t>
      </w:r>
    </w:p>
    <w:p w14:paraId="114DDC7F" w14:textId="77777777" w:rsidR="005D2595" w:rsidRPr="0067507D" w:rsidRDefault="005D2595" w:rsidP="005D2595">
      <w:r w:rsidRPr="0067507D">
        <w:rPr>
          <w:rFonts w:asciiTheme="majorHAnsi" w:hAnsiTheme="majorHAnsi"/>
        </w:rPr>
        <w:t>Resources given free of charge</w:t>
      </w:r>
      <w:r w:rsidRPr="0067507D">
        <w:t xml:space="preserve"> or for nominal consideration mainly relate to corporate shared services provided by the Department of Government Services.</w:t>
      </w:r>
      <w:bookmarkEnd w:id="93"/>
    </w:p>
    <w:p w14:paraId="47C5F17E" w14:textId="77777777" w:rsidR="005D2595" w:rsidRPr="0067507D" w:rsidRDefault="005D2595" w:rsidP="00636BAB">
      <w:pPr>
        <w:pStyle w:val="Heading1numbered"/>
        <w:numPr>
          <w:ilvl w:val="0"/>
          <w:numId w:val="11"/>
        </w:numPr>
        <w:sectPr w:rsidR="005D2595" w:rsidRPr="0067507D" w:rsidSect="005D2595">
          <w:headerReference w:type="even" r:id="rId93"/>
          <w:headerReference w:type="default" r:id="rId94"/>
          <w:type w:val="continuous"/>
          <w:pgSz w:w="11909" w:h="16834" w:code="9"/>
          <w:pgMar w:top="1728" w:right="1152" w:bottom="1152" w:left="1152" w:header="720" w:footer="288" w:gutter="0"/>
          <w:cols w:num="2" w:space="720"/>
          <w:noEndnote/>
        </w:sectPr>
      </w:pPr>
    </w:p>
    <w:p w14:paraId="5F5FF633" w14:textId="77777777" w:rsidR="005D2595" w:rsidRPr="0067507D" w:rsidRDefault="005D2595" w:rsidP="009714E6">
      <w:pPr>
        <w:pStyle w:val="Heading1numbered"/>
      </w:pPr>
      <w:bookmarkStart w:id="103" w:name="_Toc210214005"/>
      <w:bookmarkStart w:id="104" w:name="_Toc210213952"/>
      <w:r w:rsidRPr="0067507D">
        <w:lastRenderedPageBreak/>
        <w:t>Disaggregated financial information by output</w:t>
      </w:r>
      <w:bookmarkEnd w:id="103"/>
      <w:bookmarkEnd w:id="104"/>
    </w:p>
    <w:p w14:paraId="7F74E9DA" w14:textId="77777777" w:rsidR="005D2595" w:rsidRPr="0067507D" w:rsidRDefault="005D2595" w:rsidP="005D2595">
      <w:pPr>
        <w:sectPr w:rsidR="005D2595" w:rsidRPr="0067507D" w:rsidSect="005D2595">
          <w:headerReference w:type="even" r:id="rId95"/>
          <w:headerReference w:type="default" r:id="rId96"/>
          <w:pgSz w:w="11909" w:h="16834" w:code="9"/>
          <w:pgMar w:top="1728" w:right="1152" w:bottom="1152" w:left="1152" w:header="720" w:footer="288" w:gutter="0"/>
          <w:cols w:space="720"/>
          <w:noEndnote/>
        </w:sectPr>
      </w:pPr>
    </w:p>
    <w:p w14:paraId="433C3C8B" w14:textId="77777777" w:rsidR="005D2595" w:rsidRPr="0067507D" w:rsidRDefault="005D2595" w:rsidP="006273F6">
      <w:pPr>
        <w:pStyle w:val="Heading2numbered"/>
      </w:pPr>
      <w:bookmarkStart w:id="105" w:name="_Toc210214006"/>
      <w:bookmarkStart w:id="106" w:name="_Toc210213953"/>
      <w:r w:rsidRPr="0067507D">
        <w:t>Introduction</w:t>
      </w:r>
      <w:bookmarkEnd w:id="105"/>
      <w:bookmarkEnd w:id="106"/>
    </w:p>
    <w:p w14:paraId="78EB6D25" w14:textId="28CDAC68" w:rsidR="005D2595" w:rsidRPr="0067507D" w:rsidRDefault="005D2595" w:rsidP="005D2595">
      <w:r w:rsidRPr="0067507D">
        <w:t xml:space="preserve">This note provides a description of the </w:t>
      </w:r>
      <w:r w:rsidR="00215FC7" w:rsidRPr="0067507D">
        <w:t>departmental</w:t>
      </w:r>
      <w:r w:rsidRPr="0067507D">
        <w:t xml:space="preserve"> outputs delivered during the year ended 30</w:t>
      </w:r>
      <w:r w:rsidRPr="0067507D">
        <w:rPr>
          <w:rFonts w:ascii="Calibri" w:hAnsi="Calibri" w:cs="Calibri"/>
        </w:rPr>
        <w:t> </w:t>
      </w:r>
      <w:r w:rsidRPr="0067507D">
        <w:t>June</w:t>
      </w:r>
      <w:r w:rsidRPr="0067507D">
        <w:rPr>
          <w:rFonts w:ascii="Calibri" w:hAnsi="Calibri" w:cs="Calibri"/>
        </w:rPr>
        <w:t> </w:t>
      </w:r>
      <w:r w:rsidRPr="0067507D">
        <w:t>2025 along with the objectives of those outputs.</w:t>
      </w:r>
    </w:p>
    <w:p w14:paraId="7AC71DAC" w14:textId="77777777" w:rsidR="005D2595" w:rsidRPr="0067507D" w:rsidRDefault="005D2595" w:rsidP="005D2595">
      <w:r w:rsidRPr="0067507D">
        <w:t>This note disaggregates income that enables the delivery of services (described in note 2) by output group and records the allocation of expenses incurred (described in note 3) also by output group, which form part of the controlled balances of the Department.</w:t>
      </w:r>
    </w:p>
    <w:p w14:paraId="43CA4BCA" w14:textId="77777777" w:rsidR="005D2595" w:rsidRPr="0067507D" w:rsidRDefault="005D2595" w:rsidP="005D2595">
      <w:r w:rsidRPr="0067507D">
        <w:t>It also provides information on items administered in connection with these output groups.</w:t>
      </w:r>
    </w:p>
    <w:p w14:paraId="42CA6B69" w14:textId="77777777" w:rsidR="005D2595" w:rsidRPr="0067507D" w:rsidRDefault="005D2595" w:rsidP="005D2595">
      <w:r w:rsidRPr="0067507D">
        <w:t>The distinction between controlled and administered items is drawn based on whether the Department has the ability to deploy the resources in question for its own benefit (controlled items) or whether it does so on behalf of the State (administered). The Department remains accountable for transactions involving administered items, but it does not recognise these items in its financial statements.</w:t>
      </w:r>
    </w:p>
    <w:p w14:paraId="6A876B9E" w14:textId="77777777" w:rsidR="005D2595" w:rsidRPr="0067507D" w:rsidRDefault="005D2595" w:rsidP="005D2595">
      <w:pPr>
        <w:pStyle w:val="Heading4"/>
      </w:pPr>
      <w:r w:rsidRPr="0067507D">
        <w:br w:type="column"/>
      </w:r>
      <w:bookmarkStart w:id="107" w:name="Section_04"/>
      <w:r w:rsidRPr="0067507D">
        <w:t xml:space="preserve"> </w:t>
      </w:r>
    </w:p>
    <w:p w14:paraId="68386962"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720"/>
          <w:noEndnote/>
        </w:sectPr>
      </w:pPr>
    </w:p>
    <w:p w14:paraId="572FBE66" w14:textId="77777777" w:rsidR="005D2595" w:rsidRPr="0067507D" w:rsidRDefault="005D2595" w:rsidP="006273F6">
      <w:pPr>
        <w:pStyle w:val="Heading2numbered"/>
      </w:pPr>
      <w:bookmarkStart w:id="108" w:name="_Toc178082181"/>
      <w:bookmarkStart w:id="109" w:name="_Toc210214007"/>
      <w:bookmarkStart w:id="110" w:name="_Toc210213954"/>
      <w:r w:rsidRPr="0067507D">
        <w:t>Departmental outputs</w:t>
      </w:r>
      <w:bookmarkEnd w:id="108"/>
      <w:bookmarkEnd w:id="109"/>
      <w:bookmarkEnd w:id="110"/>
    </w:p>
    <w:p w14:paraId="5DA83B2D" w14:textId="77777777" w:rsidR="005D2595" w:rsidRPr="0067507D" w:rsidRDefault="005D2595" w:rsidP="006273F6">
      <w:pPr>
        <w:pStyle w:val="Heading3numbered"/>
        <w:ind w:left="576" w:hanging="576"/>
      </w:pPr>
      <w:r w:rsidRPr="0067507D">
        <w:t>Department outputs – descriptions and objectives</w:t>
      </w:r>
    </w:p>
    <w:p w14:paraId="19F30B4F" w14:textId="77777777" w:rsidR="005D2595" w:rsidRPr="0067507D" w:rsidRDefault="005D2595" w:rsidP="005D2595">
      <w:pPr>
        <w:pStyle w:val="Heading4"/>
        <w:rPr>
          <w:sz w:val="16"/>
        </w:rPr>
        <w:sectPr w:rsidR="005D2595" w:rsidRPr="0067507D" w:rsidSect="005D2595">
          <w:headerReference w:type="even" r:id="rId97"/>
          <w:headerReference w:type="default" r:id="rId98"/>
          <w:type w:val="continuous"/>
          <w:pgSz w:w="11909" w:h="16834" w:code="9"/>
          <w:pgMar w:top="1728" w:right="1152" w:bottom="1152" w:left="1152" w:header="720" w:footer="288" w:gutter="0"/>
          <w:cols w:space="720"/>
          <w:noEndnote/>
        </w:sectPr>
      </w:pPr>
    </w:p>
    <w:p w14:paraId="1C05A700" w14:textId="77777777" w:rsidR="005D2595" w:rsidRPr="0067507D" w:rsidRDefault="005D2595" w:rsidP="005D2595">
      <w:pPr>
        <w:pStyle w:val="Heading4"/>
      </w:pPr>
      <w:r w:rsidRPr="0067507D">
        <w:t>Optimise Victoria’s fiscal resources</w:t>
      </w:r>
    </w:p>
    <w:p w14:paraId="1FE4618D" w14:textId="02B14401" w:rsidR="005D2595" w:rsidRPr="0067507D" w:rsidRDefault="005D2595" w:rsidP="005D2595">
      <w:r w:rsidRPr="0067507D">
        <w:rPr>
          <w:rFonts w:asciiTheme="majorHAnsi" w:hAnsiTheme="majorHAnsi"/>
        </w:rPr>
        <w:t>Description of objective and output group:</w:t>
      </w:r>
      <w:r w:rsidRPr="0067507D">
        <w:t xml:space="preserve"> This</w:t>
      </w:r>
      <w:r w:rsidRPr="0067507D">
        <w:rPr>
          <w:rFonts w:ascii="Calibri" w:hAnsi="Calibri" w:cs="Calibri"/>
        </w:rPr>
        <w:t> </w:t>
      </w:r>
      <w:r w:rsidRPr="0067507D">
        <w:t>objective and output group relates to the provision of high</w:t>
      </w:r>
      <w:r w:rsidR="006A5485">
        <w:noBreakHyphen/>
      </w:r>
      <w:r w:rsidRPr="0067507D">
        <w:t>quality advice to Government on sustainable financial, resource and performance management policy and other key policy priorities; overseeing related frameworks; as well as leading the production of the State budget papers and reports of both financial and non</w:t>
      </w:r>
      <w:r w:rsidR="006A5485">
        <w:noBreakHyphen/>
      </w:r>
      <w:r w:rsidRPr="0067507D">
        <w:t>financial performance in the Victorian public sector. It relates to the provision of strategic, timely and comprehensive analysis and information to Government to support decision</w:t>
      </w:r>
      <w:r w:rsidR="006A5485">
        <w:noBreakHyphen/>
      </w:r>
      <w:r w:rsidRPr="0067507D">
        <w:t>making and reporting. It also relates to the provision of revenue management and administrative services across the various state</w:t>
      </w:r>
      <w:r w:rsidR="006A5485">
        <w:noBreakHyphen/>
      </w:r>
      <w:r w:rsidRPr="0067507D">
        <w:t>based taxes for the benefit of all Victorians.</w:t>
      </w:r>
    </w:p>
    <w:p w14:paraId="177F1AB1" w14:textId="77777777" w:rsidR="005D2595" w:rsidRPr="0067507D" w:rsidRDefault="005D2595" w:rsidP="005D2595">
      <w:pPr>
        <w:pStyle w:val="Heading4"/>
      </w:pPr>
      <w:r w:rsidRPr="0067507D">
        <w:t>Strengthen Victoria’s economic performance</w:t>
      </w:r>
    </w:p>
    <w:p w14:paraId="022FC22F" w14:textId="433DCC9E" w:rsidR="005D2595" w:rsidRPr="0067507D" w:rsidRDefault="005D2595" w:rsidP="005D2595">
      <w:r w:rsidRPr="0067507D">
        <w:rPr>
          <w:rFonts w:asciiTheme="majorHAnsi" w:hAnsiTheme="majorHAnsi"/>
        </w:rPr>
        <w:t>Description of objective and output group:</w:t>
      </w:r>
      <w:r w:rsidRPr="0067507D">
        <w:t xml:space="preserve"> This</w:t>
      </w:r>
      <w:r w:rsidRPr="0067507D">
        <w:rPr>
          <w:rFonts w:ascii="Calibri" w:hAnsi="Calibri" w:cs="Calibri"/>
        </w:rPr>
        <w:t> </w:t>
      </w:r>
      <w:r w:rsidRPr="0067507D">
        <w:t>objective and output group relates to the provision of advice to Government on key economic matters and policies to increase economic productivity, competitiveness and equity across the Victorian economy. It relates to the provision of strategic, timely and comprehensive analysis and information to Government to support decision</w:t>
      </w:r>
      <w:r w:rsidR="006A5485">
        <w:noBreakHyphen/>
      </w:r>
      <w:r w:rsidRPr="0067507D">
        <w:t>making and reporting. It also relates to the provision of economic regulation of utilities and other specified markets in Victoria to protect the long</w:t>
      </w:r>
      <w:r w:rsidR="006A5485">
        <w:noBreakHyphen/>
      </w:r>
      <w:r w:rsidRPr="0067507D">
        <w:t>term interests of Victorian consumers with regard to price, quality and reliability of essential services.</w:t>
      </w:r>
    </w:p>
    <w:p w14:paraId="7D393C4B" w14:textId="77777777" w:rsidR="005D2595" w:rsidRPr="0067507D" w:rsidRDefault="005D2595" w:rsidP="005D2595">
      <w:pPr>
        <w:pStyle w:val="Heading4"/>
        <w:pageBreakBefore/>
      </w:pPr>
      <w:r w:rsidRPr="0067507D">
        <w:lastRenderedPageBreak/>
        <w:t>Improve how Government manages its balance sheet, commercial activities and public sector infrastructure</w:t>
      </w:r>
    </w:p>
    <w:p w14:paraId="17CB046F" w14:textId="00062C18" w:rsidR="005D2595" w:rsidRPr="0067507D" w:rsidRDefault="005D2595" w:rsidP="005D2595">
      <w:r w:rsidRPr="0067507D">
        <w:rPr>
          <w:rFonts w:asciiTheme="majorHAnsi" w:hAnsiTheme="majorHAnsi"/>
        </w:rPr>
        <w:t>Description of objective and output group:</w:t>
      </w:r>
      <w:r w:rsidRPr="0067507D">
        <w:t xml:space="preserve"> This</w:t>
      </w:r>
      <w:r w:rsidRPr="0067507D">
        <w:rPr>
          <w:rFonts w:ascii="Calibri" w:hAnsi="Calibri" w:cs="Calibri"/>
        </w:rPr>
        <w:t> </w:t>
      </w:r>
      <w:r w:rsidRPr="0067507D">
        <w:t>objective and output group relates to the development and application of prudent financial and commercial principles and practices to influence and help deliver government policies focused on overseeing the State's balance sheet, major infrastructure and government business enterprises (in the public non</w:t>
      </w:r>
      <w:r w:rsidR="006A5485">
        <w:noBreakHyphen/>
      </w:r>
      <w:r w:rsidRPr="0067507D">
        <w:t>financial corporations (PNFC) sector and public financial corporations (PFC) sector). It relates to the provision of strategic, timely and comprehensive analysis and information to Government to support decision</w:t>
      </w:r>
      <w:r w:rsidR="006A5485">
        <w:noBreakHyphen/>
      </w:r>
      <w:r w:rsidRPr="0067507D">
        <w:t>making and reporting.</w:t>
      </w:r>
    </w:p>
    <w:p w14:paraId="6275D231" w14:textId="77777777" w:rsidR="005D2595" w:rsidRPr="0067507D" w:rsidRDefault="005D2595" w:rsidP="005D2595">
      <w:pPr>
        <w:pStyle w:val="Heading4"/>
      </w:pPr>
      <w:r w:rsidRPr="0067507D">
        <w:t>Strengthen Victoria's economic performance through fair, equitable and productive workplaces</w:t>
      </w:r>
    </w:p>
    <w:p w14:paraId="5D0D80A9" w14:textId="77777777" w:rsidR="005D2595" w:rsidRPr="0067507D" w:rsidRDefault="005D2595" w:rsidP="005D2595">
      <w:r w:rsidRPr="0067507D">
        <w:rPr>
          <w:rFonts w:asciiTheme="majorHAnsi" w:hAnsiTheme="majorHAnsi"/>
        </w:rPr>
        <w:t>Description of objective and output group:</w:t>
      </w:r>
      <w:r w:rsidRPr="0067507D">
        <w:t xml:space="preserve"> This</w:t>
      </w:r>
      <w:r w:rsidRPr="0067507D">
        <w:rPr>
          <w:rFonts w:ascii="Calibri" w:hAnsi="Calibri" w:cs="Calibri"/>
        </w:rPr>
        <w:t> </w:t>
      </w:r>
      <w:r w:rsidRPr="0067507D">
        <w:t>objective and output group relates to delivery of strategic industrial relations legislative, policy and technical advice to the Government and departments. It relates to the development and review of regulatory frameworks to support a positive industrial relations environment and promote fair and productive workplaces, secure work and gender pay equity. It also relates to the provision of oversight of enterprise bargaining across the Victorian public sector and supporting Victoria’s participation in the national workplace relations system.</w:t>
      </w:r>
    </w:p>
    <w:p w14:paraId="6A0DAB95" w14:textId="77777777" w:rsidR="005D2595" w:rsidRPr="0067507D" w:rsidRDefault="005D2595" w:rsidP="005D2595"/>
    <w:p w14:paraId="297C6B51" w14:textId="77777777" w:rsidR="005D2595" w:rsidRPr="0067507D" w:rsidRDefault="005D2595" w:rsidP="005D2595">
      <w:pPr>
        <w:keepLines w:val="0"/>
        <w:spacing w:before="0" w:after="0"/>
        <w:sectPr w:rsidR="005D2595" w:rsidRPr="0067507D" w:rsidSect="005D2595">
          <w:headerReference w:type="even" r:id="rId99"/>
          <w:type w:val="continuous"/>
          <w:pgSz w:w="11909" w:h="16834" w:code="9"/>
          <w:pgMar w:top="1728" w:right="1152" w:bottom="1152" w:left="1152" w:header="720" w:footer="288" w:gutter="0"/>
          <w:cols w:num="2" w:space="389"/>
          <w:noEndnote/>
        </w:sectPr>
      </w:pPr>
    </w:p>
    <w:p w14:paraId="252DC364" w14:textId="77777777" w:rsidR="005D2595" w:rsidRPr="0067507D" w:rsidRDefault="005D2595" w:rsidP="006273F6">
      <w:pPr>
        <w:pStyle w:val="Heading3numbered"/>
        <w:ind w:left="576" w:hanging="576"/>
      </w:pPr>
      <w:r w:rsidRPr="0067507D">
        <w:lastRenderedPageBreak/>
        <w:t>Departmental outputs – controlled</w:t>
      </w:r>
    </w:p>
    <w:tbl>
      <w:tblPr>
        <w:tblW w:w="9578" w:type="dxa"/>
        <w:tblLayout w:type="fixed"/>
        <w:tblLook w:val="0000" w:firstRow="0" w:lastRow="0" w:firstColumn="0" w:lastColumn="0" w:noHBand="0" w:noVBand="0"/>
      </w:tblPr>
      <w:tblGrid>
        <w:gridCol w:w="4140"/>
        <w:gridCol w:w="882"/>
        <w:gridCol w:w="1139"/>
        <w:gridCol w:w="1139"/>
        <w:gridCol w:w="1139"/>
        <w:gridCol w:w="1139"/>
      </w:tblGrid>
      <w:tr w:rsidR="005D2595" w:rsidRPr="0067507D" w14:paraId="0C2C0B06" w14:textId="77777777" w:rsidTr="00FC3AF2">
        <w:trPr>
          <w:cantSplit/>
        </w:trPr>
        <w:tc>
          <w:tcPr>
            <w:tcW w:w="4140" w:type="dxa"/>
            <w:noWrap/>
          </w:tcPr>
          <w:p w14:paraId="67AD994F" w14:textId="77777777" w:rsidR="005D2595" w:rsidRPr="0067507D" w:rsidRDefault="005D2595" w:rsidP="00FC3AF2">
            <w:pPr>
              <w:pStyle w:val="Tabletext"/>
            </w:pPr>
          </w:p>
        </w:tc>
        <w:tc>
          <w:tcPr>
            <w:tcW w:w="882" w:type="dxa"/>
            <w:vAlign w:val="bottom"/>
          </w:tcPr>
          <w:p w14:paraId="09DF5E91" w14:textId="77777777" w:rsidR="005D2595" w:rsidRPr="0067507D" w:rsidRDefault="005D2595" w:rsidP="00FC3AF2">
            <w:pPr>
              <w:pStyle w:val="Tabletextheadingcentred"/>
            </w:pPr>
            <w:r w:rsidRPr="0067507D">
              <w:t>Notes</w:t>
            </w:r>
          </w:p>
        </w:tc>
        <w:tc>
          <w:tcPr>
            <w:tcW w:w="2278" w:type="dxa"/>
            <w:gridSpan w:val="2"/>
            <w:noWrap/>
            <w:vAlign w:val="bottom"/>
          </w:tcPr>
          <w:p w14:paraId="593BA59C" w14:textId="77777777" w:rsidR="005D2595" w:rsidRPr="0067507D" w:rsidRDefault="005D2595" w:rsidP="00FC3AF2">
            <w:pPr>
              <w:pStyle w:val="Tabletextheadingcentred"/>
            </w:pPr>
            <w:r w:rsidRPr="0067507D">
              <w:t>Optimise Victoria’s fiscal</w:t>
            </w:r>
            <w:r w:rsidRPr="0067507D">
              <w:rPr>
                <w:rFonts w:ascii="Calibri" w:hAnsi="Calibri" w:cs="Calibri"/>
              </w:rPr>
              <w:t> </w:t>
            </w:r>
            <w:r w:rsidRPr="0067507D">
              <w:t>resources</w:t>
            </w:r>
          </w:p>
        </w:tc>
        <w:tc>
          <w:tcPr>
            <w:tcW w:w="2278" w:type="dxa"/>
            <w:gridSpan w:val="2"/>
            <w:noWrap/>
            <w:vAlign w:val="bottom"/>
          </w:tcPr>
          <w:p w14:paraId="604D2FB5" w14:textId="77777777" w:rsidR="005D2595" w:rsidRPr="0067507D" w:rsidRDefault="005D2595" w:rsidP="00FC3AF2">
            <w:pPr>
              <w:pStyle w:val="Tabletextheadingcentred"/>
              <w:rPr>
                <w:vertAlign w:val="superscript"/>
              </w:rPr>
            </w:pPr>
            <w:r w:rsidRPr="0067507D">
              <w:br/>
            </w:r>
            <w:r w:rsidRPr="0067507D">
              <w:br/>
              <w:t>Strengthen Victoria’s economic performance</w:t>
            </w:r>
          </w:p>
        </w:tc>
      </w:tr>
      <w:tr w:rsidR="00797AE5" w:rsidRPr="0067507D" w14:paraId="6D26EE7D" w14:textId="77777777" w:rsidTr="00FC3AF2">
        <w:trPr>
          <w:cantSplit/>
        </w:trPr>
        <w:tc>
          <w:tcPr>
            <w:tcW w:w="4140" w:type="dxa"/>
            <w:noWrap/>
          </w:tcPr>
          <w:p w14:paraId="10AF979C" w14:textId="77777777" w:rsidR="00797AE5" w:rsidRPr="0067507D" w:rsidRDefault="00797AE5" w:rsidP="00797AE5">
            <w:pPr>
              <w:pStyle w:val="Tabletext"/>
            </w:pPr>
          </w:p>
        </w:tc>
        <w:tc>
          <w:tcPr>
            <w:tcW w:w="882" w:type="dxa"/>
          </w:tcPr>
          <w:p w14:paraId="3B57F884" w14:textId="77777777" w:rsidR="00797AE5" w:rsidRPr="0067507D" w:rsidRDefault="00797AE5" w:rsidP="00797AE5">
            <w:pPr>
              <w:pStyle w:val="Tabletextheadingcentred"/>
            </w:pPr>
          </w:p>
        </w:tc>
        <w:tc>
          <w:tcPr>
            <w:tcW w:w="1139" w:type="dxa"/>
            <w:noWrap/>
          </w:tcPr>
          <w:p w14:paraId="38E5A650" w14:textId="75766FAB" w:rsidR="00797AE5" w:rsidRPr="0067507D" w:rsidRDefault="00797AE5" w:rsidP="00797AE5">
            <w:pPr>
              <w:pStyle w:val="Tabletextheadingright"/>
            </w:pPr>
            <w:r w:rsidRPr="0067507D">
              <w:rPr>
                <w:szCs w:val="16"/>
              </w:rPr>
              <w:t>2025</w:t>
            </w:r>
            <w:r>
              <w:rPr>
                <w:szCs w:val="16"/>
              </w:rPr>
              <w:br/>
            </w:r>
            <w:r w:rsidRPr="0067507D">
              <w:t>$’000</w:t>
            </w:r>
          </w:p>
        </w:tc>
        <w:tc>
          <w:tcPr>
            <w:tcW w:w="1139" w:type="dxa"/>
            <w:noWrap/>
          </w:tcPr>
          <w:p w14:paraId="5D2A140B" w14:textId="244445B7" w:rsidR="00797AE5" w:rsidRPr="0067507D" w:rsidRDefault="00797AE5" w:rsidP="00797AE5">
            <w:pPr>
              <w:pStyle w:val="Tabletextheadingright"/>
            </w:pPr>
            <w:r w:rsidRPr="0067507D">
              <w:rPr>
                <w:szCs w:val="16"/>
              </w:rPr>
              <w:t>2024</w:t>
            </w:r>
            <w:r>
              <w:rPr>
                <w:szCs w:val="16"/>
              </w:rPr>
              <w:br/>
            </w:r>
            <w:r w:rsidRPr="0067507D">
              <w:t>$’000</w:t>
            </w:r>
          </w:p>
        </w:tc>
        <w:tc>
          <w:tcPr>
            <w:tcW w:w="1139" w:type="dxa"/>
            <w:noWrap/>
          </w:tcPr>
          <w:p w14:paraId="324FC0B0" w14:textId="64350EDE" w:rsidR="00797AE5" w:rsidRPr="0067507D" w:rsidRDefault="00797AE5" w:rsidP="00797AE5">
            <w:pPr>
              <w:pStyle w:val="Tabletextheadingright"/>
            </w:pPr>
            <w:r w:rsidRPr="0067507D">
              <w:rPr>
                <w:szCs w:val="16"/>
              </w:rPr>
              <w:t>2025</w:t>
            </w:r>
            <w:r>
              <w:rPr>
                <w:szCs w:val="16"/>
              </w:rPr>
              <w:br/>
            </w:r>
            <w:r w:rsidRPr="0067507D">
              <w:t>$’000</w:t>
            </w:r>
          </w:p>
        </w:tc>
        <w:tc>
          <w:tcPr>
            <w:tcW w:w="1139" w:type="dxa"/>
            <w:noWrap/>
          </w:tcPr>
          <w:p w14:paraId="389FFFD9" w14:textId="22A7FF2A" w:rsidR="00797AE5" w:rsidRPr="0067507D" w:rsidRDefault="00797AE5" w:rsidP="00797AE5">
            <w:pPr>
              <w:pStyle w:val="Tabletextheadingright"/>
            </w:pPr>
            <w:r w:rsidRPr="0067507D">
              <w:rPr>
                <w:szCs w:val="16"/>
              </w:rPr>
              <w:t>2024</w:t>
            </w:r>
            <w:r>
              <w:rPr>
                <w:szCs w:val="16"/>
              </w:rPr>
              <w:br/>
            </w:r>
            <w:r w:rsidRPr="0067507D">
              <w:t>$’000</w:t>
            </w:r>
          </w:p>
        </w:tc>
      </w:tr>
      <w:tr w:rsidR="005D2595" w:rsidRPr="0067507D" w14:paraId="01F1D420" w14:textId="77777777" w:rsidTr="00FC3AF2">
        <w:trPr>
          <w:cantSplit/>
        </w:trPr>
        <w:tc>
          <w:tcPr>
            <w:tcW w:w="4140" w:type="dxa"/>
          </w:tcPr>
          <w:p w14:paraId="7F0E859A" w14:textId="77777777" w:rsidR="005D2595" w:rsidRPr="0067507D" w:rsidRDefault="005D2595" w:rsidP="00FC3AF2">
            <w:pPr>
              <w:pStyle w:val="Tabletextbold"/>
              <w:rPr>
                <w:bCs/>
              </w:rPr>
            </w:pPr>
            <w:r w:rsidRPr="0067507D">
              <w:t>Controlled income and expenses for year ended 30</w:t>
            </w:r>
            <w:r w:rsidRPr="0067507D">
              <w:rPr>
                <w:rFonts w:ascii="Calibri" w:hAnsi="Calibri" w:cs="Calibri"/>
              </w:rPr>
              <w:t> </w:t>
            </w:r>
            <w:r w:rsidRPr="0067507D">
              <w:t>June 2025</w:t>
            </w:r>
          </w:p>
        </w:tc>
        <w:tc>
          <w:tcPr>
            <w:tcW w:w="882" w:type="dxa"/>
          </w:tcPr>
          <w:p w14:paraId="6B286F8F" w14:textId="77777777" w:rsidR="005D2595" w:rsidRPr="0067507D" w:rsidRDefault="005D2595" w:rsidP="00FC3AF2">
            <w:pPr>
              <w:pStyle w:val="Tabletextcentred"/>
            </w:pPr>
          </w:p>
        </w:tc>
        <w:tc>
          <w:tcPr>
            <w:tcW w:w="1139" w:type="dxa"/>
            <w:shd w:val="clear" w:color="auto" w:fill="E0E0E0"/>
            <w:noWrap/>
          </w:tcPr>
          <w:p w14:paraId="094CC2A7" w14:textId="77777777" w:rsidR="005D2595" w:rsidRPr="0067507D" w:rsidRDefault="005D2595" w:rsidP="00FC3AF2">
            <w:pPr>
              <w:pStyle w:val="Tabletextright"/>
            </w:pPr>
          </w:p>
        </w:tc>
        <w:tc>
          <w:tcPr>
            <w:tcW w:w="1139" w:type="dxa"/>
            <w:noWrap/>
          </w:tcPr>
          <w:p w14:paraId="60D44454" w14:textId="77777777" w:rsidR="005D2595" w:rsidRPr="0067507D" w:rsidRDefault="005D2595" w:rsidP="00FC3AF2">
            <w:pPr>
              <w:pStyle w:val="Tabletextright"/>
            </w:pPr>
          </w:p>
        </w:tc>
        <w:tc>
          <w:tcPr>
            <w:tcW w:w="1139" w:type="dxa"/>
            <w:shd w:val="clear" w:color="auto" w:fill="E0E0E0"/>
            <w:noWrap/>
          </w:tcPr>
          <w:p w14:paraId="4A4E252E" w14:textId="77777777" w:rsidR="005D2595" w:rsidRPr="0067507D" w:rsidRDefault="005D2595" w:rsidP="00FC3AF2">
            <w:pPr>
              <w:pStyle w:val="Tabletextright"/>
            </w:pPr>
          </w:p>
        </w:tc>
        <w:tc>
          <w:tcPr>
            <w:tcW w:w="1139" w:type="dxa"/>
            <w:shd w:val="clear" w:color="auto" w:fill="FFFFFF" w:themeFill="background1"/>
            <w:noWrap/>
          </w:tcPr>
          <w:p w14:paraId="32F5274F" w14:textId="77777777" w:rsidR="005D2595" w:rsidRPr="0067507D" w:rsidRDefault="005D2595" w:rsidP="00FC3AF2">
            <w:pPr>
              <w:pStyle w:val="Tabletextright"/>
            </w:pPr>
          </w:p>
        </w:tc>
      </w:tr>
      <w:tr w:rsidR="005D2595" w:rsidRPr="0067507D" w14:paraId="5E9F9682" w14:textId="77777777" w:rsidTr="00FC3AF2">
        <w:trPr>
          <w:cantSplit/>
          <w:trHeight w:hRule="exact" w:val="57"/>
        </w:trPr>
        <w:tc>
          <w:tcPr>
            <w:tcW w:w="4140" w:type="dxa"/>
          </w:tcPr>
          <w:p w14:paraId="35637B9C" w14:textId="77777777" w:rsidR="005D2595" w:rsidRPr="0067507D" w:rsidRDefault="005D2595" w:rsidP="00FC3AF2">
            <w:pPr>
              <w:pStyle w:val="Tabletext"/>
            </w:pPr>
          </w:p>
        </w:tc>
        <w:tc>
          <w:tcPr>
            <w:tcW w:w="882" w:type="dxa"/>
          </w:tcPr>
          <w:p w14:paraId="4489DB0D" w14:textId="77777777" w:rsidR="005D2595" w:rsidRPr="0067507D" w:rsidRDefault="005D2595" w:rsidP="00FC3AF2">
            <w:pPr>
              <w:pStyle w:val="Tabletextcentred"/>
              <w:rPr>
                <w:bCs/>
              </w:rPr>
            </w:pPr>
          </w:p>
        </w:tc>
        <w:tc>
          <w:tcPr>
            <w:tcW w:w="1139" w:type="dxa"/>
            <w:shd w:val="clear" w:color="auto" w:fill="E0E0E0"/>
            <w:noWrap/>
          </w:tcPr>
          <w:p w14:paraId="77A56839" w14:textId="77777777" w:rsidR="005D2595" w:rsidRPr="0067507D" w:rsidRDefault="005D2595" w:rsidP="00FC3AF2">
            <w:pPr>
              <w:rPr>
                <w:bCs/>
              </w:rPr>
            </w:pPr>
          </w:p>
        </w:tc>
        <w:tc>
          <w:tcPr>
            <w:tcW w:w="1139" w:type="dxa"/>
            <w:noWrap/>
          </w:tcPr>
          <w:p w14:paraId="1F9C3F21" w14:textId="77777777" w:rsidR="005D2595" w:rsidRPr="0067507D" w:rsidRDefault="005D2595" w:rsidP="00FC3AF2">
            <w:pPr>
              <w:pStyle w:val="Tabletextright"/>
            </w:pPr>
          </w:p>
        </w:tc>
        <w:tc>
          <w:tcPr>
            <w:tcW w:w="1139" w:type="dxa"/>
            <w:shd w:val="clear" w:color="auto" w:fill="E0E0E0"/>
            <w:noWrap/>
          </w:tcPr>
          <w:p w14:paraId="482EA888" w14:textId="77777777" w:rsidR="005D2595" w:rsidRPr="0067507D" w:rsidRDefault="005D2595" w:rsidP="00FC3AF2">
            <w:pPr>
              <w:rPr>
                <w:bCs/>
              </w:rPr>
            </w:pPr>
          </w:p>
        </w:tc>
        <w:tc>
          <w:tcPr>
            <w:tcW w:w="1139" w:type="dxa"/>
            <w:shd w:val="clear" w:color="auto" w:fill="FFFFFF" w:themeFill="background1"/>
            <w:noWrap/>
          </w:tcPr>
          <w:p w14:paraId="4104578D" w14:textId="77777777" w:rsidR="005D2595" w:rsidRPr="0067507D" w:rsidRDefault="005D2595" w:rsidP="00FC3AF2">
            <w:pPr>
              <w:pStyle w:val="Tabletextright"/>
            </w:pPr>
          </w:p>
        </w:tc>
      </w:tr>
      <w:tr w:rsidR="005D2595" w:rsidRPr="0067507D" w14:paraId="36B47A42" w14:textId="77777777" w:rsidTr="00FC3AF2">
        <w:trPr>
          <w:cantSplit/>
        </w:trPr>
        <w:tc>
          <w:tcPr>
            <w:tcW w:w="4140" w:type="dxa"/>
          </w:tcPr>
          <w:p w14:paraId="2B5DF4B6" w14:textId="77777777" w:rsidR="005D2595" w:rsidRPr="0067507D" w:rsidRDefault="005D2595" w:rsidP="00FC3AF2">
            <w:pPr>
              <w:pStyle w:val="Tabletextbold"/>
            </w:pPr>
            <w:r w:rsidRPr="0067507D">
              <w:t>Income from transactions</w:t>
            </w:r>
          </w:p>
        </w:tc>
        <w:tc>
          <w:tcPr>
            <w:tcW w:w="882" w:type="dxa"/>
          </w:tcPr>
          <w:p w14:paraId="4E81AAC8" w14:textId="77777777" w:rsidR="005D2595" w:rsidRPr="0067507D" w:rsidRDefault="005D2595" w:rsidP="00FC3AF2">
            <w:pPr>
              <w:pStyle w:val="Tabletextcentred"/>
            </w:pPr>
          </w:p>
        </w:tc>
        <w:tc>
          <w:tcPr>
            <w:tcW w:w="1139" w:type="dxa"/>
            <w:shd w:val="clear" w:color="auto" w:fill="E0E0E0"/>
            <w:noWrap/>
          </w:tcPr>
          <w:p w14:paraId="5F818B21" w14:textId="77777777" w:rsidR="005D2595" w:rsidRPr="0067507D" w:rsidRDefault="005D2595" w:rsidP="00FC3AF2">
            <w:pPr>
              <w:pStyle w:val="Tabletextright"/>
            </w:pPr>
          </w:p>
        </w:tc>
        <w:tc>
          <w:tcPr>
            <w:tcW w:w="1139" w:type="dxa"/>
            <w:noWrap/>
          </w:tcPr>
          <w:p w14:paraId="07C34DFA" w14:textId="77777777" w:rsidR="005D2595" w:rsidRPr="0067507D" w:rsidRDefault="005D2595" w:rsidP="00FC3AF2">
            <w:pPr>
              <w:pStyle w:val="Tabletextright"/>
            </w:pPr>
          </w:p>
        </w:tc>
        <w:tc>
          <w:tcPr>
            <w:tcW w:w="1139" w:type="dxa"/>
            <w:shd w:val="clear" w:color="auto" w:fill="E0E0E0"/>
            <w:noWrap/>
          </w:tcPr>
          <w:p w14:paraId="6A933341" w14:textId="77777777" w:rsidR="005D2595" w:rsidRPr="0067507D" w:rsidRDefault="005D2595" w:rsidP="00FC3AF2">
            <w:pPr>
              <w:pStyle w:val="Tabletextright"/>
            </w:pPr>
          </w:p>
        </w:tc>
        <w:tc>
          <w:tcPr>
            <w:tcW w:w="1139" w:type="dxa"/>
            <w:shd w:val="clear" w:color="auto" w:fill="FFFFFF" w:themeFill="background1"/>
            <w:noWrap/>
          </w:tcPr>
          <w:p w14:paraId="2C2230BD" w14:textId="77777777" w:rsidR="005D2595" w:rsidRPr="0067507D" w:rsidRDefault="005D2595" w:rsidP="00FC3AF2">
            <w:pPr>
              <w:pStyle w:val="Tabletextright"/>
            </w:pPr>
          </w:p>
        </w:tc>
      </w:tr>
      <w:tr w:rsidR="005D2595" w:rsidRPr="0067507D" w14:paraId="5413B1EB" w14:textId="77777777" w:rsidTr="00FC3AF2">
        <w:trPr>
          <w:cantSplit/>
        </w:trPr>
        <w:tc>
          <w:tcPr>
            <w:tcW w:w="4140" w:type="dxa"/>
          </w:tcPr>
          <w:p w14:paraId="44C30746" w14:textId="77777777" w:rsidR="005D2595" w:rsidRPr="0067507D" w:rsidRDefault="005D2595" w:rsidP="00FC3AF2">
            <w:pPr>
              <w:pStyle w:val="Tabletext"/>
            </w:pPr>
            <w:r w:rsidRPr="0067507D">
              <w:t>Output appropriations</w:t>
            </w:r>
          </w:p>
        </w:tc>
        <w:tc>
          <w:tcPr>
            <w:tcW w:w="882" w:type="dxa"/>
          </w:tcPr>
          <w:p w14:paraId="08FAE558" w14:textId="77777777" w:rsidR="005D2595" w:rsidRPr="0067507D" w:rsidRDefault="005D2595" w:rsidP="00FC3AF2">
            <w:pPr>
              <w:pStyle w:val="Tabletextcentred"/>
            </w:pPr>
            <w:r w:rsidRPr="0067507D">
              <w:t>2.2</w:t>
            </w:r>
          </w:p>
        </w:tc>
        <w:tc>
          <w:tcPr>
            <w:tcW w:w="1139" w:type="dxa"/>
            <w:shd w:val="clear" w:color="auto" w:fill="E0E0E0"/>
            <w:noWrap/>
          </w:tcPr>
          <w:p w14:paraId="1C3D1D70" w14:textId="77777777" w:rsidR="005D2595" w:rsidRPr="0067507D" w:rsidRDefault="005D2595" w:rsidP="00FC3AF2">
            <w:pPr>
              <w:pStyle w:val="Tabletextright"/>
            </w:pPr>
            <w:r w:rsidRPr="0067507D">
              <w:t xml:space="preserve">291 561 </w:t>
            </w:r>
          </w:p>
        </w:tc>
        <w:tc>
          <w:tcPr>
            <w:tcW w:w="1139" w:type="dxa"/>
            <w:noWrap/>
          </w:tcPr>
          <w:p w14:paraId="6F9F1B90" w14:textId="77777777" w:rsidR="005D2595" w:rsidRPr="0067507D" w:rsidRDefault="005D2595" w:rsidP="00FC3AF2">
            <w:pPr>
              <w:pStyle w:val="Tabletextright"/>
            </w:pPr>
            <w:r w:rsidRPr="0067507D">
              <w:t xml:space="preserve">253 410 </w:t>
            </w:r>
          </w:p>
        </w:tc>
        <w:tc>
          <w:tcPr>
            <w:tcW w:w="1139" w:type="dxa"/>
            <w:shd w:val="clear" w:color="auto" w:fill="E0E0E0"/>
            <w:noWrap/>
          </w:tcPr>
          <w:p w14:paraId="45F16743" w14:textId="77777777" w:rsidR="005D2595" w:rsidRPr="0067507D" w:rsidRDefault="005D2595" w:rsidP="00FC3AF2">
            <w:pPr>
              <w:pStyle w:val="Tabletextright"/>
            </w:pPr>
            <w:r w:rsidRPr="0067507D">
              <w:t xml:space="preserve">68 703 </w:t>
            </w:r>
          </w:p>
        </w:tc>
        <w:tc>
          <w:tcPr>
            <w:tcW w:w="1139" w:type="dxa"/>
            <w:shd w:val="clear" w:color="auto" w:fill="FFFFFF" w:themeFill="background1"/>
            <w:noWrap/>
          </w:tcPr>
          <w:p w14:paraId="59134A3B" w14:textId="77777777" w:rsidR="005D2595" w:rsidRPr="0067507D" w:rsidRDefault="005D2595" w:rsidP="00FC3AF2">
            <w:pPr>
              <w:pStyle w:val="Tabletextright"/>
            </w:pPr>
            <w:r w:rsidRPr="0067507D">
              <w:t xml:space="preserve">61 032 </w:t>
            </w:r>
          </w:p>
        </w:tc>
      </w:tr>
      <w:tr w:rsidR="005D2595" w:rsidRPr="0067507D" w14:paraId="0F0921B3" w14:textId="77777777" w:rsidTr="00FC3AF2">
        <w:trPr>
          <w:cantSplit/>
        </w:trPr>
        <w:tc>
          <w:tcPr>
            <w:tcW w:w="4140" w:type="dxa"/>
          </w:tcPr>
          <w:p w14:paraId="129D6136" w14:textId="77777777" w:rsidR="005D2595" w:rsidRPr="0067507D" w:rsidRDefault="005D2595" w:rsidP="00FC3AF2">
            <w:pPr>
              <w:pStyle w:val="Tabletext"/>
            </w:pPr>
            <w:r w:rsidRPr="0067507D">
              <w:t>Other income</w:t>
            </w:r>
          </w:p>
        </w:tc>
        <w:tc>
          <w:tcPr>
            <w:tcW w:w="882" w:type="dxa"/>
          </w:tcPr>
          <w:p w14:paraId="3AA70A1E" w14:textId="77777777" w:rsidR="005D2595" w:rsidRPr="0067507D" w:rsidRDefault="005D2595" w:rsidP="00FC3AF2">
            <w:pPr>
              <w:pStyle w:val="Tabletextcentred"/>
            </w:pPr>
            <w:r w:rsidRPr="0067507D">
              <w:t>2.5</w:t>
            </w:r>
          </w:p>
        </w:tc>
        <w:tc>
          <w:tcPr>
            <w:tcW w:w="1139" w:type="dxa"/>
            <w:shd w:val="clear" w:color="auto" w:fill="E0E0E0"/>
            <w:noWrap/>
          </w:tcPr>
          <w:p w14:paraId="353BEEE6" w14:textId="77777777" w:rsidR="005D2595" w:rsidRPr="0067507D" w:rsidRDefault="005D2595" w:rsidP="00FC3AF2">
            <w:pPr>
              <w:pStyle w:val="Tabletextright"/>
            </w:pPr>
            <w:r w:rsidRPr="0067507D">
              <w:t xml:space="preserve">3 807 </w:t>
            </w:r>
          </w:p>
        </w:tc>
        <w:tc>
          <w:tcPr>
            <w:tcW w:w="1139" w:type="dxa"/>
            <w:noWrap/>
          </w:tcPr>
          <w:p w14:paraId="5748CAC4" w14:textId="77777777" w:rsidR="005D2595" w:rsidRPr="0067507D" w:rsidRDefault="005D2595" w:rsidP="00FC3AF2">
            <w:pPr>
              <w:pStyle w:val="Tabletextright"/>
            </w:pPr>
            <w:r w:rsidRPr="0067507D">
              <w:t xml:space="preserve">3 909 </w:t>
            </w:r>
          </w:p>
        </w:tc>
        <w:tc>
          <w:tcPr>
            <w:tcW w:w="1139" w:type="dxa"/>
            <w:shd w:val="clear" w:color="auto" w:fill="E0E0E0"/>
            <w:noWrap/>
          </w:tcPr>
          <w:p w14:paraId="1E97998C" w14:textId="77777777" w:rsidR="005D2595" w:rsidRPr="0067507D" w:rsidRDefault="005D2595" w:rsidP="00FC3AF2">
            <w:pPr>
              <w:pStyle w:val="Tabletextright"/>
            </w:pPr>
            <w:r w:rsidRPr="0067507D">
              <w:t xml:space="preserve">2 300 </w:t>
            </w:r>
          </w:p>
        </w:tc>
        <w:tc>
          <w:tcPr>
            <w:tcW w:w="1139" w:type="dxa"/>
            <w:shd w:val="clear" w:color="auto" w:fill="FFFFFF" w:themeFill="background1"/>
            <w:noWrap/>
          </w:tcPr>
          <w:p w14:paraId="38EA4941" w14:textId="77777777" w:rsidR="005D2595" w:rsidRPr="0067507D" w:rsidRDefault="005D2595" w:rsidP="00FC3AF2">
            <w:pPr>
              <w:pStyle w:val="Tabletextright"/>
            </w:pPr>
            <w:r w:rsidRPr="0067507D">
              <w:t xml:space="preserve">2 848 </w:t>
            </w:r>
          </w:p>
        </w:tc>
      </w:tr>
      <w:tr w:rsidR="005D2595" w:rsidRPr="0067507D" w14:paraId="40616EE8" w14:textId="77777777" w:rsidTr="00FC3AF2">
        <w:trPr>
          <w:cantSplit/>
        </w:trPr>
        <w:tc>
          <w:tcPr>
            <w:tcW w:w="4140" w:type="dxa"/>
          </w:tcPr>
          <w:p w14:paraId="6C5E96C2" w14:textId="77777777" w:rsidR="005D2595" w:rsidRPr="0067507D" w:rsidRDefault="005D2595" w:rsidP="00FC3AF2">
            <w:pPr>
              <w:pStyle w:val="Tabletextbold"/>
            </w:pPr>
            <w:r w:rsidRPr="0067507D">
              <w:t>Total income from transactions</w:t>
            </w:r>
          </w:p>
        </w:tc>
        <w:tc>
          <w:tcPr>
            <w:tcW w:w="882" w:type="dxa"/>
          </w:tcPr>
          <w:p w14:paraId="03CA7C4D" w14:textId="77777777" w:rsidR="005D2595" w:rsidRPr="0067507D" w:rsidRDefault="005D2595" w:rsidP="00FC3AF2">
            <w:pPr>
              <w:pStyle w:val="Tabletextcentred"/>
            </w:pPr>
          </w:p>
        </w:tc>
        <w:tc>
          <w:tcPr>
            <w:tcW w:w="1139" w:type="dxa"/>
            <w:shd w:val="clear" w:color="auto" w:fill="E0E0E0"/>
            <w:noWrap/>
          </w:tcPr>
          <w:p w14:paraId="0A0F5823" w14:textId="77777777" w:rsidR="005D2595" w:rsidRPr="0067507D" w:rsidRDefault="005D2595" w:rsidP="00FC3AF2">
            <w:pPr>
              <w:pStyle w:val="Tabletextrightbold"/>
            </w:pPr>
            <w:r w:rsidRPr="0067507D">
              <w:t xml:space="preserve">295 368 </w:t>
            </w:r>
          </w:p>
        </w:tc>
        <w:tc>
          <w:tcPr>
            <w:tcW w:w="1139" w:type="dxa"/>
            <w:noWrap/>
          </w:tcPr>
          <w:p w14:paraId="09B4F91B" w14:textId="77777777" w:rsidR="005D2595" w:rsidRPr="0067507D" w:rsidRDefault="005D2595" w:rsidP="00FC3AF2">
            <w:pPr>
              <w:pStyle w:val="Tabletextrightbold"/>
            </w:pPr>
            <w:r w:rsidRPr="0067507D">
              <w:t xml:space="preserve">257 319 </w:t>
            </w:r>
          </w:p>
        </w:tc>
        <w:tc>
          <w:tcPr>
            <w:tcW w:w="1139" w:type="dxa"/>
            <w:shd w:val="clear" w:color="auto" w:fill="E0E0E0"/>
            <w:noWrap/>
          </w:tcPr>
          <w:p w14:paraId="7EC531BC" w14:textId="77777777" w:rsidR="005D2595" w:rsidRPr="0067507D" w:rsidRDefault="005D2595" w:rsidP="00FC3AF2">
            <w:pPr>
              <w:pStyle w:val="Tabletextrightbold"/>
            </w:pPr>
            <w:r w:rsidRPr="0067507D">
              <w:t xml:space="preserve">71 003 </w:t>
            </w:r>
          </w:p>
        </w:tc>
        <w:tc>
          <w:tcPr>
            <w:tcW w:w="1139" w:type="dxa"/>
            <w:shd w:val="clear" w:color="auto" w:fill="FFFFFF" w:themeFill="background1"/>
            <w:noWrap/>
          </w:tcPr>
          <w:p w14:paraId="6E11EA96" w14:textId="77777777" w:rsidR="005D2595" w:rsidRPr="0067507D" w:rsidRDefault="005D2595" w:rsidP="00FC3AF2">
            <w:pPr>
              <w:pStyle w:val="Tabletextrightbold"/>
            </w:pPr>
            <w:r w:rsidRPr="0067507D">
              <w:t xml:space="preserve">63 880 </w:t>
            </w:r>
          </w:p>
        </w:tc>
      </w:tr>
      <w:tr w:rsidR="005D2595" w:rsidRPr="0067507D" w14:paraId="04094ED6" w14:textId="77777777" w:rsidTr="00FC3AF2">
        <w:trPr>
          <w:cantSplit/>
          <w:trHeight w:hRule="exact" w:val="57"/>
        </w:trPr>
        <w:tc>
          <w:tcPr>
            <w:tcW w:w="4140" w:type="dxa"/>
          </w:tcPr>
          <w:p w14:paraId="74E8A234" w14:textId="77777777" w:rsidR="005D2595" w:rsidRPr="0067507D" w:rsidRDefault="005D2595" w:rsidP="00FC3AF2">
            <w:pPr>
              <w:pStyle w:val="Tabletext"/>
            </w:pPr>
          </w:p>
        </w:tc>
        <w:tc>
          <w:tcPr>
            <w:tcW w:w="882" w:type="dxa"/>
          </w:tcPr>
          <w:p w14:paraId="1BA3A29F" w14:textId="77777777" w:rsidR="005D2595" w:rsidRPr="0067507D" w:rsidRDefault="005D2595" w:rsidP="00FC3AF2">
            <w:pPr>
              <w:pStyle w:val="Tabletextcentred"/>
            </w:pPr>
          </w:p>
        </w:tc>
        <w:tc>
          <w:tcPr>
            <w:tcW w:w="1139" w:type="dxa"/>
            <w:shd w:val="clear" w:color="auto" w:fill="E0E0E0"/>
            <w:noWrap/>
          </w:tcPr>
          <w:p w14:paraId="6FA27FCE" w14:textId="77777777" w:rsidR="005D2595" w:rsidRPr="0067507D" w:rsidRDefault="005D2595" w:rsidP="00FC3AF2">
            <w:pPr>
              <w:pStyle w:val="Tabletextright"/>
            </w:pPr>
          </w:p>
        </w:tc>
        <w:tc>
          <w:tcPr>
            <w:tcW w:w="1139" w:type="dxa"/>
            <w:noWrap/>
          </w:tcPr>
          <w:p w14:paraId="480DFE11" w14:textId="77777777" w:rsidR="005D2595" w:rsidRPr="0067507D" w:rsidRDefault="005D2595" w:rsidP="00FC3AF2">
            <w:pPr>
              <w:pStyle w:val="Tabletextright"/>
            </w:pPr>
          </w:p>
        </w:tc>
        <w:tc>
          <w:tcPr>
            <w:tcW w:w="1139" w:type="dxa"/>
            <w:shd w:val="clear" w:color="auto" w:fill="E0E0E0"/>
            <w:noWrap/>
          </w:tcPr>
          <w:p w14:paraId="5BD8B24F" w14:textId="77777777" w:rsidR="005D2595" w:rsidRPr="0067507D" w:rsidRDefault="005D2595" w:rsidP="00FC3AF2">
            <w:pPr>
              <w:pStyle w:val="Tabletextright"/>
            </w:pPr>
          </w:p>
        </w:tc>
        <w:tc>
          <w:tcPr>
            <w:tcW w:w="1139" w:type="dxa"/>
            <w:shd w:val="clear" w:color="auto" w:fill="FFFFFF" w:themeFill="background1"/>
            <w:noWrap/>
          </w:tcPr>
          <w:p w14:paraId="233D5C44" w14:textId="77777777" w:rsidR="005D2595" w:rsidRPr="0067507D" w:rsidRDefault="005D2595" w:rsidP="00FC3AF2">
            <w:pPr>
              <w:pStyle w:val="Tabletextright"/>
            </w:pPr>
          </w:p>
        </w:tc>
      </w:tr>
      <w:tr w:rsidR="005D2595" w:rsidRPr="0067507D" w14:paraId="42F8A1EF" w14:textId="77777777" w:rsidTr="00FC3AF2">
        <w:trPr>
          <w:cantSplit/>
        </w:trPr>
        <w:tc>
          <w:tcPr>
            <w:tcW w:w="4140" w:type="dxa"/>
          </w:tcPr>
          <w:p w14:paraId="742208B5" w14:textId="77777777" w:rsidR="005D2595" w:rsidRPr="0067507D" w:rsidRDefault="005D2595" w:rsidP="00FC3AF2">
            <w:pPr>
              <w:pStyle w:val="Tabletextbold"/>
            </w:pPr>
            <w:r w:rsidRPr="0067507D">
              <w:t>Expenses from transactions</w:t>
            </w:r>
          </w:p>
        </w:tc>
        <w:tc>
          <w:tcPr>
            <w:tcW w:w="882" w:type="dxa"/>
          </w:tcPr>
          <w:p w14:paraId="58B504F5" w14:textId="77777777" w:rsidR="005D2595" w:rsidRPr="0067507D" w:rsidRDefault="005D2595" w:rsidP="00FC3AF2">
            <w:pPr>
              <w:pStyle w:val="Tabletextcentred"/>
            </w:pPr>
          </w:p>
        </w:tc>
        <w:tc>
          <w:tcPr>
            <w:tcW w:w="1139" w:type="dxa"/>
            <w:shd w:val="clear" w:color="auto" w:fill="E0E0E0"/>
            <w:noWrap/>
          </w:tcPr>
          <w:p w14:paraId="338C18ED" w14:textId="77777777" w:rsidR="005D2595" w:rsidRPr="0067507D" w:rsidRDefault="005D2595" w:rsidP="00FC3AF2">
            <w:pPr>
              <w:pStyle w:val="Tabletextright"/>
            </w:pPr>
          </w:p>
        </w:tc>
        <w:tc>
          <w:tcPr>
            <w:tcW w:w="1139" w:type="dxa"/>
            <w:noWrap/>
          </w:tcPr>
          <w:p w14:paraId="20A5017C" w14:textId="77777777" w:rsidR="005D2595" w:rsidRPr="0067507D" w:rsidRDefault="005D2595" w:rsidP="00FC3AF2">
            <w:pPr>
              <w:pStyle w:val="Tabletextright"/>
            </w:pPr>
          </w:p>
        </w:tc>
        <w:tc>
          <w:tcPr>
            <w:tcW w:w="1139" w:type="dxa"/>
            <w:shd w:val="clear" w:color="auto" w:fill="E0E0E0"/>
            <w:noWrap/>
          </w:tcPr>
          <w:p w14:paraId="7536AD2A" w14:textId="77777777" w:rsidR="005D2595" w:rsidRPr="0067507D" w:rsidRDefault="005D2595" w:rsidP="00FC3AF2">
            <w:pPr>
              <w:pStyle w:val="Tabletextright"/>
            </w:pPr>
          </w:p>
        </w:tc>
        <w:tc>
          <w:tcPr>
            <w:tcW w:w="1139" w:type="dxa"/>
            <w:shd w:val="clear" w:color="auto" w:fill="FFFFFF" w:themeFill="background1"/>
            <w:noWrap/>
          </w:tcPr>
          <w:p w14:paraId="4D9E0A29" w14:textId="77777777" w:rsidR="005D2595" w:rsidRPr="0067507D" w:rsidRDefault="005D2595" w:rsidP="00FC3AF2">
            <w:pPr>
              <w:pStyle w:val="Tabletextright"/>
            </w:pPr>
          </w:p>
        </w:tc>
      </w:tr>
      <w:tr w:rsidR="005D2595" w:rsidRPr="0067507D" w14:paraId="3CEA2FAC" w14:textId="77777777" w:rsidTr="00FC3AF2">
        <w:trPr>
          <w:cantSplit/>
        </w:trPr>
        <w:tc>
          <w:tcPr>
            <w:tcW w:w="4140" w:type="dxa"/>
          </w:tcPr>
          <w:p w14:paraId="57691BE6" w14:textId="77777777" w:rsidR="005D2595" w:rsidRPr="0067507D" w:rsidRDefault="005D2595" w:rsidP="00FC3AF2">
            <w:pPr>
              <w:pStyle w:val="Tabletext"/>
            </w:pPr>
            <w:r w:rsidRPr="0067507D">
              <w:t>Employee benefit expense</w:t>
            </w:r>
          </w:p>
        </w:tc>
        <w:tc>
          <w:tcPr>
            <w:tcW w:w="882" w:type="dxa"/>
          </w:tcPr>
          <w:p w14:paraId="76602ABB" w14:textId="77777777" w:rsidR="005D2595" w:rsidRPr="0067507D" w:rsidRDefault="005D2595" w:rsidP="00FC3AF2">
            <w:pPr>
              <w:pStyle w:val="Tabletextcentred"/>
            </w:pPr>
            <w:r w:rsidRPr="0067507D">
              <w:t>3.2.1</w:t>
            </w:r>
          </w:p>
        </w:tc>
        <w:tc>
          <w:tcPr>
            <w:tcW w:w="1139" w:type="dxa"/>
            <w:shd w:val="clear" w:color="auto" w:fill="E0E0E0"/>
            <w:noWrap/>
          </w:tcPr>
          <w:p w14:paraId="62544284" w14:textId="77777777" w:rsidR="005D2595" w:rsidRPr="0067507D" w:rsidRDefault="005D2595" w:rsidP="00FC3AF2">
            <w:pPr>
              <w:pStyle w:val="Tabletextright"/>
            </w:pPr>
            <w:r w:rsidRPr="0067507D">
              <w:t xml:space="preserve">(165 984) </w:t>
            </w:r>
          </w:p>
        </w:tc>
        <w:tc>
          <w:tcPr>
            <w:tcW w:w="1139" w:type="dxa"/>
            <w:noWrap/>
          </w:tcPr>
          <w:p w14:paraId="5588A216" w14:textId="77777777" w:rsidR="005D2595" w:rsidRPr="0067507D" w:rsidRDefault="005D2595" w:rsidP="00FC3AF2">
            <w:pPr>
              <w:pStyle w:val="Tabletextright"/>
            </w:pPr>
            <w:r w:rsidRPr="0067507D">
              <w:t xml:space="preserve">(132 402) </w:t>
            </w:r>
          </w:p>
        </w:tc>
        <w:tc>
          <w:tcPr>
            <w:tcW w:w="1139" w:type="dxa"/>
            <w:shd w:val="clear" w:color="auto" w:fill="E0E0E0"/>
            <w:noWrap/>
          </w:tcPr>
          <w:p w14:paraId="75BF018D" w14:textId="77777777" w:rsidR="005D2595" w:rsidRPr="0067507D" w:rsidRDefault="005D2595" w:rsidP="00FC3AF2">
            <w:pPr>
              <w:pStyle w:val="Tabletextright"/>
            </w:pPr>
            <w:r w:rsidRPr="0067507D">
              <w:t xml:space="preserve">(35 823) </w:t>
            </w:r>
          </w:p>
        </w:tc>
        <w:tc>
          <w:tcPr>
            <w:tcW w:w="1139" w:type="dxa"/>
            <w:shd w:val="clear" w:color="auto" w:fill="FFFFFF" w:themeFill="background1"/>
            <w:noWrap/>
          </w:tcPr>
          <w:p w14:paraId="3BAB7D14" w14:textId="77777777" w:rsidR="005D2595" w:rsidRPr="0067507D" w:rsidRDefault="005D2595" w:rsidP="00FC3AF2">
            <w:pPr>
              <w:pStyle w:val="Tabletextright"/>
            </w:pPr>
            <w:r w:rsidRPr="0067507D">
              <w:t xml:space="preserve">(36 256) </w:t>
            </w:r>
          </w:p>
        </w:tc>
      </w:tr>
      <w:tr w:rsidR="005D2595" w:rsidRPr="0067507D" w14:paraId="6CEAEB2E" w14:textId="77777777" w:rsidTr="00FC3AF2">
        <w:trPr>
          <w:cantSplit/>
        </w:trPr>
        <w:tc>
          <w:tcPr>
            <w:tcW w:w="4140" w:type="dxa"/>
          </w:tcPr>
          <w:p w14:paraId="7F33B74B" w14:textId="77777777" w:rsidR="005D2595" w:rsidRPr="0067507D" w:rsidRDefault="005D2595" w:rsidP="00FC3AF2">
            <w:pPr>
              <w:pStyle w:val="Tabletext"/>
            </w:pPr>
            <w:r w:rsidRPr="0067507D">
              <w:t>Depreciation and amortisation</w:t>
            </w:r>
          </w:p>
        </w:tc>
        <w:tc>
          <w:tcPr>
            <w:tcW w:w="882" w:type="dxa"/>
          </w:tcPr>
          <w:p w14:paraId="7E0BA1F7" w14:textId="77777777" w:rsidR="005D2595" w:rsidRPr="0067507D" w:rsidRDefault="005D2595" w:rsidP="00FC3AF2">
            <w:pPr>
              <w:pStyle w:val="Tabletextcentred"/>
            </w:pPr>
          </w:p>
        </w:tc>
        <w:tc>
          <w:tcPr>
            <w:tcW w:w="1139" w:type="dxa"/>
            <w:shd w:val="clear" w:color="auto" w:fill="E0E0E0"/>
            <w:noWrap/>
          </w:tcPr>
          <w:p w14:paraId="1F518C53" w14:textId="77777777" w:rsidR="005D2595" w:rsidRPr="0067507D" w:rsidRDefault="005D2595" w:rsidP="00FC3AF2">
            <w:pPr>
              <w:pStyle w:val="Tabletextright"/>
            </w:pPr>
            <w:r w:rsidRPr="0067507D">
              <w:t xml:space="preserve">(9 000) </w:t>
            </w:r>
          </w:p>
        </w:tc>
        <w:tc>
          <w:tcPr>
            <w:tcW w:w="1139" w:type="dxa"/>
            <w:noWrap/>
          </w:tcPr>
          <w:p w14:paraId="16810EEB" w14:textId="77777777" w:rsidR="005D2595" w:rsidRPr="0067507D" w:rsidRDefault="005D2595" w:rsidP="00FC3AF2">
            <w:pPr>
              <w:pStyle w:val="Tabletextright"/>
            </w:pPr>
            <w:r w:rsidRPr="0067507D">
              <w:t xml:space="preserve">(7 600) </w:t>
            </w:r>
          </w:p>
        </w:tc>
        <w:tc>
          <w:tcPr>
            <w:tcW w:w="1139" w:type="dxa"/>
            <w:shd w:val="clear" w:color="auto" w:fill="E0E0E0"/>
            <w:noWrap/>
          </w:tcPr>
          <w:p w14:paraId="7025FAC6" w14:textId="77777777" w:rsidR="005D2595" w:rsidRPr="0067507D" w:rsidRDefault="005D2595" w:rsidP="00FC3AF2">
            <w:pPr>
              <w:pStyle w:val="Tabletextright"/>
            </w:pPr>
            <w:r w:rsidRPr="0067507D">
              <w:t xml:space="preserve">(48) </w:t>
            </w:r>
          </w:p>
        </w:tc>
        <w:tc>
          <w:tcPr>
            <w:tcW w:w="1139" w:type="dxa"/>
            <w:shd w:val="clear" w:color="auto" w:fill="FFFFFF" w:themeFill="background1"/>
            <w:noWrap/>
          </w:tcPr>
          <w:p w14:paraId="7C1280FA" w14:textId="77777777" w:rsidR="005D2595" w:rsidRPr="0067507D" w:rsidRDefault="005D2595" w:rsidP="00FC3AF2">
            <w:pPr>
              <w:pStyle w:val="Tabletextright"/>
            </w:pPr>
            <w:r w:rsidRPr="0067507D">
              <w:t xml:space="preserve">(34) </w:t>
            </w:r>
          </w:p>
        </w:tc>
      </w:tr>
      <w:tr w:rsidR="005D2595" w:rsidRPr="0067507D" w14:paraId="343F941C" w14:textId="77777777" w:rsidTr="00FC3AF2">
        <w:trPr>
          <w:cantSplit/>
        </w:trPr>
        <w:tc>
          <w:tcPr>
            <w:tcW w:w="4140" w:type="dxa"/>
          </w:tcPr>
          <w:p w14:paraId="0B4D475D" w14:textId="77777777" w:rsidR="005D2595" w:rsidRPr="0067507D" w:rsidRDefault="005D2595" w:rsidP="00FC3AF2">
            <w:pPr>
              <w:pStyle w:val="Tabletext"/>
              <w:rPr>
                <w:b/>
              </w:rPr>
            </w:pPr>
            <w:r w:rsidRPr="0067507D">
              <w:t>Interest expense</w:t>
            </w:r>
          </w:p>
        </w:tc>
        <w:tc>
          <w:tcPr>
            <w:tcW w:w="882" w:type="dxa"/>
          </w:tcPr>
          <w:p w14:paraId="2EB773CF" w14:textId="77777777" w:rsidR="005D2595" w:rsidRPr="0067507D" w:rsidRDefault="005D2595" w:rsidP="00FC3AF2">
            <w:pPr>
              <w:pStyle w:val="Tabletextcentred"/>
            </w:pPr>
          </w:p>
        </w:tc>
        <w:tc>
          <w:tcPr>
            <w:tcW w:w="1139" w:type="dxa"/>
            <w:shd w:val="clear" w:color="auto" w:fill="E0E0E0"/>
            <w:noWrap/>
          </w:tcPr>
          <w:p w14:paraId="4EE28871" w14:textId="77777777" w:rsidR="005D2595" w:rsidRPr="0067507D" w:rsidRDefault="005D2595" w:rsidP="00FC3AF2">
            <w:pPr>
              <w:pStyle w:val="Tabletextright"/>
            </w:pPr>
            <w:r w:rsidRPr="0067507D">
              <w:t xml:space="preserve">(23) </w:t>
            </w:r>
          </w:p>
        </w:tc>
        <w:tc>
          <w:tcPr>
            <w:tcW w:w="1139" w:type="dxa"/>
            <w:noWrap/>
          </w:tcPr>
          <w:p w14:paraId="63993263" w14:textId="77777777" w:rsidR="005D2595" w:rsidRPr="0067507D" w:rsidRDefault="005D2595" w:rsidP="00FC3AF2">
            <w:pPr>
              <w:pStyle w:val="Tabletextright"/>
            </w:pPr>
            <w:r w:rsidRPr="0067507D">
              <w:t xml:space="preserve">(23) </w:t>
            </w:r>
          </w:p>
        </w:tc>
        <w:tc>
          <w:tcPr>
            <w:tcW w:w="1139" w:type="dxa"/>
            <w:shd w:val="clear" w:color="auto" w:fill="E0E0E0"/>
            <w:noWrap/>
          </w:tcPr>
          <w:p w14:paraId="072EE9EB" w14:textId="77777777" w:rsidR="005D2595" w:rsidRPr="0067507D" w:rsidRDefault="005D2595" w:rsidP="00FC3AF2">
            <w:pPr>
              <w:pStyle w:val="Tabletextright"/>
            </w:pPr>
            <w:r w:rsidRPr="0067507D">
              <w:t xml:space="preserve">(10) </w:t>
            </w:r>
          </w:p>
        </w:tc>
        <w:tc>
          <w:tcPr>
            <w:tcW w:w="1139" w:type="dxa"/>
            <w:shd w:val="clear" w:color="auto" w:fill="FFFFFF" w:themeFill="background1"/>
            <w:noWrap/>
          </w:tcPr>
          <w:p w14:paraId="2DD089B4" w14:textId="77777777" w:rsidR="005D2595" w:rsidRPr="0067507D" w:rsidRDefault="005D2595" w:rsidP="00FC3AF2">
            <w:pPr>
              <w:pStyle w:val="Tabletextright"/>
            </w:pPr>
            <w:r w:rsidRPr="0067507D">
              <w:t xml:space="preserve">(1) </w:t>
            </w:r>
          </w:p>
        </w:tc>
      </w:tr>
      <w:tr w:rsidR="005D2595" w:rsidRPr="0067507D" w14:paraId="3343B87A" w14:textId="77777777" w:rsidTr="00FC3AF2">
        <w:trPr>
          <w:cantSplit/>
        </w:trPr>
        <w:tc>
          <w:tcPr>
            <w:tcW w:w="4140" w:type="dxa"/>
          </w:tcPr>
          <w:p w14:paraId="0621C839" w14:textId="77777777" w:rsidR="005D2595" w:rsidRPr="0067507D" w:rsidRDefault="005D2595" w:rsidP="00FC3AF2">
            <w:pPr>
              <w:pStyle w:val="Tabletext"/>
            </w:pPr>
            <w:r w:rsidRPr="0067507D">
              <w:t>Grant expense</w:t>
            </w:r>
          </w:p>
        </w:tc>
        <w:tc>
          <w:tcPr>
            <w:tcW w:w="882" w:type="dxa"/>
          </w:tcPr>
          <w:p w14:paraId="590AE236" w14:textId="77777777" w:rsidR="005D2595" w:rsidRPr="0067507D" w:rsidRDefault="005D2595" w:rsidP="00FC3AF2">
            <w:pPr>
              <w:pStyle w:val="Tabletextcentred"/>
            </w:pPr>
            <w:r w:rsidRPr="0067507D">
              <w:t>3.3</w:t>
            </w:r>
          </w:p>
        </w:tc>
        <w:tc>
          <w:tcPr>
            <w:tcW w:w="1139" w:type="dxa"/>
            <w:shd w:val="clear" w:color="auto" w:fill="E0E0E0"/>
            <w:noWrap/>
          </w:tcPr>
          <w:p w14:paraId="1195119A" w14:textId="77777777" w:rsidR="005D2595" w:rsidRPr="0067507D" w:rsidRDefault="005D2595" w:rsidP="00FC3AF2">
            <w:pPr>
              <w:pStyle w:val="Tabletextright"/>
            </w:pPr>
            <w:r w:rsidRPr="0067507D">
              <w:t xml:space="preserve">(561) </w:t>
            </w:r>
          </w:p>
        </w:tc>
        <w:tc>
          <w:tcPr>
            <w:tcW w:w="1139" w:type="dxa"/>
            <w:noWrap/>
          </w:tcPr>
          <w:p w14:paraId="1ED10E93" w14:textId="77777777" w:rsidR="005D2595" w:rsidRPr="0067507D" w:rsidRDefault="005D2595" w:rsidP="00FC3AF2">
            <w:pPr>
              <w:pStyle w:val="Tabletextright"/>
            </w:pPr>
            <w:r w:rsidRPr="0067507D">
              <w:t xml:space="preserve">(131) </w:t>
            </w:r>
          </w:p>
        </w:tc>
        <w:tc>
          <w:tcPr>
            <w:tcW w:w="1139" w:type="dxa"/>
            <w:shd w:val="clear" w:color="auto" w:fill="E0E0E0"/>
            <w:noWrap/>
          </w:tcPr>
          <w:p w14:paraId="5528D7C5" w14:textId="77777777" w:rsidR="005D2595" w:rsidRPr="0067507D" w:rsidRDefault="005D2595" w:rsidP="00FC3AF2">
            <w:pPr>
              <w:pStyle w:val="Tabletextright"/>
            </w:pPr>
            <w:r w:rsidRPr="0067507D">
              <w:t xml:space="preserve">(23 717) </w:t>
            </w:r>
          </w:p>
        </w:tc>
        <w:tc>
          <w:tcPr>
            <w:tcW w:w="1139" w:type="dxa"/>
            <w:shd w:val="clear" w:color="auto" w:fill="FFFFFF" w:themeFill="background1"/>
            <w:noWrap/>
          </w:tcPr>
          <w:p w14:paraId="1AEA8D84" w14:textId="77777777" w:rsidR="005D2595" w:rsidRPr="0067507D" w:rsidRDefault="005D2595" w:rsidP="00FC3AF2">
            <w:pPr>
              <w:pStyle w:val="Tabletextright"/>
            </w:pPr>
            <w:r w:rsidRPr="0067507D">
              <w:t xml:space="preserve">(14 994) </w:t>
            </w:r>
          </w:p>
        </w:tc>
      </w:tr>
      <w:tr w:rsidR="005D2595" w:rsidRPr="0067507D" w14:paraId="1D7A6647" w14:textId="77777777" w:rsidTr="00FC3AF2">
        <w:trPr>
          <w:cantSplit/>
        </w:trPr>
        <w:tc>
          <w:tcPr>
            <w:tcW w:w="4140" w:type="dxa"/>
          </w:tcPr>
          <w:p w14:paraId="4808EAA6" w14:textId="77777777" w:rsidR="005D2595" w:rsidRPr="0067507D" w:rsidRDefault="005D2595" w:rsidP="00FC3AF2">
            <w:pPr>
              <w:pStyle w:val="Tabletext"/>
            </w:pPr>
            <w:r w:rsidRPr="0067507D">
              <w:t>Other operating expenses</w:t>
            </w:r>
          </w:p>
        </w:tc>
        <w:tc>
          <w:tcPr>
            <w:tcW w:w="882" w:type="dxa"/>
          </w:tcPr>
          <w:p w14:paraId="191EC357" w14:textId="77777777" w:rsidR="005D2595" w:rsidRPr="0067507D" w:rsidRDefault="005D2595" w:rsidP="00FC3AF2">
            <w:pPr>
              <w:pStyle w:val="Tabletextcentred"/>
            </w:pPr>
            <w:r w:rsidRPr="0067507D">
              <w:t>3.4</w:t>
            </w:r>
          </w:p>
        </w:tc>
        <w:tc>
          <w:tcPr>
            <w:tcW w:w="1139" w:type="dxa"/>
            <w:shd w:val="clear" w:color="auto" w:fill="E0E0E0"/>
            <w:noWrap/>
          </w:tcPr>
          <w:p w14:paraId="4C389CB3" w14:textId="77777777" w:rsidR="005D2595" w:rsidRPr="0067507D" w:rsidRDefault="005D2595" w:rsidP="00FC3AF2">
            <w:pPr>
              <w:pStyle w:val="Tabletextright"/>
            </w:pPr>
            <w:r w:rsidRPr="0067507D">
              <w:t xml:space="preserve">(113 391) </w:t>
            </w:r>
          </w:p>
        </w:tc>
        <w:tc>
          <w:tcPr>
            <w:tcW w:w="1139" w:type="dxa"/>
            <w:noWrap/>
          </w:tcPr>
          <w:p w14:paraId="32E04C6E" w14:textId="77777777" w:rsidR="005D2595" w:rsidRPr="0067507D" w:rsidRDefault="005D2595" w:rsidP="00FC3AF2">
            <w:pPr>
              <w:pStyle w:val="Tabletextright"/>
            </w:pPr>
            <w:r w:rsidRPr="0067507D">
              <w:t xml:space="preserve">(116 941) </w:t>
            </w:r>
          </w:p>
        </w:tc>
        <w:tc>
          <w:tcPr>
            <w:tcW w:w="1139" w:type="dxa"/>
            <w:shd w:val="clear" w:color="auto" w:fill="E0E0E0"/>
            <w:noWrap/>
          </w:tcPr>
          <w:p w14:paraId="61E0E3C9" w14:textId="77777777" w:rsidR="005D2595" w:rsidRPr="0067507D" w:rsidRDefault="005D2595" w:rsidP="00FC3AF2">
            <w:pPr>
              <w:pStyle w:val="Tabletextright"/>
            </w:pPr>
            <w:r w:rsidRPr="0067507D">
              <w:t xml:space="preserve">(11 406) </w:t>
            </w:r>
          </w:p>
        </w:tc>
        <w:tc>
          <w:tcPr>
            <w:tcW w:w="1139" w:type="dxa"/>
            <w:shd w:val="clear" w:color="auto" w:fill="FFFFFF" w:themeFill="background1"/>
            <w:noWrap/>
          </w:tcPr>
          <w:p w14:paraId="0B8F8F55" w14:textId="77777777" w:rsidR="005D2595" w:rsidRPr="0067507D" w:rsidRDefault="005D2595" w:rsidP="00FC3AF2">
            <w:pPr>
              <w:pStyle w:val="Tabletextright"/>
            </w:pPr>
            <w:r w:rsidRPr="0067507D">
              <w:t xml:space="preserve">(12 594) </w:t>
            </w:r>
          </w:p>
        </w:tc>
      </w:tr>
      <w:tr w:rsidR="005D2595" w:rsidRPr="0067507D" w14:paraId="3986C0DF" w14:textId="77777777" w:rsidTr="00FC3AF2">
        <w:trPr>
          <w:cantSplit/>
        </w:trPr>
        <w:tc>
          <w:tcPr>
            <w:tcW w:w="4140" w:type="dxa"/>
          </w:tcPr>
          <w:p w14:paraId="7BB286AF" w14:textId="77777777" w:rsidR="005D2595" w:rsidRPr="0067507D" w:rsidRDefault="005D2595" w:rsidP="00FC3AF2">
            <w:pPr>
              <w:pStyle w:val="Tabletextbold"/>
            </w:pPr>
            <w:r w:rsidRPr="0067507D">
              <w:t>Total expenses from transactions</w:t>
            </w:r>
          </w:p>
        </w:tc>
        <w:tc>
          <w:tcPr>
            <w:tcW w:w="882" w:type="dxa"/>
          </w:tcPr>
          <w:p w14:paraId="0AE5E010" w14:textId="77777777" w:rsidR="005D2595" w:rsidRPr="0067507D" w:rsidRDefault="005D2595" w:rsidP="00FC3AF2">
            <w:pPr>
              <w:pStyle w:val="Tabletextcentred"/>
            </w:pPr>
          </w:p>
        </w:tc>
        <w:tc>
          <w:tcPr>
            <w:tcW w:w="1139" w:type="dxa"/>
            <w:shd w:val="clear" w:color="auto" w:fill="E0E0E0"/>
            <w:noWrap/>
          </w:tcPr>
          <w:p w14:paraId="2FD17C49" w14:textId="77777777" w:rsidR="005D2595" w:rsidRPr="0067507D" w:rsidRDefault="005D2595" w:rsidP="00FC3AF2">
            <w:pPr>
              <w:pStyle w:val="Tabletextrightbold"/>
            </w:pPr>
            <w:r w:rsidRPr="0067507D">
              <w:t xml:space="preserve">(288 959) </w:t>
            </w:r>
          </w:p>
        </w:tc>
        <w:tc>
          <w:tcPr>
            <w:tcW w:w="1139" w:type="dxa"/>
            <w:noWrap/>
          </w:tcPr>
          <w:p w14:paraId="1299D862" w14:textId="77777777" w:rsidR="005D2595" w:rsidRPr="0067507D" w:rsidRDefault="005D2595" w:rsidP="00FC3AF2">
            <w:pPr>
              <w:pStyle w:val="Tabletextrightbold"/>
            </w:pPr>
            <w:r w:rsidRPr="0067507D">
              <w:t xml:space="preserve">(257 097) </w:t>
            </w:r>
          </w:p>
        </w:tc>
        <w:tc>
          <w:tcPr>
            <w:tcW w:w="1139" w:type="dxa"/>
            <w:shd w:val="clear" w:color="auto" w:fill="E0E0E0"/>
            <w:noWrap/>
          </w:tcPr>
          <w:p w14:paraId="330EF59A" w14:textId="77777777" w:rsidR="005D2595" w:rsidRPr="0067507D" w:rsidRDefault="005D2595" w:rsidP="00FC3AF2">
            <w:pPr>
              <w:pStyle w:val="Tabletextrightbold"/>
            </w:pPr>
            <w:r w:rsidRPr="0067507D">
              <w:t xml:space="preserve">(71 004) </w:t>
            </w:r>
          </w:p>
        </w:tc>
        <w:tc>
          <w:tcPr>
            <w:tcW w:w="1139" w:type="dxa"/>
            <w:shd w:val="clear" w:color="auto" w:fill="FFFFFF" w:themeFill="background1"/>
            <w:noWrap/>
          </w:tcPr>
          <w:p w14:paraId="5FF0F228" w14:textId="77777777" w:rsidR="005D2595" w:rsidRPr="0067507D" w:rsidRDefault="005D2595" w:rsidP="00FC3AF2">
            <w:pPr>
              <w:pStyle w:val="Tabletextrightbold"/>
            </w:pPr>
            <w:r w:rsidRPr="0067507D">
              <w:t xml:space="preserve">(63 879) </w:t>
            </w:r>
          </w:p>
        </w:tc>
      </w:tr>
      <w:tr w:rsidR="005D2595" w:rsidRPr="0067507D" w14:paraId="29DBDCC3" w14:textId="77777777" w:rsidTr="00FC3AF2">
        <w:trPr>
          <w:cantSplit/>
          <w:trHeight w:hRule="exact" w:val="57"/>
        </w:trPr>
        <w:tc>
          <w:tcPr>
            <w:tcW w:w="4140" w:type="dxa"/>
          </w:tcPr>
          <w:p w14:paraId="01A20AC6" w14:textId="77777777" w:rsidR="005D2595" w:rsidRPr="0067507D" w:rsidRDefault="005D2595" w:rsidP="00FC3AF2">
            <w:pPr>
              <w:pStyle w:val="Tabletext"/>
            </w:pPr>
          </w:p>
        </w:tc>
        <w:tc>
          <w:tcPr>
            <w:tcW w:w="882" w:type="dxa"/>
          </w:tcPr>
          <w:p w14:paraId="408406A7" w14:textId="77777777" w:rsidR="005D2595" w:rsidRPr="0067507D" w:rsidRDefault="005D2595" w:rsidP="00FC3AF2">
            <w:pPr>
              <w:pStyle w:val="Tabletextcentred"/>
            </w:pPr>
          </w:p>
        </w:tc>
        <w:tc>
          <w:tcPr>
            <w:tcW w:w="1139" w:type="dxa"/>
            <w:shd w:val="clear" w:color="auto" w:fill="E0E0E0"/>
            <w:noWrap/>
          </w:tcPr>
          <w:p w14:paraId="23FFFB67" w14:textId="77777777" w:rsidR="005D2595" w:rsidRPr="0067507D" w:rsidRDefault="005D2595" w:rsidP="00FC3AF2">
            <w:pPr>
              <w:pStyle w:val="Tabletextrightbold"/>
            </w:pPr>
          </w:p>
        </w:tc>
        <w:tc>
          <w:tcPr>
            <w:tcW w:w="1139" w:type="dxa"/>
            <w:noWrap/>
          </w:tcPr>
          <w:p w14:paraId="2E5C6F58" w14:textId="77777777" w:rsidR="005D2595" w:rsidRPr="0067507D" w:rsidRDefault="005D2595" w:rsidP="00FC3AF2">
            <w:pPr>
              <w:pStyle w:val="Tabletextright"/>
            </w:pPr>
          </w:p>
        </w:tc>
        <w:tc>
          <w:tcPr>
            <w:tcW w:w="1139" w:type="dxa"/>
            <w:shd w:val="clear" w:color="auto" w:fill="E0E0E0"/>
            <w:noWrap/>
          </w:tcPr>
          <w:p w14:paraId="2B283D0A" w14:textId="77777777" w:rsidR="005D2595" w:rsidRPr="0067507D" w:rsidRDefault="005D2595" w:rsidP="00FC3AF2">
            <w:pPr>
              <w:pStyle w:val="Tabletextrightbold"/>
            </w:pPr>
          </w:p>
        </w:tc>
        <w:tc>
          <w:tcPr>
            <w:tcW w:w="1139" w:type="dxa"/>
            <w:shd w:val="clear" w:color="auto" w:fill="FFFFFF" w:themeFill="background1"/>
            <w:noWrap/>
          </w:tcPr>
          <w:p w14:paraId="41BA79B5" w14:textId="77777777" w:rsidR="005D2595" w:rsidRPr="0067507D" w:rsidRDefault="005D2595" w:rsidP="00FC3AF2">
            <w:pPr>
              <w:pStyle w:val="Tabletextright"/>
            </w:pPr>
          </w:p>
        </w:tc>
      </w:tr>
      <w:tr w:rsidR="005D2595" w:rsidRPr="0067507D" w14:paraId="09AC9B6B" w14:textId="77777777" w:rsidTr="00FC3AF2">
        <w:trPr>
          <w:cantSplit/>
        </w:trPr>
        <w:tc>
          <w:tcPr>
            <w:tcW w:w="4140" w:type="dxa"/>
          </w:tcPr>
          <w:p w14:paraId="72B0EDAB" w14:textId="77777777" w:rsidR="005D2595" w:rsidRPr="0067507D" w:rsidRDefault="005D2595" w:rsidP="00FC3AF2">
            <w:pPr>
              <w:pStyle w:val="Tabletextbold"/>
            </w:pPr>
            <w:r w:rsidRPr="0067507D">
              <w:t>Net result from transactions (net operating balance)</w:t>
            </w:r>
          </w:p>
        </w:tc>
        <w:tc>
          <w:tcPr>
            <w:tcW w:w="882" w:type="dxa"/>
          </w:tcPr>
          <w:p w14:paraId="089AA83E" w14:textId="77777777" w:rsidR="005D2595" w:rsidRPr="0067507D" w:rsidRDefault="005D2595" w:rsidP="00FC3AF2">
            <w:pPr>
              <w:pStyle w:val="Tabletextcentred"/>
            </w:pPr>
          </w:p>
        </w:tc>
        <w:tc>
          <w:tcPr>
            <w:tcW w:w="1139" w:type="dxa"/>
            <w:shd w:val="clear" w:color="auto" w:fill="E0E0E0"/>
            <w:noWrap/>
          </w:tcPr>
          <w:p w14:paraId="30351463" w14:textId="77777777" w:rsidR="005D2595" w:rsidRPr="0067507D" w:rsidRDefault="005D2595" w:rsidP="00FC3AF2">
            <w:pPr>
              <w:pStyle w:val="Tabletextrightbold"/>
              <w:rPr>
                <w:highlight w:val="yellow"/>
              </w:rPr>
            </w:pPr>
            <w:r w:rsidRPr="0067507D">
              <w:t xml:space="preserve">6 409 </w:t>
            </w:r>
          </w:p>
        </w:tc>
        <w:tc>
          <w:tcPr>
            <w:tcW w:w="1139" w:type="dxa"/>
            <w:noWrap/>
          </w:tcPr>
          <w:p w14:paraId="7F5BE6D6" w14:textId="77777777" w:rsidR="005D2595" w:rsidRPr="0067507D" w:rsidRDefault="005D2595" w:rsidP="00FC3AF2">
            <w:pPr>
              <w:pStyle w:val="Tabletextrightbold"/>
              <w:rPr>
                <w:highlight w:val="yellow"/>
              </w:rPr>
            </w:pPr>
            <w:r w:rsidRPr="0067507D">
              <w:t xml:space="preserve"> 222 </w:t>
            </w:r>
          </w:p>
        </w:tc>
        <w:tc>
          <w:tcPr>
            <w:tcW w:w="1139" w:type="dxa"/>
            <w:shd w:val="clear" w:color="auto" w:fill="E0E0E0"/>
            <w:noWrap/>
          </w:tcPr>
          <w:p w14:paraId="03B3ADE3" w14:textId="77777777" w:rsidR="005D2595" w:rsidRPr="0067507D" w:rsidRDefault="005D2595" w:rsidP="00FC3AF2">
            <w:pPr>
              <w:pStyle w:val="Tabletextrightbold"/>
              <w:rPr>
                <w:highlight w:val="yellow"/>
              </w:rPr>
            </w:pPr>
            <w:r w:rsidRPr="0067507D">
              <w:t xml:space="preserve">(1) </w:t>
            </w:r>
          </w:p>
        </w:tc>
        <w:tc>
          <w:tcPr>
            <w:tcW w:w="1139" w:type="dxa"/>
            <w:shd w:val="clear" w:color="auto" w:fill="FFFFFF" w:themeFill="background1"/>
            <w:noWrap/>
          </w:tcPr>
          <w:p w14:paraId="1F22809C" w14:textId="77777777" w:rsidR="005D2595" w:rsidRPr="0067507D" w:rsidRDefault="005D2595" w:rsidP="00FC3AF2">
            <w:pPr>
              <w:pStyle w:val="Tabletextrightbold"/>
              <w:rPr>
                <w:highlight w:val="yellow"/>
              </w:rPr>
            </w:pPr>
            <w:r w:rsidRPr="0067507D">
              <w:t xml:space="preserve"> 1 </w:t>
            </w:r>
          </w:p>
        </w:tc>
      </w:tr>
      <w:tr w:rsidR="005D2595" w:rsidRPr="0067507D" w14:paraId="00C09411" w14:textId="77777777" w:rsidTr="00FC3AF2">
        <w:trPr>
          <w:cantSplit/>
          <w:trHeight w:hRule="exact" w:val="57"/>
        </w:trPr>
        <w:tc>
          <w:tcPr>
            <w:tcW w:w="4140" w:type="dxa"/>
          </w:tcPr>
          <w:p w14:paraId="3DD31AEF" w14:textId="77777777" w:rsidR="005D2595" w:rsidRPr="0067507D" w:rsidRDefault="005D2595" w:rsidP="00FC3AF2">
            <w:pPr>
              <w:pStyle w:val="Tabletext"/>
            </w:pPr>
          </w:p>
        </w:tc>
        <w:tc>
          <w:tcPr>
            <w:tcW w:w="882" w:type="dxa"/>
          </w:tcPr>
          <w:p w14:paraId="66BD0C1A" w14:textId="77777777" w:rsidR="005D2595" w:rsidRPr="0067507D" w:rsidRDefault="005D2595" w:rsidP="00FC3AF2">
            <w:pPr>
              <w:pStyle w:val="Tabletextcentred"/>
            </w:pPr>
          </w:p>
        </w:tc>
        <w:tc>
          <w:tcPr>
            <w:tcW w:w="1139" w:type="dxa"/>
            <w:shd w:val="clear" w:color="auto" w:fill="E0E0E0"/>
            <w:noWrap/>
          </w:tcPr>
          <w:p w14:paraId="7D863402" w14:textId="77777777" w:rsidR="005D2595" w:rsidRPr="0067507D" w:rsidRDefault="005D2595" w:rsidP="00FC3AF2">
            <w:pPr>
              <w:pStyle w:val="Tabletextright"/>
            </w:pPr>
          </w:p>
        </w:tc>
        <w:tc>
          <w:tcPr>
            <w:tcW w:w="1139" w:type="dxa"/>
            <w:noWrap/>
          </w:tcPr>
          <w:p w14:paraId="20862684" w14:textId="77777777" w:rsidR="005D2595" w:rsidRPr="0067507D" w:rsidRDefault="005D2595" w:rsidP="00FC3AF2">
            <w:pPr>
              <w:pStyle w:val="Tabletextright"/>
            </w:pPr>
          </w:p>
        </w:tc>
        <w:tc>
          <w:tcPr>
            <w:tcW w:w="1139" w:type="dxa"/>
            <w:shd w:val="clear" w:color="auto" w:fill="E0E0E0"/>
            <w:noWrap/>
          </w:tcPr>
          <w:p w14:paraId="55805E1C" w14:textId="77777777" w:rsidR="005D2595" w:rsidRPr="0067507D" w:rsidRDefault="005D2595" w:rsidP="00FC3AF2">
            <w:pPr>
              <w:pStyle w:val="Tabletextright"/>
            </w:pPr>
          </w:p>
        </w:tc>
        <w:tc>
          <w:tcPr>
            <w:tcW w:w="1139" w:type="dxa"/>
            <w:shd w:val="clear" w:color="auto" w:fill="FFFFFF" w:themeFill="background1"/>
            <w:noWrap/>
          </w:tcPr>
          <w:p w14:paraId="38A72EF1" w14:textId="77777777" w:rsidR="005D2595" w:rsidRPr="0067507D" w:rsidRDefault="005D2595" w:rsidP="00FC3AF2">
            <w:pPr>
              <w:pStyle w:val="Tabletextright"/>
            </w:pPr>
          </w:p>
        </w:tc>
      </w:tr>
      <w:tr w:rsidR="005D2595" w:rsidRPr="0067507D" w14:paraId="7DF058F1" w14:textId="77777777" w:rsidTr="00FC3AF2">
        <w:trPr>
          <w:cantSplit/>
        </w:trPr>
        <w:tc>
          <w:tcPr>
            <w:tcW w:w="4140" w:type="dxa"/>
          </w:tcPr>
          <w:p w14:paraId="76FD12B6" w14:textId="77777777" w:rsidR="005D2595" w:rsidRPr="0067507D" w:rsidRDefault="005D2595" w:rsidP="00FC3AF2">
            <w:pPr>
              <w:pStyle w:val="Tabletextbold"/>
            </w:pPr>
            <w:r w:rsidRPr="0067507D">
              <w:t>Other economic flows included in net result</w:t>
            </w:r>
          </w:p>
        </w:tc>
        <w:tc>
          <w:tcPr>
            <w:tcW w:w="882" w:type="dxa"/>
          </w:tcPr>
          <w:p w14:paraId="65C3B558" w14:textId="77777777" w:rsidR="005D2595" w:rsidRPr="0067507D" w:rsidRDefault="005D2595" w:rsidP="00FC3AF2">
            <w:pPr>
              <w:pStyle w:val="Tabletextcentred"/>
            </w:pPr>
          </w:p>
        </w:tc>
        <w:tc>
          <w:tcPr>
            <w:tcW w:w="1139" w:type="dxa"/>
            <w:shd w:val="clear" w:color="auto" w:fill="E0E0E0"/>
            <w:noWrap/>
          </w:tcPr>
          <w:p w14:paraId="2010E5A2" w14:textId="77777777" w:rsidR="005D2595" w:rsidRPr="0067507D" w:rsidRDefault="005D2595" w:rsidP="00FC3AF2">
            <w:pPr>
              <w:pStyle w:val="Tabletextright"/>
            </w:pPr>
          </w:p>
        </w:tc>
        <w:tc>
          <w:tcPr>
            <w:tcW w:w="1139" w:type="dxa"/>
            <w:noWrap/>
          </w:tcPr>
          <w:p w14:paraId="43464A93" w14:textId="77777777" w:rsidR="005D2595" w:rsidRPr="0067507D" w:rsidRDefault="005D2595" w:rsidP="00FC3AF2">
            <w:pPr>
              <w:pStyle w:val="Tabletextright"/>
            </w:pPr>
          </w:p>
        </w:tc>
        <w:tc>
          <w:tcPr>
            <w:tcW w:w="1139" w:type="dxa"/>
            <w:shd w:val="clear" w:color="auto" w:fill="E0E0E0"/>
            <w:noWrap/>
          </w:tcPr>
          <w:p w14:paraId="7AA7B141" w14:textId="77777777" w:rsidR="005D2595" w:rsidRPr="0067507D" w:rsidRDefault="005D2595" w:rsidP="00FC3AF2">
            <w:pPr>
              <w:pStyle w:val="Tabletextright"/>
            </w:pPr>
          </w:p>
        </w:tc>
        <w:tc>
          <w:tcPr>
            <w:tcW w:w="1139" w:type="dxa"/>
            <w:shd w:val="clear" w:color="auto" w:fill="FFFFFF" w:themeFill="background1"/>
            <w:noWrap/>
          </w:tcPr>
          <w:p w14:paraId="0E48123D" w14:textId="77777777" w:rsidR="005D2595" w:rsidRPr="0067507D" w:rsidRDefault="005D2595" w:rsidP="00FC3AF2">
            <w:pPr>
              <w:pStyle w:val="Tabletextright"/>
            </w:pPr>
          </w:p>
        </w:tc>
      </w:tr>
      <w:tr w:rsidR="005D2595" w:rsidRPr="0067507D" w14:paraId="56FBA795" w14:textId="77777777" w:rsidTr="00FC3AF2">
        <w:trPr>
          <w:cantSplit/>
        </w:trPr>
        <w:tc>
          <w:tcPr>
            <w:tcW w:w="4140" w:type="dxa"/>
          </w:tcPr>
          <w:p w14:paraId="08910AE4" w14:textId="41016A55" w:rsidR="005D2595" w:rsidRPr="0067507D" w:rsidRDefault="005D2595" w:rsidP="00FC3AF2">
            <w:pPr>
              <w:pStyle w:val="Tabletext"/>
            </w:pPr>
            <w:r w:rsidRPr="0067507D">
              <w:t>Net gain/(loss) on non</w:t>
            </w:r>
            <w:r w:rsidR="006A5485">
              <w:noBreakHyphen/>
            </w:r>
            <w:r w:rsidRPr="0067507D">
              <w:t>financial assets</w:t>
            </w:r>
          </w:p>
        </w:tc>
        <w:tc>
          <w:tcPr>
            <w:tcW w:w="882" w:type="dxa"/>
          </w:tcPr>
          <w:p w14:paraId="3F5B91B0" w14:textId="77777777" w:rsidR="005D2595" w:rsidRPr="0067507D" w:rsidRDefault="005D2595" w:rsidP="00FC3AF2">
            <w:pPr>
              <w:pStyle w:val="Tabletextcentred"/>
            </w:pPr>
          </w:p>
        </w:tc>
        <w:tc>
          <w:tcPr>
            <w:tcW w:w="1139" w:type="dxa"/>
            <w:shd w:val="clear" w:color="auto" w:fill="E0E0E0"/>
            <w:noWrap/>
          </w:tcPr>
          <w:p w14:paraId="36F0E401" w14:textId="77777777" w:rsidR="005D2595" w:rsidRPr="0067507D" w:rsidRDefault="005D2595" w:rsidP="00FC3AF2">
            <w:pPr>
              <w:pStyle w:val="Tabletextright"/>
            </w:pPr>
            <w:r w:rsidRPr="0067507D">
              <w:t xml:space="preserve"> 50 </w:t>
            </w:r>
          </w:p>
        </w:tc>
        <w:tc>
          <w:tcPr>
            <w:tcW w:w="1139" w:type="dxa"/>
            <w:noWrap/>
          </w:tcPr>
          <w:p w14:paraId="5267D6C0" w14:textId="77777777" w:rsidR="005D2595" w:rsidRPr="0067507D" w:rsidRDefault="005D2595" w:rsidP="00FC3AF2">
            <w:pPr>
              <w:pStyle w:val="Tabletextright"/>
            </w:pPr>
            <w:r w:rsidRPr="0067507D">
              <w:t xml:space="preserve"> 148 </w:t>
            </w:r>
          </w:p>
        </w:tc>
        <w:tc>
          <w:tcPr>
            <w:tcW w:w="1139" w:type="dxa"/>
            <w:shd w:val="clear" w:color="auto" w:fill="E0E0E0"/>
            <w:noWrap/>
          </w:tcPr>
          <w:p w14:paraId="74A65C2A" w14:textId="77777777" w:rsidR="005D2595" w:rsidRPr="0067507D" w:rsidRDefault="005D2595" w:rsidP="00FC3AF2">
            <w:pPr>
              <w:pStyle w:val="Tabletextright"/>
            </w:pPr>
            <w:r w:rsidRPr="0067507D">
              <w:t xml:space="preserve"> 23 </w:t>
            </w:r>
          </w:p>
        </w:tc>
        <w:tc>
          <w:tcPr>
            <w:tcW w:w="1139" w:type="dxa"/>
            <w:shd w:val="clear" w:color="auto" w:fill="FFFFFF" w:themeFill="background1"/>
            <w:noWrap/>
          </w:tcPr>
          <w:p w14:paraId="2D2A9DFC" w14:textId="77777777" w:rsidR="005D2595" w:rsidRPr="0067507D" w:rsidRDefault="005D2595" w:rsidP="00FC3AF2">
            <w:pPr>
              <w:pStyle w:val="Tabletextright"/>
            </w:pPr>
            <w:r w:rsidRPr="0067507D">
              <w:t xml:space="preserve"> 11 </w:t>
            </w:r>
          </w:p>
        </w:tc>
      </w:tr>
      <w:tr w:rsidR="005D2595" w:rsidRPr="0067507D" w14:paraId="62682F5F" w14:textId="77777777" w:rsidTr="00FC3AF2">
        <w:trPr>
          <w:cantSplit/>
        </w:trPr>
        <w:tc>
          <w:tcPr>
            <w:tcW w:w="4140" w:type="dxa"/>
          </w:tcPr>
          <w:p w14:paraId="0F58F392" w14:textId="77777777" w:rsidR="005D2595" w:rsidRPr="0067507D" w:rsidRDefault="005D2595" w:rsidP="00FC3AF2">
            <w:pPr>
              <w:pStyle w:val="Tabletext"/>
            </w:pPr>
            <w:r w:rsidRPr="0067507D">
              <w:t>Net gain/(loss) on financial instruments</w:t>
            </w:r>
          </w:p>
        </w:tc>
        <w:tc>
          <w:tcPr>
            <w:tcW w:w="882" w:type="dxa"/>
          </w:tcPr>
          <w:p w14:paraId="6284E5DA" w14:textId="77777777" w:rsidR="005D2595" w:rsidRPr="0067507D" w:rsidRDefault="005D2595" w:rsidP="00FC3AF2">
            <w:pPr>
              <w:pStyle w:val="Tabletextcentred"/>
            </w:pPr>
          </w:p>
        </w:tc>
        <w:tc>
          <w:tcPr>
            <w:tcW w:w="1139" w:type="dxa"/>
            <w:shd w:val="clear" w:color="auto" w:fill="E0E0E0"/>
            <w:noWrap/>
          </w:tcPr>
          <w:p w14:paraId="1F72D6C8" w14:textId="77777777" w:rsidR="005D2595" w:rsidRPr="0067507D" w:rsidRDefault="005D2595" w:rsidP="00FC3AF2">
            <w:pPr>
              <w:pStyle w:val="Tabletextright"/>
            </w:pPr>
            <w:r w:rsidRPr="0067507D">
              <w:t xml:space="preserve">(28) </w:t>
            </w:r>
          </w:p>
        </w:tc>
        <w:tc>
          <w:tcPr>
            <w:tcW w:w="1139" w:type="dxa"/>
            <w:noWrap/>
          </w:tcPr>
          <w:p w14:paraId="13A6706E" w14:textId="77777777" w:rsidR="005D2595" w:rsidRPr="0067507D" w:rsidRDefault="005D2595" w:rsidP="00FC3AF2">
            <w:pPr>
              <w:pStyle w:val="Tabletextright"/>
              <w:rPr>
                <w:highlight w:val="yellow"/>
              </w:rPr>
            </w:pPr>
            <w:r w:rsidRPr="0067507D">
              <w:t xml:space="preserve">(22) </w:t>
            </w:r>
          </w:p>
        </w:tc>
        <w:tc>
          <w:tcPr>
            <w:tcW w:w="1139" w:type="dxa"/>
            <w:shd w:val="clear" w:color="auto" w:fill="E0E0E0"/>
            <w:noWrap/>
          </w:tcPr>
          <w:p w14:paraId="7333E128" w14:textId="77777777" w:rsidR="005D2595" w:rsidRPr="0067507D" w:rsidRDefault="005D2595" w:rsidP="00FC3AF2">
            <w:pPr>
              <w:pStyle w:val="Tabletextright"/>
            </w:pPr>
            <w:r w:rsidRPr="0067507D">
              <w:t>–</w:t>
            </w:r>
          </w:p>
        </w:tc>
        <w:tc>
          <w:tcPr>
            <w:tcW w:w="1139" w:type="dxa"/>
            <w:shd w:val="clear" w:color="auto" w:fill="FFFFFF" w:themeFill="background1"/>
            <w:noWrap/>
          </w:tcPr>
          <w:p w14:paraId="2851BA63" w14:textId="77777777" w:rsidR="005D2595" w:rsidRPr="0067507D" w:rsidRDefault="005D2595" w:rsidP="00FC3AF2">
            <w:pPr>
              <w:pStyle w:val="Tabletextright"/>
            </w:pPr>
            <w:r w:rsidRPr="0067507D">
              <w:t>–</w:t>
            </w:r>
          </w:p>
        </w:tc>
      </w:tr>
      <w:tr w:rsidR="005D2595" w:rsidRPr="0067507D" w14:paraId="4B05440F" w14:textId="77777777" w:rsidTr="00FC3AF2">
        <w:trPr>
          <w:cantSplit/>
        </w:trPr>
        <w:tc>
          <w:tcPr>
            <w:tcW w:w="4140" w:type="dxa"/>
          </w:tcPr>
          <w:p w14:paraId="51EE2D52" w14:textId="77777777" w:rsidR="005D2595" w:rsidRPr="0067507D" w:rsidRDefault="005D2595" w:rsidP="00FC3AF2">
            <w:pPr>
              <w:pStyle w:val="Tabletext"/>
            </w:pPr>
            <w:r w:rsidRPr="0067507D">
              <w:t>Other gains/(losses) from other economic flows</w:t>
            </w:r>
          </w:p>
        </w:tc>
        <w:tc>
          <w:tcPr>
            <w:tcW w:w="882" w:type="dxa"/>
          </w:tcPr>
          <w:p w14:paraId="394D8C83" w14:textId="77777777" w:rsidR="005D2595" w:rsidRPr="0067507D" w:rsidRDefault="005D2595" w:rsidP="00FC3AF2">
            <w:pPr>
              <w:pStyle w:val="Tabletextcentred"/>
            </w:pPr>
          </w:p>
        </w:tc>
        <w:tc>
          <w:tcPr>
            <w:tcW w:w="1139" w:type="dxa"/>
            <w:shd w:val="clear" w:color="auto" w:fill="E0E0E0"/>
            <w:noWrap/>
          </w:tcPr>
          <w:p w14:paraId="6F1462BE" w14:textId="77777777" w:rsidR="005D2595" w:rsidRPr="0067507D" w:rsidRDefault="005D2595" w:rsidP="00FC3AF2">
            <w:pPr>
              <w:pStyle w:val="Tabletextright"/>
            </w:pPr>
            <w:r w:rsidRPr="0067507D">
              <w:t xml:space="preserve"> 111 </w:t>
            </w:r>
          </w:p>
        </w:tc>
        <w:tc>
          <w:tcPr>
            <w:tcW w:w="1139" w:type="dxa"/>
            <w:noWrap/>
          </w:tcPr>
          <w:p w14:paraId="7C1CF51A" w14:textId="77777777" w:rsidR="005D2595" w:rsidRPr="0067507D" w:rsidRDefault="005D2595" w:rsidP="00FC3AF2">
            <w:pPr>
              <w:pStyle w:val="Tabletextright"/>
              <w:rPr>
                <w:highlight w:val="yellow"/>
              </w:rPr>
            </w:pPr>
            <w:r w:rsidRPr="0067507D">
              <w:t xml:space="preserve"> 334 </w:t>
            </w:r>
          </w:p>
        </w:tc>
        <w:tc>
          <w:tcPr>
            <w:tcW w:w="1139" w:type="dxa"/>
            <w:shd w:val="clear" w:color="auto" w:fill="E0E0E0"/>
            <w:noWrap/>
          </w:tcPr>
          <w:p w14:paraId="7DF3DDCD" w14:textId="77777777" w:rsidR="005D2595" w:rsidRPr="0067507D" w:rsidRDefault="005D2595" w:rsidP="00FC3AF2">
            <w:pPr>
              <w:pStyle w:val="Tabletextright"/>
            </w:pPr>
            <w:r w:rsidRPr="0067507D">
              <w:t xml:space="preserve"> 4 </w:t>
            </w:r>
          </w:p>
        </w:tc>
        <w:tc>
          <w:tcPr>
            <w:tcW w:w="1139" w:type="dxa"/>
            <w:shd w:val="clear" w:color="auto" w:fill="FFFFFF" w:themeFill="background1"/>
            <w:noWrap/>
          </w:tcPr>
          <w:p w14:paraId="0F910F51" w14:textId="77777777" w:rsidR="005D2595" w:rsidRPr="0067507D" w:rsidRDefault="005D2595" w:rsidP="00FC3AF2">
            <w:pPr>
              <w:pStyle w:val="Tabletextright"/>
            </w:pPr>
            <w:r w:rsidRPr="0067507D">
              <w:t xml:space="preserve"> 56 </w:t>
            </w:r>
          </w:p>
        </w:tc>
      </w:tr>
      <w:tr w:rsidR="005D2595" w:rsidRPr="0067507D" w14:paraId="36E6D65B" w14:textId="77777777" w:rsidTr="00FC3AF2">
        <w:trPr>
          <w:cantSplit/>
        </w:trPr>
        <w:tc>
          <w:tcPr>
            <w:tcW w:w="4140" w:type="dxa"/>
          </w:tcPr>
          <w:p w14:paraId="2410BEAE" w14:textId="77777777" w:rsidR="005D2595" w:rsidRPr="0067507D" w:rsidRDefault="005D2595" w:rsidP="00FC3AF2">
            <w:pPr>
              <w:pStyle w:val="Tabletextbold"/>
            </w:pPr>
            <w:r w:rsidRPr="0067507D">
              <w:t>Total other economic flows included in net result</w:t>
            </w:r>
          </w:p>
        </w:tc>
        <w:tc>
          <w:tcPr>
            <w:tcW w:w="882" w:type="dxa"/>
          </w:tcPr>
          <w:p w14:paraId="316FDAC6" w14:textId="77777777" w:rsidR="005D2595" w:rsidRPr="0067507D" w:rsidRDefault="005D2595" w:rsidP="00FC3AF2">
            <w:pPr>
              <w:pStyle w:val="Tabletextcentred"/>
            </w:pPr>
          </w:p>
        </w:tc>
        <w:tc>
          <w:tcPr>
            <w:tcW w:w="1139" w:type="dxa"/>
            <w:shd w:val="clear" w:color="auto" w:fill="E0E0E0"/>
            <w:noWrap/>
          </w:tcPr>
          <w:p w14:paraId="2B28B54C" w14:textId="77777777" w:rsidR="005D2595" w:rsidRPr="0067507D" w:rsidRDefault="005D2595" w:rsidP="00FC3AF2">
            <w:pPr>
              <w:pStyle w:val="Tabletextrightbold"/>
            </w:pPr>
            <w:r w:rsidRPr="0067507D">
              <w:t xml:space="preserve"> 133 </w:t>
            </w:r>
          </w:p>
        </w:tc>
        <w:tc>
          <w:tcPr>
            <w:tcW w:w="1139" w:type="dxa"/>
            <w:noWrap/>
          </w:tcPr>
          <w:p w14:paraId="53BFF681" w14:textId="77777777" w:rsidR="005D2595" w:rsidRPr="0067507D" w:rsidRDefault="005D2595" w:rsidP="00FC3AF2">
            <w:pPr>
              <w:pStyle w:val="Tabletextrightbold"/>
            </w:pPr>
            <w:r w:rsidRPr="0067507D">
              <w:t xml:space="preserve"> 460 </w:t>
            </w:r>
          </w:p>
        </w:tc>
        <w:tc>
          <w:tcPr>
            <w:tcW w:w="1139" w:type="dxa"/>
            <w:shd w:val="clear" w:color="auto" w:fill="E0E0E0"/>
            <w:noWrap/>
          </w:tcPr>
          <w:p w14:paraId="0660A129" w14:textId="77777777" w:rsidR="005D2595" w:rsidRPr="0067507D" w:rsidRDefault="005D2595" w:rsidP="00FC3AF2">
            <w:pPr>
              <w:pStyle w:val="Tabletextrightbold"/>
            </w:pPr>
            <w:r w:rsidRPr="0067507D">
              <w:t xml:space="preserve"> 27 </w:t>
            </w:r>
          </w:p>
        </w:tc>
        <w:tc>
          <w:tcPr>
            <w:tcW w:w="1139" w:type="dxa"/>
            <w:shd w:val="clear" w:color="auto" w:fill="FFFFFF" w:themeFill="background1"/>
            <w:noWrap/>
          </w:tcPr>
          <w:p w14:paraId="441363C2" w14:textId="77777777" w:rsidR="005D2595" w:rsidRPr="0067507D" w:rsidRDefault="005D2595" w:rsidP="00FC3AF2">
            <w:pPr>
              <w:pStyle w:val="Tabletextrightbold"/>
            </w:pPr>
            <w:r w:rsidRPr="0067507D">
              <w:t xml:space="preserve"> 67 </w:t>
            </w:r>
          </w:p>
        </w:tc>
      </w:tr>
      <w:tr w:rsidR="005D2595" w:rsidRPr="0067507D" w14:paraId="02EEF65C" w14:textId="77777777" w:rsidTr="00FC3AF2">
        <w:trPr>
          <w:cantSplit/>
          <w:trHeight w:hRule="exact" w:val="57"/>
        </w:trPr>
        <w:tc>
          <w:tcPr>
            <w:tcW w:w="4140" w:type="dxa"/>
          </w:tcPr>
          <w:p w14:paraId="50BA2278" w14:textId="77777777" w:rsidR="005D2595" w:rsidRPr="0067507D" w:rsidRDefault="005D2595" w:rsidP="00FC3AF2">
            <w:pPr>
              <w:pStyle w:val="Tabletext"/>
            </w:pPr>
          </w:p>
        </w:tc>
        <w:tc>
          <w:tcPr>
            <w:tcW w:w="882" w:type="dxa"/>
          </w:tcPr>
          <w:p w14:paraId="0FC94564" w14:textId="77777777" w:rsidR="005D2595" w:rsidRPr="0067507D" w:rsidRDefault="005D2595" w:rsidP="00FC3AF2">
            <w:pPr>
              <w:pStyle w:val="Tabletextcentred"/>
            </w:pPr>
          </w:p>
        </w:tc>
        <w:tc>
          <w:tcPr>
            <w:tcW w:w="1139" w:type="dxa"/>
            <w:shd w:val="clear" w:color="auto" w:fill="E0E0E0"/>
            <w:noWrap/>
          </w:tcPr>
          <w:p w14:paraId="3777C11B" w14:textId="77777777" w:rsidR="005D2595" w:rsidRPr="0067507D" w:rsidRDefault="005D2595" w:rsidP="00FC3AF2">
            <w:pPr>
              <w:pStyle w:val="Tabletextright"/>
            </w:pPr>
          </w:p>
        </w:tc>
        <w:tc>
          <w:tcPr>
            <w:tcW w:w="1139" w:type="dxa"/>
            <w:noWrap/>
          </w:tcPr>
          <w:p w14:paraId="0837EFFF" w14:textId="77777777" w:rsidR="005D2595" w:rsidRPr="0067507D" w:rsidRDefault="005D2595" w:rsidP="00FC3AF2">
            <w:pPr>
              <w:pStyle w:val="Tabletextright"/>
            </w:pPr>
          </w:p>
        </w:tc>
        <w:tc>
          <w:tcPr>
            <w:tcW w:w="1139" w:type="dxa"/>
            <w:shd w:val="clear" w:color="auto" w:fill="E0E0E0"/>
            <w:noWrap/>
          </w:tcPr>
          <w:p w14:paraId="64FEAC2D" w14:textId="77777777" w:rsidR="005D2595" w:rsidRPr="0067507D" w:rsidRDefault="005D2595" w:rsidP="00FC3AF2">
            <w:pPr>
              <w:pStyle w:val="Tabletextright"/>
            </w:pPr>
          </w:p>
        </w:tc>
        <w:tc>
          <w:tcPr>
            <w:tcW w:w="1139" w:type="dxa"/>
            <w:shd w:val="clear" w:color="auto" w:fill="FFFFFF" w:themeFill="background1"/>
            <w:noWrap/>
          </w:tcPr>
          <w:p w14:paraId="19203070" w14:textId="77777777" w:rsidR="005D2595" w:rsidRPr="0067507D" w:rsidRDefault="005D2595" w:rsidP="00FC3AF2">
            <w:pPr>
              <w:pStyle w:val="Tabletextright"/>
            </w:pPr>
          </w:p>
        </w:tc>
      </w:tr>
      <w:tr w:rsidR="005D2595" w:rsidRPr="0067507D" w14:paraId="512D7A9B" w14:textId="77777777" w:rsidTr="00FC3AF2">
        <w:trPr>
          <w:cantSplit/>
        </w:trPr>
        <w:tc>
          <w:tcPr>
            <w:tcW w:w="4140" w:type="dxa"/>
          </w:tcPr>
          <w:p w14:paraId="246DC758" w14:textId="77777777" w:rsidR="005D2595" w:rsidRPr="0067507D" w:rsidRDefault="005D2595" w:rsidP="00FC3AF2">
            <w:pPr>
              <w:pStyle w:val="Tabletextbold"/>
            </w:pPr>
            <w:r w:rsidRPr="0067507D">
              <w:t>Net result</w:t>
            </w:r>
          </w:p>
        </w:tc>
        <w:tc>
          <w:tcPr>
            <w:tcW w:w="882" w:type="dxa"/>
          </w:tcPr>
          <w:p w14:paraId="22853CFC" w14:textId="77777777" w:rsidR="005D2595" w:rsidRPr="0067507D" w:rsidRDefault="005D2595" w:rsidP="00FC3AF2">
            <w:pPr>
              <w:pStyle w:val="Tabletextcentred"/>
            </w:pPr>
          </w:p>
        </w:tc>
        <w:tc>
          <w:tcPr>
            <w:tcW w:w="1139" w:type="dxa"/>
            <w:shd w:val="clear" w:color="auto" w:fill="E0E0E0"/>
            <w:noWrap/>
          </w:tcPr>
          <w:p w14:paraId="6C815AFF" w14:textId="77777777" w:rsidR="005D2595" w:rsidRPr="0067507D" w:rsidRDefault="005D2595" w:rsidP="00FC3AF2">
            <w:pPr>
              <w:pStyle w:val="Tabletextrightbold"/>
            </w:pPr>
            <w:r w:rsidRPr="0067507D">
              <w:t xml:space="preserve">6 542 </w:t>
            </w:r>
          </w:p>
        </w:tc>
        <w:tc>
          <w:tcPr>
            <w:tcW w:w="1139" w:type="dxa"/>
            <w:noWrap/>
          </w:tcPr>
          <w:p w14:paraId="398CE578" w14:textId="77777777" w:rsidR="005D2595" w:rsidRPr="0067507D" w:rsidRDefault="005D2595" w:rsidP="00FC3AF2">
            <w:pPr>
              <w:pStyle w:val="Tabletextrightbold"/>
            </w:pPr>
            <w:r w:rsidRPr="0067507D">
              <w:t xml:space="preserve"> 682 </w:t>
            </w:r>
          </w:p>
        </w:tc>
        <w:tc>
          <w:tcPr>
            <w:tcW w:w="1139" w:type="dxa"/>
            <w:shd w:val="clear" w:color="auto" w:fill="E0E0E0"/>
            <w:noWrap/>
          </w:tcPr>
          <w:p w14:paraId="6D4BF7BF" w14:textId="77777777" w:rsidR="005D2595" w:rsidRPr="0067507D" w:rsidRDefault="005D2595" w:rsidP="00FC3AF2">
            <w:pPr>
              <w:pStyle w:val="Tabletextrightbold"/>
            </w:pPr>
            <w:r w:rsidRPr="0067507D">
              <w:t xml:space="preserve"> 26 </w:t>
            </w:r>
          </w:p>
        </w:tc>
        <w:tc>
          <w:tcPr>
            <w:tcW w:w="1139" w:type="dxa"/>
            <w:shd w:val="clear" w:color="auto" w:fill="FFFFFF" w:themeFill="background1"/>
            <w:noWrap/>
          </w:tcPr>
          <w:p w14:paraId="166C3B59" w14:textId="77777777" w:rsidR="005D2595" w:rsidRPr="0067507D" w:rsidRDefault="005D2595" w:rsidP="00FC3AF2">
            <w:pPr>
              <w:pStyle w:val="Tabletextrightbold"/>
            </w:pPr>
            <w:r w:rsidRPr="0067507D">
              <w:t xml:space="preserve"> 68 </w:t>
            </w:r>
          </w:p>
        </w:tc>
      </w:tr>
      <w:tr w:rsidR="005D2595" w:rsidRPr="002F6A35" w14:paraId="22EB2D8B" w14:textId="77777777" w:rsidTr="00FC3AF2">
        <w:trPr>
          <w:cantSplit/>
          <w:trHeight w:hRule="exact" w:val="57"/>
        </w:trPr>
        <w:tc>
          <w:tcPr>
            <w:tcW w:w="4140" w:type="dxa"/>
          </w:tcPr>
          <w:p w14:paraId="58C56BC4" w14:textId="77777777" w:rsidR="005D2595" w:rsidRPr="002F6A35" w:rsidRDefault="005D2595" w:rsidP="00FC3AF2">
            <w:pPr>
              <w:pStyle w:val="Tabletext"/>
            </w:pPr>
          </w:p>
        </w:tc>
        <w:tc>
          <w:tcPr>
            <w:tcW w:w="882" w:type="dxa"/>
          </w:tcPr>
          <w:p w14:paraId="28C427C7" w14:textId="77777777" w:rsidR="005D2595" w:rsidRPr="002F6A35" w:rsidRDefault="005D2595" w:rsidP="00FC3AF2">
            <w:pPr>
              <w:pStyle w:val="Tabletextcentred"/>
            </w:pPr>
          </w:p>
        </w:tc>
        <w:tc>
          <w:tcPr>
            <w:tcW w:w="1139" w:type="dxa"/>
            <w:shd w:val="clear" w:color="auto" w:fill="E0E0E0"/>
            <w:noWrap/>
          </w:tcPr>
          <w:p w14:paraId="0836D483" w14:textId="77777777" w:rsidR="005D2595" w:rsidRPr="002F6A35" w:rsidRDefault="005D2595" w:rsidP="00FC3AF2">
            <w:pPr>
              <w:pStyle w:val="Tabletextright"/>
            </w:pPr>
          </w:p>
        </w:tc>
        <w:tc>
          <w:tcPr>
            <w:tcW w:w="1139" w:type="dxa"/>
            <w:noWrap/>
          </w:tcPr>
          <w:p w14:paraId="3A83698D" w14:textId="77777777" w:rsidR="005D2595" w:rsidRPr="002F6A35" w:rsidRDefault="005D2595" w:rsidP="00FC3AF2">
            <w:pPr>
              <w:pStyle w:val="Tabletextright"/>
            </w:pPr>
          </w:p>
        </w:tc>
        <w:tc>
          <w:tcPr>
            <w:tcW w:w="1139" w:type="dxa"/>
            <w:shd w:val="clear" w:color="auto" w:fill="E0E0E0"/>
            <w:noWrap/>
          </w:tcPr>
          <w:p w14:paraId="5E751665" w14:textId="77777777" w:rsidR="005D2595" w:rsidRPr="002F6A35" w:rsidRDefault="005D2595" w:rsidP="00FC3AF2">
            <w:pPr>
              <w:pStyle w:val="Tabletextright"/>
            </w:pPr>
          </w:p>
        </w:tc>
        <w:tc>
          <w:tcPr>
            <w:tcW w:w="1139" w:type="dxa"/>
            <w:shd w:val="clear" w:color="auto" w:fill="FFFFFF" w:themeFill="background1"/>
            <w:noWrap/>
          </w:tcPr>
          <w:p w14:paraId="4CE9082B" w14:textId="77777777" w:rsidR="005D2595" w:rsidRPr="002F6A35" w:rsidRDefault="005D2595" w:rsidP="00FC3AF2">
            <w:pPr>
              <w:pStyle w:val="Tabletextright"/>
            </w:pPr>
          </w:p>
        </w:tc>
      </w:tr>
      <w:tr w:rsidR="005D2595" w:rsidRPr="0067507D" w14:paraId="43495308" w14:textId="77777777" w:rsidTr="00FC3AF2">
        <w:trPr>
          <w:cantSplit/>
        </w:trPr>
        <w:tc>
          <w:tcPr>
            <w:tcW w:w="4140" w:type="dxa"/>
          </w:tcPr>
          <w:p w14:paraId="333EF1C2" w14:textId="77777777" w:rsidR="005D2595" w:rsidRPr="0067507D" w:rsidRDefault="005D2595" w:rsidP="00FC3AF2">
            <w:pPr>
              <w:pStyle w:val="Tabletextbold"/>
            </w:pPr>
            <w:r w:rsidRPr="0067507D">
              <w:t>Comprehensive result</w:t>
            </w:r>
          </w:p>
        </w:tc>
        <w:tc>
          <w:tcPr>
            <w:tcW w:w="882" w:type="dxa"/>
          </w:tcPr>
          <w:p w14:paraId="10CD652A" w14:textId="77777777" w:rsidR="005D2595" w:rsidRPr="0067507D" w:rsidRDefault="005D2595" w:rsidP="00FC3AF2">
            <w:pPr>
              <w:pStyle w:val="Tabletextcentred"/>
            </w:pPr>
          </w:p>
        </w:tc>
        <w:tc>
          <w:tcPr>
            <w:tcW w:w="1139" w:type="dxa"/>
            <w:shd w:val="clear" w:color="auto" w:fill="E0E0E0"/>
            <w:noWrap/>
          </w:tcPr>
          <w:p w14:paraId="32AEACE3" w14:textId="77777777" w:rsidR="005D2595" w:rsidRPr="0067507D" w:rsidRDefault="005D2595" w:rsidP="00FC3AF2">
            <w:pPr>
              <w:pStyle w:val="Tabletextrightbold"/>
            </w:pPr>
            <w:r w:rsidRPr="0067507D">
              <w:t xml:space="preserve">6 542 </w:t>
            </w:r>
          </w:p>
        </w:tc>
        <w:tc>
          <w:tcPr>
            <w:tcW w:w="1139" w:type="dxa"/>
            <w:noWrap/>
          </w:tcPr>
          <w:p w14:paraId="722B55E1" w14:textId="77777777" w:rsidR="005D2595" w:rsidRPr="0067507D" w:rsidRDefault="005D2595" w:rsidP="00FC3AF2">
            <w:pPr>
              <w:pStyle w:val="Tabletextrightbold"/>
            </w:pPr>
            <w:r w:rsidRPr="0067507D">
              <w:t xml:space="preserve"> 682 </w:t>
            </w:r>
          </w:p>
        </w:tc>
        <w:tc>
          <w:tcPr>
            <w:tcW w:w="1139" w:type="dxa"/>
            <w:shd w:val="clear" w:color="auto" w:fill="E0E0E0"/>
            <w:noWrap/>
          </w:tcPr>
          <w:p w14:paraId="038A9BA4" w14:textId="77777777" w:rsidR="005D2595" w:rsidRPr="0067507D" w:rsidRDefault="005D2595" w:rsidP="00FC3AF2">
            <w:pPr>
              <w:pStyle w:val="Tabletextrightbold"/>
            </w:pPr>
            <w:r w:rsidRPr="0067507D">
              <w:t xml:space="preserve"> 26 </w:t>
            </w:r>
          </w:p>
        </w:tc>
        <w:tc>
          <w:tcPr>
            <w:tcW w:w="1139" w:type="dxa"/>
            <w:shd w:val="clear" w:color="auto" w:fill="FFFFFF" w:themeFill="background1"/>
            <w:noWrap/>
          </w:tcPr>
          <w:p w14:paraId="7781A2A4" w14:textId="77777777" w:rsidR="005D2595" w:rsidRPr="0067507D" w:rsidRDefault="005D2595" w:rsidP="00FC3AF2">
            <w:pPr>
              <w:pStyle w:val="Tabletextrightbold"/>
            </w:pPr>
            <w:r w:rsidRPr="0067507D">
              <w:t xml:space="preserve"> 68 </w:t>
            </w:r>
          </w:p>
        </w:tc>
      </w:tr>
      <w:tr w:rsidR="005D2595" w:rsidRPr="002F6A35" w14:paraId="4A65F050" w14:textId="77777777" w:rsidTr="00FC3AF2">
        <w:trPr>
          <w:cantSplit/>
          <w:trHeight w:hRule="exact" w:val="58"/>
        </w:trPr>
        <w:tc>
          <w:tcPr>
            <w:tcW w:w="4140" w:type="dxa"/>
          </w:tcPr>
          <w:p w14:paraId="6F0331A5" w14:textId="77777777" w:rsidR="005D2595" w:rsidRPr="002F6A35" w:rsidRDefault="005D2595" w:rsidP="00FC3AF2">
            <w:pPr>
              <w:pStyle w:val="Tabletext"/>
            </w:pPr>
          </w:p>
        </w:tc>
        <w:tc>
          <w:tcPr>
            <w:tcW w:w="882" w:type="dxa"/>
          </w:tcPr>
          <w:p w14:paraId="68947BAD" w14:textId="77777777" w:rsidR="005D2595" w:rsidRPr="002F6A35" w:rsidRDefault="005D2595" w:rsidP="00FC3AF2">
            <w:pPr>
              <w:pStyle w:val="Tabletextcentred"/>
            </w:pPr>
          </w:p>
        </w:tc>
        <w:tc>
          <w:tcPr>
            <w:tcW w:w="1139" w:type="dxa"/>
            <w:shd w:val="clear" w:color="auto" w:fill="E0E0E0"/>
            <w:noWrap/>
          </w:tcPr>
          <w:p w14:paraId="23599C0D" w14:textId="77777777" w:rsidR="005D2595" w:rsidRPr="002F6A35" w:rsidRDefault="005D2595" w:rsidP="00FC3AF2">
            <w:pPr>
              <w:pStyle w:val="Tabletextright"/>
            </w:pPr>
          </w:p>
        </w:tc>
        <w:tc>
          <w:tcPr>
            <w:tcW w:w="1139" w:type="dxa"/>
            <w:noWrap/>
          </w:tcPr>
          <w:p w14:paraId="3FC47065" w14:textId="77777777" w:rsidR="005D2595" w:rsidRPr="002F6A35" w:rsidRDefault="005D2595" w:rsidP="00FC3AF2">
            <w:pPr>
              <w:pStyle w:val="Tabletextright"/>
            </w:pPr>
          </w:p>
        </w:tc>
        <w:tc>
          <w:tcPr>
            <w:tcW w:w="1139" w:type="dxa"/>
            <w:shd w:val="clear" w:color="auto" w:fill="E0E0E0"/>
            <w:noWrap/>
          </w:tcPr>
          <w:p w14:paraId="6E18AC14" w14:textId="77777777" w:rsidR="005D2595" w:rsidRPr="002F6A35" w:rsidRDefault="005D2595" w:rsidP="00FC3AF2">
            <w:pPr>
              <w:pStyle w:val="Tabletextright"/>
            </w:pPr>
          </w:p>
        </w:tc>
        <w:tc>
          <w:tcPr>
            <w:tcW w:w="1139" w:type="dxa"/>
            <w:shd w:val="clear" w:color="auto" w:fill="FFFFFF" w:themeFill="background1"/>
            <w:noWrap/>
          </w:tcPr>
          <w:p w14:paraId="438E6FDB" w14:textId="77777777" w:rsidR="005D2595" w:rsidRPr="002F6A35" w:rsidRDefault="005D2595" w:rsidP="00FC3AF2">
            <w:pPr>
              <w:pStyle w:val="Tabletextright"/>
            </w:pPr>
          </w:p>
        </w:tc>
      </w:tr>
      <w:tr w:rsidR="005D2595" w:rsidRPr="0067507D" w14:paraId="5ABF0086" w14:textId="77777777" w:rsidTr="00FC3AF2">
        <w:trPr>
          <w:cantSplit/>
        </w:trPr>
        <w:tc>
          <w:tcPr>
            <w:tcW w:w="4140" w:type="dxa"/>
          </w:tcPr>
          <w:p w14:paraId="43C0F90A" w14:textId="77777777" w:rsidR="005D2595" w:rsidRPr="0067507D" w:rsidRDefault="005D2595" w:rsidP="00FC3AF2">
            <w:pPr>
              <w:pStyle w:val="Tabletextbold"/>
            </w:pPr>
            <w:r w:rsidRPr="0067507D">
              <w:t>Controlled assets and liabilities at 30 June 2025</w:t>
            </w:r>
          </w:p>
        </w:tc>
        <w:tc>
          <w:tcPr>
            <w:tcW w:w="882" w:type="dxa"/>
          </w:tcPr>
          <w:p w14:paraId="5D1ED583" w14:textId="77777777" w:rsidR="005D2595" w:rsidRPr="0067507D" w:rsidRDefault="005D2595" w:rsidP="00FC3AF2">
            <w:pPr>
              <w:pStyle w:val="Tabletextcentred"/>
            </w:pPr>
          </w:p>
        </w:tc>
        <w:tc>
          <w:tcPr>
            <w:tcW w:w="1139" w:type="dxa"/>
            <w:shd w:val="clear" w:color="auto" w:fill="E0E0E0"/>
            <w:noWrap/>
          </w:tcPr>
          <w:p w14:paraId="02F1FD7A" w14:textId="77777777" w:rsidR="005D2595" w:rsidRPr="0067507D" w:rsidRDefault="005D2595" w:rsidP="00FC3AF2">
            <w:pPr>
              <w:pStyle w:val="Tabletextright"/>
            </w:pPr>
          </w:p>
        </w:tc>
        <w:tc>
          <w:tcPr>
            <w:tcW w:w="1139" w:type="dxa"/>
            <w:noWrap/>
          </w:tcPr>
          <w:p w14:paraId="1895E09A" w14:textId="77777777" w:rsidR="005D2595" w:rsidRPr="0067507D" w:rsidRDefault="005D2595" w:rsidP="00FC3AF2">
            <w:pPr>
              <w:pStyle w:val="Tabletextright"/>
            </w:pPr>
          </w:p>
        </w:tc>
        <w:tc>
          <w:tcPr>
            <w:tcW w:w="1139" w:type="dxa"/>
            <w:shd w:val="clear" w:color="auto" w:fill="E0E0E0"/>
            <w:noWrap/>
          </w:tcPr>
          <w:p w14:paraId="48D63F07" w14:textId="77777777" w:rsidR="005D2595" w:rsidRPr="0067507D" w:rsidRDefault="005D2595" w:rsidP="00FC3AF2">
            <w:pPr>
              <w:pStyle w:val="Tabletextright"/>
            </w:pPr>
          </w:p>
        </w:tc>
        <w:tc>
          <w:tcPr>
            <w:tcW w:w="1139" w:type="dxa"/>
            <w:shd w:val="clear" w:color="auto" w:fill="FFFFFF" w:themeFill="background1"/>
            <w:noWrap/>
          </w:tcPr>
          <w:p w14:paraId="5E3CBA2C" w14:textId="77777777" w:rsidR="005D2595" w:rsidRPr="0067507D" w:rsidRDefault="005D2595" w:rsidP="00FC3AF2">
            <w:pPr>
              <w:pStyle w:val="Tabletextright"/>
            </w:pPr>
          </w:p>
        </w:tc>
      </w:tr>
      <w:tr w:rsidR="005D2595" w:rsidRPr="002F6A35" w14:paraId="1238B978" w14:textId="77777777" w:rsidTr="00FC3AF2">
        <w:trPr>
          <w:cantSplit/>
          <w:trHeight w:hRule="exact" w:val="57"/>
        </w:trPr>
        <w:tc>
          <w:tcPr>
            <w:tcW w:w="4140" w:type="dxa"/>
          </w:tcPr>
          <w:p w14:paraId="6C840D03" w14:textId="77777777" w:rsidR="005D2595" w:rsidRPr="002F6A35" w:rsidRDefault="005D2595" w:rsidP="00FC3AF2">
            <w:pPr>
              <w:pStyle w:val="Tabletext"/>
            </w:pPr>
          </w:p>
        </w:tc>
        <w:tc>
          <w:tcPr>
            <w:tcW w:w="882" w:type="dxa"/>
          </w:tcPr>
          <w:p w14:paraId="20F4215B" w14:textId="77777777" w:rsidR="005D2595" w:rsidRPr="002F6A35" w:rsidRDefault="005D2595" w:rsidP="00FC3AF2">
            <w:pPr>
              <w:pStyle w:val="Tabletextcentred"/>
            </w:pPr>
          </w:p>
        </w:tc>
        <w:tc>
          <w:tcPr>
            <w:tcW w:w="1139" w:type="dxa"/>
            <w:shd w:val="clear" w:color="auto" w:fill="E0E0E0"/>
            <w:noWrap/>
          </w:tcPr>
          <w:p w14:paraId="50B05DE0" w14:textId="77777777" w:rsidR="005D2595" w:rsidRPr="002F6A35" w:rsidRDefault="005D2595" w:rsidP="00FC3AF2">
            <w:pPr>
              <w:pStyle w:val="Tabletextright"/>
            </w:pPr>
          </w:p>
        </w:tc>
        <w:tc>
          <w:tcPr>
            <w:tcW w:w="1139" w:type="dxa"/>
            <w:noWrap/>
          </w:tcPr>
          <w:p w14:paraId="190E2E99" w14:textId="77777777" w:rsidR="005D2595" w:rsidRPr="002F6A35" w:rsidRDefault="005D2595" w:rsidP="00FC3AF2">
            <w:pPr>
              <w:pStyle w:val="Tabletextright"/>
            </w:pPr>
          </w:p>
        </w:tc>
        <w:tc>
          <w:tcPr>
            <w:tcW w:w="1139" w:type="dxa"/>
            <w:shd w:val="clear" w:color="auto" w:fill="E0E0E0"/>
            <w:noWrap/>
          </w:tcPr>
          <w:p w14:paraId="501E5D5A" w14:textId="77777777" w:rsidR="005D2595" w:rsidRPr="002F6A35" w:rsidRDefault="005D2595" w:rsidP="00FC3AF2">
            <w:pPr>
              <w:pStyle w:val="Tabletextright"/>
            </w:pPr>
          </w:p>
        </w:tc>
        <w:tc>
          <w:tcPr>
            <w:tcW w:w="1139" w:type="dxa"/>
            <w:shd w:val="clear" w:color="auto" w:fill="FFFFFF" w:themeFill="background1"/>
            <w:noWrap/>
          </w:tcPr>
          <w:p w14:paraId="37F02142" w14:textId="77777777" w:rsidR="005D2595" w:rsidRPr="002F6A35" w:rsidRDefault="005D2595" w:rsidP="00FC3AF2">
            <w:pPr>
              <w:pStyle w:val="Tabletextright"/>
            </w:pPr>
          </w:p>
        </w:tc>
      </w:tr>
      <w:tr w:rsidR="005D2595" w:rsidRPr="0067507D" w14:paraId="74A3D6EE" w14:textId="77777777" w:rsidTr="00FC3AF2">
        <w:trPr>
          <w:cantSplit/>
        </w:trPr>
        <w:tc>
          <w:tcPr>
            <w:tcW w:w="4140" w:type="dxa"/>
          </w:tcPr>
          <w:p w14:paraId="252FF7ED" w14:textId="77777777" w:rsidR="005D2595" w:rsidRPr="0067507D" w:rsidRDefault="005D2595" w:rsidP="00FC3AF2">
            <w:pPr>
              <w:pStyle w:val="Tabletextbold"/>
            </w:pPr>
            <w:r w:rsidRPr="0067507D">
              <w:t>Assets</w:t>
            </w:r>
          </w:p>
        </w:tc>
        <w:tc>
          <w:tcPr>
            <w:tcW w:w="882" w:type="dxa"/>
          </w:tcPr>
          <w:p w14:paraId="3C4715F1" w14:textId="77777777" w:rsidR="005D2595" w:rsidRPr="0067507D" w:rsidRDefault="005D2595" w:rsidP="00FC3AF2">
            <w:pPr>
              <w:pStyle w:val="Tabletextcentred"/>
            </w:pPr>
          </w:p>
        </w:tc>
        <w:tc>
          <w:tcPr>
            <w:tcW w:w="1139" w:type="dxa"/>
            <w:shd w:val="clear" w:color="auto" w:fill="E0E0E0"/>
            <w:noWrap/>
          </w:tcPr>
          <w:p w14:paraId="0E218609" w14:textId="77777777" w:rsidR="005D2595" w:rsidRPr="0067507D" w:rsidRDefault="005D2595" w:rsidP="00FC3AF2">
            <w:pPr>
              <w:pStyle w:val="Tabletextright"/>
            </w:pPr>
          </w:p>
        </w:tc>
        <w:tc>
          <w:tcPr>
            <w:tcW w:w="1139" w:type="dxa"/>
            <w:noWrap/>
          </w:tcPr>
          <w:p w14:paraId="371FC5B0" w14:textId="77777777" w:rsidR="005D2595" w:rsidRPr="0067507D" w:rsidRDefault="005D2595" w:rsidP="00FC3AF2">
            <w:pPr>
              <w:pStyle w:val="Tabletextright"/>
            </w:pPr>
          </w:p>
        </w:tc>
        <w:tc>
          <w:tcPr>
            <w:tcW w:w="1139" w:type="dxa"/>
            <w:shd w:val="clear" w:color="auto" w:fill="E0E0E0"/>
            <w:noWrap/>
          </w:tcPr>
          <w:p w14:paraId="58EFB02D" w14:textId="77777777" w:rsidR="005D2595" w:rsidRPr="0067507D" w:rsidRDefault="005D2595" w:rsidP="00FC3AF2">
            <w:pPr>
              <w:pStyle w:val="Tabletextright"/>
            </w:pPr>
          </w:p>
        </w:tc>
        <w:tc>
          <w:tcPr>
            <w:tcW w:w="1139" w:type="dxa"/>
            <w:shd w:val="clear" w:color="auto" w:fill="FFFFFF" w:themeFill="background1"/>
            <w:noWrap/>
          </w:tcPr>
          <w:p w14:paraId="7E4693DF" w14:textId="77777777" w:rsidR="005D2595" w:rsidRPr="0067507D" w:rsidRDefault="005D2595" w:rsidP="00FC3AF2">
            <w:pPr>
              <w:pStyle w:val="Tabletextright"/>
            </w:pPr>
          </w:p>
        </w:tc>
      </w:tr>
      <w:tr w:rsidR="005D2595" w:rsidRPr="0067507D" w14:paraId="1B2AB64A" w14:textId="77777777" w:rsidTr="00FC3AF2">
        <w:trPr>
          <w:cantSplit/>
        </w:trPr>
        <w:tc>
          <w:tcPr>
            <w:tcW w:w="4140" w:type="dxa"/>
          </w:tcPr>
          <w:p w14:paraId="4C7971A7" w14:textId="77777777" w:rsidR="005D2595" w:rsidRPr="0067507D" w:rsidRDefault="005D2595" w:rsidP="00FC3AF2">
            <w:pPr>
              <w:pStyle w:val="Tabletext"/>
            </w:pPr>
            <w:r w:rsidRPr="0067507D">
              <w:t xml:space="preserve">Financial assets </w:t>
            </w:r>
          </w:p>
        </w:tc>
        <w:tc>
          <w:tcPr>
            <w:tcW w:w="882" w:type="dxa"/>
          </w:tcPr>
          <w:p w14:paraId="6A0A03FC" w14:textId="77777777" w:rsidR="005D2595" w:rsidRPr="0067507D" w:rsidRDefault="005D2595" w:rsidP="00FC3AF2">
            <w:pPr>
              <w:pStyle w:val="Tabletextcentred"/>
            </w:pPr>
          </w:p>
        </w:tc>
        <w:tc>
          <w:tcPr>
            <w:tcW w:w="1139" w:type="dxa"/>
            <w:shd w:val="clear" w:color="auto" w:fill="E0E0E0"/>
            <w:noWrap/>
          </w:tcPr>
          <w:p w14:paraId="1D47BF1A" w14:textId="77777777" w:rsidR="005D2595" w:rsidRPr="0067507D" w:rsidRDefault="005D2595" w:rsidP="00FC3AF2">
            <w:pPr>
              <w:pStyle w:val="Tabletextright"/>
            </w:pPr>
            <w:r w:rsidRPr="0067507D">
              <w:t xml:space="preserve">70 832 </w:t>
            </w:r>
          </w:p>
        </w:tc>
        <w:tc>
          <w:tcPr>
            <w:tcW w:w="1139" w:type="dxa"/>
            <w:noWrap/>
          </w:tcPr>
          <w:p w14:paraId="647B1924" w14:textId="77777777" w:rsidR="005D2595" w:rsidRPr="0067507D" w:rsidRDefault="005D2595" w:rsidP="00FC3AF2">
            <w:pPr>
              <w:pStyle w:val="Tabletextright"/>
            </w:pPr>
            <w:r w:rsidRPr="0067507D">
              <w:t xml:space="preserve">72 758 </w:t>
            </w:r>
          </w:p>
        </w:tc>
        <w:tc>
          <w:tcPr>
            <w:tcW w:w="1139" w:type="dxa"/>
            <w:shd w:val="clear" w:color="auto" w:fill="E0E0E0"/>
            <w:noWrap/>
          </w:tcPr>
          <w:p w14:paraId="61806BF8" w14:textId="77777777" w:rsidR="005D2595" w:rsidRPr="0067507D" w:rsidRDefault="005D2595" w:rsidP="00FC3AF2">
            <w:pPr>
              <w:pStyle w:val="Tabletextright"/>
            </w:pPr>
            <w:r w:rsidRPr="0067507D">
              <w:t xml:space="preserve">45 746 </w:t>
            </w:r>
          </w:p>
        </w:tc>
        <w:tc>
          <w:tcPr>
            <w:tcW w:w="1139" w:type="dxa"/>
            <w:shd w:val="clear" w:color="auto" w:fill="FFFFFF" w:themeFill="background1"/>
            <w:noWrap/>
          </w:tcPr>
          <w:p w14:paraId="16BAE688" w14:textId="77777777" w:rsidR="005D2595" w:rsidRPr="0067507D" w:rsidRDefault="005D2595" w:rsidP="00FC3AF2">
            <w:pPr>
              <w:pStyle w:val="Tabletextright"/>
            </w:pPr>
            <w:r w:rsidRPr="0067507D">
              <w:t xml:space="preserve">51 205 </w:t>
            </w:r>
          </w:p>
        </w:tc>
      </w:tr>
      <w:tr w:rsidR="005D2595" w:rsidRPr="0067507D" w14:paraId="508F3B07" w14:textId="77777777" w:rsidTr="00FC3AF2">
        <w:trPr>
          <w:cantSplit/>
        </w:trPr>
        <w:tc>
          <w:tcPr>
            <w:tcW w:w="4140" w:type="dxa"/>
          </w:tcPr>
          <w:p w14:paraId="50A00847" w14:textId="6964C7FE" w:rsidR="005D2595" w:rsidRPr="0067507D" w:rsidRDefault="005D2595" w:rsidP="00FC3AF2">
            <w:pPr>
              <w:pStyle w:val="Tabletext"/>
            </w:pPr>
            <w:r w:rsidRPr="0067507D">
              <w:t>Non</w:t>
            </w:r>
            <w:r w:rsidR="006A5485">
              <w:noBreakHyphen/>
            </w:r>
            <w:r w:rsidRPr="0067507D">
              <w:t>financial assets</w:t>
            </w:r>
          </w:p>
        </w:tc>
        <w:tc>
          <w:tcPr>
            <w:tcW w:w="882" w:type="dxa"/>
          </w:tcPr>
          <w:p w14:paraId="266A6C01" w14:textId="77777777" w:rsidR="005D2595" w:rsidRPr="0067507D" w:rsidRDefault="005D2595" w:rsidP="00FC3AF2">
            <w:pPr>
              <w:pStyle w:val="Tabletextcentred"/>
            </w:pPr>
          </w:p>
        </w:tc>
        <w:tc>
          <w:tcPr>
            <w:tcW w:w="1139" w:type="dxa"/>
            <w:shd w:val="clear" w:color="auto" w:fill="E0E0E0"/>
            <w:noWrap/>
          </w:tcPr>
          <w:p w14:paraId="5BBE1E88" w14:textId="77777777" w:rsidR="005D2595" w:rsidRPr="0067507D" w:rsidRDefault="005D2595" w:rsidP="00FC3AF2">
            <w:pPr>
              <w:pStyle w:val="Tabletextright"/>
            </w:pPr>
            <w:r w:rsidRPr="0067507D">
              <w:t xml:space="preserve">48 317 </w:t>
            </w:r>
          </w:p>
        </w:tc>
        <w:tc>
          <w:tcPr>
            <w:tcW w:w="1139" w:type="dxa"/>
            <w:noWrap/>
          </w:tcPr>
          <w:p w14:paraId="27A61BC7" w14:textId="77777777" w:rsidR="005D2595" w:rsidRPr="0067507D" w:rsidRDefault="005D2595" w:rsidP="00FC3AF2">
            <w:pPr>
              <w:pStyle w:val="Tabletextright"/>
            </w:pPr>
            <w:r w:rsidRPr="0067507D">
              <w:t xml:space="preserve">49 454 </w:t>
            </w:r>
          </w:p>
        </w:tc>
        <w:tc>
          <w:tcPr>
            <w:tcW w:w="1139" w:type="dxa"/>
            <w:shd w:val="clear" w:color="auto" w:fill="E0E0E0"/>
            <w:noWrap/>
          </w:tcPr>
          <w:p w14:paraId="2A846900" w14:textId="77777777" w:rsidR="005D2595" w:rsidRPr="0067507D" w:rsidRDefault="005D2595" w:rsidP="00FC3AF2">
            <w:pPr>
              <w:pStyle w:val="Tabletextright"/>
            </w:pPr>
            <w:r w:rsidRPr="0067507D">
              <w:t xml:space="preserve"> 313 </w:t>
            </w:r>
          </w:p>
        </w:tc>
        <w:tc>
          <w:tcPr>
            <w:tcW w:w="1139" w:type="dxa"/>
            <w:shd w:val="clear" w:color="auto" w:fill="FFFFFF" w:themeFill="background1"/>
            <w:noWrap/>
          </w:tcPr>
          <w:p w14:paraId="34BCF852" w14:textId="77777777" w:rsidR="005D2595" w:rsidRPr="0067507D" w:rsidRDefault="005D2595" w:rsidP="00FC3AF2">
            <w:pPr>
              <w:pStyle w:val="Tabletextright"/>
            </w:pPr>
            <w:r w:rsidRPr="0067507D">
              <w:t xml:space="preserve"> 543 </w:t>
            </w:r>
          </w:p>
        </w:tc>
      </w:tr>
      <w:tr w:rsidR="005D2595" w:rsidRPr="0067507D" w14:paraId="6A19593A" w14:textId="77777777" w:rsidTr="00FC3AF2">
        <w:trPr>
          <w:cantSplit/>
        </w:trPr>
        <w:tc>
          <w:tcPr>
            <w:tcW w:w="4140" w:type="dxa"/>
          </w:tcPr>
          <w:p w14:paraId="21D86232" w14:textId="77777777" w:rsidR="005D2595" w:rsidRPr="0067507D" w:rsidRDefault="005D2595" w:rsidP="00FC3AF2">
            <w:pPr>
              <w:pStyle w:val="Tabletextbold"/>
            </w:pPr>
            <w:r w:rsidRPr="0067507D">
              <w:t xml:space="preserve">Total assets </w:t>
            </w:r>
          </w:p>
        </w:tc>
        <w:tc>
          <w:tcPr>
            <w:tcW w:w="882" w:type="dxa"/>
          </w:tcPr>
          <w:p w14:paraId="053BEC2A" w14:textId="77777777" w:rsidR="005D2595" w:rsidRPr="0067507D" w:rsidRDefault="005D2595" w:rsidP="00FC3AF2">
            <w:pPr>
              <w:pStyle w:val="Tabletextcentred"/>
            </w:pPr>
          </w:p>
        </w:tc>
        <w:tc>
          <w:tcPr>
            <w:tcW w:w="1139" w:type="dxa"/>
            <w:shd w:val="clear" w:color="auto" w:fill="E0E0E0"/>
            <w:noWrap/>
          </w:tcPr>
          <w:p w14:paraId="66DFAC1F" w14:textId="77777777" w:rsidR="005D2595" w:rsidRPr="0067507D" w:rsidRDefault="005D2595" w:rsidP="00FC3AF2">
            <w:pPr>
              <w:pStyle w:val="Tabletextrightbold"/>
            </w:pPr>
            <w:r w:rsidRPr="0067507D">
              <w:t xml:space="preserve">119 149 </w:t>
            </w:r>
          </w:p>
        </w:tc>
        <w:tc>
          <w:tcPr>
            <w:tcW w:w="1139" w:type="dxa"/>
            <w:noWrap/>
          </w:tcPr>
          <w:p w14:paraId="2DDB0930" w14:textId="77777777" w:rsidR="005D2595" w:rsidRPr="0067507D" w:rsidRDefault="005D2595" w:rsidP="00FC3AF2">
            <w:pPr>
              <w:pStyle w:val="Tabletextrightbold"/>
            </w:pPr>
            <w:r w:rsidRPr="0067507D">
              <w:t xml:space="preserve">122 212 </w:t>
            </w:r>
          </w:p>
        </w:tc>
        <w:tc>
          <w:tcPr>
            <w:tcW w:w="1139" w:type="dxa"/>
            <w:shd w:val="clear" w:color="auto" w:fill="E0E0E0"/>
            <w:noWrap/>
          </w:tcPr>
          <w:p w14:paraId="46FC4DCE" w14:textId="77777777" w:rsidR="005D2595" w:rsidRPr="0067507D" w:rsidRDefault="005D2595" w:rsidP="00FC3AF2">
            <w:pPr>
              <w:pStyle w:val="Tabletextrightbold"/>
            </w:pPr>
            <w:r w:rsidRPr="0067507D">
              <w:t xml:space="preserve">46 059 </w:t>
            </w:r>
          </w:p>
        </w:tc>
        <w:tc>
          <w:tcPr>
            <w:tcW w:w="1139" w:type="dxa"/>
            <w:shd w:val="clear" w:color="auto" w:fill="FFFFFF" w:themeFill="background1"/>
            <w:noWrap/>
          </w:tcPr>
          <w:p w14:paraId="5841A9BB" w14:textId="77777777" w:rsidR="005D2595" w:rsidRPr="0067507D" w:rsidRDefault="005D2595" w:rsidP="00FC3AF2">
            <w:pPr>
              <w:pStyle w:val="Tabletextrightbold"/>
            </w:pPr>
            <w:r w:rsidRPr="0067507D">
              <w:t xml:space="preserve">51 748 </w:t>
            </w:r>
          </w:p>
        </w:tc>
      </w:tr>
      <w:tr w:rsidR="005D2595" w:rsidRPr="00943D06" w14:paraId="7EF353A7" w14:textId="77777777" w:rsidTr="00FC3AF2">
        <w:trPr>
          <w:cantSplit/>
          <w:trHeight w:hRule="exact" w:val="57"/>
        </w:trPr>
        <w:tc>
          <w:tcPr>
            <w:tcW w:w="4140" w:type="dxa"/>
          </w:tcPr>
          <w:p w14:paraId="6980EE4B" w14:textId="77777777" w:rsidR="005D2595" w:rsidRPr="00943D06" w:rsidRDefault="005D2595" w:rsidP="00FC3AF2">
            <w:pPr>
              <w:pStyle w:val="Tabletext"/>
            </w:pPr>
          </w:p>
        </w:tc>
        <w:tc>
          <w:tcPr>
            <w:tcW w:w="882" w:type="dxa"/>
          </w:tcPr>
          <w:p w14:paraId="1242A67D" w14:textId="77777777" w:rsidR="005D2595" w:rsidRPr="00943D06" w:rsidRDefault="005D2595" w:rsidP="00FC3AF2">
            <w:pPr>
              <w:pStyle w:val="Tabletextcentred"/>
            </w:pPr>
          </w:p>
        </w:tc>
        <w:tc>
          <w:tcPr>
            <w:tcW w:w="1139" w:type="dxa"/>
            <w:shd w:val="clear" w:color="auto" w:fill="E0E0E0"/>
            <w:noWrap/>
          </w:tcPr>
          <w:p w14:paraId="21F9CAD3" w14:textId="77777777" w:rsidR="005D2595" w:rsidRPr="00943D06" w:rsidRDefault="005D2595" w:rsidP="00FC3AF2">
            <w:pPr>
              <w:pStyle w:val="Tabletextright"/>
            </w:pPr>
          </w:p>
        </w:tc>
        <w:tc>
          <w:tcPr>
            <w:tcW w:w="1139" w:type="dxa"/>
            <w:noWrap/>
          </w:tcPr>
          <w:p w14:paraId="06E6CA16" w14:textId="77777777" w:rsidR="005D2595" w:rsidRPr="00943D06" w:rsidRDefault="005D2595" w:rsidP="00FC3AF2">
            <w:pPr>
              <w:pStyle w:val="Tabletextright"/>
            </w:pPr>
          </w:p>
        </w:tc>
        <w:tc>
          <w:tcPr>
            <w:tcW w:w="1139" w:type="dxa"/>
            <w:shd w:val="clear" w:color="auto" w:fill="E0E0E0"/>
            <w:noWrap/>
          </w:tcPr>
          <w:p w14:paraId="5EE361C4" w14:textId="77777777" w:rsidR="005D2595" w:rsidRPr="00943D06" w:rsidRDefault="005D2595" w:rsidP="00FC3AF2">
            <w:pPr>
              <w:pStyle w:val="Tabletextright"/>
            </w:pPr>
          </w:p>
        </w:tc>
        <w:tc>
          <w:tcPr>
            <w:tcW w:w="1139" w:type="dxa"/>
            <w:shd w:val="clear" w:color="auto" w:fill="FFFFFF" w:themeFill="background1"/>
            <w:noWrap/>
          </w:tcPr>
          <w:p w14:paraId="542A89BF" w14:textId="77777777" w:rsidR="005D2595" w:rsidRPr="00943D06" w:rsidRDefault="005D2595" w:rsidP="00FC3AF2">
            <w:pPr>
              <w:pStyle w:val="Tabletextright"/>
            </w:pPr>
          </w:p>
        </w:tc>
      </w:tr>
      <w:tr w:rsidR="005D2595" w:rsidRPr="0067507D" w14:paraId="169B5E40" w14:textId="77777777" w:rsidTr="00FC3AF2">
        <w:trPr>
          <w:cantSplit/>
        </w:trPr>
        <w:tc>
          <w:tcPr>
            <w:tcW w:w="4140" w:type="dxa"/>
          </w:tcPr>
          <w:p w14:paraId="57DD23C1" w14:textId="77777777" w:rsidR="005D2595" w:rsidRPr="0067507D" w:rsidRDefault="005D2595" w:rsidP="00FC3AF2">
            <w:pPr>
              <w:pStyle w:val="Tabletextbold"/>
            </w:pPr>
            <w:r w:rsidRPr="0067507D">
              <w:t>Liabilities</w:t>
            </w:r>
          </w:p>
        </w:tc>
        <w:tc>
          <w:tcPr>
            <w:tcW w:w="882" w:type="dxa"/>
          </w:tcPr>
          <w:p w14:paraId="59B18724" w14:textId="77777777" w:rsidR="005D2595" w:rsidRPr="0067507D" w:rsidRDefault="005D2595" w:rsidP="00FC3AF2">
            <w:pPr>
              <w:pStyle w:val="Tabletextcentred"/>
            </w:pPr>
          </w:p>
        </w:tc>
        <w:tc>
          <w:tcPr>
            <w:tcW w:w="1139" w:type="dxa"/>
            <w:shd w:val="clear" w:color="auto" w:fill="E0E0E0"/>
            <w:noWrap/>
          </w:tcPr>
          <w:p w14:paraId="0A9A5CBA" w14:textId="77777777" w:rsidR="005D2595" w:rsidRPr="0067507D" w:rsidRDefault="005D2595" w:rsidP="00FC3AF2">
            <w:pPr>
              <w:pStyle w:val="Tabletextright"/>
            </w:pPr>
          </w:p>
        </w:tc>
        <w:tc>
          <w:tcPr>
            <w:tcW w:w="1139" w:type="dxa"/>
            <w:noWrap/>
          </w:tcPr>
          <w:p w14:paraId="5EE40D95" w14:textId="77777777" w:rsidR="005D2595" w:rsidRPr="0067507D" w:rsidRDefault="005D2595" w:rsidP="00FC3AF2">
            <w:pPr>
              <w:pStyle w:val="Tabletextright"/>
            </w:pPr>
          </w:p>
        </w:tc>
        <w:tc>
          <w:tcPr>
            <w:tcW w:w="1139" w:type="dxa"/>
            <w:shd w:val="clear" w:color="auto" w:fill="E0E0E0"/>
            <w:noWrap/>
          </w:tcPr>
          <w:p w14:paraId="6DE9E7F1" w14:textId="77777777" w:rsidR="005D2595" w:rsidRPr="0067507D" w:rsidRDefault="005D2595" w:rsidP="00FC3AF2">
            <w:pPr>
              <w:pStyle w:val="Tabletextright"/>
            </w:pPr>
          </w:p>
        </w:tc>
        <w:tc>
          <w:tcPr>
            <w:tcW w:w="1139" w:type="dxa"/>
            <w:shd w:val="clear" w:color="auto" w:fill="FFFFFF" w:themeFill="background1"/>
            <w:noWrap/>
          </w:tcPr>
          <w:p w14:paraId="4173E816" w14:textId="77777777" w:rsidR="005D2595" w:rsidRPr="0067507D" w:rsidRDefault="005D2595" w:rsidP="00FC3AF2">
            <w:pPr>
              <w:pStyle w:val="Tabletextright"/>
            </w:pPr>
          </w:p>
        </w:tc>
      </w:tr>
      <w:tr w:rsidR="005D2595" w:rsidRPr="0067507D" w14:paraId="36586AE0" w14:textId="77777777" w:rsidTr="00FC3AF2">
        <w:trPr>
          <w:cantSplit/>
        </w:trPr>
        <w:tc>
          <w:tcPr>
            <w:tcW w:w="4140" w:type="dxa"/>
          </w:tcPr>
          <w:p w14:paraId="617B70F3" w14:textId="77777777" w:rsidR="005D2595" w:rsidRPr="0067507D" w:rsidRDefault="005D2595" w:rsidP="00FC3AF2">
            <w:pPr>
              <w:pStyle w:val="Tabletextbold"/>
            </w:pPr>
            <w:r w:rsidRPr="0067507D">
              <w:t>Total liabilities</w:t>
            </w:r>
          </w:p>
        </w:tc>
        <w:tc>
          <w:tcPr>
            <w:tcW w:w="882" w:type="dxa"/>
          </w:tcPr>
          <w:p w14:paraId="57A900DA" w14:textId="77777777" w:rsidR="005D2595" w:rsidRPr="0067507D" w:rsidRDefault="005D2595" w:rsidP="00FC3AF2">
            <w:pPr>
              <w:pStyle w:val="Tabletextcentred"/>
            </w:pPr>
          </w:p>
        </w:tc>
        <w:tc>
          <w:tcPr>
            <w:tcW w:w="1139" w:type="dxa"/>
            <w:shd w:val="clear" w:color="auto" w:fill="E0E0E0"/>
            <w:noWrap/>
          </w:tcPr>
          <w:p w14:paraId="09929E97" w14:textId="77777777" w:rsidR="005D2595" w:rsidRPr="0067507D" w:rsidRDefault="005D2595" w:rsidP="00FC3AF2">
            <w:pPr>
              <w:pStyle w:val="Tabletextrightbold"/>
            </w:pPr>
            <w:r w:rsidRPr="0067507D">
              <w:t xml:space="preserve">77 371 </w:t>
            </w:r>
          </w:p>
        </w:tc>
        <w:tc>
          <w:tcPr>
            <w:tcW w:w="1139" w:type="dxa"/>
            <w:noWrap/>
          </w:tcPr>
          <w:p w14:paraId="58DAAFD7" w14:textId="77777777" w:rsidR="005D2595" w:rsidRPr="0067507D" w:rsidRDefault="005D2595" w:rsidP="00FC3AF2">
            <w:pPr>
              <w:pStyle w:val="Tabletextrightbold"/>
            </w:pPr>
            <w:r w:rsidRPr="0067507D">
              <w:t xml:space="preserve">95 573 </w:t>
            </w:r>
          </w:p>
        </w:tc>
        <w:tc>
          <w:tcPr>
            <w:tcW w:w="1139" w:type="dxa"/>
            <w:shd w:val="clear" w:color="auto" w:fill="E0E0E0"/>
            <w:noWrap/>
          </w:tcPr>
          <w:p w14:paraId="5898B2A8" w14:textId="77777777" w:rsidR="005D2595" w:rsidRPr="0067507D" w:rsidRDefault="005D2595" w:rsidP="00FC3AF2">
            <w:pPr>
              <w:pStyle w:val="Tabletextrightbold"/>
            </w:pPr>
            <w:r w:rsidRPr="0067507D">
              <w:t xml:space="preserve">32 437 </w:t>
            </w:r>
          </w:p>
        </w:tc>
        <w:tc>
          <w:tcPr>
            <w:tcW w:w="1139" w:type="dxa"/>
            <w:shd w:val="clear" w:color="auto" w:fill="FFFFFF" w:themeFill="background1"/>
            <w:noWrap/>
          </w:tcPr>
          <w:p w14:paraId="750AB1EB" w14:textId="77777777" w:rsidR="005D2595" w:rsidRPr="0067507D" w:rsidRDefault="005D2595" w:rsidP="00FC3AF2">
            <w:pPr>
              <w:pStyle w:val="Tabletextrightbold"/>
            </w:pPr>
            <w:r w:rsidRPr="0067507D">
              <w:t xml:space="preserve">34 595 </w:t>
            </w:r>
          </w:p>
        </w:tc>
      </w:tr>
      <w:tr w:rsidR="005D2595" w:rsidRPr="00943D06" w14:paraId="6FDD6893" w14:textId="77777777" w:rsidTr="00FC3AF2">
        <w:trPr>
          <w:cantSplit/>
          <w:trHeight w:hRule="exact" w:val="57"/>
        </w:trPr>
        <w:tc>
          <w:tcPr>
            <w:tcW w:w="4140" w:type="dxa"/>
          </w:tcPr>
          <w:p w14:paraId="7908D96E" w14:textId="77777777" w:rsidR="005D2595" w:rsidRPr="00943D06" w:rsidRDefault="005D2595" w:rsidP="00FC3AF2">
            <w:pPr>
              <w:pStyle w:val="Tabletext"/>
            </w:pPr>
          </w:p>
        </w:tc>
        <w:tc>
          <w:tcPr>
            <w:tcW w:w="882" w:type="dxa"/>
          </w:tcPr>
          <w:p w14:paraId="638A4ACB" w14:textId="77777777" w:rsidR="005D2595" w:rsidRPr="00943D06" w:rsidRDefault="005D2595" w:rsidP="00FC3AF2">
            <w:pPr>
              <w:pStyle w:val="Tabletextcentred"/>
            </w:pPr>
          </w:p>
        </w:tc>
        <w:tc>
          <w:tcPr>
            <w:tcW w:w="1139" w:type="dxa"/>
            <w:shd w:val="clear" w:color="auto" w:fill="E0E0E0"/>
            <w:noWrap/>
          </w:tcPr>
          <w:p w14:paraId="4B643512" w14:textId="77777777" w:rsidR="005D2595" w:rsidRPr="00943D06" w:rsidRDefault="005D2595" w:rsidP="00FC3AF2">
            <w:pPr>
              <w:pStyle w:val="Tabletextright"/>
            </w:pPr>
          </w:p>
        </w:tc>
        <w:tc>
          <w:tcPr>
            <w:tcW w:w="1139" w:type="dxa"/>
            <w:noWrap/>
          </w:tcPr>
          <w:p w14:paraId="5E54DFE2" w14:textId="77777777" w:rsidR="005D2595" w:rsidRPr="00943D06" w:rsidRDefault="005D2595" w:rsidP="00FC3AF2">
            <w:pPr>
              <w:pStyle w:val="Tabletextright"/>
            </w:pPr>
          </w:p>
        </w:tc>
        <w:tc>
          <w:tcPr>
            <w:tcW w:w="1139" w:type="dxa"/>
            <w:shd w:val="clear" w:color="auto" w:fill="E0E0E0"/>
            <w:noWrap/>
          </w:tcPr>
          <w:p w14:paraId="791DD3F7" w14:textId="77777777" w:rsidR="005D2595" w:rsidRPr="00943D06" w:rsidRDefault="005D2595" w:rsidP="00FC3AF2">
            <w:pPr>
              <w:pStyle w:val="Tabletextright"/>
            </w:pPr>
          </w:p>
        </w:tc>
        <w:tc>
          <w:tcPr>
            <w:tcW w:w="1139" w:type="dxa"/>
            <w:shd w:val="clear" w:color="auto" w:fill="FFFFFF" w:themeFill="background1"/>
            <w:noWrap/>
          </w:tcPr>
          <w:p w14:paraId="08599608" w14:textId="77777777" w:rsidR="005D2595" w:rsidRPr="00943D06" w:rsidRDefault="005D2595" w:rsidP="00FC3AF2">
            <w:pPr>
              <w:pStyle w:val="Tabletextright"/>
            </w:pPr>
          </w:p>
        </w:tc>
      </w:tr>
      <w:tr w:rsidR="005D2595" w:rsidRPr="0067507D" w14:paraId="384E0107" w14:textId="77777777" w:rsidTr="00FC3AF2">
        <w:trPr>
          <w:cantSplit/>
        </w:trPr>
        <w:tc>
          <w:tcPr>
            <w:tcW w:w="4140" w:type="dxa"/>
          </w:tcPr>
          <w:p w14:paraId="1C01CE09" w14:textId="77777777" w:rsidR="005D2595" w:rsidRPr="0067507D" w:rsidRDefault="005D2595" w:rsidP="00FC3AF2">
            <w:pPr>
              <w:pStyle w:val="Tabletextbold"/>
            </w:pPr>
            <w:r w:rsidRPr="0067507D">
              <w:t xml:space="preserve">Net assets </w:t>
            </w:r>
          </w:p>
        </w:tc>
        <w:tc>
          <w:tcPr>
            <w:tcW w:w="882" w:type="dxa"/>
          </w:tcPr>
          <w:p w14:paraId="0C49E1DA" w14:textId="77777777" w:rsidR="005D2595" w:rsidRPr="0067507D" w:rsidRDefault="005D2595" w:rsidP="00FC3AF2">
            <w:pPr>
              <w:pStyle w:val="Tabletextcentred"/>
            </w:pPr>
          </w:p>
        </w:tc>
        <w:tc>
          <w:tcPr>
            <w:tcW w:w="1139" w:type="dxa"/>
            <w:shd w:val="clear" w:color="auto" w:fill="E0E0E0"/>
            <w:noWrap/>
          </w:tcPr>
          <w:p w14:paraId="096A0C9D" w14:textId="77777777" w:rsidR="005D2595" w:rsidRPr="0067507D" w:rsidRDefault="005D2595" w:rsidP="00FC3AF2">
            <w:pPr>
              <w:pStyle w:val="Tabletextrightbold"/>
            </w:pPr>
            <w:r w:rsidRPr="0067507D">
              <w:t xml:space="preserve">41 778 </w:t>
            </w:r>
          </w:p>
        </w:tc>
        <w:tc>
          <w:tcPr>
            <w:tcW w:w="1139" w:type="dxa"/>
            <w:noWrap/>
          </w:tcPr>
          <w:p w14:paraId="4472A127" w14:textId="77777777" w:rsidR="005D2595" w:rsidRPr="0067507D" w:rsidRDefault="005D2595" w:rsidP="00FC3AF2">
            <w:pPr>
              <w:pStyle w:val="Tabletextrightbold"/>
            </w:pPr>
            <w:r w:rsidRPr="0067507D">
              <w:t xml:space="preserve">26 639 </w:t>
            </w:r>
          </w:p>
        </w:tc>
        <w:tc>
          <w:tcPr>
            <w:tcW w:w="1139" w:type="dxa"/>
            <w:shd w:val="clear" w:color="auto" w:fill="E0E0E0"/>
            <w:noWrap/>
          </w:tcPr>
          <w:p w14:paraId="7C9D1EE5" w14:textId="77777777" w:rsidR="005D2595" w:rsidRPr="0067507D" w:rsidRDefault="005D2595" w:rsidP="00FC3AF2">
            <w:pPr>
              <w:pStyle w:val="Tabletextrightbold"/>
            </w:pPr>
            <w:r w:rsidRPr="0067507D">
              <w:t xml:space="preserve">13 622 </w:t>
            </w:r>
          </w:p>
        </w:tc>
        <w:tc>
          <w:tcPr>
            <w:tcW w:w="1139" w:type="dxa"/>
            <w:shd w:val="clear" w:color="auto" w:fill="FFFFFF" w:themeFill="background1"/>
            <w:noWrap/>
          </w:tcPr>
          <w:p w14:paraId="32B72D34" w14:textId="77777777" w:rsidR="005D2595" w:rsidRPr="0067507D" w:rsidRDefault="005D2595" w:rsidP="00FC3AF2">
            <w:pPr>
              <w:pStyle w:val="Tabletextrightbold"/>
            </w:pPr>
            <w:r w:rsidRPr="0067507D">
              <w:t xml:space="preserve">17 153 </w:t>
            </w:r>
          </w:p>
        </w:tc>
      </w:tr>
    </w:tbl>
    <w:p w14:paraId="238A3AEB" w14:textId="77777777" w:rsidR="005D2595" w:rsidRPr="0067507D" w:rsidRDefault="005D2595" w:rsidP="005D2595">
      <w:pPr>
        <w:pStyle w:val="Notes"/>
      </w:pPr>
    </w:p>
    <w:p w14:paraId="090306E4" w14:textId="77777777" w:rsidR="005D2595" w:rsidRPr="0067507D" w:rsidRDefault="005D2595" w:rsidP="006273F6">
      <w:pPr>
        <w:pStyle w:val="Heading3numbered"/>
        <w:spacing w:before="240"/>
        <w:ind w:left="576" w:hanging="576"/>
        <w:sectPr w:rsidR="005D2595" w:rsidRPr="0067507D" w:rsidSect="005D2595">
          <w:headerReference w:type="default" r:id="rId100"/>
          <w:pgSz w:w="11909" w:h="16834" w:code="9"/>
          <w:pgMar w:top="1728" w:right="1152" w:bottom="1152" w:left="1152" w:header="720" w:footer="288" w:gutter="0"/>
          <w:cols w:space="720"/>
          <w:noEndnote/>
        </w:sectPr>
      </w:pPr>
    </w:p>
    <w:p w14:paraId="542C112C" w14:textId="77777777" w:rsidR="005D2595" w:rsidRPr="0067507D" w:rsidRDefault="005D2595" w:rsidP="005D2595">
      <w:pPr>
        <w:pStyle w:val="Tabletextheadingcentred"/>
        <w:pageBreakBefore/>
        <w:spacing w:after="240"/>
        <w:jc w:val="left"/>
      </w:pPr>
    </w:p>
    <w:tbl>
      <w:tblPr>
        <w:tblW w:w="0" w:type="auto"/>
        <w:tblLayout w:type="fixed"/>
        <w:tblLook w:val="0000" w:firstRow="0" w:lastRow="0" w:firstColumn="0" w:lastColumn="0" w:noHBand="0" w:noVBand="0"/>
      </w:tblPr>
      <w:tblGrid>
        <w:gridCol w:w="1278"/>
        <w:gridCol w:w="1170"/>
        <w:gridCol w:w="1138"/>
        <w:gridCol w:w="1274"/>
        <w:gridCol w:w="1138"/>
        <w:gridCol w:w="1138"/>
      </w:tblGrid>
      <w:tr w:rsidR="005D2595" w:rsidRPr="0067507D" w14:paraId="40D46B5D" w14:textId="77777777" w:rsidTr="00FC3AF2">
        <w:trPr>
          <w:cantSplit/>
        </w:trPr>
        <w:tc>
          <w:tcPr>
            <w:tcW w:w="2448" w:type="dxa"/>
            <w:gridSpan w:val="2"/>
            <w:noWrap/>
            <w:vAlign w:val="bottom"/>
          </w:tcPr>
          <w:p w14:paraId="399BB59A" w14:textId="77777777" w:rsidR="005D2595" w:rsidRPr="0067507D" w:rsidRDefault="005D2595" w:rsidP="00FC3AF2">
            <w:pPr>
              <w:pStyle w:val="Tabletextheadingcentred"/>
            </w:pPr>
            <w:r w:rsidRPr="0067507D">
              <w:t>Improve how Government manages its balance sheet, commercial activities and public sector infrastructure</w:t>
            </w:r>
          </w:p>
        </w:tc>
        <w:tc>
          <w:tcPr>
            <w:tcW w:w="2412" w:type="dxa"/>
            <w:gridSpan w:val="2"/>
            <w:noWrap/>
            <w:vAlign w:val="bottom"/>
          </w:tcPr>
          <w:p w14:paraId="2592AF03" w14:textId="77777777" w:rsidR="005D2595" w:rsidRPr="0067507D" w:rsidRDefault="005D2595" w:rsidP="00FC3AF2">
            <w:pPr>
              <w:pStyle w:val="Tabletextheadingcentred"/>
            </w:pPr>
            <w:r w:rsidRPr="0067507D">
              <w:t>Strengthen Victoria’s economic performance through fair, equitable and productive workplaces</w:t>
            </w:r>
          </w:p>
        </w:tc>
        <w:tc>
          <w:tcPr>
            <w:tcW w:w="2276" w:type="dxa"/>
            <w:gridSpan w:val="2"/>
            <w:noWrap/>
            <w:vAlign w:val="bottom"/>
          </w:tcPr>
          <w:p w14:paraId="0750C64F" w14:textId="77777777" w:rsidR="005D2595" w:rsidRPr="0067507D" w:rsidRDefault="005D2595" w:rsidP="00FC3AF2">
            <w:pPr>
              <w:pStyle w:val="Tabletextheadingcentred"/>
            </w:pPr>
            <w:r w:rsidRPr="0067507D">
              <w:t>Departmental total</w:t>
            </w:r>
          </w:p>
        </w:tc>
      </w:tr>
      <w:tr w:rsidR="0073368A" w:rsidRPr="0067507D" w14:paraId="67C7BA72" w14:textId="77777777" w:rsidTr="00FC3AF2">
        <w:trPr>
          <w:cantSplit/>
        </w:trPr>
        <w:tc>
          <w:tcPr>
            <w:tcW w:w="1278" w:type="dxa"/>
            <w:noWrap/>
          </w:tcPr>
          <w:p w14:paraId="30279E23" w14:textId="0EDA8A7C" w:rsidR="0073368A" w:rsidRPr="0067507D" w:rsidRDefault="0073368A" w:rsidP="0073368A">
            <w:pPr>
              <w:pStyle w:val="Tabletextheadingright"/>
            </w:pPr>
            <w:r w:rsidRPr="0067507D">
              <w:rPr>
                <w:szCs w:val="16"/>
              </w:rPr>
              <w:t>2025</w:t>
            </w:r>
            <w:r>
              <w:rPr>
                <w:szCs w:val="16"/>
              </w:rPr>
              <w:br/>
            </w:r>
            <w:r w:rsidRPr="0067507D">
              <w:t>$’000</w:t>
            </w:r>
          </w:p>
        </w:tc>
        <w:tc>
          <w:tcPr>
            <w:tcW w:w="1170" w:type="dxa"/>
            <w:noWrap/>
          </w:tcPr>
          <w:p w14:paraId="7AEA65E6" w14:textId="13A05198" w:rsidR="0073368A" w:rsidRPr="0067507D" w:rsidRDefault="0073368A" w:rsidP="0073368A">
            <w:pPr>
              <w:pStyle w:val="Tabletextheadingright"/>
            </w:pPr>
            <w:r w:rsidRPr="0067507D">
              <w:rPr>
                <w:szCs w:val="16"/>
              </w:rPr>
              <w:t>2024</w:t>
            </w:r>
            <w:r>
              <w:rPr>
                <w:szCs w:val="16"/>
              </w:rPr>
              <w:br/>
            </w:r>
            <w:r w:rsidRPr="0067507D">
              <w:t>$’000</w:t>
            </w:r>
          </w:p>
        </w:tc>
        <w:tc>
          <w:tcPr>
            <w:tcW w:w="1138" w:type="dxa"/>
            <w:noWrap/>
          </w:tcPr>
          <w:p w14:paraId="0D5429CF" w14:textId="6F51E3A5" w:rsidR="0073368A" w:rsidRPr="0067507D" w:rsidRDefault="0073368A" w:rsidP="0073368A">
            <w:pPr>
              <w:pStyle w:val="Tabletextheadingright"/>
            </w:pPr>
            <w:r w:rsidRPr="0067507D">
              <w:rPr>
                <w:szCs w:val="16"/>
              </w:rPr>
              <w:t>2025</w:t>
            </w:r>
            <w:r>
              <w:rPr>
                <w:szCs w:val="16"/>
              </w:rPr>
              <w:br/>
            </w:r>
            <w:r w:rsidRPr="0067507D">
              <w:t>$’000</w:t>
            </w:r>
          </w:p>
        </w:tc>
        <w:tc>
          <w:tcPr>
            <w:tcW w:w="1274" w:type="dxa"/>
            <w:noWrap/>
          </w:tcPr>
          <w:p w14:paraId="70D4AA69" w14:textId="46069B13" w:rsidR="0073368A" w:rsidRPr="0067507D" w:rsidRDefault="0073368A" w:rsidP="0073368A">
            <w:pPr>
              <w:pStyle w:val="Tabletextheadingright"/>
            </w:pPr>
            <w:r w:rsidRPr="0067507D">
              <w:rPr>
                <w:szCs w:val="16"/>
              </w:rPr>
              <w:t>2024</w:t>
            </w:r>
            <w:r>
              <w:rPr>
                <w:szCs w:val="16"/>
              </w:rPr>
              <w:br/>
            </w:r>
            <w:r w:rsidRPr="0067507D">
              <w:t>$’000</w:t>
            </w:r>
          </w:p>
        </w:tc>
        <w:tc>
          <w:tcPr>
            <w:tcW w:w="1138" w:type="dxa"/>
            <w:noWrap/>
          </w:tcPr>
          <w:p w14:paraId="299A7189" w14:textId="439D1691" w:rsidR="0073368A" w:rsidRPr="0067507D" w:rsidRDefault="0073368A" w:rsidP="0073368A">
            <w:pPr>
              <w:pStyle w:val="Tabletextheadingright"/>
            </w:pPr>
            <w:r w:rsidRPr="0067507D">
              <w:rPr>
                <w:szCs w:val="16"/>
              </w:rPr>
              <w:t>2025</w:t>
            </w:r>
            <w:r>
              <w:rPr>
                <w:szCs w:val="16"/>
              </w:rPr>
              <w:br/>
            </w:r>
            <w:r w:rsidRPr="0067507D">
              <w:t>$’000</w:t>
            </w:r>
          </w:p>
        </w:tc>
        <w:tc>
          <w:tcPr>
            <w:tcW w:w="1138" w:type="dxa"/>
            <w:noWrap/>
          </w:tcPr>
          <w:p w14:paraId="2502641F" w14:textId="1433ACFF" w:rsidR="0073368A" w:rsidRPr="0067507D" w:rsidRDefault="0073368A" w:rsidP="0073368A">
            <w:pPr>
              <w:pStyle w:val="Tabletextheadingright"/>
            </w:pPr>
            <w:r w:rsidRPr="0067507D">
              <w:rPr>
                <w:szCs w:val="16"/>
              </w:rPr>
              <w:t>2024</w:t>
            </w:r>
            <w:r>
              <w:rPr>
                <w:szCs w:val="16"/>
              </w:rPr>
              <w:br/>
            </w:r>
            <w:r w:rsidRPr="0067507D">
              <w:t>$’000</w:t>
            </w:r>
          </w:p>
        </w:tc>
      </w:tr>
      <w:tr w:rsidR="005D2595" w:rsidRPr="0067507D" w14:paraId="4DF4FD31" w14:textId="77777777" w:rsidTr="00FC3AF2">
        <w:trPr>
          <w:cantSplit/>
        </w:trPr>
        <w:tc>
          <w:tcPr>
            <w:tcW w:w="1278" w:type="dxa"/>
            <w:shd w:val="clear" w:color="auto" w:fill="D9D9D9" w:themeFill="background1" w:themeFillShade="D9"/>
            <w:noWrap/>
          </w:tcPr>
          <w:p w14:paraId="0E13C4B3" w14:textId="77777777" w:rsidR="005D2595" w:rsidRPr="0067507D" w:rsidRDefault="005D2595" w:rsidP="00FC3AF2">
            <w:pPr>
              <w:pStyle w:val="Tabletextright"/>
            </w:pPr>
            <w:r w:rsidRPr="0067507D">
              <w:br/>
            </w:r>
          </w:p>
        </w:tc>
        <w:tc>
          <w:tcPr>
            <w:tcW w:w="1170" w:type="dxa"/>
            <w:noWrap/>
          </w:tcPr>
          <w:p w14:paraId="276DBEB3" w14:textId="77777777" w:rsidR="005D2595" w:rsidRPr="0067507D" w:rsidRDefault="005D2595" w:rsidP="00FC3AF2">
            <w:pPr>
              <w:pStyle w:val="Tabletextright"/>
            </w:pPr>
          </w:p>
        </w:tc>
        <w:tc>
          <w:tcPr>
            <w:tcW w:w="1138" w:type="dxa"/>
            <w:shd w:val="clear" w:color="auto" w:fill="E0E0E0"/>
            <w:noWrap/>
          </w:tcPr>
          <w:p w14:paraId="3839B14B" w14:textId="77777777" w:rsidR="005D2595" w:rsidRPr="0067507D" w:rsidRDefault="005D2595" w:rsidP="00FC3AF2">
            <w:pPr>
              <w:pStyle w:val="Tabletextright"/>
            </w:pPr>
          </w:p>
        </w:tc>
        <w:tc>
          <w:tcPr>
            <w:tcW w:w="1274" w:type="dxa"/>
            <w:shd w:val="clear" w:color="auto" w:fill="FFFFFF" w:themeFill="background1"/>
            <w:noWrap/>
          </w:tcPr>
          <w:p w14:paraId="1853630A" w14:textId="77777777" w:rsidR="005D2595" w:rsidRPr="0067507D" w:rsidRDefault="005D2595" w:rsidP="00FC3AF2">
            <w:pPr>
              <w:pStyle w:val="Tabletextright"/>
            </w:pPr>
          </w:p>
        </w:tc>
        <w:tc>
          <w:tcPr>
            <w:tcW w:w="1138" w:type="dxa"/>
            <w:shd w:val="clear" w:color="auto" w:fill="E0E0E0"/>
            <w:noWrap/>
          </w:tcPr>
          <w:p w14:paraId="520B3379" w14:textId="77777777" w:rsidR="005D2595" w:rsidRPr="0067507D" w:rsidRDefault="005D2595" w:rsidP="00FC3AF2">
            <w:pPr>
              <w:pStyle w:val="Tabletextright"/>
            </w:pPr>
          </w:p>
        </w:tc>
        <w:tc>
          <w:tcPr>
            <w:tcW w:w="1138" w:type="dxa"/>
            <w:shd w:val="clear" w:color="auto" w:fill="FFFFFF" w:themeFill="background1"/>
            <w:noWrap/>
          </w:tcPr>
          <w:p w14:paraId="12C295AE" w14:textId="77777777" w:rsidR="005D2595" w:rsidRPr="0067507D" w:rsidRDefault="005D2595" w:rsidP="00FC3AF2">
            <w:pPr>
              <w:pStyle w:val="Tabletextright"/>
            </w:pPr>
          </w:p>
        </w:tc>
      </w:tr>
      <w:tr w:rsidR="005D2595" w:rsidRPr="0067507D" w14:paraId="01195BC7" w14:textId="77777777" w:rsidTr="00FC3AF2">
        <w:trPr>
          <w:cantSplit/>
          <w:trHeight w:hRule="exact" w:val="57"/>
        </w:trPr>
        <w:tc>
          <w:tcPr>
            <w:tcW w:w="1278" w:type="dxa"/>
            <w:shd w:val="clear" w:color="auto" w:fill="D9D9D9" w:themeFill="background1" w:themeFillShade="D9"/>
            <w:noWrap/>
          </w:tcPr>
          <w:p w14:paraId="4AA2177E" w14:textId="77777777" w:rsidR="005D2595" w:rsidRPr="0067507D" w:rsidRDefault="005D2595" w:rsidP="00FC3AF2">
            <w:pPr>
              <w:pStyle w:val="Tabletextright"/>
              <w:rPr>
                <w:bCs/>
              </w:rPr>
            </w:pPr>
          </w:p>
        </w:tc>
        <w:tc>
          <w:tcPr>
            <w:tcW w:w="1170" w:type="dxa"/>
            <w:noWrap/>
          </w:tcPr>
          <w:p w14:paraId="476C1CAE" w14:textId="77777777" w:rsidR="005D2595" w:rsidRPr="0067507D" w:rsidRDefault="005D2595" w:rsidP="00FC3AF2">
            <w:pPr>
              <w:pStyle w:val="Tabletextright"/>
            </w:pPr>
          </w:p>
        </w:tc>
        <w:tc>
          <w:tcPr>
            <w:tcW w:w="1138" w:type="dxa"/>
            <w:shd w:val="clear" w:color="auto" w:fill="E0E0E0"/>
            <w:noWrap/>
          </w:tcPr>
          <w:p w14:paraId="19952C3C" w14:textId="77777777" w:rsidR="005D2595" w:rsidRPr="0067507D" w:rsidRDefault="005D2595" w:rsidP="00FC3AF2">
            <w:pPr>
              <w:pStyle w:val="Tabletextright"/>
              <w:rPr>
                <w:bCs/>
              </w:rPr>
            </w:pPr>
          </w:p>
        </w:tc>
        <w:tc>
          <w:tcPr>
            <w:tcW w:w="1274" w:type="dxa"/>
            <w:shd w:val="clear" w:color="auto" w:fill="FFFFFF" w:themeFill="background1"/>
            <w:noWrap/>
          </w:tcPr>
          <w:p w14:paraId="0ACEB84A" w14:textId="77777777" w:rsidR="005D2595" w:rsidRPr="0067507D" w:rsidRDefault="005D2595" w:rsidP="00FC3AF2">
            <w:pPr>
              <w:pStyle w:val="Tabletextright"/>
            </w:pPr>
          </w:p>
        </w:tc>
        <w:tc>
          <w:tcPr>
            <w:tcW w:w="1138" w:type="dxa"/>
            <w:shd w:val="clear" w:color="auto" w:fill="E0E0E0"/>
            <w:noWrap/>
          </w:tcPr>
          <w:p w14:paraId="3780B517" w14:textId="77777777" w:rsidR="005D2595" w:rsidRPr="0067507D" w:rsidRDefault="005D2595" w:rsidP="00FC3AF2">
            <w:pPr>
              <w:pStyle w:val="Tabletextright"/>
            </w:pPr>
          </w:p>
        </w:tc>
        <w:tc>
          <w:tcPr>
            <w:tcW w:w="1138" w:type="dxa"/>
            <w:shd w:val="clear" w:color="auto" w:fill="FFFFFF" w:themeFill="background1"/>
            <w:noWrap/>
          </w:tcPr>
          <w:p w14:paraId="5FB014C3" w14:textId="77777777" w:rsidR="005D2595" w:rsidRPr="0067507D" w:rsidRDefault="005D2595" w:rsidP="00FC3AF2">
            <w:pPr>
              <w:pStyle w:val="Tabletextright"/>
            </w:pPr>
          </w:p>
        </w:tc>
      </w:tr>
      <w:tr w:rsidR="005D2595" w:rsidRPr="0067507D" w14:paraId="5E1181C7" w14:textId="77777777" w:rsidTr="00FC3AF2">
        <w:trPr>
          <w:cantSplit/>
        </w:trPr>
        <w:tc>
          <w:tcPr>
            <w:tcW w:w="1278" w:type="dxa"/>
            <w:shd w:val="clear" w:color="auto" w:fill="D9D9D9" w:themeFill="background1" w:themeFillShade="D9"/>
            <w:noWrap/>
          </w:tcPr>
          <w:p w14:paraId="44E29A17" w14:textId="77777777" w:rsidR="005D2595" w:rsidRPr="0067507D" w:rsidRDefault="005D2595" w:rsidP="00FC3AF2">
            <w:pPr>
              <w:pStyle w:val="Tabletextright"/>
            </w:pPr>
          </w:p>
        </w:tc>
        <w:tc>
          <w:tcPr>
            <w:tcW w:w="1170" w:type="dxa"/>
            <w:noWrap/>
          </w:tcPr>
          <w:p w14:paraId="443E320F" w14:textId="77777777" w:rsidR="005D2595" w:rsidRPr="0067507D" w:rsidRDefault="005D2595" w:rsidP="00FC3AF2">
            <w:pPr>
              <w:pStyle w:val="Tabletextright"/>
            </w:pPr>
          </w:p>
        </w:tc>
        <w:tc>
          <w:tcPr>
            <w:tcW w:w="1138" w:type="dxa"/>
            <w:shd w:val="clear" w:color="auto" w:fill="E0E0E0"/>
            <w:noWrap/>
          </w:tcPr>
          <w:p w14:paraId="21133641" w14:textId="77777777" w:rsidR="005D2595" w:rsidRPr="0067507D" w:rsidRDefault="005D2595" w:rsidP="00FC3AF2">
            <w:pPr>
              <w:pStyle w:val="Tabletextright"/>
            </w:pPr>
          </w:p>
        </w:tc>
        <w:tc>
          <w:tcPr>
            <w:tcW w:w="1274" w:type="dxa"/>
            <w:shd w:val="clear" w:color="auto" w:fill="FFFFFF" w:themeFill="background1"/>
            <w:noWrap/>
          </w:tcPr>
          <w:p w14:paraId="7915160E" w14:textId="77777777" w:rsidR="005D2595" w:rsidRPr="0067507D" w:rsidRDefault="005D2595" w:rsidP="00FC3AF2">
            <w:pPr>
              <w:pStyle w:val="Tabletextright"/>
            </w:pPr>
          </w:p>
        </w:tc>
        <w:tc>
          <w:tcPr>
            <w:tcW w:w="1138" w:type="dxa"/>
            <w:shd w:val="clear" w:color="auto" w:fill="E0E0E0"/>
            <w:noWrap/>
          </w:tcPr>
          <w:p w14:paraId="38FC0B00" w14:textId="77777777" w:rsidR="005D2595" w:rsidRPr="0067507D" w:rsidRDefault="005D2595" w:rsidP="00FC3AF2">
            <w:pPr>
              <w:pStyle w:val="Tabletextright"/>
            </w:pPr>
          </w:p>
        </w:tc>
        <w:tc>
          <w:tcPr>
            <w:tcW w:w="1138" w:type="dxa"/>
            <w:shd w:val="clear" w:color="auto" w:fill="FFFFFF" w:themeFill="background1"/>
            <w:noWrap/>
          </w:tcPr>
          <w:p w14:paraId="383ED8D7" w14:textId="77777777" w:rsidR="005D2595" w:rsidRPr="0067507D" w:rsidRDefault="005D2595" w:rsidP="00FC3AF2">
            <w:pPr>
              <w:pStyle w:val="Tabletextright"/>
            </w:pPr>
          </w:p>
        </w:tc>
      </w:tr>
      <w:tr w:rsidR="005D2595" w:rsidRPr="0067507D" w14:paraId="43B803F0" w14:textId="77777777" w:rsidTr="00FC3AF2">
        <w:trPr>
          <w:cantSplit/>
        </w:trPr>
        <w:tc>
          <w:tcPr>
            <w:tcW w:w="1278" w:type="dxa"/>
            <w:shd w:val="clear" w:color="auto" w:fill="D9D9D9" w:themeFill="background1" w:themeFillShade="D9"/>
            <w:noWrap/>
          </w:tcPr>
          <w:p w14:paraId="60AC88AE" w14:textId="77777777" w:rsidR="005D2595" w:rsidRPr="0067507D" w:rsidRDefault="005D2595" w:rsidP="00FC3AF2">
            <w:pPr>
              <w:pStyle w:val="Tabletextright"/>
            </w:pPr>
            <w:r w:rsidRPr="0067507D">
              <w:t xml:space="preserve">74 857 </w:t>
            </w:r>
          </w:p>
        </w:tc>
        <w:tc>
          <w:tcPr>
            <w:tcW w:w="1170" w:type="dxa"/>
            <w:noWrap/>
          </w:tcPr>
          <w:p w14:paraId="56046FCC" w14:textId="77777777" w:rsidR="005D2595" w:rsidRPr="0067507D" w:rsidRDefault="005D2595" w:rsidP="00FC3AF2">
            <w:pPr>
              <w:pStyle w:val="Tabletextright"/>
            </w:pPr>
            <w:r w:rsidRPr="0067507D">
              <w:t xml:space="preserve">59 114 </w:t>
            </w:r>
          </w:p>
        </w:tc>
        <w:tc>
          <w:tcPr>
            <w:tcW w:w="1138" w:type="dxa"/>
            <w:shd w:val="clear" w:color="auto" w:fill="E0E0E0"/>
            <w:noWrap/>
          </w:tcPr>
          <w:p w14:paraId="0341D73B" w14:textId="77777777" w:rsidR="005D2595" w:rsidRPr="0067507D" w:rsidRDefault="005D2595" w:rsidP="00FC3AF2">
            <w:pPr>
              <w:pStyle w:val="Tabletextright"/>
            </w:pPr>
            <w:r w:rsidRPr="0067507D">
              <w:t xml:space="preserve">20 111 </w:t>
            </w:r>
          </w:p>
        </w:tc>
        <w:tc>
          <w:tcPr>
            <w:tcW w:w="1274" w:type="dxa"/>
            <w:shd w:val="clear" w:color="auto" w:fill="FFFFFF" w:themeFill="background1"/>
            <w:noWrap/>
          </w:tcPr>
          <w:p w14:paraId="0FEA980D" w14:textId="77777777" w:rsidR="005D2595" w:rsidRPr="0067507D" w:rsidRDefault="005D2595" w:rsidP="00FC3AF2">
            <w:pPr>
              <w:pStyle w:val="Tabletextright"/>
            </w:pPr>
            <w:r w:rsidRPr="0067507D">
              <w:t xml:space="preserve">14 240 </w:t>
            </w:r>
          </w:p>
        </w:tc>
        <w:tc>
          <w:tcPr>
            <w:tcW w:w="1138" w:type="dxa"/>
            <w:shd w:val="clear" w:color="auto" w:fill="E0E0E0"/>
            <w:noWrap/>
          </w:tcPr>
          <w:p w14:paraId="35D7E53F" w14:textId="77777777" w:rsidR="005D2595" w:rsidRPr="0067507D" w:rsidRDefault="005D2595" w:rsidP="00FC3AF2">
            <w:pPr>
              <w:pStyle w:val="Tabletextright"/>
            </w:pPr>
            <w:r w:rsidRPr="0067507D">
              <w:t xml:space="preserve">455 232 </w:t>
            </w:r>
          </w:p>
        </w:tc>
        <w:tc>
          <w:tcPr>
            <w:tcW w:w="1138" w:type="dxa"/>
            <w:shd w:val="clear" w:color="auto" w:fill="FFFFFF" w:themeFill="background1"/>
            <w:noWrap/>
          </w:tcPr>
          <w:p w14:paraId="3682670C" w14:textId="77777777" w:rsidR="005D2595" w:rsidRPr="0067507D" w:rsidRDefault="005D2595" w:rsidP="00FC3AF2">
            <w:pPr>
              <w:pStyle w:val="Tabletextright"/>
            </w:pPr>
            <w:r w:rsidRPr="0067507D">
              <w:t xml:space="preserve">387 796 </w:t>
            </w:r>
          </w:p>
        </w:tc>
      </w:tr>
      <w:tr w:rsidR="005D2595" w:rsidRPr="0067507D" w14:paraId="1753D426" w14:textId="77777777" w:rsidTr="00FC3AF2">
        <w:trPr>
          <w:cantSplit/>
        </w:trPr>
        <w:tc>
          <w:tcPr>
            <w:tcW w:w="1278" w:type="dxa"/>
            <w:shd w:val="clear" w:color="auto" w:fill="D9D9D9" w:themeFill="background1" w:themeFillShade="D9"/>
            <w:noWrap/>
          </w:tcPr>
          <w:p w14:paraId="057BDA18" w14:textId="77777777" w:rsidR="005D2595" w:rsidRPr="0067507D" w:rsidRDefault="005D2595" w:rsidP="00FC3AF2">
            <w:pPr>
              <w:pStyle w:val="Tabletextright"/>
            </w:pPr>
            <w:r w:rsidRPr="0067507D">
              <w:t xml:space="preserve">3 966 </w:t>
            </w:r>
          </w:p>
        </w:tc>
        <w:tc>
          <w:tcPr>
            <w:tcW w:w="1170" w:type="dxa"/>
            <w:noWrap/>
          </w:tcPr>
          <w:p w14:paraId="7B6A7E44" w14:textId="77777777" w:rsidR="005D2595" w:rsidRPr="0067507D" w:rsidRDefault="005D2595" w:rsidP="00FC3AF2">
            <w:pPr>
              <w:pStyle w:val="Tabletextright"/>
            </w:pPr>
            <w:r w:rsidRPr="0067507D">
              <w:t xml:space="preserve">4 094 </w:t>
            </w:r>
          </w:p>
        </w:tc>
        <w:tc>
          <w:tcPr>
            <w:tcW w:w="1138" w:type="dxa"/>
            <w:shd w:val="clear" w:color="auto" w:fill="E0E0E0"/>
            <w:noWrap/>
          </w:tcPr>
          <w:p w14:paraId="3F7AF5B5" w14:textId="77777777" w:rsidR="005D2595" w:rsidRPr="0067507D" w:rsidRDefault="005D2595" w:rsidP="00FC3AF2">
            <w:pPr>
              <w:pStyle w:val="Tabletextright"/>
            </w:pPr>
            <w:r w:rsidRPr="0067507D">
              <w:t>–</w:t>
            </w:r>
          </w:p>
        </w:tc>
        <w:tc>
          <w:tcPr>
            <w:tcW w:w="1274" w:type="dxa"/>
            <w:shd w:val="clear" w:color="auto" w:fill="FFFFFF" w:themeFill="background1"/>
            <w:noWrap/>
          </w:tcPr>
          <w:p w14:paraId="6B30F618" w14:textId="77777777" w:rsidR="005D2595" w:rsidRPr="0067507D" w:rsidRDefault="005D2595" w:rsidP="00FC3AF2">
            <w:pPr>
              <w:pStyle w:val="Tabletextright"/>
            </w:pPr>
            <w:r w:rsidRPr="0067507D">
              <w:t>–</w:t>
            </w:r>
          </w:p>
        </w:tc>
        <w:tc>
          <w:tcPr>
            <w:tcW w:w="1138" w:type="dxa"/>
            <w:shd w:val="clear" w:color="auto" w:fill="E0E0E0"/>
            <w:noWrap/>
          </w:tcPr>
          <w:p w14:paraId="505DF2A6" w14:textId="77777777" w:rsidR="005D2595" w:rsidRPr="0067507D" w:rsidRDefault="005D2595" w:rsidP="00FC3AF2">
            <w:pPr>
              <w:pStyle w:val="Tabletextright"/>
            </w:pPr>
            <w:r w:rsidRPr="0067507D">
              <w:t xml:space="preserve">10 073 </w:t>
            </w:r>
          </w:p>
        </w:tc>
        <w:tc>
          <w:tcPr>
            <w:tcW w:w="1138" w:type="dxa"/>
            <w:shd w:val="clear" w:color="auto" w:fill="FFFFFF" w:themeFill="background1"/>
            <w:noWrap/>
          </w:tcPr>
          <w:p w14:paraId="3F32B4EE" w14:textId="77777777" w:rsidR="005D2595" w:rsidRPr="0067507D" w:rsidRDefault="005D2595" w:rsidP="00FC3AF2">
            <w:pPr>
              <w:pStyle w:val="Tabletextright"/>
            </w:pPr>
            <w:r w:rsidRPr="0067507D">
              <w:t xml:space="preserve">10 851 </w:t>
            </w:r>
          </w:p>
        </w:tc>
      </w:tr>
      <w:tr w:rsidR="005D2595" w:rsidRPr="0067507D" w14:paraId="21161E57" w14:textId="77777777" w:rsidTr="00FC3AF2">
        <w:trPr>
          <w:cantSplit/>
        </w:trPr>
        <w:tc>
          <w:tcPr>
            <w:tcW w:w="1278" w:type="dxa"/>
            <w:shd w:val="clear" w:color="auto" w:fill="D9D9D9" w:themeFill="background1" w:themeFillShade="D9"/>
            <w:noWrap/>
          </w:tcPr>
          <w:p w14:paraId="05FE6670" w14:textId="77777777" w:rsidR="005D2595" w:rsidRPr="0067507D" w:rsidRDefault="005D2595" w:rsidP="00FC3AF2">
            <w:pPr>
              <w:pStyle w:val="Tabletextrightbold"/>
            </w:pPr>
            <w:r w:rsidRPr="0067507D">
              <w:t xml:space="preserve">78 823 </w:t>
            </w:r>
          </w:p>
        </w:tc>
        <w:tc>
          <w:tcPr>
            <w:tcW w:w="1170" w:type="dxa"/>
            <w:noWrap/>
          </w:tcPr>
          <w:p w14:paraId="0BAC85BF" w14:textId="77777777" w:rsidR="005D2595" w:rsidRPr="0067507D" w:rsidRDefault="005D2595" w:rsidP="00FC3AF2">
            <w:pPr>
              <w:pStyle w:val="Tabletextrightbold"/>
            </w:pPr>
            <w:r w:rsidRPr="0067507D">
              <w:t xml:space="preserve">63 208 </w:t>
            </w:r>
          </w:p>
        </w:tc>
        <w:tc>
          <w:tcPr>
            <w:tcW w:w="1138" w:type="dxa"/>
            <w:shd w:val="clear" w:color="auto" w:fill="E0E0E0"/>
            <w:noWrap/>
          </w:tcPr>
          <w:p w14:paraId="7493A68F" w14:textId="77777777" w:rsidR="005D2595" w:rsidRPr="0067507D" w:rsidRDefault="005D2595" w:rsidP="00FC3AF2">
            <w:pPr>
              <w:pStyle w:val="Tabletextrightbold"/>
            </w:pPr>
            <w:r w:rsidRPr="0067507D">
              <w:t xml:space="preserve">20 111 </w:t>
            </w:r>
          </w:p>
        </w:tc>
        <w:tc>
          <w:tcPr>
            <w:tcW w:w="1274" w:type="dxa"/>
            <w:shd w:val="clear" w:color="auto" w:fill="FFFFFF" w:themeFill="background1"/>
            <w:noWrap/>
          </w:tcPr>
          <w:p w14:paraId="5F69A24D" w14:textId="77777777" w:rsidR="005D2595" w:rsidRPr="0067507D" w:rsidRDefault="005D2595" w:rsidP="00FC3AF2">
            <w:pPr>
              <w:pStyle w:val="Tabletextrightbold"/>
            </w:pPr>
            <w:r w:rsidRPr="0067507D">
              <w:t xml:space="preserve">14 240 </w:t>
            </w:r>
          </w:p>
        </w:tc>
        <w:tc>
          <w:tcPr>
            <w:tcW w:w="1138" w:type="dxa"/>
            <w:shd w:val="clear" w:color="auto" w:fill="E0E0E0"/>
            <w:noWrap/>
          </w:tcPr>
          <w:p w14:paraId="7284429B" w14:textId="77777777" w:rsidR="005D2595" w:rsidRPr="0067507D" w:rsidRDefault="005D2595" w:rsidP="00FC3AF2">
            <w:pPr>
              <w:pStyle w:val="Tabletextrightbold"/>
            </w:pPr>
            <w:r w:rsidRPr="0067507D">
              <w:t xml:space="preserve">465 305 </w:t>
            </w:r>
          </w:p>
        </w:tc>
        <w:tc>
          <w:tcPr>
            <w:tcW w:w="1138" w:type="dxa"/>
            <w:shd w:val="clear" w:color="auto" w:fill="FFFFFF" w:themeFill="background1"/>
            <w:noWrap/>
          </w:tcPr>
          <w:p w14:paraId="56FC1DF5" w14:textId="77777777" w:rsidR="005D2595" w:rsidRPr="0067507D" w:rsidRDefault="005D2595" w:rsidP="00FC3AF2">
            <w:pPr>
              <w:pStyle w:val="Tabletextrightbold"/>
            </w:pPr>
            <w:r w:rsidRPr="0067507D">
              <w:t xml:space="preserve">398 647 </w:t>
            </w:r>
          </w:p>
        </w:tc>
      </w:tr>
      <w:tr w:rsidR="005D2595" w:rsidRPr="0067507D" w14:paraId="6CAFC545" w14:textId="77777777" w:rsidTr="00FC3AF2">
        <w:trPr>
          <w:cantSplit/>
          <w:trHeight w:hRule="exact" w:val="57"/>
        </w:trPr>
        <w:tc>
          <w:tcPr>
            <w:tcW w:w="1278" w:type="dxa"/>
            <w:shd w:val="clear" w:color="auto" w:fill="D9D9D9" w:themeFill="background1" w:themeFillShade="D9"/>
            <w:noWrap/>
          </w:tcPr>
          <w:p w14:paraId="6896BD61" w14:textId="77777777" w:rsidR="005D2595" w:rsidRPr="0067507D" w:rsidRDefault="005D2595" w:rsidP="00FC3AF2">
            <w:pPr>
              <w:pStyle w:val="Tabletextright"/>
            </w:pPr>
          </w:p>
        </w:tc>
        <w:tc>
          <w:tcPr>
            <w:tcW w:w="1170" w:type="dxa"/>
            <w:noWrap/>
          </w:tcPr>
          <w:p w14:paraId="79EC20E7" w14:textId="77777777" w:rsidR="005D2595" w:rsidRPr="0067507D" w:rsidRDefault="005D2595" w:rsidP="00FC3AF2">
            <w:pPr>
              <w:pStyle w:val="Tabletextright"/>
            </w:pPr>
          </w:p>
        </w:tc>
        <w:tc>
          <w:tcPr>
            <w:tcW w:w="1138" w:type="dxa"/>
            <w:shd w:val="clear" w:color="auto" w:fill="E0E0E0"/>
            <w:noWrap/>
          </w:tcPr>
          <w:p w14:paraId="72B748FB" w14:textId="77777777" w:rsidR="005D2595" w:rsidRPr="0067507D" w:rsidRDefault="005D2595" w:rsidP="00FC3AF2">
            <w:pPr>
              <w:pStyle w:val="Tabletextright"/>
            </w:pPr>
          </w:p>
        </w:tc>
        <w:tc>
          <w:tcPr>
            <w:tcW w:w="1274" w:type="dxa"/>
            <w:shd w:val="clear" w:color="auto" w:fill="FFFFFF" w:themeFill="background1"/>
            <w:noWrap/>
          </w:tcPr>
          <w:p w14:paraId="7C77CA2E" w14:textId="77777777" w:rsidR="005D2595" w:rsidRPr="0067507D" w:rsidRDefault="005D2595" w:rsidP="00FC3AF2">
            <w:pPr>
              <w:pStyle w:val="Tabletextright"/>
            </w:pPr>
          </w:p>
        </w:tc>
        <w:tc>
          <w:tcPr>
            <w:tcW w:w="1138" w:type="dxa"/>
            <w:shd w:val="clear" w:color="auto" w:fill="E0E0E0"/>
            <w:noWrap/>
          </w:tcPr>
          <w:p w14:paraId="1A943070" w14:textId="77777777" w:rsidR="005D2595" w:rsidRPr="0067507D" w:rsidRDefault="005D2595" w:rsidP="00FC3AF2">
            <w:pPr>
              <w:pStyle w:val="Tabletextright"/>
            </w:pPr>
          </w:p>
        </w:tc>
        <w:tc>
          <w:tcPr>
            <w:tcW w:w="1138" w:type="dxa"/>
            <w:shd w:val="clear" w:color="auto" w:fill="FFFFFF" w:themeFill="background1"/>
            <w:noWrap/>
          </w:tcPr>
          <w:p w14:paraId="4212F78D" w14:textId="77777777" w:rsidR="005D2595" w:rsidRPr="0067507D" w:rsidRDefault="005D2595" w:rsidP="00FC3AF2">
            <w:pPr>
              <w:pStyle w:val="Tabletextright"/>
            </w:pPr>
          </w:p>
        </w:tc>
      </w:tr>
      <w:tr w:rsidR="005D2595" w:rsidRPr="0067507D" w14:paraId="635D6F03" w14:textId="77777777" w:rsidTr="00FC3AF2">
        <w:trPr>
          <w:cantSplit/>
        </w:trPr>
        <w:tc>
          <w:tcPr>
            <w:tcW w:w="1278" w:type="dxa"/>
            <w:shd w:val="clear" w:color="auto" w:fill="D9D9D9" w:themeFill="background1" w:themeFillShade="D9"/>
            <w:noWrap/>
          </w:tcPr>
          <w:p w14:paraId="2E2FDB3C" w14:textId="77777777" w:rsidR="005D2595" w:rsidRPr="0067507D" w:rsidRDefault="005D2595" w:rsidP="00FC3AF2">
            <w:pPr>
              <w:pStyle w:val="Tabletextright"/>
            </w:pPr>
          </w:p>
        </w:tc>
        <w:tc>
          <w:tcPr>
            <w:tcW w:w="1170" w:type="dxa"/>
            <w:noWrap/>
          </w:tcPr>
          <w:p w14:paraId="7CFA4750" w14:textId="77777777" w:rsidR="005D2595" w:rsidRPr="0067507D" w:rsidRDefault="005D2595" w:rsidP="00FC3AF2">
            <w:pPr>
              <w:pStyle w:val="Tabletextright"/>
            </w:pPr>
          </w:p>
        </w:tc>
        <w:tc>
          <w:tcPr>
            <w:tcW w:w="1138" w:type="dxa"/>
            <w:shd w:val="clear" w:color="auto" w:fill="E0E0E0"/>
            <w:noWrap/>
          </w:tcPr>
          <w:p w14:paraId="288EC2F2" w14:textId="77777777" w:rsidR="005D2595" w:rsidRPr="0067507D" w:rsidRDefault="005D2595" w:rsidP="00FC3AF2">
            <w:pPr>
              <w:pStyle w:val="Tabletextright"/>
            </w:pPr>
          </w:p>
        </w:tc>
        <w:tc>
          <w:tcPr>
            <w:tcW w:w="1274" w:type="dxa"/>
            <w:shd w:val="clear" w:color="auto" w:fill="FFFFFF" w:themeFill="background1"/>
            <w:noWrap/>
          </w:tcPr>
          <w:p w14:paraId="07D99390" w14:textId="77777777" w:rsidR="005D2595" w:rsidRPr="0067507D" w:rsidRDefault="005D2595" w:rsidP="00FC3AF2">
            <w:pPr>
              <w:pStyle w:val="Tabletextright"/>
            </w:pPr>
          </w:p>
        </w:tc>
        <w:tc>
          <w:tcPr>
            <w:tcW w:w="1138" w:type="dxa"/>
            <w:shd w:val="clear" w:color="auto" w:fill="E0E0E0"/>
            <w:noWrap/>
          </w:tcPr>
          <w:p w14:paraId="40FEA007" w14:textId="77777777" w:rsidR="005D2595" w:rsidRPr="0067507D" w:rsidRDefault="005D2595" w:rsidP="00FC3AF2">
            <w:pPr>
              <w:pStyle w:val="Tabletextright"/>
            </w:pPr>
          </w:p>
        </w:tc>
        <w:tc>
          <w:tcPr>
            <w:tcW w:w="1138" w:type="dxa"/>
            <w:shd w:val="clear" w:color="auto" w:fill="FFFFFF" w:themeFill="background1"/>
            <w:noWrap/>
          </w:tcPr>
          <w:p w14:paraId="034E0689" w14:textId="77777777" w:rsidR="005D2595" w:rsidRPr="0067507D" w:rsidRDefault="005D2595" w:rsidP="00FC3AF2">
            <w:pPr>
              <w:pStyle w:val="Tabletextright"/>
            </w:pPr>
          </w:p>
        </w:tc>
      </w:tr>
      <w:tr w:rsidR="005D2595" w:rsidRPr="0067507D" w14:paraId="5F33E9D2" w14:textId="77777777" w:rsidTr="00FC3AF2">
        <w:trPr>
          <w:cantSplit/>
        </w:trPr>
        <w:tc>
          <w:tcPr>
            <w:tcW w:w="1278" w:type="dxa"/>
            <w:shd w:val="clear" w:color="auto" w:fill="D9D9D9" w:themeFill="background1" w:themeFillShade="D9"/>
            <w:noWrap/>
          </w:tcPr>
          <w:p w14:paraId="1278BD9B" w14:textId="77777777" w:rsidR="005D2595" w:rsidRPr="0067507D" w:rsidRDefault="005D2595" w:rsidP="00FC3AF2">
            <w:pPr>
              <w:pStyle w:val="Tabletextright"/>
            </w:pPr>
            <w:r w:rsidRPr="0067507D">
              <w:t xml:space="preserve">(43 298) </w:t>
            </w:r>
          </w:p>
        </w:tc>
        <w:tc>
          <w:tcPr>
            <w:tcW w:w="1170" w:type="dxa"/>
            <w:noWrap/>
          </w:tcPr>
          <w:p w14:paraId="3D0EA2EC" w14:textId="77777777" w:rsidR="005D2595" w:rsidRPr="0067507D" w:rsidRDefault="005D2595" w:rsidP="00FC3AF2">
            <w:pPr>
              <w:pStyle w:val="Tabletextright"/>
            </w:pPr>
            <w:r w:rsidRPr="0067507D">
              <w:t xml:space="preserve">(35 997) </w:t>
            </w:r>
          </w:p>
        </w:tc>
        <w:tc>
          <w:tcPr>
            <w:tcW w:w="1138" w:type="dxa"/>
            <w:shd w:val="clear" w:color="auto" w:fill="E0E0E0"/>
            <w:noWrap/>
          </w:tcPr>
          <w:p w14:paraId="758D19BD" w14:textId="77777777" w:rsidR="005D2595" w:rsidRPr="0067507D" w:rsidRDefault="005D2595" w:rsidP="00FC3AF2">
            <w:pPr>
              <w:pStyle w:val="Tabletextright"/>
            </w:pPr>
            <w:r w:rsidRPr="0067507D">
              <w:t xml:space="preserve">(14 621) </w:t>
            </w:r>
          </w:p>
        </w:tc>
        <w:tc>
          <w:tcPr>
            <w:tcW w:w="1274" w:type="dxa"/>
            <w:shd w:val="clear" w:color="auto" w:fill="FFFFFF" w:themeFill="background1"/>
            <w:noWrap/>
          </w:tcPr>
          <w:p w14:paraId="412157FA" w14:textId="77777777" w:rsidR="005D2595" w:rsidRPr="0067507D" w:rsidRDefault="005D2595" w:rsidP="00FC3AF2">
            <w:pPr>
              <w:pStyle w:val="Tabletextright"/>
            </w:pPr>
            <w:r w:rsidRPr="0067507D">
              <w:t xml:space="preserve">(5 914) </w:t>
            </w:r>
          </w:p>
        </w:tc>
        <w:tc>
          <w:tcPr>
            <w:tcW w:w="1138" w:type="dxa"/>
            <w:shd w:val="clear" w:color="auto" w:fill="E0E0E0"/>
            <w:noWrap/>
          </w:tcPr>
          <w:p w14:paraId="3738F673" w14:textId="77777777" w:rsidR="005D2595" w:rsidRPr="0067507D" w:rsidRDefault="005D2595" w:rsidP="00FC3AF2">
            <w:pPr>
              <w:pStyle w:val="Tabletextright"/>
            </w:pPr>
            <w:r w:rsidRPr="0067507D">
              <w:t xml:space="preserve">(259 726) </w:t>
            </w:r>
          </w:p>
        </w:tc>
        <w:tc>
          <w:tcPr>
            <w:tcW w:w="1138" w:type="dxa"/>
            <w:shd w:val="clear" w:color="auto" w:fill="FFFFFF" w:themeFill="background1"/>
            <w:noWrap/>
          </w:tcPr>
          <w:p w14:paraId="1F537172" w14:textId="77777777" w:rsidR="005D2595" w:rsidRPr="0067507D" w:rsidRDefault="005D2595" w:rsidP="00FC3AF2">
            <w:pPr>
              <w:pStyle w:val="Tabletextright"/>
            </w:pPr>
            <w:r w:rsidRPr="0067507D">
              <w:t xml:space="preserve">(210 569) </w:t>
            </w:r>
          </w:p>
        </w:tc>
      </w:tr>
      <w:tr w:rsidR="005D2595" w:rsidRPr="0067507D" w14:paraId="23146310" w14:textId="77777777" w:rsidTr="00FC3AF2">
        <w:trPr>
          <w:cantSplit/>
        </w:trPr>
        <w:tc>
          <w:tcPr>
            <w:tcW w:w="1278" w:type="dxa"/>
            <w:shd w:val="clear" w:color="auto" w:fill="D9D9D9" w:themeFill="background1" w:themeFillShade="D9"/>
            <w:noWrap/>
          </w:tcPr>
          <w:p w14:paraId="659DFB19" w14:textId="77777777" w:rsidR="005D2595" w:rsidRPr="0067507D" w:rsidRDefault="005D2595" w:rsidP="00FC3AF2">
            <w:pPr>
              <w:pStyle w:val="Tabletextright"/>
            </w:pPr>
            <w:r w:rsidRPr="0067507D">
              <w:t xml:space="preserve">(226) </w:t>
            </w:r>
          </w:p>
        </w:tc>
        <w:tc>
          <w:tcPr>
            <w:tcW w:w="1170" w:type="dxa"/>
            <w:noWrap/>
          </w:tcPr>
          <w:p w14:paraId="78B6D7CD" w14:textId="77777777" w:rsidR="005D2595" w:rsidRPr="0067507D" w:rsidRDefault="005D2595" w:rsidP="00FC3AF2">
            <w:pPr>
              <w:pStyle w:val="Tabletextright"/>
            </w:pPr>
            <w:r w:rsidRPr="0067507D">
              <w:t xml:space="preserve">(102) </w:t>
            </w:r>
          </w:p>
        </w:tc>
        <w:tc>
          <w:tcPr>
            <w:tcW w:w="1138" w:type="dxa"/>
            <w:shd w:val="clear" w:color="auto" w:fill="E0E0E0"/>
            <w:noWrap/>
          </w:tcPr>
          <w:p w14:paraId="1981DEFE" w14:textId="77777777" w:rsidR="005D2595" w:rsidRPr="0067507D" w:rsidRDefault="005D2595" w:rsidP="00FC3AF2">
            <w:pPr>
              <w:pStyle w:val="Tabletextright"/>
            </w:pPr>
            <w:r w:rsidRPr="0067507D">
              <w:t xml:space="preserve">(20) </w:t>
            </w:r>
          </w:p>
        </w:tc>
        <w:tc>
          <w:tcPr>
            <w:tcW w:w="1274" w:type="dxa"/>
            <w:shd w:val="clear" w:color="auto" w:fill="FFFFFF" w:themeFill="background1"/>
            <w:noWrap/>
          </w:tcPr>
          <w:p w14:paraId="26547225" w14:textId="77777777" w:rsidR="005D2595" w:rsidRPr="0067507D" w:rsidRDefault="005D2595" w:rsidP="00FC3AF2">
            <w:pPr>
              <w:pStyle w:val="Tabletextright"/>
            </w:pPr>
            <w:r w:rsidRPr="0067507D">
              <w:t xml:space="preserve">(8) </w:t>
            </w:r>
          </w:p>
        </w:tc>
        <w:tc>
          <w:tcPr>
            <w:tcW w:w="1138" w:type="dxa"/>
            <w:shd w:val="clear" w:color="auto" w:fill="E0E0E0"/>
            <w:noWrap/>
          </w:tcPr>
          <w:p w14:paraId="10ABADF1" w14:textId="77777777" w:rsidR="005D2595" w:rsidRPr="0067507D" w:rsidRDefault="005D2595" w:rsidP="00FC3AF2">
            <w:pPr>
              <w:pStyle w:val="Tabletextright"/>
            </w:pPr>
            <w:r w:rsidRPr="0067507D">
              <w:t xml:space="preserve">(9 294) </w:t>
            </w:r>
          </w:p>
        </w:tc>
        <w:tc>
          <w:tcPr>
            <w:tcW w:w="1138" w:type="dxa"/>
            <w:shd w:val="clear" w:color="auto" w:fill="FFFFFF" w:themeFill="background1"/>
            <w:noWrap/>
          </w:tcPr>
          <w:p w14:paraId="253CA861" w14:textId="77777777" w:rsidR="005D2595" w:rsidRPr="0067507D" w:rsidRDefault="005D2595" w:rsidP="00FC3AF2">
            <w:pPr>
              <w:pStyle w:val="Tabletextright"/>
            </w:pPr>
            <w:r w:rsidRPr="0067507D">
              <w:t xml:space="preserve">(7 744) </w:t>
            </w:r>
          </w:p>
        </w:tc>
      </w:tr>
      <w:tr w:rsidR="005D2595" w:rsidRPr="0067507D" w14:paraId="661AF25A" w14:textId="77777777" w:rsidTr="00FC3AF2">
        <w:trPr>
          <w:cantSplit/>
        </w:trPr>
        <w:tc>
          <w:tcPr>
            <w:tcW w:w="1278" w:type="dxa"/>
            <w:shd w:val="clear" w:color="auto" w:fill="D9D9D9" w:themeFill="background1" w:themeFillShade="D9"/>
            <w:noWrap/>
          </w:tcPr>
          <w:p w14:paraId="60291DC6" w14:textId="77777777" w:rsidR="005D2595" w:rsidRPr="0067507D" w:rsidRDefault="005D2595" w:rsidP="00FC3AF2">
            <w:pPr>
              <w:pStyle w:val="Tabletextright"/>
            </w:pPr>
            <w:r w:rsidRPr="0067507D">
              <w:t xml:space="preserve">(23) </w:t>
            </w:r>
          </w:p>
        </w:tc>
        <w:tc>
          <w:tcPr>
            <w:tcW w:w="1170" w:type="dxa"/>
            <w:noWrap/>
          </w:tcPr>
          <w:p w14:paraId="24682147" w14:textId="77777777" w:rsidR="005D2595" w:rsidRPr="0067507D" w:rsidRDefault="005D2595" w:rsidP="00FC3AF2">
            <w:pPr>
              <w:pStyle w:val="Tabletextright"/>
            </w:pPr>
            <w:r w:rsidRPr="0067507D">
              <w:t xml:space="preserve">(3) </w:t>
            </w:r>
          </w:p>
        </w:tc>
        <w:tc>
          <w:tcPr>
            <w:tcW w:w="1138" w:type="dxa"/>
            <w:shd w:val="clear" w:color="auto" w:fill="E0E0E0"/>
            <w:noWrap/>
          </w:tcPr>
          <w:p w14:paraId="49D16D4B" w14:textId="77777777" w:rsidR="005D2595" w:rsidRPr="0067507D" w:rsidRDefault="005D2595" w:rsidP="00FC3AF2">
            <w:pPr>
              <w:pStyle w:val="Tabletextright"/>
            </w:pPr>
            <w:r w:rsidRPr="0067507D">
              <w:t xml:space="preserve">(2) </w:t>
            </w:r>
          </w:p>
        </w:tc>
        <w:tc>
          <w:tcPr>
            <w:tcW w:w="1274" w:type="dxa"/>
            <w:shd w:val="clear" w:color="auto" w:fill="FFFFFF" w:themeFill="background1"/>
            <w:noWrap/>
          </w:tcPr>
          <w:p w14:paraId="025AC18C" w14:textId="77777777" w:rsidR="005D2595" w:rsidRPr="0067507D" w:rsidRDefault="005D2595" w:rsidP="00FC3AF2">
            <w:pPr>
              <w:pStyle w:val="Tabletextright"/>
            </w:pPr>
            <w:r w:rsidRPr="0067507D">
              <w:t xml:space="preserve">(1) </w:t>
            </w:r>
          </w:p>
        </w:tc>
        <w:tc>
          <w:tcPr>
            <w:tcW w:w="1138" w:type="dxa"/>
            <w:shd w:val="clear" w:color="auto" w:fill="E0E0E0"/>
            <w:noWrap/>
          </w:tcPr>
          <w:p w14:paraId="6EBFCF87" w14:textId="77777777" w:rsidR="005D2595" w:rsidRPr="0067507D" w:rsidRDefault="005D2595" w:rsidP="00FC3AF2">
            <w:pPr>
              <w:pStyle w:val="Tabletextright"/>
            </w:pPr>
            <w:r w:rsidRPr="0067507D">
              <w:t xml:space="preserve">(58) </w:t>
            </w:r>
          </w:p>
        </w:tc>
        <w:tc>
          <w:tcPr>
            <w:tcW w:w="1138" w:type="dxa"/>
            <w:shd w:val="clear" w:color="auto" w:fill="FFFFFF" w:themeFill="background1"/>
            <w:noWrap/>
          </w:tcPr>
          <w:p w14:paraId="4F896CAC" w14:textId="77777777" w:rsidR="005D2595" w:rsidRPr="0067507D" w:rsidRDefault="005D2595" w:rsidP="00FC3AF2">
            <w:pPr>
              <w:pStyle w:val="Tabletextright"/>
            </w:pPr>
            <w:r w:rsidRPr="0067507D">
              <w:t xml:space="preserve">(28) </w:t>
            </w:r>
          </w:p>
        </w:tc>
      </w:tr>
      <w:tr w:rsidR="005D2595" w:rsidRPr="0067507D" w14:paraId="333B1503" w14:textId="77777777" w:rsidTr="00FC3AF2">
        <w:trPr>
          <w:cantSplit/>
        </w:trPr>
        <w:tc>
          <w:tcPr>
            <w:tcW w:w="1278" w:type="dxa"/>
            <w:shd w:val="clear" w:color="auto" w:fill="D9D9D9" w:themeFill="background1" w:themeFillShade="D9"/>
            <w:noWrap/>
          </w:tcPr>
          <w:p w14:paraId="32D047CE" w14:textId="77777777" w:rsidR="005D2595" w:rsidRPr="0067507D" w:rsidRDefault="005D2595" w:rsidP="00FC3AF2">
            <w:pPr>
              <w:pStyle w:val="Tabletextright"/>
            </w:pPr>
            <w:r w:rsidRPr="0067507D">
              <w:t xml:space="preserve">(14 311) </w:t>
            </w:r>
          </w:p>
        </w:tc>
        <w:tc>
          <w:tcPr>
            <w:tcW w:w="1170" w:type="dxa"/>
            <w:noWrap/>
          </w:tcPr>
          <w:p w14:paraId="7B5F6CE5" w14:textId="77777777" w:rsidR="005D2595" w:rsidRPr="0067507D" w:rsidRDefault="005D2595" w:rsidP="00FC3AF2">
            <w:pPr>
              <w:pStyle w:val="Tabletextright"/>
            </w:pPr>
            <w:r w:rsidRPr="0067507D">
              <w:t xml:space="preserve">(11 784) </w:t>
            </w:r>
          </w:p>
        </w:tc>
        <w:tc>
          <w:tcPr>
            <w:tcW w:w="1138" w:type="dxa"/>
            <w:shd w:val="clear" w:color="auto" w:fill="E0E0E0"/>
            <w:noWrap/>
          </w:tcPr>
          <w:p w14:paraId="16E17CD6" w14:textId="77777777" w:rsidR="005D2595" w:rsidRPr="0067507D" w:rsidRDefault="005D2595" w:rsidP="00FC3AF2">
            <w:pPr>
              <w:pStyle w:val="Tabletextright"/>
            </w:pPr>
            <w:r w:rsidRPr="0067507D">
              <w:t xml:space="preserve">(1 321) </w:t>
            </w:r>
          </w:p>
        </w:tc>
        <w:tc>
          <w:tcPr>
            <w:tcW w:w="1274" w:type="dxa"/>
            <w:shd w:val="clear" w:color="auto" w:fill="FFFFFF" w:themeFill="background1"/>
            <w:noWrap/>
          </w:tcPr>
          <w:p w14:paraId="637EEA18" w14:textId="77777777" w:rsidR="005D2595" w:rsidRPr="0067507D" w:rsidRDefault="005D2595" w:rsidP="00FC3AF2">
            <w:pPr>
              <w:pStyle w:val="Tabletextright"/>
            </w:pPr>
            <w:r w:rsidRPr="0067507D">
              <w:t xml:space="preserve">(5 853) </w:t>
            </w:r>
          </w:p>
        </w:tc>
        <w:tc>
          <w:tcPr>
            <w:tcW w:w="1138" w:type="dxa"/>
            <w:shd w:val="clear" w:color="auto" w:fill="E0E0E0"/>
            <w:noWrap/>
          </w:tcPr>
          <w:p w14:paraId="16E77815" w14:textId="77777777" w:rsidR="005D2595" w:rsidRPr="0067507D" w:rsidRDefault="005D2595" w:rsidP="00FC3AF2">
            <w:pPr>
              <w:pStyle w:val="Tabletextright"/>
            </w:pPr>
            <w:r w:rsidRPr="0067507D">
              <w:t xml:space="preserve">(39 910) </w:t>
            </w:r>
          </w:p>
        </w:tc>
        <w:tc>
          <w:tcPr>
            <w:tcW w:w="1138" w:type="dxa"/>
            <w:shd w:val="clear" w:color="auto" w:fill="FFFFFF" w:themeFill="background1"/>
            <w:noWrap/>
          </w:tcPr>
          <w:p w14:paraId="48F67D8B" w14:textId="77777777" w:rsidR="005D2595" w:rsidRPr="0067507D" w:rsidRDefault="005D2595" w:rsidP="00FC3AF2">
            <w:pPr>
              <w:pStyle w:val="Tabletextright"/>
            </w:pPr>
            <w:r w:rsidRPr="0067507D">
              <w:t xml:space="preserve">(32 762) </w:t>
            </w:r>
          </w:p>
        </w:tc>
      </w:tr>
      <w:tr w:rsidR="005D2595" w:rsidRPr="0067507D" w14:paraId="34A4AFDC" w14:textId="77777777" w:rsidTr="00FC3AF2">
        <w:trPr>
          <w:cantSplit/>
        </w:trPr>
        <w:tc>
          <w:tcPr>
            <w:tcW w:w="1278" w:type="dxa"/>
            <w:shd w:val="clear" w:color="auto" w:fill="D9D9D9" w:themeFill="background1" w:themeFillShade="D9"/>
            <w:noWrap/>
          </w:tcPr>
          <w:p w14:paraId="7CA1F3EB" w14:textId="77777777" w:rsidR="005D2595" w:rsidRPr="0067507D" w:rsidRDefault="005D2595" w:rsidP="00FC3AF2">
            <w:pPr>
              <w:pStyle w:val="Tabletextright"/>
            </w:pPr>
            <w:r w:rsidRPr="0067507D">
              <w:t xml:space="preserve">(20 962) </w:t>
            </w:r>
          </w:p>
        </w:tc>
        <w:tc>
          <w:tcPr>
            <w:tcW w:w="1170" w:type="dxa"/>
            <w:noWrap/>
          </w:tcPr>
          <w:p w14:paraId="6C178AC9" w14:textId="77777777" w:rsidR="005D2595" w:rsidRPr="0067507D" w:rsidRDefault="005D2595" w:rsidP="00FC3AF2">
            <w:pPr>
              <w:pStyle w:val="Tabletextright"/>
            </w:pPr>
            <w:r w:rsidRPr="0067507D">
              <w:t xml:space="preserve">(15 322) </w:t>
            </w:r>
          </w:p>
        </w:tc>
        <w:tc>
          <w:tcPr>
            <w:tcW w:w="1138" w:type="dxa"/>
            <w:shd w:val="clear" w:color="auto" w:fill="E0E0E0"/>
            <w:noWrap/>
          </w:tcPr>
          <w:p w14:paraId="5E342A24" w14:textId="77777777" w:rsidR="005D2595" w:rsidRPr="0067507D" w:rsidRDefault="005D2595" w:rsidP="00FC3AF2">
            <w:pPr>
              <w:pStyle w:val="Tabletextright"/>
            </w:pPr>
            <w:r w:rsidRPr="0067507D">
              <w:t xml:space="preserve">(4 147) </w:t>
            </w:r>
          </w:p>
        </w:tc>
        <w:tc>
          <w:tcPr>
            <w:tcW w:w="1274" w:type="dxa"/>
            <w:shd w:val="clear" w:color="auto" w:fill="FFFFFF" w:themeFill="background1"/>
            <w:noWrap/>
          </w:tcPr>
          <w:p w14:paraId="1241A14A" w14:textId="77777777" w:rsidR="005D2595" w:rsidRPr="0067507D" w:rsidRDefault="005D2595" w:rsidP="00FC3AF2">
            <w:pPr>
              <w:pStyle w:val="Tabletextright"/>
            </w:pPr>
            <w:r w:rsidRPr="0067507D">
              <w:t xml:space="preserve">(2 464) </w:t>
            </w:r>
          </w:p>
        </w:tc>
        <w:tc>
          <w:tcPr>
            <w:tcW w:w="1138" w:type="dxa"/>
            <w:shd w:val="clear" w:color="auto" w:fill="E0E0E0"/>
            <w:noWrap/>
          </w:tcPr>
          <w:p w14:paraId="7AD5512C" w14:textId="77777777" w:rsidR="005D2595" w:rsidRPr="0067507D" w:rsidRDefault="005D2595" w:rsidP="00FC3AF2">
            <w:pPr>
              <w:pStyle w:val="Tabletextright"/>
            </w:pPr>
            <w:r w:rsidRPr="0067507D">
              <w:t xml:space="preserve">(149 906) </w:t>
            </w:r>
          </w:p>
        </w:tc>
        <w:tc>
          <w:tcPr>
            <w:tcW w:w="1138" w:type="dxa"/>
            <w:shd w:val="clear" w:color="auto" w:fill="FFFFFF" w:themeFill="background1"/>
            <w:noWrap/>
          </w:tcPr>
          <w:p w14:paraId="6497F526" w14:textId="77777777" w:rsidR="005D2595" w:rsidRPr="0067507D" w:rsidRDefault="005D2595" w:rsidP="00FC3AF2">
            <w:pPr>
              <w:pStyle w:val="Tabletextright"/>
            </w:pPr>
            <w:r w:rsidRPr="0067507D">
              <w:t xml:space="preserve">(147 321) </w:t>
            </w:r>
          </w:p>
        </w:tc>
      </w:tr>
      <w:tr w:rsidR="005D2595" w:rsidRPr="0067507D" w14:paraId="011E1BCE" w14:textId="77777777" w:rsidTr="00FC3AF2">
        <w:trPr>
          <w:cantSplit/>
        </w:trPr>
        <w:tc>
          <w:tcPr>
            <w:tcW w:w="1278" w:type="dxa"/>
            <w:shd w:val="clear" w:color="auto" w:fill="D9D9D9" w:themeFill="background1" w:themeFillShade="D9"/>
            <w:noWrap/>
          </w:tcPr>
          <w:p w14:paraId="2CFB6AD5" w14:textId="77777777" w:rsidR="005D2595" w:rsidRPr="0067507D" w:rsidRDefault="005D2595" w:rsidP="00FC3AF2">
            <w:pPr>
              <w:pStyle w:val="Tabletextrightbold"/>
            </w:pPr>
            <w:r w:rsidRPr="0067507D">
              <w:t xml:space="preserve">(78 820) </w:t>
            </w:r>
          </w:p>
        </w:tc>
        <w:tc>
          <w:tcPr>
            <w:tcW w:w="1170" w:type="dxa"/>
            <w:noWrap/>
          </w:tcPr>
          <w:p w14:paraId="443E3409" w14:textId="77777777" w:rsidR="005D2595" w:rsidRPr="0067507D" w:rsidRDefault="005D2595" w:rsidP="00FC3AF2">
            <w:pPr>
              <w:pStyle w:val="Tabletextrightbold"/>
            </w:pPr>
            <w:r w:rsidRPr="0067507D">
              <w:t xml:space="preserve">(63 208) </w:t>
            </w:r>
          </w:p>
        </w:tc>
        <w:tc>
          <w:tcPr>
            <w:tcW w:w="1138" w:type="dxa"/>
            <w:shd w:val="clear" w:color="auto" w:fill="E0E0E0"/>
            <w:noWrap/>
          </w:tcPr>
          <w:p w14:paraId="215F2220" w14:textId="77777777" w:rsidR="005D2595" w:rsidRPr="0067507D" w:rsidRDefault="005D2595" w:rsidP="00FC3AF2">
            <w:pPr>
              <w:pStyle w:val="Tabletextrightbold"/>
            </w:pPr>
            <w:r w:rsidRPr="0067507D">
              <w:t xml:space="preserve">(20 111) </w:t>
            </w:r>
          </w:p>
        </w:tc>
        <w:tc>
          <w:tcPr>
            <w:tcW w:w="1274" w:type="dxa"/>
            <w:shd w:val="clear" w:color="auto" w:fill="FFFFFF" w:themeFill="background1"/>
            <w:noWrap/>
          </w:tcPr>
          <w:p w14:paraId="59ACEBD5" w14:textId="77777777" w:rsidR="005D2595" w:rsidRPr="0067507D" w:rsidRDefault="005D2595" w:rsidP="00FC3AF2">
            <w:pPr>
              <w:pStyle w:val="Tabletextrightbold"/>
            </w:pPr>
            <w:r w:rsidRPr="0067507D">
              <w:t xml:space="preserve">(14 240) </w:t>
            </w:r>
          </w:p>
        </w:tc>
        <w:tc>
          <w:tcPr>
            <w:tcW w:w="1138" w:type="dxa"/>
            <w:shd w:val="clear" w:color="auto" w:fill="E0E0E0"/>
            <w:noWrap/>
          </w:tcPr>
          <w:p w14:paraId="59E02BC9" w14:textId="77777777" w:rsidR="005D2595" w:rsidRPr="0067507D" w:rsidRDefault="005D2595" w:rsidP="00FC3AF2">
            <w:pPr>
              <w:pStyle w:val="Tabletextrightbold"/>
            </w:pPr>
            <w:r w:rsidRPr="0067507D">
              <w:t xml:space="preserve">(458 894) </w:t>
            </w:r>
          </w:p>
        </w:tc>
        <w:tc>
          <w:tcPr>
            <w:tcW w:w="1138" w:type="dxa"/>
            <w:shd w:val="clear" w:color="auto" w:fill="FFFFFF" w:themeFill="background1"/>
            <w:noWrap/>
          </w:tcPr>
          <w:p w14:paraId="07FC9CF5" w14:textId="77777777" w:rsidR="005D2595" w:rsidRPr="0067507D" w:rsidRDefault="005D2595" w:rsidP="00FC3AF2">
            <w:pPr>
              <w:pStyle w:val="Tabletextrightbold"/>
            </w:pPr>
            <w:r w:rsidRPr="0067507D">
              <w:t xml:space="preserve">(398 424) </w:t>
            </w:r>
          </w:p>
        </w:tc>
      </w:tr>
      <w:tr w:rsidR="005D2595" w:rsidRPr="0067507D" w14:paraId="78F27F02" w14:textId="77777777" w:rsidTr="00FC3AF2">
        <w:trPr>
          <w:cantSplit/>
          <w:trHeight w:hRule="exact" w:val="57"/>
        </w:trPr>
        <w:tc>
          <w:tcPr>
            <w:tcW w:w="1278" w:type="dxa"/>
            <w:shd w:val="clear" w:color="auto" w:fill="D9D9D9" w:themeFill="background1" w:themeFillShade="D9"/>
            <w:noWrap/>
          </w:tcPr>
          <w:p w14:paraId="7B1D552C" w14:textId="77777777" w:rsidR="005D2595" w:rsidRPr="0067507D" w:rsidRDefault="005D2595" w:rsidP="00FC3AF2">
            <w:pPr>
              <w:pStyle w:val="Tabletextrightbold"/>
            </w:pPr>
          </w:p>
        </w:tc>
        <w:tc>
          <w:tcPr>
            <w:tcW w:w="1170" w:type="dxa"/>
            <w:noWrap/>
          </w:tcPr>
          <w:p w14:paraId="2F5960B0" w14:textId="77777777" w:rsidR="005D2595" w:rsidRPr="0067507D" w:rsidRDefault="005D2595" w:rsidP="00FC3AF2">
            <w:pPr>
              <w:pStyle w:val="Tabletextrightbold"/>
            </w:pPr>
          </w:p>
        </w:tc>
        <w:tc>
          <w:tcPr>
            <w:tcW w:w="1138" w:type="dxa"/>
            <w:shd w:val="clear" w:color="auto" w:fill="E0E0E0"/>
            <w:noWrap/>
          </w:tcPr>
          <w:p w14:paraId="12DF0DF1" w14:textId="77777777" w:rsidR="005D2595" w:rsidRPr="0067507D" w:rsidRDefault="005D2595" w:rsidP="00FC3AF2">
            <w:pPr>
              <w:pStyle w:val="Tabletextrightbold"/>
            </w:pPr>
          </w:p>
        </w:tc>
        <w:tc>
          <w:tcPr>
            <w:tcW w:w="1274" w:type="dxa"/>
            <w:shd w:val="clear" w:color="auto" w:fill="FFFFFF" w:themeFill="background1"/>
            <w:noWrap/>
          </w:tcPr>
          <w:p w14:paraId="12268D67" w14:textId="77777777" w:rsidR="005D2595" w:rsidRPr="0067507D" w:rsidRDefault="005D2595" w:rsidP="00FC3AF2">
            <w:pPr>
              <w:pStyle w:val="Tabletextrightbold"/>
            </w:pPr>
          </w:p>
        </w:tc>
        <w:tc>
          <w:tcPr>
            <w:tcW w:w="1138" w:type="dxa"/>
            <w:shd w:val="clear" w:color="auto" w:fill="E0E0E0"/>
            <w:noWrap/>
          </w:tcPr>
          <w:p w14:paraId="6C0B5A65" w14:textId="77777777" w:rsidR="005D2595" w:rsidRPr="0067507D" w:rsidRDefault="005D2595" w:rsidP="00FC3AF2">
            <w:pPr>
              <w:pStyle w:val="Tabletextrightbold"/>
            </w:pPr>
          </w:p>
        </w:tc>
        <w:tc>
          <w:tcPr>
            <w:tcW w:w="1138" w:type="dxa"/>
            <w:shd w:val="clear" w:color="auto" w:fill="FFFFFF" w:themeFill="background1"/>
            <w:noWrap/>
          </w:tcPr>
          <w:p w14:paraId="0A97B474" w14:textId="77777777" w:rsidR="005D2595" w:rsidRPr="0067507D" w:rsidRDefault="005D2595" w:rsidP="00FC3AF2">
            <w:pPr>
              <w:pStyle w:val="Tabletextrightbold"/>
            </w:pPr>
          </w:p>
        </w:tc>
      </w:tr>
      <w:tr w:rsidR="005D2595" w:rsidRPr="0067507D" w14:paraId="639111A4" w14:textId="77777777" w:rsidTr="00FC3AF2">
        <w:trPr>
          <w:cantSplit/>
        </w:trPr>
        <w:tc>
          <w:tcPr>
            <w:tcW w:w="1278" w:type="dxa"/>
            <w:shd w:val="clear" w:color="auto" w:fill="D9D9D9" w:themeFill="background1" w:themeFillShade="D9"/>
            <w:noWrap/>
          </w:tcPr>
          <w:p w14:paraId="09FF6AC3" w14:textId="77777777" w:rsidR="005D2595" w:rsidRPr="0067507D" w:rsidRDefault="005D2595" w:rsidP="00FC3AF2">
            <w:pPr>
              <w:pStyle w:val="Tabletextrightbold"/>
            </w:pPr>
            <w:r w:rsidRPr="0067507D">
              <w:t xml:space="preserve"> 3 </w:t>
            </w:r>
          </w:p>
        </w:tc>
        <w:tc>
          <w:tcPr>
            <w:tcW w:w="1170" w:type="dxa"/>
            <w:noWrap/>
          </w:tcPr>
          <w:p w14:paraId="26AF7835" w14:textId="77777777" w:rsidR="005D2595" w:rsidRPr="0067507D" w:rsidRDefault="005D2595" w:rsidP="00FC3AF2">
            <w:pPr>
              <w:pStyle w:val="Tabletextrightbold"/>
            </w:pPr>
            <w:r w:rsidRPr="0067507D">
              <w:t>–</w:t>
            </w:r>
          </w:p>
        </w:tc>
        <w:tc>
          <w:tcPr>
            <w:tcW w:w="1138" w:type="dxa"/>
            <w:shd w:val="clear" w:color="auto" w:fill="E0E0E0"/>
            <w:noWrap/>
          </w:tcPr>
          <w:p w14:paraId="34A35A07" w14:textId="77777777" w:rsidR="005D2595" w:rsidRPr="0067507D" w:rsidRDefault="005D2595" w:rsidP="00FC3AF2">
            <w:pPr>
              <w:pStyle w:val="Tabletextrightbold"/>
            </w:pPr>
            <w:r w:rsidRPr="0067507D">
              <w:t>–</w:t>
            </w:r>
          </w:p>
        </w:tc>
        <w:tc>
          <w:tcPr>
            <w:tcW w:w="1274" w:type="dxa"/>
            <w:shd w:val="clear" w:color="auto" w:fill="FFFFFF" w:themeFill="background1"/>
            <w:noWrap/>
          </w:tcPr>
          <w:p w14:paraId="79C19109" w14:textId="77777777" w:rsidR="005D2595" w:rsidRPr="0067507D" w:rsidRDefault="005D2595" w:rsidP="00FC3AF2">
            <w:pPr>
              <w:pStyle w:val="Tabletextrightbold"/>
            </w:pPr>
            <w:r w:rsidRPr="0067507D">
              <w:t>–</w:t>
            </w:r>
          </w:p>
        </w:tc>
        <w:tc>
          <w:tcPr>
            <w:tcW w:w="1138" w:type="dxa"/>
            <w:shd w:val="clear" w:color="auto" w:fill="E0E0E0"/>
            <w:noWrap/>
          </w:tcPr>
          <w:p w14:paraId="11E605F3" w14:textId="77777777" w:rsidR="005D2595" w:rsidRPr="0067507D" w:rsidRDefault="005D2595" w:rsidP="00FC3AF2">
            <w:pPr>
              <w:pStyle w:val="Tabletextrightbold"/>
            </w:pPr>
            <w:r w:rsidRPr="0067507D">
              <w:t xml:space="preserve">6 411 </w:t>
            </w:r>
          </w:p>
        </w:tc>
        <w:tc>
          <w:tcPr>
            <w:tcW w:w="1138" w:type="dxa"/>
            <w:shd w:val="clear" w:color="auto" w:fill="FFFFFF" w:themeFill="background1"/>
            <w:noWrap/>
          </w:tcPr>
          <w:p w14:paraId="407F0289" w14:textId="77777777" w:rsidR="005D2595" w:rsidRPr="0067507D" w:rsidRDefault="005D2595" w:rsidP="00FC3AF2">
            <w:pPr>
              <w:pStyle w:val="Tabletextrightbold"/>
            </w:pPr>
            <w:r w:rsidRPr="0067507D">
              <w:t xml:space="preserve"> 223 </w:t>
            </w:r>
          </w:p>
        </w:tc>
      </w:tr>
      <w:tr w:rsidR="005D2595" w:rsidRPr="0067507D" w14:paraId="1C3BDAD9" w14:textId="77777777" w:rsidTr="00FC3AF2">
        <w:trPr>
          <w:cantSplit/>
          <w:trHeight w:hRule="exact" w:val="57"/>
        </w:trPr>
        <w:tc>
          <w:tcPr>
            <w:tcW w:w="1278" w:type="dxa"/>
            <w:shd w:val="clear" w:color="auto" w:fill="D9D9D9" w:themeFill="background1" w:themeFillShade="D9"/>
            <w:noWrap/>
          </w:tcPr>
          <w:p w14:paraId="4F5EB28B" w14:textId="77777777" w:rsidR="005D2595" w:rsidRPr="0067507D" w:rsidRDefault="005D2595" w:rsidP="00FC3AF2">
            <w:pPr>
              <w:pStyle w:val="Tabletextright"/>
            </w:pPr>
          </w:p>
        </w:tc>
        <w:tc>
          <w:tcPr>
            <w:tcW w:w="1170" w:type="dxa"/>
            <w:noWrap/>
          </w:tcPr>
          <w:p w14:paraId="7EF462E6" w14:textId="77777777" w:rsidR="005D2595" w:rsidRPr="0067507D" w:rsidRDefault="005D2595" w:rsidP="00FC3AF2">
            <w:pPr>
              <w:pStyle w:val="Tabletextright"/>
            </w:pPr>
          </w:p>
        </w:tc>
        <w:tc>
          <w:tcPr>
            <w:tcW w:w="1138" w:type="dxa"/>
            <w:shd w:val="clear" w:color="auto" w:fill="E0E0E0"/>
            <w:noWrap/>
          </w:tcPr>
          <w:p w14:paraId="0082FAAF" w14:textId="77777777" w:rsidR="005D2595" w:rsidRPr="0067507D" w:rsidRDefault="005D2595" w:rsidP="00FC3AF2">
            <w:pPr>
              <w:pStyle w:val="Tabletextright"/>
            </w:pPr>
          </w:p>
        </w:tc>
        <w:tc>
          <w:tcPr>
            <w:tcW w:w="1274" w:type="dxa"/>
            <w:shd w:val="clear" w:color="auto" w:fill="FFFFFF" w:themeFill="background1"/>
            <w:noWrap/>
          </w:tcPr>
          <w:p w14:paraId="3BD7B90E" w14:textId="77777777" w:rsidR="005D2595" w:rsidRPr="0067507D" w:rsidRDefault="005D2595" w:rsidP="00FC3AF2">
            <w:pPr>
              <w:pStyle w:val="Tabletextright"/>
            </w:pPr>
          </w:p>
        </w:tc>
        <w:tc>
          <w:tcPr>
            <w:tcW w:w="1138" w:type="dxa"/>
            <w:shd w:val="clear" w:color="auto" w:fill="E0E0E0"/>
            <w:noWrap/>
          </w:tcPr>
          <w:p w14:paraId="5DE331BD" w14:textId="77777777" w:rsidR="005D2595" w:rsidRPr="0067507D" w:rsidRDefault="005D2595" w:rsidP="00FC3AF2">
            <w:pPr>
              <w:pStyle w:val="Tabletextright"/>
            </w:pPr>
          </w:p>
        </w:tc>
        <w:tc>
          <w:tcPr>
            <w:tcW w:w="1138" w:type="dxa"/>
            <w:shd w:val="clear" w:color="auto" w:fill="FFFFFF" w:themeFill="background1"/>
            <w:noWrap/>
          </w:tcPr>
          <w:p w14:paraId="6FF81B4A" w14:textId="77777777" w:rsidR="005D2595" w:rsidRPr="0067507D" w:rsidRDefault="005D2595" w:rsidP="00FC3AF2">
            <w:pPr>
              <w:pStyle w:val="Tabletextright"/>
            </w:pPr>
          </w:p>
        </w:tc>
      </w:tr>
      <w:tr w:rsidR="005D2595" w:rsidRPr="0067507D" w14:paraId="37C044E6" w14:textId="77777777" w:rsidTr="00FC3AF2">
        <w:trPr>
          <w:cantSplit/>
        </w:trPr>
        <w:tc>
          <w:tcPr>
            <w:tcW w:w="1278" w:type="dxa"/>
            <w:shd w:val="clear" w:color="auto" w:fill="D9D9D9" w:themeFill="background1" w:themeFillShade="D9"/>
            <w:noWrap/>
          </w:tcPr>
          <w:p w14:paraId="3F477F23" w14:textId="77777777" w:rsidR="005D2595" w:rsidRPr="0067507D" w:rsidRDefault="005D2595" w:rsidP="00FC3AF2">
            <w:pPr>
              <w:pStyle w:val="Tabletextright"/>
            </w:pPr>
          </w:p>
        </w:tc>
        <w:tc>
          <w:tcPr>
            <w:tcW w:w="1170" w:type="dxa"/>
            <w:noWrap/>
          </w:tcPr>
          <w:p w14:paraId="34E5466B" w14:textId="77777777" w:rsidR="005D2595" w:rsidRPr="0067507D" w:rsidRDefault="005D2595" w:rsidP="00FC3AF2">
            <w:pPr>
              <w:pStyle w:val="Tabletextright"/>
            </w:pPr>
          </w:p>
        </w:tc>
        <w:tc>
          <w:tcPr>
            <w:tcW w:w="1138" w:type="dxa"/>
            <w:shd w:val="clear" w:color="auto" w:fill="E0E0E0"/>
            <w:noWrap/>
          </w:tcPr>
          <w:p w14:paraId="5ACB5581" w14:textId="77777777" w:rsidR="005D2595" w:rsidRPr="0067507D" w:rsidRDefault="005D2595" w:rsidP="00FC3AF2">
            <w:pPr>
              <w:pStyle w:val="Tabletextright"/>
            </w:pPr>
          </w:p>
        </w:tc>
        <w:tc>
          <w:tcPr>
            <w:tcW w:w="1274" w:type="dxa"/>
            <w:shd w:val="clear" w:color="auto" w:fill="FFFFFF" w:themeFill="background1"/>
            <w:noWrap/>
          </w:tcPr>
          <w:p w14:paraId="459C1F83" w14:textId="77777777" w:rsidR="005D2595" w:rsidRPr="0067507D" w:rsidRDefault="005D2595" w:rsidP="00FC3AF2">
            <w:pPr>
              <w:pStyle w:val="Tabletextright"/>
            </w:pPr>
          </w:p>
        </w:tc>
        <w:tc>
          <w:tcPr>
            <w:tcW w:w="1138" w:type="dxa"/>
            <w:shd w:val="clear" w:color="auto" w:fill="E0E0E0"/>
            <w:noWrap/>
          </w:tcPr>
          <w:p w14:paraId="1171C2C7" w14:textId="77777777" w:rsidR="005D2595" w:rsidRPr="0067507D" w:rsidRDefault="005D2595" w:rsidP="00FC3AF2">
            <w:pPr>
              <w:pStyle w:val="Tabletextright"/>
            </w:pPr>
          </w:p>
        </w:tc>
        <w:tc>
          <w:tcPr>
            <w:tcW w:w="1138" w:type="dxa"/>
            <w:shd w:val="clear" w:color="auto" w:fill="FFFFFF" w:themeFill="background1"/>
            <w:noWrap/>
          </w:tcPr>
          <w:p w14:paraId="544A0C22" w14:textId="77777777" w:rsidR="005D2595" w:rsidRPr="0067507D" w:rsidRDefault="005D2595" w:rsidP="00FC3AF2">
            <w:pPr>
              <w:pStyle w:val="Tabletextright"/>
            </w:pPr>
          </w:p>
        </w:tc>
      </w:tr>
      <w:tr w:rsidR="005D2595" w:rsidRPr="0067507D" w14:paraId="5ABFF3F6" w14:textId="77777777" w:rsidTr="00FC3AF2">
        <w:trPr>
          <w:cantSplit/>
        </w:trPr>
        <w:tc>
          <w:tcPr>
            <w:tcW w:w="1278" w:type="dxa"/>
            <w:shd w:val="clear" w:color="auto" w:fill="D9D9D9" w:themeFill="background1" w:themeFillShade="D9"/>
            <w:noWrap/>
          </w:tcPr>
          <w:p w14:paraId="66200F82" w14:textId="77777777" w:rsidR="005D2595" w:rsidRPr="0067507D" w:rsidRDefault="005D2595" w:rsidP="00FC3AF2">
            <w:pPr>
              <w:pStyle w:val="Tabletextright"/>
              <w:rPr>
                <w:bCs/>
              </w:rPr>
            </w:pPr>
            <w:r w:rsidRPr="0067507D">
              <w:t xml:space="preserve"> 38 </w:t>
            </w:r>
          </w:p>
        </w:tc>
        <w:tc>
          <w:tcPr>
            <w:tcW w:w="1170" w:type="dxa"/>
            <w:noWrap/>
          </w:tcPr>
          <w:p w14:paraId="76FFD3E7" w14:textId="77777777" w:rsidR="005D2595" w:rsidRPr="0067507D" w:rsidRDefault="005D2595" w:rsidP="00FC3AF2">
            <w:pPr>
              <w:pStyle w:val="Tabletextright"/>
            </w:pPr>
            <w:r w:rsidRPr="0067507D">
              <w:t xml:space="preserve"> 68 </w:t>
            </w:r>
          </w:p>
        </w:tc>
        <w:tc>
          <w:tcPr>
            <w:tcW w:w="1138" w:type="dxa"/>
            <w:shd w:val="clear" w:color="auto" w:fill="E0E0E0"/>
            <w:noWrap/>
          </w:tcPr>
          <w:p w14:paraId="4F71316A" w14:textId="77777777" w:rsidR="005D2595" w:rsidRPr="0067507D" w:rsidRDefault="005D2595" w:rsidP="00FC3AF2">
            <w:pPr>
              <w:pStyle w:val="Tabletextright"/>
              <w:rPr>
                <w:bCs/>
              </w:rPr>
            </w:pPr>
            <w:r w:rsidRPr="0067507D">
              <w:t xml:space="preserve"> 24 </w:t>
            </w:r>
          </w:p>
        </w:tc>
        <w:tc>
          <w:tcPr>
            <w:tcW w:w="1274" w:type="dxa"/>
            <w:shd w:val="clear" w:color="auto" w:fill="FFFFFF" w:themeFill="background1"/>
            <w:noWrap/>
          </w:tcPr>
          <w:p w14:paraId="448189F2" w14:textId="77777777" w:rsidR="005D2595" w:rsidRPr="0067507D" w:rsidRDefault="005D2595" w:rsidP="00FC3AF2">
            <w:pPr>
              <w:pStyle w:val="Tabletextright"/>
            </w:pPr>
            <w:r w:rsidRPr="0067507D">
              <w:t xml:space="preserve"> – </w:t>
            </w:r>
          </w:p>
        </w:tc>
        <w:tc>
          <w:tcPr>
            <w:tcW w:w="1138" w:type="dxa"/>
            <w:shd w:val="clear" w:color="auto" w:fill="E0E0E0"/>
            <w:noWrap/>
          </w:tcPr>
          <w:p w14:paraId="3895EBF8" w14:textId="77777777" w:rsidR="005D2595" w:rsidRPr="0067507D" w:rsidRDefault="005D2595" w:rsidP="00FC3AF2">
            <w:pPr>
              <w:pStyle w:val="Tabletextright"/>
              <w:rPr>
                <w:bCs/>
              </w:rPr>
            </w:pPr>
            <w:r w:rsidRPr="0067507D">
              <w:t xml:space="preserve"> 135 </w:t>
            </w:r>
          </w:p>
        </w:tc>
        <w:tc>
          <w:tcPr>
            <w:tcW w:w="1138" w:type="dxa"/>
            <w:shd w:val="clear" w:color="auto" w:fill="FFFFFF" w:themeFill="background1"/>
            <w:noWrap/>
          </w:tcPr>
          <w:p w14:paraId="6A8A67E0" w14:textId="77777777" w:rsidR="005D2595" w:rsidRPr="0067507D" w:rsidRDefault="005D2595" w:rsidP="00FC3AF2">
            <w:pPr>
              <w:pStyle w:val="Tabletextright"/>
            </w:pPr>
            <w:r w:rsidRPr="0067507D">
              <w:t xml:space="preserve"> 227 </w:t>
            </w:r>
          </w:p>
        </w:tc>
      </w:tr>
      <w:tr w:rsidR="005D2595" w:rsidRPr="0067507D" w14:paraId="5096E364" w14:textId="77777777" w:rsidTr="00FC3AF2">
        <w:trPr>
          <w:cantSplit/>
        </w:trPr>
        <w:tc>
          <w:tcPr>
            <w:tcW w:w="1278" w:type="dxa"/>
            <w:shd w:val="clear" w:color="auto" w:fill="D9D9D9" w:themeFill="background1" w:themeFillShade="D9"/>
            <w:noWrap/>
          </w:tcPr>
          <w:p w14:paraId="10FEFA50" w14:textId="77777777" w:rsidR="005D2595" w:rsidRPr="0067507D" w:rsidRDefault="005D2595" w:rsidP="00FC3AF2">
            <w:pPr>
              <w:pStyle w:val="Tabletextright"/>
            </w:pPr>
            <w:r w:rsidRPr="0067507D">
              <w:t>–</w:t>
            </w:r>
          </w:p>
        </w:tc>
        <w:tc>
          <w:tcPr>
            <w:tcW w:w="1170" w:type="dxa"/>
            <w:noWrap/>
          </w:tcPr>
          <w:p w14:paraId="20D58FA7" w14:textId="77777777" w:rsidR="005D2595" w:rsidRPr="0067507D" w:rsidRDefault="005D2595" w:rsidP="00FC3AF2">
            <w:pPr>
              <w:pStyle w:val="Tabletextright"/>
            </w:pPr>
            <w:r w:rsidRPr="0067507D">
              <w:t>–</w:t>
            </w:r>
          </w:p>
        </w:tc>
        <w:tc>
          <w:tcPr>
            <w:tcW w:w="1138" w:type="dxa"/>
            <w:shd w:val="clear" w:color="auto" w:fill="E0E0E0"/>
            <w:noWrap/>
          </w:tcPr>
          <w:p w14:paraId="3BF4C32C" w14:textId="77777777" w:rsidR="005D2595" w:rsidRPr="0067507D" w:rsidRDefault="005D2595" w:rsidP="00FC3AF2">
            <w:pPr>
              <w:pStyle w:val="Tabletextright"/>
            </w:pPr>
            <w:r w:rsidRPr="0067507D">
              <w:t>–</w:t>
            </w:r>
          </w:p>
        </w:tc>
        <w:tc>
          <w:tcPr>
            <w:tcW w:w="1274" w:type="dxa"/>
            <w:shd w:val="clear" w:color="auto" w:fill="FFFFFF" w:themeFill="background1"/>
            <w:noWrap/>
          </w:tcPr>
          <w:p w14:paraId="37F05018" w14:textId="77777777" w:rsidR="005D2595" w:rsidRPr="0067507D" w:rsidRDefault="005D2595" w:rsidP="00FC3AF2">
            <w:pPr>
              <w:pStyle w:val="Tabletextright"/>
            </w:pPr>
            <w:r w:rsidRPr="0067507D">
              <w:t>–</w:t>
            </w:r>
          </w:p>
        </w:tc>
        <w:tc>
          <w:tcPr>
            <w:tcW w:w="1138" w:type="dxa"/>
            <w:shd w:val="clear" w:color="auto" w:fill="E0E0E0"/>
            <w:noWrap/>
          </w:tcPr>
          <w:p w14:paraId="193D6BC8" w14:textId="77777777" w:rsidR="005D2595" w:rsidRPr="0067507D" w:rsidRDefault="005D2595" w:rsidP="00FC3AF2">
            <w:pPr>
              <w:pStyle w:val="Tabletextright"/>
              <w:rPr>
                <w:bCs/>
              </w:rPr>
            </w:pPr>
            <w:r w:rsidRPr="0067507D">
              <w:t xml:space="preserve">(28) </w:t>
            </w:r>
          </w:p>
        </w:tc>
        <w:tc>
          <w:tcPr>
            <w:tcW w:w="1138" w:type="dxa"/>
            <w:shd w:val="clear" w:color="auto" w:fill="FFFFFF" w:themeFill="background1"/>
            <w:noWrap/>
          </w:tcPr>
          <w:p w14:paraId="645CA0EF" w14:textId="77777777" w:rsidR="005D2595" w:rsidRPr="0067507D" w:rsidRDefault="005D2595" w:rsidP="00FC3AF2">
            <w:pPr>
              <w:pStyle w:val="Tabletextright"/>
            </w:pPr>
            <w:r w:rsidRPr="0067507D">
              <w:t xml:space="preserve">(22) </w:t>
            </w:r>
          </w:p>
        </w:tc>
      </w:tr>
      <w:tr w:rsidR="005D2595" w:rsidRPr="0067507D" w14:paraId="3E5495DE" w14:textId="77777777" w:rsidTr="00FC3AF2">
        <w:trPr>
          <w:cantSplit/>
        </w:trPr>
        <w:tc>
          <w:tcPr>
            <w:tcW w:w="1278" w:type="dxa"/>
            <w:shd w:val="clear" w:color="auto" w:fill="D9D9D9" w:themeFill="background1" w:themeFillShade="D9"/>
            <w:noWrap/>
          </w:tcPr>
          <w:p w14:paraId="479E42C1" w14:textId="77777777" w:rsidR="005D2595" w:rsidRPr="0067507D" w:rsidRDefault="005D2595" w:rsidP="00FC3AF2">
            <w:pPr>
              <w:pStyle w:val="Tabletextright"/>
            </w:pPr>
            <w:r w:rsidRPr="0067507D">
              <w:t xml:space="preserve"> 16 </w:t>
            </w:r>
          </w:p>
        </w:tc>
        <w:tc>
          <w:tcPr>
            <w:tcW w:w="1170" w:type="dxa"/>
            <w:noWrap/>
          </w:tcPr>
          <w:p w14:paraId="1D73AE46" w14:textId="77777777" w:rsidR="005D2595" w:rsidRPr="0067507D" w:rsidRDefault="005D2595" w:rsidP="00FC3AF2">
            <w:pPr>
              <w:pStyle w:val="Tabletextright"/>
            </w:pPr>
            <w:r w:rsidRPr="0067507D">
              <w:t xml:space="preserve"> 85 </w:t>
            </w:r>
          </w:p>
        </w:tc>
        <w:tc>
          <w:tcPr>
            <w:tcW w:w="1138" w:type="dxa"/>
            <w:shd w:val="clear" w:color="auto" w:fill="E0E0E0"/>
            <w:noWrap/>
          </w:tcPr>
          <w:p w14:paraId="79F163D5" w14:textId="77777777" w:rsidR="005D2595" w:rsidRPr="0067507D" w:rsidRDefault="005D2595" w:rsidP="00FC3AF2">
            <w:pPr>
              <w:pStyle w:val="Tabletextright"/>
            </w:pPr>
            <w:r w:rsidRPr="0067507D">
              <w:t xml:space="preserve"> 7 </w:t>
            </w:r>
          </w:p>
        </w:tc>
        <w:tc>
          <w:tcPr>
            <w:tcW w:w="1274" w:type="dxa"/>
            <w:shd w:val="clear" w:color="auto" w:fill="FFFFFF" w:themeFill="background1"/>
            <w:noWrap/>
          </w:tcPr>
          <w:p w14:paraId="3C8FC942" w14:textId="77777777" w:rsidR="005D2595" w:rsidRPr="0067507D" w:rsidRDefault="005D2595" w:rsidP="00FC3AF2">
            <w:pPr>
              <w:pStyle w:val="Tabletextright"/>
            </w:pPr>
            <w:r w:rsidRPr="0067507D">
              <w:t xml:space="preserve"> 58 </w:t>
            </w:r>
          </w:p>
        </w:tc>
        <w:tc>
          <w:tcPr>
            <w:tcW w:w="1138" w:type="dxa"/>
            <w:shd w:val="clear" w:color="auto" w:fill="E0E0E0"/>
            <w:noWrap/>
          </w:tcPr>
          <w:p w14:paraId="7328AB96" w14:textId="77777777" w:rsidR="005D2595" w:rsidRPr="0067507D" w:rsidRDefault="005D2595" w:rsidP="00FC3AF2">
            <w:pPr>
              <w:pStyle w:val="Tabletextright"/>
              <w:rPr>
                <w:bCs/>
              </w:rPr>
            </w:pPr>
            <w:r w:rsidRPr="0067507D">
              <w:t xml:space="preserve"> 138 </w:t>
            </w:r>
          </w:p>
        </w:tc>
        <w:tc>
          <w:tcPr>
            <w:tcW w:w="1138" w:type="dxa"/>
            <w:shd w:val="clear" w:color="auto" w:fill="FFFFFF" w:themeFill="background1"/>
            <w:noWrap/>
          </w:tcPr>
          <w:p w14:paraId="7A4B85AF" w14:textId="77777777" w:rsidR="005D2595" w:rsidRPr="0067507D" w:rsidRDefault="005D2595" w:rsidP="00FC3AF2">
            <w:pPr>
              <w:pStyle w:val="Tabletextright"/>
            </w:pPr>
            <w:r w:rsidRPr="0067507D">
              <w:t xml:space="preserve"> 533 </w:t>
            </w:r>
          </w:p>
        </w:tc>
      </w:tr>
      <w:tr w:rsidR="005D2595" w:rsidRPr="0067507D" w14:paraId="3057B181" w14:textId="77777777" w:rsidTr="00FC3AF2">
        <w:trPr>
          <w:cantSplit/>
        </w:trPr>
        <w:tc>
          <w:tcPr>
            <w:tcW w:w="1278" w:type="dxa"/>
            <w:shd w:val="clear" w:color="auto" w:fill="D9D9D9" w:themeFill="background1" w:themeFillShade="D9"/>
            <w:noWrap/>
          </w:tcPr>
          <w:p w14:paraId="4E0632E6" w14:textId="77777777" w:rsidR="005D2595" w:rsidRPr="0067507D" w:rsidRDefault="005D2595" w:rsidP="00FC3AF2">
            <w:pPr>
              <w:pStyle w:val="Tabletextrightbold"/>
            </w:pPr>
            <w:r w:rsidRPr="0067507D">
              <w:t xml:space="preserve"> 54 </w:t>
            </w:r>
          </w:p>
        </w:tc>
        <w:tc>
          <w:tcPr>
            <w:tcW w:w="1170" w:type="dxa"/>
            <w:noWrap/>
          </w:tcPr>
          <w:p w14:paraId="5EDB85CF" w14:textId="77777777" w:rsidR="005D2595" w:rsidRPr="0067507D" w:rsidRDefault="005D2595" w:rsidP="00FC3AF2">
            <w:pPr>
              <w:pStyle w:val="Tabletextrightbold"/>
            </w:pPr>
            <w:r w:rsidRPr="0067507D">
              <w:t xml:space="preserve"> 153 </w:t>
            </w:r>
          </w:p>
        </w:tc>
        <w:tc>
          <w:tcPr>
            <w:tcW w:w="1138" w:type="dxa"/>
            <w:shd w:val="clear" w:color="auto" w:fill="E0E0E0"/>
            <w:noWrap/>
          </w:tcPr>
          <w:p w14:paraId="26A93164" w14:textId="77777777" w:rsidR="005D2595" w:rsidRPr="0067507D" w:rsidRDefault="005D2595" w:rsidP="00FC3AF2">
            <w:pPr>
              <w:pStyle w:val="Tabletextrightbold"/>
            </w:pPr>
            <w:r w:rsidRPr="0067507D">
              <w:t xml:space="preserve"> 31 </w:t>
            </w:r>
          </w:p>
        </w:tc>
        <w:tc>
          <w:tcPr>
            <w:tcW w:w="1274" w:type="dxa"/>
            <w:shd w:val="clear" w:color="auto" w:fill="FFFFFF" w:themeFill="background1"/>
            <w:noWrap/>
          </w:tcPr>
          <w:p w14:paraId="43D87EFA" w14:textId="77777777" w:rsidR="005D2595" w:rsidRPr="0067507D" w:rsidRDefault="005D2595" w:rsidP="00FC3AF2">
            <w:pPr>
              <w:pStyle w:val="Tabletextrightbold"/>
            </w:pPr>
            <w:r w:rsidRPr="0067507D">
              <w:t xml:space="preserve"> 58 </w:t>
            </w:r>
          </w:p>
        </w:tc>
        <w:tc>
          <w:tcPr>
            <w:tcW w:w="1138" w:type="dxa"/>
            <w:shd w:val="clear" w:color="auto" w:fill="E0E0E0"/>
            <w:noWrap/>
          </w:tcPr>
          <w:p w14:paraId="638C18C1" w14:textId="77777777" w:rsidR="005D2595" w:rsidRPr="0067507D" w:rsidRDefault="005D2595" w:rsidP="00FC3AF2">
            <w:pPr>
              <w:pStyle w:val="Tabletextrightbold"/>
            </w:pPr>
            <w:r w:rsidRPr="0067507D">
              <w:t xml:space="preserve"> 245 </w:t>
            </w:r>
          </w:p>
        </w:tc>
        <w:tc>
          <w:tcPr>
            <w:tcW w:w="1138" w:type="dxa"/>
            <w:shd w:val="clear" w:color="auto" w:fill="FFFFFF" w:themeFill="background1"/>
            <w:noWrap/>
          </w:tcPr>
          <w:p w14:paraId="109E9F73" w14:textId="77777777" w:rsidR="005D2595" w:rsidRPr="0067507D" w:rsidRDefault="005D2595" w:rsidP="00FC3AF2">
            <w:pPr>
              <w:pStyle w:val="Tabletextrightbold"/>
            </w:pPr>
            <w:r w:rsidRPr="0067507D">
              <w:t xml:space="preserve"> 738 </w:t>
            </w:r>
          </w:p>
        </w:tc>
      </w:tr>
      <w:tr w:rsidR="005D2595" w:rsidRPr="0067507D" w14:paraId="029FBAEB" w14:textId="77777777" w:rsidTr="00FC3AF2">
        <w:trPr>
          <w:cantSplit/>
          <w:trHeight w:hRule="exact" w:val="57"/>
        </w:trPr>
        <w:tc>
          <w:tcPr>
            <w:tcW w:w="1278" w:type="dxa"/>
            <w:shd w:val="clear" w:color="auto" w:fill="D9D9D9" w:themeFill="background1" w:themeFillShade="D9"/>
            <w:noWrap/>
          </w:tcPr>
          <w:p w14:paraId="2F417A94" w14:textId="77777777" w:rsidR="005D2595" w:rsidRPr="0067507D" w:rsidRDefault="005D2595" w:rsidP="00FC3AF2">
            <w:pPr>
              <w:pStyle w:val="Tabletextright"/>
            </w:pPr>
          </w:p>
        </w:tc>
        <w:tc>
          <w:tcPr>
            <w:tcW w:w="1170" w:type="dxa"/>
            <w:noWrap/>
          </w:tcPr>
          <w:p w14:paraId="7E085C00" w14:textId="77777777" w:rsidR="005D2595" w:rsidRPr="0067507D" w:rsidRDefault="005D2595" w:rsidP="00FC3AF2">
            <w:pPr>
              <w:pStyle w:val="Tabletextright"/>
            </w:pPr>
          </w:p>
        </w:tc>
        <w:tc>
          <w:tcPr>
            <w:tcW w:w="1138" w:type="dxa"/>
            <w:shd w:val="clear" w:color="auto" w:fill="E0E0E0"/>
            <w:noWrap/>
          </w:tcPr>
          <w:p w14:paraId="21BE5CD8" w14:textId="77777777" w:rsidR="005D2595" w:rsidRPr="0067507D" w:rsidRDefault="005D2595" w:rsidP="00FC3AF2">
            <w:pPr>
              <w:pStyle w:val="Tabletextright"/>
            </w:pPr>
          </w:p>
        </w:tc>
        <w:tc>
          <w:tcPr>
            <w:tcW w:w="1274" w:type="dxa"/>
            <w:shd w:val="clear" w:color="auto" w:fill="FFFFFF" w:themeFill="background1"/>
            <w:noWrap/>
          </w:tcPr>
          <w:p w14:paraId="1EFC933A" w14:textId="77777777" w:rsidR="005D2595" w:rsidRPr="0067507D" w:rsidRDefault="005D2595" w:rsidP="00FC3AF2">
            <w:pPr>
              <w:pStyle w:val="Tabletextright"/>
            </w:pPr>
          </w:p>
        </w:tc>
        <w:tc>
          <w:tcPr>
            <w:tcW w:w="1138" w:type="dxa"/>
            <w:shd w:val="clear" w:color="auto" w:fill="E0E0E0"/>
            <w:noWrap/>
          </w:tcPr>
          <w:p w14:paraId="5AA8D9DB" w14:textId="77777777" w:rsidR="005D2595" w:rsidRPr="0067507D" w:rsidRDefault="005D2595" w:rsidP="00FC3AF2">
            <w:pPr>
              <w:pStyle w:val="Tabletextright"/>
            </w:pPr>
          </w:p>
        </w:tc>
        <w:tc>
          <w:tcPr>
            <w:tcW w:w="1138" w:type="dxa"/>
            <w:shd w:val="clear" w:color="auto" w:fill="FFFFFF" w:themeFill="background1"/>
            <w:noWrap/>
          </w:tcPr>
          <w:p w14:paraId="1ABA92D5" w14:textId="77777777" w:rsidR="005D2595" w:rsidRPr="0067507D" w:rsidRDefault="005D2595" w:rsidP="00FC3AF2">
            <w:pPr>
              <w:pStyle w:val="Tabletextright"/>
            </w:pPr>
          </w:p>
        </w:tc>
      </w:tr>
      <w:tr w:rsidR="005D2595" w:rsidRPr="0067507D" w14:paraId="7348AD1E" w14:textId="77777777" w:rsidTr="00FC3AF2">
        <w:trPr>
          <w:cantSplit/>
        </w:trPr>
        <w:tc>
          <w:tcPr>
            <w:tcW w:w="1278" w:type="dxa"/>
            <w:shd w:val="clear" w:color="auto" w:fill="D9D9D9" w:themeFill="background1" w:themeFillShade="D9"/>
            <w:noWrap/>
          </w:tcPr>
          <w:p w14:paraId="44D26C10" w14:textId="77777777" w:rsidR="005D2595" w:rsidRPr="0067507D" w:rsidRDefault="005D2595" w:rsidP="00FC3AF2">
            <w:pPr>
              <w:pStyle w:val="Tabletextrightbold"/>
            </w:pPr>
            <w:r w:rsidRPr="0067507D">
              <w:t xml:space="preserve"> 57 </w:t>
            </w:r>
          </w:p>
        </w:tc>
        <w:tc>
          <w:tcPr>
            <w:tcW w:w="1170" w:type="dxa"/>
            <w:noWrap/>
          </w:tcPr>
          <w:p w14:paraId="57887F79" w14:textId="77777777" w:rsidR="005D2595" w:rsidRPr="0067507D" w:rsidRDefault="005D2595" w:rsidP="00FC3AF2">
            <w:pPr>
              <w:pStyle w:val="Tabletextrightbold"/>
            </w:pPr>
            <w:r w:rsidRPr="0067507D">
              <w:t xml:space="preserve"> 153 </w:t>
            </w:r>
          </w:p>
        </w:tc>
        <w:tc>
          <w:tcPr>
            <w:tcW w:w="1138" w:type="dxa"/>
            <w:shd w:val="clear" w:color="auto" w:fill="E0E0E0"/>
            <w:noWrap/>
          </w:tcPr>
          <w:p w14:paraId="2A8F37C0" w14:textId="77777777" w:rsidR="005D2595" w:rsidRPr="0067507D" w:rsidRDefault="005D2595" w:rsidP="00FC3AF2">
            <w:pPr>
              <w:pStyle w:val="Tabletextrightbold"/>
            </w:pPr>
            <w:r w:rsidRPr="0067507D">
              <w:t xml:space="preserve"> 31 </w:t>
            </w:r>
          </w:p>
        </w:tc>
        <w:tc>
          <w:tcPr>
            <w:tcW w:w="1274" w:type="dxa"/>
            <w:shd w:val="clear" w:color="auto" w:fill="FFFFFF" w:themeFill="background1"/>
            <w:noWrap/>
          </w:tcPr>
          <w:p w14:paraId="535A7EB7" w14:textId="77777777" w:rsidR="005D2595" w:rsidRPr="0067507D" w:rsidRDefault="005D2595" w:rsidP="00FC3AF2">
            <w:pPr>
              <w:pStyle w:val="Tabletextrightbold"/>
            </w:pPr>
            <w:r w:rsidRPr="0067507D">
              <w:t xml:space="preserve"> 58 </w:t>
            </w:r>
          </w:p>
        </w:tc>
        <w:tc>
          <w:tcPr>
            <w:tcW w:w="1138" w:type="dxa"/>
            <w:shd w:val="clear" w:color="auto" w:fill="E0E0E0"/>
            <w:noWrap/>
          </w:tcPr>
          <w:p w14:paraId="51BC14A3" w14:textId="77777777" w:rsidR="005D2595" w:rsidRPr="0067507D" w:rsidRDefault="005D2595" w:rsidP="00FC3AF2">
            <w:pPr>
              <w:pStyle w:val="Tabletextrightbold"/>
            </w:pPr>
            <w:r w:rsidRPr="0067507D">
              <w:t xml:space="preserve">6 656 </w:t>
            </w:r>
          </w:p>
        </w:tc>
        <w:tc>
          <w:tcPr>
            <w:tcW w:w="1138" w:type="dxa"/>
            <w:shd w:val="clear" w:color="auto" w:fill="FFFFFF" w:themeFill="background1"/>
            <w:noWrap/>
          </w:tcPr>
          <w:p w14:paraId="3770891B" w14:textId="77777777" w:rsidR="005D2595" w:rsidRPr="0067507D" w:rsidRDefault="005D2595" w:rsidP="00FC3AF2">
            <w:pPr>
              <w:pStyle w:val="Tabletextrightbold"/>
            </w:pPr>
            <w:r w:rsidRPr="0067507D">
              <w:t xml:space="preserve"> 961 </w:t>
            </w:r>
          </w:p>
        </w:tc>
      </w:tr>
      <w:tr w:rsidR="005D2595" w:rsidRPr="00943D06" w14:paraId="19FAF478" w14:textId="77777777" w:rsidTr="00FC3AF2">
        <w:trPr>
          <w:cantSplit/>
          <w:trHeight w:hRule="exact" w:val="57"/>
        </w:trPr>
        <w:tc>
          <w:tcPr>
            <w:tcW w:w="1278" w:type="dxa"/>
            <w:shd w:val="clear" w:color="auto" w:fill="D9D9D9" w:themeFill="background1" w:themeFillShade="D9"/>
            <w:noWrap/>
          </w:tcPr>
          <w:p w14:paraId="46264FB5" w14:textId="77777777" w:rsidR="005D2595" w:rsidRPr="00943D06" w:rsidRDefault="005D2595" w:rsidP="00FC3AF2">
            <w:pPr>
              <w:pStyle w:val="Tabletextright"/>
            </w:pPr>
          </w:p>
        </w:tc>
        <w:tc>
          <w:tcPr>
            <w:tcW w:w="1170" w:type="dxa"/>
            <w:noWrap/>
          </w:tcPr>
          <w:p w14:paraId="46CCBDAD" w14:textId="77777777" w:rsidR="005D2595" w:rsidRPr="00943D06" w:rsidRDefault="005D2595" w:rsidP="00FC3AF2">
            <w:pPr>
              <w:pStyle w:val="Tabletextright"/>
            </w:pPr>
          </w:p>
        </w:tc>
        <w:tc>
          <w:tcPr>
            <w:tcW w:w="1138" w:type="dxa"/>
            <w:shd w:val="clear" w:color="auto" w:fill="E0E0E0"/>
            <w:noWrap/>
          </w:tcPr>
          <w:p w14:paraId="37957768" w14:textId="77777777" w:rsidR="005D2595" w:rsidRPr="00943D06" w:rsidRDefault="005D2595" w:rsidP="00FC3AF2">
            <w:pPr>
              <w:pStyle w:val="Tabletextright"/>
            </w:pPr>
          </w:p>
        </w:tc>
        <w:tc>
          <w:tcPr>
            <w:tcW w:w="1274" w:type="dxa"/>
            <w:shd w:val="clear" w:color="auto" w:fill="FFFFFF" w:themeFill="background1"/>
            <w:noWrap/>
          </w:tcPr>
          <w:p w14:paraId="7C129749" w14:textId="77777777" w:rsidR="005D2595" w:rsidRPr="00943D06" w:rsidRDefault="005D2595" w:rsidP="00FC3AF2">
            <w:pPr>
              <w:pStyle w:val="Tabletextright"/>
            </w:pPr>
          </w:p>
        </w:tc>
        <w:tc>
          <w:tcPr>
            <w:tcW w:w="1138" w:type="dxa"/>
            <w:shd w:val="clear" w:color="auto" w:fill="E0E0E0"/>
            <w:noWrap/>
          </w:tcPr>
          <w:p w14:paraId="7042C8CC" w14:textId="77777777" w:rsidR="005D2595" w:rsidRPr="00943D06" w:rsidRDefault="005D2595" w:rsidP="00FC3AF2">
            <w:pPr>
              <w:pStyle w:val="Tabletextright"/>
            </w:pPr>
          </w:p>
        </w:tc>
        <w:tc>
          <w:tcPr>
            <w:tcW w:w="1138" w:type="dxa"/>
            <w:shd w:val="clear" w:color="auto" w:fill="FFFFFF" w:themeFill="background1"/>
            <w:noWrap/>
          </w:tcPr>
          <w:p w14:paraId="4D1E2EEC" w14:textId="77777777" w:rsidR="005D2595" w:rsidRPr="00943D06" w:rsidRDefault="005D2595" w:rsidP="00FC3AF2">
            <w:pPr>
              <w:pStyle w:val="Tabletextright"/>
            </w:pPr>
          </w:p>
        </w:tc>
      </w:tr>
      <w:tr w:rsidR="005D2595" w:rsidRPr="0067507D" w14:paraId="38FDEC22" w14:textId="77777777" w:rsidTr="00FC3AF2">
        <w:trPr>
          <w:cantSplit/>
        </w:trPr>
        <w:tc>
          <w:tcPr>
            <w:tcW w:w="1278" w:type="dxa"/>
            <w:shd w:val="clear" w:color="auto" w:fill="D9D9D9" w:themeFill="background1" w:themeFillShade="D9"/>
            <w:noWrap/>
          </w:tcPr>
          <w:p w14:paraId="4B81662D" w14:textId="77777777" w:rsidR="005D2595" w:rsidRPr="0067507D" w:rsidRDefault="005D2595" w:rsidP="00FC3AF2">
            <w:pPr>
              <w:pStyle w:val="Tabletextrightbold"/>
            </w:pPr>
            <w:r w:rsidRPr="0067507D">
              <w:t xml:space="preserve"> 57 </w:t>
            </w:r>
          </w:p>
        </w:tc>
        <w:tc>
          <w:tcPr>
            <w:tcW w:w="1170" w:type="dxa"/>
            <w:noWrap/>
          </w:tcPr>
          <w:p w14:paraId="3E39AA3C" w14:textId="77777777" w:rsidR="005D2595" w:rsidRPr="0067507D" w:rsidRDefault="005D2595" w:rsidP="00FC3AF2">
            <w:pPr>
              <w:pStyle w:val="Tabletextrightbold"/>
            </w:pPr>
            <w:r w:rsidRPr="0067507D">
              <w:t xml:space="preserve"> 153 </w:t>
            </w:r>
          </w:p>
        </w:tc>
        <w:tc>
          <w:tcPr>
            <w:tcW w:w="1138" w:type="dxa"/>
            <w:shd w:val="clear" w:color="auto" w:fill="E0E0E0"/>
            <w:noWrap/>
          </w:tcPr>
          <w:p w14:paraId="45448A20" w14:textId="77777777" w:rsidR="005D2595" w:rsidRPr="0067507D" w:rsidRDefault="005D2595" w:rsidP="00FC3AF2">
            <w:pPr>
              <w:pStyle w:val="Tabletextrightbold"/>
            </w:pPr>
            <w:r w:rsidRPr="0067507D">
              <w:t xml:space="preserve"> 31 </w:t>
            </w:r>
          </w:p>
        </w:tc>
        <w:tc>
          <w:tcPr>
            <w:tcW w:w="1274" w:type="dxa"/>
            <w:shd w:val="clear" w:color="auto" w:fill="FFFFFF" w:themeFill="background1"/>
            <w:noWrap/>
          </w:tcPr>
          <w:p w14:paraId="7173CEA8" w14:textId="77777777" w:rsidR="005D2595" w:rsidRPr="0067507D" w:rsidRDefault="005D2595" w:rsidP="00FC3AF2">
            <w:pPr>
              <w:pStyle w:val="Tabletextrightbold"/>
            </w:pPr>
            <w:r w:rsidRPr="0067507D">
              <w:t xml:space="preserve"> 58 </w:t>
            </w:r>
          </w:p>
        </w:tc>
        <w:tc>
          <w:tcPr>
            <w:tcW w:w="1138" w:type="dxa"/>
            <w:shd w:val="clear" w:color="auto" w:fill="E0E0E0"/>
            <w:noWrap/>
          </w:tcPr>
          <w:p w14:paraId="02CBE57E" w14:textId="77777777" w:rsidR="005D2595" w:rsidRPr="0067507D" w:rsidRDefault="005D2595" w:rsidP="00FC3AF2">
            <w:pPr>
              <w:pStyle w:val="Tabletextrightbold"/>
            </w:pPr>
            <w:r w:rsidRPr="0067507D">
              <w:t xml:space="preserve">6 656 </w:t>
            </w:r>
          </w:p>
        </w:tc>
        <w:tc>
          <w:tcPr>
            <w:tcW w:w="1138" w:type="dxa"/>
            <w:shd w:val="clear" w:color="auto" w:fill="FFFFFF" w:themeFill="background1"/>
            <w:noWrap/>
          </w:tcPr>
          <w:p w14:paraId="632FB9F6" w14:textId="77777777" w:rsidR="005D2595" w:rsidRPr="0067507D" w:rsidRDefault="005D2595" w:rsidP="00FC3AF2">
            <w:pPr>
              <w:pStyle w:val="Tabletextrightbold"/>
            </w:pPr>
            <w:r w:rsidRPr="0067507D">
              <w:t xml:space="preserve"> 961 </w:t>
            </w:r>
          </w:p>
        </w:tc>
      </w:tr>
      <w:tr w:rsidR="005D2595" w:rsidRPr="0067507D" w14:paraId="4237D22E" w14:textId="77777777" w:rsidTr="00FC3AF2">
        <w:trPr>
          <w:cantSplit/>
          <w:trHeight w:hRule="exact" w:val="58"/>
        </w:trPr>
        <w:tc>
          <w:tcPr>
            <w:tcW w:w="1278" w:type="dxa"/>
            <w:shd w:val="clear" w:color="auto" w:fill="D9D9D9" w:themeFill="background1" w:themeFillShade="D9"/>
            <w:noWrap/>
          </w:tcPr>
          <w:p w14:paraId="0058B610" w14:textId="77777777" w:rsidR="005D2595" w:rsidRPr="0067507D" w:rsidRDefault="005D2595" w:rsidP="00FC3AF2">
            <w:pPr>
              <w:pStyle w:val="Tabletextright"/>
            </w:pPr>
          </w:p>
        </w:tc>
        <w:tc>
          <w:tcPr>
            <w:tcW w:w="1170" w:type="dxa"/>
            <w:noWrap/>
          </w:tcPr>
          <w:p w14:paraId="664D31E4" w14:textId="77777777" w:rsidR="005D2595" w:rsidRPr="0067507D" w:rsidRDefault="005D2595" w:rsidP="00FC3AF2">
            <w:pPr>
              <w:pStyle w:val="Tabletextright"/>
            </w:pPr>
          </w:p>
        </w:tc>
        <w:tc>
          <w:tcPr>
            <w:tcW w:w="1138" w:type="dxa"/>
            <w:shd w:val="clear" w:color="auto" w:fill="E0E0E0"/>
            <w:noWrap/>
          </w:tcPr>
          <w:p w14:paraId="3A7FECDE" w14:textId="77777777" w:rsidR="005D2595" w:rsidRPr="0067507D" w:rsidRDefault="005D2595" w:rsidP="00FC3AF2">
            <w:pPr>
              <w:pStyle w:val="Tabletextright"/>
            </w:pPr>
          </w:p>
        </w:tc>
        <w:tc>
          <w:tcPr>
            <w:tcW w:w="1274" w:type="dxa"/>
            <w:shd w:val="clear" w:color="auto" w:fill="FFFFFF" w:themeFill="background1"/>
            <w:noWrap/>
          </w:tcPr>
          <w:p w14:paraId="58AEDE3C" w14:textId="77777777" w:rsidR="005D2595" w:rsidRPr="0067507D" w:rsidRDefault="005D2595" w:rsidP="00FC3AF2">
            <w:pPr>
              <w:pStyle w:val="Tabletextright"/>
            </w:pPr>
          </w:p>
        </w:tc>
        <w:tc>
          <w:tcPr>
            <w:tcW w:w="1138" w:type="dxa"/>
            <w:shd w:val="clear" w:color="auto" w:fill="E0E0E0"/>
            <w:noWrap/>
          </w:tcPr>
          <w:p w14:paraId="4790789E" w14:textId="77777777" w:rsidR="005D2595" w:rsidRPr="0067507D" w:rsidRDefault="005D2595" w:rsidP="00FC3AF2">
            <w:pPr>
              <w:pStyle w:val="Tabletextright"/>
            </w:pPr>
          </w:p>
        </w:tc>
        <w:tc>
          <w:tcPr>
            <w:tcW w:w="1138" w:type="dxa"/>
            <w:shd w:val="clear" w:color="auto" w:fill="FFFFFF" w:themeFill="background1"/>
            <w:noWrap/>
          </w:tcPr>
          <w:p w14:paraId="0C70108E" w14:textId="77777777" w:rsidR="005D2595" w:rsidRPr="0067507D" w:rsidRDefault="005D2595" w:rsidP="00FC3AF2">
            <w:pPr>
              <w:pStyle w:val="Tabletextright"/>
            </w:pPr>
          </w:p>
        </w:tc>
      </w:tr>
      <w:tr w:rsidR="005D2595" w:rsidRPr="0067507D" w14:paraId="72FF086A" w14:textId="77777777" w:rsidTr="00FC3AF2">
        <w:trPr>
          <w:cantSplit/>
        </w:trPr>
        <w:tc>
          <w:tcPr>
            <w:tcW w:w="1278" w:type="dxa"/>
            <w:shd w:val="clear" w:color="auto" w:fill="D9D9D9" w:themeFill="background1" w:themeFillShade="D9"/>
            <w:noWrap/>
          </w:tcPr>
          <w:p w14:paraId="72870A32" w14:textId="77777777" w:rsidR="005D2595" w:rsidRPr="0067507D" w:rsidRDefault="005D2595" w:rsidP="00FC3AF2">
            <w:pPr>
              <w:pStyle w:val="Tabletextrightbold"/>
            </w:pPr>
          </w:p>
        </w:tc>
        <w:tc>
          <w:tcPr>
            <w:tcW w:w="1170" w:type="dxa"/>
            <w:noWrap/>
          </w:tcPr>
          <w:p w14:paraId="419F180D" w14:textId="77777777" w:rsidR="005D2595" w:rsidRPr="0067507D" w:rsidRDefault="005D2595" w:rsidP="00FC3AF2">
            <w:pPr>
              <w:pStyle w:val="Tabletextrightbold"/>
            </w:pPr>
          </w:p>
        </w:tc>
        <w:tc>
          <w:tcPr>
            <w:tcW w:w="1138" w:type="dxa"/>
            <w:shd w:val="clear" w:color="auto" w:fill="E0E0E0"/>
            <w:noWrap/>
          </w:tcPr>
          <w:p w14:paraId="0F6A762E" w14:textId="77777777" w:rsidR="005D2595" w:rsidRPr="0067507D" w:rsidRDefault="005D2595" w:rsidP="00FC3AF2">
            <w:pPr>
              <w:pStyle w:val="Tabletextrightbold"/>
            </w:pPr>
          </w:p>
        </w:tc>
        <w:tc>
          <w:tcPr>
            <w:tcW w:w="1274" w:type="dxa"/>
            <w:shd w:val="clear" w:color="auto" w:fill="FFFFFF" w:themeFill="background1"/>
            <w:noWrap/>
          </w:tcPr>
          <w:p w14:paraId="024472D2" w14:textId="77777777" w:rsidR="005D2595" w:rsidRPr="0067507D" w:rsidRDefault="005D2595" w:rsidP="00FC3AF2">
            <w:pPr>
              <w:pStyle w:val="Tabletextrightbold"/>
            </w:pPr>
          </w:p>
        </w:tc>
        <w:tc>
          <w:tcPr>
            <w:tcW w:w="1138" w:type="dxa"/>
            <w:shd w:val="clear" w:color="auto" w:fill="E0E0E0"/>
            <w:noWrap/>
          </w:tcPr>
          <w:p w14:paraId="16F586EF" w14:textId="77777777" w:rsidR="005D2595" w:rsidRPr="0067507D" w:rsidRDefault="005D2595" w:rsidP="00FC3AF2">
            <w:pPr>
              <w:pStyle w:val="Tabletextrightbold"/>
            </w:pPr>
          </w:p>
        </w:tc>
        <w:tc>
          <w:tcPr>
            <w:tcW w:w="1138" w:type="dxa"/>
            <w:shd w:val="clear" w:color="auto" w:fill="FFFFFF" w:themeFill="background1"/>
            <w:noWrap/>
          </w:tcPr>
          <w:p w14:paraId="64462B7B" w14:textId="77777777" w:rsidR="005D2595" w:rsidRPr="0067507D" w:rsidRDefault="005D2595" w:rsidP="00FC3AF2">
            <w:pPr>
              <w:pStyle w:val="Tabletextrightbold"/>
            </w:pPr>
          </w:p>
        </w:tc>
      </w:tr>
      <w:tr w:rsidR="005D2595" w:rsidRPr="0067507D" w14:paraId="19D9BB71" w14:textId="77777777" w:rsidTr="00FC3AF2">
        <w:trPr>
          <w:cantSplit/>
          <w:trHeight w:hRule="exact" w:val="57"/>
        </w:trPr>
        <w:tc>
          <w:tcPr>
            <w:tcW w:w="1278" w:type="dxa"/>
            <w:shd w:val="clear" w:color="auto" w:fill="D9D9D9" w:themeFill="background1" w:themeFillShade="D9"/>
            <w:noWrap/>
          </w:tcPr>
          <w:p w14:paraId="3CF2B894" w14:textId="77777777" w:rsidR="005D2595" w:rsidRPr="0067507D" w:rsidRDefault="005D2595" w:rsidP="00FC3AF2">
            <w:pPr>
              <w:pStyle w:val="Tabletextright"/>
            </w:pPr>
          </w:p>
        </w:tc>
        <w:tc>
          <w:tcPr>
            <w:tcW w:w="1170" w:type="dxa"/>
            <w:noWrap/>
          </w:tcPr>
          <w:p w14:paraId="469FD929" w14:textId="77777777" w:rsidR="005D2595" w:rsidRPr="0067507D" w:rsidRDefault="005D2595" w:rsidP="00FC3AF2">
            <w:pPr>
              <w:pStyle w:val="Tabletextright"/>
            </w:pPr>
          </w:p>
        </w:tc>
        <w:tc>
          <w:tcPr>
            <w:tcW w:w="1138" w:type="dxa"/>
            <w:shd w:val="clear" w:color="auto" w:fill="E0E0E0"/>
            <w:noWrap/>
          </w:tcPr>
          <w:p w14:paraId="7D5ADA19" w14:textId="77777777" w:rsidR="005D2595" w:rsidRPr="0067507D" w:rsidRDefault="005D2595" w:rsidP="00FC3AF2">
            <w:pPr>
              <w:pStyle w:val="Tabletextright"/>
            </w:pPr>
          </w:p>
        </w:tc>
        <w:tc>
          <w:tcPr>
            <w:tcW w:w="1274" w:type="dxa"/>
            <w:shd w:val="clear" w:color="auto" w:fill="FFFFFF" w:themeFill="background1"/>
            <w:noWrap/>
          </w:tcPr>
          <w:p w14:paraId="216DF9FA" w14:textId="77777777" w:rsidR="005D2595" w:rsidRPr="0067507D" w:rsidRDefault="005D2595" w:rsidP="00FC3AF2">
            <w:pPr>
              <w:pStyle w:val="Tabletextright"/>
            </w:pPr>
          </w:p>
        </w:tc>
        <w:tc>
          <w:tcPr>
            <w:tcW w:w="1138" w:type="dxa"/>
            <w:shd w:val="clear" w:color="auto" w:fill="E0E0E0"/>
            <w:noWrap/>
          </w:tcPr>
          <w:p w14:paraId="131BC044" w14:textId="77777777" w:rsidR="005D2595" w:rsidRPr="0067507D" w:rsidRDefault="005D2595" w:rsidP="00FC3AF2">
            <w:pPr>
              <w:pStyle w:val="Tabletextright"/>
            </w:pPr>
          </w:p>
        </w:tc>
        <w:tc>
          <w:tcPr>
            <w:tcW w:w="1138" w:type="dxa"/>
            <w:shd w:val="clear" w:color="auto" w:fill="FFFFFF" w:themeFill="background1"/>
            <w:noWrap/>
          </w:tcPr>
          <w:p w14:paraId="2AABBF61" w14:textId="77777777" w:rsidR="005D2595" w:rsidRPr="0067507D" w:rsidRDefault="005D2595" w:rsidP="00FC3AF2">
            <w:pPr>
              <w:pStyle w:val="Tabletextright"/>
            </w:pPr>
          </w:p>
        </w:tc>
      </w:tr>
      <w:tr w:rsidR="005D2595" w:rsidRPr="0067507D" w14:paraId="4ED44E5F" w14:textId="77777777" w:rsidTr="00FC3AF2">
        <w:trPr>
          <w:cantSplit/>
        </w:trPr>
        <w:tc>
          <w:tcPr>
            <w:tcW w:w="1278" w:type="dxa"/>
            <w:shd w:val="clear" w:color="auto" w:fill="D9D9D9" w:themeFill="background1" w:themeFillShade="D9"/>
            <w:noWrap/>
          </w:tcPr>
          <w:p w14:paraId="50F8914D" w14:textId="77777777" w:rsidR="005D2595" w:rsidRPr="0067507D" w:rsidRDefault="005D2595" w:rsidP="00FC3AF2">
            <w:pPr>
              <w:pStyle w:val="Tabletextright"/>
            </w:pPr>
          </w:p>
        </w:tc>
        <w:tc>
          <w:tcPr>
            <w:tcW w:w="1170" w:type="dxa"/>
            <w:noWrap/>
          </w:tcPr>
          <w:p w14:paraId="6AEB1A1A" w14:textId="77777777" w:rsidR="005D2595" w:rsidRPr="0067507D" w:rsidRDefault="005D2595" w:rsidP="00FC3AF2">
            <w:pPr>
              <w:pStyle w:val="Tabletextright"/>
            </w:pPr>
          </w:p>
        </w:tc>
        <w:tc>
          <w:tcPr>
            <w:tcW w:w="1138" w:type="dxa"/>
            <w:shd w:val="clear" w:color="auto" w:fill="E0E0E0"/>
            <w:noWrap/>
          </w:tcPr>
          <w:p w14:paraId="58553D32" w14:textId="77777777" w:rsidR="005D2595" w:rsidRPr="0067507D" w:rsidRDefault="005D2595" w:rsidP="00FC3AF2">
            <w:pPr>
              <w:pStyle w:val="Tabletextright"/>
            </w:pPr>
          </w:p>
        </w:tc>
        <w:tc>
          <w:tcPr>
            <w:tcW w:w="1274" w:type="dxa"/>
            <w:shd w:val="clear" w:color="auto" w:fill="FFFFFF" w:themeFill="background1"/>
            <w:noWrap/>
          </w:tcPr>
          <w:p w14:paraId="59199AC7" w14:textId="77777777" w:rsidR="005D2595" w:rsidRPr="0067507D" w:rsidRDefault="005D2595" w:rsidP="00FC3AF2">
            <w:pPr>
              <w:pStyle w:val="Tabletextright"/>
            </w:pPr>
          </w:p>
        </w:tc>
        <w:tc>
          <w:tcPr>
            <w:tcW w:w="1138" w:type="dxa"/>
            <w:shd w:val="clear" w:color="auto" w:fill="E0E0E0"/>
            <w:noWrap/>
          </w:tcPr>
          <w:p w14:paraId="4653A88C" w14:textId="77777777" w:rsidR="005D2595" w:rsidRPr="0067507D" w:rsidRDefault="005D2595" w:rsidP="00FC3AF2">
            <w:pPr>
              <w:pStyle w:val="Tabletextright"/>
            </w:pPr>
          </w:p>
        </w:tc>
        <w:tc>
          <w:tcPr>
            <w:tcW w:w="1138" w:type="dxa"/>
            <w:shd w:val="clear" w:color="auto" w:fill="FFFFFF" w:themeFill="background1"/>
            <w:noWrap/>
          </w:tcPr>
          <w:p w14:paraId="1275DE0D" w14:textId="77777777" w:rsidR="005D2595" w:rsidRPr="0067507D" w:rsidRDefault="005D2595" w:rsidP="00FC3AF2">
            <w:pPr>
              <w:pStyle w:val="Tabletextright"/>
            </w:pPr>
          </w:p>
        </w:tc>
      </w:tr>
      <w:tr w:rsidR="005D2595" w:rsidRPr="0067507D" w14:paraId="1A24C15D" w14:textId="77777777" w:rsidTr="00FC3AF2">
        <w:trPr>
          <w:cantSplit/>
        </w:trPr>
        <w:tc>
          <w:tcPr>
            <w:tcW w:w="1278" w:type="dxa"/>
            <w:shd w:val="clear" w:color="auto" w:fill="D9D9D9" w:themeFill="background1" w:themeFillShade="D9"/>
            <w:noWrap/>
          </w:tcPr>
          <w:p w14:paraId="41CF6E73" w14:textId="77777777" w:rsidR="005D2595" w:rsidRPr="0067507D" w:rsidRDefault="005D2595" w:rsidP="00FC3AF2">
            <w:pPr>
              <w:pStyle w:val="Tabletextright"/>
            </w:pPr>
            <w:r w:rsidRPr="0067507D">
              <w:t xml:space="preserve">54 676 </w:t>
            </w:r>
          </w:p>
        </w:tc>
        <w:tc>
          <w:tcPr>
            <w:tcW w:w="1170" w:type="dxa"/>
            <w:noWrap/>
          </w:tcPr>
          <w:p w14:paraId="4DCD06BF" w14:textId="77777777" w:rsidR="005D2595" w:rsidRPr="0067507D" w:rsidRDefault="005D2595" w:rsidP="00FC3AF2">
            <w:pPr>
              <w:pStyle w:val="Tabletextright"/>
            </w:pPr>
            <w:r w:rsidRPr="0067507D">
              <w:t xml:space="preserve">52 483 </w:t>
            </w:r>
          </w:p>
        </w:tc>
        <w:tc>
          <w:tcPr>
            <w:tcW w:w="1138" w:type="dxa"/>
            <w:shd w:val="clear" w:color="auto" w:fill="E0E0E0"/>
            <w:noWrap/>
          </w:tcPr>
          <w:p w14:paraId="4D88A67A" w14:textId="77777777" w:rsidR="005D2595" w:rsidRPr="0067507D" w:rsidRDefault="005D2595" w:rsidP="00FC3AF2">
            <w:pPr>
              <w:pStyle w:val="Tabletextright"/>
            </w:pPr>
            <w:r w:rsidRPr="0067507D">
              <w:t xml:space="preserve">2 229 </w:t>
            </w:r>
          </w:p>
        </w:tc>
        <w:tc>
          <w:tcPr>
            <w:tcW w:w="1274" w:type="dxa"/>
            <w:shd w:val="clear" w:color="auto" w:fill="FFFFFF" w:themeFill="background1"/>
            <w:noWrap/>
          </w:tcPr>
          <w:p w14:paraId="0E676F0A" w14:textId="77777777" w:rsidR="005D2595" w:rsidRPr="0067507D" w:rsidRDefault="005D2595" w:rsidP="00FC3AF2">
            <w:pPr>
              <w:pStyle w:val="Tabletextright"/>
            </w:pPr>
            <w:r w:rsidRPr="0067507D">
              <w:t xml:space="preserve">3 392 </w:t>
            </w:r>
          </w:p>
        </w:tc>
        <w:tc>
          <w:tcPr>
            <w:tcW w:w="1138" w:type="dxa"/>
            <w:shd w:val="clear" w:color="auto" w:fill="E0E0E0"/>
            <w:noWrap/>
          </w:tcPr>
          <w:p w14:paraId="311B8882" w14:textId="77777777" w:rsidR="005D2595" w:rsidRPr="0067507D" w:rsidRDefault="005D2595" w:rsidP="00FC3AF2">
            <w:pPr>
              <w:pStyle w:val="Tabletextright"/>
            </w:pPr>
            <w:r w:rsidRPr="0067507D">
              <w:t xml:space="preserve">173 483 </w:t>
            </w:r>
          </w:p>
        </w:tc>
        <w:tc>
          <w:tcPr>
            <w:tcW w:w="1138" w:type="dxa"/>
            <w:shd w:val="clear" w:color="auto" w:fill="FFFFFF" w:themeFill="background1"/>
            <w:noWrap/>
          </w:tcPr>
          <w:p w14:paraId="0850ADB6" w14:textId="77777777" w:rsidR="005D2595" w:rsidRPr="0067507D" w:rsidRDefault="005D2595" w:rsidP="00FC3AF2">
            <w:pPr>
              <w:pStyle w:val="Tabletextright"/>
            </w:pPr>
            <w:r w:rsidRPr="0067507D">
              <w:t xml:space="preserve">179 838 </w:t>
            </w:r>
          </w:p>
        </w:tc>
      </w:tr>
      <w:tr w:rsidR="005D2595" w:rsidRPr="0067507D" w14:paraId="0FDCFF90" w14:textId="77777777" w:rsidTr="00FC3AF2">
        <w:trPr>
          <w:cantSplit/>
        </w:trPr>
        <w:tc>
          <w:tcPr>
            <w:tcW w:w="1278" w:type="dxa"/>
            <w:shd w:val="clear" w:color="auto" w:fill="D9D9D9" w:themeFill="background1" w:themeFillShade="D9"/>
            <w:noWrap/>
          </w:tcPr>
          <w:p w14:paraId="0F1AC0A4" w14:textId="77777777" w:rsidR="005D2595" w:rsidRPr="0067507D" w:rsidRDefault="005D2595" w:rsidP="00FC3AF2">
            <w:pPr>
              <w:pStyle w:val="Tabletextright"/>
            </w:pPr>
            <w:r w:rsidRPr="0067507D">
              <w:t xml:space="preserve">1 765 </w:t>
            </w:r>
          </w:p>
        </w:tc>
        <w:tc>
          <w:tcPr>
            <w:tcW w:w="1170" w:type="dxa"/>
            <w:noWrap/>
          </w:tcPr>
          <w:p w14:paraId="105CFB5E" w14:textId="77777777" w:rsidR="005D2595" w:rsidRPr="0067507D" w:rsidRDefault="005D2595" w:rsidP="00FC3AF2">
            <w:pPr>
              <w:pStyle w:val="Tabletextright"/>
            </w:pPr>
            <w:r w:rsidRPr="0067507D">
              <w:t xml:space="preserve">1 669 </w:t>
            </w:r>
          </w:p>
        </w:tc>
        <w:tc>
          <w:tcPr>
            <w:tcW w:w="1138" w:type="dxa"/>
            <w:shd w:val="clear" w:color="auto" w:fill="E0E0E0"/>
            <w:noWrap/>
          </w:tcPr>
          <w:p w14:paraId="5A2409EE" w14:textId="77777777" w:rsidR="005D2595" w:rsidRPr="0067507D" w:rsidRDefault="005D2595" w:rsidP="00FC3AF2">
            <w:pPr>
              <w:pStyle w:val="Tabletextright"/>
            </w:pPr>
            <w:r w:rsidRPr="0067507D">
              <w:t xml:space="preserve"> 389 </w:t>
            </w:r>
          </w:p>
        </w:tc>
        <w:tc>
          <w:tcPr>
            <w:tcW w:w="1274" w:type="dxa"/>
            <w:shd w:val="clear" w:color="auto" w:fill="FFFFFF" w:themeFill="background1"/>
            <w:noWrap/>
          </w:tcPr>
          <w:p w14:paraId="339DE5EC" w14:textId="77777777" w:rsidR="005D2595" w:rsidRPr="0067507D" w:rsidRDefault="005D2595" w:rsidP="00FC3AF2">
            <w:pPr>
              <w:pStyle w:val="Tabletextright"/>
            </w:pPr>
            <w:r w:rsidRPr="0067507D">
              <w:t xml:space="preserve"> 80 </w:t>
            </w:r>
          </w:p>
        </w:tc>
        <w:tc>
          <w:tcPr>
            <w:tcW w:w="1138" w:type="dxa"/>
            <w:shd w:val="clear" w:color="auto" w:fill="E0E0E0"/>
            <w:noWrap/>
          </w:tcPr>
          <w:p w14:paraId="4B8A6F3E" w14:textId="77777777" w:rsidR="005D2595" w:rsidRPr="0067507D" w:rsidRDefault="005D2595" w:rsidP="00FC3AF2">
            <w:pPr>
              <w:pStyle w:val="Tabletextright"/>
            </w:pPr>
            <w:r w:rsidRPr="0067507D">
              <w:t xml:space="preserve">50 784 </w:t>
            </w:r>
          </w:p>
        </w:tc>
        <w:tc>
          <w:tcPr>
            <w:tcW w:w="1138" w:type="dxa"/>
            <w:shd w:val="clear" w:color="auto" w:fill="FFFFFF" w:themeFill="background1"/>
            <w:noWrap/>
          </w:tcPr>
          <w:p w14:paraId="18DA7591" w14:textId="77777777" w:rsidR="005D2595" w:rsidRPr="0067507D" w:rsidRDefault="005D2595" w:rsidP="00FC3AF2">
            <w:pPr>
              <w:pStyle w:val="Tabletextright"/>
            </w:pPr>
            <w:r w:rsidRPr="0067507D">
              <w:t xml:space="preserve">51 746 </w:t>
            </w:r>
          </w:p>
        </w:tc>
      </w:tr>
      <w:tr w:rsidR="005D2595" w:rsidRPr="0067507D" w14:paraId="611212F7" w14:textId="77777777" w:rsidTr="00FC3AF2">
        <w:trPr>
          <w:cantSplit/>
        </w:trPr>
        <w:tc>
          <w:tcPr>
            <w:tcW w:w="1278" w:type="dxa"/>
            <w:shd w:val="clear" w:color="auto" w:fill="D9D9D9" w:themeFill="background1" w:themeFillShade="D9"/>
            <w:noWrap/>
          </w:tcPr>
          <w:p w14:paraId="2C450085" w14:textId="77777777" w:rsidR="005D2595" w:rsidRPr="0067507D" w:rsidRDefault="005D2595" w:rsidP="00FC3AF2">
            <w:pPr>
              <w:pStyle w:val="Tabletextrightbold"/>
            </w:pPr>
            <w:r w:rsidRPr="0067507D">
              <w:t xml:space="preserve">56 441 </w:t>
            </w:r>
          </w:p>
        </w:tc>
        <w:tc>
          <w:tcPr>
            <w:tcW w:w="1170" w:type="dxa"/>
            <w:noWrap/>
          </w:tcPr>
          <w:p w14:paraId="6E31B38C" w14:textId="77777777" w:rsidR="005D2595" w:rsidRPr="0067507D" w:rsidRDefault="005D2595" w:rsidP="00FC3AF2">
            <w:pPr>
              <w:pStyle w:val="Tabletextrightbold"/>
            </w:pPr>
            <w:r w:rsidRPr="0067507D">
              <w:t xml:space="preserve">54 152 </w:t>
            </w:r>
          </w:p>
        </w:tc>
        <w:tc>
          <w:tcPr>
            <w:tcW w:w="1138" w:type="dxa"/>
            <w:shd w:val="clear" w:color="auto" w:fill="E0E0E0"/>
            <w:noWrap/>
          </w:tcPr>
          <w:p w14:paraId="03C1FBC6" w14:textId="77777777" w:rsidR="005D2595" w:rsidRPr="0067507D" w:rsidRDefault="005D2595" w:rsidP="00FC3AF2">
            <w:pPr>
              <w:pStyle w:val="Tabletextrightbold"/>
            </w:pPr>
            <w:r w:rsidRPr="0067507D">
              <w:t xml:space="preserve">2 618 </w:t>
            </w:r>
          </w:p>
        </w:tc>
        <w:tc>
          <w:tcPr>
            <w:tcW w:w="1274" w:type="dxa"/>
            <w:shd w:val="clear" w:color="auto" w:fill="FFFFFF" w:themeFill="background1"/>
            <w:noWrap/>
          </w:tcPr>
          <w:p w14:paraId="43E47C6C" w14:textId="77777777" w:rsidR="005D2595" w:rsidRPr="0067507D" w:rsidRDefault="005D2595" w:rsidP="00FC3AF2">
            <w:pPr>
              <w:pStyle w:val="Tabletextrightbold"/>
            </w:pPr>
            <w:r w:rsidRPr="0067507D">
              <w:t xml:space="preserve">3 472 </w:t>
            </w:r>
          </w:p>
        </w:tc>
        <w:tc>
          <w:tcPr>
            <w:tcW w:w="1138" w:type="dxa"/>
            <w:shd w:val="clear" w:color="auto" w:fill="E0E0E0"/>
            <w:noWrap/>
          </w:tcPr>
          <w:p w14:paraId="2F861C7E" w14:textId="77777777" w:rsidR="005D2595" w:rsidRPr="0067507D" w:rsidRDefault="005D2595" w:rsidP="00FC3AF2">
            <w:pPr>
              <w:pStyle w:val="Tabletextrightbold"/>
            </w:pPr>
            <w:r w:rsidRPr="0067507D">
              <w:t xml:space="preserve">224 267 </w:t>
            </w:r>
          </w:p>
        </w:tc>
        <w:tc>
          <w:tcPr>
            <w:tcW w:w="1138" w:type="dxa"/>
            <w:shd w:val="clear" w:color="auto" w:fill="FFFFFF" w:themeFill="background1"/>
            <w:noWrap/>
          </w:tcPr>
          <w:p w14:paraId="46FFDEC5" w14:textId="77777777" w:rsidR="005D2595" w:rsidRPr="0067507D" w:rsidRDefault="005D2595" w:rsidP="00FC3AF2">
            <w:pPr>
              <w:pStyle w:val="Tabletextrightbold"/>
            </w:pPr>
            <w:r w:rsidRPr="0067507D">
              <w:t xml:space="preserve">231 584 </w:t>
            </w:r>
          </w:p>
        </w:tc>
      </w:tr>
      <w:tr w:rsidR="005D2595" w:rsidRPr="0067507D" w14:paraId="4E2DD9E4" w14:textId="77777777" w:rsidTr="00FC3AF2">
        <w:trPr>
          <w:cantSplit/>
          <w:trHeight w:hRule="exact" w:val="58"/>
        </w:trPr>
        <w:tc>
          <w:tcPr>
            <w:tcW w:w="1278" w:type="dxa"/>
            <w:shd w:val="clear" w:color="auto" w:fill="D9D9D9" w:themeFill="background1" w:themeFillShade="D9"/>
            <w:noWrap/>
          </w:tcPr>
          <w:p w14:paraId="0D6E810C" w14:textId="77777777" w:rsidR="005D2595" w:rsidRPr="0067507D" w:rsidRDefault="005D2595" w:rsidP="00FC3AF2">
            <w:pPr>
              <w:pStyle w:val="Tabletextright"/>
            </w:pPr>
          </w:p>
        </w:tc>
        <w:tc>
          <w:tcPr>
            <w:tcW w:w="1170" w:type="dxa"/>
            <w:noWrap/>
          </w:tcPr>
          <w:p w14:paraId="635971BD" w14:textId="77777777" w:rsidR="005D2595" w:rsidRPr="0067507D" w:rsidRDefault="005D2595" w:rsidP="00FC3AF2">
            <w:pPr>
              <w:pStyle w:val="Tabletextright"/>
            </w:pPr>
          </w:p>
        </w:tc>
        <w:tc>
          <w:tcPr>
            <w:tcW w:w="1138" w:type="dxa"/>
            <w:shd w:val="clear" w:color="auto" w:fill="E0E0E0"/>
            <w:noWrap/>
          </w:tcPr>
          <w:p w14:paraId="796D4B54" w14:textId="77777777" w:rsidR="005D2595" w:rsidRPr="0067507D" w:rsidRDefault="005D2595" w:rsidP="00FC3AF2">
            <w:pPr>
              <w:pStyle w:val="Tabletextright"/>
            </w:pPr>
          </w:p>
        </w:tc>
        <w:tc>
          <w:tcPr>
            <w:tcW w:w="1274" w:type="dxa"/>
            <w:shd w:val="clear" w:color="auto" w:fill="FFFFFF" w:themeFill="background1"/>
            <w:noWrap/>
          </w:tcPr>
          <w:p w14:paraId="70EFD664" w14:textId="77777777" w:rsidR="005D2595" w:rsidRPr="0067507D" w:rsidRDefault="005D2595" w:rsidP="00FC3AF2">
            <w:pPr>
              <w:pStyle w:val="Tabletextright"/>
            </w:pPr>
          </w:p>
        </w:tc>
        <w:tc>
          <w:tcPr>
            <w:tcW w:w="1138" w:type="dxa"/>
            <w:shd w:val="clear" w:color="auto" w:fill="E0E0E0"/>
            <w:noWrap/>
          </w:tcPr>
          <w:p w14:paraId="3C00A45A" w14:textId="77777777" w:rsidR="005D2595" w:rsidRPr="0067507D" w:rsidRDefault="005D2595" w:rsidP="00FC3AF2">
            <w:pPr>
              <w:pStyle w:val="Tabletextright"/>
            </w:pPr>
          </w:p>
        </w:tc>
        <w:tc>
          <w:tcPr>
            <w:tcW w:w="1138" w:type="dxa"/>
            <w:shd w:val="clear" w:color="auto" w:fill="FFFFFF" w:themeFill="background1"/>
            <w:noWrap/>
          </w:tcPr>
          <w:p w14:paraId="7FADEB6E" w14:textId="77777777" w:rsidR="005D2595" w:rsidRPr="0067507D" w:rsidRDefault="005D2595" w:rsidP="00FC3AF2">
            <w:pPr>
              <w:pStyle w:val="Tabletextright"/>
            </w:pPr>
          </w:p>
        </w:tc>
      </w:tr>
      <w:tr w:rsidR="005D2595" w:rsidRPr="0067507D" w14:paraId="33742278" w14:textId="77777777" w:rsidTr="00FC3AF2">
        <w:trPr>
          <w:cantSplit/>
        </w:trPr>
        <w:tc>
          <w:tcPr>
            <w:tcW w:w="1278" w:type="dxa"/>
            <w:shd w:val="clear" w:color="auto" w:fill="D9D9D9" w:themeFill="background1" w:themeFillShade="D9"/>
            <w:noWrap/>
          </w:tcPr>
          <w:p w14:paraId="500CCE47" w14:textId="77777777" w:rsidR="005D2595" w:rsidRPr="0067507D" w:rsidRDefault="005D2595" w:rsidP="00FC3AF2">
            <w:pPr>
              <w:pStyle w:val="Tabletextright"/>
            </w:pPr>
          </w:p>
        </w:tc>
        <w:tc>
          <w:tcPr>
            <w:tcW w:w="1170" w:type="dxa"/>
            <w:noWrap/>
          </w:tcPr>
          <w:p w14:paraId="16525A74" w14:textId="77777777" w:rsidR="005D2595" w:rsidRPr="0067507D" w:rsidRDefault="005D2595" w:rsidP="00FC3AF2">
            <w:pPr>
              <w:pStyle w:val="Tabletextright"/>
            </w:pPr>
          </w:p>
        </w:tc>
        <w:tc>
          <w:tcPr>
            <w:tcW w:w="1138" w:type="dxa"/>
            <w:shd w:val="clear" w:color="auto" w:fill="E0E0E0"/>
            <w:noWrap/>
          </w:tcPr>
          <w:p w14:paraId="7064D3C1" w14:textId="77777777" w:rsidR="005D2595" w:rsidRPr="0067507D" w:rsidRDefault="005D2595" w:rsidP="00FC3AF2">
            <w:pPr>
              <w:pStyle w:val="Tabletextright"/>
            </w:pPr>
          </w:p>
        </w:tc>
        <w:tc>
          <w:tcPr>
            <w:tcW w:w="1274" w:type="dxa"/>
            <w:shd w:val="clear" w:color="auto" w:fill="FFFFFF" w:themeFill="background1"/>
            <w:noWrap/>
          </w:tcPr>
          <w:p w14:paraId="671C751E" w14:textId="77777777" w:rsidR="005D2595" w:rsidRPr="0067507D" w:rsidRDefault="005D2595" w:rsidP="00FC3AF2">
            <w:pPr>
              <w:pStyle w:val="Tabletextright"/>
            </w:pPr>
          </w:p>
        </w:tc>
        <w:tc>
          <w:tcPr>
            <w:tcW w:w="1138" w:type="dxa"/>
            <w:shd w:val="clear" w:color="auto" w:fill="E0E0E0"/>
            <w:noWrap/>
          </w:tcPr>
          <w:p w14:paraId="49C5F037" w14:textId="77777777" w:rsidR="005D2595" w:rsidRPr="0067507D" w:rsidRDefault="005D2595" w:rsidP="00FC3AF2">
            <w:pPr>
              <w:pStyle w:val="Tabletextright"/>
            </w:pPr>
          </w:p>
        </w:tc>
        <w:tc>
          <w:tcPr>
            <w:tcW w:w="1138" w:type="dxa"/>
            <w:shd w:val="clear" w:color="auto" w:fill="FFFFFF" w:themeFill="background1"/>
            <w:noWrap/>
          </w:tcPr>
          <w:p w14:paraId="499D5289" w14:textId="77777777" w:rsidR="005D2595" w:rsidRPr="0067507D" w:rsidRDefault="005D2595" w:rsidP="00FC3AF2">
            <w:pPr>
              <w:pStyle w:val="Tabletextright"/>
            </w:pPr>
          </w:p>
        </w:tc>
      </w:tr>
      <w:tr w:rsidR="005D2595" w:rsidRPr="0067507D" w14:paraId="70747C95" w14:textId="77777777" w:rsidTr="00FC3AF2">
        <w:trPr>
          <w:cantSplit/>
        </w:trPr>
        <w:tc>
          <w:tcPr>
            <w:tcW w:w="1278" w:type="dxa"/>
            <w:shd w:val="clear" w:color="auto" w:fill="D9D9D9" w:themeFill="background1" w:themeFillShade="D9"/>
            <w:noWrap/>
          </w:tcPr>
          <w:p w14:paraId="095B2120" w14:textId="77777777" w:rsidR="005D2595" w:rsidRPr="0067507D" w:rsidRDefault="005D2595" w:rsidP="00FC3AF2">
            <w:pPr>
              <w:pStyle w:val="Tabletextrightbold"/>
            </w:pPr>
            <w:r w:rsidRPr="0067507D">
              <w:t xml:space="preserve">28 634 </w:t>
            </w:r>
          </w:p>
        </w:tc>
        <w:tc>
          <w:tcPr>
            <w:tcW w:w="1170" w:type="dxa"/>
            <w:noWrap/>
          </w:tcPr>
          <w:p w14:paraId="08127FB3" w14:textId="77777777" w:rsidR="005D2595" w:rsidRPr="0067507D" w:rsidRDefault="005D2595" w:rsidP="00FC3AF2">
            <w:pPr>
              <w:pStyle w:val="Tabletextrightbold"/>
            </w:pPr>
            <w:r w:rsidRPr="0067507D">
              <w:t xml:space="preserve">21 553 </w:t>
            </w:r>
          </w:p>
        </w:tc>
        <w:tc>
          <w:tcPr>
            <w:tcW w:w="1138" w:type="dxa"/>
            <w:shd w:val="clear" w:color="auto" w:fill="E0E0E0"/>
            <w:noWrap/>
          </w:tcPr>
          <w:p w14:paraId="48B9BCE9" w14:textId="77777777" w:rsidR="005D2595" w:rsidRPr="0067507D" w:rsidRDefault="005D2595" w:rsidP="00FC3AF2">
            <w:pPr>
              <w:pStyle w:val="Tabletextrightbold"/>
            </w:pPr>
            <w:r w:rsidRPr="0067507D">
              <w:t xml:space="preserve">3 996 </w:t>
            </w:r>
          </w:p>
        </w:tc>
        <w:tc>
          <w:tcPr>
            <w:tcW w:w="1274" w:type="dxa"/>
            <w:shd w:val="clear" w:color="auto" w:fill="FFFFFF" w:themeFill="background1"/>
            <w:noWrap/>
          </w:tcPr>
          <w:p w14:paraId="18910A0B" w14:textId="77777777" w:rsidR="005D2595" w:rsidRPr="0067507D" w:rsidRDefault="005D2595" w:rsidP="00FC3AF2">
            <w:pPr>
              <w:pStyle w:val="Tabletextrightbold"/>
            </w:pPr>
            <w:r w:rsidRPr="0067507D">
              <w:t xml:space="preserve">4 690 </w:t>
            </w:r>
          </w:p>
        </w:tc>
        <w:tc>
          <w:tcPr>
            <w:tcW w:w="1138" w:type="dxa"/>
            <w:shd w:val="clear" w:color="auto" w:fill="E0E0E0"/>
            <w:noWrap/>
          </w:tcPr>
          <w:p w14:paraId="0F3B01D8" w14:textId="77777777" w:rsidR="005D2595" w:rsidRPr="0067507D" w:rsidRDefault="005D2595" w:rsidP="00FC3AF2">
            <w:pPr>
              <w:pStyle w:val="Tabletextrightbold"/>
            </w:pPr>
            <w:r w:rsidRPr="0067507D">
              <w:t xml:space="preserve">142 438 </w:t>
            </w:r>
          </w:p>
        </w:tc>
        <w:tc>
          <w:tcPr>
            <w:tcW w:w="1138" w:type="dxa"/>
            <w:shd w:val="clear" w:color="auto" w:fill="FFFFFF" w:themeFill="background1"/>
            <w:noWrap/>
          </w:tcPr>
          <w:p w14:paraId="65C277A2" w14:textId="77777777" w:rsidR="005D2595" w:rsidRPr="0067507D" w:rsidRDefault="005D2595" w:rsidP="00FC3AF2">
            <w:pPr>
              <w:pStyle w:val="Tabletextrightbold"/>
            </w:pPr>
            <w:r w:rsidRPr="0067507D">
              <w:t xml:space="preserve">156 411 </w:t>
            </w:r>
          </w:p>
        </w:tc>
      </w:tr>
      <w:tr w:rsidR="005D2595" w:rsidRPr="0067507D" w14:paraId="6C02FA60" w14:textId="77777777" w:rsidTr="00FC3AF2">
        <w:trPr>
          <w:cantSplit/>
          <w:trHeight w:hRule="exact" w:val="58"/>
        </w:trPr>
        <w:tc>
          <w:tcPr>
            <w:tcW w:w="1278" w:type="dxa"/>
            <w:shd w:val="clear" w:color="auto" w:fill="D9D9D9" w:themeFill="background1" w:themeFillShade="D9"/>
            <w:noWrap/>
          </w:tcPr>
          <w:p w14:paraId="3FDC4E33" w14:textId="77777777" w:rsidR="005D2595" w:rsidRPr="0067507D" w:rsidRDefault="005D2595" w:rsidP="00FC3AF2">
            <w:pPr>
              <w:pStyle w:val="Tabletextrightbold"/>
            </w:pPr>
          </w:p>
        </w:tc>
        <w:tc>
          <w:tcPr>
            <w:tcW w:w="1170" w:type="dxa"/>
            <w:noWrap/>
          </w:tcPr>
          <w:p w14:paraId="01B0CDED" w14:textId="77777777" w:rsidR="005D2595" w:rsidRPr="0067507D" w:rsidRDefault="005D2595" w:rsidP="00FC3AF2">
            <w:pPr>
              <w:pStyle w:val="Tabletextrightbold"/>
            </w:pPr>
          </w:p>
        </w:tc>
        <w:tc>
          <w:tcPr>
            <w:tcW w:w="1138" w:type="dxa"/>
            <w:shd w:val="clear" w:color="auto" w:fill="E0E0E0"/>
            <w:noWrap/>
          </w:tcPr>
          <w:p w14:paraId="76D8B6F0" w14:textId="77777777" w:rsidR="005D2595" w:rsidRPr="0067507D" w:rsidRDefault="005D2595" w:rsidP="00FC3AF2">
            <w:pPr>
              <w:pStyle w:val="Tabletextrightbold"/>
            </w:pPr>
          </w:p>
        </w:tc>
        <w:tc>
          <w:tcPr>
            <w:tcW w:w="1274" w:type="dxa"/>
            <w:shd w:val="clear" w:color="auto" w:fill="FFFFFF" w:themeFill="background1"/>
            <w:noWrap/>
          </w:tcPr>
          <w:p w14:paraId="72EF1E15" w14:textId="77777777" w:rsidR="005D2595" w:rsidRPr="0067507D" w:rsidRDefault="005D2595" w:rsidP="00FC3AF2">
            <w:pPr>
              <w:pStyle w:val="Tabletextrightbold"/>
            </w:pPr>
          </w:p>
        </w:tc>
        <w:tc>
          <w:tcPr>
            <w:tcW w:w="1138" w:type="dxa"/>
            <w:shd w:val="clear" w:color="auto" w:fill="E0E0E0"/>
            <w:noWrap/>
          </w:tcPr>
          <w:p w14:paraId="5A61F700" w14:textId="77777777" w:rsidR="005D2595" w:rsidRPr="0067507D" w:rsidRDefault="005D2595" w:rsidP="00FC3AF2">
            <w:pPr>
              <w:pStyle w:val="Tabletextrightbold"/>
            </w:pPr>
          </w:p>
        </w:tc>
        <w:tc>
          <w:tcPr>
            <w:tcW w:w="1138" w:type="dxa"/>
            <w:shd w:val="clear" w:color="auto" w:fill="FFFFFF" w:themeFill="background1"/>
            <w:noWrap/>
          </w:tcPr>
          <w:p w14:paraId="7B4DA013" w14:textId="77777777" w:rsidR="005D2595" w:rsidRPr="0067507D" w:rsidRDefault="005D2595" w:rsidP="00FC3AF2">
            <w:pPr>
              <w:pStyle w:val="Tabletextrightbold"/>
            </w:pPr>
          </w:p>
        </w:tc>
      </w:tr>
      <w:tr w:rsidR="005D2595" w:rsidRPr="0067507D" w14:paraId="45FEB038" w14:textId="77777777" w:rsidTr="00FC3AF2">
        <w:trPr>
          <w:cantSplit/>
        </w:trPr>
        <w:tc>
          <w:tcPr>
            <w:tcW w:w="1278" w:type="dxa"/>
            <w:shd w:val="clear" w:color="auto" w:fill="D9D9D9" w:themeFill="background1" w:themeFillShade="D9"/>
            <w:noWrap/>
          </w:tcPr>
          <w:p w14:paraId="494C3048" w14:textId="77777777" w:rsidR="005D2595" w:rsidRPr="0067507D" w:rsidRDefault="005D2595" w:rsidP="00FC3AF2">
            <w:pPr>
              <w:pStyle w:val="Tabletextrightbold"/>
            </w:pPr>
            <w:r w:rsidRPr="0067507D">
              <w:t xml:space="preserve">27 807 </w:t>
            </w:r>
          </w:p>
        </w:tc>
        <w:tc>
          <w:tcPr>
            <w:tcW w:w="1170" w:type="dxa"/>
            <w:noWrap/>
          </w:tcPr>
          <w:p w14:paraId="0AE51A4B" w14:textId="77777777" w:rsidR="005D2595" w:rsidRPr="0067507D" w:rsidRDefault="005D2595" w:rsidP="00FC3AF2">
            <w:pPr>
              <w:pStyle w:val="Tabletextrightbold"/>
            </w:pPr>
            <w:r w:rsidRPr="0067507D">
              <w:t xml:space="preserve">32 599 </w:t>
            </w:r>
          </w:p>
        </w:tc>
        <w:tc>
          <w:tcPr>
            <w:tcW w:w="1138" w:type="dxa"/>
            <w:shd w:val="clear" w:color="auto" w:fill="E0E0E0"/>
            <w:noWrap/>
          </w:tcPr>
          <w:p w14:paraId="122E6473" w14:textId="77777777" w:rsidR="005D2595" w:rsidRPr="0067507D" w:rsidRDefault="005D2595" w:rsidP="00FC3AF2">
            <w:pPr>
              <w:pStyle w:val="Tabletextrightbold"/>
            </w:pPr>
            <w:r w:rsidRPr="0067507D">
              <w:t xml:space="preserve">(1 378) </w:t>
            </w:r>
          </w:p>
        </w:tc>
        <w:tc>
          <w:tcPr>
            <w:tcW w:w="1274" w:type="dxa"/>
            <w:shd w:val="clear" w:color="auto" w:fill="FFFFFF" w:themeFill="background1"/>
            <w:noWrap/>
          </w:tcPr>
          <w:p w14:paraId="18D041E8" w14:textId="77777777" w:rsidR="005D2595" w:rsidRPr="0067507D" w:rsidRDefault="005D2595" w:rsidP="00FC3AF2">
            <w:pPr>
              <w:pStyle w:val="Tabletextrightbold"/>
            </w:pPr>
            <w:r w:rsidRPr="0067507D">
              <w:t xml:space="preserve">(1 218) </w:t>
            </w:r>
          </w:p>
        </w:tc>
        <w:tc>
          <w:tcPr>
            <w:tcW w:w="1138" w:type="dxa"/>
            <w:shd w:val="clear" w:color="auto" w:fill="E0E0E0"/>
            <w:noWrap/>
          </w:tcPr>
          <w:p w14:paraId="087D289E" w14:textId="77777777" w:rsidR="005D2595" w:rsidRPr="0067507D" w:rsidRDefault="005D2595" w:rsidP="00FC3AF2">
            <w:pPr>
              <w:pStyle w:val="Tabletextrightbold"/>
            </w:pPr>
            <w:r w:rsidRPr="0067507D">
              <w:t xml:space="preserve">81 829 </w:t>
            </w:r>
          </w:p>
        </w:tc>
        <w:tc>
          <w:tcPr>
            <w:tcW w:w="1138" w:type="dxa"/>
            <w:shd w:val="clear" w:color="auto" w:fill="FFFFFF" w:themeFill="background1"/>
            <w:noWrap/>
          </w:tcPr>
          <w:p w14:paraId="448BE5E1" w14:textId="77777777" w:rsidR="005D2595" w:rsidRPr="0067507D" w:rsidRDefault="005D2595" w:rsidP="00FC3AF2">
            <w:pPr>
              <w:pStyle w:val="Tabletextrightbold"/>
            </w:pPr>
            <w:r w:rsidRPr="0067507D">
              <w:t xml:space="preserve">75 173 </w:t>
            </w:r>
          </w:p>
        </w:tc>
      </w:tr>
    </w:tbl>
    <w:p w14:paraId="56BB391F" w14:textId="77777777" w:rsidR="005D2595" w:rsidRPr="0067507D" w:rsidRDefault="005D2595" w:rsidP="005D2595">
      <w:pPr>
        <w:pStyle w:val="Spacer"/>
      </w:pPr>
    </w:p>
    <w:p w14:paraId="678B3FDD" w14:textId="77777777" w:rsidR="005D2595" w:rsidRPr="0067507D" w:rsidRDefault="005D2595" w:rsidP="005D2595">
      <w:pPr>
        <w:pStyle w:val="Notes"/>
        <w:sectPr w:rsidR="005D2595" w:rsidRPr="0067507D" w:rsidSect="005D2595">
          <w:type w:val="continuous"/>
          <w:pgSz w:w="11909" w:h="16834" w:code="9"/>
          <w:pgMar w:top="1728" w:right="1152" w:bottom="1152" w:left="1152" w:header="720" w:footer="288" w:gutter="0"/>
          <w:cols w:space="720"/>
          <w:noEndnote/>
        </w:sectPr>
      </w:pPr>
    </w:p>
    <w:p w14:paraId="641DE6D0" w14:textId="77777777" w:rsidR="005D2595" w:rsidRPr="0067507D" w:rsidRDefault="005D2595" w:rsidP="000D5F54">
      <w:pPr>
        <w:pStyle w:val="Heading2numbered"/>
      </w:pPr>
      <w:bookmarkStart w:id="111" w:name="_Toc178082182"/>
      <w:bookmarkStart w:id="112" w:name="_Toc210214008"/>
      <w:bookmarkStart w:id="113" w:name="_Toc210213955"/>
      <w:bookmarkStart w:id="114" w:name="Administered_start"/>
      <w:r w:rsidRPr="0067507D">
        <w:t>Administered items</w:t>
      </w:r>
      <w:bookmarkEnd w:id="111"/>
      <w:bookmarkEnd w:id="112"/>
      <w:bookmarkEnd w:id="113"/>
      <w:r w:rsidRPr="0067507D">
        <w:t xml:space="preserve"> </w:t>
      </w:r>
    </w:p>
    <w:bookmarkEnd w:id="114"/>
    <w:p w14:paraId="6A2C981F"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p w14:paraId="4BD4BFF1" w14:textId="77777777" w:rsidR="005D2595" w:rsidRPr="0067507D" w:rsidRDefault="005D2595" w:rsidP="005D2595">
      <w:pPr>
        <w:keepLines w:val="0"/>
      </w:pPr>
      <w:r w:rsidRPr="0067507D">
        <w:t xml:space="preserve">In addition to the specific departmental operations which are controlled and included in the financial statements (comprehensive operating statement, balance sheet, cash flow statement and statement of changes in equity), the Department administers or manages, but does not control, certain resources and activities on behalf of the State. The Department is accountable for the transactions involving those administered resources, but does not have the discretion to deploy the resources for its own benefit or for the achievement of its objectives. Accordingly, transactions and balances relating to these administered resources are not recognised as departmental income, expenses, assets or liabilities </w:t>
      </w:r>
      <w:r w:rsidRPr="0067507D">
        <w:t>within the body of the financial statements, but are disclosed separately in this note.</w:t>
      </w:r>
    </w:p>
    <w:p w14:paraId="3BD462DB" w14:textId="77777777" w:rsidR="005D2595" w:rsidRPr="0067507D" w:rsidRDefault="005D2595" w:rsidP="005D2595">
      <w:r w:rsidRPr="0067507D">
        <w:t>Both the controlled and administered items of the Department are consolidated into the financial statements of the State.</w:t>
      </w:r>
    </w:p>
    <w:p w14:paraId="5DE15162" w14:textId="77777777" w:rsidR="005D2595" w:rsidRPr="00943D06" w:rsidRDefault="005D2595" w:rsidP="005D2595">
      <w:r w:rsidRPr="0067507D">
        <w:t>Except as otherwise disclosed, administered transactions are accounted for on an accrual basis using the same accounting policies adopted for recognition of the Departmental items in the financial statements.</w:t>
      </w:r>
    </w:p>
    <w:p w14:paraId="27FC1709"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tbl>
      <w:tblPr>
        <w:tblW w:w="9938" w:type="dxa"/>
        <w:tblLayout w:type="fixed"/>
        <w:tblLook w:val="0000" w:firstRow="0" w:lastRow="0" w:firstColumn="0" w:lastColumn="0" w:noHBand="0" w:noVBand="0"/>
      </w:tblPr>
      <w:tblGrid>
        <w:gridCol w:w="4590"/>
        <w:gridCol w:w="792"/>
        <w:gridCol w:w="1139"/>
        <w:gridCol w:w="1139"/>
        <w:gridCol w:w="1139"/>
        <w:gridCol w:w="1139"/>
      </w:tblGrid>
      <w:tr w:rsidR="005D2595" w:rsidRPr="0067507D" w14:paraId="222BC812" w14:textId="77777777" w:rsidTr="00FC3AF2">
        <w:trPr>
          <w:cantSplit/>
        </w:trPr>
        <w:tc>
          <w:tcPr>
            <w:tcW w:w="4590" w:type="dxa"/>
            <w:noWrap/>
          </w:tcPr>
          <w:p w14:paraId="0D0C8678" w14:textId="77777777" w:rsidR="005D2595" w:rsidRPr="0067507D" w:rsidRDefault="005D2595" w:rsidP="00FC3AF2">
            <w:pPr>
              <w:pStyle w:val="Tabletext"/>
            </w:pPr>
          </w:p>
        </w:tc>
        <w:tc>
          <w:tcPr>
            <w:tcW w:w="792" w:type="dxa"/>
            <w:vAlign w:val="bottom"/>
          </w:tcPr>
          <w:p w14:paraId="348F6709" w14:textId="77777777" w:rsidR="005D2595" w:rsidRPr="0067507D" w:rsidRDefault="005D2595" w:rsidP="00FC3AF2">
            <w:pPr>
              <w:pStyle w:val="Tabletextheadingcentred"/>
            </w:pPr>
            <w:r w:rsidRPr="0067507D">
              <w:t>Notes</w:t>
            </w:r>
          </w:p>
        </w:tc>
        <w:tc>
          <w:tcPr>
            <w:tcW w:w="2278" w:type="dxa"/>
            <w:gridSpan w:val="2"/>
            <w:noWrap/>
            <w:vAlign w:val="bottom"/>
          </w:tcPr>
          <w:p w14:paraId="7C709C02" w14:textId="77777777" w:rsidR="005D2595" w:rsidRPr="0067507D" w:rsidRDefault="005D2595" w:rsidP="00FC3AF2">
            <w:pPr>
              <w:pStyle w:val="Tabletextheadingcentred"/>
            </w:pPr>
            <w:r w:rsidRPr="0067507D">
              <w:br/>
            </w:r>
            <w:r w:rsidRPr="0067507D">
              <w:br/>
              <w:t xml:space="preserve">Optimise Victoria's fiscal resources </w:t>
            </w:r>
            <w:r w:rsidRPr="0067507D">
              <w:rPr>
                <w:vertAlign w:val="superscript"/>
              </w:rPr>
              <w:t>(a)</w:t>
            </w:r>
          </w:p>
        </w:tc>
        <w:tc>
          <w:tcPr>
            <w:tcW w:w="2278" w:type="dxa"/>
            <w:gridSpan w:val="2"/>
            <w:noWrap/>
            <w:vAlign w:val="bottom"/>
          </w:tcPr>
          <w:p w14:paraId="071DED78" w14:textId="77777777" w:rsidR="005D2595" w:rsidRPr="0067507D" w:rsidRDefault="005D2595" w:rsidP="00FC3AF2">
            <w:pPr>
              <w:pStyle w:val="Tabletextheadingcentred"/>
            </w:pPr>
            <w:r w:rsidRPr="0067507D">
              <w:t>Strengthen Victoria’s economic performance</w:t>
            </w:r>
          </w:p>
        </w:tc>
      </w:tr>
      <w:tr w:rsidR="0073368A" w:rsidRPr="0067507D" w14:paraId="038B8EC7" w14:textId="77777777" w:rsidTr="00FC3AF2">
        <w:trPr>
          <w:cantSplit/>
        </w:trPr>
        <w:tc>
          <w:tcPr>
            <w:tcW w:w="4590" w:type="dxa"/>
            <w:noWrap/>
          </w:tcPr>
          <w:p w14:paraId="04A72C37" w14:textId="77777777" w:rsidR="0073368A" w:rsidRPr="0067507D" w:rsidRDefault="0073368A" w:rsidP="0073368A">
            <w:pPr>
              <w:pStyle w:val="Tabletext"/>
            </w:pPr>
          </w:p>
        </w:tc>
        <w:tc>
          <w:tcPr>
            <w:tcW w:w="792" w:type="dxa"/>
          </w:tcPr>
          <w:p w14:paraId="1C57ED02" w14:textId="77777777" w:rsidR="0073368A" w:rsidRPr="0067507D" w:rsidRDefault="0073368A" w:rsidP="0073368A">
            <w:pPr>
              <w:pStyle w:val="Tabletextheadingcentred"/>
            </w:pPr>
          </w:p>
        </w:tc>
        <w:tc>
          <w:tcPr>
            <w:tcW w:w="1139" w:type="dxa"/>
            <w:noWrap/>
          </w:tcPr>
          <w:p w14:paraId="742C33F3" w14:textId="66EBC9C1" w:rsidR="0073368A" w:rsidRPr="0067507D" w:rsidRDefault="0073368A" w:rsidP="0073368A">
            <w:pPr>
              <w:pStyle w:val="Tabletextheadingright"/>
            </w:pPr>
            <w:r w:rsidRPr="0067507D">
              <w:rPr>
                <w:szCs w:val="16"/>
              </w:rPr>
              <w:t>2025</w:t>
            </w:r>
            <w:r>
              <w:rPr>
                <w:szCs w:val="16"/>
              </w:rPr>
              <w:br/>
            </w:r>
            <w:r w:rsidRPr="0067507D">
              <w:t>$’000</w:t>
            </w:r>
          </w:p>
        </w:tc>
        <w:tc>
          <w:tcPr>
            <w:tcW w:w="1139" w:type="dxa"/>
            <w:noWrap/>
          </w:tcPr>
          <w:p w14:paraId="5ED1E364" w14:textId="0B3AC99A" w:rsidR="0073368A" w:rsidRPr="0067507D" w:rsidRDefault="0073368A" w:rsidP="0073368A">
            <w:pPr>
              <w:pStyle w:val="Tabletextheadingright"/>
            </w:pPr>
            <w:r w:rsidRPr="0067507D">
              <w:rPr>
                <w:szCs w:val="16"/>
              </w:rPr>
              <w:t>2024</w:t>
            </w:r>
            <w:r>
              <w:rPr>
                <w:szCs w:val="16"/>
              </w:rPr>
              <w:br/>
            </w:r>
            <w:r w:rsidRPr="0067507D">
              <w:t>$’000</w:t>
            </w:r>
          </w:p>
        </w:tc>
        <w:tc>
          <w:tcPr>
            <w:tcW w:w="1139" w:type="dxa"/>
            <w:noWrap/>
          </w:tcPr>
          <w:p w14:paraId="350D65BF" w14:textId="76750E6B" w:rsidR="0073368A" w:rsidRPr="0067507D" w:rsidRDefault="0073368A" w:rsidP="0073368A">
            <w:pPr>
              <w:pStyle w:val="Tabletextheadingright"/>
            </w:pPr>
            <w:r w:rsidRPr="0067507D">
              <w:rPr>
                <w:szCs w:val="16"/>
              </w:rPr>
              <w:t>2025</w:t>
            </w:r>
            <w:r>
              <w:rPr>
                <w:szCs w:val="16"/>
              </w:rPr>
              <w:br/>
            </w:r>
            <w:r w:rsidRPr="0067507D">
              <w:t>$’000</w:t>
            </w:r>
          </w:p>
        </w:tc>
        <w:tc>
          <w:tcPr>
            <w:tcW w:w="1139" w:type="dxa"/>
            <w:noWrap/>
          </w:tcPr>
          <w:p w14:paraId="5E0511DF" w14:textId="22F0B07F" w:rsidR="0073368A" w:rsidRPr="0067507D" w:rsidRDefault="0073368A" w:rsidP="0073368A">
            <w:pPr>
              <w:pStyle w:val="Tabletextheadingright"/>
            </w:pPr>
            <w:r w:rsidRPr="0067507D">
              <w:rPr>
                <w:szCs w:val="16"/>
              </w:rPr>
              <w:t>2024</w:t>
            </w:r>
            <w:r>
              <w:rPr>
                <w:szCs w:val="16"/>
              </w:rPr>
              <w:br/>
            </w:r>
            <w:r w:rsidRPr="0067507D">
              <w:t>$’000</w:t>
            </w:r>
          </w:p>
        </w:tc>
      </w:tr>
      <w:tr w:rsidR="005D2595" w:rsidRPr="0067507D" w14:paraId="23232046" w14:textId="77777777" w:rsidTr="00FC3AF2">
        <w:trPr>
          <w:cantSplit/>
        </w:trPr>
        <w:tc>
          <w:tcPr>
            <w:tcW w:w="4590" w:type="dxa"/>
          </w:tcPr>
          <w:p w14:paraId="07ACAC5D" w14:textId="77777777" w:rsidR="005D2595" w:rsidRPr="0067507D" w:rsidRDefault="005D2595" w:rsidP="00FC3AF2">
            <w:pPr>
              <w:pStyle w:val="Tabletextbold"/>
            </w:pPr>
            <w:r w:rsidRPr="0067507D">
              <w:t>Administered income and expenses for year ended 30</w:t>
            </w:r>
            <w:r w:rsidRPr="0067507D">
              <w:rPr>
                <w:rFonts w:ascii="Calibri" w:hAnsi="Calibri" w:cs="Calibri"/>
              </w:rPr>
              <w:t> </w:t>
            </w:r>
            <w:r w:rsidRPr="0067507D">
              <w:t>June</w:t>
            </w:r>
            <w:r w:rsidRPr="0067507D">
              <w:rPr>
                <w:rFonts w:ascii="Calibri" w:hAnsi="Calibri" w:cs="Calibri"/>
              </w:rPr>
              <w:t> </w:t>
            </w:r>
            <w:r w:rsidRPr="0067507D">
              <w:t>2025</w:t>
            </w:r>
          </w:p>
        </w:tc>
        <w:tc>
          <w:tcPr>
            <w:tcW w:w="792" w:type="dxa"/>
          </w:tcPr>
          <w:p w14:paraId="065D1586" w14:textId="77777777" w:rsidR="005D2595" w:rsidRPr="0067507D" w:rsidRDefault="005D2595" w:rsidP="00FC3AF2">
            <w:pPr>
              <w:pStyle w:val="Tabletextcentred"/>
            </w:pPr>
          </w:p>
        </w:tc>
        <w:tc>
          <w:tcPr>
            <w:tcW w:w="1139" w:type="dxa"/>
            <w:shd w:val="clear" w:color="auto" w:fill="D9D9D9" w:themeFill="background1" w:themeFillShade="D9"/>
            <w:noWrap/>
          </w:tcPr>
          <w:p w14:paraId="3C0F6FD3" w14:textId="77777777" w:rsidR="005D2595" w:rsidRPr="0067507D" w:rsidRDefault="005D2595" w:rsidP="00FC3AF2">
            <w:pPr>
              <w:pStyle w:val="Tabletextright"/>
            </w:pPr>
          </w:p>
        </w:tc>
        <w:tc>
          <w:tcPr>
            <w:tcW w:w="1139" w:type="dxa"/>
            <w:noWrap/>
          </w:tcPr>
          <w:p w14:paraId="3741C9B2" w14:textId="77777777" w:rsidR="005D2595" w:rsidRPr="0067507D" w:rsidRDefault="005D2595" w:rsidP="00FC3AF2">
            <w:pPr>
              <w:pStyle w:val="Tabletextright"/>
            </w:pPr>
          </w:p>
        </w:tc>
        <w:tc>
          <w:tcPr>
            <w:tcW w:w="1139" w:type="dxa"/>
            <w:shd w:val="clear" w:color="auto" w:fill="E0E0E0"/>
            <w:noWrap/>
          </w:tcPr>
          <w:p w14:paraId="71E3758C" w14:textId="77777777" w:rsidR="005D2595" w:rsidRPr="0067507D" w:rsidRDefault="005D2595" w:rsidP="00FC3AF2">
            <w:pPr>
              <w:pStyle w:val="Tabletextright"/>
            </w:pPr>
          </w:p>
        </w:tc>
        <w:tc>
          <w:tcPr>
            <w:tcW w:w="1139" w:type="dxa"/>
            <w:shd w:val="clear" w:color="auto" w:fill="FFFFFF" w:themeFill="background1"/>
            <w:noWrap/>
          </w:tcPr>
          <w:p w14:paraId="3E216B6E" w14:textId="77777777" w:rsidR="005D2595" w:rsidRPr="0067507D" w:rsidRDefault="005D2595" w:rsidP="00FC3AF2">
            <w:pPr>
              <w:pStyle w:val="Tabletextright"/>
            </w:pPr>
          </w:p>
        </w:tc>
      </w:tr>
      <w:tr w:rsidR="005D2595" w:rsidRPr="0067507D" w14:paraId="7DD7B04A" w14:textId="77777777" w:rsidTr="00FC3AF2">
        <w:trPr>
          <w:cantSplit/>
        </w:trPr>
        <w:tc>
          <w:tcPr>
            <w:tcW w:w="4590" w:type="dxa"/>
          </w:tcPr>
          <w:p w14:paraId="1599D195" w14:textId="77777777" w:rsidR="005D2595" w:rsidRPr="0067507D" w:rsidRDefault="005D2595" w:rsidP="00FC3AF2">
            <w:pPr>
              <w:pStyle w:val="Tabletextbold"/>
            </w:pPr>
            <w:r w:rsidRPr="0067507D">
              <w:t>Administered income from transactions</w:t>
            </w:r>
          </w:p>
        </w:tc>
        <w:tc>
          <w:tcPr>
            <w:tcW w:w="792" w:type="dxa"/>
          </w:tcPr>
          <w:p w14:paraId="490A04CA" w14:textId="77777777" w:rsidR="005D2595" w:rsidRPr="0067507D" w:rsidRDefault="005D2595" w:rsidP="00FC3AF2">
            <w:pPr>
              <w:pStyle w:val="Tabletextcentred"/>
            </w:pPr>
          </w:p>
        </w:tc>
        <w:tc>
          <w:tcPr>
            <w:tcW w:w="1139" w:type="dxa"/>
            <w:shd w:val="clear" w:color="auto" w:fill="D9D9D9" w:themeFill="background1" w:themeFillShade="D9"/>
            <w:noWrap/>
          </w:tcPr>
          <w:p w14:paraId="2066940C" w14:textId="77777777" w:rsidR="005D2595" w:rsidRPr="0067507D" w:rsidRDefault="005D2595" w:rsidP="00FC3AF2">
            <w:pPr>
              <w:pStyle w:val="Tabletextright"/>
            </w:pPr>
          </w:p>
        </w:tc>
        <w:tc>
          <w:tcPr>
            <w:tcW w:w="1139" w:type="dxa"/>
            <w:noWrap/>
          </w:tcPr>
          <w:p w14:paraId="1A4A61F5" w14:textId="77777777" w:rsidR="005D2595" w:rsidRPr="0067507D" w:rsidRDefault="005D2595" w:rsidP="00FC3AF2">
            <w:pPr>
              <w:pStyle w:val="Tabletextright"/>
            </w:pPr>
          </w:p>
        </w:tc>
        <w:tc>
          <w:tcPr>
            <w:tcW w:w="1139" w:type="dxa"/>
            <w:shd w:val="clear" w:color="auto" w:fill="E0E0E0"/>
            <w:noWrap/>
          </w:tcPr>
          <w:p w14:paraId="329CC66D" w14:textId="77777777" w:rsidR="005D2595" w:rsidRPr="0067507D" w:rsidRDefault="005D2595" w:rsidP="00FC3AF2">
            <w:pPr>
              <w:pStyle w:val="Tabletextright"/>
            </w:pPr>
          </w:p>
        </w:tc>
        <w:tc>
          <w:tcPr>
            <w:tcW w:w="1139" w:type="dxa"/>
            <w:shd w:val="clear" w:color="auto" w:fill="FFFFFF" w:themeFill="background1"/>
            <w:noWrap/>
          </w:tcPr>
          <w:p w14:paraId="437515F2" w14:textId="77777777" w:rsidR="005D2595" w:rsidRPr="0067507D" w:rsidRDefault="005D2595" w:rsidP="00FC3AF2">
            <w:pPr>
              <w:pStyle w:val="Tabletextright"/>
            </w:pPr>
          </w:p>
        </w:tc>
      </w:tr>
      <w:tr w:rsidR="005D2595" w:rsidRPr="0067507D" w14:paraId="3B9B06BA" w14:textId="77777777" w:rsidTr="00FC3AF2">
        <w:trPr>
          <w:cantSplit/>
        </w:trPr>
        <w:tc>
          <w:tcPr>
            <w:tcW w:w="4590" w:type="dxa"/>
          </w:tcPr>
          <w:p w14:paraId="5692FCBE" w14:textId="77777777" w:rsidR="005D2595" w:rsidRPr="0067507D" w:rsidRDefault="005D2595" w:rsidP="00FC3AF2">
            <w:pPr>
              <w:pStyle w:val="Tabletext"/>
            </w:pPr>
            <w:r w:rsidRPr="0067507D">
              <w:t>Payments on behalf of the State appropriations</w:t>
            </w:r>
          </w:p>
        </w:tc>
        <w:tc>
          <w:tcPr>
            <w:tcW w:w="792" w:type="dxa"/>
          </w:tcPr>
          <w:p w14:paraId="5FF6FA96" w14:textId="77777777" w:rsidR="005D2595" w:rsidRPr="0067507D" w:rsidRDefault="005D2595" w:rsidP="00FC3AF2">
            <w:pPr>
              <w:pStyle w:val="Tabletextcentred"/>
            </w:pPr>
            <w:r w:rsidRPr="0067507D">
              <w:t>2.2</w:t>
            </w:r>
          </w:p>
        </w:tc>
        <w:tc>
          <w:tcPr>
            <w:tcW w:w="1139" w:type="dxa"/>
            <w:shd w:val="clear" w:color="auto" w:fill="D9D9D9" w:themeFill="background1" w:themeFillShade="D9"/>
            <w:noWrap/>
          </w:tcPr>
          <w:p w14:paraId="20F8261C" w14:textId="77777777" w:rsidR="005D2595" w:rsidRPr="0067507D" w:rsidRDefault="005D2595" w:rsidP="00FC3AF2">
            <w:pPr>
              <w:pStyle w:val="Tabletextright"/>
            </w:pPr>
            <w:r w:rsidRPr="0067507D">
              <w:t xml:space="preserve"> 338 104 </w:t>
            </w:r>
          </w:p>
        </w:tc>
        <w:tc>
          <w:tcPr>
            <w:tcW w:w="1139" w:type="dxa"/>
            <w:noWrap/>
          </w:tcPr>
          <w:p w14:paraId="6ADABCF0" w14:textId="77777777" w:rsidR="005D2595" w:rsidRPr="0067507D" w:rsidRDefault="005D2595" w:rsidP="00FC3AF2">
            <w:pPr>
              <w:pStyle w:val="Tabletextright"/>
            </w:pPr>
            <w:r w:rsidRPr="0067507D">
              <w:t xml:space="preserve"> 682 533 </w:t>
            </w:r>
          </w:p>
        </w:tc>
        <w:tc>
          <w:tcPr>
            <w:tcW w:w="1139" w:type="dxa"/>
            <w:shd w:val="clear" w:color="auto" w:fill="E0E0E0"/>
            <w:noWrap/>
          </w:tcPr>
          <w:p w14:paraId="648F28F0" w14:textId="77777777" w:rsidR="005D2595" w:rsidRPr="0067507D" w:rsidRDefault="005D2595" w:rsidP="00FC3AF2">
            <w:pPr>
              <w:pStyle w:val="Tabletextright"/>
            </w:pPr>
            <w:r w:rsidRPr="0067507D">
              <w:t xml:space="preserve"> 161 469 </w:t>
            </w:r>
          </w:p>
        </w:tc>
        <w:tc>
          <w:tcPr>
            <w:tcW w:w="1139" w:type="dxa"/>
            <w:shd w:val="clear" w:color="auto" w:fill="FFFFFF" w:themeFill="background1"/>
            <w:noWrap/>
          </w:tcPr>
          <w:p w14:paraId="632272CD" w14:textId="77777777" w:rsidR="005D2595" w:rsidRPr="0067507D" w:rsidRDefault="005D2595" w:rsidP="00FC3AF2">
            <w:pPr>
              <w:pStyle w:val="Tabletextright"/>
            </w:pPr>
            <w:r w:rsidRPr="0067507D">
              <w:t xml:space="preserve">1 575 692 </w:t>
            </w:r>
          </w:p>
        </w:tc>
      </w:tr>
      <w:tr w:rsidR="005D2595" w:rsidRPr="0067507D" w14:paraId="4B09543A" w14:textId="77777777" w:rsidTr="00FC3AF2">
        <w:trPr>
          <w:cantSplit/>
        </w:trPr>
        <w:tc>
          <w:tcPr>
            <w:tcW w:w="4590" w:type="dxa"/>
          </w:tcPr>
          <w:p w14:paraId="455DE8C2" w14:textId="77777777" w:rsidR="005D2595" w:rsidRPr="0067507D" w:rsidRDefault="005D2595" w:rsidP="00FC3AF2">
            <w:pPr>
              <w:pStyle w:val="Tabletext"/>
            </w:pPr>
            <w:r w:rsidRPr="0067507D">
              <w:t>Special appropriations</w:t>
            </w:r>
          </w:p>
        </w:tc>
        <w:tc>
          <w:tcPr>
            <w:tcW w:w="792" w:type="dxa"/>
          </w:tcPr>
          <w:p w14:paraId="3EB7367D" w14:textId="77777777" w:rsidR="005D2595" w:rsidRPr="0067507D" w:rsidRDefault="005D2595" w:rsidP="00FC3AF2">
            <w:pPr>
              <w:pStyle w:val="Tabletextcentred"/>
            </w:pPr>
            <w:r w:rsidRPr="0067507D">
              <w:t>2.3</w:t>
            </w:r>
          </w:p>
        </w:tc>
        <w:tc>
          <w:tcPr>
            <w:tcW w:w="1139" w:type="dxa"/>
            <w:shd w:val="clear" w:color="auto" w:fill="D9D9D9" w:themeFill="background1" w:themeFillShade="D9"/>
            <w:noWrap/>
          </w:tcPr>
          <w:p w14:paraId="15B2355A" w14:textId="77777777" w:rsidR="005D2595" w:rsidRPr="0067507D" w:rsidRDefault="005D2595" w:rsidP="00FC3AF2">
            <w:pPr>
              <w:pStyle w:val="Tabletextright"/>
            </w:pPr>
            <w:r w:rsidRPr="0067507D">
              <w:t xml:space="preserve"> 518 916 </w:t>
            </w:r>
          </w:p>
        </w:tc>
        <w:tc>
          <w:tcPr>
            <w:tcW w:w="1139" w:type="dxa"/>
            <w:noWrap/>
          </w:tcPr>
          <w:p w14:paraId="70B56C4C" w14:textId="77777777" w:rsidR="005D2595" w:rsidRPr="0067507D" w:rsidRDefault="005D2595" w:rsidP="00FC3AF2">
            <w:pPr>
              <w:pStyle w:val="Tabletextright"/>
            </w:pPr>
            <w:r w:rsidRPr="0067507D">
              <w:t xml:space="preserve"> 175 233 </w:t>
            </w:r>
          </w:p>
        </w:tc>
        <w:tc>
          <w:tcPr>
            <w:tcW w:w="1139" w:type="dxa"/>
            <w:shd w:val="clear" w:color="auto" w:fill="E0E0E0"/>
            <w:noWrap/>
          </w:tcPr>
          <w:p w14:paraId="7B089F0F" w14:textId="77777777" w:rsidR="005D2595" w:rsidRPr="0067507D" w:rsidRDefault="005D2595" w:rsidP="00FC3AF2">
            <w:pPr>
              <w:pStyle w:val="Tabletextright"/>
            </w:pPr>
            <w:r w:rsidRPr="0067507D">
              <w:t xml:space="preserve"> 168 536 </w:t>
            </w:r>
          </w:p>
        </w:tc>
        <w:tc>
          <w:tcPr>
            <w:tcW w:w="1139" w:type="dxa"/>
            <w:shd w:val="clear" w:color="auto" w:fill="FFFFFF" w:themeFill="background1"/>
            <w:noWrap/>
          </w:tcPr>
          <w:p w14:paraId="14CB019B" w14:textId="77777777" w:rsidR="005D2595" w:rsidRPr="0067507D" w:rsidRDefault="005D2595" w:rsidP="00FC3AF2">
            <w:pPr>
              <w:pStyle w:val="Tabletextright"/>
            </w:pPr>
            <w:r w:rsidRPr="0067507D">
              <w:t xml:space="preserve"> 93 564 </w:t>
            </w:r>
          </w:p>
        </w:tc>
      </w:tr>
      <w:tr w:rsidR="005D2595" w:rsidRPr="0067507D" w14:paraId="66FE7334" w14:textId="77777777" w:rsidTr="00FC3AF2">
        <w:trPr>
          <w:cantSplit/>
        </w:trPr>
        <w:tc>
          <w:tcPr>
            <w:tcW w:w="4590" w:type="dxa"/>
          </w:tcPr>
          <w:p w14:paraId="3FF10266" w14:textId="77777777" w:rsidR="005D2595" w:rsidRPr="0067507D" w:rsidRDefault="005D2595" w:rsidP="00FC3AF2">
            <w:pPr>
              <w:pStyle w:val="Tabletext"/>
            </w:pPr>
            <w:r w:rsidRPr="0067507D">
              <w:t>Grant income</w:t>
            </w:r>
          </w:p>
        </w:tc>
        <w:tc>
          <w:tcPr>
            <w:tcW w:w="792" w:type="dxa"/>
          </w:tcPr>
          <w:p w14:paraId="1BF5C7EB" w14:textId="77777777" w:rsidR="005D2595" w:rsidRPr="0067507D" w:rsidRDefault="005D2595" w:rsidP="00FC3AF2">
            <w:pPr>
              <w:pStyle w:val="Tabletextcentred"/>
            </w:pPr>
            <w:r w:rsidRPr="0067507D">
              <w:t>4.3.1</w:t>
            </w:r>
          </w:p>
        </w:tc>
        <w:tc>
          <w:tcPr>
            <w:tcW w:w="1139" w:type="dxa"/>
            <w:shd w:val="clear" w:color="auto" w:fill="D9D9D9" w:themeFill="background1" w:themeFillShade="D9"/>
            <w:noWrap/>
          </w:tcPr>
          <w:p w14:paraId="3F033313" w14:textId="77777777" w:rsidR="005D2595" w:rsidRPr="0067507D" w:rsidRDefault="005D2595" w:rsidP="00FC3AF2">
            <w:pPr>
              <w:pStyle w:val="Tabletextright"/>
            </w:pPr>
            <w:r w:rsidRPr="0067507D">
              <w:t xml:space="preserve">12 994 216 </w:t>
            </w:r>
          </w:p>
        </w:tc>
        <w:tc>
          <w:tcPr>
            <w:tcW w:w="1139" w:type="dxa"/>
            <w:noWrap/>
          </w:tcPr>
          <w:p w14:paraId="78CB3C49" w14:textId="77777777" w:rsidR="005D2595" w:rsidRPr="0067507D" w:rsidRDefault="005D2595" w:rsidP="00FC3AF2">
            <w:pPr>
              <w:pStyle w:val="Tabletextright"/>
            </w:pPr>
            <w:r w:rsidRPr="0067507D">
              <w:t xml:space="preserve">11 935 630 </w:t>
            </w:r>
          </w:p>
        </w:tc>
        <w:tc>
          <w:tcPr>
            <w:tcW w:w="1139" w:type="dxa"/>
            <w:shd w:val="clear" w:color="auto" w:fill="E0E0E0"/>
            <w:noWrap/>
          </w:tcPr>
          <w:p w14:paraId="27D4BB4D" w14:textId="77777777" w:rsidR="005D2595" w:rsidRPr="0067507D" w:rsidRDefault="005D2595" w:rsidP="00FC3AF2">
            <w:pPr>
              <w:pStyle w:val="Tabletextright"/>
            </w:pPr>
            <w:r w:rsidRPr="0067507D">
              <w:t xml:space="preserve">24 096 963 </w:t>
            </w:r>
          </w:p>
        </w:tc>
        <w:tc>
          <w:tcPr>
            <w:tcW w:w="1139" w:type="dxa"/>
            <w:shd w:val="clear" w:color="auto" w:fill="FFFFFF" w:themeFill="background1"/>
            <w:noWrap/>
          </w:tcPr>
          <w:p w14:paraId="27223957" w14:textId="77777777" w:rsidR="005D2595" w:rsidRPr="0067507D" w:rsidRDefault="005D2595" w:rsidP="00FC3AF2">
            <w:pPr>
              <w:pStyle w:val="Tabletextright"/>
            </w:pPr>
            <w:r w:rsidRPr="0067507D">
              <w:t xml:space="preserve">20 162 007 </w:t>
            </w:r>
          </w:p>
        </w:tc>
      </w:tr>
      <w:tr w:rsidR="005D2595" w:rsidRPr="0067507D" w14:paraId="1F6F25FA" w14:textId="77777777" w:rsidTr="00FC3AF2">
        <w:trPr>
          <w:cantSplit/>
        </w:trPr>
        <w:tc>
          <w:tcPr>
            <w:tcW w:w="4590" w:type="dxa"/>
          </w:tcPr>
          <w:p w14:paraId="4A967F5C" w14:textId="77777777" w:rsidR="005D2595" w:rsidRPr="0067507D" w:rsidRDefault="005D2595" w:rsidP="00FC3AF2">
            <w:pPr>
              <w:pStyle w:val="Tabletext"/>
            </w:pPr>
            <w:r w:rsidRPr="0067507D">
              <w:t>Taxation income</w:t>
            </w:r>
          </w:p>
        </w:tc>
        <w:tc>
          <w:tcPr>
            <w:tcW w:w="792" w:type="dxa"/>
          </w:tcPr>
          <w:p w14:paraId="0AA0D4BA" w14:textId="77777777" w:rsidR="005D2595" w:rsidRPr="0067507D" w:rsidRDefault="005D2595" w:rsidP="00FC3AF2">
            <w:pPr>
              <w:pStyle w:val="Tabletextcentred"/>
            </w:pPr>
            <w:r w:rsidRPr="0067507D">
              <w:t>4.3.2</w:t>
            </w:r>
          </w:p>
        </w:tc>
        <w:tc>
          <w:tcPr>
            <w:tcW w:w="1139" w:type="dxa"/>
            <w:shd w:val="clear" w:color="auto" w:fill="D9D9D9" w:themeFill="background1" w:themeFillShade="D9"/>
            <w:noWrap/>
          </w:tcPr>
          <w:p w14:paraId="570D910D" w14:textId="77777777" w:rsidR="005D2595" w:rsidRPr="0067507D" w:rsidRDefault="005D2595" w:rsidP="00FC3AF2">
            <w:pPr>
              <w:pStyle w:val="Tabletextright"/>
            </w:pPr>
            <w:r w:rsidRPr="0067507D">
              <w:t xml:space="preserve">33 522 582 </w:t>
            </w:r>
          </w:p>
        </w:tc>
        <w:tc>
          <w:tcPr>
            <w:tcW w:w="1139" w:type="dxa"/>
            <w:noWrap/>
          </w:tcPr>
          <w:p w14:paraId="3E828361" w14:textId="77777777" w:rsidR="005D2595" w:rsidRPr="0067507D" w:rsidRDefault="005D2595" w:rsidP="00FC3AF2">
            <w:pPr>
              <w:pStyle w:val="Tabletextright"/>
            </w:pPr>
            <w:r w:rsidRPr="0067507D">
              <w:t xml:space="preserve">31 396 041 </w:t>
            </w:r>
          </w:p>
        </w:tc>
        <w:tc>
          <w:tcPr>
            <w:tcW w:w="1139" w:type="dxa"/>
            <w:shd w:val="clear" w:color="auto" w:fill="E0E0E0"/>
            <w:noWrap/>
          </w:tcPr>
          <w:p w14:paraId="2FF6EA0B" w14:textId="77777777" w:rsidR="005D2595" w:rsidRPr="0067507D" w:rsidRDefault="005D2595" w:rsidP="00FC3AF2">
            <w:pPr>
              <w:pStyle w:val="Tabletextright"/>
            </w:pPr>
            <w:r w:rsidRPr="0067507D">
              <w:t>–</w:t>
            </w:r>
          </w:p>
        </w:tc>
        <w:tc>
          <w:tcPr>
            <w:tcW w:w="1139" w:type="dxa"/>
            <w:shd w:val="clear" w:color="auto" w:fill="FFFFFF" w:themeFill="background1"/>
            <w:noWrap/>
          </w:tcPr>
          <w:p w14:paraId="2E7D7E9D" w14:textId="77777777" w:rsidR="005D2595" w:rsidRPr="0067507D" w:rsidRDefault="005D2595" w:rsidP="00FC3AF2">
            <w:pPr>
              <w:pStyle w:val="Tabletextright"/>
            </w:pPr>
            <w:r w:rsidRPr="0067507D">
              <w:t>–</w:t>
            </w:r>
          </w:p>
        </w:tc>
      </w:tr>
      <w:tr w:rsidR="005D2595" w:rsidRPr="0067507D" w14:paraId="06572286" w14:textId="77777777" w:rsidTr="00FC3AF2">
        <w:trPr>
          <w:cantSplit/>
        </w:trPr>
        <w:tc>
          <w:tcPr>
            <w:tcW w:w="4590" w:type="dxa"/>
          </w:tcPr>
          <w:p w14:paraId="0610B29A" w14:textId="77777777" w:rsidR="005D2595" w:rsidRPr="0067507D" w:rsidRDefault="005D2595" w:rsidP="00FC3AF2">
            <w:pPr>
              <w:pStyle w:val="Tabletext"/>
            </w:pPr>
            <w:r w:rsidRPr="0067507D">
              <w:t xml:space="preserve">Other income </w:t>
            </w:r>
            <w:r w:rsidRPr="0067507D">
              <w:rPr>
                <w:vertAlign w:val="superscript"/>
              </w:rPr>
              <w:t>(b)(d)</w:t>
            </w:r>
          </w:p>
        </w:tc>
        <w:tc>
          <w:tcPr>
            <w:tcW w:w="792" w:type="dxa"/>
          </w:tcPr>
          <w:p w14:paraId="49A07C10" w14:textId="77777777" w:rsidR="005D2595" w:rsidRPr="0067507D" w:rsidRDefault="005D2595" w:rsidP="00FC3AF2">
            <w:pPr>
              <w:pStyle w:val="Tabletextcentred"/>
            </w:pPr>
          </w:p>
        </w:tc>
        <w:tc>
          <w:tcPr>
            <w:tcW w:w="1139" w:type="dxa"/>
            <w:shd w:val="clear" w:color="auto" w:fill="D9D9D9" w:themeFill="background1" w:themeFillShade="D9"/>
            <w:noWrap/>
          </w:tcPr>
          <w:p w14:paraId="2CC43B8B" w14:textId="77777777" w:rsidR="005D2595" w:rsidRPr="0067507D" w:rsidRDefault="005D2595" w:rsidP="00FC3AF2">
            <w:pPr>
              <w:pStyle w:val="Tabletextright"/>
            </w:pPr>
            <w:r w:rsidRPr="0067507D">
              <w:t xml:space="preserve"> 250 384 </w:t>
            </w:r>
          </w:p>
        </w:tc>
        <w:tc>
          <w:tcPr>
            <w:tcW w:w="1139" w:type="dxa"/>
            <w:noWrap/>
          </w:tcPr>
          <w:p w14:paraId="7F2D1324" w14:textId="77777777" w:rsidR="005D2595" w:rsidRPr="0067507D" w:rsidRDefault="005D2595" w:rsidP="00FC3AF2">
            <w:pPr>
              <w:pStyle w:val="Tabletextright"/>
            </w:pPr>
            <w:r w:rsidRPr="0067507D">
              <w:t xml:space="preserve"> 184 384 </w:t>
            </w:r>
          </w:p>
        </w:tc>
        <w:tc>
          <w:tcPr>
            <w:tcW w:w="1139" w:type="dxa"/>
            <w:shd w:val="clear" w:color="auto" w:fill="E0E0E0"/>
            <w:noWrap/>
          </w:tcPr>
          <w:p w14:paraId="7F444F80" w14:textId="77777777" w:rsidR="005D2595" w:rsidRPr="0067507D" w:rsidRDefault="005D2595" w:rsidP="00FC3AF2">
            <w:pPr>
              <w:pStyle w:val="Tabletextright"/>
            </w:pPr>
            <w:r w:rsidRPr="0067507D">
              <w:t xml:space="preserve"> 4 806 </w:t>
            </w:r>
          </w:p>
        </w:tc>
        <w:tc>
          <w:tcPr>
            <w:tcW w:w="1139" w:type="dxa"/>
            <w:shd w:val="clear" w:color="auto" w:fill="FFFFFF" w:themeFill="background1"/>
            <w:noWrap/>
          </w:tcPr>
          <w:p w14:paraId="7AAAD26A" w14:textId="77777777" w:rsidR="005D2595" w:rsidRPr="0067507D" w:rsidRDefault="005D2595" w:rsidP="00FC3AF2">
            <w:pPr>
              <w:pStyle w:val="Tabletextright"/>
            </w:pPr>
            <w:r w:rsidRPr="0067507D">
              <w:t xml:space="preserve"> 28 290 </w:t>
            </w:r>
          </w:p>
        </w:tc>
      </w:tr>
      <w:tr w:rsidR="005D2595" w:rsidRPr="0067507D" w14:paraId="00DDD341" w14:textId="77777777" w:rsidTr="00FC3AF2">
        <w:trPr>
          <w:cantSplit/>
        </w:trPr>
        <w:tc>
          <w:tcPr>
            <w:tcW w:w="4590" w:type="dxa"/>
          </w:tcPr>
          <w:p w14:paraId="57D42573" w14:textId="77777777" w:rsidR="005D2595" w:rsidRPr="0067507D" w:rsidRDefault="005D2595" w:rsidP="00FC3AF2">
            <w:pPr>
              <w:pStyle w:val="Tabletext"/>
            </w:pPr>
            <w:r w:rsidRPr="0067507D">
              <w:t xml:space="preserve">State revenues received into Consolidated Fund, net of appropriations applied within government departments </w:t>
            </w:r>
            <w:r w:rsidRPr="0067507D">
              <w:rPr>
                <w:vertAlign w:val="superscript"/>
              </w:rPr>
              <w:t>(b)</w:t>
            </w:r>
          </w:p>
        </w:tc>
        <w:tc>
          <w:tcPr>
            <w:tcW w:w="792" w:type="dxa"/>
          </w:tcPr>
          <w:p w14:paraId="00ADA484" w14:textId="77777777" w:rsidR="005D2595" w:rsidRPr="0067507D" w:rsidRDefault="005D2595" w:rsidP="00FC3AF2">
            <w:pPr>
              <w:pStyle w:val="Tabletextcentred"/>
            </w:pPr>
          </w:p>
        </w:tc>
        <w:tc>
          <w:tcPr>
            <w:tcW w:w="1139" w:type="dxa"/>
            <w:shd w:val="clear" w:color="auto" w:fill="D9D9D9" w:themeFill="background1" w:themeFillShade="D9"/>
            <w:noWrap/>
          </w:tcPr>
          <w:p w14:paraId="208D1979" w14:textId="77777777" w:rsidR="005D2595" w:rsidRPr="0067507D" w:rsidRDefault="005D2595" w:rsidP="00FC3AF2">
            <w:pPr>
              <w:pStyle w:val="Tabletextright"/>
            </w:pPr>
            <w:r w:rsidRPr="0067507D">
              <w:t>–</w:t>
            </w:r>
          </w:p>
        </w:tc>
        <w:tc>
          <w:tcPr>
            <w:tcW w:w="1139" w:type="dxa"/>
            <w:noWrap/>
          </w:tcPr>
          <w:p w14:paraId="6016EF4D" w14:textId="77777777" w:rsidR="005D2595" w:rsidRPr="0067507D" w:rsidRDefault="005D2595" w:rsidP="00FC3AF2">
            <w:pPr>
              <w:pStyle w:val="Tabletextright"/>
            </w:pPr>
            <w:r w:rsidRPr="0067507D">
              <w:t>–</w:t>
            </w:r>
          </w:p>
        </w:tc>
        <w:tc>
          <w:tcPr>
            <w:tcW w:w="1139" w:type="dxa"/>
            <w:shd w:val="clear" w:color="auto" w:fill="E0E0E0"/>
            <w:noWrap/>
          </w:tcPr>
          <w:p w14:paraId="6AE75917" w14:textId="77777777" w:rsidR="005D2595" w:rsidRPr="0067507D" w:rsidRDefault="005D2595" w:rsidP="00FC3AF2">
            <w:pPr>
              <w:pStyle w:val="Tabletextright"/>
            </w:pPr>
            <w:r w:rsidRPr="0067507D">
              <w:t>–</w:t>
            </w:r>
          </w:p>
        </w:tc>
        <w:tc>
          <w:tcPr>
            <w:tcW w:w="1139" w:type="dxa"/>
            <w:shd w:val="clear" w:color="auto" w:fill="FFFFFF" w:themeFill="background1"/>
            <w:noWrap/>
          </w:tcPr>
          <w:p w14:paraId="4851B01B" w14:textId="77777777" w:rsidR="005D2595" w:rsidRPr="0067507D" w:rsidRDefault="005D2595" w:rsidP="00FC3AF2">
            <w:pPr>
              <w:pStyle w:val="Tabletextright"/>
            </w:pPr>
            <w:r w:rsidRPr="0067507D">
              <w:t>–</w:t>
            </w:r>
          </w:p>
        </w:tc>
      </w:tr>
      <w:tr w:rsidR="005D2595" w:rsidRPr="0067507D" w14:paraId="5E3C07F0" w14:textId="77777777" w:rsidTr="00FC3AF2">
        <w:trPr>
          <w:cantSplit/>
        </w:trPr>
        <w:tc>
          <w:tcPr>
            <w:tcW w:w="4590" w:type="dxa"/>
          </w:tcPr>
          <w:p w14:paraId="58FE171D" w14:textId="77777777" w:rsidR="005D2595" w:rsidRPr="0067507D" w:rsidRDefault="005D2595" w:rsidP="00FC3AF2">
            <w:pPr>
              <w:pStyle w:val="Tabletextbold"/>
              <w:rPr>
                <w:bCs/>
              </w:rPr>
            </w:pPr>
            <w:r w:rsidRPr="0067507D">
              <w:t>Total administered income from transactions</w:t>
            </w:r>
          </w:p>
        </w:tc>
        <w:tc>
          <w:tcPr>
            <w:tcW w:w="792" w:type="dxa"/>
          </w:tcPr>
          <w:p w14:paraId="26C99DB6" w14:textId="77777777" w:rsidR="005D2595" w:rsidRPr="0067507D" w:rsidRDefault="005D2595" w:rsidP="00FC3AF2">
            <w:pPr>
              <w:pStyle w:val="Tabletextcentred"/>
            </w:pPr>
          </w:p>
        </w:tc>
        <w:tc>
          <w:tcPr>
            <w:tcW w:w="1139" w:type="dxa"/>
            <w:shd w:val="clear" w:color="auto" w:fill="D9D9D9" w:themeFill="background1" w:themeFillShade="D9"/>
            <w:noWrap/>
          </w:tcPr>
          <w:p w14:paraId="1FB41CD2" w14:textId="77777777" w:rsidR="005D2595" w:rsidRPr="0067507D" w:rsidRDefault="005D2595" w:rsidP="00FC3AF2">
            <w:pPr>
              <w:pStyle w:val="Tabletextrightbold"/>
            </w:pPr>
            <w:r w:rsidRPr="0067507D">
              <w:t xml:space="preserve">47 624 202 </w:t>
            </w:r>
          </w:p>
        </w:tc>
        <w:tc>
          <w:tcPr>
            <w:tcW w:w="1139" w:type="dxa"/>
            <w:noWrap/>
          </w:tcPr>
          <w:p w14:paraId="5BC265A0" w14:textId="77777777" w:rsidR="005D2595" w:rsidRPr="0067507D" w:rsidRDefault="005D2595" w:rsidP="00FC3AF2">
            <w:pPr>
              <w:pStyle w:val="Tabletextrightbold"/>
            </w:pPr>
            <w:r w:rsidRPr="0067507D">
              <w:t xml:space="preserve">44 373 821 </w:t>
            </w:r>
          </w:p>
        </w:tc>
        <w:tc>
          <w:tcPr>
            <w:tcW w:w="1139" w:type="dxa"/>
            <w:shd w:val="clear" w:color="auto" w:fill="E0E0E0"/>
            <w:noWrap/>
          </w:tcPr>
          <w:p w14:paraId="4BC193F3" w14:textId="77777777" w:rsidR="005D2595" w:rsidRPr="0067507D" w:rsidRDefault="005D2595" w:rsidP="00FC3AF2">
            <w:pPr>
              <w:pStyle w:val="Tabletextrightbold"/>
            </w:pPr>
            <w:r w:rsidRPr="0067507D">
              <w:t xml:space="preserve">24 431 774 </w:t>
            </w:r>
          </w:p>
        </w:tc>
        <w:tc>
          <w:tcPr>
            <w:tcW w:w="1139" w:type="dxa"/>
            <w:shd w:val="clear" w:color="auto" w:fill="FFFFFF" w:themeFill="background1"/>
            <w:noWrap/>
          </w:tcPr>
          <w:p w14:paraId="5C55AF89" w14:textId="77777777" w:rsidR="005D2595" w:rsidRPr="0067507D" w:rsidRDefault="005D2595" w:rsidP="00FC3AF2">
            <w:pPr>
              <w:pStyle w:val="Tabletextrightbold"/>
            </w:pPr>
            <w:r w:rsidRPr="0067507D">
              <w:t xml:space="preserve">21 859 553 </w:t>
            </w:r>
          </w:p>
        </w:tc>
      </w:tr>
      <w:tr w:rsidR="005D2595" w:rsidRPr="0067507D" w14:paraId="0523A871" w14:textId="77777777" w:rsidTr="00FC3AF2">
        <w:trPr>
          <w:cantSplit/>
          <w:trHeight w:hRule="exact" w:val="58"/>
        </w:trPr>
        <w:tc>
          <w:tcPr>
            <w:tcW w:w="4590" w:type="dxa"/>
          </w:tcPr>
          <w:p w14:paraId="400974FA" w14:textId="77777777" w:rsidR="005D2595" w:rsidRPr="0067507D" w:rsidRDefault="005D2595" w:rsidP="00FC3AF2">
            <w:pPr>
              <w:pStyle w:val="Tabletext"/>
              <w:rPr>
                <w:sz w:val="10"/>
              </w:rPr>
            </w:pPr>
          </w:p>
        </w:tc>
        <w:tc>
          <w:tcPr>
            <w:tcW w:w="792" w:type="dxa"/>
          </w:tcPr>
          <w:p w14:paraId="45D97F26" w14:textId="77777777" w:rsidR="005D2595" w:rsidRPr="0067507D" w:rsidRDefault="005D2595" w:rsidP="00FC3AF2">
            <w:pPr>
              <w:pStyle w:val="Tabletextcentred"/>
            </w:pPr>
          </w:p>
        </w:tc>
        <w:tc>
          <w:tcPr>
            <w:tcW w:w="1139" w:type="dxa"/>
            <w:shd w:val="clear" w:color="auto" w:fill="D9D9D9" w:themeFill="background1" w:themeFillShade="D9"/>
            <w:noWrap/>
          </w:tcPr>
          <w:p w14:paraId="43EFB6F6" w14:textId="77777777" w:rsidR="005D2595" w:rsidRPr="0067507D" w:rsidRDefault="005D2595" w:rsidP="00FC3AF2">
            <w:pPr>
              <w:pStyle w:val="Tabletextrightbold"/>
            </w:pPr>
          </w:p>
        </w:tc>
        <w:tc>
          <w:tcPr>
            <w:tcW w:w="1139" w:type="dxa"/>
            <w:noWrap/>
          </w:tcPr>
          <w:p w14:paraId="5E4AD342" w14:textId="77777777" w:rsidR="005D2595" w:rsidRPr="0067507D" w:rsidRDefault="005D2595" w:rsidP="00FC3AF2">
            <w:pPr>
              <w:pStyle w:val="Tabletextrightbold"/>
            </w:pPr>
          </w:p>
        </w:tc>
        <w:tc>
          <w:tcPr>
            <w:tcW w:w="1139" w:type="dxa"/>
            <w:shd w:val="clear" w:color="auto" w:fill="E0E0E0"/>
            <w:noWrap/>
          </w:tcPr>
          <w:p w14:paraId="77976749" w14:textId="77777777" w:rsidR="005D2595" w:rsidRPr="0067507D" w:rsidRDefault="005D2595" w:rsidP="00FC3AF2">
            <w:pPr>
              <w:pStyle w:val="Tabletextrightbold"/>
            </w:pPr>
          </w:p>
        </w:tc>
        <w:tc>
          <w:tcPr>
            <w:tcW w:w="1139" w:type="dxa"/>
            <w:shd w:val="clear" w:color="auto" w:fill="FFFFFF" w:themeFill="background1"/>
            <w:noWrap/>
          </w:tcPr>
          <w:p w14:paraId="06625355" w14:textId="77777777" w:rsidR="005D2595" w:rsidRPr="0067507D" w:rsidRDefault="005D2595" w:rsidP="00FC3AF2">
            <w:pPr>
              <w:pStyle w:val="Tabletextrightbold"/>
            </w:pPr>
          </w:p>
        </w:tc>
      </w:tr>
      <w:tr w:rsidR="005D2595" w:rsidRPr="0067507D" w14:paraId="5C06AF56" w14:textId="77777777" w:rsidTr="00FC3AF2">
        <w:trPr>
          <w:cantSplit/>
        </w:trPr>
        <w:tc>
          <w:tcPr>
            <w:tcW w:w="4590" w:type="dxa"/>
          </w:tcPr>
          <w:p w14:paraId="4401B23F" w14:textId="77777777" w:rsidR="005D2595" w:rsidRPr="0067507D" w:rsidRDefault="005D2595" w:rsidP="00FC3AF2">
            <w:pPr>
              <w:pStyle w:val="Tabletextbold"/>
            </w:pPr>
            <w:r w:rsidRPr="0067507D">
              <w:t>Administered expenses from transactions</w:t>
            </w:r>
          </w:p>
        </w:tc>
        <w:tc>
          <w:tcPr>
            <w:tcW w:w="792" w:type="dxa"/>
          </w:tcPr>
          <w:p w14:paraId="101FE166" w14:textId="77777777" w:rsidR="005D2595" w:rsidRPr="0067507D" w:rsidRDefault="005D2595" w:rsidP="00FC3AF2">
            <w:pPr>
              <w:pStyle w:val="Tabletextcentred"/>
            </w:pPr>
          </w:p>
        </w:tc>
        <w:tc>
          <w:tcPr>
            <w:tcW w:w="1139" w:type="dxa"/>
            <w:shd w:val="clear" w:color="auto" w:fill="D9D9D9" w:themeFill="background1" w:themeFillShade="D9"/>
            <w:noWrap/>
          </w:tcPr>
          <w:p w14:paraId="3216B69C" w14:textId="77777777" w:rsidR="005D2595" w:rsidRPr="0067507D" w:rsidRDefault="005D2595" w:rsidP="00FC3AF2">
            <w:pPr>
              <w:pStyle w:val="Tabletextright"/>
            </w:pPr>
          </w:p>
        </w:tc>
        <w:tc>
          <w:tcPr>
            <w:tcW w:w="1139" w:type="dxa"/>
            <w:noWrap/>
          </w:tcPr>
          <w:p w14:paraId="2C684D20" w14:textId="77777777" w:rsidR="005D2595" w:rsidRPr="0067507D" w:rsidRDefault="005D2595" w:rsidP="00FC3AF2">
            <w:pPr>
              <w:pStyle w:val="Tabletextright"/>
            </w:pPr>
          </w:p>
        </w:tc>
        <w:tc>
          <w:tcPr>
            <w:tcW w:w="1139" w:type="dxa"/>
            <w:shd w:val="clear" w:color="auto" w:fill="E0E0E0"/>
            <w:noWrap/>
          </w:tcPr>
          <w:p w14:paraId="38637EEC" w14:textId="77777777" w:rsidR="005D2595" w:rsidRPr="0067507D" w:rsidRDefault="005D2595" w:rsidP="00FC3AF2">
            <w:pPr>
              <w:pStyle w:val="Tabletextright"/>
            </w:pPr>
          </w:p>
        </w:tc>
        <w:tc>
          <w:tcPr>
            <w:tcW w:w="1139" w:type="dxa"/>
            <w:shd w:val="clear" w:color="auto" w:fill="FFFFFF" w:themeFill="background1"/>
            <w:noWrap/>
          </w:tcPr>
          <w:p w14:paraId="5C08E359" w14:textId="77777777" w:rsidR="005D2595" w:rsidRPr="0067507D" w:rsidRDefault="005D2595" w:rsidP="00FC3AF2">
            <w:pPr>
              <w:pStyle w:val="Tabletextright"/>
            </w:pPr>
          </w:p>
        </w:tc>
      </w:tr>
      <w:tr w:rsidR="005D2595" w:rsidRPr="0067507D" w14:paraId="0BBF18A3" w14:textId="77777777" w:rsidTr="00FC3AF2">
        <w:trPr>
          <w:cantSplit/>
        </w:trPr>
        <w:tc>
          <w:tcPr>
            <w:tcW w:w="4590" w:type="dxa"/>
          </w:tcPr>
          <w:p w14:paraId="07816690" w14:textId="77777777" w:rsidR="005D2595" w:rsidRPr="0067507D" w:rsidRDefault="005D2595" w:rsidP="00FC3AF2">
            <w:pPr>
              <w:pStyle w:val="Tabletext"/>
            </w:pPr>
            <w:r w:rsidRPr="0067507D">
              <w:t>Payments to Consolidated Fund</w:t>
            </w:r>
          </w:p>
        </w:tc>
        <w:tc>
          <w:tcPr>
            <w:tcW w:w="792" w:type="dxa"/>
          </w:tcPr>
          <w:p w14:paraId="0A486082" w14:textId="77777777" w:rsidR="005D2595" w:rsidRPr="0067507D" w:rsidRDefault="005D2595" w:rsidP="00FC3AF2">
            <w:pPr>
              <w:pStyle w:val="Tabletextcentred"/>
            </w:pPr>
          </w:p>
        </w:tc>
        <w:tc>
          <w:tcPr>
            <w:tcW w:w="1139" w:type="dxa"/>
            <w:shd w:val="clear" w:color="auto" w:fill="D9D9D9" w:themeFill="background1" w:themeFillShade="D9"/>
            <w:noWrap/>
          </w:tcPr>
          <w:p w14:paraId="15AB0590" w14:textId="77777777" w:rsidR="005D2595" w:rsidRPr="0067507D" w:rsidRDefault="005D2595" w:rsidP="00FC3AF2">
            <w:pPr>
              <w:pStyle w:val="Tabletextright"/>
            </w:pPr>
            <w:r w:rsidRPr="0067507D">
              <w:t xml:space="preserve">(42 087 524) </w:t>
            </w:r>
          </w:p>
        </w:tc>
        <w:tc>
          <w:tcPr>
            <w:tcW w:w="1139" w:type="dxa"/>
            <w:noWrap/>
          </w:tcPr>
          <w:p w14:paraId="5D0130D7" w14:textId="77777777" w:rsidR="005D2595" w:rsidRPr="0067507D" w:rsidRDefault="005D2595" w:rsidP="00FC3AF2">
            <w:pPr>
              <w:pStyle w:val="Tabletextright"/>
            </w:pPr>
            <w:r w:rsidRPr="0067507D">
              <w:t xml:space="preserve">(37 504 178) </w:t>
            </w:r>
          </w:p>
        </w:tc>
        <w:tc>
          <w:tcPr>
            <w:tcW w:w="1139" w:type="dxa"/>
            <w:shd w:val="clear" w:color="auto" w:fill="E0E0E0"/>
            <w:noWrap/>
          </w:tcPr>
          <w:p w14:paraId="11BB858B" w14:textId="77777777" w:rsidR="005D2595" w:rsidRPr="0067507D" w:rsidRDefault="005D2595" w:rsidP="00FC3AF2">
            <w:pPr>
              <w:pStyle w:val="Tabletextright"/>
            </w:pPr>
            <w:r w:rsidRPr="0067507D">
              <w:t xml:space="preserve">(23 834 593) </w:t>
            </w:r>
          </w:p>
        </w:tc>
        <w:tc>
          <w:tcPr>
            <w:tcW w:w="1139" w:type="dxa"/>
            <w:shd w:val="clear" w:color="auto" w:fill="FFFFFF" w:themeFill="background1"/>
            <w:noWrap/>
          </w:tcPr>
          <w:p w14:paraId="61FEEC60" w14:textId="77777777" w:rsidR="005D2595" w:rsidRPr="0067507D" w:rsidRDefault="005D2595" w:rsidP="00FC3AF2">
            <w:pPr>
              <w:pStyle w:val="Tabletextright"/>
            </w:pPr>
            <w:r w:rsidRPr="0067507D">
              <w:t xml:space="preserve">(20 247 174) </w:t>
            </w:r>
          </w:p>
        </w:tc>
      </w:tr>
      <w:tr w:rsidR="005D2595" w:rsidRPr="0067507D" w14:paraId="51F0CEBC" w14:textId="77777777" w:rsidTr="00FC3AF2">
        <w:trPr>
          <w:cantSplit/>
        </w:trPr>
        <w:tc>
          <w:tcPr>
            <w:tcW w:w="4590" w:type="dxa"/>
          </w:tcPr>
          <w:p w14:paraId="3D20DF0F" w14:textId="77777777" w:rsidR="005D2595" w:rsidRPr="0067507D" w:rsidRDefault="005D2595" w:rsidP="00FC3AF2">
            <w:pPr>
              <w:pStyle w:val="Tabletext"/>
            </w:pPr>
            <w:r w:rsidRPr="0067507D">
              <w:t xml:space="preserve">Grant expense </w:t>
            </w:r>
            <w:r w:rsidRPr="0067507D">
              <w:rPr>
                <w:vertAlign w:val="superscript"/>
              </w:rPr>
              <w:t>(e)</w:t>
            </w:r>
          </w:p>
        </w:tc>
        <w:tc>
          <w:tcPr>
            <w:tcW w:w="792" w:type="dxa"/>
          </w:tcPr>
          <w:p w14:paraId="311A24FB" w14:textId="77777777" w:rsidR="005D2595" w:rsidRPr="0067507D" w:rsidRDefault="005D2595" w:rsidP="00FC3AF2">
            <w:pPr>
              <w:pStyle w:val="Tabletextcentred"/>
            </w:pPr>
          </w:p>
        </w:tc>
        <w:tc>
          <w:tcPr>
            <w:tcW w:w="1139" w:type="dxa"/>
            <w:shd w:val="clear" w:color="auto" w:fill="D9D9D9" w:themeFill="background1" w:themeFillShade="D9"/>
            <w:noWrap/>
          </w:tcPr>
          <w:p w14:paraId="5309858D" w14:textId="77777777" w:rsidR="005D2595" w:rsidRPr="0067507D" w:rsidRDefault="005D2595" w:rsidP="00FC3AF2">
            <w:pPr>
              <w:pStyle w:val="Tabletextright"/>
            </w:pPr>
            <w:r w:rsidRPr="0067507D">
              <w:t xml:space="preserve">(5 845 277) </w:t>
            </w:r>
          </w:p>
        </w:tc>
        <w:tc>
          <w:tcPr>
            <w:tcW w:w="1139" w:type="dxa"/>
            <w:noWrap/>
          </w:tcPr>
          <w:p w14:paraId="2F55604B" w14:textId="77777777" w:rsidR="005D2595" w:rsidRPr="0067507D" w:rsidRDefault="005D2595" w:rsidP="00FC3AF2">
            <w:pPr>
              <w:pStyle w:val="Tabletextright"/>
            </w:pPr>
            <w:r w:rsidRPr="0067507D">
              <w:t xml:space="preserve">(5 450 152) </w:t>
            </w:r>
          </w:p>
        </w:tc>
        <w:tc>
          <w:tcPr>
            <w:tcW w:w="1139" w:type="dxa"/>
            <w:shd w:val="clear" w:color="auto" w:fill="E0E0E0"/>
            <w:noWrap/>
          </w:tcPr>
          <w:p w14:paraId="795BF090" w14:textId="77777777" w:rsidR="005D2595" w:rsidRPr="0067507D" w:rsidRDefault="005D2595" w:rsidP="00FC3AF2">
            <w:pPr>
              <w:pStyle w:val="Tabletextright"/>
            </w:pPr>
            <w:r w:rsidRPr="0067507D">
              <w:t xml:space="preserve">(170 300) </w:t>
            </w:r>
          </w:p>
        </w:tc>
        <w:tc>
          <w:tcPr>
            <w:tcW w:w="1139" w:type="dxa"/>
            <w:shd w:val="clear" w:color="auto" w:fill="FFFFFF" w:themeFill="background1"/>
            <w:noWrap/>
          </w:tcPr>
          <w:p w14:paraId="5728C3EA" w14:textId="77777777" w:rsidR="005D2595" w:rsidRPr="0067507D" w:rsidRDefault="005D2595" w:rsidP="00FC3AF2">
            <w:pPr>
              <w:pStyle w:val="Tabletextright"/>
            </w:pPr>
            <w:r w:rsidRPr="0067507D">
              <w:t xml:space="preserve">(283 803) </w:t>
            </w:r>
          </w:p>
        </w:tc>
      </w:tr>
      <w:tr w:rsidR="005D2595" w:rsidRPr="0067507D" w14:paraId="7A8A39FA" w14:textId="77777777" w:rsidTr="00FC3AF2">
        <w:trPr>
          <w:cantSplit/>
        </w:trPr>
        <w:tc>
          <w:tcPr>
            <w:tcW w:w="4590" w:type="dxa"/>
          </w:tcPr>
          <w:p w14:paraId="1E37DD43" w14:textId="77777777" w:rsidR="005D2595" w:rsidRPr="0067507D" w:rsidRDefault="005D2595" w:rsidP="00FC3AF2">
            <w:pPr>
              <w:pStyle w:val="Tabletext"/>
            </w:pPr>
            <w:r w:rsidRPr="0067507D">
              <w:t>Interest expense</w:t>
            </w:r>
          </w:p>
        </w:tc>
        <w:tc>
          <w:tcPr>
            <w:tcW w:w="792" w:type="dxa"/>
          </w:tcPr>
          <w:p w14:paraId="60301A72" w14:textId="77777777" w:rsidR="005D2595" w:rsidRPr="0067507D" w:rsidRDefault="005D2595" w:rsidP="00FC3AF2">
            <w:pPr>
              <w:pStyle w:val="Tabletextcentred"/>
            </w:pPr>
          </w:p>
        </w:tc>
        <w:tc>
          <w:tcPr>
            <w:tcW w:w="1139" w:type="dxa"/>
            <w:shd w:val="clear" w:color="auto" w:fill="D9D9D9" w:themeFill="background1" w:themeFillShade="D9"/>
            <w:noWrap/>
          </w:tcPr>
          <w:p w14:paraId="30736FB7" w14:textId="77777777" w:rsidR="005D2595" w:rsidRPr="0067507D" w:rsidRDefault="005D2595" w:rsidP="00FC3AF2">
            <w:pPr>
              <w:pStyle w:val="Tabletextright"/>
            </w:pPr>
            <w:r w:rsidRPr="0067507D">
              <w:t xml:space="preserve">(2 361) </w:t>
            </w:r>
          </w:p>
        </w:tc>
        <w:tc>
          <w:tcPr>
            <w:tcW w:w="1139" w:type="dxa"/>
            <w:noWrap/>
          </w:tcPr>
          <w:p w14:paraId="57919353" w14:textId="77777777" w:rsidR="005D2595" w:rsidRPr="0067507D" w:rsidRDefault="005D2595" w:rsidP="00FC3AF2">
            <w:pPr>
              <w:pStyle w:val="Tabletextright"/>
            </w:pPr>
            <w:r w:rsidRPr="0067507D">
              <w:t xml:space="preserve">(938) </w:t>
            </w:r>
          </w:p>
        </w:tc>
        <w:tc>
          <w:tcPr>
            <w:tcW w:w="1139" w:type="dxa"/>
            <w:shd w:val="clear" w:color="auto" w:fill="E0E0E0"/>
            <w:noWrap/>
          </w:tcPr>
          <w:p w14:paraId="06CDBAD0" w14:textId="77777777" w:rsidR="005D2595" w:rsidRPr="0067507D" w:rsidRDefault="005D2595" w:rsidP="00FC3AF2">
            <w:pPr>
              <w:pStyle w:val="Tabletextright"/>
            </w:pPr>
            <w:r w:rsidRPr="0067507D">
              <w:t>–</w:t>
            </w:r>
          </w:p>
        </w:tc>
        <w:tc>
          <w:tcPr>
            <w:tcW w:w="1139" w:type="dxa"/>
            <w:shd w:val="clear" w:color="auto" w:fill="FFFFFF" w:themeFill="background1"/>
            <w:noWrap/>
          </w:tcPr>
          <w:p w14:paraId="1D846102" w14:textId="77777777" w:rsidR="005D2595" w:rsidRPr="0067507D" w:rsidRDefault="005D2595" w:rsidP="00FC3AF2">
            <w:pPr>
              <w:pStyle w:val="Tabletextright"/>
            </w:pPr>
            <w:r w:rsidRPr="0067507D">
              <w:t>–</w:t>
            </w:r>
          </w:p>
        </w:tc>
      </w:tr>
      <w:tr w:rsidR="005D2595" w:rsidRPr="0067507D" w14:paraId="2AEE75F6" w14:textId="77777777" w:rsidTr="00FC3AF2">
        <w:trPr>
          <w:cantSplit/>
        </w:trPr>
        <w:tc>
          <w:tcPr>
            <w:tcW w:w="4590" w:type="dxa"/>
          </w:tcPr>
          <w:p w14:paraId="23DF2B20" w14:textId="2C2661E6" w:rsidR="005D2595" w:rsidRPr="0067507D" w:rsidRDefault="005D2595" w:rsidP="00FC3AF2">
            <w:pPr>
              <w:pStyle w:val="Tabletext"/>
            </w:pPr>
            <w:r w:rsidRPr="0067507D">
              <w:t>Superannuation expense (non</w:t>
            </w:r>
            <w:r w:rsidR="006A5485">
              <w:noBreakHyphen/>
            </w:r>
            <w:r w:rsidRPr="0067507D">
              <w:t>departmental)</w:t>
            </w:r>
          </w:p>
        </w:tc>
        <w:tc>
          <w:tcPr>
            <w:tcW w:w="792" w:type="dxa"/>
          </w:tcPr>
          <w:p w14:paraId="4386357A" w14:textId="77777777" w:rsidR="005D2595" w:rsidRPr="0067507D" w:rsidRDefault="005D2595" w:rsidP="00FC3AF2">
            <w:pPr>
              <w:pStyle w:val="Tabletextcentred"/>
            </w:pPr>
          </w:p>
        </w:tc>
        <w:tc>
          <w:tcPr>
            <w:tcW w:w="1139" w:type="dxa"/>
            <w:shd w:val="clear" w:color="auto" w:fill="D9D9D9" w:themeFill="background1" w:themeFillShade="D9"/>
            <w:noWrap/>
          </w:tcPr>
          <w:p w14:paraId="0EBE74C5" w14:textId="77777777" w:rsidR="005D2595" w:rsidRPr="0067507D" w:rsidRDefault="005D2595" w:rsidP="00FC3AF2">
            <w:pPr>
              <w:pStyle w:val="Tabletextright"/>
            </w:pPr>
            <w:r w:rsidRPr="0067507D">
              <w:t>–</w:t>
            </w:r>
          </w:p>
        </w:tc>
        <w:tc>
          <w:tcPr>
            <w:tcW w:w="1139" w:type="dxa"/>
            <w:noWrap/>
          </w:tcPr>
          <w:p w14:paraId="3B926F2D" w14:textId="77777777" w:rsidR="005D2595" w:rsidRPr="0067507D" w:rsidRDefault="005D2595" w:rsidP="00FC3AF2">
            <w:pPr>
              <w:pStyle w:val="Tabletextright"/>
            </w:pPr>
            <w:r w:rsidRPr="0067507D">
              <w:t>–</w:t>
            </w:r>
          </w:p>
        </w:tc>
        <w:tc>
          <w:tcPr>
            <w:tcW w:w="1139" w:type="dxa"/>
            <w:shd w:val="clear" w:color="auto" w:fill="E0E0E0"/>
            <w:noWrap/>
          </w:tcPr>
          <w:p w14:paraId="7BBFE15E" w14:textId="77777777" w:rsidR="005D2595" w:rsidRPr="0067507D" w:rsidRDefault="005D2595" w:rsidP="00FC3AF2">
            <w:pPr>
              <w:pStyle w:val="Tabletextright"/>
            </w:pPr>
            <w:r w:rsidRPr="0067507D">
              <w:t>–</w:t>
            </w:r>
          </w:p>
        </w:tc>
        <w:tc>
          <w:tcPr>
            <w:tcW w:w="1139" w:type="dxa"/>
            <w:shd w:val="clear" w:color="auto" w:fill="FFFFFF" w:themeFill="background1"/>
            <w:noWrap/>
          </w:tcPr>
          <w:p w14:paraId="0B35D30E" w14:textId="77777777" w:rsidR="005D2595" w:rsidRPr="0067507D" w:rsidRDefault="005D2595" w:rsidP="00FC3AF2">
            <w:pPr>
              <w:pStyle w:val="Tabletextright"/>
            </w:pPr>
            <w:r w:rsidRPr="0067507D">
              <w:t>–</w:t>
            </w:r>
          </w:p>
        </w:tc>
      </w:tr>
      <w:tr w:rsidR="005D2595" w:rsidRPr="0067507D" w14:paraId="2F1EB5C2" w14:textId="77777777" w:rsidTr="00FC3AF2">
        <w:trPr>
          <w:cantSplit/>
        </w:trPr>
        <w:tc>
          <w:tcPr>
            <w:tcW w:w="4590" w:type="dxa"/>
          </w:tcPr>
          <w:p w14:paraId="193028D9" w14:textId="77777777" w:rsidR="005D2595" w:rsidRPr="0067507D" w:rsidRDefault="005D2595" w:rsidP="00FC3AF2">
            <w:pPr>
              <w:pStyle w:val="Tabletext"/>
            </w:pPr>
            <w:r w:rsidRPr="0067507D">
              <w:t xml:space="preserve">Other expenses </w:t>
            </w:r>
            <w:r w:rsidRPr="0067507D">
              <w:rPr>
                <w:vertAlign w:val="superscript"/>
              </w:rPr>
              <w:t>(f)</w:t>
            </w:r>
          </w:p>
        </w:tc>
        <w:tc>
          <w:tcPr>
            <w:tcW w:w="792" w:type="dxa"/>
          </w:tcPr>
          <w:p w14:paraId="679BD56F" w14:textId="77777777" w:rsidR="005D2595" w:rsidRPr="0067507D" w:rsidRDefault="005D2595" w:rsidP="00FC3AF2">
            <w:pPr>
              <w:pStyle w:val="Tabletextcentred"/>
            </w:pPr>
          </w:p>
        </w:tc>
        <w:tc>
          <w:tcPr>
            <w:tcW w:w="1139" w:type="dxa"/>
            <w:shd w:val="clear" w:color="auto" w:fill="D9D9D9" w:themeFill="background1" w:themeFillShade="D9"/>
            <w:noWrap/>
          </w:tcPr>
          <w:p w14:paraId="605803E6" w14:textId="77777777" w:rsidR="005D2595" w:rsidRPr="0067507D" w:rsidRDefault="005D2595" w:rsidP="00FC3AF2">
            <w:pPr>
              <w:pStyle w:val="Tabletextright"/>
            </w:pPr>
            <w:r w:rsidRPr="0067507D">
              <w:t xml:space="preserve">(80 324) </w:t>
            </w:r>
          </w:p>
        </w:tc>
        <w:tc>
          <w:tcPr>
            <w:tcW w:w="1139" w:type="dxa"/>
            <w:noWrap/>
          </w:tcPr>
          <w:p w14:paraId="2B9A8312" w14:textId="77777777" w:rsidR="005D2595" w:rsidRPr="0067507D" w:rsidRDefault="005D2595" w:rsidP="00FC3AF2">
            <w:pPr>
              <w:pStyle w:val="Tabletextright"/>
            </w:pPr>
            <w:r w:rsidRPr="0067507D">
              <w:t xml:space="preserve">(454 188) </w:t>
            </w:r>
          </w:p>
        </w:tc>
        <w:tc>
          <w:tcPr>
            <w:tcW w:w="1139" w:type="dxa"/>
            <w:shd w:val="clear" w:color="auto" w:fill="E0E0E0"/>
            <w:noWrap/>
          </w:tcPr>
          <w:p w14:paraId="61A30E52" w14:textId="77777777" w:rsidR="005D2595" w:rsidRPr="0067507D" w:rsidRDefault="005D2595" w:rsidP="00FC3AF2">
            <w:pPr>
              <w:pStyle w:val="Tabletextright"/>
            </w:pPr>
            <w:r w:rsidRPr="0067507D">
              <w:t xml:space="preserve">(158 983) </w:t>
            </w:r>
          </w:p>
        </w:tc>
        <w:tc>
          <w:tcPr>
            <w:tcW w:w="1139" w:type="dxa"/>
            <w:shd w:val="clear" w:color="auto" w:fill="FFFFFF" w:themeFill="background1"/>
            <w:noWrap/>
          </w:tcPr>
          <w:p w14:paraId="47695640" w14:textId="77777777" w:rsidR="005D2595" w:rsidRPr="0067507D" w:rsidRDefault="005D2595" w:rsidP="00FC3AF2">
            <w:pPr>
              <w:pStyle w:val="Tabletextright"/>
            </w:pPr>
            <w:r w:rsidRPr="0067507D">
              <w:t xml:space="preserve">(164 041) </w:t>
            </w:r>
          </w:p>
        </w:tc>
      </w:tr>
      <w:tr w:rsidR="005D2595" w:rsidRPr="0067507D" w14:paraId="026FC174" w14:textId="77777777" w:rsidTr="00FC3AF2">
        <w:trPr>
          <w:cantSplit/>
        </w:trPr>
        <w:tc>
          <w:tcPr>
            <w:tcW w:w="4590" w:type="dxa"/>
          </w:tcPr>
          <w:p w14:paraId="482FAB84" w14:textId="77777777" w:rsidR="005D2595" w:rsidRPr="0067507D" w:rsidRDefault="005D2595" w:rsidP="00FC3AF2">
            <w:pPr>
              <w:pStyle w:val="Tabletextbold"/>
              <w:rPr>
                <w:bCs/>
              </w:rPr>
            </w:pPr>
            <w:r w:rsidRPr="0067507D">
              <w:t>Total administered expenses from transactions</w:t>
            </w:r>
          </w:p>
        </w:tc>
        <w:tc>
          <w:tcPr>
            <w:tcW w:w="792" w:type="dxa"/>
          </w:tcPr>
          <w:p w14:paraId="67D3D133" w14:textId="77777777" w:rsidR="005D2595" w:rsidRPr="0067507D" w:rsidRDefault="005D2595" w:rsidP="00FC3AF2">
            <w:pPr>
              <w:pStyle w:val="Tabletextcentred"/>
            </w:pPr>
          </w:p>
        </w:tc>
        <w:tc>
          <w:tcPr>
            <w:tcW w:w="1139" w:type="dxa"/>
            <w:shd w:val="clear" w:color="auto" w:fill="D9D9D9" w:themeFill="background1" w:themeFillShade="D9"/>
            <w:noWrap/>
          </w:tcPr>
          <w:p w14:paraId="440D8118" w14:textId="77777777" w:rsidR="005D2595" w:rsidRPr="0067507D" w:rsidRDefault="005D2595" w:rsidP="00FC3AF2">
            <w:pPr>
              <w:pStyle w:val="Tabletextrightbold"/>
            </w:pPr>
            <w:r w:rsidRPr="0067507D">
              <w:t xml:space="preserve">(48 015 486) </w:t>
            </w:r>
          </w:p>
        </w:tc>
        <w:tc>
          <w:tcPr>
            <w:tcW w:w="1139" w:type="dxa"/>
            <w:noWrap/>
          </w:tcPr>
          <w:p w14:paraId="551E6151" w14:textId="77777777" w:rsidR="005D2595" w:rsidRPr="0067507D" w:rsidRDefault="005D2595" w:rsidP="00FC3AF2">
            <w:pPr>
              <w:pStyle w:val="Tabletextrightbold"/>
            </w:pPr>
            <w:r w:rsidRPr="0067507D">
              <w:t xml:space="preserve">(43 409 456) </w:t>
            </w:r>
          </w:p>
        </w:tc>
        <w:tc>
          <w:tcPr>
            <w:tcW w:w="1139" w:type="dxa"/>
            <w:shd w:val="clear" w:color="auto" w:fill="E0E0E0"/>
            <w:noWrap/>
          </w:tcPr>
          <w:p w14:paraId="098833F9" w14:textId="77777777" w:rsidR="005D2595" w:rsidRPr="0067507D" w:rsidRDefault="005D2595" w:rsidP="00FC3AF2">
            <w:pPr>
              <w:pStyle w:val="Tabletextrightbold"/>
            </w:pPr>
            <w:r w:rsidRPr="0067507D">
              <w:t xml:space="preserve">(24 163 876) </w:t>
            </w:r>
          </w:p>
        </w:tc>
        <w:tc>
          <w:tcPr>
            <w:tcW w:w="1139" w:type="dxa"/>
            <w:shd w:val="clear" w:color="auto" w:fill="FFFFFF" w:themeFill="background1"/>
            <w:noWrap/>
          </w:tcPr>
          <w:p w14:paraId="493E9F3D" w14:textId="77777777" w:rsidR="005D2595" w:rsidRPr="0067507D" w:rsidRDefault="005D2595" w:rsidP="00FC3AF2">
            <w:pPr>
              <w:pStyle w:val="Tabletextrightbold"/>
            </w:pPr>
            <w:r w:rsidRPr="0067507D">
              <w:t xml:space="preserve">(20 695 018) </w:t>
            </w:r>
          </w:p>
        </w:tc>
      </w:tr>
      <w:tr w:rsidR="005D2595" w:rsidRPr="0067507D" w14:paraId="3EEA563A" w14:textId="77777777" w:rsidTr="00FC3AF2">
        <w:trPr>
          <w:cantSplit/>
          <w:trHeight w:hRule="exact" w:val="58"/>
        </w:trPr>
        <w:tc>
          <w:tcPr>
            <w:tcW w:w="4590" w:type="dxa"/>
          </w:tcPr>
          <w:p w14:paraId="145D2DE6" w14:textId="77777777" w:rsidR="005D2595" w:rsidRPr="0067507D" w:rsidRDefault="005D2595" w:rsidP="00FC3AF2">
            <w:pPr>
              <w:pStyle w:val="Tabletext"/>
              <w:rPr>
                <w:sz w:val="10"/>
              </w:rPr>
            </w:pPr>
          </w:p>
        </w:tc>
        <w:tc>
          <w:tcPr>
            <w:tcW w:w="792" w:type="dxa"/>
          </w:tcPr>
          <w:p w14:paraId="55B69138" w14:textId="77777777" w:rsidR="005D2595" w:rsidRPr="0067507D" w:rsidRDefault="005D2595" w:rsidP="00FC3AF2">
            <w:pPr>
              <w:pStyle w:val="Tabletextcentred"/>
            </w:pPr>
          </w:p>
        </w:tc>
        <w:tc>
          <w:tcPr>
            <w:tcW w:w="1139" w:type="dxa"/>
            <w:shd w:val="clear" w:color="auto" w:fill="D9D9D9" w:themeFill="background1" w:themeFillShade="D9"/>
            <w:noWrap/>
          </w:tcPr>
          <w:p w14:paraId="57EDF8D2" w14:textId="77777777" w:rsidR="005D2595" w:rsidRPr="0067507D" w:rsidRDefault="005D2595" w:rsidP="00FC3AF2">
            <w:pPr>
              <w:jc w:val="right"/>
            </w:pPr>
          </w:p>
        </w:tc>
        <w:tc>
          <w:tcPr>
            <w:tcW w:w="1139" w:type="dxa"/>
            <w:noWrap/>
          </w:tcPr>
          <w:p w14:paraId="5F6F6435" w14:textId="77777777" w:rsidR="005D2595" w:rsidRPr="0067507D" w:rsidRDefault="005D2595" w:rsidP="00FC3AF2">
            <w:pPr>
              <w:jc w:val="right"/>
            </w:pPr>
          </w:p>
        </w:tc>
        <w:tc>
          <w:tcPr>
            <w:tcW w:w="1139" w:type="dxa"/>
            <w:shd w:val="clear" w:color="auto" w:fill="E0E0E0"/>
            <w:noWrap/>
          </w:tcPr>
          <w:p w14:paraId="4F642FE0" w14:textId="77777777" w:rsidR="005D2595" w:rsidRPr="0067507D" w:rsidRDefault="005D2595" w:rsidP="00FC3AF2">
            <w:pPr>
              <w:jc w:val="right"/>
            </w:pPr>
          </w:p>
        </w:tc>
        <w:tc>
          <w:tcPr>
            <w:tcW w:w="1139" w:type="dxa"/>
            <w:shd w:val="clear" w:color="auto" w:fill="FFFFFF" w:themeFill="background1"/>
            <w:noWrap/>
          </w:tcPr>
          <w:p w14:paraId="518D906C" w14:textId="77777777" w:rsidR="005D2595" w:rsidRPr="0067507D" w:rsidRDefault="005D2595" w:rsidP="00FC3AF2">
            <w:pPr>
              <w:jc w:val="right"/>
            </w:pPr>
          </w:p>
        </w:tc>
      </w:tr>
      <w:tr w:rsidR="005D2595" w:rsidRPr="0067507D" w14:paraId="331917C7" w14:textId="77777777" w:rsidTr="00FC3AF2">
        <w:trPr>
          <w:cantSplit/>
        </w:trPr>
        <w:tc>
          <w:tcPr>
            <w:tcW w:w="4590" w:type="dxa"/>
          </w:tcPr>
          <w:p w14:paraId="3EFAC47D" w14:textId="77777777" w:rsidR="005D2595" w:rsidRPr="0067507D" w:rsidRDefault="005D2595" w:rsidP="00FC3AF2">
            <w:pPr>
              <w:pStyle w:val="Tabletextbold"/>
            </w:pPr>
            <w:r w:rsidRPr="0067507D">
              <w:t>Administered net result from transactions</w:t>
            </w:r>
          </w:p>
        </w:tc>
        <w:tc>
          <w:tcPr>
            <w:tcW w:w="792" w:type="dxa"/>
          </w:tcPr>
          <w:p w14:paraId="3550CBF3" w14:textId="77777777" w:rsidR="005D2595" w:rsidRPr="0067507D" w:rsidRDefault="005D2595" w:rsidP="00FC3AF2">
            <w:pPr>
              <w:pStyle w:val="Tabletextcentred"/>
            </w:pPr>
          </w:p>
        </w:tc>
        <w:tc>
          <w:tcPr>
            <w:tcW w:w="1139" w:type="dxa"/>
            <w:shd w:val="clear" w:color="auto" w:fill="D9D9D9" w:themeFill="background1" w:themeFillShade="D9"/>
            <w:noWrap/>
          </w:tcPr>
          <w:p w14:paraId="77ACE943" w14:textId="77777777" w:rsidR="005D2595" w:rsidRPr="0067507D" w:rsidRDefault="005D2595" w:rsidP="00FC3AF2">
            <w:pPr>
              <w:pStyle w:val="Tabletextrightbold"/>
            </w:pPr>
            <w:r w:rsidRPr="0067507D">
              <w:t xml:space="preserve">(391 284) </w:t>
            </w:r>
          </w:p>
        </w:tc>
        <w:tc>
          <w:tcPr>
            <w:tcW w:w="1139" w:type="dxa"/>
            <w:noWrap/>
          </w:tcPr>
          <w:p w14:paraId="3F7DB430" w14:textId="77777777" w:rsidR="005D2595" w:rsidRPr="0067507D" w:rsidRDefault="005D2595" w:rsidP="00FC3AF2">
            <w:pPr>
              <w:pStyle w:val="Tabletextrightbold"/>
            </w:pPr>
            <w:r w:rsidRPr="0067507D">
              <w:t xml:space="preserve"> 964 365 </w:t>
            </w:r>
          </w:p>
        </w:tc>
        <w:tc>
          <w:tcPr>
            <w:tcW w:w="1139" w:type="dxa"/>
            <w:shd w:val="clear" w:color="auto" w:fill="E0E0E0"/>
            <w:noWrap/>
          </w:tcPr>
          <w:p w14:paraId="54767139" w14:textId="77777777" w:rsidR="005D2595" w:rsidRPr="0067507D" w:rsidRDefault="005D2595" w:rsidP="00FC3AF2">
            <w:pPr>
              <w:pStyle w:val="Tabletextrightbold"/>
            </w:pPr>
            <w:r w:rsidRPr="0067507D">
              <w:t xml:space="preserve"> 267 898 </w:t>
            </w:r>
          </w:p>
        </w:tc>
        <w:tc>
          <w:tcPr>
            <w:tcW w:w="1139" w:type="dxa"/>
            <w:shd w:val="clear" w:color="auto" w:fill="FFFFFF" w:themeFill="background1"/>
            <w:noWrap/>
          </w:tcPr>
          <w:p w14:paraId="5EE2851A" w14:textId="77777777" w:rsidR="005D2595" w:rsidRPr="0067507D" w:rsidRDefault="005D2595" w:rsidP="00FC3AF2">
            <w:pPr>
              <w:pStyle w:val="Tabletextrightbold"/>
            </w:pPr>
            <w:r w:rsidRPr="0067507D">
              <w:t xml:space="preserve">1 164 535 </w:t>
            </w:r>
          </w:p>
        </w:tc>
      </w:tr>
      <w:tr w:rsidR="005D2595" w:rsidRPr="0067507D" w14:paraId="6EA496C7" w14:textId="77777777" w:rsidTr="00FC3AF2">
        <w:trPr>
          <w:cantSplit/>
          <w:trHeight w:hRule="exact" w:val="58"/>
        </w:trPr>
        <w:tc>
          <w:tcPr>
            <w:tcW w:w="4590" w:type="dxa"/>
          </w:tcPr>
          <w:p w14:paraId="64B20542" w14:textId="77777777" w:rsidR="005D2595" w:rsidRPr="0067507D" w:rsidRDefault="005D2595" w:rsidP="00FC3AF2">
            <w:pPr>
              <w:pStyle w:val="Tabletext"/>
              <w:rPr>
                <w:sz w:val="10"/>
              </w:rPr>
            </w:pPr>
          </w:p>
        </w:tc>
        <w:tc>
          <w:tcPr>
            <w:tcW w:w="792" w:type="dxa"/>
          </w:tcPr>
          <w:p w14:paraId="1C809842" w14:textId="77777777" w:rsidR="005D2595" w:rsidRPr="0067507D" w:rsidRDefault="005D2595" w:rsidP="00FC3AF2">
            <w:pPr>
              <w:pStyle w:val="Tabletextcentred"/>
            </w:pPr>
          </w:p>
        </w:tc>
        <w:tc>
          <w:tcPr>
            <w:tcW w:w="1139" w:type="dxa"/>
            <w:shd w:val="clear" w:color="auto" w:fill="D9D9D9" w:themeFill="background1" w:themeFillShade="D9"/>
            <w:noWrap/>
          </w:tcPr>
          <w:p w14:paraId="0C5DE94E" w14:textId="77777777" w:rsidR="005D2595" w:rsidRPr="0067507D" w:rsidRDefault="005D2595" w:rsidP="00FC3AF2">
            <w:pPr>
              <w:jc w:val="right"/>
            </w:pPr>
          </w:p>
        </w:tc>
        <w:tc>
          <w:tcPr>
            <w:tcW w:w="1139" w:type="dxa"/>
            <w:noWrap/>
          </w:tcPr>
          <w:p w14:paraId="09CC1A33" w14:textId="77777777" w:rsidR="005D2595" w:rsidRPr="0067507D" w:rsidRDefault="005D2595" w:rsidP="00FC3AF2">
            <w:pPr>
              <w:jc w:val="right"/>
            </w:pPr>
          </w:p>
        </w:tc>
        <w:tc>
          <w:tcPr>
            <w:tcW w:w="1139" w:type="dxa"/>
            <w:shd w:val="clear" w:color="auto" w:fill="E0E0E0"/>
            <w:noWrap/>
          </w:tcPr>
          <w:p w14:paraId="7615C73A" w14:textId="77777777" w:rsidR="005D2595" w:rsidRPr="0067507D" w:rsidRDefault="005D2595" w:rsidP="00FC3AF2">
            <w:pPr>
              <w:jc w:val="right"/>
            </w:pPr>
          </w:p>
        </w:tc>
        <w:tc>
          <w:tcPr>
            <w:tcW w:w="1139" w:type="dxa"/>
            <w:shd w:val="clear" w:color="auto" w:fill="FFFFFF" w:themeFill="background1"/>
            <w:noWrap/>
          </w:tcPr>
          <w:p w14:paraId="3C88FED2" w14:textId="77777777" w:rsidR="005D2595" w:rsidRPr="0067507D" w:rsidRDefault="005D2595" w:rsidP="00FC3AF2">
            <w:pPr>
              <w:jc w:val="right"/>
            </w:pPr>
          </w:p>
        </w:tc>
      </w:tr>
      <w:tr w:rsidR="005D2595" w:rsidRPr="0067507D" w14:paraId="4AC8AE7F" w14:textId="77777777" w:rsidTr="00FC3AF2">
        <w:trPr>
          <w:cantSplit/>
        </w:trPr>
        <w:tc>
          <w:tcPr>
            <w:tcW w:w="4590" w:type="dxa"/>
          </w:tcPr>
          <w:p w14:paraId="3B393DFD" w14:textId="77777777" w:rsidR="005D2595" w:rsidRPr="0067507D" w:rsidRDefault="005D2595" w:rsidP="00FC3AF2">
            <w:pPr>
              <w:pStyle w:val="Tabletextbold"/>
              <w:rPr>
                <w:bCs/>
              </w:rPr>
            </w:pPr>
            <w:r w:rsidRPr="0067507D">
              <w:t>Other economic flows included in net result</w:t>
            </w:r>
          </w:p>
        </w:tc>
        <w:tc>
          <w:tcPr>
            <w:tcW w:w="792" w:type="dxa"/>
          </w:tcPr>
          <w:p w14:paraId="1E0BE9C1" w14:textId="77777777" w:rsidR="005D2595" w:rsidRPr="0067507D" w:rsidRDefault="005D2595" w:rsidP="00FC3AF2">
            <w:pPr>
              <w:pStyle w:val="Tabletextcentred"/>
            </w:pPr>
          </w:p>
        </w:tc>
        <w:tc>
          <w:tcPr>
            <w:tcW w:w="1139" w:type="dxa"/>
            <w:shd w:val="clear" w:color="auto" w:fill="D9D9D9" w:themeFill="background1" w:themeFillShade="D9"/>
            <w:noWrap/>
          </w:tcPr>
          <w:p w14:paraId="4A135898" w14:textId="77777777" w:rsidR="005D2595" w:rsidRPr="0067507D" w:rsidRDefault="005D2595" w:rsidP="00FC3AF2">
            <w:pPr>
              <w:pStyle w:val="Tabletextright"/>
            </w:pPr>
          </w:p>
        </w:tc>
        <w:tc>
          <w:tcPr>
            <w:tcW w:w="1139" w:type="dxa"/>
            <w:noWrap/>
          </w:tcPr>
          <w:p w14:paraId="633AA3FF" w14:textId="77777777" w:rsidR="005D2595" w:rsidRPr="0067507D" w:rsidRDefault="005D2595" w:rsidP="00FC3AF2">
            <w:pPr>
              <w:pStyle w:val="Tabletextright"/>
            </w:pPr>
          </w:p>
        </w:tc>
        <w:tc>
          <w:tcPr>
            <w:tcW w:w="1139" w:type="dxa"/>
            <w:shd w:val="clear" w:color="auto" w:fill="E0E0E0"/>
            <w:noWrap/>
          </w:tcPr>
          <w:p w14:paraId="5BB2533D" w14:textId="77777777" w:rsidR="005D2595" w:rsidRPr="0067507D" w:rsidRDefault="005D2595" w:rsidP="00FC3AF2">
            <w:pPr>
              <w:pStyle w:val="Tabletextright"/>
            </w:pPr>
          </w:p>
        </w:tc>
        <w:tc>
          <w:tcPr>
            <w:tcW w:w="1139" w:type="dxa"/>
            <w:shd w:val="clear" w:color="auto" w:fill="FFFFFF" w:themeFill="background1"/>
            <w:noWrap/>
          </w:tcPr>
          <w:p w14:paraId="633030B0" w14:textId="77777777" w:rsidR="005D2595" w:rsidRPr="0067507D" w:rsidRDefault="005D2595" w:rsidP="00FC3AF2">
            <w:pPr>
              <w:pStyle w:val="Tabletextright"/>
            </w:pPr>
          </w:p>
        </w:tc>
      </w:tr>
      <w:tr w:rsidR="005D2595" w:rsidRPr="0067507D" w14:paraId="242611E3" w14:textId="77777777" w:rsidTr="00FC3AF2">
        <w:trPr>
          <w:cantSplit/>
        </w:trPr>
        <w:tc>
          <w:tcPr>
            <w:tcW w:w="4590" w:type="dxa"/>
          </w:tcPr>
          <w:p w14:paraId="0FDB20D2" w14:textId="77777777" w:rsidR="005D2595" w:rsidRPr="0067507D" w:rsidRDefault="005D2595" w:rsidP="00FC3AF2">
            <w:pPr>
              <w:pStyle w:val="Tabletext"/>
            </w:pPr>
            <w:r w:rsidRPr="0067507D">
              <w:t>Net gain/(loss) on financial instruments</w:t>
            </w:r>
          </w:p>
        </w:tc>
        <w:tc>
          <w:tcPr>
            <w:tcW w:w="792" w:type="dxa"/>
          </w:tcPr>
          <w:p w14:paraId="6486D43B" w14:textId="77777777" w:rsidR="005D2595" w:rsidRPr="0067507D" w:rsidRDefault="005D2595" w:rsidP="00FC3AF2">
            <w:pPr>
              <w:pStyle w:val="Tabletextcentred"/>
            </w:pPr>
          </w:p>
        </w:tc>
        <w:tc>
          <w:tcPr>
            <w:tcW w:w="1139" w:type="dxa"/>
            <w:shd w:val="clear" w:color="auto" w:fill="D9D9D9" w:themeFill="background1" w:themeFillShade="D9"/>
            <w:noWrap/>
          </w:tcPr>
          <w:p w14:paraId="2388C143" w14:textId="77777777" w:rsidR="005D2595" w:rsidRPr="0067507D" w:rsidRDefault="005D2595" w:rsidP="00FC3AF2">
            <w:pPr>
              <w:pStyle w:val="Tabletextright"/>
            </w:pPr>
            <w:r w:rsidRPr="0067507D">
              <w:t xml:space="preserve">(117 205) </w:t>
            </w:r>
          </w:p>
        </w:tc>
        <w:tc>
          <w:tcPr>
            <w:tcW w:w="1139" w:type="dxa"/>
            <w:noWrap/>
          </w:tcPr>
          <w:p w14:paraId="506AFB69" w14:textId="77777777" w:rsidR="005D2595" w:rsidRPr="0067507D" w:rsidRDefault="005D2595" w:rsidP="00FC3AF2">
            <w:pPr>
              <w:pStyle w:val="Tabletextright"/>
            </w:pPr>
            <w:r w:rsidRPr="0067507D">
              <w:t xml:space="preserve">(107 315) </w:t>
            </w:r>
          </w:p>
        </w:tc>
        <w:tc>
          <w:tcPr>
            <w:tcW w:w="1139" w:type="dxa"/>
            <w:shd w:val="clear" w:color="auto" w:fill="E0E0E0"/>
            <w:noWrap/>
          </w:tcPr>
          <w:p w14:paraId="333BBD58" w14:textId="77777777" w:rsidR="005D2595" w:rsidRPr="0067507D" w:rsidRDefault="005D2595" w:rsidP="00FC3AF2">
            <w:pPr>
              <w:pStyle w:val="Tabletextright"/>
            </w:pPr>
            <w:r w:rsidRPr="0067507D">
              <w:t>–</w:t>
            </w:r>
          </w:p>
        </w:tc>
        <w:tc>
          <w:tcPr>
            <w:tcW w:w="1139" w:type="dxa"/>
            <w:shd w:val="clear" w:color="auto" w:fill="FFFFFF" w:themeFill="background1"/>
            <w:noWrap/>
          </w:tcPr>
          <w:p w14:paraId="15DB966A" w14:textId="77777777" w:rsidR="005D2595" w:rsidRPr="0067507D" w:rsidRDefault="005D2595" w:rsidP="00FC3AF2">
            <w:pPr>
              <w:pStyle w:val="Tabletextright"/>
            </w:pPr>
            <w:r w:rsidRPr="0067507D">
              <w:t xml:space="preserve"> 132 907 </w:t>
            </w:r>
          </w:p>
        </w:tc>
      </w:tr>
      <w:tr w:rsidR="005D2595" w:rsidRPr="0067507D" w14:paraId="3583AB4F" w14:textId="77777777" w:rsidTr="00FC3AF2">
        <w:trPr>
          <w:cantSplit/>
        </w:trPr>
        <w:tc>
          <w:tcPr>
            <w:tcW w:w="4590" w:type="dxa"/>
          </w:tcPr>
          <w:p w14:paraId="6388FFD7" w14:textId="77777777" w:rsidR="005D2595" w:rsidRPr="0067507D" w:rsidRDefault="005D2595" w:rsidP="00FC3AF2">
            <w:pPr>
              <w:pStyle w:val="Tabletextbold"/>
              <w:rPr>
                <w:bCs/>
              </w:rPr>
            </w:pPr>
            <w:r w:rsidRPr="0067507D">
              <w:t>Total other economic flows included in net result</w:t>
            </w:r>
          </w:p>
        </w:tc>
        <w:tc>
          <w:tcPr>
            <w:tcW w:w="792" w:type="dxa"/>
          </w:tcPr>
          <w:p w14:paraId="19CBB4CC" w14:textId="77777777" w:rsidR="005D2595" w:rsidRPr="0067507D" w:rsidRDefault="005D2595" w:rsidP="00FC3AF2">
            <w:pPr>
              <w:pStyle w:val="Tabletextcentred"/>
            </w:pPr>
          </w:p>
        </w:tc>
        <w:tc>
          <w:tcPr>
            <w:tcW w:w="1139" w:type="dxa"/>
            <w:shd w:val="clear" w:color="auto" w:fill="D9D9D9" w:themeFill="background1" w:themeFillShade="D9"/>
            <w:noWrap/>
          </w:tcPr>
          <w:p w14:paraId="36E3B9D8" w14:textId="77777777" w:rsidR="005D2595" w:rsidRPr="0067507D" w:rsidRDefault="005D2595" w:rsidP="00FC3AF2">
            <w:pPr>
              <w:pStyle w:val="Tabletextrightbold"/>
            </w:pPr>
            <w:r w:rsidRPr="0067507D">
              <w:t xml:space="preserve">(117 205) </w:t>
            </w:r>
          </w:p>
        </w:tc>
        <w:tc>
          <w:tcPr>
            <w:tcW w:w="1139" w:type="dxa"/>
            <w:noWrap/>
          </w:tcPr>
          <w:p w14:paraId="595D7519" w14:textId="77777777" w:rsidR="005D2595" w:rsidRPr="0067507D" w:rsidRDefault="005D2595" w:rsidP="00FC3AF2">
            <w:pPr>
              <w:pStyle w:val="Tabletextrightbold"/>
            </w:pPr>
            <w:r w:rsidRPr="0067507D">
              <w:t xml:space="preserve">(107 315) </w:t>
            </w:r>
          </w:p>
        </w:tc>
        <w:tc>
          <w:tcPr>
            <w:tcW w:w="1139" w:type="dxa"/>
            <w:shd w:val="clear" w:color="auto" w:fill="E0E0E0"/>
            <w:noWrap/>
          </w:tcPr>
          <w:p w14:paraId="716233EB" w14:textId="77777777" w:rsidR="005D2595" w:rsidRPr="0067507D" w:rsidRDefault="005D2595" w:rsidP="00FC3AF2">
            <w:pPr>
              <w:pStyle w:val="Tabletextrightbold"/>
            </w:pPr>
            <w:r w:rsidRPr="0067507D">
              <w:t>–</w:t>
            </w:r>
          </w:p>
        </w:tc>
        <w:tc>
          <w:tcPr>
            <w:tcW w:w="1139" w:type="dxa"/>
            <w:shd w:val="clear" w:color="auto" w:fill="FFFFFF" w:themeFill="background1"/>
            <w:noWrap/>
          </w:tcPr>
          <w:p w14:paraId="5F6EB787" w14:textId="77777777" w:rsidR="005D2595" w:rsidRPr="0067507D" w:rsidRDefault="005D2595" w:rsidP="00FC3AF2">
            <w:pPr>
              <w:pStyle w:val="Tabletextrightbold"/>
            </w:pPr>
            <w:r w:rsidRPr="0067507D">
              <w:t xml:space="preserve"> 132 907 </w:t>
            </w:r>
          </w:p>
        </w:tc>
      </w:tr>
      <w:tr w:rsidR="005D2595" w:rsidRPr="0067507D" w14:paraId="4A8AF2CD" w14:textId="77777777" w:rsidTr="00FC3AF2">
        <w:trPr>
          <w:cantSplit/>
          <w:trHeight w:hRule="exact" w:val="58"/>
        </w:trPr>
        <w:tc>
          <w:tcPr>
            <w:tcW w:w="4590" w:type="dxa"/>
          </w:tcPr>
          <w:p w14:paraId="174FB371" w14:textId="77777777" w:rsidR="005D2595" w:rsidRPr="0067507D" w:rsidRDefault="005D2595" w:rsidP="00FC3AF2">
            <w:pPr>
              <w:pStyle w:val="Tabletext"/>
              <w:rPr>
                <w:sz w:val="10"/>
              </w:rPr>
            </w:pPr>
          </w:p>
        </w:tc>
        <w:tc>
          <w:tcPr>
            <w:tcW w:w="792" w:type="dxa"/>
          </w:tcPr>
          <w:p w14:paraId="67A3C34D" w14:textId="77777777" w:rsidR="005D2595" w:rsidRPr="0067507D" w:rsidRDefault="005D2595" w:rsidP="00FC3AF2">
            <w:pPr>
              <w:pStyle w:val="Tabletextcentred"/>
            </w:pPr>
          </w:p>
        </w:tc>
        <w:tc>
          <w:tcPr>
            <w:tcW w:w="1139" w:type="dxa"/>
            <w:shd w:val="clear" w:color="auto" w:fill="D9D9D9" w:themeFill="background1" w:themeFillShade="D9"/>
            <w:noWrap/>
          </w:tcPr>
          <w:p w14:paraId="1088453B" w14:textId="77777777" w:rsidR="005D2595" w:rsidRPr="0067507D" w:rsidRDefault="005D2595" w:rsidP="00FC3AF2">
            <w:pPr>
              <w:pStyle w:val="Tabletextrightbold"/>
            </w:pPr>
          </w:p>
        </w:tc>
        <w:tc>
          <w:tcPr>
            <w:tcW w:w="1139" w:type="dxa"/>
            <w:noWrap/>
          </w:tcPr>
          <w:p w14:paraId="56D49D42" w14:textId="77777777" w:rsidR="005D2595" w:rsidRPr="0067507D" w:rsidRDefault="005D2595" w:rsidP="00FC3AF2">
            <w:pPr>
              <w:pStyle w:val="Tabletextrightbold"/>
            </w:pPr>
          </w:p>
        </w:tc>
        <w:tc>
          <w:tcPr>
            <w:tcW w:w="1139" w:type="dxa"/>
            <w:shd w:val="clear" w:color="auto" w:fill="E0E0E0"/>
            <w:noWrap/>
          </w:tcPr>
          <w:p w14:paraId="35A1C8FD" w14:textId="77777777" w:rsidR="005D2595" w:rsidRPr="0067507D" w:rsidRDefault="005D2595" w:rsidP="00FC3AF2">
            <w:pPr>
              <w:pStyle w:val="Tabletextrightbold"/>
            </w:pPr>
          </w:p>
        </w:tc>
        <w:tc>
          <w:tcPr>
            <w:tcW w:w="1139" w:type="dxa"/>
            <w:shd w:val="clear" w:color="auto" w:fill="FFFFFF" w:themeFill="background1"/>
            <w:noWrap/>
          </w:tcPr>
          <w:p w14:paraId="1AA86DDA" w14:textId="77777777" w:rsidR="005D2595" w:rsidRPr="0067507D" w:rsidRDefault="005D2595" w:rsidP="00FC3AF2">
            <w:pPr>
              <w:pStyle w:val="Tabletextrightbold"/>
            </w:pPr>
          </w:p>
        </w:tc>
      </w:tr>
      <w:tr w:rsidR="005D2595" w:rsidRPr="0067507D" w14:paraId="2CC9AA84" w14:textId="77777777" w:rsidTr="00FC3AF2">
        <w:trPr>
          <w:cantSplit/>
        </w:trPr>
        <w:tc>
          <w:tcPr>
            <w:tcW w:w="4590" w:type="dxa"/>
          </w:tcPr>
          <w:p w14:paraId="4F917B90" w14:textId="77777777" w:rsidR="005D2595" w:rsidRPr="0067507D" w:rsidRDefault="005D2595" w:rsidP="00FC3AF2">
            <w:pPr>
              <w:pStyle w:val="Tabletextbold"/>
              <w:rPr>
                <w:bCs/>
              </w:rPr>
            </w:pPr>
            <w:r w:rsidRPr="0067507D">
              <w:t>Administered net result</w:t>
            </w:r>
          </w:p>
        </w:tc>
        <w:tc>
          <w:tcPr>
            <w:tcW w:w="792" w:type="dxa"/>
          </w:tcPr>
          <w:p w14:paraId="1B3E1C08" w14:textId="77777777" w:rsidR="005D2595" w:rsidRPr="0067507D" w:rsidRDefault="005D2595" w:rsidP="00FC3AF2">
            <w:pPr>
              <w:pStyle w:val="Tabletextcentred"/>
            </w:pPr>
          </w:p>
        </w:tc>
        <w:tc>
          <w:tcPr>
            <w:tcW w:w="1139" w:type="dxa"/>
            <w:shd w:val="clear" w:color="auto" w:fill="D9D9D9" w:themeFill="background1" w:themeFillShade="D9"/>
            <w:noWrap/>
          </w:tcPr>
          <w:p w14:paraId="38C614C8" w14:textId="77777777" w:rsidR="005D2595" w:rsidRPr="0067507D" w:rsidRDefault="005D2595" w:rsidP="00FC3AF2">
            <w:pPr>
              <w:pStyle w:val="Tabletextrightbold"/>
            </w:pPr>
            <w:r w:rsidRPr="0067507D">
              <w:t xml:space="preserve">(508 489) </w:t>
            </w:r>
          </w:p>
        </w:tc>
        <w:tc>
          <w:tcPr>
            <w:tcW w:w="1139" w:type="dxa"/>
            <w:noWrap/>
          </w:tcPr>
          <w:p w14:paraId="22180723" w14:textId="77777777" w:rsidR="005D2595" w:rsidRPr="0067507D" w:rsidRDefault="005D2595" w:rsidP="00FC3AF2">
            <w:pPr>
              <w:pStyle w:val="Tabletextrightbold"/>
            </w:pPr>
            <w:r w:rsidRPr="0067507D">
              <w:t xml:space="preserve"> 857 050 </w:t>
            </w:r>
          </w:p>
        </w:tc>
        <w:tc>
          <w:tcPr>
            <w:tcW w:w="1139" w:type="dxa"/>
            <w:shd w:val="clear" w:color="auto" w:fill="E0E0E0"/>
            <w:noWrap/>
          </w:tcPr>
          <w:p w14:paraId="0ED69253" w14:textId="77777777" w:rsidR="005D2595" w:rsidRPr="0067507D" w:rsidRDefault="005D2595" w:rsidP="00FC3AF2">
            <w:pPr>
              <w:pStyle w:val="Tabletextrightbold"/>
            </w:pPr>
            <w:r w:rsidRPr="0067507D">
              <w:t xml:space="preserve"> 267 898 </w:t>
            </w:r>
          </w:p>
        </w:tc>
        <w:tc>
          <w:tcPr>
            <w:tcW w:w="1139" w:type="dxa"/>
            <w:shd w:val="clear" w:color="auto" w:fill="FFFFFF" w:themeFill="background1"/>
            <w:noWrap/>
          </w:tcPr>
          <w:p w14:paraId="58B82E00" w14:textId="77777777" w:rsidR="005D2595" w:rsidRPr="0067507D" w:rsidRDefault="005D2595" w:rsidP="00FC3AF2">
            <w:pPr>
              <w:pStyle w:val="Tabletextrightbold"/>
            </w:pPr>
            <w:r w:rsidRPr="0067507D">
              <w:t xml:space="preserve">1 297 442 </w:t>
            </w:r>
          </w:p>
        </w:tc>
      </w:tr>
      <w:tr w:rsidR="005D2595" w:rsidRPr="0067507D" w14:paraId="7628CBAA" w14:textId="77777777" w:rsidTr="00FC3AF2">
        <w:trPr>
          <w:cantSplit/>
          <w:trHeight w:hRule="exact" w:val="58"/>
        </w:trPr>
        <w:tc>
          <w:tcPr>
            <w:tcW w:w="4590" w:type="dxa"/>
          </w:tcPr>
          <w:p w14:paraId="4F9F4EBD" w14:textId="77777777" w:rsidR="005D2595" w:rsidRPr="0067507D" w:rsidRDefault="005D2595" w:rsidP="00FC3AF2">
            <w:pPr>
              <w:pStyle w:val="Tabletext"/>
              <w:rPr>
                <w:sz w:val="10"/>
              </w:rPr>
            </w:pPr>
          </w:p>
        </w:tc>
        <w:tc>
          <w:tcPr>
            <w:tcW w:w="792" w:type="dxa"/>
          </w:tcPr>
          <w:p w14:paraId="2D9C78C3" w14:textId="77777777" w:rsidR="005D2595" w:rsidRPr="0067507D" w:rsidRDefault="005D2595" w:rsidP="00FC3AF2">
            <w:pPr>
              <w:pStyle w:val="Tabletextcentred"/>
            </w:pPr>
          </w:p>
        </w:tc>
        <w:tc>
          <w:tcPr>
            <w:tcW w:w="1139" w:type="dxa"/>
            <w:shd w:val="clear" w:color="auto" w:fill="D9D9D9" w:themeFill="background1" w:themeFillShade="D9"/>
            <w:noWrap/>
          </w:tcPr>
          <w:p w14:paraId="66D18AFB" w14:textId="77777777" w:rsidR="005D2595" w:rsidRPr="0067507D" w:rsidRDefault="005D2595" w:rsidP="00FC3AF2">
            <w:pPr>
              <w:jc w:val="right"/>
            </w:pPr>
          </w:p>
        </w:tc>
        <w:tc>
          <w:tcPr>
            <w:tcW w:w="1139" w:type="dxa"/>
            <w:noWrap/>
          </w:tcPr>
          <w:p w14:paraId="0FCDBD97" w14:textId="77777777" w:rsidR="005D2595" w:rsidRPr="0067507D" w:rsidRDefault="005D2595" w:rsidP="00FC3AF2">
            <w:pPr>
              <w:jc w:val="right"/>
            </w:pPr>
          </w:p>
        </w:tc>
        <w:tc>
          <w:tcPr>
            <w:tcW w:w="1139" w:type="dxa"/>
            <w:shd w:val="clear" w:color="auto" w:fill="E0E0E0"/>
            <w:noWrap/>
          </w:tcPr>
          <w:p w14:paraId="62EF0DBD" w14:textId="77777777" w:rsidR="005D2595" w:rsidRPr="0067507D" w:rsidRDefault="005D2595" w:rsidP="00FC3AF2">
            <w:pPr>
              <w:jc w:val="right"/>
            </w:pPr>
          </w:p>
        </w:tc>
        <w:tc>
          <w:tcPr>
            <w:tcW w:w="1139" w:type="dxa"/>
            <w:shd w:val="clear" w:color="auto" w:fill="FFFFFF" w:themeFill="background1"/>
            <w:noWrap/>
          </w:tcPr>
          <w:p w14:paraId="07EEFB3B" w14:textId="77777777" w:rsidR="005D2595" w:rsidRPr="0067507D" w:rsidRDefault="005D2595" w:rsidP="00FC3AF2">
            <w:pPr>
              <w:jc w:val="right"/>
            </w:pPr>
          </w:p>
        </w:tc>
      </w:tr>
      <w:tr w:rsidR="005D2595" w:rsidRPr="0067507D" w14:paraId="280FAE34" w14:textId="77777777" w:rsidTr="00FC3AF2">
        <w:trPr>
          <w:cantSplit/>
        </w:trPr>
        <w:tc>
          <w:tcPr>
            <w:tcW w:w="4590" w:type="dxa"/>
          </w:tcPr>
          <w:p w14:paraId="161A32AB" w14:textId="77777777" w:rsidR="005D2595" w:rsidRPr="0067507D" w:rsidRDefault="005D2595" w:rsidP="00FC3AF2">
            <w:pPr>
              <w:pStyle w:val="Tabletextbold"/>
              <w:rPr>
                <w:bCs/>
              </w:rPr>
            </w:pPr>
            <w:r w:rsidRPr="0067507D">
              <w:t>Other economic flows – other comprehensive income</w:t>
            </w:r>
          </w:p>
        </w:tc>
        <w:tc>
          <w:tcPr>
            <w:tcW w:w="792" w:type="dxa"/>
          </w:tcPr>
          <w:p w14:paraId="061691FB" w14:textId="77777777" w:rsidR="005D2595" w:rsidRPr="0067507D" w:rsidRDefault="005D2595" w:rsidP="00FC3AF2">
            <w:pPr>
              <w:pStyle w:val="Tabletextcentred"/>
            </w:pPr>
          </w:p>
        </w:tc>
        <w:tc>
          <w:tcPr>
            <w:tcW w:w="1139" w:type="dxa"/>
            <w:shd w:val="clear" w:color="auto" w:fill="D9D9D9" w:themeFill="background1" w:themeFillShade="D9"/>
            <w:noWrap/>
          </w:tcPr>
          <w:p w14:paraId="2AEB0514" w14:textId="77777777" w:rsidR="005D2595" w:rsidRPr="0067507D" w:rsidRDefault="005D2595" w:rsidP="00FC3AF2">
            <w:pPr>
              <w:pStyle w:val="Tabletextright"/>
            </w:pPr>
          </w:p>
        </w:tc>
        <w:tc>
          <w:tcPr>
            <w:tcW w:w="1139" w:type="dxa"/>
            <w:noWrap/>
          </w:tcPr>
          <w:p w14:paraId="152EA144" w14:textId="77777777" w:rsidR="005D2595" w:rsidRPr="0067507D" w:rsidRDefault="005D2595" w:rsidP="00FC3AF2">
            <w:pPr>
              <w:pStyle w:val="Tabletextright"/>
            </w:pPr>
          </w:p>
        </w:tc>
        <w:tc>
          <w:tcPr>
            <w:tcW w:w="1139" w:type="dxa"/>
            <w:shd w:val="clear" w:color="auto" w:fill="E0E0E0"/>
            <w:noWrap/>
          </w:tcPr>
          <w:p w14:paraId="38ED6EBE" w14:textId="77777777" w:rsidR="005D2595" w:rsidRPr="0067507D" w:rsidRDefault="005D2595" w:rsidP="00FC3AF2">
            <w:pPr>
              <w:pStyle w:val="Tabletextright"/>
            </w:pPr>
          </w:p>
        </w:tc>
        <w:tc>
          <w:tcPr>
            <w:tcW w:w="1139" w:type="dxa"/>
            <w:shd w:val="clear" w:color="auto" w:fill="FFFFFF" w:themeFill="background1"/>
            <w:noWrap/>
          </w:tcPr>
          <w:p w14:paraId="07BE3BFB" w14:textId="77777777" w:rsidR="005D2595" w:rsidRPr="0067507D" w:rsidRDefault="005D2595" w:rsidP="00FC3AF2">
            <w:pPr>
              <w:pStyle w:val="Tabletextright"/>
            </w:pPr>
          </w:p>
        </w:tc>
      </w:tr>
      <w:tr w:rsidR="005D2595" w:rsidRPr="0067507D" w14:paraId="139BAA30" w14:textId="77777777" w:rsidTr="00FC3AF2">
        <w:trPr>
          <w:cantSplit/>
        </w:trPr>
        <w:tc>
          <w:tcPr>
            <w:tcW w:w="4590" w:type="dxa"/>
          </w:tcPr>
          <w:p w14:paraId="7C9AC632" w14:textId="77777777" w:rsidR="005D2595" w:rsidRPr="0067507D" w:rsidRDefault="005D2595" w:rsidP="00FC3AF2">
            <w:pPr>
              <w:pStyle w:val="Tabletextbold"/>
            </w:pPr>
            <w:r w:rsidRPr="0067507D">
              <w:t>Items that will not be reclassified to net result</w:t>
            </w:r>
          </w:p>
        </w:tc>
        <w:tc>
          <w:tcPr>
            <w:tcW w:w="792" w:type="dxa"/>
          </w:tcPr>
          <w:p w14:paraId="58B26D0A" w14:textId="77777777" w:rsidR="005D2595" w:rsidRPr="0067507D" w:rsidRDefault="005D2595" w:rsidP="00FC3AF2">
            <w:pPr>
              <w:pStyle w:val="Tabletextcentred"/>
            </w:pPr>
          </w:p>
        </w:tc>
        <w:tc>
          <w:tcPr>
            <w:tcW w:w="1139" w:type="dxa"/>
            <w:shd w:val="clear" w:color="auto" w:fill="D9D9D9" w:themeFill="background1" w:themeFillShade="D9"/>
            <w:noWrap/>
          </w:tcPr>
          <w:p w14:paraId="500E02A8" w14:textId="77777777" w:rsidR="005D2595" w:rsidRPr="0067507D" w:rsidRDefault="005D2595" w:rsidP="00FC3AF2">
            <w:pPr>
              <w:pStyle w:val="Tabletextright"/>
            </w:pPr>
          </w:p>
        </w:tc>
        <w:tc>
          <w:tcPr>
            <w:tcW w:w="1139" w:type="dxa"/>
            <w:noWrap/>
          </w:tcPr>
          <w:p w14:paraId="4488C1B2" w14:textId="77777777" w:rsidR="005D2595" w:rsidRPr="0067507D" w:rsidRDefault="005D2595" w:rsidP="00FC3AF2">
            <w:pPr>
              <w:pStyle w:val="Tabletextright"/>
            </w:pPr>
          </w:p>
        </w:tc>
        <w:tc>
          <w:tcPr>
            <w:tcW w:w="1139" w:type="dxa"/>
            <w:shd w:val="clear" w:color="auto" w:fill="E0E0E0"/>
            <w:noWrap/>
          </w:tcPr>
          <w:p w14:paraId="4D7B9B43" w14:textId="77777777" w:rsidR="005D2595" w:rsidRPr="0067507D" w:rsidRDefault="005D2595" w:rsidP="00FC3AF2">
            <w:pPr>
              <w:pStyle w:val="Tabletextright"/>
            </w:pPr>
          </w:p>
        </w:tc>
        <w:tc>
          <w:tcPr>
            <w:tcW w:w="1139" w:type="dxa"/>
            <w:shd w:val="clear" w:color="auto" w:fill="FFFFFF" w:themeFill="background1"/>
            <w:noWrap/>
          </w:tcPr>
          <w:p w14:paraId="1A002BC3" w14:textId="77777777" w:rsidR="005D2595" w:rsidRPr="0067507D" w:rsidRDefault="005D2595" w:rsidP="00FC3AF2">
            <w:pPr>
              <w:pStyle w:val="Tabletextright"/>
            </w:pPr>
          </w:p>
        </w:tc>
      </w:tr>
      <w:tr w:rsidR="005D2595" w:rsidRPr="0067507D" w14:paraId="646AE65E" w14:textId="77777777" w:rsidTr="00FC3AF2">
        <w:trPr>
          <w:cantSplit/>
        </w:trPr>
        <w:tc>
          <w:tcPr>
            <w:tcW w:w="4590" w:type="dxa"/>
          </w:tcPr>
          <w:p w14:paraId="55DCBED0" w14:textId="77777777" w:rsidR="005D2595" w:rsidRPr="0067507D" w:rsidRDefault="005D2595" w:rsidP="00FC3AF2">
            <w:pPr>
              <w:pStyle w:val="Tabletext"/>
            </w:pPr>
            <w:r w:rsidRPr="0067507D">
              <w:t>Remeasurement of superannuation defined benefit plans</w:t>
            </w:r>
          </w:p>
        </w:tc>
        <w:tc>
          <w:tcPr>
            <w:tcW w:w="792" w:type="dxa"/>
          </w:tcPr>
          <w:p w14:paraId="1091276E" w14:textId="77777777" w:rsidR="005D2595" w:rsidRPr="0067507D" w:rsidRDefault="005D2595" w:rsidP="00FC3AF2">
            <w:pPr>
              <w:pStyle w:val="Tabletextcentred"/>
            </w:pPr>
          </w:p>
        </w:tc>
        <w:tc>
          <w:tcPr>
            <w:tcW w:w="1139" w:type="dxa"/>
            <w:shd w:val="clear" w:color="auto" w:fill="D9D9D9" w:themeFill="background1" w:themeFillShade="D9"/>
            <w:noWrap/>
          </w:tcPr>
          <w:p w14:paraId="2BA24FB9" w14:textId="77777777" w:rsidR="005D2595" w:rsidRPr="0067507D" w:rsidRDefault="005D2595" w:rsidP="00FC3AF2">
            <w:pPr>
              <w:pStyle w:val="Tabletextright"/>
            </w:pPr>
            <w:r w:rsidRPr="0067507D">
              <w:t>–</w:t>
            </w:r>
          </w:p>
        </w:tc>
        <w:tc>
          <w:tcPr>
            <w:tcW w:w="1139" w:type="dxa"/>
            <w:noWrap/>
          </w:tcPr>
          <w:p w14:paraId="0CD93EDB" w14:textId="77777777" w:rsidR="005D2595" w:rsidRPr="0067507D" w:rsidRDefault="005D2595" w:rsidP="00FC3AF2">
            <w:pPr>
              <w:pStyle w:val="Tabletextright"/>
            </w:pPr>
            <w:r w:rsidRPr="0067507D">
              <w:t>–</w:t>
            </w:r>
          </w:p>
        </w:tc>
        <w:tc>
          <w:tcPr>
            <w:tcW w:w="1139" w:type="dxa"/>
            <w:shd w:val="clear" w:color="auto" w:fill="E0E0E0"/>
            <w:noWrap/>
          </w:tcPr>
          <w:p w14:paraId="054D1873" w14:textId="77777777" w:rsidR="005D2595" w:rsidRPr="0067507D" w:rsidRDefault="005D2595" w:rsidP="00FC3AF2">
            <w:pPr>
              <w:pStyle w:val="Tabletextright"/>
            </w:pPr>
            <w:r w:rsidRPr="0067507D">
              <w:t>–</w:t>
            </w:r>
          </w:p>
        </w:tc>
        <w:tc>
          <w:tcPr>
            <w:tcW w:w="1139" w:type="dxa"/>
            <w:shd w:val="clear" w:color="auto" w:fill="FFFFFF" w:themeFill="background1"/>
            <w:noWrap/>
          </w:tcPr>
          <w:p w14:paraId="79AFB2CA" w14:textId="77777777" w:rsidR="005D2595" w:rsidRPr="0067507D" w:rsidRDefault="005D2595" w:rsidP="00FC3AF2">
            <w:pPr>
              <w:pStyle w:val="Tabletextright"/>
            </w:pPr>
            <w:r w:rsidRPr="0067507D">
              <w:t>–</w:t>
            </w:r>
          </w:p>
        </w:tc>
      </w:tr>
      <w:tr w:rsidR="005D2595" w:rsidRPr="0067507D" w14:paraId="645EB7E8" w14:textId="77777777" w:rsidTr="00FC3AF2">
        <w:trPr>
          <w:cantSplit/>
        </w:trPr>
        <w:tc>
          <w:tcPr>
            <w:tcW w:w="4590" w:type="dxa"/>
          </w:tcPr>
          <w:p w14:paraId="74148F11" w14:textId="77777777" w:rsidR="005D2595" w:rsidRPr="0067507D" w:rsidRDefault="005D2595" w:rsidP="00FC3AF2">
            <w:pPr>
              <w:pStyle w:val="Tabletextbold"/>
            </w:pPr>
            <w:r w:rsidRPr="0067507D">
              <w:t>Total other economic flows – other comprehensive income</w:t>
            </w:r>
          </w:p>
        </w:tc>
        <w:tc>
          <w:tcPr>
            <w:tcW w:w="792" w:type="dxa"/>
          </w:tcPr>
          <w:p w14:paraId="53C18718" w14:textId="77777777" w:rsidR="005D2595" w:rsidRPr="0067507D" w:rsidRDefault="005D2595" w:rsidP="00FC3AF2">
            <w:pPr>
              <w:pStyle w:val="Tabletextcentred"/>
            </w:pPr>
          </w:p>
        </w:tc>
        <w:tc>
          <w:tcPr>
            <w:tcW w:w="1139" w:type="dxa"/>
            <w:shd w:val="clear" w:color="auto" w:fill="D9D9D9" w:themeFill="background1" w:themeFillShade="D9"/>
            <w:noWrap/>
          </w:tcPr>
          <w:p w14:paraId="426890BD" w14:textId="77777777" w:rsidR="005D2595" w:rsidRPr="0067507D" w:rsidRDefault="005D2595" w:rsidP="00FC3AF2">
            <w:pPr>
              <w:pStyle w:val="Tabletextrightbold"/>
              <w:rPr>
                <w:highlight w:val="yellow"/>
              </w:rPr>
            </w:pPr>
            <w:r w:rsidRPr="0067507D">
              <w:t>–</w:t>
            </w:r>
          </w:p>
        </w:tc>
        <w:tc>
          <w:tcPr>
            <w:tcW w:w="1139" w:type="dxa"/>
            <w:noWrap/>
          </w:tcPr>
          <w:p w14:paraId="40858784" w14:textId="77777777" w:rsidR="005D2595" w:rsidRPr="0067507D" w:rsidRDefault="005D2595" w:rsidP="00FC3AF2">
            <w:pPr>
              <w:pStyle w:val="Tabletextrightbold"/>
              <w:rPr>
                <w:highlight w:val="yellow"/>
              </w:rPr>
            </w:pPr>
            <w:r w:rsidRPr="0067507D">
              <w:t>–</w:t>
            </w:r>
          </w:p>
        </w:tc>
        <w:tc>
          <w:tcPr>
            <w:tcW w:w="1139" w:type="dxa"/>
            <w:shd w:val="clear" w:color="auto" w:fill="E0E0E0"/>
            <w:noWrap/>
          </w:tcPr>
          <w:p w14:paraId="5DAC9929" w14:textId="77777777" w:rsidR="005D2595" w:rsidRPr="0067507D" w:rsidRDefault="005D2595" w:rsidP="00FC3AF2">
            <w:pPr>
              <w:pStyle w:val="Tabletextrightbold"/>
            </w:pPr>
            <w:r w:rsidRPr="0067507D">
              <w:t>–</w:t>
            </w:r>
          </w:p>
        </w:tc>
        <w:tc>
          <w:tcPr>
            <w:tcW w:w="1139" w:type="dxa"/>
            <w:shd w:val="clear" w:color="auto" w:fill="FFFFFF" w:themeFill="background1"/>
            <w:noWrap/>
          </w:tcPr>
          <w:p w14:paraId="417C9B4D" w14:textId="77777777" w:rsidR="005D2595" w:rsidRPr="0067507D" w:rsidRDefault="005D2595" w:rsidP="00FC3AF2">
            <w:pPr>
              <w:pStyle w:val="Tabletextrightbold"/>
            </w:pPr>
            <w:r w:rsidRPr="0067507D">
              <w:t>–</w:t>
            </w:r>
          </w:p>
        </w:tc>
      </w:tr>
      <w:tr w:rsidR="005D2595" w:rsidRPr="0067507D" w14:paraId="770CF73C" w14:textId="77777777" w:rsidTr="00FC3AF2">
        <w:trPr>
          <w:cantSplit/>
        </w:trPr>
        <w:tc>
          <w:tcPr>
            <w:tcW w:w="4590" w:type="dxa"/>
          </w:tcPr>
          <w:p w14:paraId="20C21E71" w14:textId="77777777" w:rsidR="005D2595" w:rsidRPr="0067507D" w:rsidRDefault="005D2595" w:rsidP="00FC3AF2">
            <w:pPr>
              <w:pStyle w:val="Tabletextbold"/>
              <w:rPr>
                <w:bCs/>
              </w:rPr>
            </w:pPr>
            <w:r w:rsidRPr="0067507D">
              <w:t>Administered comprehensive result</w:t>
            </w:r>
          </w:p>
        </w:tc>
        <w:tc>
          <w:tcPr>
            <w:tcW w:w="792" w:type="dxa"/>
          </w:tcPr>
          <w:p w14:paraId="5216A2C0" w14:textId="77777777" w:rsidR="005D2595" w:rsidRPr="0067507D" w:rsidRDefault="005D2595" w:rsidP="00FC3AF2">
            <w:pPr>
              <w:pStyle w:val="Tabletextcentred"/>
            </w:pPr>
          </w:p>
        </w:tc>
        <w:tc>
          <w:tcPr>
            <w:tcW w:w="1139" w:type="dxa"/>
            <w:shd w:val="clear" w:color="auto" w:fill="D9D9D9" w:themeFill="background1" w:themeFillShade="D9"/>
            <w:noWrap/>
          </w:tcPr>
          <w:p w14:paraId="496E8773" w14:textId="77777777" w:rsidR="005D2595" w:rsidRPr="0067507D" w:rsidRDefault="005D2595" w:rsidP="00FC3AF2">
            <w:pPr>
              <w:pStyle w:val="Tabletextrightbold"/>
            </w:pPr>
            <w:r w:rsidRPr="0067507D">
              <w:t xml:space="preserve">(508 489) </w:t>
            </w:r>
          </w:p>
        </w:tc>
        <w:tc>
          <w:tcPr>
            <w:tcW w:w="1139" w:type="dxa"/>
            <w:noWrap/>
          </w:tcPr>
          <w:p w14:paraId="304F2F9A" w14:textId="77777777" w:rsidR="005D2595" w:rsidRPr="0067507D" w:rsidRDefault="005D2595" w:rsidP="00FC3AF2">
            <w:pPr>
              <w:pStyle w:val="Tabletextrightbold"/>
            </w:pPr>
            <w:r w:rsidRPr="0067507D">
              <w:t xml:space="preserve"> 857 050 </w:t>
            </w:r>
          </w:p>
        </w:tc>
        <w:tc>
          <w:tcPr>
            <w:tcW w:w="1139" w:type="dxa"/>
            <w:shd w:val="clear" w:color="auto" w:fill="E0E0E0"/>
            <w:noWrap/>
          </w:tcPr>
          <w:p w14:paraId="68E20534" w14:textId="77777777" w:rsidR="005D2595" w:rsidRPr="0067507D" w:rsidRDefault="005D2595" w:rsidP="00FC3AF2">
            <w:pPr>
              <w:pStyle w:val="Tabletextrightbold"/>
            </w:pPr>
            <w:r w:rsidRPr="0067507D">
              <w:t xml:space="preserve"> 267 898 </w:t>
            </w:r>
          </w:p>
        </w:tc>
        <w:tc>
          <w:tcPr>
            <w:tcW w:w="1139" w:type="dxa"/>
            <w:shd w:val="clear" w:color="auto" w:fill="FFFFFF" w:themeFill="background1"/>
            <w:noWrap/>
          </w:tcPr>
          <w:p w14:paraId="41EE8910" w14:textId="77777777" w:rsidR="005D2595" w:rsidRPr="0067507D" w:rsidRDefault="005D2595" w:rsidP="00FC3AF2">
            <w:pPr>
              <w:pStyle w:val="Tabletextrightbold"/>
            </w:pPr>
            <w:r w:rsidRPr="0067507D">
              <w:t xml:space="preserve">1 297 442 </w:t>
            </w:r>
          </w:p>
        </w:tc>
      </w:tr>
    </w:tbl>
    <w:p w14:paraId="4775C37D" w14:textId="77777777" w:rsidR="005D2595" w:rsidRPr="0067507D" w:rsidRDefault="005D2595" w:rsidP="005D2595">
      <w:pPr>
        <w:pStyle w:val="Notes"/>
      </w:pPr>
      <w:r w:rsidRPr="0067507D">
        <w:t>Notes:</w:t>
      </w:r>
    </w:p>
    <w:p w14:paraId="0BD974A5" w14:textId="77777777" w:rsidR="005D2595" w:rsidRPr="0067507D" w:rsidRDefault="005D2595" w:rsidP="005D2595">
      <w:pPr>
        <w:pStyle w:val="Notes"/>
      </w:pPr>
      <w:r w:rsidRPr="0067507D">
        <w:t>(a) 2024 figures have been restated as a result of moving Commonwealth grant income and expense from output ‘Other’ to output ‘Optimise Victoria's fiscal resources’.</w:t>
      </w:r>
    </w:p>
    <w:p w14:paraId="305C9670" w14:textId="77777777" w:rsidR="005D2595" w:rsidRPr="0067507D" w:rsidRDefault="005D2595" w:rsidP="005D2595">
      <w:pPr>
        <w:pStyle w:val="Notes"/>
      </w:pPr>
      <w:r w:rsidRPr="0067507D">
        <w:t>(b) 2024 figures have been restated as a result of moving interest income from ‘State revenues received into Consolidated Fund, net of appropriations applied within government departments’ to ‘Other income’.</w:t>
      </w:r>
    </w:p>
    <w:p w14:paraId="6B041EE0" w14:textId="77777777" w:rsidR="005D2595" w:rsidRPr="0067507D" w:rsidRDefault="005D2595" w:rsidP="005D2595">
      <w:pPr>
        <w:pStyle w:val="Notes"/>
      </w:pPr>
      <w:r w:rsidRPr="0067507D">
        <w:t>(c) 2024 figures have been restated as a result of moving superannuation related appropriation, expense and liability from output ‘Other’ to output ‘Improve how Government manages its balance sheet, commercial activities and public sector infrastructure’.</w:t>
      </w:r>
    </w:p>
    <w:p w14:paraId="18216F90" w14:textId="1607C793" w:rsidR="005D2595" w:rsidRPr="0067507D" w:rsidRDefault="005D2595" w:rsidP="005D2595">
      <w:pPr>
        <w:pStyle w:val="Notes"/>
      </w:pPr>
      <w:r w:rsidRPr="0067507D">
        <w:t xml:space="preserve">(d) 2024 figures have been restated as a result of moving interest income and cash and deposits from output ‘Other’ to output ‘Improve how Government manages its balance sheet, commercial activities and public sector infrastructure’ </w:t>
      </w:r>
    </w:p>
    <w:p w14:paraId="55C1A846" w14:textId="5BC77BC4" w:rsidR="005D2595" w:rsidRPr="0067507D" w:rsidRDefault="005D2595" w:rsidP="005D2595">
      <w:pPr>
        <w:pStyle w:val="Notes"/>
      </w:pPr>
      <w:r w:rsidRPr="0067507D">
        <w:t>(e) Grant expense mainly relates to the Commonwealth grant income that is on</w:t>
      </w:r>
      <w:r w:rsidR="006A5485">
        <w:noBreakHyphen/>
      </w:r>
      <w:r w:rsidRPr="0067507D">
        <w:t>passed to other entities as disclosed in note 4.3.1.</w:t>
      </w:r>
    </w:p>
    <w:p w14:paraId="016171C8" w14:textId="1A8E1E40" w:rsidR="005D2595" w:rsidRPr="0067507D" w:rsidRDefault="005D2595" w:rsidP="005D2595">
      <w:pPr>
        <w:pStyle w:val="Notes"/>
      </w:pPr>
      <w:r w:rsidRPr="0067507D">
        <w:t>(f) Other expenses includes ex</w:t>
      </w:r>
      <w:r w:rsidR="006A5485">
        <w:noBreakHyphen/>
      </w:r>
      <w:r w:rsidRPr="0067507D">
        <w:t>gratia expenses of $61.7 million ($62.3 million in 2023</w:t>
      </w:r>
      <w:r w:rsidR="006A5485">
        <w:noBreakHyphen/>
      </w:r>
      <w:r w:rsidRPr="0067507D">
        <w:t>24) that mainly represent tax relief provided by the State in various circumstances including financial hardship.</w:t>
      </w:r>
    </w:p>
    <w:p w14:paraId="2C66AFAA" w14:textId="77777777" w:rsidR="005D2595" w:rsidRDefault="005D2595" w:rsidP="005D2595"/>
    <w:p w14:paraId="1256ABCC" w14:textId="1FF3E580" w:rsidR="005D2595" w:rsidRPr="0067507D" w:rsidRDefault="005D2595" w:rsidP="005D2595">
      <w:pPr>
        <w:sectPr w:rsidR="005D2595" w:rsidRPr="0067507D" w:rsidSect="005D2595">
          <w:pgSz w:w="11909" w:h="16834" w:code="9"/>
          <w:pgMar w:top="1728" w:right="1152" w:bottom="1152" w:left="1152" w:header="720" w:footer="288" w:gutter="0"/>
          <w:cols w:space="569"/>
          <w:noEndnote/>
        </w:sectPr>
      </w:pPr>
    </w:p>
    <w:tbl>
      <w:tblPr>
        <w:tblW w:w="8280" w:type="dxa"/>
        <w:tblLayout w:type="fixed"/>
        <w:tblLook w:val="0000" w:firstRow="0" w:lastRow="0" w:firstColumn="0" w:lastColumn="0" w:noHBand="0" w:noVBand="0"/>
      </w:tblPr>
      <w:tblGrid>
        <w:gridCol w:w="1395"/>
        <w:gridCol w:w="1485"/>
        <w:gridCol w:w="1350"/>
        <w:gridCol w:w="1350"/>
        <w:gridCol w:w="1350"/>
        <w:gridCol w:w="1350"/>
      </w:tblGrid>
      <w:tr w:rsidR="005D2595" w:rsidRPr="0067507D" w14:paraId="6640DFF4" w14:textId="77777777" w:rsidTr="00FC3AF2">
        <w:trPr>
          <w:cantSplit/>
          <w:trHeight w:val="922"/>
        </w:trPr>
        <w:tc>
          <w:tcPr>
            <w:tcW w:w="2880" w:type="dxa"/>
            <w:gridSpan w:val="2"/>
            <w:noWrap/>
            <w:vAlign w:val="bottom"/>
          </w:tcPr>
          <w:p w14:paraId="2209760C" w14:textId="77777777" w:rsidR="005D2595" w:rsidRPr="0067507D" w:rsidRDefault="005D2595" w:rsidP="00FC3AF2">
            <w:pPr>
              <w:pStyle w:val="Tabletextheadingcentred"/>
            </w:pPr>
            <w:r w:rsidRPr="0067507D">
              <w:lastRenderedPageBreak/>
              <w:t xml:space="preserve">Improve how Government manages its balance sheet, commercial activities and public sector infrastructure </w:t>
            </w:r>
            <w:r w:rsidRPr="0067507D">
              <w:rPr>
                <w:vertAlign w:val="superscript"/>
              </w:rPr>
              <w:t>(b)(c)(d)</w:t>
            </w:r>
          </w:p>
        </w:tc>
        <w:tc>
          <w:tcPr>
            <w:tcW w:w="2700" w:type="dxa"/>
            <w:gridSpan w:val="2"/>
            <w:noWrap/>
            <w:vAlign w:val="bottom"/>
          </w:tcPr>
          <w:p w14:paraId="60026D88" w14:textId="77777777" w:rsidR="005D2595" w:rsidRPr="0067507D" w:rsidRDefault="005D2595" w:rsidP="00FC3AF2">
            <w:pPr>
              <w:pStyle w:val="Tabletextheadingcentred"/>
            </w:pPr>
            <w:r w:rsidRPr="0067507D">
              <w:t xml:space="preserve">Other </w:t>
            </w:r>
            <w:r w:rsidRPr="0067507D">
              <w:rPr>
                <w:vertAlign w:val="superscript"/>
              </w:rPr>
              <w:t>(a)(b)(c)(d)</w:t>
            </w:r>
          </w:p>
        </w:tc>
        <w:tc>
          <w:tcPr>
            <w:tcW w:w="2700" w:type="dxa"/>
            <w:gridSpan w:val="2"/>
            <w:noWrap/>
            <w:vAlign w:val="bottom"/>
          </w:tcPr>
          <w:p w14:paraId="5830E152" w14:textId="77777777" w:rsidR="005D2595" w:rsidRPr="0067507D" w:rsidRDefault="005D2595" w:rsidP="00FC3AF2">
            <w:pPr>
              <w:pStyle w:val="Tabletextheadingcentred"/>
            </w:pPr>
            <w:r w:rsidRPr="0067507D">
              <w:t>Departmental total</w:t>
            </w:r>
          </w:p>
        </w:tc>
      </w:tr>
      <w:tr w:rsidR="0073368A" w:rsidRPr="0067507D" w14:paraId="388A152D" w14:textId="77777777" w:rsidTr="00FC3AF2">
        <w:trPr>
          <w:cantSplit/>
        </w:trPr>
        <w:tc>
          <w:tcPr>
            <w:tcW w:w="1395" w:type="dxa"/>
            <w:noWrap/>
          </w:tcPr>
          <w:p w14:paraId="61DC7353" w14:textId="01607491" w:rsidR="0073368A" w:rsidRPr="0067507D" w:rsidRDefault="0073368A" w:rsidP="0073368A">
            <w:pPr>
              <w:pStyle w:val="Tabletextheadingright"/>
            </w:pPr>
            <w:r w:rsidRPr="0067507D">
              <w:rPr>
                <w:szCs w:val="16"/>
              </w:rPr>
              <w:t>2025</w:t>
            </w:r>
            <w:r>
              <w:rPr>
                <w:szCs w:val="16"/>
              </w:rPr>
              <w:br/>
            </w:r>
            <w:r w:rsidRPr="0067507D">
              <w:t>$’000</w:t>
            </w:r>
          </w:p>
        </w:tc>
        <w:tc>
          <w:tcPr>
            <w:tcW w:w="1485" w:type="dxa"/>
            <w:noWrap/>
          </w:tcPr>
          <w:p w14:paraId="61410F44" w14:textId="6A5BA76C" w:rsidR="0073368A" w:rsidRPr="0067507D" w:rsidRDefault="0073368A" w:rsidP="0073368A">
            <w:pPr>
              <w:pStyle w:val="Tabletextheadingright"/>
            </w:pPr>
            <w:r w:rsidRPr="0067507D">
              <w:rPr>
                <w:szCs w:val="16"/>
              </w:rPr>
              <w:t>2024</w:t>
            </w:r>
            <w:r>
              <w:rPr>
                <w:szCs w:val="16"/>
              </w:rPr>
              <w:br/>
            </w:r>
            <w:r w:rsidRPr="0067507D">
              <w:t>$’000</w:t>
            </w:r>
          </w:p>
        </w:tc>
        <w:tc>
          <w:tcPr>
            <w:tcW w:w="1350" w:type="dxa"/>
            <w:noWrap/>
          </w:tcPr>
          <w:p w14:paraId="17F394EC" w14:textId="0ED04DEA" w:rsidR="0073368A" w:rsidRPr="0067507D" w:rsidRDefault="0073368A" w:rsidP="0073368A">
            <w:pPr>
              <w:pStyle w:val="Tabletextheadingright"/>
            </w:pPr>
            <w:r w:rsidRPr="0067507D">
              <w:rPr>
                <w:szCs w:val="16"/>
              </w:rPr>
              <w:t>2025</w:t>
            </w:r>
            <w:r>
              <w:rPr>
                <w:szCs w:val="16"/>
              </w:rPr>
              <w:br/>
            </w:r>
            <w:r w:rsidRPr="0067507D">
              <w:t>$’000</w:t>
            </w:r>
          </w:p>
        </w:tc>
        <w:tc>
          <w:tcPr>
            <w:tcW w:w="1350" w:type="dxa"/>
            <w:noWrap/>
          </w:tcPr>
          <w:p w14:paraId="76A4E6D1" w14:textId="718F3D5A" w:rsidR="0073368A" w:rsidRPr="0067507D" w:rsidRDefault="0073368A" w:rsidP="0073368A">
            <w:pPr>
              <w:pStyle w:val="Tabletextheadingright"/>
            </w:pPr>
            <w:r w:rsidRPr="0067507D">
              <w:rPr>
                <w:szCs w:val="16"/>
              </w:rPr>
              <w:t>2024</w:t>
            </w:r>
            <w:r>
              <w:rPr>
                <w:szCs w:val="16"/>
              </w:rPr>
              <w:br/>
            </w:r>
            <w:r w:rsidRPr="0067507D">
              <w:t>$’000</w:t>
            </w:r>
          </w:p>
        </w:tc>
        <w:tc>
          <w:tcPr>
            <w:tcW w:w="1350" w:type="dxa"/>
            <w:noWrap/>
          </w:tcPr>
          <w:p w14:paraId="2F37CBE6" w14:textId="4D2F4BE4" w:rsidR="0073368A" w:rsidRPr="0067507D" w:rsidRDefault="0073368A" w:rsidP="0073368A">
            <w:pPr>
              <w:pStyle w:val="Tabletextheadingright"/>
            </w:pPr>
            <w:r w:rsidRPr="0067507D">
              <w:rPr>
                <w:szCs w:val="16"/>
              </w:rPr>
              <w:t>2025</w:t>
            </w:r>
            <w:r>
              <w:rPr>
                <w:szCs w:val="16"/>
              </w:rPr>
              <w:br/>
            </w:r>
            <w:r w:rsidRPr="0067507D">
              <w:t>$’000</w:t>
            </w:r>
          </w:p>
        </w:tc>
        <w:tc>
          <w:tcPr>
            <w:tcW w:w="1350" w:type="dxa"/>
            <w:noWrap/>
          </w:tcPr>
          <w:p w14:paraId="0A9606A8" w14:textId="6E0EF767" w:rsidR="0073368A" w:rsidRPr="0067507D" w:rsidRDefault="0073368A" w:rsidP="0073368A">
            <w:pPr>
              <w:pStyle w:val="Tabletextheadingright"/>
            </w:pPr>
            <w:r w:rsidRPr="0067507D">
              <w:rPr>
                <w:szCs w:val="16"/>
              </w:rPr>
              <w:t>2024</w:t>
            </w:r>
            <w:r>
              <w:rPr>
                <w:szCs w:val="16"/>
              </w:rPr>
              <w:br/>
            </w:r>
            <w:r w:rsidRPr="0067507D">
              <w:t>$’000</w:t>
            </w:r>
          </w:p>
        </w:tc>
      </w:tr>
      <w:tr w:rsidR="005D2595" w:rsidRPr="0067507D" w14:paraId="613F4145" w14:textId="77777777" w:rsidTr="00FC3AF2">
        <w:trPr>
          <w:cantSplit/>
        </w:trPr>
        <w:tc>
          <w:tcPr>
            <w:tcW w:w="1395" w:type="dxa"/>
            <w:shd w:val="clear" w:color="auto" w:fill="D9D9D9" w:themeFill="background1" w:themeFillShade="D9"/>
            <w:noWrap/>
          </w:tcPr>
          <w:p w14:paraId="3A997831" w14:textId="77777777" w:rsidR="005D2595" w:rsidRPr="0067507D" w:rsidRDefault="005D2595" w:rsidP="00FC3AF2">
            <w:pPr>
              <w:pStyle w:val="Tabletextright"/>
            </w:pPr>
            <w:r w:rsidRPr="0067507D">
              <w:br/>
            </w:r>
          </w:p>
        </w:tc>
        <w:tc>
          <w:tcPr>
            <w:tcW w:w="1485" w:type="dxa"/>
            <w:noWrap/>
          </w:tcPr>
          <w:p w14:paraId="2CA4B077" w14:textId="77777777" w:rsidR="005D2595" w:rsidRPr="0067507D" w:rsidRDefault="005D2595" w:rsidP="00FC3AF2">
            <w:pPr>
              <w:pStyle w:val="Tabletextright"/>
            </w:pPr>
          </w:p>
        </w:tc>
        <w:tc>
          <w:tcPr>
            <w:tcW w:w="1350" w:type="dxa"/>
            <w:shd w:val="clear" w:color="auto" w:fill="D9D9D9" w:themeFill="background1" w:themeFillShade="D9"/>
            <w:noWrap/>
          </w:tcPr>
          <w:p w14:paraId="451295B4" w14:textId="77777777" w:rsidR="005D2595" w:rsidRPr="0067507D" w:rsidRDefault="005D2595" w:rsidP="00FC3AF2">
            <w:pPr>
              <w:pStyle w:val="Tabletextright"/>
            </w:pPr>
          </w:p>
        </w:tc>
        <w:tc>
          <w:tcPr>
            <w:tcW w:w="1350" w:type="dxa"/>
            <w:noWrap/>
          </w:tcPr>
          <w:p w14:paraId="7505F760" w14:textId="77777777" w:rsidR="005D2595" w:rsidRPr="0067507D" w:rsidRDefault="005D2595" w:rsidP="00FC3AF2">
            <w:pPr>
              <w:pStyle w:val="Tabletextright"/>
            </w:pPr>
          </w:p>
        </w:tc>
        <w:tc>
          <w:tcPr>
            <w:tcW w:w="1350" w:type="dxa"/>
            <w:shd w:val="clear" w:color="auto" w:fill="E0E0E0"/>
            <w:noWrap/>
          </w:tcPr>
          <w:p w14:paraId="00F007AE" w14:textId="77777777" w:rsidR="005D2595" w:rsidRPr="0067507D" w:rsidRDefault="005D2595" w:rsidP="00FC3AF2">
            <w:pPr>
              <w:pStyle w:val="Tabletextright"/>
            </w:pPr>
          </w:p>
        </w:tc>
        <w:tc>
          <w:tcPr>
            <w:tcW w:w="1350" w:type="dxa"/>
            <w:shd w:val="clear" w:color="auto" w:fill="FFFFFF" w:themeFill="background1"/>
            <w:noWrap/>
          </w:tcPr>
          <w:p w14:paraId="13633D9C" w14:textId="77777777" w:rsidR="005D2595" w:rsidRPr="0067507D" w:rsidRDefault="005D2595" w:rsidP="00FC3AF2">
            <w:pPr>
              <w:pStyle w:val="Tabletextright"/>
            </w:pPr>
          </w:p>
        </w:tc>
      </w:tr>
      <w:tr w:rsidR="005D2595" w:rsidRPr="0067507D" w14:paraId="15CDBBA9" w14:textId="77777777" w:rsidTr="00FC3AF2">
        <w:trPr>
          <w:cantSplit/>
        </w:trPr>
        <w:tc>
          <w:tcPr>
            <w:tcW w:w="1395" w:type="dxa"/>
            <w:shd w:val="clear" w:color="auto" w:fill="D9D9D9" w:themeFill="background1" w:themeFillShade="D9"/>
            <w:noWrap/>
          </w:tcPr>
          <w:p w14:paraId="52B7D0DD" w14:textId="77777777" w:rsidR="005D2595" w:rsidRPr="0067507D" w:rsidRDefault="005D2595" w:rsidP="00FC3AF2">
            <w:pPr>
              <w:pStyle w:val="Tabletextright"/>
            </w:pPr>
          </w:p>
        </w:tc>
        <w:tc>
          <w:tcPr>
            <w:tcW w:w="1485" w:type="dxa"/>
            <w:noWrap/>
          </w:tcPr>
          <w:p w14:paraId="70D499E1" w14:textId="77777777" w:rsidR="005D2595" w:rsidRPr="0067507D" w:rsidRDefault="005D2595" w:rsidP="00FC3AF2">
            <w:pPr>
              <w:pStyle w:val="Tabletextright"/>
            </w:pPr>
          </w:p>
        </w:tc>
        <w:tc>
          <w:tcPr>
            <w:tcW w:w="1350" w:type="dxa"/>
            <w:shd w:val="clear" w:color="auto" w:fill="D9D9D9" w:themeFill="background1" w:themeFillShade="D9"/>
            <w:noWrap/>
          </w:tcPr>
          <w:p w14:paraId="272046A6" w14:textId="77777777" w:rsidR="005D2595" w:rsidRPr="0067507D" w:rsidRDefault="005D2595" w:rsidP="00FC3AF2">
            <w:pPr>
              <w:pStyle w:val="Tabletextright"/>
            </w:pPr>
          </w:p>
        </w:tc>
        <w:tc>
          <w:tcPr>
            <w:tcW w:w="1350" w:type="dxa"/>
            <w:noWrap/>
          </w:tcPr>
          <w:p w14:paraId="1C43162A" w14:textId="77777777" w:rsidR="005D2595" w:rsidRPr="0067507D" w:rsidRDefault="005D2595" w:rsidP="00FC3AF2">
            <w:pPr>
              <w:pStyle w:val="Tabletextright"/>
            </w:pPr>
          </w:p>
        </w:tc>
        <w:tc>
          <w:tcPr>
            <w:tcW w:w="1350" w:type="dxa"/>
            <w:shd w:val="clear" w:color="auto" w:fill="E0E0E0"/>
            <w:noWrap/>
          </w:tcPr>
          <w:p w14:paraId="54B60427" w14:textId="77777777" w:rsidR="005D2595" w:rsidRPr="0067507D" w:rsidRDefault="005D2595" w:rsidP="00FC3AF2">
            <w:pPr>
              <w:pStyle w:val="Tabletextright"/>
            </w:pPr>
          </w:p>
        </w:tc>
        <w:tc>
          <w:tcPr>
            <w:tcW w:w="1350" w:type="dxa"/>
            <w:shd w:val="clear" w:color="auto" w:fill="FFFFFF" w:themeFill="background1"/>
            <w:noWrap/>
          </w:tcPr>
          <w:p w14:paraId="65CA1D2A" w14:textId="77777777" w:rsidR="005D2595" w:rsidRPr="0067507D" w:rsidRDefault="005D2595" w:rsidP="00FC3AF2">
            <w:pPr>
              <w:pStyle w:val="Tabletextright"/>
            </w:pPr>
          </w:p>
        </w:tc>
      </w:tr>
      <w:tr w:rsidR="005D2595" w:rsidRPr="0067507D" w14:paraId="3C1E6FB0" w14:textId="77777777" w:rsidTr="00FC3AF2">
        <w:trPr>
          <w:cantSplit/>
        </w:trPr>
        <w:tc>
          <w:tcPr>
            <w:tcW w:w="1395" w:type="dxa"/>
            <w:shd w:val="clear" w:color="auto" w:fill="D9D9D9" w:themeFill="background1" w:themeFillShade="D9"/>
            <w:noWrap/>
          </w:tcPr>
          <w:p w14:paraId="10A50F59" w14:textId="77777777" w:rsidR="005D2595" w:rsidRPr="0067507D" w:rsidRDefault="005D2595" w:rsidP="00FC3AF2">
            <w:pPr>
              <w:pStyle w:val="Tabletextright"/>
            </w:pPr>
            <w:r w:rsidRPr="0067507D">
              <w:t xml:space="preserve">6 733 700 </w:t>
            </w:r>
          </w:p>
        </w:tc>
        <w:tc>
          <w:tcPr>
            <w:tcW w:w="1485" w:type="dxa"/>
            <w:noWrap/>
          </w:tcPr>
          <w:p w14:paraId="274A91B7" w14:textId="77777777" w:rsidR="005D2595" w:rsidRPr="0067507D" w:rsidRDefault="005D2595" w:rsidP="00FC3AF2">
            <w:pPr>
              <w:pStyle w:val="Tabletextright"/>
            </w:pPr>
            <w:r w:rsidRPr="0067507D">
              <w:t xml:space="preserve">5 013 536 </w:t>
            </w:r>
          </w:p>
        </w:tc>
        <w:tc>
          <w:tcPr>
            <w:tcW w:w="1350" w:type="dxa"/>
            <w:shd w:val="clear" w:color="auto" w:fill="D9D9D9" w:themeFill="background1" w:themeFillShade="D9"/>
            <w:noWrap/>
          </w:tcPr>
          <w:p w14:paraId="72C4DEC9" w14:textId="77777777" w:rsidR="005D2595" w:rsidRPr="0067507D" w:rsidRDefault="005D2595" w:rsidP="00FC3AF2">
            <w:pPr>
              <w:pStyle w:val="Tabletextright"/>
            </w:pPr>
            <w:r w:rsidRPr="0067507D">
              <w:t>–</w:t>
            </w:r>
          </w:p>
        </w:tc>
        <w:tc>
          <w:tcPr>
            <w:tcW w:w="1350" w:type="dxa"/>
            <w:noWrap/>
          </w:tcPr>
          <w:p w14:paraId="05A3C5E6" w14:textId="77777777" w:rsidR="005D2595" w:rsidRPr="0067507D" w:rsidRDefault="005D2595" w:rsidP="00FC3AF2">
            <w:pPr>
              <w:pStyle w:val="Tabletextright"/>
            </w:pPr>
            <w:r w:rsidRPr="0067507D">
              <w:t>–</w:t>
            </w:r>
          </w:p>
        </w:tc>
        <w:tc>
          <w:tcPr>
            <w:tcW w:w="1350" w:type="dxa"/>
            <w:shd w:val="clear" w:color="auto" w:fill="E0E0E0"/>
            <w:noWrap/>
          </w:tcPr>
          <w:p w14:paraId="76EBCC36" w14:textId="77777777" w:rsidR="005D2595" w:rsidRPr="0067507D" w:rsidRDefault="005D2595" w:rsidP="00FC3AF2">
            <w:pPr>
              <w:pStyle w:val="Tabletextright"/>
            </w:pPr>
            <w:r w:rsidRPr="0067507D">
              <w:t xml:space="preserve">7 233 273 </w:t>
            </w:r>
          </w:p>
        </w:tc>
        <w:tc>
          <w:tcPr>
            <w:tcW w:w="1350" w:type="dxa"/>
            <w:shd w:val="clear" w:color="auto" w:fill="FFFFFF" w:themeFill="background1"/>
            <w:noWrap/>
          </w:tcPr>
          <w:p w14:paraId="4F0634A5" w14:textId="77777777" w:rsidR="005D2595" w:rsidRPr="0067507D" w:rsidRDefault="005D2595" w:rsidP="00FC3AF2">
            <w:pPr>
              <w:pStyle w:val="Tabletextright"/>
            </w:pPr>
            <w:r w:rsidRPr="0067507D">
              <w:t xml:space="preserve">7 271 761 </w:t>
            </w:r>
          </w:p>
        </w:tc>
      </w:tr>
      <w:tr w:rsidR="005D2595" w:rsidRPr="0067507D" w14:paraId="776A9CA2" w14:textId="77777777" w:rsidTr="00FC3AF2">
        <w:trPr>
          <w:cantSplit/>
        </w:trPr>
        <w:tc>
          <w:tcPr>
            <w:tcW w:w="1395" w:type="dxa"/>
            <w:shd w:val="clear" w:color="auto" w:fill="D9D9D9" w:themeFill="background1" w:themeFillShade="D9"/>
            <w:noWrap/>
          </w:tcPr>
          <w:p w14:paraId="76AF934B" w14:textId="77777777" w:rsidR="005D2595" w:rsidRPr="0067507D" w:rsidRDefault="005D2595" w:rsidP="00FC3AF2">
            <w:pPr>
              <w:pStyle w:val="Tabletextright"/>
            </w:pPr>
            <w:r w:rsidRPr="0067507D">
              <w:t xml:space="preserve"> 617 796 </w:t>
            </w:r>
          </w:p>
        </w:tc>
        <w:tc>
          <w:tcPr>
            <w:tcW w:w="1485" w:type="dxa"/>
            <w:noWrap/>
          </w:tcPr>
          <w:p w14:paraId="48B294B7" w14:textId="77777777" w:rsidR="005D2595" w:rsidRPr="0067507D" w:rsidRDefault="005D2595" w:rsidP="00FC3AF2">
            <w:pPr>
              <w:pStyle w:val="Tabletextright"/>
            </w:pPr>
            <w:r w:rsidRPr="0067507D">
              <w:t xml:space="preserve">8 520 289 </w:t>
            </w:r>
          </w:p>
        </w:tc>
        <w:tc>
          <w:tcPr>
            <w:tcW w:w="1350" w:type="dxa"/>
            <w:shd w:val="clear" w:color="auto" w:fill="D9D9D9" w:themeFill="background1" w:themeFillShade="D9"/>
            <w:noWrap/>
          </w:tcPr>
          <w:p w14:paraId="05FFFCB0" w14:textId="77777777" w:rsidR="005D2595" w:rsidRPr="0067507D" w:rsidRDefault="005D2595" w:rsidP="00FC3AF2">
            <w:pPr>
              <w:pStyle w:val="Tabletextright"/>
            </w:pPr>
            <w:r w:rsidRPr="0067507D">
              <w:t>–</w:t>
            </w:r>
          </w:p>
        </w:tc>
        <w:tc>
          <w:tcPr>
            <w:tcW w:w="1350" w:type="dxa"/>
            <w:noWrap/>
          </w:tcPr>
          <w:p w14:paraId="488D94FF" w14:textId="77777777" w:rsidR="005D2595" w:rsidRPr="0067507D" w:rsidRDefault="005D2595" w:rsidP="00FC3AF2">
            <w:pPr>
              <w:pStyle w:val="Tabletextright"/>
            </w:pPr>
            <w:r w:rsidRPr="0067507D">
              <w:t>–</w:t>
            </w:r>
          </w:p>
        </w:tc>
        <w:tc>
          <w:tcPr>
            <w:tcW w:w="1350" w:type="dxa"/>
            <w:shd w:val="clear" w:color="auto" w:fill="E0E0E0"/>
            <w:noWrap/>
          </w:tcPr>
          <w:p w14:paraId="7A99E927" w14:textId="77777777" w:rsidR="005D2595" w:rsidRPr="0067507D" w:rsidRDefault="005D2595" w:rsidP="00FC3AF2">
            <w:pPr>
              <w:pStyle w:val="Tabletextright"/>
            </w:pPr>
            <w:r w:rsidRPr="0067507D">
              <w:t xml:space="preserve">1 305 248 </w:t>
            </w:r>
          </w:p>
        </w:tc>
        <w:tc>
          <w:tcPr>
            <w:tcW w:w="1350" w:type="dxa"/>
            <w:shd w:val="clear" w:color="auto" w:fill="FFFFFF" w:themeFill="background1"/>
            <w:noWrap/>
          </w:tcPr>
          <w:p w14:paraId="7D927A4B" w14:textId="77777777" w:rsidR="005D2595" w:rsidRPr="0067507D" w:rsidRDefault="005D2595" w:rsidP="00FC3AF2">
            <w:pPr>
              <w:pStyle w:val="Tabletextright"/>
            </w:pPr>
            <w:r w:rsidRPr="0067507D">
              <w:t xml:space="preserve">8 789 086 </w:t>
            </w:r>
          </w:p>
        </w:tc>
      </w:tr>
      <w:tr w:rsidR="005D2595" w:rsidRPr="0067507D" w14:paraId="0AB4545F" w14:textId="77777777" w:rsidTr="00FC3AF2">
        <w:trPr>
          <w:cantSplit/>
        </w:trPr>
        <w:tc>
          <w:tcPr>
            <w:tcW w:w="1395" w:type="dxa"/>
            <w:shd w:val="clear" w:color="auto" w:fill="D9D9D9" w:themeFill="background1" w:themeFillShade="D9"/>
            <w:noWrap/>
          </w:tcPr>
          <w:p w14:paraId="5007E9C3" w14:textId="4863E689" w:rsidR="005D2595" w:rsidRPr="0067507D" w:rsidRDefault="005D2595" w:rsidP="00FC3AF2">
            <w:pPr>
              <w:pStyle w:val="Tabletextright"/>
            </w:pPr>
            <w:r w:rsidRPr="0067507D">
              <w:t xml:space="preserve"> </w:t>
            </w:r>
            <w:r w:rsidR="002B5CF4" w:rsidRPr="0067507D">
              <w:t xml:space="preserve">– </w:t>
            </w:r>
          </w:p>
        </w:tc>
        <w:tc>
          <w:tcPr>
            <w:tcW w:w="1485" w:type="dxa"/>
            <w:noWrap/>
          </w:tcPr>
          <w:p w14:paraId="5A9FC1DE" w14:textId="77777777" w:rsidR="005D2595" w:rsidRPr="0067507D" w:rsidRDefault="005D2595" w:rsidP="00FC3AF2">
            <w:pPr>
              <w:pStyle w:val="Tabletextright"/>
            </w:pPr>
            <w:r w:rsidRPr="0067507D">
              <w:t xml:space="preserve"> 1 798 </w:t>
            </w:r>
          </w:p>
        </w:tc>
        <w:tc>
          <w:tcPr>
            <w:tcW w:w="1350" w:type="dxa"/>
            <w:shd w:val="clear" w:color="auto" w:fill="D9D9D9" w:themeFill="background1" w:themeFillShade="D9"/>
            <w:noWrap/>
          </w:tcPr>
          <w:p w14:paraId="3DDD4E4B" w14:textId="77777777" w:rsidR="005D2595" w:rsidRPr="0067507D" w:rsidRDefault="005D2595" w:rsidP="00FC3AF2">
            <w:pPr>
              <w:pStyle w:val="Tabletextright"/>
            </w:pPr>
            <w:r w:rsidRPr="0067507D">
              <w:t>–</w:t>
            </w:r>
          </w:p>
        </w:tc>
        <w:tc>
          <w:tcPr>
            <w:tcW w:w="1350" w:type="dxa"/>
            <w:noWrap/>
          </w:tcPr>
          <w:p w14:paraId="6E117B9E" w14:textId="77777777" w:rsidR="005D2595" w:rsidRPr="0067507D" w:rsidRDefault="005D2595" w:rsidP="00FC3AF2">
            <w:pPr>
              <w:pStyle w:val="Tabletextright"/>
            </w:pPr>
            <w:r w:rsidRPr="0067507D">
              <w:t>–</w:t>
            </w:r>
          </w:p>
        </w:tc>
        <w:tc>
          <w:tcPr>
            <w:tcW w:w="1350" w:type="dxa"/>
            <w:shd w:val="clear" w:color="auto" w:fill="E0E0E0"/>
            <w:noWrap/>
          </w:tcPr>
          <w:p w14:paraId="2FC05D93" w14:textId="77777777" w:rsidR="005D2595" w:rsidRPr="0067507D" w:rsidRDefault="005D2595" w:rsidP="00FC3AF2">
            <w:pPr>
              <w:pStyle w:val="Tabletextright"/>
            </w:pPr>
            <w:r w:rsidRPr="0067507D">
              <w:t xml:space="preserve">37 091 179 </w:t>
            </w:r>
          </w:p>
        </w:tc>
        <w:tc>
          <w:tcPr>
            <w:tcW w:w="1350" w:type="dxa"/>
            <w:shd w:val="clear" w:color="auto" w:fill="FFFFFF" w:themeFill="background1"/>
            <w:noWrap/>
          </w:tcPr>
          <w:p w14:paraId="01D2AFF1" w14:textId="77777777" w:rsidR="005D2595" w:rsidRPr="0067507D" w:rsidRDefault="005D2595" w:rsidP="00FC3AF2">
            <w:pPr>
              <w:pStyle w:val="Tabletextright"/>
            </w:pPr>
            <w:r w:rsidRPr="0067507D">
              <w:t xml:space="preserve">32 099 435 </w:t>
            </w:r>
          </w:p>
        </w:tc>
      </w:tr>
      <w:tr w:rsidR="005D2595" w:rsidRPr="0067507D" w14:paraId="47678134" w14:textId="77777777" w:rsidTr="00FC3AF2">
        <w:trPr>
          <w:cantSplit/>
        </w:trPr>
        <w:tc>
          <w:tcPr>
            <w:tcW w:w="1395" w:type="dxa"/>
            <w:shd w:val="clear" w:color="auto" w:fill="D9D9D9" w:themeFill="background1" w:themeFillShade="D9"/>
            <w:noWrap/>
          </w:tcPr>
          <w:p w14:paraId="43156D3F" w14:textId="77777777" w:rsidR="005D2595" w:rsidRPr="0067507D" w:rsidRDefault="005D2595" w:rsidP="00FC3AF2">
            <w:pPr>
              <w:pStyle w:val="Tabletextright"/>
            </w:pPr>
            <w:r w:rsidRPr="0067507D">
              <w:t xml:space="preserve"> 792 529 </w:t>
            </w:r>
          </w:p>
        </w:tc>
        <w:tc>
          <w:tcPr>
            <w:tcW w:w="1485" w:type="dxa"/>
            <w:noWrap/>
          </w:tcPr>
          <w:p w14:paraId="280CE537" w14:textId="77777777" w:rsidR="005D2595" w:rsidRPr="0067507D" w:rsidRDefault="005D2595" w:rsidP="00FC3AF2">
            <w:pPr>
              <w:pStyle w:val="Tabletextright"/>
            </w:pPr>
            <w:r w:rsidRPr="0067507D">
              <w:t xml:space="preserve"> 790 162 </w:t>
            </w:r>
          </w:p>
        </w:tc>
        <w:tc>
          <w:tcPr>
            <w:tcW w:w="1350" w:type="dxa"/>
            <w:shd w:val="clear" w:color="auto" w:fill="D9D9D9" w:themeFill="background1" w:themeFillShade="D9"/>
            <w:noWrap/>
          </w:tcPr>
          <w:p w14:paraId="11C249A6" w14:textId="77777777" w:rsidR="005D2595" w:rsidRPr="0067507D" w:rsidRDefault="005D2595" w:rsidP="00FC3AF2">
            <w:pPr>
              <w:pStyle w:val="Tabletextright"/>
            </w:pPr>
            <w:r w:rsidRPr="0067507D">
              <w:t>–</w:t>
            </w:r>
          </w:p>
        </w:tc>
        <w:tc>
          <w:tcPr>
            <w:tcW w:w="1350" w:type="dxa"/>
            <w:noWrap/>
          </w:tcPr>
          <w:p w14:paraId="65901089" w14:textId="77777777" w:rsidR="005D2595" w:rsidRPr="0067507D" w:rsidRDefault="005D2595" w:rsidP="00FC3AF2">
            <w:pPr>
              <w:pStyle w:val="Tabletextright"/>
            </w:pPr>
            <w:r w:rsidRPr="0067507D">
              <w:t>–</w:t>
            </w:r>
          </w:p>
        </w:tc>
        <w:tc>
          <w:tcPr>
            <w:tcW w:w="1350" w:type="dxa"/>
            <w:shd w:val="clear" w:color="auto" w:fill="E0E0E0"/>
            <w:noWrap/>
          </w:tcPr>
          <w:p w14:paraId="62D7508D" w14:textId="77777777" w:rsidR="005D2595" w:rsidRPr="0067507D" w:rsidRDefault="005D2595" w:rsidP="00FC3AF2">
            <w:pPr>
              <w:pStyle w:val="Tabletextright"/>
            </w:pPr>
            <w:r w:rsidRPr="0067507D">
              <w:t xml:space="preserve">34 315 111 </w:t>
            </w:r>
          </w:p>
        </w:tc>
        <w:tc>
          <w:tcPr>
            <w:tcW w:w="1350" w:type="dxa"/>
            <w:shd w:val="clear" w:color="auto" w:fill="FFFFFF" w:themeFill="background1"/>
            <w:noWrap/>
          </w:tcPr>
          <w:p w14:paraId="793A29EE" w14:textId="77777777" w:rsidR="005D2595" w:rsidRPr="0067507D" w:rsidRDefault="005D2595" w:rsidP="00FC3AF2">
            <w:pPr>
              <w:pStyle w:val="Tabletextright"/>
            </w:pPr>
            <w:r w:rsidRPr="0067507D">
              <w:t xml:space="preserve">32 186 203 </w:t>
            </w:r>
          </w:p>
        </w:tc>
      </w:tr>
      <w:tr w:rsidR="005D2595" w:rsidRPr="0067507D" w14:paraId="191C8E81" w14:textId="77777777" w:rsidTr="00FC3AF2">
        <w:trPr>
          <w:cantSplit/>
        </w:trPr>
        <w:tc>
          <w:tcPr>
            <w:tcW w:w="1395" w:type="dxa"/>
            <w:shd w:val="clear" w:color="auto" w:fill="D9D9D9" w:themeFill="background1" w:themeFillShade="D9"/>
            <w:noWrap/>
          </w:tcPr>
          <w:p w14:paraId="68D4778A" w14:textId="77777777" w:rsidR="005D2595" w:rsidRPr="0067507D" w:rsidRDefault="005D2595" w:rsidP="00FC3AF2">
            <w:pPr>
              <w:pStyle w:val="Tabletextright"/>
            </w:pPr>
            <w:r w:rsidRPr="0067507D">
              <w:t xml:space="preserve">2 229 635 </w:t>
            </w:r>
          </w:p>
        </w:tc>
        <w:tc>
          <w:tcPr>
            <w:tcW w:w="1485" w:type="dxa"/>
            <w:noWrap/>
          </w:tcPr>
          <w:p w14:paraId="39FAC632" w14:textId="77777777" w:rsidR="005D2595" w:rsidRPr="0067507D" w:rsidRDefault="005D2595" w:rsidP="00FC3AF2">
            <w:pPr>
              <w:pStyle w:val="Tabletextright"/>
            </w:pPr>
            <w:r w:rsidRPr="0067507D">
              <w:t xml:space="preserve">2 362 944 </w:t>
            </w:r>
          </w:p>
        </w:tc>
        <w:tc>
          <w:tcPr>
            <w:tcW w:w="1350" w:type="dxa"/>
            <w:shd w:val="clear" w:color="auto" w:fill="D9D9D9" w:themeFill="background1" w:themeFillShade="D9"/>
            <w:noWrap/>
          </w:tcPr>
          <w:p w14:paraId="64923691" w14:textId="77777777" w:rsidR="005D2595" w:rsidRPr="0067507D" w:rsidRDefault="005D2595" w:rsidP="00FC3AF2">
            <w:pPr>
              <w:pStyle w:val="Tabletextright"/>
            </w:pPr>
            <w:r w:rsidRPr="0067507D">
              <w:t>–</w:t>
            </w:r>
          </w:p>
        </w:tc>
        <w:tc>
          <w:tcPr>
            <w:tcW w:w="1350" w:type="dxa"/>
            <w:noWrap/>
          </w:tcPr>
          <w:p w14:paraId="584440AD" w14:textId="77777777" w:rsidR="005D2595" w:rsidRPr="0067507D" w:rsidRDefault="005D2595" w:rsidP="00FC3AF2">
            <w:pPr>
              <w:pStyle w:val="Tabletextright"/>
            </w:pPr>
            <w:r w:rsidRPr="0067507D">
              <w:t>–</w:t>
            </w:r>
          </w:p>
        </w:tc>
        <w:tc>
          <w:tcPr>
            <w:tcW w:w="1350" w:type="dxa"/>
            <w:shd w:val="clear" w:color="auto" w:fill="E0E0E0"/>
            <w:noWrap/>
          </w:tcPr>
          <w:p w14:paraId="4D720B2F" w14:textId="77777777" w:rsidR="005D2595" w:rsidRPr="0067507D" w:rsidRDefault="005D2595" w:rsidP="00FC3AF2">
            <w:pPr>
              <w:pStyle w:val="Tabletextright"/>
            </w:pPr>
            <w:r w:rsidRPr="0067507D">
              <w:t xml:space="preserve">2 484 825 </w:t>
            </w:r>
          </w:p>
        </w:tc>
        <w:tc>
          <w:tcPr>
            <w:tcW w:w="1350" w:type="dxa"/>
            <w:shd w:val="clear" w:color="auto" w:fill="FFFFFF" w:themeFill="background1"/>
            <w:noWrap/>
          </w:tcPr>
          <w:p w14:paraId="2B23D7DA" w14:textId="77777777" w:rsidR="005D2595" w:rsidRPr="0067507D" w:rsidRDefault="005D2595" w:rsidP="00FC3AF2">
            <w:pPr>
              <w:pStyle w:val="Tabletextright"/>
            </w:pPr>
            <w:r w:rsidRPr="0067507D">
              <w:t xml:space="preserve">2 575 618 </w:t>
            </w:r>
          </w:p>
        </w:tc>
      </w:tr>
      <w:tr w:rsidR="005D2595" w:rsidRPr="0067507D" w14:paraId="237FD8DF" w14:textId="77777777" w:rsidTr="00FC3AF2">
        <w:trPr>
          <w:cantSplit/>
        </w:trPr>
        <w:tc>
          <w:tcPr>
            <w:tcW w:w="1395" w:type="dxa"/>
            <w:shd w:val="clear" w:color="auto" w:fill="D9D9D9" w:themeFill="background1" w:themeFillShade="D9"/>
            <w:noWrap/>
          </w:tcPr>
          <w:p w14:paraId="7793A933" w14:textId="77777777" w:rsidR="005D2595" w:rsidRPr="0067507D" w:rsidRDefault="005D2595" w:rsidP="00FC3AF2">
            <w:pPr>
              <w:pStyle w:val="Tabletextright"/>
            </w:pPr>
            <w:r w:rsidRPr="0067507D">
              <w:t>–</w:t>
            </w:r>
          </w:p>
        </w:tc>
        <w:tc>
          <w:tcPr>
            <w:tcW w:w="1485" w:type="dxa"/>
            <w:noWrap/>
          </w:tcPr>
          <w:p w14:paraId="76CF0E86" w14:textId="77777777" w:rsidR="005D2595" w:rsidRPr="0067507D" w:rsidRDefault="005D2595" w:rsidP="00FC3AF2">
            <w:pPr>
              <w:pStyle w:val="Tabletextright"/>
            </w:pPr>
            <w:r w:rsidRPr="0067507D">
              <w:t>–</w:t>
            </w:r>
          </w:p>
        </w:tc>
        <w:tc>
          <w:tcPr>
            <w:tcW w:w="1350" w:type="dxa"/>
            <w:shd w:val="clear" w:color="auto" w:fill="D9D9D9" w:themeFill="background1" w:themeFillShade="D9"/>
            <w:noWrap/>
          </w:tcPr>
          <w:p w14:paraId="006D1468" w14:textId="77777777" w:rsidR="005D2595" w:rsidRPr="0067507D" w:rsidRDefault="005D2595" w:rsidP="00FC3AF2">
            <w:pPr>
              <w:pStyle w:val="Tabletextright"/>
            </w:pPr>
            <w:r w:rsidRPr="0067507D">
              <w:t xml:space="preserve">14 209 938 </w:t>
            </w:r>
          </w:p>
        </w:tc>
        <w:tc>
          <w:tcPr>
            <w:tcW w:w="1350" w:type="dxa"/>
            <w:noWrap/>
          </w:tcPr>
          <w:p w14:paraId="73B498A5" w14:textId="77777777" w:rsidR="005D2595" w:rsidRPr="0067507D" w:rsidRDefault="005D2595" w:rsidP="00FC3AF2">
            <w:pPr>
              <w:pStyle w:val="Tabletextright"/>
            </w:pPr>
            <w:r w:rsidRPr="0067507D">
              <w:t xml:space="preserve">18 621 306 </w:t>
            </w:r>
          </w:p>
        </w:tc>
        <w:tc>
          <w:tcPr>
            <w:tcW w:w="1350" w:type="dxa"/>
            <w:shd w:val="clear" w:color="auto" w:fill="E0E0E0"/>
            <w:noWrap/>
          </w:tcPr>
          <w:p w14:paraId="7250DAFD" w14:textId="77777777" w:rsidR="005D2595" w:rsidRPr="0067507D" w:rsidRDefault="005D2595" w:rsidP="00FC3AF2">
            <w:pPr>
              <w:pStyle w:val="Tabletextright"/>
            </w:pPr>
            <w:r w:rsidRPr="0067507D">
              <w:t xml:space="preserve">14 209 938 </w:t>
            </w:r>
          </w:p>
        </w:tc>
        <w:tc>
          <w:tcPr>
            <w:tcW w:w="1350" w:type="dxa"/>
            <w:shd w:val="clear" w:color="auto" w:fill="FFFFFF" w:themeFill="background1"/>
            <w:noWrap/>
          </w:tcPr>
          <w:p w14:paraId="22EE1A9E" w14:textId="77777777" w:rsidR="005D2595" w:rsidRPr="0067507D" w:rsidRDefault="005D2595" w:rsidP="00FC3AF2">
            <w:pPr>
              <w:pStyle w:val="Tabletextright"/>
            </w:pPr>
            <w:r w:rsidRPr="0067507D">
              <w:t xml:space="preserve">18 621 306 </w:t>
            </w:r>
          </w:p>
        </w:tc>
      </w:tr>
      <w:tr w:rsidR="005D2595" w:rsidRPr="0067507D" w14:paraId="01067B01" w14:textId="77777777" w:rsidTr="00FC3AF2">
        <w:trPr>
          <w:cantSplit/>
        </w:trPr>
        <w:tc>
          <w:tcPr>
            <w:tcW w:w="1395" w:type="dxa"/>
            <w:shd w:val="clear" w:color="auto" w:fill="D9D9D9" w:themeFill="background1" w:themeFillShade="D9"/>
            <w:noWrap/>
          </w:tcPr>
          <w:p w14:paraId="7AAFA2B3" w14:textId="77777777" w:rsidR="005D2595" w:rsidRPr="0067507D" w:rsidRDefault="005D2595" w:rsidP="00FC3AF2">
            <w:pPr>
              <w:pStyle w:val="Tabletextrightbold"/>
            </w:pPr>
            <w:r w:rsidRPr="0067507D">
              <w:t xml:space="preserve">10 373 660 </w:t>
            </w:r>
          </w:p>
        </w:tc>
        <w:tc>
          <w:tcPr>
            <w:tcW w:w="1485" w:type="dxa"/>
            <w:noWrap/>
          </w:tcPr>
          <w:p w14:paraId="3F019601" w14:textId="77777777" w:rsidR="005D2595" w:rsidRPr="0067507D" w:rsidRDefault="005D2595" w:rsidP="00FC3AF2">
            <w:pPr>
              <w:pStyle w:val="Tabletextrightbold"/>
            </w:pPr>
            <w:r w:rsidRPr="0067507D">
              <w:t xml:space="preserve">16 688 729 </w:t>
            </w:r>
          </w:p>
        </w:tc>
        <w:tc>
          <w:tcPr>
            <w:tcW w:w="1350" w:type="dxa"/>
            <w:shd w:val="clear" w:color="auto" w:fill="D9D9D9" w:themeFill="background1" w:themeFillShade="D9"/>
            <w:noWrap/>
          </w:tcPr>
          <w:p w14:paraId="3AE46A46" w14:textId="77777777" w:rsidR="005D2595" w:rsidRPr="0067507D" w:rsidRDefault="005D2595" w:rsidP="00FC3AF2">
            <w:pPr>
              <w:pStyle w:val="Tabletextrightbold"/>
            </w:pPr>
            <w:r w:rsidRPr="0067507D">
              <w:t xml:space="preserve">14 209 938 </w:t>
            </w:r>
          </w:p>
        </w:tc>
        <w:tc>
          <w:tcPr>
            <w:tcW w:w="1350" w:type="dxa"/>
            <w:noWrap/>
          </w:tcPr>
          <w:p w14:paraId="67CDC4F6" w14:textId="77777777" w:rsidR="005D2595" w:rsidRPr="0067507D" w:rsidRDefault="005D2595" w:rsidP="00FC3AF2">
            <w:pPr>
              <w:pStyle w:val="Tabletextrightbold"/>
            </w:pPr>
            <w:r w:rsidRPr="0067507D">
              <w:t xml:space="preserve">18 621 306 </w:t>
            </w:r>
          </w:p>
        </w:tc>
        <w:tc>
          <w:tcPr>
            <w:tcW w:w="1350" w:type="dxa"/>
            <w:shd w:val="clear" w:color="auto" w:fill="E0E0E0"/>
            <w:noWrap/>
          </w:tcPr>
          <w:p w14:paraId="5C0A00C9" w14:textId="77777777" w:rsidR="005D2595" w:rsidRPr="0067507D" w:rsidRDefault="005D2595" w:rsidP="00FC3AF2">
            <w:pPr>
              <w:pStyle w:val="Tabletextrightbold"/>
            </w:pPr>
            <w:r w:rsidRPr="0067507D">
              <w:t xml:space="preserve">96 639 574 </w:t>
            </w:r>
          </w:p>
        </w:tc>
        <w:tc>
          <w:tcPr>
            <w:tcW w:w="1350" w:type="dxa"/>
            <w:shd w:val="clear" w:color="auto" w:fill="FFFFFF" w:themeFill="background1"/>
            <w:noWrap/>
          </w:tcPr>
          <w:p w14:paraId="06CCFCAF" w14:textId="77777777" w:rsidR="005D2595" w:rsidRPr="0067507D" w:rsidRDefault="005D2595" w:rsidP="00FC3AF2">
            <w:pPr>
              <w:pStyle w:val="Tabletextrightbold"/>
            </w:pPr>
            <w:r w:rsidRPr="0067507D">
              <w:t xml:space="preserve">101 543 409 </w:t>
            </w:r>
          </w:p>
        </w:tc>
      </w:tr>
      <w:tr w:rsidR="005D2595" w:rsidRPr="0067507D" w14:paraId="2D4D14AB" w14:textId="77777777" w:rsidTr="00FC3AF2">
        <w:trPr>
          <w:cantSplit/>
          <w:trHeight w:hRule="exact" w:val="58"/>
        </w:trPr>
        <w:tc>
          <w:tcPr>
            <w:tcW w:w="1395" w:type="dxa"/>
            <w:shd w:val="clear" w:color="auto" w:fill="D9D9D9" w:themeFill="background1" w:themeFillShade="D9"/>
            <w:noWrap/>
          </w:tcPr>
          <w:p w14:paraId="70A97608" w14:textId="77777777" w:rsidR="005D2595" w:rsidRPr="0067507D" w:rsidRDefault="005D2595" w:rsidP="00FC3AF2">
            <w:pPr>
              <w:pStyle w:val="Tabletextrightbold"/>
            </w:pPr>
          </w:p>
        </w:tc>
        <w:tc>
          <w:tcPr>
            <w:tcW w:w="1485" w:type="dxa"/>
            <w:noWrap/>
          </w:tcPr>
          <w:p w14:paraId="3021F23E" w14:textId="77777777" w:rsidR="005D2595" w:rsidRPr="0067507D" w:rsidRDefault="005D2595" w:rsidP="00FC3AF2">
            <w:pPr>
              <w:pStyle w:val="Tabletextrightbold"/>
            </w:pPr>
          </w:p>
        </w:tc>
        <w:tc>
          <w:tcPr>
            <w:tcW w:w="1350" w:type="dxa"/>
            <w:shd w:val="clear" w:color="auto" w:fill="D9D9D9" w:themeFill="background1" w:themeFillShade="D9"/>
            <w:noWrap/>
          </w:tcPr>
          <w:p w14:paraId="2156F1BE" w14:textId="77777777" w:rsidR="005D2595" w:rsidRPr="0067507D" w:rsidRDefault="005D2595" w:rsidP="00FC3AF2">
            <w:pPr>
              <w:pStyle w:val="Tabletextrightbold"/>
            </w:pPr>
          </w:p>
        </w:tc>
        <w:tc>
          <w:tcPr>
            <w:tcW w:w="1350" w:type="dxa"/>
            <w:noWrap/>
          </w:tcPr>
          <w:p w14:paraId="1F84C8DD" w14:textId="77777777" w:rsidR="005D2595" w:rsidRPr="0067507D" w:rsidRDefault="005D2595" w:rsidP="00FC3AF2">
            <w:pPr>
              <w:pStyle w:val="Tabletextrightbold"/>
            </w:pPr>
          </w:p>
        </w:tc>
        <w:tc>
          <w:tcPr>
            <w:tcW w:w="1350" w:type="dxa"/>
            <w:shd w:val="clear" w:color="auto" w:fill="E0E0E0"/>
            <w:noWrap/>
          </w:tcPr>
          <w:p w14:paraId="441A7AA9" w14:textId="77777777" w:rsidR="005D2595" w:rsidRPr="0067507D" w:rsidRDefault="005D2595" w:rsidP="00FC3AF2">
            <w:pPr>
              <w:pStyle w:val="Tabletextrightbold"/>
            </w:pPr>
          </w:p>
        </w:tc>
        <w:tc>
          <w:tcPr>
            <w:tcW w:w="1350" w:type="dxa"/>
            <w:shd w:val="clear" w:color="auto" w:fill="FFFFFF" w:themeFill="background1"/>
            <w:noWrap/>
          </w:tcPr>
          <w:p w14:paraId="46E07DF6" w14:textId="77777777" w:rsidR="005D2595" w:rsidRPr="0067507D" w:rsidRDefault="005D2595" w:rsidP="00FC3AF2">
            <w:pPr>
              <w:pStyle w:val="Tabletextrightbold"/>
            </w:pPr>
          </w:p>
        </w:tc>
      </w:tr>
      <w:tr w:rsidR="005D2595" w:rsidRPr="00943D06" w14:paraId="0886CDCA" w14:textId="77777777" w:rsidTr="00FC3AF2">
        <w:trPr>
          <w:cantSplit/>
        </w:trPr>
        <w:tc>
          <w:tcPr>
            <w:tcW w:w="1395" w:type="dxa"/>
            <w:shd w:val="clear" w:color="auto" w:fill="D9D9D9" w:themeFill="background1" w:themeFillShade="D9"/>
            <w:noWrap/>
          </w:tcPr>
          <w:p w14:paraId="011EB6D9" w14:textId="77777777" w:rsidR="005D2595" w:rsidRPr="00943D06" w:rsidRDefault="005D2595" w:rsidP="00FC3AF2">
            <w:pPr>
              <w:pStyle w:val="Tabletextright"/>
            </w:pPr>
          </w:p>
        </w:tc>
        <w:tc>
          <w:tcPr>
            <w:tcW w:w="1485" w:type="dxa"/>
            <w:noWrap/>
          </w:tcPr>
          <w:p w14:paraId="12594454" w14:textId="77777777" w:rsidR="005D2595" w:rsidRPr="00943D06" w:rsidRDefault="005D2595" w:rsidP="00FC3AF2">
            <w:pPr>
              <w:pStyle w:val="Tabletextright"/>
            </w:pPr>
          </w:p>
        </w:tc>
        <w:tc>
          <w:tcPr>
            <w:tcW w:w="1350" w:type="dxa"/>
            <w:shd w:val="clear" w:color="auto" w:fill="D9D9D9" w:themeFill="background1" w:themeFillShade="D9"/>
            <w:noWrap/>
          </w:tcPr>
          <w:p w14:paraId="059F056A" w14:textId="77777777" w:rsidR="005D2595" w:rsidRPr="00943D06" w:rsidRDefault="005D2595" w:rsidP="00FC3AF2">
            <w:pPr>
              <w:pStyle w:val="Tabletextright"/>
            </w:pPr>
          </w:p>
        </w:tc>
        <w:tc>
          <w:tcPr>
            <w:tcW w:w="1350" w:type="dxa"/>
            <w:noWrap/>
          </w:tcPr>
          <w:p w14:paraId="409F69A5" w14:textId="77777777" w:rsidR="005D2595" w:rsidRPr="00943D06" w:rsidRDefault="005D2595" w:rsidP="00FC3AF2">
            <w:pPr>
              <w:pStyle w:val="Tabletextright"/>
            </w:pPr>
          </w:p>
        </w:tc>
        <w:tc>
          <w:tcPr>
            <w:tcW w:w="1350" w:type="dxa"/>
            <w:shd w:val="clear" w:color="auto" w:fill="E0E0E0"/>
            <w:noWrap/>
          </w:tcPr>
          <w:p w14:paraId="3EA4AEA1" w14:textId="77777777" w:rsidR="005D2595" w:rsidRPr="00943D06" w:rsidRDefault="005D2595" w:rsidP="00FC3AF2">
            <w:pPr>
              <w:pStyle w:val="Tabletextright"/>
            </w:pPr>
          </w:p>
        </w:tc>
        <w:tc>
          <w:tcPr>
            <w:tcW w:w="1350" w:type="dxa"/>
            <w:shd w:val="clear" w:color="auto" w:fill="FFFFFF" w:themeFill="background1"/>
            <w:noWrap/>
          </w:tcPr>
          <w:p w14:paraId="4ECC23D0" w14:textId="77777777" w:rsidR="005D2595" w:rsidRPr="00943D06" w:rsidRDefault="005D2595" w:rsidP="00FC3AF2">
            <w:pPr>
              <w:pStyle w:val="Tabletextright"/>
            </w:pPr>
          </w:p>
        </w:tc>
      </w:tr>
      <w:tr w:rsidR="005D2595" w:rsidRPr="0067507D" w14:paraId="59D62104" w14:textId="77777777" w:rsidTr="00FC3AF2">
        <w:trPr>
          <w:cantSplit/>
        </w:trPr>
        <w:tc>
          <w:tcPr>
            <w:tcW w:w="1395" w:type="dxa"/>
            <w:shd w:val="clear" w:color="auto" w:fill="D9D9D9" w:themeFill="background1" w:themeFillShade="D9"/>
            <w:noWrap/>
          </w:tcPr>
          <w:p w14:paraId="36916F16" w14:textId="77777777" w:rsidR="005D2595" w:rsidRPr="0067507D" w:rsidRDefault="005D2595" w:rsidP="00FC3AF2">
            <w:pPr>
              <w:pStyle w:val="Tabletextright"/>
              <w:rPr>
                <w:bCs/>
              </w:rPr>
            </w:pPr>
            <w:r w:rsidRPr="0067507D">
              <w:t xml:space="preserve">(19 676 386) </w:t>
            </w:r>
          </w:p>
        </w:tc>
        <w:tc>
          <w:tcPr>
            <w:tcW w:w="1485" w:type="dxa"/>
            <w:noWrap/>
          </w:tcPr>
          <w:p w14:paraId="045F7B62" w14:textId="77777777" w:rsidR="005D2595" w:rsidRPr="0067507D" w:rsidRDefault="005D2595" w:rsidP="00FC3AF2">
            <w:pPr>
              <w:pStyle w:val="Tabletextright"/>
            </w:pPr>
            <w:r w:rsidRPr="0067507D">
              <w:t xml:space="preserve">(35 440 704) </w:t>
            </w:r>
          </w:p>
        </w:tc>
        <w:tc>
          <w:tcPr>
            <w:tcW w:w="1350" w:type="dxa"/>
            <w:shd w:val="clear" w:color="auto" w:fill="D9D9D9" w:themeFill="background1" w:themeFillShade="D9"/>
            <w:noWrap/>
          </w:tcPr>
          <w:p w14:paraId="5E0D10A7" w14:textId="77777777" w:rsidR="005D2595" w:rsidRPr="0067507D" w:rsidRDefault="005D2595" w:rsidP="00FC3AF2">
            <w:pPr>
              <w:pStyle w:val="Tabletextright"/>
              <w:rPr>
                <w:bCs/>
              </w:rPr>
            </w:pPr>
            <w:r w:rsidRPr="0067507D">
              <w:t>–</w:t>
            </w:r>
          </w:p>
        </w:tc>
        <w:tc>
          <w:tcPr>
            <w:tcW w:w="1350" w:type="dxa"/>
            <w:noWrap/>
          </w:tcPr>
          <w:p w14:paraId="3644BD65" w14:textId="77777777" w:rsidR="005D2595" w:rsidRPr="0067507D" w:rsidRDefault="005D2595" w:rsidP="00FC3AF2">
            <w:pPr>
              <w:pStyle w:val="Tabletextright"/>
            </w:pPr>
            <w:r w:rsidRPr="0067507D">
              <w:t>–</w:t>
            </w:r>
          </w:p>
        </w:tc>
        <w:tc>
          <w:tcPr>
            <w:tcW w:w="1350" w:type="dxa"/>
            <w:shd w:val="clear" w:color="auto" w:fill="E0E0E0"/>
            <w:noWrap/>
          </w:tcPr>
          <w:p w14:paraId="0622A6A9" w14:textId="77777777" w:rsidR="005D2595" w:rsidRPr="0067507D" w:rsidRDefault="005D2595" w:rsidP="00FC3AF2">
            <w:pPr>
              <w:pStyle w:val="Tabletextright"/>
              <w:rPr>
                <w:bCs/>
              </w:rPr>
            </w:pPr>
            <w:r w:rsidRPr="0067507D">
              <w:t xml:space="preserve">(85 598 503) </w:t>
            </w:r>
          </w:p>
        </w:tc>
        <w:tc>
          <w:tcPr>
            <w:tcW w:w="1350" w:type="dxa"/>
            <w:shd w:val="clear" w:color="auto" w:fill="FFFFFF" w:themeFill="background1"/>
            <w:noWrap/>
          </w:tcPr>
          <w:p w14:paraId="7A604223" w14:textId="77777777" w:rsidR="005D2595" w:rsidRPr="0067507D" w:rsidRDefault="005D2595" w:rsidP="00FC3AF2">
            <w:pPr>
              <w:pStyle w:val="Tabletextright"/>
            </w:pPr>
            <w:r w:rsidRPr="0067507D">
              <w:t xml:space="preserve">(93 192 056) </w:t>
            </w:r>
          </w:p>
        </w:tc>
      </w:tr>
      <w:tr w:rsidR="005D2595" w:rsidRPr="0067507D" w14:paraId="640AEEC0" w14:textId="77777777" w:rsidTr="00FC3AF2">
        <w:trPr>
          <w:cantSplit/>
        </w:trPr>
        <w:tc>
          <w:tcPr>
            <w:tcW w:w="1395" w:type="dxa"/>
            <w:shd w:val="clear" w:color="auto" w:fill="D9D9D9" w:themeFill="background1" w:themeFillShade="D9"/>
            <w:noWrap/>
          </w:tcPr>
          <w:p w14:paraId="06BD6A4D" w14:textId="77777777" w:rsidR="005D2595" w:rsidRPr="0067507D" w:rsidRDefault="005D2595" w:rsidP="00FC3AF2">
            <w:pPr>
              <w:pStyle w:val="Tabletextright"/>
              <w:rPr>
                <w:bCs/>
              </w:rPr>
            </w:pPr>
            <w:r w:rsidRPr="0067507D">
              <w:t xml:space="preserve">(371 959) </w:t>
            </w:r>
          </w:p>
        </w:tc>
        <w:tc>
          <w:tcPr>
            <w:tcW w:w="1485" w:type="dxa"/>
            <w:noWrap/>
          </w:tcPr>
          <w:p w14:paraId="2BA3C944" w14:textId="77777777" w:rsidR="005D2595" w:rsidRPr="0067507D" w:rsidRDefault="005D2595" w:rsidP="00FC3AF2">
            <w:pPr>
              <w:pStyle w:val="Tabletextright"/>
            </w:pPr>
            <w:r w:rsidRPr="0067507D">
              <w:t xml:space="preserve">(61 459) </w:t>
            </w:r>
          </w:p>
        </w:tc>
        <w:tc>
          <w:tcPr>
            <w:tcW w:w="1350" w:type="dxa"/>
            <w:shd w:val="clear" w:color="auto" w:fill="D9D9D9" w:themeFill="background1" w:themeFillShade="D9"/>
            <w:noWrap/>
          </w:tcPr>
          <w:p w14:paraId="456CFF82" w14:textId="77777777" w:rsidR="005D2595" w:rsidRPr="0067507D" w:rsidRDefault="005D2595" w:rsidP="00FC3AF2">
            <w:pPr>
              <w:pStyle w:val="Tabletextright"/>
              <w:rPr>
                <w:bCs/>
              </w:rPr>
            </w:pPr>
            <w:r w:rsidRPr="0067507D">
              <w:t>–</w:t>
            </w:r>
          </w:p>
        </w:tc>
        <w:tc>
          <w:tcPr>
            <w:tcW w:w="1350" w:type="dxa"/>
            <w:noWrap/>
          </w:tcPr>
          <w:p w14:paraId="0192F4D9" w14:textId="77777777" w:rsidR="005D2595" w:rsidRPr="0067507D" w:rsidRDefault="005D2595" w:rsidP="00FC3AF2">
            <w:pPr>
              <w:pStyle w:val="Tabletextright"/>
            </w:pPr>
            <w:r w:rsidRPr="0067507D">
              <w:t>–</w:t>
            </w:r>
          </w:p>
        </w:tc>
        <w:tc>
          <w:tcPr>
            <w:tcW w:w="1350" w:type="dxa"/>
            <w:shd w:val="clear" w:color="auto" w:fill="E0E0E0"/>
            <w:noWrap/>
          </w:tcPr>
          <w:p w14:paraId="7DC7DB68" w14:textId="77777777" w:rsidR="005D2595" w:rsidRPr="0067507D" w:rsidRDefault="005D2595" w:rsidP="00FC3AF2">
            <w:pPr>
              <w:pStyle w:val="Tabletextright"/>
              <w:rPr>
                <w:bCs/>
              </w:rPr>
            </w:pPr>
            <w:r w:rsidRPr="0067507D">
              <w:t xml:space="preserve">(6 387 536) </w:t>
            </w:r>
          </w:p>
        </w:tc>
        <w:tc>
          <w:tcPr>
            <w:tcW w:w="1350" w:type="dxa"/>
            <w:shd w:val="clear" w:color="auto" w:fill="FFFFFF" w:themeFill="background1"/>
            <w:noWrap/>
          </w:tcPr>
          <w:p w14:paraId="773915EC" w14:textId="77777777" w:rsidR="005D2595" w:rsidRPr="0067507D" w:rsidRDefault="005D2595" w:rsidP="00FC3AF2">
            <w:pPr>
              <w:pStyle w:val="Tabletextright"/>
            </w:pPr>
            <w:r w:rsidRPr="0067507D">
              <w:t xml:space="preserve">(5 795 414) </w:t>
            </w:r>
          </w:p>
        </w:tc>
      </w:tr>
      <w:tr w:rsidR="005D2595" w:rsidRPr="0067507D" w14:paraId="0160DFBB" w14:textId="77777777" w:rsidTr="00FC3AF2">
        <w:trPr>
          <w:cantSplit/>
        </w:trPr>
        <w:tc>
          <w:tcPr>
            <w:tcW w:w="1395" w:type="dxa"/>
            <w:shd w:val="clear" w:color="auto" w:fill="D9D9D9" w:themeFill="background1" w:themeFillShade="D9"/>
            <w:noWrap/>
          </w:tcPr>
          <w:p w14:paraId="12762ADF" w14:textId="77777777" w:rsidR="005D2595" w:rsidRPr="0067507D" w:rsidRDefault="005D2595" w:rsidP="00FC3AF2">
            <w:pPr>
              <w:pStyle w:val="Tabletextright"/>
              <w:rPr>
                <w:bCs/>
              </w:rPr>
            </w:pPr>
            <w:r w:rsidRPr="0067507D">
              <w:t xml:space="preserve">(5 887 777) </w:t>
            </w:r>
          </w:p>
        </w:tc>
        <w:tc>
          <w:tcPr>
            <w:tcW w:w="1485" w:type="dxa"/>
            <w:noWrap/>
          </w:tcPr>
          <w:p w14:paraId="5A576ECC" w14:textId="77777777" w:rsidR="005D2595" w:rsidRPr="0067507D" w:rsidRDefault="005D2595" w:rsidP="00FC3AF2">
            <w:pPr>
              <w:pStyle w:val="Tabletextright"/>
              <w:rPr>
                <w:bCs/>
              </w:rPr>
            </w:pPr>
            <w:r w:rsidRPr="0067507D">
              <w:t xml:space="preserve">(4 820 823) </w:t>
            </w:r>
          </w:p>
        </w:tc>
        <w:tc>
          <w:tcPr>
            <w:tcW w:w="1350" w:type="dxa"/>
            <w:shd w:val="clear" w:color="auto" w:fill="D9D9D9" w:themeFill="background1" w:themeFillShade="D9"/>
            <w:noWrap/>
          </w:tcPr>
          <w:p w14:paraId="67427461" w14:textId="77777777" w:rsidR="005D2595" w:rsidRPr="0067507D" w:rsidRDefault="005D2595" w:rsidP="00FC3AF2">
            <w:pPr>
              <w:pStyle w:val="Tabletextright"/>
              <w:rPr>
                <w:bCs/>
              </w:rPr>
            </w:pPr>
            <w:r w:rsidRPr="0067507D">
              <w:t>–</w:t>
            </w:r>
          </w:p>
        </w:tc>
        <w:tc>
          <w:tcPr>
            <w:tcW w:w="1350" w:type="dxa"/>
            <w:noWrap/>
          </w:tcPr>
          <w:p w14:paraId="7B779922" w14:textId="77777777" w:rsidR="005D2595" w:rsidRPr="0067507D" w:rsidRDefault="005D2595" w:rsidP="00FC3AF2">
            <w:pPr>
              <w:pStyle w:val="Tabletextright"/>
            </w:pPr>
            <w:r w:rsidRPr="0067507D">
              <w:t>–</w:t>
            </w:r>
          </w:p>
        </w:tc>
        <w:tc>
          <w:tcPr>
            <w:tcW w:w="1350" w:type="dxa"/>
            <w:shd w:val="clear" w:color="auto" w:fill="E0E0E0"/>
            <w:noWrap/>
          </w:tcPr>
          <w:p w14:paraId="363A9CC5" w14:textId="77777777" w:rsidR="005D2595" w:rsidRPr="0067507D" w:rsidRDefault="005D2595" w:rsidP="00FC3AF2">
            <w:pPr>
              <w:pStyle w:val="Tabletextright"/>
              <w:rPr>
                <w:bCs/>
              </w:rPr>
            </w:pPr>
            <w:r w:rsidRPr="0067507D">
              <w:t xml:space="preserve">(5 890 138) </w:t>
            </w:r>
          </w:p>
        </w:tc>
        <w:tc>
          <w:tcPr>
            <w:tcW w:w="1350" w:type="dxa"/>
            <w:shd w:val="clear" w:color="auto" w:fill="FFFFFF" w:themeFill="background1"/>
            <w:noWrap/>
          </w:tcPr>
          <w:p w14:paraId="019D0F4E" w14:textId="77777777" w:rsidR="005D2595" w:rsidRPr="0067507D" w:rsidRDefault="005D2595" w:rsidP="00FC3AF2">
            <w:pPr>
              <w:pStyle w:val="Tabletextright"/>
              <w:rPr>
                <w:bCs/>
              </w:rPr>
            </w:pPr>
            <w:r w:rsidRPr="0067507D">
              <w:t xml:space="preserve">(4 821 761) </w:t>
            </w:r>
          </w:p>
        </w:tc>
      </w:tr>
      <w:tr w:rsidR="005D2595" w:rsidRPr="0067507D" w14:paraId="5DEAC280" w14:textId="77777777" w:rsidTr="00FC3AF2">
        <w:trPr>
          <w:cantSplit/>
        </w:trPr>
        <w:tc>
          <w:tcPr>
            <w:tcW w:w="1395" w:type="dxa"/>
            <w:shd w:val="clear" w:color="auto" w:fill="D9D9D9" w:themeFill="background1" w:themeFillShade="D9"/>
            <w:noWrap/>
          </w:tcPr>
          <w:p w14:paraId="7C73CBD8" w14:textId="77777777" w:rsidR="005D2595" w:rsidRPr="0067507D" w:rsidRDefault="005D2595" w:rsidP="00FC3AF2">
            <w:pPr>
              <w:pStyle w:val="Tabletextright"/>
              <w:rPr>
                <w:bCs/>
              </w:rPr>
            </w:pPr>
            <w:r w:rsidRPr="0067507D">
              <w:t xml:space="preserve">(1 302 748) </w:t>
            </w:r>
          </w:p>
        </w:tc>
        <w:tc>
          <w:tcPr>
            <w:tcW w:w="1485" w:type="dxa"/>
            <w:noWrap/>
          </w:tcPr>
          <w:p w14:paraId="01600AAE" w14:textId="77777777" w:rsidR="005D2595" w:rsidRPr="0067507D" w:rsidRDefault="005D2595" w:rsidP="00FC3AF2">
            <w:pPr>
              <w:pStyle w:val="Tabletextright"/>
              <w:rPr>
                <w:bCs/>
              </w:rPr>
            </w:pPr>
            <w:r w:rsidRPr="0067507D">
              <w:t xml:space="preserve">(1 218 940) </w:t>
            </w:r>
          </w:p>
        </w:tc>
        <w:tc>
          <w:tcPr>
            <w:tcW w:w="1350" w:type="dxa"/>
            <w:shd w:val="clear" w:color="auto" w:fill="D9D9D9" w:themeFill="background1" w:themeFillShade="D9"/>
            <w:noWrap/>
          </w:tcPr>
          <w:p w14:paraId="5C865B0C" w14:textId="77777777" w:rsidR="005D2595" w:rsidRPr="0067507D" w:rsidRDefault="005D2595" w:rsidP="00FC3AF2">
            <w:pPr>
              <w:pStyle w:val="Tabletextright"/>
              <w:rPr>
                <w:bCs/>
              </w:rPr>
            </w:pPr>
            <w:r w:rsidRPr="0067507D">
              <w:t>–</w:t>
            </w:r>
          </w:p>
        </w:tc>
        <w:tc>
          <w:tcPr>
            <w:tcW w:w="1350" w:type="dxa"/>
            <w:noWrap/>
          </w:tcPr>
          <w:p w14:paraId="295FD126" w14:textId="77777777" w:rsidR="005D2595" w:rsidRPr="0067507D" w:rsidRDefault="005D2595" w:rsidP="00FC3AF2">
            <w:pPr>
              <w:pStyle w:val="Tabletextright"/>
            </w:pPr>
            <w:r w:rsidRPr="0067507D">
              <w:t>–</w:t>
            </w:r>
          </w:p>
        </w:tc>
        <w:tc>
          <w:tcPr>
            <w:tcW w:w="1350" w:type="dxa"/>
            <w:shd w:val="clear" w:color="auto" w:fill="E0E0E0"/>
            <w:noWrap/>
          </w:tcPr>
          <w:p w14:paraId="5BE7726C" w14:textId="77777777" w:rsidR="005D2595" w:rsidRPr="0067507D" w:rsidRDefault="005D2595" w:rsidP="00FC3AF2">
            <w:pPr>
              <w:pStyle w:val="Tabletextright"/>
              <w:rPr>
                <w:bCs/>
              </w:rPr>
            </w:pPr>
            <w:r w:rsidRPr="0067507D">
              <w:t xml:space="preserve">(1 302 748) </w:t>
            </w:r>
          </w:p>
        </w:tc>
        <w:tc>
          <w:tcPr>
            <w:tcW w:w="1350" w:type="dxa"/>
            <w:shd w:val="clear" w:color="auto" w:fill="FFFFFF" w:themeFill="background1"/>
            <w:noWrap/>
          </w:tcPr>
          <w:p w14:paraId="591D8E59" w14:textId="77777777" w:rsidR="005D2595" w:rsidRPr="0067507D" w:rsidRDefault="005D2595" w:rsidP="00FC3AF2">
            <w:pPr>
              <w:pStyle w:val="Tabletextright"/>
              <w:rPr>
                <w:bCs/>
              </w:rPr>
            </w:pPr>
            <w:r w:rsidRPr="0067507D">
              <w:t xml:space="preserve">(1 218 940) </w:t>
            </w:r>
          </w:p>
        </w:tc>
      </w:tr>
      <w:tr w:rsidR="005D2595" w:rsidRPr="0067507D" w14:paraId="03CAE639" w14:textId="77777777" w:rsidTr="00FC3AF2">
        <w:trPr>
          <w:cantSplit/>
        </w:trPr>
        <w:tc>
          <w:tcPr>
            <w:tcW w:w="1395" w:type="dxa"/>
            <w:shd w:val="clear" w:color="auto" w:fill="D9D9D9" w:themeFill="background1" w:themeFillShade="D9"/>
            <w:noWrap/>
          </w:tcPr>
          <w:p w14:paraId="12347DFF" w14:textId="77777777" w:rsidR="005D2595" w:rsidRPr="0067507D" w:rsidRDefault="005D2595" w:rsidP="00FC3AF2">
            <w:pPr>
              <w:pStyle w:val="Tabletextright"/>
              <w:rPr>
                <w:bCs/>
              </w:rPr>
            </w:pPr>
            <w:r w:rsidRPr="0067507D">
              <w:t xml:space="preserve">(138 156) </w:t>
            </w:r>
          </w:p>
        </w:tc>
        <w:tc>
          <w:tcPr>
            <w:tcW w:w="1485" w:type="dxa"/>
            <w:noWrap/>
          </w:tcPr>
          <w:p w14:paraId="02D25CC8" w14:textId="77777777" w:rsidR="005D2595" w:rsidRPr="0067507D" w:rsidRDefault="005D2595" w:rsidP="00FC3AF2">
            <w:pPr>
              <w:pStyle w:val="Tabletextright"/>
            </w:pPr>
            <w:r w:rsidRPr="0067507D">
              <w:t xml:space="preserve">(18 828) </w:t>
            </w:r>
          </w:p>
        </w:tc>
        <w:tc>
          <w:tcPr>
            <w:tcW w:w="1350" w:type="dxa"/>
            <w:shd w:val="clear" w:color="auto" w:fill="D9D9D9" w:themeFill="background1" w:themeFillShade="D9"/>
            <w:noWrap/>
          </w:tcPr>
          <w:p w14:paraId="5B3E2086" w14:textId="77777777" w:rsidR="005D2595" w:rsidRPr="0067507D" w:rsidRDefault="005D2595" w:rsidP="00FC3AF2">
            <w:pPr>
              <w:pStyle w:val="Tabletextright"/>
              <w:rPr>
                <w:bCs/>
              </w:rPr>
            </w:pPr>
            <w:r w:rsidRPr="0067507D">
              <w:t>–</w:t>
            </w:r>
          </w:p>
        </w:tc>
        <w:tc>
          <w:tcPr>
            <w:tcW w:w="1350" w:type="dxa"/>
            <w:noWrap/>
          </w:tcPr>
          <w:p w14:paraId="7972938A" w14:textId="77777777" w:rsidR="005D2595" w:rsidRPr="0067507D" w:rsidRDefault="005D2595" w:rsidP="00FC3AF2">
            <w:pPr>
              <w:pStyle w:val="Tabletextright"/>
            </w:pPr>
            <w:r w:rsidRPr="0067507D">
              <w:t>–</w:t>
            </w:r>
          </w:p>
        </w:tc>
        <w:tc>
          <w:tcPr>
            <w:tcW w:w="1350" w:type="dxa"/>
            <w:shd w:val="clear" w:color="auto" w:fill="E0E0E0"/>
            <w:noWrap/>
          </w:tcPr>
          <w:p w14:paraId="3B930454" w14:textId="77777777" w:rsidR="005D2595" w:rsidRPr="0067507D" w:rsidRDefault="005D2595" w:rsidP="00FC3AF2">
            <w:pPr>
              <w:pStyle w:val="Tabletextright"/>
              <w:rPr>
                <w:bCs/>
              </w:rPr>
            </w:pPr>
            <w:r w:rsidRPr="0067507D">
              <w:t xml:space="preserve">(377 463) </w:t>
            </w:r>
          </w:p>
        </w:tc>
        <w:tc>
          <w:tcPr>
            <w:tcW w:w="1350" w:type="dxa"/>
            <w:shd w:val="clear" w:color="auto" w:fill="FFFFFF" w:themeFill="background1"/>
            <w:noWrap/>
          </w:tcPr>
          <w:p w14:paraId="1219D346" w14:textId="77777777" w:rsidR="005D2595" w:rsidRPr="0067507D" w:rsidRDefault="005D2595" w:rsidP="00FC3AF2">
            <w:pPr>
              <w:pStyle w:val="Tabletextright"/>
            </w:pPr>
            <w:r w:rsidRPr="0067507D">
              <w:t xml:space="preserve">(637 057) </w:t>
            </w:r>
          </w:p>
        </w:tc>
      </w:tr>
      <w:tr w:rsidR="005D2595" w:rsidRPr="0067507D" w14:paraId="62388FB2" w14:textId="77777777" w:rsidTr="00FC3AF2">
        <w:trPr>
          <w:cantSplit/>
        </w:trPr>
        <w:tc>
          <w:tcPr>
            <w:tcW w:w="1395" w:type="dxa"/>
            <w:shd w:val="clear" w:color="auto" w:fill="D9D9D9" w:themeFill="background1" w:themeFillShade="D9"/>
            <w:noWrap/>
          </w:tcPr>
          <w:p w14:paraId="19EEB841" w14:textId="77777777" w:rsidR="005D2595" w:rsidRPr="0067507D" w:rsidRDefault="005D2595" w:rsidP="00FC3AF2">
            <w:pPr>
              <w:pStyle w:val="Tabletextrightbold"/>
            </w:pPr>
            <w:r w:rsidRPr="0067507D">
              <w:t xml:space="preserve">(27 377 026) </w:t>
            </w:r>
          </w:p>
        </w:tc>
        <w:tc>
          <w:tcPr>
            <w:tcW w:w="1485" w:type="dxa"/>
            <w:noWrap/>
          </w:tcPr>
          <w:p w14:paraId="761F5B25" w14:textId="77777777" w:rsidR="005D2595" w:rsidRPr="0067507D" w:rsidRDefault="005D2595" w:rsidP="00FC3AF2">
            <w:pPr>
              <w:pStyle w:val="Tabletextrightbold"/>
            </w:pPr>
            <w:r w:rsidRPr="0067507D">
              <w:t xml:space="preserve">(41 560 754) </w:t>
            </w:r>
          </w:p>
        </w:tc>
        <w:tc>
          <w:tcPr>
            <w:tcW w:w="1350" w:type="dxa"/>
            <w:shd w:val="clear" w:color="auto" w:fill="D9D9D9" w:themeFill="background1" w:themeFillShade="D9"/>
            <w:noWrap/>
          </w:tcPr>
          <w:p w14:paraId="2BF889DD" w14:textId="77777777" w:rsidR="005D2595" w:rsidRPr="0067507D" w:rsidRDefault="005D2595" w:rsidP="00FC3AF2">
            <w:pPr>
              <w:pStyle w:val="Tabletextrightbold"/>
            </w:pPr>
            <w:r w:rsidRPr="0067507D">
              <w:t>–</w:t>
            </w:r>
          </w:p>
        </w:tc>
        <w:tc>
          <w:tcPr>
            <w:tcW w:w="1350" w:type="dxa"/>
            <w:noWrap/>
          </w:tcPr>
          <w:p w14:paraId="78CD9AA7" w14:textId="77777777" w:rsidR="005D2595" w:rsidRPr="0067507D" w:rsidRDefault="005D2595" w:rsidP="00FC3AF2">
            <w:pPr>
              <w:pStyle w:val="Tabletextrightbold"/>
            </w:pPr>
            <w:r w:rsidRPr="0067507D">
              <w:t>–</w:t>
            </w:r>
          </w:p>
        </w:tc>
        <w:tc>
          <w:tcPr>
            <w:tcW w:w="1350" w:type="dxa"/>
            <w:shd w:val="clear" w:color="auto" w:fill="E0E0E0"/>
            <w:noWrap/>
          </w:tcPr>
          <w:p w14:paraId="02B301CA" w14:textId="77777777" w:rsidR="005D2595" w:rsidRPr="0067507D" w:rsidRDefault="005D2595" w:rsidP="00FC3AF2">
            <w:pPr>
              <w:pStyle w:val="Tabletextrightbold"/>
            </w:pPr>
            <w:r w:rsidRPr="0067507D">
              <w:t xml:space="preserve">(99 556 388) </w:t>
            </w:r>
          </w:p>
        </w:tc>
        <w:tc>
          <w:tcPr>
            <w:tcW w:w="1350" w:type="dxa"/>
            <w:shd w:val="clear" w:color="auto" w:fill="FFFFFF" w:themeFill="background1"/>
            <w:noWrap/>
          </w:tcPr>
          <w:p w14:paraId="28586572" w14:textId="77777777" w:rsidR="005D2595" w:rsidRPr="0067507D" w:rsidRDefault="005D2595" w:rsidP="00FC3AF2">
            <w:pPr>
              <w:pStyle w:val="Tabletextrightbold"/>
            </w:pPr>
            <w:r w:rsidRPr="0067507D">
              <w:t xml:space="preserve">(105 665 228) </w:t>
            </w:r>
          </w:p>
        </w:tc>
      </w:tr>
      <w:tr w:rsidR="005D2595" w:rsidRPr="00943D06" w14:paraId="38E38927" w14:textId="77777777" w:rsidTr="00FC3AF2">
        <w:trPr>
          <w:cantSplit/>
          <w:trHeight w:hRule="exact" w:val="58"/>
        </w:trPr>
        <w:tc>
          <w:tcPr>
            <w:tcW w:w="1395" w:type="dxa"/>
            <w:shd w:val="clear" w:color="auto" w:fill="D9D9D9" w:themeFill="background1" w:themeFillShade="D9"/>
            <w:noWrap/>
          </w:tcPr>
          <w:p w14:paraId="2EED82DF" w14:textId="77777777" w:rsidR="005D2595" w:rsidRPr="00943D06" w:rsidRDefault="005D2595" w:rsidP="00FC3AF2">
            <w:pPr>
              <w:pStyle w:val="Tabletextright"/>
            </w:pPr>
          </w:p>
        </w:tc>
        <w:tc>
          <w:tcPr>
            <w:tcW w:w="1485" w:type="dxa"/>
            <w:noWrap/>
          </w:tcPr>
          <w:p w14:paraId="68C26B5E" w14:textId="77777777" w:rsidR="005D2595" w:rsidRPr="00943D06" w:rsidRDefault="005D2595" w:rsidP="00FC3AF2">
            <w:pPr>
              <w:pStyle w:val="Tabletextright"/>
            </w:pPr>
          </w:p>
        </w:tc>
        <w:tc>
          <w:tcPr>
            <w:tcW w:w="1350" w:type="dxa"/>
            <w:shd w:val="clear" w:color="auto" w:fill="D9D9D9" w:themeFill="background1" w:themeFillShade="D9"/>
            <w:noWrap/>
          </w:tcPr>
          <w:p w14:paraId="059DE47F" w14:textId="77777777" w:rsidR="005D2595" w:rsidRPr="00943D06" w:rsidRDefault="005D2595" w:rsidP="00FC3AF2">
            <w:pPr>
              <w:pStyle w:val="Tabletextright"/>
            </w:pPr>
          </w:p>
        </w:tc>
        <w:tc>
          <w:tcPr>
            <w:tcW w:w="1350" w:type="dxa"/>
            <w:noWrap/>
          </w:tcPr>
          <w:p w14:paraId="15538C78" w14:textId="77777777" w:rsidR="005D2595" w:rsidRPr="00943D06" w:rsidRDefault="005D2595" w:rsidP="00FC3AF2">
            <w:pPr>
              <w:pStyle w:val="Tabletextright"/>
            </w:pPr>
          </w:p>
        </w:tc>
        <w:tc>
          <w:tcPr>
            <w:tcW w:w="1350" w:type="dxa"/>
            <w:shd w:val="clear" w:color="auto" w:fill="E0E0E0"/>
            <w:noWrap/>
          </w:tcPr>
          <w:p w14:paraId="41409124" w14:textId="77777777" w:rsidR="005D2595" w:rsidRPr="00943D06" w:rsidRDefault="005D2595" w:rsidP="00FC3AF2">
            <w:pPr>
              <w:pStyle w:val="Tabletextright"/>
            </w:pPr>
          </w:p>
        </w:tc>
        <w:tc>
          <w:tcPr>
            <w:tcW w:w="1350" w:type="dxa"/>
            <w:shd w:val="clear" w:color="auto" w:fill="FFFFFF" w:themeFill="background1"/>
            <w:noWrap/>
          </w:tcPr>
          <w:p w14:paraId="650CD8BC" w14:textId="77777777" w:rsidR="005D2595" w:rsidRPr="00943D06" w:rsidRDefault="005D2595" w:rsidP="00FC3AF2">
            <w:pPr>
              <w:pStyle w:val="Tabletextright"/>
            </w:pPr>
          </w:p>
        </w:tc>
      </w:tr>
      <w:tr w:rsidR="005D2595" w:rsidRPr="0067507D" w14:paraId="7F069EF8" w14:textId="77777777" w:rsidTr="00FC3AF2">
        <w:trPr>
          <w:cantSplit/>
        </w:trPr>
        <w:tc>
          <w:tcPr>
            <w:tcW w:w="1395" w:type="dxa"/>
            <w:shd w:val="clear" w:color="auto" w:fill="D9D9D9" w:themeFill="background1" w:themeFillShade="D9"/>
            <w:noWrap/>
          </w:tcPr>
          <w:p w14:paraId="0C116361" w14:textId="77777777" w:rsidR="005D2595" w:rsidRPr="0067507D" w:rsidRDefault="005D2595" w:rsidP="00FC3AF2">
            <w:pPr>
              <w:pStyle w:val="Tabletextrightbold"/>
            </w:pPr>
            <w:r w:rsidRPr="0067507D">
              <w:t xml:space="preserve">(17 003 366) </w:t>
            </w:r>
          </w:p>
        </w:tc>
        <w:tc>
          <w:tcPr>
            <w:tcW w:w="1485" w:type="dxa"/>
            <w:noWrap/>
          </w:tcPr>
          <w:p w14:paraId="121E3B49" w14:textId="77777777" w:rsidR="005D2595" w:rsidRPr="0067507D" w:rsidRDefault="005D2595" w:rsidP="00FC3AF2">
            <w:pPr>
              <w:pStyle w:val="Tabletextrightbold"/>
            </w:pPr>
            <w:r w:rsidRPr="0067507D">
              <w:t xml:space="preserve">(24 872 025) </w:t>
            </w:r>
          </w:p>
        </w:tc>
        <w:tc>
          <w:tcPr>
            <w:tcW w:w="1350" w:type="dxa"/>
            <w:shd w:val="clear" w:color="auto" w:fill="D9D9D9" w:themeFill="background1" w:themeFillShade="D9"/>
            <w:noWrap/>
          </w:tcPr>
          <w:p w14:paraId="2CD51818" w14:textId="77777777" w:rsidR="005D2595" w:rsidRPr="0067507D" w:rsidRDefault="005D2595" w:rsidP="00FC3AF2">
            <w:pPr>
              <w:pStyle w:val="Tabletextrightbold"/>
            </w:pPr>
            <w:r w:rsidRPr="0067507D">
              <w:t xml:space="preserve">14 209 938 </w:t>
            </w:r>
          </w:p>
        </w:tc>
        <w:tc>
          <w:tcPr>
            <w:tcW w:w="1350" w:type="dxa"/>
            <w:noWrap/>
          </w:tcPr>
          <w:p w14:paraId="060A0985" w14:textId="77777777" w:rsidR="005D2595" w:rsidRPr="0067507D" w:rsidRDefault="005D2595" w:rsidP="00FC3AF2">
            <w:pPr>
              <w:pStyle w:val="Tabletextrightbold"/>
            </w:pPr>
            <w:r w:rsidRPr="0067507D">
              <w:t xml:space="preserve">18 621 306 </w:t>
            </w:r>
          </w:p>
        </w:tc>
        <w:tc>
          <w:tcPr>
            <w:tcW w:w="1350" w:type="dxa"/>
            <w:shd w:val="clear" w:color="auto" w:fill="E0E0E0"/>
            <w:noWrap/>
          </w:tcPr>
          <w:p w14:paraId="4A1BDAA7" w14:textId="77777777" w:rsidR="005D2595" w:rsidRPr="0067507D" w:rsidRDefault="005D2595" w:rsidP="00FC3AF2">
            <w:pPr>
              <w:pStyle w:val="Tabletextrightbold"/>
            </w:pPr>
            <w:r w:rsidRPr="0067507D">
              <w:t xml:space="preserve">(2 916 814) </w:t>
            </w:r>
          </w:p>
        </w:tc>
        <w:tc>
          <w:tcPr>
            <w:tcW w:w="1350" w:type="dxa"/>
            <w:shd w:val="clear" w:color="auto" w:fill="FFFFFF" w:themeFill="background1"/>
            <w:noWrap/>
          </w:tcPr>
          <w:p w14:paraId="29A0205F" w14:textId="77777777" w:rsidR="005D2595" w:rsidRPr="0067507D" w:rsidRDefault="005D2595" w:rsidP="00FC3AF2">
            <w:pPr>
              <w:pStyle w:val="Tabletextrightbold"/>
            </w:pPr>
            <w:r w:rsidRPr="0067507D">
              <w:t xml:space="preserve">(4 121 819) </w:t>
            </w:r>
          </w:p>
        </w:tc>
      </w:tr>
      <w:tr w:rsidR="005D2595" w:rsidRPr="0067507D" w14:paraId="0B0D4F14" w14:textId="77777777" w:rsidTr="00FC3AF2">
        <w:trPr>
          <w:cantSplit/>
          <w:trHeight w:hRule="exact" w:val="58"/>
        </w:trPr>
        <w:tc>
          <w:tcPr>
            <w:tcW w:w="1395" w:type="dxa"/>
            <w:shd w:val="clear" w:color="auto" w:fill="D9D9D9" w:themeFill="background1" w:themeFillShade="D9"/>
            <w:noWrap/>
          </w:tcPr>
          <w:p w14:paraId="3C0D94B8" w14:textId="77777777" w:rsidR="005D2595" w:rsidRPr="0067507D" w:rsidRDefault="005D2595" w:rsidP="00FC3AF2">
            <w:pPr>
              <w:pStyle w:val="Tabletextright"/>
              <w:rPr>
                <w:bCs/>
              </w:rPr>
            </w:pPr>
          </w:p>
        </w:tc>
        <w:tc>
          <w:tcPr>
            <w:tcW w:w="1485" w:type="dxa"/>
            <w:noWrap/>
          </w:tcPr>
          <w:p w14:paraId="700F1DCC" w14:textId="77777777" w:rsidR="005D2595" w:rsidRPr="0067507D" w:rsidRDefault="005D2595" w:rsidP="00FC3AF2">
            <w:pPr>
              <w:pStyle w:val="Tabletextright"/>
              <w:rPr>
                <w:bCs/>
              </w:rPr>
            </w:pPr>
          </w:p>
        </w:tc>
        <w:tc>
          <w:tcPr>
            <w:tcW w:w="1350" w:type="dxa"/>
            <w:shd w:val="clear" w:color="auto" w:fill="D9D9D9" w:themeFill="background1" w:themeFillShade="D9"/>
            <w:noWrap/>
          </w:tcPr>
          <w:p w14:paraId="0EF71BD7" w14:textId="77777777" w:rsidR="005D2595" w:rsidRPr="0067507D" w:rsidRDefault="005D2595" w:rsidP="00FC3AF2">
            <w:pPr>
              <w:pStyle w:val="Tabletextright"/>
              <w:rPr>
                <w:bCs/>
              </w:rPr>
            </w:pPr>
          </w:p>
        </w:tc>
        <w:tc>
          <w:tcPr>
            <w:tcW w:w="1350" w:type="dxa"/>
            <w:noWrap/>
          </w:tcPr>
          <w:p w14:paraId="38F3BCFB" w14:textId="77777777" w:rsidR="005D2595" w:rsidRPr="0067507D" w:rsidRDefault="005D2595" w:rsidP="00FC3AF2">
            <w:pPr>
              <w:pStyle w:val="Tabletextright"/>
              <w:rPr>
                <w:bCs/>
              </w:rPr>
            </w:pPr>
          </w:p>
        </w:tc>
        <w:tc>
          <w:tcPr>
            <w:tcW w:w="1350" w:type="dxa"/>
            <w:shd w:val="clear" w:color="auto" w:fill="E0E0E0"/>
            <w:noWrap/>
          </w:tcPr>
          <w:p w14:paraId="79A5B3A9" w14:textId="77777777" w:rsidR="005D2595" w:rsidRPr="0067507D" w:rsidRDefault="005D2595" w:rsidP="00FC3AF2">
            <w:pPr>
              <w:pStyle w:val="Tabletextright"/>
              <w:rPr>
                <w:bCs/>
              </w:rPr>
            </w:pPr>
          </w:p>
        </w:tc>
        <w:tc>
          <w:tcPr>
            <w:tcW w:w="1350" w:type="dxa"/>
            <w:shd w:val="clear" w:color="auto" w:fill="FFFFFF" w:themeFill="background1"/>
            <w:noWrap/>
          </w:tcPr>
          <w:p w14:paraId="64EA495D" w14:textId="77777777" w:rsidR="005D2595" w:rsidRPr="0067507D" w:rsidRDefault="005D2595" w:rsidP="00FC3AF2">
            <w:pPr>
              <w:pStyle w:val="Tabletextright"/>
              <w:rPr>
                <w:bCs/>
              </w:rPr>
            </w:pPr>
          </w:p>
        </w:tc>
      </w:tr>
      <w:tr w:rsidR="005D2595" w:rsidRPr="0067507D" w14:paraId="0FA90E13" w14:textId="77777777" w:rsidTr="00FC3AF2">
        <w:trPr>
          <w:cantSplit/>
        </w:trPr>
        <w:tc>
          <w:tcPr>
            <w:tcW w:w="1395" w:type="dxa"/>
            <w:shd w:val="clear" w:color="auto" w:fill="D9D9D9" w:themeFill="background1" w:themeFillShade="D9"/>
            <w:noWrap/>
          </w:tcPr>
          <w:p w14:paraId="189F6106" w14:textId="77777777" w:rsidR="005D2595" w:rsidRPr="0067507D" w:rsidRDefault="005D2595" w:rsidP="00FC3AF2">
            <w:pPr>
              <w:pStyle w:val="Tabletextright"/>
              <w:rPr>
                <w:bCs/>
              </w:rPr>
            </w:pPr>
          </w:p>
        </w:tc>
        <w:tc>
          <w:tcPr>
            <w:tcW w:w="1485" w:type="dxa"/>
            <w:noWrap/>
          </w:tcPr>
          <w:p w14:paraId="3559E3D8" w14:textId="77777777" w:rsidR="005D2595" w:rsidRPr="0067507D" w:rsidRDefault="005D2595" w:rsidP="00FC3AF2">
            <w:pPr>
              <w:pStyle w:val="Tabletextright"/>
              <w:rPr>
                <w:bCs/>
              </w:rPr>
            </w:pPr>
          </w:p>
        </w:tc>
        <w:tc>
          <w:tcPr>
            <w:tcW w:w="1350" w:type="dxa"/>
            <w:shd w:val="clear" w:color="auto" w:fill="D9D9D9" w:themeFill="background1" w:themeFillShade="D9"/>
            <w:noWrap/>
          </w:tcPr>
          <w:p w14:paraId="5486A5F1" w14:textId="77777777" w:rsidR="005D2595" w:rsidRPr="0067507D" w:rsidRDefault="005D2595" w:rsidP="00FC3AF2">
            <w:pPr>
              <w:pStyle w:val="Tabletextright"/>
              <w:rPr>
                <w:bCs/>
              </w:rPr>
            </w:pPr>
          </w:p>
        </w:tc>
        <w:tc>
          <w:tcPr>
            <w:tcW w:w="1350" w:type="dxa"/>
            <w:noWrap/>
          </w:tcPr>
          <w:p w14:paraId="4C98EB89" w14:textId="77777777" w:rsidR="005D2595" w:rsidRPr="0067507D" w:rsidRDefault="005D2595" w:rsidP="00FC3AF2">
            <w:pPr>
              <w:pStyle w:val="Tabletextright"/>
              <w:rPr>
                <w:bCs/>
              </w:rPr>
            </w:pPr>
          </w:p>
        </w:tc>
        <w:tc>
          <w:tcPr>
            <w:tcW w:w="1350" w:type="dxa"/>
            <w:shd w:val="clear" w:color="auto" w:fill="E0E0E0"/>
            <w:noWrap/>
          </w:tcPr>
          <w:p w14:paraId="2190D092" w14:textId="77777777" w:rsidR="005D2595" w:rsidRPr="0067507D" w:rsidRDefault="005D2595" w:rsidP="00FC3AF2">
            <w:pPr>
              <w:pStyle w:val="Tabletextright"/>
              <w:rPr>
                <w:bCs/>
              </w:rPr>
            </w:pPr>
          </w:p>
        </w:tc>
        <w:tc>
          <w:tcPr>
            <w:tcW w:w="1350" w:type="dxa"/>
            <w:shd w:val="clear" w:color="auto" w:fill="FFFFFF" w:themeFill="background1"/>
            <w:noWrap/>
          </w:tcPr>
          <w:p w14:paraId="4B9E36CC" w14:textId="77777777" w:rsidR="005D2595" w:rsidRPr="0067507D" w:rsidRDefault="005D2595" w:rsidP="00FC3AF2">
            <w:pPr>
              <w:pStyle w:val="Tabletextright"/>
              <w:rPr>
                <w:bCs/>
              </w:rPr>
            </w:pPr>
          </w:p>
        </w:tc>
      </w:tr>
      <w:tr w:rsidR="005D2595" w:rsidRPr="0067507D" w14:paraId="5375EE53" w14:textId="77777777" w:rsidTr="00FC3AF2">
        <w:trPr>
          <w:cantSplit/>
        </w:trPr>
        <w:tc>
          <w:tcPr>
            <w:tcW w:w="1395" w:type="dxa"/>
            <w:shd w:val="clear" w:color="auto" w:fill="D9D9D9" w:themeFill="background1" w:themeFillShade="D9"/>
            <w:noWrap/>
          </w:tcPr>
          <w:p w14:paraId="638D99D6" w14:textId="77777777" w:rsidR="005D2595" w:rsidRPr="0067507D" w:rsidRDefault="005D2595" w:rsidP="00FC3AF2">
            <w:pPr>
              <w:pStyle w:val="Tabletextright"/>
              <w:rPr>
                <w:bCs/>
              </w:rPr>
            </w:pPr>
            <w:r w:rsidRPr="0067507D">
              <w:t xml:space="preserve"> 803 218 </w:t>
            </w:r>
          </w:p>
        </w:tc>
        <w:tc>
          <w:tcPr>
            <w:tcW w:w="1485" w:type="dxa"/>
            <w:noWrap/>
          </w:tcPr>
          <w:p w14:paraId="4A5383A7" w14:textId="77777777" w:rsidR="005D2595" w:rsidRPr="0067507D" w:rsidRDefault="005D2595" w:rsidP="00FC3AF2">
            <w:pPr>
              <w:pStyle w:val="Tabletextright"/>
            </w:pPr>
            <w:r w:rsidRPr="0067507D">
              <w:t xml:space="preserve"> 287 416 </w:t>
            </w:r>
          </w:p>
        </w:tc>
        <w:tc>
          <w:tcPr>
            <w:tcW w:w="1350" w:type="dxa"/>
            <w:shd w:val="clear" w:color="auto" w:fill="D9D9D9" w:themeFill="background1" w:themeFillShade="D9"/>
            <w:noWrap/>
          </w:tcPr>
          <w:p w14:paraId="00EE8081" w14:textId="77777777" w:rsidR="005D2595" w:rsidRPr="0067507D" w:rsidRDefault="005D2595" w:rsidP="00FC3AF2">
            <w:pPr>
              <w:pStyle w:val="Tabletextright"/>
              <w:rPr>
                <w:bCs/>
              </w:rPr>
            </w:pPr>
            <w:r w:rsidRPr="0067507D">
              <w:t>–</w:t>
            </w:r>
          </w:p>
        </w:tc>
        <w:tc>
          <w:tcPr>
            <w:tcW w:w="1350" w:type="dxa"/>
            <w:noWrap/>
          </w:tcPr>
          <w:p w14:paraId="58C47861" w14:textId="77777777" w:rsidR="005D2595" w:rsidRPr="0067507D" w:rsidRDefault="005D2595" w:rsidP="00FC3AF2">
            <w:pPr>
              <w:pStyle w:val="Tabletextright"/>
            </w:pPr>
            <w:r w:rsidRPr="0067507D">
              <w:t>–</w:t>
            </w:r>
          </w:p>
        </w:tc>
        <w:tc>
          <w:tcPr>
            <w:tcW w:w="1350" w:type="dxa"/>
            <w:shd w:val="clear" w:color="auto" w:fill="E0E0E0"/>
            <w:noWrap/>
          </w:tcPr>
          <w:p w14:paraId="044AFED4" w14:textId="77777777" w:rsidR="005D2595" w:rsidRPr="0067507D" w:rsidRDefault="005D2595" w:rsidP="00FC3AF2">
            <w:pPr>
              <w:pStyle w:val="Tabletextright"/>
              <w:rPr>
                <w:bCs/>
              </w:rPr>
            </w:pPr>
            <w:r w:rsidRPr="0067507D">
              <w:t xml:space="preserve"> 686 013 </w:t>
            </w:r>
          </w:p>
        </w:tc>
        <w:tc>
          <w:tcPr>
            <w:tcW w:w="1350" w:type="dxa"/>
            <w:shd w:val="clear" w:color="auto" w:fill="FFFFFF" w:themeFill="background1"/>
            <w:noWrap/>
          </w:tcPr>
          <w:p w14:paraId="4C1EC4EF" w14:textId="77777777" w:rsidR="005D2595" w:rsidRPr="0067507D" w:rsidRDefault="005D2595" w:rsidP="00FC3AF2">
            <w:pPr>
              <w:pStyle w:val="Tabletextright"/>
            </w:pPr>
            <w:r w:rsidRPr="0067507D">
              <w:t xml:space="preserve"> 313 008 </w:t>
            </w:r>
          </w:p>
        </w:tc>
      </w:tr>
      <w:tr w:rsidR="005D2595" w:rsidRPr="0067507D" w14:paraId="765FC304" w14:textId="77777777" w:rsidTr="00FC3AF2">
        <w:trPr>
          <w:cantSplit/>
        </w:trPr>
        <w:tc>
          <w:tcPr>
            <w:tcW w:w="1395" w:type="dxa"/>
            <w:shd w:val="clear" w:color="auto" w:fill="D9D9D9" w:themeFill="background1" w:themeFillShade="D9"/>
            <w:noWrap/>
          </w:tcPr>
          <w:p w14:paraId="6E44B666" w14:textId="77777777" w:rsidR="005D2595" w:rsidRPr="0067507D" w:rsidRDefault="005D2595" w:rsidP="00FC3AF2">
            <w:pPr>
              <w:pStyle w:val="Tabletextrightbold"/>
            </w:pPr>
            <w:r w:rsidRPr="0067507D">
              <w:t xml:space="preserve"> 803 218 </w:t>
            </w:r>
          </w:p>
        </w:tc>
        <w:tc>
          <w:tcPr>
            <w:tcW w:w="1485" w:type="dxa"/>
            <w:noWrap/>
          </w:tcPr>
          <w:p w14:paraId="5D16557F" w14:textId="77777777" w:rsidR="005D2595" w:rsidRPr="0067507D" w:rsidRDefault="005D2595" w:rsidP="00FC3AF2">
            <w:pPr>
              <w:pStyle w:val="Tabletextrightbold"/>
            </w:pPr>
            <w:r w:rsidRPr="0067507D">
              <w:t xml:space="preserve"> 287 416 </w:t>
            </w:r>
          </w:p>
        </w:tc>
        <w:tc>
          <w:tcPr>
            <w:tcW w:w="1350" w:type="dxa"/>
            <w:shd w:val="clear" w:color="auto" w:fill="D9D9D9" w:themeFill="background1" w:themeFillShade="D9"/>
            <w:noWrap/>
          </w:tcPr>
          <w:p w14:paraId="3CDADF73" w14:textId="77777777" w:rsidR="005D2595" w:rsidRPr="0067507D" w:rsidRDefault="005D2595" w:rsidP="00FC3AF2">
            <w:pPr>
              <w:pStyle w:val="Tabletextrightbold"/>
            </w:pPr>
            <w:r w:rsidRPr="0067507D">
              <w:t>–</w:t>
            </w:r>
          </w:p>
        </w:tc>
        <w:tc>
          <w:tcPr>
            <w:tcW w:w="1350" w:type="dxa"/>
            <w:noWrap/>
          </w:tcPr>
          <w:p w14:paraId="33BB1159" w14:textId="77777777" w:rsidR="005D2595" w:rsidRPr="0067507D" w:rsidRDefault="005D2595" w:rsidP="00FC3AF2">
            <w:pPr>
              <w:pStyle w:val="Tabletextrightbold"/>
            </w:pPr>
            <w:r w:rsidRPr="0067507D">
              <w:t>–</w:t>
            </w:r>
          </w:p>
        </w:tc>
        <w:tc>
          <w:tcPr>
            <w:tcW w:w="1350" w:type="dxa"/>
            <w:shd w:val="clear" w:color="auto" w:fill="E0E0E0"/>
            <w:noWrap/>
          </w:tcPr>
          <w:p w14:paraId="2A95639E" w14:textId="77777777" w:rsidR="005D2595" w:rsidRPr="0067507D" w:rsidRDefault="005D2595" w:rsidP="00FC3AF2">
            <w:pPr>
              <w:pStyle w:val="Tabletextrightbold"/>
            </w:pPr>
            <w:r w:rsidRPr="0067507D">
              <w:t xml:space="preserve"> 686 013 </w:t>
            </w:r>
          </w:p>
        </w:tc>
        <w:tc>
          <w:tcPr>
            <w:tcW w:w="1350" w:type="dxa"/>
            <w:shd w:val="clear" w:color="auto" w:fill="FFFFFF" w:themeFill="background1"/>
            <w:noWrap/>
          </w:tcPr>
          <w:p w14:paraId="401B6789" w14:textId="77777777" w:rsidR="005D2595" w:rsidRPr="0067507D" w:rsidRDefault="005D2595" w:rsidP="00FC3AF2">
            <w:pPr>
              <w:pStyle w:val="Tabletextrightbold"/>
            </w:pPr>
            <w:r w:rsidRPr="0067507D">
              <w:t xml:space="preserve"> 313 008 </w:t>
            </w:r>
          </w:p>
        </w:tc>
      </w:tr>
      <w:tr w:rsidR="005D2595" w:rsidRPr="0067507D" w14:paraId="72E629DB" w14:textId="77777777" w:rsidTr="00FC3AF2">
        <w:trPr>
          <w:cantSplit/>
          <w:trHeight w:hRule="exact" w:val="58"/>
        </w:trPr>
        <w:tc>
          <w:tcPr>
            <w:tcW w:w="1395" w:type="dxa"/>
            <w:shd w:val="clear" w:color="auto" w:fill="D9D9D9" w:themeFill="background1" w:themeFillShade="D9"/>
            <w:noWrap/>
          </w:tcPr>
          <w:p w14:paraId="52C95EE6" w14:textId="77777777" w:rsidR="005D2595" w:rsidRPr="0067507D" w:rsidRDefault="005D2595" w:rsidP="00FC3AF2">
            <w:pPr>
              <w:pStyle w:val="Tabletextrightbold"/>
            </w:pPr>
          </w:p>
        </w:tc>
        <w:tc>
          <w:tcPr>
            <w:tcW w:w="1485" w:type="dxa"/>
            <w:noWrap/>
          </w:tcPr>
          <w:p w14:paraId="124A6D82" w14:textId="77777777" w:rsidR="005D2595" w:rsidRPr="0067507D" w:rsidRDefault="005D2595" w:rsidP="00FC3AF2">
            <w:pPr>
              <w:pStyle w:val="Tabletextrightbold"/>
            </w:pPr>
          </w:p>
        </w:tc>
        <w:tc>
          <w:tcPr>
            <w:tcW w:w="1350" w:type="dxa"/>
            <w:shd w:val="clear" w:color="auto" w:fill="D9D9D9" w:themeFill="background1" w:themeFillShade="D9"/>
            <w:noWrap/>
          </w:tcPr>
          <w:p w14:paraId="4C57C06F" w14:textId="77777777" w:rsidR="005D2595" w:rsidRPr="0067507D" w:rsidRDefault="005D2595" w:rsidP="00FC3AF2">
            <w:pPr>
              <w:pStyle w:val="Tabletextrightbold"/>
            </w:pPr>
          </w:p>
        </w:tc>
        <w:tc>
          <w:tcPr>
            <w:tcW w:w="1350" w:type="dxa"/>
            <w:noWrap/>
          </w:tcPr>
          <w:p w14:paraId="5D7E429B" w14:textId="77777777" w:rsidR="005D2595" w:rsidRPr="0067507D" w:rsidRDefault="005D2595" w:rsidP="00FC3AF2">
            <w:pPr>
              <w:pStyle w:val="Tabletextrightbold"/>
            </w:pPr>
          </w:p>
        </w:tc>
        <w:tc>
          <w:tcPr>
            <w:tcW w:w="1350" w:type="dxa"/>
            <w:shd w:val="clear" w:color="auto" w:fill="E0E0E0"/>
            <w:noWrap/>
          </w:tcPr>
          <w:p w14:paraId="4FCE1DCF" w14:textId="77777777" w:rsidR="005D2595" w:rsidRPr="0067507D" w:rsidRDefault="005D2595" w:rsidP="00FC3AF2">
            <w:pPr>
              <w:pStyle w:val="Tabletextrightbold"/>
            </w:pPr>
          </w:p>
        </w:tc>
        <w:tc>
          <w:tcPr>
            <w:tcW w:w="1350" w:type="dxa"/>
            <w:shd w:val="clear" w:color="auto" w:fill="FFFFFF" w:themeFill="background1"/>
            <w:noWrap/>
          </w:tcPr>
          <w:p w14:paraId="315A5E73" w14:textId="77777777" w:rsidR="005D2595" w:rsidRPr="0067507D" w:rsidRDefault="005D2595" w:rsidP="00FC3AF2">
            <w:pPr>
              <w:pStyle w:val="Tabletextrightbold"/>
            </w:pPr>
          </w:p>
        </w:tc>
      </w:tr>
      <w:tr w:rsidR="005D2595" w:rsidRPr="0067507D" w14:paraId="1765ED4B" w14:textId="77777777" w:rsidTr="00FC3AF2">
        <w:trPr>
          <w:cantSplit/>
        </w:trPr>
        <w:tc>
          <w:tcPr>
            <w:tcW w:w="1395" w:type="dxa"/>
            <w:shd w:val="clear" w:color="auto" w:fill="D9D9D9" w:themeFill="background1" w:themeFillShade="D9"/>
            <w:noWrap/>
          </w:tcPr>
          <w:p w14:paraId="02E0ACB9" w14:textId="77777777" w:rsidR="005D2595" w:rsidRPr="0067507D" w:rsidRDefault="005D2595" w:rsidP="00FC3AF2">
            <w:pPr>
              <w:pStyle w:val="Tabletextrightbold"/>
            </w:pPr>
            <w:r w:rsidRPr="0067507D">
              <w:t xml:space="preserve">(16 200 148) </w:t>
            </w:r>
          </w:p>
        </w:tc>
        <w:tc>
          <w:tcPr>
            <w:tcW w:w="1485" w:type="dxa"/>
            <w:noWrap/>
          </w:tcPr>
          <w:p w14:paraId="004EF9EC" w14:textId="77777777" w:rsidR="005D2595" w:rsidRPr="0067507D" w:rsidRDefault="005D2595" w:rsidP="00FC3AF2">
            <w:pPr>
              <w:pStyle w:val="Tabletextrightbold"/>
            </w:pPr>
            <w:r w:rsidRPr="0067507D">
              <w:t xml:space="preserve">(24 584 609) </w:t>
            </w:r>
          </w:p>
        </w:tc>
        <w:tc>
          <w:tcPr>
            <w:tcW w:w="1350" w:type="dxa"/>
            <w:shd w:val="clear" w:color="auto" w:fill="D9D9D9" w:themeFill="background1" w:themeFillShade="D9"/>
            <w:noWrap/>
          </w:tcPr>
          <w:p w14:paraId="70D67580" w14:textId="77777777" w:rsidR="005D2595" w:rsidRPr="0067507D" w:rsidRDefault="005D2595" w:rsidP="00FC3AF2">
            <w:pPr>
              <w:pStyle w:val="Tabletextrightbold"/>
            </w:pPr>
            <w:r w:rsidRPr="0067507D">
              <w:t xml:space="preserve">14 209 938 </w:t>
            </w:r>
          </w:p>
        </w:tc>
        <w:tc>
          <w:tcPr>
            <w:tcW w:w="1350" w:type="dxa"/>
            <w:noWrap/>
          </w:tcPr>
          <w:p w14:paraId="6E66AB20" w14:textId="77777777" w:rsidR="005D2595" w:rsidRPr="0067507D" w:rsidRDefault="005D2595" w:rsidP="00FC3AF2">
            <w:pPr>
              <w:pStyle w:val="Tabletextrightbold"/>
            </w:pPr>
            <w:r w:rsidRPr="0067507D">
              <w:t xml:space="preserve">18 621 306 </w:t>
            </w:r>
          </w:p>
        </w:tc>
        <w:tc>
          <w:tcPr>
            <w:tcW w:w="1350" w:type="dxa"/>
            <w:shd w:val="clear" w:color="auto" w:fill="E0E0E0"/>
            <w:noWrap/>
          </w:tcPr>
          <w:p w14:paraId="73BFCF67" w14:textId="77777777" w:rsidR="005D2595" w:rsidRPr="0067507D" w:rsidRDefault="005D2595" w:rsidP="00FC3AF2">
            <w:pPr>
              <w:pStyle w:val="Tabletextrightbold"/>
            </w:pPr>
            <w:r w:rsidRPr="0067507D">
              <w:t xml:space="preserve">(2 230 801) </w:t>
            </w:r>
          </w:p>
        </w:tc>
        <w:tc>
          <w:tcPr>
            <w:tcW w:w="1350" w:type="dxa"/>
            <w:shd w:val="clear" w:color="auto" w:fill="FFFFFF" w:themeFill="background1"/>
            <w:noWrap/>
          </w:tcPr>
          <w:p w14:paraId="20848819" w14:textId="77777777" w:rsidR="005D2595" w:rsidRPr="0067507D" w:rsidRDefault="005D2595" w:rsidP="00FC3AF2">
            <w:pPr>
              <w:pStyle w:val="Tabletextrightbold"/>
            </w:pPr>
            <w:r w:rsidRPr="0067507D">
              <w:t xml:space="preserve">(3 808 811) </w:t>
            </w:r>
          </w:p>
        </w:tc>
      </w:tr>
      <w:tr w:rsidR="005D2595" w:rsidRPr="00943D06" w14:paraId="246B2536" w14:textId="77777777" w:rsidTr="00FC3AF2">
        <w:trPr>
          <w:cantSplit/>
          <w:trHeight w:hRule="exact" w:val="58"/>
        </w:trPr>
        <w:tc>
          <w:tcPr>
            <w:tcW w:w="1395" w:type="dxa"/>
            <w:shd w:val="clear" w:color="auto" w:fill="D9D9D9" w:themeFill="background1" w:themeFillShade="D9"/>
            <w:noWrap/>
          </w:tcPr>
          <w:p w14:paraId="3C4D114A" w14:textId="77777777" w:rsidR="005D2595" w:rsidRPr="00943D06" w:rsidRDefault="005D2595" w:rsidP="00FC3AF2">
            <w:pPr>
              <w:pStyle w:val="Tabletextright"/>
            </w:pPr>
          </w:p>
        </w:tc>
        <w:tc>
          <w:tcPr>
            <w:tcW w:w="1485" w:type="dxa"/>
            <w:noWrap/>
          </w:tcPr>
          <w:p w14:paraId="739D22D0" w14:textId="77777777" w:rsidR="005D2595" w:rsidRPr="00943D06" w:rsidRDefault="005D2595" w:rsidP="00FC3AF2">
            <w:pPr>
              <w:pStyle w:val="Tabletextright"/>
            </w:pPr>
          </w:p>
        </w:tc>
        <w:tc>
          <w:tcPr>
            <w:tcW w:w="1350" w:type="dxa"/>
            <w:shd w:val="clear" w:color="auto" w:fill="D9D9D9" w:themeFill="background1" w:themeFillShade="D9"/>
            <w:noWrap/>
          </w:tcPr>
          <w:p w14:paraId="6E4D8B15" w14:textId="77777777" w:rsidR="005D2595" w:rsidRPr="00943D06" w:rsidRDefault="005D2595" w:rsidP="00FC3AF2">
            <w:pPr>
              <w:pStyle w:val="Tabletextright"/>
            </w:pPr>
          </w:p>
        </w:tc>
        <w:tc>
          <w:tcPr>
            <w:tcW w:w="1350" w:type="dxa"/>
            <w:noWrap/>
          </w:tcPr>
          <w:p w14:paraId="2FDD98D8" w14:textId="77777777" w:rsidR="005D2595" w:rsidRPr="00943D06" w:rsidRDefault="005D2595" w:rsidP="00FC3AF2">
            <w:pPr>
              <w:pStyle w:val="Tabletextright"/>
            </w:pPr>
          </w:p>
        </w:tc>
        <w:tc>
          <w:tcPr>
            <w:tcW w:w="1350" w:type="dxa"/>
            <w:shd w:val="clear" w:color="auto" w:fill="E0E0E0"/>
            <w:noWrap/>
          </w:tcPr>
          <w:p w14:paraId="633D65D1" w14:textId="77777777" w:rsidR="005D2595" w:rsidRPr="00943D06" w:rsidRDefault="005D2595" w:rsidP="00FC3AF2">
            <w:pPr>
              <w:pStyle w:val="Tabletextright"/>
            </w:pPr>
          </w:p>
        </w:tc>
        <w:tc>
          <w:tcPr>
            <w:tcW w:w="1350" w:type="dxa"/>
            <w:shd w:val="clear" w:color="auto" w:fill="FFFFFF" w:themeFill="background1"/>
            <w:noWrap/>
          </w:tcPr>
          <w:p w14:paraId="4577EA7A" w14:textId="77777777" w:rsidR="005D2595" w:rsidRPr="00943D06" w:rsidRDefault="005D2595" w:rsidP="00FC3AF2">
            <w:pPr>
              <w:pStyle w:val="Tabletextright"/>
            </w:pPr>
          </w:p>
        </w:tc>
      </w:tr>
      <w:tr w:rsidR="005D2595" w:rsidRPr="00943D06" w14:paraId="273E40B2" w14:textId="77777777" w:rsidTr="00FC3AF2">
        <w:trPr>
          <w:cantSplit/>
        </w:trPr>
        <w:tc>
          <w:tcPr>
            <w:tcW w:w="1395" w:type="dxa"/>
            <w:shd w:val="clear" w:color="auto" w:fill="D9D9D9" w:themeFill="background1" w:themeFillShade="D9"/>
            <w:noWrap/>
          </w:tcPr>
          <w:p w14:paraId="3D7F48C2" w14:textId="77777777" w:rsidR="005D2595" w:rsidRPr="00943D06" w:rsidRDefault="005D2595" w:rsidP="00943D06">
            <w:pPr>
              <w:pStyle w:val="Tabletextright"/>
            </w:pPr>
          </w:p>
        </w:tc>
        <w:tc>
          <w:tcPr>
            <w:tcW w:w="1485" w:type="dxa"/>
            <w:noWrap/>
          </w:tcPr>
          <w:p w14:paraId="57170089" w14:textId="77777777" w:rsidR="005D2595" w:rsidRPr="00943D06" w:rsidRDefault="005D2595" w:rsidP="00943D06">
            <w:pPr>
              <w:pStyle w:val="Tabletextright"/>
            </w:pPr>
          </w:p>
        </w:tc>
        <w:tc>
          <w:tcPr>
            <w:tcW w:w="1350" w:type="dxa"/>
            <w:shd w:val="clear" w:color="auto" w:fill="D9D9D9" w:themeFill="background1" w:themeFillShade="D9"/>
            <w:noWrap/>
          </w:tcPr>
          <w:p w14:paraId="287C5B3E" w14:textId="77777777" w:rsidR="005D2595" w:rsidRPr="00943D06" w:rsidRDefault="005D2595" w:rsidP="00943D06">
            <w:pPr>
              <w:pStyle w:val="Tabletextright"/>
            </w:pPr>
          </w:p>
        </w:tc>
        <w:tc>
          <w:tcPr>
            <w:tcW w:w="1350" w:type="dxa"/>
            <w:noWrap/>
          </w:tcPr>
          <w:p w14:paraId="45C51A56" w14:textId="77777777" w:rsidR="005D2595" w:rsidRPr="00943D06" w:rsidRDefault="005D2595" w:rsidP="00943D06">
            <w:pPr>
              <w:pStyle w:val="Tabletextright"/>
            </w:pPr>
          </w:p>
        </w:tc>
        <w:tc>
          <w:tcPr>
            <w:tcW w:w="1350" w:type="dxa"/>
            <w:shd w:val="clear" w:color="auto" w:fill="E0E0E0"/>
            <w:noWrap/>
          </w:tcPr>
          <w:p w14:paraId="359033A7" w14:textId="77777777" w:rsidR="005D2595" w:rsidRPr="00943D06" w:rsidRDefault="005D2595" w:rsidP="00943D06">
            <w:pPr>
              <w:pStyle w:val="Tabletextright"/>
            </w:pPr>
          </w:p>
        </w:tc>
        <w:tc>
          <w:tcPr>
            <w:tcW w:w="1350" w:type="dxa"/>
            <w:shd w:val="clear" w:color="auto" w:fill="FFFFFF" w:themeFill="background1"/>
            <w:noWrap/>
          </w:tcPr>
          <w:p w14:paraId="781A6269" w14:textId="77777777" w:rsidR="005D2595" w:rsidRPr="00943D06" w:rsidRDefault="005D2595" w:rsidP="00943D06">
            <w:pPr>
              <w:pStyle w:val="Tabletextright"/>
            </w:pPr>
          </w:p>
        </w:tc>
      </w:tr>
      <w:tr w:rsidR="005D2595" w:rsidRPr="00943D06" w14:paraId="75AA033C" w14:textId="77777777" w:rsidTr="00FC3AF2">
        <w:trPr>
          <w:cantSplit/>
        </w:trPr>
        <w:tc>
          <w:tcPr>
            <w:tcW w:w="1395" w:type="dxa"/>
            <w:shd w:val="clear" w:color="auto" w:fill="D9D9D9" w:themeFill="background1" w:themeFillShade="D9"/>
            <w:noWrap/>
          </w:tcPr>
          <w:p w14:paraId="1A44AB88" w14:textId="77777777" w:rsidR="005D2595" w:rsidRPr="00943D06" w:rsidRDefault="005D2595" w:rsidP="00943D06">
            <w:pPr>
              <w:pStyle w:val="Tabletextright"/>
            </w:pPr>
          </w:p>
        </w:tc>
        <w:tc>
          <w:tcPr>
            <w:tcW w:w="1485" w:type="dxa"/>
            <w:noWrap/>
          </w:tcPr>
          <w:p w14:paraId="57754317" w14:textId="77777777" w:rsidR="005D2595" w:rsidRPr="00943D06" w:rsidRDefault="005D2595" w:rsidP="00943D06">
            <w:pPr>
              <w:pStyle w:val="Tabletextright"/>
            </w:pPr>
          </w:p>
        </w:tc>
        <w:tc>
          <w:tcPr>
            <w:tcW w:w="1350" w:type="dxa"/>
            <w:shd w:val="clear" w:color="auto" w:fill="D9D9D9" w:themeFill="background1" w:themeFillShade="D9"/>
            <w:noWrap/>
          </w:tcPr>
          <w:p w14:paraId="489BBC85" w14:textId="77777777" w:rsidR="005D2595" w:rsidRPr="00943D06" w:rsidRDefault="005D2595" w:rsidP="00943D06">
            <w:pPr>
              <w:pStyle w:val="Tabletextright"/>
            </w:pPr>
          </w:p>
        </w:tc>
        <w:tc>
          <w:tcPr>
            <w:tcW w:w="1350" w:type="dxa"/>
            <w:noWrap/>
          </w:tcPr>
          <w:p w14:paraId="199C1B20" w14:textId="77777777" w:rsidR="005D2595" w:rsidRPr="00943D06" w:rsidRDefault="005D2595" w:rsidP="00943D06">
            <w:pPr>
              <w:pStyle w:val="Tabletextright"/>
            </w:pPr>
          </w:p>
        </w:tc>
        <w:tc>
          <w:tcPr>
            <w:tcW w:w="1350" w:type="dxa"/>
            <w:shd w:val="clear" w:color="auto" w:fill="E0E0E0"/>
            <w:noWrap/>
          </w:tcPr>
          <w:p w14:paraId="14C9682E" w14:textId="77777777" w:rsidR="005D2595" w:rsidRPr="00943D06" w:rsidRDefault="005D2595" w:rsidP="00943D06">
            <w:pPr>
              <w:pStyle w:val="Tabletextright"/>
            </w:pPr>
          </w:p>
        </w:tc>
        <w:tc>
          <w:tcPr>
            <w:tcW w:w="1350" w:type="dxa"/>
            <w:shd w:val="clear" w:color="auto" w:fill="FFFFFF" w:themeFill="background1"/>
            <w:noWrap/>
          </w:tcPr>
          <w:p w14:paraId="0DAE601D" w14:textId="77777777" w:rsidR="005D2595" w:rsidRPr="00943D06" w:rsidRDefault="005D2595" w:rsidP="00943D06">
            <w:pPr>
              <w:pStyle w:val="Tabletextright"/>
            </w:pPr>
          </w:p>
        </w:tc>
      </w:tr>
      <w:tr w:rsidR="005D2595" w:rsidRPr="0067507D" w14:paraId="5230DCE3" w14:textId="77777777" w:rsidTr="00FC3AF2">
        <w:trPr>
          <w:cantSplit/>
        </w:trPr>
        <w:tc>
          <w:tcPr>
            <w:tcW w:w="1395" w:type="dxa"/>
            <w:shd w:val="clear" w:color="auto" w:fill="D9D9D9" w:themeFill="background1" w:themeFillShade="D9"/>
            <w:noWrap/>
          </w:tcPr>
          <w:p w14:paraId="164B18AC" w14:textId="77777777" w:rsidR="005D2595" w:rsidRPr="0067507D" w:rsidRDefault="005D2595" w:rsidP="00FC3AF2">
            <w:pPr>
              <w:pStyle w:val="Tabletextright"/>
              <w:rPr>
                <w:bCs/>
              </w:rPr>
            </w:pPr>
            <w:r w:rsidRPr="0067507D">
              <w:t xml:space="preserve"> 785 767 </w:t>
            </w:r>
          </w:p>
        </w:tc>
        <w:tc>
          <w:tcPr>
            <w:tcW w:w="1485" w:type="dxa"/>
            <w:noWrap/>
          </w:tcPr>
          <w:p w14:paraId="59FE4C55" w14:textId="77777777" w:rsidR="005D2595" w:rsidRPr="0067507D" w:rsidRDefault="005D2595" w:rsidP="00FC3AF2">
            <w:pPr>
              <w:pStyle w:val="Tabletextright"/>
            </w:pPr>
            <w:r w:rsidRPr="0067507D">
              <w:t xml:space="preserve">1 660 670 </w:t>
            </w:r>
          </w:p>
        </w:tc>
        <w:tc>
          <w:tcPr>
            <w:tcW w:w="1350" w:type="dxa"/>
            <w:shd w:val="clear" w:color="auto" w:fill="D9D9D9" w:themeFill="background1" w:themeFillShade="D9"/>
            <w:noWrap/>
          </w:tcPr>
          <w:p w14:paraId="0BC34E85" w14:textId="77777777" w:rsidR="005D2595" w:rsidRPr="0067507D" w:rsidRDefault="005D2595" w:rsidP="00FC3AF2">
            <w:pPr>
              <w:pStyle w:val="Tabletextright"/>
              <w:rPr>
                <w:bCs/>
              </w:rPr>
            </w:pPr>
            <w:r w:rsidRPr="0067507D">
              <w:t>–</w:t>
            </w:r>
          </w:p>
        </w:tc>
        <w:tc>
          <w:tcPr>
            <w:tcW w:w="1350" w:type="dxa"/>
            <w:noWrap/>
          </w:tcPr>
          <w:p w14:paraId="5EA7FE89" w14:textId="77777777" w:rsidR="005D2595" w:rsidRPr="0067507D" w:rsidRDefault="005D2595" w:rsidP="00FC3AF2">
            <w:pPr>
              <w:pStyle w:val="Tabletextright"/>
              <w:rPr>
                <w:bCs/>
              </w:rPr>
            </w:pPr>
            <w:r w:rsidRPr="0067507D">
              <w:t>–</w:t>
            </w:r>
          </w:p>
        </w:tc>
        <w:tc>
          <w:tcPr>
            <w:tcW w:w="1350" w:type="dxa"/>
            <w:shd w:val="clear" w:color="auto" w:fill="E0E0E0"/>
            <w:noWrap/>
          </w:tcPr>
          <w:p w14:paraId="6DDCACC7" w14:textId="77777777" w:rsidR="005D2595" w:rsidRPr="0067507D" w:rsidRDefault="005D2595" w:rsidP="00FC3AF2">
            <w:pPr>
              <w:pStyle w:val="Tabletextright"/>
              <w:rPr>
                <w:bCs/>
              </w:rPr>
            </w:pPr>
            <w:r w:rsidRPr="0067507D">
              <w:t xml:space="preserve"> 785 767 </w:t>
            </w:r>
          </w:p>
        </w:tc>
        <w:tc>
          <w:tcPr>
            <w:tcW w:w="1350" w:type="dxa"/>
            <w:shd w:val="clear" w:color="auto" w:fill="FFFFFF" w:themeFill="background1"/>
            <w:noWrap/>
          </w:tcPr>
          <w:p w14:paraId="45DD346C" w14:textId="77777777" w:rsidR="005D2595" w:rsidRPr="0067507D" w:rsidRDefault="005D2595" w:rsidP="00FC3AF2">
            <w:pPr>
              <w:pStyle w:val="Tabletextright"/>
              <w:rPr>
                <w:bCs/>
              </w:rPr>
            </w:pPr>
            <w:r w:rsidRPr="0067507D">
              <w:t xml:space="preserve">1 660 670 </w:t>
            </w:r>
          </w:p>
        </w:tc>
      </w:tr>
      <w:tr w:rsidR="005D2595" w:rsidRPr="0067507D" w14:paraId="70629592" w14:textId="77777777" w:rsidTr="00FC3AF2">
        <w:trPr>
          <w:cantSplit/>
        </w:trPr>
        <w:tc>
          <w:tcPr>
            <w:tcW w:w="1395" w:type="dxa"/>
            <w:shd w:val="clear" w:color="auto" w:fill="D9D9D9" w:themeFill="background1" w:themeFillShade="D9"/>
            <w:noWrap/>
          </w:tcPr>
          <w:p w14:paraId="3796DF82" w14:textId="77777777" w:rsidR="005D2595" w:rsidRPr="0067507D" w:rsidRDefault="005D2595" w:rsidP="00FC3AF2">
            <w:pPr>
              <w:pStyle w:val="Tabletextrightbold"/>
            </w:pPr>
            <w:r w:rsidRPr="0067507D">
              <w:t xml:space="preserve"> 785 767 </w:t>
            </w:r>
          </w:p>
        </w:tc>
        <w:tc>
          <w:tcPr>
            <w:tcW w:w="1485" w:type="dxa"/>
            <w:noWrap/>
          </w:tcPr>
          <w:p w14:paraId="32095F69" w14:textId="77777777" w:rsidR="005D2595" w:rsidRPr="0067507D" w:rsidRDefault="005D2595" w:rsidP="00FC3AF2">
            <w:pPr>
              <w:pStyle w:val="Tabletextrightbold"/>
            </w:pPr>
            <w:r w:rsidRPr="0067507D">
              <w:t xml:space="preserve">1 660 670 </w:t>
            </w:r>
          </w:p>
        </w:tc>
        <w:tc>
          <w:tcPr>
            <w:tcW w:w="1350" w:type="dxa"/>
            <w:shd w:val="clear" w:color="auto" w:fill="D9D9D9" w:themeFill="background1" w:themeFillShade="D9"/>
            <w:noWrap/>
          </w:tcPr>
          <w:p w14:paraId="2C9E092D" w14:textId="77777777" w:rsidR="005D2595" w:rsidRPr="0067507D" w:rsidRDefault="005D2595" w:rsidP="00FC3AF2">
            <w:pPr>
              <w:pStyle w:val="Tabletextrightbold"/>
            </w:pPr>
            <w:r w:rsidRPr="0067507D">
              <w:t>–</w:t>
            </w:r>
          </w:p>
        </w:tc>
        <w:tc>
          <w:tcPr>
            <w:tcW w:w="1350" w:type="dxa"/>
            <w:noWrap/>
          </w:tcPr>
          <w:p w14:paraId="45D2C882" w14:textId="77777777" w:rsidR="005D2595" w:rsidRPr="0067507D" w:rsidRDefault="005D2595" w:rsidP="00FC3AF2">
            <w:pPr>
              <w:pStyle w:val="Tabletextrightbold"/>
            </w:pPr>
            <w:r w:rsidRPr="0067507D">
              <w:t>–</w:t>
            </w:r>
          </w:p>
        </w:tc>
        <w:tc>
          <w:tcPr>
            <w:tcW w:w="1350" w:type="dxa"/>
            <w:shd w:val="clear" w:color="auto" w:fill="E0E0E0"/>
            <w:noWrap/>
          </w:tcPr>
          <w:p w14:paraId="4262EFCE" w14:textId="77777777" w:rsidR="005D2595" w:rsidRPr="0067507D" w:rsidRDefault="005D2595" w:rsidP="00FC3AF2">
            <w:pPr>
              <w:pStyle w:val="Tabletextrightbold"/>
            </w:pPr>
            <w:r w:rsidRPr="0067507D">
              <w:t xml:space="preserve"> 785 767 </w:t>
            </w:r>
          </w:p>
        </w:tc>
        <w:tc>
          <w:tcPr>
            <w:tcW w:w="1350" w:type="dxa"/>
            <w:shd w:val="clear" w:color="auto" w:fill="FFFFFF" w:themeFill="background1"/>
            <w:noWrap/>
          </w:tcPr>
          <w:p w14:paraId="68967DBC" w14:textId="77777777" w:rsidR="005D2595" w:rsidRPr="0067507D" w:rsidRDefault="005D2595" w:rsidP="00FC3AF2">
            <w:pPr>
              <w:pStyle w:val="Tabletextrightbold"/>
            </w:pPr>
            <w:r w:rsidRPr="0067507D">
              <w:t xml:space="preserve">1 660 670 </w:t>
            </w:r>
          </w:p>
        </w:tc>
      </w:tr>
      <w:tr w:rsidR="005D2595" w:rsidRPr="0067507D" w14:paraId="519EE0BC" w14:textId="77777777" w:rsidTr="00FC3AF2">
        <w:trPr>
          <w:cantSplit/>
          <w:trHeight w:val="279"/>
        </w:trPr>
        <w:tc>
          <w:tcPr>
            <w:tcW w:w="1395" w:type="dxa"/>
            <w:shd w:val="clear" w:color="auto" w:fill="D9D9D9" w:themeFill="background1" w:themeFillShade="D9"/>
            <w:noWrap/>
          </w:tcPr>
          <w:p w14:paraId="1111010C" w14:textId="77777777" w:rsidR="005D2595" w:rsidRPr="0067507D" w:rsidRDefault="005D2595" w:rsidP="00FC3AF2">
            <w:pPr>
              <w:pStyle w:val="Tabletextrightbold"/>
            </w:pPr>
            <w:r w:rsidRPr="0067507D">
              <w:t xml:space="preserve">(15 414 381) </w:t>
            </w:r>
          </w:p>
        </w:tc>
        <w:tc>
          <w:tcPr>
            <w:tcW w:w="1485" w:type="dxa"/>
            <w:noWrap/>
          </w:tcPr>
          <w:p w14:paraId="5461D857" w14:textId="77777777" w:rsidR="005D2595" w:rsidRPr="0067507D" w:rsidRDefault="005D2595" w:rsidP="00FC3AF2">
            <w:pPr>
              <w:pStyle w:val="Tabletextrightbold"/>
            </w:pPr>
            <w:r w:rsidRPr="0067507D">
              <w:t xml:space="preserve">(22 923 939) </w:t>
            </w:r>
          </w:p>
        </w:tc>
        <w:tc>
          <w:tcPr>
            <w:tcW w:w="1350" w:type="dxa"/>
            <w:shd w:val="clear" w:color="auto" w:fill="D9D9D9" w:themeFill="background1" w:themeFillShade="D9"/>
            <w:noWrap/>
          </w:tcPr>
          <w:p w14:paraId="48B5572C" w14:textId="77777777" w:rsidR="005D2595" w:rsidRPr="0067507D" w:rsidRDefault="005D2595" w:rsidP="00FC3AF2">
            <w:pPr>
              <w:pStyle w:val="Tabletextrightbold"/>
            </w:pPr>
            <w:r w:rsidRPr="0067507D">
              <w:t xml:space="preserve">14 209 938 </w:t>
            </w:r>
          </w:p>
        </w:tc>
        <w:tc>
          <w:tcPr>
            <w:tcW w:w="1350" w:type="dxa"/>
            <w:noWrap/>
          </w:tcPr>
          <w:p w14:paraId="6FDE1D74" w14:textId="77777777" w:rsidR="005D2595" w:rsidRPr="0067507D" w:rsidRDefault="005D2595" w:rsidP="00FC3AF2">
            <w:pPr>
              <w:pStyle w:val="Tabletextrightbold"/>
            </w:pPr>
            <w:r w:rsidRPr="0067507D">
              <w:t xml:space="preserve">18 621 306 </w:t>
            </w:r>
          </w:p>
        </w:tc>
        <w:tc>
          <w:tcPr>
            <w:tcW w:w="1350" w:type="dxa"/>
            <w:shd w:val="clear" w:color="auto" w:fill="E0E0E0"/>
            <w:noWrap/>
          </w:tcPr>
          <w:p w14:paraId="371CEF9D" w14:textId="77777777" w:rsidR="005D2595" w:rsidRPr="0067507D" w:rsidRDefault="005D2595" w:rsidP="00FC3AF2">
            <w:pPr>
              <w:pStyle w:val="Tabletextrightbold"/>
            </w:pPr>
            <w:r w:rsidRPr="0067507D">
              <w:t xml:space="preserve">(1 445 034) </w:t>
            </w:r>
          </w:p>
        </w:tc>
        <w:tc>
          <w:tcPr>
            <w:tcW w:w="1350" w:type="dxa"/>
            <w:shd w:val="clear" w:color="auto" w:fill="FFFFFF" w:themeFill="background1"/>
            <w:noWrap/>
          </w:tcPr>
          <w:p w14:paraId="6C213944" w14:textId="77777777" w:rsidR="005D2595" w:rsidRPr="0067507D" w:rsidRDefault="005D2595" w:rsidP="00FC3AF2">
            <w:pPr>
              <w:pStyle w:val="Tabletextrightbold"/>
            </w:pPr>
            <w:r w:rsidRPr="0067507D">
              <w:t xml:space="preserve">(2 148 141) </w:t>
            </w:r>
          </w:p>
        </w:tc>
      </w:tr>
    </w:tbl>
    <w:p w14:paraId="57207006" w14:textId="77777777" w:rsidR="005D2595" w:rsidRPr="0067507D" w:rsidRDefault="005D2595" w:rsidP="005D2595"/>
    <w:p w14:paraId="12768D52" w14:textId="77777777" w:rsidR="005D2595" w:rsidRPr="0067507D" w:rsidRDefault="005D2595" w:rsidP="005D2595">
      <w:pPr>
        <w:keepLines w:val="0"/>
        <w:spacing w:before="0" w:after="0"/>
      </w:pPr>
      <w:r w:rsidRPr="0067507D">
        <w:br w:type="page"/>
      </w:r>
    </w:p>
    <w:tbl>
      <w:tblPr>
        <w:tblW w:w="9938" w:type="dxa"/>
        <w:tblLayout w:type="fixed"/>
        <w:tblLook w:val="0000" w:firstRow="0" w:lastRow="0" w:firstColumn="0" w:lastColumn="0" w:noHBand="0" w:noVBand="0"/>
      </w:tblPr>
      <w:tblGrid>
        <w:gridCol w:w="4590"/>
        <w:gridCol w:w="792"/>
        <w:gridCol w:w="1139"/>
        <w:gridCol w:w="1139"/>
        <w:gridCol w:w="1139"/>
        <w:gridCol w:w="1139"/>
      </w:tblGrid>
      <w:tr w:rsidR="005D2595" w:rsidRPr="0067507D" w14:paraId="6BDB860D" w14:textId="77777777" w:rsidTr="00FC3AF2">
        <w:trPr>
          <w:cantSplit/>
        </w:trPr>
        <w:tc>
          <w:tcPr>
            <w:tcW w:w="4590" w:type="dxa"/>
            <w:noWrap/>
          </w:tcPr>
          <w:p w14:paraId="69182EEB" w14:textId="77777777" w:rsidR="005D2595" w:rsidRPr="0067507D" w:rsidRDefault="005D2595" w:rsidP="00FC3AF2">
            <w:pPr>
              <w:pStyle w:val="Tabletext"/>
            </w:pPr>
          </w:p>
        </w:tc>
        <w:tc>
          <w:tcPr>
            <w:tcW w:w="792" w:type="dxa"/>
            <w:vAlign w:val="bottom"/>
          </w:tcPr>
          <w:p w14:paraId="5FCCED0C" w14:textId="77777777" w:rsidR="005D2595" w:rsidRPr="0067507D" w:rsidRDefault="005D2595" w:rsidP="00FC3AF2">
            <w:pPr>
              <w:pStyle w:val="Tabletextheadingcentred"/>
            </w:pPr>
            <w:r w:rsidRPr="0067507D">
              <w:t>Notes</w:t>
            </w:r>
          </w:p>
        </w:tc>
        <w:tc>
          <w:tcPr>
            <w:tcW w:w="2278" w:type="dxa"/>
            <w:gridSpan w:val="2"/>
            <w:noWrap/>
            <w:vAlign w:val="bottom"/>
          </w:tcPr>
          <w:p w14:paraId="53AED2FB" w14:textId="77777777" w:rsidR="005D2595" w:rsidRPr="0067507D" w:rsidRDefault="005D2595" w:rsidP="00FC3AF2">
            <w:pPr>
              <w:pStyle w:val="Tabletextheadingcentred"/>
            </w:pPr>
            <w:r w:rsidRPr="0067507D">
              <w:br/>
            </w:r>
            <w:r w:rsidRPr="0067507D">
              <w:br/>
              <w:t>Optimise Victoria’s fiscal resources</w:t>
            </w:r>
          </w:p>
        </w:tc>
        <w:tc>
          <w:tcPr>
            <w:tcW w:w="2278" w:type="dxa"/>
            <w:gridSpan w:val="2"/>
            <w:noWrap/>
            <w:vAlign w:val="bottom"/>
          </w:tcPr>
          <w:p w14:paraId="74E0B70E" w14:textId="77777777" w:rsidR="005D2595" w:rsidRPr="0067507D" w:rsidRDefault="005D2595" w:rsidP="00FC3AF2">
            <w:pPr>
              <w:pStyle w:val="Tabletextheadingcentred"/>
            </w:pPr>
            <w:r w:rsidRPr="0067507D">
              <w:t>Strengthen Victoria’s economic performance</w:t>
            </w:r>
          </w:p>
        </w:tc>
      </w:tr>
      <w:tr w:rsidR="00353010" w:rsidRPr="0067507D" w14:paraId="028ED927" w14:textId="77777777" w:rsidTr="00FC3AF2">
        <w:trPr>
          <w:cantSplit/>
        </w:trPr>
        <w:tc>
          <w:tcPr>
            <w:tcW w:w="4590" w:type="dxa"/>
            <w:noWrap/>
          </w:tcPr>
          <w:p w14:paraId="5FB28533" w14:textId="77777777" w:rsidR="00353010" w:rsidRPr="0067507D" w:rsidRDefault="00353010" w:rsidP="00353010">
            <w:pPr>
              <w:pStyle w:val="Tabletext"/>
            </w:pPr>
          </w:p>
        </w:tc>
        <w:tc>
          <w:tcPr>
            <w:tcW w:w="792" w:type="dxa"/>
          </w:tcPr>
          <w:p w14:paraId="5EACE5B2" w14:textId="77777777" w:rsidR="00353010" w:rsidRPr="0067507D" w:rsidRDefault="00353010" w:rsidP="00353010">
            <w:pPr>
              <w:pStyle w:val="Tabletextheadingcentred"/>
            </w:pPr>
          </w:p>
        </w:tc>
        <w:tc>
          <w:tcPr>
            <w:tcW w:w="1139" w:type="dxa"/>
            <w:noWrap/>
          </w:tcPr>
          <w:p w14:paraId="29F4B448" w14:textId="250A157B" w:rsidR="00353010" w:rsidRPr="0067507D" w:rsidRDefault="00353010" w:rsidP="00353010">
            <w:pPr>
              <w:pStyle w:val="Tabletextheadingright"/>
            </w:pPr>
            <w:r w:rsidRPr="0067507D">
              <w:rPr>
                <w:szCs w:val="16"/>
              </w:rPr>
              <w:t>2025</w:t>
            </w:r>
            <w:r>
              <w:rPr>
                <w:szCs w:val="16"/>
              </w:rPr>
              <w:br/>
            </w:r>
            <w:r w:rsidRPr="0067507D">
              <w:t>$’000</w:t>
            </w:r>
          </w:p>
        </w:tc>
        <w:tc>
          <w:tcPr>
            <w:tcW w:w="1139" w:type="dxa"/>
            <w:noWrap/>
          </w:tcPr>
          <w:p w14:paraId="2BB50719" w14:textId="481E7371" w:rsidR="00353010" w:rsidRPr="0067507D" w:rsidRDefault="00353010" w:rsidP="00353010">
            <w:pPr>
              <w:pStyle w:val="Tabletextheadingright"/>
            </w:pPr>
            <w:r w:rsidRPr="0067507D">
              <w:rPr>
                <w:szCs w:val="16"/>
              </w:rPr>
              <w:t>2024</w:t>
            </w:r>
            <w:r>
              <w:rPr>
                <w:szCs w:val="16"/>
              </w:rPr>
              <w:br/>
            </w:r>
            <w:r w:rsidRPr="0067507D">
              <w:t>$’000</w:t>
            </w:r>
          </w:p>
        </w:tc>
        <w:tc>
          <w:tcPr>
            <w:tcW w:w="1139" w:type="dxa"/>
            <w:noWrap/>
          </w:tcPr>
          <w:p w14:paraId="5ADE14DC" w14:textId="4A295C5C" w:rsidR="00353010" w:rsidRPr="0067507D" w:rsidRDefault="00353010" w:rsidP="00353010">
            <w:pPr>
              <w:pStyle w:val="Tabletextheadingright"/>
            </w:pPr>
            <w:r w:rsidRPr="0067507D">
              <w:rPr>
                <w:szCs w:val="16"/>
              </w:rPr>
              <w:t>2025</w:t>
            </w:r>
            <w:r>
              <w:rPr>
                <w:szCs w:val="16"/>
              </w:rPr>
              <w:br/>
            </w:r>
            <w:r w:rsidRPr="0067507D">
              <w:t>$’000</w:t>
            </w:r>
          </w:p>
        </w:tc>
        <w:tc>
          <w:tcPr>
            <w:tcW w:w="1139" w:type="dxa"/>
            <w:noWrap/>
          </w:tcPr>
          <w:p w14:paraId="14D32067" w14:textId="4FDF8910" w:rsidR="00353010" w:rsidRPr="0067507D" w:rsidRDefault="00353010" w:rsidP="00353010">
            <w:pPr>
              <w:pStyle w:val="Tabletextheadingright"/>
            </w:pPr>
            <w:r w:rsidRPr="0067507D">
              <w:rPr>
                <w:szCs w:val="16"/>
              </w:rPr>
              <w:t>2024</w:t>
            </w:r>
            <w:r>
              <w:rPr>
                <w:szCs w:val="16"/>
              </w:rPr>
              <w:br/>
            </w:r>
            <w:r w:rsidRPr="0067507D">
              <w:t>$’000</w:t>
            </w:r>
          </w:p>
        </w:tc>
      </w:tr>
      <w:tr w:rsidR="005D2595" w:rsidRPr="0067507D" w14:paraId="45F00258" w14:textId="77777777" w:rsidTr="00FC3AF2">
        <w:trPr>
          <w:cantSplit/>
        </w:trPr>
        <w:tc>
          <w:tcPr>
            <w:tcW w:w="4590" w:type="dxa"/>
          </w:tcPr>
          <w:p w14:paraId="114D448D" w14:textId="77777777" w:rsidR="005D2595" w:rsidRPr="0067507D" w:rsidRDefault="005D2595" w:rsidP="00FC3AF2">
            <w:pPr>
              <w:pStyle w:val="Tabletextbold"/>
            </w:pPr>
            <w:r w:rsidRPr="0067507D">
              <w:t>Administered assets and liabilities at 30 June 2025</w:t>
            </w:r>
          </w:p>
        </w:tc>
        <w:tc>
          <w:tcPr>
            <w:tcW w:w="792" w:type="dxa"/>
          </w:tcPr>
          <w:p w14:paraId="5C4B88FF" w14:textId="77777777" w:rsidR="005D2595" w:rsidRPr="0067507D" w:rsidRDefault="005D2595" w:rsidP="00FC3AF2">
            <w:pPr>
              <w:pStyle w:val="Tabletextcentred"/>
            </w:pPr>
          </w:p>
        </w:tc>
        <w:tc>
          <w:tcPr>
            <w:tcW w:w="1139" w:type="dxa"/>
            <w:shd w:val="clear" w:color="auto" w:fill="D9D9D9" w:themeFill="background1" w:themeFillShade="D9"/>
            <w:noWrap/>
          </w:tcPr>
          <w:p w14:paraId="58D38C2E" w14:textId="77777777" w:rsidR="005D2595" w:rsidRPr="0067507D" w:rsidRDefault="005D2595" w:rsidP="00FC3AF2">
            <w:pPr>
              <w:pStyle w:val="Tabletextright"/>
            </w:pPr>
          </w:p>
        </w:tc>
        <w:tc>
          <w:tcPr>
            <w:tcW w:w="1139" w:type="dxa"/>
            <w:noWrap/>
          </w:tcPr>
          <w:p w14:paraId="46B5AFFB" w14:textId="77777777" w:rsidR="005D2595" w:rsidRPr="0067507D" w:rsidRDefault="005D2595" w:rsidP="00FC3AF2">
            <w:pPr>
              <w:pStyle w:val="Tabletextright"/>
            </w:pPr>
          </w:p>
        </w:tc>
        <w:tc>
          <w:tcPr>
            <w:tcW w:w="1139" w:type="dxa"/>
            <w:shd w:val="clear" w:color="auto" w:fill="E0E0E0"/>
            <w:noWrap/>
          </w:tcPr>
          <w:p w14:paraId="432CFFE8" w14:textId="77777777" w:rsidR="005D2595" w:rsidRPr="0067507D" w:rsidRDefault="005D2595" w:rsidP="00FC3AF2">
            <w:pPr>
              <w:pStyle w:val="Tabletextright"/>
            </w:pPr>
          </w:p>
        </w:tc>
        <w:tc>
          <w:tcPr>
            <w:tcW w:w="1139" w:type="dxa"/>
            <w:shd w:val="clear" w:color="auto" w:fill="FFFFFF" w:themeFill="background1"/>
            <w:noWrap/>
          </w:tcPr>
          <w:p w14:paraId="30624B50" w14:textId="77777777" w:rsidR="005D2595" w:rsidRPr="0067507D" w:rsidRDefault="005D2595" w:rsidP="00FC3AF2">
            <w:pPr>
              <w:pStyle w:val="Tabletextright"/>
            </w:pPr>
          </w:p>
        </w:tc>
      </w:tr>
      <w:tr w:rsidR="005D2595" w:rsidRPr="0067507D" w14:paraId="1C3545A1" w14:textId="77777777" w:rsidTr="00FC3AF2">
        <w:trPr>
          <w:cantSplit/>
        </w:trPr>
        <w:tc>
          <w:tcPr>
            <w:tcW w:w="4590" w:type="dxa"/>
          </w:tcPr>
          <w:p w14:paraId="2396D259" w14:textId="77777777" w:rsidR="005D2595" w:rsidRPr="0067507D" w:rsidRDefault="005D2595" w:rsidP="00FC3AF2">
            <w:pPr>
              <w:pStyle w:val="Tabletextbold"/>
            </w:pPr>
            <w:r w:rsidRPr="0067507D">
              <w:t>Administered assets</w:t>
            </w:r>
          </w:p>
        </w:tc>
        <w:tc>
          <w:tcPr>
            <w:tcW w:w="792" w:type="dxa"/>
          </w:tcPr>
          <w:p w14:paraId="6C1054C8" w14:textId="77777777" w:rsidR="005D2595" w:rsidRPr="0067507D" w:rsidRDefault="005D2595" w:rsidP="00FC3AF2">
            <w:pPr>
              <w:pStyle w:val="Tabletextcentred"/>
            </w:pPr>
          </w:p>
        </w:tc>
        <w:tc>
          <w:tcPr>
            <w:tcW w:w="1139" w:type="dxa"/>
            <w:shd w:val="clear" w:color="auto" w:fill="D9D9D9" w:themeFill="background1" w:themeFillShade="D9"/>
            <w:noWrap/>
          </w:tcPr>
          <w:p w14:paraId="49915C31" w14:textId="77777777" w:rsidR="005D2595" w:rsidRPr="0067507D" w:rsidRDefault="005D2595" w:rsidP="00FC3AF2">
            <w:pPr>
              <w:pStyle w:val="Tabletextright"/>
            </w:pPr>
          </w:p>
        </w:tc>
        <w:tc>
          <w:tcPr>
            <w:tcW w:w="1139" w:type="dxa"/>
            <w:noWrap/>
          </w:tcPr>
          <w:p w14:paraId="688A8E0D" w14:textId="77777777" w:rsidR="005D2595" w:rsidRPr="0067507D" w:rsidRDefault="005D2595" w:rsidP="00FC3AF2">
            <w:pPr>
              <w:pStyle w:val="Tabletextright"/>
            </w:pPr>
          </w:p>
        </w:tc>
        <w:tc>
          <w:tcPr>
            <w:tcW w:w="1139" w:type="dxa"/>
            <w:shd w:val="clear" w:color="auto" w:fill="E0E0E0"/>
            <w:noWrap/>
          </w:tcPr>
          <w:p w14:paraId="26788927" w14:textId="77777777" w:rsidR="005D2595" w:rsidRPr="0067507D" w:rsidRDefault="005D2595" w:rsidP="00FC3AF2">
            <w:pPr>
              <w:pStyle w:val="Tabletextright"/>
            </w:pPr>
          </w:p>
        </w:tc>
        <w:tc>
          <w:tcPr>
            <w:tcW w:w="1139" w:type="dxa"/>
            <w:shd w:val="clear" w:color="auto" w:fill="FFFFFF" w:themeFill="background1"/>
            <w:noWrap/>
          </w:tcPr>
          <w:p w14:paraId="79325D61" w14:textId="77777777" w:rsidR="005D2595" w:rsidRPr="0067507D" w:rsidRDefault="005D2595" w:rsidP="00FC3AF2">
            <w:pPr>
              <w:pStyle w:val="Tabletextright"/>
            </w:pPr>
          </w:p>
        </w:tc>
      </w:tr>
      <w:tr w:rsidR="005D2595" w:rsidRPr="0067507D" w14:paraId="4CC84DD3" w14:textId="77777777" w:rsidTr="00FC3AF2">
        <w:trPr>
          <w:cantSplit/>
        </w:trPr>
        <w:tc>
          <w:tcPr>
            <w:tcW w:w="4590" w:type="dxa"/>
          </w:tcPr>
          <w:p w14:paraId="42BD00D6" w14:textId="77777777" w:rsidR="005D2595" w:rsidRPr="0067507D" w:rsidRDefault="005D2595" w:rsidP="00FC3AF2">
            <w:pPr>
              <w:pStyle w:val="Tabletextbold"/>
            </w:pPr>
            <w:r w:rsidRPr="0067507D">
              <w:t>Financial assets</w:t>
            </w:r>
          </w:p>
        </w:tc>
        <w:tc>
          <w:tcPr>
            <w:tcW w:w="792" w:type="dxa"/>
          </w:tcPr>
          <w:p w14:paraId="67D5F94A" w14:textId="77777777" w:rsidR="005D2595" w:rsidRPr="0067507D" w:rsidRDefault="005D2595" w:rsidP="00FC3AF2">
            <w:pPr>
              <w:pStyle w:val="Tabletextcentred"/>
            </w:pPr>
          </w:p>
        </w:tc>
        <w:tc>
          <w:tcPr>
            <w:tcW w:w="1139" w:type="dxa"/>
            <w:shd w:val="clear" w:color="auto" w:fill="D9D9D9" w:themeFill="background1" w:themeFillShade="D9"/>
            <w:noWrap/>
          </w:tcPr>
          <w:p w14:paraId="16C98D23" w14:textId="77777777" w:rsidR="005D2595" w:rsidRPr="0067507D" w:rsidRDefault="005D2595" w:rsidP="00FC3AF2">
            <w:pPr>
              <w:pStyle w:val="Tabletextright"/>
            </w:pPr>
          </w:p>
        </w:tc>
        <w:tc>
          <w:tcPr>
            <w:tcW w:w="1139" w:type="dxa"/>
            <w:noWrap/>
          </w:tcPr>
          <w:p w14:paraId="4D3837DA" w14:textId="77777777" w:rsidR="005D2595" w:rsidRPr="0067507D" w:rsidRDefault="005D2595" w:rsidP="00FC3AF2">
            <w:pPr>
              <w:pStyle w:val="Tabletextright"/>
            </w:pPr>
          </w:p>
        </w:tc>
        <w:tc>
          <w:tcPr>
            <w:tcW w:w="1139" w:type="dxa"/>
            <w:shd w:val="clear" w:color="auto" w:fill="E0E0E0"/>
            <w:noWrap/>
          </w:tcPr>
          <w:p w14:paraId="00C3929F" w14:textId="77777777" w:rsidR="005D2595" w:rsidRPr="0067507D" w:rsidRDefault="005D2595" w:rsidP="00FC3AF2">
            <w:pPr>
              <w:pStyle w:val="Tabletextright"/>
            </w:pPr>
          </w:p>
        </w:tc>
        <w:tc>
          <w:tcPr>
            <w:tcW w:w="1139" w:type="dxa"/>
            <w:shd w:val="clear" w:color="auto" w:fill="FFFFFF" w:themeFill="background1"/>
            <w:noWrap/>
          </w:tcPr>
          <w:p w14:paraId="69DC8ADE" w14:textId="77777777" w:rsidR="005D2595" w:rsidRPr="0067507D" w:rsidRDefault="005D2595" w:rsidP="00FC3AF2">
            <w:pPr>
              <w:pStyle w:val="Tabletextright"/>
            </w:pPr>
          </w:p>
        </w:tc>
      </w:tr>
      <w:tr w:rsidR="005D2595" w:rsidRPr="0067507D" w14:paraId="52A0D241" w14:textId="77777777" w:rsidTr="00FC3AF2">
        <w:trPr>
          <w:cantSplit/>
        </w:trPr>
        <w:tc>
          <w:tcPr>
            <w:tcW w:w="4590" w:type="dxa"/>
          </w:tcPr>
          <w:p w14:paraId="3B5E8187" w14:textId="77777777" w:rsidR="005D2595" w:rsidRPr="0067507D" w:rsidRDefault="005D2595" w:rsidP="00FC3AF2">
            <w:pPr>
              <w:pStyle w:val="Tabletext"/>
            </w:pPr>
            <w:r w:rsidRPr="0067507D">
              <w:t xml:space="preserve">Cash and deposits </w:t>
            </w:r>
            <w:r w:rsidRPr="0067507D">
              <w:rPr>
                <w:vertAlign w:val="superscript"/>
              </w:rPr>
              <w:t>(b)</w:t>
            </w:r>
          </w:p>
        </w:tc>
        <w:tc>
          <w:tcPr>
            <w:tcW w:w="792" w:type="dxa"/>
          </w:tcPr>
          <w:p w14:paraId="339BE4C5" w14:textId="77777777" w:rsidR="005D2595" w:rsidRPr="0067507D" w:rsidRDefault="005D2595" w:rsidP="00FC3AF2">
            <w:pPr>
              <w:pStyle w:val="Tabletextcentred"/>
            </w:pPr>
          </w:p>
        </w:tc>
        <w:tc>
          <w:tcPr>
            <w:tcW w:w="1139" w:type="dxa"/>
            <w:shd w:val="clear" w:color="auto" w:fill="D9D9D9" w:themeFill="background1" w:themeFillShade="D9"/>
            <w:noWrap/>
          </w:tcPr>
          <w:p w14:paraId="7EA43367" w14:textId="77777777" w:rsidR="005D2595" w:rsidRPr="0067507D" w:rsidRDefault="005D2595" w:rsidP="00FC3AF2">
            <w:pPr>
              <w:pStyle w:val="Tabletextright"/>
            </w:pPr>
            <w:r w:rsidRPr="0067507D">
              <w:t xml:space="preserve"> 324 099 </w:t>
            </w:r>
          </w:p>
        </w:tc>
        <w:tc>
          <w:tcPr>
            <w:tcW w:w="1139" w:type="dxa"/>
            <w:noWrap/>
          </w:tcPr>
          <w:p w14:paraId="7C54EE73" w14:textId="77777777" w:rsidR="005D2595" w:rsidRPr="0067507D" w:rsidRDefault="005D2595" w:rsidP="00FC3AF2">
            <w:pPr>
              <w:pStyle w:val="Tabletextright"/>
            </w:pPr>
            <w:r w:rsidRPr="0067507D">
              <w:t xml:space="preserve"> 275 514 </w:t>
            </w:r>
          </w:p>
        </w:tc>
        <w:tc>
          <w:tcPr>
            <w:tcW w:w="1139" w:type="dxa"/>
            <w:shd w:val="clear" w:color="auto" w:fill="E0E0E0"/>
            <w:noWrap/>
          </w:tcPr>
          <w:p w14:paraId="614CB1AE" w14:textId="77777777" w:rsidR="005D2595" w:rsidRPr="0067507D" w:rsidRDefault="005D2595" w:rsidP="00FC3AF2">
            <w:pPr>
              <w:pStyle w:val="Tabletextright"/>
            </w:pPr>
            <w:r w:rsidRPr="0067507D">
              <w:t xml:space="preserve">– </w:t>
            </w:r>
          </w:p>
        </w:tc>
        <w:tc>
          <w:tcPr>
            <w:tcW w:w="1139" w:type="dxa"/>
            <w:shd w:val="clear" w:color="auto" w:fill="FFFFFF" w:themeFill="background1"/>
            <w:noWrap/>
          </w:tcPr>
          <w:p w14:paraId="56493C72" w14:textId="77777777" w:rsidR="005D2595" w:rsidRPr="0067507D" w:rsidRDefault="005D2595" w:rsidP="00FC3AF2">
            <w:pPr>
              <w:pStyle w:val="Tabletextright"/>
            </w:pPr>
            <w:r w:rsidRPr="0067507D">
              <w:t xml:space="preserve">1 008 793 </w:t>
            </w:r>
          </w:p>
        </w:tc>
      </w:tr>
      <w:tr w:rsidR="005D2595" w:rsidRPr="0067507D" w14:paraId="4834F821" w14:textId="77777777" w:rsidTr="00FC3AF2">
        <w:trPr>
          <w:cantSplit/>
        </w:trPr>
        <w:tc>
          <w:tcPr>
            <w:tcW w:w="4590" w:type="dxa"/>
          </w:tcPr>
          <w:p w14:paraId="7EAEF694" w14:textId="77777777" w:rsidR="005D2595" w:rsidRPr="0067507D" w:rsidRDefault="005D2595" w:rsidP="00FC3AF2">
            <w:pPr>
              <w:pStyle w:val="Tabletext"/>
            </w:pPr>
            <w:r w:rsidRPr="0067507D">
              <w:t xml:space="preserve">Receivables </w:t>
            </w:r>
            <w:r w:rsidRPr="0067507D">
              <w:rPr>
                <w:vertAlign w:val="superscript"/>
              </w:rPr>
              <w:t>(c)</w:t>
            </w:r>
          </w:p>
        </w:tc>
        <w:tc>
          <w:tcPr>
            <w:tcW w:w="792" w:type="dxa"/>
          </w:tcPr>
          <w:p w14:paraId="19368C58" w14:textId="77777777" w:rsidR="005D2595" w:rsidRPr="0067507D" w:rsidRDefault="005D2595" w:rsidP="00FC3AF2">
            <w:pPr>
              <w:pStyle w:val="Tabletextcentred"/>
            </w:pPr>
          </w:p>
        </w:tc>
        <w:tc>
          <w:tcPr>
            <w:tcW w:w="1139" w:type="dxa"/>
            <w:shd w:val="clear" w:color="auto" w:fill="D9D9D9" w:themeFill="background1" w:themeFillShade="D9"/>
            <w:noWrap/>
          </w:tcPr>
          <w:p w14:paraId="5CB2DA1E" w14:textId="77777777" w:rsidR="005D2595" w:rsidRPr="0067507D" w:rsidRDefault="005D2595" w:rsidP="00FC3AF2">
            <w:pPr>
              <w:pStyle w:val="Tabletextright"/>
            </w:pPr>
            <w:r w:rsidRPr="0067507D">
              <w:t xml:space="preserve">5 602 585 </w:t>
            </w:r>
          </w:p>
        </w:tc>
        <w:tc>
          <w:tcPr>
            <w:tcW w:w="1139" w:type="dxa"/>
            <w:noWrap/>
          </w:tcPr>
          <w:p w14:paraId="54669C0C" w14:textId="77777777" w:rsidR="005D2595" w:rsidRPr="0067507D" w:rsidRDefault="005D2595" w:rsidP="00FC3AF2">
            <w:pPr>
              <w:pStyle w:val="Tabletextright"/>
            </w:pPr>
            <w:r w:rsidRPr="0067507D">
              <w:t xml:space="preserve">5 980 852 </w:t>
            </w:r>
          </w:p>
        </w:tc>
        <w:tc>
          <w:tcPr>
            <w:tcW w:w="1139" w:type="dxa"/>
            <w:shd w:val="clear" w:color="auto" w:fill="E0E0E0"/>
            <w:noWrap/>
          </w:tcPr>
          <w:p w14:paraId="7F7D4874" w14:textId="77777777" w:rsidR="005D2595" w:rsidRPr="0067507D" w:rsidRDefault="005D2595" w:rsidP="00FC3AF2">
            <w:pPr>
              <w:pStyle w:val="Tabletextright"/>
            </w:pPr>
            <w:r w:rsidRPr="0067507D">
              <w:t xml:space="preserve"> 394 747 </w:t>
            </w:r>
          </w:p>
        </w:tc>
        <w:tc>
          <w:tcPr>
            <w:tcW w:w="1139" w:type="dxa"/>
            <w:shd w:val="clear" w:color="auto" w:fill="FFFFFF" w:themeFill="background1"/>
            <w:noWrap/>
          </w:tcPr>
          <w:p w14:paraId="04519104" w14:textId="77777777" w:rsidR="005D2595" w:rsidRPr="0067507D" w:rsidRDefault="005D2595" w:rsidP="00FC3AF2">
            <w:pPr>
              <w:pStyle w:val="Tabletextright"/>
            </w:pPr>
            <w:r w:rsidRPr="0067507D">
              <w:t xml:space="preserve"> 192 299 </w:t>
            </w:r>
          </w:p>
        </w:tc>
      </w:tr>
      <w:tr w:rsidR="005D2595" w:rsidRPr="0067507D" w14:paraId="193753AB" w14:textId="77777777" w:rsidTr="00FC3AF2">
        <w:trPr>
          <w:cantSplit/>
        </w:trPr>
        <w:tc>
          <w:tcPr>
            <w:tcW w:w="4590" w:type="dxa"/>
          </w:tcPr>
          <w:p w14:paraId="331FF43D" w14:textId="77777777" w:rsidR="005D2595" w:rsidRPr="0067507D" w:rsidRDefault="005D2595" w:rsidP="00FC3AF2">
            <w:pPr>
              <w:pStyle w:val="Tabletext"/>
            </w:pPr>
            <w:r w:rsidRPr="0067507D">
              <w:t xml:space="preserve">Investments in controlled entities </w:t>
            </w:r>
            <w:r w:rsidRPr="0067507D">
              <w:rPr>
                <w:vertAlign w:val="superscript"/>
              </w:rPr>
              <w:t>(d)</w:t>
            </w:r>
          </w:p>
        </w:tc>
        <w:tc>
          <w:tcPr>
            <w:tcW w:w="792" w:type="dxa"/>
          </w:tcPr>
          <w:p w14:paraId="6BE9915D" w14:textId="77777777" w:rsidR="005D2595" w:rsidRPr="0067507D" w:rsidRDefault="005D2595" w:rsidP="00FC3AF2">
            <w:pPr>
              <w:pStyle w:val="Tabletextcentred"/>
            </w:pPr>
          </w:p>
        </w:tc>
        <w:tc>
          <w:tcPr>
            <w:tcW w:w="1139" w:type="dxa"/>
            <w:shd w:val="clear" w:color="auto" w:fill="D9D9D9" w:themeFill="background1" w:themeFillShade="D9"/>
            <w:noWrap/>
          </w:tcPr>
          <w:p w14:paraId="7A7A8861" w14:textId="77777777" w:rsidR="005D2595" w:rsidRPr="0067507D" w:rsidRDefault="005D2595" w:rsidP="00FC3AF2">
            <w:pPr>
              <w:pStyle w:val="Tabletextright"/>
            </w:pPr>
            <w:r w:rsidRPr="0067507D">
              <w:t>–</w:t>
            </w:r>
          </w:p>
        </w:tc>
        <w:tc>
          <w:tcPr>
            <w:tcW w:w="1139" w:type="dxa"/>
            <w:noWrap/>
          </w:tcPr>
          <w:p w14:paraId="49CEEB25" w14:textId="77777777" w:rsidR="005D2595" w:rsidRPr="0067507D" w:rsidRDefault="005D2595" w:rsidP="00FC3AF2">
            <w:pPr>
              <w:pStyle w:val="Tabletextright"/>
            </w:pPr>
            <w:r w:rsidRPr="0067507D">
              <w:t>–</w:t>
            </w:r>
          </w:p>
        </w:tc>
        <w:tc>
          <w:tcPr>
            <w:tcW w:w="1139" w:type="dxa"/>
            <w:shd w:val="clear" w:color="auto" w:fill="E0E0E0"/>
            <w:noWrap/>
          </w:tcPr>
          <w:p w14:paraId="221FD8AA" w14:textId="77777777" w:rsidR="005D2595" w:rsidRPr="0067507D" w:rsidRDefault="005D2595" w:rsidP="00FC3AF2">
            <w:pPr>
              <w:pStyle w:val="Tabletextright"/>
            </w:pPr>
            <w:r w:rsidRPr="0067507D">
              <w:t>–</w:t>
            </w:r>
          </w:p>
        </w:tc>
        <w:tc>
          <w:tcPr>
            <w:tcW w:w="1139" w:type="dxa"/>
            <w:shd w:val="clear" w:color="auto" w:fill="FFFFFF" w:themeFill="background1"/>
            <w:noWrap/>
          </w:tcPr>
          <w:p w14:paraId="3AC7ACA7" w14:textId="77777777" w:rsidR="005D2595" w:rsidRPr="0067507D" w:rsidRDefault="005D2595" w:rsidP="00FC3AF2">
            <w:pPr>
              <w:pStyle w:val="Tabletextright"/>
            </w:pPr>
            <w:r w:rsidRPr="0067507D">
              <w:t>–</w:t>
            </w:r>
          </w:p>
        </w:tc>
      </w:tr>
      <w:tr w:rsidR="005D2595" w:rsidRPr="0067507D" w14:paraId="0170E463" w14:textId="77777777" w:rsidTr="00FC3AF2">
        <w:trPr>
          <w:cantSplit/>
        </w:trPr>
        <w:tc>
          <w:tcPr>
            <w:tcW w:w="4590" w:type="dxa"/>
          </w:tcPr>
          <w:p w14:paraId="7A918828" w14:textId="77777777" w:rsidR="005D2595" w:rsidRPr="0067507D" w:rsidRDefault="005D2595" w:rsidP="00FC3AF2">
            <w:pPr>
              <w:pStyle w:val="Tabletext"/>
            </w:pPr>
            <w:r w:rsidRPr="0067507D">
              <w:t xml:space="preserve">Other financial assets </w:t>
            </w:r>
          </w:p>
        </w:tc>
        <w:tc>
          <w:tcPr>
            <w:tcW w:w="792" w:type="dxa"/>
          </w:tcPr>
          <w:p w14:paraId="3C2159D9" w14:textId="77777777" w:rsidR="005D2595" w:rsidRPr="0067507D" w:rsidRDefault="005D2595" w:rsidP="00FC3AF2">
            <w:pPr>
              <w:pStyle w:val="Tabletextcentred"/>
            </w:pPr>
            <w:r w:rsidRPr="0067507D">
              <w:t>4.3.3</w:t>
            </w:r>
          </w:p>
        </w:tc>
        <w:tc>
          <w:tcPr>
            <w:tcW w:w="1139" w:type="dxa"/>
            <w:shd w:val="clear" w:color="auto" w:fill="D9D9D9" w:themeFill="background1" w:themeFillShade="D9"/>
            <w:noWrap/>
          </w:tcPr>
          <w:p w14:paraId="6680A249" w14:textId="77777777" w:rsidR="005D2595" w:rsidRPr="0067507D" w:rsidRDefault="005D2595" w:rsidP="00FC3AF2">
            <w:pPr>
              <w:pStyle w:val="Tabletextright"/>
            </w:pPr>
            <w:r w:rsidRPr="0067507D">
              <w:t xml:space="preserve">2 224 176 </w:t>
            </w:r>
          </w:p>
        </w:tc>
        <w:tc>
          <w:tcPr>
            <w:tcW w:w="1139" w:type="dxa"/>
            <w:noWrap/>
          </w:tcPr>
          <w:p w14:paraId="6FDEBD28" w14:textId="77777777" w:rsidR="005D2595" w:rsidRPr="0067507D" w:rsidRDefault="005D2595" w:rsidP="00FC3AF2">
            <w:pPr>
              <w:pStyle w:val="Tabletextright"/>
            </w:pPr>
            <w:r w:rsidRPr="0067507D">
              <w:t xml:space="preserve">1 585 809 </w:t>
            </w:r>
          </w:p>
        </w:tc>
        <w:tc>
          <w:tcPr>
            <w:tcW w:w="1139" w:type="dxa"/>
            <w:shd w:val="clear" w:color="auto" w:fill="E0E0E0"/>
            <w:noWrap/>
          </w:tcPr>
          <w:p w14:paraId="4F0BA449" w14:textId="77777777" w:rsidR="005D2595" w:rsidRPr="0067507D" w:rsidRDefault="005D2595" w:rsidP="00FC3AF2">
            <w:pPr>
              <w:pStyle w:val="Tabletextright"/>
            </w:pPr>
            <w:r w:rsidRPr="0067507D">
              <w:t>–</w:t>
            </w:r>
          </w:p>
        </w:tc>
        <w:tc>
          <w:tcPr>
            <w:tcW w:w="1139" w:type="dxa"/>
            <w:shd w:val="clear" w:color="auto" w:fill="FFFFFF" w:themeFill="background1"/>
            <w:noWrap/>
          </w:tcPr>
          <w:p w14:paraId="0CAA6EFF" w14:textId="77777777" w:rsidR="005D2595" w:rsidRPr="0067507D" w:rsidRDefault="005D2595" w:rsidP="00FC3AF2">
            <w:pPr>
              <w:pStyle w:val="Tabletextright"/>
            </w:pPr>
            <w:r w:rsidRPr="0067507D">
              <w:t xml:space="preserve">2 195 578 </w:t>
            </w:r>
          </w:p>
        </w:tc>
      </w:tr>
      <w:tr w:rsidR="005D2595" w:rsidRPr="0067507D" w14:paraId="2D79BADC" w14:textId="77777777" w:rsidTr="00FC3AF2">
        <w:trPr>
          <w:cantSplit/>
        </w:trPr>
        <w:tc>
          <w:tcPr>
            <w:tcW w:w="4590" w:type="dxa"/>
          </w:tcPr>
          <w:p w14:paraId="62F662D5" w14:textId="77777777" w:rsidR="005D2595" w:rsidRPr="0067507D" w:rsidRDefault="005D2595" w:rsidP="00FC3AF2">
            <w:pPr>
              <w:pStyle w:val="Tabletextbold"/>
              <w:rPr>
                <w:bCs/>
              </w:rPr>
            </w:pPr>
            <w:r w:rsidRPr="0067507D">
              <w:t xml:space="preserve">Total financial assets </w:t>
            </w:r>
          </w:p>
        </w:tc>
        <w:tc>
          <w:tcPr>
            <w:tcW w:w="792" w:type="dxa"/>
          </w:tcPr>
          <w:p w14:paraId="213A806A" w14:textId="77777777" w:rsidR="005D2595" w:rsidRPr="0067507D" w:rsidRDefault="005D2595" w:rsidP="00FC3AF2">
            <w:pPr>
              <w:pStyle w:val="Tabletextcentred"/>
            </w:pPr>
          </w:p>
        </w:tc>
        <w:tc>
          <w:tcPr>
            <w:tcW w:w="1139" w:type="dxa"/>
            <w:shd w:val="clear" w:color="auto" w:fill="D9D9D9" w:themeFill="background1" w:themeFillShade="D9"/>
            <w:noWrap/>
          </w:tcPr>
          <w:p w14:paraId="5C5D2B30" w14:textId="77777777" w:rsidR="005D2595" w:rsidRPr="0067507D" w:rsidRDefault="005D2595" w:rsidP="00FC3AF2">
            <w:pPr>
              <w:pStyle w:val="Tabletextrightbold"/>
            </w:pPr>
            <w:r w:rsidRPr="0067507D">
              <w:t xml:space="preserve">8 150 860 </w:t>
            </w:r>
          </w:p>
        </w:tc>
        <w:tc>
          <w:tcPr>
            <w:tcW w:w="1139" w:type="dxa"/>
            <w:noWrap/>
          </w:tcPr>
          <w:p w14:paraId="7D4EB19E" w14:textId="77777777" w:rsidR="005D2595" w:rsidRPr="0067507D" w:rsidRDefault="005D2595" w:rsidP="00FC3AF2">
            <w:pPr>
              <w:pStyle w:val="Tabletextrightbold"/>
            </w:pPr>
            <w:r w:rsidRPr="0067507D">
              <w:t xml:space="preserve">7 842 175 </w:t>
            </w:r>
          </w:p>
        </w:tc>
        <w:tc>
          <w:tcPr>
            <w:tcW w:w="1139" w:type="dxa"/>
            <w:shd w:val="clear" w:color="auto" w:fill="E0E0E0"/>
            <w:noWrap/>
          </w:tcPr>
          <w:p w14:paraId="4F00EACA" w14:textId="77777777" w:rsidR="005D2595" w:rsidRPr="0067507D" w:rsidRDefault="005D2595" w:rsidP="00FC3AF2">
            <w:pPr>
              <w:pStyle w:val="Tabletextrightbold"/>
            </w:pPr>
            <w:r w:rsidRPr="0067507D">
              <w:t xml:space="preserve"> 394 747 </w:t>
            </w:r>
          </w:p>
        </w:tc>
        <w:tc>
          <w:tcPr>
            <w:tcW w:w="1139" w:type="dxa"/>
            <w:shd w:val="clear" w:color="auto" w:fill="FFFFFF" w:themeFill="background1"/>
            <w:noWrap/>
          </w:tcPr>
          <w:p w14:paraId="713C32E7" w14:textId="77777777" w:rsidR="005D2595" w:rsidRPr="0067507D" w:rsidRDefault="005D2595" w:rsidP="00FC3AF2">
            <w:pPr>
              <w:pStyle w:val="Tabletextrightbold"/>
            </w:pPr>
            <w:r w:rsidRPr="0067507D">
              <w:t xml:space="preserve">3 396 670 </w:t>
            </w:r>
          </w:p>
        </w:tc>
      </w:tr>
      <w:tr w:rsidR="005D2595" w:rsidRPr="0067507D" w14:paraId="408219DE" w14:textId="77777777" w:rsidTr="00FC3AF2">
        <w:trPr>
          <w:cantSplit/>
        </w:trPr>
        <w:tc>
          <w:tcPr>
            <w:tcW w:w="4590" w:type="dxa"/>
          </w:tcPr>
          <w:p w14:paraId="320255FA" w14:textId="77777777" w:rsidR="005D2595" w:rsidRPr="0067507D" w:rsidRDefault="005D2595" w:rsidP="00FC3AF2">
            <w:pPr>
              <w:pStyle w:val="Tabletextbold"/>
            </w:pPr>
            <w:r w:rsidRPr="0067507D">
              <w:t>Total administered assets</w:t>
            </w:r>
          </w:p>
        </w:tc>
        <w:tc>
          <w:tcPr>
            <w:tcW w:w="792" w:type="dxa"/>
          </w:tcPr>
          <w:p w14:paraId="1EA9194F" w14:textId="77777777" w:rsidR="005D2595" w:rsidRPr="0067507D" w:rsidRDefault="005D2595" w:rsidP="00FC3AF2">
            <w:pPr>
              <w:pStyle w:val="Tabletextcentred"/>
            </w:pPr>
          </w:p>
        </w:tc>
        <w:tc>
          <w:tcPr>
            <w:tcW w:w="1139" w:type="dxa"/>
            <w:shd w:val="clear" w:color="auto" w:fill="D9D9D9" w:themeFill="background1" w:themeFillShade="D9"/>
            <w:noWrap/>
          </w:tcPr>
          <w:p w14:paraId="583CBC19" w14:textId="77777777" w:rsidR="005D2595" w:rsidRPr="0067507D" w:rsidRDefault="005D2595" w:rsidP="00FC3AF2">
            <w:pPr>
              <w:pStyle w:val="Tabletextrightbold"/>
            </w:pPr>
            <w:r w:rsidRPr="0067507D">
              <w:t xml:space="preserve">8 150 860 </w:t>
            </w:r>
          </w:p>
        </w:tc>
        <w:tc>
          <w:tcPr>
            <w:tcW w:w="1139" w:type="dxa"/>
            <w:noWrap/>
          </w:tcPr>
          <w:p w14:paraId="2D08E11A" w14:textId="77777777" w:rsidR="005D2595" w:rsidRPr="0067507D" w:rsidRDefault="005D2595" w:rsidP="00FC3AF2">
            <w:pPr>
              <w:pStyle w:val="Tabletextrightbold"/>
            </w:pPr>
            <w:r w:rsidRPr="0067507D">
              <w:t xml:space="preserve">7 842 175 </w:t>
            </w:r>
          </w:p>
        </w:tc>
        <w:tc>
          <w:tcPr>
            <w:tcW w:w="1139" w:type="dxa"/>
            <w:shd w:val="clear" w:color="auto" w:fill="E0E0E0"/>
            <w:noWrap/>
          </w:tcPr>
          <w:p w14:paraId="48B06A00" w14:textId="77777777" w:rsidR="005D2595" w:rsidRPr="0067507D" w:rsidRDefault="005D2595" w:rsidP="00FC3AF2">
            <w:pPr>
              <w:pStyle w:val="Tabletextrightbold"/>
            </w:pPr>
            <w:r w:rsidRPr="0067507D">
              <w:t xml:space="preserve"> 394 747 </w:t>
            </w:r>
          </w:p>
        </w:tc>
        <w:tc>
          <w:tcPr>
            <w:tcW w:w="1139" w:type="dxa"/>
            <w:shd w:val="clear" w:color="auto" w:fill="FFFFFF" w:themeFill="background1"/>
            <w:noWrap/>
          </w:tcPr>
          <w:p w14:paraId="32DF6DBF" w14:textId="77777777" w:rsidR="005D2595" w:rsidRPr="0067507D" w:rsidRDefault="005D2595" w:rsidP="00FC3AF2">
            <w:pPr>
              <w:pStyle w:val="Tabletextrightbold"/>
            </w:pPr>
            <w:r w:rsidRPr="0067507D">
              <w:t xml:space="preserve">3 396 670 </w:t>
            </w:r>
          </w:p>
        </w:tc>
      </w:tr>
      <w:tr w:rsidR="005D2595" w:rsidRPr="0067507D" w14:paraId="177A7853" w14:textId="77777777" w:rsidTr="00FC3AF2">
        <w:trPr>
          <w:cantSplit/>
          <w:trHeight w:hRule="exact" w:val="58"/>
        </w:trPr>
        <w:tc>
          <w:tcPr>
            <w:tcW w:w="4590" w:type="dxa"/>
          </w:tcPr>
          <w:p w14:paraId="5A273F8D" w14:textId="77777777" w:rsidR="005D2595" w:rsidRPr="0067507D" w:rsidRDefault="005D2595" w:rsidP="00FC3AF2">
            <w:pPr>
              <w:pStyle w:val="Tabletext"/>
              <w:rPr>
                <w:sz w:val="10"/>
              </w:rPr>
            </w:pPr>
          </w:p>
        </w:tc>
        <w:tc>
          <w:tcPr>
            <w:tcW w:w="792" w:type="dxa"/>
          </w:tcPr>
          <w:p w14:paraId="2EBDDF43" w14:textId="77777777" w:rsidR="005D2595" w:rsidRPr="0067507D" w:rsidRDefault="005D2595" w:rsidP="00FC3AF2">
            <w:pPr>
              <w:pStyle w:val="Tabletextcentred"/>
            </w:pPr>
          </w:p>
        </w:tc>
        <w:tc>
          <w:tcPr>
            <w:tcW w:w="1139" w:type="dxa"/>
            <w:shd w:val="clear" w:color="auto" w:fill="D9D9D9" w:themeFill="background1" w:themeFillShade="D9"/>
            <w:noWrap/>
          </w:tcPr>
          <w:p w14:paraId="452ADB6A" w14:textId="77777777" w:rsidR="005D2595" w:rsidRPr="0067507D" w:rsidRDefault="005D2595" w:rsidP="00FC3AF2">
            <w:pPr>
              <w:pStyle w:val="Tabletextrightbold"/>
            </w:pPr>
          </w:p>
        </w:tc>
        <w:tc>
          <w:tcPr>
            <w:tcW w:w="1139" w:type="dxa"/>
            <w:noWrap/>
          </w:tcPr>
          <w:p w14:paraId="183055B1" w14:textId="77777777" w:rsidR="005D2595" w:rsidRPr="0067507D" w:rsidRDefault="005D2595" w:rsidP="00FC3AF2">
            <w:pPr>
              <w:pStyle w:val="Tabletextrightbold"/>
            </w:pPr>
          </w:p>
        </w:tc>
        <w:tc>
          <w:tcPr>
            <w:tcW w:w="1139" w:type="dxa"/>
            <w:shd w:val="clear" w:color="auto" w:fill="E0E0E0"/>
            <w:noWrap/>
          </w:tcPr>
          <w:p w14:paraId="11541529" w14:textId="77777777" w:rsidR="005D2595" w:rsidRPr="0067507D" w:rsidRDefault="005D2595" w:rsidP="00FC3AF2">
            <w:pPr>
              <w:pStyle w:val="Tabletextrightbold"/>
            </w:pPr>
          </w:p>
        </w:tc>
        <w:tc>
          <w:tcPr>
            <w:tcW w:w="1139" w:type="dxa"/>
            <w:shd w:val="clear" w:color="auto" w:fill="FFFFFF" w:themeFill="background1"/>
            <w:noWrap/>
          </w:tcPr>
          <w:p w14:paraId="61BC7FAA" w14:textId="77777777" w:rsidR="005D2595" w:rsidRPr="0067507D" w:rsidRDefault="005D2595" w:rsidP="00FC3AF2">
            <w:pPr>
              <w:pStyle w:val="Tabletextrightbold"/>
            </w:pPr>
          </w:p>
        </w:tc>
      </w:tr>
      <w:tr w:rsidR="005D2595" w:rsidRPr="0067507D" w14:paraId="1D7DA831" w14:textId="77777777" w:rsidTr="00FC3AF2">
        <w:trPr>
          <w:cantSplit/>
        </w:trPr>
        <w:tc>
          <w:tcPr>
            <w:tcW w:w="4590" w:type="dxa"/>
          </w:tcPr>
          <w:p w14:paraId="5066BA47" w14:textId="77777777" w:rsidR="005D2595" w:rsidRPr="0067507D" w:rsidRDefault="005D2595" w:rsidP="00FC3AF2">
            <w:pPr>
              <w:pStyle w:val="Tabletextbold"/>
            </w:pPr>
            <w:r w:rsidRPr="0067507D">
              <w:t>Administered liabilities</w:t>
            </w:r>
          </w:p>
        </w:tc>
        <w:tc>
          <w:tcPr>
            <w:tcW w:w="792" w:type="dxa"/>
          </w:tcPr>
          <w:p w14:paraId="1005237E" w14:textId="77777777" w:rsidR="005D2595" w:rsidRPr="0067507D" w:rsidRDefault="005D2595" w:rsidP="00FC3AF2">
            <w:pPr>
              <w:pStyle w:val="Tabletextcentred"/>
            </w:pPr>
          </w:p>
        </w:tc>
        <w:tc>
          <w:tcPr>
            <w:tcW w:w="1139" w:type="dxa"/>
            <w:shd w:val="clear" w:color="auto" w:fill="D9D9D9" w:themeFill="background1" w:themeFillShade="D9"/>
            <w:noWrap/>
          </w:tcPr>
          <w:p w14:paraId="302F4941" w14:textId="77777777" w:rsidR="005D2595" w:rsidRPr="0067507D" w:rsidRDefault="005D2595" w:rsidP="00FC3AF2">
            <w:pPr>
              <w:pStyle w:val="Tabletextright"/>
            </w:pPr>
          </w:p>
        </w:tc>
        <w:tc>
          <w:tcPr>
            <w:tcW w:w="1139" w:type="dxa"/>
            <w:noWrap/>
          </w:tcPr>
          <w:p w14:paraId="211A0A19" w14:textId="77777777" w:rsidR="005D2595" w:rsidRPr="0067507D" w:rsidRDefault="005D2595" w:rsidP="00FC3AF2">
            <w:pPr>
              <w:pStyle w:val="Tabletextright"/>
            </w:pPr>
          </w:p>
        </w:tc>
        <w:tc>
          <w:tcPr>
            <w:tcW w:w="1139" w:type="dxa"/>
            <w:shd w:val="clear" w:color="auto" w:fill="E0E0E0"/>
            <w:noWrap/>
          </w:tcPr>
          <w:p w14:paraId="7F021F7E" w14:textId="77777777" w:rsidR="005D2595" w:rsidRPr="0067507D" w:rsidRDefault="005D2595" w:rsidP="00FC3AF2">
            <w:pPr>
              <w:pStyle w:val="Tabletextright"/>
            </w:pPr>
          </w:p>
        </w:tc>
        <w:tc>
          <w:tcPr>
            <w:tcW w:w="1139" w:type="dxa"/>
            <w:shd w:val="clear" w:color="auto" w:fill="FFFFFF" w:themeFill="background1"/>
            <w:noWrap/>
          </w:tcPr>
          <w:p w14:paraId="0F7F30BE" w14:textId="77777777" w:rsidR="005D2595" w:rsidRPr="0067507D" w:rsidRDefault="005D2595" w:rsidP="00FC3AF2">
            <w:pPr>
              <w:pStyle w:val="Tabletextright"/>
            </w:pPr>
          </w:p>
        </w:tc>
      </w:tr>
      <w:tr w:rsidR="005D2595" w:rsidRPr="0067507D" w14:paraId="0CB7BB48" w14:textId="77777777" w:rsidTr="00FC3AF2">
        <w:trPr>
          <w:cantSplit/>
        </w:trPr>
        <w:tc>
          <w:tcPr>
            <w:tcW w:w="4590" w:type="dxa"/>
          </w:tcPr>
          <w:p w14:paraId="78AA17FE" w14:textId="77777777" w:rsidR="005D2595" w:rsidRPr="0067507D" w:rsidRDefault="005D2595" w:rsidP="00FC3AF2">
            <w:pPr>
              <w:pStyle w:val="Tabletext"/>
            </w:pPr>
            <w:r w:rsidRPr="0067507D">
              <w:t xml:space="preserve">Payables </w:t>
            </w:r>
          </w:p>
        </w:tc>
        <w:tc>
          <w:tcPr>
            <w:tcW w:w="792" w:type="dxa"/>
          </w:tcPr>
          <w:p w14:paraId="30677452" w14:textId="77777777" w:rsidR="005D2595" w:rsidRPr="0067507D" w:rsidRDefault="005D2595" w:rsidP="00FC3AF2">
            <w:pPr>
              <w:pStyle w:val="Tabletextcentred"/>
            </w:pPr>
          </w:p>
        </w:tc>
        <w:tc>
          <w:tcPr>
            <w:tcW w:w="1139" w:type="dxa"/>
            <w:shd w:val="clear" w:color="auto" w:fill="D9D9D9" w:themeFill="background1" w:themeFillShade="D9"/>
            <w:noWrap/>
          </w:tcPr>
          <w:p w14:paraId="0BE629CF" w14:textId="77777777" w:rsidR="005D2595" w:rsidRPr="0067507D" w:rsidRDefault="005D2595" w:rsidP="00FC3AF2">
            <w:pPr>
              <w:pStyle w:val="Tabletextright"/>
            </w:pPr>
            <w:r w:rsidRPr="0067507D">
              <w:t xml:space="preserve"> 163 113 </w:t>
            </w:r>
          </w:p>
        </w:tc>
        <w:tc>
          <w:tcPr>
            <w:tcW w:w="1139" w:type="dxa"/>
            <w:noWrap/>
          </w:tcPr>
          <w:p w14:paraId="17DEB0A2" w14:textId="77777777" w:rsidR="005D2595" w:rsidRPr="0067507D" w:rsidRDefault="005D2595" w:rsidP="00FC3AF2">
            <w:pPr>
              <w:pStyle w:val="Tabletextright"/>
            </w:pPr>
            <w:r w:rsidRPr="0067507D">
              <w:t xml:space="preserve"> 156 824 </w:t>
            </w:r>
          </w:p>
        </w:tc>
        <w:tc>
          <w:tcPr>
            <w:tcW w:w="1139" w:type="dxa"/>
            <w:shd w:val="clear" w:color="auto" w:fill="E0E0E0"/>
            <w:noWrap/>
          </w:tcPr>
          <w:p w14:paraId="552B06CD" w14:textId="77777777" w:rsidR="005D2595" w:rsidRPr="0067507D" w:rsidRDefault="005D2595" w:rsidP="00FC3AF2">
            <w:pPr>
              <w:pStyle w:val="Tabletextright"/>
            </w:pPr>
            <w:r w:rsidRPr="0067507D">
              <w:t xml:space="preserve">– </w:t>
            </w:r>
          </w:p>
        </w:tc>
        <w:tc>
          <w:tcPr>
            <w:tcW w:w="1139" w:type="dxa"/>
            <w:shd w:val="clear" w:color="auto" w:fill="FFFFFF" w:themeFill="background1"/>
            <w:noWrap/>
          </w:tcPr>
          <w:p w14:paraId="6EB0B90B" w14:textId="77777777" w:rsidR="005D2595" w:rsidRPr="0067507D" w:rsidRDefault="005D2595" w:rsidP="00FC3AF2">
            <w:pPr>
              <w:pStyle w:val="Tabletextright"/>
            </w:pPr>
            <w:r w:rsidRPr="0067507D">
              <w:t xml:space="preserve"> 147 215 </w:t>
            </w:r>
          </w:p>
        </w:tc>
      </w:tr>
      <w:tr w:rsidR="005D2595" w:rsidRPr="0067507D" w14:paraId="7928E480" w14:textId="77777777" w:rsidTr="00FC3AF2">
        <w:trPr>
          <w:cantSplit/>
        </w:trPr>
        <w:tc>
          <w:tcPr>
            <w:tcW w:w="4590" w:type="dxa"/>
          </w:tcPr>
          <w:p w14:paraId="7F987C5D" w14:textId="77777777" w:rsidR="005D2595" w:rsidRPr="0067507D" w:rsidRDefault="005D2595" w:rsidP="00FC3AF2">
            <w:pPr>
              <w:pStyle w:val="Tabletext"/>
            </w:pPr>
            <w:r w:rsidRPr="0067507D">
              <w:t xml:space="preserve">Public Account State Administration Unit liability </w:t>
            </w:r>
            <w:r w:rsidRPr="0067507D">
              <w:rPr>
                <w:vertAlign w:val="superscript"/>
              </w:rPr>
              <w:t>(e)</w:t>
            </w:r>
          </w:p>
        </w:tc>
        <w:tc>
          <w:tcPr>
            <w:tcW w:w="792" w:type="dxa"/>
          </w:tcPr>
          <w:p w14:paraId="17E7F95E" w14:textId="77777777" w:rsidR="005D2595" w:rsidRPr="0067507D" w:rsidRDefault="005D2595" w:rsidP="00FC3AF2">
            <w:pPr>
              <w:pStyle w:val="Tabletextcentred"/>
            </w:pPr>
          </w:p>
        </w:tc>
        <w:tc>
          <w:tcPr>
            <w:tcW w:w="1139" w:type="dxa"/>
            <w:shd w:val="clear" w:color="auto" w:fill="D9D9D9" w:themeFill="background1" w:themeFillShade="D9"/>
            <w:noWrap/>
          </w:tcPr>
          <w:p w14:paraId="39564F1C" w14:textId="77777777" w:rsidR="005D2595" w:rsidRPr="0067507D" w:rsidRDefault="005D2595" w:rsidP="00FC3AF2">
            <w:pPr>
              <w:pStyle w:val="Tabletextright"/>
            </w:pPr>
            <w:r w:rsidRPr="0067507D">
              <w:t>–</w:t>
            </w:r>
          </w:p>
        </w:tc>
        <w:tc>
          <w:tcPr>
            <w:tcW w:w="1139" w:type="dxa"/>
            <w:noWrap/>
          </w:tcPr>
          <w:p w14:paraId="3F25B558" w14:textId="77777777" w:rsidR="005D2595" w:rsidRPr="0067507D" w:rsidRDefault="005D2595" w:rsidP="00FC3AF2">
            <w:pPr>
              <w:pStyle w:val="Tabletextright"/>
            </w:pPr>
            <w:r w:rsidRPr="0067507D">
              <w:t>–</w:t>
            </w:r>
          </w:p>
        </w:tc>
        <w:tc>
          <w:tcPr>
            <w:tcW w:w="1139" w:type="dxa"/>
            <w:shd w:val="clear" w:color="auto" w:fill="E0E0E0"/>
            <w:noWrap/>
          </w:tcPr>
          <w:p w14:paraId="24AAD872" w14:textId="77777777" w:rsidR="005D2595" w:rsidRPr="0067507D" w:rsidRDefault="005D2595" w:rsidP="00FC3AF2">
            <w:pPr>
              <w:pStyle w:val="Tabletextright"/>
            </w:pPr>
            <w:r w:rsidRPr="0067507D">
              <w:t>–</w:t>
            </w:r>
          </w:p>
        </w:tc>
        <w:tc>
          <w:tcPr>
            <w:tcW w:w="1139" w:type="dxa"/>
            <w:shd w:val="clear" w:color="auto" w:fill="FFFFFF" w:themeFill="background1"/>
            <w:noWrap/>
          </w:tcPr>
          <w:p w14:paraId="493E6155" w14:textId="77777777" w:rsidR="005D2595" w:rsidRPr="0067507D" w:rsidRDefault="005D2595" w:rsidP="00FC3AF2">
            <w:pPr>
              <w:pStyle w:val="Tabletextright"/>
            </w:pPr>
            <w:r w:rsidRPr="0067507D">
              <w:t>–</w:t>
            </w:r>
          </w:p>
        </w:tc>
      </w:tr>
      <w:tr w:rsidR="005D2595" w:rsidRPr="0067507D" w14:paraId="76232816" w14:textId="77777777" w:rsidTr="00FC3AF2">
        <w:trPr>
          <w:cantSplit/>
        </w:trPr>
        <w:tc>
          <w:tcPr>
            <w:tcW w:w="4590" w:type="dxa"/>
          </w:tcPr>
          <w:p w14:paraId="30D2EE8C" w14:textId="77777777" w:rsidR="005D2595" w:rsidRPr="0067507D" w:rsidRDefault="005D2595" w:rsidP="00FC3AF2">
            <w:pPr>
              <w:pStyle w:val="Tabletext"/>
            </w:pPr>
            <w:r w:rsidRPr="0067507D">
              <w:t>Borrowings</w:t>
            </w:r>
          </w:p>
        </w:tc>
        <w:tc>
          <w:tcPr>
            <w:tcW w:w="792" w:type="dxa"/>
          </w:tcPr>
          <w:p w14:paraId="27164801" w14:textId="77777777" w:rsidR="005D2595" w:rsidRPr="0067507D" w:rsidRDefault="005D2595" w:rsidP="00FC3AF2">
            <w:pPr>
              <w:pStyle w:val="Tabletextcentred"/>
            </w:pPr>
            <w:r w:rsidRPr="0067507D">
              <w:t>4.3.4</w:t>
            </w:r>
          </w:p>
        </w:tc>
        <w:tc>
          <w:tcPr>
            <w:tcW w:w="1139" w:type="dxa"/>
            <w:shd w:val="clear" w:color="auto" w:fill="D9D9D9" w:themeFill="background1" w:themeFillShade="D9"/>
            <w:noWrap/>
          </w:tcPr>
          <w:p w14:paraId="1CD50B5B" w14:textId="77777777" w:rsidR="005D2595" w:rsidRPr="0067507D" w:rsidRDefault="005D2595" w:rsidP="00FC3AF2">
            <w:pPr>
              <w:pStyle w:val="Tabletextright"/>
            </w:pPr>
            <w:r w:rsidRPr="0067507D">
              <w:t>–</w:t>
            </w:r>
          </w:p>
        </w:tc>
        <w:tc>
          <w:tcPr>
            <w:tcW w:w="1139" w:type="dxa"/>
            <w:noWrap/>
          </w:tcPr>
          <w:p w14:paraId="3421765B" w14:textId="77777777" w:rsidR="005D2595" w:rsidRPr="0067507D" w:rsidRDefault="005D2595" w:rsidP="00FC3AF2">
            <w:pPr>
              <w:pStyle w:val="Tabletextright"/>
            </w:pPr>
            <w:r w:rsidRPr="0067507D">
              <w:t>–</w:t>
            </w:r>
          </w:p>
        </w:tc>
        <w:tc>
          <w:tcPr>
            <w:tcW w:w="1139" w:type="dxa"/>
            <w:shd w:val="clear" w:color="auto" w:fill="E0E0E0"/>
            <w:noWrap/>
          </w:tcPr>
          <w:p w14:paraId="02C641CD" w14:textId="77777777" w:rsidR="005D2595" w:rsidRPr="0067507D" w:rsidRDefault="005D2595" w:rsidP="00FC3AF2">
            <w:pPr>
              <w:pStyle w:val="Tabletextright"/>
            </w:pPr>
            <w:r w:rsidRPr="0067507D">
              <w:t>–</w:t>
            </w:r>
          </w:p>
        </w:tc>
        <w:tc>
          <w:tcPr>
            <w:tcW w:w="1139" w:type="dxa"/>
            <w:shd w:val="clear" w:color="auto" w:fill="FFFFFF" w:themeFill="background1"/>
            <w:noWrap/>
          </w:tcPr>
          <w:p w14:paraId="0AD7068E" w14:textId="77777777" w:rsidR="005D2595" w:rsidRPr="0067507D" w:rsidRDefault="005D2595" w:rsidP="00FC3AF2">
            <w:pPr>
              <w:pStyle w:val="Tabletextright"/>
            </w:pPr>
            <w:r w:rsidRPr="0067507D">
              <w:t>–</w:t>
            </w:r>
          </w:p>
        </w:tc>
      </w:tr>
      <w:tr w:rsidR="005D2595" w:rsidRPr="0067507D" w14:paraId="0CD8B7D8" w14:textId="77777777" w:rsidTr="00FC3AF2">
        <w:trPr>
          <w:cantSplit/>
        </w:trPr>
        <w:tc>
          <w:tcPr>
            <w:tcW w:w="4590" w:type="dxa"/>
          </w:tcPr>
          <w:p w14:paraId="3DC5D529" w14:textId="77777777" w:rsidR="005D2595" w:rsidRPr="0067507D" w:rsidRDefault="005D2595" w:rsidP="00FC3AF2">
            <w:pPr>
              <w:pStyle w:val="Tabletext"/>
            </w:pPr>
            <w:r w:rsidRPr="0067507D">
              <w:t>Superannuation liability</w:t>
            </w:r>
          </w:p>
        </w:tc>
        <w:tc>
          <w:tcPr>
            <w:tcW w:w="792" w:type="dxa"/>
          </w:tcPr>
          <w:p w14:paraId="698F564A" w14:textId="77777777" w:rsidR="005D2595" w:rsidRPr="0067507D" w:rsidRDefault="005D2595" w:rsidP="00FC3AF2">
            <w:pPr>
              <w:pStyle w:val="Tabletextcentred"/>
            </w:pPr>
            <w:r w:rsidRPr="0067507D">
              <w:t>4.3.5</w:t>
            </w:r>
          </w:p>
        </w:tc>
        <w:tc>
          <w:tcPr>
            <w:tcW w:w="1139" w:type="dxa"/>
            <w:shd w:val="clear" w:color="auto" w:fill="D9D9D9" w:themeFill="background1" w:themeFillShade="D9"/>
            <w:noWrap/>
          </w:tcPr>
          <w:p w14:paraId="3AEE5144" w14:textId="77777777" w:rsidR="005D2595" w:rsidRPr="0067507D" w:rsidRDefault="005D2595" w:rsidP="00FC3AF2">
            <w:pPr>
              <w:pStyle w:val="Tabletextright"/>
            </w:pPr>
            <w:r w:rsidRPr="0067507D">
              <w:t>–</w:t>
            </w:r>
          </w:p>
        </w:tc>
        <w:tc>
          <w:tcPr>
            <w:tcW w:w="1139" w:type="dxa"/>
            <w:noWrap/>
          </w:tcPr>
          <w:p w14:paraId="63B06542" w14:textId="77777777" w:rsidR="005D2595" w:rsidRPr="0067507D" w:rsidRDefault="005D2595" w:rsidP="00FC3AF2">
            <w:pPr>
              <w:pStyle w:val="Tabletextright"/>
            </w:pPr>
            <w:r w:rsidRPr="0067507D">
              <w:t>–</w:t>
            </w:r>
          </w:p>
        </w:tc>
        <w:tc>
          <w:tcPr>
            <w:tcW w:w="1139" w:type="dxa"/>
            <w:shd w:val="clear" w:color="auto" w:fill="E0E0E0"/>
            <w:noWrap/>
          </w:tcPr>
          <w:p w14:paraId="012980BA" w14:textId="77777777" w:rsidR="005D2595" w:rsidRPr="0067507D" w:rsidRDefault="005D2595" w:rsidP="00FC3AF2">
            <w:pPr>
              <w:pStyle w:val="Tabletextright"/>
            </w:pPr>
            <w:r w:rsidRPr="0067507D">
              <w:t>–</w:t>
            </w:r>
          </w:p>
        </w:tc>
        <w:tc>
          <w:tcPr>
            <w:tcW w:w="1139" w:type="dxa"/>
            <w:shd w:val="clear" w:color="auto" w:fill="FFFFFF" w:themeFill="background1"/>
            <w:noWrap/>
          </w:tcPr>
          <w:p w14:paraId="303C1AB1" w14:textId="77777777" w:rsidR="005D2595" w:rsidRPr="0067507D" w:rsidRDefault="005D2595" w:rsidP="00FC3AF2">
            <w:pPr>
              <w:pStyle w:val="Tabletextright"/>
            </w:pPr>
            <w:r w:rsidRPr="0067507D">
              <w:t>–</w:t>
            </w:r>
          </w:p>
        </w:tc>
      </w:tr>
      <w:tr w:rsidR="005D2595" w:rsidRPr="0067507D" w14:paraId="68E2E586" w14:textId="77777777" w:rsidTr="00FC3AF2">
        <w:trPr>
          <w:cantSplit/>
        </w:trPr>
        <w:tc>
          <w:tcPr>
            <w:tcW w:w="4590" w:type="dxa"/>
          </w:tcPr>
          <w:p w14:paraId="711199A4" w14:textId="77777777" w:rsidR="005D2595" w:rsidRPr="0067507D" w:rsidRDefault="005D2595" w:rsidP="00FC3AF2">
            <w:pPr>
              <w:pStyle w:val="Tabletextbold"/>
              <w:rPr>
                <w:bCs/>
              </w:rPr>
            </w:pPr>
            <w:r w:rsidRPr="0067507D">
              <w:t>Total administered liabilities</w:t>
            </w:r>
          </w:p>
        </w:tc>
        <w:tc>
          <w:tcPr>
            <w:tcW w:w="792" w:type="dxa"/>
          </w:tcPr>
          <w:p w14:paraId="4B402BAA" w14:textId="77777777" w:rsidR="005D2595" w:rsidRPr="0067507D" w:rsidRDefault="005D2595" w:rsidP="00FC3AF2">
            <w:pPr>
              <w:pStyle w:val="Tabletextcentred"/>
            </w:pPr>
          </w:p>
        </w:tc>
        <w:tc>
          <w:tcPr>
            <w:tcW w:w="1139" w:type="dxa"/>
            <w:shd w:val="clear" w:color="auto" w:fill="D9D9D9" w:themeFill="background1" w:themeFillShade="D9"/>
            <w:noWrap/>
          </w:tcPr>
          <w:p w14:paraId="77D7FD62" w14:textId="77777777" w:rsidR="005D2595" w:rsidRPr="0067507D" w:rsidRDefault="005D2595" w:rsidP="00FC3AF2">
            <w:pPr>
              <w:pStyle w:val="Tabletextrightbold"/>
            </w:pPr>
            <w:r w:rsidRPr="0067507D">
              <w:t xml:space="preserve"> 163 113 </w:t>
            </w:r>
          </w:p>
        </w:tc>
        <w:tc>
          <w:tcPr>
            <w:tcW w:w="1139" w:type="dxa"/>
            <w:noWrap/>
          </w:tcPr>
          <w:p w14:paraId="342096A2" w14:textId="77777777" w:rsidR="005D2595" w:rsidRPr="0067507D" w:rsidRDefault="005D2595" w:rsidP="00FC3AF2">
            <w:pPr>
              <w:pStyle w:val="Tabletextrightbold"/>
            </w:pPr>
            <w:r w:rsidRPr="0067507D">
              <w:t xml:space="preserve"> 156 824 </w:t>
            </w:r>
          </w:p>
        </w:tc>
        <w:tc>
          <w:tcPr>
            <w:tcW w:w="1139" w:type="dxa"/>
            <w:shd w:val="clear" w:color="auto" w:fill="E0E0E0"/>
            <w:noWrap/>
          </w:tcPr>
          <w:p w14:paraId="613F8C68" w14:textId="77777777" w:rsidR="005D2595" w:rsidRPr="0067507D" w:rsidRDefault="005D2595" w:rsidP="00FC3AF2">
            <w:pPr>
              <w:pStyle w:val="Tabletextrightbold"/>
            </w:pPr>
            <w:r w:rsidRPr="0067507D">
              <w:t xml:space="preserve">– </w:t>
            </w:r>
          </w:p>
        </w:tc>
        <w:tc>
          <w:tcPr>
            <w:tcW w:w="1139" w:type="dxa"/>
            <w:shd w:val="clear" w:color="auto" w:fill="FFFFFF" w:themeFill="background1"/>
            <w:noWrap/>
          </w:tcPr>
          <w:p w14:paraId="5DFA5D87" w14:textId="77777777" w:rsidR="005D2595" w:rsidRPr="0067507D" w:rsidRDefault="005D2595" w:rsidP="00FC3AF2">
            <w:pPr>
              <w:pStyle w:val="Tabletextrightbold"/>
            </w:pPr>
            <w:r w:rsidRPr="0067507D">
              <w:t xml:space="preserve"> 147 215 </w:t>
            </w:r>
          </w:p>
        </w:tc>
      </w:tr>
      <w:tr w:rsidR="005D2595" w:rsidRPr="0067507D" w14:paraId="0244051B" w14:textId="77777777" w:rsidTr="00FC3AF2">
        <w:trPr>
          <w:cantSplit/>
        </w:trPr>
        <w:tc>
          <w:tcPr>
            <w:tcW w:w="4590" w:type="dxa"/>
          </w:tcPr>
          <w:p w14:paraId="638C2B95" w14:textId="77777777" w:rsidR="005D2595" w:rsidRPr="0067507D" w:rsidRDefault="005D2595" w:rsidP="00FC3AF2">
            <w:pPr>
              <w:pStyle w:val="Tabletextbold"/>
            </w:pPr>
            <w:r w:rsidRPr="0067507D">
              <w:t xml:space="preserve">Net administered assets </w:t>
            </w:r>
          </w:p>
        </w:tc>
        <w:tc>
          <w:tcPr>
            <w:tcW w:w="792" w:type="dxa"/>
          </w:tcPr>
          <w:p w14:paraId="1370CE2B" w14:textId="77777777" w:rsidR="005D2595" w:rsidRPr="0067507D" w:rsidRDefault="005D2595" w:rsidP="00FC3AF2">
            <w:pPr>
              <w:pStyle w:val="Tabletextcentred"/>
            </w:pPr>
          </w:p>
        </w:tc>
        <w:tc>
          <w:tcPr>
            <w:tcW w:w="1139" w:type="dxa"/>
            <w:shd w:val="clear" w:color="auto" w:fill="D9D9D9" w:themeFill="background1" w:themeFillShade="D9"/>
            <w:noWrap/>
          </w:tcPr>
          <w:p w14:paraId="69A215B2" w14:textId="77777777" w:rsidR="005D2595" w:rsidRPr="0067507D" w:rsidRDefault="005D2595" w:rsidP="00FC3AF2">
            <w:pPr>
              <w:pStyle w:val="Tabletextrightbold"/>
            </w:pPr>
            <w:r w:rsidRPr="0067507D">
              <w:t xml:space="preserve">7 987 747 </w:t>
            </w:r>
          </w:p>
        </w:tc>
        <w:tc>
          <w:tcPr>
            <w:tcW w:w="1139" w:type="dxa"/>
            <w:noWrap/>
          </w:tcPr>
          <w:p w14:paraId="0A2731D9" w14:textId="77777777" w:rsidR="005D2595" w:rsidRPr="0067507D" w:rsidRDefault="005D2595" w:rsidP="00FC3AF2">
            <w:pPr>
              <w:pStyle w:val="Tabletextrightbold"/>
            </w:pPr>
            <w:r w:rsidRPr="0067507D">
              <w:t xml:space="preserve">7 685 351 </w:t>
            </w:r>
          </w:p>
        </w:tc>
        <w:tc>
          <w:tcPr>
            <w:tcW w:w="1139" w:type="dxa"/>
            <w:shd w:val="clear" w:color="auto" w:fill="E0E0E0"/>
            <w:noWrap/>
          </w:tcPr>
          <w:p w14:paraId="1CAFFFB1" w14:textId="77777777" w:rsidR="005D2595" w:rsidRPr="0067507D" w:rsidRDefault="005D2595" w:rsidP="00FC3AF2">
            <w:pPr>
              <w:pStyle w:val="Tabletextrightbold"/>
            </w:pPr>
            <w:r w:rsidRPr="0067507D">
              <w:t xml:space="preserve"> 394 747 </w:t>
            </w:r>
          </w:p>
        </w:tc>
        <w:tc>
          <w:tcPr>
            <w:tcW w:w="1139" w:type="dxa"/>
            <w:shd w:val="clear" w:color="auto" w:fill="FFFFFF" w:themeFill="background1"/>
            <w:noWrap/>
          </w:tcPr>
          <w:p w14:paraId="26F0E313" w14:textId="77777777" w:rsidR="005D2595" w:rsidRPr="0067507D" w:rsidRDefault="005D2595" w:rsidP="00FC3AF2">
            <w:pPr>
              <w:pStyle w:val="Tabletextrightbold"/>
            </w:pPr>
            <w:r w:rsidRPr="0067507D">
              <w:t xml:space="preserve">3 249 455 </w:t>
            </w:r>
          </w:p>
        </w:tc>
      </w:tr>
    </w:tbl>
    <w:p w14:paraId="06848EF1" w14:textId="77777777" w:rsidR="005D2595" w:rsidRPr="0067507D" w:rsidRDefault="005D2595" w:rsidP="005D2595">
      <w:pPr>
        <w:pStyle w:val="Notes"/>
      </w:pPr>
      <w:r w:rsidRPr="0067507D">
        <w:t>Notes:</w:t>
      </w:r>
    </w:p>
    <w:p w14:paraId="266C5486" w14:textId="77777777" w:rsidR="005D2595" w:rsidRPr="0067507D" w:rsidRDefault="005D2595" w:rsidP="005D2595">
      <w:pPr>
        <w:pStyle w:val="Notes"/>
      </w:pPr>
      <w:r w:rsidRPr="0067507D">
        <w:t>(a) 2024 figures have been restated as a result of moving superannuation related appropriation, expense and liability from output ‘Other’ to output ‘Improve how Government manages its balance sheet, commercial activities and public sector infrastructure’.</w:t>
      </w:r>
    </w:p>
    <w:p w14:paraId="24F36027" w14:textId="1C39E2B7" w:rsidR="005D2595" w:rsidRPr="0067507D" w:rsidRDefault="005D2595" w:rsidP="005D2595">
      <w:pPr>
        <w:pStyle w:val="Notes"/>
      </w:pPr>
      <w:r w:rsidRPr="0067507D">
        <w:t>(b) 2024 figures have been restated as a result of moving interest income and cash and deposits from output ‘Other’ to output ‘Improve how Government manages its balance sheet, commercial activities and public sector infrastructure’</w:t>
      </w:r>
      <w:r w:rsidR="00F0310D" w:rsidRPr="0067507D">
        <w:t>.</w:t>
      </w:r>
    </w:p>
    <w:p w14:paraId="27BC8DB3" w14:textId="6C06FE10" w:rsidR="005D2595" w:rsidRPr="0067507D" w:rsidRDefault="005D2595" w:rsidP="005D2595">
      <w:pPr>
        <w:pStyle w:val="Notes"/>
      </w:pPr>
      <w:r w:rsidRPr="0067507D">
        <w:t>(c) Receivables mainly comprises taxes receivable totalling $5.2 billion ($5.7 billion in 2023</w:t>
      </w:r>
      <w:r w:rsidR="006A5485">
        <w:noBreakHyphen/>
      </w:r>
      <w:r w:rsidRPr="0067507D">
        <w:t xml:space="preserve">24). They are statutory receivables such as land tax, land transfer </w:t>
      </w:r>
      <w:r w:rsidR="00F0310D" w:rsidRPr="0067507D">
        <w:t xml:space="preserve">duty </w:t>
      </w:r>
      <w:r w:rsidRPr="0067507D">
        <w:t xml:space="preserve">and payroll tax. The tax receivable is recognised for the tax outstanding on receipt of a taxpayer's self assessment, or the time the taxpayer's obligation to pay arises pursuant to the issue of an assessment, whichever is earlier. </w:t>
      </w:r>
    </w:p>
    <w:p w14:paraId="0794DFD7" w14:textId="103EC947" w:rsidR="005D2595" w:rsidRPr="0067507D" w:rsidRDefault="005D2595" w:rsidP="005D2595">
      <w:pPr>
        <w:pStyle w:val="Notes"/>
      </w:pPr>
      <w:r w:rsidRPr="0067507D">
        <w:t>(d) Investments in controlled entities represents the State's equity investment in entities controlled by the State, in its capacity as owner</w:t>
      </w:r>
      <w:r w:rsidR="00DD1310" w:rsidRPr="0067507D">
        <w:t>,</w:t>
      </w:r>
      <w:r w:rsidRPr="0067507D">
        <w:t xml:space="preserve"> and is carried at cost.</w:t>
      </w:r>
    </w:p>
    <w:p w14:paraId="755BE1BA" w14:textId="77777777" w:rsidR="005D2595" w:rsidRPr="0067507D" w:rsidRDefault="005D2595" w:rsidP="005D2595">
      <w:pPr>
        <w:pStyle w:val="Notes"/>
      </w:pPr>
      <w:r w:rsidRPr="0067507D">
        <w:t>(e) Public Account State Administration Unit liability is the outstanding liabilities to other departments in respect of (i) amounts appropriated from the Consolidated Fund but are undrawn at year end, net of Public Account advances to other departments, and (ii) Trust Account funds held on their behalf within the Public Account.</w:t>
      </w:r>
    </w:p>
    <w:p w14:paraId="60EFA1FA" w14:textId="5D863B48" w:rsidR="005D2595" w:rsidRPr="0067507D" w:rsidRDefault="005D2595" w:rsidP="005D2595">
      <w:pPr>
        <w:keepLines w:val="0"/>
        <w:spacing w:before="0" w:after="0"/>
      </w:pPr>
      <w:r w:rsidRPr="0067507D">
        <w:t xml:space="preserve"> </w:t>
      </w:r>
      <w:r w:rsidRPr="0067507D">
        <w:br w:type="page"/>
      </w:r>
    </w:p>
    <w:tbl>
      <w:tblPr>
        <w:tblW w:w="0" w:type="auto"/>
        <w:tblLayout w:type="fixed"/>
        <w:tblLook w:val="0000" w:firstRow="0" w:lastRow="0" w:firstColumn="0" w:lastColumn="0" w:noHBand="0" w:noVBand="0"/>
      </w:tblPr>
      <w:tblGrid>
        <w:gridCol w:w="1395"/>
        <w:gridCol w:w="1395"/>
        <w:gridCol w:w="1395"/>
        <w:gridCol w:w="1395"/>
        <w:gridCol w:w="1395"/>
        <w:gridCol w:w="1395"/>
      </w:tblGrid>
      <w:tr w:rsidR="005D2595" w:rsidRPr="0067507D" w14:paraId="4963E6CC" w14:textId="77777777" w:rsidTr="00FC3AF2">
        <w:trPr>
          <w:cantSplit/>
          <w:trHeight w:val="922"/>
        </w:trPr>
        <w:tc>
          <w:tcPr>
            <w:tcW w:w="2790" w:type="dxa"/>
            <w:gridSpan w:val="2"/>
            <w:noWrap/>
            <w:vAlign w:val="bottom"/>
          </w:tcPr>
          <w:p w14:paraId="6425F0B9" w14:textId="77777777" w:rsidR="005D2595" w:rsidRPr="0067507D" w:rsidRDefault="005D2595" w:rsidP="00FC3AF2">
            <w:pPr>
              <w:pStyle w:val="Tabletextheadingcentred"/>
            </w:pPr>
            <w:r w:rsidRPr="0067507D">
              <w:lastRenderedPageBreak/>
              <w:t xml:space="preserve">Improve how Government manages its balance sheet, commercial activities and public sector infrastructure </w:t>
            </w:r>
            <w:r w:rsidRPr="0067507D">
              <w:rPr>
                <w:vertAlign w:val="superscript"/>
              </w:rPr>
              <w:t>(a)(b)</w:t>
            </w:r>
          </w:p>
        </w:tc>
        <w:tc>
          <w:tcPr>
            <w:tcW w:w="2790" w:type="dxa"/>
            <w:gridSpan w:val="2"/>
            <w:noWrap/>
            <w:vAlign w:val="bottom"/>
          </w:tcPr>
          <w:p w14:paraId="1E90E18B" w14:textId="77777777" w:rsidR="005D2595" w:rsidRPr="0067507D" w:rsidRDefault="005D2595" w:rsidP="00FC3AF2">
            <w:pPr>
              <w:pStyle w:val="Tabletextheadingcentred"/>
            </w:pPr>
            <w:r w:rsidRPr="0067507D">
              <w:t xml:space="preserve">Other </w:t>
            </w:r>
            <w:r w:rsidRPr="0067507D">
              <w:rPr>
                <w:vertAlign w:val="superscript"/>
              </w:rPr>
              <w:t>(a)(b)</w:t>
            </w:r>
          </w:p>
        </w:tc>
        <w:tc>
          <w:tcPr>
            <w:tcW w:w="2790" w:type="dxa"/>
            <w:gridSpan w:val="2"/>
            <w:noWrap/>
            <w:vAlign w:val="bottom"/>
          </w:tcPr>
          <w:p w14:paraId="37296065" w14:textId="77777777" w:rsidR="005D2595" w:rsidRPr="0067507D" w:rsidRDefault="005D2595" w:rsidP="00FC3AF2">
            <w:pPr>
              <w:pStyle w:val="Tabletextheadingcentred"/>
            </w:pPr>
            <w:r w:rsidRPr="0067507D">
              <w:t>Departmental total</w:t>
            </w:r>
          </w:p>
        </w:tc>
      </w:tr>
      <w:tr w:rsidR="00353010" w:rsidRPr="0067507D" w14:paraId="6792C706" w14:textId="77777777" w:rsidTr="00FC3AF2">
        <w:trPr>
          <w:cantSplit/>
        </w:trPr>
        <w:tc>
          <w:tcPr>
            <w:tcW w:w="1395" w:type="dxa"/>
            <w:noWrap/>
          </w:tcPr>
          <w:p w14:paraId="1899ED5D" w14:textId="6F089617" w:rsidR="00353010" w:rsidRPr="0067507D" w:rsidRDefault="00353010" w:rsidP="00353010">
            <w:pPr>
              <w:pStyle w:val="Tabletextheadingright"/>
            </w:pPr>
            <w:r w:rsidRPr="0067507D">
              <w:rPr>
                <w:szCs w:val="16"/>
              </w:rPr>
              <w:t>2025</w:t>
            </w:r>
            <w:r>
              <w:rPr>
                <w:szCs w:val="16"/>
              </w:rPr>
              <w:br/>
            </w:r>
            <w:r w:rsidRPr="0067507D">
              <w:t>$’000</w:t>
            </w:r>
          </w:p>
        </w:tc>
        <w:tc>
          <w:tcPr>
            <w:tcW w:w="1395" w:type="dxa"/>
            <w:noWrap/>
          </w:tcPr>
          <w:p w14:paraId="6433C6AD" w14:textId="4C5E93E8" w:rsidR="00353010" w:rsidRPr="0067507D" w:rsidRDefault="00353010" w:rsidP="00353010">
            <w:pPr>
              <w:pStyle w:val="Tabletextheadingright"/>
            </w:pPr>
            <w:r w:rsidRPr="0067507D">
              <w:rPr>
                <w:szCs w:val="16"/>
              </w:rPr>
              <w:t>2024</w:t>
            </w:r>
            <w:r>
              <w:rPr>
                <w:szCs w:val="16"/>
              </w:rPr>
              <w:br/>
            </w:r>
            <w:r w:rsidRPr="0067507D">
              <w:t>$’000</w:t>
            </w:r>
          </w:p>
        </w:tc>
        <w:tc>
          <w:tcPr>
            <w:tcW w:w="1395" w:type="dxa"/>
            <w:noWrap/>
          </w:tcPr>
          <w:p w14:paraId="3159B609" w14:textId="04075783" w:rsidR="00353010" w:rsidRPr="0067507D" w:rsidRDefault="00353010" w:rsidP="00353010">
            <w:pPr>
              <w:pStyle w:val="Tabletextheadingright"/>
            </w:pPr>
            <w:r w:rsidRPr="0067507D">
              <w:rPr>
                <w:szCs w:val="16"/>
              </w:rPr>
              <w:t>2025</w:t>
            </w:r>
            <w:r>
              <w:rPr>
                <w:szCs w:val="16"/>
              </w:rPr>
              <w:br/>
            </w:r>
            <w:r w:rsidRPr="0067507D">
              <w:t>$’000</w:t>
            </w:r>
          </w:p>
        </w:tc>
        <w:tc>
          <w:tcPr>
            <w:tcW w:w="1395" w:type="dxa"/>
            <w:noWrap/>
          </w:tcPr>
          <w:p w14:paraId="59A95348" w14:textId="426756F5" w:rsidR="00353010" w:rsidRPr="0067507D" w:rsidRDefault="00353010" w:rsidP="00353010">
            <w:pPr>
              <w:pStyle w:val="Tabletextheadingright"/>
            </w:pPr>
            <w:r w:rsidRPr="0067507D">
              <w:rPr>
                <w:szCs w:val="16"/>
              </w:rPr>
              <w:t>2024</w:t>
            </w:r>
            <w:r>
              <w:rPr>
                <w:szCs w:val="16"/>
              </w:rPr>
              <w:br/>
            </w:r>
            <w:r w:rsidRPr="0067507D">
              <w:t>$’000</w:t>
            </w:r>
          </w:p>
        </w:tc>
        <w:tc>
          <w:tcPr>
            <w:tcW w:w="1395" w:type="dxa"/>
            <w:noWrap/>
          </w:tcPr>
          <w:p w14:paraId="4FECCD18" w14:textId="6F09A7D2" w:rsidR="00353010" w:rsidRPr="0067507D" w:rsidRDefault="00353010" w:rsidP="00353010">
            <w:pPr>
              <w:pStyle w:val="Tabletextheadingright"/>
            </w:pPr>
            <w:r w:rsidRPr="0067507D">
              <w:rPr>
                <w:szCs w:val="16"/>
              </w:rPr>
              <w:t>2025</w:t>
            </w:r>
            <w:r>
              <w:rPr>
                <w:szCs w:val="16"/>
              </w:rPr>
              <w:br/>
            </w:r>
            <w:r w:rsidRPr="0067507D">
              <w:t>$’000</w:t>
            </w:r>
          </w:p>
        </w:tc>
        <w:tc>
          <w:tcPr>
            <w:tcW w:w="1395" w:type="dxa"/>
            <w:noWrap/>
          </w:tcPr>
          <w:p w14:paraId="4A84E6B0" w14:textId="786CF32E" w:rsidR="00353010" w:rsidRPr="0067507D" w:rsidRDefault="00353010" w:rsidP="00353010">
            <w:pPr>
              <w:pStyle w:val="Tabletextheadingright"/>
            </w:pPr>
            <w:r w:rsidRPr="0067507D">
              <w:rPr>
                <w:szCs w:val="16"/>
              </w:rPr>
              <w:t>2024</w:t>
            </w:r>
            <w:r>
              <w:rPr>
                <w:szCs w:val="16"/>
              </w:rPr>
              <w:br/>
            </w:r>
            <w:r w:rsidRPr="0067507D">
              <w:t>$’000</w:t>
            </w:r>
          </w:p>
        </w:tc>
      </w:tr>
      <w:tr w:rsidR="005D2595" w:rsidRPr="0067507D" w14:paraId="7D5D47DD" w14:textId="77777777" w:rsidTr="00FC3AF2">
        <w:trPr>
          <w:cantSplit/>
        </w:trPr>
        <w:tc>
          <w:tcPr>
            <w:tcW w:w="1395" w:type="dxa"/>
            <w:shd w:val="clear" w:color="auto" w:fill="D9D9D9" w:themeFill="background1" w:themeFillShade="D9"/>
            <w:noWrap/>
          </w:tcPr>
          <w:p w14:paraId="0378569A" w14:textId="77777777" w:rsidR="005D2595" w:rsidRPr="0067507D" w:rsidRDefault="005D2595" w:rsidP="00FC3AF2">
            <w:pPr>
              <w:pStyle w:val="Tabletextright"/>
            </w:pPr>
          </w:p>
        </w:tc>
        <w:tc>
          <w:tcPr>
            <w:tcW w:w="1395" w:type="dxa"/>
            <w:noWrap/>
          </w:tcPr>
          <w:p w14:paraId="3A9F0C2A" w14:textId="77777777" w:rsidR="005D2595" w:rsidRPr="0067507D" w:rsidRDefault="005D2595" w:rsidP="00FC3AF2">
            <w:pPr>
              <w:pStyle w:val="Tabletextright"/>
            </w:pPr>
          </w:p>
        </w:tc>
        <w:tc>
          <w:tcPr>
            <w:tcW w:w="1395" w:type="dxa"/>
            <w:shd w:val="clear" w:color="auto" w:fill="D9D9D9" w:themeFill="background1" w:themeFillShade="D9"/>
            <w:noWrap/>
          </w:tcPr>
          <w:p w14:paraId="02A28645" w14:textId="77777777" w:rsidR="005D2595" w:rsidRPr="0067507D" w:rsidRDefault="005D2595" w:rsidP="00FC3AF2">
            <w:pPr>
              <w:pStyle w:val="Tabletextright"/>
            </w:pPr>
          </w:p>
        </w:tc>
        <w:tc>
          <w:tcPr>
            <w:tcW w:w="1395" w:type="dxa"/>
            <w:noWrap/>
          </w:tcPr>
          <w:p w14:paraId="3005C4D5" w14:textId="77777777" w:rsidR="005D2595" w:rsidRPr="0067507D" w:rsidRDefault="005D2595" w:rsidP="00FC3AF2">
            <w:pPr>
              <w:pStyle w:val="Tabletextright"/>
            </w:pPr>
          </w:p>
        </w:tc>
        <w:tc>
          <w:tcPr>
            <w:tcW w:w="1395" w:type="dxa"/>
            <w:shd w:val="clear" w:color="auto" w:fill="E0E0E0"/>
            <w:noWrap/>
          </w:tcPr>
          <w:p w14:paraId="685CE8F5" w14:textId="77777777" w:rsidR="005D2595" w:rsidRPr="0067507D" w:rsidRDefault="005D2595" w:rsidP="00FC3AF2">
            <w:pPr>
              <w:pStyle w:val="Tabletextright"/>
            </w:pPr>
          </w:p>
        </w:tc>
        <w:tc>
          <w:tcPr>
            <w:tcW w:w="1395" w:type="dxa"/>
            <w:shd w:val="clear" w:color="auto" w:fill="FFFFFF" w:themeFill="background1"/>
            <w:noWrap/>
          </w:tcPr>
          <w:p w14:paraId="4F61FE15" w14:textId="77777777" w:rsidR="005D2595" w:rsidRPr="0067507D" w:rsidRDefault="005D2595" w:rsidP="00FC3AF2">
            <w:pPr>
              <w:pStyle w:val="Tabletextright"/>
            </w:pPr>
          </w:p>
        </w:tc>
      </w:tr>
      <w:tr w:rsidR="005D2595" w:rsidRPr="0067507D" w14:paraId="34F6B6C1" w14:textId="77777777" w:rsidTr="00FC3AF2">
        <w:trPr>
          <w:cantSplit/>
        </w:trPr>
        <w:tc>
          <w:tcPr>
            <w:tcW w:w="1395" w:type="dxa"/>
            <w:shd w:val="clear" w:color="auto" w:fill="D9D9D9" w:themeFill="background1" w:themeFillShade="D9"/>
            <w:noWrap/>
          </w:tcPr>
          <w:p w14:paraId="7E9ADA20" w14:textId="77777777" w:rsidR="005D2595" w:rsidRPr="0067507D" w:rsidRDefault="005D2595" w:rsidP="00FC3AF2">
            <w:pPr>
              <w:pStyle w:val="Tabletextright"/>
            </w:pPr>
          </w:p>
        </w:tc>
        <w:tc>
          <w:tcPr>
            <w:tcW w:w="1395" w:type="dxa"/>
            <w:noWrap/>
          </w:tcPr>
          <w:p w14:paraId="15AEECBF" w14:textId="77777777" w:rsidR="005D2595" w:rsidRPr="0067507D" w:rsidRDefault="005D2595" w:rsidP="00FC3AF2">
            <w:pPr>
              <w:pStyle w:val="Tabletextright"/>
            </w:pPr>
          </w:p>
        </w:tc>
        <w:tc>
          <w:tcPr>
            <w:tcW w:w="1395" w:type="dxa"/>
            <w:shd w:val="clear" w:color="auto" w:fill="D9D9D9" w:themeFill="background1" w:themeFillShade="D9"/>
            <w:noWrap/>
          </w:tcPr>
          <w:p w14:paraId="72BD1D3F" w14:textId="77777777" w:rsidR="005D2595" w:rsidRPr="0067507D" w:rsidRDefault="005D2595" w:rsidP="00FC3AF2">
            <w:pPr>
              <w:pStyle w:val="Tabletextright"/>
            </w:pPr>
          </w:p>
        </w:tc>
        <w:tc>
          <w:tcPr>
            <w:tcW w:w="1395" w:type="dxa"/>
            <w:noWrap/>
          </w:tcPr>
          <w:p w14:paraId="5C17ED20" w14:textId="77777777" w:rsidR="005D2595" w:rsidRPr="0067507D" w:rsidRDefault="005D2595" w:rsidP="00FC3AF2">
            <w:pPr>
              <w:pStyle w:val="Tabletextright"/>
            </w:pPr>
          </w:p>
        </w:tc>
        <w:tc>
          <w:tcPr>
            <w:tcW w:w="1395" w:type="dxa"/>
            <w:shd w:val="clear" w:color="auto" w:fill="E0E0E0"/>
            <w:noWrap/>
          </w:tcPr>
          <w:p w14:paraId="1CF0CC8E" w14:textId="77777777" w:rsidR="005D2595" w:rsidRPr="0067507D" w:rsidRDefault="005D2595" w:rsidP="00FC3AF2">
            <w:pPr>
              <w:pStyle w:val="Tabletextright"/>
            </w:pPr>
          </w:p>
        </w:tc>
        <w:tc>
          <w:tcPr>
            <w:tcW w:w="1395" w:type="dxa"/>
            <w:shd w:val="clear" w:color="auto" w:fill="FFFFFF" w:themeFill="background1"/>
            <w:noWrap/>
          </w:tcPr>
          <w:p w14:paraId="5CE41496" w14:textId="6CA883EB" w:rsidR="005D2595" w:rsidRPr="0067507D" w:rsidRDefault="00353D63" w:rsidP="00FC3AF2">
            <w:pPr>
              <w:pStyle w:val="Tabletextright"/>
            </w:pPr>
            <w:r>
              <w:t xml:space="preserve"> </w:t>
            </w:r>
          </w:p>
        </w:tc>
      </w:tr>
      <w:tr w:rsidR="005D2595" w:rsidRPr="0067507D" w14:paraId="2429FD88" w14:textId="77777777" w:rsidTr="00FC3AF2">
        <w:trPr>
          <w:cantSplit/>
        </w:trPr>
        <w:tc>
          <w:tcPr>
            <w:tcW w:w="1395" w:type="dxa"/>
            <w:shd w:val="clear" w:color="auto" w:fill="D9D9D9" w:themeFill="background1" w:themeFillShade="D9"/>
            <w:noWrap/>
          </w:tcPr>
          <w:p w14:paraId="77CDD20B" w14:textId="77777777" w:rsidR="005D2595" w:rsidRPr="0067507D" w:rsidRDefault="005D2595" w:rsidP="00FC3AF2">
            <w:pPr>
              <w:pStyle w:val="Tabletextright"/>
            </w:pPr>
          </w:p>
        </w:tc>
        <w:tc>
          <w:tcPr>
            <w:tcW w:w="1395" w:type="dxa"/>
            <w:noWrap/>
          </w:tcPr>
          <w:p w14:paraId="2DFFD839" w14:textId="77777777" w:rsidR="005D2595" w:rsidRPr="0067507D" w:rsidRDefault="005D2595" w:rsidP="00FC3AF2">
            <w:pPr>
              <w:pStyle w:val="Tabletextright"/>
            </w:pPr>
          </w:p>
        </w:tc>
        <w:tc>
          <w:tcPr>
            <w:tcW w:w="1395" w:type="dxa"/>
            <w:shd w:val="clear" w:color="auto" w:fill="D9D9D9" w:themeFill="background1" w:themeFillShade="D9"/>
            <w:noWrap/>
          </w:tcPr>
          <w:p w14:paraId="4B16CFA8" w14:textId="77777777" w:rsidR="005D2595" w:rsidRPr="0067507D" w:rsidRDefault="005D2595" w:rsidP="00FC3AF2">
            <w:pPr>
              <w:pStyle w:val="Tabletextright"/>
            </w:pPr>
          </w:p>
        </w:tc>
        <w:tc>
          <w:tcPr>
            <w:tcW w:w="1395" w:type="dxa"/>
            <w:noWrap/>
          </w:tcPr>
          <w:p w14:paraId="45294EC6" w14:textId="77777777" w:rsidR="005D2595" w:rsidRPr="0067507D" w:rsidRDefault="005D2595" w:rsidP="00FC3AF2">
            <w:pPr>
              <w:pStyle w:val="Tabletextright"/>
            </w:pPr>
          </w:p>
        </w:tc>
        <w:tc>
          <w:tcPr>
            <w:tcW w:w="1395" w:type="dxa"/>
            <w:shd w:val="clear" w:color="auto" w:fill="E0E0E0"/>
            <w:noWrap/>
          </w:tcPr>
          <w:p w14:paraId="5CBFED9A" w14:textId="77777777" w:rsidR="005D2595" w:rsidRPr="0067507D" w:rsidRDefault="005D2595" w:rsidP="00FC3AF2">
            <w:pPr>
              <w:pStyle w:val="Tabletextright"/>
            </w:pPr>
          </w:p>
        </w:tc>
        <w:tc>
          <w:tcPr>
            <w:tcW w:w="1395" w:type="dxa"/>
            <w:shd w:val="clear" w:color="auto" w:fill="FFFFFF" w:themeFill="background1"/>
            <w:noWrap/>
          </w:tcPr>
          <w:p w14:paraId="4A0B0775" w14:textId="77777777" w:rsidR="005D2595" w:rsidRPr="0067507D" w:rsidRDefault="005D2595" w:rsidP="00FC3AF2">
            <w:pPr>
              <w:pStyle w:val="Tabletextright"/>
            </w:pPr>
          </w:p>
        </w:tc>
      </w:tr>
      <w:tr w:rsidR="005D2595" w:rsidRPr="0067507D" w14:paraId="61798C62" w14:textId="77777777" w:rsidTr="00FC3AF2">
        <w:trPr>
          <w:cantSplit/>
        </w:trPr>
        <w:tc>
          <w:tcPr>
            <w:tcW w:w="1395" w:type="dxa"/>
            <w:shd w:val="clear" w:color="auto" w:fill="D9D9D9" w:themeFill="background1" w:themeFillShade="D9"/>
            <w:noWrap/>
          </w:tcPr>
          <w:p w14:paraId="79EFFEB4" w14:textId="77777777" w:rsidR="005D2595" w:rsidRPr="0067507D" w:rsidRDefault="005D2595" w:rsidP="00FC3AF2">
            <w:pPr>
              <w:pStyle w:val="Tabletextright"/>
            </w:pPr>
            <w:r w:rsidRPr="0067507D">
              <w:t xml:space="preserve">4 103 409 </w:t>
            </w:r>
          </w:p>
        </w:tc>
        <w:tc>
          <w:tcPr>
            <w:tcW w:w="1395" w:type="dxa"/>
            <w:noWrap/>
          </w:tcPr>
          <w:p w14:paraId="070B375B" w14:textId="77777777" w:rsidR="005D2595" w:rsidRPr="0067507D" w:rsidRDefault="005D2595" w:rsidP="00FC3AF2">
            <w:pPr>
              <w:pStyle w:val="Tabletextright"/>
            </w:pPr>
            <w:r w:rsidRPr="0067507D">
              <w:t xml:space="preserve">5 317 761 </w:t>
            </w:r>
          </w:p>
        </w:tc>
        <w:tc>
          <w:tcPr>
            <w:tcW w:w="1395" w:type="dxa"/>
            <w:shd w:val="clear" w:color="auto" w:fill="D9D9D9" w:themeFill="background1" w:themeFillShade="D9"/>
            <w:noWrap/>
          </w:tcPr>
          <w:p w14:paraId="54574A31" w14:textId="77777777" w:rsidR="005D2595" w:rsidRPr="0067507D" w:rsidRDefault="005D2595" w:rsidP="00FC3AF2">
            <w:pPr>
              <w:pStyle w:val="Tabletextright"/>
            </w:pPr>
            <w:r w:rsidRPr="0067507D">
              <w:t>–</w:t>
            </w:r>
          </w:p>
        </w:tc>
        <w:tc>
          <w:tcPr>
            <w:tcW w:w="1395" w:type="dxa"/>
            <w:noWrap/>
          </w:tcPr>
          <w:p w14:paraId="33C6131E" w14:textId="77777777" w:rsidR="005D2595" w:rsidRPr="0067507D" w:rsidRDefault="005D2595" w:rsidP="00FC3AF2">
            <w:pPr>
              <w:pStyle w:val="Tabletextright"/>
            </w:pPr>
            <w:r w:rsidRPr="0067507D">
              <w:t>–</w:t>
            </w:r>
          </w:p>
        </w:tc>
        <w:tc>
          <w:tcPr>
            <w:tcW w:w="1395" w:type="dxa"/>
            <w:shd w:val="clear" w:color="auto" w:fill="E0E0E0"/>
            <w:noWrap/>
          </w:tcPr>
          <w:p w14:paraId="50D82D28" w14:textId="77777777" w:rsidR="005D2595" w:rsidRPr="0067507D" w:rsidRDefault="005D2595" w:rsidP="00FC3AF2">
            <w:pPr>
              <w:pStyle w:val="Tabletextright"/>
            </w:pPr>
            <w:r w:rsidRPr="0067507D">
              <w:t xml:space="preserve">4 427 508 </w:t>
            </w:r>
          </w:p>
        </w:tc>
        <w:tc>
          <w:tcPr>
            <w:tcW w:w="1395" w:type="dxa"/>
            <w:shd w:val="clear" w:color="auto" w:fill="FFFFFF" w:themeFill="background1"/>
            <w:noWrap/>
          </w:tcPr>
          <w:p w14:paraId="10492768" w14:textId="77777777" w:rsidR="005D2595" w:rsidRPr="0067507D" w:rsidRDefault="005D2595" w:rsidP="00FC3AF2">
            <w:pPr>
              <w:pStyle w:val="Tabletextright"/>
            </w:pPr>
            <w:r w:rsidRPr="0067507D">
              <w:t xml:space="preserve">6 602 068 </w:t>
            </w:r>
          </w:p>
        </w:tc>
      </w:tr>
      <w:tr w:rsidR="005D2595" w:rsidRPr="0067507D" w14:paraId="707E960E" w14:textId="77777777" w:rsidTr="00FC3AF2">
        <w:trPr>
          <w:cantSplit/>
        </w:trPr>
        <w:tc>
          <w:tcPr>
            <w:tcW w:w="1395" w:type="dxa"/>
            <w:shd w:val="clear" w:color="auto" w:fill="D9D9D9" w:themeFill="background1" w:themeFillShade="D9"/>
            <w:noWrap/>
          </w:tcPr>
          <w:p w14:paraId="0F0B7002" w14:textId="77777777" w:rsidR="005D2595" w:rsidRPr="0067507D" w:rsidRDefault="005D2595" w:rsidP="00FC3AF2">
            <w:pPr>
              <w:pStyle w:val="Tabletextright"/>
            </w:pPr>
            <w:r w:rsidRPr="0067507D">
              <w:t xml:space="preserve"> 504 882 </w:t>
            </w:r>
          </w:p>
        </w:tc>
        <w:tc>
          <w:tcPr>
            <w:tcW w:w="1395" w:type="dxa"/>
            <w:noWrap/>
          </w:tcPr>
          <w:p w14:paraId="44D4BF7D" w14:textId="77777777" w:rsidR="005D2595" w:rsidRPr="0067507D" w:rsidRDefault="005D2595" w:rsidP="00FC3AF2">
            <w:pPr>
              <w:pStyle w:val="Tabletextright"/>
            </w:pPr>
            <w:r w:rsidRPr="0067507D">
              <w:t xml:space="preserve"> 301 133 </w:t>
            </w:r>
          </w:p>
        </w:tc>
        <w:tc>
          <w:tcPr>
            <w:tcW w:w="1395" w:type="dxa"/>
            <w:shd w:val="clear" w:color="auto" w:fill="D9D9D9" w:themeFill="background1" w:themeFillShade="D9"/>
            <w:noWrap/>
          </w:tcPr>
          <w:p w14:paraId="30C2F22E" w14:textId="77777777" w:rsidR="005D2595" w:rsidRPr="0067507D" w:rsidRDefault="005D2595" w:rsidP="00FC3AF2">
            <w:pPr>
              <w:pStyle w:val="Tabletextright"/>
            </w:pPr>
            <w:r w:rsidRPr="0067507D">
              <w:t xml:space="preserve"> 651 274 </w:t>
            </w:r>
          </w:p>
        </w:tc>
        <w:tc>
          <w:tcPr>
            <w:tcW w:w="1395" w:type="dxa"/>
            <w:noWrap/>
          </w:tcPr>
          <w:p w14:paraId="41D1AB66" w14:textId="77777777" w:rsidR="005D2595" w:rsidRPr="0067507D" w:rsidRDefault="005D2595" w:rsidP="00FC3AF2">
            <w:pPr>
              <w:pStyle w:val="Tabletextright"/>
            </w:pPr>
            <w:r w:rsidRPr="0067507D">
              <w:t>–</w:t>
            </w:r>
          </w:p>
        </w:tc>
        <w:tc>
          <w:tcPr>
            <w:tcW w:w="1395" w:type="dxa"/>
            <w:shd w:val="clear" w:color="auto" w:fill="E0E0E0"/>
            <w:noWrap/>
          </w:tcPr>
          <w:p w14:paraId="23A935FB" w14:textId="77777777" w:rsidR="005D2595" w:rsidRPr="0067507D" w:rsidRDefault="005D2595" w:rsidP="00FC3AF2">
            <w:pPr>
              <w:pStyle w:val="Tabletextright"/>
            </w:pPr>
            <w:r w:rsidRPr="0067507D">
              <w:t xml:space="preserve">7 153 488 </w:t>
            </w:r>
          </w:p>
        </w:tc>
        <w:tc>
          <w:tcPr>
            <w:tcW w:w="1395" w:type="dxa"/>
            <w:shd w:val="clear" w:color="auto" w:fill="FFFFFF" w:themeFill="background1"/>
            <w:noWrap/>
          </w:tcPr>
          <w:p w14:paraId="2D88B46D" w14:textId="77777777" w:rsidR="005D2595" w:rsidRPr="0067507D" w:rsidRDefault="005D2595" w:rsidP="00FC3AF2">
            <w:pPr>
              <w:pStyle w:val="Tabletextright"/>
            </w:pPr>
            <w:r w:rsidRPr="0067507D">
              <w:t xml:space="preserve">6 474 284 </w:t>
            </w:r>
          </w:p>
        </w:tc>
      </w:tr>
      <w:tr w:rsidR="005D2595" w:rsidRPr="0067507D" w14:paraId="575CBCCF" w14:textId="77777777" w:rsidTr="00FC3AF2">
        <w:trPr>
          <w:cantSplit/>
        </w:trPr>
        <w:tc>
          <w:tcPr>
            <w:tcW w:w="1395" w:type="dxa"/>
            <w:shd w:val="clear" w:color="auto" w:fill="D9D9D9" w:themeFill="background1" w:themeFillShade="D9"/>
            <w:noWrap/>
          </w:tcPr>
          <w:p w14:paraId="434F9CD5" w14:textId="77777777" w:rsidR="005D2595" w:rsidRPr="0067507D" w:rsidRDefault="005D2595" w:rsidP="00FC3AF2">
            <w:pPr>
              <w:pStyle w:val="Tabletextright"/>
            </w:pPr>
            <w:r w:rsidRPr="0067507D">
              <w:t>–</w:t>
            </w:r>
          </w:p>
        </w:tc>
        <w:tc>
          <w:tcPr>
            <w:tcW w:w="1395" w:type="dxa"/>
            <w:noWrap/>
          </w:tcPr>
          <w:p w14:paraId="60407A0F" w14:textId="77777777" w:rsidR="005D2595" w:rsidRPr="0067507D" w:rsidRDefault="005D2595" w:rsidP="00FC3AF2">
            <w:pPr>
              <w:pStyle w:val="Tabletextright"/>
            </w:pPr>
            <w:r w:rsidRPr="0067507D">
              <w:t>–</w:t>
            </w:r>
          </w:p>
        </w:tc>
        <w:tc>
          <w:tcPr>
            <w:tcW w:w="1395" w:type="dxa"/>
            <w:shd w:val="clear" w:color="auto" w:fill="D9D9D9" w:themeFill="background1" w:themeFillShade="D9"/>
            <w:noWrap/>
          </w:tcPr>
          <w:p w14:paraId="249773C2" w14:textId="77777777" w:rsidR="005D2595" w:rsidRPr="0067507D" w:rsidRDefault="005D2595" w:rsidP="00FC3AF2">
            <w:pPr>
              <w:pStyle w:val="Tabletextright"/>
            </w:pPr>
            <w:r w:rsidRPr="0067507D">
              <w:t xml:space="preserve">244 085 957 </w:t>
            </w:r>
          </w:p>
        </w:tc>
        <w:tc>
          <w:tcPr>
            <w:tcW w:w="1395" w:type="dxa"/>
            <w:noWrap/>
          </w:tcPr>
          <w:p w14:paraId="614098F0" w14:textId="77777777" w:rsidR="005D2595" w:rsidRPr="0067507D" w:rsidRDefault="005D2595" w:rsidP="00FC3AF2">
            <w:pPr>
              <w:pStyle w:val="Tabletextright"/>
            </w:pPr>
            <w:r w:rsidRPr="0067507D">
              <w:t xml:space="preserve">227 793 130 </w:t>
            </w:r>
          </w:p>
        </w:tc>
        <w:tc>
          <w:tcPr>
            <w:tcW w:w="1395" w:type="dxa"/>
            <w:shd w:val="clear" w:color="auto" w:fill="E0E0E0"/>
            <w:noWrap/>
          </w:tcPr>
          <w:p w14:paraId="063829A0" w14:textId="77777777" w:rsidR="005D2595" w:rsidRPr="0067507D" w:rsidRDefault="005D2595" w:rsidP="00FC3AF2">
            <w:pPr>
              <w:pStyle w:val="Tabletextright"/>
            </w:pPr>
            <w:r w:rsidRPr="0067507D">
              <w:t xml:space="preserve">244 085 957 </w:t>
            </w:r>
          </w:p>
        </w:tc>
        <w:tc>
          <w:tcPr>
            <w:tcW w:w="1395" w:type="dxa"/>
            <w:shd w:val="clear" w:color="auto" w:fill="FFFFFF" w:themeFill="background1"/>
            <w:noWrap/>
          </w:tcPr>
          <w:p w14:paraId="33A18AF6" w14:textId="77777777" w:rsidR="005D2595" w:rsidRPr="0067507D" w:rsidRDefault="005D2595" w:rsidP="00FC3AF2">
            <w:pPr>
              <w:pStyle w:val="Tabletextright"/>
            </w:pPr>
            <w:r w:rsidRPr="0067507D">
              <w:t xml:space="preserve">227 793 130 </w:t>
            </w:r>
          </w:p>
        </w:tc>
      </w:tr>
      <w:tr w:rsidR="005D2595" w:rsidRPr="0067507D" w14:paraId="22E057E6" w14:textId="77777777" w:rsidTr="00FC3AF2">
        <w:trPr>
          <w:cantSplit/>
        </w:trPr>
        <w:tc>
          <w:tcPr>
            <w:tcW w:w="1395" w:type="dxa"/>
            <w:shd w:val="clear" w:color="auto" w:fill="D9D9D9" w:themeFill="background1" w:themeFillShade="D9"/>
            <w:noWrap/>
          </w:tcPr>
          <w:p w14:paraId="1BC428F1" w14:textId="77777777" w:rsidR="005D2595" w:rsidRPr="0067507D" w:rsidRDefault="005D2595" w:rsidP="00FC3AF2">
            <w:pPr>
              <w:pStyle w:val="Tabletextright"/>
            </w:pPr>
            <w:r w:rsidRPr="0067507D">
              <w:t xml:space="preserve">12 541 449 </w:t>
            </w:r>
          </w:p>
        </w:tc>
        <w:tc>
          <w:tcPr>
            <w:tcW w:w="1395" w:type="dxa"/>
            <w:noWrap/>
          </w:tcPr>
          <w:p w14:paraId="4F6373ED" w14:textId="77777777" w:rsidR="005D2595" w:rsidRPr="0067507D" w:rsidRDefault="005D2595" w:rsidP="00FC3AF2">
            <w:pPr>
              <w:pStyle w:val="Tabletextright"/>
            </w:pPr>
            <w:r w:rsidRPr="0067507D">
              <w:t xml:space="preserve">8 779 742 </w:t>
            </w:r>
          </w:p>
        </w:tc>
        <w:tc>
          <w:tcPr>
            <w:tcW w:w="1395" w:type="dxa"/>
            <w:shd w:val="clear" w:color="auto" w:fill="D9D9D9" w:themeFill="background1" w:themeFillShade="D9"/>
            <w:noWrap/>
          </w:tcPr>
          <w:p w14:paraId="356324CA" w14:textId="77777777" w:rsidR="005D2595" w:rsidRPr="0067507D" w:rsidRDefault="005D2595" w:rsidP="00FC3AF2">
            <w:pPr>
              <w:pStyle w:val="Tabletextright"/>
            </w:pPr>
            <w:r w:rsidRPr="0067507D">
              <w:t>–</w:t>
            </w:r>
          </w:p>
        </w:tc>
        <w:tc>
          <w:tcPr>
            <w:tcW w:w="1395" w:type="dxa"/>
            <w:noWrap/>
          </w:tcPr>
          <w:p w14:paraId="37871D1E" w14:textId="77777777" w:rsidR="005D2595" w:rsidRPr="0067507D" w:rsidRDefault="005D2595" w:rsidP="00FC3AF2">
            <w:pPr>
              <w:pStyle w:val="Tabletextright"/>
            </w:pPr>
            <w:r w:rsidRPr="0067507D">
              <w:t>–</w:t>
            </w:r>
          </w:p>
        </w:tc>
        <w:tc>
          <w:tcPr>
            <w:tcW w:w="1395" w:type="dxa"/>
            <w:shd w:val="clear" w:color="auto" w:fill="E0E0E0"/>
            <w:noWrap/>
          </w:tcPr>
          <w:p w14:paraId="5574E987" w14:textId="77777777" w:rsidR="005D2595" w:rsidRPr="0067507D" w:rsidRDefault="005D2595" w:rsidP="00FC3AF2">
            <w:pPr>
              <w:pStyle w:val="Tabletextright"/>
            </w:pPr>
            <w:r w:rsidRPr="0067507D">
              <w:t xml:space="preserve">14 765 625 </w:t>
            </w:r>
          </w:p>
        </w:tc>
        <w:tc>
          <w:tcPr>
            <w:tcW w:w="1395" w:type="dxa"/>
            <w:shd w:val="clear" w:color="auto" w:fill="FFFFFF" w:themeFill="background1"/>
            <w:noWrap/>
          </w:tcPr>
          <w:p w14:paraId="012FD3E3" w14:textId="77777777" w:rsidR="005D2595" w:rsidRPr="0067507D" w:rsidRDefault="005D2595" w:rsidP="00FC3AF2">
            <w:pPr>
              <w:pStyle w:val="Tabletextright"/>
            </w:pPr>
            <w:r w:rsidRPr="0067507D">
              <w:t xml:space="preserve">12 561 129 </w:t>
            </w:r>
          </w:p>
        </w:tc>
      </w:tr>
      <w:tr w:rsidR="005D2595" w:rsidRPr="0067507D" w14:paraId="205FDD63" w14:textId="77777777" w:rsidTr="00FC3AF2">
        <w:trPr>
          <w:cantSplit/>
        </w:trPr>
        <w:tc>
          <w:tcPr>
            <w:tcW w:w="1395" w:type="dxa"/>
            <w:shd w:val="clear" w:color="auto" w:fill="D9D9D9" w:themeFill="background1" w:themeFillShade="D9"/>
            <w:noWrap/>
          </w:tcPr>
          <w:p w14:paraId="1398E162" w14:textId="77777777" w:rsidR="005D2595" w:rsidRPr="0067507D" w:rsidRDefault="005D2595" w:rsidP="00FC3AF2">
            <w:pPr>
              <w:pStyle w:val="Tabletextrightbold"/>
            </w:pPr>
            <w:r w:rsidRPr="0067507D">
              <w:t xml:space="preserve">17 149 740 </w:t>
            </w:r>
          </w:p>
        </w:tc>
        <w:tc>
          <w:tcPr>
            <w:tcW w:w="1395" w:type="dxa"/>
            <w:noWrap/>
          </w:tcPr>
          <w:p w14:paraId="6B0B2EE0" w14:textId="77777777" w:rsidR="005D2595" w:rsidRPr="0067507D" w:rsidRDefault="005D2595" w:rsidP="00FC3AF2">
            <w:pPr>
              <w:pStyle w:val="Tabletextrightbold"/>
            </w:pPr>
            <w:r w:rsidRPr="0067507D">
              <w:t xml:space="preserve">14 398 636 </w:t>
            </w:r>
          </w:p>
        </w:tc>
        <w:tc>
          <w:tcPr>
            <w:tcW w:w="1395" w:type="dxa"/>
            <w:shd w:val="clear" w:color="auto" w:fill="D9D9D9" w:themeFill="background1" w:themeFillShade="D9"/>
            <w:noWrap/>
          </w:tcPr>
          <w:p w14:paraId="27122766" w14:textId="77777777" w:rsidR="005D2595" w:rsidRPr="0067507D" w:rsidRDefault="005D2595" w:rsidP="00FC3AF2">
            <w:pPr>
              <w:pStyle w:val="Tabletextrightbold"/>
            </w:pPr>
            <w:r w:rsidRPr="0067507D">
              <w:t xml:space="preserve">244 737 231 </w:t>
            </w:r>
          </w:p>
        </w:tc>
        <w:tc>
          <w:tcPr>
            <w:tcW w:w="1395" w:type="dxa"/>
            <w:noWrap/>
          </w:tcPr>
          <w:p w14:paraId="7E7E3204" w14:textId="77777777" w:rsidR="005D2595" w:rsidRPr="0067507D" w:rsidRDefault="005D2595" w:rsidP="00FC3AF2">
            <w:pPr>
              <w:pStyle w:val="Tabletextrightbold"/>
            </w:pPr>
            <w:r w:rsidRPr="0067507D">
              <w:t xml:space="preserve">227 793 130 </w:t>
            </w:r>
          </w:p>
        </w:tc>
        <w:tc>
          <w:tcPr>
            <w:tcW w:w="1395" w:type="dxa"/>
            <w:shd w:val="clear" w:color="auto" w:fill="E0E0E0"/>
            <w:noWrap/>
          </w:tcPr>
          <w:p w14:paraId="4A51CBF9" w14:textId="77777777" w:rsidR="005D2595" w:rsidRPr="0067507D" w:rsidRDefault="005D2595" w:rsidP="00FC3AF2">
            <w:pPr>
              <w:pStyle w:val="Tabletextrightbold"/>
            </w:pPr>
            <w:r w:rsidRPr="0067507D">
              <w:t xml:space="preserve">270 432 578 </w:t>
            </w:r>
          </w:p>
        </w:tc>
        <w:tc>
          <w:tcPr>
            <w:tcW w:w="1395" w:type="dxa"/>
            <w:shd w:val="clear" w:color="auto" w:fill="FFFFFF" w:themeFill="background1"/>
            <w:noWrap/>
          </w:tcPr>
          <w:p w14:paraId="3F0AE780" w14:textId="77777777" w:rsidR="005D2595" w:rsidRPr="0067507D" w:rsidRDefault="005D2595" w:rsidP="00FC3AF2">
            <w:pPr>
              <w:pStyle w:val="Tabletextrightbold"/>
            </w:pPr>
            <w:r w:rsidRPr="0067507D">
              <w:t xml:space="preserve">253 430 611 </w:t>
            </w:r>
          </w:p>
        </w:tc>
      </w:tr>
      <w:tr w:rsidR="005D2595" w:rsidRPr="0067507D" w14:paraId="4F761213" w14:textId="77777777" w:rsidTr="00FC3AF2">
        <w:trPr>
          <w:cantSplit/>
        </w:trPr>
        <w:tc>
          <w:tcPr>
            <w:tcW w:w="1395" w:type="dxa"/>
            <w:shd w:val="clear" w:color="auto" w:fill="D9D9D9" w:themeFill="background1" w:themeFillShade="D9"/>
            <w:noWrap/>
          </w:tcPr>
          <w:p w14:paraId="18BCE82C" w14:textId="77777777" w:rsidR="005D2595" w:rsidRPr="0067507D" w:rsidRDefault="005D2595" w:rsidP="00FC3AF2">
            <w:pPr>
              <w:pStyle w:val="Tabletextrightbold"/>
            </w:pPr>
            <w:r w:rsidRPr="0067507D">
              <w:t xml:space="preserve">17 149 740 </w:t>
            </w:r>
          </w:p>
        </w:tc>
        <w:tc>
          <w:tcPr>
            <w:tcW w:w="1395" w:type="dxa"/>
            <w:noWrap/>
          </w:tcPr>
          <w:p w14:paraId="2223A538" w14:textId="77777777" w:rsidR="005D2595" w:rsidRPr="0067507D" w:rsidRDefault="005D2595" w:rsidP="00FC3AF2">
            <w:pPr>
              <w:pStyle w:val="Tabletextrightbold"/>
            </w:pPr>
            <w:r w:rsidRPr="0067507D">
              <w:t xml:space="preserve">14 398 636 </w:t>
            </w:r>
          </w:p>
        </w:tc>
        <w:tc>
          <w:tcPr>
            <w:tcW w:w="1395" w:type="dxa"/>
            <w:shd w:val="clear" w:color="auto" w:fill="D9D9D9" w:themeFill="background1" w:themeFillShade="D9"/>
            <w:noWrap/>
          </w:tcPr>
          <w:p w14:paraId="4C8628E3" w14:textId="77777777" w:rsidR="005D2595" w:rsidRPr="0067507D" w:rsidRDefault="005D2595" w:rsidP="00FC3AF2">
            <w:pPr>
              <w:pStyle w:val="Tabletextrightbold"/>
            </w:pPr>
            <w:r w:rsidRPr="0067507D">
              <w:t xml:space="preserve">244 737 231 </w:t>
            </w:r>
          </w:p>
        </w:tc>
        <w:tc>
          <w:tcPr>
            <w:tcW w:w="1395" w:type="dxa"/>
            <w:noWrap/>
          </w:tcPr>
          <w:p w14:paraId="51DB7A9C" w14:textId="77777777" w:rsidR="005D2595" w:rsidRPr="0067507D" w:rsidRDefault="005D2595" w:rsidP="00FC3AF2">
            <w:pPr>
              <w:pStyle w:val="Tabletextrightbold"/>
            </w:pPr>
            <w:r w:rsidRPr="0067507D">
              <w:t xml:space="preserve">227 793 130 </w:t>
            </w:r>
          </w:p>
        </w:tc>
        <w:tc>
          <w:tcPr>
            <w:tcW w:w="1395" w:type="dxa"/>
            <w:shd w:val="clear" w:color="auto" w:fill="E0E0E0"/>
            <w:noWrap/>
          </w:tcPr>
          <w:p w14:paraId="6BFB8CF5" w14:textId="77777777" w:rsidR="005D2595" w:rsidRPr="0067507D" w:rsidRDefault="005D2595" w:rsidP="00FC3AF2">
            <w:pPr>
              <w:pStyle w:val="Tabletextrightbold"/>
            </w:pPr>
            <w:r w:rsidRPr="0067507D">
              <w:t xml:space="preserve">270 432 578 </w:t>
            </w:r>
          </w:p>
        </w:tc>
        <w:tc>
          <w:tcPr>
            <w:tcW w:w="1395" w:type="dxa"/>
            <w:shd w:val="clear" w:color="auto" w:fill="FFFFFF" w:themeFill="background1"/>
            <w:noWrap/>
          </w:tcPr>
          <w:p w14:paraId="2C5B8E7D" w14:textId="77777777" w:rsidR="005D2595" w:rsidRPr="0067507D" w:rsidRDefault="005D2595" w:rsidP="00FC3AF2">
            <w:pPr>
              <w:pStyle w:val="Tabletextrightbold"/>
            </w:pPr>
            <w:r w:rsidRPr="0067507D">
              <w:t xml:space="preserve">253 430 611 </w:t>
            </w:r>
          </w:p>
        </w:tc>
      </w:tr>
      <w:tr w:rsidR="005D2595" w:rsidRPr="0067507D" w14:paraId="38085ADD" w14:textId="77777777" w:rsidTr="00FC3AF2">
        <w:trPr>
          <w:cantSplit/>
          <w:trHeight w:hRule="exact" w:val="58"/>
        </w:trPr>
        <w:tc>
          <w:tcPr>
            <w:tcW w:w="1395" w:type="dxa"/>
            <w:shd w:val="clear" w:color="auto" w:fill="D9D9D9" w:themeFill="background1" w:themeFillShade="D9"/>
            <w:noWrap/>
          </w:tcPr>
          <w:p w14:paraId="7FA0335F" w14:textId="77777777" w:rsidR="005D2595" w:rsidRPr="0067507D" w:rsidRDefault="005D2595" w:rsidP="00FC3AF2">
            <w:pPr>
              <w:pStyle w:val="Tabletextrightbold"/>
            </w:pPr>
          </w:p>
        </w:tc>
        <w:tc>
          <w:tcPr>
            <w:tcW w:w="1395" w:type="dxa"/>
            <w:noWrap/>
          </w:tcPr>
          <w:p w14:paraId="3FDFC6DD" w14:textId="77777777" w:rsidR="005D2595" w:rsidRPr="0067507D" w:rsidRDefault="005D2595" w:rsidP="00FC3AF2">
            <w:pPr>
              <w:pStyle w:val="Tabletextrightbold"/>
            </w:pPr>
          </w:p>
        </w:tc>
        <w:tc>
          <w:tcPr>
            <w:tcW w:w="1395" w:type="dxa"/>
            <w:shd w:val="clear" w:color="auto" w:fill="D9D9D9" w:themeFill="background1" w:themeFillShade="D9"/>
            <w:noWrap/>
          </w:tcPr>
          <w:p w14:paraId="06DCCFCD" w14:textId="77777777" w:rsidR="005D2595" w:rsidRPr="0067507D" w:rsidRDefault="005D2595" w:rsidP="00FC3AF2">
            <w:pPr>
              <w:pStyle w:val="Tabletextrightbold"/>
            </w:pPr>
          </w:p>
        </w:tc>
        <w:tc>
          <w:tcPr>
            <w:tcW w:w="1395" w:type="dxa"/>
            <w:noWrap/>
          </w:tcPr>
          <w:p w14:paraId="601C91D6" w14:textId="77777777" w:rsidR="005D2595" w:rsidRPr="0067507D" w:rsidRDefault="005D2595" w:rsidP="00FC3AF2">
            <w:pPr>
              <w:pStyle w:val="Tabletextrightbold"/>
            </w:pPr>
          </w:p>
        </w:tc>
        <w:tc>
          <w:tcPr>
            <w:tcW w:w="1395" w:type="dxa"/>
            <w:shd w:val="clear" w:color="auto" w:fill="E0E0E0"/>
            <w:noWrap/>
          </w:tcPr>
          <w:p w14:paraId="43139895" w14:textId="77777777" w:rsidR="005D2595" w:rsidRPr="0067507D" w:rsidRDefault="005D2595" w:rsidP="00FC3AF2">
            <w:pPr>
              <w:pStyle w:val="Tabletextrightbold"/>
            </w:pPr>
          </w:p>
        </w:tc>
        <w:tc>
          <w:tcPr>
            <w:tcW w:w="1395" w:type="dxa"/>
            <w:shd w:val="clear" w:color="auto" w:fill="FFFFFF" w:themeFill="background1"/>
            <w:noWrap/>
          </w:tcPr>
          <w:p w14:paraId="61D15DCD" w14:textId="77777777" w:rsidR="005D2595" w:rsidRPr="0067507D" w:rsidRDefault="005D2595" w:rsidP="00FC3AF2">
            <w:pPr>
              <w:pStyle w:val="Tabletextrightbold"/>
            </w:pPr>
          </w:p>
        </w:tc>
      </w:tr>
      <w:tr w:rsidR="005D2595" w:rsidRPr="0067507D" w14:paraId="3C6F4D6E" w14:textId="77777777" w:rsidTr="00FC3AF2">
        <w:trPr>
          <w:cantSplit/>
        </w:trPr>
        <w:tc>
          <w:tcPr>
            <w:tcW w:w="1395" w:type="dxa"/>
            <w:shd w:val="clear" w:color="auto" w:fill="D9D9D9" w:themeFill="background1" w:themeFillShade="D9"/>
            <w:noWrap/>
          </w:tcPr>
          <w:p w14:paraId="33929E83" w14:textId="77777777" w:rsidR="005D2595" w:rsidRPr="00943D06" w:rsidRDefault="005D2595" w:rsidP="00943D06">
            <w:pPr>
              <w:pStyle w:val="Tabletextright"/>
            </w:pPr>
          </w:p>
        </w:tc>
        <w:tc>
          <w:tcPr>
            <w:tcW w:w="1395" w:type="dxa"/>
            <w:noWrap/>
          </w:tcPr>
          <w:p w14:paraId="1AD7D358" w14:textId="77777777" w:rsidR="005D2595" w:rsidRPr="00943D06" w:rsidRDefault="005D2595" w:rsidP="00943D06">
            <w:pPr>
              <w:pStyle w:val="Tabletextright"/>
            </w:pPr>
          </w:p>
        </w:tc>
        <w:tc>
          <w:tcPr>
            <w:tcW w:w="1395" w:type="dxa"/>
            <w:shd w:val="clear" w:color="auto" w:fill="D9D9D9" w:themeFill="background1" w:themeFillShade="D9"/>
            <w:noWrap/>
          </w:tcPr>
          <w:p w14:paraId="64D3A2F2" w14:textId="77777777" w:rsidR="005D2595" w:rsidRPr="00943D06" w:rsidRDefault="005D2595" w:rsidP="00943D06">
            <w:pPr>
              <w:pStyle w:val="Tabletextright"/>
            </w:pPr>
          </w:p>
        </w:tc>
        <w:tc>
          <w:tcPr>
            <w:tcW w:w="1395" w:type="dxa"/>
            <w:noWrap/>
          </w:tcPr>
          <w:p w14:paraId="261EFECC" w14:textId="77777777" w:rsidR="005D2595" w:rsidRPr="00943D06" w:rsidRDefault="005D2595" w:rsidP="00943D06">
            <w:pPr>
              <w:pStyle w:val="Tabletextright"/>
            </w:pPr>
          </w:p>
        </w:tc>
        <w:tc>
          <w:tcPr>
            <w:tcW w:w="1395" w:type="dxa"/>
            <w:shd w:val="clear" w:color="auto" w:fill="E0E0E0"/>
            <w:noWrap/>
          </w:tcPr>
          <w:p w14:paraId="0E21ACA2" w14:textId="77777777" w:rsidR="005D2595" w:rsidRPr="00943D06" w:rsidRDefault="005D2595" w:rsidP="00943D06">
            <w:pPr>
              <w:pStyle w:val="Tabletextright"/>
            </w:pPr>
          </w:p>
        </w:tc>
        <w:tc>
          <w:tcPr>
            <w:tcW w:w="1395" w:type="dxa"/>
            <w:shd w:val="clear" w:color="auto" w:fill="FFFFFF" w:themeFill="background1"/>
            <w:noWrap/>
          </w:tcPr>
          <w:p w14:paraId="3CE87222" w14:textId="77777777" w:rsidR="005D2595" w:rsidRPr="00943D06" w:rsidRDefault="005D2595" w:rsidP="00943D06">
            <w:pPr>
              <w:pStyle w:val="Tabletextright"/>
            </w:pPr>
          </w:p>
        </w:tc>
      </w:tr>
      <w:tr w:rsidR="005D2595" w:rsidRPr="0067507D" w14:paraId="5AF5CA93" w14:textId="77777777" w:rsidTr="00FC3AF2">
        <w:trPr>
          <w:cantSplit/>
        </w:trPr>
        <w:tc>
          <w:tcPr>
            <w:tcW w:w="1395" w:type="dxa"/>
            <w:shd w:val="clear" w:color="auto" w:fill="D9D9D9" w:themeFill="background1" w:themeFillShade="D9"/>
            <w:noWrap/>
          </w:tcPr>
          <w:p w14:paraId="14FA4EF4" w14:textId="77777777" w:rsidR="005D2595" w:rsidRPr="0067507D" w:rsidRDefault="005D2595" w:rsidP="00FC3AF2">
            <w:pPr>
              <w:pStyle w:val="Tabletextright"/>
              <w:rPr>
                <w:bCs/>
              </w:rPr>
            </w:pPr>
            <w:r w:rsidRPr="0067507D">
              <w:t xml:space="preserve"> 375 066 </w:t>
            </w:r>
          </w:p>
        </w:tc>
        <w:tc>
          <w:tcPr>
            <w:tcW w:w="1395" w:type="dxa"/>
            <w:noWrap/>
          </w:tcPr>
          <w:p w14:paraId="61B39FE2" w14:textId="77777777" w:rsidR="005D2595" w:rsidRPr="0067507D" w:rsidRDefault="005D2595" w:rsidP="00FC3AF2">
            <w:pPr>
              <w:pStyle w:val="Tabletextright"/>
            </w:pPr>
            <w:r w:rsidRPr="0067507D">
              <w:t xml:space="preserve"> 298 687 </w:t>
            </w:r>
          </w:p>
        </w:tc>
        <w:tc>
          <w:tcPr>
            <w:tcW w:w="1395" w:type="dxa"/>
            <w:shd w:val="clear" w:color="auto" w:fill="D9D9D9" w:themeFill="background1" w:themeFillShade="D9"/>
            <w:noWrap/>
          </w:tcPr>
          <w:p w14:paraId="4309989D" w14:textId="77777777" w:rsidR="005D2595" w:rsidRPr="0067507D" w:rsidRDefault="005D2595" w:rsidP="00FC3AF2">
            <w:pPr>
              <w:pStyle w:val="Tabletextright"/>
              <w:rPr>
                <w:bCs/>
              </w:rPr>
            </w:pPr>
            <w:r w:rsidRPr="0067507D">
              <w:t xml:space="preserve"> 560 239 </w:t>
            </w:r>
          </w:p>
        </w:tc>
        <w:tc>
          <w:tcPr>
            <w:tcW w:w="1395" w:type="dxa"/>
            <w:noWrap/>
          </w:tcPr>
          <w:p w14:paraId="62308E02" w14:textId="77777777" w:rsidR="005D2595" w:rsidRPr="0067507D" w:rsidRDefault="005D2595" w:rsidP="00FC3AF2">
            <w:pPr>
              <w:pStyle w:val="Tabletextright"/>
            </w:pPr>
            <w:r w:rsidRPr="0067507D">
              <w:t xml:space="preserve"> 58 085 </w:t>
            </w:r>
          </w:p>
        </w:tc>
        <w:tc>
          <w:tcPr>
            <w:tcW w:w="1395" w:type="dxa"/>
            <w:shd w:val="clear" w:color="auto" w:fill="E0E0E0"/>
            <w:noWrap/>
          </w:tcPr>
          <w:p w14:paraId="7BC4CDCC" w14:textId="77777777" w:rsidR="005D2595" w:rsidRPr="0067507D" w:rsidRDefault="005D2595" w:rsidP="00FC3AF2">
            <w:pPr>
              <w:pStyle w:val="Tabletextright"/>
              <w:rPr>
                <w:bCs/>
              </w:rPr>
            </w:pPr>
            <w:r w:rsidRPr="0067507D">
              <w:t xml:space="preserve">1 098 418 </w:t>
            </w:r>
          </w:p>
        </w:tc>
        <w:tc>
          <w:tcPr>
            <w:tcW w:w="1395" w:type="dxa"/>
            <w:shd w:val="clear" w:color="auto" w:fill="FFFFFF" w:themeFill="background1"/>
            <w:noWrap/>
          </w:tcPr>
          <w:p w14:paraId="4817FA9A" w14:textId="77777777" w:rsidR="005D2595" w:rsidRPr="0067507D" w:rsidRDefault="005D2595" w:rsidP="00FC3AF2">
            <w:pPr>
              <w:pStyle w:val="Tabletextright"/>
            </w:pPr>
            <w:r w:rsidRPr="0067507D">
              <w:t xml:space="preserve"> 660 811 </w:t>
            </w:r>
          </w:p>
        </w:tc>
      </w:tr>
      <w:tr w:rsidR="005D2595" w:rsidRPr="0067507D" w14:paraId="62DF9EB6" w14:textId="77777777" w:rsidTr="00FC3AF2">
        <w:trPr>
          <w:cantSplit/>
        </w:trPr>
        <w:tc>
          <w:tcPr>
            <w:tcW w:w="1395" w:type="dxa"/>
            <w:shd w:val="clear" w:color="auto" w:fill="D9D9D9" w:themeFill="background1" w:themeFillShade="D9"/>
            <w:noWrap/>
          </w:tcPr>
          <w:p w14:paraId="22694112" w14:textId="77777777" w:rsidR="005D2595" w:rsidRPr="0067507D" w:rsidRDefault="005D2595" w:rsidP="00FC3AF2">
            <w:pPr>
              <w:pStyle w:val="Tabletextright"/>
              <w:rPr>
                <w:bCs/>
              </w:rPr>
            </w:pPr>
            <w:r w:rsidRPr="0067507D">
              <w:t>–</w:t>
            </w:r>
          </w:p>
        </w:tc>
        <w:tc>
          <w:tcPr>
            <w:tcW w:w="1395" w:type="dxa"/>
            <w:noWrap/>
          </w:tcPr>
          <w:p w14:paraId="3AF216F2" w14:textId="77777777" w:rsidR="005D2595" w:rsidRPr="0067507D" w:rsidRDefault="005D2595" w:rsidP="00FC3AF2">
            <w:pPr>
              <w:pStyle w:val="Tabletextright"/>
            </w:pPr>
            <w:r w:rsidRPr="0067507D">
              <w:t>–</w:t>
            </w:r>
          </w:p>
        </w:tc>
        <w:tc>
          <w:tcPr>
            <w:tcW w:w="1395" w:type="dxa"/>
            <w:shd w:val="clear" w:color="auto" w:fill="D9D9D9" w:themeFill="background1" w:themeFillShade="D9"/>
            <w:noWrap/>
          </w:tcPr>
          <w:p w14:paraId="74671FB9" w14:textId="77777777" w:rsidR="005D2595" w:rsidRPr="0067507D" w:rsidRDefault="005D2595" w:rsidP="00FC3AF2">
            <w:pPr>
              <w:pStyle w:val="Tabletextright"/>
              <w:rPr>
                <w:bCs/>
              </w:rPr>
            </w:pPr>
            <w:r w:rsidRPr="0067507D">
              <w:t xml:space="preserve">21 546 500 </w:t>
            </w:r>
          </w:p>
        </w:tc>
        <w:tc>
          <w:tcPr>
            <w:tcW w:w="1395" w:type="dxa"/>
            <w:noWrap/>
          </w:tcPr>
          <w:p w14:paraId="3338E5EF" w14:textId="77777777" w:rsidR="005D2595" w:rsidRPr="0067507D" w:rsidRDefault="005D2595" w:rsidP="00FC3AF2">
            <w:pPr>
              <w:pStyle w:val="Tabletextright"/>
            </w:pPr>
            <w:r w:rsidRPr="0067507D">
              <w:t xml:space="preserve">21 394 769 </w:t>
            </w:r>
          </w:p>
        </w:tc>
        <w:tc>
          <w:tcPr>
            <w:tcW w:w="1395" w:type="dxa"/>
            <w:shd w:val="clear" w:color="auto" w:fill="E0E0E0"/>
            <w:noWrap/>
          </w:tcPr>
          <w:p w14:paraId="28D9C0B1" w14:textId="77777777" w:rsidR="005D2595" w:rsidRPr="0067507D" w:rsidRDefault="005D2595" w:rsidP="00FC3AF2">
            <w:pPr>
              <w:pStyle w:val="Tabletextright"/>
              <w:rPr>
                <w:bCs/>
              </w:rPr>
            </w:pPr>
            <w:r w:rsidRPr="0067507D">
              <w:t xml:space="preserve">21 546 500 </w:t>
            </w:r>
          </w:p>
        </w:tc>
        <w:tc>
          <w:tcPr>
            <w:tcW w:w="1395" w:type="dxa"/>
            <w:shd w:val="clear" w:color="auto" w:fill="FFFFFF" w:themeFill="background1"/>
            <w:noWrap/>
          </w:tcPr>
          <w:p w14:paraId="44C208FD" w14:textId="77777777" w:rsidR="005D2595" w:rsidRPr="0067507D" w:rsidRDefault="005D2595" w:rsidP="00FC3AF2">
            <w:pPr>
              <w:pStyle w:val="Tabletextright"/>
            </w:pPr>
            <w:r w:rsidRPr="0067507D">
              <w:t xml:space="preserve">21 394 769 </w:t>
            </w:r>
          </w:p>
        </w:tc>
      </w:tr>
      <w:tr w:rsidR="005D2595" w:rsidRPr="0067507D" w14:paraId="17A1FB9D" w14:textId="77777777" w:rsidTr="00FC3AF2">
        <w:trPr>
          <w:cantSplit/>
        </w:trPr>
        <w:tc>
          <w:tcPr>
            <w:tcW w:w="1395" w:type="dxa"/>
            <w:shd w:val="clear" w:color="auto" w:fill="D9D9D9" w:themeFill="background1" w:themeFillShade="D9"/>
            <w:noWrap/>
          </w:tcPr>
          <w:p w14:paraId="37D88CED" w14:textId="77777777" w:rsidR="005D2595" w:rsidRPr="0067507D" w:rsidRDefault="005D2595" w:rsidP="00FC3AF2">
            <w:pPr>
              <w:pStyle w:val="Tabletextright"/>
              <w:rPr>
                <w:bCs/>
              </w:rPr>
            </w:pPr>
            <w:r w:rsidRPr="0067507D">
              <w:t xml:space="preserve">164 649 225 </w:t>
            </w:r>
          </w:p>
        </w:tc>
        <w:tc>
          <w:tcPr>
            <w:tcW w:w="1395" w:type="dxa"/>
            <w:noWrap/>
          </w:tcPr>
          <w:p w14:paraId="09A32DA7" w14:textId="77777777" w:rsidR="005D2595" w:rsidRPr="0067507D" w:rsidRDefault="005D2595" w:rsidP="00FC3AF2">
            <w:pPr>
              <w:pStyle w:val="Tabletextright"/>
              <w:rPr>
                <w:bCs/>
              </w:rPr>
            </w:pPr>
            <w:r w:rsidRPr="0067507D">
              <w:t xml:space="preserve">146 586 537 </w:t>
            </w:r>
          </w:p>
        </w:tc>
        <w:tc>
          <w:tcPr>
            <w:tcW w:w="1395" w:type="dxa"/>
            <w:shd w:val="clear" w:color="auto" w:fill="D9D9D9" w:themeFill="background1" w:themeFillShade="D9"/>
            <w:noWrap/>
          </w:tcPr>
          <w:p w14:paraId="541B1311" w14:textId="77777777" w:rsidR="005D2595" w:rsidRPr="0067507D" w:rsidRDefault="005D2595" w:rsidP="00FC3AF2">
            <w:pPr>
              <w:pStyle w:val="Tabletextright"/>
              <w:rPr>
                <w:bCs/>
              </w:rPr>
            </w:pPr>
            <w:r w:rsidRPr="0067507D">
              <w:t>–</w:t>
            </w:r>
          </w:p>
        </w:tc>
        <w:tc>
          <w:tcPr>
            <w:tcW w:w="1395" w:type="dxa"/>
            <w:noWrap/>
          </w:tcPr>
          <w:p w14:paraId="2DB7643E" w14:textId="77777777" w:rsidR="005D2595" w:rsidRPr="0067507D" w:rsidRDefault="005D2595" w:rsidP="00FC3AF2">
            <w:pPr>
              <w:pStyle w:val="Tabletextright"/>
            </w:pPr>
            <w:r w:rsidRPr="0067507D">
              <w:t>–</w:t>
            </w:r>
          </w:p>
        </w:tc>
        <w:tc>
          <w:tcPr>
            <w:tcW w:w="1395" w:type="dxa"/>
            <w:shd w:val="clear" w:color="auto" w:fill="E0E0E0"/>
            <w:noWrap/>
          </w:tcPr>
          <w:p w14:paraId="6F8D7C08" w14:textId="77777777" w:rsidR="005D2595" w:rsidRPr="0067507D" w:rsidRDefault="005D2595" w:rsidP="00FC3AF2">
            <w:pPr>
              <w:pStyle w:val="Tabletextright"/>
              <w:rPr>
                <w:bCs/>
              </w:rPr>
            </w:pPr>
            <w:r w:rsidRPr="0067507D">
              <w:t xml:space="preserve">164 649 225 </w:t>
            </w:r>
          </w:p>
        </w:tc>
        <w:tc>
          <w:tcPr>
            <w:tcW w:w="1395" w:type="dxa"/>
            <w:shd w:val="clear" w:color="auto" w:fill="FFFFFF" w:themeFill="background1"/>
            <w:noWrap/>
          </w:tcPr>
          <w:p w14:paraId="21DC331F" w14:textId="77777777" w:rsidR="005D2595" w:rsidRPr="0067507D" w:rsidRDefault="005D2595" w:rsidP="00FC3AF2">
            <w:pPr>
              <w:pStyle w:val="Tabletextright"/>
              <w:rPr>
                <w:bCs/>
              </w:rPr>
            </w:pPr>
            <w:r w:rsidRPr="0067507D">
              <w:t xml:space="preserve">146 586 537 </w:t>
            </w:r>
          </w:p>
        </w:tc>
      </w:tr>
      <w:tr w:rsidR="005D2595" w:rsidRPr="0067507D" w14:paraId="748A224D" w14:textId="77777777" w:rsidTr="00FC3AF2">
        <w:trPr>
          <w:cantSplit/>
        </w:trPr>
        <w:tc>
          <w:tcPr>
            <w:tcW w:w="1395" w:type="dxa"/>
            <w:shd w:val="clear" w:color="auto" w:fill="D9D9D9" w:themeFill="background1" w:themeFillShade="D9"/>
            <w:noWrap/>
          </w:tcPr>
          <w:p w14:paraId="3C3E7739" w14:textId="77777777" w:rsidR="005D2595" w:rsidRPr="0067507D" w:rsidRDefault="005D2595" w:rsidP="00FC3AF2">
            <w:pPr>
              <w:pStyle w:val="Tabletextright"/>
              <w:rPr>
                <w:bCs/>
              </w:rPr>
            </w:pPr>
            <w:r w:rsidRPr="0067507D">
              <w:t xml:space="preserve">18 283 918 </w:t>
            </w:r>
          </w:p>
        </w:tc>
        <w:tc>
          <w:tcPr>
            <w:tcW w:w="1395" w:type="dxa"/>
            <w:noWrap/>
          </w:tcPr>
          <w:p w14:paraId="4370A098" w14:textId="77777777" w:rsidR="005D2595" w:rsidRPr="0067507D" w:rsidRDefault="005D2595" w:rsidP="00FC3AF2">
            <w:pPr>
              <w:pStyle w:val="Tabletextright"/>
            </w:pPr>
            <w:r w:rsidRPr="0067507D">
              <w:t xml:space="preserve">18 229 437 </w:t>
            </w:r>
          </w:p>
        </w:tc>
        <w:tc>
          <w:tcPr>
            <w:tcW w:w="1395" w:type="dxa"/>
            <w:shd w:val="clear" w:color="auto" w:fill="D9D9D9" w:themeFill="background1" w:themeFillShade="D9"/>
            <w:noWrap/>
          </w:tcPr>
          <w:p w14:paraId="52CDCDB8" w14:textId="77777777" w:rsidR="005D2595" w:rsidRPr="0067507D" w:rsidRDefault="005D2595" w:rsidP="00FC3AF2">
            <w:pPr>
              <w:pStyle w:val="Tabletextright"/>
              <w:rPr>
                <w:bCs/>
              </w:rPr>
            </w:pPr>
            <w:r w:rsidRPr="0067507D">
              <w:t>–</w:t>
            </w:r>
          </w:p>
        </w:tc>
        <w:tc>
          <w:tcPr>
            <w:tcW w:w="1395" w:type="dxa"/>
            <w:noWrap/>
          </w:tcPr>
          <w:p w14:paraId="3C59F844" w14:textId="77777777" w:rsidR="005D2595" w:rsidRPr="0067507D" w:rsidRDefault="005D2595" w:rsidP="00FC3AF2">
            <w:pPr>
              <w:pStyle w:val="Tabletextright"/>
            </w:pPr>
            <w:r w:rsidRPr="0067507D">
              <w:t>–</w:t>
            </w:r>
          </w:p>
        </w:tc>
        <w:tc>
          <w:tcPr>
            <w:tcW w:w="1395" w:type="dxa"/>
            <w:shd w:val="clear" w:color="auto" w:fill="E0E0E0"/>
            <w:noWrap/>
          </w:tcPr>
          <w:p w14:paraId="62961C2C" w14:textId="77777777" w:rsidR="005D2595" w:rsidRPr="0067507D" w:rsidRDefault="005D2595" w:rsidP="00FC3AF2">
            <w:pPr>
              <w:pStyle w:val="Tabletextright"/>
              <w:rPr>
                <w:bCs/>
              </w:rPr>
            </w:pPr>
            <w:r w:rsidRPr="0067507D">
              <w:t xml:space="preserve">18 283 918 </w:t>
            </w:r>
          </w:p>
        </w:tc>
        <w:tc>
          <w:tcPr>
            <w:tcW w:w="1395" w:type="dxa"/>
            <w:shd w:val="clear" w:color="auto" w:fill="FFFFFF" w:themeFill="background1"/>
            <w:noWrap/>
          </w:tcPr>
          <w:p w14:paraId="33C3AB29" w14:textId="77777777" w:rsidR="005D2595" w:rsidRPr="0067507D" w:rsidRDefault="005D2595" w:rsidP="00FC3AF2">
            <w:pPr>
              <w:pStyle w:val="Tabletextright"/>
            </w:pPr>
            <w:r w:rsidRPr="0067507D">
              <w:t xml:space="preserve">18 229 437 </w:t>
            </w:r>
          </w:p>
        </w:tc>
      </w:tr>
      <w:tr w:rsidR="005D2595" w:rsidRPr="0067507D" w14:paraId="3781409E" w14:textId="77777777" w:rsidTr="00FC3AF2">
        <w:trPr>
          <w:cantSplit/>
        </w:trPr>
        <w:tc>
          <w:tcPr>
            <w:tcW w:w="1395" w:type="dxa"/>
            <w:shd w:val="clear" w:color="auto" w:fill="D9D9D9" w:themeFill="background1" w:themeFillShade="D9"/>
            <w:noWrap/>
          </w:tcPr>
          <w:p w14:paraId="7252DF14" w14:textId="77777777" w:rsidR="005D2595" w:rsidRPr="0067507D" w:rsidRDefault="005D2595" w:rsidP="00FC3AF2">
            <w:pPr>
              <w:pStyle w:val="Tabletextrightbold"/>
            </w:pPr>
            <w:r w:rsidRPr="0067507D">
              <w:t xml:space="preserve">183 308 209 </w:t>
            </w:r>
          </w:p>
        </w:tc>
        <w:tc>
          <w:tcPr>
            <w:tcW w:w="1395" w:type="dxa"/>
            <w:noWrap/>
          </w:tcPr>
          <w:p w14:paraId="7044ECE3" w14:textId="77777777" w:rsidR="005D2595" w:rsidRPr="0067507D" w:rsidRDefault="005D2595" w:rsidP="00FC3AF2">
            <w:pPr>
              <w:pStyle w:val="Tabletextrightbold"/>
            </w:pPr>
            <w:r w:rsidRPr="0067507D">
              <w:t xml:space="preserve">165 114 661 </w:t>
            </w:r>
          </w:p>
        </w:tc>
        <w:tc>
          <w:tcPr>
            <w:tcW w:w="1395" w:type="dxa"/>
            <w:shd w:val="clear" w:color="auto" w:fill="D9D9D9" w:themeFill="background1" w:themeFillShade="D9"/>
            <w:noWrap/>
          </w:tcPr>
          <w:p w14:paraId="1F40AC97" w14:textId="77777777" w:rsidR="005D2595" w:rsidRPr="0067507D" w:rsidRDefault="005D2595" w:rsidP="00FC3AF2">
            <w:pPr>
              <w:pStyle w:val="Tabletextrightbold"/>
            </w:pPr>
            <w:r w:rsidRPr="0067507D">
              <w:t xml:space="preserve">22 106 739 </w:t>
            </w:r>
          </w:p>
        </w:tc>
        <w:tc>
          <w:tcPr>
            <w:tcW w:w="1395" w:type="dxa"/>
            <w:noWrap/>
          </w:tcPr>
          <w:p w14:paraId="0F29D488" w14:textId="77777777" w:rsidR="005D2595" w:rsidRPr="0067507D" w:rsidRDefault="005D2595" w:rsidP="00FC3AF2">
            <w:pPr>
              <w:pStyle w:val="Tabletextrightbold"/>
            </w:pPr>
            <w:r w:rsidRPr="0067507D">
              <w:t xml:space="preserve">21 452 854 </w:t>
            </w:r>
          </w:p>
        </w:tc>
        <w:tc>
          <w:tcPr>
            <w:tcW w:w="1395" w:type="dxa"/>
            <w:shd w:val="clear" w:color="auto" w:fill="E0E0E0"/>
            <w:noWrap/>
          </w:tcPr>
          <w:p w14:paraId="52CB174F" w14:textId="77777777" w:rsidR="005D2595" w:rsidRPr="0067507D" w:rsidRDefault="005D2595" w:rsidP="00FC3AF2">
            <w:pPr>
              <w:pStyle w:val="Tabletextrightbold"/>
            </w:pPr>
            <w:r w:rsidRPr="0067507D">
              <w:t xml:space="preserve">205 578 061 </w:t>
            </w:r>
          </w:p>
        </w:tc>
        <w:tc>
          <w:tcPr>
            <w:tcW w:w="1395" w:type="dxa"/>
            <w:shd w:val="clear" w:color="auto" w:fill="FFFFFF" w:themeFill="background1"/>
            <w:noWrap/>
          </w:tcPr>
          <w:p w14:paraId="544A0A7D" w14:textId="77777777" w:rsidR="005D2595" w:rsidRPr="0067507D" w:rsidRDefault="005D2595" w:rsidP="00FC3AF2">
            <w:pPr>
              <w:pStyle w:val="Tabletextrightbold"/>
            </w:pPr>
            <w:r w:rsidRPr="0067507D">
              <w:t xml:space="preserve">186 871 554 </w:t>
            </w:r>
          </w:p>
        </w:tc>
      </w:tr>
      <w:tr w:rsidR="005D2595" w:rsidRPr="0067507D" w14:paraId="5B7F93C8" w14:textId="77777777" w:rsidTr="00FC3AF2">
        <w:trPr>
          <w:cantSplit/>
        </w:trPr>
        <w:tc>
          <w:tcPr>
            <w:tcW w:w="1395" w:type="dxa"/>
            <w:shd w:val="clear" w:color="auto" w:fill="D9D9D9" w:themeFill="background1" w:themeFillShade="D9"/>
            <w:noWrap/>
          </w:tcPr>
          <w:p w14:paraId="7498B3C1" w14:textId="77777777" w:rsidR="005D2595" w:rsidRPr="0067507D" w:rsidRDefault="005D2595" w:rsidP="00FC3AF2">
            <w:pPr>
              <w:pStyle w:val="Tabletextrightbold"/>
            </w:pPr>
            <w:r w:rsidRPr="0067507D">
              <w:t xml:space="preserve">(166 158 469) </w:t>
            </w:r>
          </w:p>
        </w:tc>
        <w:tc>
          <w:tcPr>
            <w:tcW w:w="1395" w:type="dxa"/>
            <w:noWrap/>
          </w:tcPr>
          <w:p w14:paraId="2134E275" w14:textId="77777777" w:rsidR="005D2595" w:rsidRPr="0067507D" w:rsidRDefault="005D2595" w:rsidP="00FC3AF2">
            <w:pPr>
              <w:pStyle w:val="Tabletextrightbold"/>
            </w:pPr>
            <w:r w:rsidRPr="0067507D">
              <w:t xml:space="preserve">(150 716 025) </w:t>
            </w:r>
          </w:p>
        </w:tc>
        <w:tc>
          <w:tcPr>
            <w:tcW w:w="1395" w:type="dxa"/>
            <w:shd w:val="clear" w:color="auto" w:fill="D9D9D9" w:themeFill="background1" w:themeFillShade="D9"/>
            <w:noWrap/>
          </w:tcPr>
          <w:p w14:paraId="04E0795A" w14:textId="77777777" w:rsidR="005D2595" w:rsidRPr="0067507D" w:rsidRDefault="005D2595" w:rsidP="00FC3AF2">
            <w:pPr>
              <w:pStyle w:val="Tabletextrightbold"/>
            </w:pPr>
            <w:r w:rsidRPr="0067507D">
              <w:t xml:space="preserve">222 630 492 </w:t>
            </w:r>
          </w:p>
        </w:tc>
        <w:tc>
          <w:tcPr>
            <w:tcW w:w="1395" w:type="dxa"/>
            <w:noWrap/>
          </w:tcPr>
          <w:p w14:paraId="329C12D1" w14:textId="77777777" w:rsidR="005D2595" w:rsidRPr="0067507D" w:rsidRDefault="005D2595" w:rsidP="00FC3AF2">
            <w:pPr>
              <w:pStyle w:val="Tabletextrightbold"/>
            </w:pPr>
            <w:r w:rsidRPr="0067507D">
              <w:t xml:space="preserve">206 340 276 </w:t>
            </w:r>
          </w:p>
        </w:tc>
        <w:tc>
          <w:tcPr>
            <w:tcW w:w="1395" w:type="dxa"/>
            <w:shd w:val="clear" w:color="auto" w:fill="E0E0E0"/>
            <w:noWrap/>
          </w:tcPr>
          <w:p w14:paraId="288A9A58" w14:textId="77777777" w:rsidR="005D2595" w:rsidRPr="0067507D" w:rsidRDefault="005D2595" w:rsidP="00FC3AF2">
            <w:pPr>
              <w:pStyle w:val="Tabletextrightbold"/>
            </w:pPr>
            <w:r w:rsidRPr="0067507D">
              <w:t xml:space="preserve">64 854 517 </w:t>
            </w:r>
          </w:p>
        </w:tc>
        <w:tc>
          <w:tcPr>
            <w:tcW w:w="1395" w:type="dxa"/>
            <w:shd w:val="clear" w:color="auto" w:fill="FFFFFF" w:themeFill="background1"/>
            <w:noWrap/>
          </w:tcPr>
          <w:p w14:paraId="684FE135" w14:textId="77777777" w:rsidR="005D2595" w:rsidRPr="0067507D" w:rsidRDefault="005D2595" w:rsidP="00FC3AF2">
            <w:pPr>
              <w:pStyle w:val="Tabletextrightbold"/>
            </w:pPr>
            <w:r w:rsidRPr="0067507D">
              <w:t xml:space="preserve">66 559 057 </w:t>
            </w:r>
          </w:p>
        </w:tc>
      </w:tr>
    </w:tbl>
    <w:p w14:paraId="48553E37" w14:textId="77777777" w:rsidR="005D2595" w:rsidRPr="0067507D" w:rsidRDefault="005D2595" w:rsidP="005D2595"/>
    <w:p w14:paraId="0940A6AA" w14:textId="77777777" w:rsidR="005D2595" w:rsidRPr="0067507D" w:rsidRDefault="005D2595" w:rsidP="005D2595">
      <w:pPr>
        <w:sectPr w:rsidR="005D2595" w:rsidRPr="0067507D" w:rsidSect="005D2595">
          <w:pgSz w:w="11909" w:h="16834" w:code="9"/>
          <w:pgMar w:top="1728" w:right="1152" w:bottom="1152" w:left="1152" w:header="720" w:footer="288" w:gutter="0"/>
          <w:cols w:space="569"/>
          <w:noEndnote/>
        </w:sectPr>
      </w:pPr>
    </w:p>
    <w:p w14:paraId="104683B4" w14:textId="77777777" w:rsidR="005D2595" w:rsidRPr="0067507D" w:rsidRDefault="005D2595" w:rsidP="006273F6">
      <w:pPr>
        <w:pStyle w:val="Heading3numbered"/>
        <w:ind w:left="576" w:hanging="576"/>
      </w:pPr>
      <w:bookmarkStart w:id="115" w:name="Administered_end"/>
      <w:r w:rsidRPr="0067507D">
        <w:lastRenderedPageBreak/>
        <w:t>Administered grant income</w:t>
      </w:r>
    </w:p>
    <w:bookmarkEnd w:id="115"/>
    <w:p w14:paraId="7C374FDA" w14:textId="77777777" w:rsidR="005D2595" w:rsidRPr="0067507D" w:rsidRDefault="005D2595" w:rsidP="005D2595">
      <w:pPr>
        <w:pStyle w:val="Heading5"/>
        <w:sectPr w:rsidR="005D2595" w:rsidRPr="0067507D" w:rsidSect="005D2595">
          <w:pgSz w:w="11909" w:h="16834" w:code="9"/>
          <w:pgMar w:top="1728" w:right="1152" w:bottom="1152" w:left="1152" w:header="720" w:footer="288" w:gutter="0"/>
          <w:cols w:space="569"/>
          <w:noEndnote/>
        </w:sectPr>
      </w:pPr>
    </w:p>
    <w:tbl>
      <w:tblPr>
        <w:tblStyle w:val="AnnualReportfinancialtable"/>
        <w:tblW w:w="7560" w:type="dxa"/>
        <w:tblLook w:val="02A0" w:firstRow="1" w:lastRow="0" w:firstColumn="1" w:lastColumn="0" w:noHBand="1" w:noVBand="0"/>
      </w:tblPr>
      <w:tblGrid>
        <w:gridCol w:w="4950"/>
        <w:gridCol w:w="1240"/>
        <w:gridCol w:w="1370"/>
      </w:tblGrid>
      <w:tr w:rsidR="00931E39" w:rsidRPr="0067507D" w14:paraId="019757A3"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4950" w:type="dxa"/>
            <w:noWrap/>
            <w:hideMark/>
          </w:tcPr>
          <w:p w14:paraId="70FF58A0" w14:textId="77777777" w:rsidR="00931E39" w:rsidRPr="0067507D" w:rsidRDefault="00931E39" w:rsidP="00931E39">
            <w:pPr>
              <w:pStyle w:val="Tabletextrightbold"/>
            </w:pPr>
          </w:p>
        </w:tc>
        <w:tc>
          <w:tcPr>
            <w:cnfStyle w:val="000010000000" w:firstRow="0" w:lastRow="0" w:firstColumn="0" w:lastColumn="0" w:oddVBand="1" w:evenVBand="0" w:oddHBand="0" w:evenHBand="0" w:firstRowFirstColumn="0" w:firstRowLastColumn="0" w:lastRowFirstColumn="0" w:lastRowLastColumn="0"/>
            <w:tcW w:w="1240" w:type="dxa"/>
            <w:noWrap/>
            <w:hideMark/>
          </w:tcPr>
          <w:p w14:paraId="0EF7EAD6" w14:textId="765ADB8A" w:rsidR="00931E39" w:rsidRPr="0067507D" w:rsidRDefault="00931E39" w:rsidP="00931E39">
            <w:pPr>
              <w:pStyle w:val="Tabletextrightbold"/>
            </w:pPr>
            <w:r w:rsidRPr="0067507D">
              <w:t>2025</w:t>
            </w:r>
            <w:r>
              <w:rPr>
                <w:szCs w:val="16"/>
              </w:rPr>
              <w:br/>
            </w:r>
            <w:r w:rsidRPr="0067507D">
              <w:t>$’000</w:t>
            </w:r>
          </w:p>
        </w:tc>
        <w:tc>
          <w:tcPr>
            <w:cnfStyle w:val="000001000000" w:firstRow="0" w:lastRow="0" w:firstColumn="0" w:lastColumn="0" w:oddVBand="0" w:evenVBand="1" w:oddHBand="0" w:evenHBand="0" w:firstRowFirstColumn="0" w:firstRowLastColumn="0" w:lastRowFirstColumn="0" w:lastRowLastColumn="0"/>
            <w:tcW w:w="1370" w:type="dxa"/>
            <w:noWrap/>
            <w:hideMark/>
          </w:tcPr>
          <w:p w14:paraId="57F8DF32" w14:textId="5C121F48" w:rsidR="00931E39" w:rsidRPr="0067507D" w:rsidRDefault="00931E39" w:rsidP="00931E39">
            <w:pPr>
              <w:pStyle w:val="Tabletextrightbold"/>
            </w:pPr>
            <w:r w:rsidRPr="0067507D">
              <w:t>2024</w:t>
            </w:r>
            <w:r>
              <w:rPr>
                <w:szCs w:val="16"/>
              </w:rPr>
              <w:br/>
            </w:r>
            <w:r w:rsidRPr="0067507D">
              <w:t>$’000</w:t>
            </w:r>
          </w:p>
        </w:tc>
      </w:tr>
      <w:tr w:rsidR="005D2595" w:rsidRPr="0067507D" w14:paraId="09A9FCFA" w14:textId="77777777" w:rsidTr="0061328D">
        <w:trPr>
          <w:trHeight w:val="285"/>
        </w:trPr>
        <w:tc>
          <w:tcPr>
            <w:cnfStyle w:val="001000000000" w:firstRow="0" w:lastRow="0" w:firstColumn="1" w:lastColumn="0" w:oddVBand="0" w:evenVBand="0" w:oddHBand="0" w:evenHBand="0" w:firstRowFirstColumn="0" w:firstRowLastColumn="0" w:lastRowFirstColumn="0" w:lastRowLastColumn="0"/>
            <w:tcW w:w="4950" w:type="dxa"/>
            <w:noWrap/>
            <w:hideMark/>
          </w:tcPr>
          <w:p w14:paraId="7E3E1C4A" w14:textId="77777777" w:rsidR="005D2595" w:rsidRPr="0067507D" w:rsidRDefault="005D2595" w:rsidP="00FC3AF2">
            <w:pPr>
              <w:pStyle w:val="Tabletextbold"/>
              <w:rPr>
                <w:rFonts w:ascii="VIC SemiBold" w:hAnsi="VIC SemiBold"/>
              </w:rPr>
            </w:pPr>
            <w:r w:rsidRPr="0067507D">
              <w:t>Commonwealth grants</w:t>
            </w:r>
          </w:p>
        </w:tc>
        <w:tc>
          <w:tcPr>
            <w:cnfStyle w:val="000010000000" w:firstRow="0" w:lastRow="0" w:firstColumn="0" w:lastColumn="0" w:oddVBand="1" w:evenVBand="0" w:oddHBand="0" w:evenHBand="0" w:firstRowFirstColumn="0" w:firstRowLastColumn="0" w:lastRowFirstColumn="0" w:lastRowLastColumn="0"/>
            <w:tcW w:w="1240" w:type="dxa"/>
            <w:noWrap/>
            <w:hideMark/>
          </w:tcPr>
          <w:p w14:paraId="2FD04077" w14:textId="77777777" w:rsidR="005D2595" w:rsidRPr="0067507D" w:rsidRDefault="005D2595" w:rsidP="00FC3AF2">
            <w:pPr>
              <w:pStyle w:val="Tabletextright"/>
              <w:rPr>
                <w:rFonts w:ascii="VIC SemiBold" w:hAnsi="VIC SemiBold"/>
              </w:rPr>
            </w:pPr>
          </w:p>
        </w:tc>
        <w:tc>
          <w:tcPr>
            <w:cnfStyle w:val="000001000000" w:firstRow="0" w:lastRow="0" w:firstColumn="0" w:lastColumn="0" w:oddVBand="0" w:evenVBand="1" w:oddHBand="0" w:evenHBand="0" w:firstRowFirstColumn="0" w:firstRowLastColumn="0" w:lastRowFirstColumn="0" w:lastRowLastColumn="0"/>
            <w:tcW w:w="1370" w:type="dxa"/>
            <w:noWrap/>
            <w:hideMark/>
          </w:tcPr>
          <w:p w14:paraId="6345D930" w14:textId="77777777" w:rsidR="005D2595" w:rsidRPr="0067507D" w:rsidRDefault="005D2595" w:rsidP="00FC3AF2">
            <w:pPr>
              <w:pStyle w:val="Tabletextright"/>
              <w:rPr>
                <w:rFonts w:ascii="VIC SemiBold" w:hAnsi="VIC SemiBold"/>
              </w:rPr>
            </w:pPr>
          </w:p>
        </w:tc>
      </w:tr>
      <w:tr w:rsidR="005D2595" w:rsidRPr="0067507D" w14:paraId="1C432FFE" w14:textId="77777777" w:rsidTr="00FC3AF2">
        <w:trPr>
          <w:trHeight w:val="285"/>
        </w:trPr>
        <w:tc>
          <w:tcPr>
            <w:cnfStyle w:val="001000000000" w:firstRow="0" w:lastRow="0" w:firstColumn="1" w:lastColumn="0" w:oddVBand="0" w:evenVBand="0" w:oddHBand="0" w:evenHBand="0" w:firstRowFirstColumn="0" w:firstRowLastColumn="0" w:lastRowFirstColumn="0" w:lastRowLastColumn="0"/>
            <w:tcW w:w="4950" w:type="dxa"/>
            <w:noWrap/>
            <w:hideMark/>
          </w:tcPr>
          <w:p w14:paraId="595AC3EF" w14:textId="77777777" w:rsidR="005D2595" w:rsidRPr="0067507D" w:rsidRDefault="005D2595" w:rsidP="00FC3AF2">
            <w:pPr>
              <w:pStyle w:val="Tabletext"/>
              <w:ind w:right="811"/>
            </w:pPr>
            <w:r w:rsidRPr="0067507D">
              <w:t>General purpose grants – Victoria's share of goods and services tax pool</w:t>
            </w:r>
          </w:p>
        </w:tc>
        <w:tc>
          <w:tcPr>
            <w:cnfStyle w:val="000010000000" w:firstRow="0" w:lastRow="0" w:firstColumn="0" w:lastColumn="0" w:oddVBand="1" w:evenVBand="0" w:oddHBand="0" w:evenHBand="0" w:firstRowFirstColumn="0" w:firstRowLastColumn="0" w:lastRowFirstColumn="0" w:lastRowLastColumn="0"/>
            <w:tcW w:w="1240" w:type="dxa"/>
            <w:noWrap/>
            <w:hideMark/>
          </w:tcPr>
          <w:p w14:paraId="0A1B7BBF" w14:textId="77777777" w:rsidR="005D2595" w:rsidRPr="0067507D" w:rsidRDefault="005D2595" w:rsidP="00FC3AF2">
            <w:pPr>
              <w:pStyle w:val="Tabletextright"/>
            </w:pPr>
            <w:r w:rsidRPr="0067507D">
              <w:t xml:space="preserve">24 075 120 </w:t>
            </w:r>
          </w:p>
        </w:tc>
        <w:tc>
          <w:tcPr>
            <w:cnfStyle w:val="000001000000" w:firstRow="0" w:lastRow="0" w:firstColumn="0" w:lastColumn="0" w:oddVBand="0" w:evenVBand="1" w:oddHBand="0" w:evenHBand="0" w:firstRowFirstColumn="0" w:firstRowLastColumn="0" w:lastRowFirstColumn="0" w:lastRowLastColumn="0"/>
            <w:tcW w:w="1370" w:type="dxa"/>
            <w:noWrap/>
            <w:hideMark/>
          </w:tcPr>
          <w:p w14:paraId="5B6712A5" w14:textId="77777777" w:rsidR="005D2595" w:rsidRPr="0067507D" w:rsidRDefault="005D2595" w:rsidP="00FC3AF2">
            <w:pPr>
              <w:pStyle w:val="Tabletextright"/>
            </w:pPr>
            <w:r w:rsidRPr="0067507D">
              <w:t xml:space="preserve">20 161 959 </w:t>
            </w:r>
          </w:p>
        </w:tc>
      </w:tr>
      <w:tr w:rsidR="005D2595" w:rsidRPr="0067507D" w14:paraId="5BC785A5" w14:textId="77777777" w:rsidTr="00FC3AF2">
        <w:trPr>
          <w:trHeight w:val="285"/>
        </w:trPr>
        <w:tc>
          <w:tcPr>
            <w:cnfStyle w:val="001000000000" w:firstRow="0" w:lastRow="0" w:firstColumn="1" w:lastColumn="0" w:oddVBand="0" w:evenVBand="0" w:oddHBand="0" w:evenHBand="0" w:firstRowFirstColumn="0" w:firstRowLastColumn="0" w:lastRowFirstColumn="0" w:lastRowLastColumn="0"/>
            <w:tcW w:w="4950" w:type="dxa"/>
            <w:noWrap/>
            <w:hideMark/>
          </w:tcPr>
          <w:p w14:paraId="5894D3E7" w14:textId="3479B676" w:rsidR="005D2595" w:rsidRPr="0067507D" w:rsidRDefault="005D2595" w:rsidP="00FC3AF2">
            <w:pPr>
              <w:pStyle w:val="Tabletext"/>
            </w:pPr>
            <w:r w:rsidRPr="0067507D">
              <w:t>Specific purpose grants for on</w:t>
            </w:r>
            <w:r w:rsidR="006A5485">
              <w:noBreakHyphen/>
            </w:r>
            <w:r w:rsidRPr="0067507D">
              <w:t>passing</w:t>
            </w:r>
          </w:p>
        </w:tc>
        <w:tc>
          <w:tcPr>
            <w:cnfStyle w:val="000010000000" w:firstRow="0" w:lastRow="0" w:firstColumn="0" w:lastColumn="0" w:oddVBand="1" w:evenVBand="0" w:oddHBand="0" w:evenHBand="0" w:firstRowFirstColumn="0" w:firstRowLastColumn="0" w:lastRowFirstColumn="0" w:lastRowLastColumn="0"/>
            <w:tcW w:w="1240" w:type="dxa"/>
            <w:noWrap/>
            <w:hideMark/>
          </w:tcPr>
          <w:p w14:paraId="60921A56" w14:textId="77777777" w:rsidR="005D2595" w:rsidRPr="0067507D" w:rsidRDefault="005D2595" w:rsidP="00FC3AF2">
            <w:pPr>
              <w:pStyle w:val="Tabletextright"/>
            </w:pPr>
            <w:r w:rsidRPr="0067507D">
              <w:t xml:space="preserve">5 440 740 </w:t>
            </w:r>
          </w:p>
        </w:tc>
        <w:tc>
          <w:tcPr>
            <w:cnfStyle w:val="000001000000" w:firstRow="0" w:lastRow="0" w:firstColumn="0" w:lastColumn="0" w:oddVBand="0" w:evenVBand="1" w:oddHBand="0" w:evenHBand="0" w:firstRowFirstColumn="0" w:firstRowLastColumn="0" w:lastRowFirstColumn="0" w:lastRowLastColumn="0"/>
            <w:tcW w:w="1370" w:type="dxa"/>
            <w:noWrap/>
            <w:hideMark/>
          </w:tcPr>
          <w:p w14:paraId="600931C7" w14:textId="77777777" w:rsidR="005D2595" w:rsidRPr="0067507D" w:rsidRDefault="005D2595" w:rsidP="00FC3AF2">
            <w:pPr>
              <w:pStyle w:val="Tabletextright"/>
            </w:pPr>
            <w:r w:rsidRPr="0067507D">
              <w:t xml:space="preserve">5 053 226 </w:t>
            </w:r>
          </w:p>
        </w:tc>
      </w:tr>
      <w:tr w:rsidR="005D2595" w:rsidRPr="0067507D" w14:paraId="08176015"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4950" w:type="dxa"/>
            <w:noWrap/>
            <w:hideMark/>
          </w:tcPr>
          <w:p w14:paraId="105EE96E" w14:textId="77777777" w:rsidR="005D2595" w:rsidRPr="0067507D" w:rsidRDefault="005D2595" w:rsidP="00FC3AF2">
            <w:pPr>
              <w:pStyle w:val="Tabletext"/>
            </w:pPr>
            <w:r w:rsidRPr="0067507D">
              <w:t>Other specific purpose grants</w:t>
            </w:r>
          </w:p>
        </w:tc>
        <w:tc>
          <w:tcPr>
            <w:cnfStyle w:val="000010000000" w:firstRow="0" w:lastRow="0" w:firstColumn="0" w:lastColumn="0" w:oddVBand="1" w:evenVBand="0" w:oddHBand="0" w:evenHBand="0" w:firstRowFirstColumn="0" w:firstRowLastColumn="0" w:lastRowFirstColumn="0" w:lastRowLastColumn="0"/>
            <w:tcW w:w="1240" w:type="dxa"/>
            <w:noWrap/>
            <w:hideMark/>
          </w:tcPr>
          <w:p w14:paraId="242DD650" w14:textId="77777777" w:rsidR="005D2595" w:rsidRPr="0067507D" w:rsidRDefault="005D2595" w:rsidP="00FC3AF2">
            <w:pPr>
              <w:pStyle w:val="Tabletextright"/>
            </w:pPr>
            <w:r w:rsidRPr="0067507D">
              <w:t xml:space="preserve">7 553 476 </w:t>
            </w:r>
          </w:p>
        </w:tc>
        <w:tc>
          <w:tcPr>
            <w:cnfStyle w:val="000001000000" w:firstRow="0" w:lastRow="0" w:firstColumn="0" w:lastColumn="0" w:oddVBand="0" w:evenVBand="1" w:oddHBand="0" w:evenHBand="0" w:firstRowFirstColumn="0" w:firstRowLastColumn="0" w:lastRowFirstColumn="0" w:lastRowLastColumn="0"/>
            <w:tcW w:w="1370" w:type="dxa"/>
            <w:noWrap/>
            <w:hideMark/>
          </w:tcPr>
          <w:p w14:paraId="0D837B21" w14:textId="77777777" w:rsidR="005D2595" w:rsidRPr="0067507D" w:rsidRDefault="005D2595" w:rsidP="00FC3AF2">
            <w:pPr>
              <w:pStyle w:val="Tabletextright"/>
            </w:pPr>
            <w:r w:rsidRPr="0067507D">
              <w:t xml:space="preserve">6 882 405 </w:t>
            </w:r>
          </w:p>
        </w:tc>
      </w:tr>
      <w:tr w:rsidR="005D2595" w:rsidRPr="0067507D" w14:paraId="141E8B0C"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4950" w:type="dxa"/>
            <w:noWrap/>
            <w:hideMark/>
          </w:tcPr>
          <w:p w14:paraId="03CDB6DC" w14:textId="77777777" w:rsidR="005D2595" w:rsidRPr="0067507D" w:rsidRDefault="005D2595" w:rsidP="00FC3AF2">
            <w:pPr>
              <w:pStyle w:val="Tabletextbold"/>
            </w:pPr>
            <w:r w:rsidRPr="0067507D">
              <w:t>Other grants</w:t>
            </w:r>
          </w:p>
        </w:tc>
        <w:tc>
          <w:tcPr>
            <w:cnfStyle w:val="000010000000" w:firstRow="0" w:lastRow="0" w:firstColumn="0" w:lastColumn="0" w:oddVBand="1" w:evenVBand="0" w:oddHBand="0" w:evenHBand="0" w:firstRowFirstColumn="0" w:firstRowLastColumn="0" w:lastRowFirstColumn="0" w:lastRowLastColumn="0"/>
            <w:tcW w:w="1240" w:type="dxa"/>
            <w:noWrap/>
            <w:hideMark/>
          </w:tcPr>
          <w:p w14:paraId="05ECD65D"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370" w:type="dxa"/>
            <w:noWrap/>
            <w:hideMark/>
          </w:tcPr>
          <w:p w14:paraId="69E8695A" w14:textId="77777777" w:rsidR="005D2595" w:rsidRPr="0067507D" w:rsidRDefault="005D2595" w:rsidP="00FC3AF2">
            <w:pPr>
              <w:pStyle w:val="Tabletextright"/>
            </w:pPr>
          </w:p>
        </w:tc>
      </w:tr>
      <w:tr w:rsidR="005D2595" w:rsidRPr="0067507D" w14:paraId="3A996DEE" w14:textId="77777777" w:rsidTr="00FC3AF2">
        <w:trPr>
          <w:trHeight w:val="27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72C90DAB" w14:textId="77777777" w:rsidR="005D2595" w:rsidRPr="0067507D" w:rsidRDefault="005D2595" w:rsidP="00FC3AF2">
            <w:pPr>
              <w:pStyle w:val="Tabletext"/>
            </w:pPr>
            <w:r w:rsidRPr="0067507D">
              <w:t>Other grants</w:t>
            </w:r>
          </w:p>
        </w:tc>
        <w:tc>
          <w:tcPr>
            <w:cnfStyle w:val="000010000000" w:firstRow="0" w:lastRow="0" w:firstColumn="0" w:lastColumn="0" w:oddVBand="1" w:evenVBand="0" w:oddHBand="0" w:evenHBand="0" w:firstRowFirstColumn="0" w:firstRowLastColumn="0" w:lastRowFirstColumn="0" w:lastRowLastColumn="0"/>
            <w:tcW w:w="1240" w:type="dxa"/>
            <w:noWrap/>
            <w:hideMark/>
          </w:tcPr>
          <w:p w14:paraId="261E4FCF" w14:textId="77777777" w:rsidR="005D2595" w:rsidRPr="0067507D" w:rsidRDefault="005D2595" w:rsidP="00FC3AF2">
            <w:pPr>
              <w:pStyle w:val="Tabletextright"/>
            </w:pPr>
            <w:r w:rsidRPr="0067507D">
              <w:t xml:space="preserve">21 843 </w:t>
            </w:r>
          </w:p>
        </w:tc>
        <w:tc>
          <w:tcPr>
            <w:cnfStyle w:val="000001000000" w:firstRow="0" w:lastRow="0" w:firstColumn="0" w:lastColumn="0" w:oddVBand="0" w:evenVBand="1" w:oddHBand="0" w:evenHBand="0" w:firstRowFirstColumn="0" w:firstRowLastColumn="0" w:lastRowFirstColumn="0" w:lastRowLastColumn="0"/>
            <w:tcW w:w="1370" w:type="dxa"/>
            <w:noWrap/>
            <w:hideMark/>
          </w:tcPr>
          <w:p w14:paraId="73E8873F" w14:textId="77777777" w:rsidR="005D2595" w:rsidRPr="0067507D" w:rsidRDefault="005D2595" w:rsidP="00FC3AF2">
            <w:pPr>
              <w:pStyle w:val="Tabletextright"/>
            </w:pPr>
            <w:r w:rsidRPr="0067507D">
              <w:t xml:space="preserve">1 845 </w:t>
            </w:r>
          </w:p>
        </w:tc>
      </w:tr>
      <w:tr w:rsidR="005D2595" w:rsidRPr="0067507D" w14:paraId="10C97E25" w14:textId="77777777" w:rsidTr="00FC3AF2">
        <w:trPr>
          <w:trHeight w:val="270"/>
        </w:trPr>
        <w:tc>
          <w:tcPr>
            <w:cnfStyle w:val="001000000000" w:firstRow="0" w:lastRow="0" w:firstColumn="1" w:lastColumn="0" w:oddVBand="0" w:evenVBand="0" w:oddHBand="0" w:evenHBand="0" w:firstRowFirstColumn="0" w:firstRowLastColumn="0" w:lastRowFirstColumn="0" w:lastRowLastColumn="0"/>
            <w:tcW w:w="4950" w:type="dxa"/>
            <w:noWrap/>
          </w:tcPr>
          <w:p w14:paraId="2B1B089F" w14:textId="77777777" w:rsidR="005D2595" w:rsidRPr="0067507D" w:rsidRDefault="005D2595" w:rsidP="00FC3AF2">
            <w:pPr>
              <w:pStyle w:val="Tabletextbold"/>
            </w:pPr>
            <w:r w:rsidRPr="0067507D">
              <w:t>Total administered grant income</w:t>
            </w:r>
          </w:p>
        </w:tc>
        <w:tc>
          <w:tcPr>
            <w:cnfStyle w:val="000010000000" w:firstRow="0" w:lastRow="0" w:firstColumn="0" w:lastColumn="0" w:oddVBand="1" w:evenVBand="0" w:oddHBand="0" w:evenHBand="0" w:firstRowFirstColumn="0" w:firstRowLastColumn="0" w:lastRowFirstColumn="0" w:lastRowLastColumn="0"/>
            <w:tcW w:w="1240" w:type="dxa"/>
            <w:noWrap/>
          </w:tcPr>
          <w:p w14:paraId="47268857" w14:textId="77777777" w:rsidR="005D2595" w:rsidRPr="0067507D" w:rsidRDefault="005D2595" w:rsidP="00FC3AF2">
            <w:pPr>
              <w:pStyle w:val="Tabletextrightbold"/>
            </w:pPr>
            <w:r w:rsidRPr="0067507D">
              <w:t xml:space="preserve">37 091 179 </w:t>
            </w:r>
          </w:p>
        </w:tc>
        <w:tc>
          <w:tcPr>
            <w:cnfStyle w:val="000001000000" w:firstRow="0" w:lastRow="0" w:firstColumn="0" w:lastColumn="0" w:oddVBand="0" w:evenVBand="1" w:oddHBand="0" w:evenHBand="0" w:firstRowFirstColumn="0" w:firstRowLastColumn="0" w:lastRowFirstColumn="0" w:lastRowLastColumn="0"/>
            <w:tcW w:w="1370" w:type="dxa"/>
            <w:noWrap/>
          </w:tcPr>
          <w:p w14:paraId="2C493D82" w14:textId="77777777" w:rsidR="005D2595" w:rsidRPr="0067507D" w:rsidRDefault="005D2595" w:rsidP="00FC3AF2">
            <w:pPr>
              <w:pStyle w:val="Tabletextrightbold"/>
            </w:pPr>
            <w:r w:rsidRPr="0067507D">
              <w:t xml:space="preserve">32 099 435 </w:t>
            </w:r>
          </w:p>
        </w:tc>
      </w:tr>
    </w:tbl>
    <w:p w14:paraId="1CF903B9" w14:textId="77777777" w:rsidR="005D2595" w:rsidRPr="0067507D" w:rsidRDefault="005D2595" w:rsidP="005D2595">
      <w:pPr>
        <w:pStyle w:val="Notes"/>
        <w:ind w:right="1865"/>
      </w:pPr>
    </w:p>
    <w:p w14:paraId="18107F1D" w14:textId="77777777" w:rsidR="005D2595" w:rsidRPr="0067507D" w:rsidRDefault="005D2595" w:rsidP="005D2595">
      <w:pPr>
        <w:sectPr w:rsidR="005D2595" w:rsidRPr="0067507D" w:rsidSect="005D2595">
          <w:headerReference w:type="even" r:id="rId101"/>
          <w:headerReference w:type="default" r:id="rId102"/>
          <w:footerReference w:type="even" r:id="rId103"/>
          <w:type w:val="continuous"/>
          <w:pgSz w:w="11909" w:h="16834" w:code="9"/>
          <w:pgMar w:top="1728" w:right="1152" w:bottom="1152" w:left="1152" w:header="720" w:footer="288" w:gutter="0"/>
          <w:cols w:space="569"/>
          <w:noEndnote/>
        </w:sectPr>
      </w:pPr>
    </w:p>
    <w:p w14:paraId="4BE94A22" w14:textId="77777777" w:rsidR="005D2595" w:rsidRPr="0067507D" w:rsidRDefault="005D2595" w:rsidP="005D2595">
      <w:r w:rsidRPr="0067507D">
        <w:t>The Department has determined that the grant income included in the table above under AASB 1058 has been earned under arrangements that are either not enforceable and/or linked to sufficiently specific performance obligations.</w:t>
      </w:r>
    </w:p>
    <w:p w14:paraId="4FCDE8F2" w14:textId="77777777" w:rsidR="005D2595" w:rsidRPr="0067507D" w:rsidRDefault="005D2595" w:rsidP="005D2595">
      <w:r w:rsidRPr="0067507D">
        <w:t xml:space="preserve">Income from grants without any sufficiently specific performance obligations, or that are not enforceable, is recognised using AASB 1058, when the Department has an unconditional right to receive cash which usually coincides with receipt of cash. </w:t>
      </w:r>
    </w:p>
    <w:p w14:paraId="296E69A7" w14:textId="68C752BD" w:rsidR="005D2595" w:rsidRPr="0067507D" w:rsidRDefault="005D2595" w:rsidP="005D2595">
      <w:r w:rsidRPr="0067507D">
        <w:t xml:space="preserve">The Department's </w:t>
      </w:r>
      <w:r w:rsidRPr="0067507D">
        <w:rPr>
          <w:rFonts w:asciiTheme="majorHAnsi" w:hAnsiTheme="majorHAnsi"/>
        </w:rPr>
        <w:t>administered grant income</w:t>
      </w:r>
      <w:r w:rsidRPr="0067507D">
        <w:t xml:space="preserve"> predominantly comprises contributions from the Commonwealth Government to assist the State Government in meeting general or specific service delivery obligations.</w:t>
      </w:r>
    </w:p>
    <w:p w14:paraId="0BD7E810" w14:textId="77777777" w:rsidR="005D2595" w:rsidRPr="0067507D" w:rsidRDefault="005D2595" w:rsidP="005D2595">
      <w:r w:rsidRPr="0067507D">
        <w:br w:type="column"/>
      </w:r>
      <w:r w:rsidRPr="0067507D">
        <w:t>The general purpose grants received from the Commonwealth Government relate to the State's share of the goods and services tax (GST). GST is collected by the Commonwealth Government and paid to the states and territories in the form of general purpose grants. Funds are typically remitted by the Commonwealth Government monthly throughout the financial year based on estimates of each state's relative share of the GST pool for that financial year. The Commonwealth subsequently updates each state's relative share of the GST pool when the final aggregate GST pool is known and adjusts any over or under payment during the year through the remittance of funds in the subsequent year. The State has made the significant judgement that the legislation, operation and objectives of the GST arrangements are such that its entitlement to the annual GST pool forms the basis for GST income recognition, rather than the funding progressively received from the Commonwealth Government across the financial year. As a result, the State monitors and tracks its share of the GST pool progressively to determine if a receivable or payable needs to be recognised at the end of each reporting period.</w:t>
      </w:r>
    </w:p>
    <w:p w14:paraId="74EE70B8" w14:textId="6CCD251D" w:rsidR="005D2595" w:rsidRPr="0067507D" w:rsidRDefault="005D2595" w:rsidP="005D2595">
      <w:r w:rsidRPr="0067507D">
        <w:t>Income received for specific purpose grants for on</w:t>
      </w:r>
      <w:r w:rsidRPr="0067507D">
        <w:noBreakHyphen/>
        <w:t>passing is recognised simultaneously with the grant expense as the funds are immediately on</w:t>
      </w:r>
      <w:r w:rsidR="006A5485">
        <w:noBreakHyphen/>
      </w:r>
      <w:r w:rsidRPr="0067507D">
        <w:t>passed to the relevant recipient entities on behalf of the Commonwealth Government.</w:t>
      </w:r>
    </w:p>
    <w:p w14:paraId="7A674AE9" w14:textId="77777777" w:rsidR="005D2595" w:rsidRPr="0067507D" w:rsidRDefault="005D2595" w:rsidP="006273F6">
      <w:pPr>
        <w:pStyle w:val="Heading3numbered"/>
        <w:pageBreakBefore/>
        <w:ind w:left="576" w:hanging="576"/>
      </w:pPr>
      <w:r w:rsidRPr="0067507D">
        <w:lastRenderedPageBreak/>
        <w:t>Administered taxation income</w:t>
      </w:r>
    </w:p>
    <w:p w14:paraId="67B1C773"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tbl>
      <w:tblPr>
        <w:tblStyle w:val="AnnualReportfinancialtable"/>
        <w:tblW w:w="7558" w:type="dxa"/>
        <w:tblLayout w:type="fixed"/>
        <w:tblLook w:val="00A0" w:firstRow="1" w:lastRow="0" w:firstColumn="1" w:lastColumn="0" w:noHBand="0" w:noVBand="0"/>
      </w:tblPr>
      <w:tblGrid>
        <w:gridCol w:w="5211"/>
        <w:gridCol w:w="1168"/>
        <w:gridCol w:w="1179"/>
      </w:tblGrid>
      <w:tr w:rsidR="00931E39" w:rsidRPr="0067507D" w14:paraId="5797987E"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211" w:type="dxa"/>
            <w:noWrap/>
            <w:hideMark/>
          </w:tcPr>
          <w:p w14:paraId="2A3D7BE4" w14:textId="77777777" w:rsidR="00931E39" w:rsidRPr="0067507D" w:rsidRDefault="00931E39" w:rsidP="00931E39">
            <w:pPr>
              <w:pStyle w:val="Tabletextheadingrightbold"/>
            </w:pPr>
            <w:bookmarkStart w:id="116" w:name="_Hlk113625571"/>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13C6B000" w14:textId="63F3A7A9" w:rsidR="00931E39" w:rsidRPr="0067507D" w:rsidRDefault="00931E39" w:rsidP="00931E39">
            <w:pPr>
              <w:pStyle w:val="Tabletextheadingrightbold"/>
            </w:pPr>
            <w:r w:rsidRPr="0067507D">
              <w:t>2025</w:t>
            </w:r>
            <w:r>
              <w:rPr>
                <w:szCs w:val="16"/>
              </w:rPr>
              <w:br/>
            </w:r>
            <w:r w:rsidRPr="0067507D">
              <w:t>$’000</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485A9F21" w14:textId="187D647F" w:rsidR="00931E39" w:rsidRPr="0067507D" w:rsidRDefault="00931E39" w:rsidP="00931E39">
            <w:pPr>
              <w:pStyle w:val="Tabletextheadingrightbold"/>
            </w:pPr>
            <w:r w:rsidRPr="0067507D">
              <w:t>2024</w:t>
            </w:r>
            <w:r>
              <w:rPr>
                <w:szCs w:val="16"/>
              </w:rPr>
              <w:br/>
            </w:r>
            <w:r w:rsidRPr="0067507D">
              <w:t>$’000</w:t>
            </w:r>
          </w:p>
        </w:tc>
      </w:tr>
      <w:tr w:rsidR="005D2595" w:rsidRPr="0067507D" w14:paraId="102EE07E"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5211" w:type="dxa"/>
            <w:noWrap/>
          </w:tcPr>
          <w:p w14:paraId="01BB69FD" w14:textId="77777777" w:rsidR="005D2595" w:rsidRPr="0067507D" w:rsidRDefault="005D2595" w:rsidP="00FC3AF2">
            <w:pPr>
              <w:pStyle w:val="Tabletext"/>
            </w:pPr>
            <w:r w:rsidRPr="0067507D">
              <w:t>Land transfer duty</w:t>
            </w:r>
          </w:p>
        </w:tc>
        <w:tc>
          <w:tcPr>
            <w:cnfStyle w:val="000010000000" w:firstRow="0" w:lastRow="0" w:firstColumn="0" w:lastColumn="0" w:oddVBand="1" w:evenVBand="0" w:oddHBand="0" w:evenHBand="0" w:firstRowFirstColumn="0" w:firstRowLastColumn="0" w:lastRowFirstColumn="0" w:lastRowLastColumn="0"/>
            <w:tcW w:w="1168" w:type="dxa"/>
            <w:noWrap/>
          </w:tcPr>
          <w:p w14:paraId="0DDDAF48" w14:textId="77777777" w:rsidR="005D2595" w:rsidRPr="0067507D" w:rsidRDefault="005D2595" w:rsidP="00FC3AF2">
            <w:pPr>
              <w:pStyle w:val="Tabletextright"/>
              <w:rPr>
                <w:caps/>
              </w:rPr>
            </w:pPr>
            <w:r w:rsidRPr="0067507D">
              <w:t xml:space="preserve">9 249 082 </w:t>
            </w:r>
          </w:p>
        </w:tc>
        <w:tc>
          <w:tcPr>
            <w:cnfStyle w:val="000001000000" w:firstRow="0" w:lastRow="0" w:firstColumn="0" w:lastColumn="0" w:oddVBand="0" w:evenVBand="1" w:oddHBand="0" w:evenHBand="0" w:firstRowFirstColumn="0" w:firstRowLastColumn="0" w:lastRowFirstColumn="0" w:lastRowLastColumn="0"/>
            <w:tcW w:w="1179" w:type="dxa"/>
            <w:noWrap/>
          </w:tcPr>
          <w:p w14:paraId="0C9A229F" w14:textId="77777777" w:rsidR="005D2595" w:rsidRPr="0067507D" w:rsidRDefault="005D2595" w:rsidP="00FC3AF2">
            <w:pPr>
              <w:pStyle w:val="Tabletextright"/>
              <w:rPr>
                <w:caps/>
              </w:rPr>
            </w:pPr>
            <w:r w:rsidRPr="0067507D">
              <w:t xml:space="preserve">8 427 276 </w:t>
            </w:r>
          </w:p>
        </w:tc>
      </w:tr>
      <w:tr w:rsidR="005D2595" w:rsidRPr="0067507D" w14:paraId="6F1432AD"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5211" w:type="dxa"/>
            <w:noWrap/>
            <w:hideMark/>
          </w:tcPr>
          <w:p w14:paraId="7166F41F" w14:textId="77777777" w:rsidR="005D2595" w:rsidRPr="0067507D" w:rsidRDefault="005D2595" w:rsidP="00FC3AF2">
            <w:pPr>
              <w:pStyle w:val="Tabletext"/>
            </w:pPr>
            <w:r w:rsidRPr="0067507D">
              <w:t>Payroll tax</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15B04BDD" w14:textId="77777777" w:rsidR="005D2595" w:rsidRPr="0067507D" w:rsidRDefault="005D2595" w:rsidP="00FC3AF2">
            <w:pPr>
              <w:pStyle w:val="Tabletextright"/>
              <w:rPr>
                <w:caps/>
              </w:rPr>
            </w:pPr>
            <w:r w:rsidRPr="0067507D">
              <w:t xml:space="preserve">10 265 590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275B27D7" w14:textId="77777777" w:rsidR="005D2595" w:rsidRPr="0067507D" w:rsidRDefault="005D2595" w:rsidP="00FC3AF2">
            <w:pPr>
              <w:pStyle w:val="Tabletextright"/>
              <w:rPr>
                <w:caps/>
              </w:rPr>
            </w:pPr>
            <w:r w:rsidRPr="0067507D">
              <w:t xml:space="preserve">9 643 104 </w:t>
            </w:r>
          </w:p>
        </w:tc>
      </w:tr>
      <w:tr w:rsidR="005D2595" w:rsidRPr="0067507D" w14:paraId="1DD5767B"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5211" w:type="dxa"/>
            <w:noWrap/>
            <w:hideMark/>
          </w:tcPr>
          <w:p w14:paraId="74E9134D" w14:textId="77777777" w:rsidR="005D2595" w:rsidRPr="0067507D" w:rsidRDefault="005D2595" w:rsidP="00FC3AF2">
            <w:pPr>
              <w:pStyle w:val="Tabletext"/>
            </w:pPr>
            <w:r w:rsidRPr="0067507D">
              <w:t>Land tax</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2C9665F0" w14:textId="77777777" w:rsidR="005D2595" w:rsidRPr="0067507D" w:rsidRDefault="005D2595" w:rsidP="00FC3AF2">
            <w:pPr>
              <w:pStyle w:val="Tabletextright"/>
            </w:pPr>
            <w:r w:rsidRPr="0067507D">
              <w:t xml:space="preserve">6 039 496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20D1707F" w14:textId="77777777" w:rsidR="005D2595" w:rsidRPr="0067507D" w:rsidRDefault="005D2595" w:rsidP="00FC3AF2">
            <w:pPr>
              <w:pStyle w:val="Tabletextright"/>
            </w:pPr>
            <w:r w:rsidRPr="0067507D">
              <w:t xml:space="preserve">5 933 008 </w:t>
            </w:r>
          </w:p>
        </w:tc>
      </w:tr>
      <w:tr w:rsidR="005D2595" w:rsidRPr="0067507D" w14:paraId="15175162"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5211" w:type="dxa"/>
            <w:noWrap/>
            <w:hideMark/>
          </w:tcPr>
          <w:p w14:paraId="212F04F5" w14:textId="77777777" w:rsidR="005D2595" w:rsidRPr="0067507D" w:rsidRDefault="005D2595" w:rsidP="00FC3AF2">
            <w:pPr>
              <w:pStyle w:val="Tabletext"/>
            </w:pPr>
            <w:r w:rsidRPr="0067507D">
              <w:t>Taxes on insurance</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23DDEE4B" w14:textId="77777777" w:rsidR="005D2595" w:rsidRPr="0067507D" w:rsidRDefault="005D2595" w:rsidP="00FC3AF2">
            <w:pPr>
              <w:pStyle w:val="Tabletextright"/>
            </w:pPr>
            <w:r w:rsidRPr="0067507D">
              <w:t xml:space="preserve">2 196 556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140B6B12" w14:textId="77777777" w:rsidR="005D2595" w:rsidRPr="0067507D" w:rsidRDefault="005D2595" w:rsidP="00FC3AF2">
            <w:pPr>
              <w:pStyle w:val="Tabletextright"/>
            </w:pPr>
            <w:r w:rsidRPr="0067507D">
              <w:t xml:space="preserve">2 075 820 </w:t>
            </w:r>
          </w:p>
        </w:tc>
      </w:tr>
      <w:tr w:rsidR="005D2595" w:rsidRPr="0067507D" w14:paraId="7D4312D8"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5211" w:type="dxa"/>
            <w:noWrap/>
            <w:hideMark/>
          </w:tcPr>
          <w:p w14:paraId="3A99C6C9" w14:textId="77777777" w:rsidR="005D2595" w:rsidRPr="0067507D" w:rsidRDefault="005D2595" w:rsidP="00FC3AF2">
            <w:pPr>
              <w:pStyle w:val="Tabletext"/>
            </w:pPr>
            <w:r w:rsidRPr="0067507D">
              <w:t>Mental health and wellbeing levy</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386BF0FA" w14:textId="77777777" w:rsidR="005D2595" w:rsidRPr="0067507D" w:rsidRDefault="005D2595" w:rsidP="00FC3AF2">
            <w:pPr>
              <w:pStyle w:val="Tabletextright"/>
            </w:pPr>
            <w:r w:rsidRPr="0067507D">
              <w:t xml:space="preserve">1 259 212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20086623" w14:textId="77777777" w:rsidR="005D2595" w:rsidRPr="0067507D" w:rsidRDefault="005D2595" w:rsidP="00FC3AF2">
            <w:pPr>
              <w:pStyle w:val="Tabletextright"/>
            </w:pPr>
            <w:r w:rsidRPr="0067507D">
              <w:t xml:space="preserve">1 200 575 </w:t>
            </w:r>
          </w:p>
        </w:tc>
      </w:tr>
      <w:tr w:rsidR="005D2595" w:rsidRPr="0067507D" w14:paraId="70731279"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5211" w:type="dxa"/>
            <w:noWrap/>
            <w:hideMark/>
          </w:tcPr>
          <w:p w14:paraId="1136E946" w14:textId="77777777" w:rsidR="005D2595" w:rsidRPr="0067507D" w:rsidRDefault="005D2595" w:rsidP="00FC3AF2">
            <w:pPr>
              <w:pStyle w:val="Tabletext"/>
            </w:pPr>
            <w:r w:rsidRPr="0067507D">
              <w:t xml:space="preserve">COVID Debt Levy – Payroll $10m+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029FDF33" w14:textId="77777777" w:rsidR="005D2595" w:rsidRPr="0067507D" w:rsidRDefault="005D2595" w:rsidP="00FC3AF2">
            <w:pPr>
              <w:pStyle w:val="Tabletextright"/>
            </w:pPr>
            <w:r w:rsidRPr="0067507D">
              <w:t xml:space="preserve">1 259 244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4A4266EB" w14:textId="77777777" w:rsidR="005D2595" w:rsidRPr="0067507D" w:rsidRDefault="005D2595" w:rsidP="00FC3AF2">
            <w:pPr>
              <w:pStyle w:val="Tabletextright"/>
            </w:pPr>
            <w:r w:rsidRPr="0067507D">
              <w:t xml:space="preserve">1 110 047 </w:t>
            </w:r>
          </w:p>
        </w:tc>
      </w:tr>
      <w:tr w:rsidR="005D2595" w:rsidRPr="0067507D" w14:paraId="4D9B1732"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5211" w:type="dxa"/>
            <w:noWrap/>
            <w:hideMark/>
          </w:tcPr>
          <w:p w14:paraId="09989948" w14:textId="77777777" w:rsidR="005D2595" w:rsidRPr="0067507D" w:rsidRDefault="005D2595" w:rsidP="00FC3AF2">
            <w:pPr>
              <w:pStyle w:val="Tabletext"/>
            </w:pPr>
            <w:r w:rsidRPr="0067507D">
              <w:t xml:space="preserve">COVID Debt Levy – Landholdings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3E3D133B" w14:textId="77777777" w:rsidR="005D2595" w:rsidRPr="0067507D" w:rsidRDefault="005D2595" w:rsidP="00FC3AF2">
            <w:pPr>
              <w:pStyle w:val="Tabletextright"/>
            </w:pPr>
            <w:r w:rsidRPr="0067507D">
              <w:t xml:space="preserve">1 131 781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4817A17D" w14:textId="77777777" w:rsidR="005D2595" w:rsidRPr="0067507D" w:rsidRDefault="005D2595" w:rsidP="00FC3AF2">
            <w:pPr>
              <w:pStyle w:val="Tabletextright"/>
            </w:pPr>
            <w:r w:rsidRPr="0067507D">
              <w:t xml:space="preserve">1 164 231 </w:t>
            </w:r>
          </w:p>
        </w:tc>
      </w:tr>
      <w:tr w:rsidR="005D2595" w:rsidRPr="0067507D" w14:paraId="7DBD7B4C"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5211" w:type="dxa"/>
            <w:noWrap/>
            <w:hideMark/>
          </w:tcPr>
          <w:p w14:paraId="51D5AA63" w14:textId="77777777" w:rsidR="005D2595" w:rsidRPr="0067507D" w:rsidRDefault="005D2595" w:rsidP="00FC3AF2">
            <w:pPr>
              <w:pStyle w:val="Tabletext"/>
            </w:pPr>
            <w:r w:rsidRPr="0067507D">
              <w:t>Fire services property levy</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0CF66DE9" w14:textId="77777777" w:rsidR="005D2595" w:rsidRPr="0067507D" w:rsidRDefault="005D2595" w:rsidP="00FC3AF2">
            <w:pPr>
              <w:pStyle w:val="Tabletextright"/>
            </w:pPr>
            <w:r w:rsidRPr="0067507D">
              <w:t xml:space="preserve">1 030 588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64E3443B" w14:textId="77777777" w:rsidR="005D2595" w:rsidRPr="0067507D" w:rsidRDefault="005D2595" w:rsidP="00FC3AF2">
            <w:pPr>
              <w:pStyle w:val="Tabletextright"/>
            </w:pPr>
            <w:r w:rsidRPr="0067507D">
              <w:t xml:space="preserve"> 839 496 </w:t>
            </w:r>
          </w:p>
        </w:tc>
      </w:tr>
      <w:tr w:rsidR="005D2595" w:rsidRPr="0067507D" w14:paraId="742A7D7A"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5211" w:type="dxa"/>
            <w:noWrap/>
            <w:hideMark/>
          </w:tcPr>
          <w:p w14:paraId="69301A14" w14:textId="77777777" w:rsidR="005D2595" w:rsidRPr="0067507D" w:rsidRDefault="005D2595" w:rsidP="00FC3AF2">
            <w:pPr>
              <w:pStyle w:val="Tabletext"/>
            </w:pPr>
            <w:r w:rsidRPr="0067507D">
              <w:t>Income tax and rate equivalents</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75655AB0" w14:textId="77777777" w:rsidR="005D2595" w:rsidRPr="0067507D" w:rsidRDefault="005D2595" w:rsidP="00FC3AF2">
            <w:pPr>
              <w:pStyle w:val="Tabletextright"/>
            </w:pPr>
            <w:r w:rsidRPr="0067507D">
              <w:t xml:space="preserve"> 596 851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4C550195" w14:textId="77777777" w:rsidR="005D2595" w:rsidRPr="0067507D" w:rsidRDefault="005D2595" w:rsidP="00FC3AF2">
            <w:pPr>
              <w:pStyle w:val="Tabletextright"/>
            </w:pPr>
            <w:r w:rsidRPr="0067507D">
              <w:t xml:space="preserve"> 618 206 </w:t>
            </w:r>
          </w:p>
        </w:tc>
      </w:tr>
      <w:tr w:rsidR="005D2595" w:rsidRPr="0067507D" w14:paraId="636EF0AD"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5211" w:type="dxa"/>
            <w:noWrap/>
            <w:hideMark/>
          </w:tcPr>
          <w:p w14:paraId="1D1CB50C" w14:textId="77777777" w:rsidR="005D2595" w:rsidRPr="0067507D" w:rsidRDefault="005D2595" w:rsidP="00FC3AF2">
            <w:pPr>
              <w:pStyle w:val="Tabletext"/>
            </w:pPr>
            <w:r w:rsidRPr="0067507D">
              <w:t>Growth areas infrastructure contribution</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715A4D6C" w14:textId="77777777" w:rsidR="005D2595" w:rsidRPr="0067507D" w:rsidRDefault="005D2595" w:rsidP="00FC3AF2">
            <w:pPr>
              <w:pStyle w:val="Tabletextright"/>
            </w:pPr>
            <w:r w:rsidRPr="0067507D">
              <w:t xml:space="preserve"> 184 202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30590DB0" w14:textId="77777777" w:rsidR="005D2595" w:rsidRPr="0067507D" w:rsidRDefault="005D2595" w:rsidP="00FC3AF2">
            <w:pPr>
              <w:pStyle w:val="Tabletextright"/>
            </w:pPr>
            <w:r w:rsidRPr="0067507D">
              <w:t xml:space="preserve"> 254 711 </w:t>
            </w:r>
          </w:p>
        </w:tc>
      </w:tr>
      <w:tr w:rsidR="005D2595" w:rsidRPr="0067507D" w14:paraId="1C5F05D5"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5211" w:type="dxa"/>
            <w:noWrap/>
            <w:hideMark/>
          </w:tcPr>
          <w:p w14:paraId="32141196" w14:textId="77777777" w:rsidR="005D2595" w:rsidRPr="0067507D" w:rsidRDefault="005D2595" w:rsidP="00FC3AF2">
            <w:pPr>
              <w:pStyle w:val="Tabletext"/>
            </w:pPr>
            <w:r w:rsidRPr="0067507D">
              <w:t>Other taxes</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46F3812E" w14:textId="77777777" w:rsidR="005D2595" w:rsidRPr="0067507D" w:rsidRDefault="005D2595" w:rsidP="00FC3AF2">
            <w:pPr>
              <w:pStyle w:val="Tabletextright"/>
            </w:pPr>
            <w:r w:rsidRPr="0067507D">
              <w:t xml:space="preserve">1 102 510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06AFABD0" w14:textId="77777777" w:rsidR="005D2595" w:rsidRPr="0067507D" w:rsidRDefault="005D2595" w:rsidP="00FC3AF2">
            <w:pPr>
              <w:pStyle w:val="Tabletextright"/>
            </w:pPr>
            <w:r w:rsidRPr="0067507D">
              <w:t xml:space="preserve"> 919 729 </w:t>
            </w:r>
          </w:p>
        </w:tc>
      </w:tr>
      <w:tr w:rsidR="005D2595" w:rsidRPr="0067507D" w14:paraId="69AF393C" w14:textId="77777777" w:rsidTr="00FC3AF2">
        <w:trPr>
          <w:trHeight w:val="270"/>
        </w:trPr>
        <w:tc>
          <w:tcPr>
            <w:cnfStyle w:val="001000000000" w:firstRow="0" w:lastRow="0" w:firstColumn="1" w:lastColumn="0" w:oddVBand="0" w:evenVBand="0" w:oddHBand="0" w:evenHBand="0" w:firstRowFirstColumn="0" w:firstRowLastColumn="0" w:lastRowFirstColumn="0" w:lastRowLastColumn="0"/>
            <w:tcW w:w="5211" w:type="dxa"/>
            <w:noWrap/>
            <w:hideMark/>
          </w:tcPr>
          <w:p w14:paraId="046F89DC" w14:textId="77777777" w:rsidR="005D2595" w:rsidRPr="0067507D" w:rsidRDefault="005D2595" w:rsidP="00FC3AF2">
            <w:pPr>
              <w:pStyle w:val="Tabletextbold"/>
            </w:pPr>
            <w:r w:rsidRPr="0067507D">
              <w:t>Total administered taxation income</w:t>
            </w:r>
          </w:p>
        </w:tc>
        <w:tc>
          <w:tcPr>
            <w:cnfStyle w:val="000010000000" w:firstRow="0" w:lastRow="0" w:firstColumn="0" w:lastColumn="0" w:oddVBand="1" w:evenVBand="0" w:oddHBand="0" w:evenHBand="0" w:firstRowFirstColumn="0" w:firstRowLastColumn="0" w:lastRowFirstColumn="0" w:lastRowLastColumn="0"/>
            <w:tcW w:w="1168" w:type="dxa"/>
            <w:noWrap/>
            <w:hideMark/>
          </w:tcPr>
          <w:p w14:paraId="4608695B" w14:textId="77777777" w:rsidR="005D2595" w:rsidRPr="0067507D" w:rsidRDefault="005D2595" w:rsidP="00FC3AF2">
            <w:pPr>
              <w:pStyle w:val="Tabletextrightbold"/>
            </w:pPr>
            <w:r w:rsidRPr="0067507D">
              <w:t xml:space="preserve">34 315 111 </w:t>
            </w:r>
          </w:p>
        </w:tc>
        <w:tc>
          <w:tcPr>
            <w:cnfStyle w:val="000001000000" w:firstRow="0" w:lastRow="0" w:firstColumn="0" w:lastColumn="0" w:oddVBand="0" w:evenVBand="1" w:oddHBand="0" w:evenHBand="0" w:firstRowFirstColumn="0" w:firstRowLastColumn="0" w:lastRowFirstColumn="0" w:lastRowLastColumn="0"/>
            <w:tcW w:w="1179" w:type="dxa"/>
            <w:noWrap/>
            <w:hideMark/>
          </w:tcPr>
          <w:p w14:paraId="4BBE96E2" w14:textId="77777777" w:rsidR="005D2595" w:rsidRPr="0067507D" w:rsidRDefault="005D2595" w:rsidP="00FC3AF2">
            <w:pPr>
              <w:pStyle w:val="Tabletextrightbold"/>
            </w:pPr>
            <w:r w:rsidRPr="0067507D">
              <w:t xml:space="preserve">32 186 203 </w:t>
            </w:r>
          </w:p>
        </w:tc>
      </w:tr>
    </w:tbl>
    <w:bookmarkEnd w:id="116"/>
    <w:p w14:paraId="0233AA89" w14:textId="77777777" w:rsidR="005D2595" w:rsidRPr="0067507D" w:rsidRDefault="005D2595" w:rsidP="005D2595">
      <w:pPr>
        <w:pStyle w:val="Notes"/>
      </w:pPr>
      <w:r w:rsidRPr="0067507D">
        <w:t>Notes:</w:t>
      </w:r>
    </w:p>
    <w:p w14:paraId="1322074A" w14:textId="7F3F90F5" w:rsidR="005D2595" w:rsidRPr="0067507D" w:rsidRDefault="005D2595" w:rsidP="005D2595">
      <w:pPr>
        <w:pStyle w:val="Notes"/>
      </w:pPr>
      <w:r w:rsidRPr="0067507D">
        <w:t>(a) From 1 July 2023, a COVID</w:t>
      </w:r>
      <w:r w:rsidR="006A5485">
        <w:noBreakHyphen/>
      </w:r>
      <w:r w:rsidRPr="0067507D">
        <w:t>19 debt temporary payroll tax surcharge applied to wages paid in Victoria by businesses with national payrolls over $10 million a year. This surcharge will apply for 10 years.</w:t>
      </w:r>
    </w:p>
    <w:p w14:paraId="1B7E5A3C" w14:textId="2566587B" w:rsidR="005D2595" w:rsidRPr="0067507D" w:rsidRDefault="005D2595" w:rsidP="005D2595">
      <w:pPr>
        <w:pStyle w:val="Notes"/>
      </w:pPr>
      <w:r w:rsidRPr="0067507D">
        <w:t>(b) From 1 January 2024, a new COVID</w:t>
      </w:r>
      <w:r w:rsidR="006A5485">
        <w:noBreakHyphen/>
      </w:r>
      <w:r w:rsidRPr="0067507D">
        <w:t>19 debt temporary land tax surcharge applied in addition to existing land tax. This surcharge will apply for 10 years.</w:t>
      </w:r>
    </w:p>
    <w:p w14:paraId="59586AB0" w14:textId="77777777" w:rsidR="005D2595" w:rsidRPr="0067507D" w:rsidRDefault="005D2595" w:rsidP="005D2595">
      <w:pPr>
        <w:pStyle w:val="Notes"/>
      </w:pPr>
    </w:p>
    <w:p w14:paraId="3001D94D"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space="569"/>
          <w:noEndnote/>
        </w:sectPr>
      </w:pPr>
    </w:p>
    <w:p w14:paraId="51FA2002" w14:textId="2B1FED48" w:rsidR="005D2595" w:rsidRPr="0067507D" w:rsidRDefault="005D2595" w:rsidP="005D2595">
      <w:r w:rsidRPr="0067507D">
        <w:t>State taxation income is recognised by the State on receipt of a taxpayer's self</w:t>
      </w:r>
      <w:r w:rsidR="006A5485">
        <w:noBreakHyphen/>
      </w:r>
      <w:r w:rsidRPr="0067507D">
        <w:t>assessment, or the time the taxpayer's obligation to pay arises pursuant to the issue of an assessment, whichever is earlier.</w:t>
      </w:r>
    </w:p>
    <w:p w14:paraId="03AAE00C" w14:textId="77777777" w:rsidR="005D2595" w:rsidRPr="0067507D" w:rsidRDefault="005D2595" w:rsidP="005D2595">
      <w:r w:rsidRPr="0067507D">
        <w:t>Land transfer duty, formerly stamp duty, is a tax placed on the dutiable value of property being bought. Land transfer duty income is recognised at earlier of assessment raised and issued upon lodgement of land transfer documents through Duties On Line (DOL) or receipt of payments.</w:t>
      </w:r>
    </w:p>
    <w:p w14:paraId="4D61CE60" w14:textId="77777777" w:rsidR="005D2595" w:rsidRPr="0067507D" w:rsidRDefault="005D2595" w:rsidP="005D2595">
      <w:r w:rsidRPr="0067507D">
        <w:t>Payroll tax is a state and territory tax paid by employers. It is assessed on the gross Australian wages paid or payable to employees by an employer or group of employers. Payroll tax income is recognised at the earlier of payment received or tax assessment raised and issued upon lodgement of payroll tax return.</w:t>
      </w:r>
    </w:p>
    <w:p w14:paraId="3C37248C" w14:textId="55AD161B" w:rsidR="005D2595" w:rsidRPr="0067507D" w:rsidRDefault="005D2595" w:rsidP="005D2595">
      <w:r w:rsidRPr="0067507D">
        <w:br w:type="column"/>
      </w:r>
      <w:r w:rsidRPr="0067507D">
        <w:t xml:space="preserve">Land tax is an assessed tax. Land tax is payable when the total unimproved value of all land held by a taxpayer at 31 December exceeds a specified threshold. Land tax income is recognised </w:t>
      </w:r>
      <w:r w:rsidR="0046274D" w:rsidRPr="0067507D">
        <w:t xml:space="preserve">either when the </w:t>
      </w:r>
      <w:r w:rsidRPr="0067507D">
        <w:t xml:space="preserve">assessment </w:t>
      </w:r>
      <w:r w:rsidR="0046274D" w:rsidRPr="0067507D">
        <w:t xml:space="preserve">is </w:t>
      </w:r>
      <w:r w:rsidRPr="0067507D">
        <w:t xml:space="preserve">raised and issued or </w:t>
      </w:r>
      <w:r w:rsidR="0046274D" w:rsidRPr="0067507D">
        <w:t>when</w:t>
      </w:r>
      <w:r w:rsidRPr="0067507D">
        <w:t xml:space="preserve"> payment</w:t>
      </w:r>
      <w:r w:rsidR="0046274D" w:rsidRPr="0067507D">
        <w:t xml:space="preserve"> is received, whichever is earlier</w:t>
      </w:r>
      <w:r w:rsidRPr="0067507D">
        <w:t>.</w:t>
      </w:r>
    </w:p>
    <w:p w14:paraId="2A81E960" w14:textId="3F550852" w:rsidR="005D2595" w:rsidRPr="0067507D" w:rsidRDefault="005D2595" w:rsidP="005D2595">
      <w:r w:rsidRPr="0067507D">
        <w:t xml:space="preserve">The fire services property levy income is recognised on receipt from a municipal council of an annual estimate of liability (or a revenue estimate by the State Revenue Office (SRO) in the absence of timely information from councils), </w:t>
      </w:r>
      <w:r w:rsidR="00EC187A" w:rsidRPr="0067507D">
        <w:t xml:space="preserve">or alternatively when </w:t>
      </w:r>
      <w:r w:rsidRPr="0067507D">
        <w:t xml:space="preserve">a payment </w:t>
      </w:r>
      <w:r w:rsidR="00EC187A" w:rsidRPr="0067507D">
        <w:t>is made</w:t>
      </w:r>
      <w:r w:rsidRPr="0067507D">
        <w:t xml:space="preserve"> or an annual reconciliation</w:t>
      </w:r>
      <w:r w:rsidR="00D973D7" w:rsidRPr="0067507D">
        <w:t xml:space="preserve"> is done</w:t>
      </w:r>
      <w:r w:rsidRPr="0067507D">
        <w:t xml:space="preserve">. </w:t>
      </w:r>
    </w:p>
    <w:p w14:paraId="54E2CB89" w14:textId="77777777" w:rsidR="005D2595" w:rsidRPr="0067507D" w:rsidRDefault="005D2595" w:rsidP="005D2595">
      <w:r w:rsidRPr="0067507D">
        <w:t>Income tax and rate equivalent income are recognised when the right to receive the payment is established.</w:t>
      </w:r>
    </w:p>
    <w:p w14:paraId="1BA7216F" w14:textId="77777777" w:rsidR="005D2595" w:rsidRPr="0067507D" w:rsidRDefault="005D2595" w:rsidP="005D2595">
      <w:r w:rsidRPr="0067507D">
        <w:t>The growth area infrastructure contribution (GAIC) is recognised on the occurrence of the first GAIC taxable event.</w:t>
      </w:r>
    </w:p>
    <w:p w14:paraId="75BA70EB" w14:textId="77777777" w:rsidR="005D2595" w:rsidRPr="0067507D" w:rsidRDefault="005D2595" w:rsidP="005D2595"/>
    <w:p w14:paraId="0C8AE029"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p w14:paraId="46C630E1" w14:textId="77777777" w:rsidR="005D2595" w:rsidRPr="0067507D" w:rsidRDefault="005D2595" w:rsidP="006273F6">
      <w:pPr>
        <w:pStyle w:val="Heading3numbered"/>
        <w:ind w:left="576" w:hanging="576"/>
      </w:pPr>
      <w:r w:rsidRPr="0067507D">
        <w:lastRenderedPageBreak/>
        <w:t>Administered other financial assets</w:t>
      </w:r>
    </w:p>
    <w:tbl>
      <w:tblPr>
        <w:tblStyle w:val="AnnualReportfinancialtable"/>
        <w:tblW w:w="8850" w:type="dxa"/>
        <w:tblLook w:val="00A0" w:firstRow="1" w:lastRow="0" w:firstColumn="1" w:lastColumn="0" w:noHBand="0" w:noVBand="0"/>
      </w:tblPr>
      <w:tblGrid>
        <w:gridCol w:w="6140"/>
        <w:gridCol w:w="1480"/>
        <w:gridCol w:w="1230"/>
      </w:tblGrid>
      <w:tr w:rsidR="0061328D" w:rsidRPr="0067507D" w14:paraId="35626C5C"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3C4DF31E" w14:textId="77777777" w:rsidR="0061328D" w:rsidRPr="0067507D" w:rsidRDefault="0061328D" w:rsidP="0061328D">
            <w:pPr>
              <w:pStyle w:val="Tabletextheadingrightbold"/>
            </w:pP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15749566" w14:textId="05DD5164" w:rsidR="0061328D" w:rsidRPr="0067507D" w:rsidRDefault="0061328D" w:rsidP="0061328D">
            <w:pPr>
              <w:pStyle w:val="Tabletextheadingrightbold"/>
            </w:pPr>
            <w:r w:rsidRPr="0067507D">
              <w:t>2025</w:t>
            </w:r>
            <w:r>
              <w:rPr>
                <w:szCs w:val="16"/>
              </w:rPr>
              <w:br/>
            </w:r>
            <w:r w:rsidRPr="0067507D">
              <w:t>$’000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3494392E" w14:textId="7BFCFC94" w:rsidR="0061328D" w:rsidRPr="0067507D" w:rsidRDefault="0061328D" w:rsidP="0061328D">
            <w:pPr>
              <w:pStyle w:val="Tabletextheadingrightbold"/>
            </w:pPr>
            <w:r w:rsidRPr="0067507D">
              <w:t>2024</w:t>
            </w:r>
            <w:r>
              <w:rPr>
                <w:szCs w:val="16"/>
              </w:rPr>
              <w:br/>
            </w:r>
            <w:r w:rsidRPr="0067507D">
              <w:t>$’000</w:t>
            </w:r>
          </w:p>
        </w:tc>
      </w:tr>
      <w:tr w:rsidR="005D2595" w:rsidRPr="0067507D" w14:paraId="2EA33B83" w14:textId="77777777" w:rsidTr="0061328D">
        <w:trPr>
          <w:trHeight w:val="263"/>
        </w:trPr>
        <w:tc>
          <w:tcPr>
            <w:cnfStyle w:val="001000000000" w:firstRow="0" w:lastRow="0" w:firstColumn="1" w:lastColumn="0" w:oddVBand="0" w:evenVBand="0" w:oddHBand="0" w:evenHBand="0" w:firstRowFirstColumn="0" w:firstRowLastColumn="0" w:lastRowFirstColumn="0" w:lastRowLastColumn="0"/>
            <w:tcW w:w="6140" w:type="dxa"/>
            <w:noWrap/>
          </w:tcPr>
          <w:p w14:paraId="46D96385" w14:textId="321FE130" w:rsidR="005D2595" w:rsidRPr="0067507D" w:rsidRDefault="005D2595" w:rsidP="00FC3AF2">
            <w:pPr>
              <w:pStyle w:val="Tabletextbold"/>
            </w:pPr>
            <w:r w:rsidRPr="0067507D">
              <w:t>Non</w:t>
            </w:r>
            <w:r w:rsidR="006A5485">
              <w:noBreakHyphen/>
            </w:r>
            <w:r w:rsidRPr="0067507D">
              <w:t>current administered other financial assets</w:t>
            </w:r>
          </w:p>
        </w:tc>
        <w:tc>
          <w:tcPr>
            <w:cnfStyle w:val="000010000000" w:firstRow="0" w:lastRow="0" w:firstColumn="0" w:lastColumn="0" w:oddVBand="1" w:evenVBand="0" w:oddHBand="0" w:evenHBand="0" w:firstRowFirstColumn="0" w:firstRowLastColumn="0" w:lastRowFirstColumn="0" w:lastRowLastColumn="0"/>
            <w:tcW w:w="1480" w:type="dxa"/>
            <w:noWrap/>
          </w:tcPr>
          <w:p w14:paraId="1CCBD231" w14:textId="77777777" w:rsidR="005D2595" w:rsidRPr="0067507D" w:rsidRDefault="005D2595" w:rsidP="00FC3AF2">
            <w:pPr>
              <w:pStyle w:val="Tabletextrightbold"/>
              <w:rPr>
                <w:caps/>
              </w:rPr>
            </w:pPr>
          </w:p>
        </w:tc>
        <w:tc>
          <w:tcPr>
            <w:cnfStyle w:val="000001000000" w:firstRow="0" w:lastRow="0" w:firstColumn="0" w:lastColumn="0" w:oddVBand="0" w:evenVBand="1" w:oddHBand="0" w:evenHBand="0" w:firstRowFirstColumn="0" w:firstRowLastColumn="0" w:lastRowFirstColumn="0" w:lastRowLastColumn="0"/>
            <w:tcW w:w="1230" w:type="dxa"/>
            <w:noWrap/>
          </w:tcPr>
          <w:p w14:paraId="524B525B" w14:textId="77777777" w:rsidR="005D2595" w:rsidRPr="0067507D" w:rsidRDefault="005D2595" w:rsidP="00FC3AF2">
            <w:pPr>
              <w:pStyle w:val="Tabletextrightbold"/>
              <w:rPr>
                <w:caps/>
              </w:rPr>
            </w:pPr>
          </w:p>
        </w:tc>
      </w:tr>
      <w:tr w:rsidR="005D2595" w:rsidRPr="0067507D" w14:paraId="5567DA62"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472ECAE2" w14:textId="77777777" w:rsidR="005D2595" w:rsidRPr="0067507D" w:rsidRDefault="005D2595" w:rsidP="00FC3AF2">
            <w:pPr>
              <w:pStyle w:val="Tabletext"/>
            </w:pPr>
            <w:r w:rsidRPr="0067507D">
              <w:t>Victorian future fund's investments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692A2614" w14:textId="77777777" w:rsidR="005D2595" w:rsidRPr="0067507D" w:rsidRDefault="005D2595" w:rsidP="00FC3AF2">
            <w:pPr>
              <w:pStyle w:val="Tabletextright"/>
            </w:pPr>
            <w:r w:rsidRPr="0067507D">
              <w:t xml:space="preserve">9 905 807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1103AF46" w14:textId="77777777" w:rsidR="005D2595" w:rsidRPr="0067507D" w:rsidRDefault="005D2595" w:rsidP="00FC3AF2">
            <w:pPr>
              <w:pStyle w:val="Tabletextright"/>
            </w:pPr>
            <w:r w:rsidRPr="0067507D">
              <w:t xml:space="preserve">8 779 726 </w:t>
            </w:r>
          </w:p>
        </w:tc>
      </w:tr>
      <w:tr w:rsidR="005D2595" w:rsidRPr="0067507D" w14:paraId="0F59F9CE"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0C31C629" w14:textId="77777777" w:rsidR="005D2595" w:rsidRPr="0067507D" w:rsidRDefault="005D2595" w:rsidP="00FC3AF2">
            <w:pPr>
              <w:pStyle w:val="Tabletext"/>
            </w:pPr>
            <w:r w:rsidRPr="0067507D">
              <w:t>Victorian social housing growth fund's investments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6C8BBD3A" w14:textId="77777777" w:rsidR="005D2595" w:rsidRPr="0067507D" w:rsidRDefault="005D2595" w:rsidP="00FC3AF2">
            <w:pPr>
              <w:pStyle w:val="Tabletextright"/>
            </w:pPr>
            <w:r w:rsidRPr="0067507D">
              <w:t xml:space="preserve">2 635 794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47E74BF6" w14:textId="77777777" w:rsidR="005D2595" w:rsidRPr="0067507D" w:rsidRDefault="005D2595" w:rsidP="00FC3AF2">
            <w:pPr>
              <w:pStyle w:val="Tabletextright"/>
            </w:pPr>
            <w:r w:rsidRPr="0067507D">
              <w:t xml:space="preserve">2 195 495 </w:t>
            </w:r>
          </w:p>
        </w:tc>
      </w:tr>
      <w:tr w:rsidR="005D2595" w:rsidRPr="0067507D" w14:paraId="721E04AD"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09D11AB9" w14:textId="77777777" w:rsidR="005D2595" w:rsidRPr="0067507D" w:rsidRDefault="005D2595" w:rsidP="00FC3AF2">
            <w:pPr>
              <w:pStyle w:val="Tabletext"/>
            </w:pPr>
            <w:r w:rsidRPr="0067507D">
              <w:t>Victorian homebuyer scheme</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35FAD83D" w14:textId="77777777" w:rsidR="005D2595" w:rsidRPr="0067507D" w:rsidRDefault="005D2595" w:rsidP="00FC3AF2">
            <w:pPr>
              <w:pStyle w:val="Tabletextright"/>
            </w:pPr>
            <w:r w:rsidRPr="0067507D">
              <w:t xml:space="preserve">2 224 007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73467C5E" w14:textId="77777777" w:rsidR="005D2595" w:rsidRPr="0067507D" w:rsidRDefault="005D2595" w:rsidP="00FC3AF2">
            <w:pPr>
              <w:pStyle w:val="Tabletextright"/>
            </w:pPr>
            <w:r w:rsidRPr="0067507D">
              <w:t xml:space="preserve">1 585 892 </w:t>
            </w:r>
          </w:p>
        </w:tc>
      </w:tr>
      <w:tr w:rsidR="005D2595" w:rsidRPr="0067507D" w14:paraId="03C6244D"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04A65BA9" w14:textId="77777777" w:rsidR="005D2595" w:rsidRPr="0067507D" w:rsidRDefault="005D2595" w:rsidP="00FC3AF2">
            <w:pPr>
              <w:pStyle w:val="Tabletext"/>
            </w:pPr>
            <w:r w:rsidRPr="0067507D">
              <w:t>Other</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7D170AC7" w14:textId="77777777" w:rsidR="005D2595" w:rsidRPr="0067507D" w:rsidRDefault="005D2595" w:rsidP="00FC3AF2">
            <w:pPr>
              <w:pStyle w:val="Tabletextright"/>
            </w:pPr>
            <w:r w:rsidRPr="0067507D">
              <w:t xml:space="preserve"> 16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780570D2" w14:textId="77777777" w:rsidR="005D2595" w:rsidRPr="0067507D" w:rsidRDefault="005D2595" w:rsidP="00FC3AF2">
            <w:pPr>
              <w:pStyle w:val="Tabletextright"/>
            </w:pPr>
            <w:r w:rsidRPr="0067507D">
              <w:t xml:space="preserve"> 16 </w:t>
            </w:r>
          </w:p>
        </w:tc>
      </w:tr>
      <w:tr w:rsidR="005D2595" w:rsidRPr="0067507D" w14:paraId="1E43431B"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636B42C3" w14:textId="29EA853A" w:rsidR="005D2595" w:rsidRPr="0067507D" w:rsidRDefault="005D2595" w:rsidP="00FC3AF2">
            <w:pPr>
              <w:pStyle w:val="Tabletextbold"/>
              <w:rPr>
                <w:bCs/>
              </w:rPr>
            </w:pPr>
            <w:r w:rsidRPr="0067507D">
              <w:t>Total non</w:t>
            </w:r>
            <w:r w:rsidR="006A5485">
              <w:noBreakHyphen/>
            </w:r>
            <w:r w:rsidRPr="0067507D">
              <w:t>current administered other financial assets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24ED13CD" w14:textId="77777777" w:rsidR="005D2595" w:rsidRPr="0067507D" w:rsidRDefault="005D2595" w:rsidP="00FC3AF2">
            <w:pPr>
              <w:pStyle w:val="Tabletextright"/>
            </w:pPr>
            <w:r w:rsidRPr="0067507D">
              <w:t xml:space="preserve">14 765 625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361D5499" w14:textId="77777777" w:rsidR="005D2595" w:rsidRPr="0067507D" w:rsidRDefault="005D2595" w:rsidP="00FC3AF2">
            <w:pPr>
              <w:pStyle w:val="Tabletextright"/>
            </w:pPr>
            <w:r w:rsidRPr="0067507D">
              <w:t xml:space="preserve">12 561 129 </w:t>
            </w:r>
          </w:p>
        </w:tc>
      </w:tr>
      <w:tr w:rsidR="005D2595" w:rsidRPr="0067507D" w14:paraId="4C5FF3E9"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15722E44" w14:textId="77777777" w:rsidR="005D2595" w:rsidRPr="0067507D" w:rsidRDefault="005D2595" w:rsidP="00FC3AF2">
            <w:pPr>
              <w:pStyle w:val="Tabletextbold"/>
            </w:pPr>
            <w:r w:rsidRPr="0067507D">
              <w:t>Total administered other financial assets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586596CE" w14:textId="77777777" w:rsidR="005D2595" w:rsidRPr="0067507D" w:rsidRDefault="005D2595" w:rsidP="00FC3AF2">
            <w:pPr>
              <w:pStyle w:val="Tabletextrightbold"/>
            </w:pPr>
            <w:r w:rsidRPr="0067507D">
              <w:t xml:space="preserve">14 765 625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4C574E34" w14:textId="77777777" w:rsidR="005D2595" w:rsidRPr="0067507D" w:rsidRDefault="005D2595" w:rsidP="00FC3AF2">
            <w:pPr>
              <w:pStyle w:val="Tabletextrightbold"/>
            </w:pPr>
            <w:r w:rsidRPr="0067507D">
              <w:t xml:space="preserve">12 561 129 </w:t>
            </w:r>
          </w:p>
        </w:tc>
      </w:tr>
    </w:tbl>
    <w:p w14:paraId="181D1560" w14:textId="77777777" w:rsidR="005D2595" w:rsidRPr="0067507D" w:rsidRDefault="005D2595" w:rsidP="005D2595"/>
    <w:p w14:paraId="2EC9D4A6" w14:textId="77777777" w:rsidR="005D2595" w:rsidRPr="0067507D" w:rsidRDefault="005D2595" w:rsidP="005D2595">
      <w:pPr>
        <w:sectPr w:rsidR="005D2595" w:rsidRPr="0067507D" w:rsidSect="005D2595">
          <w:pgSz w:w="11909" w:h="16834" w:code="9"/>
          <w:pgMar w:top="1728" w:right="1152" w:bottom="1152" w:left="1152" w:header="720" w:footer="288" w:gutter="0"/>
          <w:cols w:space="569"/>
          <w:noEndnote/>
        </w:sectPr>
      </w:pPr>
    </w:p>
    <w:p w14:paraId="0FEFB6CE" w14:textId="77777777" w:rsidR="005D2595" w:rsidRPr="0067507D" w:rsidRDefault="005D2595" w:rsidP="005D2595">
      <w:r w:rsidRPr="0067507D">
        <w:t>The Victorian Future Fund, Victorian Social Housing Growth Fund, and Victorian Homebuyer Scheme were established under legislation as noted in note 7.3. The Victorian Future Fund and Victorian Social Housing Growth Fund hold managed investment schemes through the Victorian Funds Management Corporation (VFMC).</w:t>
      </w:r>
    </w:p>
    <w:p w14:paraId="7A44AFC9" w14:textId="63303490" w:rsidR="005D2595" w:rsidRPr="0067507D" w:rsidRDefault="005D2595" w:rsidP="005D2595">
      <w:r w:rsidRPr="0067507D">
        <w:t xml:space="preserve">The Victorian Future Fund (VFF) was announced in the </w:t>
      </w:r>
      <w:r w:rsidRPr="0067507D">
        <w:rPr>
          <w:i/>
          <w:iCs/>
        </w:rPr>
        <w:t>2022</w:t>
      </w:r>
      <w:r w:rsidR="006A5485">
        <w:rPr>
          <w:i/>
          <w:iCs/>
        </w:rPr>
        <w:noBreakHyphen/>
      </w:r>
      <w:r w:rsidRPr="0067507D">
        <w:rPr>
          <w:i/>
          <w:iCs/>
        </w:rPr>
        <w:t>23 Budget</w:t>
      </w:r>
      <w:r w:rsidRPr="0067507D">
        <w:t xml:space="preserve"> as part of the Government’s debt stabilisation strategy. The purpose of the Fund is to help manage the fiscal impact of the COVID</w:t>
      </w:r>
      <w:r w:rsidR="006A5485">
        <w:noBreakHyphen/>
      </w:r>
      <w:r w:rsidRPr="0067507D">
        <w:t>19 pandemic and deliver positive outcomes for Victorians by reducing the debt burden on future generations. The Fund is invested by VFMC in a long</w:t>
      </w:r>
      <w:r w:rsidR="006A5485">
        <w:noBreakHyphen/>
      </w:r>
      <w:r w:rsidRPr="0067507D">
        <w:t>term, growth</w:t>
      </w:r>
      <w:r w:rsidR="006A5485">
        <w:noBreakHyphen/>
      </w:r>
      <w:r w:rsidRPr="0067507D">
        <w:t>oriented, and diversified portfolio. The investment return objective of the Fund is to achieve CPI + 4.0 per cent a year over rolling 10</w:t>
      </w:r>
      <w:r w:rsidR="006A5485">
        <w:noBreakHyphen/>
      </w:r>
      <w:r w:rsidRPr="0067507D">
        <w:t>year periods. The Fund’s actual performance for the 2024</w:t>
      </w:r>
      <w:r w:rsidR="006A5485">
        <w:noBreakHyphen/>
      </w:r>
      <w:r w:rsidRPr="0067507D">
        <w:t>25 financial year is 11.8</w:t>
      </w:r>
      <w:r w:rsidRPr="0067507D">
        <w:rPr>
          <w:rFonts w:ascii="Calibri" w:hAnsi="Calibri" w:cs="Calibri"/>
        </w:rPr>
        <w:t> </w:t>
      </w:r>
      <w:r w:rsidRPr="0067507D">
        <w:t>per cent (net return after fees). Over the long term, the Fund’s investment return is expected to exceed the State’s cost of borrowing, meaning it improves the State’s overall fiscal position more than simply paying down debt would.</w:t>
      </w:r>
    </w:p>
    <w:p w14:paraId="38189FA4" w14:textId="79D9A10D" w:rsidR="005D2595" w:rsidRPr="0067507D" w:rsidRDefault="005D2595" w:rsidP="005D2595">
      <w:r w:rsidRPr="0067507D">
        <w:t>The Social Housing Growth Fund (SHGF) was announced in 2017. It aims to increase the supply of social housing in Victoria by providing a long</w:t>
      </w:r>
      <w:r w:rsidR="006A5485">
        <w:noBreakHyphen/>
      </w:r>
      <w:r w:rsidRPr="0067507D">
        <w:t>term financial commitment to support a pipeline of housing development projects on non</w:t>
      </w:r>
      <w:r w:rsidR="006A5485">
        <w:noBreakHyphen/>
      </w:r>
      <w:r w:rsidRPr="0067507D">
        <w:t>Victorian Government land. It facilitates and encourages the development of social housing by the community housing sector through innovative partnerships between Homes Victoria and consortia including the community housing sector, private, not for profit and local government sectors.</w:t>
      </w:r>
    </w:p>
    <w:p w14:paraId="23B12687" w14:textId="20DE4757" w:rsidR="005D2595" w:rsidRPr="0067507D" w:rsidRDefault="005D2595" w:rsidP="005D2595">
      <w:r w:rsidRPr="0067507D">
        <w:t>The Victorian Homebuyer Scheme is a shared equity scheme, where the Victorian Government makes a financial contribution to the purchase of a home in exchange for an equity share in the property, which participants can buy back over time. After the contribution is made by the State, there is no further obligation of the State to transfer any economic resource to any other party. The State has a right to receive cash from the participa</w:t>
      </w:r>
      <w:r w:rsidR="00EB0D4A" w:rsidRPr="0067507D">
        <w:t>nts</w:t>
      </w:r>
      <w:r w:rsidRPr="0067507D">
        <w:t xml:space="preserve"> upon the sale of the property, at the end of the program or when any early payment events (voluntary or mandatory) occur. This right of the State is an economic resource controlled by the State that has the potential to produce economic benefits. </w:t>
      </w:r>
    </w:p>
    <w:p w14:paraId="5E1FDB9D" w14:textId="77777777" w:rsidR="005D2595" w:rsidRPr="0067507D" w:rsidRDefault="005D2595" w:rsidP="005D2595">
      <w:r w:rsidRPr="0067507D">
        <w:t>The VFMC investments and Victorian Homebuyer Scheme are classified as financial assets at fair value through net result. Financial assets at fair value through net result are initially measured at fair value and any subsequent changes in fair values are recognised in the net result as other economic flows. The VFMC investments are measured based on the unit price of the investments. The Homebuyer Scheme is measured based on the market value of the properties purchased under the Scheme and is revalued annually using the annual municipal valuation data that SRO receives from the Valuer General Victoria (VGV) for land tax assessments (which is the assessed market value of the properties as at 1 January each year), adjusted for any subsequent purchases or other events occurring under the scheme after 1 January each year.</w:t>
      </w:r>
    </w:p>
    <w:p w14:paraId="0738F652" w14:textId="77777777" w:rsidR="005D2595" w:rsidRPr="0067507D" w:rsidRDefault="005D2595" w:rsidP="005D2595"/>
    <w:p w14:paraId="2F4E6AED" w14:textId="77777777" w:rsidR="005D2595" w:rsidRPr="0067507D" w:rsidRDefault="005D2595" w:rsidP="005D2595">
      <w:pPr>
        <w:pStyle w:val="Heading3numbered"/>
        <w:numPr>
          <w:ilvl w:val="0"/>
          <w:numId w:val="0"/>
        </w:numPr>
        <w:ind w:left="576" w:hanging="576"/>
        <w:sectPr w:rsidR="005D2595" w:rsidRPr="0067507D" w:rsidSect="005D2595">
          <w:type w:val="continuous"/>
          <w:pgSz w:w="11909" w:h="16834" w:code="9"/>
          <w:pgMar w:top="1728" w:right="1152" w:bottom="1152" w:left="1152" w:header="720" w:footer="288" w:gutter="0"/>
          <w:cols w:num="2" w:space="569"/>
          <w:noEndnote/>
        </w:sectPr>
      </w:pPr>
    </w:p>
    <w:p w14:paraId="6E68D658" w14:textId="77777777" w:rsidR="005D2595" w:rsidRPr="0067507D" w:rsidRDefault="005D2595" w:rsidP="006273F6">
      <w:pPr>
        <w:pStyle w:val="Heading3numbered"/>
        <w:numPr>
          <w:ilvl w:val="2"/>
          <w:numId w:val="11"/>
        </w:numPr>
      </w:pPr>
      <w:r w:rsidRPr="0067507D">
        <w:lastRenderedPageBreak/>
        <w:t>Administered borrowings</w:t>
      </w:r>
    </w:p>
    <w:tbl>
      <w:tblPr>
        <w:tblStyle w:val="AnnualReportfinancialtable"/>
        <w:tblW w:w="8850" w:type="dxa"/>
        <w:tblLook w:val="00A0" w:firstRow="1" w:lastRow="0" w:firstColumn="1" w:lastColumn="0" w:noHBand="0" w:noVBand="0"/>
      </w:tblPr>
      <w:tblGrid>
        <w:gridCol w:w="6140"/>
        <w:gridCol w:w="1480"/>
        <w:gridCol w:w="1230"/>
      </w:tblGrid>
      <w:tr w:rsidR="001A747F" w:rsidRPr="0067507D" w14:paraId="782DD62F"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46F3DC6A" w14:textId="77777777" w:rsidR="001A747F" w:rsidRPr="0067507D" w:rsidRDefault="001A747F" w:rsidP="001A747F">
            <w:pPr>
              <w:pStyle w:val="Tabletextheadingrightbold"/>
            </w:pP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145B9E76" w14:textId="500BC4CD" w:rsidR="001A747F" w:rsidRPr="0067507D" w:rsidRDefault="001A747F" w:rsidP="001A747F">
            <w:pPr>
              <w:pStyle w:val="Tabletextheadingrightbold"/>
            </w:pPr>
            <w:r w:rsidRPr="0067507D">
              <w:t>2025</w:t>
            </w:r>
            <w:r>
              <w:rPr>
                <w:szCs w:val="16"/>
              </w:rPr>
              <w:br/>
            </w:r>
            <w:r w:rsidRPr="0067507D">
              <w:t>$’000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19DAC114" w14:textId="358148A2" w:rsidR="001A747F" w:rsidRPr="0067507D" w:rsidRDefault="001A747F" w:rsidP="001A747F">
            <w:pPr>
              <w:pStyle w:val="Tabletextheadingrightbold"/>
            </w:pPr>
            <w:r w:rsidRPr="0067507D">
              <w:t>2024</w:t>
            </w:r>
            <w:r>
              <w:rPr>
                <w:szCs w:val="16"/>
              </w:rPr>
              <w:br/>
            </w:r>
            <w:r w:rsidRPr="0067507D">
              <w:t>$’000</w:t>
            </w:r>
          </w:p>
        </w:tc>
      </w:tr>
      <w:tr w:rsidR="005D2595" w:rsidRPr="0067507D" w14:paraId="1465ED88"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07D349DC" w14:textId="77777777" w:rsidR="005D2595" w:rsidRPr="0067507D" w:rsidRDefault="005D2595" w:rsidP="00FC3AF2">
            <w:pPr>
              <w:pStyle w:val="Tabletext"/>
            </w:pPr>
            <w:r w:rsidRPr="0067507D">
              <w:t>Current administered borrowings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4FC53F15" w14:textId="77777777" w:rsidR="005D2595" w:rsidRPr="0067507D" w:rsidRDefault="005D2595" w:rsidP="00FC3AF2">
            <w:pPr>
              <w:pStyle w:val="Tabletextright"/>
            </w:pPr>
            <w:r w:rsidRPr="0067507D">
              <w:t xml:space="preserve">19 387 943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5D11F161" w14:textId="77777777" w:rsidR="005D2595" w:rsidRPr="0067507D" w:rsidRDefault="005D2595" w:rsidP="00FC3AF2">
            <w:pPr>
              <w:pStyle w:val="Tabletextright"/>
            </w:pPr>
            <w:r w:rsidRPr="0067507D">
              <w:t xml:space="preserve">18 925 680 </w:t>
            </w:r>
          </w:p>
        </w:tc>
      </w:tr>
      <w:tr w:rsidR="005D2595" w:rsidRPr="0067507D" w14:paraId="5648C0A1"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25564556" w14:textId="1C74FDCC" w:rsidR="005D2595" w:rsidRPr="0067507D" w:rsidRDefault="005D2595" w:rsidP="00FC3AF2">
            <w:pPr>
              <w:pStyle w:val="Tabletext"/>
            </w:pPr>
            <w:r w:rsidRPr="0067507D">
              <w:t>Non</w:t>
            </w:r>
            <w:r w:rsidR="006A5485">
              <w:noBreakHyphen/>
            </w:r>
            <w:r w:rsidRPr="0067507D">
              <w:t>current administered borrowings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79AEC04B" w14:textId="77777777" w:rsidR="005D2595" w:rsidRPr="0067507D" w:rsidRDefault="005D2595" w:rsidP="00FC3AF2">
            <w:pPr>
              <w:pStyle w:val="Tabletextright"/>
            </w:pPr>
            <w:r w:rsidRPr="0067507D">
              <w:t xml:space="preserve">145 261 282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4013E519" w14:textId="77777777" w:rsidR="005D2595" w:rsidRPr="0067507D" w:rsidRDefault="005D2595" w:rsidP="00FC3AF2">
            <w:pPr>
              <w:pStyle w:val="Tabletextright"/>
            </w:pPr>
            <w:r w:rsidRPr="0067507D">
              <w:t xml:space="preserve">127 660 857 </w:t>
            </w:r>
          </w:p>
        </w:tc>
      </w:tr>
      <w:tr w:rsidR="005D2595" w:rsidRPr="0067507D" w14:paraId="7896CA9C"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4012C471" w14:textId="77777777" w:rsidR="005D2595" w:rsidRPr="0067507D" w:rsidRDefault="005D2595" w:rsidP="00FC3AF2">
            <w:pPr>
              <w:pStyle w:val="Tabletextbold"/>
            </w:pPr>
            <w:r w:rsidRPr="0067507D">
              <w:t>Total administered borrowings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2B0708BB" w14:textId="77777777" w:rsidR="005D2595" w:rsidRPr="0067507D" w:rsidRDefault="005D2595" w:rsidP="00FC3AF2">
            <w:pPr>
              <w:pStyle w:val="Tabletextrightbold"/>
            </w:pPr>
            <w:r w:rsidRPr="0067507D">
              <w:t xml:space="preserve">164 649 225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47E6B411" w14:textId="77777777" w:rsidR="005D2595" w:rsidRPr="0067507D" w:rsidRDefault="005D2595" w:rsidP="00FC3AF2">
            <w:pPr>
              <w:pStyle w:val="Tabletextrightbold"/>
            </w:pPr>
            <w:r w:rsidRPr="0067507D">
              <w:t xml:space="preserve">146 586 537 </w:t>
            </w:r>
          </w:p>
        </w:tc>
      </w:tr>
    </w:tbl>
    <w:p w14:paraId="4BE7CC17" w14:textId="77777777" w:rsidR="005D2595" w:rsidRPr="0067507D" w:rsidRDefault="005D2595" w:rsidP="005D2595"/>
    <w:p w14:paraId="168D6D4B" w14:textId="77777777" w:rsidR="005D2595" w:rsidRPr="0067507D" w:rsidRDefault="005D2595" w:rsidP="005D2595">
      <w:pPr>
        <w:sectPr w:rsidR="005D2595" w:rsidRPr="0067507D" w:rsidSect="005D2595">
          <w:pgSz w:w="11909" w:h="16834" w:code="9"/>
          <w:pgMar w:top="1728" w:right="1152" w:bottom="1152" w:left="1152" w:header="720" w:footer="288" w:gutter="0"/>
          <w:cols w:space="569"/>
          <w:noEndnote/>
        </w:sectPr>
      </w:pPr>
    </w:p>
    <w:p w14:paraId="4AA68F0B" w14:textId="77777777" w:rsidR="005D2595" w:rsidRPr="0067507D" w:rsidRDefault="005D2595" w:rsidP="005D2595">
      <w:r w:rsidRPr="0067507D">
        <w:rPr>
          <w:rFonts w:asciiTheme="majorHAnsi" w:hAnsiTheme="majorHAnsi"/>
        </w:rPr>
        <w:t xml:space="preserve">Administered borrowings </w:t>
      </w:r>
      <w:r w:rsidRPr="0067507D">
        <w:t>are interest bearing liabilities and are predominantly raised through the Treasury Corporation of Victoria (TCV).</w:t>
      </w:r>
    </w:p>
    <w:p w14:paraId="72CA66B2" w14:textId="77777777" w:rsidR="005D2595" w:rsidRPr="0067507D" w:rsidRDefault="005D2595" w:rsidP="005D2595">
      <w:r w:rsidRPr="0067507D">
        <w:t>Borrowings are initially measured at fair value, being the cost of the borrowings net of transaction costs, and are subsequently measured at amortised cost. Any difference between the initial recognised amount and the redemption value is recognised in the net result over the period of the borrowings using the effective interest rate method.</w:t>
      </w:r>
    </w:p>
    <w:p w14:paraId="59D2A25D" w14:textId="63073C45" w:rsidR="005D2595" w:rsidRPr="0067507D" w:rsidRDefault="005D2595" w:rsidP="005D2595">
      <w:r w:rsidRPr="0067507D">
        <w:t>The borrowings are primarily composed of fixed rate facilities that have an even maturity profile. This ensures that a relatively small proportion of the borrowings are subject to re</w:t>
      </w:r>
      <w:r w:rsidR="006A5485">
        <w:noBreakHyphen/>
      </w:r>
      <w:r w:rsidRPr="0067507D">
        <w:t>pricing in any one period, with the effect that the interest costs are not subject to large fluctuations as a result of movements in market interest rates.</w:t>
      </w:r>
    </w:p>
    <w:p w14:paraId="00ABB29D" w14:textId="77777777" w:rsidR="005D2595" w:rsidRPr="0067507D" w:rsidRDefault="005D2595" w:rsidP="005D2595">
      <w:r w:rsidRPr="0067507D">
        <w:t>The borrowings are managed based on the key objectives of achieving relative certainty of interest cost over the budgeting period while minimising net borrowing costs, and conservatively managing the financial and operational risks of the budget sector treasury operations.</w:t>
      </w:r>
    </w:p>
    <w:p w14:paraId="55EFE8EE" w14:textId="77777777" w:rsidR="005D2595" w:rsidRPr="0067507D" w:rsidRDefault="005D2595" w:rsidP="005D2595">
      <w:r w:rsidRPr="0067507D">
        <w:t>As part of managing the whole of state borrowings portfolio, the Department has entered into forward settling loans through TCV to refinance borrowings reaching maturity and provide additional funds over the next twelve months. The Department will recognise these loans as borrowings on their settlement date.</w:t>
      </w:r>
    </w:p>
    <w:p w14:paraId="6FC7DFA1" w14:textId="77777777" w:rsidR="005D2595" w:rsidRPr="0067507D" w:rsidRDefault="005D2595" w:rsidP="005D2595"/>
    <w:p w14:paraId="61DB21BE" w14:textId="77777777" w:rsidR="005D2595" w:rsidRPr="0067507D" w:rsidRDefault="005D2595" w:rsidP="005D2595">
      <w:pPr>
        <w:pStyle w:val="Heading4"/>
        <w:keepNext w:val="0"/>
        <w:sectPr w:rsidR="005D2595" w:rsidRPr="0067507D" w:rsidSect="005D2595">
          <w:type w:val="continuous"/>
          <w:pgSz w:w="11909" w:h="16834" w:code="9"/>
          <w:pgMar w:top="1728" w:right="1152" w:bottom="1152" w:left="1152" w:header="720" w:footer="288" w:gutter="0"/>
          <w:cols w:num="2" w:space="569"/>
          <w:noEndnote/>
        </w:sectPr>
      </w:pPr>
    </w:p>
    <w:p w14:paraId="2EAA5269" w14:textId="77777777" w:rsidR="005D2595" w:rsidRPr="0067507D" w:rsidRDefault="005D2595" w:rsidP="005D2595">
      <w:pPr>
        <w:pStyle w:val="Heading4"/>
        <w:keepNext w:val="0"/>
        <w:spacing w:before="360"/>
      </w:pPr>
      <w:r w:rsidRPr="0067507D">
        <w:t>Maturity analysis of borrowings</w:t>
      </w:r>
    </w:p>
    <w:tbl>
      <w:tblPr>
        <w:tblStyle w:val="AnnualReportfinancialtable"/>
        <w:tblW w:w="8850" w:type="dxa"/>
        <w:tblLook w:val="00A0" w:firstRow="1" w:lastRow="0" w:firstColumn="1" w:lastColumn="0" w:noHBand="0" w:noVBand="0"/>
      </w:tblPr>
      <w:tblGrid>
        <w:gridCol w:w="6140"/>
        <w:gridCol w:w="1480"/>
        <w:gridCol w:w="1230"/>
      </w:tblGrid>
      <w:tr w:rsidR="001A747F" w:rsidRPr="0067507D" w14:paraId="42FE07AB"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57285E8F" w14:textId="77777777" w:rsidR="001A747F" w:rsidRPr="0067507D" w:rsidRDefault="001A747F" w:rsidP="001A747F">
            <w:pPr>
              <w:pStyle w:val="Tabletextheadingrightbold"/>
            </w:pP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42C07AAD" w14:textId="0EF2F30A" w:rsidR="001A747F" w:rsidRPr="0067507D" w:rsidRDefault="001A747F" w:rsidP="001A747F">
            <w:pPr>
              <w:pStyle w:val="Tabletextheadingrightbold"/>
            </w:pPr>
            <w:r w:rsidRPr="0067507D">
              <w:t>2025</w:t>
            </w:r>
            <w:r>
              <w:rPr>
                <w:szCs w:val="16"/>
              </w:rPr>
              <w:br/>
            </w:r>
            <w:r w:rsidRPr="0067507D">
              <w:t>$’000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6D2F19CF" w14:textId="7218B429" w:rsidR="001A747F" w:rsidRPr="0067507D" w:rsidRDefault="001A747F" w:rsidP="001A747F">
            <w:pPr>
              <w:pStyle w:val="Tabletextheadingrightbold"/>
            </w:pPr>
            <w:r w:rsidRPr="0067507D">
              <w:t>2024</w:t>
            </w:r>
            <w:r>
              <w:rPr>
                <w:szCs w:val="16"/>
              </w:rPr>
              <w:br/>
            </w:r>
            <w:r w:rsidRPr="0067507D">
              <w:t>$’000</w:t>
            </w:r>
          </w:p>
        </w:tc>
      </w:tr>
      <w:tr w:rsidR="005D2595" w:rsidRPr="0067507D" w14:paraId="23DF2B13"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69C38B44" w14:textId="77777777" w:rsidR="005D2595" w:rsidRPr="0067507D" w:rsidRDefault="005D2595" w:rsidP="00FC3AF2">
            <w:pPr>
              <w:pStyle w:val="Tabletext"/>
            </w:pPr>
            <w:r w:rsidRPr="0067507D">
              <w:t>Carrying amount</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0DC2A857" w14:textId="77777777" w:rsidR="005D2595" w:rsidRPr="0067507D" w:rsidRDefault="005D2595" w:rsidP="00FC3AF2">
            <w:pPr>
              <w:pStyle w:val="Tabletextright"/>
            </w:pPr>
            <w:r w:rsidRPr="0067507D">
              <w:t xml:space="preserve">164 649 225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7FC0D603" w14:textId="77777777" w:rsidR="005D2595" w:rsidRPr="0067507D" w:rsidRDefault="005D2595" w:rsidP="00FC3AF2">
            <w:pPr>
              <w:pStyle w:val="Tabletextright"/>
            </w:pPr>
            <w:r w:rsidRPr="0067507D">
              <w:t xml:space="preserve">146 586 537 </w:t>
            </w:r>
          </w:p>
        </w:tc>
      </w:tr>
      <w:tr w:rsidR="005D2595" w:rsidRPr="0067507D" w14:paraId="671AE64D"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438446A7" w14:textId="77777777" w:rsidR="005D2595" w:rsidRPr="0067507D" w:rsidRDefault="005D2595" w:rsidP="00FC3AF2">
            <w:pPr>
              <w:pStyle w:val="Tabletext"/>
            </w:pPr>
            <w:r w:rsidRPr="0067507D">
              <w:t xml:space="preserve">Nominal amount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44974AD6" w14:textId="77777777" w:rsidR="005D2595" w:rsidRPr="0067507D" w:rsidRDefault="005D2595" w:rsidP="00FC3AF2">
            <w:pPr>
              <w:pStyle w:val="Tabletextright"/>
            </w:pPr>
            <w:r w:rsidRPr="0067507D">
              <w:t xml:space="preserve">164 649 225 </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7B1EC93B" w14:textId="77777777" w:rsidR="005D2595" w:rsidRPr="0067507D" w:rsidRDefault="005D2595" w:rsidP="00FC3AF2">
            <w:pPr>
              <w:pStyle w:val="Tabletextright"/>
            </w:pPr>
            <w:r w:rsidRPr="0067507D">
              <w:t xml:space="preserve">146 586 537 </w:t>
            </w:r>
          </w:p>
        </w:tc>
      </w:tr>
      <w:tr w:rsidR="005D2595" w:rsidRPr="0067507D" w14:paraId="20F48B73" w14:textId="77777777" w:rsidTr="00FC3AF2">
        <w:tc>
          <w:tcPr>
            <w:cnfStyle w:val="001000000000" w:firstRow="0" w:lastRow="0" w:firstColumn="1" w:lastColumn="0" w:oddVBand="0" w:evenVBand="0" w:oddHBand="0" w:evenHBand="0" w:firstRowFirstColumn="0" w:firstRowLastColumn="0" w:lastRowFirstColumn="0" w:lastRowLastColumn="0"/>
            <w:tcW w:w="6140" w:type="dxa"/>
            <w:noWrap/>
          </w:tcPr>
          <w:p w14:paraId="0E01FA35" w14:textId="77777777" w:rsidR="005D2595" w:rsidRPr="0067507D" w:rsidRDefault="005D2595" w:rsidP="00FC3AF2">
            <w:pPr>
              <w:pStyle w:val="Tabletext"/>
              <w:rPr>
                <w:sz w:val="4"/>
                <w:szCs w:val="4"/>
              </w:rPr>
            </w:pPr>
          </w:p>
        </w:tc>
        <w:tc>
          <w:tcPr>
            <w:cnfStyle w:val="000010000000" w:firstRow="0" w:lastRow="0" w:firstColumn="0" w:lastColumn="0" w:oddVBand="1" w:evenVBand="0" w:oddHBand="0" w:evenHBand="0" w:firstRowFirstColumn="0" w:firstRowLastColumn="0" w:lastRowFirstColumn="0" w:lastRowLastColumn="0"/>
            <w:tcW w:w="1480" w:type="dxa"/>
            <w:noWrap/>
          </w:tcPr>
          <w:p w14:paraId="7CE87BBF" w14:textId="77777777" w:rsidR="005D2595" w:rsidRPr="0067507D" w:rsidRDefault="005D2595" w:rsidP="00FC3AF2">
            <w:pPr>
              <w:pStyle w:val="Tabletextright"/>
              <w:rPr>
                <w:sz w:val="4"/>
                <w:szCs w:val="4"/>
              </w:rPr>
            </w:pPr>
          </w:p>
        </w:tc>
        <w:tc>
          <w:tcPr>
            <w:cnfStyle w:val="000001000000" w:firstRow="0" w:lastRow="0" w:firstColumn="0" w:lastColumn="0" w:oddVBand="0" w:evenVBand="1" w:oddHBand="0" w:evenHBand="0" w:firstRowFirstColumn="0" w:firstRowLastColumn="0" w:lastRowFirstColumn="0" w:lastRowLastColumn="0"/>
            <w:tcW w:w="1230" w:type="dxa"/>
            <w:noWrap/>
          </w:tcPr>
          <w:p w14:paraId="7DE04CF0" w14:textId="77777777" w:rsidR="005D2595" w:rsidRPr="0067507D" w:rsidRDefault="005D2595" w:rsidP="00FC3AF2">
            <w:pPr>
              <w:pStyle w:val="Tabletextright"/>
              <w:rPr>
                <w:sz w:val="4"/>
                <w:szCs w:val="4"/>
              </w:rPr>
            </w:pPr>
          </w:p>
        </w:tc>
      </w:tr>
      <w:tr w:rsidR="005D2595" w:rsidRPr="0067507D" w14:paraId="3281026E"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609682C8" w14:textId="77777777" w:rsidR="005D2595" w:rsidRPr="0067507D" w:rsidRDefault="005D2595" w:rsidP="00FC3AF2">
            <w:pPr>
              <w:pStyle w:val="Tabletextbold"/>
            </w:pPr>
            <w:r w:rsidRPr="0067507D">
              <w:t>Maturity dates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092421DA" w14:textId="77777777" w:rsidR="005D2595" w:rsidRPr="0067507D" w:rsidRDefault="005D2595" w:rsidP="00FC3AF2">
            <w:pPr>
              <w:pStyle w:val="Tabletextrightbold"/>
            </w:pP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4A3370F3" w14:textId="77777777" w:rsidR="005D2595" w:rsidRPr="0067507D" w:rsidRDefault="005D2595" w:rsidP="00FC3AF2">
            <w:pPr>
              <w:pStyle w:val="Tabletextrightbold"/>
            </w:pPr>
          </w:p>
        </w:tc>
      </w:tr>
      <w:tr w:rsidR="005D2595" w:rsidRPr="0067507D" w14:paraId="12945CAC"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tcPr>
          <w:p w14:paraId="1A46FBDF" w14:textId="77777777" w:rsidR="005D2595" w:rsidRPr="0067507D" w:rsidRDefault="005D2595" w:rsidP="00FC3AF2">
            <w:pPr>
              <w:pStyle w:val="Tabletext"/>
            </w:pPr>
            <w:r w:rsidRPr="0067507D">
              <w:t>0</w:t>
            </w:r>
            <w:r w:rsidRPr="0067507D">
              <w:rPr>
                <w:rFonts w:ascii="Cambria Math" w:hAnsi="Cambria Math" w:cs="Cambria Math"/>
              </w:rPr>
              <w:t>‑</w:t>
            </w:r>
            <w:r w:rsidRPr="0067507D">
              <w:t>3 months</w:t>
            </w:r>
          </w:p>
        </w:tc>
        <w:tc>
          <w:tcPr>
            <w:cnfStyle w:val="000010000000" w:firstRow="0" w:lastRow="0" w:firstColumn="0" w:lastColumn="0" w:oddVBand="1" w:evenVBand="0" w:oddHBand="0" w:evenHBand="0" w:firstRowFirstColumn="0" w:firstRowLastColumn="0" w:lastRowFirstColumn="0" w:lastRowLastColumn="0"/>
            <w:tcW w:w="1480" w:type="dxa"/>
            <w:noWrap/>
          </w:tcPr>
          <w:p w14:paraId="30395F8C" w14:textId="77777777" w:rsidR="005D2595" w:rsidRPr="0067507D" w:rsidRDefault="005D2595" w:rsidP="00FC3AF2">
            <w:pPr>
              <w:pStyle w:val="Tabletextright"/>
            </w:pPr>
            <w:r w:rsidRPr="0067507D">
              <w:t xml:space="preserve">15 349 057 </w:t>
            </w:r>
          </w:p>
        </w:tc>
        <w:tc>
          <w:tcPr>
            <w:cnfStyle w:val="000001000000" w:firstRow="0" w:lastRow="0" w:firstColumn="0" w:lastColumn="0" w:oddVBand="0" w:evenVBand="1" w:oddHBand="0" w:evenHBand="0" w:firstRowFirstColumn="0" w:firstRowLastColumn="0" w:lastRowFirstColumn="0" w:lastRowLastColumn="0"/>
            <w:tcW w:w="1230" w:type="dxa"/>
            <w:noWrap/>
          </w:tcPr>
          <w:p w14:paraId="241346EB" w14:textId="77777777" w:rsidR="005D2595" w:rsidRPr="0067507D" w:rsidRDefault="005D2595" w:rsidP="00FC3AF2">
            <w:pPr>
              <w:pStyle w:val="Tabletextright"/>
            </w:pPr>
            <w:r w:rsidRPr="0067507D">
              <w:t xml:space="preserve">13 217 934 </w:t>
            </w:r>
          </w:p>
        </w:tc>
      </w:tr>
      <w:tr w:rsidR="005D2595" w:rsidRPr="0067507D" w14:paraId="2CDB0EC1"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tcPr>
          <w:p w14:paraId="60B3E7E8" w14:textId="77777777" w:rsidR="005D2595" w:rsidRPr="0067507D" w:rsidRDefault="005D2595" w:rsidP="00FC3AF2">
            <w:pPr>
              <w:pStyle w:val="Tabletext"/>
            </w:pPr>
            <w:r w:rsidRPr="0067507D">
              <w:t>3 months–1 year</w:t>
            </w:r>
          </w:p>
        </w:tc>
        <w:tc>
          <w:tcPr>
            <w:cnfStyle w:val="000010000000" w:firstRow="0" w:lastRow="0" w:firstColumn="0" w:lastColumn="0" w:oddVBand="1" w:evenVBand="0" w:oddHBand="0" w:evenHBand="0" w:firstRowFirstColumn="0" w:firstRowLastColumn="0" w:lastRowFirstColumn="0" w:lastRowLastColumn="0"/>
            <w:tcW w:w="1480" w:type="dxa"/>
            <w:noWrap/>
          </w:tcPr>
          <w:p w14:paraId="70D49CAD" w14:textId="77777777" w:rsidR="005D2595" w:rsidRPr="0067507D" w:rsidRDefault="005D2595" w:rsidP="00FC3AF2">
            <w:pPr>
              <w:pStyle w:val="Tabletextright"/>
            </w:pPr>
            <w:r w:rsidRPr="0067507D">
              <w:t xml:space="preserve">4 038 886 </w:t>
            </w:r>
          </w:p>
        </w:tc>
        <w:tc>
          <w:tcPr>
            <w:cnfStyle w:val="000001000000" w:firstRow="0" w:lastRow="0" w:firstColumn="0" w:lastColumn="0" w:oddVBand="0" w:evenVBand="1" w:oddHBand="0" w:evenHBand="0" w:firstRowFirstColumn="0" w:firstRowLastColumn="0" w:lastRowFirstColumn="0" w:lastRowLastColumn="0"/>
            <w:tcW w:w="1230" w:type="dxa"/>
            <w:noWrap/>
          </w:tcPr>
          <w:p w14:paraId="278B7A2E" w14:textId="77777777" w:rsidR="005D2595" w:rsidRPr="0067507D" w:rsidRDefault="005D2595" w:rsidP="00FC3AF2">
            <w:pPr>
              <w:pStyle w:val="Tabletextright"/>
            </w:pPr>
            <w:r w:rsidRPr="0067507D">
              <w:t xml:space="preserve">5 815 521 </w:t>
            </w:r>
          </w:p>
        </w:tc>
      </w:tr>
      <w:tr w:rsidR="005D2595" w:rsidRPr="0067507D" w14:paraId="53E43BD3"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tcPr>
          <w:p w14:paraId="6AD1C5FF" w14:textId="77777777" w:rsidR="005D2595" w:rsidRPr="0067507D" w:rsidRDefault="005D2595" w:rsidP="00FC3AF2">
            <w:pPr>
              <w:pStyle w:val="Tabletext"/>
            </w:pPr>
            <w:r w:rsidRPr="0067507D">
              <w:t>1–2 years</w:t>
            </w:r>
          </w:p>
        </w:tc>
        <w:tc>
          <w:tcPr>
            <w:cnfStyle w:val="000010000000" w:firstRow="0" w:lastRow="0" w:firstColumn="0" w:lastColumn="0" w:oddVBand="1" w:evenVBand="0" w:oddHBand="0" w:evenHBand="0" w:firstRowFirstColumn="0" w:firstRowLastColumn="0" w:lastRowFirstColumn="0" w:lastRowLastColumn="0"/>
            <w:tcW w:w="1480" w:type="dxa"/>
            <w:noWrap/>
          </w:tcPr>
          <w:p w14:paraId="0CA5B735" w14:textId="77777777" w:rsidR="005D2595" w:rsidRPr="0067507D" w:rsidRDefault="005D2595" w:rsidP="00FC3AF2">
            <w:pPr>
              <w:pStyle w:val="Tabletextright"/>
            </w:pPr>
            <w:r w:rsidRPr="0067507D">
              <w:t xml:space="preserve">10 921 517 </w:t>
            </w:r>
          </w:p>
        </w:tc>
        <w:tc>
          <w:tcPr>
            <w:cnfStyle w:val="000001000000" w:firstRow="0" w:lastRow="0" w:firstColumn="0" w:lastColumn="0" w:oddVBand="0" w:evenVBand="1" w:oddHBand="0" w:evenHBand="0" w:firstRowFirstColumn="0" w:firstRowLastColumn="0" w:lastRowFirstColumn="0" w:lastRowLastColumn="0"/>
            <w:tcW w:w="1230" w:type="dxa"/>
            <w:noWrap/>
          </w:tcPr>
          <w:p w14:paraId="4C723190" w14:textId="77777777" w:rsidR="005D2595" w:rsidRPr="0067507D" w:rsidRDefault="005D2595" w:rsidP="00FC3AF2">
            <w:pPr>
              <w:pStyle w:val="Tabletextright"/>
            </w:pPr>
            <w:r w:rsidRPr="0067507D">
              <w:t xml:space="preserve">8 237 910 </w:t>
            </w:r>
          </w:p>
        </w:tc>
      </w:tr>
      <w:tr w:rsidR="005D2595" w:rsidRPr="0067507D" w14:paraId="4D829CAD"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tcPr>
          <w:p w14:paraId="75D7F7AC" w14:textId="77777777" w:rsidR="005D2595" w:rsidRPr="0067507D" w:rsidRDefault="005D2595" w:rsidP="00FC3AF2">
            <w:pPr>
              <w:pStyle w:val="Tabletext"/>
            </w:pPr>
            <w:r w:rsidRPr="0067507D">
              <w:t>2–5 years</w:t>
            </w:r>
          </w:p>
        </w:tc>
        <w:tc>
          <w:tcPr>
            <w:cnfStyle w:val="000010000000" w:firstRow="0" w:lastRow="0" w:firstColumn="0" w:lastColumn="0" w:oddVBand="1" w:evenVBand="0" w:oddHBand="0" w:evenHBand="0" w:firstRowFirstColumn="0" w:firstRowLastColumn="0" w:lastRowFirstColumn="0" w:lastRowLastColumn="0"/>
            <w:tcW w:w="1480" w:type="dxa"/>
            <w:noWrap/>
          </w:tcPr>
          <w:p w14:paraId="79458282" w14:textId="77777777" w:rsidR="005D2595" w:rsidRPr="0067507D" w:rsidRDefault="005D2595" w:rsidP="00FC3AF2">
            <w:pPr>
              <w:pStyle w:val="Tabletextright"/>
            </w:pPr>
            <w:r w:rsidRPr="0067507D">
              <w:t xml:space="preserve">38 761 255 </w:t>
            </w:r>
          </w:p>
        </w:tc>
        <w:tc>
          <w:tcPr>
            <w:cnfStyle w:val="000001000000" w:firstRow="0" w:lastRow="0" w:firstColumn="0" w:lastColumn="0" w:oddVBand="0" w:evenVBand="1" w:oddHBand="0" w:evenHBand="0" w:firstRowFirstColumn="0" w:firstRowLastColumn="0" w:lastRowFirstColumn="0" w:lastRowLastColumn="0"/>
            <w:tcW w:w="1230" w:type="dxa"/>
            <w:noWrap/>
          </w:tcPr>
          <w:p w14:paraId="7AACAD55" w14:textId="77777777" w:rsidR="005D2595" w:rsidRPr="0067507D" w:rsidRDefault="005D2595" w:rsidP="00FC3AF2">
            <w:pPr>
              <w:pStyle w:val="Tabletextright"/>
            </w:pPr>
            <w:r w:rsidRPr="0067507D">
              <w:t xml:space="preserve">34 326 354 </w:t>
            </w:r>
          </w:p>
        </w:tc>
      </w:tr>
      <w:tr w:rsidR="005D2595" w:rsidRPr="0067507D" w14:paraId="0209A185"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tcPr>
          <w:p w14:paraId="26C169FF" w14:textId="77777777" w:rsidR="005D2595" w:rsidRPr="0067507D" w:rsidRDefault="005D2595" w:rsidP="00FC3AF2">
            <w:pPr>
              <w:pStyle w:val="Tabletext"/>
            </w:pPr>
            <w:r w:rsidRPr="0067507D">
              <w:t>5+ years</w:t>
            </w:r>
          </w:p>
        </w:tc>
        <w:tc>
          <w:tcPr>
            <w:cnfStyle w:val="000010000000" w:firstRow="0" w:lastRow="0" w:firstColumn="0" w:lastColumn="0" w:oddVBand="1" w:evenVBand="0" w:oddHBand="0" w:evenHBand="0" w:firstRowFirstColumn="0" w:firstRowLastColumn="0" w:lastRowFirstColumn="0" w:lastRowLastColumn="0"/>
            <w:tcW w:w="1480" w:type="dxa"/>
            <w:noWrap/>
          </w:tcPr>
          <w:p w14:paraId="650C2A9C" w14:textId="77777777" w:rsidR="005D2595" w:rsidRPr="0067507D" w:rsidRDefault="005D2595" w:rsidP="00FC3AF2">
            <w:pPr>
              <w:pStyle w:val="Tabletextright"/>
            </w:pPr>
            <w:r w:rsidRPr="0067507D">
              <w:t xml:space="preserve">95 578 511 </w:t>
            </w:r>
          </w:p>
        </w:tc>
        <w:tc>
          <w:tcPr>
            <w:cnfStyle w:val="000001000000" w:firstRow="0" w:lastRow="0" w:firstColumn="0" w:lastColumn="0" w:oddVBand="0" w:evenVBand="1" w:oddHBand="0" w:evenHBand="0" w:firstRowFirstColumn="0" w:firstRowLastColumn="0" w:lastRowFirstColumn="0" w:lastRowLastColumn="0"/>
            <w:tcW w:w="1230" w:type="dxa"/>
            <w:noWrap/>
          </w:tcPr>
          <w:p w14:paraId="1ECB8DBF" w14:textId="77777777" w:rsidR="005D2595" w:rsidRPr="0067507D" w:rsidRDefault="005D2595" w:rsidP="00FC3AF2">
            <w:pPr>
              <w:pStyle w:val="Tabletextright"/>
            </w:pPr>
            <w:r w:rsidRPr="0067507D">
              <w:t xml:space="preserve">84 988 818 </w:t>
            </w:r>
          </w:p>
        </w:tc>
      </w:tr>
    </w:tbl>
    <w:p w14:paraId="46862995" w14:textId="77777777" w:rsidR="005D2595" w:rsidRPr="0067507D" w:rsidRDefault="005D2595" w:rsidP="005D2595">
      <w:pPr>
        <w:pStyle w:val="Notes"/>
      </w:pPr>
      <w:r w:rsidRPr="0067507D">
        <w:t>Note:</w:t>
      </w:r>
    </w:p>
    <w:p w14:paraId="23F610CD" w14:textId="77777777" w:rsidR="005D2595" w:rsidRPr="0067507D" w:rsidRDefault="005D2595" w:rsidP="005D2595">
      <w:pPr>
        <w:pStyle w:val="Notes"/>
      </w:pPr>
      <w:r w:rsidRPr="0067507D">
        <w:t>(a) Represents undiscounted nominal amount.</w:t>
      </w:r>
    </w:p>
    <w:p w14:paraId="31EF4085" w14:textId="77777777" w:rsidR="005D2595" w:rsidRPr="0067507D" w:rsidRDefault="005D2595" w:rsidP="0054339E">
      <w:pPr>
        <w:pStyle w:val="Heading3numbered"/>
      </w:pPr>
      <w:r w:rsidRPr="0067507D">
        <w:br w:type="page"/>
      </w:r>
      <w:r w:rsidRPr="0067507D">
        <w:lastRenderedPageBreak/>
        <w:t>Administered superannuation liability</w:t>
      </w:r>
    </w:p>
    <w:p w14:paraId="428B030F"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p w14:paraId="6A0140FF" w14:textId="77777777" w:rsidR="005D2595" w:rsidRPr="0067507D" w:rsidRDefault="005D2595" w:rsidP="005D2595">
      <w:r w:rsidRPr="0067507D">
        <w:t>The administered superannuation liability represents the State's share of the net superannuation liability that is reported in the general government sector in respect of public sector defined benefit superannuation plans.</w:t>
      </w:r>
    </w:p>
    <w:p w14:paraId="4D275BB7" w14:textId="77777777" w:rsidR="005D2595" w:rsidRPr="0067507D" w:rsidRDefault="005D2595" w:rsidP="005D2595">
      <w:r w:rsidRPr="0067507D">
        <w:t xml:space="preserve">The administered superannuation liability is measured, in accordance with AASB 119 </w:t>
      </w:r>
      <w:r w:rsidRPr="0067507D">
        <w:rPr>
          <w:i/>
          <w:iCs/>
        </w:rPr>
        <w:t>Employee benefits</w:t>
      </w:r>
      <w:r w:rsidRPr="0067507D">
        <w:t xml:space="preserve"> and actuarial valuations carried out at each reporting date, as the present value of the defined benefit obligation, adjusted for unrecognised past service costs, and net of the fair value of plan assets.</w:t>
      </w:r>
    </w:p>
    <w:p w14:paraId="79F65697" w14:textId="42AA1FF1" w:rsidR="005D2595" w:rsidRPr="0067507D" w:rsidRDefault="005D2595" w:rsidP="005D2595">
      <w:r w:rsidRPr="0067507D">
        <w:t>The defined benefit obligation is measured as the net present value of estimated future benefit payments to members arising from their membership of the superannuation plans up to the end of the reporting period. Past service cost is recognised immediately to the extent that the benefits are already vested, and otherwise is amortised on a straight</w:t>
      </w:r>
      <w:r w:rsidR="006A5485">
        <w:noBreakHyphen/>
      </w:r>
      <w:r w:rsidRPr="0067507D">
        <w:t>line basis over the average period until the benefits become vested. Remeasurements of the liability are recognised as administered income and expenses in the period in which they occur.</w:t>
      </w:r>
    </w:p>
    <w:p w14:paraId="7A64DA42" w14:textId="77777777" w:rsidR="005D2595" w:rsidRPr="0067507D" w:rsidRDefault="005D2595" w:rsidP="005D2595">
      <w:r w:rsidRPr="0067507D">
        <w:t>AASB 119 requires the defined benefit obligation to include the present value of contributions tax payable on contributions that are expected to be required to fund any past service deficit. For this purpose, the deficit is assessed using the plans' funding valuation assumptions which allow for the long term expected return on plan assets. The present value of contributions tax is then determined by discounting any future contributions tax payments at the discount rate required under AASB119.</w:t>
      </w:r>
    </w:p>
    <w:p w14:paraId="0A161C7A" w14:textId="77777777" w:rsidR="005D2595" w:rsidRPr="0067507D" w:rsidRDefault="005D2595" w:rsidP="005D2595">
      <w:r w:rsidRPr="0067507D">
        <w:t>The Department manages the State's superannuation liability by:</w:t>
      </w:r>
    </w:p>
    <w:p w14:paraId="0D4F2999" w14:textId="77777777" w:rsidR="005D2595" w:rsidRPr="0067507D" w:rsidRDefault="005D2595" w:rsidP="006273F6">
      <w:pPr>
        <w:pStyle w:val="Bullet"/>
        <w:numPr>
          <w:ilvl w:val="0"/>
          <w:numId w:val="22"/>
        </w:numPr>
      </w:pPr>
      <w:r w:rsidRPr="0067507D">
        <w:t>conducting regular actuarial valuations of the State's public sector superannuation plans</w:t>
      </w:r>
    </w:p>
    <w:p w14:paraId="30FB8BAE" w14:textId="77777777" w:rsidR="005D2595" w:rsidRPr="0067507D" w:rsidRDefault="005D2595" w:rsidP="006273F6">
      <w:pPr>
        <w:pStyle w:val="Bullet"/>
        <w:numPr>
          <w:ilvl w:val="0"/>
          <w:numId w:val="22"/>
        </w:numPr>
      </w:pPr>
      <w:r w:rsidRPr="0067507D">
        <w:t>monitoring the performance of the associated superannuation assets, the majority of which are required to be invested through the Victorian Funds Management Corporation (VFMC)</w:t>
      </w:r>
    </w:p>
    <w:p w14:paraId="3D2A556C" w14:textId="77777777" w:rsidR="005D2595" w:rsidRPr="0067507D" w:rsidRDefault="005D2595" w:rsidP="006273F6">
      <w:pPr>
        <w:pStyle w:val="Bullet"/>
        <w:numPr>
          <w:ilvl w:val="0"/>
          <w:numId w:val="22"/>
        </w:numPr>
      </w:pPr>
      <w:r w:rsidRPr="0067507D">
        <w:t>prudentially supervising the State's public sector superannuation plans and VFMC</w:t>
      </w:r>
    </w:p>
    <w:p w14:paraId="1C1BE774" w14:textId="77777777" w:rsidR="005D2595" w:rsidRPr="0067507D" w:rsidRDefault="005D2595" w:rsidP="006273F6">
      <w:pPr>
        <w:pStyle w:val="Bullet"/>
        <w:numPr>
          <w:ilvl w:val="0"/>
          <w:numId w:val="22"/>
        </w:numPr>
      </w:pPr>
      <w:r w:rsidRPr="0067507D">
        <w:t>providing advice to government on a wide range of superannuation issues.</w:t>
      </w:r>
    </w:p>
    <w:p w14:paraId="758B1119" w14:textId="77777777" w:rsidR="005D2595" w:rsidRPr="0067507D" w:rsidRDefault="005D2595" w:rsidP="005D2595">
      <w:r w:rsidRPr="0067507D">
        <w:t>In addition, the State also recognises a liability for accrued benefits arising from constitutionally protected pension entitlements principally in respect of judges and other judicial office holders. No assets are held in respect of these liabilities and pensions are paid from the Consolidated Fund.</w:t>
      </w:r>
    </w:p>
    <w:p w14:paraId="731BE29E" w14:textId="77777777" w:rsidR="005D2595" w:rsidRPr="0067507D" w:rsidRDefault="005D2595" w:rsidP="005D2595"/>
    <w:p w14:paraId="0FD1AF07" w14:textId="77777777" w:rsidR="005D2595" w:rsidRPr="0067507D" w:rsidRDefault="005D2595" w:rsidP="006273F6">
      <w:pPr>
        <w:pStyle w:val="Heading3numbered"/>
        <w:ind w:left="576" w:hanging="576"/>
        <w:sectPr w:rsidR="005D2595" w:rsidRPr="0067507D" w:rsidSect="005D2595">
          <w:type w:val="continuous"/>
          <w:pgSz w:w="11909" w:h="16834" w:code="9"/>
          <w:pgMar w:top="1728" w:right="1152" w:bottom="1152" w:left="1152" w:header="720" w:footer="288" w:gutter="0"/>
          <w:cols w:num="2" w:space="569"/>
          <w:noEndnote/>
        </w:sectPr>
      </w:pPr>
    </w:p>
    <w:p w14:paraId="7A345B1C" w14:textId="77777777" w:rsidR="005D2595" w:rsidRPr="0067507D" w:rsidRDefault="005D2595" w:rsidP="005D2595">
      <w:pPr>
        <w:pStyle w:val="Heading4"/>
      </w:pPr>
      <w:r w:rsidRPr="0067507D">
        <w:t>Administered superannuation liability</w:t>
      </w:r>
    </w:p>
    <w:tbl>
      <w:tblPr>
        <w:tblStyle w:val="AnnualReportfinancialtable"/>
        <w:tblW w:w="8850" w:type="dxa"/>
        <w:tblLook w:val="00A0" w:firstRow="1" w:lastRow="0" w:firstColumn="1" w:lastColumn="0" w:noHBand="0" w:noVBand="0"/>
      </w:tblPr>
      <w:tblGrid>
        <w:gridCol w:w="6140"/>
        <w:gridCol w:w="1480"/>
        <w:gridCol w:w="1230"/>
      </w:tblGrid>
      <w:tr w:rsidR="001A747F" w:rsidRPr="0067507D" w14:paraId="75FAC88F"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45982A85" w14:textId="77777777" w:rsidR="001A747F" w:rsidRPr="0067507D" w:rsidRDefault="001A747F" w:rsidP="001A747F">
            <w:pPr>
              <w:pStyle w:val="Tabletextheadingrightbold"/>
            </w:pP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79A41923" w14:textId="51C7D245" w:rsidR="001A747F" w:rsidRPr="0067507D" w:rsidRDefault="001A747F" w:rsidP="001A747F">
            <w:pPr>
              <w:pStyle w:val="Tabletextheadingrightbold"/>
            </w:pPr>
            <w:r w:rsidRPr="0067507D">
              <w:t>2025</w:t>
            </w:r>
            <w:r>
              <w:rPr>
                <w:szCs w:val="16"/>
              </w:rPr>
              <w:br/>
            </w:r>
            <w:r w:rsidRPr="0067507D">
              <w:t>$’000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27655857" w14:textId="4E0303F2" w:rsidR="001A747F" w:rsidRPr="0067507D" w:rsidRDefault="001A747F" w:rsidP="001A747F">
            <w:pPr>
              <w:pStyle w:val="Tabletextheadingrightbold"/>
            </w:pPr>
            <w:r w:rsidRPr="0067507D">
              <w:t>2024</w:t>
            </w:r>
            <w:r>
              <w:rPr>
                <w:szCs w:val="16"/>
              </w:rPr>
              <w:br/>
            </w:r>
            <w:r w:rsidRPr="0067507D">
              <w:t>$’000</w:t>
            </w:r>
          </w:p>
        </w:tc>
      </w:tr>
      <w:tr w:rsidR="005D2595" w:rsidRPr="0067507D" w14:paraId="5D504260"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2B2B9987" w14:textId="77777777" w:rsidR="005D2595" w:rsidRPr="0067507D" w:rsidRDefault="005D2595" w:rsidP="00FC3AF2">
            <w:pPr>
              <w:pStyle w:val="Tabletext"/>
            </w:pPr>
            <w:r w:rsidRPr="0067507D">
              <w:t>Emergency Services and State Super</w:t>
            </w:r>
          </w:p>
        </w:tc>
        <w:tc>
          <w:tcPr>
            <w:cnfStyle w:val="000010000000" w:firstRow="0" w:lastRow="0" w:firstColumn="0" w:lastColumn="0" w:oddVBand="1" w:evenVBand="0" w:oddHBand="0" w:evenHBand="0" w:firstRowFirstColumn="0" w:firstRowLastColumn="0" w:lastRowFirstColumn="0" w:lastRowLastColumn="0"/>
            <w:tcW w:w="1480" w:type="dxa"/>
            <w:noWrap/>
          </w:tcPr>
          <w:p w14:paraId="42AD9E31" w14:textId="77777777" w:rsidR="005D2595" w:rsidRPr="0067507D" w:rsidRDefault="005D2595" w:rsidP="00FC3AF2">
            <w:pPr>
              <w:pStyle w:val="Tabletextright"/>
            </w:pPr>
            <w:r w:rsidRPr="0067507D">
              <w:t xml:space="preserve">17 436 075 </w:t>
            </w:r>
          </w:p>
        </w:tc>
        <w:tc>
          <w:tcPr>
            <w:cnfStyle w:val="000001000000" w:firstRow="0" w:lastRow="0" w:firstColumn="0" w:lastColumn="0" w:oddVBand="0" w:evenVBand="1" w:oddHBand="0" w:evenHBand="0" w:firstRowFirstColumn="0" w:firstRowLastColumn="0" w:lastRowFirstColumn="0" w:lastRowLastColumn="0"/>
            <w:tcW w:w="1230" w:type="dxa"/>
            <w:noWrap/>
          </w:tcPr>
          <w:p w14:paraId="199AA8F3" w14:textId="77777777" w:rsidR="005D2595" w:rsidRPr="0067507D" w:rsidRDefault="005D2595" w:rsidP="00FC3AF2">
            <w:pPr>
              <w:pStyle w:val="Tabletextright"/>
            </w:pPr>
            <w:r w:rsidRPr="0067507D">
              <w:t xml:space="preserve">17 349 410 </w:t>
            </w:r>
          </w:p>
        </w:tc>
      </w:tr>
      <w:tr w:rsidR="005D2595" w:rsidRPr="0067507D" w14:paraId="22980718"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6B0F3D61" w14:textId="77777777" w:rsidR="005D2595" w:rsidRPr="0067507D" w:rsidRDefault="005D2595" w:rsidP="00FC3AF2">
            <w:pPr>
              <w:pStyle w:val="Tabletext"/>
            </w:pPr>
            <w:r w:rsidRPr="0067507D">
              <w:t xml:space="preserve">Other funds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42B2B0A4" w14:textId="77777777" w:rsidR="005D2595" w:rsidRPr="0067507D" w:rsidRDefault="005D2595" w:rsidP="00FC3AF2">
            <w:pPr>
              <w:pStyle w:val="Tabletextright"/>
            </w:pPr>
            <w:r w:rsidRPr="0067507D">
              <w:t xml:space="preserve"> 847 843 </w:t>
            </w:r>
          </w:p>
        </w:tc>
        <w:tc>
          <w:tcPr>
            <w:cnfStyle w:val="000001000000" w:firstRow="0" w:lastRow="0" w:firstColumn="0" w:lastColumn="0" w:oddVBand="0" w:evenVBand="1" w:oddHBand="0" w:evenHBand="0" w:firstRowFirstColumn="0" w:firstRowLastColumn="0" w:lastRowFirstColumn="0" w:lastRowLastColumn="0"/>
            <w:tcW w:w="1230" w:type="dxa"/>
            <w:noWrap/>
          </w:tcPr>
          <w:p w14:paraId="5C2F6DE6" w14:textId="77777777" w:rsidR="005D2595" w:rsidRPr="0067507D" w:rsidRDefault="005D2595" w:rsidP="00FC3AF2">
            <w:pPr>
              <w:pStyle w:val="Tabletextright"/>
            </w:pPr>
            <w:r w:rsidRPr="0067507D">
              <w:t xml:space="preserve"> 880 027 </w:t>
            </w:r>
          </w:p>
        </w:tc>
      </w:tr>
      <w:tr w:rsidR="005D2595" w:rsidRPr="0067507D" w14:paraId="5F6B848E"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3D54E4D5" w14:textId="77777777" w:rsidR="005D2595" w:rsidRPr="0067507D" w:rsidRDefault="005D2595" w:rsidP="00FC3AF2">
            <w:pPr>
              <w:pStyle w:val="Tabletextbold"/>
            </w:pPr>
            <w:r w:rsidRPr="0067507D">
              <w:t>Total administered superannuation liability</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7CDB934C" w14:textId="77777777" w:rsidR="005D2595" w:rsidRPr="0067507D" w:rsidRDefault="005D2595" w:rsidP="00FC3AF2">
            <w:pPr>
              <w:pStyle w:val="Tabletextrightbold"/>
            </w:pPr>
            <w:r w:rsidRPr="0067507D">
              <w:t xml:space="preserve">18 283 918 </w:t>
            </w:r>
          </w:p>
        </w:tc>
        <w:tc>
          <w:tcPr>
            <w:cnfStyle w:val="000001000000" w:firstRow="0" w:lastRow="0" w:firstColumn="0" w:lastColumn="0" w:oddVBand="0" w:evenVBand="1" w:oddHBand="0" w:evenHBand="0" w:firstRowFirstColumn="0" w:firstRowLastColumn="0" w:lastRowFirstColumn="0" w:lastRowLastColumn="0"/>
            <w:tcW w:w="1230" w:type="dxa"/>
            <w:noWrap/>
          </w:tcPr>
          <w:p w14:paraId="0EAEB53C" w14:textId="77777777" w:rsidR="005D2595" w:rsidRPr="0067507D" w:rsidRDefault="005D2595" w:rsidP="00FC3AF2">
            <w:pPr>
              <w:pStyle w:val="Tabletextrightbold"/>
            </w:pPr>
            <w:r w:rsidRPr="0067507D">
              <w:t xml:space="preserve">18 229 437 </w:t>
            </w:r>
          </w:p>
        </w:tc>
      </w:tr>
    </w:tbl>
    <w:p w14:paraId="3AC9198C" w14:textId="77777777" w:rsidR="005D2595" w:rsidRPr="0067507D" w:rsidRDefault="005D2595" w:rsidP="005D2595">
      <w:pPr>
        <w:pStyle w:val="Notes"/>
      </w:pPr>
      <w:r w:rsidRPr="0067507D">
        <w:t>Note:</w:t>
      </w:r>
    </w:p>
    <w:p w14:paraId="4FE5E128" w14:textId="77777777" w:rsidR="005D2595" w:rsidRPr="0067507D" w:rsidRDefault="005D2595" w:rsidP="005D2595">
      <w:pPr>
        <w:pStyle w:val="Notes"/>
      </w:pPr>
      <w:r w:rsidRPr="0067507D">
        <w:t>(a) Other funds include constitutionally protected schemes and the Health Super Fund.</w:t>
      </w:r>
    </w:p>
    <w:p w14:paraId="40FB9871" w14:textId="77777777" w:rsidR="005D2595" w:rsidRPr="0067507D" w:rsidRDefault="005D2595" w:rsidP="005D2595">
      <w:pPr>
        <w:pStyle w:val="Notes"/>
      </w:pPr>
    </w:p>
    <w:p w14:paraId="0F1409E2"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space="569"/>
          <w:noEndnote/>
        </w:sectPr>
      </w:pPr>
    </w:p>
    <w:p w14:paraId="0ECBECFC" w14:textId="77777777" w:rsidR="005D2595" w:rsidRPr="0067507D" w:rsidRDefault="005D2595" w:rsidP="005D2595">
      <w:r w:rsidRPr="0067507D">
        <w:lastRenderedPageBreak/>
        <w:t xml:space="preserve">In accordance with the </w:t>
      </w:r>
      <w:r w:rsidRPr="0067507D">
        <w:rPr>
          <w:i/>
          <w:iCs/>
        </w:rPr>
        <w:t>State Superannuation Act</w:t>
      </w:r>
      <w:r w:rsidRPr="0067507D">
        <w:rPr>
          <w:rFonts w:ascii="Calibri" w:hAnsi="Calibri" w:cs="Calibri"/>
          <w:i/>
          <w:iCs/>
        </w:rPr>
        <w:t> </w:t>
      </w:r>
      <w:r w:rsidRPr="0067507D">
        <w:rPr>
          <w:i/>
          <w:iCs/>
        </w:rPr>
        <w:t>1988</w:t>
      </w:r>
      <w:r w:rsidRPr="0067507D">
        <w:t>, the Government, through the Consolidated Fund, is primarily responsible for meeting the employer's share of the superannuation liability of the State Superannuation Fund section of the Emergency Services Superannuation Scheme. However, under the terms of that Act, the responsible Minister can effectively pass this liability to individual authorities.</w:t>
      </w:r>
    </w:p>
    <w:p w14:paraId="404F36C5" w14:textId="77777777" w:rsidR="005D2595" w:rsidRPr="0067507D" w:rsidRDefault="005D2595" w:rsidP="005D2595"/>
    <w:p w14:paraId="39F4F863" w14:textId="77777777" w:rsidR="005D2595" w:rsidRPr="0067507D" w:rsidRDefault="005D2595" w:rsidP="006273F6">
      <w:pPr>
        <w:pStyle w:val="Heading3numbered"/>
        <w:ind w:left="576" w:hanging="576"/>
        <w:sectPr w:rsidR="005D2595" w:rsidRPr="0067507D" w:rsidSect="005D2595">
          <w:pgSz w:w="11909" w:h="16834" w:code="9"/>
          <w:pgMar w:top="1728" w:right="1152" w:bottom="1152" w:left="1152" w:header="720" w:footer="288" w:gutter="0"/>
          <w:cols w:num="2" w:space="569"/>
          <w:noEndnote/>
        </w:sectPr>
      </w:pPr>
    </w:p>
    <w:p w14:paraId="05E9B91F" w14:textId="77777777" w:rsidR="005D2595" w:rsidRPr="0067507D" w:rsidRDefault="005D2595" w:rsidP="005D2595">
      <w:pPr>
        <w:pStyle w:val="Heading4"/>
        <w:spacing w:before="240"/>
      </w:pPr>
      <w:r w:rsidRPr="0067507D">
        <w:t>Reconciliation of defined benefit obligation</w:t>
      </w:r>
    </w:p>
    <w:tbl>
      <w:tblPr>
        <w:tblStyle w:val="AnnualReportfinancialtable"/>
        <w:tblW w:w="8850" w:type="dxa"/>
        <w:tblLook w:val="00A0" w:firstRow="1" w:lastRow="0" w:firstColumn="1" w:lastColumn="0" w:noHBand="0" w:noVBand="0"/>
      </w:tblPr>
      <w:tblGrid>
        <w:gridCol w:w="6140"/>
        <w:gridCol w:w="1480"/>
        <w:gridCol w:w="1230"/>
      </w:tblGrid>
      <w:tr w:rsidR="001A747F" w:rsidRPr="0067507D" w14:paraId="21324B6D"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726F94DA" w14:textId="77777777" w:rsidR="001A747F" w:rsidRPr="0067507D" w:rsidRDefault="001A747F" w:rsidP="001A747F">
            <w:pPr>
              <w:pStyle w:val="Tabletextheadingrightbold"/>
            </w:pP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3DAE710C" w14:textId="4B59F7DA" w:rsidR="001A747F" w:rsidRPr="0067507D" w:rsidRDefault="001A747F" w:rsidP="001A747F">
            <w:pPr>
              <w:pStyle w:val="Tabletextheadingrightbold"/>
            </w:pPr>
            <w:r w:rsidRPr="0067507D">
              <w:t>2025</w:t>
            </w:r>
            <w:r>
              <w:rPr>
                <w:szCs w:val="16"/>
              </w:rPr>
              <w:br/>
            </w:r>
            <w:r w:rsidRPr="0067507D">
              <w:t>$’000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6833AAF4" w14:textId="1C0E1707" w:rsidR="001A747F" w:rsidRPr="0067507D" w:rsidRDefault="001A747F" w:rsidP="001A747F">
            <w:pPr>
              <w:pStyle w:val="Tabletextheadingrightbold"/>
            </w:pPr>
            <w:r w:rsidRPr="0067507D">
              <w:t>2024</w:t>
            </w:r>
            <w:r>
              <w:rPr>
                <w:szCs w:val="16"/>
              </w:rPr>
              <w:br/>
            </w:r>
            <w:r w:rsidRPr="0067507D">
              <w:t>$’000</w:t>
            </w:r>
          </w:p>
        </w:tc>
      </w:tr>
      <w:tr w:rsidR="005D2595" w:rsidRPr="0067507D" w14:paraId="45F5D1BF"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3510472F" w14:textId="77777777" w:rsidR="005D2595" w:rsidRPr="0067507D" w:rsidRDefault="005D2595" w:rsidP="00FC3AF2">
            <w:pPr>
              <w:pStyle w:val="Tabletextbold"/>
            </w:pPr>
            <w:r w:rsidRPr="0067507D">
              <w:t>Opening balance of defined benefit obligation</w:t>
            </w:r>
          </w:p>
        </w:tc>
        <w:tc>
          <w:tcPr>
            <w:cnfStyle w:val="000010000000" w:firstRow="0" w:lastRow="0" w:firstColumn="0" w:lastColumn="0" w:oddVBand="1" w:evenVBand="0" w:oddHBand="0" w:evenHBand="0" w:firstRowFirstColumn="0" w:firstRowLastColumn="0" w:lastRowFirstColumn="0" w:lastRowLastColumn="0"/>
            <w:tcW w:w="1480" w:type="dxa"/>
            <w:noWrap/>
          </w:tcPr>
          <w:p w14:paraId="4C8799E2" w14:textId="77777777" w:rsidR="005D2595" w:rsidRPr="0067507D" w:rsidRDefault="005D2595" w:rsidP="00FC3AF2">
            <w:pPr>
              <w:pStyle w:val="Tabletextrightbold"/>
            </w:pPr>
            <w:r w:rsidRPr="0067507D">
              <w:t xml:space="preserve">43 660 741 </w:t>
            </w:r>
          </w:p>
        </w:tc>
        <w:tc>
          <w:tcPr>
            <w:cnfStyle w:val="000001000000" w:firstRow="0" w:lastRow="0" w:firstColumn="0" w:lastColumn="0" w:oddVBand="0" w:evenVBand="1" w:oddHBand="0" w:evenHBand="0" w:firstRowFirstColumn="0" w:firstRowLastColumn="0" w:lastRowFirstColumn="0" w:lastRowLastColumn="0"/>
            <w:tcW w:w="1230" w:type="dxa"/>
            <w:noWrap/>
          </w:tcPr>
          <w:p w14:paraId="09275BB5" w14:textId="77777777" w:rsidR="005D2595" w:rsidRPr="0067507D" w:rsidRDefault="005D2595" w:rsidP="00FC3AF2">
            <w:pPr>
              <w:pStyle w:val="Tabletextrightbold"/>
            </w:pPr>
            <w:r w:rsidRPr="0067507D">
              <w:t xml:space="preserve">44 540 748 </w:t>
            </w:r>
          </w:p>
        </w:tc>
      </w:tr>
      <w:tr w:rsidR="005D2595" w:rsidRPr="0067507D" w14:paraId="66BEBFC3"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027C5F90" w14:textId="77777777" w:rsidR="005D2595" w:rsidRPr="0067507D" w:rsidRDefault="005D2595" w:rsidP="00FC3AF2">
            <w:pPr>
              <w:pStyle w:val="Tabletext"/>
            </w:pPr>
            <w:r w:rsidRPr="0067507D">
              <w:t>Current service cost</w:t>
            </w:r>
          </w:p>
        </w:tc>
        <w:tc>
          <w:tcPr>
            <w:cnfStyle w:val="000010000000" w:firstRow="0" w:lastRow="0" w:firstColumn="0" w:lastColumn="0" w:oddVBand="1" w:evenVBand="0" w:oddHBand="0" w:evenHBand="0" w:firstRowFirstColumn="0" w:firstRowLastColumn="0" w:lastRowFirstColumn="0" w:lastRowLastColumn="0"/>
            <w:tcW w:w="1480" w:type="dxa"/>
            <w:noWrap/>
          </w:tcPr>
          <w:p w14:paraId="786ABC40" w14:textId="77777777" w:rsidR="005D2595" w:rsidRPr="0067507D" w:rsidRDefault="005D2595" w:rsidP="00FC3AF2">
            <w:pPr>
              <w:pStyle w:val="Tabletextright"/>
            </w:pPr>
            <w:r w:rsidRPr="0067507D">
              <w:t xml:space="preserve"> 988 723 </w:t>
            </w:r>
          </w:p>
        </w:tc>
        <w:tc>
          <w:tcPr>
            <w:cnfStyle w:val="000001000000" w:firstRow="0" w:lastRow="0" w:firstColumn="0" w:lastColumn="0" w:oddVBand="0" w:evenVBand="1" w:oddHBand="0" w:evenHBand="0" w:firstRowFirstColumn="0" w:firstRowLastColumn="0" w:lastRowFirstColumn="0" w:lastRowLastColumn="0"/>
            <w:tcW w:w="1230" w:type="dxa"/>
            <w:noWrap/>
          </w:tcPr>
          <w:p w14:paraId="31C4D226" w14:textId="77777777" w:rsidR="005D2595" w:rsidRPr="0067507D" w:rsidRDefault="005D2595" w:rsidP="00FC3AF2">
            <w:pPr>
              <w:pStyle w:val="Tabletextright"/>
            </w:pPr>
            <w:r w:rsidRPr="0067507D">
              <w:t xml:space="preserve"> 933 231 </w:t>
            </w:r>
          </w:p>
        </w:tc>
      </w:tr>
      <w:tr w:rsidR="005D2595" w:rsidRPr="0067507D" w14:paraId="39C075A9"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3ECF9260" w14:textId="77777777" w:rsidR="005D2595" w:rsidRPr="0067507D" w:rsidRDefault="005D2595" w:rsidP="00FC3AF2">
            <w:pPr>
              <w:pStyle w:val="Tabletext"/>
            </w:pPr>
            <w:r w:rsidRPr="0067507D">
              <w:t>Interest cost</w:t>
            </w:r>
          </w:p>
        </w:tc>
        <w:tc>
          <w:tcPr>
            <w:cnfStyle w:val="000010000000" w:firstRow="0" w:lastRow="0" w:firstColumn="0" w:lastColumn="0" w:oddVBand="1" w:evenVBand="0" w:oddHBand="0" w:evenHBand="0" w:firstRowFirstColumn="0" w:firstRowLastColumn="0" w:lastRowFirstColumn="0" w:lastRowLastColumn="0"/>
            <w:tcW w:w="1480" w:type="dxa"/>
            <w:noWrap/>
          </w:tcPr>
          <w:p w14:paraId="3C2F545A" w14:textId="77777777" w:rsidR="005D2595" w:rsidRPr="0067507D" w:rsidRDefault="005D2595" w:rsidP="00FC3AF2">
            <w:pPr>
              <w:pStyle w:val="Tabletextright"/>
            </w:pPr>
            <w:r w:rsidRPr="0067507D">
              <w:t xml:space="preserve">1 872 628 </w:t>
            </w:r>
          </w:p>
        </w:tc>
        <w:tc>
          <w:tcPr>
            <w:cnfStyle w:val="000001000000" w:firstRow="0" w:lastRow="0" w:firstColumn="0" w:lastColumn="0" w:oddVBand="0" w:evenVBand="1" w:oddHBand="0" w:evenHBand="0" w:firstRowFirstColumn="0" w:firstRowLastColumn="0" w:lastRowFirstColumn="0" w:lastRowLastColumn="0"/>
            <w:tcW w:w="1230" w:type="dxa"/>
            <w:noWrap/>
          </w:tcPr>
          <w:p w14:paraId="7EC3D49D" w14:textId="77777777" w:rsidR="005D2595" w:rsidRPr="0067507D" w:rsidRDefault="005D2595" w:rsidP="00FC3AF2">
            <w:pPr>
              <w:pStyle w:val="Tabletextright"/>
            </w:pPr>
            <w:r w:rsidRPr="0067507D">
              <w:t xml:space="preserve">1 804 741 </w:t>
            </w:r>
          </w:p>
        </w:tc>
      </w:tr>
      <w:tr w:rsidR="005D2595" w:rsidRPr="0067507D" w14:paraId="0B058C6F"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276E9A28" w14:textId="77777777" w:rsidR="005D2595" w:rsidRPr="0067507D" w:rsidRDefault="005D2595" w:rsidP="00FC3AF2">
            <w:pPr>
              <w:pStyle w:val="Tabletext"/>
            </w:pPr>
            <w:r w:rsidRPr="0067507D">
              <w:t>Contributions by plan participants</w:t>
            </w:r>
          </w:p>
        </w:tc>
        <w:tc>
          <w:tcPr>
            <w:cnfStyle w:val="000010000000" w:firstRow="0" w:lastRow="0" w:firstColumn="0" w:lastColumn="0" w:oddVBand="1" w:evenVBand="0" w:oddHBand="0" w:evenHBand="0" w:firstRowFirstColumn="0" w:firstRowLastColumn="0" w:lastRowFirstColumn="0" w:lastRowLastColumn="0"/>
            <w:tcW w:w="1480" w:type="dxa"/>
            <w:noWrap/>
          </w:tcPr>
          <w:p w14:paraId="591CA820" w14:textId="77777777" w:rsidR="005D2595" w:rsidRPr="0067507D" w:rsidRDefault="005D2595" w:rsidP="00FC3AF2">
            <w:pPr>
              <w:pStyle w:val="Tabletextright"/>
            </w:pPr>
            <w:r w:rsidRPr="0067507D">
              <w:t xml:space="preserve"> 235 015 </w:t>
            </w:r>
          </w:p>
        </w:tc>
        <w:tc>
          <w:tcPr>
            <w:cnfStyle w:val="000001000000" w:firstRow="0" w:lastRow="0" w:firstColumn="0" w:lastColumn="0" w:oddVBand="0" w:evenVBand="1" w:oddHBand="0" w:evenHBand="0" w:firstRowFirstColumn="0" w:firstRowLastColumn="0" w:lastRowFirstColumn="0" w:lastRowLastColumn="0"/>
            <w:tcW w:w="1230" w:type="dxa"/>
            <w:noWrap/>
          </w:tcPr>
          <w:p w14:paraId="3B6ACB49" w14:textId="77777777" w:rsidR="005D2595" w:rsidRPr="0067507D" w:rsidRDefault="005D2595" w:rsidP="00FC3AF2">
            <w:pPr>
              <w:pStyle w:val="Tabletextright"/>
            </w:pPr>
            <w:r w:rsidRPr="0067507D">
              <w:t xml:space="preserve"> 233 233 </w:t>
            </w:r>
          </w:p>
        </w:tc>
      </w:tr>
      <w:tr w:rsidR="005D2595" w:rsidRPr="0067507D" w14:paraId="6365B4AD"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6EE93ACA" w14:textId="77777777" w:rsidR="005D2595" w:rsidRPr="0067507D" w:rsidRDefault="005D2595" w:rsidP="00FC3AF2">
            <w:pPr>
              <w:pStyle w:val="Tabletext"/>
            </w:pPr>
            <w:r w:rsidRPr="0067507D">
              <w:t>Remeasurement actuarial (gains)/losses</w:t>
            </w:r>
          </w:p>
        </w:tc>
        <w:tc>
          <w:tcPr>
            <w:cnfStyle w:val="000010000000" w:firstRow="0" w:lastRow="0" w:firstColumn="0" w:lastColumn="0" w:oddVBand="1" w:evenVBand="0" w:oddHBand="0" w:evenHBand="0" w:firstRowFirstColumn="0" w:firstRowLastColumn="0" w:lastRowFirstColumn="0" w:lastRowLastColumn="0"/>
            <w:tcW w:w="1480" w:type="dxa"/>
            <w:noWrap/>
          </w:tcPr>
          <w:p w14:paraId="048147A1" w14:textId="77777777" w:rsidR="005D2595" w:rsidRPr="0067507D" w:rsidRDefault="005D2595" w:rsidP="00FC3AF2">
            <w:pPr>
              <w:pStyle w:val="Tabletextright"/>
            </w:pPr>
            <w:r w:rsidRPr="0067507D">
              <w:t xml:space="preserve"> 423 813 </w:t>
            </w:r>
          </w:p>
        </w:tc>
        <w:tc>
          <w:tcPr>
            <w:cnfStyle w:val="000001000000" w:firstRow="0" w:lastRow="0" w:firstColumn="0" w:lastColumn="0" w:oddVBand="0" w:evenVBand="1" w:oddHBand="0" w:evenHBand="0" w:firstRowFirstColumn="0" w:firstRowLastColumn="0" w:lastRowFirstColumn="0" w:lastRowLastColumn="0"/>
            <w:tcW w:w="1230" w:type="dxa"/>
            <w:noWrap/>
          </w:tcPr>
          <w:p w14:paraId="6EA5A2DC" w14:textId="77777777" w:rsidR="005D2595" w:rsidRPr="0067507D" w:rsidRDefault="005D2595" w:rsidP="00FC3AF2">
            <w:pPr>
              <w:pStyle w:val="Tabletextright"/>
            </w:pPr>
            <w:r w:rsidRPr="0067507D">
              <w:t xml:space="preserve">(685 831) </w:t>
            </w:r>
          </w:p>
        </w:tc>
      </w:tr>
      <w:tr w:rsidR="005D2595" w:rsidRPr="0067507D" w14:paraId="6BADBB36"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4FD13A45" w14:textId="77777777" w:rsidR="005D2595" w:rsidRPr="0067507D" w:rsidRDefault="005D2595" w:rsidP="00FC3AF2">
            <w:pPr>
              <w:pStyle w:val="Tabletext"/>
            </w:pPr>
            <w:r w:rsidRPr="0067507D">
              <w:t>Benefits paid</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28B558B6" w14:textId="77777777" w:rsidR="005D2595" w:rsidRPr="0067507D" w:rsidRDefault="005D2595" w:rsidP="00FC3AF2">
            <w:pPr>
              <w:pStyle w:val="Tabletextright"/>
            </w:pPr>
            <w:r w:rsidRPr="0067507D">
              <w:t xml:space="preserve">(3 397 905) </w:t>
            </w:r>
          </w:p>
        </w:tc>
        <w:tc>
          <w:tcPr>
            <w:cnfStyle w:val="000001000000" w:firstRow="0" w:lastRow="0" w:firstColumn="0" w:lastColumn="0" w:oddVBand="0" w:evenVBand="1" w:oddHBand="0" w:evenHBand="0" w:firstRowFirstColumn="0" w:firstRowLastColumn="0" w:lastRowFirstColumn="0" w:lastRowLastColumn="0"/>
            <w:tcW w:w="1230" w:type="dxa"/>
            <w:noWrap/>
          </w:tcPr>
          <w:p w14:paraId="50190A52" w14:textId="77777777" w:rsidR="005D2595" w:rsidRPr="0067507D" w:rsidRDefault="005D2595" w:rsidP="00FC3AF2">
            <w:pPr>
              <w:pStyle w:val="Tabletextright"/>
            </w:pPr>
            <w:r w:rsidRPr="0067507D">
              <w:t xml:space="preserve">(3 165 381) </w:t>
            </w:r>
          </w:p>
        </w:tc>
      </w:tr>
      <w:tr w:rsidR="005D2595" w:rsidRPr="0067507D" w14:paraId="6547FEBE"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02F3F524" w14:textId="77777777" w:rsidR="005D2595" w:rsidRPr="0067507D" w:rsidRDefault="005D2595" w:rsidP="00FC3AF2">
            <w:pPr>
              <w:pStyle w:val="Tabletextbold"/>
            </w:pPr>
            <w:r w:rsidRPr="0067507D">
              <w:t>Closing balance of defined benefit obligation</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6410168E" w14:textId="77777777" w:rsidR="005D2595" w:rsidRPr="0067507D" w:rsidRDefault="005D2595" w:rsidP="00FC3AF2">
            <w:pPr>
              <w:pStyle w:val="Tabletextrightbold"/>
            </w:pPr>
            <w:r w:rsidRPr="0067507D">
              <w:t xml:space="preserve">43 783 016 </w:t>
            </w:r>
          </w:p>
        </w:tc>
        <w:tc>
          <w:tcPr>
            <w:cnfStyle w:val="000001000000" w:firstRow="0" w:lastRow="0" w:firstColumn="0" w:lastColumn="0" w:oddVBand="0" w:evenVBand="1" w:oddHBand="0" w:evenHBand="0" w:firstRowFirstColumn="0" w:firstRowLastColumn="0" w:lastRowFirstColumn="0" w:lastRowLastColumn="0"/>
            <w:tcW w:w="1230" w:type="dxa"/>
            <w:noWrap/>
          </w:tcPr>
          <w:p w14:paraId="583E336F" w14:textId="77777777" w:rsidR="005D2595" w:rsidRPr="0067507D" w:rsidRDefault="005D2595" w:rsidP="00FC3AF2">
            <w:pPr>
              <w:pStyle w:val="Tabletextrightbold"/>
            </w:pPr>
            <w:r w:rsidRPr="0067507D">
              <w:t xml:space="preserve">43 660 741 </w:t>
            </w:r>
          </w:p>
        </w:tc>
      </w:tr>
    </w:tbl>
    <w:p w14:paraId="16049B90" w14:textId="77777777" w:rsidR="005D2595" w:rsidRPr="0067507D" w:rsidRDefault="005D2595" w:rsidP="005D2595"/>
    <w:p w14:paraId="49D0A34D" w14:textId="77777777" w:rsidR="005D2595" w:rsidRPr="0067507D" w:rsidRDefault="005D2595" w:rsidP="005D2595">
      <w:pPr>
        <w:pStyle w:val="Heading4"/>
      </w:pPr>
      <w:r w:rsidRPr="0067507D">
        <w:t>Reconciliation of fair value of plan assets</w:t>
      </w:r>
    </w:p>
    <w:tbl>
      <w:tblPr>
        <w:tblStyle w:val="AnnualReportfinancialtable"/>
        <w:tblW w:w="8850" w:type="dxa"/>
        <w:tblLook w:val="00A0" w:firstRow="1" w:lastRow="0" w:firstColumn="1" w:lastColumn="0" w:noHBand="0" w:noVBand="0"/>
      </w:tblPr>
      <w:tblGrid>
        <w:gridCol w:w="6140"/>
        <w:gridCol w:w="1480"/>
        <w:gridCol w:w="1230"/>
      </w:tblGrid>
      <w:tr w:rsidR="00FE27DB" w:rsidRPr="0067507D" w14:paraId="51772E3C"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64159F75" w14:textId="77777777" w:rsidR="00FE27DB" w:rsidRPr="0067507D" w:rsidRDefault="00FE27DB" w:rsidP="00FE27DB">
            <w:pPr>
              <w:pStyle w:val="Tabletextheadingrightbold"/>
            </w:pP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2C932738" w14:textId="6DB6044F" w:rsidR="00FE27DB" w:rsidRPr="0067507D" w:rsidRDefault="00FE27DB" w:rsidP="00FE27DB">
            <w:pPr>
              <w:pStyle w:val="Tabletextheadingrightbold"/>
            </w:pPr>
            <w:r w:rsidRPr="0067507D">
              <w:t>2025</w:t>
            </w:r>
            <w:r>
              <w:rPr>
                <w:szCs w:val="16"/>
              </w:rPr>
              <w:br/>
            </w:r>
            <w:r w:rsidRPr="0067507D">
              <w:t>$’000</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24544F69" w14:textId="23EA70D6" w:rsidR="00FE27DB" w:rsidRPr="0067507D" w:rsidRDefault="00FE27DB" w:rsidP="00FE27DB">
            <w:pPr>
              <w:pStyle w:val="Tabletextheadingrightbold"/>
            </w:pPr>
            <w:r w:rsidRPr="0067507D">
              <w:t>2024</w:t>
            </w:r>
            <w:r>
              <w:rPr>
                <w:szCs w:val="16"/>
              </w:rPr>
              <w:br/>
            </w:r>
            <w:r w:rsidRPr="0067507D">
              <w:t>$’000</w:t>
            </w:r>
          </w:p>
        </w:tc>
      </w:tr>
      <w:tr w:rsidR="005D2595" w:rsidRPr="0067507D" w14:paraId="43A113A9"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031328A7" w14:textId="77777777" w:rsidR="005D2595" w:rsidRPr="0067507D" w:rsidRDefault="005D2595" w:rsidP="00FC3AF2">
            <w:pPr>
              <w:pStyle w:val="Tabletextbold"/>
            </w:pPr>
            <w:r w:rsidRPr="0067507D">
              <w:t>Opening balance of plan assets</w:t>
            </w:r>
          </w:p>
        </w:tc>
        <w:tc>
          <w:tcPr>
            <w:cnfStyle w:val="000010000000" w:firstRow="0" w:lastRow="0" w:firstColumn="0" w:lastColumn="0" w:oddVBand="1" w:evenVBand="0" w:oddHBand="0" w:evenHBand="0" w:firstRowFirstColumn="0" w:firstRowLastColumn="0" w:lastRowFirstColumn="0" w:lastRowLastColumn="0"/>
            <w:tcW w:w="1480" w:type="dxa"/>
            <w:noWrap/>
          </w:tcPr>
          <w:p w14:paraId="110B3B7A" w14:textId="77777777" w:rsidR="005D2595" w:rsidRPr="0067507D" w:rsidRDefault="005D2595" w:rsidP="00FC3AF2">
            <w:pPr>
              <w:pStyle w:val="Tabletextrightbold"/>
            </w:pPr>
            <w:r w:rsidRPr="0067507D">
              <w:t xml:space="preserve">25 431 304 </w:t>
            </w:r>
          </w:p>
        </w:tc>
        <w:tc>
          <w:tcPr>
            <w:cnfStyle w:val="000001000000" w:firstRow="0" w:lastRow="0" w:firstColumn="0" w:lastColumn="0" w:oddVBand="0" w:evenVBand="1" w:oddHBand="0" w:evenHBand="0" w:firstRowFirstColumn="0" w:firstRowLastColumn="0" w:lastRowFirstColumn="0" w:lastRowLastColumn="0"/>
            <w:tcW w:w="1230" w:type="dxa"/>
            <w:noWrap/>
          </w:tcPr>
          <w:p w14:paraId="76F5829F" w14:textId="77777777" w:rsidR="005D2595" w:rsidRPr="0067507D" w:rsidRDefault="005D2595" w:rsidP="00FC3AF2">
            <w:pPr>
              <w:pStyle w:val="Tabletextrightbold"/>
            </w:pPr>
            <w:r w:rsidRPr="0067507D">
              <w:t xml:space="preserve">25 633 017 </w:t>
            </w:r>
          </w:p>
        </w:tc>
      </w:tr>
      <w:tr w:rsidR="005D2595" w:rsidRPr="0067507D" w14:paraId="00DB569A"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157C04A7" w14:textId="77777777" w:rsidR="005D2595" w:rsidRPr="0067507D" w:rsidRDefault="005D2595" w:rsidP="00FC3AF2">
            <w:pPr>
              <w:pStyle w:val="Tabletext"/>
            </w:pPr>
            <w:r w:rsidRPr="0067507D">
              <w:t>Interest income</w:t>
            </w:r>
          </w:p>
        </w:tc>
        <w:tc>
          <w:tcPr>
            <w:cnfStyle w:val="000010000000" w:firstRow="0" w:lastRow="0" w:firstColumn="0" w:lastColumn="0" w:oddVBand="1" w:evenVBand="0" w:oddHBand="0" w:evenHBand="0" w:firstRowFirstColumn="0" w:firstRowLastColumn="0" w:lastRowFirstColumn="0" w:lastRowLastColumn="0"/>
            <w:tcW w:w="1480" w:type="dxa"/>
            <w:noWrap/>
          </w:tcPr>
          <w:p w14:paraId="51CB2E5E" w14:textId="77777777" w:rsidR="005D2595" w:rsidRPr="0067507D" w:rsidRDefault="005D2595" w:rsidP="00FC3AF2">
            <w:pPr>
              <w:pStyle w:val="Tabletextright"/>
            </w:pPr>
            <w:r w:rsidRPr="0067507D">
              <w:t xml:space="preserve">1 089 178 </w:t>
            </w:r>
          </w:p>
        </w:tc>
        <w:tc>
          <w:tcPr>
            <w:cnfStyle w:val="000001000000" w:firstRow="0" w:lastRow="0" w:firstColumn="0" w:lastColumn="0" w:oddVBand="0" w:evenVBand="1" w:oddHBand="0" w:evenHBand="0" w:firstRowFirstColumn="0" w:firstRowLastColumn="0" w:lastRowFirstColumn="0" w:lastRowLastColumn="0"/>
            <w:tcW w:w="1230" w:type="dxa"/>
            <w:noWrap/>
          </w:tcPr>
          <w:p w14:paraId="7ABEB2B9" w14:textId="77777777" w:rsidR="005D2595" w:rsidRPr="0067507D" w:rsidRDefault="005D2595" w:rsidP="00FC3AF2">
            <w:pPr>
              <w:pStyle w:val="Tabletextright"/>
            </w:pPr>
            <w:r w:rsidRPr="0067507D">
              <w:t xml:space="preserve">1 031 078 </w:t>
            </w:r>
          </w:p>
        </w:tc>
      </w:tr>
      <w:tr w:rsidR="005D2595" w:rsidRPr="0067507D" w14:paraId="265A8668"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7995FAEE" w14:textId="77777777" w:rsidR="005D2595" w:rsidRPr="0067507D" w:rsidRDefault="005D2595" w:rsidP="00FC3AF2">
            <w:pPr>
              <w:pStyle w:val="Tabletext"/>
            </w:pPr>
            <w:r w:rsidRPr="0067507D">
              <w:t>Remeasurement:</w:t>
            </w:r>
          </w:p>
        </w:tc>
        <w:tc>
          <w:tcPr>
            <w:cnfStyle w:val="000010000000" w:firstRow="0" w:lastRow="0" w:firstColumn="0" w:lastColumn="0" w:oddVBand="1" w:evenVBand="0" w:oddHBand="0" w:evenHBand="0" w:firstRowFirstColumn="0" w:firstRowLastColumn="0" w:lastRowFirstColumn="0" w:lastRowLastColumn="0"/>
            <w:tcW w:w="1480" w:type="dxa"/>
            <w:noWrap/>
          </w:tcPr>
          <w:p w14:paraId="09C86404"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230" w:type="dxa"/>
            <w:noWrap/>
          </w:tcPr>
          <w:p w14:paraId="67B1AD84" w14:textId="77777777" w:rsidR="005D2595" w:rsidRPr="0067507D" w:rsidRDefault="005D2595" w:rsidP="00FC3AF2">
            <w:pPr>
              <w:pStyle w:val="Tabletextright"/>
            </w:pPr>
          </w:p>
        </w:tc>
      </w:tr>
      <w:tr w:rsidR="005D2595" w:rsidRPr="0067507D" w14:paraId="21DCA1A0"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79E31B5F" w14:textId="77777777" w:rsidR="005D2595" w:rsidRPr="0067507D" w:rsidRDefault="005D2595" w:rsidP="00FC3AF2">
            <w:pPr>
              <w:pStyle w:val="Tablebullet"/>
              <w:tabs>
                <w:tab w:val="clear" w:pos="360"/>
                <w:tab w:val="num" w:pos="257"/>
              </w:tabs>
            </w:pPr>
            <w:r w:rsidRPr="0067507D">
              <w:t>Expected return on plan assets excluding interest income</w:t>
            </w:r>
          </w:p>
        </w:tc>
        <w:tc>
          <w:tcPr>
            <w:cnfStyle w:val="000010000000" w:firstRow="0" w:lastRow="0" w:firstColumn="0" w:lastColumn="0" w:oddVBand="1" w:evenVBand="0" w:oddHBand="0" w:evenHBand="0" w:firstRowFirstColumn="0" w:firstRowLastColumn="0" w:lastRowFirstColumn="0" w:lastRowLastColumn="0"/>
            <w:tcW w:w="1480" w:type="dxa"/>
            <w:noWrap/>
          </w:tcPr>
          <w:p w14:paraId="189DF251" w14:textId="77777777" w:rsidR="005D2595" w:rsidRPr="0067507D" w:rsidRDefault="005D2595" w:rsidP="00FC3AF2">
            <w:pPr>
              <w:pStyle w:val="Tabletextright"/>
            </w:pPr>
            <w:r w:rsidRPr="0067507D">
              <w:t xml:space="preserve"> 640 897 </w:t>
            </w:r>
          </w:p>
        </w:tc>
        <w:tc>
          <w:tcPr>
            <w:cnfStyle w:val="000001000000" w:firstRow="0" w:lastRow="0" w:firstColumn="0" w:lastColumn="0" w:oddVBand="0" w:evenVBand="1" w:oddHBand="0" w:evenHBand="0" w:firstRowFirstColumn="0" w:firstRowLastColumn="0" w:lastRowFirstColumn="0" w:lastRowLastColumn="0"/>
            <w:tcW w:w="1230" w:type="dxa"/>
            <w:noWrap/>
          </w:tcPr>
          <w:p w14:paraId="7E65C8FE" w14:textId="77777777" w:rsidR="005D2595" w:rsidRPr="0067507D" w:rsidRDefault="005D2595" w:rsidP="00FC3AF2">
            <w:pPr>
              <w:pStyle w:val="Tabletextright"/>
            </w:pPr>
            <w:r w:rsidRPr="0067507D">
              <w:t xml:space="preserve"> 721 973 </w:t>
            </w:r>
          </w:p>
        </w:tc>
      </w:tr>
      <w:tr w:rsidR="005D2595" w:rsidRPr="0067507D" w14:paraId="70F80929"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28313997" w14:textId="77777777" w:rsidR="005D2595" w:rsidRPr="0067507D" w:rsidRDefault="005D2595" w:rsidP="00FC3AF2">
            <w:pPr>
              <w:pStyle w:val="Tablebullet"/>
              <w:tabs>
                <w:tab w:val="clear" w:pos="360"/>
                <w:tab w:val="num" w:pos="257"/>
              </w:tabs>
            </w:pPr>
            <w:r w:rsidRPr="0067507D">
              <w:t>Actuarial gains/(losses) relative to expected return</w:t>
            </w:r>
          </w:p>
        </w:tc>
        <w:tc>
          <w:tcPr>
            <w:cnfStyle w:val="000010000000" w:firstRow="0" w:lastRow="0" w:firstColumn="0" w:lastColumn="0" w:oddVBand="1" w:evenVBand="0" w:oddHBand="0" w:evenHBand="0" w:firstRowFirstColumn="0" w:firstRowLastColumn="0" w:lastRowFirstColumn="0" w:lastRowLastColumn="0"/>
            <w:tcW w:w="1480" w:type="dxa"/>
            <w:noWrap/>
          </w:tcPr>
          <w:p w14:paraId="037B0DC2" w14:textId="77777777" w:rsidR="005D2595" w:rsidRPr="0067507D" w:rsidRDefault="005D2595" w:rsidP="00FC3AF2">
            <w:pPr>
              <w:pStyle w:val="Tabletextright"/>
            </w:pPr>
            <w:r w:rsidRPr="0067507D">
              <w:t xml:space="preserve"> 568 682 </w:t>
            </w:r>
          </w:p>
        </w:tc>
        <w:tc>
          <w:tcPr>
            <w:cnfStyle w:val="000001000000" w:firstRow="0" w:lastRow="0" w:firstColumn="0" w:lastColumn="0" w:oddVBand="0" w:evenVBand="1" w:oddHBand="0" w:evenHBand="0" w:firstRowFirstColumn="0" w:firstRowLastColumn="0" w:lastRowFirstColumn="0" w:lastRowLastColumn="0"/>
            <w:tcW w:w="1230" w:type="dxa"/>
            <w:noWrap/>
          </w:tcPr>
          <w:p w14:paraId="22CB6BEC" w14:textId="77777777" w:rsidR="005D2595" w:rsidRPr="0067507D" w:rsidRDefault="005D2595" w:rsidP="00FC3AF2">
            <w:pPr>
              <w:pStyle w:val="Tabletextright"/>
            </w:pPr>
            <w:r w:rsidRPr="0067507D">
              <w:t xml:space="preserve"> 252 867 </w:t>
            </w:r>
          </w:p>
        </w:tc>
      </w:tr>
      <w:tr w:rsidR="005D2595" w:rsidRPr="0067507D" w14:paraId="5BA6946B"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76844E38" w14:textId="77777777" w:rsidR="005D2595" w:rsidRPr="0067507D" w:rsidRDefault="005D2595" w:rsidP="00FC3AF2">
            <w:pPr>
              <w:pStyle w:val="Tabletext"/>
            </w:pPr>
            <w:r w:rsidRPr="0067507D">
              <w:t>Employer contributions</w:t>
            </w:r>
          </w:p>
        </w:tc>
        <w:tc>
          <w:tcPr>
            <w:cnfStyle w:val="000010000000" w:firstRow="0" w:lastRow="0" w:firstColumn="0" w:lastColumn="0" w:oddVBand="1" w:evenVBand="0" w:oddHBand="0" w:evenHBand="0" w:firstRowFirstColumn="0" w:firstRowLastColumn="0" w:lastRowFirstColumn="0" w:lastRowLastColumn="0"/>
            <w:tcW w:w="1480" w:type="dxa"/>
            <w:noWrap/>
          </w:tcPr>
          <w:p w14:paraId="4CB9C2F0" w14:textId="77777777" w:rsidR="005D2595" w:rsidRPr="0067507D" w:rsidRDefault="005D2595" w:rsidP="00FC3AF2">
            <w:pPr>
              <w:pStyle w:val="Tabletextright"/>
            </w:pPr>
            <w:r w:rsidRPr="0067507D">
              <w:t xml:space="preserve"> 931 926 </w:t>
            </w:r>
          </w:p>
        </w:tc>
        <w:tc>
          <w:tcPr>
            <w:cnfStyle w:val="000001000000" w:firstRow="0" w:lastRow="0" w:firstColumn="0" w:lastColumn="0" w:oddVBand="0" w:evenVBand="1" w:oddHBand="0" w:evenHBand="0" w:firstRowFirstColumn="0" w:firstRowLastColumn="0" w:lastRowFirstColumn="0" w:lastRowLastColumn="0"/>
            <w:tcW w:w="1230" w:type="dxa"/>
            <w:noWrap/>
          </w:tcPr>
          <w:p w14:paraId="0D785020" w14:textId="77777777" w:rsidR="005D2595" w:rsidRPr="0067507D" w:rsidRDefault="005D2595" w:rsidP="00FC3AF2">
            <w:pPr>
              <w:pStyle w:val="Tabletextright"/>
            </w:pPr>
            <w:r w:rsidRPr="0067507D">
              <w:t xml:space="preserve"> 724 517 </w:t>
            </w:r>
          </w:p>
        </w:tc>
      </w:tr>
      <w:tr w:rsidR="005D2595" w:rsidRPr="0067507D" w14:paraId="2DBE5420"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2098C0F0" w14:textId="77777777" w:rsidR="005D2595" w:rsidRPr="0067507D" w:rsidRDefault="005D2595" w:rsidP="00FC3AF2">
            <w:pPr>
              <w:pStyle w:val="Tabletext"/>
            </w:pPr>
            <w:r w:rsidRPr="0067507D">
              <w:t>Contributions by plan participants</w:t>
            </w:r>
          </w:p>
        </w:tc>
        <w:tc>
          <w:tcPr>
            <w:cnfStyle w:val="000010000000" w:firstRow="0" w:lastRow="0" w:firstColumn="0" w:lastColumn="0" w:oddVBand="1" w:evenVBand="0" w:oddHBand="0" w:evenHBand="0" w:firstRowFirstColumn="0" w:firstRowLastColumn="0" w:lastRowFirstColumn="0" w:lastRowLastColumn="0"/>
            <w:tcW w:w="1480" w:type="dxa"/>
            <w:noWrap/>
          </w:tcPr>
          <w:p w14:paraId="1F2E7887" w14:textId="77777777" w:rsidR="005D2595" w:rsidRPr="0067507D" w:rsidRDefault="005D2595" w:rsidP="00FC3AF2">
            <w:pPr>
              <w:pStyle w:val="Tabletextright"/>
            </w:pPr>
            <w:r w:rsidRPr="0067507D">
              <w:t xml:space="preserve"> 235 015 </w:t>
            </w:r>
          </w:p>
        </w:tc>
        <w:tc>
          <w:tcPr>
            <w:cnfStyle w:val="000001000000" w:firstRow="0" w:lastRow="0" w:firstColumn="0" w:lastColumn="0" w:oddVBand="0" w:evenVBand="1" w:oddHBand="0" w:evenHBand="0" w:firstRowFirstColumn="0" w:firstRowLastColumn="0" w:lastRowFirstColumn="0" w:lastRowLastColumn="0"/>
            <w:tcW w:w="1230" w:type="dxa"/>
            <w:noWrap/>
          </w:tcPr>
          <w:p w14:paraId="54D29581" w14:textId="77777777" w:rsidR="005D2595" w:rsidRPr="0067507D" w:rsidRDefault="005D2595" w:rsidP="00FC3AF2">
            <w:pPr>
              <w:pStyle w:val="Tabletextright"/>
            </w:pPr>
            <w:r w:rsidRPr="0067507D">
              <w:t xml:space="preserve"> 233 233 </w:t>
            </w:r>
          </w:p>
        </w:tc>
      </w:tr>
      <w:tr w:rsidR="005D2595" w:rsidRPr="0067507D" w14:paraId="42566F6C"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79AE166E" w14:textId="77777777" w:rsidR="005D2595" w:rsidRPr="0067507D" w:rsidRDefault="005D2595" w:rsidP="00FC3AF2">
            <w:pPr>
              <w:pStyle w:val="Tabletext"/>
            </w:pPr>
            <w:r w:rsidRPr="0067507D">
              <w:t>Benefits paid (including tax paid)</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269F6CC1" w14:textId="77777777" w:rsidR="005D2595" w:rsidRPr="0067507D" w:rsidRDefault="005D2595" w:rsidP="00FC3AF2">
            <w:pPr>
              <w:pStyle w:val="Tabletextright"/>
            </w:pPr>
            <w:r w:rsidRPr="0067507D">
              <w:t xml:space="preserve">(3 397 905) </w:t>
            </w:r>
          </w:p>
        </w:tc>
        <w:tc>
          <w:tcPr>
            <w:cnfStyle w:val="000001000000" w:firstRow="0" w:lastRow="0" w:firstColumn="0" w:lastColumn="0" w:oddVBand="0" w:evenVBand="1" w:oddHBand="0" w:evenHBand="0" w:firstRowFirstColumn="0" w:firstRowLastColumn="0" w:lastRowFirstColumn="0" w:lastRowLastColumn="0"/>
            <w:tcW w:w="1230" w:type="dxa"/>
            <w:noWrap/>
          </w:tcPr>
          <w:p w14:paraId="4D1BE614" w14:textId="77777777" w:rsidR="005D2595" w:rsidRPr="0067507D" w:rsidRDefault="005D2595" w:rsidP="00FC3AF2">
            <w:pPr>
              <w:pStyle w:val="Tabletextright"/>
            </w:pPr>
            <w:r w:rsidRPr="0067507D">
              <w:t xml:space="preserve">(3 165 381) </w:t>
            </w:r>
          </w:p>
        </w:tc>
      </w:tr>
      <w:tr w:rsidR="005D2595" w:rsidRPr="0067507D" w14:paraId="64F7BAC6"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08FD5A21" w14:textId="77777777" w:rsidR="005D2595" w:rsidRPr="0067507D" w:rsidRDefault="005D2595" w:rsidP="00FC3AF2">
            <w:pPr>
              <w:pStyle w:val="Tabletextbold"/>
            </w:pPr>
            <w:r w:rsidRPr="0067507D">
              <w:t>Closing balance of plan assets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7A7759EF" w14:textId="77777777" w:rsidR="005D2595" w:rsidRPr="0067507D" w:rsidRDefault="005D2595" w:rsidP="00FC3AF2">
            <w:pPr>
              <w:pStyle w:val="Tabletextrightbold"/>
            </w:pPr>
            <w:r w:rsidRPr="0067507D">
              <w:t xml:space="preserve">25 499 097 </w:t>
            </w:r>
          </w:p>
        </w:tc>
        <w:tc>
          <w:tcPr>
            <w:cnfStyle w:val="000001000000" w:firstRow="0" w:lastRow="0" w:firstColumn="0" w:lastColumn="0" w:oddVBand="0" w:evenVBand="1" w:oddHBand="0" w:evenHBand="0" w:firstRowFirstColumn="0" w:firstRowLastColumn="0" w:lastRowFirstColumn="0" w:lastRowLastColumn="0"/>
            <w:tcW w:w="1230" w:type="dxa"/>
            <w:noWrap/>
          </w:tcPr>
          <w:p w14:paraId="4FC21DA2" w14:textId="77777777" w:rsidR="005D2595" w:rsidRPr="0067507D" w:rsidRDefault="005D2595" w:rsidP="00FC3AF2">
            <w:pPr>
              <w:pStyle w:val="Tabletextrightbold"/>
            </w:pPr>
            <w:r w:rsidRPr="0067507D">
              <w:t xml:space="preserve">25 431 304 </w:t>
            </w:r>
          </w:p>
        </w:tc>
      </w:tr>
    </w:tbl>
    <w:p w14:paraId="0EC51F7D" w14:textId="77777777" w:rsidR="005D2595" w:rsidRPr="0067507D" w:rsidRDefault="005D2595" w:rsidP="005D2595">
      <w:pPr>
        <w:pStyle w:val="Spacer"/>
      </w:pPr>
    </w:p>
    <w:p w14:paraId="3B55C4EB" w14:textId="77777777" w:rsidR="005D2595" w:rsidRPr="0067507D" w:rsidRDefault="005D2595" w:rsidP="005D2595">
      <w:pPr>
        <w:pStyle w:val="Heading4"/>
      </w:pPr>
      <w:r w:rsidRPr="0067507D">
        <w:t>Actuarial assumptions</w:t>
      </w:r>
    </w:p>
    <w:tbl>
      <w:tblPr>
        <w:tblStyle w:val="AnnualReportfinancialtable"/>
        <w:tblW w:w="8850" w:type="dxa"/>
        <w:tblLook w:val="00A0" w:firstRow="1" w:lastRow="0" w:firstColumn="1" w:lastColumn="0" w:noHBand="0" w:noVBand="0"/>
      </w:tblPr>
      <w:tblGrid>
        <w:gridCol w:w="6140"/>
        <w:gridCol w:w="1480"/>
        <w:gridCol w:w="1230"/>
      </w:tblGrid>
      <w:tr w:rsidR="005D2595" w:rsidRPr="0067507D" w14:paraId="15528DC0"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64704249" w14:textId="77777777" w:rsidR="005D2595" w:rsidRPr="0067507D" w:rsidRDefault="005D2595" w:rsidP="00FC3AF2">
            <w:pPr>
              <w:pStyle w:val="Tabletextheadingrightbold"/>
            </w:pP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41ABDF55" w14:textId="04E72629" w:rsidR="005D2595" w:rsidRPr="0067507D" w:rsidRDefault="005D2595" w:rsidP="00FC3AF2">
            <w:pPr>
              <w:pStyle w:val="Tabletextheadingrightbold"/>
            </w:pPr>
            <w:r w:rsidRPr="0067507D">
              <w:t>2025</w:t>
            </w:r>
            <w:r w:rsidR="00775C83">
              <w:br/>
            </w:r>
            <w:r w:rsidR="00775C83" w:rsidRPr="0067507D">
              <w:t>% a year</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79A3A089" w14:textId="627D674B" w:rsidR="005D2595" w:rsidRPr="0067507D" w:rsidRDefault="005D2595" w:rsidP="00FC3AF2">
            <w:pPr>
              <w:pStyle w:val="Tabletextheadingrightbold"/>
            </w:pPr>
            <w:r w:rsidRPr="0067507D">
              <w:t>2024</w:t>
            </w:r>
            <w:r w:rsidR="00775C83">
              <w:br/>
            </w:r>
            <w:r w:rsidR="00775C83" w:rsidRPr="0067507D">
              <w:t>% a year</w:t>
            </w:r>
          </w:p>
        </w:tc>
      </w:tr>
      <w:tr w:rsidR="005D2595" w:rsidRPr="0067507D" w14:paraId="1D5EFFB5"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3D4BB0A4" w14:textId="77777777" w:rsidR="005D2595" w:rsidRPr="0067507D" w:rsidRDefault="005D2595" w:rsidP="00FC3AF2">
            <w:pPr>
              <w:pStyle w:val="Tabletextbold"/>
            </w:pPr>
            <w:r w:rsidRPr="0067507D">
              <w:t>Emergency Services and State Super</w:t>
            </w:r>
          </w:p>
        </w:tc>
        <w:tc>
          <w:tcPr>
            <w:cnfStyle w:val="000010000000" w:firstRow="0" w:lastRow="0" w:firstColumn="0" w:lastColumn="0" w:oddVBand="1" w:evenVBand="0" w:oddHBand="0" w:evenHBand="0" w:firstRowFirstColumn="0" w:firstRowLastColumn="0" w:lastRowFirstColumn="0" w:lastRowLastColumn="0"/>
            <w:tcW w:w="1480" w:type="dxa"/>
            <w:noWrap/>
          </w:tcPr>
          <w:p w14:paraId="1BC44C69" w14:textId="77777777" w:rsidR="005D2595" w:rsidRPr="0067507D" w:rsidRDefault="005D2595" w:rsidP="00FC3AF2">
            <w:pPr>
              <w:pStyle w:val="Tabletextrightbold"/>
            </w:pPr>
          </w:p>
        </w:tc>
        <w:tc>
          <w:tcPr>
            <w:cnfStyle w:val="000001000000" w:firstRow="0" w:lastRow="0" w:firstColumn="0" w:lastColumn="0" w:oddVBand="0" w:evenVBand="1" w:oddHBand="0" w:evenHBand="0" w:firstRowFirstColumn="0" w:firstRowLastColumn="0" w:lastRowFirstColumn="0" w:lastRowLastColumn="0"/>
            <w:tcW w:w="1230" w:type="dxa"/>
            <w:noWrap/>
          </w:tcPr>
          <w:p w14:paraId="54B420E6" w14:textId="77777777" w:rsidR="005D2595" w:rsidRPr="0067507D" w:rsidRDefault="005D2595" w:rsidP="00FC3AF2">
            <w:pPr>
              <w:pStyle w:val="Tabletextrightbold"/>
            </w:pPr>
          </w:p>
        </w:tc>
      </w:tr>
      <w:tr w:rsidR="005D2595" w:rsidRPr="0067507D" w14:paraId="1717B4A3"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608488A9" w14:textId="77777777" w:rsidR="005D2595" w:rsidRPr="0067507D" w:rsidRDefault="005D2595" w:rsidP="00FC3AF2">
            <w:pPr>
              <w:pStyle w:val="Tablebullet"/>
              <w:tabs>
                <w:tab w:val="clear" w:pos="360"/>
                <w:tab w:val="num" w:pos="257"/>
              </w:tabs>
            </w:pPr>
            <w:r w:rsidRPr="0067507D">
              <w:t>Expected return on assets</w:t>
            </w:r>
          </w:p>
        </w:tc>
        <w:tc>
          <w:tcPr>
            <w:cnfStyle w:val="000010000000" w:firstRow="0" w:lastRow="0" w:firstColumn="0" w:lastColumn="0" w:oddVBand="1" w:evenVBand="0" w:oddHBand="0" w:evenHBand="0" w:firstRowFirstColumn="0" w:firstRowLastColumn="0" w:lastRowFirstColumn="0" w:lastRowLastColumn="0"/>
            <w:tcW w:w="1480" w:type="dxa"/>
            <w:noWrap/>
          </w:tcPr>
          <w:p w14:paraId="577BA74A" w14:textId="77777777" w:rsidR="005D2595" w:rsidRPr="0067507D" w:rsidRDefault="005D2595" w:rsidP="00FC3AF2">
            <w:pPr>
              <w:pStyle w:val="Tabletextright"/>
            </w:pPr>
            <w:r w:rsidRPr="0067507D">
              <w:t xml:space="preserve">6.7 </w:t>
            </w:r>
          </w:p>
        </w:tc>
        <w:tc>
          <w:tcPr>
            <w:cnfStyle w:val="000001000000" w:firstRow="0" w:lastRow="0" w:firstColumn="0" w:lastColumn="0" w:oddVBand="0" w:evenVBand="1" w:oddHBand="0" w:evenHBand="0" w:firstRowFirstColumn="0" w:firstRowLastColumn="0" w:lastRowFirstColumn="0" w:lastRowLastColumn="0"/>
            <w:tcW w:w="1230" w:type="dxa"/>
            <w:noWrap/>
          </w:tcPr>
          <w:p w14:paraId="3DCDB14D" w14:textId="77777777" w:rsidR="005D2595" w:rsidRPr="0067507D" w:rsidRDefault="005D2595" w:rsidP="00FC3AF2">
            <w:pPr>
              <w:pStyle w:val="Tabletextright"/>
            </w:pPr>
            <w:r w:rsidRPr="0067507D">
              <w:t xml:space="preserve">7.0 </w:t>
            </w:r>
          </w:p>
        </w:tc>
      </w:tr>
      <w:tr w:rsidR="005D2595" w:rsidRPr="0067507D" w14:paraId="56DA4054"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037986A5" w14:textId="77777777" w:rsidR="005D2595" w:rsidRPr="0067507D" w:rsidRDefault="005D2595" w:rsidP="00FC3AF2">
            <w:pPr>
              <w:pStyle w:val="Tablebullet"/>
              <w:tabs>
                <w:tab w:val="clear" w:pos="360"/>
                <w:tab w:val="num" w:pos="257"/>
              </w:tabs>
            </w:pPr>
            <w:r w:rsidRPr="0067507D">
              <w:t>Discount rate</w:t>
            </w:r>
          </w:p>
        </w:tc>
        <w:tc>
          <w:tcPr>
            <w:cnfStyle w:val="000010000000" w:firstRow="0" w:lastRow="0" w:firstColumn="0" w:lastColumn="0" w:oddVBand="1" w:evenVBand="0" w:oddHBand="0" w:evenHBand="0" w:firstRowFirstColumn="0" w:firstRowLastColumn="0" w:lastRowFirstColumn="0" w:lastRowLastColumn="0"/>
            <w:tcW w:w="1480" w:type="dxa"/>
            <w:noWrap/>
          </w:tcPr>
          <w:p w14:paraId="682F089C" w14:textId="77777777" w:rsidR="005D2595" w:rsidRPr="0067507D" w:rsidRDefault="005D2595" w:rsidP="00FC3AF2">
            <w:pPr>
              <w:pStyle w:val="Tabletextright"/>
            </w:pPr>
            <w:r w:rsidRPr="0067507D">
              <w:t xml:space="preserve">4.4 </w:t>
            </w:r>
          </w:p>
        </w:tc>
        <w:tc>
          <w:tcPr>
            <w:cnfStyle w:val="000001000000" w:firstRow="0" w:lastRow="0" w:firstColumn="0" w:lastColumn="0" w:oddVBand="0" w:evenVBand="1" w:oddHBand="0" w:evenHBand="0" w:firstRowFirstColumn="0" w:firstRowLastColumn="0" w:lastRowFirstColumn="0" w:lastRowLastColumn="0"/>
            <w:tcW w:w="1230" w:type="dxa"/>
            <w:noWrap/>
          </w:tcPr>
          <w:p w14:paraId="6F6A2A00" w14:textId="77777777" w:rsidR="005D2595" w:rsidRPr="0067507D" w:rsidRDefault="005D2595" w:rsidP="00FC3AF2">
            <w:pPr>
              <w:pStyle w:val="Tabletextright"/>
            </w:pPr>
            <w:r w:rsidRPr="0067507D">
              <w:t xml:space="preserve">4.5 </w:t>
            </w:r>
          </w:p>
        </w:tc>
      </w:tr>
      <w:tr w:rsidR="005D2595" w:rsidRPr="0067507D" w14:paraId="7A8ADF54"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0DE2B9F3" w14:textId="77777777" w:rsidR="005D2595" w:rsidRPr="0067507D" w:rsidRDefault="005D2595" w:rsidP="00FC3AF2">
            <w:pPr>
              <w:pStyle w:val="Tablebullet"/>
              <w:tabs>
                <w:tab w:val="clear" w:pos="360"/>
                <w:tab w:val="num" w:pos="257"/>
              </w:tabs>
            </w:pPr>
            <w:r w:rsidRPr="0067507D">
              <w:t>Wages growth</w:t>
            </w:r>
          </w:p>
        </w:tc>
        <w:tc>
          <w:tcPr>
            <w:cnfStyle w:val="000010000000" w:firstRow="0" w:lastRow="0" w:firstColumn="0" w:lastColumn="0" w:oddVBand="1" w:evenVBand="0" w:oddHBand="0" w:evenHBand="0" w:firstRowFirstColumn="0" w:firstRowLastColumn="0" w:lastRowFirstColumn="0" w:lastRowLastColumn="0"/>
            <w:tcW w:w="1480" w:type="dxa"/>
            <w:noWrap/>
          </w:tcPr>
          <w:p w14:paraId="4E04542D" w14:textId="77777777" w:rsidR="005D2595" w:rsidRPr="0067507D" w:rsidRDefault="005D2595" w:rsidP="00FC3AF2">
            <w:pPr>
              <w:pStyle w:val="Tabletextright"/>
            </w:pPr>
            <w:r w:rsidRPr="0067507D">
              <w:t xml:space="preserve">3.3 </w:t>
            </w:r>
          </w:p>
        </w:tc>
        <w:tc>
          <w:tcPr>
            <w:cnfStyle w:val="000001000000" w:firstRow="0" w:lastRow="0" w:firstColumn="0" w:lastColumn="0" w:oddVBand="0" w:evenVBand="1" w:oddHBand="0" w:evenHBand="0" w:firstRowFirstColumn="0" w:firstRowLastColumn="0" w:lastRowFirstColumn="0" w:lastRowLastColumn="0"/>
            <w:tcW w:w="1230" w:type="dxa"/>
            <w:noWrap/>
          </w:tcPr>
          <w:p w14:paraId="171E2555" w14:textId="77777777" w:rsidR="005D2595" w:rsidRPr="0067507D" w:rsidRDefault="005D2595" w:rsidP="00FC3AF2">
            <w:pPr>
              <w:pStyle w:val="Tabletextright"/>
            </w:pPr>
            <w:r w:rsidRPr="0067507D">
              <w:t xml:space="preserve">3.3 </w:t>
            </w:r>
          </w:p>
        </w:tc>
      </w:tr>
      <w:tr w:rsidR="005D2595" w:rsidRPr="0067507D" w14:paraId="289199EC"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3CA69539" w14:textId="77777777" w:rsidR="005D2595" w:rsidRPr="0067507D" w:rsidRDefault="005D2595" w:rsidP="00FC3AF2">
            <w:pPr>
              <w:pStyle w:val="Tablebullet"/>
              <w:tabs>
                <w:tab w:val="clear" w:pos="360"/>
                <w:tab w:val="num" w:pos="257"/>
              </w:tabs>
            </w:pPr>
            <w:r w:rsidRPr="0067507D">
              <w:t>Inflation rate</w:t>
            </w:r>
          </w:p>
        </w:tc>
        <w:tc>
          <w:tcPr>
            <w:cnfStyle w:val="000010000000" w:firstRow="0" w:lastRow="0" w:firstColumn="0" w:lastColumn="0" w:oddVBand="1" w:evenVBand="0" w:oddHBand="0" w:evenHBand="0" w:firstRowFirstColumn="0" w:firstRowLastColumn="0" w:lastRowFirstColumn="0" w:lastRowLastColumn="0"/>
            <w:tcW w:w="1480" w:type="dxa"/>
            <w:noWrap/>
          </w:tcPr>
          <w:p w14:paraId="5DB78159" w14:textId="77777777" w:rsidR="005D2595" w:rsidRPr="0067507D" w:rsidRDefault="005D2595" w:rsidP="00FC3AF2">
            <w:pPr>
              <w:pStyle w:val="Tabletextright"/>
            </w:pPr>
            <w:r w:rsidRPr="0067507D">
              <w:t xml:space="preserve">2.5 </w:t>
            </w:r>
          </w:p>
        </w:tc>
        <w:tc>
          <w:tcPr>
            <w:cnfStyle w:val="000001000000" w:firstRow="0" w:lastRow="0" w:firstColumn="0" w:lastColumn="0" w:oddVBand="0" w:evenVBand="1" w:oddHBand="0" w:evenHBand="0" w:firstRowFirstColumn="0" w:firstRowLastColumn="0" w:lastRowFirstColumn="0" w:lastRowLastColumn="0"/>
            <w:tcW w:w="1230" w:type="dxa"/>
            <w:noWrap/>
          </w:tcPr>
          <w:p w14:paraId="63EA24C6" w14:textId="77777777" w:rsidR="005D2595" w:rsidRPr="0067507D" w:rsidRDefault="005D2595" w:rsidP="00FC3AF2">
            <w:pPr>
              <w:pStyle w:val="Tabletextright"/>
            </w:pPr>
            <w:r w:rsidRPr="0067507D">
              <w:t xml:space="preserve">2.5 </w:t>
            </w:r>
          </w:p>
        </w:tc>
      </w:tr>
      <w:tr w:rsidR="005D2595" w:rsidRPr="0067507D" w14:paraId="7475AA23"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74CAABFA" w14:textId="77777777" w:rsidR="005D2595" w:rsidRPr="0067507D" w:rsidRDefault="005D2595" w:rsidP="00FC3AF2">
            <w:pPr>
              <w:pStyle w:val="Tabletextbold"/>
            </w:pPr>
            <w:r w:rsidRPr="0067507D">
              <w:t>Constitutionally Protected Pensions</w:t>
            </w:r>
          </w:p>
        </w:tc>
        <w:tc>
          <w:tcPr>
            <w:cnfStyle w:val="000010000000" w:firstRow="0" w:lastRow="0" w:firstColumn="0" w:lastColumn="0" w:oddVBand="1" w:evenVBand="0" w:oddHBand="0" w:evenHBand="0" w:firstRowFirstColumn="0" w:firstRowLastColumn="0" w:lastRowFirstColumn="0" w:lastRowLastColumn="0"/>
            <w:tcW w:w="1480" w:type="dxa"/>
            <w:noWrap/>
          </w:tcPr>
          <w:p w14:paraId="1E348D55"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230" w:type="dxa"/>
            <w:noWrap/>
          </w:tcPr>
          <w:p w14:paraId="611EC4ED" w14:textId="77777777" w:rsidR="005D2595" w:rsidRPr="0067507D" w:rsidRDefault="005D2595" w:rsidP="00FC3AF2">
            <w:pPr>
              <w:pStyle w:val="Tabletextright"/>
            </w:pPr>
          </w:p>
        </w:tc>
      </w:tr>
      <w:tr w:rsidR="005D2595" w:rsidRPr="0067507D" w14:paraId="033E29B7"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610CEC16" w14:textId="77777777" w:rsidR="005D2595" w:rsidRPr="0067507D" w:rsidRDefault="005D2595" w:rsidP="00FC3AF2">
            <w:pPr>
              <w:pStyle w:val="Tablebullet"/>
              <w:tabs>
                <w:tab w:val="clear" w:pos="360"/>
                <w:tab w:val="num" w:pos="257"/>
              </w:tabs>
            </w:pPr>
            <w:r w:rsidRPr="0067507D">
              <w:t>Discount rate</w:t>
            </w:r>
          </w:p>
        </w:tc>
        <w:tc>
          <w:tcPr>
            <w:cnfStyle w:val="000010000000" w:firstRow="0" w:lastRow="0" w:firstColumn="0" w:lastColumn="0" w:oddVBand="1" w:evenVBand="0" w:oddHBand="0" w:evenHBand="0" w:firstRowFirstColumn="0" w:firstRowLastColumn="0" w:lastRowFirstColumn="0" w:lastRowLastColumn="0"/>
            <w:tcW w:w="1480" w:type="dxa"/>
            <w:noWrap/>
          </w:tcPr>
          <w:p w14:paraId="47C9ED12" w14:textId="77777777" w:rsidR="005D2595" w:rsidRPr="0067507D" w:rsidRDefault="005D2595" w:rsidP="00FC3AF2">
            <w:pPr>
              <w:pStyle w:val="Tabletextright"/>
            </w:pPr>
            <w:r w:rsidRPr="0067507D">
              <w:t xml:space="preserve">4.4 </w:t>
            </w:r>
          </w:p>
        </w:tc>
        <w:tc>
          <w:tcPr>
            <w:cnfStyle w:val="000001000000" w:firstRow="0" w:lastRow="0" w:firstColumn="0" w:lastColumn="0" w:oddVBand="0" w:evenVBand="1" w:oddHBand="0" w:evenHBand="0" w:firstRowFirstColumn="0" w:firstRowLastColumn="0" w:lastRowFirstColumn="0" w:lastRowLastColumn="0"/>
            <w:tcW w:w="1230" w:type="dxa"/>
            <w:noWrap/>
          </w:tcPr>
          <w:p w14:paraId="2898A6A7" w14:textId="77777777" w:rsidR="005D2595" w:rsidRPr="0067507D" w:rsidRDefault="005D2595" w:rsidP="00FC3AF2">
            <w:pPr>
              <w:pStyle w:val="Tabletextright"/>
            </w:pPr>
            <w:r w:rsidRPr="0067507D">
              <w:t xml:space="preserve">4.5 </w:t>
            </w:r>
          </w:p>
        </w:tc>
      </w:tr>
      <w:tr w:rsidR="005D2595" w:rsidRPr="0067507D" w14:paraId="674B0794"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02D30B2E" w14:textId="77777777" w:rsidR="005D2595" w:rsidRPr="0067507D" w:rsidRDefault="005D2595" w:rsidP="00FC3AF2">
            <w:pPr>
              <w:pStyle w:val="Tablebullet"/>
              <w:tabs>
                <w:tab w:val="clear" w:pos="360"/>
                <w:tab w:val="num" w:pos="257"/>
              </w:tabs>
            </w:pPr>
            <w:r w:rsidRPr="0067507D">
              <w:t>Wages growth</w:t>
            </w:r>
          </w:p>
        </w:tc>
        <w:tc>
          <w:tcPr>
            <w:cnfStyle w:val="000010000000" w:firstRow="0" w:lastRow="0" w:firstColumn="0" w:lastColumn="0" w:oddVBand="1" w:evenVBand="0" w:oddHBand="0" w:evenHBand="0" w:firstRowFirstColumn="0" w:firstRowLastColumn="0" w:lastRowFirstColumn="0" w:lastRowLastColumn="0"/>
            <w:tcW w:w="1480" w:type="dxa"/>
            <w:noWrap/>
          </w:tcPr>
          <w:p w14:paraId="756091F1" w14:textId="77777777" w:rsidR="005D2595" w:rsidRPr="0067507D" w:rsidRDefault="005D2595" w:rsidP="00FC3AF2">
            <w:pPr>
              <w:pStyle w:val="Tabletextright"/>
            </w:pPr>
            <w:r w:rsidRPr="0067507D">
              <w:t xml:space="preserve">3.3 </w:t>
            </w:r>
          </w:p>
        </w:tc>
        <w:tc>
          <w:tcPr>
            <w:cnfStyle w:val="000001000000" w:firstRow="0" w:lastRow="0" w:firstColumn="0" w:lastColumn="0" w:oddVBand="0" w:evenVBand="1" w:oddHBand="0" w:evenHBand="0" w:firstRowFirstColumn="0" w:firstRowLastColumn="0" w:lastRowFirstColumn="0" w:lastRowLastColumn="0"/>
            <w:tcW w:w="1230" w:type="dxa"/>
            <w:noWrap/>
          </w:tcPr>
          <w:p w14:paraId="14CBBE2A" w14:textId="77777777" w:rsidR="005D2595" w:rsidRPr="0067507D" w:rsidRDefault="005D2595" w:rsidP="00FC3AF2">
            <w:pPr>
              <w:pStyle w:val="Tabletextright"/>
            </w:pPr>
            <w:r w:rsidRPr="0067507D">
              <w:t xml:space="preserve">3.3 </w:t>
            </w:r>
          </w:p>
        </w:tc>
      </w:tr>
      <w:tr w:rsidR="005D2595" w:rsidRPr="0067507D" w14:paraId="34DAC834"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446EAD0E" w14:textId="77777777" w:rsidR="005D2595" w:rsidRPr="0067507D" w:rsidRDefault="005D2595" w:rsidP="00FC3AF2">
            <w:pPr>
              <w:pStyle w:val="Tablebullet"/>
              <w:tabs>
                <w:tab w:val="clear" w:pos="360"/>
                <w:tab w:val="num" w:pos="257"/>
              </w:tabs>
            </w:pPr>
            <w:r w:rsidRPr="0067507D">
              <w:t>Inflation rate</w:t>
            </w:r>
          </w:p>
        </w:tc>
        <w:tc>
          <w:tcPr>
            <w:cnfStyle w:val="000010000000" w:firstRow="0" w:lastRow="0" w:firstColumn="0" w:lastColumn="0" w:oddVBand="1" w:evenVBand="0" w:oddHBand="0" w:evenHBand="0" w:firstRowFirstColumn="0" w:firstRowLastColumn="0" w:lastRowFirstColumn="0" w:lastRowLastColumn="0"/>
            <w:tcW w:w="1480" w:type="dxa"/>
            <w:noWrap/>
          </w:tcPr>
          <w:p w14:paraId="64F1C854" w14:textId="77777777" w:rsidR="005D2595" w:rsidRPr="0067507D" w:rsidRDefault="005D2595" w:rsidP="00FC3AF2">
            <w:pPr>
              <w:pStyle w:val="Tabletextright"/>
            </w:pPr>
            <w:r w:rsidRPr="0067507D">
              <w:t>n/a</w:t>
            </w:r>
          </w:p>
        </w:tc>
        <w:tc>
          <w:tcPr>
            <w:cnfStyle w:val="000001000000" w:firstRow="0" w:lastRow="0" w:firstColumn="0" w:lastColumn="0" w:oddVBand="0" w:evenVBand="1" w:oddHBand="0" w:evenHBand="0" w:firstRowFirstColumn="0" w:firstRowLastColumn="0" w:lastRowFirstColumn="0" w:lastRowLastColumn="0"/>
            <w:tcW w:w="1230" w:type="dxa"/>
            <w:noWrap/>
          </w:tcPr>
          <w:p w14:paraId="2A9F1AFB" w14:textId="77777777" w:rsidR="005D2595" w:rsidRPr="0067507D" w:rsidRDefault="005D2595" w:rsidP="00FC3AF2">
            <w:pPr>
              <w:pStyle w:val="Tabletextright"/>
            </w:pPr>
            <w:r w:rsidRPr="0067507D">
              <w:t>n/a</w:t>
            </w:r>
          </w:p>
        </w:tc>
      </w:tr>
      <w:tr w:rsidR="005D2595" w:rsidRPr="0067507D" w14:paraId="375D7AFA"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483F557F" w14:textId="77777777" w:rsidR="005D2595" w:rsidRPr="0067507D" w:rsidRDefault="005D2595" w:rsidP="00FC3AF2">
            <w:pPr>
              <w:pStyle w:val="Tabletextbold"/>
            </w:pPr>
            <w:r w:rsidRPr="0067507D">
              <w:t>Health Super Fund</w:t>
            </w:r>
          </w:p>
        </w:tc>
        <w:tc>
          <w:tcPr>
            <w:cnfStyle w:val="000010000000" w:firstRow="0" w:lastRow="0" w:firstColumn="0" w:lastColumn="0" w:oddVBand="1" w:evenVBand="0" w:oddHBand="0" w:evenHBand="0" w:firstRowFirstColumn="0" w:firstRowLastColumn="0" w:lastRowFirstColumn="0" w:lastRowLastColumn="0"/>
            <w:tcW w:w="1480" w:type="dxa"/>
            <w:noWrap/>
          </w:tcPr>
          <w:p w14:paraId="40BFC479"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230" w:type="dxa"/>
            <w:noWrap/>
          </w:tcPr>
          <w:p w14:paraId="17E13FE9" w14:textId="77777777" w:rsidR="005D2595" w:rsidRPr="0067507D" w:rsidRDefault="005D2595" w:rsidP="00FC3AF2">
            <w:pPr>
              <w:pStyle w:val="Tabletextright"/>
            </w:pPr>
          </w:p>
        </w:tc>
      </w:tr>
      <w:tr w:rsidR="005D2595" w:rsidRPr="0067507D" w14:paraId="6E7935E5"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18439E8B" w14:textId="77777777" w:rsidR="005D2595" w:rsidRPr="0067507D" w:rsidRDefault="005D2595" w:rsidP="00FC3AF2">
            <w:pPr>
              <w:pStyle w:val="Tablebullet"/>
              <w:tabs>
                <w:tab w:val="clear" w:pos="360"/>
                <w:tab w:val="num" w:pos="257"/>
              </w:tabs>
            </w:pPr>
            <w:r w:rsidRPr="0067507D">
              <w:t>Expected return on assets</w:t>
            </w:r>
          </w:p>
        </w:tc>
        <w:tc>
          <w:tcPr>
            <w:cnfStyle w:val="000010000000" w:firstRow="0" w:lastRow="0" w:firstColumn="0" w:lastColumn="0" w:oddVBand="1" w:evenVBand="0" w:oddHBand="0" w:evenHBand="0" w:firstRowFirstColumn="0" w:firstRowLastColumn="0" w:lastRowFirstColumn="0" w:lastRowLastColumn="0"/>
            <w:tcW w:w="1480" w:type="dxa"/>
            <w:noWrap/>
          </w:tcPr>
          <w:p w14:paraId="7525E62D" w14:textId="77777777" w:rsidR="005D2595" w:rsidRPr="0067507D" w:rsidRDefault="005D2595" w:rsidP="00FC3AF2">
            <w:pPr>
              <w:pStyle w:val="Tabletextright"/>
            </w:pPr>
            <w:r w:rsidRPr="0067507D">
              <w:t xml:space="preserve">4.5 </w:t>
            </w:r>
          </w:p>
        </w:tc>
        <w:tc>
          <w:tcPr>
            <w:cnfStyle w:val="000001000000" w:firstRow="0" w:lastRow="0" w:firstColumn="0" w:lastColumn="0" w:oddVBand="0" w:evenVBand="1" w:oddHBand="0" w:evenHBand="0" w:firstRowFirstColumn="0" w:firstRowLastColumn="0" w:lastRowFirstColumn="0" w:lastRowLastColumn="0"/>
            <w:tcW w:w="1230" w:type="dxa"/>
            <w:noWrap/>
          </w:tcPr>
          <w:p w14:paraId="49FC4894" w14:textId="77777777" w:rsidR="005D2595" w:rsidRPr="0067507D" w:rsidRDefault="005D2595" w:rsidP="00FC3AF2">
            <w:pPr>
              <w:pStyle w:val="Tabletextright"/>
            </w:pPr>
            <w:r w:rsidRPr="0067507D">
              <w:t xml:space="preserve">5.0 </w:t>
            </w:r>
          </w:p>
        </w:tc>
      </w:tr>
      <w:tr w:rsidR="005D2595" w:rsidRPr="0067507D" w14:paraId="659F0804"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3B15941E" w14:textId="77777777" w:rsidR="005D2595" w:rsidRPr="0067507D" w:rsidRDefault="005D2595" w:rsidP="00FC3AF2">
            <w:pPr>
              <w:pStyle w:val="Tablebullet"/>
              <w:tabs>
                <w:tab w:val="clear" w:pos="360"/>
                <w:tab w:val="num" w:pos="257"/>
              </w:tabs>
            </w:pPr>
            <w:r w:rsidRPr="0067507D">
              <w:t>Discount rate</w:t>
            </w:r>
          </w:p>
        </w:tc>
        <w:tc>
          <w:tcPr>
            <w:cnfStyle w:val="000010000000" w:firstRow="0" w:lastRow="0" w:firstColumn="0" w:lastColumn="0" w:oddVBand="1" w:evenVBand="0" w:oddHBand="0" w:evenHBand="0" w:firstRowFirstColumn="0" w:firstRowLastColumn="0" w:lastRowFirstColumn="0" w:lastRowLastColumn="0"/>
            <w:tcW w:w="1480" w:type="dxa"/>
            <w:noWrap/>
          </w:tcPr>
          <w:p w14:paraId="45E01B8A" w14:textId="77777777" w:rsidR="005D2595" w:rsidRPr="0067507D" w:rsidRDefault="005D2595" w:rsidP="00FC3AF2">
            <w:pPr>
              <w:pStyle w:val="Tabletextright"/>
            </w:pPr>
            <w:r w:rsidRPr="0067507D">
              <w:t xml:space="preserve">4.4 </w:t>
            </w:r>
          </w:p>
        </w:tc>
        <w:tc>
          <w:tcPr>
            <w:cnfStyle w:val="000001000000" w:firstRow="0" w:lastRow="0" w:firstColumn="0" w:lastColumn="0" w:oddVBand="0" w:evenVBand="1" w:oddHBand="0" w:evenHBand="0" w:firstRowFirstColumn="0" w:firstRowLastColumn="0" w:lastRowFirstColumn="0" w:lastRowLastColumn="0"/>
            <w:tcW w:w="1230" w:type="dxa"/>
            <w:noWrap/>
          </w:tcPr>
          <w:p w14:paraId="418D5267" w14:textId="77777777" w:rsidR="005D2595" w:rsidRPr="0067507D" w:rsidRDefault="005D2595" w:rsidP="00FC3AF2">
            <w:pPr>
              <w:pStyle w:val="Tabletextright"/>
            </w:pPr>
            <w:r w:rsidRPr="0067507D">
              <w:t xml:space="preserve">4.5 </w:t>
            </w:r>
          </w:p>
        </w:tc>
      </w:tr>
      <w:tr w:rsidR="005D2595" w:rsidRPr="0067507D" w14:paraId="6EF4643B"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2103700D" w14:textId="77777777" w:rsidR="005D2595" w:rsidRPr="0067507D" w:rsidRDefault="005D2595" w:rsidP="00FC3AF2">
            <w:pPr>
              <w:pStyle w:val="Tablebullet"/>
              <w:tabs>
                <w:tab w:val="clear" w:pos="360"/>
                <w:tab w:val="num" w:pos="257"/>
              </w:tabs>
            </w:pPr>
            <w:r w:rsidRPr="0067507D">
              <w:t>Wages growth</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1BEE5A19" w14:textId="77777777" w:rsidR="005D2595" w:rsidRPr="0067507D" w:rsidRDefault="005D2595" w:rsidP="00FC3AF2">
            <w:pPr>
              <w:pStyle w:val="Tabletextright"/>
            </w:pPr>
            <w:r w:rsidRPr="0067507D">
              <w:t xml:space="preserve">3.3 </w:t>
            </w:r>
          </w:p>
        </w:tc>
        <w:tc>
          <w:tcPr>
            <w:cnfStyle w:val="000001000000" w:firstRow="0" w:lastRow="0" w:firstColumn="0" w:lastColumn="0" w:oddVBand="0" w:evenVBand="1" w:oddHBand="0" w:evenHBand="0" w:firstRowFirstColumn="0" w:firstRowLastColumn="0" w:lastRowFirstColumn="0" w:lastRowLastColumn="0"/>
            <w:tcW w:w="1230" w:type="dxa"/>
            <w:noWrap/>
          </w:tcPr>
          <w:p w14:paraId="22032D7A" w14:textId="77777777" w:rsidR="005D2595" w:rsidRPr="0067507D" w:rsidRDefault="005D2595" w:rsidP="00FC3AF2">
            <w:pPr>
              <w:pStyle w:val="Tabletextright"/>
            </w:pPr>
            <w:r w:rsidRPr="0067507D">
              <w:t xml:space="preserve">3.3 </w:t>
            </w:r>
          </w:p>
        </w:tc>
      </w:tr>
      <w:tr w:rsidR="005D2595" w:rsidRPr="0067507D" w14:paraId="78D8EB41"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30B60D24" w14:textId="77777777" w:rsidR="005D2595" w:rsidRPr="0067507D" w:rsidRDefault="005D2595" w:rsidP="00FC3AF2">
            <w:pPr>
              <w:pStyle w:val="Tablebullet"/>
              <w:tabs>
                <w:tab w:val="clear" w:pos="360"/>
                <w:tab w:val="num" w:pos="257"/>
              </w:tabs>
            </w:pPr>
            <w:r w:rsidRPr="0067507D">
              <w:t>Inflation rate</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5322F285" w14:textId="77777777" w:rsidR="005D2595" w:rsidRPr="0067507D" w:rsidRDefault="005D2595" w:rsidP="00FC3AF2">
            <w:pPr>
              <w:pStyle w:val="Tabletextright"/>
            </w:pPr>
            <w:r w:rsidRPr="0067507D">
              <w:t xml:space="preserve">2.5 </w:t>
            </w:r>
          </w:p>
        </w:tc>
        <w:tc>
          <w:tcPr>
            <w:cnfStyle w:val="000001000000" w:firstRow="0" w:lastRow="0" w:firstColumn="0" w:lastColumn="0" w:oddVBand="0" w:evenVBand="1" w:oddHBand="0" w:evenHBand="0" w:firstRowFirstColumn="0" w:firstRowLastColumn="0" w:lastRowFirstColumn="0" w:lastRowLastColumn="0"/>
            <w:tcW w:w="1230" w:type="dxa"/>
            <w:noWrap/>
          </w:tcPr>
          <w:p w14:paraId="7EBECD5A" w14:textId="77777777" w:rsidR="005D2595" w:rsidRPr="0067507D" w:rsidRDefault="005D2595" w:rsidP="00FC3AF2">
            <w:pPr>
              <w:pStyle w:val="Tabletextright"/>
            </w:pPr>
            <w:r w:rsidRPr="0067507D">
              <w:t xml:space="preserve">2.5 </w:t>
            </w:r>
          </w:p>
        </w:tc>
      </w:tr>
    </w:tbl>
    <w:p w14:paraId="34C61CAB" w14:textId="77777777" w:rsidR="005D2595" w:rsidRPr="0067507D" w:rsidRDefault="005D2595" w:rsidP="005D2595"/>
    <w:p w14:paraId="2F468FEF"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space="569"/>
          <w:noEndnote/>
        </w:sectPr>
      </w:pPr>
    </w:p>
    <w:p w14:paraId="410C8610" w14:textId="77777777" w:rsidR="005D2595" w:rsidRPr="0067507D" w:rsidRDefault="005D2595" w:rsidP="005D2595">
      <w:pPr>
        <w:pStyle w:val="Heading4"/>
      </w:pPr>
      <w:r w:rsidRPr="0067507D">
        <w:lastRenderedPageBreak/>
        <w:t>Sensitivity analysis</w:t>
      </w:r>
    </w:p>
    <w:p w14:paraId="187FDD2C" w14:textId="77777777" w:rsidR="005D2595" w:rsidRPr="0067507D" w:rsidRDefault="005D2595" w:rsidP="005D2595">
      <w:pPr>
        <w:sectPr w:rsidR="005D2595" w:rsidRPr="0067507D" w:rsidSect="005D2595">
          <w:pgSz w:w="11909" w:h="16834" w:code="9"/>
          <w:pgMar w:top="1728" w:right="1152" w:bottom="1152" w:left="1152" w:header="720" w:footer="288" w:gutter="0"/>
          <w:cols w:num="2" w:space="569"/>
          <w:noEndnote/>
        </w:sectPr>
      </w:pPr>
    </w:p>
    <w:p w14:paraId="7C548DCA" w14:textId="77777777" w:rsidR="005D2595" w:rsidRPr="0067507D" w:rsidRDefault="005D2595" w:rsidP="005D2595">
      <w:r w:rsidRPr="0067507D">
        <w:t>The significant actuarial assumptions associated with the State's defined benefit superannuation plans</w:t>
      </w:r>
      <w:r w:rsidRPr="0067507D">
        <w:rPr>
          <w:rFonts w:ascii="Calibri" w:hAnsi="Calibri" w:cs="Calibri"/>
        </w:rPr>
        <w:t> </w:t>
      </w:r>
      <w:r w:rsidRPr="0067507D">
        <w:t>are:</w:t>
      </w:r>
    </w:p>
    <w:p w14:paraId="52D0700C" w14:textId="77777777" w:rsidR="005D2595" w:rsidRPr="0067507D" w:rsidRDefault="005D2595" w:rsidP="006273F6">
      <w:pPr>
        <w:pStyle w:val="Bullet"/>
        <w:numPr>
          <w:ilvl w:val="0"/>
          <w:numId w:val="22"/>
        </w:numPr>
      </w:pPr>
      <w:r w:rsidRPr="0067507D">
        <w:t>investment risk – the risk that investment returns will be lower than assumed and that state contributions will need to increase to offset the shortfall</w:t>
      </w:r>
    </w:p>
    <w:p w14:paraId="21676B55" w14:textId="77777777" w:rsidR="005D2595" w:rsidRPr="0067507D" w:rsidRDefault="005D2595" w:rsidP="006273F6">
      <w:pPr>
        <w:pStyle w:val="Bullet"/>
        <w:numPr>
          <w:ilvl w:val="0"/>
          <w:numId w:val="22"/>
        </w:numPr>
      </w:pPr>
      <w:r w:rsidRPr="0067507D">
        <w:t>wages growth risk – the risk that wages or salaries (on which future benefits are based) will rise more rapidly than assumed, thereby increasing defined benefits and requiring additional employer contributions</w:t>
      </w:r>
    </w:p>
    <w:p w14:paraId="178D4FBB" w14:textId="77777777" w:rsidR="005D2595" w:rsidRPr="0067507D" w:rsidRDefault="005D2595" w:rsidP="006273F6">
      <w:pPr>
        <w:pStyle w:val="Bullet"/>
        <w:numPr>
          <w:ilvl w:val="0"/>
          <w:numId w:val="22"/>
        </w:numPr>
      </w:pPr>
      <w:r w:rsidRPr="0067507D">
        <w:t>pension growth risk – the risk that CPI and therefore pension increases will be higher than assumed, thereby increasing defined benefit pension payments and requiring additional employer contributions.</w:t>
      </w:r>
    </w:p>
    <w:p w14:paraId="23388716" w14:textId="77777777" w:rsidR="005D2595" w:rsidRPr="0067507D" w:rsidRDefault="005D2595" w:rsidP="00F670BF">
      <w:pPr>
        <w:ind w:right="18"/>
      </w:pPr>
      <w:r w:rsidRPr="0067507D">
        <w:br w:type="column"/>
      </w:r>
      <w:r w:rsidRPr="0067507D">
        <w:t>To illustrate the impact that movements in significant actuarial assumptions can have on the State's superannuation liability, the defined benefit obligation has been remeasured under the scenarios below. The assumptions below have been adjusted while maintaining all other assumptions. There have been no changes to the methods and assumptions used to prepare this sensitivity analysis since the prior period.</w:t>
      </w:r>
    </w:p>
    <w:p w14:paraId="4AA31BC7"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p w14:paraId="6E6D7164" w14:textId="77777777" w:rsidR="005D2595" w:rsidRPr="0067507D" w:rsidRDefault="005D2595" w:rsidP="005D2595">
      <w:pPr>
        <w:spacing w:before="240"/>
      </w:pPr>
      <w:r w:rsidRPr="0067507D">
        <w:t>These scenarios are expected to have the following impact on the State's defined benefit obligation.</w:t>
      </w:r>
    </w:p>
    <w:tbl>
      <w:tblPr>
        <w:tblStyle w:val="AnnualReporttexttable"/>
        <w:tblW w:w="8279" w:type="dxa"/>
        <w:tblLayout w:type="fixed"/>
        <w:tblLook w:val="00A0" w:firstRow="1" w:lastRow="0" w:firstColumn="1" w:lastColumn="0" w:noHBand="0" w:noVBand="0"/>
      </w:tblPr>
      <w:tblGrid>
        <w:gridCol w:w="3600"/>
        <w:gridCol w:w="1170"/>
        <w:gridCol w:w="1170"/>
        <w:gridCol w:w="1170"/>
        <w:gridCol w:w="1169"/>
      </w:tblGrid>
      <w:tr w:rsidR="005D2595" w:rsidRPr="0067507D" w14:paraId="7C022A6D" w14:textId="77777777" w:rsidTr="00FC3AF2">
        <w:trPr>
          <w:cnfStyle w:val="100000000000" w:firstRow="1" w:lastRow="0" w:firstColumn="0" w:lastColumn="0" w:oddVBand="0" w:evenVBand="0" w:oddHBand="0"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vAlign w:val="bottom"/>
          </w:tcPr>
          <w:p w14:paraId="77A3E9D5" w14:textId="77777777" w:rsidR="005D2595" w:rsidRPr="0067507D" w:rsidRDefault="005D2595" w:rsidP="00FC3AF2">
            <w:pPr>
              <w:pStyle w:val="Tableheader"/>
              <w:jc w:val="left"/>
              <w:rPr>
                <w:rFonts w:asciiTheme="majorHAnsi" w:hAnsiTheme="majorHAnsi"/>
                <w:b w:val="0"/>
                <w:bCs/>
              </w:rPr>
            </w:pPr>
            <w:r w:rsidRPr="0067507D">
              <w:rPr>
                <w:rFonts w:asciiTheme="majorHAnsi" w:hAnsiTheme="majorHAnsi"/>
                <w:b w:val="0"/>
                <w:bCs/>
              </w:rPr>
              <w:t>Sensitivity analysis</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vAlign w:val="bottom"/>
          </w:tcPr>
          <w:p w14:paraId="664E8EC8" w14:textId="77777777" w:rsidR="005D2595" w:rsidRPr="0067507D" w:rsidRDefault="005D2595" w:rsidP="00FC3AF2">
            <w:pPr>
              <w:pStyle w:val="Tableheader"/>
              <w:rPr>
                <w:rFonts w:asciiTheme="majorHAnsi" w:hAnsiTheme="majorHAnsi"/>
                <w:b w:val="0"/>
                <w:bCs/>
              </w:rPr>
            </w:pPr>
            <w:r w:rsidRPr="0067507D">
              <w:rPr>
                <w:rFonts w:asciiTheme="majorHAnsi" w:hAnsiTheme="majorHAnsi"/>
                <w:b w:val="0"/>
                <w:bCs/>
              </w:rPr>
              <w:t>Base case</w:t>
            </w:r>
          </w:p>
        </w:tc>
        <w:tc>
          <w:tcPr>
            <w:cnfStyle w:val="000001000000" w:firstRow="0" w:lastRow="0" w:firstColumn="0" w:lastColumn="0" w:oddVBand="0" w:evenVBand="1" w:oddHBand="0" w:evenHBand="0" w:firstRowFirstColumn="0" w:firstRowLastColumn="0" w:lastRowFirstColumn="0" w:lastRowLastColumn="0"/>
            <w:tcW w:w="1170" w:type="dxa"/>
            <w:shd w:val="clear" w:color="auto" w:fill="auto"/>
            <w:vAlign w:val="bottom"/>
          </w:tcPr>
          <w:p w14:paraId="6EC878FA" w14:textId="77777777" w:rsidR="005D2595" w:rsidRPr="0067507D" w:rsidRDefault="005D2595" w:rsidP="00FC3AF2">
            <w:pPr>
              <w:pStyle w:val="Tableheader"/>
              <w:rPr>
                <w:rFonts w:asciiTheme="majorHAnsi" w:hAnsiTheme="majorHAnsi"/>
                <w:b w:val="0"/>
                <w:bCs/>
              </w:rPr>
            </w:pPr>
            <w:r w:rsidRPr="0067507D">
              <w:rPr>
                <w:rFonts w:asciiTheme="majorHAnsi" w:hAnsiTheme="majorHAnsi"/>
                <w:b w:val="0"/>
                <w:bCs/>
              </w:rPr>
              <w:t>Discount rate plus 0.25 per cent</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vAlign w:val="bottom"/>
          </w:tcPr>
          <w:p w14:paraId="1BD6055C" w14:textId="77777777" w:rsidR="005D2595" w:rsidRPr="0067507D" w:rsidRDefault="005D2595" w:rsidP="00FC3AF2">
            <w:pPr>
              <w:pStyle w:val="Tableheader"/>
              <w:rPr>
                <w:rFonts w:asciiTheme="majorHAnsi" w:hAnsiTheme="majorHAnsi"/>
                <w:b w:val="0"/>
                <w:bCs/>
              </w:rPr>
            </w:pPr>
            <w:r w:rsidRPr="0067507D">
              <w:rPr>
                <w:rFonts w:asciiTheme="majorHAnsi" w:hAnsiTheme="majorHAnsi"/>
                <w:b w:val="0"/>
                <w:bCs/>
              </w:rPr>
              <w:t>Wage growth plus 0.25 per cent</w:t>
            </w:r>
          </w:p>
        </w:tc>
        <w:tc>
          <w:tcPr>
            <w:cnfStyle w:val="000001000000" w:firstRow="0" w:lastRow="0" w:firstColumn="0" w:lastColumn="0" w:oddVBand="0" w:evenVBand="1" w:oddHBand="0" w:evenHBand="0" w:firstRowFirstColumn="0" w:firstRowLastColumn="0" w:lastRowFirstColumn="0" w:lastRowLastColumn="0"/>
            <w:tcW w:w="1169" w:type="dxa"/>
            <w:shd w:val="clear" w:color="auto" w:fill="auto"/>
            <w:vAlign w:val="bottom"/>
          </w:tcPr>
          <w:p w14:paraId="7C985BAE" w14:textId="77777777" w:rsidR="005D2595" w:rsidRPr="0067507D" w:rsidRDefault="005D2595" w:rsidP="00FC3AF2">
            <w:pPr>
              <w:pStyle w:val="Tableheader"/>
              <w:rPr>
                <w:rFonts w:asciiTheme="majorHAnsi" w:hAnsiTheme="majorHAnsi"/>
                <w:b w:val="0"/>
                <w:bCs/>
              </w:rPr>
            </w:pPr>
            <w:r w:rsidRPr="0067507D">
              <w:rPr>
                <w:rFonts w:asciiTheme="majorHAnsi" w:hAnsiTheme="majorHAnsi"/>
                <w:b w:val="0"/>
                <w:bCs/>
              </w:rPr>
              <w:t>Inflation rate plus 0.25 per cent</w:t>
            </w:r>
          </w:p>
        </w:tc>
      </w:tr>
      <w:tr w:rsidR="005D2595" w:rsidRPr="0067507D" w14:paraId="697C423F"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7A22A07D" w14:textId="77777777" w:rsidR="005D2595" w:rsidRPr="0067507D" w:rsidRDefault="005D2595" w:rsidP="00FC3AF2">
            <w:pPr>
              <w:pStyle w:val="Tabletext"/>
              <w:rPr>
                <w:iCs/>
              </w:rPr>
            </w:pPr>
            <w:r w:rsidRPr="0067507D">
              <w:t>Discount rate (% per annum)</w:t>
            </w:r>
          </w:p>
        </w:tc>
        <w:tc>
          <w:tcPr>
            <w:cnfStyle w:val="000010000000" w:firstRow="0" w:lastRow="0" w:firstColumn="0" w:lastColumn="0" w:oddVBand="1" w:evenVBand="0" w:oddHBand="0" w:evenHBand="0" w:firstRowFirstColumn="0" w:firstRowLastColumn="0" w:lastRowFirstColumn="0" w:lastRowLastColumn="0"/>
            <w:tcW w:w="1170" w:type="dxa"/>
          </w:tcPr>
          <w:p w14:paraId="1D73D638" w14:textId="77777777" w:rsidR="005D2595" w:rsidRPr="0067507D" w:rsidRDefault="005D2595" w:rsidP="00FC3AF2">
            <w:pPr>
              <w:pStyle w:val="Tabletextright"/>
              <w:rPr>
                <w:bCs/>
              </w:rPr>
            </w:pPr>
            <w:r w:rsidRPr="0067507D">
              <w:t>4.4</w:t>
            </w:r>
          </w:p>
        </w:tc>
        <w:tc>
          <w:tcPr>
            <w:cnfStyle w:val="000001000000" w:firstRow="0" w:lastRow="0" w:firstColumn="0" w:lastColumn="0" w:oddVBand="0" w:evenVBand="1" w:oddHBand="0" w:evenHBand="0" w:firstRowFirstColumn="0" w:firstRowLastColumn="0" w:lastRowFirstColumn="0" w:lastRowLastColumn="0"/>
            <w:tcW w:w="1170" w:type="dxa"/>
          </w:tcPr>
          <w:p w14:paraId="7FEDF117" w14:textId="77777777" w:rsidR="005D2595" w:rsidRPr="0067507D" w:rsidRDefault="005D2595" w:rsidP="00FC3AF2">
            <w:pPr>
              <w:pStyle w:val="Tabletextright"/>
              <w:rPr>
                <w:bCs/>
              </w:rPr>
            </w:pPr>
            <w:r w:rsidRPr="0067507D">
              <w:t>4.7</w:t>
            </w:r>
          </w:p>
        </w:tc>
        <w:tc>
          <w:tcPr>
            <w:cnfStyle w:val="000010000000" w:firstRow="0" w:lastRow="0" w:firstColumn="0" w:lastColumn="0" w:oddVBand="1" w:evenVBand="0" w:oddHBand="0" w:evenHBand="0" w:firstRowFirstColumn="0" w:firstRowLastColumn="0" w:lastRowFirstColumn="0" w:lastRowLastColumn="0"/>
            <w:tcW w:w="1170" w:type="dxa"/>
          </w:tcPr>
          <w:p w14:paraId="6646FBE2" w14:textId="77777777" w:rsidR="005D2595" w:rsidRPr="0067507D" w:rsidRDefault="005D2595" w:rsidP="00FC3AF2">
            <w:pPr>
              <w:pStyle w:val="Tabletextright"/>
              <w:rPr>
                <w:bCs/>
              </w:rPr>
            </w:pPr>
            <w:r w:rsidRPr="0067507D">
              <w:t>4.4</w:t>
            </w:r>
          </w:p>
        </w:tc>
        <w:tc>
          <w:tcPr>
            <w:cnfStyle w:val="000001000000" w:firstRow="0" w:lastRow="0" w:firstColumn="0" w:lastColumn="0" w:oddVBand="0" w:evenVBand="1" w:oddHBand="0" w:evenHBand="0" w:firstRowFirstColumn="0" w:firstRowLastColumn="0" w:lastRowFirstColumn="0" w:lastRowLastColumn="0"/>
            <w:tcW w:w="1169" w:type="dxa"/>
          </w:tcPr>
          <w:p w14:paraId="4C3A091C" w14:textId="77777777" w:rsidR="005D2595" w:rsidRPr="0067507D" w:rsidRDefault="005D2595" w:rsidP="00FC3AF2">
            <w:pPr>
              <w:pStyle w:val="Tabletextright"/>
              <w:rPr>
                <w:bCs/>
              </w:rPr>
            </w:pPr>
            <w:r w:rsidRPr="0067507D">
              <w:t>4.4</w:t>
            </w:r>
          </w:p>
        </w:tc>
      </w:tr>
      <w:tr w:rsidR="005D2595" w:rsidRPr="0067507D" w14:paraId="3E60831C"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5F066B3D" w14:textId="77777777" w:rsidR="005D2595" w:rsidRPr="0067507D" w:rsidRDefault="005D2595" w:rsidP="00FC3AF2">
            <w:pPr>
              <w:pStyle w:val="Tabletext"/>
            </w:pPr>
            <w:r w:rsidRPr="0067507D">
              <w:t>Salary growth (% per annum)</w:t>
            </w:r>
          </w:p>
        </w:tc>
        <w:tc>
          <w:tcPr>
            <w:cnfStyle w:val="000010000000" w:firstRow="0" w:lastRow="0" w:firstColumn="0" w:lastColumn="0" w:oddVBand="1" w:evenVBand="0" w:oddHBand="0" w:evenHBand="0" w:firstRowFirstColumn="0" w:firstRowLastColumn="0" w:lastRowFirstColumn="0" w:lastRowLastColumn="0"/>
            <w:tcW w:w="1170" w:type="dxa"/>
          </w:tcPr>
          <w:p w14:paraId="144CE2C6" w14:textId="77777777" w:rsidR="005D2595" w:rsidRPr="0067507D" w:rsidRDefault="005D2595" w:rsidP="00FC3AF2">
            <w:pPr>
              <w:pStyle w:val="Tabletextright"/>
              <w:rPr>
                <w:bCs/>
              </w:rPr>
            </w:pPr>
            <w:r w:rsidRPr="0067507D">
              <w:t>3.3</w:t>
            </w:r>
          </w:p>
        </w:tc>
        <w:tc>
          <w:tcPr>
            <w:cnfStyle w:val="000001000000" w:firstRow="0" w:lastRow="0" w:firstColumn="0" w:lastColumn="0" w:oddVBand="0" w:evenVBand="1" w:oddHBand="0" w:evenHBand="0" w:firstRowFirstColumn="0" w:firstRowLastColumn="0" w:lastRowFirstColumn="0" w:lastRowLastColumn="0"/>
            <w:tcW w:w="1170" w:type="dxa"/>
          </w:tcPr>
          <w:p w14:paraId="64A470B6" w14:textId="77777777" w:rsidR="005D2595" w:rsidRPr="0067507D" w:rsidRDefault="005D2595" w:rsidP="00FC3AF2">
            <w:pPr>
              <w:pStyle w:val="Tabletextright"/>
              <w:rPr>
                <w:bCs/>
              </w:rPr>
            </w:pPr>
            <w:r w:rsidRPr="0067507D">
              <w:t>3.3</w:t>
            </w:r>
          </w:p>
        </w:tc>
        <w:tc>
          <w:tcPr>
            <w:cnfStyle w:val="000010000000" w:firstRow="0" w:lastRow="0" w:firstColumn="0" w:lastColumn="0" w:oddVBand="1" w:evenVBand="0" w:oddHBand="0" w:evenHBand="0" w:firstRowFirstColumn="0" w:firstRowLastColumn="0" w:lastRowFirstColumn="0" w:lastRowLastColumn="0"/>
            <w:tcW w:w="1170" w:type="dxa"/>
          </w:tcPr>
          <w:p w14:paraId="1384EB75" w14:textId="77777777" w:rsidR="005D2595" w:rsidRPr="0067507D" w:rsidRDefault="005D2595" w:rsidP="00FC3AF2">
            <w:pPr>
              <w:pStyle w:val="Tabletextright"/>
              <w:rPr>
                <w:bCs/>
              </w:rPr>
            </w:pPr>
            <w:r w:rsidRPr="0067507D">
              <w:t>3.5</w:t>
            </w:r>
          </w:p>
        </w:tc>
        <w:tc>
          <w:tcPr>
            <w:cnfStyle w:val="000001000000" w:firstRow="0" w:lastRow="0" w:firstColumn="0" w:lastColumn="0" w:oddVBand="0" w:evenVBand="1" w:oddHBand="0" w:evenHBand="0" w:firstRowFirstColumn="0" w:firstRowLastColumn="0" w:lastRowFirstColumn="0" w:lastRowLastColumn="0"/>
            <w:tcW w:w="1169" w:type="dxa"/>
          </w:tcPr>
          <w:p w14:paraId="6D49AC36" w14:textId="77777777" w:rsidR="005D2595" w:rsidRPr="0067507D" w:rsidRDefault="005D2595" w:rsidP="00FC3AF2">
            <w:pPr>
              <w:pStyle w:val="Tabletextright"/>
              <w:rPr>
                <w:bCs/>
              </w:rPr>
            </w:pPr>
            <w:r w:rsidRPr="0067507D">
              <w:t>3.3</w:t>
            </w:r>
          </w:p>
        </w:tc>
      </w:tr>
      <w:tr w:rsidR="005D2595" w:rsidRPr="0067507D" w14:paraId="16A91F34"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1792ADCE" w14:textId="77777777" w:rsidR="005D2595" w:rsidRPr="0067507D" w:rsidRDefault="005D2595" w:rsidP="00FC3AF2">
            <w:pPr>
              <w:pStyle w:val="Tabletext"/>
            </w:pPr>
            <w:r w:rsidRPr="0067507D">
              <w:t>Inflation rate (% per annum)</w:t>
            </w:r>
          </w:p>
        </w:tc>
        <w:tc>
          <w:tcPr>
            <w:cnfStyle w:val="000010000000" w:firstRow="0" w:lastRow="0" w:firstColumn="0" w:lastColumn="0" w:oddVBand="1" w:evenVBand="0" w:oddHBand="0" w:evenHBand="0" w:firstRowFirstColumn="0" w:firstRowLastColumn="0" w:lastRowFirstColumn="0" w:lastRowLastColumn="0"/>
            <w:tcW w:w="1170" w:type="dxa"/>
          </w:tcPr>
          <w:p w14:paraId="71226923" w14:textId="77777777" w:rsidR="005D2595" w:rsidRPr="0067507D" w:rsidRDefault="005D2595" w:rsidP="00FC3AF2">
            <w:pPr>
              <w:pStyle w:val="Tabletextright"/>
              <w:rPr>
                <w:bCs/>
              </w:rPr>
            </w:pPr>
            <w:r w:rsidRPr="0067507D">
              <w:t>2.5</w:t>
            </w:r>
          </w:p>
        </w:tc>
        <w:tc>
          <w:tcPr>
            <w:cnfStyle w:val="000001000000" w:firstRow="0" w:lastRow="0" w:firstColumn="0" w:lastColumn="0" w:oddVBand="0" w:evenVBand="1" w:oddHBand="0" w:evenHBand="0" w:firstRowFirstColumn="0" w:firstRowLastColumn="0" w:lastRowFirstColumn="0" w:lastRowLastColumn="0"/>
            <w:tcW w:w="1170" w:type="dxa"/>
          </w:tcPr>
          <w:p w14:paraId="5028517C" w14:textId="77777777" w:rsidR="005D2595" w:rsidRPr="0067507D" w:rsidRDefault="005D2595" w:rsidP="00FC3AF2">
            <w:pPr>
              <w:pStyle w:val="Tabletextright"/>
              <w:rPr>
                <w:bCs/>
              </w:rPr>
            </w:pPr>
            <w:r w:rsidRPr="0067507D">
              <w:t>2.5</w:t>
            </w:r>
          </w:p>
        </w:tc>
        <w:tc>
          <w:tcPr>
            <w:cnfStyle w:val="000010000000" w:firstRow="0" w:lastRow="0" w:firstColumn="0" w:lastColumn="0" w:oddVBand="1" w:evenVBand="0" w:oddHBand="0" w:evenHBand="0" w:firstRowFirstColumn="0" w:firstRowLastColumn="0" w:lastRowFirstColumn="0" w:lastRowLastColumn="0"/>
            <w:tcW w:w="1170" w:type="dxa"/>
          </w:tcPr>
          <w:p w14:paraId="35CADFEF" w14:textId="77777777" w:rsidR="005D2595" w:rsidRPr="0067507D" w:rsidRDefault="005D2595" w:rsidP="00FC3AF2">
            <w:pPr>
              <w:pStyle w:val="Tabletextright"/>
              <w:rPr>
                <w:bCs/>
              </w:rPr>
            </w:pPr>
            <w:r w:rsidRPr="0067507D">
              <w:t>2.5</w:t>
            </w:r>
          </w:p>
        </w:tc>
        <w:tc>
          <w:tcPr>
            <w:cnfStyle w:val="000001000000" w:firstRow="0" w:lastRow="0" w:firstColumn="0" w:lastColumn="0" w:oddVBand="0" w:evenVBand="1" w:oddHBand="0" w:evenHBand="0" w:firstRowFirstColumn="0" w:firstRowLastColumn="0" w:lastRowFirstColumn="0" w:lastRowLastColumn="0"/>
            <w:tcW w:w="1169" w:type="dxa"/>
          </w:tcPr>
          <w:p w14:paraId="42FD9E27" w14:textId="77777777" w:rsidR="005D2595" w:rsidRPr="0067507D" w:rsidRDefault="005D2595" w:rsidP="00FC3AF2">
            <w:pPr>
              <w:pStyle w:val="Tabletextright"/>
              <w:rPr>
                <w:bCs/>
              </w:rPr>
            </w:pPr>
            <w:r w:rsidRPr="0067507D">
              <w:t>2.8</w:t>
            </w:r>
          </w:p>
        </w:tc>
      </w:tr>
      <w:tr w:rsidR="005D2595" w:rsidRPr="0067507D" w14:paraId="01F66AF1"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711EC9FB" w14:textId="77777777" w:rsidR="005D2595" w:rsidRPr="0067507D" w:rsidRDefault="005D2595" w:rsidP="00FC3AF2">
            <w:pPr>
              <w:pStyle w:val="Tabletext"/>
            </w:pPr>
            <w:r w:rsidRPr="0067507D">
              <w:t>Estimated increase/(decrease) in defined benefit obligation (%)</w:t>
            </w:r>
          </w:p>
        </w:tc>
        <w:tc>
          <w:tcPr>
            <w:cnfStyle w:val="000010000000" w:firstRow="0" w:lastRow="0" w:firstColumn="0" w:lastColumn="0" w:oddVBand="1" w:evenVBand="0" w:oddHBand="0" w:evenHBand="0" w:firstRowFirstColumn="0" w:firstRowLastColumn="0" w:lastRowFirstColumn="0" w:lastRowLastColumn="0"/>
            <w:tcW w:w="1170" w:type="dxa"/>
          </w:tcPr>
          <w:p w14:paraId="453795F3" w14:textId="77777777" w:rsidR="005D2595" w:rsidRPr="0067507D" w:rsidRDefault="005D2595" w:rsidP="00FC3AF2">
            <w:pPr>
              <w:pStyle w:val="Tabletextright"/>
              <w:rPr>
                <w:bCs/>
              </w:rPr>
            </w:pPr>
            <w:r w:rsidRPr="0067507D">
              <w:t>n/a</w:t>
            </w:r>
          </w:p>
        </w:tc>
        <w:tc>
          <w:tcPr>
            <w:cnfStyle w:val="000001000000" w:firstRow="0" w:lastRow="0" w:firstColumn="0" w:lastColumn="0" w:oddVBand="0" w:evenVBand="1" w:oddHBand="0" w:evenHBand="0" w:firstRowFirstColumn="0" w:firstRowLastColumn="0" w:lastRowFirstColumn="0" w:lastRowLastColumn="0"/>
            <w:tcW w:w="1170" w:type="dxa"/>
          </w:tcPr>
          <w:p w14:paraId="0080572F" w14:textId="77777777" w:rsidR="005D2595" w:rsidRPr="0067507D" w:rsidRDefault="005D2595" w:rsidP="00FC3AF2">
            <w:pPr>
              <w:pStyle w:val="Tabletextright"/>
              <w:rPr>
                <w:bCs/>
              </w:rPr>
            </w:pPr>
            <w:r w:rsidRPr="0067507D">
              <w:t>(2.6)</w:t>
            </w:r>
          </w:p>
        </w:tc>
        <w:tc>
          <w:tcPr>
            <w:cnfStyle w:val="000010000000" w:firstRow="0" w:lastRow="0" w:firstColumn="0" w:lastColumn="0" w:oddVBand="1" w:evenVBand="0" w:oddHBand="0" w:evenHBand="0" w:firstRowFirstColumn="0" w:firstRowLastColumn="0" w:lastRowFirstColumn="0" w:lastRowLastColumn="0"/>
            <w:tcW w:w="1170" w:type="dxa"/>
          </w:tcPr>
          <w:p w14:paraId="569D59A0" w14:textId="77777777" w:rsidR="005D2595" w:rsidRPr="0067507D" w:rsidRDefault="005D2595" w:rsidP="00FC3AF2">
            <w:pPr>
              <w:pStyle w:val="Tabletextright"/>
              <w:rPr>
                <w:bCs/>
              </w:rPr>
            </w:pPr>
            <w:r w:rsidRPr="0067507D">
              <w:t>0.5</w:t>
            </w:r>
          </w:p>
        </w:tc>
        <w:tc>
          <w:tcPr>
            <w:cnfStyle w:val="000001000000" w:firstRow="0" w:lastRow="0" w:firstColumn="0" w:lastColumn="0" w:oddVBand="0" w:evenVBand="1" w:oddHBand="0" w:evenHBand="0" w:firstRowFirstColumn="0" w:firstRowLastColumn="0" w:lastRowFirstColumn="0" w:lastRowLastColumn="0"/>
            <w:tcW w:w="1169" w:type="dxa"/>
          </w:tcPr>
          <w:p w14:paraId="6D8427C4" w14:textId="77777777" w:rsidR="005D2595" w:rsidRPr="0067507D" w:rsidRDefault="005D2595" w:rsidP="00FC3AF2">
            <w:pPr>
              <w:pStyle w:val="Tabletextright"/>
              <w:rPr>
                <w:bCs/>
              </w:rPr>
            </w:pPr>
            <w:r w:rsidRPr="0067507D">
              <w:t>1.8</w:t>
            </w:r>
          </w:p>
        </w:tc>
      </w:tr>
      <w:tr w:rsidR="005D2595" w:rsidRPr="0067507D" w14:paraId="44451C8E"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65713FD8" w14:textId="77777777" w:rsidR="005D2595" w:rsidRPr="0067507D" w:rsidRDefault="005D2595" w:rsidP="00FC3AF2">
            <w:pPr>
              <w:pStyle w:val="Tabletext"/>
            </w:pPr>
            <w:r w:rsidRPr="0067507D">
              <w:t>Estimated increase/(decrease) in defined benefit obligation ($ million)</w:t>
            </w:r>
          </w:p>
        </w:tc>
        <w:tc>
          <w:tcPr>
            <w:cnfStyle w:val="000010000000" w:firstRow="0" w:lastRow="0" w:firstColumn="0" w:lastColumn="0" w:oddVBand="1" w:evenVBand="0" w:oddHBand="0" w:evenHBand="0" w:firstRowFirstColumn="0" w:firstRowLastColumn="0" w:lastRowFirstColumn="0" w:lastRowLastColumn="0"/>
            <w:tcW w:w="1170" w:type="dxa"/>
          </w:tcPr>
          <w:p w14:paraId="44AB2653" w14:textId="77777777" w:rsidR="005D2595" w:rsidRPr="0067507D" w:rsidRDefault="005D2595" w:rsidP="00FC3AF2">
            <w:pPr>
              <w:pStyle w:val="Tabletextright"/>
              <w:rPr>
                <w:bCs/>
              </w:rPr>
            </w:pPr>
            <w:r w:rsidRPr="0067507D">
              <w:t>n/a</w:t>
            </w:r>
          </w:p>
        </w:tc>
        <w:tc>
          <w:tcPr>
            <w:cnfStyle w:val="000001000000" w:firstRow="0" w:lastRow="0" w:firstColumn="0" w:lastColumn="0" w:oddVBand="0" w:evenVBand="1" w:oddHBand="0" w:evenHBand="0" w:firstRowFirstColumn="0" w:firstRowLastColumn="0" w:lastRowFirstColumn="0" w:lastRowLastColumn="0"/>
            <w:tcW w:w="1170" w:type="dxa"/>
          </w:tcPr>
          <w:p w14:paraId="74EA1B5C" w14:textId="77777777" w:rsidR="005D2595" w:rsidRPr="0067507D" w:rsidRDefault="005D2595" w:rsidP="00FC3AF2">
            <w:pPr>
              <w:pStyle w:val="Tabletextright"/>
              <w:rPr>
                <w:bCs/>
              </w:rPr>
            </w:pPr>
            <w:r w:rsidRPr="0067507D">
              <w:t>(1 138.4)</w:t>
            </w:r>
          </w:p>
        </w:tc>
        <w:tc>
          <w:tcPr>
            <w:cnfStyle w:val="000010000000" w:firstRow="0" w:lastRow="0" w:firstColumn="0" w:lastColumn="0" w:oddVBand="1" w:evenVBand="0" w:oddHBand="0" w:evenHBand="0" w:firstRowFirstColumn="0" w:firstRowLastColumn="0" w:lastRowFirstColumn="0" w:lastRowLastColumn="0"/>
            <w:tcW w:w="1170" w:type="dxa"/>
          </w:tcPr>
          <w:p w14:paraId="54289720" w14:textId="77777777" w:rsidR="005D2595" w:rsidRPr="0067507D" w:rsidRDefault="005D2595" w:rsidP="00FC3AF2">
            <w:pPr>
              <w:pStyle w:val="Tabletextright"/>
              <w:rPr>
                <w:bCs/>
              </w:rPr>
            </w:pPr>
            <w:r w:rsidRPr="0067507D">
              <w:t>218.9</w:t>
            </w:r>
          </w:p>
        </w:tc>
        <w:tc>
          <w:tcPr>
            <w:cnfStyle w:val="000001000000" w:firstRow="0" w:lastRow="0" w:firstColumn="0" w:lastColumn="0" w:oddVBand="0" w:evenVBand="1" w:oddHBand="0" w:evenHBand="0" w:firstRowFirstColumn="0" w:firstRowLastColumn="0" w:lastRowFirstColumn="0" w:lastRowLastColumn="0"/>
            <w:tcW w:w="1169" w:type="dxa"/>
          </w:tcPr>
          <w:p w14:paraId="343A8676" w14:textId="77777777" w:rsidR="005D2595" w:rsidRPr="0067507D" w:rsidRDefault="005D2595" w:rsidP="00FC3AF2">
            <w:pPr>
              <w:pStyle w:val="Tabletextright"/>
              <w:rPr>
                <w:bCs/>
              </w:rPr>
            </w:pPr>
            <w:r w:rsidRPr="0067507D">
              <w:t>788.1</w:t>
            </w:r>
          </w:p>
        </w:tc>
      </w:tr>
    </w:tbl>
    <w:p w14:paraId="2A655C90" w14:textId="77777777" w:rsidR="005D2595" w:rsidRPr="0067507D" w:rsidRDefault="005D2595" w:rsidP="005D2595"/>
    <w:p w14:paraId="0D9CC626" w14:textId="77777777" w:rsidR="005D2595" w:rsidRPr="0067507D" w:rsidRDefault="005D2595" w:rsidP="005D2595">
      <w:pPr>
        <w:pStyle w:val="Heading4"/>
      </w:pPr>
      <w:r w:rsidRPr="0067507D">
        <w:t>Target asset allocation</w:t>
      </w:r>
    </w:p>
    <w:tbl>
      <w:tblPr>
        <w:tblStyle w:val="AnnualReporttexttable"/>
        <w:tblW w:w="8262" w:type="dxa"/>
        <w:tblLayout w:type="fixed"/>
        <w:tblLook w:val="02A0" w:firstRow="1" w:lastRow="0" w:firstColumn="1" w:lastColumn="0" w:noHBand="1" w:noVBand="0"/>
      </w:tblPr>
      <w:tblGrid>
        <w:gridCol w:w="5760"/>
        <w:gridCol w:w="1299"/>
        <w:gridCol w:w="1203"/>
      </w:tblGrid>
      <w:tr w:rsidR="005D2595" w:rsidRPr="0067507D" w14:paraId="6FC77A03" w14:textId="77777777" w:rsidTr="00FC3A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0" w:type="dxa"/>
            <w:shd w:val="clear" w:color="auto" w:fill="auto"/>
            <w:noWrap/>
            <w:vAlign w:val="bottom"/>
          </w:tcPr>
          <w:p w14:paraId="526A5E5E" w14:textId="77777777" w:rsidR="005D2595" w:rsidRPr="0067507D" w:rsidRDefault="005D2595" w:rsidP="00FC3AF2">
            <w:pPr>
              <w:pStyle w:val="Tabletextheading"/>
              <w:jc w:val="left"/>
              <w:rPr>
                <w:b w:val="0"/>
                <w:bCs/>
              </w:rPr>
            </w:pPr>
            <w:r w:rsidRPr="0067507D">
              <w:rPr>
                <w:b w:val="0"/>
                <w:bCs/>
              </w:rPr>
              <w:t>Asset class</w:t>
            </w:r>
          </w:p>
        </w:tc>
        <w:tc>
          <w:tcPr>
            <w:cnfStyle w:val="000010000000" w:firstRow="0" w:lastRow="0" w:firstColumn="0" w:lastColumn="0" w:oddVBand="1" w:evenVBand="0" w:oddHBand="0" w:evenHBand="0" w:firstRowFirstColumn="0" w:firstRowLastColumn="0" w:lastRowFirstColumn="0" w:lastRowLastColumn="0"/>
            <w:tcW w:w="1299" w:type="dxa"/>
            <w:shd w:val="clear" w:color="auto" w:fill="auto"/>
            <w:noWrap/>
          </w:tcPr>
          <w:p w14:paraId="55B32FB0" w14:textId="77777777" w:rsidR="005D2595" w:rsidRPr="0067507D" w:rsidRDefault="005D2595" w:rsidP="00FC3AF2">
            <w:pPr>
              <w:pStyle w:val="Tableheader"/>
              <w:rPr>
                <w:rFonts w:asciiTheme="majorHAnsi" w:hAnsiTheme="majorHAnsi"/>
                <w:b w:val="0"/>
                <w:bCs/>
              </w:rPr>
            </w:pPr>
            <w:r w:rsidRPr="0067507D">
              <w:rPr>
                <w:rFonts w:asciiTheme="majorHAnsi" w:hAnsiTheme="majorHAnsi"/>
                <w:b w:val="0"/>
                <w:bCs/>
              </w:rPr>
              <w:t>2025</w:t>
            </w:r>
            <w:r w:rsidRPr="0067507D">
              <w:rPr>
                <w:rFonts w:asciiTheme="majorHAnsi" w:hAnsiTheme="majorHAnsi"/>
                <w:b w:val="0"/>
                <w:bCs/>
              </w:rPr>
              <w:br/>
              <w:t>%</w:t>
            </w:r>
          </w:p>
        </w:tc>
        <w:tc>
          <w:tcPr>
            <w:cnfStyle w:val="000001000000" w:firstRow="0" w:lastRow="0" w:firstColumn="0" w:lastColumn="0" w:oddVBand="0" w:evenVBand="1" w:oddHBand="0" w:evenHBand="0" w:firstRowFirstColumn="0" w:firstRowLastColumn="0" w:lastRowFirstColumn="0" w:lastRowLastColumn="0"/>
            <w:tcW w:w="1203" w:type="dxa"/>
            <w:shd w:val="clear" w:color="auto" w:fill="auto"/>
          </w:tcPr>
          <w:p w14:paraId="56395039" w14:textId="77777777" w:rsidR="005D2595" w:rsidRPr="0067507D" w:rsidRDefault="005D2595" w:rsidP="00FC3AF2">
            <w:pPr>
              <w:pStyle w:val="Tableheader"/>
              <w:rPr>
                <w:rFonts w:asciiTheme="majorHAnsi" w:hAnsiTheme="majorHAnsi"/>
                <w:b w:val="0"/>
                <w:bCs/>
              </w:rPr>
            </w:pPr>
            <w:r w:rsidRPr="0067507D">
              <w:rPr>
                <w:rFonts w:asciiTheme="majorHAnsi" w:hAnsiTheme="majorHAnsi"/>
                <w:b w:val="0"/>
                <w:bCs/>
              </w:rPr>
              <w:t>2024</w:t>
            </w:r>
            <w:r w:rsidRPr="0067507D">
              <w:rPr>
                <w:rFonts w:asciiTheme="majorHAnsi" w:hAnsiTheme="majorHAnsi"/>
                <w:b w:val="0"/>
                <w:bCs/>
              </w:rPr>
              <w:br/>
              <w:t>%</w:t>
            </w:r>
          </w:p>
        </w:tc>
      </w:tr>
      <w:tr w:rsidR="005D2595" w:rsidRPr="0067507D" w14:paraId="6BB29CF8" w14:textId="77777777" w:rsidTr="00FC3AF2">
        <w:tc>
          <w:tcPr>
            <w:cnfStyle w:val="001000000000" w:firstRow="0" w:lastRow="0" w:firstColumn="1" w:lastColumn="0" w:oddVBand="0" w:evenVBand="0" w:oddHBand="0" w:evenHBand="0" w:firstRowFirstColumn="0" w:firstRowLastColumn="0" w:lastRowFirstColumn="0" w:lastRowLastColumn="0"/>
            <w:tcW w:w="5760" w:type="dxa"/>
            <w:noWrap/>
          </w:tcPr>
          <w:p w14:paraId="52A0C717" w14:textId="77777777" w:rsidR="005D2595" w:rsidRPr="0067507D" w:rsidRDefault="005D2595" w:rsidP="00FC3AF2">
            <w:pPr>
              <w:pStyle w:val="Tabletext"/>
            </w:pPr>
            <w:r w:rsidRPr="0067507D">
              <w:t>Domestic equity</w:t>
            </w:r>
          </w:p>
        </w:tc>
        <w:tc>
          <w:tcPr>
            <w:cnfStyle w:val="000010000000" w:firstRow="0" w:lastRow="0" w:firstColumn="0" w:lastColumn="0" w:oddVBand="1" w:evenVBand="0" w:oddHBand="0" w:evenHBand="0" w:firstRowFirstColumn="0" w:firstRowLastColumn="0" w:lastRowFirstColumn="0" w:lastRowLastColumn="0"/>
            <w:tcW w:w="1299" w:type="dxa"/>
            <w:noWrap/>
          </w:tcPr>
          <w:p w14:paraId="7D029CE3" w14:textId="77777777" w:rsidR="005D2595" w:rsidRPr="0067507D" w:rsidRDefault="005D2595" w:rsidP="00FC3AF2">
            <w:pPr>
              <w:pStyle w:val="Tabletextright"/>
              <w:rPr>
                <w:bCs/>
              </w:rPr>
            </w:pPr>
            <w:r w:rsidRPr="0067507D">
              <w:t>20.5</w:t>
            </w:r>
          </w:p>
        </w:tc>
        <w:tc>
          <w:tcPr>
            <w:cnfStyle w:val="000001000000" w:firstRow="0" w:lastRow="0" w:firstColumn="0" w:lastColumn="0" w:oddVBand="0" w:evenVBand="1" w:oddHBand="0" w:evenHBand="0" w:firstRowFirstColumn="0" w:firstRowLastColumn="0" w:lastRowFirstColumn="0" w:lastRowLastColumn="0"/>
            <w:tcW w:w="1203" w:type="dxa"/>
          </w:tcPr>
          <w:p w14:paraId="6849A101" w14:textId="77777777" w:rsidR="005D2595" w:rsidRPr="0067507D" w:rsidRDefault="005D2595" w:rsidP="00FC3AF2">
            <w:pPr>
              <w:pStyle w:val="Tabletextright"/>
              <w:rPr>
                <w:bCs/>
              </w:rPr>
            </w:pPr>
            <w:r w:rsidRPr="0067507D">
              <w:t>20.7</w:t>
            </w:r>
          </w:p>
        </w:tc>
      </w:tr>
      <w:tr w:rsidR="005D2595" w:rsidRPr="0067507D" w14:paraId="54DDFA63" w14:textId="77777777" w:rsidTr="00FC3AF2">
        <w:tc>
          <w:tcPr>
            <w:cnfStyle w:val="001000000000" w:firstRow="0" w:lastRow="0" w:firstColumn="1" w:lastColumn="0" w:oddVBand="0" w:evenVBand="0" w:oddHBand="0" w:evenHBand="0" w:firstRowFirstColumn="0" w:firstRowLastColumn="0" w:lastRowFirstColumn="0" w:lastRowLastColumn="0"/>
            <w:tcW w:w="5760" w:type="dxa"/>
            <w:noWrap/>
          </w:tcPr>
          <w:p w14:paraId="3E3CCEBB" w14:textId="77777777" w:rsidR="005D2595" w:rsidRPr="0067507D" w:rsidRDefault="005D2595" w:rsidP="00FC3AF2">
            <w:pPr>
              <w:pStyle w:val="Tabletext"/>
            </w:pPr>
            <w:r w:rsidRPr="0067507D">
              <w:t>International equity</w:t>
            </w:r>
          </w:p>
        </w:tc>
        <w:tc>
          <w:tcPr>
            <w:cnfStyle w:val="000010000000" w:firstRow="0" w:lastRow="0" w:firstColumn="0" w:lastColumn="0" w:oddVBand="1" w:evenVBand="0" w:oddHBand="0" w:evenHBand="0" w:firstRowFirstColumn="0" w:firstRowLastColumn="0" w:lastRowFirstColumn="0" w:lastRowLastColumn="0"/>
            <w:tcW w:w="1299" w:type="dxa"/>
            <w:noWrap/>
          </w:tcPr>
          <w:p w14:paraId="3DD3A07E" w14:textId="77777777" w:rsidR="005D2595" w:rsidRPr="0067507D" w:rsidRDefault="005D2595" w:rsidP="00FC3AF2">
            <w:pPr>
              <w:pStyle w:val="Tabletextright"/>
              <w:rPr>
                <w:bCs/>
              </w:rPr>
            </w:pPr>
            <w:r w:rsidRPr="0067507D">
              <w:t>28.2</w:t>
            </w:r>
          </w:p>
        </w:tc>
        <w:tc>
          <w:tcPr>
            <w:cnfStyle w:val="000001000000" w:firstRow="0" w:lastRow="0" w:firstColumn="0" w:lastColumn="0" w:oddVBand="0" w:evenVBand="1" w:oddHBand="0" w:evenHBand="0" w:firstRowFirstColumn="0" w:firstRowLastColumn="0" w:lastRowFirstColumn="0" w:lastRowLastColumn="0"/>
            <w:tcW w:w="1203" w:type="dxa"/>
          </w:tcPr>
          <w:p w14:paraId="7AC0E354" w14:textId="77777777" w:rsidR="005D2595" w:rsidRPr="0067507D" w:rsidRDefault="005D2595" w:rsidP="00FC3AF2">
            <w:pPr>
              <w:pStyle w:val="Tabletextright"/>
              <w:rPr>
                <w:bCs/>
              </w:rPr>
            </w:pPr>
            <w:r w:rsidRPr="0067507D">
              <w:t>28.5</w:t>
            </w:r>
          </w:p>
        </w:tc>
      </w:tr>
      <w:tr w:rsidR="005D2595" w:rsidRPr="0067507D" w14:paraId="6955CCEB" w14:textId="77777777" w:rsidTr="00FC3AF2">
        <w:tc>
          <w:tcPr>
            <w:cnfStyle w:val="001000000000" w:firstRow="0" w:lastRow="0" w:firstColumn="1" w:lastColumn="0" w:oddVBand="0" w:evenVBand="0" w:oddHBand="0" w:evenHBand="0" w:firstRowFirstColumn="0" w:firstRowLastColumn="0" w:lastRowFirstColumn="0" w:lastRowLastColumn="0"/>
            <w:tcW w:w="5760" w:type="dxa"/>
            <w:noWrap/>
          </w:tcPr>
          <w:p w14:paraId="62DB7EF4" w14:textId="77777777" w:rsidR="005D2595" w:rsidRPr="0067507D" w:rsidRDefault="005D2595" w:rsidP="00FC3AF2">
            <w:pPr>
              <w:pStyle w:val="Tabletext"/>
            </w:pPr>
            <w:r w:rsidRPr="0067507D">
              <w:t>Domestic debt assets</w:t>
            </w:r>
          </w:p>
        </w:tc>
        <w:tc>
          <w:tcPr>
            <w:cnfStyle w:val="000010000000" w:firstRow="0" w:lastRow="0" w:firstColumn="0" w:lastColumn="0" w:oddVBand="1" w:evenVBand="0" w:oddHBand="0" w:evenHBand="0" w:firstRowFirstColumn="0" w:firstRowLastColumn="0" w:lastRowFirstColumn="0" w:lastRowLastColumn="0"/>
            <w:tcW w:w="1299" w:type="dxa"/>
            <w:noWrap/>
          </w:tcPr>
          <w:p w14:paraId="19A2526D" w14:textId="77777777" w:rsidR="005D2595" w:rsidRPr="0067507D" w:rsidRDefault="005D2595" w:rsidP="00FC3AF2">
            <w:pPr>
              <w:pStyle w:val="Tabletextright"/>
              <w:rPr>
                <w:bCs/>
              </w:rPr>
            </w:pPr>
            <w:r w:rsidRPr="0067507D">
              <w:t>15.0</w:t>
            </w:r>
          </w:p>
        </w:tc>
        <w:tc>
          <w:tcPr>
            <w:cnfStyle w:val="000001000000" w:firstRow="0" w:lastRow="0" w:firstColumn="0" w:lastColumn="0" w:oddVBand="0" w:evenVBand="1" w:oddHBand="0" w:evenHBand="0" w:firstRowFirstColumn="0" w:firstRowLastColumn="0" w:lastRowFirstColumn="0" w:lastRowLastColumn="0"/>
            <w:tcW w:w="1203" w:type="dxa"/>
          </w:tcPr>
          <w:p w14:paraId="0340D5C6" w14:textId="77777777" w:rsidR="005D2595" w:rsidRPr="0067507D" w:rsidRDefault="005D2595" w:rsidP="00FC3AF2">
            <w:pPr>
              <w:pStyle w:val="Tabletextright"/>
              <w:rPr>
                <w:bCs/>
              </w:rPr>
            </w:pPr>
            <w:r w:rsidRPr="0067507D">
              <w:t>15.8</w:t>
            </w:r>
          </w:p>
        </w:tc>
      </w:tr>
      <w:tr w:rsidR="005D2595" w:rsidRPr="0067507D" w14:paraId="321DB6A9" w14:textId="77777777" w:rsidTr="00FC3AF2">
        <w:tc>
          <w:tcPr>
            <w:cnfStyle w:val="001000000000" w:firstRow="0" w:lastRow="0" w:firstColumn="1" w:lastColumn="0" w:oddVBand="0" w:evenVBand="0" w:oddHBand="0" w:evenHBand="0" w:firstRowFirstColumn="0" w:firstRowLastColumn="0" w:lastRowFirstColumn="0" w:lastRowLastColumn="0"/>
            <w:tcW w:w="5760" w:type="dxa"/>
            <w:noWrap/>
          </w:tcPr>
          <w:p w14:paraId="1BA331DC" w14:textId="77777777" w:rsidR="005D2595" w:rsidRPr="0067507D" w:rsidRDefault="005D2595" w:rsidP="00FC3AF2">
            <w:pPr>
              <w:pStyle w:val="Tabletext"/>
            </w:pPr>
            <w:r w:rsidRPr="0067507D">
              <w:t>International debt assets</w:t>
            </w:r>
          </w:p>
        </w:tc>
        <w:tc>
          <w:tcPr>
            <w:cnfStyle w:val="000010000000" w:firstRow="0" w:lastRow="0" w:firstColumn="0" w:lastColumn="0" w:oddVBand="1" w:evenVBand="0" w:oddHBand="0" w:evenHBand="0" w:firstRowFirstColumn="0" w:firstRowLastColumn="0" w:lastRowFirstColumn="0" w:lastRowLastColumn="0"/>
            <w:tcW w:w="1299" w:type="dxa"/>
            <w:noWrap/>
          </w:tcPr>
          <w:p w14:paraId="5EBC9146" w14:textId="77777777" w:rsidR="005D2595" w:rsidRPr="0067507D" w:rsidRDefault="005D2595" w:rsidP="00FC3AF2">
            <w:pPr>
              <w:pStyle w:val="Tabletextright"/>
              <w:rPr>
                <w:bCs/>
              </w:rPr>
            </w:pPr>
            <w:r w:rsidRPr="0067507D">
              <w:t>3.5</w:t>
            </w:r>
          </w:p>
        </w:tc>
        <w:tc>
          <w:tcPr>
            <w:cnfStyle w:val="000001000000" w:firstRow="0" w:lastRow="0" w:firstColumn="0" w:lastColumn="0" w:oddVBand="0" w:evenVBand="1" w:oddHBand="0" w:evenHBand="0" w:firstRowFirstColumn="0" w:firstRowLastColumn="0" w:lastRowFirstColumn="0" w:lastRowLastColumn="0"/>
            <w:tcW w:w="1203" w:type="dxa"/>
          </w:tcPr>
          <w:p w14:paraId="031E07CB" w14:textId="77777777" w:rsidR="005D2595" w:rsidRPr="0067507D" w:rsidRDefault="005D2595" w:rsidP="00FC3AF2">
            <w:pPr>
              <w:pStyle w:val="Tabletextright"/>
              <w:rPr>
                <w:bCs/>
              </w:rPr>
            </w:pPr>
            <w:r w:rsidRPr="0067507D">
              <w:t>3.4</w:t>
            </w:r>
          </w:p>
        </w:tc>
      </w:tr>
      <w:tr w:rsidR="005D2595" w:rsidRPr="0067507D" w14:paraId="4065D9EC" w14:textId="77777777" w:rsidTr="00FC3AF2">
        <w:trPr>
          <w:trHeight w:val="91"/>
        </w:trPr>
        <w:tc>
          <w:tcPr>
            <w:cnfStyle w:val="001000000000" w:firstRow="0" w:lastRow="0" w:firstColumn="1" w:lastColumn="0" w:oddVBand="0" w:evenVBand="0" w:oddHBand="0" w:evenHBand="0" w:firstRowFirstColumn="0" w:firstRowLastColumn="0" w:lastRowFirstColumn="0" w:lastRowLastColumn="0"/>
            <w:tcW w:w="5760" w:type="dxa"/>
            <w:noWrap/>
          </w:tcPr>
          <w:p w14:paraId="38F548EA" w14:textId="77777777" w:rsidR="005D2595" w:rsidRPr="0067507D" w:rsidRDefault="005D2595" w:rsidP="00FC3AF2">
            <w:pPr>
              <w:pStyle w:val="Tabletext"/>
            </w:pPr>
            <w:r w:rsidRPr="0067507D">
              <w:t>Property</w:t>
            </w:r>
          </w:p>
        </w:tc>
        <w:tc>
          <w:tcPr>
            <w:cnfStyle w:val="000010000000" w:firstRow="0" w:lastRow="0" w:firstColumn="0" w:lastColumn="0" w:oddVBand="1" w:evenVBand="0" w:oddHBand="0" w:evenHBand="0" w:firstRowFirstColumn="0" w:firstRowLastColumn="0" w:lastRowFirstColumn="0" w:lastRowLastColumn="0"/>
            <w:tcW w:w="1299" w:type="dxa"/>
            <w:noWrap/>
          </w:tcPr>
          <w:p w14:paraId="34FB097B" w14:textId="77777777" w:rsidR="005D2595" w:rsidRPr="0067507D" w:rsidRDefault="005D2595" w:rsidP="00FC3AF2">
            <w:pPr>
              <w:pStyle w:val="Tabletextright"/>
              <w:rPr>
                <w:bCs/>
              </w:rPr>
            </w:pPr>
            <w:r w:rsidRPr="0067507D">
              <w:t>10.1</w:t>
            </w:r>
          </w:p>
        </w:tc>
        <w:tc>
          <w:tcPr>
            <w:cnfStyle w:val="000001000000" w:firstRow="0" w:lastRow="0" w:firstColumn="0" w:lastColumn="0" w:oddVBand="0" w:evenVBand="1" w:oddHBand="0" w:evenHBand="0" w:firstRowFirstColumn="0" w:firstRowLastColumn="0" w:lastRowFirstColumn="0" w:lastRowLastColumn="0"/>
            <w:tcW w:w="1203" w:type="dxa"/>
          </w:tcPr>
          <w:p w14:paraId="1DA790AC" w14:textId="77777777" w:rsidR="005D2595" w:rsidRPr="0067507D" w:rsidRDefault="005D2595" w:rsidP="00FC3AF2">
            <w:pPr>
              <w:pStyle w:val="Tabletextright"/>
              <w:rPr>
                <w:bCs/>
              </w:rPr>
            </w:pPr>
            <w:r w:rsidRPr="0067507D">
              <w:t>9.2</w:t>
            </w:r>
          </w:p>
        </w:tc>
      </w:tr>
      <w:tr w:rsidR="005D2595" w:rsidRPr="0067507D" w14:paraId="75435C20" w14:textId="77777777" w:rsidTr="00FC3AF2">
        <w:trPr>
          <w:trHeight w:val="151"/>
        </w:trPr>
        <w:tc>
          <w:tcPr>
            <w:cnfStyle w:val="001000000000" w:firstRow="0" w:lastRow="0" w:firstColumn="1" w:lastColumn="0" w:oddVBand="0" w:evenVBand="0" w:oddHBand="0" w:evenHBand="0" w:firstRowFirstColumn="0" w:firstRowLastColumn="0" w:lastRowFirstColumn="0" w:lastRowLastColumn="0"/>
            <w:tcW w:w="5760" w:type="dxa"/>
            <w:noWrap/>
          </w:tcPr>
          <w:p w14:paraId="1E65F87F" w14:textId="77777777" w:rsidR="005D2595" w:rsidRPr="0067507D" w:rsidRDefault="005D2595" w:rsidP="00FC3AF2">
            <w:pPr>
              <w:pStyle w:val="Tabletext"/>
            </w:pPr>
            <w:r w:rsidRPr="0067507D">
              <w:t>Cash</w:t>
            </w:r>
          </w:p>
        </w:tc>
        <w:tc>
          <w:tcPr>
            <w:cnfStyle w:val="000010000000" w:firstRow="0" w:lastRow="0" w:firstColumn="0" w:lastColumn="0" w:oddVBand="1" w:evenVBand="0" w:oddHBand="0" w:evenHBand="0" w:firstRowFirstColumn="0" w:firstRowLastColumn="0" w:lastRowFirstColumn="0" w:lastRowLastColumn="0"/>
            <w:tcW w:w="1299" w:type="dxa"/>
            <w:noWrap/>
          </w:tcPr>
          <w:p w14:paraId="48FAD7BC" w14:textId="77777777" w:rsidR="005D2595" w:rsidRPr="0067507D" w:rsidRDefault="005D2595" w:rsidP="00FC3AF2">
            <w:pPr>
              <w:pStyle w:val="Tabletextright"/>
              <w:rPr>
                <w:bCs/>
              </w:rPr>
            </w:pPr>
            <w:r w:rsidRPr="0067507D">
              <w:t>4.5</w:t>
            </w:r>
          </w:p>
        </w:tc>
        <w:tc>
          <w:tcPr>
            <w:cnfStyle w:val="000001000000" w:firstRow="0" w:lastRow="0" w:firstColumn="0" w:lastColumn="0" w:oddVBand="0" w:evenVBand="1" w:oddHBand="0" w:evenHBand="0" w:firstRowFirstColumn="0" w:firstRowLastColumn="0" w:lastRowFirstColumn="0" w:lastRowLastColumn="0"/>
            <w:tcW w:w="1203" w:type="dxa"/>
          </w:tcPr>
          <w:p w14:paraId="5A331898" w14:textId="77777777" w:rsidR="005D2595" w:rsidRPr="0067507D" w:rsidRDefault="005D2595" w:rsidP="00FC3AF2">
            <w:pPr>
              <w:pStyle w:val="Tabletextright"/>
              <w:rPr>
                <w:bCs/>
              </w:rPr>
            </w:pPr>
            <w:r w:rsidRPr="0067507D">
              <w:t>6.3</w:t>
            </w:r>
          </w:p>
        </w:tc>
      </w:tr>
      <w:tr w:rsidR="005D2595" w:rsidRPr="0067507D" w14:paraId="048DF4F8" w14:textId="77777777" w:rsidTr="00FC3AF2">
        <w:tc>
          <w:tcPr>
            <w:cnfStyle w:val="001000000000" w:firstRow="0" w:lastRow="0" w:firstColumn="1" w:lastColumn="0" w:oddVBand="0" w:evenVBand="0" w:oddHBand="0" w:evenHBand="0" w:firstRowFirstColumn="0" w:firstRowLastColumn="0" w:lastRowFirstColumn="0" w:lastRowLastColumn="0"/>
            <w:tcW w:w="5760" w:type="dxa"/>
            <w:noWrap/>
          </w:tcPr>
          <w:p w14:paraId="343240D2" w14:textId="77777777" w:rsidR="005D2595" w:rsidRPr="0067507D" w:rsidRDefault="005D2595" w:rsidP="00FC3AF2">
            <w:pPr>
              <w:pStyle w:val="Tabletext"/>
            </w:pPr>
            <w:r w:rsidRPr="0067507D">
              <w:t>Other (including private equity, hedge funds and infrastructure)</w:t>
            </w:r>
          </w:p>
        </w:tc>
        <w:tc>
          <w:tcPr>
            <w:cnfStyle w:val="000010000000" w:firstRow="0" w:lastRow="0" w:firstColumn="0" w:lastColumn="0" w:oddVBand="1" w:evenVBand="0" w:oddHBand="0" w:evenHBand="0" w:firstRowFirstColumn="0" w:firstRowLastColumn="0" w:lastRowFirstColumn="0" w:lastRowLastColumn="0"/>
            <w:tcW w:w="1299" w:type="dxa"/>
            <w:noWrap/>
          </w:tcPr>
          <w:p w14:paraId="06ED823F" w14:textId="77777777" w:rsidR="005D2595" w:rsidRPr="0067507D" w:rsidRDefault="005D2595" w:rsidP="00FC3AF2">
            <w:pPr>
              <w:pStyle w:val="Tabletextright"/>
              <w:rPr>
                <w:bCs/>
              </w:rPr>
            </w:pPr>
            <w:r w:rsidRPr="0067507D">
              <w:t>18.1</w:t>
            </w:r>
          </w:p>
        </w:tc>
        <w:tc>
          <w:tcPr>
            <w:cnfStyle w:val="000001000000" w:firstRow="0" w:lastRow="0" w:firstColumn="0" w:lastColumn="0" w:oddVBand="0" w:evenVBand="1" w:oddHBand="0" w:evenHBand="0" w:firstRowFirstColumn="0" w:firstRowLastColumn="0" w:lastRowFirstColumn="0" w:lastRowLastColumn="0"/>
            <w:tcW w:w="1203" w:type="dxa"/>
          </w:tcPr>
          <w:p w14:paraId="60AA6913" w14:textId="77777777" w:rsidR="005D2595" w:rsidRPr="0067507D" w:rsidRDefault="005D2595" w:rsidP="00FC3AF2">
            <w:pPr>
              <w:pStyle w:val="Tabletextright"/>
              <w:rPr>
                <w:bCs/>
              </w:rPr>
            </w:pPr>
            <w:r w:rsidRPr="0067507D">
              <w:t>16.1</w:t>
            </w:r>
          </w:p>
        </w:tc>
      </w:tr>
      <w:tr w:rsidR="005D2595" w:rsidRPr="0067507D" w14:paraId="29B6FCBA" w14:textId="77777777" w:rsidTr="00FC3AF2">
        <w:tc>
          <w:tcPr>
            <w:cnfStyle w:val="001000000000" w:firstRow="0" w:lastRow="0" w:firstColumn="1" w:lastColumn="0" w:oddVBand="0" w:evenVBand="0" w:oddHBand="0" w:evenHBand="0" w:firstRowFirstColumn="0" w:firstRowLastColumn="0" w:lastRowFirstColumn="0" w:lastRowLastColumn="0"/>
            <w:tcW w:w="5760" w:type="dxa"/>
            <w:noWrap/>
          </w:tcPr>
          <w:p w14:paraId="54FB7342" w14:textId="77777777" w:rsidR="005D2595" w:rsidRPr="0067507D" w:rsidRDefault="005D2595" w:rsidP="00FC3AF2">
            <w:pPr>
              <w:pStyle w:val="Tabletextbold"/>
            </w:pPr>
            <w:r w:rsidRPr="0067507D">
              <w:t>Total</w:t>
            </w:r>
          </w:p>
        </w:tc>
        <w:tc>
          <w:tcPr>
            <w:cnfStyle w:val="000010000000" w:firstRow="0" w:lastRow="0" w:firstColumn="0" w:lastColumn="0" w:oddVBand="1" w:evenVBand="0" w:oddHBand="0" w:evenHBand="0" w:firstRowFirstColumn="0" w:firstRowLastColumn="0" w:lastRowFirstColumn="0" w:lastRowLastColumn="0"/>
            <w:tcW w:w="1299" w:type="dxa"/>
            <w:noWrap/>
          </w:tcPr>
          <w:p w14:paraId="4D818869" w14:textId="77777777" w:rsidR="005D2595" w:rsidRPr="0067507D" w:rsidRDefault="005D2595" w:rsidP="00FC3AF2">
            <w:pPr>
              <w:pStyle w:val="Tabletextrightbold"/>
            </w:pPr>
            <w:r w:rsidRPr="0067507D">
              <w:t>100.0</w:t>
            </w:r>
          </w:p>
        </w:tc>
        <w:tc>
          <w:tcPr>
            <w:cnfStyle w:val="000001000000" w:firstRow="0" w:lastRow="0" w:firstColumn="0" w:lastColumn="0" w:oddVBand="0" w:evenVBand="1" w:oddHBand="0" w:evenHBand="0" w:firstRowFirstColumn="0" w:firstRowLastColumn="0" w:lastRowFirstColumn="0" w:lastRowLastColumn="0"/>
            <w:tcW w:w="1203" w:type="dxa"/>
          </w:tcPr>
          <w:p w14:paraId="7D5B1163" w14:textId="77777777" w:rsidR="005D2595" w:rsidRPr="0067507D" w:rsidRDefault="005D2595" w:rsidP="00FC3AF2">
            <w:pPr>
              <w:pStyle w:val="Tabletextrightbold"/>
            </w:pPr>
            <w:r w:rsidRPr="0067507D">
              <w:t>100.0</w:t>
            </w:r>
          </w:p>
        </w:tc>
      </w:tr>
    </w:tbl>
    <w:p w14:paraId="6C0A257D" w14:textId="77777777" w:rsidR="005D2595" w:rsidRPr="0067507D" w:rsidRDefault="005D2595" w:rsidP="005D2595"/>
    <w:p w14:paraId="5C4D15E8" w14:textId="77777777" w:rsidR="005D2595" w:rsidRPr="0067507D" w:rsidRDefault="005D2595" w:rsidP="005D2595">
      <w:pPr>
        <w:ind w:right="4835"/>
      </w:pPr>
      <w:r w:rsidRPr="0067507D">
        <w:t>The assets are invested in the asset classes shown above. The chosen assets are not designed to match the liabilities exactly. However, the nature of the liabilities is considered in setting the investment strategy.</w:t>
      </w:r>
    </w:p>
    <w:p w14:paraId="144E5BE5" w14:textId="77777777" w:rsidR="005D2595" w:rsidRPr="0067507D" w:rsidRDefault="005D2595" w:rsidP="005D2595">
      <w:pPr>
        <w:keepLines w:val="0"/>
        <w:spacing w:before="0" w:after="0"/>
        <w:sectPr w:rsidR="005D2595" w:rsidRPr="0067507D" w:rsidSect="005D2595">
          <w:type w:val="continuous"/>
          <w:pgSz w:w="11909" w:h="16834" w:code="9"/>
          <w:pgMar w:top="1728" w:right="1152" w:bottom="1152" w:left="1152" w:header="720" w:footer="288" w:gutter="0"/>
          <w:cols w:space="569"/>
          <w:noEndnote/>
        </w:sectPr>
      </w:pPr>
    </w:p>
    <w:p w14:paraId="1D282846" w14:textId="77777777" w:rsidR="005D2595" w:rsidRPr="0067507D" w:rsidRDefault="005D2595" w:rsidP="006273F6">
      <w:pPr>
        <w:pStyle w:val="Heading3numbered"/>
        <w:spacing w:before="0"/>
        <w:ind w:left="578" w:hanging="578"/>
      </w:pPr>
      <w:r w:rsidRPr="0067507D">
        <w:lastRenderedPageBreak/>
        <w:t>Administered contingent assets and contingent liabilities</w:t>
      </w:r>
    </w:p>
    <w:p w14:paraId="289DD53B" w14:textId="77777777" w:rsidR="005D2595" w:rsidRPr="0067507D" w:rsidRDefault="005D2595" w:rsidP="005D2595">
      <w:r w:rsidRPr="0067507D">
        <w:t>Administered contingent assets and contingent liabilities are not recognised in the administered balance sheet, but are disclosed in this note and, if quantifiable, are measured at nominal value. Administered contingent assets and contingent liabilities are presented inclusive of GST.</w:t>
      </w:r>
    </w:p>
    <w:p w14:paraId="4A09FD11" w14:textId="77777777" w:rsidR="005D2595" w:rsidRPr="0067507D" w:rsidRDefault="005D2595" w:rsidP="005D2595">
      <w:pPr>
        <w:pStyle w:val="Heading4"/>
      </w:pPr>
      <w:r w:rsidRPr="0067507D">
        <w:t>Administered contingent assets</w:t>
      </w:r>
    </w:p>
    <w:p w14:paraId="7C3E5DB3" w14:textId="38F2342E" w:rsidR="005D2595" w:rsidRPr="0067507D" w:rsidRDefault="005D2595" w:rsidP="005D2595">
      <w:r w:rsidRPr="0067507D">
        <w:t>Contingent assets are possible assets that arise from past events, whose existence will be confirmed only by the occurrence or non</w:t>
      </w:r>
      <w:r w:rsidR="006A5485">
        <w:noBreakHyphen/>
      </w:r>
      <w:r w:rsidRPr="0067507D">
        <w:t>occurrence of one or more uncertain future events not wholly within the control of the Department. Contingent assets are classified as either quantifiable, where the potential economic benefit is known, or non</w:t>
      </w:r>
      <w:r w:rsidR="006A5485">
        <w:noBreakHyphen/>
      </w:r>
      <w:r w:rsidRPr="0067507D">
        <w:t>quantifiable. There were no administered contingent assets as at 30 June 2025 and 30 June 2024.</w:t>
      </w:r>
    </w:p>
    <w:p w14:paraId="7F9D84C6" w14:textId="77777777" w:rsidR="005D2595" w:rsidRPr="0067507D" w:rsidRDefault="005D2595" w:rsidP="005D2595">
      <w:pPr>
        <w:pStyle w:val="Heading4"/>
      </w:pPr>
      <w:r w:rsidRPr="0067507D">
        <w:t>Administered contingent liabilities</w:t>
      </w:r>
    </w:p>
    <w:p w14:paraId="58FB9DBC" w14:textId="77777777" w:rsidR="005D2595" w:rsidRPr="0067507D" w:rsidRDefault="005D2595" w:rsidP="005D2595">
      <w:r w:rsidRPr="0067507D">
        <w:t>Contingent liabilities are:</w:t>
      </w:r>
    </w:p>
    <w:p w14:paraId="47DF0E3D" w14:textId="32390B16" w:rsidR="005D2595" w:rsidRPr="0067507D" w:rsidRDefault="005D2595" w:rsidP="006273F6">
      <w:pPr>
        <w:pStyle w:val="Bullet"/>
        <w:numPr>
          <w:ilvl w:val="0"/>
          <w:numId w:val="31"/>
        </w:numPr>
        <w:spacing w:before="60" w:after="60"/>
      </w:pPr>
      <w:r w:rsidRPr="0067507D">
        <w:t>possible obligations that arise from past events, whose existence will be confirmed only by the occurrence or non</w:t>
      </w:r>
      <w:r w:rsidR="006A5485">
        <w:noBreakHyphen/>
      </w:r>
      <w:r w:rsidRPr="0067507D">
        <w:t>occurrence of one or more uncertain future events not wholly within the control of the Department, or</w:t>
      </w:r>
    </w:p>
    <w:p w14:paraId="533204F0" w14:textId="77777777" w:rsidR="005D2595" w:rsidRPr="0067507D" w:rsidRDefault="005D2595" w:rsidP="006273F6">
      <w:pPr>
        <w:pStyle w:val="Bullet"/>
        <w:numPr>
          <w:ilvl w:val="0"/>
          <w:numId w:val="31"/>
        </w:numPr>
        <w:spacing w:before="60" w:after="60"/>
      </w:pPr>
      <w:r w:rsidRPr="0067507D">
        <w:t>present obligations that arise from past events but are not recognised because: it is not probable that an outflow of resources embodying economic benefits will be required to settle the obligations, or the amount of the obligations cannot be measured with sufficient reliability.</w:t>
      </w:r>
    </w:p>
    <w:p w14:paraId="40F44FAB" w14:textId="1379F332" w:rsidR="005D2595" w:rsidRPr="0067507D" w:rsidRDefault="005D2595" w:rsidP="005D2595">
      <w:r w:rsidRPr="0067507D">
        <w:t>Contingent liabilities are also classified as either quantifiable or non</w:t>
      </w:r>
      <w:r w:rsidR="006A5485">
        <w:noBreakHyphen/>
      </w:r>
      <w:r w:rsidRPr="0067507D">
        <w:t>quantifiable.</w:t>
      </w:r>
    </w:p>
    <w:p w14:paraId="77A11CD9" w14:textId="77777777" w:rsidR="005D2595" w:rsidRPr="0067507D" w:rsidRDefault="005D2595" w:rsidP="005D2595">
      <w:pPr>
        <w:pStyle w:val="Heading4"/>
        <w:sectPr w:rsidR="005D2595" w:rsidRPr="0067507D" w:rsidSect="005D2595">
          <w:pgSz w:w="11909" w:h="16834" w:code="9"/>
          <w:pgMar w:top="1728" w:right="1152" w:bottom="1152" w:left="1152" w:header="720" w:footer="288" w:gutter="0"/>
          <w:cols w:num="2" w:space="569"/>
          <w:noEndnote/>
        </w:sectPr>
      </w:pPr>
    </w:p>
    <w:p w14:paraId="7ADCA6D7" w14:textId="77777777" w:rsidR="005D2595" w:rsidRPr="0067507D" w:rsidRDefault="005D2595" w:rsidP="005D2595">
      <w:pPr>
        <w:pStyle w:val="Heading4"/>
      </w:pPr>
      <w:r w:rsidRPr="0067507D">
        <w:t>Quantifiable administered contingent liabilities</w:t>
      </w:r>
    </w:p>
    <w:tbl>
      <w:tblPr>
        <w:tblStyle w:val="AnnualReportfinancialtable"/>
        <w:tblW w:w="8850" w:type="dxa"/>
        <w:tblLook w:val="00A0" w:firstRow="1" w:lastRow="0" w:firstColumn="1" w:lastColumn="0" w:noHBand="0" w:noVBand="0"/>
      </w:tblPr>
      <w:tblGrid>
        <w:gridCol w:w="6140"/>
        <w:gridCol w:w="1480"/>
        <w:gridCol w:w="1230"/>
      </w:tblGrid>
      <w:tr w:rsidR="005D2595" w:rsidRPr="0067507D" w14:paraId="237EA5D4" w14:textId="77777777" w:rsidTr="00FC3AF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7DF9899A" w14:textId="77777777" w:rsidR="005D2595" w:rsidRPr="0067507D" w:rsidRDefault="005D2595" w:rsidP="00FC3AF2">
            <w:pPr>
              <w:pStyle w:val="Tabletextheadingrightbold"/>
            </w:pP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6920D0C1" w14:textId="7D8E3959" w:rsidR="005D2595" w:rsidRPr="0067507D" w:rsidRDefault="005D2595" w:rsidP="00FC3AF2">
            <w:pPr>
              <w:pStyle w:val="Tabletextheadingrightbold"/>
            </w:pPr>
            <w:r w:rsidRPr="0067507D">
              <w:t>2025</w:t>
            </w:r>
            <w:r w:rsidR="00775C83">
              <w:br/>
            </w:r>
            <w:r w:rsidR="00775C83" w:rsidRPr="0067507D">
              <w:t>$m</w:t>
            </w:r>
          </w:p>
        </w:tc>
        <w:tc>
          <w:tcPr>
            <w:cnfStyle w:val="000001000000" w:firstRow="0" w:lastRow="0" w:firstColumn="0" w:lastColumn="0" w:oddVBand="0" w:evenVBand="1" w:oddHBand="0" w:evenHBand="0" w:firstRowFirstColumn="0" w:firstRowLastColumn="0" w:lastRowFirstColumn="0" w:lastRowLastColumn="0"/>
            <w:tcW w:w="1230" w:type="dxa"/>
            <w:noWrap/>
            <w:hideMark/>
          </w:tcPr>
          <w:p w14:paraId="2AF5670A" w14:textId="3E33DC97" w:rsidR="005D2595" w:rsidRPr="0067507D" w:rsidRDefault="005D2595" w:rsidP="00FC3AF2">
            <w:pPr>
              <w:pStyle w:val="Tabletextheadingrightbold"/>
            </w:pPr>
            <w:r w:rsidRPr="0067507D">
              <w:t>2024</w:t>
            </w:r>
            <w:r w:rsidR="00775C83">
              <w:br/>
            </w:r>
            <w:r w:rsidR="00775C83" w:rsidRPr="0067507D">
              <w:t>$m</w:t>
            </w:r>
          </w:p>
        </w:tc>
      </w:tr>
      <w:tr w:rsidR="005D2595" w:rsidRPr="0067507D" w14:paraId="3F304949"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69DDD04A" w14:textId="77777777" w:rsidR="005D2595" w:rsidRPr="0067507D" w:rsidRDefault="005D2595" w:rsidP="00FC3AF2">
            <w:pPr>
              <w:pStyle w:val="Tabletext"/>
            </w:pPr>
            <w:r w:rsidRPr="0067507D">
              <w:t xml:space="preserve">Specific guarantees and indemnities </w:t>
            </w:r>
            <w:r w:rsidRPr="0067507D">
              <w:rPr>
                <w:vertAlign w:val="superscript"/>
              </w:rPr>
              <w:t>(a)(b)</w:t>
            </w:r>
          </w:p>
        </w:tc>
        <w:tc>
          <w:tcPr>
            <w:cnfStyle w:val="000010000000" w:firstRow="0" w:lastRow="0" w:firstColumn="0" w:lastColumn="0" w:oddVBand="1" w:evenVBand="0" w:oddHBand="0" w:evenHBand="0" w:firstRowFirstColumn="0" w:firstRowLastColumn="0" w:lastRowFirstColumn="0" w:lastRowLastColumn="0"/>
            <w:tcW w:w="1480" w:type="dxa"/>
            <w:noWrap/>
          </w:tcPr>
          <w:p w14:paraId="7D8C88E3" w14:textId="77777777" w:rsidR="005D2595" w:rsidRPr="0067507D" w:rsidRDefault="005D2595" w:rsidP="00FC3AF2">
            <w:pPr>
              <w:pStyle w:val="Tabletextright"/>
            </w:pPr>
            <w:r w:rsidRPr="0067507D">
              <w:t xml:space="preserve"> 66 </w:t>
            </w:r>
          </w:p>
        </w:tc>
        <w:tc>
          <w:tcPr>
            <w:cnfStyle w:val="000001000000" w:firstRow="0" w:lastRow="0" w:firstColumn="0" w:lastColumn="0" w:oddVBand="0" w:evenVBand="1" w:oddHBand="0" w:evenHBand="0" w:firstRowFirstColumn="0" w:firstRowLastColumn="0" w:lastRowFirstColumn="0" w:lastRowLastColumn="0"/>
            <w:tcW w:w="1230" w:type="dxa"/>
            <w:noWrap/>
          </w:tcPr>
          <w:p w14:paraId="136C5CC9" w14:textId="77777777" w:rsidR="005D2595" w:rsidRPr="0067507D" w:rsidRDefault="005D2595" w:rsidP="00FC3AF2">
            <w:pPr>
              <w:pStyle w:val="Tabletextright"/>
            </w:pPr>
            <w:r w:rsidRPr="0067507D">
              <w:t xml:space="preserve">1 568 </w:t>
            </w:r>
          </w:p>
        </w:tc>
      </w:tr>
      <w:tr w:rsidR="005D2595" w:rsidRPr="0067507D" w14:paraId="51B59284"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3A784D30" w14:textId="77777777" w:rsidR="005D2595" w:rsidRPr="0067507D" w:rsidRDefault="005D2595" w:rsidP="00FC3AF2">
            <w:pPr>
              <w:pStyle w:val="Tabletext"/>
            </w:pPr>
            <w:r w:rsidRPr="0067507D">
              <w:t>Guarantees for loans to water industry entities</w:t>
            </w:r>
          </w:p>
        </w:tc>
        <w:tc>
          <w:tcPr>
            <w:cnfStyle w:val="000010000000" w:firstRow="0" w:lastRow="0" w:firstColumn="0" w:lastColumn="0" w:oddVBand="1" w:evenVBand="0" w:oddHBand="0" w:evenHBand="0" w:firstRowFirstColumn="0" w:firstRowLastColumn="0" w:lastRowFirstColumn="0" w:lastRowLastColumn="0"/>
            <w:tcW w:w="1480" w:type="dxa"/>
            <w:noWrap/>
          </w:tcPr>
          <w:p w14:paraId="3435F1D8" w14:textId="77777777" w:rsidR="005D2595" w:rsidRPr="0067507D" w:rsidRDefault="005D2595" w:rsidP="00FC3AF2">
            <w:pPr>
              <w:pStyle w:val="Tabletextright"/>
            </w:pPr>
            <w:r w:rsidRPr="0067507D">
              <w:t xml:space="preserve">18 462 </w:t>
            </w:r>
          </w:p>
        </w:tc>
        <w:tc>
          <w:tcPr>
            <w:cnfStyle w:val="000001000000" w:firstRow="0" w:lastRow="0" w:firstColumn="0" w:lastColumn="0" w:oddVBand="0" w:evenVBand="1" w:oddHBand="0" w:evenHBand="0" w:firstRowFirstColumn="0" w:firstRowLastColumn="0" w:lastRowFirstColumn="0" w:lastRowLastColumn="0"/>
            <w:tcW w:w="1230" w:type="dxa"/>
            <w:noWrap/>
          </w:tcPr>
          <w:p w14:paraId="148BC948" w14:textId="77777777" w:rsidR="005D2595" w:rsidRPr="0067507D" w:rsidRDefault="005D2595" w:rsidP="00FC3AF2">
            <w:pPr>
              <w:pStyle w:val="Tabletextright"/>
            </w:pPr>
            <w:r w:rsidRPr="0067507D">
              <w:t xml:space="preserve">15 812 </w:t>
            </w:r>
          </w:p>
        </w:tc>
      </w:tr>
      <w:tr w:rsidR="005D2595" w:rsidRPr="0067507D" w14:paraId="2F857D2F"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tcPr>
          <w:p w14:paraId="3DC2B71B" w14:textId="77777777" w:rsidR="005D2595" w:rsidRPr="0067507D" w:rsidRDefault="005D2595" w:rsidP="00FC3AF2">
            <w:pPr>
              <w:pStyle w:val="Tabletext"/>
            </w:pPr>
            <w:r w:rsidRPr="0067507D">
              <w:t xml:space="preserve">Guarantees for loans to other entities </w:t>
            </w:r>
            <w:r w:rsidRPr="0067507D">
              <w:rPr>
                <w:vertAlign w:val="superscript"/>
              </w:rPr>
              <w:t>(b)(c)</w:t>
            </w:r>
          </w:p>
        </w:tc>
        <w:tc>
          <w:tcPr>
            <w:cnfStyle w:val="000010000000" w:firstRow="0" w:lastRow="0" w:firstColumn="0" w:lastColumn="0" w:oddVBand="1" w:evenVBand="0" w:oddHBand="0" w:evenHBand="0" w:firstRowFirstColumn="0" w:firstRowLastColumn="0" w:lastRowFirstColumn="0" w:lastRowLastColumn="0"/>
            <w:tcW w:w="1480" w:type="dxa"/>
            <w:noWrap/>
          </w:tcPr>
          <w:p w14:paraId="71F768E3" w14:textId="77777777" w:rsidR="005D2595" w:rsidRPr="0067507D" w:rsidRDefault="005D2595" w:rsidP="00FC3AF2">
            <w:pPr>
              <w:pStyle w:val="Tabletextright"/>
            </w:pPr>
            <w:r w:rsidRPr="0067507D">
              <w:t xml:space="preserve">2 314 </w:t>
            </w:r>
          </w:p>
        </w:tc>
        <w:tc>
          <w:tcPr>
            <w:cnfStyle w:val="000001000000" w:firstRow="0" w:lastRow="0" w:firstColumn="0" w:lastColumn="0" w:oddVBand="0" w:evenVBand="1" w:oddHBand="0" w:evenHBand="0" w:firstRowFirstColumn="0" w:firstRowLastColumn="0" w:lastRowFirstColumn="0" w:lastRowLastColumn="0"/>
            <w:tcW w:w="1230" w:type="dxa"/>
            <w:noWrap/>
          </w:tcPr>
          <w:p w14:paraId="3B7FC3C0" w14:textId="77777777" w:rsidR="005D2595" w:rsidRPr="0067507D" w:rsidRDefault="005D2595" w:rsidP="00FC3AF2">
            <w:pPr>
              <w:pStyle w:val="Tabletextright"/>
            </w:pPr>
            <w:r w:rsidRPr="0067507D">
              <w:t xml:space="preserve">2 310 </w:t>
            </w:r>
          </w:p>
        </w:tc>
      </w:tr>
      <w:tr w:rsidR="005D2595" w:rsidRPr="0067507D" w14:paraId="2CAAE973" w14:textId="77777777" w:rsidTr="00FC3AF2">
        <w:trPr>
          <w:trHeight w:val="255"/>
        </w:trPr>
        <w:tc>
          <w:tcPr>
            <w:cnfStyle w:val="001000000000" w:firstRow="0" w:lastRow="0" w:firstColumn="1" w:lastColumn="0" w:oddVBand="0" w:evenVBand="0" w:oddHBand="0" w:evenHBand="0" w:firstRowFirstColumn="0" w:firstRowLastColumn="0" w:lastRowFirstColumn="0" w:lastRowLastColumn="0"/>
            <w:tcW w:w="6140" w:type="dxa"/>
            <w:noWrap/>
            <w:hideMark/>
          </w:tcPr>
          <w:p w14:paraId="2F204526" w14:textId="77777777" w:rsidR="005D2595" w:rsidRPr="0067507D" w:rsidRDefault="005D2595" w:rsidP="00FC3AF2">
            <w:pPr>
              <w:pStyle w:val="Tabletext"/>
            </w:pPr>
            <w:r w:rsidRPr="0067507D">
              <w:t>Legal proceedings and disputes</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04098AD1" w14:textId="77777777" w:rsidR="005D2595" w:rsidRPr="0067507D" w:rsidRDefault="005D2595" w:rsidP="00FC3AF2">
            <w:pPr>
              <w:pStyle w:val="Tabletextright"/>
            </w:pPr>
            <w:r w:rsidRPr="0067507D">
              <w:t xml:space="preserve"> 169 </w:t>
            </w:r>
          </w:p>
        </w:tc>
        <w:tc>
          <w:tcPr>
            <w:cnfStyle w:val="000001000000" w:firstRow="0" w:lastRow="0" w:firstColumn="0" w:lastColumn="0" w:oddVBand="0" w:evenVBand="1" w:oddHBand="0" w:evenHBand="0" w:firstRowFirstColumn="0" w:firstRowLastColumn="0" w:lastRowFirstColumn="0" w:lastRowLastColumn="0"/>
            <w:tcW w:w="1230" w:type="dxa"/>
            <w:noWrap/>
          </w:tcPr>
          <w:p w14:paraId="7D1F1664" w14:textId="77777777" w:rsidR="005D2595" w:rsidRPr="0067507D" w:rsidRDefault="005D2595" w:rsidP="00FC3AF2">
            <w:pPr>
              <w:pStyle w:val="Tabletextright"/>
            </w:pPr>
            <w:r w:rsidRPr="0067507D">
              <w:t xml:space="preserve"> 144 </w:t>
            </w:r>
          </w:p>
        </w:tc>
      </w:tr>
      <w:tr w:rsidR="005D2595" w:rsidRPr="0067507D" w14:paraId="53C40FE0" w14:textId="77777777" w:rsidTr="00FC3AF2">
        <w:trPr>
          <w:trHeight w:val="263"/>
        </w:trPr>
        <w:tc>
          <w:tcPr>
            <w:cnfStyle w:val="001000000000" w:firstRow="0" w:lastRow="0" w:firstColumn="1" w:lastColumn="0" w:oddVBand="0" w:evenVBand="0" w:oddHBand="0" w:evenHBand="0" w:firstRowFirstColumn="0" w:firstRowLastColumn="0" w:lastRowFirstColumn="0" w:lastRowLastColumn="0"/>
            <w:tcW w:w="6140" w:type="dxa"/>
            <w:noWrap/>
            <w:hideMark/>
          </w:tcPr>
          <w:p w14:paraId="33CAA2A4" w14:textId="77777777" w:rsidR="005D2595" w:rsidRPr="0067507D" w:rsidRDefault="005D2595" w:rsidP="00FC3AF2">
            <w:pPr>
              <w:pStyle w:val="Tabletextbold"/>
            </w:pPr>
            <w:r w:rsidRPr="0067507D">
              <w:t xml:space="preserve">Total </w:t>
            </w:r>
            <w:r w:rsidRPr="0067507D">
              <w:rPr>
                <w:vertAlign w:val="superscript"/>
              </w:rPr>
              <w:t>(a)(c)</w:t>
            </w:r>
          </w:p>
        </w:tc>
        <w:tc>
          <w:tcPr>
            <w:cnfStyle w:val="000010000000" w:firstRow="0" w:lastRow="0" w:firstColumn="0" w:lastColumn="0" w:oddVBand="1" w:evenVBand="0" w:oddHBand="0" w:evenHBand="0" w:firstRowFirstColumn="0" w:firstRowLastColumn="0" w:lastRowFirstColumn="0" w:lastRowLastColumn="0"/>
            <w:tcW w:w="1480" w:type="dxa"/>
            <w:noWrap/>
            <w:hideMark/>
          </w:tcPr>
          <w:p w14:paraId="7FCE3A73" w14:textId="77777777" w:rsidR="005D2595" w:rsidRPr="0067507D" w:rsidRDefault="005D2595" w:rsidP="00FC3AF2">
            <w:pPr>
              <w:pStyle w:val="Tabletextrightbold"/>
            </w:pPr>
            <w:r w:rsidRPr="0067507D">
              <w:t xml:space="preserve">21 011 </w:t>
            </w:r>
          </w:p>
        </w:tc>
        <w:tc>
          <w:tcPr>
            <w:cnfStyle w:val="000001000000" w:firstRow="0" w:lastRow="0" w:firstColumn="0" w:lastColumn="0" w:oddVBand="0" w:evenVBand="1" w:oddHBand="0" w:evenHBand="0" w:firstRowFirstColumn="0" w:firstRowLastColumn="0" w:lastRowFirstColumn="0" w:lastRowLastColumn="0"/>
            <w:tcW w:w="1230" w:type="dxa"/>
            <w:noWrap/>
          </w:tcPr>
          <w:p w14:paraId="25A55BEB" w14:textId="77777777" w:rsidR="005D2595" w:rsidRPr="0067507D" w:rsidRDefault="005D2595" w:rsidP="00FC3AF2">
            <w:pPr>
              <w:pStyle w:val="Tabletextrightbold"/>
            </w:pPr>
            <w:r w:rsidRPr="0067507D">
              <w:t xml:space="preserve">19 834 </w:t>
            </w:r>
          </w:p>
        </w:tc>
      </w:tr>
    </w:tbl>
    <w:p w14:paraId="23A1E57C" w14:textId="77777777" w:rsidR="005D2595" w:rsidRPr="0067507D" w:rsidRDefault="005D2595" w:rsidP="005D2595">
      <w:pPr>
        <w:pStyle w:val="Notes"/>
      </w:pPr>
      <w:r w:rsidRPr="0067507D">
        <w:t>Notes:</w:t>
      </w:r>
    </w:p>
    <w:p w14:paraId="14ED891C" w14:textId="12E7A63C" w:rsidR="005D2595" w:rsidRPr="0067507D" w:rsidRDefault="005D2595" w:rsidP="005D2595">
      <w:pPr>
        <w:pStyle w:val="Notes"/>
      </w:pPr>
      <w:r w:rsidRPr="0067507D">
        <w:t>(a) The 2023</w:t>
      </w:r>
      <w:r w:rsidR="006A5485">
        <w:noBreakHyphen/>
      </w:r>
      <w:r w:rsidRPr="0067507D">
        <w:t>24 figure has been updated to remove guarantee fees receivable amounts totalling $87 million that had been incorrectly offsetting the prior year quantifiable contingent liability amount.</w:t>
      </w:r>
    </w:p>
    <w:p w14:paraId="77B1C073" w14:textId="77777777" w:rsidR="005D2595" w:rsidRPr="0067507D" w:rsidRDefault="005D2595" w:rsidP="005D2595">
      <w:pPr>
        <w:pStyle w:val="Notes"/>
      </w:pPr>
      <w:r w:rsidRPr="0067507D">
        <w:t xml:space="preserve">(b) A number of guarantees have been classified as contractual guarantees and therefore recognised at their fair value on the balance sheet from 30 June 2025, rather than as quantifiable contingent liabilities, consistent with the requirements of AASB 9 </w:t>
      </w:r>
      <w:r w:rsidRPr="0067507D">
        <w:rPr>
          <w:i/>
          <w:iCs/>
        </w:rPr>
        <w:t>Financial Instruments</w:t>
      </w:r>
      <w:r w:rsidRPr="0067507D">
        <w:t>.</w:t>
      </w:r>
    </w:p>
    <w:p w14:paraId="7930EE57" w14:textId="60EA7AE5" w:rsidR="005D2595" w:rsidRPr="0067507D" w:rsidRDefault="005D2595" w:rsidP="005D2595">
      <w:pPr>
        <w:pStyle w:val="Notes"/>
      </w:pPr>
      <w:r w:rsidRPr="0067507D">
        <w:t>(c) The 2023</w:t>
      </w:r>
      <w:r w:rsidR="006A5485">
        <w:noBreakHyphen/>
      </w:r>
      <w:r w:rsidRPr="0067507D">
        <w:t>24 figure has been updated to include an additional guarantee totalling $472 million that had been incorrectly excluded from the prior year quantifiable contingent liability amount.</w:t>
      </w:r>
    </w:p>
    <w:p w14:paraId="65347577" w14:textId="77777777" w:rsidR="005D2595" w:rsidRPr="0067507D" w:rsidRDefault="005D2595" w:rsidP="005D2595"/>
    <w:p w14:paraId="288B4BCB" w14:textId="77777777" w:rsidR="005D2595" w:rsidRPr="0067507D" w:rsidRDefault="005D2595" w:rsidP="005D2595">
      <w:pPr>
        <w:keepLines w:val="0"/>
        <w:spacing w:before="0" w:after="0"/>
        <w:sectPr w:rsidR="005D2595" w:rsidRPr="0067507D" w:rsidSect="005D2595">
          <w:type w:val="continuous"/>
          <w:pgSz w:w="11909" w:h="16834" w:code="9"/>
          <w:pgMar w:top="1728" w:right="1152" w:bottom="1152" w:left="1152" w:header="720" w:footer="288" w:gutter="0"/>
          <w:cols w:space="569"/>
          <w:noEndnote/>
        </w:sectPr>
      </w:pPr>
    </w:p>
    <w:p w14:paraId="02E7845D" w14:textId="376D9A2E" w:rsidR="005D2595" w:rsidRPr="0067507D" w:rsidRDefault="005D2595" w:rsidP="005D2595">
      <w:pPr>
        <w:pStyle w:val="Heading4"/>
        <w:spacing w:before="0"/>
      </w:pPr>
      <w:r w:rsidRPr="0067507D">
        <w:t>Non</w:t>
      </w:r>
      <w:r w:rsidR="006A5485">
        <w:noBreakHyphen/>
      </w:r>
      <w:r w:rsidRPr="0067507D">
        <w:t>quantifiable administered contingent liabilities</w:t>
      </w:r>
    </w:p>
    <w:p w14:paraId="06CDA08E" w14:textId="3489EB2C" w:rsidR="005D2595" w:rsidRPr="0067507D" w:rsidRDefault="005D2595" w:rsidP="005D2595">
      <w:pPr>
        <w:keepLines w:val="0"/>
        <w:spacing w:before="0" w:after="0"/>
      </w:pPr>
      <w:r w:rsidRPr="0067507D">
        <w:t>A number of potential obligations are non</w:t>
      </w:r>
      <w:r w:rsidR="006A5485">
        <w:noBreakHyphen/>
      </w:r>
      <w:r w:rsidRPr="0067507D">
        <w:t>quantifiable at this time arising from:</w:t>
      </w:r>
    </w:p>
    <w:p w14:paraId="199526FB" w14:textId="77777777" w:rsidR="005D2595" w:rsidRPr="0067507D" w:rsidRDefault="005D2595" w:rsidP="006273F6">
      <w:pPr>
        <w:pStyle w:val="Bullet"/>
        <w:numPr>
          <w:ilvl w:val="0"/>
          <w:numId w:val="22"/>
        </w:numPr>
      </w:pPr>
      <w:r w:rsidRPr="0067507D">
        <w:t>indemnities provided in relation to transactions, including financial arrangements and consultancy services, as well as for directors and administrators</w:t>
      </w:r>
    </w:p>
    <w:p w14:paraId="0A0528EB" w14:textId="77777777" w:rsidR="005D2595" w:rsidRPr="0067507D" w:rsidRDefault="005D2595" w:rsidP="006273F6">
      <w:pPr>
        <w:pStyle w:val="Bullet"/>
        <w:numPr>
          <w:ilvl w:val="0"/>
          <w:numId w:val="22"/>
        </w:numPr>
      </w:pPr>
      <w:r w:rsidRPr="0067507D">
        <w:t>performance guarantees, warranties, letters of comfort and the like</w:t>
      </w:r>
    </w:p>
    <w:p w14:paraId="02FF7D61" w14:textId="77777777" w:rsidR="005D2595" w:rsidRPr="0067507D" w:rsidRDefault="005D2595" w:rsidP="006273F6">
      <w:pPr>
        <w:pStyle w:val="Bullet"/>
        <w:numPr>
          <w:ilvl w:val="0"/>
          <w:numId w:val="22"/>
        </w:numPr>
      </w:pPr>
      <w:r w:rsidRPr="0067507D">
        <w:t>deeds in respect of certain obligations</w:t>
      </w:r>
    </w:p>
    <w:p w14:paraId="1E799E56" w14:textId="77777777" w:rsidR="005D2595" w:rsidRPr="0067507D" w:rsidRDefault="005D2595" w:rsidP="006273F6">
      <w:pPr>
        <w:pStyle w:val="Bullet"/>
        <w:numPr>
          <w:ilvl w:val="0"/>
          <w:numId w:val="22"/>
        </w:numPr>
      </w:pPr>
      <w:r w:rsidRPr="0067507D">
        <w:t>unclaimed monies, which may be subject to future claims by the general public against the State.</w:t>
      </w:r>
    </w:p>
    <w:p w14:paraId="3ABC0BE5" w14:textId="3B01E061" w:rsidR="005D2595" w:rsidRPr="0067507D" w:rsidRDefault="005D2595" w:rsidP="005D2595">
      <w:pPr>
        <w:rPr>
          <w:caps/>
        </w:rPr>
      </w:pPr>
      <w:r w:rsidRPr="0067507D">
        <w:t>A more significant non</w:t>
      </w:r>
      <w:r w:rsidR="006A5485">
        <w:noBreakHyphen/>
      </w:r>
      <w:r w:rsidRPr="0067507D">
        <w:t>quantifiable administered contingent liability is as follows.</w:t>
      </w:r>
    </w:p>
    <w:p w14:paraId="5B211D54" w14:textId="77777777" w:rsidR="005D2595" w:rsidRPr="0067507D" w:rsidRDefault="005D2595" w:rsidP="005D2595">
      <w:pPr>
        <w:pStyle w:val="Heading5"/>
      </w:pPr>
      <w:r w:rsidRPr="0067507D">
        <w:t>Victorian Managed Insurance Authority – insurance cover</w:t>
      </w:r>
    </w:p>
    <w:p w14:paraId="206F0C77" w14:textId="77777777" w:rsidR="005D2595" w:rsidRPr="0067507D" w:rsidRDefault="005D2595" w:rsidP="005D2595">
      <w:r w:rsidRPr="0067507D">
        <w:t xml:space="preserve">The Victorian Managed Insurance Authority (VMIA) was established in 1996 as an insurer for state government departments and participating bodies as defined under the </w:t>
      </w:r>
      <w:r w:rsidRPr="0067507D">
        <w:rPr>
          <w:i/>
          <w:iCs/>
        </w:rPr>
        <w:t>Victorian Managed Insurance Authority Act 1996</w:t>
      </w:r>
      <w:r w:rsidRPr="0067507D">
        <w:t xml:space="preserve"> and other entities as declared by the Minister. VMIA insures its clients for property, public and products liability, professional indemnity, medical indemnity, contract works and a range of other liabilities. VMIA also provided domestic building insurance to Victorian residential builders from March 2010 to July 2025 when this function transferred to the Building and Plumbing Commission.</w:t>
      </w:r>
    </w:p>
    <w:p w14:paraId="5F3DE8C0" w14:textId="77777777" w:rsidR="005D2595" w:rsidRPr="0067507D" w:rsidRDefault="005D2595" w:rsidP="005D2595">
      <w:r w:rsidRPr="0067507D">
        <w:t>VMIA reinsures in the private market based on the likelihood and impact of events as well as the cost and availability of such cover. The risk of losses above what VMIA reinsures in the private market is borne by the State.</w:t>
      </w:r>
    </w:p>
    <w:p w14:paraId="6516FE71" w14:textId="77777777" w:rsidR="005D2595" w:rsidRPr="0067507D" w:rsidRDefault="005D2595" w:rsidP="005D2595">
      <w:r w:rsidRPr="0067507D">
        <w:lastRenderedPageBreak/>
        <w:t>The State, under separate deeds of indemnity, has agreed to reimburse VMIA:</w:t>
      </w:r>
    </w:p>
    <w:p w14:paraId="3E2C1615" w14:textId="77777777" w:rsidR="005D2595" w:rsidRPr="0067507D" w:rsidRDefault="005D2595" w:rsidP="006273F6">
      <w:pPr>
        <w:pStyle w:val="Bullet"/>
        <w:numPr>
          <w:ilvl w:val="0"/>
          <w:numId w:val="22"/>
        </w:numPr>
      </w:pPr>
      <w:r w:rsidRPr="0067507D">
        <w:t>if the costs of public sector medical indemnity claims for a policy year exceed the initial estimate on which the risk premium was based by more than 20 per cent, and</w:t>
      </w:r>
    </w:p>
    <w:p w14:paraId="3C580616" w14:textId="77777777" w:rsidR="005D2595" w:rsidRPr="0067507D" w:rsidRDefault="005D2595" w:rsidP="006273F6">
      <w:pPr>
        <w:pStyle w:val="Bullet"/>
        <w:numPr>
          <w:ilvl w:val="0"/>
          <w:numId w:val="22"/>
        </w:numPr>
      </w:pPr>
      <w:r w:rsidRPr="0067507D">
        <w:t>for losses above a certain limit that VMIA may incur due to changes in the availability of reinsurance.</w:t>
      </w:r>
    </w:p>
    <w:p w14:paraId="17EE4765" w14:textId="77777777" w:rsidR="005D2595" w:rsidRPr="0067507D" w:rsidRDefault="005D2595" w:rsidP="005D2595">
      <w:pPr>
        <w:pStyle w:val="Heading5"/>
      </w:pPr>
      <w:r w:rsidRPr="0067507D">
        <w:t xml:space="preserve">Foreign Purchaser Additional Duty and Absentee Owner Land Tax Surcharge class action </w:t>
      </w:r>
    </w:p>
    <w:p w14:paraId="2B35B985" w14:textId="77777777" w:rsidR="005D2595" w:rsidRPr="0067507D" w:rsidRDefault="005D2595" w:rsidP="005D2595">
      <w:r w:rsidRPr="0067507D">
        <w:t>A class action has been filed in the Federal Court against the State of Victoria and the Commissioner for State Revenue which challenges the imposition of Foreign Purchaser Additional Duty under the</w:t>
      </w:r>
      <w:r w:rsidRPr="0067507D">
        <w:rPr>
          <w:i/>
          <w:iCs/>
        </w:rPr>
        <w:t xml:space="preserve"> Duties Act 2000</w:t>
      </w:r>
      <w:r w:rsidRPr="0067507D">
        <w:t xml:space="preserve"> (Vic), and Absentee Owner Land Tax Surcharge under the </w:t>
      </w:r>
      <w:r w:rsidRPr="0067507D">
        <w:rPr>
          <w:i/>
          <w:iCs/>
        </w:rPr>
        <w:t>Land Tax Act 2005</w:t>
      </w:r>
      <w:r w:rsidRPr="0067507D">
        <w:t xml:space="preserve"> (Vic). The representative proceeding was brought by two applicants on their own behalf and on behalf of an open class of group members. The applicants claim that the relevant statutory provisions are constitutionally invalid on the basis of their inconsistency with International Tax Agreements given effect to by the </w:t>
      </w:r>
      <w:r w:rsidRPr="0067507D">
        <w:rPr>
          <w:i/>
          <w:iCs/>
        </w:rPr>
        <w:t>International Tax Agreements Act 1953</w:t>
      </w:r>
      <w:r w:rsidRPr="0067507D">
        <w:t xml:space="preserve"> (Cth). The constitutional issues raised by this proceeding are the subject of related High Court proceedings. </w:t>
      </w:r>
    </w:p>
    <w:p w14:paraId="471AF643" w14:textId="77777777" w:rsidR="005D2595" w:rsidRPr="0067507D" w:rsidRDefault="005D2595" w:rsidP="005D2595">
      <w:r w:rsidRPr="0067507D">
        <w:t>At this stage it is not possible to quantify the financial effects of this contingent liability.</w:t>
      </w:r>
    </w:p>
    <w:bookmarkEnd w:id="107"/>
    <w:p w14:paraId="70664519" w14:textId="77777777" w:rsidR="005D2595" w:rsidRPr="0067507D" w:rsidRDefault="005D2595" w:rsidP="005D2595"/>
    <w:p w14:paraId="1E75CB57" w14:textId="77777777" w:rsidR="005D2595" w:rsidRPr="0067507D" w:rsidRDefault="005D2595" w:rsidP="005D2595">
      <w:pPr>
        <w:sectPr w:rsidR="005D2595" w:rsidRPr="0067507D" w:rsidSect="005D2595">
          <w:headerReference w:type="default" r:id="rId104"/>
          <w:type w:val="continuous"/>
          <w:pgSz w:w="11909" w:h="16834" w:code="9"/>
          <w:pgMar w:top="1728" w:right="1152" w:bottom="1152" w:left="1152" w:header="720" w:footer="288" w:gutter="0"/>
          <w:cols w:num="2" w:space="569"/>
          <w:noEndnote/>
        </w:sectPr>
      </w:pPr>
    </w:p>
    <w:p w14:paraId="28069ACE" w14:textId="77777777" w:rsidR="005D2595" w:rsidRPr="0067507D" w:rsidRDefault="005D2595" w:rsidP="009714E6">
      <w:pPr>
        <w:pStyle w:val="Heading1numbered"/>
      </w:pPr>
      <w:bookmarkStart w:id="117" w:name="_Toc484452149"/>
      <w:bookmarkStart w:id="118" w:name="_Toc210214009"/>
      <w:bookmarkStart w:id="119" w:name="_Toc210213956"/>
      <w:r w:rsidRPr="0067507D">
        <w:lastRenderedPageBreak/>
        <w:t>Key assets available to support output delivery</w:t>
      </w:r>
      <w:bookmarkEnd w:id="117"/>
      <w:bookmarkEnd w:id="118"/>
      <w:bookmarkEnd w:id="119"/>
    </w:p>
    <w:p w14:paraId="206D8E48" w14:textId="77777777" w:rsidR="005D2595" w:rsidRPr="0067507D" w:rsidRDefault="005D2595" w:rsidP="005D2595">
      <w:pPr>
        <w:pStyle w:val="Heading4"/>
        <w:sectPr w:rsidR="005D2595" w:rsidRPr="0067507D" w:rsidSect="004D5C32">
          <w:headerReference w:type="even" r:id="rId105"/>
          <w:headerReference w:type="default" r:id="rId106"/>
          <w:pgSz w:w="11909" w:h="16834" w:code="9"/>
          <w:pgMar w:top="1728" w:right="1152" w:bottom="1152" w:left="1152" w:header="720" w:footer="288" w:gutter="0"/>
          <w:cols w:space="569"/>
          <w:noEndnote/>
          <w:titlePg/>
          <w:docGrid w:linePitch="231"/>
        </w:sectPr>
      </w:pPr>
    </w:p>
    <w:p w14:paraId="25F81189" w14:textId="77777777" w:rsidR="005D2595" w:rsidRPr="0067507D" w:rsidRDefault="005D2595" w:rsidP="000D5F54">
      <w:pPr>
        <w:pStyle w:val="Heading2numbered"/>
      </w:pPr>
      <w:bookmarkStart w:id="120" w:name="_Toc210214010"/>
      <w:bookmarkStart w:id="121" w:name="_Toc210213957"/>
      <w:bookmarkStart w:id="122" w:name="Non_financial_physical_assets_start"/>
      <w:bookmarkStart w:id="123" w:name="Section_05"/>
      <w:r w:rsidRPr="0067507D">
        <w:t>Introduction</w:t>
      </w:r>
      <w:bookmarkEnd w:id="120"/>
      <w:bookmarkEnd w:id="121"/>
    </w:p>
    <w:bookmarkEnd w:id="122"/>
    <w:p w14:paraId="38C58325" w14:textId="77777777" w:rsidR="005D2595" w:rsidRPr="0067507D" w:rsidRDefault="005D2595" w:rsidP="005D2595">
      <w:r w:rsidRPr="0067507D">
        <w:t>The Department controls assets that are utilised in fulfilling its objectives and conducting its activities. They represent the resources that have been entrusted to the Department to be utilised for delivery of these outputs. The key assets utilised to support the Department's outputs are intangible assets (computer software).</w:t>
      </w:r>
    </w:p>
    <w:p w14:paraId="0C44FC22" w14:textId="77777777" w:rsidR="005D2595" w:rsidRPr="0067507D" w:rsidRDefault="005D2595" w:rsidP="005D2595">
      <w:pPr>
        <w:pStyle w:val="Heading4"/>
      </w:pPr>
      <w:r w:rsidRPr="0067507D">
        <w:br w:type="column"/>
      </w:r>
    </w:p>
    <w:p w14:paraId="4D896816" w14:textId="77777777" w:rsidR="005D2595" w:rsidRPr="0067507D" w:rsidRDefault="005D2595" w:rsidP="005D2595">
      <w:pPr>
        <w:sectPr w:rsidR="005D2595" w:rsidRPr="0067507D" w:rsidSect="005D2595">
          <w:headerReference w:type="even" r:id="rId107"/>
          <w:type w:val="continuous"/>
          <w:pgSz w:w="11909" w:h="16834" w:code="9"/>
          <w:pgMar w:top="1728" w:right="1152" w:bottom="1152" w:left="1152" w:header="720" w:footer="288" w:gutter="0"/>
          <w:cols w:num="2" w:space="569"/>
          <w:noEndnote/>
        </w:sectPr>
      </w:pPr>
    </w:p>
    <w:p w14:paraId="2B6AF5A0" w14:textId="77777777" w:rsidR="005D2595" w:rsidRPr="0067507D" w:rsidRDefault="005D2595" w:rsidP="000D5F54">
      <w:pPr>
        <w:pStyle w:val="Heading2numbered"/>
      </w:pPr>
      <w:bookmarkStart w:id="124" w:name="_Toc210214011"/>
      <w:bookmarkStart w:id="125" w:name="_Toc210213958"/>
      <w:r w:rsidRPr="0067507D">
        <w:t>Intangible assets</w:t>
      </w:r>
      <w:bookmarkEnd w:id="124"/>
      <w:bookmarkEnd w:id="125"/>
    </w:p>
    <w:tbl>
      <w:tblPr>
        <w:tblStyle w:val="AnnualReporttexttable"/>
        <w:tblW w:w="0" w:type="auto"/>
        <w:tblLook w:val="02A0" w:firstRow="1" w:lastRow="0" w:firstColumn="1" w:lastColumn="0" w:noHBand="1" w:noVBand="0"/>
      </w:tblPr>
      <w:tblGrid>
        <w:gridCol w:w="3212"/>
        <w:gridCol w:w="1065"/>
        <w:gridCol w:w="1066"/>
        <w:gridCol w:w="1065"/>
        <w:gridCol w:w="1066"/>
        <w:gridCol w:w="1065"/>
        <w:gridCol w:w="1066"/>
      </w:tblGrid>
      <w:tr w:rsidR="005D2595" w:rsidRPr="0067507D" w14:paraId="3B53BD77" w14:textId="77777777" w:rsidTr="00FC3AF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12" w:type="dxa"/>
            <w:shd w:val="clear" w:color="auto" w:fill="auto"/>
          </w:tcPr>
          <w:p w14:paraId="415DC89A" w14:textId="77777777" w:rsidR="005D2595" w:rsidRPr="0067507D" w:rsidRDefault="005D2595" w:rsidP="00FC3AF2">
            <w:pPr>
              <w:pStyle w:val="Tableheader"/>
              <w:rPr>
                <w:b w:val="0"/>
              </w:rPr>
            </w:pPr>
          </w:p>
        </w:tc>
        <w:tc>
          <w:tcPr>
            <w:cnfStyle w:val="000010000000" w:firstRow="0" w:lastRow="0" w:firstColumn="0" w:lastColumn="0" w:oddVBand="1" w:evenVBand="0" w:oddHBand="0" w:evenHBand="0" w:firstRowFirstColumn="0" w:firstRowLastColumn="0" w:lastRowFirstColumn="0" w:lastRowLastColumn="0"/>
            <w:tcW w:w="2131" w:type="dxa"/>
            <w:gridSpan w:val="2"/>
            <w:vAlign w:val="bottom"/>
          </w:tcPr>
          <w:p w14:paraId="45E58EBE" w14:textId="77777777" w:rsidR="005D2595" w:rsidRPr="0067507D" w:rsidRDefault="005D2595" w:rsidP="00FC3AF2">
            <w:pPr>
              <w:pStyle w:val="Tableheader"/>
              <w:jc w:val="center"/>
              <w:rPr>
                <w:rFonts w:asciiTheme="majorHAnsi" w:hAnsiTheme="majorHAnsi"/>
                <w:b w:val="0"/>
                <w:bCs/>
              </w:rPr>
            </w:pPr>
            <w:r w:rsidRPr="0067507D">
              <w:rPr>
                <w:rFonts w:asciiTheme="majorHAnsi" w:hAnsiTheme="majorHAnsi"/>
                <w:b w:val="0"/>
                <w:bCs/>
              </w:rPr>
              <w:t>Gross carrying amount</w:t>
            </w:r>
          </w:p>
        </w:tc>
        <w:tc>
          <w:tcPr>
            <w:cnfStyle w:val="000001000000" w:firstRow="0" w:lastRow="0" w:firstColumn="0" w:lastColumn="0" w:oddVBand="0" w:evenVBand="1" w:oddHBand="0" w:evenHBand="0" w:firstRowFirstColumn="0" w:firstRowLastColumn="0" w:lastRowFirstColumn="0" w:lastRowLastColumn="0"/>
            <w:tcW w:w="2131" w:type="dxa"/>
            <w:gridSpan w:val="2"/>
            <w:shd w:val="clear" w:color="auto" w:fill="auto"/>
            <w:vAlign w:val="bottom"/>
          </w:tcPr>
          <w:p w14:paraId="12A1DDDA" w14:textId="77777777" w:rsidR="005D2595" w:rsidRPr="0067507D" w:rsidRDefault="005D2595" w:rsidP="00FC3AF2">
            <w:pPr>
              <w:pStyle w:val="Tableheader"/>
              <w:jc w:val="center"/>
              <w:rPr>
                <w:rFonts w:asciiTheme="majorHAnsi" w:hAnsiTheme="majorHAnsi"/>
                <w:b w:val="0"/>
                <w:bCs/>
              </w:rPr>
            </w:pPr>
            <w:r w:rsidRPr="0067507D">
              <w:rPr>
                <w:rFonts w:asciiTheme="majorHAnsi" w:hAnsiTheme="majorHAnsi"/>
                <w:b w:val="0"/>
                <w:bCs/>
              </w:rPr>
              <w:t>Accumulated depreciation</w:t>
            </w:r>
          </w:p>
        </w:tc>
        <w:tc>
          <w:tcPr>
            <w:cnfStyle w:val="000010000000" w:firstRow="0" w:lastRow="0" w:firstColumn="0" w:lastColumn="0" w:oddVBand="1" w:evenVBand="0" w:oddHBand="0" w:evenHBand="0" w:firstRowFirstColumn="0" w:firstRowLastColumn="0" w:lastRowFirstColumn="0" w:lastRowLastColumn="0"/>
            <w:tcW w:w="2131" w:type="dxa"/>
            <w:gridSpan w:val="2"/>
            <w:vAlign w:val="bottom"/>
          </w:tcPr>
          <w:p w14:paraId="66C8AAF7" w14:textId="77777777" w:rsidR="005D2595" w:rsidRPr="0067507D" w:rsidRDefault="005D2595" w:rsidP="00FC3AF2">
            <w:pPr>
              <w:pStyle w:val="Tableheader"/>
              <w:jc w:val="center"/>
              <w:rPr>
                <w:rFonts w:asciiTheme="majorHAnsi" w:hAnsiTheme="majorHAnsi"/>
                <w:b w:val="0"/>
                <w:bCs/>
              </w:rPr>
            </w:pPr>
            <w:r w:rsidRPr="0067507D">
              <w:rPr>
                <w:rFonts w:asciiTheme="majorHAnsi" w:hAnsiTheme="majorHAnsi"/>
                <w:b w:val="0"/>
                <w:bCs/>
              </w:rPr>
              <w:t>Net carrying amount</w:t>
            </w:r>
          </w:p>
        </w:tc>
      </w:tr>
      <w:tr w:rsidR="006F34A8" w:rsidRPr="0067507D" w14:paraId="4FFF23E1" w14:textId="77777777" w:rsidTr="00FC3AF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12" w:type="dxa"/>
            <w:shd w:val="clear" w:color="auto" w:fill="auto"/>
          </w:tcPr>
          <w:p w14:paraId="1698621D" w14:textId="77777777" w:rsidR="006F34A8" w:rsidRPr="0067507D" w:rsidRDefault="006F34A8" w:rsidP="006F34A8">
            <w:pPr>
              <w:pStyle w:val="Tableheader"/>
              <w:rPr>
                <w:b w:val="0"/>
              </w:rPr>
            </w:pP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6EF8AAE1" w14:textId="51499DA3" w:rsidR="006F34A8" w:rsidRPr="00943D06" w:rsidRDefault="006F34A8" w:rsidP="00943D06">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auto"/>
          </w:tcPr>
          <w:p w14:paraId="54C06A5B" w14:textId="52BB8E03" w:rsidR="006F34A8" w:rsidRPr="00943D06" w:rsidRDefault="006F34A8" w:rsidP="00943D06">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74BCFF32" w14:textId="465D2208" w:rsidR="006F34A8" w:rsidRPr="00943D06" w:rsidRDefault="006F34A8" w:rsidP="00943D06">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auto"/>
          </w:tcPr>
          <w:p w14:paraId="11970EB6" w14:textId="6387D5FA" w:rsidR="006F34A8" w:rsidRPr="00943D06" w:rsidRDefault="006F34A8" w:rsidP="00943D06">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6B1C252C" w14:textId="52AF32F4" w:rsidR="006F34A8" w:rsidRPr="00943D06" w:rsidRDefault="006F34A8" w:rsidP="00943D06">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auto"/>
          </w:tcPr>
          <w:p w14:paraId="31CAE6A5" w14:textId="668E5E97" w:rsidR="006F34A8" w:rsidRPr="00943D06" w:rsidRDefault="006F34A8" w:rsidP="00943D06">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r>
      <w:tr w:rsidR="005D2595" w:rsidRPr="0067507D" w14:paraId="77FE9EE9" w14:textId="77777777" w:rsidTr="00FC3AF2">
        <w:tc>
          <w:tcPr>
            <w:cnfStyle w:val="001000000000" w:firstRow="0" w:lastRow="0" w:firstColumn="1" w:lastColumn="0" w:oddVBand="0" w:evenVBand="0" w:oddHBand="0" w:evenHBand="0" w:firstRowFirstColumn="0" w:firstRowLastColumn="0" w:lastRowFirstColumn="0" w:lastRowLastColumn="0"/>
            <w:tcW w:w="3212" w:type="dxa"/>
          </w:tcPr>
          <w:p w14:paraId="65A95A88" w14:textId="77777777" w:rsidR="005D2595" w:rsidRPr="0067507D" w:rsidRDefault="005D2595" w:rsidP="00FC3AF2">
            <w:pPr>
              <w:pStyle w:val="Tabletext"/>
              <w:rPr>
                <w:b/>
              </w:rPr>
            </w:pPr>
            <w:r w:rsidRPr="0067507D">
              <w:t xml:space="preserve">Intangible assets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065" w:type="dxa"/>
          </w:tcPr>
          <w:p w14:paraId="2D030A3E" w14:textId="77777777" w:rsidR="005D2595" w:rsidRPr="0067507D" w:rsidRDefault="005D2595" w:rsidP="00FC3AF2">
            <w:pPr>
              <w:pStyle w:val="Tabletextright"/>
            </w:pPr>
            <w:r w:rsidRPr="0067507D">
              <w:t xml:space="preserve">109 947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68ACC982" w14:textId="77777777" w:rsidR="005D2595" w:rsidRPr="0067507D" w:rsidRDefault="005D2595" w:rsidP="00FC3AF2">
            <w:pPr>
              <w:pStyle w:val="Tabletextright"/>
            </w:pPr>
            <w:r w:rsidRPr="0067507D">
              <w:t xml:space="preserve">103 652 </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47BB6A06" w14:textId="77777777" w:rsidR="005D2595" w:rsidRPr="0067507D" w:rsidRDefault="005D2595" w:rsidP="00FC3AF2">
            <w:pPr>
              <w:pStyle w:val="Tabletextright"/>
            </w:pPr>
            <w:r w:rsidRPr="0067507D">
              <w:t xml:space="preserve">(66 670) </w:t>
            </w:r>
          </w:p>
        </w:tc>
        <w:tc>
          <w:tcPr>
            <w:cnfStyle w:val="000001000000" w:firstRow="0" w:lastRow="0" w:firstColumn="0" w:lastColumn="0" w:oddVBand="0" w:evenVBand="1" w:oddHBand="0" w:evenHBand="0" w:firstRowFirstColumn="0" w:firstRowLastColumn="0" w:lastRowFirstColumn="0" w:lastRowLastColumn="0"/>
            <w:tcW w:w="1066" w:type="dxa"/>
          </w:tcPr>
          <w:p w14:paraId="7BDF544C" w14:textId="77777777" w:rsidR="005D2595" w:rsidRPr="0067507D" w:rsidRDefault="005D2595" w:rsidP="00FC3AF2">
            <w:pPr>
              <w:pStyle w:val="Tabletextright"/>
            </w:pPr>
            <w:r w:rsidRPr="0067507D">
              <w:t xml:space="preserve">(58 392) </w:t>
            </w:r>
          </w:p>
        </w:tc>
        <w:tc>
          <w:tcPr>
            <w:cnfStyle w:val="000010000000" w:firstRow="0" w:lastRow="0" w:firstColumn="0" w:lastColumn="0" w:oddVBand="1" w:evenVBand="0" w:oddHBand="0" w:evenHBand="0" w:firstRowFirstColumn="0" w:firstRowLastColumn="0" w:lastRowFirstColumn="0" w:lastRowLastColumn="0"/>
            <w:tcW w:w="1065" w:type="dxa"/>
          </w:tcPr>
          <w:p w14:paraId="41B1EBEF" w14:textId="77777777" w:rsidR="005D2595" w:rsidRPr="0067507D" w:rsidRDefault="005D2595" w:rsidP="00FC3AF2">
            <w:pPr>
              <w:pStyle w:val="Tabletextright"/>
            </w:pPr>
            <w:r w:rsidRPr="0067507D">
              <w:t xml:space="preserve">43 277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61B50145" w14:textId="77777777" w:rsidR="005D2595" w:rsidRPr="0067507D" w:rsidRDefault="005D2595" w:rsidP="00FC3AF2">
            <w:pPr>
              <w:pStyle w:val="Tabletextright"/>
            </w:pPr>
            <w:r w:rsidRPr="0067507D">
              <w:t xml:space="preserve">45 260 </w:t>
            </w:r>
          </w:p>
        </w:tc>
      </w:tr>
      <w:tr w:rsidR="005D2595" w:rsidRPr="0067507D" w14:paraId="78608A92" w14:textId="77777777" w:rsidTr="00FC3AF2">
        <w:tc>
          <w:tcPr>
            <w:cnfStyle w:val="001000000000" w:firstRow="0" w:lastRow="0" w:firstColumn="1" w:lastColumn="0" w:oddVBand="0" w:evenVBand="0" w:oddHBand="0" w:evenHBand="0" w:firstRowFirstColumn="0" w:firstRowLastColumn="0" w:lastRowFirstColumn="0" w:lastRowLastColumn="0"/>
            <w:tcW w:w="3212" w:type="dxa"/>
          </w:tcPr>
          <w:p w14:paraId="7E235198" w14:textId="77777777" w:rsidR="005D2595" w:rsidRPr="0067507D" w:rsidRDefault="005D2595" w:rsidP="00FC3AF2">
            <w:pPr>
              <w:pStyle w:val="Tabletextbold"/>
            </w:pPr>
            <w:r w:rsidRPr="0067507D">
              <w:t>Total</w:t>
            </w:r>
          </w:p>
        </w:tc>
        <w:tc>
          <w:tcPr>
            <w:cnfStyle w:val="000010000000" w:firstRow="0" w:lastRow="0" w:firstColumn="0" w:lastColumn="0" w:oddVBand="1" w:evenVBand="0" w:oddHBand="0" w:evenHBand="0" w:firstRowFirstColumn="0" w:firstRowLastColumn="0" w:lastRowFirstColumn="0" w:lastRowLastColumn="0"/>
            <w:tcW w:w="1065" w:type="dxa"/>
          </w:tcPr>
          <w:p w14:paraId="2BFE2549" w14:textId="77777777" w:rsidR="005D2595" w:rsidRPr="0067507D" w:rsidRDefault="005D2595" w:rsidP="00FC3AF2">
            <w:pPr>
              <w:pStyle w:val="Tabletextrightbold"/>
            </w:pPr>
            <w:r w:rsidRPr="0067507D">
              <w:t xml:space="preserve">109 947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4FE93F1B" w14:textId="77777777" w:rsidR="005D2595" w:rsidRPr="0067507D" w:rsidRDefault="005D2595" w:rsidP="00FC3AF2">
            <w:pPr>
              <w:pStyle w:val="Tabletextrightbold"/>
            </w:pPr>
            <w:r w:rsidRPr="0067507D">
              <w:t xml:space="preserve">103 652 </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4226C3A1" w14:textId="77777777" w:rsidR="005D2595" w:rsidRPr="0067507D" w:rsidRDefault="005D2595" w:rsidP="00FC3AF2">
            <w:pPr>
              <w:pStyle w:val="Tabletextrightbold"/>
            </w:pPr>
            <w:r w:rsidRPr="0067507D">
              <w:t xml:space="preserve">(66 670) </w:t>
            </w:r>
          </w:p>
        </w:tc>
        <w:tc>
          <w:tcPr>
            <w:cnfStyle w:val="000001000000" w:firstRow="0" w:lastRow="0" w:firstColumn="0" w:lastColumn="0" w:oddVBand="0" w:evenVBand="1" w:oddHBand="0" w:evenHBand="0" w:firstRowFirstColumn="0" w:firstRowLastColumn="0" w:lastRowFirstColumn="0" w:lastRowLastColumn="0"/>
            <w:tcW w:w="1066" w:type="dxa"/>
          </w:tcPr>
          <w:p w14:paraId="642BC2A4" w14:textId="77777777" w:rsidR="005D2595" w:rsidRPr="0067507D" w:rsidRDefault="005D2595" w:rsidP="00FC3AF2">
            <w:pPr>
              <w:pStyle w:val="Tabletextrightbold"/>
            </w:pPr>
            <w:r w:rsidRPr="0067507D">
              <w:t xml:space="preserve">(58 392) </w:t>
            </w:r>
          </w:p>
        </w:tc>
        <w:tc>
          <w:tcPr>
            <w:cnfStyle w:val="000010000000" w:firstRow="0" w:lastRow="0" w:firstColumn="0" w:lastColumn="0" w:oddVBand="1" w:evenVBand="0" w:oddHBand="0" w:evenHBand="0" w:firstRowFirstColumn="0" w:firstRowLastColumn="0" w:lastRowFirstColumn="0" w:lastRowLastColumn="0"/>
            <w:tcW w:w="1065" w:type="dxa"/>
          </w:tcPr>
          <w:p w14:paraId="7DD6EE88" w14:textId="77777777" w:rsidR="005D2595" w:rsidRPr="0067507D" w:rsidRDefault="005D2595" w:rsidP="00FC3AF2">
            <w:pPr>
              <w:pStyle w:val="Tabletextrightbold"/>
            </w:pPr>
            <w:r w:rsidRPr="0067507D">
              <w:t xml:space="preserve">43 277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3989D942" w14:textId="77777777" w:rsidR="005D2595" w:rsidRPr="0067507D" w:rsidRDefault="005D2595" w:rsidP="00FC3AF2">
            <w:pPr>
              <w:pStyle w:val="Tabletextrightbold"/>
            </w:pPr>
            <w:r w:rsidRPr="0067507D">
              <w:t xml:space="preserve">45 260 </w:t>
            </w:r>
          </w:p>
        </w:tc>
      </w:tr>
    </w:tbl>
    <w:p w14:paraId="2AB0FBD3" w14:textId="77777777" w:rsidR="005D2595" w:rsidRPr="0067507D" w:rsidRDefault="005D2595" w:rsidP="005D2595">
      <w:pPr>
        <w:pStyle w:val="Notes"/>
      </w:pPr>
      <w:r w:rsidRPr="0067507D">
        <w:t>Note:</w:t>
      </w:r>
    </w:p>
    <w:p w14:paraId="62B99FFF" w14:textId="77777777" w:rsidR="005D2595" w:rsidRPr="0067507D" w:rsidRDefault="005D2595" w:rsidP="005D2595">
      <w:pPr>
        <w:pStyle w:val="Notes"/>
      </w:pPr>
      <w:r w:rsidRPr="0067507D">
        <w:t>(a) Intangible assets include both intangible assets under construction and capitalised intangible assets.</w:t>
      </w:r>
    </w:p>
    <w:p w14:paraId="063BEB62" w14:textId="77777777" w:rsidR="005D2595" w:rsidRPr="0067507D" w:rsidRDefault="005D2595" w:rsidP="005D2595"/>
    <w:p w14:paraId="43C1B7BD" w14:textId="77777777" w:rsidR="005D2595" w:rsidRPr="0067507D" w:rsidRDefault="005D2595" w:rsidP="006273F6">
      <w:pPr>
        <w:pStyle w:val="Heading3numbered"/>
        <w:ind w:left="576" w:hanging="576"/>
      </w:pPr>
      <w:r w:rsidRPr="0067507D">
        <w:t>Reconciliation of movements in carrying amount of intangible assets</w:t>
      </w:r>
    </w:p>
    <w:tbl>
      <w:tblPr>
        <w:tblStyle w:val="AnnualReporttexttable"/>
        <w:tblW w:w="0" w:type="auto"/>
        <w:tblLook w:val="02A0" w:firstRow="1" w:lastRow="0" w:firstColumn="1" w:lastColumn="0" w:noHBand="1" w:noVBand="0"/>
      </w:tblPr>
      <w:tblGrid>
        <w:gridCol w:w="3212"/>
        <w:gridCol w:w="1065"/>
        <w:gridCol w:w="1066"/>
        <w:gridCol w:w="1065"/>
        <w:gridCol w:w="1066"/>
        <w:gridCol w:w="1065"/>
        <w:gridCol w:w="1066"/>
      </w:tblGrid>
      <w:tr w:rsidR="005D2595" w:rsidRPr="0067507D" w14:paraId="4701AA52" w14:textId="77777777" w:rsidTr="00FC3AF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12" w:type="dxa"/>
            <w:shd w:val="clear" w:color="auto" w:fill="auto"/>
          </w:tcPr>
          <w:p w14:paraId="79B29CC8" w14:textId="77777777" w:rsidR="005D2595" w:rsidRPr="0067507D" w:rsidRDefault="005D2595" w:rsidP="00FC3AF2">
            <w:pPr>
              <w:pStyle w:val="Tableheader"/>
              <w:rPr>
                <w:b w:val="0"/>
              </w:rPr>
            </w:pPr>
          </w:p>
        </w:tc>
        <w:tc>
          <w:tcPr>
            <w:cnfStyle w:val="000010000000" w:firstRow="0" w:lastRow="0" w:firstColumn="0" w:lastColumn="0" w:oddVBand="1" w:evenVBand="0" w:oddHBand="0" w:evenHBand="0" w:firstRowFirstColumn="0" w:firstRowLastColumn="0" w:lastRowFirstColumn="0" w:lastRowLastColumn="0"/>
            <w:tcW w:w="2131" w:type="dxa"/>
            <w:gridSpan w:val="2"/>
            <w:vAlign w:val="bottom"/>
          </w:tcPr>
          <w:p w14:paraId="54359DAA" w14:textId="77777777" w:rsidR="005D2595" w:rsidRPr="0067507D" w:rsidRDefault="005D2595" w:rsidP="00FC3AF2">
            <w:pPr>
              <w:pStyle w:val="Tableheader"/>
              <w:jc w:val="center"/>
              <w:rPr>
                <w:rFonts w:asciiTheme="majorHAnsi" w:hAnsiTheme="majorHAnsi"/>
                <w:b w:val="0"/>
                <w:bCs/>
              </w:rPr>
            </w:pPr>
            <w:r w:rsidRPr="0067507D">
              <w:rPr>
                <w:rFonts w:asciiTheme="majorHAnsi" w:hAnsiTheme="majorHAnsi"/>
                <w:b w:val="0"/>
                <w:bCs/>
              </w:rPr>
              <w:t>Capitalised intangible assets</w:t>
            </w:r>
          </w:p>
        </w:tc>
        <w:tc>
          <w:tcPr>
            <w:cnfStyle w:val="000001000000" w:firstRow="0" w:lastRow="0" w:firstColumn="0" w:lastColumn="0" w:oddVBand="0" w:evenVBand="1" w:oddHBand="0" w:evenHBand="0" w:firstRowFirstColumn="0" w:firstRowLastColumn="0" w:lastRowFirstColumn="0" w:lastRowLastColumn="0"/>
            <w:tcW w:w="2131" w:type="dxa"/>
            <w:gridSpan w:val="2"/>
            <w:shd w:val="clear" w:color="auto" w:fill="auto"/>
            <w:vAlign w:val="bottom"/>
          </w:tcPr>
          <w:p w14:paraId="27EE6A16" w14:textId="77777777" w:rsidR="005D2595" w:rsidRPr="0067507D" w:rsidRDefault="005D2595" w:rsidP="00FC3AF2">
            <w:pPr>
              <w:pStyle w:val="Tableheader"/>
              <w:jc w:val="center"/>
              <w:rPr>
                <w:rFonts w:asciiTheme="majorHAnsi" w:hAnsiTheme="majorHAnsi"/>
                <w:b w:val="0"/>
                <w:bCs/>
              </w:rPr>
            </w:pPr>
            <w:r w:rsidRPr="0067507D">
              <w:rPr>
                <w:rFonts w:asciiTheme="majorHAnsi" w:hAnsiTheme="majorHAnsi"/>
                <w:b w:val="0"/>
                <w:bCs/>
              </w:rPr>
              <w:t>Intangible assets under construction</w:t>
            </w:r>
          </w:p>
        </w:tc>
        <w:tc>
          <w:tcPr>
            <w:cnfStyle w:val="000010000000" w:firstRow="0" w:lastRow="0" w:firstColumn="0" w:lastColumn="0" w:oddVBand="1" w:evenVBand="0" w:oddHBand="0" w:evenHBand="0" w:firstRowFirstColumn="0" w:firstRowLastColumn="0" w:lastRowFirstColumn="0" w:lastRowLastColumn="0"/>
            <w:tcW w:w="2131" w:type="dxa"/>
            <w:gridSpan w:val="2"/>
            <w:vAlign w:val="bottom"/>
          </w:tcPr>
          <w:p w14:paraId="006893FB" w14:textId="77777777" w:rsidR="005D2595" w:rsidRPr="0067507D" w:rsidRDefault="005D2595" w:rsidP="00FC3AF2">
            <w:pPr>
              <w:pStyle w:val="Tableheader"/>
              <w:jc w:val="center"/>
              <w:rPr>
                <w:rFonts w:asciiTheme="majorHAnsi" w:hAnsiTheme="majorHAnsi"/>
                <w:b w:val="0"/>
                <w:bCs/>
              </w:rPr>
            </w:pPr>
            <w:r w:rsidRPr="0067507D">
              <w:rPr>
                <w:rFonts w:asciiTheme="majorHAnsi" w:hAnsiTheme="majorHAnsi"/>
                <w:b w:val="0"/>
                <w:bCs/>
              </w:rPr>
              <w:t>Total</w:t>
            </w:r>
          </w:p>
        </w:tc>
      </w:tr>
      <w:tr w:rsidR="006F34A8" w:rsidRPr="0067507D" w14:paraId="2D5361AD" w14:textId="77777777" w:rsidTr="00FC3AF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12" w:type="dxa"/>
            <w:shd w:val="clear" w:color="auto" w:fill="auto"/>
          </w:tcPr>
          <w:p w14:paraId="25EFF717" w14:textId="77777777" w:rsidR="006F34A8" w:rsidRPr="0067507D" w:rsidRDefault="006F34A8" w:rsidP="006F34A8">
            <w:pPr>
              <w:pStyle w:val="Tableheader"/>
              <w:rPr>
                <w:b w:val="0"/>
              </w:rPr>
            </w:pP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01E6F36B" w14:textId="332A6502"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auto"/>
          </w:tcPr>
          <w:p w14:paraId="1414FCFB" w14:textId="33094E26"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0439EA01" w14:textId="4FEA7C58"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auto"/>
          </w:tcPr>
          <w:p w14:paraId="3CD2D10D" w14:textId="315F3AB8"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7EAAAB66" w14:textId="4CBA7C2F"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auto"/>
          </w:tcPr>
          <w:p w14:paraId="747E536D" w14:textId="533969B3"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r>
      <w:tr w:rsidR="005D2595" w:rsidRPr="0067507D" w14:paraId="5B917618" w14:textId="77777777" w:rsidTr="00FC3AF2">
        <w:tc>
          <w:tcPr>
            <w:cnfStyle w:val="001000000000" w:firstRow="0" w:lastRow="0" w:firstColumn="1" w:lastColumn="0" w:oddVBand="0" w:evenVBand="0" w:oddHBand="0" w:evenHBand="0" w:firstRowFirstColumn="0" w:firstRowLastColumn="0" w:lastRowFirstColumn="0" w:lastRowLastColumn="0"/>
            <w:tcW w:w="3212" w:type="dxa"/>
          </w:tcPr>
          <w:p w14:paraId="6118BE79" w14:textId="77777777" w:rsidR="005D2595" w:rsidRPr="0067507D" w:rsidRDefault="005D2595" w:rsidP="00FC3AF2">
            <w:pPr>
              <w:pStyle w:val="Tabletextbold"/>
            </w:pPr>
            <w:r w:rsidRPr="0067507D">
              <w:t>Opening balance</w:t>
            </w:r>
          </w:p>
        </w:tc>
        <w:tc>
          <w:tcPr>
            <w:cnfStyle w:val="000010000000" w:firstRow="0" w:lastRow="0" w:firstColumn="0" w:lastColumn="0" w:oddVBand="1" w:evenVBand="0" w:oddHBand="0" w:evenHBand="0" w:firstRowFirstColumn="0" w:firstRowLastColumn="0" w:lastRowFirstColumn="0" w:lastRowLastColumn="0"/>
            <w:tcW w:w="1065" w:type="dxa"/>
          </w:tcPr>
          <w:p w14:paraId="0D500240" w14:textId="77777777" w:rsidR="005D2595" w:rsidRPr="0067507D" w:rsidRDefault="005D2595" w:rsidP="00FC3AF2">
            <w:pPr>
              <w:pStyle w:val="Tabletextrightbold"/>
            </w:pPr>
            <w:r w:rsidRPr="0067507D">
              <w:t xml:space="preserve">29 000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51730001" w14:textId="77777777" w:rsidR="005D2595" w:rsidRPr="0067507D" w:rsidRDefault="005D2595" w:rsidP="00FC3AF2">
            <w:pPr>
              <w:pStyle w:val="Tabletextrightbold"/>
            </w:pPr>
            <w:r w:rsidRPr="0067507D">
              <w:t xml:space="preserve">19 260 </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43D40D64" w14:textId="77777777" w:rsidR="005D2595" w:rsidRPr="0067507D" w:rsidRDefault="005D2595" w:rsidP="00FC3AF2">
            <w:pPr>
              <w:pStyle w:val="Tabletextrightbold"/>
            </w:pPr>
            <w:r w:rsidRPr="0067507D">
              <w:t xml:space="preserve">16 260 </w:t>
            </w:r>
          </w:p>
        </w:tc>
        <w:tc>
          <w:tcPr>
            <w:cnfStyle w:val="000001000000" w:firstRow="0" w:lastRow="0" w:firstColumn="0" w:lastColumn="0" w:oddVBand="0" w:evenVBand="1" w:oddHBand="0" w:evenHBand="0" w:firstRowFirstColumn="0" w:firstRowLastColumn="0" w:lastRowFirstColumn="0" w:lastRowLastColumn="0"/>
            <w:tcW w:w="1066" w:type="dxa"/>
          </w:tcPr>
          <w:p w14:paraId="391285CD" w14:textId="77777777" w:rsidR="005D2595" w:rsidRPr="0067507D" w:rsidRDefault="005D2595" w:rsidP="00FC3AF2">
            <w:pPr>
              <w:pStyle w:val="Tabletextrightbold"/>
            </w:pPr>
            <w:r w:rsidRPr="0067507D">
              <w:t xml:space="preserve">17 506 </w:t>
            </w:r>
          </w:p>
        </w:tc>
        <w:tc>
          <w:tcPr>
            <w:cnfStyle w:val="000010000000" w:firstRow="0" w:lastRow="0" w:firstColumn="0" w:lastColumn="0" w:oddVBand="1" w:evenVBand="0" w:oddHBand="0" w:evenHBand="0" w:firstRowFirstColumn="0" w:firstRowLastColumn="0" w:lastRowFirstColumn="0" w:lastRowLastColumn="0"/>
            <w:tcW w:w="1065" w:type="dxa"/>
          </w:tcPr>
          <w:p w14:paraId="16A3E676" w14:textId="77777777" w:rsidR="005D2595" w:rsidRPr="0067507D" w:rsidRDefault="005D2595" w:rsidP="00FC3AF2">
            <w:pPr>
              <w:pStyle w:val="Tabletextrightbold"/>
            </w:pPr>
            <w:r w:rsidRPr="0067507D">
              <w:t xml:space="preserve">45 260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28CD004E" w14:textId="77777777" w:rsidR="005D2595" w:rsidRPr="0067507D" w:rsidRDefault="005D2595" w:rsidP="00FC3AF2">
            <w:pPr>
              <w:pStyle w:val="Tabletextrightbold"/>
            </w:pPr>
            <w:r w:rsidRPr="0067507D">
              <w:t xml:space="preserve">36 766 </w:t>
            </w:r>
          </w:p>
        </w:tc>
      </w:tr>
      <w:tr w:rsidR="005D2595" w:rsidRPr="0067507D" w14:paraId="14F9138F" w14:textId="77777777" w:rsidTr="00FC3AF2">
        <w:tc>
          <w:tcPr>
            <w:cnfStyle w:val="001000000000" w:firstRow="0" w:lastRow="0" w:firstColumn="1" w:lastColumn="0" w:oddVBand="0" w:evenVBand="0" w:oddHBand="0" w:evenHBand="0" w:firstRowFirstColumn="0" w:firstRowLastColumn="0" w:lastRowFirstColumn="0" w:lastRowLastColumn="0"/>
            <w:tcW w:w="3212" w:type="dxa"/>
          </w:tcPr>
          <w:p w14:paraId="766C54AD" w14:textId="77777777" w:rsidR="005D2595" w:rsidRPr="0067507D" w:rsidRDefault="005D2595" w:rsidP="00FC3AF2">
            <w:pPr>
              <w:pStyle w:val="Tabletext"/>
              <w:rPr>
                <w:b/>
              </w:rPr>
            </w:pPr>
            <w:r w:rsidRPr="0067507D">
              <w:t xml:space="preserve">Additions </w:t>
            </w:r>
          </w:p>
        </w:tc>
        <w:tc>
          <w:tcPr>
            <w:cnfStyle w:val="000010000000" w:firstRow="0" w:lastRow="0" w:firstColumn="0" w:lastColumn="0" w:oddVBand="1" w:evenVBand="0" w:oddHBand="0" w:evenHBand="0" w:firstRowFirstColumn="0" w:firstRowLastColumn="0" w:lastRowFirstColumn="0" w:lastRowLastColumn="0"/>
            <w:tcW w:w="1065" w:type="dxa"/>
          </w:tcPr>
          <w:p w14:paraId="34F96882" w14:textId="77777777" w:rsidR="005D2595" w:rsidRPr="0067507D" w:rsidRDefault="005D2595" w:rsidP="00FC3AF2">
            <w:pPr>
              <w:pStyle w:val="Tabletextright"/>
            </w:pPr>
            <w:r w:rsidRPr="0067507D">
              <w:t xml:space="preserve"> 735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5F2B2036" w14:textId="77777777" w:rsidR="005D2595" w:rsidRPr="0067507D" w:rsidRDefault="005D2595" w:rsidP="00FC3AF2">
            <w:pPr>
              <w:pStyle w:val="Tabletextright"/>
            </w:pPr>
            <w:r w:rsidRPr="0067507D">
              <w:t xml:space="preserve"> 168 </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147FA16B" w14:textId="77777777" w:rsidR="005D2595" w:rsidRPr="0067507D" w:rsidRDefault="005D2595" w:rsidP="00FC3AF2">
            <w:pPr>
              <w:pStyle w:val="Tabletextright"/>
            </w:pPr>
            <w:r w:rsidRPr="0067507D">
              <w:t xml:space="preserve">5 561 </w:t>
            </w:r>
          </w:p>
        </w:tc>
        <w:tc>
          <w:tcPr>
            <w:cnfStyle w:val="000001000000" w:firstRow="0" w:lastRow="0" w:firstColumn="0" w:lastColumn="0" w:oddVBand="0" w:evenVBand="1" w:oddHBand="0" w:evenHBand="0" w:firstRowFirstColumn="0" w:firstRowLastColumn="0" w:lastRowFirstColumn="0" w:lastRowLastColumn="0"/>
            <w:tcW w:w="1066" w:type="dxa"/>
          </w:tcPr>
          <w:p w14:paraId="7F604BA0" w14:textId="77777777" w:rsidR="005D2595" w:rsidRPr="0067507D" w:rsidRDefault="005D2595" w:rsidP="00FC3AF2">
            <w:pPr>
              <w:pStyle w:val="Tabletextright"/>
            </w:pPr>
            <w:r w:rsidRPr="0067507D">
              <w:t xml:space="preserve">14 791 </w:t>
            </w:r>
          </w:p>
        </w:tc>
        <w:tc>
          <w:tcPr>
            <w:cnfStyle w:val="000010000000" w:firstRow="0" w:lastRow="0" w:firstColumn="0" w:lastColumn="0" w:oddVBand="1" w:evenVBand="0" w:oddHBand="0" w:evenHBand="0" w:firstRowFirstColumn="0" w:firstRowLastColumn="0" w:lastRowFirstColumn="0" w:lastRowLastColumn="0"/>
            <w:tcW w:w="1065" w:type="dxa"/>
          </w:tcPr>
          <w:p w14:paraId="2C423D73" w14:textId="77777777" w:rsidR="005D2595" w:rsidRPr="0067507D" w:rsidRDefault="005D2595" w:rsidP="00FC3AF2">
            <w:pPr>
              <w:pStyle w:val="Tabletextright"/>
            </w:pPr>
            <w:r w:rsidRPr="0067507D">
              <w:t xml:space="preserve">6 296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043C363A" w14:textId="77777777" w:rsidR="005D2595" w:rsidRPr="0067507D" w:rsidRDefault="005D2595" w:rsidP="00FC3AF2">
            <w:pPr>
              <w:pStyle w:val="Tabletextright"/>
            </w:pPr>
            <w:r w:rsidRPr="0067507D">
              <w:t xml:space="preserve">14 959 </w:t>
            </w:r>
          </w:p>
        </w:tc>
      </w:tr>
      <w:tr w:rsidR="005D2595" w:rsidRPr="0067507D" w14:paraId="29D74294" w14:textId="77777777" w:rsidTr="00FC3AF2">
        <w:tc>
          <w:tcPr>
            <w:cnfStyle w:val="001000000000" w:firstRow="0" w:lastRow="0" w:firstColumn="1" w:lastColumn="0" w:oddVBand="0" w:evenVBand="0" w:oddHBand="0" w:evenHBand="0" w:firstRowFirstColumn="0" w:firstRowLastColumn="0" w:lastRowFirstColumn="0" w:lastRowLastColumn="0"/>
            <w:tcW w:w="3212" w:type="dxa"/>
          </w:tcPr>
          <w:p w14:paraId="3270092D" w14:textId="77777777" w:rsidR="005D2595" w:rsidRPr="0067507D" w:rsidRDefault="005D2595" w:rsidP="00FC3AF2">
            <w:pPr>
              <w:pStyle w:val="Tabletext"/>
            </w:pPr>
            <w:r w:rsidRPr="0067507D">
              <w:t>Disposals</w:t>
            </w:r>
          </w:p>
        </w:tc>
        <w:tc>
          <w:tcPr>
            <w:cnfStyle w:val="000010000000" w:firstRow="0" w:lastRow="0" w:firstColumn="0" w:lastColumn="0" w:oddVBand="1" w:evenVBand="0" w:oddHBand="0" w:evenHBand="0" w:firstRowFirstColumn="0" w:firstRowLastColumn="0" w:lastRowFirstColumn="0" w:lastRowLastColumn="0"/>
            <w:tcW w:w="1065" w:type="dxa"/>
          </w:tcPr>
          <w:p w14:paraId="0F1CCDFB" w14:textId="77777777" w:rsidR="005D2595" w:rsidRPr="0067507D" w:rsidRDefault="005D2595" w:rsidP="00FC3AF2">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5F16C65C" w14:textId="77777777" w:rsidR="005D2595" w:rsidRPr="0067507D" w:rsidRDefault="005D2595" w:rsidP="00FC3AF2">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07C4AFC3" w14:textId="77777777" w:rsidR="005D2595" w:rsidRPr="0067507D" w:rsidRDefault="005D2595" w:rsidP="00FC3AF2">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066" w:type="dxa"/>
          </w:tcPr>
          <w:p w14:paraId="1F977461" w14:textId="77777777" w:rsidR="005D2595" w:rsidRPr="0067507D" w:rsidRDefault="005D2595" w:rsidP="00FC3AF2">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065" w:type="dxa"/>
          </w:tcPr>
          <w:p w14:paraId="10586AFC" w14:textId="77777777" w:rsidR="005D2595" w:rsidRPr="0067507D" w:rsidRDefault="005D2595" w:rsidP="00FC3AF2">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2B0CEC70" w14:textId="77777777" w:rsidR="005D2595" w:rsidRPr="0067507D" w:rsidRDefault="005D2595" w:rsidP="00FC3AF2">
            <w:pPr>
              <w:pStyle w:val="Tabletextright"/>
            </w:pPr>
            <w:r w:rsidRPr="0067507D">
              <w:t>–</w:t>
            </w:r>
          </w:p>
        </w:tc>
      </w:tr>
      <w:tr w:rsidR="005D2595" w:rsidRPr="0067507D" w14:paraId="2CD34CBD" w14:textId="77777777" w:rsidTr="00FC3AF2">
        <w:tc>
          <w:tcPr>
            <w:cnfStyle w:val="001000000000" w:firstRow="0" w:lastRow="0" w:firstColumn="1" w:lastColumn="0" w:oddVBand="0" w:evenVBand="0" w:oddHBand="0" w:evenHBand="0" w:firstRowFirstColumn="0" w:firstRowLastColumn="0" w:lastRowFirstColumn="0" w:lastRowLastColumn="0"/>
            <w:tcW w:w="3212" w:type="dxa"/>
          </w:tcPr>
          <w:p w14:paraId="422202F4" w14:textId="77777777" w:rsidR="005D2595" w:rsidRPr="0067507D" w:rsidRDefault="005D2595" w:rsidP="00FC3AF2">
            <w:pPr>
              <w:pStyle w:val="Tabletext"/>
            </w:pPr>
            <w:r w:rsidRPr="0067507D">
              <w:t>Transfer to capitalised intangible assets</w:t>
            </w:r>
          </w:p>
        </w:tc>
        <w:tc>
          <w:tcPr>
            <w:cnfStyle w:val="000010000000" w:firstRow="0" w:lastRow="0" w:firstColumn="0" w:lastColumn="0" w:oddVBand="1" w:evenVBand="0" w:oddHBand="0" w:evenHBand="0" w:firstRowFirstColumn="0" w:firstRowLastColumn="0" w:lastRowFirstColumn="0" w:lastRowLastColumn="0"/>
            <w:tcW w:w="1065" w:type="dxa"/>
          </w:tcPr>
          <w:p w14:paraId="2DD826A7" w14:textId="77777777" w:rsidR="005D2595" w:rsidRPr="0067507D" w:rsidRDefault="005D2595" w:rsidP="00FC3AF2">
            <w:pPr>
              <w:pStyle w:val="Tabletextright"/>
            </w:pPr>
            <w:r w:rsidRPr="0067507D">
              <w:t xml:space="preserve">14 101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584FB09B" w14:textId="77777777" w:rsidR="005D2595" w:rsidRPr="0067507D" w:rsidRDefault="005D2595" w:rsidP="00FC3AF2">
            <w:pPr>
              <w:pStyle w:val="Tabletextright"/>
            </w:pPr>
            <w:r w:rsidRPr="0067507D">
              <w:t xml:space="preserve">16 037 </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0436FF48" w14:textId="77777777" w:rsidR="005D2595" w:rsidRPr="0067507D" w:rsidRDefault="005D2595" w:rsidP="00FC3AF2">
            <w:pPr>
              <w:pStyle w:val="Tabletextright"/>
            </w:pPr>
            <w:r w:rsidRPr="0067507D">
              <w:t xml:space="preserve">(14 101) </w:t>
            </w:r>
          </w:p>
        </w:tc>
        <w:tc>
          <w:tcPr>
            <w:cnfStyle w:val="000001000000" w:firstRow="0" w:lastRow="0" w:firstColumn="0" w:lastColumn="0" w:oddVBand="0" w:evenVBand="1" w:oddHBand="0" w:evenHBand="0" w:firstRowFirstColumn="0" w:firstRowLastColumn="0" w:lastRowFirstColumn="0" w:lastRowLastColumn="0"/>
            <w:tcW w:w="1066" w:type="dxa"/>
          </w:tcPr>
          <w:p w14:paraId="4CEC1FE2" w14:textId="77777777" w:rsidR="005D2595" w:rsidRPr="0067507D" w:rsidRDefault="005D2595" w:rsidP="00FC3AF2">
            <w:pPr>
              <w:pStyle w:val="Tabletextright"/>
            </w:pPr>
            <w:r w:rsidRPr="0067507D">
              <w:t xml:space="preserve">(16 037) </w:t>
            </w:r>
          </w:p>
        </w:tc>
        <w:tc>
          <w:tcPr>
            <w:cnfStyle w:val="000010000000" w:firstRow="0" w:lastRow="0" w:firstColumn="0" w:lastColumn="0" w:oddVBand="1" w:evenVBand="0" w:oddHBand="0" w:evenHBand="0" w:firstRowFirstColumn="0" w:firstRowLastColumn="0" w:lastRowFirstColumn="0" w:lastRowLastColumn="0"/>
            <w:tcW w:w="1065" w:type="dxa"/>
          </w:tcPr>
          <w:p w14:paraId="198FF9D2" w14:textId="77777777" w:rsidR="005D2595" w:rsidRPr="0067507D" w:rsidRDefault="005D2595" w:rsidP="00FC3AF2">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436FA32A" w14:textId="77777777" w:rsidR="005D2595" w:rsidRPr="0067507D" w:rsidRDefault="005D2595" w:rsidP="00FC3AF2">
            <w:pPr>
              <w:pStyle w:val="Tabletextright"/>
            </w:pPr>
            <w:r w:rsidRPr="0067507D">
              <w:t>–</w:t>
            </w:r>
          </w:p>
        </w:tc>
      </w:tr>
      <w:tr w:rsidR="005D2595" w:rsidRPr="0067507D" w14:paraId="049A9AF7" w14:textId="77777777" w:rsidTr="00FC3AF2">
        <w:tc>
          <w:tcPr>
            <w:cnfStyle w:val="001000000000" w:firstRow="0" w:lastRow="0" w:firstColumn="1" w:lastColumn="0" w:oddVBand="0" w:evenVBand="0" w:oddHBand="0" w:evenHBand="0" w:firstRowFirstColumn="0" w:firstRowLastColumn="0" w:lastRowFirstColumn="0" w:lastRowLastColumn="0"/>
            <w:tcW w:w="3212" w:type="dxa"/>
          </w:tcPr>
          <w:p w14:paraId="4133B744" w14:textId="77777777" w:rsidR="005D2595" w:rsidRPr="0067507D" w:rsidRDefault="005D2595" w:rsidP="00FC3AF2">
            <w:pPr>
              <w:pStyle w:val="Tabletext"/>
            </w:pPr>
            <w:r w:rsidRPr="0067507D">
              <w:t>Amortisation</w:t>
            </w:r>
          </w:p>
        </w:tc>
        <w:tc>
          <w:tcPr>
            <w:cnfStyle w:val="000010000000" w:firstRow="0" w:lastRow="0" w:firstColumn="0" w:lastColumn="0" w:oddVBand="1" w:evenVBand="0" w:oddHBand="0" w:evenHBand="0" w:firstRowFirstColumn="0" w:firstRowLastColumn="0" w:lastRowFirstColumn="0" w:lastRowLastColumn="0"/>
            <w:tcW w:w="1065" w:type="dxa"/>
          </w:tcPr>
          <w:p w14:paraId="780A85EA" w14:textId="77777777" w:rsidR="005D2595" w:rsidRPr="0067507D" w:rsidRDefault="005D2595" w:rsidP="00FC3AF2">
            <w:pPr>
              <w:pStyle w:val="Tabletextright"/>
            </w:pPr>
            <w:r w:rsidRPr="0067507D">
              <w:t xml:space="preserve">(8 279)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46C05685" w14:textId="77777777" w:rsidR="005D2595" w:rsidRPr="0067507D" w:rsidRDefault="005D2595" w:rsidP="00FC3AF2">
            <w:pPr>
              <w:pStyle w:val="Tabletextright"/>
            </w:pPr>
            <w:r w:rsidRPr="0067507D">
              <w:t xml:space="preserve">(6 465) </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5BC4178A" w14:textId="77777777" w:rsidR="005D2595" w:rsidRPr="0067507D" w:rsidRDefault="005D2595" w:rsidP="00FC3AF2">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066" w:type="dxa"/>
          </w:tcPr>
          <w:p w14:paraId="0CC7E034" w14:textId="77777777" w:rsidR="005D2595" w:rsidRPr="0067507D" w:rsidRDefault="005D2595" w:rsidP="00FC3AF2">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065" w:type="dxa"/>
          </w:tcPr>
          <w:p w14:paraId="6AF0E0E9" w14:textId="77777777" w:rsidR="005D2595" w:rsidRPr="0067507D" w:rsidRDefault="005D2595" w:rsidP="00FC3AF2">
            <w:pPr>
              <w:pStyle w:val="Tabletextright"/>
            </w:pPr>
            <w:r w:rsidRPr="0067507D">
              <w:t xml:space="preserve">(8 279)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35F1496D" w14:textId="77777777" w:rsidR="005D2595" w:rsidRPr="0067507D" w:rsidRDefault="005D2595" w:rsidP="00FC3AF2">
            <w:pPr>
              <w:pStyle w:val="Tabletextright"/>
            </w:pPr>
            <w:r w:rsidRPr="0067507D">
              <w:t xml:space="preserve">(6 465) </w:t>
            </w:r>
          </w:p>
        </w:tc>
      </w:tr>
      <w:tr w:rsidR="005D2595" w:rsidRPr="0067507D" w14:paraId="4B238B9A" w14:textId="77777777" w:rsidTr="00FC3AF2">
        <w:tc>
          <w:tcPr>
            <w:cnfStyle w:val="001000000000" w:firstRow="0" w:lastRow="0" w:firstColumn="1" w:lastColumn="0" w:oddVBand="0" w:evenVBand="0" w:oddHBand="0" w:evenHBand="0" w:firstRowFirstColumn="0" w:firstRowLastColumn="0" w:lastRowFirstColumn="0" w:lastRowLastColumn="0"/>
            <w:tcW w:w="3212" w:type="dxa"/>
          </w:tcPr>
          <w:p w14:paraId="3A37AA55" w14:textId="77777777" w:rsidR="005D2595" w:rsidRPr="0067507D" w:rsidRDefault="005D2595" w:rsidP="00FC3AF2">
            <w:pPr>
              <w:pStyle w:val="Tabletextbold"/>
            </w:pPr>
            <w:r w:rsidRPr="0067507D">
              <w:t>Closing balance</w:t>
            </w:r>
          </w:p>
        </w:tc>
        <w:tc>
          <w:tcPr>
            <w:cnfStyle w:val="000010000000" w:firstRow="0" w:lastRow="0" w:firstColumn="0" w:lastColumn="0" w:oddVBand="1" w:evenVBand="0" w:oddHBand="0" w:evenHBand="0" w:firstRowFirstColumn="0" w:firstRowLastColumn="0" w:lastRowFirstColumn="0" w:lastRowLastColumn="0"/>
            <w:tcW w:w="1065" w:type="dxa"/>
          </w:tcPr>
          <w:p w14:paraId="048E45FD" w14:textId="77777777" w:rsidR="005D2595" w:rsidRPr="0067507D" w:rsidRDefault="005D2595" w:rsidP="00FC3AF2">
            <w:pPr>
              <w:pStyle w:val="Tabletextrightbold"/>
            </w:pPr>
            <w:r w:rsidRPr="0067507D">
              <w:t xml:space="preserve">35 557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611FBCD8" w14:textId="77777777" w:rsidR="005D2595" w:rsidRPr="0067507D" w:rsidRDefault="005D2595" w:rsidP="00FC3AF2">
            <w:pPr>
              <w:pStyle w:val="Tabletextrightbold"/>
            </w:pPr>
            <w:r w:rsidRPr="0067507D">
              <w:t xml:space="preserve">29 000 </w:t>
            </w:r>
          </w:p>
        </w:tc>
        <w:tc>
          <w:tcPr>
            <w:cnfStyle w:val="000010000000" w:firstRow="0" w:lastRow="0" w:firstColumn="0" w:lastColumn="0" w:oddVBand="1" w:evenVBand="0" w:oddHBand="0" w:evenHBand="0" w:firstRowFirstColumn="0" w:firstRowLastColumn="0" w:lastRowFirstColumn="0" w:lastRowLastColumn="0"/>
            <w:tcW w:w="1065" w:type="dxa"/>
            <w:shd w:val="clear" w:color="auto" w:fill="auto"/>
          </w:tcPr>
          <w:p w14:paraId="199CA4AE" w14:textId="77777777" w:rsidR="005D2595" w:rsidRPr="0067507D" w:rsidRDefault="005D2595" w:rsidP="00FC3AF2">
            <w:pPr>
              <w:pStyle w:val="Tabletextrightbold"/>
            </w:pPr>
            <w:r w:rsidRPr="0067507D">
              <w:t xml:space="preserve">7 720 </w:t>
            </w:r>
          </w:p>
        </w:tc>
        <w:tc>
          <w:tcPr>
            <w:cnfStyle w:val="000001000000" w:firstRow="0" w:lastRow="0" w:firstColumn="0" w:lastColumn="0" w:oddVBand="0" w:evenVBand="1" w:oddHBand="0" w:evenHBand="0" w:firstRowFirstColumn="0" w:firstRowLastColumn="0" w:lastRowFirstColumn="0" w:lastRowLastColumn="0"/>
            <w:tcW w:w="1066" w:type="dxa"/>
          </w:tcPr>
          <w:p w14:paraId="29666481" w14:textId="77777777" w:rsidR="005D2595" w:rsidRPr="0067507D" w:rsidRDefault="005D2595" w:rsidP="00FC3AF2">
            <w:pPr>
              <w:pStyle w:val="Tabletextrightbold"/>
            </w:pPr>
            <w:r w:rsidRPr="0067507D">
              <w:t xml:space="preserve">16 260 </w:t>
            </w:r>
          </w:p>
        </w:tc>
        <w:tc>
          <w:tcPr>
            <w:cnfStyle w:val="000010000000" w:firstRow="0" w:lastRow="0" w:firstColumn="0" w:lastColumn="0" w:oddVBand="1" w:evenVBand="0" w:oddHBand="0" w:evenHBand="0" w:firstRowFirstColumn="0" w:firstRowLastColumn="0" w:lastRowFirstColumn="0" w:lastRowLastColumn="0"/>
            <w:tcW w:w="1065" w:type="dxa"/>
          </w:tcPr>
          <w:p w14:paraId="582A72AB" w14:textId="77777777" w:rsidR="005D2595" w:rsidRPr="0067507D" w:rsidRDefault="005D2595" w:rsidP="00FC3AF2">
            <w:pPr>
              <w:pStyle w:val="Tabletextrightbold"/>
            </w:pPr>
            <w:r w:rsidRPr="0067507D">
              <w:t xml:space="preserve">43 277 </w:t>
            </w:r>
          </w:p>
        </w:tc>
        <w:tc>
          <w:tcPr>
            <w:cnfStyle w:val="000001000000" w:firstRow="0" w:lastRow="0" w:firstColumn="0" w:lastColumn="0" w:oddVBand="0" w:evenVBand="1" w:oddHBand="0" w:evenHBand="0" w:firstRowFirstColumn="0" w:firstRowLastColumn="0" w:lastRowFirstColumn="0" w:lastRowLastColumn="0"/>
            <w:tcW w:w="1066" w:type="dxa"/>
            <w:shd w:val="clear" w:color="auto" w:fill="E0E0E0"/>
          </w:tcPr>
          <w:p w14:paraId="6F7DE0BC" w14:textId="77777777" w:rsidR="005D2595" w:rsidRPr="0067507D" w:rsidRDefault="005D2595" w:rsidP="00FC3AF2">
            <w:pPr>
              <w:pStyle w:val="Tabletextrightbold"/>
            </w:pPr>
            <w:r w:rsidRPr="0067507D">
              <w:t xml:space="preserve">45 260 </w:t>
            </w:r>
          </w:p>
        </w:tc>
      </w:tr>
    </w:tbl>
    <w:p w14:paraId="2DAF5DCD" w14:textId="77777777" w:rsidR="005D2595" w:rsidRPr="0067507D" w:rsidRDefault="005D2595" w:rsidP="005D2595">
      <w:pPr>
        <w:pStyle w:val="Notes"/>
      </w:pPr>
    </w:p>
    <w:p w14:paraId="3BAE468F" w14:textId="77777777" w:rsidR="005D2595" w:rsidRPr="0067507D" w:rsidRDefault="005D2595" w:rsidP="005D2595">
      <w:pPr>
        <w:sectPr w:rsidR="005D2595" w:rsidRPr="0067507D" w:rsidSect="005D2595">
          <w:headerReference w:type="even" r:id="rId108"/>
          <w:headerReference w:type="default" r:id="rId109"/>
          <w:type w:val="continuous"/>
          <w:pgSz w:w="11909" w:h="16834" w:code="9"/>
          <w:pgMar w:top="1728" w:right="1152" w:bottom="1152" w:left="1152" w:header="720" w:footer="288" w:gutter="0"/>
          <w:cols w:space="569"/>
          <w:noEndnote/>
        </w:sectPr>
      </w:pPr>
    </w:p>
    <w:p w14:paraId="27D5A18F" w14:textId="77777777" w:rsidR="005D2595" w:rsidRPr="0067507D" w:rsidRDefault="005D2595" w:rsidP="005D2595">
      <w:pPr>
        <w:pStyle w:val="Heading3"/>
      </w:pPr>
      <w:r w:rsidRPr="0067507D">
        <w:lastRenderedPageBreak/>
        <w:t>Initial recognition</w:t>
      </w:r>
    </w:p>
    <w:p w14:paraId="49A3BAF9" w14:textId="441520EB" w:rsidR="005D2595" w:rsidRPr="0067507D" w:rsidRDefault="005D2595" w:rsidP="005D2595">
      <w:r w:rsidRPr="0067507D">
        <w:rPr>
          <w:rFonts w:asciiTheme="majorHAnsi" w:hAnsiTheme="majorHAnsi"/>
        </w:rPr>
        <w:t>Purchased intangible assets</w:t>
      </w:r>
      <w:r w:rsidRPr="0067507D">
        <w:t xml:space="preserve"> are initially recognised at cost. When the recognition criteria in AASB 138 </w:t>
      </w:r>
      <w:r w:rsidRPr="0067507D">
        <w:rPr>
          <w:i/>
          <w:iCs/>
        </w:rPr>
        <w:t>Intangible Assets</w:t>
      </w:r>
      <w:r w:rsidRPr="0067507D">
        <w:t xml:space="preserve"> </w:t>
      </w:r>
      <w:r w:rsidR="0002291E" w:rsidRPr="0067507D">
        <w:t xml:space="preserve">are </w:t>
      </w:r>
      <w:r w:rsidRPr="0067507D">
        <w:t>met, internally generated intangible assets are recognised at cost. Subsequently, intangible assets with finite useful lives are carried at cost less accumulated amortisation and accumulated impairment losses. Depreciation and amortisation begin when the asset is available for use, that is, when it is in the location and condition necessary for it to be capable of operating in the manner intended by management.</w:t>
      </w:r>
    </w:p>
    <w:p w14:paraId="2948BC00" w14:textId="77777777" w:rsidR="005D2595" w:rsidRPr="0067507D" w:rsidRDefault="005D2595" w:rsidP="005D2595">
      <w:r w:rsidRPr="0067507D">
        <w:t xml:space="preserve">An </w:t>
      </w:r>
      <w:r w:rsidRPr="0067507D">
        <w:rPr>
          <w:rFonts w:asciiTheme="majorHAnsi" w:hAnsiTheme="majorHAnsi"/>
        </w:rPr>
        <w:t>internally generated intangible asset</w:t>
      </w:r>
      <w:r w:rsidRPr="0067507D">
        <w:t xml:space="preserve"> arising from development is recognised if, and only if, all of the following are demonstrated:</w:t>
      </w:r>
    </w:p>
    <w:p w14:paraId="666101CC" w14:textId="77777777" w:rsidR="005D2595" w:rsidRPr="0067507D" w:rsidRDefault="005D2595" w:rsidP="006273F6">
      <w:pPr>
        <w:pStyle w:val="Bullet"/>
        <w:numPr>
          <w:ilvl w:val="0"/>
          <w:numId w:val="22"/>
        </w:numPr>
      </w:pPr>
      <w:r w:rsidRPr="0067507D">
        <w:t>the technical feasibility of completing the intangible asset so that it will be available for use or sale</w:t>
      </w:r>
    </w:p>
    <w:p w14:paraId="328ED8FC" w14:textId="77777777" w:rsidR="005D2595" w:rsidRPr="0067507D" w:rsidRDefault="005D2595" w:rsidP="006273F6">
      <w:pPr>
        <w:pStyle w:val="Bullet"/>
        <w:numPr>
          <w:ilvl w:val="0"/>
          <w:numId w:val="22"/>
        </w:numPr>
      </w:pPr>
      <w:r w:rsidRPr="0067507D">
        <w:t>an intention to complete the intangible asset and use or sell it</w:t>
      </w:r>
    </w:p>
    <w:p w14:paraId="2D270846" w14:textId="77777777" w:rsidR="005D2595" w:rsidRPr="0067507D" w:rsidRDefault="005D2595" w:rsidP="006273F6">
      <w:pPr>
        <w:pStyle w:val="Bullet"/>
        <w:numPr>
          <w:ilvl w:val="0"/>
          <w:numId w:val="22"/>
        </w:numPr>
      </w:pPr>
      <w:r w:rsidRPr="0067507D">
        <w:t>the ability to use or sell the intangible asset</w:t>
      </w:r>
    </w:p>
    <w:p w14:paraId="4D753F45" w14:textId="77777777" w:rsidR="005D2595" w:rsidRPr="0067507D" w:rsidRDefault="005D2595" w:rsidP="006273F6">
      <w:pPr>
        <w:pStyle w:val="Bullet"/>
        <w:numPr>
          <w:ilvl w:val="0"/>
          <w:numId w:val="22"/>
        </w:numPr>
      </w:pPr>
      <w:r w:rsidRPr="0067507D">
        <w:t>the intangible asset will generate probable future economic benefits</w:t>
      </w:r>
    </w:p>
    <w:p w14:paraId="26090BBD" w14:textId="77777777" w:rsidR="005D2595" w:rsidRPr="0067507D" w:rsidRDefault="005D2595" w:rsidP="006273F6">
      <w:pPr>
        <w:pStyle w:val="Bullet"/>
        <w:numPr>
          <w:ilvl w:val="0"/>
          <w:numId w:val="22"/>
        </w:numPr>
      </w:pPr>
      <w:r w:rsidRPr="0067507D">
        <w:t>the availability of adequate technical, financial and other resources to complete the development and to use or sell the intangible asset</w:t>
      </w:r>
    </w:p>
    <w:p w14:paraId="44142B0D" w14:textId="77777777" w:rsidR="005D2595" w:rsidRPr="0067507D" w:rsidRDefault="005D2595" w:rsidP="006273F6">
      <w:pPr>
        <w:pStyle w:val="Bullet"/>
        <w:numPr>
          <w:ilvl w:val="0"/>
          <w:numId w:val="22"/>
        </w:numPr>
      </w:pPr>
      <w:r w:rsidRPr="0067507D">
        <w:t>the ability to measure reliably the expenditure attributable to the intangible asset during its development.</w:t>
      </w:r>
    </w:p>
    <w:p w14:paraId="54C45FF2" w14:textId="77777777" w:rsidR="005D2595" w:rsidRPr="0067507D" w:rsidRDefault="005D2595" w:rsidP="005D2595">
      <w:pPr>
        <w:pStyle w:val="Heading3"/>
      </w:pPr>
      <w:r w:rsidRPr="0067507D">
        <w:br w:type="column"/>
      </w:r>
      <w:r w:rsidRPr="0067507D">
        <w:t>Subsequent measurement</w:t>
      </w:r>
    </w:p>
    <w:p w14:paraId="0CA1B909" w14:textId="77777777" w:rsidR="005D2595" w:rsidRPr="0067507D" w:rsidRDefault="005D2595" w:rsidP="005D2595">
      <w:r w:rsidRPr="0067507D">
        <w:t>Intangible assets with finite useful lives are carried at cost less accumulated amortisation and impairment.</w:t>
      </w:r>
    </w:p>
    <w:p w14:paraId="334433E2" w14:textId="77777777" w:rsidR="005D2595" w:rsidRPr="0067507D" w:rsidRDefault="005D2595" w:rsidP="005D2595">
      <w:pPr>
        <w:pStyle w:val="Heading3"/>
      </w:pPr>
      <w:r w:rsidRPr="0067507D">
        <w:t>Impairment</w:t>
      </w:r>
    </w:p>
    <w:p w14:paraId="5A8745FC" w14:textId="77777777" w:rsidR="005D2595" w:rsidRPr="0067507D" w:rsidRDefault="005D2595" w:rsidP="005D2595">
      <w:r w:rsidRPr="0067507D">
        <w:t>Intangible assets not yet available for use are tested annually for impairment and whenever there is an indication that the asset may be impaired. Intangible assets with finite useful lives are tested for impairment whenever an indication of impairment is identified.</w:t>
      </w:r>
    </w:p>
    <w:p w14:paraId="1294A912" w14:textId="77777777" w:rsidR="005D2595" w:rsidRPr="0067507D" w:rsidRDefault="005D2595" w:rsidP="005D2595">
      <w:pPr>
        <w:pStyle w:val="Heading3"/>
      </w:pPr>
      <w:r w:rsidRPr="0067507D">
        <w:t>Depreciation and amortisation</w:t>
      </w:r>
    </w:p>
    <w:p w14:paraId="6C26C6D1" w14:textId="4BA4E0F0" w:rsidR="005D2595" w:rsidRPr="0067507D" w:rsidRDefault="005D2595" w:rsidP="005D2595">
      <w:r w:rsidRPr="0067507D">
        <w:t xml:space="preserve">Depreciation and amortisation </w:t>
      </w:r>
      <w:r w:rsidR="00C67651" w:rsidRPr="0067507D">
        <w:t xml:space="preserve">are </w:t>
      </w:r>
      <w:r w:rsidRPr="0067507D">
        <w:t xml:space="preserve">calculated on a straight line basis, at rates that allocate the asset's value, less any estimated residual value, over its estimated useful life. The estimated useful life for the intangible assets is </w:t>
      </w:r>
      <w:r w:rsidRPr="0067507D" w:rsidDel="00AB481C">
        <w:t>7</w:t>
      </w:r>
      <w:r w:rsidRPr="0067507D">
        <w:t xml:space="preserve"> years. The estimated useful lives, residual values and depreciation method are reviewed at the end of each annual reporting period, and adjustments made where appropriate.</w:t>
      </w:r>
    </w:p>
    <w:p w14:paraId="26A6315E" w14:textId="77777777" w:rsidR="005D2595" w:rsidRPr="0067507D" w:rsidRDefault="005D2595" w:rsidP="005D2595"/>
    <w:p w14:paraId="50C0BD49" w14:textId="77777777" w:rsidR="005D2595" w:rsidRPr="0067507D" w:rsidRDefault="005D2595" w:rsidP="005D2595">
      <w:pPr>
        <w:sectPr w:rsidR="005D2595" w:rsidRPr="0067507D" w:rsidSect="005D2595">
          <w:headerReference w:type="even" r:id="rId110"/>
          <w:headerReference w:type="default" r:id="rId111"/>
          <w:pgSz w:w="11909" w:h="16834" w:code="9"/>
          <w:pgMar w:top="1728" w:right="1152" w:bottom="1152" w:left="1152" w:header="720" w:footer="288" w:gutter="0"/>
          <w:cols w:num="2" w:space="569"/>
          <w:noEndnote/>
        </w:sectPr>
      </w:pPr>
    </w:p>
    <w:p w14:paraId="0D2A8711" w14:textId="77777777" w:rsidR="005D2595" w:rsidRPr="0067507D" w:rsidRDefault="005D2595" w:rsidP="005D2595"/>
    <w:p w14:paraId="338C6015" w14:textId="77777777" w:rsidR="005D2595" w:rsidRPr="0067507D" w:rsidRDefault="005D2595" w:rsidP="005D2595">
      <w:pPr>
        <w:sectPr w:rsidR="005D2595" w:rsidRPr="0067507D" w:rsidSect="005D2595">
          <w:headerReference w:type="default" r:id="rId112"/>
          <w:type w:val="continuous"/>
          <w:pgSz w:w="11909" w:h="16834" w:code="9"/>
          <w:pgMar w:top="1728" w:right="1152" w:bottom="1152" w:left="1152" w:header="720" w:footer="288" w:gutter="0"/>
          <w:cols w:num="2" w:space="569"/>
          <w:noEndnote/>
        </w:sectPr>
      </w:pPr>
    </w:p>
    <w:p w14:paraId="2B4ED55B" w14:textId="77777777" w:rsidR="005D2595" w:rsidRPr="0067507D" w:rsidRDefault="005D2595" w:rsidP="009714E6">
      <w:pPr>
        <w:pStyle w:val="Heading1numbered"/>
      </w:pPr>
      <w:bookmarkStart w:id="126" w:name="_Toc210214012"/>
      <w:bookmarkStart w:id="127" w:name="_Toc210213959"/>
      <w:r w:rsidRPr="0067507D">
        <w:lastRenderedPageBreak/>
        <w:t>Other assets and liabilities</w:t>
      </w:r>
      <w:bookmarkEnd w:id="126"/>
      <w:bookmarkEnd w:id="127"/>
    </w:p>
    <w:p w14:paraId="0A5BC1BA" w14:textId="77777777" w:rsidR="005D2595" w:rsidRPr="0067507D" w:rsidRDefault="005D2595" w:rsidP="005D2595">
      <w:pPr>
        <w:keepLines w:val="0"/>
        <w:spacing w:before="0" w:after="0"/>
        <w:sectPr w:rsidR="005D2595" w:rsidRPr="0067507D" w:rsidSect="00C400CA">
          <w:headerReference w:type="even" r:id="rId113"/>
          <w:pgSz w:w="11909" w:h="16834" w:code="9"/>
          <w:pgMar w:top="1728" w:right="1152" w:bottom="1152" w:left="1152" w:header="720" w:footer="288" w:gutter="0"/>
          <w:cols w:space="569"/>
          <w:noEndnote/>
          <w:titlePg/>
          <w:docGrid w:linePitch="231"/>
        </w:sectPr>
      </w:pPr>
    </w:p>
    <w:p w14:paraId="7D23C2DA" w14:textId="77777777" w:rsidR="005D2595" w:rsidRPr="0067507D" w:rsidRDefault="005D2595" w:rsidP="000D5F54">
      <w:pPr>
        <w:pStyle w:val="Heading2numbered"/>
      </w:pPr>
      <w:bookmarkStart w:id="128" w:name="_Toc210214013"/>
      <w:bookmarkStart w:id="129" w:name="_Toc210213960"/>
      <w:r w:rsidRPr="0067507D">
        <w:t>Introduction</w:t>
      </w:r>
      <w:bookmarkEnd w:id="128"/>
      <w:bookmarkEnd w:id="129"/>
    </w:p>
    <w:p w14:paraId="5FF70D92" w14:textId="77777777" w:rsidR="005D2595" w:rsidRPr="0067507D" w:rsidRDefault="005D2595" w:rsidP="005D2595">
      <w:r w:rsidRPr="0067507D">
        <w:t>This note sets out those assets and liabilities that arose from the Department's controlled operations.</w:t>
      </w:r>
    </w:p>
    <w:p w14:paraId="23D074EE" w14:textId="77777777" w:rsidR="005D2595" w:rsidRPr="0067507D" w:rsidRDefault="005D2595" w:rsidP="005D2595">
      <w:pPr>
        <w:pStyle w:val="Heading4"/>
        <w:spacing w:before="240"/>
      </w:pPr>
      <w:bookmarkStart w:id="130" w:name="Section_06"/>
      <w:r w:rsidRPr="0067507D">
        <w:br w:type="column"/>
      </w:r>
      <w:r w:rsidRPr="0067507D" w:rsidDel="00C40D18">
        <w:t xml:space="preserve"> </w:t>
      </w:r>
    </w:p>
    <w:p w14:paraId="0F228E9A" w14:textId="77777777" w:rsidR="005D2595" w:rsidRPr="0067507D" w:rsidRDefault="005D2595" w:rsidP="005D2595">
      <w:pPr>
        <w:keepLines w:val="0"/>
        <w:spacing w:before="0" w:after="0"/>
        <w:sectPr w:rsidR="005D2595" w:rsidRPr="0067507D" w:rsidSect="005D2595">
          <w:type w:val="continuous"/>
          <w:pgSz w:w="11909" w:h="16834" w:code="9"/>
          <w:pgMar w:top="1728" w:right="1152" w:bottom="1152" w:left="1152" w:header="720" w:footer="288" w:gutter="0"/>
          <w:cols w:num="2" w:space="569"/>
          <w:noEndnote/>
        </w:sectPr>
      </w:pPr>
    </w:p>
    <w:p w14:paraId="3BC57001" w14:textId="77777777" w:rsidR="005D2595" w:rsidRPr="0067507D" w:rsidRDefault="005D2595" w:rsidP="000D5F54">
      <w:pPr>
        <w:pStyle w:val="Heading2numbered"/>
      </w:pPr>
      <w:bookmarkStart w:id="131" w:name="_Toc178670921"/>
      <w:bookmarkStart w:id="132" w:name="_Toc210214014"/>
      <w:bookmarkStart w:id="133" w:name="_Toc210213961"/>
      <w:r w:rsidRPr="0067507D">
        <w:t>Receivables</w:t>
      </w:r>
      <w:bookmarkEnd w:id="131"/>
      <w:bookmarkEnd w:id="132"/>
      <w:bookmarkEnd w:id="133"/>
    </w:p>
    <w:p w14:paraId="2066A9D6" w14:textId="77777777" w:rsidR="005D2595" w:rsidRPr="0067507D" w:rsidRDefault="005D2595" w:rsidP="005D2595">
      <w:pPr>
        <w:pStyle w:val="Heading2numbered"/>
        <w:pageBreakBefore/>
        <w:numPr>
          <w:ilvl w:val="0"/>
          <w:numId w:val="0"/>
        </w:numPr>
        <w:ind w:left="576"/>
        <w:sectPr w:rsidR="005D2595" w:rsidRPr="0067507D" w:rsidSect="005D2595">
          <w:headerReference w:type="even" r:id="rId114"/>
          <w:headerReference w:type="default" r:id="rId115"/>
          <w:type w:val="continuous"/>
          <w:pgSz w:w="11909" w:h="16834" w:code="9"/>
          <w:pgMar w:top="1728" w:right="1152" w:bottom="1152" w:left="1152" w:header="720" w:footer="288" w:gutter="0"/>
          <w:cols w:num="2" w:space="569"/>
          <w:noEndnote/>
        </w:sectPr>
      </w:pPr>
    </w:p>
    <w:tbl>
      <w:tblPr>
        <w:tblStyle w:val="AnnualReporttexttable"/>
        <w:tblW w:w="0" w:type="auto"/>
        <w:tblLayout w:type="fixed"/>
        <w:tblLook w:val="00A0" w:firstRow="1" w:lastRow="0" w:firstColumn="1" w:lastColumn="0" w:noHBand="0" w:noVBand="0"/>
      </w:tblPr>
      <w:tblGrid>
        <w:gridCol w:w="5220"/>
        <w:gridCol w:w="1134"/>
        <w:gridCol w:w="1088"/>
      </w:tblGrid>
      <w:tr w:rsidR="006F34A8" w:rsidRPr="0067507D" w14:paraId="322792DD" w14:textId="77777777" w:rsidTr="00FC3AF2">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220" w:type="dxa"/>
          </w:tcPr>
          <w:p w14:paraId="1D8E378F" w14:textId="77777777" w:rsidR="006F34A8" w:rsidRPr="0067507D" w:rsidRDefault="006F34A8" w:rsidP="006F34A8">
            <w:pPr>
              <w:pStyle w:val="Tableheader"/>
            </w:pPr>
          </w:p>
        </w:tc>
        <w:tc>
          <w:tcPr>
            <w:cnfStyle w:val="000010000000" w:firstRow="0" w:lastRow="0" w:firstColumn="0" w:lastColumn="0" w:oddVBand="1" w:evenVBand="0" w:oddHBand="0" w:evenHBand="0" w:firstRowFirstColumn="0" w:firstRowLastColumn="0" w:lastRowFirstColumn="0" w:lastRowLastColumn="0"/>
            <w:tcW w:w="1134" w:type="dxa"/>
            <w:shd w:val="clear" w:color="auto" w:fill="auto"/>
          </w:tcPr>
          <w:p w14:paraId="73F620FE" w14:textId="781FCEC1"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88" w:type="dxa"/>
          </w:tcPr>
          <w:p w14:paraId="445CAB61" w14:textId="2D6AF1A1"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r>
      <w:tr w:rsidR="005D2595" w:rsidRPr="0067507D" w14:paraId="216E5980"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26889C91" w14:textId="77777777" w:rsidR="005D2595" w:rsidRPr="0067507D" w:rsidRDefault="005D2595" w:rsidP="00FC3AF2">
            <w:pPr>
              <w:pStyle w:val="Tabletextbold"/>
            </w:pPr>
            <w:r w:rsidRPr="0067507D">
              <w:t>Contractual</w:t>
            </w:r>
          </w:p>
        </w:tc>
        <w:tc>
          <w:tcPr>
            <w:cnfStyle w:val="000010000000" w:firstRow="0" w:lastRow="0" w:firstColumn="0" w:lastColumn="0" w:oddVBand="1" w:evenVBand="0" w:oddHBand="0" w:evenHBand="0" w:firstRowFirstColumn="0" w:firstRowLastColumn="0" w:lastRowFirstColumn="0" w:lastRowLastColumn="0"/>
            <w:tcW w:w="1134" w:type="dxa"/>
          </w:tcPr>
          <w:p w14:paraId="61EB1EF2"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088" w:type="dxa"/>
          </w:tcPr>
          <w:p w14:paraId="140F1391" w14:textId="77777777" w:rsidR="005D2595" w:rsidRPr="0067507D" w:rsidRDefault="005D2595" w:rsidP="00FC3AF2">
            <w:pPr>
              <w:pStyle w:val="Tabletextright"/>
            </w:pPr>
          </w:p>
        </w:tc>
      </w:tr>
      <w:tr w:rsidR="005D2595" w:rsidRPr="0067507D" w14:paraId="307B4FF1"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216C4357" w14:textId="77777777" w:rsidR="005D2595" w:rsidRPr="0067507D" w:rsidRDefault="005D2595" w:rsidP="00FC3AF2">
            <w:pPr>
              <w:pStyle w:val="Tabletext"/>
            </w:pPr>
            <w:r w:rsidRPr="0067507D">
              <w:t>Debtors</w:t>
            </w:r>
          </w:p>
        </w:tc>
        <w:tc>
          <w:tcPr>
            <w:cnfStyle w:val="000010000000" w:firstRow="0" w:lastRow="0" w:firstColumn="0" w:lastColumn="0" w:oddVBand="1" w:evenVBand="0" w:oddHBand="0" w:evenHBand="0" w:firstRowFirstColumn="0" w:firstRowLastColumn="0" w:lastRowFirstColumn="0" w:lastRowLastColumn="0"/>
            <w:tcW w:w="1134" w:type="dxa"/>
          </w:tcPr>
          <w:p w14:paraId="51603127" w14:textId="77777777" w:rsidR="005D2595" w:rsidRPr="0067507D" w:rsidRDefault="005D2595" w:rsidP="00FC3AF2">
            <w:pPr>
              <w:pStyle w:val="Tabletextright"/>
            </w:pPr>
            <w:r w:rsidRPr="0067507D">
              <w:t xml:space="preserve">2 901 </w:t>
            </w:r>
          </w:p>
        </w:tc>
        <w:tc>
          <w:tcPr>
            <w:cnfStyle w:val="000001000000" w:firstRow="0" w:lastRow="0" w:firstColumn="0" w:lastColumn="0" w:oddVBand="0" w:evenVBand="1" w:oddHBand="0" w:evenHBand="0" w:firstRowFirstColumn="0" w:firstRowLastColumn="0" w:lastRowFirstColumn="0" w:lastRowLastColumn="0"/>
            <w:tcW w:w="1088" w:type="dxa"/>
          </w:tcPr>
          <w:p w14:paraId="724A891F" w14:textId="77777777" w:rsidR="005D2595" w:rsidRPr="0067507D" w:rsidRDefault="005D2595" w:rsidP="00FC3AF2">
            <w:pPr>
              <w:pStyle w:val="Tabletextright"/>
            </w:pPr>
            <w:r w:rsidRPr="0067507D">
              <w:t xml:space="preserve">3 415 </w:t>
            </w:r>
          </w:p>
        </w:tc>
      </w:tr>
      <w:tr w:rsidR="005D2595" w:rsidRPr="0067507D" w14:paraId="682E9A6D"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05B696C3" w14:textId="77777777" w:rsidR="005D2595" w:rsidRPr="0067507D" w:rsidRDefault="005D2595" w:rsidP="00FC3AF2">
            <w:pPr>
              <w:pStyle w:val="Tabletextbold"/>
            </w:pPr>
            <w:r w:rsidRPr="0067507D">
              <w:t>Total contractual receivables</w:t>
            </w:r>
          </w:p>
        </w:tc>
        <w:tc>
          <w:tcPr>
            <w:cnfStyle w:val="000010000000" w:firstRow="0" w:lastRow="0" w:firstColumn="0" w:lastColumn="0" w:oddVBand="1" w:evenVBand="0" w:oddHBand="0" w:evenHBand="0" w:firstRowFirstColumn="0" w:firstRowLastColumn="0" w:lastRowFirstColumn="0" w:lastRowLastColumn="0"/>
            <w:tcW w:w="1134" w:type="dxa"/>
          </w:tcPr>
          <w:p w14:paraId="48C271E2" w14:textId="77777777" w:rsidR="005D2595" w:rsidRPr="0067507D" w:rsidRDefault="005D2595" w:rsidP="00FC3AF2">
            <w:pPr>
              <w:pStyle w:val="Tabletextrightbold"/>
            </w:pPr>
            <w:r w:rsidRPr="0067507D">
              <w:t xml:space="preserve">2 901 </w:t>
            </w:r>
          </w:p>
        </w:tc>
        <w:tc>
          <w:tcPr>
            <w:cnfStyle w:val="000001000000" w:firstRow="0" w:lastRow="0" w:firstColumn="0" w:lastColumn="0" w:oddVBand="0" w:evenVBand="1" w:oddHBand="0" w:evenHBand="0" w:firstRowFirstColumn="0" w:firstRowLastColumn="0" w:lastRowFirstColumn="0" w:lastRowLastColumn="0"/>
            <w:tcW w:w="1088" w:type="dxa"/>
          </w:tcPr>
          <w:p w14:paraId="6697CA09" w14:textId="77777777" w:rsidR="005D2595" w:rsidRPr="0067507D" w:rsidRDefault="005D2595" w:rsidP="00FC3AF2">
            <w:pPr>
              <w:pStyle w:val="Tabletextrightbold"/>
            </w:pPr>
            <w:r w:rsidRPr="0067507D">
              <w:t xml:space="preserve">3 415 </w:t>
            </w:r>
          </w:p>
        </w:tc>
      </w:tr>
      <w:tr w:rsidR="005D2595" w:rsidRPr="0067507D" w14:paraId="147609C2" w14:textId="77777777" w:rsidTr="00FC3AF2">
        <w:tc>
          <w:tcPr>
            <w:cnfStyle w:val="001000000000" w:firstRow="0" w:lastRow="0" w:firstColumn="1" w:lastColumn="0" w:oddVBand="0" w:evenVBand="0" w:oddHBand="0" w:evenHBand="0" w:firstRowFirstColumn="0" w:firstRowLastColumn="0" w:lastRowFirstColumn="0" w:lastRowLastColumn="0"/>
            <w:tcW w:w="5220" w:type="dxa"/>
          </w:tcPr>
          <w:p w14:paraId="5EE73BA9" w14:textId="77777777" w:rsidR="005D2595" w:rsidRPr="0067507D" w:rsidRDefault="005D2595" w:rsidP="00FC3AF2">
            <w:pPr>
              <w:pStyle w:val="Tabletextbold"/>
              <w:rPr>
                <w:sz w:val="2"/>
              </w:rPr>
            </w:pPr>
          </w:p>
        </w:tc>
        <w:tc>
          <w:tcPr>
            <w:cnfStyle w:val="000010000000" w:firstRow="0" w:lastRow="0" w:firstColumn="0" w:lastColumn="0" w:oddVBand="1" w:evenVBand="0" w:oddHBand="0" w:evenHBand="0" w:firstRowFirstColumn="0" w:firstRowLastColumn="0" w:lastRowFirstColumn="0" w:lastRowLastColumn="0"/>
            <w:tcW w:w="1134" w:type="dxa"/>
          </w:tcPr>
          <w:p w14:paraId="67E8AA18" w14:textId="77777777" w:rsidR="005D2595" w:rsidRPr="0067507D" w:rsidRDefault="005D2595" w:rsidP="00FC3AF2">
            <w:pPr>
              <w:pStyle w:val="Tabletextright"/>
              <w:rPr>
                <w:sz w:val="2"/>
              </w:rPr>
            </w:pPr>
          </w:p>
        </w:tc>
        <w:tc>
          <w:tcPr>
            <w:cnfStyle w:val="000001000000" w:firstRow="0" w:lastRow="0" w:firstColumn="0" w:lastColumn="0" w:oddVBand="0" w:evenVBand="1" w:oddHBand="0" w:evenHBand="0" w:firstRowFirstColumn="0" w:firstRowLastColumn="0" w:lastRowFirstColumn="0" w:lastRowLastColumn="0"/>
            <w:tcW w:w="1088" w:type="dxa"/>
          </w:tcPr>
          <w:p w14:paraId="63D2438B" w14:textId="77777777" w:rsidR="005D2595" w:rsidRPr="0067507D" w:rsidRDefault="005D2595" w:rsidP="00FC3AF2">
            <w:pPr>
              <w:pStyle w:val="Tabletextright"/>
              <w:rPr>
                <w:sz w:val="2"/>
              </w:rPr>
            </w:pPr>
          </w:p>
        </w:tc>
      </w:tr>
      <w:tr w:rsidR="005D2595" w:rsidRPr="0067507D" w14:paraId="3DA5E6AE"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0F611E49" w14:textId="77777777" w:rsidR="005D2595" w:rsidRPr="0067507D" w:rsidRDefault="005D2595" w:rsidP="00FC3AF2">
            <w:pPr>
              <w:pStyle w:val="Tabletextbold"/>
            </w:pPr>
            <w:r w:rsidRPr="0067507D">
              <w:t>Statutory</w:t>
            </w:r>
          </w:p>
        </w:tc>
        <w:tc>
          <w:tcPr>
            <w:cnfStyle w:val="000010000000" w:firstRow="0" w:lastRow="0" w:firstColumn="0" w:lastColumn="0" w:oddVBand="1" w:evenVBand="0" w:oddHBand="0" w:evenHBand="0" w:firstRowFirstColumn="0" w:firstRowLastColumn="0" w:lastRowFirstColumn="0" w:lastRowLastColumn="0"/>
            <w:tcW w:w="1134" w:type="dxa"/>
          </w:tcPr>
          <w:p w14:paraId="1BD3A2F3"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088" w:type="dxa"/>
          </w:tcPr>
          <w:p w14:paraId="211F023F" w14:textId="77777777" w:rsidR="005D2595" w:rsidRPr="0067507D" w:rsidRDefault="005D2595" w:rsidP="00FC3AF2">
            <w:pPr>
              <w:pStyle w:val="Tabletextright"/>
            </w:pPr>
          </w:p>
        </w:tc>
      </w:tr>
      <w:tr w:rsidR="005D2595" w:rsidRPr="0067507D" w14:paraId="4313A595"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208F791B" w14:textId="77777777" w:rsidR="005D2595" w:rsidRPr="0067507D" w:rsidRDefault="005D2595" w:rsidP="00FC3AF2">
            <w:pPr>
              <w:pStyle w:val="Tabletext"/>
            </w:pPr>
            <w:r w:rsidRPr="0067507D">
              <w:t>Amounts owing from Victorian Government</w:t>
            </w:r>
          </w:p>
        </w:tc>
        <w:tc>
          <w:tcPr>
            <w:cnfStyle w:val="000010000000" w:firstRow="0" w:lastRow="0" w:firstColumn="0" w:lastColumn="0" w:oddVBand="1" w:evenVBand="0" w:oddHBand="0" w:evenHBand="0" w:firstRowFirstColumn="0" w:firstRowLastColumn="0" w:lastRowFirstColumn="0" w:lastRowLastColumn="0"/>
            <w:tcW w:w="1134" w:type="dxa"/>
          </w:tcPr>
          <w:p w14:paraId="3B25B6C2" w14:textId="77777777" w:rsidR="005D2595" w:rsidRPr="0067507D" w:rsidRDefault="005D2595" w:rsidP="00FC3AF2">
            <w:pPr>
              <w:pStyle w:val="Tabletextright"/>
            </w:pPr>
            <w:r w:rsidRPr="0067507D">
              <w:t xml:space="preserve">156 711 </w:t>
            </w:r>
          </w:p>
        </w:tc>
        <w:tc>
          <w:tcPr>
            <w:cnfStyle w:val="000001000000" w:firstRow="0" w:lastRow="0" w:firstColumn="0" w:lastColumn="0" w:oddVBand="0" w:evenVBand="1" w:oddHBand="0" w:evenHBand="0" w:firstRowFirstColumn="0" w:firstRowLastColumn="0" w:lastRowFirstColumn="0" w:lastRowLastColumn="0"/>
            <w:tcW w:w="1088" w:type="dxa"/>
          </w:tcPr>
          <w:p w14:paraId="30E101ED" w14:textId="77777777" w:rsidR="005D2595" w:rsidRPr="0067507D" w:rsidRDefault="005D2595" w:rsidP="00FC3AF2">
            <w:pPr>
              <w:pStyle w:val="Tabletextright"/>
            </w:pPr>
            <w:r w:rsidRPr="0067507D">
              <w:t xml:space="preserve">162 013 </w:t>
            </w:r>
          </w:p>
        </w:tc>
      </w:tr>
      <w:tr w:rsidR="005D2595" w:rsidRPr="0067507D" w14:paraId="4896B88C"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63C41FB7" w14:textId="77777777" w:rsidR="005D2595" w:rsidRPr="0067507D" w:rsidRDefault="005D2595" w:rsidP="00FC3AF2">
            <w:pPr>
              <w:pStyle w:val="Tabletext"/>
            </w:pPr>
            <w:r w:rsidRPr="0067507D">
              <w:t>GST recoverable</w:t>
            </w:r>
          </w:p>
        </w:tc>
        <w:tc>
          <w:tcPr>
            <w:cnfStyle w:val="000010000000" w:firstRow="0" w:lastRow="0" w:firstColumn="0" w:lastColumn="0" w:oddVBand="1" w:evenVBand="0" w:oddHBand="0" w:evenHBand="0" w:firstRowFirstColumn="0" w:firstRowLastColumn="0" w:lastRowFirstColumn="0" w:lastRowLastColumn="0"/>
            <w:tcW w:w="1134" w:type="dxa"/>
          </w:tcPr>
          <w:p w14:paraId="7601A078" w14:textId="77777777" w:rsidR="005D2595" w:rsidRPr="0067507D" w:rsidRDefault="005D2595" w:rsidP="00FC3AF2">
            <w:pPr>
              <w:pStyle w:val="Tabletextright"/>
            </w:pPr>
            <w:r w:rsidRPr="0067507D">
              <w:t xml:space="preserve">2 629 </w:t>
            </w:r>
          </w:p>
        </w:tc>
        <w:tc>
          <w:tcPr>
            <w:cnfStyle w:val="000001000000" w:firstRow="0" w:lastRow="0" w:firstColumn="0" w:lastColumn="0" w:oddVBand="0" w:evenVBand="1" w:oddHBand="0" w:evenHBand="0" w:firstRowFirstColumn="0" w:firstRowLastColumn="0" w:lastRowFirstColumn="0" w:lastRowLastColumn="0"/>
            <w:tcW w:w="1088" w:type="dxa"/>
          </w:tcPr>
          <w:p w14:paraId="37761880" w14:textId="77777777" w:rsidR="005D2595" w:rsidRPr="0067507D" w:rsidRDefault="005D2595" w:rsidP="00FC3AF2">
            <w:pPr>
              <w:pStyle w:val="Tabletextright"/>
            </w:pPr>
            <w:r w:rsidRPr="0067507D">
              <w:t xml:space="preserve">2 861 </w:t>
            </w:r>
          </w:p>
        </w:tc>
      </w:tr>
      <w:tr w:rsidR="005D2595" w:rsidRPr="0067507D" w14:paraId="37D2D85A"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5932A8BA" w14:textId="77777777" w:rsidR="005D2595" w:rsidRPr="0067507D" w:rsidRDefault="005D2595" w:rsidP="00FC3AF2">
            <w:pPr>
              <w:pStyle w:val="Tabletextbold"/>
            </w:pPr>
            <w:r w:rsidRPr="0067507D">
              <w:t>Total statutory receivables</w:t>
            </w:r>
          </w:p>
        </w:tc>
        <w:tc>
          <w:tcPr>
            <w:cnfStyle w:val="000010000000" w:firstRow="0" w:lastRow="0" w:firstColumn="0" w:lastColumn="0" w:oddVBand="1" w:evenVBand="0" w:oddHBand="0" w:evenHBand="0" w:firstRowFirstColumn="0" w:firstRowLastColumn="0" w:lastRowFirstColumn="0" w:lastRowLastColumn="0"/>
            <w:tcW w:w="1134" w:type="dxa"/>
          </w:tcPr>
          <w:p w14:paraId="077FC78F" w14:textId="77777777" w:rsidR="005D2595" w:rsidRPr="0067507D" w:rsidRDefault="005D2595" w:rsidP="00FC3AF2">
            <w:pPr>
              <w:pStyle w:val="Tabletextrightbold"/>
            </w:pPr>
            <w:r w:rsidRPr="0067507D">
              <w:t xml:space="preserve">159 340 </w:t>
            </w:r>
          </w:p>
        </w:tc>
        <w:tc>
          <w:tcPr>
            <w:cnfStyle w:val="000001000000" w:firstRow="0" w:lastRow="0" w:firstColumn="0" w:lastColumn="0" w:oddVBand="0" w:evenVBand="1" w:oddHBand="0" w:evenHBand="0" w:firstRowFirstColumn="0" w:firstRowLastColumn="0" w:lastRowFirstColumn="0" w:lastRowLastColumn="0"/>
            <w:tcW w:w="1088" w:type="dxa"/>
          </w:tcPr>
          <w:p w14:paraId="4C176036" w14:textId="77777777" w:rsidR="005D2595" w:rsidRPr="0067507D" w:rsidRDefault="005D2595" w:rsidP="00FC3AF2">
            <w:pPr>
              <w:pStyle w:val="Tabletextrightbold"/>
            </w:pPr>
            <w:r w:rsidRPr="0067507D">
              <w:t xml:space="preserve">164 874 </w:t>
            </w:r>
          </w:p>
        </w:tc>
      </w:tr>
      <w:tr w:rsidR="005D2595" w:rsidRPr="0067507D" w14:paraId="48A4C82A"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2EC2BB47" w14:textId="77777777" w:rsidR="005D2595" w:rsidRPr="0067507D" w:rsidRDefault="005D2595" w:rsidP="00FC3AF2">
            <w:pPr>
              <w:pStyle w:val="Tabletextbold"/>
            </w:pPr>
            <w:r w:rsidRPr="0067507D">
              <w:t>Total receivables</w:t>
            </w:r>
          </w:p>
        </w:tc>
        <w:tc>
          <w:tcPr>
            <w:cnfStyle w:val="000010000000" w:firstRow="0" w:lastRow="0" w:firstColumn="0" w:lastColumn="0" w:oddVBand="1" w:evenVBand="0" w:oddHBand="0" w:evenHBand="0" w:firstRowFirstColumn="0" w:firstRowLastColumn="0" w:lastRowFirstColumn="0" w:lastRowLastColumn="0"/>
            <w:tcW w:w="1134" w:type="dxa"/>
          </w:tcPr>
          <w:p w14:paraId="7F9770AD" w14:textId="77777777" w:rsidR="005D2595" w:rsidRPr="0067507D" w:rsidRDefault="005D2595" w:rsidP="00FC3AF2">
            <w:pPr>
              <w:pStyle w:val="Tabletextrightbold"/>
            </w:pPr>
            <w:r w:rsidRPr="0067507D">
              <w:t xml:space="preserve">162 241 </w:t>
            </w:r>
          </w:p>
        </w:tc>
        <w:tc>
          <w:tcPr>
            <w:cnfStyle w:val="000001000000" w:firstRow="0" w:lastRow="0" w:firstColumn="0" w:lastColumn="0" w:oddVBand="0" w:evenVBand="1" w:oddHBand="0" w:evenHBand="0" w:firstRowFirstColumn="0" w:firstRowLastColumn="0" w:lastRowFirstColumn="0" w:lastRowLastColumn="0"/>
            <w:tcW w:w="1088" w:type="dxa"/>
          </w:tcPr>
          <w:p w14:paraId="6FCA8D8A" w14:textId="77777777" w:rsidR="005D2595" w:rsidRPr="0067507D" w:rsidRDefault="005D2595" w:rsidP="00FC3AF2">
            <w:pPr>
              <w:pStyle w:val="Tabletextrightbold"/>
            </w:pPr>
            <w:r w:rsidRPr="0067507D">
              <w:t xml:space="preserve">168 289 </w:t>
            </w:r>
          </w:p>
        </w:tc>
      </w:tr>
      <w:tr w:rsidR="005D2595" w:rsidRPr="0067507D" w14:paraId="2BBCDC5A"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749FD5C9" w14:textId="77777777" w:rsidR="005D2595" w:rsidRPr="0067507D" w:rsidRDefault="005D2595" w:rsidP="00FC3AF2">
            <w:pPr>
              <w:pStyle w:val="Tabletext"/>
            </w:pPr>
            <w:r w:rsidRPr="0067507D">
              <w:t>Represented by</w:t>
            </w:r>
          </w:p>
        </w:tc>
        <w:tc>
          <w:tcPr>
            <w:cnfStyle w:val="000010000000" w:firstRow="0" w:lastRow="0" w:firstColumn="0" w:lastColumn="0" w:oddVBand="1" w:evenVBand="0" w:oddHBand="0" w:evenHBand="0" w:firstRowFirstColumn="0" w:firstRowLastColumn="0" w:lastRowFirstColumn="0" w:lastRowLastColumn="0"/>
            <w:tcW w:w="1134" w:type="dxa"/>
          </w:tcPr>
          <w:p w14:paraId="32D97AC1"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088" w:type="dxa"/>
          </w:tcPr>
          <w:p w14:paraId="5C4705F8" w14:textId="77777777" w:rsidR="005D2595" w:rsidRPr="0067507D" w:rsidRDefault="005D2595" w:rsidP="00FC3AF2">
            <w:pPr>
              <w:pStyle w:val="Tabletextright"/>
            </w:pPr>
          </w:p>
        </w:tc>
      </w:tr>
      <w:tr w:rsidR="005D2595" w:rsidRPr="0067507D" w14:paraId="5CBD9859"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075E39B2" w14:textId="77777777" w:rsidR="005D2595" w:rsidRPr="0067507D" w:rsidRDefault="005D2595" w:rsidP="00FC3AF2">
            <w:pPr>
              <w:pStyle w:val="Tabletext"/>
            </w:pPr>
            <w:r w:rsidRPr="0067507D">
              <w:t>Current receivables</w:t>
            </w:r>
          </w:p>
        </w:tc>
        <w:tc>
          <w:tcPr>
            <w:cnfStyle w:val="000010000000" w:firstRow="0" w:lastRow="0" w:firstColumn="0" w:lastColumn="0" w:oddVBand="1" w:evenVBand="0" w:oddHBand="0" w:evenHBand="0" w:firstRowFirstColumn="0" w:firstRowLastColumn="0" w:lastRowFirstColumn="0" w:lastRowLastColumn="0"/>
            <w:tcW w:w="1134" w:type="dxa"/>
          </w:tcPr>
          <w:p w14:paraId="44D822B4" w14:textId="77777777" w:rsidR="005D2595" w:rsidRPr="0067507D" w:rsidRDefault="005D2595" w:rsidP="00FC3AF2">
            <w:pPr>
              <w:pStyle w:val="Tabletextright"/>
            </w:pPr>
            <w:r w:rsidRPr="0067507D">
              <w:t xml:space="preserve">151 832 </w:t>
            </w:r>
          </w:p>
        </w:tc>
        <w:tc>
          <w:tcPr>
            <w:cnfStyle w:val="000001000000" w:firstRow="0" w:lastRow="0" w:firstColumn="0" w:lastColumn="0" w:oddVBand="0" w:evenVBand="1" w:oddHBand="0" w:evenHBand="0" w:firstRowFirstColumn="0" w:firstRowLastColumn="0" w:lastRowFirstColumn="0" w:lastRowLastColumn="0"/>
            <w:tcW w:w="1088" w:type="dxa"/>
          </w:tcPr>
          <w:p w14:paraId="32B82058" w14:textId="77777777" w:rsidR="005D2595" w:rsidRPr="0067507D" w:rsidRDefault="005D2595" w:rsidP="00FC3AF2">
            <w:pPr>
              <w:pStyle w:val="Tabletextright"/>
            </w:pPr>
            <w:r w:rsidRPr="0067507D">
              <w:t xml:space="preserve">158 320 </w:t>
            </w:r>
          </w:p>
        </w:tc>
      </w:tr>
      <w:tr w:rsidR="005D2595" w:rsidRPr="0067507D" w14:paraId="277A34B8"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708A7A00" w14:textId="297563AA" w:rsidR="005D2595" w:rsidRPr="0067507D" w:rsidRDefault="005D2595" w:rsidP="00FC3AF2">
            <w:pPr>
              <w:pStyle w:val="Tabletext"/>
            </w:pPr>
            <w:r w:rsidRPr="0067507D">
              <w:t>Non</w:t>
            </w:r>
            <w:r w:rsidR="006A5485">
              <w:noBreakHyphen/>
            </w:r>
            <w:r w:rsidRPr="0067507D">
              <w:t>current receivables</w:t>
            </w:r>
          </w:p>
        </w:tc>
        <w:tc>
          <w:tcPr>
            <w:cnfStyle w:val="000010000000" w:firstRow="0" w:lastRow="0" w:firstColumn="0" w:lastColumn="0" w:oddVBand="1" w:evenVBand="0" w:oddHBand="0" w:evenHBand="0" w:firstRowFirstColumn="0" w:firstRowLastColumn="0" w:lastRowFirstColumn="0" w:lastRowLastColumn="0"/>
            <w:tcW w:w="1134" w:type="dxa"/>
          </w:tcPr>
          <w:p w14:paraId="0B7752E1" w14:textId="77777777" w:rsidR="005D2595" w:rsidRPr="0067507D" w:rsidRDefault="005D2595" w:rsidP="00FC3AF2">
            <w:pPr>
              <w:pStyle w:val="Tabletextright"/>
            </w:pPr>
            <w:r w:rsidRPr="0067507D">
              <w:t xml:space="preserve">10 409 </w:t>
            </w:r>
          </w:p>
        </w:tc>
        <w:tc>
          <w:tcPr>
            <w:cnfStyle w:val="000001000000" w:firstRow="0" w:lastRow="0" w:firstColumn="0" w:lastColumn="0" w:oddVBand="0" w:evenVBand="1" w:oddHBand="0" w:evenHBand="0" w:firstRowFirstColumn="0" w:firstRowLastColumn="0" w:lastRowFirstColumn="0" w:lastRowLastColumn="0"/>
            <w:tcW w:w="1088" w:type="dxa"/>
          </w:tcPr>
          <w:p w14:paraId="7BB34565" w14:textId="77777777" w:rsidR="005D2595" w:rsidRPr="0067507D" w:rsidRDefault="005D2595" w:rsidP="00FC3AF2">
            <w:pPr>
              <w:pStyle w:val="Tabletextright"/>
            </w:pPr>
            <w:r w:rsidRPr="0067507D">
              <w:t xml:space="preserve">9 969 </w:t>
            </w:r>
          </w:p>
        </w:tc>
      </w:tr>
    </w:tbl>
    <w:p w14:paraId="16454898" w14:textId="77777777" w:rsidR="005D2595" w:rsidRPr="0067507D" w:rsidRDefault="005D2595" w:rsidP="005D2595">
      <w:pPr>
        <w:pStyle w:val="Notes"/>
      </w:pPr>
    </w:p>
    <w:p w14:paraId="7AFEA936" w14:textId="77777777" w:rsidR="005D2595" w:rsidRPr="0067507D" w:rsidRDefault="005D2595" w:rsidP="005D2595">
      <w:pPr>
        <w:sectPr w:rsidR="005D2595" w:rsidRPr="0067507D" w:rsidSect="005D2595">
          <w:headerReference w:type="even" r:id="rId116"/>
          <w:headerReference w:type="default" r:id="rId117"/>
          <w:type w:val="continuous"/>
          <w:pgSz w:w="11909" w:h="16834" w:code="9"/>
          <w:pgMar w:top="1728" w:right="1152" w:bottom="1152" w:left="1152" w:header="720" w:footer="288" w:gutter="0"/>
          <w:cols w:space="569"/>
          <w:noEndnote/>
        </w:sectPr>
      </w:pPr>
    </w:p>
    <w:p w14:paraId="16AE6D16" w14:textId="77777777" w:rsidR="005D2595" w:rsidRPr="0067507D" w:rsidRDefault="005D2595" w:rsidP="005D2595">
      <w:r w:rsidRPr="0067507D">
        <w:rPr>
          <w:rFonts w:asciiTheme="majorHAnsi" w:hAnsiTheme="majorHAnsi"/>
        </w:rPr>
        <w:t>Contractual receivables</w:t>
      </w:r>
      <w:r w:rsidRPr="0067507D">
        <w:t xml:space="preserve"> arise from an agreement between the Department and another party. They are classified as financial instruments and categorised as 'financial assets at amortised costs'. They are initially recognised at fair value plus any directly attributable transaction costs. The Department holds the contractual receivables with the objective to collect the contractual cash flows and therefore subsequently measured at amortised cost using the effective interest method, less any impairment.</w:t>
      </w:r>
    </w:p>
    <w:p w14:paraId="3C9BB132" w14:textId="77777777" w:rsidR="005D2595" w:rsidRPr="0067507D" w:rsidRDefault="005D2595" w:rsidP="005D2595">
      <w:r w:rsidRPr="0067507D">
        <w:rPr>
          <w:rFonts w:asciiTheme="majorHAnsi" w:hAnsiTheme="majorHAnsi"/>
        </w:rPr>
        <w:br w:type="column"/>
      </w:r>
      <w:r w:rsidRPr="0067507D">
        <w:rPr>
          <w:rFonts w:asciiTheme="majorHAnsi" w:hAnsiTheme="majorHAnsi"/>
        </w:rPr>
        <w:t>Statutory receivables</w:t>
      </w:r>
      <w:r w:rsidRPr="0067507D">
        <w:t xml:space="preserve"> do not arise from contracts and are recognised and measured similarly to contractual receivables, but are not classified as financial instruments for disclosure purposes. Amounts owing from the Victorian Government represent funding for all commitments incurred and are drawn from the Consolidated Fund as the commitments fall due.</w:t>
      </w:r>
    </w:p>
    <w:p w14:paraId="3BE99A97" w14:textId="77777777" w:rsidR="005D2595" w:rsidRPr="0067507D" w:rsidRDefault="005D2595" w:rsidP="005D2595">
      <w:r w:rsidRPr="0067507D">
        <w:t>Details about the Department's exposure to credit risk are set out in note 8.2.3.</w:t>
      </w:r>
    </w:p>
    <w:p w14:paraId="0BDC5B04"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p w14:paraId="1F9C58DC" w14:textId="77777777" w:rsidR="005D2595" w:rsidRPr="0067507D" w:rsidRDefault="005D2595" w:rsidP="000D5F54">
      <w:pPr>
        <w:pStyle w:val="Heading2numbered"/>
      </w:pPr>
      <w:bookmarkStart w:id="134" w:name="_Toc178670922"/>
      <w:bookmarkStart w:id="135" w:name="_Toc210214015"/>
      <w:bookmarkStart w:id="136" w:name="_Toc210213962"/>
      <w:r w:rsidRPr="0067507D">
        <w:lastRenderedPageBreak/>
        <w:t>Payables</w:t>
      </w:r>
      <w:bookmarkEnd w:id="134"/>
      <w:bookmarkEnd w:id="135"/>
      <w:bookmarkEnd w:id="136"/>
    </w:p>
    <w:tbl>
      <w:tblPr>
        <w:tblStyle w:val="AnnualReporttexttable"/>
        <w:tblW w:w="0" w:type="auto"/>
        <w:tblLayout w:type="fixed"/>
        <w:tblLook w:val="00A0" w:firstRow="1" w:lastRow="0" w:firstColumn="1" w:lastColumn="0" w:noHBand="0" w:noVBand="0"/>
      </w:tblPr>
      <w:tblGrid>
        <w:gridCol w:w="5220"/>
        <w:gridCol w:w="1134"/>
        <w:gridCol w:w="1088"/>
      </w:tblGrid>
      <w:tr w:rsidR="006F34A8" w:rsidRPr="0067507D" w14:paraId="0CF59FE1" w14:textId="77777777" w:rsidTr="00FC3AF2">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220" w:type="dxa"/>
          </w:tcPr>
          <w:p w14:paraId="4C09B06F" w14:textId="77777777" w:rsidR="006F34A8" w:rsidRPr="0067507D" w:rsidRDefault="006F34A8" w:rsidP="006F34A8">
            <w:pPr>
              <w:pStyle w:val="Tableheader"/>
            </w:pPr>
          </w:p>
        </w:tc>
        <w:tc>
          <w:tcPr>
            <w:cnfStyle w:val="000010000000" w:firstRow="0" w:lastRow="0" w:firstColumn="0" w:lastColumn="0" w:oddVBand="1" w:evenVBand="0" w:oddHBand="0" w:evenHBand="0" w:firstRowFirstColumn="0" w:firstRowLastColumn="0" w:lastRowFirstColumn="0" w:lastRowLastColumn="0"/>
            <w:tcW w:w="1134" w:type="dxa"/>
            <w:shd w:val="clear" w:color="auto" w:fill="auto"/>
          </w:tcPr>
          <w:p w14:paraId="2AC27B3A" w14:textId="7867E3A4"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88" w:type="dxa"/>
          </w:tcPr>
          <w:p w14:paraId="01FE1EF0" w14:textId="2213CBB4"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r>
      <w:tr w:rsidR="005D2595" w:rsidRPr="0067507D" w14:paraId="4143D5A1"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14531060" w14:textId="77777777" w:rsidR="005D2595" w:rsidRPr="0067507D" w:rsidRDefault="005D2595" w:rsidP="00FC3AF2">
            <w:pPr>
              <w:pStyle w:val="Tabletextbold"/>
            </w:pPr>
            <w:r w:rsidRPr="0067507D">
              <w:t>Contractual</w:t>
            </w:r>
          </w:p>
        </w:tc>
        <w:tc>
          <w:tcPr>
            <w:cnfStyle w:val="000010000000" w:firstRow="0" w:lastRow="0" w:firstColumn="0" w:lastColumn="0" w:oddVBand="1" w:evenVBand="0" w:oddHBand="0" w:evenHBand="0" w:firstRowFirstColumn="0" w:firstRowLastColumn="0" w:lastRowFirstColumn="0" w:lastRowLastColumn="0"/>
            <w:tcW w:w="1134" w:type="dxa"/>
          </w:tcPr>
          <w:p w14:paraId="51A801B3"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088" w:type="dxa"/>
          </w:tcPr>
          <w:p w14:paraId="35560D2A" w14:textId="77777777" w:rsidR="005D2595" w:rsidRPr="0067507D" w:rsidRDefault="005D2595" w:rsidP="00FC3AF2">
            <w:pPr>
              <w:pStyle w:val="Tabletextright"/>
            </w:pPr>
          </w:p>
        </w:tc>
      </w:tr>
      <w:tr w:rsidR="005D2595" w:rsidRPr="0067507D" w14:paraId="71B99F69"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6267655E" w14:textId="77777777" w:rsidR="005D2595" w:rsidRPr="0067507D" w:rsidRDefault="005D2595" w:rsidP="00FC3AF2">
            <w:pPr>
              <w:pStyle w:val="Tabletext"/>
            </w:pPr>
            <w:r w:rsidRPr="0067507D">
              <w:t xml:space="preserve">Creditors and accruals </w:t>
            </w:r>
          </w:p>
        </w:tc>
        <w:tc>
          <w:tcPr>
            <w:cnfStyle w:val="000010000000" w:firstRow="0" w:lastRow="0" w:firstColumn="0" w:lastColumn="0" w:oddVBand="1" w:evenVBand="0" w:oddHBand="0" w:evenHBand="0" w:firstRowFirstColumn="0" w:firstRowLastColumn="0" w:lastRowFirstColumn="0" w:lastRowLastColumn="0"/>
            <w:tcW w:w="1134" w:type="dxa"/>
          </w:tcPr>
          <w:p w14:paraId="33A8A5DC" w14:textId="77777777" w:rsidR="005D2595" w:rsidRPr="0067507D" w:rsidRDefault="005D2595" w:rsidP="00FC3AF2">
            <w:pPr>
              <w:pStyle w:val="Tabletextright"/>
            </w:pPr>
            <w:r w:rsidRPr="0067507D">
              <w:t xml:space="preserve">42 516 </w:t>
            </w:r>
          </w:p>
        </w:tc>
        <w:tc>
          <w:tcPr>
            <w:cnfStyle w:val="000001000000" w:firstRow="0" w:lastRow="0" w:firstColumn="0" w:lastColumn="0" w:oddVBand="0" w:evenVBand="1" w:oddHBand="0" w:evenHBand="0" w:firstRowFirstColumn="0" w:firstRowLastColumn="0" w:lastRowFirstColumn="0" w:lastRowLastColumn="0"/>
            <w:tcW w:w="1088" w:type="dxa"/>
          </w:tcPr>
          <w:p w14:paraId="67EFB32C" w14:textId="77777777" w:rsidR="005D2595" w:rsidRPr="0067507D" w:rsidRDefault="005D2595" w:rsidP="00FC3AF2">
            <w:pPr>
              <w:pStyle w:val="Tabletextright"/>
            </w:pPr>
            <w:r w:rsidRPr="0067507D">
              <w:t xml:space="preserve">63 234 </w:t>
            </w:r>
          </w:p>
        </w:tc>
      </w:tr>
      <w:tr w:rsidR="005D2595" w:rsidRPr="0067507D" w14:paraId="281764C1"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792565B8" w14:textId="77777777" w:rsidR="005D2595" w:rsidRPr="0067507D" w:rsidRDefault="005D2595" w:rsidP="00FC3AF2">
            <w:pPr>
              <w:pStyle w:val="Tabletextbold"/>
            </w:pPr>
            <w:r w:rsidRPr="0067507D">
              <w:t xml:space="preserve">Total contractual payables </w:t>
            </w:r>
          </w:p>
        </w:tc>
        <w:tc>
          <w:tcPr>
            <w:cnfStyle w:val="000010000000" w:firstRow="0" w:lastRow="0" w:firstColumn="0" w:lastColumn="0" w:oddVBand="1" w:evenVBand="0" w:oddHBand="0" w:evenHBand="0" w:firstRowFirstColumn="0" w:firstRowLastColumn="0" w:lastRowFirstColumn="0" w:lastRowLastColumn="0"/>
            <w:tcW w:w="1134" w:type="dxa"/>
          </w:tcPr>
          <w:p w14:paraId="2ABC374F" w14:textId="77777777" w:rsidR="005D2595" w:rsidRPr="0067507D" w:rsidRDefault="005D2595" w:rsidP="00FC3AF2">
            <w:pPr>
              <w:pStyle w:val="Tabletextrightbold"/>
            </w:pPr>
            <w:r w:rsidRPr="0067507D">
              <w:t xml:space="preserve">42 516 </w:t>
            </w:r>
          </w:p>
        </w:tc>
        <w:tc>
          <w:tcPr>
            <w:cnfStyle w:val="000001000000" w:firstRow="0" w:lastRow="0" w:firstColumn="0" w:lastColumn="0" w:oddVBand="0" w:evenVBand="1" w:oddHBand="0" w:evenHBand="0" w:firstRowFirstColumn="0" w:firstRowLastColumn="0" w:lastRowFirstColumn="0" w:lastRowLastColumn="0"/>
            <w:tcW w:w="1088" w:type="dxa"/>
          </w:tcPr>
          <w:p w14:paraId="11A2A818" w14:textId="77777777" w:rsidR="005D2595" w:rsidRPr="0067507D" w:rsidRDefault="005D2595" w:rsidP="00FC3AF2">
            <w:pPr>
              <w:pStyle w:val="Tabletextrightbold"/>
            </w:pPr>
            <w:r w:rsidRPr="0067507D">
              <w:t xml:space="preserve">63 234 </w:t>
            </w:r>
          </w:p>
        </w:tc>
      </w:tr>
      <w:tr w:rsidR="005D2595" w:rsidRPr="0067507D" w14:paraId="465A1611" w14:textId="77777777" w:rsidTr="00FC3AF2">
        <w:tc>
          <w:tcPr>
            <w:cnfStyle w:val="001000000000" w:firstRow="0" w:lastRow="0" w:firstColumn="1" w:lastColumn="0" w:oddVBand="0" w:evenVBand="0" w:oddHBand="0" w:evenHBand="0" w:firstRowFirstColumn="0" w:firstRowLastColumn="0" w:lastRowFirstColumn="0" w:lastRowLastColumn="0"/>
            <w:tcW w:w="5220" w:type="dxa"/>
          </w:tcPr>
          <w:p w14:paraId="24811742" w14:textId="77777777" w:rsidR="005D2595" w:rsidRPr="0067507D" w:rsidRDefault="005D2595" w:rsidP="00FC3AF2">
            <w:pPr>
              <w:pStyle w:val="Tabletextbold"/>
              <w:rPr>
                <w:sz w:val="2"/>
              </w:rPr>
            </w:pPr>
          </w:p>
        </w:tc>
        <w:tc>
          <w:tcPr>
            <w:cnfStyle w:val="000010000000" w:firstRow="0" w:lastRow="0" w:firstColumn="0" w:lastColumn="0" w:oddVBand="1" w:evenVBand="0" w:oddHBand="0" w:evenHBand="0" w:firstRowFirstColumn="0" w:firstRowLastColumn="0" w:lastRowFirstColumn="0" w:lastRowLastColumn="0"/>
            <w:tcW w:w="1134" w:type="dxa"/>
          </w:tcPr>
          <w:p w14:paraId="0765FBF9" w14:textId="77777777" w:rsidR="005D2595" w:rsidRPr="0067507D" w:rsidRDefault="005D2595" w:rsidP="00FC3AF2">
            <w:pPr>
              <w:pStyle w:val="Tabletextright"/>
              <w:rPr>
                <w:sz w:val="2"/>
              </w:rPr>
            </w:pPr>
          </w:p>
        </w:tc>
        <w:tc>
          <w:tcPr>
            <w:cnfStyle w:val="000001000000" w:firstRow="0" w:lastRow="0" w:firstColumn="0" w:lastColumn="0" w:oddVBand="0" w:evenVBand="1" w:oddHBand="0" w:evenHBand="0" w:firstRowFirstColumn="0" w:firstRowLastColumn="0" w:lastRowFirstColumn="0" w:lastRowLastColumn="0"/>
            <w:tcW w:w="1088" w:type="dxa"/>
          </w:tcPr>
          <w:p w14:paraId="6E802D63" w14:textId="77777777" w:rsidR="005D2595" w:rsidRPr="0067507D" w:rsidRDefault="005D2595" w:rsidP="00FC3AF2">
            <w:pPr>
              <w:pStyle w:val="Tabletextright"/>
              <w:rPr>
                <w:sz w:val="2"/>
              </w:rPr>
            </w:pPr>
          </w:p>
        </w:tc>
      </w:tr>
      <w:tr w:rsidR="005D2595" w:rsidRPr="0067507D" w14:paraId="2F554931"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090D619F" w14:textId="77777777" w:rsidR="005D2595" w:rsidRPr="0067507D" w:rsidRDefault="005D2595" w:rsidP="00FC3AF2">
            <w:pPr>
              <w:pStyle w:val="Tabletextbold"/>
            </w:pPr>
            <w:r w:rsidRPr="0067507D">
              <w:t>Statutory</w:t>
            </w:r>
          </w:p>
        </w:tc>
        <w:tc>
          <w:tcPr>
            <w:cnfStyle w:val="000010000000" w:firstRow="0" w:lastRow="0" w:firstColumn="0" w:lastColumn="0" w:oddVBand="1" w:evenVBand="0" w:oddHBand="0" w:evenHBand="0" w:firstRowFirstColumn="0" w:firstRowLastColumn="0" w:lastRowFirstColumn="0" w:lastRowLastColumn="0"/>
            <w:tcW w:w="1134" w:type="dxa"/>
          </w:tcPr>
          <w:p w14:paraId="6166C343"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088" w:type="dxa"/>
          </w:tcPr>
          <w:p w14:paraId="3E5DCB83" w14:textId="77777777" w:rsidR="005D2595" w:rsidRPr="0067507D" w:rsidRDefault="005D2595" w:rsidP="00FC3AF2">
            <w:pPr>
              <w:pStyle w:val="Tabletextright"/>
            </w:pPr>
          </w:p>
        </w:tc>
      </w:tr>
      <w:tr w:rsidR="005D2595" w:rsidRPr="0067507D" w14:paraId="7DF6BFEF"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75E5A627" w14:textId="77777777" w:rsidR="005D2595" w:rsidRPr="0067507D" w:rsidRDefault="005D2595" w:rsidP="00FC3AF2">
            <w:pPr>
              <w:pStyle w:val="Tabletext"/>
            </w:pPr>
            <w:r w:rsidRPr="0067507D">
              <w:t>Amounts payable to government agencies</w:t>
            </w:r>
          </w:p>
        </w:tc>
        <w:tc>
          <w:tcPr>
            <w:cnfStyle w:val="000010000000" w:firstRow="0" w:lastRow="0" w:firstColumn="0" w:lastColumn="0" w:oddVBand="1" w:evenVBand="0" w:oddHBand="0" w:evenHBand="0" w:firstRowFirstColumn="0" w:firstRowLastColumn="0" w:lastRowFirstColumn="0" w:lastRowLastColumn="0"/>
            <w:tcW w:w="1134" w:type="dxa"/>
          </w:tcPr>
          <w:p w14:paraId="06241FB5" w14:textId="77777777" w:rsidR="005D2595" w:rsidRPr="0067507D" w:rsidRDefault="005D2595" w:rsidP="00FC3AF2">
            <w:pPr>
              <w:pStyle w:val="Tabletextright"/>
            </w:pPr>
            <w:r w:rsidRPr="0067507D">
              <w:t xml:space="preserve">24 330 </w:t>
            </w:r>
          </w:p>
        </w:tc>
        <w:tc>
          <w:tcPr>
            <w:cnfStyle w:val="000001000000" w:firstRow="0" w:lastRow="0" w:firstColumn="0" w:lastColumn="0" w:oddVBand="0" w:evenVBand="1" w:oddHBand="0" w:evenHBand="0" w:firstRowFirstColumn="0" w:firstRowLastColumn="0" w:lastRowFirstColumn="0" w:lastRowLastColumn="0"/>
            <w:tcW w:w="1088" w:type="dxa"/>
          </w:tcPr>
          <w:p w14:paraId="32E107D8" w14:textId="77777777" w:rsidR="005D2595" w:rsidRPr="0067507D" w:rsidRDefault="005D2595" w:rsidP="00FC3AF2">
            <w:pPr>
              <w:pStyle w:val="Tabletextright"/>
            </w:pPr>
            <w:r w:rsidRPr="0067507D">
              <w:t xml:space="preserve">23 607 </w:t>
            </w:r>
          </w:p>
        </w:tc>
      </w:tr>
      <w:tr w:rsidR="005D2595" w:rsidRPr="0067507D" w14:paraId="7CC1F959"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7E2E2530" w14:textId="77777777" w:rsidR="005D2595" w:rsidRPr="0067507D" w:rsidRDefault="005D2595" w:rsidP="00FC3AF2">
            <w:pPr>
              <w:pStyle w:val="Tabletext"/>
            </w:pPr>
            <w:r w:rsidRPr="0067507D">
              <w:t xml:space="preserve">Other taxes payable </w:t>
            </w:r>
          </w:p>
        </w:tc>
        <w:tc>
          <w:tcPr>
            <w:cnfStyle w:val="000010000000" w:firstRow="0" w:lastRow="0" w:firstColumn="0" w:lastColumn="0" w:oddVBand="1" w:evenVBand="0" w:oddHBand="0" w:evenHBand="0" w:firstRowFirstColumn="0" w:firstRowLastColumn="0" w:lastRowFirstColumn="0" w:lastRowLastColumn="0"/>
            <w:tcW w:w="1134" w:type="dxa"/>
          </w:tcPr>
          <w:p w14:paraId="4B559BE5" w14:textId="77777777" w:rsidR="005D2595" w:rsidRPr="0067507D" w:rsidRDefault="005D2595" w:rsidP="00FC3AF2">
            <w:pPr>
              <w:pStyle w:val="Tabletextright"/>
            </w:pPr>
            <w:r w:rsidRPr="0067507D">
              <w:t xml:space="preserve">1 812 </w:t>
            </w:r>
          </w:p>
        </w:tc>
        <w:tc>
          <w:tcPr>
            <w:cnfStyle w:val="000001000000" w:firstRow="0" w:lastRow="0" w:firstColumn="0" w:lastColumn="0" w:oddVBand="0" w:evenVBand="1" w:oddHBand="0" w:evenHBand="0" w:firstRowFirstColumn="0" w:firstRowLastColumn="0" w:lastRowFirstColumn="0" w:lastRowLastColumn="0"/>
            <w:tcW w:w="1088" w:type="dxa"/>
          </w:tcPr>
          <w:p w14:paraId="2E4A8AF7" w14:textId="77777777" w:rsidR="005D2595" w:rsidRPr="0067507D" w:rsidRDefault="005D2595" w:rsidP="00FC3AF2">
            <w:pPr>
              <w:pStyle w:val="Tabletextright"/>
            </w:pPr>
            <w:r w:rsidRPr="0067507D">
              <w:t xml:space="preserve">1 333 </w:t>
            </w:r>
          </w:p>
        </w:tc>
      </w:tr>
      <w:tr w:rsidR="005D2595" w:rsidRPr="0067507D" w14:paraId="3BEA4928"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3887C072" w14:textId="77777777" w:rsidR="005D2595" w:rsidRPr="0067507D" w:rsidRDefault="005D2595" w:rsidP="00FC3AF2">
            <w:pPr>
              <w:pStyle w:val="Tabletextbold"/>
            </w:pPr>
            <w:r w:rsidRPr="0067507D">
              <w:t>Total statutory payables</w:t>
            </w:r>
          </w:p>
        </w:tc>
        <w:tc>
          <w:tcPr>
            <w:cnfStyle w:val="000010000000" w:firstRow="0" w:lastRow="0" w:firstColumn="0" w:lastColumn="0" w:oddVBand="1" w:evenVBand="0" w:oddHBand="0" w:evenHBand="0" w:firstRowFirstColumn="0" w:firstRowLastColumn="0" w:lastRowFirstColumn="0" w:lastRowLastColumn="0"/>
            <w:tcW w:w="1134" w:type="dxa"/>
          </w:tcPr>
          <w:p w14:paraId="4AEEABA8" w14:textId="77777777" w:rsidR="005D2595" w:rsidRPr="0067507D" w:rsidRDefault="005D2595" w:rsidP="00FC3AF2">
            <w:pPr>
              <w:pStyle w:val="Tabletextrightbold"/>
            </w:pPr>
            <w:r w:rsidRPr="0067507D">
              <w:t xml:space="preserve">26 142 </w:t>
            </w:r>
          </w:p>
        </w:tc>
        <w:tc>
          <w:tcPr>
            <w:cnfStyle w:val="000001000000" w:firstRow="0" w:lastRow="0" w:firstColumn="0" w:lastColumn="0" w:oddVBand="0" w:evenVBand="1" w:oddHBand="0" w:evenHBand="0" w:firstRowFirstColumn="0" w:firstRowLastColumn="0" w:lastRowFirstColumn="0" w:lastRowLastColumn="0"/>
            <w:tcW w:w="1088" w:type="dxa"/>
          </w:tcPr>
          <w:p w14:paraId="413C287E" w14:textId="77777777" w:rsidR="005D2595" w:rsidRPr="0067507D" w:rsidRDefault="005D2595" w:rsidP="00FC3AF2">
            <w:pPr>
              <w:pStyle w:val="Tabletextrightbold"/>
            </w:pPr>
            <w:r w:rsidRPr="0067507D">
              <w:t xml:space="preserve">24 940 </w:t>
            </w:r>
          </w:p>
        </w:tc>
      </w:tr>
      <w:tr w:rsidR="005D2595" w:rsidRPr="0067507D" w14:paraId="3067EE2E"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26056624" w14:textId="77777777" w:rsidR="005D2595" w:rsidRPr="0067507D" w:rsidRDefault="005D2595" w:rsidP="00FC3AF2">
            <w:pPr>
              <w:pStyle w:val="Tabletextbold"/>
            </w:pPr>
            <w:r w:rsidRPr="0067507D">
              <w:t>Total payables</w:t>
            </w:r>
          </w:p>
        </w:tc>
        <w:tc>
          <w:tcPr>
            <w:cnfStyle w:val="000010000000" w:firstRow="0" w:lastRow="0" w:firstColumn="0" w:lastColumn="0" w:oddVBand="1" w:evenVBand="0" w:oddHBand="0" w:evenHBand="0" w:firstRowFirstColumn="0" w:firstRowLastColumn="0" w:lastRowFirstColumn="0" w:lastRowLastColumn="0"/>
            <w:tcW w:w="1134" w:type="dxa"/>
          </w:tcPr>
          <w:p w14:paraId="382C280E" w14:textId="77777777" w:rsidR="005D2595" w:rsidRPr="0067507D" w:rsidRDefault="005D2595" w:rsidP="00FC3AF2">
            <w:pPr>
              <w:pStyle w:val="Tabletextrightbold"/>
            </w:pPr>
            <w:r w:rsidRPr="0067507D">
              <w:t xml:space="preserve">68 658 </w:t>
            </w:r>
          </w:p>
        </w:tc>
        <w:tc>
          <w:tcPr>
            <w:cnfStyle w:val="000001000000" w:firstRow="0" w:lastRow="0" w:firstColumn="0" w:lastColumn="0" w:oddVBand="0" w:evenVBand="1" w:oddHBand="0" w:evenHBand="0" w:firstRowFirstColumn="0" w:firstRowLastColumn="0" w:lastRowFirstColumn="0" w:lastRowLastColumn="0"/>
            <w:tcW w:w="1088" w:type="dxa"/>
          </w:tcPr>
          <w:p w14:paraId="110964AD" w14:textId="77777777" w:rsidR="005D2595" w:rsidRPr="0067507D" w:rsidRDefault="005D2595" w:rsidP="00FC3AF2">
            <w:pPr>
              <w:pStyle w:val="Tabletextrightbold"/>
            </w:pPr>
            <w:r w:rsidRPr="0067507D">
              <w:t xml:space="preserve">88 174 </w:t>
            </w:r>
          </w:p>
        </w:tc>
      </w:tr>
      <w:tr w:rsidR="005D2595" w:rsidRPr="0067507D" w14:paraId="54DB2F33"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1E29306E" w14:textId="77777777" w:rsidR="005D2595" w:rsidRPr="0067507D" w:rsidRDefault="005D2595" w:rsidP="00FC3AF2">
            <w:pPr>
              <w:pStyle w:val="Tabletext"/>
            </w:pPr>
            <w:r w:rsidRPr="0067507D">
              <w:t>Represented by</w:t>
            </w:r>
          </w:p>
        </w:tc>
        <w:tc>
          <w:tcPr>
            <w:cnfStyle w:val="000010000000" w:firstRow="0" w:lastRow="0" w:firstColumn="0" w:lastColumn="0" w:oddVBand="1" w:evenVBand="0" w:oddHBand="0" w:evenHBand="0" w:firstRowFirstColumn="0" w:firstRowLastColumn="0" w:lastRowFirstColumn="0" w:lastRowLastColumn="0"/>
            <w:tcW w:w="1134" w:type="dxa"/>
          </w:tcPr>
          <w:p w14:paraId="2D33BE02"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088" w:type="dxa"/>
          </w:tcPr>
          <w:p w14:paraId="350D2898" w14:textId="77777777" w:rsidR="005D2595" w:rsidRPr="0067507D" w:rsidRDefault="005D2595" w:rsidP="00FC3AF2">
            <w:pPr>
              <w:pStyle w:val="Tabletextright"/>
            </w:pPr>
          </w:p>
        </w:tc>
      </w:tr>
      <w:tr w:rsidR="005D2595" w:rsidRPr="0067507D" w14:paraId="45ADB913"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77AEAB83" w14:textId="77777777" w:rsidR="005D2595" w:rsidRPr="0067507D" w:rsidRDefault="005D2595" w:rsidP="00FC3AF2">
            <w:pPr>
              <w:pStyle w:val="Tabletext"/>
            </w:pPr>
            <w:r w:rsidRPr="0067507D">
              <w:t xml:space="preserve">Current payables </w:t>
            </w:r>
          </w:p>
        </w:tc>
        <w:tc>
          <w:tcPr>
            <w:cnfStyle w:val="000010000000" w:firstRow="0" w:lastRow="0" w:firstColumn="0" w:lastColumn="0" w:oddVBand="1" w:evenVBand="0" w:oddHBand="0" w:evenHBand="0" w:firstRowFirstColumn="0" w:firstRowLastColumn="0" w:lastRowFirstColumn="0" w:lastRowLastColumn="0"/>
            <w:tcW w:w="1134" w:type="dxa"/>
          </w:tcPr>
          <w:p w14:paraId="02F6C7B1" w14:textId="77777777" w:rsidR="005D2595" w:rsidRPr="0067507D" w:rsidRDefault="005D2595" w:rsidP="00FC3AF2">
            <w:pPr>
              <w:pStyle w:val="Tabletextright"/>
            </w:pPr>
            <w:r w:rsidRPr="0067507D">
              <w:t xml:space="preserve">67 251 </w:t>
            </w:r>
          </w:p>
        </w:tc>
        <w:tc>
          <w:tcPr>
            <w:cnfStyle w:val="000001000000" w:firstRow="0" w:lastRow="0" w:firstColumn="0" w:lastColumn="0" w:oddVBand="0" w:evenVBand="1" w:oddHBand="0" w:evenHBand="0" w:firstRowFirstColumn="0" w:firstRowLastColumn="0" w:lastRowFirstColumn="0" w:lastRowLastColumn="0"/>
            <w:tcW w:w="1088" w:type="dxa"/>
          </w:tcPr>
          <w:p w14:paraId="50577198" w14:textId="77777777" w:rsidR="005D2595" w:rsidRPr="0067507D" w:rsidRDefault="005D2595" w:rsidP="00FC3AF2">
            <w:pPr>
              <w:pStyle w:val="Tabletextright"/>
            </w:pPr>
            <w:r w:rsidRPr="0067507D">
              <w:t xml:space="preserve">87 218 </w:t>
            </w:r>
          </w:p>
        </w:tc>
      </w:tr>
      <w:tr w:rsidR="005D2595" w:rsidRPr="0067507D" w14:paraId="58674B6F"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34A1EB1D" w14:textId="397EC577" w:rsidR="005D2595" w:rsidRPr="0067507D" w:rsidRDefault="005D2595" w:rsidP="00FC3AF2">
            <w:pPr>
              <w:pStyle w:val="Tabletext"/>
            </w:pPr>
            <w:r w:rsidRPr="0067507D">
              <w:t>Non</w:t>
            </w:r>
            <w:r w:rsidR="006A5485">
              <w:noBreakHyphen/>
            </w:r>
            <w:r w:rsidRPr="0067507D">
              <w:t xml:space="preserve">current payables </w:t>
            </w:r>
          </w:p>
        </w:tc>
        <w:tc>
          <w:tcPr>
            <w:cnfStyle w:val="000010000000" w:firstRow="0" w:lastRow="0" w:firstColumn="0" w:lastColumn="0" w:oddVBand="1" w:evenVBand="0" w:oddHBand="0" w:evenHBand="0" w:firstRowFirstColumn="0" w:firstRowLastColumn="0" w:lastRowFirstColumn="0" w:lastRowLastColumn="0"/>
            <w:tcW w:w="1134" w:type="dxa"/>
          </w:tcPr>
          <w:p w14:paraId="42C58FE0" w14:textId="77777777" w:rsidR="005D2595" w:rsidRPr="0067507D" w:rsidRDefault="005D2595" w:rsidP="00FC3AF2">
            <w:pPr>
              <w:pStyle w:val="Tabletextright"/>
            </w:pPr>
            <w:r w:rsidRPr="0067507D">
              <w:t xml:space="preserve">1 407 </w:t>
            </w:r>
          </w:p>
        </w:tc>
        <w:tc>
          <w:tcPr>
            <w:cnfStyle w:val="000001000000" w:firstRow="0" w:lastRow="0" w:firstColumn="0" w:lastColumn="0" w:oddVBand="0" w:evenVBand="1" w:oddHBand="0" w:evenHBand="0" w:firstRowFirstColumn="0" w:firstRowLastColumn="0" w:lastRowFirstColumn="0" w:lastRowLastColumn="0"/>
            <w:tcW w:w="1088" w:type="dxa"/>
          </w:tcPr>
          <w:p w14:paraId="302D6422" w14:textId="77777777" w:rsidR="005D2595" w:rsidRPr="0067507D" w:rsidRDefault="005D2595" w:rsidP="00FC3AF2">
            <w:pPr>
              <w:pStyle w:val="Tabletextright"/>
            </w:pPr>
            <w:r w:rsidRPr="0067507D">
              <w:t xml:space="preserve"> 956 </w:t>
            </w:r>
          </w:p>
        </w:tc>
      </w:tr>
    </w:tbl>
    <w:p w14:paraId="0DC5CE6C" w14:textId="77777777" w:rsidR="005D2595" w:rsidRPr="0067507D" w:rsidRDefault="005D2595" w:rsidP="005D2595">
      <w:pPr>
        <w:pStyle w:val="Notes"/>
      </w:pPr>
    </w:p>
    <w:p w14:paraId="788CCAB1" w14:textId="77777777" w:rsidR="005D2595" w:rsidRPr="0067507D" w:rsidRDefault="005D2595" w:rsidP="005D2595">
      <w:pPr>
        <w:sectPr w:rsidR="005D2595" w:rsidRPr="0067507D" w:rsidSect="005D2595">
          <w:pgSz w:w="11909" w:h="16834" w:code="9"/>
          <w:pgMar w:top="1728" w:right="1152" w:bottom="1152" w:left="1152" w:header="720" w:footer="288" w:gutter="0"/>
          <w:cols w:space="569"/>
          <w:noEndnote/>
        </w:sectPr>
      </w:pPr>
    </w:p>
    <w:p w14:paraId="4C48D0C0" w14:textId="77777777" w:rsidR="005D2595" w:rsidRPr="0067507D" w:rsidRDefault="005D2595" w:rsidP="005D2595">
      <w:r w:rsidRPr="0067507D">
        <w:rPr>
          <w:rFonts w:asciiTheme="majorHAnsi" w:hAnsiTheme="majorHAnsi"/>
          <w:iCs/>
        </w:rPr>
        <w:t>Contractual payables</w:t>
      </w:r>
      <w:r w:rsidRPr="0067507D">
        <w:t xml:space="preserve"> arise from an agreement between the Department and another party. They represent liabilities for goods and services provided to the Department prior to the end of the financial year that are unpaid. They are classified as financial instruments and measured at amortised cost.</w:t>
      </w:r>
    </w:p>
    <w:p w14:paraId="207D37AF" w14:textId="67F2AEAD" w:rsidR="005D2595" w:rsidRPr="0067507D" w:rsidRDefault="005D2595" w:rsidP="005D2595">
      <w:r w:rsidRPr="0067507D">
        <w:t>The average credit period for trade creditors under the government's fair payments policy of settling financial obligations is 10 business days for invoices with a contract value of less than $3 million and 30</w:t>
      </w:r>
      <w:r w:rsidRPr="0067507D">
        <w:rPr>
          <w:rFonts w:ascii="Calibri" w:hAnsi="Calibri" w:cs="Calibri"/>
        </w:rPr>
        <w:t> </w:t>
      </w:r>
      <w:r w:rsidRPr="0067507D">
        <w:t>business days for invoices with a contract value over $3 million. The 10 business days commences from the date of receipt of a correct and complete invoice. The payment terms do not apply to an invoice which is incorrect, incomplete or under dispute. An invoice must also be received by the Department with correct address and recipient details for the payment terms to apply. In the event of a dispute, the Department makes payments within 10 to 30 business days from the date of resolution based on the value of the invoice.</w:t>
      </w:r>
    </w:p>
    <w:p w14:paraId="7ECDF78E" w14:textId="77777777" w:rsidR="005D2595" w:rsidRPr="0067507D" w:rsidRDefault="005D2595" w:rsidP="005D2595">
      <w:r w:rsidRPr="0067507D">
        <w:rPr>
          <w:rFonts w:asciiTheme="majorHAnsi" w:hAnsiTheme="majorHAnsi"/>
          <w:iCs/>
        </w:rPr>
        <w:t>Statutory payables</w:t>
      </w:r>
      <w:r w:rsidRPr="0067507D">
        <w:t xml:space="preserve"> do not arise from contracts and are recognised and measured similarly to contractual payables, but are not classified as financial instruments.</w:t>
      </w:r>
    </w:p>
    <w:bookmarkEnd w:id="130"/>
    <w:p w14:paraId="3E9F11A0"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p w14:paraId="7773F785" w14:textId="77777777" w:rsidR="005D2595" w:rsidRPr="0067507D" w:rsidRDefault="005D2595" w:rsidP="006273F6">
      <w:pPr>
        <w:pStyle w:val="Heading1numbered"/>
        <w:numPr>
          <w:ilvl w:val="0"/>
          <w:numId w:val="11"/>
        </w:numPr>
      </w:pPr>
      <w:bookmarkStart w:id="137" w:name="_Toc210214016"/>
      <w:bookmarkStart w:id="138" w:name="_Toc210213963"/>
      <w:r w:rsidRPr="0067507D">
        <w:lastRenderedPageBreak/>
        <w:t>Financing operations</w:t>
      </w:r>
      <w:bookmarkEnd w:id="137"/>
      <w:bookmarkEnd w:id="138"/>
    </w:p>
    <w:p w14:paraId="36EBA5B3" w14:textId="77777777" w:rsidR="005D2595" w:rsidRPr="0067507D" w:rsidRDefault="005D2595" w:rsidP="005D2595">
      <w:pPr>
        <w:pStyle w:val="Heading2"/>
        <w:sectPr w:rsidR="005D2595" w:rsidRPr="0067507D" w:rsidSect="00E62285">
          <w:headerReference w:type="even" r:id="rId118"/>
          <w:pgSz w:w="11909" w:h="16834" w:code="9"/>
          <w:pgMar w:top="1728" w:right="1152" w:bottom="1152" w:left="1152" w:header="720" w:footer="288" w:gutter="0"/>
          <w:cols w:space="569"/>
          <w:noEndnote/>
          <w:titlePg/>
          <w:docGrid w:linePitch="231"/>
        </w:sectPr>
      </w:pPr>
    </w:p>
    <w:p w14:paraId="09408B96" w14:textId="77777777" w:rsidR="005D2595" w:rsidRPr="0067507D" w:rsidRDefault="005D2595" w:rsidP="000D5F54">
      <w:pPr>
        <w:pStyle w:val="Heading2numbered"/>
      </w:pPr>
      <w:bookmarkStart w:id="139" w:name="_Toc210214017"/>
      <w:bookmarkStart w:id="140" w:name="_Toc210213964"/>
      <w:r w:rsidRPr="0067507D">
        <w:t>Introduction</w:t>
      </w:r>
      <w:bookmarkEnd w:id="139"/>
      <w:bookmarkEnd w:id="140"/>
    </w:p>
    <w:p w14:paraId="0C37BEE1" w14:textId="77777777" w:rsidR="005D2595" w:rsidRPr="0067507D" w:rsidRDefault="005D2595" w:rsidP="005D2595">
      <w:r w:rsidRPr="0067507D">
        <w:t>This note provides information on the sources of finance utilised by the Department during its operations and other information related to financing activities of the Department.</w:t>
      </w:r>
    </w:p>
    <w:p w14:paraId="51A278DB" w14:textId="77777777" w:rsidR="005D2595" w:rsidRPr="0067507D" w:rsidRDefault="005D2595" w:rsidP="005D2595">
      <w:pPr>
        <w:pStyle w:val="Heading4"/>
        <w:sectPr w:rsidR="005D2595" w:rsidRPr="0067507D" w:rsidSect="005D2595">
          <w:type w:val="continuous"/>
          <w:pgSz w:w="11909" w:h="16834" w:code="9"/>
          <w:pgMar w:top="1728" w:right="1152" w:bottom="1152" w:left="1152" w:header="720" w:footer="288" w:gutter="0"/>
          <w:cols w:num="2" w:space="569"/>
          <w:noEndnote/>
        </w:sectPr>
      </w:pPr>
      <w:r w:rsidRPr="0067507D">
        <w:br w:type="column"/>
      </w:r>
    </w:p>
    <w:p w14:paraId="61034F76" w14:textId="77777777" w:rsidR="005D2595" w:rsidRPr="0067507D" w:rsidRDefault="005D2595" w:rsidP="000D5F54">
      <w:pPr>
        <w:pStyle w:val="Heading2numbered"/>
      </w:pPr>
      <w:bookmarkStart w:id="141" w:name="_Toc210214018"/>
      <w:bookmarkStart w:id="142" w:name="_Toc210213965"/>
      <w:bookmarkStart w:id="143" w:name="Section_07"/>
      <w:r w:rsidRPr="0067507D">
        <w:t>Cash flow information and balances</w:t>
      </w:r>
      <w:bookmarkEnd w:id="141"/>
      <w:bookmarkEnd w:id="142"/>
    </w:p>
    <w:p w14:paraId="570C3CE7" w14:textId="77777777" w:rsidR="005D2595" w:rsidRPr="0067507D" w:rsidRDefault="005D2595" w:rsidP="005D2595">
      <w:r w:rsidRPr="0067507D">
        <w:t>For the purposes of the cash flow statement and balance sheet, cash includes cash in banks net of outstanding bank overdrafts, and cash equivalents held in trust. Most of this cash is held in trusts as shown below.</w:t>
      </w:r>
    </w:p>
    <w:p w14:paraId="0B895E5C" w14:textId="77777777" w:rsidR="005D2595" w:rsidRPr="0067507D" w:rsidRDefault="005D2595" w:rsidP="005D2595">
      <w:pPr>
        <w:pStyle w:val="Heading2numbered"/>
        <w:pageBreakBefore/>
        <w:numPr>
          <w:ilvl w:val="0"/>
          <w:numId w:val="0"/>
        </w:numPr>
        <w:ind w:left="576"/>
        <w:sectPr w:rsidR="005D2595" w:rsidRPr="0067507D" w:rsidSect="005D2595">
          <w:headerReference w:type="even" r:id="rId119"/>
          <w:headerReference w:type="default" r:id="rId120"/>
          <w:type w:val="continuous"/>
          <w:pgSz w:w="11909" w:h="16834" w:code="9"/>
          <w:pgMar w:top="1728" w:right="1152" w:bottom="1152" w:left="1152" w:header="720" w:footer="288" w:gutter="0"/>
          <w:cols w:num="2" w:space="569"/>
          <w:noEndnote/>
        </w:sectPr>
      </w:pPr>
    </w:p>
    <w:tbl>
      <w:tblPr>
        <w:tblStyle w:val="AnnualReporttexttable"/>
        <w:tblW w:w="0" w:type="auto"/>
        <w:tblLayout w:type="fixed"/>
        <w:tblLook w:val="00A0" w:firstRow="1" w:lastRow="0" w:firstColumn="1" w:lastColumn="0" w:noHBand="0" w:noVBand="0"/>
      </w:tblPr>
      <w:tblGrid>
        <w:gridCol w:w="5220"/>
        <w:gridCol w:w="1134"/>
        <w:gridCol w:w="1088"/>
      </w:tblGrid>
      <w:tr w:rsidR="006F34A8" w:rsidRPr="0067507D" w14:paraId="7FF25625" w14:textId="77777777" w:rsidTr="00FC3AF2">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220" w:type="dxa"/>
          </w:tcPr>
          <w:p w14:paraId="2FF5AD3D" w14:textId="77777777" w:rsidR="006F34A8" w:rsidRPr="0067507D" w:rsidRDefault="006F34A8" w:rsidP="006F34A8">
            <w:pPr>
              <w:pStyle w:val="Tableheader"/>
            </w:pPr>
          </w:p>
        </w:tc>
        <w:tc>
          <w:tcPr>
            <w:cnfStyle w:val="000010000000" w:firstRow="0" w:lastRow="0" w:firstColumn="0" w:lastColumn="0" w:oddVBand="1" w:evenVBand="0" w:oddHBand="0" w:evenHBand="0" w:firstRowFirstColumn="0" w:firstRowLastColumn="0" w:lastRowFirstColumn="0" w:lastRowLastColumn="0"/>
            <w:tcW w:w="1134" w:type="dxa"/>
            <w:shd w:val="clear" w:color="auto" w:fill="auto"/>
          </w:tcPr>
          <w:p w14:paraId="7F03D160" w14:textId="06D53F2B"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88" w:type="dxa"/>
          </w:tcPr>
          <w:p w14:paraId="5084565F" w14:textId="16A8366E"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r>
      <w:tr w:rsidR="005D2595" w:rsidRPr="0067507D" w14:paraId="54C6CC7B"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46010A7C" w14:textId="77777777" w:rsidR="005D2595" w:rsidRPr="0067507D" w:rsidRDefault="005D2595" w:rsidP="00FC3AF2">
            <w:pPr>
              <w:pStyle w:val="Tabletext"/>
            </w:pPr>
            <w:r w:rsidRPr="0067507D">
              <w:t>Cash</w:t>
            </w:r>
          </w:p>
        </w:tc>
        <w:tc>
          <w:tcPr>
            <w:cnfStyle w:val="000010000000" w:firstRow="0" w:lastRow="0" w:firstColumn="0" w:lastColumn="0" w:oddVBand="1" w:evenVBand="0" w:oddHBand="0" w:evenHBand="0" w:firstRowFirstColumn="0" w:firstRowLastColumn="0" w:lastRowFirstColumn="0" w:lastRowLastColumn="0"/>
            <w:tcW w:w="1134" w:type="dxa"/>
          </w:tcPr>
          <w:p w14:paraId="30FC177B" w14:textId="77777777" w:rsidR="005D2595" w:rsidRPr="0067507D" w:rsidRDefault="005D2595" w:rsidP="00FC3AF2">
            <w:pPr>
              <w:pStyle w:val="Tabletextright"/>
            </w:pPr>
            <w:r w:rsidRPr="0067507D">
              <w:t xml:space="preserve">1 326 </w:t>
            </w:r>
          </w:p>
        </w:tc>
        <w:tc>
          <w:tcPr>
            <w:cnfStyle w:val="000001000000" w:firstRow="0" w:lastRow="0" w:firstColumn="0" w:lastColumn="0" w:oddVBand="0" w:evenVBand="1" w:oddHBand="0" w:evenHBand="0" w:firstRowFirstColumn="0" w:firstRowLastColumn="0" w:lastRowFirstColumn="0" w:lastRowLastColumn="0"/>
            <w:tcW w:w="1088" w:type="dxa"/>
          </w:tcPr>
          <w:p w14:paraId="521D9AC1" w14:textId="77777777" w:rsidR="005D2595" w:rsidRPr="0067507D" w:rsidRDefault="005D2595" w:rsidP="00FC3AF2">
            <w:pPr>
              <w:pStyle w:val="Tabletextright"/>
            </w:pPr>
            <w:r w:rsidRPr="0067507D">
              <w:t xml:space="preserve"> 948 </w:t>
            </w:r>
          </w:p>
        </w:tc>
      </w:tr>
      <w:tr w:rsidR="005D2595" w:rsidRPr="0067507D" w14:paraId="3B3A2C02"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699F79E0" w14:textId="77777777" w:rsidR="005D2595" w:rsidRPr="0067507D" w:rsidRDefault="005D2595" w:rsidP="00FC3AF2">
            <w:pPr>
              <w:pStyle w:val="Tabletext"/>
            </w:pPr>
            <w:r w:rsidRPr="0067507D">
              <w:t>Cash held in trust</w:t>
            </w:r>
          </w:p>
        </w:tc>
        <w:tc>
          <w:tcPr>
            <w:cnfStyle w:val="000010000000" w:firstRow="0" w:lastRow="0" w:firstColumn="0" w:lastColumn="0" w:oddVBand="1" w:evenVBand="0" w:oddHBand="0" w:evenHBand="0" w:firstRowFirstColumn="0" w:firstRowLastColumn="0" w:lastRowFirstColumn="0" w:lastRowLastColumn="0"/>
            <w:tcW w:w="1134" w:type="dxa"/>
          </w:tcPr>
          <w:p w14:paraId="2613757F"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088" w:type="dxa"/>
          </w:tcPr>
          <w:p w14:paraId="538F4AEC" w14:textId="77777777" w:rsidR="005D2595" w:rsidRPr="0067507D" w:rsidRDefault="005D2595" w:rsidP="00FC3AF2">
            <w:pPr>
              <w:pStyle w:val="Tabletextright"/>
            </w:pPr>
          </w:p>
        </w:tc>
      </w:tr>
      <w:tr w:rsidR="005D2595" w:rsidRPr="0067507D" w14:paraId="7D7C497B"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41B70E43" w14:textId="3A8A7FD1" w:rsidR="005D2595" w:rsidRPr="0067507D" w:rsidRDefault="005D2595" w:rsidP="00FC3AF2">
            <w:pPr>
              <w:pStyle w:val="Tablebullet"/>
              <w:tabs>
                <w:tab w:val="clear" w:pos="360"/>
                <w:tab w:val="num" w:pos="257"/>
              </w:tabs>
            </w:pPr>
            <w:r w:rsidRPr="0067507D">
              <w:t>Inter</w:t>
            </w:r>
            <w:r w:rsidR="006A5485">
              <w:noBreakHyphen/>
            </w:r>
            <w:r w:rsidRPr="0067507D">
              <w:t>departmental transfer trust</w:t>
            </w:r>
          </w:p>
        </w:tc>
        <w:tc>
          <w:tcPr>
            <w:cnfStyle w:val="000010000000" w:firstRow="0" w:lastRow="0" w:firstColumn="0" w:lastColumn="0" w:oddVBand="1" w:evenVBand="0" w:oddHBand="0" w:evenHBand="0" w:firstRowFirstColumn="0" w:firstRowLastColumn="0" w:lastRowFirstColumn="0" w:lastRowLastColumn="0"/>
            <w:tcW w:w="1134" w:type="dxa"/>
          </w:tcPr>
          <w:p w14:paraId="26AAE966" w14:textId="77777777" w:rsidR="005D2595" w:rsidRPr="0067507D" w:rsidRDefault="005D2595" w:rsidP="00FC3AF2">
            <w:pPr>
              <w:pStyle w:val="Tabletextright"/>
            </w:pPr>
            <w:r w:rsidRPr="0067507D">
              <w:t xml:space="preserve"> 56 </w:t>
            </w:r>
          </w:p>
        </w:tc>
        <w:tc>
          <w:tcPr>
            <w:cnfStyle w:val="000001000000" w:firstRow="0" w:lastRow="0" w:firstColumn="0" w:lastColumn="0" w:oddVBand="0" w:evenVBand="1" w:oddHBand="0" w:evenHBand="0" w:firstRowFirstColumn="0" w:firstRowLastColumn="0" w:lastRowFirstColumn="0" w:lastRowLastColumn="0"/>
            <w:tcW w:w="1088" w:type="dxa"/>
          </w:tcPr>
          <w:p w14:paraId="05C8A55B" w14:textId="77777777" w:rsidR="005D2595" w:rsidRPr="0067507D" w:rsidRDefault="005D2595" w:rsidP="00FC3AF2">
            <w:pPr>
              <w:pStyle w:val="Tabletextright"/>
            </w:pPr>
            <w:r w:rsidRPr="0067507D">
              <w:t xml:space="preserve"> 668 </w:t>
            </w:r>
          </w:p>
        </w:tc>
      </w:tr>
      <w:tr w:rsidR="005D2595" w:rsidRPr="0067507D" w14:paraId="4D88B424"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241BE115" w14:textId="77777777" w:rsidR="005D2595" w:rsidRPr="0067507D" w:rsidRDefault="005D2595" w:rsidP="00FC3AF2">
            <w:pPr>
              <w:pStyle w:val="Tablebullet"/>
              <w:tabs>
                <w:tab w:val="clear" w:pos="360"/>
                <w:tab w:val="num" w:pos="257"/>
              </w:tabs>
            </w:pPr>
            <w:r w:rsidRPr="0067507D">
              <w:t>Treasury trust fund</w:t>
            </w:r>
          </w:p>
        </w:tc>
        <w:tc>
          <w:tcPr>
            <w:cnfStyle w:val="000010000000" w:firstRow="0" w:lastRow="0" w:firstColumn="0" w:lastColumn="0" w:oddVBand="1" w:evenVBand="0" w:oddHBand="0" w:evenHBand="0" w:firstRowFirstColumn="0" w:firstRowLastColumn="0" w:lastRowFirstColumn="0" w:lastRowLastColumn="0"/>
            <w:tcW w:w="1134" w:type="dxa"/>
          </w:tcPr>
          <w:p w14:paraId="5C969D99" w14:textId="77777777" w:rsidR="005D2595" w:rsidRPr="0067507D" w:rsidRDefault="005D2595" w:rsidP="00FC3AF2">
            <w:pPr>
              <w:pStyle w:val="Tabletextright"/>
            </w:pPr>
            <w:r w:rsidRPr="0067507D">
              <w:t xml:space="preserve">9 454 </w:t>
            </w:r>
          </w:p>
        </w:tc>
        <w:tc>
          <w:tcPr>
            <w:cnfStyle w:val="000001000000" w:firstRow="0" w:lastRow="0" w:firstColumn="0" w:lastColumn="0" w:oddVBand="0" w:evenVBand="1" w:oddHBand="0" w:evenHBand="0" w:firstRowFirstColumn="0" w:firstRowLastColumn="0" w:lastRowFirstColumn="0" w:lastRowLastColumn="0"/>
            <w:tcW w:w="1088" w:type="dxa"/>
          </w:tcPr>
          <w:p w14:paraId="1928CE8D" w14:textId="77777777" w:rsidR="005D2595" w:rsidRPr="0067507D" w:rsidRDefault="005D2595" w:rsidP="00FC3AF2">
            <w:pPr>
              <w:pStyle w:val="Tabletextright"/>
            </w:pPr>
            <w:r w:rsidRPr="0067507D">
              <w:t xml:space="preserve">9 579 </w:t>
            </w:r>
          </w:p>
        </w:tc>
      </w:tr>
      <w:tr w:rsidR="005D2595" w:rsidRPr="0067507D" w14:paraId="249FB054"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10739668" w14:textId="77777777" w:rsidR="005D2595" w:rsidRPr="0067507D" w:rsidRDefault="005D2595" w:rsidP="00FC3AF2">
            <w:pPr>
              <w:pStyle w:val="Tablebullet"/>
              <w:tabs>
                <w:tab w:val="clear" w:pos="360"/>
                <w:tab w:val="num" w:pos="257"/>
              </w:tabs>
            </w:pPr>
            <w:r w:rsidRPr="0067507D">
              <w:t>Vehicle lease trust</w:t>
            </w:r>
          </w:p>
        </w:tc>
        <w:tc>
          <w:tcPr>
            <w:cnfStyle w:val="000010000000" w:firstRow="0" w:lastRow="0" w:firstColumn="0" w:lastColumn="0" w:oddVBand="1" w:evenVBand="0" w:oddHBand="0" w:evenHBand="0" w:firstRowFirstColumn="0" w:firstRowLastColumn="0" w:lastRowFirstColumn="0" w:lastRowLastColumn="0"/>
            <w:tcW w:w="1134" w:type="dxa"/>
          </w:tcPr>
          <w:p w14:paraId="3D5DD8A4" w14:textId="77777777" w:rsidR="005D2595" w:rsidRPr="0067507D" w:rsidRDefault="005D2595" w:rsidP="00FC3AF2">
            <w:pPr>
              <w:pStyle w:val="Tabletextright"/>
            </w:pPr>
            <w:r w:rsidRPr="0067507D">
              <w:t xml:space="preserve"> 406 </w:t>
            </w:r>
          </w:p>
        </w:tc>
        <w:tc>
          <w:tcPr>
            <w:cnfStyle w:val="000001000000" w:firstRow="0" w:lastRow="0" w:firstColumn="0" w:lastColumn="0" w:oddVBand="0" w:evenVBand="1" w:oddHBand="0" w:evenHBand="0" w:firstRowFirstColumn="0" w:firstRowLastColumn="0" w:lastRowFirstColumn="0" w:lastRowLastColumn="0"/>
            <w:tcW w:w="1088" w:type="dxa"/>
          </w:tcPr>
          <w:p w14:paraId="544CE2A5" w14:textId="77777777" w:rsidR="005D2595" w:rsidRPr="0067507D" w:rsidRDefault="005D2595" w:rsidP="00FC3AF2">
            <w:pPr>
              <w:pStyle w:val="Tabletextright"/>
            </w:pPr>
            <w:r w:rsidRPr="0067507D">
              <w:t xml:space="preserve"> 108 </w:t>
            </w:r>
          </w:p>
        </w:tc>
      </w:tr>
      <w:tr w:rsidR="005D2595" w:rsidRPr="0067507D" w14:paraId="03F94187"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1D3C5EEF" w14:textId="77777777" w:rsidR="005D2595" w:rsidRPr="0067507D" w:rsidRDefault="005D2595" w:rsidP="00FC3AF2">
            <w:pPr>
              <w:pStyle w:val="Tablebullet"/>
              <w:tabs>
                <w:tab w:val="clear" w:pos="360"/>
                <w:tab w:val="num" w:pos="257"/>
              </w:tabs>
            </w:pPr>
            <w:r w:rsidRPr="0067507D">
              <w:t>Victorian social housing growth fund</w:t>
            </w:r>
          </w:p>
        </w:tc>
        <w:tc>
          <w:tcPr>
            <w:cnfStyle w:val="000010000000" w:firstRow="0" w:lastRow="0" w:firstColumn="0" w:lastColumn="0" w:oddVBand="1" w:evenVBand="0" w:oddHBand="0" w:evenHBand="0" w:firstRowFirstColumn="0" w:firstRowLastColumn="0" w:lastRowFirstColumn="0" w:lastRowLastColumn="0"/>
            <w:tcW w:w="1134" w:type="dxa"/>
          </w:tcPr>
          <w:p w14:paraId="3012B730" w14:textId="77777777" w:rsidR="005D2595" w:rsidRPr="0067507D" w:rsidRDefault="005D2595" w:rsidP="00FC3AF2">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1088" w:type="dxa"/>
          </w:tcPr>
          <w:p w14:paraId="590A8766" w14:textId="77777777" w:rsidR="005D2595" w:rsidRPr="0067507D" w:rsidRDefault="005D2595" w:rsidP="00FC3AF2">
            <w:pPr>
              <w:pStyle w:val="Tabletextright"/>
            </w:pPr>
            <w:r w:rsidRPr="0067507D">
              <w:t xml:space="preserve"> 246 </w:t>
            </w:r>
          </w:p>
        </w:tc>
      </w:tr>
      <w:tr w:rsidR="005D2595" w:rsidRPr="0067507D" w14:paraId="0FF6547C"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0C5399FC" w14:textId="77777777" w:rsidR="005D2595" w:rsidRPr="0067507D" w:rsidRDefault="005D2595" w:rsidP="00FC3AF2">
            <w:pPr>
              <w:pStyle w:val="Tabletextbold"/>
            </w:pPr>
            <w:r w:rsidRPr="0067507D">
              <w:t>Balance as per cash flow statement and balance sheet</w:t>
            </w:r>
          </w:p>
        </w:tc>
        <w:tc>
          <w:tcPr>
            <w:cnfStyle w:val="000010000000" w:firstRow="0" w:lastRow="0" w:firstColumn="0" w:lastColumn="0" w:oddVBand="1" w:evenVBand="0" w:oddHBand="0" w:evenHBand="0" w:firstRowFirstColumn="0" w:firstRowLastColumn="0" w:lastRowFirstColumn="0" w:lastRowLastColumn="0"/>
            <w:tcW w:w="1134" w:type="dxa"/>
          </w:tcPr>
          <w:p w14:paraId="7E470606" w14:textId="77777777" w:rsidR="005D2595" w:rsidRPr="0067507D" w:rsidRDefault="005D2595" w:rsidP="00FC3AF2">
            <w:pPr>
              <w:pStyle w:val="Tabletextrightbold"/>
            </w:pPr>
            <w:r w:rsidRPr="0067507D">
              <w:t xml:space="preserve">11 242 </w:t>
            </w:r>
          </w:p>
        </w:tc>
        <w:tc>
          <w:tcPr>
            <w:cnfStyle w:val="000001000000" w:firstRow="0" w:lastRow="0" w:firstColumn="0" w:lastColumn="0" w:oddVBand="0" w:evenVBand="1" w:oddHBand="0" w:evenHBand="0" w:firstRowFirstColumn="0" w:firstRowLastColumn="0" w:lastRowFirstColumn="0" w:lastRowLastColumn="0"/>
            <w:tcW w:w="1088" w:type="dxa"/>
          </w:tcPr>
          <w:p w14:paraId="05BF1E34" w14:textId="77777777" w:rsidR="005D2595" w:rsidRPr="0067507D" w:rsidRDefault="005D2595" w:rsidP="00FC3AF2">
            <w:pPr>
              <w:pStyle w:val="Tabletextrightbold"/>
            </w:pPr>
            <w:r w:rsidRPr="0067507D">
              <w:t xml:space="preserve">11 549 </w:t>
            </w:r>
          </w:p>
        </w:tc>
      </w:tr>
    </w:tbl>
    <w:p w14:paraId="7813D73C" w14:textId="77777777" w:rsidR="005D2595" w:rsidRPr="0067507D" w:rsidRDefault="005D2595" w:rsidP="005D2595">
      <w:pPr>
        <w:pStyle w:val="Notes"/>
      </w:pPr>
    </w:p>
    <w:p w14:paraId="2C350FDC" w14:textId="77777777" w:rsidR="005D2595" w:rsidRPr="0067507D" w:rsidRDefault="005D2595" w:rsidP="005D2595">
      <w:pPr>
        <w:ind w:right="5105"/>
      </w:pPr>
      <w:r w:rsidRPr="0067507D">
        <w:t>Due to the State's investment policy and funding arrangements, government departments generally do not hold a large cash reserve in their bank accounts. Cash received by a department from the generation of income is generally paid into the State's bank account, known as the Public Account. Similarly, cash paid by a department to its suppliers and creditors are made via the Public Account. The Public Account remits to the department the cash as required.</w:t>
      </w:r>
    </w:p>
    <w:p w14:paraId="0AAE3687" w14:textId="77777777" w:rsidR="005D2595" w:rsidRPr="0067507D" w:rsidRDefault="005D2595" w:rsidP="006273F6">
      <w:pPr>
        <w:pStyle w:val="Heading3numbered"/>
        <w:spacing w:before="240"/>
        <w:ind w:left="576" w:hanging="576"/>
      </w:pPr>
      <w:r w:rsidRPr="0067507D">
        <w:t>Reconciliation of net result for the year to cash flows from operating activities</w:t>
      </w:r>
    </w:p>
    <w:tbl>
      <w:tblPr>
        <w:tblStyle w:val="AnnualReporttexttable"/>
        <w:tblW w:w="0" w:type="auto"/>
        <w:tblLayout w:type="fixed"/>
        <w:tblLook w:val="00A0" w:firstRow="1" w:lastRow="0" w:firstColumn="1" w:lastColumn="0" w:noHBand="0" w:noVBand="0"/>
      </w:tblPr>
      <w:tblGrid>
        <w:gridCol w:w="5220"/>
        <w:gridCol w:w="1134"/>
        <w:gridCol w:w="1088"/>
      </w:tblGrid>
      <w:tr w:rsidR="006F34A8" w:rsidRPr="0067507D" w14:paraId="4CC50ECA" w14:textId="77777777" w:rsidTr="00FC3AF2">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5220" w:type="dxa"/>
          </w:tcPr>
          <w:p w14:paraId="586E9715" w14:textId="77777777" w:rsidR="006F34A8" w:rsidRPr="0067507D" w:rsidRDefault="006F34A8" w:rsidP="006F34A8">
            <w:pPr>
              <w:pStyle w:val="Tableheader"/>
            </w:pPr>
          </w:p>
        </w:tc>
        <w:tc>
          <w:tcPr>
            <w:cnfStyle w:val="000010000000" w:firstRow="0" w:lastRow="0" w:firstColumn="0" w:lastColumn="0" w:oddVBand="1" w:evenVBand="0" w:oddHBand="0" w:evenHBand="0" w:firstRowFirstColumn="0" w:firstRowLastColumn="0" w:lastRowFirstColumn="0" w:lastRowLastColumn="0"/>
            <w:tcW w:w="1134" w:type="dxa"/>
            <w:shd w:val="clear" w:color="auto" w:fill="auto"/>
          </w:tcPr>
          <w:p w14:paraId="25A6E9C1" w14:textId="66865812"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2025</w:t>
            </w:r>
            <w:r w:rsidRPr="00943D06">
              <w:rPr>
                <w:rFonts w:asciiTheme="majorHAnsi" w:hAnsiTheme="majorHAnsi"/>
                <w:b w:val="0"/>
                <w:bCs/>
              </w:rPr>
              <w:br/>
              <w:t>$’000</w:t>
            </w:r>
          </w:p>
        </w:tc>
        <w:tc>
          <w:tcPr>
            <w:cnfStyle w:val="000001000000" w:firstRow="0" w:lastRow="0" w:firstColumn="0" w:lastColumn="0" w:oddVBand="0" w:evenVBand="1" w:oddHBand="0" w:evenHBand="0" w:firstRowFirstColumn="0" w:firstRowLastColumn="0" w:lastRowFirstColumn="0" w:lastRowLastColumn="0"/>
            <w:tcW w:w="1088" w:type="dxa"/>
          </w:tcPr>
          <w:p w14:paraId="0F6264E3" w14:textId="15584AC6" w:rsidR="006F34A8" w:rsidRPr="00943D06" w:rsidRDefault="006F34A8" w:rsidP="006F34A8">
            <w:pPr>
              <w:pStyle w:val="Tableheader"/>
              <w:rPr>
                <w:rFonts w:asciiTheme="majorHAnsi" w:hAnsiTheme="majorHAnsi"/>
                <w:b w:val="0"/>
                <w:bCs/>
              </w:rPr>
            </w:pPr>
            <w:r w:rsidRPr="00943D06">
              <w:rPr>
                <w:rFonts w:asciiTheme="majorHAnsi" w:hAnsiTheme="majorHAnsi"/>
                <w:b w:val="0"/>
                <w:bCs/>
              </w:rPr>
              <w:t>2024</w:t>
            </w:r>
            <w:r w:rsidRPr="00943D06">
              <w:rPr>
                <w:rFonts w:asciiTheme="majorHAnsi" w:hAnsiTheme="majorHAnsi"/>
                <w:b w:val="0"/>
                <w:bCs/>
              </w:rPr>
              <w:br/>
              <w:t>$’000</w:t>
            </w:r>
          </w:p>
        </w:tc>
      </w:tr>
      <w:tr w:rsidR="005D2595" w:rsidRPr="0067507D" w14:paraId="6B9DBB4E"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3288ED90" w14:textId="77777777" w:rsidR="005D2595" w:rsidRPr="0067507D" w:rsidRDefault="005D2595" w:rsidP="00FC3AF2">
            <w:pPr>
              <w:pStyle w:val="Tabletextbold"/>
            </w:pPr>
            <w:r w:rsidRPr="0067507D">
              <w:t>Net result for the period</w:t>
            </w:r>
          </w:p>
        </w:tc>
        <w:tc>
          <w:tcPr>
            <w:cnfStyle w:val="000010000000" w:firstRow="0" w:lastRow="0" w:firstColumn="0" w:lastColumn="0" w:oddVBand="1" w:evenVBand="0" w:oddHBand="0" w:evenHBand="0" w:firstRowFirstColumn="0" w:firstRowLastColumn="0" w:lastRowFirstColumn="0" w:lastRowLastColumn="0"/>
            <w:tcW w:w="1134" w:type="dxa"/>
          </w:tcPr>
          <w:p w14:paraId="4A0E88A6" w14:textId="77777777" w:rsidR="005D2595" w:rsidRPr="0067507D" w:rsidRDefault="005D2595" w:rsidP="00FC3AF2">
            <w:pPr>
              <w:pStyle w:val="Tabletextrightbold"/>
            </w:pPr>
            <w:r w:rsidRPr="0067507D">
              <w:t xml:space="preserve">6 656 </w:t>
            </w:r>
          </w:p>
        </w:tc>
        <w:tc>
          <w:tcPr>
            <w:cnfStyle w:val="000001000000" w:firstRow="0" w:lastRow="0" w:firstColumn="0" w:lastColumn="0" w:oddVBand="0" w:evenVBand="1" w:oddHBand="0" w:evenHBand="0" w:firstRowFirstColumn="0" w:firstRowLastColumn="0" w:lastRowFirstColumn="0" w:lastRowLastColumn="0"/>
            <w:tcW w:w="1088" w:type="dxa"/>
          </w:tcPr>
          <w:p w14:paraId="2A9D3241" w14:textId="77777777" w:rsidR="005D2595" w:rsidRPr="0067507D" w:rsidRDefault="005D2595" w:rsidP="00FC3AF2">
            <w:pPr>
              <w:pStyle w:val="Tabletextrightbold"/>
            </w:pPr>
            <w:r w:rsidRPr="0067507D">
              <w:t xml:space="preserve"> 961 </w:t>
            </w:r>
          </w:p>
        </w:tc>
      </w:tr>
      <w:tr w:rsidR="005D2595" w:rsidRPr="0067507D" w14:paraId="1DEFEE25"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1D279B6B" w14:textId="7C4732D8" w:rsidR="005D2595" w:rsidRPr="0067507D" w:rsidRDefault="005D2595" w:rsidP="00FC3AF2">
            <w:pPr>
              <w:pStyle w:val="Tabletextbold"/>
            </w:pPr>
            <w:r w:rsidRPr="0067507D">
              <w:t>Non</w:t>
            </w:r>
            <w:r w:rsidR="006A5485">
              <w:noBreakHyphen/>
            </w:r>
            <w:r w:rsidRPr="0067507D">
              <w:t>cash movements</w:t>
            </w:r>
          </w:p>
        </w:tc>
        <w:tc>
          <w:tcPr>
            <w:cnfStyle w:val="000010000000" w:firstRow="0" w:lastRow="0" w:firstColumn="0" w:lastColumn="0" w:oddVBand="1" w:evenVBand="0" w:oddHBand="0" w:evenHBand="0" w:firstRowFirstColumn="0" w:firstRowLastColumn="0" w:lastRowFirstColumn="0" w:lastRowLastColumn="0"/>
            <w:tcW w:w="1134" w:type="dxa"/>
          </w:tcPr>
          <w:p w14:paraId="138229EC"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088" w:type="dxa"/>
          </w:tcPr>
          <w:p w14:paraId="038EF23E" w14:textId="77777777" w:rsidR="005D2595" w:rsidRPr="0067507D" w:rsidRDefault="005D2595" w:rsidP="00FC3AF2">
            <w:pPr>
              <w:pStyle w:val="Tabletextright"/>
            </w:pPr>
          </w:p>
        </w:tc>
      </w:tr>
      <w:tr w:rsidR="005D2595" w:rsidRPr="0067507D" w14:paraId="370DB2F5"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188FCF12" w14:textId="77777777" w:rsidR="005D2595" w:rsidRPr="0067507D" w:rsidRDefault="005D2595" w:rsidP="00FC3AF2">
            <w:pPr>
              <w:pStyle w:val="Tabletext"/>
            </w:pPr>
            <w:r w:rsidRPr="0067507D">
              <w:t>Depreciation and amortisation</w:t>
            </w:r>
          </w:p>
        </w:tc>
        <w:tc>
          <w:tcPr>
            <w:cnfStyle w:val="000010000000" w:firstRow="0" w:lastRow="0" w:firstColumn="0" w:lastColumn="0" w:oddVBand="1" w:evenVBand="0" w:oddHBand="0" w:evenHBand="0" w:firstRowFirstColumn="0" w:firstRowLastColumn="0" w:lastRowFirstColumn="0" w:lastRowLastColumn="0"/>
            <w:tcW w:w="1134" w:type="dxa"/>
          </w:tcPr>
          <w:p w14:paraId="60079FE8" w14:textId="77777777" w:rsidR="005D2595" w:rsidRPr="0067507D" w:rsidRDefault="005D2595" w:rsidP="00FC3AF2">
            <w:pPr>
              <w:pStyle w:val="Tabletextright"/>
            </w:pPr>
            <w:r w:rsidRPr="0067507D">
              <w:t xml:space="preserve">9 294 </w:t>
            </w:r>
          </w:p>
        </w:tc>
        <w:tc>
          <w:tcPr>
            <w:cnfStyle w:val="000001000000" w:firstRow="0" w:lastRow="0" w:firstColumn="0" w:lastColumn="0" w:oddVBand="0" w:evenVBand="1" w:oddHBand="0" w:evenHBand="0" w:firstRowFirstColumn="0" w:firstRowLastColumn="0" w:lastRowFirstColumn="0" w:lastRowLastColumn="0"/>
            <w:tcW w:w="1088" w:type="dxa"/>
          </w:tcPr>
          <w:p w14:paraId="1F8E743B" w14:textId="77777777" w:rsidR="005D2595" w:rsidRPr="0067507D" w:rsidRDefault="005D2595" w:rsidP="00FC3AF2">
            <w:pPr>
              <w:pStyle w:val="Tabletextright"/>
            </w:pPr>
            <w:r w:rsidRPr="0067507D">
              <w:t xml:space="preserve">7 744 </w:t>
            </w:r>
          </w:p>
        </w:tc>
      </w:tr>
      <w:tr w:rsidR="005D2595" w:rsidRPr="0067507D" w14:paraId="236D4800"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23972B56" w14:textId="259D204E" w:rsidR="005D2595" w:rsidRPr="0067507D" w:rsidRDefault="005D2595" w:rsidP="00FC3AF2">
            <w:pPr>
              <w:pStyle w:val="Tabletext"/>
            </w:pPr>
            <w:r w:rsidRPr="0067507D">
              <w:t>Net (gain)/loss on non</w:t>
            </w:r>
            <w:r w:rsidR="006A5485">
              <w:noBreakHyphen/>
            </w:r>
            <w:r w:rsidRPr="0067507D">
              <w:t>financial assets</w:t>
            </w:r>
          </w:p>
        </w:tc>
        <w:tc>
          <w:tcPr>
            <w:cnfStyle w:val="000010000000" w:firstRow="0" w:lastRow="0" w:firstColumn="0" w:lastColumn="0" w:oddVBand="1" w:evenVBand="0" w:oddHBand="0" w:evenHBand="0" w:firstRowFirstColumn="0" w:firstRowLastColumn="0" w:lastRowFirstColumn="0" w:lastRowLastColumn="0"/>
            <w:tcW w:w="1134" w:type="dxa"/>
          </w:tcPr>
          <w:p w14:paraId="79663CE8" w14:textId="77777777" w:rsidR="005D2595" w:rsidRPr="0067507D" w:rsidRDefault="005D2595" w:rsidP="00FC3AF2">
            <w:pPr>
              <w:pStyle w:val="Tabletextright"/>
            </w:pPr>
            <w:r w:rsidRPr="0067507D">
              <w:t xml:space="preserve">(135) </w:t>
            </w:r>
          </w:p>
        </w:tc>
        <w:tc>
          <w:tcPr>
            <w:cnfStyle w:val="000001000000" w:firstRow="0" w:lastRow="0" w:firstColumn="0" w:lastColumn="0" w:oddVBand="0" w:evenVBand="1" w:oddHBand="0" w:evenHBand="0" w:firstRowFirstColumn="0" w:firstRowLastColumn="0" w:lastRowFirstColumn="0" w:lastRowLastColumn="0"/>
            <w:tcW w:w="1088" w:type="dxa"/>
          </w:tcPr>
          <w:p w14:paraId="623B9919" w14:textId="77777777" w:rsidR="005D2595" w:rsidRPr="0067507D" w:rsidRDefault="005D2595" w:rsidP="00FC3AF2">
            <w:pPr>
              <w:pStyle w:val="Tabletextright"/>
            </w:pPr>
            <w:r w:rsidRPr="0067507D">
              <w:t xml:space="preserve">(227) </w:t>
            </w:r>
          </w:p>
        </w:tc>
      </w:tr>
      <w:tr w:rsidR="005D2595" w:rsidRPr="0067507D" w14:paraId="501584C8" w14:textId="77777777" w:rsidTr="00FC3AF2">
        <w:tc>
          <w:tcPr>
            <w:cnfStyle w:val="001000000000" w:firstRow="0" w:lastRow="0" w:firstColumn="1" w:lastColumn="0" w:oddVBand="0" w:evenVBand="0" w:oddHBand="0" w:evenHBand="0" w:firstRowFirstColumn="0" w:firstRowLastColumn="0" w:lastRowFirstColumn="0" w:lastRowLastColumn="0"/>
            <w:tcW w:w="5220" w:type="dxa"/>
          </w:tcPr>
          <w:p w14:paraId="326FDB67" w14:textId="77777777" w:rsidR="005D2595" w:rsidRPr="0067507D" w:rsidRDefault="005D2595" w:rsidP="00FC3AF2">
            <w:pPr>
              <w:pStyle w:val="Tabletext"/>
              <w:rPr>
                <w:sz w:val="2"/>
              </w:rPr>
            </w:pPr>
          </w:p>
        </w:tc>
        <w:tc>
          <w:tcPr>
            <w:cnfStyle w:val="000010000000" w:firstRow="0" w:lastRow="0" w:firstColumn="0" w:lastColumn="0" w:oddVBand="1" w:evenVBand="0" w:oddHBand="0" w:evenHBand="0" w:firstRowFirstColumn="0" w:firstRowLastColumn="0" w:lastRowFirstColumn="0" w:lastRowLastColumn="0"/>
            <w:tcW w:w="1134" w:type="dxa"/>
          </w:tcPr>
          <w:p w14:paraId="0840C920" w14:textId="77777777" w:rsidR="005D2595" w:rsidRPr="0067507D" w:rsidRDefault="005D2595" w:rsidP="00FC3AF2">
            <w:pPr>
              <w:pStyle w:val="Tabletextright"/>
              <w:rPr>
                <w:sz w:val="2"/>
              </w:rPr>
            </w:pPr>
          </w:p>
        </w:tc>
        <w:tc>
          <w:tcPr>
            <w:cnfStyle w:val="000001000000" w:firstRow="0" w:lastRow="0" w:firstColumn="0" w:lastColumn="0" w:oddVBand="0" w:evenVBand="1" w:oddHBand="0" w:evenHBand="0" w:firstRowFirstColumn="0" w:firstRowLastColumn="0" w:lastRowFirstColumn="0" w:lastRowLastColumn="0"/>
            <w:tcW w:w="1088" w:type="dxa"/>
          </w:tcPr>
          <w:p w14:paraId="387087C6" w14:textId="77777777" w:rsidR="005D2595" w:rsidRPr="0067507D" w:rsidRDefault="005D2595" w:rsidP="00FC3AF2">
            <w:pPr>
              <w:pStyle w:val="Tabletextright"/>
              <w:rPr>
                <w:sz w:val="2"/>
              </w:rPr>
            </w:pPr>
          </w:p>
        </w:tc>
      </w:tr>
      <w:tr w:rsidR="005D2595" w:rsidRPr="0067507D" w14:paraId="7DC8277D"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6493BBEE" w14:textId="77777777" w:rsidR="005D2595" w:rsidRPr="0067507D" w:rsidRDefault="005D2595" w:rsidP="00FC3AF2">
            <w:pPr>
              <w:pStyle w:val="Tabletextbold"/>
            </w:pPr>
            <w:r w:rsidRPr="0067507D">
              <w:t>Movement in operating assets and liabilities, net of effects of machinery of government changes</w:t>
            </w:r>
          </w:p>
        </w:tc>
        <w:tc>
          <w:tcPr>
            <w:cnfStyle w:val="000010000000" w:firstRow="0" w:lastRow="0" w:firstColumn="0" w:lastColumn="0" w:oddVBand="1" w:evenVBand="0" w:oddHBand="0" w:evenHBand="0" w:firstRowFirstColumn="0" w:firstRowLastColumn="0" w:lastRowFirstColumn="0" w:lastRowLastColumn="0"/>
            <w:tcW w:w="1134" w:type="dxa"/>
          </w:tcPr>
          <w:p w14:paraId="129D7A0C"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088" w:type="dxa"/>
          </w:tcPr>
          <w:p w14:paraId="3E5FD701" w14:textId="77777777" w:rsidR="005D2595" w:rsidRPr="0067507D" w:rsidRDefault="005D2595" w:rsidP="00FC3AF2">
            <w:pPr>
              <w:pStyle w:val="Tabletextright"/>
            </w:pPr>
          </w:p>
        </w:tc>
      </w:tr>
      <w:tr w:rsidR="005D2595" w:rsidRPr="0067507D" w14:paraId="4FBB5373"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029FD65B" w14:textId="77777777" w:rsidR="005D2595" w:rsidRPr="0067507D" w:rsidRDefault="005D2595" w:rsidP="00FC3AF2">
            <w:pPr>
              <w:pStyle w:val="Tabletext"/>
            </w:pPr>
            <w:r w:rsidRPr="0067507D">
              <w:t>Decrease/(increase) in receivables</w:t>
            </w:r>
          </w:p>
        </w:tc>
        <w:tc>
          <w:tcPr>
            <w:cnfStyle w:val="000010000000" w:firstRow="0" w:lastRow="0" w:firstColumn="0" w:lastColumn="0" w:oddVBand="1" w:evenVBand="0" w:oddHBand="0" w:evenHBand="0" w:firstRowFirstColumn="0" w:firstRowLastColumn="0" w:lastRowFirstColumn="0" w:lastRowLastColumn="0"/>
            <w:tcW w:w="1134" w:type="dxa"/>
          </w:tcPr>
          <w:p w14:paraId="48EF22EC" w14:textId="77777777" w:rsidR="005D2595" w:rsidRPr="0067507D" w:rsidRDefault="005D2595" w:rsidP="00FC3AF2">
            <w:pPr>
              <w:pStyle w:val="Tabletextright"/>
            </w:pPr>
            <w:r w:rsidRPr="0067507D">
              <w:t xml:space="preserve">6 048 </w:t>
            </w:r>
          </w:p>
        </w:tc>
        <w:tc>
          <w:tcPr>
            <w:cnfStyle w:val="000001000000" w:firstRow="0" w:lastRow="0" w:firstColumn="0" w:lastColumn="0" w:oddVBand="0" w:evenVBand="1" w:oddHBand="0" w:evenHBand="0" w:firstRowFirstColumn="0" w:firstRowLastColumn="0" w:lastRowFirstColumn="0" w:lastRowLastColumn="0"/>
            <w:tcW w:w="1088" w:type="dxa"/>
          </w:tcPr>
          <w:p w14:paraId="191B849E" w14:textId="77777777" w:rsidR="005D2595" w:rsidRPr="0067507D" w:rsidRDefault="005D2595" w:rsidP="00FC3AF2">
            <w:pPr>
              <w:pStyle w:val="Tabletextright"/>
            </w:pPr>
            <w:r w:rsidRPr="0067507D">
              <w:t xml:space="preserve">(6 529) </w:t>
            </w:r>
          </w:p>
        </w:tc>
      </w:tr>
      <w:tr w:rsidR="005D2595" w:rsidRPr="0067507D" w14:paraId="257ABD90"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607D4981" w14:textId="77777777" w:rsidR="005D2595" w:rsidRPr="0067507D" w:rsidRDefault="005D2595" w:rsidP="00FC3AF2">
            <w:pPr>
              <w:pStyle w:val="Tabletext"/>
            </w:pPr>
            <w:r w:rsidRPr="0067507D">
              <w:t>Decrease/(increase) in prepayments</w:t>
            </w:r>
          </w:p>
        </w:tc>
        <w:tc>
          <w:tcPr>
            <w:cnfStyle w:val="000010000000" w:firstRow="0" w:lastRow="0" w:firstColumn="0" w:lastColumn="0" w:oddVBand="1" w:evenVBand="0" w:oddHBand="0" w:evenHBand="0" w:firstRowFirstColumn="0" w:firstRowLastColumn="0" w:lastRowFirstColumn="0" w:lastRowLastColumn="0"/>
            <w:tcW w:w="1134" w:type="dxa"/>
          </w:tcPr>
          <w:p w14:paraId="4179B4D4" w14:textId="77777777" w:rsidR="005D2595" w:rsidRPr="0067507D" w:rsidRDefault="005D2595" w:rsidP="00FC3AF2">
            <w:pPr>
              <w:pStyle w:val="Tabletextright"/>
            </w:pPr>
            <w:r w:rsidRPr="0067507D">
              <w:t xml:space="preserve">(1 306) </w:t>
            </w:r>
          </w:p>
        </w:tc>
        <w:tc>
          <w:tcPr>
            <w:cnfStyle w:val="000001000000" w:firstRow="0" w:lastRow="0" w:firstColumn="0" w:lastColumn="0" w:oddVBand="0" w:evenVBand="1" w:oddHBand="0" w:evenHBand="0" w:firstRowFirstColumn="0" w:firstRowLastColumn="0" w:lastRowFirstColumn="0" w:lastRowLastColumn="0"/>
            <w:tcW w:w="1088" w:type="dxa"/>
          </w:tcPr>
          <w:p w14:paraId="751AF01F" w14:textId="77777777" w:rsidR="005D2595" w:rsidRPr="0067507D" w:rsidRDefault="005D2595" w:rsidP="00FC3AF2">
            <w:pPr>
              <w:pStyle w:val="Tabletextright"/>
            </w:pPr>
            <w:r w:rsidRPr="0067507D">
              <w:t xml:space="preserve">1 677 </w:t>
            </w:r>
          </w:p>
        </w:tc>
      </w:tr>
      <w:tr w:rsidR="005D2595" w:rsidRPr="0067507D" w14:paraId="7578D6E1"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70C71128" w14:textId="77777777" w:rsidR="005D2595" w:rsidRPr="0067507D" w:rsidRDefault="005D2595" w:rsidP="00FC3AF2">
            <w:pPr>
              <w:pStyle w:val="Tabletext"/>
            </w:pPr>
            <w:r w:rsidRPr="0067507D">
              <w:t>Increase/(decrease) in payables</w:t>
            </w:r>
          </w:p>
        </w:tc>
        <w:tc>
          <w:tcPr>
            <w:cnfStyle w:val="000010000000" w:firstRow="0" w:lastRow="0" w:firstColumn="0" w:lastColumn="0" w:oddVBand="1" w:evenVBand="0" w:oddHBand="0" w:evenHBand="0" w:firstRowFirstColumn="0" w:firstRowLastColumn="0" w:lastRowFirstColumn="0" w:lastRowLastColumn="0"/>
            <w:tcW w:w="1134" w:type="dxa"/>
          </w:tcPr>
          <w:p w14:paraId="1FEA0F30" w14:textId="77777777" w:rsidR="005D2595" w:rsidRPr="0067507D" w:rsidRDefault="005D2595" w:rsidP="00FC3AF2">
            <w:pPr>
              <w:pStyle w:val="Tabletextright"/>
            </w:pPr>
            <w:r w:rsidRPr="0067507D">
              <w:t xml:space="preserve">(19 516) </w:t>
            </w:r>
          </w:p>
        </w:tc>
        <w:tc>
          <w:tcPr>
            <w:cnfStyle w:val="000001000000" w:firstRow="0" w:lastRow="0" w:firstColumn="0" w:lastColumn="0" w:oddVBand="0" w:evenVBand="1" w:oddHBand="0" w:evenHBand="0" w:firstRowFirstColumn="0" w:firstRowLastColumn="0" w:lastRowFirstColumn="0" w:lastRowLastColumn="0"/>
            <w:tcW w:w="1088" w:type="dxa"/>
          </w:tcPr>
          <w:p w14:paraId="71556E64" w14:textId="77777777" w:rsidR="005D2595" w:rsidRPr="0067507D" w:rsidRDefault="005D2595" w:rsidP="00FC3AF2">
            <w:pPr>
              <w:pStyle w:val="Tabletextright"/>
            </w:pPr>
            <w:r w:rsidRPr="0067507D">
              <w:t xml:space="preserve">13 710 </w:t>
            </w:r>
          </w:p>
        </w:tc>
      </w:tr>
      <w:tr w:rsidR="005D2595" w:rsidRPr="0067507D" w14:paraId="6DAFA2DD"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37D86CF3" w14:textId="77777777" w:rsidR="005D2595" w:rsidRPr="0067507D" w:rsidRDefault="005D2595" w:rsidP="00FC3AF2">
            <w:pPr>
              <w:pStyle w:val="Tabletext"/>
            </w:pPr>
            <w:r w:rsidRPr="0067507D">
              <w:t>Increase/(decrease) in contract liabilities</w:t>
            </w:r>
          </w:p>
        </w:tc>
        <w:tc>
          <w:tcPr>
            <w:cnfStyle w:val="000010000000" w:firstRow="0" w:lastRow="0" w:firstColumn="0" w:lastColumn="0" w:oddVBand="1" w:evenVBand="0" w:oddHBand="0" w:evenHBand="0" w:firstRowFirstColumn="0" w:firstRowLastColumn="0" w:lastRowFirstColumn="0" w:lastRowLastColumn="0"/>
            <w:tcW w:w="1134" w:type="dxa"/>
          </w:tcPr>
          <w:p w14:paraId="04D87FD2" w14:textId="77777777" w:rsidR="005D2595" w:rsidRPr="0067507D" w:rsidRDefault="005D2595" w:rsidP="00FC3AF2">
            <w:pPr>
              <w:pStyle w:val="Tabletextright"/>
            </w:pPr>
            <w:r w:rsidRPr="0067507D">
              <w:t xml:space="preserve">(817) </w:t>
            </w:r>
          </w:p>
        </w:tc>
        <w:tc>
          <w:tcPr>
            <w:cnfStyle w:val="000001000000" w:firstRow="0" w:lastRow="0" w:firstColumn="0" w:lastColumn="0" w:oddVBand="0" w:evenVBand="1" w:oddHBand="0" w:evenHBand="0" w:firstRowFirstColumn="0" w:firstRowLastColumn="0" w:lastRowFirstColumn="0" w:lastRowLastColumn="0"/>
            <w:tcW w:w="1088" w:type="dxa"/>
          </w:tcPr>
          <w:p w14:paraId="00AC5117" w14:textId="77777777" w:rsidR="005D2595" w:rsidRPr="0067507D" w:rsidRDefault="005D2595" w:rsidP="00FC3AF2">
            <w:pPr>
              <w:pStyle w:val="Tabletextright"/>
            </w:pPr>
            <w:r w:rsidRPr="0067507D">
              <w:t xml:space="preserve">(192) </w:t>
            </w:r>
          </w:p>
        </w:tc>
      </w:tr>
      <w:tr w:rsidR="005D2595" w:rsidRPr="0067507D" w14:paraId="6EAE9DB8"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0607EB61" w14:textId="77777777" w:rsidR="005D2595" w:rsidRPr="0067507D" w:rsidRDefault="005D2595" w:rsidP="00FC3AF2">
            <w:pPr>
              <w:pStyle w:val="Tabletext"/>
            </w:pPr>
            <w:r w:rsidRPr="0067507D">
              <w:t>Increase/(decrease) in provisions</w:t>
            </w:r>
          </w:p>
        </w:tc>
        <w:tc>
          <w:tcPr>
            <w:cnfStyle w:val="000010000000" w:firstRow="0" w:lastRow="0" w:firstColumn="0" w:lastColumn="0" w:oddVBand="1" w:evenVBand="0" w:oddHBand="0" w:evenHBand="0" w:firstRowFirstColumn="0" w:firstRowLastColumn="0" w:lastRowFirstColumn="0" w:lastRowLastColumn="0"/>
            <w:tcW w:w="1134" w:type="dxa"/>
          </w:tcPr>
          <w:p w14:paraId="78DDA740" w14:textId="77777777" w:rsidR="005D2595" w:rsidRPr="0067507D" w:rsidRDefault="005D2595" w:rsidP="00FC3AF2">
            <w:pPr>
              <w:pStyle w:val="Tabletextright"/>
            </w:pPr>
            <w:r w:rsidRPr="0067507D">
              <w:t xml:space="preserve">6 736 </w:t>
            </w:r>
          </w:p>
        </w:tc>
        <w:tc>
          <w:tcPr>
            <w:cnfStyle w:val="000001000000" w:firstRow="0" w:lastRow="0" w:firstColumn="0" w:lastColumn="0" w:oddVBand="0" w:evenVBand="1" w:oddHBand="0" w:evenHBand="0" w:firstRowFirstColumn="0" w:firstRowLastColumn="0" w:lastRowFirstColumn="0" w:lastRowLastColumn="0"/>
            <w:tcW w:w="1088" w:type="dxa"/>
          </w:tcPr>
          <w:p w14:paraId="6A66393C" w14:textId="77777777" w:rsidR="005D2595" w:rsidRPr="0067507D" w:rsidRDefault="005D2595" w:rsidP="00FC3AF2">
            <w:pPr>
              <w:pStyle w:val="Tabletextright"/>
            </w:pPr>
            <w:r w:rsidRPr="0067507D">
              <w:t xml:space="preserve">3 849 </w:t>
            </w:r>
          </w:p>
        </w:tc>
      </w:tr>
      <w:tr w:rsidR="005D2595" w:rsidRPr="0067507D" w14:paraId="291758D6" w14:textId="77777777" w:rsidTr="00FC3AF2">
        <w:trPr>
          <w:trHeight w:val="279"/>
        </w:trPr>
        <w:tc>
          <w:tcPr>
            <w:cnfStyle w:val="001000000000" w:firstRow="0" w:lastRow="0" w:firstColumn="1" w:lastColumn="0" w:oddVBand="0" w:evenVBand="0" w:oddHBand="0" w:evenHBand="0" w:firstRowFirstColumn="0" w:firstRowLastColumn="0" w:lastRowFirstColumn="0" w:lastRowLastColumn="0"/>
            <w:tcW w:w="5220" w:type="dxa"/>
          </w:tcPr>
          <w:p w14:paraId="3BE57D67" w14:textId="77777777" w:rsidR="005D2595" w:rsidRPr="0067507D" w:rsidRDefault="005D2595" w:rsidP="00FC3AF2">
            <w:pPr>
              <w:pStyle w:val="Tabletextbold"/>
            </w:pPr>
            <w:r w:rsidRPr="0067507D">
              <w:t>Net cash flows from/(used in) operating activities</w:t>
            </w:r>
          </w:p>
        </w:tc>
        <w:tc>
          <w:tcPr>
            <w:cnfStyle w:val="000010000000" w:firstRow="0" w:lastRow="0" w:firstColumn="0" w:lastColumn="0" w:oddVBand="1" w:evenVBand="0" w:oddHBand="0" w:evenHBand="0" w:firstRowFirstColumn="0" w:firstRowLastColumn="0" w:lastRowFirstColumn="0" w:lastRowLastColumn="0"/>
            <w:tcW w:w="1134" w:type="dxa"/>
          </w:tcPr>
          <w:p w14:paraId="6E089F13" w14:textId="77777777" w:rsidR="005D2595" w:rsidRPr="0067507D" w:rsidRDefault="005D2595" w:rsidP="00FC3AF2">
            <w:pPr>
              <w:pStyle w:val="Tabletextrightbold"/>
            </w:pPr>
            <w:r w:rsidRPr="0067507D">
              <w:t xml:space="preserve">6 960 </w:t>
            </w:r>
          </w:p>
        </w:tc>
        <w:tc>
          <w:tcPr>
            <w:cnfStyle w:val="000001000000" w:firstRow="0" w:lastRow="0" w:firstColumn="0" w:lastColumn="0" w:oddVBand="0" w:evenVBand="1" w:oddHBand="0" w:evenHBand="0" w:firstRowFirstColumn="0" w:firstRowLastColumn="0" w:lastRowFirstColumn="0" w:lastRowLastColumn="0"/>
            <w:tcW w:w="1088" w:type="dxa"/>
          </w:tcPr>
          <w:p w14:paraId="5BCB80C1" w14:textId="77777777" w:rsidR="005D2595" w:rsidRPr="0067507D" w:rsidRDefault="005D2595" w:rsidP="00FC3AF2">
            <w:pPr>
              <w:pStyle w:val="Tabletextrightbold"/>
            </w:pPr>
            <w:r w:rsidRPr="0067507D">
              <w:t xml:space="preserve">20 993 </w:t>
            </w:r>
          </w:p>
        </w:tc>
      </w:tr>
      <w:bookmarkEnd w:id="143"/>
    </w:tbl>
    <w:p w14:paraId="7FB7D2B8" w14:textId="77777777" w:rsidR="005D2595" w:rsidRPr="0067507D" w:rsidRDefault="005D2595" w:rsidP="005D2595"/>
    <w:p w14:paraId="4A1BD9E6" w14:textId="77777777" w:rsidR="005D2595" w:rsidRPr="0067507D" w:rsidRDefault="005D2595" w:rsidP="005D2595">
      <w:pPr>
        <w:rPr>
          <w:caps/>
        </w:rPr>
        <w:sectPr w:rsidR="005D2595" w:rsidRPr="0067507D" w:rsidSect="005D2595">
          <w:headerReference w:type="even" r:id="rId121"/>
          <w:headerReference w:type="default" r:id="rId122"/>
          <w:type w:val="continuous"/>
          <w:pgSz w:w="11909" w:h="16834" w:code="9"/>
          <w:pgMar w:top="1728" w:right="1152" w:bottom="1152" w:left="1152" w:header="720" w:footer="288" w:gutter="0"/>
          <w:cols w:space="569"/>
          <w:noEndnote/>
        </w:sectPr>
      </w:pPr>
    </w:p>
    <w:p w14:paraId="29832C8A" w14:textId="77777777" w:rsidR="005D2595" w:rsidRPr="0067507D" w:rsidRDefault="005D2595" w:rsidP="00871267">
      <w:pPr>
        <w:pStyle w:val="Heading2numbered"/>
      </w:pPr>
      <w:bookmarkStart w:id="144" w:name="_Toc210214019"/>
      <w:bookmarkStart w:id="145" w:name="_Toc210213966"/>
      <w:bookmarkStart w:id="146" w:name="_Ref492632424"/>
      <w:bookmarkStart w:id="147" w:name="Non_financial_physical_assets_end"/>
      <w:r w:rsidRPr="0067507D">
        <w:lastRenderedPageBreak/>
        <w:t>Trust account balances</w:t>
      </w:r>
      <w:bookmarkEnd w:id="144"/>
      <w:bookmarkEnd w:id="145"/>
    </w:p>
    <w:p w14:paraId="285077C3" w14:textId="77777777" w:rsidR="005D2595" w:rsidRPr="0067507D" w:rsidRDefault="005D2595" w:rsidP="00871267">
      <w:pPr>
        <w:pStyle w:val="Heading3numbered"/>
        <w:numPr>
          <w:ilvl w:val="0"/>
          <w:numId w:val="0"/>
        </w:numPr>
      </w:pPr>
      <w:r w:rsidRPr="0067507D">
        <w:t>Trust account balances relating to trust accounts controlled and/or administered by the Department</w:t>
      </w:r>
    </w:p>
    <w:tbl>
      <w:tblPr>
        <w:tblStyle w:val="AnnualReportfinancialtable"/>
        <w:tblW w:w="4805" w:type="pct"/>
        <w:tblLayout w:type="fixed"/>
        <w:tblLook w:val="02A0" w:firstRow="1" w:lastRow="0" w:firstColumn="1" w:lastColumn="0" w:noHBand="1" w:noVBand="0"/>
      </w:tblPr>
      <w:tblGrid>
        <w:gridCol w:w="2990"/>
        <w:gridCol w:w="1250"/>
        <w:gridCol w:w="1045"/>
        <w:gridCol w:w="1016"/>
        <w:gridCol w:w="1190"/>
        <w:gridCol w:w="1148"/>
        <w:gridCol w:w="1045"/>
        <w:gridCol w:w="1045"/>
        <w:gridCol w:w="1198"/>
        <w:gridCol w:w="1206"/>
      </w:tblGrid>
      <w:tr w:rsidR="005D2595" w:rsidRPr="0067507D" w14:paraId="0A601AD7" w14:textId="77777777" w:rsidTr="008712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8" w:type="pct"/>
          </w:tcPr>
          <w:p w14:paraId="320F2E36" w14:textId="77777777" w:rsidR="005D2595" w:rsidRPr="0067507D" w:rsidRDefault="005D2595" w:rsidP="00FC3AF2">
            <w:pPr>
              <w:pStyle w:val="Tabletext"/>
            </w:pPr>
          </w:p>
        </w:tc>
        <w:tc>
          <w:tcPr>
            <w:cnfStyle w:val="000010000000" w:firstRow="0" w:lastRow="0" w:firstColumn="0" w:lastColumn="0" w:oddVBand="1" w:evenVBand="0" w:oddHBand="0" w:evenHBand="0" w:firstRowFirstColumn="0" w:firstRowLastColumn="0" w:lastRowFirstColumn="0" w:lastRowLastColumn="0"/>
            <w:tcW w:w="1714" w:type="pct"/>
            <w:gridSpan w:val="4"/>
            <w:vAlign w:val="bottom"/>
          </w:tcPr>
          <w:p w14:paraId="0B6C9434" w14:textId="77777777" w:rsidR="005D2595" w:rsidRPr="0067507D" w:rsidRDefault="005D2595" w:rsidP="00FC3AF2">
            <w:pPr>
              <w:pStyle w:val="Tabletextheadingcentred"/>
            </w:pPr>
            <w:r w:rsidRPr="0067507D">
              <w:t>2025</w:t>
            </w:r>
          </w:p>
        </w:tc>
        <w:tc>
          <w:tcPr>
            <w:cnfStyle w:val="000001000000" w:firstRow="0" w:lastRow="0" w:firstColumn="0" w:lastColumn="0" w:oddVBand="0" w:evenVBand="1" w:oddHBand="0" w:evenHBand="0" w:firstRowFirstColumn="0" w:firstRowLastColumn="0" w:lastRowFirstColumn="0" w:lastRowLastColumn="0"/>
            <w:tcW w:w="2148" w:type="pct"/>
            <w:gridSpan w:val="5"/>
            <w:shd w:val="clear" w:color="auto" w:fill="E0E0E0"/>
            <w:vAlign w:val="bottom"/>
          </w:tcPr>
          <w:p w14:paraId="5F7E4669" w14:textId="77777777" w:rsidR="005D2595" w:rsidRPr="0067507D" w:rsidRDefault="005D2595" w:rsidP="00FC3AF2">
            <w:pPr>
              <w:pStyle w:val="Tabletextheadingcentred"/>
            </w:pPr>
            <w:r w:rsidRPr="0067507D">
              <w:t>2024</w:t>
            </w:r>
          </w:p>
        </w:tc>
      </w:tr>
      <w:tr w:rsidR="005D2595" w:rsidRPr="0067507D" w14:paraId="7DDB2B46" w14:textId="77777777" w:rsidTr="00871267">
        <w:tc>
          <w:tcPr>
            <w:cnfStyle w:val="001000000000" w:firstRow="0" w:lastRow="0" w:firstColumn="1" w:lastColumn="0" w:oddVBand="0" w:evenVBand="0" w:oddHBand="0" w:evenHBand="0" w:firstRowFirstColumn="0" w:firstRowLastColumn="0" w:lastRowFirstColumn="0" w:lastRowLastColumn="0"/>
            <w:tcW w:w="1138" w:type="pct"/>
          </w:tcPr>
          <w:p w14:paraId="23F264C7" w14:textId="77777777" w:rsidR="005D2595" w:rsidRPr="0067507D" w:rsidRDefault="005D2595" w:rsidP="00FC3AF2">
            <w:pPr>
              <w:pStyle w:val="Tabletex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76" w:type="pct"/>
            <w:vAlign w:val="bottom"/>
          </w:tcPr>
          <w:p w14:paraId="2510E263" w14:textId="77777777" w:rsidR="005D2595" w:rsidRPr="0067507D" w:rsidRDefault="005D2595" w:rsidP="00FC3AF2">
            <w:pPr>
              <w:pStyle w:val="Tabletextheading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398" w:type="pct"/>
            <w:vAlign w:val="bottom"/>
          </w:tcPr>
          <w:p w14:paraId="13C9BD5E" w14:textId="77777777" w:rsidR="005D2595" w:rsidRPr="0067507D" w:rsidRDefault="005D2595" w:rsidP="00FC3AF2">
            <w:pPr>
              <w:pStyle w:val="Tabletextheading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387" w:type="pct"/>
            <w:vAlign w:val="bottom"/>
          </w:tcPr>
          <w:p w14:paraId="3D728AFA" w14:textId="77777777" w:rsidR="005D2595" w:rsidRPr="0067507D" w:rsidRDefault="005D2595" w:rsidP="00FC3AF2">
            <w:pPr>
              <w:pStyle w:val="Tabletextheading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453" w:type="pct"/>
            <w:vAlign w:val="bottom"/>
          </w:tcPr>
          <w:p w14:paraId="6E4A6BC3" w14:textId="77777777" w:rsidR="005D2595" w:rsidRPr="0067507D" w:rsidRDefault="005D2595" w:rsidP="00FC3AF2">
            <w:pPr>
              <w:pStyle w:val="Tabletextheading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37" w:type="pct"/>
            <w:vAlign w:val="bottom"/>
          </w:tcPr>
          <w:p w14:paraId="38151AF7" w14:textId="77777777" w:rsidR="005D2595" w:rsidRPr="0067507D" w:rsidRDefault="005D2595" w:rsidP="00FC3AF2">
            <w:pPr>
              <w:pStyle w:val="Tabletextheading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398" w:type="pct"/>
            <w:vAlign w:val="bottom"/>
          </w:tcPr>
          <w:p w14:paraId="1CB84AC7" w14:textId="77777777" w:rsidR="005D2595" w:rsidRPr="0067507D" w:rsidRDefault="005D2595" w:rsidP="00FC3AF2">
            <w:pPr>
              <w:pStyle w:val="Tabletextheading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398" w:type="pct"/>
            <w:vAlign w:val="bottom"/>
          </w:tcPr>
          <w:p w14:paraId="65196DFC" w14:textId="77777777" w:rsidR="005D2595" w:rsidRPr="0067507D" w:rsidRDefault="005D2595" w:rsidP="00FC3AF2">
            <w:pPr>
              <w:pStyle w:val="Tabletextheading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456" w:type="pct"/>
            <w:vAlign w:val="bottom"/>
          </w:tcPr>
          <w:p w14:paraId="1B9D5782" w14:textId="77777777" w:rsidR="005D2595" w:rsidRPr="0067507D" w:rsidRDefault="005D2595" w:rsidP="00FC3AF2">
            <w:pPr>
              <w:pStyle w:val="Tabletextheading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59" w:type="pct"/>
          </w:tcPr>
          <w:p w14:paraId="7E32CC79" w14:textId="77777777" w:rsidR="005D2595" w:rsidRPr="0067507D" w:rsidRDefault="005D2595" w:rsidP="00FC3AF2">
            <w:pPr>
              <w:pStyle w:val="Tabletextheadingright"/>
              <w:spacing w:before="0" w:after="0"/>
              <w:rPr>
                <w:sz w:val="4"/>
              </w:rPr>
            </w:pPr>
          </w:p>
        </w:tc>
      </w:tr>
      <w:tr w:rsidR="005D2595" w:rsidRPr="0067507D" w14:paraId="2C7303D5" w14:textId="77777777" w:rsidTr="00871267">
        <w:tc>
          <w:tcPr>
            <w:cnfStyle w:val="001000000000" w:firstRow="0" w:lastRow="0" w:firstColumn="1" w:lastColumn="0" w:oddVBand="0" w:evenVBand="0" w:oddHBand="0" w:evenHBand="0" w:firstRowFirstColumn="0" w:firstRowLastColumn="0" w:lastRowFirstColumn="0" w:lastRowLastColumn="0"/>
            <w:tcW w:w="1138" w:type="pct"/>
            <w:vAlign w:val="bottom"/>
          </w:tcPr>
          <w:p w14:paraId="5C181D3B" w14:textId="77777777" w:rsidR="005D2595" w:rsidRPr="0067507D" w:rsidRDefault="005D2595" w:rsidP="00FC3AF2">
            <w:pPr>
              <w:pStyle w:val="Tabletext"/>
              <w:rPr>
                <w:rFonts w:asciiTheme="majorHAnsi" w:hAnsiTheme="majorHAnsi"/>
              </w:rPr>
            </w:pPr>
            <w:r w:rsidRPr="0067507D">
              <w:rPr>
                <w:rFonts w:asciiTheme="majorHAnsi" w:hAnsiTheme="majorHAnsi"/>
              </w:rPr>
              <w:t>Cash</w:t>
            </w:r>
          </w:p>
        </w:tc>
        <w:tc>
          <w:tcPr>
            <w:cnfStyle w:val="000010000000" w:firstRow="0" w:lastRow="0" w:firstColumn="0" w:lastColumn="0" w:oddVBand="1" w:evenVBand="0" w:oddHBand="0" w:evenHBand="0" w:firstRowFirstColumn="0" w:firstRowLastColumn="0" w:lastRowFirstColumn="0" w:lastRowLastColumn="0"/>
            <w:tcW w:w="476" w:type="pct"/>
            <w:vAlign w:val="bottom"/>
          </w:tcPr>
          <w:p w14:paraId="24264391" w14:textId="77777777" w:rsidR="005D2595" w:rsidRPr="0067507D" w:rsidRDefault="005D2595" w:rsidP="00FC3AF2">
            <w:pPr>
              <w:pStyle w:val="Tabletextheadingright"/>
              <w:rPr>
                <w:sz w:val="15"/>
                <w:szCs w:val="15"/>
              </w:rPr>
            </w:pPr>
            <w:r w:rsidRPr="0067507D">
              <w:rPr>
                <w:sz w:val="15"/>
              </w:rPr>
              <w:t>Opening balance as at 1</w:t>
            </w:r>
            <w:r w:rsidRPr="0067507D">
              <w:rPr>
                <w:rFonts w:ascii="Calibri" w:hAnsi="Calibri" w:cs="Calibri"/>
                <w:sz w:val="15"/>
              </w:rPr>
              <w:t> </w:t>
            </w:r>
            <w:r w:rsidRPr="0067507D">
              <w:rPr>
                <w:sz w:val="15"/>
              </w:rPr>
              <w:t>July 2024</w:t>
            </w:r>
          </w:p>
        </w:tc>
        <w:tc>
          <w:tcPr>
            <w:cnfStyle w:val="000001000000" w:firstRow="0" w:lastRow="0" w:firstColumn="0" w:lastColumn="0" w:oddVBand="0" w:evenVBand="1" w:oddHBand="0" w:evenHBand="0" w:firstRowFirstColumn="0" w:firstRowLastColumn="0" w:lastRowFirstColumn="0" w:lastRowLastColumn="0"/>
            <w:tcW w:w="398" w:type="pct"/>
            <w:vAlign w:val="bottom"/>
          </w:tcPr>
          <w:p w14:paraId="6AFAD110" w14:textId="77777777" w:rsidR="005D2595" w:rsidRPr="0067507D" w:rsidRDefault="005D2595" w:rsidP="00FC3AF2">
            <w:pPr>
              <w:pStyle w:val="Tabletextheadingright"/>
              <w:rPr>
                <w:sz w:val="15"/>
                <w:szCs w:val="15"/>
              </w:rPr>
            </w:pPr>
            <w:r w:rsidRPr="0067507D">
              <w:rPr>
                <w:sz w:val="15"/>
              </w:rPr>
              <w:t>Total receipts</w:t>
            </w:r>
          </w:p>
        </w:tc>
        <w:tc>
          <w:tcPr>
            <w:cnfStyle w:val="000010000000" w:firstRow="0" w:lastRow="0" w:firstColumn="0" w:lastColumn="0" w:oddVBand="1" w:evenVBand="0" w:oddHBand="0" w:evenHBand="0" w:firstRowFirstColumn="0" w:firstRowLastColumn="0" w:lastRowFirstColumn="0" w:lastRowLastColumn="0"/>
            <w:tcW w:w="387" w:type="pct"/>
            <w:vAlign w:val="bottom"/>
          </w:tcPr>
          <w:p w14:paraId="33334647" w14:textId="77777777" w:rsidR="005D2595" w:rsidRPr="0067507D" w:rsidRDefault="005D2595" w:rsidP="00FC3AF2">
            <w:pPr>
              <w:pStyle w:val="Tabletextheadingright"/>
              <w:rPr>
                <w:sz w:val="15"/>
                <w:szCs w:val="15"/>
              </w:rPr>
            </w:pPr>
            <w:r w:rsidRPr="0067507D">
              <w:rPr>
                <w:sz w:val="15"/>
              </w:rPr>
              <w:t>Total payments</w:t>
            </w:r>
          </w:p>
        </w:tc>
        <w:tc>
          <w:tcPr>
            <w:cnfStyle w:val="000001000000" w:firstRow="0" w:lastRow="0" w:firstColumn="0" w:lastColumn="0" w:oddVBand="0" w:evenVBand="1" w:oddHBand="0" w:evenHBand="0" w:firstRowFirstColumn="0" w:firstRowLastColumn="0" w:lastRowFirstColumn="0" w:lastRowLastColumn="0"/>
            <w:tcW w:w="453" w:type="pct"/>
            <w:vAlign w:val="bottom"/>
          </w:tcPr>
          <w:p w14:paraId="511BE82F" w14:textId="77777777" w:rsidR="005D2595" w:rsidRPr="0067507D" w:rsidRDefault="005D2595" w:rsidP="00FC3AF2">
            <w:pPr>
              <w:pStyle w:val="Tabletextheadingright"/>
              <w:rPr>
                <w:sz w:val="15"/>
                <w:szCs w:val="15"/>
              </w:rPr>
            </w:pPr>
            <w:r w:rsidRPr="0067507D">
              <w:rPr>
                <w:sz w:val="15"/>
              </w:rPr>
              <w:t>Closing balance as at 30 June 2025</w:t>
            </w:r>
          </w:p>
        </w:tc>
        <w:tc>
          <w:tcPr>
            <w:cnfStyle w:val="000010000000" w:firstRow="0" w:lastRow="0" w:firstColumn="0" w:lastColumn="0" w:oddVBand="1" w:evenVBand="0" w:oddHBand="0" w:evenHBand="0" w:firstRowFirstColumn="0" w:firstRowLastColumn="0" w:lastRowFirstColumn="0" w:lastRowLastColumn="0"/>
            <w:tcW w:w="437" w:type="pct"/>
            <w:vAlign w:val="bottom"/>
          </w:tcPr>
          <w:p w14:paraId="36A73D79" w14:textId="77777777" w:rsidR="005D2595" w:rsidRPr="0067507D" w:rsidRDefault="005D2595" w:rsidP="00FC3AF2">
            <w:pPr>
              <w:pStyle w:val="Tabletextheadingright"/>
              <w:rPr>
                <w:sz w:val="15"/>
                <w:szCs w:val="15"/>
              </w:rPr>
            </w:pPr>
            <w:r w:rsidRPr="0067507D">
              <w:rPr>
                <w:sz w:val="15"/>
              </w:rPr>
              <w:t>Opening balance as at 1</w:t>
            </w:r>
            <w:r w:rsidRPr="0067507D">
              <w:rPr>
                <w:rFonts w:ascii="Calibri" w:hAnsi="Calibri" w:cs="Calibri"/>
                <w:sz w:val="15"/>
              </w:rPr>
              <w:t> </w:t>
            </w:r>
            <w:r w:rsidRPr="0067507D">
              <w:rPr>
                <w:sz w:val="15"/>
              </w:rPr>
              <w:t>July 2023</w:t>
            </w:r>
          </w:p>
        </w:tc>
        <w:tc>
          <w:tcPr>
            <w:cnfStyle w:val="000001000000" w:firstRow="0" w:lastRow="0" w:firstColumn="0" w:lastColumn="0" w:oddVBand="0" w:evenVBand="1" w:oddHBand="0" w:evenHBand="0" w:firstRowFirstColumn="0" w:firstRowLastColumn="0" w:lastRowFirstColumn="0" w:lastRowLastColumn="0"/>
            <w:tcW w:w="398" w:type="pct"/>
            <w:vAlign w:val="bottom"/>
          </w:tcPr>
          <w:p w14:paraId="48EE2219" w14:textId="77777777" w:rsidR="005D2595" w:rsidRPr="0067507D" w:rsidRDefault="005D2595" w:rsidP="00FC3AF2">
            <w:pPr>
              <w:pStyle w:val="Tabletextheadingright"/>
              <w:rPr>
                <w:sz w:val="15"/>
                <w:szCs w:val="15"/>
              </w:rPr>
            </w:pPr>
            <w:r w:rsidRPr="0067507D">
              <w:rPr>
                <w:sz w:val="15"/>
              </w:rPr>
              <w:t>Total receipts</w:t>
            </w:r>
          </w:p>
        </w:tc>
        <w:tc>
          <w:tcPr>
            <w:cnfStyle w:val="000010000000" w:firstRow="0" w:lastRow="0" w:firstColumn="0" w:lastColumn="0" w:oddVBand="1" w:evenVBand="0" w:oddHBand="0" w:evenHBand="0" w:firstRowFirstColumn="0" w:firstRowLastColumn="0" w:lastRowFirstColumn="0" w:lastRowLastColumn="0"/>
            <w:tcW w:w="398" w:type="pct"/>
            <w:vAlign w:val="bottom"/>
          </w:tcPr>
          <w:p w14:paraId="729EFC6F" w14:textId="77777777" w:rsidR="005D2595" w:rsidRPr="0067507D" w:rsidRDefault="005D2595" w:rsidP="00FC3AF2">
            <w:pPr>
              <w:pStyle w:val="Tabletextheadingright"/>
              <w:rPr>
                <w:sz w:val="15"/>
                <w:szCs w:val="15"/>
              </w:rPr>
            </w:pPr>
            <w:r w:rsidRPr="0067507D">
              <w:rPr>
                <w:sz w:val="15"/>
              </w:rPr>
              <w:t>Total payments</w:t>
            </w:r>
          </w:p>
        </w:tc>
        <w:tc>
          <w:tcPr>
            <w:cnfStyle w:val="000001000000" w:firstRow="0" w:lastRow="0" w:firstColumn="0" w:lastColumn="0" w:oddVBand="0" w:evenVBand="1" w:oddHBand="0" w:evenHBand="0" w:firstRowFirstColumn="0" w:firstRowLastColumn="0" w:lastRowFirstColumn="0" w:lastRowLastColumn="0"/>
            <w:tcW w:w="456" w:type="pct"/>
            <w:vAlign w:val="bottom"/>
          </w:tcPr>
          <w:p w14:paraId="584728FB" w14:textId="77777777" w:rsidR="005D2595" w:rsidRPr="0067507D" w:rsidRDefault="005D2595" w:rsidP="00FC3AF2">
            <w:pPr>
              <w:pStyle w:val="Tabletextheadingright"/>
              <w:rPr>
                <w:sz w:val="15"/>
                <w:szCs w:val="15"/>
              </w:rPr>
            </w:pPr>
            <w:r w:rsidRPr="0067507D">
              <w:rPr>
                <w:sz w:val="15"/>
              </w:rPr>
              <w:t>Machinery of government transfer in</w:t>
            </w:r>
          </w:p>
        </w:tc>
        <w:tc>
          <w:tcPr>
            <w:cnfStyle w:val="000010000000" w:firstRow="0" w:lastRow="0" w:firstColumn="0" w:lastColumn="0" w:oddVBand="1" w:evenVBand="0" w:oddHBand="0" w:evenHBand="0" w:firstRowFirstColumn="0" w:firstRowLastColumn="0" w:lastRowFirstColumn="0" w:lastRowLastColumn="0"/>
            <w:tcW w:w="459" w:type="pct"/>
            <w:vAlign w:val="bottom"/>
          </w:tcPr>
          <w:p w14:paraId="3CFC0C5C" w14:textId="77777777" w:rsidR="005D2595" w:rsidRPr="0067507D" w:rsidRDefault="005D2595" w:rsidP="00FC3AF2">
            <w:pPr>
              <w:pStyle w:val="Tabletextheadingright"/>
              <w:rPr>
                <w:sz w:val="15"/>
                <w:szCs w:val="15"/>
              </w:rPr>
            </w:pPr>
            <w:r w:rsidRPr="0067507D">
              <w:rPr>
                <w:sz w:val="15"/>
              </w:rPr>
              <w:t>Closing balance as at 30 June 2024</w:t>
            </w:r>
          </w:p>
        </w:tc>
      </w:tr>
      <w:tr w:rsidR="005D2595" w:rsidRPr="0067507D" w14:paraId="14792164" w14:textId="77777777" w:rsidTr="00871267">
        <w:tc>
          <w:tcPr>
            <w:cnfStyle w:val="001000000000" w:firstRow="0" w:lastRow="0" w:firstColumn="1" w:lastColumn="0" w:oddVBand="0" w:evenVBand="0" w:oddHBand="0" w:evenHBand="0" w:firstRowFirstColumn="0" w:firstRowLastColumn="0" w:lastRowFirstColumn="0" w:lastRowLastColumn="0"/>
            <w:tcW w:w="1138" w:type="pct"/>
          </w:tcPr>
          <w:p w14:paraId="5366D71F" w14:textId="77777777" w:rsidR="005D2595" w:rsidRPr="0067507D" w:rsidRDefault="005D2595" w:rsidP="00FC3AF2">
            <w:pPr>
              <w:pStyle w:val="Tabletext"/>
              <w:spacing w:before="20" w:after="20"/>
              <w:rPr>
                <w:bCs/>
              </w:rPr>
            </w:pPr>
          </w:p>
        </w:tc>
        <w:tc>
          <w:tcPr>
            <w:cnfStyle w:val="000010000000" w:firstRow="0" w:lastRow="0" w:firstColumn="0" w:lastColumn="0" w:oddVBand="1" w:evenVBand="0" w:oddHBand="0" w:evenHBand="0" w:firstRowFirstColumn="0" w:firstRowLastColumn="0" w:lastRowFirstColumn="0" w:lastRowLastColumn="0"/>
            <w:tcW w:w="476" w:type="pct"/>
          </w:tcPr>
          <w:p w14:paraId="2B57AAD0"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01000000" w:firstRow="0" w:lastRow="0" w:firstColumn="0" w:lastColumn="0" w:oddVBand="0" w:evenVBand="1" w:oddHBand="0" w:evenHBand="0" w:firstRowFirstColumn="0" w:firstRowLastColumn="0" w:lastRowFirstColumn="0" w:lastRowLastColumn="0"/>
            <w:tcW w:w="398" w:type="pct"/>
          </w:tcPr>
          <w:p w14:paraId="5D40AC47"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10000000" w:firstRow="0" w:lastRow="0" w:firstColumn="0" w:lastColumn="0" w:oddVBand="1" w:evenVBand="0" w:oddHBand="0" w:evenHBand="0" w:firstRowFirstColumn="0" w:firstRowLastColumn="0" w:lastRowFirstColumn="0" w:lastRowLastColumn="0"/>
            <w:tcW w:w="387" w:type="pct"/>
          </w:tcPr>
          <w:p w14:paraId="151DFAE9"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01000000" w:firstRow="0" w:lastRow="0" w:firstColumn="0" w:lastColumn="0" w:oddVBand="0" w:evenVBand="1" w:oddHBand="0" w:evenHBand="0" w:firstRowFirstColumn="0" w:firstRowLastColumn="0" w:lastRowFirstColumn="0" w:lastRowLastColumn="0"/>
            <w:tcW w:w="453" w:type="pct"/>
          </w:tcPr>
          <w:p w14:paraId="3A2F6B53"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10000000" w:firstRow="0" w:lastRow="0" w:firstColumn="0" w:lastColumn="0" w:oddVBand="1" w:evenVBand="0" w:oddHBand="0" w:evenHBand="0" w:firstRowFirstColumn="0" w:firstRowLastColumn="0" w:lastRowFirstColumn="0" w:lastRowLastColumn="0"/>
            <w:tcW w:w="437" w:type="pct"/>
          </w:tcPr>
          <w:p w14:paraId="48352F36"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01000000" w:firstRow="0" w:lastRow="0" w:firstColumn="0" w:lastColumn="0" w:oddVBand="0" w:evenVBand="1" w:oddHBand="0" w:evenHBand="0" w:firstRowFirstColumn="0" w:firstRowLastColumn="0" w:lastRowFirstColumn="0" w:lastRowLastColumn="0"/>
            <w:tcW w:w="398" w:type="pct"/>
          </w:tcPr>
          <w:p w14:paraId="3B60FF36"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10000000" w:firstRow="0" w:lastRow="0" w:firstColumn="0" w:lastColumn="0" w:oddVBand="1" w:evenVBand="0" w:oddHBand="0" w:evenHBand="0" w:firstRowFirstColumn="0" w:firstRowLastColumn="0" w:lastRowFirstColumn="0" w:lastRowLastColumn="0"/>
            <w:tcW w:w="398" w:type="pct"/>
          </w:tcPr>
          <w:p w14:paraId="132B973B"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01000000" w:firstRow="0" w:lastRow="0" w:firstColumn="0" w:lastColumn="0" w:oddVBand="0" w:evenVBand="1" w:oddHBand="0" w:evenHBand="0" w:firstRowFirstColumn="0" w:firstRowLastColumn="0" w:lastRowFirstColumn="0" w:lastRowLastColumn="0"/>
            <w:tcW w:w="456" w:type="pct"/>
          </w:tcPr>
          <w:p w14:paraId="0A557965"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10000000" w:firstRow="0" w:lastRow="0" w:firstColumn="0" w:lastColumn="0" w:oddVBand="1" w:evenVBand="0" w:oddHBand="0" w:evenHBand="0" w:firstRowFirstColumn="0" w:firstRowLastColumn="0" w:lastRowFirstColumn="0" w:lastRowLastColumn="0"/>
            <w:tcW w:w="459" w:type="pct"/>
          </w:tcPr>
          <w:p w14:paraId="0C1ECBB2" w14:textId="77777777" w:rsidR="005D2595" w:rsidRPr="0067507D" w:rsidRDefault="005D2595" w:rsidP="00FC3AF2">
            <w:pPr>
              <w:pStyle w:val="Tabletextheadingright"/>
              <w:spacing w:before="20" w:after="20"/>
              <w:rPr>
                <w:sz w:val="15"/>
                <w:szCs w:val="15"/>
              </w:rPr>
            </w:pPr>
            <w:r w:rsidRPr="0067507D">
              <w:rPr>
                <w:sz w:val="15"/>
                <w:szCs w:val="15"/>
              </w:rPr>
              <w:t>$’000</w:t>
            </w:r>
          </w:p>
        </w:tc>
      </w:tr>
      <w:tr w:rsidR="005D2595" w:rsidRPr="0067507D" w14:paraId="4158C713" w14:textId="77777777" w:rsidTr="00871267">
        <w:tc>
          <w:tcPr>
            <w:cnfStyle w:val="001000000000" w:firstRow="0" w:lastRow="0" w:firstColumn="1" w:lastColumn="0" w:oddVBand="0" w:evenVBand="0" w:oddHBand="0" w:evenHBand="0" w:firstRowFirstColumn="0" w:firstRowLastColumn="0" w:lastRowFirstColumn="0" w:lastRowLastColumn="0"/>
            <w:tcW w:w="1138" w:type="pct"/>
          </w:tcPr>
          <w:p w14:paraId="0602B5E0" w14:textId="77777777" w:rsidR="005D2595" w:rsidRPr="0067507D" w:rsidRDefault="005D2595" w:rsidP="00FC3AF2">
            <w:pPr>
              <w:pStyle w:val="Tabletex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76" w:type="pct"/>
          </w:tcPr>
          <w:p w14:paraId="3107FCDC" w14:textId="77777777" w:rsidR="005D2595" w:rsidRPr="0067507D" w:rsidRDefault="005D2595" w:rsidP="00FC3AF2">
            <w:pPr>
              <w:pStyle w:val="Tabletext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398" w:type="pct"/>
          </w:tcPr>
          <w:p w14:paraId="1A7C5D64" w14:textId="77777777" w:rsidR="005D2595" w:rsidRPr="0067507D" w:rsidRDefault="005D2595" w:rsidP="00FC3AF2">
            <w:pPr>
              <w:pStyle w:val="Tabletext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387" w:type="pct"/>
          </w:tcPr>
          <w:p w14:paraId="30177429" w14:textId="77777777" w:rsidR="005D2595" w:rsidRPr="0067507D" w:rsidRDefault="005D2595" w:rsidP="00FC3AF2">
            <w:pPr>
              <w:pStyle w:val="Tabletext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453" w:type="pct"/>
          </w:tcPr>
          <w:p w14:paraId="0ED01088" w14:textId="77777777" w:rsidR="005D2595" w:rsidRPr="0067507D" w:rsidRDefault="005D2595" w:rsidP="00FC3AF2">
            <w:pPr>
              <w:pStyle w:val="Tabletext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37" w:type="pct"/>
          </w:tcPr>
          <w:p w14:paraId="5F16D765" w14:textId="77777777" w:rsidR="005D2595" w:rsidRPr="0067507D" w:rsidRDefault="005D2595" w:rsidP="00FC3AF2">
            <w:pPr>
              <w:pStyle w:val="Tabletext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398" w:type="pct"/>
          </w:tcPr>
          <w:p w14:paraId="0A521B0E" w14:textId="77777777" w:rsidR="005D2595" w:rsidRPr="0067507D" w:rsidRDefault="005D2595" w:rsidP="00FC3AF2">
            <w:pPr>
              <w:pStyle w:val="Tabletext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398" w:type="pct"/>
          </w:tcPr>
          <w:p w14:paraId="0AE4A801" w14:textId="77777777" w:rsidR="005D2595" w:rsidRPr="0067507D" w:rsidRDefault="005D2595" w:rsidP="00FC3AF2">
            <w:pPr>
              <w:pStyle w:val="Tabletext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456" w:type="pct"/>
          </w:tcPr>
          <w:p w14:paraId="010DDF85" w14:textId="77777777" w:rsidR="005D2595" w:rsidRPr="0067507D" w:rsidRDefault="005D2595" w:rsidP="00FC3AF2">
            <w:pPr>
              <w:pStyle w:val="Tabletext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59" w:type="pct"/>
          </w:tcPr>
          <w:p w14:paraId="0C44AACA" w14:textId="77777777" w:rsidR="005D2595" w:rsidRPr="0067507D" w:rsidRDefault="005D2595" w:rsidP="00FC3AF2">
            <w:pPr>
              <w:pStyle w:val="Tabletextright"/>
              <w:spacing w:before="0" w:after="0"/>
              <w:rPr>
                <w:sz w:val="4"/>
              </w:rPr>
            </w:pPr>
          </w:p>
        </w:tc>
      </w:tr>
      <w:tr w:rsidR="005D2595" w:rsidRPr="0067507D" w14:paraId="7AEB34D9" w14:textId="77777777" w:rsidTr="00871267">
        <w:tc>
          <w:tcPr>
            <w:cnfStyle w:val="001000000000" w:firstRow="0" w:lastRow="0" w:firstColumn="1" w:lastColumn="0" w:oddVBand="0" w:evenVBand="0" w:oddHBand="0" w:evenHBand="0" w:firstRowFirstColumn="0" w:firstRowLastColumn="0" w:lastRowFirstColumn="0" w:lastRowLastColumn="0"/>
            <w:tcW w:w="1138" w:type="pct"/>
          </w:tcPr>
          <w:p w14:paraId="05D9F205" w14:textId="77777777" w:rsidR="005D2595" w:rsidRPr="0067507D" w:rsidRDefault="005D2595" w:rsidP="00FC3AF2">
            <w:pPr>
              <w:pStyle w:val="Tabletextbold"/>
              <w:spacing w:before="15" w:after="15"/>
            </w:pPr>
            <w:r w:rsidRPr="0067507D">
              <w:t>Controlled trusts</w:t>
            </w:r>
          </w:p>
        </w:tc>
        <w:tc>
          <w:tcPr>
            <w:cnfStyle w:val="000010000000" w:firstRow="0" w:lastRow="0" w:firstColumn="0" w:lastColumn="0" w:oddVBand="1" w:evenVBand="0" w:oddHBand="0" w:evenHBand="0" w:firstRowFirstColumn="0" w:firstRowLastColumn="0" w:lastRowFirstColumn="0" w:lastRowLastColumn="0"/>
            <w:tcW w:w="476" w:type="pct"/>
          </w:tcPr>
          <w:p w14:paraId="152657FA" w14:textId="77777777" w:rsidR="005D2595" w:rsidRPr="0067507D" w:rsidRDefault="005D2595" w:rsidP="00FC3AF2">
            <w:pPr>
              <w:pStyle w:val="Tabletextright"/>
              <w:spacing w:before="15" w:after="15"/>
            </w:pPr>
          </w:p>
        </w:tc>
        <w:tc>
          <w:tcPr>
            <w:cnfStyle w:val="000001000000" w:firstRow="0" w:lastRow="0" w:firstColumn="0" w:lastColumn="0" w:oddVBand="0" w:evenVBand="1" w:oddHBand="0" w:evenHBand="0" w:firstRowFirstColumn="0" w:firstRowLastColumn="0" w:lastRowFirstColumn="0" w:lastRowLastColumn="0"/>
            <w:tcW w:w="398" w:type="pct"/>
          </w:tcPr>
          <w:p w14:paraId="7B09C119" w14:textId="77777777" w:rsidR="005D2595" w:rsidRPr="0067507D" w:rsidRDefault="005D2595" w:rsidP="00FC3AF2">
            <w:pPr>
              <w:pStyle w:val="Tabletextright"/>
              <w:spacing w:before="15" w:after="15"/>
            </w:pPr>
          </w:p>
        </w:tc>
        <w:tc>
          <w:tcPr>
            <w:cnfStyle w:val="000010000000" w:firstRow="0" w:lastRow="0" w:firstColumn="0" w:lastColumn="0" w:oddVBand="1" w:evenVBand="0" w:oddHBand="0" w:evenHBand="0" w:firstRowFirstColumn="0" w:firstRowLastColumn="0" w:lastRowFirstColumn="0" w:lastRowLastColumn="0"/>
            <w:tcW w:w="387" w:type="pct"/>
          </w:tcPr>
          <w:p w14:paraId="4041CD86" w14:textId="77777777" w:rsidR="005D2595" w:rsidRPr="0067507D" w:rsidRDefault="005D2595" w:rsidP="00FC3AF2">
            <w:pPr>
              <w:pStyle w:val="Tabletextright"/>
              <w:spacing w:before="15" w:after="15"/>
            </w:pPr>
          </w:p>
        </w:tc>
        <w:tc>
          <w:tcPr>
            <w:cnfStyle w:val="000001000000" w:firstRow="0" w:lastRow="0" w:firstColumn="0" w:lastColumn="0" w:oddVBand="0" w:evenVBand="1" w:oddHBand="0" w:evenHBand="0" w:firstRowFirstColumn="0" w:firstRowLastColumn="0" w:lastRowFirstColumn="0" w:lastRowLastColumn="0"/>
            <w:tcW w:w="453" w:type="pct"/>
          </w:tcPr>
          <w:p w14:paraId="377667D2" w14:textId="77777777" w:rsidR="005D2595" w:rsidRPr="0067507D" w:rsidRDefault="005D2595" w:rsidP="00FC3AF2">
            <w:pPr>
              <w:pStyle w:val="Tabletextright"/>
              <w:spacing w:before="15" w:after="15"/>
            </w:pPr>
          </w:p>
        </w:tc>
        <w:tc>
          <w:tcPr>
            <w:cnfStyle w:val="000010000000" w:firstRow="0" w:lastRow="0" w:firstColumn="0" w:lastColumn="0" w:oddVBand="1" w:evenVBand="0" w:oddHBand="0" w:evenHBand="0" w:firstRowFirstColumn="0" w:firstRowLastColumn="0" w:lastRowFirstColumn="0" w:lastRowLastColumn="0"/>
            <w:tcW w:w="437" w:type="pct"/>
          </w:tcPr>
          <w:p w14:paraId="5479AA78" w14:textId="77777777" w:rsidR="005D2595" w:rsidRPr="0067507D" w:rsidRDefault="005D2595" w:rsidP="00FC3AF2">
            <w:pPr>
              <w:pStyle w:val="Tabletextright"/>
              <w:spacing w:before="15" w:after="15"/>
            </w:pPr>
          </w:p>
        </w:tc>
        <w:tc>
          <w:tcPr>
            <w:cnfStyle w:val="000001000000" w:firstRow="0" w:lastRow="0" w:firstColumn="0" w:lastColumn="0" w:oddVBand="0" w:evenVBand="1" w:oddHBand="0" w:evenHBand="0" w:firstRowFirstColumn="0" w:firstRowLastColumn="0" w:lastRowFirstColumn="0" w:lastRowLastColumn="0"/>
            <w:tcW w:w="398" w:type="pct"/>
          </w:tcPr>
          <w:p w14:paraId="5A8DACDC" w14:textId="77777777" w:rsidR="005D2595" w:rsidRPr="0067507D" w:rsidRDefault="005D2595" w:rsidP="00FC3AF2">
            <w:pPr>
              <w:pStyle w:val="Tabletextright"/>
              <w:spacing w:before="15" w:after="15"/>
            </w:pPr>
          </w:p>
        </w:tc>
        <w:tc>
          <w:tcPr>
            <w:cnfStyle w:val="000010000000" w:firstRow="0" w:lastRow="0" w:firstColumn="0" w:lastColumn="0" w:oddVBand="1" w:evenVBand="0" w:oddHBand="0" w:evenHBand="0" w:firstRowFirstColumn="0" w:firstRowLastColumn="0" w:lastRowFirstColumn="0" w:lastRowLastColumn="0"/>
            <w:tcW w:w="398" w:type="pct"/>
          </w:tcPr>
          <w:p w14:paraId="082D6A03" w14:textId="77777777" w:rsidR="005D2595" w:rsidRPr="0067507D" w:rsidRDefault="005D2595" w:rsidP="00FC3AF2">
            <w:pPr>
              <w:pStyle w:val="Tabletextright"/>
              <w:spacing w:before="15" w:after="15"/>
            </w:pPr>
          </w:p>
        </w:tc>
        <w:tc>
          <w:tcPr>
            <w:cnfStyle w:val="000001000000" w:firstRow="0" w:lastRow="0" w:firstColumn="0" w:lastColumn="0" w:oddVBand="0" w:evenVBand="1" w:oddHBand="0" w:evenHBand="0" w:firstRowFirstColumn="0" w:firstRowLastColumn="0" w:lastRowFirstColumn="0" w:lastRowLastColumn="0"/>
            <w:tcW w:w="456" w:type="pct"/>
          </w:tcPr>
          <w:p w14:paraId="5148B2C1" w14:textId="77777777" w:rsidR="005D2595" w:rsidRPr="0067507D" w:rsidRDefault="005D2595" w:rsidP="00FC3AF2">
            <w:pPr>
              <w:pStyle w:val="Tabletextright"/>
              <w:spacing w:before="15" w:after="15"/>
            </w:pPr>
          </w:p>
        </w:tc>
        <w:tc>
          <w:tcPr>
            <w:cnfStyle w:val="000010000000" w:firstRow="0" w:lastRow="0" w:firstColumn="0" w:lastColumn="0" w:oddVBand="1" w:evenVBand="0" w:oddHBand="0" w:evenHBand="0" w:firstRowFirstColumn="0" w:firstRowLastColumn="0" w:lastRowFirstColumn="0" w:lastRowLastColumn="0"/>
            <w:tcW w:w="459" w:type="pct"/>
          </w:tcPr>
          <w:p w14:paraId="6CFE82C2" w14:textId="77777777" w:rsidR="005D2595" w:rsidRPr="0067507D" w:rsidRDefault="005D2595" w:rsidP="00FC3AF2">
            <w:pPr>
              <w:pStyle w:val="Tabletextright"/>
              <w:spacing w:before="15" w:after="15"/>
            </w:pPr>
          </w:p>
        </w:tc>
      </w:tr>
      <w:tr w:rsidR="005D2595" w:rsidRPr="0067507D" w14:paraId="1A33AC18" w14:textId="77777777" w:rsidTr="00871267">
        <w:tc>
          <w:tcPr>
            <w:cnfStyle w:val="001000000000" w:firstRow="0" w:lastRow="0" w:firstColumn="1" w:lastColumn="0" w:oddVBand="0" w:evenVBand="0" w:oddHBand="0" w:evenHBand="0" w:firstRowFirstColumn="0" w:firstRowLastColumn="0" w:lastRowFirstColumn="0" w:lastRowLastColumn="0"/>
            <w:tcW w:w="1138" w:type="pct"/>
          </w:tcPr>
          <w:p w14:paraId="2C576A16" w14:textId="7F60FE90" w:rsidR="005D2595" w:rsidRPr="0067507D" w:rsidRDefault="005D2595" w:rsidP="00FC3AF2">
            <w:pPr>
              <w:pStyle w:val="Tabletext"/>
              <w:spacing w:before="15" w:after="15"/>
            </w:pPr>
            <w:r w:rsidRPr="0067507D">
              <w:t>Inter</w:t>
            </w:r>
            <w:r w:rsidR="006A5485">
              <w:noBreakHyphen/>
            </w:r>
            <w:r w:rsidRPr="0067507D">
              <w:t xml:space="preserve">departmental transfer trust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476" w:type="pct"/>
          </w:tcPr>
          <w:p w14:paraId="308D8E35" w14:textId="77777777" w:rsidR="005D2595" w:rsidRPr="0067507D" w:rsidRDefault="005D2595" w:rsidP="00FC3AF2">
            <w:pPr>
              <w:pStyle w:val="Tabletextright"/>
              <w:spacing w:before="15" w:after="15"/>
              <w:rPr>
                <w:szCs w:val="15"/>
              </w:rPr>
            </w:pPr>
            <w:r w:rsidRPr="0067507D">
              <w:t xml:space="preserve"> 668 </w:t>
            </w:r>
          </w:p>
        </w:tc>
        <w:tc>
          <w:tcPr>
            <w:cnfStyle w:val="000001000000" w:firstRow="0" w:lastRow="0" w:firstColumn="0" w:lastColumn="0" w:oddVBand="0" w:evenVBand="1" w:oddHBand="0" w:evenHBand="0" w:firstRowFirstColumn="0" w:firstRowLastColumn="0" w:lastRowFirstColumn="0" w:lastRowLastColumn="0"/>
            <w:tcW w:w="398" w:type="pct"/>
          </w:tcPr>
          <w:p w14:paraId="41955448" w14:textId="77777777" w:rsidR="005D2595" w:rsidRPr="0067507D" w:rsidRDefault="005D2595" w:rsidP="00FC3AF2">
            <w:pPr>
              <w:pStyle w:val="Tabletextright"/>
              <w:spacing w:before="15" w:after="15"/>
              <w:rPr>
                <w:szCs w:val="15"/>
              </w:rPr>
            </w:pPr>
            <w:r w:rsidRPr="0067507D">
              <w:t xml:space="preserve">1 666 </w:t>
            </w:r>
          </w:p>
        </w:tc>
        <w:tc>
          <w:tcPr>
            <w:cnfStyle w:val="000010000000" w:firstRow="0" w:lastRow="0" w:firstColumn="0" w:lastColumn="0" w:oddVBand="1" w:evenVBand="0" w:oddHBand="0" w:evenHBand="0" w:firstRowFirstColumn="0" w:firstRowLastColumn="0" w:lastRowFirstColumn="0" w:lastRowLastColumn="0"/>
            <w:tcW w:w="387" w:type="pct"/>
          </w:tcPr>
          <w:p w14:paraId="18CF1D82" w14:textId="77777777" w:rsidR="005D2595" w:rsidRPr="0067507D" w:rsidRDefault="005D2595" w:rsidP="00FC3AF2">
            <w:pPr>
              <w:pStyle w:val="Tabletextright"/>
              <w:spacing w:before="15" w:after="15"/>
              <w:rPr>
                <w:szCs w:val="15"/>
              </w:rPr>
            </w:pPr>
            <w:r w:rsidRPr="0067507D">
              <w:t xml:space="preserve">(2 278) </w:t>
            </w:r>
          </w:p>
        </w:tc>
        <w:tc>
          <w:tcPr>
            <w:cnfStyle w:val="000001000000" w:firstRow="0" w:lastRow="0" w:firstColumn="0" w:lastColumn="0" w:oddVBand="0" w:evenVBand="1" w:oddHBand="0" w:evenHBand="0" w:firstRowFirstColumn="0" w:firstRowLastColumn="0" w:lastRowFirstColumn="0" w:lastRowLastColumn="0"/>
            <w:tcW w:w="453" w:type="pct"/>
          </w:tcPr>
          <w:p w14:paraId="5CABC56A" w14:textId="77777777" w:rsidR="005D2595" w:rsidRPr="0067507D" w:rsidRDefault="005D2595" w:rsidP="00FC3AF2">
            <w:pPr>
              <w:pStyle w:val="Tabletextright"/>
              <w:spacing w:before="15" w:after="15"/>
              <w:rPr>
                <w:szCs w:val="15"/>
              </w:rPr>
            </w:pPr>
            <w:r w:rsidRPr="0067507D">
              <w:t xml:space="preserve"> 56 </w:t>
            </w:r>
          </w:p>
        </w:tc>
        <w:tc>
          <w:tcPr>
            <w:cnfStyle w:val="000010000000" w:firstRow="0" w:lastRow="0" w:firstColumn="0" w:lastColumn="0" w:oddVBand="1" w:evenVBand="0" w:oddHBand="0" w:evenHBand="0" w:firstRowFirstColumn="0" w:firstRowLastColumn="0" w:lastRowFirstColumn="0" w:lastRowLastColumn="0"/>
            <w:tcW w:w="437" w:type="pct"/>
          </w:tcPr>
          <w:p w14:paraId="44C14E65" w14:textId="77777777" w:rsidR="005D2595" w:rsidRPr="0067507D" w:rsidRDefault="005D2595" w:rsidP="00FC3AF2">
            <w:pPr>
              <w:pStyle w:val="Tabletextright"/>
              <w:spacing w:before="15" w:after="15"/>
              <w:rPr>
                <w:szCs w:val="15"/>
              </w:rPr>
            </w:pPr>
            <w:r w:rsidRPr="0067507D">
              <w:t xml:space="preserve">3 371 </w:t>
            </w:r>
          </w:p>
        </w:tc>
        <w:tc>
          <w:tcPr>
            <w:cnfStyle w:val="000001000000" w:firstRow="0" w:lastRow="0" w:firstColumn="0" w:lastColumn="0" w:oddVBand="0" w:evenVBand="1" w:oddHBand="0" w:evenHBand="0" w:firstRowFirstColumn="0" w:firstRowLastColumn="0" w:lastRowFirstColumn="0" w:lastRowLastColumn="0"/>
            <w:tcW w:w="398" w:type="pct"/>
          </w:tcPr>
          <w:p w14:paraId="46E95F31" w14:textId="77777777" w:rsidR="005D2595" w:rsidRPr="0067507D" w:rsidRDefault="005D2595" w:rsidP="00FC3AF2">
            <w:pPr>
              <w:pStyle w:val="Tabletextright"/>
              <w:spacing w:before="15" w:after="15"/>
              <w:rPr>
                <w:szCs w:val="15"/>
              </w:rPr>
            </w:pPr>
            <w:r w:rsidRPr="0067507D">
              <w:t xml:space="preserve">2 258 </w:t>
            </w:r>
          </w:p>
        </w:tc>
        <w:tc>
          <w:tcPr>
            <w:cnfStyle w:val="000010000000" w:firstRow="0" w:lastRow="0" w:firstColumn="0" w:lastColumn="0" w:oddVBand="1" w:evenVBand="0" w:oddHBand="0" w:evenHBand="0" w:firstRowFirstColumn="0" w:firstRowLastColumn="0" w:lastRowFirstColumn="0" w:lastRowLastColumn="0"/>
            <w:tcW w:w="398" w:type="pct"/>
          </w:tcPr>
          <w:p w14:paraId="01F5C73A" w14:textId="77777777" w:rsidR="005D2595" w:rsidRPr="0067507D" w:rsidRDefault="005D2595" w:rsidP="00FC3AF2">
            <w:pPr>
              <w:pStyle w:val="Tabletextright"/>
              <w:spacing w:before="15" w:after="15"/>
              <w:rPr>
                <w:szCs w:val="15"/>
              </w:rPr>
            </w:pPr>
            <w:r w:rsidRPr="0067507D">
              <w:t xml:space="preserve">(4 961) </w:t>
            </w:r>
          </w:p>
        </w:tc>
        <w:tc>
          <w:tcPr>
            <w:cnfStyle w:val="000001000000" w:firstRow="0" w:lastRow="0" w:firstColumn="0" w:lastColumn="0" w:oddVBand="0" w:evenVBand="1" w:oddHBand="0" w:evenHBand="0" w:firstRowFirstColumn="0" w:firstRowLastColumn="0" w:lastRowFirstColumn="0" w:lastRowLastColumn="0"/>
            <w:tcW w:w="456" w:type="pct"/>
          </w:tcPr>
          <w:p w14:paraId="4CE8A92D" w14:textId="77777777" w:rsidR="005D2595" w:rsidRPr="0067507D" w:rsidRDefault="005D2595" w:rsidP="00FC3AF2">
            <w:pPr>
              <w:pStyle w:val="Tabletextright"/>
              <w:spacing w:before="15" w:after="15"/>
              <w:rPr>
                <w:szCs w:val="15"/>
              </w:rPr>
            </w:pPr>
            <w:r w:rsidRPr="0067507D">
              <w:t xml:space="preserve">– </w:t>
            </w:r>
          </w:p>
        </w:tc>
        <w:tc>
          <w:tcPr>
            <w:cnfStyle w:val="000010000000" w:firstRow="0" w:lastRow="0" w:firstColumn="0" w:lastColumn="0" w:oddVBand="1" w:evenVBand="0" w:oddHBand="0" w:evenHBand="0" w:firstRowFirstColumn="0" w:firstRowLastColumn="0" w:lastRowFirstColumn="0" w:lastRowLastColumn="0"/>
            <w:tcW w:w="459" w:type="pct"/>
          </w:tcPr>
          <w:p w14:paraId="14AF0A87" w14:textId="77777777" w:rsidR="005D2595" w:rsidRPr="0067507D" w:rsidRDefault="005D2595" w:rsidP="00FC3AF2">
            <w:pPr>
              <w:pStyle w:val="Tabletextright"/>
              <w:spacing w:before="15" w:after="15"/>
            </w:pPr>
            <w:r w:rsidRPr="0067507D">
              <w:t xml:space="preserve"> 668 </w:t>
            </w:r>
          </w:p>
        </w:tc>
      </w:tr>
      <w:tr w:rsidR="005D2595" w:rsidRPr="0067507D" w14:paraId="5C9B2A54" w14:textId="77777777" w:rsidTr="00871267">
        <w:tc>
          <w:tcPr>
            <w:cnfStyle w:val="001000000000" w:firstRow="0" w:lastRow="0" w:firstColumn="1" w:lastColumn="0" w:oddVBand="0" w:evenVBand="0" w:oddHBand="0" w:evenHBand="0" w:firstRowFirstColumn="0" w:firstRowLastColumn="0" w:lastRowFirstColumn="0" w:lastRowLastColumn="0"/>
            <w:tcW w:w="1138" w:type="pct"/>
          </w:tcPr>
          <w:p w14:paraId="4B5DE065" w14:textId="77777777" w:rsidR="005D2595" w:rsidRPr="0067507D" w:rsidRDefault="005D2595" w:rsidP="00FC3AF2">
            <w:pPr>
              <w:pStyle w:val="Tabletext"/>
              <w:spacing w:before="15" w:after="15"/>
            </w:pPr>
            <w:r w:rsidRPr="0067507D">
              <w:t xml:space="preserve">Treasury trust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476" w:type="pct"/>
          </w:tcPr>
          <w:p w14:paraId="6B766E10" w14:textId="77777777" w:rsidR="005D2595" w:rsidRPr="0067507D" w:rsidRDefault="005D2595" w:rsidP="00FC3AF2">
            <w:pPr>
              <w:pStyle w:val="Tabletextright"/>
              <w:spacing w:before="15" w:after="15"/>
              <w:rPr>
                <w:szCs w:val="15"/>
              </w:rPr>
            </w:pPr>
            <w:r w:rsidRPr="0067507D">
              <w:t xml:space="preserve">9 579 </w:t>
            </w:r>
          </w:p>
        </w:tc>
        <w:tc>
          <w:tcPr>
            <w:cnfStyle w:val="000001000000" w:firstRow="0" w:lastRow="0" w:firstColumn="0" w:lastColumn="0" w:oddVBand="0" w:evenVBand="1" w:oddHBand="0" w:evenHBand="0" w:firstRowFirstColumn="0" w:firstRowLastColumn="0" w:lastRowFirstColumn="0" w:lastRowLastColumn="0"/>
            <w:tcW w:w="398" w:type="pct"/>
          </w:tcPr>
          <w:p w14:paraId="396940D1" w14:textId="77777777" w:rsidR="005D2595" w:rsidRPr="0067507D" w:rsidRDefault="005D2595" w:rsidP="00FC3AF2">
            <w:pPr>
              <w:pStyle w:val="Tabletextright"/>
              <w:spacing w:before="15" w:after="15"/>
              <w:rPr>
                <w:szCs w:val="15"/>
              </w:rPr>
            </w:pPr>
            <w:r w:rsidRPr="0067507D">
              <w:t xml:space="preserve">1 125 </w:t>
            </w:r>
          </w:p>
        </w:tc>
        <w:tc>
          <w:tcPr>
            <w:cnfStyle w:val="000010000000" w:firstRow="0" w:lastRow="0" w:firstColumn="0" w:lastColumn="0" w:oddVBand="1" w:evenVBand="0" w:oddHBand="0" w:evenHBand="0" w:firstRowFirstColumn="0" w:firstRowLastColumn="0" w:lastRowFirstColumn="0" w:lastRowLastColumn="0"/>
            <w:tcW w:w="387" w:type="pct"/>
          </w:tcPr>
          <w:p w14:paraId="15E86613" w14:textId="77777777" w:rsidR="005D2595" w:rsidRPr="0067507D" w:rsidRDefault="005D2595" w:rsidP="00FC3AF2">
            <w:pPr>
              <w:pStyle w:val="Tabletextright"/>
              <w:spacing w:before="15" w:after="15"/>
              <w:rPr>
                <w:szCs w:val="15"/>
              </w:rPr>
            </w:pPr>
            <w:r w:rsidRPr="0067507D">
              <w:t xml:space="preserve">(1 250) </w:t>
            </w:r>
          </w:p>
        </w:tc>
        <w:tc>
          <w:tcPr>
            <w:cnfStyle w:val="000001000000" w:firstRow="0" w:lastRow="0" w:firstColumn="0" w:lastColumn="0" w:oddVBand="0" w:evenVBand="1" w:oddHBand="0" w:evenHBand="0" w:firstRowFirstColumn="0" w:firstRowLastColumn="0" w:lastRowFirstColumn="0" w:lastRowLastColumn="0"/>
            <w:tcW w:w="453" w:type="pct"/>
          </w:tcPr>
          <w:p w14:paraId="0FA099B5" w14:textId="77777777" w:rsidR="005D2595" w:rsidRPr="0067507D" w:rsidRDefault="005D2595" w:rsidP="00FC3AF2">
            <w:pPr>
              <w:pStyle w:val="Tabletextright"/>
              <w:spacing w:before="15" w:after="15"/>
              <w:rPr>
                <w:szCs w:val="15"/>
              </w:rPr>
            </w:pPr>
            <w:r w:rsidRPr="0067507D">
              <w:t xml:space="preserve">9 454 </w:t>
            </w:r>
          </w:p>
        </w:tc>
        <w:tc>
          <w:tcPr>
            <w:cnfStyle w:val="000010000000" w:firstRow="0" w:lastRow="0" w:firstColumn="0" w:lastColumn="0" w:oddVBand="1" w:evenVBand="0" w:oddHBand="0" w:evenHBand="0" w:firstRowFirstColumn="0" w:firstRowLastColumn="0" w:lastRowFirstColumn="0" w:lastRowLastColumn="0"/>
            <w:tcW w:w="437" w:type="pct"/>
          </w:tcPr>
          <w:p w14:paraId="1F356E14" w14:textId="77777777" w:rsidR="005D2595" w:rsidRPr="0067507D" w:rsidRDefault="005D2595" w:rsidP="00FC3AF2">
            <w:pPr>
              <w:pStyle w:val="Tabletextright"/>
              <w:spacing w:before="15" w:after="15"/>
              <w:rPr>
                <w:szCs w:val="15"/>
              </w:rPr>
            </w:pPr>
            <w:r w:rsidRPr="0067507D">
              <w:t xml:space="preserve">9 817 </w:t>
            </w:r>
          </w:p>
        </w:tc>
        <w:tc>
          <w:tcPr>
            <w:cnfStyle w:val="000001000000" w:firstRow="0" w:lastRow="0" w:firstColumn="0" w:lastColumn="0" w:oddVBand="0" w:evenVBand="1" w:oddHBand="0" w:evenHBand="0" w:firstRowFirstColumn="0" w:firstRowLastColumn="0" w:lastRowFirstColumn="0" w:lastRowLastColumn="0"/>
            <w:tcW w:w="398" w:type="pct"/>
          </w:tcPr>
          <w:p w14:paraId="5FCCA704" w14:textId="77777777" w:rsidR="005D2595" w:rsidRPr="0067507D" w:rsidRDefault="005D2595" w:rsidP="00FC3AF2">
            <w:pPr>
              <w:pStyle w:val="Tabletextright"/>
              <w:spacing w:before="15" w:after="15"/>
              <w:rPr>
                <w:szCs w:val="15"/>
              </w:rPr>
            </w:pPr>
            <w:r w:rsidRPr="0067507D">
              <w:t xml:space="preserve">1 855 </w:t>
            </w:r>
          </w:p>
        </w:tc>
        <w:tc>
          <w:tcPr>
            <w:cnfStyle w:val="000010000000" w:firstRow="0" w:lastRow="0" w:firstColumn="0" w:lastColumn="0" w:oddVBand="1" w:evenVBand="0" w:oddHBand="0" w:evenHBand="0" w:firstRowFirstColumn="0" w:firstRowLastColumn="0" w:lastRowFirstColumn="0" w:lastRowLastColumn="0"/>
            <w:tcW w:w="398" w:type="pct"/>
          </w:tcPr>
          <w:p w14:paraId="493035AB" w14:textId="77777777" w:rsidR="005D2595" w:rsidRPr="0067507D" w:rsidRDefault="005D2595" w:rsidP="00FC3AF2">
            <w:pPr>
              <w:pStyle w:val="Tabletextright"/>
              <w:spacing w:before="15" w:after="15"/>
              <w:rPr>
                <w:szCs w:val="15"/>
              </w:rPr>
            </w:pPr>
            <w:r w:rsidRPr="0067507D">
              <w:t xml:space="preserve">(2 197) </w:t>
            </w:r>
          </w:p>
        </w:tc>
        <w:tc>
          <w:tcPr>
            <w:cnfStyle w:val="000001000000" w:firstRow="0" w:lastRow="0" w:firstColumn="0" w:lastColumn="0" w:oddVBand="0" w:evenVBand="1" w:oddHBand="0" w:evenHBand="0" w:firstRowFirstColumn="0" w:firstRowLastColumn="0" w:lastRowFirstColumn="0" w:lastRowLastColumn="0"/>
            <w:tcW w:w="456" w:type="pct"/>
          </w:tcPr>
          <w:p w14:paraId="5987CC91" w14:textId="77777777" w:rsidR="005D2595" w:rsidRPr="0067507D" w:rsidRDefault="005D2595" w:rsidP="00FC3AF2">
            <w:pPr>
              <w:pStyle w:val="Tabletextright"/>
              <w:spacing w:before="15" w:after="15"/>
              <w:rPr>
                <w:szCs w:val="15"/>
              </w:rPr>
            </w:pPr>
            <w:r w:rsidRPr="0067507D">
              <w:t xml:space="preserve"> 104 </w:t>
            </w:r>
          </w:p>
        </w:tc>
        <w:tc>
          <w:tcPr>
            <w:cnfStyle w:val="000010000000" w:firstRow="0" w:lastRow="0" w:firstColumn="0" w:lastColumn="0" w:oddVBand="1" w:evenVBand="0" w:oddHBand="0" w:evenHBand="0" w:firstRowFirstColumn="0" w:firstRowLastColumn="0" w:lastRowFirstColumn="0" w:lastRowLastColumn="0"/>
            <w:tcW w:w="459" w:type="pct"/>
          </w:tcPr>
          <w:p w14:paraId="49BFC2A6" w14:textId="77777777" w:rsidR="005D2595" w:rsidRPr="0067507D" w:rsidRDefault="005D2595" w:rsidP="00FC3AF2">
            <w:pPr>
              <w:pStyle w:val="Tabletextright"/>
              <w:spacing w:before="15" w:after="15"/>
            </w:pPr>
            <w:r w:rsidRPr="0067507D">
              <w:t xml:space="preserve">9 579 </w:t>
            </w:r>
          </w:p>
        </w:tc>
      </w:tr>
      <w:tr w:rsidR="005D2595" w:rsidRPr="0067507D" w14:paraId="2DDE6F23" w14:textId="77777777" w:rsidTr="00871267">
        <w:tc>
          <w:tcPr>
            <w:cnfStyle w:val="001000000000" w:firstRow="0" w:lastRow="0" w:firstColumn="1" w:lastColumn="0" w:oddVBand="0" w:evenVBand="0" w:oddHBand="0" w:evenHBand="0" w:firstRowFirstColumn="0" w:firstRowLastColumn="0" w:lastRowFirstColumn="0" w:lastRowLastColumn="0"/>
            <w:tcW w:w="1138" w:type="pct"/>
          </w:tcPr>
          <w:p w14:paraId="47B3B20E" w14:textId="77777777" w:rsidR="005D2595" w:rsidRPr="0067507D" w:rsidRDefault="005D2595" w:rsidP="00FC3AF2">
            <w:pPr>
              <w:pStyle w:val="Tabletext"/>
              <w:spacing w:before="15" w:after="15"/>
            </w:pPr>
            <w:r w:rsidRPr="0067507D">
              <w:t xml:space="preserve">Vehicle lease trust </w:t>
            </w:r>
            <w:r w:rsidRPr="0067507D">
              <w:rPr>
                <w:vertAlign w:val="superscript"/>
              </w:rPr>
              <w:t>(c)</w:t>
            </w:r>
          </w:p>
        </w:tc>
        <w:tc>
          <w:tcPr>
            <w:cnfStyle w:val="000010000000" w:firstRow="0" w:lastRow="0" w:firstColumn="0" w:lastColumn="0" w:oddVBand="1" w:evenVBand="0" w:oddHBand="0" w:evenHBand="0" w:firstRowFirstColumn="0" w:firstRowLastColumn="0" w:lastRowFirstColumn="0" w:lastRowLastColumn="0"/>
            <w:tcW w:w="476" w:type="pct"/>
          </w:tcPr>
          <w:p w14:paraId="53C29F3F" w14:textId="77777777" w:rsidR="005D2595" w:rsidRPr="0067507D" w:rsidRDefault="005D2595" w:rsidP="00FC3AF2">
            <w:pPr>
              <w:pStyle w:val="Tabletextright"/>
              <w:spacing w:before="15" w:after="15"/>
              <w:rPr>
                <w:szCs w:val="15"/>
              </w:rPr>
            </w:pPr>
            <w:r w:rsidRPr="0067507D">
              <w:t xml:space="preserve"> 108 </w:t>
            </w:r>
          </w:p>
        </w:tc>
        <w:tc>
          <w:tcPr>
            <w:cnfStyle w:val="000001000000" w:firstRow="0" w:lastRow="0" w:firstColumn="0" w:lastColumn="0" w:oddVBand="0" w:evenVBand="1" w:oddHBand="0" w:evenHBand="0" w:firstRowFirstColumn="0" w:firstRowLastColumn="0" w:lastRowFirstColumn="0" w:lastRowLastColumn="0"/>
            <w:tcW w:w="398" w:type="pct"/>
          </w:tcPr>
          <w:p w14:paraId="6C641DC2" w14:textId="77777777" w:rsidR="005D2595" w:rsidRPr="0067507D" w:rsidRDefault="005D2595" w:rsidP="00FC3AF2">
            <w:pPr>
              <w:pStyle w:val="Tabletextright"/>
              <w:spacing w:before="15" w:after="15"/>
              <w:rPr>
                <w:szCs w:val="15"/>
              </w:rPr>
            </w:pPr>
            <w:r w:rsidRPr="0067507D">
              <w:t xml:space="preserve"> 324 </w:t>
            </w:r>
          </w:p>
        </w:tc>
        <w:tc>
          <w:tcPr>
            <w:cnfStyle w:val="000010000000" w:firstRow="0" w:lastRow="0" w:firstColumn="0" w:lastColumn="0" w:oddVBand="1" w:evenVBand="0" w:oddHBand="0" w:evenHBand="0" w:firstRowFirstColumn="0" w:firstRowLastColumn="0" w:lastRowFirstColumn="0" w:lastRowLastColumn="0"/>
            <w:tcW w:w="387" w:type="pct"/>
          </w:tcPr>
          <w:p w14:paraId="57D68E91" w14:textId="77777777" w:rsidR="005D2595" w:rsidRPr="0067507D" w:rsidRDefault="005D2595" w:rsidP="00FC3AF2">
            <w:pPr>
              <w:pStyle w:val="Tabletextright"/>
              <w:spacing w:before="15" w:after="15"/>
              <w:rPr>
                <w:szCs w:val="15"/>
              </w:rPr>
            </w:pPr>
            <w:r w:rsidRPr="0067507D">
              <w:t xml:space="preserve">(26) </w:t>
            </w:r>
          </w:p>
        </w:tc>
        <w:tc>
          <w:tcPr>
            <w:cnfStyle w:val="000001000000" w:firstRow="0" w:lastRow="0" w:firstColumn="0" w:lastColumn="0" w:oddVBand="0" w:evenVBand="1" w:oddHBand="0" w:evenHBand="0" w:firstRowFirstColumn="0" w:firstRowLastColumn="0" w:lastRowFirstColumn="0" w:lastRowLastColumn="0"/>
            <w:tcW w:w="453" w:type="pct"/>
          </w:tcPr>
          <w:p w14:paraId="5D282A83" w14:textId="77777777" w:rsidR="005D2595" w:rsidRPr="0067507D" w:rsidRDefault="005D2595" w:rsidP="00FC3AF2">
            <w:pPr>
              <w:pStyle w:val="Tabletextright"/>
              <w:spacing w:before="15" w:after="15"/>
              <w:rPr>
                <w:szCs w:val="15"/>
              </w:rPr>
            </w:pPr>
            <w:r w:rsidRPr="0067507D">
              <w:t xml:space="preserve"> 406 </w:t>
            </w:r>
          </w:p>
        </w:tc>
        <w:tc>
          <w:tcPr>
            <w:cnfStyle w:val="000010000000" w:firstRow="0" w:lastRow="0" w:firstColumn="0" w:lastColumn="0" w:oddVBand="1" w:evenVBand="0" w:oddHBand="0" w:evenHBand="0" w:firstRowFirstColumn="0" w:firstRowLastColumn="0" w:lastRowFirstColumn="0" w:lastRowLastColumn="0"/>
            <w:tcW w:w="437" w:type="pct"/>
          </w:tcPr>
          <w:p w14:paraId="68F3DB9F" w14:textId="77777777" w:rsidR="005D2595" w:rsidRPr="0067507D" w:rsidRDefault="005D2595" w:rsidP="00FC3AF2">
            <w:pPr>
              <w:pStyle w:val="Tabletextright"/>
              <w:spacing w:before="15" w:after="15"/>
              <w:rPr>
                <w:szCs w:val="15"/>
              </w:rPr>
            </w:pPr>
            <w:r w:rsidRPr="0067507D">
              <w:t xml:space="preserve"> 91 </w:t>
            </w:r>
          </w:p>
        </w:tc>
        <w:tc>
          <w:tcPr>
            <w:cnfStyle w:val="000001000000" w:firstRow="0" w:lastRow="0" w:firstColumn="0" w:lastColumn="0" w:oddVBand="0" w:evenVBand="1" w:oddHBand="0" w:evenHBand="0" w:firstRowFirstColumn="0" w:firstRowLastColumn="0" w:lastRowFirstColumn="0" w:lastRowLastColumn="0"/>
            <w:tcW w:w="398" w:type="pct"/>
          </w:tcPr>
          <w:p w14:paraId="6E3D6283" w14:textId="77777777" w:rsidR="005D2595" w:rsidRPr="0067507D" w:rsidRDefault="005D2595" w:rsidP="00FC3AF2">
            <w:pPr>
              <w:pStyle w:val="Tabletextright"/>
              <w:spacing w:before="15" w:after="15"/>
              <w:rPr>
                <w:szCs w:val="15"/>
              </w:rPr>
            </w:pPr>
            <w:r w:rsidRPr="0067507D">
              <w:t xml:space="preserve"> 21 </w:t>
            </w:r>
          </w:p>
        </w:tc>
        <w:tc>
          <w:tcPr>
            <w:cnfStyle w:val="000010000000" w:firstRow="0" w:lastRow="0" w:firstColumn="0" w:lastColumn="0" w:oddVBand="1" w:evenVBand="0" w:oddHBand="0" w:evenHBand="0" w:firstRowFirstColumn="0" w:firstRowLastColumn="0" w:lastRowFirstColumn="0" w:lastRowLastColumn="0"/>
            <w:tcW w:w="398" w:type="pct"/>
          </w:tcPr>
          <w:p w14:paraId="43F9302E" w14:textId="77777777" w:rsidR="005D2595" w:rsidRPr="0067507D" w:rsidRDefault="005D2595" w:rsidP="00FC3AF2">
            <w:pPr>
              <w:pStyle w:val="Tabletextright"/>
              <w:spacing w:before="15" w:after="15"/>
              <w:rPr>
                <w:szCs w:val="15"/>
              </w:rPr>
            </w:pPr>
            <w:r w:rsidRPr="0067507D">
              <w:t xml:space="preserve">(4) </w:t>
            </w:r>
          </w:p>
        </w:tc>
        <w:tc>
          <w:tcPr>
            <w:cnfStyle w:val="000001000000" w:firstRow="0" w:lastRow="0" w:firstColumn="0" w:lastColumn="0" w:oddVBand="0" w:evenVBand="1" w:oddHBand="0" w:evenHBand="0" w:firstRowFirstColumn="0" w:firstRowLastColumn="0" w:lastRowFirstColumn="0" w:lastRowLastColumn="0"/>
            <w:tcW w:w="456" w:type="pct"/>
          </w:tcPr>
          <w:p w14:paraId="49BA2077"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59" w:type="pct"/>
          </w:tcPr>
          <w:p w14:paraId="047C4136" w14:textId="77777777" w:rsidR="005D2595" w:rsidRPr="0067507D" w:rsidRDefault="005D2595" w:rsidP="00FC3AF2">
            <w:pPr>
              <w:pStyle w:val="Tabletextright"/>
              <w:spacing w:before="15" w:after="15"/>
            </w:pPr>
            <w:r w:rsidRPr="0067507D">
              <w:t xml:space="preserve"> 108 </w:t>
            </w:r>
          </w:p>
        </w:tc>
      </w:tr>
      <w:tr w:rsidR="005D2595" w:rsidRPr="0067507D" w14:paraId="45E382A5" w14:textId="77777777" w:rsidTr="00871267">
        <w:tc>
          <w:tcPr>
            <w:cnfStyle w:val="001000000000" w:firstRow="0" w:lastRow="0" w:firstColumn="1" w:lastColumn="0" w:oddVBand="0" w:evenVBand="0" w:oddHBand="0" w:evenHBand="0" w:firstRowFirstColumn="0" w:firstRowLastColumn="0" w:lastRowFirstColumn="0" w:lastRowLastColumn="0"/>
            <w:tcW w:w="1138" w:type="pct"/>
          </w:tcPr>
          <w:p w14:paraId="495A663C" w14:textId="77777777" w:rsidR="005D2595" w:rsidRPr="0067507D" w:rsidRDefault="005D2595" w:rsidP="00FC3AF2">
            <w:pPr>
              <w:pStyle w:val="Tabletext"/>
              <w:spacing w:before="15" w:after="15"/>
            </w:pPr>
            <w:r w:rsidRPr="0067507D">
              <w:t xml:space="preserve">Victorian social housing growth fund </w:t>
            </w:r>
            <w:r w:rsidRPr="0067507D">
              <w:rPr>
                <w:vertAlign w:val="superscript"/>
              </w:rPr>
              <w:t>(d)</w:t>
            </w:r>
          </w:p>
        </w:tc>
        <w:tc>
          <w:tcPr>
            <w:cnfStyle w:val="000010000000" w:firstRow="0" w:lastRow="0" w:firstColumn="0" w:lastColumn="0" w:oddVBand="1" w:evenVBand="0" w:oddHBand="0" w:evenHBand="0" w:firstRowFirstColumn="0" w:firstRowLastColumn="0" w:lastRowFirstColumn="0" w:lastRowLastColumn="0"/>
            <w:tcW w:w="476" w:type="pct"/>
          </w:tcPr>
          <w:p w14:paraId="2C10E171" w14:textId="77777777" w:rsidR="005D2595" w:rsidRPr="0067507D" w:rsidRDefault="005D2595" w:rsidP="00FC3AF2">
            <w:pPr>
              <w:pStyle w:val="Tabletextright"/>
              <w:spacing w:before="15" w:after="15"/>
              <w:rPr>
                <w:szCs w:val="15"/>
              </w:rPr>
            </w:pPr>
            <w:r w:rsidRPr="0067507D">
              <w:t xml:space="preserve"> 246 </w:t>
            </w:r>
          </w:p>
        </w:tc>
        <w:tc>
          <w:tcPr>
            <w:cnfStyle w:val="000001000000" w:firstRow="0" w:lastRow="0" w:firstColumn="0" w:lastColumn="0" w:oddVBand="0" w:evenVBand="1" w:oddHBand="0" w:evenHBand="0" w:firstRowFirstColumn="0" w:firstRowLastColumn="0" w:lastRowFirstColumn="0" w:lastRowLastColumn="0"/>
            <w:tcW w:w="398" w:type="pct"/>
          </w:tcPr>
          <w:p w14:paraId="1EA57722" w14:textId="77777777" w:rsidR="005D2595" w:rsidRPr="0067507D" w:rsidRDefault="005D2595" w:rsidP="00FC3AF2">
            <w:pPr>
              <w:pStyle w:val="Tabletextright"/>
              <w:spacing w:before="15" w:after="15"/>
              <w:rPr>
                <w:szCs w:val="15"/>
              </w:rPr>
            </w:pPr>
            <w:r w:rsidRPr="0067507D">
              <w:t xml:space="preserve"> 532 </w:t>
            </w:r>
          </w:p>
        </w:tc>
        <w:tc>
          <w:tcPr>
            <w:cnfStyle w:val="000010000000" w:firstRow="0" w:lastRow="0" w:firstColumn="0" w:lastColumn="0" w:oddVBand="1" w:evenVBand="0" w:oddHBand="0" w:evenHBand="0" w:firstRowFirstColumn="0" w:firstRowLastColumn="0" w:lastRowFirstColumn="0" w:lastRowLastColumn="0"/>
            <w:tcW w:w="387" w:type="pct"/>
          </w:tcPr>
          <w:p w14:paraId="4CD806FA" w14:textId="77777777" w:rsidR="005D2595" w:rsidRPr="0067507D" w:rsidRDefault="005D2595" w:rsidP="00FC3AF2">
            <w:pPr>
              <w:pStyle w:val="Tabletextright"/>
              <w:spacing w:before="15" w:after="15"/>
              <w:rPr>
                <w:szCs w:val="15"/>
              </w:rPr>
            </w:pPr>
            <w:r w:rsidRPr="0067507D">
              <w:t xml:space="preserve">(778) </w:t>
            </w:r>
          </w:p>
        </w:tc>
        <w:tc>
          <w:tcPr>
            <w:cnfStyle w:val="000001000000" w:firstRow="0" w:lastRow="0" w:firstColumn="0" w:lastColumn="0" w:oddVBand="0" w:evenVBand="1" w:oddHBand="0" w:evenHBand="0" w:firstRowFirstColumn="0" w:firstRowLastColumn="0" w:lastRowFirstColumn="0" w:lastRowLastColumn="0"/>
            <w:tcW w:w="453" w:type="pct"/>
          </w:tcPr>
          <w:p w14:paraId="1690846F" w14:textId="77777777" w:rsidR="005D2595" w:rsidRPr="0067507D" w:rsidRDefault="005D2595" w:rsidP="00FC3AF2">
            <w:pPr>
              <w:pStyle w:val="Tabletextright"/>
              <w:spacing w:before="15" w:after="15"/>
              <w:rPr>
                <w:szCs w:val="15"/>
              </w:rPr>
            </w:pPr>
            <w:r w:rsidRPr="0067507D">
              <w:t xml:space="preserve">– </w:t>
            </w:r>
          </w:p>
        </w:tc>
        <w:tc>
          <w:tcPr>
            <w:cnfStyle w:val="000010000000" w:firstRow="0" w:lastRow="0" w:firstColumn="0" w:lastColumn="0" w:oddVBand="1" w:evenVBand="0" w:oddHBand="0" w:evenHBand="0" w:firstRowFirstColumn="0" w:firstRowLastColumn="0" w:lastRowFirstColumn="0" w:lastRowLastColumn="0"/>
            <w:tcW w:w="437" w:type="pct"/>
          </w:tcPr>
          <w:p w14:paraId="4135411C" w14:textId="77777777" w:rsidR="005D2595" w:rsidRPr="0067507D" w:rsidRDefault="005D2595" w:rsidP="00FC3AF2">
            <w:pPr>
              <w:pStyle w:val="Tabletextright"/>
              <w:spacing w:before="15" w:after="15"/>
              <w:rPr>
                <w:szCs w:val="15"/>
              </w:rPr>
            </w:pPr>
            <w:r w:rsidRPr="0067507D">
              <w:t xml:space="preserve"> 56 </w:t>
            </w:r>
          </w:p>
        </w:tc>
        <w:tc>
          <w:tcPr>
            <w:cnfStyle w:val="000001000000" w:firstRow="0" w:lastRow="0" w:firstColumn="0" w:lastColumn="0" w:oddVBand="0" w:evenVBand="1" w:oddHBand="0" w:evenHBand="0" w:firstRowFirstColumn="0" w:firstRowLastColumn="0" w:lastRowFirstColumn="0" w:lastRowLastColumn="0"/>
            <w:tcW w:w="398" w:type="pct"/>
          </w:tcPr>
          <w:p w14:paraId="330F9E26" w14:textId="77777777" w:rsidR="005D2595" w:rsidRPr="0067507D" w:rsidRDefault="005D2595" w:rsidP="00FC3AF2">
            <w:pPr>
              <w:pStyle w:val="Tabletextright"/>
              <w:spacing w:before="15" w:after="15"/>
              <w:rPr>
                <w:szCs w:val="15"/>
              </w:rPr>
            </w:pPr>
            <w:r w:rsidRPr="0067507D">
              <w:t xml:space="preserve"> 718 </w:t>
            </w:r>
          </w:p>
        </w:tc>
        <w:tc>
          <w:tcPr>
            <w:cnfStyle w:val="000010000000" w:firstRow="0" w:lastRow="0" w:firstColumn="0" w:lastColumn="0" w:oddVBand="1" w:evenVBand="0" w:oddHBand="0" w:evenHBand="0" w:firstRowFirstColumn="0" w:firstRowLastColumn="0" w:lastRowFirstColumn="0" w:lastRowLastColumn="0"/>
            <w:tcW w:w="398" w:type="pct"/>
          </w:tcPr>
          <w:p w14:paraId="7932DC83" w14:textId="77777777" w:rsidR="005D2595" w:rsidRPr="0067507D" w:rsidRDefault="005D2595" w:rsidP="00FC3AF2">
            <w:pPr>
              <w:pStyle w:val="Tabletextright"/>
              <w:spacing w:before="15" w:after="15"/>
              <w:rPr>
                <w:szCs w:val="15"/>
              </w:rPr>
            </w:pPr>
            <w:r w:rsidRPr="0067507D">
              <w:t xml:space="preserve">(528) </w:t>
            </w:r>
          </w:p>
        </w:tc>
        <w:tc>
          <w:tcPr>
            <w:cnfStyle w:val="000001000000" w:firstRow="0" w:lastRow="0" w:firstColumn="0" w:lastColumn="0" w:oddVBand="0" w:evenVBand="1" w:oddHBand="0" w:evenHBand="0" w:firstRowFirstColumn="0" w:firstRowLastColumn="0" w:lastRowFirstColumn="0" w:lastRowLastColumn="0"/>
            <w:tcW w:w="456" w:type="pct"/>
          </w:tcPr>
          <w:p w14:paraId="2F427D16"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59" w:type="pct"/>
          </w:tcPr>
          <w:p w14:paraId="24C57342" w14:textId="77777777" w:rsidR="005D2595" w:rsidRPr="0067507D" w:rsidRDefault="005D2595" w:rsidP="00FC3AF2">
            <w:pPr>
              <w:pStyle w:val="Tabletextright"/>
              <w:spacing w:before="15" w:after="15"/>
            </w:pPr>
            <w:r w:rsidRPr="0067507D">
              <w:t xml:space="preserve"> 246 </w:t>
            </w:r>
          </w:p>
        </w:tc>
      </w:tr>
      <w:tr w:rsidR="005D2595" w:rsidRPr="0067507D" w14:paraId="6170528F" w14:textId="77777777" w:rsidTr="00871267">
        <w:tc>
          <w:tcPr>
            <w:cnfStyle w:val="001000000000" w:firstRow="0" w:lastRow="0" w:firstColumn="1" w:lastColumn="0" w:oddVBand="0" w:evenVBand="0" w:oddHBand="0" w:evenHBand="0" w:firstRowFirstColumn="0" w:firstRowLastColumn="0" w:lastRowFirstColumn="0" w:lastRowLastColumn="0"/>
            <w:tcW w:w="1138" w:type="pct"/>
          </w:tcPr>
          <w:p w14:paraId="4417BB59" w14:textId="77777777" w:rsidR="005D2595" w:rsidRPr="0067507D" w:rsidRDefault="005D2595" w:rsidP="00FC3AF2">
            <w:pPr>
              <w:pStyle w:val="Tabletextbold"/>
              <w:spacing w:before="15" w:after="15"/>
            </w:pPr>
            <w:r w:rsidRPr="0067507D">
              <w:t>Total controlled trusts</w:t>
            </w:r>
          </w:p>
        </w:tc>
        <w:tc>
          <w:tcPr>
            <w:cnfStyle w:val="000010000000" w:firstRow="0" w:lastRow="0" w:firstColumn="0" w:lastColumn="0" w:oddVBand="1" w:evenVBand="0" w:oddHBand="0" w:evenHBand="0" w:firstRowFirstColumn="0" w:firstRowLastColumn="0" w:lastRowFirstColumn="0" w:lastRowLastColumn="0"/>
            <w:tcW w:w="476" w:type="pct"/>
          </w:tcPr>
          <w:p w14:paraId="5D7B2324" w14:textId="77777777" w:rsidR="005D2595" w:rsidRPr="0067507D" w:rsidRDefault="005D2595" w:rsidP="00FC3AF2">
            <w:pPr>
              <w:pStyle w:val="Tabletextrightbold"/>
              <w:spacing w:before="15" w:after="15"/>
            </w:pPr>
            <w:r w:rsidRPr="0067507D">
              <w:t xml:space="preserve">10 601 </w:t>
            </w:r>
          </w:p>
        </w:tc>
        <w:tc>
          <w:tcPr>
            <w:cnfStyle w:val="000001000000" w:firstRow="0" w:lastRow="0" w:firstColumn="0" w:lastColumn="0" w:oddVBand="0" w:evenVBand="1" w:oddHBand="0" w:evenHBand="0" w:firstRowFirstColumn="0" w:firstRowLastColumn="0" w:lastRowFirstColumn="0" w:lastRowLastColumn="0"/>
            <w:tcW w:w="398" w:type="pct"/>
          </w:tcPr>
          <w:p w14:paraId="580005CD" w14:textId="77777777" w:rsidR="005D2595" w:rsidRPr="0067507D" w:rsidRDefault="005D2595" w:rsidP="00FC3AF2">
            <w:pPr>
              <w:pStyle w:val="Tabletextrightbold"/>
              <w:spacing w:before="15" w:after="15"/>
            </w:pPr>
            <w:r w:rsidRPr="0067507D">
              <w:t xml:space="preserve">3 647 </w:t>
            </w:r>
          </w:p>
        </w:tc>
        <w:tc>
          <w:tcPr>
            <w:cnfStyle w:val="000010000000" w:firstRow="0" w:lastRow="0" w:firstColumn="0" w:lastColumn="0" w:oddVBand="1" w:evenVBand="0" w:oddHBand="0" w:evenHBand="0" w:firstRowFirstColumn="0" w:firstRowLastColumn="0" w:lastRowFirstColumn="0" w:lastRowLastColumn="0"/>
            <w:tcW w:w="387" w:type="pct"/>
          </w:tcPr>
          <w:p w14:paraId="13EB6EA1" w14:textId="77777777" w:rsidR="005D2595" w:rsidRPr="0067507D" w:rsidRDefault="005D2595" w:rsidP="00FC3AF2">
            <w:pPr>
              <w:pStyle w:val="Tabletextrightbold"/>
              <w:spacing w:before="15" w:after="15"/>
            </w:pPr>
            <w:r w:rsidRPr="0067507D">
              <w:t xml:space="preserve">(4 332) </w:t>
            </w:r>
          </w:p>
        </w:tc>
        <w:tc>
          <w:tcPr>
            <w:cnfStyle w:val="000001000000" w:firstRow="0" w:lastRow="0" w:firstColumn="0" w:lastColumn="0" w:oddVBand="0" w:evenVBand="1" w:oddHBand="0" w:evenHBand="0" w:firstRowFirstColumn="0" w:firstRowLastColumn="0" w:lastRowFirstColumn="0" w:lastRowLastColumn="0"/>
            <w:tcW w:w="453" w:type="pct"/>
          </w:tcPr>
          <w:p w14:paraId="49FFD235" w14:textId="77777777" w:rsidR="005D2595" w:rsidRPr="0067507D" w:rsidRDefault="005D2595" w:rsidP="00FC3AF2">
            <w:pPr>
              <w:pStyle w:val="Tabletextrightbold"/>
              <w:spacing w:before="15" w:after="15"/>
            </w:pPr>
            <w:r w:rsidRPr="0067507D">
              <w:t xml:space="preserve">9 916 </w:t>
            </w:r>
          </w:p>
        </w:tc>
        <w:tc>
          <w:tcPr>
            <w:cnfStyle w:val="000010000000" w:firstRow="0" w:lastRow="0" w:firstColumn="0" w:lastColumn="0" w:oddVBand="1" w:evenVBand="0" w:oddHBand="0" w:evenHBand="0" w:firstRowFirstColumn="0" w:firstRowLastColumn="0" w:lastRowFirstColumn="0" w:lastRowLastColumn="0"/>
            <w:tcW w:w="437" w:type="pct"/>
          </w:tcPr>
          <w:p w14:paraId="76300C2C" w14:textId="77777777" w:rsidR="005D2595" w:rsidRPr="0067507D" w:rsidRDefault="005D2595" w:rsidP="00FC3AF2">
            <w:pPr>
              <w:pStyle w:val="Tabletextrightbold"/>
              <w:spacing w:before="15" w:after="15"/>
            </w:pPr>
            <w:r w:rsidRPr="0067507D">
              <w:t xml:space="preserve">13 335 </w:t>
            </w:r>
          </w:p>
        </w:tc>
        <w:tc>
          <w:tcPr>
            <w:cnfStyle w:val="000001000000" w:firstRow="0" w:lastRow="0" w:firstColumn="0" w:lastColumn="0" w:oddVBand="0" w:evenVBand="1" w:oddHBand="0" w:evenHBand="0" w:firstRowFirstColumn="0" w:firstRowLastColumn="0" w:lastRowFirstColumn="0" w:lastRowLastColumn="0"/>
            <w:tcW w:w="398" w:type="pct"/>
          </w:tcPr>
          <w:p w14:paraId="2C4FFAC8" w14:textId="77777777" w:rsidR="005D2595" w:rsidRPr="0067507D" w:rsidRDefault="005D2595" w:rsidP="00FC3AF2">
            <w:pPr>
              <w:pStyle w:val="Tabletextrightbold"/>
              <w:spacing w:before="15" w:after="15"/>
            </w:pPr>
            <w:r w:rsidRPr="0067507D">
              <w:t xml:space="preserve">4 852 </w:t>
            </w:r>
          </w:p>
        </w:tc>
        <w:tc>
          <w:tcPr>
            <w:cnfStyle w:val="000010000000" w:firstRow="0" w:lastRow="0" w:firstColumn="0" w:lastColumn="0" w:oddVBand="1" w:evenVBand="0" w:oddHBand="0" w:evenHBand="0" w:firstRowFirstColumn="0" w:firstRowLastColumn="0" w:lastRowFirstColumn="0" w:lastRowLastColumn="0"/>
            <w:tcW w:w="398" w:type="pct"/>
          </w:tcPr>
          <w:p w14:paraId="13549BCF" w14:textId="77777777" w:rsidR="005D2595" w:rsidRPr="0067507D" w:rsidRDefault="005D2595" w:rsidP="00FC3AF2">
            <w:pPr>
              <w:pStyle w:val="Tabletextrightbold"/>
              <w:spacing w:before="15" w:after="15"/>
            </w:pPr>
            <w:r w:rsidRPr="0067507D">
              <w:t xml:space="preserve">(7 690) </w:t>
            </w:r>
          </w:p>
        </w:tc>
        <w:tc>
          <w:tcPr>
            <w:cnfStyle w:val="000001000000" w:firstRow="0" w:lastRow="0" w:firstColumn="0" w:lastColumn="0" w:oddVBand="0" w:evenVBand="1" w:oddHBand="0" w:evenHBand="0" w:firstRowFirstColumn="0" w:firstRowLastColumn="0" w:lastRowFirstColumn="0" w:lastRowLastColumn="0"/>
            <w:tcW w:w="456" w:type="pct"/>
          </w:tcPr>
          <w:p w14:paraId="2FE9FCD0" w14:textId="77777777" w:rsidR="005D2595" w:rsidRPr="0067507D" w:rsidRDefault="005D2595" w:rsidP="00FC3AF2">
            <w:pPr>
              <w:pStyle w:val="Tabletextrightbold"/>
              <w:spacing w:before="15" w:after="15"/>
            </w:pPr>
            <w:r w:rsidRPr="0067507D">
              <w:t xml:space="preserve"> 104 </w:t>
            </w:r>
          </w:p>
        </w:tc>
        <w:tc>
          <w:tcPr>
            <w:cnfStyle w:val="000010000000" w:firstRow="0" w:lastRow="0" w:firstColumn="0" w:lastColumn="0" w:oddVBand="1" w:evenVBand="0" w:oddHBand="0" w:evenHBand="0" w:firstRowFirstColumn="0" w:firstRowLastColumn="0" w:lastRowFirstColumn="0" w:lastRowLastColumn="0"/>
            <w:tcW w:w="459" w:type="pct"/>
          </w:tcPr>
          <w:p w14:paraId="3E947C46" w14:textId="77777777" w:rsidR="005D2595" w:rsidRPr="0067507D" w:rsidRDefault="005D2595" w:rsidP="00FC3AF2">
            <w:pPr>
              <w:pStyle w:val="Tabletextrightbold"/>
              <w:spacing w:before="15" w:after="15"/>
            </w:pPr>
            <w:r w:rsidRPr="0067507D">
              <w:t xml:space="preserve">10 601 </w:t>
            </w:r>
          </w:p>
        </w:tc>
      </w:tr>
    </w:tbl>
    <w:p w14:paraId="2D1C1C94" w14:textId="77777777" w:rsidR="005D2595" w:rsidRPr="0067507D" w:rsidRDefault="005D2595" w:rsidP="00871267">
      <w:pPr>
        <w:pStyle w:val="Notes"/>
      </w:pPr>
      <w:r w:rsidRPr="0067507D">
        <w:t>Notes:</w:t>
      </w:r>
    </w:p>
    <w:p w14:paraId="2A81316F" w14:textId="35EED2D0" w:rsidR="005D2595" w:rsidRPr="0067507D" w:rsidRDefault="005D2595" w:rsidP="00871267">
      <w:pPr>
        <w:pStyle w:val="Notes"/>
      </w:pPr>
      <w:r w:rsidRPr="0067507D">
        <w:t xml:space="preserve">(a) Established under the </w:t>
      </w:r>
      <w:r w:rsidRPr="0067507D">
        <w:rPr>
          <w:i/>
          <w:iCs/>
        </w:rPr>
        <w:t>Financial Management Act 1994</w:t>
      </w:r>
      <w:r w:rsidRPr="0067507D">
        <w:t xml:space="preserve"> to hold funds in relation to inter</w:t>
      </w:r>
      <w:r w:rsidR="006A5485">
        <w:noBreakHyphen/>
      </w:r>
      <w:r w:rsidRPr="0067507D">
        <w:t>departmental transfers.</w:t>
      </w:r>
    </w:p>
    <w:p w14:paraId="395236BB" w14:textId="77777777" w:rsidR="005D2595" w:rsidRPr="0067507D" w:rsidRDefault="005D2595" w:rsidP="00871267">
      <w:pPr>
        <w:pStyle w:val="Notes"/>
      </w:pPr>
      <w:r w:rsidRPr="0067507D">
        <w:t xml:space="preserve">(b) Established under the </w:t>
      </w:r>
      <w:r w:rsidRPr="0067507D">
        <w:rPr>
          <w:i/>
          <w:iCs/>
        </w:rPr>
        <w:t>Financial Management Act 1994</w:t>
      </w:r>
      <w:r w:rsidRPr="0067507D">
        <w:t xml:space="preserve"> for the receipt and disbursement of unclaimed monies and other funds held in trust.</w:t>
      </w:r>
    </w:p>
    <w:p w14:paraId="220A81BF" w14:textId="77777777" w:rsidR="005D2595" w:rsidRPr="0067507D" w:rsidRDefault="005D2595" w:rsidP="00871267">
      <w:pPr>
        <w:pStyle w:val="Notes"/>
      </w:pPr>
      <w:r w:rsidRPr="0067507D">
        <w:t xml:space="preserve">(c) Established under the </w:t>
      </w:r>
      <w:r w:rsidRPr="0067507D">
        <w:rPr>
          <w:i/>
          <w:iCs/>
        </w:rPr>
        <w:t>Financial Management Act 1994</w:t>
      </w:r>
      <w:r w:rsidRPr="0067507D">
        <w:t xml:space="preserve"> to process the sales of VicFleet motor vehicles.</w:t>
      </w:r>
    </w:p>
    <w:p w14:paraId="08203FC0" w14:textId="77777777" w:rsidR="005D2595" w:rsidRPr="0067507D" w:rsidRDefault="005D2595" w:rsidP="00871267">
      <w:pPr>
        <w:pStyle w:val="Notes"/>
      </w:pPr>
      <w:r w:rsidRPr="0067507D">
        <w:t xml:space="preserve">(d) Established under the </w:t>
      </w:r>
      <w:r w:rsidRPr="0067507D">
        <w:rPr>
          <w:i/>
          <w:iCs/>
        </w:rPr>
        <w:t>Financial Management Act 1994</w:t>
      </w:r>
      <w:r w:rsidRPr="0067507D">
        <w:t xml:space="preserve"> to facilitate the secretariat that supports the review of the Social Housing Regulation panel.</w:t>
      </w:r>
    </w:p>
    <w:p w14:paraId="583A678A" w14:textId="77777777" w:rsidR="005D2595" w:rsidRPr="0067507D" w:rsidRDefault="005D2595" w:rsidP="005D2595">
      <w:r w:rsidRPr="0067507D">
        <w:br w:type="page"/>
      </w:r>
    </w:p>
    <w:tbl>
      <w:tblPr>
        <w:tblStyle w:val="AnnualReportfinancialtable"/>
        <w:tblW w:w="4805" w:type="pct"/>
        <w:tblLayout w:type="fixed"/>
        <w:tblLook w:val="02A0" w:firstRow="1" w:lastRow="0" w:firstColumn="1" w:lastColumn="0" w:noHBand="1" w:noVBand="0"/>
      </w:tblPr>
      <w:tblGrid>
        <w:gridCol w:w="3087"/>
        <w:gridCol w:w="1150"/>
        <w:gridCol w:w="1048"/>
        <w:gridCol w:w="1019"/>
        <w:gridCol w:w="1190"/>
        <w:gridCol w:w="1148"/>
        <w:gridCol w:w="1048"/>
        <w:gridCol w:w="1066"/>
        <w:gridCol w:w="1198"/>
        <w:gridCol w:w="1179"/>
      </w:tblGrid>
      <w:tr w:rsidR="005D2595" w:rsidRPr="0067507D" w14:paraId="2033F8C5" w14:textId="77777777" w:rsidTr="008712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53A2FB37" w14:textId="77777777" w:rsidR="005D2595" w:rsidRPr="0067507D" w:rsidRDefault="005D2595" w:rsidP="00FC3AF2">
            <w:pPr>
              <w:pStyle w:val="Tabletext"/>
            </w:pPr>
          </w:p>
        </w:tc>
        <w:tc>
          <w:tcPr>
            <w:cnfStyle w:val="000010000000" w:firstRow="0" w:lastRow="0" w:firstColumn="0" w:lastColumn="0" w:oddVBand="1" w:evenVBand="0" w:oddHBand="0" w:evenHBand="0" w:firstRowFirstColumn="0" w:firstRowLastColumn="0" w:lastRowFirstColumn="0" w:lastRowLastColumn="0"/>
            <w:tcW w:w="1678" w:type="pct"/>
            <w:gridSpan w:val="4"/>
            <w:vAlign w:val="bottom"/>
          </w:tcPr>
          <w:p w14:paraId="2E8C3DE8" w14:textId="77777777" w:rsidR="005D2595" w:rsidRPr="0067507D" w:rsidRDefault="005D2595" w:rsidP="00FC3AF2">
            <w:pPr>
              <w:pStyle w:val="Tabletextheadingcentred"/>
            </w:pPr>
            <w:r w:rsidRPr="0067507D">
              <w:t>2025</w:t>
            </w:r>
          </w:p>
        </w:tc>
        <w:tc>
          <w:tcPr>
            <w:cnfStyle w:val="000001000000" w:firstRow="0" w:lastRow="0" w:firstColumn="0" w:lastColumn="0" w:oddVBand="0" w:evenVBand="1" w:oddHBand="0" w:evenHBand="0" w:firstRowFirstColumn="0" w:firstRowLastColumn="0" w:lastRowFirstColumn="0" w:lastRowLastColumn="0"/>
            <w:tcW w:w="2147" w:type="pct"/>
            <w:gridSpan w:val="5"/>
            <w:shd w:val="clear" w:color="auto" w:fill="E0E0E0"/>
            <w:vAlign w:val="bottom"/>
          </w:tcPr>
          <w:p w14:paraId="552FA75A" w14:textId="77777777" w:rsidR="005D2595" w:rsidRPr="0067507D" w:rsidRDefault="005D2595" w:rsidP="00FC3AF2">
            <w:pPr>
              <w:pStyle w:val="Tabletextheadingcentred"/>
            </w:pPr>
            <w:r w:rsidRPr="0067507D">
              <w:t>2024</w:t>
            </w:r>
          </w:p>
        </w:tc>
      </w:tr>
      <w:tr w:rsidR="005D2595" w:rsidRPr="0067507D" w14:paraId="325853D9"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04DB6594" w14:textId="77777777" w:rsidR="005D2595" w:rsidRPr="0067507D" w:rsidRDefault="005D2595" w:rsidP="00FC3AF2">
            <w:pPr>
              <w:pStyle w:val="Tabletex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38" w:type="pct"/>
            <w:vAlign w:val="bottom"/>
          </w:tcPr>
          <w:p w14:paraId="6FD4813B" w14:textId="77777777" w:rsidR="005D2595" w:rsidRPr="0067507D" w:rsidRDefault="005D2595" w:rsidP="00FC3AF2">
            <w:pPr>
              <w:pStyle w:val="Tabletextheading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399" w:type="pct"/>
            <w:vAlign w:val="bottom"/>
          </w:tcPr>
          <w:p w14:paraId="466EA38D" w14:textId="77777777" w:rsidR="005D2595" w:rsidRPr="0067507D" w:rsidRDefault="005D2595" w:rsidP="00FC3AF2">
            <w:pPr>
              <w:pStyle w:val="Tabletextheading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388" w:type="pct"/>
            <w:vAlign w:val="bottom"/>
          </w:tcPr>
          <w:p w14:paraId="1D854073" w14:textId="77777777" w:rsidR="005D2595" w:rsidRPr="0067507D" w:rsidRDefault="005D2595" w:rsidP="00FC3AF2">
            <w:pPr>
              <w:pStyle w:val="Tabletextheading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453" w:type="pct"/>
            <w:vAlign w:val="bottom"/>
          </w:tcPr>
          <w:p w14:paraId="1C0648A8" w14:textId="77777777" w:rsidR="005D2595" w:rsidRPr="0067507D" w:rsidRDefault="005D2595" w:rsidP="00FC3AF2">
            <w:pPr>
              <w:pStyle w:val="Tabletextheading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37" w:type="pct"/>
            <w:vAlign w:val="bottom"/>
          </w:tcPr>
          <w:p w14:paraId="381E1672" w14:textId="77777777" w:rsidR="005D2595" w:rsidRPr="0067507D" w:rsidRDefault="005D2595" w:rsidP="00FC3AF2">
            <w:pPr>
              <w:pStyle w:val="Tabletextheading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399" w:type="pct"/>
            <w:vAlign w:val="bottom"/>
          </w:tcPr>
          <w:p w14:paraId="754FDCD7" w14:textId="77777777" w:rsidR="005D2595" w:rsidRPr="0067507D" w:rsidRDefault="005D2595" w:rsidP="00FC3AF2">
            <w:pPr>
              <w:pStyle w:val="Tabletextheading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06" w:type="pct"/>
            <w:vAlign w:val="bottom"/>
          </w:tcPr>
          <w:p w14:paraId="13D8249C" w14:textId="77777777" w:rsidR="005D2595" w:rsidRPr="0067507D" w:rsidRDefault="005D2595" w:rsidP="00FC3AF2">
            <w:pPr>
              <w:pStyle w:val="Tabletextheading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456" w:type="pct"/>
            <w:vAlign w:val="bottom"/>
          </w:tcPr>
          <w:p w14:paraId="66013BED" w14:textId="77777777" w:rsidR="005D2595" w:rsidRPr="0067507D" w:rsidRDefault="005D2595" w:rsidP="00FC3AF2">
            <w:pPr>
              <w:pStyle w:val="Tabletextheading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49" w:type="pct"/>
          </w:tcPr>
          <w:p w14:paraId="5864E955" w14:textId="77777777" w:rsidR="005D2595" w:rsidRPr="0067507D" w:rsidRDefault="005D2595" w:rsidP="00FC3AF2">
            <w:pPr>
              <w:pStyle w:val="Tabletextheadingright"/>
              <w:spacing w:before="0" w:after="0"/>
              <w:rPr>
                <w:sz w:val="4"/>
              </w:rPr>
            </w:pPr>
          </w:p>
        </w:tc>
      </w:tr>
      <w:tr w:rsidR="005D2595" w:rsidRPr="0067507D" w14:paraId="2C7A921F" w14:textId="77777777" w:rsidTr="00871267">
        <w:tc>
          <w:tcPr>
            <w:cnfStyle w:val="001000000000" w:firstRow="0" w:lastRow="0" w:firstColumn="1" w:lastColumn="0" w:oddVBand="0" w:evenVBand="0" w:oddHBand="0" w:evenHBand="0" w:firstRowFirstColumn="0" w:firstRowLastColumn="0" w:lastRowFirstColumn="0" w:lastRowLastColumn="0"/>
            <w:tcW w:w="1175" w:type="pct"/>
            <w:vAlign w:val="bottom"/>
          </w:tcPr>
          <w:p w14:paraId="019569E0" w14:textId="77777777" w:rsidR="005D2595" w:rsidRPr="0067507D" w:rsidRDefault="005D2595" w:rsidP="00FC3AF2">
            <w:pPr>
              <w:pStyle w:val="Tabletext"/>
              <w:rPr>
                <w:rFonts w:asciiTheme="majorHAnsi" w:hAnsiTheme="majorHAnsi"/>
              </w:rPr>
            </w:pPr>
            <w:r w:rsidRPr="0067507D">
              <w:rPr>
                <w:rFonts w:asciiTheme="majorHAnsi" w:hAnsiTheme="majorHAnsi"/>
              </w:rPr>
              <w:t>Cash and investments</w:t>
            </w:r>
          </w:p>
        </w:tc>
        <w:tc>
          <w:tcPr>
            <w:cnfStyle w:val="000010000000" w:firstRow="0" w:lastRow="0" w:firstColumn="0" w:lastColumn="0" w:oddVBand="1" w:evenVBand="0" w:oddHBand="0" w:evenHBand="0" w:firstRowFirstColumn="0" w:firstRowLastColumn="0" w:lastRowFirstColumn="0" w:lastRowLastColumn="0"/>
            <w:tcW w:w="438" w:type="pct"/>
            <w:vAlign w:val="bottom"/>
          </w:tcPr>
          <w:p w14:paraId="5C0B7922" w14:textId="77777777" w:rsidR="005D2595" w:rsidRPr="0067507D" w:rsidRDefault="005D2595" w:rsidP="00FC3AF2">
            <w:pPr>
              <w:pStyle w:val="Tabletextheadingright"/>
              <w:rPr>
                <w:sz w:val="15"/>
                <w:szCs w:val="15"/>
              </w:rPr>
            </w:pPr>
            <w:r w:rsidRPr="0067507D">
              <w:rPr>
                <w:sz w:val="15"/>
              </w:rPr>
              <w:t>Opening balance as at 1</w:t>
            </w:r>
            <w:r w:rsidRPr="0067507D">
              <w:rPr>
                <w:rFonts w:ascii="Calibri" w:hAnsi="Calibri" w:cs="Calibri"/>
                <w:sz w:val="15"/>
              </w:rPr>
              <w:t> </w:t>
            </w:r>
            <w:r w:rsidRPr="0067507D">
              <w:rPr>
                <w:sz w:val="15"/>
              </w:rPr>
              <w:t>July 2024</w:t>
            </w:r>
          </w:p>
        </w:tc>
        <w:tc>
          <w:tcPr>
            <w:cnfStyle w:val="000001000000" w:firstRow="0" w:lastRow="0" w:firstColumn="0" w:lastColumn="0" w:oddVBand="0" w:evenVBand="1" w:oddHBand="0" w:evenHBand="0" w:firstRowFirstColumn="0" w:firstRowLastColumn="0" w:lastRowFirstColumn="0" w:lastRowLastColumn="0"/>
            <w:tcW w:w="399" w:type="pct"/>
            <w:vAlign w:val="bottom"/>
          </w:tcPr>
          <w:p w14:paraId="3F33077C" w14:textId="77777777" w:rsidR="005D2595" w:rsidRPr="0067507D" w:rsidRDefault="005D2595" w:rsidP="00FC3AF2">
            <w:pPr>
              <w:pStyle w:val="Tabletextheadingright"/>
              <w:rPr>
                <w:sz w:val="15"/>
                <w:szCs w:val="15"/>
              </w:rPr>
            </w:pPr>
            <w:r w:rsidRPr="0067507D">
              <w:rPr>
                <w:sz w:val="15"/>
              </w:rPr>
              <w:t>Total receipts</w:t>
            </w:r>
          </w:p>
        </w:tc>
        <w:tc>
          <w:tcPr>
            <w:cnfStyle w:val="000010000000" w:firstRow="0" w:lastRow="0" w:firstColumn="0" w:lastColumn="0" w:oddVBand="1" w:evenVBand="0" w:oddHBand="0" w:evenHBand="0" w:firstRowFirstColumn="0" w:firstRowLastColumn="0" w:lastRowFirstColumn="0" w:lastRowLastColumn="0"/>
            <w:tcW w:w="388" w:type="pct"/>
            <w:vAlign w:val="bottom"/>
          </w:tcPr>
          <w:p w14:paraId="23B30833" w14:textId="77777777" w:rsidR="005D2595" w:rsidRPr="0067507D" w:rsidRDefault="005D2595" w:rsidP="00FC3AF2">
            <w:pPr>
              <w:pStyle w:val="Tabletextheadingright"/>
              <w:rPr>
                <w:sz w:val="15"/>
                <w:szCs w:val="15"/>
              </w:rPr>
            </w:pPr>
            <w:r w:rsidRPr="0067507D">
              <w:rPr>
                <w:sz w:val="15"/>
              </w:rPr>
              <w:t>Total payments</w:t>
            </w:r>
          </w:p>
        </w:tc>
        <w:tc>
          <w:tcPr>
            <w:cnfStyle w:val="000001000000" w:firstRow="0" w:lastRow="0" w:firstColumn="0" w:lastColumn="0" w:oddVBand="0" w:evenVBand="1" w:oddHBand="0" w:evenHBand="0" w:firstRowFirstColumn="0" w:firstRowLastColumn="0" w:lastRowFirstColumn="0" w:lastRowLastColumn="0"/>
            <w:tcW w:w="453" w:type="pct"/>
            <w:vAlign w:val="bottom"/>
          </w:tcPr>
          <w:p w14:paraId="264E5270" w14:textId="77777777" w:rsidR="005D2595" w:rsidRPr="0067507D" w:rsidRDefault="005D2595" w:rsidP="00FC3AF2">
            <w:pPr>
              <w:pStyle w:val="Tabletextheadingright"/>
              <w:rPr>
                <w:sz w:val="15"/>
                <w:szCs w:val="15"/>
              </w:rPr>
            </w:pPr>
            <w:r w:rsidRPr="0067507D">
              <w:rPr>
                <w:sz w:val="15"/>
              </w:rPr>
              <w:t>Closing balance as at 30 June 2025</w:t>
            </w:r>
          </w:p>
        </w:tc>
        <w:tc>
          <w:tcPr>
            <w:cnfStyle w:val="000010000000" w:firstRow="0" w:lastRow="0" w:firstColumn="0" w:lastColumn="0" w:oddVBand="1" w:evenVBand="0" w:oddHBand="0" w:evenHBand="0" w:firstRowFirstColumn="0" w:firstRowLastColumn="0" w:lastRowFirstColumn="0" w:lastRowLastColumn="0"/>
            <w:tcW w:w="437" w:type="pct"/>
            <w:vAlign w:val="bottom"/>
          </w:tcPr>
          <w:p w14:paraId="25BD5839" w14:textId="77777777" w:rsidR="005D2595" w:rsidRPr="0067507D" w:rsidRDefault="005D2595" w:rsidP="00FC3AF2">
            <w:pPr>
              <w:pStyle w:val="Tabletextheadingright"/>
              <w:rPr>
                <w:sz w:val="15"/>
                <w:szCs w:val="15"/>
              </w:rPr>
            </w:pPr>
            <w:r w:rsidRPr="0067507D">
              <w:rPr>
                <w:sz w:val="15"/>
              </w:rPr>
              <w:t>Opening balance as at 1</w:t>
            </w:r>
            <w:r w:rsidRPr="0067507D">
              <w:rPr>
                <w:rFonts w:ascii="Calibri" w:hAnsi="Calibri" w:cs="Calibri"/>
                <w:sz w:val="15"/>
              </w:rPr>
              <w:t> </w:t>
            </w:r>
            <w:r w:rsidRPr="0067507D">
              <w:rPr>
                <w:sz w:val="15"/>
              </w:rPr>
              <w:t>July 2023</w:t>
            </w:r>
          </w:p>
        </w:tc>
        <w:tc>
          <w:tcPr>
            <w:cnfStyle w:val="000001000000" w:firstRow="0" w:lastRow="0" w:firstColumn="0" w:lastColumn="0" w:oddVBand="0" w:evenVBand="1" w:oddHBand="0" w:evenHBand="0" w:firstRowFirstColumn="0" w:firstRowLastColumn="0" w:lastRowFirstColumn="0" w:lastRowLastColumn="0"/>
            <w:tcW w:w="399" w:type="pct"/>
            <w:vAlign w:val="bottom"/>
          </w:tcPr>
          <w:p w14:paraId="6BEE4BC2" w14:textId="77777777" w:rsidR="005D2595" w:rsidRPr="0067507D" w:rsidRDefault="005D2595" w:rsidP="00FC3AF2">
            <w:pPr>
              <w:pStyle w:val="Tabletextheadingright"/>
              <w:rPr>
                <w:sz w:val="15"/>
                <w:szCs w:val="15"/>
              </w:rPr>
            </w:pPr>
            <w:r w:rsidRPr="0067507D">
              <w:rPr>
                <w:sz w:val="15"/>
              </w:rPr>
              <w:t>Total receipts</w:t>
            </w:r>
          </w:p>
        </w:tc>
        <w:tc>
          <w:tcPr>
            <w:cnfStyle w:val="000010000000" w:firstRow="0" w:lastRow="0" w:firstColumn="0" w:lastColumn="0" w:oddVBand="1" w:evenVBand="0" w:oddHBand="0" w:evenHBand="0" w:firstRowFirstColumn="0" w:firstRowLastColumn="0" w:lastRowFirstColumn="0" w:lastRowLastColumn="0"/>
            <w:tcW w:w="406" w:type="pct"/>
            <w:vAlign w:val="bottom"/>
          </w:tcPr>
          <w:p w14:paraId="2FDD5580" w14:textId="77777777" w:rsidR="005D2595" w:rsidRPr="0067507D" w:rsidRDefault="005D2595" w:rsidP="00FC3AF2">
            <w:pPr>
              <w:pStyle w:val="Tabletextheadingright"/>
              <w:rPr>
                <w:sz w:val="15"/>
                <w:szCs w:val="15"/>
              </w:rPr>
            </w:pPr>
            <w:r w:rsidRPr="0067507D">
              <w:rPr>
                <w:sz w:val="15"/>
              </w:rPr>
              <w:t>Total payments</w:t>
            </w:r>
          </w:p>
        </w:tc>
        <w:tc>
          <w:tcPr>
            <w:cnfStyle w:val="000001000000" w:firstRow="0" w:lastRow="0" w:firstColumn="0" w:lastColumn="0" w:oddVBand="0" w:evenVBand="1" w:oddHBand="0" w:evenHBand="0" w:firstRowFirstColumn="0" w:firstRowLastColumn="0" w:lastRowFirstColumn="0" w:lastRowLastColumn="0"/>
            <w:tcW w:w="456" w:type="pct"/>
            <w:vAlign w:val="bottom"/>
          </w:tcPr>
          <w:p w14:paraId="5925EB70" w14:textId="77777777" w:rsidR="005D2595" w:rsidRPr="0067507D" w:rsidRDefault="005D2595" w:rsidP="00FC3AF2">
            <w:pPr>
              <w:pStyle w:val="Tabletextheadingright"/>
              <w:rPr>
                <w:sz w:val="15"/>
                <w:szCs w:val="15"/>
              </w:rPr>
            </w:pPr>
            <w:r w:rsidRPr="0067507D">
              <w:rPr>
                <w:sz w:val="15"/>
              </w:rPr>
              <w:t>Machinery of government transfer in</w:t>
            </w:r>
          </w:p>
        </w:tc>
        <w:tc>
          <w:tcPr>
            <w:cnfStyle w:val="000010000000" w:firstRow="0" w:lastRow="0" w:firstColumn="0" w:lastColumn="0" w:oddVBand="1" w:evenVBand="0" w:oddHBand="0" w:evenHBand="0" w:firstRowFirstColumn="0" w:firstRowLastColumn="0" w:lastRowFirstColumn="0" w:lastRowLastColumn="0"/>
            <w:tcW w:w="449" w:type="pct"/>
            <w:vAlign w:val="bottom"/>
          </w:tcPr>
          <w:p w14:paraId="1EC5FCA9" w14:textId="77777777" w:rsidR="005D2595" w:rsidRPr="0067507D" w:rsidRDefault="005D2595" w:rsidP="00FC3AF2">
            <w:pPr>
              <w:pStyle w:val="Tabletextheadingright"/>
              <w:rPr>
                <w:sz w:val="15"/>
                <w:szCs w:val="15"/>
              </w:rPr>
            </w:pPr>
            <w:r w:rsidRPr="0067507D">
              <w:rPr>
                <w:sz w:val="15"/>
              </w:rPr>
              <w:t>Closing balance as at 30 June 2024</w:t>
            </w:r>
          </w:p>
        </w:tc>
      </w:tr>
      <w:tr w:rsidR="005D2595" w:rsidRPr="0067507D" w14:paraId="4DADE335"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754487F9" w14:textId="77777777" w:rsidR="005D2595" w:rsidRPr="0067507D" w:rsidRDefault="005D2595" w:rsidP="00FC3AF2">
            <w:pPr>
              <w:pStyle w:val="Tabletext"/>
              <w:spacing w:before="20" w:after="20"/>
              <w:rPr>
                <w:bCs/>
              </w:rPr>
            </w:pPr>
          </w:p>
        </w:tc>
        <w:tc>
          <w:tcPr>
            <w:cnfStyle w:val="000010000000" w:firstRow="0" w:lastRow="0" w:firstColumn="0" w:lastColumn="0" w:oddVBand="1" w:evenVBand="0" w:oddHBand="0" w:evenHBand="0" w:firstRowFirstColumn="0" w:firstRowLastColumn="0" w:lastRowFirstColumn="0" w:lastRowLastColumn="0"/>
            <w:tcW w:w="438" w:type="pct"/>
          </w:tcPr>
          <w:p w14:paraId="61215E0E"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01000000" w:firstRow="0" w:lastRow="0" w:firstColumn="0" w:lastColumn="0" w:oddVBand="0" w:evenVBand="1" w:oddHBand="0" w:evenHBand="0" w:firstRowFirstColumn="0" w:firstRowLastColumn="0" w:lastRowFirstColumn="0" w:lastRowLastColumn="0"/>
            <w:tcW w:w="399" w:type="pct"/>
          </w:tcPr>
          <w:p w14:paraId="58223000"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10000000" w:firstRow="0" w:lastRow="0" w:firstColumn="0" w:lastColumn="0" w:oddVBand="1" w:evenVBand="0" w:oddHBand="0" w:evenHBand="0" w:firstRowFirstColumn="0" w:firstRowLastColumn="0" w:lastRowFirstColumn="0" w:lastRowLastColumn="0"/>
            <w:tcW w:w="388" w:type="pct"/>
          </w:tcPr>
          <w:p w14:paraId="329865F0"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01000000" w:firstRow="0" w:lastRow="0" w:firstColumn="0" w:lastColumn="0" w:oddVBand="0" w:evenVBand="1" w:oddHBand="0" w:evenHBand="0" w:firstRowFirstColumn="0" w:firstRowLastColumn="0" w:lastRowFirstColumn="0" w:lastRowLastColumn="0"/>
            <w:tcW w:w="453" w:type="pct"/>
          </w:tcPr>
          <w:p w14:paraId="1B8B7E48"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10000000" w:firstRow="0" w:lastRow="0" w:firstColumn="0" w:lastColumn="0" w:oddVBand="1" w:evenVBand="0" w:oddHBand="0" w:evenHBand="0" w:firstRowFirstColumn="0" w:firstRowLastColumn="0" w:lastRowFirstColumn="0" w:lastRowLastColumn="0"/>
            <w:tcW w:w="437" w:type="pct"/>
          </w:tcPr>
          <w:p w14:paraId="51785EAE"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01000000" w:firstRow="0" w:lastRow="0" w:firstColumn="0" w:lastColumn="0" w:oddVBand="0" w:evenVBand="1" w:oddHBand="0" w:evenHBand="0" w:firstRowFirstColumn="0" w:firstRowLastColumn="0" w:lastRowFirstColumn="0" w:lastRowLastColumn="0"/>
            <w:tcW w:w="399" w:type="pct"/>
          </w:tcPr>
          <w:p w14:paraId="11D520D7"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10000000" w:firstRow="0" w:lastRow="0" w:firstColumn="0" w:lastColumn="0" w:oddVBand="1" w:evenVBand="0" w:oddHBand="0" w:evenHBand="0" w:firstRowFirstColumn="0" w:firstRowLastColumn="0" w:lastRowFirstColumn="0" w:lastRowLastColumn="0"/>
            <w:tcW w:w="406" w:type="pct"/>
          </w:tcPr>
          <w:p w14:paraId="38599399"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01000000" w:firstRow="0" w:lastRow="0" w:firstColumn="0" w:lastColumn="0" w:oddVBand="0" w:evenVBand="1" w:oddHBand="0" w:evenHBand="0" w:firstRowFirstColumn="0" w:firstRowLastColumn="0" w:lastRowFirstColumn="0" w:lastRowLastColumn="0"/>
            <w:tcW w:w="456" w:type="pct"/>
          </w:tcPr>
          <w:p w14:paraId="5F8036F6" w14:textId="77777777" w:rsidR="005D2595" w:rsidRPr="0067507D" w:rsidRDefault="005D2595" w:rsidP="00FC3AF2">
            <w:pPr>
              <w:pStyle w:val="Tabletextheadingright"/>
              <w:spacing w:before="20" w:after="20"/>
              <w:rPr>
                <w:sz w:val="15"/>
                <w:szCs w:val="15"/>
              </w:rPr>
            </w:pPr>
            <w:r w:rsidRPr="0067507D">
              <w:rPr>
                <w:sz w:val="15"/>
                <w:szCs w:val="15"/>
              </w:rPr>
              <w:t>$’000</w:t>
            </w:r>
          </w:p>
        </w:tc>
        <w:tc>
          <w:tcPr>
            <w:cnfStyle w:val="000010000000" w:firstRow="0" w:lastRow="0" w:firstColumn="0" w:lastColumn="0" w:oddVBand="1" w:evenVBand="0" w:oddHBand="0" w:evenHBand="0" w:firstRowFirstColumn="0" w:firstRowLastColumn="0" w:lastRowFirstColumn="0" w:lastRowLastColumn="0"/>
            <w:tcW w:w="449" w:type="pct"/>
          </w:tcPr>
          <w:p w14:paraId="54C9682A" w14:textId="77777777" w:rsidR="005D2595" w:rsidRPr="0067507D" w:rsidRDefault="005D2595" w:rsidP="00FC3AF2">
            <w:pPr>
              <w:pStyle w:val="Tabletextheadingright"/>
              <w:spacing w:before="20" w:after="20"/>
              <w:rPr>
                <w:sz w:val="15"/>
                <w:szCs w:val="15"/>
              </w:rPr>
            </w:pPr>
            <w:r w:rsidRPr="0067507D">
              <w:rPr>
                <w:sz w:val="15"/>
                <w:szCs w:val="15"/>
              </w:rPr>
              <w:t>$’000</w:t>
            </w:r>
          </w:p>
        </w:tc>
      </w:tr>
      <w:tr w:rsidR="005D2595" w:rsidRPr="0067507D" w14:paraId="328E34E7"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22F23AD4" w14:textId="77777777" w:rsidR="005D2595" w:rsidRPr="0067507D" w:rsidRDefault="005D2595" w:rsidP="00FC3AF2">
            <w:pPr>
              <w:pStyle w:val="Tabletex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38" w:type="pct"/>
          </w:tcPr>
          <w:p w14:paraId="41C790EF" w14:textId="77777777" w:rsidR="005D2595" w:rsidRPr="0067507D" w:rsidRDefault="005D2595" w:rsidP="00FC3AF2">
            <w:pPr>
              <w:pStyle w:val="Tabletext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399" w:type="pct"/>
          </w:tcPr>
          <w:p w14:paraId="20100A53" w14:textId="77777777" w:rsidR="005D2595" w:rsidRPr="0067507D" w:rsidRDefault="005D2595" w:rsidP="00FC3AF2">
            <w:pPr>
              <w:pStyle w:val="Tabletext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388" w:type="pct"/>
          </w:tcPr>
          <w:p w14:paraId="2268E267" w14:textId="77777777" w:rsidR="005D2595" w:rsidRPr="0067507D" w:rsidRDefault="005D2595" w:rsidP="00FC3AF2">
            <w:pPr>
              <w:pStyle w:val="Tabletext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453" w:type="pct"/>
          </w:tcPr>
          <w:p w14:paraId="2CC25180" w14:textId="77777777" w:rsidR="005D2595" w:rsidRPr="0067507D" w:rsidRDefault="005D2595" w:rsidP="00FC3AF2">
            <w:pPr>
              <w:pStyle w:val="Tabletext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37" w:type="pct"/>
          </w:tcPr>
          <w:p w14:paraId="35BD6B4D" w14:textId="77777777" w:rsidR="005D2595" w:rsidRPr="0067507D" w:rsidRDefault="005D2595" w:rsidP="00FC3AF2">
            <w:pPr>
              <w:pStyle w:val="Tabletext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399" w:type="pct"/>
          </w:tcPr>
          <w:p w14:paraId="3ECA2D9B" w14:textId="77777777" w:rsidR="005D2595" w:rsidRPr="0067507D" w:rsidRDefault="005D2595" w:rsidP="00FC3AF2">
            <w:pPr>
              <w:pStyle w:val="Tabletext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06" w:type="pct"/>
          </w:tcPr>
          <w:p w14:paraId="6D447BD5" w14:textId="77777777" w:rsidR="005D2595" w:rsidRPr="0067507D" w:rsidRDefault="005D2595" w:rsidP="00FC3AF2">
            <w:pPr>
              <w:pStyle w:val="Tabletextright"/>
              <w:spacing w:before="0" w:after="0"/>
              <w:rPr>
                <w:sz w:val="4"/>
              </w:rPr>
            </w:pPr>
          </w:p>
        </w:tc>
        <w:tc>
          <w:tcPr>
            <w:cnfStyle w:val="000001000000" w:firstRow="0" w:lastRow="0" w:firstColumn="0" w:lastColumn="0" w:oddVBand="0" w:evenVBand="1" w:oddHBand="0" w:evenHBand="0" w:firstRowFirstColumn="0" w:firstRowLastColumn="0" w:lastRowFirstColumn="0" w:lastRowLastColumn="0"/>
            <w:tcW w:w="456" w:type="pct"/>
          </w:tcPr>
          <w:p w14:paraId="774F8320" w14:textId="77777777" w:rsidR="005D2595" w:rsidRPr="0067507D" w:rsidRDefault="005D2595" w:rsidP="00FC3AF2">
            <w:pPr>
              <w:pStyle w:val="Tabletextright"/>
              <w:spacing w:before="0" w:after="0"/>
              <w:rPr>
                <w:sz w:val="4"/>
              </w:rPr>
            </w:pPr>
          </w:p>
        </w:tc>
        <w:tc>
          <w:tcPr>
            <w:cnfStyle w:val="000010000000" w:firstRow="0" w:lastRow="0" w:firstColumn="0" w:lastColumn="0" w:oddVBand="1" w:evenVBand="0" w:oddHBand="0" w:evenHBand="0" w:firstRowFirstColumn="0" w:firstRowLastColumn="0" w:lastRowFirstColumn="0" w:lastRowLastColumn="0"/>
            <w:tcW w:w="449" w:type="pct"/>
          </w:tcPr>
          <w:p w14:paraId="4066606E" w14:textId="77777777" w:rsidR="005D2595" w:rsidRPr="0067507D" w:rsidRDefault="005D2595" w:rsidP="00FC3AF2">
            <w:pPr>
              <w:pStyle w:val="Tabletextright"/>
              <w:spacing w:before="0" w:after="0"/>
              <w:rPr>
                <w:sz w:val="4"/>
              </w:rPr>
            </w:pPr>
          </w:p>
        </w:tc>
      </w:tr>
      <w:tr w:rsidR="005D2595" w:rsidRPr="0067507D" w14:paraId="34D13140"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14904CB3" w14:textId="77777777" w:rsidR="005D2595" w:rsidRPr="0067507D" w:rsidRDefault="005D2595" w:rsidP="00FC3AF2">
            <w:pPr>
              <w:pStyle w:val="Tabletextbold"/>
              <w:spacing w:before="15" w:after="15"/>
            </w:pPr>
            <w:r w:rsidRPr="0067507D">
              <w:t>Administered trusts</w:t>
            </w:r>
          </w:p>
        </w:tc>
        <w:tc>
          <w:tcPr>
            <w:cnfStyle w:val="000010000000" w:firstRow="0" w:lastRow="0" w:firstColumn="0" w:lastColumn="0" w:oddVBand="1" w:evenVBand="0" w:oddHBand="0" w:evenHBand="0" w:firstRowFirstColumn="0" w:firstRowLastColumn="0" w:lastRowFirstColumn="0" w:lastRowLastColumn="0"/>
            <w:tcW w:w="438" w:type="pct"/>
          </w:tcPr>
          <w:p w14:paraId="7EDB2D24" w14:textId="77777777" w:rsidR="005D2595" w:rsidRPr="0067507D" w:rsidRDefault="005D2595" w:rsidP="00FC3AF2">
            <w:pPr>
              <w:pStyle w:val="Tabletextright"/>
              <w:spacing w:before="15" w:after="15"/>
              <w:rPr>
                <w:szCs w:val="15"/>
              </w:rPr>
            </w:pPr>
          </w:p>
        </w:tc>
        <w:tc>
          <w:tcPr>
            <w:cnfStyle w:val="000001000000" w:firstRow="0" w:lastRow="0" w:firstColumn="0" w:lastColumn="0" w:oddVBand="0" w:evenVBand="1" w:oddHBand="0" w:evenHBand="0" w:firstRowFirstColumn="0" w:firstRowLastColumn="0" w:lastRowFirstColumn="0" w:lastRowLastColumn="0"/>
            <w:tcW w:w="399" w:type="pct"/>
          </w:tcPr>
          <w:p w14:paraId="395FAE2C" w14:textId="77777777" w:rsidR="005D2595" w:rsidRPr="0067507D" w:rsidRDefault="005D2595" w:rsidP="00FC3AF2">
            <w:pPr>
              <w:pStyle w:val="Tabletextright"/>
              <w:spacing w:before="15" w:after="15"/>
              <w:rPr>
                <w:szCs w:val="15"/>
              </w:rPr>
            </w:pPr>
          </w:p>
        </w:tc>
        <w:tc>
          <w:tcPr>
            <w:cnfStyle w:val="000010000000" w:firstRow="0" w:lastRow="0" w:firstColumn="0" w:lastColumn="0" w:oddVBand="1" w:evenVBand="0" w:oddHBand="0" w:evenHBand="0" w:firstRowFirstColumn="0" w:firstRowLastColumn="0" w:lastRowFirstColumn="0" w:lastRowLastColumn="0"/>
            <w:tcW w:w="388" w:type="pct"/>
          </w:tcPr>
          <w:p w14:paraId="26A99DA3" w14:textId="77777777" w:rsidR="005D2595" w:rsidRPr="0067507D" w:rsidRDefault="005D2595" w:rsidP="00FC3AF2">
            <w:pPr>
              <w:pStyle w:val="Tabletextright"/>
              <w:spacing w:before="15" w:after="15"/>
              <w:rPr>
                <w:szCs w:val="15"/>
              </w:rPr>
            </w:pPr>
          </w:p>
        </w:tc>
        <w:tc>
          <w:tcPr>
            <w:cnfStyle w:val="000001000000" w:firstRow="0" w:lastRow="0" w:firstColumn="0" w:lastColumn="0" w:oddVBand="0" w:evenVBand="1" w:oddHBand="0" w:evenHBand="0" w:firstRowFirstColumn="0" w:firstRowLastColumn="0" w:lastRowFirstColumn="0" w:lastRowLastColumn="0"/>
            <w:tcW w:w="453" w:type="pct"/>
          </w:tcPr>
          <w:p w14:paraId="54112CE9" w14:textId="77777777" w:rsidR="005D2595" w:rsidRPr="0067507D" w:rsidRDefault="005D2595" w:rsidP="00FC3AF2">
            <w:pPr>
              <w:pStyle w:val="Tabletextright"/>
              <w:spacing w:before="15" w:after="15"/>
              <w:rPr>
                <w:szCs w:val="15"/>
              </w:rPr>
            </w:pPr>
          </w:p>
        </w:tc>
        <w:tc>
          <w:tcPr>
            <w:cnfStyle w:val="000010000000" w:firstRow="0" w:lastRow="0" w:firstColumn="0" w:lastColumn="0" w:oddVBand="1" w:evenVBand="0" w:oddHBand="0" w:evenHBand="0" w:firstRowFirstColumn="0" w:firstRowLastColumn="0" w:lastRowFirstColumn="0" w:lastRowLastColumn="0"/>
            <w:tcW w:w="437" w:type="pct"/>
          </w:tcPr>
          <w:p w14:paraId="31F4D76A" w14:textId="77777777" w:rsidR="005D2595" w:rsidRPr="0067507D" w:rsidRDefault="005D2595" w:rsidP="00FC3AF2">
            <w:pPr>
              <w:pStyle w:val="Tabletextright"/>
              <w:spacing w:before="15" w:after="15"/>
              <w:rPr>
                <w:szCs w:val="15"/>
              </w:rPr>
            </w:pPr>
          </w:p>
        </w:tc>
        <w:tc>
          <w:tcPr>
            <w:cnfStyle w:val="000001000000" w:firstRow="0" w:lastRow="0" w:firstColumn="0" w:lastColumn="0" w:oddVBand="0" w:evenVBand="1" w:oddHBand="0" w:evenHBand="0" w:firstRowFirstColumn="0" w:firstRowLastColumn="0" w:lastRowFirstColumn="0" w:lastRowLastColumn="0"/>
            <w:tcW w:w="399" w:type="pct"/>
          </w:tcPr>
          <w:p w14:paraId="18F8BF26" w14:textId="77777777" w:rsidR="005D2595" w:rsidRPr="0067507D" w:rsidRDefault="005D2595" w:rsidP="00FC3AF2">
            <w:pPr>
              <w:pStyle w:val="Tabletextright"/>
              <w:spacing w:before="15" w:after="15"/>
              <w:rPr>
                <w:szCs w:val="15"/>
              </w:rPr>
            </w:pPr>
          </w:p>
        </w:tc>
        <w:tc>
          <w:tcPr>
            <w:cnfStyle w:val="000010000000" w:firstRow="0" w:lastRow="0" w:firstColumn="0" w:lastColumn="0" w:oddVBand="1" w:evenVBand="0" w:oddHBand="0" w:evenHBand="0" w:firstRowFirstColumn="0" w:firstRowLastColumn="0" w:lastRowFirstColumn="0" w:lastRowLastColumn="0"/>
            <w:tcW w:w="406" w:type="pct"/>
          </w:tcPr>
          <w:p w14:paraId="19C9CCC7" w14:textId="77777777" w:rsidR="005D2595" w:rsidRPr="0067507D" w:rsidRDefault="005D2595" w:rsidP="00FC3AF2">
            <w:pPr>
              <w:pStyle w:val="Tabletextright"/>
              <w:spacing w:before="15" w:after="15"/>
              <w:rPr>
                <w:szCs w:val="15"/>
              </w:rPr>
            </w:pPr>
          </w:p>
        </w:tc>
        <w:tc>
          <w:tcPr>
            <w:cnfStyle w:val="000001000000" w:firstRow="0" w:lastRow="0" w:firstColumn="0" w:lastColumn="0" w:oddVBand="0" w:evenVBand="1" w:oddHBand="0" w:evenHBand="0" w:firstRowFirstColumn="0" w:firstRowLastColumn="0" w:lastRowFirstColumn="0" w:lastRowLastColumn="0"/>
            <w:tcW w:w="456" w:type="pct"/>
          </w:tcPr>
          <w:p w14:paraId="6DC1BC11" w14:textId="77777777" w:rsidR="005D2595" w:rsidRPr="0067507D" w:rsidRDefault="005D2595" w:rsidP="00FC3AF2">
            <w:pPr>
              <w:pStyle w:val="Tabletextright"/>
              <w:spacing w:before="15" w:after="15"/>
              <w:rPr>
                <w:szCs w:val="15"/>
              </w:rPr>
            </w:pPr>
          </w:p>
        </w:tc>
        <w:tc>
          <w:tcPr>
            <w:cnfStyle w:val="000010000000" w:firstRow="0" w:lastRow="0" w:firstColumn="0" w:lastColumn="0" w:oddVBand="1" w:evenVBand="0" w:oddHBand="0" w:evenHBand="0" w:firstRowFirstColumn="0" w:firstRowLastColumn="0" w:lastRowFirstColumn="0" w:lastRowLastColumn="0"/>
            <w:tcW w:w="449" w:type="pct"/>
          </w:tcPr>
          <w:p w14:paraId="3C58C6D8" w14:textId="77777777" w:rsidR="005D2595" w:rsidRPr="0067507D" w:rsidRDefault="005D2595" w:rsidP="00FC3AF2">
            <w:pPr>
              <w:pStyle w:val="Tabletextright"/>
              <w:spacing w:before="15" w:after="15"/>
              <w:rPr>
                <w:szCs w:val="15"/>
              </w:rPr>
            </w:pPr>
          </w:p>
        </w:tc>
      </w:tr>
      <w:tr w:rsidR="005D2595" w:rsidRPr="0067507D" w14:paraId="2387EA3F"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585B237D" w14:textId="77777777" w:rsidR="005D2595" w:rsidRPr="0067507D" w:rsidRDefault="005D2595" w:rsidP="00FC3AF2">
            <w:pPr>
              <w:pStyle w:val="Tabletext"/>
              <w:spacing w:before="15" w:after="15"/>
            </w:pPr>
            <w:r w:rsidRPr="0067507D">
              <w:t xml:space="preserve">Cattle compensation fund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438" w:type="pct"/>
          </w:tcPr>
          <w:p w14:paraId="3B6D57F0" w14:textId="77777777" w:rsidR="005D2595" w:rsidRPr="0067507D" w:rsidRDefault="005D2595" w:rsidP="00FC3AF2">
            <w:pPr>
              <w:pStyle w:val="Tabletextright"/>
              <w:spacing w:before="15" w:after="15"/>
              <w:rPr>
                <w:szCs w:val="15"/>
              </w:rPr>
            </w:pPr>
            <w:r w:rsidRPr="0067507D">
              <w:t xml:space="preserve"> – </w:t>
            </w:r>
          </w:p>
        </w:tc>
        <w:tc>
          <w:tcPr>
            <w:cnfStyle w:val="000001000000" w:firstRow="0" w:lastRow="0" w:firstColumn="0" w:lastColumn="0" w:oddVBand="0" w:evenVBand="1" w:oddHBand="0" w:evenHBand="0" w:firstRowFirstColumn="0" w:firstRowLastColumn="0" w:lastRowFirstColumn="0" w:lastRowLastColumn="0"/>
            <w:tcW w:w="399" w:type="pct"/>
          </w:tcPr>
          <w:p w14:paraId="6CD370BF" w14:textId="77777777" w:rsidR="005D2595" w:rsidRPr="0067507D" w:rsidRDefault="005D2595" w:rsidP="00FC3AF2">
            <w:pPr>
              <w:pStyle w:val="Tabletextright"/>
              <w:spacing w:before="15" w:after="15"/>
              <w:rPr>
                <w:szCs w:val="15"/>
              </w:rPr>
            </w:pPr>
            <w:r w:rsidRPr="0067507D">
              <w:t xml:space="preserve"> 6 188 </w:t>
            </w:r>
          </w:p>
        </w:tc>
        <w:tc>
          <w:tcPr>
            <w:cnfStyle w:val="000010000000" w:firstRow="0" w:lastRow="0" w:firstColumn="0" w:lastColumn="0" w:oddVBand="1" w:evenVBand="0" w:oddHBand="0" w:evenHBand="0" w:firstRowFirstColumn="0" w:firstRowLastColumn="0" w:lastRowFirstColumn="0" w:lastRowLastColumn="0"/>
            <w:tcW w:w="388" w:type="pct"/>
          </w:tcPr>
          <w:p w14:paraId="06993212" w14:textId="77777777" w:rsidR="005D2595" w:rsidRPr="0067507D" w:rsidRDefault="005D2595" w:rsidP="00FC3AF2">
            <w:pPr>
              <w:pStyle w:val="Tabletextright"/>
              <w:spacing w:before="15" w:after="15"/>
              <w:rPr>
                <w:szCs w:val="15"/>
              </w:rPr>
            </w:pPr>
            <w:r w:rsidRPr="0067507D">
              <w:t xml:space="preserve">(6 188) </w:t>
            </w:r>
          </w:p>
        </w:tc>
        <w:tc>
          <w:tcPr>
            <w:cnfStyle w:val="000001000000" w:firstRow="0" w:lastRow="0" w:firstColumn="0" w:lastColumn="0" w:oddVBand="0" w:evenVBand="1" w:oddHBand="0" w:evenHBand="0" w:firstRowFirstColumn="0" w:firstRowLastColumn="0" w:lastRowFirstColumn="0" w:lastRowLastColumn="0"/>
            <w:tcW w:w="453" w:type="pct"/>
          </w:tcPr>
          <w:p w14:paraId="3E22988F"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37" w:type="pct"/>
          </w:tcPr>
          <w:p w14:paraId="50436C62"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399" w:type="pct"/>
          </w:tcPr>
          <w:p w14:paraId="45A1BB8D" w14:textId="77777777" w:rsidR="005D2595" w:rsidRPr="0067507D" w:rsidRDefault="005D2595" w:rsidP="00FC3AF2">
            <w:pPr>
              <w:pStyle w:val="Tabletextright"/>
              <w:spacing w:before="15" w:after="15"/>
              <w:rPr>
                <w:szCs w:val="15"/>
              </w:rPr>
            </w:pPr>
            <w:r w:rsidRPr="0067507D">
              <w:t xml:space="preserve"> 4 890 </w:t>
            </w:r>
          </w:p>
        </w:tc>
        <w:tc>
          <w:tcPr>
            <w:cnfStyle w:val="000010000000" w:firstRow="0" w:lastRow="0" w:firstColumn="0" w:lastColumn="0" w:oddVBand="1" w:evenVBand="0" w:oddHBand="0" w:evenHBand="0" w:firstRowFirstColumn="0" w:firstRowLastColumn="0" w:lastRowFirstColumn="0" w:lastRowLastColumn="0"/>
            <w:tcW w:w="406" w:type="pct"/>
          </w:tcPr>
          <w:p w14:paraId="68A4E2CB" w14:textId="77777777" w:rsidR="005D2595" w:rsidRPr="0067507D" w:rsidRDefault="005D2595" w:rsidP="00FC3AF2">
            <w:pPr>
              <w:pStyle w:val="Tabletextright"/>
              <w:spacing w:before="15" w:after="15"/>
              <w:rPr>
                <w:szCs w:val="15"/>
              </w:rPr>
            </w:pPr>
            <w:r w:rsidRPr="0067507D">
              <w:t xml:space="preserve">(4 890) </w:t>
            </w:r>
          </w:p>
        </w:tc>
        <w:tc>
          <w:tcPr>
            <w:cnfStyle w:val="000001000000" w:firstRow="0" w:lastRow="0" w:firstColumn="0" w:lastColumn="0" w:oddVBand="0" w:evenVBand="1" w:oddHBand="0" w:evenHBand="0" w:firstRowFirstColumn="0" w:firstRowLastColumn="0" w:lastRowFirstColumn="0" w:lastRowLastColumn="0"/>
            <w:tcW w:w="456" w:type="pct"/>
          </w:tcPr>
          <w:p w14:paraId="189D6608"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6960040A" w14:textId="77777777" w:rsidR="005D2595" w:rsidRPr="0067507D" w:rsidRDefault="005D2595" w:rsidP="00FC3AF2">
            <w:pPr>
              <w:pStyle w:val="Tabletextright"/>
              <w:spacing w:before="15" w:after="15"/>
            </w:pPr>
            <w:r w:rsidRPr="0067507D">
              <w:t xml:space="preserve">– </w:t>
            </w:r>
          </w:p>
        </w:tc>
      </w:tr>
      <w:tr w:rsidR="005D2595" w:rsidRPr="0067507D" w14:paraId="316D47DA"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30323AF8" w14:textId="77777777" w:rsidR="005D2595" w:rsidRPr="0067507D" w:rsidRDefault="005D2595" w:rsidP="00FC3AF2">
            <w:pPr>
              <w:pStyle w:val="Tabletext"/>
              <w:spacing w:before="15" w:after="15"/>
            </w:pPr>
            <w:r w:rsidRPr="0067507D">
              <w:t xml:space="preserve">Community support fund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438" w:type="pct"/>
          </w:tcPr>
          <w:p w14:paraId="120D0BE5" w14:textId="77777777" w:rsidR="005D2595" w:rsidRPr="0067507D" w:rsidRDefault="005D2595" w:rsidP="00FC3AF2">
            <w:pPr>
              <w:pStyle w:val="Tabletextright"/>
              <w:spacing w:before="15" w:after="15"/>
              <w:rPr>
                <w:szCs w:val="15"/>
              </w:rPr>
            </w:pPr>
            <w:r w:rsidRPr="0067507D">
              <w:t xml:space="preserve"> 266 826 </w:t>
            </w:r>
          </w:p>
        </w:tc>
        <w:tc>
          <w:tcPr>
            <w:cnfStyle w:val="000001000000" w:firstRow="0" w:lastRow="0" w:firstColumn="0" w:lastColumn="0" w:oddVBand="0" w:evenVBand="1" w:oddHBand="0" w:evenHBand="0" w:firstRowFirstColumn="0" w:firstRowLastColumn="0" w:lastRowFirstColumn="0" w:lastRowLastColumn="0"/>
            <w:tcW w:w="399" w:type="pct"/>
          </w:tcPr>
          <w:p w14:paraId="198E14D4" w14:textId="77777777" w:rsidR="005D2595" w:rsidRPr="0067507D" w:rsidRDefault="005D2595" w:rsidP="00FC3AF2">
            <w:pPr>
              <w:pStyle w:val="Tabletextright"/>
              <w:spacing w:before="15" w:after="15"/>
              <w:rPr>
                <w:szCs w:val="15"/>
              </w:rPr>
            </w:pPr>
            <w:r w:rsidRPr="0067507D">
              <w:t xml:space="preserve"> 168 736 </w:t>
            </w:r>
          </w:p>
        </w:tc>
        <w:tc>
          <w:tcPr>
            <w:cnfStyle w:val="000010000000" w:firstRow="0" w:lastRow="0" w:firstColumn="0" w:lastColumn="0" w:oddVBand="1" w:evenVBand="0" w:oddHBand="0" w:evenHBand="0" w:firstRowFirstColumn="0" w:firstRowLastColumn="0" w:lastRowFirstColumn="0" w:lastRowLastColumn="0"/>
            <w:tcW w:w="388" w:type="pct"/>
          </w:tcPr>
          <w:p w14:paraId="7AC1CB2D" w14:textId="77777777" w:rsidR="005D2595" w:rsidRPr="0067507D" w:rsidRDefault="005D2595" w:rsidP="00FC3AF2">
            <w:pPr>
              <w:pStyle w:val="Tabletextright"/>
              <w:spacing w:before="15" w:after="15"/>
              <w:rPr>
                <w:szCs w:val="15"/>
              </w:rPr>
            </w:pPr>
            <w:r w:rsidRPr="0067507D">
              <w:t xml:space="preserve">(111 745) </w:t>
            </w:r>
          </w:p>
        </w:tc>
        <w:tc>
          <w:tcPr>
            <w:cnfStyle w:val="000001000000" w:firstRow="0" w:lastRow="0" w:firstColumn="0" w:lastColumn="0" w:oddVBand="0" w:evenVBand="1" w:oddHBand="0" w:evenHBand="0" w:firstRowFirstColumn="0" w:firstRowLastColumn="0" w:lastRowFirstColumn="0" w:lastRowLastColumn="0"/>
            <w:tcW w:w="453" w:type="pct"/>
          </w:tcPr>
          <w:p w14:paraId="779C6618" w14:textId="77777777" w:rsidR="005D2595" w:rsidRPr="0067507D" w:rsidRDefault="005D2595" w:rsidP="00FC3AF2">
            <w:pPr>
              <w:pStyle w:val="Tabletextright"/>
              <w:spacing w:before="15" w:after="15"/>
              <w:rPr>
                <w:szCs w:val="15"/>
              </w:rPr>
            </w:pPr>
            <w:r w:rsidRPr="0067507D">
              <w:t xml:space="preserve"> 323 817 </w:t>
            </w:r>
          </w:p>
        </w:tc>
        <w:tc>
          <w:tcPr>
            <w:cnfStyle w:val="000010000000" w:firstRow="0" w:lastRow="0" w:firstColumn="0" w:lastColumn="0" w:oddVBand="1" w:evenVBand="0" w:oddHBand="0" w:evenHBand="0" w:firstRowFirstColumn="0" w:firstRowLastColumn="0" w:lastRowFirstColumn="0" w:lastRowLastColumn="0"/>
            <w:tcW w:w="437" w:type="pct"/>
          </w:tcPr>
          <w:p w14:paraId="4605A486" w14:textId="77777777" w:rsidR="005D2595" w:rsidRPr="0067507D" w:rsidRDefault="005D2595" w:rsidP="00FC3AF2">
            <w:pPr>
              <w:pStyle w:val="Tabletextright"/>
              <w:spacing w:before="15" w:after="15"/>
              <w:rPr>
                <w:szCs w:val="15"/>
              </w:rPr>
            </w:pPr>
            <w:r w:rsidRPr="0067507D">
              <w:t xml:space="preserve"> 187 447 </w:t>
            </w:r>
          </w:p>
        </w:tc>
        <w:tc>
          <w:tcPr>
            <w:cnfStyle w:val="000001000000" w:firstRow="0" w:lastRow="0" w:firstColumn="0" w:lastColumn="0" w:oddVBand="0" w:evenVBand="1" w:oddHBand="0" w:evenHBand="0" w:firstRowFirstColumn="0" w:firstRowLastColumn="0" w:lastRowFirstColumn="0" w:lastRowLastColumn="0"/>
            <w:tcW w:w="399" w:type="pct"/>
          </w:tcPr>
          <w:p w14:paraId="6185819E" w14:textId="77777777" w:rsidR="005D2595" w:rsidRPr="0067507D" w:rsidRDefault="005D2595" w:rsidP="00FC3AF2">
            <w:pPr>
              <w:pStyle w:val="Tabletextright"/>
              <w:spacing w:before="15" w:after="15"/>
              <w:rPr>
                <w:szCs w:val="15"/>
              </w:rPr>
            </w:pPr>
            <w:r w:rsidRPr="0067507D">
              <w:t xml:space="preserve"> 175 176 </w:t>
            </w:r>
          </w:p>
        </w:tc>
        <w:tc>
          <w:tcPr>
            <w:cnfStyle w:val="000010000000" w:firstRow="0" w:lastRow="0" w:firstColumn="0" w:lastColumn="0" w:oddVBand="1" w:evenVBand="0" w:oddHBand="0" w:evenHBand="0" w:firstRowFirstColumn="0" w:firstRowLastColumn="0" w:lastRowFirstColumn="0" w:lastRowLastColumn="0"/>
            <w:tcW w:w="406" w:type="pct"/>
          </w:tcPr>
          <w:p w14:paraId="59CA7B8A" w14:textId="77777777" w:rsidR="005D2595" w:rsidRPr="0067507D" w:rsidRDefault="005D2595" w:rsidP="00FC3AF2">
            <w:pPr>
              <w:pStyle w:val="Tabletextright"/>
              <w:spacing w:before="15" w:after="15"/>
              <w:rPr>
                <w:szCs w:val="15"/>
              </w:rPr>
            </w:pPr>
            <w:r w:rsidRPr="0067507D">
              <w:t xml:space="preserve">(95 797) </w:t>
            </w:r>
          </w:p>
        </w:tc>
        <w:tc>
          <w:tcPr>
            <w:cnfStyle w:val="000001000000" w:firstRow="0" w:lastRow="0" w:firstColumn="0" w:lastColumn="0" w:oddVBand="0" w:evenVBand="1" w:oddHBand="0" w:evenHBand="0" w:firstRowFirstColumn="0" w:firstRowLastColumn="0" w:lastRowFirstColumn="0" w:lastRowLastColumn="0"/>
            <w:tcW w:w="456" w:type="pct"/>
          </w:tcPr>
          <w:p w14:paraId="47F2419D"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33CBEDC4" w14:textId="77777777" w:rsidR="005D2595" w:rsidRPr="0067507D" w:rsidRDefault="005D2595" w:rsidP="00FC3AF2">
            <w:pPr>
              <w:pStyle w:val="Tabletextright"/>
              <w:spacing w:before="15" w:after="15"/>
            </w:pPr>
            <w:r w:rsidRPr="0067507D">
              <w:t xml:space="preserve"> 266 826 </w:t>
            </w:r>
          </w:p>
        </w:tc>
      </w:tr>
      <w:tr w:rsidR="005D2595" w:rsidRPr="0067507D" w14:paraId="0ACF742A"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486A5342" w14:textId="77777777" w:rsidR="005D2595" w:rsidRPr="0067507D" w:rsidRDefault="005D2595" w:rsidP="00FC3AF2">
            <w:pPr>
              <w:pStyle w:val="Tabletext"/>
              <w:spacing w:before="15" w:after="15"/>
            </w:pPr>
            <w:r w:rsidRPr="0067507D">
              <w:t xml:space="preserve">Debt portfolio trust </w:t>
            </w:r>
            <w:r w:rsidRPr="0067507D">
              <w:rPr>
                <w:vertAlign w:val="superscript"/>
              </w:rPr>
              <w:t>(c)</w:t>
            </w:r>
          </w:p>
        </w:tc>
        <w:tc>
          <w:tcPr>
            <w:cnfStyle w:val="000010000000" w:firstRow="0" w:lastRow="0" w:firstColumn="0" w:lastColumn="0" w:oddVBand="1" w:evenVBand="0" w:oddHBand="0" w:evenHBand="0" w:firstRowFirstColumn="0" w:firstRowLastColumn="0" w:lastRowFirstColumn="0" w:lastRowLastColumn="0"/>
            <w:tcW w:w="438" w:type="pct"/>
          </w:tcPr>
          <w:p w14:paraId="3208D562" w14:textId="77777777" w:rsidR="005D2595" w:rsidRPr="0067507D" w:rsidDel="00BF61BF" w:rsidRDefault="005D2595" w:rsidP="00FC3AF2">
            <w:pPr>
              <w:pStyle w:val="Tabletextright"/>
              <w:spacing w:before="15" w:after="15"/>
              <w:rPr>
                <w:szCs w:val="15"/>
              </w:rPr>
            </w:pPr>
            <w:r w:rsidRPr="0067507D">
              <w:t xml:space="preserve"> 1 363 </w:t>
            </w:r>
          </w:p>
        </w:tc>
        <w:tc>
          <w:tcPr>
            <w:cnfStyle w:val="000001000000" w:firstRow="0" w:lastRow="0" w:firstColumn="0" w:lastColumn="0" w:oddVBand="0" w:evenVBand="1" w:oddHBand="0" w:evenHBand="0" w:firstRowFirstColumn="0" w:firstRowLastColumn="0" w:lastRowFirstColumn="0" w:lastRowLastColumn="0"/>
            <w:tcW w:w="399" w:type="pct"/>
          </w:tcPr>
          <w:p w14:paraId="17EED23E" w14:textId="77777777" w:rsidR="005D2595" w:rsidRPr="0067507D" w:rsidDel="00BF61BF"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388" w:type="pct"/>
          </w:tcPr>
          <w:p w14:paraId="40044C7F"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453" w:type="pct"/>
          </w:tcPr>
          <w:p w14:paraId="7FF771E9" w14:textId="77777777" w:rsidR="005D2595" w:rsidRPr="0067507D" w:rsidDel="00BF61BF" w:rsidRDefault="005D2595" w:rsidP="00FC3AF2">
            <w:pPr>
              <w:pStyle w:val="Tabletextright"/>
              <w:spacing w:before="15" w:after="15"/>
              <w:rPr>
                <w:szCs w:val="15"/>
              </w:rPr>
            </w:pPr>
            <w:r w:rsidRPr="0067507D">
              <w:t xml:space="preserve"> 1 363 </w:t>
            </w:r>
          </w:p>
        </w:tc>
        <w:tc>
          <w:tcPr>
            <w:cnfStyle w:val="000010000000" w:firstRow="0" w:lastRow="0" w:firstColumn="0" w:lastColumn="0" w:oddVBand="1" w:evenVBand="0" w:oddHBand="0" w:evenHBand="0" w:firstRowFirstColumn="0" w:firstRowLastColumn="0" w:lastRowFirstColumn="0" w:lastRowLastColumn="0"/>
            <w:tcW w:w="437" w:type="pct"/>
          </w:tcPr>
          <w:p w14:paraId="52D9E650" w14:textId="77777777" w:rsidR="005D2595" w:rsidRPr="0067507D" w:rsidRDefault="005D2595" w:rsidP="00FC3AF2">
            <w:pPr>
              <w:pStyle w:val="Tabletextright"/>
              <w:spacing w:before="15" w:after="15"/>
              <w:rPr>
                <w:szCs w:val="15"/>
              </w:rPr>
            </w:pPr>
            <w:r w:rsidRPr="0067507D">
              <w:t xml:space="preserve"> 1 363 </w:t>
            </w:r>
          </w:p>
        </w:tc>
        <w:tc>
          <w:tcPr>
            <w:cnfStyle w:val="000001000000" w:firstRow="0" w:lastRow="0" w:firstColumn="0" w:lastColumn="0" w:oddVBand="0" w:evenVBand="1" w:oddHBand="0" w:evenHBand="0" w:firstRowFirstColumn="0" w:firstRowLastColumn="0" w:lastRowFirstColumn="0" w:lastRowLastColumn="0"/>
            <w:tcW w:w="399" w:type="pct"/>
          </w:tcPr>
          <w:p w14:paraId="0C656FD8"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06" w:type="pct"/>
          </w:tcPr>
          <w:p w14:paraId="2A8070B6"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456" w:type="pct"/>
          </w:tcPr>
          <w:p w14:paraId="1C70B549"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2AE769B8" w14:textId="77777777" w:rsidR="005D2595" w:rsidRPr="0067507D" w:rsidRDefault="005D2595" w:rsidP="00FC3AF2">
            <w:pPr>
              <w:pStyle w:val="Tabletextright"/>
              <w:spacing w:before="15" w:after="15"/>
            </w:pPr>
            <w:r w:rsidRPr="0067507D">
              <w:t xml:space="preserve"> 1 363 </w:t>
            </w:r>
          </w:p>
        </w:tc>
      </w:tr>
      <w:tr w:rsidR="005D2595" w:rsidRPr="0067507D" w14:paraId="2CFBA17D"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53A82B33" w14:textId="57BBB2BD" w:rsidR="005D2595" w:rsidRPr="0067507D" w:rsidRDefault="005D2595" w:rsidP="00FC3AF2">
            <w:pPr>
              <w:pStyle w:val="Tabletext"/>
              <w:spacing w:before="15" w:after="15"/>
            </w:pPr>
            <w:r w:rsidRPr="0067507D">
              <w:t>Inter</w:t>
            </w:r>
            <w:r w:rsidR="006A5485">
              <w:noBreakHyphen/>
            </w:r>
            <w:r w:rsidRPr="0067507D">
              <w:t xml:space="preserve">departmental transfer trust </w:t>
            </w:r>
            <w:r w:rsidRPr="0067507D">
              <w:rPr>
                <w:vertAlign w:val="superscript"/>
              </w:rPr>
              <w:t>(d)</w:t>
            </w:r>
          </w:p>
        </w:tc>
        <w:tc>
          <w:tcPr>
            <w:cnfStyle w:val="000010000000" w:firstRow="0" w:lastRow="0" w:firstColumn="0" w:lastColumn="0" w:oddVBand="1" w:evenVBand="0" w:oddHBand="0" w:evenHBand="0" w:firstRowFirstColumn="0" w:firstRowLastColumn="0" w:lastRowFirstColumn="0" w:lastRowLastColumn="0"/>
            <w:tcW w:w="438" w:type="pct"/>
          </w:tcPr>
          <w:p w14:paraId="758E295A" w14:textId="77777777" w:rsidR="005D2595" w:rsidRPr="0067507D" w:rsidDel="00BF61BF" w:rsidRDefault="005D2595" w:rsidP="00FC3AF2">
            <w:pPr>
              <w:pStyle w:val="Tabletextright"/>
              <w:spacing w:before="15" w:after="15"/>
              <w:rPr>
                <w:szCs w:val="15"/>
              </w:rPr>
            </w:pPr>
            <w:r w:rsidRPr="0067507D">
              <w:t xml:space="preserve"> 8 520 </w:t>
            </w:r>
          </w:p>
        </w:tc>
        <w:tc>
          <w:tcPr>
            <w:cnfStyle w:val="000001000000" w:firstRow="0" w:lastRow="0" w:firstColumn="0" w:lastColumn="0" w:oddVBand="0" w:evenVBand="1" w:oddHBand="0" w:evenHBand="0" w:firstRowFirstColumn="0" w:firstRowLastColumn="0" w:lastRowFirstColumn="0" w:lastRowLastColumn="0"/>
            <w:tcW w:w="399" w:type="pct"/>
          </w:tcPr>
          <w:p w14:paraId="69D55C20" w14:textId="77777777" w:rsidR="005D2595" w:rsidRPr="0067507D" w:rsidDel="00BF61BF" w:rsidRDefault="005D2595" w:rsidP="00FC3AF2">
            <w:pPr>
              <w:pStyle w:val="Tabletextright"/>
              <w:spacing w:before="15" w:after="15"/>
              <w:rPr>
                <w:szCs w:val="15"/>
              </w:rPr>
            </w:pPr>
            <w:r w:rsidRPr="0067507D">
              <w:t xml:space="preserve"> 3 </w:t>
            </w:r>
          </w:p>
        </w:tc>
        <w:tc>
          <w:tcPr>
            <w:cnfStyle w:val="000010000000" w:firstRow="0" w:lastRow="0" w:firstColumn="0" w:lastColumn="0" w:oddVBand="1" w:evenVBand="0" w:oddHBand="0" w:evenHBand="0" w:firstRowFirstColumn="0" w:firstRowLastColumn="0" w:lastRowFirstColumn="0" w:lastRowLastColumn="0"/>
            <w:tcW w:w="388" w:type="pct"/>
          </w:tcPr>
          <w:p w14:paraId="393C3056" w14:textId="77777777" w:rsidR="005D2595" w:rsidRPr="0067507D" w:rsidRDefault="005D2595" w:rsidP="00FC3AF2">
            <w:pPr>
              <w:pStyle w:val="Tabletextright"/>
              <w:spacing w:before="15" w:after="15"/>
              <w:rPr>
                <w:szCs w:val="15"/>
              </w:rPr>
            </w:pPr>
            <w:r w:rsidRPr="0067507D">
              <w:t xml:space="preserve">(8 523) </w:t>
            </w:r>
          </w:p>
        </w:tc>
        <w:tc>
          <w:tcPr>
            <w:cnfStyle w:val="000001000000" w:firstRow="0" w:lastRow="0" w:firstColumn="0" w:lastColumn="0" w:oddVBand="0" w:evenVBand="1" w:oddHBand="0" w:evenHBand="0" w:firstRowFirstColumn="0" w:firstRowLastColumn="0" w:lastRowFirstColumn="0" w:lastRowLastColumn="0"/>
            <w:tcW w:w="453" w:type="pct"/>
          </w:tcPr>
          <w:p w14:paraId="55171E9E" w14:textId="77777777" w:rsidR="005D2595" w:rsidRPr="0067507D" w:rsidDel="00BF61BF"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37" w:type="pct"/>
          </w:tcPr>
          <w:p w14:paraId="72FE8942" w14:textId="77777777" w:rsidR="005D2595" w:rsidRPr="0067507D" w:rsidRDefault="005D2595" w:rsidP="00FC3AF2">
            <w:pPr>
              <w:pStyle w:val="Tabletextright"/>
              <w:spacing w:before="15" w:after="15"/>
              <w:rPr>
                <w:szCs w:val="15"/>
              </w:rPr>
            </w:pPr>
            <w:r w:rsidRPr="0067507D">
              <w:t xml:space="preserve"> 8 547 </w:t>
            </w:r>
          </w:p>
        </w:tc>
        <w:tc>
          <w:tcPr>
            <w:cnfStyle w:val="000001000000" w:firstRow="0" w:lastRow="0" w:firstColumn="0" w:lastColumn="0" w:oddVBand="0" w:evenVBand="1" w:oddHBand="0" w:evenHBand="0" w:firstRowFirstColumn="0" w:firstRowLastColumn="0" w:lastRowFirstColumn="0" w:lastRowLastColumn="0"/>
            <w:tcW w:w="399" w:type="pct"/>
          </w:tcPr>
          <w:p w14:paraId="29E49E77" w14:textId="77777777" w:rsidR="005D2595" w:rsidRPr="0067507D" w:rsidRDefault="005D2595" w:rsidP="00FC3AF2">
            <w:pPr>
              <w:pStyle w:val="Tabletextright"/>
              <w:spacing w:before="15" w:after="15"/>
              <w:rPr>
                <w:szCs w:val="15"/>
              </w:rPr>
            </w:pPr>
            <w:r w:rsidRPr="0067507D">
              <w:t xml:space="preserve"> 40 </w:t>
            </w:r>
          </w:p>
        </w:tc>
        <w:tc>
          <w:tcPr>
            <w:cnfStyle w:val="000010000000" w:firstRow="0" w:lastRow="0" w:firstColumn="0" w:lastColumn="0" w:oddVBand="1" w:evenVBand="0" w:oddHBand="0" w:evenHBand="0" w:firstRowFirstColumn="0" w:firstRowLastColumn="0" w:lastRowFirstColumn="0" w:lastRowLastColumn="0"/>
            <w:tcW w:w="406" w:type="pct"/>
          </w:tcPr>
          <w:p w14:paraId="42A00DE0" w14:textId="77777777" w:rsidR="005D2595" w:rsidRPr="0067507D" w:rsidRDefault="005D2595" w:rsidP="00FC3AF2">
            <w:pPr>
              <w:pStyle w:val="Tabletextright"/>
              <w:spacing w:before="15" w:after="15"/>
              <w:rPr>
                <w:szCs w:val="15"/>
              </w:rPr>
            </w:pPr>
            <w:r w:rsidRPr="0067507D">
              <w:t xml:space="preserve">(67) </w:t>
            </w:r>
          </w:p>
        </w:tc>
        <w:tc>
          <w:tcPr>
            <w:cnfStyle w:val="000001000000" w:firstRow="0" w:lastRow="0" w:firstColumn="0" w:lastColumn="0" w:oddVBand="0" w:evenVBand="1" w:oddHBand="0" w:evenHBand="0" w:firstRowFirstColumn="0" w:firstRowLastColumn="0" w:lastRowFirstColumn="0" w:lastRowLastColumn="0"/>
            <w:tcW w:w="456" w:type="pct"/>
          </w:tcPr>
          <w:p w14:paraId="114131A1"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0D19AC82" w14:textId="77777777" w:rsidR="005D2595" w:rsidRPr="0067507D" w:rsidRDefault="005D2595" w:rsidP="00FC3AF2">
            <w:pPr>
              <w:pStyle w:val="Tabletextright"/>
              <w:spacing w:before="15" w:after="15"/>
            </w:pPr>
            <w:r w:rsidRPr="0067507D">
              <w:t xml:space="preserve"> 8 520 </w:t>
            </w:r>
          </w:p>
        </w:tc>
      </w:tr>
      <w:tr w:rsidR="005D2595" w:rsidRPr="0067507D" w14:paraId="05F40C41"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4C6EFCF8" w14:textId="77777777" w:rsidR="005D2595" w:rsidRPr="0067507D" w:rsidRDefault="005D2595" w:rsidP="00FC3AF2">
            <w:pPr>
              <w:pStyle w:val="Tabletext"/>
              <w:spacing w:before="15" w:after="15"/>
            </w:pPr>
            <w:r w:rsidRPr="0067507D">
              <w:t xml:space="preserve">Public service commuter club trust </w:t>
            </w:r>
            <w:r w:rsidRPr="0067507D">
              <w:rPr>
                <w:vertAlign w:val="superscript"/>
              </w:rPr>
              <w:t>(e)</w:t>
            </w:r>
          </w:p>
        </w:tc>
        <w:tc>
          <w:tcPr>
            <w:cnfStyle w:val="000010000000" w:firstRow="0" w:lastRow="0" w:firstColumn="0" w:lastColumn="0" w:oddVBand="1" w:evenVBand="0" w:oddHBand="0" w:evenHBand="0" w:firstRowFirstColumn="0" w:firstRowLastColumn="0" w:lastRowFirstColumn="0" w:lastRowLastColumn="0"/>
            <w:tcW w:w="438" w:type="pct"/>
          </w:tcPr>
          <w:p w14:paraId="58EB97A6" w14:textId="77777777" w:rsidR="005D2595" w:rsidRPr="0067507D" w:rsidDel="00BF61BF" w:rsidRDefault="005D2595" w:rsidP="00FC3AF2">
            <w:pPr>
              <w:pStyle w:val="Tabletextright"/>
              <w:spacing w:before="15" w:after="15"/>
              <w:rPr>
                <w:szCs w:val="15"/>
              </w:rPr>
            </w:pPr>
            <w:r w:rsidRPr="0067507D">
              <w:t xml:space="preserve"> 155 </w:t>
            </w:r>
          </w:p>
        </w:tc>
        <w:tc>
          <w:tcPr>
            <w:cnfStyle w:val="000001000000" w:firstRow="0" w:lastRow="0" w:firstColumn="0" w:lastColumn="0" w:oddVBand="0" w:evenVBand="1" w:oddHBand="0" w:evenHBand="0" w:firstRowFirstColumn="0" w:firstRowLastColumn="0" w:lastRowFirstColumn="0" w:lastRowLastColumn="0"/>
            <w:tcW w:w="399" w:type="pct"/>
          </w:tcPr>
          <w:p w14:paraId="6125A82C" w14:textId="77777777" w:rsidR="005D2595" w:rsidRPr="0067507D" w:rsidDel="00BF61BF" w:rsidRDefault="005D2595" w:rsidP="00FC3AF2">
            <w:pPr>
              <w:pStyle w:val="Tabletextright"/>
              <w:spacing w:before="15" w:after="15"/>
              <w:rPr>
                <w:szCs w:val="15"/>
              </w:rPr>
            </w:pPr>
            <w:r w:rsidRPr="0067507D">
              <w:t xml:space="preserve"> 61 </w:t>
            </w:r>
          </w:p>
        </w:tc>
        <w:tc>
          <w:tcPr>
            <w:cnfStyle w:val="000010000000" w:firstRow="0" w:lastRow="0" w:firstColumn="0" w:lastColumn="0" w:oddVBand="1" w:evenVBand="0" w:oddHBand="0" w:evenHBand="0" w:firstRowFirstColumn="0" w:firstRowLastColumn="0" w:lastRowFirstColumn="0" w:lastRowLastColumn="0"/>
            <w:tcW w:w="388" w:type="pct"/>
          </w:tcPr>
          <w:p w14:paraId="7CB19D43" w14:textId="77777777" w:rsidR="005D2595" w:rsidRPr="0067507D" w:rsidRDefault="005D2595" w:rsidP="00FC3AF2">
            <w:pPr>
              <w:pStyle w:val="Tabletextright"/>
              <w:spacing w:before="15" w:after="15"/>
              <w:rPr>
                <w:szCs w:val="15"/>
              </w:rPr>
            </w:pPr>
            <w:r w:rsidRPr="0067507D">
              <w:t xml:space="preserve">(55) </w:t>
            </w:r>
          </w:p>
        </w:tc>
        <w:tc>
          <w:tcPr>
            <w:cnfStyle w:val="000001000000" w:firstRow="0" w:lastRow="0" w:firstColumn="0" w:lastColumn="0" w:oddVBand="0" w:evenVBand="1" w:oddHBand="0" w:evenHBand="0" w:firstRowFirstColumn="0" w:firstRowLastColumn="0" w:lastRowFirstColumn="0" w:lastRowLastColumn="0"/>
            <w:tcW w:w="453" w:type="pct"/>
          </w:tcPr>
          <w:p w14:paraId="44EB0827" w14:textId="77777777" w:rsidR="005D2595" w:rsidRPr="0067507D" w:rsidDel="00BF61BF" w:rsidRDefault="005D2595" w:rsidP="00FC3AF2">
            <w:pPr>
              <w:pStyle w:val="Tabletextright"/>
              <w:spacing w:before="15" w:after="15"/>
              <w:rPr>
                <w:szCs w:val="15"/>
              </w:rPr>
            </w:pPr>
            <w:r w:rsidRPr="0067507D">
              <w:t xml:space="preserve"> 161 </w:t>
            </w:r>
          </w:p>
        </w:tc>
        <w:tc>
          <w:tcPr>
            <w:cnfStyle w:val="000010000000" w:firstRow="0" w:lastRow="0" w:firstColumn="0" w:lastColumn="0" w:oddVBand="1" w:evenVBand="0" w:oddHBand="0" w:evenHBand="0" w:firstRowFirstColumn="0" w:firstRowLastColumn="0" w:lastRowFirstColumn="0" w:lastRowLastColumn="0"/>
            <w:tcW w:w="437" w:type="pct"/>
          </w:tcPr>
          <w:p w14:paraId="07A4A0E7" w14:textId="77777777" w:rsidR="005D2595" w:rsidRPr="0067507D" w:rsidRDefault="005D2595" w:rsidP="00FC3AF2">
            <w:pPr>
              <w:pStyle w:val="Tabletextright"/>
              <w:spacing w:before="15" w:after="15"/>
              <w:rPr>
                <w:szCs w:val="15"/>
              </w:rPr>
            </w:pPr>
            <w:r w:rsidRPr="0067507D">
              <w:t xml:space="preserve"> 151 </w:t>
            </w:r>
          </w:p>
        </w:tc>
        <w:tc>
          <w:tcPr>
            <w:cnfStyle w:val="000001000000" w:firstRow="0" w:lastRow="0" w:firstColumn="0" w:lastColumn="0" w:oddVBand="0" w:evenVBand="1" w:oddHBand="0" w:evenHBand="0" w:firstRowFirstColumn="0" w:firstRowLastColumn="0" w:lastRowFirstColumn="0" w:lastRowLastColumn="0"/>
            <w:tcW w:w="399" w:type="pct"/>
          </w:tcPr>
          <w:p w14:paraId="51BD8480" w14:textId="77777777" w:rsidR="005D2595" w:rsidRPr="0067507D" w:rsidRDefault="005D2595" w:rsidP="00FC3AF2">
            <w:pPr>
              <w:pStyle w:val="Tabletextright"/>
              <w:spacing w:before="15" w:after="15"/>
              <w:rPr>
                <w:szCs w:val="15"/>
              </w:rPr>
            </w:pPr>
            <w:r w:rsidRPr="0067507D">
              <w:t xml:space="preserve"> 57 </w:t>
            </w:r>
          </w:p>
        </w:tc>
        <w:tc>
          <w:tcPr>
            <w:cnfStyle w:val="000010000000" w:firstRow="0" w:lastRow="0" w:firstColumn="0" w:lastColumn="0" w:oddVBand="1" w:evenVBand="0" w:oddHBand="0" w:evenHBand="0" w:firstRowFirstColumn="0" w:firstRowLastColumn="0" w:lastRowFirstColumn="0" w:lastRowLastColumn="0"/>
            <w:tcW w:w="406" w:type="pct"/>
          </w:tcPr>
          <w:p w14:paraId="6E910062" w14:textId="77777777" w:rsidR="005D2595" w:rsidRPr="0067507D" w:rsidRDefault="005D2595" w:rsidP="00FC3AF2">
            <w:pPr>
              <w:pStyle w:val="Tabletextright"/>
              <w:spacing w:before="15" w:after="15"/>
              <w:rPr>
                <w:szCs w:val="15"/>
              </w:rPr>
            </w:pPr>
            <w:r w:rsidRPr="0067507D">
              <w:t xml:space="preserve">(53) </w:t>
            </w:r>
          </w:p>
        </w:tc>
        <w:tc>
          <w:tcPr>
            <w:cnfStyle w:val="000001000000" w:firstRow="0" w:lastRow="0" w:firstColumn="0" w:lastColumn="0" w:oddVBand="0" w:evenVBand="1" w:oddHBand="0" w:evenHBand="0" w:firstRowFirstColumn="0" w:firstRowLastColumn="0" w:lastRowFirstColumn="0" w:lastRowLastColumn="0"/>
            <w:tcW w:w="456" w:type="pct"/>
          </w:tcPr>
          <w:p w14:paraId="4BC8A04B"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6ABA3E47" w14:textId="77777777" w:rsidR="005D2595" w:rsidRPr="0067507D" w:rsidRDefault="005D2595" w:rsidP="00FC3AF2">
            <w:pPr>
              <w:pStyle w:val="Tabletextright"/>
              <w:spacing w:before="15" w:after="15"/>
            </w:pPr>
            <w:r w:rsidRPr="0067507D">
              <w:t xml:space="preserve"> 155 </w:t>
            </w:r>
          </w:p>
        </w:tc>
      </w:tr>
      <w:tr w:rsidR="005D2595" w:rsidRPr="0067507D" w14:paraId="01F68741"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7E86C0A6" w14:textId="77777777" w:rsidR="005D2595" w:rsidRPr="0067507D" w:rsidRDefault="005D2595" w:rsidP="00FC3AF2">
            <w:pPr>
              <w:pStyle w:val="Tabletext"/>
              <w:spacing w:before="15" w:after="15"/>
            </w:pPr>
            <w:r w:rsidRPr="0067507D">
              <w:t xml:space="preserve">Sheep and goat compensation fund </w:t>
            </w:r>
            <w:r w:rsidRPr="0067507D">
              <w:rPr>
                <w:vertAlign w:val="superscript"/>
              </w:rPr>
              <w:t>(f)</w:t>
            </w:r>
          </w:p>
        </w:tc>
        <w:tc>
          <w:tcPr>
            <w:cnfStyle w:val="000010000000" w:firstRow="0" w:lastRow="0" w:firstColumn="0" w:lastColumn="0" w:oddVBand="1" w:evenVBand="0" w:oddHBand="0" w:evenHBand="0" w:firstRowFirstColumn="0" w:firstRowLastColumn="0" w:lastRowFirstColumn="0" w:lastRowLastColumn="0"/>
            <w:tcW w:w="438" w:type="pct"/>
          </w:tcPr>
          <w:p w14:paraId="12999280"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399" w:type="pct"/>
          </w:tcPr>
          <w:p w14:paraId="2895E516" w14:textId="77777777" w:rsidR="005D2595" w:rsidRPr="0067507D" w:rsidRDefault="005D2595" w:rsidP="00FC3AF2">
            <w:pPr>
              <w:pStyle w:val="Tabletextright"/>
              <w:spacing w:before="15" w:after="15"/>
              <w:rPr>
                <w:szCs w:val="15"/>
              </w:rPr>
            </w:pPr>
            <w:r w:rsidRPr="0067507D">
              <w:t xml:space="preserve"> 4 355 </w:t>
            </w:r>
          </w:p>
        </w:tc>
        <w:tc>
          <w:tcPr>
            <w:cnfStyle w:val="000010000000" w:firstRow="0" w:lastRow="0" w:firstColumn="0" w:lastColumn="0" w:oddVBand="1" w:evenVBand="0" w:oddHBand="0" w:evenHBand="0" w:firstRowFirstColumn="0" w:firstRowLastColumn="0" w:lastRowFirstColumn="0" w:lastRowLastColumn="0"/>
            <w:tcW w:w="388" w:type="pct"/>
          </w:tcPr>
          <w:p w14:paraId="19823365" w14:textId="77777777" w:rsidR="005D2595" w:rsidRPr="0067507D" w:rsidRDefault="005D2595" w:rsidP="00FC3AF2">
            <w:pPr>
              <w:pStyle w:val="Tabletextright"/>
              <w:spacing w:before="15" w:after="15"/>
              <w:rPr>
                <w:szCs w:val="15"/>
              </w:rPr>
            </w:pPr>
            <w:r w:rsidRPr="0067507D">
              <w:t xml:space="preserve">(4 355) </w:t>
            </w:r>
          </w:p>
        </w:tc>
        <w:tc>
          <w:tcPr>
            <w:cnfStyle w:val="000001000000" w:firstRow="0" w:lastRow="0" w:firstColumn="0" w:lastColumn="0" w:oddVBand="0" w:evenVBand="1" w:oddHBand="0" w:evenHBand="0" w:firstRowFirstColumn="0" w:firstRowLastColumn="0" w:lastRowFirstColumn="0" w:lastRowLastColumn="0"/>
            <w:tcW w:w="453" w:type="pct"/>
          </w:tcPr>
          <w:p w14:paraId="32FA5839"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37" w:type="pct"/>
          </w:tcPr>
          <w:p w14:paraId="491754D4"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399" w:type="pct"/>
          </w:tcPr>
          <w:p w14:paraId="1F1E25DB" w14:textId="77777777" w:rsidR="005D2595" w:rsidRPr="0067507D" w:rsidRDefault="005D2595" w:rsidP="00FC3AF2">
            <w:pPr>
              <w:pStyle w:val="Tabletextright"/>
              <w:spacing w:before="15" w:after="15"/>
              <w:rPr>
                <w:szCs w:val="15"/>
              </w:rPr>
            </w:pPr>
            <w:r w:rsidRPr="0067507D">
              <w:t xml:space="preserve"> 4 258 </w:t>
            </w:r>
          </w:p>
        </w:tc>
        <w:tc>
          <w:tcPr>
            <w:cnfStyle w:val="000010000000" w:firstRow="0" w:lastRow="0" w:firstColumn="0" w:lastColumn="0" w:oddVBand="1" w:evenVBand="0" w:oddHBand="0" w:evenHBand="0" w:firstRowFirstColumn="0" w:firstRowLastColumn="0" w:lastRowFirstColumn="0" w:lastRowLastColumn="0"/>
            <w:tcW w:w="406" w:type="pct"/>
          </w:tcPr>
          <w:p w14:paraId="629EF80E" w14:textId="77777777" w:rsidR="005D2595" w:rsidRPr="0067507D" w:rsidRDefault="005D2595" w:rsidP="00FC3AF2">
            <w:pPr>
              <w:pStyle w:val="Tabletextright"/>
              <w:spacing w:before="15" w:after="15"/>
              <w:rPr>
                <w:szCs w:val="15"/>
              </w:rPr>
            </w:pPr>
            <w:r w:rsidRPr="0067507D">
              <w:t xml:space="preserve">(4 258) </w:t>
            </w:r>
          </w:p>
        </w:tc>
        <w:tc>
          <w:tcPr>
            <w:cnfStyle w:val="000001000000" w:firstRow="0" w:lastRow="0" w:firstColumn="0" w:lastColumn="0" w:oddVBand="0" w:evenVBand="1" w:oddHBand="0" w:evenHBand="0" w:firstRowFirstColumn="0" w:firstRowLastColumn="0" w:lastRowFirstColumn="0" w:lastRowLastColumn="0"/>
            <w:tcW w:w="456" w:type="pct"/>
          </w:tcPr>
          <w:p w14:paraId="079F2574"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7F6C89FC" w14:textId="77777777" w:rsidR="005D2595" w:rsidRPr="0067507D" w:rsidRDefault="005D2595" w:rsidP="00FC3AF2">
            <w:pPr>
              <w:pStyle w:val="Tabletextright"/>
              <w:spacing w:before="15" w:after="15"/>
            </w:pPr>
            <w:r w:rsidRPr="0067507D">
              <w:t>–</w:t>
            </w:r>
          </w:p>
        </w:tc>
      </w:tr>
      <w:tr w:rsidR="005D2595" w:rsidRPr="0067507D" w14:paraId="5E8269B1"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69AF8215" w14:textId="77777777" w:rsidR="005D2595" w:rsidRPr="0067507D" w:rsidRDefault="005D2595" w:rsidP="00FC3AF2">
            <w:pPr>
              <w:pStyle w:val="Tabletext"/>
              <w:spacing w:before="15" w:after="15"/>
            </w:pPr>
            <w:r w:rsidRPr="0067507D">
              <w:t xml:space="preserve">Swine compensation fund </w:t>
            </w:r>
            <w:r w:rsidRPr="0067507D">
              <w:rPr>
                <w:vertAlign w:val="superscript"/>
              </w:rPr>
              <w:t>(f)</w:t>
            </w:r>
          </w:p>
        </w:tc>
        <w:tc>
          <w:tcPr>
            <w:cnfStyle w:val="000010000000" w:firstRow="0" w:lastRow="0" w:firstColumn="0" w:lastColumn="0" w:oddVBand="1" w:evenVBand="0" w:oddHBand="0" w:evenHBand="0" w:firstRowFirstColumn="0" w:firstRowLastColumn="0" w:lastRowFirstColumn="0" w:lastRowLastColumn="0"/>
            <w:tcW w:w="438" w:type="pct"/>
          </w:tcPr>
          <w:p w14:paraId="0D1E45B0"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399" w:type="pct"/>
          </w:tcPr>
          <w:p w14:paraId="5D642430" w14:textId="77777777" w:rsidR="005D2595" w:rsidRPr="0067507D" w:rsidRDefault="005D2595" w:rsidP="00FC3AF2">
            <w:pPr>
              <w:pStyle w:val="Tabletextright"/>
              <w:spacing w:before="15" w:after="15"/>
              <w:rPr>
                <w:szCs w:val="15"/>
              </w:rPr>
            </w:pPr>
            <w:r w:rsidRPr="0067507D">
              <w:t xml:space="preserve"> 206 </w:t>
            </w:r>
          </w:p>
        </w:tc>
        <w:tc>
          <w:tcPr>
            <w:cnfStyle w:val="000010000000" w:firstRow="0" w:lastRow="0" w:firstColumn="0" w:lastColumn="0" w:oddVBand="1" w:evenVBand="0" w:oddHBand="0" w:evenHBand="0" w:firstRowFirstColumn="0" w:firstRowLastColumn="0" w:lastRowFirstColumn="0" w:lastRowLastColumn="0"/>
            <w:tcW w:w="388" w:type="pct"/>
          </w:tcPr>
          <w:p w14:paraId="65CD2891" w14:textId="77777777" w:rsidR="005D2595" w:rsidRPr="0067507D" w:rsidRDefault="005D2595" w:rsidP="00FC3AF2">
            <w:pPr>
              <w:pStyle w:val="Tabletextright"/>
              <w:spacing w:before="15" w:after="15"/>
              <w:rPr>
                <w:szCs w:val="15"/>
              </w:rPr>
            </w:pPr>
            <w:r w:rsidRPr="0067507D">
              <w:t xml:space="preserve">(206) </w:t>
            </w:r>
          </w:p>
        </w:tc>
        <w:tc>
          <w:tcPr>
            <w:cnfStyle w:val="000001000000" w:firstRow="0" w:lastRow="0" w:firstColumn="0" w:lastColumn="0" w:oddVBand="0" w:evenVBand="1" w:oddHBand="0" w:evenHBand="0" w:firstRowFirstColumn="0" w:firstRowLastColumn="0" w:lastRowFirstColumn="0" w:lastRowLastColumn="0"/>
            <w:tcW w:w="453" w:type="pct"/>
          </w:tcPr>
          <w:p w14:paraId="0A9A286F"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37" w:type="pct"/>
          </w:tcPr>
          <w:p w14:paraId="570DD110"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399" w:type="pct"/>
          </w:tcPr>
          <w:p w14:paraId="481A2921" w14:textId="77777777" w:rsidR="005D2595" w:rsidRPr="0067507D" w:rsidRDefault="005D2595" w:rsidP="00FC3AF2">
            <w:pPr>
              <w:pStyle w:val="Tabletextright"/>
              <w:spacing w:before="15" w:after="15"/>
              <w:rPr>
                <w:szCs w:val="15"/>
              </w:rPr>
            </w:pPr>
            <w:r w:rsidRPr="0067507D">
              <w:t xml:space="preserve"> 218 </w:t>
            </w:r>
          </w:p>
        </w:tc>
        <w:tc>
          <w:tcPr>
            <w:cnfStyle w:val="000010000000" w:firstRow="0" w:lastRow="0" w:firstColumn="0" w:lastColumn="0" w:oddVBand="1" w:evenVBand="0" w:oddHBand="0" w:evenHBand="0" w:firstRowFirstColumn="0" w:firstRowLastColumn="0" w:lastRowFirstColumn="0" w:lastRowLastColumn="0"/>
            <w:tcW w:w="406" w:type="pct"/>
          </w:tcPr>
          <w:p w14:paraId="2EA8BA6B" w14:textId="77777777" w:rsidR="005D2595" w:rsidRPr="0067507D" w:rsidRDefault="005D2595" w:rsidP="00FC3AF2">
            <w:pPr>
              <w:pStyle w:val="Tabletextright"/>
              <w:spacing w:before="15" w:after="15"/>
              <w:rPr>
                <w:szCs w:val="15"/>
              </w:rPr>
            </w:pPr>
            <w:r w:rsidRPr="0067507D">
              <w:t xml:space="preserve">(218) </w:t>
            </w:r>
          </w:p>
        </w:tc>
        <w:tc>
          <w:tcPr>
            <w:cnfStyle w:val="000001000000" w:firstRow="0" w:lastRow="0" w:firstColumn="0" w:lastColumn="0" w:oddVBand="0" w:evenVBand="1" w:oddHBand="0" w:evenHBand="0" w:firstRowFirstColumn="0" w:firstRowLastColumn="0" w:lastRowFirstColumn="0" w:lastRowLastColumn="0"/>
            <w:tcW w:w="456" w:type="pct"/>
          </w:tcPr>
          <w:p w14:paraId="1A047623"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3834D955" w14:textId="77777777" w:rsidR="005D2595" w:rsidRPr="0067507D" w:rsidRDefault="005D2595" w:rsidP="00FC3AF2">
            <w:pPr>
              <w:pStyle w:val="Tabletextright"/>
              <w:spacing w:before="15" w:after="15"/>
            </w:pPr>
            <w:r w:rsidRPr="0067507D">
              <w:t>–</w:t>
            </w:r>
          </w:p>
        </w:tc>
      </w:tr>
      <w:tr w:rsidR="005D2595" w:rsidRPr="0067507D" w14:paraId="2AB73852"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4C1DA702" w14:textId="77777777" w:rsidR="005D2595" w:rsidRPr="0067507D" w:rsidRDefault="005D2595" w:rsidP="00FC3AF2">
            <w:pPr>
              <w:pStyle w:val="Tabletext"/>
              <w:spacing w:before="15" w:after="15"/>
            </w:pPr>
            <w:r w:rsidRPr="0067507D">
              <w:t xml:space="preserve">Treasury trust </w:t>
            </w:r>
            <w:r w:rsidRPr="0067507D">
              <w:rPr>
                <w:vertAlign w:val="superscript"/>
              </w:rPr>
              <w:t>(g)</w:t>
            </w:r>
          </w:p>
        </w:tc>
        <w:tc>
          <w:tcPr>
            <w:cnfStyle w:val="000010000000" w:firstRow="0" w:lastRow="0" w:firstColumn="0" w:lastColumn="0" w:oddVBand="1" w:evenVBand="0" w:oddHBand="0" w:evenHBand="0" w:firstRowFirstColumn="0" w:firstRowLastColumn="0" w:lastRowFirstColumn="0" w:lastRowLastColumn="0"/>
            <w:tcW w:w="438" w:type="pct"/>
          </w:tcPr>
          <w:p w14:paraId="289CCD4C"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399" w:type="pct"/>
          </w:tcPr>
          <w:p w14:paraId="227CA0B9" w14:textId="77777777" w:rsidR="005D2595" w:rsidRPr="0067507D" w:rsidRDefault="005D2595" w:rsidP="00FC3AF2">
            <w:pPr>
              <w:pStyle w:val="Tabletextright"/>
              <w:spacing w:before="15" w:after="15"/>
              <w:rPr>
                <w:szCs w:val="15"/>
              </w:rPr>
            </w:pPr>
            <w:r w:rsidRPr="0067507D">
              <w:t xml:space="preserve">5 440 740 </w:t>
            </w:r>
          </w:p>
        </w:tc>
        <w:tc>
          <w:tcPr>
            <w:cnfStyle w:val="000010000000" w:firstRow="0" w:lastRow="0" w:firstColumn="0" w:lastColumn="0" w:oddVBand="1" w:evenVBand="0" w:oddHBand="0" w:evenHBand="0" w:firstRowFirstColumn="0" w:firstRowLastColumn="0" w:lastRowFirstColumn="0" w:lastRowLastColumn="0"/>
            <w:tcW w:w="388" w:type="pct"/>
          </w:tcPr>
          <w:p w14:paraId="222E90F5" w14:textId="77777777" w:rsidR="005D2595" w:rsidRPr="0067507D" w:rsidRDefault="005D2595" w:rsidP="00FC3AF2">
            <w:pPr>
              <w:pStyle w:val="Tabletextright"/>
              <w:spacing w:before="15" w:after="15"/>
              <w:rPr>
                <w:szCs w:val="15"/>
              </w:rPr>
            </w:pPr>
            <w:r w:rsidRPr="0067507D">
              <w:t xml:space="preserve">(5 440 740) </w:t>
            </w:r>
          </w:p>
        </w:tc>
        <w:tc>
          <w:tcPr>
            <w:cnfStyle w:val="000001000000" w:firstRow="0" w:lastRow="0" w:firstColumn="0" w:lastColumn="0" w:oddVBand="0" w:evenVBand="1" w:oddHBand="0" w:evenHBand="0" w:firstRowFirstColumn="0" w:firstRowLastColumn="0" w:lastRowFirstColumn="0" w:lastRowLastColumn="0"/>
            <w:tcW w:w="453" w:type="pct"/>
          </w:tcPr>
          <w:p w14:paraId="6F7BBFDF"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37" w:type="pct"/>
          </w:tcPr>
          <w:p w14:paraId="797CC90A"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399" w:type="pct"/>
          </w:tcPr>
          <w:p w14:paraId="43398EBA" w14:textId="77777777" w:rsidR="005D2595" w:rsidRPr="0067507D" w:rsidRDefault="005D2595" w:rsidP="00FC3AF2">
            <w:pPr>
              <w:pStyle w:val="Tabletextright"/>
              <w:spacing w:before="15" w:after="15"/>
              <w:rPr>
                <w:szCs w:val="15"/>
              </w:rPr>
            </w:pPr>
            <w:r w:rsidRPr="0067507D">
              <w:t xml:space="preserve">5 056 336 </w:t>
            </w:r>
          </w:p>
        </w:tc>
        <w:tc>
          <w:tcPr>
            <w:cnfStyle w:val="000010000000" w:firstRow="0" w:lastRow="0" w:firstColumn="0" w:lastColumn="0" w:oddVBand="1" w:evenVBand="0" w:oddHBand="0" w:evenHBand="0" w:firstRowFirstColumn="0" w:firstRowLastColumn="0" w:lastRowFirstColumn="0" w:lastRowLastColumn="0"/>
            <w:tcW w:w="406" w:type="pct"/>
          </w:tcPr>
          <w:p w14:paraId="1225466C" w14:textId="77777777" w:rsidR="005D2595" w:rsidRPr="0067507D" w:rsidRDefault="005D2595" w:rsidP="00FC3AF2">
            <w:pPr>
              <w:pStyle w:val="Tabletextright"/>
              <w:spacing w:before="15" w:after="15"/>
              <w:rPr>
                <w:szCs w:val="15"/>
              </w:rPr>
            </w:pPr>
            <w:r w:rsidRPr="0067507D">
              <w:t xml:space="preserve">(5 056 336) </w:t>
            </w:r>
          </w:p>
        </w:tc>
        <w:tc>
          <w:tcPr>
            <w:cnfStyle w:val="000001000000" w:firstRow="0" w:lastRow="0" w:firstColumn="0" w:lastColumn="0" w:oddVBand="0" w:evenVBand="1" w:oddHBand="0" w:evenHBand="0" w:firstRowFirstColumn="0" w:firstRowLastColumn="0" w:lastRowFirstColumn="0" w:lastRowLastColumn="0"/>
            <w:tcW w:w="456" w:type="pct"/>
          </w:tcPr>
          <w:p w14:paraId="3B0B5056"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3C15C870" w14:textId="77777777" w:rsidR="005D2595" w:rsidRPr="0067507D" w:rsidRDefault="005D2595" w:rsidP="00FC3AF2">
            <w:pPr>
              <w:pStyle w:val="Tabletextright"/>
              <w:spacing w:before="15" w:after="15"/>
            </w:pPr>
            <w:r w:rsidRPr="0067507D">
              <w:t>–</w:t>
            </w:r>
          </w:p>
        </w:tc>
      </w:tr>
      <w:tr w:rsidR="005D2595" w:rsidRPr="0067507D" w14:paraId="47653DEA"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51F86E24" w14:textId="77777777" w:rsidR="005D2595" w:rsidRPr="0067507D" w:rsidRDefault="005D2595" w:rsidP="00FC3AF2">
            <w:pPr>
              <w:pStyle w:val="Tabletext"/>
              <w:spacing w:before="15" w:after="15"/>
            </w:pPr>
            <w:r w:rsidRPr="0067507D">
              <w:t xml:space="preserve">Victorian future fund </w:t>
            </w:r>
            <w:r w:rsidRPr="0067507D">
              <w:rPr>
                <w:vertAlign w:val="superscript"/>
              </w:rPr>
              <w:t>(h)</w:t>
            </w:r>
          </w:p>
        </w:tc>
        <w:tc>
          <w:tcPr>
            <w:cnfStyle w:val="000010000000" w:firstRow="0" w:lastRow="0" w:firstColumn="0" w:lastColumn="0" w:oddVBand="1" w:evenVBand="0" w:oddHBand="0" w:evenHBand="0" w:firstRowFirstColumn="0" w:firstRowLastColumn="0" w:lastRowFirstColumn="0" w:lastRowLastColumn="0"/>
            <w:tcW w:w="438" w:type="pct"/>
          </w:tcPr>
          <w:p w14:paraId="42A63870" w14:textId="77777777" w:rsidR="005D2595" w:rsidRPr="0067507D" w:rsidRDefault="005D2595" w:rsidP="00FC3AF2">
            <w:pPr>
              <w:pStyle w:val="Tabletextright"/>
              <w:spacing w:before="15" w:after="15"/>
              <w:rPr>
                <w:szCs w:val="15"/>
              </w:rPr>
            </w:pPr>
            <w:r w:rsidRPr="0067507D">
              <w:t xml:space="preserve">8 779 726 </w:t>
            </w:r>
          </w:p>
        </w:tc>
        <w:tc>
          <w:tcPr>
            <w:cnfStyle w:val="000001000000" w:firstRow="0" w:lastRow="0" w:firstColumn="0" w:lastColumn="0" w:oddVBand="0" w:evenVBand="1" w:oddHBand="0" w:evenHBand="0" w:firstRowFirstColumn="0" w:firstRowLastColumn="0" w:lastRowFirstColumn="0" w:lastRowLastColumn="0"/>
            <w:tcW w:w="399" w:type="pct"/>
          </w:tcPr>
          <w:p w14:paraId="7DD006F6" w14:textId="77777777" w:rsidR="005D2595" w:rsidRPr="0067507D" w:rsidRDefault="005D2595" w:rsidP="00FC3AF2">
            <w:pPr>
              <w:pStyle w:val="Tabletextright"/>
              <w:spacing w:before="15" w:after="15"/>
              <w:rPr>
                <w:szCs w:val="15"/>
              </w:rPr>
            </w:pPr>
            <w:r w:rsidRPr="0067507D">
              <w:t xml:space="preserve">1 144 712 </w:t>
            </w:r>
          </w:p>
        </w:tc>
        <w:tc>
          <w:tcPr>
            <w:cnfStyle w:val="000010000000" w:firstRow="0" w:lastRow="0" w:firstColumn="0" w:lastColumn="0" w:oddVBand="1" w:evenVBand="0" w:oddHBand="0" w:evenHBand="0" w:firstRowFirstColumn="0" w:firstRowLastColumn="0" w:lastRowFirstColumn="0" w:lastRowLastColumn="0"/>
            <w:tcW w:w="388" w:type="pct"/>
          </w:tcPr>
          <w:p w14:paraId="30A8093F" w14:textId="77777777" w:rsidR="005D2595" w:rsidRPr="0067507D" w:rsidRDefault="005D2595" w:rsidP="00FC3AF2">
            <w:pPr>
              <w:pStyle w:val="Tabletextright"/>
              <w:spacing w:before="15" w:after="15"/>
              <w:rPr>
                <w:szCs w:val="15"/>
              </w:rPr>
            </w:pPr>
            <w:r w:rsidRPr="0067507D">
              <w:t xml:space="preserve">(18 970) </w:t>
            </w:r>
          </w:p>
        </w:tc>
        <w:tc>
          <w:tcPr>
            <w:cnfStyle w:val="000001000000" w:firstRow="0" w:lastRow="0" w:firstColumn="0" w:lastColumn="0" w:oddVBand="0" w:evenVBand="1" w:oddHBand="0" w:evenHBand="0" w:firstRowFirstColumn="0" w:firstRowLastColumn="0" w:lastRowFirstColumn="0" w:lastRowLastColumn="0"/>
            <w:tcW w:w="453" w:type="pct"/>
          </w:tcPr>
          <w:p w14:paraId="397795B9" w14:textId="77777777" w:rsidR="005D2595" w:rsidRPr="0067507D" w:rsidRDefault="005D2595" w:rsidP="00FC3AF2">
            <w:pPr>
              <w:pStyle w:val="Tabletextright"/>
              <w:spacing w:before="15" w:after="15"/>
              <w:rPr>
                <w:szCs w:val="15"/>
              </w:rPr>
            </w:pPr>
            <w:r w:rsidRPr="0067507D">
              <w:t xml:space="preserve">9 905 468 </w:t>
            </w:r>
          </w:p>
        </w:tc>
        <w:tc>
          <w:tcPr>
            <w:cnfStyle w:val="000010000000" w:firstRow="0" w:lastRow="0" w:firstColumn="0" w:lastColumn="0" w:oddVBand="1" w:evenVBand="0" w:oddHBand="0" w:evenHBand="0" w:firstRowFirstColumn="0" w:firstRowLastColumn="0" w:lastRowFirstColumn="0" w:lastRowLastColumn="0"/>
            <w:tcW w:w="437" w:type="pct"/>
          </w:tcPr>
          <w:p w14:paraId="3BB799E6"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399" w:type="pct"/>
          </w:tcPr>
          <w:p w14:paraId="0D97CF2B" w14:textId="77777777" w:rsidR="005D2595" w:rsidRPr="0067507D" w:rsidRDefault="005D2595" w:rsidP="00FC3AF2">
            <w:pPr>
              <w:pStyle w:val="Tabletextright"/>
              <w:spacing w:before="15" w:after="15"/>
              <w:rPr>
                <w:szCs w:val="15"/>
              </w:rPr>
            </w:pPr>
            <w:r w:rsidRPr="0067507D">
              <w:t xml:space="preserve">8 789 708 </w:t>
            </w:r>
          </w:p>
        </w:tc>
        <w:tc>
          <w:tcPr>
            <w:cnfStyle w:val="000010000000" w:firstRow="0" w:lastRow="0" w:firstColumn="0" w:lastColumn="0" w:oddVBand="1" w:evenVBand="0" w:oddHBand="0" w:evenHBand="0" w:firstRowFirstColumn="0" w:firstRowLastColumn="0" w:lastRowFirstColumn="0" w:lastRowLastColumn="0"/>
            <w:tcW w:w="406" w:type="pct"/>
          </w:tcPr>
          <w:p w14:paraId="13F36A75" w14:textId="77777777" w:rsidR="005D2595" w:rsidRPr="0067507D" w:rsidRDefault="005D2595" w:rsidP="00FC3AF2">
            <w:pPr>
              <w:pStyle w:val="Tabletextright"/>
              <w:spacing w:before="15" w:after="15"/>
              <w:rPr>
                <w:szCs w:val="15"/>
              </w:rPr>
            </w:pPr>
            <w:r w:rsidRPr="0067507D">
              <w:t xml:space="preserve">(9 982) </w:t>
            </w:r>
          </w:p>
        </w:tc>
        <w:tc>
          <w:tcPr>
            <w:cnfStyle w:val="000001000000" w:firstRow="0" w:lastRow="0" w:firstColumn="0" w:lastColumn="0" w:oddVBand="0" w:evenVBand="1" w:oddHBand="0" w:evenHBand="0" w:firstRowFirstColumn="0" w:firstRowLastColumn="0" w:lastRowFirstColumn="0" w:lastRowLastColumn="0"/>
            <w:tcW w:w="456" w:type="pct"/>
          </w:tcPr>
          <w:p w14:paraId="7C47C911"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68F984B7" w14:textId="77777777" w:rsidR="005D2595" w:rsidRPr="0067507D" w:rsidRDefault="005D2595" w:rsidP="00FC3AF2">
            <w:pPr>
              <w:pStyle w:val="Tabletextright"/>
              <w:spacing w:before="15" w:after="15"/>
            </w:pPr>
            <w:r w:rsidRPr="0067507D">
              <w:t xml:space="preserve">8 779 726 </w:t>
            </w:r>
          </w:p>
        </w:tc>
      </w:tr>
      <w:tr w:rsidR="005D2595" w:rsidRPr="0067507D" w14:paraId="235A766F"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12052742" w14:textId="77777777" w:rsidR="005D2595" w:rsidRPr="0067507D" w:rsidRDefault="005D2595" w:rsidP="00FC3AF2">
            <w:pPr>
              <w:pStyle w:val="Tabletext"/>
              <w:spacing w:before="15" w:after="15"/>
            </w:pPr>
            <w:r w:rsidRPr="0067507D">
              <w:t xml:space="preserve">Victorian homebuyer fund </w:t>
            </w:r>
            <w:r w:rsidRPr="0067507D">
              <w:rPr>
                <w:vertAlign w:val="superscript"/>
              </w:rPr>
              <w:t>(j)</w:t>
            </w:r>
          </w:p>
        </w:tc>
        <w:tc>
          <w:tcPr>
            <w:cnfStyle w:val="000010000000" w:firstRow="0" w:lastRow="0" w:firstColumn="0" w:lastColumn="0" w:oddVBand="1" w:evenVBand="0" w:oddHBand="0" w:evenHBand="0" w:firstRowFirstColumn="0" w:firstRowLastColumn="0" w:lastRowFirstColumn="0" w:lastRowLastColumn="0"/>
            <w:tcW w:w="438" w:type="pct"/>
          </w:tcPr>
          <w:p w14:paraId="6ABFBC02" w14:textId="77777777" w:rsidR="005D2595" w:rsidRPr="0067507D" w:rsidDel="001D1BB4" w:rsidRDefault="005D2595" w:rsidP="00FC3AF2">
            <w:pPr>
              <w:pStyle w:val="Tabletextright"/>
              <w:spacing w:before="15" w:after="15"/>
              <w:rPr>
                <w:szCs w:val="15"/>
              </w:rPr>
            </w:pPr>
            <w:r w:rsidRPr="0067507D">
              <w:t xml:space="preserve"> 411 883 </w:t>
            </w:r>
          </w:p>
        </w:tc>
        <w:tc>
          <w:tcPr>
            <w:cnfStyle w:val="000001000000" w:firstRow="0" w:lastRow="0" w:firstColumn="0" w:lastColumn="0" w:oddVBand="0" w:evenVBand="1" w:oddHBand="0" w:evenHBand="0" w:firstRowFirstColumn="0" w:firstRowLastColumn="0" w:lastRowFirstColumn="0" w:lastRowLastColumn="0"/>
            <w:tcW w:w="399" w:type="pct"/>
          </w:tcPr>
          <w:p w14:paraId="589C78EF" w14:textId="77777777" w:rsidR="005D2595" w:rsidRPr="0067507D" w:rsidDel="001D1BB4" w:rsidRDefault="005D2595" w:rsidP="00FC3AF2">
            <w:pPr>
              <w:pStyle w:val="Tabletextright"/>
              <w:spacing w:before="15" w:after="15"/>
              <w:rPr>
                <w:szCs w:val="15"/>
              </w:rPr>
            </w:pPr>
            <w:r w:rsidRPr="0067507D">
              <w:t xml:space="preserve"> 705 272 </w:t>
            </w:r>
          </w:p>
        </w:tc>
        <w:tc>
          <w:tcPr>
            <w:cnfStyle w:val="000010000000" w:firstRow="0" w:lastRow="0" w:firstColumn="0" w:lastColumn="0" w:oddVBand="1" w:evenVBand="0" w:oddHBand="0" w:evenHBand="0" w:firstRowFirstColumn="0" w:firstRowLastColumn="0" w:lastRowFirstColumn="0" w:lastRowLastColumn="0"/>
            <w:tcW w:w="388" w:type="pct"/>
          </w:tcPr>
          <w:p w14:paraId="05D84B5C" w14:textId="77777777" w:rsidR="005D2595" w:rsidRPr="0067507D" w:rsidDel="001D1BB4" w:rsidRDefault="005D2595" w:rsidP="00FC3AF2">
            <w:pPr>
              <w:pStyle w:val="Tabletextright"/>
              <w:spacing w:before="15" w:after="15"/>
              <w:rPr>
                <w:szCs w:val="15"/>
              </w:rPr>
            </w:pPr>
            <w:r w:rsidRPr="0067507D">
              <w:t xml:space="preserve">(684 823) </w:t>
            </w:r>
          </w:p>
        </w:tc>
        <w:tc>
          <w:tcPr>
            <w:cnfStyle w:val="000001000000" w:firstRow="0" w:lastRow="0" w:firstColumn="0" w:lastColumn="0" w:oddVBand="0" w:evenVBand="1" w:oddHBand="0" w:evenHBand="0" w:firstRowFirstColumn="0" w:firstRowLastColumn="0" w:lastRowFirstColumn="0" w:lastRowLastColumn="0"/>
            <w:tcW w:w="453" w:type="pct"/>
          </w:tcPr>
          <w:p w14:paraId="55CFB66D" w14:textId="77777777" w:rsidR="005D2595" w:rsidRPr="0067507D" w:rsidDel="001D1BB4" w:rsidRDefault="005D2595" w:rsidP="00FC3AF2">
            <w:pPr>
              <w:pStyle w:val="Tabletextright"/>
              <w:spacing w:before="15" w:after="15"/>
              <w:rPr>
                <w:szCs w:val="15"/>
              </w:rPr>
            </w:pPr>
            <w:r w:rsidRPr="0067507D">
              <w:t xml:space="preserve"> 432 332 </w:t>
            </w:r>
          </w:p>
        </w:tc>
        <w:tc>
          <w:tcPr>
            <w:cnfStyle w:val="000010000000" w:firstRow="0" w:lastRow="0" w:firstColumn="0" w:lastColumn="0" w:oddVBand="1" w:evenVBand="0" w:oddHBand="0" w:evenHBand="0" w:firstRowFirstColumn="0" w:firstRowLastColumn="0" w:lastRowFirstColumn="0" w:lastRowLastColumn="0"/>
            <w:tcW w:w="437" w:type="pct"/>
          </w:tcPr>
          <w:p w14:paraId="1C9661AB" w14:textId="77777777" w:rsidR="005D2595" w:rsidRPr="0067507D" w:rsidRDefault="005D2595" w:rsidP="00FC3AF2">
            <w:pPr>
              <w:pStyle w:val="Tabletextright"/>
              <w:spacing w:before="15" w:after="15"/>
              <w:rPr>
                <w:szCs w:val="15"/>
              </w:rPr>
            </w:pPr>
            <w:r w:rsidRPr="0067507D">
              <w:t xml:space="preserve"> 657 447 </w:t>
            </w:r>
          </w:p>
        </w:tc>
        <w:tc>
          <w:tcPr>
            <w:cnfStyle w:val="000001000000" w:firstRow="0" w:lastRow="0" w:firstColumn="0" w:lastColumn="0" w:oddVBand="0" w:evenVBand="1" w:oddHBand="0" w:evenHBand="0" w:firstRowFirstColumn="0" w:firstRowLastColumn="0" w:lastRowFirstColumn="0" w:lastRowLastColumn="0"/>
            <w:tcW w:w="399" w:type="pct"/>
          </w:tcPr>
          <w:p w14:paraId="502DB071" w14:textId="77777777" w:rsidR="005D2595" w:rsidRPr="0067507D" w:rsidRDefault="005D2595" w:rsidP="00FC3AF2">
            <w:pPr>
              <w:pStyle w:val="Tabletextright"/>
              <w:spacing w:before="15" w:after="15"/>
              <w:rPr>
                <w:szCs w:val="15"/>
              </w:rPr>
            </w:pPr>
            <w:r w:rsidRPr="0067507D">
              <w:t xml:space="preserve"> 767 205 </w:t>
            </w:r>
          </w:p>
        </w:tc>
        <w:tc>
          <w:tcPr>
            <w:cnfStyle w:val="000010000000" w:firstRow="0" w:lastRow="0" w:firstColumn="0" w:lastColumn="0" w:oddVBand="1" w:evenVBand="0" w:oddHBand="0" w:evenHBand="0" w:firstRowFirstColumn="0" w:firstRowLastColumn="0" w:lastRowFirstColumn="0" w:lastRowLastColumn="0"/>
            <w:tcW w:w="406" w:type="pct"/>
          </w:tcPr>
          <w:p w14:paraId="03D6B84B" w14:textId="77777777" w:rsidR="005D2595" w:rsidRPr="0067507D" w:rsidRDefault="005D2595" w:rsidP="00FC3AF2">
            <w:pPr>
              <w:pStyle w:val="Tabletextright"/>
              <w:spacing w:before="15" w:after="15"/>
              <w:rPr>
                <w:szCs w:val="15"/>
              </w:rPr>
            </w:pPr>
            <w:r w:rsidRPr="0067507D">
              <w:t xml:space="preserve">(1 012 769) </w:t>
            </w:r>
          </w:p>
        </w:tc>
        <w:tc>
          <w:tcPr>
            <w:cnfStyle w:val="000001000000" w:firstRow="0" w:lastRow="0" w:firstColumn="0" w:lastColumn="0" w:oddVBand="0" w:evenVBand="1" w:oddHBand="0" w:evenHBand="0" w:firstRowFirstColumn="0" w:firstRowLastColumn="0" w:lastRowFirstColumn="0" w:lastRowLastColumn="0"/>
            <w:tcW w:w="456" w:type="pct"/>
          </w:tcPr>
          <w:p w14:paraId="5F68D588"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53D4BCC3" w14:textId="77777777" w:rsidR="005D2595" w:rsidRPr="0067507D" w:rsidRDefault="005D2595" w:rsidP="00FC3AF2">
            <w:pPr>
              <w:pStyle w:val="Tabletextright"/>
              <w:spacing w:before="15" w:after="15"/>
            </w:pPr>
            <w:r w:rsidRPr="0067507D">
              <w:t xml:space="preserve"> 411 883 </w:t>
            </w:r>
          </w:p>
        </w:tc>
      </w:tr>
      <w:tr w:rsidR="005D2595" w:rsidRPr="0067507D" w14:paraId="51FF7E13"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607E41E3" w14:textId="77777777" w:rsidR="005D2595" w:rsidRPr="0067507D" w:rsidRDefault="005D2595" w:rsidP="00FC3AF2">
            <w:pPr>
              <w:pStyle w:val="Tabletext"/>
              <w:spacing w:before="15" w:after="15"/>
            </w:pPr>
            <w:r w:rsidRPr="0067507D">
              <w:t xml:space="preserve">Victorian social housing growth fund </w:t>
            </w:r>
            <w:r w:rsidRPr="0067507D">
              <w:rPr>
                <w:vertAlign w:val="superscript"/>
              </w:rPr>
              <w:t>(j)</w:t>
            </w:r>
          </w:p>
        </w:tc>
        <w:tc>
          <w:tcPr>
            <w:cnfStyle w:val="000010000000" w:firstRow="0" w:lastRow="0" w:firstColumn="0" w:lastColumn="0" w:oddVBand="1" w:evenVBand="0" w:oddHBand="0" w:evenHBand="0" w:firstRowFirstColumn="0" w:firstRowLastColumn="0" w:lastRowFirstColumn="0" w:lastRowLastColumn="0"/>
            <w:tcW w:w="438" w:type="pct"/>
          </w:tcPr>
          <w:p w14:paraId="66B278D4" w14:textId="77777777" w:rsidR="005D2595" w:rsidRPr="0067507D" w:rsidRDefault="005D2595" w:rsidP="00FC3AF2">
            <w:pPr>
              <w:pStyle w:val="Tabletextright"/>
              <w:spacing w:before="15" w:after="15"/>
            </w:pPr>
            <w:r w:rsidRPr="0067507D">
              <w:t xml:space="preserve">2 791 070 </w:t>
            </w:r>
          </w:p>
        </w:tc>
        <w:tc>
          <w:tcPr>
            <w:cnfStyle w:val="000001000000" w:firstRow="0" w:lastRow="0" w:firstColumn="0" w:lastColumn="0" w:oddVBand="0" w:evenVBand="1" w:oddHBand="0" w:evenHBand="0" w:firstRowFirstColumn="0" w:firstRowLastColumn="0" w:lastRowFirstColumn="0" w:lastRowLastColumn="0"/>
            <w:tcW w:w="399" w:type="pct"/>
          </w:tcPr>
          <w:p w14:paraId="67D25546" w14:textId="77777777" w:rsidR="005D2595" w:rsidRPr="0067507D" w:rsidRDefault="005D2595" w:rsidP="00FC3AF2">
            <w:pPr>
              <w:pStyle w:val="Tabletextright"/>
              <w:spacing w:before="15" w:after="15"/>
            </w:pPr>
            <w:r w:rsidRPr="0067507D">
              <w:t xml:space="preserve"> 443 427 </w:t>
            </w:r>
          </w:p>
        </w:tc>
        <w:tc>
          <w:tcPr>
            <w:cnfStyle w:val="000010000000" w:firstRow="0" w:lastRow="0" w:firstColumn="0" w:lastColumn="0" w:oddVBand="1" w:evenVBand="0" w:oddHBand="0" w:evenHBand="0" w:firstRowFirstColumn="0" w:firstRowLastColumn="0" w:lastRowFirstColumn="0" w:lastRowLastColumn="0"/>
            <w:tcW w:w="388" w:type="pct"/>
          </w:tcPr>
          <w:p w14:paraId="0B1E4CBA" w14:textId="77777777" w:rsidR="005D2595" w:rsidRPr="0067507D" w:rsidRDefault="005D2595" w:rsidP="00FC3AF2">
            <w:pPr>
              <w:pStyle w:val="Tabletextright"/>
              <w:spacing w:before="15" w:after="15"/>
            </w:pPr>
            <w:r w:rsidRPr="0067507D">
              <w:t xml:space="preserve">(338 839) </w:t>
            </w:r>
          </w:p>
        </w:tc>
        <w:tc>
          <w:tcPr>
            <w:cnfStyle w:val="000001000000" w:firstRow="0" w:lastRow="0" w:firstColumn="0" w:lastColumn="0" w:oddVBand="0" w:evenVBand="1" w:oddHBand="0" w:evenHBand="0" w:firstRowFirstColumn="0" w:firstRowLastColumn="0" w:lastRowFirstColumn="0" w:lastRowLastColumn="0"/>
            <w:tcW w:w="453" w:type="pct"/>
          </w:tcPr>
          <w:p w14:paraId="24723D6F" w14:textId="77777777" w:rsidR="005D2595" w:rsidRPr="0067507D" w:rsidRDefault="005D2595" w:rsidP="00FC3AF2">
            <w:pPr>
              <w:pStyle w:val="Tabletextright"/>
              <w:spacing w:before="15" w:after="15"/>
            </w:pPr>
            <w:r w:rsidRPr="0067507D">
              <w:t xml:space="preserve">2 895 658 </w:t>
            </w:r>
          </w:p>
        </w:tc>
        <w:tc>
          <w:tcPr>
            <w:cnfStyle w:val="000010000000" w:firstRow="0" w:lastRow="0" w:firstColumn="0" w:lastColumn="0" w:oddVBand="1" w:evenVBand="0" w:oddHBand="0" w:evenHBand="0" w:firstRowFirstColumn="0" w:firstRowLastColumn="0" w:lastRowFirstColumn="0" w:lastRowLastColumn="0"/>
            <w:tcW w:w="437" w:type="pct"/>
          </w:tcPr>
          <w:p w14:paraId="4DAB9833" w14:textId="77777777" w:rsidR="005D2595" w:rsidRPr="0067507D" w:rsidRDefault="005D2595" w:rsidP="00FC3AF2">
            <w:pPr>
              <w:pStyle w:val="Tabletextright"/>
              <w:spacing w:before="15" w:after="15"/>
            </w:pPr>
            <w:r w:rsidRPr="0067507D">
              <w:t xml:space="preserve">2 162 613 </w:t>
            </w:r>
          </w:p>
        </w:tc>
        <w:tc>
          <w:tcPr>
            <w:cnfStyle w:val="000001000000" w:firstRow="0" w:lastRow="0" w:firstColumn="0" w:lastColumn="0" w:oddVBand="0" w:evenVBand="1" w:oddHBand="0" w:evenHBand="0" w:firstRowFirstColumn="0" w:firstRowLastColumn="0" w:lastRowFirstColumn="0" w:lastRowLastColumn="0"/>
            <w:tcW w:w="399" w:type="pct"/>
          </w:tcPr>
          <w:p w14:paraId="4AFAC44D" w14:textId="77777777" w:rsidR="005D2595" w:rsidRPr="0067507D" w:rsidRDefault="005D2595" w:rsidP="00FC3AF2">
            <w:pPr>
              <w:pStyle w:val="Tabletextright"/>
              <w:spacing w:before="15" w:after="15"/>
            </w:pPr>
            <w:r w:rsidRPr="0067507D">
              <w:t xml:space="preserve"> 847 183 </w:t>
            </w:r>
          </w:p>
        </w:tc>
        <w:tc>
          <w:tcPr>
            <w:cnfStyle w:val="000010000000" w:firstRow="0" w:lastRow="0" w:firstColumn="0" w:lastColumn="0" w:oddVBand="1" w:evenVBand="0" w:oddHBand="0" w:evenHBand="0" w:firstRowFirstColumn="0" w:firstRowLastColumn="0" w:lastRowFirstColumn="0" w:lastRowLastColumn="0"/>
            <w:tcW w:w="406" w:type="pct"/>
          </w:tcPr>
          <w:p w14:paraId="1149ADC5" w14:textId="77777777" w:rsidR="005D2595" w:rsidRPr="0067507D" w:rsidRDefault="005D2595" w:rsidP="00FC3AF2">
            <w:pPr>
              <w:pStyle w:val="Tabletextright"/>
              <w:spacing w:before="15" w:after="15"/>
            </w:pPr>
            <w:r w:rsidRPr="0067507D">
              <w:t xml:space="preserve">(218 726) </w:t>
            </w:r>
          </w:p>
        </w:tc>
        <w:tc>
          <w:tcPr>
            <w:cnfStyle w:val="000001000000" w:firstRow="0" w:lastRow="0" w:firstColumn="0" w:lastColumn="0" w:oddVBand="0" w:evenVBand="1" w:oddHBand="0" w:evenHBand="0" w:firstRowFirstColumn="0" w:firstRowLastColumn="0" w:lastRowFirstColumn="0" w:lastRowLastColumn="0"/>
            <w:tcW w:w="456" w:type="pct"/>
          </w:tcPr>
          <w:p w14:paraId="529C1257" w14:textId="77777777" w:rsidR="005D2595" w:rsidRPr="0067507D" w:rsidRDefault="005D2595" w:rsidP="00FC3AF2">
            <w:pPr>
              <w:pStyle w:val="Tabletextright"/>
              <w:spacing w:before="15" w:after="15"/>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48788127" w14:textId="77777777" w:rsidR="005D2595" w:rsidRPr="0067507D" w:rsidRDefault="005D2595" w:rsidP="00FC3AF2">
            <w:pPr>
              <w:pStyle w:val="Tabletextright"/>
              <w:spacing w:before="15" w:after="15"/>
            </w:pPr>
            <w:r w:rsidRPr="0067507D">
              <w:t xml:space="preserve">2 791 070 </w:t>
            </w:r>
          </w:p>
        </w:tc>
      </w:tr>
      <w:tr w:rsidR="005D2595" w:rsidRPr="0067507D" w14:paraId="1A086A29" w14:textId="77777777" w:rsidTr="00871267">
        <w:tc>
          <w:tcPr>
            <w:cnfStyle w:val="001000000000" w:firstRow="0" w:lastRow="0" w:firstColumn="1" w:lastColumn="0" w:oddVBand="0" w:evenVBand="0" w:oddHBand="0" w:evenHBand="0" w:firstRowFirstColumn="0" w:firstRowLastColumn="0" w:lastRowFirstColumn="0" w:lastRowLastColumn="0"/>
            <w:tcW w:w="1175" w:type="pct"/>
          </w:tcPr>
          <w:p w14:paraId="51946EA0" w14:textId="77777777" w:rsidR="005D2595" w:rsidRPr="0067507D" w:rsidRDefault="005D2595" w:rsidP="00FC3AF2">
            <w:pPr>
              <w:pStyle w:val="Tabletext"/>
              <w:spacing w:before="15" w:after="15"/>
            </w:pPr>
            <w:r w:rsidRPr="0067507D">
              <w:t xml:space="preserve">Victorian transport fund </w:t>
            </w:r>
            <w:r w:rsidRPr="0067507D">
              <w:rPr>
                <w:vertAlign w:val="superscript"/>
              </w:rPr>
              <w:t>(k)</w:t>
            </w:r>
          </w:p>
        </w:tc>
        <w:tc>
          <w:tcPr>
            <w:cnfStyle w:val="000010000000" w:firstRow="0" w:lastRow="0" w:firstColumn="0" w:lastColumn="0" w:oddVBand="1" w:evenVBand="0" w:oddHBand="0" w:evenHBand="0" w:firstRowFirstColumn="0" w:firstRowLastColumn="0" w:lastRowFirstColumn="0" w:lastRowLastColumn="0"/>
            <w:tcW w:w="438" w:type="pct"/>
          </w:tcPr>
          <w:p w14:paraId="4664D427"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399" w:type="pct"/>
          </w:tcPr>
          <w:p w14:paraId="252BC8D1"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388" w:type="pct"/>
          </w:tcPr>
          <w:p w14:paraId="1BC3BBF1" w14:textId="77777777" w:rsidR="005D2595" w:rsidRPr="0067507D" w:rsidRDefault="005D2595" w:rsidP="00FC3AF2">
            <w:pPr>
              <w:pStyle w:val="Tabletextright"/>
              <w:spacing w:before="15" w:after="15"/>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453" w:type="pct"/>
          </w:tcPr>
          <w:p w14:paraId="3F0DC100"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37" w:type="pct"/>
          </w:tcPr>
          <w:p w14:paraId="0DB1FC89" w14:textId="77777777" w:rsidR="005D2595" w:rsidRPr="0067507D" w:rsidRDefault="005D2595" w:rsidP="00FC3AF2">
            <w:pPr>
              <w:pStyle w:val="Tabletextright"/>
              <w:spacing w:before="15" w:after="15"/>
              <w:rPr>
                <w:szCs w:val="15"/>
              </w:rPr>
            </w:pPr>
            <w:r w:rsidRPr="0067507D">
              <w:t xml:space="preserve"> 9 230 </w:t>
            </w:r>
          </w:p>
        </w:tc>
        <w:tc>
          <w:tcPr>
            <w:cnfStyle w:val="000001000000" w:firstRow="0" w:lastRow="0" w:firstColumn="0" w:lastColumn="0" w:oddVBand="0" w:evenVBand="1" w:oddHBand="0" w:evenHBand="0" w:firstRowFirstColumn="0" w:firstRowLastColumn="0" w:lastRowFirstColumn="0" w:lastRowLastColumn="0"/>
            <w:tcW w:w="399" w:type="pct"/>
          </w:tcPr>
          <w:p w14:paraId="0031DDF4" w14:textId="77777777" w:rsidR="005D2595" w:rsidRPr="0067507D" w:rsidRDefault="005D2595" w:rsidP="00FC3AF2">
            <w:pPr>
              <w:pStyle w:val="Tabletextright"/>
              <w:spacing w:before="15" w:after="15"/>
              <w:rPr>
                <w:szCs w:val="15"/>
              </w:rPr>
            </w:pPr>
            <w:r w:rsidRPr="0067507D">
              <w:t xml:space="preserve"> 237 353 </w:t>
            </w:r>
          </w:p>
        </w:tc>
        <w:tc>
          <w:tcPr>
            <w:cnfStyle w:val="000010000000" w:firstRow="0" w:lastRow="0" w:firstColumn="0" w:lastColumn="0" w:oddVBand="1" w:evenVBand="0" w:oddHBand="0" w:evenHBand="0" w:firstRowFirstColumn="0" w:firstRowLastColumn="0" w:lastRowFirstColumn="0" w:lastRowLastColumn="0"/>
            <w:tcW w:w="406" w:type="pct"/>
          </w:tcPr>
          <w:p w14:paraId="141C8660" w14:textId="77777777" w:rsidR="005D2595" w:rsidRPr="0067507D" w:rsidRDefault="005D2595" w:rsidP="00FC3AF2">
            <w:pPr>
              <w:pStyle w:val="Tabletextright"/>
              <w:spacing w:before="15" w:after="15"/>
              <w:rPr>
                <w:szCs w:val="15"/>
              </w:rPr>
            </w:pPr>
            <w:r w:rsidRPr="0067507D">
              <w:t xml:space="preserve">(246 583) </w:t>
            </w:r>
          </w:p>
        </w:tc>
        <w:tc>
          <w:tcPr>
            <w:cnfStyle w:val="000001000000" w:firstRow="0" w:lastRow="0" w:firstColumn="0" w:lastColumn="0" w:oddVBand="0" w:evenVBand="1" w:oddHBand="0" w:evenHBand="0" w:firstRowFirstColumn="0" w:firstRowLastColumn="0" w:lastRowFirstColumn="0" w:lastRowLastColumn="0"/>
            <w:tcW w:w="456" w:type="pct"/>
          </w:tcPr>
          <w:p w14:paraId="255BD537" w14:textId="77777777" w:rsidR="005D2595" w:rsidRPr="0067507D" w:rsidRDefault="005D2595" w:rsidP="00FC3AF2">
            <w:pPr>
              <w:pStyle w:val="Tabletextright"/>
              <w:spacing w:before="15" w:after="15"/>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4F0F53A3" w14:textId="77777777" w:rsidR="005D2595" w:rsidRPr="0067507D" w:rsidRDefault="005D2595" w:rsidP="00FC3AF2">
            <w:pPr>
              <w:pStyle w:val="Tabletextright"/>
              <w:spacing w:before="15" w:after="15"/>
            </w:pPr>
            <w:r w:rsidRPr="0067507D">
              <w:t xml:space="preserve"> – </w:t>
            </w:r>
          </w:p>
        </w:tc>
      </w:tr>
      <w:tr w:rsidR="005D2595" w:rsidRPr="0067507D" w14:paraId="18BD209F" w14:textId="77777777" w:rsidTr="00871267">
        <w:trPr>
          <w:trHeight w:val="108"/>
        </w:trPr>
        <w:tc>
          <w:tcPr>
            <w:cnfStyle w:val="001000000000" w:firstRow="0" w:lastRow="0" w:firstColumn="1" w:lastColumn="0" w:oddVBand="0" w:evenVBand="0" w:oddHBand="0" w:evenHBand="0" w:firstRowFirstColumn="0" w:firstRowLastColumn="0" w:lastRowFirstColumn="0" w:lastRowLastColumn="0"/>
            <w:tcW w:w="1175" w:type="pct"/>
          </w:tcPr>
          <w:p w14:paraId="4FDD677B" w14:textId="77777777" w:rsidR="005D2595" w:rsidRPr="0067507D" w:rsidRDefault="005D2595" w:rsidP="00FC3AF2">
            <w:pPr>
              <w:pStyle w:val="Tabletextbold"/>
              <w:spacing w:before="15" w:after="15"/>
            </w:pPr>
            <w:r w:rsidRPr="0067507D">
              <w:t>Total administered trusts</w:t>
            </w:r>
          </w:p>
        </w:tc>
        <w:tc>
          <w:tcPr>
            <w:cnfStyle w:val="000010000000" w:firstRow="0" w:lastRow="0" w:firstColumn="0" w:lastColumn="0" w:oddVBand="1" w:evenVBand="0" w:oddHBand="0" w:evenHBand="0" w:firstRowFirstColumn="0" w:firstRowLastColumn="0" w:lastRowFirstColumn="0" w:lastRowLastColumn="0"/>
            <w:tcW w:w="438" w:type="pct"/>
          </w:tcPr>
          <w:p w14:paraId="7BD7C98C" w14:textId="77777777" w:rsidR="005D2595" w:rsidRPr="0067507D" w:rsidRDefault="005D2595" w:rsidP="00FC3AF2">
            <w:pPr>
              <w:pStyle w:val="Tabletextrightbold"/>
              <w:spacing w:before="15" w:after="15"/>
            </w:pPr>
            <w:r w:rsidRPr="0067507D">
              <w:t xml:space="preserve">12 259 543 </w:t>
            </w:r>
          </w:p>
        </w:tc>
        <w:tc>
          <w:tcPr>
            <w:cnfStyle w:val="000001000000" w:firstRow="0" w:lastRow="0" w:firstColumn="0" w:lastColumn="0" w:oddVBand="0" w:evenVBand="1" w:oddHBand="0" w:evenHBand="0" w:firstRowFirstColumn="0" w:firstRowLastColumn="0" w:lastRowFirstColumn="0" w:lastRowLastColumn="0"/>
            <w:tcW w:w="399" w:type="pct"/>
          </w:tcPr>
          <w:p w14:paraId="205C0755" w14:textId="77777777" w:rsidR="005D2595" w:rsidRPr="0067507D" w:rsidRDefault="005D2595" w:rsidP="00FC3AF2">
            <w:pPr>
              <w:pStyle w:val="Tabletextrightbold"/>
              <w:spacing w:before="15" w:after="15"/>
            </w:pPr>
            <w:r w:rsidRPr="0067507D">
              <w:t xml:space="preserve">7 913 700 </w:t>
            </w:r>
          </w:p>
        </w:tc>
        <w:tc>
          <w:tcPr>
            <w:cnfStyle w:val="000010000000" w:firstRow="0" w:lastRow="0" w:firstColumn="0" w:lastColumn="0" w:oddVBand="1" w:evenVBand="0" w:oddHBand="0" w:evenHBand="0" w:firstRowFirstColumn="0" w:firstRowLastColumn="0" w:lastRowFirstColumn="0" w:lastRowLastColumn="0"/>
            <w:tcW w:w="388" w:type="pct"/>
          </w:tcPr>
          <w:p w14:paraId="05920AF2" w14:textId="77777777" w:rsidR="005D2595" w:rsidRPr="0067507D" w:rsidRDefault="005D2595" w:rsidP="00FC3AF2">
            <w:pPr>
              <w:pStyle w:val="Tabletextrightbold"/>
              <w:spacing w:before="15" w:after="15"/>
            </w:pPr>
            <w:r w:rsidRPr="0067507D">
              <w:t xml:space="preserve">(6 614 444) </w:t>
            </w:r>
          </w:p>
        </w:tc>
        <w:tc>
          <w:tcPr>
            <w:cnfStyle w:val="000001000000" w:firstRow="0" w:lastRow="0" w:firstColumn="0" w:lastColumn="0" w:oddVBand="0" w:evenVBand="1" w:oddHBand="0" w:evenHBand="0" w:firstRowFirstColumn="0" w:firstRowLastColumn="0" w:lastRowFirstColumn="0" w:lastRowLastColumn="0"/>
            <w:tcW w:w="453" w:type="pct"/>
          </w:tcPr>
          <w:p w14:paraId="4EBA88D5" w14:textId="77777777" w:rsidR="005D2595" w:rsidRPr="0067507D" w:rsidRDefault="005D2595" w:rsidP="00FC3AF2">
            <w:pPr>
              <w:pStyle w:val="Tabletextrightbold"/>
              <w:spacing w:before="15" w:after="15"/>
            </w:pPr>
            <w:r w:rsidRPr="0067507D">
              <w:t xml:space="preserve">13 558 799 </w:t>
            </w:r>
          </w:p>
        </w:tc>
        <w:tc>
          <w:tcPr>
            <w:cnfStyle w:val="000010000000" w:firstRow="0" w:lastRow="0" w:firstColumn="0" w:lastColumn="0" w:oddVBand="1" w:evenVBand="0" w:oddHBand="0" w:evenHBand="0" w:firstRowFirstColumn="0" w:firstRowLastColumn="0" w:lastRowFirstColumn="0" w:lastRowLastColumn="0"/>
            <w:tcW w:w="437" w:type="pct"/>
          </w:tcPr>
          <w:p w14:paraId="65201F94" w14:textId="77777777" w:rsidR="005D2595" w:rsidRPr="0067507D" w:rsidRDefault="005D2595" w:rsidP="00FC3AF2">
            <w:pPr>
              <w:pStyle w:val="Tabletextrightbold"/>
              <w:spacing w:before="15" w:after="15"/>
            </w:pPr>
            <w:r w:rsidRPr="0067507D">
              <w:t xml:space="preserve">3 026 798 </w:t>
            </w:r>
          </w:p>
        </w:tc>
        <w:tc>
          <w:tcPr>
            <w:cnfStyle w:val="000001000000" w:firstRow="0" w:lastRow="0" w:firstColumn="0" w:lastColumn="0" w:oddVBand="0" w:evenVBand="1" w:oddHBand="0" w:evenHBand="0" w:firstRowFirstColumn="0" w:firstRowLastColumn="0" w:lastRowFirstColumn="0" w:lastRowLastColumn="0"/>
            <w:tcW w:w="399" w:type="pct"/>
          </w:tcPr>
          <w:p w14:paraId="1C68668E" w14:textId="77777777" w:rsidR="005D2595" w:rsidRPr="0067507D" w:rsidRDefault="005D2595" w:rsidP="00FC3AF2">
            <w:pPr>
              <w:pStyle w:val="Tabletextrightbold"/>
              <w:spacing w:before="15" w:after="15"/>
            </w:pPr>
            <w:r w:rsidRPr="0067507D">
              <w:t xml:space="preserve">15 882 424 </w:t>
            </w:r>
          </w:p>
        </w:tc>
        <w:tc>
          <w:tcPr>
            <w:cnfStyle w:val="000010000000" w:firstRow="0" w:lastRow="0" w:firstColumn="0" w:lastColumn="0" w:oddVBand="1" w:evenVBand="0" w:oddHBand="0" w:evenHBand="0" w:firstRowFirstColumn="0" w:firstRowLastColumn="0" w:lastRowFirstColumn="0" w:lastRowLastColumn="0"/>
            <w:tcW w:w="406" w:type="pct"/>
          </w:tcPr>
          <w:p w14:paraId="6C331DBD" w14:textId="77777777" w:rsidR="005D2595" w:rsidRPr="0067507D" w:rsidRDefault="005D2595" w:rsidP="00FC3AF2">
            <w:pPr>
              <w:pStyle w:val="Tabletextrightbold"/>
              <w:spacing w:before="15" w:after="15"/>
            </w:pPr>
            <w:r w:rsidRPr="0067507D">
              <w:t xml:space="preserve">(6 649 679) </w:t>
            </w:r>
          </w:p>
        </w:tc>
        <w:tc>
          <w:tcPr>
            <w:cnfStyle w:val="000001000000" w:firstRow="0" w:lastRow="0" w:firstColumn="0" w:lastColumn="0" w:oddVBand="0" w:evenVBand="1" w:oddHBand="0" w:evenHBand="0" w:firstRowFirstColumn="0" w:firstRowLastColumn="0" w:lastRowFirstColumn="0" w:lastRowLastColumn="0"/>
            <w:tcW w:w="456" w:type="pct"/>
          </w:tcPr>
          <w:p w14:paraId="0008D8CB" w14:textId="77777777" w:rsidR="005D2595" w:rsidRPr="0067507D" w:rsidRDefault="005D2595" w:rsidP="00FC3AF2">
            <w:pPr>
              <w:pStyle w:val="Tabletextrightbold"/>
              <w:spacing w:before="15" w:after="15"/>
            </w:pPr>
            <w:r w:rsidRPr="0067507D">
              <w:t>–</w:t>
            </w:r>
          </w:p>
        </w:tc>
        <w:tc>
          <w:tcPr>
            <w:cnfStyle w:val="000010000000" w:firstRow="0" w:lastRow="0" w:firstColumn="0" w:lastColumn="0" w:oddVBand="1" w:evenVBand="0" w:oddHBand="0" w:evenHBand="0" w:firstRowFirstColumn="0" w:firstRowLastColumn="0" w:lastRowFirstColumn="0" w:lastRowLastColumn="0"/>
            <w:tcW w:w="449" w:type="pct"/>
          </w:tcPr>
          <w:p w14:paraId="6E71A468" w14:textId="77777777" w:rsidR="005D2595" w:rsidRPr="0067507D" w:rsidRDefault="005D2595" w:rsidP="00FC3AF2">
            <w:pPr>
              <w:pStyle w:val="Tabletextrightbold"/>
              <w:spacing w:before="15" w:after="15"/>
            </w:pPr>
            <w:r w:rsidRPr="0067507D">
              <w:t xml:space="preserve">12 259 543 </w:t>
            </w:r>
          </w:p>
        </w:tc>
      </w:tr>
    </w:tbl>
    <w:p w14:paraId="2A99382C" w14:textId="77777777" w:rsidR="005D2595" w:rsidRPr="0067507D" w:rsidRDefault="005D2595" w:rsidP="00871267">
      <w:pPr>
        <w:pStyle w:val="Notes"/>
      </w:pPr>
      <w:r w:rsidRPr="0067507D">
        <w:t>Notes:</w:t>
      </w:r>
    </w:p>
    <w:p w14:paraId="530CC39A" w14:textId="77777777" w:rsidR="005D2595" w:rsidRPr="0067507D" w:rsidRDefault="005D2595" w:rsidP="00871267">
      <w:pPr>
        <w:pStyle w:val="Notes"/>
      </w:pPr>
      <w:r w:rsidRPr="0067507D">
        <w:t xml:space="preserve">(a) Established under the </w:t>
      </w:r>
      <w:r w:rsidRPr="0067507D">
        <w:rPr>
          <w:i/>
          <w:iCs/>
        </w:rPr>
        <w:t>Livestock Disease Control Act 1994</w:t>
      </w:r>
      <w:r w:rsidRPr="0067507D">
        <w:t xml:space="preserve"> to receive and disburse funds in accordance with that Act.</w:t>
      </w:r>
    </w:p>
    <w:p w14:paraId="2BB8E00F" w14:textId="77777777" w:rsidR="005D2595" w:rsidRPr="0067507D" w:rsidRDefault="005D2595" w:rsidP="00871267">
      <w:pPr>
        <w:pStyle w:val="Notes"/>
      </w:pPr>
      <w:r w:rsidRPr="0067507D">
        <w:t xml:space="preserve">(b) Established under the superseded </w:t>
      </w:r>
      <w:r w:rsidRPr="0067507D">
        <w:rPr>
          <w:i/>
          <w:iCs/>
        </w:rPr>
        <w:t>Gaming Machine Control Act 1991</w:t>
      </w:r>
      <w:r w:rsidRPr="0067507D">
        <w:t xml:space="preserve"> and continued under the </w:t>
      </w:r>
      <w:r w:rsidRPr="0067507D">
        <w:rPr>
          <w:i/>
          <w:iCs/>
        </w:rPr>
        <w:t>Gambling Regulation Act 2003</w:t>
      </w:r>
      <w:r w:rsidRPr="0067507D">
        <w:t xml:space="preserve"> to receive and disburse funds in accordance with that Act.</w:t>
      </w:r>
    </w:p>
    <w:p w14:paraId="6E78759D" w14:textId="77777777" w:rsidR="005D2595" w:rsidRPr="0067507D" w:rsidRDefault="005D2595" w:rsidP="00871267">
      <w:pPr>
        <w:pStyle w:val="Notes"/>
      </w:pPr>
      <w:r w:rsidRPr="0067507D">
        <w:t xml:space="preserve">(c) Established under the </w:t>
      </w:r>
      <w:r w:rsidRPr="0067507D">
        <w:rPr>
          <w:i/>
          <w:iCs/>
        </w:rPr>
        <w:t>Financial Management Act 1994</w:t>
      </w:r>
      <w:r w:rsidRPr="0067507D">
        <w:t xml:space="preserve"> to facilitate the recording of cash transactions associated with Public Account borrowings.</w:t>
      </w:r>
    </w:p>
    <w:p w14:paraId="1E4503E5" w14:textId="5AF8008E" w:rsidR="005D2595" w:rsidRPr="0067507D" w:rsidRDefault="005D2595" w:rsidP="00871267">
      <w:pPr>
        <w:pStyle w:val="Notes"/>
      </w:pPr>
      <w:r w:rsidRPr="0067507D">
        <w:t xml:space="preserve">(d) Established under the </w:t>
      </w:r>
      <w:r w:rsidRPr="0067507D">
        <w:rPr>
          <w:i/>
          <w:iCs/>
        </w:rPr>
        <w:t>Financial Management Act 1994</w:t>
      </w:r>
      <w:r w:rsidRPr="0067507D">
        <w:t xml:space="preserve"> to hold funds in relation to inter</w:t>
      </w:r>
      <w:r w:rsidR="006A5485">
        <w:noBreakHyphen/>
      </w:r>
      <w:r w:rsidRPr="0067507D">
        <w:t>departmental transfers.</w:t>
      </w:r>
    </w:p>
    <w:p w14:paraId="58B32568" w14:textId="77777777" w:rsidR="005D2595" w:rsidRPr="0067507D" w:rsidRDefault="005D2595" w:rsidP="00871267">
      <w:pPr>
        <w:pStyle w:val="Notes"/>
      </w:pPr>
      <w:r w:rsidRPr="0067507D">
        <w:t xml:space="preserve">(e) Established under the </w:t>
      </w:r>
      <w:r w:rsidRPr="0067507D">
        <w:rPr>
          <w:i/>
          <w:iCs/>
        </w:rPr>
        <w:t>Financial Management Act 1994</w:t>
      </w:r>
      <w:r w:rsidRPr="0067507D">
        <w:t xml:space="preserve"> to purchase rail tickets and receive associated reimbursement from club members.</w:t>
      </w:r>
    </w:p>
    <w:p w14:paraId="6BAEEFFA" w14:textId="77777777" w:rsidR="005D2595" w:rsidRPr="0067507D" w:rsidRDefault="005D2595" w:rsidP="00871267">
      <w:pPr>
        <w:pStyle w:val="Notes"/>
      </w:pPr>
      <w:r w:rsidRPr="0067507D">
        <w:t xml:space="preserve">(f) Established under the </w:t>
      </w:r>
      <w:r w:rsidRPr="0067507D">
        <w:rPr>
          <w:i/>
          <w:iCs/>
        </w:rPr>
        <w:t>Livestock Disease Control Act 1994</w:t>
      </w:r>
      <w:r w:rsidRPr="0067507D">
        <w:t xml:space="preserve"> to receive and disburse funds in accordance with that Act.</w:t>
      </w:r>
    </w:p>
    <w:p w14:paraId="31394AEC" w14:textId="77777777" w:rsidR="005D2595" w:rsidRPr="0067507D" w:rsidRDefault="005D2595" w:rsidP="00871267">
      <w:pPr>
        <w:pStyle w:val="Notes"/>
      </w:pPr>
      <w:r w:rsidRPr="0067507D">
        <w:t xml:space="preserve">(g) Established under the </w:t>
      </w:r>
      <w:r w:rsidRPr="0067507D">
        <w:rPr>
          <w:i/>
          <w:iCs/>
        </w:rPr>
        <w:t>Financial Management Act 1994</w:t>
      </w:r>
      <w:r w:rsidRPr="0067507D">
        <w:t xml:space="preserve"> for the receipt and disbursement of unclaimed monies and other funds held in trust.</w:t>
      </w:r>
    </w:p>
    <w:p w14:paraId="7DFC185F" w14:textId="77777777" w:rsidR="005D2595" w:rsidRPr="0067507D" w:rsidRDefault="005D2595" w:rsidP="00871267">
      <w:pPr>
        <w:pStyle w:val="Notes"/>
      </w:pPr>
      <w:r w:rsidRPr="0067507D">
        <w:t xml:space="preserve">(h) Established under the </w:t>
      </w:r>
      <w:r w:rsidRPr="0067507D">
        <w:rPr>
          <w:i/>
          <w:iCs/>
        </w:rPr>
        <w:t>Victorian Future Fund Act 2023</w:t>
      </w:r>
      <w:r w:rsidRPr="0067507D">
        <w:t xml:space="preserve"> to receive and disburse funds in accordance with that Act.</w:t>
      </w:r>
    </w:p>
    <w:p w14:paraId="4B3FF025" w14:textId="77777777" w:rsidR="005D2595" w:rsidRPr="0067507D" w:rsidRDefault="005D2595" w:rsidP="00871267">
      <w:pPr>
        <w:pStyle w:val="Notes"/>
      </w:pPr>
      <w:r w:rsidRPr="0067507D">
        <w:t xml:space="preserve">(i) Established under the </w:t>
      </w:r>
      <w:r w:rsidRPr="0067507D">
        <w:rPr>
          <w:i/>
          <w:iCs/>
        </w:rPr>
        <w:t>Financial Management Act 1994</w:t>
      </w:r>
      <w:r w:rsidRPr="0067507D">
        <w:t xml:space="preserve"> to receive and disburse funds relating to the State's shared equity scheme to support lower to moderate income first home buyers enter into home ownership.</w:t>
      </w:r>
    </w:p>
    <w:p w14:paraId="6EEC8A30" w14:textId="77777777" w:rsidR="005D2595" w:rsidRPr="0067507D" w:rsidRDefault="005D2595" w:rsidP="00871267">
      <w:pPr>
        <w:pStyle w:val="Notes"/>
      </w:pPr>
      <w:r w:rsidRPr="0067507D">
        <w:t xml:space="preserve">(j) Established under the </w:t>
      </w:r>
      <w:r w:rsidRPr="0067507D">
        <w:rPr>
          <w:i/>
          <w:iCs/>
        </w:rPr>
        <w:t>Financial Management Act 1994</w:t>
      </w:r>
      <w:r w:rsidRPr="0067507D">
        <w:t xml:space="preserve"> to receive funds pending disbursement to increase the supply of social housing either directly through dedicated construction of social and affordable housing or by subsidising rental properties in the private market.</w:t>
      </w:r>
    </w:p>
    <w:p w14:paraId="037E4FF9" w14:textId="77777777" w:rsidR="005D2595" w:rsidRPr="0067507D" w:rsidRDefault="005D2595" w:rsidP="00871267">
      <w:pPr>
        <w:pStyle w:val="Notes"/>
      </w:pPr>
      <w:r w:rsidRPr="0067507D">
        <w:t xml:space="preserve">(k) Established under the </w:t>
      </w:r>
      <w:r w:rsidRPr="0067507D">
        <w:rPr>
          <w:i/>
          <w:iCs/>
        </w:rPr>
        <w:t>Delivering Victorian Infrastructure (Port of Melbourne Lease Transaction) Act 2016</w:t>
      </w:r>
      <w:r w:rsidRPr="0067507D">
        <w:t xml:space="preserve"> to receive and disburse funds in accordance with that Act.</w:t>
      </w:r>
    </w:p>
    <w:p w14:paraId="1FCEB2BD" w14:textId="77777777" w:rsidR="005D2595" w:rsidRPr="0067507D" w:rsidRDefault="005D2595" w:rsidP="005D2595">
      <w:pPr>
        <w:sectPr w:rsidR="005D2595" w:rsidRPr="0067507D" w:rsidSect="00871267">
          <w:headerReference w:type="even" r:id="rId123"/>
          <w:headerReference w:type="default" r:id="rId124"/>
          <w:footerReference w:type="even" r:id="rId125"/>
          <w:footerReference w:type="default" r:id="rId126"/>
          <w:pgSz w:w="16834" w:h="11909" w:orient="landscape" w:code="9"/>
          <w:pgMar w:top="1152" w:right="1440" w:bottom="907" w:left="1728" w:header="720" w:footer="288" w:gutter="0"/>
          <w:cols w:space="569"/>
          <w:noEndnote/>
          <w:docGrid w:linePitch="231"/>
        </w:sectPr>
      </w:pPr>
    </w:p>
    <w:p w14:paraId="57ABC7BD" w14:textId="77777777" w:rsidR="005D2595" w:rsidRPr="0067507D" w:rsidRDefault="005D2595" w:rsidP="000D5F54">
      <w:pPr>
        <w:pStyle w:val="Heading2numbered"/>
      </w:pPr>
      <w:bookmarkStart w:id="148" w:name="_Toc210214020"/>
      <w:bookmarkStart w:id="149" w:name="_Toc210213967"/>
      <w:r w:rsidRPr="0067507D">
        <w:lastRenderedPageBreak/>
        <w:t>Commitments for expenditure</w:t>
      </w:r>
      <w:bookmarkEnd w:id="148"/>
      <w:bookmarkEnd w:id="149"/>
    </w:p>
    <w:p w14:paraId="741A77A5" w14:textId="77777777" w:rsidR="005D2595" w:rsidRPr="0067507D" w:rsidRDefault="005D2595" w:rsidP="005D2595">
      <w:pPr>
        <w:sectPr w:rsidR="005D2595" w:rsidRPr="0067507D" w:rsidSect="005D2595">
          <w:headerReference w:type="even" r:id="rId127"/>
          <w:headerReference w:type="default" r:id="rId128"/>
          <w:footerReference w:type="even" r:id="rId129"/>
          <w:footerReference w:type="default" r:id="rId130"/>
          <w:pgSz w:w="11909" w:h="16834" w:code="9"/>
          <w:pgMar w:top="1728" w:right="1152" w:bottom="1152" w:left="1152" w:header="720" w:footer="288" w:gutter="0"/>
          <w:cols w:space="569"/>
          <w:noEndnote/>
        </w:sectPr>
      </w:pPr>
    </w:p>
    <w:p w14:paraId="366CFAEA" w14:textId="77777777" w:rsidR="005D2595" w:rsidRPr="0067507D" w:rsidRDefault="005D2595" w:rsidP="005D2595">
      <w:r w:rsidRPr="0067507D">
        <w:t>Commitments for future expenditure include operating commitments arising from contracts. These commitments are disclosed at their nominal value and inclusive of GST. These future expenditures cease to be disclosed as commitments once the related liabilities are recognised in the balance sheet.</w:t>
      </w:r>
    </w:p>
    <w:p w14:paraId="0DE2B429" w14:textId="77777777" w:rsidR="005D2595" w:rsidRPr="0067507D" w:rsidRDefault="005D2595" w:rsidP="005D2595">
      <w:r w:rsidRPr="0067507D">
        <w:br w:type="column"/>
      </w:r>
    </w:p>
    <w:p w14:paraId="4D263181" w14:textId="77777777" w:rsidR="005D2595" w:rsidRPr="0067507D" w:rsidRDefault="005D2595" w:rsidP="005D2595">
      <w:pPr>
        <w:sectPr w:rsidR="005D2595" w:rsidRPr="0067507D" w:rsidSect="005D2595">
          <w:headerReference w:type="default" r:id="rId131"/>
          <w:type w:val="continuous"/>
          <w:pgSz w:w="11909" w:h="16834" w:code="9"/>
          <w:pgMar w:top="1728" w:right="1152" w:bottom="1152" w:left="1152" w:header="720" w:footer="288" w:gutter="0"/>
          <w:cols w:num="2" w:space="569"/>
          <w:noEndnote/>
        </w:sectPr>
      </w:pPr>
    </w:p>
    <w:tbl>
      <w:tblPr>
        <w:tblStyle w:val="AnnualReporttexttable"/>
        <w:tblW w:w="8279" w:type="dxa"/>
        <w:tblLayout w:type="fixed"/>
        <w:tblLook w:val="00A0" w:firstRow="1" w:lastRow="0" w:firstColumn="1" w:lastColumn="0" w:noHBand="0" w:noVBand="0"/>
      </w:tblPr>
      <w:tblGrid>
        <w:gridCol w:w="3600"/>
        <w:gridCol w:w="1170"/>
        <w:gridCol w:w="1170"/>
        <w:gridCol w:w="1170"/>
        <w:gridCol w:w="1169"/>
      </w:tblGrid>
      <w:tr w:rsidR="005D2595" w:rsidRPr="0067507D" w14:paraId="20364721" w14:textId="77777777" w:rsidTr="00FC3AF2">
        <w:trPr>
          <w:cnfStyle w:val="100000000000" w:firstRow="1" w:lastRow="0" w:firstColumn="0" w:lastColumn="0" w:oddVBand="0" w:evenVBand="0" w:oddHBand="0"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vAlign w:val="bottom"/>
          </w:tcPr>
          <w:p w14:paraId="4D460CEF" w14:textId="77777777" w:rsidR="005D2595" w:rsidRPr="0067507D" w:rsidRDefault="005D2595" w:rsidP="00FC3AF2">
            <w:pPr>
              <w:pStyle w:val="Tableheader"/>
              <w:jc w:val="left"/>
              <w:rPr>
                <w:rFonts w:asciiTheme="majorHAnsi" w:hAnsiTheme="majorHAnsi"/>
                <w:b w:val="0"/>
                <w:bCs/>
              </w:rPr>
            </w:pPr>
            <w:r w:rsidRPr="0067507D">
              <w:rPr>
                <w:rFonts w:asciiTheme="majorHAnsi" w:hAnsiTheme="majorHAnsi"/>
                <w:b w:val="0"/>
                <w:bCs/>
              </w:rPr>
              <w:t>Nominal values</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vAlign w:val="bottom"/>
          </w:tcPr>
          <w:p w14:paraId="136B1C52" w14:textId="77777777" w:rsidR="005D2595" w:rsidRPr="0067507D" w:rsidRDefault="005D2595" w:rsidP="00FC3AF2">
            <w:pPr>
              <w:pStyle w:val="Tableheader"/>
              <w:rPr>
                <w:rFonts w:asciiTheme="majorHAnsi" w:hAnsiTheme="majorHAnsi" w:cs="Symbol"/>
                <w:b w:val="0"/>
                <w:bCs/>
              </w:rPr>
            </w:pPr>
            <w:r w:rsidRPr="0067507D">
              <w:rPr>
                <w:rFonts w:asciiTheme="majorHAnsi" w:hAnsiTheme="majorHAnsi"/>
                <w:b w:val="0"/>
                <w:bCs/>
              </w:rPr>
              <w:t>Less than 1</w:t>
            </w:r>
            <w:r w:rsidRPr="0067507D">
              <w:rPr>
                <w:rFonts w:ascii="Calibri" w:hAnsi="Calibri" w:cs="Calibri"/>
                <w:b w:val="0"/>
                <w:bCs/>
              </w:rPr>
              <w:t> </w:t>
            </w:r>
            <w:r w:rsidRPr="0067507D">
              <w:rPr>
                <w:rFonts w:asciiTheme="majorHAnsi" w:hAnsiTheme="majorHAnsi"/>
                <w:b w:val="0"/>
                <w:bCs/>
              </w:rPr>
              <w:t>year</w:t>
            </w:r>
          </w:p>
        </w:tc>
        <w:tc>
          <w:tcPr>
            <w:cnfStyle w:val="000001000000" w:firstRow="0" w:lastRow="0" w:firstColumn="0" w:lastColumn="0" w:oddVBand="0" w:evenVBand="1" w:oddHBand="0" w:evenHBand="0" w:firstRowFirstColumn="0" w:firstRowLastColumn="0" w:lastRowFirstColumn="0" w:lastRowLastColumn="0"/>
            <w:tcW w:w="1170" w:type="dxa"/>
            <w:shd w:val="clear" w:color="auto" w:fill="auto"/>
            <w:vAlign w:val="bottom"/>
          </w:tcPr>
          <w:p w14:paraId="0F2A340F" w14:textId="77777777" w:rsidR="005D2595" w:rsidRPr="0067507D" w:rsidRDefault="005D2595" w:rsidP="00FC3AF2">
            <w:pPr>
              <w:pStyle w:val="Tableheader"/>
              <w:rPr>
                <w:rFonts w:asciiTheme="majorHAnsi" w:hAnsiTheme="majorHAnsi"/>
                <w:b w:val="0"/>
                <w:bCs/>
              </w:rPr>
            </w:pPr>
            <w:r w:rsidRPr="0067507D">
              <w:rPr>
                <w:rFonts w:asciiTheme="majorHAnsi" w:hAnsiTheme="majorHAnsi"/>
                <w:b w:val="0"/>
                <w:bCs/>
              </w:rPr>
              <w:t>1 to 5 years</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vAlign w:val="bottom"/>
          </w:tcPr>
          <w:p w14:paraId="611BD4C0" w14:textId="77777777" w:rsidR="005D2595" w:rsidRPr="0067507D" w:rsidRDefault="005D2595" w:rsidP="00FC3AF2">
            <w:pPr>
              <w:pStyle w:val="Tableheader"/>
              <w:rPr>
                <w:rFonts w:asciiTheme="majorHAnsi" w:hAnsiTheme="majorHAnsi" w:cs="Symbol"/>
                <w:b w:val="0"/>
                <w:bCs/>
              </w:rPr>
            </w:pPr>
            <w:r w:rsidRPr="0067507D">
              <w:rPr>
                <w:rFonts w:asciiTheme="majorHAnsi" w:hAnsiTheme="majorHAnsi"/>
                <w:b w:val="0"/>
                <w:bCs/>
              </w:rPr>
              <w:t>More than 5</w:t>
            </w:r>
            <w:r w:rsidRPr="0067507D">
              <w:rPr>
                <w:rFonts w:ascii="Calibri" w:hAnsi="Calibri" w:cs="Calibri"/>
                <w:b w:val="0"/>
                <w:bCs/>
              </w:rPr>
              <w:t> </w:t>
            </w:r>
            <w:r w:rsidRPr="0067507D">
              <w:rPr>
                <w:rFonts w:asciiTheme="majorHAnsi" w:hAnsiTheme="majorHAnsi"/>
                <w:b w:val="0"/>
                <w:bCs/>
              </w:rPr>
              <w:t>years</w:t>
            </w:r>
          </w:p>
        </w:tc>
        <w:tc>
          <w:tcPr>
            <w:cnfStyle w:val="000001000000" w:firstRow="0" w:lastRow="0" w:firstColumn="0" w:lastColumn="0" w:oddVBand="0" w:evenVBand="1" w:oddHBand="0" w:evenHBand="0" w:firstRowFirstColumn="0" w:firstRowLastColumn="0" w:lastRowFirstColumn="0" w:lastRowLastColumn="0"/>
            <w:tcW w:w="1169" w:type="dxa"/>
            <w:shd w:val="clear" w:color="auto" w:fill="auto"/>
            <w:vAlign w:val="bottom"/>
          </w:tcPr>
          <w:p w14:paraId="03BDB786" w14:textId="77777777" w:rsidR="005D2595" w:rsidRPr="0067507D" w:rsidRDefault="005D2595" w:rsidP="00FC3AF2">
            <w:pPr>
              <w:pStyle w:val="Tableheader"/>
              <w:rPr>
                <w:rFonts w:asciiTheme="majorHAnsi" w:hAnsiTheme="majorHAnsi" w:cs="Symbol"/>
                <w:b w:val="0"/>
                <w:bCs/>
              </w:rPr>
            </w:pPr>
            <w:r w:rsidRPr="0067507D">
              <w:rPr>
                <w:rFonts w:asciiTheme="majorHAnsi" w:hAnsiTheme="majorHAnsi"/>
                <w:b w:val="0"/>
                <w:bCs/>
              </w:rPr>
              <w:t>Total</w:t>
            </w:r>
          </w:p>
        </w:tc>
      </w:tr>
      <w:tr w:rsidR="005D2595" w:rsidRPr="0067507D" w14:paraId="26C3DF57" w14:textId="77777777" w:rsidTr="001F4D96">
        <w:tc>
          <w:tcPr>
            <w:cnfStyle w:val="001000000000" w:firstRow="0" w:lastRow="0" w:firstColumn="1" w:lastColumn="0" w:oddVBand="0" w:evenVBand="0" w:oddHBand="0" w:evenHBand="0" w:firstRowFirstColumn="0" w:firstRowLastColumn="0" w:lastRowFirstColumn="0" w:lastRowLastColumn="0"/>
            <w:tcW w:w="3600" w:type="dxa"/>
            <w:shd w:val="clear" w:color="auto" w:fill="auto"/>
          </w:tcPr>
          <w:p w14:paraId="5D538059" w14:textId="77777777" w:rsidR="005D2595" w:rsidRPr="0067507D" w:rsidRDefault="005D2595" w:rsidP="00FC3AF2">
            <w:pPr>
              <w:pStyle w:val="Tabletextbold"/>
              <w:rPr>
                <w:rFonts w:ascii="VIC SemiBold" w:hAnsi="VIC SemiBold"/>
              </w:rPr>
            </w:pP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tcPr>
          <w:p w14:paraId="676FBB7C" w14:textId="77777777" w:rsidR="005D2595" w:rsidRPr="0067507D" w:rsidRDefault="005D2595" w:rsidP="00FC3AF2">
            <w:pPr>
              <w:pStyle w:val="Tabletextright"/>
              <w:rPr>
                <w:rFonts w:ascii="VIC SemiBold" w:hAnsi="VIC SemiBold"/>
              </w:rPr>
            </w:pPr>
            <w:r w:rsidRPr="0067507D">
              <w:rPr>
                <w:rFonts w:ascii="VIC SemiBold" w:hAnsi="VIC SemiBold"/>
              </w:rPr>
              <w:t>$’000</w:t>
            </w:r>
          </w:p>
        </w:tc>
        <w:tc>
          <w:tcPr>
            <w:cnfStyle w:val="000001000000" w:firstRow="0" w:lastRow="0" w:firstColumn="0" w:lastColumn="0" w:oddVBand="0" w:evenVBand="1" w:oddHBand="0" w:evenHBand="0" w:firstRowFirstColumn="0" w:firstRowLastColumn="0" w:lastRowFirstColumn="0" w:lastRowLastColumn="0"/>
            <w:tcW w:w="1170" w:type="dxa"/>
            <w:shd w:val="clear" w:color="auto" w:fill="auto"/>
          </w:tcPr>
          <w:p w14:paraId="44786621" w14:textId="77777777" w:rsidR="005D2595" w:rsidRPr="0067507D" w:rsidRDefault="005D2595" w:rsidP="00FC3AF2">
            <w:pPr>
              <w:pStyle w:val="Tabletextright"/>
              <w:rPr>
                <w:rFonts w:ascii="VIC SemiBold" w:hAnsi="VIC SemiBold"/>
              </w:rPr>
            </w:pPr>
            <w:r w:rsidRPr="0067507D">
              <w:rPr>
                <w:rFonts w:ascii="VIC SemiBold" w:hAnsi="VIC SemiBold"/>
              </w:rPr>
              <w:t>$’000</w:t>
            </w: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tcPr>
          <w:p w14:paraId="59F2D0E9" w14:textId="77777777" w:rsidR="005D2595" w:rsidRPr="0067507D" w:rsidRDefault="005D2595" w:rsidP="00FC3AF2">
            <w:pPr>
              <w:pStyle w:val="Tabletextright"/>
              <w:rPr>
                <w:rFonts w:ascii="VIC SemiBold" w:hAnsi="VIC SemiBold"/>
              </w:rPr>
            </w:pPr>
            <w:r w:rsidRPr="0067507D">
              <w:rPr>
                <w:rFonts w:ascii="VIC SemiBold" w:hAnsi="VIC SemiBold"/>
              </w:rPr>
              <w:t>$’000</w:t>
            </w:r>
          </w:p>
        </w:tc>
        <w:tc>
          <w:tcPr>
            <w:cnfStyle w:val="000001000000" w:firstRow="0" w:lastRow="0" w:firstColumn="0" w:lastColumn="0" w:oddVBand="0" w:evenVBand="1" w:oddHBand="0" w:evenHBand="0" w:firstRowFirstColumn="0" w:firstRowLastColumn="0" w:lastRowFirstColumn="0" w:lastRowLastColumn="0"/>
            <w:tcW w:w="1169" w:type="dxa"/>
            <w:shd w:val="clear" w:color="auto" w:fill="auto"/>
          </w:tcPr>
          <w:p w14:paraId="53455B14" w14:textId="77777777" w:rsidR="005D2595" w:rsidRPr="0067507D" w:rsidRDefault="005D2595" w:rsidP="00FC3AF2">
            <w:pPr>
              <w:pStyle w:val="Tabletextright"/>
              <w:rPr>
                <w:rFonts w:ascii="VIC SemiBold" w:hAnsi="VIC SemiBold"/>
              </w:rPr>
            </w:pPr>
            <w:r w:rsidRPr="0067507D">
              <w:rPr>
                <w:rFonts w:ascii="VIC SemiBold" w:hAnsi="VIC SemiBold"/>
              </w:rPr>
              <w:t>$’000</w:t>
            </w:r>
          </w:p>
        </w:tc>
      </w:tr>
      <w:tr w:rsidR="005D2595" w:rsidRPr="0067507D" w14:paraId="7B15D0CF"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435BD49D" w14:textId="77777777" w:rsidR="005D2595" w:rsidRPr="0067507D" w:rsidRDefault="005D2595" w:rsidP="00FC3AF2">
            <w:pPr>
              <w:pStyle w:val="Tabletextbold"/>
              <w:rPr>
                <w:i/>
              </w:rPr>
            </w:pPr>
            <w:r w:rsidRPr="0067507D">
              <w:t>2025</w:t>
            </w:r>
          </w:p>
        </w:tc>
        <w:tc>
          <w:tcPr>
            <w:cnfStyle w:val="000010000000" w:firstRow="0" w:lastRow="0" w:firstColumn="0" w:lastColumn="0" w:oddVBand="1" w:evenVBand="0" w:oddHBand="0" w:evenHBand="0" w:firstRowFirstColumn="0" w:firstRowLastColumn="0" w:lastRowFirstColumn="0" w:lastRowLastColumn="0"/>
            <w:tcW w:w="1170" w:type="dxa"/>
          </w:tcPr>
          <w:p w14:paraId="34F853DE"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170" w:type="dxa"/>
          </w:tcPr>
          <w:p w14:paraId="35B63468" w14:textId="77777777" w:rsidR="005D2595" w:rsidRPr="0067507D" w:rsidRDefault="005D2595" w:rsidP="00FC3AF2">
            <w:pPr>
              <w:pStyle w:val="Tabletextright"/>
            </w:pPr>
          </w:p>
        </w:tc>
        <w:tc>
          <w:tcPr>
            <w:cnfStyle w:val="000010000000" w:firstRow="0" w:lastRow="0" w:firstColumn="0" w:lastColumn="0" w:oddVBand="1" w:evenVBand="0" w:oddHBand="0" w:evenHBand="0" w:firstRowFirstColumn="0" w:firstRowLastColumn="0" w:lastRowFirstColumn="0" w:lastRowLastColumn="0"/>
            <w:tcW w:w="1170" w:type="dxa"/>
          </w:tcPr>
          <w:p w14:paraId="2A053B92"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169" w:type="dxa"/>
          </w:tcPr>
          <w:p w14:paraId="25CB15F3" w14:textId="77777777" w:rsidR="005D2595" w:rsidRPr="0067507D" w:rsidRDefault="005D2595" w:rsidP="00FC3AF2">
            <w:pPr>
              <w:pStyle w:val="Tabletextright"/>
            </w:pPr>
          </w:p>
        </w:tc>
      </w:tr>
      <w:tr w:rsidR="005D2595" w:rsidRPr="0067507D" w14:paraId="03EB0979"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0EF8849F" w14:textId="77777777" w:rsidR="005D2595" w:rsidRPr="0067507D" w:rsidRDefault="005D2595" w:rsidP="00FC3AF2">
            <w:pPr>
              <w:pStyle w:val="Tabletext"/>
              <w:rPr>
                <w:iCs/>
              </w:rPr>
            </w:pPr>
            <w:r w:rsidRPr="0067507D">
              <w:t>Operating commitments</w:t>
            </w:r>
          </w:p>
        </w:tc>
        <w:tc>
          <w:tcPr>
            <w:cnfStyle w:val="000010000000" w:firstRow="0" w:lastRow="0" w:firstColumn="0" w:lastColumn="0" w:oddVBand="1" w:evenVBand="0" w:oddHBand="0" w:evenHBand="0" w:firstRowFirstColumn="0" w:firstRowLastColumn="0" w:lastRowFirstColumn="0" w:lastRowLastColumn="0"/>
            <w:tcW w:w="1170" w:type="dxa"/>
          </w:tcPr>
          <w:p w14:paraId="6F047F22" w14:textId="77777777" w:rsidR="005D2595" w:rsidRPr="0067507D" w:rsidRDefault="005D2595" w:rsidP="00FC3AF2">
            <w:pPr>
              <w:pStyle w:val="Tabletextright"/>
              <w:rPr>
                <w:bCs/>
              </w:rPr>
            </w:pPr>
            <w:r w:rsidRPr="0067507D">
              <w:t xml:space="preserve">52 537 </w:t>
            </w:r>
          </w:p>
        </w:tc>
        <w:tc>
          <w:tcPr>
            <w:cnfStyle w:val="000001000000" w:firstRow="0" w:lastRow="0" w:firstColumn="0" w:lastColumn="0" w:oddVBand="0" w:evenVBand="1" w:oddHBand="0" w:evenHBand="0" w:firstRowFirstColumn="0" w:firstRowLastColumn="0" w:lastRowFirstColumn="0" w:lastRowLastColumn="0"/>
            <w:tcW w:w="1170" w:type="dxa"/>
          </w:tcPr>
          <w:p w14:paraId="1A8E1E1C" w14:textId="77777777" w:rsidR="005D2595" w:rsidRPr="0067507D" w:rsidRDefault="005D2595" w:rsidP="00FC3AF2">
            <w:pPr>
              <w:pStyle w:val="Tabletextright"/>
              <w:rPr>
                <w:bCs/>
              </w:rPr>
            </w:pPr>
            <w:r w:rsidRPr="0067507D">
              <w:t xml:space="preserve">10 544 </w:t>
            </w:r>
          </w:p>
        </w:tc>
        <w:tc>
          <w:tcPr>
            <w:cnfStyle w:val="000010000000" w:firstRow="0" w:lastRow="0" w:firstColumn="0" w:lastColumn="0" w:oddVBand="1" w:evenVBand="0" w:oddHBand="0" w:evenHBand="0" w:firstRowFirstColumn="0" w:firstRowLastColumn="0" w:lastRowFirstColumn="0" w:lastRowLastColumn="0"/>
            <w:tcW w:w="1170" w:type="dxa"/>
          </w:tcPr>
          <w:p w14:paraId="5925DB3B" w14:textId="77777777" w:rsidR="005D2595" w:rsidRPr="0067507D" w:rsidRDefault="005D2595" w:rsidP="00FC3AF2">
            <w:pPr>
              <w:pStyle w:val="Tabletextright"/>
              <w:rPr>
                <w:bCs/>
              </w:rPr>
            </w:pPr>
            <w:r w:rsidRPr="0067507D">
              <w:t>–</w:t>
            </w:r>
          </w:p>
        </w:tc>
        <w:tc>
          <w:tcPr>
            <w:cnfStyle w:val="000001000000" w:firstRow="0" w:lastRow="0" w:firstColumn="0" w:lastColumn="0" w:oddVBand="0" w:evenVBand="1" w:oddHBand="0" w:evenHBand="0" w:firstRowFirstColumn="0" w:firstRowLastColumn="0" w:lastRowFirstColumn="0" w:lastRowLastColumn="0"/>
            <w:tcW w:w="1169" w:type="dxa"/>
          </w:tcPr>
          <w:p w14:paraId="1C585614" w14:textId="77777777" w:rsidR="005D2595" w:rsidRPr="0067507D" w:rsidRDefault="005D2595" w:rsidP="00FC3AF2">
            <w:pPr>
              <w:pStyle w:val="Tabletextright"/>
              <w:rPr>
                <w:bCs/>
              </w:rPr>
            </w:pPr>
            <w:r w:rsidRPr="0067507D">
              <w:t xml:space="preserve">63 081 </w:t>
            </w:r>
          </w:p>
        </w:tc>
      </w:tr>
      <w:tr w:rsidR="005D2595" w:rsidRPr="0067507D" w14:paraId="1820EDFA"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6AD71004" w14:textId="77777777" w:rsidR="005D2595" w:rsidRPr="0067507D" w:rsidRDefault="005D2595" w:rsidP="00FC3AF2">
            <w:pPr>
              <w:pStyle w:val="Tabletextbold"/>
              <w:rPr>
                <w:rFonts w:ascii="VIC SemiBold" w:hAnsi="VIC SemiBold"/>
              </w:rPr>
            </w:pPr>
            <w:r w:rsidRPr="0067507D">
              <w:t>Total commitments (inclusive of GST)</w:t>
            </w:r>
          </w:p>
        </w:tc>
        <w:tc>
          <w:tcPr>
            <w:cnfStyle w:val="000010000000" w:firstRow="0" w:lastRow="0" w:firstColumn="0" w:lastColumn="0" w:oddVBand="1" w:evenVBand="0" w:oddHBand="0" w:evenHBand="0" w:firstRowFirstColumn="0" w:firstRowLastColumn="0" w:lastRowFirstColumn="0" w:lastRowLastColumn="0"/>
            <w:tcW w:w="1170" w:type="dxa"/>
          </w:tcPr>
          <w:p w14:paraId="578E57F9" w14:textId="77777777" w:rsidR="005D2595" w:rsidRPr="0067507D" w:rsidRDefault="005D2595" w:rsidP="00FC3AF2">
            <w:pPr>
              <w:pStyle w:val="Tabletextrightbold"/>
              <w:rPr>
                <w:rFonts w:ascii="VIC SemiBold" w:hAnsi="VIC SemiBold"/>
              </w:rPr>
            </w:pPr>
            <w:r w:rsidRPr="0067507D">
              <w:t xml:space="preserve">52 537 </w:t>
            </w:r>
          </w:p>
        </w:tc>
        <w:tc>
          <w:tcPr>
            <w:cnfStyle w:val="000001000000" w:firstRow="0" w:lastRow="0" w:firstColumn="0" w:lastColumn="0" w:oddVBand="0" w:evenVBand="1" w:oddHBand="0" w:evenHBand="0" w:firstRowFirstColumn="0" w:firstRowLastColumn="0" w:lastRowFirstColumn="0" w:lastRowLastColumn="0"/>
            <w:tcW w:w="1170" w:type="dxa"/>
          </w:tcPr>
          <w:p w14:paraId="0AD1C24D" w14:textId="77777777" w:rsidR="005D2595" w:rsidRPr="0067507D" w:rsidRDefault="005D2595" w:rsidP="00FC3AF2">
            <w:pPr>
              <w:pStyle w:val="Tabletextrightbold"/>
              <w:rPr>
                <w:rFonts w:ascii="VIC SemiBold" w:hAnsi="VIC SemiBold"/>
              </w:rPr>
            </w:pPr>
            <w:r w:rsidRPr="0067507D">
              <w:t xml:space="preserve">10 544 </w:t>
            </w:r>
          </w:p>
        </w:tc>
        <w:tc>
          <w:tcPr>
            <w:cnfStyle w:val="000010000000" w:firstRow="0" w:lastRow="0" w:firstColumn="0" w:lastColumn="0" w:oddVBand="1" w:evenVBand="0" w:oddHBand="0" w:evenHBand="0" w:firstRowFirstColumn="0" w:firstRowLastColumn="0" w:lastRowFirstColumn="0" w:lastRowLastColumn="0"/>
            <w:tcW w:w="1170" w:type="dxa"/>
          </w:tcPr>
          <w:p w14:paraId="2C17CB75" w14:textId="77777777" w:rsidR="005D2595" w:rsidRPr="0067507D" w:rsidRDefault="005D2595" w:rsidP="00FC3AF2">
            <w:pPr>
              <w:pStyle w:val="Tabletextrightbold"/>
              <w:rPr>
                <w:rFonts w:ascii="VIC SemiBold" w:hAnsi="VIC SemiBold"/>
              </w:rPr>
            </w:pPr>
            <w:r w:rsidRPr="0067507D">
              <w:t>–</w:t>
            </w:r>
          </w:p>
        </w:tc>
        <w:tc>
          <w:tcPr>
            <w:cnfStyle w:val="000001000000" w:firstRow="0" w:lastRow="0" w:firstColumn="0" w:lastColumn="0" w:oddVBand="0" w:evenVBand="1" w:oddHBand="0" w:evenHBand="0" w:firstRowFirstColumn="0" w:firstRowLastColumn="0" w:lastRowFirstColumn="0" w:lastRowLastColumn="0"/>
            <w:tcW w:w="1169" w:type="dxa"/>
          </w:tcPr>
          <w:p w14:paraId="27E505EC" w14:textId="77777777" w:rsidR="005D2595" w:rsidRPr="0067507D" w:rsidRDefault="005D2595" w:rsidP="00FC3AF2">
            <w:pPr>
              <w:pStyle w:val="Tabletextrightbold"/>
              <w:rPr>
                <w:rFonts w:ascii="VIC SemiBold" w:hAnsi="VIC SemiBold"/>
              </w:rPr>
            </w:pPr>
            <w:r w:rsidRPr="0067507D">
              <w:t xml:space="preserve">63 081 </w:t>
            </w:r>
          </w:p>
        </w:tc>
      </w:tr>
      <w:tr w:rsidR="005D2595" w:rsidRPr="0067507D" w14:paraId="489CD7C5"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42564EFC" w14:textId="77777777" w:rsidR="005D2595" w:rsidRPr="0067507D" w:rsidRDefault="005D2595" w:rsidP="00FC3AF2">
            <w:pPr>
              <w:pStyle w:val="Tabletextbold"/>
              <w:rPr>
                <w:sz w:val="4"/>
              </w:rPr>
            </w:pPr>
          </w:p>
        </w:tc>
        <w:tc>
          <w:tcPr>
            <w:cnfStyle w:val="000010000000" w:firstRow="0" w:lastRow="0" w:firstColumn="0" w:lastColumn="0" w:oddVBand="1" w:evenVBand="0" w:oddHBand="0" w:evenHBand="0" w:firstRowFirstColumn="0" w:firstRowLastColumn="0" w:lastRowFirstColumn="0" w:lastRowLastColumn="0"/>
            <w:tcW w:w="1170" w:type="dxa"/>
          </w:tcPr>
          <w:p w14:paraId="0420F81C" w14:textId="77777777" w:rsidR="005D2595" w:rsidRPr="0067507D" w:rsidRDefault="005D2595" w:rsidP="00FC3AF2">
            <w:pPr>
              <w:pStyle w:val="Tabletextright"/>
              <w:rPr>
                <w:bCs/>
                <w:sz w:val="4"/>
              </w:rPr>
            </w:pPr>
          </w:p>
        </w:tc>
        <w:tc>
          <w:tcPr>
            <w:cnfStyle w:val="000001000000" w:firstRow="0" w:lastRow="0" w:firstColumn="0" w:lastColumn="0" w:oddVBand="0" w:evenVBand="1" w:oddHBand="0" w:evenHBand="0" w:firstRowFirstColumn="0" w:firstRowLastColumn="0" w:lastRowFirstColumn="0" w:lastRowLastColumn="0"/>
            <w:tcW w:w="1170" w:type="dxa"/>
          </w:tcPr>
          <w:p w14:paraId="7FDB067C" w14:textId="77777777" w:rsidR="005D2595" w:rsidRPr="0067507D" w:rsidRDefault="005D2595" w:rsidP="00FC3AF2">
            <w:pPr>
              <w:pStyle w:val="Tabletextright"/>
              <w:rPr>
                <w:bCs/>
                <w:sz w:val="4"/>
              </w:rPr>
            </w:pPr>
          </w:p>
        </w:tc>
        <w:tc>
          <w:tcPr>
            <w:cnfStyle w:val="000010000000" w:firstRow="0" w:lastRow="0" w:firstColumn="0" w:lastColumn="0" w:oddVBand="1" w:evenVBand="0" w:oddHBand="0" w:evenHBand="0" w:firstRowFirstColumn="0" w:firstRowLastColumn="0" w:lastRowFirstColumn="0" w:lastRowLastColumn="0"/>
            <w:tcW w:w="1170" w:type="dxa"/>
          </w:tcPr>
          <w:p w14:paraId="1094CBB8" w14:textId="77777777" w:rsidR="005D2595" w:rsidRPr="0067507D" w:rsidRDefault="005D2595" w:rsidP="00FC3AF2">
            <w:pPr>
              <w:pStyle w:val="Tabletextright"/>
              <w:rPr>
                <w:bCs/>
                <w:sz w:val="4"/>
              </w:rPr>
            </w:pPr>
          </w:p>
        </w:tc>
        <w:tc>
          <w:tcPr>
            <w:cnfStyle w:val="000001000000" w:firstRow="0" w:lastRow="0" w:firstColumn="0" w:lastColumn="0" w:oddVBand="0" w:evenVBand="1" w:oddHBand="0" w:evenHBand="0" w:firstRowFirstColumn="0" w:firstRowLastColumn="0" w:lastRowFirstColumn="0" w:lastRowLastColumn="0"/>
            <w:tcW w:w="1169" w:type="dxa"/>
          </w:tcPr>
          <w:p w14:paraId="3758114F" w14:textId="77777777" w:rsidR="005D2595" w:rsidRPr="0067507D" w:rsidRDefault="005D2595" w:rsidP="00FC3AF2">
            <w:pPr>
              <w:pStyle w:val="Tabletextright"/>
              <w:rPr>
                <w:bCs/>
                <w:sz w:val="4"/>
              </w:rPr>
            </w:pPr>
          </w:p>
        </w:tc>
      </w:tr>
      <w:tr w:rsidR="005D2595" w:rsidRPr="0067507D" w14:paraId="30DF68DF"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440E72C3" w14:textId="77777777" w:rsidR="005D2595" w:rsidRPr="0067507D" w:rsidRDefault="005D2595" w:rsidP="00FC3AF2">
            <w:pPr>
              <w:pStyle w:val="Tabletextbold"/>
            </w:pPr>
            <w:r w:rsidRPr="0067507D">
              <w:t>2024</w:t>
            </w:r>
          </w:p>
        </w:tc>
        <w:tc>
          <w:tcPr>
            <w:cnfStyle w:val="000010000000" w:firstRow="0" w:lastRow="0" w:firstColumn="0" w:lastColumn="0" w:oddVBand="1" w:evenVBand="0" w:oddHBand="0" w:evenHBand="0" w:firstRowFirstColumn="0" w:firstRowLastColumn="0" w:lastRowFirstColumn="0" w:lastRowLastColumn="0"/>
            <w:tcW w:w="1170" w:type="dxa"/>
          </w:tcPr>
          <w:p w14:paraId="795586A4" w14:textId="77777777" w:rsidR="005D2595" w:rsidRPr="0067507D" w:rsidRDefault="005D2595" w:rsidP="00FC3AF2">
            <w:pPr>
              <w:pStyle w:val="Tabletextright"/>
              <w:rPr>
                <w:bCs/>
              </w:rPr>
            </w:pPr>
          </w:p>
        </w:tc>
        <w:tc>
          <w:tcPr>
            <w:cnfStyle w:val="000001000000" w:firstRow="0" w:lastRow="0" w:firstColumn="0" w:lastColumn="0" w:oddVBand="0" w:evenVBand="1" w:oddHBand="0" w:evenHBand="0" w:firstRowFirstColumn="0" w:firstRowLastColumn="0" w:lastRowFirstColumn="0" w:lastRowLastColumn="0"/>
            <w:tcW w:w="1170" w:type="dxa"/>
          </w:tcPr>
          <w:p w14:paraId="611B3FAE" w14:textId="77777777" w:rsidR="005D2595" w:rsidRPr="0067507D" w:rsidRDefault="005D2595" w:rsidP="00FC3AF2">
            <w:pPr>
              <w:pStyle w:val="Tabletextright"/>
              <w:rPr>
                <w:bCs/>
              </w:rPr>
            </w:pPr>
          </w:p>
        </w:tc>
        <w:tc>
          <w:tcPr>
            <w:cnfStyle w:val="000010000000" w:firstRow="0" w:lastRow="0" w:firstColumn="0" w:lastColumn="0" w:oddVBand="1" w:evenVBand="0" w:oddHBand="0" w:evenHBand="0" w:firstRowFirstColumn="0" w:firstRowLastColumn="0" w:lastRowFirstColumn="0" w:lastRowLastColumn="0"/>
            <w:tcW w:w="1170" w:type="dxa"/>
          </w:tcPr>
          <w:p w14:paraId="6D66EB06" w14:textId="77777777" w:rsidR="005D2595" w:rsidRPr="0067507D" w:rsidRDefault="005D2595" w:rsidP="00FC3AF2">
            <w:pPr>
              <w:pStyle w:val="Tabletextright"/>
              <w:rPr>
                <w:bCs/>
              </w:rPr>
            </w:pPr>
          </w:p>
        </w:tc>
        <w:tc>
          <w:tcPr>
            <w:cnfStyle w:val="000001000000" w:firstRow="0" w:lastRow="0" w:firstColumn="0" w:lastColumn="0" w:oddVBand="0" w:evenVBand="1" w:oddHBand="0" w:evenHBand="0" w:firstRowFirstColumn="0" w:firstRowLastColumn="0" w:lastRowFirstColumn="0" w:lastRowLastColumn="0"/>
            <w:tcW w:w="1169" w:type="dxa"/>
          </w:tcPr>
          <w:p w14:paraId="205325D7" w14:textId="77777777" w:rsidR="005D2595" w:rsidRPr="0067507D" w:rsidRDefault="005D2595" w:rsidP="00FC3AF2">
            <w:pPr>
              <w:pStyle w:val="Tabletextright"/>
              <w:rPr>
                <w:bCs/>
              </w:rPr>
            </w:pPr>
          </w:p>
        </w:tc>
      </w:tr>
      <w:tr w:rsidR="005D2595" w:rsidRPr="0067507D" w14:paraId="1B903C48"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05C6FC98" w14:textId="77777777" w:rsidR="005D2595" w:rsidRPr="0067507D" w:rsidRDefault="005D2595" w:rsidP="00FC3AF2">
            <w:pPr>
              <w:pStyle w:val="Tabletext"/>
            </w:pPr>
            <w:r w:rsidRPr="0067507D">
              <w:t>Operating commitments</w:t>
            </w:r>
          </w:p>
        </w:tc>
        <w:tc>
          <w:tcPr>
            <w:cnfStyle w:val="000010000000" w:firstRow="0" w:lastRow="0" w:firstColumn="0" w:lastColumn="0" w:oddVBand="1" w:evenVBand="0" w:oddHBand="0" w:evenHBand="0" w:firstRowFirstColumn="0" w:firstRowLastColumn="0" w:lastRowFirstColumn="0" w:lastRowLastColumn="0"/>
            <w:tcW w:w="1170" w:type="dxa"/>
          </w:tcPr>
          <w:p w14:paraId="3DD514EE" w14:textId="77777777" w:rsidR="005D2595" w:rsidRPr="0067507D" w:rsidRDefault="005D2595" w:rsidP="00FC3AF2">
            <w:pPr>
              <w:pStyle w:val="Tabletextright"/>
              <w:rPr>
                <w:bCs/>
              </w:rPr>
            </w:pPr>
            <w:r w:rsidRPr="0067507D">
              <w:t xml:space="preserve">47 519 </w:t>
            </w:r>
          </w:p>
        </w:tc>
        <w:tc>
          <w:tcPr>
            <w:cnfStyle w:val="000001000000" w:firstRow="0" w:lastRow="0" w:firstColumn="0" w:lastColumn="0" w:oddVBand="0" w:evenVBand="1" w:oddHBand="0" w:evenHBand="0" w:firstRowFirstColumn="0" w:firstRowLastColumn="0" w:lastRowFirstColumn="0" w:lastRowLastColumn="0"/>
            <w:tcW w:w="1170" w:type="dxa"/>
          </w:tcPr>
          <w:p w14:paraId="3290D3C4" w14:textId="77777777" w:rsidR="005D2595" w:rsidRPr="0067507D" w:rsidRDefault="005D2595" w:rsidP="00FC3AF2">
            <w:pPr>
              <w:pStyle w:val="Tabletextright"/>
              <w:rPr>
                <w:bCs/>
              </w:rPr>
            </w:pPr>
            <w:r w:rsidRPr="0067507D">
              <w:t xml:space="preserve">14 761 </w:t>
            </w:r>
          </w:p>
        </w:tc>
        <w:tc>
          <w:tcPr>
            <w:cnfStyle w:val="000010000000" w:firstRow="0" w:lastRow="0" w:firstColumn="0" w:lastColumn="0" w:oddVBand="1" w:evenVBand="0" w:oddHBand="0" w:evenHBand="0" w:firstRowFirstColumn="0" w:firstRowLastColumn="0" w:lastRowFirstColumn="0" w:lastRowLastColumn="0"/>
            <w:tcW w:w="1170" w:type="dxa"/>
          </w:tcPr>
          <w:p w14:paraId="7918CFDB" w14:textId="77777777" w:rsidR="005D2595" w:rsidRPr="0067507D" w:rsidRDefault="005D2595" w:rsidP="00FC3AF2">
            <w:pPr>
              <w:pStyle w:val="Tabletextright"/>
              <w:rPr>
                <w:bCs/>
              </w:rPr>
            </w:pPr>
            <w:r w:rsidRPr="0067507D">
              <w:t>–</w:t>
            </w:r>
          </w:p>
        </w:tc>
        <w:tc>
          <w:tcPr>
            <w:cnfStyle w:val="000001000000" w:firstRow="0" w:lastRow="0" w:firstColumn="0" w:lastColumn="0" w:oddVBand="0" w:evenVBand="1" w:oddHBand="0" w:evenHBand="0" w:firstRowFirstColumn="0" w:firstRowLastColumn="0" w:lastRowFirstColumn="0" w:lastRowLastColumn="0"/>
            <w:tcW w:w="1169" w:type="dxa"/>
          </w:tcPr>
          <w:p w14:paraId="47EAF39A" w14:textId="77777777" w:rsidR="005D2595" w:rsidRPr="0067507D" w:rsidRDefault="005D2595" w:rsidP="00FC3AF2">
            <w:pPr>
              <w:pStyle w:val="Tabletextright"/>
              <w:rPr>
                <w:bCs/>
              </w:rPr>
            </w:pPr>
            <w:r w:rsidRPr="0067507D">
              <w:t xml:space="preserve">62 280 </w:t>
            </w:r>
          </w:p>
        </w:tc>
      </w:tr>
      <w:tr w:rsidR="005D2595" w:rsidRPr="0067507D" w14:paraId="34538F52" w14:textId="77777777" w:rsidTr="00FC3AF2">
        <w:tc>
          <w:tcPr>
            <w:cnfStyle w:val="001000000000" w:firstRow="0" w:lastRow="0" w:firstColumn="1" w:lastColumn="0" w:oddVBand="0" w:evenVBand="0" w:oddHBand="0" w:evenHBand="0" w:firstRowFirstColumn="0" w:firstRowLastColumn="0" w:lastRowFirstColumn="0" w:lastRowLastColumn="0"/>
            <w:tcW w:w="3600" w:type="dxa"/>
          </w:tcPr>
          <w:p w14:paraId="076547C3" w14:textId="77777777" w:rsidR="005D2595" w:rsidRPr="0067507D" w:rsidRDefault="005D2595" w:rsidP="00FC3AF2">
            <w:pPr>
              <w:pStyle w:val="Tabletextbold"/>
              <w:rPr>
                <w:rFonts w:ascii="VIC SemiBold" w:hAnsi="VIC SemiBold"/>
              </w:rPr>
            </w:pPr>
            <w:r w:rsidRPr="0067507D">
              <w:t>Total commitments (inclusive of GST)</w:t>
            </w:r>
          </w:p>
        </w:tc>
        <w:tc>
          <w:tcPr>
            <w:cnfStyle w:val="000010000000" w:firstRow="0" w:lastRow="0" w:firstColumn="0" w:lastColumn="0" w:oddVBand="1" w:evenVBand="0" w:oddHBand="0" w:evenHBand="0" w:firstRowFirstColumn="0" w:firstRowLastColumn="0" w:lastRowFirstColumn="0" w:lastRowLastColumn="0"/>
            <w:tcW w:w="1170" w:type="dxa"/>
          </w:tcPr>
          <w:p w14:paraId="537EC0C1" w14:textId="77777777" w:rsidR="005D2595" w:rsidRPr="0067507D" w:rsidRDefault="005D2595" w:rsidP="00FC3AF2">
            <w:pPr>
              <w:pStyle w:val="Tabletextrightbold"/>
              <w:rPr>
                <w:rFonts w:ascii="VIC SemiBold" w:hAnsi="VIC SemiBold"/>
              </w:rPr>
            </w:pPr>
            <w:r w:rsidRPr="0067507D">
              <w:t xml:space="preserve">47 519 </w:t>
            </w:r>
          </w:p>
        </w:tc>
        <w:tc>
          <w:tcPr>
            <w:cnfStyle w:val="000001000000" w:firstRow="0" w:lastRow="0" w:firstColumn="0" w:lastColumn="0" w:oddVBand="0" w:evenVBand="1" w:oddHBand="0" w:evenHBand="0" w:firstRowFirstColumn="0" w:firstRowLastColumn="0" w:lastRowFirstColumn="0" w:lastRowLastColumn="0"/>
            <w:tcW w:w="1170" w:type="dxa"/>
          </w:tcPr>
          <w:p w14:paraId="40B59FCE" w14:textId="77777777" w:rsidR="005D2595" w:rsidRPr="0067507D" w:rsidRDefault="005D2595" w:rsidP="00FC3AF2">
            <w:pPr>
              <w:pStyle w:val="Tabletextrightbold"/>
              <w:rPr>
                <w:rFonts w:ascii="VIC SemiBold" w:hAnsi="VIC SemiBold"/>
              </w:rPr>
            </w:pPr>
            <w:r w:rsidRPr="0067507D">
              <w:t xml:space="preserve">14 761 </w:t>
            </w:r>
          </w:p>
        </w:tc>
        <w:tc>
          <w:tcPr>
            <w:cnfStyle w:val="000010000000" w:firstRow="0" w:lastRow="0" w:firstColumn="0" w:lastColumn="0" w:oddVBand="1" w:evenVBand="0" w:oddHBand="0" w:evenHBand="0" w:firstRowFirstColumn="0" w:firstRowLastColumn="0" w:lastRowFirstColumn="0" w:lastRowLastColumn="0"/>
            <w:tcW w:w="1170" w:type="dxa"/>
          </w:tcPr>
          <w:p w14:paraId="12C066B3" w14:textId="77777777" w:rsidR="005D2595" w:rsidRPr="0067507D" w:rsidRDefault="005D2595" w:rsidP="00FC3AF2">
            <w:pPr>
              <w:pStyle w:val="Tabletextrightbold"/>
              <w:rPr>
                <w:rFonts w:ascii="VIC SemiBold" w:hAnsi="VIC SemiBold"/>
              </w:rPr>
            </w:pPr>
            <w:r w:rsidRPr="0067507D">
              <w:t>–</w:t>
            </w:r>
          </w:p>
        </w:tc>
        <w:tc>
          <w:tcPr>
            <w:cnfStyle w:val="000001000000" w:firstRow="0" w:lastRow="0" w:firstColumn="0" w:lastColumn="0" w:oddVBand="0" w:evenVBand="1" w:oddHBand="0" w:evenHBand="0" w:firstRowFirstColumn="0" w:firstRowLastColumn="0" w:lastRowFirstColumn="0" w:lastRowLastColumn="0"/>
            <w:tcW w:w="1169" w:type="dxa"/>
          </w:tcPr>
          <w:p w14:paraId="7A3091BA" w14:textId="77777777" w:rsidR="005D2595" w:rsidRPr="0067507D" w:rsidRDefault="005D2595" w:rsidP="00FC3AF2">
            <w:pPr>
              <w:pStyle w:val="Tabletextrightbold"/>
              <w:rPr>
                <w:rFonts w:ascii="VIC SemiBold" w:hAnsi="VIC SemiBold"/>
              </w:rPr>
            </w:pPr>
            <w:r w:rsidRPr="0067507D">
              <w:t xml:space="preserve">62 280 </w:t>
            </w:r>
          </w:p>
        </w:tc>
      </w:tr>
    </w:tbl>
    <w:p w14:paraId="04AE1549" w14:textId="77777777" w:rsidR="005D2595" w:rsidRPr="0067507D" w:rsidRDefault="005D2595" w:rsidP="005D2595">
      <w:pPr>
        <w:pStyle w:val="Notes"/>
      </w:pPr>
    </w:p>
    <w:p w14:paraId="2573327D" w14:textId="77777777" w:rsidR="005D2595" w:rsidRPr="0067507D" w:rsidRDefault="005D2595" w:rsidP="005D2595">
      <w:pPr>
        <w:pStyle w:val="Notes"/>
        <w:sectPr w:rsidR="005D2595" w:rsidRPr="0067507D" w:rsidSect="005D2595">
          <w:headerReference w:type="default" r:id="rId132"/>
          <w:type w:val="continuous"/>
          <w:pgSz w:w="11909" w:h="16834" w:code="9"/>
          <w:pgMar w:top="1728" w:right="1152" w:bottom="1152" w:left="1152" w:header="720" w:footer="288" w:gutter="0"/>
          <w:cols w:space="569"/>
          <w:noEndnote/>
        </w:sectPr>
      </w:pPr>
    </w:p>
    <w:p w14:paraId="4F64BC40" w14:textId="77777777" w:rsidR="005D2595" w:rsidRPr="0067507D" w:rsidRDefault="005D2595" w:rsidP="009714E6">
      <w:pPr>
        <w:pStyle w:val="Heading1numbered"/>
      </w:pPr>
      <w:bookmarkStart w:id="150" w:name="_Toc210214021"/>
      <w:bookmarkStart w:id="151" w:name="_Toc210213968"/>
      <w:r w:rsidRPr="0067507D">
        <w:lastRenderedPageBreak/>
        <w:t>Risks and valuation judgements</w:t>
      </w:r>
      <w:bookmarkEnd w:id="150"/>
      <w:bookmarkEnd w:id="151"/>
    </w:p>
    <w:p w14:paraId="6696D118" w14:textId="77777777" w:rsidR="005D2595" w:rsidRPr="0067507D" w:rsidRDefault="005D2595" w:rsidP="005D2595">
      <w:pPr>
        <w:sectPr w:rsidR="005D2595" w:rsidRPr="0067507D" w:rsidSect="005D2595">
          <w:headerReference w:type="default" r:id="rId133"/>
          <w:headerReference w:type="first" r:id="rId134"/>
          <w:footerReference w:type="first" r:id="rId135"/>
          <w:pgSz w:w="11909" w:h="16834" w:code="9"/>
          <w:pgMar w:top="1728" w:right="1152" w:bottom="1152" w:left="1152" w:header="720" w:footer="288" w:gutter="0"/>
          <w:cols w:space="569"/>
          <w:noEndnote/>
          <w:titlePg/>
          <w:docGrid w:linePitch="231"/>
        </w:sectPr>
      </w:pPr>
    </w:p>
    <w:p w14:paraId="42E06A7F" w14:textId="77777777" w:rsidR="005D2595" w:rsidRPr="0067507D" w:rsidRDefault="005D2595" w:rsidP="000D5F54">
      <w:pPr>
        <w:pStyle w:val="Heading2numbered"/>
      </w:pPr>
      <w:bookmarkStart w:id="152" w:name="_Toc210214022"/>
      <w:bookmarkStart w:id="153" w:name="_Toc210213969"/>
      <w:r w:rsidRPr="0067507D">
        <w:t>Introduction</w:t>
      </w:r>
      <w:bookmarkEnd w:id="152"/>
      <w:bookmarkEnd w:id="153"/>
    </w:p>
    <w:p w14:paraId="36626FBE" w14:textId="77777777" w:rsidR="005D2595" w:rsidRPr="0067507D" w:rsidRDefault="005D2595" w:rsidP="005D2595">
      <w:r w:rsidRPr="0067507D">
        <w:t>This note sets out financial instrument specific information (including exposures to financial risks) and their fair values.</w:t>
      </w:r>
    </w:p>
    <w:p w14:paraId="79658B2F" w14:textId="77777777" w:rsidR="005D2595" w:rsidRPr="0067507D" w:rsidRDefault="005D2595" w:rsidP="000D5F54">
      <w:pPr>
        <w:pStyle w:val="Heading2numbered"/>
      </w:pPr>
      <w:bookmarkStart w:id="154" w:name="FinancialInstruments"/>
      <w:bookmarkStart w:id="155" w:name="_Toc210214023"/>
      <w:bookmarkStart w:id="156" w:name="_Toc210213970"/>
      <w:r w:rsidRPr="0067507D">
        <w:t>Financial instrument</w:t>
      </w:r>
      <w:bookmarkEnd w:id="154"/>
      <w:r w:rsidRPr="0067507D">
        <w:t xml:space="preserve"> specific disclosures</w:t>
      </w:r>
      <w:bookmarkEnd w:id="155"/>
      <w:bookmarkEnd w:id="156"/>
    </w:p>
    <w:p w14:paraId="47998EFF" w14:textId="77777777" w:rsidR="005D2595" w:rsidRPr="0067507D" w:rsidRDefault="005D2595" w:rsidP="005D2595">
      <w:r w:rsidRPr="0067507D">
        <w:t xml:space="preserve">Financial instruments arise out of contractual agreements that give rise to a financial asset of one entity and a financial liability or equity instrument of another entity. Due to the nature of the Department's activities, certain financial assets and financial liabilities arise under statute rather than a contract (for example taxes, fines and penalties). Such assets and liabilities do not meet the definition of financial instruments in AASB 132 </w:t>
      </w:r>
      <w:r w:rsidRPr="0067507D">
        <w:rPr>
          <w:i/>
          <w:iCs/>
        </w:rPr>
        <w:t>Financial Instruments: Presentation</w:t>
      </w:r>
      <w:r w:rsidRPr="0067507D">
        <w:t xml:space="preserve"> and therefore are not disclosed in this note.</w:t>
      </w:r>
    </w:p>
    <w:p w14:paraId="690FAF77" w14:textId="77777777" w:rsidR="005D2595" w:rsidRPr="0067507D" w:rsidRDefault="005D2595" w:rsidP="006273F6">
      <w:pPr>
        <w:pStyle w:val="Heading3numbered"/>
        <w:ind w:left="576" w:hanging="576"/>
      </w:pPr>
      <w:r w:rsidRPr="0067507D">
        <w:t>Categories of financial instruments held by the Department</w:t>
      </w:r>
    </w:p>
    <w:p w14:paraId="19CB587A" w14:textId="77777777" w:rsidR="005D2595" w:rsidRPr="0067507D" w:rsidRDefault="005D2595" w:rsidP="005D2595">
      <w:pPr>
        <w:pStyle w:val="Heading4"/>
      </w:pPr>
      <w:r w:rsidRPr="0067507D">
        <w:t>Financial assets at amortised cost</w:t>
      </w:r>
    </w:p>
    <w:p w14:paraId="290DF78B" w14:textId="77777777" w:rsidR="005D2595" w:rsidRPr="0067507D" w:rsidRDefault="005D2595" w:rsidP="005D2595">
      <w:r w:rsidRPr="0067507D">
        <w:t>Financial assets are measured at amortised cost if both of the following criteria are met and the assets are not designated as fair value through net result:</w:t>
      </w:r>
    </w:p>
    <w:p w14:paraId="17DE6451" w14:textId="77777777" w:rsidR="005D2595" w:rsidRPr="0067507D" w:rsidRDefault="005D2595" w:rsidP="006273F6">
      <w:pPr>
        <w:pStyle w:val="Bullet"/>
        <w:numPr>
          <w:ilvl w:val="0"/>
          <w:numId w:val="31"/>
        </w:numPr>
        <w:spacing w:before="60" w:after="60"/>
      </w:pPr>
      <w:r w:rsidRPr="0067507D">
        <w:t>the assets are held by the Department to collect the contractual cash flows</w:t>
      </w:r>
    </w:p>
    <w:p w14:paraId="49BB4294" w14:textId="77777777" w:rsidR="005D2595" w:rsidRPr="0067507D" w:rsidRDefault="005D2595" w:rsidP="006273F6">
      <w:pPr>
        <w:pStyle w:val="Bullet"/>
        <w:numPr>
          <w:ilvl w:val="0"/>
          <w:numId w:val="31"/>
        </w:numPr>
        <w:spacing w:before="60" w:after="60"/>
      </w:pPr>
      <w:r w:rsidRPr="0067507D">
        <w:t>the assets' contractual terms give rise to cash flows that are solely payments of principal and interest.</w:t>
      </w:r>
    </w:p>
    <w:p w14:paraId="2FF608B9" w14:textId="77777777" w:rsidR="005D2595" w:rsidRPr="0067507D" w:rsidRDefault="005D2595" w:rsidP="005D2595">
      <w:r w:rsidRPr="0067507D">
        <w:br w:type="column"/>
      </w:r>
      <w:r w:rsidRPr="0067507D">
        <w:t>These assets are initially recognised at fair value plus any directly attributable transaction costs and subsequently measured at amortised cost using the effective interest method less any impairment.</w:t>
      </w:r>
    </w:p>
    <w:p w14:paraId="0CB97CB3" w14:textId="77777777" w:rsidR="005D2595" w:rsidRPr="0067507D" w:rsidRDefault="005D2595" w:rsidP="005D2595">
      <w:r w:rsidRPr="0067507D">
        <w:t>The Department recognises the following assets in this category:</w:t>
      </w:r>
    </w:p>
    <w:p w14:paraId="42F18A30" w14:textId="77777777" w:rsidR="005D2595" w:rsidRPr="0067507D" w:rsidRDefault="005D2595" w:rsidP="006273F6">
      <w:pPr>
        <w:pStyle w:val="Bullet"/>
        <w:numPr>
          <w:ilvl w:val="0"/>
          <w:numId w:val="31"/>
        </w:numPr>
        <w:spacing w:before="60" w:after="60"/>
      </w:pPr>
      <w:r w:rsidRPr="0067507D">
        <w:t>cash</w:t>
      </w:r>
    </w:p>
    <w:p w14:paraId="474F1EE4" w14:textId="77777777" w:rsidR="005D2595" w:rsidRPr="0067507D" w:rsidRDefault="005D2595" w:rsidP="006273F6">
      <w:pPr>
        <w:pStyle w:val="Bullet"/>
        <w:numPr>
          <w:ilvl w:val="0"/>
          <w:numId w:val="31"/>
        </w:numPr>
        <w:spacing w:before="60" w:after="60"/>
      </w:pPr>
      <w:r w:rsidRPr="0067507D">
        <w:t>contractual receivables.</w:t>
      </w:r>
    </w:p>
    <w:p w14:paraId="4160E74C" w14:textId="77777777" w:rsidR="005D2595" w:rsidRPr="0067507D" w:rsidRDefault="005D2595" w:rsidP="005D2595">
      <w:pPr>
        <w:pStyle w:val="Heading4"/>
        <w:spacing w:before="240"/>
      </w:pPr>
      <w:r w:rsidRPr="0067507D">
        <w:t>Financial liabilities at amortised cost</w:t>
      </w:r>
    </w:p>
    <w:p w14:paraId="3D96199D" w14:textId="77777777" w:rsidR="005D2595" w:rsidRPr="0067507D" w:rsidRDefault="005D2595" w:rsidP="005D2595">
      <w:r w:rsidRPr="0067507D">
        <w:t>Financial liabilities at amortised cost are initially recognised on the date they are originated and are initially measured at fair value plus any directly attributable transaction costs. Subsequent to initial recognition, these financial instruments are measured at amortised cost with any difference between the initial recognised amount and the redemption value being recognised in profit and loss over the period of the interest bearing liability, using the effective interest rate method.</w:t>
      </w:r>
    </w:p>
    <w:p w14:paraId="42616F0E" w14:textId="77777777" w:rsidR="005D2595" w:rsidRPr="0067507D" w:rsidRDefault="005D2595" w:rsidP="005D2595">
      <w:r w:rsidRPr="0067507D">
        <w:t>The Department recognises the following liabilities in this category:</w:t>
      </w:r>
    </w:p>
    <w:p w14:paraId="2EEE4FD1" w14:textId="77777777" w:rsidR="005D2595" w:rsidRPr="0067507D" w:rsidRDefault="005D2595" w:rsidP="006273F6">
      <w:pPr>
        <w:pStyle w:val="Bullet"/>
        <w:numPr>
          <w:ilvl w:val="0"/>
          <w:numId w:val="31"/>
        </w:numPr>
        <w:spacing w:before="60" w:after="60"/>
      </w:pPr>
      <w:r w:rsidRPr="0067507D">
        <w:t>contractual payables</w:t>
      </w:r>
    </w:p>
    <w:p w14:paraId="0778D5B4" w14:textId="77777777" w:rsidR="005D2595" w:rsidRPr="0067507D" w:rsidRDefault="005D2595" w:rsidP="006273F6">
      <w:pPr>
        <w:pStyle w:val="Bullet"/>
        <w:numPr>
          <w:ilvl w:val="0"/>
          <w:numId w:val="31"/>
        </w:numPr>
        <w:spacing w:before="60" w:after="60"/>
      </w:pPr>
      <w:r w:rsidRPr="0067507D">
        <w:t>borrowings (including lease liabilities).</w:t>
      </w:r>
    </w:p>
    <w:p w14:paraId="41AB0686" w14:textId="77777777" w:rsidR="005D2595" w:rsidRPr="0067507D" w:rsidRDefault="005D2595" w:rsidP="005D2595">
      <w:pPr>
        <w:sectPr w:rsidR="005D2595" w:rsidRPr="0067507D" w:rsidSect="005D2595">
          <w:headerReference w:type="default" r:id="rId136"/>
          <w:type w:val="continuous"/>
          <w:pgSz w:w="11909" w:h="16834" w:code="9"/>
          <w:pgMar w:top="1728" w:right="1152" w:bottom="1152" w:left="1152" w:header="720" w:footer="288" w:gutter="0"/>
          <w:cols w:num="2" w:space="569"/>
          <w:noEndnote/>
        </w:sectPr>
      </w:pPr>
    </w:p>
    <w:p w14:paraId="59261BFE" w14:textId="77777777" w:rsidR="005D2595" w:rsidRPr="0067507D" w:rsidRDefault="005D2595" w:rsidP="005D2595">
      <w:pPr>
        <w:pStyle w:val="Heading3"/>
        <w:rPr>
          <w:sz w:val="18"/>
          <w:szCs w:val="22"/>
        </w:rPr>
      </w:pPr>
      <w:r w:rsidRPr="0067507D">
        <w:rPr>
          <w:sz w:val="18"/>
          <w:szCs w:val="22"/>
        </w:rPr>
        <w:t>Carrying amount of financial instruments by category</w:t>
      </w:r>
    </w:p>
    <w:tbl>
      <w:tblPr>
        <w:tblW w:w="8118" w:type="dxa"/>
        <w:tblLayout w:type="fixed"/>
        <w:tblLook w:val="0000" w:firstRow="0" w:lastRow="0" w:firstColumn="0" w:lastColumn="0" w:noHBand="0" w:noVBand="0"/>
      </w:tblPr>
      <w:tblGrid>
        <w:gridCol w:w="4788"/>
        <w:gridCol w:w="850"/>
        <w:gridCol w:w="1240"/>
        <w:gridCol w:w="1240"/>
      </w:tblGrid>
      <w:tr w:rsidR="001F4D96" w:rsidRPr="0067507D" w14:paraId="0F3033CB" w14:textId="77777777" w:rsidTr="001F4D96">
        <w:tc>
          <w:tcPr>
            <w:tcW w:w="4788" w:type="dxa"/>
          </w:tcPr>
          <w:p w14:paraId="260CCCE5" w14:textId="77777777" w:rsidR="001F4D96" w:rsidRPr="0067507D" w:rsidRDefault="001F4D96" w:rsidP="001F4D96">
            <w:pPr>
              <w:pStyle w:val="Tabletext"/>
            </w:pPr>
          </w:p>
        </w:tc>
        <w:tc>
          <w:tcPr>
            <w:tcW w:w="850" w:type="dxa"/>
            <w:vAlign w:val="bottom"/>
          </w:tcPr>
          <w:p w14:paraId="541D3D10" w14:textId="4C34326F" w:rsidR="001F4D96" w:rsidRPr="0067507D" w:rsidRDefault="001F4D96" w:rsidP="001F4D96">
            <w:pPr>
              <w:pStyle w:val="Tabletextheadingcentred"/>
            </w:pPr>
            <w:r w:rsidRPr="0067507D">
              <w:t>Notes</w:t>
            </w:r>
          </w:p>
        </w:tc>
        <w:tc>
          <w:tcPr>
            <w:tcW w:w="1240" w:type="dxa"/>
          </w:tcPr>
          <w:p w14:paraId="00BC80C8" w14:textId="52A72EB3" w:rsidR="001F4D96" w:rsidRPr="0067507D" w:rsidRDefault="001F4D96" w:rsidP="001F4D96">
            <w:pPr>
              <w:pStyle w:val="Tabletextheadingright"/>
            </w:pPr>
            <w:r w:rsidRPr="0067507D">
              <w:t>2025</w:t>
            </w:r>
            <w:r>
              <w:rPr>
                <w:szCs w:val="16"/>
              </w:rPr>
              <w:br/>
            </w:r>
            <w:r w:rsidRPr="0067507D">
              <w:t>$’000</w:t>
            </w:r>
          </w:p>
        </w:tc>
        <w:tc>
          <w:tcPr>
            <w:tcW w:w="1240" w:type="dxa"/>
          </w:tcPr>
          <w:p w14:paraId="5AA536B2" w14:textId="03F646AE" w:rsidR="001F4D96" w:rsidRPr="0067507D" w:rsidRDefault="001F4D96" w:rsidP="001F4D96">
            <w:pPr>
              <w:pStyle w:val="Tabletextheadingright"/>
            </w:pPr>
            <w:r w:rsidRPr="0067507D">
              <w:t>2024</w:t>
            </w:r>
            <w:r>
              <w:rPr>
                <w:szCs w:val="16"/>
              </w:rPr>
              <w:br/>
            </w:r>
            <w:r w:rsidRPr="0067507D">
              <w:t>$’000</w:t>
            </w:r>
          </w:p>
        </w:tc>
      </w:tr>
      <w:tr w:rsidR="005D2595" w:rsidRPr="0067507D" w14:paraId="3A0CE0FE" w14:textId="77777777" w:rsidTr="00FC3AF2">
        <w:tc>
          <w:tcPr>
            <w:tcW w:w="4788" w:type="dxa"/>
          </w:tcPr>
          <w:p w14:paraId="5021EEEE" w14:textId="77777777" w:rsidR="005D2595" w:rsidRPr="0067507D" w:rsidRDefault="005D2595" w:rsidP="00FC3AF2">
            <w:pPr>
              <w:pStyle w:val="Tabletextbold"/>
            </w:pPr>
            <w:r w:rsidRPr="0067507D">
              <w:t>Financial assets at amortised cost</w:t>
            </w:r>
          </w:p>
        </w:tc>
        <w:tc>
          <w:tcPr>
            <w:tcW w:w="850" w:type="dxa"/>
          </w:tcPr>
          <w:p w14:paraId="40D7EF23" w14:textId="77777777" w:rsidR="005D2595" w:rsidRPr="0067507D" w:rsidRDefault="005D2595" w:rsidP="00FC3AF2">
            <w:pPr>
              <w:pStyle w:val="Tabletextcentred"/>
            </w:pPr>
          </w:p>
        </w:tc>
        <w:tc>
          <w:tcPr>
            <w:tcW w:w="1240" w:type="dxa"/>
            <w:shd w:val="clear" w:color="auto" w:fill="E0E0E0"/>
          </w:tcPr>
          <w:p w14:paraId="36FDEE8D" w14:textId="77777777" w:rsidR="005D2595" w:rsidRPr="0067507D" w:rsidRDefault="005D2595" w:rsidP="00FC3AF2">
            <w:pPr>
              <w:pStyle w:val="Tabletextright"/>
            </w:pPr>
          </w:p>
        </w:tc>
        <w:tc>
          <w:tcPr>
            <w:tcW w:w="1240" w:type="dxa"/>
          </w:tcPr>
          <w:p w14:paraId="46B57316" w14:textId="77777777" w:rsidR="005D2595" w:rsidRPr="0067507D" w:rsidRDefault="005D2595" w:rsidP="00FC3AF2">
            <w:pPr>
              <w:pStyle w:val="Tabletextright"/>
            </w:pPr>
          </w:p>
        </w:tc>
      </w:tr>
      <w:tr w:rsidR="005D2595" w:rsidRPr="0067507D" w14:paraId="77E856FA" w14:textId="77777777" w:rsidTr="00FC3AF2">
        <w:tc>
          <w:tcPr>
            <w:tcW w:w="4788" w:type="dxa"/>
          </w:tcPr>
          <w:p w14:paraId="1B204D7D" w14:textId="77777777" w:rsidR="005D2595" w:rsidRPr="0067507D" w:rsidRDefault="005D2595" w:rsidP="00FC3AF2">
            <w:pPr>
              <w:pStyle w:val="Tabletext"/>
            </w:pPr>
            <w:r w:rsidRPr="0067507D">
              <w:t>Cash</w:t>
            </w:r>
          </w:p>
        </w:tc>
        <w:tc>
          <w:tcPr>
            <w:tcW w:w="850" w:type="dxa"/>
          </w:tcPr>
          <w:p w14:paraId="41496663" w14:textId="77777777" w:rsidR="005D2595" w:rsidRPr="0067507D" w:rsidRDefault="005D2595" w:rsidP="00FC3AF2">
            <w:pPr>
              <w:pStyle w:val="Tabletextcentred"/>
            </w:pPr>
            <w:r w:rsidRPr="0067507D">
              <w:t>7.2</w:t>
            </w:r>
          </w:p>
        </w:tc>
        <w:tc>
          <w:tcPr>
            <w:tcW w:w="1240" w:type="dxa"/>
            <w:shd w:val="clear" w:color="auto" w:fill="E0E0E0"/>
          </w:tcPr>
          <w:p w14:paraId="37E9C3B9" w14:textId="77777777" w:rsidR="005D2595" w:rsidRPr="0067507D" w:rsidRDefault="005D2595" w:rsidP="00FC3AF2">
            <w:pPr>
              <w:pStyle w:val="Tabletextright"/>
              <w:rPr>
                <w:bCs/>
              </w:rPr>
            </w:pPr>
            <w:r w:rsidRPr="0067507D">
              <w:t xml:space="preserve">11 242 </w:t>
            </w:r>
          </w:p>
        </w:tc>
        <w:tc>
          <w:tcPr>
            <w:tcW w:w="1240" w:type="dxa"/>
          </w:tcPr>
          <w:p w14:paraId="1E066F4B" w14:textId="77777777" w:rsidR="005D2595" w:rsidRPr="0067507D" w:rsidRDefault="005D2595" w:rsidP="00FC3AF2">
            <w:pPr>
              <w:pStyle w:val="Tabletextright"/>
              <w:rPr>
                <w:bCs/>
              </w:rPr>
            </w:pPr>
            <w:r w:rsidRPr="0067507D">
              <w:t xml:space="preserve">11 549 </w:t>
            </w:r>
          </w:p>
        </w:tc>
      </w:tr>
      <w:tr w:rsidR="005D2595" w:rsidRPr="0067507D" w14:paraId="23D1FE82" w14:textId="77777777" w:rsidTr="00FC3AF2">
        <w:tc>
          <w:tcPr>
            <w:tcW w:w="4788" w:type="dxa"/>
          </w:tcPr>
          <w:p w14:paraId="275DA0A5" w14:textId="77777777" w:rsidR="005D2595" w:rsidRPr="0067507D" w:rsidRDefault="005D2595" w:rsidP="00FC3AF2">
            <w:pPr>
              <w:pStyle w:val="Tabletext"/>
            </w:pPr>
            <w:r w:rsidRPr="0067507D">
              <w:t>Contractual receivables</w:t>
            </w:r>
          </w:p>
        </w:tc>
        <w:tc>
          <w:tcPr>
            <w:tcW w:w="850" w:type="dxa"/>
          </w:tcPr>
          <w:p w14:paraId="4DE89C1A" w14:textId="77777777" w:rsidR="005D2595" w:rsidRPr="0067507D" w:rsidRDefault="005D2595" w:rsidP="00FC3AF2">
            <w:pPr>
              <w:pStyle w:val="Tabletextcentred"/>
            </w:pPr>
            <w:r w:rsidRPr="0067507D">
              <w:t>6.2</w:t>
            </w:r>
          </w:p>
        </w:tc>
        <w:tc>
          <w:tcPr>
            <w:tcW w:w="1240" w:type="dxa"/>
            <w:shd w:val="clear" w:color="auto" w:fill="E0E0E0"/>
          </w:tcPr>
          <w:p w14:paraId="6FB97A31" w14:textId="77777777" w:rsidR="005D2595" w:rsidRPr="0067507D" w:rsidRDefault="005D2595" w:rsidP="00FC3AF2">
            <w:pPr>
              <w:pStyle w:val="Tabletextright"/>
              <w:rPr>
                <w:bCs/>
              </w:rPr>
            </w:pPr>
            <w:r w:rsidRPr="0067507D">
              <w:t xml:space="preserve">2 901 </w:t>
            </w:r>
          </w:p>
        </w:tc>
        <w:tc>
          <w:tcPr>
            <w:tcW w:w="1240" w:type="dxa"/>
          </w:tcPr>
          <w:p w14:paraId="3991A775" w14:textId="77777777" w:rsidR="005D2595" w:rsidRPr="0067507D" w:rsidRDefault="005D2595" w:rsidP="00FC3AF2">
            <w:pPr>
              <w:pStyle w:val="Tabletextright"/>
              <w:rPr>
                <w:bCs/>
              </w:rPr>
            </w:pPr>
            <w:r w:rsidRPr="0067507D">
              <w:t xml:space="preserve">3 415 </w:t>
            </w:r>
          </w:p>
        </w:tc>
      </w:tr>
      <w:tr w:rsidR="005D2595" w:rsidRPr="0067507D" w14:paraId="335CEFBE" w14:textId="77777777" w:rsidTr="00FC3AF2">
        <w:tc>
          <w:tcPr>
            <w:tcW w:w="4788" w:type="dxa"/>
          </w:tcPr>
          <w:p w14:paraId="4A1D943F" w14:textId="77777777" w:rsidR="005D2595" w:rsidRPr="0067507D" w:rsidRDefault="005D2595" w:rsidP="00FC3AF2">
            <w:pPr>
              <w:pStyle w:val="Tabletextsemibold"/>
            </w:pPr>
            <w:r w:rsidRPr="0067507D">
              <w:t xml:space="preserve">Total </w:t>
            </w:r>
          </w:p>
        </w:tc>
        <w:tc>
          <w:tcPr>
            <w:tcW w:w="850" w:type="dxa"/>
          </w:tcPr>
          <w:p w14:paraId="6BCD189D" w14:textId="77777777" w:rsidR="005D2595" w:rsidRPr="0067507D" w:rsidRDefault="005D2595" w:rsidP="00FC3AF2">
            <w:pPr>
              <w:pStyle w:val="Tabletextcentred"/>
            </w:pPr>
          </w:p>
        </w:tc>
        <w:tc>
          <w:tcPr>
            <w:tcW w:w="1240" w:type="dxa"/>
            <w:shd w:val="clear" w:color="auto" w:fill="E0E0E0"/>
          </w:tcPr>
          <w:p w14:paraId="3636362C" w14:textId="77777777" w:rsidR="005D2595" w:rsidRPr="0067507D" w:rsidRDefault="005D2595" w:rsidP="00FC3AF2">
            <w:pPr>
              <w:pStyle w:val="Tabletextrightbold"/>
            </w:pPr>
            <w:r w:rsidRPr="0067507D">
              <w:t xml:space="preserve">14 143 </w:t>
            </w:r>
          </w:p>
        </w:tc>
        <w:tc>
          <w:tcPr>
            <w:tcW w:w="1240" w:type="dxa"/>
          </w:tcPr>
          <w:p w14:paraId="58C908A1" w14:textId="77777777" w:rsidR="005D2595" w:rsidRPr="0067507D" w:rsidRDefault="005D2595" w:rsidP="00FC3AF2">
            <w:pPr>
              <w:pStyle w:val="Tabletextrightbold"/>
            </w:pPr>
            <w:r w:rsidRPr="0067507D">
              <w:t xml:space="preserve">14 964 </w:t>
            </w:r>
          </w:p>
        </w:tc>
      </w:tr>
      <w:tr w:rsidR="005D2595" w:rsidRPr="0067507D" w14:paraId="6927F505" w14:textId="77777777" w:rsidTr="00FC3AF2">
        <w:tc>
          <w:tcPr>
            <w:tcW w:w="4788" w:type="dxa"/>
          </w:tcPr>
          <w:p w14:paraId="0F660B0B" w14:textId="77777777" w:rsidR="005D2595" w:rsidRPr="0067507D" w:rsidRDefault="005D2595" w:rsidP="00FC3AF2">
            <w:pPr>
              <w:pStyle w:val="Tabletextsemibold"/>
              <w:rPr>
                <w:sz w:val="4"/>
              </w:rPr>
            </w:pPr>
          </w:p>
        </w:tc>
        <w:tc>
          <w:tcPr>
            <w:tcW w:w="850" w:type="dxa"/>
          </w:tcPr>
          <w:p w14:paraId="58C24F41" w14:textId="77777777" w:rsidR="005D2595" w:rsidRPr="0067507D" w:rsidRDefault="005D2595" w:rsidP="00FC3AF2">
            <w:pPr>
              <w:pStyle w:val="Tabletextcentred"/>
              <w:rPr>
                <w:sz w:val="4"/>
              </w:rPr>
            </w:pPr>
          </w:p>
        </w:tc>
        <w:tc>
          <w:tcPr>
            <w:tcW w:w="1240" w:type="dxa"/>
            <w:shd w:val="clear" w:color="auto" w:fill="E0E0E0"/>
          </w:tcPr>
          <w:p w14:paraId="31675B8A" w14:textId="77777777" w:rsidR="005D2595" w:rsidRPr="0067507D" w:rsidRDefault="005D2595" w:rsidP="00FC3AF2">
            <w:pPr>
              <w:pStyle w:val="Tabletextrightbold"/>
              <w:rPr>
                <w:sz w:val="4"/>
              </w:rPr>
            </w:pPr>
          </w:p>
        </w:tc>
        <w:tc>
          <w:tcPr>
            <w:tcW w:w="1240" w:type="dxa"/>
          </w:tcPr>
          <w:p w14:paraId="652F7853" w14:textId="77777777" w:rsidR="005D2595" w:rsidRPr="0067507D" w:rsidRDefault="005D2595" w:rsidP="00FC3AF2">
            <w:pPr>
              <w:pStyle w:val="Tabletextrightbold"/>
              <w:rPr>
                <w:sz w:val="4"/>
              </w:rPr>
            </w:pPr>
          </w:p>
        </w:tc>
      </w:tr>
      <w:tr w:rsidR="005D2595" w:rsidRPr="0067507D" w14:paraId="6F591776" w14:textId="77777777" w:rsidTr="00FC3AF2">
        <w:tc>
          <w:tcPr>
            <w:tcW w:w="4788" w:type="dxa"/>
          </w:tcPr>
          <w:p w14:paraId="3CEFBE19" w14:textId="77777777" w:rsidR="005D2595" w:rsidRPr="0067507D" w:rsidRDefault="005D2595" w:rsidP="00FC3AF2">
            <w:pPr>
              <w:pStyle w:val="Tabletext"/>
              <w:rPr>
                <w:rFonts w:ascii="VIC SemiBold" w:hAnsi="VIC SemiBold"/>
              </w:rPr>
            </w:pPr>
            <w:r w:rsidRPr="0067507D">
              <w:t>Financial liabilities at amortised cost</w:t>
            </w:r>
          </w:p>
        </w:tc>
        <w:tc>
          <w:tcPr>
            <w:tcW w:w="850" w:type="dxa"/>
          </w:tcPr>
          <w:p w14:paraId="545C9388" w14:textId="77777777" w:rsidR="005D2595" w:rsidRPr="0067507D" w:rsidRDefault="005D2595" w:rsidP="00FC3AF2">
            <w:pPr>
              <w:pStyle w:val="Tabletextcentred"/>
              <w:rPr>
                <w:rFonts w:ascii="VIC SemiBold" w:hAnsi="VIC SemiBold"/>
              </w:rPr>
            </w:pPr>
          </w:p>
        </w:tc>
        <w:tc>
          <w:tcPr>
            <w:tcW w:w="1240" w:type="dxa"/>
            <w:shd w:val="clear" w:color="auto" w:fill="E0E0E0"/>
          </w:tcPr>
          <w:p w14:paraId="7E94A90F" w14:textId="77777777" w:rsidR="005D2595" w:rsidRPr="0067507D" w:rsidRDefault="005D2595" w:rsidP="00FC3AF2">
            <w:pPr>
              <w:pStyle w:val="Tabletextright"/>
              <w:rPr>
                <w:rFonts w:ascii="VIC SemiBold" w:hAnsi="VIC SemiBold"/>
              </w:rPr>
            </w:pPr>
          </w:p>
        </w:tc>
        <w:tc>
          <w:tcPr>
            <w:tcW w:w="1240" w:type="dxa"/>
          </w:tcPr>
          <w:p w14:paraId="2826B0CB" w14:textId="77777777" w:rsidR="005D2595" w:rsidRPr="0067507D" w:rsidRDefault="005D2595" w:rsidP="00FC3AF2">
            <w:pPr>
              <w:pStyle w:val="Tabletextright"/>
              <w:rPr>
                <w:rFonts w:ascii="VIC SemiBold" w:hAnsi="VIC SemiBold"/>
              </w:rPr>
            </w:pPr>
          </w:p>
        </w:tc>
      </w:tr>
      <w:tr w:rsidR="005D2595" w:rsidRPr="0067507D" w14:paraId="47ABA87C" w14:textId="77777777" w:rsidTr="00FC3AF2">
        <w:tc>
          <w:tcPr>
            <w:tcW w:w="4788" w:type="dxa"/>
          </w:tcPr>
          <w:p w14:paraId="47E60127" w14:textId="77777777" w:rsidR="005D2595" w:rsidRPr="0067507D" w:rsidRDefault="005D2595" w:rsidP="00FC3AF2">
            <w:pPr>
              <w:pStyle w:val="Tabletext"/>
            </w:pPr>
            <w:r w:rsidRPr="0067507D">
              <w:t>Contractual payables</w:t>
            </w:r>
          </w:p>
        </w:tc>
        <w:tc>
          <w:tcPr>
            <w:tcW w:w="850" w:type="dxa"/>
          </w:tcPr>
          <w:p w14:paraId="5DC71599" w14:textId="77777777" w:rsidR="005D2595" w:rsidRPr="0067507D" w:rsidRDefault="005D2595" w:rsidP="00FC3AF2">
            <w:pPr>
              <w:pStyle w:val="Tabletextcentred"/>
            </w:pPr>
            <w:r w:rsidRPr="0067507D">
              <w:t>6.3</w:t>
            </w:r>
          </w:p>
        </w:tc>
        <w:tc>
          <w:tcPr>
            <w:tcW w:w="1240" w:type="dxa"/>
            <w:shd w:val="clear" w:color="auto" w:fill="E0E0E0"/>
          </w:tcPr>
          <w:p w14:paraId="39948605" w14:textId="77777777" w:rsidR="005D2595" w:rsidRPr="0067507D" w:rsidRDefault="005D2595" w:rsidP="00FC3AF2">
            <w:pPr>
              <w:pStyle w:val="Tabletextright"/>
              <w:rPr>
                <w:bCs/>
              </w:rPr>
            </w:pPr>
            <w:r w:rsidRPr="0067507D">
              <w:t xml:space="preserve">42 516 </w:t>
            </w:r>
          </w:p>
        </w:tc>
        <w:tc>
          <w:tcPr>
            <w:tcW w:w="1240" w:type="dxa"/>
          </w:tcPr>
          <w:p w14:paraId="11E635D3" w14:textId="77777777" w:rsidR="005D2595" w:rsidRPr="0067507D" w:rsidRDefault="005D2595" w:rsidP="00FC3AF2">
            <w:pPr>
              <w:pStyle w:val="Tabletextright"/>
              <w:rPr>
                <w:bCs/>
              </w:rPr>
            </w:pPr>
            <w:r w:rsidRPr="0067507D">
              <w:t xml:space="preserve">63 234 </w:t>
            </w:r>
          </w:p>
        </w:tc>
      </w:tr>
      <w:tr w:rsidR="005D2595" w:rsidRPr="0067507D" w14:paraId="3288C2C3" w14:textId="77777777" w:rsidTr="00FC3AF2">
        <w:tc>
          <w:tcPr>
            <w:tcW w:w="4788" w:type="dxa"/>
          </w:tcPr>
          <w:p w14:paraId="1F6B65CE" w14:textId="77777777" w:rsidR="005D2595" w:rsidRPr="0067507D" w:rsidRDefault="005D2595" w:rsidP="00FC3AF2">
            <w:pPr>
              <w:pStyle w:val="Tabletext"/>
            </w:pPr>
            <w:r w:rsidRPr="0067507D">
              <w:t>Borrowings</w:t>
            </w:r>
          </w:p>
        </w:tc>
        <w:tc>
          <w:tcPr>
            <w:tcW w:w="850" w:type="dxa"/>
          </w:tcPr>
          <w:p w14:paraId="762D519F" w14:textId="77777777" w:rsidR="005D2595" w:rsidRPr="0067507D" w:rsidRDefault="005D2595" w:rsidP="00FC3AF2">
            <w:pPr>
              <w:pStyle w:val="Tabletextcentred"/>
            </w:pPr>
          </w:p>
        </w:tc>
        <w:tc>
          <w:tcPr>
            <w:tcW w:w="1240" w:type="dxa"/>
            <w:shd w:val="clear" w:color="auto" w:fill="E0E0E0"/>
          </w:tcPr>
          <w:p w14:paraId="43A12D09" w14:textId="77777777" w:rsidR="005D2595" w:rsidRPr="0067507D" w:rsidRDefault="005D2595" w:rsidP="00FC3AF2">
            <w:pPr>
              <w:pStyle w:val="Tabletextright"/>
            </w:pPr>
            <w:r w:rsidRPr="0067507D">
              <w:t xml:space="preserve">1 930 </w:t>
            </w:r>
          </w:p>
        </w:tc>
        <w:tc>
          <w:tcPr>
            <w:tcW w:w="1240" w:type="dxa"/>
          </w:tcPr>
          <w:p w14:paraId="194977E1" w14:textId="77777777" w:rsidR="005D2595" w:rsidRPr="0067507D" w:rsidRDefault="005D2595" w:rsidP="00FC3AF2">
            <w:pPr>
              <w:pStyle w:val="Tabletextright"/>
            </w:pPr>
            <w:r w:rsidRPr="0067507D">
              <w:t xml:space="preserve">2 306 </w:t>
            </w:r>
          </w:p>
        </w:tc>
      </w:tr>
      <w:tr w:rsidR="005D2595" w:rsidRPr="0067507D" w14:paraId="3081CD47" w14:textId="77777777" w:rsidTr="00FC3AF2">
        <w:tc>
          <w:tcPr>
            <w:tcW w:w="4788" w:type="dxa"/>
          </w:tcPr>
          <w:p w14:paraId="43A48C61" w14:textId="77777777" w:rsidR="005D2595" w:rsidRPr="0067507D" w:rsidRDefault="005D2595" w:rsidP="00FC3AF2">
            <w:pPr>
              <w:pStyle w:val="Tabletextsemibold"/>
            </w:pPr>
            <w:r w:rsidRPr="0067507D">
              <w:t xml:space="preserve">Total </w:t>
            </w:r>
          </w:p>
        </w:tc>
        <w:tc>
          <w:tcPr>
            <w:tcW w:w="850" w:type="dxa"/>
          </w:tcPr>
          <w:p w14:paraId="1AAA4167" w14:textId="77777777" w:rsidR="005D2595" w:rsidRPr="0067507D" w:rsidRDefault="005D2595" w:rsidP="00FC3AF2">
            <w:pPr>
              <w:pStyle w:val="Tabletextcentred"/>
            </w:pPr>
          </w:p>
        </w:tc>
        <w:tc>
          <w:tcPr>
            <w:tcW w:w="1240" w:type="dxa"/>
            <w:shd w:val="clear" w:color="auto" w:fill="E0E0E0"/>
          </w:tcPr>
          <w:p w14:paraId="109BCFEE" w14:textId="77777777" w:rsidR="005D2595" w:rsidRPr="0067507D" w:rsidRDefault="005D2595" w:rsidP="00FC3AF2">
            <w:pPr>
              <w:pStyle w:val="Tabletextrightbold"/>
            </w:pPr>
            <w:r w:rsidRPr="0067507D">
              <w:t xml:space="preserve">44 446 </w:t>
            </w:r>
          </w:p>
        </w:tc>
        <w:tc>
          <w:tcPr>
            <w:tcW w:w="1240" w:type="dxa"/>
          </w:tcPr>
          <w:p w14:paraId="4484AA30" w14:textId="77777777" w:rsidR="005D2595" w:rsidRPr="0067507D" w:rsidRDefault="005D2595" w:rsidP="00FC3AF2">
            <w:pPr>
              <w:pStyle w:val="Tabletextrightbold"/>
            </w:pPr>
            <w:r w:rsidRPr="0067507D">
              <w:t xml:space="preserve">65 540 </w:t>
            </w:r>
          </w:p>
        </w:tc>
      </w:tr>
    </w:tbl>
    <w:p w14:paraId="7EACEE76" w14:textId="77777777" w:rsidR="005D2595" w:rsidRPr="0067507D" w:rsidRDefault="005D2595" w:rsidP="005D2595"/>
    <w:p w14:paraId="4B45249F"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space="569"/>
          <w:noEndnote/>
        </w:sectPr>
      </w:pPr>
    </w:p>
    <w:p w14:paraId="369AB610" w14:textId="77777777" w:rsidR="005D2595" w:rsidRPr="0067507D" w:rsidRDefault="005D2595" w:rsidP="005D2595">
      <w:r w:rsidRPr="0067507D">
        <w:rPr>
          <w:rFonts w:asciiTheme="majorHAnsi" w:hAnsiTheme="majorHAnsi"/>
        </w:rPr>
        <w:lastRenderedPageBreak/>
        <w:t>Derecognition of financial assets:</w:t>
      </w:r>
      <w:r w:rsidRPr="0067507D">
        <w:t xml:space="preserve"> A financial asset (or,</w:t>
      </w:r>
      <w:r w:rsidRPr="0067507D">
        <w:rPr>
          <w:rFonts w:ascii="Calibri" w:hAnsi="Calibri" w:cs="Calibri"/>
        </w:rPr>
        <w:t> </w:t>
      </w:r>
      <w:r w:rsidRPr="0067507D">
        <w:t>where applicable, a part of a financial asset or part of a group of similar financial assets) is derecognised when:</w:t>
      </w:r>
    </w:p>
    <w:p w14:paraId="68475688" w14:textId="77777777" w:rsidR="005D2595" w:rsidRPr="0067507D" w:rsidRDefault="005D2595" w:rsidP="006273F6">
      <w:pPr>
        <w:pStyle w:val="Bullet"/>
        <w:numPr>
          <w:ilvl w:val="0"/>
          <w:numId w:val="22"/>
        </w:numPr>
      </w:pPr>
      <w:r w:rsidRPr="0067507D">
        <w:t>the rights to receive cash flows from the asset have expired, or</w:t>
      </w:r>
    </w:p>
    <w:p w14:paraId="13CF8DA1" w14:textId="77777777" w:rsidR="005D2595" w:rsidRPr="0067507D" w:rsidRDefault="005D2595" w:rsidP="006273F6">
      <w:pPr>
        <w:pStyle w:val="Bullet"/>
        <w:numPr>
          <w:ilvl w:val="0"/>
          <w:numId w:val="22"/>
        </w:numPr>
      </w:pPr>
      <w:r w:rsidRPr="0067507D">
        <w:t>the Department retains the right to receive cash flows from the asset, but has assumed an obligation to pay them in full without material delay to a third party under a 'pass through' arrangement, or</w:t>
      </w:r>
    </w:p>
    <w:p w14:paraId="1C791462" w14:textId="77777777" w:rsidR="005D2595" w:rsidRPr="0067507D" w:rsidRDefault="005D2595" w:rsidP="006273F6">
      <w:pPr>
        <w:pStyle w:val="Bullet"/>
        <w:numPr>
          <w:ilvl w:val="0"/>
          <w:numId w:val="22"/>
        </w:numPr>
      </w:pPr>
      <w:r w:rsidRPr="0067507D">
        <w:t>the Department has transferred its rights to receive cash flows from the asset and either: has transferred substantially all the risks and rewards of the asset; or has neither transferred nor retained substantially all the risks and rewards of the asset, but has transferred control of the asset.</w:t>
      </w:r>
    </w:p>
    <w:p w14:paraId="6C0FC499" w14:textId="77777777" w:rsidR="005D2595" w:rsidRPr="0067507D" w:rsidRDefault="005D2595" w:rsidP="005D2595">
      <w:r w:rsidRPr="0067507D">
        <w:t>Where the Department has neither transferred nor retained substantially all the risks and rewards nor transferred control, the asset is recognised to the extent of the Department's continuing involvement in the asset.</w:t>
      </w:r>
    </w:p>
    <w:p w14:paraId="33F608FC" w14:textId="77777777" w:rsidR="005D2595" w:rsidRPr="0067507D" w:rsidRDefault="005D2595" w:rsidP="005D2595">
      <w:r w:rsidRPr="0067507D">
        <w:rPr>
          <w:rFonts w:asciiTheme="majorHAnsi" w:hAnsiTheme="majorHAnsi"/>
        </w:rPr>
        <w:t>Derecognition of financial liabilities:</w:t>
      </w:r>
      <w:r w:rsidRPr="0067507D">
        <w:t xml:space="preserve"> A financial liability is derecognised when the obligation under the liability is discharged, cancelled or expired.</w:t>
      </w:r>
    </w:p>
    <w:p w14:paraId="00C37881" w14:textId="77777777" w:rsidR="005D2595" w:rsidRPr="0067507D" w:rsidRDefault="005D2595" w:rsidP="005D2595">
      <w:r w:rsidRPr="0067507D">
        <w:t>When an existing financial liability is replaced by another from the same lender on substantially different terms, or the terms of an existing liability are substantially modified, such an exchange or modification is treated as a derecognition of the original liability and the recognition of a new liability. The difference in the respective carrying amounts is recognised as an 'other economic flow' in the comprehensive operating statement.</w:t>
      </w:r>
    </w:p>
    <w:p w14:paraId="65F28EE1" w14:textId="77777777" w:rsidR="005D2595" w:rsidRPr="0067507D" w:rsidRDefault="005D2595" w:rsidP="003C4727">
      <w:pPr>
        <w:pStyle w:val="Heading3numbered"/>
        <w:spacing w:before="240"/>
        <w:ind w:left="576" w:hanging="576"/>
      </w:pPr>
      <w:r w:rsidRPr="0067507D">
        <w:t>Net holding gains/(losses) on financial instruments</w:t>
      </w:r>
    </w:p>
    <w:p w14:paraId="2560396A" w14:textId="77777777" w:rsidR="005D2595" w:rsidRPr="0067507D" w:rsidRDefault="005D2595" w:rsidP="005D2595">
      <w:r w:rsidRPr="0067507D">
        <w:t>The Department's net holding gains or losses on its financial instruments are insignificant, and are mainly through the impairment of its contractual receivables and interest on its borrowings.</w:t>
      </w:r>
    </w:p>
    <w:p w14:paraId="7787571E" w14:textId="77777777" w:rsidR="005D2595" w:rsidRPr="0067507D" w:rsidRDefault="005D2595" w:rsidP="006273F6">
      <w:pPr>
        <w:pStyle w:val="Heading3numbered"/>
        <w:ind w:left="576" w:hanging="576"/>
      </w:pPr>
      <w:r w:rsidRPr="0067507D">
        <w:br w:type="column"/>
      </w:r>
      <w:r w:rsidRPr="0067507D">
        <w:t>Financial risk management objective and policies</w:t>
      </w:r>
    </w:p>
    <w:p w14:paraId="1E262245" w14:textId="77777777" w:rsidR="005D2595" w:rsidRPr="0067507D" w:rsidRDefault="005D2595" w:rsidP="005D2595">
      <w:r w:rsidRPr="0067507D">
        <w:t>The Department's main financial risks include credit risk, liquidity risk and market risk such as interest rate risk, equity price risk and foreign currency risk. The Department manages these financial risks in accordance with its financial risk management policy.</w:t>
      </w:r>
    </w:p>
    <w:p w14:paraId="37FD7B05" w14:textId="77777777" w:rsidR="005D2595" w:rsidRPr="0067507D" w:rsidRDefault="005D2595" w:rsidP="005D2595">
      <w:r w:rsidRPr="0067507D">
        <w:t>The Department uses different methods to measure and manage the different risks to which it is exposed. Primary responsibility for the identification and management of financial risks rests with the Accountable Officer of the Department.</w:t>
      </w:r>
    </w:p>
    <w:p w14:paraId="12655360" w14:textId="77777777" w:rsidR="005D2595" w:rsidRPr="0067507D" w:rsidRDefault="005D2595" w:rsidP="005D2595">
      <w:pPr>
        <w:pStyle w:val="Heading4"/>
      </w:pPr>
      <w:r w:rsidRPr="0067507D">
        <w:t>Financial instruments: credit risk</w:t>
      </w:r>
    </w:p>
    <w:p w14:paraId="543C3435" w14:textId="77777777" w:rsidR="005D2595" w:rsidRPr="0067507D" w:rsidRDefault="005D2595" w:rsidP="005D2595">
      <w:r w:rsidRPr="0067507D">
        <w:t>Credit risks arise from the contractual financial assets of the Department, which comprises cash and contractual receivables. The Department's exposure to credit risk arises from the potential default of a counterparty on their contractual obligations resulting in financial loss to the Department. Credit risk is measured at fair value and is monitored on a regular basis.</w:t>
      </w:r>
    </w:p>
    <w:p w14:paraId="24ABC726" w14:textId="77777777" w:rsidR="005D2595" w:rsidRPr="0067507D" w:rsidRDefault="005D2595" w:rsidP="005D2595">
      <w:r w:rsidRPr="0067507D">
        <w:t>Credit risk associated with the Department's contractual financial assets is minimal because its cash is with financial institutions and the majority of its contractual receivables are with government agencies.</w:t>
      </w:r>
    </w:p>
    <w:p w14:paraId="6D03B3E0" w14:textId="77777777" w:rsidR="005D2595" w:rsidRPr="0067507D" w:rsidRDefault="005D2595" w:rsidP="005D2595">
      <w:r w:rsidRPr="0067507D">
        <w:t>The carrying amount of contractual financial assets recorded in the financial statements, net of any provision for expected credit losses, represents the Department's maximum exposure to credit risk without taking account of the value of any collateral obtained.</w:t>
      </w:r>
    </w:p>
    <w:p w14:paraId="4218859F" w14:textId="0E5D2A89" w:rsidR="005D2595" w:rsidRPr="0067507D" w:rsidRDefault="005D2595" w:rsidP="005D2595">
      <w:r w:rsidRPr="0067507D">
        <w:t>There has been no material change to the Department's credit risk profile in 2024</w:t>
      </w:r>
      <w:r w:rsidR="006A5485">
        <w:noBreakHyphen/>
      </w:r>
      <w:r w:rsidRPr="0067507D">
        <w:t>25.</w:t>
      </w:r>
    </w:p>
    <w:p w14:paraId="41CAF84F" w14:textId="77777777" w:rsidR="005D2595" w:rsidRPr="0067507D" w:rsidRDefault="005D2595" w:rsidP="005D2595">
      <w:pPr>
        <w:pStyle w:val="Heading4"/>
      </w:pPr>
      <w:r w:rsidRPr="0067507D">
        <w:t>Financial instruments: liquidity risk</w:t>
      </w:r>
    </w:p>
    <w:p w14:paraId="22A4B67C" w14:textId="0CD45877" w:rsidR="005D2595" w:rsidRPr="0067507D" w:rsidRDefault="005D2595" w:rsidP="005D2595">
      <w:r w:rsidRPr="0067507D">
        <w:t>Liquidity risk arises when the Department is unable to meet its financial obligations as they fall due. Refer to note 6.3 for the Department's policy for settling financial obligations under the government's fair payments policy.</w:t>
      </w:r>
    </w:p>
    <w:p w14:paraId="23F966F9" w14:textId="77777777" w:rsidR="005D2595" w:rsidRPr="0067507D" w:rsidRDefault="005D2595" w:rsidP="005D2595">
      <w:r w:rsidRPr="0067507D">
        <w:t>The Department's maximum exposure to liquidity risk is the carrying amounts of its financial liabilities as disclosed in the balance sheet. The exposure to liquidity risk is deemed insignificant based on prior periods' data and current assessment of risk.</w:t>
      </w:r>
    </w:p>
    <w:p w14:paraId="31F03394" w14:textId="77777777" w:rsidR="005D2595" w:rsidRPr="0067507D" w:rsidRDefault="005D2595" w:rsidP="005D2595">
      <w:pPr>
        <w:pStyle w:val="Heading4"/>
      </w:pPr>
      <w:r w:rsidRPr="0067507D">
        <w:t>Financial instruments: market risk</w:t>
      </w:r>
    </w:p>
    <w:p w14:paraId="66F7756D" w14:textId="77777777" w:rsidR="005D2595" w:rsidRPr="0067507D" w:rsidRDefault="005D2595" w:rsidP="005D2595">
      <w:r w:rsidRPr="0067507D">
        <w:t>Market risk is the risk that the fair value of future cash flows of a financial instrument will fluctuate because of changes in market prices. The Department's exposures to market risk through interest rate risk, foreign currency risk and equity price risk are insignificant.</w:t>
      </w:r>
    </w:p>
    <w:p w14:paraId="3E60CD6F" w14:textId="77777777" w:rsidR="005D2595" w:rsidRPr="0067507D" w:rsidRDefault="005D2595" w:rsidP="005D2595">
      <w:pPr>
        <w:pStyle w:val="Heading4"/>
      </w:pPr>
      <w:r w:rsidRPr="0067507D">
        <w:lastRenderedPageBreak/>
        <w:t>Interest rate risk</w:t>
      </w:r>
    </w:p>
    <w:p w14:paraId="22B5F850" w14:textId="77777777" w:rsidR="005D2595" w:rsidRPr="0067507D" w:rsidRDefault="005D2595" w:rsidP="005D2595">
      <w:pPr>
        <w:ind w:right="198"/>
      </w:pPr>
      <w:r w:rsidRPr="0067507D">
        <w:t>Fair value interest rate risk is the risk that the fair value of a financial instrument will fluctuate because of changes in market interest rates. The Department does not hold any interest bearing financial instruments that are measured at fair value, and therefore has no exposure to fair value interest rate risk.</w:t>
      </w:r>
    </w:p>
    <w:p w14:paraId="3A03D880" w14:textId="4D9942F3" w:rsidR="005D2595" w:rsidRPr="0067507D" w:rsidRDefault="005D2595" w:rsidP="005D2595">
      <w:r w:rsidRPr="0067507D">
        <w:t>Cash flow interest rate risk is the risk that future cash flows of a financial instrument will fluctuate because of changes in market interest rates. The Department's cash, contractual receivables and contractual payables are non</w:t>
      </w:r>
      <w:r w:rsidR="006A5485">
        <w:noBreakHyphen/>
      </w:r>
      <w:r w:rsidRPr="0067507D">
        <w:t>interest bearing, and its borrowings have fixed interest rates. Therefore the Department has no exposure to cash flow interest rate risk.</w:t>
      </w:r>
    </w:p>
    <w:p w14:paraId="40956C42" w14:textId="77777777" w:rsidR="005D2595" w:rsidRPr="0067507D" w:rsidRDefault="005D2595" w:rsidP="005D2595">
      <w:pPr>
        <w:pStyle w:val="Heading4"/>
      </w:pPr>
      <w:r w:rsidRPr="0067507D">
        <w:t>Foreign currency risk</w:t>
      </w:r>
    </w:p>
    <w:p w14:paraId="3F66FDF0" w14:textId="77777777" w:rsidR="005D2595" w:rsidRPr="0067507D" w:rsidRDefault="005D2595" w:rsidP="005D2595">
      <w:r w:rsidRPr="0067507D">
        <w:t>The Department's exposure to foreign currency risk through its payables relating to purchases of supplies and services from overseas is insignificant. This is because of a limited amount of purchases denominated in foreign currencies and a short timeframe between commitment and settlement.</w:t>
      </w:r>
    </w:p>
    <w:p w14:paraId="6D28B17B" w14:textId="77777777" w:rsidR="005D2595" w:rsidRPr="0067507D" w:rsidRDefault="005D2595" w:rsidP="005D2595">
      <w:pPr>
        <w:pStyle w:val="Heading4"/>
      </w:pPr>
      <w:r w:rsidRPr="0067507D">
        <w:t>Equity price risk</w:t>
      </w:r>
    </w:p>
    <w:p w14:paraId="4D2DBEF5" w14:textId="77777777" w:rsidR="005D2595" w:rsidRPr="0067507D" w:rsidRDefault="005D2595" w:rsidP="005D2595">
      <w:r w:rsidRPr="0067507D">
        <w:t>The Department is not exposed to equity price risk.</w:t>
      </w:r>
    </w:p>
    <w:bookmarkEnd w:id="123"/>
    <w:bookmarkEnd w:id="146"/>
    <w:bookmarkEnd w:id="147"/>
    <w:p w14:paraId="79179E9E" w14:textId="77777777" w:rsidR="005D2595" w:rsidRPr="0067507D" w:rsidRDefault="005D2595" w:rsidP="005D2595">
      <w:pPr>
        <w:sectPr w:rsidR="005D2595" w:rsidRPr="0067507D" w:rsidSect="005D2595">
          <w:headerReference w:type="default" r:id="rId137"/>
          <w:pgSz w:w="11909" w:h="16834" w:code="9"/>
          <w:pgMar w:top="1728" w:right="1152" w:bottom="1152" w:left="1152" w:header="720" w:footer="288" w:gutter="0"/>
          <w:cols w:num="2" w:space="569"/>
          <w:noEndnote/>
        </w:sectPr>
      </w:pPr>
    </w:p>
    <w:p w14:paraId="1A2D1780" w14:textId="77777777" w:rsidR="005D2595" w:rsidRPr="0067507D" w:rsidRDefault="005D2595" w:rsidP="009714E6">
      <w:pPr>
        <w:pStyle w:val="Heading1numbered"/>
      </w:pPr>
      <w:bookmarkStart w:id="157" w:name="_Toc495304305"/>
      <w:bookmarkStart w:id="158" w:name="_Toc210214024"/>
      <w:bookmarkStart w:id="159" w:name="_Toc210213971"/>
      <w:r w:rsidRPr="0067507D">
        <w:lastRenderedPageBreak/>
        <w:t>Other disclosures</w:t>
      </w:r>
      <w:bookmarkEnd w:id="157"/>
      <w:bookmarkEnd w:id="158"/>
      <w:bookmarkEnd w:id="159"/>
    </w:p>
    <w:p w14:paraId="4EEB45F7" w14:textId="77777777" w:rsidR="005D2595" w:rsidRPr="0067507D" w:rsidRDefault="005D2595" w:rsidP="005D2595">
      <w:pPr>
        <w:sectPr w:rsidR="005D2595" w:rsidRPr="0067507D" w:rsidSect="005D2595">
          <w:headerReference w:type="even" r:id="rId138"/>
          <w:footerReference w:type="first" r:id="rId139"/>
          <w:pgSz w:w="11909" w:h="16834" w:code="9"/>
          <w:pgMar w:top="1728" w:right="1152" w:bottom="1152" w:left="1152" w:header="720" w:footer="288" w:gutter="0"/>
          <w:cols w:space="569"/>
          <w:noEndnote/>
          <w:titlePg/>
          <w:docGrid w:linePitch="231"/>
        </w:sectPr>
      </w:pPr>
    </w:p>
    <w:p w14:paraId="32E804F9" w14:textId="77777777" w:rsidR="005D2595" w:rsidRPr="0067507D" w:rsidRDefault="005D2595" w:rsidP="000D5F54">
      <w:pPr>
        <w:pStyle w:val="Heading2numbered"/>
      </w:pPr>
      <w:bookmarkStart w:id="160" w:name="_Toc210214025"/>
      <w:bookmarkStart w:id="161" w:name="_Toc210213972"/>
      <w:bookmarkStart w:id="162" w:name="Section_09"/>
      <w:r w:rsidRPr="0067507D">
        <w:t>Introduction</w:t>
      </w:r>
      <w:bookmarkEnd w:id="160"/>
      <w:bookmarkEnd w:id="161"/>
    </w:p>
    <w:p w14:paraId="0A13A20C" w14:textId="77777777" w:rsidR="005D2595" w:rsidRPr="0067507D" w:rsidRDefault="005D2595" w:rsidP="005D2595">
      <w:r w:rsidRPr="0067507D">
        <w:t>This note includes additional material disclosures required by accounting standards or otherwise for the understanding of this financial report.</w:t>
      </w:r>
    </w:p>
    <w:p w14:paraId="2E3C54D1" w14:textId="77777777" w:rsidR="005D2595" w:rsidRPr="0067507D" w:rsidRDefault="005D2595" w:rsidP="000D5F54">
      <w:pPr>
        <w:pStyle w:val="Heading2numbered"/>
      </w:pPr>
      <w:bookmarkStart w:id="163" w:name="Responsible_start"/>
      <w:bookmarkStart w:id="164" w:name="_Toc147229871"/>
      <w:bookmarkStart w:id="165" w:name="_Toc210214026"/>
      <w:bookmarkStart w:id="166" w:name="_Toc210213973"/>
      <w:r w:rsidRPr="0067507D">
        <w:t>Responsible persons</w:t>
      </w:r>
      <w:bookmarkEnd w:id="163"/>
      <w:bookmarkEnd w:id="164"/>
      <w:bookmarkEnd w:id="165"/>
      <w:bookmarkEnd w:id="166"/>
    </w:p>
    <w:p w14:paraId="5B8EA114" w14:textId="77777777" w:rsidR="005D2595" w:rsidRPr="0067507D" w:rsidRDefault="005D2595" w:rsidP="005D2595">
      <w:r w:rsidRPr="0067507D">
        <w:t xml:space="preserve">In accordance with the Ministerial Directions issued by the Minister for Finance under the </w:t>
      </w:r>
      <w:r w:rsidRPr="0067507D">
        <w:rPr>
          <w:i/>
          <w:iCs/>
        </w:rPr>
        <w:t>Financial Management Act 1994</w:t>
      </w:r>
      <w:r w:rsidRPr="0067507D">
        <w:t>, the following disclosures are made regarding responsible persons for the reporting period.</w:t>
      </w:r>
    </w:p>
    <w:p w14:paraId="09C65D3A" w14:textId="77777777" w:rsidR="005D2595" w:rsidRPr="0067507D" w:rsidRDefault="005D2595" w:rsidP="005D2595">
      <w:r w:rsidRPr="0067507D">
        <w:br w:type="column"/>
      </w:r>
    </w:p>
    <w:p w14:paraId="19F32F32" w14:textId="77777777" w:rsidR="005D2595" w:rsidRPr="0067507D" w:rsidRDefault="005D2595" w:rsidP="005D2595">
      <w:pPr>
        <w:sectPr w:rsidR="005D2595" w:rsidRPr="0067507D" w:rsidSect="005D2595">
          <w:headerReference w:type="even" r:id="rId140"/>
          <w:type w:val="continuous"/>
          <w:pgSz w:w="11909" w:h="16834" w:code="9"/>
          <w:pgMar w:top="1728" w:right="1152" w:bottom="1152" w:left="1152" w:header="720" w:footer="288" w:gutter="0"/>
          <w:cols w:num="2" w:space="569"/>
          <w:noEndnote/>
        </w:sectPr>
      </w:pPr>
    </w:p>
    <w:p w14:paraId="216662B0" w14:textId="77777777" w:rsidR="005D2595" w:rsidRPr="0067507D" w:rsidRDefault="005D2595" w:rsidP="005D2595">
      <w:pPr>
        <w:pStyle w:val="Heading4"/>
      </w:pPr>
      <w:r w:rsidRPr="0067507D">
        <w:t>Names</w:t>
      </w:r>
    </w:p>
    <w:p w14:paraId="6FE4C563" w14:textId="77777777" w:rsidR="005D2595" w:rsidRPr="0067507D" w:rsidRDefault="005D2595" w:rsidP="005D2595">
      <w:r w:rsidRPr="0067507D">
        <w:t>The people who held the positions of Ministers and Accountable Officers in the Department (from 1 July 2024 to 30</w:t>
      </w:r>
      <w:r w:rsidRPr="0067507D">
        <w:rPr>
          <w:rFonts w:ascii="Calibri" w:hAnsi="Calibri" w:cs="Calibri"/>
        </w:rPr>
        <w:t> </w:t>
      </w:r>
      <w:r w:rsidRPr="0067507D">
        <w:t>June 2025 unless otherwise stated) were as follows.</w:t>
      </w:r>
    </w:p>
    <w:tbl>
      <w:tblPr>
        <w:tblW w:w="4778" w:type="pct"/>
        <w:tblLook w:val="04A0" w:firstRow="1" w:lastRow="0" w:firstColumn="1" w:lastColumn="0" w:noHBand="0" w:noVBand="1"/>
      </w:tblPr>
      <w:tblGrid>
        <w:gridCol w:w="3420"/>
        <w:gridCol w:w="2466"/>
        <w:gridCol w:w="3293"/>
      </w:tblGrid>
      <w:tr w:rsidR="005D2595" w:rsidRPr="0067507D" w14:paraId="5D51F7C3" w14:textId="77777777" w:rsidTr="007E5E23">
        <w:tc>
          <w:tcPr>
            <w:tcW w:w="3420" w:type="dxa"/>
            <w:noWrap/>
          </w:tcPr>
          <w:p w14:paraId="367563CC" w14:textId="77777777" w:rsidR="005D2595" w:rsidRPr="0067507D" w:rsidRDefault="005D2595" w:rsidP="00FC3AF2">
            <w:pPr>
              <w:pStyle w:val="Tabletext"/>
            </w:pPr>
            <w:r w:rsidRPr="0067507D">
              <w:t xml:space="preserve">Treasurer and </w:t>
            </w:r>
            <w:r w:rsidRPr="0067507D">
              <w:br/>
              <w:t>Minister for Industrial Relations</w:t>
            </w:r>
          </w:p>
        </w:tc>
        <w:tc>
          <w:tcPr>
            <w:tcW w:w="2466" w:type="dxa"/>
          </w:tcPr>
          <w:p w14:paraId="50825443" w14:textId="77777777" w:rsidR="005D2595" w:rsidRPr="0067507D" w:rsidRDefault="005D2595" w:rsidP="00FC3AF2">
            <w:pPr>
              <w:pStyle w:val="Tabletext"/>
            </w:pPr>
            <w:r w:rsidRPr="0067507D">
              <w:t>Tim Pallas MP</w:t>
            </w:r>
          </w:p>
          <w:p w14:paraId="32E76F4C" w14:textId="77777777" w:rsidR="005D2595" w:rsidRPr="0067507D" w:rsidRDefault="005D2595" w:rsidP="00FC3AF2">
            <w:pPr>
              <w:pStyle w:val="Tabletext"/>
            </w:pPr>
            <w:r w:rsidRPr="0067507D">
              <w:t>Jaclyn Symes MP</w:t>
            </w:r>
          </w:p>
        </w:tc>
        <w:tc>
          <w:tcPr>
            <w:tcW w:w="3293" w:type="dxa"/>
          </w:tcPr>
          <w:p w14:paraId="73A59218" w14:textId="77777777" w:rsidR="005D2595" w:rsidRPr="0067507D" w:rsidRDefault="005D2595" w:rsidP="00FC3AF2">
            <w:pPr>
              <w:pStyle w:val="Tabletext"/>
            </w:pPr>
            <w:r w:rsidRPr="0067507D">
              <w:t>1 July 2024 to 19 December 2024</w:t>
            </w:r>
          </w:p>
          <w:p w14:paraId="31E29A9B" w14:textId="77777777" w:rsidR="005D2595" w:rsidRPr="0067507D" w:rsidRDefault="005D2595" w:rsidP="00FC3AF2">
            <w:pPr>
              <w:pStyle w:val="Tabletext"/>
            </w:pPr>
            <w:r w:rsidRPr="0067507D">
              <w:t>19 December 2024 to 30 June 2025</w:t>
            </w:r>
          </w:p>
        </w:tc>
      </w:tr>
      <w:tr w:rsidR="005D2595" w:rsidRPr="0067507D" w14:paraId="4B5A5924" w14:textId="77777777" w:rsidTr="007E5E23">
        <w:tc>
          <w:tcPr>
            <w:tcW w:w="3420" w:type="dxa"/>
            <w:noWrap/>
          </w:tcPr>
          <w:p w14:paraId="2C9ACA4F" w14:textId="77777777" w:rsidR="005D2595" w:rsidRPr="0067507D" w:rsidRDefault="005D2595" w:rsidP="00FC3AF2">
            <w:pPr>
              <w:pStyle w:val="Tabletext"/>
            </w:pPr>
            <w:r w:rsidRPr="0067507D">
              <w:t xml:space="preserve">Acting Treasurer and </w:t>
            </w:r>
            <w:r w:rsidRPr="0067507D">
              <w:br/>
              <w:t>Acting Minister for Industrial Relations</w:t>
            </w:r>
          </w:p>
        </w:tc>
        <w:tc>
          <w:tcPr>
            <w:tcW w:w="2466" w:type="dxa"/>
          </w:tcPr>
          <w:p w14:paraId="495003B4" w14:textId="77777777" w:rsidR="005D2595" w:rsidRPr="0067507D" w:rsidRDefault="005D2595" w:rsidP="00FC3AF2">
            <w:pPr>
              <w:pStyle w:val="Tabletext"/>
            </w:pPr>
            <w:r w:rsidRPr="0067507D">
              <w:t>Hon. Danny Pearson MP</w:t>
            </w:r>
          </w:p>
        </w:tc>
        <w:tc>
          <w:tcPr>
            <w:tcW w:w="3293" w:type="dxa"/>
          </w:tcPr>
          <w:p w14:paraId="1DAAE36A" w14:textId="77777777" w:rsidR="005D2595" w:rsidRPr="0067507D" w:rsidRDefault="005D2595" w:rsidP="00FC3AF2">
            <w:pPr>
              <w:pStyle w:val="Tabletext"/>
            </w:pPr>
            <w:r w:rsidRPr="0067507D">
              <w:t>1 July 2024 to 7 July 2024</w:t>
            </w:r>
          </w:p>
          <w:p w14:paraId="3FE316E0" w14:textId="77777777" w:rsidR="005D2595" w:rsidRPr="0067507D" w:rsidRDefault="005D2595" w:rsidP="00FC3AF2">
            <w:pPr>
              <w:pStyle w:val="Tabletext"/>
            </w:pPr>
            <w:r w:rsidRPr="0067507D">
              <w:t>29 September 2024 to 13 October 2024</w:t>
            </w:r>
          </w:p>
          <w:p w14:paraId="05F16027" w14:textId="77777777" w:rsidR="005D2595" w:rsidRPr="0067507D" w:rsidRDefault="005D2595" w:rsidP="00FC3AF2">
            <w:pPr>
              <w:pStyle w:val="Tabletext"/>
            </w:pPr>
            <w:r w:rsidRPr="0067507D">
              <w:t>30 November 2024 to 8 December 2024</w:t>
            </w:r>
          </w:p>
          <w:p w14:paraId="1802644E" w14:textId="77777777" w:rsidR="005D2595" w:rsidRPr="0067507D" w:rsidRDefault="005D2595" w:rsidP="00FC3AF2">
            <w:pPr>
              <w:pStyle w:val="Tabletext"/>
            </w:pPr>
            <w:r w:rsidRPr="0067507D">
              <w:t>8 February 2025 to 18 February 2025</w:t>
            </w:r>
          </w:p>
          <w:p w14:paraId="2ECEB74A" w14:textId="77777777" w:rsidR="005D2595" w:rsidRPr="0067507D" w:rsidRDefault="005D2595" w:rsidP="00FC3AF2">
            <w:pPr>
              <w:pStyle w:val="Tabletext"/>
            </w:pPr>
            <w:r w:rsidRPr="0067507D">
              <w:t>4 June 2025 to 13 June 2025</w:t>
            </w:r>
          </w:p>
        </w:tc>
      </w:tr>
      <w:tr w:rsidR="005D2595" w:rsidRPr="0067507D" w14:paraId="464D0C39" w14:textId="77777777" w:rsidTr="007E5E23">
        <w:tc>
          <w:tcPr>
            <w:tcW w:w="3420" w:type="dxa"/>
            <w:noWrap/>
          </w:tcPr>
          <w:p w14:paraId="641A89F3" w14:textId="77777777" w:rsidR="005D2595" w:rsidRPr="0067507D" w:rsidRDefault="005D2595" w:rsidP="00FC3AF2">
            <w:pPr>
              <w:pStyle w:val="Tabletext"/>
            </w:pPr>
          </w:p>
        </w:tc>
        <w:tc>
          <w:tcPr>
            <w:tcW w:w="2466" w:type="dxa"/>
          </w:tcPr>
          <w:p w14:paraId="692B213E" w14:textId="77777777" w:rsidR="005D2595" w:rsidRPr="0067507D" w:rsidRDefault="005D2595" w:rsidP="00FC3AF2">
            <w:pPr>
              <w:pStyle w:val="Tabletext"/>
            </w:pPr>
            <w:r w:rsidRPr="0067507D">
              <w:t>Hon Jacinta Allan MP</w:t>
            </w:r>
          </w:p>
        </w:tc>
        <w:tc>
          <w:tcPr>
            <w:tcW w:w="3293" w:type="dxa"/>
          </w:tcPr>
          <w:p w14:paraId="36A72BEE" w14:textId="77777777" w:rsidR="005D2595" w:rsidRPr="0067507D" w:rsidRDefault="005D2595" w:rsidP="00FC3AF2">
            <w:pPr>
              <w:pStyle w:val="Tabletext"/>
            </w:pPr>
            <w:r w:rsidRPr="0067507D">
              <w:t>8 July 2024 to 21 July 2024</w:t>
            </w:r>
          </w:p>
        </w:tc>
      </w:tr>
      <w:tr w:rsidR="005D2595" w:rsidRPr="0067507D" w14:paraId="5D1EFDE9" w14:textId="77777777" w:rsidTr="007E5E23">
        <w:tc>
          <w:tcPr>
            <w:tcW w:w="3420" w:type="dxa"/>
            <w:noWrap/>
          </w:tcPr>
          <w:p w14:paraId="14DABA7B" w14:textId="77777777" w:rsidR="005D2595" w:rsidRPr="0067507D" w:rsidRDefault="005D2595" w:rsidP="00FC3AF2">
            <w:pPr>
              <w:pStyle w:val="Tabletext"/>
            </w:pPr>
            <w:r w:rsidRPr="0067507D">
              <w:t xml:space="preserve">Assistant Treasurer </w:t>
            </w:r>
            <w:r w:rsidRPr="0067507D">
              <w:rPr>
                <w:vertAlign w:val="superscript"/>
              </w:rPr>
              <w:t>(a)</w:t>
            </w:r>
          </w:p>
        </w:tc>
        <w:tc>
          <w:tcPr>
            <w:tcW w:w="2466" w:type="dxa"/>
          </w:tcPr>
          <w:p w14:paraId="2630B702" w14:textId="77777777" w:rsidR="005D2595" w:rsidRPr="0067507D" w:rsidRDefault="005D2595" w:rsidP="00FC3AF2">
            <w:pPr>
              <w:pStyle w:val="Tabletext"/>
            </w:pPr>
            <w:r w:rsidRPr="0067507D">
              <w:t>Hon. Danny Pearson MP</w:t>
            </w:r>
          </w:p>
        </w:tc>
        <w:tc>
          <w:tcPr>
            <w:tcW w:w="3293" w:type="dxa"/>
          </w:tcPr>
          <w:p w14:paraId="35E995A7" w14:textId="77777777" w:rsidR="005D2595" w:rsidRPr="0067507D" w:rsidRDefault="005D2595" w:rsidP="00FC3AF2">
            <w:pPr>
              <w:pStyle w:val="Tabletext"/>
            </w:pPr>
            <w:r w:rsidRPr="0067507D">
              <w:t>1 July 2024 to 19 December 2024</w:t>
            </w:r>
          </w:p>
        </w:tc>
      </w:tr>
      <w:tr w:rsidR="005D2595" w:rsidRPr="0067507D" w14:paraId="41B9C687" w14:textId="77777777" w:rsidTr="007E5E23">
        <w:tc>
          <w:tcPr>
            <w:tcW w:w="3420" w:type="dxa"/>
            <w:noWrap/>
          </w:tcPr>
          <w:p w14:paraId="08FFB01C" w14:textId="77777777" w:rsidR="005D2595" w:rsidRPr="0067507D" w:rsidRDefault="005D2595" w:rsidP="00FC3AF2">
            <w:pPr>
              <w:pStyle w:val="Tabletext"/>
            </w:pPr>
            <w:r w:rsidRPr="0067507D">
              <w:t>Acting Assistant Treasurer</w:t>
            </w:r>
          </w:p>
        </w:tc>
        <w:tc>
          <w:tcPr>
            <w:tcW w:w="2466" w:type="dxa"/>
          </w:tcPr>
          <w:p w14:paraId="5413DB31" w14:textId="77777777" w:rsidR="005D2595" w:rsidRPr="0067507D" w:rsidRDefault="005D2595" w:rsidP="00FC3AF2">
            <w:pPr>
              <w:pStyle w:val="Tabletext"/>
            </w:pPr>
            <w:r w:rsidRPr="0067507D">
              <w:t>Hon. Steve Dimopoulos MP</w:t>
            </w:r>
          </w:p>
          <w:p w14:paraId="18CCC969" w14:textId="77777777" w:rsidR="005D2595" w:rsidRPr="0067507D" w:rsidRDefault="005D2595" w:rsidP="00FC3AF2">
            <w:pPr>
              <w:pStyle w:val="Tabletext"/>
            </w:pPr>
            <w:r w:rsidRPr="0067507D">
              <w:t>Tim Pallas MP</w:t>
            </w:r>
          </w:p>
        </w:tc>
        <w:tc>
          <w:tcPr>
            <w:tcW w:w="3293" w:type="dxa"/>
          </w:tcPr>
          <w:p w14:paraId="0357761F" w14:textId="77777777" w:rsidR="005D2595" w:rsidRPr="0067507D" w:rsidRDefault="005D2595" w:rsidP="00FC3AF2">
            <w:pPr>
              <w:pStyle w:val="Tabletext"/>
            </w:pPr>
            <w:r w:rsidRPr="0067507D">
              <w:t>9 July 2024 to 14 July 2024</w:t>
            </w:r>
          </w:p>
          <w:p w14:paraId="4D5B46D9" w14:textId="77777777" w:rsidR="005D2595" w:rsidRPr="0067507D" w:rsidRDefault="005D2595" w:rsidP="00FC3AF2">
            <w:pPr>
              <w:pStyle w:val="Tabletext"/>
            </w:pPr>
            <w:r w:rsidRPr="0067507D">
              <w:t>17 December 2024 to 18 December 2024</w:t>
            </w:r>
          </w:p>
        </w:tc>
      </w:tr>
      <w:tr w:rsidR="005D2595" w:rsidRPr="0067507D" w14:paraId="76589EDC" w14:textId="77777777" w:rsidTr="007E5E23">
        <w:tc>
          <w:tcPr>
            <w:tcW w:w="3420" w:type="dxa"/>
            <w:noWrap/>
          </w:tcPr>
          <w:p w14:paraId="0F01FEC4" w14:textId="77777777" w:rsidR="005D2595" w:rsidRPr="0067507D" w:rsidRDefault="005D2595" w:rsidP="00FC3AF2">
            <w:pPr>
              <w:pStyle w:val="Tabletext"/>
            </w:pPr>
            <w:r w:rsidRPr="0067507D">
              <w:t xml:space="preserve">Minister for Finance </w:t>
            </w:r>
            <w:r w:rsidRPr="0067507D">
              <w:rPr>
                <w:vertAlign w:val="superscript"/>
              </w:rPr>
              <w:t>(a)</w:t>
            </w:r>
          </w:p>
        </w:tc>
        <w:tc>
          <w:tcPr>
            <w:tcW w:w="2466" w:type="dxa"/>
          </w:tcPr>
          <w:p w14:paraId="5A9750E3" w14:textId="77777777" w:rsidR="005D2595" w:rsidRPr="0067507D" w:rsidRDefault="005D2595" w:rsidP="00FC3AF2">
            <w:pPr>
              <w:pStyle w:val="Tabletext"/>
            </w:pPr>
            <w:r w:rsidRPr="0067507D">
              <w:t>Hon. Danny Pearson MP</w:t>
            </w:r>
          </w:p>
        </w:tc>
        <w:tc>
          <w:tcPr>
            <w:tcW w:w="3293" w:type="dxa"/>
          </w:tcPr>
          <w:p w14:paraId="7A06EA54" w14:textId="77777777" w:rsidR="005D2595" w:rsidRPr="0067507D" w:rsidRDefault="005D2595" w:rsidP="00FC3AF2">
            <w:pPr>
              <w:pStyle w:val="Tabletext"/>
            </w:pPr>
            <w:r w:rsidRPr="0067507D">
              <w:t>19 December 2024 to 30 June 2025</w:t>
            </w:r>
          </w:p>
        </w:tc>
      </w:tr>
      <w:tr w:rsidR="005D2595" w:rsidRPr="0067507D" w14:paraId="2832BB45" w14:textId="77777777" w:rsidTr="007E5E23">
        <w:tc>
          <w:tcPr>
            <w:tcW w:w="3420" w:type="dxa"/>
            <w:noWrap/>
          </w:tcPr>
          <w:p w14:paraId="40D351FC" w14:textId="77777777" w:rsidR="005D2595" w:rsidRPr="0067507D" w:rsidRDefault="005D2595" w:rsidP="00FC3AF2">
            <w:pPr>
              <w:pStyle w:val="Tabletext"/>
            </w:pPr>
            <w:r w:rsidRPr="0067507D">
              <w:t>Acting Minister for Finance</w:t>
            </w:r>
          </w:p>
        </w:tc>
        <w:tc>
          <w:tcPr>
            <w:tcW w:w="2466" w:type="dxa"/>
          </w:tcPr>
          <w:p w14:paraId="05FD1854" w14:textId="77777777" w:rsidR="005D2595" w:rsidRPr="0067507D" w:rsidRDefault="005D2595" w:rsidP="00FC3AF2">
            <w:pPr>
              <w:pStyle w:val="Tabletext"/>
            </w:pPr>
            <w:r w:rsidRPr="0067507D">
              <w:t>Jaclyn Symes MP</w:t>
            </w:r>
          </w:p>
        </w:tc>
        <w:tc>
          <w:tcPr>
            <w:tcW w:w="3293" w:type="dxa"/>
          </w:tcPr>
          <w:p w14:paraId="599AF195" w14:textId="77777777" w:rsidR="005D2595" w:rsidRPr="0067507D" w:rsidRDefault="005D2595" w:rsidP="00FC3AF2">
            <w:pPr>
              <w:pStyle w:val="Tabletext"/>
            </w:pPr>
            <w:r w:rsidRPr="0067507D">
              <w:t>6 January 2025 to 26 January 2025</w:t>
            </w:r>
          </w:p>
        </w:tc>
      </w:tr>
      <w:tr w:rsidR="005D2595" w:rsidRPr="0067507D" w14:paraId="107C18A5" w14:textId="77777777" w:rsidTr="007E5E23">
        <w:tc>
          <w:tcPr>
            <w:tcW w:w="3420" w:type="dxa"/>
            <w:noWrap/>
          </w:tcPr>
          <w:p w14:paraId="3D470D40" w14:textId="77777777" w:rsidR="005D2595" w:rsidRPr="0067507D" w:rsidRDefault="005D2595" w:rsidP="00FC3AF2">
            <w:pPr>
              <w:pStyle w:val="Tabletext"/>
            </w:pPr>
            <w:r w:rsidRPr="0067507D">
              <w:t>Minister for WorkSafe and the Transport</w:t>
            </w:r>
            <w:r w:rsidRPr="0067507D">
              <w:rPr>
                <w:rFonts w:ascii="Calibri" w:hAnsi="Calibri" w:cs="Calibri"/>
              </w:rPr>
              <w:t> </w:t>
            </w:r>
            <w:r w:rsidRPr="0067507D">
              <w:t>Accident Commission</w:t>
            </w:r>
          </w:p>
        </w:tc>
        <w:tc>
          <w:tcPr>
            <w:tcW w:w="2466" w:type="dxa"/>
          </w:tcPr>
          <w:p w14:paraId="69D41927" w14:textId="77777777" w:rsidR="005D2595" w:rsidRPr="0067507D" w:rsidRDefault="005D2595" w:rsidP="00FC3AF2">
            <w:pPr>
              <w:pStyle w:val="Tabletext"/>
            </w:pPr>
            <w:r w:rsidRPr="0067507D">
              <w:t>Hon. Danny Pearson MP</w:t>
            </w:r>
          </w:p>
        </w:tc>
        <w:tc>
          <w:tcPr>
            <w:tcW w:w="3293" w:type="dxa"/>
          </w:tcPr>
          <w:p w14:paraId="08D5E342" w14:textId="77777777" w:rsidR="005D2595" w:rsidRPr="0067507D" w:rsidRDefault="005D2595" w:rsidP="00FC3AF2">
            <w:pPr>
              <w:pStyle w:val="Tabletext"/>
            </w:pPr>
            <w:r w:rsidRPr="0067507D">
              <w:t>1 July 2024 to 19 December 2024</w:t>
            </w:r>
          </w:p>
        </w:tc>
      </w:tr>
      <w:tr w:rsidR="005D2595" w:rsidRPr="0067507D" w14:paraId="6D5F3195" w14:textId="77777777" w:rsidTr="007E5E23">
        <w:tc>
          <w:tcPr>
            <w:tcW w:w="3420" w:type="dxa"/>
            <w:noWrap/>
          </w:tcPr>
          <w:p w14:paraId="03CA383A" w14:textId="77777777" w:rsidR="005D2595" w:rsidRPr="0067507D" w:rsidRDefault="005D2595" w:rsidP="00FC3AF2">
            <w:pPr>
              <w:pStyle w:val="Tabletext"/>
            </w:pPr>
          </w:p>
        </w:tc>
        <w:tc>
          <w:tcPr>
            <w:tcW w:w="2466" w:type="dxa"/>
          </w:tcPr>
          <w:p w14:paraId="7FDBCB14" w14:textId="77777777" w:rsidR="005D2595" w:rsidRPr="0067507D" w:rsidRDefault="005D2595" w:rsidP="00FC3AF2">
            <w:pPr>
              <w:pStyle w:val="Tabletext"/>
            </w:pPr>
            <w:r w:rsidRPr="0067507D">
              <w:t>Hon. Ben Carroll MP</w:t>
            </w:r>
          </w:p>
        </w:tc>
        <w:tc>
          <w:tcPr>
            <w:tcW w:w="3293" w:type="dxa"/>
          </w:tcPr>
          <w:p w14:paraId="2E0ABF72" w14:textId="77777777" w:rsidR="005D2595" w:rsidRPr="0067507D" w:rsidRDefault="005D2595" w:rsidP="00FC3AF2">
            <w:pPr>
              <w:pStyle w:val="Tabletext"/>
            </w:pPr>
            <w:r w:rsidRPr="0067507D">
              <w:t>19 December 2024 to 30 June 2025</w:t>
            </w:r>
          </w:p>
        </w:tc>
      </w:tr>
      <w:tr w:rsidR="005D2595" w:rsidRPr="0067507D" w14:paraId="45F29C31" w14:textId="77777777" w:rsidTr="007E5E23">
        <w:tc>
          <w:tcPr>
            <w:tcW w:w="3420" w:type="dxa"/>
            <w:noWrap/>
          </w:tcPr>
          <w:p w14:paraId="77FE11AB" w14:textId="77777777" w:rsidR="005D2595" w:rsidRPr="0067507D" w:rsidRDefault="005D2595" w:rsidP="00FC3AF2">
            <w:pPr>
              <w:pStyle w:val="Tabletext"/>
            </w:pPr>
            <w:r w:rsidRPr="0067507D">
              <w:t>Acting Minister for WorkSafe and the Transport Accident Commission</w:t>
            </w:r>
          </w:p>
        </w:tc>
        <w:tc>
          <w:tcPr>
            <w:tcW w:w="2466" w:type="dxa"/>
          </w:tcPr>
          <w:p w14:paraId="68F8C6BA" w14:textId="77777777" w:rsidR="005D2595" w:rsidRPr="0067507D" w:rsidRDefault="005D2595" w:rsidP="00FC3AF2">
            <w:pPr>
              <w:pStyle w:val="Tabletext"/>
            </w:pPr>
            <w:r w:rsidRPr="0067507D">
              <w:t>Hon. Steve Dimopoulos MP</w:t>
            </w:r>
          </w:p>
          <w:p w14:paraId="2AECC648" w14:textId="77777777" w:rsidR="005D2595" w:rsidRPr="0067507D" w:rsidRDefault="005D2595" w:rsidP="00FC3AF2">
            <w:pPr>
              <w:pStyle w:val="Tabletext"/>
            </w:pPr>
            <w:r w:rsidRPr="0067507D">
              <w:t>Hon. Danny Pearson MP</w:t>
            </w:r>
          </w:p>
        </w:tc>
        <w:tc>
          <w:tcPr>
            <w:tcW w:w="3293" w:type="dxa"/>
          </w:tcPr>
          <w:p w14:paraId="587F8388" w14:textId="77777777" w:rsidR="005D2595" w:rsidRPr="0067507D" w:rsidRDefault="005D2595" w:rsidP="00FC3AF2">
            <w:pPr>
              <w:pStyle w:val="Tabletext"/>
            </w:pPr>
            <w:r w:rsidRPr="0067507D">
              <w:t>9 July 2024 to 14 July 2024</w:t>
            </w:r>
          </w:p>
          <w:p w14:paraId="2EE5EE45" w14:textId="77777777" w:rsidR="005D2595" w:rsidRPr="0067507D" w:rsidRDefault="005D2595" w:rsidP="00FC3AF2">
            <w:pPr>
              <w:pStyle w:val="Tabletext"/>
            </w:pPr>
            <w:r w:rsidRPr="0067507D">
              <w:t>7 April 2025 to 13 April 2025</w:t>
            </w:r>
          </w:p>
        </w:tc>
      </w:tr>
      <w:tr w:rsidR="005D2595" w:rsidRPr="0067507D" w14:paraId="39BD9C57" w14:textId="77777777" w:rsidTr="007E5E23">
        <w:tc>
          <w:tcPr>
            <w:tcW w:w="3420" w:type="dxa"/>
            <w:noWrap/>
          </w:tcPr>
          <w:p w14:paraId="075ED673" w14:textId="77777777" w:rsidR="005D2595" w:rsidRPr="0067507D" w:rsidRDefault="005D2595" w:rsidP="00FC3AF2">
            <w:pPr>
              <w:pStyle w:val="Tabletext"/>
            </w:pPr>
            <w:r w:rsidRPr="0067507D">
              <w:t>Secretary</w:t>
            </w:r>
          </w:p>
        </w:tc>
        <w:tc>
          <w:tcPr>
            <w:tcW w:w="2466" w:type="dxa"/>
          </w:tcPr>
          <w:p w14:paraId="5C55BAAA" w14:textId="77777777" w:rsidR="005D2595" w:rsidRPr="0067507D" w:rsidRDefault="005D2595" w:rsidP="00FC3AF2">
            <w:pPr>
              <w:pStyle w:val="Tabletext"/>
            </w:pPr>
            <w:r w:rsidRPr="0067507D">
              <w:t>Mr Chris Barrett</w:t>
            </w:r>
          </w:p>
        </w:tc>
        <w:tc>
          <w:tcPr>
            <w:tcW w:w="3293" w:type="dxa"/>
          </w:tcPr>
          <w:p w14:paraId="5FE6F122" w14:textId="77777777" w:rsidR="005D2595" w:rsidRPr="0067507D" w:rsidRDefault="005D2595" w:rsidP="00FC3AF2">
            <w:pPr>
              <w:pStyle w:val="Tabletext"/>
            </w:pPr>
            <w:r w:rsidRPr="0067507D">
              <w:t>1 July 2024 to 30 June 2025</w:t>
            </w:r>
          </w:p>
        </w:tc>
      </w:tr>
      <w:tr w:rsidR="005D2595" w:rsidRPr="0067507D" w14:paraId="62E73BD8" w14:textId="77777777" w:rsidTr="007E5E23">
        <w:tc>
          <w:tcPr>
            <w:tcW w:w="3420" w:type="dxa"/>
            <w:noWrap/>
          </w:tcPr>
          <w:p w14:paraId="3A237A2A" w14:textId="77777777" w:rsidR="005D2595" w:rsidRPr="0067507D" w:rsidRDefault="005D2595" w:rsidP="00FC3AF2">
            <w:pPr>
              <w:pStyle w:val="Tabletext"/>
            </w:pPr>
            <w:r w:rsidRPr="0067507D">
              <w:t>Acting Secretary</w:t>
            </w:r>
          </w:p>
        </w:tc>
        <w:tc>
          <w:tcPr>
            <w:tcW w:w="2466" w:type="dxa"/>
          </w:tcPr>
          <w:p w14:paraId="7E127ED0" w14:textId="77777777" w:rsidR="005D2595" w:rsidRPr="0067507D" w:rsidRDefault="005D2595" w:rsidP="00FC3AF2">
            <w:pPr>
              <w:pStyle w:val="Tabletext"/>
            </w:pPr>
            <w:r w:rsidRPr="0067507D">
              <w:t xml:space="preserve">Paul Donegan </w:t>
            </w:r>
          </w:p>
        </w:tc>
        <w:tc>
          <w:tcPr>
            <w:tcW w:w="3293" w:type="dxa"/>
          </w:tcPr>
          <w:p w14:paraId="2697DE6F" w14:textId="77777777" w:rsidR="005D2595" w:rsidRPr="0067507D" w:rsidRDefault="005D2595" w:rsidP="00FC3AF2">
            <w:pPr>
              <w:pStyle w:val="Tabletext"/>
            </w:pPr>
            <w:r w:rsidRPr="0067507D">
              <w:t>1 July 2024 to 7 July 2024</w:t>
            </w:r>
          </w:p>
          <w:p w14:paraId="2B3D1F51" w14:textId="77777777" w:rsidR="005D2595" w:rsidRPr="0067507D" w:rsidRDefault="005D2595" w:rsidP="00FC3AF2">
            <w:pPr>
              <w:pStyle w:val="Tabletext"/>
            </w:pPr>
            <w:r w:rsidRPr="0067507D">
              <w:t>13 January 2025 to 19 January 2025</w:t>
            </w:r>
          </w:p>
        </w:tc>
      </w:tr>
      <w:tr w:rsidR="005D2595" w:rsidRPr="0067507D" w14:paraId="6D697F71" w14:textId="77777777" w:rsidTr="007E5E23">
        <w:tc>
          <w:tcPr>
            <w:tcW w:w="3420" w:type="dxa"/>
            <w:noWrap/>
          </w:tcPr>
          <w:p w14:paraId="5BEFAA01" w14:textId="77777777" w:rsidR="005D2595" w:rsidRPr="0067507D" w:rsidRDefault="005D2595" w:rsidP="00FC3AF2">
            <w:pPr>
              <w:pStyle w:val="Tabletext"/>
            </w:pPr>
          </w:p>
        </w:tc>
        <w:tc>
          <w:tcPr>
            <w:tcW w:w="2466" w:type="dxa"/>
          </w:tcPr>
          <w:p w14:paraId="1459CEB8" w14:textId="77777777" w:rsidR="005D2595" w:rsidRPr="0067507D" w:rsidRDefault="005D2595" w:rsidP="00FC3AF2">
            <w:pPr>
              <w:pStyle w:val="Tabletext"/>
            </w:pPr>
            <w:r w:rsidRPr="0067507D">
              <w:t>Christopher Hotham</w:t>
            </w:r>
          </w:p>
        </w:tc>
        <w:tc>
          <w:tcPr>
            <w:tcW w:w="3293" w:type="dxa"/>
          </w:tcPr>
          <w:p w14:paraId="545C20F7" w14:textId="77777777" w:rsidR="005D2595" w:rsidRPr="0067507D" w:rsidRDefault="005D2595" w:rsidP="00FC3AF2">
            <w:pPr>
              <w:pStyle w:val="Tabletext"/>
            </w:pPr>
            <w:r w:rsidRPr="0067507D">
              <w:t>23 September 2024 to 30 September 2024</w:t>
            </w:r>
          </w:p>
        </w:tc>
      </w:tr>
      <w:tr w:rsidR="005D2595" w:rsidRPr="0067507D" w14:paraId="24369E34" w14:textId="77777777" w:rsidTr="007E5E23">
        <w:tc>
          <w:tcPr>
            <w:tcW w:w="3420" w:type="dxa"/>
            <w:noWrap/>
          </w:tcPr>
          <w:p w14:paraId="034AF87B" w14:textId="77777777" w:rsidR="005D2595" w:rsidRPr="0067507D" w:rsidRDefault="005D2595" w:rsidP="00FC3AF2">
            <w:pPr>
              <w:pStyle w:val="Tabletext"/>
            </w:pPr>
          </w:p>
        </w:tc>
        <w:tc>
          <w:tcPr>
            <w:tcW w:w="2466" w:type="dxa"/>
          </w:tcPr>
          <w:p w14:paraId="6E2B45D8" w14:textId="77777777" w:rsidR="005D2595" w:rsidRPr="0067507D" w:rsidRDefault="005D2595" w:rsidP="00FC3AF2">
            <w:pPr>
              <w:pStyle w:val="Tabletext"/>
            </w:pPr>
            <w:r w:rsidRPr="0067507D">
              <w:t>Camille Kingston</w:t>
            </w:r>
          </w:p>
        </w:tc>
        <w:tc>
          <w:tcPr>
            <w:tcW w:w="3293" w:type="dxa"/>
          </w:tcPr>
          <w:p w14:paraId="0D237466" w14:textId="77777777" w:rsidR="005D2595" w:rsidRPr="0067507D" w:rsidRDefault="005D2595" w:rsidP="00FC3AF2">
            <w:pPr>
              <w:pStyle w:val="Tabletext"/>
            </w:pPr>
            <w:r w:rsidRPr="0067507D">
              <w:t>1 October 2024 to 11 October 2024</w:t>
            </w:r>
          </w:p>
          <w:p w14:paraId="24351A17" w14:textId="67D480BA" w:rsidR="005D2595" w:rsidRPr="0067507D" w:rsidRDefault="005D2595" w:rsidP="00FC3AF2">
            <w:pPr>
              <w:pStyle w:val="Tabletext"/>
            </w:pPr>
            <w:r w:rsidRPr="0067507D">
              <w:t xml:space="preserve">5 June 2025 </w:t>
            </w:r>
            <w:r w:rsidR="00A434E5" w:rsidRPr="0067507D">
              <w:t xml:space="preserve">to </w:t>
            </w:r>
            <w:r w:rsidRPr="0067507D">
              <w:t>13 June 2025</w:t>
            </w:r>
          </w:p>
        </w:tc>
      </w:tr>
      <w:tr w:rsidR="005D2595" w:rsidRPr="0067507D" w14:paraId="4D21283E" w14:textId="77777777" w:rsidTr="007E5E23">
        <w:tc>
          <w:tcPr>
            <w:tcW w:w="3420" w:type="dxa"/>
            <w:noWrap/>
          </w:tcPr>
          <w:p w14:paraId="5E5FED0E" w14:textId="77777777" w:rsidR="005D2595" w:rsidRPr="0067507D" w:rsidRDefault="005D2595" w:rsidP="00FC3AF2">
            <w:pPr>
              <w:pStyle w:val="Tabletext"/>
            </w:pPr>
          </w:p>
        </w:tc>
        <w:tc>
          <w:tcPr>
            <w:tcW w:w="2466" w:type="dxa"/>
          </w:tcPr>
          <w:p w14:paraId="21162CD2" w14:textId="77777777" w:rsidR="005D2595" w:rsidRPr="0067507D" w:rsidRDefault="005D2595" w:rsidP="00FC3AF2">
            <w:pPr>
              <w:pStyle w:val="Tabletext"/>
            </w:pPr>
            <w:r w:rsidRPr="0067507D">
              <w:t>Kate O’Sullivan</w:t>
            </w:r>
          </w:p>
        </w:tc>
        <w:tc>
          <w:tcPr>
            <w:tcW w:w="3293" w:type="dxa"/>
          </w:tcPr>
          <w:p w14:paraId="6AC23BFE" w14:textId="77777777" w:rsidR="005D2595" w:rsidRPr="0067507D" w:rsidRDefault="005D2595" w:rsidP="00FC3AF2">
            <w:pPr>
              <w:pStyle w:val="Tabletext"/>
            </w:pPr>
            <w:r w:rsidRPr="0067507D">
              <w:t>8 July 2024 to 21 July 2024</w:t>
            </w:r>
          </w:p>
          <w:p w14:paraId="388478F5" w14:textId="77777777" w:rsidR="005D2595" w:rsidRPr="0067507D" w:rsidRDefault="005D2595" w:rsidP="00FC3AF2">
            <w:pPr>
              <w:pStyle w:val="Tabletext"/>
            </w:pPr>
            <w:r w:rsidRPr="0067507D">
              <w:t>20 January 2025 to 3 February 2025</w:t>
            </w:r>
          </w:p>
        </w:tc>
      </w:tr>
    </w:tbl>
    <w:p w14:paraId="0C11B92E" w14:textId="77777777" w:rsidR="005D2595" w:rsidRPr="0067507D" w:rsidRDefault="005D2595" w:rsidP="005D2595">
      <w:pPr>
        <w:pStyle w:val="Notes"/>
      </w:pPr>
      <w:r w:rsidRPr="0067507D">
        <w:t>Note:</w:t>
      </w:r>
    </w:p>
    <w:p w14:paraId="1EF9C758" w14:textId="77777777" w:rsidR="005D2595" w:rsidRPr="0067507D" w:rsidRDefault="005D2595" w:rsidP="005D2595">
      <w:pPr>
        <w:pStyle w:val="Notes"/>
      </w:pPr>
      <w:r w:rsidRPr="0067507D">
        <w:t>(a) The position of Assistant Treasurer ceased and was replaced by the newly created position of Minister for Finance on 19 December 2024.</w:t>
      </w:r>
    </w:p>
    <w:p w14:paraId="01CED418" w14:textId="77777777" w:rsidR="005D2595" w:rsidRPr="0067507D" w:rsidRDefault="005D2595" w:rsidP="005D2595">
      <w:pPr>
        <w:pStyle w:val="Heading4"/>
      </w:pPr>
      <w:r w:rsidRPr="0067507D">
        <w:t>Remuneration</w:t>
      </w:r>
    </w:p>
    <w:p w14:paraId="76AB4DCB" w14:textId="32D9A29B" w:rsidR="005D2595" w:rsidRPr="0067507D" w:rsidRDefault="005D2595" w:rsidP="005D2595">
      <w:pPr>
        <w:ind w:right="3845"/>
      </w:pPr>
      <w:r w:rsidRPr="0067507D">
        <w:t>Remuneration received or receivable by the Accountable Officer in</w:t>
      </w:r>
      <w:r w:rsidRPr="0067507D">
        <w:rPr>
          <w:rFonts w:ascii="Calibri" w:hAnsi="Calibri" w:cs="Calibri"/>
        </w:rPr>
        <w:t> </w:t>
      </w:r>
      <w:r w:rsidRPr="0067507D">
        <w:t>connection with the management of the Department during the reporting period was in the range: $760</w:t>
      </w:r>
      <w:r w:rsidRPr="0067507D">
        <w:rPr>
          <w:rFonts w:ascii="Calibri" w:hAnsi="Calibri" w:cs="Calibri"/>
        </w:rPr>
        <w:t> </w:t>
      </w:r>
      <w:r w:rsidRPr="0067507D">
        <w:t>000 – $770</w:t>
      </w:r>
      <w:r w:rsidRPr="0067507D">
        <w:rPr>
          <w:rFonts w:ascii="Calibri" w:hAnsi="Calibri" w:cs="Calibri"/>
        </w:rPr>
        <w:t> </w:t>
      </w:r>
      <w:r w:rsidRPr="0067507D">
        <w:t>000 ($720</w:t>
      </w:r>
      <w:r w:rsidRPr="0067507D">
        <w:rPr>
          <w:rFonts w:ascii="Calibri" w:hAnsi="Calibri" w:cs="Calibri"/>
        </w:rPr>
        <w:t> </w:t>
      </w:r>
      <w:r w:rsidRPr="0067507D">
        <w:t>000 – $730</w:t>
      </w:r>
      <w:r w:rsidRPr="0067507D">
        <w:rPr>
          <w:rFonts w:ascii="Calibri" w:hAnsi="Calibri" w:cs="Calibri"/>
        </w:rPr>
        <w:t> </w:t>
      </w:r>
      <w:r w:rsidRPr="0067507D">
        <w:t>000 in 2023</w:t>
      </w:r>
      <w:r w:rsidR="006A5485">
        <w:noBreakHyphen/>
      </w:r>
      <w:r w:rsidRPr="0067507D">
        <w:t>24).</w:t>
      </w:r>
      <w:r w:rsidR="004949BA" w:rsidRPr="0067507D">
        <w:t xml:space="preserve"> This includes amounts paid </w:t>
      </w:r>
      <w:r w:rsidR="003A5F46" w:rsidRPr="0067507D">
        <w:t>to Acting Secretaries during the acting periods specified in</w:t>
      </w:r>
      <w:r w:rsidR="00181B6B" w:rsidRPr="0067507D">
        <w:t xml:space="preserve"> the table above.</w:t>
      </w:r>
      <w:r w:rsidR="003A5F46" w:rsidRPr="0067507D">
        <w:t xml:space="preserve"> </w:t>
      </w:r>
    </w:p>
    <w:p w14:paraId="24D463FB" w14:textId="77777777" w:rsidR="005D2595" w:rsidRPr="0067507D" w:rsidRDefault="005D2595" w:rsidP="005D2595">
      <w:pPr>
        <w:pStyle w:val="Spacer"/>
        <w:sectPr w:rsidR="005D2595" w:rsidRPr="0067507D" w:rsidSect="005D2595">
          <w:type w:val="continuous"/>
          <w:pgSz w:w="11909" w:h="16834" w:code="9"/>
          <w:pgMar w:top="1728" w:right="1152" w:bottom="1152" w:left="1152" w:header="720" w:footer="288" w:gutter="0"/>
          <w:cols w:space="569"/>
          <w:noEndnote/>
        </w:sectPr>
      </w:pPr>
    </w:p>
    <w:p w14:paraId="030C48B6" w14:textId="77777777" w:rsidR="005D2595" w:rsidRPr="0067507D" w:rsidRDefault="005D2595" w:rsidP="000D5F54">
      <w:pPr>
        <w:pStyle w:val="Heading2numbered"/>
      </w:pPr>
      <w:bookmarkStart w:id="167" w:name="_Ref492626383"/>
      <w:bookmarkStart w:id="168" w:name="_Toc495304309"/>
      <w:bookmarkStart w:id="169" w:name="_Toc147229872"/>
      <w:bookmarkStart w:id="170" w:name="_Toc210214027"/>
      <w:bookmarkStart w:id="171" w:name="_Toc210213974"/>
      <w:r w:rsidRPr="0067507D">
        <w:lastRenderedPageBreak/>
        <w:t>Remuneration of executives</w:t>
      </w:r>
      <w:bookmarkEnd w:id="167"/>
      <w:bookmarkEnd w:id="168"/>
      <w:bookmarkEnd w:id="169"/>
      <w:bookmarkEnd w:id="170"/>
      <w:bookmarkEnd w:id="171"/>
    </w:p>
    <w:p w14:paraId="094E2E42" w14:textId="77777777" w:rsidR="005D2595" w:rsidRPr="0067507D" w:rsidRDefault="005D2595" w:rsidP="005D2595">
      <w:pPr>
        <w:sectPr w:rsidR="005D2595" w:rsidRPr="0067507D" w:rsidSect="005D2595">
          <w:pgSz w:w="11909" w:h="16834" w:code="9"/>
          <w:pgMar w:top="1728" w:right="1152" w:bottom="1152" w:left="1152" w:header="720" w:footer="288" w:gutter="0"/>
          <w:cols w:num="2" w:space="569"/>
          <w:noEndnote/>
        </w:sectPr>
      </w:pPr>
    </w:p>
    <w:p w14:paraId="1751600A" w14:textId="77777777" w:rsidR="005D2595" w:rsidRPr="0067507D" w:rsidRDefault="005D2595" w:rsidP="005D2595">
      <w:r w:rsidRPr="0067507D">
        <w:t>The number of executive officers, other than Ministers and the Accountable Officer, and their total remuneration during the reporting period are shown in the table below. Total annualised employee equivalents provides a measure of full time equivalent executive officers over the reporting period.</w:t>
      </w:r>
    </w:p>
    <w:p w14:paraId="27DE23BC" w14:textId="77777777" w:rsidR="005D2595" w:rsidRPr="0067507D" w:rsidRDefault="005D2595" w:rsidP="005D2595">
      <w:r w:rsidRPr="0067507D">
        <w:t xml:space="preserve">Remuneration comprises employee benefits (as defined in AASB 119 </w:t>
      </w:r>
      <w:r w:rsidRPr="0067507D">
        <w:rPr>
          <w:i/>
          <w:iCs/>
        </w:rPr>
        <w:t>Employee Benefits</w:t>
      </w:r>
      <w:r w:rsidRPr="0067507D">
        <w:t>) in all forms of consideration paid, payable or provided by the Department, or on behalf of the Department, in exchange for services rendered. Accordingly, remuneration is determined on an accrual basis, and is disclosed in the following categories.</w:t>
      </w:r>
    </w:p>
    <w:p w14:paraId="100DB22A" w14:textId="39A731EB" w:rsidR="005D2595" w:rsidRPr="0067507D" w:rsidRDefault="005D2595" w:rsidP="005D2595">
      <w:r w:rsidRPr="0067507D">
        <w:rPr>
          <w:rFonts w:asciiTheme="majorHAnsi" w:hAnsiTheme="majorHAnsi"/>
        </w:rPr>
        <w:t>Short</w:t>
      </w:r>
      <w:r w:rsidR="006A5485">
        <w:rPr>
          <w:rFonts w:asciiTheme="majorHAnsi" w:hAnsiTheme="majorHAnsi"/>
        </w:rPr>
        <w:noBreakHyphen/>
      </w:r>
      <w:r w:rsidRPr="0067507D">
        <w:rPr>
          <w:rFonts w:asciiTheme="majorHAnsi" w:hAnsiTheme="majorHAnsi"/>
        </w:rPr>
        <w:t>term employee benefits</w:t>
      </w:r>
      <w:r w:rsidRPr="0067507D">
        <w:t xml:space="preserve"> include amounts such as wages, salaries, annual leave, sick leave that are usually paid or payable on a regular basis, as well as non</w:t>
      </w:r>
      <w:r w:rsidR="006A5485">
        <w:noBreakHyphen/>
      </w:r>
      <w:r w:rsidRPr="0067507D">
        <w:t>monetary benefits such as motor vehicle allowances.</w:t>
      </w:r>
    </w:p>
    <w:p w14:paraId="78789C54" w14:textId="60E82AC3" w:rsidR="005D2595" w:rsidRPr="0067507D" w:rsidRDefault="005D2595" w:rsidP="005D2595">
      <w:r w:rsidRPr="0067507D">
        <w:rPr>
          <w:rFonts w:asciiTheme="majorHAnsi" w:hAnsiTheme="majorHAnsi"/>
        </w:rPr>
        <w:t>Post</w:t>
      </w:r>
      <w:r w:rsidR="006A5485">
        <w:rPr>
          <w:rFonts w:asciiTheme="majorHAnsi" w:hAnsiTheme="majorHAnsi"/>
        </w:rPr>
        <w:noBreakHyphen/>
      </w:r>
      <w:r w:rsidRPr="0067507D">
        <w:rPr>
          <w:rFonts w:asciiTheme="majorHAnsi" w:hAnsiTheme="majorHAnsi"/>
        </w:rPr>
        <w:t>employment benefits</w:t>
      </w:r>
      <w:r w:rsidRPr="0067507D">
        <w:t xml:space="preserve"> include superannuation entitlements.</w:t>
      </w:r>
    </w:p>
    <w:p w14:paraId="46124B5F" w14:textId="0CB6B9C1" w:rsidR="005D2595" w:rsidRPr="0067507D" w:rsidRDefault="005D2595" w:rsidP="005D2595">
      <w:r w:rsidRPr="0067507D">
        <w:rPr>
          <w:rFonts w:asciiTheme="majorHAnsi" w:hAnsiTheme="majorHAnsi"/>
        </w:rPr>
        <w:t>Other long</w:t>
      </w:r>
      <w:r w:rsidR="006A5485">
        <w:rPr>
          <w:rFonts w:asciiTheme="majorHAnsi" w:hAnsiTheme="majorHAnsi"/>
        </w:rPr>
        <w:noBreakHyphen/>
      </w:r>
      <w:r w:rsidRPr="0067507D">
        <w:rPr>
          <w:rFonts w:asciiTheme="majorHAnsi" w:hAnsiTheme="majorHAnsi"/>
        </w:rPr>
        <w:t>term benefits</w:t>
      </w:r>
      <w:r w:rsidRPr="0067507D">
        <w:t xml:space="preserve"> include long service leave and other long term benefits.</w:t>
      </w:r>
    </w:p>
    <w:p w14:paraId="46E25FB1" w14:textId="77777777" w:rsidR="005D2595" w:rsidRPr="0067507D" w:rsidRDefault="005D2595" w:rsidP="005D2595">
      <w:r w:rsidRPr="0067507D">
        <w:rPr>
          <w:rFonts w:asciiTheme="majorHAnsi" w:hAnsiTheme="majorHAnsi"/>
        </w:rPr>
        <w:t>Termination benefits</w:t>
      </w:r>
      <w:r w:rsidRPr="0067507D">
        <w:t xml:space="preserve"> include termination of employment payments, such as severance packages.</w:t>
      </w:r>
    </w:p>
    <w:p w14:paraId="757DDD84" w14:textId="77777777" w:rsidR="005D2595" w:rsidRPr="0067507D" w:rsidRDefault="005D2595" w:rsidP="005D2595">
      <w:r w:rsidRPr="0067507D">
        <w:t>Several factors have affected total remuneration payable to executives, and total number of executives, over the year including the renegotiation and conclusion of some employment contracts. Other variations have been driven by executive officers retiring, resigning, or having their employment contract ceased by the Department.</w:t>
      </w:r>
    </w:p>
    <w:p w14:paraId="78A81772"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p w14:paraId="6398726A" w14:textId="77777777" w:rsidR="005D2595" w:rsidRPr="0067507D" w:rsidRDefault="005D2595" w:rsidP="005D2595">
      <w:pPr>
        <w:pStyle w:val="Spacer"/>
      </w:pPr>
      <w:bookmarkStart w:id="172" w:name="Responsible_end"/>
      <w:bookmarkStart w:id="173" w:name="ExecOfficerRemuneration"/>
    </w:p>
    <w:bookmarkEnd w:id="172"/>
    <w:tbl>
      <w:tblPr>
        <w:tblStyle w:val="AnnualReporttexttable"/>
        <w:tblW w:w="3721" w:type="pct"/>
        <w:tblLook w:val="02A0" w:firstRow="1" w:lastRow="0" w:firstColumn="1" w:lastColumn="0" w:noHBand="1" w:noVBand="0"/>
      </w:tblPr>
      <w:tblGrid>
        <w:gridCol w:w="5038"/>
        <w:gridCol w:w="1055"/>
        <w:gridCol w:w="1055"/>
      </w:tblGrid>
      <w:tr w:rsidR="005D2595" w:rsidRPr="0067507D" w14:paraId="1A3852C0" w14:textId="77777777" w:rsidTr="00FC3A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24" w:type="pct"/>
          </w:tcPr>
          <w:p w14:paraId="6A6A2C0A" w14:textId="77777777" w:rsidR="005D2595" w:rsidRPr="0067507D" w:rsidRDefault="005D2595" w:rsidP="00FC3AF2">
            <w:pPr>
              <w:pStyle w:val="Tabletext"/>
            </w:pPr>
          </w:p>
        </w:tc>
        <w:tc>
          <w:tcPr>
            <w:cnfStyle w:val="000010000000" w:firstRow="0" w:lastRow="0" w:firstColumn="0" w:lastColumn="0" w:oddVBand="1" w:evenVBand="0" w:oddHBand="0" w:evenHBand="0" w:firstRowFirstColumn="0" w:firstRowLastColumn="0" w:lastRowFirstColumn="0" w:lastRowLastColumn="0"/>
            <w:tcW w:w="738" w:type="pct"/>
            <w:shd w:val="clear" w:color="auto" w:fill="auto"/>
          </w:tcPr>
          <w:p w14:paraId="06286C2E" w14:textId="77777777" w:rsidR="005D2595" w:rsidRPr="0067507D" w:rsidRDefault="005D2595" w:rsidP="00FC3AF2">
            <w:pPr>
              <w:pStyle w:val="Tabletextheadingrightbold"/>
              <w:rPr>
                <w:b w:val="0"/>
                <w:bCs/>
              </w:rPr>
            </w:pPr>
            <w:r w:rsidRPr="0067507D">
              <w:rPr>
                <w:b w:val="0"/>
                <w:bCs/>
              </w:rPr>
              <w:t>2025</w:t>
            </w:r>
            <w:r w:rsidRPr="0067507D">
              <w:rPr>
                <w:b w:val="0"/>
                <w:bCs/>
              </w:rPr>
              <w:br/>
              <w:t>$’000</w:t>
            </w:r>
          </w:p>
        </w:tc>
        <w:tc>
          <w:tcPr>
            <w:cnfStyle w:val="000001000000" w:firstRow="0" w:lastRow="0" w:firstColumn="0" w:lastColumn="0" w:oddVBand="0" w:evenVBand="1" w:oddHBand="0" w:evenHBand="0" w:firstRowFirstColumn="0" w:firstRowLastColumn="0" w:lastRowFirstColumn="0" w:lastRowLastColumn="0"/>
            <w:tcW w:w="738" w:type="pct"/>
            <w:shd w:val="clear" w:color="auto" w:fill="auto"/>
          </w:tcPr>
          <w:p w14:paraId="57CACD71" w14:textId="77777777" w:rsidR="005D2595" w:rsidRPr="0067507D" w:rsidRDefault="005D2595" w:rsidP="00FC3AF2">
            <w:pPr>
              <w:pStyle w:val="Tabletextheadingrightbold"/>
              <w:rPr>
                <w:b w:val="0"/>
                <w:bCs/>
              </w:rPr>
            </w:pPr>
            <w:r w:rsidRPr="0067507D">
              <w:rPr>
                <w:b w:val="0"/>
                <w:bCs/>
              </w:rPr>
              <w:t>2024</w:t>
            </w:r>
            <w:r w:rsidRPr="0067507D">
              <w:rPr>
                <w:b w:val="0"/>
                <w:bCs/>
              </w:rPr>
              <w:br/>
              <w:t>$’000</w:t>
            </w:r>
          </w:p>
        </w:tc>
      </w:tr>
      <w:tr w:rsidR="005D2595" w:rsidRPr="0067507D" w14:paraId="0CA7DFAF" w14:textId="77777777" w:rsidTr="00FC3AF2">
        <w:tc>
          <w:tcPr>
            <w:cnfStyle w:val="001000000000" w:firstRow="0" w:lastRow="0" w:firstColumn="1" w:lastColumn="0" w:oddVBand="0" w:evenVBand="0" w:oddHBand="0" w:evenHBand="0" w:firstRowFirstColumn="0" w:firstRowLastColumn="0" w:lastRowFirstColumn="0" w:lastRowLastColumn="0"/>
            <w:tcW w:w="3524" w:type="pct"/>
          </w:tcPr>
          <w:p w14:paraId="7DCB5C66" w14:textId="77777777" w:rsidR="005D2595" w:rsidRPr="0067507D" w:rsidRDefault="005D2595" w:rsidP="00FC3AF2">
            <w:pPr>
              <w:pStyle w:val="Tabletextbold"/>
            </w:pPr>
            <w:r w:rsidRPr="0067507D">
              <w:t xml:space="preserve">Remuneration of executive officers </w:t>
            </w:r>
            <w:r w:rsidRPr="0067507D">
              <w:rPr>
                <w:vertAlign w:val="superscript"/>
              </w:rPr>
              <w:t>(a)(b)</w:t>
            </w:r>
          </w:p>
        </w:tc>
        <w:tc>
          <w:tcPr>
            <w:cnfStyle w:val="000010000000" w:firstRow="0" w:lastRow="0" w:firstColumn="0" w:lastColumn="0" w:oddVBand="1" w:evenVBand="0" w:oddHBand="0" w:evenHBand="0" w:firstRowFirstColumn="0" w:firstRowLastColumn="0" w:lastRowFirstColumn="0" w:lastRowLastColumn="0"/>
            <w:tcW w:w="738" w:type="pct"/>
          </w:tcPr>
          <w:p w14:paraId="7DA4AE49"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738" w:type="pct"/>
          </w:tcPr>
          <w:p w14:paraId="31BF22D4" w14:textId="77777777" w:rsidR="005D2595" w:rsidRPr="0067507D" w:rsidRDefault="005D2595" w:rsidP="00FC3AF2">
            <w:pPr>
              <w:pStyle w:val="Tabletextright"/>
            </w:pPr>
          </w:p>
        </w:tc>
      </w:tr>
      <w:tr w:rsidR="005D2595" w:rsidRPr="0067507D" w14:paraId="685BEA82" w14:textId="77777777" w:rsidTr="00FC3AF2">
        <w:tc>
          <w:tcPr>
            <w:cnfStyle w:val="001000000000" w:firstRow="0" w:lastRow="0" w:firstColumn="1" w:lastColumn="0" w:oddVBand="0" w:evenVBand="0" w:oddHBand="0" w:evenHBand="0" w:firstRowFirstColumn="0" w:firstRowLastColumn="0" w:lastRowFirstColumn="0" w:lastRowLastColumn="0"/>
            <w:tcW w:w="3524" w:type="pct"/>
          </w:tcPr>
          <w:p w14:paraId="1F3CE6B0" w14:textId="12527ABA" w:rsidR="005D2595" w:rsidRPr="0067507D" w:rsidRDefault="005D2595" w:rsidP="00FC3AF2">
            <w:pPr>
              <w:pStyle w:val="Tabletext"/>
            </w:pPr>
            <w:r w:rsidRPr="0067507D">
              <w:t>Short</w:t>
            </w:r>
            <w:r w:rsidR="006A5485">
              <w:noBreakHyphen/>
            </w:r>
            <w:r w:rsidRPr="0067507D">
              <w:t>term employee benefits</w:t>
            </w:r>
          </w:p>
        </w:tc>
        <w:tc>
          <w:tcPr>
            <w:cnfStyle w:val="000010000000" w:firstRow="0" w:lastRow="0" w:firstColumn="0" w:lastColumn="0" w:oddVBand="1" w:evenVBand="0" w:oddHBand="0" w:evenHBand="0" w:firstRowFirstColumn="0" w:firstRowLastColumn="0" w:lastRowFirstColumn="0" w:lastRowLastColumn="0"/>
            <w:tcW w:w="738" w:type="pct"/>
          </w:tcPr>
          <w:p w14:paraId="7E6AA48F" w14:textId="77777777" w:rsidR="005D2595" w:rsidRPr="0067507D" w:rsidRDefault="005D2595" w:rsidP="00FC3AF2">
            <w:pPr>
              <w:pStyle w:val="Tabletextright"/>
            </w:pPr>
            <w:r w:rsidRPr="0067507D">
              <w:t>23 665</w:t>
            </w:r>
          </w:p>
        </w:tc>
        <w:tc>
          <w:tcPr>
            <w:cnfStyle w:val="000001000000" w:firstRow="0" w:lastRow="0" w:firstColumn="0" w:lastColumn="0" w:oddVBand="0" w:evenVBand="1" w:oddHBand="0" w:evenHBand="0" w:firstRowFirstColumn="0" w:firstRowLastColumn="0" w:lastRowFirstColumn="0" w:lastRowLastColumn="0"/>
            <w:tcW w:w="738" w:type="pct"/>
          </w:tcPr>
          <w:p w14:paraId="5C37EBBF" w14:textId="77777777" w:rsidR="005D2595" w:rsidRPr="0067507D" w:rsidRDefault="005D2595" w:rsidP="00FC3AF2">
            <w:pPr>
              <w:pStyle w:val="Tabletextright"/>
            </w:pPr>
            <w:r w:rsidRPr="0067507D">
              <w:t>18 968</w:t>
            </w:r>
          </w:p>
        </w:tc>
      </w:tr>
      <w:tr w:rsidR="005D2595" w:rsidRPr="0067507D" w14:paraId="2CDC7216" w14:textId="77777777" w:rsidTr="00FC3AF2">
        <w:tc>
          <w:tcPr>
            <w:cnfStyle w:val="001000000000" w:firstRow="0" w:lastRow="0" w:firstColumn="1" w:lastColumn="0" w:oddVBand="0" w:evenVBand="0" w:oddHBand="0" w:evenHBand="0" w:firstRowFirstColumn="0" w:firstRowLastColumn="0" w:lastRowFirstColumn="0" w:lastRowLastColumn="0"/>
            <w:tcW w:w="3524" w:type="pct"/>
          </w:tcPr>
          <w:p w14:paraId="29405B30" w14:textId="4AD3B625" w:rsidR="005D2595" w:rsidRPr="0067507D" w:rsidRDefault="005D2595" w:rsidP="00FC3AF2">
            <w:pPr>
              <w:pStyle w:val="Tabletext"/>
            </w:pPr>
            <w:r w:rsidRPr="0067507D">
              <w:t>Post</w:t>
            </w:r>
            <w:r w:rsidR="006A5485">
              <w:noBreakHyphen/>
            </w:r>
            <w:r w:rsidRPr="0067507D">
              <w:t>employment benefits</w:t>
            </w:r>
          </w:p>
        </w:tc>
        <w:tc>
          <w:tcPr>
            <w:cnfStyle w:val="000010000000" w:firstRow="0" w:lastRow="0" w:firstColumn="0" w:lastColumn="0" w:oddVBand="1" w:evenVBand="0" w:oddHBand="0" w:evenHBand="0" w:firstRowFirstColumn="0" w:firstRowLastColumn="0" w:lastRowFirstColumn="0" w:lastRowLastColumn="0"/>
            <w:tcW w:w="738" w:type="pct"/>
          </w:tcPr>
          <w:p w14:paraId="24F711BD" w14:textId="77777777" w:rsidR="005D2595" w:rsidRPr="0067507D" w:rsidRDefault="005D2595" w:rsidP="00FC3AF2">
            <w:pPr>
              <w:pStyle w:val="Tabletextright"/>
            </w:pPr>
            <w:r w:rsidRPr="0067507D">
              <w:t>2,823</w:t>
            </w:r>
          </w:p>
        </w:tc>
        <w:tc>
          <w:tcPr>
            <w:cnfStyle w:val="000001000000" w:firstRow="0" w:lastRow="0" w:firstColumn="0" w:lastColumn="0" w:oddVBand="0" w:evenVBand="1" w:oddHBand="0" w:evenHBand="0" w:firstRowFirstColumn="0" w:firstRowLastColumn="0" w:lastRowFirstColumn="0" w:lastRowLastColumn="0"/>
            <w:tcW w:w="738" w:type="pct"/>
          </w:tcPr>
          <w:p w14:paraId="35703635" w14:textId="77777777" w:rsidR="005D2595" w:rsidRPr="0067507D" w:rsidRDefault="005D2595" w:rsidP="00FC3AF2">
            <w:pPr>
              <w:pStyle w:val="Tabletextright"/>
              <w:rPr>
                <w:b/>
              </w:rPr>
            </w:pPr>
            <w:r w:rsidRPr="0067507D">
              <w:t>2,206</w:t>
            </w:r>
          </w:p>
        </w:tc>
      </w:tr>
      <w:tr w:rsidR="005D2595" w:rsidRPr="0067507D" w14:paraId="78F3B791" w14:textId="77777777" w:rsidTr="00FC3AF2">
        <w:tc>
          <w:tcPr>
            <w:cnfStyle w:val="001000000000" w:firstRow="0" w:lastRow="0" w:firstColumn="1" w:lastColumn="0" w:oddVBand="0" w:evenVBand="0" w:oddHBand="0" w:evenHBand="0" w:firstRowFirstColumn="0" w:firstRowLastColumn="0" w:lastRowFirstColumn="0" w:lastRowLastColumn="0"/>
            <w:tcW w:w="3524" w:type="pct"/>
          </w:tcPr>
          <w:p w14:paraId="20117FE0" w14:textId="02C3E527" w:rsidR="005D2595" w:rsidRPr="0067507D" w:rsidRDefault="005D2595" w:rsidP="00FC3AF2">
            <w:pPr>
              <w:pStyle w:val="Tabletext"/>
            </w:pPr>
            <w:r w:rsidRPr="0067507D">
              <w:t>Other long</w:t>
            </w:r>
            <w:r w:rsidR="006A5485">
              <w:noBreakHyphen/>
            </w:r>
            <w:r w:rsidRPr="0067507D">
              <w:t>term benefits</w:t>
            </w:r>
          </w:p>
        </w:tc>
        <w:tc>
          <w:tcPr>
            <w:cnfStyle w:val="000010000000" w:firstRow="0" w:lastRow="0" w:firstColumn="0" w:lastColumn="0" w:oddVBand="1" w:evenVBand="0" w:oddHBand="0" w:evenHBand="0" w:firstRowFirstColumn="0" w:firstRowLastColumn="0" w:lastRowFirstColumn="0" w:lastRowLastColumn="0"/>
            <w:tcW w:w="738" w:type="pct"/>
          </w:tcPr>
          <w:p w14:paraId="5A636B99" w14:textId="77777777" w:rsidR="005D2595" w:rsidRPr="0067507D" w:rsidRDefault="005D2595" w:rsidP="00FC3AF2">
            <w:pPr>
              <w:pStyle w:val="Tabletextright"/>
            </w:pPr>
            <w:r w:rsidRPr="0067507D">
              <w:t>895</w:t>
            </w:r>
          </w:p>
        </w:tc>
        <w:tc>
          <w:tcPr>
            <w:cnfStyle w:val="000001000000" w:firstRow="0" w:lastRow="0" w:firstColumn="0" w:lastColumn="0" w:oddVBand="0" w:evenVBand="1" w:oddHBand="0" w:evenHBand="0" w:firstRowFirstColumn="0" w:firstRowLastColumn="0" w:lastRowFirstColumn="0" w:lastRowLastColumn="0"/>
            <w:tcW w:w="738" w:type="pct"/>
          </w:tcPr>
          <w:p w14:paraId="3323A167" w14:textId="77777777" w:rsidR="005D2595" w:rsidRPr="0067507D" w:rsidRDefault="005D2595" w:rsidP="00FC3AF2">
            <w:pPr>
              <w:pStyle w:val="Tabletextright"/>
              <w:rPr>
                <w:b/>
              </w:rPr>
            </w:pPr>
            <w:r w:rsidRPr="0067507D">
              <w:t>683</w:t>
            </w:r>
          </w:p>
        </w:tc>
      </w:tr>
      <w:tr w:rsidR="005D2595" w:rsidRPr="0067507D" w14:paraId="56C5A80A" w14:textId="77777777" w:rsidTr="00FC3AF2">
        <w:tc>
          <w:tcPr>
            <w:cnfStyle w:val="001000000000" w:firstRow="0" w:lastRow="0" w:firstColumn="1" w:lastColumn="0" w:oddVBand="0" w:evenVBand="0" w:oddHBand="0" w:evenHBand="0" w:firstRowFirstColumn="0" w:firstRowLastColumn="0" w:lastRowFirstColumn="0" w:lastRowLastColumn="0"/>
            <w:tcW w:w="3524" w:type="pct"/>
          </w:tcPr>
          <w:p w14:paraId="38D63CFF" w14:textId="77777777" w:rsidR="005D2595" w:rsidRPr="0067507D" w:rsidRDefault="005D2595" w:rsidP="00FC3AF2">
            <w:pPr>
              <w:pStyle w:val="Tabletext"/>
            </w:pPr>
            <w:r w:rsidRPr="0067507D">
              <w:t xml:space="preserve">Termination benefits </w:t>
            </w:r>
            <w:r w:rsidRPr="0067507D">
              <w:rPr>
                <w:vertAlign w:val="superscript"/>
              </w:rPr>
              <w:t>(c)</w:t>
            </w:r>
          </w:p>
        </w:tc>
        <w:tc>
          <w:tcPr>
            <w:cnfStyle w:val="000010000000" w:firstRow="0" w:lastRow="0" w:firstColumn="0" w:lastColumn="0" w:oddVBand="1" w:evenVBand="0" w:oddHBand="0" w:evenHBand="0" w:firstRowFirstColumn="0" w:firstRowLastColumn="0" w:lastRowFirstColumn="0" w:lastRowLastColumn="0"/>
            <w:tcW w:w="738" w:type="pct"/>
          </w:tcPr>
          <w:p w14:paraId="0DEEDE47" w14:textId="77777777" w:rsidR="005D2595" w:rsidRPr="0067507D" w:rsidRDefault="005D2595" w:rsidP="00FC3AF2">
            <w:pPr>
              <w:pStyle w:val="Tabletextright"/>
            </w:pPr>
            <w:r w:rsidRPr="0067507D">
              <w:t>85</w:t>
            </w:r>
          </w:p>
        </w:tc>
        <w:tc>
          <w:tcPr>
            <w:cnfStyle w:val="000001000000" w:firstRow="0" w:lastRow="0" w:firstColumn="0" w:lastColumn="0" w:oddVBand="0" w:evenVBand="1" w:oddHBand="0" w:evenHBand="0" w:firstRowFirstColumn="0" w:firstRowLastColumn="0" w:lastRowFirstColumn="0" w:lastRowLastColumn="0"/>
            <w:tcW w:w="738" w:type="pct"/>
          </w:tcPr>
          <w:p w14:paraId="1FD202E4" w14:textId="77777777" w:rsidR="005D2595" w:rsidRPr="0067507D" w:rsidRDefault="005D2595" w:rsidP="00FC3AF2">
            <w:pPr>
              <w:pStyle w:val="Tabletextright"/>
            </w:pPr>
            <w:r w:rsidRPr="0067507D">
              <w:t>634</w:t>
            </w:r>
          </w:p>
        </w:tc>
      </w:tr>
      <w:tr w:rsidR="005D2595" w:rsidRPr="0067507D" w14:paraId="68A093CF" w14:textId="77777777" w:rsidTr="00FC3AF2">
        <w:tc>
          <w:tcPr>
            <w:cnfStyle w:val="001000000000" w:firstRow="0" w:lastRow="0" w:firstColumn="1" w:lastColumn="0" w:oddVBand="0" w:evenVBand="0" w:oddHBand="0" w:evenHBand="0" w:firstRowFirstColumn="0" w:firstRowLastColumn="0" w:lastRowFirstColumn="0" w:lastRowLastColumn="0"/>
            <w:tcW w:w="3524" w:type="pct"/>
          </w:tcPr>
          <w:p w14:paraId="77CC5ED9" w14:textId="77777777" w:rsidR="005D2595" w:rsidRPr="0067507D" w:rsidRDefault="005D2595" w:rsidP="00FC3AF2">
            <w:pPr>
              <w:pStyle w:val="Tabletextbold"/>
            </w:pPr>
            <w:r w:rsidRPr="0067507D">
              <w:t xml:space="preserve">Total remuneration </w:t>
            </w:r>
            <w:r w:rsidRPr="0067507D">
              <w:rPr>
                <w:vertAlign w:val="superscript"/>
              </w:rPr>
              <w:t>(c)</w:t>
            </w:r>
          </w:p>
        </w:tc>
        <w:tc>
          <w:tcPr>
            <w:cnfStyle w:val="000010000000" w:firstRow="0" w:lastRow="0" w:firstColumn="0" w:lastColumn="0" w:oddVBand="1" w:evenVBand="0" w:oddHBand="0" w:evenHBand="0" w:firstRowFirstColumn="0" w:firstRowLastColumn="0" w:lastRowFirstColumn="0" w:lastRowLastColumn="0"/>
            <w:tcW w:w="738" w:type="pct"/>
          </w:tcPr>
          <w:p w14:paraId="765F9527" w14:textId="77777777" w:rsidR="005D2595" w:rsidRPr="0067507D" w:rsidRDefault="005D2595" w:rsidP="00FC3AF2">
            <w:pPr>
              <w:pStyle w:val="Tabletextrightbold"/>
            </w:pPr>
            <w:r w:rsidRPr="0067507D">
              <w:t>27 468</w:t>
            </w:r>
          </w:p>
        </w:tc>
        <w:tc>
          <w:tcPr>
            <w:cnfStyle w:val="000001000000" w:firstRow="0" w:lastRow="0" w:firstColumn="0" w:lastColumn="0" w:oddVBand="0" w:evenVBand="1" w:oddHBand="0" w:evenHBand="0" w:firstRowFirstColumn="0" w:firstRowLastColumn="0" w:lastRowFirstColumn="0" w:lastRowLastColumn="0"/>
            <w:tcW w:w="738" w:type="pct"/>
          </w:tcPr>
          <w:p w14:paraId="4BE9EFC7" w14:textId="77777777" w:rsidR="005D2595" w:rsidRPr="0067507D" w:rsidRDefault="005D2595" w:rsidP="00FC3AF2">
            <w:pPr>
              <w:pStyle w:val="Tabletextrightbold"/>
            </w:pPr>
            <w:r w:rsidRPr="0067507D">
              <w:t>22 491</w:t>
            </w:r>
          </w:p>
        </w:tc>
      </w:tr>
      <w:tr w:rsidR="005D2595" w:rsidRPr="0067507D" w14:paraId="692DD92B" w14:textId="77777777" w:rsidTr="00FC3AF2">
        <w:tc>
          <w:tcPr>
            <w:cnfStyle w:val="001000000000" w:firstRow="0" w:lastRow="0" w:firstColumn="1" w:lastColumn="0" w:oddVBand="0" w:evenVBand="0" w:oddHBand="0" w:evenHBand="0" w:firstRowFirstColumn="0" w:firstRowLastColumn="0" w:lastRowFirstColumn="0" w:lastRowLastColumn="0"/>
            <w:tcW w:w="3524" w:type="pct"/>
          </w:tcPr>
          <w:p w14:paraId="73536954" w14:textId="06A3E3D7" w:rsidR="005D2595" w:rsidRPr="0067507D" w:rsidRDefault="005D2595" w:rsidP="00FC3AF2">
            <w:pPr>
              <w:pStyle w:val="Tabletextbold"/>
            </w:pPr>
            <w:r w:rsidRPr="0067507D">
              <w:t>Total number of executives</w:t>
            </w:r>
          </w:p>
        </w:tc>
        <w:tc>
          <w:tcPr>
            <w:cnfStyle w:val="000010000000" w:firstRow="0" w:lastRow="0" w:firstColumn="0" w:lastColumn="0" w:oddVBand="1" w:evenVBand="0" w:oddHBand="0" w:evenHBand="0" w:firstRowFirstColumn="0" w:firstRowLastColumn="0" w:lastRowFirstColumn="0" w:lastRowLastColumn="0"/>
            <w:tcW w:w="738" w:type="pct"/>
          </w:tcPr>
          <w:p w14:paraId="61FCA264" w14:textId="77777777" w:rsidR="005D2595" w:rsidRPr="0067507D" w:rsidRDefault="005D2595" w:rsidP="00FC3AF2">
            <w:pPr>
              <w:pStyle w:val="Tabletextrightbold"/>
            </w:pPr>
            <w:r w:rsidRPr="0067507D">
              <w:t>120</w:t>
            </w:r>
          </w:p>
        </w:tc>
        <w:tc>
          <w:tcPr>
            <w:cnfStyle w:val="000001000000" w:firstRow="0" w:lastRow="0" w:firstColumn="0" w:lastColumn="0" w:oddVBand="0" w:evenVBand="1" w:oddHBand="0" w:evenHBand="0" w:firstRowFirstColumn="0" w:firstRowLastColumn="0" w:lastRowFirstColumn="0" w:lastRowLastColumn="0"/>
            <w:tcW w:w="738" w:type="pct"/>
          </w:tcPr>
          <w:p w14:paraId="33EEBF4E" w14:textId="77777777" w:rsidR="005D2595" w:rsidRPr="0067507D" w:rsidRDefault="005D2595" w:rsidP="00FC3AF2">
            <w:pPr>
              <w:pStyle w:val="Tabletextrightbold"/>
            </w:pPr>
            <w:r w:rsidRPr="0067507D">
              <w:t>109</w:t>
            </w:r>
          </w:p>
        </w:tc>
      </w:tr>
      <w:tr w:rsidR="005D2595" w:rsidRPr="0067507D" w14:paraId="039F6BEB" w14:textId="77777777" w:rsidTr="00FC3AF2">
        <w:tc>
          <w:tcPr>
            <w:cnfStyle w:val="001000000000" w:firstRow="0" w:lastRow="0" w:firstColumn="1" w:lastColumn="0" w:oddVBand="0" w:evenVBand="0" w:oddHBand="0" w:evenHBand="0" w:firstRowFirstColumn="0" w:firstRowLastColumn="0" w:lastRowFirstColumn="0" w:lastRowLastColumn="0"/>
            <w:tcW w:w="3524" w:type="pct"/>
          </w:tcPr>
          <w:p w14:paraId="1EF12B8D" w14:textId="77777777" w:rsidR="005D2595" w:rsidRPr="0067507D" w:rsidRDefault="005D2595" w:rsidP="00FC3AF2">
            <w:pPr>
              <w:pStyle w:val="Tabletextbold"/>
            </w:pPr>
            <w:r w:rsidRPr="0067507D">
              <w:t xml:space="preserve">Total annualised employee equivalents </w:t>
            </w:r>
            <w:r w:rsidRPr="0067507D">
              <w:rPr>
                <w:vertAlign w:val="superscript"/>
              </w:rPr>
              <w:t>(d)(e)</w:t>
            </w:r>
          </w:p>
        </w:tc>
        <w:tc>
          <w:tcPr>
            <w:cnfStyle w:val="000010000000" w:firstRow="0" w:lastRow="0" w:firstColumn="0" w:lastColumn="0" w:oddVBand="1" w:evenVBand="0" w:oddHBand="0" w:evenHBand="0" w:firstRowFirstColumn="0" w:firstRowLastColumn="0" w:lastRowFirstColumn="0" w:lastRowLastColumn="0"/>
            <w:tcW w:w="738" w:type="pct"/>
          </w:tcPr>
          <w:p w14:paraId="25208D67" w14:textId="77777777" w:rsidR="005D2595" w:rsidRPr="0067507D" w:rsidRDefault="005D2595" w:rsidP="00FC3AF2">
            <w:pPr>
              <w:pStyle w:val="Tabletextrightbold"/>
            </w:pPr>
            <w:r w:rsidRPr="0067507D">
              <w:t>105</w:t>
            </w:r>
          </w:p>
        </w:tc>
        <w:tc>
          <w:tcPr>
            <w:cnfStyle w:val="000001000000" w:firstRow="0" w:lastRow="0" w:firstColumn="0" w:lastColumn="0" w:oddVBand="0" w:evenVBand="1" w:oddHBand="0" w:evenHBand="0" w:firstRowFirstColumn="0" w:firstRowLastColumn="0" w:lastRowFirstColumn="0" w:lastRowLastColumn="0"/>
            <w:tcW w:w="738" w:type="pct"/>
          </w:tcPr>
          <w:p w14:paraId="6CDD5F57" w14:textId="77777777" w:rsidR="005D2595" w:rsidRPr="0067507D" w:rsidRDefault="005D2595" w:rsidP="00FC3AF2">
            <w:pPr>
              <w:pStyle w:val="Tabletextrightbold"/>
            </w:pPr>
            <w:r w:rsidRPr="0067507D">
              <w:t>89</w:t>
            </w:r>
          </w:p>
        </w:tc>
      </w:tr>
    </w:tbl>
    <w:bookmarkEnd w:id="173"/>
    <w:p w14:paraId="15FBCBA6" w14:textId="77777777" w:rsidR="005D2595" w:rsidRPr="0067507D" w:rsidRDefault="005D2595" w:rsidP="005D2595">
      <w:pPr>
        <w:pStyle w:val="Notes"/>
      </w:pPr>
      <w:r w:rsidRPr="0067507D">
        <w:t>Notes:</w:t>
      </w:r>
    </w:p>
    <w:p w14:paraId="77C05866" w14:textId="77777777" w:rsidR="005D2595" w:rsidRPr="0067507D" w:rsidRDefault="005D2595" w:rsidP="005D2595">
      <w:pPr>
        <w:pStyle w:val="Notes"/>
        <w:ind w:right="2405"/>
      </w:pPr>
      <w:r w:rsidRPr="0067507D">
        <w:t xml:space="preserve">(a) Includes key management personnel (KMP) disclosed in the related parties note disclosure (Note 9.4), who also meet the definition of executives under FRD 21 </w:t>
      </w:r>
      <w:r w:rsidRPr="0067507D">
        <w:rPr>
          <w:i/>
          <w:iCs/>
        </w:rPr>
        <w:t>Disclosures of responsible persons and executive officers in the financial report</w:t>
      </w:r>
      <w:r w:rsidRPr="0067507D">
        <w:t>.</w:t>
      </w:r>
    </w:p>
    <w:p w14:paraId="290C2AA1" w14:textId="6BA8B45F" w:rsidR="005D2595" w:rsidRPr="0067507D" w:rsidRDefault="005D2595" w:rsidP="005D2595">
      <w:pPr>
        <w:pStyle w:val="Notes"/>
        <w:ind w:right="2405"/>
      </w:pPr>
      <w:r w:rsidRPr="0067507D">
        <w:t>(b) The total number of executives include eight (nine in 2023</w:t>
      </w:r>
      <w:r w:rsidR="006A5485">
        <w:noBreakHyphen/>
      </w:r>
      <w:r w:rsidRPr="0067507D">
        <w:t>24) departmental Chief Financial Officers (CFOs) employed by the Secretary. The total remuneration excludes the eight (nine in 2023</w:t>
      </w:r>
      <w:r w:rsidR="006A5485">
        <w:noBreakHyphen/>
      </w:r>
      <w:r w:rsidRPr="0067507D">
        <w:t>24) CFOs remuneration as the expenses are recouped from the other departments.</w:t>
      </w:r>
    </w:p>
    <w:p w14:paraId="52CC39C7" w14:textId="56926CFB" w:rsidR="005D2595" w:rsidRPr="0067507D" w:rsidRDefault="005D2595" w:rsidP="005D2595">
      <w:pPr>
        <w:pStyle w:val="Notes"/>
        <w:ind w:right="2405"/>
      </w:pPr>
      <w:r w:rsidRPr="0067507D">
        <w:t>(c) The 2023</w:t>
      </w:r>
      <w:r w:rsidR="006A5485">
        <w:noBreakHyphen/>
      </w:r>
      <w:r w:rsidRPr="0067507D">
        <w:t>24 figure has been adjusted to remove long service leave paid on termination of $0.08</w:t>
      </w:r>
      <w:r w:rsidRPr="0067507D">
        <w:rPr>
          <w:rFonts w:ascii="Calibri" w:hAnsi="Calibri" w:cs="Calibri"/>
        </w:rPr>
        <w:t> </w:t>
      </w:r>
      <w:r w:rsidRPr="0067507D">
        <w:t>million, which had been incorrectly included in termination benefits as well as other long</w:t>
      </w:r>
      <w:r w:rsidR="006A5485">
        <w:noBreakHyphen/>
      </w:r>
      <w:r w:rsidRPr="0067507D">
        <w:t>term benefits.</w:t>
      </w:r>
    </w:p>
    <w:p w14:paraId="7FD17895" w14:textId="77777777" w:rsidR="005D2595" w:rsidRPr="0067507D" w:rsidRDefault="005D2595" w:rsidP="005D2595">
      <w:pPr>
        <w:pStyle w:val="Notes"/>
        <w:ind w:right="2405"/>
      </w:pPr>
      <w:r w:rsidRPr="0067507D">
        <w:t>(d) The total annualised employee equivalent is based on the time fraction worked over the reporting period.</w:t>
      </w:r>
    </w:p>
    <w:p w14:paraId="220BDE8C" w14:textId="20A02047" w:rsidR="005D2595" w:rsidRPr="0067507D" w:rsidRDefault="005D2595" w:rsidP="005D2595">
      <w:pPr>
        <w:pStyle w:val="Notes"/>
        <w:ind w:right="2405"/>
      </w:pPr>
      <w:r w:rsidRPr="0067507D">
        <w:t>(e) The 2023</w:t>
      </w:r>
      <w:r w:rsidR="006A5485">
        <w:noBreakHyphen/>
      </w:r>
      <w:r w:rsidRPr="0067507D">
        <w:t>24 figure has been reduced by 13 to correct a miscalculation of the total annualised employee equivalent amount.</w:t>
      </w:r>
    </w:p>
    <w:p w14:paraId="3C65626C" w14:textId="77777777" w:rsidR="005D2595" w:rsidRPr="0067507D" w:rsidRDefault="005D2595" w:rsidP="005D2595">
      <w:pPr>
        <w:pStyle w:val="Notes"/>
        <w:ind w:right="2405"/>
      </w:pPr>
    </w:p>
    <w:p w14:paraId="187DA09A" w14:textId="77777777" w:rsidR="005D2595" w:rsidRPr="0067507D" w:rsidRDefault="005D2595" w:rsidP="005D2595">
      <w:pPr>
        <w:pStyle w:val="Notes"/>
        <w:sectPr w:rsidR="005D2595" w:rsidRPr="0067507D" w:rsidSect="005D2595">
          <w:headerReference w:type="even" r:id="rId141"/>
          <w:type w:val="continuous"/>
          <w:pgSz w:w="11909" w:h="16834" w:code="9"/>
          <w:pgMar w:top="1728" w:right="1152" w:bottom="1152" w:left="1152" w:header="720" w:footer="288" w:gutter="0"/>
          <w:cols w:space="569"/>
          <w:noEndnote/>
        </w:sectPr>
      </w:pPr>
    </w:p>
    <w:p w14:paraId="268705D8" w14:textId="77777777" w:rsidR="005D2595" w:rsidRPr="0067507D" w:rsidRDefault="005D2595" w:rsidP="000D5F54">
      <w:pPr>
        <w:pStyle w:val="Heading2numbered"/>
      </w:pPr>
      <w:bookmarkStart w:id="174" w:name="_Toc495304310"/>
      <w:bookmarkStart w:id="175" w:name="_Toc147229873"/>
      <w:bookmarkStart w:id="176" w:name="_Toc210214028"/>
      <w:bookmarkStart w:id="177" w:name="_Toc210213975"/>
      <w:r w:rsidRPr="0067507D">
        <w:lastRenderedPageBreak/>
        <w:t>Related parties</w:t>
      </w:r>
      <w:bookmarkEnd w:id="174"/>
      <w:bookmarkEnd w:id="175"/>
      <w:bookmarkEnd w:id="176"/>
      <w:bookmarkEnd w:id="177"/>
    </w:p>
    <w:p w14:paraId="24F7F767" w14:textId="77777777" w:rsidR="005D2595" w:rsidRPr="0067507D" w:rsidRDefault="005D2595" w:rsidP="005D2595">
      <w:pPr>
        <w:rPr>
          <w:rFonts w:eastAsia="Symbol"/>
        </w:rPr>
        <w:sectPr w:rsidR="005D2595" w:rsidRPr="0067507D" w:rsidSect="005D2595">
          <w:headerReference w:type="even" r:id="rId142"/>
          <w:pgSz w:w="11909" w:h="16834" w:code="9"/>
          <w:pgMar w:top="1728" w:right="1152" w:bottom="1152" w:left="1152" w:header="720" w:footer="288" w:gutter="0"/>
          <w:cols w:num="2" w:space="389"/>
          <w:noEndnote/>
        </w:sectPr>
      </w:pPr>
    </w:p>
    <w:p w14:paraId="57DAEC47" w14:textId="77777777" w:rsidR="005D2595" w:rsidRPr="0067507D" w:rsidRDefault="005D2595" w:rsidP="005D2595">
      <w:pPr>
        <w:rPr>
          <w:rFonts w:eastAsia="Symbol"/>
        </w:rPr>
      </w:pPr>
      <w:r w:rsidRPr="0067507D">
        <w:rPr>
          <w:rFonts w:eastAsia="Symbol"/>
        </w:rPr>
        <w:t>Related parties of the Department include:</w:t>
      </w:r>
    </w:p>
    <w:p w14:paraId="04A75309" w14:textId="77777777" w:rsidR="005D2595" w:rsidRPr="0067507D" w:rsidRDefault="005D2595" w:rsidP="006273F6">
      <w:pPr>
        <w:pStyle w:val="Bullet"/>
        <w:numPr>
          <w:ilvl w:val="0"/>
          <w:numId w:val="22"/>
        </w:numPr>
      </w:pPr>
      <w:r w:rsidRPr="0067507D">
        <w:t>all key management personnel and their close family members and personal business interests (controlled entities, joint ventures and entities they have significant influence over)</w:t>
      </w:r>
    </w:p>
    <w:p w14:paraId="222941AF" w14:textId="77777777" w:rsidR="005D2595" w:rsidRPr="0067507D" w:rsidRDefault="005D2595" w:rsidP="006273F6">
      <w:pPr>
        <w:pStyle w:val="Bullet"/>
        <w:numPr>
          <w:ilvl w:val="0"/>
          <w:numId w:val="22"/>
        </w:numPr>
      </w:pPr>
      <w:r w:rsidRPr="0067507D">
        <w:t>all cabinet ministers and their close family members</w:t>
      </w:r>
    </w:p>
    <w:p w14:paraId="23C9A002" w14:textId="77777777" w:rsidR="005D2595" w:rsidRPr="0067507D" w:rsidRDefault="005D2595" w:rsidP="006273F6">
      <w:pPr>
        <w:pStyle w:val="Bullet"/>
        <w:numPr>
          <w:ilvl w:val="0"/>
          <w:numId w:val="22"/>
        </w:numPr>
      </w:pPr>
      <w:r w:rsidRPr="0067507D">
        <w:t>all departments and public sector entities that are controlled and consolidated into the whole of state consolidated financial statements.</w:t>
      </w:r>
    </w:p>
    <w:p w14:paraId="090C2081" w14:textId="77777777" w:rsidR="005D2595" w:rsidRPr="0067507D" w:rsidRDefault="005D2595" w:rsidP="005D2595">
      <w:pPr>
        <w:rPr>
          <w:rFonts w:eastAsia="Symbol"/>
        </w:rPr>
      </w:pPr>
      <w:r w:rsidRPr="0067507D">
        <w:rPr>
          <w:rFonts w:eastAsia="Symbol"/>
        </w:rPr>
        <w:t>All related party transactions have been entered into on an arm's length basis.</w:t>
      </w:r>
    </w:p>
    <w:p w14:paraId="3147BC0C" w14:textId="77777777" w:rsidR="005D2595" w:rsidRPr="0067507D" w:rsidRDefault="005D2595" w:rsidP="005D2595">
      <w:pPr>
        <w:rPr>
          <w:rFonts w:eastAsia="Symbol"/>
        </w:rPr>
      </w:pPr>
      <w:r w:rsidRPr="0067507D">
        <w:rPr>
          <w:rFonts w:eastAsia="Symbol"/>
        </w:rPr>
        <w:br w:type="column"/>
      </w:r>
    </w:p>
    <w:p w14:paraId="2805E144" w14:textId="77777777" w:rsidR="005D2595" w:rsidRPr="0067507D" w:rsidRDefault="005D2595" w:rsidP="005D2595">
      <w:pPr>
        <w:pStyle w:val="Heading4"/>
        <w:rPr>
          <w:rFonts w:eastAsia="Symbol"/>
        </w:rPr>
        <w:sectPr w:rsidR="005D2595" w:rsidRPr="0067507D" w:rsidSect="005D2595">
          <w:type w:val="continuous"/>
          <w:pgSz w:w="11909" w:h="16834" w:code="9"/>
          <w:pgMar w:top="1728" w:right="1152" w:bottom="1152" w:left="1152" w:header="720" w:footer="288" w:gutter="0"/>
          <w:cols w:num="2" w:space="389"/>
          <w:noEndnote/>
        </w:sectPr>
      </w:pPr>
    </w:p>
    <w:p w14:paraId="049FBD6E" w14:textId="77777777" w:rsidR="005D2595" w:rsidRPr="0067507D" w:rsidRDefault="005D2595" w:rsidP="005D2595">
      <w:pPr>
        <w:pStyle w:val="Heading4"/>
        <w:rPr>
          <w:rFonts w:eastAsia="Symbol"/>
        </w:rPr>
      </w:pPr>
      <w:r w:rsidRPr="0067507D">
        <w:rPr>
          <w:rFonts w:eastAsia="Symbol"/>
        </w:rPr>
        <w:t>Key management personnel</w:t>
      </w:r>
    </w:p>
    <w:p w14:paraId="7F32E2A0" w14:textId="77777777" w:rsidR="005D2595" w:rsidRPr="0067507D" w:rsidRDefault="005D2595" w:rsidP="005D2595">
      <w:pPr>
        <w:rPr>
          <w:rFonts w:eastAsia="Symbol"/>
        </w:rPr>
      </w:pPr>
      <w:r w:rsidRPr="0067507D">
        <w:rPr>
          <w:rFonts w:eastAsia="Symbol"/>
        </w:rPr>
        <w:t>Key management personnel of the Department include the following people.</w:t>
      </w:r>
    </w:p>
    <w:p w14:paraId="5E2D00C5" w14:textId="77777777" w:rsidR="005D2595" w:rsidRPr="0067507D" w:rsidRDefault="005D2595" w:rsidP="005D2595">
      <w:pPr>
        <w:rPr>
          <w:rFonts w:eastAsia="Symbol"/>
        </w:rPr>
        <w:sectPr w:rsidR="005D2595" w:rsidRPr="0067507D" w:rsidSect="005D2595">
          <w:type w:val="continuous"/>
          <w:pgSz w:w="11909" w:h="16834" w:code="9"/>
          <w:pgMar w:top="1728" w:right="1152" w:bottom="1152" w:left="1152" w:header="720" w:footer="288" w:gutter="0"/>
          <w:cols w:num="2" w:space="389"/>
          <w:noEndnote/>
        </w:sectPr>
      </w:pPr>
    </w:p>
    <w:tbl>
      <w:tblPr>
        <w:tblW w:w="8370" w:type="dxa"/>
        <w:tblLook w:val="04A0" w:firstRow="1" w:lastRow="0" w:firstColumn="1" w:lastColumn="0" w:noHBand="0" w:noVBand="1"/>
      </w:tblPr>
      <w:tblGrid>
        <w:gridCol w:w="3240"/>
        <w:gridCol w:w="1900"/>
        <w:gridCol w:w="3230"/>
      </w:tblGrid>
      <w:tr w:rsidR="005D2595" w:rsidRPr="0067507D" w14:paraId="7F728030" w14:textId="77777777" w:rsidTr="00165170">
        <w:trPr>
          <w:trHeight w:val="274"/>
        </w:trPr>
        <w:tc>
          <w:tcPr>
            <w:tcW w:w="3240" w:type="dxa"/>
            <w:noWrap/>
            <w:hideMark/>
          </w:tcPr>
          <w:p w14:paraId="7F836E16" w14:textId="77777777" w:rsidR="005D2595" w:rsidRPr="0067507D" w:rsidRDefault="005D2595" w:rsidP="00FC3AF2">
            <w:pPr>
              <w:pStyle w:val="Tabletext"/>
            </w:pPr>
            <w:r w:rsidRPr="0067507D">
              <w:t>Portfolio Ministers (refer to note 9.2)</w:t>
            </w:r>
          </w:p>
        </w:tc>
        <w:tc>
          <w:tcPr>
            <w:tcW w:w="1900" w:type="dxa"/>
            <w:noWrap/>
          </w:tcPr>
          <w:p w14:paraId="7023511A" w14:textId="77777777" w:rsidR="005D2595" w:rsidRPr="0067507D" w:rsidRDefault="005D2595" w:rsidP="00FC3AF2">
            <w:pPr>
              <w:pStyle w:val="Tabletext"/>
            </w:pPr>
          </w:p>
        </w:tc>
        <w:tc>
          <w:tcPr>
            <w:tcW w:w="3230" w:type="dxa"/>
            <w:noWrap/>
          </w:tcPr>
          <w:p w14:paraId="15EB5041" w14:textId="77777777" w:rsidR="005D2595" w:rsidRPr="0067507D" w:rsidRDefault="005D2595" w:rsidP="00FC3AF2">
            <w:pPr>
              <w:pStyle w:val="Tabletext"/>
            </w:pPr>
          </w:p>
        </w:tc>
      </w:tr>
      <w:tr w:rsidR="005D2595" w:rsidRPr="0067507D" w14:paraId="2222AED5" w14:textId="77777777" w:rsidTr="00165170">
        <w:trPr>
          <w:trHeight w:val="274"/>
        </w:trPr>
        <w:tc>
          <w:tcPr>
            <w:tcW w:w="3240" w:type="dxa"/>
            <w:noWrap/>
            <w:hideMark/>
          </w:tcPr>
          <w:p w14:paraId="66ACA294" w14:textId="77777777" w:rsidR="005D2595" w:rsidRPr="0067507D" w:rsidRDefault="005D2595" w:rsidP="00FC3AF2">
            <w:pPr>
              <w:pStyle w:val="Tabletext"/>
            </w:pPr>
            <w:r w:rsidRPr="0067507D">
              <w:t>Secretary (refer to note 9.2)</w:t>
            </w:r>
          </w:p>
        </w:tc>
        <w:tc>
          <w:tcPr>
            <w:tcW w:w="1900" w:type="dxa"/>
            <w:noWrap/>
            <w:hideMark/>
          </w:tcPr>
          <w:p w14:paraId="07E5EC66" w14:textId="77777777" w:rsidR="005D2595" w:rsidRPr="0067507D" w:rsidRDefault="005D2595" w:rsidP="00FC3AF2">
            <w:pPr>
              <w:pStyle w:val="Tabletext"/>
            </w:pPr>
          </w:p>
        </w:tc>
        <w:tc>
          <w:tcPr>
            <w:tcW w:w="3230" w:type="dxa"/>
            <w:noWrap/>
            <w:hideMark/>
          </w:tcPr>
          <w:p w14:paraId="1AAAB65C" w14:textId="77777777" w:rsidR="005D2595" w:rsidRPr="0067507D" w:rsidRDefault="005D2595" w:rsidP="00FC3AF2">
            <w:pPr>
              <w:pStyle w:val="Tabletext"/>
            </w:pPr>
          </w:p>
        </w:tc>
      </w:tr>
      <w:tr w:rsidR="005D2595" w:rsidRPr="0067507D" w14:paraId="2DC716A0" w14:textId="77777777" w:rsidTr="00165170">
        <w:trPr>
          <w:trHeight w:val="274"/>
        </w:trPr>
        <w:tc>
          <w:tcPr>
            <w:tcW w:w="3240" w:type="dxa"/>
            <w:noWrap/>
            <w:hideMark/>
          </w:tcPr>
          <w:p w14:paraId="2799D8D4" w14:textId="77777777" w:rsidR="005D2595" w:rsidRPr="0067507D" w:rsidRDefault="005D2595" w:rsidP="00FC3AF2">
            <w:pPr>
              <w:pStyle w:val="Tabletext"/>
            </w:pPr>
            <w:r w:rsidRPr="0067507D">
              <w:t>Deputy Secretary</w:t>
            </w:r>
            <w:r w:rsidRPr="0067507D">
              <w:br/>
              <w:t>Budget and Finance Division</w:t>
            </w:r>
          </w:p>
        </w:tc>
        <w:tc>
          <w:tcPr>
            <w:tcW w:w="1900" w:type="dxa"/>
            <w:noWrap/>
          </w:tcPr>
          <w:p w14:paraId="54200060" w14:textId="77777777" w:rsidR="005D2595" w:rsidRPr="0067507D" w:rsidRDefault="005D2595" w:rsidP="00FC3AF2">
            <w:pPr>
              <w:pStyle w:val="Tabletext"/>
            </w:pPr>
            <w:r w:rsidRPr="0067507D">
              <w:t>Chris Hotham</w:t>
            </w:r>
          </w:p>
        </w:tc>
        <w:tc>
          <w:tcPr>
            <w:tcW w:w="3230" w:type="dxa"/>
            <w:noWrap/>
          </w:tcPr>
          <w:p w14:paraId="6ABB4807" w14:textId="77777777" w:rsidR="005D2595" w:rsidRPr="0067507D" w:rsidRDefault="005D2595" w:rsidP="00FC3AF2">
            <w:pPr>
              <w:pStyle w:val="Tabletext"/>
            </w:pPr>
            <w:r w:rsidRPr="0067507D">
              <w:t>1 July 2024 to 30 June 2025</w:t>
            </w:r>
          </w:p>
        </w:tc>
      </w:tr>
      <w:tr w:rsidR="005D2595" w:rsidRPr="0067507D" w14:paraId="1CFD054C" w14:textId="77777777" w:rsidTr="00165170">
        <w:trPr>
          <w:trHeight w:val="274"/>
        </w:trPr>
        <w:tc>
          <w:tcPr>
            <w:tcW w:w="3240" w:type="dxa"/>
            <w:noWrap/>
          </w:tcPr>
          <w:p w14:paraId="49BBC90C" w14:textId="77777777" w:rsidR="005D2595" w:rsidRPr="0067507D" w:rsidRDefault="005D2595" w:rsidP="00FC3AF2">
            <w:pPr>
              <w:pStyle w:val="Tabletext"/>
            </w:pPr>
            <w:r w:rsidRPr="0067507D">
              <w:t>Deputy Secretary</w:t>
            </w:r>
            <w:r w:rsidRPr="0067507D">
              <w:br/>
              <w:t>Economic Division</w:t>
            </w:r>
          </w:p>
        </w:tc>
        <w:tc>
          <w:tcPr>
            <w:tcW w:w="1900" w:type="dxa"/>
            <w:noWrap/>
          </w:tcPr>
          <w:p w14:paraId="441CB1CB" w14:textId="77777777" w:rsidR="005D2595" w:rsidRPr="0067507D" w:rsidRDefault="005D2595" w:rsidP="00FC3AF2">
            <w:pPr>
              <w:pStyle w:val="Tabletext"/>
            </w:pPr>
            <w:r w:rsidRPr="0067507D">
              <w:t>Paul Donegan</w:t>
            </w:r>
          </w:p>
        </w:tc>
        <w:tc>
          <w:tcPr>
            <w:tcW w:w="3230" w:type="dxa"/>
            <w:noWrap/>
          </w:tcPr>
          <w:p w14:paraId="1BDD89D2" w14:textId="77777777" w:rsidR="005D2595" w:rsidRPr="0067507D" w:rsidRDefault="005D2595" w:rsidP="00FC3AF2">
            <w:pPr>
              <w:pStyle w:val="Tabletext"/>
            </w:pPr>
            <w:r w:rsidRPr="0067507D">
              <w:t>1 July 2024 to 30 June 2025</w:t>
            </w:r>
          </w:p>
        </w:tc>
      </w:tr>
      <w:tr w:rsidR="005D2595" w:rsidRPr="0067507D" w14:paraId="025A3DD3" w14:textId="77777777" w:rsidTr="00165170">
        <w:trPr>
          <w:trHeight w:val="274"/>
        </w:trPr>
        <w:tc>
          <w:tcPr>
            <w:tcW w:w="3240" w:type="dxa"/>
            <w:noWrap/>
            <w:hideMark/>
          </w:tcPr>
          <w:p w14:paraId="31C0FD71" w14:textId="77777777" w:rsidR="005D2595" w:rsidRPr="0067507D" w:rsidRDefault="005D2595" w:rsidP="00FC3AF2">
            <w:pPr>
              <w:pStyle w:val="Tabletext"/>
            </w:pPr>
            <w:r w:rsidRPr="0067507D">
              <w:t>Deputy Secretary</w:t>
            </w:r>
            <w:r w:rsidRPr="0067507D">
              <w:br/>
              <w:t>Commercial Division</w:t>
            </w:r>
          </w:p>
        </w:tc>
        <w:tc>
          <w:tcPr>
            <w:tcW w:w="1900" w:type="dxa"/>
            <w:noWrap/>
            <w:hideMark/>
          </w:tcPr>
          <w:p w14:paraId="53C7A0CE" w14:textId="77777777" w:rsidR="005D2595" w:rsidRPr="0067507D" w:rsidRDefault="005D2595" w:rsidP="00FC3AF2">
            <w:pPr>
              <w:pStyle w:val="Tabletext"/>
            </w:pPr>
            <w:r w:rsidRPr="0067507D">
              <w:t>Camille Kingston</w:t>
            </w:r>
          </w:p>
        </w:tc>
        <w:tc>
          <w:tcPr>
            <w:tcW w:w="3230" w:type="dxa"/>
            <w:noWrap/>
          </w:tcPr>
          <w:p w14:paraId="2C70E6FD" w14:textId="77777777" w:rsidR="005D2595" w:rsidRPr="0067507D" w:rsidRDefault="005D2595" w:rsidP="00FC3AF2">
            <w:pPr>
              <w:pStyle w:val="Tabletext"/>
            </w:pPr>
            <w:r w:rsidRPr="0067507D">
              <w:t>1 July 2024 to 30 June 2025</w:t>
            </w:r>
          </w:p>
        </w:tc>
      </w:tr>
      <w:tr w:rsidR="005D2595" w:rsidRPr="0067507D" w14:paraId="1B47FC98" w14:textId="77777777" w:rsidTr="00165170">
        <w:trPr>
          <w:trHeight w:val="274"/>
        </w:trPr>
        <w:tc>
          <w:tcPr>
            <w:tcW w:w="3240" w:type="dxa"/>
            <w:noWrap/>
            <w:hideMark/>
          </w:tcPr>
          <w:p w14:paraId="5B0266D2" w14:textId="77777777" w:rsidR="005D2595" w:rsidRPr="0067507D" w:rsidRDefault="005D2595" w:rsidP="00FC3AF2">
            <w:pPr>
              <w:pStyle w:val="Tabletext"/>
            </w:pPr>
            <w:r w:rsidRPr="0067507D">
              <w:t>Deputy Secretary</w:t>
            </w:r>
            <w:r w:rsidRPr="0067507D">
              <w:br/>
              <w:t>Infrastructure Division</w:t>
            </w:r>
          </w:p>
        </w:tc>
        <w:tc>
          <w:tcPr>
            <w:tcW w:w="1900" w:type="dxa"/>
            <w:noWrap/>
            <w:hideMark/>
          </w:tcPr>
          <w:p w14:paraId="062F75B7" w14:textId="77777777" w:rsidR="005D2595" w:rsidRPr="0067507D" w:rsidRDefault="005D2595" w:rsidP="00FC3AF2">
            <w:pPr>
              <w:pStyle w:val="Tabletext"/>
            </w:pPr>
            <w:r w:rsidRPr="0067507D">
              <w:t>Kate O’Sullivan</w:t>
            </w:r>
          </w:p>
        </w:tc>
        <w:tc>
          <w:tcPr>
            <w:tcW w:w="3230" w:type="dxa"/>
            <w:noWrap/>
          </w:tcPr>
          <w:p w14:paraId="65C3956A" w14:textId="77777777" w:rsidR="005D2595" w:rsidRPr="0067507D" w:rsidRDefault="005D2595" w:rsidP="00FC3AF2">
            <w:pPr>
              <w:pStyle w:val="Tabletext"/>
            </w:pPr>
            <w:r w:rsidRPr="0067507D">
              <w:t>1 July 2024 to 30 June 2025</w:t>
            </w:r>
          </w:p>
        </w:tc>
      </w:tr>
      <w:tr w:rsidR="005D2595" w:rsidRPr="0067507D" w14:paraId="4BADA43B" w14:textId="77777777" w:rsidTr="00165170">
        <w:trPr>
          <w:trHeight w:val="274"/>
        </w:trPr>
        <w:tc>
          <w:tcPr>
            <w:tcW w:w="3240" w:type="dxa"/>
            <w:noWrap/>
            <w:hideMark/>
          </w:tcPr>
          <w:p w14:paraId="33B21B13" w14:textId="77777777" w:rsidR="005D2595" w:rsidRPr="0067507D" w:rsidRDefault="005D2595" w:rsidP="00FC3AF2">
            <w:pPr>
              <w:pStyle w:val="Tabletext"/>
            </w:pPr>
            <w:r w:rsidRPr="0067507D">
              <w:t>Deputy Secretary</w:t>
            </w:r>
            <w:r w:rsidRPr="0067507D">
              <w:br/>
              <w:t>Industrial Relations Victoria</w:t>
            </w:r>
          </w:p>
        </w:tc>
        <w:tc>
          <w:tcPr>
            <w:tcW w:w="1900" w:type="dxa"/>
            <w:noWrap/>
            <w:hideMark/>
          </w:tcPr>
          <w:p w14:paraId="52C58929" w14:textId="77777777" w:rsidR="005D2595" w:rsidRPr="0067507D" w:rsidRDefault="005D2595" w:rsidP="00FC3AF2">
            <w:pPr>
              <w:pStyle w:val="Tabletext"/>
            </w:pPr>
            <w:r w:rsidRPr="0067507D">
              <w:t>Matthew O’Connor</w:t>
            </w:r>
          </w:p>
        </w:tc>
        <w:tc>
          <w:tcPr>
            <w:tcW w:w="3230" w:type="dxa"/>
            <w:noWrap/>
          </w:tcPr>
          <w:p w14:paraId="7F2BBAE3" w14:textId="77777777" w:rsidR="005D2595" w:rsidRPr="0067507D" w:rsidRDefault="005D2595" w:rsidP="00FC3AF2">
            <w:pPr>
              <w:pStyle w:val="Tabletext"/>
            </w:pPr>
            <w:r w:rsidRPr="0067507D">
              <w:t>1 July 2024 to 30 June 2025</w:t>
            </w:r>
          </w:p>
        </w:tc>
      </w:tr>
      <w:tr w:rsidR="005D2595" w:rsidRPr="0067507D" w14:paraId="23436318" w14:textId="77777777" w:rsidTr="00165170">
        <w:trPr>
          <w:trHeight w:val="274"/>
        </w:trPr>
        <w:tc>
          <w:tcPr>
            <w:tcW w:w="3240" w:type="dxa"/>
            <w:noWrap/>
            <w:hideMark/>
          </w:tcPr>
          <w:p w14:paraId="5F823862" w14:textId="77777777" w:rsidR="005D2595" w:rsidRPr="0067507D" w:rsidRDefault="005D2595" w:rsidP="00FC3AF2">
            <w:pPr>
              <w:pStyle w:val="Tabletext"/>
            </w:pPr>
            <w:r w:rsidRPr="0067507D">
              <w:t>General Counsel, Legal</w:t>
            </w:r>
          </w:p>
        </w:tc>
        <w:tc>
          <w:tcPr>
            <w:tcW w:w="1900" w:type="dxa"/>
            <w:noWrap/>
            <w:hideMark/>
          </w:tcPr>
          <w:p w14:paraId="21B9F659" w14:textId="77777777" w:rsidR="005D2595" w:rsidRPr="0067507D" w:rsidRDefault="005D2595" w:rsidP="00FC3AF2">
            <w:pPr>
              <w:pStyle w:val="Tabletext"/>
            </w:pPr>
            <w:r w:rsidRPr="0067507D">
              <w:t>Agata Bober</w:t>
            </w:r>
          </w:p>
        </w:tc>
        <w:tc>
          <w:tcPr>
            <w:tcW w:w="3230" w:type="dxa"/>
            <w:noWrap/>
          </w:tcPr>
          <w:p w14:paraId="762C79A3" w14:textId="77777777" w:rsidR="005D2595" w:rsidRPr="0067507D" w:rsidRDefault="005D2595" w:rsidP="00FC3AF2">
            <w:pPr>
              <w:pStyle w:val="Tabletext"/>
            </w:pPr>
            <w:r w:rsidRPr="0067507D">
              <w:t>1 July 2024 to 30 June 2025</w:t>
            </w:r>
          </w:p>
        </w:tc>
      </w:tr>
      <w:tr w:rsidR="005D2595" w:rsidRPr="0067507D" w14:paraId="4D7E071D" w14:textId="77777777" w:rsidTr="00165170">
        <w:trPr>
          <w:trHeight w:val="274"/>
        </w:trPr>
        <w:tc>
          <w:tcPr>
            <w:tcW w:w="3240" w:type="dxa"/>
            <w:noWrap/>
            <w:hideMark/>
          </w:tcPr>
          <w:p w14:paraId="6B3D5360" w14:textId="77777777" w:rsidR="005D2595" w:rsidRPr="0067507D" w:rsidRDefault="005D2595" w:rsidP="00FC3AF2">
            <w:pPr>
              <w:pStyle w:val="Tabletext"/>
            </w:pPr>
            <w:r w:rsidRPr="0067507D">
              <w:t>Commissioner</w:t>
            </w:r>
            <w:r w:rsidRPr="0067507D">
              <w:br/>
              <w:t>Economic Growth and Better Regulation</w:t>
            </w:r>
          </w:p>
        </w:tc>
        <w:tc>
          <w:tcPr>
            <w:tcW w:w="1900" w:type="dxa"/>
            <w:noWrap/>
            <w:hideMark/>
          </w:tcPr>
          <w:p w14:paraId="2AB48AE7" w14:textId="77777777" w:rsidR="005D2595" w:rsidRPr="0067507D" w:rsidRDefault="005D2595" w:rsidP="00FC3AF2">
            <w:pPr>
              <w:pStyle w:val="Tabletext"/>
            </w:pPr>
            <w:r w:rsidRPr="0067507D">
              <w:t>Cressida Wall</w:t>
            </w:r>
          </w:p>
        </w:tc>
        <w:tc>
          <w:tcPr>
            <w:tcW w:w="3230" w:type="dxa"/>
            <w:noWrap/>
          </w:tcPr>
          <w:p w14:paraId="6B4191AA" w14:textId="77777777" w:rsidR="005D2595" w:rsidRPr="0067507D" w:rsidRDefault="005D2595" w:rsidP="00FC3AF2">
            <w:pPr>
              <w:pStyle w:val="Tabletext"/>
            </w:pPr>
            <w:r w:rsidRPr="0067507D">
              <w:t>1 July 2024 to 4 February 2025</w:t>
            </w:r>
          </w:p>
        </w:tc>
      </w:tr>
      <w:tr w:rsidR="005D2595" w:rsidRPr="0067507D" w14:paraId="1557EBDC" w14:textId="77777777" w:rsidTr="00165170">
        <w:trPr>
          <w:trHeight w:val="274"/>
        </w:trPr>
        <w:tc>
          <w:tcPr>
            <w:tcW w:w="3240" w:type="dxa"/>
            <w:noWrap/>
            <w:hideMark/>
          </w:tcPr>
          <w:p w14:paraId="76E3D426" w14:textId="77777777" w:rsidR="005D2595" w:rsidRPr="0067507D" w:rsidRDefault="005D2595" w:rsidP="00FC3AF2">
            <w:pPr>
              <w:pStyle w:val="Tabletext"/>
            </w:pPr>
            <w:r w:rsidRPr="0067507D">
              <w:t>Commissioner</w:t>
            </w:r>
            <w:r w:rsidRPr="0067507D">
              <w:br/>
              <w:t>State Revenue Office</w:t>
            </w:r>
          </w:p>
        </w:tc>
        <w:tc>
          <w:tcPr>
            <w:tcW w:w="1900" w:type="dxa"/>
            <w:noWrap/>
            <w:hideMark/>
          </w:tcPr>
          <w:p w14:paraId="1D4EB63C" w14:textId="77777777" w:rsidR="005D2595" w:rsidRPr="0067507D" w:rsidRDefault="005D2595" w:rsidP="00FC3AF2">
            <w:pPr>
              <w:pStyle w:val="Tabletext"/>
            </w:pPr>
            <w:r w:rsidRPr="0067507D">
              <w:t>Paul Broderick</w:t>
            </w:r>
          </w:p>
        </w:tc>
        <w:tc>
          <w:tcPr>
            <w:tcW w:w="3230" w:type="dxa"/>
            <w:noWrap/>
          </w:tcPr>
          <w:p w14:paraId="6FB1DC28" w14:textId="77777777" w:rsidR="005D2595" w:rsidRPr="0067507D" w:rsidRDefault="005D2595" w:rsidP="00FC3AF2">
            <w:pPr>
              <w:pStyle w:val="Tabletext"/>
            </w:pPr>
            <w:r w:rsidRPr="0067507D">
              <w:t>1 July 2024 to 30 June 2025</w:t>
            </w:r>
          </w:p>
        </w:tc>
      </w:tr>
    </w:tbl>
    <w:p w14:paraId="69001E2D" w14:textId="77777777" w:rsidR="005D2595" w:rsidRPr="0067507D" w:rsidRDefault="005D2595" w:rsidP="005D2595">
      <w:pPr>
        <w:pStyle w:val="Spacer"/>
        <w:rPr>
          <w:rFonts w:eastAsia="Symbol"/>
        </w:rPr>
      </w:pPr>
    </w:p>
    <w:p w14:paraId="44929A96"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space="389"/>
          <w:noEndnote/>
        </w:sectPr>
      </w:pPr>
    </w:p>
    <w:p w14:paraId="47413818" w14:textId="1FCEF87D" w:rsidR="005D2595" w:rsidRPr="0067507D" w:rsidRDefault="005D2595" w:rsidP="005D2595">
      <w:pPr>
        <w:ind w:right="4925"/>
      </w:pPr>
      <w:r w:rsidRPr="0067507D">
        <w:t xml:space="preserve">The compensation detailed below excludes the salaries and benefits of the Portfolio Ministers. The Ministers' remuneration and allowances are set by the </w:t>
      </w:r>
      <w:r w:rsidRPr="0067507D">
        <w:rPr>
          <w:i/>
          <w:iCs/>
        </w:rPr>
        <w:t>Parliamentary Salaries and Superannuation Act 1968</w:t>
      </w:r>
      <w:r w:rsidRPr="0067507D">
        <w:t xml:space="preserve"> and are reported within the </w:t>
      </w:r>
      <w:r w:rsidRPr="0067507D">
        <w:rPr>
          <w:i/>
          <w:iCs/>
        </w:rPr>
        <w:t>2024</w:t>
      </w:r>
      <w:r w:rsidR="006A5485">
        <w:rPr>
          <w:i/>
          <w:iCs/>
        </w:rPr>
        <w:noBreakHyphen/>
      </w:r>
      <w:r w:rsidRPr="0067507D">
        <w:rPr>
          <w:i/>
          <w:iCs/>
        </w:rPr>
        <w:t>25 Financial Report for the State of Victoria</w:t>
      </w:r>
      <w:r w:rsidRPr="0067507D">
        <w:t>.</w:t>
      </w:r>
    </w:p>
    <w:tbl>
      <w:tblPr>
        <w:tblStyle w:val="AnnualReporttexttable"/>
        <w:tblW w:w="0" w:type="auto"/>
        <w:tblLayout w:type="fixed"/>
        <w:tblLook w:val="02A0" w:firstRow="1" w:lastRow="0" w:firstColumn="1" w:lastColumn="0" w:noHBand="1" w:noVBand="0"/>
      </w:tblPr>
      <w:tblGrid>
        <w:gridCol w:w="5216"/>
        <w:gridCol w:w="1170"/>
        <w:gridCol w:w="1170"/>
      </w:tblGrid>
      <w:tr w:rsidR="005D2595" w:rsidRPr="0067507D" w14:paraId="11AB14FC" w14:textId="77777777" w:rsidTr="00165170">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216" w:type="dxa"/>
          </w:tcPr>
          <w:p w14:paraId="2C11D520" w14:textId="77777777" w:rsidR="005D2595" w:rsidRPr="00165170" w:rsidRDefault="005D2595" w:rsidP="00FC3AF2">
            <w:pPr>
              <w:pStyle w:val="Tabletext"/>
              <w:rPr>
                <w:b w:val="0"/>
                <w:bCs/>
              </w:rPr>
            </w:pPr>
          </w:p>
        </w:tc>
        <w:tc>
          <w:tcPr>
            <w:cnfStyle w:val="000010000000" w:firstRow="0" w:lastRow="0" w:firstColumn="0" w:lastColumn="0" w:oddVBand="1" w:evenVBand="0" w:oddHBand="0" w:evenHBand="0" w:firstRowFirstColumn="0" w:firstRowLastColumn="0" w:lastRowFirstColumn="0" w:lastRowLastColumn="0"/>
            <w:tcW w:w="1170" w:type="dxa"/>
            <w:shd w:val="clear" w:color="auto" w:fill="auto"/>
          </w:tcPr>
          <w:p w14:paraId="4329EF63" w14:textId="77777777" w:rsidR="005D2595" w:rsidRPr="00165170" w:rsidRDefault="005D2595" w:rsidP="00FC3AF2">
            <w:pPr>
              <w:pStyle w:val="Tabletextheadingright"/>
              <w:rPr>
                <w:b w:val="0"/>
                <w:bCs/>
              </w:rPr>
            </w:pPr>
            <w:r w:rsidRPr="00165170">
              <w:rPr>
                <w:b w:val="0"/>
                <w:bCs/>
              </w:rPr>
              <w:t>2025</w:t>
            </w:r>
            <w:r w:rsidRPr="00165170">
              <w:rPr>
                <w:b w:val="0"/>
                <w:bCs/>
              </w:rPr>
              <w:br/>
              <w:t>$’000</w:t>
            </w:r>
          </w:p>
        </w:tc>
        <w:tc>
          <w:tcPr>
            <w:cnfStyle w:val="000001000000" w:firstRow="0" w:lastRow="0" w:firstColumn="0" w:lastColumn="0" w:oddVBand="0" w:evenVBand="1" w:oddHBand="0" w:evenHBand="0" w:firstRowFirstColumn="0" w:firstRowLastColumn="0" w:lastRowFirstColumn="0" w:lastRowLastColumn="0"/>
            <w:tcW w:w="1170" w:type="dxa"/>
            <w:shd w:val="clear" w:color="auto" w:fill="auto"/>
          </w:tcPr>
          <w:p w14:paraId="3AD17CBC" w14:textId="77777777" w:rsidR="005D2595" w:rsidRPr="00165170" w:rsidRDefault="005D2595" w:rsidP="00FC3AF2">
            <w:pPr>
              <w:pStyle w:val="Tabletextheadingright"/>
              <w:rPr>
                <w:b w:val="0"/>
                <w:bCs/>
              </w:rPr>
            </w:pPr>
            <w:r w:rsidRPr="00165170">
              <w:rPr>
                <w:b w:val="0"/>
                <w:bCs/>
              </w:rPr>
              <w:t>2024</w:t>
            </w:r>
            <w:r w:rsidRPr="00165170">
              <w:rPr>
                <w:b w:val="0"/>
                <w:bCs/>
              </w:rPr>
              <w:br/>
              <w:t>$’000</w:t>
            </w:r>
          </w:p>
        </w:tc>
      </w:tr>
      <w:tr w:rsidR="005D2595" w:rsidRPr="0067507D" w14:paraId="7B0D0A29" w14:textId="77777777" w:rsidTr="00165170">
        <w:trPr>
          <w:trHeight w:val="253"/>
        </w:trPr>
        <w:tc>
          <w:tcPr>
            <w:cnfStyle w:val="001000000000" w:firstRow="0" w:lastRow="0" w:firstColumn="1" w:lastColumn="0" w:oddVBand="0" w:evenVBand="0" w:oddHBand="0" w:evenHBand="0" w:firstRowFirstColumn="0" w:firstRowLastColumn="0" w:lastRowFirstColumn="0" w:lastRowLastColumn="0"/>
            <w:tcW w:w="5216" w:type="dxa"/>
          </w:tcPr>
          <w:p w14:paraId="6B50D578" w14:textId="77777777" w:rsidR="005D2595" w:rsidRPr="0067507D" w:rsidRDefault="005D2595" w:rsidP="009107BA">
            <w:pPr>
              <w:pStyle w:val="Tabletextbold"/>
              <w:rPr>
                <w:rFonts w:ascii="VIC SemiBold" w:hAnsi="VIC SemiBold"/>
              </w:rPr>
            </w:pPr>
            <w:r w:rsidRPr="0067507D">
              <w:t xml:space="preserve">Remuneration of key management personnel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170" w:type="dxa"/>
          </w:tcPr>
          <w:p w14:paraId="171A5934" w14:textId="77777777" w:rsidR="005D2595" w:rsidRPr="0067507D" w:rsidRDefault="005D2595" w:rsidP="00FC3AF2">
            <w:pPr>
              <w:pStyle w:val="Tabletextright"/>
              <w:rPr>
                <w:rFonts w:ascii="VIC SemiBold" w:hAnsi="VIC SemiBold"/>
              </w:rPr>
            </w:pPr>
          </w:p>
        </w:tc>
        <w:tc>
          <w:tcPr>
            <w:cnfStyle w:val="000001000000" w:firstRow="0" w:lastRow="0" w:firstColumn="0" w:lastColumn="0" w:oddVBand="0" w:evenVBand="1" w:oddHBand="0" w:evenHBand="0" w:firstRowFirstColumn="0" w:firstRowLastColumn="0" w:lastRowFirstColumn="0" w:lastRowLastColumn="0"/>
            <w:tcW w:w="1170" w:type="dxa"/>
          </w:tcPr>
          <w:p w14:paraId="68DCD610" w14:textId="77777777" w:rsidR="005D2595" w:rsidRPr="0067507D" w:rsidRDefault="005D2595" w:rsidP="00FC3AF2">
            <w:pPr>
              <w:pStyle w:val="Tabletextright"/>
              <w:rPr>
                <w:rFonts w:ascii="VIC SemiBold" w:hAnsi="VIC SemiBold"/>
              </w:rPr>
            </w:pPr>
          </w:p>
        </w:tc>
      </w:tr>
      <w:tr w:rsidR="005D2595" w:rsidRPr="0067507D" w14:paraId="41907D8D" w14:textId="77777777" w:rsidTr="00165170">
        <w:trPr>
          <w:trHeight w:val="253"/>
        </w:trPr>
        <w:tc>
          <w:tcPr>
            <w:cnfStyle w:val="001000000000" w:firstRow="0" w:lastRow="0" w:firstColumn="1" w:lastColumn="0" w:oddVBand="0" w:evenVBand="0" w:oddHBand="0" w:evenHBand="0" w:firstRowFirstColumn="0" w:firstRowLastColumn="0" w:lastRowFirstColumn="0" w:lastRowLastColumn="0"/>
            <w:tcW w:w="5216" w:type="dxa"/>
          </w:tcPr>
          <w:p w14:paraId="3E4BCBBE" w14:textId="72383996" w:rsidR="005D2595" w:rsidRPr="0067507D" w:rsidRDefault="005D2595" w:rsidP="00FC3AF2">
            <w:pPr>
              <w:pStyle w:val="Tabletext"/>
              <w:rPr>
                <w:color w:val="auto"/>
              </w:rPr>
            </w:pPr>
            <w:r w:rsidRPr="0067507D">
              <w:t>Short</w:t>
            </w:r>
            <w:r w:rsidR="006A5485">
              <w:noBreakHyphen/>
            </w:r>
            <w:r w:rsidRPr="0067507D">
              <w:t>term employee benefits</w:t>
            </w:r>
          </w:p>
        </w:tc>
        <w:tc>
          <w:tcPr>
            <w:cnfStyle w:val="000010000000" w:firstRow="0" w:lastRow="0" w:firstColumn="0" w:lastColumn="0" w:oddVBand="1" w:evenVBand="0" w:oddHBand="0" w:evenHBand="0" w:firstRowFirstColumn="0" w:firstRowLastColumn="0" w:lastRowFirstColumn="0" w:lastRowLastColumn="0"/>
            <w:tcW w:w="1170" w:type="dxa"/>
          </w:tcPr>
          <w:p w14:paraId="7CD413CF" w14:textId="77777777" w:rsidR="005D2595" w:rsidRPr="0067507D" w:rsidRDefault="005D2595" w:rsidP="00FC3AF2">
            <w:pPr>
              <w:pStyle w:val="Tabletextright"/>
            </w:pPr>
            <w:r w:rsidRPr="0067507D">
              <w:t xml:space="preserve">3 753 </w:t>
            </w:r>
          </w:p>
        </w:tc>
        <w:tc>
          <w:tcPr>
            <w:cnfStyle w:val="000001000000" w:firstRow="0" w:lastRow="0" w:firstColumn="0" w:lastColumn="0" w:oddVBand="0" w:evenVBand="1" w:oddHBand="0" w:evenHBand="0" w:firstRowFirstColumn="0" w:firstRowLastColumn="0" w:lastRowFirstColumn="0" w:lastRowLastColumn="0"/>
            <w:tcW w:w="1170" w:type="dxa"/>
          </w:tcPr>
          <w:p w14:paraId="6F08D998" w14:textId="77777777" w:rsidR="005D2595" w:rsidRPr="0067507D" w:rsidRDefault="005D2595" w:rsidP="00FC3AF2">
            <w:pPr>
              <w:pStyle w:val="Tabletextright"/>
            </w:pPr>
            <w:r w:rsidRPr="0067507D">
              <w:t xml:space="preserve">3 518 </w:t>
            </w:r>
          </w:p>
        </w:tc>
      </w:tr>
      <w:tr w:rsidR="005D2595" w:rsidRPr="0067507D" w14:paraId="12452B20" w14:textId="77777777" w:rsidTr="00165170">
        <w:trPr>
          <w:trHeight w:val="266"/>
        </w:trPr>
        <w:tc>
          <w:tcPr>
            <w:cnfStyle w:val="001000000000" w:firstRow="0" w:lastRow="0" w:firstColumn="1" w:lastColumn="0" w:oddVBand="0" w:evenVBand="0" w:oddHBand="0" w:evenHBand="0" w:firstRowFirstColumn="0" w:firstRowLastColumn="0" w:lastRowFirstColumn="0" w:lastRowLastColumn="0"/>
            <w:tcW w:w="5216" w:type="dxa"/>
          </w:tcPr>
          <w:p w14:paraId="5F2D6243" w14:textId="705848E4" w:rsidR="005D2595" w:rsidRPr="0067507D" w:rsidRDefault="005D2595" w:rsidP="00FC3AF2">
            <w:pPr>
              <w:pStyle w:val="Tabletext"/>
              <w:rPr>
                <w:color w:val="auto"/>
              </w:rPr>
            </w:pPr>
            <w:r w:rsidRPr="0067507D">
              <w:t>Post</w:t>
            </w:r>
            <w:r w:rsidR="006A5485">
              <w:noBreakHyphen/>
            </w:r>
            <w:r w:rsidRPr="0067507D">
              <w:t>employment benefits</w:t>
            </w:r>
          </w:p>
        </w:tc>
        <w:tc>
          <w:tcPr>
            <w:cnfStyle w:val="000010000000" w:firstRow="0" w:lastRow="0" w:firstColumn="0" w:lastColumn="0" w:oddVBand="1" w:evenVBand="0" w:oddHBand="0" w:evenHBand="0" w:firstRowFirstColumn="0" w:firstRowLastColumn="0" w:lastRowFirstColumn="0" w:lastRowLastColumn="0"/>
            <w:tcW w:w="1170" w:type="dxa"/>
          </w:tcPr>
          <w:p w14:paraId="6B1F8E96" w14:textId="77777777" w:rsidR="005D2595" w:rsidRPr="0067507D" w:rsidRDefault="005D2595" w:rsidP="00FC3AF2">
            <w:pPr>
              <w:pStyle w:val="Tabletextright"/>
            </w:pPr>
            <w:r w:rsidRPr="0067507D">
              <w:t xml:space="preserve"> 259 </w:t>
            </w:r>
          </w:p>
        </w:tc>
        <w:tc>
          <w:tcPr>
            <w:cnfStyle w:val="000001000000" w:firstRow="0" w:lastRow="0" w:firstColumn="0" w:lastColumn="0" w:oddVBand="0" w:evenVBand="1" w:oddHBand="0" w:evenHBand="0" w:firstRowFirstColumn="0" w:firstRowLastColumn="0" w:lastRowFirstColumn="0" w:lastRowLastColumn="0"/>
            <w:tcW w:w="1170" w:type="dxa"/>
          </w:tcPr>
          <w:p w14:paraId="34AE0010" w14:textId="77777777" w:rsidR="005D2595" w:rsidRPr="0067507D" w:rsidRDefault="005D2595" w:rsidP="00FC3AF2">
            <w:pPr>
              <w:pStyle w:val="Tabletextright"/>
            </w:pPr>
            <w:r w:rsidRPr="0067507D">
              <w:t xml:space="preserve"> 218 </w:t>
            </w:r>
          </w:p>
        </w:tc>
      </w:tr>
      <w:tr w:rsidR="005D2595" w:rsidRPr="0067507D" w14:paraId="3FB30AED" w14:textId="77777777" w:rsidTr="00165170">
        <w:trPr>
          <w:trHeight w:val="253"/>
        </w:trPr>
        <w:tc>
          <w:tcPr>
            <w:cnfStyle w:val="001000000000" w:firstRow="0" w:lastRow="0" w:firstColumn="1" w:lastColumn="0" w:oddVBand="0" w:evenVBand="0" w:oddHBand="0" w:evenHBand="0" w:firstRowFirstColumn="0" w:firstRowLastColumn="0" w:lastRowFirstColumn="0" w:lastRowLastColumn="0"/>
            <w:tcW w:w="5216" w:type="dxa"/>
          </w:tcPr>
          <w:p w14:paraId="02941EC7" w14:textId="14E0391B" w:rsidR="005D2595" w:rsidRPr="0067507D" w:rsidRDefault="005D2595" w:rsidP="00FC3AF2">
            <w:pPr>
              <w:pStyle w:val="Tabletext"/>
              <w:rPr>
                <w:color w:val="auto"/>
              </w:rPr>
            </w:pPr>
            <w:r w:rsidRPr="0067507D">
              <w:t>Other long</w:t>
            </w:r>
            <w:r w:rsidR="006A5485">
              <w:noBreakHyphen/>
            </w:r>
            <w:r w:rsidRPr="0067507D">
              <w:t>term benefits</w:t>
            </w:r>
          </w:p>
        </w:tc>
        <w:tc>
          <w:tcPr>
            <w:cnfStyle w:val="000010000000" w:firstRow="0" w:lastRow="0" w:firstColumn="0" w:lastColumn="0" w:oddVBand="1" w:evenVBand="0" w:oddHBand="0" w:evenHBand="0" w:firstRowFirstColumn="0" w:firstRowLastColumn="0" w:lastRowFirstColumn="0" w:lastRowLastColumn="0"/>
            <w:tcW w:w="1170" w:type="dxa"/>
          </w:tcPr>
          <w:p w14:paraId="076D7BF5" w14:textId="77777777" w:rsidR="005D2595" w:rsidRPr="0067507D" w:rsidRDefault="005D2595" w:rsidP="00FC3AF2">
            <w:pPr>
              <w:pStyle w:val="Tabletextright"/>
            </w:pPr>
            <w:r w:rsidRPr="0067507D">
              <w:t xml:space="preserve"> 144 </w:t>
            </w:r>
          </w:p>
        </w:tc>
        <w:tc>
          <w:tcPr>
            <w:cnfStyle w:val="000001000000" w:firstRow="0" w:lastRow="0" w:firstColumn="0" w:lastColumn="0" w:oddVBand="0" w:evenVBand="1" w:oddHBand="0" w:evenHBand="0" w:firstRowFirstColumn="0" w:firstRowLastColumn="0" w:lastRowFirstColumn="0" w:lastRowLastColumn="0"/>
            <w:tcW w:w="1170" w:type="dxa"/>
          </w:tcPr>
          <w:p w14:paraId="0E391A4F" w14:textId="77777777" w:rsidR="005D2595" w:rsidRPr="0067507D" w:rsidRDefault="005D2595" w:rsidP="00FC3AF2">
            <w:pPr>
              <w:pStyle w:val="Tabletextright"/>
            </w:pPr>
            <w:r w:rsidRPr="0067507D">
              <w:t xml:space="preserve"> 261 </w:t>
            </w:r>
          </w:p>
        </w:tc>
      </w:tr>
      <w:tr w:rsidR="005D2595" w:rsidRPr="0067507D" w14:paraId="4B424049" w14:textId="77777777" w:rsidTr="00165170">
        <w:trPr>
          <w:trHeight w:val="253"/>
        </w:trPr>
        <w:tc>
          <w:tcPr>
            <w:cnfStyle w:val="001000000000" w:firstRow="0" w:lastRow="0" w:firstColumn="1" w:lastColumn="0" w:oddVBand="0" w:evenVBand="0" w:oddHBand="0" w:evenHBand="0" w:firstRowFirstColumn="0" w:firstRowLastColumn="0" w:lastRowFirstColumn="0" w:lastRowLastColumn="0"/>
            <w:tcW w:w="5216" w:type="dxa"/>
          </w:tcPr>
          <w:p w14:paraId="52B70691" w14:textId="77777777" w:rsidR="005D2595" w:rsidRPr="0067507D" w:rsidRDefault="005D2595" w:rsidP="00FC3AF2">
            <w:pPr>
              <w:pStyle w:val="Tabletext"/>
              <w:rPr>
                <w:color w:val="auto"/>
              </w:rPr>
            </w:pPr>
            <w:r w:rsidRPr="0067507D">
              <w:t xml:space="preserve">Termination benefits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1170" w:type="dxa"/>
          </w:tcPr>
          <w:p w14:paraId="5283D060" w14:textId="77777777" w:rsidR="005D2595" w:rsidRPr="0067507D" w:rsidRDefault="005D2595" w:rsidP="00FC3AF2">
            <w:pPr>
              <w:pStyle w:val="Tabletextright"/>
            </w:pPr>
            <w:r w:rsidRPr="0067507D">
              <w:t xml:space="preserve"> 252 </w:t>
            </w:r>
          </w:p>
        </w:tc>
        <w:tc>
          <w:tcPr>
            <w:cnfStyle w:val="000001000000" w:firstRow="0" w:lastRow="0" w:firstColumn="0" w:lastColumn="0" w:oddVBand="0" w:evenVBand="1" w:oddHBand="0" w:evenHBand="0" w:firstRowFirstColumn="0" w:firstRowLastColumn="0" w:lastRowFirstColumn="0" w:lastRowLastColumn="0"/>
            <w:tcW w:w="1170" w:type="dxa"/>
          </w:tcPr>
          <w:p w14:paraId="25DDDBB4" w14:textId="77777777" w:rsidR="005D2595" w:rsidRPr="0067507D" w:rsidRDefault="005D2595" w:rsidP="00FC3AF2">
            <w:pPr>
              <w:pStyle w:val="Tabletextright"/>
            </w:pPr>
            <w:r w:rsidRPr="0067507D">
              <w:t xml:space="preserve">– </w:t>
            </w:r>
          </w:p>
        </w:tc>
      </w:tr>
      <w:tr w:rsidR="005D2595" w:rsidRPr="0067507D" w14:paraId="794F23B5" w14:textId="77777777" w:rsidTr="00165170">
        <w:trPr>
          <w:trHeight w:val="253"/>
        </w:trPr>
        <w:tc>
          <w:tcPr>
            <w:cnfStyle w:val="001000000000" w:firstRow="0" w:lastRow="0" w:firstColumn="1" w:lastColumn="0" w:oddVBand="0" w:evenVBand="0" w:oddHBand="0" w:evenHBand="0" w:firstRowFirstColumn="0" w:firstRowLastColumn="0" w:lastRowFirstColumn="0" w:lastRowLastColumn="0"/>
            <w:tcW w:w="5216" w:type="dxa"/>
          </w:tcPr>
          <w:p w14:paraId="47A91DB1" w14:textId="77777777" w:rsidR="005D2595" w:rsidRPr="0067507D" w:rsidRDefault="005D2595" w:rsidP="00FC3AF2">
            <w:pPr>
              <w:pStyle w:val="Tabletextbold"/>
            </w:pPr>
            <w:r w:rsidRPr="0067507D">
              <w:t xml:space="preserve">Total remuneration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1170" w:type="dxa"/>
          </w:tcPr>
          <w:p w14:paraId="3DE4DBBA" w14:textId="77777777" w:rsidR="005D2595" w:rsidRPr="0067507D" w:rsidRDefault="005D2595" w:rsidP="00FC3AF2">
            <w:pPr>
              <w:pStyle w:val="Tabletextrightbold"/>
            </w:pPr>
            <w:r w:rsidRPr="0067507D">
              <w:t xml:space="preserve">4 408 </w:t>
            </w:r>
          </w:p>
        </w:tc>
        <w:tc>
          <w:tcPr>
            <w:cnfStyle w:val="000001000000" w:firstRow="0" w:lastRow="0" w:firstColumn="0" w:lastColumn="0" w:oddVBand="0" w:evenVBand="1" w:oddHBand="0" w:evenHBand="0" w:firstRowFirstColumn="0" w:firstRowLastColumn="0" w:lastRowFirstColumn="0" w:lastRowLastColumn="0"/>
            <w:tcW w:w="1170" w:type="dxa"/>
          </w:tcPr>
          <w:p w14:paraId="0FCE52E7" w14:textId="77777777" w:rsidR="005D2595" w:rsidRPr="0067507D" w:rsidRDefault="005D2595" w:rsidP="00FC3AF2">
            <w:pPr>
              <w:pStyle w:val="Tabletextrightbold"/>
            </w:pPr>
            <w:r w:rsidRPr="0067507D">
              <w:t xml:space="preserve">3 997 </w:t>
            </w:r>
          </w:p>
        </w:tc>
      </w:tr>
    </w:tbl>
    <w:p w14:paraId="6C19D501" w14:textId="77777777" w:rsidR="005D2595" w:rsidRPr="0067507D" w:rsidRDefault="005D2595" w:rsidP="005D2595">
      <w:pPr>
        <w:pStyle w:val="Notes"/>
      </w:pPr>
      <w:r w:rsidRPr="0067507D">
        <w:t>Notes:</w:t>
      </w:r>
    </w:p>
    <w:p w14:paraId="360D8A1D" w14:textId="77777777" w:rsidR="005D2595" w:rsidRPr="0067507D" w:rsidRDefault="005D2595" w:rsidP="005D2595">
      <w:pPr>
        <w:pStyle w:val="Notes"/>
        <w:contextualSpacing/>
      </w:pPr>
      <w:r w:rsidRPr="0067507D">
        <w:t>(a) Key management personnel, excluding the Ministers and Accountable Officer, that also meet the definition of executive officers under FRD21 are also included in note 9.3.</w:t>
      </w:r>
    </w:p>
    <w:p w14:paraId="40785307" w14:textId="77777777" w:rsidR="005D2595" w:rsidRPr="0067507D" w:rsidRDefault="005D2595" w:rsidP="005D2595">
      <w:pPr>
        <w:pStyle w:val="Notes"/>
        <w:contextualSpacing/>
      </w:pPr>
      <w:r w:rsidRPr="0067507D">
        <w:t>(b) 2024 figure has been adjusted to remove $0.07 million of long service leave paid on termination which had been incorrectly included in termination benefits.</w:t>
      </w:r>
      <w:r w:rsidRPr="0067507D">
        <w:tab/>
      </w:r>
    </w:p>
    <w:p w14:paraId="6315FADF" w14:textId="77777777" w:rsidR="005D2595" w:rsidRPr="0067507D" w:rsidRDefault="005D2595" w:rsidP="005D2595">
      <w:pPr>
        <w:sectPr w:rsidR="005D2595" w:rsidRPr="0067507D" w:rsidSect="005D2595">
          <w:headerReference w:type="even" r:id="rId143"/>
          <w:type w:val="continuous"/>
          <w:pgSz w:w="11909" w:h="16834" w:code="9"/>
          <w:pgMar w:top="1728" w:right="1152" w:bottom="1152" w:left="1152" w:header="720" w:footer="288" w:gutter="0"/>
          <w:cols w:space="569"/>
          <w:noEndnote/>
        </w:sectPr>
      </w:pPr>
    </w:p>
    <w:p w14:paraId="5D463A37" w14:textId="77777777" w:rsidR="005D2595" w:rsidRPr="0067507D" w:rsidRDefault="005D2595" w:rsidP="005D2595">
      <w:pPr>
        <w:pStyle w:val="Heading4"/>
      </w:pPr>
      <w:r w:rsidRPr="0067507D">
        <w:lastRenderedPageBreak/>
        <w:t>Transactions and balances with key management personnel and other related parties</w:t>
      </w:r>
    </w:p>
    <w:p w14:paraId="6A343DD3" w14:textId="77777777" w:rsidR="005D2595" w:rsidRPr="0067507D" w:rsidRDefault="005D2595" w:rsidP="005D2595">
      <w:r w:rsidRPr="0067507D">
        <w:t xml:space="preserve">Given the breadth and depth of State Government activities, related parties transact with the Victorian public sector in a manner consistent with other members of the public e.g. stamp duty and other government fees and charges. Further employment of processes within the Victorian public sector occur on terms and conditions consistent with the </w:t>
      </w:r>
      <w:r w:rsidRPr="0067507D">
        <w:rPr>
          <w:i/>
          <w:iCs/>
        </w:rPr>
        <w:t>Public Administration Act 2004</w:t>
      </w:r>
      <w:r w:rsidRPr="0067507D">
        <w:t xml:space="preserve"> and Codes of Conduct and Standards issued by the Victorian Public Sector Commission. Procurement processes occur on terms and conditions consistent with the Victorian Government Purchasing Board requirements.</w:t>
      </w:r>
    </w:p>
    <w:p w14:paraId="7134AC6E" w14:textId="73BB34DC" w:rsidR="005D2595" w:rsidRPr="0067507D" w:rsidRDefault="005D2595" w:rsidP="005D2595">
      <w:r w:rsidRPr="0067507D">
        <w:t xml:space="preserve">Outside of normal citizen type transactions with the Department, there were no related party transactions </w:t>
      </w:r>
      <w:r w:rsidR="00E63C38" w:rsidRPr="0067507D">
        <w:t>t</w:t>
      </w:r>
      <w:r w:rsidRPr="0067507D">
        <w:t>hat involved key management personnel, their close family members and their personal business interests. No provision has been required, nor any expense recognised, for impairment of receivables from related parties.</w:t>
      </w:r>
    </w:p>
    <w:p w14:paraId="0CC7DD91" w14:textId="77777777" w:rsidR="005D2595" w:rsidRPr="0067507D" w:rsidRDefault="005D2595" w:rsidP="005D2595">
      <w:r w:rsidRPr="0067507D">
        <w:t>The Department receives income from government such as the appropriations shown in note 2.2, and income from government related entities such as the grant income shown in note 2.5. The Department pays government related entities grants as shown in note 3.3, and for some of the accommodation and property services, information and communication technology services, and other operating expenses as shown in note 3.4.</w:t>
      </w:r>
    </w:p>
    <w:p w14:paraId="6A8BC2D7" w14:textId="77777777" w:rsidR="005D2595" w:rsidRPr="0067507D" w:rsidRDefault="005D2595" w:rsidP="005D2595">
      <w:pPr>
        <w:sectPr w:rsidR="005D2595" w:rsidRPr="0067507D" w:rsidSect="005D2595">
          <w:type w:val="continuous"/>
          <w:pgSz w:w="11909" w:h="16834" w:code="9"/>
          <w:pgMar w:top="1728" w:right="1152" w:bottom="1152" w:left="1152" w:header="720" w:footer="288" w:gutter="0"/>
          <w:cols w:num="2" w:space="569"/>
          <w:noEndnote/>
        </w:sectPr>
      </w:pPr>
    </w:p>
    <w:p w14:paraId="0EBE90AB" w14:textId="77777777" w:rsidR="005D2595" w:rsidRPr="0067507D" w:rsidRDefault="005D2595" w:rsidP="000D5F54">
      <w:pPr>
        <w:pStyle w:val="Heading2numbered"/>
      </w:pPr>
      <w:bookmarkStart w:id="178" w:name="_Toc495304311"/>
      <w:bookmarkStart w:id="179" w:name="_Toc147229874"/>
      <w:bookmarkStart w:id="180" w:name="_Toc210214029"/>
      <w:bookmarkStart w:id="181" w:name="_Toc210213976"/>
      <w:r w:rsidRPr="0067507D">
        <w:t>Remuneration of auditors</w:t>
      </w:r>
      <w:bookmarkEnd w:id="178"/>
      <w:bookmarkEnd w:id="179"/>
      <w:bookmarkEnd w:id="180"/>
      <w:bookmarkEnd w:id="181"/>
    </w:p>
    <w:tbl>
      <w:tblPr>
        <w:tblStyle w:val="AnnualReporttexttable"/>
        <w:tblW w:w="0" w:type="auto"/>
        <w:tblLayout w:type="fixed"/>
        <w:tblLook w:val="00A0" w:firstRow="1" w:lastRow="0" w:firstColumn="1" w:lastColumn="0" w:noHBand="0" w:noVBand="0"/>
      </w:tblPr>
      <w:tblGrid>
        <w:gridCol w:w="5238"/>
        <w:gridCol w:w="1125"/>
        <w:gridCol w:w="1125"/>
      </w:tblGrid>
      <w:tr w:rsidR="005D2595" w:rsidRPr="0067507D" w14:paraId="1D07ED84" w14:textId="77777777" w:rsidTr="00FC3A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8" w:type="dxa"/>
          </w:tcPr>
          <w:p w14:paraId="3FC0AC70" w14:textId="77777777" w:rsidR="005D2595" w:rsidRPr="0067507D" w:rsidRDefault="005D2595" w:rsidP="00FC3AF2">
            <w:pPr>
              <w:pStyle w:val="Tabletext"/>
              <w:rPr>
                <w:b w:val="0"/>
                <w:bCs/>
              </w:rPr>
            </w:pPr>
          </w:p>
        </w:tc>
        <w:tc>
          <w:tcPr>
            <w:cnfStyle w:val="000010000000" w:firstRow="0" w:lastRow="0" w:firstColumn="0" w:lastColumn="0" w:oddVBand="1" w:evenVBand="0" w:oddHBand="0" w:evenHBand="0" w:firstRowFirstColumn="0" w:firstRowLastColumn="0" w:lastRowFirstColumn="0" w:lastRowLastColumn="0"/>
            <w:tcW w:w="1125" w:type="dxa"/>
            <w:shd w:val="clear" w:color="auto" w:fill="auto"/>
          </w:tcPr>
          <w:p w14:paraId="5DA426FE" w14:textId="77777777" w:rsidR="005D2595" w:rsidRPr="0067507D" w:rsidRDefault="005D2595" w:rsidP="00FC3AF2">
            <w:pPr>
              <w:pStyle w:val="Tabletextheadingright"/>
              <w:rPr>
                <w:b w:val="0"/>
                <w:bCs/>
              </w:rPr>
            </w:pPr>
            <w:r w:rsidRPr="0067507D">
              <w:rPr>
                <w:b w:val="0"/>
                <w:bCs/>
              </w:rPr>
              <w:t>2025</w:t>
            </w:r>
            <w:r w:rsidRPr="0067507D">
              <w:rPr>
                <w:b w:val="0"/>
                <w:bCs/>
              </w:rPr>
              <w:br/>
              <w:t>$’000</w:t>
            </w:r>
          </w:p>
        </w:tc>
        <w:tc>
          <w:tcPr>
            <w:cnfStyle w:val="000001000000" w:firstRow="0" w:lastRow="0" w:firstColumn="0" w:lastColumn="0" w:oddVBand="0" w:evenVBand="1" w:oddHBand="0" w:evenHBand="0" w:firstRowFirstColumn="0" w:firstRowLastColumn="0" w:lastRowFirstColumn="0" w:lastRowLastColumn="0"/>
            <w:tcW w:w="1125" w:type="dxa"/>
          </w:tcPr>
          <w:p w14:paraId="7D78C419" w14:textId="77777777" w:rsidR="005D2595" w:rsidRPr="0067507D" w:rsidRDefault="005D2595" w:rsidP="00FC3AF2">
            <w:pPr>
              <w:pStyle w:val="Tabletextheadingright"/>
              <w:rPr>
                <w:b w:val="0"/>
                <w:bCs/>
              </w:rPr>
            </w:pPr>
            <w:r w:rsidRPr="0067507D">
              <w:rPr>
                <w:b w:val="0"/>
                <w:bCs/>
              </w:rPr>
              <w:t>2024</w:t>
            </w:r>
            <w:r w:rsidRPr="0067507D">
              <w:rPr>
                <w:b w:val="0"/>
                <w:bCs/>
              </w:rPr>
              <w:br/>
              <w:t>$’000</w:t>
            </w:r>
          </w:p>
        </w:tc>
      </w:tr>
      <w:tr w:rsidR="005D2595" w:rsidRPr="0067507D" w14:paraId="748C2549" w14:textId="77777777" w:rsidTr="00FC3AF2">
        <w:tc>
          <w:tcPr>
            <w:cnfStyle w:val="001000000000" w:firstRow="0" w:lastRow="0" w:firstColumn="1" w:lastColumn="0" w:oddVBand="0" w:evenVBand="0" w:oddHBand="0" w:evenHBand="0" w:firstRowFirstColumn="0" w:firstRowLastColumn="0" w:lastRowFirstColumn="0" w:lastRowLastColumn="0"/>
            <w:tcW w:w="5238" w:type="dxa"/>
          </w:tcPr>
          <w:p w14:paraId="542FB34C" w14:textId="639FEF8F" w:rsidR="005D2595" w:rsidRPr="0067507D" w:rsidRDefault="005D2595" w:rsidP="00FC3AF2">
            <w:pPr>
              <w:pStyle w:val="Tabletextbold"/>
            </w:pPr>
            <w:r w:rsidRPr="0067507D">
              <w:t>Victorian Auditor</w:t>
            </w:r>
            <w:r w:rsidR="006A5485">
              <w:noBreakHyphen/>
            </w:r>
            <w:r w:rsidRPr="0067507D">
              <w:t>General's Office</w:t>
            </w:r>
          </w:p>
        </w:tc>
        <w:tc>
          <w:tcPr>
            <w:cnfStyle w:val="000010000000" w:firstRow="0" w:lastRow="0" w:firstColumn="0" w:lastColumn="0" w:oddVBand="1" w:evenVBand="0" w:oddHBand="0" w:evenHBand="0" w:firstRowFirstColumn="0" w:firstRowLastColumn="0" w:lastRowFirstColumn="0" w:lastRowLastColumn="0"/>
            <w:tcW w:w="1125" w:type="dxa"/>
          </w:tcPr>
          <w:p w14:paraId="44FE5C5A" w14:textId="77777777" w:rsidR="005D2595" w:rsidRPr="0067507D" w:rsidRDefault="005D2595" w:rsidP="00FC3AF2">
            <w:pPr>
              <w:pStyle w:val="Tabletextright"/>
            </w:pPr>
          </w:p>
        </w:tc>
        <w:tc>
          <w:tcPr>
            <w:cnfStyle w:val="000001000000" w:firstRow="0" w:lastRow="0" w:firstColumn="0" w:lastColumn="0" w:oddVBand="0" w:evenVBand="1" w:oddHBand="0" w:evenHBand="0" w:firstRowFirstColumn="0" w:firstRowLastColumn="0" w:lastRowFirstColumn="0" w:lastRowLastColumn="0"/>
            <w:tcW w:w="1125" w:type="dxa"/>
          </w:tcPr>
          <w:p w14:paraId="6D29B831" w14:textId="77777777" w:rsidR="005D2595" w:rsidRPr="0067507D" w:rsidRDefault="005D2595" w:rsidP="00FC3AF2">
            <w:pPr>
              <w:pStyle w:val="Tabletextright"/>
            </w:pPr>
          </w:p>
        </w:tc>
      </w:tr>
      <w:tr w:rsidR="005D2595" w:rsidRPr="0067507D" w14:paraId="012602A5" w14:textId="77777777" w:rsidTr="00FC3AF2">
        <w:tc>
          <w:tcPr>
            <w:cnfStyle w:val="001000000000" w:firstRow="0" w:lastRow="0" w:firstColumn="1" w:lastColumn="0" w:oddVBand="0" w:evenVBand="0" w:oddHBand="0" w:evenHBand="0" w:firstRowFirstColumn="0" w:firstRowLastColumn="0" w:lastRowFirstColumn="0" w:lastRowLastColumn="0"/>
            <w:tcW w:w="5238" w:type="dxa"/>
          </w:tcPr>
          <w:p w14:paraId="3F7F5A87" w14:textId="77777777" w:rsidR="005D2595" w:rsidRPr="0067507D" w:rsidRDefault="005D2595" w:rsidP="00FC3AF2">
            <w:pPr>
              <w:pStyle w:val="Tabletext"/>
            </w:pPr>
            <w:r w:rsidRPr="0067507D">
              <w:t xml:space="preserve">Audit of annual financial statements of the Department </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125" w:type="dxa"/>
          </w:tcPr>
          <w:p w14:paraId="13C0D45F" w14:textId="77777777" w:rsidR="005D2595" w:rsidRPr="0067507D" w:rsidRDefault="005D2595" w:rsidP="00FC3AF2">
            <w:pPr>
              <w:pStyle w:val="Tabletextright"/>
            </w:pPr>
            <w:r w:rsidRPr="0067507D">
              <w:t xml:space="preserve"> 375 </w:t>
            </w:r>
          </w:p>
        </w:tc>
        <w:tc>
          <w:tcPr>
            <w:cnfStyle w:val="000001000000" w:firstRow="0" w:lastRow="0" w:firstColumn="0" w:lastColumn="0" w:oddVBand="0" w:evenVBand="1" w:oddHBand="0" w:evenHBand="0" w:firstRowFirstColumn="0" w:firstRowLastColumn="0" w:lastRowFirstColumn="0" w:lastRowLastColumn="0"/>
            <w:tcW w:w="1125" w:type="dxa"/>
          </w:tcPr>
          <w:p w14:paraId="67A0067E" w14:textId="77777777" w:rsidR="005D2595" w:rsidRPr="0067507D" w:rsidRDefault="005D2595" w:rsidP="00FC3AF2">
            <w:pPr>
              <w:pStyle w:val="Tabletextright"/>
            </w:pPr>
            <w:r w:rsidRPr="0067507D">
              <w:t xml:space="preserve"> 392 </w:t>
            </w:r>
          </w:p>
        </w:tc>
      </w:tr>
      <w:tr w:rsidR="005D2595" w:rsidRPr="0067507D" w14:paraId="32F86C4E" w14:textId="77777777" w:rsidTr="00FC3AF2">
        <w:tc>
          <w:tcPr>
            <w:cnfStyle w:val="001000000000" w:firstRow="0" w:lastRow="0" w:firstColumn="1" w:lastColumn="0" w:oddVBand="0" w:evenVBand="0" w:oddHBand="0" w:evenHBand="0" w:firstRowFirstColumn="0" w:firstRowLastColumn="0" w:lastRowFirstColumn="0" w:lastRowLastColumn="0"/>
            <w:tcW w:w="5238" w:type="dxa"/>
          </w:tcPr>
          <w:p w14:paraId="2A401284" w14:textId="77777777" w:rsidR="005D2595" w:rsidRPr="0067507D" w:rsidRDefault="005D2595" w:rsidP="00FC3AF2">
            <w:pPr>
              <w:pStyle w:val="Tabletext"/>
            </w:pPr>
            <w:r w:rsidRPr="0067507D">
              <w:t>Audit of annual financial report for the State of Victoria</w:t>
            </w:r>
          </w:p>
        </w:tc>
        <w:tc>
          <w:tcPr>
            <w:cnfStyle w:val="000010000000" w:firstRow="0" w:lastRow="0" w:firstColumn="0" w:lastColumn="0" w:oddVBand="1" w:evenVBand="0" w:oddHBand="0" w:evenHBand="0" w:firstRowFirstColumn="0" w:firstRowLastColumn="0" w:lastRowFirstColumn="0" w:lastRowLastColumn="0"/>
            <w:tcW w:w="1125" w:type="dxa"/>
          </w:tcPr>
          <w:p w14:paraId="7713099F" w14:textId="77777777" w:rsidR="005D2595" w:rsidRPr="0067507D" w:rsidRDefault="005D2595" w:rsidP="00FC3AF2">
            <w:pPr>
              <w:pStyle w:val="Tabletextright"/>
            </w:pPr>
            <w:r w:rsidRPr="0067507D">
              <w:t xml:space="preserve"> 445 </w:t>
            </w:r>
          </w:p>
        </w:tc>
        <w:tc>
          <w:tcPr>
            <w:cnfStyle w:val="000001000000" w:firstRow="0" w:lastRow="0" w:firstColumn="0" w:lastColumn="0" w:oddVBand="0" w:evenVBand="1" w:oddHBand="0" w:evenHBand="0" w:firstRowFirstColumn="0" w:firstRowLastColumn="0" w:lastRowFirstColumn="0" w:lastRowLastColumn="0"/>
            <w:tcW w:w="1125" w:type="dxa"/>
          </w:tcPr>
          <w:p w14:paraId="306522E5" w14:textId="77777777" w:rsidR="005D2595" w:rsidRPr="0067507D" w:rsidRDefault="005D2595" w:rsidP="00FC3AF2">
            <w:pPr>
              <w:pStyle w:val="Tabletextright"/>
            </w:pPr>
            <w:r w:rsidRPr="0067507D">
              <w:t xml:space="preserve"> 423 </w:t>
            </w:r>
          </w:p>
        </w:tc>
      </w:tr>
      <w:tr w:rsidR="005D2595" w:rsidRPr="0067507D" w14:paraId="146C6256" w14:textId="77777777" w:rsidTr="00FC3AF2">
        <w:tc>
          <w:tcPr>
            <w:cnfStyle w:val="001000000000" w:firstRow="0" w:lastRow="0" w:firstColumn="1" w:lastColumn="0" w:oddVBand="0" w:evenVBand="0" w:oddHBand="0" w:evenHBand="0" w:firstRowFirstColumn="0" w:firstRowLastColumn="0" w:lastRowFirstColumn="0" w:lastRowLastColumn="0"/>
            <w:tcW w:w="5238" w:type="dxa"/>
          </w:tcPr>
          <w:p w14:paraId="7F5FC041" w14:textId="77777777" w:rsidR="005D2595" w:rsidRPr="0067507D" w:rsidRDefault="005D2595" w:rsidP="00FC3AF2">
            <w:pPr>
              <w:pStyle w:val="Tabletext"/>
            </w:pPr>
            <w:r w:rsidRPr="0067507D">
              <w:t>Review of annual budget for the State of Victoria</w:t>
            </w:r>
          </w:p>
        </w:tc>
        <w:tc>
          <w:tcPr>
            <w:cnfStyle w:val="000010000000" w:firstRow="0" w:lastRow="0" w:firstColumn="0" w:lastColumn="0" w:oddVBand="1" w:evenVBand="0" w:oddHBand="0" w:evenHBand="0" w:firstRowFirstColumn="0" w:firstRowLastColumn="0" w:lastRowFirstColumn="0" w:lastRowLastColumn="0"/>
            <w:tcW w:w="1125" w:type="dxa"/>
          </w:tcPr>
          <w:p w14:paraId="175F683D" w14:textId="77777777" w:rsidR="005D2595" w:rsidRPr="0067507D" w:rsidRDefault="005D2595" w:rsidP="00FC3AF2">
            <w:pPr>
              <w:pStyle w:val="Tabletextright"/>
            </w:pPr>
            <w:r w:rsidRPr="0067507D">
              <w:t xml:space="preserve"> 479 </w:t>
            </w:r>
          </w:p>
        </w:tc>
        <w:tc>
          <w:tcPr>
            <w:cnfStyle w:val="000001000000" w:firstRow="0" w:lastRow="0" w:firstColumn="0" w:lastColumn="0" w:oddVBand="0" w:evenVBand="1" w:oddHBand="0" w:evenHBand="0" w:firstRowFirstColumn="0" w:firstRowLastColumn="0" w:lastRowFirstColumn="0" w:lastRowLastColumn="0"/>
            <w:tcW w:w="1125" w:type="dxa"/>
          </w:tcPr>
          <w:p w14:paraId="422EB1EB" w14:textId="77777777" w:rsidR="005D2595" w:rsidRPr="0067507D" w:rsidRDefault="005D2595" w:rsidP="00FC3AF2">
            <w:pPr>
              <w:pStyle w:val="Tabletextright"/>
            </w:pPr>
            <w:r w:rsidRPr="0067507D">
              <w:t xml:space="preserve"> 438 </w:t>
            </w:r>
          </w:p>
        </w:tc>
      </w:tr>
      <w:tr w:rsidR="005D2595" w:rsidRPr="0067507D" w14:paraId="45033814" w14:textId="77777777" w:rsidTr="00FC3AF2">
        <w:tc>
          <w:tcPr>
            <w:cnfStyle w:val="001000000000" w:firstRow="0" w:lastRow="0" w:firstColumn="1" w:lastColumn="0" w:oddVBand="0" w:evenVBand="0" w:oddHBand="0" w:evenHBand="0" w:firstRowFirstColumn="0" w:firstRowLastColumn="0" w:lastRowFirstColumn="0" w:lastRowLastColumn="0"/>
            <w:tcW w:w="5238" w:type="dxa"/>
          </w:tcPr>
          <w:p w14:paraId="1D05282E" w14:textId="77777777" w:rsidR="005D2595" w:rsidRPr="0067507D" w:rsidRDefault="005D2595" w:rsidP="00FC3AF2">
            <w:pPr>
              <w:pStyle w:val="Tabletextbold"/>
            </w:pPr>
            <w:r w:rsidRPr="0067507D">
              <w:t>Total remuneration of auditors</w:t>
            </w:r>
          </w:p>
        </w:tc>
        <w:tc>
          <w:tcPr>
            <w:cnfStyle w:val="000010000000" w:firstRow="0" w:lastRow="0" w:firstColumn="0" w:lastColumn="0" w:oddVBand="1" w:evenVBand="0" w:oddHBand="0" w:evenHBand="0" w:firstRowFirstColumn="0" w:firstRowLastColumn="0" w:lastRowFirstColumn="0" w:lastRowLastColumn="0"/>
            <w:tcW w:w="1125" w:type="dxa"/>
          </w:tcPr>
          <w:p w14:paraId="69E32342" w14:textId="77777777" w:rsidR="005D2595" w:rsidRPr="0067507D" w:rsidRDefault="005D2595" w:rsidP="00FC3AF2">
            <w:pPr>
              <w:pStyle w:val="Tabletextrightbold"/>
            </w:pPr>
            <w:r w:rsidRPr="0067507D">
              <w:t xml:space="preserve">1 299 </w:t>
            </w:r>
          </w:p>
        </w:tc>
        <w:tc>
          <w:tcPr>
            <w:cnfStyle w:val="000001000000" w:firstRow="0" w:lastRow="0" w:firstColumn="0" w:lastColumn="0" w:oddVBand="0" w:evenVBand="1" w:oddHBand="0" w:evenHBand="0" w:firstRowFirstColumn="0" w:firstRowLastColumn="0" w:lastRowFirstColumn="0" w:lastRowLastColumn="0"/>
            <w:tcW w:w="1125" w:type="dxa"/>
          </w:tcPr>
          <w:p w14:paraId="49CC7DCF" w14:textId="77777777" w:rsidR="005D2595" w:rsidRPr="0067507D" w:rsidRDefault="005D2595" w:rsidP="00FC3AF2">
            <w:pPr>
              <w:pStyle w:val="Tabletextrightbold"/>
            </w:pPr>
            <w:r w:rsidRPr="0067507D">
              <w:t xml:space="preserve">1 253 </w:t>
            </w:r>
          </w:p>
        </w:tc>
      </w:tr>
    </w:tbl>
    <w:p w14:paraId="278B34DA" w14:textId="77777777" w:rsidR="005D2595" w:rsidRPr="0067507D" w:rsidRDefault="005D2595" w:rsidP="005D2595">
      <w:pPr>
        <w:pStyle w:val="Notes"/>
      </w:pPr>
      <w:r w:rsidRPr="0067507D">
        <w:t>Note:</w:t>
      </w:r>
    </w:p>
    <w:p w14:paraId="22776404" w14:textId="2B483C62" w:rsidR="005D2595" w:rsidRPr="0067507D" w:rsidRDefault="005D2595" w:rsidP="005D2595">
      <w:pPr>
        <w:pStyle w:val="Notes"/>
      </w:pPr>
      <w:r w:rsidRPr="0067507D">
        <w:t>(a) 2023</w:t>
      </w:r>
      <w:r w:rsidR="006A5485">
        <w:noBreakHyphen/>
      </w:r>
      <w:r w:rsidRPr="0067507D">
        <w:t>24 figure</w:t>
      </w:r>
      <w:r w:rsidR="00464706" w:rsidRPr="0067507D">
        <w:t>s</w:t>
      </w:r>
      <w:r w:rsidRPr="0067507D">
        <w:t xml:space="preserve"> have been updated to include additional audit fee of $40</w:t>
      </w:r>
      <w:r w:rsidRPr="0067507D">
        <w:rPr>
          <w:rFonts w:ascii="Calibri" w:hAnsi="Calibri" w:cs="Calibri"/>
        </w:rPr>
        <w:t> </w:t>
      </w:r>
      <w:r w:rsidRPr="0067507D">
        <w:t>000.</w:t>
      </w:r>
    </w:p>
    <w:p w14:paraId="5944B89B" w14:textId="77777777" w:rsidR="005D2595" w:rsidRPr="0067507D" w:rsidRDefault="005D2595" w:rsidP="005D2595"/>
    <w:p w14:paraId="3C6AF344" w14:textId="77777777" w:rsidR="005D2595" w:rsidRPr="0067507D" w:rsidRDefault="005D2595" w:rsidP="006273F6">
      <w:pPr>
        <w:pStyle w:val="Heading2numbered"/>
        <w:ind w:left="1440" w:hanging="360"/>
        <w:sectPr w:rsidR="005D2595" w:rsidRPr="0067507D" w:rsidSect="005D2595">
          <w:headerReference w:type="even" r:id="rId144"/>
          <w:headerReference w:type="default" r:id="rId145"/>
          <w:type w:val="continuous"/>
          <w:pgSz w:w="11909" w:h="16834" w:code="9"/>
          <w:pgMar w:top="1728" w:right="1152" w:bottom="1152" w:left="1152" w:header="720" w:footer="288" w:gutter="0"/>
          <w:cols w:space="569"/>
          <w:noEndnote/>
        </w:sectPr>
      </w:pPr>
      <w:bookmarkStart w:id="182" w:name="_Toc495304312"/>
    </w:p>
    <w:p w14:paraId="6E035330" w14:textId="77777777" w:rsidR="005D2595" w:rsidRPr="0067507D" w:rsidRDefault="005D2595" w:rsidP="000D5F54">
      <w:pPr>
        <w:pStyle w:val="Heading2numbered"/>
      </w:pPr>
      <w:bookmarkStart w:id="183" w:name="_Toc210214030"/>
      <w:bookmarkStart w:id="184" w:name="_Toc210213977"/>
      <w:bookmarkStart w:id="185" w:name="_Toc147229875"/>
      <w:r w:rsidRPr="0067507D">
        <w:lastRenderedPageBreak/>
        <w:t>Australian Accounting Standards issued that are not yet effective</w:t>
      </w:r>
      <w:bookmarkEnd w:id="183"/>
      <w:bookmarkEnd w:id="184"/>
    </w:p>
    <w:p w14:paraId="109B5053" w14:textId="1B5E456B" w:rsidR="005D2595" w:rsidRPr="0067507D" w:rsidRDefault="005D2595" w:rsidP="005D2595">
      <w:r w:rsidRPr="0067507D">
        <w:t>Certain new and revised accounting standards have been issued but are not effective for the 2024</w:t>
      </w:r>
      <w:r w:rsidR="006A5485">
        <w:noBreakHyphen/>
      </w:r>
      <w:r w:rsidRPr="0067507D">
        <w:t>25 reporting period. These accounting standards have not been applied to these financial statements. The State is reviewing its existing policies and assessing the potential implications of these accounting standards which include:</w:t>
      </w:r>
    </w:p>
    <w:p w14:paraId="31654B9B" w14:textId="7E439FE5" w:rsidR="005D2595" w:rsidRPr="0067507D" w:rsidRDefault="005D2595" w:rsidP="006273F6">
      <w:pPr>
        <w:pStyle w:val="Bullet"/>
        <w:numPr>
          <w:ilvl w:val="0"/>
          <w:numId w:val="31"/>
        </w:numPr>
        <w:spacing w:before="60" w:after="60"/>
      </w:pPr>
      <w:r w:rsidRPr="0067507D">
        <w:t>AASB 2024</w:t>
      </w:r>
      <w:r w:rsidR="006A5485">
        <w:noBreakHyphen/>
      </w:r>
      <w:r w:rsidRPr="0067507D">
        <w:t xml:space="preserve">2 </w:t>
      </w:r>
      <w:r w:rsidRPr="0067507D">
        <w:rPr>
          <w:i/>
          <w:iCs/>
        </w:rPr>
        <w:t>Amendments to Australian Accounting Standards – Classification and Measurement of Financial Instruments</w:t>
      </w:r>
      <w:r w:rsidRPr="0067507D">
        <w:t>. AASB 2024</w:t>
      </w:r>
      <w:r w:rsidR="006A5485">
        <w:noBreakHyphen/>
      </w:r>
      <w:r w:rsidRPr="0067507D">
        <w:t xml:space="preserve">2 amends AASB 7 </w:t>
      </w:r>
      <w:r w:rsidRPr="0067507D">
        <w:rPr>
          <w:i/>
          <w:iCs/>
        </w:rPr>
        <w:t>Financial Instruments: Disclosures</w:t>
      </w:r>
      <w:r w:rsidRPr="0067507D">
        <w:t xml:space="preserve"> and AASB 9 </w:t>
      </w:r>
      <w:r w:rsidRPr="0067507D">
        <w:rPr>
          <w:i/>
          <w:iCs/>
        </w:rPr>
        <w:t>Financial Instruments</w:t>
      </w:r>
      <w:r w:rsidRPr="0067507D">
        <w:t>. AASB 2024</w:t>
      </w:r>
      <w:r w:rsidR="006A5485">
        <w:noBreakHyphen/>
      </w:r>
      <w:r w:rsidRPr="0067507D">
        <w:t>2 amends requirements relating to:</w:t>
      </w:r>
    </w:p>
    <w:p w14:paraId="16124FC7" w14:textId="77777777" w:rsidR="005D2595" w:rsidRPr="0067507D" w:rsidRDefault="005D2595" w:rsidP="006273F6">
      <w:pPr>
        <w:pStyle w:val="Dash"/>
        <w:numPr>
          <w:ilvl w:val="1"/>
          <w:numId w:val="31"/>
        </w:numPr>
        <w:tabs>
          <w:tab w:val="clear" w:pos="720"/>
        </w:tabs>
        <w:ind w:left="630" w:hanging="270"/>
      </w:pPr>
      <w:r w:rsidRPr="0067507D">
        <w:t xml:space="preserve">settling financial liabilities using an electronic payment system </w:t>
      </w:r>
    </w:p>
    <w:p w14:paraId="578B504C" w14:textId="77777777" w:rsidR="005D2595" w:rsidRPr="0067507D" w:rsidRDefault="005D2595" w:rsidP="006273F6">
      <w:pPr>
        <w:pStyle w:val="Dash"/>
        <w:numPr>
          <w:ilvl w:val="1"/>
          <w:numId w:val="31"/>
        </w:numPr>
        <w:tabs>
          <w:tab w:val="clear" w:pos="720"/>
        </w:tabs>
        <w:ind w:left="630" w:hanging="270"/>
      </w:pPr>
      <w:r w:rsidRPr="0067507D">
        <w:t>assessing contractual cash flow characteristics of financial assets with environmental, social and corporate governance (ESG) and similar features</w:t>
      </w:r>
    </w:p>
    <w:p w14:paraId="169446A2" w14:textId="7F4CF2CD" w:rsidR="005D2595" w:rsidRPr="0067507D" w:rsidRDefault="005D2595" w:rsidP="006273F6">
      <w:pPr>
        <w:pStyle w:val="Dash"/>
        <w:numPr>
          <w:ilvl w:val="1"/>
          <w:numId w:val="31"/>
        </w:numPr>
        <w:tabs>
          <w:tab w:val="clear" w:pos="720"/>
        </w:tabs>
        <w:ind w:left="630" w:hanging="270"/>
      </w:pPr>
      <w:r w:rsidRPr="0067507D">
        <w:t>disclosure requirements for investments in equity instruments designated at fair value through other comprehensive income and financial instruments with contingent features that do not relate directly to basic lending risks and costs</w:t>
      </w:r>
      <w:r w:rsidR="00AC24E3">
        <w:t>.</w:t>
      </w:r>
    </w:p>
    <w:p w14:paraId="51667238" w14:textId="77777777" w:rsidR="005D2595" w:rsidRPr="0067507D" w:rsidRDefault="005D2595" w:rsidP="005D2595">
      <w:pPr>
        <w:pStyle w:val="NormalIndent"/>
      </w:pPr>
      <w:r w:rsidRPr="0067507D">
        <w:t>This amendment applies to annual reporting periods beginning on or after 1 January 2026.</w:t>
      </w:r>
    </w:p>
    <w:p w14:paraId="62389F1D" w14:textId="77777777" w:rsidR="005D2595" w:rsidRPr="0067507D" w:rsidRDefault="005D2595" w:rsidP="006273F6">
      <w:pPr>
        <w:pStyle w:val="Bullet"/>
        <w:numPr>
          <w:ilvl w:val="0"/>
          <w:numId w:val="22"/>
        </w:numPr>
      </w:pPr>
      <w:r w:rsidRPr="0067507D">
        <w:t xml:space="preserve">AASB 18 </w:t>
      </w:r>
      <w:r w:rsidRPr="0067507D">
        <w:rPr>
          <w:i/>
          <w:iCs/>
        </w:rPr>
        <w:t>Presentation and Disclosure in Financial Statements</w:t>
      </w:r>
      <w:r w:rsidRPr="0067507D">
        <w:t xml:space="preserve">. AASB 18 will replace AASB 101 </w:t>
      </w:r>
      <w:r w:rsidRPr="0067507D">
        <w:rPr>
          <w:i/>
          <w:iCs/>
        </w:rPr>
        <w:t>Presentation of Financial Statements</w:t>
      </w:r>
      <w:r w:rsidRPr="0067507D">
        <w:t xml:space="preserve"> and aims to improve how entities communicate in their financial statements, with a particular focus on information about financial performance in the statement of profit or loss.</w:t>
      </w:r>
    </w:p>
    <w:p w14:paraId="313D1465" w14:textId="574FB083" w:rsidR="005D2595" w:rsidRPr="0067507D" w:rsidRDefault="005D2595" w:rsidP="005D2595">
      <w:pPr>
        <w:pStyle w:val="NormalIndent"/>
      </w:pPr>
      <w:r w:rsidRPr="0067507D">
        <w:t>AASB 18 applies to annual reporting periods beginning on or after 1 January 2027 for for</w:t>
      </w:r>
      <w:r w:rsidR="006A5485">
        <w:noBreakHyphen/>
      </w:r>
      <w:r w:rsidRPr="0067507D">
        <w:t>profit entities and applies to annual reporting periods beginning on or after 1 January 2028 for not</w:t>
      </w:r>
      <w:r w:rsidRPr="0067507D">
        <w:noBreakHyphen/>
        <w:t>for</w:t>
      </w:r>
      <w:r w:rsidRPr="0067507D">
        <w:noBreakHyphen/>
        <w:t>profit entities. The delayed date of one year will allow the AASB to consult with stakeholders and consider potential modifications for application by not</w:t>
      </w:r>
      <w:r w:rsidR="006A5485">
        <w:noBreakHyphen/>
      </w:r>
      <w:r w:rsidRPr="0067507D">
        <w:t>for</w:t>
      </w:r>
      <w:r w:rsidR="006A5485">
        <w:noBreakHyphen/>
      </w:r>
      <w:r w:rsidRPr="0067507D">
        <w:t>profit public sector entities.</w:t>
      </w:r>
    </w:p>
    <w:p w14:paraId="0F444002" w14:textId="77777777" w:rsidR="005D2595" w:rsidRPr="0067507D" w:rsidRDefault="005D2595" w:rsidP="005D2595">
      <w:r w:rsidRPr="0067507D">
        <w:t>A number of other standards and amendments have also been issued that apply to future reporting periods, however they are not expected to have any significant impact on the financial statements in the period of initial application.</w:t>
      </w:r>
    </w:p>
    <w:p w14:paraId="485853FC" w14:textId="77777777" w:rsidR="005D2595" w:rsidRPr="0067507D" w:rsidRDefault="005D2595" w:rsidP="008405BF">
      <w:pPr>
        <w:pStyle w:val="Heading2numbered"/>
      </w:pPr>
      <w:r w:rsidRPr="0067507D">
        <w:br w:type="column"/>
      </w:r>
      <w:bookmarkStart w:id="186" w:name="_Toc210214031"/>
      <w:bookmarkStart w:id="187" w:name="_Toc210213978"/>
      <w:r w:rsidRPr="0067507D">
        <w:t>Subsequent events</w:t>
      </w:r>
      <w:bookmarkStart w:id="188" w:name="SubsequentEvents"/>
      <w:bookmarkEnd w:id="185"/>
      <w:bookmarkEnd w:id="186"/>
      <w:bookmarkEnd w:id="187"/>
    </w:p>
    <w:bookmarkEnd w:id="188"/>
    <w:p w14:paraId="7F9ABA6B" w14:textId="61C5967F" w:rsidR="005D2595" w:rsidRPr="0067507D" w:rsidRDefault="005D2595" w:rsidP="005D2595">
      <w:pPr>
        <w:rPr>
          <w:color w:val="000000"/>
        </w:rPr>
      </w:pPr>
      <w:r w:rsidRPr="0067507D">
        <w:rPr>
          <w:color w:val="000000"/>
        </w:rPr>
        <w:t xml:space="preserve">No other matters or circumstances have arisen since the end of the financial year that </w:t>
      </w:r>
      <w:r w:rsidR="008B4A9C" w:rsidRPr="0067507D">
        <w:rPr>
          <w:color w:val="000000"/>
        </w:rPr>
        <w:t xml:space="preserve">have </w:t>
      </w:r>
      <w:r w:rsidRPr="0067507D">
        <w:rPr>
          <w:color w:val="000000"/>
        </w:rPr>
        <w:t>significantly affected the Department’s operations, results or state of affairs, or that may do so in future years.</w:t>
      </w:r>
    </w:p>
    <w:p w14:paraId="6DEE8CD6" w14:textId="77777777" w:rsidR="005D2595" w:rsidRPr="0067507D" w:rsidRDefault="005D2595" w:rsidP="005D2595">
      <w:pPr>
        <w:rPr>
          <w:color w:val="000000"/>
        </w:rPr>
      </w:pPr>
    </w:p>
    <w:p w14:paraId="739DD238" w14:textId="77777777" w:rsidR="005D2595" w:rsidRPr="0067507D" w:rsidRDefault="005D2595" w:rsidP="008405BF">
      <w:pPr>
        <w:pStyle w:val="Heading2numbered"/>
      </w:pPr>
      <w:bookmarkStart w:id="189" w:name="_Toc495304314"/>
      <w:bookmarkStart w:id="190" w:name="_Toc147229878"/>
      <w:bookmarkStart w:id="191" w:name="_Toc210214032"/>
      <w:bookmarkStart w:id="192" w:name="_Toc210213979"/>
      <w:bookmarkEnd w:id="182"/>
      <w:r w:rsidRPr="0067507D">
        <w:t>Glossary of technical terms</w:t>
      </w:r>
      <w:bookmarkEnd w:id="189"/>
      <w:bookmarkEnd w:id="190"/>
      <w:bookmarkEnd w:id="191"/>
      <w:bookmarkEnd w:id="192"/>
    </w:p>
    <w:bookmarkEnd w:id="162"/>
    <w:p w14:paraId="08969E84" w14:textId="77777777" w:rsidR="005D2595" w:rsidRPr="0067507D" w:rsidRDefault="005D2595" w:rsidP="005D2595">
      <w:r w:rsidRPr="0067507D">
        <w:t>The following is a summary of the major technical terms used in these financial statements.</w:t>
      </w:r>
    </w:p>
    <w:p w14:paraId="154BDE49" w14:textId="77777777" w:rsidR="005D2595" w:rsidRPr="0067507D" w:rsidRDefault="005D2595" w:rsidP="005D2595">
      <w:r w:rsidRPr="0067507D">
        <w:rPr>
          <w:rFonts w:asciiTheme="majorHAnsi" w:hAnsiTheme="majorHAnsi"/>
        </w:rPr>
        <w:t>Actuarial gains or losses on superannuation defined benefit plans</w:t>
      </w:r>
      <w:r w:rsidRPr="0067507D">
        <w:t xml:space="preserve"> are changes in the present value of the superannuation defined benefit liability resulting from:</w:t>
      </w:r>
    </w:p>
    <w:p w14:paraId="1A9B5011" w14:textId="2316E683" w:rsidR="005D2595" w:rsidRPr="0067507D" w:rsidRDefault="005D2595" w:rsidP="006273F6">
      <w:pPr>
        <w:pStyle w:val="Bullet"/>
        <w:numPr>
          <w:ilvl w:val="0"/>
          <w:numId w:val="22"/>
        </w:numPr>
      </w:pPr>
      <w:r w:rsidRPr="0067507D">
        <w:t>experience adjustments (the effects of differences between the previous actuarial assumptions and what has actually occurred)</w:t>
      </w:r>
    </w:p>
    <w:p w14:paraId="535B62D5" w14:textId="77777777" w:rsidR="005D2595" w:rsidRPr="0067507D" w:rsidRDefault="005D2595" w:rsidP="006273F6">
      <w:pPr>
        <w:pStyle w:val="Bullet"/>
        <w:numPr>
          <w:ilvl w:val="0"/>
          <w:numId w:val="22"/>
        </w:numPr>
      </w:pPr>
      <w:r w:rsidRPr="0067507D">
        <w:t>the effects of changes in actuarial assumptions.</w:t>
      </w:r>
    </w:p>
    <w:p w14:paraId="73EB6A3B" w14:textId="77777777" w:rsidR="005D2595" w:rsidRPr="0067507D" w:rsidRDefault="005D2595" w:rsidP="005D2595">
      <w:r w:rsidRPr="0067507D">
        <w:rPr>
          <w:rFonts w:asciiTheme="majorHAnsi" w:hAnsiTheme="majorHAnsi"/>
        </w:rPr>
        <w:t>Administered item</w:t>
      </w:r>
      <w:r w:rsidRPr="0067507D">
        <w:t xml:space="preserve"> generally refers to a department lacking the capacity to benefit from that item in the pursuit of the entity's objectives and to deny or regulate the access of others to that benefit.</w:t>
      </w:r>
    </w:p>
    <w:p w14:paraId="29574602" w14:textId="77777777" w:rsidR="005D2595" w:rsidRPr="0067507D" w:rsidRDefault="005D2595" w:rsidP="005D2595">
      <w:r w:rsidRPr="0067507D">
        <w:rPr>
          <w:rFonts w:asciiTheme="majorHAnsi" w:hAnsiTheme="majorHAnsi"/>
        </w:rPr>
        <w:t>Amortisation</w:t>
      </w:r>
      <w:r w:rsidRPr="0067507D">
        <w:t xml:space="preserve"> is the expense that arises from the consumption or use over time of a produced intangible asset. This expense is classified as a transaction and so reduces the net result from transactions.</w:t>
      </w:r>
    </w:p>
    <w:p w14:paraId="142575D9" w14:textId="77777777" w:rsidR="005D2595" w:rsidRPr="0067507D" w:rsidRDefault="005D2595" w:rsidP="005D2595">
      <w:r w:rsidRPr="0067507D">
        <w:rPr>
          <w:rFonts w:asciiTheme="majorHAnsi" w:hAnsiTheme="majorHAnsi"/>
        </w:rPr>
        <w:t>Annualised employee equivalent</w:t>
      </w:r>
      <w:r w:rsidRPr="0067507D">
        <w:t xml:space="preserve"> is based on paid working hours of 38 ordinary hours per week over 52</w:t>
      </w:r>
      <w:r w:rsidRPr="0067507D">
        <w:rPr>
          <w:rFonts w:ascii="Calibri" w:hAnsi="Calibri" w:cs="Calibri"/>
        </w:rPr>
        <w:t> </w:t>
      </w:r>
      <w:r w:rsidRPr="0067507D">
        <w:t>weeks for a reporting period.</w:t>
      </w:r>
    </w:p>
    <w:p w14:paraId="7C26C55E" w14:textId="11E8D908" w:rsidR="005D2595" w:rsidRPr="0067507D" w:rsidRDefault="005D2595" w:rsidP="005D2595">
      <w:r w:rsidRPr="0067507D">
        <w:rPr>
          <w:rFonts w:asciiTheme="majorHAnsi" w:hAnsiTheme="majorHAnsi"/>
        </w:rPr>
        <w:t>Borrowings</w:t>
      </w:r>
      <w:r w:rsidRPr="0067507D">
        <w:t xml:space="preserve"> refer to interest</w:t>
      </w:r>
      <w:r w:rsidR="006A5485">
        <w:noBreakHyphen/>
      </w:r>
      <w:r w:rsidRPr="0067507D">
        <w:t>bearing liabilities mainly from public borrowings raised through the Treasury Corporation of Victoria, right of use leases and other interest</w:t>
      </w:r>
      <w:r w:rsidR="006A5485">
        <w:noBreakHyphen/>
      </w:r>
      <w:r w:rsidRPr="0067507D">
        <w:t>bearing arrangements. Borrowings also include non</w:t>
      </w:r>
      <w:r w:rsidR="006A5485">
        <w:noBreakHyphen/>
      </w:r>
      <w:r w:rsidRPr="0067507D">
        <w:t>interest bearing advances from government that are incurred for policy purposes.</w:t>
      </w:r>
    </w:p>
    <w:p w14:paraId="766EA88C" w14:textId="77777777" w:rsidR="005D2595" w:rsidRPr="0067507D" w:rsidRDefault="005D2595" w:rsidP="005D2595">
      <w:r w:rsidRPr="0067507D">
        <w:rPr>
          <w:rFonts w:asciiTheme="majorHAnsi" w:hAnsiTheme="majorHAnsi"/>
        </w:rPr>
        <w:t>Commitments</w:t>
      </w:r>
      <w:r w:rsidRPr="0067507D">
        <w:t xml:space="preserve"> include those operating, capital and other outsourcing commitments arising from non</w:t>
      </w:r>
      <w:r w:rsidRPr="0067507D">
        <w:noBreakHyphen/>
        <w:t>cancellable contractual or statutory sources.</w:t>
      </w:r>
    </w:p>
    <w:p w14:paraId="0E44F760" w14:textId="77777777" w:rsidR="005D2595" w:rsidRPr="0067507D" w:rsidRDefault="005D2595" w:rsidP="005D2595">
      <w:r w:rsidRPr="0067507D">
        <w:rPr>
          <w:rFonts w:asciiTheme="majorHAnsi" w:hAnsiTheme="majorHAnsi"/>
        </w:rPr>
        <w:t>Comprehensive result</w:t>
      </w:r>
      <w:r w:rsidRPr="0067507D">
        <w:t xml:space="preserve"> is the amount included in the operating statement representing total change in net worth other than transactions with owners as owners.</w:t>
      </w:r>
    </w:p>
    <w:p w14:paraId="06D2E2BD" w14:textId="77777777" w:rsidR="005D2595" w:rsidRPr="0067507D" w:rsidRDefault="005D2595" w:rsidP="005D2595">
      <w:r w:rsidRPr="0067507D">
        <w:rPr>
          <w:rFonts w:asciiTheme="majorHAnsi" w:hAnsiTheme="majorHAnsi"/>
        </w:rPr>
        <w:t xml:space="preserve">Controlled item </w:t>
      </w:r>
      <w:r w:rsidRPr="0067507D">
        <w:t>generally refers to the capacity of a department to benefit from that item in the pursuit of the Department's objectives and to deny or regulate the access of others to that benefit.</w:t>
      </w:r>
    </w:p>
    <w:p w14:paraId="63511D5D" w14:textId="77777777" w:rsidR="005D2595" w:rsidRPr="0067507D" w:rsidRDefault="005D2595" w:rsidP="005D2595">
      <w:r w:rsidRPr="0067507D">
        <w:rPr>
          <w:rFonts w:asciiTheme="majorHAnsi" w:hAnsiTheme="majorHAnsi"/>
        </w:rPr>
        <w:t>Depreciation</w:t>
      </w:r>
      <w:r w:rsidRPr="0067507D">
        <w:t xml:space="preserve"> is an expense that arises from the consumption through wear or time of a produced physical asset. This expense is classified as a transaction and so reduces the net result from transactions.</w:t>
      </w:r>
    </w:p>
    <w:p w14:paraId="39E0552C" w14:textId="77777777" w:rsidR="005D2595" w:rsidRPr="0067507D" w:rsidRDefault="005D2595" w:rsidP="005D2595">
      <w:r w:rsidRPr="0067507D">
        <w:rPr>
          <w:rFonts w:asciiTheme="majorHAnsi" w:hAnsiTheme="majorHAnsi"/>
        </w:rPr>
        <w:lastRenderedPageBreak/>
        <w:t>Employee benefit expenses</w:t>
      </w:r>
      <w:r w:rsidRPr="0067507D">
        <w:t xml:space="preserve"> include all costs related to employment including wages and salaries, fringe benefits tax, leave entitlements, redundancy payments, defined benefits superannuation plans and defined contribution superannuation plans.</w:t>
      </w:r>
    </w:p>
    <w:p w14:paraId="6E305166" w14:textId="24DA60CE" w:rsidR="005D2595" w:rsidRPr="0067507D" w:rsidRDefault="005D2595" w:rsidP="005D2595">
      <w:r w:rsidRPr="0067507D">
        <w:rPr>
          <w:rFonts w:asciiTheme="majorHAnsi" w:hAnsiTheme="majorHAnsi"/>
        </w:rPr>
        <w:t>Ex</w:t>
      </w:r>
      <w:r w:rsidR="006A5485">
        <w:rPr>
          <w:rFonts w:asciiTheme="majorHAnsi" w:hAnsiTheme="majorHAnsi"/>
        </w:rPr>
        <w:noBreakHyphen/>
      </w:r>
      <w:r w:rsidRPr="0067507D">
        <w:rPr>
          <w:rFonts w:asciiTheme="majorHAnsi" w:hAnsiTheme="majorHAnsi"/>
        </w:rPr>
        <w:t>gratia expenses</w:t>
      </w:r>
      <w:r w:rsidRPr="0067507D">
        <w:t xml:space="preserve"> mean the voluntary payment of money or other non</w:t>
      </w:r>
      <w:r w:rsidR="006A5485">
        <w:noBreakHyphen/>
      </w:r>
      <w:r w:rsidRPr="0067507D">
        <w:t>monetary benefit (e.g. a write off) that is not made either to acquire goods, services or other benefits for the entity or to meet a legal liability, or to settle or resolve a possible legal liability or claim against the entity.</w:t>
      </w:r>
    </w:p>
    <w:p w14:paraId="4EAF9CC8" w14:textId="77777777" w:rsidR="005D2595" w:rsidRPr="0067507D" w:rsidRDefault="005D2595" w:rsidP="005D2595">
      <w:pPr>
        <w:ind w:right="265"/>
      </w:pPr>
      <w:r w:rsidRPr="0067507D">
        <w:rPr>
          <w:rFonts w:asciiTheme="majorHAnsi" w:hAnsiTheme="majorHAnsi"/>
        </w:rPr>
        <w:t>Financial asset</w:t>
      </w:r>
      <w:r w:rsidRPr="0067507D">
        <w:t xml:space="preserve"> is any asset that is:</w:t>
      </w:r>
    </w:p>
    <w:p w14:paraId="421E7FB2" w14:textId="77777777" w:rsidR="005D2595" w:rsidRPr="0067507D" w:rsidRDefault="005D2595" w:rsidP="006273F6">
      <w:pPr>
        <w:pStyle w:val="Bullet"/>
        <w:numPr>
          <w:ilvl w:val="0"/>
          <w:numId w:val="22"/>
        </w:numPr>
      </w:pPr>
      <w:r w:rsidRPr="0067507D">
        <w:t>cash</w:t>
      </w:r>
    </w:p>
    <w:p w14:paraId="27159DBE" w14:textId="77777777" w:rsidR="005D2595" w:rsidRPr="0067507D" w:rsidRDefault="005D2595" w:rsidP="006273F6">
      <w:pPr>
        <w:pStyle w:val="Bullet"/>
        <w:numPr>
          <w:ilvl w:val="0"/>
          <w:numId w:val="22"/>
        </w:numPr>
      </w:pPr>
      <w:r w:rsidRPr="0067507D">
        <w:t>an equity instrument of another entity</w:t>
      </w:r>
    </w:p>
    <w:p w14:paraId="03513FD8" w14:textId="77777777" w:rsidR="005D2595" w:rsidRPr="0067507D" w:rsidRDefault="005D2595" w:rsidP="006273F6">
      <w:pPr>
        <w:pStyle w:val="Bullet"/>
        <w:numPr>
          <w:ilvl w:val="0"/>
          <w:numId w:val="22"/>
        </w:numPr>
      </w:pPr>
      <w:r w:rsidRPr="0067507D">
        <w:t>a contractual right:</w:t>
      </w:r>
    </w:p>
    <w:p w14:paraId="5F0AEF53" w14:textId="77777777" w:rsidR="005D2595" w:rsidRPr="0067507D" w:rsidRDefault="005D2595" w:rsidP="006273F6">
      <w:pPr>
        <w:pStyle w:val="Dash"/>
        <w:numPr>
          <w:ilvl w:val="1"/>
          <w:numId w:val="31"/>
        </w:numPr>
        <w:tabs>
          <w:tab w:val="clear" w:pos="720"/>
        </w:tabs>
        <w:ind w:left="630" w:hanging="270"/>
      </w:pPr>
      <w:r w:rsidRPr="0067507D">
        <w:t>to receive cash or another financial asset from another entity, or</w:t>
      </w:r>
    </w:p>
    <w:p w14:paraId="418C234A" w14:textId="77777777" w:rsidR="005D2595" w:rsidRPr="0067507D" w:rsidRDefault="005D2595" w:rsidP="006273F6">
      <w:pPr>
        <w:pStyle w:val="Dash"/>
        <w:numPr>
          <w:ilvl w:val="1"/>
          <w:numId w:val="31"/>
        </w:numPr>
        <w:tabs>
          <w:tab w:val="clear" w:pos="720"/>
        </w:tabs>
        <w:ind w:left="630" w:hanging="270"/>
      </w:pPr>
      <w:r w:rsidRPr="0067507D">
        <w:t>to exchange financial assets or financial liabilities with another entity under conditions that are potentially favourable to the entity, or</w:t>
      </w:r>
    </w:p>
    <w:p w14:paraId="38329A16" w14:textId="77777777" w:rsidR="005D2595" w:rsidRPr="0067507D" w:rsidRDefault="005D2595" w:rsidP="006273F6">
      <w:pPr>
        <w:pStyle w:val="Bullet"/>
        <w:numPr>
          <w:ilvl w:val="0"/>
          <w:numId w:val="22"/>
        </w:numPr>
      </w:pPr>
      <w:r w:rsidRPr="0067507D">
        <w:t>a contract that will or may be settled in the entity's own equity instruments and is:</w:t>
      </w:r>
    </w:p>
    <w:p w14:paraId="084E0D6B" w14:textId="3B472937" w:rsidR="005D2595" w:rsidRPr="0067507D" w:rsidRDefault="005D2595" w:rsidP="006273F6">
      <w:pPr>
        <w:pStyle w:val="Dash"/>
        <w:numPr>
          <w:ilvl w:val="1"/>
          <w:numId w:val="31"/>
        </w:numPr>
        <w:tabs>
          <w:tab w:val="clear" w:pos="720"/>
        </w:tabs>
        <w:ind w:left="630" w:hanging="270"/>
      </w:pPr>
      <w:r w:rsidRPr="0067507D">
        <w:t>a non</w:t>
      </w:r>
      <w:r w:rsidR="006A5485">
        <w:noBreakHyphen/>
      </w:r>
      <w:r w:rsidRPr="0067507D">
        <w:t>derivative for which the entity is or may be obliged to receive a variable number of the entity's own equity instruments, or</w:t>
      </w:r>
    </w:p>
    <w:p w14:paraId="35658A07" w14:textId="77777777" w:rsidR="005D2595" w:rsidRPr="0067507D" w:rsidRDefault="005D2595" w:rsidP="006273F6">
      <w:pPr>
        <w:pStyle w:val="Dash"/>
        <w:numPr>
          <w:ilvl w:val="1"/>
          <w:numId w:val="31"/>
        </w:numPr>
        <w:tabs>
          <w:tab w:val="clear" w:pos="720"/>
        </w:tabs>
        <w:ind w:left="630" w:hanging="270"/>
      </w:pPr>
      <w:r w:rsidRPr="0067507D">
        <w:t>a derivative that will or may be settled other than by the exchange of a fixed amount of cash or another financial asset for a fixed number of the entity's own equity instruments.</w:t>
      </w:r>
    </w:p>
    <w:p w14:paraId="136D0550" w14:textId="77777777" w:rsidR="005D2595" w:rsidRPr="0067507D" w:rsidRDefault="005D2595" w:rsidP="005D2595">
      <w:r w:rsidRPr="0067507D">
        <w:rPr>
          <w:rFonts w:asciiTheme="majorHAnsi" w:hAnsiTheme="majorHAnsi"/>
        </w:rPr>
        <w:t>Financial instrument</w:t>
      </w:r>
      <w:r w:rsidRPr="0067507D">
        <w:t xml:space="preserve"> is any contract that gives rise to a financial asset of one entity and a financial liability or equity instrument of another entity. </w:t>
      </w:r>
    </w:p>
    <w:p w14:paraId="58718E93" w14:textId="77777777" w:rsidR="005D2595" w:rsidRPr="0067507D" w:rsidRDefault="005D2595" w:rsidP="005D2595">
      <w:r w:rsidRPr="0067507D">
        <w:rPr>
          <w:rFonts w:asciiTheme="majorHAnsi" w:hAnsiTheme="majorHAnsi"/>
        </w:rPr>
        <w:t>Financial liability</w:t>
      </w:r>
      <w:r w:rsidRPr="0067507D">
        <w:t xml:space="preserve"> is any liability that is:</w:t>
      </w:r>
    </w:p>
    <w:p w14:paraId="1777864E" w14:textId="77777777" w:rsidR="005D2595" w:rsidRPr="0067507D" w:rsidRDefault="005D2595" w:rsidP="006273F6">
      <w:pPr>
        <w:pStyle w:val="Bullet"/>
        <w:numPr>
          <w:ilvl w:val="0"/>
          <w:numId w:val="22"/>
        </w:numPr>
      </w:pPr>
      <w:r w:rsidRPr="0067507D">
        <w:t>a contractual obligation:</w:t>
      </w:r>
    </w:p>
    <w:p w14:paraId="5F681D33" w14:textId="77777777" w:rsidR="005D2595" w:rsidRPr="0067507D" w:rsidRDefault="005D2595" w:rsidP="006273F6">
      <w:pPr>
        <w:pStyle w:val="Dash"/>
        <w:numPr>
          <w:ilvl w:val="1"/>
          <w:numId w:val="31"/>
        </w:numPr>
        <w:tabs>
          <w:tab w:val="clear" w:pos="720"/>
        </w:tabs>
        <w:ind w:left="630" w:hanging="270"/>
      </w:pPr>
      <w:r w:rsidRPr="0067507D">
        <w:t>to deliver cash or another financial asset to another entity, or</w:t>
      </w:r>
    </w:p>
    <w:p w14:paraId="38351694" w14:textId="77777777" w:rsidR="005D2595" w:rsidRPr="0067507D" w:rsidRDefault="005D2595" w:rsidP="006273F6">
      <w:pPr>
        <w:pStyle w:val="Dash"/>
        <w:numPr>
          <w:ilvl w:val="1"/>
          <w:numId w:val="31"/>
        </w:numPr>
        <w:tabs>
          <w:tab w:val="clear" w:pos="720"/>
        </w:tabs>
        <w:ind w:left="630" w:hanging="270"/>
      </w:pPr>
      <w:r w:rsidRPr="0067507D">
        <w:t>to exchange financial assets or financial liabilities with another entity under conditions that are potentially unfavourable to the entity,</w:t>
      </w:r>
      <w:r w:rsidRPr="0067507D">
        <w:rPr>
          <w:rFonts w:ascii="Calibri" w:hAnsi="Calibri" w:cs="Calibri"/>
        </w:rPr>
        <w:t> </w:t>
      </w:r>
      <w:r w:rsidRPr="0067507D">
        <w:t>or</w:t>
      </w:r>
    </w:p>
    <w:p w14:paraId="67AFF891" w14:textId="77777777" w:rsidR="005D2595" w:rsidRPr="0067507D" w:rsidRDefault="005D2595" w:rsidP="006273F6">
      <w:pPr>
        <w:pStyle w:val="Bullet"/>
        <w:numPr>
          <w:ilvl w:val="0"/>
          <w:numId w:val="22"/>
        </w:numPr>
      </w:pPr>
      <w:r w:rsidRPr="0067507D">
        <w:br w:type="column"/>
      </w:r>
      <w:r w:rsidRPr="0067507D">
        <w:t>a contract that will or may be settled in the entity's own equity instruments and is:</w:t>
      </w:r>
      <w:r w:rsidRPr="0067507D">
        <w:tab/>
      </w:r>
    </w:p>
    <w:p w14:paraId="64DFB37B" w14:textId="3EF38F7F" w:rsidR="005D2595" w:rsidRPr="0067507D" w:rsidRDefault="005D2595" w:rsidP="006273F6">
      <w:pPr>
        <w:pStyle w:val="Dash"/>
        <w:numPr>
          <w:ilvl w:val="1"/>
          <w:numId w:val="31"/>
        </w:numPr>
        <w:tabs>
          <w:tab w:val="clear" w:pos="720"/>
        </w:tabs>
        <w:ind w:left="630" w:hanging="270"/>
      </w:pPr>
      <w:r w:rsidRPr="0067507D">
        <w:t>a non</w:t>
      </w:r>
      <w:r w:rsidR="006A5485">
        <w:noBreakHyphen/>
      </w:r>
      <w:r w:rsidRPr="0067507D">
        <w:t>derivative for which the entity is or may be obliged to deliver a variable number of the entity's own equity instruments, or</w:t>
      </w:r>
    </w:p>
    <w:p w14:paraId="74F56998" w14:textId="77777777" w:rsidR="005D2595" w:rsidRPr="0067507D" w:rsidRDefault="005D2595" w:rsidP="006273F6">
      <w:pPr>
        <w:pStyle w:val="Dash"/>
        <w:numPr>
          <w:ilvl w:val="1"/>
          <w:numId w:val="31"/>
        </w:numPr>
        <w:tabs>
          <w:tab w:val="clear" w:pos="720"/>
        </w:tabs>
        <w:ind w:left="630" w:hanging="270"/>
      </w:pPr>
      <w:r w:rsidRPr="0067507D">
        <w:t>a derivative that will or may be settled other than by the exchange of a fixed amount of cash or another financial asset for a fixed number of the entity's own equity instruments. For this purpose, the entity's own equity instruments do not include instruments that are themselves contracts for the future receipt or delivery of the entity's own equity instruments.</w:t>
      </w:r>
    </w:p>
    <w:p w14:paraId="05E0EC5A" w14:textId="77777777" w:rsidR="005D2595" w:rsidRPr="0067507D" w:rsidRDefault="005D2595" w:rsidP="005D2595">
      <w:pPr>
        <w:ind w:right="265"/>
      </w:pPr>
      <w:r w:rsidRPr="0067507D">
        <w:rPr>
          <w:rFonts w:asciiTheme="majorHAnsi" w:hAnsiTheme="majorHAnsi"/>
        </w:rPr>
        <w:t>Financial statements</w:t>
      </w:r>
      <w:r w:rsidRPr="0067507D">
        <w:t xml:space="preserve"> comprises:</w:t>
      </w:r>
    </w:p>
    <w:p w14:paraId="20D7DD30" w14:textId="77777777" w:rsidR="005D2595" w:rsidRPr="0067507D" w:rsidRDefault="005D2595" w:rsidP="006273F6">
      <w:pPr>
        <w:pStyle w:val="Bullet"/>
        <w:numPr>
          <w:ilvl w:val="0"/>
          <w:numId w:val="22"/>
        </w:numPr>
      </w:pPr>
      <w:r w:rsidRPr="0067507D">
        <w:t>a comprehensive operating statement for the period</w:t>
      </w:r>
    </w:p>
    <w:p w14:paraId="144D3F86" w14:textId="77777777" w:rsidR="005D2595" w:rsidRPr="0067507D" w:rsidRDefault="005D2595" w:rsidP="006273F6">
      <w:pPr>
        <w:pStyle w:val="Bullet"/>
        <w:numPr>
          <w:ilvl w:val="0"/>
          <w:numId w:val="22"/>
        </w:numPr>
      </w:pPr>
      <w:r w:rsidRPr="0067507D">
        <w:t>a balance sheet as at the end of the period</w:t>
      </w:r>
    </w:p>
    <w:p w14:paraId="728ABD49" w14:textId="77777777" w:rsidR="005D2595" w:rsidRPr="0067507D" w:rsidRDefault="005D2595" w:rsidP="006273F6">
      <w:pPr>
        <w:pStyle w:val="Bullet"/>
        <w:numPr>
          <w:ilvl w:val="0"/>
          <w:numId w:val="22"/>
        </w:numPr>
      </w:pPr>
      <w:r w:rsidRPr="0067507D">
        <w:t>a statement of changes in equity for the period</w:t>
      </w:r>
    </w:p>
    <w:p w14:paraId="4F8C8FE8" w14:textId="77777777" w:rsidR="005D2595" w:rsidRPr="0067507D" w:rsidRDefault="005D2595" w:rsidP="006273F6">
      <w:pPr>
        <w:pStyle w:val="Bullet"/>
        <w:numPr>
          <w:ilvl w:val="0"/>
          <w:numId w:val="22"/>
        </w:numPr>
      </w:pPr>
      <w:r w:rsidRPr="0067507D">
        <w:t>a cash flow statement for the period</w:t>
      </w:r>
    </w:p>
    <w:p w14:paraId="5E7990D2" w14:textId="77777777" w:rsidR="005D2595" w:rsidRPr="0067507D" w:rsidRDefault="005D2595" w:rsidP="006273F6">
      <w:pPr>
        <w:pStyle w:val="Bullet"/>
        <w:numPr>
          <w:ilvl w:val="0"/>
          <w:numId w:val="22"/>
        </w:numPr>
      </w:pPr>
      <w:r w:rsidRPr="0067507D">
        <w:t>notes, comprising a summary of significant accounting policies and other explanatory information</w:t>
      </w:r>
    </w:p>
    <w:p w14:paraId="78B5A473" w14:textId="77777777" w:rsidR="005D2595" w:rsidRPr="0067507D" w:rsidRDefault="005D2595" w:rsidP="006273F6">
      <w:pPr>
        <w:pStyle w:val="Bullet"/>
        <w:numPr>
          <w:ilvl w:val="0"/>
          <w:numId w:val="22"/>
        </w:numPr>
      </w:pPr>
      <w:r w:rsidRPr="0067507D">
        <w:t xml:space="preserve">comparative information in respect of the preceding period as specified in paragraph 38 of AASB 101 </w:t>
      </w:r>
      <w:r w:rsidRPr="0067507D">
        <w:rPr>
          <w:i/>
          <w:iCs/>
        </w:rPr>
        <w:t>Presentation of financial statements</w:t>
      </w:r>
    </w:p>
    <w:p w14:paraId="6B72B9A6" w14:textId="77777777" w:rsidR="005D2595" w:rsidRPr="0067507D" w:rsidRDefault="005D2595" w:rsidP="006273F6">
      <w:pPr>
        <w:pStyle w:val="Bullet"/>
        <w:numPr>
          <w:ilvl w:val="0"/>
          <w:numId w:val="22"/>
        </w:numPr>
      </w:pPr>
      <w:r w:rsidRPr="0067507D">
        <w:t>a balance sheet as at the beginning of the preceding period when an entity applies an accounting policy retrospectively or makes a retrospective restatement of items in its financial statements, or when it reclassifies items in the financial statements in accordance with paragraph 41 of AASB 101.</w:t>
      </w:r>
    </w:p>
    <w:p w14:paraId="2B490879" w14:textId="1DC7E5D8" w:rsidR="005D2595" w:rsidRPr="0067507D" w:rsidRDefault="005D2595" w:rsidP="005D2595">
      <w:r w:rsidRPr="0067507D">
        <w:rPr>
          <w:rFonts w:asciiTheme="majorHAnsi" w:hAnsiTheme="majorHAnsi"/>
        </w:rPr>
        <w:t>Grant expenses</w:t>
      </w:r>
      <w:r w:rsidRPr="0067507D">
        <w:t xml:space="preserve"> are transactions in which one unit provides goods, services, assets (or extinguishes a liability) or labour to another unit without receiving approximately equal value in return. Grants can either be operating or capital in nature. While grants to governments may result in the provision of some goods or services to the transferor, they do not give the transferor a claim to receive directly benefits of approximately equal value. For this reason, grants are referred to by the AASB as involuntary transfers and are termed non</w:t>
      </w:r>
      <w:r w:rsidR="006A5485">
        <w:noBreakHyphen/>
      </w:r>
      <w:r w:rsidRPr="0067507D">
        <w:t>reciprocal transfers. Receipt and sacrifice of approximately equal value may occur, but only by coincidence. For example, governments are not obliged to provide commensurate benefits, in the form of goods or services, to particular taxpayers in return for their taxes.</w:t>
      </w:r>
    </w:p>
    <w:p w14:paraId="2BD6C47A" w14:textId="7C594CBD" w:rsidR="005D2595" w:rsidRPr="0067507D" w:rsidRDefault="005D2595" w:rsidP="005D2595">
      <w:pPr>
        <w:keepNext/>
      </w:pPr>
      <w:r w:rsidRPr="0067507D">
        <w:lastRenderedPageBreak/>
        <w:t>Grants can be paid as general</w:t>
      </w:r>
      <w:r w:rsidR="006A5485">
        <w:noBreakHyphen/>
      </w:r>
      <w:r w:rsidRPr="0067507D">
        <w:t>purpose grants which refer to grants that are not subject to conditions regarding their use. Alternatively, they may be paid as</w:t>
      </w:r>
      <w:r w:rsidRPr="0067507D">
        <w:rPr>
          <w:rFonts w:ascii="Calibri" w:hAnsi="Calibri" w:cs="Calibri"/>
        </w:rPr>
        <w:t> </w:t>
      </w:r>
      <w:r w:rsidRPr="0067507D">
        <w:t>specific purpose grants which are paid for a particular purpose and/or have conditions attached regarding their use.</w:t>
      </w:r>
    </w:p>
    <w:p w14:paraId="693C50D6" w14:textId="3664D0E1" w:rsidR="005D2595" w:rsidRPr="0067507D" w:rsidRDefault="005D2595" w:rsidP="005D2595">
      <w:r w:rsidRPr="0067507D">
        <w:t>Grants for on</w:t>
      </w:r>
      <w:r w:rsidR="006A5485">
        <w:noBreakHyphen/>
      </w:r>
      <w:r w:rsidRPr="0067507D">
        <w:t>passing are grants paid to one institutional sector (e.g. a state general government) to be passed on to another institutional sector (e.g.</w:t>
      </w:r>
      <w:r w:rsidRPr="0067507D">
        <w:rPr>
          <w:rFonts w:ascii="Calibri" w:hAnsi="Calibri" w:cs="Calibri"/>
        </w:rPr>
        <w:t> </w:t>
      </w:r>
      <w:r w:rsidRPr="0067507D">
        <w:t>local government or a private non</w:t>
      </w:r>
      <w:r w:rsidR="006A5485">
        <w:noBreakHyphen/>
      </w:r>
      <w:r w:rsidRPr="0067507D">
        <w:t>profit institution).</w:t>
      </w:r>
    </w:p>
    <w:p w14:paraId="49F61DC0" w14:textId="3317ECCE" w:rsidR="005D2595" w:rsidRPr="0067507D" w:rsidRDefault="005D2595" w:rsidP="005D2595">
      <w:r w:rsidRPr="0067507D">
        <w:rPr>
          <w:rFonts w:asciiTheme="majorHAnsi" w:hAnsiTheme="majorHAnsi"/>
        </w:rPr>
        <w:t>Intangible assets</w:t>
      </w:r>
      <w:r w:rsidRPr="0067507D">
        <w:t xml:space="preserve"> represent identifiable non</w:t>
      </w:r>
      <w:r w:rsidR="006A5485">
        <w:noBreakHyphen/>
      </w:r>
      <w:r w:rsidRPr="0067507D">
        <w:t>monetary assets without physical substance.</w:t>
      </w:r>
    </w:p>
    <w:p w14:paraId="01E019D5" w14:textId="5DAEF94E" w:rsidR="005D2595" w:rsidRPr="0067507D" w:rsidRDefault="005D2595" w:rsidP="005D2595">
      <w:pPr>
        <w:ind w:right="108"/>
      </w:pPr>
      <w:r w:rsidRPr="0067507D">
        <w:rPr>
          <w:rFonts w:asciiTheme="majorHAnsi" w:hAnsiTheme="majorHAnsi"/>
        </w:rPr>
        <w:t>Interest expense</w:t>
      </w:r>
      <w:r w:rsidRPr="0067507D">
        <w:t xml:space="preserve"> represents costs incurred in connection with the borrowing of funds. It includes interest on advances, loans, bank overdrafts and short</w:t>
      </w:r>
      <w:r w:rsidR="006A5485">
        <w:noBreakHyphen/>
      </w:r>
      <w:r w:rsidRPr="0067507D">
        <w:t>term and long</w:t>
      </w:r>
      <w:r w:rsidR="006A5485">
        <w:noBreakHyphen/>
      </w:r>
      <w:r w:rsidRPr="0067507D">
        <w:t>term borrowings, amortisation of discounts or premiums relating to borrowings, interest components of lease repayments and the increase in financial liabilities and non</w:t>
      </w:r>
      <w:r w:rsidR="006A5485">
        <w:noBreakHyphen/>
      </w:r>
      <w:r w:rsidRPr="0067507D">
        <w:t>employee provisions due to the unwinding of discounts to reflect the passage of time.</w:t>
      </w:r>
    </w:p>
    <w:p w14:paraId="0D4BB402" w14:textId="77777777" w:rsidR="005D2595" w:rsidRPr="0067507D" w:rsidRDefault="005D2595" w:rsidP="005D2595">
      <w:r w:rsidRPr="0067507D">
        <w:rPr>
          <w:rFonts w:asciiTheme="majorHAnsi" w:hAnsiTheme="majorHAnsi"/>
        </w:rPr>
        <w:t>Interest income</w:t>
      </w:r>
      <w:r w:rsidRPr="0067507D">
        <w:t xml:space="preserve"> includes interest received on bank term deposits, interest from investments, and other interest received.</w:t>
      </w:r>
    </w:p>
    <w:p w14:paraId="2C4569FA" w14:textId="77777777" w:rsidR="005D2595" w:rsidRPr="0067507D" w:rsidRDefault="005D2595" w:rsidP="005D2595">
      <w:pPr>
        <w:ind w:right="265"/>
      </w:pPr>
      <w:r w:rsidRPr="0067507D">
        <w:rPr>
          <w:rFonts w:asciiTheme="majorHAnsi" w:hAnsiTheme="majorHAnsi"/>
        </w:rPr>
        <w:t>Leases</w:t>
      </w:r>
      <w:r w:rsidRPr="0067507D">
        <w:t xml:space="preserve"> are rights conveyed in a contract, or part of a contract, the right to use an asset (the underlying asset) for a period of time in exchange for consideration.</w:t>
      </w:r>
    </w:p>
    <w:p w14:paraId="7DFF5D98" w14:textId="77777777" w:rsidR="005D2595" w:rsidRPr="0067507D" w:rsidRDefault="005D2595" w:rsidP="005D2595">
      <w:pPr>
        <w:ind w:right="265"/>
      </w:pPr>
      <w:r w:rsidRPr="0067507D">
        <w:rPr>
          <w:rFonts w:asciiTheme="majorHAnsi" w:hAnsiTheme="majorHAnsi"/>
        </w:rPr>
        <w:t>Net result</w:t>
      </w:r>
      <w:r w:rsidRPr="0067507D">
        <w:t xml:space="preserve"> is a measure of financial performance of the operations for the period. It is the net result of items of income, gains and expenses (including losses) recognised for the period, excluding those that are classified as 'other economic flows – other comprehensive income'.</w:t>
      </w:r>
    </w:p>
    <w:p w14:paraId="48B6939B" w14:textId="77777777" w:rsidR="005D2595" w:rsidRPr="0067507D" w:rsidRDefault="005D2595" w:rsidP="005D2595">
      <w:pPr>
        <w:ind w:right="108"/>
      </w:pPr>
      <w:r w:rsidRPr="0067507D">
        <w:rPr>
          <w:rFonts w:asciiTheme="majorHAnsi" w:hAnsiTheme="majorHAnsi"/>
        </w:rPr>
        <w:t>Net result from transactions/net operating balance</w:t>
      </w:r>
      <w:r w:rsidRPr="0067507D">
        <w:t xml:space="preserve"> is a key fiscal aggregate and is income from transactions minus expenses from transactions. It is a summary measure of the ongoing sustainability of operations. It excludes gains and losses resulting from changes in price levels and other changes in the volume of assets. It</w:t>
      </w:r>
      <w:r w:rsidRPr="0067507D">
        <w:rPr>
          <w:rFonts w:ascii="Calibri" w:hAnsi="Calibri" w:cs="Calibri"/>
        </w:rPr>
        <w:t> </w:t>
      </w:r>
      <w:r w:rsidRPr="0067507D">
        <w:t>is the component of the change in net worth that is due to transaction and can be attributed directly to government policies.</w:t>
      </w:r>
    </w:p>
    <w:p w14:paraId="1F497B73" w14:textId="1C599FE2" w:rsidR="005D2595" w:rsidRPr="0067507D" w:rsidRDefault="005D2595" w:rsidP="005D2595">
      <w:r w:rsidRPr="0067507D">
        <w:rPr>
          <w:rFonts w:asciiTheme="majorHAnsi" w:hAnsiTheme="majorHAnsi"/>
        </w:rPr>
        <w:t>Non</w:t>
      </w:r>
      <w:r w:rsidR="006A5485">
        <w:rPr>
          <w:rFonts w:asciiTheme="majorHAnsi" w:hAnsiTheme="majorHAnsi"/>
        </w:rPr>
        <w:noBreakHyphen/>
      </w:r>
      <w:r w:rsidRPr="0067507D">
        <w:rPr>
          <w:rFonts w:asciiTheme="majorHAnsi" w:hAnsiTheme="majorHAnsi"/>
        </w:rPr>
        <w:t>financial assets</w:t>
      </w:r>
      <w:r w:rsidRPr="0067507D">
        <w:t xml:space="preserve"> are all assets that are not 'financial assets'. It includes plant, equipment and vehicles, and intangible assets.</w:t>
      </w:r>
    </w:p>
    <w:p w14:paraId="6111B1F5" w14:textId="72D8BD7C" w:rsidR="005D2595" w:rsidRPr="0067507D" w:rsidRDefault="005D2595" w:rsidP="005D2595">
      <w:r w:rsidRPr="0067507D">
        <w:rPr>
          <w:rFonts w:asciiTheme="majorHAnsi" w:hAnsiTheme="majorHAnsi"/>
        </w:rPr>
        <w:br w:type="column"/>
      </w:r>
      <w:r w:rsidRPr="0067507D">
        <w:rPr>
          <w:rFonts w:asciiTheme="majorHAnsi" w:hAnsiTheme="majorHAnsi"/>
        </w:rPr>
        <w:t>Other economic flows included in net result</w:t>
      </w:r>
      <w:r w:rsidRPr="0067507D">
        <w:t xml:space="preserve"> are changes in the volume or value of an asset or liability that do not result from transactions. They include gains and losses from disposal or derecognition or reclassification, revaluation and impairment of non</w:t>
      </w:r>
      <w:r w:rsidR="006A5485">
        <w:noBreakHyphen/>
      </w:r>
      <w:r w:rsidRPr="0067507D">
        <w:t>financial physical and intangible assets, and fair value changes of financial instruments. It also includes revaluation of the present value of leave liabilities due to changes in bond interest rates.</w:t>
      </w:r>
    </w:p>
    <w:p w14:paraId="7EE4F345" w14:textId="77777777" w:rsidR="005D2595" w:rsidRPr="0067507D" w:rsidRDefault="005D2595" w:rsidP="005D2595">
      <w:r w:rsidRPr="0067507D">
        <w:rPr>
          <w:rFonts w:asciiTheme="majorHAnsi" w:hAnsiTheme="majorHAnsi"/>
        </w:rPr>
        <w:t>Other economic flows – other comprehensive income</w:t>
      </w:r>
      <w:r w:rsidRPr="0067507D">
        <w:t xml:space="preserve"> comprises items (including reclassification adjustments) that are not recognised in net result as required or permitted by other Australian Accounting Standards. The components of other economic flows – other comprehensive income include changes in physical asset revaluation surplus and changes arising from the remeasurement of defined benefit superannuation liabilities.</w:t>
      </w:r>
    </w:p>
    <w:p w14:paraId="30559428" w14:textId="58A7EBE4" w:rsidR="005D2595" w:rsidRPr="0067507D" w:rsidRDefault="005D2595" w:rsidP="005D2595">
      <w:r w:rsidRPr="0067507D">
        <w:rPr>
          <w:rFonts w:asciiTheme="majorHAnsi" w:hAnsiTheme="majorHAnsi"/>
        </w:rPr>
        <w:t>Payables</w:t>
      </w:r>
      <w:r w:rsidRPr="0067507D">
        <w:t xml:space="preserve"> include short and long</w:t>
      </w:r>
      <w:r w:rsidR="006A5485">
        <w:noBreakHyphen/>
      </w:r>
      <w:r w:rsidRPr="0067507D">
        <w:t>term trade debt and accounts payable, grants and interest payable.</w:t>
      </w:r>
    </w:p>
    <w:p w14:paraId="5E218032" w14:textId="6293417A" w:rsidR="005D2595" w:rsidRPr="0067507D" w:rsidRDefault="005D2595" w:rsidP="005D2595">
      <w:r w:rsidRPr="0067507D">
        <w:rPr>
          <w:rFonts w:asciiTheme="majorHAnsi" w:hAnsiTheme="majorHAnsi"/>
        </w:rPr>
        <w:t>Receivables</w:t>
      </w:r>
      <w:r w:rsidRPr="0067507D">
        <w:t xml:space="preserve"> includes short and long</w:t>
      </w:r>
      <w:r w:rsidR="006A5485">
        <w:noBreakHyphen/>
      </w:r>
      <w:r w:rsidRPr="0067507D">
        <w:t>term trade credit and accounts receivable, grants taxes and interest receivable.</w:t>
      </w:r>
    </w:p>
    <w:p w14:paraId="463FEACF" w14:textId="77777777" w:rsidR="005D2595" w:rsidRPr="0067507D" w:rsidRDefault="005D2595" w:rsidP="005D2595">
      <w:r w:rsidRPr="0067507D">
        <w:rPr>
          <w:rFonts w:asciiTheme="majorHAnsi" w:hAnsiTheme="majorHAnsi"/>
        </w:rPr>
        <w:t>Other operating expenses</w:t>
      </w:r>
      <w:r w:rsidRPr="0067507D">
        <w:t xml:space="preserve"> generally represent cost of goods sold and the day to day running costs, including maintenance costs, incurred in the normal operations of the Department.</w:t>
      </w:r>
    </w:p>
    <w:p w14:paraId="1D1FEF94" w14:textId="77777777" w:rsidR="005D2595" w:rsidRPr="0067507D" w:rsidRDefault="005D2595" w:rsidP="005D2595">
      <w:r w:rsidRPr="0067507D">
        <w:rPr>
          <w:rFonts w:asciiTheme="majorHAnsi" w:hAnsiTheme="majorHAnsi"/>
        </w:rPr>
        <w:t>Transactions</w:t>
      </w:r>
      <w:r w:rsidRPr="0067507D">
        <w:t xml:space="preserve"> are those economic flows that are considered to arise as a result of policy decisions, usually an interaction between two entities by mutual agreement. They also include flows within an entity such as depreciation where the owner is simultaneously acting as the owner of the depreciating asset and as the consumer of the service provided by the asset. Taxation is regarded as mutually agreed interactions between the government and taxpayers. Transactions can be in kind (e.g. assets provided/given free of change or for nominal consideration) or where the final consideration is cash. In simple terms, transactions arise from the policy decisions of the government.</w:t>
      </w:r>
    </w:p>
    <w:p w14:paraId="55C1F3C3" w14:textId="77777777" w:rsidR="00F32C4A" w:rsidRPr="0067507D" w:rsidRDefault="00F32C4A" w:rsidP="005D2595">
      <w:pPr>
        <w:ind w:right="265"/>
      </w:pPr>
    </w:p>
    <w:p w14:paraId="6B65DA97" w14:textId="77777777" w:rsidR="00250469" w:rsidRPr="0067507D" w:rsidRDefault="00250469" w:rsidP="00250469">
      <w:pPr>
        <w:sectPr w:rsidR="00250469" w:rsidRPr="0067507D" w:rsidSect="00250469">
          <w:headerReference w:type="default" r:id="rId146"/>
          <w:pgSz w:w="11909" w:h="16834" w:code="9"/>
          <w:pgMar w:top="1728" w:right="1152" w:bottom="1152" w:left="1152" w:header="720" w:footer="288" w:gutter="0"/>
          <w:cols w:num="2" w:space="569"/>
          <w:noEndnote/>
        </w:sectPr>
      </w:pPr>
    </w:p>
    <w:p w14:paraId="1C68AC8A" w14:textId="77777777" w:rsidR="00811961" w:rsidRPr="0067507D" w:rsidRDefault="00811961" w:rsidP="00811961">
      <w:pPr>
        <w:pStyle w:val="Heading1"/>
      </w:pPr>
      <w:bookmarkStart w:id="193" w:name="_Toc147312278"/>
      <w:bookmarkStart w:id="194" w:name="_Toc210221137"/>
      <w:r w:rsidRPr="0067507D">
        <w:lastRenderedPageBreak/>
        <w:t>Appendices</w:t>
      </w:r>
      <w:bookmarkEnd w:id="193"/>
      <w:bookmarkEnd w:id="194"/>
    </w:p>
    <w:p w14:paraId="76AFE759" w14:textId="77777777" w:rsidR="00811961" w:rsidRPr="0067507D" w:rsidRDefault="00811961" w:rsidP="00811961">
      <w:pPr>
        <w:rPr>
          <w:rFonts w:cstheme="minorHAnsi"/>
        </w:rPr>
      </w:pPr>
    </w:p>
    <w:p w14:paraId="3C729E08" w14:textId="2FA0A7B3" w:rsidR="005D2595" w:rsidRPr="0067507D" w:rsidRDefault="00811961">
      <w:pPr>
        <w:pStyle w:val="TOC2"/>
        <w:rPr>
          <w:rFonts w:eastAsiaTheme="minorEastAsia" w:cstheme="minorBidi"/>
          <w:color w:val="auto"/>
          <w:kern w:val="2"/>
          <w:sz w:val="24"/>
          <w:szCs w:val="24"/>
          <w14:ligatures w14:val="standardContextual"/>
        </w:rPr>
      </w:pPr>
      <w:r w:rsidRPr="0067507D">
        <w:rPr>
          <w:rFonts w:cstheme="minorHAnsi"/>
          <w:noProof w:val="0"/>
          <w:color w:val="505050"/>
          <w:sz w:val="20"/>
        </w:rPr>
        <w:fldChar w:fldCharType="begin"/>
      </w:r>
      <w:r w:rsidRPr="0067507D">
        <w:rPr>
          <w:rFonts w:cstheme="minorHAnsi"/>
          <w:noProof w:val="0"/>
          <w:color w:val="505050"/>
        </w:rPr>
        <w:instrText xml:space="preserve"> TOC \h \z di\t "Heading 1 App,2" </w:instrText>
      </w:r>
      <w:r w:rsidRPr="0067507D">
        <w:rPr>
          <w:rFonts w:cstheme="minorHAnsi"/>
          <w:noProof w:val="0"/>
          <w:color w:val="505050"/>
          <w:sz w:val="20"/>
        </w:rPr>
        <w:fldChar w:fldCharType="separate"/>
      </w:r>
      <w:hyperlink w:anchor="_Toc210221110" w:history="1">
        <w:r w:rsidR="005D2595" w:rsidRPr="0067507D">
          <w:rPr>
            <w:rStyle w:val="Hyperlink"/>
          </w:rPr>
          <w:t>Appendix 1</w:t>
        </w:r>
        <w:r w:rsidR="005D2595" w:rsidRPr="0067507D">
          <w:rPr>
            <w:rFonts w:eastAsiaTheme="minorEastAsia" w:cstheme="minorBidi"/>
            <w:color w:val="auto"/>
            <w:kern w:val="2"/>
            <w:sz w:val="24"/>
            <w:szCs w:val="24"/>
            <w14:ligatures w14:val="standardContextual"/>
          </w:rPr>
          <w:tab/>
        </w:r>
        <w:r w:rsidR="005D2595" w:rsidRPr="0067507D">
          <w:rPr>
            <w:rStyle w:val="Hyperlink"/>
          </w:rPr>
          <w:t>Workforce data</w:t>
        </w:r>
        <w:r w:rsidR="005D2595" w:rsidRPr="0067507D">
          <w:rPr>
            <w:webHidden/>
          </w:rPr>
          <w:tab/>
        </w:r>
        <w:r w:rsidR="005D2595" w:rsidRPr="0067507D">
          <w:rPr>
            <w:webHidden/>
          </w:rPr>
          <w:fldChar w:fldCharType="begin"/>
        </w:r>
        <w:r w:rsidR="005D2595" w:rsidRPr="0067507D">
          <w:rPr>
            <w:webHidden/>
          </w:rPr>
          <w:instrText xml:space="preserve"> PAGEREF _Toc210221110 \h </w:instrText>
        </w:r>
        <w:r w:rsidR="005D2595" w:rsidRPr="0067507D">
          <w:rPr>
            <w:webHidden/>
          </w:rPr>
        </w:r>
        <w:r w:rsidR="005D2595" w:rsidRPr="0067507D">
          <w:rPr>
            <w:webHidden/>
          </w:rPr>
          <w:fldChar w:fldCharType="separate"/>
        </w:r>
        <w:r w:rsidR="008F4C0F">
          <w:rPr>
            <w:webHidden/>
          </w:rPr>
          <w:t>104</w:t>
        </w:r>
        <w:r w:rsidR="005D2595" w:rsidRPr="0067507D">
          <w:rPr>
            <w:webHidden/>
          </w:rPr>
          <w:fldChar w:fldCharType="end"/>
        </w:r>
      </w:hyperlink>
    </w:p>
    <w:p w14:paraId="14257645" w14:textId="73630148" w:rsidR="005D2595" w:rsidRPr="0067507D" w:rsidRDefault="005D2595">
      <w:pPr>
        <w:pStyle w:val="TOC2"/>
        <w:rPr>
          <w:rFonts w:eastAsiaTheme="minorEastAsia" w:cstheme="minorBidi"/>
          <w:color w:val="auto"/>
          <w:kern w:val="2"/>
          <w:sz w:val="24"/>
          <w:szCs w:val="24"/>
          <w14:ligatures w14:val="standardContextual"/>
        </w:rPr>
      </w:pPr>
      <w:hyperlink w:anchor="_Toc210221111" w:history="1">
        <w:r w:rsidRPr="0067507D">
          <w:rPr>
            <w:rStyle w:val="Hyperlink"/>
          </w:rPr>
          <w:t>Appendix 2</w:t>
        </w:r>
        <w:r w:rsidRPr="0067507D">
          <w:rPr>
            <w:rFonts w:eastAsiaTheme="minorEastAsia" w:cstheme="minorBidi"/>
            <w:color w:val="auto"/>
            <w:kern w:val="2"/>
            <w:sz w:val="24"/>
            <w:szCs w:val="24"/>
            <w14:ligatures w14:val="standardContextual"/>
          </w:rPr>
          <w:tab/>
        </w:r>
        <w:r w:rsidRPr="0067507D">
          <w:rPr>
            <w:rStyle w:val="Hyperlink"/>
          </w:rPr>
          <w:t>DTF occupational health and safety report 30 June 2025</w:t>
        </w:r>
        <w:r w:rsidRPr="0067507D">
          <w:rPr>
            <w:webHidden/>
          </w:rPr>
          <w:tab/>
        </w:r>
        <w:r w:rsidRPr="0067507D">
          <w:rPr>
            <w:webHidden/>
          </w:rPr>
          <w:fldChar w:fldCharType="begin"/>
        </w:r>
        <w:r w:rsidRPr="0067507D">
          <w:rPr>
            <w:webHidden/>
          </w:rPr>
          <w:instrText xml:space="preserve"> PAGEREF _Toc210221111 \h </w:instrText>
        </w:r>
        <w:r w:rsidRPr="0067507D">
          <w:rPr>
            <w:webHidden/>
          </w:rPr>
        </w:r>
        <w:r w:rsidRPr="0067507D">
          <w:rPr>
            <w:webHidden/>
          </w:rPr>
          <w:fldChar w:fldCharType="separate"/>
        </w:r>
        <w:r w:rsidR="008F4C0F">
          <w:rPr>
            <w:webHidden/>
          </w:rPr>
          <w:t>119</w:t>
        </w:r>
        <w:r w:rsidRPr="0067507D">
          <w:rPr>
            <w:webHidden/>
          </w:rPr>
          <w:fldChar w:fldCharType="end"/>
        </w:r>
      </w:hyperlink>
    </w:p>
    <w:p w14:paraId="7C36F4FA" w14:textId="673CE84F" w:rsidR="005D2595" w:rsidRPr="0067507D" w:rsidRDefault="005D2595">
      <w:pPr>
        <w:pStyle w:val="TOC2"/>
        <w:rPr>
          <w:rFonts w:eastAsiaTheme="minorEastAsia" w:cstheme="minorBidi"/>
          <w:color w:val="auto"/>
          <w:kern w:val="2"/>
          <w:sz w:val="24"/>
          <w:szCs w:val="24"/>
          <w14:ligatures w14:val="standardContextual"/>
        </w:rPr>
      </w:pPr>
      <w:hyperlink w:anchor="_Toc210221112" w:history="1">
        <w:r w:rsidRPr="0067507D">
          <w:rPr>
            <w:rStyle w:val="Hyperlink"/>
          </w:rPr>
          <w:t>Appendix 3</w:t>
        </w:r>
        <w:r w:rsidRPr="0067507D">
          <w:rPr>
            <w:rFonts w:eastAsiaTheme="minorEastAsia" w:cstheme="minorBidi"/>
            <w:color w:val="auto"/>
            <w:kern w:val="2"/>
            <w:sz w:val="24"/>
            <w:szCs w:val="24"/>
            <w14:ligatures w14:val="standardContextual"/>
          </w:rPr>
          <w:tab/>
        </w:r>
        <w:r w:rsidRPr="0067507D">
          <w:rPr>
            <w:rStyle w:val="Hyperlink"/>
          </w:rPr>
          <w:t>Reporting of environmental data</w:t>
        </w:r>
        <w:r w:rsidRPr="0067507D">
          <w:rPr>
            <w:webHidden/>
          </w:rPr>
          <w:tab/>
        </w:r>
        <w:r w:rsidRPr="0067507D">
          <w:rPr>
            <w:webHidden/>
          </w:rPr>
          <w:fldChar w:fldCharType="begin"/>
        </w:r>
        <w:r w:rsidRPr="0067507D">
          <w:rPr>
            <w:webHidden/>
          </w:rPr>
          <w:instrText xml:space="preserve"> PAGEREF _Toc210221112 \h </w:instrText>
        </w:r>
        <w:r w:rsidRPr="0067507D">
          <w:rPr>
            <w:webHidden/>
          </w:rPr>
        </w:r>
        <w:r w:rsidRPr="0067507D">
          <w:rPr>
            <w:webHidden/>
          </w:rPr>
          <w:fldChar w:fldCharType="separate"/>
        </w:r>
        <w:r w:rsidR="008F4C0F">
          <w:rPr>
            <w:webHidden/>
          </w:rPr>
          <w:t>126</w:t>
        </w:r>
        <w:r w:rsidRPr="0067507D">
          <w:rPr>
            <w:webHidden/>
          </w:rPr>
          <w:fldChar w:fldCharType="end"/>
        </w:r>
      </w:hyperlink>
    </w:p>
    <w:p w14:paraId="636118B3" w14:textId="3E5E94C2" w:rsidR="005D2595" w:rsidRPr="0067507D" w:rsidRDefault="005D2595">
      <w:pPr>
        <w:pStyle w:val="TOC2"/>
        <w:rPr>
          <w:rFonts w:eastAsiaTheme="minorEastAsia" w:cstheme="minorBidi"/>
          <w:color w:val="auto"/>
          <w:kern w:val="2"/>
          <w:sz w:val="24"/>
          <w:szCs w:val="24"/>
          <w14:ligatures w14:val="standardContextual"/>
        </w:rPr>
      </w:pPr>
      <w:hyperlink w:anchor="_Toc210221113" w:history="1">
        <w:r w:rsidRPr="0067507D">
          <w:rPr>
            <w:rStyle w:val="Hyperlink"/>
          </w:rPr>
          <w:t>Appendix 4</w:t>
        </w:r>
        <w:r w:rsidRPr="0067507D">
          <w:rPr>
            <w:rFonts w:eastAsiaTheme="minorEastAsia" w:cstheme="minorBidi"/>
            <w:color w:val="auto"/>
            <w:kern w:val="2"/>
            <w:sz w:val="24"/>
            <w:szCs w:val="24"/>
            <w14:ligatures w14:val="standardContextual"/>
          </w:rPr>
          <w:tab/>
        </w:r>
        <w:r w:rsidRPr="0067507D">
          <w:rPr>
            <w:rStyle w:val="Hyperlink"/>
          </w:rPr>
          <w:t>Statutory compliance and other information</w:t>
        </w:r>
        <w:r w:rsidRPr="0067507D">
          <w:rPr>
            <w:webHidden/>
          </w:rPr>
          <w:tab/>
        </w:r>
        <w:r w:rsidRPr="0067507D">
          <w:rPr>
            <w:webHidden/>
          </w:rPr>
          <w:fldChar w:fldCharType="begin"/>
        </w:r>
        <w:r w:rsidRPr="0067507D">
          <w:rPr>
            <w:webHidden/>
          </w:rPr>
          <w:instrText xml:space="preserve"> PAGEREF _Toc210221113 \h </w:instrText>
        </w:r>
        <w:r w:rsidRPr="0067507D">
          <w:rPr>
            <w:webHidden/>
          </w:rPr>
        </w:r>
        <w:r w:rsidRPr="0067507D">
          <w:rPr>
            <w:webHidden/>
          </w:rPr>
          <w:fldChar w:fldCharType="separate"/>
        </w:r>
        <w:r w:rsidR="008F4C0F">
          <w:rPr>
            <w:webHidden/>
          </w:rPr>
          <w:t>135</w:t>
        </w:r>
        <w:r w:rsidRPr="0067507D">
          <w:rPr>
            <w:webHidden/>
          </w:rPr>
          <w:fldChar w:fldCharType="end"/>
        </w:r>
      </w:hyperlink>
    </w:p>
    <w:p w14:paraId="1EFD6ADD" w14:textId="692CCD3E" w:rsidR="005D2595" w:rsidRPr="0067507D" w:rsidRDefault="005D2595">
      <w:pPr>
        <w:pStyle w:val="TOC2"/>
        <w:rPr>
          <w:rFonts w:eastAsiaTheme="minorEastAsia" w:cstheme="minorBidi"/>
          <w:color w:val="auto"/>
          <w:kern w:val="2"/>
          <w:sz w:val="24"/>
          <w:szCs w:val="24"/>
          <w14:ligatures w14:val="standardContextual"/>
        </w:rPr>
      </w:pPr>
      <w:hyperlink w:anchor="_Toc210221114" w:history="1">
        <w:r w:rsidRPr="0067507D">
          <w:rPr>
            <w:rStyle w:val="Hyperlink"/>
          </w:rPr>
          <w:t>Appendix 5</w:t>
        </w:r>
        <w:r w:rsidRPr="0067507D">
          <w:rPr>
            <w:rFonts w:eastAsiaTheme="minorEastAsia" w:cstheme="minorBidi"/>
            <w:color w:val="auto"/>
            <w:kern w:val="2"/>
            <w:sz w:val="24"/>
            <w:szCs w:val="24"/>
            <w14:ligatures w14:val="standardContextual"/>
          </w:rPr>
          <w:tab/>
        </w:r>
        <w:r w:rsidRPr="0067507D">
          <w:rPr>
            <w:rStyle w:val="Hyperlink"/>
          </w:rPr>
          <w:t>Disclosure index</w:t>
        </w:r>
        <w:r w:rsidRPr="0067507D">
          <w:rPr>
            <w:webHidden/>
          </w:rPr>
          <w:tab/>
        </w:r>
        <w:r w:rsidRPr="0067507D">
          <w:rPr>
            <w:webHidden/>
          </w:rPr>
          <w:fldChar w:fldCharType="begin"/>
        </w:r>
        <w:r w:rsidRPr="0067507D">
          <w:rPr>
            <w:webHidden/>
          </w:rPr>
          <w:instrText xml:space="preserve"> PAGEREF _Toc210221114 \h </w:instrText>
        </w:r>
        <w:r w:rsidRPr="0067507D">
          <w:rPr>
            <w:webHidden/>
          </w:rPr>
        </w:r>
        <w:r w:rsidRPr="0067507D">
          <w:rPr>
            <w:webHidden/>
          </w:rPr>
          <w:fldChar w:fldCharType="separate"/>
        </w:r>
        <w:r w:rsidR="008F4C0F">
          <w:rPr>
            <w:webHidden/>
          </w:rPr>
          <w:t>156</w:t>
        </w:r>
        <w:r w:rsidRPr="0067507D">
          <w:rPr>
            <w:webHidden/>
          </w:rPr>
          <w:fldChar w:fldCharType="end"/>
        </w:r>
      </w:hyperlink>
    </w:p>
    <w:p w14:paraId="19A40090" w14:textId="7AF95FF9" w:rsidR="00811961" w:rsidRPr="0067507D" w:rsidRDefault="00811961" w:rsidP="00424A65">
      <w:pPr>
        <w:rPr>
          <w:rFonts w:cstheme="minorHAnsi"/>
          <w:color w:val="4A4A4A"/>
          <w:szCs w:val="20"/>
        </w:rPr>
      </w:pPr>
      <w:r w:rsidRPr="0067507D">
        <w:fldChar w:fldCharType="end"/>
      </w:r>
    </w:p>
    <w:p w14:paraId="43B64F35" w14:textId="77777777" w:rsidR="00811961" w:rsidRPr="0067507D" w:rsidRDefault="00811961" w:rsidP="00811961"/>
    <w:p w14:paraId="44097540" w14:textId="77777777" w:rsidR="00811961" w:rsidRPr="0067507D" w:rsidRDefault="00811961" w:rsidP="00811961">
      <w:pPr>
        <w:pStyle w:val="Notes"/>
        <w:spacing w:before="40" w:after="40"/>
      </w:pPr>
    </w:p>
    <w:p w14:paraId="39E3FFA7" w14:textId="77777777" w:rsidR="00811961" w:rsidRPr="0067507D" w:rsidRDefault="00811961" w:rsidP="00811961">
      <w:pPr>
        <w:pStyle w:val="Heading1"/>
        <w:rPr>
          <w:rFonts w:asciiTheme="minorHAnsi" w:hAnsiTheme="minorHAnsi" w:cstheme="minorHAnsi"/>
        </w:rPr>
        <w:sectPr w:rsidR="00811961" w:rsidRPr="0067507D" w:rsidSect="00811961">
          <w:headerReference w:type="even" r:id="rId147"/>
          <w:headerReference w:type="default" r:id="rId148"/>
          <w:pgSz w:w="11909" w:h="16834" w:code="9"/>
          <w:pgMar w:top="1728" w:right="1152" w:bottom="1152" w:left="1152" w:header="720" w:footer="288" w:gutter="0"/>
          <w:cols w:space="569"/>
          <w:noEndnote/>
        </w:sectPr>
      </w:pPr>
    </w:p>
    <w:p w14:paraId="428A3E3B" w14:textId="75B8FA0F" w:rsidR="00113E1C" w:rsidRPr="0067507D" w:rsidRDefault="00113E1C" w:rsidP="00113E1C">
      <w:pPr>
        <w:pStyle w:val="Heading1App"/>
      </w:pPr>
      <w:bookmarkStart w:id="195" w:name="_Toc115251043"/>
      <w:bookmarkStart w:id="196" w:name="_Toc144211690"/>
      <w:bookmarkStart w:id="197" w:name="_Toc147312279"/>
      <w:bookmarkStart w:id="198" w:name="_Toc210221110"/>
      <w:bookmarkStart w:id="199" w:name="_Toc210221138"/>
      <w:r w:rsidRPr="0067507D">
        <w:lastRenderedPageBreak/>
        <w:t>Appendix 1</w:t>
      </w:r>
      <w:r w:rsidRPr="0067507D">
        <w:tab/>
        <w:t>Workforce data</w:t>
      </w:r>
      <w:bookmarkStart w:id="200" w:name="Workforce1"/>
      <w:bookmarkEnd w:id="195"/>
      <w:bookmarkEnd w:id="196"/>
      <w:bookmarkEnd w:id="197"/>
      <w:bookmarkEnd w:id="198"/>
      <w:bookmarkEnd w:id="199"/>
      <w:bookmarkEnd w:id="200"/>
    </w:p>
    <w:p w14:paraId="4C8234CD" w14:textId="0AC4FCB4" w:rsidR="00113E1C" w:rsidRPr="0067507D" w:rsidRDefault="00113E1C" w:rsidP="00113E1C">
      <w:pPr>
        <w:pStyle w:val="Heading2"/>
        <w:sectPr w:rsidR="00113E1C" w:rsidRPr="0067507D" w:rsidSect="00A104E2">
          <w:headerReference w:type="even" r:id="rId149"/>
          <w:headerReference w:type="default" r:id="rId150"/>
          <w:footerReference w:type="even" r:id="rId151"/>
          <w:pgSz w:w="11909" w:h="16834" w:code="9"/>
          <w:pgMar w:top="1729" w:right="1151" w:bottom="1151" w:left="1151" w:header="720" w:footer="289" w:gutter="0"/>
          <w:cols w:space="720"/>
          <w:noEndnote/>
        </w:sectPr>
      </w:pPr>
    </w:p>
    <w:p w14:paraId="0A553575" w14:textId="77777777" w:rsidR="00113E1C" w:rsidRPr="0067507D" w:rsidRDefault="00113E1C" w:rsidP="00113E1C">
      <w:pPr>
        <w:pStyle w:val="Heading2"/>
      </w:pPr>
      <w:bookmarkStart w:id="201" w:name="_Ref210223376"/>
      <w:bookmarkStart w:id="202" w:name="_Ref492626850"/>
      <w:r w:rsidRPr="0067507D">
        <w:t>Public sector values and employment principles</w:t>
      </w:r>
      <w:bookmarkEnd w:id="201"/>
    </w:p>
    <w:p w14:paraId="01F07A96" w14:textId="77777777" w:rsidR="00113E1C" w:rsidRPr="0067507D" w:rsidRDefault="00113E1C" w:rsidP="00113E1C">
      <w:pPr>
        <w:rPr>
          <w:b/>
        </w:rPr>
      </w:pPr>
      <w:r w:rsidRPr="0067507D">
        <w:t xml:space="preserve">The </w:t>
      </w:r>
      <w:r w:rsidRPr="0067507D">
        <w:rPr>
          <w:i/>
        </w:rPr>
        <w:t xml:space="preserve">Public Administration Act 2004 </w:t>
      </w:r>
      <w:r w:rsidRPr="0067507D">
        <w:t xml:space="preserve">established the Victorian Public Sector Commission (VPSC). The VPSC’s role is to strengthen public sector efficiency, effectiveness and capability, and advocate for public sector professionalism and integrity. </w:t>
      </w:r>
    </w:p>
    <w:p w14:paraId="019B7EFF" w14:textId="66FA3EA1" w:rsidR="00113E1C" w:rsidRPr="0067507D" w:rsidRDefault="00113E1C" w:rsidP="006F3595">
      <w:r w:rsidRPr="0067507D">
        <w:t>The Department’s policies and practices are consistent with the VPSC’s employment standards, and provide for fair treatment, career development opportunities and the early resolution of workplace issues. The Department advises its employees on how to avoid conflicts of interest, how to respond to offers of gifts</w:t>
      </w:r>
      <w:r w:rsidR="006514BB" w:rsidRPr="0067507D">
        <w:t>, benefits</w:t>
      </w:r>
      <w:r w:rsidRPr="0067507D">
        <w:t xml:space="preserve"> and hospitality and how to deal with misconduct. </w:t>
      </w:r>
    </w:p>
    <w:p w14:paraId="4563C073" w14:textId="71316A40" w:rsidR="00113E1C" w:rsidRPr="0067507D" w:rsidRDefault="00113E1C" w:rsidP="00113E1C">
      <w:pPr>
        <w:pStyle w:val="Heading2"/>
      </w:pPr>
      <w:r w:rsidRPr="0067507D">
        <w:t xml:space="preserve">Developing capability </w:t>
      </w:r>
    </w:p>
    <w:p w14:paraId="1EDAD503" w14:textId="0F174800" w:rsidR="00113E1C" w:rsidRPr="0067507D" w:rsidRDefault="00113E1C" w:rsidP="00113E1C">
      <w:pPr>
        <w:pStyle w:val="Heading3"/>
      </w:pPr>
      <w:r w:rsidRPr="0067507D">
        <w:t xml:space="preserve">Learning and development </w:t>
      </w:r>
    </w:p>
    <w:p w14:paraId="4C2AA7A2" w14:textId="6885194A" w:rsidR="00113E1C" w:rsidRPr="0067507D" w:rsidRDefault="00C3589F" w:rsidP="00113E1C">
      <w:r w:rsidRPr="0067507D">
        <w:t>T</w:t>
      </w:r>
      <w:r w:rsidR="00495F16" w:rsidRPr="0067507D">
        <w:t>he</w:t>
      </w:r>
      <w:r w:rsidR="00113E1C" w:rsidRPr="0067507D">
        <w:t xml:space="preserve"> Department continues to efficiently manage compliance training, external courses, and workshops while also developing learning modules requested by the business</w:t>
      </w:r>
      <w:r w:rsidR="004A7034" w:rsidRPr="0067507D">
        <w:t>.</w:t>
      </w:r>
    </w:p>
    <w:p w14:paraId="63244135" w14:textId="77777777" w:rsidR="000454D5" w:rsidRPr="0067507D" w:rsidRDefault="004A7034" w:rsidP="004A7034">
      <w:r w:rsidRPr="0067507D">
        <w:t xml:space="preserve">All </w:t>
      </w:r>
      <w:r w:rsidR="00D02937" w:rsidRPr="0067507D">
        <w:t>employees</w:t>
      </w:r>
      <w:r w:rsidRPr="0067507D">
        <w:t xml:space="preserve"> were invited to build their financial reporting capabilities, with training that was facilitated by DTF’s Accounting Policy team, covering key Victorian Financial Reporting Directions (FRDs), changes in accounting policies and estimates, sustainability reporting developments, and more. </w:t>
      </w:r>
    </w:p>
    <w:p w14:paraId="6649F593" w14:textId="5906610C" w:rsidR="004A7034" w:rsidRPr="0067507D" w:rsidRDefault="004A7034" w:rsidP="004A7034">
      <w:r w:rsidRPr="0067507D">
        <w:t xml:space="preserve">This technical training </w:t>
      </w:r>
      <w:r w:rsidR="000A07E0" w:rsidRPr="0067507D">
        <w:t>has also been offered more broadly outside DTF, with the aim of</w:t>
      </w:r>
      <w:r w:rsidRPr="0067507D">
        <w:t xml:space="preserve"> further strengthen</w:t>
      </w:r>
      <w:r w:rsidR="000A07E0" w:rsidRPr="0067507D">
        <w:t>ing</w:t>
      </w:r>
      <w:r w:rsidRPr="0067507D">
        <w:t xml:space="preserve"> financial reporting capabilities across the Victorian public sector.</w:t>
      </w:r>
    </w:p>
    <w:p w14:paraId="0605BD24" w14:textId="36C95BE2" w:rsidR="00113E1C" w:rsidRPr="0067507D" w:rsidRDefault="05663174" w:rsidP="00F67350">
      <w:pPr>
        <w:rPr>
          <w:rFonts w:eastAsia="Tahoma"/>
          <w:szCs w:val="17"/>
        </w:rPr>
      </w:pPr>
      <w:r w:rsidRPr="0067507D">
        <w:rPr>
          <w:rFonts w:eastAsia="Tahoma"/>
        </w:rPr>
        <w:t xml:space="preserve">Under its participation in the DGS corporate shared services model, DTF employees have </w:t>
      </w:r>
      <w:r w:rsidR="5FBFB5D4" w:rsidRPr="0067507D">
        <w:rPr>
          <w:rFonts w:eastAsia="Tahoma"/>
          <w:szCs w:val="17"/>
        </w:rPr>
        <w:t xml:space="preserve">accessed a range of </w:t>
      </w:r>
      <w:r w:rsidR="000DFCB4" w:rsidRPr="0067507D">
        <w:rPr>
          <w:rFonts w:eastAsia="Tahoma"/>
          <w:szCs w:val="17"/>
        </w:rPr>
        <w:t xml:space="preserve">live learning </w:t>
      </w:r>
      <w:r w:rsidR="567A2E56" w:rsidRPr="0067507D">
        <w:rPr>
          <w:rFonts w:eastAsia="Tahoma"/>
          <w:szCs w:val="17"/>
        </w:rPr>
        <w:t xml:space="preserve">sessions </w:t>
      </w:r>
      <w:r w:rsidR="5FBFB5D4" w:rsidRPr="0067507D">
        <w:rPr>
          <w:rFonts w:eastAsia="Tahoma"/>
          <w:szCs w:val="17"/>
        </w:rPr>
        <w:t xml:space="preserve">to develop </w:t>
      </w:r>
      <w:r w:rsidR="29E7EE8A" w:rsidRPr="0067507D">
        <w:rPr>
          <w:rFonts w:eastAsia="Tahoma"/>
          <w:szCs w:val="17"/>
        </w:rPr>
        <w:t xml:space="preserve">key capabilities. These </w:t>
      </w:r>
      <w:r w:rsidR="2A32997F" w:rsidRPr="0067507D">
        <w:rPr>
          <w:rFonts w:eastAsia="Tahoma"/>
          <w:szCs w:val="17"/>
        </w:rPr>
        <w:t>have included</w:t>
      </w:r>
      <w:r w:rsidR="00F67350" w:rsidRPr="0067507D">
        <w:rPr>
          <w:rFonts w:eastAsia="Tahoma"/>
          <w:szCs w:val="17"/>
        </w:rPr>
        <w:t xml:space="preserve"> </w:t>
      </w:r>
      <w:r w:rsidR="004D315E" w:rsidRPr="0067507D">
        <w:rPr>
          <w:rFonts w:eastAsia="Tahoma"/>
          <w:szCs w:val="17"/>
        </w:rPr>
        <w:t xml:space="preserve">the </w:t>
      </w:r>
      <w:r w:rsidR="2A32997F" w:rsidRPr="0067507D">
        <w:rPr>
          <w:rFonts w:eastAsia="Tahoma"/>
          <w:szCs w:val="17"/>
        </w:rPr>
        <w:t xml:space="preserve">Manager Essentials program </w:t>
      </w:r>
      <w:r w:rsidR="00226A44" w:rsidRPr="0067507D">
        <w:rPr>
          <w:rFonts w:eastAsia="Tahoma"/>
          <w:szCs w:val="17"/>
        </w:rPr>
        <w:t xml:space="preserve">for people leaders, </w:t>
      </w:r>
      <w:r w:rsidR="2A32997F" w:rsidRPr="0067507D">
        <w:rPr>
          <w:rFonts w:eastAsia="Tahoma"/>
          <w:szCs w:val="17"/>
        </w:rPr>
        <w:t>the Employee Essentials program</w:t>
      </w:r>
      <w:r w:rsidR="00F67350" w:rsidRPr="0067507D">
        <w:rPr>
          <w:rFonts w:eastAsia="Tahoma"/>
          <w:szCs w:val="17"/>
        </w:rPr>
        <w:t xml:space="preserve">, </w:t>
      </w:r>
      <w:r w:rsidR="002E53D2" w:rsidRPr="0067507D">
        <w:rPr>
          <w:rFonts w:eastAsia="Tahoma"/>
          <w:szCs w:val="17"/>
        </w:rPr>
        <w:t>B</w:t>
      </w:r>
      <w:r w:rsidR="008E58EE" w:rsidRPr="0067507D">
        <w:rPr>
          <w:rFonts w:eastAsia="Tahoma"/>
          <w:szCs w:val="17"/>
        </w:rPr>
        <w:t xml:space="preserve">rief </w:t>
      </w:r>
      <w:r w:rsidR="002E53D2" w:rsidRPr="0067507D">
        <w:rPr>
          <w:rFonts w:eastAsia="Tahoma"/>
          <w:szCs w:val="17"/>
        </w:rPr>
        <w:t>W</w:t>
      </w:r>
      <w:r w:rsidR="008E58EE" w:rsidRPr="0067507D">
        <w:rPr>
          <w:rFonts w:eastAsia="Tahoma"/>
          <w:szCs w:val="17"/>
        </w:rPr>
        <w:t>riting training</w:t>
      </w:r>
      <w:r w:rsidR="00D9050F" w:rsidRPr="0067507D">
        <w:rPr>
          <w:rFonts w:eastAsia="Tahoma"/>
          <w:szCs w:val="17"/>
        </w:rPr>
        <w:t xml:space="preserve"> (</w:t>
      </w:r>
      <w:r w:rsidR="009614F1" w:rsidRPr="0067507D">
        <w:rPr>
          <w:rFonts w:eastAsia="Tahoma"/>
          <w:szCs w:val="17"/>
        </w:rPr>
        <w:t>84</w:t>
      </w:r>
      <w:r w:rsidR="003E4185" w:rsidRPr="0067507D">
        <w:rPr>
          <w:rFonts w:ascii="Calibri" w:eastAsia="Tahoma" w:hAnsi="Calibri" w:cs="Calibri"/>
          <w:szCs w:val="17"/>
        </w:rPr>
        <w:t> </w:t>
      </w:r>
      <w:r w:rsidR="00D9050F" w:rsidRPr="0067507D">
        <w:rPr>
          <w:rFonts w:eastAsia="Tahoma"/>
          <w:szCs w:val="17"/>
        </w:rPr>
        <w:t>employees attended</w:t>
      </w:r>
      <w:r w:rsidR="00265236" w:rsidRPr="0067507D">
        <w:rPr>
          <w:rFonts w:eastAsia="Tahoma"/>
          <w:szCs w:val="17"/>
        </w:rPr>
        <w:t>)</w:t>
      </w:r>
      <w:r w:rsidR="008E58EE" w:rsidRPr="0067507D">
        <w:rPr>
          <w:rFonts w:eastAsia="Tahoma"/>
          <w:szCs w:val="17"/>
        </w:rPr>
        <w:t xml:space="preserve">, </w:t>
      </w:r>
      <w:r w:rsidR="002E53D2" w:rsidRPr="0067507D">
        <w:rPr>
          <w:rFonts w:eastAsia="Tahoma"/>
          <w:szCs w:val="17"/>
        </w:rPr>
        <w:t>M</w:t>
      </w:r>
      <w:r w:rsidR="00E27218" w:rsidRPr="0067507D">
        <w:rPr>
          <w:rFonts w:eastAsia="Tahoma"/>
          <w:szCs w:val="17"/>
        </w:rPr>
        <w:t xml:space="preserve">anagerial </w:t>
      </w:r>
      <w:r w:rsidR="002E53D2" w:rsidRPr="0067507D">
        <w:rPr>
          <w:rFonts w:eastAsia="Tahoma"/>
          <w:szCs w:val="17"/>
        </w:rPr>
        <w:t>W</w:t>
      </w:r>
      <w:r w:rsidR="00E27218" w:rsidRPr="0067507D">
        <w:rPr>
          <w:rFonts w:eastAsia="Tahoma"/>
          <w:szCs w:val="17"/>
        </w:rPr>
        <w:t xml:space="preserve">riting </w:t>
      </w:r>
      <w:r w:rsidR="002E53D2" w:rsidRPr="0067507D">
        <w:rPr>
          <w:rFonts w:eastAsia="Tahoma"/>
          <w:szCs w:val="17"/>
        </w:rPr>
        <w:t>S</w:t>
      </w:r>
      <w:r w:rsidR="00E27218" w:rsidRPr="0067507D">
        <w:rPr>
          <w:rFonts w:eastAsia="Tahoma"/>
          <w:szCs w:val="17"/>
        </w:rPr>
        <w:t>kills (</w:t>
      </w:r>
      <w:r w:rsidR="001D361A" w:rsidRPr="0067507D">
        <w:rPr>
          <w:rFonts w:eastAsia="Tahoma"/>
          <w:szCs w:val="17"/>
        </w:rPr>
        <w:t>31</w:t>
      </w:r>
      <w:r w:rsidR="00E27218" w:rsidRPr="0067507D">
        <w:rPr>
          <w:rFonts w:eastAsia="Tahoma"/>
          <w:szCs w:val="17"/>
        </w:rPr>
        <w:t xml:space="preserve"> employees</w:t>
      </w:r>
      <w:r w:rsidR="00D2120A" w:rsidRPr="0067507D">
        <w:rPr>
          <w:rFonts w:eastAsia="Tahoma"/>
          <w:szCs w:val="17"/>
        </w:rPr>
        <w:t xml:space="preserve"> attended</w:t>
      </w:r>
      <w:r w:rsidR="00E27218" w:rsidRPr="0067507D">
        <w:rPr>
          <w:rFonts w:eastAsia="Tahoma"/>
          <w:szCs w:val="17"/>
        </w:rPr>
        <w:t xml:space="preserve">) </w:t>
      </w:r>
      <w:r w:rsidR="008E58EE" w:rsidRPr="0067507D">
        <w:rPr>
          <w:rFonts w:eastAsia="Tahoma"/>
          <w:szCs w:val="17"/>
        </w:rPr>
        <w:t>and Building Positive and Respectful Workplace Behaviours training</w:t>
      </w:r>
      <w:r w:rsidR="00E27218" w:rsidRPr="0067507D">
        <w:rPr>
          <w:rFonts w:eastAsia="Tahoma"/>
          <w:szCs w:val="17"/>
        </w:rPr>
        <w:t xml:space="preserve"> (</w:t>
      </w:r>
      <w:r w:rsidR="0086103F" w:rsidRPr="0067507D">
        <w:rPr>
          <w:rFonts w:eastAsia="Tahoma"/>
          <w:szCs w:val="17"/>
        </w:rPr>
        <w:t>131</w:t>
      </w:r>
      <w:r w:rsidR="003E4185" w:rsidRPr="0067507D">
        <w:rPr>
          <w:rFonts w:ascii="Calibri" w:eastAsia="Tahoma" w:hAnsi="Calibri" w:cs="Calibri"/>
          <w:szCs w:val="17"/>
        </w:rPr>
        <w:t> </w:t>
      </w:r>
      <w:r w:rsidR="00E27218" w:rsidRPr="0067507D">
        <w:rPr>
          <w:rFonts w:eastAsia="Tahoma"/>
          <w:szCs w:val="17"/>
        </w:rPr>
        <w:t>employees</w:t>
      </w:r>
      <w:r w:rsidR="00D2120A" w:rsidRPr="0067507D">
        <w:rPr>
          <w:rFonts w:eastAsia="Tahoma"/>
          <w:szCs w:val="17"/>
        </w:rPr>
        <w:t xml:space="preserve"> attended</w:t>
      </w:r>
      <w:r w:rsidR="00E27218" w:rsidRPr="0067507D">
        <w:rPr>
          <w:rFonts w:eastAsia="Tahoma"/>
          <w:szCs w:val="17"/>
        </w:rPr>
        <w:t>)</w:t>
      </w:r>
      <w:r w:rsidR="2A32997F" w:rsidRPr="0067507D">
        <w:rPr>
          <w:rFonts w:eastAsia="Tahoma"/>
          <w:szCs w:val="17"/>
        </w:rPr>
        <w:t>.</w:t>
      </w:r>
      <w:r w:rsidR="00C17315" w:rsidRPr="0067507D">
        <w:rPr>
          <w:rFonts w:eastAsia="Tahoma"/>
          <w:szCs w:val="17"/>
        </w:rPr>
        <w:t xml:space="preserve"> </w:t>
      </w:r>
    </w:p>
    <w:p w14:paraId="484F06DB" w14:textId="5A1AC39E" w:rsidR="009627EC" w:rsidRPr="0067507D" w:rsidRDefault="009627EC" w:rsidP="00113E1C">
      <w:pPr>
        <w:rPr>
          <w:szCs w:val="17"/>
        </w:rPr>
      </w:pPr>
      <w:r w:rsidRPr="0067507D">
        <w:rPr>
          <w:szCs w:val="17"/>
        </w:rPr>
        <w:t>Two new training modules were launched to help employees understand their obligations around using generative artificial intelligence at work.</w:t>
      </w:r>
    </w:p>
    <w:p w14:paraId="3824E174" w14:textId="1D654E30" w:rsidR="00883836" w:rsidRPr="0067507D" w:rsidRDefault="00113E1C" w:rsidP="00113E1C">
      <w:pPr>
        <w:rPr>
          <w:szCs w:val="17"/>
        </w:rPr>
      </w:pPr>
      <w:r w:rsidRPr="0067507D">
        <w:rPr>
          <w:szCs w:val="17"/>
        </w:rPr>
        <w:t>To enhance employees’ capability and foster professional growth in a collaborative and engaging manner, the Department continues to use the LinkedIn Learning Hub</w:t>
      </w:r>
      <w:r w:rsidR="001E2EDD" w:rsidRPr="0067507D">
        <w:rPr>
          <w:szCs w:val="17"/>
        </w:rPr>
        <w:t xml:space="preserve">, </w:t>
      </w:r>
      <w:r w:rsidR="006501FF" w:rsidRPr="0067507D">
        <w:rPr>
          <w:szCs w:val="17"/>
        </w:rPr>
        <w:t xml:space="preserve">an online educational platform </w:t>
      </w:r>
      <w:r w:rsidR="001E2EDD" w:rsidRPr="0067507D">
        <w:rPr>
          <w:szCs w:val="17"/>
        </w:rPr>
        <w:t>with</w:t>
      </w:r>
      <w:r w:rsidR="00EE76AE" w:rsidRPr="0067507D">
        <w:rPr>
          <w:szCs w:val="17"/>
        </w:rPr>
        <w:t xml:space="preserve"> </w:t>
      </w:r>
      <w:r w:rsidR="006501FF" w:rsidRPr="0067507D">
        <w:rPr>
          <w:szCs w:val="17"/>
        </w:rPr>
        <w:t>more than 5</w:t>
      </w:r>
      <w:r w:rsidR="004E4DC9" w:rsidRPr="0067507D">
        <w:rPr>
          <w:rFonts w:ascii="Calibri" w:hAnsi="Calibri" w:cs="Calibri"/>
          <w:szCs w:val="17"/>
        </w:rPr>
        <w:t> </w:t>
      </w:r>
      <w:r w:rsidR="006501FF" w:rsidRPr="0067507D">
        <w:rPr>
          <w:szCs w:val="17"/>
        </w:rPr>
        <w:t xml:space="preserve">000 </w:t>
      </w:r>
      <w:r w:rsidR="00483267" w:rsidRPr="0067507D">
        <w:rPr>
          <w:szCs w:val="17"/>
        </w:rPr>
        <w:t xml:space="preserve">on demand </w:t>
      </w:r>
      <w:r w:rsidR="006501FF" w:rsidRPr="0067507D">
        <w:rPr>
          <w:szCs w:val="17"/>
        </w:rPr>
        <w:t>courses and</w:t>
      </w:r>
      <w:r w:rsidR="00EE76AE" w:rsidRPr="0067507D">
        <w:rPr>
          <w:szCs w:val="17"/>
        </w:rPr>
        <w:t xml:space="preserve"> v</w:t>
      </w:r>
      <w:r w:rsidR="00483267" w:rsidRPr="0067507D">
        <w:rPr>
          <w:szCs w:val="17"/>
        </w:rPr>
        <w:t>ideos</w:t>
      </w:r>
      <w:r w:rsidR="00AD6E50" w:rsidRPr="0067507D">
        <w:rPr>
          <w:szCs w:val="17"/>
        </w:rPr>
        <w:t>.</w:t>
      </w:r>
      <w:r w:rsidR="00EE76AE" w:rsidRPr="0067507D">
        <w:rPr>
          <w:szCs w:val="17"/>
        </w:rPr>
        <w:t xml:space="preserve"> </w:t>
      </w:r>
      <w:r w:rsidR="0086103F" w:rsidRPr="0067507D">
        <w:rPr>
          <w:szCs w:val="17"/>
        </w:rPr>
        <w:t>Between 30 June 2024 to 1 July 2025,</w:t>
      </w:r>
      <w:r w:rsidR="0086103F" w:rsidRPr="0067507D">
        <w:rPr>
          <w:rFonts w:ascii="Cambria" w:hAnsi="Cambria" w:cs="Cambria"/>
          <w:szCs w:val="17"/>
        </w:rPr>
        <w:t> </w:t>
      </w:r>
      <w:r w:rsidR="00CA47D9" w:rsidRPr="0067507D">
        <w:rPr>
          <w:szCs w:val="17"/>
        </w:rPr>
        <w:t>1</w:t>
      </w:r>
      <w:r w:rsidR="006F3595" w:rsidRPr="0067507D">
        <w:rPr>
          <w:rFonts w:ascii="Calibri" w:hAnsi="Calibri" w:cs="Calibri"/>
          <w:szCs w:val="17"/>
        </w:rPr>
        <w:t> </w:t>
      </w:r>
      <w:r w:rsidR="00CA47D9" w:rsidRPr="0067507D">
        <w:rPr>
          <w:szCs w:val="17"/>
        </w:rPr>
        <w:t>378</w:t>
      </w:r>
      <w:r w:rsidR="0086103F" w:rsidRPr="0067507D">
        <w:rPr>
          <w:szCs w:val="17"/>
        </w:rPr>
        <w:t xml:space="preserve"> courses and </w:t>
      </w:r>
      <w:r w:rsidR="00CA47D9" w:rsidRPr="0067507D">
        <w:rPr>
          <w:szCs w:val="17"/>
        </w:rPr>
        <w:t>5</w:t>
      </w:r>
      <w:r w:rsidR="006F3595" w:rsidRPr="0067507D">
        <w:rPr>
          <w:rFonts w:ascii="Calibri" w:hAnsi="Calibri" w:cs="Calibri"/>
          <w:szCs w:val="17"/>
        </w:rPr>
        <w:t> </w:t>
      </w:r>
      <w:r w:rsidR="00CA47D9" w:rsidRPr="0067507D">
        <w:rPr>
          <w:szCs w:val="17"/>
        </w:rPr>
        <w:t>238</w:t>
      </w:r>
      <w:r w:rsidR="0086103F" w:rsidRPr="0067507D">
        <w:rPr>
          <w:szCs w:val="17"/>
        </w:rPr>
        <w:t xml:space="preserve"> LinkedIn Learning videos </w:t>
      </w:r>
      <w:r w:rsidR="00D96BA1" w:rsidRPr="0067507D">
        <w:rPr>
          <w:szCs w:val="17"/>
        </w:rPr>
        <w:t xml:space="preserve">were </w:t>
      </w:r>
      <w:r w:rsidR="0086103F" w:rsidRPr="0067507D">
        <w:rPr>
          <w:szCs w:val="17"/>
        </w:rPr>
        <w:t xml:space="preserve">viewed by </w:t>
      </w:r>
      <w:r w:rsidR="00B109C4" w:rsidRPr="0067507D">
        <w:rPr>
          <w:szCs w:val="17"/>
        </w:rPr>
        <w:t xml:space="preserve">398 </w:t>
      </w:r>
      <w:r w:rsidR="0086103F" w:rsidRPr="0067507D">
        <w:rPr>
          <w:szCs w:val="17"/>
        </w:rPr>
        <w:t>employees. Particularly, courses on Power BI and Anxiety Management</w:t>
      </w:r>
      <w:r w:rsidR="006F3595" w:rsidRPr="0067507D">
        <w:rPr>
          <w:rFonts w:ascii="Cambria" w:hAnsi="Cambria" w:cs="Cambria"/>
          <w:szCs w:val="17"/>
        </w:rPr>
        <w:t xml:space="preserve"> </w:t>
      </w:r>
      <w:r w:rsidR="0086103F" w:rsidRPr="0067507D">
        <w:rPr>
          <w:szCs w:val="17"/>
        </w:rPr>
        <w:t xml:space="preserve">generated significant interest. </w:t>
      </w:r>
    </w:p>
    <w:p w14:paraId="204383C0" w14:textId="31F20395" w:rsidR="008B0DD7" w:rsidRPr="0067507D" w:rsidRDefault="008B0DD7" w:rsidP="006F3595">
      <w:pPr>
        <w:ind w:right="-57"/>
      </w:pPr>
      <w:r w:rsidRPr="0067507D">
        <w:rPr>
          <w:szCs w:val="17"/>
        </w:rPr>
        <w:t>Through DTF’s membership with IPAA, DTF employees have access to a range of free or subsidised</w:t>
      </w:r>
      <w:r w:rsidR="004545B2" w:rsidRPr="0067507D">
        <w:rPr>
          <w:szCs w:val="17"/>
        </w:rPr>
        <w:t xml:space="preserve"> courses. </w:t>
      </w:r>
      <w:r w:rsidR="005D5ECA" w:rsidRPr="0067507D">
        <w:rPr>
          <w:szCs w:val="17"/>
        </w:rPr>
        <w:t>From 1 July</w:t>
      </w:r>
      <w:r w:rsidR="004545B2" w:rsidRPr="0067507D">
        <w:rPr>
          <w:szCs w:val="17"/>
        </w:rPr>
        <w:t xml:space="preserve"> 2024</w:t>
      </w:r>
      <w:r w:rsidR="00EA379C" w:rsidRPr="0067507D">
        <w:rPr>
          <w:szCs w:val="17"/>
        </w:rPr>
        <w:t xml:space="preserve"> </w:t>
      </w:r>
      <w:r w:rsidR="005D5ECA" w:rsidRPr="0067507D">
        <w:rPr>
          <w:szCs w:val="17"/>
        </w:rPr>
        <w:t>to 31 March 2025</w:t>
      </w:r>
      <w:r w:rsidR="004545B2" w:rsidRPr="0067507D">
        <w:rPr>
          <w:szCs w:val="17"/>
        </w:rPr>
        <w:t xml:space="preserve">, </w:t>
      </w:r>
      <w:r w:rsidR="00352157" w:rsidRPr="0067507D">
        <w:rPr>
          <w:szCs w:val="17"/>
        </w:rPr>
        <w:t xml:space="preserve">there were </w:t>
      </w:r>
      <w:r w:rsidR="001C6B92" w:rsidRPr="0067507D">
        <w:rPr>
          <w:szCs w:val="17"/>
        </w:rPr>
        <w:t>298</w:t>
      </w:r>
      <w:r w:rsidR="00EE76AE" w:rsidRPr="0067507D">
        <w:rPr>
          <w:szCs w:val="17"/>
        </w:rPr>
        <w:t xml:space="preserve"> </w:t>
      </w:r>
      <w:r w:rsidR="00352157" w:rsidRPr="0067507D">
        <w:rPr>
          <w:szCs w:val="17"/>
        </w:rPr>
        <w:t>registrations across a range of</w:t>
      </w:r>
      <w:r w:rsidR="004545B2" w:rsidRPr="0067507D">
        <w:rPr>
          <w:szCs w:val="17"/>
        </w:rPr>
        <w:t xml:space="preserve"> different</w:t>
      </w:r>
      <w:r w:rsidR="004545B2" w:rsidRPr="0067507D">
        <w:t xml:space="preserve"> courses, events, seminars or webinars across a range of topics.</w:t>
      </w:r>
      <w:r w:rsidR="00352157" w:rsidRPr="0067507D">
        <w:t xml:space="preserve"> </w:t>
      </w:r>
      <w:r w:rsidR="005420FF" w:rsidRPr="0067507D">
        <w:t>The highest</w:t>
      </w:r>
      <w:r w:rsidR="006A5485">
        <w:noBreakHyphen/>
      </w:r>
      <w:r w:rsidR="005420FF" w:rsidRPr="0067507D">
        <w:t>attend</w:t>
      </w:r>
      <w:r w:rsidR="0083587C" w:rsidRPr="0067507D">
        <w:t>ed</w:t>
      </w:r>
      <w:r w:rsidR="005420FF" w:rsidRPr="0067507D">
        <w:t xml:space="preserve"> </w:t>
      </w:r>
      <w:r w:rsidR="009614F1" w:rsidRPr="0067507D">
        <w:t xml:space="preserve">IPAA </w:t>
      </w:r>
      <w:r w:rsidR="005420FF" w:rsidRPr="0067507D">
        <w:t xml:space="preserve">courses were </w:t>
      </w:r>
      <w:r w:rsidR="00B90C38" w:rsidRPr="0067507D">
        <w:t>The Victorian Budget: Insights to help you shape the best budget bid with Chri</w:t>
      </w:r>
      <w:r w:rsidR="00E44D07" w:rsidRPr="0067507D">
        <w:t>s</w:t>
      </w:r>
      <w:r w:rsidR="00B90C38" w:rsidRPr="0067507D">
        <w:t xml:space="preserve"> Hotham, </w:t>
      </w:r>
      <w:r w:rsidR="006D771B" w:rsidRPr="0067507D">
        <w:t>Leadership in Democracy</w:t>
      </w:r>
      <w:r w:rsidR="00B90C38" w:rsidRPr="0067507D">
        <w:t xml:space="preserve">, </w:t>
      </w:r>
      <w:r w:rsidR="00B97BC5" w:rsidRPr="0067507D">
        <w:t xml:space="preserve">and </w:t>
      </w:r>
      <w:r w:rsidR="00B90C38" w:rsidRPr="0067507D">
        <w:t xml:space="preserve">VPS Secretaries on Trends and Opportunities for Victorian Government 2025, </w:t>
      </w:r>
      <w:r w:rsidR="006D771B" w:rsidRPr="0067507D">
        <w:t>Leadership in Democracy</w:t>
      </w:r>
      <w:r w:rsidR="006F3595" w:rsidRPr="0067507D">
        <w:t>.</w:t>
      </w:r>
    </w:p>
    <w:p w14:paraId="1F85A3FF" w14:textId="4E5041DF" w:rsidR="0092001C" w:rsidRPr="0067507D" w:rsidRDefault="00120C98" w:rsidP="00113E1C">
      <w:r w:rsidRPr="0067507D">
        <w:t>All free or low</w:t>
      </w:r>
      <w:r w:rsidR="006A5485">
        <w:noBreakHyphen/>
      </w:r>
      <w:r w:rsidRPr="0067507D">
        <w:t>cost i</w:t>
      </w:r>
      <w:r w:rsidR="00E33E21" w:rsidRPr="0067507D">
        <w:t xml:space="preserve">nternal and external </w:t>
      </w:r>
      <w:r w:rsidR="00B66A5C" w:rsidRPr="0067507D">
        <w:t xml:space="preserve">learning </w:t>
      </w:r>
      <w:r w:rsidR="00D25B20" w:rsidRPr="0067507D">
        <w:t xml:space="preserve">offerings </w:t>
      </w:r>
      <w:r w:rsidR="006B3B00" w:rsidRPr="0067507D">
        <w:t>(such as training provided by the Victorian Public Sector Commission)</w:t>
      </w:r>
      <w:r w:rsidR="0092001C" w:rsidRPr="0067507D">
        <w:t xml:space="preserve"> are pro</w:t>
      </w:r>
      <w:r w:rsidR="005F5D59" w:rsidRPr="0067507D">
        <w:t xml:space="preserve">moted to all employees on a </w:t>
      </w:r>
      <w:r w:rsidR="00E33E21" w:rsidRPr="0067507D">
        <w:t>regular</w:t>
      </w:r>
      <w:r w:rsidR="005F5D59" w:rsidRPr="0067507D">
        <w:t xml:space="preserve"> basis</w:t>
      </w:r>
      <w:r w:rsidRPr="0067507D">
        <w:t xml:space="preserve">, to </w:t>
      </w:r>
      <w:r w:rsidR="00457B99" w:rsidRPr="0067507D">
        <w:t xml:space="preserve">support </w:t>
      </w:r>
      <w:r w:rsidRPr="0067507D">
        <w:t xml:space="preserve">learning and career development </w:t>
      </w:r>
      <w:r w:rsidR="00457B99" w:rsidRPr="0067507D">
        <w:t>opportunities</w:t>
      </w:r>
      <w:r w:rsidR="00E33E21" w:rsidRPr="0067507D">
        <w:t>.</w:t>
      </w:r>
    </w:p>
    <w:p w14:paraId="4C781219" w14:textId="0F791D27" w:rsidR="00113E1C" w:rsidRPr="0067507D" w:rsidRDefault="00113E1C" w:rsidP="00113E1C">
      <w:pPr>
        <w:pStyle w:val="Heading3"/>
      </w:pPr>
      <w:r w:rsidRPr="0067507D">
        <w:t>Leadership</w:t>
      </w:r>
    </w:p>
    <w:p w14:paraId="355B2BEA" w14:textId="23CCCC24" w:rsidR="00113E1C" w:rsidRPr="0067507D" w:rsidRDefault="00113E1C" w:rsidP="00113E1C">
      <w:r w:rsidRPr="0067507D">
        <w:t>The Department</w:t>
      </w:r>
      <w:r w:rsidR="00CE16AE" w:rsidRPr="0067507D">
        <w:t xml:space="preserve"> supports its </w:t>
      </w:r>
      <w:r w:rsidR="0045380F" w:rsidRPr="0067507D">
        <w:t>p</w:t>
      </w:r>
      <w:r w:rsidR="00CE16AE" w:rsidRPr="0067507D">
        <w:t xml:space="preserve">eople </w:t>
      </w:r>
      <w:r w:rsidR="0045380F" w:rsidRPr="0067507D">
        <w:t>l</w:t>
      </w:r>
      <w:r w:rsidR="00CE16AE" w:rsidRPr="0067507D">
        <w:t>eaders by offering Leadership Programs such as</w:t>
      </w:r>
      <w:r w:rsidR="00E25BCD" w:rsidRPr="0067507D">
        <w:t xml:space="preserve"> bespoke</w:t>
      </w:r>
      <w:r w:rsidR="004647E4" w:rsidRPr="0067507D">
        <w:t xml:space="preserve"> </w:t>
      </w:r>
      <w:r w:rsidR="009B10B2" w:rsidRPr="0067507D">
        <w:t>Executive Leadership Programs,</w:t>
      </w:r>
      <w:r w:rsidR="004647E4" w:rsidRPr="0067507D">
        <w:t xml:space="preserve"> Victorian Leadership Academy short courses, Executive </w:t>
      </w:r>
      <w:r w:rsidR="00A81725" w:rsidRPr="0067507D">
        <w:t>Essentials</w:t>
      </w:r>
      <w:r w:rsidR="00186257" w:rsidRPr="0067507D">
        <w:t xml:space="preserve"> </w:t>
      </w:r>
      <w:r w:rsidR="004647E4" w:rsidRPr="0067507D">
        <w:t xml:space="preserve">Program and </w:t>
      </w:r>
      <w:r w:rsidR="00831F87" w:rsidRPr="0067507D">
        <w:t>the</w:t>
      </w:r>
      <w:r w:rsidR="004647E4" w:rsidRPr="0067507D">
        <w:t xml:space="preserve"> Change Leadership program.</w:t>
      </w:r>
      <w:r w:rsidRPr="0067507D">
        <w:t xml:space="preserve"> </w:t>
      </w:r>
    </w:p>
    <w:p w14:paraId="16B000AC" w14:textId="7C1397CA" w:rsidR="003237D5" w:rsidRPr="0067507D" w:rsidRDefault="00CE2593" w:rsidP="004F6550">
      <w:pPr>
        <w:rPr>
          <w:rFonts w:ascii="VIC" w:hAnsi="VIC"/>
          <w:color w:val="000000"/>
          <w:sz w:val="20"/>
          <w:szCs w:val="20"/>
        </w:rPr>
      </w:pPr>
      <w:r w:rsidRPr="0067507D">
        <w:rPr>
          <w:rFonts w:eastAsia="Tahoma"/>
        </w:rPr>
        <w:t xml:space="preserve">From 1 March 2025 until </w:t>
      </w:r>
      <w:r w:rsidRPr="0067507D">
        <w:rPr>
          <w:rFonts w:eastAsia="Tahoma"/>
          <w:szCs w:val="17"/>
        </w:rPr>
        <w:t>30 June 2025 there were 10</w:t>
      </w:r>
      <w:r w:rsidR="00F232F1" w:rsidRPr="0067507D">
        <w:rPr>
          <w:rFonts w:eastAsia="Tahoma"/>
          <w:szCs w:val="17"/>
        </w:rPr>
        <w:t>9</w:t>
      </w:r>
      <w:r w:rsidR="003E4185" w:rsidRPr="0067507D">
        <w:rPr>
          <w:rFonts w:ascii="Calibri" w:eastAsia="Tahoma" w:hAnsi="Calibri" w:cs="Calibri"/>
          <w:szCs w:val="17"/>
        </w:rPr>
        <w:t> </w:t>
      </w:r>
      <w:r w:rsidR="00DA0B48" w:rsidRPr="0067507D">
        <w:rPr>
          <w:rFonts w:eastAsia="Tahoma"/>
          <w:szCs w:val="17"/>
        </w:rPr>
        <w:t>manager</w:t>
      </w:r>
      <w:r w:rsidRPr="0067507D">
        <w:rPr>
          <w:rFonts w:eastAsia="Tahoma"/>
          <w:szCs w:val="17"/>
        </w:rPr>
        <w:t xml:space="preserve"> attendances across the five modules delivered by DGS People and Culture as part of the new Manager Essentials program for people leaders. Topics </w:t>
      </w:r>
      <w:r w:rsidR="003237D5" w:rsidRPr="0067507D">
        <w:rPr>
          <w:rFonts w:eastAsia="Tahoma"/>
          <w:szCs w:val="17"/>
        </w:rPr>
        <w:t xml:space="preserve">included </w:t>
      </w:r>
      <w:r w:rsidR="003237D5" w:rsidRPr="0067507D">
        <w:rPr>
          <w:rFonts w:ascii="VIC" w:hAnsi="VIC"/>
          <w:color w:val="000000"/>
          <w:szCs w:val="17"/>
        </w:rPr>
        <w:t>Effective Communication, Mastering Difficult Conversations, Delivering Effective Feedback, Managing Performance and Conduct, and Manager 101.</w:t>
      </w:r>
    </w:p>
    <w:p w14:paraId="05B079E4" w14:textId="153C780F" w:rsidR="00113E1C" w:rsidRPr="0067507D" w:rsidRDefault="004647E4" w:rsidP="00113E1C">
      <w:r w:rsidRPr="0067507D">
        <w:t>D</w:t>
      </w:r>
      <w:r w:rsidR="00113E1C" w:rsidRPr="0067507D">
        <w:t xml:space="preserve">uring </w:t>
      </w:r>
      <w:r w:rsidR="00C30F42" w:rsidRPr="0067507D">
        <w:t>2024</w:t>
      </w:r>
      <w:r w:rsidR="006A5485">
        <w:noBreakHyphen/>
      </w:r>
      <w:r w:rsidR="00C30F42" w:rsidRPr="0067507D">
        <w:t>25</w:t>
      </w:r>
      <w:r w:rsidR="00113E1C" w:rsidRPr="0067507D">
        <w:t xml:space="preserve">, a total of </w:t>
      </w:r>
      <w:r w:rsidR="00AF59E8" w:rsidRPr="0067507D">
        <w:t xml:space="preserve">79 </w:t>
      </w:r>
      <w:r w:rsidR="00113E1C" w:rsidRPr="0067507D">
        <w:t xml:space="preserve">employees participated in </w:t>
      </w:r>
      <w:r w:rsidR="001E7FFC" w:rsidRPr="0067507D">
        <w:t>the public service craft capabilities</w:t>
      </w:r>
      <w:r w:rsidR="008154EE" w:rsidRPr="0067507D">
        <w:t xml:space="preserve"> training programs</w:t>
      </w:r>
      <w:r w:rsidR="00113E1C" w:rsidRPr="0067507D">
        <w:t xml:space="preserve"> delivered by the Victorian Public Sector Commission. </w:t>
      </w:r>
    </w:p>
    <w:p w14:paraId="5E40D70C" w14:textId="036557B3" w:rsidR="00113E1C" w:rsidRPr="0067507D" w:rsidRDefault="00113E1C" w:rsidP="00113E1C">
      <w:r w:rsidRPr="0067507D">
        <w:t>New Victorian Public Service executives were invited to attend the Executive Induction Program facilitated by the Victorian Public Sector Commission. The induction is designed to provide new executives with critical knowledge, insights, networks and support for successful transition. A total of</w:t>
      </w:r>
      <w:r w:rsidR="5B62538C" w:rsidRPr="0067507D">
        <w:t xml:space="preserve"> seven</w:t>
      </w:r>
      <w:r w:rsidRPr="0067507D">
        <w:t xml:space="preserve"> new executives at the Department participated in this program during </w:t>
      </w:r>
      <w:r w:rsidR="00C30F42" w:rsidRPr="0067507D">
        <w:t>202</w:t>
      </w:r>
      <w:r w:rsidR="00552848" w:rsidRPr="0067507D">
        <w:t>5</w:t>
      </w:r>
      <w:r w:rsidR="006A5485">
        <w:noBreakHyphen/>
      </w:r>
      <w:r w:rsidR="00C30F42" w:rsidRPr="0067507D">
        <w:t>2</w:t>
      </w:r>
      <w:r w:rsidR="00552848" w:rsidRPr="0067507D">
        <w:t>6</w:t>
      </w:r>
      <w:r w:rsidRPr="0067507D">
        <w:t>.</w:t>
      </w:r>
    </w:p>
    <w:p w14:paraId="7886E28A" w14:textId="3460128C" w:rsidR="00113E1C" w:rsidRPr="0067507D" w:rsidRDefault="00113E1C" w:rsidP="00113E1C">
      <w:pPr>
        <w:pStyle w:val="Heading3"/>
      </w:pPr>
      <w:r w:rsidRPr="0067507D">
        <w:lastRenderedPageBreak/>
        <w:t xml:space="preserve">Employee experience </w:t>
      </w:r>
    </w:p>
    <w:p w14:paraId="69ADB9A6" w14:textId="3D2BCC84" w:rsidR="00113E1C" w:rsidRPr="0067507D" w:rsidRDefault="00113E1C" w:rsidP="00113E1C">
      <w:r w:rsidRPr="0067507D">
        <w:t>The Department continues to focus on improving the employee experience</w:t>
      </w:r>
      <w:r w:rsidR="00A55E82" w:rsidRPr="0067507D">
        <w:t xml:space="preserve">, </w:t>
      </w:r>
      <w:r w:rsidR="0037552B" w:rsidRPr="0067507D">
        <w:t>measured annually</w:t>
      </w:r>
      <w:r w:rsidRPr="0067507D">
        <w:t xml:space="preserve"> through </w:t>
      </w:r>
      <w:r w:rsidR="0037552B" w:rsidRPr="0067507D">
        <w:t>participation in the</w:t>
      </w:r>
      <w:r w:rsidRPr="0067507D">
        <w:t xml:space="preserve"> People Matter Survey</w:t>
      </w:r>
      <w:r w:rsidR="0037552B" w:rsidRPr="0067507D">
        <w:t>.</w:t>
      </w:r>
      <w:r w:rsidRPr="0067507D">
        <w:t xml:space="preserve"> Key focus areas </w:t>
      </w:r>
      <w:r w:rsidR="0037552B" w:rsidRPr="0067507D">
        <w:t xml:space="preserve">include </w:t>
      </w:r>
      <w:r w:rsidR="00691A01" w:rsidRPr="0067507D">
        <w:t>safety and wellbeing, culture and values, and performance and capability.</w:t>
      </w:r>
      <w:r w:rsidRPr="0067507D">
        <w:t xml:space="preserve"> </w:t>
      </w:r>
      <w:r w:rsidR="00444499" w:rsidRPr="0067507D">
        <w:t>A key focus for 2024</w:t>
      </w:r>
      <w:r w:rsidR="006A5485">
        <w:noBreakHyphen/>
      </w:r>
      <w:r w:rsidR="00444499" w:rsidRPr="0067507D">
        <w:t>25 was respectful relationships workshops which were rolled out across</w:t>
      </w:r>
      <w:r w:rsidRPr="0067507D">
        <w:t xml:space="preserve"> </w:t>
      </w:r>
      <w:r w:rsidR="00F57D37" w:rsidRPr="0067507D">
        <w:t>DTF</w:t>
      </w:r>
      <w:r w:rsidR="00444499" w:rsidRPr="0067507D">
        <w:t xml:space="preserve">. </w:t>
      </w:r>
      <w:r w:rsidRPr="0067507D">
        <w:t xml:space="preserve">The </w:t>
      </w:r>
      <w:r w:rsidR="00F57D37" w:rsidRPr="0067507D">
        <w:t xml:space="preserve">DTF Board </w:t>
      </w:r>
      <w:r w:rsidRPr="0067507D">
        <w:t>continue</w:t>
      </w:r>
      <w:r w:rsidR="000440CA" w:rsidRPr="0067507D">
        <w:t>s</w:t>
      </w:r>
      <w:r w:rsidRPr="0067507D">
        <w:t xml:space="preserve"> to review and provide input to support the delivery of people and culture related initiatives. </w:t>
      </w:r>
    </w:p>
    <w:p w14:paraId="48B7F656" w14:textId="74E9FE7C" w:rsidR="00113E1C" w:rsidRPr="0067507D" w:rsidRDefault="00113E1C" w:rsidP="00113E1C">
      <w:pPr>
        <w:pStyle w:val="Heading2"/>
      </w:pPr>
      <w:r w:rsidRPr="0067507D">
        <w:t>Human Rights Charter</w:t>
      </w:r>
    </w:p>
    <w:p w14:paraId="547223B2" w14:textId="5E276F36" w:rsidR="00113E1C" w:rsidRPr="0067507D" w:rsidRDefault="00113E1C" w:rsidP="00113E1C">
      <w:r w:rsidRPr="0067507D">
        <w:t xml:space="preserve">Throughout </w:t>
      </w:r>
      <w:r w:rsidR="00C30F42" w:rsidRPr="0067507D">
        <w:t>2024</w:t>
      </w:r>
      <w:r w:rsidR="006A5485">
        <w:noBreakHyphen/>
      </w:r>
      <w:r w:rsidR="00C30F42" w:rsidRPr="0067507D">
        <w:t>25</w:t>
      </w:r>
      <w:r w:rsidRPr="0067507D">
        <w:t xml:space="preserve">, DTF employees continued to consider human rights in the course of their work, including submissions to Cabinet on matters that affect members of the public. Commitment to the </w:t>
      </w:r>
      <w:r w:rsidRPr="0067507D">
        <w:rPr>
          <w:i/>
          <w:iCs/>
        </w:rPr>
        <w:t>Charter of Human Rights and Responsibilities Act</w:t>
      </w:r>
      <w:r w:rsidR="00C8737E" w:rsidRPr="0067507D">
        <w:rPr>
          <w:rFonts w:ascii="Calibri" w:hAnsi="Calibri" w:cs="Calibri"/>
          <w:i/>
          <w:iCs/>
        </w:rPr>
        <w:t> </w:t>
      </w:r>
      <w:r w:rsidRPr="0067507D">
        <w:rPr>
          <w:i/>
          <w:iCs/>
        </w:rPr>
        <w:t>2006</w:t>
      </w:r>
      <w:r w:rsidRPr="0067507D">
        <w:t xml:space="preserve"> (Charter) forms part of the Victorian Public Sector values and is highlighted for all new staff during the Department’s corporate induction. </w:t>
      </w:r>
    </w:p>
    <w:p w14:paraId="2071CC98" w14:textId="77777777" w:rsidR="002A68FF" w:rsidRPr="0067507D" w:rsidRDefault="0076547B" w:rsidP="00113E1C">
      <w:r w:rsidRPr="0067507D">
        <w:t xml:space="preserve">DTF participates in the Victorian Equal Opportunity and Human Rights Commission’s </w:t>
      </w:r>
      <w:r w:rsidR="00113E1C" w:rsidRPr="0067507D">
        <w:t xml:space="preserve">Charter </w:t>
      </w:r>
      <w:r w:rsidRPr="0067507D">
        <w:t>Education Program, which includes</w:t>
      </w:r>
      <w:r w:rsidR="002A68FF" w:rsidRPr="0067507D">
        <w:t>:</w:t>
      </w:r>
      <w:r w:rsidRPr="0067507D">
        <w:t xml:space="preserve"> </w:t>
      </w:r>
    </w:p>
    <w:p w14:paraId="3C148EE0" w14:textId="44ECBB3E" w:rsidR="002A68FF" w:rsidRPr="0067507D" w:rsidRDefault="009C78CF">
      <w:pPr>
        <w:pStyle w:val="Bullet"/>
      </w:pPr>
      <w:r w:rsidRPr="0067507D">
        <w:t>charter</w:t>
      </w:r>
      <w:r w:rsidR="00065E84" w:rsidRPr="0067507D">
        <w:t xml:space="preserve"> leadership briefings</w:t>
      </w:r>
      <w:r w:rsidR="002A68FF" w:rsidRPr="0067507D">
        <w:t xml:space="preserve"> for executives</w:t>
      </w:r>
      <w:r w:rsidRPr="0067507D">
        <w:t xml:space="preserve"> </w:t>
      </w:r>
    </w:p>
    <w:p w14:paraId="4CBD73A7" w14:textId="77777777" w:rsidR="000A4C95" w:rsidRPr="0067507D" w:rsidRDefault="00607E11">
      <w:pPr>
        <w:pStyle w:val="Bullet"/>
      </w:pPr>
      <w:r w:rsidRPr="0067507D">
        <w:t>a webinar series</w:t>
      </w:r>
      <w:r w:rsidR="002A68FF" w:rsidRPr="0067507D">
        <w:t xml:space="preserve"> on topical human rights issues</w:t>
      </w:r>
      <w:r w:rsidR="00065E84" w:rsidRPr="0067507D">
        <w:t xml:space="preserve"> </w:t>
      </w:r>
      <w:r w:rsidR="000A4C95" w:rsidRPr="0067507D">
        <w:t>available to all VPS staff</w:t>
      </w:r>
    </w:p>
    <w:p w14:paraId="04FC9901" w14:textId="0FE8BA05" w:rsidR="00981AF6" w:rsidRPr="0067507D" w:rsidRDefault="000A4C95">
      <w:pPr>
        <w:pStyle w:val="Bullet"/>
      </w:pPr>
      <w:r w:rsidRPr="0067507D">
        <w:t>baseline eLearn modules</w:t>
      </w:r>
      <w:r w:rsidR="00981AF6" w:rsidRPr="0067507D">
        <w:t xml:space="preserve">, which are mandatory </w:t>
      </w:r>
      <w:r w:rsidRPr="0067507D">
        <w:t xml:space="preserve">for all </w:t>
      </w:r>
      <w:r w:rsidR="00981AF6" w:rsidRPr="0067507D">
        <w:t xml:space="preserve">DTF </w:t>
      </w:r>
      <w:r w:rsidRPr="0067507D">
        <w:t>staff</w:t>
      </w:r>
      <w:r w:rsidR="00981AF6" w:rsidRPr="0067507D">
        <w:t xml:space="preserve"> in induction, as well as more </w:t>
      </w:r>
      <w:r w:rsidRPr="0067507D">
        <w:t xml:space="preserve">advanced eLearn modules for </w:t>
      </w:r>
      <w:r w:rsidR="00981AF6" w:rsidRPr="0067507D">
        <w:t>leaders and managers.</w:t>
      </w:r>
    </w:p>
    <w:p w14:paraId="08B6E2CB" w14:textId="6BA9DFDD" w:rsidR="00113E1C" w:rsidRPr="0067507D" w:rsidRDefault="00113E1C" w:rsidP="00113E1C">
      <w:r w:rsidRPr="0067507D">
        <w:t>Given the nature of its portfolio, the Department’s interactions with the public tend to focus on individuals who are currently engaged, or seeking to be engaged, by the Department for a specific purpose. These include individuals who are job applicants, employees, tenderers, contractors</w:t>
      </w:r>
      <w:r w:rsidR="009355CD" w:rsidRPr="0067507D">
        <w:t xml:space="preserve"> and </w:t>
      </w:r>
      <w:r w:rsidRPr="0067507D">
        <w:t>board appointees. To guide interactions with these individuals, the Department has various policies and processes in place to protect their rights. These include privacy, equal opportunity, occupational health and safety (OHS), protected disclosure and employment policies.</w:t>
      </w:r>
    </w:p>
    <w:p w14:paraId="798F8F56" w14:textId="7D759046" w:rsidR="00113E1C" w:rsidRPr="0067507D" w:rsidRDefault="00113E1C" w:rsidP="00113E1C">
      <w:pPr>
        <w:pStyle w:val="Heading3"/>
      </w:pPr>
      <w:r w:rsidRPr="0067507D">
        <w:t>Mental health and wellbeing</w:t>
      </w:r>
    </w:p>
    <w:p w14:paraId="04BE37F0" w14:textId="7FDD5C53" w:rsidR="00513A07" w:rsidRPr="0067507D" w:rsidRDefault="00113E1C" w:rsidP="001F4609">
      <w:pPr>
        <w:rPr>
          <w:rFonts w:cs="Segoe UI"/>
          <w:szCs w:val="17"/>
        </w:rPr>
      </w:pPr>
      <w:r w:rsidRPr="0067507D">
        <w:t>The VPS Mental Health and Wellbeing Charter commits to a holistic and inclusive approach to health and safety, promoting positive mental health and wellbeing</w:t>
      </w:r>
      <w:r w:rsidR="00A00399" w:rsidRPr="0067507D">
        <w:t>,</w:t>
      </w:r>
      <w:r w:rsidRPr="0067507D">
        <w:t xml:space="preserve"> and preventing and responding to occupational violence and aggression. </w:t>
      </w:r>
      <w:r w:rsidR="00A00399" w:rsidRPr="0067507D">
        <w:t xml:space="preserve">The BeWell@DTF Guide, developed over the past year, sets our immediate priorities and signals further work to shape our approach to the needs of our people and our workplace. </w:t>
      </w:r>
    </w:p>
    <w:p w14:paraId="7B70925F" w14:textId="6A183AC6" w:rsidR="00A00399" w:rsidRPr="0067507D" w:rsidRDefault="000E2DD7" w:rsidP="001F4609">
      <w:pPr>
        <w:rPr>
          <w:szCs w:val="17"/>
        </w:rPr>
      </w:pPr>
      <w:r w:rsidRPr="0067507D">
        <w:rPr>
          <w:szCs w:val="17"/>
        </w:rPr>
        <w:t>The BeWell@DTF Guide</w:t>
      </w:r>
      <w:r w:rsidR="0017784E" w:rsidRPr="0067507D">
        <w:rPr>
          <w:szCs w:val="17"/>
        </w:rPr>
        <w:t xml:space="preserve"> </w:t>
      </w:r>
      <w:r w:rsidR="009E5A19" w:rsidRPr="0067507D">
        <w:rPr>
          <w:szCs w:val="17"/>
        </w:rPr>
        <w:t>provides</w:t>
      </w:r>
      <w:r w:rsidRPr="0067507D">
        <w:rPr>
          <w:szCs w:val="17"/>
        </w:rPr>
        <w:t xml:space="preserve"> a central one</w:t>
      </w:r>
      <w:r w:rsidR="006A5485">
        <w:rPr>
          <w:szCs w:val="17"/>
        </w:rPr>
        <w:noBreakHyphen/>
      </w:r>
      <w:r w:rsidRPr="0067507D">
        <w:rPr>
          <w:szCs w:val="17"/>
        </w:rPr>
        <w:t xml:space="preserve">stop shop </w:t>
      </w:r>
      <w:r w:rsidR="009E5A19" w:rsidRPr="0067507D">
        <w:rPr>
          <w:szCs w:val="17"/>
        </w:rPr>
        <w:t xml:space="preserve">resource </w:t>
      </w:r>
      <w:r w:rsidRPr="0067507D">
        <w:rPr>
          <w:szCs w:val="17"/>
        </w:rPr>
        <w:t>for staff to access DTF’s wellness initiatives. The Guide is structured around four key categories – Well mind, Well body, Well finances and Well culture – and supports employees in understanding and accessing services and programs that promote holistic wellbeing</w:t>
      </w:r>
      <w:r w:rsidR="00FD76DF" w:rsidRPr="0067507D">
        <w:rPr>
          <w:szCs w:val="17"/>
        </w:rPr>
        <w:t>, helping</w:t>
      </w:r>
      <w:r w:rsidRPr="0067507D">
        <w:rPr>
          <w:szCs w:val="17"/>
        </w:rPr>
        <w:t xml:space="preserve"> individual</w:t>
      </w:r>
      <w:r w:rsidR="00FD76DF" w:rsidRPr="0067507D">
        <w:rPr>
          <w:szCs w:val="17"/>
        </w:rPr>
        <w:t>s</w:t>
      </w:r>
      <w:r w:rsidRPr="0067507D">
        <w:rPr>
          <w:szCs w:val="17"/>
        </w:rPr>
        <w:t xml:space="preserve"> realise their own potential, manage the everyday stressors of life, work productively and contribute meaningfully to their community.</w:t>
      </w:r>
    </w:p>
    <w:p w14:paraId="682C2399" w14:textId="4439F84D" w:rsidR="00513A07" w:rsidRPr="0067507D" w:rsidRDefault="00513A07" w:rsidP="001F4609">
      <w:pPr>
        <w:rPr>
          <w:sz w:val="18"/>
          <w:szCs w:val="18"/>
        </w:rPr>
      </w:pPr>
      <w:r w:rsidRPr="0067507D">
        <w:t xml:space="preserve">The Department’s Employee Assistance Program (EAP) </w:t>
      </w:r>
      <w:r w:rsidRPr="0067507D">
        <w:rPr>
          <w:rFonts w:cs="Segoe UI"/>
          <w:szCs w:val="17"/>
        </w:rPr>
        <w:t>provider, PeopleSense by Altius Group, provides confidential professional counselling services for employees. This includes tailored support for Aboriginal and Torres Strait Islanders, employees with disability, LGBTIQ</w:t>
      </w:r>
      <w:r w:rsidR="006832A9" w:rsidRPr="0067507D">
        <w:rPr>
          <w:rFonts w:cs="Segoe UI"/>
          <w:szCs w:val="17"/>
        </w:rPr>
        <w:t>A</w:t>
      </w:r>
      <w:r w:rsidRPr="0067507D">
        <w:rPr>
          <w:rFonts w:cs="Segoe UI"/>
          <w:szCs w:val="17"/>
        </w:rPr>
        <w:t>+ employees and employees experiencing family violence. A specific hotline is also available for managers who require assistance with complex employee issues and a supportive check</w:t>
      </w:r>
      <w:r w:rsidR="006A5485">
        <w:rPr>
          <w:rFonts w:cs="Segoe UI"/>
          <w:szCs w:val="17"/>
        </w:rPr>
        <w:noBreakHyphen/>
      </w:r>
      <w:r w:rsidRPr="0067507D">
        <w:rPr>
          <w:rFonts w:cs="Segoe UI"/>
          <w:szCs w:val="17"/>
        </w:rPr>
        <w:t xml:space="preserve">in service where there is concern for their psychological safety and/or wellbeing. </w:t>
      </w:r>
    </w:p>
    <w:p w14:paraId="463B6EDA" w14:textId="06E39C51" w:rsidR="00513A07" w:rsidRPr="0067507D" w:rsidRDefault="00513A07" w:rsidP="001F4609">
      <w:pPr>
        <w:rPr>
          <w:rFonts w:cs="Segoe UI"/>
          <w:szCs w:val="17"/>
        </w:rPr>
      </w:pPr>
      <w:r w:rsidRPr="0067507D">
        <w:t xml:space="preserve">DTF has </w:t>
      </w:r>
      <w:r w:rsidR="00D67614" w:rsidRPr="0067507D">
        <w:t xml:space="preserve">progressed </w:t>
      </w:r>
      <w:r w:rsidRPr="0067507D">
        <w:t xml:space="preserve">several new </w:t>
      </w:r>
      <w:r w:rsidR="002D5237" w:rsidRPr="0067507D">
        <w:t xml:space="preserve">mental health and </w:t>
      </w:r>
      <w:r w:rsidRPr="0067507D">
        <w:t xml:space="preserve">wellbeing related initiatives which address specific focus </w:t>
      </w:r>
      <w:r w:rsidR="00D83AEF" w:rsidRPr="0067507D">
        <w:t>areas</w:t>
      </w:r>
      <w:r w:rsidR="005E0F50" w:rsidRPr="0067507D">
        <w:t xml:space="preserve">. </w:t>
      </w:r>
      <w:r w:rsidRPr="0067507D">
        <w:t>Th</w:t>
      </w:r>
      <w:r w:rsidR="005E0F50" w:rsidRPr="0067507D">
        <w:t>ese</w:t>
      </w:r>
      <w:r w:rsidRPr="0067507D">
        <w:t xml:space="preserve"> include</w:t>
      </w:r>
      <w:r w:rsidR="00703D49" w:rsidRPr="0067507D">
        <w:t>:</w:t>
      </w:r>
      <w:r w:rsidRPr="0067507D">
        <w:t xml:space="preserve"> </w:t>
      </w:r>
    </w:p>
    <w:p w14:paraId="25F6905F" w14:textId="64F0787C" w:rsidR="00D83AEF" w:rsidRPr="0067507D" w:rsidRDefault="005E0F50" w:rsidP="00CC2CD0">
      <w:pPr>
        <w:pStyle w:val="Bullet"/>
        <w:rPr>
          <w:szCs w:val="17"/>
        </w:rPr>
      </w:pPr>
      <w:r w:rsidRPr="0067507D">
        <w:t>o</w:t>
      </w:r>
      <w:r w:rsidR="00425A29" w:rsidRPr="0067507D">
        <w:rPr>
          <w:szCs w:val="17"/>
        </w:rPr>
        <w:t>ffering</w:t>
      </w:r>
      <w:r w:rsidR="00D83AEF" w:rsidRPr="0067507D">
        <w:rPr>
          <w:szCs w:val="17"/>
        </w:rPr>
        <w:t xml:space="preserve"> of mental health training for all staff, facilitated by the Black Dog Institute, and offered quarterly</w:t>
      </w:r>
    </w:p>
    <w:p w14:paraId="7F0D5BB5" w14:textId="746D6071" w:rsidR="00D83AEF" w:rsidRPr="0067507D" w:rsidRDefault="005E0F50" w:rsidP="00CC2CD0">
      <w:pPr>
        <w:pStyle w:val="Bullet"/>
        <w:rPr>
          <w:szCs w:val="17"/>
        </w:rPr>
      </w:pPr>
      <w:r w:rsidRPr="0067507D">
        <w:t>p</w:t>
      </w:r>
      <w:r w:rsidR="00D83AEF" w:rsidRPr="0067507D">
        <w:rPr>
          <w:szCs w:val="17"/>
        </w:rPr>
        <w:t>romotion and uptake of executive officer health checks</w:t>
      </w:r>
    </w:p>
    <w:p w14:paraId="3E842EBB" w14:textId="2C6AEDD1" w:rsidR="00D83AEF" w:rsidRPr="0067507D" w:rsidRDefault="005E0F50" w:rsidP="00CC2CD0">
      <w:pPr>
        <w:pStyle w:val="Bullet"/>
        <w:rPr>
          <w:szCs w:val="17"/>
        </w:rPr>
      </w:pPr>
      <w:r w:rsidRPr="0067507D">
        <w:t>a</w:t>
      </w:r>
      <w:r w:rsidR="00D83AEF" w:rsidRPr="0067507D">
        <w:rPr>
          <w:szCs w:val="17"/>
        </w:rPr>
        <w:t>ccess to fatigue management resources to support safe and sustainable work practices</w:t>
      </w:r>
    </w:p>
    <w:p w14:paraId="70019F10" w14:textId="284935A2" w:rsidR="00D83AEF" w:rsidRPr="0067507D" w:rsidRDefault="005E0F50" w:rsidP="00CC2CD0">
      <w:pPr>
        <w:pStyle w:val="Bullet"/>
        <w:rPr>
          <w:szCs w:val="17"/>
        </w:rPr>
      </w:pPr>
      <w:r w:rsidRPr="0067507D">
        <w:t>o</w:t>
      </w:r>
      <w:r w:rsidR="00D83AEF" w:rsidRPr="0067507D">
        <w:rPr>
          <w:szCs w:val="17"/>
        </w:rPr>
        <w:t>ngoing use of the Quarterly Wellbeing and Workload Management Survey to monitor employee sentiment and inform initiatives aimed at improving ways of working</w:t>
      </w:r>
    </w:p>
    <w:p w14:paraId="09400E92" w14:textId="47AC249A" w:rsidR="00D83AEF" w:rsidRPr="0067507D" w:rsidRDefault="005E0F50" w:rsidP="00CC2CD0">
      <w:pPr>
        <w:pStyle w:val="Bullet"/>
        <w:rPr>
          <w:szCs w:val="17"/>
        </w:rPr>
      </w:pPr>
      <w:r w:rsidRPr="0067507D">
        <w:t>d</w:t>
      </w:r>
      <w:r w:rsidR="00D83AEF" w:rsidRPr="0067507D">
        <w:rPr>
          <w:szCs w:val="17"/>
        </w:rPr>
        <w:t>elivery of wellbeing webinars in partnership with PeopleSense, offering accessible health</w:t>
      </w:r>
      <w:r w:rsidRPr="0067507D">
        <w:rPr>
          <w:szCs w:val="17"/>
        </w:rPr>
        <w:noBreakHyphen/>
      </w:r>
      <w:r w:rsidR="00D83AEF" w:rsidRPr="0067507D">
        <w:rPr>
          <w:szCs w:val="17"/>
        </w:rPr>
        <w:t>related education for staff</w:t>
      </w:r>
    </w:p>
    <w:p w14:paraId="514B4F99" w14:textId="41167302" w:rsidR="00703D49" w:rsidRPr="0067507D" w:rsidRDefault="005E0F50" w:rsidP="00CC2CD0">
      <w:pPr>
        <w:pStyle w:val="Bullet"/>
        <w:rPr>
          <w:rFonts w:eastAsiaTheme="minorHAnsi"/>
          <w:szCs w:val="17"/>
        </w:rPr>
      </w:pPr>
      <w:r w:rsidRPr="0067507D">
        <w:t>c</w:t>
      </w:r>
      <w:r w:rsidR="00D83AEF" w:rsidRPr="0067507D">
        <w:rPr>
          <w:szCs w:val="17"/>
        </w:rPr>
        <w:t>ontinued</w:t>
      </w:r>
      <w:r w:rsidR="00D83AEF" w:rsidRPr="0067507D">
        <w:rPr>
          <w:rFonts w:eastAsiaTheme="minorHAnsi"/>
          <w:szCs w:val="17"/>
        </w:rPr>
        <w:t xml:space="preserve"> access to holistic supports such as free flu vaccinations, and financial wellbeing services provided through Aware Super, including one</w:t>
      </w:r>
      <w:r w:rsidRPr="0067507D">
        <w:rPr>
          <w:szCs w:val="17"/>
        </w:rPr>
        <w:noBreakHyphen/>
      </w:r>
      <w:r w:rsidR="00D83AEF" w:rsidRPr="0067507D">
        <w:rPr>
          <w:rFonts w:eastAsiaTheme="minorHAnsi"/>
          <w:szCs w:val="17"/>
        </w:rPr>
        <w:t>on</w:t>
      </w:r>
      <w:r w:rsidR="006A5485">
        <w:rPr>
          <w:rFonts w:eastAsiaTheme="minorHAnsi"/>
          <w:szCs w:val="17"/>
        </w:rPr>
        <w:noBreakHyphen/>
      </w:r>
      <w:r w:rsidR="00D83AEF" w:rsidRPr="0067507D">
        <w:rPr>
          <w:rFonts w:eastAsiaTheme="minorHAnsi"/>
          <w:szCs w:val="17"/>
        </w:rPr>
        <w:t>one consultations and seminars.</w:t>
      </w:r>
    </w:p>
    <w:p w14:paraId="71187B55" w14:textId="03C15084" w:rsidR="00513A07" w:rsidRPr="0067507D" w:rsidRDefault="00907795" w:rsidP="001F4609">
      <w:pPr>
        <w:rPr>
          <w:sz w:val="18"/>
          <w:szCs w:val="18"/>
        </w:rPr>
      </w:pPr>
      <w:r w:rsidRPr="0067507D">
        <w:t>W</w:t>
      </w:r>
      <w:r w:rsidR="00513A07" w:rsidRPr="0067507D">
        <w:t xml:space="preserve">ellbeing </w:t>
      </w:r>
      <w:r w:rsidRPr="0067507D">
        <w:t>information was provided to employees,</w:t>
      </w:r>
      <w:r w:rsidR="00513A07" w:rsidRPr="0067507D">
        <w:t xml:space="preserve"> </w:t>
      </w:r>
      <w:r w:rsidRPr="0067507D">
        <w:t xml:space="preserve">including </w:t>
      </w:r>
      <w:r w:rsidR="00513A07" w:rsidRPr="0067507D">
        <w:t>on themes such as mindfulness, hybrid work and physical wellbeing. This also includes celebrating days of significanc</w:t>
      </w:r>
      <w:r w:rsidR="00513A07" w:rsidRPr="0067507D">
        <w:rPr>
          <w:rFonts w:cs="Segoe UI"/>
          <w:szCs w:val="17"/>
        </w:rPr>
        <w:t>e such as Women’s Health Week, Men’s Health Week, R</w:t>
      </w:r>
      <w:r w:rsidR="00513A07" w:rsidRPr="0067507D">
        <w:rPr>
          <w:rFonts w:ascii="Cambria Math" w:hAnsi="Cambria Math" w:cs="Cambria Math"/>
        </w:rPr>
        <w:t> </w:t>
      </w:r>
      <w:r w:rsidR="00513A07" w:rsidRPr="0067507D">
        <w:rPr>
          <w:rFonts w:cs="Segoe UI"/>
          <w:szCs w:val="17"/>
        </w:rPr>
        <w:t>U</w:t>
      </w:r>
      <w:r w:rsidR="00C8737E" w:rsidRPr="0067507D">
        <w:rPr>
          <w:rFonts w:ascii="Calibri" w:hAnsi="Calibri" w:cs="Calibri"/>
          <w:szCs w:val="17"/>
        </w:rPr>
        <w:t> </w:t>
      </w:r>
      <w:r w:rsidR="00513A07" w:rsidRPr="0067507D">
        <w:rPr>
          <w:rFonts w:cs="Segoe UI"/>
          <w:szCs w:val="17"/>
        </w:rPr>
        <w:t>OK Day, Mindful in May, Mental Health Month and</w:t>
      </w:r>
      <w:r w:rsidR="00513A07" w:rsidRPr="0067507D">
        <w:rPr>
          <w:rFonts w:ascii="Cambria Math" w:hAnsi="Cambria Math" w:cs="Cambria Math"/>
        </w:rPr>
        <w:t> </w:t>
      </w:r>
      <w:r w:rsidR="00513A07" w:rsidRPr="0067507D">
        <w:rPr>
          <w:rFonts w:cs="Segoe UI"/>
          <w:szCs w:val="17"/>
        </w:rPr>
        <w:t>Safe Work Month.</w:t>
      </w:r>
      <w:r w:rsidR="00556EB8" w:rsidRPr="0067507D">
        <w:rPr>
          <w:rFonts w:cs="Segoe UI"/>
          <w:szCs w:val="17"/>
        </w:rPr>
        <w:t xml:space="preserve"> </w:t>
      </w:r>
    </w:p>
    <w:p w14:paraId="534067CF" w14:textId="5119C2B8" w:rsidR="00513A07" w:rsidRPr="0067507D" w:rsidRDefault="00513A07" w:rsidP="001F4609">
      <w:pPr>
        <w:rPr>
          <w:sz w:val="18"/>
          <w:szCs w:val="18"/>
        </w:rPr>
      </w:pPr>
      <w:r w:rsidRPr="0067507D">
        <w:t xml:space="preserve">The Department has continued the Peer Support program, where each </w:t>
      </w:r>
      <w:r w:rsidRPr="0067507D">
        <w:rPr>
          <w:rFonts w:cs="Segoe UI"/>
          <w:szCs w:val="17"/>
        </w:rPr>
        <w:t xml:space="preserve">Division has specific individuals who are trained to support employees with a range of sensitive issues. </w:t>
      </w:r>
    </w:p>
    <w:p w14:paraId="59C82D87" w14:textId="77777777" w:rsidR="00113E1C" w:rsidRPr="0067507D" w:rsidRDefault="00113E1C" w:rsidP="00113E1C">
      <w:pPr>
        <w:pStyle w:val="Heading2"/>
      </w:pPr>
      <w:r w:rsidRPr="0067507D">
        <w:lastRenderedPageBreak/>
        <w:t xml:space="preserve">Delivering diversity and inclusion strategy and action plans </w:t>
      </w:r>
    </w:p>
    <w:p w14:paraId="6F87748C" w14:textId="75AC2CF1" w:rsidR="00113E1C" w:rsidRPr="0067507D" w:rsidRDefault="00113E1C" w:rsidP="00C8737E">
      <w:pPr>
        <w:pStyle w:val="Heading2"/>
        <w:rPr>
          <w:sz w:val="22"/>
          <w:szCs w:val="22"/>
        </w:rPr>
      </w:pPr>
      <w:r w:rsidRPr="0067507D">
        <w:rPr>
          <w:sz w:val="22"/>
          <w:szCs w:val="22"/>
        </w:rPr>
        <w:t>Diversity and inclusion framework and action plan</w:t>
      </w:r>
    </w:p>
    <w:p w14:paraId="3A8F1D44" w14:textId="3EA72138" w:rsidR="00113E1C" w:rsidRPr="0067507D" w:rsidRDefault="00113E1C" w:rsidP="00C8737E">
      <w:pPr>
        <w:keepNext/>
        <w:rPr>
          <w:rFonts w:eastAsia="Tahoma"/>
        </w:rPr>
      </w:pPr>
      <w:r w:rsidRPr="0067507D">
        <w:rPr>
          <w:rFonts w:eastAsia="Tahoma"/>
        </w:rPr>
        <w:t xml:space="preserve">DTF </w:t>
      </w:r>
      <w:r w:rsidR="00AA3338" w:rsidRPr="0067507D">
        <w:rPr>
          <w:rFonts w:eastAsia="Tahoma"/>
        </w:rPr>
        <w:t xml:space="preserve">is </w:t>
      </w:r>
      <w:r w:rsidR="00962CA5" w:rsidRPr="0067507D">
        <w:rPr>
          <w:rFonts w:eastAsia="Tahoma"/>
        </w:rPr>
        <w:t>in</w:t>
      </w:r>
      <w:r w:rsidRPr="0067507D">
        <w:rPr>
          <w:rFonts w:eastAsia="Tahoma"/>
        </w:rPr>
        <w:t xml:space="preserve"> </w:t>
      </w:r>
      <w:r w:rsidR="005E5477" w:rsidRPr="0067507D">
        <w:rPr>
          <w:rFonts w:eastAsia="Tahoma"/>
        </w:rPr>
        <w:t xml:space="preserve">the </w:t>
      </w:r>
      <w:r w:rsidR="00AA3338" w:rsidRPr="0067507D">
        <w:rPr>
          <w:rFonts w:eastAsia="Tahoma"/>
        </w:rPr>
        <w:t xml:space="preserve">final year </w:t>
      </w:r>
      <w:r w:rsidR="00D13183" w:rsidRPr="0067507D">
        <w:rPr>
          <w:rFonts w:eastAsia="Tahoma"/>
        </w:rPr>
        <w:t xml:space="preserve">of </w:t>
      </w:r>
      <w:r w:rsidRPr="0067507D">
        <w:rPr>
          <w:rFonts w:eastAsia="Tahoma"/>
        </w:rPr>
        <w:t>its Diversity Inclusion Framework 2021</w:t>
      </w:r>
      <w:r w:rsidR="003B1250" w:rsidRPr="0067507D">
        <w:rPr>
          <w:rFonts w:eastAsia="Tahoma"/>
        </w:rPr>
        <w:noBreakHyphen/>
      </w:r>
      <w:r w:rsidRPr="0067507D">
        <w:rPr>
          <w:rFonts w:eastAsia="Tahoma"/>
        </w:rPr>
        <w:t xml:space="preserve">25, which includes a range of initiatives to ensure that employees are treated fairly and respectfully, and a positive workplace culture can continue to thrive. The framework is designed to improve diversity across all functional areas of the Department, from leadership to policies and metrics. </w:t>
      </w:r>
    </w:p>
    <w:p w14:paraId="15D6C595" w14:textId="234254C2" w:rsidR="003D0A1E" w:rsidRPr="0067507D" w:rsidRDefault="00F70CF1" w:rsidP="00C8737E">
      <w:pPr>
        <w:keepNext/>
        <w:rPr>
          <w:rFonts w:eastAsia="Tahoma"/>
        </w:rPr>
      </w:pPr>
      <w:r w:rsidRPr="0067507D">
        <w:rPr>
          <w:rFonts w:eastAsia="Tahoma"/>
        </w:rPr>
        <w:t xml:space="preserve">Under its participation in the DGS corporate shared services model, DTF is moving to a Diversity Equity and Inclusion Strategy </w:t>
      </w:r>
      <w:r w:rsidR="00252BCD" w:rsidRPr="0067507D">
        <w:rPr>
          <w:rFonts w:eastAsia="Tahoma"/>
        </w:rPr>
        <w:t xml:space="preserve">that will </w:t>
      </w:r>
      <w:r w:rsidR="00961052" w:rsidRPr="0067507D">
        <w:rPr>
          <w:rFonts w:eastAsia="Tahoma"/>
        </w:rPr>
        <w:t xml:space="preserve">outline a </w:t>
      </w:r>
      <w:r w:rsidR="005A6856" w:rsidRPr="0067507D">
        <w:rPr>
          <w:rFonts w:eastAsia="Tahoma"/>
        </w:rPr>
        <w:t xml:space="preserve">shared vision and commitment to </w:t>
      </w:r>
      <w:r w:rsidR="00961052" w:rsidRPr="0067507D">
        <w:rPr>
          <w:rFonts w:eastAsia="Tahoma"/>
        </w:rPr>
        <w:t>diversity, equity and inclusion</w:t>
      </w:r>
      <w:r w:rsidR="005A6856" w:rsidRPr="0067507D">
        <w:rPr>
          <w:rFonts w:eastAsia="Tahoma"/>
        </w:rPr>
        <w:t xml:space="preserve"> across departments </w:t>
      </w:r>
      <w:r w:rsidR="00961052" w:rsidRPr="0067507D">
        <w:rPr>
          <w:rFonts w:eastAsia="Tahoma"/>
        </w:rPr>
        <w:t>serviced within this model.</w:t>
      </w:r>
      <w:r w:rsidR="00783BC4" w:rsidRPr="0067507D">
        <w:rPr>
          <w:rFonts w:eastAsia="Tahoma"/>
        </w:rPr>
        <w:t xml:space="preserve"> The new strategy will have a focus on</w:t>
      </w:r>
      <w:r w:rsidR="003D0A1E" w:rsidRPr="0067507D">
        <w:rPr>
          <w:rFonts w:eastAsia="Tahoma"/>
        </w:rPr>
        <w:t>:</w:t>
      </w:r>
    </w:p>
    <w:p w14:paraId="5D186902" w14:textId="0B01F377" w:rsidR="000675A4" w:rsidRPr="0067507D" w:rsidRDefault="00783BC4" w:rsidP="000675A4">
      <w:pPr>
        <w:pStyle w:val="Bullet"/>
        <w:rPr>
          <w:rFonts w:eastAsia="Tahoma"/>
        </w:rPr>
      </w:pPr>
      <w:r w:rsidRPr="0067507D">
        <w:rPr>
          <w:rFonts w:eastAsia="Tahoma"/>
        </w:rPr>
        <w:t>visible leadership and commitment for diversity equity and inclusion</w:t>
      </w:r>
    </w:p>
    <w:p w14:paraId="5D5F8EF5" w14:textId="7ADF2196" w:rsidR="00791638" w:rsidRPr="0067507D" w:rsidRDefault="003D0A1E" w:rsidP="000675A4">
      <w:pPr>
        <w:pStyle w:val="Bullet"/>
        <w:rPr>
          <w:rFonts w:eastAsia="Tahoma"/>
        </w:rPr>
      </w:pPr>
      <w:r w:rsidRPr="0067507D">
        <w:rPr>
          <w:rFonts w:eastAsia="Tahoma"/>
        </w:rPr>
        <w:t>attracting, developing and retaining a diverse and talented workforce</w:t>
      </w:r>
    </w:p>
    <w:p w14:paraId="4F769044" w14:textId="725711FE" w:rsidR="000675A4" w:rsidRPr="0067507D" w:rsidRDefault="000675A4" w:rsidP="000675A4">
      <w:pPr>
        <w:pStyle w:val="Bullet"/>
        <w:rPr>
          <w:rFonts w:eastAsia="Tahoma"/>
        </w:rPr>
      </w:pPr>
      <w:r w:rsidRPr="0067507D">
        <w:rPr>
          <w:rFonts w:eastAsia="Tahoma"/>
        </w:rPr>
        <w:t>ensuring equity in the workplace</w:t>
      </w:r>
    </w:p>
    <w:p w14:paraId="130DDBFD" w14:textId="1F51E137" w:rsidR="000675A4" w:rsidRPr="0067507D" w:rsidRDefault="00D13665" w:rsidP="000675A4">
      <w:pPr>
        <w:pStyle w:val="Bullet"/>
        <w:rPr>
          <w:rFonts w:eastAsia="Tahoma"/>
        </w:rPr>
      </w:pPr>
      <w:r w:rsidRPr="0067507D">
        <w:rPr>
          <w:rFonts w:eastAsia="Tahoma"/>
        </w:rPr>
        <w:t>creating culturally safe, respectful and inclusive workplaces</w:t>
      </w:r>
    </w:p>
    <w:p w14:paraId="0B3A6196" w14:textId="6CD70036" w:rsidR="001204E2" w:rsidRPr="0067507D" w:rsidRDefault="00D13665" w:rsidP="004F6550">
      <w:pPr>
        <w:pStyle w:val="Bullet"/>
        <w:rPr>
          <w:rFonts w:eastAsia="Tahoma"/>
        </w:rPr>
      </w:pPr>
      <w:r w:rsidRPr="0067507D">
        <w:rPr>
          <w:rFonts w:eastAsia="Tahoma"/>
        </w:rPr>
        <w:t>measuring, monitoring and reporting on diversity equity and inclusion.</w:t>
      </w:r>
    </w:p>
    <w:p w14:paraId="7ACCAB4B" w14:textId="4CB07051" w:rsidR="00FD5C84" w:rsidRPr="0067507D" w:rsidRDefault="00AB6949" w:rsidP="00C37CA9">
      <w:pPr>
        <w:keepNext/>
        <w:rPr>
          <w:rFonts w:eastAsia="Tahoma"/>
        </w:rPr>
      </w:pPr>
      <w:r w:rsidRPr="0067507D">
        <w:rPr>
          <w:rFonts w:eastAsia="Tahoma"/>
        </w:rPr>
        <w:t>DTF ha</w:t>
      </w:r>
      <w:r w:rsidR="00063CF8" w:rsidRPr="0067507D">
        <w:rPr>
          <w:rFonts w:eastAsia="Tahoma"/>
        </w:rPr>
        <w:t>s</w:t>
      </w:r>
      <w:r w:rsidRPr="0067507D">
        <w:rPr>
          <w:rFonts w:eastAsia="Tahoma"/>
        </w:rPr>
        <w:t xml:space="preserve"> launched a DTF LGBTIQA+ Inclusion Plan 202</w:t>
      </w:r>
      <w:r w:rsidR="00D43E94" w:rsidRPr="0067507D">
        <w:rPr>
          <w:rFonts w:eastAsia="Tahoma"/>
        </w:rPr>
        <w:t>5</w:t>
      </w:r>
      <w:r w:rsidR="006A5485">
        <w:rPr>
          <w:rFonts w:eastAsia="Tahoma"/>
        </w:rPr>
        <w:noBreakHyphen/>
      </w:r>
      <w:r w:rsidR="00D43E94" w:rsidRPr="0067507D">
        <w:rPr>
          <w:rFonts w:eastAsia="Tahoma"/>
        </w:rPr>
        <w:t>2029</w:t>
      </w:r>
      <w:r w:rsidR="00281FB9" w:rsidRPr="0067507D">
        <w:rPr>
          <w:rFonts w:eastAsia="Tahoma"/>
        </w:rPr>
        <w:t xml:space="preserve"> which was developed in consultation with the DTF Pride Network</w:t>
      </w:r>
      <w:r w:rsidR="00D43E94" w:rsidRPr="0067507D">
        <w:rPr>
          <w:rFonts w:eastAsia="Tahoma"/>
        </w:rPr>
        <w:t>.</w:t>
      </w:r>
      <w:r w:rsidR="00FD5C84" w:rsidRPr="0067507D">
        <w:rPr>
          <w:rFonts w:eastAsia="Tahoma"/>
        </w:rPr>
        <w:t xml:space="preserve"> The plan focuses on:</w:t>
      </w:r>
    </w:p>
    <w:p w14:paraId="6A3AAED9" w14:textId="3DD79915" w:rsidR="00AB6949" w:rsidRPr="0067507D" w:rsidRDefault="00FD5C84" w:rsidP="00C37CA9">
      <w:pPr>
        <w:pStyle w:val="Bullet"/>
        <w:keepNext/>
        <w:rPr>
          <w:rFonts w:eastAsia="Tahoma"/>
        </w:rPr>
      </w:pPr>
      <w:r w:rsidRPr="0067507D">
        <w:rPr>
          <w:rFonts w:eastAsia="Tahoma"/>
        </w:rPr>
        <w:t>visible leadership and accountability</w:t>
      </w:r>
    </w:p>
    <w:p w14:paraId="5E644A23" w14:textId="35B6663F" w:rsidR="00FD5C84" w:rsidRPr="0067507D" w:rsidRDefault="00FD5C84" w:rsidP="00C37CA9">
      <w:pPr>
        <w:pStyle w:val="Bullet"/>
        <w:keepNext/>
        <w:rPr>
          <w:rFonts w:eastAsia="Tahoma"/>
        </w:rPr>
      </w:pPr>
      <w:r w:rsidRPr="0067507D">
        <w:rPr>
          <w:rFonts w:eastAsia="Tahoma"/>
        </w:rPr>
        <w:t xml:space="preserve">raising </w:t>
      </w:r>
      <w:r w:rsidR="00EA71BF" w:rsidRPr="0067507D">
        <w:rPr>
          <w:rFonts w:eastAsia="Tahoma"/>
        </w:rPr>
        <w:t>LGBTIQA+ inclusion awareness and building allyship</w:t>
      </w:r>
    </w:p>
    <w:p w14:paraId="00229497" w14:textId="7936B588" w:rsidR="00EA71BF" w:rsidRPr="0067507D" w:rsidRDefault="00EA71BF" w:rsidP="00FD5C84">
      <w:pPr>
        <w:pStyle w:val="Bullet"/>
        <w:rPr>
          <w:rFonts w:eastAsia="Tahoma"/>
        </w:rPr>
      </w:pPr>
      <w:r w:rsidRPr="0067507D">
        <w:rPr>
          <w:rFonts w:eastAsia="Tahoma"/>
        </w:rPr>
        <w:t>creating psychologically safe and inclusive workplaces</w:t>
      </w:r>
    </w:p>
    <w:p w14:paraId="40DE89C9" w14:textId="74D61F64" w:rsidR="009F1F40" w:rsidRPr="0067507D" w:rsidRDefault="009F1F40" w:rsidP="004F6550">
      <w:pPr>
        <w:pStyle w:val="Bullet"/>
        <w:rPr>
          <w:rFonts w:eastAsia="Tahoma"/>
        </w:rPr>
      </w:pPr>
      <w:r w:rsidRPr="0067507D">
        <w:rPr>
          <w:rFonts w:eastAsia="Tahoma"/>
        </w:rPr>
        <w:t>ensuring policies and practices are inclusive of LGBTIQA+ people.</w:t>
      </w:r>
    </w:p>
    <w:p w14:paraId="52E43A1B" w14:textId="6EDD7A85" w:rsidR="00113E1C" w:rsidRPr="0067507D" w:rsidRDefault="00113E1C" w:rsidP="00113E1C">
      <w:pPr>
        <w:rPr>
          <w:rFonts w:eastAsia="Tahoma"/>
        </w:rPr>
      </w:pPr>
      <w:r w:rsidRPr="0067507D">
        <w:rPr>
          <w:rFonts w:eastAsia="Tahoma"/>
        </w:rPr>
        <w:t xml:space="preserve">The Department continues to be committed to improving attraction and </w:t>
      </w:r>
      <w:r w:rsidR="00A70CD2" w:rsidRPr="0067507D">
        <w:rPr>
          <w:rFonts w:eastAsia="Tahoma"/>
        </w:rPr>
        <w:t>retention</w:t>
      </w:r>
      <w:r w:rsidRPr="0067507D">
        <w:rPr>
          <w:rFonts w:eastAsia="Tahoma"/>
        </w:rPr>
        <w:t xml:space="preserve">, creating a culturally safe workplace, enhanced support </w:t>
      </w:r>
      <w:r w:rsidR="00EE2CF2" w:rsidRPr="0067507D">
        <w:rPr>
          <w:rFonts w:eastAsia="Tahoma"/>
        </w:rPr>
        <w:t xml:space="preserve">and career experiences </w:t>
      </w:r>
      <w:r w:rsidRPr="0067507D">
        <w:rPr>
          <w:rFonts w:eastAsia="Tahoma"/>
        </w:rPr>
        <w:t xml:space="preserve">for Aboriginal staff. </w:t>
      </w:r>
    </w:p>
    <w:p w14:paraId="1896086F" w14:textId="61E85E47" w:rsidR="00113E1C" w:rsidRPr="0067507D" w:rsidRDefault="00113E1C" w:rsidP="00113E1C">
      <w:pPr>
        <w:rPr>
          <w:rFonts w:eastAsia="Tahoma"/>
        </w:rPr>
      </w:pPr>
      <w:r w:rsidRPr="0067507D">
        <w:rPr>
          <w:rFonts w:eastAsia="Tahoma"/>
        </w:rPr>
        <w:t xml:space="preserve">The </w:t>
      </w:r>
      <w:r w:rsidRPr="0067507D">
        <w:rPr>
          <w:rFonts w:eastAsia="Tahoma"/>
          <w:i/>
        </w:rPr>
        <w:t>Advancing Self</w:t>
      </w:r>
      <w:r w:rsidR="00444A68" w:rsidRPr="0067507D">
        <w:rPr>
          <w:rFonts w:eastAsia="Tahoma"/>
          <w:i/>
        </w:rPr>
        <w:noBreakHyphen/>
      </w:r>
      <w:r w:rsidRPr="0067507D">
        <w:rPr>
          <w:rFonts w:eastAsia="Tahoma"/>
          <w:i/>
        </w:rPr>
        <w:t xml:space="preserve">Determination in DTF </w:t>
      </w:r>
      <w:r w:rsidR="00C97580" w:rsidRPr="0067507D">
        <w:rPr>
          <w:rFonts w:eastAsia="Tahoma"/>
        </w:rPr>
        <w:t>p</w:t>
      </w:r>
      <w:r w:rsidRPr="0067507D">
        <w:rPr>
          <w:rFonts w:eastAsia="Tahoma"/>
        </w:rPr>
        <w:t>lan outlines the Department’s commitment to progressing self</w:t>
      </w:r>
      <w:r w:rsidR="006A5485">
        <w:rPr>
          <w:rFonts w:eastAsia="Tahoma"/>
        </w:rPr>
        <w:noBreakHyphen/>
      </w:r>
      <w:r w:rsidRPr="0067507D">
        <w:rPr>
          <w:rFonts w:eastAsia="Tahoma"/>
        </w:rPr>
        <w:t>determination and working towards reconciliation. The Plan presents DTF’s initial actions on how the Department will deliver against commitments in the Victorian Aboriginal Affairs Framework and the Self</w:t>
      </w:r>
      <w:r w:rsidR="006A5485">
        <w:rPr>
          <w:rFonts w:eastAsia="Tahoma"/>
        </w:rPr>
        <w:noBreakHyphen/>
      </w:r>
      <w:r w:rsidRPr="0067507D">
        <w:rPr>
          <w:rFonts w:eastAsia="Tahoma"/>
        </w:rPr>
        <w:t xml:space="preserve">Determination Reform Framework. </w:t>
      </w:r>
    </w:p>
    <w:p w14:paraId="432CEF43" w14:textId="639ECB27" w:rsidR="00113E1C" w:rsidRPr="0067507D" w:rsidRDefault="00113E1C" w:rsidP="00113E1C">
      <w:pPr>
        <w:rPr>
          <w:rFonts w:eastAsia="Tahoma"/>
        </w:rPr>
      </w:pPr>
      <w:r w:rsidRPr="0067507D">
        <w:rPr>
          <w:rFonts w:eastAsia="Tahoma"/>
        </w:rPr>
        <w:t xml:space="preserve">The Department participated in the Stepping Into Internship program for people with disability, appointing </w:t>
      </w:r>
      <w:r w:rsidR="00F22BAE" w:rsidRPr="0067507D">
        <w:rPr>
          <w:rFonts w:eastAsia="Tahoma"/>
        </w:rPr>
        <w:t xml:space="preserve">four </w:t>
      </w:r>
      <w:r w:rsidRPr="0067507D">
        <w:rPr>
          <w:rFonts w:eastAsia="Tahoma"/>
        </w:rPr>
        <w:t>interns in a diverse range of positions. Additionally, the Department participated in the Australian Network on Disability</w:t>
      </w:r>
      <w:r w:rsidR="00191ADA" w:rsidRPr="0067507D">
        <w:rPr>
          <w:rFonts w:eastAsia="Tahoma"/>
        </w:rPr>
        <w:t>’</w:t>
      </w:r>
      <w:r w:rsidRPr="0067507D">
        <w:rPr>
          <w:rFonts w:eastAsia="Tahoma"/>
        </w:rPr>
        <w:t xml:space="preserve">s Positive Action towards Career Engagement mentoring program. The program matches jobseekers with disability with experienced mentors. </w:t>
      </w:r>
    </w:p>
    <w:p w14:paraId="2DE3B9E1" w14:textId="6B1BF3F3" w:rsidR="00113E1C" w:rsidRPr="0067507D" w:rsidRDefault="00113E1C" w:rsidP="00113E1C">
      <w:pPr>
        <w:rPr>
          <w:rFonts w:eastAsia="Tahoma"/>
        </w:rPr>
      </w:pPr>
      <w:r w:rsidRPr="0067507D">
        <w:rPr>
          <w:rFonts w:eastAsia="Tahoma"/>
        </w:rPr>
        <w:t>The Department supports participation in Victorian Public Service employee</w:t>
      </w:r>
      <w:r w:rsidRPr="0067507D">
        <w:rPr>
          <w:rFonts w:eastAsia="Tahoma"/>
        </w:rPr>
        <w:noBreakHyphen/>
        <w:t xml:space="preserve">led networks to provide employees the opportunity to connect with peers and improve outcomes. </w:t>
      </w:r>
      <w:r w:rsidR="00EF48D3" w:rsidRPr="0067507D">
        <w:rPr>
          <w:rFonts w:eastAsia="Tahoma"/>
        </w:rPr>
        <w:t xml:space="preserve">Staff may </w:t>
      </w:r>
      <w:r w:rsidR="005B188B" w:rsidRPr="0067507D">
        <w:rPr>
          <w:rFonts w:eastAsia="Tahoma"/>
        </w:rPr>
        <w:t xml:space="preserve">join such </w:t>
      </w:r>
      <w:r w:rsidR="00254000" w:rsidRPr="0067507D">
        <w:rPr>
          <w:rFonts w:eastAsia="Tahoma"/>
        </w:rPr>
        <w:t xml:space="preserve">networks </w:t>
      </w:r>
      <w:r w:rsidR="005B188B" w:rsidRPr="0067507D">
        <w:rPr>
          <w:rFonts w:eastAsia="Tahoma"/>
        </w:rPr>
        <w:t>as</w:t>
      </w:r>
      <w:r w:rsidR="007204EB" w:rsidRPr="0067507D">
        <w:rPr>
          <w:rFonts w:eastAsia="Tahoma"/>
        </w:rPr>
        <w:t>:</w:t>
      </w:r>
    </w:p>
    <w:p w14:paraId="6A285626" w14:textId="6CBC6CFD" w:rsidR="005B188B" w:rsidRPr="0067507D" w:rsidRDefault="005B188B" w:rsidP="005B188B">
      <w:pPr>
        <w:pStyle w:val="Bullet"/>
        <w:rPr>
          <w:rFonts w:eastAsia="Tahoma"/>
        </w:rPr>
      </w:pPr>
      <w:r w:rsidRPr="0067507D">
        <w:rPr>
          <w:rFonts w:eastAsia="Tahoma"/>
        </w:rPr>
        <w:t>the DTF, DPC and DGS combined Enablers Network</w:t>
      </w:r>
    </w:p>
    <w:p w14:paraId="381D9A0B" w14:textId="1F32BD8C" w:rsidR="005B188B" w:rsidRPr="0067507D" w:rsidRDefault="005B188B" w:rsidP="005B188B">
      <w:pPr>
        <w:pStyle w:val="Bullet"/>
        <w:rPr>
          <w:rFonts w:eastAsia="Tahoma"/>
        </w:rPr>
      </w:pPr>
      <w:r w:rsidRPr="0067507D">
        <w:rPr>
          <w:rFonts w:eastAsia="Tahoma"/>
        </w:rPr>
        <w:t>DTF Pride Network</w:t>
      </w:r>
    </w:p>
    <w:p w14:paraId="3B934791" w14:textId="6CAA7E82" w:rsidR="00924E83" w:rsidRPr="0067507D" w:rsidRDefault="00924E83" w:rsidP="005B188B">
      <w:pPr>
        <w:pStyle w:val="Bullet"/>
        <w:rPr>
          <w:rFonts w:eastAsia="Tahoma"/>
        </w:rPr>
      </w:pPr>
      <w:r w:rsidRPr="0067507D">
        <w:rPr>
          <w:rFonts w:eastAsia="Tahoma"/>
        </w:rPr>
        <w:t>DTF Women’s Leadership Network</w:t>
      </w:r>
    </w:p>
    <w:p w14:paraId="3475DDFC" w14:textId="0EB6BE60" w:rsidR="00924E83" w:rsidRPr="0067507D" w:rsidRDefault="00924E83" w:rsidP="005B188B">
      <w:pPr>
        <w:pStyle w:val="Bullet"/>
        <w:rPr>
          <w:rFonts w:eastAsia="Tahoma"/>
        </w:rPr>
      </w:pPr>
      <w:r w:rsidRPr="0067507D">
        <w:rPr>
          <w:rFonts w:eastAsia="Tahoma"/>
        </w:rPr>
        <w:t>DTF and ESC Women of Colour Network</w:t>
      </w:r>
    </w:p>
    <w:p w14:paraId="5B174655" w14:textId="77777777" w:rsidR="00924E83" w:rsidRPr="0067507D" w:rsidRDefault="00924E83" w:rsidP="00924E83">
      <w:pPr>
        <w:pStyle w:val="Bullet"/>
        <w:rPr>
          <w:rFonts w:eastAsia="Tahoma"/>
        </w:rPr>
      </w:pPr>
      <w:r w:rsidRPr="0067507D">
        <w:rPr>
          <w:rFonts w:eastAsia="Tahoma"/>
        </w:rPr>
        <w:t>VPS Enablers Network</w:t>
      </w:r>
    </w:p>
    <w:p w14:paraId="62482200" w14:textId="6A31890F" w:rsidR="005B188B" w:rsidRPr="0067507D" w:rsidRDefault="005B188B" w:rsidP="005B188B">
      <w:pPr>
        <w:pStyle w:val="Bullet"/>
        <w:rPr>
          <w:rFonts w:eastAsia="Tahoma"/>
        </w:rPr>
      </w:pPr>
      <w:r w:rsidRPr="0067507D">
        <w:rPr>
          <w:rFonts w:eastAsia="Tahoma"/>
        </w:rPr>
        <w:t>VPS Pride Network</w:t>
      </w:r>
    </w:p>
    <w:p w14:paraId="610EFBA5" w14:textId="4B342282" w:rsidR="004E4004" w:rsidRPr="0067507D" w:rsidRDefault="004E4004" w:rsidP="005B188B">
      <w:pPr>
        <w:pStyle w:val="Bullet"/>
        <w:rPr>
          <w:rFonts w:eastAsia="Tahoma"/>
        </w:rPr>
      </w:pPr>
      <w:r w:rsidRPr="0067507D">
        <w:rPr>
          <w:rFonts w:eastAsia="Tahoma"/>
        </w:rPr>
        <w:t>VPS Aboriginal staff network</w:t>
      </w:r>
    </w:p>
    <w:p w14:paraId="2CF91ECD" w14:textId="7AAB554B" w:rsidR="004E4004" w:rsidRPr="0067507D" w:rsidRDefault="004E4004" w:rsidP="004E4004">
      <w:pPr>
        <w:pStyle w:val="Bullet"/>
        <w:rPr>
          <w:rFonts w:eastAsia="Tahoma"/>
        </w:rPr>
      </w:pPr>
      <w:r w:rsidRPr="0067507D">
        <w:rPr>
          <w:rFonts w:eastAsia="Tahoma"/>
        </w:rPr>
        <w:t>VPS Women of Colour Network</w:t>
      </w:r>
    </w:p>
    <w:p w14:paraId="4DB65173" w14:textId="283A3EA7" w:rsidR="00113E1C" w:rsidRPr="0067507D" w:rsidRDefault="00113E1C" w:rsidP="00113E1C">
      <w:pPr>
        <w:rPr>
          <w:rFonts w:eastAsia="Tahoma"/>
        </w:rPr>
      </w:pPr>
      <w:r w:rsidRPr="0067507D">
        <w:rPr>
          <w:rFonts w:eastAsia="Tahoma"/>
        </w:rPr>
        <w:t xml:space="preserve">In </w:t>
      </w:r>
      <w:r w:rsidR="00C30F42" w:rsidRPr="0067507D">
        <w:rPr>
          <w:rFonts w:eastAsia="Tahoma"/>
        </w:rPr>
        <w:t>2024</w:t>
      </w:r>
      <w:r w:rsidR="006A5485">
        <w:rPr>
          <w:rFonts w:eastAsia="Tahoma"/>
        </w:rPr>
        <w:noBreakHyphen/>
      </w:r>
      <w:r w:rsidR="00C30F42" w:rsidRPr="0067507D">
        <w:rPr>
          <w:rFonts w:eastAsia="Tahoma"/>
        </w:rPr>
        <w:t>25</w:t>
      </w:r>
      <w:r w:rsidRPr="0067507D">
        <w:rPr>
          <w:rFonts w:eastAsia="Tahoma"/>
        </w:rPr>
        <w:t>, several significant events were celebrated including National Reconciliation Week, NAIDOC week</w:t>
      </w:r>
      <w:r w:rsidR="00454B4E" w:rsidRPr="0067507D">
        <w:rPr>
          <w:rFonts w:eastAsia="Tahoma"/>
        </w:rPr>
        <w:t xml:space="preserve">, International </w:t>
      </w:r>
      <w:r w:rsidR="00353F07" w:rsidRPr="0067507D">
        <w:rPr>
          <w:rFonts w:eastAsia="Tahoma"/>
        </w:rPr>
        <w:t>Women</w:t>
      </w:r>
      <w:r w:rsidR="007204EB" w:rsidRPr="0067507D">
        <w:rPr>
          <w:rFonts w:eastAsia="Tahoma"/>
        </w:rPr>
        <w:t>’</w:t>
      </w:r>
      <w:r w:rsidR="00353F07" w:rsidRPr="0067507D">
        <w:rPr>
          <w:rFonts w:eastAsia="Tahoma"/>
        </w:rPr>
        <w:t>s Day</w:t>
      </w:r>
      <w:r w:rsidRPr="0067507D">
        <w:rPr>
          <w:rFonts w:eastAsia="Tahoma"/>
        </w:rPr>
        <w:t xml:space="preserve"> and International Day of People with Disability.</w:t>
      </w:r>
    </w:p>
    <w:p w14:paraId="776DCCBA" w14:textId="5A07995D" w:rsidR="00113E1C" w:rsidRPr="0067507D" w:rsidRDefault="00113E1C" w:rsidP="006805EB">
      <w:pPr>
        <w:pStyle w:val="Heading3"/>
      </w:pPr>
      <w:r w:rsidRPr="0067507D">
        <w:t>Gender equality</w:t>
      </w:r>
    </w:p>
    <w:p w14:paraId="4A53E18C" w14:textId="02B04C96" w:rsidR="00113E1C" w:rsidRPr="0067507D" w:rsidRDefault="00113E1C" w:rsidP="00113E1C">
      <w:r w:rsidRPr="0067507D">
        <w:t>DTF</w:t>
      </w:r>
      <w:r w:rsidR="004E4004" w:rsidRPr="0067507D">
        <w:t xml:space="preserve"> is in the final year of its </w:t>
      </w:r>
      <w:r w:rsidRPr="0067507D">
        <w:t>Gender Equality Action Plan 2021</w:t>
      </w:r>
      <w:r w:rsidR="00BF08A4" w:rsidRPr="0067507D">
        <w:noBreakHyphen/>
      </w:r>
      <w:r w:rsidRPr="0067507D">
        <w:t>25</w:t>
      </w:r>
      <w:r w:rsidR="00E71352" w:rsidRPr="0067507D">
        <w:t>, which</w:t>
      </w:r>
      <w:r w:rsidRPr="0067507D">
        <w:t xml:space="preserve"> reflects the Department’s commitment to improving gender equality within the workplace and community to help the department better serve and support the Government and Victorian community. </w:t>
      </w:r>
    </w:p>
    <w:p w14:paraId="678F6063" w14:textId="62CF6DE9" w:rsidR="004E4004" w:rsidRPr="0067507D" w:rsidRDefault="00113E1C" w:rsidP="00113E1C">
      <w:r w:rsidRPr="0067507D">
        <w:t xml:space="preserve">The Plan includes a range of strategies and measures to improve gender equality and diversity across DTF and recognises that gender inequality may be compounded by other forms of </w:t>
      </w:r>
      <w:r w:rsidR="009F1F40" w:rsidRPr="0067507D">
        <w:t xml:space="preserve">intersectional </w:t>
      </w:r>
      <w:r w:rsidRPr="0067507D">
        <w:t xml:space="preserve">disadvantage or discrimination that women may experience based on other attributes. </w:t>
      </w:r>
    </w:p>
    <w:p w14:paraId="1EA69964" w14:textId="3F56B931" w:rsidR="00113E1C" w:rsidRPr="0067507D" w:rsidRDefault="00113E1C" w:rsidP="00113E1C">
      <w:r w:rsidRPr="0067507D">
        <w:t xml:space="preserve">The Department facilitates a </w:t>
      </w:r>
      <w:r w:rsidR="00924E83" w:rsidRPr="0067507D">
        <w:t xml:space="preserve">Women’s Leadership Network, and a </w:t>
      </w:r>
      <w:r w:rsidRPr="0067507D">
        <w:t xml:space="preserve">Mentoring Women in Economics program to increase women’s participation in economics. </w:t>
      </w:r>
    </w:p>
    <w:p w14:paraId="78576266" w14:textId="5AD640BE" w:rsidR="00113E1C" w:rsidRPr="0067507D" w:rsidRDefault="00113E1C" w:rsidP="00113E1C">
      <w:r w:rsidRPr="0067507D">
        <w:t>To better support all Victorians, the Department’s Gender Responsive Budgeting continues to ensure that all policies, programs and services are developed with a gender lens to enable a more inclusive design of budget initiatives.</w:t>
      </w:r>
    </w:p>
    <w:p w14:paraId="0E324CF3" w14:textId="09DCB243" w:rsidR="00A104E2" w:rsidRPr="0067507D" w:rsidRDefault="00A104E2" w:rsidP="006D3A48"/>
    <w:p w14:paraId="522F2396" w14:textId="169D4773" w:rsidR="00113E1C" w:rsidRPr="0067507D" w:rsidRDefault="00414DA9" w:rsidP="00113E1C">
      <w:pPr>
        <w:pStyle w:val="Heading2"/>
      </w:pPr>
      <w:r w:rsidRPr="0067507D">
        <w:br w:type="column"/>
      </w:r>
      <w:r w:rsidR="00113E1C" w:rsidRPr="0067507D">
        <w:lastRenderedPageBreak/>
        <w:t>Attracting and retaining talented people</w:t>
      </w:r>
    </w:p>
    <w:p w14:paraId="75751585" w14:textId="1191BD9D" w:rsidR="00113E1C" w:rsidRPr="0067507D" w:rsidRDefault="00113E1C" w:rsidP="00113E1C">
      <w:r w:rsidRPr="0067507D">
        <w:t xml:space="preserve">The Department </w:t>
      </w:r>
      <w:r w:rsidR="00D04F2B" w:rsidRPr="0067507D">
        <w:t xml:space="preserve">seeks always to attract </w:t>
      </w:r>
      <w:r w:rsidR="009F6B11" w:rsidRPr="0067507D">
        <w:t>excellent staff</w:t>
      </w:r>
      <w:r w:rsidRPr="0067507D">
        <w:t xml:space="preserve"> through </w:t>
      </w:r>
      <w:r w:rsidR="7EC2DFAF" w:rsidRPr="0067507D">
        <w:t>di</w:t>
      </w:r>
      <w:r w:rsidR="04C62E70" w:rsidRPr="0067507D">
        <w:t xml:space="preserve">verse sourcing channels </w:t>
      </w:r>
      <w:r w:rsidRPr="0067507D">
        <w:t xml:space="preserve">and robust </w:t>
      </w:r>
      <w:r w:rsidR="3E25A229" w:rsidRPr="0067507D">
        <w:t>and merit</w:t>
      </w:r>
      <w:r w:rsidR="000451B1" w:rsidRPr="0067507D">
        <w:noBreakHyphen/>
      </w:r>
      <w:r w:rsidR="3E25A229" w:rsidRPr="0067507D">
        <w:t>based</w:t>
      </w:r>
      <w:r w:rsidRPr="0067507D">
        <w:t xml:space="preserve"> recruitment practices. These practices ensure applicants are assessed fairly and equitably based on key selection criteria and other role accountabilities, without discrimination.</w:t>
      </w:r>
    </w:p>
    <w:p w14:paraId="4CF0EAC3" w14:textId="45104EFD" w:rsidR="33EABEF2" w:rsidRPr="0067507D" w:rsidRDefault="00113E1C" w:rsidP="33EABEF2">
      <w:pPr>
        <w:ind w:right="212"/>
      </w:pPr>
      <w:r w:rsidRPr="0067507D">
        <w:t xml:space="preserve">During </w:t>
      </w:r>
      <w:r w:rsidR="00C30F42" w:rsidRPr="0067507D">
        <w:t>2024</w:t>
      </w:r>
      <w:r w:rsidR="006A5485">
        <w:noBreakHyphen/>
      </w:r>
      <w:r w:rsidR="00C30F42" w:rsidRPr="0067507D">
        <w:t>25</w:t>
      </w:r>
      <w:r w:rsidRPr="0067507D">
        <w:t xml:space="preserve">, the Department prioritised enhancing the skills and capability of hiring managers and interview panellists. </w:t>
      </w:r>
      <w:r w:rsidR="0B8F9973" w:rsidRPr="0067507D">
        <w:t xml:space="preserve">Training, </w:t>
      </w:r>
      <w:r w:rsidR="2DBED768" w:rsidRPr="0067507D">
        <w:t>o</w:t>
      </w:r>
      <w:r w:rsidRPr="0067507D">
        <w:t>nline learning modules and support material</w:t>
      </w:r>
      <w:r w:rsidR="00EC6693" w:rsidRPr="0067507D">
        <w:t>s</w:t>
      </w:r>
      <w:r w:rsidRPr="0067507D">
        <w:t xml:space="preserve"> </w:t>
      </w:r>
      <w:r w:rsidR="00120442" w:rsidRPr="0067507D">
        <w:t xml:space="preserve">were </w:t>
      </w:r>
      <w:r w:rsidRPr="0067507D">
        <w:t xml:space="preserve">made available, ensuring </w:t>
      </w:r>
      <w:r w:rsidR="00EC6693" w:rsidRPr="0067507D">
        <w:t xml:space="preserve">DTF managers </w:t>
      </w:r>
      <w:r w:rsidRPr="0067507D">
        <w:t>were well</w:t>
      </w:r>
      <w:r w:rsidR="006A5485">
        <w:noBreakHyphen/>
      </w:r>
      <w:r w:rsidRPr="0067507D">
        <w:t xml:space="preserve">equipped to </w:t>
      </w:r>
      <w:r w:rsidR="344882E5" w:rsidRPr="0067507D">
        <w:t xml:space="preserve">manage </w:t>
      </w:r>
      <w:r w:rsidRPr="0067507D">
        <w:t xml:space="preserve">a </w:t>
      </w:r>
      <w:r w:rsidR="752B0ED1" w:rsidRPr="0067507D">
        <w:t>merit</w:t>
      </w:r>
      <w:r w:rsidR="006A5485">
        <w:noBreakHyphen/>
      </w:r>
      <w:r w:rsidR="752B0ED1" w:rsidRPr="0067507D">
        <w:t>based</w:t>
      </w:r>
      <w:r w:rsidR="77C769DE" w:rsidRPr="0067507D">
        <w:t xml:space="preserve"> recruitment</w:t>
      </w:r>
      <w:r w:rsidRPr="0067507D">
        <w:t xml:space="preserve"> process </w:t>
      </w:r>
      <w:r w:rsidR="0517A86E" w:rsidRPr="0067507D">
        <w:t xml:space="preserve">in line with best practice </w:t>
      </w:r>
      <w:r w:rsidRPr="0067507D">
        <w:t>and select the most suitable applicant.</w:t>
      </w:r>
      <w:r w:rsidR="3CF88024" w:rsidRPr="0067507D">
        <w:t xml:space="preserve"> </w:t>
      </w:r>
    </w:p>
    <w:p w14:paraId="3EBCBCC2" w14:textId="77777777" w:rsidR="00414DA9" w:rsidRPr="0067507D" w:rsidRDefault="00414DA9" w:rsidP="33EABEF2">
      <w:pPr>
        <w:ind w:right="212"/>
      </w:pPr>
    </w:p>
    <w:p w14:paraId="0B910010" w14:textId="1BFC0054" w:rsidR="00113E1C" w:rsidRPr="0067507D" w:rsidRDefault="00113E1C" w:rsidP="00113E1C">
      <w:pPr>
        <w:pStyle w:val="Heading2"/>
      </w:pPr>
      <w:r w:rsidRPr="0067507D">
        <w:t>Building a pipeline of high potential talent through early career programs</w:t>
      </w:r>
    </w:p>
    <w:p w14:paraId="54BC0A60" w14:textId="4D9F790D" w:rsidR="00113E1C" w:rsidRPr="0067507D" w:rsidRDefault="00113E1C" w:rsidP="00B376FE">
      <w:pPr>
        <w:ind w:right="189"/>
      </w:pPr>
      <w:r w:rsidRPr="0067507D">
        <w:t xml:space="preserve">The Department continues to support the recruitment and development of early career talent by participating in a range of employment programs. During </w:t>
      </w:r>
      <w:r w:rsidR="00C30F42" w:rsidRPr="0067507D">
        <w:t>2024</w:t>
      </w:r>
      <w:r w:rsidR="006A5485">
        <w:noBreakHyphen/>
      </w:r>
      <w:r w:rsidR="00C30F42" w:rsidRPr="0067507D">
        <w:t>25</w:t>
      </w:r>
      <w:r w:rsidRPr="0067507D">
        <w:t xml:space="preserve">, the Department recruited </w:t>
      </w:r>
      <w:r w:rsidR="35AE014B" w:rsidRPr="0067507D">
        <w:t>38</w:t>
      </w:r>
      <w:r w:rsidRPr="0067507D">
        <w:rPr>
          <w:rFonts w:ascii="Calibri" w:hAnsi="Calibri" w:cs="Calibri"/>
        </w:rPr>
        <w:t> </w:t>
      </w:r>
      <w:r w:rsidRPr="0067507D">
        <w:t xml:space="preserve">graduates from varied streams including </w:t>
      </w:r>
      <w:r w:rsidR="002A2505" w:rsidRPr="0067507D">
        <w:t>1</w:t>
      </w:r>
      <w:r w:rsidR="3EBD1F98" w:rsidRPr="0067507D">
        <w:t>5</w:t>
      </w:r>
      <w:r w:rsidRPr="0067507D">
        <w:t xml:space="preserve"> from economic, </w:t>
      </w:r>
      <w:r w:rsidR="0081434E" w:rsidRPr="0067507D">
        <w:t>nine</w:t>
      </w:r>
      <w:r w:rsidRPr="0067507D">
        <w:t xml:space="preserve"> from accounting and finance, </w:t>
      </w:r>
      <w:r w:rsidR="00094AF6" w:rsidRPr="0067507D">
        <w:t>10</w:t>
      </w:r>
      <w:r w:rsidR="00B376FE" w:rsidRPr="0067507D">
        <w:rPr>
          <w:rFonts w:ascii="Calibri" w:hAnsi="Calibri" w:cs="Calibri"/>
        </w:rPr>
        <w:t> </w:t>
      </w:r>
      <w:r w:rsidRPr="0067507D">
        <w:t>generalist</w:t>
      </w:r>
      <w:r w:rsidR="00120442" w:rsidRPr="0067507D">
        <w:t xml:space="preserve"> graduates</w:t>
      </w:r>
      <w:r w:rsidR="73390659" w:rsidRPr="0067507D">
        <w:t xml:space="preserve"> (including </w:t>
      </w:r>
      <w:r w:rsidR="0081434E" w:rsidRPr="0067507D">
        <w:t>one</w:t>
      </w:r>
      <w:r w:rsidR="73390659" w:rsidRPr="0067507D">
        <w:t xml:space="preserve"> </w:t>
      </w:r>
      <w:r w:rsidR="562203A8" w:rsidRPr="0067507D">
        <w:t>from</w:t>
      </w:r>
      <w:r w:rsidR="73390659" w:rsidRPr="0067507D">
        <w:t xml:space="preserve"> legal)</w:t>
      </w:r>
      <w:r w:rsidR="0081434E" w:rsidRPr="0067507D">
        <w:t xml:space="preserve"> </w:t>
      </w:r>
      <w:r w:rsidR="35035503" w:rsidRPr="0067507D">
        <w:t xml:space="preserve">and </w:t>
      </w:r>
      <w:r w:rsidR="0081434E" w:rsidRPr="0067507D">
        <w:t>four</w:t>
      </w:r>
      <w:r w:rsidR="1530183E" w:rsidRPr="0067507D">
        <w:t xml:space="preserve"> </w:t>
      </w:r>
      <w:r w:rsidRPr="0067507D">
        <w:t>from data analytics. The Department continues to lead the economic and accounting and finance graduate streams, offering technical and stream</w:t>
      </w:r>
      <w:r w:rsidR="006A5485">
        <w:noBreakHyphen/>
      </w:r>
      <w:r w:rsidRPr="0067507D">
        <w:t xml:space="preserve">specific training to graduates across the Victorian Government graduate program. Additionally, the Department recruited </w:t>
      </w:r>
      <w:r w:rsidR="7C2E7D61" w:rsidRPr="0067507D">
        <w:t>38</w:t>
      </w:r>
      <w:r w:rsidRPr="0067507D">
        <w:rPr>
          <w:rFonts w:ascii="Calibri" w:hAnsi="Calibri" w:cs="Calibri"/>
        </w:rPr>
        <w:t> </w:t>
      </w:r>
      <w:r w:rsidRPr="0067507D">
        <w:t xml:space="preserve">penultimate </w:t>
      </w:r>
      <w:r w:rsidR="009A6379" w:rsidRPr="0067507D">
        <w:t xml:space="preserve">year </w:t>
      </w:r>
      <w:r w:rsidRPr="0067507D">
        <w:t>university students from varied study disciplines including economics, legal, engineering and accounting and finance to participate in an internship placement.</w:t>
      </w:r>
    </w:p>
    <w:p w14:paraId="4CE6F74A" w14:textId="7BE03976" w:rsidR="00113E1C" w:rsidRPr="0067507D" w:rsidRDefault="00113E1C" w:rsidP="00113E1C">
      <w:r w:rsidRPr="0067507D">
        <w:t xml:space="preserve">The Department placed </w:t>
      </w:r>
      <w:r w:rsidR="006D1395" w:rsidRPr="0067507D">
        <w:t>five</w:t>
      </w:r>
      <w:r w:rsidR="17081EB2" w:rsidRPr="0067507D">
        <w:t xml:space="preserve"> </w:t>
      </w:r>
      <w:r w:rsidRPr="0067507D">
        <w:t>trainee</w:t>
      </w:r>
      <w:r w:rsidR="2D29F713" w:rsidRPr="0067507D">
        <w:t>s</w:t>
      </w:r>
      <w:r w:rsidRPr="0067507D">
        <w:t xml:space="preserve"> through the Youth Employment Scheme (YES). YES offers a 12</w:t>
      </w:r>
      <w:r w:rsidR="00757161" w:rsidRPr="0067507D">
        <w:noBreakHyphen/>
      </w:r>
      <w:r w:rsidRPr="0067507D">
        <w:t xml:space="preserve">month entry level traineeship position and accredited training for young people who may experience barriers to employment. </w:t>
      </w:r>
    </w:p>
    <w:p w14:paraId="39E17FE1" w14:textId="77777777" w:rsidR="006D3A48" w:rsidRPr="0067507D" w:rsidRDefault="006D3A48" w:rsidP="00113E1C"/>
    <w:p w14:paraId="53A9B9BC" w14:textId="44592AB7" w:rsidR="00113E1C" w:rsidRPr="0067507D" w:rsidRDefault="00414DA9" w:rsidP="00113E1C">
      <w:pPr>
        <w:pStyle w:val="Heading2"/>
      </w:pPr>
      <w:r w:rsidRPr="0067507D">
        <w:br w:type="column"/>
      </w:r>
      <w:r w:rsidR="00113E1C" w:rsidRPr="0067507D">
        <w:t xml:space="preserve">Employee relations </w:t>
      </w:r>
    </w:p>
    <w:p w14:paraId="314731B2" w14:textId="0018847C" w:rsidR="00113E1C" w:rsidRPr="0067507D" w:rsidRDefault="00113E1C" w:rsidP="00113E1C">
      <w:r w:rsidRPr="0067507D">
        <w:t xml:space="preserve">During </w:t>
      </w:r>
      <w:r w:rsidR="00C30F42" w:rsidRPr="0067507D">
        <w:t>2024</w:t>
      </w:r>
      <w:r w:rsidR="006A5485">
        <w:noBreakHyphen/>
      </w:r>
      <w:r w:rsidR="00C30F42" w:rsidRPr="0067507D">
        <w:t>25</w:t>
      </w:r>
      <w:r w:rsidRPr="0067507D">
        <w:t>, there were no industrial disputes lodged with the Fair Work Commission. The Department has a comprehensive review of action</w:t>
      </w:r>
      <w:r w:rsidR="00B8133C" w:rsidRPr="0067507D">
        <w:t>s</w:t>
      </w:r>
      <w:r w:rsidRPr="0067507D">
        <w:t xml:space="preserve"> process to ensure employee concerns are dealt with fairly and promptly. Through the review of action</w:t>
      </w:r>
      <w:r w:rsidR="00A15D9D" w:rsidRPr="0067507D">
        <w:t>s</w:t>
      </w:r>
      <w:r w:rsidRPr="0067507D">
        <w:t xml:space="preserve"> process, two formal review</w:t>
      </w:r>
      <w:r w:rsidR="004F0DCC" w:rsidRPr="0067507D">
        <w:t>s</w:t>
      </w:r>
      <w:r w:rsidRPr="0067507D">
        <w:t xml:space="preserve"> of actions were received in the reporting period.</w:t>
      </w:r>
    </w:p>
    <w:p w14:paraId="134A4FAF" w14:textId="77777777" w:rsidR="00113E1C" w:rsidRPr="0067507D" w:rsidRDefault="00113E1C" w:rsidP="00113E1C">
      <w:r w:rsidRPr="0067507D">
        <w:t>The Department has a full suite of policies to support all employees in the workplace, including recruitment and selection, issue resolution and grievance review, redeployment, unsatisfactory work, misconduct, probation and fair treatment. These policies are regularly reviewed and updated.</w:t>
      </w:r>
    </w:p>
    <w:p w14:paraId="3DC3AC9F" w14:textId="77777777" w:rsidR="000B3DAC" w:rsidRPr="0067507D" w:rsidRDefault="000B3DAC" w:rsidP="00113E1C"/>
    <w:p w14:paraId="350E41BC" w14:textId="0BEDBAA5" w:rsidR="00113E1C" w:rsidRPr="0067507D" w:rsidRDefault="00113E1C" w:rsidP="00414DA9">
      <w:pPr>
        <w:pStyle w:val="Heading2"/>
      </w:pPr>
      <w:r w:rsidRPr="0067507D">
        <w:t>Notes for all tables in Appendix 1</w:t>
      </w:r>
    </w:p>
    <w:p w14:paraId="7EFCAAC6" w14:textId="1BBC5944" w:rsidR="00113E1C" w:rsidRPr="0067507D" w:rsidRDefault="00113E1C" w:rsidP="00113E1C">
      <w:pPr>
        <w:pStyle w:val="Notes"/>
        <w:ind w:left="270" w:hanging="270"/>
      </w:pPr>
      <w:r w:rsidRPr="0067507D">
        <w:t xml:space="preserve">1. </w:t>
      </w:r>
      <w:r w:rsidRPr="0067507D">
        <w:tab/>
        <w:t>All figures reflect employment levels during the last pay period of June of each year unless otherwise stated.</w:t>
      </w:r>
    </w:p>
    <w:p w14:paraId="3E307A32" w14:textId="3B710C05" w:rsidR="00113E1C" w:rsidRPr="0067507D" w:rsidRDefault="00113E1C" w:rsidP="00113E1C">
      <w:pPr>
        <w:pStyle w:val="Notes"/>
        <w:ind w:left="270" w:hanging="270"/>
      </w:pPr>
      <w:r w:rsidRPr="0067507D">
        <w:t xml:space="preserve">2. </w:t>
      </w:r>
      <w:r w:rsidRPr="0067507D">
        <w:tab/>
        <w:t>Ongoing employees means people engaged on an open</w:t>
      </w:r>
      <w:r w:rsidR="00B376FE" w:rsidRPr="0067507D">
        <w:noBreakHyphen/>
      </w:r>
      <w:r w:rsidRPr="0067507D">
        <w:t>ended contract of employment and executives engaged on a standard executive contract who were active in the last pay period of June.</w:t>
      </w:r>
    </w:p>
    <w:p w14:paraId="64CCAB33" w14:textId="05C8E6F8" w:rsidR="00113E1C" w:rsidRPr="0067507D" w:rsidRDefault="00113E1C" w:rsidP="00113E1C">
      <w:pPr>
        <w:pStyle w:val="Notes"/>
        <w:ind w:left="270" w:hanging="270"/>
      </w:pPr>
      <w:r w:rsidRPr="0067507D">
        <w:t xml:space="preserve">3. </w:t>
      </w:r>
      <w:r w:rsidRPr="0067507D">
        <w:tab/>
        <w:t>FTE means fulltime equivalent.</w:t>
      </w:r>
    </w:p>
    <w:p w14:paraId="1AD0B7F8" w14:textId="62050204" w:rsidR="00113E1C" w:rsidRPr="0067507D" w:rsidRDefault="00113E1C" w:rsidP="00113E1C">
      <w:pPr>
        <w:pStyle w:val="Notes"/>
        <w:ind w:left="270" w:hanging="270"/>
      </w:pPr>
      <w:r w:rsidRPr="0067507D">
        <w:t xml:space="preserve">4. </w:t>
      </w:r>
      <w:r w:rsidRPr="0067507D">
        <w:tab/>
        <w:t>Excluded are those on leave without pay or absent on secondment, external contractors/consultants and temporary staff employed by employment agencies.</w:t>
      </w:r>
    </w:p>
    <w:p w14:paraId="542E62E9" w14:textId="50A6C06F" w:rsidR="00113E1C" w:rsidRPr="0067507D" w:rsidRDefault="00113E1C" w:rsidP="00113E1C">
      <w:pPr>
        <w:pStyle w:val="Notes"/>
        <w:ind w:left="270" w:hanging="270"/>
      </w:pPr>
      <w:r w:rsidRPr="0067507D">
        <w:t>5.</w:t>
      </w:r>
      <w:r w:rsidRPr="0067507D">
        <w:tab/>
        <w:t>STS means senior technical specialist.</w:t>
      </w:r>
    </w:p>
    <w:p w14:paraId="7318AE87" w14:textId="0A52C572" w:rsidR="004A0996" w:rsidRPr="0067507D" w:rsidRDefault="004A0996" w:rsidP="00113E1C">
      <w:pPr>
        <w:pStyle w:val="Notes"/>
        <w:ind w:left="270" w:hanging="270"/>
      </w:pPr>
      <w:r w:rsidRPr="0067507D">
        <w:t xml:space="preserve">6. </w:t>
      </w:r>
      <w:r w:rsidRPr="0067507D">
        <w:tab/>
        <w:t>Employees have been correctly classified in workforce data collections by the VPSC</w:t>
      </w:r>
      <w:r w:rsidR="00AC5043" w:rsidRPr="0067507D">
        <w:t>, which have been used to prepare this workforce data disclosure.</w:t>
      </w:r>
    </w:p>
    <w:p w14:paraId="42436D05" w14:textId="65010AB7" w:rsidR="002521CB" w:rsidRPr="0067507D" w:rsidRDefault="002521CB" w:rsidP="002521CB">
      <w:pPr>
        <w:pStyle w:val="Notes"/>
        <w:ind w:left="270" w:hanging="270"/>
      </w:pPr>
      <w:r w:rsidRPr="0067507D">
        <w:t xml:space="preserve">7. </w:t>
      </w:r>
      <w:r w:rsidR="00ED3295" w:rsidRPr="0067507D">
        <w:tab/>
      </w:r>
      <w:r w:rsidRPr="0067507D">
        <w:t>The following portfolio entities sit within DTF’s portfolio. The</w:t>
      </w:r>
      <w:r w:rsidR="00B376FE" w:rsidRPr="0067507D">
        <w:rPr>
          <w:rFonts w:ascii="Calibri" w:hAnsi="Calibri" w:cs="Calibri"/>
        </w:rPr>
        <w:t> </w:t>
      </w:r>
      <w:r w:rsidRPr="0067507D">
        <w:t>heads of these entities are public service body heads who employ public service employees independent of the DTF Secretary. These entities are required to produce their own annual reports, therefore employee numbers are published in their annual reports:</w:t>
      </w:r>
    </w:p>
    <w:p w14:paraId="2FBA240C" w14:textId="221F802A" w:rsidR="002521CB" w:rsidRPr="0067507D" w:rsidRDefault="00ED3295" w:rsidP="00ED3295">
      <w:pPr>
        <w:pStyle w:val="Notes"/>
        <w:ind w:left="630" w:hanging="360"/>
      </w:pPr>
      <w:r w:rsidRPr="0067507D">
        <w:t>(</w:t>
      </w:r>
      <w:r w:rsidR="002521CB" w:rsidRPr="0067507D">
        <w:t>a</w:t>
      </w:r>
      <w:r w:rsidRPr="0067507D">
        <w:t>)</w:t>
      </w:r>
      <w:r w:rsidR="002521CB" w:rsidRPr="0067507D">
        <w:tab/>
        <w:t>Essential Services Commission</w:t>
      </w:r>
    </w:p>
    <w:p w14:paraId="1305A1ED" w14:textId="23C9F524" w:rsidR="002521CB" w:rsidRPr="0067507D" w:rsidRDefault="00ED3295" w:rsidP="00ED3295">
      <w:pPr>
        <w:pStyle w:val="Notes"/>
        <w:ind w:left="630" w:hanging="360"/>
      </w:pPr>
      <w:r w:rsidRPr="0067507D">
        <w:t>(</w:t>
      </w:r>
      <w:r w:rsidR="002521CB" w:rsidRPr="0067507D">
        <w:t>b</w:t>
      </w:r>
      <w:r w:rsidRPr="0067507D">
        <w:t>)</w:t>
      </w:r>
      <w:r w:rsidR="002521CB" w:rsidRPr="0067507D">
        <w:tab/>
        <w:t>Infrastructure Victoria</w:t>
      </w:r>
    </w:p>
    <w:p w14:paraId="5A21B219" w14:textId="686E1288" w:rsidR="002521CB" w:rsidRPr="0067507D" w:rsidRDefault="00ED3295" w:rsidP="00ED3295">
      <w:pPr>
        <w:pStyle w:val="Notes"/>
        <w:ind w:left="630" w:hanging="360"/>
      </w:pPr>
      <w:r w:rsidRPr="0067507D">
        <w:t>(</w:t>
      </w:r>
      <w:r w:rsidR="002521CB" w:rsidRPr="0067507D">
        <w:t>c</w:t>
      </w:r>
      <w:r w:rsidRPr="0067507D">
        <w:t>)</w:t>
      </w:r>
      <w:r w:rsidR="002521CB" w:rsidRPr="0067507D">
        <w:tab/>
        <w:t>Labour Hire Licensing Authority</w:t>
      </w:r>
    </w:p>
    <w:p w14:paraId="60F481EE" w14:textId="6722DECE" w:rsidR="002521CB" w:rsidRPr="0067507D" w:rsidRDefault="00ED3295" w:rsidP="00ED3295">
      <w:pPr>
        <w:pStyle w:val="Notes"/>
        <w:ind w:left="630" w:hanging="360"/>
      </w:pPr>
      <w:r w:rsidRPr="0067507D">
        <w:t>(</w:t>
      </w:r>
      <w:r w:rsidR="002521CB" w:rsidRPr="0067507D">
        <w:t>d</w:t>
      </w:r>
      <w:r w:rsidRPr="0067507D">
        <w:t>)</w:t>
      </w:r>
      <w:r w:rsidR="002521CB" w:rsidRPr="0067507D">
        <w:tab/>
        <w:t>Portable Long Service Authority</w:t>
      </w:r>
      <w:r w:rsidR="004618F2" w:rsidRPr="0067507D">
        <w:t>.</w:t>
      </w:r>
    </w:p>
    <w:p w14:paraId="709651C3" w14:textId="07568483" w:rsidR="002521CB" w:rsidRPr="0067507D" w:rsidRDefault="002521CB" w:rsidP="00113E1C">
      <w:pPr>
        <w:pStyle w:val="Notes"/>
        <w:ind w:left="270" w:hanging="270"/>
      </w:pPr>
    </w:p>
    <w:p w14:paraId="129558DE" w14:textId="5609E01A" w:rsidR="00113E1C" w:rsidRPr="0067507D" w:rsidRDefault="00113E1C" w:rsidP="00184306">
      <w:pPr>
        <w:pStyle w:val="Notes"/>
        <w:rPr>
          <w:rFonts w:ascii="VIC" w:hAnsi="VIC"/>
        </w:rPr>
        <w:sectPr w:rsidR="00113E1C" w:rsidRPr="0067507D" w:rsidSect="009526AE">
          <w:headerReference w:type="even" r:id="rId152"/>
          <w:headerReference w:type="default" r:id="rId153"/>
          <w:type w:val="continuous"/>
          <w:pgSz w:w="11909" w:h="16834" w:code="9"/>
          <w:pgMar w:top="1728" w:right="1152" w:bottom="1260" w:left="1152" w:header="720" w:footer="288" w:gutter="0"/>
          <w:cols w:num="2" w:space="720"/>
          <w:noEndnote/>
        </w:sectPr>
      </w:pPr>
    </w:p>
    <w:p w14:paraId="067EF66C" w14:textId="77777777" w:rsidR="00113E1C" w:rsidRPr="0067507D" w:rsidRDefault="00113E1C" w:rsidP="00113E1C"/>
    <w:p w14:paraId="4FC0426F" w14:textId="77777777" w:rsidR="00113E1C" w:rsidRPr="0067507D" w:rsidRDefault="00113E1C" w:rsidP="00113E1C">
      <w:pPr>
        <w:sectPr w:rsidR="00113E1C" w:rsidRPr="0067507D" w:rsidSect="00790E11">
          <w:type w:val="continuous"/>
          <w:pgSz w:w="11909" w:h="16834" w:code="9"/>
          <w:pgMar w:top="1728" w:right="1152" w:bottom="1260" w:left="1152" w:header="720" w:footer="288" w:gutter="0"/>
          <w:cols w:space="720"/>
          <w:noEndnote/>
        </w:sectPr>
      </w:pPr>
    </w:p>
    <w:p w14:paraId="1DC174D1" w14:textId="5AB7DDF5" w:rsidR="00113E1C" w:rsidRPr="0067507D" w:rsidRDefault="00113E1C" w:rsidP="00113E1C">
      <w:pPr>
        <w:pStyle w:val="Heading2"/>
        <w:spacing w:before="0"/>
      </w:pPr>
      <w:r w:rsidRPr="0067507D">
        <w:lastRenderedPageBreak/>
        <w:t>Comparative workforce data</w:t>
      </w:r>
    </w:p>
    <w:p w14:paraId="21AB3D42" w14:textId="57E6518F" w:rsidR="00113E1C" w:rsidRPr="0067507D" w:rsidRDefault="00113E1C" w:rsidP="00113E1C">
      <w:pPr>
        <w:spacing w:before="0" w:after="80"/>
      </w:pPr>
      <w:r w:rsidRPr="0067507D">
        <w:t>The following table discloses the head count and full</w:t>
      </w:r>
      <w:r w:rsidRPr="0067507D">
        <w:noBreakHyphen/>
        <w:t>time staff equivalent (FTE) of all active public service employees of the Department, employed in the last full pay period in June of the current reporting period (202</w:t>
      </w:r>
      <w:r w:rsidR="00F95E3C" w:rsidRPr="0067507D">
        <w:t>5</w:t>
      </w:r>
      <w:r w:rsidRPr="0067507D">
        <w:t>), and in the last full pay period in June of the previous reporting period (202</w:t>
      </w:r>
      <w:r w:rsidR="00F95E3C" w:rsidRPr="0067507D">
        <w:t>4</w:t>
      </w:r>
      <w:r w:rsidRPr="0067507D">
        <w:t>).</w:t>
      </w:r>
    </w:p>
    <w:p w14:paraId="4159E3D2" w14:textId="77777777" w:rsidR="00113E1C" w:rsidRPr="0067507D" w:rsidRDefault="00113E1C" w:rsidP="00113E1C">
      <w:pPr>
        <w:spacing w:before="0" w:after="80"/>
      </w:pPr>
    </w:p>
    <w:p w14:paraId="3085B6C6" w14:textId="162F9AC7" w:rsidR="00113E1C" w:rsidRPr="0067507D" w:rsidRDefault="00113E1C" w:rsidP="00113E1C">
      <w:pPr>
        <w:pStyle w:val="Heading4"/>
        <w:spacing w:before="80" w:after="60"/>
      </w:pPr>
      <w:bookmarkStart w:id="203" w:name="_Ref492626580"/>
      <w:r w:rsidRPr="0067507D">
        <w:t xml:space="preserve">Profile of Department of Treasury and Finance’s workforce: </w:t>
      </w:r>
      <w:bookmarkEnd w:id="203"/>
      <w:r w:rsidR="00C30F42" w:rsidRPr="0067507D">
        <w:t>June 2025</w:t>
      </w:r>
    </w:p>
    <w:tbl>
      <w:tblPr>
        <w:tblW w:w="13867" w:type="dxa"/>
        <w:tblLayout w:type="fixed"/>
        <w:tblCellMar>
          <w:left w:w="43" w:type="dxa"/>
          <w:right w:w="43" w:type="dxa"/>
        </w:tblCellMar>
        <w:tblLook w:val="0000" w:firstRow="0" w:lastRow="0" w:firstColumn="0" w:lastColumn="0" w:noHBand="0" w:noVBand="0"/>
      </w:tblPr>
      <w:tblGrid>
        <w:gridCol w:w="1620"/>
        <w:gridCol w:w="932"/>
        <w:gridCol w:w="659"/>
        <w:gridCol w:w="979"/>
        <w:gridCol w:w="979"/>
        <w:gridCol w:w="778"/>
        <w:gridCol w:w="999"/>
        <w:gridCol w:w="729"/>
        <w:gridCol w:w="1055"/>
        <w:gridCol w:w="673"/>
        <w:gridCol w:w="979"/>
        <w:gridCol w:w="979"/>
        <w:gridCol w:w="778"/>
        <w:gridCol w:w="1091"/>
        <w:gridCol w:w="637"/>
      </w:tblGrid>
      <w:tr w:rsidR="00B325FE" w:rsidRPr="0067507D" w14:paraId="0ADC7E81" w14:textId="77777777" w:rsidTr="00A721E2">
        <w:trPr>
          <w:cantSplit/>
          <w:tblHeader/>
        </w:trPr>
        <w:tc>
          <w:tcPr>
            <w:tcW w:w="1620" w:type="dxa"/>
          </w:tcPr>
          <w:p w14:paraId="1ABB4074" w14:textId="77777777" w:rsidR="00B325FE" w:rsidRPr="0067507D" w:rsidRDefault="00B325FE" w:rsidP="00A721E2">
            <w:pPr>
              <w:pStyle w:val="Tabletext"/>
            </w:pPr>
          </w:p>
        </w:tc>
        <w:tc>
          <w:tcPr>
            <w:tcW w:w="6055" w:type="dxa"/>
            <w:gridSpan w:val="7"/>
            <w:shd w:val="clear" w:color="auto" w:fill="E0E0E0"/>
            <w:vAlign w:val="bottom"/>
          </w:tcPr>
          <w:p w14:paraId="1CA4644E" w14:textId="3EB49A84" w:rsidR="00B325FE" w:rsidRPr="0067507D" w:rsidRDefault="00C30F42" w:rsidP="00A721E2">
            <w:pPr>
              <w:pStyle w:val="Tabletextheadingcentred"/>
              <w:rPr>
                <w:highlight w:val="yellow"/>
              </w:rPr>
            </w:pPr>
            <w:r w:rsidRPr="0067507D">
              <w:t>June 2025</w:t>
            </w:r>
          </w:p>
        </w:tc>
        <w:tc>
          <w:tcPr>
            <w:tcW w:w="6192" w:type="dxa"/>
            <w:gridSpan w:val="7"/>
            <w:noWrap/>
            <w:vAlign w:val="bottom"/>
          </w:tcPr>
          <w:p w14:paraId="69A8C6B8" w14:textId="2BA95D53" w:rsidR="00B325FE" w:rsidRPr="0067507D" w:rsidRDefault="00C30F42" w:rsidP="00A721E2">
            <w:pPr>
              <w:pStyle w:val="Tabletextheadingcentred"/>
            </w:pPr>
            <w:r w:rsidRPr="0067507D">
              <w:t>June 2024</w:t>
            </w:r>
          </w:p>
        </w:tc>
      </w:tr>
      <w:tr w:rsidR="00B325FE" w:rsidRPr="0067507D" w14:paraId="647267B7" w14:textId="77777777" w:rsidTr="00A721E2">
        <w:trPr>
          <w:cantSplit/>
          <w:tblHeader/>
        </w:trPr>
        <w:tc>
          <w:tcPr>
            <w:tcW w:w="1620" w:type="dxa"/>
          </w:tcPr>
          <w:p w14:paraId="47EDBF6E" w14:textId="77777777" w:rsidR="00B325FE" w:rsidRPr="0067507D" w:rsidRDefault="00B325FE" w:rsidP="00A721E2">
            <w:pPr>
              <w:pStyle w:val="Tabletext"/>
            </w:pPr>
          </w:p>
        </w:tc>
        <w:tc>
          <w:tcPr>
            <w:tcW w:w="1591" w:type="dxa"/>
            <w:gridSpan w:val="2"/>
            <w:vAlign w:val="bottom"/>
          </w:tcPr>
          <w:p w14:paraId="06D5AB04" w14:textId="60DA823C" w:rsidR="00B325FE" w:rsidRPr="0067507D" w:rsidRDefault="00B325FE" w:rsidP="00A721E2">
            <w:pPr>
              <w:pStyle w:val="Tabletextheadingcentred"/>
              <w:spacing w:after="20"/>
            </w:pPr>
            <w:r w:rsidRPr="0067507D">
              <w:t>All employees</w:t>
            </w:r>
            <w:r w:rsidR="004528BF" w:rsidRPr="0067507D">
              <w:t xml:space="preserve"> </w:t>
            </w:r>
            <w:r w:rsidR="004528BF" w:rsidRPr="0067507D">
              <w:rPr>
                <w:vertAlign w:val="superscript"/>
              </w:rPr>
              <w:t>(a)</w:t>
            </w:r>
          </w:p>
        </w:tc>
        <w:tc>
          <w:tcPr>
            <w:tcW w:w="2736" w:type="dxa"/>
            <w:gridSpan w:val="3"/>
            <w:vAlign w:val="bottom"/>
          </w:tcPr>
          <w:p w14:paraId="4E0E79F1" w14:textId="77777777" w:rsidR="00B325FE" w:rsidRPr="0067507D" w:rsidRDefault="00B325FE" w:rsidP="00A721E2">
            <w:pPr>
              <w:pStyle w:val="Tabletextheadingcentred"/>
              <w:spacing w:after="20"/>
            </w:pPr>
            <w:r w:rsidRPr="0067507D">
              <w:t>Ongoing</w:t>
            </w:r>
          </w:p>
        </w:tc>
        <w:tc>
          <w:tcPr>
            <w:tcW w:w="1728" w:type="dxa"/>
            <w:gridSpan w:val="2"/>
          </w:tcPr>
          <w:p w14:paraId="1C68E2F4" w14:textId="77777777" w:rsidR="00B325FE" w:rsidRPr="0067507D" w:rsidRDefault="00B325FE" w:rsidP="00A721E2">
            <w:pPr>
              <w:pStyle w:val="Tabletextheadingcentred"/>
              <w:spacing w:after="20"/>
              <w:rPr>
                <w:rFonts w:cstheme="minorHAnsi"/>
              </w:rPr>
            </w:pPr>
            <w:r w:rsidRPr="0067507D">
              <w:t>Fixed term</w:t>
            </w:r>
            <w:r w:rsidRPr="0067507D">
              <w:br/>
              <w:t>and casual</w:t>
            </w:r>
          </w:p>
        </w:tc>
        <w:tc>
          <w:tcPr>
            <w:tcW w:w="1728" w:type="dxa"/>
            <w:gridSpan w:val="2"/>
            <w:noWrap/>
            <w:vAlign w:val="bottom"/>
          </w:tcPr>
          <w:p w14:paraId="7ED75A4B" w14:textId="4615769A" w:rsidR="00B325FE" w:rsidRPr="0067507D" w:rsidRDefault="00B325FE" w:rsidP="00A721E2">
            <w:pPr>
              <w:pStyle w:val="Tabletextheadingcentred"/>
              <w:spacing w:after="20"/>
            </w:pPr>
            <w:r w:rsidRPr="0067507D">
              <w:t>All employees</w:t>
            </w:r>
            <w:r w:rsidR="00AE6130" w:rsidRPr="0067507D">
              <w:t xml:space="preserve"> </w:t>
            </w:r>
            <w:r w:rsidR="00AE6130" w:rsidRPr="0067507D">
              <w:rPr>
                <w:vertAlign w:val="superscript"/>
              </w:rPr>
              <w:t>(a)</w:t>
            </w:r>
          </w:p>
        </w:tc>
        <w:tc>
          <w:tcPr>
            <w:tcW w:w="2736" w:type="dxa"/>
            <w:gridSpan w:val="3"/>
            <w:noWrap/>
            <w:vAlign w:val="bottom"/>
          </w:tcPr>
          <w:p w14:paraId="26AFDD2B" w14:textId="77777777" w:rsidR="00B325FE" w:rsidRPr="0067507D" w:rsidRDefault="00B325FE" w:rsidP="00A721E2">
            <w:pPr>
              <w:pStyle w:val="Tabletextheadingcentred"/>
              <w:spacing w:after="20"/>
            </w:pPr>
            <w:r w:rsidRPr="0067507D">
              <w:t>Ongoing</w:t>
            </w:r>
          </w:p>
        </w:tc>
        <w:tc>
          <w:tcPr>
            <w:tcW w:w="1728" w:type="dxa"/>
            <w:gridSpan w:val="2"/>
          </w:tcPr>
          <w:p w14:paraId="43C48014" w14:textId="77777777" w:rsidR="00B325FE" w:rsidRPr="0067507D" w:rsidRDefault="00B325FE" w:rsidP="00A721E2">
            <w:pPr>
              <w:pStyle w:val="Tabletextheadingcentred"/>
              <w:spacing w:after="20"/>
              <w:rPr>
                <w:rFonts w:cstheme="minorHAnsi"/>
              </w:rPr>
            </w:pPr>
            <w:r w:rsidRPr="0067507D">
              <w:t>Fixed term</w:t>
            </w:r>
            <w:r w:rsidRPr="0067507D">
              <w:br/>
              <w:t>and casual</w:t>
            </w:r>
          </w:p>
        </w:tc>
      </w:tr>
      <w:tr w:rsidR="00B325FE" w:rsidRPr="0067507D" w14:paraId="2183FEDB" w14:textId="77777777" w:rsidTr="00A721E2">
        <w:trPr>
          <w:cantSplit/>
          <w:tblHeader/>
        </w:trPr>
        <w:tc>
          <w:tcPr>
            <w:tcW w:w="1620" w:type="dxa"/>
          </w:tcPr>
          <w:p w14:paraId="1401B944" w14:textId="77777777" w:rsidR="00B325FE" w:rsidRPr="0067507D" w:rsidRDefault="00B325FE" w:rsidP="00A721E2">
            <w:pPr>
              <w:pStyle w:val="Tabletext"/>
            </w:pPr>
          </w:p>
        </w:tc>
        <w:tc>
          <w:tcPr>
            <w:tcW w:w="932" w:type="dxa"/>
            <w:vAlign w:val="bottom"/>
          </w:tcPr>
          <w:p w14:paraId="212D1AC1" w14:textId="77777777" w:rsidR="00B325FE" w:rsidRPr="0067507D" w:rsidRDefault="00B325FE" w:rsidP="00A721E2">
            <w:pPr>
              <w:pStyle w:val="Tabletextheadingright"/>
              <w:rPr>
                <w:rFonts w:cstheme="minorHAnsi"/>
              </w:rPr>
            </w:pPr>
            <w:r w:rsidRPr="0067507D">
              <w:rPr>
                <w:rFonts w:cstheme="minorHAnsi"/>
              </w:rPr>
              <w:t xml:space="preserve">Number </w:t>
            </w:r>
            <w:r w:rsidRPr="0067507D">
              <w:rPr>
                <w:rFonts w:cstheme="minorHAnsi"/>
                <w:sz w:val="14"/>
              </w:rPr>
              <w:t>(headcount)</w:t>
            </w:r>
          </w:p>
        </w:tc>
        <w:tc>
          <w:tcPr>
            <w:tcW w:w="659" w:type="dxa"/>
            <w:vAlign w:val="bottom"/>
          </w:tcPr>
          <w:p w14:paraId="5A6828AA" w14:textId="77777777" w:rsidR="00B325FE" w:rsidRPr="0067507D" w:rsidRDefault="00B325FE" w:rsidP="00A721E2">
            <w:pPr>
              <w:pStyle w:val="Tabletextheadingright"/>
              <w:rPr>
                <w:rFonts w:cstheme="minorHAnsi"/>
              </w:rPr>
            </w:pPr>
            <w:r w:rsidRPr="0067507D">
              <w:rPr>
                <w:rFonts w:cstheme="minorHAnsi"/>
              </w:rPr>
              <w:t>FTE</w:t>
            </w:r>
          </w:p>
        </w:tc>
        <w:tc>
          <w:tcPr>
            <w:tcW w:w="979" w:type="dxa"/>
            <w:vAlign w:val="bottom"/>
          </w:tcPr>
          <w:p w14:paraId="68ECF7B1" w14:textId="10B3BDF5" w:rsidR="00B325FE" w:rsidRPr="0067507D" w:rsidRDefault="00B325FE" w:rsidP="00A721E2">
            <w:pPr>
              <w:pStyle w:val="Tabletextheadingright"/>
              <w:rPr>
                <w:rFonts w:cstheme="minorHAnsi"/>
              </w:rPr>
            </w:pPr>
            <w:r w:rsidRPr="0067507D">
              <w:rPr>
                <w:rFonts w:cstheme="minorHAnsi"/>
              </w:rPr>
              <w:t>Full</w:t>
            </w:r>
            <w:r w:rsidRPr="0067507D">
              <w:rPr>
                <w:rFonts w:cstheme="minorHAnsi"/>
              </w:rPr>
              <w:noBreakHyphen/>
              <w:t xml:space="preserve">time </w:t>
            </w:r>
            <w:r w:rsidRPr="0067507D">
              <w:rPr>
                <w:rFonts w:cstheme="minorHAnsi"/>
                <w:sz w:val="14"/>
              </w:rPr>
              <w:t>(headcount)</w:t>
            </w:r>
          </w:p>
        </w:tc>
        <w:tc>
          <w:tcPr>
            <w:tcW w:w="979" w:type="dxa"/>
          </w:tcPr>
          <w:p w14:paraId="65E73DC1" w14:textId="5A8B278F" w:rsidR="00B325FE" w:rsidRPr="0067507D" w:rsidRDefault="00B325FE" w:rsidP="00A721E2">
            <w:pPr>
              <w:pStyle w:val="Tabletextheadingright"/>
              <w:rPr>
                <w:rFonts w:cstheme="minorBidi"/>
              </w:rPr>
            </w:pPr>
            <w:r w:rsidRPr="0067507D">
              <w:rPr>
                <w:rFonts w:cstheme="minorBidi"/>
              </w:rPr>
              <w:t>Part</w:t>
            </w:r>
            <w:r w:rsidRPr="0067507D">
              <w:rPr>
                <w:rFonts w:cstheme="minorHAnsi"/>
              </w:rPr>
              <w:noBreakHyphen/>
            </w:r>
            <w:r w:rsidRPr="0067507D">
              <w:rPr>
                <w:rFonts w:cstheme="minorBidi"/>
              </w:rPr>
              <w:t>time</w:t>
            </w:r>
            <w:r w:rsidRPr="0067507D">
              <w:rPr>
                <w:rFonts w:cstheme="minorHAnsi"/>
              </w:rPr>
              <w:br/>
            </w:r>
            <w:r w:rsidRPr="0067507D">
              <w:rPr>
                <w:rFonts w:cstheme="minorBidi"/>
                <w:sz w:val="14"/>
                <w:szCs w:val="14"/>
              </w:rPr>
              <w:t>(headcount)</w:t>
            </w:r>
          </w:p>
        </w:tc>
        <w:tc>
          <w:tcPr>
            <w:tcW w:w="778" w:type="dxa"/>
            <w:vAlign w:val="bottom"/>
          </w:tcPr>
          <w:p w14:paraId="73390A00" w14:textId="77777777" w:rsidR="00B325FE" w:rsidRPr="0067507D" w:rsidRDefault="00B325FE" w:rsidP="00A721E2">
            <w:pPr>
              <w:pStyle w:val="Tabletextheadingright"/>
              <w:rPr>
                <w:rFonts w:cstheme="minorHAnsi"/>
              </w:rPr>
            </w:pPr>
            <w:r w:rsidRPr="0067507D">
              <w:rPr>
                <w:rFonts w:cstheme="minorHAnsi"/>
              </w:rPr>
              <w:t>FTE</w:t>
            </w:r>
          </w:p>
        </w:tc>
        <w:tc>
          <w:tcPr>
            <w:tcW w:w="999" w:type="dxa"/>
          </w:tcPr>
          <w:p w14:paraId="6E4189A0" w14:textId="77777777" w:rsidR="00B325FE" w:rsidRPr="0067507D" w:rsidRDefault="00B325FE" w:rsidP="00A721E2">
            <w:pPr>
              <w:pStyle w:val="Tabletextheadingright"/>
              <w:rPr>
                <w:rFonts w:cstheme="minorHAnsi"/>
              </w:rPr>
            </w:pPr>
            <w:r w:rsidRPr="0067507D">
              <w:rPr>
                <w:rFonts w:cstheme="minorHAnsi"/>
              </w:rPr>
              <w:t xml:space="preserve">Number </w:t>
            </w:r>
            <w:r w:rsidRPr="0067507D">
              <w:rPr>
                <w:rFonts w:cstheme="minorHAnsi"/>
                <w:sz w:val="14"/>
              </w:rPr>
              <w:t>(headcount)</w:t>
            </w:r>
          </w:p>
        </w:tc>
        <w:tc>
          <w:tcPr>
            <w:tcW w:w="729" w:type="dxa"/>
            <w:vAlign w:val="bottom"/>
          </w:tcPr>
          <w:p w14:paraId="6349A10E" w14:textId="77777777" w:rsidR="00B325FE" w:rsidRPr="0067507D" w:rsidRDefault="00B325FE" w:rsidP="00A721E2">
            <w:pPr>
              <w:pStyle w:val="Tabletextheadingright"/>
              <w:rPr>
                <w:rFonts w:cstheme="minorHAnsi"/>
              </w:rPr>
            </w:pPr>
            <w:r w:rsidRPr="0067507D">
              <w:rPr>
                <w:rFonts w:cstheme="minorHAnsi"/>
              </w:rPr>
              <w:t>FTE</w:t>
            </w:r>
          </w:p>
        </w:tc>
        <w:tc>
          <w:tcPr>
            <w:tcW w:w="1055" w:type="dxa"/>
            <w:noWrap/>
            <w:vAlign w:val="bottom"/>
          </w:tcPr>
          <w:p w14:paraId="1AB47F83" w14:textId="77777777" w:rsidR="00B325FE" w:rsidRPr="0067507D" w:rsidRDefault="00B325FE" w:rsidP="00A721E2">
            <w:pPr>
              <w:pStyle w:val="Tabletextheadingright"/>
              <w:rPr>
                <w:rFonts w:cstheme="minorHAnsi"/>
              </w:rPr>
            </w:pPr>
            <w:r w:rsidRPr="0067507D">
              <w:rPr>
                <w:rFonts w:cstheme="minorHAnsi"/>
              </w:rPr>
              <w:t xml:space="preserve">Number </w:t>
            </w:r>
            <w:r w:rsidRPr="0067507D">
              <w:rPr>
                <w:rFonts w:cstheme="minorHAnsi"/>
                <w:sz w:val="14"/>
              </w:rPr>
              <w:t>(headcount)</w:t>
            </w:r>
          </w:p>
        </w:tc>
        <w:tc>
          <w:tcPr>
            <w:tcW w:w="673" w:type="dxa"/>
            <w:vAlign w:val="bottom"/>
          </w:tcPr>
          <w:p w14:paraId="198C8DDF" w14:textId="77777777" w:rsidR="00B325FE" w:rsidRPr="0067507D" w:rsidRDefault="00B325FE" w:rsidP="00A721E2">
            <w:pPr>
              <w:pStyle w:val="Tabletextheadingright"/>
              <w:rPr>
                <w:rFonts w:cstheme="minorHAnsi"/>
              </w:rPr>
            </w:pPr>
            <w:r w:rsidRPr="0067507D">
              <w:rPr>
                <w:rFonts w:cstheme="minorHAnsi"/>
              </w:rPr>
              <w:t>FTE</w:t>
            </w:r>
          </w:p>
        </w:tc>
        <w:tc>
          <w:tcPr>
            <w:tcW w:w="979" w:type="dxa"/>
            <w:noWrap/>
            <w:vAlign w:val="bottom"/>
          </w:tcPr>
          <w:p w14:paraId="402B7037" w14:textId="277984B3" w:rsidR="00B325FE" w:rsidRPr="0067507D" w:rsidRDefault="00B325FE" w:rsidP="00A721E2">
            <w:pPr>
              <w:pStyle w:val="Tabletextheadingright"/>
              <w:rPr>
                <w:rFonts w:cstheme="minorBidi"/>
              </w:rPr>
            </w:pPr>
            <w:r w:rsidRPr="0067507D">
              <w:rPr>
                <w:rFonts w:cstheme="minorBidi"/>
              </w:rPr>
              <w:t>Full</w:t>
            </w:r>
            <w:r w:rsidRPr="0067507D">
              <w:rPr>
                <w:rFonts w:cstheme="minorHAnsi"/>
              </w:rPr>
              <w:noBreakHyphen/>
            </w:r>
            <w:r w:rsidRPr="0067507D">
              <w:rPr>
                <w:rFonts w:cstheme="minorBidi"/>
              </w:rPr>
              <w:t xml:space="preserve">time </w:t>
            </w:r>
            <w:r w:rsidRPr="0067507D">
              <w:rPr>
                <w:rFonts w:cstheme="minorBidi"/>
                <w:sz w:val="14"/>
                <w:szCs w:val="14"/>
              </w:rPr>
              <w:t>(headcount)</w:t>
            </w:r>
          </w:p>
        </w:tc>
        <w:tc>
          <w:tcPr>
            <w:tcW w:w="979" w:type="dxa"/>
          </w:tcPr>
          <w:p w14:paraId="5D7CBD67" w14:textId="7BE48224" w:rsidR="00B325FE" w:rsidRPr="0067507D" w:rsidRDefault="00B325FE" w:rsidP="00A721E2">
            <w:pPr>
              <w:pStyle w:val="Tabletextheadingright"/>
              <w:rPr>
                <w:rFonts w:cstheme="minorBidi"/>
              </w:rPr>
            </w:pPr>
            <w:r w:rsidRPr="0067507D">
              <w:rPr>
                <w:rFonts w:cstheme="minorBidi"/>
              </w:rPr>
              <w:t>Part</w:t>
            </w:r>
            <w:r w:rsidRPr="0067507D">
              <w:rPr>
                <w:rFonts w:cstheme="minorHAnsi"/>
              </w:rPr>
              <w:noBreakHyphen/>
            </w:r>
            <w:r w:rsidRPr="0067507D">
              <w:rPr>
                <w:rFonts w:cstheme="minorBidi"/>
              </w:rPr>
              <w:t>time</w:t>
            </w:r>
            <w:r w:rsidRPr="0067507D">
              <w:rPr>
                <w:rFonts w:cstheme="minorHAnsi"/>
              </w:rPr>
              <w:br/>
            </w:r>
            <w:r w:rsidRPr="0067507D">
              <w:rPr>
                <w:rFonts w:cstheme="minorBidi"/>
                <w:sz w:val="14"/>
                <w:szCs w:val="14"/>
              </w:rPr>
              <w:t>(headcount)</w:t>
            </w:r>
          </w:p>
        </w:tc>
        <w:tc>
          <w:tcPr>
            <w:tcW w:w="778" w:type="dxa"/>
            <w:vAlign w:val="bottom"/>
          </w:tcPr>
          <w:p w14:paraId="157B06F1" w14:textId="77777777" w:rsidR="00B325FE" w:rsidRPr="0067507D" w:rsidRDefault="00B325FE" w:rsidP="00A721E2">
            <w:pPr>
              <w:pStyle w:val="Tabletextheadingright"/>
              <w:rPr>
                <w:rFonts w:cstheme="minorHAnsi"/>
              </w:rPr>
            </w:pPr>
            <w:r w:rsidRPr="0067507D">
              <w:rPr>
                <w:rFonts w:cstheme="minorHAnsi"/>
              </w:rPr>
              <w:t>FTE</w:t>
            </w:r>
          </w:p>
        </w:tc>
        <w:tc>
          <w:tcPr>
            <w:tcW w:w="1091" w:type="dxa"/>
          </w:tcPr>
          <w:p w14:paraId="2BC5FBF5" w14:textId="77777777" w:rsidR="00B325FE" w:rsidRPr="0067507D" w:rsidRDefault="00B325FE" w:rsidP="00A721E2">
            <w:pPr>
              <w:pStyle w:val="Tabletextheadingright"/>
              <w:rPr>
                <w:rFonts w:cstheme="minorHAnsi"/>
              </w:rPr>
            </w:pPr>
            <w:r w:rsidRPr="0067507D">
              <w:rPr>
                <w:rFonts w:cstheme="minorHAnsi"/>
              </w:rPr>
              <w:t xml:space="preserve">Number </w:t>
            </w:r>
            <w:r w:rsidRPr="0067507D">
              <w:rPr>
                <w:rFonts w:cstheme="minorHAnsi"/>
                <w:sz w:val="14"/>
              </w:rPr>
              <w:t>(headcount)</w:t>
            </w:r>
          </w:p>
        </w:tc>
        <w:tc>
          <w:tcPr>
            <w:tcW w:w="637" w:type="dxa"/>
            <w:vAlign w:val="bottom"/>
          </w:tcPr>
          <w:p w14:paraId="655FA684" w14:textId="77777777" w:rsidR="00B325FE" w:rsidRPr="0067507D" w:rsidRDefault="00B325FE" w:rsidP="00A721E2">
            <w:pPr>
              <w:pStyle w:val="Tabletextheadingright"/>
              <w:rPr>
                <w:rFonts w:cstheme="minorHAnsi"/>
              </w:rPr>
            </w:pPr>
            <w:r w:rsidRPr="0067507D">
              <w:rPr>
                <w:rFonts w:cstheme="minorHAnsi"/>
              </w:rPr>
              <w:t>FTE</w:t>
            </w:r>
          </w:p>
        </w:tc>
      </w:tr>
      <w:tr w:rsidR="00B325FE" w:rsidRPr="0067507D" w14:paraId="0958DF55" w14:textId="77777777" w:rsidTr="00A721E2">
        <w:trPr>
          <w:cantSplit/>
        </w:trPr>
        <w:tc>
          <w:tcPr>
            <w:tcW w:w="1620" w:type="dxa"/>
          </w:tcPr>
          <w:p w14:paraId="5FD4D66C" w14:textId="77777777" w:rsidR="00B325FE" w:rsidRPr="0067507D" w:rsidRDefault="00B325FE" w:rsidP="00A721E2">
            <w:pPr>
              <w:pStyle w:val="Tabletext"/>
              <w:spacing w:before="20" w:after="20"/>
              <w:rPr>
                <w:rFonts w:asciiTheme="majorHAnsi" w:hAnsiTheme="majorHAnsi"/>
              </w:rPr>
            </w:pPr>
            <w:r w:rsidRPr="0067507D">
              <w:rPr>
                <w:rFonts w:asciiTheme="majorHAnsi" w:hAnsiTheme="majorHAnsi" w:cstheme="minorHAnsi"/>
              </w:rPr>
              <w:t>Gender</w:t>
            </w:r>
          </w:p>
        </w:tc>
        <w:tc>
          <w:tcPr>
            <w:tcW w:w="932" w:type="dxa"/>
            <w:shd w:val="clear" w:color="auto" w:fill="E0E0E0"/>
          </w:tcPr>
          <w:p w14:paraId="0332D64A" w14:textId="77777777" w:rsidR="00B325FE" w:rsidRPr="0067507D" w:rsidRDefault="00B325FE" w:rsidP="00A721E2">
            <w:pPr>
              <w:pStyle w:val="Tabletextright"/>
              <w:rPr>
                <w:rFonts w:asciiTheme="majorHAnsi" w:hAnsiTheme="majorHAnsi"/>
              </w:rPr>
            </w:pPr>
          </w:p>
        </w:tc>
        <w:tc>
          <w:tcPr>
            <w:tcW w:w="659" w:type="dxa"/>
            <w:shd w:val="clear" w:color="auto" w:fill="E0E0E0"/>
          </w:tcPr>
          <w:p w14:paraId="50537B52" w14:textId="77777777" w:rsidR="00B325FE" w:rsidRPr="0067507D" w:rsidRDefault="00B325FE" w:rsidP="00A721E2">
            <w:pPr>
              <w:pStyle w:val="Tabletextright"/>
              <w:rPr>
                <w:rFonts w:asciiTheme="majorHAnsi" w:hAnsiTheme="majorHAnsi"/>
              </w:rPr>
            </w:pPr>
          </w:p>
        </w:tc>
        <w:tc>
          <w:tcPr>
            <w:tcW w:w="979" w:type="dxa"/>
          </w:tcPr>
          <w:p w14:paraId="2DAED99A" w14:textId="77777777" w:rsidR="00B325FE" w:rsidRPr="0067507D" w:rsidRDefault="00B325FE" w:rsidP="00A721E2">
            <w:pPr>
              <w:pStyle w:val="Tabletextright"/>
              <w:rPr>
                <w:rFonts w:asciiTheme="majorHAnsi" w:hAnsiTheme="majorHAnsi"/>
              </w:rPr>
            </w:pPr>
          </w:p>
        </w:tc>
        <w:tc>
          <w:tcPr>
            <w:tcW w:w="979" w:type="dxa"/>
          </w:tcPr>
          <w:p w14:paraId="27DEA723" w14:textId="77777777" w:rsidR="00B325FE" w:rsidRPr="0067507D" w:rsidRDefault="00B325FE" w:rsidP="00A721E2">
            <w:pPr>
              <w:pStyle w:val="Tabletextright"/>
              <w:rPr>
                <w:rFonts w:asciiTheme="majorHAnsi" w:hAnsiTheme="majorHAnsi"/>
              </w:rPr>
            </w:pPr>
          </w:p>
        </w:tc>
        <w:tc>
          <w:tcPr>
            <w:tcW w:w="778" w:type="dxa"/>
          </w:tcPr>
          <w:p w14:paraId="23BEBA6A" w14:textId="77777777" w:rsidR="00B325FE" w:rsidRPr="0067507D" w:rsidRDefault="00B325FE" w:rsidP="00A721E2">
            <w:pPr>
              <w:pStyle w:val="Tabletextright"/>
              <w:rPr>
                <w:rFonts w:asciiTheme="majorHAnsi" w:hAnsiTheme="majorHAnsi"/>
              </w:rPr>
            </w:pPr>
          </w:p>
        </w:tc>
        <w:tc>
          <w:tcPr>
            <w:tcW w:w="999" w:type="dxa"/>
            <w:shd w:val="clear" w:color="auto" w:fill="E0E0E0"/>
          </w:tcPr>
          <w:p w14:paraId="67024009" w14:textId="77777777" w:rsidR="00B325FE" w:rsidRPr="0067507D" w:rsidRDefault="00B325FE" w:rsidP="00A721E2">
            <w:pPr>
              <w:pStyle w:val="Tabletextright"/>
              <w:rPr>
                <w:rFonts w:asciiTheme="majorHAnsi" w:hAnsiTheme="majorHAnsi"/>
              </w:rPr>
            </w:pPr>
          </w:p>
        </w:tc>
        <w:tc>
          <w:tcPr>
            <w:tcW w:w="729" w:type="dxa"/>
            <w:shd w:val="clear" w:color="auto" w:fill="E0E0E0"/>
          </w:tcPr>
          <w:p w14:paraId="5C5F76B4" w14:textId="77777777" w:rsidR="00B325FE" w:rsidRPr="0067507D" w:rsidRDefault="00B325FE" w:rsidP="00A721E2">
            <w:pPr>
              <w:pStyle w:val="Tabletextright"/>
              <w:rPr>
                <w:rFonts w:asciiTheme="majorHAnsi" w:hAnsiTheme="majorHAnsi"/>
              </w:rPr>
            </w:pPr>
          </w:p>
        </w:tc>
        <w:tc>
          <w:tcPr>
            <w:tcW w:w="1055" w:type="dxa"/>
            <w:noWrap/>
          </w:tcPr>
          <w:p w14:paraId="5559C4A3" w14:textId="77777777" w:rsidR="00B325FE" w:rsidRPr="0067507D" w:rsidRDefault="00B325FE" w:rsidP="00A721E2">
            <w:pPr>
              <w:pStyle w:val="Tabletextright"/>
              <w:spacing w:before="20" w:after="20"/>
              <w:rPr>
                <w:rFonts w:asciiTheme="majorHAnsi" w:hAnsiTheme="majorHAnsi" w:cstheme="minorHAnsi"/>
              </w:rPr>
            </w:pPr>
          </w:p>
        </w:tc>
        <w:tc>
          <w:tcPr>
            <w:tcW w:w="673" w:type="dxa"/>
          </w:tcPr>
          <w:p w14:paraId="6FD9749C" w14:textId="77777777" w:rsidR="00B325FE" w:rsidRPr="0067507D" w:rsidRDefault="00B325FE" w:rsidP="00A721E2">
            <w:pPr>
              <w:pStyle w:val="Tabletextright"/>
              <w:spacing w:before="20" w:after="20"/>
              <w:rPr>
                <w:rFonts w:asciiTheme="majorHAnsi" w:hAnsiTheme="majorHAnsi" w:cstheme="minorHAnsi"/>
              </w:rPr>
            </w:pPr>
          </w:p>
        </w:tc>
        <w:tc>
          <w:tcPr>
            <w:tcW w:w="979" w:type="dxa"/>
            <w:shd w:val="clear" w:color="auto" w:fill="E0E0E0"/>
            <w:noWrap/>
          </w:tcPr>
          <w:p w14:paraId="045B64E2" w14:textId="77777777" w:rsidR="00B325FE" w:rsidRPr="0067507D" w:rsidRDefault="00B325FE" w:rsidP="00A721E2">
            <w:pPr>
              <w:pStyle w:val="Tabletextright"/>
              <w:spacing w:before="20" w:after="20"/>
              <w:rPr>
                <w:rFonts w:asciiTheme="majorHAnsi" w:hAnsiTheme="majorHAnsi" w:cstheme="minorHAnsi"/>
              </w:rPr>
            </w:pPr>
          </w:p>
        </w:tc>
        <w:tc>
          <w:tcPr>
            <w:tcW w:w="979" w:type="dxa"/>
            <w:shd w:val="clear" w:color="auto" w:fill="E0E0E0"/>
          </w:tcPr>
          <w:p w14:paraId="4139EE45" w14:textId="77777777" w:rsidR="00B325FE" w:rsidRPr="0067507D" w:rsidRDefault="00B325FE" w:rsidP="00A721E2">
            <w:pPr>
              <w:pStyle w:val="Tabletextright"/>
              <w:spacing w:before="20" w:after="20"/>
              <w:rPr>
                <w:rFonts w:asciiTheme="majorHAnsi" w:hAnsiTheme="majorHAnsi"/>
              </w:rPr>
            </w:pPr>
          </w:p>
        </w:tc>
        <w:tc>
          <w:tcPr>
            <w:tcW w:w="778" w:type="dxa"/>
            <w:shd w:val="clear" w:color="auto" w:fill="E0E0E0"/>
          </w:tcPr>
          <w:p w14:paraId="6676A16F" w14:textId="77777777" w:rsidR="00B325FE" w:rsidRPr="0067507D" w:rsidRDefault="00B325FE" w:rsidP="00A721E2">
            <w:pPr>
              <w:pStyle w:val="Tabletextright"/>
              <w:spacing w:before="20" w:after="20"/>
              <w:rPr>
                <w:rFonts w:asciiTheme="majorHAnsi" w:hAnsiTheme="majorHAnsi"/>
              </w:rPr>
            </w:pPr>
          </w:p>
        </w:tc>
        <w:tc>
          <w:tcPr>
            <w:tcW w:w="1091" w:type="dxa"/>
          </w:tcPr>
          <w:p w14:paraId="701C0D64" w14:textId="77777777" w:rsidR="00B325FE" w:rsidRPr="0067507D" w:rsidRDefault="00B325FE" w:rsidP="00A721E2">
            <w:pPr>
              <w:pStyle w:val="Tabletextright"/>
              <w:spacing w:before="20" w:after="20"/>
              <w:rPr>
                <w:rFonts w:asciiTheme="majorHAnsi" w:hAnsiTheme="majorHAnsi"/>
              </w:rPr>
            </w:pPr>
          </w:p>
        </w:tc>
        <w:tc>
          <w:tcPr>
            <w:tcW w:w="637" w:type="dxa"/>
          </w:tcPr>
          <w:p w14:paraId="7F3AAF02" w14:textId="77777777" w:rsidR="00B325FE" w:rsidRPr="0067507D" w:rsidRDefault="00B325FE" w:rsidP="00A721E2">
            <w:pPr>
              <w:pStyle w:val="Tabletextright"/>
              <w:spacing w:before="20" w:after="20"/>
              <w:rPr>
                <w:rFonts w:asciiTheme="majorHAnsi" w:hAnsiTheme="majorHAnsi"/>
              </w:rPr>
            </w:pPr>
          </w:p>
        </w:tc>
      </w:tr>
      <w:tr w:rsidR="00B325FE" w:rsidRPr="0067507D" w14:paraId="1F5B8214" w14:textId="77777777" w:rsidTr="00A721E2">
        <w:trPr>
          <w:cantSplit/>
        </w:trPr>
        <w:tc>
          <w:tcPr>
            <w:tcW w:w="1620" w:type="dxa"/>
          </w:tcPr>
          <w:p w14:paraId="317C803E" w14:textId="7748AE2B" w:rsidR="00B325FE" w:rsidRPr="0067507D" w:rsidRDefault="007D7EE6" w:rsidP="00A721E2">
            <w:pPr>
              <w:pStyle w:val="Tabletext"/>
              <w:spacing w:before="40" w:after="40"/>
            </w:pPr>
            <w:r w:rsidRPr="0067507D">
              <w:rPr>
                <w:rFonts w:cstheme="minorHAnsi"/>
              </w:rPr>
              <w:t>Men</w:t>
            </w:r>
          </w:p>
        </w:tc>
        <w:tc>
          <w:tcPr>
            <w:tcW w:w="932" w:type="dxa"/>
            <w:shd w:val="clear" w:color="auto" w:fill="E0E0E0"/>
          </w:tcPr>
          <w:p w14:paraId="1050A57D" w14:textId="0927F21B" w:rsidR="00B325FE" w:rsidRPr="0067507D" w:rsidRDefault="00DC5609" w:rsidP="00A721E2">
            <w:pPr>
              <w:pStyle w:val="Tabletextright"/>
              <w:spacing w:before="40" w:after="40"/>
            </w:pPr>
            <w:r w:rsidRPr="0067507D">
              <w:t>331</w:t>
            </w:r>
          </w:p>
        </w:tc>
        <w:tc>
          <w:tcPr>
            <w:tcW w:w="659" w:type="dxa"/>
            <w:shd w:val="clear" w:color="auto" w:fill="E0E0E0"/>
          </w:tcPr>
          <w:p w14:paraId="00E97385" w14:textId="2BBE8277" w:rsidR="00B325FE" w:rsidRPr="0067507D" w:rsidRDefault="00DC5609" w:rsidP="00A721E2">
            <w:pPr>
              <w:pStyle w:val="Tabletextright"/>
              <w:spacing w:before="40" w:after="40"/>
            </w:pPr>
            <w:r w:rsidRPr="0067507D">
              <w:t>325</w:t>
            </w:r>
          </w:p>
        </w:tc>
        <w:tc>
          <w:tcPr>
            <w:tcW w:w="979" w:type="dxa"/>
          </w:tcPr>
          <w:p w14:paraId="17017742" w14:textId="7CC08B9C" w:rsidR="00B325FE" w:rsidRPr="0067507D" w:rsidRDefault="00DC5609" w:rsidP="00A721E2">
            <w:pPr>
              <w:pStyle w:val="Tabletextright"/>
              <w:spacing w:before="40" w:after="40"/>
            </w:pPr>
            <w:r w:rsidRPr="0067507D">
              <w:t>294</w:t>
            </w:r>
          </w:p>
        </w:tc>
        <w:tc>
          <w:tcPr>
            <w:tcW w:w="979" w:type="dxa"/>
          </w:tcPr>
          <w:p w14:paraId="2E48CC76" w14:textId="29ED8318" w:rsidR="00B325FE" w:rsidRPr="0067507D" w:rsidRDefault="00DC5609" w:rsidP="00A721E2">
            <w:pPr>
              <w:pStyle w:val="Tabletextright"/>
              <w:spacing w:before="40" w:after="40"/>
            </w:pPr>
            <w:r w:rsidRPr="0067507D">
              <w:t>10</w:t>
            </w:r>
          </w:p>
        </w:tc>
        <w:tc>
          <w:tcPr>
            <w:tcW w:w="778" w:type="dxa"/>
          </w:tcPr>
          <w:p w14:paraId="39D893A9" w14:textId="5ED0EE73" w:rsidR="00B325FE" w:rsidRPr="0067507D" w:rsidRDefault="00DC5609" w:rsidP="00A721E2">
            <w:pPr>
              <w:pStyle w:val="Tabletextright"/>
              <w:spacing w:before="40" w:after="40"/>
            </w:pPr>
            <w:r w:rsidRPr="0067507D">
              <w:t>302</w:t>
            </w:r>
          </w:p>
        </w:tc>
        <w:tc>
          <w:tcPr>
            <w:tcW w:w="999" w:type="dxa"/>
            <w:shd w:val="clear" w:color="auto" w:fill="E0E0E0"/>
          </w:tcPr>
          <w:p w14:paraId="44A592D9" w14:textId="2FC30024" w:rsidR="00B325FE" w:rsidRPr="0067507D" w:rsidRDefault="00DC5609" w:rsidP="00A721E2">
            <w:pPr>
              <w:pStyle w:val="Tabletextright"/>
              <w:spacing w:before="40" w:after="40"/>
            </w:pPr>
            <w:r w:rsidRPr="0067507D">
              <w:t>27</w:t>
            </w:r>
          </w:p>
        </w:tc>
        <w:tc>
          <w:tcPr>
            <w:tcW w:w="729" w:type="dxa"/>
            <w:shd w:val="clear" w:color="auto" w:fill="E0E0E0"/>
          </w:tcPr>
          <w:p w14:paraId="1EFF65E7" w14:textId="1B706272" w:rsidR="00B325FE" w:rsidRPr="0067507D" w:rsidRDefault="00DC5609" w:rsidP="00A721E2">
            <w:pPr>
              <w:pStyle w:val="Tabletextright"/>
              <w:spacing w:before="40" w:after="40"/>
            </w:pPr>
            <w:r w:rsidRPr="0067507D">
              <w:t>23</w:t>
            </w:r>
          </w:p>
        </w:tc>
        <w:tc>
          <w:tcPr>
            <w:tcW w:w="1055" w:type="dxa"/>
            <w:noWrap/>
          </w:tcPr>
          <w:p w14:paraId="46F504F1" w14:textId="57674FFC" w:rsidR="00B325FE" w:rsidRPr="0067507D" w:rsidRDefault="00F61F1D" w:rsidP="00A721E2">
            <w:pPr>
              <w:pStyle w:val="Tabletextright"/>
              <w:spacing w:before="40" w:after="40"/>
            </w:pPr>
            <w:r w:rsidRPr="0067507D">
              <w:t>331</w:t>
            </w:r>
          </w:p>
        </w:tc>
        <w:tc>
          <w:tcPr>
            <w:tcW w:w="673" w:type="dxa"/>
          </w:tcPr>
          <w:p w14:paraId="40CB69F7" w14:textId="31744D17" w:rsidR="00B325FE" w:rsidRPr="0067507D" w:rsidRDefault="00F61F1D" w:rsidP="00A721E2">
            <w:pPr>
              <w:pStyle w:val="Tabletextright"/>
              <w:spacing w:before="40" w:after="40"/>
            </w:pPr>
            <w:r w:rsidRPr="0067507D">
              <w:t>324</w:t>
            </w:r>
          </w:p>
        </w:tc>
        <w:tc>
          <w:tcPr>
            <w:tcW w:w="979" w:type="dxa"/>
            <w:shd w:val="clear" w:color="auto" w:fill="E0E0E0"/>
            <w:noWrap/>
          </w:tcPr>
          <w:p w14:paraId="56AD0F75" w14:textId="55BE3D53" w:rsidR="00B325FE" w:rsidRPr="0067507D" w:rsidRDefault="00F61F1D" w:rsidP="00A721E2">
            <w:pPr>
              <w:pStyle w:val="Tabletextright"/>
              <w:spacing w:before="40" w:after="40"/>
            </w:pPr>
            <w:r w:rsidRPr="0067507D">
              <w:t>301</w:t>
            </w:r>
          </w:p>
        </w:tc>
        <w:tc>
          <w:tcPr>
            <w:tcW w:w="979" w:type="dxa"/>
            <w:shd w:val="clear" w:color="auto" w:fill="E0E0E0"/>
          </w:tcPr>
          <w:p w14:paraId="4836D677" w14:textId="7E438E69" w:rsidR="00B325FE" w:rsidRPr="0067507D" w:rsidRDefault="00F61F1D" w:rsidP="00A721E2">
            <w:pPr>
              <w:pStyle w:val="Tabletextright"/>
              <w:spacing w:before="40" w:after="40"/>
            </w:pPr>
            <w:r w:rsidRPr="0067507D">
              <w:t>8</w:t>
            </w:r>
          </w:p>
        </w:tc>
        <w:tc>
          <w:tcPr>
            <w:tcW w:w="778" w:type="dxa"/>
            <w:shd w:val="clear" w:color="auto" w:fill="E0E0E0"/>
          </w:tcPr>
          <w:p w14:paraId="7ACE80B3" w14:textId="00BB5C9E" w:rsidR="00B325FE" w:rsidRPr="0067507D" w:rsidRDefault="00F61F1D" w:rsidP="00A721E2">
            <w:pPr>
              <w:pStyle w:val="Tabletextright"/>
              <w:spacing w:before="40" w:after="40"/>
            </w:pPr>
            <w:r w:rsidRPr="0067507D">
              <w:t>307</w:t>
            </w:r>
          </w:p>
        </w:tc>
        <w:tc>
          <w:tcPr>
            <w:tcW w:w="1091" w:type="dxa"/>
          </w:tcPr>
          <w:p w14:paraId="5F2C3B53" w14:textId="2EDCC04A" w:rsidR="00B325FE" w:rsidRPr="0067507D" w:rsidRDefault="00F61F1D" w:rsidP="00A721E2">
            <w:pPr>
              <w:pStyle w:val="Tabletextright"/>
              <w:spacing w:before="40" w:after="40"/>
            </w:pPr>
            <w:r w:rsidRPr="0067507D">
              <w:t>22</w:t>
            </w:r>
          </w:p>
        </w:tc>
        <w:tc>
          <w:tcPr>
            <w:tcW w:w="637" w:type="dxa"/>
          </w:tcPr>
          <w:p w14:paraId="3EECD95C" w14:textId="65C994C6" w:rsidR="00B325FE" w:rsidRPr="0067507D" w:rsidRDefault="00F61F1D" w:rsidP="00A721E2">
            <w:pPr>
              <w:pStyle w:val="Tabletextright"/>
              <w:spacing w:before="40" w:after="40"/>
            </w:pPr>
            <w:r w:rsidRPr="0067507D">
              <w:t>17</w:t>
            </w:r>
          </w:p>
        </w:tc>
      </w:tr>
      <w:tr w:rsidR="00B325FE" w:rsidRPr="0067507D" w14:paraId="5540F747" w14:textId="77777777" w:rsidTr="00A721E2">
        <w:trPr>
          <w:cantSplit/>
        </w:trPr>
        <w:tc>
          <w:tcPr>
            <w:tcW w:w="1620" w:type="dxa"/>
          </w:tcPr>
          <w:p w14:paraId="149A0313" w14:textId="1AFBA0E2" w:rsidR="00B325FE" w:rsidRPr="0067507D" w:rsidRDefault="007D7EE6" w:rsidP="00A721E2">
            <w:pPr>
              <w:pStyle w:val="Tabletext"/>
              <w:spacing w:before="40" w:after="40"/>
            </w:pPr>
            <w:r w:rsidRPr="0067507D">
              <w:rPr>
                <w:rFonts w:cstheme="minorHAnsi"/>
              </w:rPr>
              <w:t>Women</w:t>
            </w:r>
          </w:p>
        </w:tc>
        <w:tc>
          <w:tcPr>
            <w:tcW w:w="932" w:type="dxa"/>
            <w:shd w:val="clear" w:color="auto" w:fill="E0E0E0"/>
          </w:tcPr>
          <w:p w14:paraId="7374A027" w14:textId="02DD0FC7" w:rsidR="00B325FE" w:rsidRPr="0067507D" w:rsidRDefault="00DC5609" w:rsidP="00A721E2">
            <w:pPr>
              <w:pStyle w:val="Tabletextright"/>
              <w:spacing w:before="40" w:after="40"/>
            </w:pPr>
            <w:r w:rsidRPr="0067507D">
              <w:t>362</w:t>
            </w:r>
          </w:p>
        </w:tc>
        <w:tc>
          <w:tcPr>
            <w:tcW w:w="659" w:type="dxa"/>
            <w:shd w:val="clear" w:color="auto" w:fill="E0E0E0"/>
          </w:tcPr>
          <w:p w14:paraId="5C30F778" w14:textId="704E9499" w:rsidR="00B325FE" w:rsidRPr="0067507D" w:rsidRDefault="00DC5609" w:rsidP="00A721E2">
            <w:pPr>
              <w:pStyle w:val="Tabletextright"/>
              <w:spacing w:before="40" w:after="40"/>
            </w:pPr>
            <w:r w:rsidRPr="0067507D">
              <w:t>339</w:t>
            </w:r>
          </w:p>
        </w:tc>
        <w:tc>
          <w:tcPr>
            <w:tcW w:w="979" w:type="dxa"/>
          </w:tcPr>
          <w:p w14:paraId="5D92A7CF" w14:textId="6642E175" w:rsidR="00B325FE" w:rsidRPr="0067507D" w:rsidRDefault="00DC5609" w:rsidP="00A721E2">
            <w:pPr>
              <w:pStyle w:val="Tabletextright"/>
              <w:spacing w:before="40" w:after="40"/>
            </w:pPr>
            <w:r w:rsidRPr="0067507D">
              <w:t>253</w:t>
            </w:r>
          </w:p>
        </w:tc>
        <w:tc>
          <w:tcPr>
            <w:tcW w:w="979" w:type="dxa"/>
          </w:tcPr>
          <w:p w14:paraId="5E3C9BA5" w14:textId="0603AE75" w:rsidR="00B325FE" w:rsidRPr="0067507D" w:rsidRDefault="00DC5609" w:rsidP="00A721E2">
            <w:pPr>
              <w:pStyle w:val="Tabletextright"/>
              <w:spacing w:before="40" w:after="40"/>
            </w:pPr>
            <w:r w:rsidRPr="0067507D">
              <w:t>67</w:t>
            </w:r>
          </w:p>
        </w:tc>
        <w:tc>
          <w:tcPr>
            <w:tcW w:w="778" w:type="dxa"/>
          </w:tcPr>
          <w:p w14:paraId="562BF4E9" w14:textId="3429DD47" w:rsidR="00B325FE" w:rsidRPr="0067507D" w:rsidRDefault="00DC5609" w:rsidP="00A721E2">
            <w:pPr>
              <w:pStyle w:val="Tabletextright"/>
              <w:spacing w:before="40" w:after="40"/>
            </w:pPr>
            <w:r w:rsidRPr="0067507D">
              <w:t>302</w:t>
            </w:r>
          </w:p>
        </w:tc>
        <w:tc>
          <w:tcPr>
            <w:tcW w:w="999" w:type="dxa"/>
            <w:shd w:val="clear" w:color="auto" w:fill="E0E0E0"/>
          </w:tcPr>
          <w:p w14:paraId="6F5F8507" w14:textId="303D1B46" w:rsidR="00B325FE" w:rsidRPr="0067507D" w:rsidRDefault="00DC5609" w:rsidP="00A721E2">
            <w:pPr>
              <w:pStyle w:val="Tabletextright"/>
              <w:spacing w:before="40" w:after="40"/>
            </w:pPr>
            <w:r w:rsidRPr="0067507D">
              <w:t>42</w:t>
            </w:r>
          </w:p>
        </w:tc>
        <w:tc>
          <w:tcPr>
            <w:tcW w:w="729" w:type="dxa"/>
            <w:shd w:val="clear" w:color="auto" w:fill="E0E0E0"/>
          </w:tcPr>
          <w:p w14:paraId="3E7F5D72" w14:textId="0956EE69" w:rsidR="00B325FE" w:rsidRPr="0067507D" w:rsidRDefault="00DC5609" w:rsidP="00A721E2">
            <w:pPr>
              <w:pStyle w:val="Tabletextright"/>
              <w:spacing w:before="40" w:after="40"/>
            </w:pPr>
            <w:r w:rsidRPr="0067507D">
              <w:t>36</w:t>
            </w:r>
          </w:p>
        </w:tc>
        <w:tc>
          <w:tcPr>
            <w:tcW w:w="1055" w:type="dxa"/>
            <w:noWrap/>
          </w:tcPr>
          <w:p w14:paraId="3730BAA7" w14:textId="79C82426" w:rsidR="00B325FE" w:rsidRPr="0067507D" w:rsidRDefault="00F61F1D" w:rsidP="00A721E2">
            <w:pPr>
              <w:pStyle w:val="Tabletextright"/>
              <w:spacing w:before="40" w:after="40"/>
            </w:pPr>
            <w:r w:rsidRPr="0067507D">
              <w:t>351</w:t>
            </w:r>
          </w:p>
        </w:tc>
        <w:tc>
          <w:tcPr>
            <w:tcW w:w="673" w:type="dxa"/>
          </w:tcPr>
          <w:p w14:paraId="63756325" w14:textId="0E1FAC9C" w:rsidR="00B325FE" w:rsidRPr="0067507D" w:rsidRDefault="00F61F1D" w:rsidP="00A721E2">
            <w:pPr>
              <w:pStyle w:val="Tabletextright"/>
              <w:spacing w:before="40" w:after="40"/>
            </w:pPr>
            <w:r w:rsidRPr="0067507D">
              <w:t>330</w:t>
            </w:r>
          </w:p>
        </w:tc>
        <w:tc>
          <w:tcPr>
            <w:tcW w:w="979" w:type="dxa"/>
            <w:shd w:val="clear" w:color="auto" w:fill="E0E0E0"/>
            <w:noWrap/>
          </w:tcPr>
          <w:p w14:paraId="29697169" w14:textId="702DA3C7" w:rsidR="00B325FE" w:rsidRPr="0067507D" w:rsidRDefault="00F61F1D" w:rsidP="00A721E2">
            <w:pPr>
              <w:pStyle w:val="Tabletextright"/>
              <w:spacing w:before="40" w:after="40"/>
            </w:pPr>
            <w:r w:rsidRPr="0067507D">
              <w:t>246</w:t>
            </w:r>
          </w:p>
        </w:tc>
        <w:tc>
          <w:tcPr>
            <w:tcW w:w="979" w:type="dxa"/>
            <w:shd w:val="clear" w:color="auto" w:fill="E0E0E0"/>
          </w:tcPr>
          <w:p w14:paraId="4D30A35C" w14:textId="21F0F198" w:rsidR="00B325FE" w:rsidRPr="0067507D" w:rsidRDefault="00F61F1D" w:rsidP="00A721E2">
            <w:pPr>
              <w:pStyle w:val="Tabletextright"/>
              <w:spacing w:before="40" w:after="40"/>
            </w:pPr>
            <w:r w:rsidRPr="0067507D">
              <w:t>63</w:t>
            </w:r>
          </w:p>
        </w:tc>
        <w:tc>
          <w:tcPr>
            <w:tcW w:w="778" w:type="dxa"/>
            <w:shd w:val="clear" w:color="auto" w:fill="E0E0E0"/>
          </w:tcPr>
          <w:p w14:paraId="5DF7CE92" w14:textId="33712811" w:rsidR="00B325FE" w:rsidRPr="0067507D" w:rsidRDefault="00F61F1D" w:rsidP="00A721E2">
            <w:pPr>
              <w:pStyle w:val="Tabletextright"/>
              <w:spacing w:before="40" w:after="40"/>
            </w:pPr>
            <w:r w:rsidRPr="0067507D">
              <w:t>293</w:t>
            </w:r>
          </w:p>
        </w:tc>
        <w:tc>
          <w:tcPr>
            <w:tcW w:w="1091" w:type="dxa"/>
          </w:tcPr>
          <w:p w14:paraId="06BCA231" w14:textId="171AD178" w:rsidR="00B325FE" w:rsidRPr="0067507D" w:rsidRDefault="00F61F1D" w:rsidP="00A721E2">
            <w:pPr>
              <w:pStyle w:val="Tabletextright"/>
              <w:spacing w:before="40" w:after="40"/>
            </w:pPr>
            <w:r w:rsidRPr="0067507D">
              <w:t>42</w:t>
            </w:r>
          </w:p>
        </w:tc>
        <w:tc>
          <w:tcPr>
            <w:tcW w:w="637" w:type="dxa"/>
          </w:tcPr>
          <w:p w14:paraId="0DA6DB8A" w14:textId="7AE2B265" w:rsidR="00B325FE" w:rsidRPr="0067507D" w:rsidRDefault="00F61F1D" w:rsidP="00A721E2">
            <w:pPr>
              <w:pStyle w:val="Tabletextright"/>
              <w:spacing w:before="40" w:after="40"/>
            </w:pPr>
            <w:r w:rsidRPr="0067507D">
              <w:t>36</w:t>
            </w:r>
          </w:p>
        </w:tc>
      </w:tr>
      <w:tr w:rsidR="00B325FE" w:rsidRPr="0067507D" w14:paraId="295EA52F" w14:textId="77777777" w:rsidTr="00A721E2">
        <w:trPr>
          <w:cantSplit/>
        </w:trPr>
        <w:tc>
          <w:tcPr>
            <w:tcW w:w="1620" w:type="dxa"/>
          </w:tcPr>
          <w:p w14:paraId="385B36D6" w14:textId="2F5C0FE4" w:rsidR="00B325FE" w:rsidRPr="0067507D" w:rsidRDefault="00B325FE" w:rsidP="00A721E2">
            <w:pPr>
              <w:pStyle w:val="Tabletext"/>
              <w:spacing w:before="40" w:after="40"/>
              <w:rPr>
                <w:rFonts w:cstheme="minorHAnsi"/>
              </w:rPr>
            </w:pPr>
            <w:r w:rsidRPr="0067507D">
              <w:rPr>
                <w:rFonts w:cstheme="minorHAnsi"/>
              </w:rPr>
              <w:t>Self</w:t>
            </w:r>
            <w:r w:rsidRPr="0067507D">
              <w:rPr>
                <w:rFonts w:cstheme="minorHAnsi"/>
              </w:rPr>
              <w:noBreakHyphen/>
              <w:t>described</w:t>
            </w:r>
          </w:p>
        </w:tc>
        <w:tc>
          <w:tcPr>
            <w:tcW w:w="932" w:type="dxa"/>
            <w:shd w:val="clear" w:color="auto" w:fill="E0E0E0"/>
          </w:tcPr>
          <w:p w14:paraId="1E5373A1" w14:textId="3FE18DD8" w:rsidR="00B325FE" w:rsidRPr="0067507D" w:rsidRDefault="00DC5609" w:rsidP="00A721E2">
            <w:pPr>
              <w:pStyle w:val="Tabletextright"/>
              <w:spacing w:before="40" w:after="40"/>
            </w:pPr>
            <w:r w:rsidRPr="0067507D">
              <w:t>1</w:t>
            </w:r>
          </w:p>
        </w:tc>
        <w:tc>
          <w:tcPr>
            <w:tcW w:w="659" w:type="dxa"/>
            <w:shd w:val="clear" w:color="auto" w:fill="E0E0E0"/>
          </w:tcPr>
          <w:p w14:paraId="0287B0B3" w14:textId="0DC23B02" w:rsidR="00B325FE" w:rsidRPr="0067507D" w:rsidRDefault="00DC5609" w:rsidP="00A721E2">
            <w:pPr>
              <w:pStyle w:val="Tabletextright"/>
              <w:spacing w:before="40" w:after="40"/>
            </w:pPr>
            <w:r w:rsidRPr="0067507D">
              <w:t>1</w:t>
            </w:r>
          </w:p>
        </w:tc>
        <w:tc>
          <w:tcPr>
            <w:tcW w:w="979" w:type="dxa"/>
          </w:tcPr>
          <w:p w14:paraId="2A9261E6" w14:textId="1649FF24" w:rsidR="00B325FE" w:rsidRPr="0067507D" w:rsidRDefault="00DC5609" w:rsidP="00A721E2">
            <w:pPr>
              <w:pStyle w:val="Tabletextright"/>
              <w:spacing w:before="40" w:after="40"/>
            </w:pPr>
            <w:r w:rsidRPr="0067507D">
              <w:t>1</w:t>
            </w:r>
          </w:p>
        </w:tc>
        <w:tc>
          <w:tcPr>
            <w:tcW w:w="979" w:type="dxa"/>
          </w:tcPr>
          <w:p w14:paraId="4CC2881A" w14:textId="35965171" w:rsidR="00B325FE" w:rsidRPr="0067507D" w:rsidRDefault="000A55B5" w:rsidP="00A721E2">
            <w:pPr>
              <w:pStyle w:val="Tabletextright"/>
              <w:spacing w:before="40" w:after="40"/>
            </w:pPr>
            <w:r w:rsidRPr="0067507D">
              <w:t>–</w:t>
            </w:r>
          </w:p>
        </w:tc>
        <w:tc>
          <w:tcPr>
            <w:tcW w:w="778" w:type="dxa"/>
          </w:tcPr>
          <w:p w14:paraId="5DEC2C3A" w14:textId="142D64D1" w:rsidR="00B325FE" w:rsidRPr="0067507D" w:rsidRDefault="00DC5609" w:rsidP="00A721E2">
            <w:pPr>
              <w:pStyle w:val="Tabletextright"/>
              <w:spacing w:before="40" w:after="40"/>
            </w:pPr>
            <w:r w:rsidRPr="0067507D">
              <w:t>1</w:t>
            </w:r>
          </w:p>
        </w:tc>
        <w:tc>
          <w:tcPr>
            <w:tcW w:w="999" w:type="dxa"/>
            <w:shd w:val="clear" w:color="auto" w:fill="E0E0E0"/>
          </w:tcPr>
          <w:p w14:paraId="4869A4A8" w14:textId="5A52B6B8" w:rsidR="00B325FE" w:rsidRPr="0067507D" w:rsidRDefault="000A55B5" w:rsidP="00A721E2">
            <w:pPr>
              <w:pStyle w:val="Tabletextright"/>
              <w:spacing w:before="40" w:after="40"/>
            </w:pPr>
            <w:r w:rsidRPr="0067507D">
              <w:t>–</w:t>
            </w:r>
          </w:p>
        </w:tc>
        <w:tc>
          <w:tcPr>
            <w:tcW w:w="729" w:type="dxa"/>
            <w:shd w:val="clear" w:color="auto" w:fill="E0E0E0"/>
          </w:tcPr>
          <w:p w14:paraId="17DE96FA" w14:textId="3DCE5184" w:rsidR="00B325FE" w:rsidRPr="0067507D" w:rsidRDefault="000A55B5" w:rsidP="00A721E2">
            <w:pPr>
              <w:pStyle w:val="Tabletextright"/>
              <w:spacing w:before="40" w:after="40"/>
            </w:pPr>
            <w:r w:rsidRPr="0067507D">
              <w:t>–</w:t>
            </w:r>
          </w:p>
        </w:tc>
        <w:tc>
          <w:tcPr>
            <w:tcW w:w="1055" w:type="dxa"/>
            <w:noWrap/>
          </w:tcPr>
          <w:p w14:paraId="5152B568" w14:textId="36A67B72" w:rsidR="00B325FE" w:rsidRPr="0067507D" w:rsidRDefault="00F61F1D" w:rsidP="00A721E2">
            <w:pPr>
              <w:pStyle w:val="Tabletextright"/>
              <w:spacing w:before="40" w:after="40"/>
            </w:pPr>
            <w:r w:rsidRPr="0067507D">
              <w:t>1</w:t>
            </w:r>
          </w:p>
        </w:tc>
        <w:tc>
          <w:tcPr>
            <w:tcW w:w="673" w:type="dxa"/>
          </w:tcPr>
          <w:p w14:paraId="6D0646A6" w14:textId="2BDA88E6" w:rsidR="00B325FE" w:rsidRPr="0067507D" w:rsidRDefault="00F61F1D" w:rsidP="00A721E2">
            <w:pPr>
              <w:pStyle w:val="Tabletextright"/>
              <w:spacing w:before="40" w:after="40"/>
            </w:pPr>
            <w:r w:rsidRPr="0067507D">
              <w:t>1</w:t>
            </w:r>
          </w:p>
        </w:tc>
        <w:tc>
          <w:tcPr>
            <w:tcW w:w="979" w:type="dxa"/>
            <w:shd w:val="clear" w:color="auto" w:fill="E0E0E0"/>
            <w:noWrap/>
          </w:tcPr>
          <w:p w14:paraId="24D12F6A" w14:textId="79C2BA24" w:rsidR="00B325FE" w:rsidRPr="0067507D" w:rsidRDefault="00F61F1D" w:rsidP="00A721E2">
            <w:pPr>
              <w:pStyle w:val="Tabletextright"/>
              <w:spacing w:before="40" w:after="40"/>
            </w:pPr>
            <w:r w:rsidRPr="0067507D">
              <w:t>1</w:t>
            </w:r>
          </w:p>
        </w:tc>
        <w:tc>
          <w:tcPr>
            <w:tcW w:w="979" w:type="dxa"/>
            <w:shd w:val="clear" w:color="auto" w:fill="E0E0E0"/>
          </w:tcPr>
          <w:p w14:paraId="0814B893" w14:textId="3E6BE812" w:rsidR="00B325FE" w:rsidRPr="0067507D" w:rsidRDefault="00F61F1D" w:rsidP="00A721E2">
            <w:pPr>
              <w:pStyle w:val="Tabletextright"/>
              <w:spacing w:before="40" w:after="40"/>
            </w:pPr>
            <w:r w:rsidRPr="0067507D">
              <w:t>–</w:t>
            </w:r>
          </w:p>
        </w:tc>
        <w:tc>
          <w:tcPr>
            <w:tcW w:w="778" w:type="dxa"/>
            <w:shd w:val="clear" w:color="auto" w:fill="E0E0E0"/>
          </w:tcPr>
          <w:p w14:paraId="1DF98252" w14:textId="4CB2D115" w:rsidR="00B325FE" w:rsidRPr="0067507D" w:rsidRDefault="00F61F1D" w:rsidP="00A721E2">
            <w:pPr>
              <w:pStyle w:val="Tabletextright"/>
              <w:spacing w:before="40" w:after="40"/>
            </w:pPr>
            <w:r w:rsidRPr="0067507D">
              <w:t>1</w:t>
            </w:r>
          </w:p>
        </w:tc>
        <w:tc>
          <w:tcPr>
            <w:tcW w:w="1091" w:type="dxa"/>
          </w:tcPr>
          <w:p w14:paraId="08094FFF" w14:textId="030BE49B" w:rsidR="00B325FE" w:rsidRPr="0067507D" w:rsidRDefault="00F61F1D" w:rsidP="00A721E2">
            <w:pPr>
              <w:pStyle w:val="Tabletextright"/>
              <w:spacing w:before="40" w:after="40"/>
            </w:pPr>
            <w:r w:rsidRPr="0067507D">
              <w:t>–</w:t>
            </w:r>
          </w:p>
        </w:tc>
        <w:tc>
          <w:tcPr>
            <w:tcW w:w="637" w:type="dxa"/>
          </w:tcPr>
          <w:p w14:paraId="684E92B2" w14:textId="7A4DB6D7" w:rsidR="00B325FE" w:rsidRPr="0067507D" w:rsidRDefault="00F61F1D" w:rsidP="00A721E2">
            <w:pPr>
              <w:pStyle w:val="Tabletextright"/>
              <w:spacing w:before="40" w:after="40"/>
            </w:pPr>
            <w:r w:rsidRPr="0067507D">
              <w:t>–</w:t>
            </w:r>
          </w:p>
        </w:tc>
      </w:tr>
      <w:tr w:rsidR="00B325FE" w:rsidRPr="0067507D" w14:paraId="44E657EF" w14:textId="77777777" w:rsidTr="00A721E2">
        <w:trPr>
          <w:cantSplit/>
        </w:trPr>
        <w:tc>
          <w:tcPr>
            <w:tcW w:w="1620" w:type="dxa"/>
          </w:tcPr>
          <w:p w14:paraId="2EF3D2D8" w14:textId="77777777" w:rsidR="00B325FE" w:rsidRPr="0067507D" w:rsidRDefault="00B325FE" w:rsidP="00A721E2">
            <w:pPr>
              <w:pStyle w:val="Tabletext"/>
              <w:spacing w:before="0" w:after="0"/>
              <w:rPr>
                <w:sz w:val="8"/>
              </w:rPr>
            </w:pPr>
          </w:p>
        </w:tc>
        <w:tc>
          <w:tcPr>
            <w:tcW w:w="932" w:type="dxa"/>
            <w:shd w:val="clear" w:color="auto" w:fill="E0E0E0"/>
          </w:tcPr>
          <w:p w14:paraId="5AEC68FB" w14:textId="77777777" w:rsidR="00B325FE" w:rsidRPr="0067507D" w:rsidRDefault="00B325FE" w:rsidP="00A721E2">
            <w:pPr>
              <w:pStyle w:val="Tabletextright"/>
              <w:spacing w:before="0" w:after="0"/>
              <w:rPr>
                <w:sz w:val="8"/>
              </w:rPr>
            </w:pPr>
          </w:p>
        </w:tc>
        <w:tc>
          <w:tcPr>
            <w:tcW w:w="659" w:type="dxa"/>
            <w:shd w:val="clear" w:color="auto" w:fill="E0E0E0"/>
          </w:tcPr>
          <w:p w14:paraId="3A844E15" w14:textId="77777777" w:rsidR="00B325FE" w:rsidRPr="0067507D" w:rsidRDefault="00B325FE" w:rsidP="00A721E2">
            <w:pPr>
              <w:pStyle w:val="Tabletextright"/>
              <w:spacing w:before="0" w:after="0"/>
              <w:rPr>
                <w:sz w:val="8"/>
              </w:rPr>
            </w:pPr>
          </w:p>
        </w:tc>
        <w:tc>
          <w:tcPr>
            <w:tcW w:w="979" w:type="dxa"/>
          </w:tcPr>
          <w:p w14:paraId="00B460DC" w14:textId="77777777" w:rsidR="00B325FE" w:rsidRPr="0067507D" w:rsidRDefault="00B325FE" w:rsidP="00A721E2">
            <w:pPr>
              <w:pStyle w:val="Tabletextright"/>
              <w:spacing w:before="0" w:after="0"/>
              <w:rPr>
                <w:sz w:val="8"/>
              </w:rPr>
            </w:pPr>
          </w:p>
        </w:tc>
        <w:tc>
          <w:tcPr>
            <w:tcW w:w="979" w:type="dxa"/>
          </w:tcPr>
          <w:p w14:paraId="22F49A9C" w14:textId="77777777" w:rsidR="00B325FE" w:rsidRPr="0067507D" w:rsidRDefault="00B325FE" w:rsidP="00A721E2">
            <w:pPr>
              <w:pStyle w:val="Tabletextright"/>
              <w:spacing w:before="0" w:after="0"/>
              <w:rPr>
                <w:sz w:val="8"/>
              </w:rPr>
            </w:pPr>
          </w:p>
        </w:tc>
        <w:tc>
          <w:tcPr>
            <w:tcW w:w="778" w:type="dxa"/>
          </w:tcPr>
          <w:p w14:paraId="1CDC1F7A" w14:textId="77777777" w:rsidR="00B325FE" w:rsidRPr="0067507D" w:rsidRDefault="00B325FE" w:rsidP="00A721E2">
            <w:pPr>
              <w:pStyle w:val="Tabletextright"/>
              <w:spacing w:before="0" w:after="0"/>
              <w:rPr>
                <w:sz w:val="8"/>
              </w:rPr>
            </w:pPr>
          </w:p>
        </w:tc>
        <w:tc>
          <w:tcPr>
            <w:tcW w:w="999" w:type="dxa"/>
            <w:shd w:val="clear" w:color="auto" w:fill="E0E0E0"/>
          </w:tcPr>
          <w:p w14:paraId="43B05144" w14:textId="77777777" w:rsidR="00B325FE" w:rsidRPr="0067507D" w:rsidRDefault="00B325FE" w:rsidP="00A721E2">
            <w:pPr>
              <w:pStyle w:val="Tabletextright"/>
              <w:spacing w:before="0" w:after="0"/>
              <w:rPr>
                <w:sz w:val="8"/>
              </w:rPr>
            </w:pPr>
          </w:p>
        </w:tc>
        <w:tc>
          <w:tcPr>
            <w:tcW w:w="729" w:type="dxa"/>
            <w:shd w:val="clear" w:color="auto" w:fill="E0E0E0"/>
          </w:tcPr>
          <w:p w14:paraId="5E2A79E7" w14:textId="77777777" w:rsidR="00B325FE" w:rsidRPr="0067507D" w:rsidRDefault="00B325FE" w:rsidP="00A721E2">
            <w:pPr>
              <w:pStyle w:val="Tabletextright"/>
              <w:spacing w:before="0" w:after="0"/>
              <w:rPr>
                <w:sz w:val="8"/>
              </w:rPr>
            </w:pPr>
          </w:p>
        </w:tc>
        <w:tc>
          <w:tcPr>
            <w:tcW w:w="1055" w:type="dxa"/>
            <w:noWrap/>
          </w:tcPr>
          <w:p w14:paraId="1E936D22" w14:textId="77777777" w:rsidR="00B325FE" w:rsidRPr="0067507D" w:rsidRDefault="00B325FE" w:rsidP="00A721E2">
            <w:pPr>
              <w:pStyle w:val="Tabletextright"/>
              <w:spacing w:before="0" w:after="0"/>
              <w:rPr>
                <w:sz w:val="8"/>
              </w:rPr>
            </w:pPr>
          </w:p>
        </w:tc>
        <w:tc>
          <w:tcPr>
            <w:tcW w:w="673" w:type="dxa"/>
          </w:tcPr>
          <w:p w14:paraId="18CE7F81" w14:textId="77777777" w:rsidR="00B325FE" w:rsidRPr="0067507D" w:rsidRDefault="00B325FE" w:rsidP="00A721E2">
            <w:pPr>
              <w:pStyle w:val="Tabletextright"/>
              <w:spacing w:before="0" w:after="0"/>
              <w:rPr>
                <w:sz w:val="8"/>
              </w:rPr>
            </w:pPr>
          </w:p>
        </w:tc>
        <w:tc>
          <w:tcPr>
            <w:tcW w:w="979" w:type="dxa"/>
            <w:shd w:val="clear" w:color="auto" w:fill="E0E0E0"/>
            <w:noWrap/>
          </w:tcPr>
          <w:p w14:paraId="44FE3CA6" w14:textId="77777777" w:rsidR="00B325FE" w:rsidRPr="0067507D" w:rsidRDefault="00B325FE" w:rsidP="00A721E2">
            <w:pPr>
              <w:pStyle w:val="Tabletextright"/>
              <w:spacing w:before="0" w:after="0"/>
              <w:rPr>
                <w:sz w:val="8"/>
              </w:rPr>
            </w:pPr>
          </w:p>
        </w:tc>
        <w:tc>
          <w:tcPr>
            <w:tcW w:w="979" w:type="dxa"/>
            <w:shd w:val="clear" w:color="auto" w:fill="E0E0E0"/>
          </w:tcPr>
          <w:p w14:paraId="68697C67" w14:textId="77777777" w:rsidR="00B325FE" w:rsidRPr="0067507D" w:rsidRDefault="00B325FE" w:rsidP="00A721E2">
            <w:pPr>
              <w:pStyle w:val="Tabletextright"/>
              <w:spacing w:before="0" w:after="0"/>
              <w:rPr>
                <w:sz w:val="8"/>
              </w:rPr>
            </w:pPr>
          </w:p>
        </w:tc>
        <w:tc>
          <w:tcPr>
            <w:tcW w:w="778" w:type="dxa"/>
            <w:shd w:val="clear" w:color="auto" w:fill="E0E0E0"/>
          </w:tcPr>
          <w:p w14:paraId="31D65BED" w14:textId="77777777" w:rsidR="00B325FE" w:rsidRPr="0067507D" w:rsidRDefault="00B325FE" w:rsidP="00A721E2">
            <w:pPr>
              <w:pStyle w:val="Tabletextright"/>
              <w:spacing w:before="0" w:after="0"/>
              <w:rPr>
                <w:sz w:val="8"/>
              </w:rPr>
            </w:pPr>
          </w:p>
        </w:tc>
        <w:tc>
          <w:tcPr>
            <w:tcW w:w="1091" w:type="dxa"/>
          </w:tcPr>
          <w:p w14:paraId="07916B24" w14:textId="77777777" w:rsidR="00B325FE" w:rsidRPr="0067507D" w:rsidRDefault="00B325FE" w:rsidP="00A721E2">
            <w:pPr>
              <w:pStyle w:val="Tabletextright"/>
              <w:spacing w:before="0" w:after="0"/>
              <w:rPr>
                <w:sz w:val="8"/>
              </w:rPr>
            </w:pPr>
          </w:p>
        </w:tc>
        <w:tc>
          <w:tcPr>
            <w:tcW w:w="637" w:type="dxa"/>
          </w:tcPr>
          <w:p w14:paraId="70C807F6" w14:textId="77777777" w:rsidR="00B325FE" w:rsidRPr="0067507D" w:rsidRDefault="00B325FE" w:rsidP="00A721E2">
            <w:pPr>
              <w:pStyle w:val="Tabletextright"/>
              <w:spacing w:before="0" w:after="0"/>
              <w:rPr>
                <w:sz w:val="8"/>
              </w:rPr>
            </w:pPr>
          </w:p>
        </w:tc>
      </w:tr>
      <w:tr w:rsidR="00B325FE" w:rsidRPr="0067507D" w14:paraId="53D4B6FB" w14:textId="77777777" w:rsidTr="00A721E2">
        <w:trPr>
          <w:cantSplit/>
        </w:trPr>
        <w:tc>
          <w:tcPr>
            <w:tcW w:w="1620" w:type="dxa"/>
          </w:tcPr>
          <w:p w14:paraId="53C8577F" w14:textId="77777777" w:rsidR="00B325FE" w:rsidRPr="0067507D" w:rsidRDefault="00B325FE" w:rsidP="00A721E2">
            <w:pPr>
              <w:pStyle w:val="Tabletext"/>
              <w:spacing w:before="20" w:after="20"/>
              <w:rPr>
                <w:rFonts w:asciiTheme="majorHAnsi" w:hAnsiTheme="majorHAnsi"/>
              </w:rPr>
            </w:pPr>
            <w:r w:rsidRPr="0067507D">
              <w:rPr>
                <w:rFonts w:asciiTheme="majorHAnsi" w:hAnsiTheme="majorHAnsi" w:cstheme="minorHAnsi"/>
              </w:rPr>
              <w:t>Age</w:t>
            </w:r>
          </w:p>
        </w:tc>
        <w:tc>
          <w:tcPr>
            <w:tcW w:w="932" w:type="dxa"/>
            <w:shd w:val="clear" w:color="auto" w:fill="E0E0E0"/>
          </w:tcPr>
          <w:p w14:paraId="47D17DA6" w14:textId="77777777" w:rsidR="00B325FE" w:rsidRPr="0067507D" w:rsidRDefault="00B325FE" w:rsidP="00A721E2">
            <w:pPr>
              <w:pStyle w:val="Tabletextright"/>
              <w:rPr>
                <w:rFonts w:asciiTheme="majorHAnsi" w:hAnsiTheme="majorHAnsi"/>
              </w:rPr>
            </w:pPr>
          </w:p>
        </w:tc>
        <w:tc>
          <w:tcPr>
            <w:tcW w:w="659" w:type="dxa"/>
            <w:shd w:val="clear" w:color="auto" w:fill="E0E0E0"/>
          </w:tcPr>
          <w:p w14:paraId="4ACE3354" w14:textId="77777777" w:rsidR="00B325FE" w:rsidRPr="0067507D" w:rsidRDefault="00B325FE" w:rsidP="00A721E2">
            <w:pPr>
              <w:pStyle w:val="Tabletextright"/>
              <w:rPr>
                <w:rFonts w:asciiTheme="majorHAnsi" w:hAnsiTheme="majorHAnsi"/>
              </w:rPr>
            </w:pPr>
          </w:p>
        </w:tc>
        <w:tc>
          <w:tcPr>
            <w:tcW w:w="979" w:type="dxa"/>
          </w:tcPr>
          <w:p w14:paraId="6393F82D" w14:textId="77777777" w:rsidR="00B325FE" w:rsidRPr="0067507D" w:rsidRDefault="00B325FE" w:rsidP="00A721E2">
            <w:pPr>
              <w:pStyle w:val="Tabletextright"/>
              <w:rPr>
                <w:rFonts w:asciiTheme="majorHAnsi" w:hAnsiTheme="majorHAnsi"/>
              </w:rPr>
            </w:pPr>
          </w:p>
        </w:tc>
        <w:tc>
          <w:tcPr>
            <w:tcW w:w="979" w:type="dxa"/>
          </w:tcPr>
          <w:p w14:paraId="3EA4CE4F" w14:textId="77777777" w:rsidR="00B325FE" w:rsidRPr="0067507D" w:rsidRDefault="00B325FE" w:rsidP="00A721E2">
            <w:pPr>
              <w:pStyle w:val="Tabletextright"/>
              <w:rPr>
                <w:rFonts w:asciiTheme="majorHAnsi" w:hAnsiTheme="majorHAnsi"/>
              </w:rPr>
            </w:pPr>
          </w:p>
        </w:tc>
        <w:tc>
          <w:tcPr>
            <w:tcW w:w="778" w:type="dxa"/>
          </w:tcPr>
          <w:p w14:paraId="538B7F1F" w14:textId="77777777" w:rsidR="00B325FE" w:rsidRPr="0067507D" w:rsidRDefault="00B325FE" w:rsidP="00A721E2">
            <w:pPr>
              <w:pStyle w:val="Tabletextright"/>
              <w:rPr>
                <w:rFonts w:asciiTheme="majorHAnsi" w:hAnsiTheme="majorHAnsi"/>
              </w:rPr>
            </w:pPr>
          </w:p>
        </w:tc>
        <w:tc>
          <w:tcPr>
            <w:tcW w:w="999" w:type="dxa"/>
            <w:shd w:val="clear" w:color="auto" w:fill="E0E0E0"/>
          </w:tcPr>
          <w:p w14:paraId="29989A9C" w14:textId="77777777" w:rsidR="00B325FE" w:rsidRPr="0067507D" w:rsidRDefault="00B325FE" w:rsidP="00A721E2">
            <w:pPr>
              <w:pStyle w:val="Tabletextright"/>
              <w:rPr>
                <w:rFonts w:asciiTheme="majorHAnsi" w:hAnsiTheme="majorHAnsi"/>
              </w:rPr>
            </w:pPr>
          </w:p>
        </w:tc>
        <w:tc>
          <w:tcPr>
            <w:tcW w:w="729" w:type="dxa"/>
            <w:shd w:val="clear" w:color="auto" w:fill="E0E0E0"/>
          </w:tcPr>
          <w:p w14:paraId="5E701E0C" w14:textId="77777777" w:rsidR="00B325FE" w:rsidRPr="0067507D" w:rsidRDefault="00B325FE" w:rsidP="00A721E2">
            <w:pPr>
              <w:pStyle w:val="Tabletextright"/>
              <w:rPr>
                <w:rFonts w:asciiTheme="majorHAnsi" w:hAnsiTheme="majorHAnsi"/>
              </w:rPr>
            </w:pPr>
          </w:p>
        </w:tc>
        <w:tc>
          <w:tcPr>
            <w:tcW w:w="1055" w:type="dxa"/>
            <w:noWrap/>
          </w:tcPr>
          <w:p w14:paraId="0E3DA83A" w14:textId="77777777" w:rsidR="00B325FE" w:rsidRPr="0067507D" w:rsidRDefault="00B325FE" w:rsidP="00A721E2">
            <w:pPr>
              <w:pStyle w:val="Tabletextright"/>
              <w:rPr>
                <w:rFonts w:asciiTheme="majorHAnsi" w:hAnsiTheme="majorHAnsi"/>
              </w:rPr>
            </w:pPr>
          </w:p>
        </w:tc>
        <w:tc>
          <w:tcPr>
            <w:tcW w:w="673" w:type="dxa"/>
          </w:tcPr>
          <w:p w14:paraId="6E6B61D4" w14:textId="77777777" w:rsidR="00B325FE" w:rsidRPr="0067507D" w:rsidRDefault="00B325FE" w:rsidP="00A721E2">
            <w:pPr>
              <w:pStyle w:val="Tabletextright"/>
              <w:rPr>
                <w:rFonts w:asciiTheme="majorHAnsi" w:hAnsiTheme="majorHAnsi"/>
              </w:rPr>
            </w:pPr>
          </w:p>
        </w:tc>
        <w:tc>
          <w:tcPr>
            <w:tcW w:w="979" w:type="dxa"/>
            <w:shd w:val="clear" w:color="auto" w:fill="E0E0E0"/>
            <w:noWrap/>
          </w:tcPr>
          <w:p w14:paraId="2894FB07" w14:textId="77777777" w:rsidR="00B325FE" w:rsidRPr="0067507D" w:rsidRDefault="00B325FE" w:rsidP="00A721E2">
            <w:pPr>
              <w:pStyle w:val="Tabletextright"/>
              <w:rPr>
                <w:rFonts w:asciiTheme="majorHAnsi" w:hAnsiTheme="majorHAnsi"/>
              </w:rPr>
            </w:pPr>
          </w:p>
        </w:tc>
        <w:tc>
          <w:tcPr>
            <w:tcW w:w="979" w:type="dxa"/>
            <w:shd w:val="clear" w:color="auto" w:fill="E0E0E0"/>
          </w:tcPr>
          <w:p w14:paraId="766EFC81" w14:textId="77777777" w:rsidR="00B325FE" w:rsidRPr="0067507D" w:rsidRDefault="00B325FE" w:rsidP="00A721E2">
            <w:pPr>
              <w:pStyle w:val="Tabletextright"/>
              <w:rPr>
                <w:rFonts w:asciiTheme="majorHAnsi" w:hAnsiTheme="majorHAnsi"/>
              </w:rPr>
            </w:pPr>
          </w:p>
        </w:tc>
        <w:tc>
          <w:tcPr>
            <w:tcW w:w="778" w:type="dxa"/>
            <w:shd w:val="clear" w:color="auto" w:fill="E0E0E0"/>
          </w:tcPr>
          <w:p w14:paraId="1AD9CD36" w14:textId="77777777" w:rsidR="00B325FE" w:rsidRPr="0067507D" w:rsidRDefault="00B325FE" w:rsidP="00A721E2">
            <w:pPr>
              <w:pStyle w:val="Tabletextright"/>
              <w:rPr>
                <w:rFonts w:asciiTheme="majorHAnsi" w:hAnsiTheme="majorHAnsi"/>
              </w:rPr>
            </w:pPr>
          </w:p>
        </w:tc>
        <w:tc>
          <w:tcPr>
            <w:tcW w:w="1091" w:type="dxa"/>
          </w:tcPr>
          <w:p w14:paraId="30A25D45" w14:textId="77777777" w:rsidR="00B325FE" w:rsidRPr="0067507D" w:rsidRDefault="00B325FE" w:rsidP="00A721E2">
            <w:pPr>
              <w:pStyle w:val="Tabletextright"/>
              <w:rPr>
                <w:rFonts w:asciiTheme="majorHAnsi" w:hAnsiTheme="majorHAnsi"/>
              </w:rPr>
            </w:pPr>
          </w:p>
        </w:tc>
        <w:tc>
          <w:tcPr>
            <w:tcW w:w="637" w:type="dxa"/>
          </w:tcPr>
          <w:p w14:paraId="5FE0F2EF" w14:textId="77777777" w:rsidR="00B325FE" w:rsidRPr="0067507D" w:rsidRDefault="00B325FE" w:rsidP="00A721E2">
            <w:pPr>
              <w:pStyle w:val="Tabletextright"/>
              <w:rPr>
                <w:rFonts w:asciiTheme="majorHAnsi" w:hAnsiTheme="majorHAnsi"/>
              </w:rPr>
            </w:pPr>
          </w:p>
        </w:tc>
      </w:tr>
      <w:tr w:rsidR="00B325FE" w:rsidRPr="0067507D" w14:paraId="6854FDA8" w14:textId="77777777" w:rsidTr="00A721E2">
        <w:trPr>
          <w:cantSplit/>
        </w:trPr>
        <w:tc>
          <w:tcPr>
            <w:tcW w:w="1620" w:type="dxa"/>
          </w:tcPr>
          <w:p w14:paraId="227C9433" w14:textId="77777777" w:rsidR="00B325FE" w:rsidRPr="0067507D" w:rsidRDefault="00B325FE" w:rsidP="00A721E2">
            <w:pPr>
              <w:pStyle w:val="Tabletext"/>
              <w:spacing w:before="40" w:after="40"/>
            </w:pPr>
            <w:r w:rsidRPr="0067507D">
              <w:rPr>
                <w:rFonts w:cstheme="minorHAnsi"/>
              </w:rPr>
              <w:t>15–24</w:t>
            </w:r>
          </w:p>
        </w:tc>
        <w:tc>
          <w:tcPr>
            <w:tcW w:w="932" w:type="dxa"/>
            <w:shd w:val="clear" w:color="auto" w:fill="E0E0E0"/>
          </w:tcPr>
          <w:p w14:paraId="204E3A47" w14:textId="5D31DFF9" w:rsidR="00B325FE" w:rsidRPr="0067507D" w:rsidRDefault="00873F37" w:rsidP="00A721E2">
            <w:pPr>
              <w:pStyle w:val="Tabletextright"/>
              <w:spacing w:before="40" w:after="40"/>
            </w:pPr>
            <w:r w:rsidRPr="0067507D">
              <w:t>65</w:t>
            </w:r>
          </w:p>
        </w:tc>
        <w:tc>
          <w:tcPr>
            <w:tcW w:w="659" w:type="dxa"/>
            <w:shd w:val="clear" w:color="auto" w:fill="E0E0E0"/>
          </w:tcPr>
          <w:p w14:paraId="741E6FC9" w14:textId="4CF3F2CF" w:rsidR="00B325FE" w:rsidRPr="0067507D" w:rsidRDefault="00873F37" w:rsidP="00A721E2">
            <w:pPr>
              <w:pStyle w:val="Tabletextright"/>
              <w:spacing w:before="40" w:after="40"/>
            </w:pPr>
            <w:r w:rsidRPr="0067507D">
              <w:t>58</w:t>
            </w:r>
          </w:p>
        </w:tc>
        <w:tc>
          <w:tcPr>
            <w:tcW w:w="979" w:type="dxa"/>
          </w:tcPr>
          <w:p w14:paraId="4EB3627D" w14:textId="0ED886FE" w:rsidR="00B325FE" w:rsidRPr="0067507D" w:rsidRDefault="00873F37" w:rsidP="00A721E2">
            <w:pPr>
              <w:pStyle w:val="Tabletextright"/>
              <w:spacing w:before="40" w:after="40"/>
            </w:pPr>
            <w:r w:rsidRPr="0067507D">
              <w:t>45</w:t>
            </w:r>
          </w:p>
        </w:tc>
        <w:tc>
          <w:tcPr>
            <w:tcW w:w="979" w:type="dxa"/>
          </w:tcPr>
          <w:p w14:paraId="52D6219D" w14:textId="01988EA5" w:rsidR="00B325FE" w:rsidRPr="0067507D" w:rsidRDefault="00DC5609" w:rsidP="00A721E2">
            <w:pPr>
              <w:pStyle w:val="Tabletextright"/>
              <w:spacing w:before="40" w:after="40"/>
            </w:pPr>
            <w:r w:rsidRPr="0067507D">
              <w:t>2</w:t>
            </w:r>
          </w:p>
        </w:tc>
        <w:tc>
          <w:tcPr>
            <w:tcW w:w="778" w:type="dxa"/>
          </w:tcPr>
          <w:p w14:paraId="7BD45375" w14:textId="567BB455" w:rsidR="00B325FE" w:rsidRPr="0067507D" w:rsidRDefault="00873F37" w:rsidP="00A721E2">
            <w:pPr>
              <w:pStyle w:val="Tabletextright"/>
              <w:spacing w:before="40" w:after="40"/>
            </w:pPr>
            <w:r w:rsidRPr="0067507D">
              <w:t>47</w:t>
            </w:r>
          </w:p>
        </w:tc>
        <w:tc>
          <w:tcPr>
            <w:tcW w:w="999" w:type="dxa"/>
            <w:shd w:val="clear" w:color="auto" w:fill="E0E0E0"/>
          </w:tcPr>
          <w:p w14:paraId="1B929E07" w14:textId="47CA6A5C" w:rsidR="00B325FE" w:rsidRPr="0067507D" w:rsidRDefault="00873F37" w:rsidP="00A721E2">
            <w:pPr>
              <w:pStyle w:val="Tabletextright"/>
              <w:spacing w:before="40" w:after="40"/>
            </w:pPr>
            <w:r w:rsidRPr="0067507D">
              <w:t>18</w:t>
            </w:r>
          </w:p>
        </w:tc>
        <w:tc>
          <w:tcPr>
            <w:tcW w:w="729" w:type="dxa"/>
            <w:shd w:val="clear" w:color="auto" w:fill="E0E0E0"/>
          </w:tcPr>
          <w:p w14:paraId="62C52305" w14:textId="4B845441" w:rsidR="00B325FE" w:rsidRPr="0067507D" w:rsidRDefault="00873F37" w:rsidP="00A721E2">
            <w:pPr>
              <w:pStyle w:val="Tabletextright"/>
              <w:spacing w:before="40" w:after="40"/>
            </w:pPr>
            <w:r w:rsidRPr="0067507D">
              <w:t>12</w:t>
            </w:r>
          </w:p>
        </w:tc>
        <w:tc>
          <w:tcPr>
            <w:tcW w:w="1055" w:type="dxa"/>
            <w:noWrap/>
          </w:tcPr>
          <w:p w14:paraId="3FDD64A9" w14:textId="5A505D13" w:rsidR="00B325FE" w:rsidRPr="0067507D" w:rsidRDefault="00F61F1D" w:rsidP="00A721E2">
            <w:pPr>
              <w:pStyle w:val="Tabletextright"/>
              <w:spacing w:before="40" w:after="40"/>
            </w:pPr>
            <w:r w:rsidRPr="0067507D">
              <w:t>69</w:t>
            </w:r>
          </w:p>
        </w:tc>
        <w:tc>
          <w:tcPr>
            <w:tcW w:w="673" w:type="dxa"/>
          </w:tcPr>
          <w:p w14:paraId="2B6B8C2D" w14:textId="580F7A77" w:rsidR="00B325FE" w:rsidRPr="0067507D" w:rsidRDefault="00F61F1D" w:rsidP="00A721E2">
            <w:pPr>
              <w:pStyle w:val="Tabletextright"/>
              <w:spacing w:before="40" w:after="40"/>
            </w:pPr>
            <w:r w:rsidRPr="0067507D">
              <w:t>62</w:t>
            </w:r>
          </w:p>
        </w:tc>
        <w:tc>
          <w:tcPr>
            <w:tcW w:w="979" w:type="dxa"/>
            <w:shd w:val="clear" w:color="auto" w:fill="E0E0E0"/>
            <w:noWrap/>
          </w:tcPr>
          <w:p w14:paraId="57ED5996" w14:textId="64DA1BE4" w:rsidR="00B325FE" w:rsidRPr="0067507D" w:rsidRDefault="00F61F1D" w:rsidP="00A721E2">
            <w:pPr>
              <w:pStyle w:val="Tabletextright"/>
              <w:spacing w:before="40" w:after="40"/>
            </w:pPr>
            <w:r w:rsidRPr="0067507D">
              <w:t>46</w:t>
            </w:r>
          </w:p>
        </w:tc>
        <w:tc>
          <w:tcPr>
            <w:tcW w:w="979" w:type="dxa"/>
            <w:shd w:val="clear" w:color="auto" w:fill="E0E0E0"/>
          </w:tcPr>
          <w:p w14:paraId="4792B505" w14:textId="1E6CF2EA" w:rsidR="00B325FE" w:rsidRPr="0067507D" w:rsidRDefault="00F61F1D" w:rsidP="00A721E2">
            <w:pPr>
              <w:pStyle w:val="Tabletextright"/>
              <w:spacing w:before="40" w:after="40"/>
            </w:pPr>
            <w:r w:rsidRPr="0067507D">
              <w:t>1</w:t>
            </w:r>
          </w:p>
        </w:tc>
        <w:tc>
          <w:tcPr>
            <w:tcW w:w="778" w:type="dxa"/>
            <w:shd w:val="clear" w:color="auto" w:fill="E0E0E0"/>
          </w:tcPr>
          <w:p w14:paraId="62375F60" w14:textId="54AFC2DD" w:rsidR="00B325FE" w:rsidRPr="0067507D" w:rsidRDefault="00F61F1D" w:rsidP="00A721E2">
            <w:pPr>
              <w:pStyle w:val="Tabletextright"/>
              <w:spacing w:before="40" w:after="40"/>
            </w:pPr>
            <w:r w:rsidRPr="0067507D">
              <w:t>47</w:t>
            </w:r>
          </w:p>
        </w:tc>
        <w:tc>
          <w:tcPr>
            <w:tcW w:w="1091" w:type="dxa"/>
          </w:tcPr>
          <w:p w14:paraId="0152C88F" w14:textId="75D3798A" w:rsidR="00B325FE" w:rsidRPr="0067507D" w:rsidRDefault="00F61F1D" w:rsidP="00A721E2">
            <w:pPr>
              <w:pStyle w:val="Tabletextright"/>
              <w:spacing w:before="40" w:after="40"/>
            </w:pPr>
            <w:r w:rsidRPr="0067507D">
              <w:t>22</w:t>
            </w:r>
          </w:p>
        </w:tc>
        <w:tc>
          <w:tcPr>
            <w:tcW w:w="637" w:type="dxa"/>
          </w:tcPr>
          <w:p w14:paraId="5FE4D1E4" w14:textId="4CEA9A7E" w:rsidR="00B325FE" w:rsidRPr="0067507D" w:rsidRDefault="00F61F1D" w:rsidP="00A721E2">
            <w:pPr>
              <w:pStyle w:val="Tabletextright"/>
              <w:spacing w:before="40" w:after="40"/>
            </w:pPr>
            <w:r w:rsidRPr="0067507D">
              <w:t>15</w:t>
            </w:r>
          </w:p>
        </w:tc>
      </w:tr>
      <w:tr w:rsidR="00B325FE" w:rsidRPr="0067507D" w14:paraId="7C6DC766" w14:textId="77777777" w:rsidTr="00A721E2">
        <w:trPr>
          <w:cantSplit/>
        </w:trPr>
        <w:tc>
          <w:tcPr>
            <w:tcW w:w="1620" w:type="dxa"/>
          </w:tcPr>
          <w:p w14:paraId="1F93F591" w14:textId="5C2ACB2C" w:rsidR="00B325FE" w:rsidRPr="0067507D" w:rsidRDefault="00B325FE" w:rsidP="00A721E2">
            <w:pPr>
              <w:pStyle w:val="Tabletext"/>
              <w:spacing w:before="40" w:after="40"/>
            </w:pPr>
            <w:r w:rsidRPr="0067507D">
              <w:rPr>
                <w:rFonts w:cstheme="minorHAnsi"/>
              </w:rPr>
              <w:t>25</w:t>
            </w:r>
            <w:r w:rsidR="003A26E6" w:rsidRPr="0067507D">
              <w:rPr>
                <w:rFonts w:cstheme="minorHAnsi"/>
              </w:rPr>
              <w:t>–</w:t>
            </w:r>
            <w:r w:rsidRPr="0067507D">
              <w:rPr>
                <w:rFonts w:cstheme="minorHAnsi"/>
              </w:rPr>
              <w:t>34</w:t>
            </w:r>
          </w:p>
        </w:tc>
        <w:tc>
          <w:tcPr>
            <w:tcW w:w="932" w:type="dxa"/>
            <w:shd w:val="clear" w:color="auto" w:fill="E0E0E0"/>
          </w:tcPr>
          <w:p w14:paraId="0A4085DC" w14:textId="75ACC28D" w:rsidR="00B325FE" w:rsidRPr="0067507D" w:rsidRDefault="00873F37" w:rsidP="00A721E2">
            <w:pPr>
              <w:pStyle w:val="Tabletextright"/>
              <w:spacing w:before="40" w:after="40"/>
            </w:pPr>
            <w:r w:rsidRPr="0067507D">
              <w:t>229</w:t>
            </w:r>
          </w:p>
        </w:tc>
        <w:tc>
          <w:tcPr>
            <w:tcW w:w="659" w:type="dxa"/>
            <w:shd w:val="clear" w:color="auto" w:fill="E0E0E0"/>
          </w:tcPr>
          <w:p w14:paraId="685BF5A7" w14:textId="33FA0559" w:rsidR="00B325FE" w:rsidRPr="0067507D" w:rsidRDefault="00873F37" w:rsidP="00A721E2">
            <w:pPr>
              <w:pStyle w:val="Tabletextright"/>
              <w:spacing w:before="40" w:after="40"/>
            </w:pPr>
            <w:r w:rsidRPr="0067507D">
              <w:t>226</w:t>
            </w:r>
          </w:p>
        </w:tc>
        <w:tc>
          <w:tcPr>
            <w:tcW w:w="979" w:type="dxa"/>
          </w:tcPr>
          <w:p w14:paraId="2AEBF25E" w14:textId="74995EF7" w:rsidR="00B325FE" w:rsidRPr="0067507D" w:rsidRDefault="00873F37" w:rsidP="00A721E2">
            <w:pPr>
              <w:pStyle w:val="Tabletextright"/>
              <w:spacing w:before="40" w:after="40"/>
            </w:pPr>
            <w:r w:rsidRPr="0067507D">
              <w:t>198</w:t>
            </w:r>
          </w:p>
        </w:tc>
        <w:tc>
          <w:tcPr>
            <w:tcW w:w="979" w:type="dxa"/>
          </w:tcPr>
          <w:p w14:paraId="38BDCCCD" w14:textId="52ACBB6A" w:rsidR="00B325FE" w:rsidRPr="0067507D" w:rsidRDefault="00DC5609" w:rsidP="00A721E2">
            <w:pPr>
              <w:pStyle w:val="Tabletextright"/>
              <w:spacing w:before="40" w:after="40"/>
            </w:pPr>
            <w:r w:rsidRPr="0067507D">
              <w:t>9</w:t>
            </w:r>
          </w:p>
        </w:tc>
        <w:tc>
          <w:tcPr>
            <w:tcW w:w="778" w:type="dxa"/>
          </w:tcPr>
          <w:p w14:paraId="6466A757" w14:textId="2D8AA238" w:rsidR="00B325FE" w:rsidRPr="0067507D" w:rsidRDefault="00873F37" w:rsidP="00A721E2">
            <w:pPr>
              <w:pStyle w:val="Tabletextright"/>
              <w:spacing w:before="40" w:after="40"/>
            </w:pPr>
            <w:r w:rsidRPr="0067507D">
              <w:t>205</w:t>
            </w:r>
          </w:p>
        </w:tc>
        <w:tc>
          <w:tcPr>
            <w:tcW w:w="999" w:type="dxa"/>
            <w:shd w:val="clear" w:color="auto" w:fill="E0E0E0"/>
          </w:tcPr>
          <w:p w14:paraId="512EB0C3" w14:textId="1286B3D8" w:rsidR="00B325FE" w:rsidRPr="0067507D" w:rsidRDefault="00873F37" w:rsidP="00A721E2">
            <w:pPr>
              <w:pStyle w:val="Tabletextright"/>
              <w:spacing w:before="40" w:after="40"/>
            </w:pPr>
            <w:r w:rsidRPr="0067507D">
              <w:t>22</w:t>
            </w:r>
          </w:p>
        </w:tc>
        <w:tc>
          <w:tcPr>
            <w:tcW w:w="729" w:type="dxa"/>
            <w:shd w:val="clear" w:color="auto" w:fill="E0E0E0"/>
          </w:tcPr>
          <w:p w14:paraId="074001DC" w14:textId="375B9DF0" w:rsidR="00B325FE" w:rsidRPr="0067507D" w:rsidRDefault="00873F37" w:rsidP="00A721E2">
            <w:pPr>
              <w:pStyle w:val="Tabletextright"/>
              <w:spacing w:before="40" w:after="40"/>
            </w:pPr>
            <w:r w:rsidRPr="0067507D">
              <w:t>21</w:t>
            </w:r>
          </w:p>
        </w:tc>
        <w:tc>
          <w:tcPr>
            <w:tcW w:w="1055" w:type="dxa"/>
            <w:noWrap/>
          </w:tcPr>
          <w:p w14:paraId="3D94004E" w14:textId="78D6382D" w:rsidR="00B325FE" w:rsidRPr="0067507D" w:rsidRDefault="00F61F1D" w:rsidP="00A721E2">
            <w:pPr>
              <w:pStyle w:val="Tabletextright"/>
              <w:spacing w:before="40" w:after="40"/>
            </w:pPr>
            <w:r w:rsidRPr="0067507D">
              <w:t>231</w:t>
            </w:r>
          </w:p>
        </w:tc>
        <w:tc>
          <w:tcPr>
            <w:tcW w:w="673" w:type="dxa"/>
          </w:tcPr>
          <w:p w14:paraId="71DC90B1" w14:textId="4D361B92" w:rsidR="00B325FE" w:rsidRPr="0067507D" w:rsidRDefault="00F61F1D" w:rsidP="00A721E2">
            <w:pPr>
              <w:pStyle w:val="Tabletextright"/>
              <w:spacing w:before="40" w:after="40"/>
            </w:pPr>
            <w:r w:rsidRPr="0067507D">
              <w:t>228</w:t>
            </w:r>
          </w:p>
        </w:tc>
        <w:tc>
          <w:tcPr>
            <w:tcW w:w="979" w:type="dxa"/>
            <w:shd w:val="clear" w:color="auto" w:fill="E0E0E0"/>
            <w:noWrap/>
          </w:tcPr>
          <w:p w14:paraId="35A7C6C5" w14:textId="2FCC8861" w:rsidR="00B325FE" w:rsidRPr="0067507D" w:rsidRDefault="00F61F1D" w:rsidP="00A721E2">
            <w:pPr>
              <w:pStyle w:val="Tabletextright"/>
              <w:spacing w:before="40" w:after="40"/>
            </w:pPr>
            <w:r w:rsidRPr="0067507D">
              <w:t>203</w:t>
            </w:r>
          </w:p>
        </w:tc>
        <w:tc>
          <w:tcPr>
            <w:tcW w:w="979" w:type="dxa"/>
            <w:shd w:val="clear" w:color="auto" w:fill="E0E0E0"/>
          </w:tcPr>
          <w:p w14:paraId="00813FC6" w14:textId="5498D0FF" w:rsidR="00B325FE" w:rsidRPr="0067507D" w:rsidRDefault="00F61F1D" w:rsidP="00A721E2">
            <w:pPr>
              <w:pStyle w:val="Tabletextright"/>
              <w:spacing w:before="40" w:after="40"/>
            </w:pPr>
            <w:r w:rsidRPr="0067507D">
              <w:t>8</w:t>
            </w:r>
          </w:p>
        </w:tc>
        <w:tc>
          <w:tcPr>
            <w:tcW w:w="778" w:type="dxa"/>
            <w:shd w:val="clear" w:color="auto" w:fill="E0E0E0"/>
          </w:tcPr>
          <w:p w14:paraId="797837FD" w14:textId="0596A5BA" w:rsidR="00B325FE" w:rsidRPr="0067507D" w:rsidRDefault="00F61F1D" w:rsidP="00A721E2">
            <w:pPr>
              <w:pStyle w:val="Tabletextright"/>
              <w:spacing w:before="40" w:after="40"/>
            </w:pPr>
            <w:r w:rsidRPr="0067507D">
              <w:t>209</w:t>
            </w:r>
          </w:p>
        </w:tc>
        <w:tc>
          <w:tcPr>
            <w:tcW w:w="1091" w:type="dxa"/>
          </w:tcPr>
          <w:p w14:paraId="1408D36F" w14:textId="7F6070F0" w:rsidR="00B325FE" w:rsidRPr="0067507D" w:rsidRDefault="00F61F1D" w:rsidP="00A721E2">
            <w:pPr>
              <w:pStyle w:val="Tabletextright"/>
              <w:spacing w:before="40" w:after="40"/>
            </w:pPr>
            <w:r w:rsidRPr="0067507D">
              <w:t>20</w:t>
            </w:r>
          </w:p>
        </w:tc>
        <w:tc>
          <w:tcPr>
            <w:tcW w:w="637" w:type="dxa"/>
          </w:tcPr>
          <w:p w14:paraId="31A40558" w14:textId="31D99303" w:rsidR="00B325FE" w:rsidRPr="0067507D" w:rsidRDefault="00F61F1D" w:rsidP="00A721E2">
            <w:pPr>
              <w:pStyle w:val="Tabletextright"/>
              <w:spacing w:before="40" w:after="40"/>
            </w:pPr>
            <w:r w:rsidRPr="0067507D">
              <w:t>19</w:t>
            </w:r>
          </w:p>
        </w:tc>
      </w:tr>
      <w:tr w:rsidR="00B325FE" w:rsidRPr="0067507D" w14:paraId="2076FAE8" w14:textId="77777777" w:rsidTr="00A721E2">
        <w:trPr>
          <w:cantSplit/>
        </w:trPr>
        <w:tc>
          <w:tcPr>
            <w:tcW w:w="1620" w:type="dxa"/>
          </w:tcPr>
          <w:p w14:paraId="1A878A5E" w14:textId="11CFA1A1" w:rsidR="00B325FE" w:rsidRPr="0067507D" w:rsidRDefault="00B325FE" w:rsidP="00A721E2">
            <w:pPr>
              <w:pStyle w:val="Tabletext"/>
              <w:spacing w:before="40" w:after="40"/>
            </w:pPr>
            <w:r w:rsidRPr="0067507D">
              <w:rPr>
                <w:rFonts w:cstheme="minorHAnsi"/>
              </w:rPr>
              <w:t>35</w:t>
            </w:r>
            <w:r w:rsidR="003A26E6" w:rsidRPr="0067507D">
              <w:rPr>
                <w:rFonts w:cstheme="minorHAnsi"/>
              </w:rPr>
              <w:t>–</w:t>
            </w:r>
            <w:r w:rsidRPr="0067507D">
              <w:rPr>
                <w:rFonts w:cstheme="minorHAnsi"/>
              </w:rPr>
              <w:t>44</w:t>
            </w:r>
          </w:p>
        </w:tc>
        <w:tc>
          <w:tcPr>
            <w:tcW w:w="932" w:type="dxa"/>
            <w:shd w:val="clear" w:color="auto" w:fill="E0E0E0"/>
          </w:tcPr>
          <w:p w14:paraId="5CD40ACB" w14:textId="7798B0DC" w:rsidR="00B325FE" w:rsidRPr="0067507D" w:rsidRDefault="00873F37" w:rsidP="00A721E2">
            <w:pPr>
              <w:pStyle w:val="Tabletextright"/>
              <w:spacing w:before="40" w:after="40"/>
            </w:pPr>
            <w:r w:rsidRPr="0067507D">
              <w:t>208</w:t>
            </w:r>
          </w:p>
        </w:tc>
        <w:tc>
          <w:tcPr>
            <w:tcW w:w="659" w:type="dxa"/>
            <w:shd w:val="clear" w:color="auto" w:fill="E0E0E0"/>
          </w:tcPr>
          <w:p w14:paraId="4DAEF4FF" w14:textId="3BAC64B9" w:rsidR="00B325FE" w:rsidRPr="0067507D" w:rsidRDefault="00873F37" w:rsidP="00A721E2">
            <w:pPr>
              <w:pStyle w:val="Tabletextright"/>
              <w:spacing w:before="40" w:after="40"/>
            </w:pPr>
            <w:r w:rsidRPr="0067507D">
              <w:t>198</w:t>
            </w:r>
          </w:p>
        </w:tc>
        <w:tc>
          <w:tcPr>
            <w:tcW w:w="979" w:type="dxa"/>
          </w:tcPr>
          <w:p w14:paraId="4BF9C004" w14:textId="3B53A2F4" w:rsidR="00B325FE" w:rsidRPr="0067507D" w:rsidRDefault="00873F37" w:rsidP="00A721E2">
            <w:pPr>
              <w:pStyle w:val="Tabletextright"/>
              <w:spacing w:before="40" w:after="40"/>
            </w:pPr>
            <w:r w:rsidRPr="0067507D">
              <w:t>158</w:t>
            </w:r>
          </w:p>
        </w:tc>
        <w:tc>
          <w:tcPr>
            <w:tcW w:w="979" w:type="dxa"/>
          </w:tcPr>
          <w:p w14:paraId="47482A13" w14:textId="02B9D85E" w:rsidR="00B325FE" w:rsidRPr="0067507D" w:rsidRDefault="00DC5609" w:rsidP="00A721E2">
            <w:pPr>
              <w:pStyle w:val="Tabletextright"/>
              <w:spacing w:before="40" w:after="40"/>
            </w:pPr>
            <w:r w:rsidRPr="0067507D">
              <w:t>36</w:t>
            </w:r>
          </w:p>
        </w:tc>
        <w:tc>
          <w:tcPr>
            <w:tcW w:w="778" w:type="dxa"/>
          </w:tcPr>
          <w:p w14:paraId="368305D3" w14:textId="6FECF3B7" w:rsidR="00B325FE" w:rsidRPr="0067507D" w:rsidRDefault="00873F37" w:rsidP="00A721E2">
            <w:pPr>
              <w:pStyle w:val="Tabletextright"/>
              <w:spacing w:before="40" w:after="40"/>
            </w:pPr>
            <w:r w:rsidRPr="0067507D">
              <w:t>184</w:t>
            </w:r>
          </w:p>
        </w:tc>
        <w:tc>
          <w:tcPr>
            <w:tcW w:w="999" w:type="dxa"/>
            <w:shd w:val="clear" w:color="auto" w:fill="E0E0E0"/>
          </w:tcPr>
          <w:p w14:paraId="5B835135" w14:textId="16C30D27" w:rsidR="00B325FE" w:rsidRPr="0067507D" w:rsidRDefault="00DC5609" w:rsidP="00A721E2">
            <w:pPr>
              <w:pStyle w:val="Tabletextright"/>
              <w:spacing w:before="40" w:after="40"/>
            </w:pPr>
            <w:r w:rsidRPr="0067507D">
              <w:t>14</w:t>
            </w:r>
          </w:p>
        </w:tc>
        <w:tc>
          <w:tcPr>
            <w:tcW w:w="729" w:type="dxa"/>
            <w:shd w:val="clear" w:color="auto" w:fill="E0E0E0"/>
          </w:tcPr>
          <w:p w14:paraId="57CF4B20" w14:textId="438A47E4" w:rsidR="00B325FE" w:rsidRPr="0067507D" w:rsidRDefault="00DC5609" w:rsidP="00A721E2">
            <w:pPr>
              <w:pStyle w:val="Tabletextright"/>
              <w:spacing w:before="40" w:after="40"/>
            </w:pPr>
            <w:r w:rsidRPr="0067507D">
              <w:t>14</w:t>
            </w:r>
          </w:p>
        </w:tc>
        <w:tc>
          <w:tcPr>
            <w:tcW w:w="1055" w:type="dxa"/>
            <w:noWrap/>
          </w:tcPr>
          <w:p w14:paraId="4681E18B" w14:textId="197784B7" w:rsidR="00B325FE" w:rsidRPr="0067507D" w:rsidRDefault="00F61F1D" w:rsidP="00A721E2">
            <w:pPr>
              <w:pStyle w:val="Tabletextright"/>
              <w:spacing w:before="40" w:after="40"/>
            </w:pPr>
            <w:r w:rsidRPr="0067507D">
              <w:t>202</w:t>
            </w:r>
          </w:p>
        </w:tc>
        <w:tc>
          <w:tcPr>
            <w:tcW w:w="673" w:type="dxa"/>
          </w:tcPr>
          <w:p w14:paraId="7FB65FF1" w14:textId="192B28A4" w:rsidR="00B325FE" w:rsidRPr="0067507D" w:rsidRDefault="00F61F1D" w:rsidP="00A721E2">
            <w:pPr>
              <w:pStyle w:val="Tabletextright"/>
              <w:spacing w:before="40" w:after="40"/>
            </w:pPr>
            <w:r w:rsidRPr="0067507D">
              <w:t>191</w:t>
            </w:r>
          </w:p>
        </w:tc>
        <w:tc>
          <w:tcPr>
            <w:tcW w:w="979" w:type="dxa"/>
            <w:shd w:val="clear" w:color="auto" w:fill="E0E0E0"/>
            <w:noWrap/>
          </w:tcPr>
          <w:p w14:paraId="128BA793" w14:textId="27C2CBFC" w:rsidR="00B325FE" w:rsidRPr="0067507D" w:rsidRDefault="00F61F1D" w:rsidP="00A721E2">
            <w:pPr>
              <w:pStyle w:val="Tabletextright"/>
              <w:spacing w:before="40" w:after="40"/>
            </w:pPr>
            <w:r w:rsidRPr="0067507D">
              <w:t>149</w:t>
            </w:r>
          </w:p>
        </w:tc>
        <w:tc>
          <w:tcPr>
            <w:tcW w:w="979" w:type="dxa"/>
            <w:shd w:val="clear" w:color="auto" w:fill="E0E0E0"/>
          </w:tcPr>
          <w:p w14:paraId="12A8722B" w14:textId="7718430F" w:rsidR="00B325FE" w:rsidRPr="0067507D" w:rsidRDefault="00F61F1D" w:rsidP="00A721E2">
            <w:pPr>
              <w:pStyle w:val="Tabletextright"/>
              <w:spacing w:before="40" w:after="40"/>
            </w:pPr>
            <w:r w:rsidRPr="0067507D">
              <w:t>39</w:t>
            </w:r>
          </w:p>
        </w:tc>
        <w:tc>
          <w:tcPr>
            <w:tcW w:w="778" w:type="dxa"/>
            <w:shd w:val="clear" w:color="auto" w:fill="E0E0E0"/>
          </w:tcPr>
          <w:p w14:paraId="6330A533" w14:textId="78D17F58" w:rsidR="00B325FE" w:rsidRPr="0067507D" w:rsidRDefault="00F61F1D" w:rsidP="00A721E2">
            <w:pPr>
              <w:pStyle w:val="Tabletextright"/>
              <w:spacing w:before="40" w:after="40"/>
            </w:pPr>
            <w:r w:rsidRPr="0067507D">
              <w:t>178</w:t>
            </w:r>
          </w:p>
        </w:tc>
        <w:tc>
          <w:tcPr>
            <w:tcW w:w="1091" w:type="dxa"/>
          </w:tcPr>
          <w:p w14:paraId="5C3E7D9A" w14:textId="180F5E90" w:rsidR="00B325FE" w:rsidRPr="0067507D" w:rsidRDefault="00F61F1D" w:rsidP="00A721E2">
            <w:pPr>
              <w:pStyle w:val="Tabletextright"/>
              <w:spacing w:before="40" w:after="40"/>
            </w:pPr>
            <w:r w:rsidRPr="0067507D">
              <w:t>14</w:t>
            </w:r>
          </w:p>
        </w:tc>
        <w:tc>
          <w:tcPr>
            <w:tcW w:w="637" w:type="dxa"/>
          </w:tcPr>
          <w:p w14:paraId="6465623F" w14:textId="20AB7D13" w:rsidR="00B325FE" w:rsidRPr="0067507D" w:rsidRDefault="00F61F1D" w:rsidP="00A721E2">
            <w:pPr>
              <w:pStyle w:val="Tabletextright"/>
              <w:spacing w:before="40" w:after="40"/>
            </w:pPr>
            <w:r w:rsidRPr="0067507D">
              <w:t>14</w:t>
            </w:r>
          </w:p>
        </w:tc>
      </w:tr>
      <w:tr w:rsidR="00B325FE" w:rsidRPr="0067507D" w14:paraId="78AD13AA" w14:textId="77777777" w:rsidTr="00A721E2">
        <w:trPr>
          <w:cantSplit/>
        </w:trPr>
        <w:tc>
          <w:tcPr>
            <w:tcW w:w="1620" w:type="dxa"/>
          </w:tcPr>
          <w:p w14:paraId="0F845EF7" w14:textId="5A5F6078" w:rsidR="00B325FE" w:rsidRPr="0067507D" w:rsidRDefault="00B325FE" w:rsidP="00A721E2">
            <w:pPr>
              <w:pStyle w:val="Tabletext"/>
              <w:spacing w:before="40" w:after="40"/>
            </w:pPr>
            <w:r w:rsidRPr="0067507D">
              <w:rPr>
                <w:rFonts w:cstheme="minorHAnsi"/>
              </w:rPr>
              <w:t>45</w:t>
            </w:r>
            <w:r w:rsidR="003A26E6" w:rsidRPr="0067507D">
              <w:rPr>
                <w:rFonts w:cstheme="minorHAnsi"/>
              </w:rPr>
              <w:t>–</w:t>
            </w:r>
            <w:r w:rsidRPr="0067507D">
              <w:rPr>
                <w:rFonts w:cstheme="minorHAnsi"/>
              </w:rPr>
              <w:t>54</w:t>
            </w:r>
          </w:p>
        </w:tc>
        <w:tc>
          <w:tcPr>
            <w:tcW w:w="932" w:type="dxa"/>
            <w:shd w:val="clear" w:color="auto" w:fill="E0E0E0"/>
          </w:tcPr>
          <w:p w14:paraId="643BE48C" w14:textId="0C066DD9" w:rsidR="00B325FE" w:rsidRPr="0067507D" w:rsidRDefault="00873F37" w:rsidP="00A721E2">
            <w:pPr>
              <w:pStyle w:val="Tabletextright"/>
              <w:spacing w:before="40" w:after="40"/>
            </w:pPr>
            <w:r w:rsidRPr="0067507D">
              <w:t>133</w:t>
            </w:r>
          </w:p>
        </w:tc>
        <w:tc>
          <w:tcPr>
            <w:tcW w:w="659" w:type="dxa"/>
            <w:shd w:val="clear" w:color="auto" w:fill="E0E0E0"/>
          </w:tcPr>
          <w:p w14:paraId="68BBBF40" w14:textId="3645F3BF" w:rsidR="00B325FE" w:rsidRPr="0067507D" w:rsidRDefault="00873F37" w:rsidP="00A721E2">
            <w:pPr>
              <w:pStyle w:val="Tabletextright"/>
              <w:spacing w:before="40" w:after="40"/>
            </w:pPr>
            <w:r w:rsidRPr="0067507D">
              <w:t>126</w:t>
            </w:r>
          </w:p>
        </w:tc>
        <w:tc>
          <w:tcPr>
            <w:tcW w:w="979" w:type="dxa"/>
          </w:tcPr>
          <w:p w14:paraId="05A4E5C7" w14:textId="2FCB3E9B" w:rsidR="00B325FE" w:rsidRPr="0067507D" w:rsidRDefault="00873F37" w:rsidP="00A721E2">
            <w:pPr>
              <w:pStyle w:val="Tabletextright"/>
              <w:spacing w:before="40" w:after="40"/>
            </w:pPr>
            <w:r w:rsidRPr="0067507D">
              <w:t>97</w:t>
            </w:r>
          </w:p>
        </w:tc>
        <w:tc>
          <w:tcPr>
            <w:tcW w:w="979" w:type="dxa"/>
          </w:tcPr>
          <w:p w14:paraId="220FA982" w14:textId="24EA5339" w:rsidR="00B325FE" w:rsidRPr="0067507D" w:rsidRDefault="00DC5609" w:rsidP="00A721E2">
            <w:pPr>
              <w:pStyle w:val="Tabletextright"/>
              <w:spacing w:before="40" w:after="40"/>
            </w:pPr>
            <w:r w:rsidRPr="0067507D">
              <w:t>25</w:t>
            </w:r>
          </w:p>
        </w:tc>
        <w:tc>
          <w:tcPr>
            <w:tcW w:w="778" w:type="dxa"/>
          </w:tcPr>
          <w:p w14:paraId="4DE6AC21" w14:textId="0540DFB6" w:rsidR="00B325FE" w:rsidRPr="0067507D" w:rsidRDefault="00873F37" w:rsidP="00A721E2">
            <w:pPr>
              <w:pStyle w:val="Tabletextright"/>
              <w:spacing w:before="40" w:after="40"/>
            </w:pPr>
            <w:r w:rsidRPr="0067507D">
              <w:t>116</w:t>
            </w:r>
          </w:p>
        </w:tc>
        <w:tc>
          <w:tcPr>
            <w:tcW w:w="999" w:type="dxa"/>
            <w:shd w:val="clear" w:color="auto" w:fill="E0E0E0"/>
          </w:tcPr>
          <w:p w14:paraId="256647E7" w14:textId="4BBB75B4" w:rsidR="00B325FE" w:rsidRPr="0067507D" w:rsidRDefault="00DC5609" w:rsidP="00A721E2">
            <w:pPr>
              <w:pStyle w:val="Tabletextright"/>
              <w:spacing w:before="40" w:after="40"/>
            </w:pPr>
            <w:r w:rsidRPr="0067507D">
              <w:t>11</w:t>
            </w:r>
          </w:p>
        </w:tc>
        <w:tc>
          <w:tcPr>
            <w:tcW w:w="729" w:type="dxa"/>
            <w:shd w:val="clear" w:color="auto" w:fill="E0E0E0"/>
          </w:tcPr>
          <w:p w14:paraId="5FE1418E" w14:textId="082A3037" w:rsidR="00B325FE" w:rsidRPr="0067507D" w:rsidRDefault="00DC5609" w:rsidP="00A721E2">
            <w:pPr>
              <w:pStyle w:val="Tabletextright"/>
              <w:spacing w:before="40" w:after="40"/>
            </w:pPr>
            <w:r w:rsidRPr="0067507D">
              <w:t>10</w:t>
            </w:r>
          </w:p>
        </w:tc>
        <w:tc>
          <w:tcPr>
            <w:tcW w:w="1055" w:type="dxa"/>
            <w:noWrap/>
          </w:tcPr>
          <w:p w14:paraId="5F9CE037" w14:textId="7224A220" w:rsidR="00B325FE" w:rsidRPr="0067507D" w:rsidRDefault="00F61F1D" w:rsidP="00A721E2">
            <w:pPr>
              <w:pStyle w:val="Tabletextright"/>
              <w:spacing w:before="40" w:after="40"/>
            </w:pPr>
            <w:r w:rsidRPr="0067507D">
              <w:t>124</w:t>
            </w:r>
          </w:p>
        </w:tc>
        <w:tc>
          <w:tcPr>
            <w:tcW w:w="673" w:type="dxa"/>
          </w:tcPr>
          <w:p w14:paraId="205292F2" w14:textId="026C9173" w:rsidR="00B325FE" w:rsidRPr="0067507D" w:rsidRDefault="00F61F1D" w:rsidP="00A721E2">
            <w:pPr>
              <w:pStyle w:val="Tabletextright"/>
              <w:spacing w:before="40" w:after="40"/>
            </w:pPr>
            <w:r w:rsidRPr="0067507D">
              <w:t>118</w:t>
            </w:r>
          </w:p>
        </w:tc>
        <w:tc>
          <w:tcPr>
            <w:tcW w:w="979" w:type="dxa"/>
            <w:shd w:val="clear" w:color="auto" w:fill="E0E0E0"/>
            <w:noWrap/>
          </w:tcPr>
          <w:p w14:paraId="1ADC1626" w14:textId="1A14AAF1" w:rsidR="00B325FE" w:rsidRPr="0067507D" w:rsidRDefault="00F61F1D" w:rsidP="00A721E2">
            <w:pPr>
              <w:pStyle w:val="Tabletextright"/>
              <w:spacing w:before="40" w:after="40"/>
            </w:pPr>
            <w:r w:rsidRPr="0067507D">
              <w:t>98</w:t>
            </w:r>
          </w:p>
        </w:tc>
        <w:tc>
          <w:tcPr>
            <w:tcW w:w="979" w:type="dxa"/>
            <w:shd w:val="clear" w:color="auto" w:fill="E0E0E0"/>
          </w:tcPr>
          <w:p w14:paraId="084A672E" w14:textId="25EEA1F1" w:rsidR="00B325FE" w:rsidRPr="0067507D" w:rsidRDefault="00F61F1D" w:rsidP="00A721E2">
            <w:pPr>
              <w:pStyle w:val="Tabletextright"/>
              <w:spacing w:before="40" w:after="40"/>
            </w:pPr>
            <w:r w:rsidRPr="0067507D">
              <w:t>20</w:t>
            </w:r>
          </w:p>
        </w:tc>
        <w:tc>
          <w:tcPr>
            <w:tcW w:w="778" w:type="dxa"/>
            <w:shd w:val="clear" w:color="auto" w:fill="E0E0E0"/>
          </w:tcPr>
          <w:p w14:paraId="29650C1B" w14:textId="4EC7627B" w:rsidR="00B325FE" w:rsidRPr="0067507D" w:rsidRDefault="00F61F1D" w:rsidP="00A721E2">
            <w:pPr>
              <w:pStyle w:val="Tabletextright"/>
              <w:spacing w:before="40" w:after="40"/>
            </w:pPr>
            <w:r w:rsidRPr="0067507D">
              <w:t>113</w:t>
            </w:r>
          </w:p>
        </w:tc>
        <w:tc>
          <w:tcPr>
            <w:tcW w:w="1091" w:type="dxa"/>
          </w:tcPr>
          <w:p w14:paraId="248E2AB9" w14:textId="5219F0E8" w:rsidR="00B325FE" w:rsidRPr="0067507D" w:rsidRDefault="00F61F1D" w:rsidP="00A721E2">
            <w:pPr>
              <w:pStyle w:val="Tabletextright"/>
              <w:spacing w:before="40" w:after="40"/>
            </w:pPr>
            <w:r w:rsidRPr="0067507D">
              <w:t>6</w:t>
            </w:r>
          </w:p>
        </w:tc>
        <w:tc>
          <w:tcPr>
            <w:tcW w:w="637" w:type="dxa"/>
          </w:tcPr>
          <w:p w14:paraId="7D09B68C" w14:textId="483BE785" w:rsidR="00B325FE" w:rsidRPr="0067507D" w:rsidRDefault="00F61F1D" w:rsidP="00A721E2">
            <w:pPr>
              <w:pStyle w:val="Tabletextright"/>
              <w:spacing w:before="40" w:after="40"/>
            </w:pPr>
            <w:r w:rsidRPr="0067507D">
              <w:t>4</w:t>
            </w:r>
          </w:p>
        </w:tc>
      </w:tr>
      <w:tr w:rsidR="00B325FE" w:rsidRPr="0067507D" w14:paraId="55A40999" w14:textId="77777777" w:rsidTr="00A721E2">
        <w:trPr>
          <w:cantSplit/>
        </w:trPr>
        <w:tc>
          <w:tcPr>
            <w:tcW w:w="1620" w:type="dxa"/>
          </w:tcPr>
          <w:p w14:paraId="22D855DF" w14:textId="077C5CD8" w:rsidR="00B325FE" w:rsidRPr="0067507D" w:rsidRDefault="00B325FE" w:rsidP="00A721E2">
            <w:pPr>
              <w:pStyle w:val="Tabletext"/>
              <w:spacing w:before="40" w:after="40"/>
            </w:pPr>
            <w:r w:rsidRPr="0067507D">
              <w:rPr>
                <w:rFonts w:cstheme="minorHAnsi"/>
              </w:rPr>
              <w:t>55</w:t>
            </w:r>
            <w:r w:rsidR="003A26E6" w:rsidRPr="0067507D">
              <w:rPr>
                <w:rFonts w:cstheme="minorHAnsi"/>
              </w:rPr>
              <w:t>–</w:t>
            </w:r>
            <w:r w:rsidRPr="0067507D">
              <w:rPr>
                <w:rFonts w:cstheme="minorHAnsi"/>
              </w:rPr>
              <w:t>64</w:t>
            </w:r>
          </w:p>
        </w:tc>
        <w:tc>
          <w:tcPr>
            <w:tcW w:w="932" w:type="dxa"/>
            <w:shd w:val="clear" w:color="auto" w:fill="E0E0E0"/>
          </w:tcPr>
          <w:p w14:paraId="60632241" w14:textId="699733A0" w:rsidR="00B325FE" w:rsidRPr="0067507D" w:rsidRDefault="00873F37" w:rsidP="00A721E2">
            <w:pPr>
              <w:pStyle w:val="Tabletextright"/>
              <w:spacing w:before="40" w:after="40"/>
            </w:pPr>
            <w:r w:rsidRPr="0067507D">
              <w:t>48</w:t>
            </w:r>
          </w:p>
        </w:tc>
        <w:tc>
          <w:tcPr>
            <w:tcW w:w="659" w:type="dxa"/>
            <w:shd w:val="clear" w:color="auto" w:fill="E0E0E0"/>
          </w:tcPr>
          <w:p w14:paraId="5625F413" w14:textId="07D49E48" w:rsidR="00B325FE" w:rsidRPr="0067507D" w:rsidRDefault="00873F37" w:rsidP="00A721E2">
            <w:pPr>
              <w:pStyle w:val="Tabletextright"/>
              <w:spacing w:before="40" w:after="40"/>
            </w:pPr>
            <w:r w:rsidRPr="0067507D">
              <w:t>47</w:t>
            </w:r>
          </w:p>
        </w:tc>
        <w:tc>
          <w:tcPr>
            <w:tcW w:w="979" w:type="dxa"/>
          </w:tcPr>
          <w:p w14:paraId="09115C4A" w14:textId="6ED49AE7" w:rsidR="00B325FE" w:rsidRPr="0067507D" w:rsidRDefault="00873F37" w:rsidP="00A721E2">
            <w:pPr>
              <w:pStyle w:val="Tabletextright"/>
              <w:spacing w:before="40" w:after="40"/>
            </w:pPr>
            <w:r w:rsidRPr="0067507D">
              <w:t>43</w:t>
            </w:r>
          </w:p>
        </w:tc>
        <w:tc>
          <w:tcPr>
            <w:tcW w:w="979" w:type="dxa"/>
          </w:tcPr>
          <w:p w14:paraId="7A0E3F1F" w14:textId="6A3AC2EC" w:rsidR="00B325FE" w:rsidRPr="0067507D" w:rsidRDefault="00DC5609" w:rsidP="00A721E2">
            <w:pPr>
              <w:pStyle w:val="Tabletextright"/>
              <w:spacing w:before="40" w:after="40"/>
            </w:pPr>
            <w:r w:rsidRPr="0067507D">
              <w:t>3</w:t>
            </w:r>
          </w:p>
        </w:tc>
        <w:tc>
          <w:tcPr>
            <w:tcW w:w="778" w:type="dxa"/>
          </w:tcPr>
          <w:p w14:paraId="0F9889F7" w14:textId="2DEA8685" w:rsidR="00B325FE" w:rsidRPr="0067507D" w:rsidRDefault="00873F37" w:rsidP="00A721E2">
            <w:pPr>
              <w:pStyle w:val="Tabletextright"/>
              <w:spacing w:before="40" w:after="40"/>
            </w:pPr>
            <w:r w:rsidRPr="0067507D">
              <w:t>45</w:t>
            </w:r>
          </w:p>
        </w:tc>
        <w:tc>
          <w:tcPr>
            <w:tcW w:w="999" w:type="dxa"/>
            <w:shd w:val="clear" w:color="auto" w:fill="E0E0E0"/>
          </w:tcPr>
          <w:p w14:paraId="69F18C63" w14:textId="7E7ABCAF" w:rsidR="00B325FE" w:rsidRPr="0067507D" w:rsidRDefault="00DC5609" w:rsidP="00A721E2">
            <w:pPr>
              <w:pStyle w:val="Tabletextright"/>
              <w:spacing w:before="40" w:after="40"/>
            </w:pPr>
            <w:r w:rsidRPr="0067507D">
              <w:t>2</w:t>
            </w:r>
          </w:p>
        </w:tc>
        <w:tc>
          <w:tcPr>
            <w:tcW w:w="729" w:type="dxa"/>
            <w:shd w:val="clear" w:color="auto" w:fill="E0E0E0"/>
          </w:tcPr>
          <w:p w14:paraId="72A3B2FD" w14:textId="7A26B3BE" w:rsidR="00B325FE" w:rsidRPr="0067507D" w:rsidRDefault="00DC5609" w:rsidP="00A721E2">
            <w:pPr>
              <w:pStyle w:val="Tabletextright"/>
              <w:spacing w:before="40" w:after="40"/>
            </w:pPr>
            <w:r w:rsidRPr="0067507D">
              <w:t>2</w:t>
            </w:r>
          </w:p>
        </w:tc>
        <w:tc>
          <w:tcPr>
            <w:tcW w:w="1055" w:type="dxa"/>
            <w:noWrap/>
          </w:tcPr>
          <w:p w14:paraId="0D168BE0" w14:textId="7E5CDB61" w:rsidR="00B325FE" w:rsidRPr="0067507D" w:rsidRDefault="00F61F1D" w:rsidP="00A721E2">
            <w:pPr>
              <w:pStyle w:val="Tabletextright"/>
              <w:spacing w:before="40" w:after="40"/>
            </w:pPr>
            <w:r w:rsidRPr="0067507D">
              <w:t>48</w:t>
            </w:r>
          </w:p>
        </w:tc>
        <w:tc>
          <w:tcPr>
            <w:tcW w:w="673" w:type="dxa"/>
          </w:tcPr>
          <w:p w14:paraId="3500BC82" w14:textId="4B5926FA" w:rsidR="00B325FE" w:rsidRPr="0067507D" w:rsidRDefault="00F61F1D" w:rsidP="00A721E2">
            <w:pPr>
              <w:pStyle w:val="Tabletextright"/>
              <w:spacing w:before="40" w:after="40"/>
            </w:pPr>
            <w:r w:rsidRPr="0067507D">
              <w:t>47</w:t>
            </w:r>
          </w:p>
        </w:tc>
        <w:tc>
          <w:tcPr>
            <w:tcW w:w="979" w:type="dxa"/>
            <w:shd w:val="clear" w:color="auto" w:fill="E0E0E0"/>
            <w:noWrap/>
          </w:tcPr>
          <w:p w14:paraId="784CA08A" w14:textId="36391FB6" w:rsidR="00B325FE" w:rsidRPr="0067507D" w:rsidRDefault="00F61F1D" w:rsidP="00A721E2">
            <w:pPr>
              <w:pStyle w:val="Tabletextright"/>
              <w:spacing w:before="40" w:after="40"/>
            </w:pPr>
            <w:r w:rsidRPr="0067507D">
              <w:t>45</w:t>
            </w:r>
          </w:p>
        </w:tc>
        <w:tc>
          <w:tcPr>
            <w:tcW w:w="979" w:type="dxa"/>
            <w:shd w:val="clear" w:color="auto" w:fill="E0E0E0"/>
          </w:tcPr>
          <w:p w14:paraId="2EB7BBC1" w14:textId="48824941" w:rsidR="00B325FE" w:rsidRPr="0067507D" w:rsidRDefault="00F61F1D" w:rsidP="00A721E2">
            <w:pPr>
              <w:pStyle w:val="Tabletextright"/>
              <w:spacing w:before="40" w:after="40"/>
            </w:pPr>
            <w:r w:rsidRPr="0067507D">
              <w:t>2</w:t>
            </w:r>
          </w:p>
        </w:tc>
        <w:tc>
          <w:tcPr>
            <w:tcW w:w="778" w:type="dxa"/>
            <w:shd w:val="clear" w:color="auto" w:fill="E0E0E0"/>
          </w:tcPr>
          <w:p w14:paraId="59AAAB0F" w14:textId="49412F09" w:rsidR="00B325FE" w:rsidRPr="0067507D" w:rsidRDefault="00F61F1D" w:rsidP="00A721E2">
            <w:pPr>
              <w:pStyle w:val="Tabletextright"/>
              <w:spacing w:before="40" w:after="40"/>
            </w:pPr>
            <w:r w:rsidRPr="0067507D">
              <w:t>46</w:t>
            </w:r>
          </w:p>
        </w:tc>
        <w:tc>
          <w:tcPr>
            <w:tcW w:w="1091" w:type="dxa"/>
          </w:tcPr>
          <w:p w14:paraId="03715763" w14:textId="64B63FBD" w:rsidR="00B325FE" w:rsidRPr="0067507D" w:rsidRDefault="00F61F1D" w:rsidP="00A721E2">
            <w:pPr>
              <w:pStyle w:val="Tabletextright"/>
              <w:spacing w:before="40" w:after="40"/>
            </w:pPr>
            <w:r w:rsidRPr="0067507D">
              <w:t>1</w:t>
            </w:r>
          </w:p>
        </w:tc>
        <w:tc>
          <w:tcPr>
            <w:tcW w:w="637" w:type="dxa"/>
          </w:tcPr>
          <w:p w14:paraId="2E322AE3" w14:textId="3EB81CD6" w:rsidR="00B325FE" w:rsidRPr="0067507D" w:rsidRDefault="00F61F1D" w:rsidP="00A721E2">
            <w:pPr>
              <w:pStyle w:val="Tabletextright"/>
              <w:spacing w:before="40" w:after="40"/>
            </w:pPr>
            <w:r w:rsidRPr="0067507D">
              <w:t>1</w:t>
            </w:r>
          </w:p>
        </w:tc>
      </w:tr>
      <w:tr w:rsidR="00B325FE" w:rsidRPr="0067507D" w14:paraId="72F2D816" w14:textId="77777777" w:rsidTr="00A721E2">
        <w:trPr>
          <w:cantSplit/>
        </w:trPr>
        <w:tc>
          <w:tcPr>
            <w:tcW w:w="1620" w:type="dxa"/>
          </w:tcPr>
          <w:p w14:paraId="11112932" w14:textId="77777777" w:rsidR="00B325FE" w:rsidRPr="0067507D" w:rsidRDefault="00B325FE" w:rsidP="00A721E2">
            <w:pPr>
              <w:pStyle w:val="Tabletext"/>
              <w:spacing w:before="40" w:after="40"/>
            </w:pPr>
            <w:r w:rsidRPr="0067507D">
              <w:rPr>
                <w:rFonts w:cstheme="minorHAnsi"/>
              </w:rPr>
              <w:t>65+</w:t>
            </w:r>
          </w:p>
        </w:tc>
        <w:tc>
          <w:tcPr>
            <w:tcW w:w="932" w:type="dxa"/>
            <w:shd w:val="clear" w:color="auto" w:fill="E0E0E0"/>
          </w:tcPr>
          <w:p w14:paraId="5A662B3E" w14:textId="2932DC68" w:rsidR="00B325FE" w:rsidRPr="0067507D" w:rsidRDefault="00DC5609" w:rsidP="00A721E2">
            <w:pPr>
              <w:pStyle w:val="Tabletextright"/>
              <w:spacing w:before="40" w:after="40"/>
            </w:pPr>
            <w:r w:rsidRPr="0067507D">
              <w:t>11</w:t>
            </w:r>
          </w:p>
        </w:tc>
        <w:tc>
          <w:tcPr>
            <w:tcW w:w="659" w:type="dxa"/>
            <w:shd w:val="clear" w:color="auto" w:fill="E0E0E0"/>
          </w:tcPr>
          <w:p w14:paraId="1C95DFB0" w14:textId="34B866AB" w:rsidR="00B325FE" w:rsidRPr="0067507D" w:rsidRDefault="00DC5609" w:rsidP="00A721E2">
            <w:pPr>
              <w:pStyle w:val="Tabletextright"/>
              <w:spacing w:before="40" w:after="40"/>
            </w:pPr>
            <w:r w:rsidRPr="0067507D">
              <w:t>10</w:t>
            </w:r>
          </w:p>
        </w:tc>
        <w:tc>
          <w:tcPr>
            <w:tcW w:w="979" w:type="dxa"/>
          </w:tcPr>
          <w:p w14:paraId="3CB32793" w14:textId="50FE111D" w:rsidR="00B325FE" w:rsidRPr="0067507D" w:rsidRDefault="00DC5609" w:rsidP="00A721E2">
            <w:pPr>
              <w:pStyle w:val="Tabletextright"/>
              <w:spacing w:before="40" w:after="40"/>
            </w:pPr>
            <w:r w:rsidRPr="0067507D">
              <w:t>7</w:t>
            </w:r>
          </w:p>
        </w:tc>
        <w:tc>
          <w:tcPr>
            <w:tcW w:w="979" w:type="dxa"/>
          </w:tcPr>
          <w:p w14:paraId="4001F490" w14:textId="5A1EB165" w:rsidR="00B325FE" w:rsidRPr="0067507D" w:rsidRDefault="00DC5609" w:rsidP="00A721E2">
            <w:pPr>
              <w:pStyle w:val="Tabletextright"/>
              <w:spacing w:before="40" w:after="40"/>
            </w:pPr>
            <w:r w:rsidRPr="0067507D">
              <w:t>2</w:t>
            </w:r>
          </w:p>
        </w:tc>
        <w:tc>
          <w:tcPr>
            <w:tcW w:w="778" w:type="dxa"/>
          </w:tcPr>
          <w:p w14:paraId="26102110" w14:textId="1731844B" w:rsidR="00B325FE" w:rsidRPr="0067507D" w:rsidRDefault="00DC5609" w:rsidP="00A721E2">
            <w:pPr>
              <w:pStyle w:val="Tabletextright"/>
              <w:spacing w:before="40" w:after="40"/>
            </w:pPr>
            <w:r w:rsidRPr="0067507D">
              <w:t>8</w:t>
            </w:r>
          </w:p>
        </w:tc>
        <w:tc>
          <w:tcPr>
            <w:tcW w:w="999" w:type="dxa"/>
            <w:shd w:val="clear" w:color="auto" w:fill="E0E0E0"/>
          </w:tcPr>
          <w:p w14:paraId="53D13A1A" w14:textId="43FCDA48" w:rsidR="00B325FE" w:rsidRPr="0067507D" w:rsidRDefault="00DC5609" w:rsidP="00A721E2">
            <w:pPr>
              <w:pStyle w:val="Tabletextright"/>
              <w:spacing w:before="40" w:after="40"/>
            </w:pPr>
            <w:r w:rsidRPr="0067507D">
              <w:t>2</w:t>
            </w:r>
          </w:p>
        </w:tc>
        <w:tc>
          <w:tcPr>
            <w:tcW w:w="729" w:type="dxa"/>
            <w:shd w:val="clear" w:color="auto" w:fill="E0E0E0"/>
          </w:tcPr>
          <w:p w14:paraId="1CAEE8BD" w14:textId="2715E499" w:rsidR="00B325FE" w:rsidRPr="0067507D" w:rsidRDefault="00DC5609" w:rsidP="00A721E2">
            <w:pPr>
              <w:pStyle w:val="Tabletextright"/>
              <w:spacing w:before="40" w:after="40"/>
            </w:pPr>
            <w:r w:rsidRPr="0067507D">
              <w:t>1</w:t>
            </w:r>
          </w:p>
        </w:tc>
        <w:tc>
          <w:tcPr>
            <w:tcW w:w="1055" w:type="dxa"/>
            <w:noWrap/>
          </w:tcPr>
          <w:p w14:paraId="7D2366B5" w14:textId="04449C38" w:rsidR="00B325FE" w:rsidRPr="0067507D" w:rsidRDefault="00F61F1D" w:rsidP="00A721E2">
            <w:pPr>
              <w:pStyle w:val="Tabletextright"/>
              <w:spacing w:before="40" w:after="40"/>
            </w:pPr>
            <w:r w:rsidRPr="0067507D">
              <w:t>9</w:t>
            </w:r>
          </w:p>
        </w:tc>
        <w:tc>
          <w:tcPr>
            <w:tcW w:w="673" w:type="dxa"/>
          </w:tcPr>
          <w:p w14:paraId="52283BF8" w14:textId="5729CA0A" w:rsidR="00B325FE" w:rsidRPr="0067507D" w:rsidRDefault="00F61F1D" w:rsidP="00A721E2">
            <w:pPr>
              <w:pStyle w:val="Tabletextright"/>
              <w:spacing w:before="40" w:after="40"/>
            </w:pPr>
            <w:r w:rsidRPr="0067507D">
              <w:t>8</w:t>
            </w:r>
          </w:p>
        </w:tc>
        <w:tc>
          <w:tcPr>
            <w:tcW w:w="979" w:type="dxa"/>
            <w:shd w:val="clear" w:color="auto" w:fill="E0E0E0"/>
            <w:noWrap/>
          </w:tcPr>
          <w:p w14:paraId="6C9169A4" w14:textId="7938B639" w:rsidR="00B325FE" w:rsidRPr="0067507D" w:rsidRDefault="00F61F1D" w:rsidP="00A721E2">
            <w:pPr>
              <w:pStyle w:val="Tabletextright"/>
              <w:spacing w:before="40" w:after="40"/>
            </w:pPr>
            <w:r w:rsidRPr="0067507D">
              <w:t>7</w:t>
            </w:r>
          </w:p>
        </w:tc>
        <w:tc>
          <w:tcPr>
            <w:tcW w:w="979" w:type="dxa"/>
            <w:shd w:val="clear" w:color="auto" w:fill="E0E0E0"/>
          </w:tcPr>
          <w:p w14:paraId="218E9C89" w14:textId="0FB3ABAF" w:rsidR="00B325FE" w:rsidRPr="0067507D" w:rsidRDefault="00F61F1D" w:rsidP="00A721E2">
            <w:pPr>
              <w:pStyle w:val="Tabletextright"/>
              <w:spacing w:before="40" w:after="40"/>
            </w:pPr>
            <w:r w:rsidRPr="0067507D">
              <w:t>1</w:t>
            </w:r>
          </w:p>
        </w:tc>
        <w:tc>
          <w:tcPr>
            <w:tcW w:w="778" w:type="dxa"/>
            <w:shd w:val="clear" w:color="auto" w:fill="E0E0E0"/>
          </w:tcPr>
          <w:p w14:paraId="7717F33B" w14:textId="7ACE1F87" w:rsidR="00B325FE" w:rsidRPr="0067507D" w:rsidRDefault="00F61F1D" w:rsidP="00A721E2">
            <w:pPr>
              <w:pStyle w:val="Tabletextright"/>
              <w:spacing w:before="40" w:after="40"/>
            </w:pPr>
            <w:r w:rsidRPr="0067507D">
              <w:t>8</w:t>
            </w:r>
          </w:p>
        </w:tc>
        <w:tc>
          <w:tcPr>
            <w:tcW w:w="1091" w:type="dxa"/>
          </w:tcPr>
          <w:p w14:paraId="6CDB18DD" w14:textId="509C7EC5" w:rsidR="00B325FE" w:rsidRPr="0067507D" w:rsidRDefault="00F61F1D" w:rsidP="00A721E2">
            <w:pPr>
              <w:pStyle w:val="Tabletextright"/>
              <w:spacing w:before="40" w:after="40"/>
            </w:pPr>
            <w:r w:rsidRPr="0067507D">
              <w:t>1</w:t>
            </w:r>
          </w:p>
        </w:tc>
        <w:tc>
          <w:tcPr>
            <w:tcW w:w="637" w:type="dxa"/>
          </w:tcPr>
          <w:p w14:paraId="2C55CEFF" w14:textId="1EB827CE" w:rsidR="00B325FE" w:rsidRPr="0067507D" w:rsidRDefault="00F61F1D" w:rsidP="00A721E2">
            <w:pPr>
              <w:pStyle w:val="Tabletextright"/>
              <w:spacing w:before="40" w:after="40"/>
            </w:pPr>
            <w:r w:rsidRPr="0067507D">
              <w:t>–</w:t>
            </w:r>
          </w:p>
        </w:tc>
      </w:tr>
      <w:tr w:rsidR="00B325FE" w:rsidRPr="0067507D" w14:paraId="4C72AB7E" w14:textId="77777777" w:rsidTr="00A721E2">
        <w:trPr>
          <w:cantSplit/>
        </w:trPr>
        <w:tc>
          <w:tcPr>
            <w:tcW w:w="1620" w:type="dxa"/>
          </w:tcPr>
          <w:p w14:paraId="6958C0D2" w14:textId="77777777" w:rsidR="00B325FE" w:rsidRPr="0067507D" w:rsidRDefault="00B325FE" w:rsidP="00A721E2">
            <w:pPr>
              <w:pStyle w:val="Tabletext"/>
              <w:spacing w:before="20" w:after="20"/>
              <w:rPr>
                <w:sz w:val="4"/>
              </w:rPr>
            </w:pPr>
          </w:p>
        </w:tc>
        <w:tc>
          <w:tcPr>
            <w:tcW w:w="932" w:type="dxa"/>
            <w:shd w:val="clear" w:color="auto" w:fill="E0E0E0"/>
          </w:tcPr>
          <w:p w14:paraId="0CEA29CF" w14:textId="77777777" w:rsidR="00B325FE" w:rsidRPr="0067507D" w:rsidRDefault="00B325FE" w:rsidP="00A721E2">
            <w:pPr>
              <w:pStyle w:val="Tabletextright"/>
              <w:spacing w:before="20" w:after="20"/>
              <w:rPr>
                <w:rFonts w:cstheme="minorHAnsi"/>
                <w:sz w:val="4"/>
              </w:rPr>
            </w:pPr>
          </w:p>
        </w:tc>
        <w:tc>
          <w:tcPr>
            <w:tcW w:w="659" w:type="dxa"/>
            <w:shd w:val="clear" w:color="auto" w:fill="E0E0E0"/>
          </w:tcPr>
          <w:p w14:paraId="0E52A4CC" w14:textId="77777777" w:rsidR="00B325FE" w:rsidRPr="0067507D" w:rsidRDefault="00B325FE" w:rsidP="00A721E2">
            <w:pPr>
              <w:pStyle w:val="Tabletextright"/>
              <w:spacing w:before="20" w:after="20"/>
              <w:rPr>
                <w:rFonts w:cstheme="minorHAnsi"/>
                <w:sz w:val="4"/>
              </w:rPr>
            </w:pPr>
          </w:p>
        </w:tc>
        <w:tc>
          <w:tcPr>
            <w:tcW w:w="979" w:type="dxa"/>
          </w:tcPr>
          <w:p w14:paraId="1388DB3D" w14:textId="77777777" w:rsidR="00B325FE" w:rsidRPr="0067507D" w:rsidRDefault="00B325FE" w:rsidP="00A721E2">
            <w:pPr>
              <w:pStyle w:val="Tabletextright"/>
              <w:spacing w:before="20" w:after="20"/>
              <w:rPr>
                <w:rFonts w:cstheme="minorHAnsi"/>
                <w:sz w:val="4"/>
              </w:rPr>
            </w:pPr>
          </w:p>
        </w:tc>
        <w:tc>
          <w:tcPr>
            <w:tcW w:w="979" w:type="dxa"/>
          </w:tcPr>
          <w:p w14:paraId="044F5E53" w14:textId="77777777" w:rsidR="00B325FE" w:rsidRPr="0067507D" w:rsidRDefault="00B325FE" w:rsidP="00A721E2">
            <w:pPr>
              <w:pStyle w:val="Tabletextright"/>
              <w:spacing w:before="20" w:after="20"/>
              <w:rPr>
                <w:sz w:val="4"/>
              </w:rPr>
            </w:pPr>
          </w:p>
        </w:tc>
        <w:tc>
          <w:tcPr>
            <w:tcW w:w="778" w:type="dxa"/>
          </w:tcPr>
          <w:p w14:paraId="73E23B3D" w14:textId="77777777" w:rsidR="00B325FE" w:rsidRPr="0067507D" w:rsidRDefault="00B325FE" w:rsidP="00A721E2">
            <w:pPr>
              <w:pStyle w:val="Tabletextright"/>
              <w:spacing w:before="20" w:after="20"/>
              <w:rPr>
                <w:sz w:val="4"/>
              </w:rPr>
            </w:pPr>
          </w:p>
        </w:tc>
        <w:tc>
          <w:tcPr>
            <w:tcW w:w="999" w:type="dxa"/>
            <w:shd w:val="clear" w:color="auto" w:fill="E0E0E0"/>
          </w:tcPr>
          <w:p w14:paraId="49078FFE" w14:textId="77777777" w:rsidR="00B325FE" w:rsidRPr="0067507D" w:rsidRDefault="00B325FE" w:rsidP="00A721E2">
            <w:pPr>
              <w:pStyle w:val="Tabletextright"/>
              <w:spacing w:before="20" w:after="20"/>
              <w:rPr>
                <w:sz w:val="4"/>
              </w:rPr>
            </w:pPr>
          </w:p>
        </w:tc>
        <w:tc>
          <w:tcPr>
            <w:tcW w:w="729" w:type="dxa"/>
            <w:shd w:val="clear" w:color="auto" w:fill="E0E0E0"/>
          </w:tcPr>
          <w:p w14:paraId="422BCE6D" w14:textId="77777777" w:rsidR="00B325FE" w:rsidRPr="0067507D" w:rsidRDefault="00B325FE" w:rsidP="00A721E2">
            <w:pPr>
              <w:pStyle w:val="Tabletextright"/>
              <w:spacing w:before="20" w:after="20"/>
              <w:rPr>
                <w:sz w:val="4"/>
              </w:rPr>
            </w:pPr>
          </w:p>
        </w:tc>
        <w:tc>
          <w:tcPr>
            <w:tcW w:w="1055" w:type="dxa"/>
            <w:noWrap/>
          </w:tcPr>
          <w:p w14:paraId="259B0C8F" w14:textId="77777777" w:rsidR="00B325FE" w:rsidRPr="0067507D" w:rsidRDefault="00B325FE" w:rsidP="00A721E2">
            <w:pPr>
              <w:pStyle w:val="Tabletextright"/>
              <w:spacing w:before="20" w:after="20"/>
              <w:rPr>
                <w:rFonts w:cstheme="minorHAnsi"/>
                <w:sz w:val="4"/>
              </w:rPr>
            </w:pPr>
          </w:p>
        </w:tc>
        <w:tc>
          <w:tcPr>
            <w:tcW w:w="673" w:type="dxa"/>
          </w:tcPr>
          <w:p w14:paraId="483D7F13" w14:textId="77777777" w:rsidR="00B325FE" w:rsidRPr="0067507D" w:rsidRDefault="00B325FE" w:rsidP="00A721E2">
            <w:pPr>
              <w:pStyle w:val="Tabletextright"/>
              <w:spacing w:before="20" w:after="20"/>
              <w:rPr>
                <w:rFonts w:cstheme="minorHAnsi"/>
                <w:sz w:val="4"/>
              </w:rPr>
            </w:pPr>
          </w:p>
        </w:tc>
        <w:tc>
          <w:tcPr>
            <w:tcW w:w="979" w:type="dxa"/>
            <w:shd w:val="clear" w:color="auto" w:fill="E0E0E0"/>
            <w:noWrap/>
          </w:tcPr>
          <w:p w14:paraId="7A40CD6C" w14:textId="77777777" w:rsidR="00B325FE" w:rsidRPr="0067507D" w:rsidRDefault="00B325FE" w:rsidP="00A721E2">
            <w:pPr>
              <w:pStyle w:val="Tabletextright"/>
              <w:spacing w:before="20" w:after="20"/>
              <w:rPr>
                <w:rFonts w:cstheme="minorHAnsi"/>
                <w:sz w:val="4"/>
              </w:rPr>
            </w:pPr>
          </w:p>
        </w:tc>
        <w:tc>
          <w:tcPr>
            <w:tcW w:w="979" w:type="dxa"/>
            <w:shd w:val="clear" w:color="auto" w:fill="E0E0E0"/>
          </w:tcPr>
          <w:p w14:paraId="23159A0D" w14:textId="77777777" w:rsidR="00B325FE" w:rsidRPr="0067507D" w:rsidRDefault="00B325FE" w:rsidP="00A721E2">
            <w:pPr>
              <w:pStyle w:val="Tabletextright"/>
              <w:spacing w:before="20" w:after="20"/>
              <w:rPr>
                <w:sz w:val="4"/>
              </w:rPr>
            </w:pPr>
          </w:p>
        </w:tc>
        <w:tc>
          <w:tcPr>
            <w:tcW w:w="778" w:type="dxa"/>
            <w:shd w:val="clear" w:color="auto" w:fill="E0E0E0"/>
          </w:tcPr>
          <w:p w14:paraId="0EC3BB45" w14:textId="77777777" w:rsidR="00B325FE" w:rsidRPr="0067507D" w:rsidRDefault="00B325FE" w:rsidP="00A721E2">
            <w:pPr>
              <w:pStyle w:val="Tabletextright"/>
              <w:spacing w:before="20" w:after="20"/>
              <w:rPr>
                <w:sz w:val="4"/>
              </w:rPr>
            </w:pPr>
          </w:p>
        </w:tc>
        <w:tc>
          <w:tcPr>
            <w:tcW w:w="1091" w:type="dxa"/>
          </w:tcPr>
          <w:p w14:paraId="05F3F1AE" w14:textId="77777777" w:rsidR="00B325FE" w:rsidRPr="0067507D" w:rsidRDefault="00B325FE" w:rsidP="00A721E2">
            <w:pPr>
              <w:pStyle w:val="Tabletextright"/>
              <w:spacing w:before="20" w:after="20"/>
              <w:rPr>
                <w:sz w:val="4"/>
              </w:rPr>
            </w:pPr>
          </w:p>
        </w:tc>
        <w:tc>
          <w:tcPr>
            <w:tcW w:w="637" w:type="dxa"/>
          </w:tcPr>
          <w:p w14:paraId="7A8B48BE" w14:textId="77777777" w:rsidR="00B325FE" w:rsidRPr="0067507D" w:rsidRDefault="00B325FE" w:rsidP="00A721E2">
            <w:pPr>
              <w:pStyle w:val="Tabletextright"/>
              <w:spacing w:before="20" w:after="20"/>
              <w:rPr>
                <w:sz w:val="4"/>
              </w:rPr>
            </w:pPr>
          </w:p>
        </w:tc>
      </w:tr>
      <w:tr w:rsidR="00B325FE" w:rsidRPr="0067507D" w14:paraId="27757054" w14:textId="77777777" w:rsidTr="00A721E2">
        <w:trPr>
          <w:cantSplit/>
        </w:trPr>
        <w:tc>
          <w:tcPr>
            <w:tcW w:w="1620" w:type="dxa"/>
          </w:tcPr>
          <w:p w14:paraId="6629CE06" w14:textId="77777777" w:rsidR="00B325FE" w:rsidRPr="0067507D" w:rsidRDefault="00B325FE" w:rsidP="00A721E2">
            <w:pPr>
              <w:pStyle w:val="Tabletext"/>
              <w:spacing w:before="20" w:after="20"/>
              <w:rPr>
                <w:rFonts w:asciiTheme="majorHAnsi" w:hAnsiTheme="majorHAnsi"/>
              </w:rPr>
            </w:pPr>
            <w:r w:rsidRPr="0067507D">
              <w:rPr>
                <w:rFonts w:asciiTheme="majorHAnsi" w:hAnsiTheme="majorHAnsi" w:cstheme="minorHAnsi"/>
                <w:szCs w:val="18"/>
              </w:rPr>
              <w:t>VPS1–6 Grades</w:t>
            </w:r>
          </w:p>
        </w:tc>
        <w:tc>
          <w:tcPr>
            <w:tcW w:w="932" w:type="dxa"/>
            <w:shd w:val="clear" w:color="auto" w:fill="E0E0E0"/>
          </w:tcPr>
          <w:p w14:paraId="6CD1A06E" w14:textId="3A2D86CC" w:rsidR="00B325FE" w:rsidRPr="0067507D" w:rsidRDefault="00DC5609" w:rsidP="00A721E2">
            <w:pPr>
              <w:pStyle w:val="Tabletextrightbold"/>
            </w:pPr>
            <w:r w:rsidRPr="0067507D">
              <w:t>587</w:t>
            </w:r>
          </w:p>
        </w:tc>
        <w:tc>
          <w:tcPr>
            <w:tcW w:w="659" w:type="dxa"/>
            <w:shd w:val="clear" w:color="auto" w:fill="E0E0E0"/>
          </w:tcPr>
          <w:p w14:paraId="41049D83" w14:textId="2F8830D2" w:rsidR="00B325FE" w:rsidRPr="0067507D" w:rsidRDefault="00DC5609" w:rsidP="00A721E2">
            <w:pPr>
              <w:pStyle w:val="Tabletextrightbold"/>
            </w:pPr>
            <w:r w:rsidRPr="0067507D">
              <w:t>563</w:t>
            </w:r>
          </w:p>
        </w:tc>
        <w:tc>
          <w:tcPr>
            <w:tcW w:w="979" w:type="dxa"/>
          </w:tcPr>
          <w:p w14:paraId="691B86AD" w14:textId="3B08C56C" w:rsidR="00B325FE" w:rsidRPr="0067507D" w:rsidRDefault="00DC5609" w:rsidP="00A721E2">
            <w:pPr>
              <w:pStyle w:val="Tabletextrightbold"/>
            </w:pPr>
            <w:r w:rsidRPr="0067507D">
              <w:t>455</w:t>
            </w:r>
          </w:p>
        </w:tc>
        <w:tc>
          <w:tcPr>
            <w:tcW w:w="979" w:type="dxa"/>
          </w:tcPr>
          <w:p w14:paraId="600A7DC0" w14:textId="0F040215" w:rsidR="00B325FE" w:rsidRPr="0067507D" w:rsidRDefault="00DC5609" w:rsidP="00A721E2">
            <w:pPr>
              <w:pStyle w:val="Tabletextrightbold"/>
            </w:pPr>
            <w:r w:rsidRPr="0067507D">
              <w:t>66</w:t>
            </w:r>
          </w:p>
        </w:tc>
        <w:tc>
          <w:tcPr>
            <w:tcW w:w="778" w:type="dxa"/>
          </w:tcPr>
          <w:p w14:paraId="0D8725F7" w14:textId="08773B2C" w:rsidR="00B325FE" w:rsidRPr="0067507D" w:rsidRDefault="00DC5609" w:rsidP="00A721E2">
            <w:pPr>
              <w:pStyle w:val="Tabletextrightbold"/>
            </w:pPr>
            <w:r w:rsidRPr="0067507D">
              <w:t>505</w:t>
            </w:r>
          </w:p>
        </w:tc>
        <w:tc>
          <w:tcPr>
            <w:tcW w:w="999" w:type="dxa"/>
            <w:shd w:val="clear" w:color="auto" w:fill="E0E0E0"/>
          </w:tcPr>
          <w:p w14:paraId="14C827D6" w14:textId="00E4C1BB" w:rsidR="00B325FE" w:rsidRPr="0067507D" w:rsidRDefault="00DC5609" w:rsidP="00A721E2">
            <w:pPr>
              <w:pStyle w:val="Tabletextrightbold"/>
            </w:pPr>
            <w:r w:rsidRPr="0067507D">
              <w:t>66</w:t>
            </w:r>
          </w:p>
        </w:tc>
        <w:tc>
          <w:tcPr>
            <w:tcW w:w="729" w:type="dxa"/>
            <w:shd w:val="clear" w:color="auto" w:fill="E0E0E0"/>
          </w:tcPr>
          <w:p w14:paraId="5DACEB92" w14:textId="1998CA45" w:rsidR="00B325FE" w:rsidRPr="0067507D" w:rsidRDefault="00DC5609" w:rsidP="00A721E2">
            <w:pPr>
              <w:pStyle w:val="Tabletextrightbold"/>
            </w:pPr>
            <w:r w:rsidRPr="0067507D">
              <w:t>58</w:t>
            </w:r>
          </w:p>
        </w:tc>
        <w:tc>
          <w:tcPr>
            <w:tcW w:w="1055" w:type="dxa"/>
            <w:noWrap/>
          </w:tcPr>
          <w:p w14:paraId="4DD62E09" w14:textId="4780D461" w:rsidR="00B325FE" w:rsidRPr="0067507D" w:rsidRDefault="00F61F1D" w:rsidP="00A721E2">
            <w:pPr>
              <w:pStyle w:val="Tabletextrightbold"/>
            </w:pPr>
            <w:r w:rsidRPr="0067507D">
              <w:t>583</w:t>
            </w:r>
          </w:p>
        </w:tc>
        <w:tc>
          <w:tcPr>
            <w:tcW w:w="673" w:type="dxa"/>
          </w:tcPr>
          <w:p w14:paraId="2CB0DB9F" w14:textId="346072B1" w:rsidR="00B325FE" w:rsidRPr="0067507D" w:rsidRDefault="00F61F1D" w:rsidP="00A721E2">
            <w:pPr>
              <w:pStyle w:val="Tabletextrightbold"/>
            </w:pPr>
            <w:r w:rsidRPr="0067507D">
              <w:t>559</w:t>
            </w:r>
          </w:p>
        </w:tc>
        <w:tc>
          <w:tcPr>
            <w:tcW w:w="979" w:type="dxa"/>
            <w:shd w:val="clear" w:color="auto" w:fill="E0E0E0"/>
            <w:noWrap/>
          </w:tcPr>
          <w:p w14:paraId="17E64020" w14:textId="731CC7E4" w:rsidR="00B325FE" w:rsidRPr="0067507D" w:rsidRDefault="00F61F1D" w:rsidP="00A721E2">
            <w:pPr>
              <w:pStyle w:val="Tabletextrightbold"/>
            </w:pPr>
            <w:r w:rsidRPr="0067507D">
              <w:t>458</w:t>
            </w:r>
          </w:p>
        </w:tc>
        <w:tc>
          <w:tcPr>
            <w:tcW w:w="979" w:type="dxa"/>
            <w:shd w:val="clear" w:color="auto" w:fill="E0E0E0"/>
          </w:tcPr>
          <w:p w14:paraId="7736CB89" w14:textId="322D5CA2" w:rsidR="00B325FE" w:rsidRPr="0067507D" w:rsidRDefault="00F61F1D" w:rsidP="00A721E2">
            <w:pPr>
              <w:pStyle w:val="Tabletextrightbold"/>
            </w:pPr>
            <w:r w:rsidRPr="0067507D">
              <w:t>64</w:t>
            </w:r>
          </w:p>
        </w:tc>
        <w:tc>
          <w:tcPr>
            <w:tcW w:w="778" w:type="dxa"/>
            <w:shd w:val="clear" w:color="auto" w:fill="E0E0E0"/>
          </w:tcPr>
          <w:p w14:paraId="0C2B44A7" w14:textId="11476E6C" w:rsidR="00B325FE" w:rsidRPr="0067507D" w:rsidRDefault="00F61F1D" w:rsidP="00A721E2">
            <w:pPr>
              <w:pStyle w:val="Tabletextrightbold"/>
            </w:pPr>
            <w:r w:rsidRPr="0067507D">
              <w:t>507</w:t>
            </w:r>
          </w:p>
        </w:tc>
        <w:tc>
          <w:tcPr>
            <w:tcW w:w="1091" w:type="dxa"/>
          </w:tcPr>
          <w:p w14:paraId="72F57423" w14:textId="7C63E838" w:rsidR="00B325FE" w:rsidRPr="0067507D" w:rsidRDefault="00F61F1D" w:rsidP="00A721E2">
            <w:pPr>
              <w:pStyle w:val="Tabletextrightbold"/>
            </w:pPr>
            <w:r w:rsidRPr="0067507D">
              <w:t>61</w:t>
            </w:r>
          </w:p>
        </w:tc>
        <w:tc>
          <w:tcPr>
            <w:tcW w:w="637" w:type="dxa"/>
          </w:tcPr>
          <w:p w14:paraId="4D7548C4" w14:textId="1FD09505" w:rsidR="00B325FE" w:rsidRPr="0067507D" w:rsidRDefault="00F61F1D" w:rsidP="00A721E2">
            <w:pPr>
              <w:pStyle w:val="Tabletextrightbold"/>
            </w:pPr>
            <w:r w:rsidRPr="0067507D">
              <w:t>52</w:t>
            </w:r>
          </w:p>
        </w:tc>
      </w:tr>
      <w:tr w:rsidR="00AE20A0" w:rsidRPr="0067507D" w14:paraId="2E32931F" w14:textId="77777777" w:rsidTr="00A721E2">
        <w:trPr>
          <w:cantSplit/>
        </w:trPr>
        <w:tc>
          <w:tcPr>
            <w:tcW w:w="1620" w:type="dxa"/>
            <w:vAlign w:val="bottom"/>
          </w:tcPr>
          <w:p w14:paraId="5F631A49" w14:textId="77777777" w:rsidR="00B325FE" w:rsidRPr="0067507D" w:rsidRDefault="00B325FE" w:rsidP="00A721E2">
            <w:pPr>
              <w:pStyle w:val="Tabletext"/>
              <w:spacing w:before="40" w:after="40"/>
            </w:pPr>
            <w:r w:rsidRPr="0067507D">
              <w:t>Grade 1</w:t>
            </w:r>
          </w:p>
        </w:tc>
        <w:tc>
          <w:tcPr>
            <w:tcW w:w="932" w:type="dxa"/>
            <w:shd w:val="clear" w:color="auto" w:fill="E0E0E0"/>
          </w:tcPr>
          <w:p w14:paraId="77F43F34" w14:textId="13075254" w:rsidR="00B325FE" w:rsidRPr="0067507D" w:rsidRDefault="000A55B5" w:rsidP="00A721E2">
            <w:pPr>
              <w:pStyle w:val="Tabletextright"/>
              <w:spacing w:before="40" w:after="40"/>
            </w:pPr>
            <w:r w:rsidRPr="0067507D">
              <w:t>–</w:t>
            </w:r>
          </w:p>
        </w:tc>
        <w:tc>
          <w:tcPr>
            <w:tcW w:w="659" w:type="dxa"/>
            <w:shd w:val="clear" w:color="auto" w:fill="E0E0E0"/>
          </w:tcPr>
          <w:p w14:paraId="7029A22D" w14:textId="3E503D1B" w:rsidR="00B325FE" w:rsidRPr="0067507D" w:rsidRDefault="000A55B5" w:rsidP="00A721E2">
            <w:pPr>
              <w:pStyle w:val="Tabletextright"/>
              <w:spacing w:before="40" w:after="40"/>
            </w:pPr>
            <w:r w:rsidRPr="0067507D">
              <w:t>–</w:t>
            </w:r>
          </w:p>
        </w:tc>
        <w:tc>
          <w:tcPr>
            <w:tcW w:w="979" w:type="dxa"/>
          </w:tcPr>
          <w:p w14:paraId="083F94F5" w14:textId="1CDA444D" w:rsidR="00B325FE" w:rsidRPr="0067507D" w:rsidRDefault="000A55B5" w:rsidP="00A721E2">
            <w:pPr>
              <w:pStyle w:val="Tabletextright"/>
              <w:spacing w:before="40" w:after="40"/>
            </w:pPr>
            <w:r w:rsidRPr="0067507D">
              <w:t>–</w:t>
            </w:r>
          </w:p>
        </w:tc>
        <w:tc>
          <w:tcPr>
            <w:tcW w:w="979" w:type="dxa"/>
          </w:tcPr>
          <w:p w14:paraId="0A42312E" w14:textId="16819870" w:rsidR="00B325FE" w:rsidRPr="0067507D" w:rsidRDefault="000A55B5" w:rsidP="00A721E2">
            <w:pPr>
              <w:pStyle w:val="Tabletextright"/>
              <w:spacing w:before="40" w:after="40"/>
            </w:pPr>
            <w:r w:rsidRPr="0067507D">
              <w:t>–</w:t>
            </w:r>
          </w:p>
        </w:tc>
        <w:tc>
          <w:tcPr>
            <w:tcW w:w="778" w:type="dxa"/>
          </w:tcPr>
          <w:p w14:paraId="286571B4" w14:textId="1A68100C" w:rsidR="00B325FE" w:rsidRPr="0067507D" w:rsidRDefault="000A55B5" w:rsidP="00A721E2">
            <w:pPr>
              <w:pStyle w:val="Tabletextright"/>
              <w:spacing w:before="40" w:after="40"/>
            </w:pPr>
            <w:r w:rsidRPr="0067507D">
              <w:t>–</w:t>
            </w:r>
          </w:p>
        </w:tc>
        <w:tc>
          <w:tcPr>
            <w:tcW w:w="999" w:type="dxa"/>
            <w:shd w:val="clear" w:color="auto" w:fill="E0E0E0"/>
          </w:tcPr>
          <w:p w14:paraId="56C7BE83" w14:textId="1802FD12" w:rsidR="00B325FE" w:rsidRPr="0067507D" w:rsidRDefault="000A55B5" w:rsidP="00A721E2">
            <w:pPr>
              <w:pStyle w:val="Tabletextright"/>
              <w:spacing w:before="40" w:after="40"/>
            </w:pPr>
            <w:r w:rsidRPr="0067507D">
              <w:t>–</w:t>
            </w:r>
          </w:p>
        </w:tc>
        <w:tc>
          <w:tcPr>
            <w:tcW w:w="729" w:type="dxa"/>
            <w:shd w:val="clear" w:color="auto" w:fill="E0E0E0"/>
          </w:tcPr>
          <w:p w14:paraId="47E4834D" w14:textId="0A896287" w:rsidR="00B325FE" w:rsidRPr="0067507D" w:rsidRDefault="000A55B5" w:rsidP="00A721E2">
            <w:pPr>
              <w:pStyle w:val="Tabletextright"/>
              <w:spacing w:before="40" w:after="40"/>
            </w:pPr>
            <w:r w:rsidRPr="0067507D">
              <w:t>–</w:t>
            </w:r>
          </w:p>
        </w:tc>
        <w:tc>
          <w:tcPr>
            <w:tcW w:w="1055" w:type="dxa"/>
            <w:noWrap/>
          </w:tcPr>
          <w:p w14:paraId="248E0767" w14:textId="5BA738E0" w:rsidR="00B325FE" w:rsidRPr="0067507D" w:rsidRDefault="00F61F1D" w:rsidP="00A721E2">
            <w:pPr>
              <w:pStyle w:val="Tabletextright"/>
              <w:spacing w:before="40" w:after="40"/>
            </w:pPr>
            <w:r w:rsidRPr="0067507D">
              <w:t>–</w:t>
            </w:r>
          </w:p>
        </w:tc>
        <w:tc>
          <w:tcPr>
            <w:tcW w:w="673" w:type="dxa"/>
          </w:tcPr>
          <w:p w14:paraId="77BEB981" w14:textId="393DCDB4" w:rsidR="00B325FE" w:rsidRPr="0067507D" w:rsidRDefault="00F61F1D" w:rsidP="00A721E2">
            <w:pPr>
              <w:pStyle w:val="Tabletextright"/>
              <w:spacing w:before="40" w:after="40"/>
            </w:pPr>
            <w:r w:rsidRPr="0067507D">
              <w:t>–</w:t>
            </w:r>
          </w:p>
        </w:tc>
        <w:tc>
          <w:tcPr>
            <w:tcW w:w="979" w:type="dxa"/>
            <w:shd w:val="clear" w:color="auto" w:fill="E0E0E0"/>
            <w:noWrap/>
          </w:tcPr>
          <w:p w14:paraId="6ADF87D1" w14:textId="1309548D" w:rsidR="00B325FE" w:rsidRPr="0067507D" w:rsidRDefault="00F61F1D" w:rsidP="00A721E2">
            <w:pPr>
              <w:pStyle w:val="Tabletextright"/>
              <w:spacing w:before="40" w:after="40"/>
            </w:pPr>
            <w:r w:rsidRPr="0067507D">
              <w:t>–</w:t>
            </w:r>
          </w:p>
        </w:tc>
        <w:tc>
          <w:tcPr>
            <w:tcW w:w="979" w:type="dxa"/>
            <w:shd w:val="clear" w:color="auto" w:fill="E0E0E0"/>
          </w:tcPr>
          <w:p w14:paraId="1C6A43CE" w14:textId="67FD56C0" w:rsidR="00B325FE" w:rsidRPr="0067507D" w:rsidRDefault="00F61F1D" w:rsidP="00A721E2">
            <w:pPr>
              <w:pStyle w:val="Tabletextright"/>
              <w:spacing w:before="40" w:after="40"/>
            </w:pPr>
            <w:r w:rsidRPr="0067507D">
              <w:t>–</w:t>
            </w:r>
          </w:p>
        </w:tc>
        <w:tc>
          <w:tcPr>
            <w:tcW w:w="778" w:type="dxa"/>
            <w:shd w:val="clear" w:color="auto" w:fill="E0E0E0"/>
          </w:tcPr>
          <w:p w14:paraId="33B7F873" w14:textId="7CF5E00F" w:rsidR="00B325FE" w:rsidRPr="0067507D" w:rsidRDefault="00F61F1D" w:rsidP="00A721E2">
            <w:pPr>
              <w:pStyle w:val="Tabletextright"/>
              <w:spacing w:before="40" w:after="40"/>
            </w:pPr>
            <w:r w:rsidRPr="0067507D">
              <w:t>–</w:t>
            </w:r>
          </w:p>
        </w:tc>
        <w:tc>
          <w:tcPr>
            <w:tcW w:w="1091" w:type="dxa"/>
          </w:tcPr>
          <w:p w14:paraId="33C3199D" w14:textId="7FA19742" w:rsidR="00B325FE" w:rsidRPr="0067507D" w:rsidRDefault="00F61F1D" w:rsidP="00A721E2">
            <w:pPr>
              <w:pStyle w:val="Tabletextright"/>
              <w:spacing w:before="40" w:after="40"/>
            </w:pPr>
            <w:r w:rsidRPr="0067507D">
              <w:t>–</w:t>
            </w:r>
          </w:p>
        </w:tc>
        <w:tc>
          <w:tcPr>
            <w:tcW w:w="637" w:type="dxa"/>
          </w:tcPr>
          <w:p w14:paraId="5EBA5A99" w14:textId="7534A9E5" w:rsidR="00B325FE" w:rsidRPr="0067507D" w:rsidRDefault="00F61F1D" w:rsidP="00A721E2">
            <w:pPr>
              <w:pStyle w:val="Tabletextright"/>
              <w:spacing w:before="40" w:after="40"/>
            </w:pPr>
            <w:r w:rsidRPr="0067507D">
              <w:t>–</w:t>
            </w:r>
          </w:p>
        </w:tc>
      </w:tr>
      <w:tr w:rsidR="00AE20A0" w:rsidRPr="0067507D" w14:paraId="6EFEF805" w14:textId="77777777" w:rsidTr="00A721E2">
        <w:trPr>
          <w:cantSplit/>
        </w:trPr>
        <w:tc>
          <w:tcPr>
            <w:tcW w:w="1620" w:type="dxa"/>
            <w:vAlign w:val="bottom"/>
          </w:tcPr>
          <w:p w14:paraId="6542E98C" w14:textId="77777777" w:rsidR="00B325FE" w:rsidRPr="0067507D" w:rsidRDefault="00B325FE" w:rsidP="00A721E2">
            <w:pPr>
              <w:pStyle w:val="Tabletext"/>
              <w:spacing w:before="40" w:after="40"/>
            </w:pPr>
            <w:r w:rsidRPr="0067507D">
              <w:t>Grade 2</w:t>
            </w:r>
          </w:p>
        </w:tc>
        <w:tc>
          <w:tcPr>
            <w:tcW w:w="932" w:type="dxa"/>
            <w:shd w:val="clear" w:color="auto" w:fill="E0E0E0"/>
          </w:tcPr>
          <w:p w14:paraId="53067F2B" w14:textId="2CAA6F2B" w:rsidR="00B325FE" w:rsidRPr="0067507D" w:rsidRDefault="00DC5609" w:rsidP="00A721E2">
            <w:pPr>
              <w:pStyle w:val="Tabletextright"/>
              <w:spacing w:before="40" w:after="40"/>
            </w:pPr>
            <w:r w:rsidRPr="0067507D">
              <w:t>58</w:t>
            </w:r>
          </w:p>
        </w:tc>
        <w:tc>
          <w:tcPr>
            <w:tcW w:w="659" w:type="dxa"/>
            <w:shd w:val="clear" w:color="auto" w:fill="E0E0E0"/>
          </w:tcPr>
          <w:p w14:paraId="3B497042" w14:textId="00B71834" w:rsidR="00B325FE" w:rsidRPr="0067507D" w:rsidRDefault="00DC5609" w:rsidP="00A721E2">
            <w:pPr>
              <w:pStyle w:val="Tabletextright"/>
              <w:spacing w:before="40" w:after="40"/>
            </w:pPr>
            <w:r w:rsidRPr="0067507D">
              <w:t>51</w:t>
            </w:r>
          </w:p>
        </w:tc>
        <w:tc>
          <w:tcPr>
            <w:tcW w:w="979" w:type="dxa"/>
          </w:tcPr>
          <w:p w14:paraId="0B647370" w14:textId="2219360C" w:rsidR="00B325FE" w:rsidRPr="0067507D" w:rsidRDefault="00DC5609" w:rsidP="00A721E2">
            <w:pPr>
              <w:pStyle w:val="Tabletextright"/>
              <w:spacing w:before="40" w:after="40"/>
            </w:pPr>
            <w:r w:rsidRPr="0067507D">
              <w:t>42</w:t>
            </w:r>
          </w:p>
        </w:tc>
        <w:tc>
          <w:tcPr>
            <w:tcW w:w="979" w:type="dxa"/>
          </w:tcPr>
          <w:p w14:paraId="27AD52E6" w14:textId="28923FC9" w:rsidR="00B325FE" w:rsidRPr="0067507D" w:rsidRDefault="000A55B5" w:rsidP="00A721E2">
            <w:pPr>
              <w:pStyle w:val="Tabletextright"/>
              <w:spacing w:before="40" w:after="40"/>
            </w:pPr>
            <w:r w:rsidRPr="0067507D">
              <w:t>–</w:t>
            </w:r>
          </w:p>
        </w:tc>
        <w:tc>
          <w:tcPr>
            <w:tcW w:w="778" w:type="dxa"/>
          </w:tcPr>
          <w:p w14:paraId="3F5218C6" w14:textId="5729E3A4" w:rsidR="00B325FE" w:rsidRPr="0067507D" w:rsidRDefault="00DC5609" w:rsidP="00A721E2">
            <w:pPr>
              <w:pStyle w:val="Tabletextright"/>
              <w:spacing w:before="40" w:after="40"/>
            </w:pPr>
            <w:r w:rsidRPr="0067507D">
              <w:t>42</w:t>
            </w:r>
          </w:p>
        </w:tc>
        <w:tc>
          <w:tcPr>
            <w:tcW w:w="999" w:type="dxa"/>
            <w:shd w:val="clear" w:color="auto" w:fill="E0E0E0"/>
          </w:tcPr>
          <w:p w14:paraId="4B8D27E4" w14:textId="43518105" w:rsidR="00B325FE" w:rsidRPr="0067507D" w:rsidRDefault="00DC5609" w:rsidP="00A721E2">
            <w:pPr>
              <w:pStyle w:val="Tabletextright"/>
              <w:spacing w:before="40" w:after="40"/>
            </w:pPr>
            <w:r w:rsidRPr="0067507D">
              <w:t>16</w:t>
            </w:r>
          </w:p>
        </w:tc>
        <w:tc>
          <w:tcPr>
            <w:tcW w:w="729" w:type="dxa"/>
            <w:shd w:val="clear" w:color="auto" w:fill="E0E0E0"/>
          </w:tcPr>
          <w:p w14:paraId="01402601" w14:textId="3B1050CE" w:rsidR="00B325FE" w:rsidRPr="0067507D" w:rsidRDefault="00DC5609" w:rsidP="00A721E2">
            <w:pPr>
              <w:pStyle w:val="Tabletextright"/>
              <w:spacing w:before="40" w:after="40"/>
            </w:pPr>
            <w:r w:rsidRPr="0067507D">
              <w:t>9</w:t>
            </w:r>
          </w:p>
        </w:tc>
        <w:tc>
          <w:tcPr>
            <w:tcW w:w="1055" w:type="dxa"/>
            <w:noWrap/>
          </w:tcPr>
          <w:p w14:paraId="14FEB57B" w14:textId="270CDF4C" w:rsidR="00B325FE" w:rsidRPr="0067507D" w:rsidRDefault="00F61F1D" w:rsidP="00A721E2">
            <w:pPr>
              <w:pStyle w:val="Tabletextright"/>
              <w:spacing w:before="40" w:after="40"/>
            </w:pPr>
            <w:r w:rsidRPr="0067507D">
              <w:t>45</w:t>
            </w:r>
          </w:p>
        </w:tc>
        <w:tc>
          <w:tcPr>
            <w:tcW w:w="673" w:type="dxa"/>
          </w:tcPr>
          <w:p w14:paraId="0A84DD3F" w14:textId="33DF3AE8" w:rsidR="00B325FE" w:rsidRPr="0067507D" w:rsidRDefault="00F61F1D" w:rsidP="00A721E2">
            <w:pPr>
              <w:pStyle w:val="Tabletextright"/>
              <w:spacing w:before="40" w:after="40"/>
            </w:pPr>
            <w:r w:rsidRPr="0067507D">
              <w:t>37</w:t>
            </w:r>
          </w:p>
        </w:tc>
        <w:tc>
          <w:tcPr>
            <w:tcW w:w="979" w:type="dxa"/>
            <w:shd w:val="clear" w:color="auto" w:fill="E0E0E0"/>
            <w:noWrap/>
          </w:tcPr>
          <w:p w14:paraId="26286349" w14:textId="15E39706" w:rsidR="00B325FE" w:rsidRPr="0067507D" w:rsidRDefault="00F61F1D" w:rsidP="00A721E2">
            <w:pPr>
              <w:pStyle w:val="Tabletextright"/>
              <w:spacing w:before="40" w:after="40"/>
            </w:pPr>
            <w:r w:rsidRPr="0067507D">
              <w:t>24</w:t>
            </w:r>
          </w:p>
        </w:tc>
        <w:tc>
          <w:tcPr>
            <w:tcW w:w="979" w:type="dxa"/>
            <w:shd w:val="clear" w:color="auto" w:fill="E0E0E0"/>
          </w:tcPr>
          <w:p w14:paraId="7675BBD9" w14:textId="57257242" w:rsidR="00B325FE" w:rsidRPr="0067507D" w:rsidRDefault="00F61F1D" w:rsidP="00A721E2">
            <w:pPr>
              <w:pStyle w:val="Tabletextright"/>
              <w:spacing w:before="40" w:after="40"/>
            </w:pPr>
            <w:r w:rsidRPr="0067507D">
              <w:t>1</w:t>
            </w:r>
          </w:p>
        </w:tc>
        <w:tc>
          <w:tcPr>
            <w:tcW w:w="778" w:type="dxa"/>
            <w:shd w:val="clear" w:color="auto" w:fill="E0E0E0"/>
          </w:tcPr>
          <w:p w14:paraId="1DB4719A" w14:textId="529D26D7" w:rsidR="00B325FE" w:rsidRPr="0067507D" w:rsidRDefault="00F61F1D" w:rsidP="00A721E2">
            <w:pPr>
              <w:pStyle w:val="Tabletextright"/>
              <w:spacing w:before="40" w:after="40"/>
            </w:pPr>
            <w:r w:rsidRPr="0067507D">
              <w:t>25</w:t>
            </w:r>
          </w:p>
        </w:tc>
        <w:tc>
          <w:tcPr>
            <w:tcW w:w="1091" w:type="dxa"/>
          </w:tcPr>
          <w:p w14:paraId="2E76E342" w14:textId="71E7F047" w:rsidR="00B325FE" w:rsidRPr="0067507D" w:rsidRDefault="00F61F1D" w:rsidP="00A721E2">
            <w:pPr>
              <w:pStyle w:val="Tabletextright"/>
              <w:spacing w:before="40" w:after="40"/>
            </w:pPr>
            <w:r w:rsidRPr="0067507D">
              <w:t>20</w:t>
            </w:r>
          </w:p>
        </w:tc>
        <w:tc>
          <w:tcPr>
            <w:tcW w:w="637" w:type="dxa"/>
          </w:tcPr>
          <w:p w14:paraId="21F92B4D" w14:textId="69F9BC64" w:rsidR="00B325FE" w:rsidRPr="0067507D" w:rsidRDefault="00F61F1D" w:rsidP="00A721E2">
            <w:pPr>
              <w:pStyle w:val="Tabletextright"/>
              <w:spacing w:before="40" w:after="40"/>
            </w:pPr>
            <w:r w:rsidRPr="0067507D">
              <w:t>12</w:t>
            </w:r>
          </w:p>
        </w:tc>
      </w:tr>
      <w:tr w:rsidR="00AE20A0" w:rsidRPr="0067507D" w14:paraId="59A041B7" w14:textId="77777777" w:rsidTr="00A721E2">
        <w:trPr>
          <w:cantSplit/>
        </w:trPr>
        <w:tc>
          <w:tcPr>
            <w:tcW w:w="1620" w:type="dxa"/>
            <w:vAlign w:val="bottom"/>
          </w:tcPr>
          <w:p w14:paraId="467DC9DB" w14:textId="77777777" w:rsidR="00B325FE" w:rsidRPr="0067507D" w:rsidRDefault="00B325FE" w:rsidP="00A721E2">
            <w:pPr>
              <w:pStyle w:val="Tabletext"/>
              <w:spacing w:before="40" w:after="40"/>
            </w:pPr>
            <w:r w:rsidRPr="0067507D">
              <w:t>Grade 3</w:t>
            </w:r>
          </w:p>
        </w:tc>
        <w:tc>
          <w:tcPr>
            <w:tcW w:w="932" w:type="dxa"/>
            <w:shd w:val="clear" w:color="auto" w:fill="E0E0E0"/>
          </w:tcPr>
          <w:p w14:paraId="62B5C214" w14:textId="12D29F8A" w:rsidR="00B325FE" w:rsidRPr="0067507D" w:rsidRDefault="00DC5609" w:rsidP="00A721E2">
            <w:pPr>
              <w:pStyle w:val="Tabletextright"/>
              <w:spacing w:before="40" w:after="40"/>
            </w:pPr>
            <w:r w:rsidRPr="0067507D">
              <w:t>46</w:t>
            </w:r>
          </w:p>
        </w:tc>
        <w:tc>
          <w:tcPr>
            <w:tcW w:w="659" w:type="dxa"/>
            <w:shd w:val="clear" w:color="auto" w:fill="E0E0E0"/>
          </w:tcPr>
          <w:p w14:paraId="71E36C34" w14:textId="538039ED" w:rsidR="00B325FE" w:rsidRPr="0067507D" w:rsidRDefault="00DC5609" w:rsidP="00A721E2">
            <w:pPr>
              <w:pStyle w:val="Tabletextright"/>
              <w:spacing w:before="40" w:after="40"/>
            </w:pPr>
            <w:r w:rsidRPr="0067507D">
              <w:t>45</w:t>
            </w:r>
          </w:p>
        </w:tc>
        <w:tc>
          <w:tcPr>
            <w:tcW w:w="979" w:type="dxa"/>
          </w:tcPr>
          <w:p w14:paraId="3CBAF928" w14:textId="6E34E61C" w:rsidR="00B325FE" w:rsidRPr="0067507D" w:rsidRDefault="00DC5609" w:rsidP="00A721E2">
            <w:pPr>
              <w:pStyle w:val="Tabletextright"/>
              <w:spacing w:before="40" w:after="40"/>
            </w:pPr>
            <w:r w:rsidRPr="0067507D">
              <w:t>41</w:t>
            </w:r>
          </w:p>
        </w:tc>
        <w:tc>
          <w:tcPr>
            <w:tcW w:w="979" w:type="dxa"/>
          </w:tcPr>
          <w:p w14:paraId="6BF54D85" w14:textId="2C148085" w:rsidR="00B325FE" w:rsidRPr="0067507D" w:rsidRDefault="00DC5609" w:rsidP="00A721E2">
            <w:pPr>
              <w:pStyle w:val="Tabletextright"/>
              <w:spacing w:before="40" w:after="40"/>
            </w:pPr>
            <w:r w:rsidRPr="0067507D">
              <w:t>2</w:t>
            </w:r>
          </w:p>
        </w:tc>
        <w:tc>
          <w:tcPr>
            <w:tcW w:w="778" w:type="dxa"/>
          </w:tcPr>
          <w:p w14:paraId="3CABC6ED" w14:textId="12947496" w:rsidR="00B325FE" w:rsidRPr="0067507D" w:rsidRDefault="00DC5609" w:rsidP="00A721E2">
            <w:pPr>
              <w:pStyle w:val="Tabletextright"/>
              <w:spacing w:before="40" w:after="40"/>
            </w:pPr>
            <w:r w:rsidRPr="0067507D">
              <w:t>42</w:t>
            </w:r>
          </w:p>
        </w:tc>
        <w:tc>
          <w:tcPr>
            <w:tcW w:w="999" w:type="dxa"/>
            <w:shd w:val="clear" w:color="auto" w:fill="E0E0E0"/>
          </w:tcPr>
          <w:p w14:paraId="24FB433F" w14:textId="6BBDAA0E" w:rsidR="00B325FE" w:rsidRPr="0067507D" w:rsidRDefault="00DC5609" w:rsidP="00A721E2">
            <w:pPr>
              <w:pStyle w:val="Tabletextright"/>
              <w:spacing w:before="40" w:after="40"/>
            </w:pPr>
            <w:r w:rsidRPr="0067507D">
              <w:t>3</w:t>
            </w:r>
          </w:p>
        </w:tc>
        <w:tc>
          <w:tcPr>
            <w:tcW w:w="729" w:type="dxa"/>
            <w:shd w:val="clear" w:color="auto" w:fill="E0E0E0"/>
          </w:tcPr>
          <w:p w14:paraId="564F96DC" w14:textId="2212737E" w:rsidR="00B325FE" w:rsidRPr="0067507D" w:rsidRDefault="00DC5609" w:rsidP="00A721E2">
            <w:pPr>
              <w:pStyle w:val="Tabletextright"/>
              <w:spacing w:before="40" w:after="40"/>
            </w:pPr>
            <w:r w:rsidRPr="0067507D">
              <w:t>3</w:t>
            </w:r>
          </w:p>
        </w:tc>
        <w:tc>
          <w:tcPr>
            <w:tcW w:w="1055" w:type="dxa"/>
            <w:noWrap/>
          </w:tcPr>
          <w:p w14:paraId="465B60FF" w14:textId="000154DA" w:rsidR="00B325FE" w:rsidRPr="0067507D" w:rsidRDefault="00F61F1D" w:rsidP="00A721E2">
            <w:pPr>
              <w:pStyle w:val="Tabletextright"/>
              <w:spacing w:before="40" w:after="40"/>
            </w:pPr>
            <w:r w:rsidRPr="0067507D">
              <w:t>42</w:t>
            </w:r>
          </w:p>
        </w:tc>
        <w:tc>
          <w:tcPr>
            <w:tcW w:w="673" w:type="dxa"/>
          </w:tcPr>
          <w:p w14:paraId="3AA4DFC4" w14:textId="4E20E957" w:rsidR="00B325FE" w:rsidRPr="0067507D" w:rsidRDefault="00F61F1D" w:rsidP="00A721E2">
            <w:pPr>
              <w:pStyle w:val="Tabletextright"/>
              <w:spacing w:before="40" w:after="40"/>
            </w:pPr>
            <w:r w:rsidRPr="0067507D">
              <w:t>41</w:t>
            </w:r>
          </w:p>
        </w:tc>
        <w:tc>
          <w:tcPr>
            <w:tcW w:w="979" w:type="dxa"/>
            <w:shd w:val="clear" w:color="auto" w:fill="E0E0E0"/>
            <w:noWrap/>
          </w:tcPr>
          <w:p w14:paraId="622946D4" w14:textId="5FA486A5" w:rsidR="00B325FE" w:rsidRPr="0067507D" w:rsidRDefault="00F61F1D" w:rsidP="00A721E2">
            <w:pPr>
              <w:pStyle w:val="Tabletextright"/>
              <w:spacing w:before="40" w:after="40"/>
            </w:pPr>
            <w:r w:rsidRPr="0067507D">
              <w:t>39</w:t>
            </w:r>
          </w:p>
        </w:tc>
        <w:tc>
          <w:tcPr>
            <w:tcW w:w="979" w:type="dxa"/>
            <w:shd w:val="clear" w:color="auto" w:fill="E0E0E0"/>
          </w:tcPr>
          <w:p w14:paraId="648F310B" w14:textId="45CE600D" w:rsidR="00B325FE" w:rsidRPr="0067507D" w:rsidRDefault="00F61F1D" w:rsidP="00A721E2">
            <w:pPr>
              <w:pStyle w:val="Tabletextright"/>
              <w:spacing w:before="40" w:after="40"/>
            </w:pPr>
            <w:r w:rsidRPr="0067507D">
              <w:t>2</w:t>
            </w:r>
          </w:p>
        </w:tc>
        <w:tc>
          <w:tcPr>
            <w:tcW w:w="778" w:type="dxa"/>
            <w:shd w:val="clear" w:color="auto" w:fill="E0E0E0"/>
          </w:tcPr>
          <w:p w14:paraId="645960C4" w14:textId="1947B315" w:rsidR="00B325FE" w:rsidRPr="0067507D" w:rsidRDefault="00F61F1D" w:rsidP="00A721E2">
            <w:pPr>
              <w:pStyle w:val="Tabletextright"/>
              <w:spacing w:before="40" w:after="40"/>
            </w:pPr>
            <w:r w:rsidRPr="0067507D">
              <w:t>40</w:t>
            </w:r>
          </w:p>
        </w:tc>
        <w:tc>
          <w:tcPr>
            <w:tcW w:w="1091" w:type="dxa"/>
          </w:tcPr>
          <w:p w14:paraId="53E21D03" w14:textId="6EADF6BB" w:rsidR="00B325FE" w:rsidRPr="0067507D" w:rsidRDefault="00F61F1D" w:rsidP="00A721E2">
            <w:pPr>
              <w:pStyle w:val="Tabletextright"/>
              <w:spacing w:before="40" w:after="40"/>
            </w:pPr>
            <w:r w:rsidRPr="0067507D">
              <w:t>1</w:t>
            </w:r>
          </w:p>
        </w:tc>
        <w:tc>
          <w:tcPr>
            <w:tcW w:w="637" w:type="dxa"/>
          </w:tcPr>
          <w:p w14:paraId="247FE5D1" w14:textId="22DF566D" w:rsidR="00B325FE" w:rsidRPr="0067507D" w:rsidRDefault="00F61F1D" w:rsidP="00A721E2">
            <w:pPr>
              <w:pStyle w:val="Tabletextright"/>
              <w:spacing w:before="40" w:after="40"/>
            </w:pPr>
            <w:r w:rsidRPr="0067507D">
              <w:t>1</w:t>
            </w:r>
          </w:p>
        </w:tc>
      </w:tr>
      <w:tr w:rsidR="00AE20A0" w:rsidRPr="0067507D" w14:paraId="412A3477" w14:textId="77777777" w:rsidTr="00A721E2">
        <w:trPr>
          <w:cantSplit/>
        </w:trPr>
        <w:tc>
          <w:tcPr>
            <w:tcW w:w="1620" w:type="dxa"/>
            <w:vAlign w:val="bottom"/>
          </w:tcPr>
          <w:p w14:paraId="7405EB8F" w14:textId="77777777" w:rsidR="00B325FE" w:rsidRPr="0067507D" w:rsidRDefault="00B325FE" w:rsidP="00A721E2">
            <w:pPr>
              <w:pStyle w:val="Tabletext"/>
              <w:spacing w:before="40" w:after="40"/>
            </w:pPr>
            <w:r w:rsidRPr="0067507D">
              <w:t>Grade 4</w:t>
            </w:r>
          </w:p>
        </w:tc>
        <w:tc>
          <w:tcPr>
            <w:tcW w:w="932" w:type="dxa"/>
            <w:shd w:val="clear" w:color="auto" w:fill="E0E0E0"/>
          </w:tcPr>
          <w:p w14:paraId="222AC43D" w14:textId="5646C46C" w:rsidR="00B325FE" w:rsidRPr="0067507D" w:rsidRDefault="00DC5609" w:rsidP="00A721E2">
            <w:pPr>
              <w:pStyle w:val="Tabletextright"/>
              <w:spacing w:before="40" w:after="40"/>
            </w:pPr>
            <w:r w:rsidRPr="0067507D">
              <w:t>111</w:t>
            </w:r>
          </w:p>
        </w:tc>
        <w:tc>
          <w:tcPr>
            <w:tcW w:w="659" w:type="dxa"/>
            <w:shd w:val="clear" w:color="auto" w:fill="E0E0E0"/>
          </w:tcPr>
          <w:p w14:paraId="5DB7123A" w14:textId="004384E4" w:rsidR="00B325FE" w:rsidRPr="0067507D" w:rsidRDefault="00DC5609" w:rsidP="00A721E2">
            <w:pPr>
              <w:pStyle w:val="Tabletextright"/>
              <w:spacing w:before="40" w:after="40"/>
            </w:pPr>
            <w:r w:rsidRPr="0067507D">
              <w:t>109</w:t>
            </w:r>
          </w:p>
        </w:tc>
        <w:tc>
          <w:tcPr>
            <w:tcW w:w="979" w:type="dxa"/>
          </w:tcPr>
          <w:p w14:paraId="53433281" w14:textId="7AC03E0A" w:rsidR="00B325FE" w:rsidRPr="0067507D" w:rsidRDefault="00DC5609" w:rsidP="00A721E2">
            <w:pPr>
              <w:pStyle w:val="Tabletextright"/>
              <w:spacing w:before="40" w:after="40"/>
            </w:pPr>
            <w:r w:rsidRPr="0067507D">
              <w:t>89</w:t>
            </w:r>
          </w:p>
        </w:tc>
        <w:tc>
          <w:tcPr>
            <w:tcW w:w="979" w:type="dxa"/>
          </w:tcPr>
          <w:p w14:paraId="53F56D3B" w14:textId="25A30445" w:rsidR="00B325FE" w:rsidRPr="0067507D" w:rsidRDefault="00DC5609" w:rsidP="00A721E2">
            <w:pPr>
              <w:pStyle w:val="Tabletextright"/>
              <w:spacing w:before="40" w:after="40"/>
            </w:pPr>
            <w:r w:rsidRPr="0067507D">
              <w:t>9</w:t>
            </w:r>
          </w:p>
        </w:tc>
        <w:tc>
          <w:tcPr>
            <w:tcW w:w="778" w:type="dxa"/>
          </w:tcPr>
          <w:p w14:paraId="096C5FA1" w14:textId="4283B9EF" w:rsidR="00B325FE" w:rsidRPr="0067507D" w:rsidRDefault="00DC5609" w:rsidP="00A721E2">
            <w:pPr>
              <w:pStyle w:val="Tabletextright"/>
              <w:spacing w:before="40" w:after="40"/>
            </w:pPr>
            <w:r w:rsidRPr="0067507D">
              <w:t>96</w:t>
            </w:r>
          </w:p>
        </w:tc>
        <w:tc>
          <w:tcPr>
            <w:tcW w:w="999" w:type="dxa"/>
            <w:shd w:val="clear" w:color="auto" w:fill="E0E0E0"/>
          </w:tcPr>
          <w:p w14:paraId="1D9D6C3F" w14:textId="342B58C7" w:rsidR="00B325FE" w:rsidRPr="0067507D" w:rsidRDefault="00DC5609" w:rsidP="00A721E2">
            <w:pPr>
              <w:pStyle w:val="Tabletextright"/>
              <w:spacing w:before="40" w:after="40"/>
            </w:pPr>
            <w:r w:rsidRPr="0067507D">
              <w:t>13</w:t>
            </w:r>
          </w:p>
        </w:tc>
        <w:tc>
          <w:tcPr>
            <w:tcW w:w="729" w:type="dxa"/>
            <w:shd w:val="clear" w:color="auto" w:fill="E0E0E0"/>
          </w:tcPr>
          <w:p w14:paraId="3B4E6EAD" w14:textId="6AB359B2" w:rsidR="00B325FE" w:rsidRPr="0067507D" w:rsidRDefault="00DC5609" w:rsidP="00A721E2">
            <w:pPr>
              <w:pStyle w:val="Tabletextright"/>
              <w:spacing w:before="40" w:after="40"/>
            </w:pPr>
            <w:r w:rsidRPr="0067507D">
              <w:t>13</w:t>
            </w:r>
          </w:p>
        </w:tc>
        <w:tc>
          <w:tcPr>
            <w:tcW w:w="1055" w:type="dxa"/>
            <w:noWrap/>
          </w:tcPr>
          <w:p w14:paraId="4AF8A8C1" w14:textId="0C958740" w:rsidR="00B325FE" w:rsidRPr="0067507D" w:rsidRDefault="00F61F1D" w:rsidP="00A721E2">
            <w:pPr>
              <w:pStyle w:val="Tabletextright"/>
              <w:spacing w:before="40" w:after="40"/>
            </w:pPr>
            <w:r w:rsidRPr="0067507D">
              <w:t>119</w:t>
            </w:r>
          </w:p>
        </w:tc>
        <w:tc>
          <w:tcPr>
            <w:tcW w:w="673" w:type="dxa"/>
          </w:tcPr>
          <w:p w14:paraId="406EE003" w14:textId="5F725713" w:rsidR="00B325FE" w:rsidRPr="0067507D" w:rsidRDefault="00F61F1D" w:rsidP="00A721E2">
            <w:pPr>
              <w:pStyle w:val="Tabletextright"/>
              <w:spacing w:before="40" w:after="40"/>
            </w:pPr>
            <w:r w:rsidRPr="0067507D">
              <w:t>117</w:t>
            </w:r>
          </w:p>
        </w:tc>
        <w:tc>
          <w:tcPr>
            <w:tcW w:w="979" w:type="dxa"/>
            <w:shd w:val="clear" w:color="auto" w:fill="E0E0E0"/>
            <w:noWrap/>
          </w:tcPr>
          <w:p w14:paraId="78949C24" w14:textId="40834FEA" w:rsidR="00B325FE" w:rsidRPr="0067507D" w:rsidRDefault="00F61F1D" w:rsidP="00A721E2">
            <w:pPr>
              <w:pStyle w:val="Tabletextright"/>
              <w:spacing w:before="40" w:after="40"/>
            </w:pPr>
            <w:r w:rsidRPr="0067507D">
              <w:t>100</w:t>
            </w:r>
          </w:p>
        </w:tc>
        <w:tc>
          <w:tcPr>
            <w:tcW w:w="979" w:type="dxa"/>
            <w:shd w:val="clear" w:color="auto" w:fill="E0E0E0"/>
          </w:tcPr>
          <w:p w14:paraId="78371519" w14:textId="089D9FF3" w:rsidR="00B325FE" w:rsidRPr="0067507D" w:rsidRDefault="00F61F1D" w:rsidP="00A721E2">
            <w:pPr>
              <w:pStyle w:val="Tabletextright"/>
              <w:spacing w:before="40" w:after="40"/>
            </w:pPr>
            <w:r w:rsidRPr="0067507D">
              <w:t>8</w:t>
            </w:r>
          </w:p>
        </w:tc>
        <w:tc>
          <w:tcPr>
            <w:tcW w:w="778" w:type="dxa"/>
            <w:shd w:val="clear" w:color="auto" w:fill="E0E0E0"/>
          </w:tcPr>
          <w:p w14:paraId="74316261" w14:textId="220DDBE3" w:rsidR="00B325FE" w:rsidRPr="0067507D" w:rsidRDefault="00F61F1D" w:rsidP="00A721E2">
            <w:pPr>
              <w:pStyle w:val="Tabletextright"/>
              <w:spacing w:before="40" w:after="40"/>
            </w:pPr>
            <w:r w:rsidRPr="0067507D">
              <w:t>107</w:t>
            </w:r>
          </w:p>
        </w:tc>
        <w:tc>
          <w:tcPr>
            <w:tcW w:w="1091" w:type="dxa"/>
          </w:tcPr>
          <w:p w14:paraId="25981EA6" w14:textId="08B94632" w:rsidR="00B325FE" w:rsidRPr="0067507D" w:rsidRDefault="00F61F1D" w:rsidP="00A721E2">
            <w:pPr>
              <w:pStyle w:val="Tabletextright"/>
              <w:spacing w:before="40" w:after="40"/>
            </w:pPr>
            <w:r w:rsidRPr="0067507D">
              <w:t>11</w:t>
            </w:r>
          </w:p>
        </w:tc>
        <w:tc>
          <w:tcPr>
            <w:tcW w:w="637" w:type="dxa"/>
          </w:tcPr>
          <w:p w14:paraId="57DC8013" w14:textId="46C69E84" w:rsidR="00B325FE" w:rsidRPr="0067507D" w:rsidRDefault="00F61F1D" w:rsidP="00A721E2">
            <w:pPr>
              <w:pStyle w:val="Tabletextright"/>
              <w:spacing w:before="40" w:after="40"/>
            </w:pPr>
            <w:r w:rsidRPr="0067507D">
              <w:t>11</w:t>
            </w:r>
          </w:p>
        </w:tc>
      </w:tr>
      <w:tr w:rsidR="00AE20A0" w:rsidRPr="0067507D" w14:paraId="32774D38" w14:textId="77777777" w:rsidTr="00A721E2">
        <w:trPr>
          <w:cantSplit/>
        </w:trPr>
        <w:tc>
          <w:tcPr>
            <w:tcW w:w="1620" w:type="dxa"/>
            <w:vAlign w:val="bottom"/>
          </w:tcPr>
          <w:p w14:paraId="0B2B91B9" w14:textId="77777777" w:rsidR="00B325FE" w:rsidRPr="0067507D" w:rsidRDefault="00B325FE" w:rsidP="00A721E2">
            <w:pPr>
              <w:pStyle w:val="Tabletext"/>
              <w:spacing w:before="40" w:after="40"/>
            </w:pPr>
            <w:r w:rsidRPr="0067507D">
              <w:t>Grade 5</w:t>
            </w:r>
          </w:p>
        </w:tc>
        <w:tc>
          <w:tcPr>
            <w:tcW w:w="932" w:type="dxa"/>
            <w:shd w:val="clear" w:color="auto" w:fill="E0E0E0"/>
          </w:tcPr>
          <w:p w14:paraId="21822D8A" w14:textId="7282F4DF" w:rsidR="00B325FE" w:rsidRPr="0067507D" w:rsidRDefault="00DC5609" w:rsidP="00A721E2">
            <w:pPr>
              <w:pStyle w:val="Tabletextright"/>
              <w:spacing w:before="40" w:after="40"/>
            </w:pPr>
            <w:r w:rsidRPr="0067507D">
              <w:t>178</w:t>
            </w:r>
          </w:p>
        </w:tc>
        <w:tc>
          <w:tcPr>
            <w:tcW w:w="659" w:type="dxa"/>
            <w:shd w:val="clear" w:color="auto" w:fill="E0E0E0"/>
          </w:tcPr>
          <w:p w14:paraId="1A19DDFA" w14:textId="7DA7B251" w:rsidR="00B325FE" w:rsidRPr="0067507D" w:rsidRDefault="00DC5609" w:rsidP="00A721E2">
            <w:pPr>
              <w:pStyle w:val="Tabletextright"/>
              <w:spacing w:before="40" w:after="40"/>
            </w:pPr>
            <w:r w:rsidRPr="0067507D">
              <w:t>173</w:t>
            </w:r>
          </w:p>
        </w:tc>
        <w:tc>
          <w:tcPr>
            <w:tcW w:w="979" w:type="dxa"/>
          </w:tcPr>
          <w:p w14:paraId="6D65874D" w14:textId="71D59F18" w:rsidR="00B325FE" w:rsidRPr="0067507D" w:rsidRDefault="00DC5609" w:rsidP="00A721E2">
            <w:pPr>
              <w:pStyle w:val="Tabletextright"/>
              <w:spacing w:before="40" w:after="40"/>
            </w:pPr>
            <w:r w:rsidRPr="0067507D">
              <w:t>145</w:t>
            </w:r>
          </w:p>
        </w:tc>
        <w:tc>
          <w:tcPr>
            <w:tcW w:w="979" w:type="dxa"/>
          </w:tcPr>
          <w:p w14:paraId="6B0479C0" w14:textId="1DAAECA8" w:rsidR="00B325FE" w:rsidRPr="0067507D" w:rsidRDefault="00DC5609" w:rsidP="00A721E2">
            <w:pPr>
              <w:pStyle w:val="Tabletextright"/>
              <w:spacing w:before="40" w:after="40"/>
            </w:pPr>
            <w:r w:rsidRPr="0067507D">
              <w:t>20</w:t>
            </w:r>
          </w:p>
        </w:tc>
        <w:tc>
          <w:tcPr>
            <w:tcW w:w="778" w:type="dxa"/>
          </w:tcPr>
          <w:p w14:paraId="25BFA06E" w14:textId="26EB14E4" w:rsidR="00B325FE" w:rsidRPr="0067507D" w:rsidRDefault="00DC5609" w:rsidP="00A721E2">
            <w:pPr>
              <w:pStyle w:val="Tabletextright"/>
              <w:spacing w:before="40" w:after="40"/>
            </w:pPr>
            <w:r w:rsidRPr="0067507D">
              <w:t>160</w:t>
            </w:r>
          </w:p>
        </w:tc>
        <w:tc>
          <w:tcPr>
            <w:tcW w:w="999" w:type="dxa"/>
            <w:shd w:val="clear" w:color="auto" w:fill="E0E0E0"/>
          </w:tcPr>
          <w:p w14:paraId="437A622B" w14:textId="7C32906C" w:rsidR="00B325FE" w:rsidRPr="0067507D" w:rsidRDefault="00DC5609" w:rsidP="00A721E2">
            <w:pPr>
              <w:pStyle w:val="Tabletextright"/>
              <w:spacing w:before="40" w:after="40"/>
            </w:pPr>
            <w:r w:rsidRPr="0067507D">
              <w:t>13</w:t>
            </w:r>
          </w:p>
        </w:tc>
        <w:tc>
          <w:tcPr>
            <w:tcW w:w="729" w:type="dxa"/>
            <w:shd w:val="clear" w:color="auto" w:fill="E0E0E0"/>
          </w:tcPr>
          <w:p w14:paraId="4914ED07" w14:textId="107B6B9C" w:rsidR="00B325FE" w:rsidRPr="0067507D" w:rsidRDefault="00DC5609" w:rsidP="00A721E2">
            <w:pPr>
              <w:pStyle w:val="Tabletextright"/>
              <w:spacing w:before="40" w:after="40"/>
            </w:pPr>
            <w:r w:rsidRPr="0067507D">
              <w:t>13</w:t>
            </w:r>
          </w:p>
        </w:tc>
        <w:tc>
          <w:tcPr>
            <w:tcW w:w="1055" w:type="dxa"/>
            <w:noWrap/>
          </w:tcPr>
          <w:p w14:paraId="42D6047A" w14:textId="763A1398" w:rsidR="00B325FE" w:rsidRPr="0067507D" w:rsidRDefault="00F61F1D" w:rsidP="00A721E2">
            <w:pPr>
              <w:pStyle w:val="Tabletextright"/>
              <w:spacing w:before="40" w:after="40"/>
            </w:pPr>
            <w:r w:rsidRPr="0067507D">
              <w:t>171</w:t>
            </w:r>
          </w:p>
        </w:tc>
        <w:tc>
          <w:tcPr>
            <w:tcW w:w="673" w:type="dxa"/>
          </w:tcPr>
          <w:p w14:paraId="27769B7B" w14:textId="2D0EACA0" w:rsidR="00B325FE" w:rsidRPr="0067507D" w:rsidRDefault="00F61F1D" w:rsidP="00A721E2">
            <w:pPr>
              <w:pStyle w:val="Tabletextright"/>
              <w:spacing w:before="40" w:after="40"/>
            </w:pPr>
            <w:r w:rsidRPr="0067507D">
              <w:t>168</w:t>
            </w:r>
          </w:p>
        </w:tc>
        <w:tc>
          <w:tcPr>
            <w:tcW w:w="979" w:type="dxa"/>
            <w:shd w:val="clear" w:color="auto" w:fill="E0E0E0"/>
            <w:noWrap/>
          </w:tcPr>
          <w:p w14:paraId="0C378B63" w14:textId="27013A16" w:rsidR="00B325FE" w:rsidRPr="0067507D" w:rsidRDefault="00F61F1D" w:rsidP="00A721E2">
            <w:pPr>
              <w:pStyle w:val="Tabletextright"/>
              <w:spacing w:before="40" w:after="40"/>
            </w:pPr>
            <w:r w:rsidRPr="0067507D">
              <w:t>146</w:t>
            </w:r>
          </w:p>
        </w:tc>
        <w:tc>
          <w:tcPr>
            <w:tcW w:w="979" w:type="dxa"/>
            <w:shd w:val="clear" w:color="auto" w:fill="E0E0E0"/>
          </w:tcPr>
          <w:p w14:paraId="49EB164D" w14:textId="751E2E2A" w:rsidR="00B325FE" w:rsidRPr="0067507D" w:rsidRDefault="00F61F1D" w:rsidP="00A721E2">
            <w:pPr>
              <w:pStyle w:val="Tabletextright"/>
              <w:spacing w:before="40" w:after="40"/>
            </w:pPr>
            <w:r w:rsidRPr="0067507D">
              <w:t>15</w:t>
            </w:r>
          </w:p>
        </w:tc>
        <w:tc>
          <w:tcPr>
            <w:tcW w:w="778" w:type="dxa"/>
            <w:shd w:val="clear" w:color="auto" w:fill="E0E0E0"/>
          </w:tcPr>
          <w:p w14:paraId="5AC370CC" w14:textId="21DDE8BC" w:rsidR="00B325FE" w:rsidRPr="0067507D" w:rsidRDefault="00F61F1D" w:rsidP="00A721E2">
            <w:pPr>
              <w:pStyle w:val="Tabletextright"/>
              <w:spacing w:before="40" w:after="40"/>
            </w:pPr>
            <w:r w:rsidRPr="0067507D">
              <w:t>158</w:t>
            </w:r>
          </w:p>
        </w:tc>
        <w:tc>
          <w:tcPr>
            <w:tcW w:w="1091" w:type="dxa"/>
          </w:tcPr>
          <w:p w14:paraId="16CB205F" w14:textId="5936484A" w:rsidR="00B325FE" w:rsidRPr="0067507D" w:rsidRDefault="00F61F1D" w:rsidP="00A721E2">
            <w:pPr>
              <w:pStyle w:val="Tabletextright"/>
              <w:spacing w:before="40" w:after="40"/>
            </w:pPr>
            <w:r w:rsidRPr="0067507D">
              <w:t>10</w:t>
            </w:r>
          </w:p>
        </w:tc>
        <w:tc>
          <w:tcPr>
            <w:tcW w:w="637" w:type="dxa"/>
          </w:tcPr>
          <w:p w14:paraId="09A5A353" w14:textId="1280307A" w:rsidR="00B325FE" w:rsidRPr="0067507D" w:rsidRDefault="00F61F1D" w:rsidP="00A721E2">
            <w:pPr>
              <w:pStyle w:val="Tabletextright"/>
              <w:spacing w:before="40" w:after="40"/>
            </w:pPr>
            <w:r w:rsidRPr="0067507D">
              <w:t>10</w:t>
            </w:r>
          </w:p>
        </w:tc>
      </w:tr>
      <w:tr w:rsidR="00AE20A0" w:rsidRPr="0067507D" w14:paraId="06FEE5AA" w14:textId="77777777" w:rsidTr="00A721E2">
        <w:trPr>
          <w:cantSplit/>
        </w:trPr>
        <w:tc>
          <w:tcPr>
            <w:tcW w:w="1620" w:type="dxa"/>
            <w:vAlign w:val="bottom"/>
          </w:tcPr>
          <w:p w14:paraId="25DA1B50" w14:textId="45FB4FF6" w:rsidR="00B325FE" w:rsidRPr="0067507D" w:rsidRDefault="00B325FE" w:rsidP="00A721E2">
            <w:pPr>
              <w:pStyle w:val="Tabletext"/>
              <w:spacing w:before="40" w:after="40"/>
            </w:pPr>
            <w:r w:rsidRPr="0067507D">
              <w:t>Grade 6</w:t>
            </w:r>
            <w:r w:rsidR="003B6B18" w:rsidRPr="0067507D">
              <w:t xml:space="preserve"> </w:t>
            </w:r>
            <w:r w:rsidR="00F16AEE" w:rsidRPr="0067507D">
              <w:rPr>
                <w:vertAlign w:val="superscript"/>
              </w:rPr>
              <w:t>(b)</w:t>
            </w:r>
          </w:p>
        </w:tc>
        <w:tc>
          <w:tcPr>
            <w:tcW w:w="932" w:type="dxa"/>
            <w:shd w:val="clear" w:color="auto" w:fill="E0E0E0"/>
          </w:tcPr>
          <w:p w14:paraId="3B5687DB" w14:textId="3664E678" w:rsidR="00B325FE" w:rsidRPr="0067507D" w:rsidRDefault="00DC5609" w:rsidP="00A721E2">
            <w:pPr>
              <w:pStyle w:val="Tabletextright"/>
              <w:spacing w:before="40" w:after="40"/>
            </w:pPr>
            <w:r w:rsidRPr="0067507D">
              <w:t>194</w:t>
            </w:r>
          </w:p>
        </w:tc>
        <w:tc>
          <w:tcPr>
            <w:tcW w:w="659" w:type="dxa"/>
            <w:shd w:val="clear" w:color="auto" w:fill="E0E0E0"/>
          </w:tcPr>
          <w:p w14:paraId="01A6B474" w14:textId="53FE61A1" w:rsidR="00B325FE" w:rsidRPr="0067507D" w:rsidRDefault="00DC5609" w:rsidP="00A721E2">
            <w:pPr>
              <w:pStyle w:val="Tabletextright"/>
              <w:spacing w:before="40" w:after="40"/>
            </w:pPr>
            <w:r w:rsidRPr="0067507D">
              <w:t>184</w:t>
            </w:r>
          </w:p>
        </w:tc>
        <w:tc>
          <w:tcPr>
            <w:tcW w:w="979" w:type="dxa"/>
          </w:tcPr>
          <w:p w14:paraId="73657C16" w14:textId="12C21149" w:rsidR="00B325FE" w:rsidRPr="0067507D" w:rsidRDefault="00DC5609" w:rsidP="00A721E2">
            <w:pPr>
              <w:pStyle w:val="Tabletextright"/>
              <w:spacing w:before="40" w:after="40"/>
            </w:pPr>
            <w:r w:rsidRPr="0067507D">
              <w:t>138</w:t>
            </w:r>
          </w:p>
        </w:tc>
        <w:tc>
          <w:tcPr>
            <w:tcW w:w="979" w:type="dxa"/>
          </w:tcPr>
          <w:p w14:paraId="17564FCE" w14:textId="28E9CA24" w:rsidR="00B325FE" w:rsidRPr="0067507D" w:rsidRDefault="00DC5609" w:rsidP="00A721E2">
            <w:pPr>
              <w:pStyle w:val="Tabletextright"/>
              <w:spacing w:before="40" w:after="40"/>
            </w:pPr>
            <w:r w:rsidRPr="0067507D">
              <w:t>35</w:t>
            </w:r>
          </w:p>
        </w:tc>
        <w:tc>
          <w:tcPr>
            <w:tcW w:w="778" w:type="dxa"/>
          </w:tcPr>
          <w:p w14:paraId="654061EF" w14:textId="13A260F9" w:rsidR="00B325FE" w:rsidRPr="0067507D" w:rsidRDefault="00DC5609" w:rsidP="00A721E2">
            <w:pPr>
              <w:pStyle w:val="Tabletextright"/>
              <w:spacing w:before="40" w:after="40"/>
            </w:pPr>
            <w:r w:rsidRPr="0067507D">
              <w:t>164</w:t>
            </w:r>
          </w:p>
        </w:tc>
        <w:tc>
          <w:tcPr>
            <w:tcW w:w="999" w:type="dxa"/>
            <w:shd w:val="clear" w:color="auto" w:fill="E0E0E0"/>
          </w:tcPr>
          <w:p w14:paraId="71F9EE54" w14:textId="535F02AD" w:rsidR="00B325FE" w:rsidRPr="0067507D" w:rsidRDefault="00DC5609" w:rsidP="00A721E2">
            <w:pPr>
              <w:pStyle w:val="Tabletextright"/>
              <w:spacing w:before="40" w:after="40"/>
            </w:pPr>
            <w:r w:rsidRPr="0067507D">
              <w:t>21</w:t>
            </w:r>
          </w:p>
        </w:tc>
        <w:tc>
          <w:tcPr>
            <w:tcW w:w="729" w:type="dxa"/>
            <w:shd w:val="clear" w:color="auto" w:fill="E0E0E0"/>
          </w:tcPr>
          <w:p w14:paraId="1C390AEC" w14:textId="553D28DF" w:rsidR="00B325FE" w:rsidRPr="0067507D" w:rsidRDefault="00DC5609" w:rsidP="00A721E2">
            <w:pPr>
              <w:pStyle w:val="Tabletextright"/>
              <w:spacing w:before="40" w:after="40"/>
            </w:pPr>
            <w:r w:rsidRPr="0067507D">
              <w:t>20</w:t>
            </w:r>
          </w:p>
        </w:tc>
        <w:tc>
          <w:tcPr>
            <w:tcW w:w="1055" w:type="dxa"/>
            <w:noWrap/>
          </w:tcPr>
          <w:p w14:paraId="5364C3B2" w14:textId="3C0835D0" w:rsidR="00B325FE" w:rsidRPr="0067507D" w:rsidRDefault="00F61F1D" w:rsidP="00A721E2">
            <w:pPr>
              <w:pStyle w:val="Tabletextright"/>
              <w:spacing w:before="40" w:after="40"/>
            </w:pPr>
            <w:r w:rsidRPr="0067507D">
              <w:t>206</w:t>
            </w:r>
          </w:p>
        </w:tc>
        <w:tc>
          <w:tcPr>
            <w:tcW w:w="673" w:type="dxa"/>
          </w:tcPr>
          <w:p w14:paraId="5BB453D6" w14:textId="77266A05" w:rsidR="00B325FE" w:rsidRPr="0067507D" w:rsidRDefault="00F61F1D" w:rsidP="00A721E2">
            <w:pPr>
              <w:pStyle w:val="Tabletextright"/>
              <w:spacing w:before="40" w:after="40"/>
            </w:pPr>
            <w:r w:rsidRPr="0067507D">
              <w:t>195</w:t>
            </w:r>
          </w:p>
        </w:tc>
        <w:tc>
          <w:tcPr>
            <w:tcW w:w="979" w:type="dxa"/>
            <w:shd w:val="clear" w:color="auto" w:fill="E0E0E0"/>
            <w:noWrap/>
          </w:tcPr>
          <w:p w14:paraId="30012038" w14:textId="17BE319D" w:rsidR="00B325FE" w:rsidRPr="0067507D" w:rsidRDefault="00F61F1D" w:rsidP="00A721E2">
            <w:pPr>
              <w:pStyle w:val="Tabletextright"/>
              <w:spacing w:before="40" w:after="40"/>
            </w:pPr>
            <w:r w:rsidRPr="0067507D">
              <w:t>149</w:t>
            </w:r>
          </w:p>
        </w:tc>
        <w:tc>
          <w:tcPr>
            <w:tcW w:w="979" w:type="dxa"/>
            <w:shd w:val="clear" w:color="auto" w:fill="E0E0E0"/>
          </w:tcPr>
          <w:p w14:paraId="363DD844" w14:textId="768207CF" w:rsidR="00B325FE" w:rsidRPr="0067507D" w:rsidRDefault="00F61F1D" w:rsidP="00A721E2">
            <w:pPr>
              <w:pStyle w:val="Tabletextright"/>
              <w:spacing w:before="40" w:after="40"/>
            </w:pPr>
            <w:r w:rsidRPr="0067507D">
              <w:t>38</w:t>
            </w:r>
          </w:p>
        </w:tc>
        <w:tc>
          <w:tcPr>
            <w:tcW w:w="778" w:type="dxa"/>
            <w:shd w:val="clear" w:color="auto" w:fill="E0E0E0"/>
          </w:tcPr>
          <w:p w14:paraId="7D9E6CF6" w14:textId="75727DBE" w:rsidR="00B325FE" w:rsidRPr="0067507D" w:rsidRDefault="00F61F1D" w:rsidP="00A721E2">
            <w:pPr>
              <w:pStyle w:val="Tabletextright"/>
              <w:spacing w:before="40" w:after="40"/>
            </w:pPr>
            <w:r w:rsidRPr="0067507D">
              <w:t>177</w:t>
            </w:r>
          </w:p>
        </w:tc>
        <w:tc>
          <w:tcPr>
            <w:tcW w:w="1091" w:type="dxa"/>
          </w:tcPr>
          <w:p w14:paraId="41C7056A" w14:textId="444ED171" w:rsidR="00B325FE" w:rsidRPr="0067507D" w:rsidRDefault="00F61F1D" w:rsidP="00A721E2">
            <w:pPr>
              <w:pStyle w:val="Tabletextright"/>
              <w:spacing w:before="40" w:after="40"/>
            </w:pPr>
            <w:r w:rsidRPr="0067507D">
              <w:t>19</w:t>
            </w:r>
          </w:p>
        </w:tc>
        <w:tc>
          <w:tcPr>
            <w:tcW w:w="637" w:type="dxa"/>
          </w:tcPr>
          <w:p w14:paraId="0B278AA7" w14:textId="1EC5B9CA" w:rsidR="00B325FE" w:rsidRPr="0067507D" w:rsidRDefault="00F61F1D" w:rsidP="00A721E2">
            <w:pPr>
              <w:pStyle w:val="Tabletextright"/>
              <w:spacing w:before="40" w:after="40"/>
            </w:pPr>
            <w:r w:rsidRPr="0067507D">
              <w:t>18</w:t>
            </w:r>
          </w:p>
        </w:tc>
      </w:tr>
      <w:tr w:rsidR="00B325FE" w:rsidRPr="0067507D" w14:paraId="1B97C543" w14:textId="77777777" w:rsidTr="00A721E2">
        <w:trPr>
          <w:cantSplit/>
        </w:trPr>
        <w:tc>
          <w:tcPr>
            <w:tcW w:w="1620" w:type="dxa"/>
          </w:tcPr>
          <w:p w14:paraId="7BBD58AF" w14:textId="77777777" w:rsidR="00B325FE" w:rsidRPr="0067507D" w:rsidRDefault="00B325FE" w:rsidP="00A721E2">
            <w:pPr>
              <w:pStyle w:val="Tabletext"/>
              <w:spacing w:before="20" w:after="20"/>
              <w:rPr>
                <w:sz w:val="4"/>
              </w:rPr>
            </w:pPr>
          </w:p>
        </w:tc>
        <w:tc>
          <w:tcPr>
            <w:tcW w:w="932" w:type="dxa"/>
            <w:shd w:val="clear" w:color="auto" w:fill="E0E0E0"/>
          </w:tcPr>
          <w:p w14:paraId="2A003F0A" w14:textId="77777777" w:rsidR="00B325FE" w:rsidRPr="0067507D" w:rsidRDefault="00B325FE" w:rsidP="00A721E2">
            <w:pPr>
              <w:pStyle w:val="Tabletextright"/>
              <w:spacing w:before="20" w:after="20"/>
              <w:rPr>
                <w:rFonts w:cstheme="minorHAnsi"/>
                <w:sz w:val="4"/>
              </w:rPr>
            </w:pPr>
          </w:p>
        </w:tc>
        <w:tc>
          <w:tcPr>
            <w:tcW w:w="659" w:type="dxa"/>
            <w:shd w:val="clear" w:color="auto" w:fill="E0E0E0"/>
          </w:tcPr>
          <w:p w14:paraId="667F3A12" w14:textId="77777777" w:rsidR="00B325FE" w:rsidRPr="0067507D" w:rsidRDefault="00B325FE" w:rsidP="00A721E2">
            <w:pPr>
              <w:pStyle w:val="Tabletextright"/>
              <w:spacing w:before="20" w:after="20"/>
              <w:rPr>
                <w:rFonts w:cstheme="minorHAnsi"/>
                <w:sz w:val="4"/>
              </w:rPr>
            </w:pPr>
          </w:p>
        </w:tc>
        <w:tc>
          <w:tcPr>
            <w:tcW w:w="979" w:type="dxa"/>
          </w:tcPr>
          <w:p w14:paraId="39E3C3C5" w14:textId="77777777" w:rsidR="00B325FE" w:rsidRPr="0067507D" w:rsidRDefault="00B325FE" w:rsidP="00A721E2">
            <w:pPr>
              <w:pStyle w:val="Tabletextright"/>
              <w:spacing w:before="20" w:after="20"/>
              <w:rPr>
                <w:rFonts w:cstheme="minorHAnsi"/>
                <w:sz w:val="4"/>
              </w:rPr>
            </w:pPr>
          </w:p>
        </w:tc>
        <w:tc>
          <w:tcPr>
            <w:tcW w:w="979" w:type="dxa"/>
          </w:tcPr>
          <w:p w14:paraId="71DA2060" w14:textId="77777777" w:rsidR="00B325FE" w:rsidRPr="0067507D" w:rsidRDefault="00B325FE" w:rsidP="00A721E2">
            <w:pPr>
              <w:pStyle w:val="Tabletextright"/>
              <w:spacing w:before="20" w:after="20"/>
              <w:rPr>
                <w:sz w:val="4"/>
              </w:rPr>
            </w:pPr>
          </w:p>
        </w:tc>
        <w:tc>
          <w:tcPr>
            <w:tcW w:w="778" w:type="dxa"/>
          </w:tcPr>
          <w:p w14:paraId="5818EB79" w14:textId="77777777" w:rsidR="00B325FE" w:rsidRPr="0067507D" w:rsidRDefault="00B325FE" w:rsidP="00A721E2">
            <w:pPr>
              <w:pStyle w:val="Tabletextright"/>
              <w:spacing w:before="20" w:after="20"/>
              <w:rPr>
                <w:sz w:val="4"/>
              </w:rPr>
            </w:pPr>
          </w:p>
        </w:tc>
        <w:tc>
          <w:tcPr>
            <w:tcW w:w="999" w:type="dxa"/>
            <w:shd w:val="clear" w:color="auto" w:fill="E0E0E0"/>
          </w:tcPr>
          <w:p w14:paraId="4F0E70AD" w14:textId="77777777" w:rsidR="00B325FE" w:rsidRPr="0067507D" w:rsidRDefault="00B325FE" w:rsidP="00A721E2">
            <w:pPr>
              <w:pStyle w:val="Tabletextright"/>
              <w:spacing w:before="20" w:after="20"/>
              <w:rPr>
                <w:sz w:val="4"/>
              </w:rPr>
            </w:pPr>
          </w:p>
        </w:tc>
        <w:tc>
          <w:tcPr>
            <w:tcW w:w="729" w:type="dxa"/>
            <w:shd w:val="clear" w:color="auto" w:fill="E0E0E0"/>
          </w:tcPr>
          <w:p w14:paraId="78057004" w14:textId="77777777" w:rsidR="00B325FE" w:rsidRPr="0067507D" w:rsidRDefault="00B325FE" w:rsidP="00A721E2">
            <w:pPr>
              <w:pStyle w:val="Tabletextright"/>
              <w:spacing w:before="20" w:after="20"/>
              <w:rPr>
                <w:sz w:val="4"/>
              </w:rPr>
            </w:pPr>
          </w:p>
        </w:tc>
        <w:tc>
          <w:tcPr>
            <w:tcW w:w="1055" w:type="dxa"/>
            <w:noWrap/>
          </w:tcPr>
          <w:p w14:paraId="03A73B20" w14:textId="77777777" w:rsidR="00B325FE" w:rsidRPr="0067507D" w:rsidRDefault="00B325FE" w:rsidP="00A721E2">
            <w:pPr>
              <w:pStyle w:val="Tabletextright"/>
              <w:spacing w:before="20" w:after="20"/>
              <w:rPr>
                <w:rFonts w:cstheme="minorHAnsi"/>
                <w:sz w:val="4"/>
              </w:rPr>
            </w:pPr>
          </w:p>
        </w:tc>
        <w:tc>
          <w:tcPr>
            <w:tcW w:w="673" w:type="dxa"/>
          </w:tcPr>
          <w:p w14:paraId="4193DCDE" w14:textId="77777777" w:rsidR="00B325FE" w:rsidRPr="0067507D" w:rsidRDefault="00B325FE" w:rsidP="00A721E2">
            <w:pPr>
              <w:pStyle w:val="Tabletextright"/>
              <w:spacing w:before="20" w:after="20"/>
              <w:rPr>
                <w:rFonts w:cstheme="minorHAnsi"/>
                <w:sz w:val="4"/>
              </w:rPr>
            </w:pPr>
          </w:p>
        </w:tc>
        <w:tc>
          <w:tcPr>
            <w:tcW w:w="979" w:type="dxa"/>
            <w:shd w:val="clear" w:color="auto" w:fill="E0E0E0"/>
            <w:noWrap/>
          </w:tcPr>
          <w:p w14:paraId="608D0ADC" w14:textId="77777777" w:rsidR="00B325FE" w:rsidRPr="0067507D" w:rsidRDefault="00B325FE" w:rsidP="00A721E2">
            <w:pPr>
              <w:pStyle w:val="Tabletextright"/>
              <w:spacing w:before="20" w:after="20"/>
              <w:rPr>
                <w:rFonts w:cstheme="minorHAnsi"/>
                <w:sz w:val="4"/>
              </w:rPr>
            </w:pPr>
          </w:p>
        </w:tc>
        <w:tc>
          <w:tcPr>
            <w:tcW w:w="979" w:type="dxa"/>
            <w:shd w:val="clear" w:color="auto" w:fill="E0E0E0"/>
          </w:tcPr>
          <w:p w14:paraId="1DE68E70" w14:textId="77777777" w:rsidR="00B325FE" w:rsidRPr="0067507D" w:rsidRDefault="00B325FE" w:rsidP="00A721E2">
            <w:pPr>
              <w:pStyle w:val="Tabletextright"/>
              <w:spacing w:before="20" w:after="20"/>
              <w:rPr>
                <w:sz w:val="4"/>
              </w:rPr>
            </w:pPr>
          </w:p>
        </w:tc>
        <w:tc>
          <w:tcPr>
            <w:tcW w:w="778" w:type="dxa"/>
            <w:shd w:val="clear" w:color="auto" w:fill="E0E0E0"/>
          </w:tcPr>
          <w:p w14:paraId="30F32379" w14:textId="77777777" w:rsidR="00B325FE" w:rsidRPr="0067507D" w:rsidRDefault="00B325FE" w:rsidP="00A721E2">
            <w:pPr>
              <w:pStyle w:val="Tabletextright"/>
              <w:spacing w:before="20" w:after="20"/>
              <w:rPr>
                <w:sz w:val="4"/>
              </w:rPr>
            </w:pPr>
          </w:p>
        </w:tc>
        <w:tc>
          <w:tcPr>
            <w:tcW w:w="1091" w:type="dxa"/>
          </w:tcPr>
          <w:p w14:paraId="7AA4A90D" w14:textId="77777777" w:rsidR="00B325FE" w:rsidRPr="0067507D" w:rsidRDefault="00B325FE" w:rsidP="00A721E2">
            <w:pPr>
              <w:pStyle w:val="Tabletextright"/>
              <w:spacing w:before="20" w:after="20"/>
              <w:rPr>
                <w:sz w:val="4"/>
              </w:rPr>
            </w:pPr>
          </w:p>
        </w:tc>
        <w:tc>
          <w:tcPr>
            <w:tcW w:w="637" w:type="dxa"/>
          </w:tcPr>
          <w:p w14:paraId="19F65E99" w14:textId="77777777" w:rsidR="00B325FE" w:rsidRPr="0067507D" w:rsidRDefault="00B325FE" w:rsidP="00A721E2">
            <w:pPr>
              <w:pStyle w:val="Tabletextright"/>
              <w:spacing w:before="20" w:after="20"/>
              <w:rPr>
                <w:sz w:val="4"/>
              </w:rPr>
            </w:pPr>
          </w:p>
        </w:tc>
      </w:tr>
      <w:tr w:rsidR="00B325FE" w:rsidRPr="0067507D" w14:paraId="67B3F951" w14:textId="77777777" w:rsidTr="00A721E2">
        <w:trPr>
          <w:cantSplit/>
        </w:trPr>
        <w:tc>
          <w:tcPr>
            <w:tcW w:w="1620" w:type="dxa"/>
          </w:tcPr>
          <w:p w14:paraId="28775F3A" w14:textId="77777777" w:rsidR="00B325FE" w:rsidRPr="0067507D" w:rsidRDefault="00B325FE" w:rsidP="00A721E2">
            <w:pPr>
              <w:pStyle w:val="Tabletext"/>
              <w:pageBreakBefore/>
              <w:spacing w:before="20" w:after="20"/>
              <w:rPr>
                <w:rFonts w:asciiTheme="majorHAnsi" w:hAnsiTheme="majorHAnsi"/>
              </w:rPr>
            </w:pPr>
            <w:r w:rsidRPr="0067507D">
              <w:rPr>
                <w:rFonts w:asciiTheme="majorHAnsi" w:hAnsiTheme="majorHAnsi" w:cstheme="minorHAnsi"/>
                <w:szCs w:val="18"/>
              </w:rPr>
              <w:lastRenderedPageBreak/>
              <w:t>Senior employees</w:t>
            </w:r>
          </w:p>
        </w:tc>
        <w:tc>
          <w:tcPr>
            <w:tcW w:w="932" w:type="dxa"/>
            <w:shd w:val="clear" w:color="auto" w:fill="E0E0E0"/>
          </w:tcPr>
          <w:p w14:paraId="068CFD47" w14:textId="5FACFE37" w:rsidR="00B325FE" w:rsidRPr="0067507D" w:rsidRDefault="00DC5609" w:rsidP="00A721E2">
            <w:pPr>
              <w:pStyle w:val="Tabletextrightbold"/>
            </w:pPr>
            <w:r w:rsidRPr="0067507D">
              <w:t>107</w:t>
            </w:r>
          </w:p>
        </w:tc>
        <w:tc>
          <w:tcPr>
            <w:tcW w:w="659" w:type="dxa"/>
            <w:shd w:val="clear" w:color="auto" w:fill="E0E0E0"/>
          </w:tcPr>
          <w:p w14:paraId="69DD5206" w14:textId="6E311516" w:rsidR="00B325FE" w:rsidRPr="0067507D" w:rsidRDefault="00DC5609" w:rsidP="00A721E2">
            <w:pPr>
              <w:pStyle w:val="Tabletextrightbold"/>
            </w:pPr>
            <w:r w:rsidRPr="0067507D">
              <w:t>101</w:t>
            </w:r>
          </w:p>
        </w:tc>
        <w:tc>
          <w:tcPr>
            <w:tcW w:w="979" w:type="dxa"/>
          </w:tcPr>
          <w:p w14:paraId="6AA0AA16" w14:textId="42927F8A" w:rsidR="00B325FE" w:rsidRPr="0067507D" w:rsidRDefault="00DC5609" w:rsidP="00A721E2">
            <w:pPr>
              <w:pStyle w:val="Tabletextrightbold"/>
            </w:pPr>
            <w:r w:rsidRPr="0067507D">
              <w:t>93</w:t>
            </w:r>
          </w:p>
        </w:tc>
        <w:tc>
          <w:tcPr>
            <w:tcW w:w="979" w:type="dxa"/>
          </w:tcPr>
          <w:p w14:paraId="30A9FC23" w14:textId="20AB47AE" w:rsidR="00B325FE" w:rsidRPr="0067507D" w:rsidRDefault="00DC5609" w:rsidP="00A721E2">
            <w:pPr>
              <w:pStyle w:val="Tabletextrightbold"/>
            </w:pPr>
            <w:r w:rsidRPr="0067507D">
              <w:t>11</w:t>
            </w:r>
          </w:p>
        </w:tc>
        <w:tc>
          <w:tcPr>
            <w:tcW w:w="778" w:type="dxa"/>
          </w:tcPr>
          <w:p w14:paraId="043AA502" w14:textId="4E920712" w:rsidR="00B325FE" w:rsidRPr="0067507D" w:rsidRDefault="00DC5609" w:rsidP="00A721E2">
            <w:pPr>
              <w:pStyle w:val="Tabletextrightbold"/>
            </w:pPr>
            <w:r w:rsidRPr="0067507D">
              <w:t>100</w:t>
            </w:r>
          </w:p>
        </w:tc>
        <w:tc>
          <w:tcPr>
            <w:tcW w:w="999" w:type="dxa"/>
            <w:shd w:val="clear" w:color="auto" w:fill="E0E0E0"/>
          </w:tcPr>
          <w:p w14:paraId="58D8EC7B" w14:textId="79DF98F0" w:rsidR="00B325FE" w:rsidRPr="0067507D" w:rsidRDefault="00DC5609" w:rsidP="00A721E2">
            <w:pPr>
              <w:pStyle w:val="Tabletextrightbold"/>
            </w:pPr>
            <w:r w:rsidRPr="0067507D">
              <w:t>3</w:t>
            </w:r>
          </w:p>
        </w:tc>
        <w:tc>
          <w:tcPr>
            <w:tcW w:w="729" w:type="dxa"/>
            <w:shd w:val="clear" w:color="auto" w:fill="E0E0E0"/>
          </w:tcPr>
          <w:p w14:paraId="14F511B7" w14:textId="6BE8A5FD" w:rsidR="00B325FE" w:rsidRPr="0067507D" w:rsidRDefault="00DC5609" w:rsidP="00A721E2">
            <w:pPr>
              <w:pStyle w:val="Tabletextrightbold"/>
            </w:pPr>
            <w:r w:rsidRPr="0067507D">
              <w:t>1</w:t>
            </w:r>
          </w:p>
        </w:tc>
        <w:tc>
          <w:tcPr>
            <w:tcW w:w="1055" w:type="dxa"/>
            <w:noWrap/>
          </w:tcPr>
          <w:p w14:paraId="18B54398" w14:textId="64FD364D" w:rsidR="00B325FE" w:rsidRPr="0067507D" w:rsidRDefault="00F61F1D" w:rsidP="00A721E2">
            <w:pPr>
              <w:pStyle w:val="Tabletextrightbold"/>
            </w:pPr>
            <w:r w:rsidRPr="0067507D">
              <w:t>99</w:t>
            </w:r>
          </w:p>
        </w:tc>
        <w:tc>
          <w:tcPr>
            <w:tcW w:w="673" w:type="dxa"/>
          </w:tcPr>
          <w:p w14:paraId="7CEED4D7" w14:textId="6119193A" w:rsidR="00B325FE" w:rsidRPr="0067507D" w:rsidRDefault="00F61F1D" w:rsidP="00A721E2">
            <w:pPr>
              <w:pStyle w:val="Tabletextrightbold"/>
            </w:pPr>
            <w:r w:rsidRPr="0067507D">
              <w:t>95</w:t>
            </w:r>
          </w:p>
        </w:tc>
        <w:tc>
          <w:tcPr>
            <w:tcW w:w="979" w:type="dxa"/>
            <w:shd w:val="clear" w:color="auto" w:fill="E0E0E0"/>
            <w:noWrap/>
          </w:tcPr>
          <w:p w14:paraId="716825E7" w14:textId="1AE9A1C9" w:rsidR="00B325FE" w:rsidRPr="0067507D" w:rsidRDefault="00F61F1D" w:rsidP="00A721E2">
            <w:pPr>
              <w:pStyle w:val="Tabletextrightbold"/>
            </w:pPr>
            <w:r w:rsidRPr="0067507D">
              <w:t>90</w:t>
            </w:r>
          </w:p>
        </w:tc>
        <w:tc>
          <w:tcPr>
            <w:tcW w:w="979" w:type="dxa"/>
            <w:shd w:val="clear" w:color="auto" w:fill="E0E0E0"/>
          </w:tcPr>
          <w:p w14:paraId="4382FB0A" w14:textId="0FF05C16" w:rsidR="00B325FE" w:rsidRPr="0067507D" w:rsidRDefault="00F61F1D" w:rsidP="00A721E2">
            <w:pPr>
              <w:pStyle w:val="Tabletextrightbold"/>
            </w:pPr>
            <w:r w:rsidRPr="0067507D">
              <w:t>7</w:t>
            </w:r>
          </w:p>
        </w:tc>
        <w:tc>
          <w:tcPr>
            <w:tcW w:w="778" w:type="dxa"/>
            <w:shd w:val="clear" w:color="auto" w:fill="E0E0E0"/>
          </w:tcPr>
          <w:p w14:paraId="12E58CAC" w14:textId="13097716" w:rsidR="00B325FE" w:rsidRPr="0067507D" w:rsidRDefault="00F61F1D" w:rsidP="00A721E2">
            <w:pPr>
              <w:pStyle w:val="Tabletextrightbold"/>
            </w:pPr>
            <w:r w:rsidRPr="0067507D">
              <w:t>94</w:t>
            </w:r>
          </w:p>
        </w:tc>
        <w:tc>
          <w:tcPr>
            <w:tcW w:w="1091" w:type="dxa"/>
          </w:tcPr>
          <w:p w14:paraId="0B525464" w14:textId="6D2A3838" w:rsidR="00B325FE" w:rsidRPr="0067507D" w:rsidRDefault="00F61F1D" w:rsidP="00A721E2">
            <w:pPr>
              <w:pStyle w:val="Tabletextrightbold"/>
            </w:pPr>
            <w:r w:rsidRPr="0067507D">
              <w:t>3</w:t>
            </w:r>
          </w:p>
        </w:tc>
        <w:tc>
          <w:tcPr>
            <w:tcW w:w="637" w:type="dxa"/>
          </w:tcPr>
          <w:p w14:paraId="707C32C1" w14:textId="07BBA326" w:rsidR="00B325FE" w:rsidRPr="0067507D" w:rsidRDefault="00F61F1D" w:rsidP="00A721E2">
            <w:pPr>
              <w:pStyle w:val="Tabletextrightbold"/>
            </w:pPr>
            <w:r w:rsidRPr="0067507D">
              <w:t>2</w:t>
            </w:r>
          </w:p>
        </w:tc>
      </w:tr>
      <w:tr w:rsidR="00AE20A0" w:rsidRPr="0067507D" w14:paraId="799A4C42" w14:textId="77777777" w:rsidTr="00A721E2">
        <w:trPr>
          <w:cantSplit/>
        </w:trPr>
        <w:tc>
          <w:tcPr>
            <w:tcW w:w="1620" w:type="dxa"/>
            <w:vAlign w:val="bottom"/>
          </w:tcPr>
          <w:p w14:paraId="7E708525" w14:textId="03BF4DEA" w:rsidR="00B325FE" w:rsidRPr="0067507D" w:rsidRDefault="00B325FE" w:rsidP="00A721E2">
            <w:pPr>
              <w:pStyle w:val="Tabletext"/>
              <w:spacing w:before="40" w:after="40"/>
            </w:pPr>
            <w:r w:rsidRPr="0067507D">
              <w:t>STS</w:t>
            </w:r>
          </w:p>
        </w:tc>
        <w:tc>
          <w:tcPr>
            <w:tcW w:w="932" w:type="dxa"/>
            <w:shd w:val="clear" w:color="auto" w:fill="E0E0E0"/>
          </w:tcPr>
          <w:p w14:paraId="3DB0CBC9" w14:textId="1D79CABE" w:rsidR="00B325FE" w:rsidRPr="0067507D" w:rsidRDefault="00DC5609" w:rsidP="00A721E2">
            <w:pPr>
              <w:pStyle w:val="Tabletextright"/>
              <w:spacing w:before="40" w:after="40"/>
            </w:pPr>
            <w:r w:rsidRPr="0067507D">
              <w:t>13</w:t>
            </w:r>
          </w:p>
        </w:tc>
        <w:tc>
          <w:tcPr>
            <w:tcW w:w="659" w:type="dxa"/>
            <w:shd w:val="clear" w:color="auto" w:fill="E0E0E0"/>
          </w:tcPr>
          <w:p w14:paraId="4286B4DD" w14:textId="5B1F2D81" w:rsidR="00B325FE" w:rsidRPr="0067507D" w:rsidRDefault="00DC5609" w:rsidP="00A721E2">
            <w:pPr>
              <w:pStyle w:val="Tabletextright"/>
              <w:spacing w:before="40" w:after="40"/>
            </w:pPr>
            <w:r w:rsidRPr="0067507D">
              <w:t>11</w:t>
            </w:r>
          </w:p>
        </w:tc>
        <w:tc>
          <w:tcPr>
            <w:tcW w:w="979" w:type="dxa"/>
          </w:tcPr>
          <w:p w14:paraId="44D549C4" w14:textId="63EC01AF" w:rsidR="00B325FE" w:rsidRPr="0067507D" w:rsidRDefault="00DC5609" w:rsidP="00A721E2">
            <w:pPr>
              <w:pStyle w:val="Tabletextright"/>
              <w:spacing w:before="40" w:after="40"/>
            </w:pPr>
            <w:r w:rsidRPr="0067507D">
              <w:t>9</w:t>
            </w:r>
          </w:p>
        </w:tc>
        <w:tc>
          <w:tcPr>
            <w:tcW w:w="979" w:type="dxa"/>
          </w:tcPr>
          <w:p w14:paraId="457BC8FB" w14:textId="37F0643D" w:rsidR="00B325FE" w:rsidRPr="0067507D" w:rsidRDefault="00DC5609" w:rsidP="00A721E2">
            <w:pPr>
              <w:pStyle w:val="Tabletextright"/>
              <w:spacing w:before="40" w:after="40"/>
            </w:pPr>
            <w:r w:rsidRPr="0067507D">
              <w:t>1</w:t>
            </w:r>
          </w:p>
        </w:tc>
        <w:tc>
          <w:tcPr>
            <w:tcW w:w="778" w:type="dxa"/>
          </w:tcPr>
          <w:p w14:paraId="38DA2ACA" w14:textId="34317FA0" w:rsidR="00B325FE" w:rsidRPr="0067507D" w:rsidRDefault="00DC5609" w:rsidP="00A721E2">
            <w:pPr>
              <w:pStyle w:val="Tabletextright"/>
              <w:spacing w:before="40" w:after="40"/>
            </w:pPr>
            <w:r w:rsidRPr="0067507D">
              <w:t>10</w:t>
            </w:r>
          </w:p>
        </w:tc>
        <w:tc>
          <w:tcPr>
            <w:tcW w:w="999" w:type="dxa"/>
            <w:shd w:val="clear" w:color="auto" w:fill="E0E0E0"/>
          </w:tcPr>
          <w:p w14:paraId="24A8468D" w14:textId="34A9BD3B" w:rsidR="00B325FE" w:rsidRPr="0067507D" w:rsidRDefault="00DC5609" w:rsidP="00A721E2">
            <w:pPr>
              <w:pStyle w:val="Tabletextright"/>
              <w:spacing w:before="40" w:after="40"/>
            </w:pPr>
            <w:r w:rsidRPr="0067507D">
              <w:t>3</w:t>
            </w:r>
          </w:p>
        </w:tc>
        <w:tc>
          <w:tcPr>
            <w:tcW w:w="729" w:type="dxa"/>
            <w:shd w:val="clear" w:color="auto" w:fill="E0E0E0"/>
          </w:tcPr>
          <w:p w14:paraId="66A7476B" w14:textId="57ED3703" w:rsidR="00B325FE" w:rsidRPr="0067507D" w:rsidRDefault="00DC5609" w:rsidP="00A721E2">
            <w:pPr>
              <w:pStyle w:val="Tabletextright"/>
              <w:spacing w:before="40" w:after="40"/>
            </w:pPr>
            <w:r w:rsidRPr="0067507D">
              <w:t>1</w:t>
            </w:r>
          </w:p>
        </w:tc>
        <w:tc>
          <w:tcPr>
            <w:tcW w:w="1055" w:type="dxa"/>
            <w:noWrap/>
          </w:tcPr>
          <w:p w14:paraId="3A6BB68D" w14:textId="6FDA2B14" w:rsidR="00B325FE" w:rsidRPr="0067507D" w:rsidRDefault="00F61F1D" w:rsidP="00A721E2">
            <w:pPr>
              <w:pStyle w:val="Tabletextright"/>
              <w:spacing w:before="40" w:after="40"/>
            </w:pPr>
            <w:r w:rsidRPr="0067507D">
              <w:t>13</w:t>
            </w:r>
          </w:p>
        </w:tc>
        <w:tc>
          <w:tcPr>
            <w:tcW w:w="673" w:type="dxa"/>
          </w:tcPr>
          <w:p w14:paraId="51472187" w14:textId="1FB39FBE" w:rsidR="00B325FE" w:rsidRPr="0067507D" w:rsidRDefault="00F61F1D" w:rsidP="00A721E2">
            <w:pPr>
              <w:pStyle w:val="Tabletextright"/>
              <w:spacing w:before="40" w:after="40"/>
            </w:pPr>
            <w:r w:rsidRPr="0067507D">
              <w:t>11</w:t>
            </w:r>
          </w:p>
        </w:tc>
        <w:tc>
          <w:tcPr>
            <w:tcW w:w="979" w:type="dxa"/>
            <w:shd w:val="clear" w:color="auto" w:fill="E0E0E0"/>
            <w:noWrap/>
          </w:tcPr>
          <w:p w14:paraId="30DE1DDF" w14:textId="49041111" w:rsidR="00B325FE" w:rsidRPr="0067507D" w:rsidRDefault="00F61F1D" w:rsidP="00A721E2">
            <w:pPr>
              <w:pStyle w:val="Tabletextright"/>
              <w:spacing w:before="40" w:after="40"/>
            </w:pPr>
            <w:r w:rsidRPr="0067507D">
              <w:t>9</w:t>
            </w:r>
          </w:p>
        </w:tc>
        <w:tc>
          <w:tcPr>
            <w:tcW w:w="979" w:type="dxa"/>
            <w:shd w:val="clear" w:color="auto" w:fill="E0E0E0"/>
          </w:tcPr>
          <w:p w14:paraId="542CC815" w14:textId="3C0F993C" w:rsidR="00B325FE" w:rsidRPr="0067507D" w:rsidRDefault="00F61F1D" w:rsidP="00A721E2">
            <w:pPr>
              <w:pStyle w:val="Tabletextright"/>
              <w:spacing w:before="40" w:after="40"/>
            </w:pPr>
            <w:r w:rsidRPr="0067507D">
              <w:t>1</w:t>
            </w:r>
          </w:p>
        </w:tc>
        <w:tc>
          <w:tcPr>
            <w:tcW w:w="778" w:type="dxa"/>
            <w:shd w:val="clear" w:color="auto" w:fill="E0E0E0"/>
          </w:tcPr>
          <w:p w14:paraId="55049FD3" w14:textId="3D766764" w:rsidR="00B325FE" w:rsidRPr="0067507D" w:rsidRDefault="00F61F1D" w:rsidP="00A721E2">
            <w:pPr>
              <w:pStyle w:val="Tabletextright"/>
              <w:spacing w:before="40" w:after="40"/>
            </w:pPr>
            <w:r w:rsidRPr="0067507D">
              <w:t>10</w:t>
            </w:r>
          </w:p>
        </w:tc>
        <w:tc>
          <w:tcPr>
            <w:tcW w:w="1091" w:type="dxa"/>
          </w:tcPr>
          <w:p w14:paraId="2D744575" w14:textId="026943F2" w:rsidR="00B325FE" w:rsidRPr="0067507D" w:rsidRDefault="00F61F1D" w:rsidP="00A721E2">
            <w:pPr>
              <w:pStyle w:val="Tabletextright"/>
              <w:spacing w:before="40" w:after="40"/>
            </w:pPr>
            <w:r w:rsidRPr="0067507D">
              <w:t>3</w:t>
            </w:r>
          </w:p>
        </w:tc>
        <w:tc>
          <w:tcPr>
            <w:tcW w:w="637" w:type="dxa"/>
          </w:tcPr>
          <w:p w14:paraId="6099713E" w14:textId="1B603B83" w:rsidR="00B325FE" w:rsidRPr="0067507D" w:rsidRDefault="00F61F1D" w:rsidP="00A721E2">
            <w:pPr>
              <w:pStyle w:val="Tabletextright"/>
              <w:spacing w:before="40" w:after="40"/>
            </w:pPr>
            <w:r w:rsidRPr="0067507D">
              <w:t>2</w:t>
            </w:r>
          </w:p>
        </w:tc>
      </w:tr>
      <w:tr w:rsidR="00AE20A0" w:rsidRPr="0067507D" w14:paraId="51846773" w14:textId="77777777" w:rsidTr="00A721E2">
        <w:trPr>
          <w:cantSplit/>
        </w:trPr>
        <w:tc>
          <w:tcPr>
            <w:tcW w:w="1620" w:type="dxa"/>
            <w:vAlign w:val="bottom"/>
          </w:tcPr>
          <w:p w14:paraId="2F6C8008" w14:textId="620D5DD2" w:rsidR="00B325FE" w:rsidRPr="0067507D" w:rsidRDefault="00B325FE" w:rsidP="00A721E2">
            <w:pPr>
              <w:pStyle w:val="Tabletext"/>
              <w:spacing w:before="40" w:after="40"/>
            </w:pPr>
            <w:r w:rsidRPr="0067507D">
              <w:t>Executives</w:t>
            </w:r>
            <w:r w:rsidR="00AE6130" w:rsidRPr="0067507D">
              <w:t xml:space="preserve"> </w:t>
            </w:r>
          </w:p>
        </w:tc>
        <w:tc>
          <w:tcPr>
            <w:tcW w:w="932" w:type="dxa"/>
            <w:shd w:val="clear" w:color="auto" w:fill="E0E0E0"/>
          </w:tcPr>
          <w:p w14:paraId="707876B7" w14:textId="1FA91EC9" w:rsidR="00B325FE" w:rsidRPr="0067507D" w:rsidRDefault="00DC5609" w:rsidP="00A721E2">
            <w:pPr>
              <w:pStyle w:val="Tabletextright"/>
              <w:spacing w:before="40" w:after="40"/>
            </w:pPr>
            <w:r w:rsidRPr="0067507D">
              <w:t>93</w:t>
            </w:r>
          </w:p>
        </w:tc>
        <w:tc>
          <w:tcPr>
            <w:tcW w:w="659" w:type="dxa"/>
            <w:shd w:val="clear" w:color="auto" w:fill="E0E0E0"/>
          </w:tcPr>
          <w:p w14:paraId="586F3314" w14:textId="70805282" w:rsidR="00B325FE" w:rsidRPr="0067507D" w:rsidRDefault="00DC5609" w:rsidP="00A721E2">
            <w:pPr>
              <w:pStyle w:val="Tabletextright"/>
              <w:spacing w:before="40" w:after="40"/>
            </w:pPr>
            <w:r w:rsidRPr="0067507D">
              <w:t>89</w:t>
            </w:r>
          </w:p>
        </w:tc>
        <w:tc>
          <w:tcPr>
            <w:tcW w:w="979" w:type="dxa"/>
          </w:tcPr>
          <w:p w14:paraId="3D0775FC" w14:textId="076ADF3B" w:rsidR="00B325FE" w:rsidRPr="0067507D" w:rsidRDefault="00DC5609" w:rsidP="00A721E2">
            <w:pPr>
              <w:pStyle w:val="Tabletextright"/>
              <w:spacing w:before="40" w:after="40"/>
            </w:pPr>
            <w:r w:rsidRPr="0067507D">
              <w:t>83</w:t>
            </w:r>
          </w:p>
        </w:tc>
        <w:tc>
          <w:tcPr>
            <w:tcW w:w="979" w:type="dxa"/>
          </w:tcPr>
          <w:p w14:paraId="624617B7" w14:textId="3CBDAFD4" w:rsidR="00B325FE" w:rsidRPr="0067507D" w:rsidRDefault="00DC5609" w:rsidP="00A721E2">
            <w:pPr>
              <w:pStyle w:val="Tabletextright"/>
              <w:spacing w:before="40" w:after="40"/>
            </w:pPr>
            <w:r w:rsidRPr="0067507D">
              <w:t>10</w:t>
            </w:r>
          </w:p>
        </w:tc>
        <w:tc>
          <w:tcPr>
            <w:tcW w:w="778" w:type="dxa"/>
          </w:tcPr>
          <w:p w14:paraId="3608B926" w14:textId="6606CF95" w:rsidR="00B325FE" w:rsidRPr="0067507D" w:rsidRDefault="00DC5609" w:rsidP="00A721E2">
            <w:pPr>
              <w:pStyle w:val="Tabletextright"/>
              <w:spacing w:before="40" w:after="40"/>
            </w:pPr>
            <w:r w:rsidRPr="0067507D">
              <w:t>89</w:t>
            </w:r>
          </w:p>
        </w:tc>
        <w:tc>
          <w:tcPr>
            <w:tcW w:w="999" w:type="dxa"/>
            <w:shd w:val="clear" w:color="auto" w:fill="E0E0E0"/>
          </w:tcPr>
          <w:p w14:paraId="07B3AF57" w14:textId="7CB601D1" w:rsidR="00B325FE" w:rsidRPr="0067507D" w:rsidRDefault="000A55B5" w:rsidP="00A721E2">
            <w:pPr>
              <w:pStyle w:val="Tabletextright"/>
              <w:spacing w:before="40" w:after="40"/>
            </w:pPr>
            <w:r w:rsidRPr="0067507D">
              <w:t>–</w:t>
            </w:r>
          </w:p>
        </w:tc>
        <w:tc>
          <w:tcPr>
            <w:tcW w:w="729" w:type="dxa"/>
            <w:shd w:val="clear" w:color="auto" w:fill="E0E0E0"/>
          </w:tcPr>
          <w:p w14:paraId="135A497E" w14:textId="14019916" w:rsidR="00B325FE" w:rsidRPr="0067507D" w:rsidRDefault="000A55B5" w:rsidP="00A721E2">
            <w:pPr>
              <w:pStyle w:val="Tabletextright"/>
              <w:spacing w:before="40" w:after="40"/>
            </w:pPr>
            <w:r w:rsidRPr="0067507D">
              <w:t>–</w:t>
            </w:r>
          </w:p>
        </w:tc>
        <w:tc>
          <w:tcPr>
            <w:tcW w:w="1055" w:type="dxa"/>
            <w:noWrap/>
          </w:tcPr>
          <w:p w14:paraId="09C212AF" w14:textId="62F4ABAE" w:rsidR="00B325FE" w:rsidRPr="0067507D" w:rsidRDefault="00F61F1D" w:rsidP="00A721E2">
            <w:pPr>
              <w:pStyle w:val="Tabletextright"/>
              <w:spacing w:before="40" w:after="40"/>
            </w:pPr>
            <w:r w:rsidRPr="0067507D">
              <w:t>86</w:t>
            </w:r>
          </w:p>
        </w:tc>
        <w:tc>
          <w:tcPr>
            <w:tcW w:w="673" w:type="dxa"/>
          </w:tcPr>
          <w:p w14:paraId="755387FB" w14:textId="5F6B133E" w:rsidR="00B325FE" w:rsidRPr="0067507D" w:rsidRDefault="00F61F1D" w:rsidP="00A721E2">
            <w:pPr>
              <w:pStyle w:val="Tabletextright"/>
              <w:spacing w:before="40" w:after="40"/>
            </w:pPr>
            <w:r w:rsidRPr="0067507D">
              <w:t>83</w:t>
            </w:r>
          </w:p>
        </w:tc>
        <w:tc>
          <w:tcPr>
            <w:tcW w:w="979" w:type="dxa"/>
            <w:shd w:val="clear" w:color="auto" w:fill="E0E0E0"/>
            <w:noWrap/>
          </w:tcPr>
          <w:p w14:paraId="2094A22B" w14:textId="29CE13FB" w:rsidR="00B325FE" w:rsidRPr="0067507D" w:rsidRDefault="00F61F1D" w:rsidP="00A721E2">
            <w:pPr>
              <w:pStyle w:val="Tabletextright"/>
              <w:spacing w:before="40" w:after="40"/>
            </w:pPr>
            <w:r w:rsidRPr="0067507D">
              <w:t>80</w:t>
            </w:r>
          </w:p>
        </w:tc>
        <w:tc>
          <w:tcPr>
            <w:tcW w:w="979" w:type="dxa"/>
            <w:shd w:val="clear" w:color="auto" w:fill="E0E0E0"/>
          </w:tcPr>
          <w:p w14:paraId="011E1A60" w14:textId="61E15195" w:rsidR="00B325FE" w:rsidRPr="0067507D" w:rsidRDefault="00F61F1D" w:rsidP="00A721E2">
            <w:pPr>
              <w:pStyle w:val="Tabletextright"/>
              <w:spacing w:before="40" w:after="40"/>
            </w:pPr>
            <w:r w:rsidRPr="0067507D">
              <w:t>6</w:t>
            </w:r>
          </w:p>
        </w:tc>
        <w:tc>
          <w:tcPr>
            <w:tcW w:w="778" w:type="dxa"/>
            <w:shd w:val="clear" w:color="auto" w:fill="E0E0E0"/>
          </w:tcPr>
          <w:p w14:paraId="7AE684AD" w14:textId="1C03B352" w:rsidR="00B325FE" w:rsidRPr="0067507D" w:rsidRDefault="00F61F1D" w:rsidP="00A721E2">
            <w:pPr>
              <w:pStyle w:val="Tabletextright"/>
              <w:spacing w:before="40" w:after="40"/>
            </w:pPr>
            <w:r w:rsidRPr="0067507D">
              <w:t>83</w:t>
            </w:r>
          </w:p>
        </w:tc>
        <w:tc>
          <w:tcPr>
            <w:tcW w:w="1091" w:type="dxa"/>
          </w:tcPr>
          <w:p w14:paraId="787CDCB4" w14:textId="550323BC" w:rsidR="00B325FE" w:rsidRPr="0067507D" w:rsidRDefault="00F61F1D" w:rsidP="00A721E2">
            <w:pPr>
              <w:pStyle w:val="Tabletextright"/>
              <w:spacing w:before="40" w:after="40"/>
            </w:pPr>
            <w:r w:rsidRPr="0067507D">
              <w:t>–</w:t>
            </w:r>
          </w:p>
        </w:tc>
        <w:tc>
          <w:tcPr>
            <w:tcW w:w="637" w:type="dxa"/>
          </w:tcPr>
          <w:p w14:paraId="692BD482" w14:textId="747EC00E" w:rsidR="00B325FE" w:rsidRPr="0067507D" w:rsidRDefault="00F61F1D" w:rsidP="00A721E2">
            <w:pPr>
              <w:pStyle w:val="Tabletextright"/>
              <w:spacing w:before="40" w:after="40"/>
            </w:pPr>
            <w:r w:rsidRPr="0067507D">
              <w:t>–</w:t>
            </w:r>
          </w:p>
        </w:tc>
      </w:tr>
      <w:tr w:rsidR="00AE20A0" w:rsidRPr="0067507D" w14:paraId="1FCA2F20" w14:textId="77777777" w:rsidTr="00A721E2">
        <w:trPr>
          <w:cantSplit/>
        </w:trPr>
        <w:tc>
          <w:tcPr>
            <w:tcW w:w="1620" w:type="dxa"/>
            <w:vAlign w:val="bottom"/>
          </w:tcPr>
          <w:p w14:paraId="5F819A04" w14:textId="77777777" w:rsidR="00B325FE" w:rsidRPr="0067507D" w:rsidRDefault="00B325FE" w:rsidP="00A721E2">
            <w:pPr>
              <w:pStyle w:val="Tabletext"/>
              <w:spacing w:before="40" w:after="40"/>
            </w:pPr>
            <w:r w:rsidRPr="0067507D">
              <w:t>Secretary</w:t>
            </w:r>
          </w:p>
        </w:tc>
        <w:tc>
          <w:tcPr>
            <w:tcW w:w="932" w:type="dxa"/>
            <w:shd w:val="clear" w:color="auto" w:fill="E0E0E0"/>
          </w:tcPr>
          <w:p w14:paraId="09FE733C" w14:textId="04F832DE" w:rsidR="00B325FE" w:rsidRPr="0067507D" w:rsidRDefault="00DC5609" w:rsidP="00A721E2">
            <w:pPr>
              <w:pStyle w:val="Tabletextright"/>
              <w:spacing w:before="40" w:after="40"/>
            </w:pPr>
            <w:r w:rsidRPr="0067507D">
              <w:t>1</w:t>
            </w:r>
          </w:p>
        </w:tc>
        <w:tc>
          <w:tcPr>
            <w:tcW w:w="659" w:type="dxa"/>
            <w:shd w:val="clear" w:color="auto" w:fill="E0E0E0"/>
          </w:tcPr>
          <w:p w14:paraId="019767DE" w14:textId="69044F3F" w:rsidR="00B325FE" w:rsidRPr="0067507D" w:rsidRDefault="00DC5609" w:rsidP="00A721E2">
            <w:pPr>
              <w:pStyle w:val="Tabletextright"/>
              <w:spacing w:before="40" w:after="40"/>
            </w:pPr>
            <w:r w:rsidRPr="0067507D">
              <w:t>1</w:t>
            </w:r>
          </w:p>
        </w:tc>
        <w:tc>
          <w:tcPr>
            <w:tcW w:w="979" w:type="dxa"/>
          </w:tcPr>
          <w:p w14:paraId="2878636D" w14:textId="0AADD636" w:rsidR="00B325FE" w:rsidRPr="0067507D" w:rsidRDefault="00DC5609" w:rsidP="00A721E2">
            <w:pPr>
              <w:pStyle w:val="Tabletextright"/>
              <w:spacing w:before="40" w:after="40"/>
            </w:pPr>
            <w:r w:rsidRPr="0067507D">
              <w:t>1</w:t>
            </w:r>
          </w:p>
        </w:tc>
        <w:tc>
          <w:tcPr>
            <w:tcW w:w="979" w:type="dxa"/>
          </w:tcPr>
          <w:p w14:paraId="2D8B13C8" w14:textId="58F61D2A" w:rsidR="00B325FE" w:rsidRPr="0067507D" w:rsidRDefault="000A55B5" w:rsidP="00A721E2">
            <w:pPr>
              <w:pStyle w:val="Tabletextright"/>
              <w:spacing w:before="40" w:after="40"/>
            </w:pPr>
            <w:r w:rsidRPr="0067507D">
              <w:t>–</w:t>
            </w:r>
          </w:p>
        </w:tc>
        <w:tc>
          <w:tcPr>
            <w:tcW w:w="778" w:type="dxa"/>
          </w:tcPr>
          <w:p w14:paraId="4B82B410" w14:textId="6DE7509C" w:rsidR="00B325FE" w:rsidRPr="0067507D" w:rsidRDefault="00DC5609" w:rsidP="00A721E2">
            <w:pPr>
              <w:pStyle w:val="Tabletextright"/>
              <w:spacing w:before="40" w:after="40"/>
            </w:pPr>
            <w:r w:rsidRPr="0067507D">
              <w:t>1</w:t>
            </w:r>
          </w:p>
        </w:tc>
        <w:tc>
          <w:tcPr>
            <w:tcW w:w="999" w:type="dxa"/>
            <w:shd w:val="clear" w:color="auto" w:fill="E0E0E0"/>
          </w:tcPr>
          <w:p w14:paraId="7042A82F" w14:textId="776B0F49" w:rsidR="00B325FE" w:rsidRPr="0067507D" w:rsidRDefault="000A55B5" w:rsidP="00A721E2">
            <w:pPr>
              <w:pStyle w:val="Tabletextright"/>
              <w:spacing w:before="40" w:after="40"/>
            </w:pPr>
            <w:r w:rsidRPr="0067507D">
              <w:t>–</w:t>
            </w:r>
          </w:p>
        </w:tc>
        <w:tc>
          <w:tcPr>
            <w:tcW w:w="729" w:type="dxa"/>
            <w:shd w:val="clear" w:color="auto" w:fill="E0E0E0"/>
          </w:tcPr>
          <w:p w14:paraId="483AF77A" w14:textId="7F0F7CC7" w:rsidR="00B325FE" w:rsidRPr="0067507D" w:rsidRDefault="000A55B5" w:rsidP="00A721E2">
            <w:pPr>
              <w:pStyle w:val="Tabletextright"/>
              <w:spacing w:before="40" w:after="40"/>
            </w:pPr>
            <w:r w:rsidRPr="0067507D">
              <w:t>–</w:t>
            </w:r>
          </w:p>
        </w:tc>
        <w:tc>
          <w:tcPr>
            <w:tcW w:w="1055" w:type="dxa"/>
            <w:noWrap/>
          </w:tcPr>
          <w:p w14:paraId="1934EC73" w14:textId="50BC01B5" w:rsidR="00B325FE" w:rsidRPr="0067507D" w:rsidRDefault="00F61F1D" w:rsidP="00A721E2">
            <w:pPr>
              <w:pStyle w:val="Tabletextright"/>
              <w:spacing w:before="40" w:after="40"/>
            </w:pPr>
            <w:r w:rsidRPr="0067507D">
              <w:t>1</w:t>
            </w:r>
          </w:p>
        </w:tc>
        <w:tc>
          <w:tcPr>
            <w:tcW w:w="673" w:type="dxa"/>
          </w:tcPr>
          <w:p w14:paraId="1E5FA530" w14:textId="579A4A3B" w:rsidR="00B325FE" w:rsidRPr="0067507D" w:rsidRDefault="00F61F1D" w:rsidP="00A721E2">
            <w:pPr>
              <w:pStyle w:val="Tabletextright"/>
              <w:spacing w:before="40" w:after="40"/>
            </w:pPr>
            <w:r w:rsidRPr="0067507D">
              <w:t>1</w:t>
            </w:r>
          </w:p>
        </w:tc>
        <w:tc>
          <w:tcPr>
            <w:tcW w:w="979" w:type="dxa"/>
            <w:shd w:val="clear" w:color="auto" w:fill="E0E0E0"/>
            <w:noWrap/>
          </w:tcPr>
          <w:p w14:paraId="5650D8C2" w14:textId="551E8C3A" w:rsidR="00B325FE" w:rsidRPr="0067507D" w:rsidRDefault="00F61F1D" w:rsidP="00A721E2">
            <w:pPr>
              <w:pStyle w:val="Tabletextright"/>
              <w:spacing w:before="40" w:after="40"/>
            </w:pPr>
            <w:r w:rsidRPr="0067507D">
              <w:t>1</w:t>
            </w:r>
          </w:p>
        </w:tc>
        <w:tc>
          <w:tcPr>
            <w:tcW w:w="979" w:type="dxa"/>
            <w:shd w:val="clear" w:color="auto" w:fill="E0E0E0"/>
          </w:tcPr>
          <w:p w14:paraId="76987EC3" w14:textId="0FF68243" w:rsidR="00B325FE" w:rsidRPr="0067507D" w:rsidRDefault="00F61F1D" w:rsidP="00A721E2">
            <w:pPr>
              <w:pStyle w:val="Tabletextright"/>
              <w:spacing w:before="40" w:after="40"/>
            </w:pPr>
            <w:r w:rsidRPr="0067507D">
              <w:t>–</w:t>
            </w:r>
          </w:p>
        </w:tc>
        <w:tc>
          <w:tcPr>
            <w:tcW w:w="778" w:type="dxa"/>
            <w:shd w:val="clear" w:color="auto" w:fill="E0E0E0"/>
          </w:tcPr>
          <w:p w14:paraId="5343FB72" w14:textId="7EEFFB1C" w:rsidR="00B325FE" w:rsidRPr="0067507D" w:rsidRDefault="00F61F1D" w:rsidP="00A721E2">
            <w:pPr>
              <w:pStyle w:val="Tabletextright"/>
              <w:spacing w:before="40" w:after="40"/>
            </w:pPr>
            <w:r w:rsidRPr="0067507D">
              <w:t>1</w:t>
            </w:r>
          </w:p>
        </w:tc>
        <w:tc>
          <w:tcPr>
            <w:tcW w:w="1091" w:type="dxa"/>
          </w:tcPr>
          <w:p w14:paraId="721220F3" w14:textId="578158E8" w:rsidR="00B325FE" w:rsidRPr="0067507D" w:rsidRDefault="00F61F1D" w:rsidP="00A721E2">
            <w:pPr>
              <w:pStyle w:val="Tabletextright"/>
              <w:spacing w:before="40" w:after="40"/>
            </w:pPr>
            <w:r w:rsidRPr="0067507D">
              <w:t>–</w:t>
            </w:r>
          </w:p>
        </w:tc>
        <w:tc>
          <w:tcPr>
            <w:tcW w:w="637" w:type="dxa"/>
          </w:tcPr>
          <w:p w14:paraId="3C86F0A1" w14:textId="183CA050" w:rsidR="00B325FE" w:rsidRPr="0067507D" w:rsidRDefault="00F61F1D" w:rsidP="00A721E2">
            <w:pPr>
              <w:pStyle w:val="Tabletextright"/>
              <w:spacing w:before="40" w:after="40"/>
            </w:pPr>
            <w:r w:rsidRPr="0067507D">
              <w:t>–</w:t>
            </w:r>
          </w:p>
        </w:tc>
      </w:tr>
      <w:tr w:rsidR="00B325FE" w:rsidRPr="0067507D" w14:paraId="35792F87" w14:textId="77777777" w:rsidTr="00A721E2">
        <w:trPr>
          <w:cantSplit/>
        </w:trPr>
        <w:tc>
          <w:tcPr>
            <w:tcW w:w="1620" w:type="dxa"/>
          </w:tcPr>
          <w:p w14:paraId="2A7EA1EA" w14:textId="77777777" w:rsidR="00B325FE" w:rsidRPr="0067507D" w:rsidRDefault="00B325FE" w:rsidP="00A721E2">
            <w:pPr>
              <w:pStyle w:val="Tabletext"/>
              <w:spacing w:before="20" w:after="20"/>
              <w:rPr>
                <w:sz w:val="4"/>
              </w:rPr>
            </w:pPr>
          </w:p>
        </w:tc>
        <w:tc>
          <w:tcPr>
            <w:tcW w:w="932" w:type="dxa"/>
            <w:shd w:val="clear" w:color="auto" w:fill="E0E0E0"/>
          </w:tcPr>
          <w:p w14:paraId="571645D4" w14:textId="77777777" w:rsidR="00B325FE" w:rsidRPr="0067507D" w:rsidRDefault="00B325FE" w:rsidP="00A721E2">
            <w:pPr>
              <w:pStyle w:val="Tabletextright"/>
              <w:spacing w:before="20" w:after="20"/>
              <w:rPr>
                <w:sz w:val="4"/>
              </w:rPr>
            </w:pPr>
          </w:p>
        </w:tc>
        <w:tc>
          <w:tcPr>
            <w:tcW w:w="659" w:type="dxa"/>
            <w:shd w:val="clear" w:color="auto" w:fill="E0E0E0"/>
          </w:tcPr>
          <w:p w14:paraId="0C81BC39" w14:textId="77777777" w:rsidR="00B325FE" w:rsidRPr="0067507D" w:rsidRDefault="00B325FE" w:rsidP="00A721E2">
            <w:pPr>
              <w:pStyle w:val="Tabletextright"/>
              <w:spacing w:before="20" w:after="20"/>
              <w:rPr>
                <w:sz w:val="4"/>
              </w:rPr>
            </w:pPr>
          </w:p>
        </w:tc>
        <w:tc>
          <w:tcPr>
            <w:tcW w:w="979" w:type="dxa"/>
          </w:tcPr>
          <w:p w14:paraId="681E80E4" w14:textId="77777777" w:rsidR="00B325FE" w:rsidRPr="0067507D" w:rsidRDefault="00B325FE" w:rsidP="00A721E2">
            <w:pPr>
              <w:pStyle w:val="Tabletextright"/>
              <w:spacing w:before="20" w:after="20"/>
              <w:rPr>
                <w:sz w:val="4"/>
              </w:rPr>
            </w:pPr>
          </w:p>
        </w:tc>
        <w:tc>
          <w:tcPr>
            <w:tcW w:w="979" w:type="dxa"/>
          </w:tcPr>
          <w:p w14:paraId="75438EC8" w14:textId="77777777" w:rsidR="00B325FE" w:rsidRPr="0067507D" w:rsidRDefault="00B325FE" w:rsidP="00A721E2">
            <w:pPr>
              <w:pStyle w:val="Tabletextright"/>
              <w:spacing w:before="20" w:after="20"/>
              <w:rPr>
                <w:sz w:val="4"/>
              </w:rPr>
            </w:pPr>
          </w:p>
        </w:tc>
        <w:tc>
          <w:tcPr>
            <w:tcW w:w="778" w:type="dxa"/>
          </w:tcPr>
          <w:p w14:paraId="3BC97456" w14:textId="77777777" w:rsidR="00B325FE" w:rsidRPr="0067507D" w:rsidRDefault="00B325FE" w:rsidP="00A721E2">
            <w:pPr>
              <w:pStyle w:val="Tabletextright"/>
              <w:spacing w:before="20" w:after="20"/>
              <w:rPr>
                <w:sz w:val="4"/>
              </w:rPr>
            </w:pPr>
          </w:p>
        </w:tc>
        <w:tc>
          <w:tcPr>
            <w:tcW w:w="999" w:type="dxa"/>
            <w:shd w:val="clear" w:color="auto" w:fill="E0E0E0"/>
          </w:tcPr>
          <w:p w14:paraId="3A80CD73" w14:textId="77777777" w:rsidR="00B325FE" w:rsidRPr="0067507D" w:rsidRDefault="00B325FE" w:rsidP="00A721E2">
            <w:pPr>
              <w:pStyle w:val="Tabletextright"/>
              <w:spacing w:before="20" w:after="20"/>
              <w:rPr>
                <w:sz w:val="4"/>
              </w:rPr>
            </w:pPr>
          </w:p>
        </w:tc>
        <w:tc>
          <w:tcPr>
            <w:tcW w:w="729" w:type="dxa"/>
            <w:shd w:val="clear" w:color="auto" w:fill="E0E0E0"/>
          </w:tcPr>
          <w:p w14:paraId="7A56962E" w14:textId="77777777" w:rsidR="00B325FE" w:rsidRPr="0067507D" w:rsidRDefault="00B325FE" w:rsidP="00A721E2">
            <w:pPr>
              <w:pStyle w:val="Tabletextright"/>
              <w:spacing w:before="20" w:after="20"/>
              <w:rPr>
                <w:sz w:val="4"/>
              </w:rPr>
            </w:pPr>
          </w:p>
        </w:tc>
        <w:tc>
          <w:tcPr>
            <w:tcW w:w="1055" w:type="dxa"/>
            <w:noWrap/>
          </w:tcPr>
          <w:p w14:paraId="66CC6802" w14:textId="77777777" w:rsidR="00B325FE" w:rsidRPr="0067507D" w:rsidRDefault="00B325FE" w:rsidP="00A721E2">
            <w:pPr>
              <w:pStyle w:val="Tabletextright"/>
              <w:spacing w:before="20" w:after="20"/>
              <w:rPr>
                <w:sz w:val="4"/>
              </w:rPr>
            </w:pPr>
          </w:p>
        </w:tc>
        <w:tc>
          <w:tcPr>
            <w:tcW w:w="673" w:type="dxa"/>
          </w:tcPr>
          <w:p w14:paraId="4ABEF3F6" w14:textId="77777777" w:rsidR="00B325FE" w:rsidRPr="0067507D" w:rsidRDefault="00B325FE" w:rsidP="00A721E2">
            <w:pPr>
              <w:pStyle w:val="Tabletextright"/>
              <w:spacing w:before="20" w:after="20"/>
              <w:rPr>
                <w:sz w:val="4"/>
              </w:rPr>
            </w:pPr>
          </w:p>
        </w:tc>
        <w:tc>
          <w:tcPr>
            <w:tcW w:w="979" w:type="dxa"/>
            <w:shd w:val="clear" w:color="auto" w:fill="E0E0E0"/>
            <w:noWrap/>
          </w:tcPr>
          <w:p w14:paraId="1AA1F90A" w14:textId="77777777" w:rsidR="00B325FE" w:rsidRPr="0067507D" w:rsidRDefault="00B325FE" w:rsidP="00A721E2">
            <w:pPr>
              <w:pStyle w:val="Tabletextright"/>
              <w:spacing w:before="20" w:after="20"/>
              <w:rPr>
                <w:sz w:val="4"/>
              </w:rPr>
            </w:pPr>
          </w:p>
        </w:tc>
        <w:tc>
          <w:tcPr>
            <w:tcW w:w="979" w:type="dxa"/>
            <w:shd w:val="clear" w:color="auto" w:fill="E0E0E0"/>
          </w:tcPr>
          <w:p w14:paraId="52DBB1D9" w14:textId="77777777" w:rsidR="00B325FE" w:rsidRPr="0067507D" w:rsidRDefault="00B325FE" w:rsidP="00A721E2">
            <w:pPr>
              <w:pStyle w:val="Tabletextright"/>
              <w:spacing w:before="20" w:after="20"/>
              <w:rPr>
                <w:sz w:val="4"/>
              </w:rPr>
            </w:pPr>
          </w:p>
        </w:tc>
        <w:tc>
          <w:tcPr>
            <w:tcW w:w="778" w:type="dxa"/>
            <w:shd w:val="clear" w:color="auto" w:fill="E0E0E0"/>
          </w:tcPr>
          <w:p w14:paraId="5142BB08" w14:textId="77777777" w:rsidR="00B325FE" w:rsidRPr="0067507D" w:rsidRDefault="00B325FE" w:rsidP="00A721E2">
            <w:pPr>
              <w:pStyle w:val="Tabletextright"/>
              <w:spacing w:before="20" w:after="20"/>
              <w:rPr>
                <w:sz w:val="4"/>
              </w:rPr>
            </w:pPr>
          </w:p>
        </w:tc>
        <w:tc>
          <w:tcPr>
            <w:tcW w:w="1091" w:type="dxa"/>
          </w:tcPr>
          <w:p w14:paraId="080DFCA6" w14:textId="77777777" w:rsidR="00B325FE" w:rsidRPr="0067507D" w:rsidRDefault="00B325FE" w:rsidP="00A721E2">
            <w:pPr>
              <w:pStyle w:val="Tabletextright"/>
              <w:spacing w:before="20" w:after="20"/>
              <w:rPr>
                <w:sz w:val="4"/>
              </w:rPr>
            </w:pPr>
          </w:p>
        </w:tc>
        <w:tc>
          <w:tcPr>
            <w:tcW w:w="637" w:type="dxa"/>
          </w:tcPr>
          <w:p w14:paraId="1BA21E82" w14:textId="77777777" w:rsidR="00B325FE" w:rsidRPr="0067507D" w:rsidRDefault="00B325FE" w:rsidP="00A721E2">
            <w:pPr>
              <w:pStyle w:val="Tabletextright"/>
              <w:spacing w:before="20" w:after="20"/>
              <w:rPr>
                <w:sz w:val="4"/>
              </w:rPr>
            </w:pPr>
          </w:p>
        </w:tc>
      </w:tr>
      <w:tr w:rsidR="00AE20A0" w:rsidRPr="0067507D" w14:paraId="12A65EBE" w14:textId="77777777" w:rsidTr="00A721E2">
        <w:trPr>
          <w:cantSplit/>
        </w:trPr>
        <w:tc>
          <w:tcPr>
            <w:tcW w:w="1620" w:type="dxa"/>
            <w:vAlign w:val="bottom"/>
          </w:tcPr>
          <w:p w14:paraId="052120C5" w14:textId="35D53731" w:rsidR="00B325FE" w:rsidRPr="0067507D" w:rsidRDefault="00B325FE" w:rsidP="00A721E2">
            <w:pPr>
              <w:pStyle w:val="Tabletext"/>
              <w:rPr>
                <w:rFonts w:asciiTheme="majorHAnsi" w:hAnsiTheme="majorHAnsi"/>
              </w:rPr>
            </w:pPr>
            <w:r w:rsidRPr="0067507D">
              <w:rPr>
                <w:rFonts w:asciiTheme="majorHAnsi" w:hAnsiTheme="majorHAnsi" w:cstheme="minorHAnsi"/>
              </w:rPr>
              <w:t>Total employees</w:t>
            </w:r>
            <w:r w:rsidR="000E4121" w:rsidRPr="0067507D">
              <w:rPr>
                <w:rFonts w:asciiTheme="majorHAnsi" w:hAnsiTheme="majorHAnsi" w:cstheme="minorHAnsi"/>
              </w:rPr>
              <w:t xml:space="preserve"> </w:t>
            </w:r>
            <w:r w:rsidR="000E4121" w:rsidRPr="0067507D">
              <w:rPr>
                <w:rFonts w:asciiTheme="majorHAnsi" w:hAnsiTheme="majorHAnsi" w:cstheme="minorHAnsi"/>
                <w:vertAlign w:val="superscript"/>
              </w:rPr>
              <w:t>(</w:t>
            </w:r>
            <w:r w:rsidR="00B36717" w:rsidRPr="0067507D">
              <w:rPr>
                <w:rFonts w:asciiTheme="majorHAnsi" w:hAnsiTheme="majorHAnsi" w:cstheme="minorHAnsi"/>
                <w:vertAlign w:val="superscript"/>
              </w:rPr>
              <w:t>c</w:t>
            </w:r>
            <w:r w:rsidR="000E4121" w:rsidRPr="0067507D">
              <w:rPr>
                <w:rFonts w:asciiTheme="majorHAnsi" w:hAnsiTheme="majorHAnsi" w:cstheme="minorHAnsi"/>
                <w:vertAlign w:val="superscript"/>
              </w:rPr>
              <w:t>)</w:t>
            </w:r>
          </w:p>
        </w:tc>
        <w:tc>
          <w:tcPr>
            <w:tcW w:w="932" w:type="dxa"/>
            <w:shd w:val="clear" w:color="auto" w:fill="E0E0E0"/>
          </w:tcPr>
          <w:p w14:paraId="62F2C70F" w14:textId="37BBAF01" w:rsidR="00B325FE" w:rsidRPr="0067507D" w:rsidRDefault="00DC5609" w:rsidP="00A721E2">
            <w:pPr>
              <w:pStyle w:val="Tabletextrightbold"/>
            </w:pPr>
            <w:r w:rsidRPr="0067507D">
              <w:t>694</w:t>
            </w:r>
          </w:p>
        </w:tc>
        <w:tc>
          <w:tcPr>
            <w:tcW w:w="659" w:type="dxa"/>
            <w:shd w:val="clear" w:color="auto" w:fill="E0E0E0"/>
          </w:tcPr>
          <w:p w14:paraId="16CB6BB5" w14:textId="3DC50170" w:rsidR="00B325FE" w:rsidRPr="0067507D" w:rsidRDefault="00DC5609" w:rsidP="00A721E2">
            <w:pPr>
              <w:pStyle w:val="Tabletextrightbold"/>
            </w:pPr>
            <w:r w:rsidRPr="0067507D">
              <w:t>664</w:t>
            </w:r>
          </w:p>
        </w:tc>
        <w:tc>
          <w:tcPr>
            <w:tcW w:w="979" w:type="dxa"/>
          </w:tcPr>
          <w:p w14:paraId="14EFCFC1" w14:textId="760E8062" w:rsidR="00B325FE" w:rsidRPr="0067507D" w:rsidRDefault="00DC5609" w:rsidP="00A721E2">
            <w:pPr>
              <w:pStyle w:val="Tabletextrightbold"/>
            </w:pPr>
            <w:r w:rsidRPr="0067507D">
              <w:t>548</w:t>
            </w:r>
          </w:p>
        </w:tc>
        <w:tc>
          <w:tcPr>
            <w:tcW w:w="979" w:type="dxa"/>
          </w:tcPr>
          <w:p w14:paraId="4F01E027" w14:textId="25601821" w:rsidR="00B325FE" w:rsidRPr="0067507D" w:rsidRDefault="00DC5609" w:rsidP="00A721E2">
            <w:pPr>
              <w:pStyle w:val="Tabletextrightbold"/>
            </w:pPr>
            <w:r w:rsidRPr="0067507D">
              <w:t>77</w:t>
            </w:r>
          </w:p>
        </w:tc>
        <w:tc>
          <w:tcPr>
            <w:tcW w:w="778" w:type="dxa"/>
          </w:tcPr>
          <w:p w14:paraId="1601051F" w14:textId="728A6C72" w:rsidR="00B325FE" w:rsidRPr="0067507D" w:rsidRDefault="00DC5609" w:rsidP="00A721E2">
            <w:pPr>
              <w:pStyle w:val="Tabletextrightbold"/>
            </w:pPr>
            <w:r w:rsidRPr="0067507D">
              <w:t>605</w:t>
            </w:r>
          </w:p>
        </w:tc>
        <w:tc>
          <w:tcPr>
            <w:tcW w:w="999" w:type="dxa"/>
            <w:shd w:val="clear" w:color="auto" w:fill="E0E0E0"/>
          </w:tcPr>
          <w:p w14:paraId="402E3EA5" w14:textId="0A395CC8" w:rsidR="00B325FE" w:rsidRPr="0067507D" w:rsidRDefault="00DC5609" w:rsidP="00A721E2">
            <w:pPr>
              <w:pStyle w:val="Tabletextrightbold"/>
            </w:pPr>
            <w:r w:rsidRPr="0067507D">
              <w:t>69</w:t>
            </w:r>
          </w:p>
        </w:tc>
        <w:tc>
          <w:tcPr>
            <w:tcW w:w="729" w:type="dxa"/>
            <w:shd w:val="clear" w:color="auto" w:fill="E0E0E0"/>
          </w:tcPr>
          <w:p w14:paraId="49260540" w14:textId="52210CC2" w:rsidR="00B325FE" w:rsidRPr="0067507D" w:rsidRDefault="00DC5609" w:rsidP="00A721E2">
            <w:pPr>
              <w:pStyle w:val="Tabletextrightbold"/>
            </w:pPr>
            <w:r w:rsidRPr="0067507D">
              <w:t>59</w:t>
            </w:r>
          </w:p>
        </w:tc>
        <w:tc>
          <w:tcPr>
            <w:tcW w:w="1055" w:type="dxa"/>
            <w:noWrap/>
          </w:tcPr>
          <w:p w14:paraId="52A442C3" w14:textId="2DF06A6D" w:rsidR="00B325FE" w:rsidRPr="0067507D" w:rsidRDefault="00F61F1D" w:rsidP="00A721E2">
            <w:pPr>
              <w:pStyle w:val="Tabletextrightbold"/>
            </w:pPr>
            <w:r w:rsidRPr="0067507D">
              <w:t>683</w:t>
            </w:r>
          </w:p>
        </w:tc>
        <w:tc>
          <w:tcPr>
            <w:tcW w:w="673" w:type="dxa"/>
          </w:tcPr>
          <w:p w14:paraId="02A21CDE" w14:textId="7B2FAA8A" w:rsidR="00B325FE" w:rsidRPr="0067507D" w:rsidRDefault="00F61F1D" w:rsidP="00A721E2">
            <w:pPr>
              <w:pStyle w:val="Tabletextrightbold"/>
            </w:pPr>
            <w:r w:rsidRPr="0067507D">
              <w:t>654</w:t>
            </w:r>
          </w:p>
        </w:tc>
        <w:tc>
          <w:tcPr>
            <w:tcW w:w="979" w:type="dxa"/>
            <w:shd w:val="clear" w:color="auto" w:fill="E0E0E0"/>
            <w:noWrap/>
          </w:tcPr>
          <w:p w14:paraId="203A24F3" w14:textId="6EAE7341" w:rsidR="00B325FE" w:rsidRPr="0067507D" w:rsidRDefault="00F61F1D" w:rsidP="00A721E2">
            <w:pPr>
              <w:pStyle w:val="Tabletextrightbold"/>
            </w:pPr>
            <w:r w:rsidRPr="0067507D">
              <w:t>548</w:t>
            </w:r>
          </w:p>
        </w:tc>
        <w:tc>
          <w:tcPr>
            <w:tcW w:w="979" w:type="dxa"/>
            <w:shd w:val="clear" w:color="auto" w:fill="E0E0E0"/>
          </w:tcPr>
          <w:p w14:paraId="71A84FE0" w14:textId="35888005" w:rsidR="00B325FE" w:rsidRPr="0067507D" w:rsidRDefault="00F61F1D" w:rsidP="00A721E2">
            <w:pPr>
              <w:pStyle w:val="Tabletextrightbold"/>
            </w:pPr>
            <w:r w:rsidRPr="0067507D">
              <w:t>71</w:t>
            </w:r>
          </w:p>
        </w:tc>
        <w:tc>
          <w:tcPr>
            <w:tcW w:w="778" w:type="dxa"/>
            <w:shd w:val="clear" w:color="auto" w:fill="E0E0E0"/>
          </w:tcPr>
          <w:p w14:paraId="610D2DCC" w14:textId="50A41FF3" w:rsidR="00B325FE" w:rsidRPr="0067507D" w:rsidRDefault="00F61F1D" w:rsidP="00A721E2">
            <w:pPr>
              <w:pStyle w:val="Tabletextrightbold"/>
            </w:pPr>
            <w:r w:rsidRPr="0067507D">
              <w:t>601</w:t>
            </w:r>
          </w:p>
        </w:tc>
        <w:tc>
          <w:tcPr>
            <w:tcW w:w="1091" w:type="dxa"/>
          </w:tcPr>
          <w:p w14:paraId="51A2DAD4" w14:textId="436A88D7" w:rsidR="00B325FE" w:rsidRPr="0067507D" w:rsidRDefault="00F61F1D" w:rsidP="00A721E2">
            <w:pPr>
              <w:pStyle w:val="Tabletextrightbold"/>
            </w:pPr>
            <w:r w:rsidRPr="0067507D">
              <w:t>64</w:t>
            </w:r>
          </w:p>
        </w:tc>
        <w:tc>
          <w:tcPr>
            <w:tcW w:w="637" w:type="dxa"/>
          </w:tcPr>
          <w:p w14:paraId="6FB1CA2F" w14:textId="69107898" w:rsidR="00B325FE" w:rsidRPr="0067507D" w:rsidRDefault="00F61F1D" w:rsidP="00A721E2">
            <w:pPr>
              <w:pStyle w:val="Tabletextrightbold"/>
            </w:pPr>
            <w:r w:rsidRPr="0067507D">
              <w:t>53</w:t>
            </w:r>
          </w:p>
        </w:tc>
      </w:tr>
    </w:tbl>
    <w:p w14:paraId="73FE9FD2" w14:textId="36A21E4B" w:rsidR="00DD2846" w:rsidRPr="0067507D" w:rsidRDefault="00DD2846" w:rsidP="001005DD">
      <w:pPr>
        <w:pStyle w:val="Notes"/>
        <w:rPr>
          <w:szCs w:val="14"/>
        </w:rPr>
      </w:pPr>
      <w:r w:rsidRPr="0067507D">
        <w:rPr>
          <w:szCs w:val="14"/>
        </w:rPr>
        <w:t>Table excludes State Revenue Office (SRO). The SRO is staff</w:t>
      </w:r>
      <w:r w:rsidR="009B53B2" w:rsidRPr="0067507D">
        <w:rPr>
          <w:szCs w:val="14"/>
        </w:rPr>
        <w:t>ed</w:t>
      </w:r>
      <w:r w:rsidRPr="0067507D">
        <w:rPr>
          <w:szCs w:val="14"/>
        </w:rPr>
        <w:t xml:space="preserve"> by departmental employees and is presented separately in this report.</w:t>
      </w:r>
    </w:p>
    <w:p w14:paraId="49EDD24E" w14:textId="7CA1223D" w:rsidR="005114D8" w:rsidRPr="0067507D" w:rsidRDefault="005114D8" w:rsidP="00856B5F">
      <w:pPr>
        <w:pStyle w:val="Notes"/>
      </w:pPr>
      <w:r w:rsidRPr="0067507D">
        <w:t>Notes:</w:t>
      </w:r>
    </w:p>
    <w:p w14:paraId="021A20A8" w14:textId="21FC5BA3" w:rsidR="001005DD" w:rsidRPr="0067507D" w:rsidRDefault="00381687" w:rsidP="00381687">
      <w:pPr>
        <w:pStyle w:val="Notes"/>
        <w:rPr>
          <w:rFonts w:eastAsia="VIC"/>
        </w:rPr>
      </w:pPr>
      <w:r w:rsidRPr="0067507D">
        <w:t xml:space="preserve">(a) </w:t>
      </w:r>
      <w:r w:rsidR="001005DD" w:rsidRPr="0067507D">
        <w:rPr>
          <w:rFonts w:eastAsia="VIC"/>
        </w:rPr>
        <w:t>DTF’s ongoing and fixed</w:t>
      </w:r>
      <w:r w:rsidR="006A5485">
        <w:rPr>
          <w:rFonts w:eastAsia="VIC"/>
        </w:rPr>
        <w:noBreakHyphen/>
      </w:r>
      <w:r w:rsidR="001005DD" w:rsidRPr="0067507D">
        <w:rPr>
          <w:rFonts w:eastAsia="VIC"/>
        </w:rPr>
        <w:t>term employment levels increased over the reporting period due to</w:t>
      </w:r>
      <w:r w:rsidR="00EA1FA1" w:rsidRPr="0067507D">
        <w:rPr>
          <w:rFonts w:eastAsia="VIC"/>
        </w:rPr>
        <w:t xml:space="preserve"> </w:t>
      </w:r>
      <w:r w:rsidR="001005DD" w:rsidRPr="0067507D">
        <w:rPr>
          <w:rFonts w:eastAsia="VIC"/>
        </w:rPr>
        <w:t>employment of ongoing graduate employees participating in the Victorian Government graduate program</w:t>
      </w:r>
      <w:r w:rsidR="00EA1FA1" w:rsidRPr="0067507D">
        <w:rPr>
          <w:rFonts w:eastAsia="VIC"/>
        </w:rPr>
        <w:t>.</w:t>
      </w:r>
      <w:r w:rsidR="001005DD" w:rsidRPr="0067507D">
        <w:rPr>
          <w:rFonts w:eastAsia="VIC"/>
        </w:rPr>
        <w:t xml:space="preserve"> </w:t>
      </w:r>
      <w:r w:rsidR="00134861" w:rsidRPr="0067507D">
        <w:rPr>
          <w:rFonts w:eastAsia="VIC"/>
        </w:rPr>
        <w:t>The impact of the graduate cohort on DTF’s FTE was offset by decreases in FTE across the department due to natural attrition and fixed</w:t>
      </w:r>
      <w:r w:rsidR="006A5485">
        <w:rPr>
          <w:rFonts w:eastAsia="VIC"/>
        </w:rPr>
        <w:noBreakHyphen/>
      </w:r>
      <w:r w:rsidR="00134861" w:rsidRPr="0067507D">
        <w:rPr>
          <w:rFonts w:eastAsia="VIC"/>
        </w:rPr>
        <w:t>term contracts coming to an end.</w:t>
      </w:r>
    </w:p>
    <w:p w14:paraId="4A388723" w14:textId="5F123B53" w:rsidR="006E135F" w:rsidRPr="0067507D" w:rsidRDefault="00381687" w:rsidP="00381687">
      <w:pPr>
        <w:pStyle w:val="Notes"/>
      </w:pPr>
      <w:r w:rsidRPr="0067507D">
        <w:rPr>
          <w:rFonts w:eastAsia="VIC"/>
        </w:rPr>
        <w:t xml:space="preserve">(b) </w:t>
      </w:r>
      <w:r w:rsidR="00DD154D" w:rsidRPr="0067507D">
        <w:rPr>
          <w:rFonts w:eastAsia="VIC"/>
        </w:rPr>
        <w:t xml:space="preserve">There were </w:t>
      </w:r>
      <w:r w:rsidR="006E135F" w:rsidRPr="0067507D">
        <w:rPr>
          <w:rFonts w:eastAsia="VIC"/>
        </w:rPr>
        <w:t>nine VPS Grade 6 employees acting as senior employees under long</w:t>
      </w:r>
      <w:r w:rsidR="006A5485">
        <w:rPr>
          <w:rFonts w:eastAsia="VIC"/>
        </w:rPr>
        <w:noBreakHyphen/>
      </w:r>
      <w:r w:rsidR="006E135F" w:rsidRPr="0067507D">
        <w:rPr>
          <w:rFonts w:eastAsia="VIC"/>
        </w:rPr>
        <w:t>term acting arrangements at the end of June 2025 and three VPS Grade 6 at the end of June 2024</w:t>
      </w:r>
      <w:r w:rsidR="00E1292C" w:rsidRPr="0067507D">
        <w:rPr>
          <w:rFonts w:eastAsia="VIC"/>
        </w:rPr>
        <w:t>.</w:t>
      </w:r>
    </w:p>
    <w:p w14:paraId="0815A815" w14:textId="0EF88853" w:rsidR="001005DD" w:rsidRPr="0067507D" w:rsidRDefault="00381687" w:rsidP="00381687">
      <w:pPr>
        <w:pStyle w:val="Notes"/>
        <w:rPr>
          <w:rFonts w:eastAsia="VIC"/>
        </w:rPr>
      </w:pPr>
      <w:r w:rsidRPr="0067507D">
        <w:rPr>
          <w:rFonts w:eastAsia="VIC"/>
        </w:rPr>
        <w:t xml:space="preserve">(c) </w:t>
      </w:r>
      <w:r w:rsidR="001005DD" w:rsidRPr="0067507D">
        <w:rPr>
          <w:rFonts w:eastAsia="VIC"/>
        </w:rPr>
        <w:t>Some FTE figures may not total due to rounding.</w:t>
      </w:r>
    </w:p>
    <w:p w14:paraId="54485F9F" w14:textId="1F570F9C" w:rsidR="2938FEE8" w:rsidRPr="0067507D" w:rsidRDefault="2938FEE8" w:rsidP="2938FEE8">
      <w:pPr>
        <w:pStyle w:val="Notes"/>
        <w:ind w:left="284" w:hanging="284"/>
      </w:pPr>
    </w:p>
    <w:p w14:paraId="7FBAE846" w14:textId="41AC0F43" w:rsidR="00113E1C" w:rsidRPr="0067507D" w:rsidRDefault="00113E1C" w:rsidP="00113E1C">
      <w:pPr>
        <w:pStyle w:val="Notes"/>
        <w:keepNext/>
        <w:spacing w:before="0"/>
        <w:rPr>
          <w:szCs w:val="14"/>
        </w:rPr>
        <w:sectPr w:rsidR="00113E1C" w:rsidRPr="0067507D" w:rsidSect="004350D6">
          <w:headerReference w:type="even" r:id="rId154"/>
          <w:headerReference w:type="default" r:id="rId155"/>
          <w:footerReference w:type="even" r:id="rId156"/>
          <w:footerReference w:type="default" r:id="rId157"/>
          <w:pgSz w:w="16834" w:h="11909" w:orient="landscape" w:code="9"/>
          <w:pgMar w:top="1151" w:right="1440" w:bottom="720" w:left="1729" w:header="720" w:footer="289" w:gutter="0"/>
          <w:cols w:space="720"/>
          <w:noEndnote/>
        </w:sectPr>
      </w:pPr>
    </w:p>
    <w:p w14:paraId="406DD285" w14:textId="77777777" w:rsidR="00113E1C" w:rsidRPr="0067507D" w:rsidRDefault="00113E1C" w:rsidP="00113E1C">
      <w:r w:rsidRPr="0067507D">
        <w:lastRenderedPageBreak/>
        <w:t>The following table discloses the annualised total salary for senior employees of the Department, categorised by classification. The salary amount is reported as the full</w:t>
      </w:r>
      <w:r w:rsidRPr="0067507D">
        <w:noBreakHyphen/>
        <w:t>time annualised salary.</w:t>
      </w:r>
    </w:p>
    <w:p w14:paraId="5032135B" w14:textId="47B87454" w:rsidR="00113E1C" w:rsidRPr="0067507D" w:rsidRDefault="00113E1C" w:rsidP="00113E1C">
      <w:pPr>
        <w:pStyle w:val="Tableheading"/>
      </w:pPr>
      <w:r w:rsidRPr="0067507D">
        <w:t>Annualised total salary, by $20</w:t>
      </w:r>
      <w:r w:rsidRPr="0067507D">
        <w:rPr>
          <w:rFonts w:ascii="Calibri" w:hAnsi="Calibri" w:cs="Calibri"/>
        </w:rPr>
        <w:t> </w:t>
      </w:r>
      <w:r w:rsidRPr="0067507D">
        <w:t>000 bands, for executives and other senior non</w:t>
      </w:r>
      <w:r w:rsidRPr="0067507D">
        <w:noBreakHyphen/>
        <w:t>executive staff – DTF</w:t>
      </w:r>
    </w:p>
    <w:tbl>
      <w:tblPr>
        <w:tblW w:w="0" w:type="auto"/>
        <w:tblInd w:w="-90" w:type="dxa"/>
        <w:tblLayout w:type="fixed"/>
        <w:tblLook w:val="0000" w:firstRow="0" w:lastRow="0" w:firstColumn="0" w:lastColumn="0" w:noHBand="0" w:noVBand="0"/>
      </w:tblPr>
      <w:tblGrid>
        <w:gridCol w:w="2610"/>
        <w:gridCol w:w="1308"/>
        <w:gridCol w:w="942"/>
        <w:gridCol w:w="1080"/>
        <w:gridCol w:w="1080"/>
        <w:gridCol w:w="1080"/>
        <w:gridCol w:w="1080"/>
      </w:tblGrid>
      <w:tr w:rsidR="00791F8C" w:rsidRPr="0067507D" w14:paraId="1428A860" w14:textId="77777777" w:rsidTr="50AD59D8">
        <w:tc>
          <w:tcPr>
            <w:tcW w:w="2610" w:type="dxa"/>
            <w:shd w:val="clear" w:color="auto" w:fill="FFFFFF" w:themeFill="background1"/>
          </w:tcPr>
          <w:p w14:paraId="7AAF209A" w14:textId="77777777" w:rsidR="008719E3" w:rsidRPr="0067507D" w:rsidRDefault="008719E3" w:rsidP="00A721E2">
            <w:pPr>
              <w:pStyle w:val="Tabletextheadingleft"/>
            </w:pPr>
            <w:r w:rsidRPr="0067507D">
              <w:t>Income band (salary)</w:t>
            </w:r>
          </w:p>
        </w:tc>
        <w:tc>
          <w:tcPr>
            <w:tcW w:w="1308" w:type="dxa"/>
            <w:shd w:val="clear" w:color="auto" w:fill="FFFFFF" w:themeFill="background1"/>
          </w:tcPr>
          <w:p w14:paraId="2B82A743" w14:textId="7B56ABFB" w:rsidR="008719E3" w:rsidRPr="0067507D" w:rsidRDefault="008719E3" w:rsidP="00A721E2">
            <w:pPr>
              <w:pStyle w:val="Tabletextheadingcentred"/>
              <w:jc w:val="right"/>
            </w:pPr>
            <w:r w:rsidRPr="0067507D">
              <w:t>Executives</w:t>
            </w:r>
            <w:r w:rsidR="00AB6248" w:rsidRPr="0067507D">
              <w:t xml:space="preserve"> </w:t>
            </w:r>
            <w:r w:rsidR="00AB6248" w:rsidRPr="0067507D">
              <w:rPr>
                <w:vertAlign w:val="superscript"/>
              </w:rPr>
              <w:t>(a)</w:t>
            </w:r>
          </w:p>
        </w:tc>
        <w:tc>
          <w:tcPr>
            <w:tcW w:w="942" w:type="dxa"/>
            <w:shd w:val="clear" w:color="auto" w:fill="FFFFFF" w:themeFill="background1"/>
          </w:tcPr>
          <w:p w14:paraId="4E577DCC" w14:textId="6617393C" w:rsidR="008719E3" w:rsidRPr="0067507D" w:rsidRDefault="008719E3" w:rsidP="00A721E2">
            <w:pPr>
              <w:pStyle w:val="Tabletextheadingcentred"/>
              <w:jc w:val="right"/>
            </w:pPr>
            <w:r w:rsidRPr="0067507D">
              <w:t>STS</w:t>
            </w:r>
            <w:r w:rsidR="00381687" w:rsidRPr="0067507D">
              <w:t xml:space="preserve"> </w:t>
            </w:r>
            <w:r w:rsidR="00EA5EC2" w:rsidRPr="0067507D">
              <w:rPr>
                <w:vertAlign w:val="superscript"/>
              </w:rPr>
              <w:t>(b)</w:t>
            </w:r>
            <w:r w:rsidRPr="0067507D">
              <w:t xml:space="preserve"> </w:t>
            </w:r>
          </w:p>
        </w:tc>
        <w:tc>
          <w:tcPr>
            <w:tcW w:w="1080" w:type="dxa"/>
            <w:shd w:val="clear" w:color="auto" w:fill="FFFFFF" w:themeFill="background1"/>
          </w:tcPr>
          <w:p w14:paraId="0D81C764" w14:textId="77777777" w:rsidR="008719E3" w:rsidRPr="0067507D" w:rsidRDefault="008719E3" w:rsidP="00A721E2">
            <w:pPr>
              <w:pStyle w:val="Tabletextheadingcentred"/>
              <w:jc w:val="right"/>
            </w:pPr>
            <w:r w:rsidRPr="0067507D">
              <w:t>PS</w:t>
            </w:r>
          </w:p>
        </w:tc>
        <w:tc>
          <w:tcPr>
            <w:tcW w:w="1080" w:type="dxa"/>
            <w:shd w:val="clear" w:color="auto" w:fill="FFFFFF" w:themeFill="background1"/>
          </w:tcPr>
          <w:p w14:paraId="46CAF75B" w14:textId="77777777" w:rsidR="008719E3" w:rsidRPr="0067507D" w:rsidRDefault="008719E3" w:rsidP="00A721E2">
            <w:pPr>
              <w:pStyle w:val="Tabletextheadingcentred"/>
              <w:jc w:val="right"/>
            </w:pPr>
            <w:r w:rsidRPr="0067507D">
              <w:t>SMA</w:t>
            </w:r>
          </w:p>
        </w:tc>
        <w:tc>
          <w:tcPr>
            <w:tcW w:w="1080" w:type="dxa"/>
            <w:shd w:val="clear" w:color="auto" w:fill="FFFFFF" w:themeFill="background1"/>
          </w:tcPr>
          <w:p w14:paraId="73804874" w14:textId="77777777" w:rsidR="008719E3" w:rsidRPr="0067507D" w:rsidRDefault="008719E3" w:rsidP="00A721E2">
            <w:pPr>
              <w:pStyle w:val="Tabletextheadingcentred"/>
              <w:jc w:val="right"/>
            </w:pPr>
            <w:r w:rsidRPr="0067507D">
              <w:t>SRA</w:t>
            </w:r>
          </w:p>
        </w:tc>
        <w:tc>
          <w:tcPr>
            <w:tcW w:w="1080" w:type="dxa"/>
            <w:shd w:val="clear" w:color="auto" w:fill="FFFFFF" w:themeFill="background1"/>
          </w:tcPr>
          <w:p w14:paraId="1B6887A6" w14:textId="77777777" w:rsidR="008719E3" w:rsidRPr="0067507D" w:rsidRDefault="008719E3" w:rsidP="00A721E2">
            <w:pPr>
              <w:pStyle w:val="Tabletextheadingcentred"/>
              <w:jc w:val="right"/>
            </w:pPr>
            <w:r w:rsidRPr="0067507D">
              <w:t>Other</w:t>
            </w:r>
          </w:p>
        </w:tc>
      </w:tr>
      <w:tr w:rsidR="00E02C6B" w:rsidRPr="0067507D" w14:paraId="43F0893C" w14:textId="77777777" w:rsidTr="50AD59D8">
        <w:tc>
          <w:tcPr>
            <w:tcW w:w="2610" w:type="dxa"/>
            <w:vAlign w:val="bottom"/>
          </w:tcPr>
          <w:p w14:paraId="76D01FC5" w14:textId="77777777" w:rsidR="008719E3" w:rsidRPr="0067507D" w:rsidRDefault="008719E3" w:rsidP="00A721E2">
            <w:pPr>
              <w:pStyle w:val="Tabletext"/>
            </w:pPr>
            <w:r w:rsidRPr="0067507D">
              <w:t>&lt;$160</w:t>
            </w:r>
            <w:r w:rsidRPr="0067507D">
              <w:rPr>
                <w:rFonts w:ascii="Calibri" w:hAnsi="Calibri" w:cs="Calibri"/>
              </w:rPr>
              <w:t> </w:t>
            </w:r>
            <w:r w:rsidRPr="0067507D">
              <w:t>000</w:t>
            </w:r>
          </w:p>
        </w:tc>
        <w:tc>
          <w:tcPr>
            <w:tcW w:w="1308" w:type="dxa"/>
            <w:shd w:val="clear" w:color="auto" w:fill="E0E0E0"/>
          </w:tcPr>
          <w:p w14:paraId="295FD1E9" w14:textId="77777777" w:rsidR="008719E3" w:rsidRPr="0067507D" w:rsidRDefault="008719E3" w:rsidP="00A721E2">
            <w:pPr>
              <w:pStyle w:val="Tabletextright"/>
              <w:rPr>
                <w:highlight w:val="yellow"/>
              </w:rPr>
            </w:pPr>
          </w:p>
        </w:tc>
        <w:tc>
          <w:tcPr>
            <w:tcW w:w="942" w:type="dxa"/>
          </w:tcPr>
          <w:p w14:paraId="5C04AF89" w14:textId="77777777" w:rsidR="008719E3" w:rsidRPr="0067507D" w:rsidRDefault="008719E3" w:rsidP="00A721E2">
            <w:pPr>
              <w:pStyle w:val="Tabletextright"/>
              <w:rPr>
                <w:highlight w:val="yellow"/>
              </w:rPr>
            </w:pPr>
          </w:p>
        </w:tc>
        <w:tc>
          <w:tcPr>
            <w:tcW w:w="1080" w:type="dxa"/>
            <w:shd w:val="clear" w:color="auto" w:fill="E0E0E0"/>
            <w:vAlign w:val="bottom"/>
          </w:tcPr>
          <w:p w14:paraId="3ACEF715" w14:textId="77777777" w:rsidR="008719E3" w:rsidRPr="0067507D" w:rsidRDefault="008719E3" w:rsidP="00A721E2">
            <w:pPr>
              <w:pStyle w:val="Tabletextright"/>
            </w:pPr>
          </w:p>
        </w:tc>
        <w:tc>
          <w:tcPr>
            <w:tcW w:w="1080" w:type="dxa"/>
            <w:vAlign w:val="bottom"/>
          </w:tcPr>
          <w:p w14:paraId="30E9B214" w14:textId="77777777" w:rsidR="008719E3" w:rsidRPr="0067507D" w:rsidRDefault="008719E3" w:rsidP="00A721E2">
            <w:pPr>
              <w:pStyle w:val="Tabletextright"/>
            </w:pPr>
          </w:p>
        </w:tc>
        <w:tc>
          <w:tcPr>
            <w:tcW w:w="1080" w:type="dxa"/>
            <w:shd w:val="clear" w:color="auto" w:fill="E0E0E0"/>
          </w:tcPr>
          <w:p w14:paraId="10616DC1" w14:textId="77777777" w:rsidR="008719E3" w:rsidRPr="0067507D" w:rsidRDefault="008719E3" w:rsidP="00A721E2">
            <w:pPr>
              <w:pStyle w:val="Tabletextright"/>
            </w:pPr>
          </w:p>
        </w:tc>
        <w:tc>
          <w:tcPr>
            <w:tcW w:w="1080" w:type="dxa"/>
          </w:tcPr>
          <w:p w14:paraId="04BC3958" w14:textId="77777777" w:rsidR="008719E3" w:rsidRPr="0067507D" w:rsidRDefault="008719E3" w:rsidP="00A721E2">
            <w:pPr>
              <w:pStyle w:val="Tabletextright"/>
            </w:pPr>
          </w:p>
        </w:tc>
      </w:tr>
      <w:tr w:rsidR="00E02C6B" w:rsidRPr="0067507D" w14:paraId="54F90F20" w14:textId="77777777" w:rsidTr="50AD59D8">
        <w:tc>
          <w:tcPr>
            <w:tcW w:w="2610" w:type="dxa"/>
            <w:vAlign w:val="bottom"/>
          </w:tcPr>
          <w:p w14:paraId="7DCD9956" w14:textId="77777777" w:rsidR="008719E3" w:rsidRPr="0067507D" w:rsidRDefault="008719E3" w:rsidP="00A721E2">
            <w:pPr>
              <w:pStyle w:val="Tabletext"/>
            </w:pPr>
            <w:r w:rsidRPr="0067507D">
              <w:t>$160</w:t>
            </w:r>
            <w:r w:rsidRPr="0067507D">
              <w:rPr>
                <w:rFonts w:ascii="Calibri" w:hAnsi="Calibri" w:cs="Calibri"/>
              </w:rPr>
              <w:t> </w:t>
            </w:r>
            <w:r w:rsidRPr="0067507D">
              <w:t>000–$179</w:t>
            </w:r>
            <w:r w:rsidRPr="0067507D">
              <w:rPr>
                <w:rFonts w:ascii="Calibri" w:hAnsi="Calibri" w:cs="Calibri"/>
              </w:rPr>
              <w:t> </w:t>
            </w:r>
            <w:r w:rsidRPr="0067507D">
              <w:t>999</w:t>
            </w:r>
          </w:p>
        </w:tc>
        <w:tc>
          <w:tcPr>
            <w:tcW w:w="1308" w:type="dxa"/>
            <w:shd w:val="clear" w:color="auto" w:fill="E0E0E0"/>
          </w:tcPr>
          <w:p w14:paraId="53807093" w14:textId="77777777" w:rsidR="008719E3" w:rsidRPr="0067507D" w:rsidRDefault="008719E3" w:rsidP="00A721E2">
            <w:pPr>
              <w:pStyle w:val="Tabletextright"/>
              <w:rPr>
                <w:highlight w:val="yellow"/>
              </w:rPr>
            </w:pPr>
          </w:p>
        </w:tc>
        <w:tc>
          <w:tcPr>
            <w:tcW w:w="942" w:type="dxa"/>
          </w:tcPr>
          <w:p w14:paraId="016BACD2" w14:textId="77777777" w:rsidR="008719E3" w:rsidRPr="0067507D" w:rsidRDefault="008719E3" w:rsidP="00A721E2">
            <w:pPr>
              <w:pStyle w:val="Tabletextright"/>
              <w:rPr>
                <w:highlight w:val="yellow"/>
              </w:rPr>
            </w:pPr>
          </w:p>
        </w:tc>
        <w:tc>
          <w:tcPr>
            <w:tcW w:w="1080" w:type="dxa"/>
            <w:shd w:val="clear" w:color="auto" w:fill="E0E0E0"/>
            <w:vAlign w:val="bottom"/>
          </w:tcPr>
          <w:p w14:paraId="1AD1999B" w14:textId="77777777" w:rsidR="008719E3" w:rsidRPr="0067507D" w:rsidRDefault="008719E3" w:rsidP="00A721E2">
            <w:pPr>
              <w:pStyle w:val="Tabletextright"/>
            </w:pPr>
          </w:p>
        </w:tc>
        <w:tc>
          <w:tcPr>
            <w:tcW w:w="1080" w:type="dxa"/>
            <w:vAlign w:val="bottom"/>
          </w:tcPr>
          <w:p w14:paraId="75FE9451" w14:textId="77777777" w:rsidR="008719E3" w:rsidRPr="0067507D" w:rsidRDefault="008719E3" w:rsidP="00A721E2">
            <w:pPr>
              <w:pStyle w:val="Tabletextright"/>
            </w:pPr>
          </w:p>
        </w:tc>
        <w:tc>
          <w:tcPr>
            <w:tcW w:w="1080" w:type="dxa"/>
            <w:shd w:val="clear" w:color="auto" w:fill="E0E0E0"/>
          </w:tcPr>
          <w:p w14:paraId="428CD7EE" w14:textId="77777777" w:rsidR="008719E3" w:rsidRPr="0067507D" w:rsidRDefault="008719E3" w:rsidP="00A721E2">
            <w:pPr>
              <w:pStyle w:val="Tabletextright"/>
            </w:pPr>
          </w:p>
        </w:tc>
        <w:tc>
          <w:tcPr>
            <w:tcW w:w="1080" w:type="dxa"/>
          </w:tcPr>
          <w:p w14:paraId="3044A84B" w14:textId="77777777" w:rsidR="008719E3" w:rsidRPr="0067507D" w:rsidRDefault="008719E3" w:rsidP="00A721E2">
            <w:pPr>
              <w:pStyle w:val="Tabletextright"/>
            </w:pPr>
          </w:p>
        </w:tc>
      </w:tr>
      <w:tr w:rsidR="00E02C6B" w:rsidRPr="0067507D" w14:paraId="444CAE53" w14:textId="77777777" w:rsidTr="50AD59D8">
        <w:tc>
          <w:tcPr>
            <w:tcW w:w="2610" w:type="dxa"/>
            <w:vAlign w:val="bottom"/>
          </w:tcPr>
          <w:p w14:paraId="71C61C35" w14:textId="77777777" w:rsidR="008719E3" w:rsidRPr="0067507D" w:rsidRDefault="008719E3" w:rsidP="00A721E2">
            <w:pPr>
              <w:pStyle w:val="Tabletext"/>
            </w:pPr>
            <w:r w:rsidRPr="0067507D">
              <w:t>$180</w:t>
            </w:r>
            <w:r w:rsidRPr="0067507D">
              <w:rPr>
                <w:rFonts w:ascii="Calibri" w:hAnsi="Calibri" w:cs="Calibri"/>
              </w:rPr>
              <w:t> </w:t>
            </w:r>
            <w:r w:rsidRPr="0067507D">
              <w:t>000–$199</w:t>
            </w:r>
            <w:r w:rsidRPr="0067507D">
              <w:rPr>
                <w:rFonts w:ascii="Calibri" w:hAnsi="Calibri" w:cs="Calibri"/>
              </w:rPr>
              <w:t> </w:t>
            </w:r>
            <w:r w:rsidRPr="0067507D">
              <w:t>999</w:t>
            </w:r>
          </w:p>
        </w:tc>
        <w:tc>
          <w:tcPr>
            <w:tcW w:w="1308" w:type="dxa"/>
            <w:shd w:val="clear" w:color="auto" w:fill="E0E0E0"/>
          </w:tcPr>
          <w:p w14:paraId="5835186F" w14:textId="23FB9122" w:rsidR="008719E3" w:rsidRPr="0067507D" w:rsidRDefault="00732F43" w:rsidP="00A721E2">
            <w:pPr>
              <w:pStyle w:val="Tabletextright"/>
              <w:rPr>
                <w:highlight w:val="yellow"/>
              </w:rPr>
            </w:pPr>
            <w:r w:rsidRPr="0067507D">
              <w:t>7</w:t>
            </w:r>
          </w:p>
        </w:tc>
        <w:tc>
          <w:tcPr>
            <w:tcW w:w="942" w:type="dxa"/>
          </w:tcPr>
          <w:p w14:paraId="07F74BD8" w14:textId="04FB9322" w:rsidR="008719E3" w:rsidRPr="0067507D" w:rsidRDefault="008719E3" w:rsidP="00A721E2">
            <w:pPr>
              <w:pStyle w:val="Tabletextright"/>
              <w:rPr>
                <w:highlight w:val="yellow"/>
              </w:rPr>
            </w:pPr>
          </w:p>
        </w:tc>
        <w:tc>
          <w:tcPr>
            <w:tcW w:w="1080" w:type="dxa"/>
            <w:shd w:val="clear" w:color="auto" w:fill="E0E0E0"/>
            <w:vAlign w:val="bottom"/>
          </w:tcPr>
          <w:p w14:paraId="35255810" w14:textId="77777777" w:rsidR="008719E3" w:rsidRPr="0067507D" w:rsidRDefault="008719E3" w:rsidP="00A721E2">
            <w:pPr>
              <w:pStyle w:val="Tabletextright"/>
            </w:pPr>
          </w:p>
        </w:tc>
        <w:tc>
          <w:tcPr>
            <w:tcW w:w="1080" w:type="dxa"/>
            <w:vAlign w:val="bottom"/>
          </w:tcPr>
          <w:p w14:paraId="74B0394C" w14:textId="77777777" w:rsidR="008719E3" w:rsidRPr="0067507D" w:rsidRDefault="008719E3" w:rsidP="00A721E2">
            <w:pPr>
              <w:pStyle w:val="Tabletextright"/>
            </w:pPr>
          </w:p>
        </w:tc>
        <w:tc>
          <w:tcPr>
            <w:tcW w:w="1080" w:type="dxa"/>
            <w:shd w:val="clear" w:color="auto" w:fill="E0E0E0"/>
          </w:tcPr>
          <w:p w14:paraId="2793107F" w14:textId="77777777" w:rsidR="008719E3" w:rsidRPr="0067507D" w:rsidRDefault="008719E3" w:rsidP="00A721E2">
            <w:pPr>
              <w:pStyle w:val="Tabletextright"/>
            </w:pPr>
          </w:p>
        </w:tc>
        <w:tc>
          <w:tcPr>
            <w:tcW w:w="1080" w:type="dxa"/>
          </w:tcPr>
          <w:p w14:paraId="4FECA397" w14:textId="77777777" w:rsidR="008719E3" w:rsidRPr="0067507D" w:rsidRDefault="008719E3" w:rsidP="00A721E2">
            <w:pPr>
              <w:pStyle w:val="Tabletextright"/>
            </w:pPr>
          </w:p>
        </w:tc>
      </w:tr>
      <w:tr w:rsidR="00E02C6B" w:rsidRPr="0067507D" w14:paraId="24C25078" w14:textId="77777777" w:rsidTr="50AD59D8">
        <w:tc>
          <w:tcPr>
            <w:tcW w:w="2610" w:type="dxa"/>
            <w:vAlign w:val="bottom"/>
          </w:tcPr>
          <w:p w14:paraId="4CC87128" w14:textId="77777777" w:rsidR="008719E3" w:rsidRPr="0067507D" w:rsidRDefault="008719E3" w:rsidP="00A721E2">
            <w:pPr>
              <w:pStyle w:val="Tabletext"/>
            </w:pPr>
            <w:r w:rsidRPr="0067507D">
              <w:t>$200</w:t>
            </w:r>
            <w:r w:rsidRPr="0067507D">
              <w:rPr>
                <w:rFonts w:ascii="Calibri" w:hAnsi="Calibri" w:cs="Calibri"/>
              </w:rPr>
              <w:t> </w:t>
            </w:r>
            <w:r w:rsidRPr="0067507D">
              <w:t>000–$219</w:t>
            </w:r>
            <w:r w:rsidRPr="0067507D">
              <w:rPr>
                <w:rFonts w:ascii="Calibri" w:hAnsi="Calibri" w:cs="Calibri"/>
              </w:rPr>
              <w:t> </w:t>
            </w:r>
            <w:r w:rsidRPr="0067507D">
              <w:t>999</w:t>
            </w:r>
          </w:p>
        </w:tc>
        <w:tc>
          <w:tcPr>
            <w:tcW w:w="1308" w:type="dxa"/>
            <w:shd w:val="clear" w:color="auto" w:fill="E0E0E0"/>
          </w:tcPr>
          <w:p w14:paraId="40A9DE8D" w14:textId="4248214B" w:rsidR="008719E3" w:rsidRPr="0067507D" w:rsidRDefault="00732F43" w:rsidP="00A721E2">
            <w:pPr>
              <w:pStyle w:val="Tabletextright"/>
              <w:rPr>
                <w:highlight w:val="yellow"/>
              </w:rPr>
            </w:pPr>
            <w:r w:rsidRPr="0067507D">
              <w:t>28</w:t>
            </w:r>
          </w:p>
        </w:tc>
        <w:tc>
          <w:tcPr>
            <w:tcW w:w="942" w:type="dxa"/>
          </w:tcPr>
          <w:p w14:paraId="4FCBAAF4" w14:textId="64321EF3" w:rsidR="008719E3" w:rsidRPr="0067507D" w:rsidRDefault="00732F43" w:rsidP="00A721E2">
            <w:pPr>
              <w:pStyle w:val="Tabletextright"/>
              <w:rPr>
                <w:highlight w:val="yellow"/>
              </w:rPr>
            </w:pPr>
            <w:r w:rsidRPr="0067507D">
              <w:t>10</w:t>
            </w:r>
          </w:p>
        </w:tc>
        <w:tc>
          <w:tcPr>
            <w:tcW w:w="1080" w:type="dxa"/>
            <w:shd w:val="clear" w:color="auto" w:fill="E0E0E0"/>
            <w:vAlign w:val="bottom"/>
          </w:tcPr>
          <w:p w14:paraId="536A236A" w14:textId="77777777" w:rsidR="008719E3" w:rsidRPr="0067507D" w:rsidRDefault="008719E3" w:rsidP="00A721E2">
            <w:pPr>
              <w:pStyle w:val="Tabletextright"/>
            </w:pPr>
          </w:p>
        </w:tc>
        <w:tc>
          <w:tcPr>
            <w:tcW w:w="1080" w:type="dxa"/>
            <w:vAlign w:val="bottom"/>
          </w:tcPr>
          <w:p w14:paraId="29DD6C01" w14:textId="77777777" w:rsidR="008719E3" w:rsidRPr="0067507D" w:rsidRDefault="008719E3" w:rsidP="00A721E2">
            <w:pPr>
              <w:pStyle w:val="Tabletextright"/>
            </w:pPr>
          </w:p>
        </w:tc>
        <w:tc>
          <w:tcPr>
            <w:tcW w:w="1080" w:type="dxa"/>
            <w:shd w:val="clear" w:color="auto" w:fill="E0E0E0"/>
          </w:tcPr>
          <w:p w14:paraId="2E853BAE" w14:textId="77777777" w:rsidR="008719E3" w:rsidRPr="0067507D" w:rsidRDefault="008719E3" w:rsidP="00A721E2">
            <w:pPr>
              <w:pStyle w:val="Tabletextright"/>
            </w:pPr>
          </w:p>
        </w:tc>
        <w:tc>
          <w:tcPr>
            <w:tcW w:w="1080" w:type="dxa"/>
          </w:tcPr>
          <w:p w14:paraId="484F4978" w14:textId="77777777" w:rsidR="008719E3" w:rsidRPr="0067507D" w:rsidRDefault="008719E3" w:rsidP="00A721E2">
            <w:pPr>
              <w:pStyle w:val="Tabletextright"/>
            </w:pPr>
          </w:p>
        </w:tc>
      </w:tr>
      <w:tr w:rsidR="00E02C6B" w:rsidRPr="0067507D" w14:paraId="487F8987" w14:textId="77777777" w:rsidTr="50AD59D8">
        <w:tc>
          <w:tcPr>
            <w:tcW w:w="2610" w:type="dxa"/>
            <w:vAlign w:val="bottom"/>
          </w:tcPr>
          <w:p w14:paraId="4D95D732" w14:textId="77777777" w:rsidR="008719E3" w:rsidRPr="0067507D" w:rsidRDefault="008719E3" w:rsidP="00A721E2">
            <w:pPr>
              <w:pStyle w:val="Tabletext"/>
            </w:pPr>
            <w:r w:rsidRPr="0067507D">
              <w:t>$220</w:t>
            </w:r>
            <w:r w:rsidRPr="0067507D">
              <w:rPr>
                <w:rFonts w:ascii="Calibri" w:hAnsi="Calibri" w:cs="Calibri"/>
              </w:rPr>
              <w:t> </w:t>
            </w:r>
            <w:r w:rsidRPr="0067507D">
              <w:t>000–$239</w:t>
            </w:r>
            <w:r w:rsidRPr="0067507D">
              <w:rPr>
                <w:rFonts w:ascii="Calibri" w:hAnsi="Calibri" w:cs="Calibri"/>
              </w:rPr>
              <w:t> </w:t>
            </w:r>
            <w:r w:rsidRPr="0067507D">
              <w:t>999</w:t>
            </w:r>
          </w:p>
        </w:tc>
        <w:tc>
          <w:tcPr>
            <w:tcW w:w="1308" w:type="dxa"/>
            <w:shd w:val="clear" w:color="auto" w:fill="E0E0E0"/>
          </w:tcPr>
          <w:p w14:paraId="086D7D92" w14:textId="71DA2EE9" w:rsidR="008719E3" w:rsidRPr="0067507D" w:rsidRDefault="00732F43" w:rsidP="00A721E2">
            <w:pPr>
              <w:pStyle w:val="Tabletextright"/>
              <w:rPr>
                <w:highlight w:val="yellow"/>
              </w:rPr>
            </w:pPr>
            <w:r w:rsidRPr="0067507D">
              <w:t>17</w:t>
            </w:r>
          </w:p>
        </w:tc>
        <w:tc>
          <w:tcPr>
            <w:tcW w:w="942" w:type="dxa"/>
          </w:tcPr>
          <w:p w14:paraId="6B770CCC" w14:textId="3D195A3A" w:rsidR="008719E3" w:rsidRPr="0067507D" w:rsidRDefault="00732F43" w:rsidP="00A721E2">
            <w:pPr>
              <w:pStyle w:val="Tabletextright"/>
              <w:rPr>
                <w:highlight w:val="yellow"/>
              </w:rPr>
            </w:pPr>
            <w:r w:rsidRPr="0067507D">
              <w:t>2</w:t>
            </w:r>
          </w:p>
        </w:tc>
        <w:tc>
          <w:tcPr>
            <w:tcW w:w="1080" w:type="dxa"/>
            <w:shd w:val="clear" w:color="auto" w:fill="E0E0E0"/>
            <w:vAlign w:val="bottom"/>
          </w:tcPr>
          <w:p w14:paraId="5132E83E" w14:textId="77777777" w:rsidR="008719E3" w:rsidRPr="0067507D" w:rsidRDefault="008719E3" w:rsidP="00A721E2">
            <w:pPr>
              <w:pStyle w:val="Tabletextright"/>
            </w:pPr>
          </w:p>
        </w:tc>
        <w:tc>
          <w:tcPr>
            <w:tcW w:w="1080" w:type="dxa"/>
            <w:vAlign w:val="bottom"/>
          </w:tcPr>
          <w:p w14:paraId="29046F5C" w14:textId="77777777" w:rsidR="008719E3" w:rsidRPr="0067507D" w:rsidRDefault="008719E3" w:rsidP="00A721E2">
            <w:pPr>
              <w:pStyle w:val="Tabletextright"/>
            </w:pPr>
          </w:p>
        </w:tc>
        <w:tc>
          <w:tcPr>
            <w:tcW w:w="1080" w:type="dxa"/>
            <w:shd w:val="clear" w:color="auto" w:fill="E0E0E0"/>
          </w:tcPr>
          <w:p w14:paraId="2A30F849" w14:textId="77777777" w:rsidR="008719E3" w:rsidRPr="0067507D" w:rsidRDefault="008719E3" w:rsidP="00A721E2">
            <w:pPr>
              <w:pStyle w:val="Tabletextright"/>
            </w:pPr>
          </w:p>
        </w:tc>
        <w:tc>
          <w:tcPr>
            <w:tcW w:w="1080" w:type="dxa"/>
          </w:tcPr>
          <w:p w14:paraId="33B1D685" w14:textId="77777777" w:rsidR="008719E3" w:rsidRPr="0067507D" w:rsidRDefault="008719E3" w:rsidP="00A721E2">
            <w:pPr>
              <w:pStyle w:val="Tabletextright"/>
            </w:pPr>
          </w:p>
        </w:tc>
      </w:tr>
      <w:tr w:rsidR="00E02C6B" w:rsidRPr="0067507D" w14:paraId="63AC487B" w14:textId="77777777" w:rsidTr="50AD59D8">
        <w:tc>
          <w:tcPr>
            <w:tcW w:w="2610" w:type="dxa"/>
            <w:vAlign w:val="bottom"/>
          </w:tcPr>
          <w:p w14:paraId="5FCBD862" w14:textId="77777777" w:rsidR="008719E3" w:rsidRPr="0067507D" w:rsidRDefault="008719E3" w:rsidP="00A721E2">
            <w:pPr>
              <w:pStyle w:val="Tabletext"/>
            </w:pPr>
            <w:r w:rsidRPr="0067507D">
              <w:t>$240</w:t>
            </w:r>
            <w:r w:rsidRPr="0067507D">
              <w:rPr>
                <w:rFonts w:ascii="Calibri" w:hAnsi="Calibri" w:cs="Calibri"/>
              </w:rPr>
              <w:t> </w:t>
            </w:r>
            <w:r w:rsidRPr="0067507D">
              <w:t>000–$259</w:t>
            </w:r>
            <w:r w:rsidRPr="0067507D">
              <w:rPr>
                <w:rFonts w:ascii="Calibri" w:hAnsi="Calibri" w:cs="Calibri"/>
              </w:rPr>
              <w:t> </w:t>
            </w:r>
            <w:r w:rsidRPr="0067507D">
              <w:t>999</w:t>
            </w:r>
          </w:p>
        </w:tc>
        <w:tc>
          <w:tcPr>
            <w:tcW w:w="1308" w:type="dxa"/>
            <w:shd w:val="clear" w:color="auto" w:fill="E0E0E0"/>
          </w:tcPr>
          <w:p w14:paraId="2A39075D" w14:textId="5A468A4B" w:rsidR="008719E3" w:rsidRPr="0067507D" w:rsidRDefault="00732F43" w:rsidP="00A721E2">
            <w:pPr>
              <w:pStyle w:val="Tabletextright"/>
              <w:rPr>
                <w:highlight w:val="yellow"/>
              </w:rPr>
            </w:pPr>
            <w:r w:rsidRPr="0067507D">
              <w:t>7</w:t>
            </w:r>
          </w:p>
        </w:tc>
        <w:tc>
          <w:tcPr>
            <w:tcW w:w="942" w:type="dxa"/>
          </w:tcPr>
          <w:p w14:paraId="68DC3381" w14:textId="5F343D94" w:rsidR="008719E3" w:rsidRPr="0067507D" w:rsidRDefault="008719E3" w:rsidP="00A721E2">
            <w:pPr>
              <w:pStyle w:val="Tabletextright"/>
              <w:rPr>
                <w:highlight w:val="yellow"/>
              </w:rPr>
            </w:pPr>
            <w:r w:rsidRPr="0067507D">
              <w:t>1</w:t>
            </w:r>
          </w:p>
        </w:tc>
        <w:tc>
          <w:tcPr>
            <w:tcW w:w="1080" w:type="dxa"/>
            <w:shd w:val="clear" w:color="auto" w:fill="E0E0E0"/>
            <w:vAlign w:val="bottom"/>
          </w:tcPr>
          <w:p w14:paraId="62B0C8F5" w14:textId="77777777" w:rsidR="008719E3" w:rsidRPr="0067507D" w:rsidRDefault="008719E3" w:rsidP="00A721E2">
            <w:pPr>
              <w:pStyle w:val="Tabletextright"/>
            </w:pPr>
          </w:p>
        </w:tc>
        <w:tc>
          <w:tcPr>
            <w:tcW w:w="1080" w:type="dxa"/>
            <w:vAlign w:val="bottom"/>
          </w:tcPr>
          <w:p w14:paraId="331A4AD4" w14:textId="77777777" w:rsidR="008719E3" w:rsidRPr="0067507D" w:rsidRDefault="008719E3" w:rsidP="00A721E2">
            <w:pPr>
              <w:pStyle w:val="Tabletextright"/>
            </w:pPr>
          </w:p>
        </w:tc>
        <w:tc>
          <w:tcPr>
            <w:tcW w:w="1080" w:type="dxa"/>
            <w:shd w:val="clear" w:color="auto" w:fill="E0E0E0"/>
          </w:tcPr>
          <w:p w14:paraId="12B5691B" w14:textId="77777777" w:rsidR="008719E3" w:rsidRPr="0067507D" w:rsidRDefault="008719E3" w:rsidP="00A721E2">
            <w:pPr>
              <w:pStyle w:val="Tabletextright"/>
            </w:pPr>
          </w:p>
        </w:tc>
        <w:tc>
          <w:tcPr>
            <w:tcW w:w="1080" w:type="dxa"/>
          </w:tcPr>
          <w:p w14:paraId="548DEC3A" w14:textId="77777777" w:rsidR="008719E3" w:rsidRPr="0067507D" w:rsidRDefault="008719E3" w:rsidP="00A721E2">
            <w:pPr>
              <w:pStyle w:val="Tabletextright"/>
            </w:pPr>
          </w:p>
        </w:tc>
      </w:tr>
      <w:tr w:rsidR="00E02C6B" w:rsidRPr="0067507D" w14:paraId="0781C9E9" w14:textId="77777777" w:rsidTr="50AD59D8">
        <w:tc>
          <w:tcPr>
            <w:tcW w:w="2610" w:type="dxa"/>
            <w:vAlign w:val="bottom"/>
          </w:tcPr>
          <w:p w14:paraId="63658799" w14:textId="77777777" w:rsidR="008719E3" w:rsidRPr="0067507D" w:rsidRDefault="008719E3" w:rsidP="00A721E2">
            <w:pPr>
              <w:pStyle w:val="Tabletext"/>
            </w:pPr>
            <w:r w:rsidRPr="0067507D">
              <w:t>$260</w:t>
            </w:r>
            <w:r w:rsidRPr="0067507D">
              <w:rPr>
                <w:rFonts w:ascii="Calibri" w:hAnsi="Calibri" w:cs="Calibri"/>
              </w:rPr>
              <w:t> </w:t>
            </w:r>
            <w:r w:rsidRPr="0067507D">
              <w:t>000–$279</w:t>
            </w:r>
            <w:r w:rsidRPr="0067507D">
              <w:rPr>
                <w:rFonts w:ascii="Calibri" w:hAnsi="Calibri" w:cs="Calibri"/>
              </w:rPr>
              <w:t> </w:t>
            </w:r>
            <w:r w:rsidRPr="0067507D">
              <w:t>999</w:t>
            </w:r>
          </w:p>
        </w:tc>
        <w:tc>
          <w:tcPr>
            <w:tcW w:w="1308" w:type="dxa"/>
            <w:shd w:val="clear" w:color="auto" w:fill="E0E0E0"/>
          </w:tcPr>
          <w:p w14:paraId="490FEE85" w14:textId="722B4AE7" w:rsidR="008719E3" w:rsidRPr="0067507D" w:rsidRDefault="00732F43" w:rsidP="00A721E2">
            <w:pPr>
              <w:pStyle w:val="Tabletextright"/>
              <w:rPr>
                <w:highlight w:val="yellow"/>
              </w:rPr>
            </w:pPr>
            <w:r w:rsidRPr="0067507D">
              <w:t>7</w:t>
            </w:r>
          </w:p>
        </w:tc>
        <w:tc>
          <w:tcPr>
            <w:tcW w:w="942" w:type="dxa"/>
          </w:tcPr>
          <w:p w14:paraId="033E3A6A" w14:textId="77777777" w:rsidR="008719E3" w:rsidRPr="0067507D" w:rsidRDefault="008719E3" w:rsidP="00A721E2">
            <w:pPr>
              <w:pStyle w:val="Tabletextright"/>
              <w:rPr>
                <w:highlight w:val="yellow"/>
              </w:rPr>
            </w:pPr>
          </w:p>
        </w:tc>
        <w:tc>
          <w:tcPr>
            <w:tcW w:w="1080" w:type="dxa"/>
            <w:shd w:val="clear" w:color="auto" w:fill="E0E0E0"/>
            <w:vAlign w:val="bottom"/>
          </w:tcPr>
          <w:p w14:paraId="05539CAC" w14:textId="77777777" w:rsidR="008719E3" w:rsidRPr="0067507D" w:rsidRDefault="008719E3" w:rsidP="00A721E2">
            <w:pPr>
              <w:pStyle w:val="Tabletextright"/>
            </w:pPr>
          </w:p>
        </w:tc>
        <w:tc>
          <w:tcPr>
            <w:tcW w:w="1080" w:type="dxa"/>
            <w:vAlign w:val="bottom"/>
          </w:tcPr>
          <w:p w14:paraId="73AE33BF" w14:textId="77777777" w:rsidR="008719E3" w:rsidRPr="0067507D" w:rsidRDefault="008719E3" w:rsidP="00A721E2">
            <w:pPr>
              <w:pStyle w:val="Tabletextright"/>
            </w:pPr>
          </w:p>
        </w:tc>
        <w:tc>
          <w:tcPr>
            <w:tcW w:w="1080" w:type="dxa"/>
            <w:shd w:val="clear" w:color="auto" w:fill="E0E0E0"/>
          </w:tcPr>
          <w:p w14:paraId="7D041F3C" w14:textId="77777777" w:rsidR="008719E3" w:rsidRPr="0067507D" w:rsidRDefault="008719E3" w:rsidP="00A721E2">
            <w:pPr>
              <w:pStyle w:val="Tabletextright"/>
            </w:pPr>
          </w:p>
        </w:tc>
        <w:tc>
          <w:tcPr>
            <w:tcW w:w="1080" w:type="dxa"/>
          </w:tcPr>
          <w:p w14:paraId="222F3144" w14:textId="77777777" w:rsidR="008719E3" w:rsidRPr="0067507D" w:rsidRDefault="008719E3" w:rsidP="00A721E2">
            <w:pPr>
              <w:pStyle w:val="Tabletextright"/>
            </w:pPr>
          </w:p>
        </w:tc>
      </w:tr>
      <w:tr w:rsidR="00E02C6B" w:rsidRPr="0067507D" w14:paraId="26DB1B83" w14:textId="77777777" w:rsidTr="50AD59D8">
        <w:tc>
          <w:tcPr>
            <w:tcW w:w="2610" w:type="dxa"/>
            <w:vAlign w:val="bottom"/>
          </w:tcPr>
          <w:p w14:paraId="192B98B5" w14:textId="77777777" w:rsidR="008719E3" w:rsidRPr="0067507D" w:rsidRDefault="008719E3" w:rsidP="00A721E2">
            <w:pPr>
              <w:pStyle w:val="Tabletext"/>
            </w:pPr>
            <w:r w:rsidRPr="0067507D">
              <w:t>$280</w:t>
            </w:r>
            <w:r w:rsidRPr="0067507D">
              <w:rPr>
                <w:rFonts w:ascii="Calibri" w:hAnsi="Calibri" w:cs="Calibri"/>
              </w:rPr>
              <w:t> </w:t>
            </w:r>
            <w:r w:rsidRPr="0067507D">
              <w:t>000–$299</w:t>
            </w:r>
            <w:r w:rsidRPr="0067507D">
              <w:rPr>
                <w:rFonts w:ascii="Calibri" w:hAnsi="Calibri" w:cs="Calibri"/>
              </w:rPr>
              <w:t> </w:t>
            </w:r>
            <w:r w:rsidRPr="0067507D">
              <w:t>999</w:t>
            </w:r>
          </w:p>
        </w:tc>
        <w:tc>
          <w:tcPr>
            <w:tcW w:w="1308" w:type="dxa"/>
            <w:shd w:val="clear" w:color="auto" w:fill="E0E0E0"/>
          </w:tcPr>
          <w:p w14:paraId="388E1FE9" w14:textId="01E56E97" w:rsidR="008719E3" w:rsidRPr="0067507D" w:rsidRDefault="00732F43" w:rsidP="00A721E2">
            <w:pPr>
              <w:pStyle w:val="Tabletextright"/>
              <w:rPr>
                <w:highlight w:val="yellow"/>
              </w:rPr>
            </w:pPr>
            <w:r w:rsidRPr="0067507D">
              <w:t>10</w:t>
            </w:r>
          </w:p>
        </w:tc>
        <w:tc>
          <w:tcPr>
            <w:tcW w:w="942" w:type="dxa"/>
          </w:tcPr>
          <w:p w14:paraId="3F6B0469" w14:textId="77777777" w:rsidR="008719E3" w:rsidRPr="0067507D" w:rsidRDefault="008719E3" w:rsidP="00A721E2">
            <w:pPr>
              <w:pStyle w:val="Tabletextright"/>
              <w:rPr>
                <w:highlight w:val="yellow"/>
              </w:rPr>
            </w:pPr>
          </w:p>
        </w:tc>
        <w:tc>
          <w:tcPr>
            <w:tcW w:w="1080" w:type="dxa"/>
            <w:shd w:val="clear" w:color="auto" w:fill="E0E0E0"/>
            <w:vAlign w:val="bottom"/>
          </w:tcPr>
          <w:p w14:paraId="07951706" w14:textId="77777777" w:rsidR="008719E3" w:rsidRPr="0067507D" w:rsidRDefault="008719E3" w:rsidP="00A721E2">
            <w:pPr>
              <w:pStyle w:val="Tabletextright"/>
            </w:pPr>
          </w:p>
        </w:tc>
        <w:tc>
          <w:tcPr>
            <w:tcW w:w="1080" w:type="dxa"/>
            <w:vAlign w:val="bottom"/>
          </w:tcPr>
          <w:p w14:paraId="7DA103B6" w14:textId="77777777" w:rsidR="008719E3" w:rsidRPr="0067507D" w:rsidRDefault="008719E3" w:rsidP="00A721E2">
            <w:pPr>
              <w:pStyle w:val="Tabletextright"/>
            </w:pPr>
          </w:p>
        </w:tc>
        <w:tc>
          <w:tcPr>
            <w:tcW w:w="1080" w:type="dxa"/>
            <w:shd w:val="clear" w:color="auto" w:fill="E0E0E0"/>
          </w:tcPr>
          <w:p w14:paraId="251868B6" w14:textId="77777777" w:rsidR="008719E3" w:rsidRPr="0067507D" w:rsidRDefault="008719E3" w:rsidP="00A721E2">
            <w:pPr>
              <w:pStyle w:val="Tabletextright"/>
            </w:pPr>
          </w:p>
        </w:tc>
        <w:tc>
          <w:tcPr>
            <w:tcW w:w="1080" w:type="dxa"/>
          </w:tcPr>
          <w:p w14:paraId="3475D0E1" w14:textId="77777777" w:rsidR="008719E3" w:rsidRPr="0067507D" w:rsidRDefault="008719E3" w:rsidP="00A721E2">
            <w:pPr>
              <w:pStyle w:val="Tabletextright"/>
            </w:pPr>
          </w:p>
        </w:tc>
      </w:tr>
      <w:tr w:rsidR="00E02C6B" w:rsidRPr="0067507D" w14:paraId="253F0CF5" w14:textId="77777777" w:rsidTr="50AD59D8">
        <w:tc>
          <w:tcPr>
            <w:tcW w:w="2610" w:type="dxa"/>
            <w:vAlign w:val="bottom"/>
          </w:tcPr>
          <w:p w14:paraId="3EBB26EA" w14:textId="77777777" w:rsidR="008719E3" w:rsidRPr="0067507D" w:rsidRDefault="008719E3" w:rsidP="00A721E2">
            <w:pPr>
              <w:pStyle w:val="Tabletext"/>
            </w:pPr>
            <w:r w:rsidRPr="0067507D">
              <w:t>$300</w:t>
            </w:r>
            <w:r w:rsidRPr="0067507D">
              <w:rPr>
                <w:rFonts w:ascii="Calibri" w:hAnsi="Calibri" w:cs="Calibri"/>
              </w:rPr>
              <w:t> </w:t>
            </w:r>
            <w:r w:rsidRPr="0067507D">
              <w:t>000–$319</w:t>
            </w:r>
            <w:r w:rsidRPr="0067507D">
              <w:rPr>
                <w:rFonts w:ascii="Calibri" w:hAnsi="Calibri" w:cs="Calibri"/>
              </w:rPr>
              <w:t> </w:t>
            </w:r>
            <w:r w:rsidRPr="0067507D">
              <w:t>999</w:t>
            </w:r>
          </w:p>
        </w:tc>
        <w:tc>
          <w:tcPr>
            <w:tcW w:w="1308" w:type="dxa"/>
            <w:shd w:val="clear" w:color="auto" w:fill="E0E0E0"/>
          </w:tcPr>
          <w:p w14:paraId="2CD0ACEF" w14:textId="59D05545" w:rsidR="008719E3" w:rsidRPr="0067507D" w:rsidRDefault="00732F43" w:rsidP="00A721E2">
            <w:pPr>
              <w:pStyle w:val="Tabletextright"/>
              <w:rPr>
                <w:highlight w:val="yellow"/>
              </w:rPr>
            </w:pPr>
            <w:r w:rsidRPr="0067507D">
              <w:t>7</w:t>
            </w:r>
          </w:p>
        </w:tc>
        <w:tc>
          <w:tcPr>
            <w:tcW w:w="942" w:type="dxa"/>
          </w:tcPr>
          <w:p w14:paraId="5C872311" w14:textId="77777777" w:rsidR="008719E3" w:rsidRPr="0067507D" w:rsidRDefault="008719E3" w:rsidP="00A721E2">
            <w:pPr>
              <w:pStyle w:val="Tabletextright"/>
              <w:rPr>
                <w:highlight w:val="yellow"/>
              </w:rPr>
            </w:pPr>
          </w:p>
        </w:tc>
        <w:tc>
          <w:tcPr>
            <w:tcW w:w="1080" w:type="dxa"/>
            <w:shd w:val="clear" w:color="auto" w:fill="E0E0E0"/>
            <w:vAlign w:val="bottom"/>
          </w:tcPr>
          <w:p w14:paraId="47591FA3" w14:textId="77777777" w:rsidR="008719E3" w:rsidRPr="0067507D" w:rsidRDefault="008719E3" w:rsidP="00A721E2">
            <w:pPr>
              <w:pStyle w:val="Tabletextright"/>
            </w:pPr>
          </w:p>
        </w:tc>
        <w:tc>
          <w:tcPr>
            <w:tcW w:w="1080" w:type="dxa"/>
            <w:vAlign w:val="bottom"/>
          </w:tcPr>
          <w:p w14:paraId="411F8F99" w14:textId="77777777" w:rsidR="008719E3" w:rsidRPr="0067507D" w:rsidRDefault="008719E3" w:rsidP="00A721E2">
            <w:pPr>
              <w:pStyle w:val="Tabletextright"/>
            </w:pPr>
          </w:p>
        </w:tc>
        <w:tc>
          <w:tcPr>
            <w:tcW w:w="1080" w:type="dxa"/>
            <w:shd w:val="clear" w:color="auto" w:fill="E0E0E0"/>
          </w:tcPr>
          <w:p w14:paraId="72D4C32F" w14:textId="77777777" w:rsidR="008719E3" w:rsidRPr="0067507D" w:rsidRDefault="008719E3" w:rsidP="00A721E2">
            <w:pPr>
              <w:pStyle w:val="Tabletextright"/>
            </w:pPr>
          </w:p>
        </w:tc>
        <w:tc>
          <w:tcPr>
            <w:tcW w:w="1080" w:type="dxa"/>
          </w:tcPr>
          <w:p w14:paraId="6750E3C6" w14:textId="77777777" w:rsidR="008719E3" w:rsidRPr="0067507D" w:rsidRDefault="008719E3" w:rsidP="00A721E2">
            <w:pPr>
              <w:pStyle w:val="Tabletextright"/>
            </w:pPr>
          </w:p>
        </w:tc>
      </w:tr>
      <w:tr w:rsidR="00E02C6B" w:rsidRPr="0067507D" w14:paraId="007C6552" w14:textId="77777777" w:rsidTr="50AD59D8">
        <w:tc>
          <w:tcPr>
            <w:tcW w:w="2610" w:type="dxa"/>
            <w:vAlign w:val="bottom"/>
          </w:tcPr>
          <w:p w14:paraId="7EE0C74D" w14:textId="77777777" w:rsidR="008719E3" w:rsidRPr="0067507D" w:rsidRDefault="008719E3" w:rsidP="00A721E2">
            <w:pPr>
              <w:pStyle w:val="Tabletext"/>
            </w:pPr>
            <w:r w:rsidRPr="0067507D">
              <w:t>$320</w:t>
            </w:r>
            <w:r w:rsidRPr="0067507D">
              <w:rPr>
                <w:rFonts w:ascii="Calibri" w:hAnsi="Calibri" w:cs="Calibri"/>
              </w:rPr>
              <w:t> </w:t>
            </w:r>
            <w:r w:rsidRPr="0067507D">
              <w:t>000–$339</w:t>
            </w:r>
            <w:r w:rsidRPr="0067507D">
              <w:rPr>
                <w:rFonts w:ascii="Calibri" w:hAnsi="Calibri" w:cs="Calibri"/>
              </w:rPr>
              <w:t> </w:t>
            </w:r>
            <w:r w:rsidRPr="0067507D">
              <w:t>999</w:t>
            </w:r>
          </w:p>
        </w:tc>
        <w:tc>
          <w:tcPr>
            <w:tcW w:w="1308" w:type="dxa"/>
            <w:shd w:val="clear" w:color="auto" w:fill="E0E0E0"/>
          </w:tcPr>
          <w:p w14:paraId="104ACCF0" w14:textId="28641DAC" w:rsidR="008719E3" w:rsidRPr="0067507D" w:rsidRDefault="008719E3" w:rsidP="00A721E2">
            <w:pPr>
              <w:pStyle w:val="Tabletextright"/>
              <w:rPr>
                <w:highlight w:val="yellow"/>
              </w:rPr>
            </w:pPr>
            <w:r w:rsidRPr="0067507D">
              <w:t>2</w:t>
            </w:r>
          </w:p>
        </w:tc>
        <w:tc>
          <w:tcPr>
            <w:tcW w:w="942" w:type="dxa"/>
          </w:tcPr>
          <w:p w14:paraId="20A4BF53" w14:textId="77777777" w:rsidR="008719E3" w:rsidRPr="0067507D" w:rsidRDefault="008719E3" w:rsidP="00A721E2">
            <w:pPr>
              <w:pStyle w:val="Tabletextright"/>
              <w:rPr>
                <w:highlight w:val="yellow"/>
              </w:rPr>
            </w:pPr>
          </w:p>
        </w:tc>
        <w:tc>
          <w:tcPr>
            <w:tcW w:w="1080" w:type="dxa"/>
            <w:shd w:val="clear" w:color="auto" w:fill="E0E0E0"/>
            <w:vAlign w:val="bottom"/>
          </w:tcPr>
          <w:p w14:paraId="6B4C861A" w14:textId="77777777" w:rsidR="008719E3" w:rsidRPr="0067507D" w:rsidRDefault="008719E3" w:rsidP="00A721E2">
            <w:pPr>
              <w:pStyle w:val="Tabletextright"/>
            </w:pPr>
          </w:p>
        </w:tc>
        <w:tc>
          <w:tcPr>
            <w:tcW w:w="1080" w:type="dxa"/>
            <w:vAlign w:val="bottom"/>
          </w:tcPr>
          <w:p w14:paraId="71C18110" w14:textId="77777777" w:rsidR="008719E3" w:rsidRPr="0067507D" w:rsidRDefault="008719E3" w:rsidP="00A721E2">
            <w:pPr>
              <w:pStyle w:val="Tabletextright"/>
            </w:pPr>
          </w:p>
        </w:tc>
        <w:tc>
          <w:tcPr>
            <w:tcW w:w="1080" w:type="dxa"/>
            <w:shd w:val="clear" w:color="auto" w:fill="E0E0E0"/>
          </w:tcPr>
          <w:p w14:paraId="27813920" w14:textId="77777777" w:rsidR="008719E3" w:rsidRPr="0067507D" w:rsidRDefault="008719E3" w:rsidP="00A721E2">
            <w:pPr>
              <w:pStyle w:val="Tabletextright"/>
              <w:rPr>
                <w:bCs/>
              </w:rPr>
            </w:pPr>
          </w:p>
        </w:tc>
        <w:tc>
          <w:tcPr>
            <w:tcW w:w="1080" w:type="dxa"/>
          </w:tcPr>
          <w:p w14:paraId="23795346" w14:textId="77777777" w:rsidR="008719E3" w:rsidRPr="0067507D" w:rsidRDefault="008719E3" w:rsidP="00A721E2">
            <w:pPr>
              <w:pStyle w:val="Tabletextright"/>
              <w:rPr>
                <w:bCs/>
              </w:rPr>
            </w:pPr>
          </w:p>
        </w:tc>
      </w:tr>
      <w:tr w:rsidR="00E02C6B" w:rsidRPr="0067507D" w14:paraId="1C2477D4" w14:textId="77777777" w:rsidTr="50AD59D8">
        <w:tc>
          <w:tcPr>
            <w:tcW w:w="2610" w:type="dxa"/>
          </w:tcPr>
          <w:p w14:paraId="3F47B9CE" w14:textId="77777777" w:rsidR="008719E3" w:rsidRPr="0067507D" w:rsidRDefault="008719E3" w:rsidP="00A721E2">
            <w:pPr>
              <w:pStyle w:val="Tabletext"/>
            </w:pPr>
            <w:r w:rsidRPr="0067507D">
              <w:t>$340</w:t>
            </w:r>
            <w:r w:rsidRPr="0067507D">
              <w:rPr>
                <w:rFonts w:ascii="Calibri" w:hAnsi="Calibri" w:cs="Calibri"/>
              </w:rPr>
              <w:t> </w:t>
            </w:r>
            <w:r w:rsidRPr="0067507D">
              <w:t>000–$359</w:t>
            </w:r>
            <w:r w:rsidRPr="0067507D">
              <w:rPr>
                <w:rFonts w:ascii="Calibri" w:hAnsi="Calibri" w:cs="Calibri"/>
              </w:rPr>
              <w:t> </w:t>
            </w:r>
            <w:r w:rsidRPr="0067507D">
              <w:t>999</w:t>
            </w:r>
          </w:p>
        </w:tc>
        <w:tc>
          <w:tcPr>
            <w:tcW w:w="1308" w:type="dxa"/>
            <w:shd w:val="clear" w:color="auto" w:fill="E0E0E0"/>
          </w:tcPr>
          <w:p w14:paraId="3DAFE476" w14:textId="23D325A7" w:rsidR="008719E3" w:rsidRPr="0067507D" w:rsidRDefault="008719E3" w:rsidP="00A721E2">
            <w:pPr>
              <w:pStyle w:val="Tabletextright"/>
              <w:rPr>
                <w:highlight w:val="yellow"/>
              </w:rPr>
            </w:pPr>
          </w:p>
        </w:tc>
        <w:tc>
          <w:tcPr>
            <w:tcW w:w="942" w:type="dxa"/>
          </w:tcPr>
          <w:p w14:paraId="1FDC52E5" w14:textId="77777777" w:rsidR="008719E3" w:rsidRPr="0067507D" w:rsidRDefault="008719E3" w:rsidP="00A721E2">
            <w:pPr>
              <w:pStyle w:val="Tabletextright"/>
              <w:rPr>
                <w:highlight w:val="yellow"/>
              </w:rPr>
            </w:pPr>
          </w:p>
        </w:tc>
        <w:tc>
          <w:tcPr>
            <w:tcW w:w="1080" w:type="dxa"/>
            <w:shd w:val="clear" w:color="auto" w:fill="E0E0E0"/>
            <w:vAlign w:val="bottom"/>
          </w:tcPr>
          <w:p w14:paraId="6264CE5E" w14:textId="77777777" w:rsidR="008719E3" w:rsidRPr="0067507D" w:rsidRDefault="008719E3" w:rsidP="00A721E2">
            <w:pPr>
              <w:pStyle w:val="Tabletextright"/>
            </w:pPr>
          </w:p>
        </w:tc>
        <w:tc>
          <w:tcPr>
            <w:tcW w:w="1080" w:type="dxa"/>
            <w:vAlign w:val="bottom"/>
          </w:tcPr>
          <w:p w14:paraId="504DC84F" w14:textId="77777777" w:rsidR="008719E3" w:rsidRPr="0067507D" w:rsidRDefault="008719E3" w:rsidP="00A721E2">
            <w:pPr>
              <w:pStyle w:val="Tabletextright"/>
            </w:pPr>
          </w:p>
        </w:tc>
        <w:tc>
          <w:tcPr>
            <w:tcW w:w="1080" w:type="dxa"/>
            <w:shd w:val="clear" w:color="auto" w:fill="E0E0E0"/>
          </w:tcPr>
          <w:p w14:paraId="530A6892" w14:textId="77777777" w:rsidR="008719E3" w:rsidRPr="0067507D" w:rsidRDefault="008719E3" w:rsidP="00A721E2">
            <w:pPr>
              <w:pStyle w:val="Tabletextright"/>
              <w:rPr>
                <w:bCs/>
              </w:rPr>
            </w:pPr>
          </w:p>
        </w:tc>
        <w:tc>
          <w:tcPr>
            <w:tcW w:w="1080" w:type="dxa"/>
          </w:tcPr>
          <w:p w14:paraId="515A9C21" w14:textId="77777777" w:rsidR="008719E3" w:rsidRPr="0067507D" w:rsidRDefault="008719E3" w:rsidP="00A721E2">
            <w:pPr>
              <w:pStyle w:val="Tabletextright"/>
              <w:rPr>
                <w:bCs/>
              </w:rPr>
            </w:pPr>
          </w:p>
        </w:tc>
      </w:tr>
      <w:tr w:rsidR="00E02C6B" w:rsidRPr="0067507D" w14:paraId="3ACBE0A0" w14:textId="77777777" w:rsidTr="50AD59D8">
        <w:tc>
          <w:tcPr>
            <w:tcW w:w="2610" w:type="dxa"/>
          </w:tcPr>
          <w:p w14:paraId="3E15D1B0" w14:textId="77777777" w:rsidR="008719E3" w:rsidRPr="0067507D" w:rsidRDefault="008719E3" w:rsidP="00A721E2">
            <w:pPr>
              <w:pStyle w:val="Tabletext"/>
            </w:pPr>
            <w:r w:rsidRPr="0067507D">
              <w:t>$360</w:t>
            </w:r>
            <w:r w:rsidRPr="0067507D">
              <w:rPr>
                <w:rFonts w:ascii="Calibri" w:hAnsi="Calibri" w:cs="Calibri"/>
              </w:rPr>
              <w:t> </w:t>
            </w:r>
            <w:r w:rsidRPr="0067507D">
              <w:t>000–$379</w:t>
            </w:r>
            <w:r w:rsidRPr="0067507D">
              <w:rPr>
                <w:rFonts w:ascii="Calibri" w:hAnsi="Calibri" w:cs="Calibri"/>
              </w:rPr>
              <w:t> </w:t>
            </w:r>
            <w:r w:rsidRPr="0067507D">
              <w:t>999</w:t>
            </w:r>
          </w:p>
        </w:tc>
        <w:tc>
          <w:tcPr>
            <w:tcW w:w="1308" w:type="dxa"/>
            <w:shd w:val="clear" w:color="auto" w:fill="E0E0E0"/>
          </w:tcPr>
          <w:p w14:paraId="661A2653" w14:textId="76584D28" w:rsidR="008719E3" w:rsidRPr="0067507D" w:rsidRDefault="00732F43" w:rsidP="00A721E2">
            <w:pPr>
              <w:pStyle w:val="Tabletextright"/>
              <w:rPr>
                <w:highlight w:val="yellow"/>
              </w:rPr>
            </w:pPr>
            <w:r w:rsidRPr="0067507D">
              <w:t>3</w:t>
            </w:r>
          </w:p>
        </w:tc>
        <w:tc>
          <w:tcPr>
            <w:tcW w:w="942" w:type="dxa"/>
          </w:tcPr>
          <w:p w14:paraId="143D32BE" w14:textId="77777777" w:rsidR="008719E3" w:rsidRPr="0067507D" w:rsidRDefault="008719E3" w:rsidP="00A721E2">
            <w:pPr>
              <w:pStyle w:val="Tabletextright"/>
              <w:rPr>
                <w:highlight w:val="yellow"/>
              </w:rPr>
            </w:pPr>
          </w:p>
        </w:tc>
        <w:tc>
          <w:tcPr>
            <w:tcW w:w="1080" w:type="dxa"/>
            <w:shd w:val="clear" w:color="auto" w:fill="E0E0E0"/>
            <w:vAlign w:val="bottom"/>
          </w:tcPr>
          <w:p w14:paraId="0AD06EC8" w14:textId="77777777" w:rsidR="008719E3" w:rsidRPr="0067507D" w:rsidRDefault="008719E3" w:rsidP="00A721E2">
            <w:pPr>
              <w:pStyle w:val="Tabletextright"/>
            </w:pPr>
          </w:p>
        </w:tc>
        <w:tc>
          <w:tcPr>
            <w:tcW w:w="1080" w:type="dxa"/>
            <w:vAlign w:val="bottom"/>
          </w:tcPr>
          <w:p w14:paraId="79369444" w14:textId="77777777" w:rsidR="008719E3" w:rsidRPr="0067507D" w:rsidRDefault="008719E3" w:rsidP="00A721E2">
            <w:pPr>
              <w:pStyle w:val="Tabletextright"/>
            </w:pPr>
          </w:p>
        </w:tc>
        <w:tc>
          <w:tcPr>
            <w:tcW w:w="1080" w:type="dxa"/>
            <w:shd w:val="clear" w:color="auto" w:fill="E0E0E0"/>
          </w:tcPr>
          <w:p w14:paraId="3DE2FBF3" w14:textId="77777777" w:rsidR="008719E3" w:rsidRPr="0067507D" w:rsidRDefault="008719E3" w:rsidP="00A721E2">
            <w:pPr>
              <w:pStyle w:val="Tabletextright"/>
              <w:rPr>
                <w:bCs/>
              </w:rPr>
            </w:pPr>
          </w:p>
        </w:tc>
        <w:tc>
          <w:tcPr>
            <w:tcW w:w="1080" w:type="dxa"/>
          </w:tcPr>
          <w:p w14:paraId="47E86DDF" w14:textId="77777777" w:rsidR="008719E3" w:rsidRPr="0067507D" w:rsidRDefault="008719E3" w:rsidP="00A721E2">
            <w:pPr>
              <w:pStyle w:val="Tabletextright"/>
              <w:rPr>
                <w:bCs/>
              </w:rPr>
            </w:pPr>
          </w:p>
        </w:tc>
      </w:tr>
      <w:tr w:rsidR="00E02C6B" w:rsidRPr="0067507D" w14:paraId="77A8710B" w14:textId="77777777" w:rsidTr="50AD59D8">
        <w:tc>
          <w:tcPr>
            <w:tcW w:w="2610" w:type="dxa"/>
          </w:tcPr>
          <w:p w14:paraId="3A752115" w14:textId="77777777" w:rsidR="008719E3" w:rsidRPr="0067507D" w:rsidRDefault="008719E3" w:rsidP="00A721E2">
            <w:pPr>
              <w:pStyle w:val="Tabletext"/>
            </w:pPr>
            <w:r w:rsidRPr="0067507D">
              <w:t>$380</w:t>
            </w:r>
            <w:r w:rsidRPr="0067507D">
              <w:rPr>
                <w:rFonts w:ascii="Calibri" w:hAnsi="Calibri" w:cs="Calibri"/>
              </w:rPr>
              <w:t> </w:t>
            </w:r>
            <w:r w:rsidRPr="0067507D">
              <w:t>000–$399</w:t>
            </w:r>
            <w:r w:rsidRPr="0067507D">
              <w:rPr>
                <w:rFonts w:ascii="Calibri" w:hAnsi="Calibri" w:cs="Calibri"/>
              </w:rPr>
              <w:t> </w:t>
            </w:r>
            <w:r w:rsidRPr="0067507D">
              <w:t>999</w:t>
            </w:r>
          </w:p>
        </w:tc>
        <w:tc>
          <w:tcPr>
            <w:tcW w:w="1308" w:type="dxa"/>
            <w:shd w:val="clear" w:color="auto" w:fill="E0E0E0"/>
          </w:tcPr>
          <w:p w14:paraId="3A82FCFE" w14:textId="34950166" w:rsidR="008719E3" w:rsidRPr="0067507D" w:rsidRDefault="00732F43" w:rsidP="00A721E2">
            <w:pPr>
              <w:pStyle w:val="Tabletextright"/>
              <w:rPr>
                <w:highlight w:val="yellow"/>
              </w:rPr>
            </w:pPr>
            <w:r w:rsidRPr="0067507D">
              <w:t>1</w:t>
            </w:r>
          </w:p>
        </w:tc>
        <w:tc>
          <w:tcPr>
            <w:tcW w:w="942" w:type="dxa"/>
          </w:tcPr>
          <w:p w14:paraId="4E30785C" w14:textId="77777777" w:rsidR="008719E3" w:rsidRPr="0067507D" w:rsidRDefault="008719E3" w:rsidP="00A721E2">
            <w:pPr>
              <w:pStyle w:val="Tabletextright"/>
              <w:rPr>
                <w:highlight w:val="yellow"/>
              </w:rPr>
            </w:pPr>
          </w:p>
        </w:tc>
        <w:tc>
          <w:tcPr>
            <w:tcW w:w="1080" w:type="dxa"/>
            <w:shd w:val="clear" w:color="auto" w:fill="E0E0E0"/>
            <w:vAlign w:val="bottom"/>
          </w:tcPr>
          <w:p w14:paraId="34864454" w14:textId="77777777" w:rsidR="008719E3" w:rsidRPr="0067507D" w:rsidRDefault="008719E3" w:rsidP="00A721E2">
            <w:pPr>
              <w:pStyle w:val="Tabletextright"/>
            </w:pPr>
          </w:p>
        </w:tc>
        <w:tc>
          <w:tcPr>
            <w:tcW w:w="1080" w:type="dxa"/>
            <w:vAlign w:val="bottom"/>
          </w:tcPr>
          <w:p w14:paraId="1DF81B5E" w14:textId="77777777" w:rsidR="008719E3" w:rsidRPr="0067507D" w:rsidRDefault="008719E3" w:rsidP="00A721E2">
            <w:pPr>
              <w:pStyle w:val="Tabletextright"/>
            </w:pPr>
          </w:p>
        </w:tc>
        <w:tc>
          <w:tcPr>
            <w:tcW w:w="1080" w:type="dxa"/>
            <w:shd w:val="clear" w:color="auto" w:fill="E0E0E0"/>
          </w:tcPr>
          <w:p w14:paraId="523E9840" w14:textId="77777777" w:rsidR="008719E3" w:rsidRPr="0067507D" w:rsidRDefault="008719E3" w:rsidP="00A721E2">
            <w:pPr>
              <w:pStyle w:val="Tabletextright"/>
              <w:rPr>
                <w:bCs/>
              </w:rPr>
            </w:pPr>
          </w:p>
        </w:tc>
        <w:tc>
          <w:tcPr>
            <w:tcW w:w="1080" w:type="dxa"/>
          </w:tcPr>
          <w:p w14:paraId="4663A472" w14:textId="77777777" w:rsidR="008719E3" w:rsidRPr="0067507D" w:rsidRDefault="008719E3" w:rsidP="00A721E2">
            <w:pPr>
              <w:pStyle w:val="Tabletextright"/>
              <w:rPr>
                <w:bCs/>
              </w:rPr>
            </w:pPr>
          </w:p>
        </w:tc>
      </w:tr>
      <w:tr w:rsidR="00E02C6B" w:rsidRPr="0067507D" w14:paraId="3C9017DD" w14:textId="77777777" w:rsidTr="50AD59D8">
        <w:tc>
          <w:tcPr>
            <w:tcW w:w="2610" w:type="dxa"/>
          </w:tcPr>
          <w:p w14:paraId="1405A5B7" w14:textId="77777777" w:rsidR="008719E3" w:rsidRPr="0067507D" w:rsidRDefault="008719E3" w:rsidP="00A721E2">
            <w:pPr>
              <w:pStyle w:val="Tabletext"/>
            </w:pPr>
            <w:r w:rsidRPr="0067507D">
              <w:t>$400</w:t>
            </w:r>
            <w:r w:rsidRPr="0067507D">
              <w:rPr>
                <w:rFonts w:ascii="Calibri" w:hAnsi="Calibri" w:cs="Calibri"/>
              </w:rPr>
              <w:t> </w:t>
            </w:r>
            <w:r w:rsidRPr="0067507D">
              <w:t>000–$419</w:t>
            </w:r>
            <w:r w:rsidRPr="0067507D">
              <w:rPr>
                <w:rFonts w:ascii="Calibri" w:hAnsi="Calibri" w:cs="Calibri"/>
              </w:rPr>
              <w:t> </w:t>
            </w:r>
            <w:r w:rsidRPr="0067507D">
              <w:t>999</w:t>
            </w:r>
          </w:p>
        </w:tc>
        <w:tc>
          <w:tcPr>
            <w:tcW w:w="1308" w:type="dxa"/>
            <w:shd w:val="clear" w:color="auto" w:fill="E0E0E0"/>
          </w:tcPr>
          <w:p w14:paraId="37B3148E" w14:textId="23BA2AD7" w:rsidR="008719E3" w:rsidRPr="0067507D" w:rsidRDefault="00732F43" w:rsidP="00A721E2">
            <w:pPr>
              <w:pStyle w:val="Tabletextright"/>
              <w:rPr>
                <w:highlight w:val="yellow"/>
              </w:rPr>
            </w:pPr>
            <w:r w:rsidRPr="0067507D">
              <w:t>2</w:t>
            </w:r>
          </w:p>
        </w:tc>
        <w:tc>
          <w:tcPr>
            <w:tcW w:w="942" w:type="dxa"/>
          </w:tcPr>
          <w:p w14:paraId="6C285277" w14:textId="77777777" w:rsidR="008719E3" w:rsidRPr="0067507D" w:rsidRDefault="008719E3" w:rsidP="00A721E2">
            <w:pPr>
              <w:pStyle w:val="Tabletextright"/>
              <w:rPr>
                <w:highlight w:val="yellow"/>
              </w:rPr>
            </w:pPr>
          </w:p>
        </w:tc>
        <w:tc>
          <w:tcPr>
            <w:tcW w:w="1080" w:type="dxa"/>
            <w:shd w:val="clear" w:color="auto" w:fill="E0E0E0"/>
            <w:vAlign w:val="bottom"/>
          </w:tcPr>
          <w:p w14:paraId="61F098FD" w14:textId="77777777" w:rsidR="008719E3" w:rsidRPr="0067507D" w:rsidRDefault="008719E3" w:rsidP="00A721E2">
            <w:pPr>
              <w:pStyle w:val="Tabletextright"/>
            </w:pPr>
          </w:p>
        </w:tc>
        <w:tc>
          <w:tcPr>
            <w:tcW w:w="1080" w:type="dxa"/>
            <w:vAlign w:val="bottom"/>
          </w:tcPr>
          <w:p w14:paraId="662A0231" w14:textId="77777777" w:rsidR="008719E3" w:rsidRPr="0067507D" w:rsidRDefault="008719E3" w:rsidP="00A721E2">
            <w:pPr>
              <w:pStyle w:val="Tabletextright"/>
            </w:pPr>
          </w:p>
        </w:tc>
        <w:tc>
          <w:tcPr>
            <w:tcW w:w="1080" w:type="dxa"/>
            <w:shd w:val="clear" w:color="auto" w:fill="E0E0E0"/>
          </w:tcPr>
          <w:p w14:paraId="74A2FB4C" w14:textId="77777777" w:rsidR="008719E3" w:rsidRPr="0067507D" w:rsidRDefault="008719E3" w:rsidP="00A721E2">
            <w:pPr>
              <w:pStyle w:val="Tabletextright"/>
              <w:rPr>
                <w:bCs/>
              </w:rPr>
            </w:pPr>
          </w:p>
        </w:tc>
        <w:tc>
          <w:tcPr>
            <w:tcW w:w="1080" w:type="dxa"/>
          </w:tcPr>
          <w:p w14:paraId="2B8F8939" w14:textId="77777777" w:rsidR="008719E3" w:rsidRPr="0067507D" w:rsidRDefault="008719E3" w:rsidP="00A721E2">
            <w:pPr>
              <w:pStyle w:val="Tabletextright"/>
              <w:rPr>
                <w:bCs/>
              </w:rPr>
            </w:pPr>
          </w:p>
        </w:tc>
      </w:tr>
      <w:tr w:rsidR="00E02C6B" w:rsidRPr="0067507D" w14:paraId="60317017" w14:textId="77777777" w:rsidTr="50AD59D8">
        <w:tc>
          <w:tcPr>
            <w:tcW w:w="2610" w:type="dxa"/>
          </w:tcPr>
          <w:p w14:paraId="7EF0500C" w14:textId="77777777" w:rsidR="008719E3" w:rsidRPr="0067507D" w:rsidRDefault="008719E3" w:rsidP="00A721E2">
            <w:pPr>
              <w:pStyle w:val="Tabletext"/>
            </w:pPr>
            <w:r w:rsidRPr="0067507D">
              <w:t>$420</w:t>
            </w:r>
            <w:r w:rsidRPr="0067507D">
              <w:rPr>
                <w:rFonts w:ascii="Calibri" w:hAnsi="Calibri" w:cs="Calibri"/>
              </w:rPr>
              <w:t> </w:t>
            </w:r>
            <w:r w:rsidRPr="0067507D">
              <w:t>000–$439</w:t>
            </w:r>
            <w:r w:rsidRPr="0067507D">
              <w:rPr>
                <w:rFonts w:ascii="Calibri" w:hAnsi="Calibri" w:cs="Calibri"/>
              </w:rPr>
              <w:t> </w:t>
            </w:r>
            <w:r w:rsidRPr="0067507D">
              <w:t>999</w:t>
            </w:r>
          </w:p>
        </w:tc>
        <w:tc>
          <w:tcPr>
            <w:tcW w:w="1308" w:type="dxa"/>
            <w:shd w:val="clear" w:color="auto" w:fill="E0E0E0"/>
          </w:tcPr>
          <w:p w14:paraId="643BE999" w14:textId="53638849" w:rsidR="008719E3" w:rsidRPr="0067507D" w:rsidRDefault="008719E3" w:rsidP="00A721E2">
            <w:pPr>
              <w:pStyle w:val="Tabletextright"/>
              <w:rPr>
                <w:highlight w:val="yellow"/>
              </w:rPr>
            </w:pPr>
          </w:p>
        </w:tc>
        <w:tc>
          <w:tcPr>
            <w:tcW w:w="942" w:type="dxa"/>
          </w:tcPr>
          <w:p w14:paraId="697D7B8E" w14:textId="77777777" w:rsidR="008719E3" w:rsidRPr="0067507D" w:rsidRDefault="008719E3" w:rsidP="00A721E2">
            <w:pPr>
              <w:pStyle w:val="Tabletextright"/>
              <w:rPr>
                <w:highlight w:val="yellow"/>
              </w:rPr>
            </w:pPr>
          </w:p>
        </w:tc>
        <w:tc>
          <w:tcPr>
            <w:tcW w:w="1080" w:type="dxa"/>
            <w:shd w:val="clear" w:color="auto" w:fill="E0E0E0"/>
            <w:vAlign w:val="bottom"/>
          </w:tcPr>
          <w:p w14:paraId="0DF9E2C9" w14:textId="77777777" w:rsidR="008719E3" w:rsidRPr="0067507D" w:rsidRDefault="008719E3" w:rsidP="00A721E2">
            <w:pPr>
              <w:pStyle w:val="Tabletextright"/>
            </w:pPr>
          </w:p>
        </w:tc>
        <w:tc>
          <w:tcPr>
            <w:tcW w:w="1080" w:type="dxa"/>
            <w:vAlign w:val="bottom"/>
          </w:tcPr>
          <w:p w14:paraId="467DF796" w14:textId="77777777" w:rsidR="008719E3" w:rsidRPr="0067507D" w:rsidRDefault="008719E3" w:rsidP="00A721E2">
            <w:pPr>
              <w:pStyle w:val="Tabletextright"/>
            </w:pPr>
          </w:p>
        </w:tc>
        <w:tc>
          <w:tcPr>
            <w:tcW w:w="1080" w:type="dxa"/>
            <w:shd w:val="clear" w:color="auto" w:fill="E0E0E0"/>
          </w:tcPr>
          <w:p w14:paraId="699002AB" w14:textId="77777777" w:rsidR="008719E3" w:rsidRPr="0067507D" w:rsidRDefault="008719E3" w:rsidP="00A721E2">
            <w:pPr>
              <w:pStyle w:val="Tabletextright"/>
              <w:rPr>
                <w:bCs/>
              </w:rPr>
            </w:pPr>
          </w:p>
        </w:tc>
        <w:tc>
          <w:tcPr>
            <w:tcW w:w="1080" w:type="dxa"/>
          </w:tcPr>
          <w:p w14:paraId="54C33768" w14:textId="77777777" w:rsidR="008719E3" w:rsidRPr="0067507D" w:rsidRDefault="008719E3" w:rsidP="00A721E2">
            <w:pPr>
              <w:pStyle w:val="Tabletextright"/>
              <w:rPr>
                <w:bCs/>
              </w:rPr>
            </w:pPr>
          </w:p>
        </w:tc>
      </w:tr>
      <w:tr w:rsidR="00E02C6B" w:rsidRPr="0067507D" w14:paraId="6A7A5907" w14:textId="77777777" w:rsidTr="50AD59D8">
        <w:tc>
          <w:tcPr>
            <w:tcW w:w="2610" w:type="dxa"/>
          </w:tcPr>
          <w:p w14:paraId="63A5FDFE" w14:textId="77777777" w:rsidR="008719E3" w:rsidRPr="0067507D" w:rsidRDefault="008719E3" w:rsidP="00A721E2">
            <w:pPr>
              <w:pStyle w:val="Tabletext"/>
            </w:pPr>
            <w:r w:rsidRPr="0067507D">
              <w:t>$440</w:t>
            </w:r>
            <w:r w:rsidRPr="0067507D">
              <w:rPr>
                <w:rFonts w:ascii="Calibri" w:hAnsi="Calibri" w:cs="Calibri"/>
              </w:rPr>
              <w:t> </w:t>
            </w:r>
            <w:r w:rsidRPr="0067507D">
              <w:t>000–$459</w:t>
            </w:r>
            <w:r w:rsidRPr="0067507D">
              <w:rPr>
                <w:rFonts w:ascii="Calibri" w:hAnsi="Calibri" w:cs="Calibri"/>
              </w:rPr>
              <w:t> </w:t>
            </w:r>
            <w:r w:rsidRPr="0067507D">
              <w:t>999</w:t>
            </w:r>
          </w:p>
        </w:tc>
        <w:tc>
          <w:tcPr>
            <w:tcW w:w="1308" w:type="dxa"/>
            <w:shd w:val="clear" w:color="auto" w:fill="E0E0E0"/>
          </w:tcPr>
          <w:p w14:paraId="720DD8BB" w14:textId="7E51C772" w:rsidR="008719E3" w:rsidRPr="0067507D" w:rsidRDefault="00732F43" w:rsidP="00A721E2">
            <w:pPr>
              <w:pStyle w:val="Tabletextright"/>
              <w:rPr>
                <w:highlight w:val="yellow"/>
              </w:rPr>
            </w:pPr>
            <w:r w:rsidRPr="0067507D">
              <w:t>2</w:t>
            </w:r>
          </w:p>
        </w:tc>
        <w:tc>
          <w:tcPr>
            <w:tcW w:w="942" w:type="dxa"/>
          </w:tcPr>
          <w:p w14:paraId="18406783" w14:textId="77777777" w:rsidR="008719E3" w:rsidRPr="0067507D" w:rsidRDefault="008719E3" w:rsidP="00A721E2">
            <w:pPr>
              <w:pStyle w:val="Tabletextright"/>
              <w:rPr>
                <w:highlight w:val="yellow"/>
              </w:rPr>
            </w:pPr>
          </w:p>
        </w:tc>
        <w:tc>
          <w:tcPr>
            <w:tcW w:w="1080" w:type="dxa"/>
            <w:shd w:val="clear" w:color="auto" w:fill="E0E0E0"/>
            <w:vAlign w:val="bottom"/>
          </w:tcPr>
          <w:p w14:paraId="79CFBD84" w14:textId="77777777" w:rsidR="008719E3" w:rsidRPr="0067507D" w:rsidRDefault="008719E3" w:rsidP="00A721E2">
            <w:pPr>
              <w:pStyle w:val="Tabletextright"/>
            </w:pPr>
          </w:p>
        </w:tc>
        <w:tc>
          <w:tcPr>
            <w:tcW w:w="1080" w:type="dxa"/>
            <w:vAlign w:val="bottom"/>
          </w:tcPr>
          <w:p w14:paraId="31A6623F" w14:textId="77777777" w:rsidR="008719E3" w:rsidRPr="0067507D" w:rsidRDefault="008719E3" w:rsidP="00A721E2">
            <w:pPr>
              <w:pStyle w:val="Tabletextright"/>
            </w:pPr>
          </w:p>
        </w:tc>
        <w:tc>
          <w:tcPr>
            <w:tcW w:w="1080" w:type="dxa"/>
            <w:shd w:val="clear" w:color="auto" w:fill="E0E0E0"/>
          </w:tcPr>
          <w:p w14:paraId="5713D6F0" w14:textId="77777777" w:rsidR="008719E3" w:rsidRPr="0067507D" w:rsidRDefault="008719E3" w:rsidP="00A721E2">
            <w:pPr>
              <w:pStyle w:val="Tabletextright"/>
              <w:rPr>
                <w:bCs/>
              </w:rPr>
            </w:pPr>
          </w:p>
        </w:tc>
        <w:tc>
          <w:tcPr>
            <w:tcW w:w="1080" w:type="dxa"/>
          </w:tcPr>
          <w:p w14:paraId="2F299D0A" w14:textId="77777777" w:rsidR="008719E3" w:rsidRPr="0067507D" w:rsidRDefault="008719E3" w:rsidP="00A721E2">
            <w:pPr>
              <w:pStyle w:val="Tabletextright"/>
              <w:rPr>
                <w:bCs/>
              </w:rPr>
            </w:pPr>
          </w:p>
        </w:tc>
      </w:tr>
      <w:tr w:rsidR="00E02C6B" w:rsidRPr="0067507D" w14:paraId="441D5CCB" w14:textId="77777777" w:rsidTr="50AD59D8">
        <w:tc>
          <w:tcPr>
            <w:tcW w:w="2610" w:type="dxa"/>
          </w:tcPr>
          <w:p w14:paraId="72B65DEC" w14:textId="77777777" w:rsidR="008719E3" w:rsidRPr="0067507D" w:rsidRDefault="008719E3" w:rsidP="00A721E2">
            <w:pPr>
              <w:pStyle w:val="Tabletext"/>
            </w:pPr>
            <w:r w:rsidRPr="0067507D">
              <w:t>$460</w:t>
            </w:r>
            <w:r w:rsidRPr="0067507D">
              <w:rPr>
                <w:rFonts w:ascii="Calibri" w:hAnsi="Calibri" w:cs="Calibri"/>
              </w:rPr>
              <w:t> </w:t>
            </w:r>
            <w:r w:rsidRPr="0067507D">
              <w:t>000–$479</w:t>
            </w:r>
            <w:r w:rsidRPr="0067507D">
              <w:rPr>
                <w:rFonts w:ascii="Calibri" w:hAnsi="Calibri" w:cs="Calibri"/>
              </w:rPr>
              <w:t> </w:t>
            </w:r>
            <w:r w:rsidRPr="0067507D">
              <w:t>999</w:t>
            </w:r>
          </w:p>
        </w:tc>
        <w:tc>
          <w:tcPr>
            <w:tcW w:w="1308" w:type="dxa"/>
            <w:shd w:val="clear" w:color="auto" w:fill="E0E0E0"/>
          </w:tcPr>
          <w:p w14:paraId="593E14A7" w14:textId="77777777" w:rsidR="008719E3" w:rsidRPr="0067507D" w:rsidRDefault="008719E3" w:rsidP="00A721E2">
            <w:pPr>
              <w:pStyle w:val="Tabletextright"/>
              <w:rPr>
                <w:highlight w:val="yellow"/>
              </w:rPr>
            </w:pPr>
          </w:p>
        </w:tc>
        <w:tc>
          <w:tcPr>
            <w:tcW w:w="942" w:type="dxa"/>
          </w:tcPr>
          <w:p w14:paraId="3DAB367E" w14:textId="77777777" w:rsidR="008719E3" w:rsidRPr="0067507D" w:rsidRDefault="008719E3" w:rsidP="00A721E2">
            <w:pPr>
              <w:pStyle w:val="Tabletextright"/>
              <w:rPr>
                <w:highlight w:val="yellow"/>
              </w:rPr>
            </w:pPr>
          </w:p>
        </w:tc>
        <w:tc>
          <w:tcPr>
            <w:tcW w:w="1080" w:type="dxa"/>
            <w:shd w:val="clear" w:color="auto" w:fill="E0E0E0"/>
            <w:vAlign w:val="bottom"/>
          </w:tcPr>
          <w:p w14:paraId="6C5641DC" w14:textId="77777777" w:rsidR="008719E3" w:rsidRPr="0067507D" w:rsidRDefault="008719E3" w:rsidP="00A721E2">
            <w:pPr>
              <w:pStyle w:val="Tabletextright"/>
            </w:pPr>
          </w:p>
        </w:tc>
        <w:tc>
          <w:tcPr>
            <w:tcW w:w="1080" w:type="dxa"/>
            <w:vAlign w:val="bottom"/>
          </w:tcPr>
          <w:p w14:paraId="442976B4" w14:textId="77777777" w:rsidR="008719E3" w:rsidRPr="0067507D" w:rsidRDefault="008719E3" w:rsidP="00A721E2">
            <w:pPr>
              <w:pStyle w:val="Tabletextright"/>
            </w:pPr>
          </w:p>
        </w:tc>
        <w:tc>
          <w:tcPr>
            <w:tcW w:w="1080" w:type="dxa"/>
            <w:shd w:val="clear" w:color="auto" w:fill="E0E0E0"/>
          </w:tcPr>
          <w:p w14:paraId="05BBB2E2" w14:textId="77777777" w:rsidR="008719E3" w:rsidRPr="0067507D" w:rsidRDefault="008719E3" w:rsidP="00A721E2">
            <w:pPr>
              <w:pStyle w:val="Tabletextright"/>
              <w:rPr>
                <w:bCs/>
              </w:rPr>
            </w:pPr>
          </w:p>
        </w:tc>
        <w:tc>
          <w:tcPr>
            <w:tcW w:w="1080" w:type="dxa"/>
          </w:tcPr>
          <w:p w14:paraId="0CCA3344" w14:textId="77777777" w:rsidR="008719E3" w:rsidRPr="0067507D" w:rsidRDefault="008719E3" w:rsidP="00A721E2">
            <w:pPr>
              <w:pStyle w:val="Tabletextright"/>
              <w:rPr>
                <w:bCs/>
              </w:rPr>
            </w:pPr>
          </w:p>
        </w:tc>
      </w:tr>
      <w:tr w:rsidR="00E02C6B" w:rsidRPr="0067507D" w14:paraId="264BA32C" w14:textId="77777777" w:rsidTr="50AD59D8">
        <w:tc>
          <w:tcPr>
            <w:tcW w:w="2610" w:type="dxa"/>
          </w:tcPr>
          <w:p w14:paraId="357DAE37" w14:textId="77777777" w:rsidR="008719E3" w:rsidRPr="0067507D" w:rsidRDefault="008719E3" w:rsidP="00A721E2">
            <w:pPr>
              <w:pStyle w:val="Tabletext"/>
            </w:pPr>
            <w:r w:rsidRPr="0067507D">
              <w:t>$480</w:t>
            </w:r>
            <w:r w:rsidRPr="0067507D">
              <w:rPr>
                <w:rFonts w:ascii="Calibri" w:hAnsi="Calibri" w:cs="Calibri"/>
              </w:rPr>
              <w:t> </w:t>
            </w:r>
            <w:r w:rsidRPr="0067507D">
              <w:t>000–$499</w:t>
            </w:r>
            <w:r w:rsidRPr="0067507D">
              <w:rPr>
                <w:rFonts w:ascii="Calibri" w:hAnsi="Calibri" w:cs="Calibri"/>
              </w:rPr>
              <w:t> </w:t>
            </w:r>
            <w:r w:rsidRPr="0067507D">
              <w:t>999</w:t>
            </w:r>
          </w:p>
        </w:tc>
        <w:tc>
          <w:tcPr>
            <w:tcW w:w="1308" w:type="dxa"/>
            <w:shd w:val="clear" w:color="auto" w:fill="E0E0E0"/>
          </w:tcPr>
          <w:p w14:paraId="31913EFC" w14:textId="77777777" w:rsidR="008719E3" w:rsidRPr="0067507D" w:rsidRDefault="008719E3" w:rsidP="00A721E2">
            <w:pPr>
              <w:pStyle w:val="Tabletextright"/>
              <w:rPr>
                <w:highlight w:val="yellow"/>
              </w:rPr>
            </w:pPr>
          </w:p>
        </w:tc>
        <w:tc>
          <w:tcPr>
            <w:tcW w:w="942" w:type="dxa"/>
          </w:tcPr>
          <w:p w14:paraId="2C2A1C92" w14:textId="77777777" w:rsidR="008719E3" w:rsidRPr="0067507D" w:rsidRDefault="008719E3" w:rsidP="00A721E2">
            <w:pPr>
              <w:pStyle w:val="Tabletextright"/>
              <w:rPr>
                <w:highlight w:val="yellow"/>
              </w:rPr>
            </w:pPr>
          </w:p>
        </w:tc>
        <w:tc>
          <w:tcPr>
            <w:tcW w:w="1080" w:type="dxa"/>
            <w:shd w:val="clear" w:color="auto" w:fill="E0E0E0"/>
            <w:vAlign w:val="bottom"/>
          </w:tcPr>
          <w:p w14:paraId="6696CA67" w14:textId="77777777" w:rsidR="008719E3" w:rsidRPr="0067507D" w:rsidRDefault="008719E3" w:rsidP="00A721E2">
            <w:pPr>
              <w:pStyle w:val="Tabletextright"/>
            </w:pPr>
          </w:p>
        </w:tc>
        <w:tc>
          <w:tcPr>
            <w:tcW w:w="1080" w:type="dxa"/>
            <w:vAlign w:val="bottom"/>
          </w:tcPr>
          <w:p w14:paraId="41DFC88E" w14:textId="77777777" w:rsidR="008719E3" w:rsidRPr="0067507D" w:rsidRDefault="008719E3" w:rsidP="00A721E2">
            <w:pPr>
              <w:pStyle w:val="Tabletextright"/>
            </w:pPr>
          </w:p>
        </w:tc>
        <w:tc>
          <w:tcPr>
            <w:tcW w:w="1080" w:type="dxa"/>
            <w:shd w:val="clear" w:color="auto" w:fill="E0E0E0"/>
          </w:tcPr>
          <w:p w14:paraId="411DC215" w14:textId="77777777" w:rsidR="008719E3" w:rsidRPr="0067507D" w:rsidRDefault="008719E3" w:rsidP="00A721E2">
            <w:pPr>
              <w:pStyle w:val="Tabletextright"/>
              <w:rPr>
                <w:bCs/>
              </w:rPr>
            </w:pPr>
          </w:p>
        </w:tc>
        <w:tc>
          <w:tcPr>
            <w:tcW w:w="1080" w:type="dxa"/>
          </w:tcPr>
          <w:p w14:paraId="2DAB78F2" w14:textId="77777777" w:rsidR="008719E3" w:rsidRPr="0067507D" w:rsidRDefault="008719E3" w:rsidP="00A721E2">
            <w:pPr>
              <w:pStyle w:val="Tabletextright"/>
              <w:rPr>
                <w:bCs/>
              </w:rPr>
            </w:pPr>
          </w:p>
        </w:tc>
      </w:tr>
      <w:tr w:rsidR="00E02C6B" w:rsidRPr="0067507D" w14:paraId="5A1D4CF1" w14:textId="77777777" w:rsidTr="50AD59D8">
        <w:tc>
          <w:tcPr>
            <w:tcW w:w="2610" w:type="dxa"/>
          </w:tcPr>
          <w:p w14:paraId="3EBF9EDC" w14:textId="77777777" w:rsidR="008719E3" w:rsidRPr="0067507D" w:rsidRDefault="008719E3" w:rsidP="00A721E2">
            <w:pPr>
              <w:pStyle w:val="Tabletextbold"/>
              <w:rPr>
                <w:rFonts w:asciiTheme="minorHAnsi" w:hAnsiTheme="minorHAnsi"/>
              </w:rPr>
            </w:pPr>
            <w:r w:rsidRPr="0067507D">
              <w:rPr>
                <w:rFonts w:asciiTheme="minorHAnsi" w:hAnsiTheme="minorHAnsi"/>
              </w:rPr>
              <w:t>&gt;$500</w:t>
            </w:r>
            <w:r w:rsidRPr="0067507D">
              <w:rPr>
                <w:rFonts w:ascii="Calibri" w:hAnsi="Calibri" w:cs="Calibri"/>
              </w:rPr>
              <w:t> </w:t>
            </w:r>
            <w:r w:rsidRPr="0067507D">
              <w:rPr>
                <w:rFonts w:asciiTheme="minorHAnsi" w:hAnsiTheme="minorHAnsi"/>
              </w:rPr>
              <w:t>000</w:t>
            </w:r>
          </w:p>
        </w:tc>
        <w:tc>
          <w:tcPr>
            <w:tcW w:w="1308" w:type="dxa"/>
            <w:shd w:val="clear" w:color="auto" w:fill="E0E0E0"/>
          </w:tcPr>
          <w:p w14:paraId="583E2986" w14:textId="2C703761" w:rsidR="008719E3" w:rsidRPr="0067507D" w:rsidRDefault="008719E3" w:rsidP="00A721E2">
            <w:pPr>
              <w:pStyle w:val="Tabletextright"/>
            </w:pPr>
            <w:r w:rsidRPr="0067507D">
              <w:t>1</w:t>
            </w:r>
          </w:p>
        </w:tc>
        <w:tc>
          <w:tcPr>
            <w:tcW w:w="942" w:type="dxa"/>
          </w:tcPr>
          <w:p w14:paraId="63CBDE15" w14:textId="77777777" w:rsidR="008719E3" w:rsidRPr="0067507D" w:rsidRDefault="008719E3" w:rsidP="00A721E2">
            <w:pPr>
              <w:pStyle w:val="Tabletextright"/>
            </w:pPr>
          </w:p>
        </w:tc>
        <w:tc>
          <w:tcPr>
            <w:tcW w:w="1080" w:type="dxa"/>
            <w:shd w:val="clear" w:color="auto" w:fill="E0E0E0"/>
            <w:vAlign w:val="bottom"/>
          </w:tcPr>
          <w:p w14:paraId="1F13B4C1" w14:textId="77777777" w:rsidR="008719E3" w:rsidRPr="0067507D" w:rsidRDefault="008719E3" w:rsidP="00A721E2">
            <w:pPr>
              <w:pStyle w:val="Tabletextright"/>
            </w:pPr>
          </w:p>
        </w:tc>
        <w:tc>
          <w:tcPr>
            <w:tcW w:w="1080" w:type="dxa"/>
            <w:vAlign w:val="bottom"/>
          </w:tcPr>
          <w:p w14:paraId="520A23E2" w14:textId="77777777" w:rsidR="008719E3" w:rsidRPr="0067507D" w:rsidRDefault="008719E3" w:rsidP="00A721E2">
            <w:pPr>
              <w:pStyle w:val="Tabletextright"/>
            </w:pPr>
          </w:p>
        </w:tc>
        <w:tc>
          <w:tcPr>
            <w:tcW w:w="1080" w:type="dxa"/>
            <w:shd w:val="clear" w:color="auto" w:fill="E0E0E0"/>
          </w:tcPr>
          <w:p w14:paraId="6A0F71C9" w14:textId="77777777" w:rsidR="008719E3" w:rsidRPr="0067507D" w:rsidRDefault="008719E3" w:rsidP="00A721E2">
            <w:pPr>
              <w:pStyle w:val="Tabletextright"/>
            </w:pPr>
          </w:p>
        </w:tc>
        <w:tc>
          <w:tcPr>
            <w:tcW w:w="1080" w:type="dxa"/>
          </w:tcPr>
          <w:p w14:paraId="6D8D204E" w14:textId="77777777" w:rsidR="008719E3" w:rsidRPr="0067507D" w:rsidRDefault="008719E3" w:rsidP="00A721E2">
            <w:pPr>
              <w:pStyle w:val="Tabletextright"/>
            </w:pPr>
          </w:p>
        </w:tc>
      </w:tr>
      <w:tr w:rsidR="00E02C6B" w:rsidRPr="0067507D" w14:paraId="460D71D7" w14:textId="77777777" w:rsidTr="50AD59D8">
        <w:tc>
          <w:tcPr>
            <w:tcW w:w="2610" w:type="dxa"/>
          </w:tcPr>
          <w:p w14:paraId="311D9617" w14:textId="77777777" w:rsidR="008719E3" w:rsidRPr="0067507D" w:rsidRDefault="008719E3" w:rsidP="00A721E2">
            <w:pPr>
              <w:pStyle w:val="Tabletextbold"/>
            </w:pPr>
            <w:r w:rsidRPr="0067507D">
              <w:t>Total</w:t>
            </w:r>
          </w:p>
        </w:tc>
        <w:tc>
          <w:tcPr>
            <w:tcW w:w="1308" w:type="dxa"/>
            <w:shd w:val="clear" w:color="auto" w:fill="E0E0E0"/>
          </w:tcPr>
          <w:p w14:paraId="5713B058" w14:textId="68095C6D" w:rsidR="008719E3" w:rsidRPr="0067507D" w:rsidRDefault="00732F43" w:rsidP="00A721E2">
            <w:pPr>
              <w:pStyle w:val="Tabletextrightbold"/>
              <w:rPr>
                <w:highlight w:val="yellow"/>
              </w:rPr>
            </w:pPr>
            <w:r w:rsidRPr="0067507D">
              <w:t>94</w:t>
            </w:r>
          </w:p>
        </w:tc>
        <w:tc>
          <w:tcPr>
            <w:tcW w:w="942" w:type="dxa"/>
          </w:tcPr>
          <w:p w14:paraId="2960FE74" w14:textId="4A2BB9C8" w:rsidR="008719E3" w:rsidRPr="0067507D" w:rsidRDefault="00732F43" w:rsidP="00A721E2">
            <w:pPr>
              <w:pStyle w:val="Tabletextrightbold"/>
              <w:rPr>
                <w:highlight w:val="yellow"/>
              </w:rPr>
            </w:pPr>
            <w:r w:rsidRPr="0067507D">
              <w:t>13</w:t>
            </w:r>
          </w:p>
        </w:tc>
        <w:tc>
          <w:tcPr>
            <w:tcW w:w="1080" w:type="dxa"/>
            <w:shd w:val="clear" w:color="auto" w:fill="E0E0E0"/>
            <w:vAlign w:val="bottom"/>
          </w:tcPr>
          <w:p w14:paraId="090E83DB" w14:textId="77777777" w:rsidR="008719E3" w:rsidRPr="0067507D" w:rsidRDefault="008719E3" w:rsidP="00A721E2">
            <w:pPr>
              <w:pStyle w:val="Tabletextrightbold"/>
            </w:pPr>
          </w:p>
        </w:tc>
        <w:tc>
          <w:tcPr>
            <w:tcW w:w="1080" w:type="dxa"/>
            <w:vAlign w:val="bottom"/>
          </w:tcPr>
          <w:p w14:paraId="0CE528A0" w14:textId="77777777" w:rsidR="008719E3" w:rsidRPr="0067507D" w:rsidRDefault="008719E3" w:rsidP="00A721E2">
            <w:pPr>
              <w:pStyle w:val="Tabletextrightbold"/>
            </w:pPr>
          </w:p>
        </w:tc>
        <w:tc>
          <w:tcPr>
            <w:tcW w:w="1080" w:type="dxa"/>
            <w:shd w:val="clear" w:color="auto" w:fill="E0E0E0"/>
          </w:tcPr>
          <w:p w14:paraId="4E544137" w14:textId="77777777" w:rsidR="008719E3" w:rsidRPr="0067507D" w:rsidRDefault="008719E3" w:rsidP="00A721E2">
            <w:pPr>
              <w:pStyle w:val="Tabletextrightbold"/>
            </w:pPr>
          </w:p>
        </w:tc>
        <w:tc>
          <w:tcPr>
            <w:tcW w:w="1080" w:type="dxa"/>
          </w:tcPr>
          <w:p w14:paraId="1156B293" w14:textId="77777777" w:rsidR="008719E3" w:rsidRPr="0067507D" w:rsidRDefault="008719E3" w:rsidP="00A721E2">
            <w:pPr>
              <w:pStyle w:val="Tabletextrightbold"/>
            </w:pPr>
          </w:p>
        </w:tc>
      </w:tr>
    </w:tbl>
    <w:p w14:paraId="7AACA5C2" w14:textId="2478719F" w:rsidR="00113E1C" w:rsidRPr="0067507D" w:rsidRDefault="00113E1C" w:rsidP="00113E1C">
      <w:pPr>
        <w:pStyle w:val="Notes"/>
      </w:pPr>
      <w:r w:rsidRPr="0067507D">
        <w:t>The salaries reported above are for the full financial year, at a 1</w:t>
      </w:r>
      <w:r w:rsidR="006A5485">
        <w:noBreakHyphen/>
      </w:r>
      <w:r w:rsidRPr="0067507D">
        <w:t>FTE rate, and exclude superannuation.</w:t>
      </w:r>
    </w:p>
    <w:p w14:paraId="3DED7AE9" w14:textId="77777777" w:rsidR="00FE0723" w:rsidRPr="0067507D" w:rsidRDefault="00FE0723" w:rsidP="00FE0723">
      <w:pPr>
        <w:pStyle w:val="Notes"/>
      </w:pPr>
      <w:r w:rsidRPr="0067507D">
        <w:t>The DTF Secretary has been reported in the Executives column for this table.</w:t>
      </w:r>
    </w:p>
    <w:p w14:paraId="4C5FF2AB" w14:textId="7ED74D25" w:rsidR="00113E1C" w:rsidRPr="0067507D" w:rsidRDefault="00113E1C" w:rsidP="00113E1C">
      <w:pPr>
        <w:pStyle w:val="Notes"/>
      </w:pPr>
      <w:r w:rsidRPr="0067507D">
        <w:t>Note</w:t>
      </w:r>
      <w:r w:rsidR="00E1292C" w:rsidRPr="0067507D">
        <w:t>s</w:t>
      </w:r>
      <w:r w:rsidRPr="0067507D">
        <w:t>:</w:t>
      </w:r>
    </w:p>
    <w:p w14:paraId="51CB1502" w14:textId="45C95BA0" w:rsidR="0039513F" w:rsidRPr="0067507D" w:rsidRDefault="00381687" w:rsidP="00381687">
      <w:pPr>
        <w:pStyle w:val="Notes"/>
      </w:pPr>
      <w:r w:rsidRPr="0067507D">
        <w:t xml:space="preserve">(a) </w:t>
      </w:r>
      <w:r w:rsidR="00B26334" w:rsidRPr="0067507D">
        <w:t xml:space="preserve">There </w:t>
      </w:r>
      <w:r w:rsidR="00732F43" w:rsidRPr="0067507D">
        <w:t>were</w:t>
      </w:r>
      <w:r w:rsidR="00B26334" w:rsidRPr="0067507D">
        <w:t xml:space="preserve"> nine executives employed part</w:t>
      </w:r>
      <w:r w:rsidR="006A5485">
        <w:noBreakHyphen/>
      </w:r>
      <w:r w:rsidR="00B26334" w:rsidRPr="0067507D">
        <w:t xml:space="preserve">time at a 0.6 FTE rate and one at a 0.7 FTE </w:t>
      </w:r>
      <w:r w:rsidR="00C204F1" w:rsidRPr="0067507D">
        <w:t>rate.</w:t>
      </w:r>
    </w:p>
    <w:p w14:paraId="444EEB16" w14:textId="49007A52" w:rsidR="00B26334" w:rsidRPr="0067507D" w:rsidRDefault="00381687" w:rsidP="00381687">
      <w:pPr>
        <w:pStyle w:val="Notes"/>
      </w:pPr>
      <w:r w:rsidRPr="0067507D">
        <w:t xml:space="preserve">(b) </w:t>
      </w:r>
      <w:r w:rsidR="00EA5EC2" w:rsidRPr="0067507D">
        <w:t>There were two STS employees employed part</w:t>
      </w:r>
      <w:r w:rsidR="006A5485">
        <w:noBreakHyphen/>
      </w:r>
      <w:r w:rsidR="00EA5EC2" w:rsidRPr="0067507D">
        <w:t>time at a 0.7 FTE</w:t>
      </w:r>
      <w:r w:rsidR="00FB236F" w:rsidRPr="0067507D">
        <w:t xml:space="preserve"> rate.</w:t>
      </w:r>
    </w:p>
    <w:p w14:paraId="2BE87FC0" w14:textId="64816AF0" w:rsidR="00113E1C" w:rsidRPr="0067507D" w:rsidRDefault="00113E1C" w:rsidP="00113E1C">
      <w:pPr>
        <w:pStyle w:val="Notes"/>
      </w:pPr>
    </w:p>
    <w:p w14:paraId="1179B1A9" w14:textId="77777777" w:rsidR="00113E1C" w:rsidRPr="0067507D" w:rsidRDefault="00113E1C" w:rsidP="00113E1C">
      <w:pPr>
        <w:pStyle w:val="Tableheading"/>
        <w:sectPr w:rsidR="00113E1C" w:rsidRPr="0067507D" w:rsidSect="00790E11">
          <w:headerReference w:type="even" r:id="rId158"/>
          <w:footerReference w:type="even" r:id="rId159"/>
          <w:footerReference w:type="default" r:id="rId160"/>
          <w:pgSz w:w="11909" w:h="16834" w:code="9"/>
          <w:pgMar w:top="1728" w:right="1152" w:bottom="1267" w:left="1152" w:header="720" w:footer="288" w:gutter="0"/>
          <w:cols w:space="720"/>
          <w:noEndnote/>
          <w:docGrid w:linePitch="231"/>
        </w:sectPr>
      </w:pPr>
    </w:p>
    <w:p w14:paraId="04A149C2" w14:textId="6ECB9395" w:rsidR="00113E1C" w:rsidRPr="0067507D" w:rsidRDefault="00113E1C" w:rsidP="00FA30CE">
      <w:pPr>
        <w:pStyle w:val="Heading4"/>
        <w:spacing w:before="0" w:after="60"/>
        <w:rPr>
          <w:vertAlign w:val="superscript"/>
        </w:rPr>
      </w:pPr>
      <w:r w:rsidRPr="0067507D">
        <w:lastRenderedPageBreak/>
        <w:t xml:space="preserve">Profile of State Revenue Office’s workforce: </w:t>
      </w:r>
      <w:r w:rsidR="00C30F42" w:rsidRPr="0067507D">
        <w:t>June 2025</w:t>
      </w:r>
      <w:r w:rsidR="006E3819" w:rsidRPr="0067507D">
        <w:t xml:space="preserve"> </w:t>
      </w:r>
      <w:r w:rsidR="006E3819" w:rsidRPr="0067507D">
        <w:rPr>
          <w:vertAlign w:val="superscript"/>
        </w:rPr>
        <w:t>(a)</w:t>
      </w:r>
    </w:p>
    <w:tbl>
      <w:tblPr>
        <w:tblW w:w="13867" w:type="dxa"/>
        <w:tblInd w:w="-58" w:type="dxa"/>
        <w:tblLayout w:type="fixed"/>
        <w:tblCellMar>
          <w:left w:w="43" w:type="dxa"/>
          <w:right w:w="43" w:type="dxa"/>
        </w:tblCellMar>
        <w:tblLook w:val="0000" w:firstRow="0" w:lastRow="0" w:firstColumn="0" w:lastColumn="0" w:noHBand="0" w:noVBand="0"/>
      </w:tblPr>
      <w:tblGrid>
        <w:gridCol w:w="1530"/>
        <w:gridCol w:w="1022"/>
        <w:gridCol w:w="659"/>
        <w:gridCol w:w="1042"/>
        <w:gridCol w:w="992"/>
        <w:gridCol w:w="702"/>
        <w:gridCol w:w="999"/>
        <w:gridCol w:w="729"/>
        <w:gridCol w:w="1055"/>
        <w:gridCol w:w="673"/>
        <w:gridCol w:w="1087"/>
        <w:gridCol w:w="992"/>
        <w:gridCol w:w="657"/>
        <w:gridCol w:w="1044"/>
        <w:gridCol w:w="684"/>
      </w:tblGrid>
      <w:tr w:rsidR="003A759B" w:rsidRPr="0067507D" w14:paraId="52B9C7F7" w14:textId="77777777" w:rsidTr="00C04B33">
        <w:trPr>
          <w:cantSplit/>
        </w:trPr>
        <w:tc>
          <w:tcPr>
            <w:tcW w:w="1530" w:type="dxa"/>
          </w:tcPr>
          <w:p w14:paraId="0069FF74" w14:textId="77777777" w:rsidR="003A759B" w:rsidRPr="0067507D" w:rsidRDefault="003A759B" w:rsidP="00A721E2">
            <w:pPr>
              <w:pStyle w:val="Tabletext"/>
              <w:spacing w:before="20" w:after="20"/>
            </w:pPr>
          </w:p>
        </w:tc>
        <w:tc>
          <w:tcPr>
            <w:tcW w:w="6145" w:type="dxa"/>
            <w:gridSpan w:val="7"/>
            <w:shd w:val="clear" w:color="auto" w:fill="E0E0E0"/>
            <w:vAlign w:val="bottom"/>
          </w:tcPr>
          <w:p w14:paraId="7D79AE93" w14:textId="28E5834E" w:rsidR="003A759B" w:rsidRPr="0067507D" w:rsidRDefault="00C30F42" w:rsidP="00A721E2">
            <w:pPr>
              <w:pStyle w:val="Tabletextheadingcentred"/>
              <w:spacing w:before="20" w:after="20"/>
            </w:pPr>
            <w:r w:rsidRPr="0067507D">
              <w:t>June 202</w:t>
            </w:r>
            <w:r w:rsidR="006E3819" w:rsidRPr="0067507D">
              <w:t>5</w:t>
            </w:r>
          </w:p>
        </w:tc>
        <w:tc>
          <w:tcPr>
            <w:tcW w:w="6192" w:type="dxa"/>
            <w:gridSpan w:val="7"/>
            <w:noWrap/>
            <w:vAlign w:val="bottom"/>
          </w:tcPr>
          <w:p w14:paraId="402B2867" w14:textId="65E88632" w:rsidR="003A759B" w:rsidRPr="0067507D" w:rsidRDefault="00C30F42" w:rsidP="00A721E2">
            <w:pPr>
              <w:pStyle w:val="Tabletextheadingcentred"/>
              <w:spacing w:before="20" w:after="20"/>
            </w:pPr>
            <w:r w:rsidRPr="0067507D">
              <w:t>June 2024</w:t>
            </w:r>
          </w:p>
        </w:tc>
      </w:tr>
      <w:tr w:rsidR="003A759B" w:rsidRPr="0067507D" w14:paraId="2E69C001" w14:textId="77777777" w:rsidTr="00C04B33">
        <w:trPr>
          <w:cantSplit/>
        </w:trPr>
        <w:tc>
          <w:tcPr>
            <w:tcW w:w="1530" w:type="dxa"/>
          </w:tcPr>
          <w:p w14:paraId="3C3932AF" w14:textId="77777777" w:rsidR="003A759B" w:rsidRPr="0067507D" w:rsidRDefault="003A759B" w:rsidP="00A721E2">
            <w:pPr>
              <w:pStyle w:val="Tabletext"/>
              <w:spacing w:before="20" w:after="20"/>
            </w:pPr>
          </w:p>
        </w:tc>
        <w:tc>
          <w:tcPr>
            <w:tcW w:w="1681" w:type="dxa"/>
            <w:gridSpan w:val="2"/>
            <w:vAlign w:val="bottom"/>
          </w:tcPr>
          <w:p w14:paraId="795A4940" w14:textId="564F407A" w:rsidR="003A759B" w:rsidRPr="0067507D" w:rsidRDefault="003A759B" w:rsidP="00A721E2">
            <w:pPr>
              <w:pStyle w:val="Tabletextheadingcentred"/>
              <w:spacing w:before="20" w:after="20"/>
            </w:pPr>
            <w:r w:rsidRPr="0067507D">
              <w:t>All employees</w:t>
            </w:r>
          </w:p>
        </w:tc>
        <w:tc>
          <w:tcPr>
            <w:tcW w:w="2736" w:type="dxa"/>
            <w:gridSpan w:val="3"/>
            <w:vAlign w:val="bottom"/>
          </w:tcPr>
          <w:p w14:paraId="17B908C0" w14:textId="77777777" w:rsidR="003A759B" w:rsidRPr="0067507D" w:rsidRDefault="003A759B" w:rsidP="00A721E2">
            <w:pPr>
              <w:pStyle w:val="Tabletextheadingcentred"/>
              <w:spacing w:before="20" w:after="20"/>
            </w:pPr>
            <w:r w:rsidRPr="0067507D">
              <w:t>Ongoing</w:t>
            </w:r>
          </w:p>
        </w:tc>
        <w:tc>
          <w:tcPr>
            <w:tcW w:w="1728" w:type="dxa"/>
            <w:gridSpan w:val="2"/>
          </w:tcPr>
          <w:p w14:paraId="309161D4" w14:textId="77777777" w:rsidR="003A759B" w:rsidRPr="0067507D" w:rsidRDefault="003A759B" w:rsidP="00A721E2">
            <w:pPr>
              <w:pStyle w:val="Tabletextheadingcentred"/>
              <w:spacing w:before="20" w:after="20"/>
              <w:rPr>
                <w:rFonts w:cstheme="minorHAnsi"/>
              </w:rPr>
            </w:pPr>
            <w:r w:rsidRPr="0067507D">
              <w:t>Fixed term</w:t>
            </w:r>
            <w:r w:rsidRPr="0067507D">
              <w:br/>
              <w:t>and casual</w:t>
            </w:r>
          </w:p>
        </w:tc>
        <w:tc>
          <w:tcPr>
            <w:tcW w:w="1728" w:type="dxa"/>
            <w:gridSpan w:val="2"/>
            <w:noWrap/>
            <w:vAlign w:val="bottom"/>
          </w:tcPr>
          <w:p w14:paraId="5462BEB5" w14:textId="4D24010E" w:rsidR="003A759B" w:rsidRPr="0067507D" w:rsidRDefault="003A759B" w:rsidP="00A721E2">
            <w:pPr>
              <w:pStyle w:val="Tabletextheadingcentred"/>
              <w:spacing w:before="20" w:after="20"/>
            </w:pPr>
            <w:r w:rsidRPr="0067507D">
              <w:t>All employees</w:t>
            </w:r>
          </w:p>
        </w:tc>
        <w:tc>
          <w:tcPr>
            <w:tcW w:w="2736" w:type="dxa"/>
            <w:gridSpan w:val="3"/>
            <w:noWrap/>
            <w:vAlign w:val="bottom"/>
          </w:tcPr>
          <w:p w14:paraId="6B3B0489" w14:textId="77777777" w:rsidR="003A759B" w:rsidRPr="0067507D" w:rsidRDefault="003A759B" w:rsidP="00A721E2">
            <w:pPr>
              <w:pStyle w:val="Tabletextheadingcentred"/>
              <w:spacing w:before="20" w:after="20"/>
            </w:pPr>
            <w:r w:rsidRPr="0067507D">
              <w:t>Ongoing</w:t>
            </w:r>
          </w:p>
        </w:tc>
        <w:tc>
          <w:tcPr>
            <w:tcW w:w="1728" w:type="dxa"/>
            <w:gridSpan w:val="2"/>
          </w:tcPr>
          <w:p w14:paraId="5229F35B" w14:textId="77777777" w:rsidR="003A759B" w:rsidRPr="0067507D" w:rsidRDefault="003A759B" w:rsidP="00A721E2">
            <w:pPr>
              <w:pStyle w:val="Tabletextheadingcentred"/>
              <w:spacing w:before="20" w:after="20"/>
              <w:rPr>
                <w:rFonts w:cstheme="minorHAnsi"/>
              </w:rPr>
            </w:pPr>
            <w:r w:rsidRPr="0067507D">
              <w:t>Fixed term</w:t>
            </w:r>
            <w:r w:rsidRPr="0067507D">
              <w:br/>
              <w:t>and casual</w:t>
            </w:r>
          </w:p>
        </w:tc>
      </w:tr>
      <w:tr w:rsidR="003A759B" w:rsidRPr="0067507D" w14:paraId="549C52A9" w14:textId="77777777" w:rsidTr="00C04B33">
        <w:trPr>
          <w:cantSplit/>
        </w:trPr>
        <w:tc>
          <w:tcPr>
            <w:tcW w:w="1530" w:type="dxa"/>
          </w:tcPr>
          <w:p w14:paraId="29F7A6F4" w14:textId="77777777" w:rsidR="003A759B" w:rsidRPr="0067507D" w:rsidRDefault="003A759B" w:rsidP="00A721E2">
            <w:pPr>
              <w:pStyle w:val="Tabletext"/>
              <w:spacing w:before="20" w:after="20"/>
            </w:pPr>
          </w:p>
        </w:tc>
        <w:tc>
          <w:tcPr>
            <w:tcW w:w="1022" w:type="dxa"/>
            <w:vAlign w:val="bottom"/>
          </w:tcPr>
          <w:p w14:paraId="1CCCA826" w14:textId="77777777" w:rsidR="003A759B" w:rsidRPr="0067507D" w:rsidRDefault="003A759B" w:rsidP="00A721E2">
            <w:pPr>
              <w:pStyle w:val="Tabletextheadingright"/>
              <w:spacing w:before="20" w:after="20"/>
              <w:rPr>
                <w:rFonts w:cstheme="minorHAnsi"/>
              </w:rPr>
            </w:pPr>
            <w:r w:rsidRPr="0067507D">
              <w:rPr>
                <w:rFonts w:cstheme="minorHAnsi"/>
              </w:rPr>
              <w:t xml:space="preserve">Number </w:t>
            </w:r>
            <w:r w:rsidRPr="0067507D">
              <w:rPr>
                <w:rFonts w:cstheme="minorHAnsi"/>
                <w:sz w:val="14"/>
              </w:rPr>
              <w:t>(headcount)</w:t>
            </w:r>
          </w:p>
        </w:tc>
        <w:tc>
          <w:tcPr>
            <w:tcW w:w="659" w:type="dxa"/>
          </w:tcPr>
          <w:p w14:paraId="725B748C" w14:textId="77777777" w:rsidR="003A759B" w:rsidRPr="0067507D" w:rsidRDefault="003A759B" w:rsidP="009F7784">
            <w:pPr>
              <w:pStyle w:val="Tabletextheadingright"/>
              <w:spacing w:before="20" w:after="20"/>
              <w:rPr>
                <w:rFonts w:cstheme="minorHAnsi"/>
              </w:rPr>
            </w:pPr>
            <w:r w:rsidRPr="0067507D">
              <w:rPr>
                <w:rFonts w:cstheme="minorHAnsi"/>
              </w:rPr>
              <w:t>FTE</w:t>
            </w:r>
          </w:p>
        </w:tc>
        <w:tc>
          <w:tcPr>
            <w:tcW w:w="1042" w:type="dxa"/>
            <w:vAlign w:val="bottom"/>
          </w:tcPr>
          <w:p w14:paraId="39930849" w14:textId="0861AB59" w:rsidR="003A759B" w:rsidRPr="0067507D" w:rsidRDefault="003A759B" w:rsidP="00A721E2">
            <w:pPr>
              <w:pStyle w:val="Tabletextheadingright"/>
              <w:spacing w:before="20" w:after="20"/>
              <w:rPr>
                <w:rFonts w:cstheme="minorBidi"/>
              </w:rPr>
            </w:pPr>
            <w:r w:rsidRPr="0067507D">
              <w:rPr>
                <w:rFonts w:cstheme="minorBidi"/>
              </w:rPr>
              <w:t>Full</w:t>
            </w:r>
            <w:r w:rsidRPr="0067507D">
              <w:rPr>
                <w:rFonts w:cstheme="minorHAnsi"/>
              </w:rPr>
              <w:noBreakHyphen/>
            </w:r>
            <w:r w:rsidRPr="0067507D">
              <w:rPr>
                <w:rFonts w:cstheme="minorBidi"/>
              </w:rPr>
              <w:t xml:space="preserve">time </w:t>
            </w:r>
            <w:r w:rsidRPr="0067507D">
              <w:rPr>
                <w:rFonts w:cstheme="minorBidi"/>
                <w:sz w:val="14"/>
                <w:szCs w:val="14"/>
              </w:rPr>
              <w:t>(headcount)</w:t>
            </w:r>
          </w:p>
        </w:tc>
        <w:tc>
          <w:tcPr>
            <w:tcW w:w="992" w:type="dxa"/>
          </w:tcPr>
          <w:p w14:paraId="58B1A1E0" w14:textId="25F72A02" w:rsidR="003A759B" w:rsidRPr="0067507D" w:rsidRDefault="003A759B" w:rsidP="00A721E2">
            <w:pPr>
              <w:pStyle w:val="Tabletextheadingright"/>
              <w:spacing w:before="20" w:after="20"/>
              <w:rPr>
                <w:rFonts w:cstheme="minorBidi"/>
              </w:rPr>
            </w:pPr>
            <w:r w:rsidRPr="0067507D">
              <w:rPr>
                <w:rFonts w:cstheme="minorBidi"/>
              </w:rPr>
              <w:t>Part</w:t>
            </w:r>
            <w:r w:rsidRPr="0067507D">
              <w:rPr>
                <w:rFonts w:cstheme="minorHAnsi"/>
              </w:rPr>
              <w:noBreakHyphen/>
            </w:r>
            <w:r w:rsidRPr="0067507D">
              <w:rPr>
                <w:rFonts w:cstheme="minorBidi"/>
              </w:rPr>
              <w:t>time</w:t>
            </w:r>
            <w:r w:rsidRPr="0067507D">
              <w:rPr>
                <w:rFonts w:cstheme="minorHAnsi"/>
              </w:rPr>
              <w:br/>
            </w:r>
            <w:r w:rsidRPr="0067507D">
              <w:rPr>
                <w:rFonts w:cstheme="minorBidi"/>
                <w:sz w:val="14"/>
                <w:szCs w:val="14"/>
              </w:rPr>
              <w:t>(headcount)</w:t>
            </w:r>
          </w:p>
        </w:tc>
        <w:tc>
          <w:tcPr>
            <w:tcW w:w="702" w:type="dxa"/>
          </w:tcPr>
          <w:p w14:paraId="319BE18C" w14:textId="77777777" w:rsidR="003A759B" w:rsidRPr="0067507D" w:rsidRDefault="003A759B" w:rsidP="00A721E2">
            <w:pPr>
              <w:pStyle w:val="Tabletextheadingright"/>
              <w:spacing w:before="20" w:after="20"/>
              <w:rPr>
                <w:rFonts w:cstheme="minorHAnsi"/>
              </w:rPr>
            </w:pPr>
            <w:r w:rsidRPr="0067507D">
              <w:rPr>
                <w:rFonts w:cstheme="minorHAnsi"/>
              </w:rPr>
              <w:t>FTE</w:t>
            </w:r>
          </w:p>
        </w:tc>
        <w:tc>
          <w:tcPr>
            <w:tcW w:w="999" w:type="dxa"/>
          </w:tcPr>
          <w:p w14:paraId="4428832A" w14:textId="77777777" w:rsidR="003A759B" w:rsidRPr="0067507D" w:rsidRDefault="003A759B" w:rsidP="00A721E2">
            <w:pPr>
              <w:pStyle w:val="Tabletextheadingright"/>
              <w:spacing w:before="20" w:after="20"/>
              <w:rPr>
                <w:rFonts w:cstheme="minorHAnsi"/>
              </w:rPr>
            </w:pPr>
            <w:r w:rsidRPr="0067507D">
              <w:rPr>
                <w:rFonts w:cstheme="minorHAnsi"/>
              </w:rPr>
              <w:t xml:space="preserve">Number </w:t>
            </w:r>
            <w:r w:rsidRPr="0067507D">
              <w:rPr>
                <w:rFonts w:cstheme="minorHAnsi"/>
                <w:sz w:val="14"/>
              </w:rPr>
              <w:t>(headcount)</w:t>
            </w:r>
          </w:p>
        </w:tc>
        <w:tc>
          <w:tcPr>
            <w:tcW w:w="729" w:type="dxa"/>
          </w:tcPr>
          <w:p w14:paraId="613CAAC9" w14:textId="77777777" w:rsidR="003A759B" w:rsidRPr="0067507D" w:rsidRDefault="003A759B" w:rsidP="00A721E2">
            <w:pPr>
              <w:pStyle w:val="Tabletextheadingright"/>
              <w:spacing w:before="20" w:after="20"/>
              <w:rPr>
                <w:rFonts w:cstheme="minorHAnsi"/>
              </w:rPr>
            </w:pPr>
            <w:r w:rsidRPr="0067507D">
              <w:rPr>
                <w:rFonts w:cstheme="minorHAnsi"/>
              </w:rPr>
              <w:t>FTE</w:t>
            </w:r>
          </w:p>
        </w:tc>
        <w:tc>
          <w:tcPr>
            <w:tcW w:w="1055" w:type="dxa"/>
            <w:noWrap/>
            <w:vAlign w:val="bottom"/>
          </w:tcPr>
          <w:p w14:paraId="6F70DAA0" w14:textId="77777777" w:rsidR="003A759B" w:rsidRPr="0067507D" w:rsidRDefault="003A759B" w:rsidP="00A721E2">
            <w:pPr>
              <w:pStyle w:val="Tabletextheadingright"/>
              <w:spacing w:before="20" w:after="20"/>
              <w:rPr>
                <w:rFonts w:cstheme="minorHAnsi"/>
              </w:rPr>
            </w:pPr>
            <w:r w:rsidRPr="0067507D">
              <w:rPr>
                <w:rFonts w:cstheme="minorHAnsi"/>
              </w:rPr>
              <w:t xml:space="preserve">Number </w:t>
            </w:r>
            <w:r w:rsidRPr="0067507D">
              <w:rPr>
                <w:rFonts w:cstheme="minorHAnsi"/>
                <w:sz w:val="14"/>
              </w:rPr>
              <w:t>(headcount)</w:t>
            </w:r>
          </w:p>
        </w:tc>
        <w:tc>
          <w:tcPr>
            <w:tcW w:w="673" w:type="dxa"/>
          </w:tcPr>
          <w:p w14:paraId="578024C2" w14:textId="77777777" w:rsidR="003A759B" w:rsidRPr="0067507D" w:rsidRDefault="003A759B" w:rsidP="009F7784">
            <w:pPr>
              <w:pStyle w:val="Tabletextheadingright"/>
              <w:spacing w:before="20" w:after="20"/>
              <w:rPr>
                <w:rFonts w:cstheme="minorHAnsi"/>
              </w:rPr>
            </w:pPr>
            <w:r w:rsidRPr="0067507D">
              <w:rPr>
                <w:rFonts w:cstheme="minorHAnsi"/>
              </w:rPr>
              <w:t>FTE</w:t>
            </w:r>
          </w:p>
        </w:tc>
        <w:tc>
          <w:tcPr>
            <w:tcW w:w="1087" w:type="dxa"/>
            <w:noWrap/>
            <w:vAlign w:val="bottom"/>
          </w:tcPr>
          <w:p w14:paraId="6A0F1166" w14:textId="16135CCE" w:rsidR="003A759B" w:rsidRPr="0067507D" w:rsidRDefault="003A759B" w:rsidP="00A721E2">
            <w:pPr>
              <w:pStyle w:val="Tabletextheadingright"/>
              <w:spacing w:before="20" w:after="20"/>
              <w:rPr>
                <w:rFonts w:cstheme="minorBidi"/>
              </w:rPr>
            </w:pPr>
            <w:r w:rsidRPr="0067507D">
              <w:rPr>
                <w:rFonts w:cstheme="minorBidi"/>
              </w:rPr>
              <w:t>Full</w:t>
            </w:r>
            <w:r w:rsidRPr="0067507D">
              <w:rPr>
                <w:rFonts w:cstheme="minorHAnsi"/>
              </w:rPr>
              <w:noBreakHyphen/>
            </w:r>
            <w:r w:rsidRPr="0067507D">
              <w:rPr>
                <w:rFonts w:cstheme="minorBidi"/>
              </w:rPr>
              <w:t xml:space="preserve">time </w:t>
            </w:r>
            <w:r w:rsidRPr="0067507D">
              <w:rPr>
                <w:rFonts w:cstheme="minorBidi"/>
                <w:sz w:val="14"/>
                <w:szCs w:val="14"/>
              </w:rPr>
              <w:t>(headcount)</w:t>
            </w:r>
          </w:p>
        </w:tc>
        <w:tc>
          <w:tcPr>
            <w:tcW w:w="992" w:type="dxa"/>
          </w:tcPr>
          <w:p w14:paraId="5F1B579C" w14:textId="7FDC08A6" w:rsidR="003A759B" w:rsidRPr="0067507D" w:rsidRDefault="003A759B" w:rsidP="00A721E2">
            <w:pPr>
              <w:pStyle w:val="Tabletextheadingright"/>
              <w:spacing w:before="20" w:after="20"/>
              <w:rPr>
                <w:rFonts w:cstheme="minorBidi"/>
              </w:rPr>
            </w:pPr>
            <w:r w:rsidRPr="0067507D">
              <w:rPr>
                <w:rFonts w:cstheme="minorBidi"/>
              </w:rPr>
              <w:t>Part</w:t>
            </w:r>
            <w:r w:rsidRPr="0067507D">
              <w:rPr>
                <w:rFonts w:cstheme="minorHAnsi"/>
              </w:rPr>
              <w:noBreakHyphen/>
            </w:r>
            <w:r w:rsidRPr="0067507D">
              <w:rPr>
                <w:rFonts w:cstheme="minorBidi"/>
              </w:rPr>
              <w:t>time</w:t>
            </w:r>
            <w:r w:rsidRPr="0067507D">
              <w:rPr>
                <w:rFonts w:cstheme="minorHAnsi"/>
              </w:rPr>
              <w:br/>
            </w:r>
            <w:r w:rsidRPr="0067507D">
              <w:rPr>
                <w:rFonts w:cstheme="minorBidi"/>
                <w:sz w:val="14"/>
                <w:szCs w:val="14"/>
              </w:rPr>
              <w:t>(headcount)</w:t>
            </w:r>
          </w:p>
        </w:tc>
        <w:tc>
          <w:tcPr>
            <w:tcW w:w="657" w:type="dxa"/>
          </w:tcPr>
          <w:p w14:paraId="36FCE88B" w14:textId="77777777" w:rsidR="003A759B" w:rsidRPr="0067507D" w:rsidRDefault="003A759B" w:rsidP="00A721E2">
            <w:pPr>
              <w:pStyle w:val="Tabletextheadingright"/>
              <w:spacing w:before="20" w:after="20"/>
              <w:rPr>
                <w:rFonts w:cstheme="minorHAnsi"/>
              </w:rPr>
            </w:pPr>
            <w:r w:rsidRPr="0067507D">
              <w:rPr>
                <w:rFonts w:cstheme="minorHAnsi"/>
              </w:rPr>
              <w:t>FTE</w:t>
            </w:r>
          </w:p>
        </w:tc>
        <w:tc>
          <w:tcPr>
            <w:tcW w:w="1044" w:type="dxa"/>
          </w:tcPr>
          <w:p w14:paraId="1F71F36A" w14:textId="77777777" w:rsidR="003A759B" w:rsidRPr="0067507D" w:rsidRDefault="003A759B" w:rsidP="00A721E2">
            <w:pPr>
              <w:pStyle w:val="Tabletextheadingright"/>
              <w:spacing w:before="20" w:after="20"/>
              <w:rPr>
                <w:rFonts w:cstheme="minorHAnsi"/>
              </w:rPr>
            </w:pPr>
            <w:r w:rsidRPr="0067507D">
              <w:rPr>
                <w:rFonts w:cstheme="minorHAnsi"/>
              </w:rPr>
              <w:t xml:space="preserve">Number </w:t>
            </w:r>
            <w:r w:rsidRPr="0067507D">
              <w:rPr>
                <w:rFonts w:cstheme="minorHAnsi"/>
                <w:sz w:val="14"/>
              </w:rPr>
              <w:t>(headcount)</w:t>
            </w:r>
          </w:p>
        </w:tc>
        <w:tc>
          <w:tcPr>
            <w:tcW w:w="684" w:type="dxa"/>
          </w:tcPr>
          <w:p w14:paraId="7193F7F4" w14:textId="77777777" w:rsidR="003A759B" w:rsidRPr="0067507D" w:rsidRDefault="003A759B" w:rsidP="00A721E2">
            <w:pPr>
              <w:pStyle w:val="Tabletextheadingright"/>
              <w:spacing w:before="20" w:after="20"/>
              <w:rPr>
                <w:rFonts w:cstheme="minorHAnsi"/>
              </w:rPr>
            </w:pPr>
            <w:r w:rsidRPr="0067507D">
              <w:rPr>
                <w:rFonts w:cstheme="minorHAnsi"/>
              </w:rPr>
              <w:t>FTE</w:t>
            </w:r>
          </w:p>
        </w:tc>
      </w:tr>
      <w:tr w:rsidR="00791F8C" w:rsidRPr="0067507D" w14:paraId="0EDAEFCD" w14:textId="77777777" w:rsidTr="00C04B33">
        <w:trPr>
          <w:cantSplit/>
        </w:trPr>
        <w:tc>
          <w:tcPr>
            <w:tcW w:w="1530" w:type="dxa"/>
          </w:tcPr>
          <w:p w14:paraId="0C1C0386" w14:textId="77777777" w:rsidR="003A759B" w:rsidRPr="0067507D" w:rsidRDefault="003A759B" w:rsidP="00A721E2">
            <w:pPr>
              <w:pStyle w:val="Tabletext"/>
              <w:spacing w:before="20" w:after="20"/>
              <w:rPr>
                <w:rFonts w:asciiTheme="majorHAnsi" w:hAnsiTheme="majorHAnsi"/>
              </w:rPr>
            </w:pPr>
            <w:r w:rsidRPr="0067507D">
              <w:rPr>
                <w:rFonts w:asciiTheme="majorHAnsi" w:hAnsiTheme="majorHAnsi" w:cstheme="minorHAnsi"/>
              </w:rPr>
              <w:t>Gender</w:t>
            </w:r>
          </w:p>
        </w:tc>
        <w:tc>
          <w:tcPr>
            <w:tcW w:w="1022" w:type="dxa"/>
            <w:shd w:val="clear" w:color="auto" w:fill="E0E0E0"/>
          </w:tcPr>
          <w:p w14:paraId="29BFF543" w14:textId="77777777" w:rsidR="003A759B" w:rsidRPr="0067507D" w:rsidRDefault="003A759B" w:rsidP="00A721E2">
            <w:pPr>
              <w:pStyle w:val="Tabletextright"/>
              <w:spacing w:before="20" w:after="20"/>
              <w:rPr>
                <w:rFonts w:asciiTheme="majorHAnsi" w:hAnsiTheme="majorHAnsi" w:cstheme="minorHAnsi"/>
              </w:rPr>
            </w:pPr>
          </w:p>
        </w:tc>
        <w:tc>
          <w:tcPr>
            <w:tcW w:w="659" w:type="dxa"/>
            <w:shd w:val="clear" w:color="auto" w:fill="E0E0E0"/>
          </w:tcPr>
          <w:p w14:paraId="4430CD0D" w14:textId="77777777" w:rsidR="003A759B" w:rsidRPr="0067507D" w:rsidRDefault="003A759B" w:rsidP="00A721E2">
            <w:pPr>
              <w:pStyle w:val="Tabletextright"/>
              <w:spacing w:before="20" w:after="20"/>
              <w:rPr>
                <w:rFonts w:asciiTheme="majorHAnsi" w:hAnsiTheme="majorHAnsi" w:cstheme="minorHAnsi"/>
              </w:rPr>
            </w:pPr>
          </w:p>
        </w:tc>
        <w:tc>
          <w:tcPr>
            <w:tcW w:w="1042" w:type="dxa"/>
          </w:tcPr>
          <w:p w14:paraId="1F375107" w14:textId="77777777" w:rsidR="003A759B" w:rsidRPr="0067507D" w:rsidRDefault="003A759B" w:rsidP="00A721E2">
            <w:pPr>
              <w:pStyle w:val="Tabletextright"/>
              <w:spacing w:before="20" w:after="20"/>
              <w:rPr>
                <w:rFonts w:asciiTheme="majorHAnsi" w:hAnsiTheme="majorHAnsi" w:cstheme="minorHAnsi"/>
              </w:rPr>
            </w:pPr>
          </w:p>
        </w:tc>
        <w:tc>
          <w:tcPr>
            <w:tcW w:w="992" w:type="dxa"/>
          </w:tcPr>
          <w:p w14:paraId="282C4333" w14:textId="77777777" w:rsidR="003A759B" w:rsidRPr="0067507D" w:rsidRDefault="003A759B" w:rsidP="00A721E2">
            <w:pPr>
              <w:pStyle w:val="Tabletextright"/>
              <w:spacing w:before="20" w:after="20"/>
              <w:rPr>
                <w:rFonts w:asciiTheme="majorHAnsi" w:hAnsiTheme="majorHAnsi"/>
              </w:rPr>
            </w:pPr>
          </w:p>
        </w:tc>
        <w:tc>
          <w:tcPr>
            <w:tcW w:w="702" w:type="dxa"/>
          </w:tcPr>
          <w:p w14:paraId="451AC435" w14:textId="77777777" w:rsidR="003A759B" w:rsidRPr="0067507D" w:rsidRDefault="003A759B" w:rsidP="00A721E2">
            <w:pPr>
              <w:pStyle w:val="Tabletextright"/>
              <w:spacing w:before="20" w:after="20"/>
              <w:rPr>
                <w:rFonts w:asciiTheme="majorHAnsi" w:hAnsiTheme="majorHAnsi"/>
              </w:rPr>
            </w:pPr>
          </w:p>
        </w:tc>
        <w:tc>
          <w:tcPr>
            <w:tcW w:w="999" w:type="dxa"/>
            <w:shd w:val="clear" w:color="auto" w:fill="E0E0E0"/>
          </w:tcPr>
          <w:p w14:paraId="2EE60670" w14:textId="77777777" w:rsidR="003A759B" w:rsidRPr="0067507D" w:rsidRDefault="003A759B" w:rsidP="00A721E2">
            <w:pPr>
              <w:pStyle w:val="Tabletextright"/>
              <w:spacing w:before="20" w:after="20"/>
              <w:rPr>
                <w:rFonts w:asciiTheme="majorHAnsi" w:hAnsiTheme="majorHAnsi"/>
              </w:rPr>
            </w:pPr>
          </w:p>
        </w:tc>
        <w:tc>
          <w:tcPr>
            <w:tcW w:w="729" w:type="dxa"/>
            <w:shd w:val="clear" w:color="auto" w:fill="E0E0E0"/>
          </w:tcPr>
          <w:p w14:paraId="4991C0B7" w14:textId="77777777" w:rsidR="003A759B" w:rsidRPr="0067507D" w:rsidRDefault="003A759B" w:rsidP="00A721E2">
            <w:pPr>
              <w:pStyle w:val="Tabletextright"/>
              <w:spacing w:before="20" w:after="20"/>
              <w:rPr>
                <w:rFonts w:asciiTheme="majorHAnsi" w:hAnsiTheme="majorHAnsi"/>
              </w:rPr>
            </w:pPr>
          </w:p>
        </w:tc>
        <w:tc>
          <w:tcPr>
            <w:tcW w:w="1055" w:type="dxa"/>
            <w:noWrap/>
          </w:tcPr>
          <w:p w14:paraId="779B1800" w14:textId="77777777" w:rsidR="003A759B" w:rsidRPr="0067507D" w:rsidRDefault="003A759B" w:rsidP="00A721E2">
            <w:pPr>
              <w:pStyle w:val="Tabletextright"/>
              <w:spacing w:before="20" w:after="20"/>
              <w:rPr>
                <w:rFonts w:asciiTheme="majorHAnsi" w:hAnsiTheme="majorHAnsi" w:cstheme="minorHAnsi"/>
              </w:rPr>
            </w:pPr>
          </w:p>
        </w:tc>
        <w:tc>
          <w:tcPr>
            <w:tcW w:w="673" w:type="dxa"/>
          </w:tcPr>
          <w:p w14:paraId="13F4AAF1" w14:textId="77777777" w:rsidR="003A759B" w:rsidRPr="0067507D" w:rsidRDefault="003A759B" w:rsidP="00A721E2">
            <w:pPr>
              <w:pStyle w:val="Tabletextright"/>
              <w:spacing w:before="20" w:after="20"/>
              <w:rPr>
                <w:rFonts w:asciiTheme="majorHAnsi" w:hAnsiTheme="majorHAnsi" w:cstheme="minorHAnsi"/>
              </w:rPr>
            </w:pPr>
          </w:p>
        </w:tc>
        <w:tc>
          <w:tcPr>
            <w:tcW w:w="1087" w:type="dxa"/>
            <w:shd w:val="clear" w:color="auto" w:fill="E0E0E0"/>
            <w:noWrap/>
          </w:tcPr>
          <w:p w14:paraId="2C4EAB9B" w14:textId="77777777" w:rsidR="003A759B" w:rsidRPr="0067507D" w:rsidRDefault="003A759B" w:rsidP="00A721E2">
            <w:pPr>
              <w:pStyle w:val="Tabletextright"/>
              <w:spacing w:before="20" w:after="20"/>
              <w:rPr>
                <w:rFonts w:asciiTheme="majorHAnsi" w:hAnsiTheme="majorHAnsi" w:cstheme="minorHAnsi"/>
              </w:rPr>
            </w:pPr>
          </w:p>
        </w:tc>
        <w:tc>
          <w:tcPr>
            <w:tcW w:w="992" w:type="dxa"/>
            <w:shd w:val="clear" w:color="auto" w:fill="E0E0E0"/>
          </w:tcPr>
          <w:p w14:paraId="611A1ACB" w14:textId="77777777" w:rsidR="003A759B" w:rsidRPr="0067507D" w:rsidRDefault="003A759B" w:rsidP="00A721E2">
            <w:pPr>
              <w:pStyle w:val="Tabletextright"/>
              <w:spacing w:before="20" w:after="20"/>
              <w:rPr>
                <w:rFonts w:asciiTheme="majorHAnsi" w:hAnsiTheme="majorHAnsi"/>
              </w:rPr>
            </w:pPr>
          </w:p>
        </w:tc>
        <w:tc>
          <w:tcPr>
            <w:tcW w:w="657" w:type="dxa"/>
            <w:shd w:val="clear" w:color="auto" w:fill="E0E0E0"/>
          </w:tcPr>
          <w:p w14:paraId="4182D482" w14:textId="77777777" w:rsidR="003A759B" w:rsidRPr="0067507D" w:rsidRDefault="003A759B" w:rsidP="00A721E2">
            <w:pPr>
              <w:pStyle w:val="Tabletextright"/>
              <w:spacing w:before="20" w:after="20"/>
              <w:rPr>
                <w:rFonts w:asciiTheme="majorHAnsi" w:hAnsiTheme="majorHAnsi"/>
              </w:rPr>
            </w:pPr>
          </w:p>
        </w:tc>
        <w:tc>
          <w:tcPr>
            <w:tcW w:w="1044" w:type="dxa"/>
          </w:tcPr>
          <w:p w14:paraId="531F553E" w14:textId="77777777" w:rsidR="003A759B" w:rsidRPr="0067507D" w:rsidRDefault="003A759B" w:rsidP="00A721E2">
            <w:pPr>
              <w:pStyle w:val="Tabletextright"/>
              <w:spacing w:before="20" w:after="20"/>
              <w:rPr>
                <w:rFonts w:asciiTheme="majorHAnsi" w:hAnsiTheme="majorHAnsi"/>
              </w:rPr>
            </w:pPr>
          </w:p>
        </w:tc>
        <w:tc>
          <w:tcPr>
            <w:tcW w:w="684" w:type="dxa"/>
          </w:tcPr>
          <w:p w14:paraId="74161971" w14:textId="77777777" w:rsidR="003A759B" w:rsidRPr="0067507D" w:rsidRDefault="003A759B" w:rsidP="00A721E2">
            <w:pPr>
              <w:pStyle w:val="Tabletextright"/>
              <w:spacing w:before="20" w:after="20"/>
              <w:rPr>
                <w:rFonts w:asciiTheme="majorHAnsi" w:hAnsiTheme="majorHAnsi"/>
              </w:rPr>
            </w:pPr>
          </w:p>
        </w:tc>
      </w:tr>
      <w:tr w:rsidR="00791F8C" w:rsidRPr="0067507D" w14:paraId="6F2937E5" w14:textId="77777777" w:rsidTr="00C04B33">
        <w:trPr>
          <w:cantSplit/>
        </w:trPr>
        <w:tc>
          <w:tcPr>
            <w:tcW w:w="1530" w:type="dxa"/>
          </w:tcPr>
          <w:p w14:paraId="002E46BF" w14:textId="71B23F3C" w:rsidR="007D7EE6" w:rsidRPr="0067507D" w:rsidRDefault="007D7EE6" w:rsidP="007D7EE6">
            <w:pPr>
              <w:pStyle w:val="Tabletext"/>
              <w:spacing w:before="15" w:after="15"/>
            </w:pPr>
            <w:r w:rsidRPr="0067507D">
              <w:rPr>
                <w:rFonts w:cstheme="minorHAnsi"/>
              </w:rPr>
              <w:t>Men</w:t>
            </w:r>
          </w:p>
        </w:tc>
        <w:tc>
          <w:tcPr>
            <w:tcW w:w="1022" w:type="dxa"/>
            <w:shd w:val="clear" w:color="auto" w:fill="E0E0E0"/>
          </w:tcPr>
          <w:p w14:paraId="0A5CB481" w14:textId="0C1A76E4" w:rsidR="007D7EE6" w:rsidRPr="0067507D" w:rsidRDefault="0077418D" w:rsidP="007D7EE6">
            <w:pPr>
              <w:pStyle w:val="Tabletextright"/>
              <w:spacing w:before="15" w:after="15"/>
            </w:pPr>
            <w:r w:rsidRPr="0067507D">
              <w:t>425</w:t>
            </w:r>
          </w:p>
        </w:tc>
        <w:tc>
          <w:tcPr>
            <w:tcW w:w="659" w:type="dxa"/>
            <w:shd w:val="clear" w:color="auto" w:fill="E0E0E0"/>
          </w:tcPr>
          <w:p w14:paraId="2185654D" w14:textId="07506779" w:rsidR="007D7EE6" w:rsidRPr="0067507D" w:rsidRDefault="0077418D" w:rsidP="007D7EE6">
            <w:pPr>
              <w:pStyle w:val="Tabletextright"/>
              <w:spacing w:before="15" w:after="15"/>
            </w:pPr>
            <w:r w:rsidRPr="0067507D">
              <w:t>418</w:t>
            </w:r>
          </w:p>
        </w:tc>
        <w:tc>
          <w:tcPr>
            <w:tcW w:w="1042" w:type="dxa"/>
          </w:tcPr>
          <w:p w14:paraId="158BF1D0" w14:textId="7BF8358B" w:rsidR="007D7EE6" w:rsidRPr="0067507D" w:rsidRDefault="0077418D" w:rsidP="007D7EE6">
            <w:pPr>
              <w:pStyle w:val="Tabletextright"/>
              <w:spacing w:before="15" w:after="15"/>
            </w:pPr>
            <w:r w:rsidRPr="0067507D">
              <w:t>384</w:t>
            </w:r>
          </w:p>
        </w:tc>
        <w:tc>
          <w:tcPr>
            <w:tcW w:w="992" w:type="dxa"/>
          </w:tcPr>
          <w:p w14:paraId="34C881A8" w14:textId="1D84736A" w:rsidR="007D7EE6" w:rsidRPr="0067507D" w:rsidRDefault="0077418D" w:rsidP="007D7EE6">
            <w:pPr>
              <w:pStyle w:val="Tabletextright"/>
              <w:spacing w:before="15" w:after="15"/>
            </w:pPr>
            <w:r w:rsidRPr="0067507D">
              <w:t>21</w:t>
            </w:r>
          </w:p>
        </w:tc>
        <w:tc>
          <w:tcPr>
            <w:tcW w:w="702" w:type="dxa"/>
          </w:tcPr>
          <w:p w14:paraId="0B22D7FF" w14:textId="751F46A6" w:rsidR="007D7EE6" w:rsidRPr="0067507D" w:rsidRDefault="0077418D" w:rsidP="007D7EE6">
            <w:pPr>
              <w:pStyle w:val="Tabletextright"/>
              <w:spacing w:before="15" w:after="15"/>
            </w:pPr>
            <w:r w:rsidRPr="0067507D">
              <w:t>400</w:t>
            </w:r>
          </w:p>
        </w:tc>
        <w:tc>
          <w:tcPr>
            <w:tcW w:w="999" w:type="dxa"/>
            <w:shd w:val="clear" w:color="auto" w:fill="E0E0E0"/>
          </w:tcPr>
          <w:p w14:paraId="52C5182E" w14:textId="5A7EC414" w:rsidR="007D7EE6" w:rsidRPr="0067507D" w:rsidRDefault="0077418D" w:rsidP="007D7EE6">
            <w:pPr>
              <w:pStyle w:val="Tabletextright"/>
              <w:spacing w:before="15" w:after="15"/>
            </w:pPr>
            <w:r w:rsidRPr="0067507D">
              <w:t>425</w:t>
            </w:r>
          </w:p>
        </w:tc>
        <w:tc>
          <w:tcPr>
            <w:tcW w:w="729" w:type="dxa"/>
            <w:shd w:val="clear" w:color="auto" w:fill="E0E0E0"/>
          </w:tcPr>
          <w:p w14:paraId="6E3D8A4B" w14:textId="2E1E8A20" w:rsidR="007D7EE6" w:rsidRPr="0067507D" w:rsidRDefault="0077418D" w:rsidP="007D7EE6">
            <w:pPr>
              <w:pStyle w:val="Tabletextright"/>
              <w:spacing w:before="15" w:after="15"/>
            </w:pPr>
            <w:r w:rsidRPr="0067507D">
              <w:t>418</w:t>
            </w:r>
          </w:p>
        </w:tc>
        <w:tc>
          <w:tcPr>
            <w:tcW w:w="1055" w:type="dxa"/>
            <w:noWrap/>
          </w:tcPr>
          <w:p w14:paraId="49EF3EDB" w14:textId="41F40AAD" w:rsidR="007D7EE6" w:rsidRPr="0067507D" w:rsidRDefault="00F61F1D" w:rsidP="007D7EE6">
            <w:pPr>
              <w:pStyle w:val="Tabletextright"/>
              <w:spacing w:before="15" w:after="15"/>
            </w:pPr>
            <w:r w:rsidRPr="0067507D">
              <w:t>414</w:t>
            </w:r>
          </w:p>
        </w:tc>
        <w:tc>
          <w:tcPr>
            <w:tcW w:w="673" w:type="dxa"/>
          </w:tcPr>
          <w:p w14:paraId="7A4B28B4" w14:textId="24768FE9" w:rsidR="007D7EE6" w:rsidRPr="0067507D" w:rsidRDefault="00F61F1D" w:rsidP="007D7EE6">
            <w:pPr>
              <w:pStyle w:val="Tabletextright"/>
              <w:spacing w:before="15" w:after="15"/>
            </w:pPr>
            <w:r w:rsidRPr="0067507D">
              <w:t>409</w:t>
            </w:r>
          </w:p>
        </w:tc>
        <w:tc>
          <w:tcPr>
            <w:tcW w:w="1087" w:type="dxa"/>
            <w:shd w:val="clear" w:color="auto" w:fill="E0E0E0"/>
            <w:noWrap/>
          </w:tcPr>
          <w:p w14:paraId="306576BB" w14:textId="6BD6463E" w:rsidR="007D7EE6" w:rsidRPr="0067507D" w:rsidRDefault="00F61F1D" w:rsidP="007D7EE6">
            <w:pPr>
              <w:pStyle w:val="Tabletextright"/>
              <w:spacing w:before="15" w:after="15"/>
            </w:pPr>
            <w:r w:rsidRPr="0067507D">
              <w:t>366</w:t>
            </w:r>
          </w:p>
        </w:tc>
        <w:tc>
          <w:tcPr>
            <w:tcW w:w="992" w:type="dxa"/>
            <w:shd w:val="clear" w:color="auto" w:fill="E0E0E0"/>
          </w:tcPr>
          <w:p w14:paraId="3F88A8CB" w14:textId="56B899DF" w:rsidR="007D7EE6" w:rsidRPr="0067507D" w:rsidRDefault="00F61F1D" w:rsidP="007D7EE6">
            <w:pPr>
              <w:pStyle w:val="Tabletextright"/>
              <w:spacing w:before="15" w:after="15"/>
            </w:pPr>
            <w:r w:rsidRPr="0067507D">
              <w:t>16</w:t>
            </w:r>
          </w:p>
        </w:tc>
        <w:tc>
          <w:tcPr>
            <w:tcW w:w="657" w:type="dxa"/>
            <w:shd w:val="clear" w:color="auto" w:fill="E0E0E0"/>
          </w:tcPr>
          <w:p w14:paraId="78C04ACF" w14:textId="5F83772B" w:rsidR="007D7EE6" w:rsidRPr="0067507D" w:rsidRDefault="00F61F1D" w:rsidP="007D7EE6">
            <w:pPr>
              <w:pStyle w:val="Tabletextright"/>
              <w:spacing w:before="15" w:after="15"/>
            </w:pPr>
            <w:r w:rsidRPr="0067507D">
              <w:t>377</w:t>
            </w:r>
          </w:p>
        </w:tc>
        <w:tc>
          <w:tcPr>
            <w:tcW w:w="1044" w:type="dxa"/>
          </w:tcPr>
          <w:p w14:paraId="0402E9F4" w14:textId="26980B8D" w:rsidR="007D7EE6" w:rsidRPr="0067507D" w:rsidRDefault="00F61F1D" w:rsidP="007D7EE6">
            <w:pPr>
              <w:pStyle w:val="Tabletextright"/>
              <w:spacing w:before="15" w:after="15"/>
            </w:pPr>
            <w:r w:rsidRPr="0067507D">
              <w:t>32</w:t>
            </w:r>
          </w:p>
        </w:tc>
        <w:tc>
          <w:tcPr>
            <w:tcW w:w="684" w:type="dxa"/>
          </w:tcPr>
          <w:p w14:paraId="7ED5E7C4" w14:textId="3F550118" w:rsidR="007D7EE6" w:rsidRPr="0067507D" w:rsidRDefault="00F61F1D" w:rsidP="007D7EE6">
            <w:pPr>
              <w:pStyle w:val="Tabletextright"/>
              <w:spacing w:before="15" w:after="15"/>
            </w:pPr>
            <w:r w:rsidRPr="0067507D">
              <w:t>32</w:t>
            </w:r>
          </w:p>
        </w:tc>
      </w:tr>
      <w:tr w:rsidR="00791F8C" w:rsidRPr="0067507D" w14:paraId="38547F75" w14:textId="77777777" w:rsidTr="00C04B33">
        <w:trPr>
          <w:cantSplit/>
        </w:trPr>
        <w:tc>
          <w:tcPr>
            <w:tcW w:w="1530" w:type="dxa"/>
          </w:tcPr>
          <w:p w14:paraId="1B524966" w14:textId="10B696E5" w:rsidR="007D7EE6" w:rsidRPr="0067507D" w:rsidRDefault="007D7EE6" w:rsidP="007D7EE6">
            <w:pPr>
              <w:pStyle w:val="Tabletext"/>
              <w:spacing w:before="15" w:after="15"/>
            </w:pPr>
            <w:r w:rsidRPr="0067507D">
              <w:rPr>
                <w:rFonts w:cstheme="minorHAnsi"/>
              </w:rPr>
              <w:t>Women</w:t>
            </w:r>
          </w:p>
        </w:tc>
        <w:tc>
          <w:tcPr>
            <w:tcW w:w="1022" w:type="dxa"/>
            <w:shd w:val="clear" w:color="auto" w:fill="E0E0E0"/>
          </w:tcPr>
          <w:p w14:paraId="3ED6959D" w14:textId="1C8AE6BA" w:rsidR="007D7EE6" w:rsidRPr="0067507D" w:rsidRDefault="0077418D" w:rsidP="007D7EE6">
            <w:pPr>
              <w:pStyle w:val="Tabletextright"/>
              <w:spacing w:before="15" w:after="15"/>
            </w:pPr>
            <w:r w:rsidRPr="0067507D">
              <w:t>544</w:t>
            </w:r>
          </w:p>
        </w:tc>
        <w:tc>
          <w:tcPr>
            <w:tcW w:w="659" w:type="dxa"/>
            <w:shd w:val="clear" w:color="auto" w:fill="E0E0E0"/>
          </w:tcPr>
          <w:p w14:paraId="49366D6B" w14:textId="0E15D40D" w:rsidR="007D7EE6" w:rsidRPr="0067507D" w:rsidRDefault="0077418D" w:rsidP="007D7EE6">
            <w:pPr>
              <w:pStyle w:val="Tabletextright"/>
              <w:spacing w:before="15" w:after="15"/>
            </w:pPr>
            <w:r w:rsidRPr="0067507D">
              <w:t>513</w:t>
            </w:r>
          </w:p>
        </w:tc>
        <w:tc>
          <w:tcPr>
            <w:tcW w:w="1042" w:type="dxa"/>
          </w:tcPr>
          <w:p w14:paraId="4810835A" w14:textId="75C62BC8" w:rsidR="007D7EE6" w:rsidRPr="0067507D" w:rsidRDefault="0077418D" w:rsidP="007D7EE6">
            <w:pPr>
              <w:pStyle w:val="Tabletextright"/>
              <w:spacing w:before="15" w:after="15"/>
            </w:pPr>
            <w:r w:rsidRPr="0067507D">
              <w:t>426</w:t>
            </w:r>
          </w:p>
        </w:tc>
        <w:tc>
          <w:tcPr>
            <w:tcW w:w="992" w:type="dxa"/>
          </w:tcPr>
          <w:p w14:paraId="3C8BF999" w14:textId="341939E1" w:rsidR="007D7EE6" w:rsidRPr="0067507D" w:rsidRDefault="0077418D" w:rsidP="007D7EE6">
            <w:pPr>
              <w:pStyle w:val="Tabletextright"/>
              <w:spacing w:before="15" w:after="15"/>
            </w:pPr>
            <w:r w:rsidRPr="0067507D">
              <w:t>104</w:t>
            </w:r>
          </w:p>
        </w:tc>
        <w:tc>
          <w:tcPr>
            <w:tcW w:w="702" w:type="dxa"/>
          </w:tcPr>
          <w:p w14:paraId="60F33D9E" w14:textId="713D1B88" w:rsidR="007D7EE6" w:rsidRPr="0067507D" w:rsidRDefault="0077418D" w:rsidP="007D7EE6">
            <w:pPr>
              <w:pStyle w:val="Tabletextright"/>
              <w:spacing w:before="15" w:after="15"/>
            </w:pPr>
            <w:r w:rsidRPr="0067507D">
              <w:t>499</w:t>
            </w:r>
          </w:p>
        </w:tc>
        <w:tc>
          <w:tcPr>
            <w:tcW w:w="999" w:type="dxa"/>
            <w:shd w:val="clear" w:color="auto" w:fill="E0E0E0"/>
          </w:tcPr>
          <w:p w14:paraId="6E8FCAD6" w14:textId="13D61664" w:rsidR="007D7EE6" w:rsidRPr="0067507D" w:rsidRDefault="0077418D" w:rsidP="007D7EE6">
            <w:pPr>
              <w:pStyle w:val="Tabletextright"/>
              <w:spacing w:before="15" w:after="15"/>
            </w:pPr>
            <w:r w:rsidRPr="0067507D">
              <w:t>544</w:t>
            </w:r>
          </w:p>
        </w:tc>
        <w:tc>
          <w:tcPr>
            <w:tcW w:w="729" w:type="dxa"/>
            <w:shd w:val="clear" w:color="auto" w:fill="E0E0E0"/>
          </w:tcPr>
          <w:p w14:paraId="1D6557EC" w14:textId="1F357F38" w:rsidR="007D7EE6" w:rsidRPr="0067507D" w:rsidRDefault="0077418D" w:rsidP="007D7EE6">
            <w:pPr>
              <w:pStyle w:val="Tabletextright"/>
              <w:spacing w:before="15" w:after="15"/>
            </w:pPr>
            <w:r w:rsidRPr="0067507D">
              <w:t>513</w:t>
            </w:r>
          </w:p>
        </w:tc>
        <w:tc>
          <w:tcPr>
            <w:tcW w:w="1055" w:type="dxa"/>
            <w:noWrap/>
          </w:tcPr>
          <w:p w14:paraId="53EACD07" w14:textId="58F702ED" w:rsidR="007D7EE6" w:rsidRPr="0067507D" w:rsidRDefault="00F61F1D" w:rsidP="007D7EE6">
            <w:pPr>
              <w:pStyle w:val="Tabletextright"/>
              <w:spacing w:before="15" w:after="15"/>
            </w:pPr>
            <w:r w:rsidRPr="0067507D">
              <w:t>515</w:t>
            </w:r>
          </w:p>
        </w:tc>
        <w:tc>
          <w:tcPr>
            <w:tcW w:w="673" w:type="dxa"/>
          </w:tcPr>
          <w:p w14:paraId="71C86CA4" w14:textId="61849B1F" w:rsidR="007D7EE6" w:rsidRPr="0067507D" w:rsidRDefault="00F61F1D" w:rsidP="007D7EE6">
            <w:pPr>
              <w:pStyle w:val="Tabletextright"/>
              <w:spacing w:before="15" w:after="15"/>
            </w:pPr>
            <w:r w:rsidRPr="0067507D">
              <w:t>483</w:t>
            </w:r>
          </w:p>
        </w:tc>
        <w:tc>
          <w:tcPr>
            <w:tcW w:w="1087" w:type="dxa"/>
            <w:shd w:val="clear" w:color="auto" w:fill="E0E0E0"/>
            <w:noWrap/>
          </w:tcPr>
          <w:p w14:paraId="30FCCD62" w14:textId="26AFE329" w:rsidR="007D7EE6" w:rsidRPr="0067507D" w:rsidRDefault="00F61F1D" w:rsidP="007D7EE6">
            <w:pPr>
              <w:pStyle w:val="Tabletextright"/>
              <w:spacing w:before="15" w:after="15"/>
            </w:pPr>
            <w:r w:rsidRPr="0067507D">
              <w:t>377</w:t>
            </w:r>
          </w:p>
        </w:tc>
        <w:tc>
          <w:tcPr>
            <w:tcW w:w="992" w:type="dxa"/>
            <w:shd w:val="clear" w:color="auto" w:fill="E0E0E0"/>
          </w:tcPr>
          <w:p w14:paraId="6D60018A" w14:textId="58D2B1B8" w:rsidR="007D7EE6" w:rsidRPr="0067507D" w:rsidRDefault="00F61F1D" w:rsidP="007D7EE6">
            <w:pPr>
              <w:pStyle w:val="Tabletextright"/>
              <w:spacing w:before="15" w:after="15"/>
            </w:pPr>
            <w:r w:rsidRPr="0067507D">
              <w:t>106</w:t>
            </w:r>
          </w:p>
        </w:tc>
        <w:tc>
          <w:tcPr>
            <w:tcW w:w="657" w:type="dxa"/>
            <w:shd w:val="clear" w:color="auto" w:fill="E0E0E0"/>
          </w:tcPr>
          <w:p w14:paraId="1727FC47" w14:textId="5536FADF" w:rsidR="007D7EE6" w:rsidRPr="0067507D" w:rsidRDefault="00F61F1D" w:rsidP="007D7EE6">
            <w:pPr>
              <w:pStyle w:val="Tabletextright"/>
              <w:spacing w:before="15" w:after="15"/>
            </w:pPr>
            <w:r w:rsidRPr="0067507D">
              <w:t>452</w:t>
            </w:r>
          </w:p>
        </w:tc>
        <w:tc>
          <w:tcPr>
            <w:tcW w:w="1044" w:type="dxa"/>
          </w:tcPr>
          <w:p w14:paraId="7405EE0E" w14:textId="5D7D1E9E" w:rsidR="007D7EE6" w:rsidRPr="0067507D" w:rsidRDefault="00F61F1D" w:rsidP="007D7EE6">
            <w:pPr>
              <w:pStyle w:val="Tabletextright"/>
              <w:spacing w:before="15" w:after="15"/>
            </w:pPr>
            <w:r w:rsidRPr="0067507D">
              <w:t>32</w:t>
            </w:r>
          </w:p>
        </w:tc>
        <w:tc>
          <w:tcPr>
            <w:tcW w:w="684" w:type="dxa"/>
          </w:tcPr>
          <w:p w14:paraId="228A8D1E" w14:textId="0C5FE7FB" w:rsidR="007D7EE6" w:rsidRPr="0067507D" w:rsidRDefault="00F61F1D" w:rsidP="007D7EE6">
            <w:pPr>
              <w:pStyle w:val="Tabletextright"/>
              <w:spacing w:before="15" w:after="15"/>
            </w:pPr>
            <w:r w:rsidRPr="0067507D">
              <w:t>31</w:t>
            </w:r>
          </w:p>
        </w:tc>
      </w:tr>
      <w:tr w:rsidR="00791F8C" w:rsidRPr="0067507D" w14:paraId="77D1B5A4" w14:textId="77777777" w:rsidTr="00C04B33">
        <w:trPr>
          <w:cantSplit/>
        </w:trPr>
        <w:tc>
          <w:tcPr>
            <w:tcW w:w="1530" w:type="dxa"/>
          </w:tcPr>
          <w:p w14:paraId="1CAA70E4" w14:textId="19E41CC9" w:rsidR="003A759B" w:rsidRPr="0067507D" w:rsidRDefault="003A759B" w:rsidP="000E7982">
            <w:pPr>
              <w:pStyle w:val="Tabletext"/>
              <w:spacing w:before="15" w:after="15"/>
              <w:rPr>
                <w:rFonts w:cstheme="minorHAnsi"/>
              </w:rPr>
            </w:pPr>
            <w:r w:rsidRPr="0067507D">
              <w:rPr>
                <w:rFonts w:cstheme="minorHAnsi"/>
              </w:rPr>
              <w:t>Self</w:t>
            </w:r>
            <w:r w:rsidR="006A5485">
              <w:rPr>
                <w:rFonts w:cstheme="minorBidi"/>
              </w:rPr>
              <w:noBreakHyphen/>
            </w:r>
            <w:r w:rsidRPr="0067507D">
              <w:rPr>
                <w:rFonts w:cstheme="minorHAnsi"/>
              </w:rPr>
              <w:t>described</w:t>
            </w:r>
          </w:p>
        </w:tc>
        <w:tc>
          <w:tcPr>
            <w:tcW w:w="1022" w:type="dxa"/>
            <w:shd w:val="clear" w:color="auto" w:fill="E0E0E0"/>
          </w:tcPr>
          <w:p w14:paraId="51B995F2" w14:textId="16B7BC86" w:rsidR="003A759B" w:rsidRPr="0067507D" w:rsidRDefault="000A55B5" w:rsidP="000E7982">
            <w:pPr>
              <w:pStyle w:val="Tabletextright"/>
              <w:spacing w:before="15" w:after="15"/>
            </w:pPr>
            <w:r w:rsidRPr="0067507D">
              <w:t>–</w:t>
            </w:r>
          </w:p>
        </w:tc>
        <w:tc>
          <w:tcPr>
            <w:tcW w:w="659" w:type="dxa"/>
            <w:shd w:val="clear" w:color="auto" w:fill="E0E0E0"/>
          </w:tcPr>
          <w:p w14:paraId="57BA4AD1" w14:textId="4D3888DC" w:rsidR="003A759B" w:rsidRPr="0067507D" w:rsidRDefault="000A55B5" w:rsidP="000E7982">
            <w:pPr>
              <w:pStyle w:val="Tabletextright"/>
              <w:spacing w:before="15" w:after="15"/>
            </w:pPr>
            <w:r w:rsidRPr="0067507D">
              <w:t>–</w:t>
            </w:r>
          </w:p>
        </w:tc>
        <w:tc>
          <w:tcPr>
            <w:tcW w:w="1042" w:type="dxa"/>
          </w:tcPr>
          <w:p w14:paraId="20D50EF7" w14:textId="5677D19B" w:rsidR="003A759B" w:rsidRPr="0067507D" w:rsidRDefault="000A55B5" w:rsidP="000E7982">
            <w:pPr>
              <w:pStyle w:val="Tabletextright"/>
              <w:spacing w:before="15" w:after="15"/>
            </w:pPr>
            <w:r w:rsidRPr="0067507D">
              <w:t>–</w:t>
            </w:r>
          </w:p>
        </w:tc>
        <w:tc>
          <w:tcPr>
            <w:tcW w:w="992" w:type="dxa"/>
          </w:tcPr>
          <w:p w14:paraId="28ABE7CF" w14:textId="190C5C55" w:rsidR="003A759B" w:rsidRPr="0067507D" w:rsidRDefault="000A55B5" w:rsidP="000E7982">
            <w:pPr>
              <w:pStyle w:val="Tabletextright"/>
              <w:spacing w:before="15" w:after="15"/>
            </w:pPr>
            <w:r w:rsidRPr="0067507D">
              <w:t>–</w:t>
            </w:r>
          </w:p>
        </w:tc>
        <w:tc>
          <w:tcPr>
            <w:tcW w:w="702" w:type="dxa"/>
          </w:tcPr>
          <w:p w14:paraId="65E8AE03" w14:textId="2ACB3339" w:rsidR="003A759B" w:rsidRPr="0067507D" w:rsidRDefault="000A55B5" w:rsidP="000E7982">
            <w:pPr>
              <w:pStyle w:val="Tabletextright"/>
              <w:spacing w:before="15" w:after="15"/>
            </w:pPr>
            <w:r w:rsidRPr="0067507D">
              <w:t>–</w:t>
            </w:r>
          </w:p>
        </w:tc>
        <w:tc>
          <w:tcPr>
            <w:tcW w:w="999" w:type="dxa"/>
            <w:shd w:val="clear" w:color="auto" w:fill="E0E0E0"/>
          </w:tcPr>
          <w:p w14:paraId="2A68A3AD" w14:textId="24FBC71B" w:rsidR="003A759B" w:rsidRPr="0067507D" w:rsidRDefault="000A55B5" w:rsidP="000E7982">
            <w:pPr>
              <w:pStyle w:val="Tabletextright"/>
              <w:spacing w:before="15" w:after="15"/>
            </w:pPr>
            <w:r w:rsidRPr="0067507D">
              <w:t>–</w:t>
            </w:r>
          </w:p>
        </w:tc>
        <w:tc>
          <w:tcPr>
            <w:tcW w:w="729" w:type="dxa"/>
            <w:shd w:val="clear" w:color="auto" w:fill="E0E0E0"/>
          </w:tcPr>
          <w:p w14:paraId="0B5BDD9F" w14:textId="1C95B16D" w:rsidR="003A759B" w:rsidRPr="0067507D" w:rsidRDefault="000A55B5" w:rsidP="000E7982">
            <w:pPr>
              <w:pStyle w:val="Tabletextright"/>
              <w:spacing w:before="15" w:after="15"/>
            </w:pPr>
            <w:r w:rsidRPr="0067507D">
              <w:t>–</w:t>
            </w:r>
          </w:p>
        </w:tc>
        <w:tc>
          <w:tcPr>
            <w:tcW w:w="1055" w:type="dxa"/>
            <w:noWrap/>
          </w:tcPr>
          <w:p w14:paraId="5E51D1F6" w14:textId="719B70D3" w:rsidR="003A759B" w:rsidRPr="0067507D" w:rsidRDefault="00F61F1D" w:rsidP="000E7982">
            <w:pPr>
              <w:pStyle w:val="Tabletextright"/>
              <w:spacing w:before="15" w:after="15"/>
            </w:pPr>
            <w:r w:rsidRPr="0067507D">
              <w:t>–</w:t>
            </w:r>
          </w:p>
        </w:tc>
        <w:tc>
          <w:tcPr>
            <w:tcW w:w="673" w:type="dxa"/>
          </w:tcPr>
          <w:p w14:paraId="03F0A2DD" w14:textId="7344469C" w:rsidR="003A759B" w:rsidRPr="0067507D" w:rsidRDefault="00F61F1D" w:rsidP="000E7982">
            <w:pPr>
              <w:pStyle w:val="Tabletextright"/>
              <w:spacing w:before="15" w:after="15"/>
            </w:pPr>
            <w:r w:rsidRPr="0067507D">
              <w:t>–</w:t>
            </w:r>
          </w:p>
        </w:tc>
        <w:tc>
          <w:tcPr>
            <w:tcW w:w="1087" w:type="dxa"/>
            <w:shd w:val="clear" w:color="auto" w:fill="E0E0E0"/>
            <w:noWrap/>
          </w:tcPr>
          <w:p w14:paraId="41A49941" w14:textId="1D55C789" w:rsidR="003A759B" w:rsidRPr="0067507D" w:rsidRDefault="00F61F1D" w:rsidP="000E7982">
            <w:pPr>
              <w:pStyle w:val="Tabletextright"/>
              <w:spacing w:before="15" w:after="15"/>
            </w:pPr>
            <w:r w:rsidRPr="0067507D">
              <w:t>–</w:t>
            </w:r>
          </w:p>
        </w:tc>
        <w:tc>
          <w:tcPr>
            <w:tcW w:w="992" w:type="dxa"/>
            <w:shd w:val="clear" w:color="auto" w:fill="E0E0E0"/>
          </w:tcPr>
          <w:p w14:paraId="62982974" w14:textId="7ED485CB" w:rsidR="003A759B" w:rsidRPr="0067507D" w:rsidRDefault="00F61F1D" w:rsidP="000E7982">
            <w:pPr>
              <w:pStyle w:val="Tabletextright"/>
              <w:spacing w:before="15" w:after="15"/>
            </w:pPr>
            <w:r w:rsidRPr="0067507D">
              <w:t>–</w:t>
            </w:r>
          </w:p>
        </w:tc>
        <w:tc>
          <w:tcPr>
            <w:tcW w:w="657" w:type="dxa"/>
            <w:shd w:val="clear" w:color="auto" w:fill="E0E0E0"/>
          </w:tcPr>
          <w:p w14:paraId="027B34FD" w14:textId="3A1DB156" w:rsidR="003A759B" w:rsidRPr="0067507D" w:rsidRDefault="00F61F1D" w:rsidP="000E7982">
            <w:pPr>
              <w:pStyle w:val="Tabletextright"/>
              <w:spacing w:before="15" w:after="15"/>
            </w:pPr>
            <w:r w:rsidRPr="0067507D">
              <w:t>–</w:t>
            </w:r>
          </w:p>
        </w:tc>
        <w:tc>
          <w:tcPr>
            <w:tcW w:w="1044" w:type="dxa"/>
          </w:tcPr>
          <w:p w14:paraId="4BAC8C53" w14:textId="2028FBFF" w:rsidR="003A759B" w:rsidRPr="0067507D" w:rsidRDefault="00F61F1D" w:rsidP="000E7982">
            <w:pPr>
              <w:pStyle w:val="Tabletextright"/>
              <w:spacing w:before="15" w:after="15"/>
            </w:pPr>
            <w:r w:rsidRPr="0067507D">
              <w:t>–</w:t>
            </w:r>
          </w:p>
        </w:tc>
        <w:tc>
          <w:tcPr>
            <w:tcW w:w="684" w:type="dxa"/>
          </w:tcPr>
          <w:p w14:paraId="359031C2" w14:textId="5F58319D" w:rsidR="003A759B" w:rsidRPr="0067507D" w:rsidRDefault="00F61F1D" w:rsidP="000E7982">
            <w:pPr>
              <w:pStyle w:val="Tabletextright"/>
              <w:spacing w:before="15" w:after="15"/>
            </w:pPr>
            <w:r w:rsidRPr="0067507D">
              <w:t>–</w:t>
            </w:r>
          </w:p>
        </w:tc>
      </w:tr>
      <w:tr w:rsidR="00791F8C" w:rsidRPr="0067507D" w14:paraId="76E5DDAD" w14:textId="77777777" w:rsidTr="00C04B33">
        <w:trPr>
          <w:cantSplit/>
        </w:trPr>
        <w:tc>
          <w:tcPr>
            <w:tcW w:w="1530" w:type="dxa"/>
          </w:tcPr>
          <w:p w14:paraId="4332506F" w14:textId="77777777" w:rsidR="003A759B" w:rsidRPr="0067507D" w:rsidRDefault="003A759B" w:rsidP="00A721E2">
            <w:pPr>
              <w:pStyle w:val="Tabletext"/>
              <w:spacing w:before="0" w:after="0"/>
              <w:rPr>
                <w:sz w:val="6"/>
              </w:rPr>
            </w:pPr>
          </w:p>
        </w:tc>
        <w:tc>
          <w:tcPr>
            <w:tcW w:w="1022" w:type="dxa"/>
            <w:shd w:val="clear" w:color="auto" w:fill="E0E0E0"/>
          </w:tcPr>
          <w:p w14:paraId="7C4495E7" w14:textId="77777777" w:rsidR="003A759B" w:rsidRPr="0067507D" w:rsidRDefault="003A759B" w:rsidP="00A721E2">
            <w:pPr>
              <w:pStyle w:val="Tabletextright"/>
              <w:spacing w:before="0" w:after="0"/>
              <w:rPr>
                <w:rFonts w:cstheme="minorHAnsi"/>
                <w:sz w:val="6"/>
              </w:rPr>
            </w:pPr>
          </w:p>
        </w:tc>
        <w:tc>
          <w:tcPr>
            <w:tcW w:w="659" w:type="dxa"/>
            <w:shd w:val="clear" w:color="auto" w:fill="E0E0E0"/>
          </w:tcPr>
          <w:p w14:paraId="6E37A81D" w14:textId="77777777" w:rsidR="003A759B" w:rsidRPr="0067507D" w:rsidRDefault="003A759B" w:rsidP="00A721E2">
            <w:pPr>
              <w:pStyle w:val="Tabletextright"/>
              <w:spacing w:before="0" w:after="0"/>
              <w:rPr>
                <w:rFonts w:cstheme="minorHAnsi"/>
                <w:sz w:val="6"/>
              </w:rPr>
            </w:pPr>
          </w:p>
        </w:tc>
        <w:tc>
          <w:tcPr>
            <w:tcW w:w="1042" w:type="dxa"/>
          </w:tcPr>
          <w:p w14:paraId="683961A2" w14:textId="77777777" w:rsidR="003A759B" w:rsidRPr="0067507D" w:rsidRDefault="003A759B" w:rsidP="00A721E2">
            <w:pPr>
              <w:pStyle w:val="Tabletextright"/>
              <w:spacing w:before="0" w:after="0"/>
              <w:rPr>
                <w:rFonts w:cstheme="minorHAnsi"/>
                <w:sz w:val="6"/>
              </w:rPr>
            </w:pPr>
          </w:p>
        </w:tc>
        <w:tc>
          <w:tcPr>
            <w:tcW w:w="992" w:type="dxa"/>
          </w:tcPr>
          <w:p w14:paraId="7C6382DA" w14:textId="77777777" w:rsidR="003A759B" w:rsidRPr="0067507D" w:rsidRDefault="003A759B" w:rsidP="00A721E2">
            <w:pPr>
              <w:pStyle w:val="Tabletextright"/>
              <w:spacing w:before="0" w:after="0"/>
              <w:rPr>
                <w:sz w:val="6"/>
              </w:rPr>
            </w:pPr>
          </w:p>
        </w:tc>
        <w:tc>
          <w:tcPr>
            <w:tcW w:w="702" w:type="dxa"/>
          </w:tcPr>
          <w:p w14:paraId="109FE0D5" w14:textId="77777777" w:rsidR="003A759B" w:rsidRPr="0067507D" w:rsidRDefault="003A759B" w:rsidP="00A721E2">
            <w:pPr>
              <w:pStyle w:val="Tabletextright"/>
              <w:spacing w:before="0" w:after="0"/>
              <w:rPr>
                <w:sz w:val="6"/>
              </w:rPr>
            </w:pPr>
          </w:p>
        </w:tc>
        <w:tc>
          <w:tcPr>
            <w:tcW w:w="999" w:type="dxa"/>
            <w:shd w:val="clear" w:color="auto" w:fill="E0E0E0"/>
          </w:tcPr>
          <w:p w14:paraId="6080F3C3" w14:textId="77777777" w:rsidR="003A759B" w:rsidRPr="0067507D" w:rsidRDefault="003A759B" w:rsidP="00A721E2">
            <w:pPr>
              <w:pStyle w:val="Tabletextright"/>
              <w:spacing w:before="0" w:after="0"/>
              <w:rPr>
                <w:sz w:val="6"/>
              </w:rPr>
            </w:pPr>
          </w:p>
        </w:tc>
        <w:tc>
          <w:tcPr>
            <w:tcW w:w="729" w:type="dxa"/>
            <w:shd w:val="clear" w:color="auto" w:fill="E0E0E0"/>
          </w:tcPr>
          <w:p w14:paraId="4E147C5F" w14:textId="77777777" w:rsidR="003A759B" w:rsidRPr="0067507D" w:rsidRDefault="003A759B" w:rsidP="00A721E2">
            <w:pPr>
              <w:pStyle w:val="Tabletextright"/>
              <w:spacing w:before="0" w:after="0"/>
              <w:rPr>
                <w:sz w:val="6"/>
              </w:rPr>
            </w:pPr>
          </w:p>
        </w:tc>
        <w:tc>
          <w:tcPr>
            <w:tcW w:w="1055" w:type="dxa"/>
            <w:noWrap/>
          </w:tcPr>
          <w:p w14:paraId="02F41E02" w14:textId="77777777" w:rsidR="003A759B" w:rsidRPr="0067507D" w:rsidRDefault="003A759B" w:rsidP="00A721E2">
            <w:pPr>
              <w:pStyle w:val="Tabletextright"/>
              <w:spacing w:before="0" w:after="0"/>
              <w:rPr>
                <w:rFonts w:cstheme="minorHAnsi"/>
                <w:sz w:val="6"/>
              </w:rPr>
            </w:pPr>
          </w:p>
        </w:tc>
        <w:tc>
          <w:tcPr>
            <w:tcW w:w="673" w:type="dxa"/>
          </w:tcPr>
          <w:p w14:paraId="6A2FEFDE" w14:textId="77777777" w:rsidR="003A759B" w:rsidRPr="0067507D" w:rsidRDefault="003A759B" w:rsidP="00A721E2">
            <w:pPr>
              <w:pStyle w:val="Tabletextright"/>
              <w:spacing w:before="0" w:after="0"/>
              <w:rPr>
                <w:rFonts w:cstheme="minorHAnsi"/>
                <w:sz w:val="6"/>
              </w:rPr>
            </w:pPr>
          </w:p>
        </w:tc>
        <w:tc>
          <w:tcPr>
            <w:tcW w:w="1087" w:type="dxa"/>
            <w:shd w:val="clear" w:color="auto" w:fill="E0E0E0"/>
            <w:noWrap/>
          </w:tcPr>
          <w:p w14:paraId="4C11F9E2" w14:textId="77777777" w:rsidR="003A759B" w:rsidRPr="0067507D" w:rsidRDefault="003A759B" w:rsidP="00A721E2">
            <w:pPr>
              <w:pStyle w:val="Tabletextright"/>
              <w:spacing w:before="0" w:after="0"/>
              <w:rPr>
                <w:rFonts w:cstheme="minorHAnsi"/>
                <w:sz w:val="6"/>
              </w:rPr>
            </w:pPr>
          </w:p>
        </w:tc>
        <w:tc>
          <w:tcPr>
            <w:tcW w:w="992" w:type="dxa"/>
            <w:shd w:val="clear" w:color="auto" w:fill="E0E0E0"/>
          </w:tcPr>
          <w:p w14:paraId="68AC2299" w14:textId="77777777" w:rsidR="003A759B" w:rsidRPr="0067507D" w:rsidRDefault="003A759B" w:rsidP="00A721E2">
            <w:pPr>
              <w:pStyle w:val="Tabletextright"/>
              <w:spacing w:before="0" w:after="0"/>
              <w:rPr>
                <w:sz w:val="6"/>
              </w:rPr>
            </w:pPr>
          </w:p>
        </w:tc>
        <w:tc>
          <w:tcPr>
            <w:tcW w:w="657" w:type="dxa"/>
            <w:shd w:val="clear" w:color="auto" w:fill="E0E0E0"/>
          </w:tcPr>
          <w:p w14:paraId="2EB83D12" w14:textId="77777777" w:rsidR="003A759B" w:rsidRPr="0067507D" w:rsidRDefault="003A759B" w:rsidP="00A721E2">
            <w:pPr>
              <w:pStyle w:val="Tabletextright"/>
              <w:spacing w:before="0" w:after="0"/>
              <w:rPr>
                <w:sz w:val="6"/>
              </w:rPr>
            </w:pPr>
          </w:p>
        </w:tc>
        <w:tc>
          <w:tcPr>
            <w:tcW w:w="1044" w:type="dxa"/>
          </w:tcPr>
          <w:p w14:paraId="6D0BAE2F" w14:textId="77777777" w:rsidR="003A759B" w:rsidRPr="0067507D" w:rsidRDefault="003A759B" w:rsidP="00A721E2">
            <w:pPr>
              <w:pStyle w:val="Tabletextright"/>
              <w:spacing w:before="0" w:after="0"/>
              <w:rPr>
                <w:sz w:val="6"/>
              </w:rPr>
            </w:pPr>
          </w:p>
        </w:tc>
        <w:tc>
          <w:tcPr>
            <w:tcW w:w="684" w:type="dxa"/>
          </w:tcPr>
          <w:p w14:paraId="74262853" w14:textId="77777777" w:rsidR="003A759B" w:rsidRPr="0067507D" w:rsidRDefault="003A759B" w:rsidP="00A721E2">
            <w:pPr>
              <w:pStyle w:val="Tabletextright"/>
              <w:spacing w:before="0" w:after="0"/>
              <w:rPr>
                <w:sz w:val="6"/>
              </w:rPr>
            </w:pPr>
          </w:p>
        </w:tc>
      </w:tr>
      <w:tr w:rsidR="00791F8C" w:rsidRPr="0067507D" w14:paraId="740CA1AE" w14:textId="77777777" w:rsidTr="00C04B33">
        <w:trPr>
          <w:cantSplit/>
        </w:trPr>
        <w:tc>
          <w:tcPr>
            <w:tcW w:w="1530" w:type="dxa"/>
          </w:tcPr>
          <w:p w14:paraId="6B763AD8" w14:textId="77777777" w:rsidR="003A759B" w:rsidRPr="0067507D" w:rsidRDefault="003A759B" w:rsidP="00B436E8">
            <w:pPr>
              <w:pStyle w:val="Tabletext"/>
              <w:spacing w:before="0"/>
              <w:rPr>
                <w:rFonts w:asciiTheme="majorHAnsi" w:hAnsiTheme="majorHAnsi"/>
              </w:rPr>
            </w:pPr>
            <w:r w:rsidRPr="0067507D">
              <w:rPr>
                <w:rFonts w:asciiTheme="majorHAnsi" w:hAnsiTheme="majorHAnsi" w:cstheme="minorHAnsi"/>
              </w:rPr>
              <w:t>Age</w:t>
            </w:r>
          </w:p>
        </w:tc>
        <w:tc>
          <w:tcPr>
            <w:tcW w:w="1022" w:type="dxa"/>
            <w:shd w:val="clear" w:color="auto" w:fill="E0E0E0"/>
          </w:tcPr>
          <w:p w14:paraId="31BC5A32" w14:textId="77777777" w:rsidR="003A759B" w:rsidRPr="0067507D" w:rsidRDefault="003A759B" w:rsidP="00B436E8">
            <w:pPr>
              <w:pStyle w:val="Tabletextright"/>
              <w:spacing w:before="0"/>
              <w:rPr>
                <w:rFonts w:asciiTheme="majorHAnsi" w:hAnsiTheme="majorHAnsi"/>
              </w:rPr>
            </w:pPr>
          </w:p>
        </w:tc>
        <w:tc>
          <w:tcPr>
            <w:tcW w:w="659" w:type="dxa"/>
            <w:shd w:val="clear" w:color="auto" w:fill="E0E0E0"/>
          </w:tcPr>
          <w:p w14:paraId="21DCEF08" w14:textId="77777777" w:rsidR="003A759B" w:rsidRPr="0067507D" w:rsidRDefault="003A759B" w:rsidP="00B436E8">
            <w:pPr>
              <w:pStyle w:val="Tabletextright"/>
              <w:spacing w:before="0"/>
              <w:rPr>
                <w:rFonts w:asciiTheme="majorHAnsi" w:hAnsiTheme="majorHAnsi"/>
              </w:rPr>
            </w:pPr>
          </w:p>
        </w:tc>
        <w:tc>
          <w:tcPr>
            <w:tcW w:w="1042" w:type="dxa"/>
          </w:tcPr>
          <w:p w14:paraId="33CAC898" w14:textId="77777777" w:rsidR="003A759B" w:rsidRPr="0067507D" w:rsidRDefault="003A759B" w:rsidP="00B436E8">
            <w:pPr>
              <w:pStyle w:val="Tabletextright"/>
              <w:spacing w:before="0"/>
              <w:rPr>
                <w:rFonts w:asciiTheme="majorHAnsi" w:hAnsiTheme="majorHAnsi"/>
              </w:rPr>
            </w:pPr>
          </w:p>
        </w:tc>
        <w:tc>
          <w:tcPr>
            <w:tcW w:w="992" w:type="dxa"/>
          </w:tcPr>
          <w:p w14:paraId="057E3C06" w14:textId="77777777" w:rsidR="003A759B" w:rsidRPr="0067507D" w:rsidRDefault="003A759B" w:rsidP="00B436E8">
            <w:pPr>
              <w:pStyle w:val="Tabletextright"/>
              <w:spacing w:before="0"/>
              <w:rPr>
                <w:rFonts w:asciiTheme="majorHAnsi" w:hAnsiTheme="majorHAnsi"/>
              </w:rPr>
            </w:pPr>
          </w:p>
        </w:tc>
        <w:tc>
          <w:tcPr>
            <w:tcW w:w="702" w:type="dxa"/>
          </w:tcPr>
          <w:p w14:paraId="56D16C9F" w14:textId="77777777" w:rsidR="003A759B" w:rsidRPr="0067507D" w:rsidRDefault="003A759B" w:rsidP="00B436E8">
            <w:pPr>
              <w:pStyle w:val="Tabletextright"/>
              <w:spacing w:before="0"/>
              <w:rPr>
                <w:rFonts w:asciiTheme="majorHAnsi" w:hAnsiTheme="majorHAnsi"/>
              </w:rPr>
            </w:pPr>
          </w:p>
        </w:tc>
        <w:tc>
          <w:tcPr>
            <w:tcW w:w="999" w:type="dxa"/>
            <w:shd w:val="clear" w:color="auto" w:fill="E0E0E0"/>
          </w:tcPr>
          <w:p w14:paraId="3B4103AD" w14:textId="77777777" w:rsidR="003A759B" w:rsidRPr="0067507D" w:rsidRDefault="003A759B" w:rsidP="00B436E8">
            <w:pPr>
              <w:pStyle w:val="Tabletextright"/>
              <w:spacing w:before="0"/>
              <w:rPr>
                <w:rFonts w:asciiTheme="majorHAnsi" w:hAnsiTheme="majorHAnsi"/>
              </w:rPr>
            </w:pPr>
          </w:p>
        </w:tc>
        <w:tc>
          <w:tcPr>
            <w:tcW w:w="729" w:type="dxa"/>
            <w:shd w:val="clear" w:color="auto" w:fill="E0E0E0"/>
          </w:tcPr>
          <w:p w14:paraId="4836DD9D" w14:textId="77777777" w:rsidR="003A759B" w:rsidRPr="0067507D" w:rsidRDefault="003A759B" w:rsidP="00B436E8">
            <w:pPr>
              <w:pStyle w:val="Tabletextright"/>
              <w:spacing w:before="0"/>
              <w:rPr>
                <w:rFonts w:asciiTheme="majorHAnsi" w:hAnsiTheme="majorHAnsi"/>
              </w:rPr>
            </w:pPr>
          </w:p>
        </w:tc>
        <w:tc>
          <w:tcPr>
            <w:tcW w:w="1055" w:type="dxa"/>
            <w:noWrap/>
          </w:tcPr>
          <w:p w14:paraId="7BE09ABC" w14:textId="77777777" w:rsidR="003A759B" w:rsidRPr="0067507D" w:rsidRDefault="003A759B" w:rsidP="00B436E8">
            <w:pPr>
              <w:pStyle w:val="Tabletextright"/>
              <w:spacing w:before="0"/>
              <w:rPr>
                <w:rFonts w:asciiTheme="majorHAnsi" w:hAnsiTheme="majorHAnsi"/>
              </w:rPr>
            </w:pPr>
          </w:p>
        </w:tc>
        <w:tc>
          <w:tcPr>
            <w:tcW w:w="673" w:type="dxa"/>
          </w:tcPr>
          <w:p w14:paraId="729D222B" w14:textId="77777777" w:rsidR="003A759B" w:rsidRPr="0067507D" w:rsidRDefault="003A759B" w:rsidP="00B436E8">
            <w:pPr>
              <w:pStyle w:val="Tabletextright"/>
              <w:spacing w:before="0"/>
              <w:rPr>
                <w:rFonts w:asciiTheme="majorHAnsi" w:hAnsiTheme="majorHAnsi"/>
              </w:rPr>
            </w:pPr>
          </w:p>
        </w:tc>
        <w:tc>
          <w:tcPr>
            <w:tcW w:w="1087" w:type="dxa"/>
            <w:shd w:val="clear" w:color="auto" w:fill="E0E0E0"/>
            <w:noWrap/>
          </w:tcPr>
          <w:p w14:paraId="1134BFD7" w14:textId="77777777" w:rsidR="003A759B" w:rsidRPr="0067507D" w:rsidRDefault="003A759B" w:rsidP="00B436E8">
            <w:pPr>
              <w:pStyle w:val="Tabletextright"/>
              <w:spacing w:before="0"/>
              <w:rPr>
                <w:rFonts w:asciiTheme="majorHAnsi" w:hAnsiTheme="majorHAnsi"/>
              </w:rPr>
            </w:pPr>
          </w:p>
        </w:tc>
        <w:tc>
          <w:tcPr>
            <w:tcW w:w="992" w:type="dxa"/>
            <w:shd w:val="clear" w:color="auto" w:fill="E0E0E0"/>
          </w:tcPr>
          <w:p w14:paraId="2FB04418" w14:textId="77777777" w:rsidR="003A759B" w:rsidRPr="0067507D" w:rsidRDefault="003A759B" w:rsidP="00B436E8">
            <w:pPr>
              <w:pStyle w:val="Tabletextright"/>
              <w:spacing w:before="0"/>
              <w:rPr>
                <w:rFonts w:asciiTheme="majorHAnsi" w:hAnsiTheme="majorHAnsi"/>
              </w:rPr>
            </w:pPr>
          </w:p>
        </w:tc>
        <w:tc>
          <w:tcPr>
            <w:tcW w:w="657" w:type="dxa"/>
            <w:shd w:val="clear" w:color="auto" w:fill="E0E0E0"/>
          </w:tcPr>
          <w:p w14:paraId="18310DE9" w14:textId="77777777" w:rsidR="003A759B" w:rsidRPr="0067507D" w:rsidRDefault="003A759B" w:rsidP="00B436E8">
            <w:pPr>
              <w:pStyle w:val="Tabletextright"/>
              <w:spacing w:before="0"/>
              <w:rPr>
                <w:rFonts w:asciiTheme="majorHAnsi" w:hAnsiTheme="majorHAnsi"/>
              </w:rPr>
            </w:pPr>
          </w:p>
        </w:tc>
        <w:tc>
          <w:tcPr>
            <w:tcW w:w="1044" w:type="dxa"/>
          </w:tcPr>
          <w:p w14:paraId="2CEF582C" w14:textId="77777777" w:rsidR="003A759B" w:rsidRPr="0067507D" w:rsidRDefault="003A759B" w:rsidP="00B436E8">
            <w:pPr>
              <w:pStyle w:val="Tabletextright"/>
              <w:spacing w:before="0"/>
              <w:rPr>
                <w:rFonts w:asciiTheme="majorHAnsi" w:hAnsiTheme="majorHAnsi"/>
              </w:rPr>
            </w:pPr>
          </w:p>
        </w:tc>
        <w:tc>
          <w:tcPr>
            <w:tcW w:w="684" w:type="dxa"/>
          </w:tcPr>
          <w:p w14:paraId="7516501F" w14:textId="77777777" w:rsidR="003A759B" w:rsidRPr="0067507D" w:rsidRDefault="003A759B" w:rsidP="00B436E8">
            <w:pPr>
              <w:pStyle w:val="Tabletextright"/>
              <w:spacing w:before="0"/>
              <w:rPr>
                <w:rFonts w:asciiTheme="majorHAnsi" w:hAnsiTheme="majorHAnsi"/>
              </w:rPr>
            </w:pPr>
          </w:p>
        </w:tc>
      </w:tr>
      <w:tr w:rsidR="00791F8C" w:rsidRPr="0067507D" w14:paraId="0AA91FC6" w14:textId="77777777" w:rsidTr="00C04B33">
        <w:trPr>
          <w:cantSplit/>
        </w:trPr>
        <w:tc>
          <w:tcPr>
            <w:tcW w:w="1530" w:type="dxa"/>
          </w:tcPr>
          <w:p w14:paraId="23A38A1F" w14:textId="77777777" w:rsidR="003A759B" w:rsidRPr="0067507D" w:rsidRDefault="003A759B" w:rsidP="000E7982">
            <w:pPr>
              <w:pStyle w:val="Tabletext"/>
              <w:spacing w:before="15" w:after="15"/>
            </w:pPr>
            <w:r w:rsidRPr="0067507D">
              <w:rPr>
                <w:rFonts w:cstheme="minorHAnsi"/>
              </w:rPr>
              <w:t>15–24</w:t>
            </w:r>
          </w:p>
        </w:tc>
        <w:tc>
          <w:tcPr>
            <w:tcW w:w="1022" w:type="dxa"/>
            <w:shd w:val="clear" w:color="auto" w:fill="E0E0E0"/>
          </w:tcPr>
          <w:p w14:paraId="53F68F1E" w14:textId="49465BA4" w:rsidR="003A759B" w:rsidRPr="0067507D" w:rsidRDefault="0040015E" w:rsidP="000E7982">
            <w:pPr>
              <w:pStyle w:val="Tabletextright"/>
              <w:spacing w:before="15" w:after="15"/>
            </w:pPr>
            <w:r w:rsidRPr="0067507D">
              <w:t>28</w:t>
            </w:r>
          </w:p>
        </w:tc>
        <w:tc>
          <w:tcPr>
            <w:tcW w:w="659" w:type="dxa"/>
            <w:shd w:val="clear" w:color="auto" w:fill="E0E0E0"/>
          </w:tcPr>
          <w:p w14:paraId="34DD5328" w14:textId="65BA163F" w:rsidR="003A759B" w:rsidRPr="0067507D" w:rsidRDefault="0040015E" w:rsidP="000E7982">
            <w:pPr>
              <w:pStyle w:val="Tabletextright"/>
              <w:spacing w:before="15" w:after="15"/>
            </w:pPr>
            <w:r w:rsidRPr="0067507D">
              <w:t>28</w:t>
            </w:r>
          </w:p>
        </w:tc>
        <w:tc>
          <w:tcPr>
            <w:tcW w:w="1042" w:type="dxa"/>
          </w:tcPr>
          <w:p w14:paraId="29CBF688" w14:textId="6F31BB3C" w:rsidR="003A759B" w:rsidRPr="0067507D" w:rsidRDefault="0040015E" w:rsidP="000E7982">
            <w:pPr>
              <w:pStyle w:val="Tabletextright"/>
              <w:spacing w:before="15" w:after="15"/>
            </w:pPr>
            <w:r w:rsidRPr="0067507D">
              <w:t>23</w:t>
            </w:r>
          </w:p>
        </w:tc>
        <w:tc>
          <w:tcPr>
            <w:tcW w:w="992" w:type="dxa"/>
          </w:tcPr>
          <w:p w14:paraId="10BD8072" w14:textId="403AA65A" w:rsidR="003A759B" w:rsidRPr="0067507D" w:rsidRDefault="0040015E" w:rsidP="000E7982">
            <w:pPr>
              <w:pStyle w:val="Tabletextright"/>
              <w:spacing w:before="15" w:after="15"/>
            </w:pPr>
            <w:r w:rsidRPr="0067507D">
              <w:t>1</w:t>
            </w:r>
          </w:p>
        </w:tc>
        <w:tc>
          <w:tcPr>
            <w:tcW w:w="702" w:type="dxa"/>
          </w:tcPr>
          <w:p w14:paraId="50F5625D" w14:textId="6E4AED62" w:rsidR="003A759B" w:rsidRPr="0067507D" w:rsidRDefault="0040015E" w:rsidP="000E7982">
            <w:pPr>
              <w:pStyle w:val="Tabletextright"/>
              <w:spacing w:before="15" w:after="15"/>
            </w:pPr>
            <w:r w:rsidRPr="0067507D">
              <w:t>24</w:t>
            </w:r>
          </w:p>
        </w:tc>
        <w:tc>
          <w:tcPr>
            <w:tcW w:w="999" w:type="dxa"/>
            <w:shd w:val="clear" w:color="auto" w:fill="E0E0E0"/>
          </w:tcPr>
          <w:p w14:paraId="70CB7887" w14:textId="4A411858" w:rsidR="003A759B" w:rsidRPr="0067507D" w:rsidRDefault="0040015E" w:rsidP="000E7982">
            <w:pPr>
              <w:pStyle w:val="Tabletextright"/>
              <w:spacing w:before="15" w:after="15"/>
            </w:pPr>
            <w:r w:rsidRPr="0067507D">
              <w:t>4</w:t>
            </w:r>
          </w:p>
        </w:tc>
        <w:tc>
          <w:tcPr>
            <w:tcW w:w="729" w:type="dxa"/>
            <w:shd w:val="clear" w:color="auto" w:fill="E0E0E0"/>
          </w:tcPr>
          <w:p w14:paraId="48DBBEB7" w14:textId="12E529BB" w:rsidR="003A759B" w:rsidRPr="0067507D" w:rsidRDefault="0040015E" w:rsidP="000E7982">
            <w:pPr>
              <w:pStyle w:val="Tabletextright"/>
              <w:spacing w:before="15" w:after="15"/>
            </w:pPr>
            <w:r w:rsidRPr="0067507D">
              <w:t>4</w:t>
            </w:r>
          </w:p>
        </w:tc>
        <w:tc>
          <w:tcPr>
            <w:tcW w:w="1055" w:type="dxa"/>
            <w:noWrap/>
          </w:tcPr>
          <w:p w14:paraId="31304D12" w14:textId="2161CA61" w:rsidR="003A759B" w:rsidRPr="0067507D" w:rsidRDefault="00F61F1D" w:rsidP="000E7982">
            <w:pPr>
              <w:pStyle w:val="Tabletextright"/>
              <w:spacing w:before="15" w:after="15"/>
            </w:pPr>
            <w:r w:rsidRPr="0067507D">
              <w:t>36</w:t>
            </w:r>
          </w:p>
        </w:tc>
        <w:tc>
          <w:tcPr>
            <w:tcW w:w="673" w:type="dxa"/>
          </w:tcPr>
          <w:p w14:paraId="2509762B" w14:textId="1DB91A53" w:rsidR="003A759B" w:rsidRPr="0067507D" w:rsidRDefault="00F61F1D" w:rsidP="000E7982">
            <w:pPr>
              <w:pStyle w:val="Tabletextright"/>
              <w:spacing w:before="15" w:after="15"/>
            </w:pPr>
            <w:r w:rsidRPr="0067507D">
              <w:t>36</w:t>
            </w:r>
          </w:p>
        </w:tc>
        <w:tc>
          <w:tcPr>
            <w:tcW w:w="1087" w:type="dxa"/>
            <w:shd w:val="clear" w:color="auto" w:fill="E0E0E0"/>
            <w:noWrap/>
          </w:tcPr>
          <w:p w14:paraId="77072629" w14:textId="17BD1C96" w:rsidR="003A759B" w:rsidRPr="0067507D" w:rsidRDefault="00F61F1D" w:rsidP="000E7982">
            <w:pPr>
              <w:pStyle w:val="Tabletextright"/>
              <w:spacing w:before="15" w:after="15"/>
            </w:pPr>
            <w:r w:rsidRPr="0067507D">
              <w:t>24</w:t>
            </w:r>
          </w:p>
        </w:tc>
        <w:tc>
          <w:tcPr>
            <w:tcW w:w="992" w:type="dxa"/>
            <w:shd w:val="clear" w:color="auto" w:fill="E0E0E0"/>
          </w:tcPr>
          <w:p w14:paraId="684FEB3A" w14:textId="4CFE7325" w:rsidR="003A759B" w:rsidRPr="0067507D" w:rsidRDefault="00F61F1D" w:rsidP="000E7982">
            <w:pPr>
              <w:pStyle w:val="Tabletextright"/>
              <w:spacing w:before="15" w:after="15"/>
            </w:pPr>
            <w:r w:rsidRPr="0067507D">
              <w:t>–</w:t>
            </w:r>
          </w:p>
        </w:tc>
        <w:tc>
          <w:tcPr>
            <w:tcW w:w="657" w:type="dxa"/>
            <w:shd w:val="clear" w:color="auto" w:fill="E0E0E0"/>
          </w:tcPr>
          <w:p w14:paraId="5D00057B" w14:textId="466843DB" w:rsidR="003A759B" w:rsidRPr="0067507D" w:rsidRDefault="00F61F1D" w:rsidP="000E7982">
            <w:pPr>
              <w:pStyle w:val="Tabletextright"/>
              <w:spacing w:before="15" w:after="15"/>
            </w:pPr>
            <w:r w:rsidRPr="0067507D">
              <w:t>24</w:t>
            </w:r>
          </w:p>
        </w:tc>
        <w:tc>
          <w:tcPr>
            <w:tcW w:w="1044" w:type="dxa"/>
          </w:tcPr>
          <w:p w14:paraId="64DF31B9" w14:textId="00493627" w:rsidR="003A759B" w:rsidRPr="0067507D" w:rsidRDefault="00F61F1D" w:rsidP="000E7982">
            <w:pPr>
              <w:pStyle w:val="Tabletextright"/>
              <w:spacing w:before="15" w:after="15"/>
            </w:pPr>
            <w:r w:rsidRPr="0067507D">
              <w:t>12</w:t>
            </w:r>
          </w:p>
        </w:tc>
        <w:tc>
          <w:tcPr>
            <w:tcW w:w="684" w:type="dxa"/>
          </w:tcPr>
          <w:p w14:paraId="61837194" w14:textId="42D7855D" w:rsidR="003A759B" w:rsidRPr="0067507D" w:rsidRDefault="00F61F1D" w:rsidP="000E7982">
            <w:pPr>
              <w:pStyle w:val="Tabletextright"/>
              <w:spacing w:before="15" w:after="15"/>
            </w:pPr>
            <w:r w:rsidRPr="0067507D">
              <w:t>12</w:t>
            </w:r>
          </w:p>
        </w:tc>
      </w:tr>
      <w:tr w:rsidR="00791F8C" w:rsidRPr="0067507D" w14:paraId="76AA2715" w14:textId="77777777" w:rsidTr="00C04B33">
        <w:trPr>
          <w:cantSplit/>
        </w:trPr>
        <w:tc>
          <w:tcPr>
            <w:tcW w:w="1530" w:type="dxa"/>
          </w:tcPr>
          <w:p w14:paraId="15349CB7" w14:textId="52801D2B" w:rsidR="003A759B" w:rsidRPr="0067507D" w:rsidRDefault="003A759B" w:rsidP="000E7982">
            <w:pPr>
              <w:pStyle w:val="Tabletext"/>
              <w:spacing w:before="15" w:after="15"/>
            </w:pPr>
            <w:r w:rsidRPr="0067507D">
              <w:rPr>
                <w:rFonts w:cstheme="minorBidi"/>
              </w:rPr>
              <w:t>25</w:t>
            </w:r>
            <w:r w:rsidR="003A26E6" w:rsidRPr="0067507D">
              <w:rPr>
                <w:rFonts w:cstheme="minorHAnsi"/>
              </w:rPr>
              <w:t>–</w:t>
            </w:r>
            <w:r w:rsidRPr="0067507D">
              <w:rPr>
                <w:rFonts w:cstheme="minorBidi"/>
              </w:rPr>
              <w:t>34</w:t>
            </w:r>
          </w:p>
        </w:tc>
        <w:tc>
          <w:tcPr>
            <w:tcW w:w="1022" w:type="dxa"/>
            <w:shd w:val="clear" w:color="auto" w:fill="E0E0E0"/>
          </w:tcPr>
          <w:p w14:paraId="1E6CCB49" w14:textId="413764AF" w:rsidR="003A759B" w:rsidRPr="0067507D" w:rsidRDefault="0040015E" w:rsidP="000E7982">
            <w:pPr>
              <w:pStyle w:val="Tabletextright"/>
              <w:spacing w:before="15" w:after="15"/>
            </w:pPr>
            <w:r w:rsidRPr="0067507D">
              <w:t>253</w:t>
            </w:r>
          </w:p>
        </w:tc>
        <w:tc>
          <w:tcPr>
            <w:tcW w:w="659" w:type="dxa"/>
            <w:shd w:val="clear" w:color="auto" w:fill="E0E0E0"/>
          </w:tcPr>
          <w:p w14:paraId="4EBF68D7" w14:textId="7AFC18F8" w:rsidR="003A759B" w:rsidRPr="0067507D" w:rsidRDefault="0040015E" w:rsidP="000E7982">
            <w:pPr>
              <w:pStyle w:val="Tabletextright"/>
              <w:spacing w:before="15" w:after="15"/>
            </w:pPr>
            <w:r w:rsidRPr="0067507D">
              <w:t>248</w:t>
            </w:r>
          </w:p>
        </w:tc>
        <w:tc>
          <w:tcPr>
            <w:tcW w:w="1042" w:type="dxa"/>
          </w:tcPr>
          <w:p w14:paraId="2025D839" w14:textId="033D1A7B" w:rsidR="003A759B" w:rsidRPr="0067507D" w:rsidRDefault="0040015E" w:rsidP="000E7982">
            <w:pPr>
              <w:pStyle w:val="Tabletextright"/>
              <w:spacing w:before="15" w:after="15"/>
            </w:pPr>
            <w:r w:rsidRPr="0067507D">
              <w:t>220</w:t>
            </w:r>
          </w:p>
        </w:tc>
        <w:tc>
          <w:tcPr>
            <w:tcW w:w="992" w:type="dxa"/>
          </w:tcPr>
          <w:p w14:paraId="66E4CD8F" w14:textId="23F27F8B" w:rsidR="003A759B" w:rsidRPr="0067507D" w:rsidRDefault="0040015E" w:rsidP="000E7982">
            <w:pPr>
              <w:pStyle w:val="Tabletextright"/>
              <w:spacing w:before="15" w:after="15"/>
            </w:pPr>
            <w:r w:rsidRPr="0067507D">
              <w:t>15</w:t>
            </w:r>
          </w:p>
        </w:tc>
        <w:tc>
          <w:tcPr>
            <w:tcW w:w="702" w:type="dxa"/>
          </w:tcPr>
          <w:p w14:paraId="72AED265" w14:textId="735C1B13" w:rsidR="003A759B" w:rsidRPr="0067507D" w:rsidRDefault="0040015E" w:rsidP="000E7982">
            <w:pPr>
              <w:pStyle w:val="Tabletextright"/>
              <w:spacing w:before="15" w:after="15"/>
            </w:pPr>
            <w:r w:rsidRPr="0067507D">
              <w:t>231</w:t>
            </w:r>
          </w:p>
        </w:tc>
        <w:tc>
          <w:tcPr>
            <w:tcW w:w="999" w:type="dxa"/>
            <w:shd w:val="clear" w:color="auto" w:fill="E0E0E0"/>
          </w:tcPr>
          <w:p w14:paraId="37CA58AA" w14:textId="7F3B08BA" w:rsidR="003A759B" w:rsidRPr="0067507D" w:rsidRDefault="0040015E" w:rsidP="000E7982">
            <w:pPr>
              <w:pStyle w:val="Tabletextright"/>
              <w:spacing w:before="15" w:after="15"/>
            </w:pPr>
            <w:r w:rsidRPr="0067507D">
              <w:t>18</w:t>
            </w:r>
          </w:p>
        </w:tc>
        <w:tc>
          <w:tcPr>
            <w:tcW w:w="729" w:type="dxa"/>
            <w:shd w:val="clear" w:color="auto" w:fill="E0E0E0"/>
          </w:tcPr>
          <w:p w14:paraId="68B841DB" w14:textId="7E9ACF03" w:rsidR="003A759B" w:rsidRPr="0067507D" w:rsidRDefault="0040015E" w:rsidP="000E7982">
            <w:pPr>
              <w:pStyle w:val="Tabletextright"/>
              <w:spacing w:before="15" w:after="15"/>
            </w:pPr>
            <w:r w:rsidRPr="0067507D">
              <w:t>17</w:t>
            </w:r>
          </w:p>
        </w:tc>
        <w:tc>
          <w:tcPr>
            <w:tcW w:w="1055" w:type="dxa"/>
            <w:noWrap/>
          </w:tcPr>
          <w:p w14:paraId="7FC34F10" w14:textId="1146FEC1" w:rsidR="003A759B" w:rsidRPr="0067507D" w:rsidRDefault="00F61F1D" w:rsidP="000E7982">
            <w:pPr>
              <w:pStyle w:val="Tabletextright"/>
              <w:spacing w:before="15" w:after="15"/>
            </w:pPr>
            <w:r w:rsidRPr="0067507D">
              <w:t>238</w:t>
            </w:r>
          </w:p>
        </w:tc>
        <w:tc>
          <w:tcPr>
            <w:tcW w:w="673" w:type="dxa"/>
          </w:tcPr>
          <w:p w14:paraId="02BD1738" w14:textId="21ACD436" w:rsidR="003A759B" w:rsidRPr="0067507D" w:rsidRDefault="00F61F1D" w:rsidP="000E7982">
            <w:pPr>
              <w:pStyle w:val="Tabletextright"/>
              <w:spacing w:before="15" w:after="15"/>
            </w:pPr>
            <w:r w:rsidRPr="0067507D">
              <w:t>232</w:t>
            </w:r>
          </w:p>
        </w:tc>
        <w:tc>
          <w:tcPr>
            <w:tcW w:w="1087" w:type="dxa"/>
            <w:shd w:val="clear" w:color="auto" w:fill="E0E0E0"/>
            <w:noWrap/>
          </w:tcPr>
          <w:p w14:paraId="2B30834E" w14:textId="41D62543" w:rsidR="003A759B" w:rsidRPr="0067507D" w:rsidRDefault="00F61F1D" w:rsidP="000E7982">
            <w:pPr>
              <w:pStyle w:val="Tabletextright"/>
              <w:spacing w:before="15" w:after="15"/>
            </w:pPr>
            <w:r w:rsidRPr="0067507D">
              <w:t>188</w:t>
            </w:r>
          </w:p>
        </w:tc>
        <w:tc>
          <w:tcPr>
            <w:tcW w:w="992" w:type="dxa"/>
            <w:shd w:val="clear" w:color="auto" w:fill="E0E0E0"/>
          </w:tcPr>
          <w:p w14:paraId="7F2A1782" w14:textId="3FCCFF12" w:rsidR="003A759B" w:rsidRPr="0067507D" w:rsidRDefault="00F61F1D" w:rsidP="000E7982">
            <w:pPr>
              <w:pStyle w:val="Tabletextright"/>
              <w:spacing w:before="15" w:after="15"/>
            </w:pPr>
            <w:r w:rsidRPr="0067507D">
              <w:t>18</w:t>
            </w:r>
          </w:p>
        </w:tc>
        <w:tc>
          <w:tcPr>
            <w:tcW w:w="657" w:type="dxa"/>
            <w:shd w:val="clear" w:color="auto" w:fill="E0E0E0"/>
          </w:tcPr>
          <w:p w14:paraId="0CD4D4B5" w14:textId="6E8FBB9E" w:rsidR="003A759B" w:rsidRPr="0067507D" w:rsidRDefault="00F61F1D" w:rsidP="000E7982">
            <w:pPr>
              <w:pStyle w:val="Tabletextright"/>
              <w:spacing w:before="15" w:after="15"/>
            </w:pPr>
            <w:r w:rsidRPr="0067507D">
              <w:t>201</w:t>
            </w:r>
          </w:p>
        </w:tc>
        <w:tc>
          <w:tcPr>
            <w:tcW w:w="1044" w:type="dxa"/>
          </w:tcPr>
          <w:p w14:paraId="5BF0EE9B" w14:textId="5675BB13" w:rsidR="003A759B" w:rsidRPr="0067507D" w:rsidRDefault="00F61F1D" w:rsidP="000E7982">
            <w:pPr>
              <w:pStyle w:val="Tabletextright"/>
              <w:spacing w:before="15" w:after="15"/>
            </w:pPr>
            <w:r w:rsidRPr="0067507D">
              <w:t>32</w:t>
            </w:r>
          </w:p>
        </w:tc>
        <w:tc>
          <w:tcPr>
            <w:tcW w:w="684" w:type="dxa"/>
          </w:tcPr>
          <w:p w14:paraId="44FE9BC1" w14:textId="19E9C39E" w:rsidR="003A759B" w:rsidRPr="0067507D" w:rsidRDefault="00F61F1D" w:rsidP="000E7982">
            <w:pPr>
              <w:pStyle w:val="Tabletextright"/>
              <w:spacing w:before="15" w:after="15"/>
            </w:pPr>
            <w:r w:rsidRPr="0067507D">
              <w:t>31</w:t>
            </w:r>
          </w:p>
        </w:tc>
      </w:tr>
      <w:tr w:rsidR="00791F8C" w:rsidRPr="0067507D" w14:paraId="036C6E7A" w14:textId="77777777" w:rsidTr="00C04B33">
        <w:trPr>
          <w:cantSplit/>
        </w:trPr>
        <w:tc>
          <w:tcPr>
            <w:tcW w:w="1530" w:type="dxa"/>
          </w:tcPr>
          <w:p w14:paraId="78AA4703" w14:textId="37C0A315" w:rsidR="003A759B" w:rsidRPr="0067507D" w:rsidRDefault="003A759B" w:rsidP="000E7982">
            <w:pPr>
              <w:pStyle w:val="Tabletext"/>
              <w:spacing w:before="15" w:after="15"/>
            </w:pPr>
            <w:r w:rsidRPr="0067507D">
              <w:rPr>
                <w:rFonts w:cstheme="minorBidi"/>
              </w:rPr>
              <w:t>35</w:t>
            </w:r>
            <w:r w:rsidR="003A26E6" w:rsidRPr="0067507D">
              <w:rPr>
                <w:rFonts w:cstheme="minorHAnsi"/>
              </w:rPr>
              <w:t>–</w:t>
            </w:r>
            <w:r w:rsidRPr="0067507D">
              <w:rPr>
                <w:rFonts w:cstheme="minorBidi"/>
              </w:rPr>
              <w:t>44</w:t>
            </w:r>
          </w:p>
        </w:tc>
        <w:tc>
          <w:tcPr>
            <w:tcW w:w="1022" w:type="dxa"/>
            <w:shd w:val="clear" w:color="auto" w:fill="E0E0E0"/>
          </w:tcPr>
          <w:p w14:paraId="37733DFE" w14:textId="48431CC1" w:rsidR="003A759B" w:rsidRPr="0067507D" w:rsidRDefault="0040015E" w:rsidP="000E7982">
            <w:pPr>
              <w:pStyle w:val="Tabletextright"/>
              <w:spacing w:before="15" w:after="15"/>
            </w:pPr>
            <w:r w:rsidRPr="0067507D">
              <w:t>262</w:t>
            </w:r>
          </w:p>
        </w:tc>
        <w:tc>
          <w:tcPr>
            <w:tcW w:w="659" w:type="dxa"/>
            <w:shd w:val="clear" w:color="auto" w:fill="E0E0E0"/>
          </w:tcPr>
          <w:p w14:paraId="5B1E1582" w14:textId="587A7500" w:rsidR="003A759B" w:rsidRPr="0067507D" w:rsidRDefault="0040015E" w:rsidP="000E7982">
            <w:pPr>
              <w:pStyle w:val="Tabletextright"/>
              <w:spacing w:before="15" w:after="15"/>
            </w:pPr>
            <w:r w:rsidRPr="0067507D">
              <w:t>248</w:t>
            </w:r>
          </w:p>
        </w:tc>
        <w:tc>
          <w:tcPr>
            <w:tcW w:w="1042" w:type="dxa"/>
          </w:tcPr>
          <w:p w14:paraId="2C2C0D12" w14:textId="06B0CC73" w:rsidR="003A759B" w:rsidRPr="0067507D" w:rsidRDefault="0040015E" w:rsidP="000E7982">
            <w:pPr>
              <w:pStyle w:val="Tabletextright"/>
              <w:spacing w:before="15" w:after="15"/>
            </w:pPr>
            <w:r w:rsidRPr="0067507D">
              <w:t>214</w:t>
            </w:r>
          </w:p>
        </w:tc>
        <w:tc>
          <w:tcPr>
            <w:tcW w:w="992" w:type="dxa"/>
          </w:tcPr>
          <w:p w14:paraId="30FE3425" w14:textId="5FF9A403" w:rsidR="003A759B" w:rsidRPr="0067507D" w:rsidRDefault="0040015E" w:rsidP="000E7982">
            <w:pPr>
              <w:pStyle w:val="Tabletextright"/>
              <w:spacing w:before="15" w:after="15"/>
            </w:pPr>
            <w:r w:rsidRPr="0067507D">
              <w:t>44</w:t>
            </w:r>
          </w:p>
        </w:tc>
        <w:tc>
          <w:tcPr>
            <w:tcW w:w="702" w:type="dxa"/>
          </w:tcPr>
          <w:p w14:paraId="232349A8" w14:textId="6D9699CD" w:rsidR="003A759B" w:rsidRPr="0067507D" w:rsidRDefault="0040015E" w:rsidP="000E7982">
            <w:pPr>
              <w:pStyle w:val="Tabletextright"/>
              <w:spacing w:before="15" w:after="15"/>
            </w:pPr>
            <w:r w:rsidRPr="0067507D">
              <w:t>244</w:t>
            </w:r>
          </w:p>
        </w:tc>
        <w:tc>
          <w:tcPr>
            <w:tcW w:w="999" w:type="dxa"/>
            <w:shd w:val="clear" w:color="auto" w:fill="E0E0E0"/>
          </w:tcPr>
          <w:p w14:paraId="1BCD802F" w14:textId="58DC33F9" w:rsidR="003A759B" w:rsidRPr="0067507D" w:rsidRDefault="0040015E" w:rsidP="000E7982">
            <w:pPr>
              <w:pStyle w:val="Tabletextright"/>
              <w:spacing w:before="15" w:after="15"/>
            </w:pPr>
            <w:r w:rsidRPr="0067507D">
              <w:t>4</w:t>
            </w:r>
          </w:p>
        </w:tc>
        <w:tc>
          <w:tcPr>
            <w:tcW w:w="729" w:type="dxa"/>
            <w:shd w:val="clear" w:color="auto" w:fill="E0E0E0"/>
          </w:tcPr>
          <w:p w14:paraId="35BB4FDC" w14:textId="5307178C" w:rsidR="003A759B" w:rsidRPr="0067507D" w:rsidRDefault="0040015E" w:rsidP="000E7982">
            <w:pPr>
              <w:pStyle w:val="Tabletextright"/>
              <w:spacing w:before="15" w:after="15"/>
            </w:pPr>
            <w:r w:rsidRPr="0067507D">
              <w:t>4</w:t>
            </w:r>
          </w:p>
        </w:tc>
        <w:tc>
          <w:tcPr>
            <w:tcW w:w="1055" w:type="dxa"/>
            <w:noWrap/>
          </w:tcPr>
          <w:p w14:paraId="6DF37B05" w14:textId="11E012EB" w:rsidR="003A759B" w:rsidRPr="0067507D" w:rsidRDefault="00F61F1D" w:rsidP="000E7982">
            <w:pPr>
              <w:pStyle w:val="Tabletextright"/>
              <w:spacing w:before="15" w:after="15"/>
            </w:pPr>
            <w:r w:rsidRPr="0067507D">
              <w:t>251</w:t>
            </w:r>
          </w:p>
        </w:tc>
        <w:tc>
          <w:tcPr>
            <w:tcW w:w="673" w:type="dxa"/>
          </w:tcPr>
          <w:p w14:paraId="30C34F53" w14:textId="7C9D9998" w:rsidR="003A759B" w:rsidRPr="0067507D" w:rsidRDefault="00F61F1D" w:rsidP="000E7982">
            <w:pPr>
              <w:pStyle w:val="Tabletextright"/>
              <w:spacing w:before="15" w:after="15"/>
            </w:pPr>
            <w:r w:rsidRPr="0067507D">
              <w:t>239</w:t>
            </w:r>
          </w:p>
        </w:tc>
        <w:tc>
          <w:tcPr>
            <w:tcW w:w="1087" w:type="dxa"/>
            <w:shd w:val="clear" w:color="auto" w:fill="E0E0E0"/>
            <w:noWrap/>
          </w:tcPr>
          <w:p w14:paraId="4FC6FB31" w14:textId="20B43D43" w:rsidR="003A759B" w:rsidRPr="0067507D" w:rsidRDefault="00F61F1D" w:rsidP="000E7982">
            <w:pPr>
              <w:pStyle w:val="Tabletextright"/>
              <w:spacing w:before="15" w:after="15"/>
            </w:pPr>
            <w:r w:rsidRPr="0067507D">
              <w:t>205</w:t>
            </w:r>
          </w:p>
        </w:tc>
        <w:tc>
          <w:tcPr>
            <w:tcW w:w="992" w:type="dxa"/>
            <w:shd w:val="clear" w:color="auto" w:fill="E0E0E0"/>
          </w:tcPr>
          <w:p w14:paraId="1F9F710D" w14:textId="13FB523F" w:rsidR="003A759B" w:rsidRPr="0067507D" w:rsidRDefault="00F61F1D" w:rsidP="000E7982">
            <w:pPr>
              <w:pStyle w:val="Tabletextright"/>
              <w:spacing w:before="15" w:after="15"/>
            </w:pPr>
            <w:r w:rsidRPr="0067507D">
              <w:t>39</w:t>
            </w:r>
          </w:p>
        </w:tc>
        <w:tc>
          <w:tcPr>
            <w:tcW w:w="657" w:type="dxa"/>
            <w:shd w:val="clear" w:color="auto" w:fill="E0E0E0"/>
          </w:tcPr>
          <w:p w14:paraId="42C0C8EE" w14:textId="286074AC" w:rsidR="003A759B" w:rsidRPr="0067507D" w:rsidRDefault="00F61F1D" w:rsidP="000E7982">
            <w:pPr>
              <w:pStyle w:val="Tabletextright"/>
              <w:spacing w:before="15" w:after="15"/>
            </w:pPr>
            <w:r w:rsidRPr="0067507D">
              <w:t>232</w:t>
            </w:r>
          </w:p>
        </w:tc>
        <w:tc>
          <w:tcPr>
            <w:tcW w:w="1044" w:type="dxa"/>
          </w:tcPr>
          <w:p w14:paraId="78E917B1" w14:textId="2407D1F6" w:rsidR="003A759B" w:rsidRPr="0067507D" w:rsidRDefault="00F61F1D" w:rsidP="000E7982">
            <w:pPr>
              <w:pStyle w:val="Tabletextright"/>
              <w:spacing w:before="15" w:after="15"/>
            </w:pPr>
            <w:r w:rsidRPr="0067507D">
              <w:t>7</w:t>
            </w:r>
          </w:p>
        </w:tc>
        <w:tc>
          <w:tcPr>
            <w:tcW w:w="684" w:type="dxa"/>
          </w:tcPr>
          <w:p w14:paraId="213EDB36" w14:textId="5B653AEF" w:rsidR="003A759B" w:rsidRPr="0067507D" w:rsidRDefault="00F61F1D" w:rsidP="000E7982">
            <w:pPr>
              <w:pStyle w:val="Tabletextright"/>
              <w:spacing w:before="15" w:after="15"/>
            </w:pPr>
            <w:r w:rsidRPr="0067507D">
              <w:t>7</w:t>
            </w:r>
          </w:p>
        </w:tc>
      </w:tr>
      <w:tr w:rsidR="00791F8C" w:rsidRPr="0067507D" w14:paraId="5CB4C6F9" w14:textId="77777777" w:rsidTr="00C04B33">
        <w:trPr>
          <w:cantSplit/>
        </w:trPr>
        <w:tc>
          <w:tcPr>
            <w:tcW w:w="1530" w:type="dxa"/>
          </w:tcPr>
          <w:p w14:paraId="71D6F936" w14:textId="6D162013" w:rsidR="003A759B" w:rsidRPr="0067507D" w:rsidRDefault="003A759B" w:rsidP="000E7982">
            <w:pPr>
              <w:pStyle w:val="Tabletext"/>
              <w:spacing w:before="15" w:after="15"/>
            </w:pPr>
            <w:r w:rsidRPr="0067507D">
              <w:rPr>
                <w:rFonts w:cstheme="minorBidi"/>
              </w:rPr>
              <w:t>45</w:t>
            </w:r>
            <w:r w:rsidR="003A26E6" w:rsidRPr="0067507D">
              <w:rPr>
                <w:rFonts w:cstheme="minorHAnsi"/>
              </w:rPr>
              <w:t>–</w:t>
            </w:r>
            <w:r w:rsidRPr="0067507D">
              <w:rPr>
                <w:rFonts w:cstheme="minorBidi"/>
              </w:rPr>
              <w:t>54</w:t>
            </w:r>
          </w:p>
        </w:tc>
        <w:tc>
          <w:tcPr>
            <w:tcW w:w="1022" w:type="dxa"/>
            <w:shd w:val="clear" w:color="auto" w:fill="E0E0E0"/>
          </w:tcPr>
          <w:p w14:paraId="5F2383FA" w14:textId="7B312259" w:rsidR="003A759B" w:rsidRPr="0067507D" w:rsidRDefault="0040015E" w:rsidP="000E7982">
            <w:pPr>
              <w:pStyle w:val="Tabletextright"/>
              <w:spacing w:before="15" w:after="15"/>
            </w:pPr>
            <w:r w:rsidRPr="0067507D">
              <w:t>236</w:t>
            </w:r>
          </w:p>
        </w:tc>
        <w:tc>
          <w:tcPr>
            <w:tcW w:w="659" w:type="dxa"/>
            <w:shd w:val="clear" w:color="auto" w:fill="E0E0E0"/>
          </w:tcPr>
          <w:p w14:paraId="708AF54B" w14:textId="3724CBF9" w:rsidR="003A759B" w:rsidRPr="0067507D" w:rsidRDefault="0040015E" w:rsidP="000E7982">
            <w:pPr>
              <w:pStyle w:val="Tabletextright"/>
              <w:spacing w:before="15" w:after="15"/>
            </w:pPr>
            <w:r w:rsidRPr="0067507D">
              <w:t>227</w:t>
            </w:r>
          </w:p>
        </w:tc>
        <w:tc>
          <w:tcPr>
            <w:tcW w:w="1042" w:type="dxa"/>
          </w:tcPr>
          <w:p w14:paraId="1DF13888" w14:textId="576A1023" w:rsidR="003A759B" w:rsidRPr="0067507D" w:rsidRDefault="0040015E" w:rsidP="000E7982">
            <w:pPr>
              <w:pStyle w:val="Tabletextright"/>
              <w:spacing w:before="15" w:after="15"/>
            </w:pPr>
            <w:r w:rsidRPr="0067507D">
              <w:t>200</w:t>
            </w:r>
          </w:p>
        </w:tc>
        <w:tc>
          <w:tcPr>
            <w:tcW w:w="992" w:type="dxa"/>
          </w:tcPr>
          <w:p w14:paraId="4A127DAA" w14:textId="012D37D2" w:rsidR="003A759B" w:rsidRPr="0067507D" w:rsidRDefault="0040015E" w:rsidP="000E7982">
            <w:pPr>
              <w:pStyle w:val="Tabletextright"/>
              <w:spacing w:before="15" w:after="15"/>
            </w:pPr>
            <w:r w:rsidRPr="0067507D">
              <w:t>30</w:t>
            </w:r>
          </w:p>
        </w:tc>
        <w:tc>
          <w:tcPr>
            <w:tcW w:w="702" w:type="dxa"/>
          </w:tcPr>
          <w:p w14:paraId="426BCECE" w14:textId="608A952D" w:rsidR="003A759B" w:rsidRPr="0067507D" w:rsidRDefault="0040015E" w:rsidP="000E7982">
            <w:pPr>
              <w:pStyle w:val="Tabletextright"/>
              <w:spacing w:before="15" w:after="15"/>
            </w:pPr>
            <w:r w:rsidRPr="0067507D">
              <w:t>222</w:t>
            </w:r>
          </w:p>
        </w:tc>
        <w:tc>
          <w:tcPr>
            <w:tcW w:w="999" w:type="dxa"/>
            <w:shd w:val="clear" w:color="auto" w:fill="E0E0E0"/>
          </w:tcPr>
          <w:p w14:paraId="3CE98BD4" w14:textId="22E568DA" w:rsidR="003A759B" w:rsidRPr="0067507D" w:rsidRDefault="0040015E" w:rsidP="000E7982">
            <w:pPr>
              <w:pStyle w:val="Tabletextright"/>
              <w:spacing w:before="15" w:after="15"/>
            </w:pPr>
            <w:r w:rsidRPr="0067507D">
              <w:t>6</w:t>
            </w:r>
          </w:p>
        </w:tc>
        <w:tc>
          <w:tcPr>
            <w:tcW w:w="729" w:type="dxa"/>
            <w:shd w:val="clear" w:color="auto" w:fill="E0E0E0"/>
          </w:tcPr>
          <w:p w14:paraId="66A6196F" w14:textId="14485178" w:rsidR="003A759B" w:rsidRPr="0067507D" w:rsidRDefault="0040015E" w:rsidP="000E7982">
            <w:pPr>
              <w:pStyle w:val="Tabletextright"/>
              <w:spacing w:before="15" w:after="15"/>
            </w:pPr>
            <w:r w:rsidRPr="0067507D">
              <w:t>6</w:t>
            </w:r>
          </w:p>
        </w:tc>
        <w:tc>
          <w:tcPr>
            <w:tcW w:w="1055" w:type="dxa"/>
            <w:noWrap/>
          </w:tcPr>
          <w:p w14:paraId="0D2A93DD" w14:textId="419E7D67" w:rsidR="003A759B" w:rsidRPr="0067507D" w:rsidRDefault="00F61F1D" w:rsidP="000E7982">
            <w:pPr>
              <w:pStyle w:val="Tabletextright"/>
              <w:spacing w:before="15" w:after="15"/>
            </w:pPr>
            <w:r w:rsidRPr="0067507D">
              <w:t>223</w:t>
            </w:r>
          </w:p>
        </w:tc>
        <w:tc>
          <w:tcPr>
            <w:tcW w:w="673" w:type="dxa"/>
          </w:tcPr>
          <w:p w14:paraId="35774546" w14:textId="719BE344" w:rsidR="003A759B" w:rsidRPr="0067507D" w:rsidRDefault="00F61F1D" w:rsidP="000E7982">
            <w:pPr>
              <w:pStyle w:val="Tabletextright"/>
              <w:spacing w:before="15" w:after="15"/>
            </w:pPr>
            <w:r w:rsidRPr="0067507D">
              <w:t>213</w:t>
            </w:r>
          </w:p>
        </w:tc>
        <w:tc>
          <w:tcPr>
            <w:tcW w:w="1087" w:type="dxa"/>
            <w:shd w:val="clear" w:color="auto" w:fill="E0E0E0"/>
            <w:noWrap/>
          </w:tcPr>
          <w:p w14:paraId="3BA96CEA" w14:textId="0AB84108" w:rsidR="003A759B" w:rsidRPr="0067507D" w:rsidRDefault="00F61F1D" w:rsidP="000E7982">
            <w:pPr>
              <w:pStyle w:val="Tabletextright"/>
              <w:spacing w:before="15" w:after="15"/>
            </w:pPr>
            <w:r w:rsidRPr="0067507D">
              <w:t>180</w:t>
            </w:r>
          </w:p>
        </w:tc>
        <w:tc>
          <w:tcPr>
            <w:tcW w:w="992" w:type="dxa"/>
            <w:shd w:val="clear" w:color="auto" w:fill="E0E0E0"/>
          </w:tcPr>
          <w:p w14:paraId="6DC428B8" w14:textId="71EE2D05" w:rsidR="003A759B" w:rsidRPr="0067507D" w:rsidRDefault="00F61F1D" w:rsidP="000E7982">
            <w:pPr>
              <w:pStyle w:val="Tabletextright"/>
              <w:spacing w:before="15" w:after="15"/>
            </w:pPr>
            <w:r w:rsidRPr="0067507D">
              <w:t>33</w:t>
            </w:r>
          </w:p>
        </w:tc>
        <w:tc>
          <w:tcPr>
            <w:tcW w:w="657" w:type="dxa"/>
            <w:shd w:val="clear" w:color="auto" w:fill="E0E0E0"/>
          </w:tcPr>
          <w:p w14:paraId="195B0146" w14:textId="55B89E27" w:rsidR="003A759B" w:rsidRPr="0067507D" w:rsidRDefault="00F61F1D" w:rsidP="000E7982">
            <w:pPr>
              <w:pStyle w:val="Tabletextright"/>
              <w:spacing w:before="15" w:after="15"/>
            </w:pPr>
            <w:r w:rsidRPr="0067507D">
              <w:t>203</w:t>
            </w:r>
          </w:p>
        </w:tc>
        <w:tc>
          <w:tcPr>
            <w:tcW w:w="1044" w:type="dxa"/>
          </w:tcPr>
          <w:p w14:paraId="534C9998" w14:textId="37954B98" w:rsidR="003A759B" w:rsidRPr="0067507D" w:rsidRDefault="00F61F1D" w:rsidP="000E7982">
            <w:pPr>
              <w:pStyle w:val="Tabletextright"/>
              <w:spacing w:before="15" w:after="15"/>
            </w:pPr>
            <w:r w:rsidRPr="0067507D">
              <w:t>10</w:t>
            </w:r>
          </w:p>
        </w:tc>
        <w:tc>
          <w:tcPr>
            <w:tcW w:w="684" w:type="dxa"/>
          </w:tcPr>
          <w:p w14:paraId="3CAD3AC7" w14:textId="0F38F6C2" w:rsidR="003A759B" w:rsidRPr="0067507D" w:rsidRDefault="00F61F1D" w:rsidP="000E7982">
            <w:pPr>
              <w:pStyle w:val="Tabletextright"/>
              <w:spacing w:before="15" w:after="15"/>
            </w:pPr>
            <w:r w:rsidRPr="0067507D">
              <w:t>10</w:t>
            </w:r>
          </w:p>
        </w:tc>
      </w:tr>
      <w:tr w:rsidR="00791F8C" w:rsidRPr="0067507D" w14:paraId="09706D55" w14:textId="77777777" w:rsidTr="00C04B33">
        <w:trPr>
          <w:cantSplit/>
        </w:trPr>
        <w:tc>
          <w:tcPr>
            <w:tcW w:w="1530" w:type="dxa"/>
          </w:tcPr>
          <w:p w14:paraId="1E4220C4" w14:textId="52DB3698" w:rsidR="003A759B" w:rsidRPr="0067507D" w:rsidRDefault="003A759B" w:rsidP="000E7982">
            <w:pPr>
              <w:pStyle w:val="Tabletext"/>
              <w:spacing w:before="15" w:after="15"/>
            </w:pPr>
            <w:r w:rsidRPr="0067507D">
              <w:rPr>
                <w:rFonts w:cstheme="minorBidi"/>
              </w:rPr>
              <w:t>55</w:t>
            </w:r>
            <w:r w:rsidR="003A26E6" w:rsidRPr="0067507D">
              <w:rPr>
                <w:rFonts w:cstheme="minorHAnsi"/>
              </w:rPr>
              <w:t>–</w:t>
            </w:r>
            <w:r w:rsidRPr="0067507D">
              <w:rPr>
                <w:rFonts w:cstheme="minorBidi"/>
              </w:rPr>
              <w:t>64</w:t>
            </w:r>
          </w:p>
        </w:tc>
        <w:tc>
          <w:tcPr>
            <w:tcW w:w="1022" w:type="dxa"/>
            <w:shd w:val="clear" w:color="auto" w:fill="E0E0E0"/>
          </w:tcPr>
          <w:p w14:paraId="69EFBEAA" w14:textId="396308C2" w:rsidR="003A759B" w:rsidRPr="0067507D" w:rsidRDefault="0040015E" w:rsidP="000E7982">
            <w:pPr>
              <w:pStyle w:val="Tabletextright"/>
              <w:spacing w:before="15" w:after="15"/>
            </w:pPr>
            <w:r w:rsidRPr="0067507D">
              <w:t>145</w:t>
            </w:r>
          </w:p>
        </w:tc>
        <w:tc>
          <w:tcPr>
            <w:tcW w:w="659" w:type="dxa"/>
            <w:shd w:val="clear" w:color="auto" w:fill="E0E0E0"/>
          </w:tcPr>
          <w:p w14:paraId="2D727A31" w14:textId="5763A952" w:rsidR="003A759B" w:rsidRPr="0067507D" w:rsidRDefault="0040015E" w:rsidP="000E7982">
            <w:pPr>
              <w:pStyle w:val="Tabletextright"/>
              <w:spacing w:before="15" w:after="15"/>
            </w:pPr>
            <w:r w:rsidRPr="0067507D">
              <w:t>139</w:t>
            </w:r>
          </w:p>
        </w:tc>
        <w:tc>
          <w:tcPr>
            <w:tcW w:w="1042" w:type="dxa"/>
          </w:tcPr>
          <w:p w14:paraId="1BC67C00" w14:textId="75D0E1EB" w:rsidR="003A759B" w:rsidRPr="0067507D" w:rsidRDefault="0040015E" w:rsidP="000E7982">
            <w:pPr>
              <w:pStyle w:val="Tabletextright"/>
              <w:spacing w:before="15" w:after="15"/>
            </w:pPr>
            <w:r w:rsidRPr="0067507D">
              <w:t>119</w:t>
            </w:r>
          </w:p>
        </w:tc>
        <w:tc>
          <w:tcPr>
            <w:tcW w:w="992" w:type="dxa"/>
          </w:tcPr>
          <w:p w14:paraId="288FC971" w14:textId="36ACE2A8" w:rsidR="003A759B" w:rsidRPr="0067507D" w:rsidRDefault="0040015E" w:rsidP="000E7982">
            <w:pPr>
              <w:pStyle w:val="Tabletextright"/>
              <w:spacing w:before="15" w:after="15"/>
            </w:pPr>
            <w:r w:rsidRPr="0067507D">
              <w:t>24</w:t>
            </w:r>
          </w:p>
        </w:tc>
        <w:tc>
          <w:tcPr>
            <w:tcW w:w="702" w:type="dxa"/>
          </w:tcPr>
          <w:p w14:paraId="2F2FCBCB" w14:textId="4794698F" w:rsidR="003A759B" w:rsidRPr="0067507D" w:rsidRDefault="0040015E" w:rsidP="000E7982">
            <w:pPr>
              <w:pStyle w:val="Tabletextright"/>
              <w:spacing w:before="15" w:after="15"/>
            </w:pPr>
            <w:r w:rsidRPr="0067507D">
              <w:t>137</w:t>
            </w:r>
          </w:p>
        </w:tc>
        <w:tc>
          <w:tcPr>
            <w:tcW w:w="999" w:type="dxa"/>
            <w:shd w:val="clear" w:color="auto" w:fill="E0E0E0"/>
          </w:tcPr>
          <w:p w14:paraId="57A9F91F" w14:textId="2AB86199" w:rsidR="003A759B" w:rsidRPr="0067507D" w:rsidRDefault="0040015E" w:rsidP="000E7982">
            <w:pPr>
              <w:pStyle w:val="Tabletextright"/>
              <w:spacing w:before="15" w:after="15"/>
            </w:pPr>
            <w:r w:rsidRPr="0067507D">
              <w:t>2</w:t>
            </w:r>
          </w:p>
        </w:tc>
        <w:tc>
          <w:tcPr>
            <w:tcW w:w="729" w:type="dxa"/>
            <w:shd w:val="clear" w:color="auto" w:fill="E0E0E0"/>
          </w:tcPr>
          <w:p w14:paraId="2EC6F3F4" w14:textId="4D1376EB" w:rsidR="003A759B" w:rsidRPr="0067507D" w:rsidRDefault="0040015E" w:rsidP="000E7982">
            <w:pPr>
              <w:pStyle w:val="Tabletextright"/>
              <w:spacing w:before="15" w:after="15"/>
            </w:pPr>
            <w:r w:rsidRPr="0067507D">
              <w:t>1</w:t>
            </w:r>
          </w:p>
        </w:tc>
        <w:tc>
          <w:tcPr>
            <w:tcW w:w="1055" w:type="dxa"/>
            <w:noWrap/>
          </w:tcPr>
          <w:p w14:paraId="21899B61" w14:textId="0BDB2C42" w:rsidR="003A759B" w:rsidRPr="0067507D" w:rsidRDefault="00F61F1D" w:rsidP="000E7982">
            <w:pPr>
              <w:pStyle w:val="Tabletextright"/>
              <w:spacing w:before="15" w:after="15"/>
            </w:pPr>
            <w:r w:rsidRPr="0067507D">
              <w:t>143</w:t>
            </w:r>
          </w:p>
        </w:tc>
        <w:tc>
          <w:tcPr>
            <w:tcW w:w="673" w:type="dxa"/>
          </w:tcPr>
          <w:p w14:paraId="371A9382" w14:textId="3D6BB08A" w:rsidR="003A759B" w:rsidRPr="0067507D" w:rsidRDefault="00F61F1D" w:rsidP="000E7982">
            <w:pPr>
              <w:pStyle w:val="Tabletextright"/>
              <w:spacing w:before="15" w:after="15"/>
            </w:pPr>
            <w:r w:rsidRPr="0067507D">
              <w:t>137</w:t>
            </w:r>
          </w:p>
        </w:tc>
        <w:tc>
          <w:tcPr>
            <w:tcW w:w="1087" w:type="dxa"/>
            <w:shd w:val="clear" w:color="auto" w:fill="E0E0E0"/>
            <w:noWrap/>
          </w:tcPr>
          <w:p w14:paraId="1199AFB5" w14:textId="7B20DA8A" w:rsidR="003A759B" w:rsidRPr="0067507D" w:rsidRDefault="00F61F1D" w:rsidP="000E7982">
            <w:pPr>
              <w:pStyle w:val="Tabletextright"/>
              <w:spacing w:before="15" w:after="15"/>
            </w:pPr>
            <w:r w:rsidRPr="0067507D">
              <w:t>117</w:t>
            </w:r>
          </w:p>
        </w:tc>
        <w:tc>
          <w:tcPr>
            <w:tcW w:w="992" w:type="dxa"/>
            <w:shd w:val="clear" w:color="auto" w:fill="E0E0E0"/>
          </w:tcPr>
          <w:p w14:paraId="4FF65F30" w14:textId="08FB5F99" w:rsidR="003A759B" w:rsidRPr="0067507D" w:rsidRDefault="00F61F1D" w:rsidP="000E7982">
            <w:pPr>
              <w:pStyle w:val="Tabletextright"/>
              <w:spacing w:before="15" w:after="15"/>
            </w:pPr>
            <w:r w:rsidRPr="0067507D">
              <w:t>23</w:t>
            </w:r>
          </w:p>
        </w:tc>
        <w:tc>
          <w:tcPr>
            <w:tcW w:w="657" w:type="dxa"/>
            <w:shd w:val="clear" w:color="auto" w:fill="E0E0E0"/>
          </w:tcPr>
          <w:p w14:paraId="39AE8343" w14:textId="4447868B" w:rsidR="003A759B" w:rsidRPr="0067507D" w:rsidRDefault="00F61F1D" w:rsidP="000E7982">
            <w:pPr>
              <w:pStyle w:val="Tabletextright"/>
              <w:spacing w:before="15" w:after="15"/>
            </w:pPr>
            <w:r w:rsidRPr="0067507D">
              <w:t>134</w:t>
            </w:r>
          </w:p>
        </w:tc>
        <w:tc>
          <w:tcPr>
            <w:tcW w:w="1044" w:type="dxa"/>
          </w:tcPr>
          <w:p w14:paraId="76EE7E79" w14:textId="5B3A35A9" w:rsidR="003A759B" w:rsidRPr="0067507D" w:rsidRDefault="00F61F1D" w:rsidP="000E7982">
            <w:pPr>
              <w:pStyle w:val="Tabletextright"/>
              <w:spacing w:before="15" w:after="15"/>
            </w:pPr>
            <w:r w:rsidRPr="0067507D">
              <w:t>3</w:t>
            </w:r>
          </w:p>
        </w:tc>
        <w:tc>
          <w:tcPr>
            <w:tcW w:w="684" w:type="dxa"/>
          </w:tcPr>
          <w:p w14:paraId="3676DFB2" w14:textId="4B287AEC" w:rsidR="003A759B" w:rsidRPr="0067507D" w:rsidRDefault="00F61F1D" w:rsidP="000E7982">
            <w:pPr>
              <w:pStyle w:val="Tabletextright"/>
              <w:spacing w:before="15" w:after="15"/>
            </w:pPr>
            <w:r w:rsidRPr="0067507D">
              <w:t>3</w:t>
            </w:r>
          </w:p>
        </w:tc>
      </w:tr>
      <w:tr w:rsidR="00791F8C" w:rsidRPr="0067507D" w14:paraId="4D8AD535" w14:textId="77777777" w:rsidTr="00C04B33">
        <w:trPr>
          <w:cantSplit/>
          <w:trHeight w:val="171"/>
        </w:trPr>
        <w:tc>
          <w:tcPr>
            <w:tcW w:w="1530" w:type="dxa"/>
          </w:tcPr>
          <w:p w14:paraId="391F1C2A" w14:textId="77777777" w:rsidR="003A759B" w:rsidRPr="0067507D" w:rsidRDefault="003A759B" w:rsidP="000E7982">
            <w:pPr>
              <w:pStyle w:val="Tabletext"/>
              <w:spacing w:before="15" w:after="15"/>
            </w:pPr>
            <w:r w:rsidRPr="0067507D">
              <w:rPr>
                <w:rFonts w:cstheme="minorHAnsi"/>
              </w:rPr>
              <w:t>65+</w:t>
            </w:r>
          </w:p>
        </w:tc>
        <w:tc>
          <w:tcPr>
            <w:tcW w:w="1022" w:type="dxa"/>
            <w:shd w:val="clear" w:color="auto" w:fill="E0E0E0"/>
          </w:tcPr>
          <w:p w14:paraId="79883944" w14:textId="0CA2557C" w:rsidR="003A759B" w:rsidRPr="0067507D" w:rsidRDefault="0040015E" w:rsidP="000E7982">
            <w:pPr>
              <w:pStyle w:val="Tabletextright"/>
              <w:spacing w:before="15" w:after="15"/>
            </w:pPr>
            <w:r w:rsidRPr="0067507D">
              <w:t>45</w:t>
            </w:r>
          </w:p>
        </w:tc>
        <w:tc>
          <w:tcPr>
            <w:tcW w:w="659" w:type="dxa"/>
            <w:shd w:val="clear" w:color="auto" w:fill="E0E0E0"/>
          </w:tcPr>
          <w:p w14:paraId="7A09E6E0" w14:textId="4BE1EEA4" w:rsidR="003A759B" w:rsidRPr="0067507D" w:rsidRDefault="0040015E" w:rsidP="000E7982">
            <w:pPr>
              <w:pStyle w:val="Tabletextright"/>
              <w:spacing w:before="15" w:after="15"/>
            </w:pPr>
            <w:r w:rsidRPr="0067507D">
              <w:t>42</w:t>
            </w:r>
          </w:p>
        </w:tc>
        <w:tc>
          <w:tcPr>
            <w:tcW w:w="1042" w:type="dxa"/>
          </w:tcPr>
          <w:p w14:paraId="68EB2545" w14:textId="79CC483A" w:rsidR="003A759B" w:rsidRPr="0067507D" w:rsidRDefault="0040015E" w:rsidP="000E7982">
            <w:pPr>
              <w:pStyle w:val="Tabletextright"/>
              <w:spacing w:before="15" w:after="15"/>
            </w:pPr>
            <w:r w:rsidRPr="0067507D">
              <w:t>34</w:t>
            </w:r>
          </w:p>
        </w:tc>
        <w:tc>
          <w:tcPr>
            <w:tcW w:w="992" w:type="dxa"/>
          </w:tcPr>
          <w:p w14:paraId="2001B8B0" w14:textId="5640D35D" w:rsidR="003A759B" w:rsidRPr="0067507D" w:rsidRDefault="0040015E" w:rsidP="000E7982">
            <w:pPr>
              <w:pStyle w:val="Tabletextright"/>
              <w:spacing w:before="15" w:after="15"/>
            </w:pPr>
            <w:r w:rsidRPr="0067507D">
              <w:t>11</w:t>
            </w:r>
          </w:p>
        </w:tc>
        <w:tc>
          <w:tcPr>
            <w:tcW w:w="702" w:type="dxa"/>
          </w:tcPr>
          <w:p w14:paraId="7D16EBA2" w14:textId="70904E37" w:rsidR="003A759B" w:rsidRPr="0067507D" w:rsidRDefault="0040015E" w:rsidP="000E7982">
            <w:pPr>
              <w:pStyle w:val="Tabletextright"/>
              <w:spacing w:before="15" w:after="15"/>
            </w:pPr>
            <w:r w:rsidRPr="0067507D">
              <w:t>42</w:t>
            </w:r>
          </w:p>
        </w:tc>
        <w:tc>
          <w:tcPr>
            <w:tcW w:w="999" w:type="dxa"/>
            <w:shd w:val="clear" w:color="auto" w:fill="E0E0E0"/>
          </w:tcPr>
          <w:p w14:paraId="735AB2CA" w14:textId="59023D82" w:rsidR="003A759B" w:rsidRPr="0067507D" w:rsidRDefault="000A55B5" w:rsidP="000E7982">
            <w:pPr>
              <w:pStyle w:val="Tabletextright"/>
              <w:spacing w:before="15" w:after="15"/>
            </w:pPr>
            <w:r w:rsidRPr="0067507D">
              <w:t>–</w:t>
            </w:r>
          </w:p>
        </w:tc>
        <w:tc>
          <w:tcPr>
            <w:tcW w:w="729" w:type="dxa"/>
            <w:shd w:val="clear" w:color="auto" w:fill="E0E0E0"/>
          </w:tcPr>
          <w:p w14:paraId="7989E2D8" w14:textId="4F5102AF" w:rsidR="003A759B" w:rsidRPr="0067507D" w:rsidRDefault="000A55B5" w:rsidP="000E7982">
            <w:pPr>
              <w:pStyle w:val="Tabletextright"/>
              <w:spacing w:before="15" w:after="15"/>
            </w:pPr>
            <w:r w:rsidRPr="0067507D">
              <w:t>–</w:t>
            </w:r>
          </w:p>
        </w:tc>
        <w:tc>
          <w:tcPr>
            <w:tcW w:w="1055" w:type="dxa"/>
            <w:noWrap/>
          </w:tcPr>
          <w:p w14:paraId="39D0753A" w14:textId="3436542B" w:rsidR="003A759B" w:rsidRPr="0067507D" w:rsidRDefault="00F61F1D" w:rsidP="000E7982">
            <w:pPr>
              <w:pStyle w:val="Tabletextright"/>
              <w:spacing w:before="15" w:after="15"/>
            </w:pPr>
            <w:r w:rsidRPr="0067507D">
              <w:t>38</w:t>
            </w:r>
          </w:p>
        </w:tc>
        <w:tc>
          <w:tcPr>
            <w:tcW w:w="673" w:type="dxa"/>
          </w:tcPr>
          <w:p w14:paraId="0D2DF62F" w14:textId="113FDDF6" w:rsidR="003A759B" w:rsidRPr="0067507D" w:rsidRDefault="00F61F1D" w:rsidP="000E7982">
            <w:pPr>
              <w:pStyle w:val="Tabletextright"/>
              <w:spacing w:before="15" w:after="15"/>
            </w:pPr>
            <w:r w:rsidRPr="0067507D">
              <w:t>35</w:t>
            </w:r>
          </w:p>
        </w:tc>
        <w:tc>
          <w:tcPr>
            <w:tcW w:w="1087" w:type="dxa"/>
            <w:shd w:val="clear" w:color="auto" w:fill="E0E0E0"/>
            <w:noWrap/>
          </w:tcPr>
          <w:p w14:paraId="374A20D2" w14:textId="6D23B665" w:rsidR="003A759B" w:rsidRPr="0067507D" w:rsidRDefault="00F61F1D" w:rsidP="000E7982">
            <w:pPr>
              <w:pStyle w:val="Tabletextright"/>
              <w:spacing w:before="15" w:after="15"/>
            </w:pPr>
            <w:r w:rsidRPr="0067507D">
              <w:t>29</w:t>
            </w:r>
          </w:p>
        </w:tc>
        <w:tc>
          <w:tcPr>
            <w:tcW w:w="992" w:type="dxa"/>
            <w:shd w:val="clear" w:color="auto" w:fill="E0E0E0"/>
          </w:tcPr>
          <w:p w14:paraId="31D9F786" w14:textId="785FF402" w:rsidR="003A759B" w:rsidRPr="0067507D" w:rsidRDefault="00F61F1D" w:rsidP="000E7982">
            <w:pPr>
              <w:pStyle w:val="Tabletextright"/>
              <w:spacing w:before="15" w:after="15"/>
            </w:pPr>
            <w:r w:rsidRPr="0067507D">
              <w:t>9</w:t>
            </w:r>
          </w:p>
        </w:tc>
        <w:tc>
          <w:tcPr>
            <w:tcW w:w="657" w:type="dxa"/>
            <w:shd w:val="clear" w:color="auto" w:fill="E0E0E0"/>
          </w:tcPr>
          <w:p w14:paraId="11F9A45A" w14:textId="4B0A7759" w:rsidR="003A759B" w:rsidRPr="0067507D" w:rsidRDefault="00F61F1D" w:rsidP="000E7982">
            <w:pPr>
              <w:pStyle w:val="Tabletextright"/>
              <w:spacing w:before="15" w:after="15"/>
            </w:pPr>
            <w:r w:rsidRPr="0067507D">
              <w:t>35</w:t>
            </w:r>
          </w:p>
        </w:tc>
        <w:tc>
          <w:tcPr>
            <w:tcW w:w="1044" w:type="dxa"/>
          </w:tcPr>
          <w:p w14:paraId="3122CDEA" w14:textId="2FB3D62F" w:rsidR="003A759B" w:rsidRPr="0067507D" w:rsidRDefault="00F61F1D" w:rsidP="000E7982">
            <w:pPr>
              <w:pStyle w:val="Tabletextright"/>
              <w:spacing w:before="15" w:after="15"/>
            </w:pPr>
            <w:r w:rsidRPr="0067507D">
              <w:t>–</w:t>
            </w:r>
          </w:p>
        </w:tc>
        <w:tc>
          <w:tcPr>
            <w:tcW w:w="684" w:type="dxa"/>
          </w:tcPr>
          <w:p w14:paraId="1F424CD9" w14:textId="212C94AE" w:rsidR="003A759B" w:rsidRPr="0067507D" w:rsidRDefault="00F61F1D" w:rsidP="000E7982">
            <w:pPr>
              <w:pStyle w:val="Tabletextright"/>
              <w:spacing w:before="15" w:after="15"/>
            </w:pPr>
            <w:r w:rsidRPr="0067507D">
              <w:t>–</w:t>
            </w:r>
          </w:p>
        </w:tc>
      </w:tr>
      <w:tr w:rsidR="00791F8C" w:rsidRPr="0067507D" w14:paraId="55C72F04" w14:textId="77777777" w:rsidTr="00C04B33">
        <w:trPr>
          <w:cantSplit/>
        </w:trPr>
        <w:tc>
          <w:tcPr>
            <w:tcW w:w="1530" w:type="dxa"/>
          </w:tcPr>
          <w:p w14:paraId="62222AD1" w14:textId="77777777" w:rsidR="003A759B" w:rsidRPr="0067507D" w:rsidRDefault="003A759B" w:rsidP="00A721E2">
            <w:pPr>
              <w:pStyle w:val="Tabletext"/>
              <w:spacing w:before="0" w:after="0"/>
              <w:rPr>
                <w:sz w:val="6"/>
              </w:rPr>
            </w:pPr>
          </w:p>
        </w:tc>
        <w:tc>
          <w:tcPr>
            <w:tcW w:w="1022" w:type="dxa"/>
            <w:shd w:val="clear" w:color="auto" w:fill="E0E0E0"/>
          </w:tcPr>
          <w:p w14:paraId="53D18897" w14:textId="77777777" w:rsidR="003A759B" w:rsidRPr="0067507D" w:rsidRDefault="003A759B" w:rsidP="00A721E2">
            <w:pPr>
              <w:pStyle w:val="Tabletextright"/>
              <w:spacing w:before="0" w:after="0"/>
              <w:rPr>
                <w:rFonts w:cstheme="minorHAnsi"/>
                <w:sz w:val="6"/>
              </w:rPr>
            </w:pPr>
          </w:p>
        </w:tc>
        <w:tc>
          <w:tcPr>
            <w:tcW w:w="659" w:type="dxa"/>
            <w:shd w:val="clear" w:color="auto" w:fill="E0E0E0"/>
          </w:tcPr>
          <w:p w14:paraId="2871DB94" w14:textId="77777777" w:rsidR="003A759B" w:rsidRPr="0067507D" w:rsidRDefault="003A759B" w:rsidP="00A721E2">
            <w:pPr>
              <w:pStyle w:val="Tabletextright"/>
              <w:spacing w:before="0" w:after="0"/>
              <w:rPr>
                <w:rFonts w:cstheme="minorHAnsi"/>
                <w:sz w:val="6"/>
              </w:rPr>
            </w:pPr>
          </w:p>
        </w:tc>
        <w:tc>
          <w:tcPr>
            <w:tcW w:w="1042" w:type="dxa"/>
          </w:tcPr>
          <w:p w14:paraId="3301849F" w14:textId="77777777" w:rsidR="003A759B" w:rsidRPr="0067507D" w:rsidRDefault="003A759B" w:rsidP="00A721E2">
            <w:pPr>
              <w:pStyle w:val="Tabletextright"/>
              <w:spacing w:before="0" w:after="0"/>
              <w:rPr>
                <w:rFonts w:cstheme="minorHAnsi"/>
                <w:sz w:val="6"/>
              </w:rPr>
            </w:pPr>
          </w:p>
        </w:tc>
        <w:tc>
          <w:tcPr>
            <w:tcW w:w="992" w:type="dxa"/>
          </w:tcPr>
          <w:p w14:paraId="5C49A904" w14:textId="77777777" w:rsidR="003A759B" w:rsidRPr="0067507D" w:rsidRDefault="003A759B" w:rsidP="00A721E2">
            <w:pPr>
              <w:pStyle w:val="Tabletextright"/>
              <w:spacing w:before="0" w:after="0"/>
              <w:rPr>
                <w:sz w:val="6"/>
              </w:rPr>
            </w:pPr>
          </w:p>
        </w:tc>
        <w:tc>
          <w:tcPr>
            <w:tcW w:w="702" w:type="dxa"/>
          </w:tcPr>
          <w:p w14:paraId="10E5F5D1" w14:textId="77777777" w:rsidR="003A759B" w:rsidRPr="0067507D" w:rsidRDefault="003A759B" w:rsidP="00A721E2">
            <w:pPr>
              <w:pStyle w:val="Tabletextright"/>
              <w:spacing w:before="0" w:after="0"/>
              <w:rPr>
                <w:sz w:val="6"/>
              </w:rPr>
            </w:pPr>
          </w:p>
        </w:tc>
        <w:tc>
          <w:tcPr>
            <w:tcW w:w="999" w:type="dxa"/>
            <w:shd w:val="clear" w:color="auto" w:fill="E0E0E0"/>
          </w:tcPr>
          <w:p w14:paraId="611413F6" w14:textId="77777777" w:rsidR="003A759B" w:rsidRPr="0067507D" w:rsidRDefault="003A759B" w:rsidP="00A721E2">
            <w:pPr>
              <w:pStyle w:val="Tabletextright"/>
              <w:spacing w:before="0" w:after="0"/>
              <w:rPr>
                <w:sz w:val="6"/>
              </w:rPr>
            </w:pPr>
          </w:p>
        </w:tc>
        <w:tc>
          <w:tcPr>
            <w:tcW w:w="729" w:type="dxa"/>
            <w:shd w:val="clear" w:color="auto" w:fill="E0E0E0"/>
          </w:tcPr>
          <w:p w14:paraId="5A4EB7AE" w14:textId="77777777" w:rsidR="003A759B" w:rsidRPr="0067507D" w:rsidRDefault="003A759B" w:rsidP="00A721E2">
            <w:pPr>
              <w:pStyle w:val="Tabletextright"/>
              <w:spacing w:before="0" w:after="0"/>
              <w:rPr>
                <w:sz w:val="6"/>
              </w:rPr>
            </w:pPr>
          </w:p>
        </w:tc>
        <w:tc>
          <w:tcPr>
            <w:tcW w:w="1055" w:type="dxa"/>
            <w:noWrap/>
          </w:tcPr>
          <w:p w14:paraId="18E97CF5" w14:textId="77777777" w:rsidR="003A759B" w:rsidRPr="0067507D" w:rsidRDefault="003A759B" w:rsidP="00A721E2">
            <w:pPr>
              <w:pStyle w:val="Tabletextright"/>
              <w:spacing w:before="0" w:after="0"/>
              <w:rPr>
                <w:rFonts w:cstheme="minorHAnsi"/>
                <w:sz w:val="6"/>
              </w:rPr>
            </w:pPr>
          </w:p>
        </w:tc>
        <w:tc>
          <w:tcPr>
            <w:tcW w:w="673" w:type="dxa"/>
          </w:tcPr>
          <w:p w14:paraId="506B8850" w14:textId="77777777" w:rsidR="003A759B" w:rsidRPr="0067507D" w:rsidRDefault="003A759B" w:rsidP="00A721E2">
            <w:pPr>
              <w:pStyle w:val="Tabletextright"/>
              <w:spacing w:before="0" w:after="0"/>
              <w:rPr>
                <w:rFonts w:cstheme="minorHAnsi"/>
                <w:sz w:val="6"/>
              </w:rPr>
            </w:pPr>
          </w:p>
        </w:tc>
        <w:tc>
          <w:tcPr>
            <w:tcW w:w="1087" w:type="dxa"/>
            <w:shd w:val="clear" w:color="auto" w:fill="E0E0E0"/>
            <w:noWrap/>
          </w:tcPr>
          <w:p w14:paraId="48593F93" w14:textId="77777777" w:rsidR="003A759B" w:rsidRPr="0067507D" w:rsidRDefault="003A759B" w:rsidP="00A721E2">
            <w:pPr>
              <w:pStyle w:val="Tabletextright"/>
              <w:spacing w:before="0" w:after="0"/>
              <w:rPr>
                <w:rFonts w:cstheme="minorHAnsi"/>
                <w:sz w:val="6"/>
              </w:rPr>
            </w:pPr>
          </w:p>
        </w:tc>
        <w:tc>
          <w:tcPr>
            <w:tcW w:w="992" w:type="dxa"/>
            <w:shd w:val="clear" w:color="auto" w:fill="E0E0E0"/>
          </w:tcPr>
          <w:p w14:paraId="22E8D46E" w14:textId="77777777" w:rsidR="003A759B" w:rsidRPr="0067507D" w:rsidRDefault="003A759B" w:rsidP="00A721E2">
            <w:pPr>
              <w:pStyle w:val="Tabletextright"/>
              <w:spacing w:before="0" w:after="0"/>
              <w:rPr>
                <w:sz w:val="6"/>
              </w:rPr>
            </w:pPr>
          </w:p>
        </w:tc>
        <w:tc>
          <w:tcPr>
            <w:tcW w:w="657" w:type="dxa"/>
            <w:shd w:val="clear" w:color="auto" w:fill="E0E0E0"/>
          </w:tcPr>
          <w:p w14:paraId="592A3442" w14:textId="77777777" w:rsidR="003A759B" w:rsidRPr="0067507D" w:rsidRDefault="003A759B" w:rsidP="00A721E2">
            <w:pPr>
              <w:pStyle w:val="Tabletextright"/>
              <w:spacing w:before="0" w:after="0"/>
              <w:rPr>
                <w:sz w:val="6"/>
              </w:rPr>
            </w:pPr>
          </w:p>
        </w:tc>
        <w:tc>
          <w:tcPr>
            <w:tcW w:w="1044" w:type="dxa"/>
          </w:tcPr>
          <w:p w14:paraId="4323BFF0" w14:textId="77777777" w:rsidR="003A759B" w:rsidRPr="0067507D" w:rsidRDefault="003A759B" w:rsidP="00A721E2">
            <w:pPr>
              <w:pStyle w:val="Tabletextright"/>
              <w:spacing w:before="0" w:after="0"/>
              <w:rPr>
                <w:sz w:val="6"/>
              </w:rPr>
            </w:pPr>
          </w:p>
        </w:tc>
        <w:tc>
          <w:tcPr>
            <w:tcW w:w="684" w:type="dxa"/>
          </w:tcPr>
          <w:p w14:paraId="4D872C9C" w14:textId="77777777" w:rsidR="003A759B" w:rsidRPr="0067507D" w:rsidRDefault="003A759B" w:rsidP="00A721E2">
            <w:pPr>
              <w:pStyle w:val="Tabletextright"/>
              <w:spacing w:before="0" w:after="0"/>
              <w:rPr>
                <w:sz w:val="6"/>
              </w:rPr>
            </w:pPr>
          </w:p>
        </w:tc>
      </w:tr>
      <w:tr w:rsidR="00791F8C" w:rsidRPr="0067507D" w14:paraId="0FACA696" w14:textId="77777777" w:rsidTr="00C04B33">
        <w:trPr>
          <w:cantSplit/>
        </w:trPr>
        <w:tc>
          <w:tcPr>
            <w:tcW w:w="1530" w:type="dxa"/>
          </w:tcPr>
          <w:p w14:paraId="55639E31" w14:textId="3FC6A8B6" w:rsidR="003A759B" w:rsidRPr="0067507D" w:rsidRDefault="003A759B" w:rsidP="00B436E8">
            <w:pPr>
              <w:pStyle w:val="Tabletext"/>
              <w:spacing w:before="0"/>
              <w:rPr>
                <w:rFonts w:asciiTheme="majorHAnsi" w:hAnsiTheme="majorHAnsi"/>
              </w:rPr>
            </w:pPr>
            <w:r w:rsidRPr="0067507D">
              <w:rPr>
                <w:rFonts w:asciiTheme="majorHAnsi" w:hAnsiTheme="majorHAnsi" w:cstheme="minorHAnsi"/>
                <w:szCs w:val="18"/>
              </w:rPr>
              <w:t>VPS1–6 Grades</w:t>
            </w:r>
          </w:p>
        </w:tc>
        <w:tc>
          <w:tcPr>
            <w:tcW w:w="1022" w:type="dxa"/>
            <w:shd w:val="clear" w:color="auto" w:fill="E0E0E0"/>
          </w:tcPr>
          <w:p w14:paraId="69B8B3A9" w14:textId="457E6082" w:rsidR="003A759B" w:rsidRPr="0067507D" w:rsidRDefault="006E05C8" w:rsidP="00B436E8">
            <w:pPr>
              <w:pStyle w:val="Tabletextrightbold"/>
              <w:spacing w:before="0"/>
            </w:pPr>
            <w:r w:rsidRPr="0067507D">
              <w:t>930</w:t>
            </w:r>
          </w:p>
        </w:tc>
        <w:tc>
          <w:tcPr>
            <w:tcW w:w="659" w:type="dxa"/>
            <w:shd w:val="clear" w:color="auto" w:fill="E0E0E0"/>
          </w:tcPr>
          <w:p w14:paraId="6DD14FE1" w14:textId="40CD501B" w:rsidR="003A759B" w:rsidRPr="0067507D" w:rsidRDefault="006E05C8" w:rsidP="00B436E8">
            <w:pPr>
              <w:pStyle w:val="Tabletextrightbold"/>
              <w:spacing w:before="0"/>
            </w:pPr>
            <w:r w:rsidRPr="0067507D">
              <w:t>893</w:t>
            </w:r>
          </w:p>
        </w:tc>
        <w:tc>
          <w:tcPr>
            <w:tcW w:w="1042" w:type="dxa"/>
          </w:tcPr>
          <w:p w14:paraId="11F263C0" w14:textId="160F440D" w:rsidR="003A759B" w:rsidRPr="0067507D" w:rsidRDefault="006E05C8" w:rsidP="00B436E8">
            <w:pPr>
              <w:pStyle w:val="Tabletextrightbold"/>
              <w:spacing w:before="0"/>
            </w:pPr>
            <w:r w:rsidRPr="0067507D">
              <w:t>778</w:t>
            </w:r>
          </w:p>
        </w:tc>
        <w:tc>
          <w:tcPr>
            <w:tcW w:w="992" w:type="dxa"/>
          </w:tcPr>
          <w:p w14:paraId="1AE97DB7" w14:textId="70325D13" w:rsidR="003A759B" w:rsidRPr="0067507D" w:rsidRDefault="006E05C8" w:rsidP="00B436E8">
            <w:pPr>
              <w:pStyle w:val="Tabletextrightbold"/>
              <w:spacing w:before="0"/>
            </w:pPr>
            <w:r w:rsidRPr="0067507D">
              <w:t>120</w:t>
            </w:r>
          </w:p>
        </w:tc>
        <w:tc>
          <w:tcPr>
            <w:tcW w:w="702" w:type="dxa"/>
          </w:tcPr>
          <w:p w14:paraId="0A889B78" w14:textId="71CCC81B" w:rsidR="003A759B" w:rsidRPr="0067507D" w:rsidRDefault="006E05C8" w:rsidP="00B436E8">
            <w:pPr>
              <w:pStyle w:val="Tabletextrightbold"/>
              <w:spacing w:before="0"/>
            </w:pPr>
            <w:r w:rsidRPr="0067507D">
              <w:t>862</w:t>
            </w:r>
          </w:p>
        </w:tc>
        <w:tc>
          <w:tcPr>
            <w:tcW w:w="999" w:type="dxa"/>
            <w:shd w:val="clear" w:color="auto" w:fill="E0E0E0"/>
          </w:tcPr>
          <w:p w14:paraId="35C0F0BC" w14:textId="3901CE37" w:rsidR="003A759B" w:rsidRPr="0067507D" w:rsidRDefault="006E05C8" w:rsidP="00B436E8">
            <w:pPr>
              <w:pStyle w:val="Tabletextrightbold"/>
              <w:spacing w:before="0"/>
            </w:pPr>
            <w:r w:rsidRPr="0067507D">
              <w:t>32</w:t>
            </w:r>
          </w:p>
        </w:tc>
        <w:tc>
          <w:tcPr>
            <w:tcW w:w="729" w:type="dxa"/>
            <w:shd w:val="clear" w:color="auto" w:fill="E0E0E0"/>
          </w:tcPr>
          <w:p w14:paraId="45E0213B" w14:textId="5B591320" w:rsidR="003A759B" w:rsidRPr="0067507D" w:rsidRDefault="006E05C8" w:rsidP="00B436E8">
            <w:pPr>
              <w:pStyle w:val="Tabletextrightbold"/>
              <w:spacing w:before="0"/>
            </w:pPr>
            <w:r w:rsidRPr="0067507D">
              <w:t>30</w:t>
            </w:r>
          </w:p>
        </w:tc>
        <w:tc>
          <w:tcPr>
            <w:tcW w:w="1055" w:type="dxa"/>
            <w:noWrap/>
          </w:tcPr>
          <w:p w14:paraId="4267B278" w14:textId="3A60C75B" w:rsidR="003A759B" w:rsidRPr="0067507D" w:rsidRDefault="00F61F1D" w:rsidP="00B436E8">
            <w:pPr>
              <w:pStyle w:val="Tabletextrightbold"/>
              <w:spacing w:before="0"/>
            </w:pPr>
            <w:r w:rsidRPr="0067507D">
              <w:t>895</w:t>
            </w:r>
          </w:p>
        </w:tc>
        <w:tc>
          <w:tcPr>
            <w:tcW w:w="673" w:type="dxa"/>
          </w:tcPr>
          <w:p w14:paraId="1F367DDD" w14:textId="24BBC41E" w:rsidR="003A759B" w:rsidRPr="0067507D" w:rsidRDefault="00F61F1D" w:rsidP="00B436E8">
            <w:pPr>
              <w:pStyle w:val="Tabletextrightbold"/>
              <w:spacing w:before="0"/>
            </w:pPr>
            <w:r w:rsidRPr="0067507D">
              <w:t>859</w:t>
            </w:r>
          </w:p>
        </w:tc>
        <w:tc>
          <w:tcPr>
            <w:tcW w:w="1087" w:type="dxa"/>
            <w:shd w:val="clear" w:color="auto" w:fill="E0E0E0"/>
            <w:noWrap/>
          </w:tcPr>
          <w:p w14:paraId="088739B7" w14:textId="35C10AAE" w:rsidR="003A759B" w:rsidRPr="0067507D" w:rsidRDefault="00F61F1D" w:rsidP="00B436E8">
            <w:pPr>
              <w:pStyle w:val="Tabletextrightbold"/>
              <w:spacing w:before="0"/>
            </w:pPr>
            <w:r w:rsidRPr="0067507D">
              <w:t>714</w:t>
            </w:r>
          </w:p>
        </w:tc>
        <w:tc>
          <w:tcPr>
            <w:tcW w:w="992" w:type="dxa"/>
            <w:shd w:val="clear" w:color="auto" w:fill="E0E0E0"/>
          </w:tcPr>
          <w:p w14:paraId="46BDDE52" w14:textId="6BEC9311" w:rsidR="003A759B" w:rsidRPr="0067507D" w:rsidRDefault="00F61F1D" w:rsidP="00B436E8">
            <w:pPr>
              <w:pStyle w:val="Tabletextrightbold"/>
              <w:spacing w:before="0"/>
            </w:pPr>
            <w:r w:rsidRPr="0067507D">
              <w:t>117</w:t>
            </w:r>
          </w:p>
        </w:tc>
        <w:tc>
          <w:tcPr>
            <w:tcW w:w="657" w:type="dxa"/>
            <w:shd w:val="clear" w:color="auto" w:fill="E0E0E0"/>
          </w:tcPr>
          <w:p w14:paraId="7D06DC82" w14:textId="50AD2389" w:rsidR="003A759B" w:rsidRPr="0067507D" w:rsidRDefault="00F61F1D" w:rsidP="00B436E8">
            <w:pPr>
              <w:pStyle w:val="Tabletextrightbold"/>
              <w:spacing w:before="0"/>
            </w:pPr>
            <w:r w:rsidRPr="0067507D">
              <w:t>796</w:t>
            </w:r>
          </w:p>
        </w:tc>
        <w:tc>
          <w:tcPr>
            <w:tcW w:w="1044" w:type="dxa"/>
          </w:tcPr>
          <w:p w14:paraId="0B465693" w14:textId="35184BD3" w:rsidR="003A759B" w:rsidRPr="0067507D" w:rsidRDefault="00F61F1D" w:rsidP="00B436E8">
            <w:pPr>
              <w:pStyle w:val="Tabletextrightbold"/>
              <w:spacing w:before="0"/>
            </w:pPr>
            <w:r w:rsidRPr="0067507D">
              <w:t>64</w:t>
            </w:r>
          </w:p>
        </w:tc>
        <w:tc>
          <w:tcPr>
            <w:tcW w:w="684" w:type="dxa"/>
          </w:tcPr>
          <w:p w14:paraId="2473F5E2" w14:textId="26728680" w:rsidR="003A759B" w:rsidRPr="0067507D" w:rsidRDefault="00F61F1D" w:rsidP="00B436E8">
            <w:pPr>
              <w:pStyle w:val="Tabletextrightbold"/>
              <w:spacing w:before="0"/>
            </w:pPr>
            <w:r w:rsidRPr="0067507D">
              <w:t>63</w:t>
            </w:r>
          </w:p>
        </w:tc>
      </w:tr>
      <w:tr w:rsidR="0015180F" w:rsidRPr="0067507D" w14:paraId="4CEEC23C" w14:textId="77777777" w:rsidTr="00C04B33">
        <w:trPr>
          <w:cantSplit/>
        </w:trPr>
        <w:tc>
          <w:tcPr>
            <w:tcW w:w="1530" w:type="dxa"/>
            <w:vAlign w:val="bottom"/>
          </w:tcPr>
          <w:p w14:paraId="6D7F86E8" w14:textId="77777777" w:rsidR="003A759B" w:rsidRPr="0067507D" w:rsidRDefault="003A759B" w:rsidP="000E7982">
            <w:pPr>
              <w:pStyle w:val="Tabletext"/>
              <w:spacing w:before="15" w:after="15"/>
            </w:pPr>
            <w:r w:rsidRPr="0067507D">
              <w:t>Grade 1</w:t>
            </w:r>
          </w:p>
        </w:tc>
        <w:tc>
          <w:tcPr>
            <w:tcW w:w="1022" w:type="dxa"/>
            <w:shd w:val="clear" w:color="auto" w:fill="E0E0E0"/>
          </w:tcPr>
          <w:p w14:paraId="506757E2" w14:textId="6D9809BB" w:rsidR="003A759B" w:rsidRPr="0067507D" w:rsidRDefault="006E05C8" w:rsidP="000E7982">
            <w:pPr>
              <w:pStyle w:val="Tabletextright"/>
              <w:spacing w:before="15" w:after="15"/>
            </w:pPr>
            <w:r w:rsidRPr="0067507D">
              <w:t>2</w:t>
            </w:r>
          </w:p>
        </w:tc>
        <w:tc>
          <w:tcPr>
            <w:tcW w:w="659" w:type="dxa"/>
            <w:shd w:val="clear" w:color="auto" w:fill="E0E0E0"/>
          </w:tcPr>
          <w:p w14:paraId="27A35EA2" w14:textId="0F7A2B24" w:rsidR="003A759B" w:rsidRPr="0067507D" w:rsidRDefault="006E05C8" w:rsidP="000E7982">
            <w:pPr>
              <w:pStyle w:val="Tabletextright"/>
              <w:spacing w:before="15" w:after="15"/>
            </w:pPr>
            <w:r w:rsidRPr="0067507D">
              <w:t>1</w:t>
            </w:r>
          </w:p>
        </w:tc>
        <w:tc>
          <w:tcPr>
            <w:tcW w:w="1042" w:type="dxa"/>
          </w:tcPr>
          <w:p w14:paraId="4172250C" w14:textId="1E3C7201" w:rsidR="003A759B" w:rsidRPr="0067507D" w:rsidRDefault="000A55B5" w:rsidP="000E7982">
            <w:pPr>
              <w:pStyle w:val="Tabletextright"/>
              <w:spacing w:before="15" w:after="15"/>
            </w:pPr>
            <w:r w:rsidRPr="0067507D">
              <w:t>–</w:t>
            </w:r>
          </w:p>
        </w:tc>
        <w:tc>
          <w:tcPr>
            <w:tcW w:w="992" w:type="dxa"/>
          </w:tcPr>
          <w:p w14:paraId="5304200A" w14:textId="7B2271BF" w:rsidR="003A759B" w:rsidRPr="0067507D" w:rsidRDefault="000A55B5" w:rsidP="000E7982">
            <w:pPr>
              <w:pStyle w:val="Tabletextright"/>
              <w:spacing w:before="15" w:after="15"/>
            </w:pPr>
            <w:r w:rsidRPr="0067507D">
              <w:t>–</w:t>
            </w:r>
          </w:p>
        </w:tc>
        <w:tc>
          <w:tcPr>
            <w:tcW w:w="702" w:type="dxa"/>
          </w:tcPr>
          <w:p w14:paraId="604E01F0" w14:textId="4D82DAA7" w:rsidR="003A759B" w:rsidRPr="0067507D" w:rsidRDefault="000A55B5" w:rsidP="000E7982">
            <w:pPr>
              <w:pStyle w:val="Tabletextright"/>
              <w:spacing w:before="15" w:after="15"/>
            </w:pPr>
            <w:r w:rsidRPr="0067507D">
              <w:t>–</w:t>
            </w:r>
          </w:p>
        </w:tc>
        <w:tc>
          <w:tcPr>
            <w:tcW w:w="999" w:type="dxa"/>
            <w:shd w:val="clear" w:color="auto" w:fill="E0E0E0"/>
          </w:tcPr>
          <w:p w14:paraId="2BAD3A04" w14:textId="328465E7" w:rsidR="003A759B" w:rsidRPr="0067507D" w:rsidRDefault="006E05C8" w:rsidP="000E7982">
            <w:pPr>
              <w:pStyle w:val="Tabletextright"/>
              <w:spacing w:before="15" w:after="15"/>
            </w:pPr>
            <w:r w:rsidRPr="0067507D">
              <w:t>2</w:t>
            </w:r>
          </w:p>
        </w:tc>
        <w:tc>
          <w:tcPr>
            <w:tcW w:w="729" w:type="dxa"/>
            <w:shd w:val="clear" w:color="auto" w:fill="E0E0E0"/>
          </w:tcPr>
          <w:p w14:paraId="2F977F86" w14:textId="476BD09E" w:rsidR="003A759B" w:rsidRPr="0067507D" w:rsidRDefault="006E05C8" w:rsidP="000E7982">
            <w:pPr>
              <w:pStyle w:val="Tabletextright"/>
              <w:spacing w:before="15" w:after="15"/>
            </w:pPr>
            <w:r w:rsidRPr="0067507D">
              <w:t>1</w:t>
            </w:r>
          </w:p>
        </w:tc>
        <w:tc>
          <w:tcPr>
            <w:tcW w:w="1055" w:type="dxa"/>
            <w:noWrap/>
          </w:tcPr>
          <w:p w14:paraId="620409E0" w14:textId="5B94CC6C" w:rsidR="003A759B" w:rsidRPr="0067507D" w:rsidRDefault="00F61F1D" w:rsidP="000E7982">
            <w:pPr>
              <w:pStyle w:val="Tabletextright"/>
              <w:spacing w:before="15" w:after="15"/>
            </w:pPr>
            <w:r w:rsidRPr="0067507D">
              <w:t>–</w:t>
            </w:r>
          </w:p>
        </w:tc>
        <w:tc>
          <w:tcPr>
            <w:tcW w:w="673" w:type="dxa"/>
          </w:tcPr>
          <w:p w14:paraId="4FFBBA2E" w14:textId="7673266B" w:rsidR="003A759B" w:rsidRPr="0067507D" w:rsidRDefault="00F61F1D" w:rsidP="000E7982">
            <w:pPr>
              <w:pStyle w:val="Tabletextright"/>
              <w:spacing w:before="15" w:after="15"/>
            </w:pPr>
            <w:r w:rsidRPr="0067507D">
              <w:t>–</w:t>
            </w:r>
          </w:p>
        </w:tc>
        <w:tc>
          <w:tcPr>
            <w:tcW w:w="1087" w:type="dxa"/>
            <w:shd w:val="clear" w:color="auto" w:fill="E0E0E0"/>
            <w:noWrap/>
          </w:tcPr>
          <w:p w14:paraId="07224E75" w14:textId="3A95D93F" w:rsidR="003A759B" w:rsidRPr="0067507D" w:rsidRDefault="00F61F1D" w:rsidP="000E7982">
            <w:pPr>
              <w:pStyle w:val="Tabletextright"/>
              <w:spacing w:before="15" w:after="15"/>
            </w:pPr>
            <w:r w:rsidRPr="0067507D">
              <w:t>–</w:t>
            </w:r>
          </w:p>
        </w:tc>
        <w:tc>
          <w:tcPr>
            <w:tcW w:w="992" w:type="dxa"/>
            <w:shd w:val="clear" w:color="auto" w:fill="E0E0E0"/>
          </w:tcPr>
          <w:p w14:paraId="4A288684" w14:textId="21BC21D3" w:rsidR="003A759B" w:rsidRPr="0067507D" w:rsidRDefault="00F61F1D" w:rsidP="000E7982">
            <w:pPr>
              <w:pStyle w:val="Tabletextright"/>
              <w:spacing w:before="15" w:after="15"/>
            </w:pPr>
            <w:r w:rsidRPr="0067507D">
              <w:t>–</w:t>
            </w:r>
          </w:p>
        </w:tc>
        <w:tc>
          <w:tcPr>
            <w:tcW w:w="657" w:type="dxa"/>
            <w:shd w:val="clear" w:color="auto" w:fill="E0E0E0"/>
          </w:tcPr>
          <w:p w14:paraId="0FBD4FA5" w14:textId="496A709F" w:rsidR="003A759B" w:rsidRPr="0067507D" w:rsidRDefault="00F61F1D" w:rsidP="000E7982">
            <w:pPr>
              <w:pStyle w:val="Tabletextright"/>
              <w:spacing w:before="15" w:after="15"/>
            </w:pPr>
            <w:r w:rsidRPr="0067507D">
              <w:t>–</w:t>
            </w:r>
          </w:p>
        </w:tc>
        <w:tc>
          <w:tcPr>
            <w:tcW w:w="1044" w:type="dxa"/>
          </w:tcPr>
          <w:p w14:paraId="6CA530AD" w14:textId="136F5CDB" w:rsidR="003A759B" w:rsidRPr="0067507D" w:rsidRDefault="00F61F1D" w:rsidP="000E7982">
            <w:pPr>
              <w:pStyle w:val="Tabletextright"/>
              <w:spacing w:before="15" w:after="15"/>
            </w:pPr>
            <w:r w:rsidRPr="0067507D">
              <w:t>–</w:t>
            </w:r>
          </w:p>
        </w:tc>
        <w:tc>
          <w:tcPr>
            <w:tcW w:w="684" w:type="dxa"/>
          </w:tcPr>
          <w:p w14:paraId="18493E7B" w14:textId="3249EFE9" w:rsidR="003A759B" w:rsidRPr="0067507D" w:rsidRDefault="00F61F1D" w:rsidP="000E7982">
            <w:pPr>
              <w:pStyle w:val="Tabletextright"/>
              <w:spacing w:before="15" w:after="15"/>
            </w:pPr>
            <w:r w:rsidRPr="0067507D">
              <w:t>–</w:t>
            </w:r>
          </w:p>
        </w:tc>
      </w:tr>
      <w:tr w:rsidR="0015180F" w:rsidRPr="0067507D" w14:paraId="1502DA86" w14:textId="77777777" w:rsidTr="00C04B33">
        <w:trPr>
          <w:cantSplit/>
        </w:trPr>
        <w:tc>
          <w:tcPr>
            <w:tcW w:w="1530" w:type="dxa"/>
            <w:vAlign w:val="bottom"/>
          </w:tcPr>
          <w:p w14:paraId="7E9E518F" w14:textId="77777777" w:rsidR="003A759B" w:rsidRPr="0067507D" w:rsidRDefault="003A759B" w:rsidP="000E7982">
            <w:pPr>
              <w:pStyle w:val="Tabletext"/>
              <w:spacing w:before="15" w:after="15"/>
            </w:pPr>
            <w:r w:rsidRPr="0067507D">
              <w:t>Grade 2</w:t>
            </w:r>
          </w:p>
        </w:tc>
        <w:tc>
          <w:tcPr>
            <w:tcW w:w="1022" w:type="dxa"/>
            <w:shd w:val="clear" w:color="auto" w:fill="E0E0E0"/>
          </w:tcPr>
          <w:p w14:paraId="1AABCC05" w14:textId="41393E36" w:rsidR="003A759B" w:rsidRPr="0067507D" w:rsidRDefault="006E05C8" w:rsidP="000E7982">
            <w:pPr>
              <w:pStyle w:val="Tabletextright"/>
              <w:spacing w:before="15" w:after="15"/>
            </w:pPr>
            <w:r w:rsidRPr="0067507D">
              <w:t>51</w:t>
            </w:r>
          </w:p>
        </w:tc>
        <w:tc>
          <w:tcPr>
            <w:tcW w:w="659" w:type="dxa"/>
            <w:shd w:val="clear" w:color="auto" w:fill="E0E0E0"/>
          </w:tcPr>
          <w:p w14:paraId="4BBE930A" w14:textId="457474FD" w:rsidR="003A759B" w:rsidRPr="0067507D" w:rsidRDefault="006E05C8" w:rsidP="000E7982">
            <w:pPr>
              <w:pStyle w:val="Tabletextright"/>
              <w:spacing w:before="15" w:after="15"/>
            </w:pPr>
            <w:r w:rsidRPr="0067507D">
              <w:t>47</w:t>
            </w:r>
          </w:p>
        </w:tc>
        <w:tc>
          <w:tcPr>
            <w:tcW w:w="1042" w:type="dxa"/>
          </w:tcPr>
          <w:p w14:paraId="691BBB73" w14:textId="1600E702" w:rsidR="003A759B" w:rsidRPr="0067507D" w:rsidRDefault="006E05C8" w:rsidP="000E7982">
            <w:pPr>
              <w:pStyle w:val="Tabletextright"/>
              <w:spacing w:before="15" w:after="15"/>
            </w:pPr>
            <w:r w:rsidRPr="0067507D">
              <w:t>36</w:t>
            </w:r>
          </w:p>
        </w:tc>
        <w:tc>
          <w:tcPr>
            <w:tcW w:w="992" w:type="dxa"/>
          </w:tcPr>
          <w:p w14:paraId="67F31C4B" w14:textId="284A2D57" w:rsidR="003A759B" w:rsidRPr="0067507D" w:rsidRDefault="006E05C8" w:rsidP="000E7982">
            <w:pPr>
              <w:pStyle w:val="Tabletextright"/>
              <w:spacing w:before="15" w:after="15"/>
            </w:pPr>
            <w:r w:rsidRPr="0067507D">
              <w:t>11</w:t>
            </w:r>
          </w:p>
        </w:tc>
        <w:tc>
          <w:tcPr>
            <w:tcW w:w="702" w:type="dxa"/>
          </w:tcPr>
          <w:p w14:paraId="74914A33" w14:textId="3EEAE9EC" w:rsidR="003A759B" w:rsidRPr="0067507D" w:rsidRDefault="006E05C8" w:rsidP="000E7982">
            <w:pPr>
              <w:pStyle w:val="Tabletextright"/>
              <w:spacing w:before="15" w:after="15"/>
            </w:pPr>
            <w:r w:rsidRPr="0067507D">
              <w:t>43</w:t>
            </w:r>
          </w:p>
        </w:tc>
        <w:tc>
          <w:tcPr>
            <w:tcW w:w="999" w:type="dxa"/>
            <w:shd w:val="clear" w:color="auto" w:fill="E0E0E0"/>
          </w:tcPr>
          <w:p w14:paraId="04D88862" w14:textId="4C9AA3DA" w:rsidR="003A759B" w:rsidRPr="0067507D" w:rsidRDefault="006E05C8" w:rsidP="000E7982">
            <w:pPr>
              <w:pStyle w:val="Tabletextright"/>
              <w:spacing w:before="15" w:after="15"/>
            </w:pPr>
            <w:r w:rsidRPr="0067507D">
              <w:t>4</w:t>
            </w:r>
          </w:p>
        </w:tc>
        <w:tc>
          <w:tcPr>
            <w:tcW w:w="729" w:type="dxa"/>
            <w:shd w:val="clear" w:color="auto" w:fill="E0E0E0"/>
          </w:tcPr>
          <w:p w14:paraId="01F4C2D7" w14:textId="2C46D237" w:rsidR="003A759B" w:rsidRPr="0067507D" w:rsidRDefault="006E05C8" w:rsidP="000E7982">
            <w:pPr>
              <w:pStyle w:val="Tabletextright"/>
              <w:spacing w:before="15" w:after="15"/>
            </w:pPr>
            <w:r w:rsidRPr="0067507D">
              <w:t>4</w:t>
            </w:r>
          </w:p>
        </w:tc>
        <w:tc>
          <w:tcPr>
            <w:tcW w:w="1055" w:type="dxa"/>
            <w:noWrap/>
          </w:tcPr>
          <w:p w14:paraId="25E35E2A" w14:textId="4AE7E95C" w:rsidR="003A759B" w:rsidRPr="0067507D" w:rsidRDefault="00F61F1D" w:rsidP="000E7982">
            <w:pPr>
              <w:pStyle w:val="Tabletextright"/>
              <w:spacing w:before="15" w:after="15"/>
            </w:pPr>
            <w:r w:rsidRPr="0067507D">
              <w:t>72</w:t>
            </w:r>
          </w:p>
        </w:tc>
        <w:tc>
          <w:tcPr>
            <w:tcW w:w="673" w:type="dxa"/>
          </w:tcPr>
          <w:p w14:paraId="1EA0439C" w14:textId="494CDEC4" w:rsidR="003A759B" w:rsidRPr="0067507D" w:rsidRDefault="00F61F1D" w:rsidP="000E7982">
            <w:pPr>
              <w:pStyle w:val="Tabletextright"/>
              <w:spacing w:before="15" w:after="15"/>
            </w:pPr>
            <w:r w:rsidRPr="0067507D">
              <w:t>66</w:t>
            </w:r>
          </w:p>
        </w:tc>
        <w:tc>
          <w:tcPr>
            <w:tcW w:w="1087" w:type="dxa"/>
            <w:shd w:val="clear" w:color="auto" w:fill="E0E0E0"/>
            <w:noWrap/>
          </w:tcPr>
          <w:p w14:paraId="054E73B1" w14:textId="2D66374F" w:rsidR="003A759B" w:rsidRPr="0067507D" w:rsidRDefault="00F61F1D" w:rsidP="000E7982">
            <w:pPr>
              <w:pStyle w:val="Tabletextright"/>
              <w:spacing w:before="15" w:after="15"/>
            </w:pPr>
            <w:r w:rsidRPr="0067507D">
              <w:t>17</w:t>
            </w:r>
          </w:p>
        </w:tc>
        <w:tc>
          <w:tcPr>
            <w:tcW w:w="992" w:type="dxa"/>
            <w:shd w:val="clear" w:color="auto" w:fill="E0E0E0"/>
          </w:tcPr>
          <w:p w14:paraId="2DB913BC" w14:textId="3D755416" w:rsidR="003A759B" w:rsidRPr="0067507D" w:rsidRDefault="00F61F1D" w:rsidP="000E7982">
            <w:pPr>
              <w:pStyle w:val="Tabletextright"/>
              <w:spacing w:before="15" w:after="15"/>
            </w:pPr>
            <w:r w:rsidRPr="0067507D">
              <w:t>15</w:t>
            </w:r>
          </w:p>
        </w:tc>
        <w:tc>
          <w:tcPr>
            <w:tcW w:w="657" w:type="dxa"/>
            <w:shd w:val="clear" w:color="auto" w:fill="E0E0E0"/>
          </w:tcPr>
          <w:p w14:paraId="3036E33F" w14:textId="631551C1" w:rsidR="003A759B" w:rsidRPr="0067507D" w:rsidRDefault="00F61F1D" w:rsidP="000E7982">
            <w:pPr>
              <w:pStyle w:val="Tabletextright"/>
              <w:spacing w:before="15" w:after="15"/>
            </w:pPr>
            <w:r w:rsidRPr="0067507D">
              <w:t>27</w:t>
            </w:r>
          </w:p>
        </w:tc>
        <w:tc>
          <w:tcPr>
            <w:tcW w:w="1044" w:type="dxa"/>
          </w:tcPr>
          <w:p w14:paraId="44B8BA75" w14:textId="26C06E50" w:rsidR="003A759B" w:rsidRPr="0067507D" w:rsidRDefault="00F61F1D" w:rsidP="000E7982">
            <w:pPr>
              <w:pStyle w:val="Tabletextright"/>
              <w:spacing w:before="15" w:after="15"/>
            </w:pPr>
            <w:r w:rsidRPr="0067507D">
              <w:t>40</w:t>
            </w:r>
          </w:p>
        </w:tc>
        <w:tc>
          <w:tcPr>
            <w:tcW w:w="684" w:type="dxa"/>
          </w:tcPr>
          <w:p w14:paraId="7DD5FAC9" w14:textId="2DE78969" w:rsidR="003A759B" w:rsidRPr="0067507D" w:rsidRDefault="00F61F1D" w:rsidP="000E7982">
            <w:pPr>
              <w:pStyle w:val="Tabletextright"/>
              <w:spacing w:before="15" w:after="15"/>
            </w:pPr>
            <w:r w:rsidRPr="0067507D">
              <w:t>40</w:t>
            </w:r>
          </w:p>
        </w:tc>
      </w:tr>
      <w:tr w:rsidR="0015180F" w:rsidRPr="0067507D" w14:paraId="20C6BD06" w14:textId="77777777" w:rsidTr="00C04B33">
        <w:trPr>
          <w:cantSplit/>
        </w:trPr>
        <w:tc>
          <w:tcPr>
            <w:tcW w:w="1530" w:type="dxa"/>
            <w:vAlign w:val="bottom"/>
          </w:tcPr>
          <w:p w14:paraId="2985F091" w14:textId="77777777" w:rsidR="003A759B" w:rsidRPr="0067507D" w:rsidRDefault="003A759B" w:rsidP="000E7982">
            <w:pPr>
              <w:pStyle w:val="Tabletext"/>
              <w:spacing w:before="15" w:after="15"/>
            </w:pPr>
            <w:r w:rsidRPr="0067507D">
              <w:t>Grade 3</w:t>
            </w:r>
          </w:p>
        </w:tc>
        <w:tc>
          <w:tcPr>
            <w:tcW w:w="1022" w:type="dxa"/>
            <w:shd w:val="clear" w:color="auto" w:fill="E0E0E0"/>
          </w:tcPr>
          <w:p w14:paraId="126AB2C3" w14:textId="60D0F330" w:rsidR="003A759B" w:rsidRPr="0067507D" w:rsidRDefault="006E05C8" w:rsidP="000E7982">
            <w:pPr>
              <w:pStyle w:val="Tabletextright"/>
              <w:spacing w:before="15" w:after="15"/>
            </w:pPr>
            <w:r w:rsidRPr="0067507D">
              <w:t>376</w:t>
            </w:r>
          </w:p>
        </w:tc>
        <w:tc>
          <w:tcPr>
            <w:tcW w:w="659" w:type="dxa"/>
            <w:shd w:val="clear" w:color="auto" w:fill="E0E0E0"/>
          </w:tcPr>
          <w:p w14:paraId="22588C47" w14:textId="02685D96" w:rsidR="003A759B" w:rsidRPr="0067507D" w:rsidRDefault="006E05C8" w:rsidP="000E7982">
            <w:pPr>
              <w:pStyle w:val="Tabletextright"/>
              <w:spacing w:before="15" w:after="15"/>
            </w:pPr>
            <w:r w:rsidRPr="0067507D">
              <w:t>360</w:t>
            </w:r>
          </w:p>
        </w:tc>
        <w:tc>
          <w:tcPr>
            <w:tcW w:w="1042" w:type="dxa"/>
          </w:tcPr>
          <w:p w14:paraId="3A0A446E" w14:textId="025B641E" w:rsidR="003A759B" w:rsidRPr="0067507D" w:rsidRDefault="006E05C8" w:rsidP="000E7982">
            <w:pPr>
              <w:pStyle w:val="Tabletextright"/>
              <w:spacing w:before="15" w:after="15"/>
            </w:pPr>
            <w:r w:rsidRPr="0067507D">
              <w:t>305</w:t>
            </w:r>
          </w:p>
        </w:tc>
        <w:tc>
          <w:tcPr>
            <w:tcW w:w="992" w:type="dxa"/>
          </w:tcPr>
          <w:p w14:paraId="36EFF220" w14:textId="6D6A1664" w:rsidR="003A759B" w:rsidRPr="0067507D" w:rsidRDefault="006E05C8" w:rsidP="000E7982">
            <w:pPr>
              <w:pStyle w:val="Tabletextright"/>
              <w:spacing w:before="15" w:after="15"/>
            </w:pPr>
            <w:r w:rsidRPr="0067507D">
              <w:t>51</w:t>
            </w:r>
          </w:p>
        </w:tc>
        <w:tc>
          <w:tcPr>
            <w:tcW w:w="702" w:type="dxa"/>
          </w:tcPr>
          <w:p w14:paraId="2E287803" w14:textId="3D4E6AF8" w:rsidR="003A759B" w:rsidRPr="0067507D" w:rsidRDefault="006E05C8" w:rsidP="000E7982">
            <w:pPr>
              <w:pStyle w:val="Tabletextright"/>
              <w:spacing w:before="15" w:after="15"/>
            </w:pPr>
            <w:r w:rsidRPr="0067507D">
              <w:t>340</w:t>
            </w:r>
          </w:p>
        </w:tc>
        <w:tc>
          <w:tcPr>
            <w:tcW w:w="999" w:type="dxa"/>
            <w:shd w:val="clear" w:color="auto" w:fill="E0E0E0"/>
          </w:tcPr>
          <w:p w14:paraId="6190E261" w14:textId="078C7D63" w:rsidR="003A759B" w:rsidRPr="0067507D" w:rsidRDefault="006E05C8" w:rsidP="000E7982">
            <w:pPr>
              <w:pStyle w:val="Tabletextright"/>
              <w:spacing w:before="15" w:after="15"/>
            </w:pPr>
            <w:r w:rsidRPr="0067507D">
              <w:t>20</w:t>
            </w:r>
          </w:p>
        </w:tc>
        <w:tc>
          <w:tcPr>
            <w:tcW w:w="729" w:type="dxa"/>
            <w:shd w:val="clear" w:color="auto" w:fill="E0E0E0"/>
          </w:tcPr>
          <w:p w14:paraId="0E499489" w14:textId="70DB23F0" w:rsidR="003A759B" w:rsidRPr="0067507D" w:rsidRDefault="006E05C8" w:rsidP="000E7982">
            <w:pPr>
              <w:pStyle w:val="Tabletextright"/>
              <w:spacing w:before="15" w:after="15"/>
            </w:pPr>
            <w:r w:rsidRPr="0067507D">
              <w:t>20</w:t>
            </w:r>
          </w:p>
        </w:tc>
        <w:tc>
          <w:tcPr>
            <w:tcW w:w="1055" w:type="dxa"/>
            <w:noWrap/>
          </w:tcPr>
          <w:p w14:paraId="37D3F176" w14:textId="4216286B" w:rsidR="003A759B" w:rsidRPr="0067507D" w:rsidRDefault="00F61F1D" w:rsidP="000E7982">
            <w:pPr>
              <w:pStyle w:val="Tabletextright"/>
              <w:spacing w:before="15" w:after="15"/>
            </w:pPr>
            <w:r w:rsidRPr="0067507D">
              <w:t>345</w:t>
            </w:r>
          </w:p>
        </w:tc>
        <w:tc>
          <w:tcPr>
            <w:tcW w:w="673" w:type="dxa"/>
          </w:tcPr>
          <w:p w14:paraId="58E2FD5A" w14:textId="548740A4" w:rsidR="003A759B" w:rsidRPr="0067507D" w:rsidRDefault="00F61F1D" w:rsidP="000E7982">
            <w:pPr>
              <w:pStyle w:val="Tabletextright"/>
              <w:spacing w:before="15" w:after="15"/>
            </w:pPr>
            <w:r w:rsidRPr="0067507D">
              <w:t>332</w:t>
            </w:r>
          </w:p>
        </w:tc>
        <w:tc>
          <w:tcPr>
            <w:tcW w:w="1087" w:type="dxa"/>
            <w:shd w:val="clear" w:color="auto" w:fill="E0E0E0"/>
            <w:noWrap/>
          </w:tcPr>
          <w:p w14:paraId="171E5C76" w14:textId="023FE66A" w:rsidR="003A759B" w:rsidRPr="0067507D" w:rsidRDefault="00F61F1D" w:rsidP="000E7982">
            <w:pPr>
              <w:pStyle w:val="Tabletextright"/>
              <w:spacing w:before="15" w:after="15"/>
            </w:pPr>
            <w:r w:rsidRPr="0067507D">
              <w:t>284</w:t>
            </w:r>
          </w:p>
        </w:tc>
        <w:tc>
          <w:tcPr>
            <w:tcW w:w="992" w:type="dxa"/>
            <w:shd w:val="clear" w:color="auto" w:fill="E0E0E0"/>
          </w:tcPr>
          <w:p w14:paraId="02CDCA87" w14:textId="3AC98D75" w:rsidR="003A759B" w:rsidRPr="0067507D" w:rsidRDefault="00F61F1D" w:rsidP="000E7982">
            <w:pPr>
              <w:pStyle w:val="Tabletextright"/>
              <w:spacing w:before="15" w:after="15"/>
            </w:pPr>
            <w:r w:rsidRPr="0067507D">
              <w:t>44</w:t>
            </w:r>
          </w:p>
        </w:tc>
        <w:tc>
          <w:tcPr>
            <w:tcW w:w="657" w:type="dxa"/>
            <w:shd w:val="clear" w:color="auto" w:fill="E0E0E0"/>
          </w:tcPr>
          <w:p w14:paraId="2BDF3E3D" w14:textId="2127C3B6" w:rsidR="003A759B" w:rsidRPr="0067507D" w:rsidRDefault="00F61F1D" w:rsidP="000E7982">
            <w:pPr>
              <w:pStyle w:val="Tabletextright"/>
              <w:spacing w:before="15" w:after="15"/>
            </w:pPr>
            <w:r w:rsidRPr="0067507D">
              <w:t>315</w:t>
            </w:r>
          </w:p>
        </w:tc>
        <w:tc>
          <w:tcPr>
            <w:tcW w:w="1044" w:type="dxa"/>
          </w:tcPr>
          <w:p w14:paraId="2E636F8C" w14:textId="49385898" w:rsidR="003A759B" w:rsidRPr="0067507D" w:rsidRDefault="00F61F1D" w:rsidP="000E7982">
            <w:pPr>
              <w:pStyle w:val="Tabletextright"/>
              <w:spacing w:before="15" w:after="15"/>
            </w:pPr>
            <w:r w:rsidRPr="0067507D">
              <w:t>17</w:t>
            </w:r>
          </w:p>
        </w:tc>
        <w:tc>
          <w:tcPr>
            <w:tcW w:w="684" w:type="dxa"/>
          </w:tcPr>
          <w:p w14:paraId="37BB1FFB" w14:textId="01B6881F" w:rsidR="003A759B" w:rsidRPr="0067507D" w:rsidRDefault="00F61F1D" w:rsidP="000E7982">
            <w:pPr>
              <w:pStyle w:val="Tabletextright"/>
              <w:spacing w:before="15" w:after="15"/>
            </w:pPr>
            <w:r w:rsidRPr="0067507D">
              <w:t>17</w:t>
            </w:r>
          </w:p>
        </w:tc>
      </w:tr>
      <w:tr w:rsidR="0015180F" w:rsidRPr="0067507D" w14:paraId="25E18814" w14:textId="77777777" w:rsidTr="00C04B33">
        <w:trPr>
          <w:cantSplit/>
        </w:trPr>
        <w:tc>
          <w:tcPr>
            <w:tcW w:w="1530" w:type="dxa"/>
            <w:vAlign w:val="bottom"/>
          </w:tcPr>
          <w:p w14:paraId="034E44AF" w14:textId="77777777" w:rsidR="003A759B" w:rsidRPr="0067507D" w:rsidRDefault="003A759B" w:rsidP="000E7982">
            <w:pPr>
              <w:pStyle w:val="Tabletext"/>
              <w:spacing w:before="15" w:after="15"/>
            </w:pPr>
            <w:r w:rsidRPr="0067507D">
              <w:t>Grade 4</w:t>
            </w:r>
          </w:p>
        </w:tc>
        <w:tc>
          <w:tcPr>
            <w:tcW w:w="1022" w:type="dxa"/>
            <w:shd w:val="clear" w:color="auto" w:fill="E0E0E0"/>
          </w:tcPr>
          <w:p w14:paraId="6CAD9535" w14:textId="16A09FF1" w:rsidR="003A759B" w:rsidRPr="0067507D" w:rsidRDefault="006E05C8" w:rsidP="000E7982">
            <w:pPr>
              <w:pStyle w:val="Tabletextright"/>
              <w:spacing w:before="15" w:after="15"/>
            </w:pPr>
            <w:r w:rsidRPr="0067507D">
              <w:t>190</w:t>
            </w:r>
          </w:p>
        </w:tc>
        <w:tc>
          <w:tcPr>
            <w:tcW w:w="659" w:type="dxa"/>
            <w:shd w:val="clear" w:color="auto" w:fill="E0E0E0"/>
          </w:tcPr>
          <w:p w14:paraId="5A4215D4" w14:textId="34F0C67C" w:rsidR="003A759B" w:rsidRPr="0067507D" w:rsidRDefault="006E05C8" w:rsidP="000E7982">
            <w:pPr>
              <w:pStyle w:val="Tabletextright"/>
              <w:spacing w:before="15" w:after="15"/>
            </w:pPr>
            <w:r w:rsidRPr="0067507D">
              <w:t>182</w:t>
            </w:r>
          </w:p>
        </w:tc>
        <w:tc>
          <w:tcPr>
            <w:tcW w:w="1042" w:type="dxa"/>
          </w:tcPr>
          <w:p w14:paraId="344C556F" w14:textId="2A78410C" w:rsidR="003A759B" w:rsidRPr="0067507D" w:rsidRDefault="006E05C8" w:rsidP="000E7982">
            <w:pPr>
              <w:pStyle w:val="Tabletextright"/>
              <w:spacing w:before="15" w:after="15"/>
            </w:pPr>
            <w:r w:rsidRPr="0067507D">
              <w:t>164</w:t>
            </w:r>
          </w:p>
        </w:tc>
        <w:tc>
          <w:tcPr>
            <w:tcW w:w="992" w:type="dxa"/>
          </w:tcPr>
          <w:p w14:paraId="6F7660FB" w14:textId="39818393" w:rsidR="003A759B" w:rsidRPr="0067507D" w:rsidRDefault="006E05C8" w:rsidP="000E7982">
            <w:pPr>
              <w:pStyle w:val="Tabletextright"/>
              <w:spacing w:before="15" w:after="15"/>
            </w:pPr>
            <w:r w:rsidRPr="0067507D">
              <w:t>24</w:t>
            </w:r>
          </w:p>
        </w:tc>
        <w:tc>
          <w:tcPr>
            <w:tcW w:w="702" w:type="dxa"/>
          </w:tcPr>
          <w:p w14:paraId="2B737F56" w14:textId="23193085" w:rsidR="003A759B" w:rsidRPr="0067507D" w:rsidRDefault="006E05C8" w:rsidP="000E7982">
            <w:pPr>
              <w:pStyle w:val="Tabletextright"/>
              <w:spacing w:before="15" w:after="15"/>
            </w:pPr>
            <w:r w:rsidRPr="0067507D">
              <w:t>180</w:t>
            </w:r>
          </w:p>
        </w:tc>
        <w:tc>
          <w:tcPr>
            <w:tcW w:w="999" w:type="dxa"/>
            <w:shd w:val="clear" w:color="auto" w:fill="E0E0E0"/>
          </w:tcPr>
          <w:p w14:paraId="08E8CD5A" w14:textId="48166868" w:rsidR="003A759B" w:rsidRPr="0067507D" w:rsidRDefault="006E05C8" w:rsidP="000E7982">
            <w:pPr>
              <w:pStyle w:val="Tabletextright"/>
              <w:spacing w:before="15" w:after="15"/>
            </w:pPr>
            <w:r w:rsidRPr="0067507D">
              <w:t>2</w:t>
            </w:r>
          </w:p>
        </w:tc>
        <w:tc>
          <w:tcPr>
            <w:tcW w:w="729" w:type="dxa"/>
            <w:shd w:val="clear" w:color="auto" w:fill="E0E0E0"/>
          </w:tcPr>
          <w:p w14:paraId="661AB7A1" w14:textId="67CE91E4" w:rsidR="003A759B" w:rsidRPr="0067507D" w:rsidRDefault="006E05C8" w:rsidP="000E7982">
            <w:pPr>
              <w:pStyle w:val="Tabletextright"/>
              <w:spacing w:before="15" w:after="15"/>
            </w:pPr>
            <w:r w:rsidRPr="0067507D">
              <w:t>2</w:t>
            </w:r>
          </w:p>
        </w:tc>
        <w:tc>
          <w:tcPr>
            <w:tcW w:w="1055" w:type="dxa"/>
            <w:noWrap/>
          </w:tcPr>
          <w:p w14:paraId="2A0395B3" w14:textId="29E13E55" w:rsidR="003A759B" w:rsidRPr="0067507D" w:rsidRDefault="00F61F1D" w:rsidP="000E7982">
            <w:pPr>
              <w:pStyle w:val="Tabletextright"/>
              <w:spacing w:before="15" w:after="15"/>
            </w:pPr>
            <w:r w:rsidRPr="0067507D">
              <w:t>183</w:t>
            </w:r>
          </w:p>
        </w:tc>
        <w:tc>
          <w:tcPr>
            <w:tcW w:w="673" w:type="dxa"/>
          </w:tcPr>
          <w:p w14:paraId="6692B151" w14:textId="2E7FCEB5" w:rsidR="003A759B" w:rsidRPr="0067507D" w:rsidRDefault="00F61F1D" w:rsidP="000E7982">
            <w:pPr>
              <w:pStyle w:val="Tabletextright"/>
              <w:spacing w:before="15" w:after="15"/>
            </w:pPr>
            <w:r w:rsidRPr="0067507D">
              <w:t>174</w:t>
            </w:r>
          </w:p>
        </w:tc>
        <w:tc>
          <w:tcPr>
            <w:tcW w:w="1087" w:type="dxa"/>
            <w:shd w:val="clear" w:color="auto" w:fill="E0E0E0"/>
            <w:noWrap/>
          </w:tcPr>
          <w:p w14:paraId="24A96098" w14:textId="7416EE08" w:rsidR="003A759B" w:rsidRPr="0067507D" w:rsidRDefault="00F61F1D" w:rsidP="000E7982">
            <w:pPr>
              <w:pStyle w:val="Tabletextright"/>
              <w:spacing w:before="15" w:after="15"/>
            </w:pPr>
            <w:r w:rsidRPr="0067507D">
              <w:t>154</w:t>
            </w:r>
          </w:p>
        </w:tc>
        <w:tc>
          <w:tcPr>
            <w:tcW w:w="992" w:type="dxa"/>
            <w:shd w:val="clear" w:color="auto" w:fill="E0E0E0"/>
          </w:tcPr>
          <w:p w14:paraId="10EB7DD7" w14:textId="2CC813DB" w:rsidR="003A759B" w:rsidRPr="0067507D" w:rsidRDefault="00F61F1D" w:rsidP="000E7982">
            <w:pPr>
              <w:pStyle w:val="Tabletextright"/>
              <w:spacing w:before="15" w:after="15"/>
            </w:pPr>
            <w:r w:rsidRPr="0067507D">
              <w:t>27</w:t>
            </w:r>
          </w:p>
        </w:tc>
        <w:tc>
          <w:tcPr>
            <w:tcW w:w="657" w:type="dxa"/>
            <w:shd w:val="clear" w:color="auto" w:fill="E0E0E0"/>
          </w:tcPr>
          <w:p w14:paraId="354753AF" w14:textId="4D3ECFB8" w:rsidR="003A759B" w:rsidRPr="0067507D" w:rsidRDefault="00F61F1D" w:rsidP="000E7982">
            <w:pPr>
              <w:pStyle w:val="Tabletextright"/>
              <w:spacing w:before="15" w:after="15"/>
            </w:pPr>
            <w:r w:rsidRPr="0067507D">
              <w:t>172</w:t>
            </w:r>
          </w:p>
        </w:tc>
        <w:tc>
          <w:tcPr>
            <w:tcW w:w="1044" w:type="dxa"/>
          </w:tcPr>
          <w:p w14:paraId="0C622B5B" w14:textId="6FB1265B" w:rsidR="003A759B" w:rsidRPr="0067507D" w:rsidRDefault="00F61F1D" w:rsidP="000E7982">
            <w:pPr>
              <w:pStyle w:val="Tabletextright"/>
              <w:spacing w:before="15" w:after="15"/>
            </w:pPr>
            <w:r w:rsidRPr="0067507D">
              <w:t>2</w:t>
            </w:r>
          </w:p>
        </w:tc>
        <w:tc>
          <w:tcPr>
            <w:tcW w:w="684" w:type="dxa"/>
          </w:tcPr>
          <w:p w14:paraId="2D26002D" w14:textId="39DF0E55" w:rsidR="003A759B" w:rsidRPr="0067507D" w:rsidRDefault="00F61F1D" w:rsidP="000E7982">
            <w:pPr>
              <w:pStyle w:val="Tabletextright"/>
              <w:spacing w:before="15" w:after="15"/>
            </w:pPr>
            <w:r w:rsidRPr="0067507D">
              <w:t>2</w:t>
            </w:r>
          </w:p>
        </w:tc>
      </w:tr>
      <w:tr w:rsidR="0015180F" w:rsidRPr="0067507D" w14:paraId="7A8FAE10" w14:textId="77777777" w:rsidTr="00C04B33">
        <w:trPr>
          <w:cantSplit/>
        </w:trPr>
        <w:tc>
          <w:tcPr>
            <w:tcW w:w="1530" w:type="dxa"/>
            <w:vAlign w:val="bottom"/>
          </w:tcPr>
          <w:p w14:paraId="582E36EA" w14:textId="77777777" w:rsidR="003A759B" w:rsidRPr="0067507D" w:rsidRDefault="003A759B" w:rsidP="000E7982">
            <w:pPr>
              <w:pStyle w:val="Tabletext"/>
              <w:spacing w:before="15" w:after="15"/>
            </w:pPr>
            <w:r w:rsidRPr="0067507D">
              <w:t>Grade 5</w:t>
            </w:r>
          </w:p>
        </w:tc>
        <w:tc>
          <w:tcPr>
            <w:tcW w:w="1022" w:type="dxa"/>
            <w:shd w:val="clear" w:color="auto" w:fill="E0E0E0"/>
          </w:tcPr>
          <w:p w14:paraId="7FFD8C11" w14:textId="4FD0D946" w:rsidR="003A759B" w:rsidRPr="0067507D" w:rsidRDefault="006E05C8" w:rsidP="000E7982">
            <w:pPr>
              <w:pStyle w:val="Tabletextright"/>
              <w:spacing w:before="15" w:after="15"/>
            </w:pPr>
            <w:r w:rsidRPr="0067507D">
              <w:t>232</w:t>
            </w:r>
          </w:p>
        </w:tc>
        <w:tc>
          <w:tcPr>
            <w:tcW w:w="659" w:type="dxa"/>
            <w:shd w:val="clear" w:color="auto" w:fill="E0E0E0"/>
          </w:tcPr>
          <w:p w14:paraId="3CF358F2" w14:textId="2B82E68D" w:rsidR="003A759B" w:rsidRPr="0067507D" w:rsidRDefault="006E05C8" w:rsidP="000E7982">
            <w:pPr>
              <w:pStyle w:val="Tabletextright"/>
              <w:spacing w:before="15" w:after="15"/>
            </w:pPr>
            <w:r w:rsidRPr="0067507D">
              <w:t>225</w:t>
            </w:r>
          </w:p>
        </w:tc>
        <w:tc>
          <w:tcPr>
            <w:tcW w:w="1042" w:type="dxa"/>
          </w:tcPr>
          <w:p w14:paraId="5EA7FDA0" w14:textId="66529E1B" w:rsidR="003A759B" w:rsidRPr="0067507D" w:rsidRDefault="006E05C8" w:rsidP="000E7982">
            <w:pPr>
              <w:pStyle w:val="Tabletextright"/>
              <w:spacing w:before="15" w:after="15"/>
            </w:pPr>
            <w:r w:rsidRPr="0067507D">
              <w:t>205</w:t>
            </w:r>
          </w:p>
        </w:tc>
        <w:tc>
          <w:tcPr>
            <w:tcW w:w="992" w:type="dxa"/>
          </w:tcPr>
          <w:p w14:paraId="6DB9C86D" w14:textId="2F11F432" w:rsidR="003A759B" w:rsidRPr="0067507D" w:rsidRDefault="006E05C8" w:rsidP="000E7982">
            <w:pPr>
              <w:pStyle w:val="Tabletextright"/>
              <w:spacing w:before="15" w:after="15"/>
            </w:pPr>
            <w:r w:rsidRPr="0067507D">
              <w:t>25</w:t>
            </w:r>
          </w:p>
        </w:tc>
        <w:tc>
          <w:tcPr>
            <w:tcW w:w="702" w:type="dxa"/>
          </w:tcPr>
          <w:p w14:paraId="0B4AED9E" w14:textId="35DDA525" w:rsidR="003A759B" w:rsidRPr="0067507D" w:rsidRDefault="006E05C8" w:rsidP="000E7982">
            <w:pPr>
              <w:pStyle w:val="Tabletextright"/>
              <w:spacing w:before="15" w:after="15"/>
            </w:pPr>
            <w:r w:rsidRPr="0067507D">
              <w:t>223</w:t>
            </w:r>
          </w:p>
        </w:tc>
        <w:tc>
          <w:tcPr>
            <w:tcW w:w="999" w:type="dxa"/>
            <w:shd w:val="clear" w:color="auto" w:fill="E0E0E0"/>
          </w:tcPr>
          <w:p w14:paraId="548A8F27" w14:textId="31AABBB6" w:rsidR="003A759B" w:rsidRPr="0067507D" w:rsidRDefault="006E05C8" w:rsidP="000E7982">
            <w:pPr>
              <w:pStyle w:val="Tabletextright"/>
              <w:spacing w:before="15" w:after="15"/>
            </w:pPr>
            <w:r w:rsidRPr="0067507D">
              <w:t>2</w:t>
            </w:r>
          </w:p>
        </w:tc>
        <w:tc>
          <w:tcPr>
            <w:tcW w:w="729" w:type="dxa"/>
            <w:shd w:val="clear" w:color="auto" w:fill="E0E0E0"/>
          </w:tcPr>
          <w:p w14:paraId="62A2B351" w14:textId="7E3E15E1" w:rsidR="003A759B" w:rsidRPr="0067507D" w:rsidRDefault="006E05C8" w:rsidP="000E7982">
            <w:pPr>
              <w:pStyle w:val="Tabletextright"/>
              <w:spacing w:before="15" w:after="15"/>
            </w:pPr>
            <w:r w:rsidRPr="0067507D">
              <w:t>2</w:t>
            </w:r>
          </w:p>
        </w:tc>
        <w:tc>
          <w:tcPr>
            <w:tcW w:w="1055" w:type="dxa"/>
            <w:noWrap/>
          </w:tcPr>
          <w:p w14:paraId="16C616B3" w14:textId="07C6FBFE" w:rsidR="003A759B" w:rsidRPr="0067507D" w:rsidRDefault="00F61F1D" w:rsidP="000E7982">
            <w:pPr>
              <w:pStyle w:val="Tabletextright"/>
              <w:spacing w:before="15" w:after="15"/>
            </w:pPr>
            <w:r w:rsidRPr="0067507D">
              <w:t>215</w:t>
            </w:r>
          </w:p>
        </w:tc>
        <w:tc>
          <w:tcPr>
            <w:tcW w:w="673" w:type="dxa"/>
          </w:tcPr>
          <w:p w14:paraId="48619690" w14:textId="4F2489C1" w:rsidR="003A759B" w:rsidRPr="0067507D" w:rsidRDefault="00F61F1D" w:rsidP="000E7982">
            <w:pPr>
              <w:pStyle w:val="Tabletextright"/>
              <w:spacing w:before="15" w:after="15"/>
            </w:pPr>
            <w:r w:rsidRPr="0067507D">
              <w:t>209</w:t>
            </w:r>
          </w:p>
        </w:tc>
        <w:tc>
          <w:tcPr>
            <w:tcW w:w="1087" w:type="dxa"/>
            <w:shd w:val="clear" w:color="auto" w:fill="E0E0E0"/>
            <w:noWrap/>
          </w:tcPr>
          <w:p w14:paraId="62D9DB5E" w14:textId="02592E55" w:rsidR="003A759B" w:rsidRPr="0067507D" w:rsidRDefault="00F61F1D" w:rsidP="000E7982">
            <w:pPr>
              <w:pStyle w:val="Tabletextright"/>
              <w:spacing w:before="15" w:after="15"/>
            </w:pPr>
            <w:r w:rsidRPr="0067507D">
              <w:t>188</w:t>
            </w:r>
          </w:p>
        </w:tc>
        <w:tc>
          <w:tcPr>
            <w:tcW w:w="992" w:type="dxa"/>
            <w:shd w:val="clear" w:color="auto" w:fill="E0E0E0"/>
          </w:tcPr>
          <w:p w14:paraId="5AC182CF" w14:textId="3960D4D7" w:rsidR="003A759B" w:rsidRPr="0067507D" w:rsidRDefault="00F61F1D" w:rsidP="000E7982">
            <w:pPr>
              <w:pStyle w:val="Tabletextright"/>
              <w:spacing w:before="15" w:after="15"/>
            </w:pPr>
            <w:r w:rsidRPr="0067507D">
              <w:t>23</w:t>
            </w:r>
          </w:p>
        </w:tc>
        <w:tc>
          <w:tcPr>
            <w:tcW w:w="657" w:type="dxa"/>
            <w:shd w:val="clear" w:color="auto" w:fill="E0E0E0"/>
          </w:tcPr>
          <w:p w14:paraId="4CC41AFC" w14:textId="5E7BAF49" w:rsidR="003A759B" w:rsidRPr="0067507D" w:rsidRDefault="00F61F1D" w:rsidP="000E7982">
            <w:pPr>
              <w:pStyle w:val="Tabletextright"/>
              <w:spacing w:before="15" w:after="15"/>
            </w:pPr>
            <w:r w:rsidRPr="0067507D">
              <w:t>205</w:t>
            </w:r>
          </w:p>
        </w:tc>
        <w:tc>
          <w:tcPr>
            <w:tcW w:w="1044" w:type="dxa"/>
          </w:tcPr>
          <w:p w14:paraId="1A4C22F2" w14:textId="0DF2E29A" w:rsidR="003A759B" w:rsidRPr="0067507D" w:rsidRDefault="00F61F1D" w:rsidP="000E7982">
            <w:pPr>
              <w:pStyle w:val="Tabletextright"/>
              <w:spacing w:before="15" w:after="15"/>
            </w:pPr>
            <w:r w:rsidRPr="0067507D">
              <w:t>4</w:t>
            </w:r>
          </w:p>
        </w:tc>
        <w:tc>
          <w:tcPr>
            <w:tcW w:w="684" w:type="dxa"/>
          </w:tcPr>
          <w:p w14:paraId="75E558E1" w14:textId="2A2812EA" w:rsidR="003A759B" w:rsidRPr="0067507D" w:rsidRDefault="00F61F1D" w:rsidP="000E7982">
            <w:pPr>
              <w:pStyle w:val="Tabletextright"/>
              <w:spacing w:before="15" w:after="15"/>
            </w:pPr>
            <w:r w:rsidRPr="0067507D">
              <w:t>4</w:t>
            </w:r>
          </w:p>
        </w:tc>
      </w:tr>
      <w:tr w:rsidR="0015180F" w:rsidRPr="0067507D" w14:paraId="1BD9A7B4" w14:textId="77777777" w:rsidTr="00C04B33">
        <w:trPr>
          <w:cantSplit/>
        </w:trPr>
        <w:tc>
          <w:tcPr>
            <w:tcW w:w="1530" w:type="dxa"/>
            <w:vAlign w:val="bottom"/>
          </w:tcPr>
          <w:p w14:paraId="7515A59A" w14:textId="77777777" w:rsidR="003A759B" w:rsidRPr="0067507D" w:rsidRDefault="003A759B" w:rsidP="000E7982">
            <w:pPr>
              <w:pStyle w:val="Tabletext"/>
              <w:spacing w:before="15" w:after="15"/>
              <w:rPr>
                <w:vertAlign w:val="superscript"/>
              </w:rPr>
            </w:pPr>
            <w:r w:rsidRPr="0067507D">
              <w:t>Grade 6</w:t>
            </w:r>
          </w:p>
        </w:tc>
        <w:tc>
          <w:tcPr>
            <w:tcW w:w="1022" w:type="dxa"/>
            <w:shd w:val="clear" w:color="auto" w:fill="E0E0E0"/>
          </w:tcPr>
          <w:p w14:paraId="5A7F06A5" w14:textId="343FA3F2" w:rsidR="003A759B" w:rsidRPr="0067507D" w:rsidRDefault="006E05C8" w:rsidP="000E7982">
            <w:pPr>
              <w:pStyle w:val="Tabletextright"/>
              <w:spacing w:before="15" w:after="15"/>
            </w:pPr>
            <w:r w:rsidRPr="0067507D">
              <w:t>79</w:t>
            </w:r>
          </w:p>
        </w:tc>
        <w:tc>
          <w:tcPr>
            <w:tcW w:w="659" w:type="dxa"/>
            <w:shd w:val="clear" w:color="auto" w:fill="E0E0E0"/>
          </w:tcPr>
          <w:p w14:paraId="562ED1F7" w14:textId="63A32D09" w:rsidR="003A759B" w:rsidRPr="0067507D" w:rsidRDefault="006E05C8" w:rsidP="000E7982">
            <w:pPr>
              <w:pStyle w:val="Tabletextright"/>
              <w:spacing w:before="15" w:after="15"/>
            </w:pPr>
            <w:r w:rsidRPr="0067507D">
              <w:t>77</w:t>
            </w:r>
          </w:p>
        </w:tc>
        <w:tc>
          <w:tcPr>
            <w:tcW w:w="1042" w:type="dxa"/>
          </w:tcPr>
          <w:p w14:paraId="5D39CB64" w14:textId="530E69BA" w:rsidR="003A759B" w:rsidRPr="0067507D" w:rsidRDefault="006E05C8" w:rsidP="000E7982">
            <w:pPr>
              <w:pStyle w:val="Tabletextright"/>
              <w:spacing w:before="15" w:after="15"/>
            </w:pPr>
            <w:r w:rsidRPr="0067507D">
              <w:t>68</w:t>
            </w:r>
          </w:p>
        </w:tc>
        <w:tc>
          <w:tcPr>
            <w:tcW w:w="992" w:type="dxa"/>
          </w:tcPr>
          <w:p w14:paraId="0D3CB34B" w14:textId="38C26AD2" w:rsidR="003A759B" w:rsidRPr="0067507D" w:rsidRDefault="006E05C8" w:rsidP="000E7982">
            <w:pPr>
              <w:pStyle w:val="Tabletextright"/>
              <w:spacing w:before="15" w:after="15"/>
            </w:pPr>
            <w:r w:rsidRPr="0067507D">
              <w:t>9</w:t>
            </w:r>
          </w:p>
        </w:tc>
        <w:tc>
          <w:tcPr>
            <w:tcW w:w="702" w:type="dxa"/>
          </w:tcPr>
          <w:p w14:paraId="6CB6F04D" w14:textId="3CE2CBCD" w:rsidR="003A759B" w:rsidRPr="0067507D" w:rsidRDefault="006E05C8" w:rsidP="000E7982">
            <w:pPr>
              <w:pStyle w:val="Tabletextright"/>
              <w:spacing w:before="15" w:after="15"/>
            </w:pPr>
            <w:r w:rsidRPr="0067507D">
              <w:t>75</w:t>
            </w:r>
          </w:p>
        </w:tc>
        <w:tc>
          <w:tcPr>
            <w:tcW w:w="999" w:type="dxa"/>
            <w:shd w:val="clear" w:color="auto" w:fill="E0E0E0"/>
          </w:tcPr>
          <w:p w14:paraId="412DB2AF" w14:textId="213C21C2" w:rsidR="003A759B" w:rsidRPr="0067507D" w:rsidRDefault="006E05C8" w:rsidP="000E7982">
            <w:pPr>
              <w:pStyle w:val="Tabletextright"/>
              <w:spacing w:before="15" w:after="15"/>
            </w:pPr>
            <w:r w:rsidRPr="0067507D">
              <w:t>2</w:t>
            </w:r>
          </w:p>
        </w:tc>
        <w:tc>
          <w:tcPr>
            <w:tcW w:w="729" w:type="dxa"/>
            <w:shd w:val="clear" w:color="auto" w:fill="E0E0E0"/>
          </w:tcPr>
          <w:p w14:paraId="112CAF08" w14:textId="4B76368D" w:rsidR="003A759B" w:rsidRPr="0067507D" w:rsidRDefault="006E05C8" w:rsidP="000E7982">
            <w:pPr>
              <w:pStyle w:val="Tabletextright"/>
              <w:spacing w:before="15" w:after="15"/>
            </w:pPr>
            <w:r w:rsidRPr="0067507D">
              <w:t>2</w:t>
            </w:r>
          </w:p>
        </w:tc>
        <w:tc>
          <w:tcPr>
            <w:tcW w:w="1055" w:type="dxa"/>
            <w:noWrap/>
          </w:tcPr>
          <w:p w14:paraId="7A437602" w14:textId="6D848273" w:rsidR="003A759B" w:rsidRPr="0067507D" w:rsidRDefault="00F61F1D" w:rsidP="000E7982">
            <w:pPr>
              <w:pStyle w:val="Tabletextright"/>
              <w:spacing w:before="15" w:after="15"/>
            </w:pPr>
            <w:r w:rsidRPr="0067507D">
              <w:t>80</w:t>
            </w:r>
            <w:r w:rsidR="007C2B04" w:rsidRPr="0067507D">
              <w:t xml:space="preserve"> </w:t>
            </w:r>
            <w:r w:rsidRPr="0067507D">
              <w:rPr>
                <w:vertAlign w:val="superscript"/>
              </w:rPr>
              <w:t>(</w:t>
            </w:r>
            <w:r w:rsidR="00857D97" w:rsidRPr="0067507D">
              <w:rPr>
                <w:vertAlign w:val="superscript"/>
              </w:rPr>
              <w:t>b</w:t>
            </w:r>
            <w:r w:rsidRPr="0067507D">
              <w:rPr>
                <w:vertAlign w:val="superscript"/>
              </w:rPr>
              <w:t>)</w:t>
            </w:r>
          </w:p>
        </w:tc>
        <w:tc>
          <w:tcPr>
            <w:tcW w:w="673" w:type="dxa"/>
          </w:tcPr>
          <w:p w14:paraId="09131C19" w14:textId="0392F194" w:rsidR="003A759B" w:rsidRPr="0067507D" w:rsidRDefault="00F61F1D" w:rsidP="000E7982">
            <w:pPr>
              <w:pStyle w:val="Tabletextright"/>
              <w:spacing w:before="15" w:after="15"/>
            </w:pPr>
            <w:r w:rsidRPr="0067507D">
              <w:t>78</w:t>
            </w:r>
          </w:p>
        </w:tc>
        <w:tc>
          <w:tcPr>
            <w:tcW w:w="1087" w:type="dxa"/>
            <w:shd w:val="clear" w:color="auto" w:fill="E0E0E0"/>
            <w:noWrap/>
          </w:tcPr>
          <w:p w14:paraId="3D2997D1" w14:textId="3FFDB4F8" w:rsidR="003A759B" w:rsidRPr="0067507D" w:rsidRDefault="00F61F1D" w:rsidP="000E7982">
            <w:pPr>
              <w:pStyle w:val="Tabletextright"/>
              <w:spacing w:before="15" w:after="15"/>
            </w:pPr>
            <w:r w:rsidRPr="0067507D">
              <w:t>71</w:t>
            </w:r>
          </w:p>
        </w:tc>
        <w:tc>
          <w:tcPr>
            <w:tcW w:w="992" w:type="dxa"/>
            <w:shd w:val="clear" w:color="auto" w:fill="E0E0E0"/>
          </w:tcPr>
          <w:p w14:paraId="7FB1F142" w14:textId="3F3AA0A3" w:rsidR="003A759B" w:rsidRPr="0067507D" w:rsidRDefault="00F61F1D" w:rsidP="000E7982">
            <w:pPr>
              <w:pStyle w:val="Tabletextright"/>
              <w:spacing w:before="15" w:after="15"/>
            </w:pPr>
            <w:r w:rsidRPr="0067507D">
              <w:t>8</w:t>
            </w:r>
          </w:p>
        </w:tc>
        <w:tc>
          <w:tcPr>
            <w:tcW w:w="657" w:type="dxa"/>
            <w:shd w:val="clear" w:color="auto" w:fill="E0E0E0"/>
          </w:tcPr>
          <w:p w14:paraId="688163FD" w14:textId="4CA4B443" w:rsidR="003A759B" w:rsidRPr="0067507D" w:rsidRDefault="00F61F1D" w:rsidP="000E7982">
            <w:pPr>
              <w:pStyle w:val="Tabletextright"/>
              <w:spacing w:before="15" w:after="15"/>
            </w:pPr>
            <w:r w:rsidRPr="0067507D">
              <w:t>77</w:t>
            </w:r>
          </w:p>
        </w:tc>
        <w:tc>
          <w:tcPr>
            <w:tcW w:w="1044" w:type="dxa"/>
          </w:tcPr>
          <w:p w14:paraId="46E5DA38" w14:textId="6A57FF8B" w:rsidR="003A759B" w:rsidRPr="0067507D" w:rsidRDefault="00F61F1D" w:rsidP="000E7982">
            <w:pPr>
              <w:pStyle w:val="Tabletextright"/>
              <w:spacing w:before="15" w:after="15"/>
            </w:pPr>
            <w:r w:rsidRPr="0067507D">
              <w:t>1</w:t>
            </w:r>
          </w:p>
        </w:tc>
        <w:tc>
          <w:tcPr>
            <w:tcW w:w="684" w:type="dxa"/>
          </w:tcPr>
          <w:p w14:paraId="7AF1731A" w14:textId="3301C2AD" w:rsidR="003A759B" w:rsidRPr="0067507D" w:rsidRDefault="00F61F1D" w:rsidP="000E7982">
            <w:pPr>
              <w:pStyle w:val="Tabletextright"/>
              <w:spacing w:before="15" w:after="15"/>
            </w:pPr>
            <w:r w:rsidRPr="0067507D">
              <w:t>1</w:t>
            </w:r>
          </w:p>
        </w:tc>
      </w:tr>
      <w:tr w:rsidR="00791F8C" w:rsidRPr="0067507D" w14:paraId="22077DE8" w14:textId="77777777" w:rsidTr="00C04B33">
        <w:trPr>
          <w:cantSplit/>
        </w:trPr>
        <w:tc>
          <w:tcPr>
            <w:tcW w:w="1530" w:type="dxa"/>
          </w:tcPr>
          <w:p w14:paraId="08037697" w14:textId="77777777" w:rsidR="003A759B" w:rsidRPr="0067507D" w:rsidRDefault="003A759B" w:rsidP="00A721E2">
            <w:pPr>
              <w:pStyle w:val="Tabletext"/>
              <w:spacing w:before="0" w:after="0"/>
              <w:rPr>
                <w:sz w:val="6"/>
              </w:rPr>
            </w:pPr>
          </w:p>
        </w:tc>
        <w:tc>
          <w:tcPr>
            <w:tcW w:w="1022" w:type="dxa"/>
            <w:shd w:val="clear" w:color="auto" w:fill="E0E0E0"/>
          </w:tcPr>
          <w:p w14:paraId="07E93C4D" w14:textId="77777777" w:rsidR="003A759B" w:rsidRPr="0067507D" w:rsidRDefault="003A759B" w:rsidP="00A721E2">
            <w:pPr>
              <w:pStyle w:val="Tabletextright"/>
              <w:spacing w:before="0" w:after="0"/>
              <w:rPr>
                <w:rFonts w:cstheme="minorHAnsi"/>
                <w:sz w:val="6"/>
              </w:rPr>
            </w:pPr>
          </w:p>
        </w:tc>
        <w:tc>
          <w:tcPr>
            <w:tcW w:w="659" w:type="dxa"/>
            <w:shd w:val="clear" w:color="auto" w:fill="E0E0E0"/>
          </w:tcPr>
          <w:p w14:paraId="19BB075A" w14:textId="77777777" w:rsidR="003A759B" w:rsidRPr="0067507D" w:rsidRDefault="003A759B" w:rsidP="00A721E2">
            <w:pPr>
              <w:pStyle w:val="Tabletextright"/>
              <w:spacing w:before="0" w:after="0"/>
              <w:rPr>
                <w:rFonts w:cstheme="minorHAnsi"/>
                <w:sz w:val="6"/>
              </w:rPr>
            </w:pPr>
          </w:p>
        </w:tc>
        <w:tc>
          <w:tcPr>
            <w:tcW w:w="1042" w:type="dxa"/>
          </w:tcPr>
          <w:p w14:paraId="3715D612" w14:textId="77777777" w:rsidR="003A759B" w:rsidRPr="0067507D" w:rsidRDefault="003A759B" w:rsidP="00A721E2">
            <w:pPr>
              <w:pStyle w:val="Tabletextright"/>
              <w:spacing w:before="0" w:after="0"/>
              <w:rPr>
                <w:rFonts w:cstheme="minorHAnsi"/>
                <w:sz w:val="6"/>
              </w:rPr>
            </w:pPr>
          </w:p>
        </w:tc>
        <w:tc>
          <w:tcPr>
            <w:tcW w:w="992" w:type="dxa"/>
          </w:tcPr>
          <w:p w14:paraId="5BC24A3A" w14:textId="77777777" w:rsidR="003A759B" w:rsidRPr="0067507D" w:rsidRDefault="003A759B" w:rsidP="00A721E2">
            <w:pPr>
              <w:pStyle w:val="Tabletextright"/>
              <w:spacing w:before="0" w:after="0"/>
              <w:rPr>
                <w:sz w:val="6"/>
              </w:rPr>
            </w:pPr>
          </w:p>
        </w:tc>
        <w:tc>
          <w:tcPr>
            <w:tcW w:w="702" w:type="dxa"/>
          </w:tcPr>
          <w:p w14:paraId="47A67D2B" w14:textId="77777777" w:rsidR="003A759B" w:rsidRPr="0067507D" w:rsidRDefault="003A759B" w:rsidP="00A721E2">
            <w:pPr>
              <w:pStyle w:val="Tabletextright"/>
              <w:spacing w:before="0" w:after="0"/>
              <w:rPr>
                <w:sz w:val="6"/>
              </w:rPr>
            </w:pPr>
          </w:p>
        </w:tc>
        <w:tc>
          <w:tcPr>
            <w:tcW w:w="999" w:type="dxa"/>
            <w:shd w:val="clear" w:color="auto" w:fill="E0E0E0"/>
          </w:tcPr>
          <w:p w14:paraId="591CBC40" w14:textId="77777777" w:rsidR="003A759B" w:rsidRPr="0067507D" w:rsidRDefault="003A759B" w:rsidP="00A721E2">
            <w:pPr>
              <w:pStyle w:val="Tabletextright"/>
              <w:spacing w:before="0" w:after="0"/>
              <w:rPr>
                <w:sz w:val="6"/>
              </w:rPr>
            </w:pPr>
          </w:p>
        </w:tc>
        <w:tc>
          <w:tcPr>
            <w:tcW w:w="729" w:type="dxa"/>
            <w:shd w:val="clear" w:color="auto" w:fill="E0E0E0"/>
          </w:tcPr>
          <w:p w14:paraId="3E6ED717" w14:textId="77777777" w:rsidR="003A759B" w:rsidRPr="0067507D" w:rsidRDefault="003A759B" w:rsidP="00A721E2">
            <w:pPr>
              <w:pStyle w:val="Tabletextright"/>
              <w:spacing w:before="0" w:after="0"/>
              <w:rPr>
                <w:sz w:val="6"/>
              </w:rPr>
            </w:pPr>
          </w:p>
        </w:tc>
        <w:tc>
          <w:tcPr>
            <w:tcW w:w="1055" w:type="dxa"/>
            <w:noWrap/>
          </w:tcPr>
          <w:p w14:paraId="3D3E6027" w14:textId="77777777" w:rsidR="003A759B" w:rsidRPr="0067507D" w:rsidRDefault="003A759B" w:rsidP="00A721E2">
            <w:pPr>
              <w:pStyle w:val="Tabletextright"/>
              <w:spacing w:before="0" w:after="0"/>
              <w:rPr>
                <w:rFonts w:cstheme="minorHAnsi"/>
                <w:sz w:val="6"/>
              </w:rPr>
            </w:pPr>
          </w:p>
        </w:tc>
        <w:tc>
          <w:tcPr>
            <w:tcW w:w="673" w:type="dxa"/>
          </w:tcPr>
          <w:p w14:paraId="1CFB86FF" w14:textId="77777777" w:rsidR="003A759B" w:rsidRPr="0067507D" w:rsidRDefault="003A759B" w:rsidP="00A721E2">
            <w:pPr>
              <w:pStyle w:val="Tabletextright"/>
              <w:spacing w:before="0" w:after="0"/>
              <w:rPr>
                <w:rFonts w:cstheme="minorHAnsi"/>
                <w:sz w:val="6"/>
              </w:rPr>
            </w:pPr>
          </w:p>
        </w:tc>
        <w:tc>
          <w:tcPr>
            <w:tcW w:w="1087" w:type="dxa"/>
            <w:shd w:val="clear" w:color="auto" w:fill="E0E0E0"/>
            <w:noWrap/>
          </w:tcPr>
          <w:p w14:paraId="78769B68" w14:textId="77777777" w:rsidR="003A759B" w:rsidRPr="0067507D" w:rsidRDefault="003A759B" w:rsidP="00A721E2">
            <w:pPr>
              <w:pStyle w:val="Tabletextright"/>
              <w:spacing w:before="0" w:after="0"/>
              <w:rPr>
                <w:rFonts w:cstheme="minorHAnsi"/>
                <w:sz w:val="6"/>
              </w:rPr>
            </w:pPr>
          </w:p>
        </w:tc>
        <w:tc>
          <w:tcPr>
            <w:tcW w:w="992" w:type="dxa"/>
            <w:shd w:val="clear" w:color="auto" w:fill="E0E0E0"/>
          </w:tcPr>
          <w:p w14:paraId="7934DC83" w14:textId="77777777" w:rsidR="003A759B" w:rsidRPr="0067507D" w:rsidRDefault="003A759B" w:rsidP="00A721E2">
            <w:pPr>
              <w:pStyle w:val="Tabletextright"/>
              <w:spacing w:before="0" w:after="0"/>
              <w:rPr>
                <w:sz w:val="6"/>
              </w:rPr>
            </w:pPr>
          </w:p>
        </w:tc>
        <w:tc>
          <w:tcPr>
            <w:tcW w:w="657" w:type="dxa"/>
            <w:shd w:val="clear" w:color="auto" w:fill="E0E0E0"/>
          </w:tcPr>
          <w:p w14:paraId="7BFC97FB" w14:textId="77777777" w:rsidR="003A759B" w:rsidRPr="0067507D" w:rsidRDefault="003A759B" w:rsidP="00A721E2">
            <w:pPr>
              <w:pStyle w:val="Tabletextright"/>
              <w:spacing w:before="0" w:after="0"/>
              <w:rPr>
                <w:sz w:val="6"/>
              </w:rPr>
            </w:pPr>
          </w:p>
        </w:tc>
        <w:tc>
          <w:tcPr>
            <w:tcW w:w="1044" w:type="dxa"/>
          </w:tcPr>
          <w:p w14:paraId="245F64E8" w14:textId="77777777" w:rsidR="003A759B" w:rsidRPr="0067507D" w:rsidRDefault="003A759B" w:rsidP="00A721E2">
            <w:pPr>
              <w:pStyle w:val="Tabletextright"/>
              <w:spacing w:before="0" w:after="0"/>
              <w:rPr>
                <w:sz w:val="6"/>
              </w:rPr>
            </w:pPr>
          </w:p>
        </w:tc>
        <w:tc>
          <w:tcPr>
            <w:tcW w:w="684" w:type="dxa"/>
          </w:tcPr>
          <w:p w14:paraId="7AAEE155" w14:textId="77777777" w:rsidR="003A759B" w:rsidRPr="0067507D" w:rsidRDefault="003A759B" w:rsidP="00A721E2">
            <w:pPr>
              <w:pStyle w:val="Tabletextright"/>
              <w:spacing w:before="0" w:after="0"/>
              <w:rPr>
                <w:sz w:val="6"/>
              </w:rPr>
            </w:pPr>
          </w:p>
        </w:tc>
      </w:tr>
      <w:tr w:rsidR="00791F8C" w:rsidRPr="0067507D" w14:paraId="64679445" w14:textId="77777777" w:rsidTr="00C04B33">
        <w:trPr>
          <w:cantSplit/>
        </w:trPr>
        <w:tc>
          <w:tcPr>
            <w:tcW w:w="1530" w:type="dxa"/>
          </w:tcPr>
          <w:p w14:paraId="1475E2DC" w14:textId="77777777" w:rsidR="003A759B" w:rsidRPr="0067507D" w:rsidRDefault="003A759B" w:rsidP="00B436E8">
            <w:pPr>
              <w:pStyle w:val="Tabletext"/>
              <w:spacing w:before="0"/>
              <w:rPr>
                <w:rFonts w:asciiTheme="majorHAnsi" w:hAnsiTheme="majorHAnsi"/>
              </w:rPr>
            </w:pPr>
            <w:r w:rsidRPr="0067507D">
              <w:rPr>
                <w:rFonts w:asciiTheme="majorHAnsi" w:hAnsiTheme="majorHAnsi" w:cstheme="minorHAnsi"/>
                <w:szCs w:val="18"/>
              </w:rPr>
              <w:t>Senior employees</w:t>
            </w:r>
          </w:p>
        </w:tc>
        <w:tc>
          <w:tcPr>
            <w:tcW w:w="1022" w:type="dxa"/>
            <w:shd w:val="clear" w:color="auto" w:fill="E0E0E0"/>
          </w:tcPr>
          <w:p w14:paraId="098CC088" w14:textId="4D20356F" w:rsidR="003A759B" w:rsidRPr="0067507D" w:rsidRDefault="006E05C8" w:rsidP="00B436E8">
            <w:pPr>
              <w:pStyle w:val="Tabletextrightbold"/>
              <w:spacing w:before="0"/>
            </w:pPr>
            <w:r w:rsidRPr="0067507D">
              <w:t>17</w:t>
            </w:r>
          </w:p>
        </w:tc>
        <w:tc>
          <w:tcPr>
            <w:tcW w:w="659" w:type="dxa"/>
            <w:shd w:val="clear" w:color="auto" w:fill="E0E0E0"/>
          </w:tcPr>
          <w:p w14:paraId="77C2D421" w14:textId="342336DF" w:rsidR="003A759B" w:rsidRPr="0067507D" w:rsidRDefault="006E05C8" w:rsidP="00B436E8">
            <w:pPr>
              <w:pStyle w:val="Tabletextrightbold"/>
              <w:spacing w:before="0"/>
            </w:pPr>
            <w:r w:rsidRPr="0067507D">
              <w:t>17</w:t>
            </w:r>
          </w:p>
        </w:tc>
        <w:tc>
          <w:tcPr>
            <w:tcW w:w="1042" w:type="dxa"/>
          </w:tcPr>
          <w:p w14:paraId="0850F512" w14:textId="11F0B2DC" w:rsidR="003A759B" w:rsidRPr="0067507D" w:rsidRDefault="006E05C8" w:rsidP="00B436E8">
            <w:pPr>
              <w:pStyle w:val="Tabletextrightbold"/>
              <w:spacing w:before="0"/>
            </w:pPr>
            <w:r w:rsidRPr="0067507D">
              <w:t>16</w:t>
            </w:r>
          </w:p>
        </w:tc>
        <w:tc>
          <w:tcPr>
            <w:tcW w:w="992" w:type="dxa"/>
          </w:tcPr>
          <w:p w14:paraId="24D6696A" w14:textId="5D43B024" w:rsidR="003A759B" w:rsidRPr="0067507D" w:rsidRDefault="006E05C8" w:rsidP="00B436E8">
            <w:pPr>
              <w:pStyle w:val="Tabletextrightbold"/>
              <w:spacing w:before="0"/>
            </w:pPr>
            <w:r w:rsidRPr="0067507D">
              <w:t>1</w:t>
            </w:r>
          </w:p>
        </w:tc>
        <w:tc>
          <w:tcPr>
            <w:tcW w:w="702" w:type="dxa"/>
          </w:tcPr>
          <w:p w14:paraId="5096D1FC" w14:textId="2DA02AED" w:rsidR="003A759B" w:rsidRPr="0067507D" w:rsidRDefault="006E05C8" w:rsidP="00B436E8">
            <w:pPr>
              <w:pStyle w:val="Tabletextrightbold"/>
              <w:spacing w:before="0"/>
            </w:pPr>
            <w:r w:rsidRPr="0067507D">
              <w:t>17</w:t>
            </w:r>
          </w:p>
        </w:tc>
        <w:tc>
          <w:tcPr>
            <w:tcW w:w="999" w:type="dxa"/>
            <w:shd w:val="clear" w:color="auto" w:fill="E0E0E0"/>
          </w:tcPr>
          <w:p w14:paraId="45029F84" w14:textId="45C92BBB" w:rsidR="003A759B" w:rsidRPr="0067507D" w:rsidRDefault="000A55B5" w:rsidP="00B436E8">
            <w:pPr>
              <w:pStyle w:val="Tabletextrightbold"/>
              <w:spacing w:before="0"/>
            </w:pPr>
            <w:r w:rsidRPr="0067507D">
              <w:t>–</w:t>
            </w:r>
          </w:p>
        </w:tc>
        <w:tc>
          <w:tcPr>
            <w:tcW w:w="729" w:type="dxa"/>
            <w:shd w:val="clear" w:color="auto" w:fill="E0E0E0"/>
          </w:tcPr>
          <w:p w14:paraId="10AE652C" w14:textId="2EF7EBFF" w:rsidR="003A759B" w:rsidRPr="0067507D" w:rsidRDefault="000A55B5" w:rsidP="00B436E8">
            <w:pPr>
              <w:pStyle w:val="Tabletextrightbold"/>
              <w:spacing w:before="0"/>
            </w:pPr>
            <w:r w:rsidRPr="0067507D">
              <w:t>–</w:t>
            </w:r>
          </w:p>
        </w:tc>
        <w:tc>
          <w:tcPr>
            <w:tcW w:w="1055" w:type="dxa"/>
            <w:noWrap/>
          </w:tcPr>
          <w:p w14:paraId="0D6BF0C6" w14:textId="325F63FB" w:rsidR="003A759B" w:rsidRPr="0067507D" w:rsidRDefault="00A6497E" w:rsidP="00B436E8">
            <w:pPr>
              <w:pStyle w:val="Tabletextrightbold"/>
              <w:spacing w:before="0"/>
            </w:pPr>
            <w:r w:rsidRPr="0067507D">
              <w:t>11</w:t>
            </w:r>
          </w:p>
        </w:tc>
        <w:tc>
          <w:tcPr>
            <w:tcW w:w="673" w:type="dxa"/>
          </w:tcPr>
          <w:p w14:paraId="0100A0B8" w14:textId="66D07E9D" w:rsidR="003A759B" w:rsidRPr="0067507D" w:rsidRDefault="00A6497E" w:rsidP="00B436E8">
            <w:pPr>
              <w:pStyle w:val="Tabletextrightbold"/>
              <w:spacing w:before="0"/>
            </w:pPr>
            <w:r w:rsidRPr="0067507D">
              <w:t>11</w:t>
            </w:r>
          </w:p>
        </w:tc>
        <w:tc>
          <w:tcPr>
            <w:tcW w:w="1087" w:type="dxa"/>
            <w:shd w:val="clear" w:color="auto" w:fill="E0E0E0"/>
            <w:noWrap/>
          </w:tcPr>
          <w:p w14:paraId="10225C95" w14:textId="1D121CF8" w:rsidR="003A759B" w:rsidRPr="0067507D" w:rsidRDefault="00A6497E" w:rsidP="00B436E8">
            <w:pPr>
              <w:pStyle w:val="Tabletextrightbold"/>
              <w:spacing w:before="0"/>
            </w:pPr>
            <w:r w:rsidRPr="0067507D">
              <w:t>9</w:t>
            </w:r>
          </w:p>
        </w:tc>
        <w:tc>
          <w:tcPr>
            <w:tcW w:w="992" w:type="dxa"/>
            <w:shd w:val="clear" w:color="auto" w:fill="E0E0E0"/>
          </w:tcPr>
          <w:p w14:paraId="11467A47" w14:textId="046DBEBC" w:rsidR="003A759B" w:rsidRPr="0067507D" w:rsidRDefault="00A6497E" w:rsidP="00B436E8">
            <w:pPr>
              <w:pStyle w:val="Tabletextrightbold"/>
              <w:spacing w:before="0"/>
            </w:pPr>
            <w:r w:rsidRPr="0067507D">
              <w:t>2</w:t>
            </w:r>
          </w:p>
        </w:tc>
        <w:tc>
          <w:tcPr>
            <w:tcW w:w="657" w:type="dxa"/>
            <w:shd w:val="clear" w:color="auto" w:fill="E0E0E0"/>
          </w:tcPr>
          <w:p w14:paraId="57CDB2F9" w14:textId="7E60F181" w:rsidR="003A759B" w:rsidRPr="0067507D" w:rsidRDefault="00A6497E" w:rsidP="00B436E8">
            <w:pPr>
              <w:pStyle w:val="Tabletextrightbold"/>
              <w:spacing w:before="0"/>
            </w:pPr>
            <w:r w:rsidRPr="0067507D">
              <w:t>11</w:t>
            </w:r>
          </w:p>
        </w:tc>
        <w:tc>
          <w:tcPr>
            <w:tcW w:w="1044" w:type="dxa"/>
          </w:tcPr>
          <w:p w14:paraId="0957CCFF" w14:textId="4875D823" w:rsidR="003A759B" w:rsidRPr="0067507D" w:rsidRDefault="000A55B5" w:rsidP="00B436E8">
            <w:pPr>
              <w:pStyle w:val="Tabletextrightbold"/>
              <w:spacing w:before="0"/>
            </w:pPr>
            <w:r w:rsidRPr="0067507D">
              <w:t>–</w:t>
            </w:r>
          </w:p>
        </w:tc>
        <w:tc>
          <w:tcPr>
            <w:tcW w:w="684" w:type="dxa"/>
          </w:tcPr>
          <w:p w14:paraId="085FF5DB" w14:textId="2EECD61E" w:rsidR="003A759B" w:rsidRPr="0067507D" w:rsidRDefault="000A55B5" w:rsidP="00B436E8">
            <w:pPr>
              <w:pStyle w:val="Tabletextrightbold"/>
              <w:spacing w:before="0"/>
            </w:pPr>
            <w:r w:rsidRPr="0067507D">
              <w:t>–</w:t>
            </w:r>
          </w:p>
        </w:tc>
      </w:tr>
      <w:tr w:rsidR="0015180F" w:rsidRPr="0067507D" w14:paraId="2FF76A47" w14:textId="77777777" w:rsidTr="00C04B33">
        <w:trPr>
          <w:cantSplit/>
        </w:trPr>
        <w:tc>
          <w:tcPr>
            <w:tcW w:w="1530" w:type="dxa"/>
            <w:vAlign w:val="bottom"/>
          </w:tcPr>
          <w:p w14:paraId="74B0005E" w14:textId="77777777" w:rsidR="003A759B" w:rsidRPr="0067507D" w:rsidRDefault="003A759B" w:rsidP="000E7982">
            <w:pPr>
              <w:pStyle w:val="Tabletext"/>
              <w:spacing w:before="15" w:after="15"/>
            </w:pPr>
            <w:r w:rsidRPr="0067507D">
              <w:t>STS</w:t>
            </w:r>
          </w:p>
        </w:tc>
        <w:tc>
          <w:tcPr>
            <w:tcW w:w="1022" w:type="dxa"/>
            <w:shd w:val="clear" w:color="auto" w:fill="E0E0E0"/>
          </w:tcPr>
          <w:p w14:paraId="1F0B062B" w14:textId="1B4360A2" w:rsidR="003A759B" w:rsidRPr="0067507D" w:rsidRDefault="006E05C8" w:rsidP="000E7982">
            <w:pPr>
              <w:pStyle w:val="Tabletextright"/>
              <w:spacing w:before="15" w:after="15"/>
            </w:pPr>
            <w:r w:rsidRPr="0067507D">
              <w:t>2</w:t>
            </w:r>
          </w:p>
        </w:tc>
        <w:tc>
          <w:tcPr>
            <w:tcW w:w="659" w:type="dxa"/>
            <w:shd w:val="clear" w:color="auto" w:fill="E0E0E0"/>
          </w:tcPr>
          <w:p w14:paraId="04F86861" w14:textId="02DEEC8A" w:rsidR="003A759B" w:rsidRPr="0067507D" w:rsidRDefault="006E05C8" w:rsidP="000E7982">
            <w:pPr>
              <w:pStyle w:val="Tabletextright"/>
              <w:spacing w:before="15" w:after="15"/>
            </w:pPr>
            <w:r w:rsidRPr="0067507D">
              <w:t>2</w:t>
            </w:r>
          </w:p>
        </w:tc>
        <w:tc>
          <w:tcPr>
            <w:tcW w:w="1042" w:type="dxa"/>
          </w:tcPr>
          <w:p w14:paraId="48C91306" w14:textId="3D251AC3" w:rsidR="003A759B" w:rsidRPr="0067507D" w:rsidRDefault="006E05C8" w:rsidP="000E7982">
            <w:pPr>
              <w:pStyle w:val="Tabletextright"/>
              <w:spacing w:before="15" w:after="15"/>
            </w:pPr>
            <w:r w:rsidRPr="0067507D">
              <w:t>2</w:t>
            </w:r>
          </w:p>
        </w:tc>
        <w:tc>
          <w:tcPr>
            <w:tcW w:w="992" w:type="dxa"/>
          </w:tcPr>
          <w:p w14:paraId="64EBB973" w14:textId="60021C1F" w:rsidR="003A759B" w:rsidRPr="0067507D" w:rsidRDefault="000A55B5" w:rsidP="000E7982">
            <w:pPr>
              <w:pStyle w:val="Tabletextright"/>
              <w:spacing w:before="15" w:after="15"/>
            </w:pPr>
            <w:r w:rsidRPr="0067507D">
              <w:t>–</w:t>
            </w:r>
          </w:p>
        </w:tc>
        <w:tc>
          <w:tcPr>
            <w:tcW w:w="702" w:type="dxa"/>
          </w:tcPr>
          <w:p w14:paraId="42365CAD" w14:textId="62625F06" w:rsidR="003A759B" w:rsidRPr="0067507D" w:rsidRDefault="000A55B5" w:rsidP="000E7982">
            <w:pPr>
              <w:pStyle w:val="Tabletextright"/>
              <w:spacing w:before="15" w:after="15"/>
            </w:pPr>
            <w:r w:rsidRPr="0067507D">
              <w:t>–</w:t>
            </w:r>
          </w:p>
        </w:tc>
        <w:tc>
          <w:tcPr>
            <w:tcW w:w="999" w:type="dxa"/>
            <w:shd w:val="clear" w:color="auto" w:fill="E0E0E0"/>
          </w:tcPr>
          <w:p w14:paraId="3A8E21E7" w14:textId="3B39597D" w:rsidR="003A759B" w:rsidRPr="0067507D" w:rsidRDefault="000A55B5" w:rsidP="000E7982">
            <w:pPr>
              <w:pStyle w:val="Tabletextright"/>
              <w:spacing w:before="15" w:after="15"/>
            </w:pPr>
            <w:r w:rsidRPr="0067507D">
              <w:t>–</w:t>
            </w:r>
          </w:p>
        </w:tc>
        <w:tc>
          <w:tcPr>
            <w:tcW w:w="729" w:type="dxa"/>
            <w:shd w:val="clear" w:color="auto" w:fill="E0E0E0"/>
          </w:tcPr>
          <w:p w14:paraId="79B77893" w14:textId="60B789F5" w:rsidR="003A759B" w:rsidRPr="0067507D" w:rsidRDefault="000A55B5" w:rsidP="000E7982">
            <w:pPr>
              <w:pStyle w:val="Tabletextright"/>
              <w:spacing w:before="15" w:after="15"/>
            </w:pPr>
            <w:r w:rsidRPr="0067507D">
              <w:t>–</w:t>
            </w:r>
          </w:p>
        </w:tc>
        <w:tc>
          <w:tcPr>
            <w:tcW w:w="1055" w:type="dxa"/>
            <w:noWrap/>
          </w:tcPr>
          <w:p w14:paraId="0E99A18E" w14:textId="4BA335FD" w:rsidR="003A759B" w:rsidRPr="0067507D" w:rsidRDefault="00F61F1D" w:rsidP="000E7982">
            <w:pPr>
              <w:pStyle w:val="Tabletextright"/>
              <w:spacing w:before="15" w:after="15"/>
            </w:pPr>
            <w:r w:rsidRPr="0067507D">
              <w:t>2</w:t>
            </w:r>
          </w:p>
        </w:tc>
        <w:tc>
          <w:tcPr>
            <w:tcW w:w="673" w:type="dxa"/>
          </w:tcPr>
          <w:p w14:paraId="36D78BB2" w14:textId="72114893" w:rsidR="003A759B" w:rsidRPr="0067507D" w:rsidRDefault="00F61F1D" w:rsidP="000E7982">
            <w:pPr>
              <w:pStyle w:val="Tabletextright"/>
              <w:spacing w:before="15" w:after="15"/>
            </w:pPr>
            <w:r w:rsidRPr="0067507D">
              <w:t>2</w:t>
            </w:r>
          </w:p>
        </w:tc>
        <w:tc>
          <w:tcPr>
            <w:tcW w:w="1087" w:type="dxa"/>
            <w:shd w:val="clear" w:color="auto" w:fill="E0E0E0"/>
            <w:noWrap/>
          </w:tcPr>
          <w:p w14:paraId="0616ED9B" w14:textId="317937E3" w:rsidR="003A759B" w:rsidRPr="0067507D" w:rsidRDefault="00F61F1D" w:rsidP="000E7982">
            <w:pPr>
              <w:pStyle w:val="Tabletextright"/>
              <w:spacing w:before="15" w:after="15"/>
            </w:pPr>
            <w:r w:rsidRPr="0067507D">
              <w:t>2</w:t>
            </w:r>
          </w:p>
        </w:tc>
        <w:tc>
          <w:tcPr>
            <w:tcW w:w="992" w:type="dxa"/>
            <w:shd w:val="clear" w:color="auto" w:fill="E0E0E0"/>
          </w:tcPr>
          <w:p w14:paraId="38A600CA" w14:textId="518DED6C" w:rsidR="003A759B" w:rsidRPr="0067507D" w:rsidRDefault="00F61F1D" w:rsidP="000E7982">
            <w:pPr>
              <w:pStyle w:val="Tabletextright"/>
              <w:spacing w:before="15" w:after="15"/>
            </w:pPr>
            <w:r w:rsidRPr="0067507D">
              <w:t>–</w:t>
            </w:r>
          </w:p>
        </w:tc>
        <w:tc>
          <w:tcPr>
            <w:tcW w:w="657" w:type="dxa"/>
            <w:shd w:val="clear" w:color="auto" w:fill="E0E0E0"/>
          </w:tcPr>
          <w:p w14:paraId="53792909" w14:textId="4DAC8496" w:rsidR="003A759B" w:rsidRPr="0067507D" w:rsidRDefault="00F61F1D" w:rsidP="000E7982">
            <w:pPr>
              <w:pStyle w:val="Tabletextright"/>
              <w:spacing w:before="15" w:after="15"/>
            </w:pPr>
            <w:r w:rsidRPr="0067507D">
              <w:t>2</w:t>
            </w:r>
          </w:p>
        </w:tc>
        <w:tc>
          <w:tcPr>
            <w:tcW w:w="1044" w:type="dxa"/>
          </w:tcPr>
          <w:p w14:paraId="6A282E6F" w14:textId="6E675298" w:rsidR="003A759B" w:rsidRPr="0067507D" w:rsidRDefault="00F61F1D" w:rsidP="000E7982">
            <w:pPr>
              <w:pStyle w:val="Tabletextright"/>
              <w:spacing w:before="15" w:after="15"/>
            </w:pPr>
            <w:r w:rsidRPr="0067507D">
              <w:t>–</w:t>
            </w:r>
          </w:p>
        </w:tc>
        <w:tc>
          <w:tcPr>
            <w:tcW w:w="684" w:type="dxa"/>
          </w:tcPr>
          <w:p w14:paraId="228A554F" w14:textId="623F63F5" w:rsidR="003A759B" w:rsidRPr="0067507D" w:rsidRDefault="00F61F1D" w:rsidP="000E7982">
            <w:pPr>
              <w:pStyle w:val="Tabletextright"/>
              <w:spacing w:before="15" w:after="15"/>
            </w:pPr>
            <w:r w:rsidRPr="0067507D">
              <w:t>–</w:t>
            </w:r>
          </w:p>
        </w:tc>
      </w:tr>
      <w:tr w:rsidR="0015180F" w:rsidRPr="0067507D" w14:paraId="0B09938A" w14:textId="77777777" w:rsidTr="00C04B33">
        <w:trPr>
          <w:cantSplit/>
        </w:trPr>
        <w:tc>
          <w:tcPr>
            <w:tcW w:w="1530" w:type="dxa"/>
            <w:vAlign w:val="bottom"/>
          </w:tcPr>
          <w:p w14:paraId="41B4F092" w14:textId="77777777" w:rsidR="003A759B" w:rsidRPr="0067507D" w:rsidRDefault="003A759B" w:rsidP="000E7982">
            <w:pPr>
              <w:pStyle w:val="Tabletext"/>
              <w:spacing w:before="15" w:after="15"/>
            </w:pPr>
            <w:r w:rsidRPr="0067507D">
              <w:t>Executives</w:t>
            </w:r>
          </w:p>
        </w:tc>
        <w:tc>
          <w:tcPr>
            <w:tcW w:w="1022" w:type="dxa"/>
            <w:shd w:val="clear" w:color="auto" w:fill="E0E0E0"/>
          </w:tcPr>
          <w:p w14:paraId="557DF584" w14:textId="2BD52E3C" w:rsidR="003A759B" w:rsidRPr="0067507D" w:rsidRDefault="006E05C8" w:rsidP="000E7982">
            <w:pPr>
              <w:pStyle w:val="Tabletextright"/>
              <w:spacing w:before="15" w:after="15"/>
            </w:pPr>
            <w:r w:rsidRPr="0067507D">
              <w:t>15</w:t>
            </w:r>
          </w:p>
        </w:tc>
        <w:tc>
          <w:tcPr>
            <w:tcW w:w="659" w:type="dxa"/>
            <w:shd w:val="clear" w:color="auto" w:fill="E0E0E0"/>
          </w:tcPr>
          <w:p w14:paraId="5C40B90B" w14:textId="2C5B6CE5" w:rsidR="003A759B" w:rsidRPr="0067507D" w:rsidRDefault="006E05C8" w:rsidP="000E7982">
            <w:pPr>
              <w:pStyle w:val="Tabletextright"/>
              <w:spacing w:before="15" w:after="15"/>
            </w:pPr>
            <w:r w:rsidRPr="0067507D">
              <w:t>15</w:t>
            </w:r>
          </w:p>
        </w:tc>
        <w:tc>
          <w:tcPr>
            <w:tcW w:w="1042" w:type="dxa"/>
          </w:tcPr>
          <w:p w14:paraId="3A07D102" w14:textId="696CC3B5" w:rsidR="003A759B" w:rsidRPr="0067507D" w:rsidRDefault="006E05C8" w:rsidP="000E7982">
            <w:pPr>
              <w:pStyle w:val="Tabletextright"/>
              <w:spacing w:before="15" w:after="15"/>
            </w:pPr>
            <w:r w:rsidRPr="0067507D">
              <w:t>14</w:t>
            </w:r>
          </w:p>
        </w:tc>
        <w:tc>
          <w:tcPr>
            <w:tcW w:w="992" w:type="dxa"/>
          </w:tcPr>
          <w:p w14:paraId="58EA16C9" w14:textId="783A3A88" w:rsidR="003A759B" w:rsidRPr="0067507D" w:rsidRDefault="006E05C8" w:rsidP="000E7982">
            <w:pPr>
              <w:pStyle w:val="Tabletextright"/>
              <w:spacing w:before="15" w:after="15"/>
            </w:pPr>
            <w:r w:rsidRPr="0067507D">
              <w:t>1</w:t>
            </w:r>
          </w:p>
        </w:tc>
        <w:tc>
          <w:tcPr>
            <w:tcW w:w="702" w:type="dxa"/>
          </w:tcPr>
          <w:p w14:paraId="27790DCA" w14:textId="1392D514" w:rsidR="003A759B" w:rsidRPr="0067507D" w:rsidRDefault="006E05C8" w:rsidP="000E7982">
            <w:pPr>
              <w:pStyle w:val="Tabletextright"/>
              <w:spacing w:before="15" w:after="15"/>
            </w:pPr>
            <w:r w:rsidRPr="0067507D">
              <w:t>15</w:t>
            </w:r>
          </w:p>
        </w:tc>
        <w:tc>
          <w:tcPr>
            <w:tcW w:w="999" w:type="dxa"/>
            <w:shd w:val="clear" w:color="auto" w:fill="E0E0E0"/>
          </w:tcPr>
          <w:p w14:paraId="6A12C005" w14:textId="7A44938B" w:rsidR="003A759B" w:rsidRPr="0067507D" w:rsidRDefault="000A55B5" w:rsidP="000E7982">
            <w:pPr>
              <w:pStyle w:val="Tabletextright"/>
              <w:spacing w:before="15" w:after="15"/>
            </w:pPr>
            <w:r w:rsidRPr="0067507D">
              <w:t>–</w:t>
            </w:r>
          </w:p>
        </w:tc>
        <w:tc>
          <w:tcPr>
            <w:tcW w:w="729" w:type="dxa"/>
            <w:shd w:val="clear" w:color="auto" w:fill="E0E0E0"/>
          </w:tcPr>
          <w:p w14:paraId="6C5D5E26" w14:textId="20D78A86" w:rsidR="003A759B" w:rsidRPr="0067507D" w:rsidRDefault="000A55B5" w:rsidP="000E7982">
            <w:pPr>
              <w:pStyle w:val="Tabletextright"/>
              <w:spacing w:before="15" w:after="15"/>
            </w:pPr>
            <w:r w:rsidRPr="0067507D">
              <w:t>–</w:t>
            </w:r>
          </w:p>
        </w:tc>
        <w:tc>
          <w:tcPr>
            <w:tcW w:w="1055" w:type="dxa"/>
            <w:noWrap/>
          </w:tcPr>
          <w:p w14:paraId="54F1CBF1" w14:textId="37E20300" w:rsidR="003A759B" w:rsidRPr="0067507D" w:rsidRDefault="00F61F1D" w:rsidP="001F0191">
            <w:pPr>
              <w:pStyle w:val="Tabletextright"/>
            </w:pPr>
            <w:r w:rsidRPr="0067507D">
              <w:t>9</w:t>
            </w:r>
          </w:p>
        </w:tc>
        <w:tc>
          <w:tcPr>
            <w:tcW w:w="673" w:type="dxa"/>
          </w:tcPr>
          <w:p w14:paraId="5B29CB5E" w14:textId="4F746864" w:rsidR="003A759B" w:rsidRPr="0067507D" w:rsidRDefault="00F61F1D" w:rsidP="001F0191">
            <w:pPr>
              <w:pStyle w:val="Tabletextright"/>
            </w:pPr>
            <w:r w:rsidRPr="0067507D">
              <w:t>9</w:t>
            </w:r>
          </w:p>
        </w:tc>
        <w:tc>
          <w:tcPr>
            <w:tcW w:w="1087" w:type="dxa"/>
            <w:shd w:val="clear" w:color="auto" w:fill="E0E0E0"/>
            <w:noWrap/>
          </w:tcPr>
          <w:p w14:paraId="6D6BC7C9" w14:textId="01DF60C3" w:rsidR="003A759B" w:rsidRPr="0067507D" w:rsidRDefault="00F61F1D" w:rsidP="001F0191">
            <w:pPr>
              <w:pStyle w:val="Tabletextright"/>
            </w:pPr>
            <w:r w:rsidRPr="0067507D">
              <w:t>7</w:t>
            </w:r>
          </w:p>
        </w:tc>
        <w:tc>
          <w:tcPr>
            <w:tcW w:w="992" w:type="dxa"/>
            <w:shd w:val="clear" w:color="auto" w:fill="E0E0E0"/>
          </w:tcPr>
          <w:p w14:paraId="5ADC66C6" w14:textId="340897D3" w:rsidR="003A759B" w:rsidRPr="0067507D" w:rsidRDefault="00F61F1D" w:rsidP="001F0191">
            <w:pPr>
              <w:pStyle w:val="Tabletextright"/>
            </w:pPr>
            <w:r w:rsidRPr="0067507D">
              <w:t>2</w:t>
            </w:r>
          </w:p>
        </w:tc>
        <w:tc>
          <w:tcPr>
            <w:tcW w:w="657" w:type="dxa"/>
            <w:shd w:val="clear" w:color="auto" w:fill="E0E0E0"/>
          </w:tcPr>
          <w:p w14:paraId="545FA467" w14:textId="70538ECE" w:rsidR="003A759B" w:rsidRPr="0067507D" w:rsidRDefault="00F61F1D" w:rsidP="001F0191">
            <w:pPr>
              <w:pStyle w:val="Tabletextright"/>
            </w:pPr>
            <w:r w:rsidRPr="0067507D">
              <w:t>9</w:t>
            </w:r>
          </w:p>
        </w:tc>
        <w:tc>
          <w:tcPr>
            <w:tcW w:w="1044" w:type="dxa"/>
          </w:tcPr>
          <w:p w14:paraId="7432E186" w14:textId="78D9FA75" w:rsidR="003A759B" w:rsidRPr="0067507D" w:rsidRDefault="00F61F1D" w:rsidP="001F0191">
            <w:pPr>
              <w:pStyle w:val="Tabletextright"/>
            </w:pPr>
            <w:r w:rsidRPr="0067507D">
              <w:t>–</w:t>
            </w:r>
          </w:p>
        </w:tc>
        <w:tc>
          <w:tcPr>
            <w:tcW w:w="684" w:type="dxa"/>
          </w:tcPr>
          <w:p w14:paraId="5F02D746" w14:textId="509A5AF6" w:rsidR="003A759B" w:rsidRPr="0067507D" w:rsidRDefault="00F61F1D" w:rsidP="001F0191">
            <w:pPr>
              <w:pStyle w:val="Tabletextright"/>
            </w:pPr>
            <w:r w:rsidRPr="0067507D">
              <w:t>–</w:t>
            </w:r>
          </w:p>
        </w:tc>
      </w:tr>
      <w:tr w:rsidR="00791F8C" w:rsidRPr="0067507D" w14:paraId="1E316050" w14:textId="77777777" w:rsidTr="00C04B33">
        <w:trPr>
          <w:cantSplit/>
        </w:trPr>
        <w:tc>
          <w:tcPr>
            <w:tcW w:w="1530" w:type="dxa"/>
          </w:tcPr>
          <w:p w14:paraId="096DD952" w14:textId="77777777" w:rsidR="003A759B" w:rsidRPr="0067507D" w:rsidRDefault="003A759B" w:rsidP="00A721E2">
            <w:pPr>
              <w:pStyle w:val="Tabletext"/>
              <w:spacing w:before="0" w:after="0"/>
              <w:rPr>
                <w:sz w:val="6"/>
              </w:rPr>
            </w:pPr>
          </w:p>
        </w:tc>
        <w:tc>
          <w:tcPr>
            <w:tcW w:w="1022" w:type="dxa"/>
            <w:shd w:val="clear" w:color="auto" w:fill="E0E0E0"/>
          </w:tcPr>
          <w:p w14:paraId="5636DD81" w14:textId="00B89439" w:rsidR="003A759B" w:rsidRPr="0067507D" w:rsidRDefault="003A759B" w:rsidP="00A721E2">
            <w:pPr>
              <w:pStyle w:val="Tabletextright"/>
              <w:spacing w:before="0" w:after="0"/>
              <w:rPr>
                <w:rFonts w:cstheme="minorHAnsi"/>
                <w:sz w:val="6"/>
              </w:rPr>
            </w:pPr>
          </w:p>
        </w:tc>
        <w:tc>
          <w:tcPr>
            <w:tcW w:w="659" w:type="dxa"/>
            <w:shd w:val="clear" w:color="auto" w:fill="E0E0E0"/>
          </w:tcPr>
          <w:p w14:paraId="11DC78FB" w14:textId="634C49D0" w:rsidR="003A759B" w:rsidRPr="0067507D" w:rsidRDefault="003A759B" w:rsidP="00A721E2">
            <w:pPr>
              <w:pStyle w:val="Tabletextright"/>
              <w:spacing w:before="0" w:after="0"/>
              <w:rPr>
                <w:rFonts w:cstheme="minorHAnsi"/>
                <w:sz w:val="6"/>
              </w:rPr>
            </w:pPr>
          </w:p>
        </w:tc>
        <w:tc>
          <w:tcPr>
            <w:tcW w:w="1042" w:type="dxa"/>
          </w:tcPr>
          <w:p w14:paraId="5219E3DD" w14:textId="048AFE59" w:rsidR="003A759B" w:rsidRPr="0067507D" w:rsidRDefault="003A759B" w:rsidP="00A721E2">
            <w:pPr>
              <w:pStyle w:val="Tabletextright"/>
              <w:spacing w:before="0" w:after="0"/>
              <w:rPr>
                <w:rFonts w:cstheme="minorHAnsi"/>
                <w:sz w:val="6"/>
              </w:rPr>
            </w:pPr>
          </w:p>
        </w:tc>
        <w:tc>
          <w:tcPr>
            <w:tcW w:w="992" w:type="dxa"/>
          </w:tcPr>
          <w:p w14:paraId="46477558" w14:textId="3F5D9787" w:rsidR="003A759B" w:rsidRPr="0067507D" w:rsidRDefault="003A759B" w:rsidP="00A721E2">
            <w:pPr>
              <w:pStyle w:val="Tabletextright"/>
              <w:spacing w:before="0" w:after="0"/>
              <w:rPr>
                <w:sz w:val="6"/>
              </w:rPr>
            </w:pPr>
          </w:p>
        </w:tc>
        <w:tc>
          <w:tcPr>
            <w:tcW w:w="702" w:type="dxa"/>
          </w:tcPr>
          <w:p w14:paraId="3E6D8590" w14:textId="3830B35C" w:rsidR="003A759B" w:rsidRPr="0067507D" w:rsidRDefault="003A759B" w:rsidP="00A721E2">
            <w:pPr>
              <w:pStyle w:val="Tabletextright"/>
              <w:spacing w:before="0" w:after="0"/>
              <w:rPr>
                <w:sz w:val="6"/>
              </w:rPr>
            </w:pPr>
          </w:p>
        </w:tc>
        <w:tc>
          <w:tcPr>
            <w:tcW w:w="999" w:type="dxa"/>
            <w:shd w:val="clear" w:color="auto" w:fill="E0E0E0"/>
          </w:tcPr>
          <w:p w14:paraId="0AA9C1ED" w14:textId="44E249A9" w:rsidR="003A759B" w:rsidRPr="0067507D" w:rsidRDefault="003A759B" w:rsidP="00A721E2">
            <w:pPr>
              <w:pStyle w:val="Tabletextright"/>
              <w:spacing w:before="0" w:after="0"/>
              <w:rPr>
                <w:sz w:val="6"/>
              </w:rPr>
            </w:pPr>
          </w:p>
        </w:tc>
        <w:tc>
          <w:tcPr>
            <w:tcW w:w="729" w:type="dxa"/>
            <w:shd w:val="clear" w:color="auto" w:fill="E0E0E0"/>
          </w:tcPr>
          <w:p w14:paraId="2D81680E" w14:textId="30AF01BC" w:rsidR="003A759B" w:rsidRPr="0067507D" w:rsidRDefault="003A759B" w:rsidP="00A721E2">
            <w:pPr>
              <w:pStyle w:val="Tabletextright"/>
              <w:spacing w:before="0" w:after="0"/>
              <w:rPr>
                <w:sz w:val="6"/>
              </w:rPr>
            </w:pPr>
          </w:p>
        </w:tc>
        <w:tc>
          <w:tcPr>
            <w:tcW w:w="1055" w:type="dxa"/>
            <w:noWrap/>
          </w:tcPr>
          <w:p w14:paraId="5881BB73" w14:textId="77777777" w:rsidR="003A759B" w:rsidRPr="0067507D" w:rsidRDefault="003A759B" w:rsidP="00A721E2">
            <w:pPr>
              <w:pStyle w:val="Tabletextright"/>
              <w:spacing w:before="0" w:after="0"/>
              <w:rPr>
                <w:rFonts w:cstheme="minorHAnsi"/>
                <w:sz w:val="6"/>
              </w:rPr>
            </w:pPr>
          </w:p>
        </w:tc>
        <w:tc>
          <w:tcPr>
            <w:tcW w:w="673" w:type="dxa"/>
          </w:tcPr>
          <w:p w14:paraId="040106DE" w14:textId="77777777" w:rsidR="003A759B" w:rsidRPr="0067507D" w:rsidRDefault="003A759B" w:rsidP="00A721E2">
            <w:pPr>
              <w:pStyle w:val="Tabletextright"/>
              <w:spacing w:before="0" w:after="0"/>
              <w:rPr>
                <w:rFonts w:cstheme="minorHAnsi"/>
                <w:sz w:val="6"/>
              </w:rPr>
            </w:pPr>
          </w:p>
        </w:tc>
        <w:tc>
          <w:tcPr>
            <w:tcW w:w="1087" w:type="dxa"/>
            <w:shd w:val="clear" w:color="auto" w:fill="E0E0E0"/>
            <w:noWrap/>
          </w:tcPr>
          <w:p w14:paraId="36712F31" w14:textId="77777777" w:rsidR="003A759B" w:rsidRPr="0067507D" w:rsidRDefault="003A759B" w:rsidP="00A721E2">
            <w:pPr>
              <w:pStyle w:val="Tabletextright"/>
              <w:spacing w:before="0" w:after="0"/>
              <w:rPr>
                <w:rFonts w:cstheme="minorHAnsi"/>
                <w:sz w:val="6"/>
              </w:rPr>
            </w:pPr>
          </w:p>
        </w:tc>
        <w:tc>
          <w:tcPr>
            <w:tcW w:w="992" w:type="dxa"/>
            <w:shd w:val="clear" w:color="auto" w:fill="E0E0E0"/>
          </w:tcPr>
          <w:p w14:paraId="2F2C3BA6" w14:textId="77777777" w:rsidR="003A759B" w:rsidRPr="0067507D" w:rsidRDefault="003A759B" w:rsidP="00A721E2">
            <w:pPr>
              <w:pStyle w:val="Tabletextright"/>
              <w:spacing w:before="0" w:after="0"/>
              <w:rPr>
                <w:sz w:val="6"/>
              </w:rPr>
            </w:pPr>
          </w:p>
        </w:tc>
        <w:tc>
          <w:tcPr>
            <w:tcW w:w="657" w:type="dxa"/>
            <w:shd w:val="clear" w:color="auto" w:fill="E0E0E0"/>
          </w:tcPr>
          <w:p w14:paraId="4EF928C5" w14:textId="77777777" w:rsidR="003A759B" w:rsidRPr="0067507D" w:rsidRDefault="003A759B" w:rsidP="00A721E2">
            <w:pPr>
              <w:pStyle w:val="Tabletextright"/>
              <w:spacing w:before="0" w:after="0"/>
              <w:rPr>
                <w:sz w:val="6"/>
              </w:rPr>
            </w:pPr>
          </w:p>
        </w:tc>
        <w:tc>
          <w:tcPr>
            <w:tcW w:w="1044" w:type="dxa"/>
          </w:tcPr>
          <w:p w14:paraId="479DE2C2" w14:textId="77777777" w:rsidR="003A759B" w:rsidRPr="0067507D" w:rsidRDefault="003A759B" w:rsidP="00A721E2">
            <w:pPr>
              <w:pStyle w:val="Tabletextright"/>
              <w:spacing w:before="0" w:after="0"/>
              <w:rPr>
                <w:sz w:val="6"/>
              </w:rPr>
            </w:pPr>
          </w:p>
        </w:tc>
        <w:tc>
          <w:tcPr>
            <w:tcW w:w="684" w:type="dxa"/>
          </w:tcPr>
          <w:p w14:paraId="0F111A79" w14:textId="77777777" w:rsidR="003A759B" w:rsidRPr="0067507D" w:rsidRDefault="003A759B" w:rsidP="00A721E2">
            <w:pPr>
              <w:pStyle w:val="Tabletextright"/>
              <w:spacing w:before="0" w:after="0"/>
              <w:rPr>
                <w:sz w:val="6"/>
              </w:rPr>
            </w:pPr>
          </w:p>
        </w:tc>
      </w:tr>
      <w:tr w:rsidR="00791F8C" w:rsidRPr="0067507D" w14:paraId="62D5E546" w14:textId="77777777" w:rsidTr="00C04B33">
        <w:trPr>
          <w:cantSplit/>
        </w:trPr>
        <w:tc>
          <w:tcPr>
            <w:tcW w:w="1530" w:type="dxa"/>
          </w:tcPr>
          <w:p w14:paraId="6748940F" w14:textId="4BC768B4" w:rsidR="003A759B" w:rsidRPr="0067507D" w:rsidRDefault="003A759B" w:rsidP="00B436E8">
            <w:pPr>
              <w:pStyle w:val="Tabletextbold"/>
              <w:spacing w:before="0"/>
            </w:pPr>
            <w:r w:rsidRPr="0067507D">
              <w:t xml:space="preserve">Other </w:t>
            </w:r>
          </w:p>
        </w:tc>
        <w:tc>
          <w:tcPr>
            <w:tcW w:w="1022" w:type="dxa"/>
            <w:shd w:val="clear" w:color="auto" w:fill="E0E0E0"/>
          </w:tcPr>
          <w:p w14:paraId="6664E9B9" w14:textId="23ECBD96" w:rsidR="003A759B" w:rsidRPr="0067507D" w:rsidRDefault="006E05C8" w:rsidP="00B436E8">
            <w:pPr>
              <w:pStyle w:val="Tabletextrightbold"/>
              <w:spacing w:before="0"/>
              <w:rPr>
                <w:b/>
                <w:bCs w:val="0"/>
              </w:rPr>
            </w:pPr>
            <w:r w:rsidRPr="0067507D">
              <w:t>22</w:t>
            </w:r>
          </w:p>
        </w:tc>
        <w:tc>
          <w:tcPr>
            <w:tcW w:w="659" w:type="dxa"/>
            <w:shd w:val="clear" w:color="auto" w:fill="E0E0E0"/>
          </w:tcPr>
          <w:p w14:paraId="48675C16" w14:textId="71489EC1" w:rsidR="003A759B" w:rsidRPr="0067507D" w:rsidRDefault="006E05C8" w:rsidP="00B436E8">
            <w:pPr>
              <w:pStyle w:val="Tabletextrightbold"/>
              <w:spacing w:before="0"/>
              <w:rPr>
                <w:b/>
                <w:bCs w:val="0"/>
              </w:rPr>
            </w:pPr>
            <w:r w:rsidRPr="0067507D">
              <w:t>2</w:t>
            </w:r>
            <w:r w:rsidR="00452A23" w:rsidRPr="0067507D">
              <w:t>2</w:t>
            </w:r>
          </w:p>
        </w:tc>
        <w:tc>
          <w:tcPr>
            <w:tcW w:w="1042" w:type="dxa"/>
          </w:tcPr>
          <w:p w14:paraId="404497D3" w14:textId="4443C1A5" w:rsidR="003A759B" w:rsidRPr="0067507D" w:rsidRDefault="006E05C8" w:rsidP="00B436E8">
            <w:pPr>
              <w:pStyle w:val="Tabletextrightbold"/>
              <w:spacing w:before="0"/>
              <w:rPr>
                <w:b/>
                <w:bCs w:val="0"/>
              </w:rPr>
            </w:pPr>
            <w:r w:rsidRPr="0067507D">
              <w:t>18</w:t>
            </w:r>
          </w:p>
        </w:tc>
        <w:tc>
          <w:tcPr>
            <w:tcW w:w="992" w:type="dxa"/>
          </w:tcPr>
          <w:p w14:paraId="22815FB5" w14:textId="2A6C6DA8" w:rsidR="003A759B" w:rsidRPr="0067507D" w:rsidRDefault="006E05C8" w:rsidP="00B436E8">
            <w:pPr>
              <w:pStyle w:val="Tabletextrightbold"/>
              <w:spacing w:before="0"/>
              <w:rPr>
                <w:b/>
                <w:bCs w:val="0"/>
              </w:rPr>
            </w:pPr>
            <w:r w:rsidRPr="0067507D">
              <w:t>1</w:t>
            </w:r>
          </w:p>
        </w:tc>
        <w:tc>
          <w:tcPr>
            <w:tcW w:w="702" w:type="dxa"/>
          </w:tcPr>
          <w:p w14:paraId="5841655D" w14:textId="09FF4E6C" w:rsidR="003A759B" w:rsidRPr="0067507D" w:rsidRDefault="006E05C8" w:rsidP="00B436E8">
            <w:pPr>
              <w:pStyle w:val="Tabletextrightbold"/>
              <w:spacing w:before="0"/>
              <w:rPr>
                <w:b/>
                <w:bCs w:val="0"/>
              </w:rPr>
            </w:pPr>
            <w:r w:rsidRPr="0067507D">
              <w:t>1</w:t>
            </w:r>
            <w:r w:rsidR="006C089C" w:rsidRPr="0067507D">
              <w:t>9</w:t>
            </w:r>
          </w:p>
        </w:tc>
        <w:tc>
          <w:tcPr>
            <w:tcW w:w="999" w:type="dxa"/>
            <w:shd w:val="clear" w:color="auto" w:fill="E0E0E0"/>
          </w:tcPr>
          <w:p w14:paraId="5FDA8CFB" w14:textId="05301AFF" w:rsidR="003A759B" w:rsidRPr="0067507D" w:rsidRDefault="006E05C8" w:rsidP="00B436E8">
            <w:pPr>
              <w:pStyle w:val="Tabletextrightbold"/>
              <w:spacing w:before="0"/>
              <w:rPr>
                <w:b/>
                <w:bCs w:val="0"/>
              </w:rPr>
            </w:pPr>
            <w:r w:rsidRPr="0067507D">
              <w:t>3</w:t>
            </w:r>
          </w:p>
        </w:tc>
        <w:tc>
          <w:tcPr>
            <w:tcW w:w="729" w:type="dxa"/>
            <w:shd w:val="clear" w:color="auto" w:fill="E0E0E0"/>
          </w:tcPr>
          <w:p w14:paraId="5E5F5E1C" w14:textId="07149848" w:rsidR="003A759B" w:rsidRPr="0067507D" w:rsidRDefault="006E05C8" w:rsidP="00B436E8">
            <w:pPr>
              <w:pStyle w:val="Tabletextrightbold"/>
              <w:spacing w:before="0"/>
              <w:rPr>
                <w:b/>
                <w:bCs w:val="0"/>
              </w:rPr>
            </w:pPr>
            <w:r w:rsidRPr="0067507D">
              <w:t>3</w:t>
            </w:r>
          </w:p>
        </w:tc>
        <w:tc>
          <w:tcPr>
            <w:tcW w:w="1055" w:type="dxa"/>
            <w:noWrap/>
          </w:tcPr>
          <w:p w14:paraId="0BAA4BB7" w14:textId="18EFACED" w:rsidR="003A759B" w:rsidRPr="0067507D" w:rsidRDefault="00F61F1D" w:rsidP="00B436E8">
            <w:pPr>
              <w:pStyle w:val="Tabletextrightbold"/>
              <w:spacing w:before="0"/>
              <w:rPr>
                <w:b/>
                <w:bCs w:val="0"/>
              </w:rPr>
            </w:pPr>
            <w:r w:rsidRPr="0067507D">
              <w:t>23</w:t>
            </w:r>
          </w:p>
        </w:tc>
        <w:tc>
          <w:tcPr>
            <w:tcW w:w="673" w:type="dxa"/>
          </w:tcPr>
          <w:p w14:paraId="1F276268" w14:textId="7E905959" w:rsidR="003A759B" w:rsidRPr="0067507D" w:rsidRDefault="00F61F1D" w:rsidP="00B436E8">
            <w:pPr>
              <w:pStyle w:val="Tabletextrightbold"/>
              <w:spacing w:before="0"/>
              <w:rPr>
                <w:b/>
                <w:bCs w:val="0"/>
              </w:rPr>
            </w:pPr>
            <w:r w:rsidRPr="0067507D">
              <w:t>22</w:t>
            </w:r>
          </w:p>
        </w:tc>
        <w:tc>
          <w:tcPr>
            <w:tcW w:w="1087" w:type="dxa"/>
            <w:shd w:val="clear" w:color="auto" w:fill="E0E0E0"/>
            <w:noWrap/>
          </w:tcPr>
          <w:p w14:paraId="44F6E8BA" w14:textId="3111E017" w:rsidR="003A759B" w:rsidRPr="0067507D" w:rsidRDefault="00F61F1D" w:rsidP="00B436E8">
            <w:pPr>
              <w:pStyle w:val="Tabletextrightbold"/>
              <w:spacing w:before="0"/>
              <w:rPr>
                <w:b/>
                <w:bCs w:val="0"/>
              </w:rPr>
            </w:pPr>
            <w:r w:rsidRPr="0067507D">
              <w:t>20</w:t>
            </w:r>
          </w:p>
        </w:tc>
        <w:tc>
          <w:tcPr>
            <w:tcW w:w="992" w:type="dxa"/>
            <w:shd w:val="clear" w:color="auto" w:fill="E0E0E0"/>
          </w:tcPr>
          <w:p w14:paraId="4F4B0335" w14:textId="34ED4020" w:rsidR="003A759B" w:rsidRPr="0067507D" w:rsidRDefault="00F61F1D" w:rsidP="00B436E8">
            <w:pPr>
              <w:pStyle w:val="Tabletextrightbold"/>
              <w:spacing w:before="0"/>
              <w:rPr>
                <w:b/>
                <w:bCs w:val="0"/>
              </w:rPr>
            </w:pPr>
            <w:r w:rsidRPr="0067507D">
              <w:t>3</w:t>
            </w:r>
          </w:p>
        </w:tc>
        <w:tc>
          <w:tcPr>
            <w:tcW w:w="657" w:type="dxa"/>
            <w:shd w:val="clear" w:color="auto" w:fill="E0E0E0"/>
          </w:tcPr>
          <w:p w14:paraId="0BC6E7B7" w14:textId="02A73946" w:rsidR="003A759B" w:rsidRPr="0067507D" w:rsidRDefault="00F61F1D" w:rsidP="00B436E8">
            <w:pPr>
              <w:pStyle w:val="Tabletextrightbold"/>
              <w:spacing w:before="0"/>
              <w:rPr>
                <w:b/>
                <w:bCs w:val="0"/>
              </w:rPr>
            </w:pPr>
            <w:r w:rsidRPr="0067507D">
              <w:t>22</w:t>
            </w:r>
          </w:p>
        </w:tc>
        <w:tc>
          <w:tcPr>
            <w:tcW w:w="1044" w:type="dxa"/>
          </w:tcPr>
          <w:p w14:paraId="68B41AB0" w14:textId="3C7CD5EA" w:rsidR="003A759B" w:rsidRPr="0067507D" w:rsidRDefault="00F61F1D" w:rsidP="00B436E8">
            <w:pPr>
              <w:pStyle w:val="Tabletextrightbold"/>
              <w:spacing w:before="0"/>
              <w:rPr>
                <w:b/>
                <w:bCs w:val="0"/>
              </w:rPr>
            </w:pPr>
            <w:r w:rsidRPr="0067507D">
              <w:t>–</w:t>
            </w:r>
          </w:p>
        </w:tc>
        <w:tc>
          <w:tcPr>
            <w:tcW w:w="684" w:type="dxa"/>
          </w:tcPr>
          <w:p w14:paraId="6070CF84" w14:textId="1C273E36" w:rsidR="003A759B" w:rsidRPr="0067507D" w:rsidRDefault="00F61F1D" w:rsidP="00B436E8">
            <w:pPr>
              <w:pStyle w:val="Tabletextrightbold"/>
              <w:spacing w:before="0"/>
              <w:rPr>
                <w:b/>
                <w:bCs w:val="0"/>
              </w:rPr>
            </w:pPr>
            <w:r w:rsidRPr="0067507D">
              <w:t>–</w:t>
            </w:r>
          </w:p>
        </w:tc>
      </w:tr>
      <w:tr w:rsidR="0015180F" w:rsidRPr="0067507D" w14:paraId="3868DF62" w14:textId="77777777" w:rsidTr="00C04B33">
        <w:trPr>
          <w:cantSplit/>
        </w:trPr>
        <w:tc>
          <w:tcPr>
            <w:tcW w:w="1530" w:type="dxa"/>
            <w:vAlign w:val="bottom"/>
          </w:tcPr>
          <w:p w14:paraId="42C9A4F7" w14:textId="77777777" w:rsidR="003A759B" w:rsidRPr="0067507D" w:rsidRDefault="003A759B" w:rsidP="000E7982">
            <w:pPr>
              <w:pStyle w:val="Tabletext"/>
              <w:spacing w:before="15" w:after="15"/>
              <w:rPr>
                <w:rFonts w:cstheme="minorHAnsi"/>
                <w:bCs/>
              </w:rPr>
            </w:pPr>
            <w:r w:rsidRPr="0067507D">
              <w:rPr>
                <w:rFonts w:cstheme="minorHAnsi"/>
                <w:bCs/>
              </w:rPr>
              <w:t>Legal Officers</w:t>
            </w:r>
          </w:p>
        </w:tc>
        <w:tc>
          <w:tcPr>
            <w:tcW w:w="1022" w:type="dxa"/>
            <w:shd w:val="clear" w:color="auto" w:fill="E0E0E0"/>
          </w:tcPr>
          <w:p w14:paraId="4CCA7F35" w14:textId="0CEDA145" w:rsidR="003A759B" w:rsidRPr="0067507D" w:rsidRDefault="00DD1B34" w:rsidP="000E7982">
            <w:pPr>
              <w:pStyle w:val="Tabletextright"/>
              <w:spacing w:before="15" w:after="15"/>
            </w:pPr>
            <w:r w:rsidRPr="0067507D">
              <w:t>22</w:t>
            </w:r>
          </w:p>
        </w:tc>
        <w:tc>
          <w:tcPr>
            <w:tcW w:w="659" w:type="dxa"/>
            <w:shd w:val="clear" w:color="auto" w:fill="E0E0E0"/>
          </w:tcPr>
          <w:p w14:paraId="0F7EE82D" w14:textId="227045E6" w:rsidR="003A759B" w:rsidRPr="0067507D" w:rsidRDefault="00DD1B34" w:rsidP="000E7982">
            <w:pPr>
              <w:pStyle w:val="Tabletextright"/>
              <w:spacing w:before="15" w:after="15"/>
            </w:pPr>
            <w:r w:rsidRPr="0067507D">
              <w:t>2</w:t>
            </w:r>
            <w:r w:rsidR="00452A23" w:rsidRPr="0067507D">
              <w:t>2</w:t>
            </w:r>
          </w:p>
        </w:tc>
        <w:tc>
          <w:tcPr>
            <w:tcW w:w="1042" w:type="dxa"/>
          </w:tcPr>
          <w:p w14:paraId="129DCA9C" w14:textId="7367DA9C" w:rsidR="003A759B" w:rsidRPr="0067507D" w:rsidRDefault="00DD1B34" w:rsidP="000E7982">
            <w:pPr>
              <w:pStyle w:val="Tabletextright"/>
              <w:spacing w:before="15" w:after="15"/>
            </w:pPr>
            <w:r w:rsidRPr="0067507D">
              <w:t>18</w:t>
            </w:r>
          </w:p>
        </w:tc>
        <w:tc>
          <w:tcPr>
            <w:tcW w:w="992" w:type="dxa"/>
          </w:tcPr>
          <w:p w14:paraId="4A72885B" w14:textId="4BA5D29C" w:rsidR="003A759B" w:rsidRPr="0067507D" w:rsidRDefault="00DD1B34" w:rsidP="000E7982">
            <w:pPr>
              <w:pStyle w:val="Tabletextright"/>
              <w:spacing w:before="15" w:after="15"/>
            </w:pPr>
            <w:r w:rsidRPr="0067507D">
              <w:t>1</w:t>
            </w:r>
          </w:p>
        </w:tc>
        <w:tc>
          <w:tcPr>
            <w:tcW w:w="702" w:type="dxa"/>
          </w:tcPr>
          <w:p w14:paraId="26E5E20D" w14:textId="48365907" w:rsidR="003A759B" w:rsidRPr="0067507D" w:rsidRDefault="00DD1B34" w:rsidP="000E7982">
            <w:pPr>
              <w:pStyle w:val="Tabletextright"/>
              <w:spacing w:before="15" w:after="15"/>
            </w:pPr>
            <w:r w:rsidRPr="0067507D">
              <w:t>1</w:t>
            </w:r>
            <w:r w:rsidR="00452A23" w:rsidRPr="0067507D">
              <w:t>9</w:t>
            </w:r>
          </w:p>
        </w:tc>
        <w:tc>
          <w:tcPr>
            <w:tcW w:w="999" w:type="dxa"/>
            <w:shd w:val="clear" w:color="auto" w:fill="E0E0E0"/>
          </w:tcPr>
          <w:p w14:paraId="5C1DE224" w14:textId="2FD1819B" w:rsidR="003A759B" w:rsidRPr="0067507D" w:rsidRDefault="00DD1B34" w:rsidP="000E7982">
            <w:pPr>
              <w:pStyle w:val="Tabletextright"/>
              <w:spacing w:before="15" w:after="15"/>
            </w:pPr>
            <w:r w:rsidRPr="0067507D">
              <w:t>3</w:t>
            </w:r>
          </w:p>
        </w:tc>
        <w:tc>
          <w:tcPr>
            <w:tcW w:w="729" w:type="dxa"/>
            <w:shd w:val="clear" w:color="auto" w:fill="E0E0E0"/>
          </w:tcPr>
          <w:p w14:paraId="01795B9E" w14:textId="48D590FE" w:rsidR="003A759B" w:rsidRPr="0067507D" w:rsidRDefault="00DD1B34" w:rsidP="000E7982">
            <w:pPr>
              <w:pStyle w:val="Tabletextright"/>
              <w:spacing w:before="15" w:after="15"/>
            </w:pPr>
            <w:r w:rsidRPr="0067507D">
              <w:t>3</w:t>
            </w:r>
          </w:p>
        </w:tc>
        <w:tc>
          <w:tcPr>
            <w:tcW w:w="1055" w:type="dxa"/>
            <w:noWrap/>
          </w:tcPr>
          <w:p w14:paraId="27BC7C64" w14:textId="58B16088" w:rsidR="003A759B" w:rsidRPr="0067507D" w:rsidRDefault="00F61F1D" w:rsidP="000E7982">
            <w:pPr>
              <w:pStyle w:val="Tabletextright"/>
              <w:spacing w:before="15" w:after="15"/>
            </w:pPr>
            <w:r w:rsidRPr="0067507D">
              <w:t>23</w:t>
            </w:r>
          </w:p>
        </w:tc>
        <w:tc>
          <w:tcPr>
            <w:tcW w:w="673" w:type="dxa"/>
          </w:tcPr>
          <w:p w14:paraId="04FCC074" w14:textId="1C0F1190" w:rsidR="003A759B" w:rsidRPr="0067507D" w:rsidRDefault="00F61F1D" w:rsidP="000E7982">
            <w:pPr>
              <w:pStyle w:val="Tabletextright"/>
              <w:spacing w:before="15" w:after="15"/>
            </w:pPr>
            <w:r w:rsidRPr="0067507D">
              <w:t>22</w:t>
            </w:r>
          </w:p>
        </w:tc>
        <w:tc>
          <w:tcPr>
            <w:tcW w:w="1087" w:type="dxa"/>
            <w:shd w:val="clear" w:color="auto" w:fill="E0E0E0"/>
            <w:noWrap/>
          </w:tcPr>
          <w:p w14:paraId="6F6FE2FD" w14:textId="6378FBD4" w:rsidR="003A759B" w:rsidRPr="0067507D" w:rsidRDefault="00F61F1D" w:rsidP="000E7982">
            <w:pPr>
              <w:pStyle w:val="Tabletextright"/>
              <w:spacing w:before="15" w:after="15"/>
            </w:pPr>
            <w:r w:rsidRPr="0067507D">
              <w:t>20</w:t>
            </w:r>
          </w:p>
        </w:tc>
        <w:tc>
          <w:tcPr>
            <w:tcW w:w="992" w:type="dxa"/>
            <w:shd w:val="clear" w:color="auto" w:fill="E0E0E0"/>
          </w:tcPr>
          <w:p w14:paraId="3263F8FD" w14:textId="4DC67254" w:rsidR="003A759B" w:rsidRPr="0067507D" w:rsidRDefault="00F61F1D" w:rsidP="000E7982">
            <w:pPr>
              <w:pStyle w:val="Tabletextright"/>
              <w:spacing w:before="15" w:after="15"/>
            </w:pPr>
            <w:r w:rsidRPr="0067507D">
              <w:t>3</w:t>
            </w:r>
          </w:p>
        </w:tc>
        <w:tc>
          <w:tcPr>
            <w:tcW w:w="657" w:type="dxa"/>
            <w:shd w:val="clear" w:color="auto" w:fill="E0E0E0"/>
          </w:tcPr>
          <w:p w14:paraId="4053C186" w14:textId="5BFFDA93" w:rsidR="003A759B" w:rsidRPr="0067507D" w:rsidRDefault="00F61F1D" w:rsidP="000E7982">
            <w:pPr>
              <w:pStyle w:val="Tabletextright"/>
              <w:spacing w:before="15" w:after="15"/>
            </w:pPr>
            <w:r w:rsidRPr="0067507D">
              <w:t>22</w:t>
            </w:r>
          </w:p>
        </w:tc>
        <w:tc>
          <w:tcPr>
            <w:tcW w:w="1044" w:type="dxa"/>
          </w:tcPr>
          <w:p w14:paraId="683413AF" w14:textId="75324847" w:rsidR="003A759B" w:rsidRPr="0067507D" w:rsidRDefault="00F61F1D" w:rsidP="000E7982">
            <w:pPr>
              <w:pStyle w:val="Tabletextright"/>
              <w:spacing w:before="15" w:after="15"/>
            </w:pPr>
            <w:r w:rsidRPr="0067507D">
              <w:t>–</w:t>
            </w:r>
          </w:p>
        </w:tc>
        <w:tc>
          <w:tcPr>
            <w:tcW w:w="684" w:type="dxa"/>
          </w:tcPr>
          <w:p w14:paraId="30E410E5" w14:textId="250BC3D4" w:rsidR="003A759B" w:rsidRPr="0067507D" w:rsidRDefault="00F61F1D" w:rsidP="000E7982">
            <w:pPr>
              <w:pStyle w:val="Tabletextright"/>
              <w:spacing w:before="15" w:after="15"/>
            </w:pPr>
            <w:r w:rsidRPr="0067507D">
              <w:t>–</w:t>
            </w:r>
          </w:p>
        </w:tc>
      </w:tr>
      <w:tr w:rsidR="0015180F" w:rsidRPr="0067507D" w14:paraId="1235EA55" w14:textId="77777777" w:rsidTr="00C04B33">
        <w:trPr>
          <w:cantSplit/>
        </w:trPr>
        <w:tc>
          <w:tcPr>
            <w:tcW w:w="1530" w:type="dxa"/>
            <w:vAlign w:val="bottom"/>
          </w:tcPr>
          <w:p w14:paraId="2A4E834D" w14:textId="29548165" w:rsidR="003A759B" w:rsidRPr="0067507D" w:rsidRDefault="003A759B" w:rsidP="00A721E2">
            <w:pPr>
              <w:pStyle w:val="Tabletext"/>
              <w:spacing w:before="20" w:after="20"/>
              <w:rPr>
                <w:rFonts w:asciiTheme="majorHAnsi" w:hAnsiTheme="majorHAnsi"/>
              </w:rPr>
            </w:pPr>
            <w:r w:rsidRPr="0067507D">
              <w:rPr>
                <w:rFonts w:asciiTheme="majorHAnsi" w:hAnsiTheme="majorHAnsi" w:cstheme="minorHAnsi"/>
              </w:rPr>
              <w:t>Total employees</w:t>
            </w:r>
            <w:r w:rsidR="00721C65" w:rsidRPr="0067507D">
              <w:rPr>
                <w:rFonts w:asciiTheme="majorHAnsi" w:hAnsiTheme="majorHAnsi" w:cstheme="minorHAnsi"/>
              </w:rPr>
              <w:t xml:space="preserve"> </w:t>
            </w:r>
            <w:r w:rsidR="00721C65" w:rsidRPr="0067507D">
              <w:rPr>
                <w:rFonts w:asciiTheme="majorHAnsi" w:hAnsiTheme="majorHAnsi" w:cstheme="minorHAnsi"/>
                <w:vertAlign w:val="superscript"/>
              </w:rPr>
              <w:t>(</w:t>
            </w:r>
            <w:r w:rsidR="004F61D1" w:rsidRPr="0067507D">
              <w:rPr>
                <w:rFonts w:asciiTheme="majorHAnsi" w:hAnsiTheme="majorHAnsi" w:cstheme="minorHAnsi"/>
                <w:vertAlign w:val="superscript"/>
              </w:rPr>
              <w:t>c</w:t>
            </w:r>
            <w:r w:rsidR="00721C65" w:rsidRPr="0067507D">
              <w:rPr>
                <w:rFonts w:asciiTheme="majorHAnsi" w:hAnsiTheme="majorHAnsi" w:cstheme="minorHAnsi"/>
                <w:vertAlign w:val="superscript"/>
              </w:rPr>
              <w:t>)</w:t>
            </w:r>
          </w:p>
        </w:tc>
        <w:tc>
          <w:tcPr>
            <w:tcW w:w="1022" w:type="dxa"/>
            <w:shd w:val="clear" w:color="auto" w:fill="E0E0E0"/>
          </w:tcPr>
          <w:p w14:paraId="210FEC81" w14:textId="695B0A6F" w:rsidR="003A759B" w:rsidRPr="0067507D" w:rsidRDefault="00DC346A" w:rsidP="00A721E2">
            <w:pPr>
              <w:pStyle w:val="Tabletextrightbold"/>
              <w:spacing w:before="20" w:after="20"/>
            </w:pPr>
            <w:r w:rsidRPr="0067507D">
              <w:t>969</w:t>
            </w:r>
          </w:p>
        </w:tc>
        <w:tc>
          <w:tcPr>
            <w:tcW w:w="659" w:type="dxa"/>
            <w:shd w:val="clear" w:color="auto" w:fill="E0E0E0"/>
          </w:tcPr>
          <w:p w14:paraId="7AF0C7EF" w14:textId="68023E87" w:rsidR="003A759B" w:rsidRPr="0067507D" w:rsidRDefault="00DC346A" w:rsidP="00A721E2">
            <w:pPr>
              <w:pStyle w:val="Tabletextrightbold"/>
              <w:spacing w:before="20" w:after="20"/>
            </w:pPr>
            <w:r w:rsidRPr="0067507D">
              <w:t>9</w:t>
            </w:r>
            <w:r w:rsidR="00604B7F" w:rsidRPr="0067507D">
              <w:t>31</w:t>
            </w:r>
          </w:p>
        </w:tc>
        <w:tc>
          <w:tcPr>
            <w:tcW w:w="1042" w:type="dxa"/>
          </w:tcPr>
          <w:p w14:paraId="02330913" w14:textId="2106F3EB" w:rsidR="003A759B" w:rsidRPr="0067507D" w:rsidRDefault="00DC346A" w:rsidP="00A721E2">
            <w:pPr>
              <w:pStyle w:val="Tabletextrightbold"/>
              <w:spacing w:before="20" w:after="20"/>
            </w:pPr>
            <w:r w:rsidRPr="0067507D">
              <w:t>812</w:t>
            </w:r>
          </w:p>
        </w:tc>
        <w:tc>
          <w:tcPr>
            <w:tcW w:w="992" w:type="dxa"/>
          </w:tcPr>
          <w:p w14:paraId="7AEFCB15" w14:textId="74D9C740" w:rsidR="003A759B" w:rsidRPr="0067507D" w:rsidRDefault="00DC346A" w:rsidP="00A721E2">
            <w:pPr>
              <w:pStyle w:val="Tabletextrightbold"/>
              <w:spacing w:before="20" w:after="20"/>
            </w:pPr>
            <w:r w:rsidRPr="0067507D">
              <w:t>122</w:t>
            </w:r>
          </w:p>
        </w:tc>
        <w:tc>
          <w:tcPr>
            <w:tcW w:w="702" w:type="dxa"/>
          </w:tcPr>
          <w:p w14:paraId="5C4ED2C6" w14:textId="3925AAD8" w:rsidR="003A759B" w:rsidRPr="0067507D" w:rsidRDefault="00DC346A" w:rsidP="00A721E2">
            <w:pPr>
              <w:pStyle w:val="Tabletextrightbold"/>
              <w:spacing w:before="20" w:after="20"/>
            </w:pPr>
            <w:r w:rsidRPr="0067507D">
              <w:t>89</w:t>
            </w:r>
            <w:r w:rsidR="00604B7F" w:rsidRPr="0067507D">
              <w:t>8</w:t>
            </w:r>
          </w:p>
        </w:tc>
        <w:tc>
          <w:tcPr>
            <w:tcW w:w="999" w:type="dxa"/>
            <w:shd w:val="clear" w:color="auto" w:fill="E0E0E0"/>
          </w:tcPr>
          <w:p w14:paraId="56F8E74C" w14:textId="5C35E29C" w:rsidR="003A759B" w:rsidRPr="0067507D" w:rsidRDefault="00DC346A" w:rsidP="00A721E2">
            <w:pPr>
              <w:pStyle w:val="Tabletextrightbold"/>
              <w:spacing w:before="20" w:after="20"/>
            </w:pPr>
            <w:r w:rsidRPr="0067507D">
              <w:t>35</w:t>
            </w:r>
          </w:p>
        </w:tc>
        <w:tc>
          <w:tcPr>
            <w:tcW w:w="729" w:type="dxa"/>
            <w:shd w:val="clear" w:color="auto" w:fill="E0E0E0"/>
          </w:tcPr>
          <w:p w14:paraId="25CE21A2" w14:textId="2877A470" w:rsidR="003A759B" w:rsidRPr="0067507D" w:rsidRDefault="00DC346A" w:rsidP="00A721E2">
            <w:pPr>
              <w:pStyle w:val="Tabletextrightbold"/>
              <w:spacing w:before="20" w:after="20"/>
            </w:pPr>
            <w:r w:rsidRPr="0067507D">
              <w:t>33</w:t>
            </w:r>
          </w:p>
        </w:tc>
        <w:tc>
          <w:tcPr>
            <w:tcW w:w="1055" w:type="dxa"/>
            <w:noWrap/>
          </w:tcPr>
          <w:p w14:paraId="6FED0137" w14:textId="4FA459D8" w:rsidR="003A759B" w:rsidRPr="0067507D" w:rsidRDefault="00F61F1D" w:rsidP="00A721E2">
            <w:pPr>
              <w:pStyle w:val="Tabletextrightbold"/>
              <w:spacing w:before="20" w:after="20"/>
            </w:pPr>
            <w:r w:rsidRPr="0067507D">
              <w:t>929</w:t>
            </w:r>
          </w:p>
        </w:tc>
        <w:tc>
          <w:tcPr>
            <w:tcW w:w="673" w:type="dxa"/>
          </w:tcPr>
          <w:p w14:paraId="7254921D" w14:textId="6F17A2A9" w:rsidR="003A759B" w:rsidRPr="0067507D" w:rsidRDefault="00F61F1D" w:rsidP="00A721E2">
            <w:pPr>
              <w:pStyle w:val="Tabletextrightbold"/>
              <w:spacing w:before="20" w:after="20"/>
            </w:pPr>
            <w:r w:rsidRPr="0067507D">
              <w:t>893</w:t>
            </w:r>
          </w:p>
        </w:tc>
        <w:tc>
          <w:tcPr>
            <w:tcW w:w="1087" w:type="dxa"/>
            <w:shd w:val="clear" w:color="auto" w:fill="E0E0E0"/>
            <w:noWrap/>
          </w:tcPr>
          <w:p w14:paraId="31765B8C" w14:textId="2FFAB5D1" w:rsidR="003A759B" w:rsidRPr="0067507D" w:rsidRDefault="00F61F1D" w:rsidP="00A721E2">
            <w:pPr>
              <w:pStyle w:val="Tabletextrightbold"/>
              <w:spacing w:before="20" w:after="20"/>
            </w:pPr>
            <w:r w:rsidRPr="0067507D">
              <w:t>743</w:t>
            </w:r>
          </w:p>
        </w:tc>
        <w:tc>
          <w:tcPr>
            <w:tcW w:w="992" w:type="dxa"/>
            <w:shd w:val="clear" w:color="auto" w:fill="E0E0E0"/>
          </w:tcPr>
          <w:p w14:paraId="24A2CAD3" w14:textId="5522831E" w:rsidR="003A759B" w:rsidRPr="0067507D" w:rsidRDefault="00F61F1D" w:rsidP="00A721E2">
            <w:pPr>
              <w:pStyle w:val="Tabletextrightbold"/>
              <w:spacing w:before="20" w:after="20"/>
            </w:pPr>
            <w:r w:rsidRPr="0067507D">
              <w:t>122</w:t>
            </w:r>
          </w:p>
        </w:tc>
        <w:tc>
          <w:tcPr>
            <w:tcW w:w="657" w:type="dxa"/>
            <w:shd w:val="clear" w:color="auto" w:fill="E0E0E0"/>
          </w:tcPr>
          <w:p w14:paraId="144BC6A3" w14:textId="280D0192" w:rsidR="003A759B" w:rsidRPr="0067507D" w:rsidRDefault="00F61F1D" w:rsidP="00A721E2">
            <w:pPr>
              <w:pStyle w:val="Tabletextrightbold"/>
              <w:spacing w:before="20" w:after="20"/>
            </w:pPr>
            <w:r w:rsidRPr="0067507D">
              <w:t>829</w:t>
            </w:r>
          </w:p>
        </w:tc>
        <w:tc>
          <w:tcPr>
            <w:tcW w:w="1044" w:type="dxa"/>
          </w:tcPr>
          <w:p w14:paraId="3A1027B8" w14:textId="6974C33E" w:rsidR="003A759B" w:rsidRPr="0067507D" w:rsidRDefault="00F61F1D" w:rsidP="00A721E2">
            <w:pPr>
              <w:pStyle w:val="Tabletextrightbold"/>
              <w:spacing w:before="20" w:after="20"/>
            </w:pPr>
            <w:r w:rsidRPr="0067507D">
              <w:t>64</w:t>
            </w:r>
          </w:p>
        </w:tc>
        <w:tc>
          <w:tcPr>
            <w:tcW w:w="684" w:type="dxa"/>
          </w:tcPr>
          <w:p w14:paraId="18D082C8" w14:textId="3F73228D" w:rsidR="003A759B" w:rsidRPr="0067507D" w:rsidRDefault="00F61F1D" w:rsidP="00A721E2">
            <w:pPr>
              <w:pStyle w:val="Tabletextrightbold"/>
              <w:spacing w:before="20" w:after="20"/>
            </w:pPr>
            <w:r w:rsidRPr="0067507D">
              <w:t>63</w:t>
            </w:r>
          </w:p>
        </w:tc>
      </w:tr>
    </w:tbl>
    <w:p w14:paraId="2415AB28" w14:textId="77777777" w:rsidR="00F16057" w:rsidRPr="0067507D" w:rsidRDefault="00F16057" w:rsidP="00741824">
      <w:pPr>
        <w:pStyle w:val="Notes"/>
      </w:pPr>
      <w:r w:rsidRPr="0067507D">
        <w:t>Notes:</w:t>
      </w:r>
    </w:p>
    <w:p w14:paraId="712EC5EE" w14:textId="7937F66C" w:rsidR="00CE16B5" w:rsidRPr="0067507D" w:rsidRDefault="00CE16B5" w:rsidP="00CE16B5">
      <w:pPr>
        <w:pStyle w:val="Notes"/>
      </w:pPr>
      <w:r w:rsidRPr="0067507D">
        <w:t>(a) State Revenue Office’s (SRO) employment levels increased over the reporting period primarily due to continued implementation of the State Revenue Office Compliance Program (2023</w:t>
      </w:r>
      <w:r w:rsidR="006A5485">
        <w:noBreakHyphen/>
      </w:r>
      <w:r w:rsidRPr="0067507D">
        <w:t xml:space="preserve">24), which is expanding administration of SRO’s compliance program through technology and staffing. Tax reforms introduced in the previous fiscal year also contributed to SRO’s FTE growth over the reporting period, including additional staff to support </w:t>
      </w:r>
      <w:r w:rsidR="0014404A" w:rsidRPr="0067507D">
        <w:t xml:space="preserve">tax </w:t>
      </w:r>
      <w:r w:rsidRPr="0067507D">
        <w:t>administration and customer support.</w:t>
      </w:r>
    </w:p>
    <w:p w14:paraId="2A6C3DEA" w14:textId="4F06AD0A" w:rsidR="00CE16B5" w:rsidRPr="0067507D" w:rsidRDefault="00CE16B5" w:rsidP="00CE16B5">
      <w:pPr>
        <w:pStyle w:val="Notes"/>
      </w:pPr>
      <w:r w:rsidRPr="0067507D">
        <w:t>(</w:t>
      </w:r>
      <w:r w:rsidR="00857D97" w:rsidRPr="0067507D">
        <w:t>b</w:t>
      </w:r>
      <w:r w:rsidRPr="0067507D">
        <w:t>) There was one VPS Grade 6 employee acting as a senior employee under long</w:t>
      </w:r>
      <w:r w:rsidR="006A5485">
        <w:noBreakHyphen/>
      </w:r>
      <w:r w:rsidRPr="0067507D">
        <w:t>term acting arrangements at the end of June 202</w:t>
      </w:r>
      <w:r w:rsidR="00AB3FE3" w:rsidRPr="0067507D">
        <w:t>4</w:t>
      </w:r>
      <w:r w:rsidRPr="0067507D">
        <w:t>.</w:t>
      </w:r>
    </w:p>
    <w:p w14:paraId="0A63B8D7" w14:textId="53AE8D5A" w:rsidR="00113E1C" w:rsidRPr="0067507D" w:rsidRDefault="00CE16B5" w:rsidP="009F7784">
      <w:pPr>
        <w:pStyle w:val="Notes"/>
      </w:pPr>
      <w:r w:rsidRPr="0067507D">
        <w:t>(</w:t>
      </w:r>
      <w:r w:rsidR="00C340F4" w:rsidRPr="0067507D">
        <w:t>c</w:t>
      </w:r>
      <w:r w:rsidRPr="0067507D">
        <w:t xml:space="preserve">) Some FTE figures may not total due to rounding. </w:t>
      </w:r>
    </w:p>
    <w:p w14:paraId="45FF8A75" w14:textId="03711A06" w:rsidR="00113E1C" w:rsidRPr="0067507D" w:rsidRDefault="00113E1C" w:rsidP="009F7784">
      <w:pPr>
        <w:pStyle w:val="Notes"/>
        <w:rPr>
          <w:szCs w:val="14"/>
          <w:lang w:eastAsia="en-US"/>
        </w:rPr>
        <w:sectPr w:rsidR="00113E1C" w:rsidRPr="0067507D" w:rsidSect="00FA30CE">
          <w:headerReference w:type="even" r:id="rId161"/>
          <w:headerReference w:type="default" r:id="rId162"/>
          <w:footerReference w:type="even" r:id="rId163"/>
          <w:footerReference w:type="default" r:id="rId164"/>
          <w:pgSz w:w="16834" w:h="11909" w:orient="landscape" w:code="9"/>
          <w:pgMar w:top="1152" w:right="1440" w:bottom="810" w:left="1728" w:header="720" w:footer="288" w:gutter="0"/>
          <w:cols w:space="720"/>
          <w:noEndnote/>
        </w:sectPr>
      </w:pPr>
    </w:p>
    <w:p w14:paraId="776F88FC" w14:textId="0A53836D" w:rsidR="00113E1C" w:rsidRPr="0067507D" w:rsidRDefault="00113E1C" w:rsidP="00040493">
      <w:pPr>
        <w:pStyle w:val="Tableheading"/>
      </w:pPr>
      <w:r w:rsidRPr="0067507D">
        <w:lastRenderedPageBreak/>
        <w:t>Annualised total salary, by $20</w:t>
      </w:r>
      <w:r w:rsidRPr="0067507D">
        <w:rPr>
          <w:rFonts w:ascii="Calibri" w:hAnsi="Calibri" w:cs="Calibri"/>
        </w:rPr>
        <w:t> </w:t>
      </w:r>
      <w:r w:rsidRPr="0067507D">
        <w:t>000 bands, for executives and other senior non</w:t>
      </w:r>
      <w:r w:rsidRPr="0067507D">
        <w:noBreakHyphen/>
        <w:t xml:space="preserve">executive staff – </w:t>
      </w:r>
      <w:r w:rsidRPr="0067507D">
        <w:br/>
        <w:t>State Revenue</w:t>
      </w:r>
      <w:r w:rsidRPr="0067507D">
        <w:rPr>
          <w:rFonts w:ascii="Calibri" w:hAnsi="Calibri" w:cs="Calibri"/>
        </w:rPr>
        <w:t> </w:t>
      </w:r>
      <w:r w:rsidRPr="0067507D">
        <w:t>Office</w:t>
      </w:r>
    </w:p>
    <w:tbl>
      <w:tblPr>
        <w:tblW w:w="0" w:type="auto"/>
        <w:tblInd w:w="-86" w:type="dxa"/>
        <w:tblLayout w:type="fixed"/>
        <w:tblLook w:val="0000" w:firstRow="0" w:lastRow="0" w:firstColumn="0" w:lastColumn="0" w:noHBand="0" w:noVBand="0"/>
      </w:tblPr>
      <w:tblGrid>
        <w:gridCol w:w="2700"/>
        <w:gridCol w:w="1269"/>
        <w:gridCol w:w="891"/>
        <w:gridCol w:w="1080"/>
        <w:gridCol w:w="1080"/>
        <w:gridCol w:w="1080"/>
        <w:gridCol w:w="1080"/>
      </w:tblGrid>
      <w:tr w:rsidR="00791F8C" w:rsidRPr="0067507D" w14:paraId="76C39263" w14:textId="77777777" w:rsidTr="00040493">
        <w:tc>
          <w:tcPr>
            <w:tcW w:w="2700" w:type="dxa"/>
            <w:shd w:val="clear" w:color="auto" w:fill="FFFFFF" w:themeFill="background1"/>
          </w:tcPr>
          <w:p w14:paraId="02E6C67A" w14:textId="77777777" w:rsidR="00271985" w:rsidRPr="0067507D" w:rsidRDefault="00271985" w:rsidP="00A721E2">
            <w:pPr>
              <w:pStyle w:val="Tabletextheadingleft"/>
            </w:pPr>
            <w:bookmarkStart w:id="204" w:name="DTFPortfolioExecs"/>
            <w:r w:rsidRPr="0067507D">
              <w:t>Income band (salary)</w:t>
            </w:r>
          </w:p>
        </w:tc>
        <w:tc>
          <w:tcPr>
            <w:tcW w:w="1269" w:type="dxa"/>
            <w:shd w:val="clear" w:color="auto" w:fill="FFFFFF" w:themeFill="background1"/>
          </w:tcPr>
          <w:p w14:paraId="6A58F8B4" w14:textId="138E75CB" w:rsidR="00271985" w:rsidRPr="0067507D" w:rsidRDefault="00271985" w:rsidP="00A721E2">
            <w:pPr>
              <w:pStyle w:val="Tabletextheadingcentred"/>
            </w:pPr>
            <w:r w:rsidRPr="0067507D">
              <w:t>Executives</w:t>
            </w:r>
            <w:r w:rsidR="00A36009" w:rsidRPr="0067507D">
              <w:t xml:space="preserve"> </w:t>
            </w:r>
            <w:r w:rsidR="007778DF" w:rsidRPr="0067507D">
              <w:rPr>
                <w:vertAlign w:val="superscript"/>
              </w:rPr>
              <w:t>(a)</w:t>
            </w:r>
          </w:p>
        </w:tc>
        <w:tc>
          <w:tcPr>
            <w:tcW w:w="891" w:type="dxa"/>
            <w:shd w:val="clear" w:color="auto" w:fill="FFFFFF" w:themeFill="background1"/>
          </w:tcPr>
          <w:p w14:paraId="724A0F0C" w14:textId="77777777" w:rsidR="00271985" w:rsidRPr="0067507D" w:rsidRDefault="00271985" w:rsidP="00A721E2">
            <w:pPr>
              <w:pStyle w:val="Tabletextheadingcentred"/>
            </w:pPr>
            <w:r w:rsidRPr="0067507D">
              <w:t>STS</w:t>
            </w:r>
          </w:p>
        </w:tc>
        <w:tc>
          <w:tcPr>
            <w:tcW w:w="1080" w:type="dxa"/>
            <w:shd w:val="clear" w:color="auto" w:fill="FFFFFF" w:themeFill="background1"/>
          </w:tcPr>
          <w:p w14:paraId="1E30214B" w14:textId="77777777" w:rsidR="00271985" w:rsidRPr="0067507D" w:rsidRDefault="00271985" w:rsidP="00A721E2">
            <w:pPr>
              <w:pStyle w:val="Tabletextheadingcentred"/>
            </w:pPr>
            <w:r w:rsidRPr="0067507D">
              <w:t>PS</w:t>
            </w:r>
          </w:p>
        </w:tc>
        <w:tc>
          <w:tcPr>
            <w:tcW w:w="1080" w:type="dxa"/>
            <w:shd w:val="clear" w:color="auto" w:fill="FFFFFF" w:themeFill="background1"/>
          </w:tcPr>
          <w:p w14:paraId="3779FD4F" w14:textId="77777777" w:rsidR="00271985" w:rsidRPr="0067507D" w:rsidRDefault="00271985" w:rsidP="00A721E2">
            <w:pPr>
              <w:pStyle w:val="Tabletextheadingcentred"/>
            </w:pPr>
            <w:r w:rsidRPr="0067507D">
              <w:t>SMA</w:t>
            </w:r>
          </w:p>
        </w:tc>
        <w:tc>
          <w:tcPr>
            <w:tcW w:w="1080" w:type="dxa"/>
            <w:shd w:val="clear" w:color="auto" w:fill="FFFFFF" w:themeFill="background1"/>
          </w:tcPr>
          <w:p w14:paraId="5DF788FA" w14:textId="77777777" w:rsidR="00271985" w:rsidRPr="0067507D" w:rsidRDefault="00271985" w:rsidP="00A721E2">
            <w:pPr>
              <w:pStyle w:val="Tabletextheadingcentred"/>
            </w:pPr>
            <w:r w:rsidRPr="0067507D">
              <w:t>SRA</w:t>
            </w:r>
          </w:p>
        </w:tc>
        <w:tc>
          <w:tcPr>
            <w:tcW w:w="1080" w:type="dxa"/>
            <w:shd w:val="clear" w:color="auto" w:fill="FFFFFF" w:themeFill="background1"/>
          </w:tcPr>
          <w:p w14:paraId="7C4ED162" w14:textId="77777777" w:rsidR="00271985" w:rsidRPr="0067507D" w:rsidRDefault="00271985" w:rsidP="00A721E2">
            <w:pPr>
              <w:pStyle w:val="Tabletextheadingcentred"/>
            </w:pPr>
            <w:r w:rsidRPr="0067507D">
              <w:t>Other</w:t>
            </w:r>
          </w:p>
        </w:tc>
      </w:tr>
      <w:tr w:rsidR="00E02C6B" w:rsidRPr="0067507D" w14:paraId="61A02C3C" w14:textId="77777777" w:rsidTr="00040493">
        <w:tc>
          <w:tcPr>
            <w:tcW w:w="2700" w:type="dxa"/>
            <w:vAlign w:val="bottom"/>
          </w:tcPr>
          <w:p w14:paraId="47D3CE7C" w14:textId="77777777" w:rsidR="00271985" w:rsidRPr="0067507D" w:rsidRDefault="00271985" w:rsidP="00A721E2">
            <w:pPr>
              <w:pStyle w:val="Tabletext"/>
            </w:pPr>
            <w:r w:rsidRPr="0067507D">
              <w:t>&lt;$160</w:t>
            </w:r>
            <w:r w:rsidRPr="0067507D">
              <w:rPr>
                <w:rFonts w:ascii="Calibri" w:hAnsi="Calibri" w:cs="Calibri"/>
              </w:rPr>
              <w:t> </w:t>
            </w:r>
            <w:r w:rsidRPr="0067507D">
              <w:t>000</w:t>
            </w:r>
          </w:p>
        </w:tc>
        <w:tc>
          <w:tcPr>
            <w:tcW w:w="1269" w:type="dxa"/>
            <w:shd w:val="clear" w:color="auto" w:fill="E0E0E0"/>
          </w:tcPr>
          <w:p w14:paraId="23A541E4" w14:textId="77777777" w:rsidR="00271985" w:rsidRPr="0067507D" w:rsidRDefault="00271985" w:rsidP="00A721E2">
            <w:pPr>
              <w:pStyle w:val="Tabletextright"/>
            </w:pPr>
          </w:p>
        </w:tc>
        <w:tc>
          <w:tcPr>
            <w:tcW w:w="891" w:type="dxa"/>
          </w:tcPr>
          <w:p w14:paraId="15DD8F50" w14:textId="77777777" w:rsidR="00271985" w:rsidRPr="0067507D" w:rsidRDefault="00271985" w:rsidP="00A721E2">
            <w:pPr>
              <w:pStyle w:val="Tabletextright"/>
            </w:pPr>
          </w:p>
        </w:tc>
        <w:tc>
          <w:tcPr>
            <w:tcW w:w="1080" w:type="dxa"/>
            <w:shd w:val="clear" w:color="auto" w:fill="E0E0E0"/>
          </w:tcPr>
          <w:p w14:paraId="6FCFAE7A" w14:textId="77777777" w:rsidR="00271985" w:rsidRPr="0067507D" w:rsidRDefault="00271985" w:rsidP="00A721E2">
            <w:pPr>
              <w:pStyle w:val="Tabletextright"/>
            </w:pPr>
          </w:p>
        </w:tc>
        <w:tc>
          <w:tcPr>
            <w:tcW w:w="1080" w:type="dxa"/>
          </w:tcPr>
          <w:p w14:paraId="0D6563ED" w14:textId="77777777" w:rsidR="00271985" w:rsidRPr="0067507D" w:rsidRDefault="00271985" w:rsidP="00A721E2">
            <w:pPr>
              <w:pStyle w:val="Tabletextright"/>
            </w:pPr>
          </w:p>
        </w:tc>
        <w:tc>
          <w:tcPr>
            <w:tcW w:w="1080" w:type="dxa"/>
            <w:shd w:val="clear" w:color="auto" w:fill="E0E0E0"/>
          </w:tcPr>
          <w:p w14:paraId="05B73A44" w14:textId="77777777" w:rsidR="00271985" w:rsidRPr="0067507D" w:rsidRDefault="00271985" w:rsidP="00A721E2">
            <w:pPr>
              <w:pStyle w:val="Tabletextright"/>
            </w:pPr>
          </w:p>
        </w:tc>
        <w:tc>
          <w:tcPr>
            <w:tcW w:w="1080" w:type="dxa"/>
          </w:tcPr>
          <w:p w14:paraId="6142FAE6" w14:textId="77777777" w:rsidR="00271985" w:rsidRPr="0067507D" w:rsidRDefault="00271985" w:rsidP="00A721E2">
            <w:pPr>
              <w:pStyle w:val="Tabletextright"/>
            </w:pPr>
          </w:p>
        </w:tc>
      </w:tr>
      <w:tr w:rsidR="00E02C6B" w:rsidRPr="0067507D" w14:paraId="42D1B9B2" w14:textId="77777777" w:rsidTr="00040493">
        <w:tc>
          <w:tcPr>
            <w:tcW w:w="2700" w:type="dxa"/>
            <w:vAlign w:val="bottom"/>
          </w:tcPr>
          <w:p w14:paraId="58CDDC1A" w14:textId="77777777" w:rsidR="00271985" w:rsidRPr="0067507D" w:rsidRDefault="00271985" w:rsidP="00A721E2">
            <w:pPr>
              <w:pStyle w:val="Tabletext"/>
            </w:pPr>
            <w:r w:rsidRPr="0067507D">
              <w:t>$160</w:t>
            </w:r>
            <w:r w:rsidRPr="0067507D">
              <w:rPr>
                <w:rFonts w:ascii="Calibri" w:hAnsi="Calibri" w:cs="Calibri"/>
              </w:rPr>
              <w:t> </w:t>
            </w:r>
            <w:r w:rsidRPr="0067507D">
              <w:t>000–$179</w:t>
            </w:r>
            <w:r w:rsidRPr="0067507D">
              <w:rPr>
                <w:rFonts w:ascii="Calibri" w:hAnsi="Calibri" w:cs="Calibri"/>
              </w:rPr>
              <w:t> </w:t>
            </w:r>
            <w:r w:rsidRPr="0067507D">
              <w:t>999</w:t>
            </w:r>
          </w:p>
        </w:tc>
        <w:tc>
          <w:tcPr>
            <w:tcW w:w="1269" w:type="dxa"/>
            <w:shd w:val="clear" w:color="auto" w:fill="E0E0E0"/>
          </w:tcPr>
          <w:p w14:paraId="6C81B745" w14:textId="77777777" w:rsidR="00271985" w:rsidRPr="0067507D" w:rsidRDefault="00271985" w:rsidP="00A721E2">
            <w:pPr>
              <w:pStyle w:val="Tabletextright"/>
            </w:pPr>
          </w:p>
        </w:tc>
        <w:tc>
          <w:tcPr>
            <w:tcW w:w="891" w:type="dxa"/>
          </w:tcPr>
          <w:p w14:paraId="4760CC80" w14:textId="77777777" w:rsidR="00271985" w:rsidRPr="0067507D" w:rsidRDefault="00271985" w:rsidP="00A721E2">
            <w:pPr>
              <w:pStyle w:val="Tabletextright"/>
            </w:pPr>
          </w:p>
        </w:tc>
        <w:tc>
          <w:tcPr>
            <w:tcW w:w="1080" w:type="dxa"/>
            <w:shd w:val="clear" w:color="auto" w:fill="E0E0E0"/>
          </w:tcPr>
          <w:p w14:paraId="67921CD8" w14:textId="77777777" w:rsidR="00271985" w:rsidRPr="0067507D" w:rsidRDefault="00271985" w:rsidP="00A721E2">
            <w:pPr>
              <w:pStyle w:val="Tabletextright"/>
            </w:pPr>
          </w:p>
        </w:tc>
        <w:tc>
          <w:tcPr>
            <w:tcW w:w="1080" w:type="dxa"/>
          </w:tcPr>
          <w:p w14:paraId="6B697C35" w14:textId="77777777" w:rsidR="00271985" w:rsidRPr="0067507D" w:rsidRDefault="00271985" w:rsidP="00A721E2">
            <w:pPr>
              <w:pStyle w:val="Tabletextright"/>
            </w:pPr>
          </w:p>
        </w:tc>
        <w:tc>
          <w:tcPr>
            <w:tcW w:w="1080" w:type="dxa"/>
            <w:shd w:val="clear" w:color="auto" w:fill="E0E0E0"/>
          </w:tcPr>
          <w:p w14:paraId="48CEF31E" w14:textId="77777777" w:rsidR="00271985" w:rsidRPr="0067507D" w:rsidRDefault="00271985" w:rsidP="00A721E2">
            <w:pPr>
              <w:pStyle w:val="Tabletextright"/>
            </w:pPr>
          </w:p>
        </w:tc>
        <w:tc>
          <w:tcPr>
            <w:tcW w:w="1080" w:type="dxa"/>
          </w:tcPr>
          <w:p w14:paraId="46519519" w14:textId="77777777" w:rsidR="00271985" w:rsidRPr="0067507D" w:rsidRDefault="00271985" w:rsidP="00A721E2">
            <w:pPr>
              <w:pStyle w:val="Tabletextright"/>
            </w:pPr>
          </w:p>
        </w:tc>
      </w:tr>
      <w:tr w:rsidR="00E02C6B" w:rsidRPr="0067507D" w14:paraId="49A766BC" w14:textId="77777777" w:rsidTr="00040493">
        <w:tc>
          <w:tcPr>
            <w:tcW w:w="2700" w:type="dxa"/>
            <w:vAlign w:val="bottom"/>
          </w:tcPr>
          <w:p w14:paraId="02CDC4CC" w14:textId="77777777" w:rsidR="00271985" w:rsidRPr="0067507D" w:rsidRDefault="00271985" w:rsidP="00A721E2">
            <w:pPr>
              <w:pStyle w:val="Tabletext"/>
            </w:pPr>
            <w:r w:rsidRPr="0067507D">
              <w:t>$180</w:t>
            </w:r>
            <w:r w:rsidRPr="0067507D">
              <w:rPr>
                <w:rFonts w:ascii="Calibri" w:hAnsi="Calibri" w:cs="Calibri"/>
              </w:rPr>
              <w:t> </w:t>
            </w:r>
            <w:r w:rsidRPr="0067507D">
              <w:t>000–$199</w:t>
            </w:r>
            <w:r w:rsidRPr="0067507D">
              <w:rPr>
                <w:rFonts w:ascii="Calibri" w:hAnsi="Calibri" w:cs="Calibri"/>
              </w:rPr>
              <w:t> </w:t>
            </w:r>
            <w:r w:rsidRPr="0067507D">
              <w:t>999</w:t>
            </w:r>
          </w:p>
        </w:tc>
        <w:tc>
          <w:tcPr>
            <w:tcW w:w="1269" w:type="dxa"/>
            <w:shd w:val="clear" w:color="auto" w:fill="E0E0E0"/>
          </w:tcPr>
          <w:p w14:paraId="2B038580" w14:textId="77777777" w:rsidR="00271985" w:rsidRPr="0067507D" w:rsidRDefault="00271985" w:rsidP="00A721E2">
            <w:pPr>
              <w:pStyle w:val="Tabletextright"/>
            </w:pPr>
          </w:p>
        </w:tc>
        <w:tc>
          <w:tcPr>
            <w:tcW w:w="891" w:type="dxa"/>
          </w:tcPr>
          <w:p w14:paraId="41254C9B" w14:textId="00BD00C6" w:rsidR="00271985" w:rsidRPr="0067507D" w:rsidRDefault="00271985" w:rsidP="00A721E2">
            <w:pPr>
              <w:pStyle w:val="Tabletextright"/>
            </w:pPr>
          </w:p>
        </w:tc>
        <w:tc>
          <w:tcPr>
            <w:tcW w:w="1080" w:type="dxa"/>
            <w:shd w:val="clear" w:color="auto" w:fill="E0E0E0"/>
          </w:tcPr>
          <w:p w14:paraId="4EF89D44" w14:textId="77777777" w:rsidR="00271985" w:rsidRPr="0067507D" w:rsidRDefault="00271985" w:rsidP="00A721E2">
            <w:pPr>
              <w:pStyle w:val="Tabletextright"/>
            </w:pPr>
          </w:p>
        </w:tc>
        <w:tc>
          <w:tcPr>
            <w:tcW w:w="1080" w:type="dxa"/>
          </w:tcPr>
          <w:p w14:paraId="32B61411" w14:textId="77777777" w:rsidR="00271985" w:rsidRPr="0067507D" w:rsidRDefault="00271985" w:rsidP="00A721E2">
            <w:pPr>
              <w:pStyle w:val="Tabletextright"/>
            </w:pPr>
          </w:p>
        </w:tc>
        <w:tc>
          <w:tcPr>
            <w:tcW w:w="1080" w:type="dxa"/>
            <w:shd w:val="clear" w:color="auto" w:fill="E0E0E0"/>
          </w:tcPr>
          <w:p w14:paraId="0E2CAC44" w14:textId="77777777" w:rsidR="00271985" w:rsidRPr="0067507D" w:rsidRDefault="00271985" w:rsidP="00A721E2">
            <w:pPr>
              <w:pStyle w:val="Tabletextright"/>
            </w:pPr>
          </w:p>
        </w:tc>
        <w:tc>
          <w:tcPr>
            <w:tcW w:w="1080" w:type="dxa"/>
          </w:tcPr>
          <w:p w14:paraId="62D9693E" w14:textId="77777777" w:rsidR="00271985" w:rsidRPr="0067507D" w:rsidRDefault="00271985" w:rsidP="00A721E2">
            <w:pPr>
              <w:pStyle w:val="Tabletextright"/>
            </w:pPr>
          </w:p>
        </w:tc>
      </w:tr>
      <w:tr w:rsidR="00E02C6B" w:rsidRPr="0067507D" w14:paraId="78BB40A9" w14:textId="77777777" w:rsidTr="00040493">
        <w:tc>
          <w:tcPr>
            <w:tcW w:w="2700" w:type="dxa"/>
            <w:vAlign w:val="bottom"/>
          </w:tcPr>
          <w:p w14:paraId="361D13C3" w14:textId="77777777" w:rsidR="00271985" w:rsidRPr="0067507D" w:rsidRDefault="00271985" w:rsidP="00A721E2">
            <w:pPr>
              <w:pStyle w:val="Tabletext"/>
              <w:rPr>
                <w:vertAlign w:val="superscript"/>
              </w:rPr>
            </w:pPr>
            <w:r w:rsidRPr="0067507D">
              <w:t>$200</w:t>
            </w:r>
            <w:r w:rsidRPr="0067507D">
              <w:rPr>
                <w:rFonts w:ascii="Calibri" w:hAnsi="Calibri" w:cs="Calibri"/>
              </w:rPr>
              <w:t> </w:t>
            </w:r>
            <w:r w:rsidRPr="0067507D">
              <w:t>000–$219</w:t>
            </w:r>
            <w:r w:rsidRPr="0067507D">
              <w:rPr>
                <w:rFonts w:ascii="Calibri" w:hAnsi="Calibri" w:cs="Calibri"/>
              </w:rPr>
              <w:t> </w:t>
            </w:r>
            <w:r w:rsidRPr="0067507D">
              <w:t>999</w:t>
            </w:r>
          </w:p>
        </w:tc>
        <w:tc>
          <w:tcPr>
            <w:tcW w:w="1269" w:type="dxa"/>
            <w:shd w:val="clear" w:color="auto" w:fill="E0E0E0"/>
          </w:tcPr>
          <w:p w14:paraId="148BF509" w14:textId="6DD366D2" w:rsidR="00271985" w:rsidRPr="0067507D" w:rsidRDefault="00271985" w:rsidP="00A721E2">
            <w:pPr>
              <w:pStyle w:val="Tabletextright"/>
            </w:pPr>
          </w:p>
        </w:tc>
        <w:tc>
          <w:tcPr>
            <w:tcW w:w="891" w:type="dxa"/>
          </w:tcPr>
          <w:p w14:paraId="584421E6" w14:textId="769DBD99" w:rsidR="00271985" w:rsidRPr="0067507D" w:rsidRDefault="00D53AA9" w:rsidP="00A721E2">
            <w:pPr>
              <w:pStyle w:val="Tabletextright"/>
            </w:pPr>
            <w:r w:rsidRPr="0067507D">
              <w:t>2</w:t>
            </w:r>
          </w:p>
        </w:tc>
        <w:tc>
          <w:tcPr>
            <w:tcW w:w="1080" w:type="dxa"/>
            <w:shd w:val="clear" w:color="auto" w:fill="E0E0E0"/>
          </w:tcPr>
          <w:p w14:paraId="48D56745" w14:textId="77777777" w:rsidR="00271985" w:rsidRPr="0067507D" w:rsidRDefault="00271985" w:rsidP="00A721E2">
            <w:pPr>
              <w:pStyle w:val="Tabletextright"/>
            </w:pPr>
          </w:p>
        </w:tc>
        <w:tc>
          <w:tcPr>
            <w:tcW w:w="1080" w:type="dxa"/>
          </w:tcPr>
          <w:p w14:paraId="3DE79F6D" w14:textId="77777777" w:rsidR="00271985" w:rsidRPr="0067507D" w:rsidRDefault="00271985" w:rsidP="00A721E2">
            <w:pPr>
              <w:pStyle w:val="Tabletextright"/>
            </w:pPr>
          </w:p>
        </w:tc>
        <w:tc>
          <w:tcPr>
            <w:tcW w:w="1080" w:type="dxa"/>
            <w:shd w:val="clear" w:color="auto" w:fill="E0E0E0"/>
          </w:tcPr>
          <w:p w14:paraId="79DBFEDF" w14:textId="77777777" w:rsidR="00271985" w:rsidRPr="0067507D" w:rsidRDefault="00271985" w:rsidP="00A721E2">
            <w:pPr>
              <w:pStyle w:val="Tabletextright"/>
            </w:pPr>
          </w:p>
        </w:tc>
        <w:tc>
          <w:tcPr>
            <w:tcW w:w="1080" w:type="dxa"/>
          </w:tcPr>
          <w:p w14:paraId="07CDAEE5" w14:textId="77777777" w:rsidR="00271985" w:rsidRPr="0067507D" w:rsidRDefault="00271985" w:rsidP="00A721E2">
            <w:pPr>
              <w:pStyle w:val="Tabletextright"/>
            </w:pPr>
          </w:p>
        </w:tc>
      </w:tr>
      <w:tr w:rsidR="00E02C6B" w:rsidRPr="0067507D" w14:paraId="1030F0D8" w14:textId="77777777" w:rsidTr="00040493">
        <w:tc>
          <w:tcPr>
            <w:tcW w:w="2700" w:type="dxa"/>
            <w:vAlign w:val="bottom"/>
          </w:tcPr>
          <w:p w14:paraId="42AC7972" w14:textId="77777777" w:rsidR="00271985" w:rsidRPr="0067507D" w:rsidRDefault="00271985" w:rsidP="00A721E2">
            <w:pPr>
              <w:pStyle w:val="Tabletext"/>
            </w:pPr>
            <w:r w:rsidRPr="0067507D">
              <w:t>$220</w:t>
            </w:r>
            <w:r w:rsidRPr="0067507D">
              <w:rPr>
                <w:rFonts w:ascii="Calibri" w:hAnsi="Calibri" w:cs="Calibri"/>
              </w:rPr>
              <w:t> </w:t>
            </w:r>
            <w:r w:rsidRPr="0067507D">
              <w:t>000–$239</w:t>
            </w:r>
            <w:r w:rsidRPr="0067507D">
              <w:rPr>
                <w:rFonts w:ascii="Calibri" w:hAnsi="Calibri" w:cs="Calibri"/>
              </w:rPr>
              <w:t> </w:t>
            </w:r>
            <w:r w:rsidRPr="0067507D">
              <w:t>999</w:t>
            </w:r>
          </w:p>
        </w:tc>
        <w:tc>
          <w:tcPr>
            <w:tcW w:w="1269" w:type="dxa"/>
            <w:shd w:val="clear" w:color="auto" w:fill="E0E0E0"/>
          </w:tcPr>
          <w:p w14:paraId="6DBBF389" w14:textId="1C7F7FEF" w:rsidR="00271985" w:rsidRPr="0067507D" w:rsidRDefault="00D53AA9" w:rsidP="00A721E2">
            <w:pPr>
              <w:pStyle w:val="Tabletextright"/>
            </w:pPr>
            <w:r w:rsidRPr="0067507D">
              <w:t>6</w:t>
            </w:r>
          </w:p>
        </w:tc>
        <w:tc>
          <w:tcPr>
            <w:tcW w:w="891" w:type="dxa"/>
          </w:tcPr>
          <w:p w14:paraId="5E7AC8E7" w14:textId="77777777" w:rsidR="00271985" w:rsidRPr="0067507D" w:rsidRDefault="00271985" w:rsidP="00A721E2">
            <w:pPr>
              <w:pStyle w:val="Tabletextright"/>
            </w:pPr>
          </w:p>
        </w:tc>
        <w:tc>
          <w:tcPr>
            <w:tcW w:w="1080" w:type="dxa"/>
            <w:shd w:val="clear" w:color="auto" w:fill="E0E0E0"/>
          </w:tcPr>
          <w:p w14:paraId="277A22C2" w14:textId="77777777" w:rsidR="00271985" w:rsidRPr="0067507D" w:rsidRDefault="00271985" w:rsidP="00A721E2">
            <w:pPr>
              <w:pStyle w:val="Tabletextright"/>
            </w:pPr>
          </w:p>
        </w:tc>
        <w:tc>
          <w:tcPr>
            <w:tcW w:w="1080" w:type="dxa"/>
          </w:tcPr>
          <w:p w14:paraId="139421FA" w14:textId="77777777" w:rsidR="00271985" w:rsidRPr="0067507D" w:rsidRDefault="00271985" w:rsidP="00A721E2">
            <w:pPr>
              <w:pStyle w:val="Tabletextright"/>
            </w:pPr>
          </w:p>
        </w:tc>
        <w:tc>
          <w:tcPr>
            <w:tcW w:w="1080" w:type="dxa"/>
            <w:shd w:val="clear" w:color="auto" w:fill="E0E0E0"/>
          </w:tcPr>
          <w:p w14:paraId="34E841D2" w14:textId="77777777" w:rsidR="00271985" w:rsidRPr="0067507D" w:rsidRDefault="00271985" w:rsidP="00A721E2">
            <w:pPr>
              <w:pStyle w:val="Tabletextright"/>
            </w:pPr>
          </w:p>
        </w:tc>
        <w:tc>
          <w:tcPr>
            <w:tcW w:w="1080" w:type="dxa"/>
          </w:tcPr>
          <w:p w14:paraId="4D31F280" w14:textId="77777777" w:rsidR="00271985" w:rsidRPr="0067507D" w:rsidRDefault="00271985" w:rsidP="00A721E2">
            <w:pPr>
              <w:pStyle w:val="Tabletextright"/>
            </w:pPr>
          </w:p>
        </w:tc>
      </w:tr>
      <w:tr w:rsidR="00E02C6B" w:rsidRPr="0067507D" w14:paraId="4E9BB120" w14:textId="77777777" w:rsidTr="00040493">
        <w:tc>
          <w:tcPr>
            <w:tcW w:w="2700" w:type="dxa"/>
            <w:vAlign w:val="bottom"/>
          </w:tcPr>
          <w:p w14:paraId="409447DD" w14:textId="77777777" w:rsidR="00271985" w:rsidRPr="0067507D" w:rsidRDefault="00271985" w:rsidP="00A721E2">
            <w:pPr>
              <w:pStyle w:val="Tabletext"/>
            </w:pPr>
            <w:r w:rsidRPr="0067507D">
              <w:t>$240</w:t>
            </w:r>
            <w:r w:rsidRPr="0067507D">
              <w:rPr>
                <w:rFonts w:ascii="Calibri" w:hAnsi="Calibri" w:cs="Calibri"/>
              </w:rPr>
              <w:t> </w:t>
            </w:r>
            <w:r w:rsidRPr="0067507D">
              <w:t>000–$259</w:t>
            </w:r>
            <w:r w:rsidRPr="0067507D">
              <w:rPr>
                <w:rFonts w:ascii="Calibri" w:hAnsi="Calibri" w:cs="Calibri"/>
              </w:rPr>
              <w:t> </w:t>
            </w:r>
            <w:r w:rsidRPr="0067507D">
              <w:t>999</w:t>
            </w:r>
          </w:p>
        </w:tc>
        <w:tc>
          <w:tcPr>
            <w:tcW w:w="1269" w:type="dxa"/>
            <w:shd w:val="clear" w:color="auto" w:fill="E0E0E0"/>
          </w:tcPr>
          <w:p w14:paraId="1395C85F" w14:textId="625BB649" w:rsidR="00271985" w:rsidRPr="0067507D" w:rsidRDefault="00D53AA9" w:rsidP="00A721E2">
            <w:pPr>
              <w:pStyle w:val="Tabletextright"/>
            </w:pPr>
            <w:r w:rsidRPr="0067507D">
              <w:t>1</w:t>
            </w:r>
          </w:p>
        </w:tc>
        <w:tc>
          <w:tcPr>
            <w:tcW w:w="891" w:type="dxa"/>
          </w:tcPr>
          <w:p w14:paraId="7434AB3E" w14:textId="77777777" w:rsidR="00271985" w:rsidRPr="0067507D" w:rsidRDefault="00271985" w:rsidP="00A721E2">
            <w:pPr>
              <w:pStyle w:val="Tabletextright"/>
            </w:pPr>
          </w:p>
        </w:tc>
        <w:tc>
          <w:tcPr>
            <w:tcW w:w="1080" w:type="dxa"/>
            <w:shd w:val="clear" w:color="auto" w:fill="E0E0E0"/>
          </w:tcPr>
          <w:p w14:paraId="239A5559" w14:textId="77777777" w:rsidR="00271985" w:rsidRPr="0067507D" w:rsidRDefault="00271985" w:rsidP="00A721E2">
            <w:pPr>
              <w:pStyle w:val="Tabletextright"/>
            </w:pPr>
          </w:p>
        </w:tc>
        <w:tc>
          <w:tcPr>
            <w:tcW w:w="1080" w:type="dxa"/>
          </w:tcPr>
          <w:p w14:paraId="72C8F97E" w14:textId="77777777" w:rsidR="00271985" w:rsidRPr="0067507D" w:rsidRDefault="00271985" w:rsidP="00A721E2">
            <w:pPr>
              <w:pStyle w:val="Tabletextright"/>
            </w:pPr>
          </w:p>
        </w:tc>
        <w:tc>
          <w:tcPr>
            <w:tcW w:w="1080" w:type="dxa"/>
            <w:shd w:val="clear" w:color="auto" w:fill="E0E0E0"/>
          </w:tcPr>
          <w:p w14:paraId="23183F86" w14:textId="77777777" w:rsidR="00271985" w:rsidRPr="0067507D" w:rsidRDefault="00271985" w:rsidP="00A721E2">
            <w:pPr>
              <w:pStyle w:val="Tabletextright"/>
            </w:pPr>
          </w:p>
        </w:tc>
        <w:tc>
          <w:tcPr>
            <w:tcW w:w="1080" w:type="dxa"/>
          </w:tcPr>
          <w:p w14:paraId="7449CF1E" w14:textId="77777777" w:rsidR="00271985" w:rsidRPr="0067507D" w:rsidRDefault="00271985" w:rsidP="00A721E2">
            <w:pPr>
              <w:pStyle w:val="Tabletextright"/>
            </w:pPr>
          </w:p>
        </w:tc>
      </w:tr>
      <w:tr w:rsidR="00E02C6B" w:rsidRPr="0067507D" w14:paraId="26AD7C41" w14:textId="77777777" w:rsidTr="00040493">
        <w:tc>
          <w:tcPr>
            <w:tcW w:w="2700" w:type="dxa"/>
            <w:vAlign w:val="bottom"/>
          </w:tcPr>
          <w:p w14:paraId="45E702F3" w14:textId="77777777" w:rsidR="00271985" w:rsidRPr="0067507D" w:rsidRDefault="00271985" w:rsidP="00A721E2">
            <w:pPr>
              <w:pStyle w:val="Tabletext"/>
            </w:pPr>
            <w:r w:rsidRPr="0067507D">
              <w:t>$260</w:t>
            </w:r>
            <w:r w:rsidRPr="0067507D">
              <w:rPr>
                <w:rFonts w:ascii="Calibri" w:hAnsi="Calibri" w:cs="Calibri"/>
              </w:rPr>
              <w:t> </w:t>
            </w:r>
            <w:r w:rsidRPr="0067507D">
              <w:t>000–$279</w:t>
            </w:r>
            <w:r w:rsidRPr="0067507D">
              <w:rPr>
                <w:rFonts w:ascii="Calibri" w:hAnsi="Calibri" w:cs="Calibri"/>
              </w:rPr>
              <w:t> </w:t>
            </w:r>
            <w:r w:rsidRPr="0067507D">
              <w:t>999</w:t>
            </w:r>
          </w:p>
        </w:tc>
        <w:tc>
          <w:tcPr>
            <w:tcW w:w="1269" w:type="dxa"/>
            <w:shd w:val="clear" w:color="auto" w:fill="E0E0E0"/>
          </w:tcPr>
          <w:p w14:paraId="4A68F473" w14:textId="0B1D7157" w:rsidR="00271985" w:rsidRPr="0067507D" w:rsidRDefault="00271985" w:rsidP="00A721E2">
            <w:pPr>
              <w:pStyle w:val="Tabletextright"/>
            </w:pPr>
          </w:p>
        </w:tc>
        <w:tc>
          <w:tcPr>
            <w:tcW w:w="891" w:type="dxa"/>
          </w:tcPr>
          <w:p w14:paraId="3776C741" w14:textId="77777777" w:rsidR="00271985" w:rsidRPr="0067507D" w:rsidRDefault="00271985" w:rsidP="00A721E2">
            <w:pPr>
              <w:pStyle w:val="Tabletextright"/>
            </w:pPr>
          </w:p>
        </w:tc>
        <w:tc>
          <w:tcPr>
            <w:tcW w:w="1080" w:type="dxa"/>
            <w:shd w:val="clear" w:color="auto" w:fill="E0E0E0"/>
          </w:tcPr>
          <w:p w14:paraId="62C6DC88" w14:textId="77777777" w:rsidR="00271985" w:rsidRPr="0067507D" w:rsidRDefault="00271985" w:rsidP="00A721E2">
            <w:pPr>
              <w:pStyle w:val="Tabletextright"/>
            </w:pPr>
          </w:p>
        </w:tc>
        <w:tc>
          <w:tcPr>
            <w:tcW w:w="1080" w:type="dxa"/>
          </w:tcPr>
          <w:p w14:paraId="02073809" w14:textId="77777777" w:rsidR="00271985" w:rsidRPr="0067507D" w:rsidRDefault="00271985" w:rsidP="00A721E2">
            <w:pPr>
              <w:pStyle w:val="Tabletextright"/>
            </w:pPr>
          </w:p>
        </w:tc>
        <w:tc>
          <w:tcPr>
            <w:tcW w:w="1080" w:type="dxa"/>
            <w:shd w:val="clear" w:color="auto" w:fill="E0E0E0"/>
          </w:tcPr>
          <w:p w14:paraId="69FD5096" w14:textId="77777777" w:rsidR="00271985" w:rsidRPr="0067507D" w:rsidRDefault="00271985" w:rsidP="00A721E2">
            <w:pPr>
              <w:pStyle w:val="Tabletextright"/>
            </w:pPr>
          </w:p>
        </w:tc>
        <w:tc>
          <w:tcPr>
            <w:tcW w:w="1080" w:type="dxa"/>
          </w:tcPr>
          <w:p w14:paraId="360987DA" w14:textId="77777777" w:rsidR="00271985" w:rsidRPr="0067507D" w:rsidRDefault="00271985" w:rsidP="00A721E2">
            <w:pPr>
              <w:pStyle w:val="Tabletextright"/>
            </w:pPr>
          </w:p>
        </w:tc>
      </w:tr>
      <w:tr w:rsidR="00E02C6B" w:rsidRPr="0067507D" w14:paraId="405A47A9" w14:textId="77777777" w:rsidTr="00040493">
        <w:tc>
          <w:tcPr>
            <w:tcW w:w="2700" w:type="dxa"/>
            <w:vAlign w:val="bottom"/>
          </w:tcPr>
          <w:p w14:paraId="68849D15" w14:textId="77777777" w:rsidR="00271985" w:rsidRPr="0067507D" w:rsidRDefault="00271985" w:rsidP="00A721E2">
            <w:pPr>
              <w:pStyle w:val="Tabletext"/>
            </w:pPr>
            <w:r w:rsidRPr="0067507D">
              <w:t>$280</w:t>
            </w:r>
            <w:r w:rsidRPr="0067507D">
              <w:rPr>
                <w:rFonts w:ascii="Calibri" w:hAnsi="Calibri" w:cs="Calibri"/>
              </w:rPr>
              <w:t> </w:t>
            </w:r>
            <w:r w:rsidRPr="0067507D">
              <w:t>000–$299</w:t>
            </w:r>
            <w:r w:rsidRPr="0067507D">
              <w:rPr>
                <w:rFonts w:ascii="Calibri" w:hAnsi="Calibri" w:cs="Calibri"/>
              </w:rPr>
              <w:t> </w:t>
            </w:r>
            <w:r w:rsidRPr="0067507D">
              <w:t>999</w:t>
            </w:r>
          </w:p>
        </w:tc>
        <w:tc>
          <w:tcPr>
            <w:tcW w:w="1269" w:type="dxa"/>
            <w:shd w:val="clear" w:color="auto" w:fill="E0E0E0"/>
          </w:tcPr>
          <w:p w14:paraId="428B15CE" w14:textId="736CECC7" w:rsidR="00271985" w:rsidRPr="0067507D" w:rsidRDefault="00D53AA9" w:rsidP="00A721E2">
            <w:pPr>
              <w:pStyle w:val="Tabletextright"/>
            </w:pPr>
            <w:r w:rsidRPr="0067507D">
              <w:t>4</w:t>
            </w:r>
          </w:p>
        </w:tc>
        <w:tc>
          <w:tcPr>
            <w:tcW w:w="891" w:type="dxa"/>
          </w:tcPr>
          <w:p w14:paraId="6CD05E3E" w14:textId="77777777" w:rsidR="00271985" w:rsidRPr="0067507D" w:rsidRDefault="00271985" w:rsidP="00A721E2">
            <w:pPr>
              <w:pStyle w:val="Tabletextright"/>
            </w:pPr>
          </w:p>
        </w:tc>
        <w:tc>
          <w:tcPr>
            <w:tcW w:w="1080" w:type="dxa"/>
            <w:shd w:val="clear" w:color="auto" w:fill="E0E0E0"/>
          </w:tcPr>
          <w:p w14:paraId="10BC6BA2" w14:textId="77777777" w:rsidR="00271985" w:rsidRPr="0067507D" w:rsidRDefault="00271985" w:rsidP="00A721E2">
            <w:pPr>
              <w:pStyle w:val="Tabletextright"/>
            </w:pPr>
          </w:p>
        </w:tc>
        <w:tc>
          <w:tcPr>
            <w:tcW w:w="1080" w:type="dxa"/>
          </w:tcPr>
          <w:p w14:paraId="2779EA1D" w14:textId="77777777" w:rsidR="00271985" w:rsidRPr="0067507D" w:rsidRDefault="00271985" w:rsidP="00A721E2">
            <w:pPr>
              <w:pStyle w:val="Tabletextright"/>
            </w:pPr>
          </w:p>
        </w:tc>
        <w:tc>
          <w:tcPr>
            <w:tcW w:w="1080" w:type="dxa"/>
            <w:shd w:val="clear" w:color="auto" w:fill="E0E0E0"/>
          </w:tcPr>
          <w:p w14:paraId="0B172039" w14:textId="77777777" w:rsidR="00271985" w:rsidRPr="0067507D" w:rsidRDefault="00271985" w:rsidP="00A721E2">
            <w:pPr>
              <w:pStyle w:val="Tabletextright"/>
            </w:pPr>
          </w:p>
        </w:tc>
        <w:tc>
          <w:tcPr>
            <w:tcW w:w="1080" w:type="dxa"/>
          </w:tcPr>
          <w:p w14:paraId="113BDB57" w14:textId="77777777" w:rsidR="00271985" w:rsidRPr="0067507D" w:rsidRDefault="00271985" w:rsidP="00A721E2">
            <w:pPr>
              <w:pStyle w:val="Tabletextright"/>
            </w:pPr>
          </w:p>
        </w:tc>
      </w:tr>
      <w:tr w:rsidR="00E02C6B" w:rsidRPr="0067507D" w14:paraId="6630C973" w14:textId="77777777" w:rsidTr="00040493">
        <w:tc>
          <w:tcPr>
            <w:tcW w:w="2700" w:type="dxa"/>
            <w:vAlign w:val="bottom"/>
          </w:tcPr>
          <w:p w14:paraId="627BFAEE" w14:textId="77777777" w:rsidR="00271985" w:rsidRPr="0067507D" w:rsidRDefault="00271985" w:rsidP="00A721E2">
            <w:pPr>
              <w:pStyle w:val="Tabletext"/>
            </w:pPr>
            <w:r w:rsidRPr="0067507D">
              <w:t>$300</w:t>
            </w:r>
            <w:r w:rsidRPr="0067507D">
              <w:rPr>
                <w:rFonts w:ascii="Calibri" w:hAnsi="Calibri" w:cs="Calibri"/>
              </w:rPr>
              <w:t> </w:t>
            </w:r>
            <w:r w:rsidRPr="0067507D">
              <w:t>000–$319</w:t>
            </w:r>
            <w:r w:rsidRPr="0067507D">
              <w:rPr>
                <w:rFonts w:ascii="Calibri" w:hAnsi="Calibri" w:cs="Calibri"/>
              </w:rPr>
              <w:t> </w:t>
            </w:r>
            <w:r w:rsidRPr="0067507D">
              <w:t>999</w:t>
            </w:r>
          </w:p>
        </w:tc>
        <w:tc>
          <w:tcPr>
            <w:tcW w:w="1269" w:type="dxa"/>
            <w:shd w:val="clear" w:color="auto" w:fill="E0E0E0"/>
          </w:tcPr>
          <w:p w14:paraId="495662D0" w14:textId="0CF962AC" w:rsidR="00271985" w:rsidRPr="0067507D" w:rsidRDefault="00271985" w:rsidP="00A721E2">
            <w:pPr>
              <w:pStyle w:val="Tabletextright"/>
            </w:pPr>
          </w:p>
        </w:tc>
        <w:tc>
          <w:tcPr>
            <w:tcW w:w="891" w:type="dxa"/>
          </w:tcPr>
          <w:p w14:paraId="1219A40D" w14:textId="77777777" w:rsidR="00271985" w:rsidRPr="0067507D" w:rsidRDefault="00271985" w:rsidP="00A721E2">
            <w:pPr>
              <w:pStyle w:val="Tabletextright"/>
            </w:pPr>
          </w:p>
        </w:tc>
        <w:tc>
          <w:tcPr>
            <w:tcW w:w="1080" w:type="dxa"/>
            <w:shd w:val="clear" w:color="auto" w:fill="E0E0E0"/>
          </w:tcPr>
          <w:p w14:paraId="7CB73C11" w14:textId="77777777" w:rsidR="00271985" w:rsidRPr="0067507D" w:rsidRDefault="00271985" w:rsidP="00A721E2">
            <w:pPr>
              <w:pStyle w:val="Tabletextright"/>
            </w:pPr>
          </w:p>
        </w:tc>
        <w:tc>
          <w:tcPr>
            <w:tcW w:w="1080" w:type="dxa"/>
          </w:tcPr>
          <w:p w14:paraId="1C8864F8" w14:textId="77777777" w:rsidR="00271985" w:rsidRPr="0067507D" w:rsidRDefault="00271985" w:rsidP="00A721E2">
            <w:pPr>
              <w:pStyle w:val="Tabletextright"/>
            </w:pPr>
          </w:p>
        </w:tc>
        <w:tc>
          <w:tcPr>
            <w:tcW w:w="1080" w:type="dxa"/>
            <w:shd w:val="clear" w:color="auto" w:fill="E0E0E0"/>
          </w:tcPr>
          <w:p w14:paraId="37963D42" w14:textId="77777777" w:rsidR="00271985" w:rsidRPr="0067507D" w:rsidRDefault="00271985" w:rsidP="00A721E2">
            <w:pPr>
              <w:pStyle w:val="Tabletextright"/>
            </w:pPr>
          </w:p>
        </w:tc>
        <w:tc>
          <w:tcPr>
            <w:tcW w:w="1080" w:type="dxa"/>
          </w:tcPr>
          <w:p w14:paraId="19B8EB8A" w14:textId="77777777" w:rsidR="00271985" w:rsidRPr="0067507D" w:rsidRDefault="00271985" w:rsidP="00A721E2">
            <w:pPr>
              <w:pStyle w:val="Tabletextright"/>
            </w:pPr>
          </w:p>
        </w:tc>
      </w:tr>
      <w:tr w:rsidR="00E02C6B" w:rsidRPr="0067507D" w14:paraId="1AC0FEDC" w14:textId="77777777" w:rsidTr="00040493">
        <w:tc>
          <w:tcPr>
            <w:tcW w:w="2700" w:type="dxa"/>
            <w:vAlign w:val="bottom"/>
          </w:tcPr>
          <w:p w14:paraId="78AD2315" w14:textId="77777777" w:rsidR="00271985" w:rsidRPr="0067507D" w:rsidRDefault="00271985" w:rsidP="00A721E2">
            <w:pPr>
              <w:pStyle w:val="Tabletext"/>
            </w:pPr>
            <w:r w:rsidRPr="0067507D">
              <w:t>$320</w:t>
            </w:r>
            <w:r w:rsidRPr="0067507D">
              <w:rPr>
                <w:rFonts w:ascii="Calibri" w:hAnsi="Calibri" w:cs="Calibri"/>
              </w:rPr>
              <w:t> </w:t>
            </w:r>
            <w:r w:rsidRPr="0067507D">
              <w:t>000–$339</w:t>
            </w:r>
            <w:r w:rsidRPr="0067507D">
              <w:rPr>
                <w:rFonts w:ascii="Calibri" w:hAnsi="Calibri" w:cs="Calibri"/>
              </w:rPr>
              <w:t> </w:t>
            </w:r>
            <w:r w:rsidRPr="0067507D">
              <w:t>999</w:t>
            </w:r>
          </w:p>
        </w:tc>
        <w:tc>
          <w:tcPr>
            <w:tcW w:w="1269" w:type="dxa"/>
            <w:shd w:val="clear" w:color="auto" w:fill="E0E0E0"/>
          </w:tcPr>
          <w:p w14:paraId="2527C275" w14:textId="34C47B77" w:rsidR="00271985" w:rsidRPr="0067507D" w:rsidRDefault="00D53AA9" w:rsidP="00A721E2">
            <w:pPr>
              <w:pStyle w:val="Tabletextright"/>
            </w:pPr>
            <w:r w:rsidRPr="0067507D">
              <w:t>2</w:t>
            </w:r>
          </w:p>
        </w:tc>
        <w:tc>
          <w:tcPr>
            <w:tcW w:w="891" w:type="dxa"/>
          </w:tcPr>
          <w:p w14:paraId="015BD6A7" w14:textId="77777777" w:rsidR="00271985" w:rsidRPr="0067507D" w:rsidRDefault="00271985" w:rsidP="00A721E2">
            <w:pPr>
              <w:pStyle w:val="Tabletextright"/>
            </w:pPr>
          </w:p>
        </w:tc>
        <w:tc>
          <w:tcPr>
            <w:tcW w:w="1080" w:type="dxa"/>
            <w:shd w:val="clear" w:color="auto" w:fill="E0E0E0"/>
          </w:tcPr>
          <w:p w14:paraId="3B467778" w14:textId="77777777" w:rsidR="00271985" w:rsidRPr="0067507D" w:rsidRDefault="00271985" w:rsidP="00A721E2">
            <w:pPr>
              <w:pStyle w:val="Tabletextright"/>
              <w:rPr>
                <w:bCs/>
              </w:rPr>
            </w:pPr>
          </w:p>
        </w:tc>
        <w:tc>
          <w:tcPr>
            <w:tcW w:w="1080" w:type="dxa"/>
          </w:tcPr>
          <w:p w14:paraId="19621648" w14:textId="77777777" w:rsidR="00271985" w:rsidRPr="0067507D" w:rsidRDefault="00271985" w:rsidP="00A721E2">
            <w:pPr>
              <w:pStyle w:val="Tabletextright"/>
              <w:rPr>
                <w:bCs/>
              </w:rPr>
            </w:pPr>
          </w:p>
        </w:tc>
        <w:tc>
          <w:tcPr>
            <w:tcW w:w="1080" w:type="dxa"/>
            <w:shd w:val="clear" w:color="auto" w:fill="E0E0E0"/>
          </w:tcPr>
          <w:p w14:paraId="62FD855F" w14:textId="77777777" w:rsidR="00271985" w:rsidRPr="0067507D" w:rsidRDefault="00271985" w:rsidP="00A721E2">
            <w:pPr>
              <w:pStyle w:val="Tabletextright"/>
              <w:rPr>
                <w:bCs/>
              </w:rPr>
            </w:pPr>
          </w:p>
        </w:tc>
        <w:tc>
          <w:tcPr>
            <w:tcW w:w="1080" w:type="dxa"/>
          </w:tcPr>
          <w:p w14:paraId="32F276B6" w14:textId="77777777" w:rsidR="00271985" w:rsidRPr="0067507D" w:rsidRDefault="00271985" w:rsidP="00A721E2">
            <w:pPr>
              <w:pStyle w:val="Tabletextright"/>
              <w:rPr>
                <w:bCs/>
              </w:rPr>
            </w:pPr>
          </w:p>
        </w:tc>
      </w:tr>
      <w:tr w:rsidR="00E02C6B" w:rsidRPr="0067507D" w14:paraId="799F477C" w14:textId="77777777" w:rsidTr="00040493">
        <w:tc>
          <w:tcPr>
            <w:tcW w:w="2700" w:type="dxa"/>
          </w:tcPr>
          <w:p w14:paraId="78FDF01F" w14:textId="77777777" w:rsidR="00271985" w:rsidRPr="0067507D" w:rsidRDefault="00271985" w:rsidP="00A721E2">
            <w:pPr>
              <w:pStyle w:val="Tabletext"/>
            </w:pPr>
            <w:r w:rsidRPr="0067507D">
              <w:t>$340</w:t>
            </w:r>
            <w:r w:rsidRPr="0067507D">
              <w:rPr>
                <w:rFonts w:ascii="Calibri" w:hAnsi="Calibri" w:cs="Calibri"/>
              </w:rPr>
              <w:t> </w:t>
            </w:r>
            <w:r w:rsidRPr="0067507D">
              <w:t>000–$359</w:t>
            </w:r>
            <w:r w:rsidRPr="0067507D">
              <w:rPr>
                <w:rFonts w:ascii="Calibri" w:hAnsi="Calibri" w:cs="Calibri"/>
              </w:rPr>
              <w:t> </w:t>
            </w:r>
            <w:r w:rsidRPr="0067507D">
              <w:t>999</w:t>
            </w:r>
          </w:p>
        </w:tc>
        <w:tc>
          <w:tcPr>
            <w:tcW w:w="1269" w:type="dxa"/>
            <w:shd w:val="clear" w:color="auto" w:fill="E0E0E0"/>
          </w:tcPr>
          <w:p w14:paraId="40F1C9ED" w14:textId="70C150BB" w:rsidR="00271985" w:rsidRPr="0067507D" w:rsidRDefault="00D53AA9" w:rsidP="00A721E2">
            <w:pPr>
              <w:pStyle w:val="Tabletextright"/>
            </w:pPr>
            <w:r w:rsidRPr="0067507D">
              <w:t>1</w:t>
            </w:r>
          </w:p>
        </w:tc>
        <w:tc>
          <w:tcPr>
            <w:tcW w:w="891" w:type="dxa"/>
          </w:tcPr>
          <w:p w14:paraId="16DC5BE5" w14:textId="77777777" w:rsidR="00271985" w:rsidRPr="0067507D" w:rsidRDefault="00271985" w:rsidP="00A721E2">
            <w:pPr>
              <w:pStyle w:val="Tabletextright"/>
            </w:pPr>
          </w:p>
        </w:tc>
        <w:tc>
          <w:tcPr>
            <w:tcW w:w="1080" w:type="dxa"/>
            <w:shd w:val="clear" w:color="auto" w:fill="E0E0E0"/>
          </w:tcPr>
          <w:p w14:paraId="1EBE2F05" w14:textId="77777777" w:rsidR="00271985" w:rsidRPr="0067507D" w:rsidRDefault="00271985" w:rsidP="00A721E2">
            <w:pPr>
              <w:pStyle w:val="Tabletextright"/>
              <w:rPr>
                <w:bCs/>
              </w:rPr>
            </w:pPr>
          </w:p>
        </w:tc>
        <w:tc>
          <w:tcPr>
            <w:tcW w:w="1080" w:type="dxa"/>
          </w:tcPr>
          <w:p w14:paraId="011E8998" w14:textId="77777777" w:rsidR="00271985" w:rsidRPr="0067507D" w:rsidRDefault="00271985" w:rsidP="00A721E2">
            <w:pPr>
              <w:pStyle w:val="Tabletextright"/>
              <w:rPr>
                <w:bCs/>
              </w:rPr>
            </w:pPr>
          </w:p>
        </w:tc>
        <w:tc>
          <w:tcPr>
            <w:tcW w:w="1080" w:type="dxa"/>
            <w:shd w:val="clear" w:color="auto" w:fill="E0E0E0"/>
          </w:tcPr>
          <w:p w14:paraId="0B91373B" w14:textId="77777777" w:rsidR="00271985" w:rsidRPr="0067507D" w:rsidRDefault="00271985" w:rsidP="00A721E2">
            <w:pPr>
              <w:pStyle w:val="Tabletextright"/>
              <w:rPr>
                <w:bCs/>
              </w:rPr>
            </w:pPr>
          </w:p>
        </w:tc>
        <w:tc>
          <w:tcPr>
            <w:tcW w:w="1080" w:type="dxa"/>
          </w:tcPr>
          <w:p w14:paraId="5D008FF3" w14:textId="77777777" w:rsidR="00271985" w:rsidRPr="0067507D" w:rsidRDefault="00271985" w:rsidP="00A721E2">
            <w:pPr>
              <w:pStyle w:val="Tabletextright"/>
              <w:rPr>
                <w:bCs/>
              </w:rPr>
            </w:pPr>
          </w:p>
        </w:tc>
      </w:tr>
      <w:tr w:rsidR="00E02C6B" w:rsidRPr="0067507D" w14:paraId="33270A22" w14:textId="77777777" w:rsidTr="00040493">
        <w:tc>
          <w:tcPr>
            <w:tcW w:w="2700" w:type="dxa"/>
          </w:tcPr>
          <w:p w14:paraId="6E865F46" w14:textId="77777777" w:rsidR="00271985" w:rsidRPr="0067507D" w:rsidRDefault="00271985" w:rsidP="00A721E2">
            <w:pPr>
              <w:pStyle w:val="Tabletext"/>
            </w:pPr>
            <w:r w:rsidRPr="0067507D">
              <w:t>$360</w:t>
            </w:r>
            <w:r w:rsidRPr="0067507D">
              <w:rPr>
                <w:rFonts w:ascii="Calibri" w:hAnsi="Calibri" w:cs="Calibri"/>
              </w:rPr>
              <w:t> </w:t>
            </w:r>
            <w:r w:rsidRPr="0067507D">
              <w:t>000–$379</w:t>
            </w:r>
            <w:r w:rsidRPr="0067507D">
              <w:rPr>
                <w:rFonts w:ascii="Calibri" w:hAnsi="Calibri" w:cs="Calibri"/>
              </w:rPr>
              <w:t> </w:t>
            </w:r>
            <w:r w:rsidRPr="0067507D">
              <w:t>999</w:t>
            </w:r>
          </w:p>
        </w:tc>
        <w:tc>
          <w:tcPr>
            <w:tcW w:w="1269" w:type="dxa"/>
            <w:shd w:val="clear" w:color="auto" w:fill="E0E0E0"/>
          </w:tcPr>
          <w:p w14:paraId="3401EAC1" w14:textId="77777777" w:rsidR="00271985" w:rsidRPr="0067507D" w:rsidRDefault="00271985" w:rsidP="00A721E2">
            <w:pPr>
              <w:pStyle w:val="Tabletextright"/>
            </w:pPr>
          </w:p>
        </w:tc>
        <w:tc>
          <w:tcPr>
            <w:tcW w:w="891" w:type="dxa"/>
          </w:tcPr>
          <w:p w14:paraId="4897BE5C" w14:textId="77777777" w:rsidR="00271985" w:rsidRPr="0067507D" w:rsidRDefault="00271985" w:rsidP="00A721E2">
            <w:pPr>
              <w:pStyle w:val="Tabletextright"/>
            </w:pPr>
          </w:p>
        </w:tc>
        <w:tc>
          <w:tcPr>
            <w:tcW w:w="1080" w:type="dxa"/>
            <w:shd w:val="clear" w:color="auto" w:fill="E0E0E0"/>
          </w:tcPr>
          <w:p w14:paraId="006EBDDF" w14:textId="77777777" w:rsidR="00271985" w:rsidRPr="0067507D" w:rsidRDefault="00271985" w:rsidP="00A721E2">
            <w:pPr>
              <w:pStyle w:val="Tabletextright"/>
              <w:rPr>
                <w:bCs/>
              </w:rPr>
            </w:pPr>
          </w:p>
        </w:tc>
        <w:tc>
          <w:tcPr>
            <w:tcW w:w="1080" w:type="dxa"/>
          </w:tcPr>
          <w:p w14:paraId="3376BD73" w14:textId="77777777" w:rsidR="00271985" w:rsidRPr="0067507D" w:rsidRDefault="00271985" w:rsidP="00A721E2">
            <w:pPr>
              <w:pStyle w:val="Tabletextright"/>
              <w:rPr>
                <w:bCs/>
              </w:rPr>
            </w:pPr>
          </w:p>
        </w:tc>
        <w:tc>
          <w:tcPr>
            <w:tcW w:w="1080" w:type="dxa"/>
            <w:shd w:val="clear" w:color="auto" w:fill="E0E0E0"/>
          </w:tcPr>
          <w:p w14:paraId="6D4EA969" w14:textId="77777777" w:rsidR="00271985" w:rsidRPr="0067507D" w:rsidRDefault="00271985" w:rsidP="00A721E2">
            <w:pPr>
              <w:pStyle w:val="Tabletextright"/>
              <w:rPr>
                <w:bCs/>
              </w:rPr>
            </w:pPr>
          </w:p>
        </w:tc>
        <w:tc>
          <w:tcPr>
            <w:tcW w:w="1080" w:type="dxa"/>
          </w:tcPr>
          <w:p w14:paraId="7DC6152B" w14:textId="77777777" w:rsidR="00271985" w:rsidRPr="0067507D" w:rsidRDefault="00271985" w:rsidP="00A721E2">
            <w:pPr>
              <w:pStyle w:val="Tabletextright"/>
              <w:rPr>
                <w:bCs/>
              </w:rPr>
            </w:pPr>
          </w:p>
        </w:tc>
      </w:tr>
      <w:tr w:rsidR="00E02C6B" w:rsidRPr="0067507D" w14:paraId="7B9EB54F" w14:textId="77777777" w:rsidTr="00040493">
        <w:tc>
          <w:tcPr>
            <w:tcW w:w="2700" w:type="dxa"/>
          </w:tcPr>
          <w:p w14:paraId="7BBC8966" w14:textId="77777777" w:rsidR="00271985" w:rsidRPr="0067507D" w:rsidRDefault="00271985" w:rsidP="00A721E2">
            <w:pPr>
              <w:pStyle w:val="Tabletext"/>
            </w:pPr>
            <w:r w:rsidRPr="0067507D">
              <w:t>$380</w:t>
            </w:r>
            <w:r w:rsidRPr="0067507D">
              <w:rPr>
                <w:rFonts w:ascii="Calibri" w:hAnsi="Calibri" w:cs="Calibri"/>
              </w:rPr>
              <w:t> </w:t>
            </w:r>
            <w:r w:rsidRPr="0067507D">
              <w:t>000–$399</w:t>
            </w:r>
            <w:r w:rsidRPr="0067507D">
              <w:rPr>
                <w:rFonts w:ascii="Calibri" w:hAnsi="Calibri" w:cs="Calibri"/>
              </w:rPr>
              <w:t> </w:t>
            </w:r>
            <w:r w:rsidRPr="0067507D">
              <w:t>999</w:t>
            </w:r>
          </w:p>
        </w:tc>
        <w:tc>
          <w:tcPr>
            <w:tcW w:w="1269" w:type="dxa"/>
            <w:shd w:val="clear" w:color="auto" w:fill="E0E0E0"/>
          </w:tcPr>
          <w:p w14:paraId="0AF00019" w14:textId="77777777" w:rsidR="00271985" w:rsidRPr="0067507D" w:rsidRDefault="00271985" w:rsidP="00A721E2">
            <w:pPr>
              <w:pStyle w:val="Tabletextright"/>
            </w:pPr>
          </w:p>
        </w:tc>
        <w:tc>
          <w:tcPr>
            <w:tcW w:w="891" w:type="dxa"/>
          </w:tcPr>
          <w:p w14:paraId="3440843E" w14:textId="77777777" w:rsidR="00271985" w:rsidRPr="0067507D" w:rsidRDefault="00271985" w:rsidP="00A721E2">
            <w:pPr>
              <w:pStyle w:val="Tabletextright"/>
            </w:pPr>
          </w:p>
        </w:tc>
        <w:tc>
          <w:tcPr>
            <w:tcW w:w="1080" w:type="dxa"/>
            <w:shd w:val="clear" w:color="auto" w:fill="E0E0E0"/>
          </w:tcPr>
          <w:p w14:paraId="2A1E0B1A" w14:textId="77777777" w:rsidR="00271985" w:rsidRPr="0067507D" w:rsidRDefault="00271985" w:rsidP="00A721E2">
            <w:pPr>
              <w:pStyle w:val="Tabletextright"/>
              <w:rPr>
                <w:bCs/>
              </w:rPr>
            </w:pPr>
          </w:p>
        </w:tc>
        <w:tc>
          <w:tcPr>
            <w:tcW w:w="1080" w:type="dxa"/>
          </w:tcPr>
          <w:p w14:paraId="5D9CB059" w14:textId="77777777" w:rsidR="00271985" w:rsidRPr="0067507D" w:rsidRDefault="00271985" w:rsidP="00A721E2">
            <w:pPr>
              <w:pStyle w:val="Tabletextright"/>
              <w:rPr>
                <w:bCs/>
              </w:rPr>
            </w:pPr>
          </w:p>
        </w:tc>
        <w:tc>
          <w:tcPr>
            <w:tcW w:w="1080" w:type="dxa"/>
            <w:shd w:val="clear" w:color="auto" w:fill="E0E0E0"/>
          </w:tcPr>
          <w:p w14:paraId="5F26203F" w14:textId="77777777" w:rsidR="00271985" w:rsidRPr="0067507D" w:rsidRDefault="00271985" w:rsidP="00A721E2">
            <w:pPr>
              <w:pStyle w:val="Tabletextright"/>
              <w:rPr>
                <w:bCs/>
              </w:rPr>
            </w:pPr>
          </w:p>
        </w:tc>
        <w:tc>
          <w:tcPr>
            <w:tcW w:w="1080" w:type="dxa"/>
          </w:tcPr>
          <w:p w14:paraId="54AFE987" w14:textId="77777777" w:rsidR="00271985" w:rsidRPr="0067507D" w:rsidRDefault="00271985" w:rsidP="00A721E2">
            <w:pPr>
              <w:pStyle w:val="Tabletextright"/>
              <w:rPr>
                <w:bCs/>
              </w:rPr>
            </w:pPr>
          </w:p>
        </w:tc>
      </w:tr>
      <w:tr w:rsidR="00E02C6B" w:rsidRPr="0067507D" w14:paraId="44385A0B" w14:textId="77777777" w:rsidTr="00040493">
        <w:tc>
          <w:tcPr>
            <w:tcW w:w="2700" w:type="dxa"/>
          </w:tcPr>
          <w:p w14:paraId="129E8CAA" w14:textId="77777777" w:rsidR="00271985" w:rsidRPr="0067507D" w:rsidRDefault="00271985" w:rsidP="00A721E2">
            <w:pPr>
              <w:pStyle w:val="Tabletext"/>
            </w:pPr>
            <w:r w:rsidRPr="0067507D">
              <w:t>$400</w:t>
            </w:r>
            <w:r w:rsidRPr="0067507D">
              <w:rPr>
                <w:rFonts w:ascii="Calibri" w:hAnsi="Calibri" w:cs="Calibri"/>
              </w:rPr>
              <w:t> </w:t>
            </w:r>
            <w:r w:rsidRPr="0067507D">
              <w:t>000–$419</w:t>
            </w:r>
            <w:r w:rsidRPr="0067507D">
              <w:rPr>
                <w:rFonts w:ascii="Calibri" w:hAnsi="Calibri" w:cs="Calibri"/>
              </w:rPr>
              <w:t> </w:t>
            </w:r>
            <w:r w:rsidRPr="0067507D">
              <w:t>999</w:t>
            </w:r>
          </w:p>
        </w:tc>
        <w:tc>
          <w:tcPr>
            <w:tcW w:w="1269" w:type="dxa"/>
            <w:shd w:val="clear" w:color="auto" w:fill="E0E0E0"/>
          </w:tcPr>
          <w:p w14:paraId="67871E10" w14:textId="77777777" w:rsidR="00271985" w:rsidRPr="0067507D" w:rsidRDefault="00271985" w:rsidP="00A721E2">
            <w:pPr>
              <w:pStyle w:val="Tabletextright"/>
            </w:pPr>
          </w:p>
        </w:tc>
        <w:tc>
          <w:tcPr>
            <w:tcW w:w="891" w:type="dxa"/>
          </w:tcPr>
          <w:p w14:paraId="45993084" w14:textId="77777777" w:rsidR="00271985" w:rsidRPr="0067507D" w:rsidRDefault="00271985" w:rsidP="00A721E2">
            <w:pPr>
              <w:pStyle w:val="Tabletextright"/>
            </w:pPr>
          </w:p>
        </w:tc>
        <w:tc>
          <w:tcPr>
            <w:tcW w:w="1080" w:type="dxa"/>
            <w:shd w:val="clear" w:color="auto" w:fill="E0E0E0"/>
          </w:tcPr>
          <w:p w14:paraId="20E71697" w14:textId="77777777" w:rsidR="00271985" w:rsidRPr="0067507D" w:rsidRDefault="00271985" w:rsidP="00A721E2">
            <w:pPr>
              <w:pStyle w:val="Tabletextright"/>
              <w:rPr>
                <w:bCs/>
              </w:rPr>
            </w:pPr>
          </w:p>
        </w:tc>
        <w:tc>
          <w:tcPr>
            <w:tcW w:w="1080" w:type="dxa"/>
          </w:tcPr>
          <w:p w14:paraId="5C5A6224" w14:textId="77777777" w:rsidR="00271985" w:rsidRPr="0067507D" w:rsidRDefault="00271985" w:rsidP="00A721E2">
            <w:pPr>
              <w:pStyle w:val="Tabletextright"/>
              <w:rPr>
                <w:bCs/>
              </w:rPr>
            </w:pPr>
          </w:p>
        </w:tc>
        <w:tc>
          <w:tcPr>
            <w:tcW w:w="1080" w:type="dxa"/>
            <w:shd w:val="clear" w:color="auto" w:fill="E0E0E0"/>
          </w:tcPr>
          <w:p w14:paraId="1273DD44" w14:textId="77777777" w:rsidR="00271985" w:rsidRPr="0067507D" w:rsidRDefault="00271985" w:rsidP="00A721E2">
            <w:pPr>
              <w:pStyle w:val="Tabletextright"/>
              <w:rPr>
                <w:bCs/>
              </w:rPr>
            </w:pPr>
          </w:p>
        </w:tc>
        <w:tc>
          <w:tcPr>
            <w:tcW w:w="1080" w:type="dxa"/>
          </w:tcPr>
          <w:p w14:paraId="01FC398C" w14:textId="77777777" w:rsidR="00271985" w:rsidRPr="0067507D" w:rsidRDefault="00271985" w:rsidP="00A721E2">
            <w:pPr>
              <w:pStyle w:val="Tabletextright"/>
              <w:rPr>
                <w:bCs/>
              </w:rPr>
            </w:pPr>
          </w:p>
        </w:tc>
      </w:tr>
      <w:tr w:rsidR="00E02C6B" w:rsidRPr="0067507D" w14:paraId="291AEE00" w14:textId="77777777" w:rsidTr="00040493">
        <w:tc>
          <w:tcPr>
            <w:tcW w:w="2700" w:type="dxa"/>
          </w:tcPr>
          <w:p w14:paraId="40E33BF4" w14:textId="77777777" w:rsidR="00271985" w:rsidRPr="0067507D" w:rsidRDefault="00271985" w:rsidP="00A721E2">
            <w:pPr>
              <w:pStyle w:val="Tabletext"/>
            </w:pPr>
            <w:r w:rsidRPr="0067507D">
              <w:t>$420</w:t>
            </w:r>
            <w:r w:rsidRPr="0067507D">
              <w:rPr>
                <w:rFonts w:ascii="Calibri" w:hAnsi="Calibri" w:cs="Calibri"/>
              </w:rPr>
              <w:t> </w:t>
            </w:r>
            <w:r w:rsidRPr="0067507D">
              <w:t>000–$439</w:t>
            </w:r>
            <w:r w:rsidRPr="0067507D">
              <w:rPr>
                <w:rFonts w:ascii="Calibri" w:hAnsi="Calibri" w:cs="Calibri"/>
              </w:rPr>
              <w:t> </w:t>
            </w:r>
            <w:r w:rsidRPr="0067507D">
              <w:t>999</w:t>
            </w:r>
          </w:p>
        </w:tc>
        <w:tc>
          <w:tcPr>
            <w:tcW w:w="1269" w:type="dxa"/>
            <w:shd w:val="clear" w:color="auto" w:fill="E0E0E0"/>
          </w:tcPr>
          <w:p w14:paraId="687FD5F5" w14:textId="1A60697F" w:rsidR="00271985" w:rsidRPr="0067507D" w:rsidRDefault="00271985" w:rsidP="00A721E2">
            <w:pPr>
              <w:pStyle w:val="Tabletextright"/>
            </w:pPr>
          </w:p>
        </w:tc>
        <w:tc>
          <w:tcPr>
            <w:tcW w:w="891" w:type="dxa"/>
          </w:tcPr>
          <w:p w14:paraId="0B3FFB70" w14:textId="77777777" w:rsidR="00271985" w:rsidRPr="0067507D" w:rsidRDefault="00271985" w:rsidP="00A721E2">
            <w:pPr>
              <w:pStyle w:val="Tabletextright"/>
            </w:pPr>
          </w:p>
        </w:tc>
        <w:tc>
          <w:tcPr>
            <w:tcW w:w="1080" w:type="dxa"/>
            <w:shd w:val="clear" w:color="auto" w:fill="E0E0E0"/>
          </w:tcPr>
          <w:p w14:paraId="309DAC97" w14:textId="77777777" w:rsidR="00271985" w:rsidRPr="0067507D" w:rsidRDefault="00271985" w:rsidP="00A721E2">
            <w:pPr>
              <w:pStyle w:val="Tabletextright"/>
              <w:rPr>
                <w:bCs/>
              </w:rPr>
            </w:pPr>
          </w:p>
        </w:tc>
        <w:tc>
          <w:tcPr>
            <w:tcW w:w="1080" w:type="dxa"/>
          </w:tcPr>
          <w:p w14:paraId="2BF2D979" w14:textId="77777777" w:rsidR="00271985" w:rsidRPr="0067507D" w:rsidRDefault="00271985" w:rsidP="00A721E2">
            <w:pPr>
              <w:pStyle w:val="Tabletextright"/>
              <w:rPr>
                <w:bCs/>
              </w:rPr>
            </w:pPr>
          </w:p>
        </w:tc>
        <w:tc>
          <w:tcPr>
            <w:tcW w:w="1080" w:type="dxa"/>
            <w:shd w:val="clear" w:color="auto" w:fill="E0E0E0"/>
          </w:tcPr>
          <w:p w14:paraId="1E8DCEC6" w14:textId="77777777" w:rsidR="00271985" w:rsidRPr="0067507D" w:rsidRDefault="00271985" w:rsidP="00A721E2">
            <w:pPr>
              <w:pStyle w:val="Tabletextright"/>
              <w:rPr>
                <w:bCs/>
              </w:rPr>
            </w:pPr>
          </w:p>
        </w:tc>
        <w:tc>
          <w:tcPr>
            <w:tcW w:w="1080" w:type="dxa"/>
          </w:tcPr>
          <w:p w14:paraId="41425746" w14:textId="77777777" w:rsidR="00271985" w:rsidRPr="0067507D" w:rsidRDefault="00271985" w:rsidP="00A721E2">
            <w:pPr>
              <w:pStyle w:val="Tabletextright"/>
              <w:rPr>
                <w:bCs/>
              </w:rPr>
            </w:pPr>
          </w:p>
        </w:tc>
      </w:tr>
      <w:tr w:rsidR="00E02C6B" w:rsidRPr="0067507D" w14:paraId="1AFB993C" w14:textId="77777777" w:rsidTr="00040493">
        <w:tc>
          <w:tcPr>
            <w:tcW w:w="2700" w:type="dxa"/>
          </w:tcPr>
          <w:p w14:paraId="09293A1D" w14:textId="77777777" w:rsidR="00271985" w:rsidRPr="0067507D" w:rsidRDefault="00271985" w:rsidP="00A721E2">
            <w:pPr>
              <w:pStyle w:val="Tabletext"/>
            </w:pPr>
            <w:r w:rsidRPr="0067507D">
              <w:t>$440</w:t>
            </w:r>
            <w:r w:rsidRPr="0067507D">
              <w:rPr>
                <w:rFonts w:ascii="Calibri" w:hAnsi="Calibri" w:cs="Calibri"/>
              </w:rPr>
              <w:t> </w:t>
            </w:r>
            <w:r w:rsidRPr="0067507D">
              <w:t>000–$459</w:t>
            </w:r>
            <w:r w:rsidRPr="0067507D">
              <w:rPr>
                <w:rFonts w:ascii="Calibri" w:hAnsi="Calibri" w:cs="Calibri"/>
              </w:rPr>
              <w:t> </w:t>
            </w:r>
            <w:r w:rsidRPr="0067507D">
              <w:t>999</w:t>
            </w:r>
          </w:p>
        </w:tc>
        <w:tc>
          <w:tcPr>
            <w:tcW w:w="1269" w:type="dxa"/>
            <w:shd w:val="clear" w:color="auto" w:fill="E0E0E0"/>
          </w:tcPr>
          <w:p w14:paraId="0DA72249" w14:textId="77777777" w:rsidR="00271985" w:rsidRPr="0067507D" w:rsidRDefault="00271985" w:rsidP="00A721E2">
            <w:pPr>
              <w:pStyle w:val="Tabletextright"/>
            </w:pPr>
          </w:p>
        </w:tc>
        <w:tc>
          <w:tcPr>
            <w:tcW w:w="891" w:type="dxa"/>
          </w:tcPr>
          <w:p w14:paraId="5FDB0363" w14:textId="77777777" w:rsidR="00271985" w:rsidRPr="0067507D" w:rsidRDefault="00271985" w:rsidP="00A721E2">
            <w:pPr>
              <w:pStyle w:val="Tabletextright"/>
            </w:pPr>
          </w:p>
        </w:tc>
        <w:tc>
          <w:tcPr>
            <w:tcW w:w="1080" w:type="dxa"/>
            <w:shd w:val="clear" w:color="auto" w:fill="E0E0E0"/>
          </w:tcPr>
          <w:p w14:paraId="701DE7FF" w14:textId="77777777" w:rsidR="00271985" w:rsidRPr="0067507D" w:rsidRDefault="00271985" w:rsidP="00A721E2">
            <w:pPr>
              <w:pStyle w:val="Tabletextright"/>
              <w:rPr>
                <w:bCs/>
              </w:rPr>
            </w:pPr>
          </w:p>
        </w:tc>
        <w:tc>
          <w:tcPr>
            <w:tcW w:w="1080" w:type="dxa"/>
          </w:tcPr>
          <w:p w14:paraId="465A0537" w14:textId="77777777" w:rsidR="00271985" w:rsidRPr="0067507D" w:rsidRDefault="00271985" w:rsidP="00A721E2">
            <w:pPr>
              <w:pStyle w:val="Tabletextright"/>
              <w:rPr>
                <w:bCs/>
              </w:rPr>
            </w:pPr>
          </w:p>
        </w:tc>
        <w:tc>
          <w:tcPr>
            <w:tcW w:w="1080" w:type="dxa"/>
            <w:shd w:val="clear" w:color="auto" w:fill="E0E0E0"/>
          </w:tcPr>
          <w:p w14:paraId="0686F842" w14:textId="77777777" w:rsidR="00271985" w:rsidRPr="0067507D" w:rsidRDefault="00271985" w:rsidP="00A721E2">
            <w:pPr>
              <w:pStyle w:val="Tabletextright"/>
              <w:rPr>
                <w:bCs/>
              </w:rPr>
            </w:pPr>
          </w:p>
        </w:tc>
        <w:tc>
          <w:tcPr>
            <w:tcW w:w="1080" w:type="dxa"/>
          </w:tcPr>
          <w:p w14:paraId="02EEB753" w14:textId="77777777" w:rsidR="00271985" w:rsidRPr="0067507D" w:rsidRDefault="00271985" w:rsidP="00A721E2">
            <w:pPr>
              <w:pStyle w:val="Tabletextright"/>
              <w:rPr>
                <w:bCs/>
              </w:rPr>
            </w:pPr>
          </w:p>
        </w:tc>
      </w:tr>
      <w:tr w:rsidR="00E02C6B" w:rsidRPr="0067507D" w14:paraId="1C5185D3" w14:textId="77777777" w:rsidTr="00040493">
        <w:tc>
          <w:tcPr>
            <w:tcW w:w="2700" w:type="dxa"/>
          </w:tcPr>
          <w:p w14:paraId="41326179" w14:textId="77777777" w:rsidR="00271985" w:rsidRPr="0067507D" w:rsidRDefault="00271985" w:rsidP="00A721E2">
            <w:pPr>
              <w:pStyle w:val="Tabletext"/>
            </w:pPr>
            <w:r w:rsidRPr="0067507D">
              <w:t>$460</w:t>
            </w:r>
            <w:r w:rsidRPr="0067507D">
              <w:rPr>
                <w:rFonts w:ascii="Calibri" w:hAnsi="Calibri" w:cs="Calibri"/>
              </w:rPr>
              <w:t> </w:t>
            </w:r>
            <w:r w:rsidRPr="0067507D">
              <w:t>000–$479</w:t>
            </w:r>
            <w:r w:rsidRPr="0067507D">
              <w:rPr>
                <w:rFonts w:ascii="Calibri" w:hAnsi="Calibri" w:cs="Calibri"/>
              </w:rPr>
              <w:t> </w:t>
            </w:r>
            <w:r w:rsidRPr="0067507D">
              <w:t>999</w:t>
            </w:r>
          </w:p>
        </w:tc>
        <w:tc>
          <w:tcPr>
            <w:tcW w:w="1269" w:type="dxa"/>
            <w:shd w:val="clear" w:color="auto" w:fill="E0E0E0"/>
          </w:tcPr>
          <w:p w14:paraId="44D24529" w14:textId="4343013B" w:rsidR="00271985" w:rsidRPr="0067507D" w:rsidRDefault="00D53AA9" w:rsidP="00A721E2">
            <w:pPr>
              <w:pStyle w:val="Tabletextright"/>
            </w:pPr>
            <w:r w:rsidRPr="0067507D">
              <w:t>1</w:t>
            </w:r>
          </w:p>
        </w:tc>
        <w:tc>
          <w:tcPr>
            <w:tcW w:w="891" w:type="dxa"/>
          </w:tcPr>
          <w:p w14:paraId="51B40671" w14:textId="77777777" w:rsidR="00271985" w:rsidRPr="0067507D" w:rsidRDefault="00271985" w:rsidP="00A721E2">
            <w:pPr>
              <w:pStyle w:val="Tabletextright"/>
            </w:pPr>
          </w:p>
        </w:tc>
        <w:tc>
          <w:tcPr>
            <w:tcW w:w="1080" w:type="dxa"/>
            <w:shd w:val="clear" w:color="auto" w:fill="E0E0E0"/>
          </w:tcPr>
          <w:p w14:paraId="02680102" w14:textId="77777777" w:rsidR="00271985" w:rsidRPr="0067507D" w:rsidRDefault="00271985" w:rsidP="00A721E2">
            <w:pPr>
              <w:pStyle w:val="Tabletextright"/>
              <w:rPr>
                <w:bCs/>
              </w:rPr>
            </w:pPr>
          </w:p>
        </w:tc>
        <w:tc>
          <w:tcPr>
            <w:tcW w:w="1080" w:type="dxa"/>
          </w:tcPr>
          <w:p w14:paraId="6AFB690A" w14:textId="77777777" w:rsidR="00271985" w:rsidRPr="0067507D" w:rsidRDefault="00271985" w:rsidP="00A721E2">
            <w:pPr>
              <w:pStyle w:val="Tabletextright"/>
              <w:rPr>
                <w:bCs/>
              </w:rPr>
            </w:pPr>
          </w:p>
        </w:tc>
        <w:tc>
          <w:tcPr>
            <w:tcW w:w="1080" w:type="dxa"/>
            <w:shd w:val="clear" w:color="auto" w:fill="E0E0E0"/>
          </w:tcPr>
          <w:p w14:paraId="49F99122" w14:textId="77777777" w:rsidR="00271985" w:rsidRPr="0067507D" w:rsidRDefault="00271985" w:rsidP="00A721E2">
            <w:pPr>
              <w:pStyle w:val="Tabletextright"/>
              <w:rPr>
                <w:bCs/>
              </w:rPr>
            </w:pPr>
          </w:p>
        </w:tc>
        <w:tc>
          <w:tcPr>
            <w:tcW w:w="1080" w:type="dxa"/>
          </w:tcPr>
          <w:p w14:paraId="06419082" w14:textId="77777777" w:rsidR="00271985" w:rsidRPr="0067507D" w:rsidRDefault="00271985" w:rsidP="00A721E2">
            <w:pPr>
              <w:pStyle w:val="Tabletextright"/>
              <w:rPr>
                <w:bCs/>
              </w:rPr>
            </w:pPr>
          </w:p>
        </w:tc>
      </w:tr>
      <w:tr w:rsidR="00E02C6B" w:rsidRPr="0067507D" w14:paraId="63409A6B" w14:textId="77777777" w:rsidTr="00040493">
        <w:tc>
          <w:tcPr>
            <w:tcW w:w="2700" w:type="dxa"/>
          </w:tcPr>
          <w:p w14:paraId="7E87A4C6" w14:textId="77777777" w:rsidR="00271985" w:rsidRPr="0067507D" w:rsidRDefault="00271985" w:rsidP="00A721E2">
            <w:pPr>
              <w:pStyle w:val="Tabletext"/>
            </w:pPr>
            <w:r w:rsidRPr="0067507D">
              <w:t>$480</w:t>
            </w:r>
            <w:r w:rsidRPr="0067507D">
              <w:rPr>
                <w:rFonts w:ascii="Calibri" w:hAnsi="Calibri" w:cs="Calibri"/>
              </w:rPr>
              <w:t> </w:t>
            </w:r>
            <w:r w:rsidRPr="0067507D">
              <w:t>000–$499</w:t>
            </w:r>
            <w:r w:rsidRPr="0067507D">
              <w:rPr>
                <w:rFonts w:ascii="Calibri" w:hAnsi="Calibri" w:cs="Calibri"/>
              </w:rPr>
              <w:t> </w:t>
            </w:r>
            <w:r w:rsidRPr="0067507D">
              <w:t>999</w:t>
            </w:r>
          </w:p>
        </w:tc>
        <w:tc>
          <w:tcPr>
            <w:tcW w:w="1269" w:type="dxa"/>
            <w:shd w:val="clear" w:color="auto" w:fill="E0E0E0"/>
          </w:tcPr>
          <w:p w14:paraId="34C937D1" w14:textId="77777777" w:rsidR="00271985" w:rsidRPr="0067507D" w:rsidRDefault="00271985" w:rsidP="00A721E2">
            <w:pPr>
              <w:pStyle w:val="Tabletextright"/>
            </w:pPr>
          </w:p>
        </w:tc>
        <w:tc>
          <w:tcPr>
            <w:tcW w:w="891" w:type="dxa"/>
          </w:tcPr>
          <w:p w14:paraId="266F1861" w14:textId="77777777" w:rsidR="00271985" w:rsidRPr="0067507D" w:rsidRDefault="00271985" w:rsidP="00A721E2">
            <w:pPr>
              <w:pStyle w:val="Tabletextright"/>
            </w:pPr>
          </w:p>
        </w:tc>
        <w:tc>
          <w:tcPr>
            <w:tcW w:w="1080" w:type="dxa"/>
            <w:shd w:val="clear" w:color="auto" w:fill="E0E0E0"/>
          </w:tcPr>
          <w:p w14:paraId="0F0717B5" w14:textId="77777777" w:rsidR="00271985" w:rsidRPr="0067507D" w:rsidRDefault="00271985" w:rsidP="00A721E2">
            <w:pPr>
              <w:pStyle w:val="Tabletextright"/>
              <w:rPr>
                <w:bCs/>
              </w:rPr>
            </w:pPr>
          </w:p>
        </w:tc>
        <w:tc>
          <w:tcPr>
            <w:tcW w:w="1080" w:type="dxa"/>
          </w:tcPr>
          <w:p w14:paraId="1E2545C2" w14:textId="77777777" w:rsidR="00271985" w:rsidRPr="0067507D" w:rsidRDefault="00271985" w:rsidP="00A721E2">
            <w:pPr>
              <w:pStyle w:val="Tabletextright"/>
              <w:rPr>
                <w:bCs/>
              </w:rPr>
            </w:pPr>
          </w:p>
        </w:tc>
        <w:tc>
          <w:tcPr>
            <w:tcW w:w="1080" w:type="dxa"/>
            <w:shd w:val="clear" w:color="auto" w:fill="E0E0E0"/>
          </w:tcPr>
          <w:p w14:paraId="16F1F680" w14:textId="77777777" w:rsidR="00271985" w:rsidRPr="0067507D" w:rsidRDefault="00271985" w:rsidP="00A721E2">
            <w:pPr>
              <w:pStyle w:val="Tabletextright"/>
              <w:rPr>
                <w:bCs/>
              </w:rPr>
            </w:pPr>
          </w:p>
        </w:tc>
        <w:tc>
          <w:tcPr>
            <w:tcW w:w="1080" w:type="dxa"/>
          </w:tcPr>
          <w:p w14:paraId="5B8A49DD" w14:textId="77777777" w:rsidR="00271985" w:rsidRPr="0067507D" w:rsidRDefault="00271985" w:rsidP="00A721E2">
            <w:pPr>
              <w:pStyle w:val="Tabletextright"/>
              <w:rPr>
                <w:bCs/>
              </w:rPr>
            </w:pPr>
          </w:p>
        </w:tc>
      </w:tr>
      <w:tr w:rsidR="00E02C6B" w:rsidRPr="0067507D" w14:paraId="4775DA64" w14:textId="77777777" w:rsidTr="00040493">
        <w:tc>
          <w:tcPr>
            <w:tcW w:w="2700" w:type="dxa"/>
            <w:vAlign w:val="bottom"/>
          </w:tcPr>
          <w:p w14:paraId="4070F3BB" w14:textId="77777777" w:rsidR="00271985" w:rsidRPr="0067507D" w:rsidRDefault="00271985" w:rsidP="00A721E2">
            <w:pPr>
              <w:pStyle w:val="Tabletextbold"/>
            </w:pPr>
            <w:r w:rsidRPr="0067507D">
              <w:t xml:space="preserve">Total </w:t>
            </w:r>
          </w:p>
        </w:tc>
        <w:tc>
          <w:tcPr>
            <w:tcW w:w="1269" w:type="dxa"/>
            <w:shd w:val="clear" w:color="auto" w:fill="E0E0E0"/>
          </w:tcPr>
          <w:p w14:paraId="4843263F" w14:textId="7C931277" w:rsidR="00271985" w:rsidRPr="0067507D" w:rsidRDefault="00D53AA9" w:rsidP="007D0A6B">
            <w:pPr>
              <w:pStyle w:val="Tabletextrightbold"/>
            </w:pPr>
            <w:r w:rsidRPr="0067507D">
              <w:t>15</w:t>
            </w:r>
          </w:p>
        </w:tc>
        <w:tc>
          <w:tcPr>
            <w:tcW w:w="891" w:type="dxa"/>
          </w:tcPr>
          <w:p w14:paraId="531F2C82" w14:textId="31385DDC" w:rsidR="00271985" w:rsidRPr="0067507D" w:rsidRDefault="00D53AA9" w:rsidP="007D0A6B">
            <w:pPr>
              <w:pStyle w:val="Tabletextrightbold"/>
            </w:pPr>
            <w:r w:rsidRPr="0067507D">
              <w:t>2</w:t>
            </w:r>
          </w:p>
        </w:tc>
        <w:tc>
          <w:tcPr>
            <w:tcW w:w="1080" w:type="dxa"/>
            <w:shd w:val="clear" w:color="auto" w:fill="E0E0E0"/>
          </w:tcPr>
          <w:p w14:paraId="6DFB4719" w14:textId="77777777" w:rsidR="00271985" w:rsidRPr="0067507D" w:rsidRDefault="00271985" w:rsidP="00A721E2">
            <w:pPr>
              <w:pStyle w:val="Tabletextrightbold"/>
            </w:pPr>
          </w:p>
        </w:tc>
        <w:tc>
          <w:tcPr>
            <w:tcW w:w="1080" w:type="dxa"/>
          </w:tcPr>
          <w:p w14:paraId="5BE37C0C" w14:textId="77777777" w:rsidR="00271985" w:rsidRPr="0067507D" w:rsidRDefault="00271985" w:rsidP="00A721E2">
            <w:pPr>
              <w:pStyle w:val="Tabletextrightbold"/>
            </w:pPr>
          </w:p>
        </w:tc>
        <w:tc>
          <w:tcPr>
            <w:tcW w:w="1080" w:type="dxa"/>
            <w:shd w:val="clear" w:color="auto" w:fill="E0E0E0"/>
          </w:tcPr>
          <w:p w14:paraId="411ABCD7" w14:textId="77777777" w:rsidR="00271985" w:rsidRPr="0067507D" w:rsidRDefault="00271985" w:rsidP="00A721E2">
            <w:pPr>
              <w:pStyle w:val="Tabletextrightbold"/>
            </w:pPr>
          </w:p>
        </w:tc>
        <w:tc>
          <w:tcPr>
            <w:tcW w:w="1080" w:type="dxa"/>
          </w:tcPr>
          <w:p w14:paraId="39CB4DD6" w14:textId="77777777" w:rsidR="00271985" w:rsidRPr="0067507D" w:rsidRDefault="00271985" w:rsidP="00A721E2">
            <w:pPr>
              <w:pStyle w:val="Tabletextrightbold"/>
            </w:pPr>
          </w:p>
        </w:tc>
      </w:tr>
    </w:tbl>
    <w:p w14:paraId="0D4C6184" w14:textId="3B838DCA" w:rsidR="00113E1C" w:rsidRPr="0067507D" w:rsidRDefault="00113E1C" w:rsidP="00E1292C">
      <w:pPr>
        <w:pStyle w:val="Notes"/>
      </w:pPr>
      <w:r w:rsidRPr="0067507D">
        <w:t>The salaries reported above are for the full financial year, at a 1</w:t>
      </w:r>
      <w:r w:rsidR="006A5485">
        <w:noBreakHyphen/>
      </w:r>
      <w:r w:rsidRPr="0067507D">
        <w:t>FTE rate, and exclude superannuation.</w:t>
      </w:r>
    </w:p>
    <w:p w14:paraId="7ACFB07E" w14:textId="77777777" w:rsidR="00113E1C" w:rsidRPr="0067507D" w:rsidRDefault="00113E1C" w:rsidP="00E1292C">
      <w:pPr>
        <w:pStyle w:val="Notes"/>
      </w:pPr>
      <w:r w:rsidRPr="0067507D">
        <w:t>Note:</w:t>
      </w:r>
    </w:p>
    <w:p w14:paraId="48031228" w14:textId="6C1B5B9E" w:rsidR="00A56D04" w:rsidRPr="0067507D" w:rsidRDefault="00E1292C" w:rsidP="00E1292C">
      <w:pPr>
        <w:pStyle w:val="Notes"/>
      </w:pPr>
      <w:r w:rsidRPr="0067507D">
        <w:t xml:space="preserve">(a) </w:t>
      </w:r>
      <w:r w:rsidR="00A56D04" w:rsidRPr="0067507D">
        <w:t xml:space="preserve">There </w:t>
      </w:r>
      <w:r w:rsidR="008E5FD4" w:rsidRPr="0067507D">
        <w:t>was</w:t>
      </w:r>
      <w:r w:rsidR="00A56D04" w:rsidRPr="0067507D">
        <w:t xml:space="preserve"> </w:t>
      </w:r>
      <w:r w:rsidR="008E5FD4" w:rsidRPr="0067507D">
        <w:t xml:space="preserve">one employee </w:t>
      </w:r>
      <w:r w:rsidR="00A56D04" w:rsidRPr="0067507D">
        <w:t>employed on a part</w:t>
      </w:r>
      <w:r w:rsidR="006A5485">
        <w:noBreakHyphen/>
      </w:r>
      <w:r w:rsidR="00A56D04" w:rsidRPr="0067507D">
        <w:t>time basis at 0.9 FTE.</w:t>
      </w:r>
    </w:p>
    <w:bookmarkEnd w:id="204"/>
    <w:p w14:paraId="76070652" w14:textId="77777777" w:rsidR="00113E1C" w:rsidRPr="0067507D" w:rsidRDefault="00113E1C" w:rsidP="00113E1C"/>
    <w:p w14:paraId="068A7945" w14:textId="77777777" w:rsidR="0060621C" w:rsidRPr="0067507D" w:rsidRDefault="0060621C" w:rsidP="00113E1C">
      <w:pPr>
        <w:sectPr w:rsidR="0060621C" w:rsidRPr="0067507D" w:rsidSect="006A6A7A">
          <w:headerReference w:type="even" r:id="rId165"/>
          <w:headerReference w:type="default" r:id="rId166"/>
          <w:footerReference w:type="even" r:id="rId167"/>
          <w:footerReference w:type="default" r:id="rId168"/>
          <w:pgSz w:w="11909" w:h="16834" w:code="9"/>
          <w:pgMar w:top="1099" w:right="810" w:bottom="1728" w:left="1152" w:header="720" w:footer="288" w:gutter="0"/>
          <w:cols w:space="720"/>
          <w:noEndnote/>
          <w:docGrid w:linePitch="231"/>
        </w:sectPr>
      </w:pPr>
    </w:p>
    <w:p w14:paraId="095AFAC0" w14:textId="2BAB7AB4" w:rsidR="0068068B" w:rsidRPr="0067507D" w:rsidRDefault="0068068B" w:rsidP="0068068B">
      <w:pPr>
        <w:pStyle w:val="Heading4"/>
        <w:spacing w:before="0" w:after="60"/>
      </w:pPr>
      <w:r w:rsidRPr="0067507D">
        <w:lastRenderedPageBreak/>
        <w:t>Profile of Wage Inspectorate Victoria</w:t>
      </w:r>
      <w:r w:rsidR="00525DB2" w:rsidRPr="0067507D">
        <w:t>’s</w:t>
      </w:r>
      <w:r w:rsidRPr="0067507D">
        <w:t xml:space="preserve"> workforce: </w:t>
      </w:r>
      <w:r w:rsidR="00C30F42" w:rsidRPr="0067507D">
        <w:t>June 2025</w:t>
      </w:r>
    </w:p>
    <w:tbl>
      <w:tblPr>
        <w:tblW w:w="13867" w:type="dxa"/>
        <w:tblLayout w:type="fixed"/>
        <w:tblCellMar>
          <w:left w:w="43" w:type="dxa"/>
          <w:right w:w="43" w:type="dxa"/>
        </w:tblCellMar>
        <w:tblLook w:val="0000" w:firstRow="0" w:lastRow="0" w:firstColumn="0" w:lastColumn="0" w:noHBand="0" w:noVBand="0"/>
      </w:tblPr>
      <w:tblGrid>
        <w:gridCol w:w="1530"/>
        <w:gridCol w:w="1022"/>
        <w:gridCol w:w="659"/>
        <w:gridCol w:w="1042"/>
        <w:gridCol w:w="992"/>
        <w:gridCol w:w="702"/>
        <w:gridCol w:w="999"/>
        <w:gridCol w:w="729"/>
        <w:gridCol w:w="1055"/>
        <w:gridCol w:w="673"/>
        <w:gridCol w:w="1087"/>
        <w:gridCol w:w="992"/>
        <w:gridCol w:w="657"/>
        <w:gridCol w:w="1044"/>
        <w:gridCol w:w="684"/>
      </w:tblGrid>
      <w:tr w:rsidR="0068068B" w:rsidRPr="0067507D" w14:paraId="771A1B90" w14:textId="77777777" w:rsidTr="00A721E2">
        <w:trPr>
          <w:cantSplit/>
        </w:trPr>
        <w:tc>
          <w:tcPr>
            <w:tcW w:w="1530" w:type="dxa"/>
          </w:tcPr>
          <w:p w14:paraId="02525173" w14:textId="77777777" w:rsidR="0068068B" w:rsidRPr="0067507D" w:rsidRDefault="0068068B" w:rsidP="00A721E2">
            <w:pPr>
              <w:pStyle w:val="Tabletext"/>
              <w:spacing w:before="20" w:after="20"/>
            </w:pPr>
          </w:p>
        </w:tc>
        <w:tc>
          <w:tcPr>
            <w:tcW w:w="6145" w:type="dxa"/>
            <w:gridSpan w:val="7"/>
            <w:shd w:val="clear" w:color="auto" w:fill="E0E0E0"/>
            <w:vAlign w:val="bottom"/>
          </w:tcPr>
          <w:p w14:paraId="2B0B5702" w14:textId="4607EE7B" w:rsidR="0068068B" w:rsidRPr="0067507D" w:rsidRDefault="00C30F42" w:rsidP="00A721E2">
            <w:pPr>
              <w:pStyle w:val="Tabletextheadingcentred"/>
              <w:spacing w:before="20" w:after="20"/>
            </w:pPr>
            <w:r w:rsidRPr="0067507D">
              <w:t>June 2025</w:t>
            </w:r>
          </w:p>
        </w:tc>
        <w:tc>
          <w:tcPr>
            <w:tcW w:w="6192" w:type="dxa"/>
            <w:gridSpan w:val="7"/>
            <w:noWrap/>
            <w:vAlign w:val="bottom"/>
          </w:tcPr>
          <w:p w14:paraId="6D15C456" w14:textId="01F8C28E" w:rsidR="0068068B" w:rsidRPr="0067507D" w:rsidRDefault="00C30F42" w:rsidP="00A721E2">
            <w:pPr>
              <w:pStyle w:val="Tabletextheadingcentred"/>
              <w:spacing w:before="20" w:after="20"/>
            </w:pPr>
            <w:r w:rsidRPr="0067507D">
              <w:t>June 2024</w:t>
            </w:r>
            <w:r w:rsidR="0068068B" w:rsidRPr="0067507D">
              <w:t xml:space="preserve"> </w:t>
            </w:r>
            <w:r w:rsidR="0068068B" w:rsidRPr="0067507D">
              <w:rPr>
                <w:vertAlign w:val="superscript"/>
              </w:rPr>
              <w:t>(a)</w:t>
            </w:r>
          </w:p>
        </w:tc>
      </w:tr>
      <w:tr w:rsidR="0068068B" w:rsidRPr="0067507D" w14:paraId="1B072C01" w14:textId="77777777" w:rsidTr="00A721E2">
        <w:trPr>
          <w:cantSplit/>
        </w:trPr>
        <w:tc>
          <w:tcPr>
            <w:tcW w:w="1530" w:type="dxa"/>
          </w:tcPr>
          <w:p w14:paraId="3FA05B20" w14:textId="77777777" w:rsidR="0068068B" w:rsidRPr="0067507D" w:rsidRDefault="0068068B" w:rsidP="00A721E2">
            <w:pPr>
              <w:pStyle w:val="Tabletext"/>
              <w:spacing w:before="20" w:after="20"/>
            </w:pPr>
          </w:p>
        </w:tc>
        <w:tc>
          <w:tcPr>
            <w:tcW w:w="1681" w:type="dxa"/>
            <w:gridSpan w:val="2"/>
            <w:vAlign w:val="bottom"/>
          </w:tcPr>
          <w:p w14:paraId="05D49F30" w14:textId="77777777" w:rsidR="0068068B" w:rsidRPr="0067507D" w:rsidRDefault="0068068B" w:rsidP="00A721E2">
            <w:pPr>
              <w:pStyle w:val="Tabletextheadingcentred"/>
              <w:spacing w:before="20" w:after="20"/>
            </w:pPr>
            <w:r w:rsidRPr="0067507D">
              <w:t>All employees</w:t>
            </w:r>
          </w:p>
        </w:tc>
        <w:tc>
          <w:tcPr>
            <w:tcW w:w="2736" w:type="dxa"/>
            <w:gridSpan w:val="3"/>
            <w:vAlign w:val="bottom"/>
          </w:tcPr>
          <w:p w14:paraId="48EBAFA1" w14:textId="77777777" w:rsidR="0068068B" w:rsidRPr="0067507D" w:rsidRDefault="0068068B" w:rsidP="00A721E2">
            <w:pPr>
              <w:pStyle w:val="Tabletextheadingcentred"/>
              <w:spacing w:before="20" w:after="20"/>
            </w:pPr>
            <w:r w:rsidRPr="0067507D">
              <w:t>Ongoing</w:t>
            </w:r>
          </w:p>
        </w:tc>
        <w:tc>
          <w:tcPr>
            <w:tcW w:w="1728" w:type="dxa"/>
            <w:gridSpan w:val="2"/>
          </w:tcPr>
          <w:p w14:paraId="14BDA05D" w14:textId="77777777" w:rsidR="0068068B" w:rsidRPr="0067507D" w:rsidRDefault="0068068B" w:rsidP="00A721E2">
            <w:pPr>
              <w:pStyle w:val="Tabletextheadingcentred"/>
              <w:spacing w:before="20" w:after="20"/>
              <w:rPr>
                <w:rFonts w:cstheme="minorHAnsi"/>
              </w:rPr>
            </w:pPr>
            <w:r w:rsidRPr="0067507D">
              <w:t>Fixed term</w:t>
            </w:r>
            <w:r w:rsidRPr="0067507D">
              <w:br/>
              <w:t>and casual</w:t>
            </w:r>
          </w:p>
        </w:tc>
        <w:tc>
          <w:tcPr>
            <w:tcW w:w="1728" w:type="dxa"/>
            <w:gridSpan w:val="2"/>
            <w:noWrap/>
            <w:vAlign w:val="bottom"/>
          </w:tcPr>
          <w:p w14:paraId="49BDC057" w14:textId="77777777" w:rsidR="0068068B" w:rsidRPr="0067507D" w:rsidRDefault="0068068B" w:rsidP="00A721E2">
            <w:pPr>
              <w:pStyle w:val="Tabletextheadingcentred"/>
              <w:spacing w:before="20" w:after="20"/>
            </w:pPr>
            <w:r w:rsidRPr="0067507D">
              <w:t>All employees</w:t>
            </w:r>
          </w:p>
        </w:tc>
        <w:tc>
          <w:tcPr>
            <w:tcW w:w="2736" w:type="dxa"/>
            <w:gridSpan w:val="3"/>
            <w:noWrap/>
            <w:vAlign w:val="bottom"/>
          </w:tcPr>
          <w:p w14:paraId="0F88980F" w14:textId="77777777" w:rsidR="0068068B" w:rsidRPr="0067507D" w:rsidRDefault="0068068B" w:rsidP="00A721E2">
            <w:pPr>
              <w:pStyle w:val="Tabletextheadingcentred"/>
              <w:spacing w:before="20" w:after="20"/>
            </w:pPr>
            <w:r w:rsidRPr="0067507D">
              <w:t>Ongoing</w:t>
            </w:r>
          </w:p>
        </w:tc>
        <w:tc>
          <w:tcPr>
            <w:tcW w:w="1728" w:type="dxa"/>
            <w:gridSpan w:val="2"/>
          </w:tcPr>
          <w:p w14:paraId="063E31BF" w14:textId="77777777" w:rsidR="0068068B" w:rsidRPr="0067507D" w:rsidRDefault="0068068B" w:rsidP="00A721E2">
            <w:pPr>
              <w:pStyle w:val="Tabletextheadingcentred"/>
              <w:spacing w:before="20" w:after="20"/>
              <w:rPr>
                <w:rFonts w:cstheme="minorHAnsi"/>
              </w:rPr>
            </w:pPr>
            <w:r w:rsidRPr="0067507D">
              <w:t>Fixed term</w:t>
            </w:r>
            <w:r w:rsidRPr="0067507D">
              <w:br/>
              <w:t>and casual</w:t>
            </w:r>
          </w:p>
        </w:tc>
      </w:tr>
      <w:tr w:rsidR="0068068B" w:rsidRPr="0067507D" w14:paraId="21D479CD" w14:textId="77777777" w:rsidTr="009F7784">
        <w:trPr>
          <w:cantSplit/>
        </w:trPr>
        <w:tc>
          <w:tcPr>
            <w:tcW w:w="1530" w:type="dxa"/>
          </w:tcPr>
          <w:p w14:paraId="7D2FDE01" w14:textId="77777777" w:rsidR="0068068B" w:rsidRPr="0067507D" w:rsidRDefault="0068068B" w:rsidP="00A721E2">
            <w:pPr>
              <w:pStyle w:val="Tabletext"/>
              <w:spacing w:before="20" w:after="20"/>
            </w:pPr>
          </w:p>
        </w:tc>
        <w:tc>
          <w:tcPr>
            <w:tcW w:w="1022" w:type="dxa"/>
            <w:vAlign w:val="bottom"/>
          </w:tcPr>
          <w:p w14:paraId="3064BCAF" w14:textId="77777777" w:rsidR="0068068B" w:rsidRPr="0067507D" w:rsidRDefault="0068068B" w:rsidP="00A721E2">
            <w:pPr>
              <w:pStyle w:val="Tabletextheadingright"/>
              <w:spacing w:before="20" w:after="20"/>
              <w:rPr>
                <w:rFonts w:cstheme="minorHAnsi"/>
              </w:rPr>
            </w:pPr>
            <w:r w:rsidRPr="0067507D">
              <w:rPr>
                <w:rFonts w:cstheme="minorHAnsi"/>
              </w:rPr>
              <w:t xml:space="preserve">Number </w:t>
            </w:r>
            <w:r w:rsidRPr="0067507D">
              <w:rPr>
                <w:rFonts w:cstheme="minorHAnsi"/>
                <w:sz w:val="14"/>
              </w:rPr>
              <w:t>(headcount)</w:t>
            </w:r>
          </w:p>
        </w:tc>
        <w:tc>
          <w:tcPr>
            <w:tcW w:w="659" w:type="dxa"/>
          </w:tcPr>
          <w:p w14:paraId="23A743D7" w14:textId="77777777" w:rsidR="0068068B" w:rsidRPr="0067507D" w:rsidRDefault="0068068B" w:rsidP="009F7784">
            <w:pPr>
              <w:pStyle w:val="Tabletextheadingright"/>
              <w:spacing w:before="20" w:after="20"/>
              <w:rPr>
                <w:rFonts w:cstheme="minorHAnsi"/>
              </w:rPr>
            </w:pPr>
            <w:r w:rsidRPr="0067507D">
              <w:rPr>
                <w:rFonts w:cstheme="minorHAnsi"/>
              </w:rPr>
              <w:t>FTE</w:t>
            </w:r>
          </w:p>
        </w:tc>
        <w:tc>
          <w:tcPr>
            <w:tcW w:w="1042" w:type="dxa"/>
            <w:vAlign w:val="bottom"/>
          </w:tcPr>
          <w:p w14:paraId="62E266C5" w14:textId="61D3F16F" w:rsidR="0068068B" w:rsidRPr="0067507D" w:rsidRDefault="0068068B" w:rsidP="00A721E2">
            <w:pPr>
              <w:pStyle w:val="Tabletextheadingright"/>
              <w:spacing w:before="20" w:after="20"/>
              <w:rPr>
                <w:rFonts w:cstheme="minorHAnsi"/>
              </w:rPr>
            </w:pPr>
            <w:r w:rsidRPr="0067507D">
              <w:rPr>
                <w:rFonts w:cstheme="minorHAnsi"/>
              </w:rPr>
              <w:t>Full</w:t>
            </w:r>
            <w:r w:rsidR="006A5485">
              <w:rPr>
                <w:rFonts w:cstheme="minorBidi"/>
              </w:rPr>
              <w:noBreakHyphen/>
            </w:r>
            <w:r w:rsidRPr="0067507D">
              <w:rPr>
                <w:rFonts w:cstheme="minorHAnsi"/>
              </w:rPr>
              <w:t xml:space="preserve">time </w:t>
            </w:r>
            <w:r w:rsidRPr="0067507D">
              <w:rPr>
                <w:rFonts w:cstheme="minorHAnsi"/>
                <w:sz w:val="14"/>
              </w:rPr>
              <w:t>(headcount)</w:t>
            </w:r>
          </w:p>
        </w:tc>
        <w:tc>
          <w:tcPr>
            <w:tcW w:w="992" w:type="dxa"/>
          </w:tcPr>
          <w:p w14:paraId="228D8157" w14:textId="6C4724C6" w:rsidR="0068068B" w:rsidRPr="0067507D" w:rsidRDefault="0068068B" w:rsidP="00A721E2">
            <w:pPr>
              <w:pStyle w:val="Tabletextheadingright"/>
              <w:spacing w:before="20" w:after="20"/>
              <w:rPr>
                <w:rFonts w:cstheme="minorHAnsi"/>
              </w:rPr>
            </w:pPr>
            <w:r w:rsidRPr="0067507D">
              <w:rPr>
                <w:rFonts w:cstheme="minorHAnsi"/>
              </w:rPr>
              <w:t>Part</w:t>
            </w:r>
            <w:r w:rsidR="006A5485">
              <w:rPr>
                <w:rFonts w:cstheme="minorBidi"/>
              </w:rPr>
              <w:noBreakHyphen/>
            </w:r>
            <w:r w:rsidRPr="0067507D">
              <w:rPr>
                <w:rFonts w:cstheme="minorBidi"/>
              </w:rPr>
              <w:t>time</w:t>
            </w:r>
            <w:r w:rsidRPr="0067507D">
              <w:rPr>
                <w:rFonts w:cstheme="minorHAnsi"/>
              </w:rPr>
              <w:br/>
            </w:r>
            <w:r w:rsidRPr="0067507D">
              <w:rPr>
                <w:rFonts w:cstheme="minorHAnsi"/>
                <w:sz w:val="14"/>
              </w:rPr>
              <w:t>(headcount)</w:t>
            </w:r>
          </w:p>
        </w:tc>
        <w:tc>
          <w:tcPr>
            <w:tcW w:w="702" w:type="dxa"/>
          </w:tcPr>
          <w:p w14:paraId="29A79E0E" w14:textId="77777777" w:rsidR="0068068B" w:rsidRPr="0067507D" w:rsidRDefault="0068068B" w:rsidP="00A721E2">
            <w:pPr>
              <w:pStyle w:val="Tabletextheadingright"/>
              <w:spacing w:before="20" w:after="20"/>
              <w:rPr>
                <w:rFonts w:cstheme="minorHAnsi"/>
              </w:rPr>
            </w:pPr>
            <w:r w:rsidRPr="0067507D">
              <w:rPr>
                <w:rFonts w:cstheme="minorHAnsi"/>
              </w:rPr>
              <w:t>FTE</w:t>
            </w:r>
          </w:p>
        </w:tc>
        <w:tc>
          <w:tcPr>
            <w:tcW w:w="999" w:type="dxa"/>
          </w:tcPr>
          <w:p w14:paraId="1E674273" w14:textId="77777777" w:rsidR="0068068B" w:rsidRPr="0067507D" w:rsidRDefault="0068068B" w:rsidP="00A721E2">
            <w:pPr>
              <w:pStyle w:val="Tabletextheadingright"/>
              <w:spacing w:before="20" w:after="20"/>
              <w:rPr>
                <w:rFonts w:cstheme="minorHAnsi"/>
              </w:rPr>
            </w:pPr>
            <w:r w:rsidRPr="0067507D">
              <w:rPr>
                <w:rFonts w:cstheme="minorHAnsi"/>
              </w:rPr>
              <w:t xml:space="preserve">Number </w:t>
            </w:r>
            <w:r w:rsidRPr="0067507D">
              <w:rPr>
                <w:rFonts w:cstheme="minorHAnsi"/>
                <w:sz w:val="14"/>
              </w:rPr>
              <w:t>(headcount)</w:t>
            </w:r>
          </w:p>
        </w:tc>
        <w:tc>
          <w:tcPr>
            <w:tcW w:w="729" w:type="dxa"/>
          </w:tcPr>
          <w:p w14:paraId="7A6CF490" w14:textId="77777777" w:rsidR="0068068B" w:rsidRPr="0067507D" w:rsidRDefault="0068068B" w:rsidP="00A721E2">
            <w:pPr>
              <w:pStyle w:val="Tabletextheadingright"/>
              <w:spacing w:before="20" w:after="20"/>
              <w:rPr>
                <w:rFonts w:cstheme="minorHAnsi"/>
              </w:rPr>
            </w:pPr>
            <w:r w:rsidRPr="0067507D">
              <w:rPr>
                <w:rFonts w:cstheme="minorHAnsi"/>
              </w:rPr>
              <w:t>FTE</w:t>
            </w:r>
          </w:p>
        </w:tc>
        <w:tc>
          <w:tcPr>
            <w:tcW w:w="1055" w:type="dxa"/>
            <w:noWrap/>
            <w:vAlign w:val="bottom"/>
          </w:tcPr>
          <w:p w14:paraId="40EF40C2" w14:textId="77777777" w:rsidR="0068068B" w:rsidRPr="0067507D" w:rsidRDefault="0068068B" w:rsidP="00A721E2">
            <w:pPr>
              <w:pStyle w:val="Tabletextheadingright"/>
              <w:spacing w:before="20" w:after="20"/>
              <w:rPr>
                <w:rFonts w:cstheme="minorHAnsi"/>
              </w:rPr>
            </w:pPr>
            <w:r w:rsidRPr="0067507D">
              <w:rPr>
                <w:rFonts w:cstheme="minorHAnsi"/>
              </w:rPr>
              <w:t xml:space="preserve">Number </w:t>
            </w:r>
            <w:r w:rsidRPr="0067507D">
              <w:rPr>
                <w:rFonts w:cstheme="minorHAnsi"/>
                <w:sz w:val="14"/>
              </w:rPr>
              <w:t>(headcount)</w:t>
            </w:r>
          </w:p>
        </w:tc>
        <w:tc>
          <w:tcPr>
            <w:tcW w:w="673" w:type="dxa"/>
          </w:tcPr>
          <w:p w14:paraId="3594237A" w14:textId="77777777" w:rsidR="0068068B" w:rsidRPr="0067507D" w:rsidRDefault="0068068B" w:rsidP="009F7784">
            <w:pPr>
              <w:pStyle w:val="Tabletextheadingright"/>
              <w:spacing w:before="20" w:after="20"/>
              <w:rPr>
                <w:rFonts w:cstheme="minorHAnsi"/>
              </w:rPr>
            </w:pPr>
            <w:r w:rsidRPr="0067507D">
              <w:rPr>
                <w:rFonts w:cstheme="minorHAnsi"/>
              </w:rPr>
              <w:t>FTE</w:t>
            </w:r>
          </w:p>
        </w:tc>
        <w:tc>
          <w:tcPr>
            <w:tcW w:w="1087" w:type="dxa"/>
            <w:noWrap/>
            <w:vAlign w:val="bottom"/>
          </w:tcPr>
          <w:p w14:paraId="0F21C05D" w14:textId="1E23D74A" w:rsidR="0068068B" w:rsidRPr="0067507D" w:rsidRDefault="0068068B" w:rsidP="00A721E2">
            <w:pPr>
              <w:pStyle w:val="Tabletextheadingright"/>
              <w:spacing w:before="20" w:after="20"/>
              <w:rPr>
                <w:rFonts w:cstheme="minorHAnsi"/>
              </w:rPr>
            </w:pPr>
            <w:r w:rsidRPr="0067507D">
              <w:rPr>
                <w:rFonts w:cstheme="minorHAnsi"/>
              </w:rPr>
              <w:t>Full</w:t>
            </w:r>
            <w:r w:rsidRPr="0067507D">
              <w:rPr>
                <w:rFonts w:cstheme="minorHAnsi"/>
              </w:rPr>
              <w:noBreakHyphen/>
              <w:t xml:space="preserve">time </w:t>
            </w:r>
            <w:r w:rsidRPr="0067507D">
              <w:rPr>
                <w:rFonts w:cstheme="minorHAnsi"/>
                <w:sz w:val="14"/>
              </w:rPr>
              <w:t>(headcount)</w:t>
            </w:r>
          </w:p>
        </w:tc>
        <w:tc>
          <w:tcPr>
            <w:tcW w:w="992" w:type="dxa"/>
          </w:tcPr>
          <w:p w14:paraId="1CDD5660" w14:textId="6006F0AC" w:rsidR="0068068B" w:rsidRPr="0067507D" w:rsidRDefault="0068068B" w:rsidP="00A721E2">
            <w:pPr>
              <w:pStyle w:val="Tabletextheadingright"/>
              <w:spacing w:before="20" w:after="20"/>
              <w:rPr>
                <w:rFonts w:cstheme="minorHAnsi"/>
              </w:rPr>
            </w:pPr>
            <w:r w:rsidRPr="0067507D">
              <w:rPr>
                <w:rFonts w:cstheme="minorHAnsi"/>
              </w:rPr>
              <w:t>Part</w:t>
            </w:r>
            <w:r w:rsidRPr="0067507D">
              <w:rPr>
                <w:rFonts w:cstheme="minorHAnsi"/>
              </w:rPr>
              <w:noBreakHyphen/>
              <w:t>time</w:t>
            </w:r>
            <w:r w:rsidRPr="0067507D">
              <w:rPr>
                <w:rFonts w:cstheme="minorHAnsi"/>
              </w:rPr>
              <w:br/>
            </w:r>
            <w:r w:rsidRPr="0067507D">
              <w:rPr>
                <w:rFonts w:cstheme="minorHAnsi"/>
                <w:sz w:val="14"/>
              </w:rPr>
              <w:t>(headcount)</w:t>
            </w:r>
          </w:p>
        </w:tc>
        <w:tc>
          <w:tcPr>
            <w:tcW w:w="657" w:type="dxa"/>
          </w:tcPr>
          <w:p w14:paraId="72476941" w14:textId="77777777" w:rsidR="0068068B" w:rsidRPr="0067507D" w:rsidRDefault="0068068B" w:rsidP="00A721E2">
            <w:pPr>
              <w:pStyle w:val="Tabletextheadingright"/>
              <w:spacing w:before="20" w:after="20"/>
              <w:rPr>
                <w:rFonts w:cstheme="minorHAnsi"/>
              </w:rPr>
            </w:pPr>
            <w:r w:rsidRPr="0067507D">
              <w:rPr>
                <w:rFonts w:cstheme="minorHAnsi"/>
              </w:rPr>
              <w:t>FTE</w:t>
            </w:r>
          </w:p>
        </w:tc>
        <w:tc>
          <w:tcPr>
            <w:tcW w:w="1044" w:type="dxa"/>
          </w:tcPr>
          <w:p w14:paraId="389DCE49" w14:textId="77777777" w:rsidR="0068068B" w:rsidRPr="0067507D" w:rsidRDefault="0068068B" w:rsidP="00A721E2">
            <w:pPr>
              <w:pStyle w:val="Tabletextheadingright"/>
              <w:spacing w:before="20" w:after="20"/>
              <w:rPr>
                <w:rFonts w:cstheme="minorHAnsi"/>
              </w:rPr>
            </w:pPr>
            <w:r w:rsidRPr="0067507D">
              <w:rPr>
                <w:rFonts w:cstheme="minorHAnsi"/>
              </w:rPr>
              <w:t xml:space="preserve">Number </w:t>
            </w:r>
            <w:r w:rsidRPr="0067507D">
              <w:rPr>
                <w:rFonts w:cstheme="minorHAnsi"/>
                <w:sz w:val="14"/>
              </w:rPr>
              <w:t>(headcount)</w:t>
            </w:r>
          </w:p>
        </w:tc>
        <w:tc>
          <w:tcPr>
            <w:tcW w:w="684" w:type="dxa"/>
          </w:tcPr>
          <w:p w14:paraId="18FFA11C" w14:textId="77777777" w:rsidR="0068068B" w:rsidRPr="0067507D" w:rsidRDefault="0068068B" w:rsidP="00A721E2">
            <w:pPr>
              <w:pStyle w:val="Tabletextheadingright"/>
              <w:spacing w:before="20" w:after="20"/>
              <w:rPr>
                <w:rFonts w:cstheme="minorHAnsi"/>
              </w:rPr>
            </w:pPr>
            <w:r w:rsidRPr="0067507D">
              <w:rPr>
                <w:rFonts w:cstheme="minorHAnsi"/>
              </w:rPr>
              <w:t>FTE</w:t>
            </w:r>
          </w:p>
        </w:tc>
      </w:tr>
      <w:tr w:rsidR="0068068B" w:rsidRPr="0067507D" w14:paraId="5ECE062B" w14:textId="77777777" w:rsidTr="00A721E2">
        <w:trPr>
          <w:cantSplit/>
        </w:trPr>
        <w:tc>
          <w:tcPr>
            <w:tcW w:w="1530" w:type="dxa"/>
          </w:tcPr>
          <w:p w14:paraId="6F518403" w14:textId="77777777" w:rsidR="0068068B" w:rsidRPr="0067507D" w:rsidRDefault="0068068B" w:rsidP="00A721E2">
            <w:pPr>
              <w:pStyle w:val="Tabletext"/>
              <w:spacing w:before="20" w:after="20"/>
              <w:rPr>
                <w:rFonts w:asciiTheme="majorHAnsi" w:hAnsiTheme="majorHAnsi"/>
              </w:rPr>
            </w:pPr>
            <w:r w:rsidRPr="0067507D">
              <w:rPr>
                <w:rFonts w:asciiTheme="majorHAnsi" w:hAnsiTheme="majorHAnsi" w:cstheme="minorHAnsi"/>
              </w:rPr>
              <w:t>Gender</w:t>
            </w:r>
          </w:p>
        </w:tc>
        <w:tc>
          <w:tcPr>
            <w:tcW w:w="1022" w:type="dxa"/>
            <w:shd w:val="clear" w:color="auto" w:fill="E0E0E0"/>
          </w:tcPr>
          <w:p w14:paraId="25425F6D" w14:textId="77777777" w:rsidR="0068068B" w:rsidRPr="0067507D" w:rsidRDefault="0068068B" w:rsidP="00A721E2">
            <w:pPr>
              <w:pStyle w:val="Tabletextright"/>
              <w:spacing w:before="20" w:after="20"/>
              <w:rPr>
                <w:rFonts w:asciiTheme="majorHAnsi" w:hAnsiTheme="majorHAnsi" w:cstheme="minorHAnsi"/>
              </w:rPr>
            </w:pPr>
          </w:p>
        </w:tc>
        <w:tc>
          <w:tcPr>
            <w:tcW w:w="659" w:type="dxa"/>
            <w:shd w:val="clear" w:color="auto" w:fill="E0E0E0"/>
          </w:tcPr>
          <w:p w14:paraId="7E53A7A5" w14:textId="77777777" w:rsidR="0068068B" w:rsidRPr="0067507D" w:rsidRDefault="0068068B" w:rsidP="00A721E2">
            <w:pPr>
              <w:pStyle w:val="Tabletextright"/>
              <w:spacing w:before="20" w:after="20"/>
              <w:rPr>
                <w:rFonts w:asciiTheme="majorHAnsi" w:hAnsiTheme="majorHAnsi" w:cstheme="minorHAnsi"/>
              </w:rPr>
            </w:pPr>
          </w:p>
        </w:tc>
        <w:tc>
          <w:tcPr>
            <w:tcW w:w="1042" w:type="dxa"/>
          </w:tcPr>
          <w:p w14:paraId="6A5356FB" w14:textId="77777777" w:rsidR="0068068B" w:rsidRPr="0067507D" w:rsidRDefault="0068068B" w:rsidP="00A721E2">
            <w:pPr>
              <w:pStyle w:val="Tabletextright"/>
              <w:spacing w:before="20" w:after="20"/>
              <w:rPr>
                <w:rFonts w:asciiTheme="majorHAnsi" w:hAnsiTheme="majorHAnsi" w:cstheme="minorHAnsi"/>
              </w:rPr>
            </w:pPr>
          </w:p>
        </w:tc>
        <w:tc>
          <w:tcPr>
            <w:tcW w:w="992" w:type="dxa"/>
          </w:tcPr>
          <w:p w14:paraId="1A3CC6B5" w14:textId="77777777" w:rsidR="0068068B" w:rsidRPr="0067507D" w:rsidRDefault="0068068B" w:rsidP="00A721E2">
            <w:pPr>
              <w:pStyle w:val="Tabletextright"/>
              <w:spacing w:before="20" w:after="20"/>
              <w:rPr>
                <w:rFonts w:asciiTheme="majorHAnsi" w:hAnsiTheme="majorHAnsi"/>
              </w:rPr>
            </w:pPr>
          </w:p>
        </w:tc>
        <w:tc>
          <w:tcPr>
            <w:tcW w:w="702" w:type="dxa"/>
          </w:tcPr>
          <w:p w14:paraId="289FDA55" w14:textId="77777777" w:rsidR="0068068B" w:rsidRPr="0067507D" w:rsidRDefault="0068068B" w:rsidP="00A721E2">
            <w:pPr>
              <w:pStyle w:val="Tabletextright"/>
              <w:spacing w:before="20" w:after="20"/>
              <w:rPr>
                <w:rFonts w:asciiTheme="majorHAnsi" w:hAnsiTheme="majorHAnsi"/>
              </w:rPr>
            </w:pPr>
          </w:p>
        </w:tc>
        <w:tc>
          <w:tcPr>
            <w:tcW w:w="999" w:type="dxa"/>
            <w:shd w:val="clear" w:color="auto" w:fill="E0E0E0"/>
          </w:tcPr>
          <w:p w14:paraId="1787BAC9" w14:textId="77777777" w:rsidR="0068068B" w:rsidRPr="0067507D" w:rsidRDefault="0068068B" w:rsidP="00A721E2">
            <w:pPr>
              <w:pStyle w:val="Tabletextright"/>
              <w:spacing w:before="20" w:after="20"/>
              <w:rPr>
                <w:rFonts w:asciiTheme="majorHAnsi" w:hAnsiTheme="majorHAnsi"/>
              </w:rPr>
            </w:pPr>
          </w:p>
        </w:tc>
        <w:tc>
          <w:tcPr>
            <w:tcW w:w="729" w:type="dxa"/>
            <w:shd w:val="clear" w:color="auto" w:fill="E0E0E0"/>
          </w:tcPr>
          <w:p w14:paraId="4D156492" w14:textId="77777777" w:rsidR="0068068B" w:rsidRPr="0067507D" w:rsidRDefault="0068068B" w:rsidP="00A721E2">
            <w:pPr>
              <w:pStyle w:val="Tabletextright"/>
              <w:spacing w:before="20" w:after="20"/>
              <w:rPr>
                <w:rFonts w:asciiTheme="majorHAnsi" w:hAnsiTheme="majorHAnsi"/>
              </w:rPr>
            </w:pPr>
          </w:p>
        </w:tc>
        <w:tc>
          <w:tcPr>
            <w:tcW w:w="1055" w:type="dxa"/>
            <w:noWrap/>
          </w:tcPr>
          <w:p w14:paraId="48C00DAE" w14:textId="77777777" w:rsidR="0068068B" w:rsidRPr="0067507D" w:rsidRDefault="0068068B" w:rsidP="00A721E2">
            <w:pPr>
              <w:pStyle w:val="Tabletextright"/>
              <w:spacing w:before="20" w:after="20"/>
              <w:rPr>
                <w:rFonts w:asciiTheme="majorHAnsi" w:hAnsiTheme="majorHAnsi" w:cstheme="minorHAnsi"/>
              </w:rPr>
            </w:pPr>
          </w:p>
        </w:tc>
        <w:tc>
          <w:tcPr>
            <w:tcW w:w="673" w:type="dxa"/>
          </w:tcPr>
          <w:p w14:paraId="0AD9A17C" w14:textId="77777777" w:rsidR="0068068B" w:rsidRPr="0067507D" w:rsidRDefault="0068068B" w:rsidP="00A721E2">
            <w:pPr>
              <w:pStyle w:val="Tabletextright"/>
              <w:spacing w:before="20" w:after="20"/>
              <w:rPr>
                <w:rFonts w:asciiTheme="majorHAnsi" w:hAnsiTheme="majorHAnsi" w:cstheme="minorHAnsi"/>
              </w:rPr>
            </w:pPr>
          </w:p>
        </w:tc>
        <w:tc>
          <w:tcPr>
            <w:tcW w:w="1087" w:type="dxa"/>
            <w:shd w:val="clear" w:color="auto" w:fill="E0E0E0"/>
            <w:noWrap/>
          </w:tcPr>
          <w:p w14:paraId="5A14BA48" w14:textId="77777777" w:rsidR="0068068B" w:rsidRPr="0067507D" w:rsidRDefault="0068068B" w:rsidP="00A721E2">
            <w:pPr>
              <w:pStyle w:val="Tabletextright"/>
              <w:spacing w:before="20" w:after="20"/>
              <w:rPr>
                <w:rFonts w:asciiTheme="majorHAnsi" w:hAnsiTheme="majorHAnsi" w:cstheme="minorHAnsi"/>
              </w:rPr>
            </w:pPr>
          </w:p>
        </w:tc>
        <w:tc>
          <w:tcPr>
            <w:tcW w:w="992" w:type="dxa"/>
            <w:shd w:val="clear" w:color="auto" w:fill="E0E0E0"/>
          </w:tcPr>
          <w:p w14:paraId="683B4AC0" w14:textId="77777777" w:rsidR="0068068B" w:rsidRPr="0067507D" w:rsidRDefault="0068068B" w:rsidP="00A721E2">
            <w:pPr>
              <w:pStyle w:val="Tabletextright"/>
              <w:spacing w:before="20" w:after="20"/>
              <w:rPr>
                <w:rFonts w:asciiTheme="majorHAnsi" w:hAnsiTheme="majorHAnsi"/>
              </w:rPr>
            </w:pPr>
          </w:p>
        </w:tc>
        <w:tc>
          <w:tcPr>
            <w:tcW w:w="657" w:type="dxa"/>
            <w:shd w:val="clear" w:color="auto" w:fill="E0E0E0"/>
          </w:tcPr>
          <w:p w14:paraId="45AF857C" w14:textId="77777777" w:rsidR="0068068B" w:rsidRPr="0067507D" w:rsidRDefault="0068068B" w:rsidP="00A721E2">
            <w:pPr>
              <w:pStyle w:val="Tabletextright"/>
              <w:spacing w:before="20" w:after="20"/>
              <w:rPr>
                <w:rFonts w:asciiTheme="majorHAnsi" w:hAnsiTheme="majorHAnsi"/>
              </w:rPr>
            </w:pPr>
          </w:p>
        </w:tc>
        <w:tc>
          <w:tcPr>
            <w:tcW w:w="1044" w:type="dxa"/>
          </w:tcPr>
          <w:p w14:paraId="79A0C8CD" w14:textId="77777777" w:rsidR="0068068B" w:rsidRPr="0067507D" w:rsidRDefault="0068068B" w:rsidP="00A721E2">
            <w:pPr>
              <w:pStyle w:val="Tabletextright"/>
              <w:spacing w:before="20" w:after="20"/>
              <w:rPr>
                <w:rFonts w:asciiTheme="majorHAnsi" w:hAnsiTheme="majorHAnsi"/>
              </w:rPr>
            </w:pPr>
          </w:p>
        </w:tc>
        <w:tc>
          <w:tcPr>
            <w:tcW w:w="684" w:type="dxa"/>
          </w:tcPr>
          <w:p w14:paraId="284449C0" w14:textId="77777777" w:rsidR="0068068B" w:rsidRPr="0067507D" w:rsidRDefault="0068068B" w:rsidP="00A721E2">
            <w:pPr>
              <w:pStyle w:val="Tabletextright"/>
              <w:spacing w:before="20" w:after="20"/>
              <w:rPr>
                <w:rFonts w:asciiTheme="majorHAnsi" w:hAnsiTheme="majorHAnsi"/>
              </w:rPr>
            </w:pPr>
          </w:p>
        </w:tc>
      </w:tr>
      <w:tr w:rsidR="007D7EE6" w:rsidRPr="0067507D" w14:paraId="5028B1FF" w14:textId="77777777" w:rsidTr="00A721E2">
        <w:trPr>
          <w:cantSplit/>
        </w:trPr>
        <w:tc>
          <w:tcPr>
            <w:tcW w:w="1530" w:type="dxa"/>
          </w:tcPr>
          <w:p w14:paraId="20CF7B09" w14:textId="08CADA1F" w:rsidR="007D7EE6" w:rsidRPr="0067507D" w:rsidRDefault="007D7EE6" w:rsidP="007D7EE6">
            <w:pPr>
              <w:pStyle w:val="Tabletext"/>
              <w:spacing w:before="20" w:after="20"/>
            </w:pPr>
            <w:r w:rsidRPr="0067507D">
              <w:rPr>
                <w:rFonts w:cstheme="minorHAnsi"/>
              </w:rPr>
              <w:t>Men</w:t>
            </w:r>
          </w:p>
        </w:tc>
        <w:tc>
          <w:tcPr>
            <w:tcW w:w="1022" w:type="dxa"/>
            <w:shd w:val="clear" w:color="auto" w:fill="E0E0E0"/>
          </w:tcPr>
          <w:p w14:paraId="52AFD2D3" w14:textId="2EB03722" w:rsidR="007D7EE6" w:rsidRPr="0067507D" w:rsidRDefault="00091083" w:rsidP="007D7EE6">
            <w:pPr>
              <w:pStyle w:val="Tabletextright"/>
              <w:spacing w:before="20" w:after="20"/>
            </w:pPr>
            <w:r w:rsidRPr="0067507D">
              <w:t>13</w:t>
            </w:r>
          </w:p>
        </w:tc>
        <w:tc>
          <w:tcPr>
            <w:tcW w:w="659" w:type="dxa"/>
            <w:shd w:val="clear" w:color="auto" w:fill="E0E0E0"/>
          </w:tcPr>
          <w:p w14:paraId="3E37B83A" w14:textId="64C5FF1C" w:rsidR="007D7EE6" w:rsidRPr="0067507D" w:rsidRDefault="00091083" w:rsidP="007D7EE6">
            <w:pPr>
              <w:pStyle w:val="Tabletextright"/>
              <w:spacing w:before="20" w:after="20"/>
            </w:pPr>
            <w:r w:rsidRPr="0067507D">
              <w:t>13</w:t>
            </w:r>
          </w:p>
        </w:tc>
        <w:tc>
          <w:tcPr>
            <w:tcW w:w="1042" w:type="dxa"/>
          </w:tcPr>
          <w:p w14:paraId="7AA35F29" w14:textId="06DE4AD5" w:rsidR="007D7EE6" w:rsidRPr="0067507D" w:rsidRDefault="00091083" w:rsidP="007D7EE6">
            <w:pPr>
              <w:pStyle w:val="Tabletextright"/>
              <w:spacing w:before="20" w:after="20"/>
            </w:pPr>
            <w:r w:rsidRPr="0067507D">
              <w:t>13</w:t>
            </w:r>
          </w:p>
        </w:tc>
        <w:tc>
          <w:tcPr>
            <w:tcW w:w="992" w:type="dxa"/>
          </w:tcPr>
          <w:p w14:paraId="68869CC8" w14:textId="2175B945" w:rsidR="007D7EE6" w:rsidRPr="0067507D" w:rsidRDefault="000A55B5" w:rsidP="007D7EE6">
            <w:pPr>
              <w:pStyle w:val="Tabletextright"/>
              <w:spacing w:before="20" w:after="20"/>
            </w:pPr>
            <w:r w:rsidRPr="0067507D">
              <w:t>–</w:t>
            </w:r>
          </w:p>
        </w:tc>
        <w:tc>
          <w:tcPr>
            <w:tcW w:w="702" w:type="dxa"/>
          </w:tcPr>
          <w:p w14:paraId="0F398C49" w14:textId="3A5DC1B4" w:rsidR="007D7EE6" w:rsidRPr="0067507D" w:rsidRDefault="00091083" w:rsidP="007D7EE6">
            <w:pPr>
              <w:pStyle w:val="Tabletextright"/>
              <w:spacing w:before="20" w:after="20"/>
            </w:pPr>
            <w:r w:rsidRPr="0067507D">
              <w:t>13</w:t>
            </w:r>
          </w:p>
        </w:tc>
        <w:tc>
          <w:tcPr>
            <w:tcW w:w="999" w:type="dxa"/>
            <w:shd w:val="clear" w:color="auto" w:fill="E0E0E0"/>
          </w:tcPr>
          <w:p w14:paraId="2DC78804" w14:textId="15E8332F" w:rsidR="007D7EE6" w:rsidRPr="0067507D" w:rsidRDefault="000A55B5" w:rsidP="007D7EE6">
            <w:pPr>
              <w:pStyle w:val="Tabletextright"/>
              <w:spacing w:before="20" w:after="20"/>
            </w:pPr>
            <w:r w:rsidRPr="0067507D">
              <w:t>–</w:t>
            </w:r>
          </w:p>
        </w:tc>
        <w:tc>
          <w:tcPr>
            <w:tcW w:w="729" w:type="dxa"/>
            <w:shd w:val="clear" w:color="auto" w:fill="E0E0E0"/>
          </w:tcPr>
          <w:p w14:paraId="5AB9BD78" w14:textId="11A653CA" w:rsidR="007D7EE6" w:rsidRPr="0067507D" w:rsidRDefault="000A55B5" w:rsidP="007D7EE6">
            <w:pPr>
              <w:pStyle w:val="Tabletextright"/>
              <w:spacing w:before="20" w:after="20"/>
            </w:pPr>
            <w:r w:rsidRPr="0067507D">
              <w:t>–</w:t>
            </w:r>
          </w:p>
        </w:tc>
        <w:tc>
          <w:tcPr>
            <w:tcW w:w="1055" w:type="dxa"/>
            <w:noWrap/>
          </w:tcPr>
          <w:p w14:paraId="22A69164" w14:textId="27E6BE7F" w:rsidR="007D7EE6" w:rsidRPr="0067507D" w:rsidRDefault="00CE3AAF" w:rsidP="007D7EE6">
            <w:pPr>
              <w:pStyle w:val="Tabletextright"/>
              <w:spacing w:before="20" w:after="20"/>
            </w:pPr>
            <w:r w:rsidRPr="0067507D">
              <w:t>21</w:t>
            </w:r>
          </w:p>
        </w:tc>
        <w:tc>
          <w:tcPr>
            <w:tcW w:w="673" w:type="dxa"/>
          </w:tcPr>
          <w:p w14:paraId="6B247946" w14:textId="5A26D505" w:rsidR="007D7EE6" w:rsidRPr="0067507D" w:rsidRDefault="00CE3AAF" w:rsidP="007D7EE6">
            <w:pPr>
              <w:pStyle w:val="Tabletextright"/>
              <w:spacing w:before="20" w:after="20"/>
            </w:pPr>
            <w:r w:rsidRPr="0067507D">
              <w:t>21</w:t>
            </w:r>
          </w:p>
        </w:tc>
        <w:tc>
          <w:tcPr>
            <w:tcW w:w="1087" w:type="dxa"/>
            <w:shd w:val="clear" w:color="auto" w:fill="E0E0E0"/>
            <w:noWrap/>
          </w:tcPr>
          <w:p w14:paraId="714D6B5C" w14:textId="1EC6F437" w:rsidR="007D7EE6" w:rsidRPr="0067507D" w:rsidRDefault="00CE3AAF" w:rsidP="007D7EE6">
            <w:pPr>
              <w:pStyle w:val="Tabletextright"/>
              <w:spacing w:before="20" w:after="20"/>
            </w:pPr>
            <w:r w:rsidRPr="0067507D">
              <w:t>17</w:t>
            </w:r>
          </w:p>
        </w:tc>
        <w:tc>
          <w:tcPr>
            <w:tcW w:w="992" w:type="dxa"/>
            <w:shd w:val="clear" w:color="auto" w:fill="E0E0E0"/>
          </w:tcPr>
          <w:p w14:paraId="421CAF38" w14:textId="51939BD3" w:rsidR="007D7EE6" w:rsidRPr="0067507D" w:rsidRDefault="00CE3AAF" w:rsidP="007D7EE6">
            <w:pPr>
              <w:pStyle w:val="Tabletextright"/>
              <w:spacing w:before="20" w:after="20"/>
            </w:pPr>
            <w:r w:rsidRPr="0067507D">
              <w:t>–</w:t>
            </w:r>
          </w:p>
        </w:tc>
        <w:tc>
          <w:tcPr>
            <w:tcW w:w="657" w:type="dxa"/>
            <w:shd w:val="clear" w:color="auto" w:fill="E0E0E0"/>
          </w:tcPr>
          <w:p w14:paraId="617AC87D" w14:textId="26CDD02F" w:rsidR="007D7EE6" w:rsidRPr="0067507D" w:rsidRDefault="00CE3AAF" w:rsidP="007D7EE6">
            <w:pPr>
              <w:pStyle w:val="Tabletextright"/>
              <w:spacing w:before="20" w:after="20"/>
            </w:pPr>
            <w:r w:rsidRPr="0067507D">
              <w:t>17</w:t>
            </w:r>
          </w:p>
        </w:tc>
        <w:tc>
          <w:tcPr>
            <w:tcW w:w="1044" w:type="dxa"/>
          </w:tcPr>
          <w:p w14:paraId="3E6A58C0" w14:textId="40B86F72" w:rsidR="007D7EE6" w:rsidRPr="0067507D" w:rsidRDefault="00CE3AAF" w:rsidP="007D7EE6">
            <w:pPr>
              <w:pStyle w:val="Tabletextright"/>
              <w:spacing w:before="20" w:after="20"/>
            </w:pPr>
            <w:r w:rsidRPr="0067507D">
              <w:t>4</w:t>
            </w:r>
          </w:p>
        </w:tc>
        <w:tc>
          <w:tcPr>
            <w:tcW w:w="684" w:type="dxa"/>
          </w:tcPr>
          <w:p w14:paraId="10DB8276" w14:textId="7E98301E" w:rsidR="007D7EE6" w:rsidRPr="0067507D" w:rsidRDefault="00CE3AAF" w:rsidP="007D7EE6">
            <w:pPr>
              <w:pStyle w:val="Tabletextright"/>
              <w:spacing w:before="20" w:after="20"/>
            </w:pPr>
            <w:r w:rsidRPr="0067507D">
              <w:t>4</w:t>
            </w:r>
          </w:p>
        </w:tc>
      </w:tr>
      <w:tr w:rsidR="007D7EE6" w:rsidRPr="0067507D" w14:paraId="506F07B1" w14:textId="77777777" w:rsidTr="00A721E2">
        <w:trPr>
          <w:cantSplit/>
        </w:trPr>
        <w:tc>
          <w:tcPr>
            <w:tcW w:w="1530" w:type="dxa"/>
          </w:tcPr>
          <w:p w14:paraId="44416844" w14:textId="51C35D18" w:rsidR="007D7EE6" w:rsidRPr="0067507D" w:rsidRDefault="007D7EE6" w:rsidP="007D7EE6">
            <w:pPr>
              <w:pStyle w:val="Tabletext"/>
              <w:spacing w:before="20" w:after="20"/>
            </w:pPr>
            <w:r w:rsidRPr="0067507D">
              <w:rPr>
                <w:rFonts w:cstheme="minorHAnsi"/>
              </w:rPr>
              <w:t>Women</w:t>
            </w:r>
          </w:p>
        </w:tc>
        <w:tc>
          <w:tcPr>
            <w:tcW w:w="1022" w:type="dxa"/>
            <w:shd w:val="clear" w:color="auto" w:fill="E0E0E0"/>
          </w:tcPr>
          <w:p w14:paraId="1C49D05F" w14:textId="32223206" w:rsidR="007D7EE6" w:rsidRPr="0067507D" w:rsidRDefault="00091083" w:rsidP="007D7EE6">
            <w:pPr>
              <w:pStyle w:val="Tabletextright"/>
              <w:spacing w:before="20" w:after="20"/>
            </w:pPr>
            <w:r w:rsidRPr="0067507D">
              <w:t>29</w:t>
            </w:r>
          </w:p>
        </w:tc>
        <w:tc>
          <w:tcPr>
            <w:tcW w:w="659" w:type="dxa"/>
            <w:shd w:val="clear" w:color="auto" w:fill="E0E0E0"/>
          </w:tcPr>
          <w:p w14:paraId="56CB93EB" w14:textId="5F560145" w:rsidR="007D7EE6" w:rsidRPr="0067507D" w:rsidRDefault="00091083" w:rsidP="007D7EE6">
            <w:pPr>
              <w:pStyle w:val="Tabletextright"/>
              <w:spacing w:before="20" w:after="20"/>
            </w:pPr>
            <w:r w:rsidRPr="0067507D">
              <w:t>29</w:t>
            </w:r>
          </w:p>
        </w:tc>
        <w:tc>
          <w:tcPr>
            <w:tcW w:w="1042" w:type="dxa"/>
          </w:tcPr>
          <w:p w14:paraId="5AF67C2E" w14:textId="7C16CDEA" w:rsidR="007D7EE6" w:rsidRPr="0067507D" w:rsidRDefault="00091083" w:rsidP="007D7EE6">
            <w:pPr>
              <w:pStyle w:val="Tabletextright"/>
              <w:spacing w:before="20" w:after="20"/>
            </w:pPr>
            <w:r w:rsidRPr="0067507D">
              <w:t>24</w:t>
            </w:r>
          </w:p>
        </w:tc>
        <w:tc>
          <w:tcPr>
            <w:tcW w:w="992" w:type="dxa"/>
          </w:tcPr>
          <w:p w14:paraId="3D06DA6F" w14:textId="6EA04AC8" w:rsidR="007D7EE6" w:rsidRPr="0067507D" w:rsidRDefault="000A55B5" w:rsidP="007D7EE6">
            <w:pPr>
              <w:pStyle w:val="Tabletextright"/>
              <w:spacing w:before="20" w:after="20"/>
            </w:pPr>
            <w:r w:rsidRPr="0067507D">
              <w:t>–</w:t>
            </w:r>
          </w:p>
        </w:tc>
        <w:tc>
          <w:tcPr>
            <w:tcW w:w="702" w:type="dxa"/>
          </w:tcPr>
          <w:p w14:paraId="4AF6B97A" w14:textId="11BD3705" w:rsidR="007D7EE6" w:rsidRPr="0067507D" w:rsidRDefault="00091083" w:rsidP="007D7EE6">
            <w:pPr>
              <w:pStyle w:val="Tabletextright"/>
              <w:spacing w:before="20" w:after="20"/>
            </w:pPr>
            <w:r w:rsidRPr="0067507D">
              <w:t>24</w:t>
            </w:r>
          </w:p>
        </w:tc>
        <w:tc>
          <w:tcPr>
            <w:tcW w:w="999" w:type="dxa"/>
            <w:shd w:val="clear" w:color="auto" w:fill="E0E0E0"/>
          </w:tcPr>
          <w:p w14:paraId="76365F66" w14:textId="171B1AB4" w:rsidR="007D7EE6" w:rsidRPr="0067507D" w:rsidRDefault="00091083" w:rsidP="007D7EE6">
            <w:pPr>
              <w:pStyle w:val="Tabletextright"/>
              <w:spacing w:before="20" w:after="20"/>
            </w:pPr>
            <w:r w:rsidRPr="0067507D">
              <w:t>5</w:t>
            </w:r>
          </w:p>
        </w:tc>
        <w:tc>
          <w:tcPr>
            <w:tcW w:w="729" w:type="dxa"/>
            <w:shd w:val="clear" w:color="auto" w:fill="E0E0E0"/>
          </w:tcPr>
          <w:p w14:paraId="1EF6C358" w14:textId="6B7BBB15" w:rsidR="007D7EE6" w:rsidRPr="0067507D" w:rsidRDefault="00091083" w:rsidP="007D7EE6">
            <w:pPr>
              <w:pStyle w:val="Tabletextright"/>
              <w:spacing w:before="20" w:after="20"/>
            </w:pPr>
            <w:r w:rsidRPr="0067507D">
              <w:t>5</w:t>
            </w:r>
          </w:p>
        </w:tc>
        <w:tc>
          <w:tcPr>
            <w:tcW w:w="1055" w:type="dxa"/>
            <w:noWrap/>
          </w:tcPr>
          <w:p w14:paraId="7BB0C109" w14:textId="637DEC19" w:rsidR="007D7EE6" w:rsidRPr="0067507D" w:rsidRDefault="00CE3AAF" w:rsidP="007D7EE6">
            <w:pPr>
              <w:pStyle w:val="Tabletextright"/>
              <w:spacing w:before="20" w:after="20"/>
            </w:pPr>
            <w:r w:rsidRPr="0067507D">
              <w:t>37</w:t>
            </w:r>
          </w:p>
        </w:tc>
        <w:tc>
          <w:tcPr>
            <w:tcW w:w="673" w:type="dxa"/>
          </w:tcPr>
          <w:p w14:paraId="46EA6DB5" w14:textId="70D76541" w:rsidR="007D7EE6" w:rsidRPr="0067507D" w:rsidRDefault="00CE3AAF" w:rsidP="007D7EE6">
            <w:pPr>
              <w:pStyle w:val="Tabletextright"/>
              <w:spacing w:before="20" w:after="20"/>
            </w:pPr>
            <w:r w:rsidRPr="0067507D">
              <w:t>36</w:t>
            </w:r>
          </w:p>
        </w:tc>
        <w:tc>
          <w:tcPr>
            <w:tcW w:w="1087" w:type="dxa"/>
            <w:shd w:val="clear" w:color="auto" w:fill="E0E0E0"/>
            <w:noWrap/>
          </w:tcPr>
          <w:p w14:paraId="2A7F80E9" w14:textId="12545737" w:rsidR="007D7EE6" w:rsidRPr="0067507D" w:rsidRDefault="00CE3AAF" w:rsidP="007D7EE6">
            <w:pPr>
              <w:pStyle w:val="Tabletextright"/>
              <w:spacing w:before="20" w:after="20"/>
            </w:pPr>
            <w:r w:rsidRPr="0067507D">
              <w:t>30</w:t>
            </w:r>
          </w:p>
        </w:tc>
        <w:tc>
          <w:tcPr>
            <w:tcW w:w="992" w:type="dxa"/>
            <w:shd w:val="clear" w:color="auto" w:fill="E0E0E0"/>
          </w:tcPr>
          <w:p w14:paraId="78814169" w14:textId="48A2A256" w:rsidR="007D7EE6" w:rsidRPr="0067507D" w:rsidRDefault="00CE3AAF" w:rsidP="007D7EE6">
            <w:pPr>
              <w:pStyle w:val="Tabletextright"/>
              <w:spacing w:before="20" w:after="20"/>
            </w:pPr>
            <w:r w:rsidRPr="0067507D">
              <w:t>2</w:t>
            </w:r>
          </w:p>
        </w:tc>
        <w:tc>
          <w:tcPr>
            <w:tcW w:w="657" w:type="dxa"/>
            <w:shd w:val="clear" w:color="auto" w:fill="E0E0E0"/>
          </w:tcPr>
          <w:p w14:paraId="11B74006" w14:textId="223A906A" w:rsidR="007D7EE6" w:rsidRPr="0067507D" w:rsidRDefault="00CE3AAF" w:rsidP="007D7EE6">
            <w:pPr>
              <w:pStyle w:val="Tabletextright"/>
              <w:spacing w:before="20" w:after="20"/>
            </w:pPr>
            <w:r w:rsidRPr="0067507D">
              <w:t>31</w:t>
            </w:r>
          </w:p>
        </w:tc>
        <w:tc>
          <w:tcPr>
            <w:tcW w:w="1044" w:type="dxa"/>
          </w:tcPr>
          <w:p w14:paraId="3E1FE8CB" w14:textId="3BC2FDD0" w:rsidR="007D7EE6" w:rsidRPr="0067507D" w:rsidRDefault="00CE3AAF" w:rsidP="007D7EE6">
            <w:pPr>
              <w:pStyle w:val="Tabletextright"/>
              <w:spacing w:before="20" w:after="20"/>
            </w:pPr>
            <w:r w:rsidRPr="0067507D">
              <w:t>5</w:t>
            </w:r>
          </w:p>
        </w:tc>
        <w:tc>
          <w:tcPr>
            <w:tcW w:w="684" w:type="dxa"/>
          </w:tcPr>
          <w:p w14:paraId="69327994" w14:textId="428FDD18" w:rsidR="007D7EE6" w:rsidRPr="0067507D" w:rsidRDefault="00CE3AAF" w:rsidP="007D7EE6">
            <w:pPr>
              <w:pStyle w:val="Tabletextright"/>
              <w:spacing w:before="20" w:after="20"/>
            </w:pPr>
            <w:r w:rsidRPr="0067507D">
              <w:t>5</w:t>
            </w:r>
          </w:p>
        </w:tc>
      </w:tr>
      <w:tr w:rsidR="0068068B" w:rsidRPr="0067507D" w14:paraId="57A44C30" w14:textId="77777777" w:rsidTr="00A721E2">
        <w:trPr>
          <w:cantSplit/>
        </w:trPr>
        <w:tc>
          <w:tcPr>
            <w:tcW w:w="1530" w:type="dxa"/>
          </w:tcPr>
          <w:p w14:paraId="4E8704D7" w14:textId="666649EB" w:rsidR="0068068B" w:rsidRPr="0067507D" w:rsidRDefault="0068068B" w:rsidP="00A721E2">
            <w:pPr>
              <w:pStyle w:val="Tabletext"/>
              <w:spacing w:before="20" w:after="20"/>
              <w:rPr>
                <w:rFonts w:cstheme="minorHAnsi"/>
              </w:rPr>
            </w:pPr>
            <w:r w:rsidRPr="0067507D">
              <w:rPr>
                <w:rFonts w:cstheme="minorHAnsi"/>
              </w:rPr>
              <w:t>Self</w:t>
            </w:r>
            <w:r w:rsidR="006A5485">
              <w:rPr>
                <w:rFonts w:cstheme="minorBidi"/>
              </w:rPr>
              <w:noBreakHyphen/>
            </w:r>
            <w:r w:rsidRPr="0067507D">
              <w:rPr>
                <w:rFonts w:cstheme="minorHAnsi"/>
              </w:rPr>
              <w:t>described</w:t>
            </w:r>
          </w:p>
        </w:tc>
        <w:tc>
          <w:tcPr>
            <w:tcW w:w="1022" w:type="dxa"/>
            <w:shd w:val="clear" w:color="auto" w:fill="E0E0E0"/>
          </w:tcPr>
          <w:p w14:paraId="2CD18965" w14:textId="401F1DD0" w:rsidR="0068068B" w:rsidRPr="0067507D" w:rsidRDefault="000A55B5" w:rsidP="00A721E2">
            <w:pPr>
              <w:pStyle w:val="Tabletextright"/>
              <w:spacing w:before="20" w:after="20"/>
            </w:pPr>
            <w:r w:rsidRPr="0067507D">
              <w:t>–</w:t>
            </w:r>
          </w:p>
        </w:tc>
        <w:tc>
          <w:tcPr>
            <w:tcW w:w="659" w:type="dxa"/>
            <w:shd w:val="clear" w:color="auto" w:fill="E0E0E0"/>
          </w:tcPr>
          <w:p w14:paraId="7D90A0A2" w14:textId="73FA1641" w:rsidR="0068068B" w:rsidRPr="0067507D" w:rsidRDefault="000A55B5" w:rsidP="00A721E2">
            <w:pPr>
              <w:pStyle w:val="Tabletextright"/>
              <w:spacing w:before="20" w:after="20"/>
            </w:pPr>
            <w:r w:rsidRPr="0067507D">
              <w:t>–</w:t>
            </w:r>
          </w:p>
        </w:tc>
        <w:tc>
          <w:tcPr>
            <w:tcW w:w="1042" w:type="dxa"/>
          </w:tcPr>
          <w:p w14:paraId="306F68DA" w14:textId="6D60FABE" w:rsidR="0068068B" w:rsidRPr="0067507D" w:rsidRDefault="000A55B5" w:rsidP="00A721E2">
            <w:pPr>
              <w:pStyle w:val="Tabletextright"/>
              <w:spacing w:before="20" w:after="20"/>
            </w:pPr>
            <w:r w:rsidRPr="0067507D">
              <w:t>–</w:t>
            </w:r>
          </w:p>
        </w:tc>
        <w:tc>
          <w:tcPr>
            <w:tcW w:w="992" w:type="dxa"/>
          </w:tcPr>
          <w:p w14:paraId="3D1652BB" w14:textId="1F6B720F" w:rsidR="0068068B" w:rsidRPr="0067507D" w:rsidRDefault="000A55B5" w:rsidP="00A721E2">
            <w:pPr>
              <w:pStyle w:val="Tabletextright"/>
              <w:spacing w:before="20" w:after="20"/>
            </w:pPr>
            <w:r w:rsidRPr="0067507D">
              <w:t>–</w:t>
            </w:r>
          </w:p>
        </w:tc>
        <w:tc>
          <w:tcPr>
            <w:tcW w:w="702" w:type="dxa"/>
          </w:tcPr>
          <w:p w14:paraId="1C709A1D" w14:textId="388BAE2B" w:rsidR="0068068B" w:rsidRPr="0067507D" w:rsidRDefault="000A55B5" w:rsidP="00A721E2">
            <w:pPr>
              <w:pStyle w:val="Tabletextright"/>
              <w:spacing w:before="20" w:after="20"/>
            </w:pPr>
            <w:r w:rsidRPr="0067507D">
              <w:t>–</w:t>
            </w:r>
          </w:p>
        </w:tc>
        <w:tc>
          <w:tcPr>
            <w:tcW w:w="999" w:type="dxa"/>
            <w:shd w:val="clear" w:color="auto" w:fill="E0E0E0"/>
          </w:tcPr>
          <w:p w14:paraId="26D51DA2" w14:textId="26221501" w:rsidR="0068068B" w:rsidRPr="0067507D" w:rsidRDefault="000A55B5" w:rsidP="00A721E2">
            <w:pPr>
              <w:pStyle w:val="Tabletextright"/>
              <w:spacing w:before="20" w:after="20"/>
            </w:pPr>
            <w:r w:rsidRPr="0067507D">
              <w:t>–</w:t>
            </w:r>
          </w:p>
        </w:tc>
        <w:tc>
          <w:tcPr>
            <w:tcW w:w="729" w:type="dxa"/>
            <w:shd w:val="clear" w:color="auto" w:fill="E0E0E0"/>
          </w:tcPr>
          <w:p w14:paraId="58DE942F" w14:textId="217BA04A" w:rsidR="0068068B" w:rsidRPr="0067507D" w:rsidRDefault="000A55B5" w:rsidP="00A721E2">
            <w:pPr>
              <w:pStyle w:val="Tabletextright"/>
              <w:spacing w:before="20" w:after="20"/>
            </w:pPr>
            <w:r w:rsidRPr="0067507D">
              <w:t>–</w:t>
            </w:r>
          </w:p>
        </w:tc>
        <w:tc>
          <w:tcPr>
            <w:tcW w:w="1055" w:type="dxa"/>
            <w:noWrap/>
          </w:tcPr>
          <w:p w14:paraId="6DE7C216" w14:textId="1AB23FFB" w:rsidR="0068068B" w:rsidRPr="0067507D" w:rsidRDefault="00CE3AAF" w:rsidP="00A721E2">
            <w:pPr>
              <w:pStyle w:val="Tabletextright"/>
              <w:spacing w:before="20" w:after="20"/>
            </w:pPr>
            <w:r w:rsidRPr="0067507D">
              <w:t>–</w:t>
            </w:r>
          </w:p>
        </w:tc>
        <w:tc>
          <w:tcPr>
            <w:tcW w:w="673" w:type="dxa"/>
          </w:tcPr>
          <w:p w14:paraId="6F0DBF39" w14:textId="434D4305" w:rsidR="0068068B" w:rsidRPr="0067507D" w:rsidRDefault="00CE3AAF" w:rsidP="00A721E2">
            <w:pPr>
              <w:pStyle w:val="Tabletextright"/>
              <w:spacing w:before="20" w:after="20"/>
            </w:pPr>
            <w:r w:rsidRPr="0067507D">
              <w:t>–</w:t>
            </w:r>
          </w:p>
        </w:tc>
        <w:tc>
          <w:tcPr>
            <w:tcW w:w="1087" w:type="dxa"/>
            <w:shd w:val="clear" w:color="auto" w:fill="E0E0E0"/>
            <w:noWrap/>
          </w:tcPr>
          <w:p w14:paraId="7D6DEA02" w14:textId="0610F18F" w:rsidR="0068068B" w:rsidRPr="0067507D" w:rsidRDefault="00CE3AAF" w:rsidP="00A721E2">
            <w:pPr>
              <w:pStyle w:val="Tabletextright"/>
              <w:spacing w:before="20" w:after="20"/>
            </w:pPr>
            <w:r w:rsidRPr="0067507D">
              <w:t>–</w:t>
            </w:r>
          </w:p>
        </w:tc>
        <w:tc>
          <w:tcPr>
            <w:tcW w:w="992" w:type="dxa"/>
            <w:shd w:val="clear" w:color="auto" w:fill="E0E0E0"/>
          </w:tcPr>
          <w:p w14:paraId="7CB75C1D" w14:textId="530FAD26" w:rsidR="0068068B" w:rsidRPr="0067507D" w:rsidRDefault="00CE3AAF" w:rsidP="00A721E2">
            <w:pPr>
              <w:pStyle w:val="Tabletextright"/>
              <w:spacing w:before="20" w:after="20"/>
            </w:pPr>
            <w:r w:rsidRPr="0067507D">
              <w:t>–</w:t>
            </w:r>
          </w:p>
        </w:tc>
        <w:tc>
          <w:tcPr>
            <w:tcW w:w="657" w:type="dxa"/>
            <w:shd w:val="clear" w:color="auto" w:fill="E0E0E0"/>
          </w:tcPr>
          <w:p w14:paraId="2155BB73" w14:textId="1B727F78" w:rsidR="0068068B" w:rsidRPr="0067507D" w:rsidRDefault="00CE3AAF" w:rsidP="00A721E2">
            <w:pPr>
              <w:pStyle w:val="Tabletextright"/>
              <w:spacing w:before="20" w:after="20"/>
            </w:pPr>
            <w:r w:rsidRPr="0067507D">
              <w:t>–</w:t>
            </w:r>
          </w:p>
        </w:tc>
        <w:tc>
          <w:tcPr>
            <w:tcW w:w="1044" w:type="dxa"/>
          </w:tcPr>
          <w:p w14:paraId="7104E871" w14:textId="1290F151" w:rsidR="0068068B" w:rsidRPr="0067507D" w:rsidRDefault="00CE3AAF" w:rsidP="00A721E2">
            <w:pPr>
              <w:pStyle w:val="Tabletextright"/>
              <w:spacing w:before="20" w:after="20"/>
            </w:pPr>
            <w:r w:rsidRPr="0067507D">
              <w:t>–</w:t>
            </w:r>
          </w:p>
        </w:tc>
        <w:tc>
          <w:tcPr>
            <w:tcW w:w="684" w:type="dxa"/>
          </w:tcPr>
          <w:p w14:paraId="645623B2" w14:textId="5D867848" w:rsidR="0068068B" w:rsidRPr="0067507D" w:rsidRDefault="00CE3AAF" w:rsidP="00A721E2">
            <w:pPr>
              <w:pStyle w:val="Tabletextright"/>
              <w:spacing w:before="20" w:after="20"/>
            </w:pPr>
            <w:r w:rsidRPr="0067507D">
              <w:t>–</w:t>
            </w:r>
          </w:p>
        </w:tc>
      </w:tr>
      <w:tr w:rsidR="0068068B" w:rsidRPr="0067507D" w14:paraId="17B8D6DD" w14:textId="77777777" w:rsidTr="00A721E2">
        <w:trPr>
          <w:cantSplit/>
        </w:trPr>
        <w:tc>
          <w:tcPr>
            <w:tcW w:w="1530" w:type="dxa"/>
          </w:tcPr>
          <w:p w14:paraId="550BB630" w14:textId="77777777" w:rsidR="0068068B" w:rsidRPr="0067507D" w:rsidRDefault="0068068B" w:rsidP="00A721E2">
            <w:pPr>
              <w:pStyle w:val="Tabletext"/>
              <w:spacing w:before="0" w:after="0"/>
              <w:rPr>
                <w:sz w:val="6"/>
              </w:rPr>
            </w:pPr>
          </w:p>
        </w:tc>
        <w:tc>
          <w:tcPr>
            <w:tcW w:w="1022" w:type="dxa"/>
            <w:shd w:val="clear" w:color="auto" w:fill="E0E0E0"/>
          </w:tcPr>
          <w:p w14:paraId="3D5926BB" w14:textId="77777777" w:rsidR="0068068B" w:rsidRPr="0067507D" w:rsidRDefault="0068068B" w:rsidP="00A721E2">
            <w:pPr>
              <w:pStyle w:val="Tabletextright"/>
              <w:spacing w:before="0" w:after="0"/>
              <w:rPr>
                <w:rFonts w:cstheme="minorHAnsi"/>
                <w:sz w:val="6"/>
              </w:rPr>
            </w:pPr>
          </w:p>
        </w:tc>
        <w:tc>
          <w:tcPr>
            <w:tcW w:w="659" w:type="dxa"/>
            <w:shd w:val="clear" w:color="auto" w:fill="E0E0E0"/>
          </w:tcPr>
          <w:p w14:paraId="202F9EDD" w14:textId="77777777" w:rsidR="0068068B" w:rsidRPr="0067507D" w:rsidRDefault="0068068B" w:rsidP="00A721E2">
            <w:pPr>
              <w:pStyle w:val="Tabletextright"/>
              <w:spacing w:before="0" w:after="0"/>
              <w:rPr>
                <w:rFonts w:cstheme="minorHAnsi"/>
                <w:sz w:val="6"/>
              </w:rPr>
            </w:pPr>
          </w:p>
        </w:tc>
        <w:tc>
          <w:tcPr>
            <w:tcW w:w="1042" w:type="dxa"/>
          </w:tcPr>
          <w:p w14:paraId="5DEE5056" w14:textId="77777777" w:rsidR="0068068B" w:rsidRPr="0067507D" w:rsidRDefault="0068068B" w:rsidP="00A721E2">
            <w:pPr>
              <w:pStyle w:val="Tabletextright"/>
              <w:spacing w:before="0" w:after="0"/>
              <w:rPr>
                <w:rFonts w:cstheme="minorHAnsi"/>
                <w:sz w:val="6"/>
              </w:rPr>
            </w:pPr>
          </w:p>
        </w:tc>
        <w:tc>
          <w:tcPr>
            <w:tcW w:w="992" w:type="dxa"/>
          </w:tcPr>
          <w:p w14:paraId="1A8CDB18" w14:textId="77777777" w:rsidR="0068068B" w:rsidRPr="0067507D" w:rsidRDefault="0068068B" w:rsidP="00A721E2">
            <w:pPr>
              <w:pStyle w:val="Tabletextright"/>
              <w:spacing w:before="0" w:after="0"/>
              <w:rPr>
                <w:sz w:val="6"/>
              </w:rPr>
            </w:pPr>
          </w:p>
        </w:tc>
        <w:tc>
          <w:tcPr>
            <w:tcW w:w="702" w:type="dxa"/>
          </w:tcPr>
          <w:p w14:paraId="28BDF81E" w14:textId="77777777" w:rsidR="0068068B" w:rsidRPr="0067507D" w:rsidRDefault="0068068B" w:rsidP="00A721E2">
            <w:pPr>
              <w:pStyle w:val="Tabletextright"/>
              <w:spacing w:before="0" w:after="0"/>
              <w:rPr>
                <w:sz w:val="6"/>
              </w:rPr>
            </w:pPr>
          </w:p>
        </w:tc>
        <w:tc>
          <w:tcPr>
            <w:tcW w:w="999" w:type="dxa"/>
            <w:shd w:val="clear" w:color="auto" w:fill="E0E0E0"/>
          </w:tcPr>
          <w:p w14:paraId="1AE46CEB" w14:textId="77777777" w:rsidR="0068068B" w:rsidRPr="0067507D" w:rsidRDefault="0068068B" w:rsidP="00A721E2">
            <w:pPr>
              <w:pStyle w:val="Tabletextright"/>
              <w:spacing w:before="0" w:after="0"/>
              <w:rPr>
                <w:sz w:val="6"/>
              </w:rPr>
            </w:pPr>
          </w:p>
        </w:tc>
        <w:tc>
          <w:tcPr>
            <w:tcW w:w="729" w:type="dxa"/>
            <w:shd w:val="clear" w:color="auto" w:fill="E0E0E0"/>
          </w:tcPr>
          <w:p w14:paraId="48333AED" w14:textId="77777777" w:rsidR="0068068B" w:rsidRPr="0067507D" w:rsidRDefault="0068068B" w:rsidP="00A721E2">
            <w:pPr>
              <w:pStyle w:val="Tabletextright"/>
              <w:spacing w:before="0" w:after="0"/>
              <w:rPr>
                <w:sz w:val="6"/>
              </w:rPr>
            </w:pPr>
          </w:p>
        </w:tc>
        <w:tc>
          <w:tcPr>
            <w:tcW w:w="1055" w:type="dxa"/>
            <w:noWrap/>
          </w:tcPr>
          <w:p w14:paraId="706881D8" w14:textId="77777777" w:rsidR="0068068B" w:rsidRPr="0067507D" w:rsidRDefault="0068068B" w:rsidP="00A721E2">
            <w:pPr>
              <w:pStyle w:val="Tabletextright"/>
              <w:spacing w:before="0" w:after="0"/>
              <w:rPr>
                <w:rFonts w:cstheme="minorHAnsi"/>
                <w:sz w:val="6"/>
              </w:rPr>
            </w:pPr>
          </w:p>
        </w:tc>
        <w:tc>
          <w:tcPr>
            <w:tcW w:w="673" w:type="dxa"/>
          </w:tcPr>
          <w:p w14:paraId="744A1CF3" w14:textId="77777777" w:rsidR="0068068B" w:rsidRPr="0067507D" w:rsidRDefault="0068068B" w:rsidP="00A721E2">
            <w:pPr>
              <w:pStyle w:val="Tabletextright"/>
              <w:spacing w:before="0" w:after="0"/>
              <w:rPr>
                <w:rFonts w:cstheme="minorHAnsi"/>
                <w:sz w:val="6"/>
              </w:rPr>
            </w:pPr>
          </w:p>
        </w:tc>
        <w:tc>
          <w:tcPr>
            <w:tcW w:w="1087" w:type="dxa"/>
            <w:shd w:val="clear" w:color="auto" w:fill="E0E0E0"/>
            <w:noWrap/>
          </w:tcPr>
          <w:p w14:paraId="5A457C41" w14:textId="77777777" w:rsidR="0068068B" w:rsidRPr="0067507D" w:rsidRDefault="0068068B" w:rsidP="00A721E2">
            <w:pPr>
              <w:pStyle w:val="Tabletextright"/>
              <w:spacing w:before="0" w:after="0"/>
              <w:rPr>
                <w:rFonts w:cstheme="minorHAnsi"/>
                <w:sz w:val="6"/>
              </w:rPr>
            </w:pPr>
          </w:p>
        </w:tc>
        <w:tc>
          <w:tcPr>
            <w:tcW w:w="992" w:type="dxa"/>
            <w:shd w:val="clear" w:color="auto" w:fill="E0E0E0"/>
          </w:tcPr>
          <w:p w14:paraId="36BCABB2" w14:textId="77777777" w:rsidR="0068068B" w:rsidRPr="0067507D" w:rsidRDefault="0068068B" w:rsidP="00A721E2">
            <w:pPr>
              <w:pStyle w:val="Tabletextright"/>
              <w:spacing w:before="0" w:after="0"/>
              <w:rPr>
                <w:sz w:val="6"/>
              </w:rPr>
            </w:pPr>
          </w:p>
        </w:tc>
        <w:tc>
          <w:tcPr>
            <w:tcW w:w="657" w:type="dxa"/>
            <w:shd w:val="clear" w:color="auto" w:fill="E0E0E0"/>
          </w:tcPr>
          <w:p w14:paraId="7F139C95" w14:textId="77777777" w:rsidR="0068068B" w:rsidRPr="0067507D" w:rsidRDefault="0068068B" w:rsidP="00A721E2">
            <w:pPr>
              <w:pStyle w:val="Tabletextright"/>
              <w:spacing w:before="0" w:after="0"/>
              <w:rPr>
                <w:sz w:val="6"/>
              </w:rPr>
            </w:pPr>
          </w:p>
        </w:tc>
        <w:tc>
          <w:tcPr>
            <w:tcW w:w="1044" w:type="dxa"/>
          </w:tcPr>
          <w:p w14:paraId="2E6B06ED" w14:textId="77777777" w:rsidR="0068068B" w:rsidRPr="0067507D" w:rsidRDefault="0068068B" w:rsidP="00A721E2">
            <w:pPr>
              <w:pStyle w:val="Tabletextright"/>
              <w:spacing w:before="0" w:after="0"/>
              <w:rPr>
                <w:sz w:val="6"/>
              </w:rPr>
            </w:pPr>
          </w:p>
        </w:tc>
        <w:tc>
          <w:tcPr>
            <w:tcW w:w="684" w:type="dxa"/>
          </w:tcPr>
          <w:p w14:paraId="5AF5833E" w14:textId="77777777" w:rsidR="0068068B" w:rsidRPr="0067507D" w:rsidRDefault="0068068B" w:rsidP="00A721E2">
            <w:pPr>
              <w:pStyle w:val="Tabletextright"/>
              <w:spacing w:before="0" w:after="0"/>
              <w:rPr>
                <w:sz w:val="6"/>
              </w:rPr>
            </w:pPr>
          </w:p>
        </w:tc>
      </w:tr>
      <w:tr w:rsidR="0068068B" w:rsidRPr="0067507D" w14:paraId="5CB44165" w14:textId="77777777" w:rsidTr="00A721E2">
        <w:trPr>
          <w:cantSplit/>
        </w:trPr>
        <w:tc>
          <w:tcPr>
            <w:tcW w:w="1530" w:type="dxa"/>
          </w:tcPr>
          <w:p w14:paraId="2917A0FF" w14:textId="77777777" w:rsidR="0068068B" w:rsidRPr="0067507D" w:rsidRDefault="0068068B" w:rsidP="00A721E2">
            <w:pPr>
              <w:pStyle w:val="Tabletext"/>
              <w:rPr>
                <w:rFonts w:asciiTheme="majorHAnsi" w:hAnsiTheme="majorHAnsi"/>
              </w:rPr>
            </w:pPr>
            <w:r w:rsidRPr="0067507D">
              <w:rPr>
                <w:rFonts w:asciiTheme="majorHAnsi" w:hAnsiTheme="majorHAnsi" w:cstheme="minorHAnsi"/>
              </w:rPr>
              <w:t>Age</w:t>
            </w:r>
          </w:p>
        </w:tc>
        <w:tc>
          <w:tcPr>
            <w:tcW w:w="1022" w:type="dxa"/>
            <w:shd w:val="clear" w:color="auto" w:fill="E0E0E0"/>
          </w:tcPr>
          <w:p w14:paraId="0A881FC5" w14:textId="77777777" w:rsidR="0068068B" w:rsidRPr="0067507D" w:rsidRDefault="0068068B" w:rsidP="00A721E2">
            <w:pPr>
              <w:pStyle w:val="Tabletextright"/>
              <w:rPr>
                <w:rFonts w:asciiTheme="majorHAnsi" w:hAnsiTheme="majorHAnsi"/>
              </w:rPr>
            </w:pPr>
          </w:p>
        </w:tc>
        <w:tc>
          <w:tcPr>
            <w:tcW w:w="659" w:type="dxa"/>
            <w:shd w:val="clear" w:color="auto" w:fill="E0E0E0"/>
          </w:tcPr>
          <w:p w14:paraId="233786D5" w14:textId="77777777" w:rsidR="0068068B" w:rsidRPr="0067507D" w:rsidRDefault="0068068B" w:rsidP="00A721E2">
            <w:pPr>
              <w:pStyle w:val="Tabletextright"/>
              <w:rPr>
                <w:rFonts w:asciiTheme="majorHAnsi" w:hAnsiTheme="majorHAnsi"/>
              </w:rPr>
            </w:pPr>
          </w:p>
        </w:tc>
        <w:tc>
          <w:tcPr>
            <w:tcW w:w="1042" w:type="dxa"/>
          </w:tcPr>
          <w:p w14:paraId="243C710C" w14:textId="77777777" w:rsidR="0068068B" w:rsidRPr="0067507D" w:rsidRDefault="0068068B" w:rsidP="00A721E2">
            <w:pPr>
              <w:pStyle w:val="Tabletextright"/>
              <w:rPr>
                <w:rFonts w:asciiTheme="majorHAnsi" w:hAnsiTheme="majorHAnsi"/>
              </w:rPr>
            </w:pPr>
          </w:p>
        </w:tc>
        <w:tc>
          <w:tcPr>
            <w:tcW w:w="992" w:type="dxa"/>
          </w:tcPr>
          <w:p w14:paraId="3DC9A0C4" w14:textId="77777777" w:rsidR="0068068B" w:rsidRPr="0067507D" w:rsidRDefault="0068068B" w:rsidP="00A721E2">
            <w:pPr>
              <w:pStyle w:val="Tabletextright"/>
              <w:rPr>
                <w:rFonts w:asciiTheme="majorHAnsi" w:hAnsiTheme="majorHAnsi"/>
              </w:rPr>
            </w:pPr>
          </w:p>
        </w:tc>
        <w:tc>
          <w:tcPr>
            <w:tcW w:w="702" w:type="dxa"/>
          </w:tcPr>
          <w:p w14:paraId="7B295D03" w14:textId="77777777" w:rsidR="0068068B" w:rsidRPr="0067507D" w:rsidRDefault="0068068B" w:rsidP="00A721E2">
            <w:pPr>
              <w:pStyle w:val="Tabletextright"/>
              <w:rPr>
                <w:rFonts w:asciiTheme="majorHAnsi" w:hAnsiTheme="majorHAnsi"/>
              </w:rPr>
            </w:pPr>
          </w:p>
        </w:tc>
        <w:tc>
          <w:tcPr>
            <w:tcW w:w="999" w:type="dxa"/>
            <w:shd w:val="clear" w:color="auto" w:fill="E0E0E0"/>
          </w:tcPr>
          <w:p w14:paraId="7CE225CF" w14:textId="77777777" w:rsidR="0068068B" w:rsidRPr="0067507D" w:rsidRDefault="0068068B" w:rsidP="00A721E2">
            <w:pPr>
              <w:pStyle w:val="Tabletextright"/>
              <w:rPr>
                <w:rFonts w:asciiTheme="majorHAnsi" w:hAnsiTheme="majorHAnsi"/>
              </w:rPr>
            </w:pPr>
          </w:p>
        </w:tc>
        <w:tc>
          <w:tcPr>
            <w:tcW w:w="729" w:type="dxa"/>
            <w:shd w:val="clear" w:color="auto" w:fill="E0E0E0"/>
          </w:tcPr>
          <w:p w14:paraId="0AD181CB" w14:textId="77777777" w:rsidR="0068068B" w:rsidRPr="0067507D" w:rsidRDefault="0068068B" w:rsidP="00A721E2">
            <w:pPr>
              <w:pStyle w:val="Tabletextright"/>
              <w:rPr>
                <w:rFonts w:asciiTheme="majorHAnsi" w:hAnsiTheme="majorHAnsi"/>
              </w:rPr>
            </w:pPr>
          </w:p>
        </w:tc>
        <w:tc>
          <w:tcPr>
            <w:tcW w:w="1055" w:type="dxa"/>
            <w:noWrap/>
          </w:tcPr>
          <w:p w14:paraId="226D0B82" w14:textId="77777777" w:rsidR="0068068B" w:rsidRPr="0067507D" w:rsidRDefault="0068068B" w:rsidP="00A721E2">
            <w:pPr>
              <w:pStyle w:val="Tabletextright"/>
              <w:rPr>
                <w:rFonts w:asciiTheme="majorHAnsi" w:hAnsiTheme="majorHAnsi"/>
              </w:rPr>
            </w:pPr>
          </w:p>
        </w:tc>
        <w:tc>
          <w:tcPr>
            <w:tcW w:w="673" w:type="dxa"/>
          </w:tcPr>
          <w:p w14:paraId="4C5F4DFF" w14:textId="77777777" w:rsidR="0068068B" w:rsidRPr="0067507D" w:rsidRDefault="0068068B" w:rsidP="00A721E2">
            <w:pPr>
              <w:pStyle w:val="Tabletextright"/>
              <w:rPr>
                <w:rFonts w:asciiTheme="majorHAnsi" w:hAnsiTheme="majorHAnsi"/>
              </w:rPr>
            </w:pPr>
          </w:p>
        </w:tc>
        <w:tc>
          <w:tcPr>
            <w:tcW w:w="1087" w:type="dxa"/>
            <w:shd w:val="clear" w:color="auto" w:fill="E0E0E0"/>
            <w:noWrap/>
          </w:tcPr>
          <w:p w14:paraId="7F400C52" w14:textId="77777777" w:rsidR="0068068B" w:rsidRPr="0067507D" w:rsidRDefault="0068068B" w:rsidP="00A721E2">
            <w:pPr>
              <w:pStyle w:val="Tabletextright"/>
              <w:rPr>
                <w:rFonts w:asciiTheme="majorHAnsi" w:hAnsiTheme="majorHAnsi"/>
              </w:rPr>
            </w:pPr>
          </w:p>
        </w:tc>
        <w:tc>
          <w:tcPr>
            <w:tcW w:w="992" w:type="dxa"/>
            <w:shd w:val="clear" w:color="auto" w:fill="E0E0E0"/>
          </w:tcPr>
          <w:p w14:paraId="57259A14" w14:textId="77777777" w:rsidR="0068068B" w:rsidRPr="0067507D" w:rsidRDefault="0068068B" w:rsidP="00A721E2">
            <w:pPr>
              <w:pStyle w:val="Tabletextright"/>
              <w:rPr>
                <w:rFonts w:asciiTheme="majorHAnsi" w:hAnsiTheme="majorHAnsi"/>
              </w:rPr>
            </w:pPr>
          </w:p>
        </w:tc>
        <w:tc>
          <w:tcPr>
            <w:tcW w:w="657" w:type="dxa"/>
            <w:shd w:val="clear" w:color="auto" w:fill="E0E0E0"/>
          </w:tcPr>
          <w:p w14:paraId="5894C782" w14:textId="77777777" w:rsidR="0068068B" w:rsidRPr="0067507D" w:rsidRDefault="0068068B" w:rsidP="00A721E2">
            <w:pPr>
              <w:pStyle w:val="Tabletextright"/>
              <w:rPr>
                <w:rFonts w:asciiTheme="majorHAnsi" w:hAnsiTheme="majorHAnsi"/>
              </w:rPr>
            </w:pPr>
          </w:p>
        </w:tc>
        <w:tc>
          <w:tcPr>
            <w:tcW w:w="1044" w:type="dxa"/>
          </w:tcPr>
          <w:p w14:paraId="5EB6A2B0" w14:textId="77777777" w:rsidR="0068068B" w:rsidRPr="0067507D" w:rsidRDefault="0068068B" w:rsidP="00A721E2">
            <w:pPr>
              <w:pStyle w:val="Tabletextright"/>
              <w:rPr>
                <w:rFonts w:asciiTheme="majorHAnsi" w:hAnsiTheme="majorHAnsi"/>
              </w:rPr>
            </w:pPr>
          </w:p>
        </w:tc>
        <w:tc>
          <w:tcPr>
            <w:tcW w:w="684" w:type="dxa"/>
          </w:tcPr>
          <w:p w14:paraId="1F8C1953" w14:textId="77777777" w:rsidR="0068068B" w:rsidRPr="0067507D" w:rsidRDefault="0068068B" w:rsidP="00A721E2">
            <w:pPr>
              <w:pStyle w:val="Tabletextright"/>
              <w:rPr>
                <w:rFonts w:asciiTheme="majorHAnsi" w:hAnsiTheme="majorHAnsi"/>
              </w:rPr>
            </w:pPr>
          </w:p>
        </w:tc>
      </w:tr>
      <w:tr w:rsidR="0068068B" w:rsidRPr="0067507D" w14:paraId="253FDCF5" w14:textId="77777777" w:rsidTr="00A721E2">
        <w:trPr>
          <w:cantSplit/>
        </w:trPr>
        <w:tc>
          <w:tcPr>
            <w:tcW w:w="1530" w:type="dxa"/>
          </w:tcPr>
          <w:p w14:paraId="0A3D9B08" w14:textId="77777777" w:rsidR="0068068B" w:rsidRPr="0067507D" w:rsidRDefault="0068068B" w:rsidP="00A721E2">
            <w:pPr>
              <w:pStyle w:val="Tabletext"/>
              <w:spacing w:before="20" w:after="20"/>
            </w:pPr>
            <w:r w:rsidRPr="0067507D">
              <w:rPr>
                <w:rFonts w:cstheme="minorHAnsi"/>
              </w:rPr>
              <w:t>15–24</w:t>
            </w:r>
          </w:p>
        </w:tc>
        <w:tc>
          <w:tcPr>
            <w:tcW w:w="1022" w:type="dxa"/>
            <w:shd w:val="clear" w:color="auto" w:fill="E0E0E0"/>
          </w:tcPr>
          <w:p w14:paraId="7871457D" w14:textId="6D38B712" w:rsidR="0068068B" w:rsidRPr="0067507D" w:rsidRDefault="000A55B5" w:rsidP="00A721E2">
            <w:pPr>
              <w:pStyle w:val="Tabletextright"/>
              <w:spacing w:before="20" w:after="20"/>
            </w:pPr>
            <w:r w:rsidRPr="0067507D">
              <w:t>–</w:t>
            </w:r>
          </w:p>
        </w:tc>
        <w:tc>
          <w:tcPr>
            <w:tcW w:w="659" w:type="dxa"/>
            <w:shd w:val="clear" w:color="auto" w:fill="E0E0E0"/>
          </w:tcPr>
          <w:p w14:paraId="2C83C678" w14:textId="6A81CB15" w:rsidR="0068068B" w:rsidRPr="0067507D" w:rsidRDefault="000A55B5" w:rsidP="00A721E2">
            <w:pPr>
              <w:pStyle w:val="Tabletextright"/>
              <w:spacing w:before="20" w:after="20"/>
            </w:pPr>
            <w:r w:rsidRPr="0067507D">
              <w:t>–</w:t>
            </w:r>
          </w:p>
        </w:tc>
        <w:tc>
          <w:tcPr>
            <w:tcW w:w="1042" w:type="dxa"/>
          </w:tcPr>
          <w:p w14:paraId="5661BF63" w14:textId="3C4FBC90" w:rsidR="0068068B" w:rsidRPr="0067507D" w:rsidRDefault="000A55B5" w:rsidP="00A721E2">
            <w:pPr>
              <w:pStyle w:val="Tabletextright"/>
              <w:spacing w:before="20" w:after="20"/>
            </w:pPr>
            <w:r w:rsidRPr="0067507D">
              <w:t>–</w:t>
            </w:r>
          </w:p>
        </w:tc>
        <w:tc>
          <w:tcPr>
            <w:tcW w:w="992" w:type="dxa"/>
          </w:tcPr>
          <w:p w14:paraId="7EF811FA" w14:textId="0CB739B8" w:rsidR="0068068B" w:rsidRPr="0067507D" w:rsidRDefault="000A55B5" w:rsidP="00A721E2">
            <w:pPr>
              <w:pStyle w:val="Tabletextright"/>
              <w:spacing w:before="20" w:after="20"/>
            </w:pPr>
            <w:r w:rsidRPr="0067507D">
              <w:t>–</w:t>
            </w:r>
          </w:p>
        </w:tc>
        <w:tc>
          <w:tcPr>
            <w:tcW w:w="702" w:type="dxa"/>
          </w:tcPr>
          <w:p w14:paraId="0DD69BEF" w14:textId="39ECF786" w:rsidR="0068068B" w:rsidRPr="0067507D" w:rsidRDefault="000A55B5" w:rsidP="00A721E2">
            <w:pPr>
              <w:pStyle w:val="Tabletextright"/>
              <w:spacing w:before="20" w:after="20"/>
            </w:pPr>
            <w:r w:rsidRPr="0067507D">
              <w:t>–</w:t>
            </w:r>
          </w:p>
        </w:tc>
        <w:tc>
          <w:tcPr>
            <w:tcW w:w="999" w:type="dxa"/>
            <w:shd w:val="clear" w:color="auto" w:fill="E0E0E0"/>
          </w:tcPr>
          <w:p w14:paraId="7D28D9E4" w14:textId="0EE86F99" w:rsidR="0068068B" w:rsidRPr="0067507D" w:rsidRDefault="000A55B5" w:rsidP="00A721E2">
            <w:pPr>
              <w:pStyle w:val="Tabletextright"/>
              <w:spacing w:before="20" w:after="20"/>
            </w:pPr>
            <w:r w:rsidRPr="0067507D">
              <w:t>–</w:t>
            </w:r>
          </w:p>
        </w:tc>
        <w:tc>
          <w:tcPr>
            <w:tcW w:w="729" w:type="dxa"/>
            <w:shd w:val="clear" w:color="auto" w:fill="E0E0E0"/>
          </w:tcPr>
          <w:p w14:paraId="233BF744" w14:textId="5F2DC292" w:rsidR="0068068B" w:rsidRPr="0067507D" w:rsidRDefault="000A55B5" w:rsidP="00A721E2">
            <w:pPr>
              <w:pStyle w:val="Tabletextright"/>
              <w:spacing w:before="20" w:after="20"/>
            </w:pPr>
            <w:r w:rsidRPr="0067507D">
              <w:t>–</w:t>
            </w:r>
          </w:p>
        </w:tc>
        <w:tc>
          <w:tcPr>
            <w:tcW w:w="1055" w:type="dxa"/>
            <w:noWrap/>
          </w:tcPr>
          <w:p w14:paraId="4E89B3DC" w14:textId="3ADDA9B6" w:rsidR="0068068B" w:rsidRPr="0067507D" w:rsidRDefault="00CE3AAF" w:rsidP="00A721E2">
            <w:pPr>
              <w:pStyle w:val="Tabletextright"/>
              <w:spacing w:before="20" w:after="20"/>
            </w:pPr>
            <w:r w:rsidRPr="0067507D">
              <w:t>1</w:t>
            </w:r>
          </w:p>
        </w:tc>
        <w:tc>
          <w:tcPr>
            <w:tcW w:w="673" w:type="dxa"/>
          </w:tcPr>
          <w:p w14:paraId="13C5D5B1" w14:textId="64C485C7" w:rsidR="0068068B" w:rsidRPr="0067507D" w:rsidRDefault="00CE3AAF" w:rsidP="00A721E2">
            <w:pPr>
              <w:pStyle w:val="Tabletextright"/>
              <w:spacing w:before="20" w:after="20"/>
            </w:pPr>
            <w:r w:rsidRPr="0067507D">
              <w:t>1</w:t>
            </w:r>
          </w:p>
        </w:tc>
        <w:tc>
          <w:tcPr>
            <w:tcW w:w="1087" w:type="dxa"/>
            <w:shd w:val="clear" w:color="auto" w:fill="E0E0E0"/>
            <w:noWrap/>
          </w:tcPr>
          <w:p w14:paraId="27A3A7D1" w14:textId="624D1B40" w:rsidR="0068068B" w:rsidRPr="0067507D" w:rsidRDefault="00CE3AAF" w:rsidP="00A721E2">
            <w:pPr>
              <w:pStyle w:val="Tabletextright"/>
              <w:spacing w:before="20" w:after="20"/>
            </w:pPr>
            <w:r w:rsidRPr="0067507D">
              <w:t>1</w:t>
            </w:r>
          </w:p>
        </w:tc>
        <w:tc>
          <w:tcPr>
            <w:tcW w:w="992" w:type="dxa"/>
            <w:shd w:val="clear" w:color="auto" w:fill="E0E0E0"/>
          </w:tcPr>
          <w:p w14:paraId="4C69BF76" w14:textId="431B5F09" w:rsidR="0068068B" w:rsidRPr="0067507D" w:rsidRDefault="00CE3AAF" w:rsidP="00A721E2">
            <w:pPr>
              <w:pStyle w:val="Tabletextright"/>
              <w:spacing w:before="20" w:after="20"/>
            </w:pPr>
            <w:r w:rsidRPr="0067507D">
              <w:t>–</w:t>
            </w:r>
          </w:p>
        </w:tc>
        <w:tc>
          <w:tcPr>
            <w:tcW w:w="657" w:type="dxa"/>
            <w:shd w:val="clear" w:color="auto" w:fill="E0E0E0"/>
          </w:tcPr>
          <w:p w14:paraId="0FE2F719" w14:textId="0C19AE9F" w:rsidR="0068068B" w:rsidRPr="0067507D" w:rsidRDefault="00CE3AAF" w:rsidP="00A721E2">
            <w:pPr>
              <w:pStyle w:val="Tabletextright"/>
              <w:spacing w:before="20" w:after="20"/>
            </w:pPr>
            <w:r w:rsidRPr="0067507D">
              <w:t>1</w:t>
            </w:r>
          </w:p>
        </w:tc>
        <w:tc>
          <w:tcPr>
            <w:tcW w:w="1044" w:type="dxa"/>
          </w:tcPr>
          <w:p w14:paraId="112E3CC5" w14:textId="504CAEC7" w:rsidR="0068068B" w:rsidRPr="0067507D" w:rsidRDefault="00CE3AAF" w:rsidP="00A721E2">
            <w:pPr>
              <w:pStyle w:val="Tabletextright"/>
              <w:spacing w:before="20" w:after="20"/>
            </w:pPr>
            <w:r w:rsidRPr="0067507D">
              <w:t>–</w:t>
            </w:r>
          </w:p>
        </w:tc>
        <w:tc>
          <w:tcPr>
            <w:tcW w:w="684" w:type="dxa"/>
          </w:tcPr>
          <w:p w14:paraId="35DE1E5E" w14:textId="28D9D7CB" w:rsidR="0068068B" w:rsidRPr="0067507D" w:rsidRDefault="00CE3AAF" w:rsidP="00A721E2">
            <w:pPr>
              <w:pStyle w:val="Tabletextright"/>
              <w:spacing w:before="20" w:after="20"/>
            </w:pPr>
            <w:r w:rsidRPr="0067507D">
              <w:t>–</w:t>
            </w:r>
          </w:p>
        </w:tc>
      </w:tr>
      <w:tr w:rsidR="0068068B" w:rsidRPr="0067507D" w14:paraId="02E66DAC" w14:textId="77777777" w:rsidTr="00A721E2">
        <w:trPr>
          <w:cantSplit/>
        </w:trPr>
        <w:tc>
          <w:tcPr>
            <w:tcW w:w="1530" w:type="dxa"/>
          </w:tcPr>
          <w:p w14:paraId="1E0C708F" w14:textId="285A495B" w:rsidR="0068068B" w:rsidRPr="0067507D" w:rsidRDefault="0068068B" w:rsidP="00A721E2">
            <w:pPr>
              <w:pStyle w:val="Tabletext"/>
              <w:spacing w:before="20" w:after="20"/>
            </w:pPr>
            <w:r w:rsidRPr="0067507D">
              <w:rPr>
                <w:rFonts w:cstheme="minorBidi"/>
              </w:rPr>
              <w:t>25</w:t>
            </w:r>
            <w:r w:rsidR="003A26E6" w:rsidRPr="0067507D">
              <w:rPr>
                <w:rFonts w:cstheme="minorHAnsi"/>
              </w:rPr>
              <w:t>–</w:t>
            </w:r>
            <w:r w:rsidRPr="0067507D">
              <w:rPr>
                <w:rFonts w:cstheme="minorBidi"/>
              </w:rPr>
              <w:t>34</w:t>
            </w:r>
          </w:p>
        </w:tc>
        <w:tc>
          <w:tcPr>
            <w:tcW w:w="1022" w:type="dxa"/>
            <w:shd w:val="clear" w:color="auto" w:fill="E0E0E0"/>
          </w:tcPr>
          <w:p w14:paraId="5E46D159" w14:textId="35C3DF45" w:rsidR="0068068B" w:rsidRPr="0067507D" w:rsidRDefault="00A14C1E" w:rsidP="00A721E2">
            <w:pPr>
              <w:pStyle w:val="Tabletextright"/>
              <w:spacing w:before="20" w:after="20"/>
            </w:pPr>
            <w:r w:rsidRPr="0067507D">
              <w:t>9</w:t>
            </w:r>
          </w:p>
        </w:tc>
        <w:tc>
          <w:tcPr>
            <w:tcW w:w="659" w:type="dxa"/>
            <w:shd w:val="clear" w:color="auto" w:fill="E0E0E0"/>
          </w:tcPr>
          <w:p w14:paraId="5DDA3466" w14:textId="16CD2118" w:rsidR="0068068B" w:rsidRPr="0067507D" w:rsidRDefault="00A14C1E" w:rsidP="00A721E2">
            <w:pPr>
              <w:pStyle w:val="Tabletextright"/>
              <w:spacing w:before="20" w:after="20"/>
            </w:pPr>
            <w:r w:rsidRPr="0067507D">
              <w:t>9</w:t>
            </w:r>
          </w:p>
        </w:tc>
        <w:tc>
          <w:tcPr>
            <w:tcW w:w="1042" w:type="dxa"/>
          </w:tcPr>
          <w:p w14:paraId="17190A91" w14:textId="552678A4" w:rsidR="0068068B" w:rsidRPr="0067507D" w:rsidRDefault="00A14C1E" w:rsidP="00A721E2">
            <w:pPr>
              <w:pStyle w:val="Tabletextright"/>
              <w:spacing w:before="20" w:after="20"/>
            </w:pPr>
            <w:r w:rsidRPr="0067507D">
              <w:t>7</w:t>
            </w:r>
          </w:p>
        </w:tc>
        <w:tc>
          <w:tcPr>
            <w:tcW w:w="992" w:type="dxa"/>
          </w:tcPr>
          <w:p w14:paraId="36B72A87" w14:textId="607B22CE" w:rsidR="0068068B" w:rsidRPr="0067507D" w:rsidRDefault="000A55B5" w:rsidP="00A721E2">
            <w:pPr>
              <w:pStyle w:val="Tabletextright"/>
              <w:spacing w:before="20" w:after="20"/>
            </w:pPr>
            <w:r w:rsidRPr="0067507D">
              <w:t>–</w:t>
            </w:r>
          </w:p>
        </w:tc>
        <w:tc>
          <w:tcPr>
            <w:tcW w:w="702" w:type="dxa"/>
          </w:tcPr>
          <w:p w14:paraId="2BE74C52" w14:textId="03FCDDBF" w:rsidR="0068068B" w:rsidRPr="0067507D" w:rsidRDefault="00A14C1E" w:rsidP="00A721E2">
            <w:pPr>
              <w:pStyle w:val="Tabletextright"/>
              <w:spacing w:before="20" w:after="20"/>
            </w:pPr>
            <w:r w:rsidRPr="0067507D">
              <w:t>7</w:t>
            </w:r>
          </w:p>
        </w:tc>
        <w:tc>
          <w:tcPr>
            <w:tcW w:w="999" w:type="dxa"/>
            <w:shd w:val="clear" w:color="auto" w:fill="E0E0E0"/>
          </w:tcPr>
          <w:p w14:paraId="6367A002" w14:textId="519EA178" w:rsidR="0068068B" w:rsidRPr="0067507D" w:rsidRDefault="00A14C1E" w:rsidP="00A721E2">
            <w:pPr>
              <w:pStyle w:val="Tabletextright"/>
              <w:spacing w:before="20" w:after="20"/>
            </w:pPr>
            <w:r w:rsidRPr="0067507D">
              <w:t>2</w:t>
            </w:r>
          </w:p>
        </w:tc>
        <w:tc>
          <w:tcPr>
            <w:tcW w:w="729" w:type="dxa"/>
            <w:shd w:val="clear" w:color="auto" w:fill="E0E0E0"/>
          </w:tcPr>
          <w:p w14:paraId="19724BBD" w14:textId="5D325D25" w:rsidR="0068068B" w:rsidRPr="0067507D" w:rsidRDefault="00A14C1E" w:rsidP="00A721E2">
            <w:pPr>
              <w:pStyle w:val="Tabletextright"/>
              <w:spacing w:before="20" w:after="20"/>
            </w:pPr>
            <w:r w:rsidRPr="0067507D">
              <w:t>2</w:t>
            </w:r>
          </w:p>
        </w:tc>
        <w:tc>
          <w:tcPr>
            <w:tcW w:w="1055" w:type="dxa"/>
            <w:noWrap/>
          </w:tcPr>
          <w:p w14:paraId="50D0516C" w14:textId="0F9FABA8" w:rsidR="0068068B" w:rsidRPr="0067507D" w:rsidRDefault="00CE3AAF" w:rsidP="00A721E2">
            <w:pPr>
              <w:pStyle w:val="Tabletextright"/>
              <w:spacing w:before="20" w:after="20"/>
            </w:pPr>
            <w:r w:rsidRPr="0067507D">
              <w:t>18</w:t>
            </w:r>
          </w:p>
        </w:tc>
        <w:tc>
          <w:tcPr>
            <w:tcW w:w="673" w:type="dxa"/>
          </w:tcPr>
          <w:p w14:paraId="62D08C2D" w14:textId="7B88FF81" w:rsidR="0068068B" w:rsidRPr="0067507D" w:rsidRDefault="00CE3AAF" w:rsidP="00A721E2">
            <w:pPr>
              <w:pStyle w:val="Tabletextright"/>
              <w:spacing w:before="20" w:after="20"/>
            </w:pPr>
            <w:r w:rsidRPr="0067507D">
              <w:t>18</w:t>
            </w:r>
          </w:p>
        </w:tc>
        <w:tc>
          <w:tcPr>
            <w:tcW w:w="1087" w:type="dxa"/>
            <w:shd w:val="clear" w:color="auto" w:fill="E0E0E0"/>
            <w:noWrap/>
          </w:tcPr>
          <w:p w14:paraId="759E826C" w14:textId="51BEEFE6" w:rsidR="0068068B" w:rsidRPr="0067507D" w:rsidRDefault="00CE3AAF" w:rsidP="00A721E2">
            <w:pPr>
              <w:pStyle w:val="Tabletextright"/>
              <w:spacing w:before="20" w:after="20"/>
            </w:pPr>
            <w:r w:rsidRPr="0067507D">
              <w:t>16</w:t>
            </w:r>
          </w:p>
        </w:tc>
        <w:tc>
          <w:tcPr>
            <w:tcW w:w="992" w:type="dxa"/>
            <w:shd w:val="clear" w:color="auto" w:fill="E0E0E0"/>
          </w:tcPr>
          <w:p w14:paraId="5CFE4E89" w14:textId="25062419" w:rsidR="0068068B" w:rsidRPr="0067507D" w:rsidRDefault="00CE3AAF" w:rsidP="00A721E2">
            <w:pPr>
              <w:pStyle w:val="Tabletextright"/>
              <w:spacing w:before="20" w:after="20"/>
            </w:pPr>
            <w:r w:rsidRPr="0067507D">
              <w:t>1</w:t>
            </w:r>
          </w:p>
        </w:tc>
        <w:tc>
          <w:tcPr>
            <w:tcW w:w="657" w:type="dxa"/>
            <w:shd w:val="clear" w:color="auto" w:fill="E0E0E0"/>
          </w:tcPr>
          <w:p w14:paraId="2317CDCA" w14:textId="77A388E1" w:rsidR="0068068B" w:rsidRPr="0067507D" w:rsidRDefault="00CE3AAF" w:rsidP="00A721E2">
            <w:pPr>
              <w:pStyle w:val="Tabletextright"/>
              <w:spacing w:before="20" w:after="20"/>
            </w:pPr>
            <w:r w:rsidRPr="0067507D">
              <w:t>17</w:t>
            </w:r>
          </w:p>
        </w:tc>
        <w:tc>
          <w:tcPr>
            <w:tcW w:w="1044" w:type="dxa"/>
          </w:tcPr>
          <w:p w14:paraId="633E8710" w14:textId="57C7099C" w:rsidR="0068068B" w:rsidRPr="0067507D" w:rsidRDefault="00CE3AAF" w:rsidP="00A721E2">
            <w:pPr>
              <w:pStyle w:val="Tabletextright"/>
              <w:spacing w:before="20" w:after="20"/>
            </w:pPr>
            <w:r w:rsidRPr="0067507D">
              <w:t>1</w:t>
            </w:r>
          </w:p>
        </w:tc>
        <w:tc>
          <w:tcPr>
            <w:tcW w:w="684" w:type="dxa"/>
          </w:tcPr>
          <w:p w14:paraId="70D051FE" w14:textId="09C898D7" w:rsidR="0068068B" w:rsidRPr="0067507D" w:rsidRDefault="00CE3AAF" w:rsidP="00A721E2">
            <w:pPr>
              <w:pStyle w:val="Tabletextright"/>
              <w:spacing w:before="20" w:after="20"/>
            </w:pPr>
            <w:r w:rsidRPr="0067507D">
              <w:t>1</w:t>
            </w:r>
          </w:p>
        </w:tc>
      </w:tr>
      <w:tr w:rsidR="0068068B" w:rsidRPr="0067507D" w14:paraId="279A1544" w14:textId="77777777" w:rsidTr="00A721E2">
        <w:trPr>
          <w:cantSplit/>
        </w:trPr>
        <w:tc>
          <w:tcPr>
            <w:tcW w:w="1530" w:type="dxa"/>
          </w:tcPr>
          <w:p w14:paraId="5D09FE47" w14:textId="1666C79F" w:rsidR="0068068B" w:rsidRPr="0067507D" w:rsidRDefault="0068068B" w:rsidP="00A721E2">
            <w:pPr>
              <w:pStyle w:val="Tabletext"/>
              <w:spacing w:before="20" w:after="20"/>
            </w:pPr>
            <w:r w:rsidRPr="0067507D">
              <w:rPr>
                <w:rFonts w:cstheme="minorBidi"/>
              </w:rPr>
              <w:t>35</w:t>
            </w:r>
            <w:r w:rsidR="003A26E6" w:rsidRPr="0067507D">
              <w:rPr>
                <w:rFonts w:cstheme="minorHAnsi"/>
              </w:rPr>
              <w:t>–</w:t>
            </w:r>
            <w:r w:rsidRPr="0067507D">
              <w:rPr>
                <w:rFonts w:cstheme="minorBidi"/>
              </w:rPr>
              <w:t>44</w:t>
            </w:r>
          </w:p>
        </w:tc>
        <w:tc>
          <w:tcPr>
            <w:tcW w:w="1022" w:type="dxa"/>
            <w:shd w:val="clear" w:color="auto" w:fill="E0E0E0"/>
          </w:tcPr>
          <w:p w14:paraId="636CDCBC" w14:textId="6E032345" w:rsidR="0068068B" w:rsidRPr="0067507D" w:rsidRDefault="00A14C1E" w:rsidP="00A721E2">
            <w:pPr>
              <w:pStyle w:val="Tabletextright"/>
              <w:spacing w:before="20" w:after="20"/>
            </w:pPr>
            <w:r w:rsidRPr="0067507D">
              <w:t>18</w:t>
            </w:r>
          </w:p>
        </w:tc>
        <w:tc>
          <w:tcPr>
            <w:tcW w:w="659" w:type="dxa"/>
            <w:shd w:val="clear" w:color="auto" w:fill="E0E0E0"/>
          </w:tcPr>
          <w:p w14:paraId="625CFB33" w14:textId="33E0EBD2" w:rsidR="0068068B" w:rsidRPr="0067507D" w:rsidRDefault="00A14C1E" w:rsidP="00A721E2">
            <w:pPr>
              <w:pStyle w:val="Tabletextright"/>
              <w:spacing w:before="20" w:after="20"/>
            </w:pPr>
            <w:r w:rsidRPr="0067507D">
              <w:t>18</w:t>
            </w:r>
          </w:p>
        </w:tc>
        <w:tc>
          <w:tcPr>
            <w:tcW w:w="1042" w:type="dxa"/>
          </w:tcPr>
          <w:p w14:paraId="241DCABE" w14:textId="29DCCE47" w:rsidR="0068068B" w:rsidRPr="0067507D" w:rsidRDefault="00A14C1E" w:rsidP="00A721E2">
            <w:pPr>
              <w:pStyle w:val="Tabletextright"/>
              <w:spacing w:before="20" w:after="20"/>
            </w:pPr>
            <w:r w:rsidRPr="0067507D">
              <w:t>16</w:t>
            </w:r>
          </w:p>
        </w:tc>
        <w:tc>
          <w:tcPr>
            <w:tcW w:w="992" w:type="dxa"/>
          </w:tcPr>
          <w:p w14:paraId="25F78E20" w14:textId="7F28BC9E" w:rsidR="0068068B" w:rsidRPr="0067507D" w:rsidRDefault="000A55B5" w:rsidP="00A721E2">
            <w:pPr>
              <w:pStyle w:val="Tabletextright"/>
              <w:spacing w:before="20" w:after="20"/>
            </w:pPr>
            <w:r w:rsidRPr="0067507D">
              <w:t>–</w:t>
            </w:r>
          </w:p>
        </w:tc>
        <w:tc>
          <w:tcPr>
            <w:tcW w:w="702" w:type="dxa"/>
          </w:tcPr>
          <w:p w14:paraId="251436D2" w14:textId="11DA70D6" w:rsidR="0068068B" w:rsidRPr="0067507D" w:rsidRDefault="00A14C1E" w:rsidP="00A721E2">
            <w:pPr>
              <w:pStyle w:val="Tabletextright"/>
              <w:spacing w:before="20" w:after="20"/>
            </w:pPr>
            <w:r w:rsidRPr="0067507D">
              <w:t>16</w:t>
            </w:r>
          </w:p>
        </w:tc>
        <w:tc>
          <w:tcPr>
            <w:tcW w:w="999" w:type="dxa"/>
            <w:shd w:val="clear" w:color="auto" w:fill="E0E0E0"/>
          </w:tcPr>
          <w:p w14:paraId="1387DDEC" w14:textId="7A836319" w:rsidR="0068068B" w:rsidRPr="0067507D" w:rsidRDefault="00A14C1E" w:rsidP="00A721E2">
            <w:pPr>
              <w:pStyle w:val="Tabletextright"/>
              <w:spacing w:before="20" w:after="20"/>
            </w:pPr>
            <w:r w:rsidRPr="0067507D">
              <w:t>2</w:t>
            </w:r>
          </w:p>
        </w:tc>
        <w:tc>
          <w:tcPr>
            <w:tcW w:w="729" w:type="dxa"/>
            <w:shd w:val="clear" w:color="auto" w:fill="E0E0E0"/>
          </w:tcPr>
          <w:p w14:paraId="5E597316" w14:textId="779684FE" w:rsidR="0068068B" w:rsidRPr="0067507D" w:rsidRDefault="00A14C1E" w:rsidP="00A721E2">
            <w:pPr>
              <w:pStyle w:val="Tabletextright"/>
              <w:spacing w:before="20" w:after="20"/>
            </w:pPr>
            <w:r w:rsidRPr="0067507D">
              <w:t>2</w:t>
            </w:r>
          </w:p>
        </w:tc>
        <w:tc>
          <w:tcPr>
            <w:tcW w:w="1055" w:type="dxa"/>
            <w:noWrap/>
          </w:tcPr>
          <w:p w14:paraId="28A0F05B" w14:textId="68C4A0AE" w:rsidR="0068068B" w:rsidRPr="0067507D" w:rsidRDefault="00CE3AAF" w:rsidP="00A721E2">
            <w:pPr>
              <w:pStyle w:val="Tabletextright"/>
              <w:spacing w:before="20" w:after="20"/>
            </w:pPr>
            <w:r w:rsidRPr="0067507D">
              <w:t>19</w:t>
            </w:r>
          </w:p>
        </w:tc>
        <w:tc>
          <w:tcPr>
            <w:tcW w:w="673" w:type="dxa"/>
          </w:tcPr>
          <w:p w14:paraId="413192F9" w14:textId="5A5514EB" w:rsidR="0068068B" w:rsidRPr="0067507D" w:rsidRDefault="00CE3AAF" w:rsidP="00A721E2">
            <w:pPr>
              <w:pStyle w:val="Tabletextright"/>
              <w:spacing w:before="20" w:after="20"/>
            </w:pPr>
            <w:r w:rsidRPr="0067507D">
              <w:t>19</w:t>
            </w:r>
          </w:p>
        </w:tc>
        <w:tc>
          <w:tcPr>
            <w:tcW w:w="1087" w:type="dxa"/>
            <w:shd w:val="clear" w:color="auto" w:fill="E0E0E0"/>
            <w:noWrap/>
          </w:tcPr>
          <w:p w14:paraId="25E031FA" w14:textId="0D104FD2" w:rsidR="0068068B" w:rsidRPr="0067507D" w:rsidRDefault="00CE3AAF" w:rsidP="00A721E2">
            <w:pPr>
              <w:pStyle w:val="Tabletextright"/>
              <w:spacing w:before="20" w:after="20"/>
            </w:pPr>
            <w:r w:rsidRPr="0067507D">
              <w:t>14</w:t>
            </w:r>
          </w:p>
        </w:tc>
        <w:tc>
          <w:tcPr>
            <w:tcW w:w="992" w:type="dxa"/>
            <w:shd w:val="clear" w:color="auto" w:fill="E0E0E0"/>
          </w:tcPr>
          <w:p w14:paraId="24E9FD4B" w14:textId="45D2D39A" w:rsidR="0068068B" w:rsidRPr="0067507D" w:rsidRDefault="00CE3AAF" w:rsidP="00A721E2">
            <w:pPr>
              <w:pStyle w:val="Tabletextright"/>
              <w:spacing w:before="20" w:after="20"/>
            </w:pPr>
            <w:r w:rsidRPr="0067507D">
              <w:t>1</w:t>
            </w:r>
          </w:p>
        </w:tc>
        <w:tc>
          <w:tcPr>
            <w:tcW w:w="657" w:type="dxa"/>
            <w:shd w:val="clear" w:color="auto" w:fill="E0E0E0"/>
          </w:tcPr>
          <w:p w14:paraId="3FA6E5EF" w14:textId="440C8A25" w:rsidR="0068068B" w:rsidRPr="0067507D" w:rsidRDefault="00CE3AAF" w:rsidP="00A721E2">
            <w:pPr>
              <w:pStyle w:val="Tabletextright"/>
              <w:spacing w:before="20" w:after="20"/>
            </w:pPr>
            <w:r w:rsidRPr="0067507D">
              <w:t>15</w:t>
            </w:r>
          </w:p>
        </w:tc>
        <w:tc>
          <w:tcPr>
            <w:tcW w:w="1044" w:type="dxa"/>
          </w:tcPr>
          <w:p w14:paraId="00CFEACE" w14:textId="301C870F" w:rsidR="0068068B" w:rsidRPr="0067507D" w:rsidRDefault="00CE3AAF" w:rsidP="00A721E2">
            <w:pPr>
              <w:pStyle w:val="Tabletextright"/>
              <w:spacing w:before="20" w:after="20"/>
            </w:pPr>
            <w:r w:rsidRPr="0067507D">
              <w:t>4</w:t>
            </w:r>
          </w:p>
        </w:tc>
        <w:tc>
          <w:tcPr>
            <w:tcW w:w="684" w:type="dxa"/>
          </w:tcPr>
          <w:p w14:paraId="436F804E" w14:textId="51760737" w:rsidR="0068068B" w:rsidRPr="0067507D" w:rsidRDefault="00CE3AAF" w:rsidP="00A721E2">
            <w:pPr>
              <w:pStyle w:val="Tabletextright"/>
              <w:spacing w:before="20" w:after="20"/>
            </w:pPr>
            <w:r w:rsidRPr="0067507D">
              <w:t>4</w:t>
            </w:r>
          </w:p>
        </w:tc>
      </w:tr>
      <w:tr w:rsidR="0068068B" w:rsidRPr="0067507D" w14:paraId="48704EDE" w14:textId="77777777" w:rsidTr="00A721E2">
        <w:trPr>
          <w:cantSplit/>
        </w:trPr>
        <w:tc>
          <w:tcPr>
            <w:tcW w:w="1530" w:type="dxa"/>
          </w:tcPr>
          <w:p w14:paraId="5D2EAA58" w14:textId="4E61E173" w:rsidR="0068068B" w:rsidRPr="0067507D" w:rsidRDefault="0068068B" w:rsidP="00A721E2">
            <w:pPr>
              <w:pStyle w:val="Tabletext"/>
              <w:spacing w:before="20" w:after="20"/>
            </w:pPr>
            <w:r w:rsidRPr="0067507D">
              <w:rPr>
                <w:rFonts w:cstheme="minorBidi"/>
              </w:rPr>
              <w:t>45</w:t>
            </w:r>
            <w:r w:rsidR="003A26E6" w:rsidRPr="0067507D">
              <w:rPr>
                <w:rFonts w:cstheme="minorHAnsi"/>
              </w:rPr>
              <w:t>–</w:t>
            </w:r>
            <w:r w:rsidRPr="0067507D">
              <w:rPr>
                <w:rFonts w:cstheme="minorBidi"/>
              </w:rPr>
              <w:t>54</w:t>
            </w:r>
          </w:p>
        </w:tc>
        <w:tc>
          <w:tcPr>
            <w:tcW w:w="1022" w:type="dxa"/>
            <w:shd w:val="clear" w:color="auto" w:fill="E0E0E0"/>
          </w:tcPr>
          <w:p w14:paraId="6249C73C" w14:textId="0FD3437C" w:rsidR="0068068B" w:rsidRPr="0067507D" w:rsidRDefault="00A14C1E" w:rsidP="00A721E2">
            <w:pPr>
              <w:pStyle w:val="Tabletextright"/>
              <w:spacing w:before="20" w:after="20"/>
            </w:pPr>
            <w:r w:rsidRPr="0067507D">
              <w:t>8</w:t>
            </w:r>
          </w:p>
        </w:tc>
        <w:tc>
          <w:tcPr>
            <w:tcW w:w="659" w:type="dxa"/>
            <w:shd w:val="clear" w:color="auto" w:fill="E0E0E0"/>
          </w:tcPr>
          <w:p w14:paraId="436D3DC3" w14:textId="7CF4C44E" w:rsidR="0068068B" w:rsidRPr="0067507D" w:rsidRDefault="00A14C1E" w:rsidP="00A721E2">
            <w:pPr>
              <w:pStyle w:val="Tabletextright"/>
              <w:spacing w:before="20" w:after="20"/>
            </w:pPr>
            <w:r w:rsidRPr="0067507D">
              <w:t>8</w:t>
            </w:r>
          </w:p>
        </w:tc>
        <w:tc>
          <w:tcPr>
            <w:tcW w:w="1042" w:type="dxa"/>
          </w:tcPr>
          <w:p w14:paraId="50E72A12" w14:textId="28F34120" w:rsidR="0068068B" w:rsidRPr="0067507D" w:rsidRDefault="00A14C1E" w:rsidP="00A721E2">
            <w:pPr>
              <w:pStyle w:val="Tabletextright"/>
              <w:spacing w:before="20" w:after="20"/>
            </w:pPr>
            <w:r w:rsidRPr="0067507D">
              <w:t>7</w:t>
            </w:r>
          </w:p>
        </w:tc>
        <w:tc>
          <w:tcPr>
            <w:tcW w:w="992" w:type="dxa"/>
          </w:tcPr>
          <w:p w14:paraId="4F45D246" w14:textId="178D5374" w:rsidR="0068068B" w:rsidRPr="0067507D" w:rsidRDefault="000A55B5" w:rsidP="00A721E2">
            <w:pPr>
              <w:pStyle w:val="Tabletextright"/>
              <w:spacing w:before="20" w:after="20"/>
            </w:pPr>
            <w:r w:rsidRPr="0067507D">
              <w:t>–</w:t>
            </w:r>
          </w:p>
        </w:tc>
        <w:tc>
          <w:tcPr>
            <w:tcW w:w="702" w:type="dxa"/>
          </w:tcPr>
          <w:p w14:paraId="44A0AA2F" w14:textId="1C74CF85" w:rsidR="0068068B" w:rsidRPr="0067507D" w:rsidRDefault="00A14C1E" w:rsidP="00A721E2">
            <w:pPr>
              <w:pStyle w:val="Tabletextright"/>
              <w:spacing w:before="20" w:after="20"/>
            </w:pPr>
            <w:r w:rsidRPr="0067507D">
              <w:t>7</w:t>
            </w:r>
          </w:p>
        </w:tc>
        <w:tc>
          <w:tcPr>
            <w:tcW w:w="999" w:type="dxa"/>
            <w:shd w:val="clear" w:color="auto" w:fill="E0E0E0"/>
          </w:tcPr>
          <w:p w14:paraId="62ADB659" w14:textId="55B9E74B" w:rsidR="0068068B" w:rsidRPr="0067507D" w:rsidRDefault="00A14C1E" w:rsidP="00A721E2">
            <w:pPr>
              <w:pStyle w:val="Tabletextright"/>
              <w:spacing w:before="20" w:after="20"/>
            </w:pPr>
            <w:r w:rsidRPr="0067507D">
              <w:t>1</w:t>
            </w:r>
          </w:p>
        </w:tc>
        <w:tc>
          <w:tcPr>
            <w:tcW w:w="729" w:type="dxa"/>
            <w:shd w:val="clear" w:color="auto" w:fill="E0E0E0"/>
          </w:tcPr>
          <w:p w14:paraId="3D39560A" w14:textId="6F654485" w:rsidR="0068068B" w:rsidRPr="0067507D" w:rsidRDefault="00A14C1E" w:rsidP="00A721E2">
            <w:pPr>
              <w:pStyle w:val="Tabletextright"/>
              <w:spacing w:before="20" w:after="20"/>
            </w:pPr>
            <w:r w:rsidRPr="0067507D">
              <w:t>1</w:t>
            </w:r>
          </w:p>
        </w:tc>
        <w:tc>
          <w:tcPr>
            <w:tcW w:w="1055" w:type="dxa"/>
            <w:noWrap/>
          </w:tcPr>
          <w:p w14:paraId="5BA69213" w14:textId="7EE3BD67" w:rsidR="0068068B" w:rsidRPr="0067507D" w:rsidRDefault="00CE3AAF" w:rsidP="00A721E2">
            <w:pPr>
              <w:pStyle w:val="Tabletextright"/>
              <w:spacing w:before="20" w:after="20"/>
            </w:pPr>
            <w:r w:rsidRPr="0067507D">
              <w:t>11</w:t>
            </w:r>
          </w:p>
        </w:tc>
        <w:tc>
          <w:tcPr>
            <w:tcW w:w="673" w:type="dxa"/>
          </w:tcPr>
          <w:p w14:paraId="203ED7F1" w14:textId="01E6145A" w:rsidR="0068068B" w:rsidRPr="0067507D" w:rsidRDefault="00CE3AAF" w:rsidP="00A721E2">
            <w:pPr>
              <w:pStyle w:val="Tabletextright"/>
              <w:spacing w:before="20" w:after="20"/>
            </w:pPr>
            <w:r w:rsidRPr="0067507D">
              <w:t>11</w:t>
            </w:r>
          </w:p>
        </w:tc>
        <w:tc>
          <w:tcPr>
            <w:tcW w:w="1087" w:type="dxa"/>
            <w:shd w:val="clear" w:color="auto" w:fill="E0E0E0"/>
            <w:noWrap/>
          </w:tcPr>
          <w:p w14:paraId="25EF07C0" w14:textId="72A784F4" w:rsidR="0068068B" w:rsidRPr="0067507D" w:rsidRDefault="00CE3AAF" w:rsidP="00A721E2">
            <w:pPr>
              <w:pStyle w:val="Tabletextright"/>
              <w:spacing w:before="20" w:after="20"/>
            </w:pPr>
            <w:r w:rsidRPr="0067507D">
              <w:t>9</w:t>
            </w:r>
          </w:p>
        </w:tc>
        <w:tc>
          <w:tcPr>
            <w:tcW w:w="992" w:type="dxa"/>
            <w:shd w:val="clear" w:color="auto" w:fill="E0E0E0"/>
          </w:tcPr>
          <w:p w14:paraId="5E092A5D" w14:textId="1FA470B1" w:rsidR="0068068B" w:rsidRPr="0067507D" w:rsidRDefault="00CE3AAF" w:rsidP="00A721E2">
            <w:pPr>
              <w:pStyle w:val="Tabletextright"/>
              <w:spacing w:before="20" w:after="20"/>
            </w:pPr>
            <w:r w:rsidRPr="0067507D">
              <w:t>–</w:t>
            </w:r>
          </w:p>
        </w:tc>
        <w:tc>
          <w:tcPr>
            <w:tcW w:w="657" w:type="dxa"/>
            <w:shd w:val="clear" w:color="auto" w:fill="E0E0E0"/>
          </w:tcPr>
          <w:p w14:paraId="20AB14EB" w14:textId="0283FE03" w:rsidR="0068068B" w:rsidRPr="0067507D" w:rsidRDefault="00CE3AAF" w:rsidP="00A721E2">
            <w:pPr>
              <w:pStyle w:val="Tabletextright"/>
              <w:spacing w:before="20" w:after="20"/>
            </w:pPr>
            <w:r w:rsidRPr="0067507D">
              <w:t>9</w:t>
            </w:r>
          </w:p>
        </w:tc>
        <w:tc>
          <w:tcPr>
            <w:tcW w:w="1044" w:type="dxa"/>
          </w:tcPr>
          <w:p w14:paraId="5E4E3AC2" w14:textId="1CB4660D" w:rsidR="0068068B" w:rsidRPr="0067507D" w:rsidRDefault="00CE3AAF" w:rsidP="00A721E2">
            <w:pPr>
              <w:pStyle w:val="Tabletextright"/>
              <w:spacing w:before="20" w:after="20"/>
            </w:pPr>
            <w:r w:rsidRPr="0067507D">
              <w:t>2</w:t>
            </w:r>
          </w:p>
        </w:tc>
        <w:tc>
          <w:tcPr>
            <w:tcW w:w="684" w:type="dxa"/>
          </w:tcPr>
          <w:p w14:paraId="7A3117F0" w14:textId="4FBBB39A" w:rsidR="0068068B" w:rsidRPr="0067507D" w:rsidRDefault="00CE3AAF" w:rsidP="00A721E2">
            <w:pPr>
              <w:pStyle w:val="Tabletextright"/>
              <w:spacing w:before="20" w:after="20"/>
            </w:pPr>
            <w:r w:rsidRPr="0067507D">
              <w:t>2</w:t>
            </w:r>
          </w:p>
        </w:tc>
      </w:tr>
      <w:tr w:rsidR="0068068B" w:rsidRPr="0067507D" w14:paraId="14A4BAE2" w14:textId="77777777" w:rsidTr="00A721E2">
        <w:trPr>
          <w:cantSplit/>
        </w:trPr>
        <w:tc>
          <w:tcPr>
            <w:tcW w:w="1530" w:type="dxa"/>
          </w:tcPr>
          <w:p w14:paraId="178E7E15" w14:textId="78DA67EA" w:rsidR="0068068B" w:rsidRPr="0067507D" w:rsidRDefault="0068068B" w:rsidP="00A721E2">
            <w:pPr>
              <w:pStyle w:val="Tabletext"/>
              <w:spacing w:before="20" w:after="20"/>
            </w:pPr>
            <w:r w:rsidRPr="0067507D">
              <w:rPr>
                <w:rFonts w:cstheme="minorBidi"/>
              </w:rPr>
              <w:t>55</w:t>
            </w:r>
            <w:r w:rsidR="003A26E6" w:rsidRPr="0067507D">
              <w:rPr>
                <w:rFonts w:cstheme="minorHAnsi"/>
              </w:rPr>
              <w:t>–</w:t>
            </w:r>
            <w:r w:rsidRPr="0067507D">
              <w:rPr>
                <w:rFonts w:cstheme="minorBidi"/>
              </w:rPr>
              <w:t>64</w:t>
            </w:r>
          </w:p>
        </w:tc>
        <w:tc>
          <w:tcPr>
            <w:tcW w:w="1022" w:type="dxa"/>
            <w:shd w:val="clear" w:color="auto" w:fill="E0E0E0"/>
          </w:tcPr>
          <w:p w14:paraId="5087A087" w14:textId="4FA5D41D" w:rsidR="0068068B" w:rsidRPr="0067507D" w:rsidRDefault="00A14C1E" w:rsidP="00A721E2">
            <w:pPr>
              <w:pStyle w:val="Tabletextright"/>
              <w:spacing w:before="20" w:after="20"/>
            </w:pPr>
            <w:r w:rsidRPr="0067507D">
              <w:t>5</w:t>
            </w:r>
          </w:p>
        </w:tc>
        <w:tc>
          <w:tcPr>
            <w:tcW w:w="659" w:type="dxa"/>
            <w:shd w:val="clear" w:color="auto" w:fill="E0E0E0"/>
          </w:tcPr>
          <w:p w14:paraId="7E263E05" w14:textId="21CE236B" w:rsidR="0068068B" w:rsidRPr="0067507D" w:rsidRDefault="00A14C1E" w:rsidP="00A721E2">
            <w:pPr>
              <w:pStyle w:val="Tabletextright"/>
              <w:spacing w:before="20" w:after="20"/>
            </w:pPr>
            <w:r w:rsidRPr="0067507D">
              <w:t>5</w:t>
            </w:r>
          </w:p>
        </w:tc>
        <w:tc>
          <w:tcPr>
            <w:tcW w:w="1042" w:type="dxa"/>
          </w:tcPr>
          <w:p w14:paraId="1C264400" w14:textId="128CF334" w:rsidR="0068068B" w:rsidRPr="0067507D" w:rsidRDefault="00A14C1E" w:rsidP="00A721E2">
            <w:pPr>
              <w:pStyle w:val="Tabletextright"/>
              <w:spacing w:before="20" w:after="20"/>
            </w:pPr>
            <w:r w:rsidRPr="0067507D">
              <w:t>5</w:t>
            </w:r>
          </w:p>
        </w:tc>
        <w:tc>
          <w:tcPr>
            <w:tcW w:w="992" w:type="dxa"/>
          </w:tcPr>
          <w:p w14:paraId="030B62FC" w14:textId="2E5060DB" w:rsidR="0068068B" w:rsidRPr="0067507D" w:rsidRDefault="000A55B5" w:rsidP="00A721E2">
            <w:pPr>
              <w:pStyle w:val="Tabletextright"/>
              <w:spacing w:before="20" w:after="20"/>
            </w:pPr>
            <w:r w:rsidRPr="0067507D">
              <w:t>–</w:t>
            </w:r>
          </w:p>
        </w:tc>
        <w:tc>
          <w:tcPr>
            <w:tcW w:w="702" w:type="dxa"/>
          </w:tcPr>
          <w:p w14:paraId="66E10CC0" w14:textId="0CA79829" w:rsidR="0068068B" w:rsidRPr="0067507D" w:rsidRDefault="00A14C1E" w:rsidP="00A721E2">
            <w:pPr>
              <w:pStyle w:val="Tabletextright"/>
              <w:spacing w:before="20" w:after="20"/>
            </w:pPr>
            <w:r w:rsidRPr="0067507D">
              <w:t>5</w:t>
            </w:r>
          </w:p>
        </w:tc>
        <w:tc>
          <w:tcPr>
            <w:tcW w:w="999" w:type="dxa"/>
            <w:shd w:val="clear" w:color="auto" w:fill="E0E0E0"/>
          </w:tcPr>
          <w:p w14:paraId="62B30C39" w14:textId="13339AB5" w:rsidR="0068068B" w:rsidRPr="0067507D" w:rsidRDefault="000A55B5" w:rsidP="00A721E2">
            <w:pPr>
              <w:pStyle w:val="Tabletextright"/>
              <w:spacing w:before="20" w:after="20"/>
            </w:pPr>
            <w:r w:rsidRPr="0067507D">
              <w:t>–</w:t>
            </w:r>
          </w:p>
        </w:tc>
        <w:tc>
          <w:tcPr>
            <w:tcW w:w="729" w:type="dxa"/>
            <w:shd w:val="clear" w:color="auto" w:fill="E0E0E0"/>
          </w:tcPr>
          <w:p w14:paraId="09E8DBD3" w14:textId="7645C0E2" w:rsidR="0068068B" w:rsidRPr="0067507D" w:rsidRDefault="000A55B5" w:rsidP="00A721E2">
            <w:pPr>
              <w:pStyle w:val="Tabletextright"/>
              <w:spacing w:before="20" w:after="20"/>
            </w:pPr>
            <w:r w:rsidRPr="0067507D">
              <w:t>–</w:t>
            </w:r>
          </w:p>
        </w:tc>
        <w:tc>
          <w:tcPr>
            <w:tcW w:w="1055" w:type="dxa"/>
            <w:noWrap/>
          </w:tcPr>
          <w:p w14:paraId="4545DD75" w14:textId="06C25183" w:rsidR="0068068B" w:rsidRPr="0067507D" w:rsidRDefault="00CE3AAF" w:rsidP="00A721E2">
            <w:pPr>
              <w:pStyle w:val="Tabletextright"/>
              <w:spacing w:before="20" w:after="20"/>
            </w:pPr>
            <w:r w:rsidRPr="0067507D">
              <w:t>6</w:t>
            </w:r>
          </w:p>
        </w:tc>
        <w:tc>
          <w:tcPr>
            <w:tcW w:w="673" w:type="dxa"/>
          </w:tcPr>
          <w:p w14:paraId="244DA700" w14:textId="67BDC9B5" w:rsidR="0068068B" w:rsidRPr="0067507D" w:rsidRDefault="00CE3AAF" w:rsidP="00A721E2">
            <w:pPr>
              <w:pStyle w:val="Tabletextright"/>
              <w:spacing w:before="20" w:after="20"/>
            </w:pPr>
            <w:r w:rsidRPr="0067507D">
              <w:t>6</w:t>
            </w:r>
          </w:p>
        </w:tc>
        <w:tc>
          <w:tcPr>
            <w:tcW w:w="1087" w:type="dxa"/>
            <w:shd w:val="clear" w:color="auto" w:fill="E0E0E0"/>
            <w:noWrap/>
          </w:tcPr>
          <w:p w14:paraId="520C6824" w14:textId="76F00AA7" w:rsidR="0068068B" w:rsidRPr="0067507D" w:rsidRDefault="00CE3AAF" w:rsidP="00A721E2">
            <w:pPr>
              <w:pStyle w:val="Tabletextright"/>
              <w:spacing w:before="20" w:after="20"/>
            </w:pPr>
            <w:r w:rsidRPr="0067507D">
              <w:t>5</w:t>
            </w:r>
          </w:p>
        </w:tc>
        <w:tc>
          <w:tcPr>
            <w:tcW w:w="992" w:type="dxa"/>
            <w:shd w:val="clear" w:color="auto" w:fill="E0E0E0"/>
          </w:tcPr>
          <w:p w14:paraId="41040F4F" w14:textId="71D5AA11" w:rsidR="0068068B" w:rsidRPr="0067507D" w:rsidRDefault="00CE3AAF" w:rsidP="00A721E2">
            <w:pPr>
              <w:pStyle w:val="Tabletextright"/>
              <w:spacing w:before="20" w:after="20"/>
            </w:pPr>
            <w:r w:rsidRPr="0067507D">
              <w:t>–</w:t>
            </w:r>
          </w:p>
        </w:tc>
        <w:tc>
          <w:tcPr>
            <w:tcW w:w="657" w:type="dxa"/>
            <w:shd w:val="clear" w:color="auto" w:fill="E0E0E0"/>
          </w:tcPr>
          <w:p w14:paraId="53CC288F" w14:textId="2CEA42B1" w:rsidR="0068068B" w:rsidRPr="0067507D" w:rsidRDefault="00CE3AAF" w:rsidP="00A721E2">
            <w:pPr>
              <w:pStyle w:val="Tabletextright"/>
              <w:spacing w:before="20" w:after="20"/>
            </w:pPr>
            <w:r w:rsidRPr="0067507D">
              <w:t>5</w:t>
            </w:r>
          </w:p>
        </w:tc>
        <w:tc>
          <w:tcPr>
            <w:tcW w:w="1044" w:type="dxa"/>
          </w:tcPr>
          <w:p w14:paraId="5A3CCE23" w14:textId="320D4529" w:rsidR="0068068B" w:rsidRPr="0067507D" w:rsidRDefault="00CE3AAF" w:rsidP="00A721E2">
            <w:pPr>
              <w:pStyle w:val="Tabletextright"/>
              <w:spacing w:before="20" w:after="20"/>
            </w:pPr>
            <w:r w:rsidRPr="0067507D">
              <w:t>1</w:t>
            </w:r>
          </w:p>
        </w:tc>
        <w:tc>
          <w:tcPr>
            <w:tcW w:w="684" w:type="dxa"/>
          </w:tcPr>
          <w:p w14:paraId="69BD0CE6" w14:textId="42230CF6" w:rsidR="0068068B" w:rsidRPr="0067507D" w:rsidRDefault="00CE3AAF" w:rsidP="00A721E2">
            <w:pPr>
              <w:pStyle w:val="Tabletextright"/>
              <w:spacing w:before="20" w:after="20"/>
            </w:pPr>
            <w:r w:rsidRPr="0067507D">
              <w:t>1</w:t>
            </w:r>
          </w:p>
        </w:tc>
      </w:tr>
      <w:tr w:rsidR="0068068B" w:rsidRPr="0067507D" w14:paraId="499DB26B" w14:textId="77777777" w:rsidTr="00A721E2">
        <w:trPr>
          <w:cantSplit/>
          <w:trHeight w:val="171"/>
        </w:trPr>
        <w:tc>
          <w:tcPr>
            <w:tcW w:w="1530" w:type="dxa"/>
          </w:tcPr>
          <w:p w14:paraId="0EA23617" w14:textId="77777777" w:rsidR="0068068B" w:rsidRPr="0067507D" w:rsidRDefault="0068068B" w:rsidP="00A721E2">
            <w:pPr>
              <w:pStyle w:val="Tabletext"/>
              <w:spacing w:before="20" w:after="20"/>
            </w:pPr>
            <w:r w:rsidRPr="0067507D">
              <w:rPr>
                <w:rFonts w:cstheme="minorHAnsi"/>
              </w:rPr>
              <w:t>65+</w:t>
            </w:r>
          </w:p>
        </w:tc>
        <w:tc>
          <w:tcPr>
            <w:tcW w:w="1022" w:type="dxa"/>
            <w:shd w:val="clear" w:color="auto" w:fill="E0E0E0"/>
          </w:tcPr>
          <w:p w14:paraId="0001B680" w14:textId="6219052E" w:rsidR="0068068B" w:rsidRPr="0067507D" w:rsidRDefault="00A14C1E" w:rsidP="00A721E2">
            <w:pPr>
              <w:pStyle w:val="Tabletextright"/>
              <w:spacing w:before="20" w:after="20"/>
            </w:pPr>
            <w:r w:rsidRPr="0067507D">
              <w:t>2</w:t>
            </w:r>
          </w:p>
        </w:tc>
        <w:tc>
          <w:tcPr>
            <w:tcW w:w="659" w:type="dxa"/>
            <w:shd w:val="clear" w:color="auto" w:fill="E0E0E0"/>
          </w:tcPr>
          <w:p w14:paraId="5CC2EB12" w14:textId="1E0DB55B" w:rsidR="0068068B" w:rsidRPr="0067507D" w:rsidRDefault="00A14C1E" w:rsidP="00A721E2">
            <w:pPr>
              <w:pStyle w:val="Tabletextright"/>
              <w:spacing w:before="20" w:after="20"/>
            </w:pPr>
            <w:r w:rsidRPr="0067507D">
              <w:t>2</w:t>
            </w:r>
          </w:p>
        </w:tc>
        <w:tc>
          <w:tcPr>
            <w:tcW w:w="1042" w:type="dxa"/>
          </w:tcPr>
          <w:p w14:paraId="3CC0EF93" w14:textId="1E7EB895" w:rsidR="0068068B" w:rsidRPr="0067507D" w:rsidRDefault="00A14C1E" w:rsidP="00A721E2">
            <w:pPr>
              <w:pStyle w:val="Tabletextright"/>
              <w:spacing w:before="20" w:after="20"/>
            </w:pPr>
            <w:r w:rsidRPr="0067507D">
              <w:t>2</w:t>
            </w:r>
          </w:p>
        </w:tc>
        <w:tc>
          <w:tcPr>
            <w:tcW w:w="992" w:type="dxa"/>
          </w:tcPr>
          <w:p w14:paraId="50B3C087" w14:textId="0BD3454C" w:rsidR="0068068B" w:rsidRPr="0067507D" w:rsidRDefault="000A55B5" w:rsidP="00A721E2">
            <w:pPr>
              <w:pStyle w:val="Tabletextright"/>
              <w:spacing w:before="20" w:after="20"/>
            </w:pPr>
            <w:r w:rsidRPr="0067507D">
              <w:t>–</w:t>
            </w:r>
          </w:p>
        </w:tc>
        <w:tc>
          <w:tcPr>
            <w:tcW w:w="702" w:type="dxa"/>
          </w:tcPr>
          <w:p w14:paraId="1AEDEAFD" w14:textId="59F52F25" w:rsidR="0068068B" w:rsidRPr="0067507D" w:rsidRDefault="00A14C1E" w:rsidP="00A721E2">
            <w:pPr>
              <w:pStyle w:val="Tabletextright"/>
              <w:spacing w:before="20" w:after="20"/>
            </w:pPr>
            <w:r w:rsidRPr="0067507D">
              <w:t>2</w:t>
            </w:r>
          </w:p>
        </w:tc>
        <w:tc>
          <w:tcPr>
            <w:tcW w:w="999" w:type="dxa"/>
            <w:shd w:val="clear" w:color="auto" w:fill="E0E0E0"/>
          </w:tcPr>
          <w:p w14:paraId="345CADA0" w14:textId="4285B741" w:rsidR="0068068B" w:rsidRPr="0067507D" w:rsidRDefault="000A55B5" w:rsidP="00A721E2">
            <w:pPr>
              <w:pStyle w:val="Tabletextright"/>
              <w:spacing w:before="20" w:after="20"/>
            </w:pPr>
            <w:r w:rsidRPr="0067507D">
              <w:t>–</w:t>
            </w:r>
          </w:p>
        </w:tc>
        <w:tc>
          <w:tcPr>
            <w:tcW w:w="729" w:type="dxa"/>
            <w:shd w:val="clear" w:color="auto" w:fill="E0E0E0"/>
          </w:tcPr>
          <w:p w14:paraId="627D9210" w14:textId="46849874" w:rsidR="0068068B" w:rsidRPr="0067507D" w:rsidRDefault="000A55B5" w:rsidP="00A721E2">
            <w:pPr>
              <w:pStyle w:val="Tabletextright"/>
              <w:spacing w:before="20" w:after="20"/>
            </w:pPr>
            <w:r w:rsidRPr="0067507D">
              <w:t>–</w:t>
            </w:r>
          </w:p>
        </w:tc>
        <w:tc>
          <w:tcPr>
            <w:tcW w:w="1055" w:type="dxa"/>
            <w:noWrap/>
          </w:tcPr>
          <w:p w14:paraId="06595FD6" w14:textId="524D1323" w:rsidR="0068068B" w:rsidRPr="0067507D" w:rsidRDefault="00CE3AAF" w:rsidP="00A721E2">
            <w:pPr>
              <w:pStyle w:val="Tabletextright"/>
              <w:spacing w:before="20" w:after="20"/>
            </w:pPr>
            <w:r w:rsidRPr="0067507D">
              <w:t>3</w:t>
            </w:r>
          </w:p>
        </w:tc>
        <w:tc>
          <w:tcPr>
            <w:tcW w:w="673" w:type="dxa"/>
          </w:tcPr>
          <w:p w14:paraId="2DBE3710" w14:textId="71E415E1" w:rsidR="0068068B" w:rsidRPr="0067507D" w:rsidRDefault="00CE3AAF" w:rsidP="00A721E2">
            <w:pPr>
              <w:pStyle w:val="Tabletextright"/>
              <w:spacing w:before="20" w:after="20"/>
            </w:pPr>
            <w:r w:rsidRPr="0067507D">
              <w:t>3</w:t>
            </w:r>
          </w:p>
        </w:tc>
        <w:tc>
          <w:tcPr>
            <w:tcW w:w="1087" w:type="dxa"/>
            <w:shd w:val="clear" w:color="auto" w:fill="E0E0E0"/>
            <w:noWrap/>
          </w:tcPr>
          <w:p w14:paraId="75531BA1" w14:textId="562855B8" w:rsidR="0068068B" w:rsidRPr="0067507D" w:rsidRDefault="00CE3AAF" w:rsidP="00A721E2">
            <w:pPr>
              <w:pStyle w:val="Tabletextright"/>
              <w:spacing w:before="20" w:after="20"/>
            </w:pPr>
            <w:r w:rsidRPr="0067507D">
              <w:t>2</w:t>
            </w:r>
          </w:p>
        </w:tc>
        <w:tc>
          <w:tcPr>
            <w:tcW w:w="992" w:type="dxa"/>
            <w:shd w:val="clear" w:color="auto" w:fill="E0E0E0"/>
          </w:tcPr>
          <w:p w14:paraId="1057DFE2" w14:textId="646D4CC8" w:rsidR="0068068B" w:rsidRPr="0067507D" w:rsidRDefault="00CE3AAF" w:rsidP="00A721E2">
            <w:pPr>
              <w:pStyle w:val="Tabletextright"/>
              <w:spacing w:before="20" w:after="20"/>
            </w:pPr>
            <w:r w:rsidRPr="0067507D">
              <w:t>–</w:t>
            </w:r>
          </w:p>
        </w:tc>
        <w:tc>
          <w:tcPr>
            <w:tcW w:w="657" w:type="dxa"/>
            <w:shd w:val="clear" w:color="auto" w:fill="E0E0E0"/>
          </w:tcPr>
          <w:p w14:paraId="1634A643" w14:textId="502785CC" w:rsidR="0068068B" w:rsidRPr="0067507D" w:rsidRDefault="00CE3AAF" w:rsidP="00A721E2">
            <w:pPr>
              <w:pStyle w:val="Tabletextright"/>
              <w:spacing w:before="20" w:after="20"/>
            </w:pPr>
            <w:r w:rsidRPr="0067507D">
              <w:t>2</w:t>
            </w:r>
          </w:p>
        </w:tc>
        <w:tc>
          <w:tcPr>
            <w:tcW w:w="1044" w:type="dxa"/>
          </w:tcPr>
          <w:p w14:paraId="7CDB24EA" w14:textId="1744C797" w:rsidR="0068068B" w:rsidRPr="0067507D" w:rsidRDefault="00CE3AAF" w:rsidP="00A721E2">
            <w:pPr>
              <w:pStyle w:val="Tabletextright"/>
              <w:spacing w:before="20" w:after="20"/>
            </w:pPr>
            <w:r w:rsidRPr="0067507D">
              <w:t>1</w:t>
            </w:r>
          </w:p>
        </w:tc>
        <w:tc>
          <w:tcPr>
            <w:tcW w:w="684" w:type="dxa"/>
          </w:tcPr>
          <w:p w14:paraId="7E241745" w14:textId="44A9B596" w:rsidR="0068068B" w:rsidRPr="0067507D" w:rsidRDefault="00CE3AAF" w:rsidP="00A721E2">
            <w:pPr>
              <w:pStyle w:val="Tabletextright"/>
              <w:spacing w:before="20" w:after="20"/>
            </w:pPr>
            <w:r w:rsidRPr="0067507D">
              <w:t>1</w:t>
            </w:r>
          </w:p>
        </w:tc>
      </w:tr>
      <w:tr w:rsidR="0068068B" w:rsidRPr="0067507D" w14:paraId="22F48AAD" w14:textId="77777777" w:rsidTr="00A721E2">
        <w:trPr>
          <w:cantSplit/>
        </w:trPr>
        <w:tc>
          <w:tcPr>
            <w:tcW w:w="1530" w:type="dxa"/>
          </w:tcPr>
          <w:p w14:paraId="41D2928E" w14:textId="77777777" w:rsidR="0068068B" w:rsidRPr="0067507D" w:rsidRDefault="0068068B" w:rsidP="00A721E2">
            <w:pPr>
              <w:pStyle w:val="Tabletext"/>
              <w:spacing w:before="0" w:after="0"/>
              <w:rPr>
                <w:sz w:val="6"/>
              </w:rPr>
            </w:pPr>
          </w:p>
        </w:tc>
        <w:tc>
          <w:tcPr>
            <w:tcW w:w="1022" w:type="dxa"/>
            <w:shd w:val="clear" w:color="auto" w:fill="E0E0E0"/>
          </w:tcPr>
          <w:p w14:paraId="464D29B4" w14:textId="77777777" w:rsidR="0068068B" w:rsidRPr="0067507D" w:rsidRDefault="0068068B" w:rsidP="00A721E2">
            <w:pPr>
              <w:pStyle w:val="Tabletextright"/>
              <w:spacing w:before="0" w:after="0"/>
              <w:rPr>
                <w:rFonts w:cstheme="minorHAnsi"/>
                <w:sz w:val="6"/>
              </w:rPr>
            </w:pPr>
          </w:p>
        </w:tc>
        <w:tc>
          <w:tcPr>
            <w:tcW w:w="659" w:type="dxa"/>
            <w:shd w:val="clear" w:color="auto" w:fill="E0E0E0"/>
          </w:tcPr>
          <w:p w14:paraId="1945A93F" w14:textId="77777777" w:rsidR="0068068B" w:rsidRPr="0067507D" w:rsidRDefault="0068068B" w:rsidP="00A721E2">
            <w:pPr>
              <w:pStyle w:val="Tabletextright"/>
              <w:spacing w:before="0" w:after="0"/>
              <w:rPr>
                <w:rFonts w:cstheme="minorHAnsi"/>
                <w:sz w:val="6"/>
              </w:rPr>
            </w:pPr>
          </w:p>
        </w:tc>
        <w:tc>
          <w:tcPr>
            <w:tcW w:w="1042" w:type="dxa"/>
          </w:tcPr>
          <w:p w14:paraId="207A9AF9" w14:textId="77777777" w:rsidR="0068068B" w:rsidRPr="0067507D" w:rsidRDefault="0068068B" w:rsidP="00A721E2">
            <w:pPr>
              <w:pStyle w:val="Tabletextright"/>
              <w:spacing w:before="0" w:after="0"/>
              <w:rPr>
                <w:rFonts w:cstheme="minorHAnsi"/>
                <w:sz w:val="6"/>
              </w:rPr>
            </w:pPr>
          </w:p>
        </w:tc>
        <w:tc>
          <w:tcPr>
            <w:tcW w:w="992" w:type="dxa"/>
          </w:tcPr>
          <w:p w14:paraId="1A980811" w14:textId="77777777" w:rsidR="0068068B" w:rsidRPr="0067507D" w:rsidRDefault="0068068B" w:rsidP="00A721E2">
            <w:pPr>
              <w:pStyle w:val="Tabletextright"/>
              <w:spacing w:before="0" w:after="0"/>
              <w:rPr>
                <w:sz w:val="6"/>
              </w:rPr>
            </w:pPr>
          </w:p>
        </w:tc>
        <w:tc>
          <w:tcPr>
            <w:tcW w:w="702" w:type="dxa"/>
          </w:tcPr>
          <w:p w14:paraId="557A4433" w14:textId="77777777" w:rsidR="0068068B" w:rsidRPr="0067507D" w:rsidRDefault="0068068B" w:rsidP="00A721E2">
            <w:pPr>
              <w:pStyle w:val="Tabletextright"/>
              <w:spacing w:before="0" w:after="0"/>
              <w:rPr>
                <w:sz w:val="6"/>
              </w:rPr>
            </w:pPr>
          </w:p>
        </w:tc>
        <w:tc>
          <w:tcPr>
            <w:tcW w:w="999" w:type="dxa"/>
            <w:shd w:val="clear" w:color="auto" w:fill="E0E0E0"/>
          </w:tcPr>
          <w:p w14:paraId="4E973211" w14:textId="77777777" w:rsidR="0068068B" w:rsidRPr="0067507D" w:rsidRDefault="0068068B" w:rsidP="00A721E2">
            <w:pPr>
              <w:pStyle w:val="Tabletextright"/>
              <w:spacing w:before="0" w:after="0"/>
              <w:rPr>
                <w:sz w:val="6"/>
              </w:rPr>
            </w:pPr>
          </w:p>
        </w:tc>
        <w:tc>
          <w:tcPr>
            <w:tcW w:w="729" w:type="dxa"/>
            <w:shd w:val="clear" w:color="auto" w:fill="E0E0E0"/>
          </w:tcPr>
          <w:p w14:paraId="19689257" w14:textId="77777777" w:rsidR="0068068B" w:rsidRPr="0067507D" w:rsidRDefault="0068068B" w:rsidP="00A721E2">
            <w:pPr>
              <w:pStyle w:val="Tabletextright"/>
              <w:spacing w:before="0" w:after="0"/>
              <w:rPr>
                <w:sz w:val="6"/>
              </w:rPr>
            </w:pPr>
          </w:p>
        </w:tc>
        <w:tc>
          <w:tcPr>
            <w:tcW w:w="1055" w:type="dxa"/>
            <w:noWrap/>
          </w:tcPr>
          <w:p w14:paraId="5BC2D71D" w14:textId="77777777" w:rsidR="0068068B" w:rsidRPr="0067507D" w:rsidRDefault="0068068B" w:rsidP="00A721E2">
            <w:pPr>
              <w:pStyle w:val="Tabletextright"/>
              <w:spacing w:before="0" w:after="0"/>
              <w:rPr>
                <w:rFonts w:cstheme="minorHAnsi"/>
                <w:sz w:val="6"/>
              </w:rPr>
            </w:pPr>
          </w:p>
        </w:tc>
        <w:tc>
          <w:tcPr>
            <w:tcW w:w="673" w:type="dxa"/>
          </w:tcPr>
          <w:p w14:paraId="5CC366A0" w14:textId="77777777" w:rsidR="0068068B" w:rsidRPr="0067507D" w:rsidRDefault="0068068B" w:rsidP="00A721E2">
            <w:pPr>
              <w:pStyle w:val="Tabletextright"/>
              <w:spacing w:before="0" w:after="0"/>
              <w:rPr>
                <w:rFonts w:cstheme="minorHAnsi"/>
                <w:sz w:val="6"/>
              </w:rPr>
            </w:pPr>
          </w:p>
        </w:tc>
        <w:tc>
          <w:tcPr>
            <w:tcW w:w="1087" w:type="dxa"/>
            <w:shd w:val="clear" w:color="auto" w:fill="E0E0E0"/>
            <w:noWrap/>
          </w:tcPr>
          <w:p w14:paraId="4F44E1F7" w14:textId="77777777" w:rsidR="0068068B" w:rsidRPr="0067507D" w:rsidRDefault="0068068B" w:rsidP="00A721E2">
            <w:pPr>
              <w:pStyle w:val="Tabletextright"/>
              <w:spacing w:before="0" w:after="0"/>
              <w:rPr>
                <w:rFonts w:cstheme="minorHAnsi"/>
                <w:sz w:val="6"/>
              </w:rPr>
            </w:pPr>
          </w:p>
        </w:tc>
        <w:tc>
          <w:tcPr>
            <w:tcW w:w="992" w:type="dxa"/>
            <w:shd w:val="clear" w:color="auto" w:fill="E0E0E0"/>
          </w:tcPr>
          <w:p w14:paraId="209D9268" w14:textId="77777777" w:rsidR="0068068B" w:rsidRPr="0067507D" w:rsidRDefault="0068068B" w:rsidP="00A721E2">
            <w:pPr>
              <w:pStyle w:val="Tabletextright"/>
              <w:spacing w:before="0" w:after="0"/>
              <w:rPr>
                <w:sz w:val="6"/>
              </w:rPr>
            </w:pPr>
          </w:p>
        </w:tc>
        <w:tc>
          <w:tcPr>
            <w:tcW w:w="657" w:type="dxa"/>
            <w:shd w:val="clear" w:color="auto" w:fill="E0E0E0"/>
          </w:tcPr>
          <w:p w14:paraId="580652CE" w14:textId="77777777" w:rsidR="0068068B" w:rsidRPr="0067507D" w:rsidRDefault="0068068B" w:rsidP="00A721E2">
            <w:pPr>
              <w:pStyle w:val="Tabletextright"/>
              <w:spacing w:before="0" w:after="0"/>
              <w:rPr>
                <w:sz w:val="6"/>
              </w:rPr>
            </w:pPr>
          </w:p>
        </w:tc>
        <w:tc>
          <w:tcPr>
            <w:tcW w:w="1044" w:type="dxa"/>
          </w:tcPr>
          <w:p w14:paraId="05A39D6E" w14:textId="77777777" w:rsidR="0068068B" w:rsidRPr="0067507D" w:rsidRDefault="0068068B" w:rsidP="00A721E2">
            <w:pPr>
              <w:pStyle w:val="Tabletextright"/>
              <w:spacing w:before="0" w:after="0"/>
              <w:rPr>
                <w:sz w:val="6"/>
              </w:rPr>
            </w:pPr>
          </w:p>
        </w:tc>
        <w:tc>
          <w:tcPr>
            <w:tcW w:w="684" w:type="dxa"/>
          </w:tcPr>
          <w:p w14:paraId="70DB2A59" w14:textId="77777777" w:rsidR="0068068B" w:rsidRPr="0067507D" w:rsidRDefault="0068068B" w:rsidP="00A721E2">
            <w:pPr>
              <w:pStyle w:val="Tabletextright"/>
              <w:spacing w:before="0" w:after="0"/>
              <w:rPr>
                <w:sz w:val="6"/>
              </w:rPr>
            </w:pPr>
          </w:p>
        </w:tc>
      </w:tr>
      <w:tr w:rsidR="0068068B" w:rsidRPr="0067507D" w14:paraId="74B37F6E" w14:textId="77777777" w:rsidTr="00A721E2">
        <w:trPr>
          <w:cantSplit/>
        </w:trPr>
        <w:tc>
          <w:tcPr>
            <w:tcW w:w="1530" w:type="dxa"/>
          </w:tcPr>
          <w:p w14:paraId="1A78C985" w14:textId="77777777" w:rsidR="0068068B" w:rsidRPr="0067507D" w:rsidRDefault="0068068B" w:rsidP="00A721E2">
            <w:pPr>
              <w:pStyle w:val="Tabletext"/>
              <w:spacing w:before="25" w:after="25"/>
              <w:rPr>
                <w:rFonts w:asciiTheme="majorHAnsi" w:hAnsiTheme="majorHAnsi" w:cstheme="minorHAnsi"/>
              </w:rPr>
            </w:pPr>
            <w:r w:rsidRPr="0067507D">
              <w:rPr>
                <w:rFonts w:asciiTheme="majorHAnsi" w:hAnsiTheme="majorHAnsi" w:cstheme="minorHAnsi"/>
              </w:rPr>
              <w:t xml:space="preserve">VPS1–6 Grades </w:t>
            </w:r>
          </w:p>
        </w:tc>
        <w:tc>
          <w:tcPr>
            <w:tcW w:w="1022" w:type="dxa"/>
            <w:shd w:val="clear" w:color="auto" w:fill="E0E0E0"/>
          </w:tcPr>
          <w:p w14:paraId="26D7AF69" w14:textId="20F114CD" w:rsidR="0068068B" w:rsidRPr="0067507D" w:rsidRDefault="00A14C1E" w:rsidP="00A721E2">
            <w:pPr>
              <w:pStyle w:val="Tabletextrightbold"/>
            </w:pPr>
            <w:r w:rsidRPr="0067507D">
              <w:t>39</w:t>
            </w:r>
          </w:p>
        </w:tc>
        <w:tc>
          <w:tcPr>
            <w:tcW w:w="659" w:type="dxa"/>
            <w:shd w:val="clear" w:color="auto" w:fill="E0E0E0"/>
          </w:tcPr>
          <w:p w14:paraId="3B711C8C" w14:textId="3483654F" w:rsidR="0068068B" w:rsidRPr="0067507D" w:rsidRDefault="00A14C1E" w:rsidP="00A721E2">
            <w:pPr>
              <w:pStyle w:val="Tabletextrightbold"/>
            </w:pPr>
            <w:r w:rsidRPr="0067507D">
              <w:t>39</w:t>
            </w:r>
          </w:p>
        </w:tc>
        <w:tc>
          <w:tcPr>
            <w:tcW w:w="1042" w:type="dxa"/>
          </w:tcPr>
          <w:p w14:paraId="7D60F2AF" w14:textId="317F64A3" w:rsidR="0068068B" w:rsidRPr="0067507D" w:rsidRDefault="00A14C1E" w:rsidP="00A721E2">
            <w:pPr>
              <w:pStyle w:val="Tabletextrightbold"/>
            </w:pPr>
            <w:r w:rsidRPr="0067507D">
              <w:t>34</w:t>
            </w:r>
          </w:p>
        </w:tc>
        <w:tc>
          <w:tcPr>
            <w:tcW w:w="992" w:type="dxa"/>
          </w:tcPr>
          <w:p w14:paraId="0B4B1CE3" w14:textId="1CEFAE19" w:rsidR="0068068B" w:rsidRPr="0067507D" w:rsidRDefault="000A55B5" w:rsidP="00A721E2">
            <w:pPr>
              <w:pStyle w:val="Tabletextrightbold"/>
            </w:pPr>
            <w:r w:rsidRPr="0067507D">
              <w:t>–</w:t>
            </w:r>
          </w:p>
        </w:tc>
        <w:tc>
          <w:tcPr>
            <w:tcW w:w="702" w:type="dxa"/>
          </w:tcPr>
          <w:p w14:paraId="5B9FE6F0" w14:textId="426FB769" w:rsidR="0068068B" w:rsidRPr="0067507D" w:rsidRDefault="00A14C1E" w:rsidP="00A721E2">
            <w:pPr>
              <w:pStyle w:val="Tabletextrightbold"/>
            </w:pPr>
            <w:r w:rsidRPr="0067507D">
              <w:t>34</w:t>
            </w:r>
          </w:p>
        </w:tc>
        <w:tc>
          <w:tcPr>
            <w:tcW w:w="999" w:type="dxa"/>
            <w:shd w:val="clear" w:color="auto" w:fill="E0E0E0"/>
          </w:tcPr>
          <w:p w14:paraId="206B610D" w14:textId="5FBDE2A1" w:rsidR="0068068B" w:rsidRPr="0067507D" w:rsidRDefault="00A14C1E" w:rsidP="00A721E2">
            <w:pPr>
              <w:pStyle w:val="Tabletextrightbold"/>
            </w:pPr>
            <w:r w:rsidRPr="0067507D">
              <w:t>5</w:t>
            </w:r>
          </w:p>
        </w:tc>
        <w:tc>
          <w:tcPr>
            <w:tcW w:w="729" w:type="dxa"/>
            <w:shd w:val="clear" w:color="auto" w:fill="E0E0E0"/>
          </w:tcPr>
          <w:p w14:paraId="5276FDB9" w14:textId="7368B493" w:rsidR="0068068B" w:rsidRPr="0067507D" w:rsidRDefault="00A14C1E" w:rsidP="00A721E2">
            <w:pPr>
              <w:pStyle w:val="Tabletextrightbold"/>
            </w:pPr>
            <w:r w:rsidRPr="0067507D">
              <w:t>5</w:t>
            </w:r>
          </w:p>
        </w:tc>
        <w:tc>
          <w:tcPr>
            <w:tcW w:w="1055" w:type="dxa"/>
            <w:noWrap/>
          </w:tcPr>
          <w:p w14:paraId="39F07F6B" w14:textId="351C225B" w:rsidR="0068068B" w:rsidRPr="0067507D" w:rsidRDefault="00CE3AAF" w:rsidP="00A721E2">
            <w:pPr>
              <w:pStyle w:val="Tabletextrightbold"/>
            </w:pPr>
            <w:r w:rsidRPr="0067507D">
              <w:t>54</w:t>
            </w:r>
          </w:p>
        </w:tc>
        <w:tc>
          <w:tcPr>
            <w:tcW w:w="673" w:type="dxa"/>
          </w:tcPr>
          <w:p w14:paraId="5A550436" w14:textId="135ED507" w:rsidR="0068068B" w:rsidRPr="0067507D" w:rsidRDefault="00CE3AAF" w:rsidP="00A721E2">
            <w:pPr>
              <w:pStyle w:val="Tabletextrightbold"/>
              <w:spacing w:before="25" w:after="25"/>
            </w:pPr>
            <w:r w:rsidRPr="0067507D">
              <w:t>53</w:t>
            </w:r>
          </w:p>
        </w:tc>
        <w:tc>
          <w:tcPr>
            <w:tcW w:w="1087" w:type="dxa"/>
            <w:shd w:val="clear" w:color="auto" w:fill="E0E0E0"/>
            <w:noWrap/>
          </w:tcPr>
          <w:p w14:paraId="0A8F6B61" w14:textId="381F2A76" w:rsidR="0068068B" w:rsidRPr="0067507D" w:rsidRDefault="00CE3AAF" w:rsidP="00A721E2">
            <w:pPr>
              <w:pStyle w:val="Tabletextrightbold"/>
              <w:spacing w:before="25" w:after="25"/>
            </w:pPr>
            <w:r w:rsidRPr="0067507D">
              <w:t>44</w:t>
            </w:r>
          </w:p>
        </w:tc>
        <w:tc>
          <w:tcPr>
            <w:tcW w:w="992" w:type="dxa"/>
            <w:shd w:val="clear" w:color="auto" w:fill="E0E0E0"/>
          </w:tcPr>
          <w:p w14:paraId="3B1720F6" w14:textId="1EACBE32" w:rsidR="0068068B" w:rsidRPr="0067507D" w:rsidRDefault="00CE3AAF" w:rsidP="00A721E2">
            <w:pPr>
              <w:pStyle w:val="Tabletextrightbold"/>
              <w:spacing w:before="25" w:after="25"/>
            </w:pPr>
            <w:r w:rsidRPr="0067507D">
              <w:t>2</w:t>
            </w:r>
          </w:p>
        </w:tc>
        <w:tc>
          <w:tcPr>
            <w:tcW w:w="657" w:type="dxa"/>
            <w:shd w:val="clear" w:color="auto" w:fill="E0E0E0"/>
          </w:tcPr>
          <w:p w14:paraId="0158441B" w14:textId="64094905" w:rsidR="0068068B" w:rsidRPr="0067507D" w:rsidRDefault="00CE3AAF" w:rsidP="00A721E2">
            <w:pPr>
              <w:pStyle w:val="Tabletextrightbold"/>
              <w:spacing w:before="25" w:after="25"/>
            </w:pPr>
            <w:r w:rsidRPr="0067507D">
              <w:t>45</w:t>
            </w:r>
          </w:p>
        </w:tc>
        <w:tc>
          <w:tcPr>
            <w:tcW w:w="1044" w:type="dxa"/>
          </w:tcPr>
          <w:p w14:paraId="32395EE8" w14:textId="5343423F" w:rsidR="0068068B" w:rsidRPr="0067507D" w:rsidRDefault="00CE3AAF" w:rsidP="00A721E2">
            <w:pPr>
              <w:pStyle w:val="Tabletextrightbold"/>
              <w:spacing w:before="25" w:after="25"/>
            </w:pPr>
            <w:r w:rsidRPr="0067507D">
              <w:t>8</w:t>
            </w:r>
          </w:p>
        </w:tc>
        <w:tc>
          <w:tcPr>
            <w:tcW w:w="684" w:type="dxa"/>
          </w:tcPr>
          <w:p w14:paraId="5DFAAC5E" w14:textId="56514746" w:rsidR="0068068B" w:rsidRPr="0067507D" w:rsidRDefault="00CE3AAF" w:rsidP="00A721E2">
            <w:pPr>
              <w:pStyle w:val="Tabletextrightbold"/>
              <w:spacing w:before="25" w:after="25"/>
            </w:pPr>
            <w:r w:rsidRPr="0067507D">
              <w:t>8</w:t>
            </w:r>
          </w:p>
        </w:tc>
      </w:tr>
      <w:tr w:rsidR="00AE20A0" w:rsidRPr="0067507D" w14:paraId="261E3FA1" w14:textId="77777777" w:rsidTr="00A721E2">
        <w:trPr>
          <w:cantSplit/>
        </w:trPr>
        <w:tc>
          <w:tcPr>
            <w:tcW w:w="1530" w:type="dxa"/>
            <w:vAlign w:val="bottom"/>
          </w:tcPr>
          <w:p w14:paraId="252C8910" w14:textId="77777777" w:rsidR="0068068B" w:rsidRPr="0067507D" w:rsidRDefault="0068068B" w:rsidP="00A721E2">
            <w:pPr>
              <w:pStyle w:val="Tabletext"/>
              <w:spacing w:before="20" w:after="20"/>
            </w:pPr>
            <w:r w:rsidRPr="0067507D">
              <w:t>Grade 1</w:t>
            </w:r>
          </w:p>
        </w:tc>
        <w:tc>
          <w:tcPr>
            <w:tcW w:w="1022" w:type="dxa"/>
            <w:shd w:val="clear" w:color="auto" w:fill="E0E0E0"/>
          </w:tcPr>
          <w:p w14:paraId="3892E615" w14:textId="61CC63AB" w:rsidR="0068068B" w:rsidRPr="0067507D" w:rsidRDefault="000A55B5" w:rsidP="00A721E2">
            <w:pPr>
              <w:pStyle w:val="Tabletextright"/>
              <w:spacing w:before="20" w:after="20"/>
            </w:pPr>
            <w:r w:rsidRPr="0067507D">
              <w:t>–</w:t>
            </w:r>
          </w:p>
        </w:tc>
        <w:tc>
          <w:tcPr>
            <w:tcW w:w="659" w:type="dxa"/>
            <w:shd w:val="clear" w:color="auto" w:fill="E0E0E0"/>
          </w:tcPr>
          <w:p w14:paraId="7691811A" w14:textId="3A6A56C3" w:rsidR="0068068B" w:rsidRPr="0067507D" w:rsidRDefault="000A55B5" w:rsidP="00A721E2">
            <w:pPr>
              <w:pStyle w:val="Tabletextright"/>
              <w:spacing w:before="20" w:after="20"/>
            </w:pPr>
            <w:r w:rsidRPr="0067507D">
              <w:t>–</w:t>
            </w:r>
          </w:p>
        </w:tc>
        <w:tc>
          <w:tcPr>
            <w:tcW w:w="1042" w:type="dxa"/>
          </w:tcPr>
          <w:p w14:paraId="4712BB9B" w14:textId="41C36D20" w:rsidR="0068068B" w:rsidRPr="0067507D" w:rsidRDefault="000A55B5" w:rsidP="00A721E2">
            <w:pPr>
              <w:pStyle w:val="Tabletextright"/>
              <w:spacing w:before="20" w:after="20"/>
            </w:pPr>
            <w:r w:rsidRPr="0067507D">
              <w:t>–</w:t>
            </w:r>
          </w:p>
        </w:tc>
        <w:tc>
          <w:tcPr>
            <w:tcW w:w="992" w:type="dxa"/>
          </w:tcPr>
          <w:p w14:paraId="34B3F836" w14:textId="494E8B2A" w:rsidR="0068068B" w:rsidRPr="0067507D" w:rsidRDefault="000A55B5" w:rsidP="00A721E2">
            <w:pPr>
              <w:pStyle w:val="Tabletextright"/>
              <w:spacing w:before="20" w:after="20"/>
            </w:pPr>
            <w:r w:rsidRPr="0067507D">
              <w:t>–</w:t>
            </w:r>
          </w:p>
        </w:tc>
        <w:tc>
          <w:tcPr>
            <w:tcW w:w="702" w:type="dxa"/>
          </w:tcPr>
          <w:p w14:paraId="7745ED5B" w14:textId="098527F2" w:rsidR="0068068B" w:rsidRPr="0067507D" w:rsidRDefault="000A55B5" w:rsidP="00A721E2">
            <w:pPr>
              <w:pStyle w:val="Tabletextright"/>
              <w:spacing w:before="20" w:after="20"/>
            </w:pPr>
            <w:r w:rsidRPr="0067507D">
              <w:t>–</w:t>
            </w:r>
          </w:p>
        </w:tc>
        <w:tc>
          <w:tcPr>
            <w:tcW w:w="999" w:type="dxa"/>
            <w:shd w:val="clear" w:color="auto" w:fill="E0E0E0"/>
          </w:tcPr>
          <w:p w14:paraId="50AFAFAC" w14:textId="20594E57" w:rsidR="0068068B" w:rsidRPr="0067507D" w:rsidRDefault="000A55B5" w:rsidP="00A721E2">
            <w:pPr>
              <w:pStyle w:val="Tabletextright"/>
              <w:spacing w:before="20" w:after="20"/>
            </w:pPr>
            <w:r w:rsidRPr="0067507D">
              <w:t>–</w:t>
            </w:r>
          </w:p>
        </w:tc>
        <w:tc>
          <w:tcPr>
            <w:tcW w:w="729" w:type="dxa"/>
            <w:shd w:val="clear" w:color="auto" w:fill="E0E0E0"/>
          </w:tcPr>
          <w:p w14:paraId="7EF33DCF" w14:textId="4D9EAD9E" w:rsidR="0068068B" w:rsidRPr="0067507D" w:rsidRDefault="000A55B5" w:rsidP="00A721E2">
            <w:pPr>
              <w:pStyle w:val="Tabletextright"/>
              <w:spacing w:before="20" w:after="20"/>
            </w:pPr>
            <w:r w:rsidRPr="0067507D">
              <w:t>–</w:t>
            </w:r>
          </w:p>
        </w:tc>
        <w:tc>
          <w:tcPr>
            <w:tcW w:w="1055" w:type="dxa"/>
            <w:noWrap/>
          </w:tcPr>
          <w:p w14:paraId="549736B8" w14:textId="70248987" w:rsidR="0068068B" w:rsidRPr="0067507D" w:rsidRDefault="00CE3AAF" w:rsidP="00A721E2">
            <w:pPr>
              <w:pStyle w:val="Tabletextright"/>
              <w:spacing w:before="20" w:after="20"/>
            </w:pPr>
            <w:r w:rsidRPr="0067507D">
              <w:t>–</w:t>
            </w:r>
          </w:p>
        </w:tc>
        <w:tc>
          <w:tcPr>
            <w:tcW w:w="673" w:type="dxa"/>
          </w:tcPr>
          <w:p w14:paraId="481B08E2" w14:textId="44BCF3F5" w:rsidR="0068068B" w:rsidRPr="0067507D" w:rsidRDefault="00CE3AAF" w:rsidP="00A721E2">
            <w:pPr>
              <w:pStyle w:val="Tabletextright"/>
              <w:spacing w:before="20" w:after="20"/>
            </w:pPr>
            <w:r w:rsidRPr="0067507D">
              <w:t>–</w:t>
            </w:r>
          </w:p>
        </w:tc>
        <w:tc>
          <w:tcPr>
            <w:tcW w:w="1087" w:type="dxa"/>
            <w:shd w:val="clear" w:color="auto" w:fill="E0E0E0"/>
            <w:noWrap/>
          </w:tcPr>
          <w:p w14:paraId="5030B059" w14:textId="1FE7D7D8" w:rsidR="0068068B" w:rsidRPr="0067507D" w:rsidRDefault="00CE3AAF" w:rsidP="00A721E2">
            <w:pPr>
              <w:pStyle w:val="Tabletextright"/>
              <w:spacing w:before="20" w:after="20"/>
            </w:pPr>
            <w:r w:rsidRPr="0067507D">
              <w:t>–</w:t>
            </w:r>
          </w:p>
        </w:tc>
        <w:tc>
          <w:tcPr>
            <w:tcW w:w="992" w:type="dxa"/>
            <w:shd w:val="clear" w:color="auto" w:fill="E0E0E0"/>
          </w:tcPr>
          <w:p w14:paraId="76EA35E6" w14:textId="1C504B25" w:rsidR="0068068B" w:rsidRPr="0067507D" w:rsidRDefault="00CE3AAF" w:rsidP="00A721E2">
            <w:pPr>
              <w:pStyle w:val="Tabletextright"/>
              <w:spacing w:before="20" w:after="20"/>
            </w:pPr>
            <w:r w:rsidRPr="0067507D">
              <w:t>–</w:t>
            </w:r>
          </w:p>
        </w:tc>
        <w:tc>
          <w:tcPr>
            <w:tcW w:w="657" w:type="dxa"/>
            <w:shd w:val="clear" w:color="auto" w:fill="E0E0E0"/>
          </w:tcPr>
          <w:p w14:paraId="1222A428" w14:textId="4F5F7D78" w:rsidR="0068068B" w:rsidRPr="0067507D" w:rsidRDefault="00CE3AAF" w:rsidP="00A721E2">
            <w:pPr>
              <w:pStyle w:val="Tabletextright"/>
              <w:spacing w:before="20" w:after="20"/>
            </w:pPr>
            <w:r w:rsidRPr="0067507D">
              <w:t>–</w:t>
            </w:r>
          </w:p>
        </w:tc>
        <w:tc>
          <w:tcPr>
            <w:tcW w:w="1044" w:type="dxa"/>
          </w:tcPr>
          <w:p w14:paraId="56003FB6" w14:textId="1D5D32D2" w:rsidR="0068068B" w:rsidRPr="0067507D" w:rsidRDefault="00CE3AAF" w:rsidP="00A721E2">
            <w:pPr>
              <w:pStyle w:val="Tabletextright"/>
              <w:spacing w:before="20" w:after="20"/>
            </w:pPr>
            <w:r w:rsidRPr="0067507D">
              <w:t>–</w:t>
            </w:r>
          </w:p>
        </w:tc>
        <w:tc>
          <w:tcPr>
            <w:tcW w:w="684" w:type="dxa"/>
          </w:tcPr>
          <w:p w14:paraId="62991743" w14:textId="1B736E0B" w:rsidR="0068068B" w:rsidRPr="0067507D" w:rsidRDefault="00CE3AAF" w:rsidP="00A721E2">
            <w:pPr>
              <w:pStyle w:val="Tabletextright"/>
              <w:spacing w:before="20" w:after="20"/>
            </w:pPr>
            <w:r w:rsidRPr="0067507D">
              <w:t>–</w:t>
            </w:r>
          </w:p>
        </w:tc>
      </w:tr>
      <w:tr w:rsidR="00AE20A0" w:rsidRPr="0067507D" w14:paraId="40594168" w14:textId="77777777" w:rsidTr="00A721E2">
        <w:trPr>
          <w:cantSplit/>
        </w:trPr>
        <w:tc>
          <w:tcPr>
            <w:tcW w:w="1530" w:type="dxa"/>
            <w:vAlign w:val="bottom"/>
          </w:tcPr>
          <w:p w14:paraId="717BD89B" w14:textId="77777777" w:rsidR="0068068B" w:rsidRPr="0067507D" w:rsidRDefault="0068068B" w:rsidP="00A721E2">
            <w:pPr>
              <w:pStyle w:val="Tabletext"/>
              <w:spacing w:before="20" w:after="20"/>
            </w:pPr>
            <w:r w:rsidRPr="0067507D">
              <w:t>Grade 2</w:t>
            </w:r>
          </w:p>
        </w:tc>
        <w:tc>
          <w:tcPr>
            <w:tcW w:w="1022" w:type="dxa"/>
            <w:shd w:val="clear" w:color="auto" w:fill="E0E0E0"/>
          </w:tcPr>
          <w:p w14:paraId="37319956" w14:textId="0E746D2C" w:rsidR="0068068B" w:rsidRPr="0067507D" w:rsidRDefault="000A55B5" w:rsidP="00A721E2">
            <w:pPr>
              <w:pStyle w:val="Tabletextright"/>
              <w:spacing w:before="20" w:after="20"/>
            </w:pPr>
            <w:r w:rsidRPr="0067507D">
              <w:t>–</w:t>
            </w:r>
          </w:p>
        </w:tc>
        <w:tc>
          <w:tcPr>
            <w:tcW w:w="659" w:type="dxa"/>
            <w:shd w:val="clear" w:color="auto" w:fill="E0E0E0"/>
          </w:tcPr>
          <w:p w14:paraId="04D448CB" w14:textId="6DF1C260" w:rsidR="0068068B" w:rsidRPr="0067507D" w:rsidRDefault="000A55B5" w:rsidP="00A721E2">
            <w:pPr>
              <w:pStyle w:val="Tabletextright"/>
              <w:spacing w:before="20" w:after="20"/>
            </w:pPr>
            <w:r w:rsidRPr="0067507D">
              <w:t>–</w:t>
            </w:r>
          </w:p>
        </w:tc>
        <w:tc>
          <w:tcPr>
            <w:tcW w:w="1042" w:type="dxa"/>
          </w:tcPr>
          <w:p w14:paraId="5EF95156" w14:textId="0EC65C5D" w:rsidR="0068068B" w:rsidRPr="0067507D" w:rsidRDefault="000A55B5" w:rsidP="00A721E2">
            <w:pPr>
              <w:pStyle w:val="Tabletextright"/>
              <w:spacing w:before="20" w:after="20"/>
            </w:pPr>
            <w:r w:rsidRPr="0067507D">
              <w:t>–</w:t>
            </w:r>
          </w:p>
        </w:tc>
        <w:tc>
          <w:tcPr>
            <w:tcW w:w="992" w:type="dxa"/>
          </w:tcPr>
          <w:p w14:paraId="1DB235EC" w14:textId="1697DAEA" w:rsidR="0068068B" w:rsidRPr="0067507D" w:rsidRDefault="000A55B5" w:rsidP="00A721E2">
            <w:pPr>
              <w:pStyle w:val="Tabletextright"/>
              <w:spacing w:before="20" w:after="20"/>
            </w:pPr>
            <w:r w:rsidRPr="0067507D">
              <w:t>–</w:t>
            </w:r>
          </w:p>
        </w:tc>
        <w:tc>
          <w:tcPr>
            <w:tcW w:w="702" w:type="dxa"/>
          </w:tcPr>
          <w:p w14:paraId="58CB64DE" w14:textId="1105CD00" w:rsidR="0068068B" w:rsidRPr="0067507D" w:rsidRDefault="000A55B5" w:rsidP="00A721E2">
            <w:pPr>
              <w:pStyle w:val="Tabletextright"/>
              <w:spacing w:before="20" w:after="20"/>
            </w:pPr>
            <w:r w:rsidRPr="0067507D">
              <w:t>–</w:t>
            </w:r>
          </w:p>
        </w:tc>
        <w:tc>
          <w:tcPr>
            <w:tcW w:w="999" w:type="dxa"/>
            <w:shd w:val="clear" w:color="auto" w:fill="E0E0E0"/>
          </w:tcPr>
          <w:p w14:paraId="0DE97317" w14:textId="696BDF0B" w:rsidR="0068068B" w:rsidRPr="0067507D" w:rsidRDefault="000A55B5" w:rsidP="00A721E2">
            <w:pPr>
              <w:pStyle w:val="Tabletextright"/>
              <w:spacing w:before="20" w:after="20"/>
            </w:pPr>
            <w:r w:rsidRPr="0067507D">
              <w:t>–</w:t>
            </w:r>
          </w:p>
        </w:tc>
        <w:tc>
          <w:tcPr>
            <w:tcW w:w="729" w:type="dxa"/>
            <w:shd w:val="clear" w:color="auto" w:fill="E0E0E0"/>
          </w:tcPr>
          <w:p w14:paraId="4FF0F60C" w14:textId="638B7BCA" w:rsidR="0068068B" w:rsidRPr="0067507D" w:rsidRDefault="000A55B5" w:rsidP="00A721E2">
            <w:pPr>
              <w:pStyle w:val="Tabletextright"/>
              <w:spacing w:before="20" w:after="20"/>
            </w:pPr>
            <w:r w:rsidRPr="0067507D">
              <w:t>–</w:t>
            </w:r>
          </w:p>
        </w:tc>
        <w:tc>
          <w:tcPr>
            <w:tcW w:w="1055" w:type="dxa"/>
            <w:noWrap/>
          </w:tcPr>
          <w:p w14:paraId="6A1C0924" w14:textId="64A7EB2F" w:rsidR="0068068B" w:rsidRPr="0067507D" w:rsidRDefault="00CE3AAF" w:rsidP="00A721E2">
            <w:pPr>
              <w:pStyle w:val="Tabletextright"/>
              <w:spacing w:before="20" w:after="20"/>
            </w:pPr>
            <w:r w:rsidRPr="0067507D">
              <w:t>–</w:t>
            </w:r>
          </w:p>
        </w:tc>
        <w:tc>
          <w:tcPr>
            <w:tcW w:w="673" w:type="dxa"/>
          </w:tcPr>
          <w:p w14:paraId="5097A1AA" w14:textId="18F65F7D" w:rsidR="0068068B" w:rsidRPr="0067507D" w:rsidRDefault="00CE3AAF" w:rsidP="00A721E2">
            <w:pPr>
              <w:pStyle w:val="Tabletextright"/>
              <w:spacing w:before="20" w:after="20"/>
            </w:pPr>
            <w:r w:rsidRPr="0067507D">
              <w:t>–</w:t>
            </w:r>
          </w:p>
        </w:tc>
        <w:tc>
          <w:tcPr>
            <w:tcW w:w="1087" w:type="dxa"/>
            <w:shd w:val="clear" w:color="auto" w:fill="E0E0E0"/>
            <w:noWrap/>
          </w:tcPr>
          <w:p w14:paraId="6421CCB3" w14:textId="3EBA0A17" w:rsidR="0068068B" w:rsidRPr="0067507D" w:rsidRDefault="00CE3AAF" w:rsidP="00A721E2">
            <w:pPr>
              <w:pStyle w:val="Tabletextright"/>
              <w:spacing w:before="20" w:after="20"/>
            </w:pPr>
            <w:r w:rsidRPr="0067507D">
              <w:t>–</w:t>
            </w:r>
          </w:p>
        </w:tc>
        <w:tc>
          <w:tcPr>
            <w:tcW w:w="992" w:type="dxa"/>
            <w:shd w:val="clear" w:color="auto" w:fill="E0E0E0"/>
          </w:tcPr>
          <w:p w14:paraId="7FB6D5FA" w14:textId="0221D95E" w:rsidR="0068068B" w:rsidRPr="0067507D" w:rsidRDefault="00CE3AAF" w:rsidP="00A721E2">
            <w:pPr>
              <w:pStyle w:val="Tabletextright"/>
              <w:spacing w:before="20" w:after="20"/>
            </w:pPr>
            <w:r w:rsidRPr="0067507D">
              <w:t>–</w:t>
            </w:r>
          </w:p>
        </w:tc>
        <w:tc>
          <w:tcPr>
            <w:tcW w:w="657" w:type="dxa"/>
            <w:shd w:val="clear" w:color="auto" w:fill="E0E0E0"/>
          </w:tcPr>
          <w:p w14:paraId="243BC7B1" w14:textId="679CA9C9" w:rsidR="0068068B" w:rsidRPr="0067507D" w:rsidRDefault="00CE3AAF" w:rsidP="00A721E2">
            <w:pPr>
              <w:pStyle w:val="Tabletextright"/>
              <w:spacing w:before="20" w:after="20"/>
            </w:pPr>
            <w:r w:rsidRPr="0067507D">
              <w:t>–</w:t>
            </w:r>
          </w:p>
        </w:tc>
        <w:tc>
          <w:tcPr>
            <w:tcW w:w="1044" w:type="dxa"/>
          </w:tcPr>
          <w:p w14:paraId="24688C1F" w14:textId="002A7E89" w:rsidR="0068068B" w:rsidRPr="0067507D" w:rsidRDefault="00CE3AAF" w:rsidP="00A721E2">
            <w:pPr>
              <w:pStyle w:val="Tabletextright"/>
              <w:spacing w:before="20" w:after="20"/>
            </w:pPr>
            <w:r w:rsidRPr="0067507D">
              <w:t>–</w:t>
            </w:r>
          </w:p>
        </w:tc>
        <w:tc>
          <w:tcPr>
            <w:tcW w:w="684" w:type="dxa"/>
          </w:tcPr>
          <w:p w14:paraId="59D44B4A" w14:textId="7944F135" w:rsidR="0068068B" w:rsidRPr="0067507D" w:rsidRDefault="00CE3AAF" w:rsidP="00A721E2">
            <w:pPr>
              <w:pStyle w:val="Tabletextright"/>
              <w:spacing w:before="20" w:after="20"/>
            </w:pPr>
            <w:r w:rsidRPr="0067507D">
              <w:t>–</w:t>
            </w:r>
          </w:p>
        </w:tc>
      </w:tr>
      <w:tr w:rsidR="00AE20A0" w:rsidRPr="0067507D" w14:paraId="34923054" w14:textId="77777777" w:rsidTr="00A721E2">
        <w:trPr>
          <w:cantSplit/>
        </w:trPr>
        <w:tc>
          <w:tcPr>
            <w:tcW w:w="1530" w:type="dxa"/>
            <w:vAlign w:val="bottom"/>
          </w:tcPr>
          <w:p w14:paraId="3B2EFF5C" w14:textId="77777777" w:rsidR="0068068B" w:rsidRPr="0067507D" w:rsidRDefault="0068068B" w:rsidP="00A721E2">
            <w:pPr>
              <w:pStyle w:val="Tabletext"/>
              <w:spacing w:before="20" w:after="20"/>
            </w:pPr>
            <w:r w:rsidRPr="0067507D">
              <w:t>Grade 3</w:t>
            </w:r>
          </w:p>
        </w:tc>
        <w:tc>
          <w:tcPr>
            <w:tcW w:w="1022" w:type="dxa"/>
            <w:shd w:val="clear" w:color="auto" w:fill="E0E0E0"/>
          </w:tcPr>
          <w:p w14:paraId="15073854" w14:textId="6BD477EB" w:rsidR="0068068B" w:rsidRPr="0067507D" w:rsidRDefault="00A14C1E" w:rsidP="00A721E2">
            <w:pPr>
              <w:pStyle w:val="Tabletextright"/>
              <w:spacing w:before="20" w:after="20"/>
            </w:pPr>
            <w:r w:rsidRPr="0067507D">
              <w:t>10</w:t>
            </w:r>
          </w:p>
        </w:tc>
        <w:tc>
          <w:tcPr>
            <w:tcW w:w="659" w:type="dxa"/>
            <w:shd w:val="clear" w:color="auto" w:fill="E0E0E0"/>
          </w:tcPr>
          <w:p w14:paraId="5108A211" w14:textId="6FB74304" w:rsidR="0068068B" w:rsidRPr="0067507D" w:rsidRDefault="00A14C1E" w:rsidP="00A721E2">
            <w:pPr>
              <w:pStyle w:val="Tabletextright"/>
              <w:spacing w:before="20" w:after="20"/>
            </w:pPr>
            <w:r w:rsidRPr="0067507D">
              <w:t>10</w:t>
            </w:r>
          </w:p>
        </w:tc>
        <w:tc>
          <w:tcPr>
            <w:tcW w:w="1042" w:type="dxa"/>
          </w:tcPr>
          <w:p w14:paraId="533E3ED1" w14:textId="7166EE89" w:rsidR="0068068B" w:rsidRPr="0067507D" w:rsidRDefault="00A14C1E" w:rsidP="00A721E2">
            <w:pPr>
              <w:pStyle w:val="Tabletextright"/>
              <w:spacing w:before="20" w:after="20"/>
            </w:pPr>
            <w:r w:rsidRPr="0067507D">
              <w:t>8</w:t>
            </w:r>
          </w:p>
        </w:tc>
        <w:tc>
          <w:tcPr>
            <w:tcW w:w="992" w:type="dxa"/>
          </w:tcPr>
          <w:p w14:paraId="15FCAD32" w14:textId="48026E80" w:rsidR="0068068B" w:rsidRPr="0067507D" w:rsidRDefault="000A55B5" w:rsidP="00A721E2">
            <w:pPr>
              <w:pStyle w:val="Tabletextright"/>
              <w:spacing w:before="20" w:after="20"/>
            </w:pPr>
            <w:r w:rsidRPr="0067507D">
              <w:t>–</w:t>
            </w:r>
          </w:p>
        </w:tc>
        <w:tc>
          <w:tcPr>
            <w:tcW w:w="702" w:type="dxa"/>
          </w:tcPr>
          <w:p w14:paraId="198D25C4" w14:textId="5BAC7413" w:rsidR="0068068B" w:rsidRPr="0067507D" w:rsidRDefault="00A14C1E" w:rsidP="00A721E2">
            <w:pPr>
              <w:pStyle w:val="Tabletextright"/>
              <w:spacing w:before="20" w:after="20"/>
            </w:pPr>
            <w:r w:rsidRPr="0067507D">
              <w:t>8</w:t>
            </w:r>
          </w:p>
        </w:tc>
        <w:tc>
          <w:tcPr>
            <w:tcW w:w="999" w:type="dxa"/>
            <w:shd w:val="clear" w:color="auto" w:fill="E0E0E0"/>
          </w:tcPr>
          <w:p w14:paraId="56EE986F" w14:textId="1B823223" w:rsidR="0068068B" w:rsidRPr="0067507D" w:rsidRDefault="00A14C1E" w:rsidP="00A721E2">
            <w:pPr>
              <w:pStyle w:val="Tabletextright"/>
              <w:spacing w:before="20" w:after="20"/>
            </w:pPr>
            <w:r w:rsidRPr="0067507D">
              <w:t>2</w:t>
            </w:r>
          </w:p>
        </w:tc>
        <w:tc>
          <w:tcPr>
            <w:tcW w:w="729" w:type="dxa"/>
            <w:shd w:val="clear" w:color="auto" w:fill="E0E0E0"/>
          </w:tcPr>
          <w:p w14:paraId="1A5AB810" w14:textId="256E1584" w:rsidR="0068068B" w:rsidRPr="0067507D" w:rsidRDefault="00A14C1E" w:rsidP="00A721E2">
            <w:pPr>
              <w:pStyle w:val="Tabletextright"/>
              <w:spacing w:before="20" w:after="20"/>
            </w:pPr>
            <w:r w:rsidRPr="0067507D">
              <w:t>2</w:t>
            </w:r>
          </w:p>
        </w:tc>
        <w:tc>
          <w:tcPr>
            <w:tcW w:w="1055" w:type="dxa"/>
            <w:noWrap/>
          </w:tcPr>
          <w:p w14:paraId="2553FA35" w14:textId="7A8E68B3" w:rsidR="0068068B" w:rsidRPr="0067507D" w:rsidRDefault="00CE3AAF" w:rsidP="00A721E2">
            <w:pPr>
              <w:pStyle w:val="Tabletextright"/>
              <w:spacing w:before="20" w:after="20"/>
            </w:pPr>
            <w:r w:rsidRPr="0067507D">
              <w:t>12</w:t>
            </w:r>
          </w:p>
        </w:tc>
        <w:tc>
          <w:tcPr>
            <w:tcW w:w="673" w:type="dxa"/>
          </w:tcPr>
          <w:p w14:paraId="21B2862B" w14:textId="4453A1C0" w:rsidR="0068068B" w:rsidRPr="0067507D" w:rsidRDefault="00CE3AAF" w:rsidP="00A721E2">
            <w:pPr>
              <w:pStyle w:val="Tabletextright"/>
              <w:spacing w:before="20" w:after="20"/>
            </w:pPr>
            <w:r w:rsidRPr="0067507D">
              <w:t>12</w:t>
            </w:r>
          </w:p>
        </w:tc>
        <w:tc>
          <w:tcPr>
            <w:tcW w:w="1087" w:type="dxa"/>
            <w:shd w:val="clear" w:color="auto" w:fill="E0E0E0"/>
            <w:noWrap/>
          </w:tcPr>
          <w:p w14:paraId="58D1DAF7" w14:textId="57710D01" w:rsidR="0068068B" w:rsidRPr="0067507D" w:rsidRDefault="00CE3AAF" w:rsidP="00A721E2">
            <w:pPr>
              <w:pStyle w:val="Tabletextright"/>
              <w:spacing w:before="20" w:after="20"/>
            </w:pPr>
            <w:r w:rsidRPr="0067507D">
              <w:t>9</w:t>
            </w:r>
          </w:p>
        </w:tc>
        <w:tc>
          <w:tcPr>
            <w:tcW w:w="992" w:type="dxa"/>
            <w:shd w:val="clear" w:color="auto" w:fill="E0E0E0"/>
          </w:tcPr>
          <w:p w14:paraId="05CA0A2E" w14:textId="270CB96E" w:rsidR="0068068B" w:rsidRPr="0067507D" w:rsidRDefault="00CE3AAF" w:rsidP="00A721E2">
            <w:pPr>
              <w:pStyle w:val="Tabletextright"/>
              <w:spacing w:before="20" w:after="20"/>
            </w:pPr>
            <w:r w:rsidRPr="0067507D">
              <w:t>–</w:t>
            </w:r>
          </w:p>
        </w:tc>
        <w:tc>
          <w:tcPr>
            <w:tcW w:w="657" w:type="dxa"/>
            <w:shd w:val="clear" w:color="auto" w:fill="E0E0E0"/>
          </w:tcPr>
          <w:p w14:paraId="32F52F06" w14:textId="2E32712D" w:rsidR="0068068B" w:rsidRPr="0067507D" w:rsidRDefault="00CE3AAF" w:rsidP="00A721E2">
            <w:pPr>
              <w:pStyle w:val="Tabletextright"/>
              <w:spacing w:before="20" w:after="20"/>
            </w:pPr>
            <w:r w:rsidRPr="0067507D">
              <w:t>9</w:t>
            </w:r>
          </w:p>
        </w:tc>
        <w:tc>
          <w:tcPr>
            <w:tcW w:w="1044" w:type="dxa"/>
          </w:tcPr>
          <w:p w14:paraId="0319C862" w14:textId="602C985F" w:rsidR="0068068B" w:rsidRPr="0067507D" w:rsidRDefault="00CE3AAF" w:rsidP="00A721E2">
            <w:pPr>
              <w:pStyle w:val="Tabletextright"/>
              <w:spacing w:before="20" w:after="20"/>
            </w:pPr>
            <w:r w:rsidRPr="0067507D">
              <w:t>3</w:t>
            </w:r>
          </w:p>
        </w:tc>
        <w:tc>
          <w:tcPr>
            <w:tcW w:w="684" w:type="dxa"/>
          </w:tcPr>
          <w:p w14:paraId="0F290ADB" w14:textId="29DE6A3A" w:rsidR="0068068B" w:rsidRPr="0067507D" w:rsidRDefault="00CE3AAF" w:rsidP="00A721E2">
            <w:pPr>
              <w:pStyle w:val="Tabletextright"/>
              <w:spacing w:before="20" w:after="20"/>
            </w:pPr>
            <w:r w:rsidRPr="0067507D">
              <w:t>3</w:t>
            </w:r>
          </w:p>
        </w:tc>
      </w:tr>
      <w:tr w:rsidR="00AE20A0" w:rsidRPr="0067507D" w14:paraId="1F1D7525" w14:textId="77777777" w:rsidTr="00A721E2">
        <w:trPr>
          <w:cantSplit/>
        </w:trPr>
        <w:tc>
          <w:tcPr>
            <w:tcW w:w="1530" w:type="dxa"/>
            <w:vAlign w:val="bottom"/>
          </w:tcPr>
          <w:p w14:paraId="6754DCE8" w14:textId="77777777" w:rsidR="0068068B" w:rsidRPr="0067507D" w:rsidRDefault="0068068B" w:rsidP="00A721E2">
            <w:pPr>
              <w:pStyle w:val="Tabletext"/>
              <w:spacing w:before="20" w:after="20"/>
            </w:pPr>
            <w:r w:rsidRPr="0067507D">
              <w:t>Grade 4</w:t>
            </w:r>
          </w:p>
        </w:tc>
        <w:tc>
          <w:tcPr>
            <w:tcW w:w="1022" w:type="dxa"/>
            <w:shd w:val="clear" w:color="auto" w:fill="E0E0E0"/>
          </w:tcPr>
          <w:p w14:paraId="3DAB9AAE" w14:textId="1CB0F2E9" w:rsidR="0068068B" w:rsidRPr="0067507D" w:rsidRDefault="00A14C1E" w:rsidP="00A721E2">
            <w:pPr>
              <w:pStyle w:val="Tabletextright"/>
              <w:spacing w:before="20" w:after="20"/>
            </w:pPr>
            <w:r w:rsidRPr="0067507D">
              <w:t>13</w:t>
            </w:r>
          </w:p>
        </w:tc>
        <w:tc>
          <w:tcPr>
            <w:tcW w:w="659" w:type="dxa"/>
            <w:shd w:val="clear" w:color="auto" w:fill="E0E0E0"/>
          </w:tcPr>
          <w:p w14:paraId="7B59DC59" w14:textId="46BA044B" w:rsidR="0068068B" w:rsidRPr="0067507D" w:rsidRDefault="00A14C1E" w:rsidP="00A721E2">
            <w:pPr>
              <w:pStyle w:val="Tabletextright"/>
              <w:spacing w:before="20" w:after="20"/>
            </w:pPr>
            <w:r w:rsidRPr="0067507D">
              <w:t>13</w:t>
            </w:r>
          </w:p>
        </w:tc>
        <w:tc>
          <w:tcPr>
            <w:tcW w:w="1042" w:type="dxa"/>
          </w:tcPr>
          <w:p w14:paraId="41674C0D" w14:textId="5E6CA5F9" w:rsidR="0068068B" w:rsidRPr="0067507D" w:rsidRDefault="00A14C1E" w:rsidP="00A721E2">
            <w:pPr>
              <w:pStyle w:val="Tabletextright"/>
              <w:spacing w:before="20" w:after="20"/>
            </w:pPr>
            <w:r w:rsidRPr="0067507D">
              <w:t>12</w:t>
            </w:r>
          </w:p>
        </w:tc>
        <w:tc>
          <w:tcPr>
            <w:tcW w:w="992" w:type="dxa"/>
          </w:tcPr>
          <w:p w14:paraId="32DD632B" w14:textId="1CB230CD" w:rsidR="0068068B" w:rsidRPr="0067507D" w:rsidRDefault="000A55B5" w:rsidP="00A721E2">
            <w:pPr>
              <w:pStyle w:val="Tabletextright"/>
              <w:spacing w:before="20" w:after="20"/>
            </w:pPr>
            <w:r w:rsidRPr="0067507D">
              <w:t>–</w:t>
            </w:r>
          </w:p>
        </w:tc>
        <w:tc>
          <w:tcPr>
            <w:tcW w:w="702" w:type="dxa"/>
          </w:tcPr>
          <w:p w14:paraId="7232374B" w14:textId="48FDBDBF" w:rsidR="0068068B" w:rsidRPr="0067507D" w:rsidRDefault="00A14C1E" w:rsidP="00A721E2">
            <w:pPr>
              <w:pStyle w:val="Tabletextright"/>
              <w:spacing w:before="20" w:after="20"/>
            </w:pPr>
            <w:r w:rsidRPr="0067507D">
              <w:t>12</w:t>
            </w:r>
          </w:p>
        </w:tc>
        <w:tc>
          <w:tcPr>
            <w:tcW w:w="999" w:type="dxa"/>
            <w:shd w:val="clear" w:color="auto" w:fill="E0E0E0"/>
          </w:tcPr>
          <w:p w14:paraId="0B802DD0" w14:textId="494ED7A7" w:rsidR="0068068B" w:rsidRPr="0067507D" w:rsidRDefault="00A14C1E" w:rsidP="00A721E2">
            <w:pPr>
              <w:pStyle w:val="Tabletextright"/>
              <w:spacing w:before="20" w:after="20"/>
            </w:pPr>
            <w:r w:rsidRPr="0067507D">
              <w:t>1</w:t>
            </w:r>
          </w:p>
        </w:tc>
        <w:tc>
          <w:tcPr>
            <w:tcW w:w="729" w:type="dxa"/>
            <w:shd w:val="clear" w:color="auto" w:fill="E0E0E0"/>
          </w:tcPr>
          <w:p w14:paraId="4F6A37E3" w14:textId="43EF99F5" w:rsidR="0068068B" w:rsidRPr="0067507D" w:rsidRDefault="00A14C1E" w:rsidP="00A721E2">
            <w:pPr>
              <w:pStyle w:val="Tabletextright"/>
              <w:spacing w:before="20" w:after="20"/>
            </w:pPr>
            <w:r w:rsidRPr="0067507D">
              <w:t>1</w:t>
            </w:r>
          </w:p>
        </w:tc>
        <w:tc>
          <w:tcPr>
            <w:tcW w:w="1055" w:type="dxa"/>
            <w:noWrap/>
          </w:tcPr>
          <w:p w14:paraId="38EEE990" w14:textId="628A3805" w:rsidR="0068068B" w:rsidRPr="0067507D" w:rsidRDefault="00CE3AAF" w:rsidP="00A721E2">
            <w:pPr>
              <w:pStyle w:val="Tabletextright"/>
              <w:spacing w:before="20" w:after="20"/>
            </w:pPr>
            <w:r w:rsidRPr="0067507D">
              <w:t>21</w:t>
            </w:r>
          </w:p>
        </w:tc>
        <w:tc>
          <w:tcPr>
            <w:tcW w:w="673" w:type="dxa"/>
          </w:tcPr>
          <w:p w14:paraId="40831AF2" w14:textId="6B93FED7" w:rsidR="0068068B" w:rsidRPr="0067507D" w:rsidRDefault="00CE3AAF" w:rsidP="00A721E2">
            <w:pPr>
              <w:pStyle w:val="Tabletextright"/>
              <w:spacing w:before="20" w:after="20"/>
            </w:pPr>
            <w:r w:rsidRPr="0067507D">
              <w:t>20</w:t>
            </w:r>
          </w:p>
        </w:tc>
        <w:tc>
          <w:tcPr>
            <w:tcW w:w="1087" w:type="dxa"/>
            <w:shd w:val="clear" w:color="auto" w:fill="E0E0E0"/>
            <w:noWrap/>
          </w:tcPr>
          <w:p w14:paraId="00AD8365" w14:textId="27A474F2" w:rsidR="0068068B" w:rsidRPr="0067507D" w:rsidRDefault="00CE3AAF" w:rsidP="00A721E2">
            <w:pPr>
              <w:pStyle w:val="Tabletextright"/>
              <w:spacing w:before="20" w:after="20"/>
            </w:pPr>
            <w:r w:rsidRPr="0067507D">
              <w:t>16</w:t>
            </w:r>
          </w:p>
        </w:tc>
        <w:tc>
          <w:tcPr>
            <w:tcW w:w="992" w:type="dxa"/>
            <w:shd w:val="clear" w:color="auto" w:fill="E0E0E0"/>
          </w:tcPr>
          <w:p w14:paraId="1B966620" w14:textId="6B271EAF" w:rsidR="0068068B" w:rsidRPr="0067507D" w:rsidRDefault="00CE3AAF" w:rsidP="00A721E2">
            <w:pPr>
              <w:pStyle w:val="Tabletextright"/>
              <w:spacing w:before="20" w:after="20"/>
            </w:pPr>
            <w:r w:rsidRPr="0067507D">
              <w:t>2</w:t>
            </w:r>
          </w:p>
        </w:tc>
        <w:tc>
          <w:tcPr>
            <w:tcW w:w="657" w:type="dxa"/>
            <w:shd w:val="clear" w:color="auto" w:fill="E0E0E0"/>
          </w:tcPr>
          <w:p w14:paraId="73D8A873" w14:textId="56D1174F" w:rsidR="0068068B" w:rsidRPr="0067507D" w:rsidRDefault="00CE3AAF" w:rsidP="00A721E2">
            <w:pPr>
              <w:pStyle w:val="Tabletextright"/>
              <w:spacing w:before="20" w:after="20"/>
            </w:pPr>
            <w:r w:rsidRPr="0067507D">
              <w:t>17</w:t>
            </w:r>
          </w:p>
        </w:tc>
        <w:tc>
          <w:tcPr>
            <w:tcW w:w="1044" w:type="dxa"/>
          </w:tcPr>
          <w:p w14:paraId="59C32C6A" w14:textId="2E7815BB" w:rsidR="0068068B" w:rsidRPr="0067507D" w:rsidRDefault="00CE3AAF" w:rsidP="00A721E2">
            <w:pPr>
              <w:pStyle w:val="Tabletextright"/>
              <w:spacing w:before="20" w:after="20"/>
            </w:pPr>
            <w:r w:rsidRPr="0067507D">
              <w:t>3</w:t>
            </w:r>
          </w:p>
        </w:tc>
        <w:tc>
          <w:tcPr>
            <w:tcW w:w="684" w:type="dxa"/>
          </w:tcPr>
          <w:p w14:paraId="2F8BBEA4" w14:textId="4FE66D37" w:rsidR="0068068B" w:rsidRPr="0067507D" w:rsidRDefault="00CE3AAF" w:rsidP="00A721E2">
            <w:pPr>
              <w:pStyle w:val="Tabletextright"/>
              <w:spacing w:before="20" w:after="20"/>
            </w:pPr>
            <w:r w:rsidRPr="0067507D">
              <w:t>3</w:t>
            </w:r>
          </w:p>
        </w:tc>
      </w:tr>
      <w:tr w:rsidR="00AE20A0" w:rsidRPr="0067507D" w14:paraId="34D6ED71" w14:textId="77777777" w:rsidTr="00A721E2">
        <w:trPr>
          <w:cantSplit/>
        </w:trPr>
        <w:tc>
          <w:tcPr>
            <w:tcW w:w="1530" w:type="dxa"/>
            <w:vAlign w:val="bottom"/>
          </w:tcPr>
          <w:p w14:paraId="4823BE91" w14:textId="77777777" w:rsidR="0068068B" w:rsidRPr="0067507D" w:rsidRDefault="0068068B" w:rsidP="00A721E2">
            <w:pPr>
              <w:pStyle w:val="Tabletext"/>
              <w:spacing w:before="20" w:after="20"/>
            </w:pPr>
            <w:r w:rsidRPr="0067507D">
              <w:t>Grade 5</w:t>
            </w:r>
          </w:p>
        </w:tc>
        <w:tc>
          <w:tcPr>
            <w:tcW w:w="1022" w:type="dxa"/>
            <w:shd w:val="clear" w:color="auto" w:fill="E0E0E0"/>
          </w:tcPr>
          <w:p w14:paraId="1E52AE60" w14:textId="3BD0480D" w:rsidR="0068068B" w:rsidRPr="0067507D" w:rsidRDefault="00A14C1E" w:rsidP="00A721E2">
            <w:pPr>
              <w:pStyle w:val="Tabletextright"/>
              <w:spacing w:before="20" w:after="20"/>
            </w:pPr>
            <w:r w:rsidRPr="0067507D">
              <w:t>8</w:t>
            </w:r>
          </w:p>
        </w:tc>
        <w:tc>
          <w:tcPr>
            <w:tcW w:w="659" w:type="dxa"/>
            <w:shd w:val="clear" w:color="auto" w:fill="E0E0E0"/>
          </w:tcPr>
          <w:p w14:paraId="64F8495A" w14:textId="16558029" w:rsidR="0068068B" w:rsidRPr="0067507D" w:rsidRDefault="00A14C1E" w:rsidP="00A721E2">
            <w:pPr>
              <w:pStyle w:val="Tabletextright"/>
              <w:spacing w:before="20" w:after="20"/>
            </w:pPr>
            <w:r w:rsidRPr="0067507D">
              <w:t>8</w:t>
            </w:r>
          </w:p>
        </w:tc>
        <w:tc>
          <w:tcPr>
            <w:tcW w:w="1042" w:type="dxa"/>
          </w:tcPr>
          <w:p w14:paraId="2422EF8B" w14:textId="64A251D2" w:rsidR="0068068B" w:rsidRPr="0067507D" w:rsidRDefault="00A14C1E" w:rsidP="00A721E2">
            <w:pPr>
              <w:pStyle w:val="Tabletextright"/>
              <w:spacing w:before="20" w:after="20"/>
            </w:pPr>
            <w:r w:rsidRPr="0067507D">
              <w:t>6</w:t>
            </w:r>
          </w:p>
        </w:tc>
        <w:tc>
          <w:tcPr>
            <w:tcW w:w="992" w:type="dxa"/>
          </w:tcPr>
          <w:p w14:paraId="6B4C65E9" w14:textId="507E92F7" w:rsidR="0068068B" w:rsidRPr="0067507D" w:rsidRDefault="000A55B5" w:rsidP="00A721E2">
            <w:pPr>
              <w:pStyle w:val="Tabletextright"/>
              <w:spacing w:before="20" w:after="20"/>
            </w:pPr>
            <w:r w:rsidRPr="0067507D">
              <w:t>–</w:t>
            </w:r>
          </w:p>
        </w:tc>
        <w:tc>
          <w:tcPr>
            <w:tcW w:w="702" w:type="dxa"/>
          </w:tcPr>
          <w:p w14:paraId="6CEE813F" w14:textId="1603F31F" w:rsidR="0068068B" w:rsidRPr="0067507D" w:rsidRDefault="00A14C1E" w:rsidP="00A721E2">
            <w:pPr>
              <w:pStyle w:val="Tabletextright"/>
              <w:spacing w:before="20" w:after="20"/>
            </w:pPr>
            <w:r w:rsidRPr="0067507D">
              <w:t>6</w:t>
            </w:r>
          </w:p>
        </w:tc>
        <w:tc>
          <w:tcPr>
            <w:tcW w:w="999" w:type="dxa"/>
            <w:shd w:val="clear" w:color="auto" w:fill="E0E0E0"/>
          </w:tcPr>
          <w:p w14:paraId="14E1336B" w14:textId="076B0048" w:rsidR="0068068B" w:rsidRPr="0067507D" w:rsidRDefault="00A14C1E" w:rsidP="00A721E2">
            <w:pPr>
              <w:pStyle w:val="Tabletextright"/>
              <w:spacing w:before="20" w:after="20"/>
            </w:pPr>
            <w:r w:rsidRPr="0067507D">
              <w:t>2</w:t>
            </w:r>
          </w:p>
        </w:tc>
        <w:tc>
          <w:tcPr>
            <w:tcW w:w="729" w:type="dxa"/>
            <w:shd w:val="clear" w:color="auto" w:fill="E0E0E0"/>
          </w:tcPr>
          <w:p w14:paraId="1E7E4825" w14:textId="3EA39F87" w:rsidR="0068068B" w:rsidRPr="0067507D" w:rsidRDefault="00A14C1E" w:rsidP="00A721E2">
            <w:pPr>
              <w:pStyle w:val="Tabletextright"/>
              <w:spacing w:before="20" w:after="20"/>
            </w:pPr>
            <w:r w:rsidRPr="0067507D">
              <w:t>2</w:t>
            </w:r>
          </w:p>
        </w:tc>
        <w:tc>
          <w:tcPr>
            <w:tcW w:w="1055" w:type="dxa"/>
            <w:noWrap/>
          </w:tcPr>
          <w:p w14:paraId="6DA276B9" w14:textId="12C887CB" w:rsidR="0068068B" w:rsidRPr="0067507D" w:rsidRDefault="00CE3AAF" w:rsidP="00A721E2">
            <w:pPr>
              <w:pStyle w:val="Tabletextright"/>
              <w:spacing w:before="20" w:after="20"/>
            </w:pPr>
            <w:r w:rsidRPr="0067507D">
              <w:t>14</w:t>
            </w:r>
          </w:p>
        </w:tc>
        <w:tc>
          <w:tcPr>
            <w:tcW w:w="673" w:type="dxa"/>
          </w:tcPr>
          <w:p w14:paraId="0CB19BC2" w14:textId="320E2D25" w:rsidR="0068068B" w:rsidRPr="0067507D" w:rsidRDefault="00CE3AAF" w:rsidP="00A721E2">
            <w:pPr>
              <w:pStyle w:val="Tabletextright"/>
              <w:spacing w:before="20" w:after="20"/>
            </w:pPr>
            <w:r w:rsidRPr="0067507D">
              <w:t>14</w:t>
            </w:r>
          </w:p>
        </w:tc>
        <w:tc>
          <w:tcPr>
            <w:tcW w:w="1087" w:type="dxa"/>
            <w:shd w:val="clear" w:color="auto" w:fill="E0E0E0"/>
            <w:noWrap/>
          </w:tcPr>
          <w:p w14:paraId="14B12165" w14:textId="64E6B955" w:rsidR="0068068B" w:rsidRPr="0067507D" w:rsidRDefault="00CE3AAF" w:rsidP="00A721E2">
            <w:pPr>
              <w:pStyle w:val="Tabletextright"/>
              <w:spacing w:before="20" w:after="20"/>
            </w:pPr>
            <w:r w:rsidRPr="0067507D">
              <w:t>12</w:t>
            </w:r>
          </w:p>
        </w:tc>
        <w:tc>
          <w:tcPr>
            <w:tcW w:w="992" w:type="dxa"/>
            <w:shd w:val="clear" w:color="auto" w:fill="E0E0E0"/>
          </w:tcPr>
          <w:p w14:paraId="6A5AD0D8" w14:textId="0260EA5E" w:rsidR="0068068B" w:rsidRPr="0067507D" w:rsidRDefault="00CE3AAF" w:rsidP="00A721E2">
            <w:pPr>
              <w:pStyle w:val="Tabletextright"/>
              <w:spacing w:before="20" w:after="20"/>
            </w:pPr>
            <w:r w:rsidRPr="0067507D">
              <w:t>–</w:t>
            </w:r>
          </w:p>
        </w:tc>
        <w:tc>
          <w:tcPr>
            <w:tcW w:w="657" w:type="dxa"/>
            <w:shd w:val="clear" w:color="auto" w:fill="E0E0E0"/>
          </w:tcPr>
          <w:p w14:paraId="390ACE4E" w14:textId="5B0BCE9F" w:rsidR="0068068B" w:rsidRPr="0067507D" w:rsidRDefault="00CE3AAF" w:rsidP="00A721E2">
            <w:pPr>
              <w:pStyle w:val="Tabletextright"/>
              <w:spacing w:before="20" w:after="20"/>
            </w:pPr>
            <w:r w:rsidRPr="0067507D">
              <w:t>12</w:t>
            </w:r>
          </w:p>
        </w:tc>
        <w:tc>
          <w:tcPr>
            <w:tcW w:w="1044" w:type="dxa"/>
          </w:tcPr>
          <w:p w14:paraId="6E994606" w14:textId="6F0285A0" w:rsidR="0068068B" w:rsidRPr="0067507D" w:rsidRDefault="00CE3AAF" w:rsidP="00A721E2">
            <w:pPr>
              <w:pStyle w:val="Tabletextright"/>
              <w:spacing w:before="20" w:after="20"/>
            </w:pPr>
            <w:r w:rsidRPr="0067507D">
              <w:t>2</w:t>
            </w:r>
          </w:p>
        </w:tc>
        <w:tc>
          <w:tcPr>
            <w:tcW w:w="684" w:type="dxa"/>
          </w:tcPr>
          <w:p w14:paraId="09203D28" w14:textId="4ECD3021" w:rsidR="0068068B" w:rsidRPr="0067507D" w:rsidRDefault="00CE3AAF" w:rsidP="00A721E2">
            <w:pPr>
              <w:pStyle w:val="Tabletextright"/>
              <w:spacing w:before="20" w:after="20"/>
            </w:pPr>
            <w:r w:rsidRPr="0067507D">
              <w:t>2</w:t>
            </w:r>
          </w:p>
        </w:tc>
      </w:tr>
      <w:tr w:rsidR="00AE20A0" w:rsidRPr="0067507D" w14:paraId="10984EBD" w14:textId="77777777" w:rsidTr="00A721E2">
        <w:trPr>
          <w:cantSplit/>
        </w:trPr>
        <w:tc>
          <w:tcPr>
            <w:tcW w:w="1530" w:type="dxa"/>
            <w:vAlign w:val="bottom"/>
          </w:tcPr>
          <w:p w14:paraId="345FCD96" w14:textId="77777777" w:rsidR="0068068B" w:rsidRPr="0067507D" w:rsidRDefault="0068068B" w:rsidP="00A721E2">
            <w:pPr>
              <w:pStyle w:val="Tabletext"/>
              <w:spacing w:before="20" w:after="20"/>
              <w:rPr>
                <w:vertAlign w:val="superscript"/>
              </w:rPr>
            </w:pPr>
            <w:r w:rsidRPr="0067507D">
              <w:t>Grade 6</w:t>
            </w:r>
          </w:p>
        </w:tc>
        <w:tc>
          <w:tcPr>
            <w:tcW w:w="1022" w:type="dxa"/>
            <w:shd w:val="clear" w:color="auto" w:fill="E0E0E0"/>
          </w:tcPr>
          <w:p w14:paraId="5A5EBC8C" w14:textId="7A8190B8" w:rsidR="0068068B" w:rsidRPr="0067507D" w:rsidRDefault="00A14C1E" w:rsidP="00A721E2">
            <w:pPr>
              <w:pStyle w:val="Tabletextright"/>
              <w:spacing w:before="20" w:after="20"/>
            </w:pPr>
            <w:r w:rsidRPr="0067507D">
              <w:t>8</w:t>
            </w:r>
          </w:p>
        </w:tc>
        <w:tc>
          <w:tcPr>
            <w:tcW w:w="659" w:type="dxa"/>
            <w:shd w:val="clear" w:color="auto" w:fill="E0E0E0"/>
          </w:tcPr>
          <w:p w14:paraId="7F742484" w14:textId="454099C3" w:rsidR="0068068B" w:rsidRPr="0067507D" w:rsidRDefault="00A14C1E" w:rsidP="00A721E2">
            <w:pPr>
              <w:pStyle w:val="Tabletextright"/>
              <w:spacing w:before="20" w:after="20"/>
            </w:pPr>
            <w:r w:rsidRPr="0067507D">
              <w:t>8</w:t>
            </w:r>
          </w:p>
        </w:tc>
        <w:tc>
          <w:tcPr>
            <w:tcW w:w="1042" w:type="dxa"/>
          </w:tcPr>
          <w:p w14:paraId="25A9DE1B" w14:textId="6FFF2D6C" w:rsidR="0068068B" w:rsidRPr="0067507D" w:rsidRDefault="00A14C1E" w:rsidP="00A721E2">
            <w:pPr>
              <w:pStyle w:val="Tabletextright"/>
              <w:spacing w:before="20" w:after="20"/>
            </w:pPr>
            <w:r w:rsidRPr="0067507D">
              <w:t>8</w:t>
            </w:r>
          </w:p>
        </w:tc>
        <w:tc>
          <w:tcPr>
            <w:tcW w:w="992" w:type="dxa"/>
          </w:tcPr>
          <w:p w14:paraId="00BA78EB" w14:textId="79F2F2C6" w:rsidR="0068068B" w:rsidRPr="0067507D" w:rsidRDefault="000A55B5" w:rsidP="00A721E2">
            <w:pPr>
              <w:pStyle w:val="Tabletextright"/>
              <w:spacing w:before="20" w:after="20"/>
            </w:pPr>
            <w:r w:rsidRPr="0067507D">
              <w:t>–</w:t>
            </w:r>
          </w:p>
        </w:tc>
        <w:tc>
          <w:tcPr>
            <w:tcW w:w="702" w:type="dxa"/>
          </w:tcPr>
          <w:p w14:paraId="0CBD9150" w14:textId="17097639" w:rsidR="0068068B" w:rsidRPr="0067507D" w:rsidRDefault="00A14C1E" w:rsidP="00A721E2">
            <w:pPr>
              <w:pStyle w:val="Tabletextright"/>
              <w:spacing w:before="20" w:after="20"/>
            </w:pPr>
            <w:r w:rsidRPr="0067507D">
              <w:t>8</w:t>
            </w:r>
          </w:p>
        </w:tc>
        <w:tc>
          <w:tcPr>
            <w:tcW w:w="999" w:type="dxa"/>
            <w:shd w:val="clear" w:color="auto" w:fill="E0E0E0"/>
          </w:tcPr>
          <w:p w14:paraId="5F7C578B" w14:textId="75A1D4D8" w:rsidR="0068068B" w:rsidRPr="0067507D" w:rsidRDefault="000A55B5" w:rsidP="00A721E2">
            <w:pPr>
              <w:pStyle w:val="Tabletextright"/>
              <w:spacing w:before="20" w:after="20"/>
            </w:pPr>
            <w:r w:rsidRPr="0067507D">
              <w:t>–</w:t>
            </w:r>
          </w:p>
        </w:tc>
        <w:tc>
          <w:tcPr>
            <w:tcW w:w="729" w:type="dxa"/>
            <w:shd w:val="clear" w:color="auto" w:fill="E0E0E0"/>
          </w:tcPr>
          <w:p w14:paraId="40375EA7" w14:textId="345D9DF2" w:rsidR="0068068B" w:rsidRPr="0067507D" w:rsidRDefault="000A55B5" w:rsidP="00A721E2">
            <w:pPr>
              <w:pStyle w:val="Tabletextright"/>
              <w:spacing w:before="20" w:after="20"/>
            </w:pPr>
            <w:r w:rsidRPr="0067507D">
              <w:t>–</w:t>
            </w:r>
          </w:p>
        </w:tc>
        <w:tc>
          <w:tcPr>
            <w:tcW w:w="1055" w:type="dxa"/>
            <w:noWrap/>
          </w:tcPr>
          <w:p w14:paraId="27370516" w14:textId="0535EB63" w:rsidR="0068068B" w:rsidRPr="0067507D" w:rsidRDefault="00CE3AAF" w:rsidP="00A721E2">
            <w:pPr>
              <w:pStyle w:val="Tabletextright"/>
              <w:spacing w:before="20" w:after="20"/>
            </w:pPr>
            <w:r w:rsidRPr="0067507D">
              <w:t>7</w:t>
            </w:r>
          </w:p>
        </w:tc>
        <w:tc>
          <w:tcPr>
            <w:tcW w:w="673" w:type="dxa"/>
          </w:tcPr>
          <w:p w14:paraId="04CADD5C" w14:textId="0093DFE7" w:rsidR="0068068B" w:rsidRPr="0067507D" w:rsidRDefault="00CE3AAF" w:rsidP="00A721E2">
            <w:pPr>
              <w:pStyle w:val="Tabletextright"/>
              <w:spacing w:before="20" w:after="20"/>
            </w:pPr>
            <w:r w:rsidRPr="0067507D">
              <w:t>7</w:t>
            </w:r>
          </w:p>
        </w:tc>
        <w:tc>
          <w:tcPr>
            <w:tcW w:w="1087" w:type="dxa"/>
            <w:shd w:val="clear" w:color="auto" w:fill="E0E0E0"/>
            <w:noWrap/>
          </w:tcPr>
          <w:p w14:paraId="759AC705" w14:textId="44015777" w:rsidR="0068068B" w:rsidRPr="0067507D" w:rsidRDefault="00CE3AAF" w:rsidP="00A721E2">
            <w:pPr>
              <w:pStyle w:val="Tabletextright"/>
              <w:spacing w:before="20" w:after="20"/>
            </w:pPr>
            <w:r w:rsidRPr="0067507D">
              <w:t>7</w:t>
            </w:r>
          </w:p>
        </w:tc>
        <w:tc>
          <w:tcPr>
            <w:tcW w:w="992" w:type="dxa"/>
            <w:shd w:val="clear" w:color="auto" w:fill="E0E0E0"/>
          </w:tcPr>
          <w:p w14:paraId="4DD1F849" w14:textId="02855311" w:rsidR="0068068B" w:rsidRPr="0067507D" w:rsidRDefault="00CE3AAF" w:rsidP="00A721E2">
            <w:pPr>
              <w:pStyle w:val="Tabletextright"/>
              <w:spacing w:before="20" w:after="20"/>
            </w:pPr>
            <w:r w:rsidRPr="0067507D">
              <w:t>–</w:t>
            </w:r>
          </w:p>
        </w:tc>
        <w:tc>
          <w:tcPr>
            <w:tcW w:w="657" w:type="dxa"/>
            <w:shd w:val="clear" w:color="auto" w:fill="E0E0E0"/>
          </w:tcPr>
          <w:p w14:paraId="0B2EF0E6" w14:textId="4FD06228" w:rsidR="0068068B" w:rsidRPr="0067507D" w:rsidRDefault="00CE3AAF" w:rsidP="00A721E2">
            <w:pPr>
              <w:pStyle w:val="Tabletextright"/>
              <w:spacing w:before="20" w:after="20"/>
            </w:pPr>
            <w:r w:rsidRPr="0067507D">
              <w:t>7</w:t>
            </w:r>
          </w:p>
        </w:tc>
        <w:tc>
          <w:tcPr>
            <w:tcW w:w="1044" w:type="dxa"/>
          </w:tcPr>
          <w:p w14:paraId="22DC5C02" w14:textId="08526E1B" w:rsidR="0068068B" w:rsidRPr="0067507D" w:rsidRDefault="00CE3AAF" w:rsidP="00A721E2">
            <w:pPr>
              <w:pStyle w:val="Tabletextright"/>
              <w:spacing w:before="20" w:after="20"/>
            </w:pPr>
            <w:r w:rsidRPr="0067507D">
              <w:t>–</w:t>
            </w:r>
          </w:p>
        </w:tc>
        <w:tc>
          <w:tcPr>
            <w:tcW w:w="684" w:type="dxa"/>
          </w:tcPr>
          <w:p w14:paraId="7AC271E5" w14:textId="5D56B68F" w:rsidR="0068068B" w:rsidRPr="0067507D" w:rsidRDefault="00CE3AAF" w:rsidP="00A721E2">
            <w:pPr>
              <w:pStyle w:val="Tabletextright"/>
              <w:spacing w:before="20" w:after="20"/>
            </w:pPr>
            <w:r w:rsidRPr="0067507D">
              <w:t>–</w:t>
            </w:r>
          </w:p>
        </w:tc>
      </w:tr>
      <w:tr w:rsidR="0068068B" w:rsidRPr="0067507D" w14:paraId="4F88B9A1" w14:textId="77777777" w:rsidTr="00A721E2">
        <w:trPr>
          <w:cantSplit/>
        </w:trPr>
        <w:tc>
          <w:tcPr>
            <w:tcW w:w="1530" w:type="dxa"/>
          </w:tcPr>
          <w:p w14:paraId="3E11558B" w14:textId="77777777" w:rsidR="0068068B" w:rsidRPr="0067507D" w:rsidRDefault="0068068B" w:rsidP="00A721E2">
            <w:pPr>
              <w:pStyle w:val="Tabletext"/>
              <w:spacing w:before="0" w:after="0"/>
              <w:rPr>
                <w:sz w:val="6"/>
              </w:rPr>
            </w:pPr>
          </w:p>
        </w:tc>
        <w:tc>
          <w:tcPr>
            <w:tcW w:w="1022" w:type="dxa"/>
            <w:shd w:val="clear" w:color="auto" w:fill="E0E0E0"/>
          </w:tcPr>
          <w:p w14:paraId="3A0B87C5" w14:textId="77777777" w:rsidR="0068068B" w:rsidRPr="0067507D" w:rsidRDefault="0068068B" w:rsidP="00A721E2">
            <w:pPr>
              <w:pStyle w:val="Tabletextright"/>
              <w:spacing w:before="0" w:after="0"/>
              <w:rPr>
                <w:rFonts w:cstheme="minorHAnsi"/>
                <w:sz w:val="6"/>
              </w:rPr>
            </w:pPr>
          </w:p>
        </w:tc>
        <w:tc>
          <w:tcPr>
            <w:tcW w:w="659" w:type="dxa"/>
            <w:shd w:val="clear" w:color="auto" w:fill="E0E0E0"/>
          </w:tcPr>
          <w:p w14:paraId="676454F9" w14:textId="77777777" w:rsidR="0068068B" w:rsidRPr="0067507D" w:rsidRDefault="0068068B" w:rsidP="00A721E2">
            <w:pPr>
              <w:pStyle w:val="Tabletextright"/>
              <w:spacing w:before="0" w:after="0"/>
              <w:rPr>
                <w:rFonts w:cstheme="minorHAnsi"/>
                <w:sz w:val="6"/>
              </w:rPr>
            </w:pPr>
          </w:p>
        </w:tc>
        <w:tc>
          <w:tcPr>
            <w:tcW w:w="1042" w:type="dxa"/>
          </w:tcPr>
          <w:p w14:paraId="0F1CCE72" w14:textId="77777777" w:rsidR="0068068B" w:rsidRPr="0067507D" w:rsidRDefault="0068068B" w:rsidP="00A721E2">
            <w:pPr>
              <w:pStyle w:val="Tabletextright"/>
              <w:spacing w:before="0" w:after="0"/>
              <w:rPr>
                <w:rFonts w:cstheme="minorHAnsi"/>
                <w:sz w:val="6"/>
              </w:rPr>
            </w:pPr>
          </w:p>
        </w:tc>
        <w:tc>
          <w:tcPr>
            <w:tcW w:w="992" w:type="dxa"/>
          </w:tcPr>
          <w:p w14:paraId="5F2893CD" w14:textId="77777777" w:rsidR="0068068B" w:rsidRPr="0067507D" w:rsidRDefault="0068068B" w:rsidP="00A721E2">
            <w:pPr>
              <w:pStyle w:val="Tabletextright"/>
              <w:spacing w:before="0" w:after="0"/>
              <w:rPr>
                <w:sz w:val="6"/>
              </w:rPr>
            </w:pPr>
          </w:p>
        </w:tc>
        <w:tc>
          <w:tcPr>
            <w:tcW w:w="702" w:type="dxa"/>
          </w:tcPr>
          <w:p w14:paraId="32BAF5A4" w14:textId="77777777" w:rsidR="0068068B" w:rsidRPr="0067507D" w:rsidRDefault="0068068B" w:rsidP="00A721E2">
            <w:pPr>
              <w:pStyle w:val="Tabletextright"/>
              <w:spacing w:before="0" w:after="0"/>
              <w:rPr>
                <w:sz w:val="6"/>
              </w:rPr>
            </w:pPr>
          </w:p>
        </w:tc>
        <w:tc>
          <w:tcPr>
            <w:tcW w:w="999" w:type="dxa"/>
            <w:shd w:val="clear" w:color="auto" w:fill="E0E0E0"/>
          </w:tcPr>
          <w:p w14:paraId="496E6A12" w14:textId="77777777" w:rsidR="0068068B" w:rsidRPr="0067507D" w:rsidRDefault="0068068B" w:rsidP="00A721E2">
            <w:pPr>
              <w:pStyle w:val="Tabletextright"/>
              <w:spacing w:before="0" w:after="0"/>
              <w:rPr>
                <w:sz w:val="6"/>
              </w:rPr>
            </w:pPr>
          </w:p>
        </w:tc>
        <w:tc>
          <w:tcPr>
            <w:tcW w:w="729" w:type="dxa"/>
            <w:shd w:val="clear" w:color="auto" w:fill="E0E0E0"/>
          </w:tcPr>
          <w:p w14:paraId="2BE8180C" w14:textId="77777777" w:rsidR="0068068B" w:rsidRPr="0067507D" w:rsidRDefault="0068068B" w:rsidP="00A721E2">
            <w:pPr>
              <w:pStyle w:val="Tabletextright"/>
              <w:spacing w:before="0" w:after="0"/>
              <w:rPr>
                <w:sz w:val="6"/>
              </w:rPr>
            </w:pPr>
          </w:p>
        </w:tc>
        <w:tc>
          <w:tcPr>
            <w:tcW w:w="1055" w:type="dxa"/>
            <w:noWrap/>
          </w:tcPr>
          <w:p w14:paraId="01EF403B" w14:textId="77777777" w:rsidR="0068068B" w:rsidRPr="0067507D" w:rsidRDefault="0068068B" w:rsidP="00A721E2">
            <w:pPr>
              <w:pStyle w:val="Tabletextright"/>
              <w:spacing w:before="0" w:after="0"/>
              <w:rPr>
                <w:rFonts w:cstheme="minorHAnsi"/>
                <w:sz w:val="6"/>
              </w:rPr>
            </w:pPr>
          </w:p>
        </w:tc>
        <w:tc>
          <w:tcPr>
            <w:tcW w:w="673" w:type="dxa"/>
          </w:tcPr>
          <w:p w14:paraId="527FCFEE" w14:textId="77777777" w:rsidR="0068068B" w:rsidRPr="0067507D" w:rsidRDefault="0068068B" w:rsidP="00A721E2">
            <w:pPr>
              <w:pStyle w:val="Tabletextright"/>
              <w:spacing w:before="0" w:after="0"/>
              <w:rPr>
                <w:rFonts w:cstheme="minorHAnsi"/>
                <w:sz w:val="6"/>
              </w:rPr>
            </w:pPr>
          </w:p>
        </w:tc>
        <w:tc>
          <w:tcPr>
            <w:tcW w:w="1087" w:type="dxa"/>
            <w:shd w:val="clear" w:color="auto" w:fill="E0E0E0"/>
            <w:noWrap/>
          </w:tcPr>
          <w:p w14:paraId="0C58B5A8" w14:textId="77777777" w:rsidR="0068068B" w:rsidRPr="0067507D" w:rsidRDefault="0068068B" w:rsidP="00A721E2">
            <w:pPr>
              <w:pStyle w:val="Tabletextright"/>
              <w:spacing w:before="0" w:after="0"/>
              <w:rPr>
                <w:rFonts w:cstheme="minorHAnsi"/>
                <w:sz w:val="6"/>
              </w:rPr>
            </w:pPr>
          </w:p>
        </w:tc>
        <w:tc>
          <w:tcPr>
            <w:tcW w:w="992" w:type="dxa"/>
            <w:shd w:val="clear" w:color="auto" w:fill="E0E0E0"/>
          </w:tcPr>
          <w:p w14:paraId="423DB07E" w14:textId="77777777" w:rsidR="0068068B" w:rsidRPr="0067507D" w:rsidRDefault="0068068B" w:rsidP="00A721E2">
            <w:pPr>
              <w:pStyle w:val="Tabletextright"/>
              <w:spacing w:before="0" w:after="0"/>
              <w:rPr>
                <w:sz w:val="6"/>
              </w:rPr>
            </w:pPr>
          </w:p>
        </w:tc>
        <w:tc>
          <w:tcPr>
            <w:tcW w:w="657" w:type="dxa"/>
            <w:shd w:val="clear" w:color="auto" w:fill="E0E0E0"/>
          </w:tcPr>
          <w:p w14:paraId="53A8B008" w14:textId="77777777" w:rsidR="0068068B" w:rsidRPr="0067507D" w:rsidRDefault="0068068B" w:rsidP="00A721E2">
            <w:pPr>
              <w:pStyle w:val="Tabletextright"/>
              <w:spacing w:before="0" w:after="0"/>
              <w:rPr>
                <w:sz w:val="6"/>
              </w:rPr>
            </w:pPr>
          </w:p>
        </w:tc>
        <w:tc>
          <w:tcPr>
            <w:tcW w:w="1044" w:type="dxa"/>
          </w:tcPr>
          <w:p w14:paraId="09761015" w14:textId="77777777" w:rsidR="0068068B" w:rsidRPr="0067507D" w:rsidRDefault="0068068B" w:rsidP="00A721E2">
            <w:pPr>
              <w:pStyle w:val="Tabletextright"/>
              <w:spacing w:before="0" w:after="0"/>
              <w:rPr>
                <w:sz w:val="6"/>
              </w:rPr>
            </w:pPr>
          </w:p>
        </w:tc>
        <w:tc>
          <w:tcPr>
            <w:tcW w:w="684" w:type="dxa"/>
          </w:tcPr>
          <w:p w14:paraId="11539BB2" w14:textId="77777777" w:rsidR="0068068B" w:rsidRPr="0067507D" w:rsidRDefault="0068068B" w:rsidP="00A721E2">
            <w:pPr>
              <w:pStyle w:val="Tabletextright"/>
              <w:spacing w:before="0" w:after="0"/>
              <w:rPr>
                <w:sz w:val="6"/>
              </w:rPr>
            </w:pPr>
          </w:p>
        </w:tc>
      </w:tr>
      <w:tr w:rsidR="0068068B" w:rsidRPr="0067507D" w14:paraId="0B333CAE" w14:textId="77777777" w:rsidTr="00A721E2">
        <w:trPr>
          <w:cantSplit/>
        </w:trPr>
        <w:tc>
          <w:tcPr>
            <w:tcW w:w="1530" w:type="dxa"/>
          </w:tcPr>
          <w:p w14:paraId="4B4637A5" w14:textId="77777777" w:rsidR="0068068B" w:rsidRPr="0067507D" w:rsidRDefault="0068068B" w:rsidP="00A721E2">
            <w:pPr>
              <w:pStyle w:val="Tabletext"/>
              <w:spacing w:before="25" w:after="25"/>
              <w:rPr>
                <w:rFonts w:asciiTheme="majorHAnsi" w:hAnsiTheme="majorHAnsi" w:cstheme="minorHAnsi"/>
              </w:rPr>
            </w:pPr>
            <w:r w:rsidRPr="0067507D">
              <w:rPr>
                <w:rFonts w:asciiTheme="majorHAnsi" w:hAnsiTheme="majorHAnsi" w:cstheme="minorHAnsi"/>
              </w:rPr>
              <w:t>Senior employees</w:t>
            </w:r>
          </w:p>
        </w:tc>
        <w:tc>
          <w:tcPr>
            <w:tcW w:w="1022" w:type="dxa"/>
            <w:shd w:val="clear" w:color="auto" w:fill="E0E0E0"/>
          </w:tcPr>
          <w:p w14:paraId="5FD18CD5" w14:textId="55008F9E" w:rsidR="0068068B" w:rsidRPr="0067507D" w:rsidRDefault="00A14C1E" w:rsidP="00A721E2">
            <w:pPr>
              <w:pStyle w:val="Tabletextrightbold"/>
            </w:pPr>
            <w:r w:rsidRPr="0067507D">
              <w:t>3</w:t>
            </w:r>
          </w:p>
        </w:tc>
        <w:tc>
          <w:tcPr>
            <w:tcW w:w="659" w:type="dxa"/>
            <w:shd w:val="clear" w:color="auto" w:fill="E0E0E0"/>
          </w:tcPr>
          <w:p w14:paraId="0514A3B2" w14:textId="3DC6CC8B" w:rsidR="0068068B" w:rsidRPr="0067507D" w:rsidRDefault="00A14C1E" w:rsidP="00A721E2">
            <w:pPr>
              <w:pStyle w:val="Tabletextrightbold"/>
            </w:pPr>
            <w:r w:rsidRPr="0067507D">
              <w:t>3</w:t>
            </w:r>
          </w:p>
        </w:tc>
        <w:tc>
          <w:tcPr>
            <w:tcW w:w="1042" w:type="dxa"/>
          </w:tcPr>
          <w:p w14:paraId="03D88EC0" w14:textId="71B66193" w:rsidR="0068068B" w:rsidRPr="0067507D" w:rsidRDefault="00A14C1E" w:rsidP="00A721E2">
            <w:pPr>
              <w:pStyle w:val="Tabletextrightbold"/>
            </w:pPr>
            <w:r w:rsidRPr="0067507D">
              <w:t>3</w:t>
            </w:r>
          </w:p>
        </w:tc>
        <w:tc>
          <w:tcPr>
            <w:tcW w:w="992" w:type="dxa"/>
          </w:tcPr>
          <w:p w14:paraId="25E9203D" w14:textId="20B90E51" w:rsidR="0068068B" w:rsidRPr="0067507D" w:rsidRDefault="000A55B5" w:rsidP="00A721E2">
            <w:pPr>
              <w:pStyle w:val="Tabletextrightbold"/>
            </w:pPr>
            <w:r w:rsidRPr="0067507D">
              <w:t>–</w:t>
            </w:r>
          </w:p>
        </w:tc>
        <w:tc>
          <w:tcPr>
            <w:tcW w:w="702" w:type="dxa"/>
          </w:tcPr>
          <w:p w14:paraId="7B867862" w14:textId="4B980D79" w:rsidR="0068068B" w:rsidRPr="0067507D" w:rsidRDefault="00A14C1E" w:rsidP="00A721E2">
            <w:pPr>
              <w:pStyle w:val="Tabletextrightbold"/>
            </w:pPr>
            <w:r w:rsidRPr="0067507D">
              <w:t>3</w:t>
            </w:r>
          </w:p>
        </w:tc>
        <w:tc>
          <w:tcPr>
            <w:tcW w:w="999" w:type="dxa"/>
            <w:shd w:val="clear" w:color="auto" w:fill="E0E0E0"/>
          </w:tcPr>
          <w:p w14:paraId="70C53897" w14:textId="69751F3B" w:rsidR="0068068B" w:rsidRPr="0067507D" w:rsidRDefault="000A55B5" w:rsidP="00A721E2">
            <w:pPr>
              <w:pStyle w:val="Tabletextrightbold"/>
            </w:pPr>
            <w:r w:rsidRPr="0067507D">
              <w:t>–</w:t>
            </w:r>
          </w:p>
        </w:tc>
        <w:tc>
          <w:tcPr>
            <w:tcW w:w="729" w:type="dxa"/>
            <w:shd w:val="clear" w:color="auto" w:fill="E0E0E0"/>
          </w:tcPr>
          <w:p w14:paraId="5918F5C2" w14:textId="10EBA989" w:rsidR="0068068B" w:rsidRPr="0067507D" w:rsidRDefault="000A55B5" w:rsidP="00A721E2">
            <w:pPr>
              <w:pStyle w:val="Tabletextrightbold"/>
            </w:pPr>
            <w:r w:rsidRPr="0067507D">
              <w:t>–</w:t>
            </w:r>
          </w:p>
        </w:tc>
        <w:tc>
          <w:tcPr>
            <w:tcW w:w="1055" w:type="dxa"/>
            <w:noWrap/>
          </w:tcPr>
          <w:p w14:paraId="2D990BE3" w14:textId="4614B8E7" w:rsidR="0068068B" w:rsidRPr="0067507D" w:rsidRDefault="00CE3AAF" w:rsidP="00A721E2">
            <w:pPr>
              <w:pStyle w:val="Tabletextrightbold"/>
              <w:spacing w:before="25" w:after="25"/>
            </w:pPr>
            <w:r w:rsidRPr="0067507D">
              <w:t>4</w:t>
            </w:r>
          </w:p>
        </w:tc>
        <w:tc>
          <w:tcPr>
            <w:tcW w:w="673" w:type="dxa"/>
          </w:tcPr>
          <w:p w14:paraId="6369D955" w14:textId="24063DB4" w:rsidR="0068068B" w:rsidRPr="0067507D" w:rsidRDefault="00CE3AAF" w:rsidP="00A721E2">
            <w:pPr>
              <w:pStyle w:val="Tabletextrightbold"/>
              <w:spacing w:before="25" w:after="25"/>
            </w:pPr>
            <w:r w:rsidRPr="0067507D">
              <w:t>4</w:t>
            </w:r>
          </w:p>
        </w:tc>
        <w:tc>
          <w:tcPr>
            <w:tcW w:w="1087" w:type="dxa"/>
            <w:shd w:val="clear" w:color="auto" w:fill="E0E0E0"/>
            <w:noWrap/>
          </w:tcPr>
          <w:p w14:paraId="6EC371DC" w14:textId="1E79D651" w:rsidR="0068068B" w:rsidRPr="0067507D" w:rsidRDefault="00CE3AAF" w:rsidP="00A721E2">
            <w:pPr>
              <w:pStyle w:val="Tabletextrightbold"/>
              <w:spacing w:before="25" w:after="25"/>
            </w:pPr>
            <w:r w:rsidRPr="0067507D">
              <w:t>3</w:t>
            </w:r>
          </w:p>
        </w:tc>
        <w:tc>
          <w:tcPr>
            <w:tcW w:w="992" w:type="dxa"/>
            <w:shd w:val="clear" w:color="auto" w:fill="E0E0E0"/>
          </w:tcPr>
          <w:p w14:paraId="5AF3F8E9" w14:textId="431FB68B" w:rsidR="0068068B" w:rsidRPr="0067507D" w:rsidRDefault="00CE3AAF" w:rsidP="00A721E2">
            <w:pPr>
              <w:pStyle w:val="Tabletextrightbold"/>
              <w:spacing w:before="25" w:after="25"/>
            </w:pPr>
            <w:r w:rsidRPr="0067507D">
              <w:t>–</w:t>
            </w:r>
          </w:p>
        </w:tc>
        <w:tc>
          <w:tcPr>
            <w:tcW w:w="657" w:type="dxa"/>
            <w:shd w:val="clear" w:color="auto" w:fill="E0E0E0"/>
          </w:tcPr>
          <w:p w14:paraId="5CA0E360" w14:textId="32AAD986" w:rsidR="0068068B" w:rsidRPr="0067507D" w:rsidRDefault="00CE3AAF" w:rsidP="00A721E2">
            <w:pPr>
              <w:pStyle w:val="Tabletextrightbold"/>
              <w:spacing w:before="25" w:after="25"/>
            </w:pPr>
            <w:r w:rsidRPr="0067507D">
              <w:t>3</w:t>
            </w:r>
          </w:p>
        </w:tc>
        <w:tc>
          <w:tcPr>
            <w:tcW w:w="1044" w:type="dxa"/>
          </w:tcPr>
          <w:p w14:paraId="233FC6D3" w14:textId="5F67BA27" w:rsidR="0068068B" w:rsidRPr="0067507D" w:rsidRDefault="00CE3AAF" w:rsidP="00A721E2">
            <w:pPr>
              <w:pStyle w:val="Tabletextrightbold"/>
              <w:spacing w:before="25" w:after="25"/>
            </w:pPr>
            <w:r w:rsidRPr="0067507D">
              <w:t>1</w:t>
            </w:r>
          </w:p>
        </w:tc>
        <w:tc>
          <w:tcPr>
            <w:tcW w:w="684" w:type="dxa"/>
          </w:tcPr>
          <w:p w14:paraId="60BB442C" w14:textId="295D4728" w:rsidR="0068068B" w:rsidRPr="0067507D" w:rsidRDefault="00CE3AAF" w:rsidP="00A721E2">
            <w:pPr>
              <w:pStyle w:val="Tabletextrightbold"/>
              <w:spacing w:before="25" w:after="25"/>
            </w:pPr>
            <w:r w:rsidRPr="0067507D">
              <w:t>1</w:t>
            </w:r>
          </w:p>
        </w:tc>
      </w:tr>
      <w:tr w:rsidR="00AE20A0" w:rsidRPr="0067507D" w14:paraId="25DDFEF0" w14:textId="77777777" w:rsidTr="00A721E2">
        <w:trPr>
          <w:cantSplit/>
        </w:trPr>
        <w:tc>
          <w:tcPr>
            <w:tcW w:w="1530" w:type="dxa"/>
            <w:vAlign w:val="bottom"/>
          </w:tcPr>
          <w:p w14:paraId="47AB99E1" w14:textId="77777777" w:rsidR="0068068B" w:rsidRPr="0067507D" w:rsidRDefault="0068068B" w:rsidP="00A721E2">
            <w:pPr>
              <w:pStyle w:val="Tabletext"/>
              <w:spacing w:before="20" w:after="20"/>
            </w:pPr>
            <w:r w:rsidRPr="0067507D">
              <w:t>STS</w:t>
            </w:r>
          </w:p>
        </w:tc>
        <w:tc>
          <w:tcPr>
            <w:tcW w:w="1022" w:type="dxa"/>
            <w:shd w:val="clear" w:color="auto" w:fill="E0E0E0"/>
          </w:tcPr>
          <w:p w14:paraId="1D3B2F32" w14:textId="729E45F3" w:rsidR="0068068B" w:rsidRPr="0067507D" w:rsidRDefault="00A14C1E" w:rsidP="00A721E2">
            <w:pPr>
              <w:pStyle w:val="Tabletextright"/>
              <w:spacing w:before="20" w:after="20"/>
            </w:pPr>
            <w:r w:rsidRPr="0067507D">
              <w:t>1</w:t>
            </w:r>
          </w:p>
        </w:tc>
        <w:tc>
          <w:tcPr>
            <w:tcW w:w="659" w:type="dxa"/>
            <w:shd w:val="clear" w:color="auto" w:fill="E0E0E0"/>
          </w:tcPr>
          <w:p w14:paraId="028E5E92" w14:textId="22C7BDA9" w:rsidR="0068068B" w:rsidRPr="0067507D" w:rsidRDefault="00A14C1E" w:rsidP="00A721E2">
            <w:pPr>
              <w:pStyle w:val="Tabletextright"/>
              <w:spacing w:before="20" w:after="20"/>
            </w:pPr>
            <w:r w:rsidRPr="0067507D">
              <w:t>1</w:t>
            </w:r>
          </w:p>
        </w:tc>
        <w:tc>
          <w:tcPr>
            <w:tcW w:w="1042" w:type="dxa"/>
          </w:tcPr>
          <w:p w14:paraId="2ACEAC81" w14:textId="652AB096" w:rsidR="0068068B" w:rsidRPr="0067507D" w:rsidRDefault="00A14C1E" w:rsidP="00A721E2">
            <w:pPr>
              <w:pStyle w:val="Tabletextright"/>
              <w:spacing w:before="20" w:after="20"/>
            </w:pPr>
            <w:r w:rsidRPr="0067507D">
              <w:t>1</w:t>
            </w:r>
          </w:p>
        </w:tc>
        <w:tc>
          <w:tcPr>
            <w:tcW w:w="992" w:type="dxa"/>
          </w:tcPr>
          <w:p w14:paraId="55BCA3CF" w14:textId="40F0DFF9" w:rsidR="0068068B" w:rsidRPr="0067507D" w:rsidRDefault="000A55B5" w:rsidP="00A721E2">
            <w:pPr>
              <w:pStyle w:val="Tabletextright"/>
              <w:spacing w:before="20" w:after="20"/>
            </w:pPr>
            <w:r w:rsidRPr="0067507D">
              <w:t>–</w:t>
            </w:r>
          </w:p>
        </w:tc>
        <w:tc>
          <w:tcPr>
            <w:tcW w:w="702" w:type="dxa"/>
          </w:tcPr>
          <w:p w14:paraId="40E52FF7" w14:textId="0558911D" w:rsidR="0068068B" w:rsidRPr="0067507D" w:rsidRDefault="00A14C1E" w:rsidP="00A721E2">
            <w:pPr>
              <w:pStyle w:val="Tabletextright"/>
              <w:spacing w:before="20" w:after="20"/>
            </w:pPr>
            <w:r w:rsidRPr="0067507D">
              <w:t>1</w:t>
            </w:r>
          </w:p>
        </w:tc>
        <w:tc>
          <w:tcPr>
            <w:tcW w:w="999" w:type="dxa"/>
            <w:shd w:val="clear" w:color="auto" w:fill="E0E0E0"/>
          </w:tcPr>
          <w:p w14:paraId="336DE28F" w14:textId="2063D8E3" w:rsidR="0068068B" w:rsidRPr="0067507D" w:rsidRDefault="000A55B5" w:rsidP="00A721E2">
            <w:pPr>
              <w:pStyle w:val="Tabletextright"/>
              <w:spacing w:before="20" w:after="20"/>
            </w:pPr>
            <w:r w:rsidRPr="0067507D">
              <w:t>–</w:t>
            </w:r>
          </w:p>
        </w:tc>
        <w:tc>
          <w:tcPr>
            <w:tcW w:w="729" w:type="dxa"/>
            <w:shd w:val="clear" w:color="auto" w:fill="E0E0E0"/>
          </w:tcPr>
          <w:p w14:paraId="19995AE6" w14:textId="3BC4CD75" w:rsidR="0068068B" w:rsidRPr="0067507D" w:rsidRDefault="000A55B5" w:rsidP="00A721E2">
            <w:pPr>
              <w:pStyle w:val="Tabletextright"/>
              <w:spacing w:before="20" w:after="20"/>
            </w:pPr>
            <w:r w:rsidRPr="0067507D">
              <w:t>–</w:t>
            </w:r>
          </w:p>
        </w:tc>
        <w:tc>
          <w:tcPr>
            <w:tcW w:w="1055" w:type="dxa"/>
            <w:noWrap/>
          </w:tcPr>
          <w:p w14:paraId="2B40DFF4" w14:textId="4D6A3019" w:rsidR="0068068B" w:rsidRPr="0067507D" w:rsidRDefault="00CE3AAF" w:rsidP="00A721E2">
            <w:pPr>
              <w:pStyle w:val="Tabletextright"/>
              <w:spacing w:before="20" w:after="20"/>
            </w:pPr>
            <w:r w:rsidRPr="0067507D">
              <w:t>2</w:t>
            </w:r>
          </w:p>
        </w:tc>
        <w:tc>
          <w:tcPr>
            <w:tcW w:w="673" w:type="dxa"/>
          </w:tcPr>
          <w:p w14:paraId="72DC6888" w14:textId="7DC405C5" w:rsidR="0068068B" w:rsidRPr="0067507D" w:rsidRDefault="00CE3AAF" w:rsidP="00A721E2">
            <w:pPr>
              <w:pStyle w:val="Tabletextright"/>
              <w:spacing w:before="20" w:after="20"/>
            </w:pPr>
            <w:r w:rsidRPr="0067507D">
              <w:t>2</w:t>
            </w:r>
          </w:p>
        </w:tc>
        <w:tc>
          <w:tcPr>
            <w:tcW w:w="1087" w:type="dxa"/>
            <w:shd w:val="clear" w:color="auto" w:fill="E0E0E0"/>
            <w:noWrap/>
          </w:tcPr>
          <w:p w14:paraId="0CA321E5" w14:textId="641E5CD6" w:rsidR="0068068B" w:rsidRPr="0067507D" w:rsidRDefault="00CE3AAF" w:rsidP="00A721E2">
            <w:pPr>
              <w:pStyle w:val="Tabletextright"/>
              <w:spacing w:before="20" w:after="20"/>
            </w:pPr>
            <w:r w:rsidRPr="0067507D">
              <w:t>1</w:t>
            </w:r>
          </w:p>
        </w:tc>
        <w:tc>
          <w:tcPr>
            <w:tcW w:w="992" w:type="dxa"/>
            <w:shd w:val="clear" w:color="auto" w:fill="E0E0E0"/>
          </w:tcPr>
          <w:p w14:paraId="695804A9" w14:textId="7BDC6AC2" w:rsidR="0068068B" w:rsidRPr="0067507D" w:rsidRDefault="00CE3AAF" w:rsidP="00A721E2">
            <w:pPr>
              <w:pStyle w:val="Tabletextright"/>
              <w:spacing w:before="20" w:after="20"/>
            </w:pPr>
            <w:r w:rsidRPr="0067507D">
              <w:t>–</w:t>
            </w:r>
          </w:p>
        </w:tc>
        <w:tc>
          <w:tcPr>
            <w:tcW w:w="657" w:type="dxa"/>
            <w:shd w:val="clear" w:color="auto" w:fill="E0E0E0"/>
          </w:tcPr>
          <w:p w14:paraId="70B7C99E" w14:textId="51F89FB1" w:rsidR="0068068B" w:rsidRPr="0067507D" w:rsidRDefault="00CE3AAF" w:rsidP="00A721E2">
            <w:pPr>
              <w:pStyle w:val="Tabletextright"/>
              <w:spacing w:before="20" w:after="20"/>
            </w:pPr>
            <w:r w:rsidRPr="0067507D">
              <w:t>1</w:t>
            </w:r>
          </w:p>
        </w:tc>
        <w:tc>
          <w:tcPr>
            <w:tcW w:w="1044" w:type="dxa"/>
          </w:tcPr>
          <w:p w14:paraId="55BEA6C3" w14:textId="4A133605" w:rsidR="0068068B" w:rsidRPr="0067507D" w:rsidRDefault="00CE3AAF" w:rsidP="00A721E2">
            <w:pPr>
              <w:pStyle w:val="Tabletextright"/>
              <w:spacing w:before="20" w:after="20"/>
            </w:pPr>
            <w:r w:rsidRPr="0067507D">
              <w:t>1</w:t>
            </w:r>
          </w:p>
        </w:tc>
        <w:tc>
          <w:tcPr>
            <w:tcW w:w="684" w:type="dxa"/>
          </w:tcPr>
          <w:p w14:paraId="0E106421" w14:textId="5E0C4D29" w:rsidR="0068068B" w:rsidRPr="0067507D" w:rsidRDefault="00CE3AAF" w:rsidP="00A721E2">
            <w:pPr>
              <w:pStyle w:val="Tabletextright"/>
              <w:spacing w:before="20" w:after="20"/>
            </w:pPr>
            <w:r w:rsidRPr="0067507D">
              <w:t>1</w:t>
            </w:r>
          </w:p>
        </w:tc>
      </w:tr>
      <w:tr w:rsidR="00AE20A0" w:rsidRPr="0067507D" w14:paraId="58478A58" w14:textId="77777777" w:rsidTr="00A721E2">
        <w:trPr>
          <w:cantSplit/>
        </w:trPr>
        <w:tc>
          <w:tcPr>
            <w:tcW w:w="1530" w:type="dxa"/>
            <w:vAlign w:val="bottom"/>
          </w:tcPr>
          <w:p w14:paraId="5089F276" w14:textId="77777777" w:rsidR="0068068B" w:rsidRPr="0067507D" w:rsidRDefault="0068068B" w:rsidP="00A721E2">
            <w:pPr>
              <w:pStyle w:val="Tabletext"/>
              <w:spacing w:before="20" w:after="20"/>
            </w:pPr>
            <w:r w:rsidRPr="0067507D">
              <w:t>Executives</w:t>
            </w:r>
          </w:p>
        </w:tc>
        <w:tc>
          <w:tcPr>
            <w:tcW w:w="1022" w:type="dxa"/>
            <w:shd w:val="clear" w:color="auto" w:fill="E0E0E0"/>
          </w:tcPr>
          <w:p w14:paraId="57277853" w14:textId="172D8568" w:rsidR="0068068B" w:rsidRPr="0067507D" w:rsidRDefault="00A14C1E" w:rsidP="00A721E2">
            <w:pPr>
              <w:pStyle w:val="Tabletextright"/>
              <w:spacing w:before="20" w:after="20"/>
            </w:pPr>
            <w:r w:rsidRPr="0067507D">
              <w:t>2</w:t>
            </w:r>
          </w:p>
        </w:tc>
        <w:tc>
          <w:tcPr>
            <w:tcW w:w="659" w:type="dxa"/>
            <w:shd w:val="clear" w:color="auto" w:fill="E0E0E0"/>
          </w:tcPr>
          <w:p w14:paraId="203FF1BB" w14:textId="30CE1FE4" w:rsidR="0068068B" w:rsidRPr="0067507D" w:rsidRDefault="00A14C1E" w:rsidP="00A721E2">
            <w:pPr>
              <w:pStyle w:val="Tabletextright"/>
              <w:spacing w:before="20" w:after="20"/>
            </w:pPr>
            <w:r w:rsidRPr="0067507D">
              <w:t>2</w:t>
            </w:r>
          </w:p>
        </w:tc>
        <w:tc>
          <w:tcPr>
            <w:tcW w:w="1042" w:type="dxa"/>
          </w:tcPr>
          <w:p w14:paraId="502943C9" w14:textId="12EB9B0F" w:rsidR="0068068B" w:rsidRPr="0067507D" w:rsidRDefault="00A14C1E" w:rsidP="00A721E2">
            <w:pPr>
              <w:pStyle w:val="Tabletextright"/>
              <w:spacing w:before="20" w:after="20"/>
            </w:pPr>
            <w:r w:rsidRPr="0067507D">
              <w:t>2</w:t>
            </w:r>
          </w:p>
        </w:tc>
        <w:tc>
          <w:tcPr>
            <w:tcW w:w="992" w:type="dxa"/>
          </w:tcPr>
          <w:p w14:paraId="5A1A6057" w14:textId="2479460A" w:rsidR="0068068B" w:rsidRPr="0067507D" w:rsidRDefault="000A55B5" w:rsidP="00A721E2">
            <w:pPr>
              <w:pStyle w:val="Tabletextright"/>
              <w:spacing w:before="20" w:after="20"/>
            </w:pPr>
            <w:r w:rsidRPr="0067507D">
              <w:t>–</w:t>
            </w:r>
          </w:p>
        </w:tc>
        <w:tc>
          <w:tcPr>
            <w:tcW w:w="702" w:type="dxa"/>
          </w:tcPr>
          <w:p w14:paraId="40EEE024" w14:textId="1CCA63D6" w:rsidR="0068068B" w:rsidRPr="0067507D" w:rsidRDefault="00A14C1E" w:rsidP="00A721E2">
            <w:pPr>
              <w:pStyle w:val="Tabletextright"/>
              <w:spacing w:before="20" w:after="20"/>
            </w:pPr>
            <w:r w:rsidRPr="0067507D">
              <w:t>2</w:t>
            </w:r>
          </w:p>
        </w:tc>
        <w:tc>
          <w:tcPr>
            <w:tcW w:w="999" w:type="dxa"/>
            <w:shd w:val="clear" w:color="auto" w:fill="E0E0E0"/>
          </w:tcPr>
          <w:p w14:paraId="2719AC8E" w14:textId="71B9F4F1" w:rsidR="0068068B" w:rsidRPr="0067507D" w:rsidRDefault="000A55B5" w:rsidP="00A721E2">
            <w:pPr>
              <w:pStyle w:val="Tabletextright"/>
              <w:spacing w:before="20" w:after="20"/>
            </w:pPr>
            <w:r w:rsidRPr="0067507D">
              <w:t>–</w:t>
            </w:r>
          </w:p>
        </w:tc>
        <w:tc>
          <w:tcPr>
            <w:tcW w:w="729" w:type="dxa"/>
            <w:shd w:val="clear" w:color="auto" w:fill="E0E0E0"/>
          </w:tcPr>
          <w:p w14:paraId="1EFD9782" w14:textId="670F13E0" w:rsidR="0068068B" w:rsidRPr="0067507D" w:rsidRDefault="000A55B5" w:rsidP="00A721E2">
            <w:pPr>
              <w:pStyle w:val="Tabletextright"/>
              <w:spacing w:before="20" w:after="20"/>
            </w:pPr>
            <w:r w:rsidRPr="0067507D">
              <w:t>–</w:t>
            </w:r>
          </w:p>
        </w:tc>
        <w:tc>
          <w:tcPr>
            <w:tcW w:w="1055" w:type="dxa"/>
            <w:noWrap/>
          </w:tcPr>
          <w:p w14:paraId="01AA1A7E" w14:textId="643D250E" w:rsidR="0068068B" w:rsidRPr="0067507D" w:rsidRDefault="00CE3AAF" w:rsidP="00A721E2">
            <w:pPr>
              <w:pStyle w:val="Tabletextrightbold"/>
              <w:spacing w:before="20" w:after="20"/>
            </w:pPr>
            <w:r w:rsidRPr="0067507D">
              <w:t>2</w:t>
            </w:r>
          </w:p>
        </w:tc>
        <w:tc>
          <w:tcPr>
            <w:tcW w:w="673" w:type="dxa"/>
          </w:tcPr>
          <w:p w14:paraId="75C6F317" w14:textId="18C37E27" w:rsidR="0068068B" w:rsidRPr="0067507D" w:rsidRDefault="00CE3AAF" w:rsidP="00A721E2">
            <w:pPr>
              <w:pStyle w:val="Tabletextrightbold"/>
              <w:spacing w:before="20" w:after="20"/>
            </w:pPr>
            <w:r w:rsidRPr="0067507D">
              <w:t>2</w:t>
            </w:r>
          </w:p>
        </w:tc>
        <w:tc>
          <w:tcPr>
            <w:tcW w:w="1087" w:type="dxa"/>
            <w:shd w:val="clear" w:color="auto" w:fill="E0E0E0"/>
            <w:noWrap/>
          </w:tcPr>
          <w:p w14:paraId="6C68B6B6" w14:textId="1ECB5F82" w:rsidR="0068068B" w:rsidRPr="0067507D" w:rsidRDefault="00CE3AAF" w:rsidP="00A721E2">
            <w:pPr>
              <w:pStyle w:val="Tabletextrightbold"/>
              <w:spacing w:before="20" w:after="20"/>
            </w:pPr>
            <w:r w:rsidRPr="0067507D">
              <w:t>2</w:t>
            </w:r>
          </w:p>
        </w:tc>
        <w:tc>
          <w:tcPr>
            <w:tcW w:w="992" w:type="dxa"/>
            <w:shd w:val="clear" w:color="auto" w:fill="E0E0E0"/>
          </w:tcPr>
          <w:p w14:paraId="08364527" w14:textId="7B1BC0AF" w:rsidR="0068068B" w:rsidRPr="0067507D" w:rsidRDefault="00CE3AAF" w:rsidP="00A721E2">
            <w:pPr>
              <w:pStyle w:val="Tabletextrightbold"/>
              <w:spacing w:before="20" w:after="20"/>
            </w:pPr>
            <w:r w:rsidRPr="0067507D">
              <w:t>–</w:t>
            </w:r>
          </w:p>
        </w:tc>
        <w:tc>
          <w:tcPr>
            <w:tcW w:w="657" w:type="dxa"/>
            <w:shd w:val="clear" w:color="auto" w:fill="E0E0E0"/>
          </w:tcPr>
          <w:p w14:paraId="2507A556" w14:textId="72BBFE32" w:rsidR="0068068B" w:rsidRPr="0067507D" w:rsidRDefault="00CE3AAF" w:rsidP="00A721E2">
            <w:pPr>
              <w:pStyle w:val="Tabletextrightbold"/>
              <w:spacing w:before="20" w:after="20"/>
            </w:pPr>
            <w:r w:rsidRPr="0067507D">
              <w:t>2</w:t>
            </w:r>
          </w:p>
        </w:tc>
        <w:tc>
          <w:tcPr>
            <w:tcW w:w="1044" w:type="dxa"/>
          </w:tcPr>
          <w:p w14:paraId="315EA89D" w14:textId="3113B17C" w:rsidR="0068068B" w:rsidRPr="0067507D" w:rsidRDefault="00CE3AAF" w:rsidP="00A721E2">
            <w:pPr>
              <w:pStyle w:val="Tabletextrightbold"/>
              <w:spacing w:before="20" w:after="20"/>
            </w:pPr>
            <w:r w:rsidRPr="0067507D">
              <w:t>–</w:t>
            </w:r>
          </w:p>
        </w:tc>
        <w:tc>
          <w:tcPr>
            <w:tcW w:w="684" w:type="dxa"/>
          </w:tcPr>
          <w:p w14:paraId="177756BF" w14:textId="5B8CBC7C" w:rsidR="0068068B" w:rsidRPr="0067507D" w:rsidRDefault="00CE3AAF" w:rsidP="00A721E2">
            <w:pPr>
              <w:pStyle w:val="Tabletextrightbold"/>
              <w:spacing w:before="20" w:after="20"/>
            </w:pPr>
            <w:r w:rsidRPr="0067507D">
              <w:t>–</w:t>
            </w:r>
          </w:p>
        </w:tc>
      </w:tr>
      <w:tr w:rsidR="0068068B" w:rsidRPr="0067507D" w14:paraId="028F86CF" w14:textId="77777777" w:rsidTr="00A721E2">
        <w:trPr>
          <w:cantSplit/>
        </w:trPr>
        <w:tc>
          <w:tcPr>
            <w:tcW w:w="1530" w:type="dxa"/>
          </w:tcPr>
          <w:p w14:paraId="4B932B35" w14:textId="77777777" w:rsidR="0068068B" w:rsidRPr="0067507D" w:rsidRDefault="0068068B" w:rsidP="00A721E2">
            <w:pPr>
              <w:pStyle w:val="Tabletext"/>
              <w:spacing w:before="0" w:after="0"/>
              <w:rPr>
                <w:sz w:val="6"/>
              </w:rPr>
            </w:pPr>
          </w:p>
        </w:tc>
        <w:tc>
          <w:tcPr>
            <w:tcW w:w="1022" w:type="dxa"/>
            <w:shd w:val="clear" w:color="auto" w:fill="E0E0E0"/>
          </w:tcPr>
          <w:p w14:paraId="67ED76E7" w14:textId="77777777" w:rsidR="0068068B" w:rsidRPr="0067507D" w:rsidRDefault="0068068B" w:rsidP="00A721E2">
            <w:pPr>
              <w:pStyle w:val="Tabletextright"/>
              <w:spacing w:before="0" w:after="0"/>
              <w:rPr>
                <w:rFonts w:cstheme="minorHAnsi"/>
                <w:sz w:val="6"/>
              </w:rPr>
            </w:pPr>
          </w:p>
        </w:tc>
        <w:tc>
          <w:tcPr>
            <w:tcW w:w="659" w:type="dxa"/>
            <w:shd w:val="clear" w:color="auto" w:fill="E0E0E0"/>
          </w:tcPr>
          <w:p w14:paraId="1BF77647" w14:textId="77777777" w:rsidR="0068068B" w:rsidRPr="0067507D" w:rsidRDefault="0068068B" w:rsidP="00A721E2">
            <w:pPr>
              <w:pStyle w:val="Tabletextright"/>
              <w:spacing w:before="0" w:after="0"/>
              <w:rPr>
                <w:rFonts w:cstheme="minorHAnsi"/>
                <w:sz w:val="6"/>
              </w:rPr>
            </w:pPr>
          </w:p>
        </w:tc>
        <w:tc>
          <w:tcPr>
            <w:tcW w:w="1042" w:type="dxa"/>
          </w:tcPr>
          <w:p w14:paraId="7F814D04" w14:textId="77777777" w:rsidR="0068068B" w:rsidRPr="0067507D" w:rsidRDefault="0068068B" w:rsidP="00A721E2">
            <w:pPr>
              <w:pStyle w:val="Tabletextright"/>
              <w:spacing w:before="0" w:after="0"/>
              <w:rPr>
                <w:rFonts w:cstheme="minorHAnsi"/>
                <w:sz w:val="6"/>
              </w:rPr>
            </w:pPr>
          </w:p>
        </w:tc>
        <w:tc>
          <w:tcPr>
            <w:tcW w:w="992" w:type="dxa"/>
          </w:tcPr>
          <w:p w14:paraId="1E74A0BF" w14:textId="77777777" w:rsidR="0068068B" w:rsidRPr="0067507D" w:rsidRDefault="0068068B" w:rsidP="00A721E2">
            <w:pPr>
              <w:pStyle w:val="Tabletextright"/>
              <w:spacing w:before="0" w:after="0"/>
              <w:rPr>
                <w:sz w:val="6"/>
              </w:rPr>
            </w:pPr>
          </w:p>
        </w:tc>
        <w:tc>
          <w:tcPr>
            <w:tcW w:w="702" w:type="dxa"/>
          </w:tcPr>
          <w:p w14:paraId="7B477076" w14:textId="77777777" w:rsidR="0068068B" w:rsidRPr="0067507D" w:rsidRDefault="0068068B" w:rsidP="00A721E2">
            <w:pPr>
              <w:pStyle w:val="Tabletextright"/>
              <w:spacing w:before="0" w:after="0"/>
              <w:rPr>
                <w:sz w:val="6"/>
              </w:rPr>
            </w:pPr>
          </w:p>
        </w:tc>
        <w:tc>
          <w:tcPr>
            <w:tcW w:w="999" w:type="dxa"/>
            <w:shd w:val="clear" w:color="auto" w:fill="E0E0E0"/>
          </w:tcPr>
          <w:p w14:paraId="7EB25E18" w14:textId="77777777" w:rsidR="0068068B" w:rsidRPr="0067507D" w:rsidRDefault="0068068B" w:rsidP="00A721E2">
            <w:pPr>
              <w:pStyle w:val="Tabletextright"/>
              <w:spacing w:before="0" w:after="0"/>
              <w:rPr>
                <w:sz w:val="6"/>
              </w:rPr>
            </w:pPr>
          </w:p>
        </w:tc>
        <w:tc>
          <w:tcPr>
            <w:tcW w:w="729" w:type="dxa"/>
            <w:shd w:val="clear" w:color="auto" w:fill="E0E0E0"/>
          </w:tcPr>
          <w:p w14:paraId="1BD0A90B" w14:textId="77777777" w:rsidR="0068068B" w:rsidRPr="0067507D" w:rsidRDefault="0068068B" w:rsidP="00A721E2">
            <w:pPr>
              <w:pStyle w:val="Tabletextright"/>
              <w:spacing w:before="0" w:after="0"/>
              <w:rPr>
                <w:sz w:val="6"/>
              </w:rPr>
            </w:pPr>
          </w:p>
        </w:tc>
        <w:tc>
          <w:tcPr>
            <w:tcW w:w="1055" w:type="dxa"/>
            <w:noWrap/>
          </w:tcPr>
          <w:p w14:paraId="2EF1DB3F" w14:textId="77777777" w:rsidR="0068068B" w:rsidRPr="0067507D" w:rsidRDefault="0068068B" w:rsidP="00A721E2">
            <w:pPr>
              <w:pStyle w:val="Tabletextright"/>
              <w:spacing w:before="0" w:after="0"/>
              <w:rPr>
                <w:rFonts w:cstheme="minorHAnsi"/>
                <w:sz w:val="6"/>
              </w:rPr>
            </w:pPr>
          </w:p>
        </w:tc>
        <w:tc>
          <w:tcPr>
            <w:tcW w:w="673" w:type="dxa"/>
          </w:tcPr>
          <w:p w14:paraId="0F74C7F9" w14:textId="77777777" w:rsidR="0068068B" w:rsidRPr="0067507D" w:rsidRDefault="0068068B" w:rsidP="00A721E2">
            <w:pPr>
              <w:pStyle w:val="Tabletextright"/>
              <w:spacing w:before="0" w:after="0"/>
              <w:rPr>
                <w:rFonts w:cstheme="minorHAnsi"/>
                <w:sz w:val="6"/>
              </w:rPr>
            </w:pPr>
          </w:p>
        </w:tc>
        <w:tc>
          <w:tcPr>
            <w:tcW w:w="1087" w:type="dxa"/>
            <w:shd w:val="clear" w:color="auto" w:fill="E0E0E0"/>
            <w:noWrap/>
          </w:tcPr>
          <w:p w14:paraId="0E2844E5" w14:textId="77777777" w:rsidR="0068068B" w:rsidRPr="0067507D" w:rsidRDefault="0068068B" w:rsidP="00A721E2">
            <w:pPr>
              <w:pStyle w:val="Tabletextright"/>
              <w:spacing w:before="0" w:after="0"/>
              <w:rPr>
                <w:rFonts w:cstheme="minorHAnsi"/>
                <w:sz w:val="6"/>
              </w:rPr>
            </w:pPr>
          </w:p>
        </w:tc>
        <w:tc>
          <w:tcPr>
            <w:tcW w:w="992" w:type="dxa"/>
            <w:shd w:val="clear" w:color="auto" w:fill="E0E0E0"/>
          </w:tcPr>
          <w:p w14:paraId="39E7C9D4" w14:textId="77777777" w:rsidR="0068068B" w:rsidRPr="0067507D" w:rsidRDefault="0068068B" w:rsidP="00A721E2">
            <w:pPr>
              <w:pStyle w:val="Tabletextright"/>
              <w:spacing w:before="0" w:after="0"/>
              <w:rPr>
                <w:sz w:val="6"/>
              </w:rPr>
            </w:pPr>
          </w:p>
        </w:tc>
        <w:tc>
          <w:tcPr>
            <w:tcW w:w="657" w:type="dxa"/>
            <w:shd w:val="clear" w:color="auto" w:fill="E0E0E0"/>
          </w:tcPr>
          <w:p w14:paraId="0C368C2E" w14:textId="77777777" w:rsidR="0068068B" w:rsidRPr="0067507D" w:rsidRDefault="0068068B" w:rsidP="00A721E2">
            <w:pPr>
              <w:pStyle w:val="Tabletextright"/>
              <w:spacing w:before="0" w:after="0"/>
              <w:rPr>
                <w:sz w:val="6"/>
              </w:rPr>
            </w:pPr>
          </w:p>
        </w:tc>
        <w:tc>
          <w:tcPr>
            <w:tcW w:w="1044" w:type="dxa"/>
          </w:tcPr>
          <w:p w14:paraId="23AC8319" w14:textId="77777777" w:rsidR="0068068B" w:rsidRPr="0067507D" w:rsidRDefault="0068068B" w:rsidP="00A721E2">
            <w:pPr>
              <w:pStyle w:val="Tabletextright"/>
              <w:spacing w:before="0" w:after="0"/>
              <w:rPr>
                <w:sz w:val="6"/>
              </w:rPr>
            </w:pPr>
          </w:p>
        </w:tc>
        <w:tc>
          <w:tcPr>
            <w:tcW w:w="684" w:type="dxa"/>
          </w:tcPr>
          <w:p w14:paraId="2C2E2D60" w14:textId="77777777" w:rsidR="0068068B" w:rsidRPr="0067507D" w:rsidRDefault="0068068B" w:rsidP="00A721E2">
            <w:pPr>
              <w:pStyle w:val="Tabletextright"/>
              <w:spacing w:before="0" w:after="0"/>
              <w:rPr>
                <w:sz w:val="6"/>
              </w:rPr>
            </w:pPr>
          </w:p>
        </w:tc>
      </w:tr>
      <w:tr w:rsidR="00AE20A0" w:rsidRPr="0067507D" w14:paraId="492BAD16" w14:textId="77777777" w:rsidTr="00A721E2">
        <w:trPr>
          <w:cantSplit/>
        </w:trPr>
        <w:tc>
          <w:tcPr>
            <w:tcW w:w="1530" w:type="dxa"/>
            <w:vAlign w:val="bottom"/>
          </w:tcPr>
          <w:p w14:paraId="573358E3" w14:textId="530AE7DF" w:rsidR="0068068B" w:rsidRPr="0067507D" w:rsidRDefault="0068068B" w:rsidP="00A721E2">
            <w:pPr>
              <w:pStyle w:val="Tabletext"/>
              <w:spacing w:before="20" w:after="20"/>
              <w:rPr>
                <w:rFonts w:asciiTheme="majorHAnsi" w:hAnsiTheme="majorHAnsi" w:cstheme="minorHAnsi"/>
              </w:rPr>
            </w:pPr>
            <w:r w:rsidRPr="0067507D">
              <w:rPr>
                <w:rFonts w:asciiTheme="majorHAnsi" w:hAnsiTheme="majorHAnsi" w:cstheme="minorHAnsi"/>
              </w:rPr>
              <w:t>Total employees</w:t>
            </w:r>
            <w:r w:rsidR="00616783" w:rsidRPr="0067507D">
              <w:rPr>
                <w:rFonts w:asciiTheme="majorHAnsi" w:hAnsiTheme="majorHAnsi" w:cstheme="minorHAnsi"/>
              </w:rPr>
              <w:t xml:space="preserve"> </w:t>
            </w:r>
            <w:r w:rsidR="00616783" w:rsidRPr="0067507D">
              <w:rPr>
                <w:rFonts w:asciiTheme="majorHAnsi" w:hAnsiTheme="majorHAnsi" w:cstheme="minorHAnsi"/>
                <w:vertAlign w:val="superscript"/>
              </w:rPr>
              <w:t>(b)</w:t>
            </w:r>
          </w:p>
        </w:tc>
        <w:tc>
          <w:tcPr>
            <w:tcW w:w="1022" w:type="dxa"/>
            <w:shd w:val="clear" w:color="auto" w:fill="E0E0E0"/>
          </w:tcPr>
          <w:p w14:paraId="67E5E451" w14:textId="600CD6DF" w:rsidR="0068068B" w:rsidRPr="0067507D" w:rsidRDefault="00A14C1E" w:rsidP="00A721E2">
            <w:pPr>
              <w:pStyle w:val="Tabletextrightbold"/>
              <w:spacing w:before="20" w:after="20"/>
            </w:pPr>
            <w:r w:rsidRPr="0067507D">
              <w:t>42</w:t>
            </w:r>
          </w:p>
        </w:tc>
        <w:tc>
          <w:tcPr>
            <w:tcW w:w="659" w:type="dxa"/>
            <w:shd w:val="clear" w:color="auto" w:fill="E0E0E0"/>
          </w:tcPr>
          <w:p w14:paraId="7974DED3" w14:textId="69EC36EC" w:rsidR="0068068B" w:rsidRPr="0067507D" w:rsidRDefault="00A14C1E" w:rsidP="00A721E2">
            <w:pPr>
              <w:pStyle w:val="Tabletextrightbold"/>
              <w:spacing w:before="20" w:after="20"/>
            </w:pPr>
            <w:r w:rsidRPr="0067507D">
              <w:t>42</w:t>
            </w:r>
          </w:p>
        </w:tc>
        <w:tc>
          <w:tcPr>
            <w:tcW w:w="1042" w:type="dxa"/>
          </w:tcPr>
          <w:p w14:paraId="139537F8" w14:textId="7EC2FBF0" w:rsidR="0068068B" w:rsidRPr="0067507D" w:rsidRDefault="00A14C1E" w:rsidP="00A721E2">
            <w:pPr>
              <w:pStyle w:val="Tabletextrightbold"/>
              <w:spacing w:before="20" w:after="20"/>
            </w:pPr>
            <w:r w:rsidRPr="0067507D">
              <w:t>37</w:t>
            </w:r>
          </w:p>
        </w:tc>
        <w:tc>
          <w:tcPr>
            <w:tcW w:w="992" w:type="dxa"/>
          </w:tcPr>
          <w:p w14:paraId="5E90ED8C" w14:textId="19D02136" w:rsidR="0068068B" w:rsidRPr="0067507D" w:rsidRDefault="000A55B5" w:rsidP="00A721E2">
            <w:pPr>
              <w:pStyle w:val="Tabletextrightbold"/>
              <w:spacing w:before="20" w:after="20"/>
            </w:pPr>
            <w:r w:rsidRPr="0067507D">
              <w:t>–</w:t>
            </w:r>
          </w:p>
        </w:tc>
        <w:tc>
          <w:tcPr>
            <w:tcW w:w="702" w:type="dxa"/>
          </w:tcPr>
          <w:p w14:paraId="78F6067F" w14:textId="36BC0092" w:rsidR="0068068B" w:rsidRPr="0067507D" w:rsidRDefault="00A14C1E" w:rsidP="00A721E2">
            <w:pPr>
              <w:pStyle w:val="Tabletextrightbold"/>
              <w:spacing w:before="20" w:after="20"/>
            </w:pPr>
            <w:r w:rsidRPr="0067507D">
              <w:t>37</w:t>
            </w:r>
          </w:p>
        </w:tc>
        <w:tc>
          <w:tcPr>
            <w:tcW w:w="999" w:type="dxa"/>
            <w:shd w:val="clear" w:color="auto" w:fill="E0E0E0"/>
          </w:tcPr>
          <w:p w14:paraId="116432E5" w14:textId="610EAD73" w:rsidR="0068068B" w:rsidRPr="0067507D" w:rsidRDefault="00A14C1E" w:rsidP="00A721E2">
            <w:pPr>
              <w:pStyle w:val="Tabletextrightbold"/>
              <w:spacing w:before="20" w:after="20"/>
            </w:pPr>
            <w:r w:rsidRPr="0067507D">
              <w:t>5</w:t>
            </w:r>
          </w:p>
        </w:tc>
        <w:tc>
          <w:tcPr>
            <w:tcW w:w="729" w:type="dxa"/>
            <w:shd w:val="clear" w:color="auto" w:fill="E0E0E0"/>
          </w:tcPr>
          <w:p w14:paraId="4C013F4D" w14:textId="0A99E7A0" w:rsidR="0068068B" w:rsidRPr="0067507D" w:rsidRDefault="00A14C1E" w:rsidP="00A721E2">
            <w:pPr>
              <w:pStyle w:val="Tabletextrightbold"/>
              <w:spacing w:before="20" w:after="20"/>
            </w:pPr>
            <w:r w:rsidRPr="0067507D">
              <w:t>5</w:t>
            </w:r>
          </w:p>
        </w:tc>
        <w:tc>
          <w:tcPr>
            <w:tcW w:w="1055" w:type="dxa"/>
            <w:noWrap/>
          </w:tcPr>
          <w:p w14:paraId="66E64B15" w14:textId="51E6A491" w:rsidR="0068068B" w:rsidRPr="0067507D" w:rsidRDefault="00CE3AAF" w:rsidP="00A721E2">
            <w:pPr>
              <w:pStyle w:val="Tabletextrightbold"/>
              <w:spacing w:before="20" w:after="20"/>
            </w:pPr>
            <w:r w:rsidRPr="0067507D">
              <w:t>58</w:t>
            </w:r>
          </w:p>
        </w:tc>
        <w:tc>
          <w:tcPr>
            <w:tcW w:w="673" w:type="dxa"/>
          </w:tcPr>
          <w:p w14:paraId="2BDB43DD" w14:textId="18443E66" w:rsidR="0068068B" w:rsidRPr="0067507D" w:rsidRDefault="00CE3AAF" w:rsidP="00A721E2">
            <w:pPr>
              <w:pStyle w:val="Tabletextrightbold"/>
              <w:spacing w:before="20" w:after="20"/>
            </w:pPr>
            <w:r w:rsidRPr="0067507D">
              <w:t>57</w:t>
            </w:r>
          </w:p>
        </w:tc>
        <w:tc>
          <w:tcPr>
            <w:tcW w:w="1087" w:type="dxa"/>
            <w:shd w:val="clear" w:color="auto" w:fill="E0E0E0"/>
            <w:noWrap/>
          </w:tcPr>
          <w:p w14:paraId="15C749F5" w14:textId="0D1A7BDE" w:rsidR="0068068B" w:rsidRPr="0067507D" w:rsidRDefault="00CE3AAF" w:rsidP="00A721E2">
            <w:pPr>
              <w:pStyle w:val="Tabletextrightbold"/>
              <w:spacing w:before="20" w:after="20"/>
            </w:pPr>
            <w:r w:rsidRPr="0067507D">
              <w:t>47</w:t>
            </w:r>
          </w:p>
        </w:tc>
        <w:tc>
          <w:tcPr>
            <w:tcW w:w="992" w:type="dxa"/>
            <w:shd w:val="clear" w:color="auto" w:fill="E0E0E0"/>
          </w:tcPr>
          <w:p w14:paraId="196CF939" w14:textId="4C0E9896" w:rsidR="0068068B" w:rsidRPr="0067507D" w:rsidRDefault="00CE3AAF" w:rsidP="00A721E2">
            <w:pPr>
              <w:pStyle w:val="Tabletextrightbold"/>
              <w:spacing w:before="20" w:after="20"/>
            </w:pPr>
            <w:r w:rsidRPr="0067507D">
              <w:t>2</w:t>
            </w:r>
          </w:p>
        </w:tc>
        <w:tc>
          <w:tcPr>
            <w:tcW w:w="657" w:type="dxa"/>
            <w:shd w:val="clear" w:color="auto" w:fill="E0E0E0"/>
          </w:tcPr>
          <w:p w14:paraId="04A1C28C" w14:textId="6700A162" w:rsidR="0068068B" w:rsidRPr="0067507D" w:rsidRDefault="00CE3AAF" w:rsidP="00A721E2">
            <w:pPr>
              <w:pStyle w:val="Tabletextrightbold"/>
              <w:spacing w:before="20" w:after="20"/>
            </w:pPr>
            <w:r w:rsidRPr="0067507D">
              <w:t>48</w:t>
            </w:r>
          </w:p>
        </w:tc>
        <w:tc>
          <w:tcPr>
            <w:tcW w:w="1044" w:type="dxa"/>
          </w:tcPr>
          <w:p w14:paraId="4CB1293C" w14:textId="1E3C2636" w:rsidR="0068068B" w:rsidRPr="0067507D" w:rsidRDefault="00CE3AAF" w:rsidP="00A721E2">
            <w:pPr>
              <w:pStyle w:val="Tabletextrightbold"/>
              <w:spacing w:before="20" w:after="20"/>
            </w:pPr>
            <w:r w:rsidRPr="0067507D">
              <w:t>9</w:t>
            </w:r>
          </w:p>
        </w:tc>
        <w:tc>
          <w:tcPr>
            <w:tcW w:w="684" w:type="dxa"/>
          </w:tcPr>
          <w:p w14:paraId="4387BB5D" w14:textId="0492B7E4" w:rsidR="0068068B" w:rsidRPr="0067507D" w:rsidRDefault="00CE3AAF" w:rsidP="00A721E2">
            <w:pPr>
              <w:pStyle w:val="Tabletextrightbold"/>
              <w:spacing w:before="20" w:after="20"/>
            </w:pPr>
            <w:r w:rsidRPr="0067507D">
              <w:t>9</w:t>
            </w:r>
          </w:p>
        </w:tc>
      </w:tr>
    </w:tbl>
    <w:p w14:paraId="2B9BF7B7" w14:textId="77777777" w:rsidR="0068068B" w:rsidRPr="0067507D" w:rsidRDefault="0068068B" w:rsidP="0015118D">
      <w:pPr>
        <w:pStyle w:val="Notes"/>
      </w:pPr>
      <w:r w:rsidRPr="0067507D">
        <w:t>Notes:</w:t>
      </w:r>
    </w:p>
    <w:p w14:paraId="6BFB850B" w14:textId="010E72BB" w:rsidR="001F23BA" w:rsidRPr="0067507D" w:rsidRDefault="001F23BA" w:rsidP="0015118D">
      <w:pPr>
        <w:pStyle w:val="Notes"/>
        <w:rPr>
          <w:szCs w:val="14"/>
        </w:rPr>
      </w:pPr>
      <w:r w:rsidRPr="0067507D">
        <w:rPr>
          <w:szCs w:val="14"/>
        </w:rPr>
        <w:t>(a) Wage Inspectorate</w:t>
      </w:r>
      <w:r w:rsidR="00E7799B" w:rsidRPr="0067507D">
        <w:rPr>
          <w:szCs w:val="14"/>
        </w:rPr>
        <w:t xml:space="preserve"> Victoria’s</w:t>
      </w:r>
      <w:r w:rsidRPr="0067507D">
        <w:rPr>
          <w:szCs w:val="14"/>
        </w:rPr>
        <w:t xml:space="preserve"> ongoing and fixed</w:t>
      </w:r>
      <w:r w:rsidR="006A5485">
        <w:rPr>
          <w:szCs w:val="14"/>
        </w:rPr>
        <w:noBreakHyphen/>
      </w:r>
      <w:r w:rsidRPr="0067507D">
        <w:rPr>
          <w:szCs w:val="14"/>
        </w:rPr>
        <w:t xml:space="preserve">term employment levels decreased over the reporting period </w:t>
      </w:r>
      <w:r w:rsidR="00F576E5" w:rsidRPr="0067507D">
        <w:rPr>
          <w:szCs w:val="14"/>
        </w:rPr>
        <w:t>following a major staffing change process that was necessitated due to a reduction in operating budget</w:t>
      </w:r>
      <w:r w:rsidRPr="0067507D">
        <w:rPr>
          <w:szCs w:val="14"/>
        </w:rPr>
        <w:t xml:space="preserve">. </w:t>
      </w:r>
    </w:p>
    <w:p w14:paraId="45A7218A" w14:textId="3827443F" w:rsidR="0068068B" w:rsidRPr="0067507D" w:rsidRDefault="0015118D" w:rsidP="007D0A6B">
      <w:pPr>
        <w:pStyle w:val="Notes"/>
      </w:pPr>
      <w:r w:rsidRPr="0067507D">
        <w:rPr>
          <w:szCs w:val="14"/>
        </w:rPr>
        <w:t xml:space="preserve">(b) </w:t>
      </w:r>
      <w:r w:rsidR="0068068B" w:rsidRPr="0067507D">
        <w:t>Some FTE figures may not total due to rounding.</w:t>
      </w:r>
    </w:p>
    <w:p w14:paraId="37BE7816" w14:textId="77777777" w:rsidR="0068068B" w:rsidRPr="0067507D" w:rsidRDefault="0068068B" w:rsidP="0068068B">
      <w:pPr>
        <w:spacing w:before="0" w:after="0"/>
        <w:rPr>
          <w:rFonts w:cs="AGaramondPro-Regular"/>
          <w:color w:val="4A4A4A"/>
          <w:sz w:val="14"/>
          <w:szCs w:val="18"/>
        </w:rPr>
      </w:pPr>
    </w:p>
    <w:p w14:paraId="2111AC60" w14:textId="77777777" w:rsidR="0068068B" w:rsidRPr="0067507D" w:rsidRDefault="0068068B" w:rsidP="0068068B">
      <w:pPr>
        <w:spacing w:before="0" w:after="0"/>
        <w:sectPr w:rsidR="0068068B" w:rsidRPr="0067507D" w:rsidSect="0068068B">
          <w:headerReference w:type="even" r:id="rId169"/>
          <w:headerReference w:type="default" r:id="rId170"/>
          <w:footerReference w:type="even" r:id="rId171"/>
          <w:footerReference w:type="default" r:id="rId172"/>
          <w:pgSz w:w="16834" w:h="11909" w:orient="landscape" w:code="9"/>
          <w:pgMar w:top="1152" w:right="1099" w:bottom="810" w:left="1728" w:header="720" w:footer="288" w:gutter="0"/>
          <w:cols w:space="720"/>
          <w:noEndnote/>
        </w:sectPr>
      </w:pPr>
    </w:p>
    <w:p w14:paraId="3E0EA42F" w14:textId="0D724E23" w:rsidR="0068068B" w:rsidRPr="0067507D" w:rsidRDefault="0068068B" w:rsidP="0068068B">
      <w:pPr>
        <w:pStyle w:val="Tableheading"/>
      </w:pPr>
      <w:r w:rsidRPr="0067507D">
        <w:lastRenderedPageBreak/>
        <w:t>Annualised total salary, by $20</w:t>
      </w:r>
      <w:r w:rsidRPr="0067507D">
        <w:rPr>
          <w:rFonts w:ascii="Calibri" w:hAnsi="Calibri" w:cs="Calibri"/>
        </w:rPr>
        <w:t> </w:t>
      </w:r>
      <w:r w:rsidRPr="0067507D">
        <w:t>000 bands, for executives and other senior non</w:t>
      </w:r>
      <w:r w:rsidRPr="0067507D">
        <w:noBreakHyphen/>
        <w:t xml:space="preserve">executive staff </w:t>
      </w:r>
      <w:r w:rsidR="007810BE" w:rsidRPr="0067507D">
        <w:t>–</w:t>
      </w:r>
      <w:r w:rsidRPr="0067507D">
        <w:t xml:space="preserve"> </w:t>
      </w:r>
      <w:r w:rsidRPr="0067507D">
        <w:br/>
        <w:t>Wage Inspectorate Victoria</w:t>
      </w:r>
    </w:p>
    <w:tbl>
      <w:tblPr>
        <w:tblW w:w="0" w:type="auto"/>
        <w:tblInd w:w="-86" w:type="dxa"/>
        <w:tblLayout w:type="fixed"/>
        <w:tblLook w:val="0000" w:firstRow="0" w:lastRow="0" w:firstColumn="0" w:lastColumn="0" w:noHBand="0" w:noVBand="0"/>
      </w:tblPr>
      <w:tblGrid>
        <w:gridCol w:w="2700"/>
        <w:gridCol w:w="1269"/>
        <w:gridCol w:w="891"/>
        <w:gridCol w:w="1080"/>
        <w:gridCol w:w="1080"/>
        <w:gridCol w:w="1080"/>
        <w:gridCol w:w="1080"/>
      </w:tblGrid>
      <w:tr w:rsidR="00791F8C" w:rsidRPr="0067507D" w14:paraId="2E5862E9" w14:textId="77777777" w:rsidTr="007810BE">
        <w:tc>
          <w:tcPr>
            <w:tcW w:w="2700" w:type="dxa"/>
            <w:shd w:val="clear" w:color="auto" w:fill="FFFFFF" w:themeFill="background1"/>
          </w:tcPr>
          <w:p w14:paraId="52BD7996" w14:textId="77777777" w:rsidR="0068068B" w:rsidRPr="0067507D" w:rsidRDefault="0068068B" w:rsidP="00A721E2">
            <w:pPr>
              <w:pStyle w:val="Tabletextheadingleft"/>
            </w:pPr>
            <w:r w:rsidRPr="0067507D">
              <w:t>Income band (salary)</w:t>
            </w:r>
          </w:p>
        </w:tc>
        <w:tc>
          <w:tcPr>
            <w:tcW w:w="1269" w:type="dxa"/>
            <w:shd w:val="clear" w:color="auto" w:fill="FFFFFF" w:themeFill="background1"/>
          </w:tcPr>
          <w:p w14:paraId="49EE5984" w14:textId="77777777" w:rsidR="0068068B" w:rsidRPr="0067507D" w:rsidRDefault="0068068B" w:rsidP="00A721E2">
            <w:pPr>
              <w:pStyle w:val="Tabletextheadingcentred"/>
            </w:pPr>
            <w:r w:rsidRPr="0067507D">
              <w:t>Executives</w:t>
            </w:r>
          </w:p>
        </w:tc>
        <w:tc>
          <w:tcPr>
            <w:tcW w:w="891" w:type="dxa"/>
            <w:shd w:val="clear" w:color="auto" w:fill="FFFFFF" w:themeFill="background1"/>
          </w:tcPr>
          <w:p w14:paraId="57ECF79D" w14:textId="77777777" w:rsidR="0068068B" w:rsidRPr="0067507D" w:rsidRDefault="0068068B" w:rsidP="00A721E2">
            <w:pPr>
              <w:pStyle w:val="Tabletextheadingcentred"/>
            </w:pPr>
            <w:r w:rsidRPr="0067507D">
              <w:t>STS</w:t>
            </w:r>
          </w:p>
        </w:tc>
        <w:tc>
          <w:tcPr>
            <w:tcW w:w="1080" w:type="dxa"/>
            <w:shd w:val="clear" w:color="auto" w:fill="FFFFFF" w:themeFill="background1"/>
          </w:tcPr>
          <w:p w14:paraId="38E439FF" w14:textId="77777777" w:rsidR="0068068B" w:rsidRPr="0067507D" w:rsidRDefault="0068068B" w:rsidP="00A721E2">
            <w:pPr>
              <w:pStyle w:val="Tabletextheadingcentred"/>
            </w:pPr>
            <w:r w:rsidRPr="0067507D">
              <w:t>PS</w:t>
            </w:r>
          </w:p>
        </w:tc>
        <w:tc>
          <w:tcPr>
            <w:tcW w:w="1080" w:type="dxa"/>
            <w:shd w:val="clear" w:color="auto" w:fill="FFFFFF" w:themeFill="background1"/>
          </w:tcPr>
          <w:p w14:paraId="2691BE0F" w14:textId="77777777" w:rsidR="0068068B" w:rsidRPr="0067507D" w:rsidRDefault="0068068B" w:rsidP="00A721E2">
            <w:pPr>
              <w:pStyle w:val="Tabletextheadingcentred"/>
            </w:pPr>
            <w:r w:rsidRPr="0067507D">
              <w:t>SMA</w:t>
            </w:r>
          </w:p>
        </w:tc>
        <w:tc>
          <w:tcPr>
            <w:tcW w:w="1080" w:type="dxa"/>
            <w:shd w:val="clear" w:color="auto" w:fill="FFFFFF" w:themeFill="background1"/>
          </w:tcPr>
          <w:p w14:paraId="403517CC" w14:textId="77777777" w:rsidR="0068068B" w:rsidRPr="0067507D" w:rsidRDefault="0068068B" w:rsidP="00A721E2">
            <w:pPr>
              <w:pStyle w:val="Tabletextheadingcentred"/>
            </w:pPr>
            <w:r w:rsidRPr="0067507D">
              <w:t>SRA</w:t>
            </w:r>
          </w:p>
        </w:tc>
        <w:tc>
          <w:tcPr>
            <w:tcW w:w="1080" w:type="dxa"/>
            <w:shd w:val="clear" w:color="auto" w:fill="FFFFFF" w:themeFill="background1"/>
          </w:tcPr>
          <w:p w14:paraId="4FDEB87D" w14:textId="77777777" w:rsidR="0068068B" w:rsidRPr="0067507D" w:rsidRDefault="0068068B" w:rsidP="00A721E2">
            <w:pPr>
              <w:pStyle w:val="Tabletextheadingcentred"/>
            </w:pPr>
            <w:r w:rsidRPr="0067507D">
              <w:t>Other</w:t>
            </w:r>
          </w:p>
        </w:tc>
      </w:tr>
      <w:tr w:rsidR="00E02C6B" w:rsidRPr="0067507D" w14:paraId="490199B9" w14:textId="77777777" w:rsidTr="007810BE">
        <w:tc>
          <w:tcPr>
            <w:tcW w:w="2700" w:type="dxa"/>
            <w:vAlign w:val="bottom"/>
          </w:tcPr>
          <w:p w14:paraId="0FD753C6" w14:textId="77777777" w:rsidR="0068068B" w:rsidRPr="0067507D" w:rsidRDefault="0068068B" w:rsidP="00A721E2">
            <w:pPr>
              <w:pStyle w:val="Tabletext"/>
            </w:pPr>
            <w:r w:rsidRPr="0067507D">
              <w:t>&lt;$160</w:t>
            </w:r>
            <w:r w:rsidRPr="0067507D">
              <w:rPr>
                <w:rFonts w:ascii="Calibri" w:hAnsi="Calibri" w:cs="Calibri"/>
              </w:rPr>
              <w:t> </w:t>
            </w:r>
            <w:r w:rsidRPr="0067507D">
              <w:t>000</w:t>
            </w:r>
          </w:p>
        </w:tc>
        <w:tc>
          <w:tcPr>
            <w:tcW w:w="1269" w:type="dxa"/>
            <w:shd w:val="clear" w:color="auto" w:fill="E0E0E0"/>
          </w:tcPr>
          <w:p w14:paraId="52B57F36" w14:textId="77777777" w:rsidR="0068068B" w:rsidRPr="0067507D" w:rsidRDefault="0068068B" w:rsidP="00A721E2">
            <w:pPr>
              <w:pStyle w:val="Tabletextright"/>
            </w:pPr>
          </w:p>
        </w:tc>
        <w:tc>
          <w:tcPr>
            <w:tcW w:w="891" w:type="dxa"/>
          </w:tcPr>
          <w:p w14:paraId="17DE21DF" w14:textId="77777777" w:rsidR="0068068B" w:rsidRPr="0067507D" w:rsidRDefault="0068068B" w:rsidP="00A721E2">
            <w:pPr>
              <w:pStyle w:val="Tabletextright"/>
            </w:pPr>
          </w:p>
        </w:tc>
        <w:tc>
          <w:tcPr>
            <w:tcW w:w="1080" w:type="dxa"/>
            <w:shd w:val="clear" w:color="auto" w:fill="E0E0E0"/>
          </w:tcPr>
          <w:p w14:paraId="3FC62707" w14:textId="77777777" w:rsidR="0068068B" w:rsidRPr="0067507D" w:rsidRDefault="0068068B" w:rsidP="00A721E2">
            <w:pPr>
              <w:pStyle w:val="Tabletextright"/>
            </w:pPr>
          </w:p>
        </w:tc>
        <w:tc>
          <w:tcPr>
            <w:tcW w:w="1080" w:type="dxa"/>
          </w:tcPr>
          <w:p w14:paraId="2FD4082B" w14:textId="77777777" w:rsidR="0068068B" w:rsidRPr="0067507D" w:rsidRDefault="0068068B" w:rsidP="00A721E2">
            <w:pPr>
              <w:pStyle w:val="Tabletextright"/>
            </w:pPr>
          </w:p>
        </w:tc>
        <w:tc>
          <w:tcPr>
            <w:tcW w:w="1080" w:type="dxa"/>
            <w:shd w:val="clear" w:color="auto" w:fill="E0E0E0"/>
          </w:tcPr>
          <w:p w14:paraId="744A1E2D" w14:textId="77777777" w:rsidR="0068068B" w:rsidRPr="0067507D" w:rsidRDefault="0068068B" w:rsidP="00A721E2">
            <w:pPr>
              <w:pStyle w:val="Tabletextright"/>
            </w:pPr>
          </w:p>
        </w:tc>
        <w:tc>
          <w:tcPr>
            <w:tcW w:w="1080" w:type="dxa"/>
          </w:tcPr>
          <w:p w14:paraId="5A74AC44" w14:textId="77777777" w:rsidR="0068068B" w:rsidRPr="0067507D" w:rsidRDefault="0068068B" w:rsidP="00A721E2">
            <w:pPr>
              <w:pStyle w:val="Tabletextright"/>
            </w:pPr>
          </w:p>
        </w:tc>
      </w:tr>
      <w:tr w:rsidR="00E02C6B" w:rsidRPr="0067507D" w14:paraId="19BE7617" w14:textId="77777777" w:rsidTr="007810BE">
        <w:tc>
          <w:tcPr>
            <w:tcW w:w="2700" w:type="dxa"/>
            <w:vAlign w:val="bottom"/>
          </w:tcPr>
          <w:p w14:paraId="5D73330F" w14:textId="77777777" w:rsidR="0068068B" w:rsidRPr="0067507D" w:rsidRDefault="0068068B" w:rsidP="00A721E2">
            <w:pPr>
              <w:pStyle w:val="Tabletext"/>
            </w:pPr>
            <w:r w:rsidRPr="0067507D">
              <w:t>$160</w:t>
            </w:r>
            <w:r w:rsidRPr="0067507D">
              <w:rPr>
                <w:rFonts w:ascii="Calibri" w:hAnsi="Calibri" w:cs="Calibri"/>
              </w:rPr>
              <w:t> </w:t>
            </w:r>
            <w:r w:rsidRPr="0067507D">
              <w:t>000–$179</w:t>
            </w:r>
            <w:r w:rsidRPr="0067507D">
              <w:rPr>
                <w:rFonts w:ascii="Calibri" w:hAnsi="Calibri" w:cs="Calibri"/>
              </w:rPr>
              <w:t> </w:t>
            </w:r>
            <w:r w:rsidRPr="0067507D">
              <w:t>999</w:t>
            </w:r>
          </w:p>
        </w:tc>
        <w:tc>
          <w:tcPr>
            <w:tcW w:w="1269" w:type="dxa"/>
            <w:shd w:val="clear" w:color="auto" w:fill="E0E0E0"/>
          </w:tcPr>
          <w:p w14:paraId="277AB306" w14:textId="77777777" w:rsidR="0068068B" w:rsidRPr="0067507D" w:rsidRDefault="0068068B" w:rsidP="00A721E2">
            <w:pPr>
              <w:pStyle w:val="Tabletextright"/>
            </w:pPr>
          </w:p>
        </w:tc>
        <w:tc>
          <w:tcPr>
            <w:tcW w:w="891" w:type="dxa"/>
          </w:tcPr>
          <w:p w14:paraId="2932A83A" w14:textId="77777777" w:rsidR="0068068B" w:rsidRPr="0067507D" w:rsidRDefault="0068068B" w:rsidP="00A721E2">
            <w:pPr>
              <w:pStyle w:val="Tabletextright"/>
            </w:pPr>
          </w:p>
        </w:tc>
        <w:tc>
          <w:tcPr>
            <w:tcW w:w="1080" w:type="dxa"/>
            <w:shd w:val="clear" w:color="auto" w:fill="E0E0E0"/>
          </w:tcPr>
          <w:p w14:paraId="176C71A5" w14:textId="77777777" w:rsidR="0068068B" w:rsidRPr="0067507D" w:rsidRDefault="0068068B" w:rsidP="00A721E2">
            <w:pPr>
              <w:pStyle w:val="Tabletextright"/>
            </w:pPr>
          </w:p>
        </w:tc>
        <w:tc>
          <w:tcPr>
            <w:tcW w:w="1080" w:type="dxa"/>
          </w:tcPr>
          <w:p w14:paraId="36507FBD" w14:textId="77777777" w:rsidR="0068068B" w:rsidRPr="0067507D" w:rsidRDefault="0068068B" w:rsidP="00A721E2">
            <w:pPr>
              <w:pStyle w:val="Tabletextright"/>
            </w:pPr>
          </w:p>
        </w:tc>
        <w:tc>
          <w:tcPr>
            <w:tcW w:w="1080" w:type="dxa"/>
            <w:shd w:val="clear" w:color="auto" w:fill="E0E0E0"/>
          </w:tcPr>
          <w:p w14:paraId="4941435C" w14:textId="77777777" w:rsidR="0068068B" w:rsidRPr="0067507D" w:rsidRDefault="0068068B" w:rsidP="00A721E2">
            <w:pPr>
              <w:pStyle w:val="Tabletextright"/>
            </w:pPr>
          </w:p>
        </w:tc>
        <w:tc>
          <w:tcPr>
            <w:tcW w:w="1080" w:type="dxa"/>
          </w:tcPr>
          <w:p w14:paraId="67C2081F" w14:textId="77777777" w:rsidR="0068068B" w:rsidRPr="0067507D" w:rsidRDefault="0068068B" w:rsidP="00A721E2">
            <w:pPr>
              <w:pStyle w:val="Tabletextright"/>
            </w:pPr>
          </w:p>
        </w:tc>
      </w:tr>
      <w:tr w:rsidR="00E02C6B" w:rsidRPr="0067507D" w14:paraId="4C651357" w14:textId="77777777" w:rsidTr="007810BE">
        <w:tc>
          <w:tcPr>
            <w:tcW w:w="2700" w:type="dxa"/>
            <w:vAlign w:val="bottom"/>
          </w:tcPr>
          <w:p w14:paraId="3AC50841" w14:textId="77777777" w:rsidR="0068068B" w:rsidRPr="0067507D" w:rsidRDefault="0068068B" w:rsidP="00A721E2">
            <w:pPr>
              <w:pStyle w:val="Tabletext"/>
            </w:pPr>
            <w:r w:rsidRPr="0067507D">
              <w:t>$180</w:t>
            </w:r>
            <w:r w:rsidRPr="0067507D">
              <w:rPr>
                <w:rFonts w:ascii="Calibri" w:hAnsi="Calibri" w:cs="Calibri"/>
              </w:rPr>
              <w:t> </w:t>
            </w:r>
            <w:r w:rsidRPr="0067507D">
              <w:t>000–$199</w:t>
            </w:r>
            <w:r w:rsidRPr="0067507D">
              <w:rPr>
                <w:rFonts w:ascii="Calibri" w:hAnsi="Calibri" w:cs="Calibri"/>
              </w:rPr>
              <w:t> </w:t>
            </w:r>
            <w:r w:rsidRPr="0067507D">
              <w:t>999</w:t>
            </w:r>
          </w:p>
        </w:tc>
        <w:tc>
          <w:tcPr>
            <w:tcW w:w="1269" w:type="dxa"/>
            <w:shd w:val="clear" w:color="auto" w:fill="E0E0E0"/>
          </w:tcPr>
          <w:p w14:paraId="33DA6C6C" w14:textId="77777777" w:rsidR="0068068B" w:rsidRPr="0067507D" w:rsidRDefault="0068068B" w:rsidP="00A721E2">
            <w:pPr>
              <w:pStyle w:val="Tabletextright"/>
            </w:pPr>
          </w:p>
        </w:tc>
        <w:tc>
          <w:tcPr>
            <w:tcW w:w="891" w:type="dxa"/>
          </w:tcPr>
          <w:p w14:paraId="5D7E37A9" w14:textId="77777777" w:rsidR="0068068B" w:rsidRPr="0067507D" w:rsidRDefault="0068068B" w:rsidP="00A721E2">
            <w:pPr>
              <w:pStyle w:val="Tabletextright"/>
            </w:pPr>
          </w:p>
        </w:tc>
        <w:tc>
          <w:tcPr>
            <w:tcW w:w="1080" w:type="dxa"/>
            <w:shd w:val="clear" w:color="auto" w:fill="E0E0E0"/>
          </w:tcPr>
          <w:p w14:paraId="4E2A32B9" w14:textId="77777777" w:rsidR="0068068B" w:rsidRPr="0067507D" w:rsidRDefault="0068068B" w:rsidP="00A721E2">
            <w:pPr>
              <w:pStyle w:val="Tabletextright"/>
            </w:pPr>
          </w:p>
        </w:tc>
        <w:tc>
          <w:tcPr>
            <w:tcW w:w="1080" w:type="dxa"/>
          </w:tcPr>
          <w:p w14:paraId="43E8C55D" w14:textId="77777777" w:rsidR="0068068B" w:rsidRPr="0067507D" w:rsidRDefault="0068068B" w:rsidP="00A721E2">
            <w:pPr>
              <w:pStyle w:val="Tabletextright"/>
            </w:pPr>
          </w:p>
        </w:tc>
        <w:tc>
          <w:tcPr>
            <w:tcW w:w="1080" w:type="dxa"/>
            <w:shd w:val="clear" w:color="auto" w:fill="E0E0E0"/>
          </w:tcPr>
          <w:p w14:paraId="53E858AD" w14:textId="77777777" w:rsidR="0068068B" w:rsidRPr="0067507D" w:rsidRDefault="0068068B" w:rsidP="00A721E2">
            <w:pPr>
              <w:pStyle w:val="Tabletextright"/>
            </w:pPr>
          </w:p>
        </w:tc>
        <w:tc>
          <w:tcPr>
            <w:tcW w:w="1080" w:type="dxa"/>
          </w:tcPr>
          <w:p w14:paraId="139EC12A" w14:textId="77777777" w:rsidR="0068068B" w:rsidRPr="0067507D" w:rsidRDefault="0068068B" w:rsidP="00A721E2">
            <w:pPr>
              <w:pStyle w:val="Tabletextright"/>
            </w:pPr>
          </w:p>
        </w:tc>
      </w:tr>
      <w:tr w:rsidR="00E02C6B" w:rsidRPr="0067507D" w14:paraId="08BF4C4E" w14:textId="77777777" w:rsidTr="007810BE">
        <w:tc>
          <w:tcPr>
            <w:tcW w:w="2700" w:type="dxa"/>
            <w:vAlign w:val="bottom"/>
          </w:tcPr>
          <w:p w14:paraId="5CA3DB74" w14:textId="77777777" w:rsidR="0068068B" w:rsidRPr="0067507D" w:rsidRDefault="0068068B" w:rsidP="00A721E2">
            <w:pPr>
              <w:pStyle w:val="Tabletext"/>
              <w:rPr>
                <w:vertAlign w:val="superscript"/>
              </w:rPr>
            </w:pPr>
            <w:r w:rsidRPr="0067507D">
              <w:t>$200</w:t>
            </w:r>
            <w:r w:rsidRPr="0067507D">
              <w:rPr>
                <w:rFonts w:ascii="Calibri" w:hAnsi="Calibri" w:cs="Calibri"/>
              </w:rPr>
              <w:t> </w:t>
            </w:r>
            <w:r w:rsidRPr="0067507D">
              <w:t>000–$219</w:t>
            </w:r>
            <w:r w:rsidRPr="0067507D">
              <w:rPr>
                <w:rFonts w:ascii="Calibri" w:hAnsi="Calibri" w:cs="Calibri"/>
              </w:rPr>
              <w:t> </w:t>
            </w:r>
            <w:r w:rsidRPr="0067507D">
              <w:t>999</w:t>
            </w:r>
          </w:p>
        </w:tc>
        <w:tc>
          <w:tcPr>
            <w:tcW w:w="1269" w:type="dxa"/>
            <w:shd w:val="clear" w:color="auto" w:fill="E0E0E0"/>
          </w:tcPr>
          <w:p w14:paraId="1526CBBB" w14:textId="76F7D138" w:rsidR="0068068B" w:rsidRPr="0067507D" w:rsidRDefault="00D45D51" w:rsidP="00A721E2">
            <w:pPr>
              <w:pStyle w:val="Tabletextright"/>
            </w:pPr>
            <w:r w:rsidRPr="0067507D">
              <w:t>2</w:t>
            </w:r>
          </w:p>
        </w:tc>
        <w:tc>
          <w:tcPr>
            <w:tcW w:w="891" w:type="dxa"/>
          </w:tcPr>
          <w:p w14:paraId="0C628F91" w14:textId="63E979C7" w:rsidR="0068068B" w:rsidRPr="0067507D" w:rsidRDefault="0068068B" w:rsidP="00A721E2">
            <w:pPr>
              <w:pStyle w:val="Tabletextright"/>
            </w:pPr>
          </w:p>
        </w:tc>
        <w:tc>
          <w:tcPr>
            <w:tcW w:w="1080" w:type="dxa"/>
            <w:shd w:val="clear" w:color="auto" w:fill="E0E0E0"/>
          </w:tcPr>
          <w:p w14:paraId="3C2A5DDB" w14:textId="77777777" w:rsidR="0068068B" w:rsidRPr="0067507D" w:rsidRDefault="0068068B" w:rsidP="00A721E2">
            <w:pPr>
              <w:pStyle w:val="Tabletextright"/>
            </w:pPr>
          </w:p>
        </w:tc>
        <w:tc>
          <w:tcPr>
            <w:tcW w:w="1080" w:type="dxa"/>
          </w:tcPr>
          <w:p w14:paraId="405F6C88" w14:textId="77777777" w:rsidR="0068068B" w:rsidRPr="0067507D" w:rsidRDefault="0068068B" w:rsidP="00A721E2">
            <w:pPr>
              <w:pStyle w:val="Tabletextright"/>
            </w:pPr>
          </w:p>
        </w:tc>
        <w:tc>
          <w:tcPr>
            <w:tcW w:w="1080" w:type="dxa"/>
            <w:shd w:val="clear" w:color="auto" w:fill="E0E0E0"/>
          </w:tcPr>
          <w:p w14:paraId="27D36C4F" w14:textId="77777777" w:rsidR="0068068B" w:rsidRPr="0067507D" w:rsidRDefault="0068068B" w:rsidP="00A721E2">
            <w:pPr>
              <w:pStyle w:val="Tabletextright"/>
            </w:pPr>
          </w:p>
        </w:tc>
        <w:tc>
          <w:tcPr>
            <w:tcW w:w="1080" w:type="dxa"/>
          </w:tcPr>
          <w:p w14:paraId="74EED070" w14:textId="77777777" w:rsidR="0068068B" w:rsidRPr="0067507D" w:rsidRDefault="0068068B" w:rsidP="00A721E2">
            <w:pPr>
              <w:pStyle w:val="Tabletextright"/>
            </w:pPr>
          </w:p>
        </w:tc>
      </w:tr>
      <w:tr w:rsidR="00E02C6B" w:rsidRPr="0067507D" w14:paraId="32BEEAB4" w14:textId="77777777" w:rsidTr="007810BE">
        <w:tc>
          <w:tcPr>
            <w:tcW w:w="2700" w:type="dxa"/>
            <w:vAlign w:val="bottom"/>
          </w:tcPr>
          <w:p w14:paraId="2DDF0A4E" w14:textId="77777777" w:rsidR="0068068B" w:rsidRPr="0067507D" w:rsidRDefault="0068068B" w:rsidP="00A721E2">
            <w:pPr>
              <w:pStyle w:val="Tabletext"/>
            </w:pPr>
            <w:r w:rsidRPr="0067507D">
              <w:t>$220</w:t>
            </w:r>
            <w:r w:rsidRPr="0067507D">
              <w:rPr>
                <w:rFonts w:ascii="Calibri" w:hAnsi="Calibri" w:cs="Calibri"/>
              </w:rPr>
              <w:t> </w:t>
            </w:r>
            <w:r w:rsidRPr="0067507D">
              <w:t>000–$239</w:t>
            </w:r>
            <w:r w:rsidRPr="0067507D">
              <w:rPr>
                <w:rFonts w:ascii="Calibri" w:hAnsi="Calibri" w:cs="Calibri"/>
              </w:rPr>
              <w:t> </w:t>
            </w:r>
            <w:r w:rsidRPr="0067507D">
              <w:t>999</w:t>
            </w:r>
          </w:p>
        </w:tc>
        <w:tc>
          <w:tcPr>
            <w:tcW w:w="1269" w:type="dxa"/>
            <w:shd w:val="clear" w:color="auto" w:fill="E0E0E0"/>
          </w:tcPr>
          <w:p w14:paraId="609B0E21" w14:textId="77777777" w:rsidR="0068068B" w:rsidRPr="0067507D" w:rsidRDefault="0068068B" w:rsidP="00A721E2">
            <w:pPr>
              <w:pStyle w:val="Tabletextright"/>
            </w:pPr>
          </w:p>
        </w:tc>
        <w:tc>
          <w:tcPr>
            <w:tcW w:w="891" w:type="dxa"/>
          </w:tcPr>
          <w:p w14:paraId="3779DFE1" w14:textId="1C224F3A" w:rsidR="0068068B" w:rsidRPr="0067507D" w:rsidRDefault="00D45D51" w:rsidP="00A721E2">
            <w:pPr>
              <w:pStyle w:val="Tabletextright"/>
            </w:pPr>
            <w:r w:rsidRPr="0067507D">
              <w:t>1</w:t>
            </w:r>
          </w:p>
        </w:tc>
        <w:tc>
          <w:tcPr>
            <w:tcW w:w="1080" w:type="dxa"/>
            <w:shd w:val="clear" w:color="auto" w:fill="E0E0E0"/>
          </w:tcPr>
          <w:p w14:paraId="598E970C" w14:textId="77777777" w:rsidR="0068068B" w:rsidRPr="0067507D" w:rsidRDefault="0068068B" w:rsidP="00A721E2">
            <w:pPr>
              <w:pStyle w:val="Tabletextright"/>
            </w:pPr>
          </w:p>
        </w:tc>
        <w:tc>
          <w:tcPr>
            <w:tcW w:w="1080" w:type="dxa"/>
          </w:tcPr>
          <w:p w14:paraId="4E459F2B" w14:textId="77777777" w:rsidR="0068068B" w:rsidRPr="0067507D" w:rsidRDefault="0068068B" w:rsidP="00A721E2">
            <w:pPr>
              <w:pStyle w:val="Tabletextright"/>
            </w:pPr>
          </w:p>
        </w:tc>
        <w:tc>
          <w:tcPr>
            <w:tcW w:w="1080" w:type="dxa"/>
            <w:shd w:val="clear" w:color="auto" w:fill="E0E0E0"/>
          </w:tcPr>
          <w:p w14:paraId="5FF81F78" w14:textId="77777777" w:rsidR="0068068B" w:rsidRPr="0067507D" w:rsidRDefault="0068068B" w:rsidP="00A721E2">
            <w:pPr>
              <w:pStyle w:val="Tabletextright"/>
            </w:pPr>
          </w:p>
        </w:tc>
        <w:tc>
          <w:tcPr>
            <w:tcW w:w="1080" w:type="dxa"/>
          </w:tcPr>
          <w:p w14:paraId="4CDC192E" w14:textId="77777777" w:rsidR="0068068B" w:rsidRPr="0067507D" w:rsidRDefault="0068068B" w:rsidP="00A721E2">
            <w:pPr>
              <w:pStyle w:val="Tabletextright"/>
            </w:pPr>
          </w:p>
        </w:tc>
      </w:tr>
      <w:tr w:rsidR="00E02C6B" w:rsidRPr="0067507D" w14:paraId="61B8E75F" w14:textId="77777777" w:rsidTr="007810BE">
        <w:tc>
          <w:tcPr>
            <w:tcW w:w="2700" w:type="dxa"/>
            <w:vAlign w:val="bottom"/>
          </w:tcPr>
          <w:p w14:paraId="613ED1EE" w14:textId="77777777" w:rsidR="0068068B" w:rsidRPr="0067507D" w:rsidRDefault="0068068B" w:rsidP="00A721E2">
            <w:pPr>
              <w:pStyle w:val="Tabletext"/>
            </w:pPr>
            <w:r w:rsidRPr="0067507D">
              <w:t>$240</w:t>
            </w:r>
            <w:r w:rsidRPr="0067507D">
              <w:rPr>
                <w:rFonts w:ascii="Calibri" w:hAnsi="Calibri" w:cs="Calibri"/>
              </w:rPr>
              <w:t> </w:t>
            </w:r>
            <w:r w:rsidRPr="0067507D">
              <w:t>000–$259</w:t>
            </w:r>
            <w:r w:rsidRPr="0067507D">
              <w:rPr>
                <w:rFonts w:ascii="Calibri" w:hAnsi="Calibri" w:cs="Calibri"/>
              </w:rPr>
              <w:t> </w:t>
            </w:r>
            <w:r w:rsidRPr="0067507D">
              <w:t>999</w:t>
            </w:r>
          </w:p>
        </w:tc>
        <w:tc>
          <w:tcPr>
            <w:tcW w:w="1269" w:type="dxa"/>
            <w:shd w:val="clear" w:color="auto" w:fill="E0E0E0"/>
          </w:tcPr>
          <w:p w14:paraId="42088FCC" w14:textId="77777777" w:rsidR="0068068B" w:rsidRPr="0067507D" w:rsidRDefault="0068068B" w:rsidP="00A721E2">
            <w:pPr>
              <w:pStyle w:val="Tabletextright"/>
            </w:pPr>
          </w:p>
        </w:tc>
        <w:tc>
          <w:tcPr>
            <w:tcW w:w="891" w:type="dxa"/>
          </w:tcPr>
          <w:p w14:paraId="5D815402" w14:textId="77777777" w:rsidR="0068068B" w:rsidRPr="0067507D" w:rsidRDefault="0068068B" w:rsidP="00A721E2">
            <w:pPr>
              <w:pStyle w:val="Tabletextright"/>
            </w:pPr>
          </w:p>
        </w:tc>
        <w:tc>
          <w:tcPr>
            <w:tcW w:w="1080" w:type="dxa"/>
            <w:shd w:val="clear" w:color="auto" w:fill="E0E0E0"/>
          </w:tcPr>
          <w:p w14:paraId="4580B4D5" w14:textId="77777777" w:rsidR="0068068B" w:rsidRPr="0067507D" w:rsidRDefault="0068068B" w:rsidP="00A721E2">
            <w:pPr>
              <w:pStyle w:val="Tabletextright"/>
            </w:pPr>
          </w:p>
        </w:tc>
        <w:tc>
          <w:tcPr>
            <w:tcW w:w="1080" w:type="dxa"/>
          </w:tcPr>
          <w:p w14:paraId="75A61CA1" w14:textId="77777777" w:rsidR="0068068B" w:rsidRPr="0067507D" w:rsidRDefault="0068068B" w:rsidP="00A721E2">
            <w:pPr>
              <w:pStyle w:val="Tabletextright"/>
            </w:pPr>
          </w:p>
        </w:tc>
        <w:tc>
          <w:tcPr>
            <w:tcW w:w="1080" w:type="dxa"/>
            <w:shd w:val="clear" w:color="auto" w:fill="E0E0E0"/>
          </w:tcPr>
          <w:p w14:paraId="00A530BF" w14:textId="77777777" w:rsidR="0068068B" w:rsidRPr="0067507D" w:rsidRDefault="0068068B" w:rsidP="00A721E2">
            <w:pPr>
              <w:pStyle w:val="Tabletextright"/>
            </w:pPr>
          </w:p>
        </w:tc>
        <w:tc>
          <w:tcPr>
            <w:tcW w:w="1080" w:type="dxa"/>
          </w:tcPr>
          <w:p w14:paraId="5C4BC45C" w14:textId="77777777" w:rsidR="0068068B" w:rsidRPr="0067507D" w:rsidRDefault="0068068B" w:rsidP="00A721E2">
            <w:pPr>
              <w:pStyle w:val="Tabletextright"/>
            </w:pPr>
          </w:p>
        </w:tc>
      </w:tr>
      <w:tr w:rsidR="00E02C6B" w:rsidRPr="0067507D" w14:paraId="1E990555" w14:textId="77777777" w:rsidTr="007810BE">
        <w:tc>
          <w:tcPr>
            <w:tcW w:w="2700" w:type="dxa"/>
            <w:vAlign w:val="bottom"/>
          </w:tcPr>
          <w:p w14:paraId="0D9106AD" w14:textId="77777777" w:rsidR="0068068B" w:rsidRPr="0067507D" w:rsidRDefault="0068068B" w:rsidP="00A721E2">
            <w:pPr>
              <w:pStyle w:val="Tabletext"/>
            </w:pPr>
            <w:r w:rsidRPr="0067507D">
              <w:t>$260</w:t>
            </w:r>
            <w:r w:rsidRPr="0067507D">
              <w:rPr>
                <w:rFonts w:ascii="Calibri" w:hAnsi="Calibri" w:cs="Calibri"/>
              </w:rPr>
              <w:t> </w:t>
            </w:r>
            <w:r w:rsidRPr="0067507D">
              <w:t>000–$279</w:t>
            </w:r>
            <w:r w:rsidRPr="0067507D">
              <w:rPr>
                <w:rFonts w:ascii="Calibri" w:hAnsi="Calibri" w:cs="Calibri"/>
              </w:rPr>
              <w:t> </w:t>
            </w:r>
            <w:r w:rsidRPr="0067507D">
              <w:t>999</w:t>
            </w:r>
          </w:p>
        </w:tc>
        <w:tc>
          <w:tcPr>
            <w:tcW w:w="1269" w:type="dxa"/>
            <w:shd w:val="clear" w:color="auto" w:fill="E0E0E0"/>
          </w:tcPr>
          <w:p w14:paraId="0FB9C230" w14:textId="77777777" w:rsidR="0068068B" w:rsidRPr="0067507D" w:rsidRDefault="0068068B" w:rsidP="00A721E2">
            <w:pPr>
              <w:pStyle w:val="Tabletextright"/>
            </w:pPr>
          </w:p>
        </w:tc>
        <w:tc>
          <w:tcPr>
            <w:tcW w:w="891" w:type="dxa"/>
          </w:tcPr>
          <w:p w14:paraId="645B6CC6" w14:textId="77777777" w:rsidR="0068068B" w:rsidRPr="0067507D" w:rsidRDefault="0068068B" w:rsidP="00A721E2">
            <w:pPr>
              <w:pStyle w:val="Tabletextright"/>
            </w:pPr>
          </w:p>
        </w:tc>
        <w:tc>
          <w:tcPr>
            <w:tcW w:w="1080" w:type="dxa"/>
            <w:shd w:val="clear" w:color="auto" w:fill="E0E0E0"/>
          </w:tcPr>
          <w:p w14:paraId="2268D0C2" w14:textId="77777777" w:rsidR="0068068B" w:rsidRPr="0067507D" w:rsidRDefault="0068068B" w:rsidP="00A721E2">
            <w:pPr>
              <w:pStyle w:val="Tabletextright"/>
            </w:pPr>
          </w:p>
        </w:tc>
        <w:tc>
          <w:tcPr>
            <w:tcW w:w="1080" w:type="dxa"/>
          </w:tcPr>
          <w:p w14:paraId="2A1D5A60" w14:textId="77777777" w:rsidR="0068068B" w:rsidRPr="0067507D" w:rsidRDefault="0068068B" w:rsidP="00A721E2">
            <w:pPr>
              <w:pStyle w:val="Tabletextright"/>
            </w:pPr>
          </w:p>
        </w:tc>
        <w:tc>
          <w:tcPr>
            <w:tcW w:w="1080" w:type="dxa"/>
            <w:shd w:val="clear" w:color="auto" w:fill="E0E0E0"/>
          </w:tcPr>
          <w:p w14:paraId="4320DBAF" w14:textId="77777777" w:rsidR="0068068B" w:rsidRPr="0067507D" w:rsidRDefault="0068068B" w:rsidP="00A721E2">
            <w:pPr>
              <w:pStyle w:val="Tabletextright"/>
            </w:pPr>
          </w:p>
        </w:tc>
        <w:tc>
          <w:tcPr>
            <w:tcW w:w="1080" w:type="dxa"/>
          </w:tcPr>
          <w:p w14:paraId="5E989500" w14:textId="77777777" w:rsidR="0068068B" w:rsidRPr="0067507D" w:rsidRDefault="0068068B" w:rsidP="00A721E2">
            <w:pPr>
              <w:pStyle w:val="Tabletextright"/>
            </w:pPr>
          </w:p>
        </w:tc>
      </w:tr>
      <w:tr w:rsidR="00E02C6B" w:rsidRPr="0067507D" w14:paraId="1F79B39D" w14:textId="77777777" w:rsidTr="007810BE">
        <w:tc>
          <w:tcPr>
            <w:tcW w:w="2700" w:type="dxa"/>
            <w:vAlign w:val="bottom"/>
          </w:tcPr>
          <w:p w14:paraId="6F6E49AB" w14:textId="77777777" w:rsidR="0068068B" w:rsidRPr="0067507D" w:rsidRDefault="0068068B" w:rsidP="00A721E2">
            <w:pPr>
              <w:pStyle w:val="Tabletext"/>
            </w:pPr>
            <w:r w:rsidRPr="0067507D">
              <w:t>$280</w:t>
            </w:r>
            <w:r w:rsidRPr="0067507D">
              <w:rPr>
                <w:rFonts w:ascii="Calibri" w:hAnsi="Calibri" w:cs="Calibri"/>
              </w:rPr>
              <w:t> </w:t>
            </w:r>
            <w:r w:rsidRPr="0067507D">
              <w:t>000–$299</w:t>
            </w:r>
            <w:r w:rsidRPr="0067507D">
              <w:rPr>
                <w:rFonts w:ascii="Calibri" w:hAnsi="Calibri" w:cs="Calibri"/>
              </w:rPr>
              <w:t> </w:t>
            </w:r>
            <w:r w:rsidRPr="0067507D">
              <w:t>999</w:t>
            </w:r>
          </w:p>
        </w:tc>
        <w:tc>
          <w:tcPr>
            <w:tcW w:w="1269" w:type="dxa"/>
            <w:shd w:val="clear" w:color="auto" w:fill="E0E0E0"/>
          </w:tcPr>
          <w:p w14:paraId="750D235F" w14:textId="77777777" w:rsidR="0068068B" w:rsidRPr="0067507D" w:rsidRDefault="0068068B" w:rsidP="00A721E2">
            <w:pPr>
              <w:pStyle w:val="Tabletextright"/>
            </w:pPr>
          </w:p>
        </w:tc>
        <w:tc>
          <w:tcPr>
            <w:tcW w:w="891" w:type="dxa"/>
          </w:tcPr>
          <w:p w14:paraId="1412F644" w14:textId="77777777" w:rsidR="0068068B" w:rsidRPr="0067507D" w:rsidRDefault="0068068B" w:rsidP="00A721E2">
            <w:pPr>
              <w:pStyle w:val="Tabletextright"/>
            </w:pPr>
          </w:p>
        </w:tc>
        <w:tc>
          <w:tcPr>
            <w:tcW w:w="1080" w:type="dxa"/>
            <w:shd w:val="clear" w:color="auto" w:fill="E0E0E0"/>
          </w:tcPr>
          <w:p w14:paraId="367E40D5" w14:textId="77777777" w:rsidR="0068068B" w:rsidRPr="0067507D" w:rsidRDefault="0068068B" w:rsidP="00A721E2">
            <w:pPr>
              <w:pStyle w:val="Tabletextright"/>
            </w:pPr>
          </w:p>
        </w:tc>
        <w:tc>
          <w:tcPr>
            <w:tcW w:w="1080" w:type="dxa"/>
          </w:tcPr>
          <w:p w14:paraId="2489F2B6" w14:textId="77777777" w:rsidR="0068068B" w:rsidRPr="0067507D" w:rsidRDefault="0068068B" w:rsidP="00A721E2">
            <w:pPr>
              <w:pStyle w:val="Tabletextright"/>
            </w:pPr>
          </w:p>
        </w:tc>
        <w:tc>
          <w:tcPr>
            <w:tcW w:w="1080" w:type="dxa"/>
            <w:shd w:val="clear" w:color="auto" w:fill="E0E0E0"/>
          </w:tcPr>
          <w:p w14:paraId="5B3106F5" w14:textId="77777777" w:rsidR="0068068B" w:rsidRPr="0067507D" w:rsidRDefault="0068068B" w:rsidP="00A721E2">
            <w:pPr>
              <w:pStyle w:val="Tabletextright"/>
            </w:pPr>
          </w:p>
        </w:tc>
        <w:tc>
          <w:tcPr>
            <w:tcW w:w="1080" w:type="dxa"/>
          </w:tcPr>
          <w:p w14:paraId="02E4D2DA" w14:textId="77777777" w:rsidR="0068068B" w:rsidRPr="0067507D" w:rsidRDefault="0068068B" w:rsidP="00A721E2">
            <w:pPr>
              <w:pStyle w:val="Tabletextright"/>
            </w:pPr>
          </w:p>
        </w:tc>
      </w:tr>
      <w:tr w:rsidR="00E02C6B" w:rsidRPr="0067507D" w14:paraId="60759E11" w14:textId="77777777" w:rsidTr="007810BE">
        <w:tc>
          <w:tcPr>
            <w:tcW w:w="2700" w:type="dxa"/>
            <w:vAlign w:val="bottom"/>
          </w:tcPr>
          <w:p w14:paraId="1AEC4D48" w14:textId="77777777" w:rsidR="0068068B" w:rsidRPr="0067507D" w:rsidRDefault="0068068B" w:rsidP="00A721E2">
            <w:pPr>
              <w:pStyle w:val="Tabletext"/>
            </w:pPr>
            <w:r w:rsidRPr="0067507D">
              <w:t>$300</w:t>
            </w:r>
            <w:r w:rsidRPr="0067507D">
              <w:rPr>
                <w:rFonts w:ascii="Calibri" w:hAnsi="Calibri" w:cs="Calibri"/>
              </w:rPr>
              <w:t> </w:t>
            </w:r>
            <w:r w:rsidRPr="0067507D">
              <w:t>000–$319</w:t>
            </w:r>
            <w:r w:rsidRPr="0067507D">
              <w:rPr>
                <w:rFonts w:ascii="Calibri" w:hAnsi="Calibri" w:cs="Calibri"/>
              </w:rPr>
              <w:t> </w:t>
            </w:r>
            <w:r w:rsidRPr="0067507D">
              <w:t>999</w:t>
            </w:r>
          </w:p>
        </w:tc>
        <w:tc>
          <w:tcPr>
            <w:tcW w:w="1269" w:type="dxa"/>
            <w:shd w:val="clear" w:color="auto" w:fill="E0E0E0"/>
          </w:tcPr>
          <w:p w14:paraId="765D72F5" w14:textId="77777777" w:rsidR="0068068B" w:rsidRPr="0067507D" w:rsidRDefault="0068068B" w:rsidP="00A721E2">
            <w:pPr>
              <w:pStyle w:val="Tabletextright"/>
            </w:pPr>
          </w:p>
        </w:tc>
        <w:tc>
          <w:tcPr>
            <w:tcW w:w="891" w:type="dxa"/>
          </w:tcPr>
          <w:p w14:paraId="7A101CDB" w14:textId="77777777" w:rsidR="0068068B" w:rsidRPr="0067507D" w:rsidRDefault="0068068B" w:rsidP="00A721E2">
            <w:pPr>
              <w:pStyle w:val="Tabletextright"/>
            </w:pPr>
          </w:p>
        </w:tc>
        <w:tc>
          <w:tcPr>
            <w:tcW w:w="1080" w:type="dxa"/>
            <w:shd w:val="clear" w:color="auto" w:fill="E0E0E0"/>
          </w:tcPr>
          <w:p w14:paraId="57300780" w14:textId="77777777" w:rsidR="0068068B" w:rsidRPr="0067507D" w:rsidRDefault="0068068B" w:rsidP="00A721E2">
            <w:pPr>
              <w:pStyle w:val="Tabletextright"/>
            </w:pPr>
          </w:p>
        </w:tc>
        <w:tc>
          <w:tcPr>
            <w:tcW w:w="1080" w:type="dxa"/>
          </w:tcPr>
          <w:p w14:paraId="689CA2C6" w14:textId="77777777" w:rsidR="0068068B" w:rsidRPr="0067507D" w:rsidRDefault="0068068B" w:rsidP="00A721E2">
            <w:pPr>
              <w:pStyle w:val="Tabletextright"/>
            </w:pPr>
          </w:p>
        </w:tc>
        <w:tc>
          <w:tcPr>
            <w:tcW w:w="1080" w:type="dxa"/>
            <w:shd w:val="clear" w:color="auto" w:fill="E0E0E0"/>
          </w:tcPr>
          <w:p w14:paraId="5C1D67A3" w14:textId="77777777" w:rsidR="0068068B" w:rsidRPr="0067507D" w:rsidRDefault="0068068B" w:rsidP="00A721E2">
            <w:pPr>
              <w:pStyle w:val="Tabletextright"/>
            </w:pPr>
          </w:p>
        </w:tc>
        <w:tc>
          <w:tcPr>
            <w:tcW w:w="1080" w:type="dxa"/>
          </w:tcPr>
          <w:p w14:paraId="6F1DACA8" w14:textId="77777777" w:rsidR="0068068B" w:rsidRPr="0067507D" w:rsidRDefault="0068068B" w:rsidP="00A721E2">
            <w:pPr>
              <w:pStyle w:val="Tabletextright"/>
            </w:pPr>
          </w:p>
        </w:tc>
      </w:tr>
      <w:tr w:rsidR="00E02C6B" w:rsidRPr="0067507D" w14:paraId="60BE6D20" w14:textId="77777777" w:rsidTr="007810BE">
        <w:tc>
          <w:tcPr>
            <w:tcW w:w="2700" w:type="dxa"/>
            <w:vAlign w:val="bottom"/>
          </w:tcPr>
          <w:p w14:paraId="1B3DE7E4" w14:textId="77777777" w:rsidR="0068068B" w:rsidRPr="0067507D" w:rsidRDefault="0068068B" w:rsidP="00A721E2">
            <w:pPr>
              <w:pStyle w:val="Tabletext"/>
            </w:pPr>
            <w:r w:rsidRPr="0067507D">
              <w:t>$320</w:t>
            </w:r>
            <w:r w:rsidRPr="0067507D">
              <w:rPr>
                <w:rFonts w:ascii="Calibri" w:hAnsi="Calibri" w:cs="Calibri"/>
              </w:rPr>
              <w:t> </w:t>
            </w:r>
            <w:r w:rsidRPr="0067507D">
              <w:t>000–$339</w:t>
            </w:r>
            <w:r w:rsidRPr="0067507D">
              <w:rPr>
                <w:rFonts w:ascii="Calibri" w:hAnsi="Calibri" w:cs="Calibri"/>
              </w:rPr>
              <w:t> </w:t>
            </w:r>
            <w:r w:rsidRPr="0067507D">
              <w:t>999</w:t>
            </w:r>
          </w:p>
        </w:tc>
        <w:tc>
          <w:tcPr>
            <w:tcW w:w="1269" w:type="dxa"/>
            <w:shd w:val="clear" w:color="auto" w:fill="E0E0E0"/>
          </w:tcPr>
          <w:p w14:paraId="30F5D704" w14:textId="77777777" w:rsidR="0068068B" w:rsidRPr="0067507D" w:rsidRDefault="0068068B" w:rsidP="00A721E2">
            <w:pPr>
              <w:pStyle w:val="Tabletextright"/>
            </w:pPr>
          </w:p>
        </w:tc>
        <w:tc>
          <w:tcPr>
            <w:tcW w:w="891" w:type="dxa"/>
          </w:tcPr>
          <w:p w14:paraId="62468F57" w14:textId="77777777" w:rsidR="0068068B" w:rsidRPr="0067507D" w:rsidRDefault="0068068B" w:rsidP="00A721E2">
            <w:pPr>
              <w:pStyle w:val="Tabletextright"/>
            </w:pPr>
          </w:p>
        </w:tc>
        <w:tc>
          <w:tcPr>
            <w:tcW w:w="1080" w:type="dxa"/>
            <w:shd w:val="clear" w:color="auto" w:fill="E0E0E0"/>
          </w:tcPr>
          <w:p w14:paraId="47F5E31B" w14:textId="77777777" w:rsidR="0068068B" w:rsidRPr="0067507D" w:rsidRDefault="0068068B" w:rsidP="00A721E2">
            <w:pPr>
              <w:pStyle w:val="Tabletextright"/>
              <w:rPr>
                <w:bCs/>
              </w:rPr>
            </w:pPr>
          </w:p>
        </w:tc>
        <w:tc>
          <w:tcPr>
            <w:tcW w:w="1080" w:type="dxa"/>
          </w:tcPr>
          <w:p w14:paraId="3F166F3B" w14:textId="77777777" w:rsidR="0068068B" w:rsidRPr="0067507D" w:rsidRDefault="0068068B" w:rsidP="00A721E2">
            <w:pPr>
              <w:pStyle w:val="Tabletextright"/>
              <w:rPr>
                <w:bCs/>
              </w:rPr>
            </w:pPr>
          </w:p>
        </w:tc>
        <w:tc>
          <w:tcPr>
            <w:tcW w:w="1080" w:type="dxa"/>
            <w:shd w:val="clear" w:color="auto" w:fill="E0E0E0"/>
          </w:tcPr>
          <w:p w14:paraId="5AB5FDE7" w14:textId="77777777" w:rsidR="0068068B" w:rsidRPr="0067507D" w:rsidRDefault="0068068B" w:rsidP="00A721E2">
            <w:pPr>
              <w:pStyle w:val="Tabletextright"/>
              <w:rPr>
                <w:bCs/>
              </w:rPr>
            </w:pPr>
          </w:p>
        </w:tc>
        <w:tc>
          <w:tcPr>
            <w:tcW w:w="1080" w:type="dxa"/>
          </w:tcPr>
          <w:p w14:paraId="12DA6E19" w14:textId="77777777" w:rsidR="0068068B" w:rsidRPr="0067507D" w:rsidRDefault="0068068B" w:rsidP="00A721E2">
            <w:pPr>
              <w:pStyle w:val="Tabletextright"/>
              <w:rPr>
                <w:bCs/>
              </w:rPr>
            </w:pPr>
          </w:p>
        </w:tc>
      </w:tr>
      <w:tr w:rsidR="00E02C6B" w:rsidRPr="0067507D" w14:paraId="6D7DC764" w14:textId="77777777" w:rsidTr="007810BE">
        <w:tc>
          <w:tcPr>
            <w:tcW w:w="2700" w:type="dxa"/>
          </w:tcPr>
          <w:p w14:paraId="046D5FBC" w14:textId="77777777" w:rsidR="0068068B" w:rsidRPr="0067507D" w:rsidRDefault="0068068B" w:rsidP="00A721E2">
            <w:pPr>
              <w:pStyle w:val="Tabletext"/>
            </w:pPr>
            <w:r w:rsidRPr="0067507D">
              <w:t>$340</w:t>
            </w:r>
            <w:r w:rsidRPr="0067507D">
              <w:rPr>
                <w:rFonts w:ascii="Calibri" w:hAnsi="Calibri" w:cs="Calibri"/>
              </w:rPr>
              <w:t> </w:t>
            </w:r>
            <w:r w:rsidRPr="0067507D">
              <w:t>000–$359</w:t>
            </w:r>
            <w:r w:rsidRPr="0067507D">
              <w:rPr>
                <w:rFonts w:ascii="Calibri" w:hAnsi="Calibri" w:cs="Calibri"/>
              </w:rPr>
              <w:t> </w:t>
            </w:r>
            <w:r w:rsidRPr="0067507D">
              <w:t>999</w:t>
            </w:r>
          </w:p>
        </w:tc>
        <w:tc>
          <w:tcPr>
            <w:tcW w:w="1269" w:type="dxa"/>
            <w:shd w:val="clear" w:color="auto" w:fill="E0E0E0"/>
          </w:tcPr>
          <w:p w14:paraId="72FE737B" w14:textId="77777777" w:rsidR="0068068B" w:rsidRPr="0067507D" w:rsidRDefault="0068068B" w:rsidP="00A721E2">
            <w:pPr>
              <w:pStyle w:val="Tabletextright"/>
            </w:pPr>
          </w:p>
        </w:tc>
        <w:tc>
          <w:tcPr>
            <w:tcW w:w="891" w:type="dxa"/>
          </w:tcPr>
          <w:p w14:paraId="26A11AC4" w14:textId="77777777" w:rsidR="0068068B" w:rsidRPr="0067507D" w:rsidRDefault="0068068B" w:rsidP="00A721E2">
            <w:pPr>
              <w:pStyle w:val="Tabletextright"/>
            </w:pPr>
          </w:p>
        </w:tc>
        <w:tc>
          <w:tcPr>
            <w:tcW w:w="1080" w:type="dxa"/>
            <w:shd w:val="clear" w:color="auto" w:fill="E0E0E0"/>
          </w:tcPr>
          <w:p w14:paraId="0D8C8608" w14:textId="77777777" w:rsidR="0068068B" w:rsidRPr="0067507D" w:rsidRDefault="0068068B" w:rsidP="00A721E2">
            <w:pPr>
              <w:pStyle w:val="Tabletextright"/>
              <w:rPr>
                <w:bCs/>
              </w:rPr>
            </w:pPr>
          </w:p>
        </w:tc>
        <w:tc>
          <w:tcPr>
            <w:tcW w:w="1080" w:type="dxa"/>
          </w:tcPr>
          <w:p w14:paraId="62FE968E" w14:textId="77777777" w:rsidR="0068068B" w:rsidRPr="0067507D" w:rsidRDefault="0068068B" w:rsidP="00A721E2">
            <w:pPr>
              <w:pStyle w:val="Tabletextright"/>
              <w:rPr>
                <w:bCs/>
              </w:rPr>
            </w:pPr>
          </w:p>
        </w:tc>
        <w:tc>
          <w:tcPr>
            <w:tcW w:w="1080" w:type="dxa"/>
            <w:shd w:val="clear" w:color="auto" w:fill="E0E0E0"/>
          </w:tcPr>
          <w:p w14:paraId="5BE2A186" w14:textId="77777777" w:rsidR="0068068B" w:rsidRPr="0067507D" w:rsidRDefault="0068068B" w:rsidP="00A721E2">
            <w:pPr>
              <w:pStyle w:val="Tabletextright"/>
              <w:rPr>
                <w:bCs/>
              </w:rPr>
            </w:pPr>
          </w:p>
        </w:tc>
        <w:tc>
          <w:tcPr>
            <w:tcW w:w="1080" w:type="dxa"/>
          </w:tcPr>
          <w:p w14:paraId="205B66A7" w14:textId="77777777" w:rsidR="0068068B" w:rsidRPr="0067507D" w:rsidRDefault="0068068B" w:rsidP="00A721E2">
            <w:pPr>
              <w:pStyle w:val="Tabletextright"/>
              <w:rPr>
                <w:bCs/>
              </w:rPr>
            </w:pPr>
          </w:p>
        </w:tc>
      </w:tr>
      <w:tr w:rsidR="00E02C6B" w:rsidRPr="0067507D" w14:paraId="0740E1B8" w14:textId="77777777" w:rsidTr="007810BE">
        <w:tc>
          <w:tcPr>
            <w:tcW w:w="2700" w:type="dxa"/>
          </w:tcPr>
          <w:p w14:paraId="0D574669" w14:textId="77777777" w:rsidR="0068068B" w:rsidRPr="0067507D" w:rsidRDefault="0068068B" w:rsidP="00A721E2">
            <w:pPr>
              <w:pStyle w:val="Tabletext"/>
            </w:pPr>
            <w:r w:rsidRPr="0067507D">
              <w:t>$360</w:t>
            </w:r>
            <w:r w:rsidRPr="0067507D">
              <w:rPr>
                <w:rFonts w:ascii="Calibri" w:hAnsi="Calibri" w:cs="Calibri"/>
              </w:rPr>
              <w:t> </w:t>
            </w:r>
            <w:r w:rsidRPr="0067507D">
              <w:t>000–$379</w:t>
            </w:r>
            <w:r w:rsidRPr="0067507D">
              <w:rPr>
                <w:rFonts w:ascii="Calibri" w:hAnsi="Calibri" w:cs="Calibri"/>
              </w:rPr>
              <w:t> </w:t>
            </w:r>
            <w:r w:rsidRPr="0067507D">
              <w:t>999</w:t>
            </w:r>
          </w:p>
        </w:tc>
        <w:tc>
          <w:tcPr>
            <w:tcW w:w="1269" w:type="dxa"/>
            <w:shd w:val="clear" w:color="auto" w:fill="E0E0E0"/>
          </w:tcPr>
          <w:p w14:paraId="6834E004" w14:textId="77777777" w:rsidR="0068068B" w:rsidRPr="0067507D" w:rsidRDefault="0068068B" w:rsidP="00A721E2">
            <w:pPr>
              <w:pStyle w:val="Tabletextright"/>
            </w:pPr>
          </w:p>
        </w:tc>
        <w:tc>
          <w:tcPr>
            <w:tcW w:w="891" w:type="dxa"/>
          </w:tcPr>
          <w:p w14:paraId="4F82EA4B" w14:textId="77777777" w:rsidR="0068068B" w:rsidRPr="0067507D" w:rsidRDefault="0068068B" w:rsidP="00A721E2">
            <w:pPr>
              <w:pStyle w:val="Tabletextright"/>
            </w:pPr>
          </w:p>
        </w:tc>
        <w:tc>
          <w:tcPr>
            <w:tcW w:w="1080" w:type="dxa"/>
            <w:shd w:val="clear" w:color="auto" w:fill="E0E0E0"/>
          </w:tcPr>
          <w:p w14:paraId="6C632E36" w14:textId="77777777" w:rsidR="0068068B" w:rsidRPr="0067507D" w:rsidRDefault="0068068B" w:rsidP="00A721E2">
            <w:pPr>
              <w:pStyle w:val="Tabletextright"/>
              <w:rPr>
                <w:bCs/>
              </w:rPr>
            </w:pPr>
          </w:p>
        </w:tc>
        <w:tc>
          <w:tcPr>
            <w:tcW w:w="1080" w:type="dxa"/>
          </w:tcPr>
          <w:p w14:paraId="33F0CE32" w14:textId="77777777" w:rsidR="0068068B" w:rsidRPr="0067507D" w:rsidRDefault="0068068B" w:rsidP="00A721E2">
            <w:pPr>
              <w:pStyle w:val="Tabletextright"/>
              <w:rPr>
                <w:bCs/>
              </w:rPr>
            </w:pPr>
          </w:p>
        </w:tc>
        <w:tc>
          <w:tcPr>
            <w:tcW w:w="1080" w:type="dxa"/>
            <w:shd w:val="clear" w:color="auto" w:fill="E0E0E0"/>
          </w:tcPr>
          <w:p w14:paraId="38232251" w14:textId="77777777" w:rsidR="0068068B" w:rsidRPr="0067507D" w:rsidRDefault="0068068B" w:rsidP="00A721E2">
            <w:pPr>
              <w:pStyle w:val="Tabletextright"/>
              <w:rPr>
                <w:bCs/>
              </w:rPr>
            </w:pPr>
          </w:p>
        </w:tc>
        <w:tc>
          <w:tcPr>
            <w:tcW w:w="1080" w:type="dxa"/>
          </w:tcPr>
          <w:p w14:paraId="36E84236" w14:textId="77777777" w:rsidR="0068068B" w:rsidRPr="0067507D" w:rsidRDefault="0068068B" w:rsidP="00A721E2">
            <w:pPr>
              <w:pStyle w:val="Tabletextright"/>
              <w:rPr>
                <w:bCs/>
              </w:rPr>
            </w:pPr>
          </w:p>
        </w:tc>
      </w:tr>
      <w:tr w:rsidR="00E02C6B" w:rsidRPr="0067507D" w14:paraId="55D861CF" w14:textId="77777777" w:rsidTr="007810BE">
        <w:tc>
          <w:tcPr>
            <w:tcW w:w="2700" w:type="dxa"/>
          </w:tcPr>
          <w:p w14:paraId="5F2009FD" w14:textId="77777777" w:rsidR="0068068B" w:rsidRPr="0067507D" w:rsidRDefault="0068068B" w:rsidP="00A721E2">
            <w:pPr>
              <w:pStyle w:val="Tabletext"/>
            </w:pPr>
            <w:r w:rsidRPr="0067507D">
              <w:t>$380</w:t>
            </w:r>
            <w:r w:rsidRPr="0067507D">
              <w:rPr>
                <w:rFonts w:ascii="Calibri" w:hAnsi="Calibri" w:cs="Calibri"/>
              </w:rPr>
              <w:t> </w:t>
            </w:r>
            <w:r w:rsidRPr="0067507D">
              <w:t>000–$399</w:t>
            </w:r>
            <w:r w:rsidRPr="0067507D">
              <w:rPr>
                <w:rFonts w:ascii="Calibri" w:hAnsi="Calibri" w:cs="Calibri"/>
              </w:rPr>
              <w:t> </w:t>
            </w:r>
            <w:r w:rsidRPr="0067507D">
              <w:t>999</w:t>
            </w:r>
          </w:p>
        </w:tc>
        <w:tc>
          <w:tcPr>
            <w:tcW w:w="1269" w:type="dxa"/>
            <w:shd w:val="clear" w:color="auto" w:fill="E0E0E0"/>
          </w:tcPr>
          <w:p w14:paraId="6B2C06F3" w14:textId="77777777" w:rsidR="0068068B" w:rsidRPr="0067507D" w:rsidRDefault="0068068B" w:rsidP="00A721E2">
            <w:pPr>
              <w:pStyle w:val="Tabletextright"/>
            </w:pPr>
          </w:p>
        </w:tc>
        <w:tc>
          <w:tcPr>
            <w:tcW w:w="891" w:type="dxa"/>
          </w:tcPr>
          <w:p w14:paraId="13138287" w14:textId="77777777" w:rsidR="0068068B" w:rsidRPr="0067507D" w:rsidRDefault="0068068B" w:rsidP="00A721E2">
            <w:pPr>
              <w:pStyle w:val="Tabletextright"/>
            </w:pPr>
          </w:p>
        </w:tc>
        <w:tc>
          <w:tcPr>
            <w:tcW w:w="1080" w:type="dxa"/>
            <w:shd w:val="clear" w:color="auto" w:fill="E0E0E0"/>
          </w:tcPr>
          <w:p w14:paraId="6E833E65" w14:textId="77777777" w:rsidR="0068068B" w:rsidRPr="0067507D" w:rsidRDefault="0068068B" w:rsidP="00A721E2">
            <w:pPr>
              <w:pStyle w:val="Tabletextright"/>
              <w:rPr>
                <w:bCs/>
              </w:rPr>
            </w:pPr>
          </w:p>
        </w:tc>
        <w:tc>
          <w:tcPr>
            <w:tcW w:w="1080" w:type="dxa"/>
          </w:tcPr>
          <w:p w14:paraId="3BFDA23A" w14:textId="77777777" w:rsidR="0068068B" w:rsidRPr="0067507D" w:rsidRDefault="0068068B" w:rsidP="00A721E2">
            <w:pPr>
              <w:pStyle w:val="Tabletextright"/>
              <w:rPr>
                <w:bCs/>
              </w:rPr>
            </w:pPr>
          </w:p>
        </w:tc>
        <w:tc>
          <w:tcPr>
            <w:tcW w:w="1080" w:type="dxa"/>
            <w:shd w:val="clear" w:color="auto" w:fill="E0E0E0"/>
          </w:tcPr>
          <w:p w14:paraId="0C455687" w14:textId="77777777" w:rsidR="0068068B" w:rsidRPr="0067507D" w:rsidRDefault="0068068B" w:rsidP="00A721E2">
            <w:pPr>
              <w:pStyle w:val="Tabletextright"/>
              <w:rPr>
                <w:bCs/>
              </w:rPr>
            </w:pPr>
          </w:p>
        </w:tc>
        <w:tc>
          <w:tcPr>
            <w:tcW w:w="1080" w:type="dxa"/>
          </w:tcPr>
          <w:p w14:paraId="5B152925" w14:textId="77777777" w:rsidR="0068068B" w:rsidRPr="0067507D" w:rsidRDefault="0068068B" w:rsidP="00A721E2">
            <w:pPr>
              <w:pStyle w:val="Tabletextright"/>
              <w:rPr>
                <w:bCs/>
              </w:rPr>
            </w:pPr>
          </w:p>
        </w:tc>
      </w:tr>
      <w:tr w:rsidR="00E02C6B" w:rsidRPr="0067507D" w14:paraId="10FB9F49" w14:textId="77777777" w:rsidTr="007810BE">
        <w:tc>
          <w:tcPr>
            <w:tcW w:w="2700" w:type="dxa"/>
          </w:tcPr>
          <w:p w14:paraId="692D1538" w14:textId="77777777" w:rsidR="0068068B" w:rsidRPr="0067507D" w:rsidRDefault="0068068B" w:rsidP="00A721E2">
            <w:pPr>
              <w:pStyle w:val="Tabletext"/>
            </w:pPr>
            <w:r w:rsidRPr="0067507D">
              <w:t>$400</w:t>
            </w:r>
            <w:r w:rsidRPr="0067507D">
              <w:rPr>
                <w:rFonts w:ascii="Calibri" w:hAnsi="Calibri" w:cs="Calibri"/>
              </w:rPr>
              <w:t> </w:t>
            </w:r>
            <w:r w:rsidRPr="0067507D">
              <w:t>000–$419</w:t>
            </w:r>
            <w:r w:rsidRPr="0067507D">
              <w:rPr>
                <w:rFonts w:ascii="Calibri" w:hAnsi="Calibri" w:cs="Calibri"/>
              </w:rPr>
              <w:t> </w:t>
            </w:r>
            <w:r w:rsidRPr="0067507D">
              <w:t>999</w:t>
            </w:r>
          </w:p>
        </w:tc>
        <w:tc>
          <w:tcPr>
            <w:tcW w:w="1269" w:type="dxa"/>
            <w:shd w:val="clear" w:color="auto" w:fill="E0E0E0"/>
          </w:tcPr>
          <w:p w14:paraId="0193E914" w14:textId="77777777" w:rsidR="0068068B" w:rsidRPr="0067507D" w:rsidRDefault="0068068B" w:rsidP="00A721E2">
            <w:pPr>
              <w:pStyle w:val="Tabletextright"/>
            </w:pPr>
          </w:p>
        </w:tc>
        <w:tc>
          <w:tcPr>
            <w:tcW w:w="891" w:type="dxa"/>
          </w:tcPr>
          <w:p w14:paraId="22614EAD" w14:textId="77777777" w:rsidR="0068068B" w:rsidRPr="0067507D" w:rsidRDefault="0068068B" w:rsidP="00A721E2">
            <w:pPr>
              <w:pStyle w:val="Tabletextright"/>
            </w:pPr>
          </w:p>
        </w:tc>
        <w:tc>
          <w:tcPr>
            <w:tcW w:w="1080" w:type="dxa"/>
            <w:shd w:val="clear" w:color="auto" w:fill="E0E0E0"/>
          </w:tcPr>
          <w:p w14:paraId="0A141559" w14:textId="77777777" w:rsidR="0068068B" w:rsidRPr="0067507D" w:rsidRDefault="0068068B" w:rsidP="00A721E2">
            <w:pPr>
              <w:pStyle w:val="Tabletextright"/>
              <w:rPr>
                <w:bCs/>
              </w:rPr>
            </w:pPr>
          </w:p>
        </w:tc>
        <w:tc>
          <w:tcPr>
            <w:tcW w:w="1080" w:type="dxa"/>
          </w:tcPr>
          <w:p w14:paraId="3F83B5C9" w14:textId="77777777" w:rsidR="0068068B" w:rsidRPr="0067507D" w:rsidRDefault="0068068B" w:rsidP="00A721E2">
            <w:pPr>
              <w:pStyle w:val="Tabletextright"/>
              <w:rPr>
                <w:bCs/>
              </w:rPr>
            </w:pPr>
          </w:p>
        </w:tc>
        <w:tc>
          <w:tcPr>
            <w:tcW w:w="1080" w:type="dxa"/>
            <w:shd w:val="clear" w:color="auto" w:fill="E0E0E0"/>
          </w:tcPr>
          <w:p w14:paraId="3AE1B5ED" w14:textId="77777777" w:rsidR="0068068B" w:rsidRPr="0067507D" w:rsidRDefault="0068068B" w:rsidP="00A721E2">
            <w:pPr>
              <w:pStyle w:val="Tabletextright"/>
              <w:rPr>
                <w:bCs/>
              </w:rPr>
            </w:pPr>
          </w:p>
        </w:tc>
        <w:tc>
          <w:tcPr>
            <w:tcW w:w="1080" w:type="dxa"/>
          </w:tcPr>
          <w:p w14:paraId="000D156D" w14:textId="77777777" w:rsidR="0068068B" w:rsidRPr="0067507D" w:rsidRDefault="0068068B" w:rsidP="00A721E2">
            <w:pPr>
              <w:pStyle w:val="Tabletextright"/>
              <w:rPr>
                <w:bCs/>
              </w:rPr>
            </w:pPr>
          </w:p>
        </w:tc>
      </w:tr>
      <w:tr w:rsidR="00E02C6B" w:rsidRPr="0067507D" w14:paraId="19D0A910" w14:textId="77777777" w:rsidTr="007810BE">
        <w:tc>
          <w:tcPr>
            <w:tcW w:w="2700" w:type="dxa"/>
          </w:tcPr>
          <w:p w14:paraId="201A7F33" w14:textId="77777777" w:rsidR="0068068B" w:rsidRPr="0067507D" w:rsidRDefault="0068068B" w:rsidP="00A721E2">
            <w:pPr>
              <w:pStyle w:val="Tabletext"/>
            </w:pPr>
            <w:r w:rsidRPr="0067507D">
              <w:t>$420</w:t>
            </w:r>
            <w:r w:rsidRPr="0067507D">
              <w:rPr>
                <w:rFonts w:ascii="Calibri" w:hAnsi="Calibri" w:cs="Calibri"/>
              </w:rPr>
              <w:t> </w:t>
            </w:r>
            <w:r w:rsidRPr="0067507D">
              <w:t>000–$439</w:t>
            </w:r>
            <w:r w:rsidRPr="0067507D">
              <w:rPr>
                <w:rFonts w:ascii="Calibri" w:hAnsi="Calibri" w:cs="Calibri"/>
              </w:rPr>
              <w:t> </w:t>
            </w:r>
            <w:r w:rsidRPr="0067507D">
              <w:t>999</w:t>
            </w:r>
          </w:p>
        </w:tc>
        <w:tc>
          <w:tcPr>
            <w:tcW w:w="1269" w:type="dxa"/>
            <w:shd w:val="clear" w:color="auto" w:fill="E0E0E0"/>
          </w:tcPr>
          <w:p w14:paraId="338E9A31" w14:textId="77777777" w:rsidR="0068068B" w:rsidRPr="0067507D" w:rsidRDefault="0068068B" w:rsidP="00A721E2">
            <w:pPr>
              <w:pStyle w:val="Tabletextright"/>
            </w:pPr>
          </w:p>
        </w:tc>
        <w:tc>
          <w:tcPr>
            <w:tcW w:w="891" w:type="dxa"/>
          </w:tcPr>
          <w:p w14:paraId="00BE2930" w14:textId="77777777" w:rsidR="0068068B" w:rsidRPr="0067507D" w:rsidRDefault="0068068B" w:rsidP="00A721E2">
            <w:pPr>
              <w:pStyle w:val="Tabletextright"/>
            </w:pPr>
          </w:p>
        </w:tc>
        <w:tc>
          <w:tcPr>
            <w:tcW w:w="1080" w:type="dxa"/>
            <w:shd w:val="clear" w:color="auto" w:fill="E0E0E0"/>
          </w:tcPr>
          <w:p w14:paraId="1A3ED2AF" w14:textId="77777777" w:rsidR="0068068B" w:rsidRPr="0067507D" w:rsidRDefault="0068068B" w:rsidP="00A721E2">
            <w:pPr>
              <w:pStyle w:val="Tabletextright"/>
              <w:rPr>
                <w:bCs/>
              </w:rPr>
            </w:pPr>
          </w:p>
        </w:tc>
        <w:tc>
          <w:tcPr>
            <w:tcW w:w="1080" w:type="dxa"/>
          </w:tcPr>
          <w:p w14:paraId="7725388C" w14:textId="77777777" w:rsidR="0068068B" w:rsidRPr="0067507D" w:rsidRDefault="0068068B" w:rsidP="00A721E2">
            <w:pPr>
              <w:pStyle w:val="Tabletextright"/>
              <w:rPr>
                <w:bCs/>
              </w:rPr>
            </w:pPr>
          </w:p>
        </w:tc>
        <w:tc>
          <w:tcPr>
            <w:tcW w:w="1080" w:type="dxa"/>
            <w:shd w:val="clear" w:color="auto" w:fill="E0E0E0"/>
          </w:tcPr>
          <w:p w14:paraId="69F7484F" w14:textId="77777777" w:rsidR="0068068B" w:rsidRPr="0067507D" w:rsidRDefault="0068068B" w:rsidP="00A721E2">
            <w:pPr>
              <w:pStyle w:val="Tabletextright"/>
              <w:rPr>
                <w:bCs/>
              </w:rPr>
            </w:pPr>
          </w:p>
        </w:tc>
        <w:tc>
          <w:tcPr>
            <w:tcW w:w="1080" w:type="dxa"/>
          </w:tcPr>
          <w:p w14:paraId="4E9DE114" w14:textId="77777777" w:rsidR="0068068B" w:rsidRPr="0067507D" w:rsidRDefault="0068068B" w:rsidP="00A721E2">
            <w:pPr>
              <w:pStyle w:val="Tabletextright"/>
              <w:rPr>
                <w:bCs/>
              </w:rPr>
            </w:pPr>
          </w:p>
        </w:tc>
      </w:tr>
      <w:tr w:rsidR="00E02C6B" w:rsidRPr="0067507D" w14:paraId="41DE9412" w14:textId="77777777" w:rsidTr="007810BE">
        <w:tc>
          <w:tcPr>
            <w:tcW w:w="2700" w:type="dxa"/>
          </w:tcPr>
          <w:p w14:paraId="74F29AC2" w14:textId="77777777" w:rsidR="0068068B" w:rsidRPr="0067507D" w:rsidRDefault="0068068B" w:rsidP="00A721E2">
            <w:pPr>
              <w:pStyle w:val="Tabletext"/>
            </w:pPr>
            <w:r w:rsidRPr="0067507D">
              <w:t>$440</w:t>
            </w:r>
            <w:r w:rsidRPr="0067507D">
              <w:rPr>
                <w:rFonts w:ascii="Calibri" w:hAnsi="Calibri" w:cs="Calibri"/>
              </w:rPr>
              <w:t> </w:t>
            </w:r>
            <w:r w:rsidRPr="0067507D">
              <w:t>000–$459</w:t>
            </w:r>
            <w:r w:rsidRPr="0067507D">
              <w:rPr>
                <w:rFonts w:ascii="Calibri" w:hAnsi="Calibri" w:cs="Calibri"/>
              </w:rPr>
              <w:t> </w:t>
            </w:r>
            <w:r w:rsidRPr="0067507D">
              <w:t>999</w:t>
            </w:r>
          </w:p>
        </w:tc>
        <w:tc>
          <w:tcPr>
            <w:tcW w:w="1269" w:type="dxa"/>
            <w:shd w:val="clear" w:color="auto" w:fill="E0E0E0"/>
          </w:tcPr>
          <w:p w14:paraId="1A27FD6A" w14:textId="77777777" w:rsidR="0068068B" w:rsidRPr="0067507D" w:rsidRDefault="0068068B" w:rsidP="00A721E2">
            <w:pPr>
              <w:pStyle w:val="Tabletextright"/>
            </w:pPr>
          </w:p>
        </w:tc>
        <w:tc>
          <w:tcPr>
            <w:tcW w:w="891" w:type="dxa"/>
          </w:tcPr>
          <w:p w14:paraId="0B318595" w14:textId="77777777" w:rsidR="0068068B" w:rsidRPr="0067507D" w:rsidRDefault="0068068B" w:rsidP="00A721E2">
            <w:pPr>
              <w:pStyle w:val="Tabletextright"/>
            </w:pPr>
          </w:p>
        </w:tc>
        <w:tc>
          <w:tcPr>
            <w:tcW w:w="1080" w:type="dxa"/>
            <w:shd w:val="clear" w:color="auto" w:fill="E0E0E0"/>
          </w:tcPr>
          <w:p w14:paraId="05DE4FD8" w14:textId="77777777" w:rsidR="0068068B" w:rsidRPr="0067507D" w:rsidRDefault="0068068B" w:rsidP="00A721E2">
            <w:pPr>
              <w:pStyle w:val="Tabletextright"/>
              <w:rPr>
                <w:bCs/>
              </w:rPr>
            </w:pPr>
          </w:p>
        </w:tc>
        <w:tc>
          <w:tcPr>
            <w:tcW w:w="1080" w:type="dxa"/>
          </w:tcPr>
          <w:p w14:paraId="3CA9B31D" w14:textId="77777777" w:rsidR="0068068B" w:rsidRPr="0067507D" w:rsidRDefault="0068068B" w:rsidP="00A721E2">
            <w:pPr>
              <w:pStyle w:val="Tabletextright"/>
              <w:rPr>
                <w:bCs/>
              </w:rPr>
            </w:pPr>
          </w:p>
        </w:tc>
        <w:tc>
          <w:tcPr>
            <w:tcW w:w="1080" w:type="dxa"/>
            <w:shd w:val="clear" w:color="auto" w:fill="E0E0E0"/>
          </w:tcPr>
          <w:p w14:paraId="5549285D" w14:textId="77777777" w:rsidR="0068068B" w:rsidRPr="0067507D" w:rsidRDefault="0068068B" w:rsidP="00A721E2">
            <w:pPr>
              <w:pStyle w:val="Tabletextright"/>
              <w:rPr>
                <w:bCs/>
              </w:rPr>
            </w:pPr>
          </w:p>
        </w:tc>
        <w:tc>
          <w:tcPr>
            <w:tcW w:w="1080" w:type="dxa"/>
          </w:tcPr>
          <w:p w14:paraId="729E66E7" w14:textId="77777777" w:rsidR="0068068B" w:rsidRPr="0067507D" w:rsidRDefault="0068068B" w:rsidP="00A721E2">
            <w:pPr>
              <w:pStyle w:val="Tabletextright"/>
              <w:rPr>
                <w:bCs/>
              </w:rPr>
            </w:pPr>
          </w:p>
        </w:tc>
      </w:tr>
      <w:tr w:rsidR="00E02C6B" w:rsidRPr="0067507D" w14:paraId="5DB96E86" w14:textId="77777777" w:rsidTr="007810BE">
        <w:tc>
          <w:tcPr>
            <w:tcW w:w="2700" w:type="dxa"/>
          </w:tcPr>
          <w:p w14:paraId="12E33C9A" w14:textId="77777777" w:rsidR="0068068B" w:rsidRPr="0067507D" w:rsidRDefault="0068068B" w:rsidP="00A721E2">
            <w:pPr>
              <w:pStyle w:val="Tabletext"/>
            </w:pPr>
            <w:r w:rsidRPr="0067507D">
              <w:t>$460</w:t>
            </w:r>
            <w:r w:rsidRPr="0067507D">
              <w:rPr>
                <w:rFonts w:ascii="Calibri" w:hAnsi="Calibri" w:cs="Calibri"/>
              </w:rPr>
              <w:t> </w:t>
            </w:r>
            <w:r w:rsidRPr="0067507D">
              <w:t>000–$479</w:t>
            </w:r>
            <w:r w:rsidRPr="0067507D">
              <w:rPr>
                <w:rFonts w:ascii="Calibri" w:hAnsi="Calibri" w:cs="Calibri"/>
              </w:rPr>
              <w:t> </w:t>
            </w:r>
            <w:r w:rsidRPr="0067507D">
              <w:t>999</w:t>
            </w:r>
          </w:p>
        </w:tc>
        <w:tc>
          <w:tcPr>
            <w:tcW w:w="1269" w:type="dxa"/>
            <w:shd w:val="clear" w:color="auto" w:fill="E0E0E0"/>
          </w:tcPr>
          <w:p w14:paraId="32988D0E" w14:textId="77777777" w:rsidR="0068068B" w:rsidRPr="0067507D" w:rsidRDefault="0068068B" w:rsidP="00A721E2">
            <w:pPr>
              <w:pStyle w:val="Tabletextright"/>
            </w:pPr>
          </w:p>
        </w:tc>
        <w:tc>
          <w:tcPr>
            <w:tcW w:w="891" w:type="dxa"/>
          </w:tcPr>
          <w:p w14:paraId="216812E7" w14:textId="77777777" w:rsidR="0068068B" w:rsidRPr="0067507D" w:rsidRDefault="0068068B" w:rsidP="00A721E2">
            <w:pPr>
              <w:pStyle w:val="Tabletextright"/>
            </w:pPr>
          </w:p>
        </w:tc>
        <w:tc>
          <w:tcPr>
            <w:tcW w:w="1080" w:type="dxa"/>
            <w:shd w:val="clear" w:color="auto" w:fill="E0E0E0"/>
          </w:tcPr>
          <w:p w14:paraId="30A9DFF7" w14:textId="77777777" w:rsidR="0068068B" w:rsidRPr="0067507D" w:rsidRDefault="0068068B" w:rsidP="00A721E2">
            <w:pPr>
              <w:pStyle w:val="Tabletextright"/>
              <w:rPr>
                <w:bCs/>
              </w:rPr>
            </w:pPr>
          </w:p>
        </w:tc>
        <w:tc>
          <w:tcPr>
            <w:tcW w:w="1080" w:type="dxa"/>
          </w:tcPr>
          <w:p w14:paraId="0001DB7B" w14:textId="77777777" w:rsidR="0068068B" w:rsidRPr="0067507D" w:rsidRDefault="0068068B" w:rsidP="00A721E2">
            <w:pPr>
              <w:pStyle w:val="Tabletextright"/>
              <w:rPr>
                <w:bCs/>
              </w:rPr>
            </w:pPr>
          </w:p>
        </w:tc>
        <w:tc>
          <w:tcPr>
            <w:tcW w:w="1080" w:type="dxa"/>
            <w:shd w:val="clear" w:color="auto" w:fill="E0E0E0"/>
          </w:tcPr>
          <w:p w14:paraId="624D9B81" w14:textId="77777777" w:rsidR="0068068B" w:rsidRPr="0067507D" w:rsidRDefault="0068068B" w:rsidP="00A721E2">
            <w:pPr>
              <w:pStyle w:val="Tabletextright"/>
              <w:rPr>
                <w:bCs/>
              </w:rPr>
            </w:pPr>
          </w:p>
        </w:tc>
        <w:tc>
          <w:tcPr>
            <w:tcW w:w="1080" w:type="dxa"/>
          </w:tcPr>
          <w:p w14:paraId="565388F1" w14:textId="77777777" w:rsidR="0068068B" w:rsidRPr="0067507D" w:rsidRDefault="0068068B" w:rsidP="00A721E2">
            <w:pPr>
              <w:pStyle w:val="Tabletextright"/>
              <w:rPr>
                <w:bCs/>
              </w:rPr>
            </w:pPr>
          </w:p>
        </w:tc>
      </w:tr>
      <w:tr w:rsidR="00E02C6B" w:rsidRPr="0067507D" w14:paraId="30FBF7FF" w14:textId="77777777" w:rsidTr="007810BE">
        <w:tc>
          <w:tcPr>
            <w:tcW w:w="2700" w:type="dxa"/>
          </w:tcPr>
          <w:p w14:paraId="2DD1F6E1" w14:textId="77777777" w:rsidR="0068068B" w:rsidRPr="0067507D" w:rsidRDefault="0068068B" w:rsidP="00A721E2">
            <w:pPr>
              <w:pStyle w:val="Tabletext"/>
            </w:pPr>
            <w:r w:rsidRPr="0067507D">
              <w:t>$480</w:t>
            </w:r>
            <w:r w:rsidRPr="0067507D">
              <w:rPr>
                <w:rFonts w:ascii="Calibri" w:hAnsi="Calibri" w:cs="Calibri"/>
              </w:rPr>
              <w:t> </w:t>
            </w:r>
            <w:r w:rsidRPr="0067507D">
              <w:t>000–$499</w:t>
            </w:r>
            <w:r w:rsidRPr="0067507D">
              <w:rPr>
                <w:rFonts w:ascii="Calibri" w:hAnsi="Calibri" w:cs="Calibri"/>
              </w:rPr>
              <w:t> </w:t>
            </w:r>
            <w:r w:rsidRPr="0067507D">
              <w:t>999</w:t>
            </w:r>
          </w:p>
        </w:tc>
        <w:tc>
          <w:tcPr>
            <w:tcW w:w="1269" w:type="dxa"/>
            <w:shd w:val="clear" w:color="auto" w:fill="E0E0E0"/>
          </w:tcPr>
          <w:p w14:paraId="6AF8D44D" w14:textId="77777777" w:rsidR="0068068B" w:rsidRPr="0067507D" w:rsidRDefault="0068068B" w:rsidP="00A721E2">
            <w:pPr>
              <w:pStyle w:val="Tabletextright"/>
            </w:pPr>
          </w:p>
        </w:tc>
        <w:tc>
          <w:tcPr>
            <w:tcW w:w="891" w:type="dxa"/>
          </w:tcPr>
          <w:p w14:paraId="66F58183" w14:textId="77777777" w:rsidR="0068068B" w:rsidRPr="0067507D" w:rsidRDefault="0068068B" w:rsidP="00A721E2">
            <w:pPr>
              <w:pStyle w:val="Tabletextright"/>
            </w:pPr>
          </w:p>
        </w:tc>
        <w:tc>
          <w:tcPr>
            <w:tcW w:w="1080" w:type="dxa"/>
            <w:shd w:val="clear" w:color="auto" w:fill="E0E0E0"/>
          </w:tcPr>
          <w:p w14:paraId="73765C06" w14:textId="77777777" w:rsidR="0068068B" w:rsidRPr="0067507D" w:rsidRDefault="0068068B" w:rsidP="00A721E2">
            <w:pPr>
              <w:pStyle w:val="Tabletextright"/>
              <w:rPr>
                <w:bCs/>
              </w:rPr>
            </w:pPr>
          </w:p>
        </w:tc>
        <w:tc>
          <w:tcPr>
            <w:tcW w:w="1080" w:type="dxa"/>
          </w:tcPr>
          <w:p w14:paraId="1EB53F6D" w14:textId="77777777" w:rsidR="0068068B" w:rsidRPr="0067507D" w:rsidRDefault="0068068B" w:rsidP="00A721E2">
            <w:pPr>
              <w:pStyle w:val="Tabletextright"/>
              <w:rPr>
                <w:bCs/>
              </w:rPr>
            </w:pPr>
          </w:p>
        </w:tc>
        <w:tc>
          <w:tcPr>
            <w:tcW w:w="1080" w:type="dxa"/>
            <w:shd w:val="clear" w:color="auto" w:fill="E0E0E0"/>
          </w:tcPr>
          <w:p w14:paraId="2A4F0C25" w14:textId="77777777" w:rsidR="0068068B" w:rsidRPr="0067507D" w:rsidRDefault="0068068B" w:rsidP="00A721E2">
            <w:pPr>
              <w:pStyle w:val="Tabletextright"/>
              <w:rPr>
                <w:bCs/>
              </w:rPr>
            </w:pPr>
          </w:p>
        </w:tc>
        <w:tc>
          <w:tcPr>
            <w:tcW w:w="1080" w:type="dxa"/>
          </w:tcPr>
          <w:p w14:paraId="3591AF39" w14:textId="77777777" w:rsidR="0068068B" w:rsidRPr="0067507D" w:rsidRDefault="0068068B" w:rsidP="00A721E2">
            <w:pPr>
              <w:pStyle w:val="Tabletextright"/>
              <w:rPr>
                <w:bCs/>
              </w:rPr>
            </w:pPr>
          </w:p>
        </w:tc>
      </w:tr>
      <w:tr w:rsidR="00E02C6B" w:rsidRPr="0067507D" w14:paraId="6B38F641" w14:textId="77777777" w:rsidTr="007810BE">
        <w:tc>
          <w:tcPr>
            <w:tcW w:w="2700" w:type="dxa"/>
            <w:vAlign w:val="bottom"/>
          </w:tcPr>
          <w:p w14:paraId="4D65C6C1" w14:textId="77777777" w:rsidR="0068068B" w:rsidRPr="0067507D" w:rsidRDefault="0068068B" w:rsidP="00A721E2">
            <w:pPr>
              <w:pStyle w:val="Tabletextbold"/>
            </w:pPr>
            <w:r w:rsidRPr="0067507D">
              <w:t xml:space="preserve">Total </w:t>
            </w:r>
          </w:p>
        </w:tc>
        <w:tc>
          <w:tcPr>
            <w:tcW w:w="1269" w:type="dxa"/>
            <w:shd w:val="clear" w:color="auto" w:fill="E0E0E0"/>
          </w:tcPr>
          <w:p w14:paraId="5486C124" w14:textId="6B461D8A" w:rsidR="0068068B" w:rsidRPr="0067507D" w:rsidRDefault="00D45D51" w:rsidP="00A721E2">
            <w:pPr>
              <w:pStyle w:val="Tabletextright"/>
              <w:rPr>
                <w:b/>
                <w:bCs/>
              </w:rPr>
            </w:pPr>
            <w:r w:rsidRPr="0067507D">
              <w:rPr>
                <w:b/>
              </w:rPr>
              <w:t>2</w:t>
            </w:r>
          </w:p>
        </w:tc>
        <w:tc>
          <w:tcPr>
            <w:tcW w:w="891" w:type="dxa"/>
          </w:tcPr>
          <w:p w14:paraId="50AC528D" w14:textId="7BE81D2F" w:rsidR="0068068B" w:rsidRPr="0067507D" w:rsidRDefault="00D45D51" w:rsidP="00A721E2">
            <w:pPr>
              <w:pStyle w:val="Tabletextright"/>
              <w:rPr>
                <w:b/>
                <w:bCs/>
              </w:rPr>
            </w:pPr>
            <w:r w:rsidRPr="0067507D">
              <w:rPr>
                <w:b/>
              </w:rPr>
              <w:t>1</w:t>
            </w:r>
          </w:p>
        </w:tc>
        <w:tc>
          <w:tcPr>
            <w:tcW w:w="1080" w:type="dxa"/>
            <w:shd w:val="clear" w:color="auto" w:fill="E0E0E0"/>
          </w:tcPr>
          <w:p w14:paraId="7DE7C835" w14:textId="77777777" w:rsidR="0068068B" w:rsidRPr="0067507D" w:rsidRDefault="0068068B" w:rsidP="00A721E2">
            <w:pPr>
              <w:pStyle w:val="Tabletextrightbold"/>
            </w:pPr>
          </w:p>
        </w:tc>
        <w:tc>
          <w:tcPr>
            <w:tcW w:w="1080" w:type="dxa"/>
          </w:tcPr>
          <w:p w14:paraId="3FF8830E" w14:textId="77777777" w:rsidR="0068068B" w:rsidRPr="0067507D" w:rsidRDefault="0068068B" w:rsidP="00A721E2">
            <w:pPr>
              <w:pStyle w:val="Tabletextrightbold"/>
            </w:pPr>
          </w:p>
        </w:tc>
        <w:tc>
          <w:tcPr>
            <w:tcW w:w="1080" w:type="dxa"/>
            <w:shd w:val="clear" w:color="auto" w:fill="E0E0E0"/>
          </w:tcPr>
          <w:p w14:paraId="3BC875D8" w14:textId="77777777" w:rsidR="0068068B" w:rsidRPr="0067507D" w:rsidRDefault="0068068B" w:rsidP="00A721E2">
            <w:pPr>
              <w:pStyle w:val="Tabletextrightbold"/>
            </w:pPr>
          </w:p>
        </w:tc>
        <w:tc>
          <w:tcPr>
            <w:tcW w:w="1080" w:type="dxa"/>
          </w:tcPr>
          <w:p w14:paraId="145DBD6F" w14:textId="77777777" w:rsidR="0068068B" w:rsidRPr="0067507D" w:rsidRDefault="0068068B" w:rsidP="00A721E2">
            <w:pPr>
              <w:pStyle w:val="Tabletextrightbold"/>
            </w:pPr>
          </w:p>
        </w:tc>
      </w:tr>
    </w:tbl>
    <w:p w14:paraId="034C1EE4" w14:textId="4309C779" w:rsidR="008854C2" w:rsidRPr="0067507D" w:rsidRDefault="0068068B" w:rsidP="008854C2">
      <w:pPr>
        <w:pStyle w:val="Notes"/>
      </w:pPr>
      <w:r w:rsidRPr="0067507D">
        <w:t>The salaries reported above are for the full financial year, at a 1</w:t>
      </w:r>
      <w:r w:rsidR="006A5485">
        <w:noBreakHyphen/>
      </w:r>
      <w:r w:rsidRPr="0067507D">
        <w:t>FTE rate, and exclude superannuation.</w:t>
      </w:r>
    </w:p>
    <w:p w14:paraId="1A49CD4C" w14:textId="6181EAAD" w:rsidR="008854C2" w:rsidRPr="0067507D" w:rsidRDefault="008854C2" w:rsidP="008854C2">
      <w:pPr>
        <w:pStyle w:val="Notes"/>
      </w:pPr>
      <w:r w:rsidRPr="0067507D">
        <w:t>There are no senior employees employed on a part</w:t>
      </w:r>
      <w:r w:rsidR="006A5485">
        <w:noBreakHyphen/>
      </w:r>
      <w:r w:rsidRPr="0067507D">
        <w:t>time basis.</w:t>
      </w:r>
    </w:p>
    <w:p w14:paraId="40543311" w14:textId="77777777" w:rsidR="00336A2E" w:rsidRPr="0067507D" w:rsidRDefault="00336A2E" w:rsidP="00336A2E"/>
    <w:p w14:paraId="1635CE82" w14:textId="35E238A5" w:rsidR="0068068B" w:rsidRPr="0067507D" w:rsidRDefault="0068068B" w:rsidP="0068068B">
      <w:pPr>
        <w:pStyle w:val="Notes"/>
      </w:pPr>
    </w:p>
    <w:p w14:paraId="7618CFA5" w14:textId="77777777" w:rsidR="00113E1C" w:rsidRPr="0067507D" w:rsidRDefault="00113E1C" w:rsidP="00113E1C">
      <w:pPr>
        <w:pStyle w:val="Tableheading"/>
        <w:sectPr w:rsidR="00113E1C" w:rsidRPr="0067507D" w:rsidSect="00790E11">
          <w:headerReference w:type="even" r:id="rId173"/>
          <w:footerReference w:type="even" r:id="rId174"/>
          <w:footerReference w:type="default" r:id="rId175"/>
          <w:pgSz w:w="11909" w:h="16834" w:code="9"/>
          <w:pgMar w:top="1728" w:right="1152" w:bottom="1267" w:left="1152" w:header="720" w:footer="288" w:gutter="0"/>
          <w:cols w:space="720"/>
          <w:noEndnote/>
          <w:docGrid w:linePitch="231"/>
        </w:sectPr>
      </w:pPr>
    </w:p>
    <w:p w14:paraId="30E2E846" w14:textId="1BC3FAC0" w:rsidR="00113E1C" w:rsidRPr="0067507D" w:rsidRDefault="00113E1C" w:rsidP="00113E1C">
      <w:pPr>
        <w:pStyle w:val="Heading2"/>
      </w:pPr>
      <w:bookmarkStart w:id="205" w:name="_Hlk15547421"/>
      <w:r w:rsidRPr="0067507D">
        <w:lastRenderedPageBreak/>
        <w:t>Workforce inclusion policy</w:t>
      </w:r>
    </w:p>
    <w:p w14:paraId="0BF59EAC" w14:textId="4AE7BCA4" w:rsidR="00113E1C" w:rsidRPr="0067507D" w:rsidRDefault="00113E1C" w:rsidP="00113E1C">
      <w:r w:rsidRPr="0067507D">
        <w:t xml:space="preserve">The Department is working towards creating a balanced working environment where equal opportunity and diversity are valued. As part of our Gender Equality Action Plan, DTF has a 50/50 target for the executive gender profile. The following table outlines the Department’s progress against this target for </w:t>
      </w:r>
      <w:r w:rsidR="00C30F42" w:rsidRPr="0067507D">
        <w:t>2024</w:t>
      </w:r>
      <w:r w:rsidR="006A5485">
        <w:noBreakHyphen/>
      </w:r>
      <w:r w:rsidR="00C30F42" w:rsidRPr="0067507D">
        <w:t>25</w:t>
      </w:r>
      <w:r w:rsidRPr="0067507D">
        <w:t>.</w:t>
      </w:r>
    </w:p>
    <w:tbl>
      <w:tblPr>
        <w:tblW w:w="9288" w:type="dxa"/>
        <w:tblLayout w:type="fixed"/>
        <w:tblLook w:val="0620" w:firstRow="1" w:lastRow="0" w:firstColumn="0" w:lastColumn="0" w:noHBand="1" w:noVBand="1"/>
      </w:tblPr>
      <w:tblGrid>
        <w:gridCol w:w="2322"/>
        <w:gridCol w:w="2322"/>
        <w:gridCol w:w="2322"/>
        <w:gridCol w:w="2322"/>
      </w:tblGrid>
      <w:tr w:rsidR="00113E1C" w:rsidRPr="0067507D" w14:paraId="536AFCA2" w14:textId="495B98EE" w:rsidTr="00524C60">
        <w:trPr>
          <w:trHeight w:val="313"/>
        </w:trPr>
        <w:tc>
          <w:tcPr>
            <w:tcW w:w="2322" w:type="dxa"/>
            <w:vAlign w:val="bottom"/>
            <w:hideMark/>
          </w:tcPr>
          <w:p w14:paraId="68D4ECC5" w14:textId="77777777" w:rsidR="00113E1C" w:rsidRPr="0067507D" w:rsidRDefault="00113E1C" w:rsidP="00524C60">
            <w:pPr>
              <w:pStyle w:val="Tableheader"/>
              <w:jc w:val="left"/>
              <w:rPr>
                <w:rFonts w:asciiTheme="majorHAnsi" w:hAnsiTheme="majorHAnsi"/>
              </w:rPr>
            </w:pPr>
            <w:r w:rsidRPr="0067507D">
              <w:rPr>
                <w:rFonts w:asciiTheme="majorHAnsi" w:hAnsiTheme="majorHAnsi"/>
              </w:rPr>
              <w:t>Workforce inclusion policy initiative</w:t>
            </w:r>
          </w:p>
        </w:tc>
        <w:tc>
          <w:tcPr>
            <w:tcW w:w="2322" w:type="dxa"/>
            <w:vAlign w:val="bottom"/>
            <w:hideMark/>
          </w:tcPr>
          <w:p w14:paraId="4B8C3BED" w14:textId="77777777" w:rsidR="00113E1C" w:rsidRPr="0067507D" w:rsidRDefault="00113E1C" w:rsidP="00524C60">
            <w:pPr>
              <w:pStyle w:val="Tableheader"/>
              <w:jc w:val="left"/>
              <w:rPr>
                <w:rFonts w:asciiTheme="majorHAnsi" w:hAnsiTheme="majorHAnsi"/>
              </w:rPr>
            </w:pPr>
            <w:r w:rsidRPr="0067507D">
              <w:rPr>
                <w:rFonts w:asciiTheme="majorHAnsi" w:hAnsiTheme="majorHAnsi"/>
              </w:rPr>
              <w:t>Target</w:t>
            </w:r>
          </w:p>
        </w:tc>
        <w:tc>
          <w:tcPr>
            <w:tcW w:w="2322" w:type="dxa"/>
            <w:vAlign w:val="bottom"/>
          </w:tcPr>
          <w:p w14:paraId="05095E15" w14:textId="2F34D475" w:rsidR="00113E1C" w:rsidRPr="0067507D" w:rsidRDefault="00113E1C" w:rsidP="00524C60">
            <w:pPr>
              <w:pStyle w:val="Tableheader"/>
              <w:jc w:val="left"/>
              <w:rPr>
                <w:rFonts w:asciiTheme="majorHAnsi" w:hAnsiTheme="majorHAnsi"/>
              </w:rPr>
            </w:pPr>
            <w:r w:rsidRPr="0067507D">
              <w:rPr>
                <w:rFonts w:asciiTheme="majorHAnsi" w:hAnsiTheme="majorHAnsi"/>
              </w:rPr>
              <w:t xml:space="preserve">Actual progress in </w:t>
            </w:r>
            <w:r w:rsidR="00C30F42" w:rsidRPr="0067507D">
              <w:rPr>
                <w:rFonts w:asciiTheme="majorHAnsi" w:hAnsiTheme="majorHAnsi"/>
              </w:rPr>
              <w:t>2024</w:t>
            </w:r>
            <w:r w:rsidR="006A5485">
              <w:rPr>
                <w:rFonts w:asciiTheme="majorHAnsi" w:hAnsiTheme="majorHAnsi"/>
              </w:rPr>
              <w:noBreakHyphen/>
            </w:r>
            <w:r w:rsidR="00C30F42" w:rsidRPr="0067507D">
              <w:rPr>
                <w:rFonts w:asciiTheme="majorHAnsi" w:hAnsiTheme="majorHAnsi"/>
              </w:rPr>
              <w:t>25</w:t>
            </w:r>
          </w:p>
        </w:tc>
        <w:tc>
          <w:tcPr>
            <w:tcW w:w="2322" w:type="dxa"/>
            <w:vAlign w:val="bottom"/>
          </w:tcPr>
          <w:p w14:paraId="69BC0424" w14:textId="35158AFC" w:rsidR="00E5426C" w:rsidRPr="0067507D" w:rsidRDefault="00E5426C" w:rsidP="00524C60">
            <w:pPr>
              <w:pStyle w:val="Tableheader"/>
              <w:jc w:val="left"/>
              <w:rPr>
                <w:rFonts w:asciiTheme="majorHAnsi" w:hAnsiTheme="majorHAnsi"/>
              </w:rPr>
            </w:pPr>
            <w:r w:rsidRPr="0067507D">
              <w:rPr>
                <w:rFonts w:asciiTheme="majorHAnsi" w:hAnsiTheme="majorHAnsi"/>
              </w:rPr>
              <w:t xml:space="preserve">Actual progress in </w:t>
            </w:r>
            <w:r w:rsidR="00C30F42" w:rsidRPr="0067507D">
              <w:rPr>
                <w:rFonts w:asciiTheme="majorHAnsi" w:hAnsiTheme="majorHAnsi"/>
              </w:rPr>
              <w:t>2023</w:t>
            </w:r>
            <w:r w:rsidR="006A5485">
              <w:rPr>
                <w:rFonts w:asciiTheme="majorHAnsi" w:hAnsiTheme="majorHAnsi"/>
              </w:rPr>
              <w:noBreakHyphen/>
            </w:r>
            <w:r w:rsidR="00C30F42" w:rsidRPr="0067507D">
              <w:rPr>
                <w:rFonts w:asciiTheme="majorHAnsi" w:hAnsiTheme="majorHAnsi"/>
              </w:rPr>
              <w:t>24</w:t>
            </w:r>
          </w:p>
        </w:tc>
      </w:tr>
      <w:tr w:rsidR="00113E1C" w:rsidRPr="0067507D" w14:paraId="14F034F6" w14:textId="627381E6" w:rsidTr="00E5426C">
        <w:tc>
          <w:tcPr>
            <w:tcW w:w="2322" w:type="dxa"/>
            <w:vMerge w:val="restart"/>
            <w:shd w:val="clear" w:color="auto" w:fill="E0E0E0"/>
            <w:vAlign w:val="center"/>
            <w:hideMark/>
          </w:tcPr>
          <w:p w14:paraId="4A6AA4BF" w14:textId="77777777" w:rsidR="00113E1C" w:rsidRPr="0067507D" w:rsidRDefault="00113E1C" w:rsidP="003E4E12">
            <w:pPr>
              <w:pStyle w:val="Tabletext"/>
            </w:pPr>
            <w:r w:rsidRPr="0067507D">
              <w:t>Gender diversity at executive levels</w:t>
            </w:r>
          </w:p>
        </w:tc>
        <w:tc>
          <w:tcPr>
            <w:tcW w:w="2322" w:type="dxa"/>
            <w:hideMark/>
          </w:tcPr>
          <w:p w14:paraId="783F21AE" w14:textId="77777777" w:rsidR="00113E1C" w:rsidRPr="0067507D" w:rsidRDefault="00113E1C" w:rsidP="003E4E12">
            <w:pPr>
              <w:pStyle w:val="Tabletext"/>
              <w:spacing w:after="0"/>
              <w:rPr>
                <w:rFonts w:asciiTheme="majorHAnsi" w:hAnsiTheme="majorHAnsi"/>
              </w:rPr>
            </w:pPr>
            <w:r w:rsidRPr="0067507D">
              <w:rPr>
                <w:rFonts w:asciiTheme="majorHAnsi" w:hAnsiTheme="majorHAnsi"/>
              </w:rPr>
              <w:t>Executives:</w:t>
            </w:r>
          </w:p>
        </w:tc>
        <w:tc>
          <w:tcPr>
            <w:tcW w:w="2322" w:type="dxa"/>
          </w:tcPr>
          <w:p w14:paraId="6576ADA3" w14:textId="211D012B" w:rsidR="00113E1C" w:rsidRPr="0067507D" w:rsidRDefault="00113E1C" w:rsidP="003E4E12">
            <w:pPr>
              <w:pStyle w:val="Tabletext"/>
              <w:spacing w:after="0"/>
              <w:rPr>
                <w:rFonts w:asciiTheme="majorHAnsi" w:hAnsiTheme="majorHAnsi"/>
              </w:rPr>
            </w:pPr>
            <w:r w:rsidRPr="0067507D">
              <w:rPr>
                <w:rFonts w:asciiTheme="majorHAnsi" w:hAnsiTheme="majorHAnsi"/>
              </w:rPr>
              <w:t>Executives:</w:t>
            </w:r>
          </w:p>
        </w:tc>
        <w:tc>
          <w:tcPr>
            <w:tcW w:w="2322" w:type="dxa"/>
          </w:tcPr>
          <w:p w14:paraId="19048A90" w14:textId="6E117E08" w:rsidR="00E5426C" w:rsidRPr="0067507D" w:rsidRDefault="00E5426C" w:rsidP="00E5426C">
            <w:pPr>
              <w:pStyle w:val="Tabletext"/>
              <w:spacing w:after="0"/>
              <w:rPr>
                <w:rFonts w:asciiTheme="majorHAnsi" w:hAnsiTheme="majorHAnsi"/>
              </w:rPr>
            </w:pPr>
            <w:r w:rsidRPr="0067507D">
              <w:rPr>
                <w:rFonts w:asciiTheme="majorHAnsi" w:hAnsiTheme="majorHAnsi"/>
              </w:rPr>
              <w:t>Executives:</w:t>
            </w:r>
          </w:p>
        </w:tc>
      </w:tr>
      <w:tr w:rsidR="00113E1C" w:rsidRPr="0067507D" w14:paraId="1ED80632" w14:textId="5DEF3E72" w:rsidTr="00E5426C">
        <w:tc>
          <w:tcPr>
            <w:tcW w:w="2322" w:type="dxa"/>
            <w:vMerge/>
            <w:shd w:val="clear" w:color="auto" w:fill="E0E0E0"/>
          </w:tcPr>
          <w:p w14:paraId="5E2C86AD" w14:textId="77777777" w:rsidR="00113E1C" w:rsidRPr="0067507D" w:rsidRDefault="00113E1C" w:rsidP="003E4E12">
            <w:pPr>
              <w:pStyle w:val="Tabletext"/>
            </w:pPr>
          </w:p>
        </w:tc>
        <w:tc>
          <w:tcPr>
            <w:tcW w:w="2322" w:type="dxa"/>
          </w:tcPr>
          <w:p w14:paraId="6D37755C" w14:textId="2EE27178" w:rsidR="00113E1C" w:rsidRPr="0067507D" w:rsidRDefault="00113E1C" w:rsidP="005114D8">
            <w:pPr>
              <w:pStyle w:val="Tabletext"/>
            </w:pPr>
            <w:r w:rsidRPr="0067507D">
              <w:t>50</w:t>
            </w:r>
            <w:r w:rsidR="005753BE" w:rsidRPr="0067507D">
              <w:rPr>
                <w:rFonts w:ascii="Calibri" w:hAnsi="Calibri" w:cs="Calibri"/>
              </w:rPr>
              <w:t> </w:t>
            </w:r>
            <w:r w:rsidR="005753BE" w:rsidRPr="0067507D">
              <w:rPr>
                <w:rFonts w:cs="Calibri"/>
              </w:rPr>
              <w:t>per</w:t>
            </w:r>
            <w:r w:rsidR="005753BE" w:rsidRPr="0067507D">
              <w:rPr>
                <w:rFonts w:ascii="Calibri" w:hAnsi="Calibri" w:cs="Calibri"/>
              </w:rPr>
              <w:t> </w:t>
            </w:r>
            <w:r w:rsidR="005753BE" w:rsidRPr="0067507D">
              <w:rPr>
                <w:rFonts w:cs="Calibri"/>
              </w:rPr>
              <w:t>cent</w:t>
            </w:r>
            <w:r w:rsidRPr="0067507D">
              <w:t xml:space="preserve"> male</w:t>
            </w:r>
          </w:p>
          <w:p w14:paraId="039E3473" w14:textId="5047061F" w:rsidR="00113E1C" w:rsidRPr="0067507D" w:rsidRDefault="00113E1C" w:rsidP="005114D8">
            <w:pPr>
              <w:pStyle w:val="Tabletext"/>
            </w:pPr>
            <w:r w:rsidRPr="0067507D">
              <w:t>50</w:t>
            </w:r>
            <w:r w:rsidR="005753BE" w:rsidRPr="0067507D">
              <w:rPr>
                <w:rFonts w:ascii="Calibri" w:hAnsi="Calibri" w:cs="Calibri"/>
              </w:rPr>
              <w:t> </w:t>
            </w:r>
            <w:r w:rsidR="005753BE" w:rsidRPr="0067507D">
              <w:rPr>
                <w:rFonts w:cs="Calibri"/>
              </w:rPr>
              <w:t>per</w:t>
            </w:r>
            <w:r w:rsidR="005753BE" w:rsidRPr="0067507D">
              <w:rPr>
                <w:rFonts w:ascii="Calibri" w:hAnsi="Calibri" w:cs="Calibri"/>
              </w:rPr>
              <w:t> </w:t>
            </w:r>
            <w:r w:rsidR="005753BE" w:rsidRPr="0067507D">
              <w:rPr>
                <w:rFonts w:cs="Calibri"/>
              </w:rPr>
              <w:t>cent</w:t>
            </w:r>
            <w:r w:rsidRPr="0067507D">
              <w:t xml:space="preserve"> female</w:t>
            </w:r>
          </w:p>
        </w:tc>
        <w:tc>
          <w:tcPr>
            <w:tcW w:w="2322" w:type="dxa"/>
          </w:tcPr>
          <w:p w14:paraId="00661E30" w14:textId="34D9528D" w:rsidR="00E5426C" w:rsidRPr="0067507D" w:rsidRDefault="00D45D51" w:rsidP="00E5426C">
            <w:pPr>
              <w:pStyle w:val="Tabletext"/>
            </w:pPr>
            <w:r w:rsidRPr="0067507D">
              <w:t>54</w:t>
            </w:r>
            <w:r w:rsidR="00E5426C" w:rsidRPr="0067507D">
              <w:rPr>
                <w:rFonts w:ascii="Calibri" w:hAnsi="Calibri" w:cs="Calibri"/>
              </w:rPr>
              <w:t> </w:t>
            </w:r>
            <w:r w:rsidR="00E5426C" w:rsidRPr="0067507D">
              <w:t>per</w:t>
            </w:r>
            <w:r w:rsidR="00E5426C" w:rsidRPr="0067507D">
              <w:rPr>
                <w:rFonts w:ascii="Calibri" w:hAnsi="Calibri" w:cs="Calibri"/>
              </w:rPr>
              <w:t> </w:t>
            </w:r>
            <w:r w:rsidR="00E5426C" w:rsidRPr="0067507D">
              <w:t>cent male</w:t>
            </w:r>
          </w:p>
          <w:p w14:paraId="41E8E64E" w14:textId="1040B87A" w:rsidR="00113E1C" w:rsidRPr="0067507D" w:rsidRDefault="00D45D51" w:rsidP="005114D8">
            <w:pPr>
              <w:pStyle w:val="Tabletext"/>
            </w:pPr>
            <w:r w:rsidRPr="0067507D">
              <w:t>46</w:t>
            </w:r>
            <w:r w:rsidR="005753BE" w:rsidRPr="0067507D">
              <w:rPr>
                <w:rFonts w:ascii="Calibri" w:hAnsi="Calibri" w:cs="Calibri"/>
              </w:rPr>
              <w:t> </w:t>
            </w:r>
            <w:r w:rsidR="005753BE" w:rsidRPr="0067507D">
              <w:rPr>
                <w:rFonts w:cs="Calibri"/>
              </w:rPr>
              <w:t>per</w:t>
            </w:r>
            <w:r w:rsidR="005753BE" w:rsidRPr="0067507D">
              <w:rPr>
                <w:rFonts w:ascii="Calibri" w:hAnsi="Calibri" w:cs="Calibri"/>
              </w:rPr>
              <w:t> </w:t>
            </w:r>
            <w:r w:rsidR="005753BE" w:rsidRPr="0067507D">
              <w:rPr>
                <w:rFonts w:cs="Calibri"/>
              </w:rPr>
              <w:t>cent</w:t>
            </w:r>
            <w:r w:rsidR="00113E1C" w:rsidRPr="0067507D">
              <w:t xml:space="preserve"> female</w:t>
            </w:r>
          </w:p>
        </w:tc>
        <w:tc>
          <w:tcPr>
            <w:tcW w:w="2322" w:type="dxa"/>
          </w:tcPr>
          <w:p w14:paraId="02FCD03A" w14:textId="77777777" w:rsidR="005B5118" w:rsidRPr="0067507D" w:rsidRDefault="005B5118" w:rsidP="005B5118">
            <w:pPr>
              <w:pStyle w:val="Tabletext"/>
            </w:pPr>
            <w:r w:rsidRPr="0067507D">
              <w:t>55</w:t>
            </w:r>
            <w:r w:rsidRPr="0067507D">
              <w:rPr>
                <w:rFonts w:ascii="Calibri" w:hAnsi="Calibri" w:cs="Calibri"/>
              </w:rPr>
              <w:t> </w:t>
            </w:r>
            <w:r w:rsidRPr="0067507D">
              <w:t>per</w:t>
            </w:r>
            <w:r w:rsidRPr="0067507D">
              <w:rPr>
                <w:rFonts w:ascii="Calibri" w:hAnsi="Calibri" w:cs="Calibri"/>
              </w:rPr>
              <w:t> </w:t>
            </w:r>
            <w:r w:rsidRPr="0067507D">
              <w:t>cent male</w:t>
            </w:r>
          </w:p>
          <w:p w14:paraId="2288595C" w14:textId="7B23C1AE" w:rsidR="00E5426C" w:rsidRPr="0067507D" w:rsidRDefault="005B5118" w:rsidP="00E5426C">
            <w:pPr>
              <w:pStyle w:val="Tabletext"/>
            </w:pPr>
            <w:r w:rsidRPr="0067507D">
              <w:t>45</w:t>
            </w:r>
            <w:r w:rsidRPr="0067507D">
              <w:rPr>
                <w:rFonts w:ascii="Calibri" w:hAnsi="Calibri" w:cs="Calibri"/>
              </w:rPr>
              <w:t> </w:t>
            </w:r>
            <w:r w:rsidRPr="0067507D">
              <w:rPr>
                <w:rFonts w:cs="Calibri"/>
              </w:rPr>
              <w:t>per</w:t>
            </w:r>
            <w:r w:rsidRPr="0067507D">
              <w:rPr>
                <w:rFonts w:ascii="Calibri" w:hAnsi="Calibri" w:cs="Calibri"/>
              </w:rPr>
              <w:t> </w:t>
            </w:r>
            <w:r w:rsidRPr="0067507D">
              <w:rPr>
                <w:rFonts w:cs="Calibri"/>
              </w:rPr>
              <w:t>cent</w:t>
            </w:r>
            <w:r w:rsidRPr="0067507D">
              <w:t xml:space="preserve"> female</w:t>
            </w:r>
          </w:p>
        </w:tc>
      </w:tr>
    </w:tbl>
    <w:p w14:paraId="6072670E" w14:textId="44F14AC5" w:rsidR="00113E1C" w:rsidRPr="0067507D" w:rsidRDefault="00113E1C" w:rsidP="00113E1C">
      <w:pPr>
        <w:pStyle w:val="Notes"/>
      </w:pPr>
      <w:r w:rsidRPr="0067507D">
        <w:t xml:space="preserve">The actual gender diversity reported excludes the Departmental Secretary (one male) </w:t>
      </w:r>
      <w:r w:rsidR="00016ADD" w:rsidRPr="0067507D">
        <w:t>for both year</w:t>
      </w:r>
      <w:r w:rsidR="00117ECE" w:rsidRPr="0067507D">
        <w:t>s</w:t>
      </w:r>
      <w:r w:rsidR="00016ADD" w:rsidRPr="0067507D">
        <w:t xml:space="preserve">. </w:t>
      </w:r>
    </w:p>
    <w:p w14:paraId="1FE87B73" w14:textId="77777777" w:rsidR="00113E1C" w:rsidRPr="0067507D" w:rsidRDefault="00113E1C" w:rsidP="00113E1C">
      <w:pPr>
        <w:pStyle w:val="Notes"/>
      </w:pPr>
    </w:p>
    <w:p w14:paraId="34D4ABD1" w14:textId="77777777" w:rsidR="00113E1C" w:rsidRPr="0067507D" w:rsidRDefault="00113E1C" w:rsidP="00113E1C">
      <w:pPr>
        <w:pStyle w:val="Heading2"/>
        <w:sectPr w:rsidR="00113E1C" w:rsidRPr="0067507D" w:rsidSect="00790E11">
          <w:headerReference w:type="even" r:id="rId176"/>
          <w:headerReference w:type="default" r:id="rId177"/>
          <w:footerReference w:type="even" r:id="rId178"/>
          <w:footerReference w:type="default" r:id="rId179"/>
          <w:pgSz w:w="11909" w:h="16834" w:code="9"/>
          <w:pgMar w:top="1728" w:right="1152" w:bottom="1260" w:left="1152" w:header="720" w:footer="288" w:gutter="0"/>
          <w:cols w:space="720"/>
          <w:noEndnote/>
        </w:sectPr>
      </w:pPr>
      <w:bookmarkStart w:id="206" w:name="_Toc477967497"/>
    </w:p>
    <w:p w14:paraId="5DD03DE0" w14:textId="77777777" w:rsidR="00113E1C" w:rsidRPr="0067507D" w:rsidRDefault="00113E1C" w:rsidP="00113E1C">
      <w:pPr>
        <w:pStyle w:val="Heading2"/>
      </w:pPr>
      <w:bookmarkStart w:id="207" w:name="ExecDataStart"/>
      <w:bookmarkStart w:id="208" w:name="_Hlk48300585"/>
      <w:r w:rsidRPr="0067507D">
        <w:t>Executive data</w:t>
      </w:r>
      <w:bookmarkEnd w:id="206"/>
      <w:bookmarkEnd w:id="207"/>
    </w:p>
    <w:bookmarkEnd w:id="208"/>
    <w:p w14:paraId="22AB831D" w14:textId="77777777" w:rsidR="005114D8" w:rsidRPr="0067507D" w:rsidRDefault="005114D8" w:rsidP="00113E1C">
      <w:pPr>
        <w:sectPr w:rsidR="005114D8" w:rsidRPr="0067507D" w:rsidSect="009526AE">
          <w:type w:val="continuous"/>
          <w:pgSz w:w="11909" w:h="16834" w:code="9"/>
          <w:pgMar w:top="1728" w:right="1152" w:bottom="1260" w:left="1152" w:header="720" w:footer="288" w:gutter="0"/>
          <w:cols w:num="2" w:space="720"/>
          <w:noEndnote/>
        </w:sectPr>
      </w:pPr>
    </w:p>
    <w:p w14:paraId="18E2A91F" w14:textId="77777777" w:rsidR="00113E1C" w:rsidRPr="0067507D" w:rsidRDefault="00113E1C" w:rsidP="00113E1C">
      <w:r w:rsidRPr="0067507D">
        <w:t xml:space="preserve">For a department, a member of the Senior Executive Service (SES) is defined as a person employed as an executive under Part 3 of the </w:t>
      </w:r>
      <w:r w:rsidRPr="0067507D">
        <w:rPr>
          <w:i/>
          <w:iCs/>
        </w:rPr>
        <w:t>Public Administration Act 2004</w:t>
      </w:r>
      <w:r w:rsidRPr="0067507D">
        <w:t xml:space="preserve"> (PAA). For a public body, an executive is defined as a person employed as an executive under Part 3 of the PAA or a person to whom the Victorian Government’s Public Entity Executive Remuneration Policy applies. All figures reflect employment levels at the last full pay period in June of the current and corresponding previous reporting year. </w:t>
      </w:r>
    </w:p>
    <w:p w14:paraId="61D8D3A0" w14:textId="77777777" w:rsidR="003C35A5" w:rsidRPr="0067507D" w:rsidRDefault="00113E1C" w:rsidP="00113E1C">
      <w:pPr>
        <w:spacing w:after="0"/>
      </w:pPr>
      <w:r w:rsidRPr="0067507D">
        <w:t>The definition of an SES and public entity executive does not include a statutory office holder or an Accountable Officer.</w:t>
      </w:r>
    </w:p>
    <w:p w14:paraId="4A7ECF92" w14:textId="25CA282C" w:rsidR="00113E1C" w:rsidRPr="0067507D" w:rsidRDefault="00113E1C" w:rsidP="00BC388A">
      <w:pPr>
        <w:keepNext/>
        <w:spacing w:after="0"/>
      </w:pPr>
      <w:r w:rsidRPr="0067507D">
        <w:t>The following tables disclose executive employment levels of the Department and its portfolio agencies as at the last full pay period in June for stated reporting periods:</w:t>
      </w:r>
    </w:p>
    <w:p w14:paraId="5206F7F6" w14:textId="0B4A429F" w:rsidR="00080ABC" w:rsidRPr="0067507D" w:rsidRDefault="00080ABC" w:rsidP="00524C60">
      <w:pPr>
        <w:pStyle w:val="Bullet"/>
        <w:ind w:right="136"/>
      </w:pPr>
      <w:r w:rsidRPr="0067507D">
        <w:t>Tables 1</w:t>
      </w:r>
      <w:r w:rsidR="006A5485">
        <w:noBreakHyphen/>
      </w:r>
      <w:r w:rsidRPr="0067507D">
        <w:t>3 disclose the total numbers of SES</w:t>
      </w:r>
      <w:r w:rsidRPr="0067507D">
        <w:rPr>
          <w:rFonts w:ascii="Calibri" w:hAnsi="Calibri" w:cs="Calibri"/>
        </w:rPr>
        <w:t> </w:t>
      </w:r>
      <w:r w:rsidRPr="0067507D">
        <w:t xml:space="preserve">staff for the Department and </w:t>
      </w:r>
      <w:r w:rsidR="00016ADD" w:rsidRPr="0067507D">
        <w:t xml:space="preserve">the </w:t>
      </w:r>
      <w:r w:rsidRPr="0067507D">
        <w:t>SRO, broken down by gender</w:t>
      </w:r>
    </w:p>
    <w:p w14:paraId="70638203" w14:textId="5E2A70B6" w:rsidR="00080ABC" w:rsidRPr="0067507D" w:rsidRDefault="00080ABC" w:rsidP="00080ABC">
      <w:pPr>
        <w:pStyle w:val="Bullet"/>
      </w:pPr>
      <w:r w:rsidRPr="0067507D">
        <w:t>Table 4 provides a reconciliation of executive numbers presented between the report of operations and note 9.</w:t>
      </w:r>
      <w:r w:rsidR="000E43C9" w:rsidRPr="0067507D">
        <w:t>3</w:t>
      </w:r>
      <w:r w:rsidRPr="0067507D">
        <w:t xml:space="preserve"> </w:t>
      </w:r>
      <w:r w:rsidRPr="0067507D">
        <w:rPr>
          <w:i/>
          <w:iCs/>
        </w:rPr>
        <w:t>Remuneration of executives</w:t>
      </w:r>
      <w:r w:rsidRPr="0067507D">
        <w:t xml:space="preserve"> in the financial statements</w:t>
      </w:r>
    </w:p>
    <w:p w14:paraId="347FB1A4" w14:textId="45AAC4AA" w:rsidR="00080ABC" w:rsidRPr="0067507D" w:rsidRDefault="00080ABC" w:rsidP="00080ABC">
      <w:pPr>
        <w:pStyle w:val="Bullet"/>
      </w:pPr>
      <w:r w:rsidRPr="0067507D">
        <w:t xml:space="preserve">Table 5 provides the total executive numbers for </w:t>
      </w:r>
      <w:r w:rsidR="00DF04AE" w:rsidRPr="0067507D">
        <w:t>public entities in</w:t>
      </w:r>
      <w:r w:rsidRPr="0067507D">
        <w:t xml:space="preserve"> the Department’s portfolio</w:t>
      </w:r>
    </w:p>
    <w:p w14:paraId="21CEA07E" w14:textId="534FBD1B" w:rsidR="00080ABC" w:rsidRPr="0067507D" w:rsidRDefault="00080ABC" w:rsidP="00080ABC">
      <w:pPr>
        <w:pStyle w:val="Bullet"/>
      </w:pPr>
      <w:r w:rsidRPr="0067507D">
        <w:t>Tables 1</w:t>
      </w:r>
      <w:r w:rsidR="006A5485">
        <w:noBreakHyphen/>
      </w:r>
      <w:r w:rsidRPr="0067507D">
        <w:t>3 and Table 4 also disclose the variations, denoted by ‘var’, between the current and previous reporting periods.</w:t>
      </w:r>
    </w:p>
    <w:p w14:paraId="18D7069B" w14:textId="77777777" w:rsidR="00113E1C" w:rsidRPr="0067507D" w:rsidRDefault="00113E1C" w:rsidP="00113E1C">
      <w:pPr>
        <w:pStyle w:val="Tableheading"/>
        <w:sectPr w:rsidR="00113E1C" w:rsidRPr="0067507D" w:rsidSect="005114D8">
          <w:type w:val="continuous"/>
          <w:pgSz w:w="11909" w:h="16834" w:code="9"/>
          <w:pgMar w:top="1728" w:right="1152" w:bottom="1260" w:left="1152" w:header="720" w:footer="288" w:gutter="0"/>
          <w:cols w:num="2" w:space="513"/>
          <w:noEndnote/>
        </w:sectPr>
      </w:pPr>
    </w:p>
    <w:p w14:paraId="136D212D" w14:textId="77777777" w:rsidR="00113E1C" w:rsidRDefault="00113E1C" w:rsidP="00271D92">
      <w:pPr>
        <w:pStyle w:val="Tableheading"/>
        <w:spacing w:before="240"/>
      </w:pPr>
      <w:r w:rsidRPr="0067507D">
        <w:t>Table 1 – Total number of executives for the Department, broken down into gender</w:t>
      </w:r>
    </w:p>
    <w:tbl>
      <w:tblPr>
        <w:tblStyle w:val="AnnualReportfinancialtable"/>
        <w:tblW w:w="8344" w:type="dxa"/>
        <w:tblInd w:w="-86" w:type="dxa"/>
        <w:tblLayout w:type="fixed"/>
        <w:tblLook w:val="02E0" w:firstRow="1" w:lastRow="1" w:firstColumn="1" w:lastColumn="0" w:noHBand="1" w:noVBand="0"/>
      </w:tblPr>
      <w:tblGrid>
        <w:gridCol w:w="1255"/>
        <w:gridCol w:w="600"/>
        <w:gridCol w:w="600"/>
        <w:gridCol w:w="601"/>
        <w:gridCol w:w="570"/>
        <w:gridCol w:w="570"/>
        <w:gridCol w:w="570"/>
        <w:gridCol w:w="600"/>
        <w:gridCol w:w="600"/>
        <w:gridCol w:w="600"/>
        <w:gridCol w:w="592"/>
        <w:gridCol w:w="593"/>
        <w:gridCol w:w="593"/>
      </w:tblGrid>
      <w:tr w:rsidR="00845541" w:rsidRPr="0067507D" w14:paraId="1BD7E89A" w14:textId="77777777" w:rsidTr="00BC38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tcPr>
          <w:p w14:paraId="408319E8" w14:textId="77777777" w:rsidR="00467FF4" w:rsidRPr="0067507D" w:rsidRDefault="00467FF4" w:rsidP="006301E8">
            <w:pPr>
              <w:pStyle w:val="Tabletextheadingleft"/>
              <w:spacing w:before="30" w:after="30"/>
            </w:pPr>
          </w:p>
        </w:tc>
        <w:tc>
          <w:tcPr>
            <w:cnfStyle w:val="000010000000" w:firstRow="0" w:lastRow="0" w:firstColumn="0" w:lastColumn="0" w:oddVBand="1" w:evenVBand="0" w:oddHBand="0" w:evenHBand="0" w:firstRowFirstColumn="0" w:firstRowLastColumn="0" w:lastRowFirstColumn="0" w:lastRowLastColumn="0"/>
            <w:tcW w:w="1801" w:type="dxa"/>
            <w:gridSpan w:val="3"/>
          </w:tcPr>
          <w:p w14:paraId="50CC7622" w14:textId="73CF32C9" w:rsidR="00467FF4" w:rsidRPr="0067507D" w:rsidRDefault="00467FF4" w:rsidP="00467FF4">
            <w:pPr>
              <w:pStyle w:val="Tabletextheadingcentred"/>
            </w:pPr>
            <w:r w:rsidRPr="0067507D">
              <w:t>Men</w:t>
            </w:r>
          </w:p>
        </w:tc>
        <w:tc>
          <w:tcPr>
            <w:cnfStyle w:val="000001000000" w:firstRow="0" w:lastRow="0" w:firstColumn="0" w:lastColumn="0" w:oddVBand="0" w:evenVBand="1" w:oddHBand="0" w:evenHBand="0" w:firstRowFirstColumn="0" w:firstRowLastColumn="0" w:lastRowFirstColumn="0" w:lastRowLastColumn="0"/>
            <w:tcW w:w="1710" w:type="dxa"/>
            <w:gridSpan w:val="3"/>
          </w:tcPr>
          <w:p w14:paraId="0BFFB812" w14:textId="317268EB" w:rsidR="00467FF4" w:rsidRPr="0067507D" w:rsidRDefault="00467FF4" w:rsidP="00467FF4">
            <w:pPr>
              <w:pStyle w:val="Tabletextheadingcentred"/>
            </w:pPr>
            <w:r w:rsidRPr="0067507D">
              <w:t>Women</w:t>
            </w:r>
          </w:p>
        </w:tc>
        <w:tc>
          <w:tcPr>
            <w:cnfStyle w:val="000010000000" w:firstRow="0" w:lastRow="0" w:firstColumn="0" w:lastColumn="0" w:oddVBand="1" w:evenVBand="0" w:oddHBand="0" w:evenHBand="0" w:firstRowFirstColumn="0" w:firstRowLastColumn="0" w:lastRowFirstColumn="0" w:lastRowLastColumn="0"/>
            <w:tcW w:w="1800" w:type="dxa"/>
            <w:gridSpan w:val="3"/>
          </w:tcPr>
          <w:p w14:paraId="3C56B7EB" w14:textId="3D150BDB" w:rsidR="00467FF4" w:rsidRPr="0067507D" w:rsidRDefault="00467FF4" w:rsidP="00467FF4">
            <w:pPr>
              <w:pStyle w:val="Tabletextheadingcentred"/>
            </w:pPr>
            <w:r w:rsidRPr="0067507D">
              <w:t>Self</w:t>
            </w:r>
            <w:r w:rsidR="006A5485">
              <w:noBreakHyphen/>
            </w:r>
            <w:r w:rsidRPr="0067507D">
              <w:t>described</w:t>
            </w:r>
          </w:p>
        </w:tc>
        <w:tc>
          <w:tcPr>
            <w:cnfStyle w:val="000001000000" w:firstRow="0" w:lastRow="0" w:firstColumn="0" w:lastColumn="0" w:oddVBand="0" w:evenVBand="1" w:oddHBand="0" w:evenHBand="0" w:firstRowFirstColumn="0" w:firstRowLastColumn="0" w:lastRowFirstColumn="0" w:lastRowLastColumn="0"/>
            <w:tcW w:w="1778" w:type="dxa"/>
            <w:gridSpan w:val="3"/>
          </w:tcPr>
          <w:p w14:paraId="3B0A7930" w14:textId="711ED6EB" w:rsidR="00467FF4" w:rsidRPr="0067507D" w:rsidRDefault="00467FF4" w:rsidP="00467FF4">
            <w:pPr>
              <w:pStyle w:val="Tabletextheadingcentred"/>
            </w:pPr>
            <w:r w:rsidRPr="0067507D">
              <w:t>All</w:t>
            </w:r>
          </w:p>
        </w:tc>
      </w:tr>
      <w:tr w:rsidR="00481F0E" w:rsidRPr="0067507D" w14:paraId="1016A42C" w14:textId="77777777" w:rsidTr="00BC388A">
        <w:tc>
          <w:tcPr>
            <w:cnfStyle w:val="001000000000" w:firstRow="0" w:lastRow="0" w:firstColumn="1" w:lastColumn="0" w:oddVBand="0" w:evenVBand="0" w:oddHBand="0" w:evenHBand="0" w:firstRowFirstColumn="0" w:firstRowLastColumn="0" w:lastRowFirstColumn="0" w:lastRowLastColumn="0"/>
            <w:tcW w:w="1255" w:type="dxa"/>
          </w:tcPr>
          <w:p w14:paraId="08AB159C" w14:textId="7F1D7582" w:rsidR="00AD5780" w:rsidRPr="0067507D" w:rsidRDefault="006301E8" w:rsidP="006301E8">
            <w:pPr>
              <w:pStyle w:val="Tabletextheadingleft"/>
              <w:spacing w:before="30" w:after="30"/>
              <w:rPr>
                <w:rFonts w:cs="Arial"/>
                <w:b/>
                <w:szCs w:val="17"/>
                <w:lang w:eastAsia="en-US"/>
              </w:rPr>
            </w:pPr>
            <w:r w:rsidRPr="0067507D">
              <w:t>Class</w:t>
            </w:r>
          </w:p>
        </w:tc>
        <w:tc>
          <w:tcPr>
            <w:cnfStyle w:val="000010000000" w:firstRow="0" w:lastRow="0" w:firstColumn="0" w:lastColumn="0" w:oddVBand="1" w:evenVBand="0" w:oddHBand="0" w:evenHBand="0" w:firstRowFirstColumn="0" w:firstRowLastColumn="0" w:lastRowFirstColumn="0" w:lastRowLastColumn="0"/>
            <w:tcW w:w="600" w:type="dxa"/>
          </w:tcPr>
          <w:p w14:paraId="2668B393" w14:textId="491E2F4E" w:rsidR="00AD5780" w:rsidRPr="0067507D" w:rsidRDefault="00DA27B1" w:rsidP="006301E8">
            <w:pPr>
              <w:pStyle w:val="Tabletextheadingright"/>
              <w:spacing w:before="30" w:after="30"/>
            </w:pPr>
            <w:r w:rsidRPr="0067507D">
              <w:t>2025</w:t>
            </w:r>
          </w:p>
        </w:tc>
        <w:tc>
          <w:tcPr>
            <w:cnfStyle w:val="000001000000" w:firstRow="0" w:lastRow="0" w:firstColumn="0" w:lastColumn="0" w:oddVBand="0" w:evenVBand="1" w:oddHBand="0" w:evenHBand="0" w:firstRowFirstColumn="0" w:firstRowLastColumn="0" w:lastRowFirstColumn="0" w:lastRowLastColumn="0"/>
            <w:tcW w:w="600" w:type="dxa"/>
          </w:tcPr>
          <w:p w14:paraId="19BDE732" w14:textId="2609954F" w:rsidR="00AD5780" w:rsidRPr="0067507D" w:rsidRDefault="00DA27B1" w:rsidP="006301E8">
            <w:pPr>
              <w:pStyle w:val="Tabletextheadingright"/>
              <w:spacing w:before="30" w:after="30"/>
            </w:pPr>
            <w:r w:rsidRPr="0067507D">
              <w:t>2024</w:t>
            </w:r>
          </w:p>
        </w:tc>
        <w:tc>
          <w:tcPr>
            <w:cnfStyle w:val="000010000000" w:firstRow="0" w:lastRow="0" w:firstColumn="0" w:lastColumn="0" w:oddVBand="1" w:evenVBand="0" w:oddHBand="0" w:evenHBand="0" w:firstRowFirstColumn="0" w:firstRowLastColumn="0" w:lastRowFirstColumn="0" w:lastRowLastColumn="0"/>
            <w:tcW w:w="601" w:type="dxa"/>
          </w:tcPr>
          <w:p w14:paraId="255B2602" w14:textId="77777777" w:rsidR="00AD5780" w:rsidRPr="0067507D" w:rsidRDefault="00AD5780" w:rsidP="006301E8">
            <w:pPr>
              <w:pStyle w:val="Tabletextheadingright"/>
              <w:spacing w:before="30" w:after="30"/>
            </w:pPr>
            <w:r w:rsidRPr="0067507D">
              <w:t>Var</w:t>
            </w:r>
          </w:p>
        </w:tc>
        <w:tc>
          <w:tcPr>
            <w:cnfStyle w:val="000001000000" w:firstRow="0" w:lastRow="0" w:firstColumn="0" w:lastColumn="0" w:oddVBand="0" w:evenVBand="1" w:oddHBand="0" w:evenHBand="0" w:firstRowFirstColumn="0" w:firstRowLastColumn="0" w:lastRowFirstColumn="0" w:lastRowLastColumn="0"/>
            <w:tcW w:w="570" w:type="dxa"/>
          </w:tcPr>
          <w:p w14:paraId="34CDE116" w14:textId="58B1C699" w:rsidR="00AD5780" w:rsidRPr="0067507D" w:rsidRDefault="00DA27B1" w:rsidP="006301E8">
            <w:pPr>
              <w:pStyle w:val="Tabletextheadingright"/>
              <w:spacing w:before="30" w:after="30"/>
            </w:pPr>
            <w:r w:rsidRPr="0067507D">
              <w:t>2025</w:t>
            </w:r>
          </w:p>
        </w:tc>
        <w:tc>
          <w:tcPr>
            <w:cnfStyle w:val="000010000000" w:firstRow="0" w:lastRow="0" w:firstColumn="0" w:lastColumn="0" w:oddVBand="1" w:evenVBand="0" w:oddHBand="0" w:evenHBand="0" w:firstRowFirstColumn="0" w:firstRowLastColumn="0" w:lastRowFirstColumn="0" w:lastRowLastColumn="0"/>
            <w:tcW w:w="570" w:type="dxa"/>
          </w:tcPr>
          <w:p w14:paraId="5940D1F9" w14:textId="371CBFB0" w:rsidR="00AD5780" w:rsidRPr="0067507D" w:rsidRDefault="00DA27B1" w:rsidP="006301E8">
            <w:pPr>
              <w:pStyle w:val="Tabletextheadingright"/>
              <w:spacing w:before="30" w:after="30"/>
            </w:pPr>
            <w:r w:rsidRPr="0067507D">
              <w:t>2024</w:t>
            </w:r>
          </w:p>
        </w:tc>
        <w:tc>
          <w:tcPr>
            <w:cnfStyle w:val="000001000000" w:firstRow="0" w:lastRow="0" w:firstColumn="0" w:lastColumn="0" w:oddVBand="0" w:evenVBand="1" w:oddHBand="0" w:evenHBand="0" w:firstRowFirstColumn="0" w:firstRowLastColumn="0" w:lastRowFirstColumn="0" w:lastRowLastColumn="0"/>
            <w:tcW w:w="570" w:type="dxa"/>
          </w:tcPr>
          <w:p w14:paraId="26C41427" w14:textId="64F29030" w:rsidR="00AD5780" w:rsidRPr="0067507D" w:rsidRDefault="00AD5780" w:rsidP="006301E8">
            <w:pPr>
              <w:pStyle w:val="Tabletextheadingright"/>
              <w:spacing w:before="30" w:after="30"/>
            </w:pPr>
            <w:r w:rsidRPr="0067507D">
              <w:t>Var</w:t>
            </w:r>
          </w:p>
        </w:tc>
        <w:tc>
          <w:tcPr>
            <w:cnfStyle w:val="000010000000" w:firstRow="0" w:lastRow="0" w:firstColumn="0" w:lastColumn="0" w:oddVBand="1" w:evenVBand="0" w:oddHBand="0" w:evenHBand="0" w:firstRowFirstColumn="0" w:firstRowLastColumn="0" w:lastRowFirstColumn="0" w:lastRowLastColumn="0"/>
            <w:tcW w:w="600" w:type="dxa"/>
          </w:tcPr>
          <w:p w14:paraId="4B45D5B6" w14:textId="489265B1" w:rsidR="00AD5780" w:rsidRPr="0067507D" w:rsidRDefault="00DA27B1" w:rsidP="006301E8">
            <w:pPr>
              <w:pStyle w:val="Tabletextheadingright"/>
              <w:spacing w:before="30" w:after="30"/>
            </w:pPr>
            <w:r w:rsidRPr="0067507D">
              <w:t>2025</w:t>
            </w:r>
          </w:p>
        </w:tc>
        <w:tc>
          <w:tcPr>
            <w:cnfStyle w:val="000001000000" w:firstRow="0" w:lastRow="0" w:firstColumn="0" w:lastColumn="0" w:oddVBand="0" w:evenVBand="1" w:oddHBand="0" w:evenHBand="0" w:firstRowFirstColumn="0" w:firstRowLastColumn="0" w:lastRowFirstColumn="0" w:lastRowLastColumn="0"/>
            <w:tcW w:w="600" w:type="dxa"/>
          </w:tcPr>
          <w:p w14:paraId="51249423" w14:textId="3354127D" w:rsidR="00AD5780" w:rsidRPr="0067507D" w:rsidRDefault="00DA27B1" w:rsidP="006301E8">
            <w:pPr>
              <w:pStyle w:val="Tabletextheadingright"/>
              <w:spacing w:before="30" w:after="30"/>
            </w:pPr>
            <w:r w:rsidRPr="0067507D">
              <w:t>2024</w:t>
            </w:r>
          </w:p>
        </w:tc>
        <w:tc>
          <w:tcPr>
            <w:cnfStyle w:val="000010000000" w:firstRow="0" w:lastRow="0" w:firstColumn="0" w:lastColumn="0" w:oddVBand="1" w:evenVBand="0" w:oddHBand="0" w:evenHBand="0" w:firstRowFirstColumn="0" w:firstRowLastColumn="0" w:lastRowFirstColumn="0" w:lastRowLastColumn="0"/>
            <w:tcW w:w="600" w:type="dxa"/>
          </w:tcPr>
          <w:p w14:paraId="0353E793" w14:textId="3B56216C" w:rsidR="00AD5780" w:rsidRPr="0067507D" w:rsidRDefault="00AD5780" w:rsidP="006301E8">
            <w:pPr>
              <w:pStyle w:val="Tabletextheadingright"/>
              <w:spacing w:before="30" w:after="30"/>
            </w:pPr>
            <w:r w:rsidRPr="0067507D">
              <w:t>Var</w:t>
            </w:r>
          </w:p>
        </w:tc>
        <w:tc>
          <w:tcPr>
            <w:cnfStyle w:val="000001000000" w:firstRow="0" w:lastRow="0" w:firstColumn="0" w:lastColumn="0" w:oddVBand="0" w:evenVBand="1" w:oddHBand="0" w:evenHBand="0" w:firstRowFirstColumn="0" w:firstRowLastColumn="0" w:lastRowFirstColumn="0" w:lastRowLastColumn="0"/>
            <w:tcW w:w="592" w:type="dxa"/>
          </w:tcPr>
          <w:p w14:paraId="44E7923F" w14:textId="724D082B" w:rsidR="00AD5780" w:rsidRPr="0067507D" w:rsidRDefault="00DA27B1" w:rsidP="006301E8">
            <w:pPr>
              <w:pStyle w:val="Tabletextheadingright"/>
              <w:spacing w:before="30" w:after="30"/>
            </w:pPr>
            <w:r w:rsidRPr="0067507D">
              <w:t>2025</w:t>
            </w:r>
          </w:p>
        </w:tc>
        <w:tc>
          <w:tcPr>
            <w:cnfStyle w:val="000010000000" w:firstRow="0" w:lastRow="0" w:firstColumn="0" w:lastColumn="0" w:oddVBand="1" w:evenVBand="0" w:oddHBand="0" w:evenHBand="0" w:firstRowFirstColumn="0" w:firstRowLastColumn="0" w:lastRowFirstColumn="0" w:lastRowLastColumn="0"/>
            <w:tcW w:w="593" w:type="dxa"/>
          </w:tcPr>
          <w:p w14:paraId="02E25C4D" w14:textId="103F54F5" w:rsidR="00AD5780" w:rsidRPr="0067507D" w:rsidRDefault="00DA27B1" w:rsidP="006301E8">
            <w:pPr>
              <w:pStyle w:val="Tabletextheadingright"/>
              <w:spacing w:before="30" w:after="30"/>
            </w:pPr>
            <w:r w:rsidRPr="0067507D">
              <w:t>2024</w:t>
            </w:r>
          </w:p>
        </w:tc>
        <w:tc>
          <w:tcPr>
            <w:cnfStyle w:val="000001000000" w:firstRow="0" w:lastRow="0" w:firstColumn="0" w:lastColumn="0" w:oddVBand="0" w:evenVBand="1" w:oddHBand="0" w:evenHBand="0" w:firstRowFirstColumn="0" w:firstRowLastColumn="0" w:lastRowFirstColumn="0" w:lastRowLastColumn="0"/>
            <w:tcW w:w="593" w:type="dxa"/>
          </w:tcPr>
          <w:p w14:paraId="40FB9F2F" w14:textId="68AAEDE1" w:rsidR="00AD5780" w:rsidRPr="0067507D" w:rsidRDefault="00AD5780" w:rsidP="006301E8">
            <w:pPr>
              <w:pStyle w:val="Tabletextheadingright"/>
              <w:spacing w:before="30" w:after="30"/>
            </w:pPr>
            <w:r w:rsidRPr="0067507D">
              <w:t>Var</w:t>
            </w:r>
          </w:p>
        </w:tc>
      </w:tr>
      <w:tr w:rsidR="00481F0E" w:rsidRPr="0067507D" w14:paraId="6AF587E9" w14:textId="77777777" w:rsidTr="00BC388A">
        <w:tc>
          <w:tcPr>
            <w:cnfStyle w:val="001000000000" w:firstRow="0" w:lastRow="0" w:firstColumn="1" w:lastColumn="0" w:oddVBand="0" w:evenVBand="0" w:oddHBand="0" w:evenHBand="0" w:firstRowFirstColumn="0" w:firstRowLastColumn="0" w:lastRowFirstColumn="0" w:lastRowLastColumn="0"/>
            <w:tcW w:w="1255" w:type="dxa"/>
          </w:tcPr>
          <w:p w14:paraId="4FA4EB26" w14:textId="76F04EC2" w:rsidR="00AD5780" w:rsidRPr="0067507D" w:rsidRDefault="00AD5780" w:rsidP="007F75CC">
            <w:pPr>
              <w:pStyle w:val="Tabletext"/>
            </w:pPr>
            <w:r w:rsidRPr="0067507D">
              <w:t>SES</w:t>
            </w:r>
            <w:r w:rsidR="006A5485">
              <w:noBreakHyphen/>
            </w:r>
            <w:r w:rsidRPr="0067507D">
              <w:t>3</w:t>
            </w:r>
          </w:p>
        </w:tc>
        <w:tc>
          <w:tcPr>
            <w:cnfStyle w:val="000010000000" w:firstRow="0" w:lastRow="0" w:firstColumn="0" w:lastColumn="0" w:oddVBand="1" w:evenVBand="0" w:oddHBand="0" w:evenHBand="0" w:firstRowFirstColumn="0" w:firstRowLastColumn="0" w:lastRowFirstColumn="0" w:lastRowLastColumn="0"/>
            <w:tcW w:w="600" w:type="dxa"/>
          </w:tcPr>
          <w:p w14:paraId="04DDEF5E" w14:textId="6C85559E" w:rsidR="00AD5780" w:rsidRPr="0067507D" w:rsidRDefault="008A0C29" w:rsidP="007F75CC">
            <w:pPr>
              <w:pStyle w:val="Tabletextright"/>
              <w:rPr>
                <w:szCs w:val="15"/>
              </w:rPr>
            </w:pPr>
            <w:r w:rsidRPr="0067507D">
              <w:t>3</w:t>
            </w:r>
          </w:p>
        </w:tc>
        <w:tc>
          <w:tcPr>
            <w:cnfStyle w:val="000001000000" w:firstRow="0" w:lastRow="0" w:firstColumn="0" w:lastColumn="0" w:oddVBand="0" w:evenVBand="1" w:oddHBand="0" w:evenHBand="0" w:firstRowFirstColumn="0" w:firstRowLastColumn="0" w:lastRowFirstColumn="0" w:lastRowLastColumn="0"/>
            <w:tcW w:w="600" w:type="dxa"/>
          </w:tcPr>
          <w:p w14:paraId="5134A577" w14:textId="612AA11C" w:rsidR="00AD5780" w:rsidRPr="0067507D" w:rsidRDefault="008A0C29" w:rsidP="007F75CC">
            <w:pPr>
              <w:pStyle w:val="Tabletextright"/>
              <w:rPr>
                <w:szCs w:val="15"/>
              </w:rPr>
            </w:pPr>
            <w:r w:rsidRPr="0067507D">
              <w:t>3</w:t>
            </w:r>
          </w:p>
        </w:tc>
        <w:tc>
          <w:tcPr>
            <w:cnfStyle w:val="000010000000" w:firstRow="0" w:lastRow="0" w:firstColumn="0" w:lastColumn="0" w:oddVBand="1" w:evenVBand="0" w:oddHBand="0" w:evenHBand="0" w:firstRowFirstColumn="0" w:firstRowLastColumn="0" w:lastRowFirstColumn="0" w:lastRowLastColumn="0"/>
            <w:tcW w:w="601" w:type="dxa"/>
          </w:tcPr>
          <w:p w14:paraId="6BBCA889" w14:textId="45A1C956" w:rsidR="00AD5780" w:rsidRPr="0067507D" w:rsidRDefault="000A55B5" w:rsidP="007F75CC">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70" w:type="dxa"/>
          </w:tcPr>
          <w:p w14:paraId="3F9A7599" w14:textId="7514A40A" w:rsidR="00AD5780" w:rsidRPr="0067507D" w:rsidRDefault="008A0C29" w:rsidP="007F75CC">
            <w:pPr>
              <w:pStyle w:val="Tabletextright"/>
              <w:rPr>
                <w:szCs w:val="15"/>
              </w:rPr>
            </w:pPr>
            <w:r w:rsidRPr="0067507D">
              <w:t>2</w:t>
            </w:r>
          </w:p>
        </w:tc>
        <w:tc>
          <w:tcPr>
            <w:cnfStyle w:val="000010000000" w:firstRow="0" w:lastRow="0" w:firstColumn="0" w:lastColumn="0" w:oddVBand="1" w:evenVBand="0" w:oddHBand="0" w:evenHBand="0" w:firstRowFirstColumn="0" w:firstRowLastColumn="0" w:lastRowFirstColumn="0" w:lastRowLastColumn="0"/>
            <w:tcW w:w="570" w:type="dxa"/>
          </w:tcPr>
          <w:p w14:paraId="239E42BB" w14:textId="2D76B578" w:rsidR="00AD5780" w:rsidRPr="0067507D" w:rsidRDefault="008A0C29" w:rsidP="007F75CC">
            <w:pPr>
              <w:pStyle w:val="Tabletextright"/>
              <w:rPr>
                <w:szCs w:val="15"/>
              </w:rPr>
            </w:pPr>
            <w:r w:rsidRPr="0067507D">
              <w:t>2</w:t>
            </w:r>
          </w:p>
        </w:tc>
        <w:tc>
          <w:tcPr>
            <w:cnfStyle w:val="000001000000" w:firstRow="0" w:lastRow="0" w:firstColumn="0" w:lastColumn="0" w:oddVBand="0" w:evenVBand="1" w:oddHBand="0" w:evenHBand="0" w:firstRowFirstColumn="0" w:firstRowLastColumn="0" w:lastRowFirstColumn="0" w:lastRowLastColumn="0"/>
            <w:tcW w:w="570" w:type="dxa"/>
          </w:tcPr>
          <w:p w14:paraId="0972B2BD" w14:textId="5A1CEEB7" w:rsidR="00AD5780" w:rsidRPr="0067507D" w:rsidRDefault="000A55B5" w:rsidP="007F75CC">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600" w:type="dxa"/>
          </w:tcPr>
          <w:p w14:paraId="103FB5FC" w14:textId="209FB211" w:rsidR="00AD5780" w:rsidRPr="0067507D" w:rsidRDefault="000A55B5" w:rsidP="007F75CC">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600" w:type="dxa"/>
          </w:tcPr>
          <w:p w14:paraId="7735364C" w14:textId="096B4894" w:rsidR="00AD5780" w:rsidRPr="0067507D" w:rsidRDefault="000A55B5" w:rsidP="007F75CC">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600" w:type="dxa"/>
          </w:tcPr>
          <w:p w14:paraId="4F70F2D3" w14:textId="76771696" w:rsidR="00AD5780" w:rsidRPr="0067507D" w:rsidRDefault="000A55B5" w:rsidP="007F75CC">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2" w:type="dxa"/>
          </w:tcPr>
          <w:p w14:paraId="3B20742D" w14:textId="1AC4FF63" w:rsidR="00AD5780" w:rsidRPr="0067507D" w:rsidRDefault="008A0C29" w:rsidP="007F75CC">
            <w:pPr>
              <w:pStyle w:val="Tabletextright"/>
              <w:rPr>
                <w:szCs w:val="15"/>
              </w:rPr>
            </w:pPr>
            <w:r w:rsidRPr="0067507D">
              <w:t>5</w:t>
            </w:r>
          </w:p>
        </w:tc>
        <w:tc>
          <w:tcPr>
            <w:cnfStyle w:val="000010000000" w:firstRow="0" w:lastRow="0" w:firstColumn="0" w:lastColumn="0" w:oddVBand="1" w:evenVBand="0" w:oddHBand="0" w:evenHBand="0" w:firstRowFirstColumn="0" w:firstRowLastColumn="0" w:lastRowFirstColumn="0" w:lastRowLastColumn="0"/>
            <w:tcW w:w="593" w:type="dxa"/>
          </w:tcPr>
          <w:p w14:paraId="6715AEEC" w14:textId="0E1D32F6" w:rsidR="00AD5780" w:rsidRPr="0067507D" w:rsidRDefault="008A0C29" w:rsidP="007F75CC">
            <w:pPr>
              <w:pStyle w:val="Tabletextright"/>
              <w:rPr>
                <w:szCs w:val="15"/>
              </w:rPr>
            </w:pPr>
            <w:r w:rsidRPr="0067507D">
              <w:t>5</w:t>
            </w:r>
          </w:p>
        </w:tc>
        <w:tc>
          <w:tcPr>
            <w:cnfStyle w:val="000001000000" w:firstRow="0" w:lastRow="0" w:firstColumn="0" w:lastColumn="0" w:oddVBand="0" w:evenVBand="1" w:oddHBand="0" w:evenHBand="0" w:firstRowFirstColumn="0" w:firstRowLastColumn="0" w:lastRowFirstColumn="0" w:lastRowLastColumn="0"/>
            <w:tcW w:w="593" w:type="dxa"/>
          </w:tcPr>
          <w:p w14:paraId="45E48600" w14:textId="14ED8A84" w:rsidR="00AD5780" w:rsidRPr="0067507D" w:rsidRDefault="000A55B5" w:rsidP="007F75CC">
            <w:pPr>
              <w:pStyle w:val="Tabletextright"/>
              <w:rPr>
                <w:szCs w:val="15"/>
              </w:rPr>
            </w:pPr>
            <w:r w:rsidRPr="0067507D">
              <w:t>–</w:t>
            </w:r>
          </w:p>
        </w:tc>
      </w:tr>
      <w:tr w:rsidR="00481F0E" w:rsidRPr="0067507D" w14:paraId="01C2F77D" w14:textId="77777777" w:rsidTr="00BC388A">
        <w:tc>
          <w:tcPr>
            <w:cnfStyle w:val="001000000000" w:firstRow="0" w:lastRow="0" w:firstColumn="1" w:lastColumn="0" w:oddVBand="0" w:evenVBand="0" w:oddHBand="0" w:evenHBand="0" w:firstRowFirstColumn="0" w:firstRowLastColumn="0" w:lastRowFirstColumn="0" w:lastRowLastColumn="0"/>
            <w:tcW w:w="1255" w:type="dxa"/>
          </w:tcPr>
          <w:p w14:paraId="686BF4A5" w14:textId="32DDD54F" w:rsidR="00AD5780" w:rsidRPr="0067507D" w:rsidRDefault="00AD5780" w:rsidP="007F75CC">
            <w:pPr>
              <w:pStyle w:val="Tabletext"/>
            </w:pPr>
            <w:r w:rsidRPr="0067507D">
              <w:t>SES</w:t>
            </w:r>
            <w:r w:rsidR="006A5485">
              <w:noBreakHyphen/>
            </w:r>
            <w:r w:rsidRPr="0067507D">
              <w:t>2</w:t>
            </w:r>
          </w:p>
        </w:tc>
        <w:tc>
          <w:tcPr>
            <w:cnfStyle w:val="000010000000" w:firstRow="0" w:lastRow="0" w:firstColumn="0" w:lastColumn="0" w:oddVBand="1" w:evenVBand="0" w:oddHBand="0" w:evenHBand="0" w:firstRowFirstColumn="0" w:firstRowLastColumn="0" w:lastRowFirstColumn="0" w:lastRowLastColumn="0"/>
            <w:tcW w:w="600" w:type="dxa"/>
          </w:tcPr>
          <w:p w14:paraId="109559A7" w14:textId="441B31EA" w:rsidR="00AD5780" w:rsidRPr="0067507D" w:rsidRDefault="008A0C29" w:rsidP="007F75CC">
            <w:pPr>
              <w:pStyle w:val="Tabletextright"/>
              <w:rPr>
                <w:szCs w:val="15"/>
              </w:rPr>
            </w:pPr>
            <w:r w:rsidRPr="0067507D">
              <w:t>15</w:t>
            </w:r>
          </w:p>
        </w:tc>
        <w:tc>
          <w:tcPr>
            <w:cnfStyle w:val="000001000000" w:firstRow="0" w:lastRow="0" w:firstColumn="0" w:lastColumn="0" w:oddVBand="0" w:evenVBand="1" w:oddHBand="0" w:evenHBand="0" w:firstRowFirstColumn="0" w:firstRowLastColumn="0" w:lastRowFirstColumn="0" w:lastRowLastColumn="0"/>
            <w:tcW w:w="600" w:type="dxa"/>
          </w:tcPr>
          <w:p w14:paraId="4C9D0ADF" w14:textId="2951F750" w:rsidR="00AD5780" w:rsidRPr="0067507D" w:rsidRDefault="008A0C29" w:rsidP="007F75CC">
            <w:pPr>
              <w:pStyle w:val="Tabletextright"/>
              <w:rPr>
                <w:szCs w:val="15"/>
              </w:rPr>
            </w:pPr>
            <w:r w:rsidRPr="0067507D">
              <w:t>14</w:t>
            </w:r>
          </w:p>
        </w:tc>
        <w:tc>
          <w:tcPr>
            <w:cnfStyle w:val="000010000000" w:firstRow="0" w:lastRow="0" w:firstColumn="0" w:lastColumn="0" w:oddVBand="1" w:evenVBand="0" w:oddHBand="0" w:evenHBand="0" w:firstRowFirstColumn="0" w:firstRowLastColumn="0" w:lastRowFirstColumn="0" w:lastRowLastColumn="0"/>
            <w:tcW w:w="601" w:type="dxa"/>
          </w:tcPr>
          <w:p w14:paraId="3FB6F77C" w14:textId="48897C8C" w:rsidR="00AD5780" w:rsidRPr="0067507D" w:rsidRDefault="008A0C29" w:rsidP="007F75CC">
            <w:pPr>
              <w:pStyle w:val="Tabletextright"/>
              <w:rPr>
                <w:szCs w:val="15"/>
              </w:rPr>
            </w:pPr>
            <w:r w:rsidRPr="0067507D">
              <w:t>1</w:t>
            </w:r>
          </w:p>
        </w:tc>
        <w:tc>
          <w:tcPr>
            <w:cnfStyle w:val="000001000000" w:firstRow="0" w:lastRow="0" w:firstColumn="0" w:lastColumn="0" w:oddVBand="0" w:evenVBand="1" w:oddHBand="0" w:evenHBand="0" w:firstRowFirstColumn="0" w:firstRowLastColumn="0" w:lastRowFirstColumn="0" w:lastRowLastColumn="0"/>
            <w:tcW w:w="570" w:type="dxa"/>
          </w:tcPr>
          <w:p w14:paraId="69412E28" w14:textId="365314EC" w:rsidR="00AD5780" w:rsidRPr="0067507D" w:rsidRDefault="008A0C29" w:rsidP="007F75CC">
            <w:pPr>
              <w:pStyle w:val="Tabletextright"/>
              <w:rPr>
                <w:szCs w:val="15"/>
              </w:rPr>
            </w:pPr>
            <w:r w:rsidRPr="0067507D">
              <w:t>14</w:t>
            </w:r>
          </w:p>
        </w:tc>
        <w:tc>
          <w:tcPr>
            <w:cnfStyle w:val="000010000000" w:firstRow="0" w:lastRow="0" w:firstColumn="0" w:lastColumn="0" w:oddVBand="1" w:evenVBand="0" w:oddHBand="0" w:evenHBand="0" w:firstRowFirstColumn="0" w:firstRowLastColumn="0" w:lastRowFirstColumn="0" w:lastRowLastColumn="0"/>
            <w:tcW w:w="570" w:type="dxa"/>
          </w:tcPr>
          <w:p w14:paraId="049493C5" w14:textId="7484C367" w:rsidR="00AD5780" w:rsidRPr="0067507D" w:rsidRDefault="008A0C29" w:rsidP="007F75CC">
            <w:pPr>
              <w:pStyle w:val="Tabletextright"/>
              <w:rPr>
                <w:szCs w:val="15"/>
              </w:rPr>
            </w:pPr>
            <w:r w:rsidRPr="0067507D">
              <w:t>12</w:t>
            </w:r>
          </w:p>
        </w:tc>
        <w:tc>
          <w:tcPr>
            <w:cnfStyle w:val="000001000000" w:firstRow="0" w:lastRow="0" w:firstColumn="0" w:lastColumn="0" w:oddVBand="0" w:evenVBand="1" w:oddHBand="0" w:evenHBand="0" w:firstRowFirstColumn="0" w:firstRowLastColumn="0" w:lastRowFirstColumn="0" w:lastRowLastColumn="0"/>
            <w:tcW w:w="570" w:type="dxa"/>
          </w:tcPr>
          <w:p w14:paraId="52F59ADF" w14:textId="24494353" w:rsidR="00AD5780" w:rsidRPr="0067507D" w:rsidRDefault="008A0C29" w:rsidP="007F75CC">
            <w:pPr>
              <w:pStyle w:val="Tabletextright"/>
              <w:rPr>
                <w:szCs w:val="15"/>
              </w:rPr>
            </w:pPr>
            <w:r w:rsidRPr="0067507D">
              <w:t>2</w:t>
            </w:r>
          </w:p>
        </w:tc>
        <w:tc>
          <w:tcPr>
            <w:cnfStyle w:val="000010000000" w:firstRow="0" w:lastRow="0" w:firstColumn="0" w:lastColumn="0" w:oddVBand="1" w:evenVBand="0" w:oddHBand="0" w:evenHBand="0" w:firstRowFirstColumn="0" w:firstRowLastColumn="0" w:lastRowFirstColumn="0" w:lastRowLastColumn="0"/>
            <w:tcW w:w="600" w:type="dxa"/>
          </w:tcPr>
          <w:p w14:paraId="33434098" w14:textId="0D35E3A0" w:rsidR="00AD5780" w:rsidRPr="0067507D" w:rsidRDefault="000A55B5" w:rsidP="007F75CC">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600" w:type="dxa"/>
          </w:tcPr>
          <w:p w14:paraId="3611CA0E" w14:textId="6F302C6C" w:rsidR="00AD5780" w:rsidRPr="0067507D" w:rsidRDefault="000A55B5" w:rsidP="007F75CC">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600" w:type="dxa"/>
          </w:tcPr>
          <w:p w14:paraId="638155D2" w14:textId="7B2E375D" w:rsidR="00AD5780" w:rsidRPr="0067507D" w:rsidRDefault="000A55B5" w:rsidP="007F75CC">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2" w:type="dxa"/>
          </w:tcPr>
          <w:p w14:paraId="73C65837" w14:textId="0E3C97A7" w:rsidR="00AD5780" w:rsidRPr="0067507D" w:rsidRDefault="008A0C29" w:rsidP="007F75CC">
            <w:pPr>
              <w:pStyle w:val="Tabletextright"/>
              <w:rPr>
                <w:szCs w:val="15"/>
              </w:rPr>
            </w:pPr>
            <w:r w:rsidRPr="0067507D">
              <w:t>29</w:t>
            </w:r>
          </w:p>
        </w:tc>
        <w:tc>
          <w:tcPr>
            <w:cnfStyle w:val="000010000000" w:firstRow="0" w:lastRow="0" w:firstColumn="0" w:lastColumn="0" w:oddVBand="1" w:evenVBand="0" w:oddHBand="0" w:evenHBand="0" w:firstRowFirstColumn="0" w:firstRowLastColumn="0" w:lastRowFirstColumn="0" w:lastRowLastColumn="0"/>
            <w:tcW w:w="593" w:type="dxa"/>
          </w:tcPr>
          <w:p w14:paraId="1B332AA5" w14:textId="392E71B1" w:rsidR="00AD5780" w:rsidRPr="0067507D" w:rsidRDefault="008A0C29" w:rsidP="007F75CC">
            <w:pPr>
              <w:pStyle w:val="Tabletextright"/>
              <w:rPr>
                <w:szCs w:val="15"/>
              </w:rPr>
            </w:pPr>
            <w:r w:rsidRPr="0067507D">
              <w:t>26</w:t>
            </w:r>
          </w:p>
        </w:tc>
        <w:tc>
          <w:tcPr>
            <w:cnfStyle w:val="000001000000" w:firstRow="0" w:lastRow="0" w:firstColumn="0" w:lastColumn="0" w:oddVBand="0" w:evenVBand="1" w:oddHBand="0" w:evenHBand="0" w:firstRowFirstColumn="0" w:firstRowLastColumn="0" w:lastRowFirstColumn="0" w:lastRowLastColumn="0"/>
            <w:tcW w:w="593" w:type="dxa"/>
          </w:tcPr>
          <w:p w14:paraId="14F7CEBD" w14:textId="45CC59E2" w:rsidR="00AD5780" w:rsidRPr="0067507D" w:rsidRDefault="008A0C29" w:rsidP="007F75CC">
            <w:pPr>
              <w:pStyle w:val="Tabletextright"/>
              <w:rPr>
                <w:szCs w:val="15"/>
              </w:rPr>
            </w:pPr>
            <w:r w:rsidRPr="0067507D">
              <w:t>3</w:t>
            </w:r>
          </w:p>
        </w:tc>
      </w:tr>
      <w:tr w:rsidR="00481F0E" w:rsidRPr="0067507D" w14:paraId="2CC9E4A9" w14:textId="77777777" w:rsidTr="00BC388A">
        <w:tc>
          <w:tcPr>
            <w:cnfStyle w:val="001000000000" w:firstRow="0" w:lastRow="0" w:firstColumn="1" w:lastColumn="0" w:oddVBand="0" w:evenVBand="0" w:oddHBand="0" w:evenHBand="0" w:firstRowFirstColumn="0" w:firstRowLastColumn="0" w:lastRowFirstColumn="0" w:lastRowLastColumn="0"/>
            <w:tcW w:w="1255" w:type="dxa"/>
          </w:tcPr>
          <w:p w14:paraId="2F9D2D2F" w14:textId="3CDAC17F" w:rsidR="00AD5780" w:rsidRPr="0067507D" w:rsidRDefault="00AD5780" w:rsidP="007F75CC">
            <w:pPr>
              <w:pStyle w:val="Tabletext"/>
            </w:pPr>
            <w:r w:rsidRPr="0067507D">
              <w:t>SES</w:t>
            </w:r>
            <w:r w:rsidR="006A5485">
              <w:noBreakHyphen/>
            </w:r>
            <w:r w:rsidRPr="0067507D">
              <w:t>1</w:t>
            </w:r>
          </w:p>
        </w:tc>
        <w:tc>
          <w:tcPr>
            <w:cnfStyle w:val="000010000000" w:firstRow="0" w:lastRow="0" w:firstColumn="0" w:lastColumn="0" w:oddVBand="1" w:evenVBand="0" w:oddHBand="0" w:evenHBand="0" w:firstRowFirstColumn="0" w:firstRowLastColumn="0" w:lastRowFirstColumn="0" w:lastRowLastColumn="0"/>
            <w:tcW w:w="600" w:type="dxa"/>
          </w:tcPr>
          <w:p w14:paraId="3BDB3573" w14:textId="256D4739" w:rsidR="00AD5780" w:rsidRPr="0067507D" w:rsidRDefault="008A0C29" w:rsidP="007F75CC">
            <w:pPr>
              <w:pStyle w:val="Tabletextright"/>
              <w:rPr>
                <w:szCs w:val="15"/>
              </w:rPr>
            </w:pPr>
            <w:r w:rsidRPr="0067507D">
              <w:t>32</w:t>
            </w:r>
          </w:p>
        </w:tc>
        <w:tc>
          <w:tcPr>
            <w:cnfStyle w:val="000001000000" w:firstRow="0" w:lastRow="0" w:firstColumn="0" w:lastColumn="0" w:oddVBand="0" w:evenVBand="1" w:oddHBand="0" w:evenHBand="0" w:firstRowFirstColumn="0" w:firstRowLastColumn="0" w:lastRowFirstColumn="0" w:lastRowLastColumn="0"/>
            <w:tcW w:w="600" w:type="dxa"/>
          </w:tcPr>
          <w:p w14:paraId="639E514B" w14:textId="7D15843C" w:rsidR="00AD5780" w:rsidRPr="0067507D" w:rsidRDefault="008A0C29" w:rsidP="007F75CC">
            <w:pPr>
              <w:pStyle w:val="Tabletextright"/>
              <w:rPr>
                <w:szCs w:val="15"/>
              </w:rPr>
            </w:pPr>
            <w:r w:rsidRPr="0067507D">
              <w:t>30</w:t>
            </w:r>
          </w:p>
        </w:tc>
        <w:tc>
          <w:tcPr>
            <w:cnfStyle w:val="000010000000" w:firstRow="0" w:lastRow="0" w:firstColumn="0" w:lastColumn="0" w:oddVBand="1" w:evenVBand="0" w:oddHBand="0" w:evenHBand="0" w:firstRowFirstColumn="0" w:firstRowLastColumn="0" w:lastRowFirstColumn="0" w:lastRowLastColumn="0"/>
            <w:tcW w:w="601" w:type="dxa"/>
          </w:tcPr>
          <w:p w14:paraId="4BA1A641" w14:textId="3D7EF931" w:rsidR="00AD5780" w:rsidRPr="0067507D" w:rsidRDefault="008A0C29" w:rsidP="007F75CC">
            <w:pPr>
              <w:pStyle w:val="Tabletextright"/>
              <w:rPr>
                <w:szCs w:val="15"/>
              </w:rPr>
            </w:pPr>
            <w:r w:rsidRPr="0067507D">
              <w:t>2</w:t>
            </w:r>
          </w:p>
        </w:tc>
        <w:tc>
          <w:tcPr>
            <w:cnfStyle w:val="000001000000" w:firstRow="0" w:lastRow="0" w:firstColumn="0" w:lastColumn="0" w:oddVBand="0" w:evenVBand="1" w:oddHBand="0" w:evenHBand="0" w:firstRowFirstColumn="0" w:firstRowLastColumn="0" w:lastRowFirstColumn="0" w:lastRowLastColumn="0"/>
            <w:tcW w:w="570" w:type="dxa"/>
          </w:tcPr>
          <w:p w14:paraId="1373D6B2" w14:textId="27D18137" w:rsidR="00AD5780" w:rsidRPr="0067507D" w:rsidRDefault="008A0C29" w:rsidP="007F75CC">
            <w:pPr>
              <w:pStyle w:val="Tabletextright"/>
              <w:rPr>
                <w:szCs w:val="15"/>
              </w:rPr>
            </w:pPr>
            <w:r w:rsidRPr="0067507D">
              <w:t>27</w:t>
            </w:r>
          </w:p>
        </w:tc>
        <w:tc>
          <w:tcPr>
            <w:cnfStyle w:val="000010000000" w:firstRow="0" w:lastRow="0" w:firstColumn="0" w:lastColumn="0" w:oddVBand="1" w:evenVBand="0" w:oddHBand="0" w:evenHBand="0" w:firstRowFirstColumn="0" w:firstRowLastColumn="0" w:lastRowFirstColumn="0" w:lastRowLastColumn="0"/>
            <w:tcW w:w="570" w:type="dxa"/>
          </w:tcPr>
          <w:p w14:paraId="5E001E4A" w14:textId="3F952440" w:rsidR="00AD5780" w:rsidRPr="0067507D" w:rsidRDefault="008A0C29" w:rsidP="007F75CC">
            <w:pPr>
              <w:pStyle w:val="Tabletextright"/>
              <w:rPr>
                <w:szCs w:val="15"/>
              </w:rPr>
            </w:pPr>
            <w:r w:rsidRPr="0067507D">
              <w:t>25</w:t>
            </w:r>
          </w:p>
        </w:tc>
        <w:tc>
          <w:tcPr>
            <w:cnfStyle w:val="000001000000" w:firstRow="0" w:lastRow="0" w:firstColumn="0" w:lastColumn="0" w:oddVBand="0" w:evenVBand="1" w:oddHBand="0" w:evenHBand="0" w:firstRowFirstColumn="0" w:firstRowLastColumn="0" w:lastRowFirstColumn="0" w:lastRowLastColumn="0"/>
            <w:tcW w:w="570" w:type="dxa"/>
          </w:tcPr>
          <w:p w14:paraId="4596DC7E" w14:textId="579C72F5" w:rsidR="00AD5780" w:rsidRPr="0067507D" w:rsidRDefault="008A0C29" w:rsidP="007F75CC">
            <w:pPr>
              <w:pStyle w:val="Tabletextright"/>
              <w:rPr>
                <w:szCs w:val="15"/>
              </w:rPr>
            </w:pPr>
            <w:r w:rsidRPr="0067507D">
              <w:t>2</w:t>
            </w:r>
          </w:p>
        </w:tc>
        <w:tc>
          <w:tcPr>
            <w:cnfStyle w:val="000010000000" w:firstRow="0" w:lastRow="0" w:firstColumn="0" w:lastColumn="0" w:oddVBand="1" w:evenVBand="0" w:oddHBand="0" w:evenHBand="0" w:firstRowFirstColumn="0" w:firstRowLastColumn="0" w:lastRowFirstColumn="0" w:lastRowLastColumn="0"/>
            <w:tcW w:w="600" w:type="dxa"/>
          </w:tcPr>
          <w:p w14:paraId="47959EEC" w14:textId="4F320212" w:rsidR="00AD5780" w:rsidRPr="0067507D" w:rsidRDefault="000A55B5" w:rsidP="007F75CC">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600" w:type="dxa"/>
          </w:tcPr>
          <w:p w14:paraId="51FE92B5" w14:textId="595D4558" w:rsidR="00AD5780" w:rsidRPr="0067507D" w:rsidRDefault="000A55B5" w:rsidP="007F75CC">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600" w:type="dxa"/>
          </w:tcPr>
          <w:p w14:paraId="2E4F14D4" w14:textId="54B58B41" w:rsidR="00AD5780" w:rsidRPr="0067507D" w:rsidRDefault="000A55B5" w:rsidP="007F75CC">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2" w:type="dxa"/>
          </w:tcPr>
          <w:p w14:paraId="2ADED226" w14:textId="3E745692" w:rsidR="00AD5780" w:rsidRPr="0067507D" w:rsidRDefault="008A0C29" w:rsidP="007F75CC">
            <w:pPr>
              <w:pStyle w:val="Tabletextright"/>
              <w:rPr>
                <w:szCs w:val="15"/>
              </w:rPr>
            </w:pPr>
            <w:r w:rsidRPr="0067507D">
              <w:t>59</w:t>
            </w:r>
          </w:p>
        </w:tc>
        <w:tc>
          <w:tcPr>
            <w:cnfStyle w:val="000010000000" w:firstRow="0" w:lastRow="0" w:firstColumn="0" w:lastColumn="0" w:oddVBand="1" w:evenVBand="0" w:oddHBand="0" w:evenHBand="0" w:firstRowFirstColumn="0" w:firstRowLastColumn="0" w:lastRowFirstColumn="0" w:lastRowLastColumn="0"/>
            <w:tcW w:w="593" w:type="dxa"/>
          </w:tcPr>
          <w:p w14:paraId="4130BA12" w14:textId="46F6D004" w:rsidR="00AD5780" w:rsidRPr="0067507D" w:rsidRDefault="008A0C29" w:rsidP="007F75CC">
            <w:pPr>
              <w:pStyle w:val="Tabletextright"/>
              <w:rPr>
                <w:szCs w:val="15"/>
              </w:rPr>
            </w:pPr>
            <w:r w:rsidRPr="0067507D">
              <w:t>55</w:t>
            </w:r>
          </w:p>
        </w:tc>
        <w:tc>
          <w:tcPr>
            <w:cnfStyle w:val="000001000000" w:firstRow="0" w:lastRow="0" w:firstColumn="0" w:lastColumn="0" w:oddVBand="0" w:evenVBand="1" w:oddHBand="0" w:evenHBand="0" w:firstRowFirstColumn="0" w:firstRowLastColumn="0" w:lastRowFirstColumn="0" w:lastRowLastColumn="0"/>
            <w:tcW w:w="593" w:type="dxa"/>
          </w:tcPr>
          <w:p w14:paraId="055F1C36" w14:textId="0596F1FD" w:rsidR="00AD5780" w:rsidRPr="0067507D" w:rsidRDefault="008A0C29" w:rsidP="007F75CC">
            <w:pPr>
              <w:pStyle w:val="Tabletextright"/>
              <w:rPr>
                <w:szCs w:val="15"/>
              </w:rPr>
            </w:pPr>
            <w:r w:rsidRPr="0067507D">
              <w:t>4</w:t>
            </w:r>
          </w:p>
        </w:tc>
      </w:tr>
      <w:tr w:rsidR="00481F0E" w:rsidRPr="0067507D" w14:paraId="084F4063" w14:textId="77777777" w:rsidTr="00BC388A">
        <w:tc>
          <w:tcPr>
            <w:cnfStyle w:val="001000000000" w:firstRow="0" w:lastRow="0" w:firstColumn="1" w:lastColumn="0" w:oddVBand="0" w:evenVBand="0" w:oddHBand="0" w:evenHBand="0" w:firstRowFirstColumn="0" w:firstRowLastColumn="0" w:lastRowFirstColumn="0" w:lastRowLastColumn="0"/>
            <w:tcW w:w="1255" w:type="dxa"/>
          </w:tcPr>
          <w:p w14:paraId="58560534" w14:textId="77777777" w:rsidR="00AD5780" w:rsidRPr="0067507D" w:rsidRDefault="00AD5780" w:rsidP="007F75CC">
            <w:pPr>
              <w:pStyle w:val="Tabletextbold"/>
            </w:pPr>
            <w:r w:rsidRPr="0067507D">
              <w:t>Total</w:t>
            </w:r>
          </w:p>
        </w:tc>
        <w:tc>
          <w:tcPr>
            <w:cnfStyle w:val="000010000000" w:firstRow="0" w:lastRow="0" w:firstColumn="0" w:lastColumn="0" w:oddVBand="1" w:evenVBand="0" w:oddHBand="0" w:evenHBand="0" w:firstRowFirstColumn="0" w:firstRowLastColumn="0" w:lastRowFirstColumn="0" w:lastRowLastColumn="0"/>
            <w:tcW w:w="600" w:type="dxa"/>
          </w:tcPr>
          <w:p w14:paraId="7712859D" w14:textId="339FB409" w:rsidR="00AD5780" w:rsidRPr="0067507D" w:rsidRDefault="008A0C29" w:rsidP="007F75CC">
            <w:pPr>
              <w:pStyle w:val="Tabletextrightbold"/>
              <w:rPr>
                <w:szCs w:val="15"/>
              </w:rPr>
            </w:pPr>
            <w:r w:rsidRPr="0067507D">
              <w:t>50</w:t>
            </w:r>
          </w:p>
        </w:tc>
        <w:tc>
          <w:tcPr>
            <w:cnfStyle w:val="000001000000" w:firstRow="0" w:lastRow="0" w:firstColumn="0" w:lastColumn="0" w:oddVBand="0" w:evenVBand="1" w:oddHBand="0" w:evenHBand="0" w:firstRowFirstColumn="0" w:firstRowLastColumn="0" w:lastRowFirstColumn="0" w:lastRowLastColumn="0"/>
            <w:tcW w:w="600" w:type="dxa"/>
          </w:tcPr>
          <w:p w14:paraId="1C9CBD31" w14:textId="213FF505" w:rsidR="00AD5780" w:rsidRPr="0067507D" w:rsidRDefault="008A0C29" w:rsidP="007F75CC">
            <w:pPr>
              <w:pStyle w:val="Tabletextrightbold"/>
              <w:rPr>
                <w:szCs w:val="15"/>
              </w:rPr>
            </w:pPr>
            <w:r w:rsidRPr="0067507D">
              <w:t>47</w:t>
            </w:r>
          </w:p>
        </w:tc>
        <w:tc>
          <w:tcPr>
            <w:cnfStyle w:val="000010000000" w:firstRow="0" w:lastRow="0" w:firstColumn="0" w:lastColumn="0" w:oddVBand="1" w:evenVBand="0" w:oddHBand="0" w:evenHBand="0" w:firstRowFirstColumn="0" w:firstRowLastColumn="0" w:lastRowFirstColumn="0" w:lastRowLastColumn="0"/>
            <w:tcW w:w="601" w:type="dxa"/>
          </w:tcPr>
          <w:p w14:paraId="4412BCAB" w14:textId="2DA7853A" w:rsidR="00AD5780" w:rsidRPr="0067507D" w:rsidRDefault="008A0C29" w:rsidP="007F75CC">
            <w:pPr>
              <w:pStyle w:val="Tabletextrightbold"/>
              <w:rPr>
                <w:szCs w:val="15"/>
              </w:rPr>
            </w:pPr>
            <w:r w:rsidRPr="0067507D">
              <w:t>3</w:t>
            </w:r>
          </w:p>
        </w:tc>
        <w:tc>
          <w:tcPr>
            <w:cnfStyle w:val="000001000000" w:firstRow="0" w:lastRow="0" w:firstColumn="0" w:lastColumn="0" w:oddVBand="0" w:evenVBand="1" w:oddHBand="0" w:evenHBand="0" w:firstRowFirstColumn="0" w:firstRowLastColumn="0" w:lastRowFirstColumn="0" w:lastRowLastColumn="0"/>
            <w:tcW w:w="570" w:type="dxa"/>
          </w:tcPr>
          <w:p w14:paraId="1DDCCAFC" w14:textId="43F4C2CC" w:rsidR="00AD5780" w:rsidRPr="0067507D" w:rsidRDefault="008A0C29" w:rsidP="007F75CC">
            <w:pPr>
              <w:pStyle w:val="Tabletextrightbold"/>
              <w:rPr>
                <w:szCs w:val="15"/>
              </w:rPr>
            </w:pPr>
            <w:r w:rsidRPr="0067507D">
              <w:t>43</w:t>
            </w:r>
          </w:p>
        </w:tc>
        <w:tc>
          <w:tcPr>
            <w:cnfStyle w:val="000010000000" w:firstRow="0" w:lastRow="0" w:firstColumn="0" w:lastColumn="0" w:oddVBand="1" w:evenVBand="0" w:oddHBand="0" w:evenHBand="0" w:firstRowFirstColumn="0" w:firstRowLastColumn="0" w:lastRowFirstColumn="0" w:lastRowLastColumn="0"/>
            <w:tcW w:w="570" w:type="dxa"/>
          </w:tcPr>
          <w:p w14:paraId="3A63D760" w14:textId="6448B60C" w:rsidR="00AD5780" w:rsidRPr="0067507D" w:rsidRDefault="008A0C29" w:rsidP="007F75CC">
            <w:pPr>
              <w:pStyle w:val="Tabletextrightbold"/>
              <w:rPr>
                <w:szCs w:val="15"/>
              </w:rPr>
            </w:pPr>
            <w:r w:rsidRPr="0067507D">
              <w:t>39</w:t>
            </w:r>
          </w:p>
        </w:tc>
        <w:tc>
          <w:tcPr>
            <w:cnfStyle w:val="000001000000" w:firstRow="0" w:lastRow="0" w:firstColumn="0" w:lastColumn="0" w:oddVBand="0" w:evenVBand="1" w:oddHBand="0" w:evenHBand="0" w:firstRowFirstColumn="0" w:firstRowLastColumn="0" w:lastRowFirstColumn="0" w:lastRowLastColumn="0"/>
            <w:tcW w:w="570" w:type="dxa"/>
          </w:tcPr>
          <w:p w14:paraId="234A4FB3" w14:textId="547CE6E4" w:rsidR="00AD5780" w:rsidRPr="0067507D" w:rsidRDefault="008A0C29" w:rsidP="007F75CC">
            <w:pPr>
              <w:pStyle w:val="Tabletextrightbold"/>
              <w:rPr>
                <w:szCs w:val="15"/>
              </w:rPr>
            </w:pPr>
            <w:r w:rsidRPr="0067507D">
              <w:t>4</w:t>
            </w:r>
          </w:p>
        </w:tc>
        <w:tc>
          <w:tcPr>
            <w:cnfStyle w:val="000010000000" w:firstRow="0" w:lastRow="0" w:firstColumn="0" w:lastColumn="0" w:oddVBand="1" w:evenVBand="0" w:oddHBand="0" w:evenHBand="0" w:firstRowFirstColumn="0" w:firstRowLastColumn="0" w:lastRowFirstColumn="0" w:lastRowLastColumn="0"/>
            <w:tcW w:w="600" w:type="dxa"/>
          </w:tcPr>
          <w:p w14:paraId="74E046FD" w14:textId="0E223814" w:rsidR="00AD5780" w:rsidRPr="0067507D" w:rsidRDefault="000A55B5" w:rsidP="007F75CC">
            <w:pPr>
              <w:pStyle w:val="Tabletextrightbold"/>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600" w:type="dxa"/>
          </w:tcPr>
          <w:p w14:paraId="5B104441" w14:textId="6C02A437" w:rsidR="00AD5780" w:rsidRPr="0067507D" w:rsidRDefault="000A55B5" w:rsidP="007F75CC">
            <w:pPr>
              <w:pStyle w:val="Tabletextrightbold"/>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600" w:type="dxa"/>
          </w:tcPr>
          <w:p w14:paraId="1A1764A1" w14:textId="327FF0EE" w:rsidR="00AD5780" w:rsidRPr="0067507D" w:rsidRDefault="000A55B5" w:rsidP="007F75CC">
            <w:pPr>
              <w:pStyle w:val="Tabletextrightbold"/>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2" w:type="dxa"/>
          </w:tcPr>
          <w:p w14:paraId="0E7C475D" w14:textId="3764F6C7" w:rsidR="00AD5780" w:rsidRPr="0067507D" w:rsidRDefault="008A0C29" w:rsidP="007F75CC">
            <w:pPr>
              <w:pStyle w:val="Tabletextrightbold"/>
              <w:rPr>
                <w:szCs w:val="15"/>
              </w:rPr>
            </w:pPr>
            <w:r w:rsidRPr="0067507D">
              <w:t>93</w:t>
            </w:r>
          </w:p>
        </w:tc>
        <w:tc>
          <w:tcPr>
            <w:cnfStyle w:val="000010000000" w:firstRow="0" w:lastRow="0" w:firstColumn="0" w:lastColumn="0" w:oddVBand="1" w:evenVBand="0" w:oddHBand="0" w:evenHBand="0" w:firstRowFirstColumn="0" w:firstRowLastColumn="0" w:lastRowFirstColumn="0" w:lastRowLastColumn="0"/>
            <w:tcW w:w="593" w:type="dxa"/>
          </w:tcPr>
          <w:p w14:paraId="50CA6A37" w14:textId="73900DE6" w:rsidR="00AD5780" w:rsidRPr="0067507D" w:rsidRDefault="008A0C29" w:rsidP="007F75CC">
            <w:pPr>
              <w:pStyle w:val="Tabletextrightbold"/>
              <w:rPr>
                <w:szCs w:val="15"/>
              </w:rPr>
            </w:pPr>
            <w:r w:rsidRPr="0067507D">
              <w:t>86</w:t>
            </w:r>
          </w:p>
        </w:tc>
        <w:tc>
          <w:tcPr>
            <w:cnfStyle w:val="000001000000" w:firstRow="0" w:lastRow="0" w:firstColumn="0" w:lastColumn="0" w:oddVBand="0" w:evenVBand="1" w:oddHBand="0" w:evenHBand="0" w:firstRowFirstColumn="0" w:firstRowLastColumn="0" w:lastRowFirstColumn="0" w:lastRowLastColumn="0"/>
            <w:tcW w:w="593" w:type="dxa"/>
          </w:tcPr>
          <w:p w14:paraId="00599900" w14:textId="787228BD" w:rsidR="00AD5780" w:rsidRPr="0067507D" w:rsidRDefault="008A0C29" w:rsidP="007F75CC">
            <w:pPr>
              <w:pStyle w:val="Tabletextrightbold"/>
              <w:rPr>
                <w:szCs w:val="15"/>
              </w:rPr>
            </w:pPr>
            <w:r w:rsidRPr="0067507D">
              <w:t>7</w:t>
            </w:r>
          </w:p>
        </w:tc>
      </w:tr>
    </w:tbl>
    <w:p w14:paraId="29C1FB2E" w14:textId="77777777" w:rsidR="00113E1C" w:rsidRPr="0067507D" w:rsidRDefault="00113E1C" w:rsidP="00F749B3">
      <w:pPr>
        <w:pStyle w:val="Notes"/>
        <w:spacing w:before="50" w:after="50"/>
      </w:pPr>
      <w:r w:rsidRPr="0067507D">
        <w:t xml:space="preserve">Table excludes the Secretary </w:t>
      </w:r>
      <w:r w:rsidRPr="0067507D" w:rsidDel="00C71DCB">
        <w:t>(Accountable Officer</w:t>
      </w:r>
      <w:r w:rsidRPr="0067507D">
        <w:t>).</w:t>
      </w:r>
    </w:p>
    <w:p w14:paraId="11CDDB1F" w14:textId="77777777" w:rsidR="00113E1C" w:rsidRPr="0067507D" w:rsidRDefault="00113E1C" w:rsidP="00F749B3">
      <w:pPr>
        <w:pStyle w:val="Notes"/>
        <w:spacing w:before="50" w:after="50"/>
      </w:pPr>
      <w:r w:rsidRPr="0067507D">
        <w:t>Var column indicates the variation between the current and previous reporting periods.</w:t>
      </w:r>
    </w:p>
    <w:p w14:paraId="215BEBB6" w14:textId="77777777" w:rsidR="00113E1C" w:rsidRPr="0067507D" w:rsidRDefault="00113E1C" w:rsidP="00F749B3">
      <w:pPr>
        <w:pStyle w:val="Notes"/>
        <w:spacing w:before="50" w:after="50"/>
      </w:pPr>
      <w:r w:rsidRPr="0067507D">
        <w:t>Table includes the VPS departmental Chief Financial Officers who are employed by the DTF Secretary.</w:t>
      </w:r>
    </w:p>
    <w:p w14:paraId="5E6E687A" w14:textId="77777777" w:rsidR="00113E1C" w:rsidRPr="0067507D" w:rsidRDefault="00113E1C" w:rsidP="00672732"/>
    <w:p w14:paraId="4CAAF579" w14:textId="77777777" w:rsidR="00113E1C" w:rsidRPr="0067507D" w:rsidRDefault="00113E1C" w:rsidP="00113E1C">
      <w:pPr>
        <w:pStyle w:val="Tableheading"/>
      </w:pPr>
      <w:r w:rsidRPr="0067507D">
        <w:t>Table 2 – Total number of executives for SRO, broken down into gender</w:t>
      </w:r>
    </w:p>
    <w:bookmarkEnd w:id="205"/>
    <w:tbl>
      <w:tblPr>
        <w:tblStyle w:val="AnnualReportfinancialtable"/>
        <w:tblW w:w="8337" w:type="dxa"/>
        <w:tblInd w:w="-86" w:type="dxa"/>
        <w:tblLayout w:type="fixed"/>
        <w:tblLook w:val="02E0" w:firstRow="1" w:lastRow="1" w:firstColumn="1" w:lastColumn="0" w:noHBand="1" w:noVBand="0"/>
      </w:tblPr>
      <w:tblGrid>
        <w:gridCol w:w="1227"/>
        <w:gridCol w:w="592"/>
        <w:gridCol w:w="593"/>
        <w:gridCol w:w="592"/>
        <w:gridCol w:w="593"/>
        <w:gridCol w:w="592"/>
        <w:gridCol w:w="593"/>
        <w:gridCol w:w="592"/>
        <w:gridCol w:w="593"/>
        <w:gridCol w:w="592"/>
        <w:gridCol w:w="593"/>
        <w:gridCol w:w="592"/>
        <w:gridCol w:w="593"/>
      </w:tblGrid>
      <w:tr w:rsidR="00845541" w:rsidRPr="0067507D" w14:paraId="3BAD638F" w14:textId="77777777" w:rsidTr="007810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7" w:type="dxa"/>
          </w:tcPr>
          <w:p w14:paraId="083F822B" w14:textId="77777777" w:rsidR="00672732" w:rsidRPr="0067507D" w:rsidRDefault="00672732" w:rsidP="00337EDA">
            <w:pPr>
              <w:pStyle w:val="Tabletextheadingleft"/>
              <w:spacing w:before="30" w:after="30"/>
            </w:pPr>
          </w:p>
        </w:tc>
        <w:tc>
          <w:tcPr>
            <w:cnfStyle w:val="000010000000" w:firstRow="0" w:lastRow="0" w:firstColumn="0" w:lastColumn="0" w:oddVBand="1" w:evenVBand="0" w:oddHBand="0" w:evenHBand="0" w:firstRowFirstColumn="0" w:firstRowLastColumn="0" w:lastRowFirstColumn="0" w:lastRowLastColumn="0"/>
            <w:tcW w:w="1777" w:type="dxa"/>
            <w:gridSpan w:val="3"/>
          </w:tcPr>
          <w:p w14:paraId="077170DC" w14:textId="77777777" w:rsidR="00672732" w:rsidRPr="0067507D" w:rsidRDefault="00672732" w:rsidP="00337EDA">
            <w:pPr>
              <w:pStyle w:val="Tabletextheadingcentred"/>
            </w:pPr>
            <w:r w:rsidRPr="0067507D">
              <w:t>Men</w:t>
            </w:r>
          </w:p>
        </w:tc>
        <w:tc>
          <w:tcPr>
            <w:cnfStyle w:val="000001000000" w:firstRow="0" w:lastRow="0" w:firstColumn="0" w:lastColumn="0" w:oddVBand="0" w:evenVBand="1" w:oddHBand="0" w:evenHBand="0" w:firstRowFirstColumn="0" w:firstRowLastColumn="0" w:lastRowFirstColumn="0" w:lastRowLastColumn="0"/>
            <w:tcW w:w="1778" w:type="dxa"/>
            <w:gridSpan w:val="3"/>
          </w:tcPr>
          <w:p w14:paraId="2603551B" w14:textId="77777777" w:rsidR="00672732" w:rsidRPr="0067507D" w:rsidRDefault="00672732" w:rsidP="00337EDA">
            <w:pPr>
              <w:pStyle w:val="Tabletextheadingcentred"/>
            </w:pPr>
            <w:r w:rsidRPr="0067507D">
              <w:t>Women</w:t>
            </w:r>
          </w:p>
        </w:tc>
        <w:tc>
          <w:tcPr>
            <w:cnfStyle w:val="000010000000" w:firstRow="0" w:lastRow="0" w:firstColumn="0" w:lastColumn="0" w:oddVBand="1" w:evenVBand="0" w:oddHBand="0" w:evenHBand="0" w:firstRowFirstColumn="0" w:firstRowLastColumn="0" w:lastRowFirstColumn="0" w:lastRowLastColumn="0"/>
            <w:tcW w:w="1777" w:type="dxa"/>
            <w:gridSpan w:val="3"/>
          </w:tcPr>
          <w:p w14:paraId="68E4B496" w14:textId="796E59DA" w:rsidR="00672732" w:rsidRPr="0067507D" w:rsidRDefault="00672732" w:rsidP="00337EDA">
            <w:pPr>
              <w:pStyle w:val="Tabletextheadingcentred"/>
            </w:pPr>
            <w:r w:rsidRPr="0067507D">
              <w:t>Self</w:t>
            </w:r>
            <w:r w:rsidR="006A5485">
              <w:noBreakHyphen/>
            </w:r>
            <w:r w:rsidRPr="0067507D">
              <w:t>described</w:t>
            </w:r>
          </w:p>
        </w:tc>
        <w:tc>
          <w:tcPr>
            <w:cnfStyle w:val="000001000000" w:firstRow="0" w:lastRow="0" w:firstColumn="0" w:lastColumn="0" w:oddVBand="0" w:evenVBand="1" w:oddHBand="0" w:evenHBand="0" w:firstRowFirstColumn="0" w:firstRowLastColumn="0" w:lastRowFirstColumn="0" w:lastRowLastColumn="0"/>
            <w:tcW w:w="1778" w:type="dxa"/>
            <w:gridSpan w:val="3"/>
          </w:tcPr>
          <w:p w14:paraId="28F0DF25" w14:textId="77777777" w:rsidR="00672732" w:rsidRPr="0067507D" w:rsidRDefault="00672732" w:rsidP="00337EDA">
            <w:pPr>
              <w:pStyle w:val="Tabletextheadingcentred"/>
            </w:pPr>
            <w:r w:rsidRPr="0067507D">
              <w:t>All</w:t>
            </w:r>
          </w:p>
        </w:tc>
      </w:tr>
      <w:tr w:rsidR="00481F0E" w:rsidRPr="0067507D" w14:paraId="7A8468DA" w14:textId="77777777" w:rsidTr="00FC7699">
        <w:tc>
          <w:tcPr>
            <w:cnfStyle w:val="001000000000" w:firstRow="0" w:lastRow="0" w:firstColumn="1" w:lastColumn="0" w:oddVBand="0" w:evenVBand="0" w:oddHBand="0" w:evenHBand="0" w:firstRowFirstColumn="0" w:firstRowLastColumn="0" w:lastRowFirstColumn="0" w:lastRowLastColumn="0"/>
            <w:tcW w:w="1227" w:type="dxa"/>
          </w:tcPr>
          <w:p w14:paraId="05D14BFB" w14:textId="77777777" w:rsidR="00672732" w:rsidRPr="0067507D" w:rsidRDefault="00672732" w:rsidP="00337EDA">
            <w:pPr>
              <w:pStyle w:val="Tabletextheadingleft"/>
              <w:spacing w:before="30" w:after="30"/>
              <w:rPr>
                <w:rFonts w:cs="Arial"/>
                <w:b/>
                <w:szCs w:val="17"/>
                <w:lang w:eastAsia="en-US"/>
              </w:rPr>
            </w:pPr>
            <w:r w:rsidRPr="0067507D">
              <w:t>Class</w:t>
            </w:r>
          </w:p>
        </w:tc>
        <w:tc>
          <w:tcPr>
            <w:cnfStyle w:val="000010000000" w:firstRow="0" w:lastRow="0" w:firstColumn="0" w:lastColumn="0" w:oddVBand="1" w:evenVBand="0" w:oddHBand="0" w:evenHBand="0" w:firstRowFirstColumn="0" w:firstRowLastColumn="0" w:lastRowFirstColumn="0" w:lastRowLastColumn="0"/>
            <w:tcW w:w="592" w:type="dxa"/>
          </w:tcPr>
          <w:p w14:paraId="495C864B" w14:textId="0074B765" w:rsidR="00672732" w:rsidRPr="0067507D" w:rsidRDefault="00DA27B1" w:rsidP="00337EDA">
            <w:pPr>
              <w:pStyle w:val="Tabletextheadingright"/>
              <w:spacing w:before="30" w:after="30"/>
            </w:pPr>
            <w:r w:rsidRPr="0067507D">
              <w:t>2025</w:t>
            </w:r>
          </w:p>
        </w:tc>
        <w:tc>
          <w:tcPr>
            <w:cnfStyle w:val="000001000000" w:firstRow="0" w:lastRow="0" w:firstColumn="0" w:lastColumn="0" w:oddVBand="0" w:evenVBand="1" w:oddHBand="0" w:evenHBand="0" w:firstRowFirstColumn="0" w:firstRowLastColumn="0" w:lastRowFirstColumn="0" w:lastRowLastColumn="0"/>
            <w:tcW w:w="593" w:type="dxa"/>
          </w:tcPr>
          <w:p w14:paraId="7D98C83B" w14:textId="18AC4B53" w:rsidR="00672732" w:rsidRPr="0067507D" w:rsidRDefault="00DA27B1" w:rsidP="00337EDA">
            <w:pPr>
              <w:pStyle w:val="Tabletextheadingright"/>
              <w:spacing w:before="30" w:after="30"/>
            </w:pPr>
            <w:r w:rsidRPr="0067507D">
              <w:t>2024</w:t>
            </w:r>
          </w:p>
        </w:tc>
        <w:tc>
          <w:tcPr>
            <w:cnfStyle w:val="000010000000" w:firstRow="0" w:lastRow="0" w:firstColumn="0" w:lastColumn="0" w:oddVBand="1" w:evenVBand="0" w:oddHBand="0" w:evenHBand="0" w:firstRowFirstColumn="0" w:firstRowLastColumn="0" w:lastRowFirstColumn="0" w:lastRowLastColumn="0"/>
            <w:tcW w:w="592" w:type="dxa"/>
          </w:tcPr>
          <w:p w14:paraId="6946693B" w14:textId="24D27A62" w:rsidR="00672732" w:rsidRPr="0067507D" w:rsidRDefault="00672732" w:rsidP="00337EDA">
            <w:pPr>
              <w:pStyle w:val="Tabletextheadingright"/>
              <w:spacing w:before="30" w:after="30"/>
            </w:pPr>
            <w:r w:rsidRPr="0067507D">
              <w:t>Var</w:t>
            </w:r>
          </w:p>
        </w:tc>
        <w:tc>
          <w:tcPr>
            <w:cnfStyle w:val="000001000000" w:firstRow="0" w:lastRow="0" w:firstColumn="0" w:lastColumn="0" w:oddVBand="0" w:evenVBand="1" w:oddHBand="0" w:evenHBand="0" w:firstRowFirstColumn="0" w:firstRowLastColumn="0" w:lastRowFirstColumn="0" w:lastRowLastColumn="0"/>
            <w:tcW w:w="593" w:type="dxa"/>
          </w:tcPr>
          <w:p w14:paraId="4D3FE88E" w14:textId="39ADCEAB" w:rsidR="00672732" w:rsidRPr="0067507D" w:rsidRDefault="00DA27B1" w:rsidP="00337EDA">
            <w:pPr>
              <w:pStyle w:val="Tabletextheadingright"/>
              <w:spacing w:before="30" w:after="30"/>
            </w:pPr>
            <w:r w:rsidRPr="0067507D">
              <w:t>2025</w:t>
            </w:r>
          </w:p>
        </w:tc>
        <w:tc>
          <w:tcPr>
            <w:cnfStyle w:val="000010000000" w:firstRow="0" w:lastRow="0" w:firstColumn="0" w:lastColumn="0" w:oddVBand="1" w:evenVBand="0" w:oddHBand="0" w:evenHBand="0" w:firstRowFirstColumn="0" w:firstRowLastColumn="0" w:lastRowFirstColumn="0" w:lastRowLastColumn="0"/>
            <w:tcW w:w="592" w:type="dxa"/>
          </w:tcPr>
          <w:p w14:paraId="27C96D8C" w14:textId="5BDE35C5" w:rsidR="00672732" w:rsidRPr="0067507D" w:rsidRDefault="00DA27B1" w:rsidP="00337EDA">
            <w:pPr>
              <w:pStyle w:val="Tabletextheadingright"/>
              <w:spacing w:before="30" w:after="30"/>
            </w:pPr>
            <w:r w:rsidRPr="0067507D">
              <w:t>2024</w:t>
            </w:r>
          </w:p>
        </w:tc>
        <w:tc>
          <w:tcPr>
            <w:cnfStyle w:val="000001000000" w:firstRow="0" w:lastRow="0" w:firstColumn="0" w:lastColumn="0" w:oddVBand="0" w:evenVBand="1" w:oddHBand="0" w:evenHBand="0" w:firstRowFirstColumn="0" w:firstRowLastColumn="0" w:lastRowFirstColumn="0" w:lastRowLastColumn="0"/>
            <w:tcW w:w="593" w:type="dxa"/>
          </w:tcPr>
          <w:p w14:paraId="757C6527" w14:textId="76C1BF33" w:rsidR="00672732" w:rsidRPr="0067507D" w:rsidRDefault="00672732" w:rsidP="00337EDA">
            <w:pPr>
              <w:pStyle w:val="Tabletextheadingright"/>
              <w:spacing w:before="30" w:after="30"/>
            </w:pPr>
            <w:r w:rsidRPr="0067507D">
              <w:t>Var</w:t>
            </w:r>
          </w:p>
        </w:tc>
        <w:tc>
          <w:tcPr>
            <w:cnfStyle w:val="000010000000" w:firstRow="0" w:lastRow="0" w:firstColumn="0" w:lastColumn="0" w:oddVBand="1" w:evenVBand="0" w:oddHBand="0" w:evenHBand="0" w:firstRowFirstColumn="0" w:firstRowLastColumn="0" w:lastRowFirstColumn="0" w:lastRowLastColumn="0"/>
            <w:tcW w:w="592" w:type="dxa"/>
          </w:tcPr>
          <w:p w14:paraId="40418C71" w14:textId="01D0F24E" w:rsidR="00672732" w:rsidRPr="0067507D" w:rsidRDefault="00DA27B1" w:rsidP="00337EDA">
            <w:pPr>
              <w:pStyle w:val="Tabletextheadingright"/>
              <w:spacing w:before="30" w:after="30"/>
            </w:pPr>
            <w:r w:rsidRPr="0067507D">
              <w:t>2025</w:t>
            </w:r>
          </w:p>
        </w:tc>
        <w:tc>
          <w:tcPr>
            <w:cnfStyle w:val="000001000000" w:firstRow="0" w:lastRow="0" w:firstColumn="0" w:lastColumn="0" w:oddVBand="0" w:evenVBand="1" w:oddHBand="0" w:evenHBand="0" w:firstRowFirstColumn="0" w:firstRowLastColumn="0" w:lastRowFirstColumn="0" w:lastRowLastColumn="0"/>
            <w:tcW w:w="593" w:type="dxa"/>
          </w:tcPr>
          <w:p w14:paraId="2DB5ADE2" w14:textId="47EC47AB" w:rsidR="00672732" w:rsidRPr="0067507D" w:rsidRDefault="00DA27B1" w:rsidP="00337EDA">
            <w:pPr>
              <w:pStyle w:val="Tabletextheadingright"/>
              <w:spacing w:before="30" w:after="30"/>
            </w:pPr>
            <w:r w:rsidRPr="0067507D">
              <w:t>2024</w:t>
            </w:r>
          </w:p>
        </w:tc>
        <w:tc>
          <w:tcPr>
            <w:cnfStyle w:val="000010000000" w:firstRow="0" w:lastRow="0" w:firstColumn="0" w:lastColumn="0" w:oddVBand="1" w:evenVBand="0" w:oddHBand="0" w:evenHBand="0" w:firstRowFirstColumn="0" w:firstRowLastColumn="0" w:lastRowFirstColumn="0" w:lastRowLastColumn="0"/>
            <w:tcW w:w="592" w:type="dxa"/>
          </w:tcPr>
          <w:p w14:paraId="2DDC80FB" w14:textId="4E8640D7" w:rsidR="00672732" w:rsidRPr="0067507D" w:rsidRDefault="00672732" w:rsidP="00337EDA">
            <w:pPr>
              <w:pStyle w:val="Tabletextheadingright"/>
              <w:spacing w:before="30" w:after="30"/>
            </w:pPr>
            <w:r w:rsidRPr="0067507D">
              <w:t>Var</w:t>
            </w:r>
          </w:p>
        </w:tc>
        <w:tc>
          <w:tcPr>
            <w:cnfStyle w:val="000001000000" w:firstRow="0" w:lastRow="0" w:firstColumn="0" w:lastColumn="0" w:oddVBand="0" w:evenVBand="1" w:oddHBand="0" w:evenHBand="0" w:firstRowFirstColumn="0" w:firstRowLastColumn="0" w:lastRowFirstColumn="0" w:lastRowLastColumn="0"/>
            <w:tcW w:w="593" w:type="dxa"/>
          </w:tcPr>
          <w:p w14:paraId="7F4CFAC4" w14:textId="0F726129" w:rsidR="00672732" w:rsidRPr="0067507D" w:rsidRDefault="00DA27B1" w:rsidP="00337EDA">
            <w:pPr>
              <w:pStyle w:val="Tabletextheadingright"/>
              <w:spacing w:before="30" w:after="30"/>
            </w:pPr>
            <w:r w:rsidRPr="0067507D">
              <w:t>2025</w:t>
            </w:r>
          </w:p>
        </w:tc>
        <w:tc>
          <w:tcPr>
            <w:cnfStyle w:val="000010000000" w:firstRow="0" w:lastRow="0" w:firstColumn="0" w:lastColumn="0" w:oddVBand="1" w:evenVBand="0" w:oddHBand="0" w:evenHBand="0" w:firstRowFirstColumn="0" w:firstRowLastColumn="0" w:lastRowFirstColumn="0" w:lastRowLastColumn="0"/>
            <w:tcW w:w="592" w:type="dxa"/>
          </w:tcPr>
          <w:p w14:paraId="473D2C63" w14:textId="32060855" w:rsidR="00672732" w:rsidRPr="0067507D" w:rsidRDefault="00DA27B1" w:rsidP="00337EDA">
            <w:pPr>
              <w:pStyle w:val="Tabletextheadingright"/>
              <w:spacing w:before="30" w:after="30"/>
            </w:pPr>
            <w:r w:rsidRPr="0067507D">
              <w:t>2024</w:t>
            </w:r>
          </w:p>
        </w:tc>
        <w:tc>
          <w:tcPr>
            <w:cnfStyle w:val="000001000000" w:firstRow="0" w:lastRow="0" w:firstColumn="0" w:lastColumn="0" w:oddVBand="0" w:evenVBand="1" w:oddHBand="0" w:evenHBand="0" w:firstRowFirstColumn="0" w:firstRowLastColumn="0" w:lastRowFirstColumn="0" w:lastRowLastColumn="0"/>
            <w:tcW w:w="593" w:type="dxa"/>
          </w:tcPr>
          <w:p w14:paraId="10DC9D1F" w14:textId="2C7A85B0" w:rsidR="00672732" w:rsidRPr="0067507D" w:rsidRDefault="00672732" w:rsidP="00337EDA">
            <w:pPr>
              <w:pStyle w:val="Tabletextheadingright"/>
              <w:spacing w:before="30" w:after="30"/>
            </w:pPr>
            <w:r w:rsidRPr="0067507D">
              <w:t>Var</w:t>
            </w:r>
          </w:p>
        </w:tc>
      </w:tr>
      <w:tr w:rsidR="00481F0E" w:rsidRPr="0067507D" w14:paraId="56D35629" w14:textId="77777777" w:rsidTr="007810BE">
        <w:tc>
          <w:tcPr>
            <w:cnfStyle w:val="001000000000" w:firstRow="0" w:lastRow="0" w:firstColumn="1" w:lastColumn="0" w:oddVBand="0" w:evenVBand="0" w:oddHBand="0" w:evenHBand="0" w:firstRowFirstColumn="0" w:firstRowLastColumn="0" w:lastRowFirstColumn="0" w:lastRowLastColumn="0"/>
            <w:tcW w:w="1227" w:type="dxa"/>
          </w:tcPr>
          <w:p w14:paraId="44B7750C" w14:textId="78E9B550" w:rsidR="00672732" w:rsidRPr="0067507D" w:rsidRDefault="00672732" w:rsidP="00672732">
            <w:pPr>
              <w:pStyle w:val="Tabletext"/>
            </w:pPr>
            <w:r w:rsidRPr="0067507D">
              <w:t>SES</w:t>
            </w:r>
            <w:r w:rsidR="006A5485">
              <w:noBreakHyphen/>
            </w:r>
            <w:r w:rsidRPr="0067507D">
              <w:t>3</w:t>
            </w:r>
          </w:p>
        </w:tc>
        <w:tc>
          <w:tcPr>
            <w:cnfStyle w:val="000010000000" w:firstRow="0" w:lastRow="0" w:firstColumn="0" w:lastColumn="0" w:oddVBand="1" w:evenVBand="0" w:oddHBand="0" w:evenHBand="0" w:firstRowFirstColumn="0" w:firstRowLastColumn="0" w:lastRowFirstColumn="0" w:lastRowLastColumn="0"/>
            <w:tcW w:w="592" w:type="dxa"/>
          </w:tcPr>
          <w:p w14:paraId="4D121EF5" w14:textId="233EE9D5" w:rsidR="00672732" w:rsidRPr="0067507D" w:rsidRDefault="00225B0F" w:rsidP="00672732">
            <w:pPr>
              <w:pStyle w:val="Tabletextright"/>
              <w:rPr>
                <w:szCs w:val="15"/>
              </w:rPr>
            </w:pPr>
            <w:r w:rsidRPr="0067507D">
              <w:t>1</w:t>
            </w:r>
          </w:p>
        </w:tc>
        <w:tc>
          <w:tcPr>
            <w:cnfStyle w:val="000001000000" w:firstRow="0" w:lastRow="0" w:firstColumn="0" w:lastColumn="0" w:oddVBand="0" w:evenVBand="1" w:oddHBand="0" w:evenHBand="0" w:firstRowFirstColumn="0" w:firstRowLastColumn="0" w:lastRowFirstColumn="0" w:lastRowLastColumn="0"/>
            <w:tcW w:w="593" w:type="dxa"/>
          </w:tcPr>
          <w:p w14:paraId="4B3A6F6D" w14:textId="3F9D4A00" w:rsidR="00672732" w:rsidRPr="0067507D" w:rsidRDefault="00225B0F" w:rsidP="00672732">
            <w:pPr>
              <w:pStyle w:val="Tabletextright"/>
              <w:rPr>
                <w:szCs w:val="15"/>
              </w:rPr>
            </w:pPr>
            <w:r w:rsidRPr="0067507D">
              <w:t>1</w:t>
            </w:r>
          </w:p>
        </w:tc>
        <w:tc>
          <w:tcPr>
            <w:cnfStyle w:val="000010000000" w:firstRow="0" w:lastRow="0" w:firstColumn="0" w:lastColumn="0" w:oddVBand="1" w:evenVBand="0" w:oddHBand="0" w:evenHBand="0" w:firstRowFirstColumn="0" w:firstRowLastColumn="0" w:lastRowFirstColumn="0" w:lastRowLastColumn="0"/>
            <w:tcW w:w="592" w:type="dxa"/>
          </w:tcPr>
          <w:p w14:paraId="1BD17AF2" w14:textId="2D643033" w:rsidR="00672732" w:rsidRPr="0067507D" w:rsidRDefault="000A55B5" w:rsidP="00672732">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4E66614B" w14:textId="6401C45C" w:rsidR="00672732" w:rsidRPr="0067507D" w:rsidRDefault="000A55B5" w:rsidP="00672732">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48AF49BF" w14:textId="770CF702" w:rsidR="00672732" w:rsidRPr="0067507D" w:rsidRDefault="000A55B5" w:rsidP="00672732">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07ACF384" w14:textId="3CC4C7FC" w:rsidR="00672732" w:rsidRPr="0067507D" w:rsidRDefault="000A55B5" w:rsidP="00672732">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1106BB3D" w14:textId="7526DBEB" w:rsidR="00672732" w:rsidRPr="0067507D" w:rsidRDefault="000A55B5" w:rsidP="00672732">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4A49D40C" w14:textId="351E5A6C" w:rsidR="00672732" w:rsidRPr="0067507D" w:rsidRDefault="000A55B5" w:rsidP="00672732">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0D58B5BE" w14:textId="059AAC33" w:rsidR="00672732" w:rsidRPr="0067507D" w:rsidRDefault="000A55B5" w:rsidP="00672732">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1F40E449" w14:textId="0B17D495" w:rsidR="00672732" w:rsidRPr="0067507D" w:rsidRDefault="00225B0F" w:rsidP="00672732">
            <w:pPr>
              <w:pStyle w:val="Tabletextright"/>
              <w:rPr>
                <w:szCs w:val="15"/>
              </w:rPr>
            </w:pPr>
            <w:r w:rsidRPr="0067507D">
              <w:t>1</w:t>
            </w:r>
          </w:p>
        </w:tc>
        <w:tc>
          <w:tcPr>
            <w:cnfStyle w:val="000010000000" w:firstRow="0" w:lastRow="0" w:firstColumn="0" w:lastColumn="0" w:oddVBand="1" w:evenVBand="0" w:oddHBand="0" w:evenHBand="0" w:firstRowFirstColumn="0" w:firstRowLastColumn="0" w:lastRowFirstColumn="0" w:lastRowLastColumn="0"/>
            <w:tcW w:w="592" w:type="dxa"/>
          </w:tcPr>
          <w:p w14:paraId="17828915" w14:textId="2C42FD98" w:rsidR="00672732" w:rsidRPr="0067507D" w:rsidRDefault="00225B0F" w:rsidP="00672732">
            <w:pPr>
              <w:pStyle w:val="Tabletextright"/>
              <w:rPr>
                <w:szCs w:val="15"/>
              </w:rPr>
            </w:pPr>
            <w:r w:rsidRPr="0067507D">
              <w:t>1</w:t>
            </w:r>
          </w:p>
        </w:tc>
        <w:tc>
          <w:tcPr>
            <w:cnfStyle w:val="000001000000" w:firstRow="0" w:lastRow="0" w:firstColumn="0" w:lastColumn="0" w:oddVBand="0" w:evenVBand="1" w:oddHBand="0" w:evenHBand="0" w:firstRowFirstColumn="0" w:firstRowLastColumn="0" w:lastRowFirstColumn="0" w:lastRowLastColumn="0"/>
            <w:tcW w:w="593" w:type="dxa"/>
          </w:tcPr>
          <w:p w14:paraId="05D1A5D3" w14:textId="648E9DC5" w:rsidR="00672732" w:rsidRPr="0067507D" w:rsidRDefault="000A55B5" w:rsidP="00672732">
            <w:pPr>
              <w:pStyle w:val="Tabletextright"/>
              <w:rPr>
                <w:szCs w:val="15"/>
              </w:rPr>
            </w:pPr>
            <w:r w:rsidRPr="0067507D">
              <w:t>–</w:t>
            </w:r>
          </w:p>
        </w:tc>
      </w:tr>
      <w:tr w:rsidR="00481F0E" w:rsidRPr="0067507D" w14:paraId="4A52A545" w14:textId="77777777" w:rsidTr="007810BE">
        <w:tc>
          <w:tcPr>
            <w:cnfStyle w:val="001000000000" w:firstRow="0" w:lastRow="0" w:firstColumn="1" w:lastColumn="0" w:oddVBand="0" w:evenVBand="0" w:oddHBand="0" w:evenHBand="0" w:firstRowFirstColumn="0" w:firstRowLastColumn="0" w:lastRowFirstColumn="0" w:lastRowLastColumn="0"/>
            <w:tcW w:w="1227" w:type="dxa"/>
          </w:tcPr>
          <w:p w14:paraId="049D39D1" w14:textId="2C4F3A3E" w:rsidR="00672732" w:rsidRPr="0067507D" w:rsidRDefault="00672732" w:rsidP="00672732">
            <w:pPr>
              <w:pStyle w:val="Tabletext"/>
            </w:pPr>
            <w:r w:rsidRPr="0067507D">
              <w:t>SES</w:t>
            </w:r>
            <w:r w:rsidR="006A5485">
              <w:noBreakHyphen/>
            </w:r>
            <w:r w:rsidRPr="0067507D">
              <w:t>2</w:t>
            </w:r>
          </w:p>
        </w:tc>
        <w:tc>
          <w:tcPr>
            <w:cnfStyle w:val="000010000000" w:firstRow="0" w:lastRow="0" w:firstColumn="0" w:lastColumn="0" w:oddVBand="1" w:evenVBand="0" w:oddHBand="0" w:evenHBand="0" w:firstRowFirstColumn="0" w:firstRowLastColumn="0" w:lastRowFirstColumn="0" w:lastRowLastColumn="0"/>
            <w:tcW w:w="592" w:type="dxa"/>
          </w:tcPr>
          <w:p w14:paraId="1EBFAF04" w14:textId="383FBF05" w:rsidR="00672732" w:rsidRPr="0067507D" w:rsidRDefault="00225B0F" w:rsidP="00672732">
            <w:pPr>
              <w:pStyle w:val="Tabletextright"/>
              <w:rPr>
                <w:szCs w:val="15"/>
              </w:rPr>
            </w:pPr>
            <w:r w:rsidRPr="0067507D">
              <w:t>4</w:t>
            </w:r>
          </w:p>
        </w:tc>
        <w:tc>
          <w:tcPr>
            <w:cnfStyle w:val="000001000000" w:firstRow="0" w:lastRow="0" w:firstColumn="0" w:lastColumn="0" w:oddVBand="0" w:evenVBand="1" w:oddHBand="0" w:evenHBand="0" w:firstRowFirstColumn="0" w:firstRowLastColumn="0" w:lastRowFirstColumn="0" w:lastRowLastColumn="0"/>
            <w:tcW w:w="593" w:type="dxa"/>
          </w:tcPr>
          <w:p w14:paraId="3AA9E6BF" w14:textId="008FF7B7" w:rsidR="00672732" w:rsidRPr="0067507D" w:rsidRDefault="00225B0F" w:rsidP="00672732">
            <w:pPr>
              <w:pStyle w:val="Tabletextright"/>
              <w:rPr>
                <w:szCs w:val="15"/>
              </w:rPr>
            </w:pPr>
            <w:r w:rsidRPr="0067507D">
              <w:t>4</w:t>
            </w:r>
          </w:p>
        </w:tc>
        <w:tc>
          <w:tcPr>
            <w:cnfStyle w:val="000010000000" w:firstRow="0" w:lastRow="0" w:firstColumn="0" w:lastColumn="0" w:oddVBand="1" w:evenVBand="0" w:oddHBand="0" w:evenHBand="0" w:firstRowFirstColumn="0" w:firstRowLastColumn="0" w:lastRowFirstColumn="0" w:lastRowLastColumn="0"/>
            <w:tcW w:w="592" w:type="dxa"/>
          </w:tcPr>
          <w:p w14:paraId="2306135E" w14:textId="29627712" w:rsidR="00672732" w:rsidRPr="0067507D" w:rsidRDefault="000A55B5" w:rsidP="00672732">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3B21B8CB" w14:textId="6F9AA7FF" w:rsidR="00672732" w:rsidRPr="0067507D" w:rsidRDefault="00225B0F" w:rsidP="00672732">
            <w:pPr>
              <w:pStyle w:val="Tabletextright"/>
              <w:rPr>
                <w:szCs w:val="15"/>
              </w:rPr>
            </w:pPr>
            <w:r w:rsidRPr="0067507D">
              <w:t>3</w:t>
            </w:r>
          </w:p>
        </w:tc>
        <w:tc>
          <w:tcPr>
            <w:cnfStyle w:val="000010000000" w:firstRow="0" w:lastRow="0" w:firstColumn="0" w:lastColumn="0" w:oddVBand="1" w:evenVBand="0" w:oddHBand="0" w:evenHBand="0" w:firstRowFirstColumn="0" w:firstRowLastColumn="0" w:lastRowFirstColumn="0" w:lastRowLastColumn="0"/>
            <w:tcW w:w="592" w:type="dxa"/>
          </w:tcPr>
          <w:p w14:paraId="17BB0DB4" w14:textId="1B2BC901" w:rsidR="00672732" w:rsidRPr="0067507D" w:rsidRDefault="00225B0F" w:rsidP="00672732">
            <w:pPr>
              <w:pStyle w:val="Tabletextright"/>
              <w:rPr>
                <w:szCs w:val="15"/>
              </w:rPr>
            </w:pPr>
            <w:r w:rsidRPr="0067507D">
              <w:t>3</w:t>
            </w:r>
          </w:p>
        </w:tc>
        <w:tc>
          <w:tcPr>
            <w:cnfStyle w:val="000001000000" w:firstRow="0" w:lastRow="0" w:firstColumn="0" w:lastColumn="0" w:oddVBand="0" w:evenVBand="1" w:oddHBand="0" w:evenHBand="0" w:firstRowFirstColumn="0" w:firstRowLastColumn="0" w:lastRowFirstColumn="0" w:lastRowLastColumn="0"/>
            <w:tcW w:w="593" w:type="dxa"/>
          </w:tcPr>
          <w:p w14:paraId="7E097094" w14:textId="32D41E0A" w:rsidR="00672732" w:rsidRPr="0067507D" w:rsidRDefault="000A55B5" w:rsidP="00672732">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4B30D4D4" w14:textId="72FDF07E" w:rsidR="00672732" w:rsidRPr="0067507D" w:rsidRDefault="000A55B5" w:rsidP="00672732">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2B61949F" w14:textId="01B6587D" w:rsidR="00672732" w:rsidRPr="0067507D" w:rsidRDefault="000A55B5" w:rsidP="00672732">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598F55CD" w14:textId="4010B8A1" w:rsidR="00672732" w:rsidRPr="0067507D" w:rsidRDefault="000A55B5" w:rsidP="00672732">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6ADB8298" w14:textId="18DF951F" w:rsidR="00672732" w:rsidRPr="0067507D" w:rsidRDefault="00225B0F" w:rsidP="00672732">
            <w:pPr>
              <w:pStyle w:val="Tabletextright"/>
              <w:rPr>
                <w:szCs w:val="15"/>
              </w:rPr>
            </w:pPr>
            <w:r w:rsidRPr="0067507D">
              <w:t>7</w:t>
            </w:r>
          </w:p>
        </w:tc>
        <w:tc>
          <w:tcPr>
            <w:cnfStyle w:val="000010000000" w:firstRow="0" w:lastRow="0" w:firstColumn="0" w:lastColumn="0" w:oddVBand="1" w:evenVBand="0" w:oddHBand="0" w:evenHBand="0" w:firstRowFirstColumn="0" w:firstRowLastColumn="0" w:lastRowFirstColumn="0" w:lastRowLastColumn="0"/>
            <w:tcW w:w="592" w:type="dxa"/>
          </w:tcPr>
          <w:p w14:paraId="022DFB5B" w14:textId="54687E88" w:rsidR="00672732" w:rsidRPr="0067507D" w:rsidRDefault="00225B0F" w:rsidP="00672732">
            <w:pPr>
              <w:pStyle w:val="Tabletextright"/>
              <w:rPr>
                <w:szCs w:val="15"/>
              </w:rPr>
            </w:pPr>
            <w:r w:rsidRPr="0067507D">
              <w:t>7</w:t>
            </w:r>
          </w:p>
        </w:tc>
        <w:tc>
          <w:tcPr>
            <w:cnfStyle w:val="000001000000" w:firstRow="0" w:lastRow="0" w:firstColumn="0" w:lastColumn="0" w:oddVBand="0" w:evenVBand="1" w:oddHBand="0" w:evenHBand="0" w:firstRowFirstColumn="0" w:firstRowLastColumn="0" w:lastRowFirstColumn="0" w:lastRowLastColumn="0"/>
            <w:tcW w:w="593" w:type="dxa"/>
          </w:tcPr>
          <w:p w14:paraId="39108888" w14:textId="61C4F060" w:rsidR="00672732" w:rsidRPr="0067507D" w:rsidRDefault="000A55B5" w:rsidP="00672732">
            <w:pPr>
              <w:pStyle w:val="Tabletextright"/>
              <w:rPr>
                <w:szCs w:val="15"/>
              </w:rPr>
            </w:pPr>
            <w:r w:rsidRPr="0067507D">
              <w:t>–</w:t>
            </w:r>
          </w:p>
        </w:tc>
      </w:tr>
      <w:tr w:rsidR="00481F0E" w:rsidRPr="0067507D" w14:paraId="5BFCFF5D" w14:textId="77777777" w:rsidTr="007810BE">
        <w:tc>
          <w:tcPr>
            <w:cnfStyle w:val="001000000000" w:firstRow="0" w:lastRow="0" w:firstColumn="1" w:lastColumn="0" w:oddVBand="0" w:evenVBand="0" w:oddHBand="0" w:evenHBand="0" w:firstRowFirstColumn="0" w:firstRowLastColumn="0" w:lastRowFirstColumn="0" w:lastRowLastColumn="0"/>
            <w:tcW w:w="1227" w:type="dxa"/>
          </w:tcPr>
          <w:p w14:paraId="5F9B2D11" w14:textId="49E8FAEE" w:rsidR="00672732" w:rsidRPr="0067507D" w:rsidRDefault="00672732" w:rsidP="00672732">
            <w:pPr>
              <w:pStyle w:val="Tabletext"/>
            </w:pPr>
            <w:r w:rsidRPr="0067507D">
              <w:t>SES</w:t>
            </w:r>
            <w:r w:rsidR="006A5485">
              <w:noBreakHyphen/>
            </w:r>
            <w:r w:rsidRPr="0067507D">
              <w:t>1</w:t>
            </w:r>
          </w:p>
        </w:tc>
        <w:tc>
          <w:tcPr>
            <w:cnfStyle w:val="000010000000" w:firstRow="0" w:lastRow="0" w:firstColumn="0" w:lastColumn="0" w:oddVBand="1" w:evenVBand="0" w:oddHBand="0" w:evenHBand="0" w:firstRowFirstColumn="0" w:firstRowLastColumn="0" w:lastRowFirstColumn="0" w:lastRowLastColumn="0"/>
            <w:tcW w:w="592" w:type="dxa"/>
          </w:tcPr>
          <w:p w14:paraId="5F1CDFAF" w14:textId="545A2445" w:rsidR="00672732" w:rsidRPr="0067507D" w:rsidRDefault="00225B0F" w:rsidP="00672732">
            <w:pPr>
              <w:pStyle w:val="Tabletextright"/>
              <w:rPr>
                <w:szCs w:val="15"/>
              </w:rPr>
            </w:pPr>
            <w:r w:rsidRPr="0067507D">
              <w:t>3</w:t>
            </w:r>
          </w:p>
        </w:tc>
        <w:tc>
          <w:tcPr>
            <w:cnfStyle w:val="000001000000" w:firstRow="0" w:lastRow="0" w:firstColumn="0" w:lastColumn="0" w:oddVBand="0" w:evenVBand="1" w:oddHBand="0" w:evenHBand="0" w:firstRowFirstColumn="0" w:firstRowLastColumn="0" w:lastRowFirstColumn="0" w:lastRowLastColumn="0"/>
            <w:tcW w:w="593" w:type="dxa"/>
          </w:tcPr>
          <w:p w14:paraId="71BE15BC" w14:textId="3A8E5A15" w:rsidR="00672732" w:rsidRPr="0067507D" w:rsidRDefault="000A55B5" w:rsidP="00672732">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2454D358" w14:textId="08F0949E" w:rsidR="00672732" w:rsidRPr="0067507D" w:rsidRDefault="00225B0F" w:rsidP="00672732">
            <w:pPr>
              <w:pStyle w:val="Tabletextright"/>
              <w:rPr>
                <w:szCs w:val="15"/>
              </w:rPr>
            </w:pPr>
            <w:r w:rsidRPr="0067507D">
              <w:t>3</w:t>
            </w:r>
          </w:p>
        </w:tc>
        <w:tc>
          <w:tcPr>
            <w:cnfStyle w:val="000001000000" w:firstRow="0" w:lastRow="0" w:firstColumn="0" w:lastColumn="0" w:oddVBand="0" w:evenVBand="1" w:oddHBand="0" w:evenHBand="0" w:firstRowFirstColumn="0" w:firstRowLastColumn="0" w:lastRowFirstColumn="0" w:lastRowLastColumn="0"/>
            <w:tcW w:w="593" w:type="dxa"/>
          </w:tcPr>
          <w:p w14:paraId="653CAF28" w14:textId="10822EFE" w:rsidR="00672732" w:rsidRPr="0067507D" w:rsidRDefault="00225B0F" w:rsidP="00672732">
            <w:pPr>
              <w:pStyle w:val="Tabletextright"/>
              <w:rPr>
                <w:szCs w:val="15"/>
              </w:rPr>
            </w:pPr>
            <w:r w:rsidRPr="0067507D">
              <w:t>4</w:t>
            </w:r>
          </w:p>
        </w:tc>
        <w:tc>
          <w:tcPr>
            <w:cnfStyle w:val="000010000000" w:firstRow="0" w:lastRow="0" w:firstColumn="0" w:lastColumn="0" w:oddVBand="1" w:evenVBand="0" w:oddHBand="0" w:evenHBand="0" w:firstRowFirstColumn="0" w:firstRowLastColumn="0" w:lastRowFirstColumn="0" w:lastRowLastColumn="0"/>
            <w:tcW w:w="592" w:type="dxa"/>
          </w:tcPr>
          <w:p w14:paraId="641889B7" w14:textId="6D518596" w:rsidR="00672732" w:rsidRPr="0067507D" w:rsidRDefault="00225B0F" w:rsidP="00672732">
            <w:pPr>
              <w:pStyle w:val="Tabletextright"/>
              <w:rPr>
                <w:szCs w:val="15"/>
              </w:rPr>
            </w:pPr>
            <w:r w:rsidRPr="0067507D">
              <w:t>1</w:t>
            </w:r>
          </w:p>
        </w:tc>
        <w:tc>
          <w:tcPr>
            <w:cnfStyle w:val="000001000000" w:firstRow="0" w:lastRow="0" w:firstColumn="0" w:lastColumn="0" w:oddVBand="0" w:evenVBand="1" w:oddHBand="0" w:evenHBand="0" w:firstRowFirstColumn="0" w:firstRowLastColumn="0" w:lastRowFirstColumn="0" w:lastRowLastColumn="0"/>
            <w:tcW w:w="593" w:type="dxa"/>
          </w:tcPr>
          <w:p w14:paraId="1C6818CF" w14:textId="6B7EB7FC" w:rsidR="00672732" w:rsidRPr="0067507D" w:rsidRDefault="00225B0F" w:rsidP="00672732">
            <w:pPr>
              <w:pStyle w:val="Tabletextright"/>
              <w:rPr>
                <w:szCs w:val="15"/>
              </w:rPr>
            </w:pPr>
            <w:r w:rsidRPr="0067507D">
              <w:t>3</w:t>
            </w:r>
          </w:p>
        </w:tc>
        <w:tc>
          <w:tcPr>
            <w:cnfStyle w:val="000010000000" w:firstRow="0" w:lastRow="0" w:firstColumn="0" w:lastColumn="0" w:oddVBand="1" w:evenVBand="0" w:oddHBand="0" w:evenHBand="0" w:firstRowFirstColumn="0" w:firstRowLastColumn="0" w:lastRowFirstColumn="0" w:lastRowLastColumn="0"/>
            <w:tcW w:w="592" w:type="dxa"/>
          </w:tcPr>
          <w:p w14:paraId="608C832E" w14:textId="043F0577" w:rsidR="00672732" w:rsidRPr="0067507D" w:rsidRDefault="000A55B5" w:rsidP="00672732">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09916E94" w14:textId="13D7E637" w:rsidR="00672732" w:rsidRPr="0067507D" w:rsidRDefault="000A55B5" w:rsidP="00672732">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2B4BE8B4" w14:textId="249B510A" w:rsidR="00672732" w:rsidRPr="0067507D" w:rsidRDefault="000A55B5" w:rsidP="00672732">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1A2AF911" w14:textId="73677E7C" w:rsidR="00672732" w:rsidRPr="0067507D" w:rsidRDefault="00F934F2" w:rsidP="00672732">
            <w:pPr>
              <w:pStyle w:val="Tabletextright"/>
              <w:rPr>
                <w:szCs w:val="15"/>
              </w:rPr>
            </w:pPr>
            <w:r w:rsidRPr="0067507D">
              <w:t>7</w:t>
            </w:r>
          </w:p>
        </w:tc>
        <w:tc>
          <w:tcPr>
            <w:cnfStyle w:val="000010000000" w:firstRow="0" w:lastRow="0" w:firstColumn="0" w:lastColumn="0" w:oddVBand="1" w:evenVBand="0" w:oddHBand="0" w:evenHBand="0" w:firstRowFirstColumn="0" w:firstRowLastColumn="0" w:lastRowFirstColumn="0" w:lastRowLastColumn="0"/>
            <w:tcW w:w="592" w:type="dxa"/>
          </w:tcPr>
          <w:p w14:paraId="7DA1B313" w14:textId="34D5557F" w:rsidR="00672732" w:rsidRPr="0067507D" w:rsidRDefault="00225B0F" w:rsidP="00672732">
            <w:pPr>
              <w:pStyle w:val="Tabletextright"/>
              <w:rPr>
                <w:szCs w:val="15"/>
              </w:rPr>
            </w:pPr>
            <w:r w:rsidRPr="0067507D">
              <w:t>1</w:t>
            </w:r>
          </w:p>
        </w:tc>
        <w:tc>
          <w:tcPr>
            <w:cnfStyle w:val="000001000000" w:firstRow="0" w:lastRow="0" w:firstColumn="0" w:lastColumn="0" w:oddVBand="0" w:evenVBand="1" w:oddHBand="0" w:evenHBand="0" w:firstRowFirstColumn="0" w:firstRowLastColumn="0" w:lastRowFirstColumn="0" w:lastRowLastColumn="0"/>
            <w:tcW w:w="593" w:type="dxa"/>
          </w:tcPr>
          <w:p w14:paraId="3F5FDF0E" w14:textId="646C5B2C" w:rsidR="00672732" w:rsidRPr="0067507D" w:rsidRDefault="00F934F2" w:rsidP="00672732">
            <w:pPr>
              <w:pStyle w:val="Tabletextright"/>
              <w:rPr>
                <w:szCs w:val="15"/>
              </w:rPr>
            </w:pPr>
            <w:r w:rsidRPr="0067507D">
              <w:t>6</w:t>
            </w:r>
          </w:p>
        </w:tc>
      </w:tr>
      <w:tr w:rsidR="00481F0E" w:rsidRPr="0067507D" w14:paraId="308662C6" w14:textId="77777777" w:rsidTr="007810BE">
        <w:tc>
          <w:tcPr>
            <w:cnfStyle w:val="001000000000" w:firstRow="0" w:lastRow="0" w:firstColumn="1" w:lastColumn="0" w:oddVBand="0" w:evenVBand="0" w:oddHBand="0" w:evenHBand="0" w:firstRowFirstColumn="0" w:firstRowLastColumn="0" w:lastRowFirstColumn="0" w:lastRowLastColumn="0"/>
            <w:tcW w:w="1227" w:type="dxa"/>
          </w:tcPr>
          <w:p w14:paraId="13DD867A" w14:textId="77777777" w:rsidR="00672732" w:rsidRPr="0067507D" w:rsidRDefault="00672732" w:rsidP="00672732">
            <w:pPr>
              <w:pStyle w:val="Tabletextbold"/>
            </w:pPr>
            <w:r w:rsidRPr="0067507D">
              <w:t>Total</w:t>
            </w:r>
          </w:p>
        </w:tc>
        <w:tc>
          <w:tcPr>
            <w:cnfStyle w:val="000010000000" w:firstRow="0" w:lastRow="0" w:firstColumn="0" w:lastColumn="0" w:oddVBand="1" w:evenVBand="0" w:oddHBand="0" w:evenHBand="0" w:firstRowFirstColumn="0" w:firstRowLastColumn="0" w:lastRowFirstColumn="0" w:lastRowLastColumn="0"/>
            <w:tcW w:w="592" w:type="dxa"/>
          </w:tcPr>
          <w:p w14:paraId="347CBB2E" w14:textId="179040F1" w:rsidR="00672732" w:rsidRPr="0067507D" w:rsidRDefault="00225B0F" w:rsidP="00672732">
            <w:pPr>
              <w:pStyle w:val="Tabletextrightbold"/>
              <w:rPr>
                <w:szCs w:val="15"/>
              </w:rPr>
            </w:pPr>
            <w:r w:rsidRPr="0067507D">
              <w:t>8</w:t>
            </w:r>
          </w:p>
        </w:tc>
        <w:tc>
          <w:tcPr>
            <w:cnfStyle w:val="000001000000" w:firstRow="0" w:lastRow="0" w:firstColumn="0" w:lastColumn="0" w:oddVBand="0" w:evenVBand="1" w:oddHBand="0" w:evenHBand="0" w:firstRowFirstColumn="0" w:firstRowLastColumn="0" w:lastRowFirstColumn="0" w:lastRowLastColumn="0"/>
            <w:tcW w:w="593" w:type="dxa"/>
          </w:tcPr>
          <w:p w14:paraId="3025AAC7" w14:textId="14182C01" w:rsidR="00672732" w:rsidRPr="0067507D" w:rsidRDefault="00225B0F" w:rsidP="00672732">
            <w:pPr>
              <w:pStyle w:val="Tabletextrightbold"/>
              <w:rPr>
                <w:szCs w:val="15"/>
              </w:rPr>
            </w:pPr>
            <w:r w:rsidRPr="0067507D">
              <w:t>5</w:t>
            </w:r>
          </w:p>
        </w:tc>
        <w:tc>
          <w:tcPr>
            <w:cnfStyle w:val="000010000000" w:firstRow="0" w:lastRow="0" w:firstColumn="0" w:lastColumn="0" w:oddVBand="1" w:evenVBand="0" w:oddHBand="0" w:evenHBand="0" w:firstRowFirstColumn="0" w:firstRowLastColumn="0" w:lastRowFirstColumn="0" w:lastRowLastColumn="0"/>
            <w:tcW w:w="592" w:type="dxa"/>
          </w:tcPr>
          <w:p w14:paraId="301570AE" w14:textId="7E5CDCA7" w:rsidR="00672732" w:rsidRPr="0067507D" w:rsidRDefault="00225B0F" w:rsidP="00672732">
            <w:pPr>
              <w:pStyle w:val="Tabletextrightbold"/>
              <w:rPr>
                <w:szCs w:val="15"/>
              </w:rPr>
            </w:pPr>
            <w:r w:rsidRPr="0067507D">
              <w:t>3</w:t>
            </w:r>
          </w:p>
        </w:tc>
        <w:tc>
          <w:tcPr>
            <w:cnfStyle w:val="000001000000" w:firstRow="0" w:lastRow="0" w:firstColumn="0" w:lastColumn="0" w:oddVBand="0" w:evenVBand="1" w:oddHBand="0" w:evenHBand="0" w:firstRowFirstColumn="0" w:firstRowLastColumn="0" w:lastRowFirstColumn="0" w:lastRowLastColumn="0"/>
            <w:tcW w:w="593" w:type="dxa"/>
          </w:tcPr>
          <w:p w14:paraId="41909BA0" w14:textId="4B89FF02" w:rsidR="00672732" w:rsidRPr="0067507D" w:rsidRDefault="00225B0F" w:rsidP="00672732">
            <w:pPr>
              <w:pStyle w:val="Tabletextrightbold"/>
              <w:rPr>
                <w:szCs w:val="15"/>
              </w:rPr>
            </w:pPr>
            <w:r w:rsidRPr="0067507D">
              <w:t>7</w:t>
            </w:r>
          </w:p>
        </w:tc>
        <w:tc>
          <w:tcPr>
            <w:cnfStyle w:val="000010000000" w:firstRow="0" w:lastRow="0" w:firstColumn="0" w:lastColumn="0" w:oddVBand="1" w:evenVBand="0" w:oddHBand="0" w:evenHBand="0" w:firstRowFirstColumn="0" w:firstRowLastColumn="0" w:lastRowFirstColumn="0" w:lastRowLastColumn="0"/>
            <w:tcW w:w="592" w:type="dxa"/>
          </w:tcPr>
          <w:p w14:paraId="63AF2FDA" w14:textId="0808D1D0" w:rsidR="00672732" w:rsidRPr="0067507D" w:rsidRDefault="00225B0F" w:rsidP="00672732">
            <w:pPr>
              <w:pStyle w:val="Tabletextrightbold"/>
              <w:rPr>
                <w:szCs w:val="15"/>
              </w:rPr>
            </w:pPr>
            <w:r w:rsidRPr="0067507D">
              <w:t>4</w:t>
            </w:r>
          </w:p>
        </w:tc>
        <w:tc>
          <w:tcPr>
            <w:cnfStyle w:val="000001000000" w:firstRow="0" w:lastRow="0" w:firstColumn="0" w:lastColumn="0" w:oddVBand="0" w:evenVBand="1" w:oddHBand="0" w:evenHBand="0" w:firstRowFirstColumn="0" w:firstRowLastColumn="0" w:lastRowFirstColumn="0" w:lastRowLastColumn="0"/>
            <w:tcW w:w="593" w:type="dxa"/>
          </w:tcPr>
          <w:p w14:paraId="52CB9928" w14:textId="5565C31F" w:rsidR="00672732" w:rsidRPr="0067507D" w:rsidRDefault="00225B0F" w:rsidP="00672732">
            <w:pPr>
              <w:pStyle w:val="Tabletextrightbold"/>
              <w:rPr>
                <w:szCs w:val="15"/>
              </w:rPr>
            </w:pPr>
            <w:r w:rsidRPr="0067507D">
              <w:t>3</w:t>
            </w:r>
          </w:p>
        </w:tc>
        <w:tc>
          <w:tcPr>
            <w:cnfStyle w:val="000010000000" w:firstRow="0" w:lastRow="0" w:firstColumn="0" w:lastColumn="0" w:oddVBand="1" w:evenVBand="0" w:oddHBand="0" w:evenHBand="0" w:firstRowFirstColumn="0" w:firstRowLastColumn="0" w:lastRowFirstColumn="0" w:lastRowLastColumn="0"/>
            <w:tcW w:w="592" w:type="dxa"/>
          </w:tcPr>
          <w:p w14:paraId="67BF8100" w14:textId="64964C4E" w:rsidR="00672732" w:rsidRPr="0067507D" w:rsidRDefault="000A55B5" w:rsidP="00672732">
            <w:pPr>
              <w:pStyle w:val="Tabletextrightbold"/>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38C4C54D" w14:textId="3E1B410D" w:rsidR="00672732" w:rsidRPr="0067507D" w:rsidRDefault="000A55B5" w:rsidP="00672732">
            <w:pPr>
              <w:pStyle w:val="Tabletextrightbold"/>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6FD1EED1" w14:textId="02C60FA5" w:rsidR="00672732" w:rsidRPr="0067507D" w:rsidRDefault="000A55B5" w:rsidP="00672732">
            <w:pPr>
              <w:pStyle w:val="Tabletextrightbold"/>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63C3AB94" w14:textId="2BF29834" w:rsidR="00672732" w:rsidRPr="0067507D" w:rsidRDefault="00225B0F" w:rsidP="00672732">
            <w:pPr>
              <w:pStyle w:val="Tabletextrightbold"/>
              <w:rPr>
                <w:szCs w:val="15"/>
              </w:rPr>
            </w:pPr>
            <w:r w:rsidRPr="0067507D">
              <w:t>1</w:t>
            </w:r>
            <w:r w:rsidR="00F934F2" w:rsidRPr="0067507D">
              <w:t>5</w:t>
            </w:r>
          </w:p>
        </w:tc>
        <w:tc>
          <w:tcPr>
            <w:cnfStyle w:val="000010000000" w:firstRow="0" w:lastRow="0" w:firstColumn="0" w:lastColumn="0" w:oddVBand="1" w:evenVBand="0" w:oddHBand="0" w:evenHBand="0" w:firstRowFirstColumn="0" w:firstRowLastColumn="0" w:lastRowFirstColumn="0" w:lastRowLastColumn="0"/>
            <w:tcW w:w="592" w:type="dxa"/>
          </w:tcPr>
          <w:p w14:paraId="649A3D15" w14:textId="3FB41865" w:rsidR="00672732" w:rsidRPr="0067507D" w:rsidRDefault="00225B0F" w:rsidP="00672732">
            <w:pPr>
              <w:pStyle w:val="Tabletextrightbold"/>
              <w:rPr>
                <w:szCs w:val="15"/>
              </w:rPr>
            </w:pPr>
            <w:r w:rsidRPr="0067507D">
              <w:t>9</w:t>
            </w:r>
          </w:p>
        </w:tc>
        <w:tc>
          <w:tcPr>
            <w:cnfStyle w:val="000001000000" w:firstRow="0" w:lastRow="0" w:firstColumn="0" w:lastColumn="0" w:oddVBand="0" w:evenVBand="1" w:oddHBand="0" w:evenHBand="0" w:firstRowFirstColumn="0" w:firstRowLastColumn="0" w:lastRowFirstColumn="0" w:lastRowLastColumn="0"/>
            <w:tcW w:w="593" w:type="dxa"/>
          </w:tcPr>
          <w:p w14:paraId="0C263330" w14:textId="14C5C7FA" w:rsidR="00672732" w:rsidRPr="0067507D" w:rsidRDefault="00F934F2" w:rsidP="00672732">
            <w:pPr>
              <w:pStyle w:val="Tabletextrightbold"/>
              <w:rPr>
                <w:szCs w:val="15"/>
              </w:rPr>
            </w:pPr>
            <w:r w:rsidRPr="0067507D">
              <w:t>6</w:t>
            </w:r>
          </w:p>
        </w:tc>
      </w:tr>
    </w:tbl>
    <w:p w14:paraId="22122D4D" w14:textId="77777777" w:rsidR="00E4332B" w:rsidRPr="0067507D" w:rsidRDefault="00E4332B" w:rsidP="00672732"/>
    <w:p w14:paraId="4188BD6D" w14:textId="266FE038" w:rsidR="0025475F" w:rsidRPr="0067507D" w:rsidRDefault="0025475F" w:rsidP="0025475F">
      <w:pPr>
        <w:pStyle w:val="Tableheading"/>
      </w:pPr>
      <w:r w:rsidRPr="0067507D">
        <w:lastRenderedPageBreak/>
        <w:t>Table 3 – Total number of executives for W</w:t>
      </w:r>
      <w:r w:rsidR="002F364B" w:rsidRPr="0067507D">
        <w:t xml:space="preserve">age </w:t>
      </w:r>
      <w:r w:rsidRPr="0067507D">
        <w:t>I</w:t>
      </w:r>
      <w:r w:rsidR="002F364B" w:rsidRPr="0067507D">
        <w:t xml:space="preserve">nspectorate </w:t>
      </w:r>
      <w:r w:rsidRPr="0067507D">
        <w:t>V</w:t>
      </w:r>
      <w:r w:rsidR="002F364B" w:rsidRPr="0067507D">
        <w:t>ictoria</w:t>
      </w:r>
      <w:r w:rsidRPr="0067507D">
        <w:t>, broken down into gender</w:t>
      </w:r>
    </w:p>
    <w:tbl>
      <w:tblPr>
        <w:tblStyle w:val="AnnualReportfinancialtable"/>
        <w:tblW w:w="8337" w:type="dxa"/>
        <w:tblInd w:w="-86" w:type="dxa"/>
        <w:tblLayout w:type="fixed"/>
        <w:tblLook w:val="02E0" w:firstRow="1" w:lastRow="1" w:firstColumn="1" w:lastColumn="0" w:noHBand="1" w:noVBand="0"/>
      </w:tblPr>
      <w:tblGrid>
        <w:gridCol w:w="1227"/>
        <w:gridCol w:w="592"/>
        <w:gridCol w:w="593"/>
        <w:gridCol w:w="592"/>
        <w:gridCol w:w="593"/>
        <w:gridCol w:w="592"/>
        <w:gridCol w:w="593"/>
        <w:gridCol w:w="592"/>
        <w:gridCol w:w="593"/>
        <w:gridCol w:w="592"/>
        <w:gridCol w:w="593"/>
        <w:gridCol w:w="592"/>
        <w:gridCol w:w="593"/>
      </w:tblGrid>
      <w:tr w:rsidR="00845541" w:rsidRPr="0067507D" w14:paraId="4F88DA67" w14:textId="77777777" w:rsidTr="007810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7" w:type="dxa"/>
          </w:tcPr>
          <w:p w14:paraId="3549BC9B" w14:textId="77777777" w:rsidR="002F364B" w:rsidRPr="0067507D" w:rsidRDefault="002F364B">
            <w:pPr>
              <w:pStyle w:val="Tabletextheadingleft"/>
              <w:spacing w:before="30" w:after="30"/>
            </w:pPr>
          </w:p>
        </w:tc>
        <w:tc>
          <w:tcPr>
            <w:cnfStyle w:val="000010000000" w:firstRow="0" w:lastRow="0" w:firstColumn="0" w:lastColumn="0" w:oddVBand="1" w:evenVBand="0" w:oddHBand="0" w:evenHBand="0" w:firstRowFirstColumn="0" w:firstRowLastColumn="0" w:lastRowFirstColumn="0" w:lastRowLastColumn="0"/>
            <w:tcW w:w="1777" w:type="dxa"/>
            <w:gridSpan w:val="3"/>
          </w:tcPr>
          <w:p w14:paraId="68D5592D" w14:textId="77777777" w:rsidR="002F364B" w:rsidRPr="0067507D" w:rsidRDefault="002F364B">
            <w:pPr>
              <w:pStyle w:val="Tabletextheadingcentred"/>
            </w:pPr>
            <w:r w:rsidRPr="0067507D">
              <w:t>Men</w:t>
            </w:r>
          </w:p>
        </w:tc>
        <w:tc>
          <w:tcPr>
            <w:cnfStyle w:val="000001000000" w:firstRow="0" w:lastRow="0" w:firstColumn="0" w:lastColumn="0" w:oddVBand="0" w:evenVBand="1" w:oddHBand="0" w:evenHBand="0" w:firstRowFirstColumn="0" w:firstRowLastColumn="0" w:lastRowFirstColumn="0" w:lastRowLastColumn="0"/>
            <w:tcW w:w="1778" w:type="dxa"/>
            <w:gridSpan w:val="3"/>
          </w:tcPr>
          <w:p w14:paraId="5BCB0F81" w14:textId="77777777" w:rsidR="002F364B" w:rsidRPr="0067507D" w:rsidRDefault="002F364B">
            <w:pPr>
              <w:pStyle w:val="Tabletextheadingcentred"/>
            </w:pPr>
            <w:r w:rsidRPr="0067507D">
              <w:t>Women</w:t>
            </w:r>
          </w:p>
        </w:tc>
        <w:tc>
          <w:tcPr>
            <w:cnfStyle w:val="000010000000" w:firstRow="0" w:lastRow="0" w:firstColumn="0" w:lastColumn="0" w:oddVBand="1" w:evenVBand="0" w:oddHBand="0" w:evenHBand="0" w:firstRowFirstColumn="0" w:firstRowLastColumn="0" w:lastRowFirstColumn="0" w:lastRowLastColumn="0"/>
            <w:tcW w:w="1777" w:type="dxa"/>
            <w:gridSpan w:val="3"/>
          </w:tcPr>
          <w:p w14:paraId="181EA0E1" w14:textId="3F21CA62" w:rsidR="002F364B" w:rsidRPr="0067507D" w:rsidRDefault="002F364B">
            <w:pPr>
              <w:pStyle w:val="Tabletextheadingcentred"/>
            </w:pPr>
            <w:r w:rsidRPr="0067507D">
              <w:t>Self</w:t>
            </w:r>
            <w:r w:rsidR="006A5485">
              <w:noBreakHyphen/>
            </w:r>
            <w:r w:rsidRPr="0067507D">
              <w:t>described</w:t>
            </w:r>
          </w:p>
        </w:tc>
        <w:tc>
          <w:tcPr>
            <w:cnfStyle w:val="000001000000" w:firstRow="0" w:lastRow="0" w:firstColumn="0" w:lastColumn="0" w:oddVBand="0" w:evenVBand="1" w:oddHBand="0" w:evenHBand="0" w:firstRowFirstColumn="0" w:firstRowLastColumn="0" w:lastRowFirstColumn="0" w:lastRowLastColumn="0"/>
            <w:tcW w:w="1778" w:type="dxa"/>
            <w:gridSpan w:val="3"/>
          </w:tcPr>
          <w:p w14:paraId="6A0EA97C" w14:textId="77777777" w:rsidR="002F364B" w:rsidRPr="0067507D" w:rsidRDefault="002F364B">
            <w:pPr>
              <w:pStyle w:val="Tabletextheadingcentred"/>
            </w:pPr>
            <w:r w:rsidRPr="0067507D">
              <w:t>All</w:t>
            </w:r>
          </w:p>
        </w:tc>
      </w:tr>
      <w:tr w:rsidR="00481F0E" w:rsidRPr="0067507D" w14:paraId="77CBEC0D" w14:textId="77777777" w:rsidTr="00FC7699">
        <w:tc>
          <w:tcPr>
            <w:cnfStyle w:val="001000000000" w:firstRow="0" w:lastRow="0" w:firstColumn="1" w:lastColumn="0" w:oddVBand="0" w:evenVBand="0" w:oddHBand="0" w:evenHBand="0" w:firstRowFirstColumn="0" w:firstRowLastColumn="0" w:lastRowFirstColumn="0" w:lastRowLastColumn="0"/>
            <w:tcW w:w="1227" w:type="dxa"/>
          </w:tcPr>
          <w:p w14:paraId="502F91E2" w14:textId="77777777" w:rsidR="002F364B" w:rsidRPr="0067507D" w:rsidRDefault="002F364B">
            <w:pPr>
              <w:pStyle w:val="Tabletextheadingleft"/>
              <w:spacing w:before="30" w:after="30"/>
              <w:rPr>
                <w:rFonts w:cs="Arial"/>
                <w:b/>
                <w:szCs w:val="17"/>
                <w:lang w:eastAsia="en-US"/>
              </w:rPr>
            </w:pPr>
            <w:r w:rsidRPr="0067507D">
              <w:t>Class</w:t>
            </w:r>
          </w:p>
        </w:tc>
        <w:tc>
          <w:tcPr>
            <w:cnfStyle w:val="000010000000" w:firstRow="0" w:lastRow="0" w:firstColumn="0" w:lastColumn="0" w:oddVBand="1" w:evenVBand="0" w:oddHBand="0" w:evenHBand="0" w:firstRowFirstColumn="0" w:firstRowLastColumn="0" w:lastRowFirstColumn="0" w:lastRowLastColumn="0"/>
            <w:tcW w:w="592" w:type="dxa"/>
          </w:tcPr>
          <w:p w14:paraId="4BFC7D97" w14:textId="0295876F" w:rsidR="002F364B" w:rsidRPr="0067507D" w:rsidRDefault="00DA27B1">
            <w:pPr>
              <w:pStyle w:val="Tabletextheadingright"/>
              <w:spacing w:before="30" w:after="30"/>
            </w:pPr>
            <w:r w:rsidRPr="0067507D">
              <w:t>2025</w:t>
            </w:r>
          </w:p>
        </w:tc>
        <w:tc>
          <w:tcPr>
            <w:cnfStyle w:val="000001000000" w:firstRow="0" w:lastRow="0" w:firstColumn="0" w:lastColumn="0" w:oddVBand="0" w:evenVBand="1" w:oddHBand="0" w:evenHBand="0" w:firstRowFirstColumn="0" w:firstRowLastColumn="0" w:lastRowFirstColumn="0" w:lastRowLastColumn="0"/>
            <w:tcW w:w="593" w:type="dxa"/>
          </w:tcPr>
          <w:p w14:paraId="306AF8AD" w14:textId="3D7956FC" w:rsidR="002F364B" w:rsidRPr="0067507D" w:rsidRDefault="00DA27B1">
            <w:pPr>
              <w:pStyle w:val="Tabletextheadingright"/>
              <w:spacing w:before="30" w:after="30"/>
            </w:pPr>
            <w:r w:rsidRPr="0067507D">
              <w:t>2024</w:t>
            </w:r>
          </w:p>
        </w:tc>
        <w:tc>
          <w:tcPr>
            <w:cnfStyle w:val="000010000000" w:firstRow="0" w:lastRow="0" w:firstColumn="0" w:lastColumn="0" w:oddVBand="1" w:evenVBand="0" w:oddHBand="0" w:evenHBand="0" w:firstRowFirstColumn="0" w:firstRowLastColumn="0" w:lastRowFirstColumn="0" w:lastRowLastColumn="0"/>
            <w:tcW w:w="592" w:type="dxa"/>
          </w:tcPr>
          <w:p w14:paraId="12D2D121" w14:textId="730ADB16" w:rsidR="002F364B" w:rsidRPr="0067507D" w:rsidRDefault="002F364B">
            <w:pPr>
              <w:pStyle w:val="Tabletextheadingright"/>
              <w:spacing w:before="30" w:after="30"/>
            </w:pPr>
            <w:r w:rsidRPr="0067507D">
              <w:t>Var</w:t>
            </w:r>
          </w:p>
        </w:tc>
        <w:tc>
          <w:tcPr>
            <w:cnfStyle w:val="000001000000" w:firstRow="0" w:lastRow="0" w:firstColumn="0" w:lastColumn="0" w:oddVBand="0" w:evenVBand="1" w:oddHBand="0" w:evenHBand="0" w:firstRowFirstColumn="0" w:firstRowLastColumn="0" w:lastRowFirstColumn="0" w:lastRowLastColumn="0"/>
            <w:tcW w:w="593" w:type="dxa"/>
          </w:tcPr>
          <w:p w14:paraId="3CAD8F05" w14:textId="0283CE29" w:rsidR="002F364B" w:rsidRPr="0067507D" w:rsidRDefault="00DA27B1">
            <w:pPr>
              <w:pStyle w:val="Tabletextheadingright"/>
              <w:spacing w:before="30" w:after="30"/>
            </w:pPr>
            <w:r w:rsidRPr="0067507D">
              <w:t>2025</w:t>
            </w:r>
          </w:p>
        </w:tc>
        <w:tc>
          <w:tcPr>
            <w:cnfStyle w:val="000010000000" w:firstRow="0" w:lastRow="0" w:firstColumn="0" w:lastColumn="0" w:oddVBand="1" w:evenVBand="0" w:oddHBand="0" w:evenHBand="0" w:firstRowFirstColumn="0" w:firstRowLastColumn="0" w:lastRowFirstColumn="0" w:lastRowLastColumn="0"/>
            <w:tcW w:w="592" w:type="dxa"/>
          </w:tcPr>
          <w:p w14:paraId="695476D9" w14:textId="1588B56B" w:rsidR="002F364B" w:rsidRPr="0067507D" w:rsidRDefault="00DA27B1">
            <w:pPr>
              <w:pStyle w:val="Tabletextheadingright"/>
              <w:spacing w:before="30" w:after="30"/>
            </w:pPr>
            <w:r w:rsidRPr="0067507D">
              <w:t>2024</w:t>
            </w:r>
          </w:p>
        </w:tc>
        <w:tc>
          <w:tcPr>
            <w:cnfStyle w:val="000001000000" w:firstRow="0" w:lastRow="0" w:firstColumn="0" w:lastColumn="0" w:oddVBand="0" w:evenVBand="1" w:oddHBand="0" w:evenHBand="0" w:firstRowFirstColumn="0" w:firstRowLastColumn="0" w:lastRowFirstColumn="0" w:lastRowLastColumn="0"/>
            <w:tcW w:w="593" w:type="dxa"/>
          </w:tcPr>
          <w:p w14:paraId="68606056" w14:textId="38A47808" w:rsidR="002F364B" w:rsidRPr="0067507D" w:rsidRDefault="002F364B">
            <w:pPr>
              <w:pStyle w:val="Tabletextheadingright"/>
              <w:spacing w:before="30" w:after="30"/>
            </w:pPr>
            <w:r w:rsidRPr="0067507D">
              <w:t>Var</w:t>
            </w:r>
          </w:p>
        </w:tc>
        <w:tc>
          <w:tcPr>
            <w:cnfStyle w:val="000010000000" w:firstRow="0" w:lastRow="0" w:firstColumn="0" w:lastColumn="0" w:oddVBand="1" w:evenVBand="0" w:oddHBand="0" w:evenHBand="0" w:firstRowFirstColumn="0" w:firstRowLastColumn="0" w:lastRowFirstColumn="0" w:lastRowLastColumn="0"/>
            <w:tcW w:w="592" w:type="dxa"/>
          </w:tcPr>
          <w:p w14:paraId="545CA699" w14:textId="189D9131" w:rsidR="002F364B" w:rsidRPr="0067507D" w:rsidRDefault="00DA27B1">
            <w:pPr>
              <w:pStyle w:val="Tabletextheadingright"/>
              <w:spacing w:before="30" w:after="30"/>
            </w:pPr>
            <w:r w:rsidRPr="0067507D">
              <w:t>2025</w:t>
            </w:r>
          </w:p>
        </w:tc>
        <w:tc>
          <w:tcPr>
            <w:cnfStyle w:val="000001000000" w:firstRow="0" w:lastRow="0" w:firstColumn="0" w:lastColumn="0" w:oddVBand="0" w:evenVBand="1" w:oddHBand="0" w:evenHBand="0" w:firstRowFirstColumn="0" w:firstRowLastColumn="0" w:lastRowFirstColumn="0" w:lastRowLastColumn="0"/>
            <w:tcW w:w="593" w:type="dxa"/>
          </w:tcPr>
          <w:p w14:paraId="01700FE1" w14:textId="6FD7C6CF" w:rsidR="002F364B" w:rsidRPr="0067507D" w:rsidRDefault="00DA27B1">
            <w:pPr>
              <w:pStyle w:val="Tabletextheadingright"/>
              <w:spacing w:before="30" w:after="30"/>
            </w:pPr>
            <w:r w:rsidRPr="0067507D">
              <w:t>2024</w:t>
            </w:r>
          </w:p>
        </w:tc>
        <w:tc>
          <w:tcPr>
            <w:cnfStyle w:val="000010000000" w:firstRow="0" w:lastRow="0" w:firstColumn="0" w:lastColumn="0" w:oddVBand="1" w:evenVBand="0" w:oddHBand="0" w:evenHBand="0" w:firstRowFirstColumn="0" w:firstRowLastColumn="0" w:lastRowFirstColumn="0" w:lastRowLastColumn="0"/>
            <w:tcW w:w="592" w:type="dxa"/>
          </w:tcPr>
          <w:p w14:paraId="431DEB7A" w14:textId="43F2F460" w:rsidR="002F364B" w:rsidRPr="0067507D" w:rsidRDefault="002F364B">
            <w:pPr>
              <w:pStyle w:val="Tabletextheadingright"/>
              <w:spacing w:before="30" w:after="30"/>
            </w:pPr>
            <w:r w:rsidRPr="0067507D">
              <w:t>Var</w:t>
            </w:r>
          </w:p>
        </w:tc>
        <w:tc>
          <w:tcPr>
            <w:cnfStyle w:val="000001000000" w:firstRow="0" w:lastRow="0" w:firstColumn="0" w:lastColumn="0" w:oddVBand="0" w:evenVBand="1" w:oddHBand="0" w:evenHBand="0" w:firstRowFirstColumn="0" w:firstRowLastColumn="0" w:lastRowFirstColumn="0" w:lastRowLastColumn="0"/>
            <w:tcW w:w="593" w:type="dxa"/>
          </w:tcPr>
          <w:p w14:paraId="6DDF7EC3" w14:textId="5A95E668" w:rsidR="002F364B" w:rsidRPr="0067507D" w:rsidRDefault="00DA27B1">
            <w:pPr>
              <w:pStyle w:val="Tabletextheadingright"/>
              <w:spacing w:before="30" w:after="30"/>
            </w:pPr>
            <w:r w:rsidRPr="0067507D">
              <w:t>2025</w:t>
            </w:r>
          </w:p>
        </w:tc>
        <w:tc>
          <w:tcPr>
            <w:cnfStyle w:val="000010000000" w:firstRow="0" w:lastRow="0" w:firstColumn="0" w:lastColumn="0" w:oddVBand="1" w:evenVBand="0" w:oddHBand="0" w:evenHBand="0" w:firstRowFirstColumn="0" w:firstRowLastColumn="0" w:lastRowFirstColumn="0" w:lastRowLastColumn="0"/>
            <w:tcW w:w="592" w:type="dxa"/>
          </w:tcPr>
          <w:p w14:paraId="320EE32C" w14:textId="43B51453" w:rsidR="002F364B" w:rsidRPr="0067507D" w:rsidRDefault="00DA27B1">
            <w:pPr>
              <w:pStyle w:val="Tabletextheadingright"/>
              <w:spacing w:before="30" w:after="30"/>
            </w:pPr>
            <w:r w:rsidRPr="0067507D">
              <w:t>2024</w:t>
            </w:r>
          </w:p>
        </w:tc>
        <w:tc>
          <w:tcPr>
            <w:cnfStyle w:val="000001000000" w:firstRow="0" w:lastRow="0" w:firstColumn="0" w:lastColumn="0" w:oddVBand="0" w:evenVBand="1" w:oddHBand="0" w:evenHBand="0" w:firstRowFirstColumn="0" w:firstRowLastColumn="0" w:lastRowFirstColumn="0" w:lastRowLastColumn="0"/>
            <w:tcW w:w="593" w:type="dxa"/>
          </w:tcPr>
          <w:p w14:paraId="002DCADB" w14:textId="14D98740" w:rsidR="002F364B" w:rsidRPr="0067507D" w:rsidRDefault="002F364B">
            <w:pPr>
              <w:pStyle w:val="Tabletextheadingright"/>
              <w:spacing w:before="30" w:after="30"/>
            </w:pPr>
            <w:r w:rsidRPr="0067507D">
              <w:t>Var</w:t>
            </w:r>
          </w:p>
        </w:tc>
      </w:tr>
      <w:tr w:rsidR="00481F0E" w:rsidRPr="0067507D" w14:paraId="5219E353" w14:textId="77777777" w:rsidTr="007810BE">
        <w:tc>
          <w:tcPr>
            <w:cnfStyle w:val="001000000000" w:firstRow="0" w:lastRow="0" w:firstColumn="1" w:lastColumn="0" w:oddVBand="0" w:evenVBand="0" w:oddHBand="0" w:evenHBand="0" w:firstRowFirstColumn="0" w:firstRowLastColumn="0" w:lastRowFirstColumn="0" w:lastRowLastColumn="0"/>
            <w:tcW w:w="1227" w:type="dxa"/>
          </w:tcPr>
          <w:p w14:paraId="652BAD47" w14:textId="45EA0B08" w:rsidR="002F364B" w:rsidRPr="0067507D" w:rsidRDefault="002F364B">
            <w:pPr>
              <w:pStyle w:val="Tabletext"/>
            </w:pPr>
            <w:r w:rsidRPr="0067507D">
              <w:t>SES</w:t>
            </w:r>
            <w:r w:rsidR="006A5485">
              <w:noBreakHyphen/>
            </w:r>
            <w:r w:rsidRPr="0067507D">
              <w:t>3</w:t>
            </w:r>
          </w:p>
        </w:tc>
        <w:tc>
          <w:tcPr>
            <w:cnfStyle w:val="000010000000" w:firstRow="0" w:lastRow="0" w:firstColumn="0" w:lastColumn="0" w:oddVBand="1" w:evenVBand="0" w:oddHBand="0" w:evenHBand="0" w:firstRowFirstColumn="0" w:firstRowLastColumn="0" w:lastRowFirstColumn="0" w:lastRowLastColumn="0"/>
            <w:tcW w:w="592" w:type="dxa"/>
          </w:tcPr>
          <w:p w14:paraId="57A35D13" w14:textId="45D34E96"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31368B67" w14:textId="3D2CD64C"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148EBEAB" w14:textId="5937906C"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43356E34" w14:textId="45E1FF93"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73D190B0" w14:textId="1CCAD0F9"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49A89AEF" w14:textId="733E5F97"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644CAB59" w14:textId="2B10590A"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6C565E14" w14:textId="598084D8"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486422EC" w14:textId="5445C377"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449C82BD" w14:textId="2D480290"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43505FAE" w14:textId="47DDD27C"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7D7379F0" w14:textId="0226EB5A" w:rsidR="002F364B" w:rsidRPr="0067507D" w:rsidRDefault="000A55B5">
            <w:pPr>
              <w:pStyle w:val="Tabletextright"/>
              <w:rPr>
                <w:szCs w:val="15"/>
              </w:rPr>
            </w:pPr>
            <w:r w:rsidRPr="0067507D">
              <w:t>–</w:t>
            </w:r>
          </w:p>
        </w:tc>
      </w:tr>
      <w:tr w:rsidR="00481F0E" w:rsidRPr="0067507D" w14:paraId="2DB46DE5" w14:textId="77777777" w:rsidTr="007810BE">
        <w:tc>
          <w:tcPr>
            <w:cnfStyle w:val="001000000000" w:firstRow="0" w:lastRow="0" w:firstColumn="1" w:lastColumn="0" w:oddVBand="0" w:evenVBand="0" w:oddHBand="0" w:evenHBand="0" w:firstRowFirstColumn="0" w:firstRowLastColumn="0" w:lastRowFirstColumn="0" w:lastRowLastColumn="0"/>
            <w:tcW w:w="1227" w:type="dxa"/>
          </w:tcPr>
          <w:p w14:paraId="4632B9CC" w14:textId="67C83D3F" w:rsidR="002F364B" w:rsidRPr="0067507D" w:rsidRDefault="002F364B">
            <w:pPr>
              <w:pStyle w:val="Tabletext"/>
            </w:pPr>
            <w:r w:rsidRPr="0067507D">
              <w:t>SES</w:t>
            </w:r>
            <w:r w:rsidR="006A5485">
              <w:noBreakHyphen/>
            </w:r>
            <w:r w:rsidRPr="0067507D">
              <w:t>2</w:t>
            </w:r>
          </w:p>
        </w:tc>
        <w:tc>
          <w:tcPr>
            <w:cnfStyle w:val="000010000000" w:firstRow="0" w:lastRow="0" w:firstColumn="0" w:lastColumn="0" w:oddVBand="1" w:evenVBand="0" w:oddHBand="0" w:evenHBand="0" w:firstRowFirstColumn="0" w:firstRowLastColumn="0" w:lastRowFirstColumn="0" w:lastRowLastColumn="0"/>
            <w:tcW w:w="592" w:type="dxa"/>
          </w:tcPr>
          <w:p w14:paraId="230EAE5D" w14:textId="184B7695"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0543E4CE" w14:textId="005E994A"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18AD5D19" w14:textId="44EA4798"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4DD94CA4" w14:textId="4A6062D9"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245E1123" w14:textId="62D62D91"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47C43239" w14:textId="69E47AC1"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4CC78BA0" w14:textId="086A56C7"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1E444794" w14:textId="1033AFCB"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3C7AB30F" w14:textId="53BEF3C1"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4A342C6D" w14:textId="36EC5BEA"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4E99339A" w14:textId="18B5724E"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665D8B43" w14:textId="7C96A801" w:rsidR="002F364B" w:rsidRPr="0067507D" w:rsidRDefault="000A55B5">
            <w:pPr>
              <w:pStyle w:val="Tabletextright"/>
              <w:rPr>
                <w:szCs w:val="15"/>
              </w:rPr>
            </w:pPr>
            <w:r w:rsidRPr="0067507D">
              <w:t>–</w:t>
            </w:r>
          </w:p>
        </w:tc>
      </w:tr>
      <w:tr w:rsidR="00481F0E" w:rsidRPr="0067507D" w14:paraId="3D36A609" w14:textId="77777777" w:rsidTr="007810BE">
        <w:tc>
          <w:tcPr>
            <w:cnfStyle w:val="001000000000" w:firstRow="0" w:lastRow="0" w:firstColumn="1" w:lastColumn="0" w:oddVBand="0" w:evenVBand="0" w:oddHBand="0" w:evenHBand="0" w:firstRowFirstColumn="0" w:firstRowLastColumn="0" w:lastRowFirstColumn="0" w:lastRowLastColumn="0"/>
            <w:tcW w:w="1227" w:type="dxa"/>
          </w:tcPr>
          <w:p w14:paraId="7DE8BAE3" w14:textId="1AEDB9A7" w:rsidR="002F364B" w:rsidRPr="0067507D" w:rsidRDefault="002F364B">
            <w:pPr>
              <w:pStyle w:val="Tabletext"/>
            </w:pPr>
            <w:r w:rsidRPr="0067507D">
              <w:t>SES</w:t>
            </w:r>
            <w:r w:rsidR="006A5485">
              <w:noBreakHyphen/>
            </w:r>
            <w:r w:rsidRPr="0067507D">
              <w:t>1</w:t>
            </w:r>
          </w:p>
        </w:tc>
        <w:tc>
          <w:tcPr>
            <w:cnfStyle w:val="000010000000" w:firstRow="0" w:lastRow="0" w:firstColumn="0" w:lastColumn="0" w:oddVBand="1" w:evenVBand="0" w:oddHBand="0" w:evenHBand="0" w:firstRowFirstColumn="0" w:firstRowLastColumn="0" w:lastRowFirstColumn="0" w:lastRowLastColumn="0"/>
            <w:tcW w:w="592" w:type="dxa"/>
          </w:tcPr>
          <w:p w14:paraId="6456885B" w14:textId="699FFA83" w:rsidR="002F364B" w:rsidRPr="0067507D" w:rsidRDefault="001550D5">
            <w:pPr>
              <w:pStyle w:val="Tabletextright"/>
              <w:rPr>
                <w:szCs w:val="15"/>
              </w:rPr>
            </w:pPr>
            <w:r w:rsidRPr="0067507D">
              <w:t>1</w:t>
            </w:r>
          </w:p>
        </w:tc>
        <w:tc>
          <w:tcPr>
            <w:cnfStyle w:val="000001000000" w:firstRow="0" w:lastRow="0" w:firstColumn="0" w:lastColumn="0" w:oddVBand="0" w:evenVBand="1" w:oddHBand="0" w:evenHBand="0" w:firstRowFirstColumn="0" w:firstRowLastColumn="0" w:lastRowFirstColumn="0" w:lastRowLastColumn="0"/>
            <w:tcW w:w="593" w:type="dxa"/>
          </w:tcPr>
          <w:p w14:paraId="66B9E87E" w14:textId="395A6688" w:rsidR="002F364B" w:rsidRPr="0067507D" w:rsidRDefault="001550D5">
            <w:pPr>
              <w:pStyle w:val="Tabletextright"/>
              <w:rPr>
                <w:szCs w:val="15"/>
              </w:rPr>
            </w:pPr>
            <w:r w:rsidRPr="0067507D">
              <w:t>1</w:t>
            </w:r>
          </w:p>
        </w:tc>
        <w:tc>
          <w:tcPr>
            <w:cnfStyle w:val="000010000000" w:firstRow="0" w:lastRow="0" w:firstColumn="0" w:lastColumn="0" w:oddVBand="1" w:evenVBand="0" w:oddHBand="0" w:evenHBand="0" w:firstRowFirstColumn="0" w:firstRowLastColumn="0" w:lastRowFirstColumn="0" w:lastRowLastColumn="0"/>
            <w:tcW w:w="592" w:type="dxa"/>
          </w:tcPr>
          <w:p w14:paraId="05191706" w14:textId="47DC370B"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2E94EE37" w14:textId="421C1F9D" w:rsidR="002F364B" w:rsidRPr="0067507D" w:rsidRDefault="001550D5">
            <w:pPr>
              <w:pStyle w:val="Tabletextright"/>
              <w:rPr>
                <w:szCs w:val="15"/>
              </w:rPr>
            </w:pPr>
            <w:r w:rsidRPr="0067507D">
              <w:t>1</w:t>
            </w:r>
          </w:p>
        </w:tc>
        <w:tc>
          <w:tcPr>
            <w:cnfStyle w:val="000010000000" w:firstRow="0" w:lastRow="0" w:firstColumn="0" w:lastColumn="0" w:oddVBand="1" w:evenVBand="0" w:oddHBand="0" w:evenHBand="0" w:firstRowFirstColumn="0" w:firstRowLastColumn="0" w:lastRowFirstColumn="0" w:lastRowLastColumn="0"/>
            <w:tcW w:w="592" w:type="dxa"/>
          </w:tcPr>
          <w:p w14:paraId="22836DD4" w14:textId="4BF5A2AD" w:rsidR="002F364B" w:rsidRPr="0067507D" w:rsidRDefault="001550D5">
            <w:pPr>
              <w:pStyle w:val="Tabletextright"/>
              <w:rPr>
                <w:szCs w:val="15"/>
              </w:rPr>
            </w:pPr>
            <w:r w:rsidRPr="0067507D">
              <w:t>1</w:t>
            </w:r>
          </w:p>
        </w:tc>
        <w:tc>
          <w:tcPr>
            <w:cnfStyle w:val="000001000000" w:firstRow="0" w:lastRow="0" w:firstColumn="0" w:lastColumn="0" w:oddVBand="0" w:evenVBand="1" w:oddHBand="0" w:evenHBand="0" w:firstRowFirstColumn="0" w:firstRowLastColumn="0" w:lastRowFirstColumn="0" w:lastRowLastColumn="0"/>
            <w:tcW w:w="593" w:type="dxa"/>
          </w:tcPr>
          <w:p w14:paraId="27191A2F" w14:textId="1E2C682B"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090E5172" w14:textId="5D676461"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05574A20" w14:textId="4B62EFB0" w:rsidR="002F364B" w:rsidRPr="0067507D" w:rsidRDefault="000A55B5">
            <w:pPr>
              <w:pStyle w:val="Tabletextright"/>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00C35A96" w14:textId="5799591C" w:rsidR="002F364B" w:rsidRPr="0067507D" w:rsidRDefault="000A55B5">
            <w:pPr>
              <w:pStyle w:val="Tabletextright"/>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6176DF5E" w14:textId="4FF8FCE0" w:rsidR="002F364B" w:rsidRPr="0067507D" w:rsidRDefault="001550D5">
            <w:pPr>
              <w:pStyle w:val="Tabletextright"/>
              <w:rPr>
                <w:szCs w:val="15"/>
              </w:rPr>
            </w:pPr>
            <w:r w:rsidRPr="0067507D">
              <w:t>2</w:t>
            </w:r>
          </w:p>
        </w:tc>
        <w:tc>
          <w:tcPr>
            <w:cnfStyle w:val="000010000000" w:firstRow="0" w:lastRow="0" w:firstColumn="0" w:lastColumn="0" w:oddVBand="1" w:evenVBand="0" w:oddHBand="0" w:evenHBand="0" w:firstRowFirstColumn="0" w:firstRowLastColumn="0" w:lastRowFirstColumn="0" w:lastRowLastColumn="0"/>
            <w:tcW w:w="592" w:type="dxa"/>
          </w:tcPr>
          <w:p w14:paraId="2863FFCE" w14:textId="1E0A06CD" w:rsidR="002F364B" w:rsidRPr="0067507D" w:rsidRDefault="001550D5">
            <w:pPr>
              <w:pStyle w:val="Tabletextright"/>
              <w:rPr>
                <w:szCs w:val="15"/>
              </w:rPr>
            </w:pPr>
            <w:r w:rsidRPr="0067507D">
              <w:t>2</w:t>
            </w:r>
          </w:p>
        </w:tc>
        <w:tc>
          <w:tcPr>
            <w:cnfStyle w:val="000001000000" w:firstRow="0" w:lastRow="0" w:firstColumn="0" w:lastColumn="0" w:oddVBand="0" w:evenVBand="1" w:oddHBand="0" w:evenHBand="0" w:firstRowFirstColumn="0" w:firstRowLastColumn="0" w:lastRowFirstColumn="0" w:lastRowLastColumn="0"/>
            <w:tcW w:w="593" w:type="dxa"/>
          </w:tcPr>
          <w:p w14:paraId="1F593AEF" w14:textId="5ED48E3B" w:rsidR="002F364B" w:rsidRPr="0067507D" w:rsidRDefault="000A55B5">
            <w:pPr>
              <w:pStyle w:val="Tabletextright"/>
              <w:rPr>
                <w:szCs w:val="15"/>
              </w:rPr>
            </w:pPr>
            <w:r w:rsidRPr="0067507D">
              <w:t>–</w:t>
            </w:r>
          </w:p>
        </w:tc>
      </w:tr>
      <w:tr w:rsidR="00481F0E" w:rsidRPr="0067507D" w14:paraId="4BE088C6" w14:textId="77777777" w:rsidTr="007810BE">
        <w:tc>
          <w:tcPr>
            <w:cnfStyle w:val="001000000000" w:firstRow="0" w:lastRow="0" w:firstColumn="1" w:lastColumn="0" w:oddVBand="0" w:evenVBand="0" w:oddHBand="0" w:evenHBand="0" w:firstRowFirstColumn="0" w:firstRowLastColumn="0" w:lastRowFirstColumn="0" w:lastRowLastColumn="0"/>
            <w:tcW w:w="1227" w:type="dxa"/>
          </w:tcPr>
          <w:p w14:paraId="748C7E7C" w14:textId="77777777" w:rsidR="002F364B" w:rsidRPr="0067507D" w:rsidRDefault="002F364B">
            <w:pPr>
              <w:pStyle w:val="Tabletextbold"/>
            </w:pPr>
            <w:r w:rsidRPr="0067507D">
              <w:t>Total</w:t>
            </w:r>
          </w:p>
        </w:tc>
        <w:tc>
          <w:tcPr>
            <w:cnfStyle w:val="000010000000" w:firstRow="0" w:lastRow="0" w:firstColumn="0" w:lastColumn="0" w:oddVBand="1" w:evenVBand="0" w:oddHBand="0" w:evenHBand="0" w:firstRowFirstColumn="0" w:firstRowLastColumn="0" w:lastRowFirstColumn="0" w:lastRowLastColumn="0"/>
            <w:tcW w:w="592" w:type="dxa"/>
          </w:tcPr>
          <w:p w14:paraId="4CDD455F" w14:textId="656A4B50" w:rsidR="002F364B" w:rsidRPr="0067507D" w:rsidRDefault="001550D5">
            <w:pPr>
              <w:pStyle w:val="Tabletextrightbold"/>
              <w:rPr>
                <w:szCs w:val="15"/>
              </w:rPr>
            </w:pPr>
            <w:r w:rsidRPr="0067507D">
              <w:t>1</w:t>
            </w:r>
          </w:p>
        </w:tc>
        <w:tc>
          <w:tcPr>
            <w:cnfStyle w:val="000001000000" w:firstRow="0" w:lastRow="0" w:firstColumn="0" w:lastColumn="0" w:oddVBand="0" w:evenVBand="1" w:oddHBand="0" w:evenHBand="0" w:firstRowFirstColumn="0" w:firstRowLastColumn="0" w:lastRowFirstColumn="0" w:lastRowLastColumn="0"/>
            <w:tcW w:w="593" w:type="dxa"/>
          </w:tcPr>
          <w:p w14:paraId="5FBB1DC2" w14:textId="39D831DA" w:rsidR="002F364B" w:rsidRPr="0067507D" w:rsidRDefault="001550D5">
            <w:pPr>
              <w:pStyle w:val="Tabletextrightbold"/>
              <w:rPr>
                <w:szCs w:val="15"/>
              </w:rPr>
            </w:pPr>
            <w:r w:rsidRPr="0067507D">
              <w:t>1</w:t>
            </w:r>
          </w:p>
        </w:tc>
        <w:tc>
          <w:tcPr>
            <w:cnfStyle w:val="000010000000" w:firstRow="0" w:lastRow="0" w:firstColumn="0" w:lastColumn="0" w:oddVBand="1" w:evenVBand="0" w:oddHBand="0" w:evenHBand="0" w:firstRowFirstColumn="0" w:firstRowLastColumn="0" w:lastRowFirstColumn="0" w:lastRowLastColumn="0"/>
            <w:tcW w:w="592" w:type="dxa"/>
          </w:tcPr>
          <w:p w14:paraId="287189EC" w14:textId="0261C748" w:rsidR="002F364B" w:rsidRPr="0067507D" w:rsidRDefault="000A55B5">
            <w:pPr>
              <w:pStyle w:val="Tabletextrightbold"/>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26C4F289" w14:textId="530D0BC2" w:rsidR="002F364B" w:rsidRPr="0067507D" w:rsidRDefault="001550D5">
            <w:pPr>
              <w:pStyle w:val="Tabletextrightbold"/>
              <w:rPr>
                <w:szCs w:val="15"/>
              </w:rPr>
            </w:pPr>
            <w:r w:rsidRPr="0067507D">
              <w:t>1</w:t>
            </w:r>
          </w:p>
        </w:tc>
        <w:tc>
          <w:tcPr>
            <w:cnfStyle w:val="000010000000" w:firstRow="0" w:lastRow="0" w:firstColumn="0" w:lastColumn="0" w:oddVBand="1" w:evenVBand="0" w:oddHBand="0" w:evenHBand="0" w:firstRowFirstColumn="0" w:firstRowLastColumn="0" w:lastRowFirstColumn="0" w:lastRowLastColumn="0"/>
            <w:tcW w:w="592" w:type="dxa"/>
          </w:tcPr>
          <w:p w14:paraId="6C993667" w14:textId="3688F92E" w:rsidR="002F364B" w:rsidRPr="0067507D" w:rsidRDefault="001550D5">
            <w:pPr>
              <w:pStyle w:val="Tabletextrightbold"/>
              <w:rPr>
                <w:szCs w:val="15"/>
              </w:rPr>
            </w:pPr>
            <w:r w:rsidRPr="0067507D">
              <w:t>1</w:t>
            </w:r>
          </w:p>
        </w:tc>
        <w:tc>
          <w:tcPr>
            <w:cnfStyle w:val="000001000000" w:firstRow="0" w:lastRow="0" w:firstColumn="0" w:lastColumn="0" w:oddVBand="0" w:evenVBand="1" w:oddHBand="0" w:evenHBand="0" w:firstRowFirstColumn="0" w:firstRowLastColumn="0" w:lastRowFirstColumn="0" w:lastRowLastColumn="0"/>
            <w:tcW w:w="593" w:type="dxa"/>
          </w:tcPr>
          <w:p w14:paraId="4CC8F5F1" w14:textId="759B6FA7" w:rsidR="002F364B" w:rsidRPr="0067507D" w:rsidRDefault="000A55B5">
            <w:pPr>
              <w:pStyle w:val="Tabletextrightbold"/>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54900760" w14:textId="06C5876B" w:rsidR="002F364B" w:rsidRPr="0067507D" w:rsidRDefault="000A55B5">
            <w:pPr>
              <w:pStyle w:val="Tabletextrightbold"/>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3477CC23" w14:textId="14C4AF12" w:rsidR="002F364B" w:rsidRPr="0067507D" w:rsidRDefault="000A55B5">
            <w:pPr>
              <w:pStyle w:val="Tabletextrightbold"/>
              <w:rPr>
                <w:szCs w:val="15"/>
              </w:rPr>
            </w:pPr>
            <w:r w:rsidRPr="0067507D">
              <w:t>–</w:t>
            </w:r>
          </w:p>
        </w:tc>
        <w:tc>
          <w:tcPr>
            <w:cnfStyle w:val="000010000000" w:firstRow="0" w:lastRow="0" w:firstColumn="0" w:lastColumn="0" w:oddVBand="1" w:evenVBand="0" w:oddHBand="0" w:evenHBand="0" w:firstRowFirstColumn="0" w:firstRowLastColumn="0" w:lastRowFirstColumn="0" w:lastRowLastColumn="0"/>
            <w:tcW w:w="592" w:type="dxa"/>
          </w:tcPr>
          <w:p w14:paraId="72DF2185" w14:textId="4F21AC56" w:rsidR="002F364B" w:rsidRPr="0067507D" w:rsidRDefault="000A55B5">
            <w:pPr>
              <w:pStyle w:val="Tabletextrightbold"/>
              <w:rPr>
                <w:szCs w:val="15"/>
              </w:rPr>
            </w:pPr>
            <w:r w:rsidRPr="0067507D">
              <w:t>–</w:t>
            </w:r>
          </w:p>
        </w:tc>
        <w:tc>
          <w:tcPr>
            <w:cnfStyle w:val="000001000000" w:firstRow="0" w:lastRow="0" w:firstColumn="0" w:lastColumn="0" w:oddVBand="0" w:evenVBand="1" w:oddHBand="0" w:evenHBand="0" w:firstRowFirstColumn="0" w:firstRowLastColumn="0" w:lastRowFirstColumn="0" w:lastRowLastColumn="0"/>
            <w:tcW w:w="593" w:type="dxa"/>
          </w:tcPr>
          <w:p w14:paraId="7515DE1B" w14:textId="3AE1A4B0" w:rsidR="002F364B" w:rsidRPr="0067507D" w:rsidRDefault="001550D5">
            <w:pPr>
              <w:pStyle w:val="Tabletextrightbold"/>
              <w:rPr>
                <w:szCs w:val="15"/>
              </w:rPr>
            </w:pPr>
            <w:r w:rsidRPr="0067507D">
              <w:t>2</w:t>
            </w:r>
          </w:p>
        </w:tc>
        <w:tc>
          <w:tcPr>
            <w:cnfStyle w:val="000010000000" w:firstRow="0" w:lastRow="0" w:firstColumn="0" w:lastColumn="0" w:oddVBand="1" w:evenVBand="0" w:oddHBand="0" w:evenHBand="0" w:firstRowFirstColumn="0" w:firstRowLastColumn="0" w:lastRowFirstColumn="0" w:lastRowLastColumn="0"/>
            <w:tcW w:w="592" w:type="dxa"/>
          </w:tcPr>
          <w:p w14:paraId="62F69623" w14:textId="7D77BB3A" w:rsidR="002F364B" w:rsidRPr="0067507D" w:rsidRDefault="001550D5">
            <w:pPr>
              <w:pStyle w:val="Tabletextrightbold"/>
              <w:rPr>
                <w:szCs w:val="15"/>
              </w:rPr>
            </w:pPr>
            <w:r w:rsidRPr="0067507D">
              <w:t>2</w:t>
            </w:r>
          </w:p>
        </w:tc>
        <w:tc>
          <w:tcPr>
            <w:cnfStyle w:val="000001000000" w:firstRow="0" w:lastRow="0" w:firstColumn="0" w:lastColumn="0" w:oddVBand="0" w:evenVBand="1" w:oddHBand="0" w:evenHBand="0" w:firstRowFirstColumn="0" w:firstRowLastColumn="0" w:lastRowFirstColumn="0" w:lastRowLastColumn="0"/>
            <w:tcW w:w="593" w:type="dxa"/>
          </w:tcPr>
          <w:p w14:paraId="28EA9EF3" w14:textId="1A1127B4" w:rsidR="002F364B" w:rsidRPr="0067507D" w:rsidRDefault="000A55B5">
            <w:pPr>
              <w:pStyle w:val="Tabletextrightbold"/>
              <w:rPr>
                <w:szCs w:val="15"/>
              </w:rPr>
            </w:pPr>
            <w:r w:rsidRPr="0067507D">
              <w:t>–</w:t>
            </w:r>
          </w:p>
        </w:tc>
      </w:tr>
    </w:tbl>
    <w:p w14:paraId="0E22BDDA" w14:textId="77777777" w:rsidR="0025475F" w:rsidRPr="0067507D" w:rsidRDefault="0025475F" w:rsidP="00672732"/>
    <w:p w14:paraId="6AD99217" w14:textId="77777777" w:rsidR="00113E1C" w:rsidRPr="0067507D" w:rsidRDefault="00113E1C" w:rsidP="00085214">
      <w:pPr>
        <w:sectPr w:rsidR="00113E1C" w:rsidRPr="0067507D" w:rsidSect="000E7341">
          <w:headerReference w:type="even" r:id="rId180"/>
          <w:headerReference w:type="default" r:id="rId181"/>
          <w:footerReference w:type="even" r:id="rId182"/>
          <w:footerReference w:type="default" r:id="rId183"/>
          <w:type w:val="continuous"/>
          <w:pgSz w:w="11909" w:h="16834" w:code="9"/>
          <w:pgMar w:top="1728" w:right="1152" w:bottom="1267" w:left="1152" w:header="720" w:footer="288" w:gutter="0"/>
          <w:cols w:space="720"/>
          <w:noEndnote/>
        </w:sectPr>
      </w:pPr>
    </w:p>
    <w:p w14:paraId="37C67238" w14:textId="432F6D4A" w:rsidR="00113E1C" w:rsidRPr="0067507D" w:rsidRDefault="00113E1C" w:rsidP="00113E1C">
      <w:pPr>
        <w:pStyle w:val="Heading3"/>
      </w:pPr>
      <w:bookmarkStart w:id="209" w:name="_Hlk15549713"/>
      <w:r w:rsidRPr="0067507D">
        <w:t xml:space="preserve">Reconciliation of executive </w:t>
      </w:r>
      <w:r w:rsidR="003F2E1D" w:rsidRPr="0067507D">
        <w:t>numbers</w:t>
      </w:r>
    </w:p>
    <w:p w14:paraId="53189D8B" w14:textId="77777777" w:rsidR="00113E1C" w:rsidRPr="0067507D" w:rsidRDefault="00113E1C" w:rsidP="00113E1C">
      <w:pPr>
        <w:sectPr w:rsidR="00113E1C" w:rsidRPr="0067507D" w:rsidSect="00085214">
          <w:type w:val="continuous"/>
          <w:pgSz w:w="11909" w:h="16834" w:code="9"/>
          <w:pgMar w:top="1728" w:right="1152" w:bottom="1267" w:left="1152" w:header="720" w:footer="288" w:gutter="0"/>
          <w:cols w:num="2" w:space="720"/>
          <w:noEndnote/>
        </w:sectPr>
      </w:pPr>
    </w:p>
    <w:p w14:paraId="7260B71C" w14:textId="3E48F4EF" w:rsidR="00113E1C" w:rsidRPr="0067507D" w:rsidRDefault="00113E1C" w:rsidP="00113E1C">
      <w:r w:rsidRPr="0067507D">
        <w:t xml:space="preserve">The number of executives shown in </w:t>
      </w:r>
      <w:r w:rsidR="00096D5D" w:rsidRPr="0067507D">
        <w:t xml:space="preserve">Table 1 above </w:t>
      </w:r>
      <w:r w:rsidRPr="0067507D">
        <w:t xml:space="preserve">is based on the number of </w:t>
      </w:r>
      <w:r w:rsidR="00592B19" w:rsidRPr="0067507D">
        <w:t xml:space="preserve">active </w:t>
      </w:r>
      <w:r w:rsidRPr="0067507D">
        <w:t xml:space="preserve">executive </w:t>
      </w:r>
      <w:r w:rsidR="00592B19" w:rsidRPr="0067507D">
        <w:t xml:space="preserve">staff </w:t>
      </w:r>
      <w:r w:rsidRPr="0067507D">
        <w:t xml:space="preserve">at the end of the financial year. </w:t>
      </w:r>
      <w:r w:rsidR="00CB6015" w:rsidRPr="0067507D">
        <w:t xml:space="preserve">An active executive is defined as an SES officer </w:t>
      </w:r>
      <w:r w:rsidR="00D54FD7" w:rsidRPr="0067507D">
        <w:t>who attends work and is paid, or who is on paid leave during the last full pay period in June of the relevant year</w:t>
      </w:r>
      <w:r w:rsidR="00207984" w:rsidRPr="0067507D">
        <w:t>.</w:t>
      </w:r>
      <w:r w:rsidRPr="0067507D">
        <w:t xml:space="preserve"> Note </w:t>
      </w:r>
      <w:r w:rsidR="00197D7D" w:rsidRPr="0067507D">
        <w:t xml:space="preserve">9.3 </w:t>
      </w:r>
      <w:r w:rsidRPr="0067507D">
        <w:t xml:space="preserve">in the financial statements lists the actual number of </w:t>
      </w:r>
      <w:r w:rsidR="00D80B5B" w:rsidRPr="0067507D">
        <w:t xml:space="preserve">executive </w:t>
      </w:r>
      <w:r w:rsidRPr="0067507D">
        <w:t xml:space="preserve">staff and the total remuneration paid to </w:t>
      </w:r>
      <w:r w:rsidR="00D80B5B" w:rsidRPr="0067507D">
        <w:t xml:space="preserve">those </w:t>
      </w:r>
      <w:r w:rsidRPr="0067507D">
        <w:t>staff over the course of the</w:t>
      </w:r>
      <w:r w:rsidR="00F749B3" w:rsidRPr="0067507D">
        <w:rPr>
          <w:rFonts w:ascii="Calibri" w:hAnsi="Calibri" w:cs="Calibri"/>
        </w:rPr>
        <w:t> </w:t>
      </w:r>
      <w:r w:rsidRPr="0067507D">
        <w:t xml:space="preserve">reporting period. </w:t>
      </w:r>
    </w:p>
    <w:p w14:paraId="035D904E" w14:textId="796ADF8E" w:rsidR="00113E1C" w:rsidRPr="0067507D" w:rsidRDefault="00113E1C" w:rsidP="00113E1C">
      <w:pPr>
        <w:rPr>
          <w:u w:val="single"/>
        </w:rPr>
      </w:pPr>
      <w:r w:rsidRPr="0067507D">
        <w:t xml:space="preserve">Note </w:t>
      </w:r>
      <w:r w:rsidR="00197D7D" w:rsidRPr="0067507D">
        <w:t>9.3</w:t>
      </w:r>
      <w:r w:rsidR="00245D6C" w:rsidRPr="0067507D">
        <w:t xml:space="preserve"> in the</w:t>
      </w:r>
      <w:r w:rsidRPr="0067507D">
        <w:t xml:space="preserve"> financial statements excludes the Accountable Officer and does not</w:t>
      </w:r>
      <w:r w:rsidR="00197D7D" w:rsidRPr="0067507D">
        <w:t>:</w:t>
      </w:r>
    </w:p>
    <w:p w14:paraId="3775BFCD" w14:textId="1BED4CA0" w:rsidR="00113E1C" w:rsidRPr="0067507D" w:rsidRDefault="00113E1C" w:rsidP="00655729">
      <w:pPr>
        <w:pStyle w:val="Bullet"/>
      </w:pPr>
      <w:r w:rsidRPr="0067507D">
        <w:t>distinguish between executive levels</w:t>
      </w:r>
      <w:r w:rsidR="00D80B5B" w:rsidRPr="0067507D">
        <w:t xml:space="preserve"> and non</w:t>
      </w:r>
      <w:r w:rsidR="0029014A" w:rsidRPr="0067507D">
        <w:noBreakHyphen/>
      </w:r>
      <w:r w:rsidR="00D80B5B" w:rsidRPr="0067507D">
        <w:t>SES executives (Administrative Office Heads)</w:t>
      </w:r>
    </w:p>
    <w:p w14:paraId="3B4BEF8B" w14:textId="487C37D8" w:rsidR="00113E1C" w:rsidRPr="0067507D" w:rsidRDefault="00113E1C" w:rsidP="00655729">
      <w:pPr>
        <w:pStyle w:val="Bullet"/>
      </w:pPr>
      <w:r w:rsidRPr="0067507D">
        <w:t xml:space="preserve">distinguish between executives employed by the State Revenue Office </w:t>
      </w:r>
      <w:r w:rsidR="00D80B5B" w:rsidRPr="0067507D">
        <w:t xml:space="preserve">or Wage Inspectorate Victoria </w:t>
      </w:r>
      <w:r w:rsidRPr="0067507D">
        <w:t>and executives employed by the Department</w:t>
      </w:r>
    </w:p>
    <w:p w14:paraId="6B3179B1" w14:textId="77777777" w:rsidR="00113E1C" w:rsidRPr="0067507D" w:rsidRDefault="00113E1C" w:rsidP="00655729">
      <w:pPr>
        <w:pStyle w:val="Bullet"/>
      </w:pPr>
      <w:r w:rsidRPr="0067507D">
        <w:t>disclose the number of separations for the financial year</w:t>
      </w:r>
    </w:p>
    <w:p w14:paraId="64165F1A" w14:textId="7348AEAD" w:rsidR="00113E1C" w:rsidRPr="0067507D" w:rsidRDefault="00113E1C" w:rsidP="00655729">
      <w:pPr>
        <w:pStyle w:val="Bullet"/>
      </w:pPr>
      <w:r w:rsidRPr="0067507D">
        <w:t>disclose inactive executives as at the end of</w:t>
      </w:r>
      <w:r w:rsidR="001D082D" w:rsidRPr="0067507D">
        <w:rPr>
          <w:rFonts w:ascii="Calibri" w:hAnsi="Calibri" w:cs="Calibri"/>
        </w:rPr>
        <w:t> </w:t>
      </w:r>
      <w:r w:rsidRPr="0067507D">
        <w:t xml:space="preserve">June. </w:t>
      </w:r>
    </w:p>
    <w:p w14:paraId="504B5777" w14:textId="7CEE3C17" w:rsidR="004E31BA" w:rsidRPr="0067507D" w:rsidRDefault="00113E1C" w:rsidP="00123213">
      <w:r w:rsidRPr="0067507D">
        <w:br w:type="column"/>
      </w:r>
      <w:r w:rsidRPr="0067507D">
        <w:t xml:space="preserve">Separations </w:t>
      </w:r>
      <w:r w:rsidR="007F0323" w:rsidRPr="0067507D">
        <w:t xml:space="preserve">include </w:t>
      </w:r>
      <w:r w:rsidRPr="0067507D">
        <w:t xml:space="preserve">executives </w:t>
      </w:r>
      <w:r w:rsidR="006E48BE" w:rsidRPr="0067507D">
        <w:t>disclosed in</w:t>
      </w:r>
      <w:r w:rsidR="00465742" w:rsidRPr="0067507D">
        <w:t xml:space="preserve"> </w:t>
      </w:r>
      <w:r w:rsidR="006E48BE" w:rsidRPr="0067507D">
        <w:t xml:space="preserve">note </w:t>
      </w:r>
      <w:r w:rsidR="00197D7D" w:rsidRPr="0067507D">
        <w:t>9.3</w:t>
      </w:r>
      <w:r w:rsidR="006E48BE" w:rsidRPr="0067507D">
        <w:t xml:space="preserve"> in the financial statements who</w:t>
      </w:r>
      <w:r w:rsidR="00465742" w:rsidRPr="0067507D">
        <w:t xml:space="preserve"> </w:t>
      </w:r>
      <w:r w:rsidR="008C0BBE" w:rsidRPr="0067507D">
        <w:t>were no longer employed an executive at the end of the reporting period</w:t>
      </w:r>
      <w:r w:rsidR="002E20A1" w:rsidRPr="0067507D">
        <w:t xml:space="preserve"> by the Department, the State Revenue Office or Wage Inspectorate Victoria.</w:t>
      </w:r>
    </w:p>
    <w:p w14:paraId="494B668D" w14:textId="58082509" w:rsidR="00113E1C" w:rsidRPr="0067507D" w:rsidRDefault="00113E1C" w:rsidP="00113E1C">
      <w:r w:rsidRPr="0067507D">
        <w:t>Inactive executives are executives who were on leave without pay or absent on secondment at the end of the reporting period.</w:t>
      </w:r>
    </w:p>
    <w:p w14:paraId="6CA9FD98" w14:textId="77777777" w:rsidR="00113E1C" w:rsidRPr="0067507D" w:rsidRDefault="00113E1C" w:rsidP="00113E1C">
      <w:r w:rsidRPr="0067507D">
        <w:t>To assist readers, these two disclosures are reconciled below.</w:t>
      </w:r>
    </w:p>
    <w:p w14:paraId="5072B045" w14:textId="77777777" w:rsidR="00113E1C" w:rsidRPr="0067507D" w:rsidRDefault="00113E1C" w:rsidP="00113E1C">
      <w:pPr>
        <w:pStyle w:val="Tableheading"/>
        <w:sectPr w:rsidR="00113E1C" w:rsidRPr="0067507D" w:rsidSect="003A74E8">
          <w:type w:val="continuous"/>
          <w:pgSz w:w="11909" w:h="16834" w:code="9"/>
          <w:pgMar w:top="1728" w:right="1152" w:bottom="1267" w:left="1152" w:header="720" w:footer="288" w:gutter="0"/>
          <w:cols w:num="2" w:space="720"/>
          <w:noEndnote/>
        </w:sectPr>
      </w:pPr>
    </w:p>
    <w:p w14:paraId="5AE1313D" w14:textId="1CC3555D" w:rsidR="00113E1C" w:rsidRPr="0067507D" w:rsidRDefault="00113E1C" w:rsidP="00113E1C">
      <w:pPr>
        <w:pStyle w:val="Tableheading"/>
      </w:pPr>
      <w:bookmarkStart w:id="210" w:name="_Hlk15556606"/>
      <w:r w:rsidRPr="0067507D">
        <w:t xml:space="preserve">Table </w:t>
      </w:r>
      <w:r w:rsidR="001E27C0" w:rsidRPr="0067507D">
        <w:t>4</w:t>
      </w:r>
      <w:r w:rsidRPr="0067507D">
        <w:t xml:space="preserve"> – Reconciliation of DTF executive </w:t>
      </w:r>
      <w:r w:rsidR="00F176DE" w:rsidRPr="0067507D">
        <w:t>numbers</w:t>
      </w:r>
    </w:p>
    <w:bookmarkEnd w:id="210"/>
    <w:tbl>
      <w:tblPr>
        <w:tblStyle w:val="AnnualReporttexttable"/>
        <w:tblW w:w="6408" w:type="dxa"/>
        <w:tblInd w:w="-86" w:type="dxa"/>
        <w:tblLook w:val="01E0" w:firstRow="1" w:lastRow="1" w:firstColumn="1" w:lastColumn="1" w:noHBand="0" w:noVBand="0"/>
      </w:tblPr>
      <w:tblGrid>
        <w:gridCol w:w="4788"/>
        <w:gridCol w:w="810"/>
        <w:gridCol w:w="810"/>
      </w:tblGrid>
      <w:tr w:rsidR="00983BF9" w:rsidRPr="0067507D" w14:paraId="5C54EA8B" w14:textId="77777777" w:rsidTr="007810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0C2AD9C3" w14:textId="77777777" w:rsidR="00983BF9" w:rsidRPr="0067507D" w:rsidRDefault="00983BF9" w:rsidP="00983BF9">
            <w:pPr>
              <w:pStyle w:val="Tabletext"/>
              <w:rPr>
                <w:sz w:val="16"/>
                <w:szCs w:val="16"/>
                <w:highlight w:val="yellow"/>
              </w:rPr>
            </w:pPr>
          </w:p>
        </w:tc>
        <w:tc>
          <w:tcPr>
            <w:cnfStyle w:val="000010000000" w:firstRow="0" w:lastRow="0" w:firstColumn="0" w:lastColumn="0" w:oddVBand="1" w:evenVBand="0" w:oddHBand="0" w:evenHBand="0" w:firstRowFirstColumn="0" w:firstRowLastColumn="0" w:lastRowFirstColumn="0" w:lastRowLastColumn="0"/>
            <w:tcW w:w="810" w:type="dxa"/>
            <w:shd w:val="clear" w:color="auto" w:fill="auto"/>
          </w:tcPr>
          <w:p w14:paraId="62F0D731" w14:textId="1CDB7010" w:rsidR="00983BF9" w:rsidRPr="0067507D" w:rsidRDefault="00983BF9" w:rsidP="00983BF9">
            <w:pPr>
              <w:pStyle w:val="Tabletextheadingright"/>
              <w:rPr>
                <w:b w:val="0"/>
                <w:sz w:val="15"/>
              </w:rPr>
            </w:pPr>
            <w:r w:rsidRPr="0067507D">
              <w:rPr>
                <w:b w:val="0"/>
                <w:sz w:val="15"/>
              </w:rPr>
              <w:t>202</w:t>
            </w:r>
            <w:r w:rsidR="008100D2" w:rsidRPr="0067507D">
              <w:rPr>
                <w:b w:val="0"/>
                <w:sz w:val="15"/>
              </w:rPr>
              <w:t>5</w:t>
            </w:r>
          </w:p>
        </w:tc>
        <w:tc>
          <w:tcPr>
            <w:cnfStyle w:val="000001000000" w:firstRow="0" w:lastRow="0" w:firstColumn="0" w:lastColumn="0" w:oddVBand="0" w:evenVBand="1" w:oddHBand="0" w:evenHBand="0" w:firstRowFirstColumn="0" w:firstRowLastColumn="0" w:lastRowFirstColumn="0" w:lastRowLastColumn="0"/>
            <w:tcW w:w="810" w:type="dxa"/>
          </w:tcPr>
          <w:p w14:paraId="4C7C6C56" w14:textId="2966DD85" w:rsidR="00983BF9" w:rsidRPr="0067507D" w:rsidRDefault="00983BF9" w:rsidP="00983BF9">
            <w:pPr>
              <w:pStyle w:val="Tabletextheadingright"/>
              <w:rPr>
                <w:b w:val="0"/>
                <w:sz w:val="15"/>
              </w:rPr>
            </w:pPr>
            <w:r w:rsidRPr="0067507D">
              <w:rPr>
                <w:b w:val="0"/>
                <w:sz w:val="15"/>
              </w:rPr>
              <w:t>202</w:t>
            </w:r>
            <w:r w:rsidR="008100D2" w:rsidRPr="0067507D">
              <w:rPr>
                <w:b w:val="0"/>
                <w:sz w:val="15"/>
              </w:rPr>
              <w:t>4</w:t>
            </w:r>
          </w:p>
        </w:tc>
      </w:tr>
      <w:tr w:rsidR="0051557A" w:rsidRPr="0067507D" w14:paraId="5127E642" w14:textId="77777777" w:rsidTr="007810BE">
        <w:tc>
          <w:tcPr>
            <w:cnfStyle w:val="001000000000" w:firstRow="0" w:lastRow="0" w:firstColumn="1" w:lastColumn="0" w:oddVBand="0" w:evenVBand="0" w:oddHBand="0" w:evenHBand="0" w:firstRowFirstColumn="0" w:firstRowLastColumn="0" w:lastRowFirstColumn="0" w:lastRowLastColumn="0"/>
            <w:tcW w:w="4788" w:type="dxa"/>
          </w:tcPr>
          <w:p w14:paraId="40B6C564" w14:textId="11D721C7" w:rsidR="0051557A" w:rsidRPr="0067507D" w:rsidRDefault="0051557A" w:rsidP="0051557A">
            <w:pPr>
              <w:pStyle w:val="Tabletext"/>
              <w:rPr>
                <w:sz w:val="16"/>
                <w:szCs w:val="16"/>
                <w:highlight w:val="yellow"/>
              </w:rPr>
            </w:pPr>
            <w:r w:rsidRPr="0067507D">
              <w:t>Executives (financial note 9.3)</w:t>
            </w:r>
          </w:p>
        </w:tc>
        <w:tc>
          <w:tcPr>
            <w:cnfStyle w:val="000010000000" w:firstRow="0" w:lastRow="0" w:firstColumn="0" w:lastColumn="0" w:oddVBand="1" w:evenVBand="0" w:oddHBand="0" w:evenHBand="0" w:firstRowFirstColumn="0" w:firstRowLastColumn="0" w:lastRowFirstColumn="0" w:lastRowLastColumn="0"/>
            <w:tcW w:w="810" w:type="dxa"/>
          </w:tcPr>
          <w:p w14:paraId="3EBF6093" w14:textId="4B07F9B5" w:rsidR="0051557A" w:rsidRPr="0067507D" w:rsidRDefault="0051557A" w:rsidP="0051557A">
            <w:pPr>
              <w:pStyle w:val="Tabletextright"/>
              <w:rPr>
                <w:sz w:val="16"/>
                <w:szCs w:val="16"/>
                <w:highlight w:val="yellow"/>
              </w:rPr>
            </w:pPr>
            <w:r w:rsidRPr="0067507D">
              <w:t>120</w:t>
            </w:r>
          </w:p>
        </w:tc>
        <w:tc>
          <w:tcPr>
            <w:cnfStyle w:val="000001000000" w:firstRow="0" w:lastRow="0" w:firstColumn="0" w:lastColumn="0" w:oddVBand="0" w:evenVBand="1" w:oddHBand="0" w:evenHBand="0" w:firstRowFirstColumn="0" w:firstRowLastColumn="0" w:lastRowFirstColumn="0" w:lastRowLastColumn="0"/>
            <w:tcW w:w="810" w:type="dxa"/>
          </w:tcPr>
          <w:p w14:paraId="4EE8B9AC" w14:textId="62EA423B" w:rsidR="0051557A" w:rsidRPr="0067507D" w:rsidRDefault="0051557A" w:rsidP="0051557A">
            <w:pPr>
              <w:pStyle w:val="Tabletextright"/>
              <w:rPr>
                <w:sz w:val="16"/>
                <w:szCs w:val="16"/>
                <w:highlight w:val="yellow"/>
              </w:rPr>
            </w:pPr>
            <w:r w:rsidRPr="0067507D">
              <w:t>109</w:t>
            </w:r>
          </w:p>
        </w:tc>
      </w:tr>
      <w:tr w:rsidR="0051557A" w:rsidRPr="0067507D" w14:paraId="5E8C14DB" w14:textId="77777777" w:rsidTr="007810BE">
        <w:tc>
          <w:tcPr>
            <w:cnfStyle w:val="001000000000" w:firstRow="0" w:lastRow="0" w:firstColumn="1" w:lastColumn="0" w:oddVBand="0" w:evenVBand="0" w:oddHBand="0" w:evenHBand="0" w:firstRowFirstColumn="0" w:firstRowLastColumn="0" w:lastRowFirstColumn="0" w:lastRowLastColumn="0"/>
            <w:tcW w:w="4788" w:type="dxa"/>
          </w:tcPr>
          <w:p w14:paraId="02B9459A" w14:textId="154DBDF0" w:rsidR="0051557A" w:rsidRPr="0067507D" w:rsidRDefault="0051557A" w:rsidP="0051557A">
            <w:pPr>
              <w:pStyle w:val="Tabletext"/>
              <w:rPr>
                <w:sz w:val="16"/>
                <w:szCs w:val="16"/>
                <w:highlight w:val="yellow"/>
              </w:rPr>
            </w:pPr>
            <w:r w:rsidRPr="0067507D">
              <w:t>SRO executives</w:t>
            </w:r>
          </w:p>
        </w:tc>
        <w:tc>
          <w:tcPr>
            <w:cnfStyle w:val="000010000000" w:firstRow="0" w:lastRow="0" w:firstColumn="0" w:lastColumn="0" w:oddVBand="1" w:evenVBand="0" w:oddHBand="0" w:evenHBand="0" w:firstRowFirstColumn="0" w:firstRowLastColumn="0" w:lastRowFirstColumn="0" w:lastRowLastColumn="0"/>
            <w:tcW w:w="810" w:type="dxa"/>
          </w:tcPr>
          <w:p w14:paraId="18AFCD56" w14:textId="47A90E9E" w:rsidR="0051557A" w:rsidRPr="0067507D" w:rsidRDefault="0051557A" w:rsidP="0051557A">
            <w:pPr>
              <w:pStyle w:val="Tabletextright"/>
              <w:rPr>
                <w:sz w:val="16"/>
                <w:szCs w:val="16"/>
                <w:highlight w:val="yellow"/>
              </w:rPr>
            </w:pPr>
            <w:r w:rsidRPr="0067507D">
              <w:t>(15)</w:t>
            </w:r>
          </w:p>
        </w:tc>
        <w:tc>
          <w:tcPr>
            <w:cnfStyle w:val="000001000000" w:firstRow="0" w:lastRow="0" w:firstColumn="0" w:lastColumn="0" w:oddVBand="0" w:evenVBand="1" w:oddHBand="0" w:evenHBand="0" w:firstRowFirstColumn="0" w:firstRowLastColumn="0" w:lastRowFirstColumn="0" w:lastRowLastColumn="0"/>
            <w:tcW w:w="810" w:type="dxa"/>
          </w:tcPr>
          <w:p w14:paraId="2B650C0D" w14:textId="0564E86A" w:rsidR="0051557A" w:rsidRPr="0067507D" w:rsidRDefault="0051557A" w:rsidP="0051557A">
            <w:pPr>
              <w:pStyle w:val="Tabletextright"/>
              <w:rPr>
                <w:sz w:val="16"/>
                <w:szCs w:val="16"/>
                <w:highlight w:val="yellow"/>
              </w:rPr>
            </w:pPr>
            <w:r w:rsidRPr="0067507D">
              <w:t>(9)</w:t>
            </w:r>
          </w:p>
        </w:tc>
      </w:tr>
      <w:tr w:rsidR="0051557A" w:rsidRPr="0067507D" w14:paraId="3FD61A37" w14:textId="77777777" w:rsidTr="007810BE">
        <w:tc>
          <w:tcPr>
            <w:cnfStyle w:val="001000000000" w:firstRow="0" w:lastRow="0" w:firstColumn="1" w:lastColumn="0" w:oddVBand="0" w:evenVBand="0" w:oddHBand="0" w:evenHBand="0" w:firstRowFirstColumn="0" w:firstRowLastColumn="0" w:lastRowFirstColumn="0" w:lastRowLastColumn="0"/>
            <w:tcW w:w="4788" w:type="dxa"/>
          </w:tcPr>
          <w:p w14:paraId="3F08EFFF" w14:textId="7B965040" w:rsidR="0051557A" w:rsidRPr="0067507D" w:rsidRDefault="0051557A" w:rsidP="0051557A">
            <w:pPr>
              <w:pStyle w:val="Tabletext"/>
              <w:rPr>
                <w:sz w:val="16"/>
                <w:szCs w:val="16"/>
                <w:highlight w:val="yellow"/>
              </w:rPr>
            </w:pPr>
            <w:r w:rsidRPr="0067507D">
              <w:t>WIV executives</w:t>
            </w:r>
          </w:p>
        </w:tc>
        <w:tc>
          <w:tcPr>
            <w:cnfStyle w:val="000010000000" w:firstRow="0" w:lastRow="0" w:firstColumn="0" w:lastColumn="0" w:oddVBand="1" w:evenVBand="0" w:oddHBand="0" w:evenHBand="0" w:firstRowFirstColumn="0" w:firstRowLastColumn="0" w:lastRowFirstColumn="0" w:lastRowLastColumn="0"/>
            <w:tcW w:w="810" w:type="dxa"/>
          </w:tcPr>
          <w:p w14:paraId="54EBECB1" w14:textId="2F1A2091" w:rsidR="0051557A" w:rsidRPr="0067507D" w:rsidRDefault="0051557A" w:rsidP="0051557A">
            <w:pPr>
              <w:pStyle w:val="Tabletextright"/>
              <w:rPr>
                <w:sz w:val="16"/>
                <w:szCs w:val="16"/>
                <w:highlight w:val="yellow"/>
              </w:rPr>
            </w:pPr>
            <w:r w:rsidRPr="0067507D">
              <w:t>(2)</w:t>
            </w:r>
          </w:p>
        </w:tc>
        <w:tc>
          <w:tcPr>
            <w:cnfStyle w:val="000001000000" w:firstRow="0" w:lastRow="0" w:firstColumn="0" w:lastColumn="0" w:oddVBand="0" w:evenVBand="1" w:oddHBand="0" w:evenHBand="0" w:firstRowFirstColumn="0" w:firstRowLastColumn="0" w:lastRowFirstColumn="0" w:lastRowLastColumn="0"/>
            <w:tcW w:w="810" w:type="dxa"/>
          </w:tcPr>
          <w:p w14:paraId="79E42115" w14:textId="07B60CE5" w:rsidR="0051557A" w:rsidRPr="0067507D" w:rsidRDefault="0051557A" w:rsidP="0051557A">
            <w:pPr>
              <w:pStyle w:val="Tabletextright"/>
              <w:rPr>
                <w:sz w:val="16"/>
                <w:szCs w:val="16"/>
                <w:highlight w:val="yellow"/>
              </w:rPr>
            </w:pPr>
            <w:r w:rsidRPr="0067507D">
              <w:t>(2)</w:t>
            </w:r>
          </w:p>
        </w:tc>
      </w:tr>
      <w:tr w:rsidR="0051557A" w:rsidRPr="0067507D" w14:paraId="2909B229" w14:textId="77777777" w:rsidTr="007810BE">
        <w:tc>
          <w:tcPr>
            <w:cnfStyle w:val="001000000000" w:firstRow="0" w:lastRow="0" w:firstColumn="1" w:lastColumn="0" w:oddVBand="0" w:evenVBand="0" w:oddHBand="0" w:evenHBand="0" w:firstRowFirstColumn="0" w:firstRowLastColumn="0" w:lastRowFirstColumn="0" w:lastRowLastColumn="0"/>
            <w:tcW w:w="4788" w:type="dxa"/>
          </w:tcPr>
          <w:p w14:paraId="13B885ED" w14:textId="77777777" w:rsidR="0051557A" w:rsidRPr="0067507D" w:rsidRDefault="0051557A" w:rsidP="0051557A">
            <w:pPr>
              <w:pStyle w:val="Tabletext"/>
              <w:rPr>
                <w:sz w:val="16"/>
                <w:szCs w:val="16"/>
                <w:highlight w:val="yellow"/>
              </w:rPr>
            </w:pPr>
            <w:r w:rsidRPr="0067507D">
              <w:t>Inactive DTF executives</w:t>
            </w:r>
          </w:p>
        </w:tc>
        <w:tc>
          <w:tcPr>
            <w:cnfStyle w:val="000010000000" w:firstRow="0" w:lastRow="0" w:firstColumn="0" w:lastColumn="0" w:oddVBand="1" w:evenVBand="0" w:oddHBand="0" w:evenHBand="0" w:firstRowFirstColumn="0" w:firstRowLastColumn="0" w:lastRowFirstColumn="0" w:lastRowLastColumn="0"/>
            <w:tcW w:w="810" w:type="dxa"/>
          </w:tcPr>
          <w:p w14:paraId="28F695B0" w14:textId="1CC23907" w:rsidR="0051557A" w:rsidRPr="0067507D" w:rsidRDefault="0051557A" w:rsidP="0051557A">
            <w:pPr>
              <w:pStyle w:val="Tabletextright"/>
              <w:rPr>
                <w:sz w:val="16"/>
                <w:szCs w:val="16"/>
                <w:highlight w:val="yellow"/>
              </w:rPr>
            </w:pPr>
            <w:r w:rsidRPr="0067507D">
              <w:t>(1)</w:t>
            </w:r>
          </w:p>
        </w:tc>
        <w:tc>
          <w:tcPr>
            <w:cnfStyle w:val="000001000000" w:firstRow="0" w:lastRow="0" w:firstColumn="0" w:lastColumn="0" w:oddVBand="0" w:evenVBand="1" w:oddHBand="0" w:evenHBand="0" w:firstRowFirstColumn="0" w:firstRowLastColumn="0" w:lastRowFirstColumn="0" w:lastRowLastColumn="0"/>
            <w:tcW w:w="810" w:type="dxa"/>
          </w:tcPr>
          <w:p w14:paraId="16D94A72" w14:textId="5C486CB1" w:rsidR="0051557A" w:rsidRPr="0067507D" w:rsidRDefault="0051557A" w:rsidP="0051557A">
            <w:pPr>
              <w:pStyle w:val="Tabletextright"/>
              <w:rPr>
                <w:sz w:val="16"/>
                <w:szCs w:val="16"/>
                <w:highlight w:val="yellow"/>
              </w:rPr>
            </w:pPr>
            <w:r w:rsidRPr="0067507D">
              <w:t>–</w:t>
            </w:r>
          </w:p>
        </w:tc>
      </w:tr>
      <w:tr w:rsidR="0051557A" w:rsidRPr="0067507D" w14:paraId="3671E973" w14:textId="77777777" w:rsidTr="007810BE">
        <w:tc>
          <w:tcPr>
            <w:cnfStyle w:val="001000000000" w:firstRow="0" w:lastRow="0" w:firstColumn="1" w:lastColumn="0" w:oddVBand="0" w:evenVBand="0" w:oddHBand="0" w:evenHBand="0" w:firstRowFirstColumn="0" w:firstRowLastColumn="0" w:lastRowFirstColumn="0" w:lastRowLastColumn="0"/>
            <w:tcW w:w="4788" w:type="dxa"/>
          </w:tcPr>
          <w:p w14:paraId="740491F4" w14:textId="376DDBF8" w:rsidR="0051557A" w:rsidRPr="0067507D" w:rsidRDefault="0051557A" w:rsidP="006578CE">
            <w:pPr>
              <w:pStyle w:val="Tabletext"/>
              <w:rPr>
                <w:sz w:val="16"/>
                <w:szCs w:val="16"/>
                <w:highlight w:val="yellow"/>
              </w:rPr>
            </w:pPr>
            <w:r w:rsidRPr="0067507D">
              <w:t>Inactive SRO executives</w:t>
            </w:r>
          </w:p>
        </w:tc>
        <w:tc>
          <w:tcPr>
            <w:cnfStyle w:val="000010000000" w:firstRow="0" w:lastRow="0" w:firstColumn="0" w:lastColumn="0" w:oddVBand="1" w:evenVBand="0" w:oddHBand="0" w:evenHBand="0" w:firstRowFirstColumn="0" w:firstRowLastColumn="0" w:lastRowFirstColumn="0" w:lastRowLastColumn="0"/>
            <w:tcW w:w="810" w:type="dxa"/>
          </w:tcPr>
          <w:p w14:paraId="6E602D48" w14:textId="0CEC99E5" w:rsidR="0051557A" w:rsidRPr="0067507D" w:rsidRDefault="006578CE" w:rsidP="0051557A">
            <w:pPr>
              <w:pStyle w:val="Tabletextright"/>
              <w:rPr>
                <w:sz w:val="16"/>
                <w:szCs w:val="16"/>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810" w:type="dxa"/>
          </w:tcPr>
          <w:p w14:paraId="7AB615DE" w14:textId="53274C81" w:rsidR="0051557A" w:rsidRPr="0067507D" w:rsidRDefault="0051557A" w:rsidP="0051557A">
            <w:pPr>
              <w:pStyle w:val="Tabletextright"/>
              <w:rPr>
                <w:sz w:val="16"/>
                <w:szCs w:val="16"/>
                <w:highlight w:val="yellow"/>
              </w:rPr>
            </w:pPr>
            <w:r w:rsidRPr="0067507D">
              <w:t>(1)</w:t>
            </w:r>
          </w:p>
        </w:tc>
      </w:tr>
      <w:tr w:rsidR="0051557A" w:rsidRPr="0067507D" w14:paraId="43596859" w14:textId="77777777" w:rsidTr="007810BE">
        <w:tc>
          <w:tcPr>
            <w:cnfStyle w:val="001000000000" w:firstRow="0" w:lastRow="0" w:firstColumn="1" w:lastColumn="0" w:oddVBand="0" w:evenVBand="0" w:oddHBand="0" w:evenHBand="0" w:firstRowFirstColumn="0" w:firstRowLastColumn="0" w:lastRowFirstColumn="0" w:lastRowLastColumn="0"/>
            <w:tcW w:w="4788" w:type="dxa"/>
          </w:tcPr>
          <w:p w14:paraId="67C4C4D1" w14:textId="709316B8" w:rsidR="0051557A" w:rsidRPr="0067507D" w:rsidRDefault="0051557A" w:rsidP="006578CE">
            <w:pPr>
              <w:pStyle w:val="Tabletext"/>
              <w:rPr>
                <w:sz w:val="16"/>
                <w:szCs w:val="16"/>
                <w:highlight w:val="yellow"/>
              </w:rPr>
            </w:pPr>
            <w:r w:rsidRPr="0067507D">
              <w:t>Separations</w:t>
            </w:r>
          </w:p>
        </w:tc>
        <w:tc>
          <w:tcPr>
            <w:cnfStyle w:val="000010000000" w:firstRow="0" w:lastRow="0" w:firstColumn="0" w:lastColumn="0" w:oddVBand="1" w:evenVBand="0" w:oddHBand="0" w:evenHBand="0" w:firstRowFirstColumn="0" w:firstRowLastColumn="0" w:lastRowFirstColumn="0" w:lastRowLastColumn="0"/>
            <w:tcW w:w="810" w:type="dxa"/>
          </w:tcPr>
          <w:p w14:paraId="02BF81A3" w14:textId="1C0FC939" w:rsidR="0051557A" w:rsidRPr="0067507D" w:rsidRDefault="0051557A" w:rsidP="006578CE">
            <w:pPr>
              <w:pStyle w:val="Tabletextright"/>
              <w:rPr>
                <w:bCs/>
                <w:sz w:val="16"/>
                <w:szCs w:val="16"/>
                <w:highlight w:val="yellow"/>
              </w:rPr>
            </w:pPr>
            <w:r w:rsidRPr="0067507D">
              <w:t>(9)</w:t>
            </w:r>
          </w:p>
        </w:tc>
        <w:tc>
          <w:tcPr>
            <w:cnfStyle w:val="000001000000" w:firstRow="0" w:lastRow="0" w:firstColumn="0" w:lastColumn="0" w:oddVBand="0" w:evenVBand="1" w:oddHBand="0" w:evenHBand="0" w:firstRowFirstColumn="0" w:firstRowLastColumn="0" w:lastRowFirstColumn="0" w:lastRowLastColumn="0"/>
            <w:tcW w:w="810" w:type="dxa"/>
          </w:tcPr>
          <w:p w14:paraId="07DCF96C" w14:textId="10B2A255" w:rsidR="0051557A" w:rsidRPr="0067507D" w:rsidRDefault="0051557A" w:rsidP="006578CE">
            <w:pPr>
              <w:pStyle w:val="Tabletextright"/>
              <w:rPr>
                <w:bCs/>
                <w:sz w:val="16"/>
                <w:szCs w:val="16"/>
                <w:highlight w:val="yellow"/>
              </w:rPr>
            </w:pPr>
            <w:r w:rsidRPr="0067507D">
              <w:t>(11)</w:t>
            </w:r>
          </w:p>
        </w:tc>
      </w:tr>
      <w:tr w:rsidR="0051557A" w:rsidRPr="0067507D" w14:paraId="70F5A072" w14:textId="77777777" w:rsidTr="007810BE">
        <w:tc>
          <w:tcPr>
            <w:cnfStyle w:val="001000000000" w:firstRow="0" w:lastRow="0" w:firstColumn="1" w:lastColumn="0" w:oddVBand="0" w:evenVBand="0" w:oddHBand="0" w:evenHBand="0" w:firstRowFirstColumn="0" w:firstRowLastColumn="0" w:lastRowFirstColumn="0" w:lastRowLastColumn="0"/>
            <w:tcW w:w="4788" w:type="dxa"/>
          </w:tcPr>
          <w:p w14:paraId="33763E76" w14:textId="0478EEAB" w:rsidR="0051557A" w:rsidRPr="0067507D" w:rsidRDefault="0051557A" w:rsidP="0051557A">
            <w:pPr>
              <w:pStyle w:val="Tabletextbold"/>
              <w:rPr>
                <w:sz w:val="16"/>
                <w:szCs w:val="16"/>
                <w:highlight w:val="yellow"/>
              </w:rPr>
            </w:pPr>
            <w:r w:rsidRPr="0067507D">
              <w:t>Total executive numbers at 30 June</w:t>
            </w:r>
          </w:p>
        </w:tc>
        <w:tc>
          <w:tcPr>
            <w:cnfStyle w:val="000010000000" w:firstRow="0" w:lastRow="0" w:firstColumn="0" w:lastColumn="0" w:oddVBand="1" w:evenVBand="0" w:oddHBand="0" w:evenHBand="0" w:firstRowFirstColumn="0" w:firstRowLastColumn="0" w:lastRowFirstColumn="0" w:lastRowLastColumn="0"/>
            <w:tcW w:w="810" w:type="dxa"/>
          </w:tcPr>
          <w:p w14:paraId="5A46FC93" w14:textId="4B41B23F" w:rsidR="0051557A" w:rsidRPr="0067507D" w:rsidRDefault="0051557A" w:rsidP="0051557A">
            <w:pPr>
              <w:pStyle w:val="Tabletextrightbold"/>
              <w:rPr>
                <w:sz w:val="16"/>
                <w:szCs w:val="16"/>
                <w:highlight w:val="yellow"/>
              </w:rPr>
            </w:pPr>
            <w:r w:rsidRPr="0067507D">
              <w:t>93</w:t>
            </w:r>
          </w:p>
        </w:tc>
        <w:tc>
          <w:tcPr>
            <w:cnfStyle w:val="000001000000" w:firstRow="0" w:lastRow="0" w:firstColumn="0" w:lastColumn="0" w:oddVBand="0" w:evenVBand="1" w:oddHBand="0" w:evenHBand="0" w:firstRowFirstColumn="0" w:firstRowLastColumn="0" w:lastRowFirstColumn="0" w:lastRowLastColumn="0"/>
            <w:tcW w:w="810" w:type="dxa"/>
          </w:tcPr>
          <w:p w14:paraId="705466B8" w14:textId="1557BC4B" w:rsidR="0051557A" w:rsidRPr="0067507D" w:rsidRDefault="0051557A" w:rsidP="0051557A">
            <w:pPr>
              <w:pStyle w:val="Tabletextrightbold"/>
              <w:rPr>
                <w:sz w:val="16"/>
                <w:szCs w:val="16"/>
              </w:rPr>
            </w:pPr>
            <w:r w:rsidRPr="0067507D">
              <w:t>86</w:t>
            </w:r>
          </w:p>
        </w:tc>
      </w:tr>
    </w:tbl>
    <w:p w14:paraId="1A88A715" w14:textId="77777777" w:rsidR="00113E1C" w:rsidRPr="0067507D" w:rsidRDefault="00113E1C" w:rsidP="00113E1C">
      <w:pPr>
        <w:pStyle w:val="Notes"/>
      </w:pPr>
    </w:p>
    <w:p w14:paraId="5C3B7AC0" w14:textId="31F06B95" w:rsidR="00113E1C" w:rsidRPr="0067507D" w:rsidRDefault="00FF4CD0" w:rsidP="00482E0B">
      <w:pPr>
        <w:pStyle w:val="Tableheading"/>
        <w:pageBreakBefore/>
      </w:pPr>
      <w:r w:rsidRPr="0067507D">
        <w:lastRenderedPageBreak/>
        <w:t xml:space="preserve">Table </w:t>
      </w:r>
      <w:r w:rsidR="001E27C0" w:rsidRPr="0067507D">
        <w:t>5</w:t>
      </w:r>
      <w:r w:rsidRPr="0067507D">
        <w:t xml:space="preserve"> </w:t>
      </w:r>
      <w:r w:rsidR="003A26E6" w:rsidRPr="0067507D">
        <w:rPr>
          <w:rFonts w:cstheme="minorHAnsi"/>
        </w:rPr>
        <w:t>–</w:t>
      </w:r>
      <w:r w:rsidRPr="0067507D">
        <w:t xml:space="preserve"> </w:t>
      </w:r>
      <w:r w:rsidR="00113E1C" w:rsidRPr="0067507D">
        <w:t xml:space="preserve">DTF </w:t>
      </w:r>
      <w:r w:rsidR="00030D21" w:rsidRPr="0067507D">
        <w:t>portfolio e</w:t>
      </w:r>
      <w:r w:rsidR="00DF04AE" w:rsidRPr="0067507D">
        <w:t>ntity</w:t>
      </w:r>
      <w:r w:rsidR="00113E1C" w:rsidRPr="0067507D">
        <w:t xml:space="preserve"> </w:t>
      </w:r>
      <w:r w:rsidR="00030D21" w:rsidRPr="0067507D">
        <w:t>e</w:t>
      </w:r>
      <w:r w:rsidR="00113E1C" w:rsidRPr="0067507D">
        <w:t>xecutiv</w:t>
      </w:r>
      <w:r w:rsidR="00735D14" w:rsidRPr="0067507D">
        <w:t>es</w:t>
      </w:r>
      <w:bookmarkStart w:id="211" w:name="Workforce2"/>
      <w:bookmarkEnd w:id="211"/>
    </w:p>
    <w:tbl>
      <w:tblPr>
        <w:tblW w:w="9594" w:type="dxa"/>
        <w:tblInd w:w="-58" w:type="dxa"/>
        <w:tblLayout w:type="fixed"/>
        <w:tblCellMar>
          <w:left w:w="58" w:type="dxa"/>
          <w:right w:w="58" w:type="dxa"/>
        </w:tblCellMar>
        <w:tblLook w:val="04A0" w:firstRow="1" w:lastRow="0" w:firstColumn="1" w:lastColumn="0" w:noHBand="0" w:noVBand="1"/>
      </w:tblPr>
      <w:tblGrid>
        <w:gridCol w:w="2639"/>
        <w:gridCol w:w="577"/>
        <w:gridCol w:w="578"/>
        <w:gridCol w:w="579"/>
        <w:gridCol w:w="579"/>
        <w:gridCol w:w="578"/>
        <w:gridCol w:w="581"/>
        <w:gridCol w:w="578"/>
        <w:gridCol w:w="579"/>
        <w:gridCol w:w="580"/>
        <w:gridCol w:w="579"/>
        <w:gridCol w:w="578"/>
        <w:gridCol w:w="579"/>
        <w:gridCol w:w="10"/>
      </w:tblGrid>
      <w:tr w:rsidR="00CD4A80" w:rsidRPr="0067507D" w14:paraId="692861B4" w14:textId="77777777" w:rsidTr="003B7AFE">
        <w:trPr>
          <w:trHeight w:val="284"/>
        </w:trPr>
        <w:tc>
          <w:tcPr>
            <w:tcW w:w="2642" w:type="dxa"/>
            <w:noWrap/>
            <w:vAlign w:val="bottom"/>
            <w:hideMark/>
          </w:tcPr>
          <w:p w14:paraId="6FB7949B" w14:textId="25B3ABA8" w:rsidR="00CD4A80" w:rsidRPr="0067507D" w:rsidRDefault="00CD4A80" w:rsidP="00CD4A80">
            <w:pPr>
              <w:keepLines w:val="0"/>
              <w:spacing w:before="0" w:after="0"/>
              <w:rPr>
                <w:sz w:val="15"/>
                <w:szCs w:val="15"/>
              </w:rPr>
            </w:pPr>
          </w:p>
        </w:tc>
        <w:tc>
          <w:tcPr>
            <w:tcW w:w="1736" w:type="dxa"/>
            <w:gridSpan w:val="3"/>
            <w:noWrap/>
            <w:hideMark/>
          </w:tcPr>
          <w:p w14:paraId="70CCEE66" w14:textId="497E4AE2" w:rsidR="00CD4A80" w:rsidRPr="0067507D" w:rsidRDefault="00CD4A80" w:rsidP="00CD4A80">
            <w:pPr>
              <w:pStyle w:val="Tabletextheadingcentred"/>
              <w:rPr>
                <w:sz w:val="15"/>
                <w:szCs w:val="15"/>
                <w:highlight w:val="yellow"/>
              </w:rPr>
            </w:pPr>
            <w:r w:rsidRPr="0067507D">
              <w:t>Men</w:t>
            </w:r>
          </w:p>
        </w:tc>
        <w:tc>
          <w:tcPr>
            <w:tcW w:w="1738" w:type="dxa"/>
            <w:gridSpan w:val="3"/>
            <w:noWrap/>
            <w:hideMark/>
          </w:tcPr>
          <w:p w14:paraId="00E2B512" w14:textId="1062ACA2" w:rsidR="00CD4A80" w:rsidRPr="0067507D" w:rsidRDefault="00CD4A80" w:rsidP="00CD4A80">
            <w:pPr>
              <w:pStyle w:val="Tabletextheadingcentred"/>
              <w:rPr>
                <w:sz w:val="15"/>
                <w:szCs w:val="15"/>
                <w:highlight w:val="yellow"/>
              </w:rPr>
            </w:pPr>
            <w:r w:rsidRPr="0067507D">
              <w:t>Women</w:t>
            </w:r>
          </w:p>
        </w:tc>
        <w:tc>
          <w:tcPr>
            <w:tcW w:w="1737" w:type="dxa"/>
            <w:gridSpan w:val="3"/>
            <w:noWrap/>
            <w:hideMark/>
          </w:tcPr>
          <w:p w14:paraId="14492A51" w14:textId="3AC02EEB" w:rsidR="00CD4A80" w:rsidRPr="0067507D" w:rsidRDefault="00CD4A80" w:rsidP="00CD4A80">
            <w:pPr>
              <w:pStyle w:val="Tabletextheadingcentred"/>
              <w:rPr>
                <w:sz w:val="15"/>
                <w:szCs w:val="15"/>
                <w:highlight w:val="yellow"/>
              </w:rPr>
            </w:pPr>
            <w:r w:rsidRPr="0067507D">
              <w:t>Self</w:t>
            </w:r>
            <w:r w:rsidR="006A5485">
              <w:noBreakHyphen/>
            </w:r>
            <w:r w:rsidRPr="0067507D">
              <w:t>described</w:t>
            </w:r>
          </w:p>
        </w:tc>
        <w:tc>
          <w:tcPr>
            <w:tcW w:w="1741" w:type="dxa"/>
            <w:gridSpan w:val="4"/>
            <w:noWrap/>
            <w:hideMark/>
          </w:tcPr>
          <w:p w14:paraId="55E9106F" w14:textId="66FD7859" w:rsidR="00CD4A80" w:rsidRPr="0067507D" w:rsidRDefault="00CD4A80" w:rsidP="00CD4A80">
            <w:pPr>
              <w:pStyle w:val="Tabletextheadingcentred"/>
              <w:rPr>
                <w:sz w:val="15"/>
                <w:szCs w:val="15"/>
                <w:highlight w:val="yellow"/>
              </w:rPr>
            </w:pPr>
            <w:r w:rsidRPr="0067507D">
              <w:t>All</w:t>
            </w:r>
          </w:p>
        </w:tc>
      </w:tr>
      <w:tr w:rsidR="00CD4A80" w:rsidRPr="0067507D" w14:paraId="0B2ACC81" w14:textId="77777777" w:rsidTr="003B7AFE">
        <w:trPr>
          <w:gridAfter w:val="1"/>
          <w:wAfter w:w="10" w:type="dxa"/>
          <w:trHeight w:val="290"/>
        </w:trPr>
        <w:tc>
          <w:tcPr>
            <w:tcW w:w="2642" w:type="dxa"/>
            <w:noWrap/>
            <w:vAlign w:val="bottom"/>
            <w:hideMark/>
          </w:tcPr>
          <w:p w14:paraId="4D3923C9" w14:textId="77777777" w:rsidR="00CD4A80" w:rsidRPr="0067507D" w:rsidRDefault="00CD4A80" w:rsidP="007946A7">
            <w:pPr>
              <w:pStyle w:val="Tabletextbold"/>
              <w:rPr>
                <w:color w:val="000000"/>
                <w:szCs w:val="15"/>
              </w:rPr>
            </w:pPr>
            <w:r w:rsidRPr="0067507D">
              <w:t>Portfolio agencies</w:t>
            </w:r>
          </w:p>
        </w:tc>
        <w:tc>
          <w:tcPr>
            <w:tcW w:w="578" w:type="dxa"/>
            <w:noWrap/>
            <w:hideMark/>
          </w:tcPr>
          <w:p w14:paraId="241EB75A" w14:textId="5F7718F4" w:rsidR="00CD4A80" w:rsidRPr="0067507D" w:rsidRDefault="00CD4A80" w:rsidP="00CD4A80">
            <w:pPr>
              <w:pStyle w:val="Tabletextheadingright"/>
              <w:rPr>
                <w:sz w:val="15"/>
                <w:szCs w:val="15"/>
                <w:highlight w:val="yellow"/>
              </w:rPr>
            </w:pPr>
            <w:r w:rsidRPr="0067507D">
              <w:t>2025</w:t>
            </w:r>
          </w:p>
        </w:tc>
        <w:tc>
          <w:tcPr>
            <w:tcW w:w="579" w:type="dxa"/>
            <w:noWrap/>
            <w:hideMark/>
          </w:tcPr>
          <w:p w14:paraId="496CCFA9" w14:textId="1DBD5B31" w:rsidR="00CD4A80" w:rsidRPr="0067507D" w:rsidRDefault="00CD4A80" w:rsidP="00CD4A80">
            <w:pPr>
              <w:pStyle w:val="Tabletextheadingright"/>
              <w:rPr>
                <w:sz w:val="15"/>
                <w:szCs w:val="15"/>
                <w:highlight w:val="yellow"/>
              </w:rPr>
            </w:pPr>
            <w:r w:rsidRPr="0067507D">
              <w:t>2024</w:t>
            </w:r>
          </w:p>
        </w:tc>
        <w:tc>
          <w:tcPr>
            <w:tcW w:w="578" w:type="dxa"/>
            <w:noWrap/>
            <w:hideMark/>
          </w:tcPr>
          <w:p w14:paraId="6E6769AC" w14:textId="767260BD" w:rsidR="00CD4A80" w:rsidRPr="0067507D" w:rsidRDefault="00CD4A80" w:rsidP="00CD4A80">
            <w:pPr>
              <w:pStyle w:val="Tabletextheadingright"/>
              <w:rPr>
                <w:sz w:val="15"/>
                <w:szCs w:val="15"/>
                <w:highlight w:val="yellow"/>
              </w:rPr>
            </w:pPr>
            <w:r w:rsidRPr="0067507D">
              <w:t>Var</w:t>
            </w:r>
          </w:p>
        </w:tc>
        <w:tc>
          <w:tcPr>
            <w:tcW w:w="579" w:type="dxa"/>
            <w:noWrap/>
            <w:hideMark/>
          </w:tcPr>
          <w:p w14:paraId="104DDF2D" w14:textId="289A819B" w:rsidR="00CD4A80" w:rsidRPr="0067507D" w:rsidRDefault="00CD4A80" w:rsidP="00CD4A80">
            <w:pPr>
              <w:pStyle w:val="Tabletextheadingright"/>
              <w:rPr>
                <w:sz w:val="15"/>
                <w:szCs w:val="15"/>
                <w:highlight w:val="yellow"/>
              </w:rPr>
            </w:pPr>
            <w:r w:rsidRPr="0067507D">
              <w:t>2025</w:t>
            </w:r>
          </w:p>
        </w:tc>
        <w:tc>
          <w:tcPr>
            <w:tcW w:w="578" w:type="dxa"/>
            <w:noWrap/>
            <w:hideMark/>
          </w:tcPr>
          <w:p w14:paraId="16778636" w14:textId="03EE6DC4" w:rsidR="00CD4A80" w:rsidRPr="0067507D" w:rsidRDefault="00CD4A80" w:rsidP="00CD4A80">
            <w:pPr>
              <w:pStyle w:val="Tabletextheadingright"/>
              <w:rPr>
                <w:sz w:val="15"/>
                <w:szCs w:val="15"/>
                <w:highlight w:val="yellow"/>
              </w:rPr>
            </w:pPr>
            <w:r w:rsidRPr="0067507D">
              <w:t>2024</w:t>
            </w:r>
          </w:p>
        </w:tc>
        <w:tc>
          <w:tcPr>
            <w:tcW w:w="579" w:type="dxa"/>
            <w:noWrap/>
            <w:hideMark/>
          </w:tcPr>
          <w:p w14:paraId="02647653" w14:textId="263E359A" w:rsidR="00CD4A80" w:rsidRPr="0067507D" w:rsidRDefault="00CD4A80" w:rsidP="00CD4A80">
            <w:pPr>
              <w:pStyle w:val="Tabletextheadingright"/>
              <w:rPr>
                <w:sz w:val="15"/>
                <w:szCs w:val="15"/>
                <w:highlight w:val="yellow"/>
              </w:rPr>
            </w:pPr>
            <w:r w:rsidRPr="0067507D">
              <w:t>Var</w:t>
            </w:r>
          </w:p>
        </w:tc>
        <w:tc>
          <w:tcPr>
            <w:tcW w:w="578" w:type="dxa"/>
            <w:noWrap/>
            <w:hideMark/>
          </w:tcPr>
          <w:p w14:paraId="631C042D" w14:textId="49AF7A17" w:rsidR="00CD4A80" w:rsidRPr="0067507D" w:rsidRDefault="00CD4A80" w:rsidP="00CD4A80">
            <w:pPr>
              <w:pStyle w:val="Tabletextheadingright"/>
              <w:rPr>
                <w:sz w:val="15"/>
                <w:szCs w:val="15"/>
                <w:highlight w:val="yellow"/>
              </w:rPr>
            </w:pPr>
            <w:r w:rsidRPr="0067507D">
              <w:t>2025</w:t>
            </w:r>
          </w:p>
        </w:tc>
        <w:tc>
          <w:tcPr>
            <w:tcW w:w="579" w:type="dxa"/>
            <w:noWrap/>
            <w:hideMark/>
          </w:tcPr>
          <w:p w14:paraId="44D90AC4" w14:textId="49B62F1C" w:rsidR="00CD4A80" w:rsidRPr="0067507D" w:rsidRDefault="00CD4A80" w:rsidP="00CD4A80">
            <w:pPr>
              <w:pStyle w:val="Tabletextheadingright"/>
              <w:rPr>
                <w:sz w:val="15"/>
                <w:szCs w:val="15"/>
                <w:highlight w:val="yellow"/>
              </w:rPr>
            </w:pPr>
            <w:r w:rsidRPr="0067507D">
              <w:t>2024</w:t>
            </w:r>
          </w:p>
        </w:tc>
        <w:tc>
          <w:tcPr>
            <w:tcW w:w="578" w:type="dxa"/>
            <w:noWrap/>
            <w:hideMark/>
          </w:tcPr>
          <w:p w14:paraId="557ED892" w14:textId="6C1A6CDC" w:rsidR="00CD4A80" w:rsidRPr="0067507D" w:rsidRDefault="00CD4A80" w:rsidP="00CD4A80">
            <w:pPr>
              <w:pStyle w:val="Tabletextheadingright"/>
              <w:rPr>
                <w:sz w:val="15"/>
                <w:szCs w:val="15"/>
                <w:highlight w:val="yellow"/>
              </w:rPr>
            </w:pPr>
            <w:r w:rsidRPr="0067507D">
              <w:t>Var</w:t>
            </w:r>
          </w:p>
        </w:tc>
        <w:tc>
          <w:tcPr>
            <w:tcW w:w="579" w:type="dxa"/>
            <w:noWrap/>
            <w:hideMark/>
          </w:tcPr>
          <w:p w14:paraId="7E472AEF" w14:textId="420A18A7" w:rsidR="00CD4A80" w:rsidRPr="0067507D" w:rsidRDefault="00CD4A80" w:rsidP="00CD4A80">
            <w:pPr>
              <w:pStyle w:val="Tabletextheadingright"/>
              <w:rPr>
                <w:sz w:val="15"/>
                <w:szCs w:val="15"/>
                <w:highlight w:val="yellow"/>
              </w:rPr>
            </w:pPr>
            <w:r w:rsidRPr="0067507D">
              <w:t>2025</w:t>
            </w:r>
          </w:p>
        </w:tc>
        <w:tc>
          <w:tcPr>
            <w:tcW w:w="578" w:type="dxa"/>
            <w:noWrap/>
            <w:hideMark/>
          </w:tcPr>
          <w:p w14:paraId="0B47011F" w14:textId="49F0459E" w:rsidR="00CD4A80" w:rsidRPr="0067507D" w:rsidRDefault="00CD4A80" w:rsidP="00CD4A80">
            <w:pPr>
              <w:pStyle w:val="Tabletextheadingright"/>
              <w:rPr>
                <w:sz w:val="15"/>
                <w:szCs w:val="15"/>
                <w:highlight w:val="yellow"/>
              </w:rPr>
            </w:pPr>
            <w:r w:rsidRPr="0067507D">
              <w:t>2024</w:t>
            </w:r>
          </w:p>
        </w:tc>
        <w:tc>
          <w:tcPr>
            <w:tcW w:w="579" w:type="dxa"/>
            <w:noWrap/>
            <w:hideMark/>
          </w:tcPr>
          <w:p w14:paraId="3E02C420" w14:textId="4FF082D7" w:rsidR="00CD4A80" w:rsidRPr="0067507D" w:rsidRDefault="00CD4A80" w:rsidP="00CD4A80">
            <w:pPr>
              <w:pStyle w:val="Tabletextheadingright"/>
              <w:rPr>
                <w:sz w:val="15"/>
                <w:szCs w:val="15"/>
                <w:highlight w:val="yellow"/>
              </w:rPr>
            </w:pPr>
            <w:r w:rsidRPr="0067507D">
              <w:t>Var</w:t>
            </w:r>
          </w:p>
        </w:tc>
      </w:tr>
      <w:tr w:rsidR="003B7AFE" w:rsidRPr="0067507D" w14:paraId="118DAB99" w14:textId="77777777" w:rsidTr="003B7AFE">
        <w:trPr>
          <w:gridAfter w:val="1"/>
          <w:wAfter w:w="10" w:type="dxa"/>
          <w:trHeight w:val="283"/>
        </w:trPr>
        <w:tc>
          <w:tcPr>
            <w:tcW w:w="2642" w:type="dxa"/>
            <w:noWrap/>
            <w:hideMark/>
          </w:tcPr>
          <w:p w14:paraId="03F43248" w14:textId="77777777" w:rsidR="00F42ABA" w:rsidRPr="0067507D" w:rsidRDefault="00F42ABA" w:rsidP="00F42ABA">
            <w:pPr>
              <w:pStyle w:val="Tabletext"/>
              <w:rPr>
                <w:color w:val="000000"/>
                <w:szCs w:val="15"/>
              </w:rPr>
            </w:pPr>
            <w:r w:rsidRPr="0067507D">
              <w:t>Accident Compensation Conciliation Service</w:t>
            </w:r>
          </w:p>
        </w:tc>
        <w:tc>
          <w:tcPr>
            <w:tcW w:w="578" w:type="dxa"/>
            <w:shd w:val="clear" w:color="auto" w:fill="E0E0E0"/>
            <w:noWrap/>
            <w:hideMark/>
          </w:tcPr>
          <w:p w14:paraId="4A399739" w14:textId="2BDACFF0" w:rsidR="00F42ABA" w:rsidRPr="0067507D" w:rsidRDefault="00F42ABA" w:rsidP="00F42ABA">
            <w:pPr>
              <w:pStyle w:val="Tabletextright"/>
              <w:rPr>
                <w:szCs w:val="15"/>
                <w:highlight w:val="yellow"/>
              </w:rPr>
            </w:pPr>
            <w:r w:rsidRPr="0067507D">
              <w:t>2</w:t>
            </w:r>
          </w:p>
        </w:tc>
        <w:tc>
          <w:tcPr>
            <w:tcW w:w="579" w:type="dxa"/>
            <w:shd w:val="clear" w:color="auto" w:fill="E0E0E0"/>
            <w:noWrap/>
            <w:hideMark/>
          </w:tcPr>
          <w:p w14:paraId="1E6B3FD9" w14:textId="0467E709" w:rsidR="00F42ABA" w:rsidRPr="0067507D" w:rsidRDefault="00F42ABA" w:rsidP="00F42ABA">
            <w:pPr>
              <w:pStyle w:val="Tabletextright"/>
              <w:rPr>
                <w:szCs w:val="15"/>
                <w:highlight w:val="yellow"/>
              </w:rPr>
            </w:pPr>
            <w:r w:rsidRPr="0067507D">
              <w:t>3</w:t>
            </w:r>
          </w:p>
        </w:tc>
        <w:tc>
          <w:tcPr>
            <w:tcW w:w="578" w:type="dxa"/>
            <w:shd w:val="clear" w:color="auto" w:fill="E0E0E0"/>
            <w:noWrap/>
            <w:hideMark/>
          </w:tcPr>
          <w:p w14:paraId="137D2F04" w14:textId="2116E444" w:rsidR="00F42ABA" w:rsidRPr="0067507D" w:rsidRDefault="00F42ABA" w:rsidP="00F42ABA">
            <w:pPr>
              <w:pStyle w:val="Tabletextright"/>
              <w:rPr>
                <w:szCs w:val="15"/>
                <w:highlight w:val="yellow"/>
              </w:rPr>
            </w:pPr>
            <w:r w:rsidRPr="0067507D">
              <w:t>(1)</w:t>
            </w:r>
          </w:p>
        </w:tc>
        <w:tc>
          <w:tcPr>
            <w:tcW w:w="579" w:type="dxa"/>
            <w:noWrap/>
            <w:hideMark/>
          </w:tcPr>
          <w:p w14:paraId="4481755C" w14:textId="063FCDB0" w:rsidR="00F42ABA" w:rsidRPr="0067507D" w:rsidRDefault="00F42ABA" w:rsidP="00F42ABA">
            <w:pPr>
              <w:pStyle w:val="Tabletextright"/>
              <w:rPr>
                <w:szCs w:val="15"/>
                <w:highlight w:val="yellow"/>
              </w:rPr>
            </w:pPr>
            <w:r w:rsidRPr="0067507D">
              <w:t>3</w:t>
            </w:r>
          </w:p>
        </w:tc>
        <w:tc>
          <w:tcPr>
            <w:tcW w:w="578" w:type="dxa"/>
            <w:noWrap/>
            <w:hideMark/>
          </w:tcPr>
          <w:p w14:paraId="35801A26" w14:textId="58C28944" w:rsidR="00F42ABA" w:rsidRPr="0067507D" w:rsidRDefault="00F42ABA" w:rsidP="00F42ABA">
            <w:pPr>
              <w:pStyle w:val="Tabletextright"/>
              <w:rPr>
                <w:szCs w:val="15"/>
                <w:highlight w:val="yellow"/>
              </w:rPr>
            </w:pPr>
            <w:r w:rsidRPr="0067507D">
              <w:t>3</w:t>
            </w:r>
          </w:p>
        </w:tc>
        <w:tc>
          <w:tcPr>
            <w:tcW w:w="579" w:type="dxa"/>
            <w:noWrap/>
            <w:hideMark/>
          </w:tcPr>
          <w:p w14:paraId="0E77E179" w14:textId="618246B2"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2811A53E" w14:textId="0832254C"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47FCFD89" w14:textId="465D7A23"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4F974B95" w14:textId="30AF5BAE" w:rsidR="00F42ABA" w:rsidRPr="0067507D" w:rsidRDefault="009634D4" w:rsidP="00F42ABA">
            <w:pPr>
              <w:pStyle w:val="Tabletextright"/>
              <w:rPr>
                <w:szCs w:val="15"/>
                <w:highlight w:val="yellow"/>
              </w:rPr>
            </w:pPr>
            <w:r w:rsidRPr="0067507D">
              <w:t>–</w:t>
            </w:r>
          </w:p>
        </w:tc>
        <w:tc>
          <w:tcPr>
            <w:tcW w:w="579" w:type="dxa"/>
            <w:noWrap/>
            <w:hideMark/>
          </w:tcPr>
          <w:p w14:paraId="7A3B72A9" w14:textId="61DAD111" w:rsidR="00F42ABA" w:rsidRPr="0067507D" w:rsidRDefault="00F42ABA" w:rsidP="00F42ABA">
            <w:pPr>
              <w:pStyle w:val="Tabletextright"/>
              <w:rPr>
                <w:szCs w:val="15"/>
                <w:highlight w:val="yellow"/>
              </w:rPr>
            </w:pPr>
            <w:r w:rsidRPr="0067507D">
              <w:t>5</w:t>
            </w:r>
          </w:p>
        </w:tc>
        <w:tc>
          <w:tcPr>
            <w:tcW w:w="578" w:type="dxa"/>
            <w:noWrap/>
            <w:hideMark/>
          </w:tcPr>
          <w:p w14:paraId="55AAADF0" w14:textId="2293581D" w:rsidR="00F42ABA" w:rsidRPr="0067507D" w:rsidRDefault="00F42ABA" w:rsidP="00F42ABA">
            <w:pPr>
              <w:pStyle w:val="Tabletextright"/>
              <w:rPr>
                <w:szCs w:val="15"/>
                <w:highlight w:val="yellow"/>
              </w:rPr>
            </w:pPr>
            <w:r w:rsidRPr="0067507D">
              <w:t>6</w:t>
            </w:r>
          </w:p>
        </w:tc>
        <w:tc>
          <w:tcPr>
            <w:tcW w:w="579" w:type="dxa"/>
            <w:noWrap/>
            <w:hideMark/>
          </w:tcPr>
          <w:p w14:paraId="0FDFA370" w14:textId="09A80956" w:rsidR="00F42ABA" w:rsidRPr="0067507D" w:rsidRDefault="00F42ABA" w:rsidP="00F42ABA">
            <w:pPr>
              <w:pStyle w:val="Tabletextright"/>
              <w:rPr>
                <w:szCs w:val="15"/>
                <w:highlight w:val="yellow"/>
              </w:rPr>
            </w:pPr>
            <w:r w:rsidRPr="0067507D">
              <w:t>(1)</w:t>
            </w:r>
          </w:p>
        </w:tc>
      </w:tr>
      <w:tr w:rsidR="003B7AFE" w:rsidRPr="0067507D" w14:paraId="3D67F0A4" w14:textId="77777777" w:rsidTr="003B7AFE">
        <w:trPr>
          <w:gridAfter w:val="1"/>
          <w:wAfter w:w="10" w:type="dxa"/>
          <w:trHeight w:val="283"/>
        </w:trPr>
        <w:tc>
          <w:tcPr>
            <w:tcW w:w="2642" w:type="dxa"/>
            <w:noWrap/>
            <w:hideMark/>
          </w:tcPr>
          <w:p w14:paraId="02FCD0FF" w14:textId="77777777" w:rsidR="00F42ABA" w:rsidRPr="0067507D" w:rsidRDefault="00F42ABA" w:rsidP="00F42ABA">
            <w:pPr>
              <w:pStyle w:val="Tabletext"/>
              <w:rPr>
                <w:color w:val="000000"/>
                <w:szCs w:val="15"/>
              </w:rPr>
            </w:pPr>
            <w:r w:rsidRPr="0067507D">
              <w:t>Emergency Services Superannuation Board</w:t>
            </w:r>
          </w:p>
        </w:tc>
        <w:tc>
          <w:tcPr>
            <w:tcW w:w="578" w:type="dxa"/>
            <w:shd w:val="clear" w:color="auto" w:fill="E0E0E0"/>
            <w:noWrap/>
            <w:hideMark/>
          </w:tcPr>
          <w:p w14:paraId="37EA73E5" w14:textId="263AE60F" w:rsidR="00F42ABA" w:rsidRPr="0067507D" w:rsidRDefault="00F42ABA" w:rsidP="00F42ABA">
            <w:pPr>
              <w:pStyle w:val="Tabletextright"/>
              <w:rPr>
                <w:szCs w:val="15"/>
                <w:highlight w:val="yellow"/>
              </w:rPr>
            </w:pPr>
            <w:r w:rsidRPr="0067507D">
              <w:t>4</w:t>
            </w:r>
          </w:p>
        </w:tc>
        <w:tc>
          <w:tcPr>
            <w:tcW w:w="579" w:type="dxa"/>
            <w:shd w:val="clear" w:color="auto" w:fill="E0E0E0"/>
            <w:noWrap/>
            <w:hideMark/>
          </w:tcPr>
          <w:p w14:paraId="386CE6F2" w14:textId="3C988559" w:rsidR="00F42ABA" w:rsidRPr="0067507D" w:rsidRDefault="00F42ABA" w:rsidP="00F42ABA">
            <w:pPr>
              <w:pStyle w:val="Tabletextright"/>
              <w:rPr>
                <w:szCs w:val="15"/>
                <w:highlight w:val="yellow"/>
              </w:rPr>
            </w:pPr>
            <w:r w:rsidRPr="0067507D">
              <w:t>5</w:t>
            </w:r>
          </w:p>
        </w:tc>
        <w:tc>
          <w:tcPr>
            <w:tcW w:w="578" w:type="dxa"/>
            <w:shd w:val="clear" w:color="auto" w:fill="E0E0E0"/>
            <w:noWrap/>
            <w:hideMark/>
          </w:tcPr>
          <w:p w14:paraId="44E498B9" w14:textId="42406E24" w:rsidR="00F42ABA" w:rsidRPr="0067507D" w:rsidRDefault="00F42ABA" w:rsidP="00F42ABA">
            <w:pPr>
              <w:pStyle w:val="Tabletextright"/>
              <w:rPr>
                <w:szCs w:val="15"/>
                <w:highlight w:val="yellow"/>
              </w:rPr>
            </w:pPr>
            <w:r w:rsidRPr="0067507D">
              <w:t>(1)</w:t>
            </w:r>
          </w:p>
        </w:tc>
        <w:tc>
          <w:tcPr>
            <w:tcW w:w="579" w:type="dxa"/>
            <w:noWrap/>
            <w:hideMark/>
          </w:tcPr>
          <w:p w14:paraId="10C3BDA3" w14:textId="3CCE2781" w:rsidR="00F42ABA" w:rsidRPr="0067507D" w:rsidRDefault="00F42ABA" w:rsidP="00F42ABA">
            <w:pPr>
              <w:pStyle w:val="Tabletextright"/>
              <w:rPr>
                <w:szCs w:val="15"/>
                <w:highlight w:val="yellow"/>
              </w:rPr>
            </w:pPr>
            <w:r w:rsidRPr="0067507D">
              <w:t>4</w:t>
            </w:r>
          </w:p>
        </w:tc>
        <w:tc>
          <w:tcPr>
            <w:tcW w:w="578" w:type="dxa"/>
            <w:noWrap/>
            <w:hideMark/>
          </w:tcPr>
          <w:p w14:paraId="404ED42E" w14:textId="4BCE6431" w:rsidR="00F42ABA" w:rsidRPr="0067507D" w:rsidRDefault="00F42ABA" w:rsidP="00F42ABA">
            <w:pPr>
              <w:pStyle w:val="Tabletextright"/>
              <w:rPr>
                <w:szCs w:val="15"/>
                <w:highlight w:val="yellow"/>
              </w:rPr>
            </w:pPr>
            <w:r w:rsidRPr="0067507D">
              <w:t>3</w:t>
            </w:r>
          </w:p>
        </w:tc>
        <w:tc>
          <w:tcPr>
            <w:tcW w:w="579" w:type="dxa"/>
            <w:noWrap/>
            <w:hideMark/>
          </w:tcPr>
          <w:p w14:paraId="2B2ECADE" w14:textId="47E68DF5" w:rsidR="00F42ABA" w:rsidRPr="0067507D" w:rsidRDefault="00F42ABA" w:rsidP="00F42ABA">
            <w:pPr>
              <w:pStyle w:val="Tabletextright"/>
              <w:rPr>
                <w:szCs w:val="15"/>
                <w:highlight w:val="yellow"/>
              </w:rPr>
            </w:pPr>
            <w:r w:rsidRPr="0067507D">
              <w:t>1</w:t>
            </w:r>
          </w:p>
        </w:tc>
        <w:tc>
          <w:tcPr>
            <w:tcW w:w="578" w:type="dxa"/>
            <w:shd w:val="clear" w:color="auto" w:fill="E0E0E0"/>
            <w:noWrap/>
            <w:hideMark/>
          </w:tcPr>
          <w:p w14:paraId="3D297E8A" w14:textId="494E6654"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7BE85071" w14:textId="0D01C904"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1A62F6DD" w14:textId="517B2DDE" w:rsidR="00F42ABA" w:rsidRPr="0067507D" w:rsidRDefault="009634D4" w:rsidP="00F42ABA">
            <w:pPr>
              <w:pStyle w:val="Tabletextright"/>
              <w:rPr>
                <w:szCs w:val="15"/>
                <w:highlight w:val="yellow"/>
              </w:rPr>
            </w:pPr>
            <w:r w:rsidRPr="0067507D">
              <w:t>–</w:t>
            </w:r>
          </w:p>
        </w:tc>
        <w:tc>
          <w:tcPr>
            <w:tcW w:w="579" w:type="dxa"/>
            <w:noWrap/>
            <w:hideMark/>
          </w:tcPr>
          <w:p w14:paraId="61A540D8" w14:textId="5989C78C" w:rsidR="00F42ABA" w:rsidRPr="0067507D" w:rsidRDefault="00F42ABA" w:rsidP="00F42ABA">
            <w:pPr>
              <w:pStyle w:val="Tabletextright"/>
              <w:rPr>
                <w:szCs w:val="15"/>
                <w:highlight w:val="yellow"/>
              </w:rPr>
            </w:pPr>
            <w:r w:rsidRPr="0067507D">
              <w:t>8</w:t>
            </w:r>
          </w:p>
        </w:tc>
        <w:tc>
          <w:tcPr>
            <w:tcW w:w="578" w:type="dxa"/>
            <w:noWrap/>
            <w:hideMark/>
          </w:tcPr>
          <w:p w14:paraId="1BB58007" w14:textId="15B92073" w:rsidR="00F42ABA" w:rsidRPr="0067507D" w:rsidRDefault="00F42ABA" w:rsidP="00F42ABA">
            <w:pPr>
              <w:pStyle w:val="Tabletextright"/>
              <w:rPr>
                <w:szCs w:val="15"/>
                <w:highlight w:val="yellow"/>
              </w:rPr>
            </w:pPr>
            <w:r w:rsidRPr="0067507D">
              <w:t>8</w:t>
            </w:r>
          </w:p>
        </w:tc>
        <w:tc>
          <w:tcPr>
            <w:tcW w:w="579" w:type="dxa"/>
            <w:noWrap/>
            <w:hideMark/>
          </w:tcPr>
          <w:p w14:paraId="1CFD530E" w14:textId="37676D23" w:rsidR="00F42ABA" w:rsidRPr="0067507D" w:rsidRDefault="009634D4" w:rsidP="00F42ABA">
            <w:pPr>
              <w:pStyle w:val="Tabletextright"/>
              <w:rPr>
                <w:szCs w:val="15"/>
                <w:highlight w:val="yellow"/>
              </w:rPr>
            </w:pPr>
            <w:r w:rsidRPr="0067507D">
              <w:t>–</w:t>
            </w:r>
          </w:p>
        </w:tc>
      </w:tr>
      <w:tr w:rsidR="003B7AFE" w:rsidRPr="0067507D" w14:paraId="4D222D55" w14:textId="77777777" w:rsidTr="003B7AFE">
        <w:trPr>
          <w:gridAfter w:val="1"/>
          <w:wAfter w:w="10" w:type="dxa"/>
          <w:trHeight w:val="283"/>
        </w:trPr>
        <w:tc>
          <w:tcPr>
            <w:tcW w:w="2642" w:type="dxa"/>
            <w:noWrap/>
            <w:hideMark/>
          </w:tcPr>
          <w:p w14:paraId="57879207" w14:textId="77777777" w:rsidR="00F42ABA" w:rsidRPr="0067507D" w:rsidRDefault="00F42ABA" w:rsidP="00F42ABA">
            <w:pPr>
              <w:pStyle w:val="Tabletext"/>
              <w:rPr>
                <w:color w:val="000000"/>
                <w:szCs w:val="15"/>
              </w:rPr>
            </w:pPr>
            <w:r w:rsidRPr="0067507D">
              <w:t>Essential Services Commission</w:t>
            </w:r>
          </w:p>
        </w:tc>
        <w:tc>
          <w:tcPr>
            <w:tcW w:w="578" w:type="dxa"/>
            <w:shd w:val="clear" w:color="auto" w:fill="E0E0E0"/>
            <w:noWrap/>
            <w:hideMark/>
          </w:tcPr>
          <w:p w14:paraId="06F9F734" w14:textId="32637E65" w:rsidR="00F42ABA" w:rsidRPr="0067507D" w:rsidRDefault="00F42ABA" w:rsidP="00F42ABA">
            <w:pPr>
              <w:pStyle w:val="Tabletextright"/>
              <w:rPr>
                <w:szCs w:val="15"/>
                <w:highlight w:val="yellow"/>
              </w:rPr>
            </w:pPr>
            <w:r w:rsidRPr="0067507D">
              <w:t>5</w:t>
            </w:r>
          </w:p>
        </w:tc>
        <w:tc>
          <w:tcPr>
            <w:tcW w:w="579" w:type="dxa"/>
            <w:shd w:val="clear" w:color="auto" w:fill="E0E0E0"/>
            <w:noWrap/>
            <w:hideMark/>
          </w:tcPr>
          <w:p w14:paraId="3E8D4581" w14:textId="2DF4C8AD" w:rsidR="00F42ABA" w:rsidRPr="0067507D" w:rsidRDefault="00F42ABA" w:rsidP="00F42ABA">
            <w:pPr>
              <w:pStyle w:val="Tabletextright"/>
              <w:rPr>
                <w:szCs w:val="15"/>
                <w:highlight w:val="yellow"/>
              </w:rPr>
            </w:pPr>
            <w:r w:rsidRPr="0067507D">
              <w:t>6</w:t>
            </w:r>
          </w:p>
        </w:tc>
        <w:tc>
          <w:tcPr>
            <w:tcW w:w="578" w:type="dxa"/>
            <w:shd w:val="clear" w:color="auto" w:fill="E0E0E0"/>
            <w:noWrap/>
            <w:hideMark/>
          </w:tcPr>
          <w:p w14:paraId="4CB047DE" w14:textId="22C3627A" w:rsidR="00F42ABA" w:rsidRPr="0067507D" w:rsidRDefault="00F42ABA" w:rsidP="00F42ABA">
            <w:pPr>
              <w:pStyle w:val="Tabletextright"/>
              <w:rPr>
                <w:szCs w:val="15"/>
                <w:highlight w:val="yellow"/>
              </w:rPr>
            </w:pPr>
            <w:r w:rsidRPr="0067507D">
              <w:t>(1)</w:t>
            </w:r>
          </w:p>
        </w:tc>
        <w:tc>
          <w:tcPr>
            <w:tcW w:w="579" w:type="dxa"/>
            <w:noWrap/>
            <w:hideMark/>
          </w:tcPr>
          <w:p w14:paraId="21C1FFF8" w14:textId="3CA59CB1" w:rsidR="00F42ABA" w:rsidRPr="0067507D" w:rsidRDefault="00F42ABA" w:rsidP="00F42ABA">
            <w:pPr>
              <w:pStyle w:val="Tabletextright"/>
              <w:rPr>
                <w:szCs w:val="15"/>
                <w:highlight w:val="yellow"/>
              </w:rPr>
            </w:pPr>
            <w:r w:rsidRPr="0067507D">
              <w:t>7</w:t>
            </w:r>
          </w:p>
        </w:tc>
        <w:tc>
          <w:tcPr>
            <w:tcW w:w="578" w:type="dxa"/>
            <w:noWrap/>
            <w:hideMark/>
          </w:tcPr>
          <w:p w14:paraId="2A858B49" w14:textId="3878F8E2" w:rsidR="00F42ABA" w:rsidRPr="0067507D" w:rsidRDefault="00F42ABA" w:rsidP="00F42ABA">
            <w:pPr>
              <w:pStyle w:val="Tabletextright"/>
              <w:rPr>
                <w:szCs w:val="15"/>
                <w:highlight w:val="yellow"/>
              </w:rPr>
            </w:pPr>
            <w:r w:rsidRPr="0067507D">
              <w:t>6</w:t>
            </w:r>
          </w:p>
        </w:tc>
        <w:tc>
          <w:tcPr>
            <w:tcW w:w="579" w:type="dxa"/>
            <w:noWrap/>
            <w:hideMark/>
          </w:tcPr>
          <w:p w14:paraId="603D4037" w14:textId="13F0D3FD" w:rsidR="00F42ABA" w:rsidRPr="0067507D" w:rsidRDefault="00F42ABA" w:rsidP="00F42ABA">
            <w:pPr>
              <w:pStyle w:val="Tabletextright"/>
              <w:rPr>
                <w:szCs w:val="15"/>
                <w:highlight w:val="yellow"/>
              </w:rPr>
            </w:pPr>
            <w:r w:rsidRPr="0067507D">
              <w:t>1</w:t>
            </w:r>
          </w:p>
        </w:tc>
        <w:tc>
          <w:tcPr>
            <w:tcW w:w="578" w:type="dxa"/>
            <w:shd w:val="clear" w:color="auto" w:fill="E0E0E0"/>
            <w:noWrap/>
            <w:hideMark/>
          </w:tcPr>
          <w:p w14:paraId="28D56FE0" w14:textId="5ADA6742"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1F319B73" w14:textId="3BB2D71A"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4D2551A9" w14:textId="1503581A" w:rsidR="00F42ABA" w:rsidRPr="0067507D" w:rsidRDefault="009634D4" w:rsidP="00F42ABA">
            <w:pPr>
              <w:pStyle w:val="Tabletextright"/>
              <w:rPr>
                <w:szCs w:val="15"/>
                <w:highlight w:val="yellow"/>
              </w:rPr>
            </w:pPr>
            <w:r w:rsidRPr="0067507D">
              <w:t>–</w:t>
            </w:r>
          </w:p>
        </w:tc>
        <w:tc>
          <w:tcPr>
            <w:tcW w:w="579" w:type="dxa"/>
            <w:noWrap/>
            <w:hideMark/>
          </w:tcPr>
          <w:p w14:paraId="2BBA93CB" w14:textId="40257761" w:rsidR="00F42ABA" w:rsidRPr="0067507D" w:rsidRDefault="00F42ABA" w:rsidP="00F42ABA">
            <w:pPr>
              <w:pStyle w:val="Tabletextright"/>
              <w:rPr>
                <w:szCs w:val="15"/>
                <w:highlight w:val="yellow"/>
              </w:rPr>
            </w:pPr>
            <w:r w:rsidRPr="0067507D">
              <w:t>12</w:t>
            </w:r>
          </w:p>
        </w:tc>
        <w:tc>
          <w:tcPr>
            <w:tcW w:w="578" w:type="dxa"/>
            <w:noWrap/>
            <w:hideMark/>
          </w:tcPr>
          <w:p w14:paraId="2FC48C98" w14:textId="78619010" w:rsidR="00F42ABA" w:rsidRPr="0067507D" w:rsidRDefault="00F42ABA" w:rsidP="00F42ABA">
            <w:pPr>
              <w:pStyle w:val="Tabletextright"/>
              <w:rPr>
                <w:szCs w:val="15"/>
                <w:highlight w:val="yellow"/>
              </w:rPr>
            </w:pPr>
            <w:r w:rsidRPr="0067507D">
              <w:t>12</w:t>
            </w:r>
          </w:p>
        </w:tc>
        <w:tc>
          <w:tcPr>
            <w:tcW w:w="579" w:type="dxa"/>
            <w:noWrap/>
            <w:hideMark/>
          </w:tcPr>
          <w:p w14:paraId="22525F63" w14:textId="7876FFC6" w:rsidR="00F42ABA" w:rsidRPr="0067507D" w:rsidRDefault="009634D4" w:rsidP="00F42ABA">
            <w:pPr>
              <w:pStyle w:val="Tabletextright"/>
              <w:rPr>
                <w:szCs w:val="15"/>
                <w:highlight w:val="yellow"/>
              </w:rPr>
            </w:pPr>
            <w:r w:rsidRPr="0067507D">
              <w:t>–</w:t>
            </w:r>
          </w:p>
        </w:tc>
      </w:tr>
      <w:tr w:rsidR="003B7AFE" w:rsidRPr="0067507D" w14:paraId="5DBCC22F" w14:textId="77777777" w:rsidTr="003B7AFE">
        <w:trPr>
          <w:gridAfter w:val="1"/>
          <w:wAfter w:w="10" w:type="dxa"/>
          <w:trHeight w:val="283"/>
        </w:trPr>
        <w:tc>
          <w:tcPr>
            <w:tcW w:w="2642" w:type="dxa"/>
            <w:noWrap/>
            <w:hideMark/>
          </w:tcPr>
          <w:p w14:paraId="333203F3" w14:textId="77777777" w:rsidR="00F42ABA" w:rsidRPr="0067507D" w:rsidRDefault="00F42ABA" w:rsidP="00F42ABA">
            <w:pPr>
              <w:pStyle w:val="Tabletext"/>
              <w:rPr>
                <w:color w:val="000000"/>
                <w:szCs w:val="15"/>
              </w:rPr>
            </w:pPr>
            <w:r w:rsidRPr="0067507D">
              <w:t>Infrastructure Victoria</w:t>
            </w:r>
          </w:p>
        </w:tc>
        <w:tc>
          <w:tcPr>
            <w:tcW w:w="578" w:type="dxa"/>
            <w:shd w:val="clear" w:color="auto" w:fill="E0E0E0"/>
            <w:noWrap/>
            <w:hideMark/>
          </w:tcPr>
          <w:p w14:paraId="20CE549A" w14:textId="71E980E9" w:rsidR="00F42ABA" w:rsidRPr="0067507D" w:rsidRDefault="00F42ABA" w:rsidP="00F42ABA">
            <w:pPr>
              <w:pStyle w:val="Tabletextright"/>
              <w:rPr>
                <w:szCs w:val="15"/>
                <w:highlight w:val="yellow"/>
              </w:rPr>
            </w:pPr>
            <w:r w:rsidRPr="0067507D">
              <w:t>1</w:t>
            </w:r>
          </w:p>
        </w:tc>
        <w:tc>
          <w:tcPr>
            <w:tcW w:w="579" w:type="dxa"/>
            <w:shd w:val="clear" w:color="auto" w:fill="E0E0E0"/>
            <w:noWrap/>
            <w:hideMark/>
          </w:tcPr>
          <w:p w14:paraId="26904AD3" w14:textId="26036E38" w:rsidR="00F42ABA" w:rsidRPr="0067507D" w:rsidRDefault="00F42ABA" w:rsidP="00F42ABA">
            <w:pPr>
              <w:pStyle w:val="Tabletextright"/>
              <w:rPr>
                <w:szCs w:val="15"/>
                <w:highlight w:val="yellow"/>
              </w:rPr>
            </w:pPr>
            <w:r w:rsidRPr="0067507D">
              <w:t>1</w:t>
            </w:r>
          </w:p>
        </w:tc>
        <w:tc>
          <w:tcPr>
            <w:tcW w:w="578" w:type="dxa"/>
            <w:shd w:val="clear" w:color="auto" w:fill="E0E0E0"/>
            <w:noWrap/>
            <w:hideMark/>
          </w:tcPr>
          <w:p w14:paraId="089340F2" w14:textId="665804DC" w:rsidR="00F42ABA" w:rsidRPr="0067507D" w:rsidRDefault="009634D4" w:rsidP="00F42ABA">
            <w:pPr>
              <w:pStyle w:val="Tabletextright"/>
              <w:rPr>
                <w:szCs w:val="15"/>
                <w:highlight w:val="yellow"/>
              </w:rPr>
            </w:pPr>
            <w:r w:rsidRPr="0067507D">
              <w:t>–</w:t>
            </w:r>
          </w:p>
        </w:tc>
        <w:tc>
          <w:tcPr>
            <w:tcW w:w="579" w:type="dxa"/>
            <w:noWrap/>
            <w:hideMark/>
          </w:tcPr>
          <w:p w14:paraId="142F318C" w14:textId="0BAD4356" w:rsidR="00F42ABA" w:rsidRPr="0067507D" w:rsidRDefault="00F42ABA" w:rsidP="00F42ABA">
            <w:pPr>
              <w:pStyle w:val="Tabletextright"/>
              <w:rPr>
                <w:szCs w:val="15"/>
                <w:highlight w:val="yellow"/>
              </w:rPr>
            </w:pPr>
            <w:r w:rsidRPr="0067507D">
              <w:t>4</w:t>
            </w:r>
          </w:p>
        </w:tc>
        <w:tc>
          <w:tcPr>
            <w:tcW w:w="578" w:type="dxa"/>
            <w:noWrap/>
            <w:hideMark/>
          </w:tcPr>
          <w:p w14:paraId="718C9316" w14:textId="10FCF31E" w:rsidR="00F42ABA" w:rsidRPr="0067507D" w:rsidRDefault="00F42ABA" w:rsidP="00F42ABA">
            <w:pPr>
              <w:pStyle w:val="Tabletextright"/>
              <w:rPr>
                <w:szCs w:val="15"/>
                <w:highlight w:val="yellow"/>
              </w:rPr>
            </w:pPr>
            <w:r w:rsidRPr="0067507D">
              <w:t>4</w:t>
            </w:r>
          </w:p>
        </w:tc>
        <w:tc>
          <w:tcPr>
            <w:tcW w:w="579" w:type="dxa"/>
            <w:noWrap/>
            <w:hideMark/>
          </w:tcPr>
          <w:p w14:paraId="38F39AEB" w14:textId="0130A722"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748B00CF" w14:textId="42B60B48"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13AB046E" w14:textId="753163B9"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22D5B3EC" w14:textId="67F08DFB" w:rsidR="00F42ABA" w:rsidRPr="0067507D" w:rsidRDefault="009634D4" w:rsidP="00F42ABA">
            <w:pPr>
              <w:pStyle w:val="Tabletextright"/>
              <w:rPr>
                <w:szCs w:val="15"/>
                <w:highlight w:val="yellow"/>
              </w:rPr>
            </w:pPr>
            <w:r w:rsidRPr="0067507D">
              <w:t>–</w:t>
            </w:r>
          </w:p>
        </w:tc>
        <w:tc>
          <w:tcPr>
            <w:tcW w:w="579" w:type="dxa"/>
            <w:noWrap/>
            <w:hideMark/>
          </w:tcPr>
          <w:p w14:paraId="7B6434E8" w14:textId="7DE9F99C" w:rsidR="00F42ABA" w:rsidRPr="0067507D" w:rsidRDefault="00F42ABA" w:rsidP="00F42ABA">
            <w:pPr>
              <w:pStyle w:val="Tabletextright"/>
              <w:rPr>
                <w:szCs w:val="15"/>
                <w:highlight w:val="yellow"/>
              </w:rPr>
            </w:pPr>
            <w:r w:rsidRPr="0067507D">
              <w:t>5</w:t>
            </w:r>
          </w:p>
        </w:tc>
        <w:tc>
          <w:tcPr>
            <w:tcW w:w="578" w:type="dxa"/>
            <w:noWrap/>
            <w:hideMark/>
          </w:tcPr>
          <w:p w14:paraId="4E4E8FC2" w14:textId="1419CA7D" w:rsidR="00F42ABA" w:rsidRPr="0067507D" w:rsidRDefault="00F42ABA" w:rsidP="00F42ABA">
            <w:pPr>
              <w:pStyle w:val="Tabletextright"/>
              <w:rPr>
                <w:szCs w:val="15"/>
                <w:highlight w:val="yellow"/>
              </w:rPr>
            </w:pPr>
            <w:r w:rsidRPr="0067507D">
              <w:t>5</w:t>
            </w:r>
          </w:p>
        </w:tc>
        <w:tc>
          <w:tcPr>
            <w:tcW w:w="579" w:type="dxa"/>
            <w:noWrap/>
            <w:hideMark/>
          </w:tcPr>
          <w:p w14:paraId="36EDD979" w14:textId="5479338E" w:rsidR="00F42ABA" w:rsidRPr="0067507D" w:rsidRDefault="009634D4" w:rsidP="00F42ABA">
            <w:pPr>
              <w:pStyle w:val="Tabletextright"/>
              <w:rPr>
                <w:szCs w:val="15"/>
                <w:highlight w:val="yellow"/>
              </w:rPr>
            </w:pPr>
            <w:r w:rsidRPr="0067507D">
              <w:t>–</w:t>
            </w:r>
          </w:p>
        </w:tc>
      </w:tr>
      <w:tr w:rsidR="003B7AFE" w:rsidRPr="0067507D" w14:paraId="78A9494E" w14:textId="77777777" w:rsidTr="003B7AFE">
        <w:trPr>
          <w:gridAfter w:val="1"/>
          <w:wAfter w:w="10" w:type="dxa"/>
          <w:trHeight w:val="283"/>
        </w:trPr>
        <w:tc>
          <w:tcPr>
            <w:tcW w:w="2642" w:type="dxa"/>
            <w:noWrap/>
            <w:hideMark/>
          </w:tcPr>
          <w:p w14:paraId="2D726D00" w14:textId="77777777" w:rsidR="00F42ABA" w:rsidRPr="0067507D" w:rsidRDefault="00F42ABA" w:rsidP="00F42ABA">
            <w:pPr>
              <w:pStyle w:val="Tabletext"/>
              <w:rPr>
                <w:color w:val="000000"/>
                <w:szCs w:val="15"/>
              </w:rPr>
            </w:pPr>
            <w:r w:rsidRPr="0067507D">
              <w:t>Labour Hire Licensing Authority</w:t>
            </w:r>
          </w:p>
        </w:tc>
        <w:tc>
          <w:tcPr>
            <w:tcW w:w="578" w:type="dxa"/>
            <w:shd w:val="clear" w:color="auto" w:fill="E0E0E0"/>
            <w:noWrap/>
            <w:hideMark/>
          </w:tcPr>
          <w:p w14:paraId="19CC705E" w14:textId="2E457AB1" w:rsidR="00F42ABA" w:rsidRPr="0067507D" w:rsidRDefault="00F42ABA" w:rsidP="00F42ABA">
            <w:pPr>
              <w:pStyle w:val="Tabletextright"/>
              <w:rPr>
                <w:szCs w:val="15"/>
                <w:highlight w:val="yellow"/>
              </w:rPr>
            </w:pPr>
            <w:r w:rsidRPr="0067507D">
              <w:t>1</w:t>
            </w:r>
          </w:p>
        </w:tc>
        <w:tc>
          <w:tcPr>
            <w:tcW w:w="579" w:type="dxa"/>
            <w:shd w:val="clear" w:color="auto" w:fill="E0E0E0"/>
            <w:noWrap/>
            <w:hideMark/>
          </w:tcPr>
          <w:p w14:paraId="52FF980B" w14:textId="3A8092F8" w:rsidR="00F42ABA" w:rsidRPr="0067507D" w:rsidRDefault="00F42ABA" w:rsidP="00F42ABA">
            <w:pPr>
              <w:pStyle w:val="Tabletextright"/>
              <w:rPr>
                <w:szCs w:val="15"/>
                <w:highlight w:val="yellow"/>
              </w:rPr>
            </w:pPr>
            <w:r w:rsidRPr="0067507D">
              <w:t>1</w:t>
            </w:r>
          </w:p>
        </w:tc>
        <w:tc>
          <w:tcPr>
            <w:tcW w:w="578" w:type="dxa"/>
            <w:shd w:val="clear" w:color="auto" w:fill="E0E0E0"/>
            <w:noWrap/>
            <w:hideMark/>
          </w:tcPr>
          <w:p w14:paraId="3278CC4B" w14:textId="127B8544" w:rsidR="00F42ABA" w:rsidRPr="0067507D" w:rsidRDefault="009634D4" w:rsidP="00F42ABA">
            <w:pPr>
              <w:pStyle w:val="Tabletextright"/>
              <w:rPr>
                <w:szCs w:val="15"/>
                <w:highlight w:val="yellow"/>
              </w:rPr>
            </w:pPr>
            <w:r w:rsidRPr="0067507D">
              <w:t>–</w:t>
            </w:r>
          </w:p>
        </w:tc>
        <w:tc>
          <w:tcPr>
            <w:tcW w:w="579" w:type="dxa"/>
            <w:noWrap/>
            <w:hideMark/>
          </w:tcPr>
          <w:p w14:paraId="5F421B1B" w14:textId="32D4ECA0" w:rsidR="00F42ABA" w:rsidRPr="0067507D" w:rsidRDefault="00F42ABA" w:rsidP="00F42ABA">
            <w:pPr>
              <w:pStyle w:val="Tabletextright"/>
              <w:rPr>
                <w:szCs w:val="15"/>
                <w:highlight w:val="yellow"/>
              </w:rPr>
            </w:pPr>
            <w:r w:rsidRPr="0067507D">
              <w:t>2</w:t>
            </w:r>
          </w:p>
        </w:tc>
        <w:tc>
          <w:tcPr>
            <w:tcW w:w="578" w:type="dxa"/>
            <w:noWrap/>
            <w:hideMark/>
          </w:tcPr>
          <w:p w14:paraId="0616CE0D" w14:textId="2D868207" w:rsidR="00F42ABA" w:rsidRPr="0067507D" w:rsidRDefault="00F42ABA" w:rsidP="00F42ABA">
            <w:pPr>
              <w:pStyle w:val="Tabletextright"/>
              <w:rPr>
                <w:szCs w:val="15"/>
                <w:highlight w:val="yellow"/>
              </w:rPr>
            </w:pPr>
            <w:r w:rsidRPr="0067507D">
              <w:t>2</w:t>
            </w:r>
          </w:p>
        </w:tc>
        <w:tc>
          <w:tcPr>
            <w:tcW w:w="579" w:type="dxa"/>
            <w:noWrap/>
            <w:hideMark/>
          </w:tcPr>
          <w:p w14:paraId="33EB8A23" w14:textId="4D9FEB39"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6E1F2A24" w14:textId="5AFF2DF5"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3CA0A795" w14:textId="4F38B914"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7A49C662" w14:textId="496ACEDE" w:rsidR="00F42ABA" w:rsidRPr="0067507D" w:rsidRDefault="009634D4" w:rsidP="00F42ABA">
            <w:pPr>
              <w:pStyle w:val="Tabletextright"/>
              <w:rPr>
                <w:szCs w:val="15"/>
                <w:highlight w:val="yellow"/>
              </w:rPr>
            </w:pPr>
            <w:r w:rsidRPr="0067507D">
              <w:t>–</w:t>
            </w:r>
          </w:p>
        </w:tc>
        <w:tc>
          <w:tcPr>
            <w:tcW w:w="579" w:type="dxa"/>
            <w:noWrap/>
            <w:hideMark/>
          </w:tcPr>
          <w:p w14:paraId="7B4C93D6" w14:textId="4B3E0413" w:rsidR="00F42ABA" w:rsidRPr="0067507D" w:rsidRDefault="00F42ABA" w:rsidP="00F42ABA">
            <w:pPr>
              <w:pStyle w:val="Tabletextright"/>
              <w:rPr>
                <w:szCs w:val="15"/>
                <w:highlight w:val="yellow"/>
              </w:rPr>
            </w:pPr>
            <w:r w:rsidRPr="0067507D">
              <w:t>3</w:t>
            </w:r>
          </w:p>
        </w:tc>
        <w:tc>
          <w:tcPr>
            <w:tcW w:w="578" w:type="dxa"/>
            <w:noWrap/>
            <w:hideMark/>
          </w:tcPr>
          <w:p w14:paraId="43D06ADC" w14:textId="252F2AA4" w:rsidR="00F42ABA" w:rsidRPr="0067507D" w:rsidRDefault="00F42ABA" w:rsidP="00F42ABA">
            <w:pPr>
              <w:pStyle w:val="Tabletextright"/>
              <w:rPr>
                <w:szCs w:val="15"/>
                <w:highlight w:val="yellow"/>
              </w:rPr>
            </w:pPr>
            <w:r w:rsidRPr="0067507D">
              <w:t>3</w:t>
            </w:r>
          </w:p>
        </w:tc>
        <w:tc>
          <w:tcPr>
            <w:tcW w:w="579" w:type="dxa"/>
            <w:noWrap/>
            <w:hideMark/>
          </w:tcPr>
          <w:p w14:paraId="2DA045FA" w14:textId="2BE5A7C3" w:rsidR="00F42ABA" w:rsidRPr="0067507D" w:rsidRDefault="009634D4" w:rsidP="00F42ABA">
            <w:pPr>
              <w:pStyle w:val="Tabletextright"/>
              <w:rPr>
                <w:szCs w:val="15"/>
                <w:highlight w:val="yellow"/>
              </w:rPr>
            </w:pPr>
            <w:r w:rsidRPr="0067507D">
              <w:t>–</w:t>
            </w:r>
          </w:p>
        </w:tc>
      </w:tr>
      <w:tr w:rsidR="003B7AFE" w:rsidRPr="0067507D" w14:paraId="16F8A8E4" w14:textId="77777777" w:rsidTr="003B7AFE">
        <w:trPr>
          <w:gridAfter w:val="1"/>
          <w:wAfter w:w="10" w:type="dxa"/>
          <w:trHeight w:val="283"/>
        </w:trPr>
        <w:tc>
          <w:tcPr>
            <w:tcW w:w="2642" w:type="dxa"/>
            <w:noWrap/>
            <w:hideMark/>
          </w:tcPr>
          <w:p w14:paraId="116E2C1A" w14:textId="77777777" w:rsidR="00F42ABA" w:rsidRPr="0067507D" w:rsidRDefault="00F42ABA" w:rsidP="00F42ABA">
            <w:pPr>
              <w:pStyle w:val="Tabletext"/>
              <w:rPr>
                <w:color w:val="000000"/>
                <w:szCs w:val="15"/>
              </w:rPr>
            </w:pPr>
            <w:r w:rsidRPr="0067507D">
              <w:t>Portable Long Service Authority</w:t>
            </w:r>
          </w:p>
        </w:tc>
        <w:tc>
          <w:tcPr>
            <w:tcW w:w="578" w:type="dxa"/>
            <w:shd w:val="clear" w:color="auto" w:fill="E0E0E0"/>
            <w:noWrap/>
          </w:tcPr>
          <w:p w14:paraId="4A9E912D" w14:textId="204C583D" w:rsidR="00F42ABA" w:rsidRPr="0067507D" w:rsidRDefault="009634D4" w:rsidP="00F42ABA">
            <w:pPr>
              <w:pStyle w:val="Tabletextright"/>
              <w:rPr>
                <w:szCs w:val="15"/>
                <w:highlight w:val="yellow"/>
              </w:rPr>
            </w:pPr>
            <w:r w:rsidRPr="0067507D">
              <w:t>–</w:t>
            </w:r>
          </w:p>
        </w:tc>
        <w:tc>
          <w:tcPr>
            <w:tcW w:w="579" w:type="dxa"/>
            <w:shd w:val="clear" w:color="auto" w:fill="E0E0E0"/>
            <w:noWrap/>
          </w:tcPr>
          <w:p w14:paraId="403439DF" w14:textId="10D47299" w:rsidR="00F42ABA" w:rsidRPr="0067507D" w:rsidRDefault="009634D4" w:rsidP="00F42ABA">
            <w:pPr>
              <w:pStyle w:val="Tabletextright"/>
              <w:rPr>
                <w:szCs w:val="15"/>
                <w:highlight w:val="yellow"/>
              </w:rPr>
            </w:pPr>
            <w:r w:rsidRPr="0067507D">
              <w:t>–</w:t>
            </w:r>
          </w:p>
        </w:tc>
        <w:tc>
          <w:tcPr>
            <w:tcW w:w="578" w:type="dxa"/>
            <w:shd w:val="clear" w:color="auto" w:fill="E0E0E0"/>
            <w:noWrap/>
          </w:tcPr>
          <w:p w14:paraId="2E9D07A4" w14:textId="084AB40C" w:rsidR="00F42ABA" w:rsidRPr="0067507D" w:rsidRDefault="009634D4" w:rsidP="00F42ABA">
            <w:pPr>
              <w:pStyle w:val="Tabletextright"/>
              <w:rPr>
                <w:szCs w:val="15"/>
                <w:highlight w:val="yellow"/>
              </w:rPr>
            </w:pPr>
            <w:r w:rsidRPr="0067507D">
              <w:t>–</w:t>
            </w:r>
          </w:p>
        </w:tc>
        <w:tc>
          <w:tcPr>
            <w:tcW w:w="579" w:type="dxa"/>
            <w:noWrap/>
          </w:tcPr>
          <w:p w14:paraId="593ADA12" w14:textId="401C0DA5" w:rsidR="00F42ABA" w:rsidRPr="0067507D" w:rsidRDefault="009634D4" w:rsidP="00F42ABA">
            <w:pPr>
              <w:pStyle w:val="Tabletextright"/>
              <w:rPr>
                <w:szCs w:val="15"/>
                <w:highlight w:val="yellow"/>
              </w:rPr>
            </w:pPr>
            <w:r w:rsidRPr="0067507D">
              <w:t>–</w:t>
            </w:r>
          </w:p>
        </w:tc>
        <w:tc>
          <w:tcPr>
            <w:tcW w:w="578" w:type="dxa"/>
            <w:noWrap/>
          </w:tcPr>
          <w:p w14:paraId="41CCC6EC" w14:textId="42C32947" w:rsidR="00F42ABA" w:rsidRPr="0067507D" w:rsidRDefault="009634D4" w:rsidP="00F42ABA">
            <w:pPr>
              <w:pStyle w:val="Tabletextright"/>
              <w:rPr>
                <w:szCs w:val="15"/>
                <w:highlight w:val="yellow"/>
              </w:rPr>
            </w:pPr>
            <w:r w:rsidRPr="0067507D">
              <w:t>–</w:t>
            </w:r>
          </w:p>
        </w:tc>
        <w:tc>
          <w:tcPr>
            <w:tcW w:w="579" w:type="dxa"/>
            <w:noWrap/>
          </w:tcPr>
          <w:p w14:paraId="67F8122A" w14:textId="0C0D3DB3" w:rsidR="00F42ABA" w:rsidRPr="0067507D" w:rsidRDefault="009634D4" w:rsidP="00F42ABA">
            <w:pPr>
              <w:pStyle w:val="Tabletextright"/>
              <w:rPr>
                <w:szCs w:val="15"/>
                <w:highlight w:val="yellow"/>
              </w:rPr>
            </w:pPr>
            <w:r w:rsidRPr="0067507D">
              <w:t>–</w:t>
            </w:r>
          </w:p>
        </w:tc>
        <w:tc>
          <w:tcPr>
            <w:tcW w:w="578" w:type="dxa"/>
            <w:shd w:val="clear" w:color="auto" w:fill="E0E0E0"/>
            <w:noWrap/>
          </w:tcPr>
          <w:p w14:paraId="32DDCB92" w14:textId="59F63C20" w:rsidR="00F42ABA" w:rsidRPr="0067507D" w:rsidRDefault="009634D4" w:rsidP="00F42ABA">
            <w:pPr>
              <w:pStyle w:val="Tabletextright"/>
              <w:rPr>
                <w:szCs w:val="15"/>
                <w:highlight w:val="yellow"/>
              </w:rPr>
            </w:pPr>
            <w:r w:rsidRPr="0067507D">
              <w:t>–</w:t>
            </w:r>
          </w:p>
        </w:tc>
        <w:tc>
          <w:tcPr>
            <w:tcW w:w="579" w:type="dxa"/>
            <w:shd w:val="clear" w:color="auto" w:fill="E0E0E0"/>
            <w:noWrap/>
          </w:tcPr>
          <w:p w14:paraId="01D7729D" w14:textId="7FEEDA69" w:rsidR="00F42ABA" w:rsidRPr="0067507D" w:rsidRDefault="009634D4" w:rsidP="00F42ABA">
            <w:pPr>
              <w:pStyle w:val="Tabletextright"/>
              <w:rPr>
                <w:szCs w:val="15"/>
                <w:highlight w:val="yellow"/>
              </w:rPr>
            </w:pPr>
            <w:r w:rsidRPr="0067507D">
              <w:t>–</w:t>
            </w:r>
          </w:p>
        </w:tc>
        <w:tc>
          <w:tcPr>
            <w:tcW w:w="578" w:type="dxa"/>
            <w:shd w:val="clear" w:color="auto" w:fill="E0E0E0"/>
            <w:noWrap/>
          </w:tcPr>
          <w:p w14:paraId="4154AAF4" w14:textId="01A597F6" w:rsidR="00F42ABA" w:rsidRPr="0067507D" w:rsidRDefault="009634D4" w:rsidP="00F42ABA">
            <w:pPr>
              <w:pStyle w:val="Tabletextright"/>
              <w:rPr>
                <w:szCs w:val="15"/>
                <w:highlight w:val="yellow"/>
              </w:rPr>
            </w:pPr>
            <w:r w:rsidRPr="0067507D">
              <w:t>–</w:t>
            </w:r>
          </w:p>
        </w:tc>
        <w:tc>
          <w:tcPr>
            <w:tcW w:w="579" w:type="dxa"/>
            <w:noWrap/>
          </w:tcPr>
          <w:p w14:paraId="682F3C24" w14:textId="3CF8D183" w:rsidR="00F42ABA" w:rsidRPr="0067507D" w:rsidRDefault="009634D4" w:rsidP="00F42ABA">
            <w:pPr>
              <w:pStyle w:val="Tabletextright"/>
              <w:rPr>
                <w:szCs w:val="15"/>
                <w:highlight w:val="yellow"/>
              </w:rPr>
            </w:pPr>
            <w:r w:rsidRPr="0067507D">
              <w:t>–</w:t>
            </w:r>
          </w:p>
        </w:tc>
        <w:tc>
          <w:tcPr>
            <w:tcW w:w="578" w:type="dxa"/>
            <w:noWrap/>
          </w:tcPr>
          <w:p w14:paraId="77231854" w14:textId="5C7D9FFC" w:rsidR="00F42ABA" w:rsidRPr="0067507D" w:rsidRDefault="009634D4" w:rsidP="00F42ABA">
            <w:pPr>
              <w:pStyle w:val="Tabletextright"/>
              <w:rPr>
                <w:szCs w:val="15"/>
                <w:highlight w:val="yellow"/>
              </w:rPr>
            </w:pPr>
            <w:r w:rsidRPr="0067507D">
              <w:t>–</w:t>
            </w:r>
          </w:p>
        </w:tc>
        <w:tc>
          <w:tcPr>
            <w:tcW w:w="579" w:type="dxa"/>
            <w:noWrap/>
          </w:tcPr>
          <w:p w14:paraId="186933E5" w14:textId="179AE604" w:rsidR="00F42ABA" w:rsidRPr="0067507D" w:rsidRDefault="009634D4" w:rsidP="00F42ABA">
            <w:pPr>
              <w:pStyle w:val="Tabletextright"/>
              <w:rPr>
                <w:szCs w:val="15"/>
                <w:highlight w:val="yellow"/>
              </w:rPr>
            </w:pPr>
            <w:r w:rsidRPr="0067507D">
              <w:t>–</w:t>
            </w:r>
          </w:p>
        </w:tc>
      </w:tr>
      <w:tr w:rsidR="003B7AFE" w:rsidRPr="0067507D" w14:paraId="5A7160CF" w14:textId="77777777" w:rsidTr="003B7AFE">
        <w:trPr>
          <w:gridAfter w:val="1"/>
          <w:wAfter w:w="10" w:type="dxa"/>
          <w:trHeight w:val="283"/>
        </w:trPr>
        <w:tc>
          <w:tcPr>
            <w:tcW w:w="2642" w:type="dxa"/>
            <w:noWrap/>
          </w:tcPr>
          <w:p w14:paraId="5C73FE5B" w14:textId="77777777" w:rsidR="00F42ABA" w:rsidRPr="0067507D" w:rsidRDefault="00F42ABA" w:rsidP="00F42ABA">
            <w:pPr>
              <w:pStyle w:val="Tabletext"/>
              <w:rPr>
                <w:color w:val="000000"/>
                <w:szCs w:val="15"/>
              </w:rPr>
            </w:pPr>
            <w:r w:rsidRPr="0067507D">
              <w:t>State Revenue Office</w:t>
            </w:r>
          </w:p>
        </w:tc>
        <w:tc>
          <w:tcPr>
            <w:tcW w:w="578" w:type="dxa"/>
            <w:shd w:val="clear" w:color="auto" w:fill="E0E0E0"/>
            <w:noWrap/>
          </w:tcPr>
          <w:p w14:paraId="68F1C67E" w14:textId="0203CD0C" w:rsidR="00F42ABA" w:rsidRPr="0067507D" w:rsidRDefault="00F42ABA" w:rsidP="00F42ABA">
            <w:pPr>
              <w:pStyle w:val="Tabletextright"/>
              <w:rPr>
                <w:szCs w:val="15"/>
                <w:highlight w:val="yellow"/>
              </w:rPr>
            </w:pPr>
            <w:r w:rsidRPr="0067507D">
              <w:t>8</w:t>
            </w:r>
          </w:p>
        </w:tc>
        <w:tc>
          <w:tcPr>
            <w:tcW w:w="579" w:type="dxa"/>
            <w:shd w:val="clear" w:color="auto" w:fill="E0E0E0"/>
            <w:noWrap/>
          </w:tcPr>
          <w:p w14:paraId="1E58BD05" w14:textId="66DDF8C2" w:rsidR="00F42ABA" w:rsidRPr="0067507D" w:rsidRDefault="00F42ABA" w:rsidP="00F42ABA">
            <w:pPr>
              <w:pStyle w:val="Tabletextright"/>
              <w:rPr>
                <w:szCs w:val="15"/>
                <w:highlight w:val="yellow"/>
              </w:rPr>
            </w:pPr>
            <w:r w:rsidRPr="0067507D">
              <w:t>5</w:t>
            </w:r>
          </w:p>
        </w:tc>
        <w:tc>
          <w:tcPr>
            <w:tcW w:w="578" w:type="dxa"/>
            <w:shd w:val="clear" w:color="auto" w:fill="E0E0E0"/>
            <w:noWrap/>
          </w:tcPr>
          <w:p w14:paraId="4D583C36" w14:textId="6C9D1B8B" w:rsidR="00F42ABA" w:rsidRPr="0067507D" w:rsidRDefault="00F42ABA" w:rsidP="00F42ABA">
            <w:pPr>
              <w:pStyle w:val="Tabletextright"/>
              <w:rPr>
                <w:szCs w:val="15"/>
                <w:highlight w:val="yellow"/>
              </w:rPr>
            </w:pPr>
            <w:r w:rsidRPr="0067507D">
              <w:t>3</w:t>
            </w:r>
          </w:p>
        </w:tc>
        <w:tc>
          <w:tcPr>
            <w:tcW w:w="579" w:type="dxa"/>
            <w:noWrap/>
          </w:tcPr>
          <w:p w14:paraId="4D0AC3D3" w14:textId="62369802" w:rsidR="00F42ABA" w:rsidRPr="0067507D" w:rsidRDefault="00F42ABA" w:rsidP="00F42ABA">
            <w:pPr>
              <w:pStyle w:val="Tabletextright"/>
              <w:rPr>
                <w:szCs w:val="15"/>
                <w:highlight w:val="yellow"/>
              </w:rPr>
            </w:pPr>
            <w:r w:rsidRPr="0067507D">
              <w:t>7</w:t>
            </w:r>
          </w:p>
        </w:tc>
        <w:tc>
          <w:tcPr>
            <w:tcW w:w="578" w:type="dxa"/>
            <w:noWrap/>
          </w:tcPr>
          <w:p w14:paraId="3107582F" w14:textId="63726FF2" w:rsidR="00F42ABA" w:rsidRPr="0067507D" w:rsidRDefault="00F42ABA" w:rsidP="00F42ABA">
            <w:pPr>
              <w:pStyle w:val="Tabletextright"/>
              <w:rPr>
                <w:szCs w:val="15"/>
                <w:highlight w:val="yellow"/>
              </w:rPr>
            </w:pPr>
            <w:r w:rsidRPr="0067507D">
              <w:t>4</w:t>
            </w:r>
          </w:p>
        </w:tc>
        <w:tc>
          <w:tcPr>
            <w:tcW w:w="579" w:type="dxa"/>
            <w:noWrap/>
          </w:tcPr>
          <w:p w14:paraId="01CED773" w14:textId="383D9458" w:rsidR="00F42ABA" w:rsidRPr="0067507D" w:rsidRDefault="00F42ABA" w:rsidP="00F42ABA">
            <w:pPr>
              <w:pStyle w:val="Tabletextright"/>
              <w:rPr>
                <w:szCs w:val="15"/>
                <w:highlight w:val="yellow"/>
              </w:rPr>
            </w:pPr>
            <w:r w:rsidRPr="0067507D">
              <w:t>3</w:t>
            </w:r>
          </w:p>
        </w:tc>
        <w:tc>
          <w:tcPr>
            <w:tcW w:w="578" w:type="dxa"/>
            <w:shd w:val="clear" w:color="auto" w:fill="E0E0E0"/>
            <w:noWrap/>
          </w:tcPr>
          <w:p w14:paraId="772BF81E" w14:textId="381D9E44" w:rsidR="00F42ABA" w:rsidRPr="0067507D" w:rsidRDefault="009634D4" w:rsidP="00F42ABA">
            <w:pPr>
              <w:pStyle w:val="Tabletextright"/>
              <w:rPr>
                <w:szCs w:val="15"/>
                <w:highlight w:val="yellow"/>
              </w:rPr>
            </w:pPr>
            <w:r w:rsidRPr="0067507D">
              <w:t>–</w:t>
            </w:r>
          </w:p>
        </w:tc>
        <w:tc>
          <w:tcPr>
            <w:tcW w:w="579" w:type="dxa"/>
            <w:shd w:val="clear" w:color="auto" w:fill="E0E0E0"/>
            <w:noWrap/>
          </w:tcPr>
          <w:p w14:paraId="6CDA9095" w14:textId="1B30CBFF" w:rsidR="00F42ABA" w:rsidRPr="0067507D" w:rsidRDefault="009634D4" w:rsidP="00F42ABA">
            <w:pPr>
              <w:pStyle w:val="Tabletextright"/>
              <w:rPr>
                <w:szCs w:val="15"/>
                <w:highlight w:val="yellow"/>
              </w:rPr>
            </w:pPr>
            <w:r w:rsidRPr="0067507D">
              <w:t>–</w:t>
            </w:r>
          </w:p>
        </w:tc>
        <w:tc>
          <w:tcPr>
            <w:tcW w:w="578" w:type="dxa"/>
            <w:shd w:val="clear" w:color="auto" w:fill="E0E0E0"/>
            <w:noWrap/>
          </w:tcPr>
          <w:p w14:paraId="17E99473" w14:textId="1E210317" w:rsidR="00F42ABA" w:rsidRPr="0067507D" w:rsidRDefault="009634D4" w:rsidP="00F42ABA">
            <w:pPr>
              <w:pStyle w:val="Tabletextright"/>
              <w:rPr>
                <w:szCs w:val="15"/>
                <w:highlight w:val="yellow"/>
              </w:rPr>
            </w:pPr>
            <w:r w:rsidRPr="0067507D">
              <w:t>–</w:t>
            </w:r>
          </w:p>
        </w:tc>
        <w:tc>
          <w:tcPr>
            <w:tcW w:w="579" w:type="dxa"/>
            <w:noWrap/>
          </w:tcPr>
          <w:p w14:paraId="76F0BE0A" w14:textId="1FEA9F8A" w:rsidR="00F42ABA" w:rsidRPr="0067507D" w:rsidRDefault="00F42ABA" w:rsidP="00F42ABA">
            <w:pPr>
              <w:pStyle w:val="Tabletextright"/>
              <w:rPr>
                <w:szCs w:val="15"/>
                <w:highlight w:val="yellow"/>
              </w:rPr>
            </w:pPr>
            <w:r w:rsidRPr="0067507D">
              <w:t>15</w:t>
            </w:r>
          </w:p>
        </w:tc>
        <w:tc>
          <w:tcPr>
            <w:tcW w:w="578" w:type="dxa"/>
            <w:noWrap/>
          </w:tcPr>
          <w:p w14:paraId="0CB783AA" w14:textId="06F7383E" w:rsidR="00F42ABA" w:rsidRPr="0067507D" w:rsidRDefault="00F42ABA" w:rsidP="00F42ABA">
            <w:pPr>
              <w:pStyle w:val="Tabletextright"/>
              <w:rPr>
                <w:szCs w:val="15"/>
                <w:highlight w:val="yellow"/>
              </w:rPr>
            </w:pPr>
            <w:r w:rsidRPr="0067507D">
              <w:t>9</w:t>
            </w:r>
          </w:p>
        </w:tc>
        <w:tc>
          <w:tcPr>
            <w:tcW w:w="579" w:type="dxa"/>
            <w:noWrap/>
          </w:tcPr>
          <w:p w14:paraId="7742D850" w14:textId="55356476" w:rsidR="00F42ABA" w:rsidRPr="0067507D" w:rsidRDefault="00F42ABA" w:rsidP="00F42ABA">
            <w:pPr>
              <w:pStyle w:val="Tabletextright"/>
              <w:rPr>
                <w:szCs w:val="15"/>
                <w:highlight w:val="yellow"/>
              </w:rPr>
            </w:pPr>
            <w:r w:rsidRPr="0067507D">
              <w:t>6</w:t>
            </w:r>
          </w:p>
        </w:tc>
      </w:tr>
      <w:tr w:rsidR="003B7AFE" w:rsidRPr="0067507D" w14:paraId="6733B545" w14:textId="77777777" w:rsidTr="003B7AFE">
        <w:trPr>
          <w:gridAfter w:val="1"/>
          <w:wAfter w:w="10" w:type="dxa"/>
          <w:trHeight w:val="283"/>
        </w:trPr>
        <w:tc>
          <w:tcPr>
            <w:tcW w:w="2642" w:type="dxa"/>
            <w:noWrap/>
            <w:hideMark/>
          </w:tcPr>
          <w:p w14:paraId="4A9BC6D5" w14:textId="77777777" w:rsidR="00F42ABA" w:rsidRPr="0067507D" w:rsidRDefault="00F42ABA" w:rsidP="00F42ABA">
            <w:pPr>
              <w:pStyle w:val="Tabletext"/>
              <w:rPr>
                <w:color w:val="000000"/>
                <w:szCs w:val="15"/>
              </w:rPr>
            </w:pPr>
            <w:r w:rsidRPr="0067507D">
              <w:t>State Trustees Limited</w:t>
            </w:r>
          </w:p>
        </w:tc>
        <w:tc>
          <w:tcPr>
            <w:tcW w:w="578" w:type="dxa"/>
            <w:shd w:val="clear" w:color="auto" w:fill="E0E0E0"/>
            <w:noWrap/>
            <w:hideMark/>
          </w:tcPr>
          <w:p w14:paraId="5527A6DB" w14:textId="09F060E3" w:rsidR="00F42ABA" w:rsidRPr="0067507D" w:rsidRDefault="00F42ABA" w:rsidP="00F42ABA">
            <w:pPr>
              <w:pStyle w:val="Tabletextright"/>
              <w:rPr>
                <w:szCs w:val="15"/>
                <w:highlight w:val="yellow"/>
              </w:rPr>
            </w:pPr>
            <w:r w:rsidRPr="0067507D">
              <w:t>3</w:t>
            </w:r>
          </w:p>
        </w:tc>
        <w:tc>
          <w:tcPr>
            <w:tcW w:w="579" w:type="dxa"/>
            <w:shd w:val="clear" w:color="auto" w:fill="E0E0E0"/>
            <w:noWrap/>
            <w:hideMark/>
          </w:tcPr>
          <w:p w14:paraId="6D38F25A" w14:textId="65C1A2A7" w:rsidR="00F42ABA" w:rsidRPr="0067507D" w:rsidRDefault="00F42ABA" w:rsidP="00F42ABA">
            <w:pPr>
              <w:pStyle w:val="Tabletextright"/>
              <w:rPr>
                <w:szCs w:val="15"/>
                <w:highlight w:val="yellow"/>
              </w:rPr>
            </w:pPr>
            <w:r w:rsidRPr="0067507D">
              <w:t>2</w:t>
            </w:r>
          </w:p>
        </w:tc>
        <w:tc>
          <w:tcPr>
            <w:tcW w:w="578" w:type="dxa"/>
            <w:shd w:val="clear" w:color="auto" w:fill="E0E0E0"/>
            <w:noWrap/>
            <w:hideMark/>
          </w:tcPr>
          <w:p w14:paraId="3CB65BE2" w14:textId="5089D7BA" w:rsidR="00F42ABA" w:rsidRPr="0067507D" w:rsidRDefault="00F42ABA" w:rsidP="00F42ABA">
            <w:pPr>
              <w:pStyle w:val="Tabletextright"/>
              <w:rPr>
                <w:szCs w:val="15"/>
                <w:highlight w:val="yellow"/>
              </w:rPr>
            </w:pPr>
            <w:r w:rsidRPr="0067507D">
              <w:t>1</w:t>
            </w:r>
          </w:p>
        </w:tc>
        <w:tc>
          <w:tcPr>
            <w:tcW w:w="579" w:type="dxa"/>
            <w:noWrap/>
            <w:hideMark/>
          </w:tcPr>
          <w:p w14:paraId="3AEFCA3D" w14:textId="5325EC76" w:rsidR="00F42ABA" w:rsidRPr="0067507D" w:rsidRDefault="00F42ABA" w:rsidP="00F42ABA">
            <w:pPr>
              <w:pStyle w:val="Tabletextright"/>
              <w:rPr>
                <w:szCs w:val="15"/>
                <w:highlight w:val="yellow"/>
              </w:rPr>
            </w:pPr>
            <w:r w:rsidRPr="0067507D">
              <w:t>3</w:t>
            </w:r>
          </w:p>
        </w:tc>
        <w:tc>
          <w:tcPr>
            <w:tcW w:w="578" w:type="dxa"/>
            <w:noWrap/>
            <w:hideMark/>
          </w:tcPr>
          <w:p w14:paraId="1C2E5789" w14:textId="70ED484D" w:rsidR="00F42ABA" w:rsidRPr="0067507D" w:rsidRDefault="00F42ABA" w:rsidP="00F42ABA">
            <w:pPr>
              <w:pStyle w:val="Tabletextright"/>
              <w:rPr>
                <w:szCs w:val="15"/>
                <w:highlight w:val="yellow"/>
              </w:rPr>
            </w:pPr>
            <w:r w:rsidRPr="0067507D">
              <w:t>2</w:t>
            </w:r>
          </w:p>
        </w:tc>
        <w:tc>
          <w:tcPr>
            <w:tcW w:w="579" w:type="dxa"/>
            <w:noWrap/>
            <w:hideMark/>
          </w:tcPr>
          <w:p w14:paraId="38E0E049" w14:textId="59FB9F38" w:rsidR="00F42ABA" w:rsidRPr="0067507D" w:rsidRDefault="00F42ABA" w:rsidP="00F42ABA">
            <w:pPr>
              <w:pStyle w:val="Tabletextright"/>
              <w:rPr>
                <w:szCs w:val="15"/>
                <w:highlight w:val="yellow"/>
              </w:rPr>
            </w:pPr>
            <w:r w:rsidRPr="0067507D">
              <w:t>1</w:t>
            </w:r>
          </w:p>
        </w:tc>
        <w:tc>
          <w:tcPr>
            <w:tcW w:w="578" w:type="dxa"/>
            <w:shd w:val="clear" w:color="auto" w:fill="E0E0E0"/>
            <w:noWrap/>
            <w:hideMark/>
          </w:tcPr>
          <w:p w14:paraId="26092F3B" w14:textId="7F80E4AB"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4965B4B0" w14:textId="0626A808"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5DD19E00" w14:textId="02336B1E" w:rsidR="00F42ABA" w:rsidRPr="0067507D" w:rsidRDefault="009634D4" w:rsidP="00F42ABA">
            <w:pPr>
              <w:pStyle w:val="Tabletextright"/>
              <w:rPr>
                <w:szCs w:val="15"/>
                <w:highlight w:val="yellow"/>
              </w:rPr>
            </w:pPr>
            <w:r w:rsidRPr="0067507D">
              <w:t>–</w:t>
            </w:r>
          </w:p>
        </w:tc>
        <w:tc>
          <w:tcPr>
            <w:tcW w:w="579" w:type="dxa"/>
            <w:noWrap/>
            <w:hideMark/>
          </w:tcPr>
          <w:p w14:paraId="4DA74C94" w14:textId="6944A87C" w:rsidR="00F42ABA" w:rsidRPr="0067507D" w:rsidRDefault="00F42ABA" w:rsidP="00F42ABA">
            <w:pPr>
              <w:pStyle w:val="Tabletextright"/>
              <w:rPr>
                <w:szCs w:val="15"/>
                <w:highlight w:val="yellow"/>
              </w:rPr>
            </w:pPr>
            <w:r w:rsidRPr="0067507D">
              <w:t>6</w:t>
            </w:r>
          </w:p>
        </w:tc>
        <w:tc>
          <w:tcPr>
            <w:tcW w:w="578" w:type="dxa"/>
            <w:noWrap/>
            <w:hideMark/>
          </w:tcPr>
          <w:p w14:paraId="263196CB" w14:textId="0A008414" w:rsidR="00F42ABA" w:rsidRPr="0067507D" w:rsidRDefault="00F42ABA" w:rsidP="00F42ABA">
            <w:pPr>
              <w:pStyle w:val="Tabletextright"/>
              <w:rPr>
                <w:szCs w:val="15"/>
                <w:highlight w:val="yellow"/>
              </w:rPr>
            </w:pPr>
            <w:r w:rsidRPr="0067507D">
              <w:t>4</w:t>
            </w:r>
          </w:p>
        </w:tc>
        <w:tc>
          <w:tcPr>
            <w:tcW w:w="579" w:type="dxa"/>
            <w:noWrap/>
            <w:hideMark/>
          </w:tcPr>
          <w:p w14:paraId="5772B918" w14:textId="50D79D60" w:rsidR="00F42ABA" w:rsidRPr="0067507D" w:rsidRDefault="00F42ABA" w:rsidP="00F42ABA">
            <w:pPr>
              <w:pStyle w:val="Tabletextright"/>
              <w:rPr>
                <w:szCs w:val="15"/>
                <w:highlight w:val="yellow"/>
              </w:rPr>
            </w:pPr>
            <w:r w:rsidRPr="0067507D">
              <w:t>2</w:t>
            </w:r>
          </w:p>
        </w:tc>
      </w:tr>
      <w:tr w:rsidR="003B7AFE" w:rsidRPr="0067507D" w14:paraId="01F6ADE5" w14:textId="77777777" w:rsidTr="003B7AFE">
        <w:trPr>
          <w:gridAfter w:val="1"/>
          <w:wAfter w:w="10" w:type="dxa"/>
          <w:trHeight w:val="283"/>
        </w:trPr>
        <w:tc>
          <w:tcPr>
            <w:tcW w:w="2642" w:type="dxa"/>
            <w:noWrap/>
            <w:hideMark/>
          </w:tcPr>
          <w:p w14:paraId="45BDF2F4" w14:textId="77777777" w:rsidR="00F42ABA" w:rsidRPr="0067507D" w:rsidRDefault="00F42ABA" w:rsidP="00F42ABA">
            <w:pPr>
              <w:pStyle w:val="Tabletext"/>
              <w:rPr>
                <w:color w:val="000000"/>
                <w:szCs w:val="15"/>
              </w:rPr>
            </w:pPr>
            <w:r w:rsidRPr="0067507D">
              <w:t>Transport Accident Commission</w:t>
            </w:r>
          </w:p>
        </w:tc>
        <w:tc>
          <w:tcPr>
            <w:tcW w:w="578" w:type="dxa"/>
            <w:shd w:val="clear" w:color="auto" w:fill="E0E0E0"/>
            <w:noWrap/>
            <w:hideMark/>
          </w:tcPr>
          <w:p w14:paraId="231E6125" w14:textId="1EFEC3F8" w:rsidR="00F42ABA" w:rsidRPr="0067507D" w:rsidRDefault="00F42ABA" w:rsidP="00F42ABA">
            <w:pPr>
              <w:pStyle w:val="Tabletextright"/>
              <w:rPr>
                <w:szCs w:val="15"/>
                <w:highlight w:val="yellow"/>
              </w:rPr>
            </w:pPr>
            <w:r w:rsidRPr="0067507D">
              <w:t>22</w:t>
            </w:r>
          </w:p>
        </w:tc>
        <w:tc>
          <w:tcPr>
            <w:tcW w:w="579" w:type="dxa"/>
            <w:shd w:val="clear" w:color="auto" w:fill="E0E0E0"/>
            <w:noWrap/>
            <w:hideMark/>
          </w:tcPr>
          <w:p w14:paraId="5F818E7F" w14:textId="2EB0B8B1" w:rsidR="00F42ABA" w:rsidRPr="0067507D" w:rsidRDefault="00F42ABA" w:rsidP="00F42ABA">
            <w:pPr>
              <w:pStyle w:val="Tabletextright"/>
              <w:rPr>
                <w:szCs w:val="15"/>
                <w:highlight w:val="yellow"/>
              </w:rPr>
            </w:pPr>
            <w:r w:rsidRPr="0067507D">
              <w:t>16</w:t>
            </w:r>
          </w:p>
        </w:tc>
        <w:tc>
          <w:tcPr>
            <w:tcW w:w="578" w:type="dxa"/>
            <w:shd w:val="clear" w:color="auto" w:fill="E0E0E0"/>
            <w:noWrap/>
            <w:hideMark/>
          </w:tcPr>
          <w:p w14:paraId="084497F9" w14:textId="4CAA2F99" w:rsidR="00F42ABA" w:rsidRPr="0067507D" w:rsidRDefault="00F42ABA" w:rsidP="00F42ABA">
            <w:pPr>
              <w:pStyle w:val="Tabletextright"/>
              <w:rPr>
                <w:szCs w:val="15"/>
                <w:highlight w:val="yellow"/>
              </w:rPr>
            </w:pPr>
            <w:r w:rsidRPr="0067507D">
              <w:t>6</w:t>
            </w:r>
          </w:p>
        </w:tc>
        <w:tc>
          <w:tcPr>
            <w:tcW w:w="579" w:type="dxa"/>
            <w:noWrap/>
            <w:hideMark/>
          </w:tcPr>
          <w:p w14:paraId="4A86EC45" w14:textId="37F0DD7E" w:rsidR="00F42ABA" w:rsidRPr="0067507D" w:rsidRDefault="00F42ABA" w:rsidP="00F42ABA">
            <w:pPr>
              <w:pStyle w:val="Tabletextright"/>
              <w:rPr>
                <w:szCs w:val="15"/>
                <w:highlight w:val="yellow"/>
              </w:rPr>
            </w:pPr>
            <w:r w:rsidRPr="0067507D">
              <w:t>35</w:t>
            </w:r>
          </w:p>
        </w:tc>
        <w:tc>
          <w:tcPr>
            <w:tcW w:w="578" w:type="dxa"/>
            <w:noWrap/>
            <w:hideMark/>
          </w:tcPr>
          <w:p w14:paraId="3522F17A" w14:textId="2E6E0D9B" w:rsidR="00F42ABA" w:rsidRPr="0067507D" w:rsidRDefault="00F42ABA" w:rsidP="00F42ABA">
            <w:pPr>
              <w:pStyle w:val="Tabletextright"/>
              <w:rPr>
                <w:szCs w:val="15"/>
                <w:highlight w:val="yellow"/>
              </w:rPr>
            </w:pPr>
            <w:r w:rsidRPr="0067507D">
              <w:t>33</w:t>
            </w:r>
          </w:p>
        </w:tc>
        <w:tc>
          <w:tcPr>
            <w:tcW w:w="579" w:type="dxa"/>
            <w:noWrap/>
            <w:hideMark/>
          </w:tcPr>
          <w:p w14:paraId="1896AA11" w14:textId="4F0CBD30" w:rsidR="00F42ABA" w:rsidRPr="0067507D" w:rsidRDefault="00F42ABA" w:rsidP="00F42ABA">
            <w:pPr>
              <w:pStyle w:val="Tabletextright"/>
              <w:rPr>
                <w:szCs w:val="15"/>
                <w:highlight w:val="yellow"/>
              </w:rPr>
            </w:pPr>
            <w:r w:rsidRPr="0067507D">
              <w:t>2</w:t>
            </w:r>
          </w:p>
        </w:tc>
        <w:tc>
          <w:tcPr>
            <w:tcW w:w="578" w:type="dxa"/>
            <w:shd w:val="clear" w:color="auto" w:fill="E0E0E0"/>
            <w:noWrap/>
            <w:hideMark/>
          </w:tcPr>
          <w:p w14:paraId="6707125C" w14:textId="7B823315"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15583881" w14:textId="02A409FE"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747C619C" w14:textId="7759EF57" w:rsidR="00F42ABA" w:rsidRPr="0067507D" w:rsidRDefault="009634D4" w:rsidP="00F42ABA">
            <w:pPr>
              <w:pStyle w:val="Tabletextright"/>
              <w:rPr>
                <w:szCs w:val="15"/>
                <w:highlight w:val="yellow"/>
              </w:rPr>
            </w:pPr>
            <w:r w:rsidRPr="0067507D">
              <w:t>–</w:t>
            </w:r>
          </w:p>
        </w:tc>
        <w:tc>
          <w:tcPr>
            <w:tcW w:w="579" w:type="dxa"/>
            <w:noWrap/>
            <w:hideMark/>
          </w:tcPr>
          <w:p w14:paraId="62B99914" w14:textId="143EE321" w:rsidR="00F42ABA" w:rsidRPr="0067507D" w:rsidRDefault="00F42ABA" w:rsidP="00F42ABA">
            <w:pPr>
              <w:pStyle w:val="Tabletextright"/>
              <w:rPr>
                <w:szCs w:val="15"/>
                <w:highlight w:val="yellow"/>
              </w:rPr>
            </w:pPr>
            <w:r w:rsidRPr="0067507D">
              <w:t>57</w:t>
            </w:r>
          </w:p>
        </w:tc>
        <w:tc>
          <w:tcPr>
            <w:tcW w:w="578" w:type="dxa"/>
            <w:noWrap/>
            <w:hideMark/>
          </w:tcPr>
          <w:p w14:paraId="05327467" w14:textId="4B9C1E1D" w:rsidR="00F42ABA" w:rsidRPr="0067507D" w:rsidRDefault="00F42ABA" w:rsidP="00F42ABA">
            <w:pPr>
              <w:pStyle w:val="Tabletextright"/>
              <w:rPr>
                <w:szCs w:val="15"/>
                <w:highlight w:val="yellow"/>
              </w:rPr>
            </w:pPr>
            <w:r w:rsidRPr="0067507D">
              <w:t>49</w:t>
            </w:r>
          </w:p>
        </w:tc>
        <w:tc>
          <w:tcPr>
            <w:tcW w:w="579" w:type="dxa"/>
            <w:noWrap/>
            <w:hideMark/>
          </w:tcPr>
          <w:p w14:paraId="7BA8489D" w14:textId="3F3C1B8F" w:rsidR="00F42ABA" w:rsidRPr="0067507D" w:rsidRDefault="00F42ABA" w:rsidP="00F42ABA">
            <w:pPr>
              <w:pStyle w:val="Tabletextright"/>
              <w:rPr>
                <w:szCs w:val="15"/>
                <w:highlight w:val="yellow"/>
              </w:rPr>
            </w:pPr>
            <w:r w:rsidRPr="0067507D">
              <w:t>8</w:t>
            </w:r>
          </w:p>
        </w:tc>
      </w:tr>
      <w:tr w:rsidR="003B7AFE" w:rsidRPr="0067507D" w14:paraId="243755D3" w14:textId="77777777" w:rsidTr="003B7AFE">
        <w:trPr>
          <w:gridAfter w:val="1"/>
          <w:wAfter w:w="10" w:type="dxa"/>
          <w:trHeight w:val="283"/>
        </w:trPr>
        <w:tc>
          <w:tcPr>
            <w:tcW w:w="2642" w:type="dxa"/>
            <w:noWrap/>
            <w:hideMark/>
          </w:tcPr>
          <w:p w14:paraId="6F79CB3B" w14:textId="77777777" w:rsidR="00F42ABA" w:rsidRPr="0067507D" w:rsidRDefault="00F42ABA" w:rsidP="00F42ABA">
            <w:pPr>
              <w:pStyle w:val="Tabletext"/>
              <w:rPr>
                <w:color w:val="000000"/>
                <w:szCs w:val="15"/>
              </w:rPr>
            </w:pPr>
            <w:r w:rsidRPr="0067507D">
              <w:t>Treasury Corporation of Victoria</w:t>
            </w:r>
          </w:p>
        </w:tc>
        <w:tc>
          <w:tcPr>
            <w:tcW w:w="578" w:type="dxa"/>
            <w:shd w:val="clear" w:color="auto" w:fill="E0E0E0"/>
            <w:noWrap/>
            <w:hideMark/>
          </w:tcPr>
          <w:p w14:paraId="2E769A9C" w14:textId="318CD139" w:rsidR="00F42ABA" w:rsidRPr="0067507D" w:rsidRDefault="00F42ABA" w:rsidP="00F42ABA">
            <w:pPr>
              <w:pStyle w:val="Tabletextright"/>
              <w:rPr>
                <w:szCs w:val="15"/>
                <w:highlight w:val="yellow"/>
              </w:rPr>
            </w:pPr>
            <w:r w:rsidRPr="0067507D">
              <w:t>3</w:t>
            </w:r>
          </w:p>
        </w:tc>
        <w:tc>
          <w:tcPr>
            <w:tcW w:w="579" w:type="dxa"/>
            <w:shd w:val="clear" w:color="auto" w:fill="E0E0E0"/>
            <w:noWrap/>
            <w:hideMark/>
          </w:tcPr>
          <w:p w14:paraId="17162D1D" w14:textId="02434E07" w:rsidR="00F42ABA" w:rsidRPr="0067507D" w:rsidRDefault="00F42ABA" w:rsidP="00F42ABA">
            <w:pPr>
              <w:pStyle w:val="Tabletextright"/>
              <w:rPr>
                <w:szCs w:val="15"/>
                <w:highlight w:val="yellow"/>
              </w:rPr>
            </w:pPr>
            <w:r w:rsidRPr="0067507D">
              <w:t>3</w:t>
            </w:r>
          </w:p>
        </w:tc>
        <w:tc>
          <w:tcPr>
            <w:tcW w:w="578" w:type="dxa"/>
            <w:shd w:val="clear" w:color="auto" w:fill="E0E0E0"/>
            <w:noWrap/>
            <w:hideMark/>
          </w:tcPr>
          <w:p w14:paraId="48CD6E3A" w14:textId="08BFBDD0" w:rsidR="00F42ABA" w:rsidRPr="0067507D" w:rsidRDefault="009634D4" w:rsidP="00F42ABA">
            <w:pPr>
              <w:pStyle w:val="Tabletextright"/>
              <w:rPr>
                <w:szCs w:val="15"/>
                <w:highlight w:val="yellow"/>
              </w:rPr>
            </w:pPr>
            <w:r w:rsidRPr="0067507D">
              <w:t>–</w:t>
            </w:r>
          </w:p>
        </w:tc>
        <w:tc>
          <w:tcPr>
            <w:tcW w:w="579" w:type="dxa"/>
            <w:noWrap/>
            <w:hideMark/>
          </w:tcPr>
          <w:p w14:paraId="0C0A85DC" w14:textId="246A7EF0" w:rsidR="00F42ABA" w:rsidRPr="0067507D" w:rsidRDefault="00F42ABA" w:rsidP="00F42ABA">
            <w:pPr>
              <w:pStyle w:val="Tabletextright"/>
              <w:rPr>
                <w:szCs w:val="15"/>
                <w:highlight w:val="yellow"/>
              </w:rPr>
            </w:pPr>
            <w:r w:rsidRPr="0067507D">
              <w:t>3</w:t>
            </w:r>
          </w:p>
        </w:tc>
        <w:tc>
          <w:tcPr>
            <w:tcW w:w="578" w:type="dxa"/>
            <w:noWrap/>
            <w:hideMark/>
          </w:tcPr>
          <w:p w14:paraId="0ABDF3C9" w14:textId="249490E2" w:rsidR="00F42ABA" w:rsidRPr="0067507D" w:rsidRDefault="00F42ABA" w:rsidP="00F42ABA">
            <w:pPr>
              <w:pStyle w:val="Tabletextright"/>
              <w:rPr>
                <w:szCs w:val="15"/>
                <w:highlight w:val="yellow"/>
              </w:rPr>
            </w:pPr>
            <w:r w:rsidRPr="0067507D">
              <w:t>3</w:t>
            </w:r>
          </w:p>
        </w:tc>
        <w:tc>
          <w:tcPr>
            <w:tcW w:w="579" w:type="dxa"/>
            <w:noWrap/>
            <w:hideMark/>
          </w:tcPr>
          <w:p w14:paraId="343E159A" w14:textId="3C18D040"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4CCF7588" w14:textId="60470D19"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4DDCD246" w14:textId="424ABC9E"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2B7BA88A" w14:textId="799B612D" w:rsidR="00F42ABA" w:rsidRPr="0067507D" w:rsidRDefault="009634D4" w:rsidP="00F42ABA">
            <w:pPr>
              <w:pStyle w:val="Tabletextright"/>
              <w:rPr>
                <w:szCs w:val="15"/>
                <w:highlight w:val="yellow"/>
              </w:rPr>
            </w:pPr>
            <w:r w:rsidRPr="0067507D">
              <w:t>–</w:t>
            </w:r>
          </w:p>
        </w:tc>
        <w:tc>
          <w:tcPr>
            <w:tcW w:w="579" w:type="dxa"/>
            <w:noWrap/>
            <w:hideMark/>
          </w:tcPr>
          <w:p w14:paraId="41FD7932" w14:textId="051BE60D" w:rsidR="00F42ABA" w:rsidRPr="0067507D" w:rsidRDefault="00F42ABA" w:rsidP="00F42ABA">
            <w:pPr>
              <w:pStyle w:val="Tabletextright"/>
              <w:rPr>
                <w:szCs w:val="15"/>
                <w:highlight w:val="yellow"/>
              </w:rPr>
            </w:pPr>
            <w:r w:rsidRPr="0067507D">
              <w:t>6</w:t>
            </w:r>
          </w:p>
        </w:tc>
        <w:tc>
          <w:tcPr>
            <w:tcW w:w="578" w:type="dxa"/>
            <w:noWrap/>
            <w:hideMark/>
          </w:tcPr>
          <w:p w14:paraId="341F3C72" w14:textId="1A553B78" w:rsidR="00F42ABA" w:rsidRPr="0067507D" w:rsidRDefault="00F42ABA" w:rsidP="00F42ABA">
            <w:pPr>
              <w:pStyle w:val="Tabletextright"/>
              <w:rPr>
                <w:szCs w:val="15"/>
                <w:highlight w:val="yellow"/>
              </w:rPr>
            </w:pPr>
            <w:r w:rsidRPr="0067507D">
              <w:t>6</w:t>
            </w:r>
          </w:p>
        </w:tc>
        <w:tc>
          <w:tcPr>
            <w:tcW w:w="579" w:type="dxa"/>
            <w:noWrap/>
            <w:hideMark/>
          </w:tcPr>
          <w:p w14:paraId="2D5EAD9E" w14:textId="160B6C0E" w:rsidR="00F42ABA" w:rsidRPr="0067507D" w:rsidRDefault="009634D4" w:rsidP="00F42ABA">
            <w:pPr>
              <w:pStyle w:val="Tabletextright"/>
              <w:rPr>
                <w:szCs w:val="15"/>
                <w:highlight w:val="yellow"/>
              </w:rPr>
            </w:pPr>
            <w:r w:rsidRPr="0067507D">
              <w:t>–</w:t>
            </w:r>
          </w:p>
        </w:tc>
      </w:tr>
      <w:tr w:rsidR="003B7AFE" w:rsidRPr="0067507D" w14:paraId="0E775CBD" w14:textId="77777777" w:rsidTr="003B7AFE">
        <w:trPr>
          <w:gridAfter w:val="1"/>
          <w:wAfter w:w="10" w:type="dxa"/>
          <w:trHeight w:val="283"/>
        </w:trPr>
        <w:tc>
          <w:tcPr>
            <w:tcW w:w="2642" w:type="dxa"/>
            <w:noWrap/>
            <w:hideMark/>
          </w:tcPr>
          <w:p w14:paraId="79E447CE" w14:textId="77777777" w:rsidR="00F42ABA" w:rsidRPr="0067507D" w:rsidRDefault="00F42ABA" w:rsidP="00F42ABA">
            <w:pPr>
              <w:pStyle w:val="Tabletext"/>
              <w:rPr>
                <w:color w:val="000000"/>
                <w:szCs w:val="15"/>
              </w:rPr>
            </w:pPr>
            <w:r w:rsidRPr="0067507D">
              <w:t>Victorian Asbestos Eradication Agency</w:t>
            </w:r>
          </w:p>
        </w:tc>
        <w:tc>
          <w:tcPr>
            <w:tcW w:w="578" w:type="dxa"/>
            <w:shd w:val="clear" w:color="auto" w:fill="E0E0E0"/>
            <w:noWrap/>
            <w:hideMark/>
          </w:tcPr>
          <w:p w14:paraId="45A3A6F7" w14:textId="49270EB5"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324938C2" w14:textId="095C02D9"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3E133AF3" w14:textId="728ABCAE" w:rsidR="00F42ABA" w:rsidRPr="0067507D" w:rsidRDefault="009634D4" w:rsidP="00F42ABA">
            <w:pPr>
              <w:pStyle w:val="Tabletextright"/>
              <w:rPr>
                <w:szCs w:val="15"/>
                <w:highlight w:val="yellow"/>
              </w:rPr>
            </w:pPr>
            <w:r w:rsidRPr="0067507D">
              <w:t>–</w:t>
            </w:r>
          </w:p>
        </w:tc>
        <w:tc>
          <w:tcPr>
            <w:tcW w:w="579" w:type="dxa"/>
            <w:noWrap/>
            <w:hideMark/>
          </w:tcPr>
          <w:p w14:paraId="02C95944" w14:textId="40D3512C" w:rsidR="00F42ABA" w:rsidRPr="0067507D" w:rsidRDefault="009634D4" w:rsidP="00F42ABA">
            <w:pPr>
              <w:pStyle w:val="Tabletextright"/>
              <w:rPr>
                <w:szCs w:val="15"/>
                <w:highlight w:val="yellow"/>
              </w:rPr>
            </w:pPr>
            <w:r w:rsidRPr="0067507D">
              <w:t>–</w:t>
            </w:r>
          </w:p>
        </w:tc>
        <w:tc>
          <w:tcPr>
            <w:tcW w:w="578" w:type="dxa"/>
            <w:noWrap/>
            <w:hideMark/>
          </w:tcPr>
          <w:p w14:paraId="01724925" w14:textId="37688430" w:rsidR="00F42ABA" w:rsidRPr="0067507D" w:rsidRDefault="009634D4" w:rsidP="00F42ABA">
            <w:pPr>
              <w:pStyle w:val="Tabletextright"/>
              <w:rPr>
                <w:szCs w:val="15"/>
                <w:highlight w:val="yellow"/>
              </w:rPr>
            </w:pPr>
            <w:r w:rsidRPr="0067507D">
              <w:t>–</w:t>
            </w:r>
          </w:p>
        </w:tc>
        <w:tc>
          <w:tcPr>
            <w:tcW w:w="579" w:type="dxa"/>
            <w:noWrap/>
            <w:hideMark/>
          </w:tcPr>
          <w:p w14:paraId="186CAFD7" w14:textId="1FFFE94E"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1CA299B4" w14:textId="6708211E"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24EF437F" w14:textId="1A0EF597"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09FD3888" w14:textId="425BE847" w:rsidR="00F42ABA" w:rsidRPr="0067507D" w:rsidRDefault="009634D4" w:rsidP="00F42ABA">
            <w:pPr>
              <w:pStyle w:val="Tabletextright"/>
              <w:rPr>
                <w:szCs w:val="15"/>
                <w:highlight w:val="yellow"/>
              </w:rPr>
            </w:pPr>
            <w:r w:rsidRPr="0067507D">
              <w:t>–</w:t>
            </w:r>
          </w:p>
        </w:tc>
        <w:tc>
          <w:tcPr>
            <w:tcW w:w="579" w:type="dxa"/>
            <w:noWrap/>
            <w:hideMark/>
          </w:tcPr>
          <w:p w14:paraId="526E6144" w14:textId="62C1E821" w:rsidR="00F42ABA" w:rsidRPr="0067507D" w:rsidRDefault="009634D4" w:rsidP="00F42ABA">
            <w:pPr>
              <w:pStyle w:val="Tabletextright"/>
              <w:rPr>
                <w:szCs w:val="15"/>
                <w:highlight w:val="yellow"/>
              </w:rPr>
            </w:pPr>
            <w:r w:rsidRPr="0067507D">
              <w:t>–</w:t>
            </w:r>
          </w:p>
        </w:tc>
        <w:tc>
          <w:tcPr>
            <w:tcW w:w="578" w:type="dxa"/>
            <w:noWrap/>
            <w:hideMark/>
          </w:tcPr>
          <w:p w14:paraId="6F965FD1" w14:textId="54C68A6C" w:rsidR="00F42ABA" w:rsidRPr="0067507D" w:rsidRDefault="009634D4" w:rsidP="00F42ABA">
            <w:pPr>
              <w:pStyle w:val="Tabletextright"/>
              <w:rPr>
                <w:szCs w:val="15"/>
                <w:highlight w:val="yellow"/>
              </w:rPr>
            </w:pPr>
            <w:r w:rsidRPr="0067507D">
              <w:t>–</w:t>
            </w:r>
          </w:p>
        </w:tc>
        <w:tc>
          <w:tcPr>
            <w:tcW w:w="579" w:type="dxa"/>
            <w:noWrap/>
            <w:hideMark/>
          </w:tcPr>
          <w:p w14:paraId="76E6C743" w14:textId="4D105F36" w:rsidR="00F42ABA" w:rsidRPr="0067507D" w:rsidRDefault="009634D4" w:rsidP="00F42ABA">
            <w:pPr>
              <w:pStyle w:val="Tabletextright"/>
              <w:rPr>
                <w:szCs w:val="15"/>
                <w:highlight w:val="yellow"/>
              </w:rPr>
            </w:pPr>
            <w:r w:rsidRPr="0067507D">
              <w:t>–</w:t>
            </w:r>
          </w:p>
        </w:tc>
      </w:tr>
      <w:tr w:rsidR="003B7AFE" w:rsidRPr="0067507D" w14:paraId="0E2E9829" w14:textId="77777777" w:rsidTr="003B7AFE">
        <w:trPr>
          <w:gridAfter w:val="1"/>
          <w:wAfter w:w="10" w:type="dxa"/>
          <w:trHeight w:val="283"/>
        </w:trPr>
        <w:tc>
          <w:tcPr>
            <w:tcW w:w="2642" w:type="dxa"/>
            <w:noWrap/>
            <w:hideMark/>
          </w:tcPr>
          <w:p w14:paraId="142D7AD5" w14:textId="77777777" w:rsidR="00F42ABA" w:rsidRPr="0067507D" w:rsidRDefault="00F42ABA" w:rsidP="00F42ABA">
            <w:pPr>
              <w:pStyle w:val="Tabletext"/>
              <w:rPr>
                <w:color w:val="000000"/>
                <w:szCs w:val="15"/>
              </w:rPr>
            </w:pPr>
            <w:r w:rsidRPr="0067507D">
              <w:t>Victorian Funds Management Corporation</w:t>
            </w:r>
          </w:p>
        </w:tc>
        <w:tc>
          <w:tcPr>
            <w:tcW w:w="578" w:type="dxa"/>
            <w:shd w:val="clear" w:color="auto" w:fill="E0E0E0"/>
            <w:noWrap/>
            <w:hideMark/>
          </w:tcPr>
          <w:p w14:paraId="2FCDEB63" w14:textId="7FB45550" w:rsidR="00F42ABA" w:rsidRPr="0067507D" w:rsidRDefault="00F42ABA" w:rsidP="00F42ABA">
            <w:pPr>
              <w:pStyle w:val="Tabletextright"/>
              <w:rPr>
                <w:szCs w:val="15"/>
                <w:highlight w:val="yellow"/>
              </w:rPr>
            </w:pPr>
            <w:r w:rsidRPr="0067507D">
              <w:t>12</w:t>
            </w:r>
          </w:p>
        </w:tc>
        <w:tc>
          <w:tcPr>
            <w:tcW w:w="579" w:type="dxa"/>
            <w:shd w:val="clear" w:color="auto" w:fill="E0E0E0"/>
            <w:noWrap/>
            <w:hideMark/>
          </w:tcPr>
          <w:p w14:paraId="09CBFCAD" w14:textId="4439E250" w:rsidR="00F42ABA" w:rsidRPr="0067507D" w:rsidRDefault="00F42ABA" w:rsidP="00F42ABA">
            <w:pPr>
              <w:pStyle w:val="Tabletextright"/>
              <w:rPr>
                <w:szCs w:val="15"/>
                <w:highlight w:val="yellow"/>
              </w:rPr>
            </w:pPr>
            <w:r w:rsidRPr="0067507D">
              <w:t>9</w:t>
            </w:r>
          </w:p>
        </w:tc>
        <w:tc>
          <w:tcPr>
            <w:tcW w:w="578" w:type="dxa"/>
            <w:shd w:val="clear" w:color="auto" w:fill="E0E0E0"/>
            <w:noWrap/>
            <w:hideMark/>
          </w:tcPr>
          <w:p w14:paraId="71A925CD" w14:textId="7BABE177" w:rsidR="00F42ABA" w:rsidRPr="0067507D" w:rsidRDefault="00F42ABA" w:rsidP="00F42ABA">
            <w:pPr>
              <w:pStyle w:val="Tabletextright"/>
              <w:rPr>
                <w:szCs w:val="15"/>
                <w:highlight w:val="yellow"/>
              </w:rPr>
            </w:pPr>
            <w:r w:rsidRPr="0067507D">
              <w:t>3</w:t>
            </w:r>
          </w:p>
        </w:tc>
        <w:tc>
          <w:tcPr>
            <w:tcW w:w="579" w:type="dxa"/>
            <w:noWrap/>
            <w:hideMark/>
          </w:tcPr>
          <w:p w14:paraId="011C2914" w14:textId="0BF57A3C" w:rsidR="00F42ABA" w:rsidRPr="0067507D" w:rsidRDefault="00F42ABA" w:rsidP="00F42ABA">
            <w:pPr>
              <w:pStyle w:val="Tabletextright"/>
              <w:rPr>
                <w:szCs w:val="15"/>
                <w:highlight w:val="yellow"/>
              </w:rPr>
            </w:pPr>
            <w:r w:rsidRPr="0067507D">
              <w:t>3</w:t>
            </w:r>
          </w:p>
        </w:tc>
        <w:tc>
          <w:tcPr>
            <w:tcW w:w="578" w:type="dxa"/>
            <w:noWrap/>
            <w:hideMark/>
          </w:tcPr>
          <w:p w14:paraId="3060A4A1" w14:textId="635F07C4" w:rsidR="00F42ABA" w:rsidRPr="0067507D" w:rsidRDefault="00F42ABA" w:rsidP="00F42ABA">
            <w:pPr>
              <w:pStyle w:val="Tabletextright"/>
              <w:rPr>
                <w:szCs w:val="15"/>
                <w:highlight w:val="yellow"/>
              </w:rPr>
            </w:pPr>
            <w:r w:rsidRPr="0067507D">
              <w:t>5</w:t>
            </w:r>
          </w:p>
        </w:tc>
        <w:tc>
          <w:tcPr>
            <w:tcW w:w="579" w:type="dxa"/>
            <w:noWrap/>
            <w:hideMark/>
          </w:tcPr>
          <w:p w14:paraId="06988F75" w14:textId="4FB9DE57" w:rsidR="00F42ABA" w:rsidRPr="0067507D" w:rsidRDefault="00F42ABA" w:rsidP="00F42ABA">
            <w:pPr>
              <w:pStyle w:val="Tabletextright"/>
              <w:rPr>
                <w:szCs w:val="15"/>
                <w:highlight w:val="yellow"/>
              </w:rPr>
            </w:pPr>
            <w:r w:rsidRPr="0067507D">
              <w:t>(2)</w:t>
            </w:r>
          </w:p>
        </w:tc>
        <w:tc>
          <w:tcPr>
            <w:tcW w:w="578" w:type="dxa"/>
            <w:shd w:val="clear" w:color="auto" w:fill="E0E0E0"/>
            <w:noWrap/>
            <w:hideMark/>
          </w:tcPr>
          <w:p w14:paraId="25C427C0" w14:textId="52E84B7D"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7135C155" w14:textId="75E3053E"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3646D480" w14:textId="1D80B2BA" w:rsidR="00F42ABA" w:rsidRPr="0067507D" w:rsidRDefault="009634D4" w:rsidP="00F42ABA">
            <w:pPr>
              <w:pStyle w:val="Tabletextright"/>
              <w:rPr>
                <w:szCs w:val="15"/>
                <w:highlight w:val="yellow"/>
              </w:rPr>
            </w:pPr>
            <w:r w:rsidRPr="0067507D">
              <w:t>–</w:t>
            </w:r>
          </w:p>
        </w:tc>
        <w:tc>
          <w:tcPr>
            <w:tcW w:w="579" w:type="dxa"/>
            <w:noWrap/>
            <w:hideMark/>
          </w:tcPr>
          <w:p w14:paraId="5653030C" w14:textId="1A451333" w:rsidR="00F42ABA" w:rsidRPr="0067507D" w:rsidRDefault="00F42ABA" w:rsidP="00F42ABA">
            <w:pPr>
              <w:pStyle w:val="Tabletextright"/>
              <w:rPr>
                <w:szCs w:val="15"/>
                <w:highlight w:val="yellow"/>
              </w:rPr>
            </w:pPr>
            <w:r w:rsidRPr="0067507D">
              <w:t>15</w:t>
            </w:r>
          </w:p>
        </w:tc>
        <w:tc>
          <w:tcPr>
            <w:tcW w:w="578" w:type="dxa"/>
            <w:noWrap/>
            <w:hideMark/>
          </w:tcPr>
          <w:p w14:paraId="49A8C750" w14:textId="66FE4359" w:rsidR="00F42ABA" w:rsidRPr="0067507D" w:rsidRDefault="00F42ABA" w:rsidP="00F42ABA">
            <w:pPr>
              <w:pStyle w:val="Tabletextright"/>
              <w:rPr>
                <w:szCs w:val="15"/>
                <w:highlight w:val="yellow"/>
              </w:rPr>
            </w:pPr>
            <w:r w:rsidRPr="0067507D">
              <w:t>14</w:t>
            </w:r>
          </w:p>
        </w:tc>
        <w:tc>
          <w:tcPr>
            <w:tcW w:w="579" w:type="dxa"/>
            <w:noWrap/>
            <w:hideMark/>
          </w:tcPr>
          <w:p w14:paraId="6AF32DBD" w14:textId="436A9389" w:rsidR="00F42ABA" w:rsidRPr="0067507D" w:rsidRDefault="00F42ABA" w:rsidP="00F42ABA">
            <w:pPr>
              <w:pStyle w:val="Tabletextright"/>
              <w:rPr>
                <w:szCs w:val="15"/>
                <w:highlight w:val="yellow"/>
              </w:rPr>
            </w:pPr>
            <w:r w:rsidRPr="0067507D">
              <w:t>1</w:t>
            </w:r>
          </w:p>
        </w:tc>
      </w:tr>
      <w:tr w:rsidR="003B7AFE" w:rsidRPr="0067507D" w14:paraId="3E39057F" w14:textId="77777777" w:rsidTr="003B7AFE">
        <w:trPr>
          <w:gridAfter w:val="1"/>
          <w:wAfter w:w="10" w:type="dxa"/>
          <w:trHeight w:val="283"/>
        </w:trPr>
        <w:tc>
          <w:tcPr>
            <w:tcW w:w="2642" w:type="dxa"/>
            <w:noWrap/>
            <w:hideMark/>
          </w:tcPr>
          <w:p w14:paraId="2C9010F9" w14:textId="77777777" w:rsidR="00F42ABA" w:rsidRPr="0067507D" w:rsidRDefault="00F42ABA" w:rsidP="00F42ABA">
            <w:pPr>
              <w:pStyle w:val="Tabletext"/>
              <w:rPr>
                <w:color w:val="000000"/>
                <w:szCs w:val="15"/>
              </w:rPr>
            </w:pPr>
            <w:r w:rsidRPr="0067507D">
              <w:t>Victorian Managed Insurance Authority</w:t>
            </w:r>
          </w:p>
        </w:tc>
        <w:tc>
          <w:tcPr>
            <w:tcW w:w="578" w:type="dxa"/>
            <w:shd w:val="clear" w:color="auto" w:fill="E0E0E0"/>
            <w:noWrap/>
            <w:hideMark/>
          </w:tcPr>
          <w:p w14:paraId="2DE7DD26" w14:textId="7A4FF0EA" w:rsidR="00F42ABA" w:rsidRPr="0067507D" w:rsidRDefault="00F42ABA" w:rsidP="00F42ABA">
            <w:pPr>
              <w:pStyle w:val="Tabletextright"/>
              <w:rPr>
                <w:szCs w:val="15"/>
                <w:highlight w:val="yellow"/>
              </w:rPr>
            </w:pPr>
            <w:r w:rsidRPr="0067507D">
              <w:t>1</w:t>
            </w:r>
          </w:p>
        </w:tc>
        <w:tc>
          <w:tcPr>
            <w:tcW w:w="579" w:type="dxa"/>
            <w:shd w:val="clear" w:color="auto" w:fill="E0E0E0"/>
            <w:noWrap/>
            <w:hideMark/>
          </w:tcPr>
          <w:p w14:paraId="331BD997" w14:textId="67DA2D80" w:rsidR="00F42ABA" w:rsidRPr="0067507D" w:rsidRDefault="00F42ABA" w:rsidP="00F42ABA">
            <w:pPr>
              <w:pStyle w:val="Tabletextright"/>
              <w:rPr>
                <w:szCs w:val="15"/>
                <w:highlight w:val="yellow"/>
              </w:rPr>
            </w:pPr>
            <w:r w:rsidRPr="0067507D">
              <w:t>2</w:t>
            </w:r>
          </w:p>
        </w:tc>
        <w:tc>
          <w:tcPr>
            <w:tcW w:w="578" w:type="dxa"/>
            <w:shd w:val="clear" w:color="auto" w:fill="E0E0E0"/>
            <w:noWrap/>
            <w:hideMark/>
          </w:tcPr>
          <w:p w14:paraId="4E774714" w14:textId="3810884D" w:rsidR="00F42ABA" w:rsidRPr="0067507D" w:rsidRDefault="00F42ABA" w:rsidP="00F42ABA">
            <w:pPr>
              <w:pStyle w:val="Tabletextright"/>
              <w:rPr>
                <w:szCs w:val="15"/>
                <w:highlight w:val="yellow"/>
              </w:rPr>
            </w:pPr>
            <w:r w:rsidRPr="0067507D">
              <w:t>(1)</w:t>
            </w:r>
          </w:p>
        </w:tc>
        <w:tc>
          <w:tcPr>
            <w:tcW w:w="579" w:type="dxa"/>
            <w:noWrap/>
            <w:hideMark/>
          </w:tcPr>
          <w:p w14:paraId="50EEA035" w14:textId="6D49D507" w:rsidR="00F42ABA" w:rsidRPr="0067507D" w:rsidRDefault="00F42ABA" w:rsidP="00F42ABA">
            <w:pPr>
              <w:pStyle w:val="Tabletextright"/>
              <w:rPr>
                <w:szCs w:val="15"/>
                <w:highlight w:val="yellow"/>
              </w:rPr>
            </w:pPr>
            <w:r w:rsidRPr="0067507D">
              <w:t>4</w:t>
            </w:r>
          </w:p>
        </w:tc>
        <w:tc>
          <w:tcPr>
            <w:tcW w:w="578" w:type="dxa"/>
            <w:noWrap/>
            <w:hideMark/>
          </w:tcPr>
          <w:p w14:paraId="6D84F834" w14:textId="447E4C54" w:rsidR="00F42ABA" w:rsidRPr="0067507D" w:rsidRDefault="00F42ABA" w:rsidP="00F42ABA">
            <w:pPr>
              <w:pStyle w:val="Tabletextright"/>
              <w:rPr>
                <w:szCs w:val="15"/>
                <w:highlight w:val="yellow"/>
              </w:rPr>
            </w:pPr>
            <w:r w:rsidRPr="0067507D">
              <w:t>4</w:t>
            </w:r>
          </w:p>
        </w:tc>
        <w:tc>
          <w:tcPr>
            <w:tcW w:w="579" w:type="dxa"/>
            <w:noWrap/>
            <w:hideMark/>
          </w:tcPr>
          <w:p w14:paraId="2132D2C3" w14:textId="0CE2272E"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35CC3DA9" w14:textId="3F59153A"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7766466C" w14:textId="66145A67"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29A888C2" w14:textId="4010A2E8" w:rsidR="00F42ABA" w:rsidRPr="0067507D" w:rsidRDefault="009634D4" w:rsidP="00F42ABA">
            <w:pPr>
              <w:pStyle w:val="Tabletextright"/>
              <w:rPr>
                <w:szCs w:val="15"/>
                <w:highlight w:val="yellow"/>
              </w:rPr>
            </w:pPr>
            <w:r w:rsidRPr="0067507D">
              <w:t>–</w:t>
            </w:r>
          </w:p>
        </w:tc>
        <w:tc>
          <w:tcPr>
            <w:tcW w:w="579" w:type="dxa"/>
            <w:noWrap/>
            <w:hideMark/>
          </w:tcPr>
          <w:p w14:paraId="41934721" w14:textId="1A4CF9CC" w:rsidR="00F42ABA" w:rsidRPr="0067507D" w:rsidRDefault="00F42ABA" w:rsidP="00F42ABA">
            <w:pPr>
              <w:pStyle w:val="Tabletextright"/>
              <w:rPr>
                <w:szCs w:val="15"/>
                <w:highlight w:val="yellow"/>
              </w:rPr>
            </w:pPr>
            <w:r w:rsidRPr="0067507D">
              <w:t>5</w:t>
            </w:r>
          </w:p>
        </w:tc>
        <w:tc>
          <w:tcPr>
            <w:tcW w:w="578" w:type="dxa"/>
            <w:noWrap/>
            <w:hideMark/>
          </w:tcPr>
          <w:p w14:paraId="4A1C8FDC" w14:textId="1617D7CF" w:rsidR="00F42ABA" w:rsidRPr="0067507D" w:rsidRDefault="00F42ABA" w:rsidP="00F42ABA">
            <w:pPr>
              <w:pStyle w:val="Tabletextright"/>
              <w:rPr>
                <w:szCs w:val="15"/>
                <w:highlight w:val="yellow"/>
              </w:rPr>
            </w:pPr>
            <w:r w:rsidRPr="0067507D">
              <w:t>6</w:t>
            </w:r>
          </w:p>
        </w:tc>
        <w:tc>
          <w:tcPr>
            <w:tcW w:w="579" w:type="dxa"/>
            <w:noWrap/>
            <w:hideMark/>
          </w:tcPr>
          <w:p w14:paraId="44C7C0B7" w14:textId="2BBEEBBA" w:rsidR="00F42ABA" w:rsidRPr="0067507D" w:rsidRDefault="00F42ABA" w:rsidP="00F42ABA">
            <w:pPr>
              <w:pStyle w:val="Tabletextright"/>
              <w:rPr>
                <w:szCs w:val="15"/>
                <w:highlight w:val="yellow"/>
              </w:rPr>
            </w:pPr>
            <w:r w:rsidRPr="0067507D">
              <w:t>(1)</w:t>
            </w:r>
          </w:p>
        </w:tc>
      </w:tr>
      <w:tr w:rsidR="003B7AFE" w:rsidRPr="0067507D" w14:paraId="1690C00B" w14:textId="77777777" w:rsidTr="003B7AFE">
        <w:trPr>
          <w:gridAfter w:val="1"/>
          <w:wAfter w:w="10" w:type="dxa"/>
          <w:trHeight w:val="283"/>
        </w:trPr>
        <w:tc>
          <w:tcPr>
            <w:tcW w:w="2642" w:type="dxa"/>
            <w:noWrap/>
            <w:hideMark/>
          </w:tcPr>
          <w:p w14:paraId="2C94AAE3" w14:textId="252F0559" w:rsidR="00F42ABA" w:rsidRPr="0067507D" w:rsidRDefault="00F42ABA" w:rsidP="00F42ABA">
            <w:pPr>
              <w:pStyle w:val="Tabletext"/>
              <w:rPr>
                <w:color w:val="000000"/>
                <w:szCs w:val="15"/>
              </w:rPr>
            </w:pPr>
            <w:r w:rsidRPr="0067507D">
              <w:t xml:space="preserve">Victorian WorkCover Authority </w:t>
            </w:r>
            <w:r w:rsidRPr="0067507D">
              <w:rPr>
                <w:vertAlign w:val="superscript"/>
              </w:rPr>
              <w:t>(a)</w:t>
            </w:r>
          </w:p>
        </w:tc>
        <w:tc>
          <w:tcPr>
            <w:tcW w:w="578" w:type="dxa"/>
            <w:shd w:val="clear" w:color="auto" w:fill="E0E0E0"/>
            <w:noWrap/>
            <w:hideMark/>
          </w:tcPr>
          <w:p w14:paraId="5E6C8075" w14:textId="7C8E1710" w:rsidR="00F42ABA" w:rsidRPr="0067507D" w:rsidRDefault="00F42ABA" w:rsidP="00F42ABA">
            <w:pPr>
              <w:pStyle w:val="Tabletextright"/>
              <w:rPr>
                <w:szCs w:val="15"/>
                <w:highlight w:val="yellow"/>
              </w:rPr>
            </w:pPr>
            <w:r w:rsidRPr="0067507D">
              <w:t>32</w:t>
            </w:r>
          </w:p>
        </w:tc>
        <w:tc>
          <w:tcPr>
            <w:tcW w:w="579" w:type="dxa"/>
            <w:shd w:val="clear" w:color="auto" w:fill="E0E0E0"/>
            <w:noWrap/>
            <w:hideMark/>
          </w:tcPr>
          <w:p w14:paraId="0388F8FA" w14:textId="7217C762" w:rsidR="00F42ABA" w:rsidRPr="0067507D" w:rsidRDefault="00F42ABA" w:rsidP="00F42ABA">
            <w:pPr>
              <w:pStyle w:val="Tabletextright"/>
              <w:rPr>
                <w:szCs w:val="15"/>
                <w:highlight w:val="yellow"/>
              </w:rPr>
            </w:pPr>
            <w:r w:rsidRPr="0067507D">
              <w:t>34</w:t>
            </w:r>
          </w:p>
        </w:tc>
        <w:tc>
          <w:tcPr>
            <w:tcW w:w="578" w:type="dxa"/>
            <w:shd w:val="clear" w:color="auto" w:fill="E0E0E0"/>
            <w:noWrap/>
            <w:hideMark/>
          </w:tcPr>
          <w:p w14:paraId="38C43496" w14:textId="1548DD23" w:rsidR="00F42ABA" w:rsidRPr="0067507D" w:rsidRDefault="00F42ABA" w:rsidP="00F42ABA">
            <w:pPr>
              <w:pStyle w:val="Tabletextright"/>
              <w:rPr>
                <w:szCs w:val="15"/>
                <w:highlight w:val="yellow"/>
              </w:rPr>
            </w:pPr>
            <w:r w:rsidRPr="0067507D">
              <w:t>(2)</w:t>
            </w:r>
          </w:p>
        </w:tc>
        <w:tc>
          <w:tcPr>
            <w:tcW w:w="579" w:type="dxa"/>
            <w:noWrap/>
            <w:hideMark/>
          </w:tcPr>
          <w:p w14:paraId="5A2226F2" w14:textId="275835CC" w:rsidR="00F42ABA" w:rsidRPr="0067507D" w:rsidRDefault="00F42ABA" w:rsidP="00F42ABA">
            <w:pPr>
              <w:pStyle w:val="Tabletextright"/>
              <w:rPr>
                <w:szCs w:val="15"/>
                <w:highlight w:val="yellow"/>
              </w:rPr>
            </w:pPr>
            <w:r w:rsidRPr="0067507D">
              <w:t>30</w:t>
            </w:r>
          </w:p>
        </w:tc>
        <w:tc>
          <w:tcPr>
            <w:tcW w:w="578" w:type="dxa"/>
            <w:noWrap/>
            <w:hideMark/>
          </w:tcPr>
          <w:p w14:paraId="6B3D048D" w14:textId="7E14A1C8" w:rsidR="00F42ABA" w:rsidRPr="0067507D" w:rsidRDefault="00F42ABA" w:rsidP="00F42ABA">
            <w:pPr>
              <w:pStyle w:val="Tabletextright"/>
              <w:rPr>
                <w:szCs w:val="15"/>
                <w:highlight w:val="yellow"/>
              </w:rPr>
            </w:pPr>
            <w:r w:rsidRPr="0067507D">
              <w:t>28</w:t>
            </w:r>
          </w:p>
        </w:tc>
        <w:tc>
          <w:tcPr>
            <w:tcW w:w="579" w:type="dxa"/>
            <w:noWrap/>
            <w:hideMark/>
          </w:tcPr>
          <w:p w14:paraId="1EE491FB" w14:textId="788F6B37" w:rsidR="00F42ABA" w:rsidRPr="0067507D" w:rsidRDefault="00F42ABA" w:rsidP="00F42ABA">
            <w:pPr>
              <w:pStyle w:val="Tabletextright"/>
              <w:rPr>
                <w:szCs w:val="15"/>
                <w:highlight w:val="yellow"/>
              </w:rPr>
            </w:pPr>
            <w:r w:rsidRPr="0067507D">
              <w:t>2</w:t>
            </w:r>
          </w:p>
        </w:tc>
        <w:tc>
          <w:tcPr>
            <w:tcW w:w="578" w:type="dxa"/>
            <w:shd w:val="clear" w:color="auto" w:fill="E0E0E0"/>
            <w:noWrap/>
            <w:hideMark/>
          </w:tcPr>
          <w:p w14:paraId="41C10E4B" w14:textId="75C00AF8"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264E315C" w14:textId="1CF81A83"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20C84F4B" w14:textId="6B23B8C9" w:rsidR="00F42ABA" w:rsidRPr="0067507D" w:rsidRDefault="009634D4" w:rsidP="00F42ABA">
            <w:pPr>
              <w:pStyle w:val="Tabletextright"/>
              <w:rPr>
                <w:szCs w:val="15"/>
                <w:highlight w:val="yellow"/>
              </w:rPr>
            </w:pPr>
            <w:r w:rsidRPr="0067507D">
              <w:t>–</w:t>
            </w:r>
          </w:p>
        </w:tc>
        <w:tc>
          <w:tcPr>
            <w:tcW w:w="579" w:type="dxa"/>
            <w:noWrap/>
            <w:hideMark/>
          </w:tcPr>
          <w:p w14:paraId="3F96C4EA" w14:textId="53BA4F01" w:rsidR="00F42ABA" w:rsidRPr="0067507D" w:rsidRDefault="00F42ABA" w:rsidP="00F42ABA">
            <w:pPr>
              <w:pStyle w:val="Tabletextright"/>
              <w:rPr>
                <w:szCs w:val="15"/>
                <w:highlight w:val="yellow"/>
              </w:rPr>
            </w:pPr>
            <w:r w:rsidRPr="0067507D">
              <w:t>62</w:t>
            </w:r>
          </w:p>
        </w:tc>
        <w:tc>
          <w:tcPr>
            <w:tcW w:w="578" w:type="dxa"/>
            <w:noWrap/>
            <w:hideMark/>
          </w:tcPr>
          <w:p w14:paraId="160D2897" w14:textId="2D75AC89" w:rsidR="00F42ABA" w:rsidRPr="0067507D" w:rsidRDefault="00F42ABA" w:rsidP="00F42ABA">
            <w:pPr>
              <w:pStyle w:val="Tabletextright"/>
              <w:rPr>
                <w:szCs w:val="15"/>
                <w:highlight w:val="yellow"/>
              </w:rPr>
            </w:pPr>
            <w:r w:rsidRPr="0067507D">
              <w:t>62</w:t>
            </w:r>
          </w:p>
        </w:tc>
        <w:tc>
          <w:tcPr>
            <w:tcW w:w="579" w:type="dxa"/>
            <w:noWrap/>
            <w:hideMark/>
          </w:tcPr>
          <w:p w14:paraId="11DAEBB2" w14:textId="2E83F3A6" w:rsidR="00F42ABA" w:rsidRPr="0067507D" w:rsidRDefault="009634D4" w:rsidP="00F42ABA">
            <w:pPr>
              <w:pStyle w:val="Tabletextright"/>
              <w:rPr>
                <w:szCs w:val="15"/>
                <w:highlight w:val="yellow"/>
              </w:rPr>
            </w:pPr>
            <w:r w:rsidRPr="0067507D">
              <w:t>–</w:t>
            </w:r>
          </w:p>
        </w:tc>
      </w:tr>
      <w:tr w:rsidR="003B7AFE" w:rsidRPr="0067507D" w14:paraId="2DCF9A17" w14:textId="77777777" w:rsidTr="003B7AFE">
        <w:trPr>
          <w:gridAfter w:val="1"/>
          <w:wAfter w:w="10" w:type="dxa"/>
          <w:trHeight w:val="283"/>
        </w:trPr>
        <w:tc>
          <w:tcPr>
            <w:tcW w:w="2642" w:type="dxa"/>
            <w:noWrap/>
            <w:hideMark/>
          </w:tcPr>
          <w:p w14:paraId="4A241833" w14:textId="77777777" w:rsidR="00F42ABA" w:rsidRPr="0067507D" w:rsidRDefault="00F42ABA" w:rsidP="00F42ABA">
            <w:pPr>
              <w:pStyle w:val="Tabletext"/>
              <w:rPr>
                <w:color w:val="000000"/>
                <w:szCs w:val="15"/>
              </w:rPr>
            </w:pPr>
            <w:r w:rsidRPr="0067507D">
              <w:t>Wage Inspectorate Victoria</w:t>
            </w:r>
          </w:p>
        </w:tc>
        <w:tc>
          <w:tcPr>
            <w:tcW w:w="578" w:type="dxa"/>
            <w:shd w:val="clear" w:color="auto" w:fill="E0E0E0"/>
            <w:noWrap/>
            <w:hideMark/>
          </w:tcPr>
          <w:p w14:paraId="65C12AD3" w14:textId="2B1AA850" w:rsidR="00F42ABA" w:rsidRPr="0067507D" w:rsidRDefault="00F42ABA" w:rsidP="00F42ABA">
            <w:pPr>
              <w:pStyle w:val="Tabletextright"/>
              <w:rPr>
                <w:szCs w:val="15"/>
                <w:highlight w:val="yellow"/>
              </w:rPr>
            </w:pPr>
            <w:r w:rsidRPr="0067507D">
              <w:t>1</w:t>
            </w:r>
          </w:p>
        </w:tc>
        <w:tc>
          <w:tcPr>
            <w:tcW w:w="579" w:type="dxa"/>
            <w:shd w:val="clear" w:color="auto" w:fill="E0E0E0"/>
            <w:noWrap/>
            <w:hideMark/>
          </w:tcPr>
          <w:p w14:paraId="3E94D9BD" w14:textId="38B7C979" w:rsidR="00F42ABA" w:rsidRPr="0067507D" w:rsidRDefault="00F42ABA" w:rsidP="00F42ABA">
            <w:pPr>
              <w:pStyle w:val="Tabletextright"/>
              <w:rPr>
                <w:szCs w:val="15"/>
                <w:highlight w:val="yellow"/>
              </w:rPr>
            </w:pPr>
            <w:r w:rsidRPr="0067507D">
              <w:t>1</w:t>
            </w:r>
          </w:p>
        </w:tc>
        <w:tc>
          <w:tcPr>
            <w:tcW w:w="578" w:type="dxa"/>
            <w:shd w:val="clear" w:color="auto" w:fill="E0E0E0"/>
            <w:noWrap/>
            <w:hideMark/>
          </w:tcPr>
          <w:p w14:paraId="6F71EF84" w14:textId="102285AA" w:rsidR="00F42ABA" w:rsidRPr="0067507D" w:rsidRDefault="009634D4" w:rsidP="00F42ABA">
            <w:pPr>
              <w:pStyle w:val="Tabletextright"/>
              <w:rPr>
                <w:szCs w:val="15"/>
                <w:highlight w:val="yellow"/>
              </w:rPr>
            </w:pPr>
            <w:r w:rsidRPr="0067507D">
              <w:t>–</w:t>
            </w:r>
          </w:p>
        </w:tc>
        <w:tc>
          <w:tcPr>
            <w:tcW w:w="579" w:type="dxa"/>
            <w:noWrap/>
            <w:hideMark/>
          </w:tcPr>
          <w:p w14:paraId="00FE7C37" w14:textId="3C71CE84" w:rsidR="00F42ABA" w:rsidRPr="0067507D" w:rsidRDefault="00F42ABA" w:rsidP="00F42ABA">
            <w:pPr>
              <w:pStyle w:val="Tabletextright"/>
              <w:rPr>
                <w:szCs w:val="15"/>
                <w:highlight w:val="yellow"/>
              </w:rPr>
            </w:pPr>
            <w:r w:rsidRPr="0067507D">
              <w:t>1</w:t>
            </w:r>
          </w:p>
        </w:tc>
        <w:tc>
          <w:tcPr>
            <w:tcW w:w="578" w:type="dxa"/>
            <w:noWrap/>
            <w:hideMark/>
          </w:tcPr>
          <w:p w14:paraId="3DEFF4C4" w14:textId="750C7431" w:rsidR="00F42ABA" w:rsidRPr="0067507D" w:rsidRDefault="00F42ABA" w:rsidP="00F42ABA">
            <w:pPr>
              <w:pStyle w:val="Tabletextright"/>
              <w:rPr>
                <w:szCs w:val="15"/>
                <w:highlight w:val="yellow"/>
              </w:rPr>
            </w:pPr>
            <w:r w:rsidRPr="0067507D">
              <w:t>1</w:t>
            </w:r>
          </w:p>
        </w:tc>
        <w:tc>
          <w:tcPr>
            <w:tcW w:w="579" w:type="dxa"/>
            <w:noWrap/>
            <w:hideMark/>
          </w:tcPr>
          <w:p w14:paraId="398DD22E" w14:textId="1647458A"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10C4FEE3" w14:textId="384E685B" w:rsidR="00F42ABA" w:rsidRPr="0067507D" w:rsidRDefault="009634D4" w:rsidP="00F42ABA">
            <w:pPr>
              <w:pStyle w:val="Tabletextright"/>
              <w:rPr>
                <w:szCs w:val="15"/>
                <w:highlight w:val="yellow"/>
              </w:rPr>
            </w:pPr>
            <w:r w:rsidRPr="0067507D">
              <w:t>–</w:t>
            </w:r>
          </w:p>
        </w:tc>
        <w:tc>
          <w:tcPr>
            <w:tcW w:w="579" w:type="dxa"/>
            <w:shd w:val="clear" w:color="auto" w:fill="E0E0E0"/>
            <w:noWrap/>
            <w:hideMark/>
          </w:tcPr>
          <w:p w14:paraId="70730B93" w14:textId="58E38E69" w:rsidR="00F42ABA" w:rsidRPr="0067507D" w:rsidRDefault="009634D4" w:rsidP="00F42ABA">
            <w:pPr>
              <w:pStyle w:val="Tabletextright"/>
              <w:rPr>
                <w:szCs w:val="15"/>
                <w:highlight w:val="yellow"/>
              </w:rPr>
            </w:pPr>
            <w:r w:rsidRPr="0067507D">
              <w:t>–</w:t>
            </w:r>
          </w:p>
        </w:tc>
        <w:tc>
          <w:tcPr>
            <w:tcW w:w="578" w:type="dxa"/>
            <w:shd w:val="clear" w:color="auto" w:fill="E0E0E0"/>
            <w:noWrap/>
            <w:hideMark/>
          </w:tcPr>
          <w:p w14:paraId="089000B0" w14:textId="711B6434" w:rsidR="00F42ABA" w:rsidRPr="0067507D" w:rsidRDefault="009634D4" w:rsidP="00F42ABA">
            <w:pPr>
              <w:pStyle w:val="Tabletextright"/>
              <w:rPr>
                <w:szCs w:val="15"/>
                <w:highlight w:val="yellow"/>
              </w:rPr>
            </w:pPr>
            <w:r w:rsidRPr="0067507D">
              <w:t>–</w:t>
            </w:r>
          </w:p>
        </w:tc>
        <w:tc>
          <w:tcPr>
            <w:tcW w:w="579" w:type="dxa"/>
            <w:noWrap/>
            <w:hideMark/>
          </w:tcPr>
          <w:p w14:paraId="17772433" w14:textId="3A8C6EE0" w:rsidR="00F42ABA" w:rsidRPr="0067507D" w:rsidRDefault="00F42ABA" w:rsidP="00F42ABA">
            <w:pPr>
              <w:pStyle w:val="Tabletextright"/>
              <w:rPr>
                <w:szCs w:val="15"/>
                <w:highlight w:val="yellow"/>
              </w:rPr>
            </w:pPr>
            <w:r w:rsidRPr="0067507D">
              <w:t>2</w:t>
            </w:r>
          </w:p>
        </w:tc>
        <w:tc>
          <w:tcPr>
            <w:tcW w:w="578" w:type="dxa"/>
            <w:noWrap/>
            <w:hideMark/>
          </w:tcPr>
          <w:p w14:paraId="50B47E36" w14:textId="38866257" w:rsidR="00F42ABA" w:rsidRPr="0067507D" w:rsidRDefault="00F42ABA" w:rsidP="00F42ABA">
            <w:pPr>
              <w:pStyle w:val="Tabletextright"/>
              <w:rPr>
                <w:szCs w:val="15"/>
                <w:highlight w:val="yellow"/>
              </w:rPr>
            </w:pPr>
            <w:r w:rsidRPr="0067507D">
              <w:t>2</w:t>
            </w:r>
          </w:p>
        </w:tc>
        <w:tc>
          <w:tcPr>
            <w:tcW w:w="579" w:type="dxa"/>
            <w:noWrap/>
            <w:hideMark/>
          </w:tcPr>
          <w:p w14:paraId="375AB49C" w14:textId="22C15279" w:rsidR="00F42ABA" w:rsidRPr="0067507D" w:rsidRDefault="009634D4" w:rsidP="00F42ABA">
            <w:pPr>
              <w:pStyle w:val="Tabletextright"/>
              <w:rPr>
                <w:szCs w:val="15"/>
                <w:highlight w:val="yellow"/>
              </w:rPr>
            </w:pPr>
            <w:r w:rsidRPr="0067507D">
              <w:t>–</w:t>
            </w:r>
          </w:p>
        </w:tc>
      </w:tr>
      <w:tr w:rsidR="003B7AFE" w:rsidRPr="0067507D" w14:paraId="398A1CF5" w14:textId="77777777" w:rsidTr="003B7AFE">
        <w:trPr>
          <w:gridAfter w:val="1"/>
          <w:wAfter w:w="10" w:type="dxa"/>
          <w:trHeight w:val="283"/>
        </w:trPr>
        <w:tc>
          <w:tcPr>
            <w:tcW w:w="2642" w:type="dxa"/>
            <w:noWrap/>
            <w:vAlign w:val="center"/>
            <w:hideMark/>
          </w:tcPr>
          <w:p w14:paraId="105740E5" w14:textId="77777777" w:rsidR="00570981" w:rsidRPr="0067507D" w:rsidRDefault="00570981" w:rsidP="007946A7">
            <w:pPr>
              <w:pStyle w:val="Tabletextbold"/>
              <w:rPr>
                <w:b/>
                <w:color w:val="000000"/>
                <w:szCs w:val="15"/>
              </w:rPr>
            </w:pPr>
            <w:r w:rsidRPr="0067507D">
              <w:t>Total</w:t>
            </w:r>
          </w:p>
        </w:tc>
        <w:tc>
          <w:tcPr>
            <w:tcW w:w="578" w:type="dxa"/>
            <w:shd w:val="clear" w:color="auto" w:fill="E0E0E0"/>
            <w:noWrap/>
            <w:hideMark/>
          </w:tcPr>
          <w:p w14:paraId="7E61512D" w14:textId="3203E0DB" w:rsidR="00570981" w:rsidRPr="0067507D" w:rsidRDefault="00570981" w:rsidP="00570981">
            <w:pPr>
              <w:pStyle w:val="Tabletextrightbold"/>
              <w:rPr>
                <w:color w:val="000000"/>
                <w:szCs w:val="15"/>
                <w:highlight w:val="yellow"/>
              </w:rPr>
            </w:pPr>
            <w:r w:rsidRPr="0067507D">
              <w:t>95</w:t>
            </w:r>
          </w:p>
        </w:tc>
        <w:tc>
          <w:tcPr>
            <w:tcW w:w="579" w:type="dxa"/>
            <w:shd w:val="clear" w:color="auto" w:fill="E0E0E0"/>
            <w:noWrap/>
            <w:hideMark/>
          </w:tcPr>
          <w:p w14:paraId="76743031" w14:textId="59D5F525" w:rsidR="00570981" w:rsidRPr="0067507D" w:rsidRDefault="00570981" w:rsidP="00570981">
            <w:pPr>
              <w:pStyle w:val="Tabletextrightbold"/>
              <w:rPr>
                <w:color w:val="000000"/>
                <w:szCs w:val="15"/>
                <w:highlight w:val="yellow"/>
              </w:rPr>
            </w:pPr>
            <w:r w:rsidRPr="0067507D">
              <w:t>88</w:t>
            </w:r>
          </w:p>
        </w:tc>
        <w:tc>
          <w:tcPr>
            <w:tcW w:w="578" w:type="dxa"/>
            <w:shd w:val="clear" w:color="auto" w:fill="E0E0E0"/>
            <w:noWrap/>
            <w:hideMark/>
          </w:tcPr>
          <w:p w14:paraId="6269C9F3" w14:textId="002A6024" w:rsidR="00570981" w:rsidRPr="0067507D" w:rsidRDefault="00570981" w:rsidP="00570981">
            <w:pPr>
              <w:pStyle w:val="Tabletextrightbold"/>
              <w:rPr>
                <w:color w:val="000000"/>
                <w:szCs w:val="15"/>
                <w:highlight w:val="yellow"/>
              </w:rPr>
            </w:pPr>
            <w:r w:rsidRPr="0067507D">
              <w:t>7</w:t>
            </w:r>
          </w:p>
        </w:tc>
        <w:tc>
          <w:tcPr>
            <w:tcW w:w="579" w:type="dxa"/>
            <w:noWrap/>
            <w:hideMark/>
          </w:tcPr>
          <w:p w14:paraId="0F755CC0" w14:textId="74B6F46E" w:rsidR="00570981" w:rsidRPr="0067507D" w:rsidRDefault="00570981" w:rsidP="00570981">
            <w:pPr>
              <w:pStyle w:val="Tabletextrightbold"/>
              <w:rPr>
                <w:color w:val="000000"/>
                <w:szCs w:val="15"/>
                <w:highlight w:val="yellow"/>
              </w:rPr>
            </w:pPr>
            <w:r w:rsidRPr="0067507D">
              <w:t>106</w:t>
            </w:r>
          </w:p>
        </w:tc>
        <w:tc>
          <w:tcPr>
            <w:tcW w:w="578" w:type="dxa"/>
            <w:noWrap/>
            <w:hideMark/>
          </w:tcPr>
          <w:p w14:paraId="2473F3B0" w14:textId="29CC1860" w:rsidR="00570981" w:rsidRPr="0067507D" w:rsidRDefault="00570981" w:rsidP="00570981">
            <w:pPr>
              <w:pStyle w:val="Tabletextrightbold"/>
              <w:rPr>
                <w:color w:val="000000"/>
                <w:szCs w:val="15"/>
                <w:highlight w:val="yellow"/>
              </w:rPr>
            </w:pPr>
            <w:r w:rsidRPr="0067507D">
              <w:t>98</w:t>
            </w:r>
          </w:p>
        </w:tc>
        <w:tc>
          <w:tcPr>
            <w:tcW w:w="579" w:type="dxa"/>
            <w:noWrap/>
            <w:hideMark/>
          </w:tcPr>
          <w:p w14:paraId="0F587AC9" w14:textId="15CFD8D8" w:rsidR="00570981" w:rsidRPr="0067507D" w:rsidRDefault="00570981" w:rsidP="00570981">
            <w:pPr>
              <w:pStyle w:val="Tabletextrightbold"/>
              <w:rPr>
                <w:color w:val="000000"/>
                <w:szCs w:val="15"/>
                <w:highlight w:val="yellow"/>
              </w:rPr>
            </w:pPr>
            <w:r w:rsidRPr="0067507D">
              <w:t>8</w:t>
            </w:r>
          </w:p>
        </w:tc>
        <w:tc>
          <w:tcPr>
            <w:tcW w:w="578" w:type="dxa"/>
            <w:shd w:val="clear" w:color="auto" w:fill="E0E0E0"/>
            <w:noWrap/>
            <w:hideMark/>
          </w:tcPr>
          <w:p w14:paraId="506B2E4F" w14:textId="68C0E340" w:rsidR="00570981" w:rsidRPr="0067507D" w:rsidRDefault="009634D4" w:rsidP="00570981">
            <w:pPr>
              <w:pStyle w:val="Tabletextrightbold"/>
              <w:rPr>
                <w:color w:val="000000"/>
                <w:szCs w:val="15"/>
                <w:highlight w:val="yellow"/>
              </w:rPr>
            </w:pPr>
            <w:r w:rsidRPr="0067507D">
              <w:t>–</w:t>
            </w:r>
          </w:p>
        </w:tc>
        <w:tc>
          <w:tcPr>
            <w:tcW w:w="579" w:type="dxa"/>
            <w:shd w:val="clear" w:color="auto" w:fill="E0E0E0"/>
            <w:noWrap/>
            <w:hideMark/>
          </w:tcPr>
          <w:p w14:paraId="3ADC7CDE" w14:textId="622E1B2D" w:rsidR="00570981" w:rsidRPr="0067507D" w:rsidRDefault="009634D4" w:rsidP="00570981">
            <w:pPr>
              <w:pStyle w:val="Tabletextrightbold"/>
              <w:rPr>
                <w:color w:val="000000"/>
                <w:szCs w:val="15"/>
                <w:highlight w:val="yellow"/>
              </w:rPr>
            </w:pPr>
            <w:r w:rsidRPr="0067507D">
              <w:t>–</w:t>
            </w:r>
          </w:p>
        </w:tc>
        <w:tc>
          <w:tcPr>
            <w:tcW w:w="578" w:type="dxa"/>
            <w:shd w:val="clear" w:color="auto" w:fill="E0E0E0"/>
            <w:noWrap/>
            <w:hideMark/>
          </w:tcPr>
          <w:p w14:paraId="37AF2744" w14:textId="5557D819" w:rsidR="00570981" w:rsidRPr="0067507D" w:rsidRDefault="009634D4" w:rsidP="00570981">
            <w:pPr>
              <w:pStyle w:val="Tabletextrightbold"/>
              <w:rPr>
                <w:color w:val="000000"/>
                <w:szCs w:val="15"/>
                <w:highlight w:val="yellow"/>
              </w:rPr>
            </w:pPr>
            <w:r w:rsidRPr="0067507D">
              <w:t>–</w:t>
            </w:r>
          </w:p>
        </w:tc>
        <w:tc>
          <w:tcPr>
            <w:tcW w:w="579" w:type="dxa"/>
            <w:noWrap/>
            <w:hideMark/>
          </w:tcPr>
          <w:p w14:paraId="558234A4" w14:textId="1337C3D6" w:rsidR="00570981" w:rsidRPr="0067507D" w:rsidRDefault="00570981" w:rsidP="00570981">
            <w:pPr>
              <w:pStyle w:val="Tabletextrightbold"/>
              <w:rPr>
                <w:color w:val="000000"/>
                <w:szCs w:val="15"/>
                <w:highlight w:val="yellow"/>
              </w:rPr>
            </w:pPr>
            <w:r w:rsidRPr="0067507D">
              <w:t>201</w:t>
            </w:r>
          </w:p>
        </w:tc>
        <w:tc>
          <w:tcPr>
            <w:tcW w:w="578" w:type="dxa"/>
            <w:noWrap/>
            <w:hideMark/>
          </w:tcPr>
          <w:p w14:paraId="7F2A68B7" w14:textId="5D60AD3A" w:rsidR="00570981" w:rsidRPr="0067507D" w:rsidRDefault="00570981" w:rsidP="00570981">
            <w:pPr>
              <w:pStyle w:val="Tabletextrightbold"/>
              <w:rPr>
                <w:color w:val="000000"/>
                <w:szCs w:val="15"/>
                <w:highlight w:val="yellow"/>
              </w:rPr>
            </w:pPr>
            <w:r w:rsidRPr="0067507D">
              <w:t>186</w:t>
            </w:r>
          </w:p>
        </w:tc>
        <w:tc>
          <w:tcPr>
            <w:tcW w:w="579" w:type="dxa"/>
            <w:noWrap/>
            <w:hideMark/>
          </w:tcPr>
          <w:p w14:paraId="19003F53" w14:textId="60E264A8" w:rsidR="00570981" w:rsidRPr="0067507D" w:rsidRDefault="00570981" w:rsidP="00570981">
            <w:pPr>
              <w:pStyle w:val="Tabletextrightbold"/>
              <w:rPr>
                <w:color w:val="000000"/>
                <w:szCs w:val="15"/>
                <w:highlight w:val="yellow"/>
              </w:rPr>
            </w:pPr>
            <w:r w:rsidRPr="0067507D">
              <w:t>15</w:t>
            </w:r>
          </w:p>
        </w:tc>
      </w:tr>
    </w:tbl>
    <w:bookmarkEnd w:id="202"/>
    <w:bookmarkEnd w:id="209"/>
    <w:p w14:paraId="0EF89E4C" w14:textId="77777777" w:rsidR="00283DFE" w:rsidRPr="0067507D" w:rsidRDefault="00283DFE" w:rsidP="00735D14">
      <w:pPr>
        <w:pStyle w:val="Notes"/>
      </w:pPr>
      <w:r w:rsidRPr="0067507D">
        <w:t xml:space="preserve">Table excludes Accountable Officers who are excluded from the definition of Executive Officers in Financial Reporting Direction 15. </w:t>
      </w:r>
    </w:p>
    <w:p w14:paraId="3EE8E7C1" w14:textId="77777777" w:rsidR="00283DFE" w:rsidRPr="0067507D" w:rsidRDefault="00283DFE" w:rsidP="00735D14">
      <w:pPr>
        <w:pStyle w:val="Notes"/>
      </w:pPr>
      <w:r w:rsidRPr="0067507D">
        <w:t>Table is provided by the Victorian Public Sector Commission (VPSC).</w:t>
      </w:r>
    </w:p>
    <w:p w14:paraId="080FB2D4" w14:textId="77777777" w:rsidR="00283DFE" w:rsidRPr="0067507D" w:rsidRDefault="00283DFE" w:rsidP="00735D14">
      <w:pPr>
        <w:pStyle w:val="Notes"/>
      </w:pPr>
      <w:r w:rsidRPr="0067507D">
        <w:t>Figures for 2025 are preliminary figures subject to change as VPSC’s validation of this data is ongoing at the time of this publication.</w:t>
      </w:r>
    </w:p>
    <w:p w14:paraId="398A481B" w14:textId="5489EC1B" w:rsidR="00283DFE" w:rsidRPr="0067507D" w:rsidRDefault="00283DFE" w:rsidP="00735D14">
      <w:pPr>
        <w:pStyle w:val="Notes"/>
      </w:pPr>
      <w:r w:rsidRPr="0067507D">
        <w:t>Note:</w:t>
      </w:r>
    </w:p>
    <w:p w14:paraId="6DEB2D83" w14:textId="77777777" w:rsidR="00305F9D" w:rsidRPr="0067507D" w:rsidRDefault="00283DFE" w:rsidP="00735D14">
      <w:pPr>
        <w:pStyle w:val="Notes"/>
      </w:pPr>
      <w:r w:rsidRPr="0067507D">
        <w:t>(a) Refers to the Victorian WorkCover Authority, known as WorkSafe.</w:t>
      </w:r>
    </w:p>
    <w:p w14:paraId="1268D9A2" w14:textId="77777777" w:rsidR="00305F9D" w:rsidRPr="0067507D" w:rsidRDefault="00305F9D" w:rsidP="00735D14">
      <w:pPr>
        <w:pStyle w:val="Notes"/>
      </w:pPr>
      <w:bookmarkStart w:id="212" w:name="ExecDataEnd"/>
    </w:p>
    <w:bookmarkEnd w:id="212"/>
    <w:p w14:paraId="447C7BDC" w14:textId="62DEA4E5" w:rsidR="00113E1C" w:rsidRPr="0067507D" w:rsidRDefault="00113E1C" w:rsidP="00735D14">
      <w:pPr>
        <w:pStyle w:val="Notes"/>
      </w:pPr>
    </w:p>
    <w:p w14:paraId="6C496374" w14:textId="77777777" w:rsidR="00CA6952" w:rsidRPr="0067507D" w:rsidRDefault="00CA6952" w:rsidP="00002FE3">
      <w:pPr>
        <w:sectPr w:rsidR="00CA6952" w:rsidRPr="0067507D" w:rsidSect="00AC64E0">
          <w:headerReference w:type="even" r:id="rId184"/>
          <w:headerReference w:type="default" r:id="rId185"/>
          <w:footerReference w:type="even" r:id="rId186"/>
          <w:footerReference w:type="default" r:id="rId187"/>
          <w:type w:val="continuous"/>
          <w:pgSz w:w="11909" w:h="16834" w:code="9"/>
          <w:pgMar w:top="1729" w:right="1151" w:bottom="1264" w:left="1151" w:header="720" w:footer="289" w:gutter="0"/>
          <w:cols w:space="720"/>
          <w:noEndnote/>
        </w:sectPr>
      </w:pPr>
    </w:p>
    <w:p w14:paraId="5679506D" w14:textId="64832B58" w:rsidR="00113E1C" w:rsidRPr="0067507D" w:rsidRDefault="00113E1C" w:rsidP="00A86BCE">
      <w:pPr>
        <w:pStyle w:val="Heading2"/>
      </w:pPr>
      <w:r w:rsidRPr="0067507D">
        <w:lastRenderedPageBreak/>
        <w:t>Advancing self</w:t>
      </w:r>
      <w:r w:rsidR="006A5485">
        <w:noBreakHyphen/>
      </w:r>
      <w:r w:rsidRPr="0067507D">
        <w:t>determination in DTF</w:t>
      </w:r>
    </w:p>
    <w:p w14:paraId="070F4609" w14:textId="77777777" w:rsidR="00113E1C" w:rsidRPr="0067507D" w:rsidRDefault="00113E1C" w:rsidP="00113E1C">
      <w:pPr>
        <w:sectPr w:rsidR="00113E1C" w:rsidRPr="0067507D" w:rsidSect="00AC64E0">
          <w:pgSz w:w="11909" w:h="16834" w:code="9"/>
          <w:pgMar w:top="1729" w:right="1151" w:bottom="1264" w:left="1151" w:header="720" w:footer="289" w:gutter="0"/>
          <w:cols w:num="2" w:space="720"/>
          <w:noEndnote/>
        </w:sectPr>
      </w:pPr>
    </w:p>
    <w:p w14:paraId="6FFE71FA" w14:textId="6D76E82A" w:rsidR="00113E1C" w:rsidRPr="0067507D" w:rsidRDefault="00113E1C" w:rsidP="00113E1C">
      <w:r w:rsidRPr="0067507D">
        <w:t>DTF’s commitment to Aboriginal self</w:t>
      </w:r>
      <w:r w:rsidR="006A5485">
        <w:noBreakHyphen/>
      </w:r>
      <w:r w:rsidRPr="0067507D">
        <w:t xml:space="preserve">determination is reflected in our </w:t>
      </w:r>
      <w:r w:rsidRPr="0067507D">
        <w:rPr>
          <w:i/>
        </w:rPr>
        <w:t>Advancing Self</w:t>
      </w:r>
      <w:r w:rsidR="006A5485">
        <w:rPr>
          <w:i/>
        </w:rPr>
        <w:noBreakHyphen/>
      </w:r>
      <w:r w:rsidRPr="0067507D">
        <w:rPr>
          <w:i/>
        </w:rPr>
        <w:t>Determination in</w:t>
      </w:r>
      <w:r w:rsidR="004F268C" w:rsidRPr="0067507D">
        <w:rPr>
          <w:rFonts w:ascii="Calibri" w:hAnsi="Calibri" w:cs="Calibri"/>
          <w:i/>
        </w:rPr>
        <w:t> </w:t>
      </w:r>
      <w:r w:rsidRPr="0067507D">
        <w:rPr>
          <w:i/>
        </w:rPr>
        <w:t>DTF</w:t>
      </w:r>
      <w:r w:rsidRPr="0067507D">
        <w:t xml:space="preserve"> plan, which is available on DTF’s website. Recent work contributing to DTF’s efforts to promote self</w:t>
      </w:r>
      <w:r w:rsidR="001917EA" w:rsidRPr="0067507D">
        <w:noBreakHyphen/>
      </w:r>
      <w:r w:rsidRPr="0067507D">
        <w:t>determination include:</w:t>
      </w:r>
    </w:p>
    <w:p w14:paraId="7F93173E" w14:textId="1E2C928D" w:rsidR="00EF480D" w:rsidRPr="0067507D" w:rsidRDefault="00EF480D" w:rsidP="006B7841">
      <w:pPr>
        <w:pStyle w:val="Bullet"/>
      </w:pPr>
      <w:r w:rsidRPr="0067507D">
        <w:t>Releasing the Early Intervention Investment Framework (EIIF) Cultural Safety Framework to better support partnerships between ACCOs and</w:t>
      </w:r>
      <w:r w:rsidRPr="0067507D">
        <w:rPr>
          <w:rFonts w:ascii="Calibri" w:hAnsi="Calibri" w:cs="Calibri"/>
        </w:rPr>
        <w:t> </w:t>
      </w:r>
      <w:r w:rsidRPr="0067507D">
        <w:t>departments, providing for cultural safety and self</w:t>
      </w:r>
      <w:r w:rsidR="006A5485">
        <w:noBreakHyphen/>
      </w:r>
      <w:r w:rsidRPr="0067507D">
        <w:t>determination when developing EIIF</w:t>
      </w:r>
      <w:r w:rsidRPr="0067507D">
        <w:rPr>
          <w:rFonts w:ascii="Calibri" w:hAnsi="Calibri" w:cs="Calibri"/>
        </w:rPr>
        <w:t> </w:t>
      </w:r>
      <w:r w:rsidRPr="0067507D">
        <w:t>initiatives</w:t>
      </w:r>
      <w:r w:rsidRPr="0067507D">
        <w:rPr>
          <w:szCs w:val="17"/>
        </w:rPr>
        <w:t>.</w:t>
      </w:r>
    </w:p>
    <w:p w14:paraId="22F90B64" w14:textId="14B82D7B" w:rsidR="00EF480D" w:rsidRPr="0067507D" w:rsidRDefault="00EF480D" w:rsidP="00317AA5">
      <w:pPr>
        <w:pStyle w:val="Bullet"/>
        <w:rPr>
          <w:szCs w:val="17"/>
        </w:rPr>
      </w:pPr>
      <w:r w:rsidRPr="0067507D">
        <w:t>Ongoing delivery of Aboriginal cult</w:t>
      </w:r>
      <w:r w:rsidRPr="0067507D">
        <w:rPr>
          <w:szCs w:val="17"/>
        </w:rPr>
        <w:t xml:space="preserve">ural awareness training to increase awareness and improve understanding to better support a culturally safe workplace. </w:t>
      </w:r>
    </w:p>
    <w:p w14:paraId="79C9FA67" w14:textId="50F633AD" w:rsidR="006239DC" w:rsidRPr="0067507D" w:rsidRDefault="006239DC" w:rsidP="00317AA5">
      <w:pPr>
        <w:pStyle w:val="Bullet"/>
        <w:rPr>
          <w:szCs w:val="17"/>
        </w:rPr>
      </w:pPr>
      <w:r w:rsidRPr="0067507D">
        <w:rPr>
          <w:szCs w:val="17"/>
        </w:rPr>
        <w:t>Building awareness of Treaty and promoting principles of self</w:t>
      </w:r>
      <w:r w:rsidR="006A5485">
        <w:rPr>
          <w:szCs w:val="17"/>
        </w:rPr>
        <w:noBreakHyphen/>
      </w:r>
      <w:r w:rsidRPr="0067507D">
        <w:rPr>
          <w:szCs w:val="17"/>
        </w:rPr>
        <w:t>determination through education and presentations, and contributing to inter</w:t>
      </w:r>
      <w:r w:rsidR="006A5485">
        <w:rPr>
          <w:szCs w:val="17"/>
        </w:rPr>
        <w:noBreakHyphen/>
      </w:r>
      <w:r w:rsidRPr="0067507D">
        <w:rPr>
          <w:szCs w:val="17"/>
        </w:rPr>
        <w:t>departmental work to advance Treaty and support the work of the Yoorrook Justice Commission.</w:t>
      </w:r>
    </w:p>
    <w:p w14:paraId="024E4425" w14:textId="16836D76" w:rsidR="00515AE7" w:rsidRPr="0067507D" w:rsidRDefault="00515AE7" w:rsidP="00317AA5">
      <w:pPr>
        <w:pStyle w:val="Bullet"/>
        <w:rPr>
          <w:szCs w:val="17"/>
        </w:rPr>
      </w:pPr>
      <w:r w:rsidRPr="0067507D">
        <w:rPr>
          <w:szCs w:val="17"/>
        </w:rPr>
        <w:t>Developing guidance material and embedding processes to encourage First Peoples</w:t>
      </w:r>
      <w:r w:rsidR="00DE21C5" w:rsidRPr="0067507D">
        <w:rPr>
          <w:szCs w:val="17"/>
        </w:rPr>
        <w:t>’</w:t>
      </w:r>
      <w:r w:rsidRPr="0067507D">
        <w:rPr>
          <w:szCs w:val="17"/>
        </w:rPr>
        <w:t xml:space="preserve"> engagement in budget proposals and identifying long</w:t>
      </w:r>
      <w:r w:rsidR="006A5485">
        <w:rPr>
          <w:szCs w:val="17"/>
        </w:rPr>
        <w:noBreakHyphen/>
      </w:r>
      <w:r w:rsidRPr="0067507D">
        <w:rPr>
          <w:szCs w:val="17"/>
        </w:rPr>
        <w:t>term reforms to the budget development process to promote self</w:t>
      </w:r>
      <w:r w:rsidR="006A5485">
        <w:rPr>
          <w:szCs w:val="17"/>
        </w:rPr>
        <w:noBreakHyphen/>
      </w:r>
      <w:r w:rsidRPr="0067507D">
        <w:rPr>
          <w:szCs w:val="17"/>
        </w:rPr>
        <w:t>determination.</w:t>
      </w:r>
    </w:p>
    <w:p w14:paraId="47D5FD17" w14:textId="012C2760" w:rsidR="004C39FE" w:rsidRPr="0067507D" w:rsidRDefault="004C39FE" w:rsidP="00317AA5">
      <w:pPr>
        <w:pStyle w:val="Bullet"/>
        <w:rPr>
          <w:szCs w:val="17"/>
        </w:rPr>
      </w:pPr>
      <w:r w:rsidRPr="0067507D">
        <w:rPr>
          <w:szCs w:val="17"/>
        </w:rPr>
        <w:t>Supporting more employment pathways to recruit First Nations employees at DTF, such as the Aboriginal and/or Torres Strait Islander pathway of the Victorian Government graduate program.</w:t>
      </w:r>
    </w:p>
    <w:p w14:paraId="610FD212" w14:textId="3311084D" w:rsidR="00E42728" w:rsidRPr="0067507D" w:rsidRDefault="00113E1C" w:rsidP="00655729">
      <w:pPr>
        <w:pStyle w:val="Bullet"/>
        <w:rPr>
          <w:szCs w:val="17"/>
        </w:rPr>
      </w:pPr>
      <w:r w:rsidRPr="0067507D">
        <w:t>Working w</w:t>
      </w:r>
      <w:r w:rsidRPr="0067507D">
        <w:rPr>
          <w:szCs w:val="17"/>
        </w:rPr>
        <w:t>ith Aboriginal Housing Victoria to identify opportunities to support more Aboriginal Victorians into home ownership through the $</w:t>
      </w:r>
      <w:r w:rsidR="00310098" w:rsidRPr="0067507D">
        <w:rPr>
          <w:szCs w:val="17"/>
        </w:rPr>
        <w:t>2.8</w:t>
      </w:r>
      <w:r w:rsidR="000823A1" w:rsidRPr="0067507D">
        <w:rPr>
          <w:rFonts w:ascii="Calibri" w:hAnsi="Calibri"/>
          <w:szCs w:val="17"/>
        </w:rPr>
        <w:t> </w:t>
      </w:r>
      <w:r w:rsidRPr="0067507D">
        <w:rPr>
          <w:szCs w:val="17"/>
        </w:rPr>
        <w:t xml:space="preserve">billion Victorian </w:t>
      </w:r>
      <w:r w:rsidRPr="0067507D" w:rsidDel="00EB2A84">
        <w:rPr>
          <w:szCs w:val="17"/>
        </w:rPr>
        <w:t xml:space="preserve">Homebuyer </w:t>
      </w:r>
      <w:r w:rsidRPr="0067507D">
        <w:rPr>
          <w:szCs w:val="17"/>
        </w:rPr>
        <w:t xml:space="preserve">Fund. </w:t>
      </w:r>
    </w:p>
    <w:p w14:paraId="3BE9D417" w14:textId="28A2818A" w:rsidR="00E42728" w:rsidRPr="0067507D" w:rsidRDefault="00113E1C" w:rsidP="00655729">
      <w:pPr>
        <w:pStyle w:val="Bullet"/>
        <w:rPr>
          <w:szCs w:val="17"/>
        </w:rPr>
      </w:pPr>
      <w:r w:rsidRPr="0067507D">
        <w:t>Working</w:t>
      </w:r>
      <w:r w:rsidRPr="0067507D">
        <w:rPr>
          <w:szCs w:val="17"/>
        </w:rPr>
        <w:t xml:space="preserve"> with Homes Victoria on the Social Housing Growth Fund’s Homes for Aboriginal Victorians Round (HfAVR)</w:t>
      </w:r>
      <w:r w:rsidR="00982EAE" w:rsidRPr="0067507D">
        <w:rPr>
          <w:szCs w:val="17"/>
        </w:rPr>
        <w:t xml:space="preserve"> and Affordable Housing Partnership Program (AHPP</w:t>
      </w:r>
      <w:r w:rsidRPr="0067507D">
        <w:rPr>
          <w:szCs w:val="17"/>
        </w:rPr>
        <w:t xml:space="preserve">), which supports Aboriginal Community Controlled Organisation (ACCO) ownership of social </w:t>
      </w:r>
      <w:r w:rsidR="009079FF" w:rsidRPr="0067507D">
        <w:rPr>
          <w:szCs w:val="17"/>
        </w:rPr>
        <w:t>and affordable</w:t>
      </w:r>
      <w:r w:rsidRPr="0067507D">
        <w:rPr>
          <w:szCs w:val="17"/>
        </w:rPr>
        <w:t xml:space="preserve"> housing</w:t>
      </w:r>
      <w:r w:rsidR="00A03189" w:rsidRPr="0067507D">
        <w:rPr>
          <w:szCs w:val="17"/>
        </w:rPr>
        <w:t xml:space="preserve">. </w:t>
      </w:r>
      <w:r w:rsidR="009079FF" w:rsidRPr="0067507D">
        <w:rPr>
          <w:szCs w:val="17"/>
        </w:rPr>
        <w:t>Both funding rounds</w:t>
      </w:r>
      <w:r w:rsidR="00A03189" w:rsidRPr="0067507D">
        <w:rPr>
          <w:szCs w:val="17"/>
        </w:rPr>
        <w:t xml:space="preserve"> included measures to help build the community housing sector’s capability and capacity to provide culturally safe and responsive services to Aboriginal Victorians, and focused on</w:t>
      </w:r>
      <w:r w:rsidRPr="0067507D">
        <w:rPr>
          <w:szCs w:val="17"/>
        </w:rPr>
        <w:t xml:space="preserve"> enabling </w:t>
      </w:r>
      <w:r w:rsidR="00A03189" w:rsidRPr="0067507D">
        <w:rPr>
          <w:szCs w:val="17"/>
        </w:rPr>
        <w:t xml:space="preserve">ACCOs </w:t>
      </w:r>
      <w:r w:rsidRPr="0067507D">
        <w:rPr>
          <w:szCs w:val="17"/>
        </w:rPr>
        <w:t xml:space="preserve">to become Registered Housing Agencies to build and own new social housing </w:t>
      </w:r>
      <w:r w:rsidR="009079FF" w:rsidRPr="0067507D">
        <w:rPr>
          <w:szCs w:val="17"/>
        </w:rPr>
        <w:t xml:space="preserve">and affordable housing </w:t>
      </w:r>
      <w:r w:rsidRPr="0067507D">
        <w:rPr>
          <w:szCs w:val="17"/>
        </w:rPr>
        <w:t xml:space="preserve">dwellings. </w:t>
      </w:r>
    </w:p>
    <w:p w14:paraId="739A117A" w14:textId="7FC0ABFB" w:rsidR="00113E1C" w:rsidRPr="0067507D" w:rsidRDefault="00113E1C" w:rsidP="00655729">
      <w:pPr>
        <w:pStyle w:val="Bullet"/>
        <w:rPr>
          <w:szCs w:val="17"/>
        </w:rPr>
      </w:pPr>
      <w:r w:rsidRPr="0067507D">
        <w:t>Collabor</w:t>
      </w:r>
      <w:r w:rsidRPr="0067507D">
        <w:rPr>
          <w:szCs w:val="17"/>
        </w:rPr>
        <w:t>ating with the Housing Registrar</w:t>
      </w:r>
      <w:r w:rsidR="00D90727" w:rsidRPr="0067507D">
        <w:rPr>
          <w:szCs w:val="17"/>
        </w:rPr>
        <w:t xml:space="preserve">, </w:t>
      </w:r>
      <w:r w:rsidRPr="0067507D">
        <w:rPr>
          <w:szCs w:val="17"/>
        </w:rPr>
        <w:t xml:space="preserve">Homes Victoria </w:t>
      </w:r>
      <w:r w:rsidR="00D90727" w:rsidRPr="0067507D">
        <w:rPr>
          <w:szCs w:val="17"/>
        </w:rPr>
        <w:t>and the Aboriginal Housing and Homelessness Forum to support the Victorian Aboriginal Housing and Homelessness Framework and</w:t>
      </w:r>
      <w:r w:rsidRPr="0067507D">
        <w:rPr>
          <w:szCs w:val="17"/>
        </w:rPr>
        <w:t xml:space="preserve"> </w:t>
      </w:r>
      <w:r w:rsidR="00FC3472" w:rsidRPr="0067507D">
        <w:rPr>
          <w:szCs w:val="17"/>
        </w:rPr>
        <w:t xml:space="preserve">embed </w:t>
      </w:r>
      <w:r w:rsidR="00F07D44" w:rsidRPr="0067507D">
        <w:rPr>
          <w:szCs w:val="17"/>
        </w:rPr>
        <w:t xml:space="preserve">cultural safety </w:t>
      </w:r>
      <w:r w:rsidR="001D33ED" w:rsidRPr="0067507D">
        <w:rPr>
          <w:szCs w:val="17"/>
        </w:rPr>
        <w:t>in</w:t>
      </w:r>
      <w:r w:rsidRPr="0067507D">
        <w:rPr>
          <w:szCs w:val="17"/>
        </w:rPr>
        <w:t xml:space="preserve"> </w:t>
      </w:r>
      <w:r w:rsidR="00652984" w:rsidRPr="0067507D">
        <w:rPr>
          <w:szCs w:val="17"/>
        </w:rPr>
        <w:t xml:space="preserve">social </w:t>
      </w:r>
      <w:r w:rsidRPr="0067507D">
        <w:rPr>
          <w:szCs w:val="17"/>
        </w:rPr>
        <w:t xml:space="preserve">housing </w:t>
      </w:r>
      <w:r w:rsidR="00BE1E6A" w:rsidRPr="0067507D">
        <w:rPr>
          <w:szCs w:val="17"/>
        </w:rPr>
        <w:t xml:space="preserve">delivery </w:t>
      </w:r>
      <w:r w:rsidR="00652984" w:rsidRPr="0067507D">
        <w:rPr>
          <w:szCs w:val="17"/>
        </w:rPr>
        <w:t xml:space="preserve">for </w:t>
      </w:r>
      <w:r w:rsidRPr="0067507D">
        <w:rPr>
          <w:szCs w:val="17"/>
        </w:rPr>
        <w:t>Aboriginal Victorians</w:t>
      </w:r>
      <w:r w:rsidR="00FF0D0F" w:rsidRPr="0067507D">
        <w:rPr>
          <w:szCs w:val="17"/>
        </w:rPr>
        <w:t>. Th</w:t>
      </w:r>
      <w:r w:rsidR="00CF5968" w:rsidRPr="0067507D">
        <w:rPr>
          <w:szCs w:val="17"/>
        </w:rPr>
        <w:t>is includes</w:t>
      </w:r>
      <w:r w:rsidR="00195210" w:rsidRPr="0067507D">
        <w:rPr>
          <w:szCs w:val="17"/>
        </w:rPr>
        <w:t xml:space="preserve"> </w:t>
      </w:r>
      <w:r w:rsidRPr="0067507D">
        <w:rPr>
          <w:szCs w:val="17"/>
        </w:rPr>
        <w:t>support</w:t>
      </w:r>
      <w:r w:rsidR="00CF5968" w:rsidRPr="0067507D">
        <w:rPr>
          <w:szCs w:val="17"/>
        </w:rPr>
        <w:t>ing</w:t>
      </w:r>
      <w:r w:rsidRPr="0067507D">
        <w:rPr>
          <w:szCs w:val="17"/>
        </w:rPr>
        <w:t xml:space="preserve"> </w:t>
      </w:r>
      <w:r w:rsidR="00A2589E" w:rsidRPr="0067507D">
        <w:rPr>
          <w:szCs w:val="17"/>
        </w:rPr>
        <w:t xml:space="preserve">ACCOs to </w:t>
      </w:r>
      <w:r w:rsidR="003C1E91" w:rsidRPr="0067507D">
        <w:rPr>
          <w:szCs w:val="17"/>
        </w:rPr>
        <w:t xml:space="preserve">register as </w:t>
      </w:r>
      <w:r w:rsidRPr="0067507D">
        <w:rPr>
          <w:szCs w:val="17"/>
        </w:rPr>
        <w:t xml:space="preserve">new </w:t>
      </w:r>
      <w:r w:rsidR="00195210" w:rsidRPr="0067507D">
        <w:rPr>
          <w:szCs w:val="17"/>
        </w:rPr>
        <w:t xml:space="preserve">social </w:t>
      </w:r>
      <w:r w:rsidRPr="0067507D">
        <w:rPr>
          <w:szCs w:val="17"/>
        </w:rPr>
        <w:t xml:space="preserve">housing </w:t>
      </w:r>
      <w:r w:rsidR="00A25C54" w:rsidRPr="0067507D">
        <w:rPr>
          <w:szCs w:val="17"/>
        </w:rPr>
        <w:t xml:space="preserve">and the Government’s response to the Social Housing Regulation Review, which includes a </w:t>
      </w:r>
      <w:r w:rsidR="00E019BE" w:rsidRPr="0067507D">
        <w:rPr>
          <w:szCs w:val="17"/>
        </w:rPr>
        <w:t>self</w:t>
      </w:r>
      <w:r w:rsidR="006A5485">
        <w:rPr>
          <w:szCs w:val="17"/>
        </w:rPr>
        <w:noBreakHyphen/>
      </w:r>
      <w:r w:rsidR="00E019BE" w:rsidRPr="0067507D">
        <w:rPr>
          <w:szCs w:val="17"/>
        </w:rPr>
        <w:t xml:space="preserve">determination </w:t>
      </w:r>
      <w:r w:rsidR="00A25C54" w:rsidRPr="0067507D">
        <w:rPr>
          <w:szCs w:val="17"/>
        </w:rPr>
        <w:t>reform stream</w:t>
      </w:r>
      <w:r w:rsidRPr="0067507D">
        <w:rPr>
          <w:szCs w:val="17"/>
        </w:rPr>
        <w:t xml:space="preserve">. </w:t>
      </w:r>
    </w:p>
    <w:p w14:paraId="79AAEF47" w14:textId="22042BB2" w:rsidR="00CD5CB7" w:rsidRPr="0067507D" w:rsidRDefault="001B1751" w:rsidP="00655729">
      <w:pPr>
        <w:pStyle w:val="Bullet"/>
      </w:pPr>
      <w:r w:rsidRPr="0067507D">
        <w:rPr>
          <w:szCs w:val="17"/>
        </w:rPr>
        <w:t>Supporting delivery of the Side by Side Partnership Addressing Disadvantage, an outcomes</w:t>
      </w:r>
      <w:r w:rsidR="006A5485">
        <w:rPr>
          <w:szCs w:val="17"/>
        </w:rPr>
        <w:noBreakHyphen/>
      </w:r>
      <w:r w:rsidRPr="0067507D">
        <w:rPr>
          <w:szCs w:val="17"/>
        </w:rPr>
        <w:t>based funding arrangement and partnership between Berry Street Victoria, the Victorian Aboriginal Child and Community Agency, Social Ventures Australia, the Department of Education and DTF that aims to improve educational outcomes and embed cultural safety for disadvantaged children, with around a third of students identifying as Aboriginal and/or Torres Strait Islander, above the target of 25 per cent.</w:t>
      </w:r>
    </w:p>
    <w:p w14:paraId="3ACFF6FF" w14:textId="77777777" w:rsidR="00113E1C" w:rsidRPr="0067507D" w:rsidRDefault="00113E1C" w:rsidP="00113E1C"/>
    <w:p w14:paraId="57435E71" w14:textId="77777777" w:rsidR="00113E1C" w:rsidRPr="0067507D" w:rsidRDefault="00113E1C" w:rsidP="00113E1C">
      <w:pPr>
        <w:pStyle w:val="Heading1App"/>
        <w:sectPr w:rsidR="00113E1C" w:rsidRPr="0067507D" w:rsidSect="000B2A3D">
          <w:footerReference w:type="even" r:id="rId188"/>
          <w:footerReference w:type="default" r:id="rId189"/>
          <w:type w:val="continuous"/>
          <w:pgSz w:w="11909" w:h="16834" w:code="9"/>
          <w:pgMar w:top="1728" w:right="1152" w:bottom="1260" w:left="1152" w:header="720" w:footer="288" w:gutter="0"/>
          <w:cols w:num="2" w:space="720"/>
          <w:noEndnote/>
        </w:sectPr>
      </w:pPr>
    </w:p>
    <w:p w14:paraId="4E8B02AC" w14:textId="3E13C0FF" w:rsidR="00113E1C" w:rsidRPr="0067507D" w:rsidRDefault="1BCD0F5B" w:rsidP="00113E1C">
      <w:pPr>
        <w:pStyle w:val="Heading1App"/>
      </w:pPr>
      <w:bookmarkStart w:id="213" w:name="_Toc85548002"/>
      <w:bookmarkStart w:id="214" w:name="_Toc115251044"/>
      <w:bookmarkStart w:id="215" w:name="_Toc210221111"/>
      <w:bookmarkStart w:id="216" w:name="_Toc210221139"/>
      <w:r w:rsidRPr="0067507D">
        <w:lastRenderedPageBreak/>
        <w:t>Appendix 2</w:t>
      </w:r>
      <w:r w:rsidR="00113E1C" w:rsidRPr="0067507D">
        <w:tab/>
      </w:r>
      <w:bookmarkStart w:id="217" w:name="OHSPolicy_start"/>
      <w:r w:rsidRPr="0067507D">
        <w:t xml:space="preserve">DTF occupational health and safety </w:t>
      </w:r>
      <w:bookmarkEnd w:id="217"/>
      <w:r w:rsidRPr="0067507D">
        <w:t xml:space="preserve">report </w:t>
      </w:r>
      <w:bookmarkEnd w:id="213"/>
      <w:bookmarkEnd w:id="214"/>
      <w:r w:rsidR="3D6661E2" w:rsidRPr="0067507D">
        <w:t>30 June 2025</w:t>
      </w:r>
      <w:bookmarkEnd w:id="215"/>
      <w:bookmarkEnd w:id="216"/>
    </w:p>
    <w:p w14:paraId="45F2505C" w14:textId="77777777" w:rsidR="00113E1C" w:rsidRPr="0067507D" w:rsidRDefault="00113E1C" w:rsidP="00113E1C">
      <w:pPr>
        <w:sectPr w:rsidR="00113E1C" w:rsidRPr="0067507D" w:rsidSect="00E254A2">
          <w:headerReference w:type="even" r:id="rId190"/>
          <w:headerReference w:type="default" r:id="rId191"/>
          <w:footerReference w:type="even" r:id="rId192"/>
          <w:footerReference w:type="default" r:id="rId193"/>
          <w:headerReference w:type="first" r:id="rId194"/>
          <w:footerReference w:type="first" r:id="rId195"/>
          <w:pgSz w:w="11909" w:h="16834" w:code="9"/>
          <w:pgMar w:top="1728" w:right="1152" w:bottom="1267" w:left="1152" w:header="720" w:footer="288" w:gutter="0"/>
          <w:cols w:space="720"/>
          <w:noEndnote/>
        </w:sectPr>
      </w:pPr>
    </w:p>
    <w:p w14:paraId="7C01A505" w14:textId="371D51EB" w:rsidR="00113E1C" w:rsidRPr="0067507D" w:rsidRDefault="00113E1C" w:rsidP="00113E1C">
      <w:r w:rsidRPr="0067507D">
        <w:t xml:space="preserve">The Department continues its commitment to occupational health and safety (OHS) by supporting the </w:t>
      </w:r>
      <w:r w:rsidR="004B587E" w:rsidRPr="0067507D">
        <w:t>shared service operating model</w:t>
      </w:r>
      <w:r w:rsidRPr="0067507D">
        <w:t xml:space="preserve">. The health, safety and wellbeing of staff continues to be the Departments highest priority. </w:t>
      </w:r>
    </w:p>
    <w:p w14:paraId="7E13E93C" w14:textId="77777777" w:rsidR="00113E1C" w:rsidRPr="0067507D" w:rsidRDefault="00113E1C" w:rsidP="00113E1C">
      <w:r w:rsidRPr="0067507D">
        <w:t>The Department</w:t>
      </w:r>
      <w:r w:rsidR="005C26E8" w:rsidRPr="0067507D">
        <w:t>’</w:t>
      </w:r>
      <w:r w:rsidRPr="0067507D">
        <w:t xml:space="preserve">s OHS program and health and wellbeing initiatives </w:t>
      </w:r>
      <w:r w:rsidR="00A76002" w:rsidRPr="0067507D">
        <w:t>are</w:t>
      </w:r>
      <w:r w:rsidRPr="0067507D">
        <w:t xml:space="preserve"> aimed at enhancing safety performance and ensuring safe systems of work. The strong leadership and commitment to OHS matters are integrated into the program with a proactive approach and regular review of health, safety and wellbeing across the Department. </w:t>
      </w:r>
    </w:p>
    <w:p w14:paraId="2A3D2C41" w14:textId="77777777" w:rsidR="00113E1C" w:rsidRPr="0067507D" w:rsidRDefault="00113E1C" w:rsidP="00113E1C">
      <w:pPr>
        <w:pStyle w:val="Heading3"/>
      </w:pPr>
      <w:r w:rsidRPr="0067507D">
        <w:t>Key achievements</w:t>
      </w:r>
    </w:p>
    <w:p w14:paraId="093875D0" w14:textId="0A8AEE66" w:rsidR="00113E1C" w:rsidRPr="0067507D" w:rsidRDefault="00113E1C" w:rsidP="00F749B3">
      <w:pPr>
        <w:pStyle w:val="Bullet"/>
      </w:pPr>
      <w:r w:rsidRPr="0067507D">
        <w:t>DTF is continuing to progress the initiatives of</w:t>
      </w:r>
      <w:r w:rsidR="00AD4AB1" w:rsidRPr="0067507D">
        <w:t xml:space="preserve"> </w:t>
      </w:r>
      <w:r w:rsidR="00B922EF" w:rsidRPr="0067507D">
        <w:t>BeWell</w:t>
      </w:r>
      <w:r w:rsidR="0044606D" w:rsidRPr="0067507D">
        <w:t>@DTF</w:t>
      </w:r>
      <w:r w:rsidRPr="0067507D">
        <w:t xml:space="preserve">. This </w:t>
      </w:r>
      <w:r w:rsidR="00B87FFC" w:rsidRPr="0067507D">
        <w:t xml:space="preserve">program </w:t>
      </w:r>
      <w:r w:rsidRPr="0067507D">
        <w:t>outlines DTF</w:t>
      </w:r>
      <w:r w:rsidR="0084509B" w:rsidRPr="0067507D">
        <w:t>’</w:t>
      </w:r>
      <w:r w:rsidRPr="0067507D">
        <w:t xml:space="preserve">s plan to prevent mental injury and </w:t>
      </w:r>
      <w:r w:rsidR="009072AF" w:rsidRPr="0067507D">
        <w:t xml:space="preserve">encompasses wellbeing </w:t>
      </w:r>
      <w:r w:rsidR="00192F51" w:rsidRPr="0067507D">
        <w:t>initiatives to support employees</w:t>
      </w:r>
      <w:r w:rsidRPr="0067507D">
        <w:t xml:space="preserve">. </w:t>
      </w:r>
    </w:p>
    <w:p w14:paraId="560C5C71" w14:textId="7D2B04A2" w:rsidR="00113E1C" w:rsidRPr="0067507D" w:rsidRDefault="00113E1C" w:rsidP="00F749B3">
      <w:pPr>
        <w:pStyle w:val="Bullet"/>
      </w:pPr>
      <w:r w:rsidRPr="0067507D">
        <w:t>Initiating the redesign of Warden positions in collaboration with facilities management</w:t>
      </w:r>
      <w:r w:rsidR="00913DFF" w:rsidRPr="0067507D">
        <w:t xml:space="preserve"> to bring together a</w:t>
      </w:r>
      <w:r w:rsidR="009E59D2" w:rsidRPr="0067507D">
        <w:t xml:space="preserve"> collective and aligned approach to emergency management and preparedness.</w:t>
      </w:r>
      <w:r w:rsidR="00913DFF" w:rsidRPr="0067507D">
        <w:t xml:space="preserve"> </w:t>
      </w:r>
    </w:p>
    <w:p w14:paraId="33433783" w14:textId="319317FF" w:rsidR="00113E1C" w:rsidRPr="0067507D" w:rsidRDefault="00113E1C" w:rsidP="00F749B3">
      <w:pPr>
        <w:pStyle w:val="Bullet"/>
      </w:pPr>
      <w:r w:rsidRPr="0067507D">
        <w:t>Holding a Safety Month program during October (in alignment with Safe Work month). This program focused on the value of Health and Safety representatives, managing psychological hazards in the workplace, mental and physical health and preventing work</w:t>
      </w:r>
      <w:r w:rsidR="006A5485">
        <w:noBreakHyphen/>
      </w:r>
      <w:r w:rsidRPr="0067507D">
        <w:t>related violence such as sexual harassment.</w:t>
      </w:r>
    </w:p>
    <w:p w14:paraId="34B57BF9" w14:textId="754256D9" w:rsidR="00113E1C" w:rsidRPr="0067507D" w:rsidRDefault="00113E1C" w:rsidP="00F749B3">
      <w:pPr>
        <w:pStyle w:val="Bullet"/>
      </w:pPr>
      <w:r w:rsidRPr="0067507D">
        <w:t>Providing mental health and wellbeing training, which 9</w:t>
      </w:r>
      <w:r w:rsidR="009E59D2" w:rsidRPr="0067507D">
        <w:t>1</w:t>
      </w:r>
      <w:r w:rsidR="005753BE" w:rsidRPr="0067507D">
        <w:rPr>
          <w:rFonts w:ascii="Calibri" w:hAnsi="Calibri" w:cs="Calibri"/>
        </w:rPr>
        <w:t> </w:t>
      </w:r>
      <w:r w:rsidR="005753BE" w:rsidRPr="0067507D">
        <w:rPr>
          <w:rFonts w:cs="Calibri"/>
        </w:rPr>
        <w:t>per</w:t>
      </w:r>
      <w:r w:rsidR="005753BE" w:rsidRPr="0067507D">
        <w:rPr>
          <w:rFonts w:ascii="Calibri" w:hAnsi="Calibri" w:cs="Calibri"/>
        </w:rPr>
        <w:t> </w:t>
      </w:r>
      <w:r w:rsidR="005753BE" w:rsidRPr="0067507D">
        <w:rPr>
          <w:rFonts w:cs="Calibri"/>
        </w:rPr>
        <w:t>cent</w:t>
      </w:r>
      <w:r w:rsidRPr="0067507D">
        <w:t xml:space="preserve"> of DTF </w:t>
      </w:r>
      <w:r w:rsidR="00D12465" w:rsidRPr="0067507D">
        <w:t xml:space="preserve">senior leaders </w:t>
      </w:r>
      <w:r w:rsidR="00D7412C" w:rsidRPr="0067507D">
        <w:t xml:space="preserve">have </w:t>
      </w:r>
      <w:r w:rsidRPr="0067507D">
        <w:t xml:space="preserve">completed as of </w:t>
      </w:r>
      <w:r w:rsidR="00C30F42" w:rsidRPr="0067507D">
        <w:t>30 June 2025</w:t>
      </w:r>
      <w:r w:rsidRPr="0067507D">
        <w:t>.</w:t>
      </w:r>
    </w:p>
    <w:p w14:paraId="3161E210" w14:textId="3E3C1C3A" w:rsidR="00113E1C" w:rsidRPr="0067507D" w:rsidRDefault="00113E1C" w:rsidP="00F749B3">
      <w:pPr>
        <w:pStyle w:val="Bullet"/>
      </w:pPr>
      <w:r w:rsidRPr="0067507D">
        <w:t xml:space="preserve">DTF’s Health and Safety Committee met </w:t>
      </w:r>
      <w:r w:rsidR="00192F51" w:rsidRPr="0067507D">
        <w:t>once</w:t>
      </w:r>
      <w:r w:rsidRPr="0067507D">
        <w:t xml:space="preserve"> during </w:t>
      </w:r>
      <w:r w:rsidR="00C30F42" w:rsidRPr="0067507D">
        <w:t>2024</w:t>
      </w:r>
      <w:r w:rsidR="006A5485">
        <w:noBreakHyphen/>
      </w:r>
      <w:r w:rsidR="00C30F42" w:rsidRPr="0067507D">
        <w:t>25</w:t>
      </w:r>
      <w:r w:rsidR="00063D21" w:rsidRPr="0067507D">
        <w:t>.</w:t>
      </w:r>
    </w:p>
    <w:p w14:paraId="132A5B27" w14:textId="15D35CA6" w:rsidR="00113E1C" w:rsidRPr="0067507D" w:rsidRDefault="00113E1C" w:rsidP="00655729">
      <w:pPr>
        <w:pStyle w:val="Bullet"/>
      </w:pPr>
      <w:r w:rsidRPr="0067507D">
        <w:t>The 202</w:t>
      </w:r>
      <w:r w:rsidR="00192F51" w:rsidRPr="0067507D">
        <w:t>5</w:t>
      </w:r>
      <w:r w:rsidRPr="0067507D">
        <w:t xml:space="preserve"> annual flu vaccination program was delivered in person at 1 Macarthur Street and through an online voucher system. There were two site visits </w:t>
      </w:r>
      <w:r w:rsidR="00BE3313" w:rsidRPr="0067507D">
        <w:t xml:space="preserve">with a high uptake </w:t>
      </w:r>
      <w:r w:rsidRPr="0067507D">
        <w:t xml:space="preserve">facilitated by a nurse and the vouchers were provided by a third party and could be redeemed at selected pharmacies. </w:t>
      </w:r>
    </w:p>
    <w:p w14:paraId="04EA846C" w14:textId="63BADD3D" w:rsidR="00113E1C" w:rsidRPr="0067507D" w:rsidRDefault="00746F18" w:rsidP="00655729">
      <w:pPr>
        <w:pStyle w:val="Bullet"/>
      </w:pPr>
      <w:r w:rsidRPr="0067507D">
        <w:br w:type="column"/>
      </w:r>
      <w:r w:rsidR="00DE4A87" w:rsidRPr="0067507D">
        <w:t xml:space="preserve">Continued </w:t>
      </w:r>
      <w:r w:rsidR="00113E1C" w:rsidRPr="0067507D">
        <w:t>a Departmental wide review of Psychosocial hazards as part of a consultation project</w:t>
      </w:r>
      <w:r w:rsidR="004623E3" w:rsidRPr="0067507D">
        <w:t xml:space="preserve"> and internal audit. </w:t>
      </w:r>
    </w:p>
    <w:p w14:paraId="77767359" w14:textId="584190EE" w:rsidR="005E0462" w:rsidRPr="0067507D" w:rsidRDefault="005E0462" w:rsidP="00655729">
      <w:pPr>
        <w:pStyle w:val="Bullet"/>
      </w:pPr>
      <w:r w:rsidRPr="0067507D">
        <w:t>100</w:t>
      </w:r>
      <w:r w:rsidR="00D22C5C" w:rsidRPr="0067507D">
        <w:t xml:space="preserve"> per cent</w:t>
      </w:r>
      <w:r w:rsidRPr="0067507D">
        <w:t xml:space="preserve"> of Health and Safety Representatives have been provided with the opportunity to complete the WorkSafe approved HSR training.</w:t>
      </w:r>
    </w:p>
    <w:p w14:paraId="33E6D2BD" w14:textId="447FAFC9" w:rsidR="00113E1C" w:rsidRPr="0067507D" w:rsidRDefault="00113E1C" w:rsidP="00655729">
      <w:pPr>
        <w:pStyle w:val="Bullet"/>
      </w:pPr>
      <w:r w:rsidRPr="0067507D">
        <w:t>The Departments Employee Assistance Program (EAP) provider</w:t>
      </w:r>
      <w:r w:rsidR="00997993" w:rsidRPr="0067507D">
        <w:t xml:space="preserve"> </w:t>
      </w:r>
      <w:r w:rsidR="5CB43284" w:rsidRPr="0067507D">
        <w:t>is</w:t>
      </w:r>
      <w:r w:rsidR="004623E3" w:rsidRPr="0067507D">
        <w:t xml:space="preserve"> People Sense by Altius Group</w:t>
      </w:r>
      <w:r w:rsidR="474B382C" w:rsidRPr="0067507D">
        <w:t>.</w:t>
      </w:r>
      <w:r w:rsidRPr="0067507D">
        <w:t xml:space="preserve"> </w:t>
      </w:r>
      <w:r w:rsidR="004623E3" w:rsidRPr="0067507D">
        <w:t xml:space="preserve">The service </w:t>
      </w:r>
      <w:r w:rsidRPr="0067507D">
        <w:t>provides confidential professional counselling services for employees. This includes tailored support for Aboriginal and Torres Strait Islanders, employees with disability, LGBTIQ+ employees and employees experiencing family violence. A specific hotline is also available for managers who require assistance with complex employee issues and a supportive check</w:t>
      </w:r>
      <w:r w:rsidR="006A5485">
        <w:noBreakHyphen/>
      </w:r>
      <w:r w:rsidRPr="0067507D">
        <w:t xml:space="preserve">in service where there is concern for their psychological safety and/or wellbeing. </w:t>
      </w:r>
    </w:p>
    <w:p w14:paraId="101F6D7B" w14:textId="08B4E39B" w:rsidR="009D10F8" w:rsidRPr="0067507D" w:rsidRDefault="008D1152" w:rsidP="00F749B3">
      <w:pPr>
        <w:pStyle w:val="Bullet"/>
      </w:pPr>
      <w:r w:rsidRPr="0067507D">
        <w:t>Peer support officers expanding their training to cover family violence and domestic violence</w:t>
      </w:r>
      <w:r w:rsidR="006A6335" w:rsidRPr="0067507D">
        <w:t xml:space="preserve"> with ongoing </w:t>
      </w:r>
      <w:r w:rsidR="00EE5678" w:rsidRPr="0067507D">
        <w:t>quarterly upskilling training provided</w:t>
      </w:r>
      <w:r w:rsidRPr="0067507D">
        <w:t>.</w:t>
      </w:r>
    </w:p>
    <w:p w14:paraId="6DCD9391" w14:textId="1E4647E9" w:rsidR="00113E1C" w:rsidRPr="0067507D" w:rsidRDefault="00113E1C" w:rsidP="00F749B3">
      <w:pPr>
        <w:pStyle w:val="Bullet"/>
      </w:pPr>
      <w:r w:rsidRPr="0067507D">
        <w:t xml:space="preserve">Implementing new wellbeing related initiatives that address specific focus areas for the Department including: </w:t>
      </w:r>
    </w:p>
    <w:p w14:paraId="02A3026A" w14:textId="12C664E6" w:rsidR="00113E1C" w:rsidRPr="0067507D" w:rsidRDefault="00746F18" w:rsidP="00F749B3">
      <w:pPr>
        <w:pStyle w:val="Dash"/>
      </w:pPr>
      <w:r w:rsidRPr="0067507D">
        <w:t>continue</w:t>
      </w:r>
      <w:r w:rsidR="00113E1C" w:rsidRPr="0067507D">
        <w:t xml:space="preserve"> to roll</w:t>
      </w:r>
      <w:r w:rsidR="006C482A" w:rsidRPr="0067507D">
        <w:t xml:space="preserve"> </w:t>
      </w:r>
      <w:r w:rsidR="00113E1C" w:rsidRPr="0067507D">
        <w:t xml:space="preserve">out Quarterly </w:t>
      </w:r>
      <w:r w:rsidR="00EE5678" w:rsidRPr="0067507D">
        <w:t>Health</w:t>
      </w:r>
      <w:r w:rsidR="009D47AF" w:rsidRPr="0067507D">
        <w:t xml:space="preserve">, Safety and Wellbeing Dashboard </w:t>
      </w:r>
      <w:r w:rsidR="00113E1C" w:rsidRPr="0067507D">
        <w:t>Board report, along with identifying ways to optimise reporting metrics and interventions</w:t>
      </w:r>
    </w:p>
    <w:p w14:paraId="42A03CCD" w14:textId="44759F81" w:rsidR="00113E1C" w:rsidRPr="0067507D" w:rsidRDefault="00746F18" w:rsidP="00F749B3">
      <w:pPr>
        <w:pStyle w:val="Dash"/>
      </w:pPr>
      <w:r w:rsidRPr="0067507D">
        <w:t>introduced</w:t>
      </w:r>
      <w:r w:rsidR="00113E1C" w:rsidRPr="0067507D">
        <w:t xml:space="preserve"> </w:t>
      </w:r>
      <w:r w:rsidR="006E1C99" w:rsidRPr="0067507D">
        <w:t xml:space="preserve">psychological risk assessment </w:t>
      </w:r>
      <w:r w:rsidR="00113E1C" w:rsidRPr="0067507D">
        <w:t>for employees and managers</w:t>
      </w:r>
      <w:r w:rsidR="006E1C99" w:rsidRPr="0067507D">
        <w:t xml:space="preserve"> to identify psychosocial hazards and implement controls in the workplace</w:t>
      </w:r>
    </w:p>
    <w:p w14:paraId="18496955" w14:textId="77777777" w:rsidR="00113E1C" w:rsidRPr="0067507D" w:rsidRDefault="00113E1C" w:rsidP="00F749B3">
      <w:pPr>
        <w:pStyle w:val="Dash"/>
      </w:pPr>
      <w:r w:rsidRPr="0067507D">
        <w:t>focusing on financial wellbeing topics such as superannuation and planning for retirement</w:t>
      </w:r>
    </w:p>
    <w:p w14:paraId="535A98BA" w14:textId="0A17BDAB" w:rsidR="00113E1C" w:rsidRPr="0067507D" w:rsidRDefault="00746F18" w:rsidP="00F749B3">
      <w:pPr>
        <w:pStyle w:val="Dash"/>
      </w:pPr>
      <w:r w:rsidRPr="0067507D">
        <w:t>expanded</w:t>
      </w:r>
      <w:r w:rsidR="00113E1C" w:rsidRPr="0067507D">
        <w:t xml:space="preserve"> gym program Fitness Passport to assist staff with prioritising their physical and mental wellbeing </w:t>
      </w:r>
    </w:p>
    <w:p w14:paraId="55A1EFE9" w14:textId="33F390DA" w:rsidR="00113E1C" w:rsidRPr="0067507D" w:rsidRDefault="00867133" w:rsidP="00F749B3">
      <w:pPr>
        <w:pStyle w:val="Dash"/>
      </w:pPr>
      <w:r w:rsidRPr="0067507D">
        <w:t>consultation and communication guidance</w:t>
      </w:r>
      <w:r w:rsidR="008D1152" w:rsidRPr="0067507D">
        <w:t xml:space="preserve"> with support</w:t>
      </w:r>
      <w:r w:rsidR="00C25204" w:rsidRPr="0067507D">
        <w:t>ing</w:t>
      </w:r>
      <w:r w:rsidR="008B090F" w:rsidRPr="0067507D">
        <w:t xml:space="preserve"> documents to support </w:t>
      </w:r>
      <w:r w:rsidR="005C7AAA" w:rsidRPr="0067507D">
        <w:t xml:space="preserve">designated work groups </w:t>
      </w:r>
      <w:r w:rsidR="00A5350B" w:rsidRPr="0067507D">
        <w:t xml:space="preserve">(DWGs) </w:t>
      </w:r>
      <w:r w:rsidR="00A12CA8" w:rsidRPr="0067507D">
        <w:t xml:space="preserve">and nominations and elections of </w:t>
      </w:r>
      <w:r w:rsidR="00D16E93" w:rsidRPr="0067507D">
        <w:t>h</w:t>
      </w:r>
      <w:r w:rsidR="00A12CA8" w:rsidRPr="0067507D">
        <w:t xml:space="preserve">ealth and </w:t>
      </w:r>
      <w:r w:rsidR="00D16E93" w:rsidRPr="0067507D">
        <w:t>s</w:t>
      </w:r>
      <w:r w:rsidR="00A12CA8" w:rsidRPr="0067507D">
        <w:t xml:space="preserve">afety </w:t>
      </w:r>
      <w:r w:rsidR="00D16E93" w:rsidRPr="0067507D">
        <w:t>representatives</w:t>
      </w:r>
    </w:p>
    <w:p w14:paraId="09BF5E86" w14:textId="4B8E845F" w:rsidR="00A5350B" w:rsidRPr="0067507D" w:rsidRDefault="00A5350B" w:rsidP="00F749B3">
      <w:pPr>
        <w:pStyle w:val="Dash"/>
      </w:pPr>
      <w:r w:rsidRPr="0067507D">
        <w:t xml:space="preserve">refreshed DWG structure with </w:t>
      </w:r>
      <w:r w:rsidR="009022B7" w:rsidRPr="0067507D">
        <w:t>consultation with the Department</w:t>
      </w:r>
      <w:r w:rsidR="00717DE5" w:rsidRPr="0067507D">
        <w:t>.</w:t>
      </w:r>
    </w:p>
    <w:p w14:paraId="407D9D67" w14:textId="77777777" w:rsidR="00113E1C" w:rsidRPr="0067507D" w:rsidRDefault="00113E1C" w:rsidP="00B43493">
      <w:pPr>
        <w:pStyle w:val="Dash"/>
        <w:numPr>
          <w:ilvl w:val="0"/>
          <w:numId w:val="0"/>
        </w:numPr>
        <w:sectPr w:rsidR="00113E1C" w:rsidRPr="0067507D" w:rsidSect="009526AE">
          <w:type w:val="continuous"/>
          <w:pgSz w:w="11909" w:h="16834" w:code="9"/>
          <w:pgMar w:top="1728" w:right="1152" w:bottom="1260" w:left="1152" w:header="720" w:footer="288" w:gutter="0"/>
          <w:cols w:num="2" w:space="720"/>
          <w:noEndnote/>
        </w:sectPr>
      </w:pPr>
    </w:p>
    <w:p w14:paraId="2E0C5781" w14:textId="28A9F3C1" w:rsidR="00113E1C" w:rsidRPr="0067507D" w:rsidRDefault="00113E1C" w:rsidP="00113E1C">
      <w:pPr>
        <w:pStyle w:val="Heading2"/>
      </w:pPr>
      <w:r w:rsidRPr="0067507D">
        <w:lastRenderedPageBreak/>
        <w:t>DTF’s performance against OHS management measures</w:t>
      </w:r>
    </w:p>
    <w:tbl>
      <w:tblPr>
        <w:tblW w:w="9630" w:type="dxa"/>
        <w:tblLayout w:type="fixed"/>
        <w:tblCellMar>
          <w:left w:w="43" w:type="dxa"/>
          <w:right w:w="43" w:type="dxa"/>
        </w:tblCellMar>
        <w:tblLook w:val="04A0" w:firstRow="1" w:lastRow="0" w:firstColumn="1" w:lastColumn="0" w:noHBand="0" w:noVBand="1"/>
      </w:tblPr>
      <w:tblGrid>
        <w:gridCol w:w="1260"/>
        <w:gridCol w:w="2250"/>
        <w:gridCol w:w="1980"/>
        <w:gridCol w:w="2165"/>
        <w:gridCol w:w="1975"/>
      </w:tblGrid>
      <w:tr w:rsidR="00113E1C" w:rsidRPr="0067507D" w14:paraId="29D33B81" w14:textId="2B233093" w:rsidTr="004A395B">
        <w:trPr>
          <w:cantSplit/>
          <w:tblHeader/>
        </w:trPr>
        <w:tc>
          <w:tcPr>
            <w:tcW w:w="1260" w:type="dxa"/>
            <w:hideMark/>
          </w:tcPr>
          <w:p w14:paraId="2A85B699" w14:textId="77777777" w:rsidR="00113E1C" w:rsidRPr="0067507D" w:rsidRDefault="00113E1C" w:rsidP="003E4E12">
            <w:pPr>
              <w:pStyle w:val="Tabletextheadingleft"/>
            </w:pPr>
            <w:bookmarkStart w:id="218" w:name="_Hlk48055582"/>
            <w:r w:rsidRPr="0067507D">
              <w:t>Measure</w:t>
            </w:r>
          </w:p>
        </w:tc>
        <w:tc>
          <w:tcPr>
            <w:tcW w:w="2250" w:type="dxa"/>
            <w:hideMark/>
          </w:tcPr>
          <w:p w14:paraId="66BAD10A" w14:textId="77777777" w:rsidR="00113E1C" w:rsidRPr="0067507D" w:rsidRDefault="00113E1C" w:rsidP="003E4E12">
            <w:pPr>
              <w:pStyle w:val="Tabletextheadingleft"/>
            </w:pPr>
            <w:r w:rsidRPr="0067507D">
              <w:t>KPI</w:t>
            </w:r>
          </w:p>
        </w:tc>
        <w:tc>
          <w:tcPr>
            <w:tcW w:w="1980" w:type="dxa"/>
          </w:tcPr>
          <w:p w14:paraId="16B6E86A" w14:textId="7704D47D" w:rsidR="00113E1C" w:rsidRPr="0067507D" w:rsidRDefault="00C30F42" w:rsidP="003E4E12">
            <w:pPr>
              <w:pStyle w:val="Tabletextheadingleft"/>
            </w:pPr>
            <w:r w:rsidRPr="0067507D">
              <w:t>2022</w:t>
            </w:r>
            <w:r w:rsidR="006A5485">
              <w:noBreakHyphen/>
            </w:r>
            <w:r w:rsidRPr="0067507D">
              <w:t>23</w:t>
            </w:r>
          </w:p>
        </w:tc>
        <w:tc>
          <w:tcPr>
            <w:tcW w:w="2165" w:type="dxa"/>
          </w:tcPr>
          <w:p w14:paraId="01FEDF90" w14:textId="5A03C40F" w:rsidR="00113E1C" w:rsidRPr="0067507D" w:rsidRDefault="00C30F42" w:rsidP="003E4E12">
            <w:pPr>
              <w:pStyle w:val="Tabletextheadingleft"/>
            </w:pPr>
            <w:r w:rsidRPr="0067507D">
              <w:t>2023</w:t>
            </w:r>
            <w:r w:rsidR="006A5485">
              <w:noBreakHyphen/>
            </w:r>
            <w:r w:rsidRPr="0067507D">
              <w:t>24</w:t>
            </w:r>
          </w:p>
        </w:tc>
        <w:tc>
          <w:tcPr>
            <w:tcW w:w="1975" w:type="dxa"/>
          </w:tcPr>
          <w:p w14:paraId="7FFEE55A" w14:textId="5E34FE94" w:rsidR="00E5426C" w:rsidRPr="0067507D" w:rsidRDefault="00C30F42" w:rsidP="00E5426C">
            <w:pPr>
              <w:pStyle w:val="Tabletextheadingleft"/>
              <w:rPr>
                <w:highlight w:val="yellow"/>
              </w:rPr>
            </w:pPr>
            <w:r w:rsidRPr="0067507D">
              <w:t>2024</w:t>
            </w:r>
            <w:r w:rsidR="006A5485">
              <w:noBreakHyphen/>
            </w:r>
            <w:r w:rsidRPr="0067507D">
              <w:t>25</w:t>
            </w:r>
          </w:p>
        </w:tc>
      </w:tr>
      <w:tr w:rsidR="00113E1C" w:rsidRPr="0067507D" w14:paraId="1F849CD2" w14:textId="78E52741" w:rsidTr="006B6B67">
        <w:trPr>
          <w:cantSplit/>
        </w:trPr>
        <w:tc>
          <w:tcPr>
            <w:tcW w:w="1260" w:type="dxa"/>
            <w:vMerge w:val="restart"/>
            <w:hideMark/>
          </w:tcPr>
          <w:p w14:paraId="279E9371" w14:textId="77777777" w:rsidR="00113E1C" w:rsidRPr="0067507D" w:rsidRDefault="1BCD0F5B" w:rsidP="21264DBD">
            <w:pPr>
              <w:pStyle w:val="Tabletext"/>
            </w:pPr>
            <w:r w:rsidRPr="0067507D">
              <w:t xml:space="preserve">Incidents </w:t>
            </w:r>
          </w:p>
        </w:tc>
        <w:tc>
          <w:tcPr>
            <w:tcW w:w="2250" w:type="dxa"/>
            <w:shd w:val="clear" w:color="auto" w:fill="D9D9D9" w:themeFill="background1" w:themeFillShade="D9"/>
            <w:hideMark/>
          </w:tcPr>
          <w:p w14:paraId="098B1CC9" w14:textId="77777777" w:rsidR="00113E1C" w:rsidRPr="0067507D" w:rsidRDefault="1BCD0F5B" w:rsidP="21264DBD">
            <w:pPr>
              <w:pStyle w:val="Tabletext"/>
            </w:pPr>
            <w:r w:rsidRPr="0067507D">
              <w:t>Number of incidents</w:t>
            </w:r>
          </w:p>
        </w:tc>
        <w:tc>
          <w:tcPr>
            <w:tcW w:w="1980" w:type="dxa"/>
          </w:tcPr>
          <w:p w14:paraId="6D7100C5" w14:textId="49C3EEE9" w:rsidR="00113E1C" w:rsidRPr="0067507D" w:rsidRDefault="3B5A49CE" w:rsidP="003E4E12">
            <w:pPr>
              <w:pStyle w:val="Tabletext"/>
            </w:pPr>
            <w:r w:rsidRPr="0067507D">
              <w:t>13</w:t>
            </w:r>
          </w:p>
        </w:tc>
        <w:tc>
          <w:tcPr>
            <w:tcW w:w="2165" w:type="dxa"/>
          </w:tcPr>
          <w:p w14:paraId="2337675A" w14:textId="7CB1463E" w:rsidR="00113E1C" w:rsidRPr="0067507D" w:rsidRDefault="1B1C05BE" w:rsidP="003E4E12">
            <w:pPr>
              <w:pStyle w:val="Tabletext"/>
            </w:pPr>
            <w:r w:rsidRPr="0067507D">
              <w:t>26</w:t>
            </w:r>
          </w:p>
        </w:tc>
        <w:tc>
          <w:tcPr>
            <w:tcW w:w="1975" w:type="dxa"/>
          </w:tcPr>
          <w:p w14:paraId="0A4B7D1E" w14:textId="19384D75" w:rsidR="21264DBD" w:rsidRPr="0067507D" w:rsidRDefault="00EF15BB" w:rsidP="00A101E9">
            <w:pPr>
              <w:pStyle w:val="Tabletext"/>
              <w:rPr>
                <w:rFonts w:eastAsia="Aptos"/>
              </w:rPr>
            </w:pPr>
            <w:r w:rsidRPr="0067507D">
              <w:rPr>
                <w:rFonts w:eastAsia="Aptos"/>
              </w:rPr>
              <w:t>7</w:t>
            </w:r>
          </w:p>
        </w:tc>
      </w:tr>
      <w:tr w:rsidR="00113E1C" w:rsidRPr="0067507D" w14:paraId="3F7E72F1" w14:textId="5E5AAF7C" w:rsidTr="006B6B67">
        <w:trPr>
          <w:cantSplit/>
        </w:trPr>
        <w:tc>
          <w:tcPr>
            <w:tcW w:w="1260" w:type="dxa"/>
            <w:vMerge/>
            <w:hideMark/>
          </w:tcPr>
          <w:p w14:paraId="3D80F5D0" w14:textId="77777777" w:rsidR="00113E1C" w:rsidRPr="0067507D" w:rsidRDefault="00113E1C" w:rsidP="003E4E12">
            <w:pPr>
              <w:pStyle w:val="Tabletext"/>
              <w:rPr>
                <w:highlight w:val="yellow"/>
              </w:rPr>
            </w:pPr>
          </w:p>
        </w:tc>
        <w:tc>
          <w:tcPr>
            <w:tcW w:w="2250" w:type="dxa"/>
            <w:shd w:val="clear" w:color="auto" w:fill="D9D9D9" w:themeFill="background1" w:themeFillShade="D9"/>
            <w:hideMark/>
          </w:tcPr>
          <w:p w14:paraId="1762F805" w14:textId="77777777" w:rsidR="00113E1C" w:rsidRPr="0067507D" w:rsidRDefault="1BCD0F5B" w:rsidP="21264DBD">
            <w:pPr>
              <w:pStyle w:val="Tabletext"/>
            </w:pPr>
            <w:r w:rsidRPr="0067507D">
              <w:t>Rate per 100</w:t>
            </w:r>
            <w:r w:rsidRPr="0067507D">
              <w:rPr>
                <w:rFonts w:ascii="Calibri" w:hAnsi="Calibri" w:cs="Courier New"/>
              </w:rPr>
              <w:t xml:space="preserve"> </w:t>
            </w:r>
            <w:r w:rsidRPr="0067507D">
              <w:t>FTE</w:t>
            </w:r>
          </w:p>
        </w:tc>
        <w:tc>
          <w:tcPr>
            <w:tcW w:w="1980" w:type="dxa"/>
          </w:tcPr>
          <w:p w14:paraId="1C4863EF" w14:textId="1EFBED9D" w:rsidR="21264DBD" w:rsidRPr="0067507D" w:rsidRDefault="21264DBD" w:rsidP="00A101E9">
            <w:pPr>
              <w:pStyle w:val="Tabletext"/>
              <w:rPr>
                <w:rFonts w:eastAsia="VIC"/>
              </w:rPr>
            </w:pPr>
            <w:r w:rsidRPr="0067507D">
              <w:rPr>
                <w:rFonts w:eastAsia="VIC"/>
              </w:rPr>
              <w:t>2.24 (FTE 580.50)</w:t>
            </w:r>
            <w:r w:rsidRPr="0067507D">
              <w:rPr>
                <w:rFonts w:ascii="Calibri" w:eastAsia="VIC" w:hAnsi="Calibri" w:cs="Calibri"/>
              </w:rPr>
              <w:t> </w:t>
            </w:r>
          </w:p>
        </w:tc>
        <w:tc>
          <w:tcPr>
            <w:tcW w:w="2165" w:type="dxa"/>
          </w:tcPr>
          <w:p w14:paraId="27BBC98F" w14:textId="1079E525" w:rsidR="21264DBD" w:rsidRPr="0067507D" w:rsidRDefault="21264DBD" w:rsidP="00A101E9">
            <w:pPr>
              <w:pStyle w:val="Tabletext"/>
              <w:rPr>
                <w:rFonts w:eastAsia="VIC"/>
              </w:rPr>
            </w:pPr>
            <w:r w:rsidRPr="0067507D">
              <w:rPr>
                <w:rFonts w:eastAsia="VIC"/>
              </w:rPr>
              <w:t>3.98 (FTE 654)</w:t>
            </w:r>
            <w:r w:rsidRPr="0067507D">
              <w:rPr>
                <w:rFonts w:ascii="Calibri" w:eastAsia="VIC" w:hAnsi="Calibri" w:cs="Calibri"/>
              </w:rPr>
              <w:t> </w:t>
            </w:r>
          </w:p>
        </w:tc>
        <w:tc>
          <w:tcPr>
            <w:tcW w:w="1975" w:type="dxa"/>
          </w:tcPr>
          <w:p w14:paraId="00D7BE7E" w14:textId="51835033" w:rsidR="21264DBD" w:rsidRPr="0067507D" w:rsidRDefault="21264DBD" w:rsidP="00A101E9">
            <w:pPr>
              <w:pStyle w:val="Tabletext"/>
              <w:rPr>
                <w:rFonts w:eastAsia="VIC"/>
              </w:rPr>
            </w:pPr>
            <w:r w:rsidRPr="0067507D">
              <w:rPr>
                <w:rFonts w:eastAsia="VIC"/>
              </w:rPr>
              <w:t>1.20 (FTE 664)</w:t>
            </w:r>
          </w:p>
        </w:tc>
      </w:tr>
      <w:tr w:rsidR="00113E1C" w:rsidRPr="0067507D" w14:paraId="7FFE0B51" w14:textId="5EC595E9" w:rsidTr="006B6B67">
        <w:trPr>
          <w:cantSplit/>
        </w:trPr>
        <w:tc>
          <w:tcPr>
            <w:tcW w:w="1260" w:type="dxa"/>
            <w:vMerge/>
          </w:tcPr>
          <w:p w14:paraId="710C5852"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01A53AA7" w14:textId="77777777" w:rsidR="00113E1C" w:rsidRPr="0067507D" w:rsidRDefault="1BCD0F5B" w:rsidP="21264DBD">
            <w:pPr>
              <w:pStyle w:val="Tabletext"/>
            </w:pPr>
            <w:r w:rsidRPr="0067507D">
              <w:t>No. of incidents requiring first aid and/or further medical treatment</w:t>
            </w:r>
          </w:p>
        </w:tc>
        <w:tc>
          <w:tcPr>
            <w:tcW w:w="1980" w:type="dxa"/>
          </w:tcPr>
          <w:p w14:paraId="75726BCB" w14:textId="4AC66946" w:rsidR="21264DBD" w:rsidRPr="0067507D" w:rsidRDefault="21264DBD" w:rsidP="00A101E9">
            <w:pPr>
              <w:pStyle w:val="Tabletext"/>
              <w:rPr>
                <w:rFonts w:eastAsia="VIC"/>
              </w:rPr>
            </w:pPr>
            <w:r w:rsidRPr="0067507D">
              <w:rPr>
                <w:rFonts w:eastAsia="VIC"/>
              </w:rPr>
              <w:t>11</w:t>
            </w:r>
            <w:r w:rsidRPr="0067507D">
              <w:rPr>
                <w:rFonts w:ascii="Calibri" w:eastAsia="VIC" w:hAnsi="Calibri" w:cs="Calibri"/>
              </w:rPr>
              <w:t> </w:t>
            </w:r>
          </w:p>
        </w:tc>
        <w:tc>
          <w:tcPr>
            <w:tcW w:w="2165" w:type="dxa"/>
          </w:tcPr>
          <w:p w14:paraId="5405D23A" w14:textId="65C96F06" w:rsidR="21264DBD" w:rsidRPr="0067507D" w:rsidRDefault="21264DBD" w:rsidP="00A101E9">
            <w:pPr>
              <w:pStyle w:val="Tabletext"/>
              <w:rPr>
                <w:rFonts w:eastAsia="VIC"/>
              </w:rPr>
            </w:pPr>
            <w:r w:rsidRPr="0067507D">
              <w:rPr>
                <w:rFonts w:eastAsia="VIC"/>
              </w:rPr>
              <w:t>8</w:t>
            </w:r>
            <w:r w:rsidRPr="0067507D">
              <w:rPr>
                <w:rFonts w:ascii="Calibri" w:eastAsia="VIC" w:hAnsi="Calibri" w:cs="Calibri"/>
              </w:rPr>
              <w:t> </w:t>
            </w:r>
          </w:p>
        </w:tc>
        <w:tc>
          <w:tcPr>
            <w:tcW w:w="1975" w:type="dxa"/>
          </w:tcPr>
          <w:p w14:paraId="3CDC514B" w14:textId="7F7D2E3F" w:rsidR="21264DBD" w:rsidRPr="0067507D" w:rsidRDefault="21264DBD" w:rsidP="00A101E9">
            <w:pPr>
              <w:pStyle w:val="Tabletext"/>
              <w:rPr>
                <w:rFonts w:eastAsia="VIC"/>
              </w:rPr>
            </w:pPr>
            <w:r w:rsidRPr="0067507D">
              <w:rPr>
                <w:rFonts w:eastAsia="VIC"/>
              </w:rPr>
              <w:t>1</w:t>
            </w:r>
          </w:p>
        </w:tc>
      </w:tr>
      <w:tr w:rsidR="00113E1C" w:rsidRPr="0067507D" w14:paraId="5205772E" w14:textId="3C0040E3" w:rsidTr="006B6B67">
        <w:trPr>
          <w:cantSplit/>
          <w:trHeight w:val="60"/>
        </w:trPr>
        <w:tc>
          <w:tcPr>
            <w:tcW w:w="1260" w:type="dxa"/>
            <w:vMerge w:val="restart"/>
            <w:hideMark/>
          </w:tcPr>
          <w:p w14:paraId="50051909" w14:textId="77777777" w:rsidR="00113E1C" w:rsidRPr="0067507D" w:rsidRDefault="1BCD0F5B" w:rsidP="21264DBD">
            <w:pPr>
              <w:pStyle w:val="Tabletext"/>
            </w:pPr>
            <w:r w:rsidRPr="0067507D">
              <w:t>Claims</w:t>
            </w:r>
          </w:p>
        </w:tc>
        <w:tc>
          <w:tcPr>
            <w:tcW w:w="2250" w:type="dxa"/>
            <w:shd w:val="clear" w:color="auto" w:fill="D9D9D9" w:themeFill="background1" w:themeFillShade="D9"/>
            <w:hideMark/>
          </w:tcPr>
          <w:p w14:paraId="6E9E5CC9" w14:textId="766FE8DF" w:rsidR="00113E1C" w:rsidRPr="0067507D" w:rsidRDefault="1BCD0F5B" w:rsidP="21264DBD">
            <w:pPr>
              <w:pStyle w:val="Tabletext"/>
            </w:pPr>
            <w:r w:rsidRPr="0067507D">
              <w:t>Number of standardised claims</w:t>
            </w:r>
            <w:r w:rsidR="5F77E22B" w:rsidRPr="0067507D">
              <w:t xml:space="preserve"> </w:t>
            </w:r>
            <w:r w:rsidRPr="0067507D">
              <w:rPr>
                <w:vertAlign w:val="superscript"/>
              </w:rPr>
              <w:t>(</w:t>
            </w:r>
            <w:r w:rsidR="3FB1F1D7" w:rsidRPr="0067507D">
              <w:rPr>
                <w:vertAlign w:val="superscript"/>
              </w:rPr>
              <w:t>a</w:t>
            </w:r>
            <w:r w:rsidRPr="0067507D">
              <w:rPr>
                <w:vertAlign w:val="superscript"/>
              </w:rPr>
              <w:t>)</w:t>
            </w:r>
          </w:p>
        </w:tc>
        <w:tc>
          <w:tcPr>
            <w:tcW w:w="1980" w:type="dxa"/>
          </w:tcPr>
          <w:p w14:paraId="64F84B58" w14:textId="58F9125C" w:rsidR="21264DBD" w:rsidRPr="0067507D" w:rsidRDefault="21264DBD" w:rsidP="00A101E9">
            <w:pPr>
              <w:pStyle w:val="Tabletext"/>
              <w:rPr>
                <w:rFonts w:eastAsia="VIC"/>
              </w:rPr>
            </w:pPr>
            <w:r w:rsidRPr="0067507D">
              <w:rPr>
                <w:rFonts w:eastAsia="VIC"/>
              </w:rPr>
              <w:t>1</w:t>
            </w:r>
            <w:r w:rsidRPr="0067507D">
              <w:rPr>
                <w:rFonts w:ascii="Calibri" w:eastAsia="VIC" w:hAnsi="Calibri" w:cs="Calibri"/>
              </w:rPr>
              <w:t> </w:t>
            </w:r>
          </w:p>
        </w:tc>
        <w:tc>
          <w:tcPr>
            <w:tcW w:w="2165" w:type="dxa"/>
          </w:tcPr>
          <w:p w14:paraId="7DF26AC8" w14:textId="142B27E2" w:rsidR="21264DBD" w:rsidRPr="0067507D" w:rsidRDefault="21264DBD" w:rsidP="00A101E9">
            <w:pPr>
              <w:pStyle w:val="Tabletext"/>
              <w:rPr>
                <w:rFonts w:eastAsia="VIC"/>
              </w:rPr>
            </w:pPr>
            <w:r w:rsidRPr="0067507D">
              <w:rPr>
                <w:rFonts w:eastAsia="VIC"/>
              </w:rPr>
              <w:t>1</w:t>
            </w:r>
            <w:r w:rsidRPr="0067507D">
              <w:rPr>
                <w:rFonts w:ascii="Calibri" w:eastAsia="VIC" w:hAnsi="Calibri" w:cs="Calibri"/>
              </w:rPr>
              <w:t> </w:t>
            </w:r>
          </w:p>
        </w:tc>
        <w:tc>
          <w:tcPr>
            <w:tcW w:w="1975" w:type="dxa"/>
          </w:tcPr>
          <w:p w14:paraId="115E3D28" w14:textId="3BF5BF6E" w:rsidR="21264DBD" w:rsidRPr="0067507D" w:rsidRDefault="21264DBD" w:rsidP="00A101E9">
            <w:pPr>
              <w:pStyle w:val="Tabletext"/>
              <w:rPr>
                <w:rFonts w:eastAsia="VIC"/>
              </w:rPr>
            </w:pPr>
            <w:r w:rsidRPr="0067507D">
              <w:rPr>
                <w:rFonts w:eastAsia="VIC"/>
              </w:rPr>
              <w:t>2</w:t>
            </w:r>
          </w:p>
        </w:tc>
      </w:tr>
      <w:tr w:rsidR="00113E1C" w:rsidRPr="0067507D" w14:paraId="0B1D7686" w14:textId="77A36F29" w:rsidTr="006B6B67">
        <w:trPr>
          <w:cantSplit/>
        </w:trPr>
        <w:tc>
          <w:tcPr>
            <w:tcW w:w="1260" w:type="dxa"/>
            <w:vMerge/>
            <w:hideMark/>
          </w:tcPr>
          <w:p w14:paraId="36BA0996" w14:textId="77777777" w:rsidR="00113E1C" w:rsidRPr="0067507D" w:rsidRDefault="00113E1C" w:rsidP="003E4E12">
            <w:pPr>
              <w:pStyle w:val="Tabletext"/>
              <w:rPr>
                <w:highlight w:val="yellow"/>
              </w:rPr>
            </w:pPr>
          </w:p>
        </w:tc>
        <w:tc>
          <w:tcPr>
            <w:tcW w:w="2250" w:type="dxa"/>
            <w:shd w:val="clear" w:color="auto" w:fill="D9D9D9" w:themeFill="background1" w:themeFillShade="D9"/>
            <w:hideMark/>
          </w:tcPr>
          <w:p w14:paraId="1A0E8C39" w14:textId="77777777" w:rsidR="00113E1C" w:rsidRPr="0067507D" w:rsidRDefault="1BCD0F5B" w:rsidP="21264DBD">
            <w:pPr>
              <w:pStyle w:val="Tabletext"/>
            </w:pPr>
            <w:r w:rsidRPr="0067507D">
              <w:t>Rate per 100 FTE</w:t>
            </w:r>
          </w:p>
        </w:tc>
        <w:tc>
          <w:tcPr>
            <w:tcW w:w="1980" w:type="dxa"/>
          </w:tcPr>
          <w:p w14:paraId="751D1F6C" w14:textId="53E8691A" w:rsidR="21264DBD" w:rsidRPr="0067507D" w:rsidRDefault="21264DBD" w:rsidP="00A101E9">
            <w:pPr>
              <w:pStyle w:val="Tabletext"/>
              <w:rPr>
                <w:rFonts w:eastAsia="VIC"/>
              </w:rPr>
            </w:pPr>
            <w:r w:rsidRPr="0067507D">
              <w:rPr>
                <w:rFonts w:eastAsia="VIC"/>
              </w:rPr>
              <w:t>0.17 (FTE 580.50)</w:t>
            </w:r>
            <w:r w:rsidRPr="0067507D">
              <w:rPr>
                <w:rFonts w:ascii="Calibri" w:eastAsia="VIC" w:hAnsi="Calibri" w:cs="Calibri"/>
              </w:rPr>
              <w:t> </w:t>
            </w:r>
          </w:p>
        </w:tc>
        <w:tc>
          <w:tcPr>
            <w:tcW w:w="2165" w:type="dxa"/>
          </w:tcPr>
          <w:p w14:paraId="2216985B" w14:textId="143769A6" w:rsidR="21264DBD" w:rsidRPr="0067507D" w:rsidRDefault="21264DBD" w:rsidP="00A101E9">
            <w:pPr>
              <w:pStyle w:val="Tabletext"/>
              <w:rPr>
                <w:rFonts w:eastAsia="VIC"/>
              </w:rPr>
            </w:pPr>
            <w:r w:rsidRPr="0067507D">
              <w:rPr>
                <w:rFonts w:eastAsia="VIC"/>
              </w:rPr>
              <w:t>0.15 (FTE 654)</w:t>
            </w:r>
            <w:r w:rsidRPr="0067507D">
              <w:rPr>
                <w:rFonts w:ascii="Calibri" w:eastAsia="VIC" w:hAnsi="Calibri" w:cs="Calibri"/>
              </w:rPr>
              <w:t> </w:t>
            </w:r>
          </w:p>
        </w:tc>
        <w:tc>
          <w:tcPr>
            <w:tcW w:w="1975" w:type="dxa"/>
          </w:tcPr>
          <w:p w14:paraId="54F4D232" w14:textId="08D28FFC" w:rsidR="21264DBD" w:rsidRPr="0067507D" w:rsidRDefault="21264DBD" w:rsidP="00A101E9">
            <w:pPr>
              <w:pStyle w:val="Tabletext"/>
              <w:rPr>
                <w:rFonts w:eastAsia="VIC"/>
              </w:rPr>
            </w:pPr>
            <w:r w:rsidRPr="0067507D">
              <w:rPr>
                <w:rFonts w:eastAsia="VIC"/>
              </w:rPr>
              <w:t>0.30 (FTE 664)</w:t>
            </w:r>
          </w:p>
        </w:tc>
      </w:tr>
      <w:tr w:rsidR="00113E1C" w:rsidRPr="0067507D" w14:paraId="698A059F" w14:textId="5F1F3C4D" w:rsidTr="006B6B67">
        <w:trPr>
          <w:cantSplit/>
        </w:trPr>
        <w:tc>
          <w:tcPr>
            <w:tcW w:w="1260" w:type="dxa"/>
            <w:vMerge/>
            <w:hideMark/>
          </w:tcPr>
          <w:p w14:paraId="04589813" w14:textId="77777777" w:rsidR="00113E1C" w:rsidRPr="0067507D" w:rsidRDefault="00113E1C" w:rsidP="003E4E12">
            <w:pPr>
              <w:pStyle w:val="Tabletext"/>
              <w:rPr>
                <w:highlight w:val="yellow"/>
              </w:rPr>
            </w:pPr>
          </w:p>
        </w:tc>
        <w:tc>
          <w:tcPr>
            <w:tcW w:w="2250" w:type="dxa"/>
            <w:shd w:val="clear" w:color="auto" w:fill="D9D9D9" w:themeFill="background1" w:themeFillShade="D9"/>
            <w:hideMark/>
          </w:tcPr>
          <w:p w14:paraId="55CEB684" w14:textId="13F60B59" w:rsidR="00113E1C" w:rsidRPr="0067507D" w:rsidRDefault="1BCD0F5B" w:rsidP="21264DBD">
            <w:pPr>
              <w:pStyle w:val="Tabletext"/>
            </w:pPr>
            <w:r w:rsidRPr="0067507D">
              <w:t>Number of lost time claims</w:t>
            </w:r>
            <w:r w:rsidR="5F77E22B" w:rsidRPr="0067507D">
              <w:t xml:space="preserve"> </w:t>
            </w:r>
            <w:r w:rsidRPr="0067507D">
              <w:rPr>
                <w:vertAlign w:val="superscript"/>
              </w:rPr>
              <w:t>(</w:t>
            </w:r>
            <w:r w:rsidR="3FB1F1D7" w:rsidRPr="0067507D">
              <w:rPr>
                <w:vertAlign w:val="superscript"/>
              </w:rPr>
              <w:t>b</w:t>
            </w:r>
            <w:r w:rsidRPr="0067507D">
              <w:rPr>
                <w:vertAlign w:val="superscript"/>
              </w:rPr>
              <w:t>)</w:t>
            </w:r>
          </w:p>
        </w:tc>
        <w:tc>
          <w:tcPr>
            <w:tcW w:w="1980" w:type="dxa"/>
          </w:tcPr>
          <w:p w14:paraId="3984804C" w14:textId="1BC29A29"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2165" w:type="dxa"/>
          </w:tcPr>
          <w:p w14:paraId="5EDDA51B" w14:textId="42C63649" w:rsidR="21264DBD" w:rsidRPr="0067507D" w:rsidRDefault="21264DBD" w:rsidP="00A101E9">
            <w:pPr>
              <w:pStyle w:val="Tabletext"/>
              <w:rPr>
                <w:rFonts w:eastAsia="VIC"/>
              </w:rPr>
            </w:pPr>
            <w:r w:rsidRPr="0067507D">
              <w:rPr>
                <w:rFonts w:eastAsia="VIC"/>
              </w:rPr>
              <w:t>1</w:t>
            </w:r>
            <w:r w:rsidRPr="0067507D">
              <w:rPr>
                <w:rFonts w:ascii="Calibri" w:eastAsia="VIC" w:hAnsi="Calibri" w:cs="Calibri"/>
              </w:rPr>
              <w:t> </w:t>
            </w:r>
          </w:p>
        </w:tc>
        <w:tc>
          <w:tcPr>
            <w:tcW w:w="1975" w:type="dxa"/>
          </w:tcPr>
          <w:p w14:paraId="3D2E7D39" w14:textId="60CA9F72" w:rsidR="21264DBD" w:rsidRPr="0067507D" w:rsidRDefault="21264DBD" w:rsidP="00A101E9">
            <w:pPr>
              <w:pStyle w:val="Tabletext"/>
              <w:rPr>
                <w:rFonts w:eastAsia="VIC"/>
              </w:rPr>
            </w:pPr>
            <w:r w:rsidRPr="0067507D">
              <w:rPr>
                <w:rFonts w:eastAsia="VIC"/>
              </w:rPr>
              <w:t>1</w:t>
            </w:r>
          </w:p>
        </w:tc>
      </w:tr>
      <w:tr w:rsidR="00113E1C" w:rsidRPr="0067507D" w14:paraId="5D9D0160" w14:textId="059F3D2B" w:rsidTr="006B6B67">
        <w:trPr>
          <w:cantSplit/>
        </w:trPr>
        <w:tc>
          <w:tcPr>
            <w:tcW w:w="1260" w:type="dxa"/>
            <w:vMerge/>
            <w:hideMark/>
          </w:tcPr>
          <w:p w14:paraId="6F06A51D" w14:textId="77777777" w:rsidR="00113E1C" w:rsidRPr="0067507D" w:rsidRDefault="00113E1C" w:rsidP="003E4E12">
            <w:pPr>
              <w:pStyle w:val="Tabletext"/>
              <w:rPr>
                <w:highlight w:val="yellow"/>
              </w:rPr>
            </w:pPr>
          </w:p>
        </w:tc>
        <w:tc>
          <w:tcPr>
            <w:tcW w:w="2250" w:type="dxa"/>
            <w:shd w:val="clear" w:color="auto" w:fill="D9D9D9" w:themeFill="background1" w:themeFillShade="D9"/>
            <w:hideMark/>
          </w:tcPr>
          <w:p w14:paraId="6CF92924" w14:textId="77777777" w:rsidR="00113E1C" w:rsidRPr="0067507D" w:rsidRDefault="1BCD0F5B" w:rsidP="21264DBD">
            <w:pPr>
              <w:pStyle w:val="Tabletext"/>
            </w:pPr>
            <w:r w:rsidRPr="0067507D">
              <w:t>Rate per 100 FTE</w:t>
            </w:r>
          </w:p>
        </w:tc>
        <w:tc>
          <w:tcPr>
            <w:tcW w:w="1980" w:type="dxa"/>
          </w:tcPr>
          <w:p w14:paraId="58861BBD" w14:textId="4D713B52"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2165" w:type="dxa"/>
          </w:tcPr>
          <w:p w14:paraId="72D1CE71" w14:textId="6E290D84" w:rsidR="21264DBD" w:rsidRPr="0067507D" w:rsidRDefault="21264DBD" w:rsidP="00A101E9">
            <w:pPr>
              <w:pStyle w:val="Tabletext"/>
              <w:rPr>
                <w:rFonts w:eastAsia="VIC"/>
              </w:rPr>
            </w:pPr>
            <w:r w:rsidRPr="0067507D">
              <w:rPr>
                <w:rFonts w:eastAsia="VIC"/>
              </w:rPr>
              <w:t>0.15 (FTE 654)</w:t>
            </w:r>
            <w:r w:rsidRPr="0067507D">
              <w:rPr>
                <w:rFonts w:ascii="Calibri" w:eastAsia="VIC" w:hAnsi="Calibri" w:cs="Calibri"/>
              </w:rPr>
              <w:t> </w:t>
            </w:r>
          </w:p>
        </w:tc>
        <w:tc>
          <w:tcPr>
            <w:tcW w:w="1975" w:type="dxa"/>
          </w:tcPr>
          <w:p w14:paraId="503CC20A" w14:textId="139F564A" w:rsidR="21264DBD" w:rsidRPr="0067507D" w:rsidRDefault="21264DBD" w:rsidP="00A101E9">
            <w:pPr>
              <w:pStyle w:val="Tabletext"/>
              <w:rPr>
                <w:rFonts w:eastAsia="VIC"/>
              </w:rPr>
            </w:pPr>
            <w:r w:rsidRPr="0067507D">
              <w:rPr>
                <w:rFonts w:eastAsia="VIC"/>
              </w:rPr>
              <w:t>0.15 (FTE 664)</w:t>
            </w:r>
          </w:p>
        </w:tc>
      </w:tr>
      <w:tr w:rsidR="00113E1C" w:rsidRPr="0067507D" w14:paraId="1281E8B0" w14:textId="596AF64D" w:rsidTr="006B6B67">
        <w:trPr>
          <w:cantSplit/>
        </w:trPr>
        <w:tc>
          <w:tcPr>
            <w:tcW w:w="1260" w:type="dxa"/>
            <w:vMerge/>
          </w:tcPr>
          <w:p w14:paraId="6B4AA4E0"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29A41FE2" w14:textId="5C63AF68" w:rsidR="00113E1C" w:rsidRPr="0067507D" w:rsidRDefault="1BCD0F5B" w:rsidP="21264DBD">
            <w:pPr>
              <w:pStyle w:val="Tabletext"/>
            </w:pPr>
            <w:r w:rsidRPr="0067507D">
              <w:t>Number of claims at 13</w:t>
            </w:r>
            <w:r w:rsidRPr="0067507D">
              <w:rPr>
                <w:rFonts w:ascii="Calibri" w:hAnsi="Calibri" w:cs="Calibri"/>
              </w:rPr>
              <w:t> </w:t>
            </w:r>
            <w:r w:rsidRPr="0067507D">
              <w:t>weeks</w:t>
            </w:r>
            <w:r w:rsidR="5F77E22B" w:rsidRPr="0067507D">
              <w:rPr>
                <w:rFonts w:ascii="Calibri" w:hAnsi="Calibri" w:cs="Calibri"/>
              </w:rPr>
              <w:t> </w:t>
            </w:r>
            <w:r w:rsidRPr="0067507D">
              <w:rPr>
                <w:vertAlign w:val="superscript"/>
              </w:rPr>
              <w:t>(</w:t>
            </w:r>
            <w:r w:rsidR="3FB1F1D7" w:rsidRPr="0067507D">
              <w:rPr>
                <w:vertAlign w:val="superscript"/>
              </w:rPr>
              <w:t>c</w:t>
            </w:r>
            <w:r w:rsidRPr="0067507D">
              <w:rPr>
                <w:vertAlign w:val="superscript"/>
              </w:rPr>
              <w:t>)</w:t>
            </w:r>
          </w:p>
        </w:tc>
        <w:tc>
          <w:tcPr>
            <w:tcW w:w="1980" w:type="dxa"/>
          </w:tcPr>
          <w:p w14:paraId="655824AC" w14:textId="2B25C935"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2165" w:type="dxa"/>
          </w:tcPr>
          <w:p w14:paraId="2FA2DBD9" w14:textId="7F6DC6F7" w:rsidR="21264DBD" w:rsidRPr="0067507D" w:rsidRDefault="21264DBD" w:rsidP="00A101E9">
            <w:pPr>
              <w:pStyle w:val="Tabletext"/>
              <w:rPr>
                <w:rFonts w:eastAsia="VIC"/>
              </w:rPr>
            </w:pPr>
            <w:r w:rsidRPr="0067507D">
              <w:rPr>
                <w:rFonts w:eastAsia="VIC"/>
              </w:rPr>
              <w:t>1</w:t>
            </w:r>
            <w:r w:rsidRPr="0067507D">
              <w:rPr>
                <w:rFonts w:ascii="Calibri" w:eastAsia="VIC" w:hAnsi="Calibri" w:cs="Calibri"/>
              </w:rPr>
              <w:t> </w:t>
            </w:r>
          </w:p>
        </w:tc>
        <w:tc>
          <w:tcPr>
            <w:tcW w:w="1975" w:type="dxa"/>
          </w:tcPr>
          <w:p w14:paraId="472C4191" w14:textId="08798313" w:rsidR="21264DBD" w:rsidRPr="0067507D" w:rsidRDefault="21264DBD" w:rsidP="00A101E9">
            <w:pPr>
              <w:pStyle w:val="Tabletext"/>
              <w:rPr>
                <w:rFonts w:eastAsia="VIC"/>
              </w:rPr>
            </w:pPr>
            <w:r w:rsidRPr="0067507D">
              <w:rPr>
                <w:rFonts w:eastAsia="VIC"/>
              </w:rPr>
              <w:t>1</w:t>
            </w:r>
          </w:p>
        </w:tc>
      </w:tr>
      <w:tr w:rsidR="00113E1C" w:rsidRPr="0067507D" w14:paraId="5D1F908C" w14:textId="3EB8B5FF" w:rsidTr="006B6B67">
        <w:trPr>
          <w:cantSplit/>
        </w:trPr>
        <w:tc>
          <w:tcPr>
            <w:tcW w:w="1260" w:type="dxa"/>
            <w:vMerge/>
          </w:tcPr>
          <w:p w14:paraId="1CC86981"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4F842ADE" w14:textId="77777777" w:rsidR="00113E1C" w:rsidRPr="0067507D" w:rsidRDefault="1BCD0F5B" w:rsidP="21264DBD">
            <w:pPr>
              <w:pStyle w:val="Tabletext"/>
            </w:pPr>
            <w:r w:rsidRPr="0067507D">
              <w:t>Percentage of claims at 13</w:t>
            </w:r>
            <w:r w:rsidRPr="0067507D">
              <w:rPr>
                <w:rFonts w:ascii="Calibri" w:hAnsi="Calibri" w:cs="Calibri"/>
              </w:rPr>
              <w:t> </w:t>
            </w:r>
            <w:r w:rsidRPr="0067507D">
              <w:t>weeks against total number of claims</w:t>
            </w:r>
          </w:p>
        </w:tc>
        <w:tc>
          <w:tcPr>
            <w:tcW w:w="1980" w:type="dxa"/>
          </w:tcPr>
          <w:p w14:paraId="3D0A7B9D" w14:textId="715A4733"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2165" w:type="dxa"/>
          </w:tcPr>
          <w:p w14:paraId="0D14422F" w14:textId="3F7F0E23" w:rsidR="21264DBD" w:rsidRPr="0067507D" w:rsidRDefault="21264DBD" w:rsidP="00A101E9">
            <w:pPr>
              <w:pStyle w:val="Tabletext"/>
              <w:rPr>
                <w:rFonts w:eastAsia="VIC"/>
              </w:rPr>
            </w:pPr>
            <w:r w:rsidRPr="0067507D">
              <w:rPr>
                <w:rFonts w:eastAsia="VIC"/>
              </w:rPr>
              <w:t>100</w:t>
            </w:r>
            <w:r w:rsidRPr="0067507D">
              <w:rPr>
                <w:rFonts w:ascii="Calibri" w:eastAsia="VIC" w:hAnsi="Calibri" w:cs="Calibri"/>
              </w:rPr>
              <w:t> </w:t>
            </w:r>
          </w:p>
        </w:tc>
        <w:tc>
          <w:tcPr>
            <w:tcW w:w="1975" w:type="dxa"/>
          </w:tcPr>
          <w:p w14:paraId="32E4CB84" w14:textId="70F9E9B0" w:rsidR="21264DBD" w:rsidRPr="0067507D" w:rsidRDefault="21264DBD" w:rsidP="00A101E9">
            <w:pPr>
              <w:pStyle w:val="Tabletext"/>
              <w:rPr>
                <w:rFonts w:eastAsia="VIC"/>
              </w:rPr>
            </w:pPr>
            <w:r w:rsidRPr="0067507D">
              <w:rPr>
                <w:rFonts w:eastAsia="VIC"/>
              </w:rPr>
              <w:t>50</w:t>
            </w:r>
          </w:p>
        </w:tc>
      </w:tr>
      <w:tr w:rsidR="00113E1C" w:rsidRPr="0067507D" w14:paraId="7FECFF50" w14:textId="4FE34C41" w:rsidTr="006B6B67">
        <w:trPr>
          <w:cantSplit/>
        </w:trPr>
        <w:tc>
          <w:tcPr>
            <w:tcW w:w="1260" w:type="dxa"/>
            <w:vMerge/>
          </w:tcPr>
          <w:p w14:paraId="1EF932A3"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591860A5" w14:textId="77777777" w:rsidR="00113E1C" w:rsidRPr="0067507D" w:rsidRDefault="1BCD0F5B" w:rsidP="21264DBD">
            <w:pPr>
              <w:pStyle w:val="Tabletext"/>
            </w:pPr>
            <w:r w:rsidRPr="0067507D">
              <w:t>Number of claims exceeding 13 weeks</w:t>
            </w:r>
          </w:p>
        </w:tc>
        <w:tc>
          <w:tcPr>
            <w:tcW w:w="1980" w:type="dxa"/>
          </w:tcPr>
          <w:p w14:paraId="1B94E67E" w14:textId="5353B44F"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2165" w:type="dxa"/>
          </w:tcPr>
          <w:p w14:paraId="48D03C3A" w14:textId="06A58F6D" w:rsidR="21264DBD" w:rsidRPr="0067507D" w:rsidRDefault="21264DBD" w:rsidP="00A101E9">
            <w:pPr>
              <w:pStyle w:val="Tabletext"/>
              <w:rPr>
                <w:rFonts w:eastAsia="VIC"/>
              </w:rPr>
            </w:pPr>
            <w:r w:rsidRPr="0067507D">
              <w:rPr>
                <w:rFonts w:eastAsia="VIC"/>
              </w:rPr>
              <w:t>1</w:t>
            </w:r>
            <w:r w:rsidRPr="0067507D">
              <w:rPr>
                <w:rFonts w:ascii="Calibri" w:eastAsia="VIC" w:hAnsi="Calibri" w:cs="Calibri"/>
              </w:rPr>
              <w:t> </w:t>
            </w:r>
          </w:p>
        </w:tc>
        <w:tc>
          <w:tcPr>
            <w:tcW w:w="1975" w:type="dxa"/>
          </w:tcPr>
          <w:p w14:paraId="557EC66C" w14:textId="735CA74C" w:rsidR="21264DBD" w:rsidRPr="0067507D" w:rsidRDefault="21264DBD" w:rsidP="00A101E9">
            <w:pPr>
              <w:pStyle w:val="Tabletext"/>
              <w:rPr>
                <w:rFonts w:eastAsia="VIC"/>
              </w:rPr>
            </w:pPr>
            <w:r w:rsidRPr="0067507D">
              <w:rPr>
                <w:rFonts w:eastAsia="VIC"/>
              </w:rPr>
              <w:t>1</w:t>
            </w:r>
          </w:p>
        </w:tc>
      </w:tr>
      <w:tr w:rsidR="00113E1C" w:rsidRPr="0067507D" w14:paraId="3AFDA69A" w14:textId="69A49461" w:rsidTr="006B6B67">
        <w:trPr>
          <w:cantSplit/>
        </w:trPr>
        <w:tc>
          <w:tcPr>
            <w:tcW w:w="1260" w:type="dxa"/>
            <w:vMerge/>
          </w:tcPr>
          <w:p w14:paraId="420BAA75"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549710DC" w14:textId="77777777" w:rsidR="00113E1C" w:rsidRPr="0067507D" w:rsidRDefault="1BCD0F5B" w:rsidP="21264DBD">
            <w:pPr>
              <w:pStyle w:val="Tabletext"/>
            </w:pPr>
            <w:r w:rsidRPr="0067507D">
              <w:t xml:space="preserve">Rate per 100 FTE </w:t>
            </w:r>
          </w:p>
        </w:tc>
        <w:tc>
          <w:tcPr>
            <w:tcW w:w="1980" w:type="dxa"/>
          </w:tcPr>
          <w:p w14:paraId="5C3B62E5" w14:textId="17DEA4E5"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2165" w:type="dxa"/>
          </w:tcPr>
          <w:p w14:paraId="4FBEBBB1" w14:textId="74ABC45C" w:rsidR="21264DBD" w:rsidRPr="0067507D" w:rsidRDefault="21264DBD" w:rsidP="00A101E9">
            <w:pPr>
              <w:pStyle w:val="Tabletext"/>
              <w:rPr>
                <w:rFonts w:eastAsia="VIC"/>
              </w:rPr>
            </w:pPr>
            <w:r w:rsidRPr="0067507D">
              <w:rPr>
                <w:rFonts w:eastAsia="VIC"/>
              </w:rPr>
              <w:t>0.15 (FTE 654)</w:t>
            </w:r>
            <w:r w:rsidRPr="0067507D">
              <w:rPr>
                <w:rFonts w:ascii="Calibri" w:eastAsia="VIC" w:hAnsi="Calibri" w:cs="Calibri"/>
              </w:rPr>
              <w:t> </w:t>
            </w:r>
          </w:p>
        </w:tc>
        <w:tc>
          <w:tcPr>
            <w:tcW w:w="1975" w:type="dxa"/>
          </w:tcPr>
          <w:p w14:paraId="0615D1B1" w14:textId="09B725DE" w:rsidR="21264DBD" w:rsidRPr="0067507D" w:rsidRDefault="21264DBD" w:rsidP="00A101E9">
            <w:pPr>
              <w:pStyle w:val="Tabletext"/>
              <w:rPr>
                <w:rFonts w:eastAsia="VIC"/>
              </w:rPr>
            </w:pPr>
            <w:r w:rsidRPr="0067507D">
              <w:rPr>
                <w:rFonts w:eastAsia="VIC"/>
              </w:rPr>
              <w:t>0.15 (FTE 664)</w:t>
            </w:r>
          </w:p>
        </w:tc>
      </w:tr>
      <w:tr w:rsidR="00113E1C" w:rsidRPr="0067507D" w14:paraId="323D3535" w14:textId="5819F571" w:rsidTr="006B6B67">
        <w:trPr>
          <w:cantSplit/>
        </w:trPr>
        <w:tc>
          <w:tcPr>
            <w:tcW w:w="1260" w:type="dxa"/>
            <w:vMerge/>
            <w:hideMark/>
          </w:tcPr>
          <w:p w14:paraId="2FED46CD"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3CC1ECAE" w14:textId="77777777" w:rsidR="00113E1C" w:rsidRPr="0067507D" w:rsidRDefault="1BCD0F5B" w:rsidP="21264DBD">
            <w:pPr>
              <w:pStyle w:val="Tabletext"/>
            </w:pPr>
            <w:r w:rsidRPr="0067507D">
              <w:t>No. of claims at 26 weeks</w:t>
            </w:r>
          </w:p>
        </w:tc>
        <w:tc>
          <w:tcPr>
            <w:tcW w:w="1980" w:type="dxa"/>
          </w:tcPr>
          <w:p w14:paraId="15584442" w14:textId="377B956F"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2165" w:type="dxa"/>
          </w:tcPr>
          <w:p w14:paraId="13521C04" w14:textId="0EBE18A0" w:rsidR="21264DBD" w:rsidRPr="0067507D" w:rsidRDefault="21264DBD" w:rsidP="00A101E9">
            <w:pPr>
              <w:pStyle w:val="Tabletext"/>
              <w:rPr>
                <w:rFonts w:eastAsia="VIC"/>
              </w:rPr>
            </w:pPr>
            <w:r w:rsidRPr="0067507D">
              <w:rPr>
                <w:rFonts w:eastAsia="VIC"/>
              </w:rPr>
              <w:t>1</w:t>
            </w:r>
            <w:r w:rsidRPr="0067507D">
              <w:rPr>
                <w:rFonts w:ascii="Calibri" w:eastAsia="VIC" w:hAnsi="Calibri" w:cs="Calibri"/>
              </w:rPr>
              <w:t> </w:t>
            </w:r>
          </w:p>
        </w:tc>
        <w:tc>
          <w:tcPr>
            <w:tcW w:w="1975" w:type="dxa"/>
          </w:tcPr>
          <w:p w14:paraId="359C511B" w14:textId="091E16A0" w:rsidR="21264DBD" w:rsidRPr="0067507D" w:rsidRDefault="21264DBD" w:rsidP="00A101E9">
            <w:pPr>
              <w:pStyle w:val="Tabletext"/>
              <w:rPr>
                <w:rFonts w:eastAsia="VIC"/>
              </w:rPr>
            </w:pPr>
            <w:r w:rsidRPr="0067507D">
              <w:rPr>
                <w:rFonts w:eastAsia="VIC"/>
              </w:rPr>
              <w:t>1</w:t>
            </w:r>
          </w:p>
        </w:tc>
      </w:tr>
      <w:tr w:rsidR="00113E1C" w:rsidRPr="0067507D" w14:paraId="7A83F109" w14:textId="129774B6" w:rsidTr="006B6B67">
        <w:trPr>
          <w:cantSplit/>
        </w:trPr>
        <w:tc>
          <w:tcPr>
            <w:tcW w:w="1260" w:type="dxa"/>
            <w:vMerge/>
            <w:hideMark/>
          </w:tcPr>
          <w:p w14:paraId="712EEF78"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30A5B7CB" w14:textId="77777777" w:rsidR="00113E1C" w:rsidRPr="0067507D" w:rsidRDefault="1BCD0F5B" w:rsidP="21264DBD">
            <w:pPr>
              <w:pStyle w:val="Tabletext"/>
            </w:pPr>
            <w:r w:rsidRPr="0067507D">
              <w:t>Percentage of claims at 26</w:t>
            </w:r>
            <w:r w:rsidRPr="0067507D">
              <w:rPr>
                <w:rFonts w:ascii="Calibri" w:hAnsi="Calibri" w:cs="Calibri"/>
              </w:rPr>
              <w:t> </w:t>
            </w:r>
            <w:r w:rsidRPr="0067507D">
              <w:t>weeks against total number of claims</w:t>
            </w:r>
          </w:p>
        </w:tc>
        <w:tc>
          <w:tcPr>
            <w:tcW w:w="1980" w:type="dxa"/>
          </w:tcPr>
          <w:p w14:paraId="54BA4AE0" w14:textId="159D26EF"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2165" w:type="dxa"/>
          </w:tcPr>
          <w:p w14:paraId="2E0DB101" w14:textId="249F4796" w:rsidR="21264DBD" w:rsidRPr="0067507D" w:rsidRDefault="21264DBD" w:rsidP="00A101E9">
            <w:pPr>
              <w:pStyle w:val="Tabletext"/>
              <w:rPr>
                <w:rFonts w:eastAsia="VIC"/>
              </w:rPr>
            </w:pPr>
            <w:r w:rsidRPr="0067507D">
              <w:rPr>
                <w:rFonts w:eastAsia="VIC"/>
              </w:rPr>
              <w:t>100</w:t>
            </w:r>
            <w:r w:rsidRPr="0067507D">
              <w:rPr>
                <w:rFonts w:ascii="Calibri" w:eastAsia="VIC" w:hAnsi="Calibri" w:cs="Calibri"/>
              </w:rPr>
              <w:t> </w:t>
            </w:r>
          </w:p>
        </w:tc>
        <w:tc>
          <w:tcPr>
            <w:tcW w:w="1975" w:type="dxa"/>
          </w:tcPr>
          <w:p w14:paraId="04C74C55" w14:textId="1BAD371C" w:rsidR="21264DBD" w:rsidRPr="0067507D" w:rsidRDefault="21264DBD" w:rsidP="00A101E9">
            <w:pPr>
              <w:pStyle w:val="Tabletext"/>
              <w:rPr>
                <w:rFonts w:eastAsia="VIC"/>
              </w:rPr>
            </w:pPr>
            <w:r w:rsidRPr="0067507D">
              <w:rPr>
                <w:rFonts w:eastAsia="VIC"/>
              </w:rPr>
              <w:t>50</w:t>
            </w:r>
          </w:p>
        </w:tc>
      </w:tr>
      <w:tr w:rsidR="00113E1C" w:rsidRPr="0067507D" w14:paraId="261E9790" w14:textId="019C9B80" w:rsidTr="006B6B67">
        <w:trPr>
          <w:cantSplit/>
        </w:trPr>
        <w:tc>
          <w:tcPr>
            <w:tcW w:w="1260" w:type="dxa"/>
            <w:hideMark/>
          </w:tcPr>
          <w:p w14:paraId="32C2DB75" w14:textId="77777777" w:rsidR="00113E1C" w:rsidRPr="0067507D" w:rsidRDefault="1BCD0F5B" w:rsidP="21264DBD">
            <w:pPr>
              <w:pStyle w:val="Tabletext"/>
            </w:pPr>
            <w:r w:rsidRPr="0067507D">
              <w:t>Fatalities</w:t>
            </w:r>
          </w:p>
        </w:tc>
        <w:tc>
          <w:tcPr>
            <w:tcW w:w="2250" w:type="dxa"/>
            <w:shd w:val="clear" w:color="auto" w:fill="D9D9D9" w:themeFill="background1" w:themeFillShade="D9"/>
            <w:hideMark/>
          </w:tcPr>
          <w:p w14:paraId="7869F4A3" w14:textId="77777777" w:rsidR="00113E1C" w:rsidRPr="0067507D" w:rsidRDefault="1BCD0F5B" w:rsidP="21264DBD">
            <w:pPr>
              <w:pStyle w:val="Tabletext"/>
            </w:pPr>
            <w:r w:rsidRPr="0067507D">
              <w:t>Fatality claims</w:t>
            </w:r>
          </w:p>
        </w:tc>
        <w:tc>
          <w:tcPr>
            <w:tcW w:w="1980" w:type="dxa"/>
          </w:tcPr>
          <w:p w14:paraId="6A36B1DD" w14:textId="34A47B50"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2165" w:type="dxa"/>
          </w:tcPr>
          <w:p w14:paraId="075BA459" w14:textId="2E8C19DB" w:rsidR="21264DBD" w:rsidRPr="0067507D" w:rsidRDefault="21264DBD" w:rsidP="00A101E9">
            <w:pPr>
              <w:pStyle w:val="Tabletext"/>
              <w:rPr>
                <w:rFonts w:eastAsia="VIC"/>
              </w:rPr>
            </w:pPr>
            <w:r w:rsidRPr="0067507D">
              <w:rPr>
                <w:rFonts w:eastAsia="VIC"/>
              </w:rPr>
              <w:t>0</w:t>
            </w:r>
            <w:r w:rsidRPr="0067507D">
              <w:rPr>
                <w:rFonts w:ascii="Calibri" w:eastAsia="VIC" w:hAnsi="Calibri" w:cs="Calibri"/>
              </w:rPr>
              <w:t> </w:t>
            </w:r>
          </w:p>
        </w:tc>
        <w:tc>
          <w:tcPr>
            <w:tcW w:w="1975" w:type="dxa"/>
          </w:tcPr>
          <w:p w14:paraId="0486BA65" w14:textId="46BEBBF5" w:rsidR="21264DBD" w:rsidRPr="0067507D" w:rsidRDefault="21264DBD" w:rsidP="00A101E9">
            <w:pPr>
              <w:pStyle w:val="Tabletext"/>
              <w:rPr>
                <w:rFonts w:eastAsia="VIC"/>
              </w:rPr>
            </w:pPr>
            <w:r w:rsidRPr="0067507D">
              <w:rPr>
                <w:rFonts w:eastAsia="VIC"/>
              </w:rPr>
              <w:t>0</w:t>
            </w:r>
          </w:p>
        </w:tc>
      </w:tr>
      <w:tr w:rsidR="00113E1C" w:rsidRPr="0067507D" w14:paraId="754737FF" w14:textId="34AA686A" w:rsidTr="006B6B67">
        <w:trPr>
          <w:cantSplit/>
        </w:trPr>
        <w:tc>
          <w:tcPr>
            <w:tcW w:w="1260" w:type="dxa"/>
          </w:tcPr>
          <w:p w14:paraId="7EA923C2" w14:textId="77777777" w:rsidR="00113E1C" w:rsidRPr="0067507D" w:rsidRDefault="1BCD0F5B" w:rsidP="21264DBD">
            <w:pPr>
              <w:pStyle w:val="Tabletext"/>
            </w:pPr>
            <w:r w:rsidRPr="0067507D">
              <w:t>Claim costs</w:t>
            </w:r>
          </w:p>
        </w:tc>
        <w:tc>
          <w:tcPr>
            <w:tcW w:w="2250" w:type="dxa"/>
            <w:shd w:val="clear" w:color="auto" w:fill="D9D9D9" w:themeFill="background1" w:themeFillShade="D9"/>
          </w:tcPr>
          <w:p w14:paraId="39CDCF60" w14:textId="63A91A0E" w:rsidR="00113E1C" w:rsidRPr="0067507D" w:rsidRDefault="1BCD0F5B" w:rsidP="21264DBD">
            <w:pPr>
              <w:pStyle w:val="Tabletext"/>
            </w:pPr>
            <w:r w:rsidRPr="0067507D">
              <w:t>Average cost per standard</w:t>
            </w:r>
            <w:r w:rsidRPr="0067507D">
              <w:rPr>
                <w:rFonts w:ascii="Calibri" w:hAnsi="Calibri"/>
              </w:rPr>
              <w:t> </w:t>
            </w:r>
            <w:r w:rsidRPr="0067507D">
              <w:t>claim</w:t>
            </w:r>
            <w:r w:rsidR="5F77E22B" w:rsidRPr="0067507D">
              <w:t xml:space="preserve"> </w:t>
            </w:r>
            <w:r w:rsidRPr="0067507D">
              <w:rPr>
                <w:vertAlign w:val="superscript"/>
              </w:rPr>
              <w:t>(</w:t>
            </w:r>
            <w:r w:rsidR="3FB1F1D7" w:rsidRPr="0067507D">
              <w:rPr>
                <w:vertAlign w:val="superscript"/>
              </w:rPr>
              <w:t>c</w:t>
            </w:r>
            <w:r w:rsidRPr="0067507D">
              <w:rPr>
                <w:vertAlign w:val="superscript"/>
              </w:rPr>
              <w:t>)</w:t>
            </w:r>
          </w:p>
        </w:tc>
        <w:tc>
          <w:tcPr>
            <w:tcW w:w="1980" w:type="dxa"/>
          </w:tcPr>
          <w:p w14:paraId="4A380D1F" w14:textId="2B07F10B" w:rsidR="21264DBD" w:rsidRPr="0067507D" w:rsidRDefault="21264DBD" w:rsidP="00A101E9">
            <w:pPr>
              <w:pStyle w:val="Tabletext"/>
              <w:rPr>
                <w:rFonts w:eastAsia="VIC"/>
              </w:rPr>
            </w:pPr>
            <w:r w:rsidRPr="0067507D">
              <w:rPr>
                <w:rFonts w:eastAsia="VIC"/>
              </w:rPr>
              <w:t>$300</w:t>
            </w:r>
            <w:r w:rsidRPr="0067507D">
              <w:rPr>
                <w:rFonts w:ascii="Calibri" w:eastAsia="VIC" w:hAnsi="Calibri" w:cs="Calibri"/>
              </w:rPr>
              <w:t> </w:t>
            </w:r>
          </w:p>
        </w:tc>
        <w:tc>
          <w:tcPr>
            <w:tcW w:w="2165" w:type="dxa"/>
          </w:tcPr>
          <w:p w14:paraId="51945CC6" w14:textId="37E0C46A" w:rsidR="21264DBD" w:rsidRPr="0067507D" w:rsidRDefault="21264DBD" w:rsidP="00A101E9">
            <w:pPr>
              <w:pStyle w:val="Tabletext"/>
              <w:rPr>
                <w:rFonts w:eastAsia="VIC"/>
              </w:rPr>
            </w:pPr>
            <w:r w:rsidRPr="0067507D">
              <w:rPr>
                <w:rFonts w:eastAsia="VIC"/>
              </w:rPr>
              <w:t>$479</w:t>
            </w:r>
            <w:r w:rsidRPr="0067507D">
              <w:rPr>
                <w:rFonts w:ascii="Calibri" w:eastAsia="VIC" w:hAnsi="Calibri" w:cs="Calibri"/>
              </w:rPr>
              <w:t> </w:t>
            </w:r>
            <w:r w:rsidRPr="0067507D">
              <w:rPr>
                <w:rFonts w:eastAsia="VIC"/>
              </w:rPr>
              <w:t>000</w:t>
            </w:r>
          </w:p>
        </w:tc>
        <w:tc>
          <w:tcPr>
            <w:tcW w:w="1975" w:type="dxa"/>
          </w:tcPr>
          <w:p w14:paraId="5AD03E25" w14:textId="1071841C" w:rsidR="21264DBD" w:rsidRPr="0067507D" w:rsidRDefault="21264DBD" w:rsidP="00A101E9">
            <w:pPr>
              <w:pStyle w:val="Tabletext"/>
              <w:rPr>
                <w:rFonts w:eastAsia="VIC"/>
              </w:rPr>
            </w:pPr>
            <w:r w:rsidRPr="0067507D">
              <w:rPr>
                <w:rFonts w:eastAsia="VIC"/>
              </w:rPr>
              <w:t>$163</w:t>
            </w:r>
            <w:r w:rsidR="00BA21DD" w:rsidRPr="0067507D">
              <w:rPr>
                <w:rFonts w:ascii="Calibri" w:eastAsia="VIC" w:hAnsi="Calibri" w:cs="Calibri"/>
              </w:rPr>
              <w:t> </w:t>
            </w:r>
            <w:r w:rsidRPr="0067507D">
              <w:rPr>
                <w:rFonts w:eastAsia="VIC"/>
              </w:rPr>
              <w:t>6</w:t>
            </w:r>
            <w:r w:rsidR="00206090" w:rsidRPr="0067507D">
              <w:rPr>
                <w:rFonts w:eastAsia="VIC"/>
              </w:rPr>
              <w:t>30</w:t>
            </w:r>
          </w:p>
        </w:tc>
      </w:tr>
      <w:tr w:rsidR="0014102E" w:rsidRPr="0067507D" w14:paraId="57863D84" w14:textId="3533A49E" w:rsidTr="006B6B67">
        <w:trPr>
          <w:cantSplit/>
        </w:trPr>
        <w:tc>
          <w:tcPr>
            <w:tcW w:w="1260" w:type="dxa"/>
            <w:vMerge w:val="restart"/>
          </w:tcPr>
          <w:p w14:paraId="483C2759" w14:textId="77777777" w:rsidR="0014102E" w:rsidRPr="0067507D" w:rsidRDefault="11E91263" w:rsidP="21264DBD">
            <w:pPr>
              <w:pStyle w:val="Tabletext"/>
            </w:pPr>
            <w:r w:rsidRPr="0067507D">
              <w:t>Absenteeism</w:t>
            </w:r>
          </w:p>
        </w:tc>
        <w:tc>
          <w:tcPr>
            <w:tcW w:w="2250" w:type="dxa"/>
            <w:shd w:val="clear" w:color="auto" w:fill="D9D9D9" w:themeFill="background1" w:themeFillShade="D9"/>
          </w:tcPr>
          <w:p w14:paraId="46BE68F5" w14:textId="77777777" w:rsidR="0014102E" w:rsidRPr="0067507D" w:rsidRDefault="11E91263" w:rsidP="21264DBD">
            <w:pPr>
              <w:pStyle w:val="Tabletext"/>
            </w:pPr>
            <w:r w:rsidRPr="0067507D">
              <w:t>No. of days absent due to</w:t>
            </w:r>
            <w:r w:rsidRPr="0067507D">
              <w:rPr>
                <w:rFonts w:ascii="Calibri" w:hAnsi="Calibri"/>
              </w:rPr>
              <w:t> </w:t>
            </w:r>
            <w:r w:rsidRPr="0067507D">
              <w:t>sickness</w:t>
            </w:r>
          </w:p>
        </w:tc>
        <w:tc>
          <w:tcPr>
            <w:tcW w:w="1980" w:type="dxa"/>
          </w:tcPr>
          <w:p w14:paraId="7B96C1BF" w14:textId="2DC5D98B" w:rsidR="21264DBD" w:rsidRPr="0067507D" w:rsidRDefault="21264DBD" w:rsidP="00A101E9">
            <w:pPr>
              <w:pStyle w:val="Tabletext"/>
              <w:rPr>
                <w:rFonts w:eastAsia="VIC"/>
              </w:rPr>
            </w:pPr>
            <w:r w:rsidRPr="0067507D">
              <w:rPr>
                <w:rFonts w:eastAsia="VIC"/>
              </w:rPr>
              <w:t>2 126</w:t>
            </w:r>
            <w:r w:rsidRPr="0067507D">
              <w:rPr>
                <w:rFonts w:ascii="Calibri" w:eastAsia="VIC" w:hAnsi="Calibri" w:cs="Calibri"/>
              </w:rPr>
              <w:t> </w:t>
            </w:r>
          </w:p>
        </w:tc>
        <w:tc>
          <w:tcPr>
            <w:tcW w:w="2165" w:type="dxa"/>
          </w:tcPr>
          <w:p w14:paraId="5F9AC2D8" w14:textId="617C3057" w:rsidR="21264DBD" w:rsidRPr="0067507D" w:rsidRDefault="21264DBD" w:rsidP="00A101E9">
            <w:pPr>
              <w:pStyle w:val="Tabletext"/>
              <w:rPr>
                <w:rFonts w:eastAsia="VIC"/>
              </w:rPr>
            </w:pPr>
            <w:r w:rsidRPr="0067507D">
              <w:rPr>
                <w:rFonts w:eastAsia="VIC"/>
              </w:rPr>
              <w:t>2 326</w:t>
            </w:r>
            <w:r w:rsidRPr="0067507D">
              <w:rPr>
                <w:rFonts w:ascii="Calibri" w:eastAsia="VIC" w:hAnsi="Calibri" w:cs="Calibri"/>
              </w:rPr>
              <w:t> </w:t>
            </w:r>
          </w:p>
        </w:tc>
        <w:tc>
          <w:tcPr>
            <w:tcW w:w="1975" w:type="dxa"/>
          </w:tcPr>
          <w:p w14:paraId="756422C6" w14:textId="3B61193F" w:rsidR="21264DBD" w:rsidRPr="0067507D" w:rsidRDefault="21264DBD" w:rsidP="00A101E9">
            <w:pPr>
              <w:pStyle w:val="Tabletext"/>
              <w:rPr>
                <w:rFonts w:eastAsia="VIC"/>
              </w:rPr>
            </w:pPr>
            <w:r w:rsidRPr="0067507D">
              <w:rPr>
                <w:rFonts w:eastAsia="VIC"/>
              </w:rPr>
              <w:t>3 183</w:t>
            </w:r>
          </w:p>
        </w:tc>
      </w:tr>
      <w:tr w:rsidR="0014102E" w:rsidRPr="0067507D" w14:paraId="47317309" w14:textId="483EA5A4" w:rsidTr="006B6B67">
        <w:trPr>
          <w:cantSplit/>
        </w:trPr>
        <w:tc>
          <w:tcPr>
            <w:tcW w:w="1260" w:type="dxa"/>
            <w:vMerge/>
          </w:tcPr>
          <w:p w14:paraId="53F2C387" w14:textId="77777777" w:rsidR="0014102E" w:rsidRPr="0067507D" w:rsidRDefault="0014102E" w:rsidP="0014102E">
            <w:pPr>
              <w:pStyle w:val="Tabletext"/>
              <w:rPr>
                <w:highlight w:val="yellow"/>
              </w:rPr>
            </w:pPr>
          </w:p>
        </w:tc>
        <w:tc>
          <w:tcPr>
            <w:tcW w:w="2250" w:type="dxa"/>
            <w:shd w:val="clear" w:color="auto" w:fill="D9D9D9" w:themeFill="background1" w:themeFillShade="D9"/>
          </w:tcPr>
          <w:p w14:paraId="2343E2F8" w14:textId="77777777" w:rsidR="0014102E" w:rsidRPr="0067507D" w:rsidRDefault="11E91263" w:rsidP="21264DBD">
            <w:pPr>
              <w:pStyle w:val="Tabletext"/>
            </w:pPr>
            <w:r w:rsidRPr="0067507D">
              <w:t>Rate per 100 FTE</w:t>
            </w:r>
          </w:p>
        </w:tc>
        <w:tc>
          <w:tcPr>
            <w:tcW w:w="1980" w:type="dxa"/>
          </w:tcPr>
          <w:p w14:paraId="336CE8AC" w14:textId="45584FBA" w:rsidR="21264DBD" w:rsidRPr="0067507D" w:rsidRDefault="21264DBD" w:rsidP="00A101E9">
            <w:pPr>
              <w:pStyle w:val="Tabletext"/>
              <w:rPr>
                <w:rFonts w:eastAsia="VIC"/>
              </w:rPr>
            </w:pPr>
            <w:r w:rsidRPr="0067507D">
              <w:rPr>
                <w:rFonts w:eastAsia="VIC"/>
              </w:rPr>
              <w:t xml:space="preserve">366.37 </w:t>
            </w:r>
            <w:r w:rsidRPr="0067507D">
              <w:br/>
            </w:r>
            <w:r w:rsidRPr="0067507D">
              <w:rPr>
                <w:rFonts w:eastAsia="VIC"/>
              </w:rPr>
              <w:t>(based on FTE</w:t>
            </w:r>
            <w:r w:rsidRPr="0067507D">
              <w:rPr>
                <w:rFonts w:ascii="Calibri" w:eastAsia="VIC" w:hAnsi="Calibri" w:cs="Calibri"/>
              </w:rPr>
              <w:t> </w:t>
            </w:r>
            <w:r w:rsidRPr="0067507D">
              <w:rPr>
                <w:rFonts w:eastAsia="VIC"/>
              </w:rPr>
              <w:t>580.50)</w:t>
            </w:r>
            <w:r w:rsidRPr="0067507D">
              <w:rPr>
                <w:rFonts w:ascii="Calibri" w:eastAsia="VIC" w:hAnsi="Calibri" w:cs="Calibri"/>
              </w:rPr>
              <w:t> </w:t>
            </w:r>
          </w:p>
        </w:tc>
        <w:tc>
          <w:tcPr>
            <w:tcW w:w="2165" w:type="dxa"/>
          </w:tcPr>
          <w:p w14:paraId="5CEDA967" w14:textId="007F5034" w:rsidR="21264DBD" w:rsidRPr="0067507D" w:rsidRDefault="21264DBD" w:rsidP="00A101E9">
            <w:pPr>
              <w:pStyle w:val="Tabletext"/>
              <w:rPr>
                <w:rFonts w:eastAsia="VIC"/>
              </w:rPr>
            </w:pPr>
            <w:r w:rsidRPr="0067507D">
              <w:rPr>
                <w:rFonts w:eastAsia="VIC"/>
              </w:rPr>
              <w:t>355.4</w:t>
            </w:r>
            <w:r w:rsidR="00C81735" w:rsidRPr="0067507D">
              <w:rPr>
                <w:rFonts w:eastAsia="VIC"/>
              </w:rPr>
              <w:t xml:space="preserve"> </w:t>
            </w:r>
            <w:r w:rsidRPr="0067507D">
              <w:br/>
            </w:r>
            <w:r w:rsidRPr="0067507D">
              <w:rPr>
                <w:rFonts w:eastAsia="VIC"/>
              </w:rPr>
              <w:t>(based on FTE 654.29)</w:t>
            </w:r>
            <w:r w:rsidRPr="0067507D">
              <w:rPr>
                <w:rFonts w:ascii="Calibri" w:eastAsia="VIC" w:hAnsi="Calibri" w:cs="Calibri"/>
              </w:rPr>
              <w:t> </w:t>
            </w:r>
          </w:p>
        </w:tc>
        <w:tc>
          <w:tcPr>
            <w:tcW w:w="1975" w:type="dxa"/>
          </w:tcPr>
          <w:p w14:paraId="3F11C753" w14:textId="1006E9A6" w:rsidR="21264DBD" w:rsidRPr="0067507D" w:rsidRDefault="21264DBD" w:rsidP="00A101E9">
            <w:pPr>
              <w:pStyle w:val="Tabletext"/>
              <w:rPr>
                <w:rFonts w:eastAsia="VIC"/>
              </w:rPr>
            </w:pPr>
            <w:r w:rsidRPr="0067507D">
              <w:rPr>
                <w:rFonts w:eastAsia="VIC"/>
              </w:rPr>
              <w:t>479.37</w:t>
            </w:r>
            <w:r w:rsidR="00C81735" w:rsidRPr="0067507D">
              <w:rPr>
                <w:rFonts w:eastAsia="VIC"/>
              </w:rPr>
              <w:t xml:space="preserve"> </w:t>
            </w:r>
            <w:r w:rsidR="0020442B" w:rsidRPr="0067507D">
              <w:rPr>
                <w:rFonts w:eastAsia="VIC"/>
              </w:rPr>
              <w:br/>
            </w:r>
            <w:r w:rsidRPr="0067507D">
              <w:rPr>
                <w:rFonts w:eastAsia="VIC"/>
              </w:rPr>
              <w:t>(based on FTE 664)</w:t>
            </w:r>
          </w:p>
        </w:tc>
      </w:tr>
      <w:tr w:rsidR="00113E1C" w:rsidRPr="0067507D" w14:paraId="45D79906" w14:textId="56063962" w:rsidTr="006B6B67">
        <w:trPr>
          <w:cantSplit/>
        </w:trPr>
        <w:tc>
          <w:tcPr>
            <w:tcW w:w="1260" w:type="dxa"/>
            <w:hideMark/>
          </w:tcPr>
          <w:p w14:paraId="4F170725" w14:textId="77777777" w:rsidR="00113E1C" w:rsidRPr="0067507D" w:rsidRDefault="1BCD0F5B" w:rsidP="21264DBD">
            <w:pPr>
              <w:pStyle w:val="Tabletext"/>
            </w:pPr>
            <w:r w:rsidRPr="0067507D">
              <w:t>Return to work</w:t>
            </w:r>
          </w:p>
        </w:tc>
        <w:tc>
          <w:tcPr>
            <w:tcW w:w="2250" w:type="dxa"/>
            <w:shd w:val="clear" w:color="auto" w:fill="D9D9D9" w:themeFill="background1" w:themeFillShade="D9"/>
            <w:hideMark/>
          </w:tcPr>
          <w:p w14:paraId="4179FF57" w14:textId="2A02DD5D" w:rsidR="00113E1C" w:rsidRPr="0067507D" w:rsidRDefault="1BCD0F5B" w:rsidP="21264DBD">
            <w:pPr>
              <w:pStyle w:val="Tabletext"/>
            </w:pPr>
            <w:r w:rsidRPr="0067507D">
              <w:t>Percentage of claims with return</w:t>
            </w:r>
            <w:r w:rsidR="006A5485">
              <w:noBreakHyphen/>
            </w:r>
            <w:r w:rsidRPr="0067507D">
              <w:t>to</w:t>
            </w:r>
            <w:r w:rsidR="006A5485">
              <w:noBreakHyphen/>
            </w:r>
            <w:r w:rsidRPr="0067507D">
              <w:t>work plan &lt;30</w:t>
            </w:r>
            <w:r w:rsidR="02039550" w:rsidRPr="0067507D">
              <w:rPr>
                <w:rFonts w:ascii="Calibri" w:hAnsi="Calibri" w:cs="Calibri"/>
              </w:rPr>
              <w:t> </w:t>
            </w:r>
            <w:r w:rsidRPr="0067507D">
              <w:t>days</w:t>
            </w:r>
          </w:p>
        </w:tc>
        <w:tc>
          <w:tcPr>
            <w:tcW w:w="1980" w:type="dxa"/>
          </w:tcPr>
          <w:p w14:paraId="68A02051" w14:textId="30898D6A" w:rsidR="21264DBD" w:rsidRPr="0067507D" w:rsidRDefault="21264DBD" w:rsidP="00A101E9">
            <w:pPr>
              <w:pStyle w:val="Tabletext"/>
              <w:rPr>
                <w:rFonts w:eastAsia="VIC"/>
              </w:rPr>
            </w:pPr>
            <w:r w:rsidRPr="0067507D">
              <w:rPr>
                <w:rFonts w:eastAsia="VIC"/>
              </w:rPr>
              <w:t>1</w:t>
            </w:r>
          </w:p>
        </w:tc>
        <w:tc>
          <w:tcPr>
            <w:tcW w:w="2165" w:type="dxa"/>
          </w:tcPr>
          <w:p w14:paraId="499BCB08" w14:textId="78647780" w:rsidR="21264DBD" w:rsidRPr="0067507D" w:rsidRDefault="21264DBD" w:rsidP="00A101E9">
            <w:pPr>
              <w:pStyle w:val="Tabletext"/>
              <w:rPr>
                <w:rFonts w:eastAsia="VIC"/>
              </w:rPr>
            </w:pPr>
            <w:r w:rsidRPr="0067507D">
              <w:rPr>
                <w:rFonts w:eastAsia="VIC"/>
              </w:rPr>
              <w:t>100</w:t>
            </w:r>
            <w:r w:rsidRPr="0067507D">
              <w:rPr>
                <w:rFonts w:ascii="Calibri" w:eastAsia="VIC" w:hAnsi="Calibri" w:cs="Calibri"/>
              </w:rPr>
              <w:t> </w:t>
            </w:r>
          </w:p>
        </w:tc>
        <w:tc>
          <w:tcPr>
            <w:tcW w:w="1975" w:type="dxa"/>
          </w:tcPr>
          <w:p w14:paraId="275ED620" w14:textId="36BC23FD" w:rsidR="21264DBD" w:rsidRPr="0067507D" w:rsidRDefault="21264DBD" w:rsidP="00A101E9">
            <w:pPr>
              <w:pStyle w:val="Tabletext"/>
              <w:rPr>
                <w:rFonts w:eastAsia="VIC"/>
              </w:rPr>
            </w:pPr>
            <w:r w:rsidRPr="0067507D">
              <w:rPr>
                <w:rFonts w:eastAsia="VIC"/>
              </w:rPr>
              <w:t>0</w:t>
            </w:r>
          </w:p>
        </w:tc>
      </w:tr>
      <w:tr w:rsidR="00113E1C" w:rsidRPr="0067507D" w14:paraId="6C719F4B" w14:textId="3B5CDF71" w:rsidTr="006B6B67">
        <w:trPr>
          <w:cantSplit/>
        </w:trPr>
        <w:tc>
          <w:tcPr>
            <w:tcW w:w="1260" w:type="dxa"/>
            <w:vMerge w:val="restart"/>
          </w:tcPr>
          <w:p w14:paraId="7B165B02" w14:textId="77777777" w:rsidR="00113E1C" w:rsidRPr="0067507D" w:rsidRDefault="1BCD0F5B" w:rsidP="21264DBD">
            <w:pPr>
              <w:pStyle w:val="Tabletext"/>
            </w:pPr>
            <w:r w:rsidRPr="0067507D">
              <w:t>Legislative compliance</w:t>
            </w:r>
          </w:p>
        </w:tc>
        <w:tc>
          <w:tcPr>
            <w:tcW w:w="2250" w:type="dxa"/>
            <w:shd w:val="clear" w:color="auto" w:fill="D9D9D9" w:themeFill="background1" w:themeFillShade="D9"/>
          </w:tcPr>
          <w:p w14:paraId="23AE6825" w14:textId="77777777" w:rsidR="00113E1C" w:rsidRPr="0067507D" w:rsidRDefault="1BCD0F5B" w:rsidP="21264DBD">
            <w:pPr>
              <w:pStyle w:val="Tabletext"/>
            </w:pPr>
            <w:r w:rsidRPr="0067507D">
              <w:t>No. of WorkSafe Victoria Notices issued</w:t>
            </w:r>
          </w:p>
        </w:tc>
        <w:tc>
          <w:tcPr>
            <w:tcW w:w="1980" w:type="dxa"/>
          </w:tcPr>
          <w:p w14:paraId="416CDD06" w14:textId="2802DAD3" w:rsidR="21264DBD" w:rsidRPr="0067507D" w:rsidRDefault="21264DBD" w:rsidP="00A101E9">
            <w:pPr>
              <w:pStyle w:val="Tabletext"/>
              <w:rPr>
                <w:rFonts w:eastAsia="VIC"/>
              </w:rPr>
            </w:pPr>
            <w:r w:rsidRPr="0067507D">
              <w:rPr>
                <w:rFonts w:eastAsia="VIC"/>
              </w:rPr>
              <w:t>nil</w:t>
            </w:r>
          </w:p>
        </w:tc>
        <w:tc>
          <w:tcPr>
            <w:tcW w:w="2165" w:type="dxa"/>
          </w:tcPr>
          <w:p w14:paraId="742E10A6" w14:textId="109196CA" w:rsidR="21264DBD" w:rsidRPr="0067507D" w:rsidRDefault="21264DBD" w:rsidP="00A101E9">
            <w:pPr>
              <w:pStyle w:val="Tabletext"/>
              <w:rPr>
                <w:rFonts w:eastAsia="VIC"/>
              </w:rPr>
            </w:pPr>
            <w:r w:rsidRPr="0067507D">
              <w:rPr>
                <w:rFonts w:eastAsia="VIC"/>
              </w:rPr>
              <w:t>nil</w:t>
            </w:r>
          </w:p>
        </w:tc>
        <w:tc>
          <w:tcPr>
            <w:tcW w:w="1975" w:type="dxa"/>
          </w:tcPr>
          <w:p w14:paraId="25DC7FD1" w14:textId="02F4477D" w:rsidR="21264DBD" w:rsidRPr="0067507D" w:rsidRDefault="21264DBD" w:rsidP="00A101E9">
            <w:pPr>
              <w:pStyle w:val="Tabletext"/>
              <w:rPr>
                <w:rFonts w:eastAsia="VIC"/>
              </w:rPr>
            </w:pPr>
            <w:r w:rsidRPr="0067507D">
              <w:rPr>
                <w:rFonts w:eastAsia="VIC"/>
              </w:rPr>
              <w:t>nil</w:t>
            </w:r>
          </w:p>
        </w:tc>
      </w:tr>
      <w:tr w:rsidR="00113E1C" w:rsidRPr="0067507D" w14:paraId="11E63F7F" w14:textId="4F508563" w:rsidTr="006B6B67">
        <w:trPr>
          <w:cantSplit/>
        </w:trPr>
        <w:tc>
          <w:tcPr>
            <w:tcW w:w="1260" w:type="dxa"/>
            <w:vMerge/>
          </w:tcPr>
          <w:p w14:paraId="5DF8F49C"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32CCE1F5" w14:textId="77777777" w:rsidR="00113E1C" w:rsidRPr="0067507D" w:rsidRDefault="1BCD0F5B" w:rsidP="21264DBD">
            <w:pPr>
              <w:pStyle w:val="Tabletext"/>
            </w:pPr>
            <w:r w:rsidRPr="0067507D">
              <w:t>Rate of notices issued per inspector visit</w:t>
            </w:r>
          </w:p>
        </w:tc>
        <w:tc>
          <w:tcPr>
            <w:tcW w:w="1980" w:type="dxa"/>
          </w:tcPr>
          <w:p w14:paraId="375EF882" w14:textId="04324570" w:rsidR="21264DBD" w:rsidRPr="0067507D" w:rsidRDefault="21264DBD" w:rsidP="00A101E9">
            <w:pPr>
              <w:pStyle w:val="Tabletext"/>
              <w:rPr>
                <w:rFonts w:eastAsia="VIC"/>
              </w:rPr>
            </w:pPr>
            <w:r w:rsidRPr="0067507D">
              <w:rPr>
                <w:rFonts w:eastAsia="VIC"/>
              </w:rPr>
              <w:t xml:space="preserve">nil </w:t>
            </w:r>
            <w:r w:rsidR="00BA21DD" w:rsidRPr="0067507D">
              <w:rPr>
                <w:rFonts w:eastAsia="VIC"/>
              </w:rPr>
              <w:br/>
            </w:r>
            <w:r w:rsidRPr="0067507D">
              <w:rPr>
                <w:rFonts w:eastAsia="VIC"/>
              </w:rPr>
              <w:t>(no inspector visits)</w:t>
            </w:r>
            <w:r w:rsidRPr="0067507D">
              <w:rPr>
                <w:rFonts w:ascii="Calibri" w:eastAsia="VIC" w:hAnsi="Calibri" w:cs="Calibri"/>
              </w:rPr>
              <w:t> </w:t>
            </w:r>
          </w:p>
        </w:tc>
        <w:tc>
          <w:tcPr>
            <w:tcW w:w="2165" w:type="dxa"/>
          </w:tcPr>
          <w:p w14:paraId="208A7EA6" w14:textId="3C527775" w:rsidR="21264DBD" w:rsidRPr="0067507D" w:rsidRDefault="21264DBD" w:rsidP="00A101E9">
            <w:pPr>
              <w:pStyle w:val="Tabletext"/>
              <w:rPr>
                <w:rFonts w:eastAsia="VIC"/>
              </w:rPr>
            </w:pPr>
            <w:r w:rsidRPr="0067507D">
              <w:rPr>
                <w:rFonts w:eastAsia="VIC"/>
              </w:rPr>
              <w:t xml:space="preserve">nil </w:t>
            </w:r>
            <w:r w:rsidR="00BA21DD" w:rsidRPr="0067507D">
              <w:rPr>
                <w:rFonts w:eastAsia="VIC"/>
              </w:rPr>
              <w:br/>
            </w:r>
            <w:r w:rsidRPr="0067507D">
              <w:rPr>
                <w:rFonts w:eastAsia="VIC"/>
              </w:rPr>
              <w:t>(1 inspector visit, no PIN</w:t>
            </w:r>
            <w:r w:rsidR="00BA21DD" w:rsidRPr="0067507D">
              <w:rPr>
                <w:rFonts w:ascii="Calibri" w:eastAsia="VIC" w:hAnsi="Calibri" w:cs="Calibri"/>
              </w:rPr>
              <w:t> </w:t>
            </w:r>
            <w:r w:rsidRPr="0067507D">
              <w:rPr>
                <w:rFonts w:eastAsia="VIC"/>
              </w:rPr>
              <w:t>issued)</w:t>
            </w:r>
            <w:r w:rsidRPr="0067507D">
              <w:rPr>
                <w:rFonts w:ascii="Calibri" w:eastAsia="VIC" w:hAnsi="Calibri" w:cs="Calibri"/>
              </w:rPr>
              <w:t> </w:t>
            </w:r>
          </w:p>
        </w:tc>
        <w:tc>
          <w:tcPr>
            <w:tcW w:w="1975" w:type="dxa"/>
          </w:tcPr>
          <w:p w14:paraId="6B5860E8" w14:textId="42574B4A" w:rsidR="21264DBD" w:rsidRPr="0067507D" w:rsidRDefault="00BA21DD" w:rsidP="00A101E9">
            <w:pPr>
              <w:pStyle w:val="Tabletext"/>
              <w:rPr>
                <w:rFonts w:eastAsia="VIC"/>
              </w:rPr>
            </w:pPr>
            <w:r w:rsidRPr="0067507D">
              <w:rPr>
                <w:rFonts w:eastAsia="VIC"/>
              </w:rPr>
              <w:t xml:space="preserve">nil </w:t>
            </w:r>
            <w:r w:rsidRPr="0067507D">
              <w:rPr>
                <w:rFonts w:eastAsia="VIC"/>
              </w:rPr>
              <w:br/>
            </w:r>
            <w:r w:rsidR="21264DBD" w:rsidRPr="0067507D">
              <w:rPr>
                <w:rFonts w:eastAsia="VIC"/>
              </w:rPr>
              <w:t>(no inspector visits)</w:t>
            </w:r>
          </w:p>
        </w:tc>
      </w:tr>
      <w:tr w:rsidR="00113E1C" w:rsidRPr="0067507D" w14:paraId="42F85284" w14:textId="0D1EAC2E" w:rsidTr="006B6B67">
        <w:trPr>
          <w:cantSplit/>
        </w:trPr>
        <w:tc>
          <w:tcPr>
            <w:tcW w:w="1260" w:type="dxa"/>
            <w:vMerge/>
          </w:tcPr>
          <w:p w14:paraId="491E97DE"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35B50A59" w14:textId="77777777" w:rsidR="00113E1C" w:rsidRPr="0067507D" w:rsidRDefault="1BCD0F5B" w:rsidP="21264DBD">
            <w:pPr>
              <w:pStyle w:val="Tabletext"/>
            </w:pPr>
            <w:r w:rsidRPr="0067507D">
              <w:t>No. of prosecutions</w:t>
            </w:r>
          </w:p>
        </w:tc>
        <w:tc>
          <w:tcPr>
            <w:tcW w:w="1980" w:type="dxa"/>
          </w:tcPr>
          <w:p w14:paraId="0068A567" w14:textId="00AB9ABD" w:rsidR="21264DBD" w:rsidRPr="0067507D" w:rsidRDefault="21264DBD" w:rsidP="00A101E9">
            <w:pPr>
              <w:pStyle w:val="Tabletext"/>
              <w:rPr>
                <w:rFonts w:eastAsia="VIC"/>
              </w:rPr>
            </w:pPr>
            <w:r w:rsidRPr="0067507D">
              <w:rPr>
                <w:rFonts w:eastAsia="VIC"/>
              </w:rPr>
              <w:t>nil</w:t>
            </w:r>
          </w:p>
        </w:tc>
        <w:tc>
          <w:tcPr>
            <w:tcW w:w="2165" w:type="dxa"/>
          </w:tcPr>
          <w:p w14:paraId="1CF60A5F" w14:textId="2C009743" w:rsidR="21264DBD" w:rsidRPr="0067507D" w:rsidRDefault="21264DBD" w:rsidP="00A101E9">
            <w:pPr>
              <w:pStyle w:val="Tabletext"/>
              <w:rPr>
                <w:rFonts w:eastAsia="VIC"/>
              </w:rPr>
            </w:pPr>
            <w:r w:rsidRPr="0067507D">
              <w:rPr>
                <w:rFonts w:eastAsia="VIC"/>
              </w:rPr>
              <w:t>nil</w:t>
            </w:r>
          </w:p>
        </w:tc>
        <w:tc>
          <w:tcPr>
            <w:tcW w:w="1975" w:type="dxa"/>
          </w:tcPr>
          <w:p w14:paraId="1B684F80" w14:textId="2DB7B165" w:rsidR="21264DBD" w:rsidRPr="0067507D" w:rsidRDefault="21264DBD" w:rsidP="00A101E9">
            <w:pPr>
              <w:pStyle w:val="Tabletext"/>
              <w:rPr>
                <w:rFonts w:eastAsia="VIC"/>
              </w:rPr>
            </w:pPr>
            <w:r w:rsidRPr="0067507D">
              <w:rPr>
                <w:rFonts w:eastAsia="VIC"/>
              </w:rPr>
              <w:t>nil</w:t>
            </w:r>
          </w:p>
        </w:tc>
      </w:tr>
      <w:tr w:rsidR="00113E1C" w:rsidRPr="0067507D" w14:paraId="3BEBD6AB" w14:textId="2006A7AD" w:rsidTr="006B6B67">
        <w:trPr>
          <w:cantSplit/>
        </w:trPr>
        <w:tc>
          <w:tcPr>
            <w:tcW w:w="1260" w:type="dxa"/>
            <w:vMerge w:val="restart"/>
            <w:hideMark/>
          </w:tcPr>
          <w:p w14:paraId="4B825B75" w14:textId="660E9B13" w:rsidR="00113E1C" w:rsidRPr="0067507D" w:rsidRDefault="1BCD0F5B" w:rsidP="21264DBD">
            <w:pPr>
              <w:pStyle w:val="Tabletext"/>
            </w:pPr>
            <w:r w:rsidRPr="0067507D">
              <w:t>Management commitment</w:t>
            </w:r>
          </w:p>
        </w:tc>
        <w:tc>
          <w:tcPr>
            <w:tcW w:w="2250" w:type="dxa"/>
            <w:shd w:val="clear" w:color="auto" w:fill="D9D9D9" w:themeFill="background1" w:themeFillShade="D9"/>
            <w:hideMark/>
          </w:tcPr>
          <w:p w14:paraId="62FB789C" w14:textId="77777777" w:rsidR="00113E1C" w:rsidRPr="0067507D" w:rsidRDefault="1BCD0F5B" w:rsidP="21264DBD">
            <w:pPr>
              <w:pStyle w:val="Tabletext"/>
            </w:pPr>
            <w:r w:rsidRPr="0067507D">
              <w:t>Evidence of OHS policy statement, OHS objectives, regular reporting to senior management on OHS, and OHS plans (signed by CEO or equivalent)</w:t>
            </w:r>
          </w:p>
        </w:tc>
        <w:tc>
          <w:tcPr>
            <w:tcW w:w="1980" w:type="dxa"/>
          </w:tcPr>
          <w:p w14:paraId="72B57F7E" w14:textId="7B1D312D" w:rsidR="21264DBD" w:rsidRPr="0067507D" w:rsidRDefault="21264DBD" w:rsidP="00A101E9">
            <w:pPr>
              <w:pStyle w:val="Tabletext"/>
              <w:rPr>
                <w:rFonts w:eastAsia="Aptos"/>
              </w:rPr>
            </w:pPr>
            <w:r w:rsidRPr="0067507D">
              <w:rPr>
                <w:rFonts w:eastAsia="Aptos"/>
              </w:rPr>
              <w:t>Statement of Commitment signed by the Secretary.</w:t>
            </w:r>
          </w:p>
          <w:p w14:paraId="2436F5BA" w14:textId="29F4821C" w:rsidR="21264DBD" w:rsidRPr="0067507D" w:rsidRDefault="21264DBD" w:rsidP="00A101E9">
            <w:pPr>
              <w:pStyle w:val="Tabletext"/>
              <w:rPr>
                <w:rFonts w:eastAsia="Aptos"/>
              </w:rPr>
            </w:pPr>
            <w:r w:rsidRPr="0067507D">
              <w:rPr>
                <w:rFonts w:eastAsia="Aptos"/>
              </w:rPr>
              <w:t>Manager People and Culture chaired Quarterly Health and Safety (HSC) meetings.</w:t>
            </w:r>
          </w:p>
          <w:p w14:paraId="05D8177E" w14:textId="24304244" w:rsidR="21264DBD" w:rsidRPr="0067507D" w:rsidRDefault="21264DBD" w:rsidP="00A101E9">
            <w:pPr>
              <w:pStyle w:val="Tabletext"/>
              <w:rPr>
                <w:rFonts w:eastAsia="Aptos"/>
              </w:rPr>
            </w:pPr>
            <w:r w:rsidRPr="0067507D">
              <w:rPr>
                <w:rFonts w:eastAsia="Aptos"/>
              </w:rPr>
              <w:t>DTF continued its participation in the Whole of Victorian Government interdepartmental Mental Health and Wellbeing Charter Committee, Subcommittee and working groups.</w:t>
            </w:r>
          </w:p>
        </w:tc>
        <w:tc>
          <w:tcPr>
            <w:tcW w:w="2165" w:type="dxa"/>
          </w:tcPr>
          <w:p w14:paraId="5B59B75A" w14:textId="6A6AF93A" w:rsidR="21264DBD" w:rsidRPr="0067507D" w:rsidRDefault="21264DBD" w:rsidP="00A101E9">
            <w:pPr>
              <w:pStyle w:val="Tabletext"/>
              <w:rPr>
                <w:rFonts w:eastAsia="Aptos"/>
              </w:rPr>
            </w:pPr>
            <w:r w:rsidRPr="0067507D">
              <w:rPr>
                <w:rFonts w:eastAsia="Aptos"/>
              </w:rPr>
              <w:t>Statement of Commitment signed by the Secretary</w:t>
            </w:r>
          </w:p>
          <w:p w14:paraId="640E4D09" w14:textId="78336BDE" w:rsidR="21264DBD" w:rsidRPr="0067507D" w:rsidRDefault="21264DBD" w:rsidP="00A101E9">
            <w:pPr>
              <w:pStyle w:val="Tabletext"/>
              <w:rPr>
                <w:rFonts w:eastAsia="Aptos"/>
              </w:rPr>
            </w:pPr>
            <w:r w:rsidRPr="0067507D">
              <w:rPr>
                <w:rFonts w:eastAsia="Aptos"/>
              </w:rPr>
              <w:t xml:space="preserve">Manager People and Culture chaired Quarterly Health and Safety (HSC) meetings. DTF continued its participation in the </w:t>
            </w:r>
            <w:r w:rsidR="00080B1E" w:rsidRPr="0067507D">
              <w:rPr>
                <w:rFonts w:eastAsia="Aptos"/>
              </w:rPr>
              <w:t>Whole</w:t>
            </w:r>
            <w:r w:rsidRPr="0067507D">
              <w:rPr>
                <w:rFonts w:eastAsia="Aptos"/>
              </w:rPr>
              <w:t xml:space="preserve"> of Victorian Government interdepartmental Mental Health and Wellbeing Charter Committee, Subcommittee and working groups.</w:t>
            </w:r>
          </w:p>
        </w:tc>
        <w:tc>
          <w:tcPr>
            <w:tcW w:w="1975" w:type="dxa"/>
          </w:tcPr>
          <w:p w14:paraId="401A1A14" w14:textId="75624784" w:rsidR="21264DBD" w:rsidRPr="0067507D" w:rsidRDefault="21264DBD" w:rsidP="00A101E9">
            <w:pPr>
              <w:pStyle w:val="Tabletext"/>
              <w:rPr>
                <w:rFonts w:eastAsia="Aptos"/>
              </w:rPr>
            </w:pPr>
            <w:r w:rsidRPr="0067507D">
              <w:rPr>
                <w:rFonts w:eastAsia="Aptos"/>
              </w:rPr>
              <w:t>Statement of Commitment signed by the Secretary</w:t>
            </w:r>
          </w:p>
          <w:p w14:paraId="405675D3" w14:textId="79377C62" w:rsidR="21264DBD" w:rsidRPr="0067507D" w:rsidRDefault="21264DBD" w:rsidP="00A101E9">
            <w:pPr>
              <w:pStyle w:val="Tabletext"/>
              <w:rPr>
                <w:rFonts w:eastAsia="Aptos"/>
              </w:rPr>
            </w:pPr>
            <w:r w:rsidRPr="0067507D">
              <w:rPr>
                <w:rFonts w:eastAsia="Aptos"/>
              </w:rPr>
              <w:t>Manager People and Culture chaired Quarterly Health and Safety (HSC) meetings. DTF continued its participation in the Whole of Victorian Government interdepartmental Mental Health and Wellbeing Charter Committee, Subcommittee and working groups.</w:t>
            </w:r>
          </w:p>
        </w:tc>
      </w:tr>
      <w:tr w:rsidR="00113E1C" w:rsidRPr="0067507D" w14:paraId="3EC06C2B" w14:textId="7765F8D5" w:rsidTr="006B6B67">
        <w:trPr>
          <w:cantSplit/>
        </w:trPr>
        <w:tc>
          <w:tcPr>
            <w:tcW w:w="1260" w:type="dxa"/>
            <w:vMerge/>
            <w:hideMark/>
          </w:tcPr>
          <w:p w14:paraId="61973483" w14:textId="77777777" w:rsidR="00113E1C" w:rsidRPr="0067507D" w:rsidRDefault="00113E1C" w:rsidP="003E4E12">
            <w:pPr>
              <w:pStyle w:val="Tabletext"/>
              <w:rPr>
                <w:highlight w:val="yellow"/>
              </w:rPr>
            </w:pPr>
          </w:p>
        </w:tc>
        <w:tc>
          <w:tcPr>
            <w:tcW w:w="2250" w:type="dxa"/>
            <w:shd w:val="clear" w:color="auto" w:fill="D9D9D9" w:themeFill="background1" w:themeFillShade="D9"/>
            <w:hideMark/>
          </w:tcPr>
          <w:p w14:paraId="00C66FFE" w14:textId="77777777" w:rsidR="00113E1C" w:rsidRPr="0067507D" w:rsidRDefault="1BCD0F5B" w:rsidP="21264DBD">
            <w:pPr>
              <w:pStyle w:val="Tabletext"/>
            </w:pPr>
            <w:r w:rsidRPr="0067507D">
              <w:t>Evidence of OHS criteria in purchasing guidelines (including goods, services and personnel)</w:t>
            </w:r>
          </w:p>
        </w:tc>
        <w:tc>
          <w:tcPr>
            <w:tcW w:w="1980" w:type="dxa"/>
          </w:tcPr>
          <w:p w14:paraId="15C691AB" w14:textId="7968C684" w:rsidR="21264DBD" w:rsidRPr="0067507D" w:rsidRDefault="21264DBD" w:rsidP="00A101E9">
            <w:pPr>
              <w:pStyle w:val="Tabletext"/>
              <w:rPr>
                <w:rFonts w:eastAsia="Aptos"/>
              </w:rPr>
            </w:pPr>
            <w:r w:rsidRPr="0067507D">
              <w:rPr>
                <w:rFonts w:eastAsia="Aptos"/>
              </w:rPr>
              <w:t>OHS Advisory continues to be involved in the procurement of portable sit</w:t>
            </w:r>
            <w:r w:rsidR="0048660B" w:rsidRPr="0067507D">
              <w:rPr>
                <w:rFonts w:eastAsia="Aptos"/>
              </w:rPr>
              <w:t xml:space="preserve"> </w:t>
            </w:r>
            <w:r w:rsidRPr="0067507D">
              <w:rPr>
                <w:rFonts w:eastAsia="Aptos"/>
              </w:rPr>
              <w:t>stand desks and other ergonomic equipment as required.</w:t>
            </w:r>
            <w:r w:rsidR="00BA21DD" w:rsidRPr="0067507D">
              <w:rPr>
                <w:rFonts w:ascii="Calibri" w:eastAsia="Aptos" w:hAnsi="Calibri" w:cs="Calibri"/>
              </w:rPr>
              <w:t xml:space="preserve"> </w:t>
            </w:r>
            <w:r w:rsidRPr="0067507D">
              <w:rPr>
                <w:rFonts w:eastAsia="Aptos"/>
              </w:rPr>
              <w:t>Services and personnel engaged to support OHS program (i.e. flu vaccination program, training, etc.) have been implemented to provide evidence of competency and insurance information.</w:t>
            </w:r>
            <w:r w:rsidR="006F3595" w:rsidRPr="0067507D">
              <w:rPr>
                <w:rFonts w:eastAsia="Aptos"/>
              </w:rPr>
              <w:t xml:space="preserve"> </w:t>
            </w:r>
          </w:p>
          <w:p w14:paraId="7441E63F" w14:textId="66D8FBC3" w:rsidR="21264DBD" w:rsidRPr="0067507D" w:rsidRDefault="21264DBD" w:rsidP="00A101E9">
            <w:pPr>
              <w:pStyle w:val="Tabletext"/>
              <w:rPr>
                <w:rFonts w:eastAsia="Aptos"/>
              </w:rPr>
            </w:pPr>
            <w:r w:rsidRPr="0067507D">
              <w:rPr>
                <w:rFonts w:eastAsia="Aptos"/>
              </w:rPr>
              <w:t>OHS Advisory involved in recommending and ordering personal protective equipment associated with coronavirus (COVID19) management</w:t>
            </w:r>
            <w:r w:rsidRPr="0067507D">
              <w:rPr>
                <w:rFonts w:ascii="Calibri" w:eastAsia="Aptos" w:hAnsi="Calibri" w:cs="Calibri"/>
              </w:rPr>
              <w:t> </w:t>
            </w:r>
          </w:p>
        </w:tc>
        <w:tc>
          <w:tcPr>
            <w:tcW w:w="2165" w:type="dxa"/>
          </w:tcPr>
          <w:p w14:paraId="7ADFF028" w14:textId="4A4B3BA7" w:rsidR="21264DBD" w:rsidRPr="0067507D" w:rsidRDefault="21264DBD" w:rsidP="00A101E9">
            <w:pPr>
              <w:pStyle w:val="Tabletext"/>
              <w:rPr>
                <w:rFonts w:eastAsia="Aptos"/>
              </w:rPr>
            </w:pPr>
            <w:r w:rsidRPr="0067507D">
              <w:rPr>
                <w:rFonts w:eastAsia="Aptos"/>
              </w:rPr>
              <w:t>OHS Advisory continued to be involved in the procurement of portable sit</w:t>
            </w:r>
            <w:r w:rsidR="0048660B" w:rsidRPr="0067507D">
              <w:rPr>
                <w:rFonts w:eastAsia="Aptos"/>
              </w:rPr>
              <w:t xml:space="preserve"> </w:t>
            </w:r>
            <w:r w:rsidRPr="0067507D">
              <w:rPr>
                <w:rFonts w:eastAsia="Aptos"/>
              </w:rPr>
              <w:t>stand desks and other ergonomic equipment as required. Services and personnel engaged to support OHS program (i.e.</w:t>
            </w:r>
            <w:r w:rsidRPr="0067507D">
              <w:rPr>
                <w:rFonts w:ascii="Arial" w:eastAsia="Arial" w:hAnsi="Arial" w:cs="Arial"/>
              </w:rPr>
              <w:t> </w:t>
            </w:r>
            <w:r w:rsidRPr="0067507D">
              <w:rPr>
                <w:rFonts w:eastAsia="Aptos"/>
              </w:rPr>
              <w:t>flu vaccination program, training, etc.) have been implemented to provide evidence of competency and insurance information.</w:t>
            </w:r>
            <w:r w:rsidR="006F3595" w:rsidRPr="0067507D">
              <w:rPr>
                <w:rFonts w:eastAsia="Aptos"/>
              </w:rPr>
              <w:t xml:space="preserve"> </w:t>
            </w:r>
          </w:p>
        </w:tc>
        <w:tc>
          <w:tcPr>
            <w:tcW w:w="1975" w:type="dxa"/>
          </w:tcPr>
          <w:p w14:paraId="01BD3608" w14:textId="10BF2553" w:rsidR="21264DBD" w:rsidRPr="0067507D" w:rsidRDefault="21264DBD" w:rsidP="00A101E9">
            <w:pPr>
              <w:pStyle w:val="Tabletext"/>
              <w:rPr>
                <w:rFonts w:eastAsia="Aptos"/>
              </w:rPr>
            </w:pPr>
            <w:r w:rsidRPr="0067507D">
              <w:rPr>
                <w:rFonts w:eastAsia="Aptos"/>
              </w:rPr>
              <w:t>OHS Advisory continued to be involved in the procurement of portable sit</w:t>
            </w:r>
            <w:r w:rsidR="0048660B" w:rsidRPr="0067507D">
              <w:rPr>
                <w:rFonts w:eastAsia="Aptos"/>
              </w:rPr>
              <w:t xml:space="preserve"> </w:t>
            </w:r>
            <w:r w:rsidRPr="0067507D">
              <w:rPr>
                <w:rFonts w:eastAsia="Aptos"/>
              </w:rPr>
              <w:t>stand desks and other ergonomic equipment as required. Services and personnel engaged to support OHS program (i.e.</w:t>
            </w:r>
            <w:r w:rsidRPr="0067507D">
              <w:rPr>
                <w:rFonts w:ascii="Arial" w:eastAsia="Arial" w:hAnsi="Arial" w:cs="Arial"/>
              </w:rPr>
              <w:t> </w:t>
            </w:r>
            <w:r w:rsidRPr="0067507D">
              <w:rPr>
                <w:rFonts w:eastAsia="Aptos"/>
              </w:rPr>
              <w:t>flu vaccination program, training, etc.) have been implemented to provide evidence of competency and insurance information.</w:t>
            </w:r>
            <w:r w:rsidR="006F3595" w:rsidRPr="0067507D">
              <w:rPr>
                <w:rFonts w:eastAsia="Aptos"/>
              </w:rPr>
              <w:t xml:space="preserve"> </w:t>
            </w:r>
          </w:p>
        </w:tc>
      </w:tr>
      <w:tr w:rsidR="00113E1C" w:rsidRPr="0067507D" w14:paraId="7566B82C" w14:textId="131ED368" w:rsidTr="006B6B67">
        <w:trPr>
          <w:cantSplit/>
        </w:trPr>
        <w:tc>
          <w:tcPr>
            <w:tcW w:w="1260" w:type="dxa"/>
            <w:vMerge w:val="restart"/>
            <w:hideMark/>
          </w:tcPr>
          <w:p w14:paraId="77027B2B" w14:textId="77777777" w:rsidR="00113E1C" w:rsidRPr="0067507D" w:rsidRDefault="1BCD0F5B" w:rsidP="003E4E12">
            <w:pPr>
              <w:pStyle w:val="Tabletext"/>
            </w:pPr>
            <w:r w:rsidRPr="0067507D">
              <w:t xml:space="preserve">Consultation and participation </w:t>
            </w:r>
          </w:p>
        </w:tc>
        <w:tc>
          <w:tcPr>
            <w:tcW w:w="2250" w:type="dxa"/>
            <w:shd w:val="clear" w:color="auto" w:fill="D9D9D9" w:themeFill="background1" w:themeFillShade="D9"/>
            <w:hideMark/>
          </w:tcPr>
          <w:p w14:paraId="353C20C0" w14:textId="77777777" w:rsidR="00113E1C" w:rsidRPr="0067507D" w:rsidRDefault="00113E1C" w:rsidP="003E4E12">
            <w:pPr>
              <w:pStyle w:val="Tabletext"/>
            </w:pPr>
            <w:r w:rsidRPr="0067507D">
              <w:t>Evidence of agreed structure of Designated Work Groups (DWGs), Health and Safety Representatives (HSRs), and Issue Resolution Procedures (IRPs)</w:t>
            </w:r>
          </w:p>
        </w:tc>
        <w:tc>
          <w:tcPr>
            <w:tcW w:w="1980" w:type="dxa"/>
          </w:tcPr>
          <w:p w14:paraId="2AFAB1F8" w14:textId="37E391F1" w:rsidR="21264DBD" w:rsidRPr="0067507D" w:rsidRDefault="21264DBD" w:rsidP="00A101E9">
            <w:pPr>
              <w:pStyle w:val="Tabletext"/>
              <w:rPr>
                <w:rFonts w:eastAsia="Aptos"/>
              </w:rPr>
            </w:pPr>
            <w:r w:rsidRPr="0067507D">
              <w:rPr>
                <w:rFonts w:eastAsia="Aptos"/>
              </w:rPr>
              <w:t>Six Health and Safety Committee meetings were held covering this period on 5 Jul 2022, 4</w:t>
            </w:r>
            <w:r w:rsidR="00BA21DD" w:rsidRPr="0067507D">
              <w:rPr>
                <w:rFonts w:ascii="Calibri" w:eastAsia="Aptos" w:hAnsi="Calibri" w:cs="Calibri"/>
              </w:rPr>
              <w:t> </w:t>
            </w:r>
            <w:r w:rsidRPr="0067507D">
              <w:rPr>
                <w:rFonts w:eastAsia="Aptos"/>
              </w:rPr>
              <w:t>Oct 2022, 17 Nov 2022, 21</w:t>
            </w:r>
            <w:r w:rsidR="00BA21DD" w:rsidRPr="0067507D">
              <w:rPr>
                <w:rFonts w:ascii="Calibri" w:eastAsia="Aptos" w:hAnsi="Calibri" w:cs="Calibri"/>
              </w:rPr>
              <w:t> </w:t>
            </w:r>
            <w:r w:rsidRPr="0067507D">
              <w:rPr>
                <w:rFonts w:eastAsia="Aptos"/>
              </w:rPr>
              <w:t>Feb 2023, 20 May 2023, 15 Jun 2023</w:t>
            </w:r>
            <w:r w:rsidRPr="0067507D">
              <w:rPr>
                <w:rFonts w:ascii="Calibri" w:eastAsia="Aptos" w:hAnsi="Calibri" w:cs="Calibri"/>
              </w:rPr>
              <w:t> </w:t>
            </w:r>
          </w:p>
        </w:tc>
        <w:tc>
          <w:tcPr>
            <w:tcW w:w="2165" w:type="dxa"/>
          </w:tcPr>
          <w:p w14:paraId="72C1CCEE" w14:textId="3062933C" w:rsidR="21264DBD" w:rsidRPr="0067507D" w:rsidRDefault="21264DBD" w:rsidP="00A101E9">
            <w:pPr>
              <w:pStyle w:val="Tabletext"/>
              <w:rPr>
                <w:rFonts w:eastAsia="Aptos"/>
              </w:rPr>
            </w:pPr>
            <w:r w:rsidRPr="0067507D">
              <w:rPr>
                <w:rFonts w:eastAsia="Aptos"/>
              </w:rPr>
              <w:t>Four Health and Safety Committee meetings were held covering 31 Aug 2023, 12 Oct 2023, 7 Dec 2023 and 27 Feb 2024</w:t>
            </w:r>
            <w:r w:rsidRPr="0067507D">
              <w:rPr>
                <w:rFonts w:ascii="Calibri" w:eastAsia="Aptos" w:hAnsi="Calibri" w:cs="Calibri"/>
              </w:rPr>
              <w:t> </w:t>
            </w:r>
          </w:p>
        </w:tc>
        <w:tc>
          <w:tcPr>
            <w:tcW w:w="1975" w:type="dxa"/>
          </w:tcPr>
          <w:p w14:paraId="5CD539D1" w14:textId="16C074ED" w:rsidR="21264DBD" w:rsidRPr="0067507D" w:rsidRDefault="00FB2DCF" w:rsidP="00A101E9">
            <w:pPr>
              <w:pStyle w:val="Tabletext"/>
              <w:rPr>
                <w:rFonts w:eastAsia="Aptos"/>
                <w:highlight w:val="yellow"/>
              </w:rPr>
            </w:pPr>
            <w:r w:rsidRPr="0067507D">
              <w:rPr>
                <w:rFonts w:eastAsia="Aptos"/>
              </w:rPr>
              <w:t xml:space="preserve">One Health and Safety Committee meeting was held on </w:t>
            </w:r>
            <w:r w:rsidR="009436D9" w:rsidRPr="0067507D">
              <w:rPr>
                <w:rFonts w:eastAsia="Aptos"/>
              </w:rPr>
              <w:t>27</w:t>
            </w:r>
            <w:r w:rsidR="002B1D31" w:rsidRPr="0067507D">
              <w:rPr>
                <w:rFonts w:ascii="Calibri" w:eastAsia="Aptos" w:hAnsi="Calibri" w:cs="Calibri"/>
              </w:rPr>
              <w:t> </w:t>
            </w:r>
            <w:r w:rsidR="009436D9" w:rsidRPr="0067507D">
              <w:rPr>
                <w:rFonts w:eastAsia="Aptos"/>
              </w:rPr>
              <w:t>June 2025</w:t>
            </w:r>
          </w:p>
        </w:tc>
      </w:tr>
      <w:tr w:rsidR="00113E1C" w:rsidRPr="0067507D" w14:paraId="2EB99077" w14:textId="25048E70" w:rsidTr="006B6B67">
        <w:trPr>
          <w:cantSplit/>
        </w:trPr>
        <w:tc>
          <w:tcPr>
            <w:tcW w:w="1260" w:type="dxa"/>
            <w:vMerge/>
            <w:hideMark/>
          </w:tcPr>
          <w:p w14:paraId="00B47283" w14:textId="77777777" w:rsidR="00113E1C" w:rsidRPr="0067507D" w:rsidRDefault="00113E1C" w:rsidP="003E4E12">
            <w:pPr>
              <w:pStyle w:val="Tabletext"/>
            </w:pPr>
          </w:p>
        </w:tc>
        <w:tc>
          <w:tcPr>
            <w:tcW w:w="2250" w:type="dxa"/>
            <w:shd w:val="clear" w:color="auto" w:fill="D9D9D9" w:themeFill="background1" w:themeFillShade="D9"/>
            <w:hideMark/>
          </w:tcPr>
          <w:p w14:paraId="2599CF41" w14:textId="77777777" w:rsidR="00113E1C" w:rsidRPr="0067507D" w:rsidRDefault="00113E1C" w:rsidP="003E4E12">
            <w:pPr>
              <w:pStyle w:val="Tabletext"/>
            </w:pPr>
            <w:r w:rsidRPr="0067507D">
              <w:t>Compliance with agreed structure on DWGs, HSRs, and IRPs</w:t>
            </w:r>
          </w:p>
        </w:tc>
        <w:tc>
          <w:tcPr>
            <w:tcW w:w="1980" w:type="dxa"/>
          </w:tcPr>
          <w:p w14:paraId="27ED7918" w14:textId="50B71F9D" w:rsidR="21264DBD" w:rsidRPr="0067507D" w:rsidRDefault="21264DBD" w:rsidP="00A101E9">
            <w:pPr>
              <w:pStyle w:val="Tabletext"/>
              <w:rPr>
                <w:rFonts w:eastAsia="Aptos"/>
              </w:rPr>
            </w:pPr>
            <w:r w:rsidRPr="0067507D">
              <w:rPr>
                <w:rFonts w:eastAsia="Aptos"/>
              </w:rPr>
              <w:t>As of 30 June 2023, there were seven vacant HSR positions. Positions were advertised, and expression of interest circulated.</w:t>
            </w:r>
          </w:p>
          <w:p w14:paraId="2C7D29EB" w14:textId="6624C394" w:rsidR="21264DBD" w:rsidRPr="0067507D" w:rsidRDefault="21264DBD" w:rsidP="00A101E9">
            <w:pPr>
              <w:pStyle w:val="Tabletext"/>
              <w:rPr>
                <w:rFonts w:eastAsia="Aptos"/>
              </w:rPr>
            </w:pPr>
            <w:r w:rsidRPr="0067507D">
              <w:rPr>
                <w:rFonts w:eastAsia="Aptos"/>
              </w:rPr>
              <w:t>Training scheduled for three newly</w:t>
            </w:r>
            <w:r w:rsidR="006A5485">
              <w:rPr>
                <w:rFonts w:eastAsia="Aptos"/>
              </w:rPr>
              <w:noBreakHyphen/>
            </w:r>
            <w:r w:rsidRPr="0067507D">
              <w:rPr>
                <w:rFonts w:eastAsia="Aptos"/>
              </w:rPr>
              <w:t>appointed HSRs</w:t>
            </w:r>
            <w:r w:rsidR="00AB7964" w:rsidRPr="0067507D">
              <w:rPr>
                <w:rFonts w:ascii="Calibri" w:eastAsia="Aptos" w:hAnsi="Calibri" w:cs="Calibri"/>
              </w:rPr>
              <w:t>.</w:t>
            </w:r>
          </w:p>
        </w:tc>
        <w:tc>
          <w:tcPr>
            <w:tcW w:w="2165" w:type="dxa"/>
          </w:tcPr>
          <w:p w14:paraId="7D93B728" w14:textId="3FCFB986" w:rsidR="21264DBD" w:rsidRPr="0067507D" w:rsidRDefault="21264DBD" w:rsidP="00A101E9">
            <w:pPr>
              <w:pStyle w:val="Tabletext"/>
              <w:rPr>
                <w:rFonts w:eastAsia="Aptos"/>
              </w:rPr>
            </w:pPr>
            <w:r w:rsidRPr="0067507D">
              <w:rPr>
                <w:rFonts w:eastAsia="Aptos"/>
              </w:rPr>
              <w:t>As of 30 June 2024, there were nine HSR’s with seven vacant positions advertised, and expression of interest circulated.</w:t>
            </w:r>
            <w:r w:rsidR="006F3595" w:rsidRPr="0067507D">
              <w:rPr>
                <w:rFonts w:eastAsia="Aptos"/>
              </w:rPr>
              <w:t xml:space="preserve"> </w:t>
            </w:r>
          </w:p>
        </w:tc>
        <w:tc>
          <w:tcPr>
            <w:tcW w:w="1975" w:type="dxa"/>
          </w:tcPr>
          <w:p w14:paraId="5DDEC9B9" w14:textId="57EE671C" w:rsidR="21264DBD" w:rsidRPr="0067507D" w:rsidRDefault="21264DBD" w:rsidP="00A101E9">
            <w:pPr>
              <w:pStyle w:val="Tabletext"/>
              <w:rPr>
                <w:rFonts w:eastAsia="Aptos"/>
              </w:rPr>
            </w:pPr>
            <w:r w:rsidRPr="0067507D">
              <w:rPr>
                <w:rFonts w:eastAsia="Aptos"/>
              </w:rPr>
              <w:t>As of 30 June 2025, there w</w:t>
            </w:r>
            <w:r w:rsidR="0092409B" w:rsidRPr="0067507D">
              <w:rPr>
                <w:rFonts w:eastAsia="Aptos"/>
              </w:rPr>
              <w:t>as</w:t>
            </w:r>
            <w:r w:rsidRPr="0067507D">
              <w:rPr>
                <w:rFonts w:eastAsia="Aptos"/>
              </w:rPr>
              <w:t xml:space="preserve"> </w:t>
            </w:r>
            <w:r w:rsidR="00EF15BB" w:rsidRPr="0067507D">
              <w:rPr>
                <w:rFonts w:eastAsia="Aptos"/>
              </w:rPr>
              <w:t>1</w:t>
            </w:r>
            <w:r w:rsidRPr="0067507D">
              <w:rPr>
                <w:rFonts w:eastAsia="Aptos"/>
              </w:rPr>
              <w:t xml:space="preserve"> HSR, with eleven vacant positions advertised, and expressions of interest circulated.</w:t>
            </w:r>
          </w:p>
        </w:tc>
      </w:tr>
      <w:tr w:rsidR="00113E1C" w:rsidRPr="0067507D" w14:paraId="57933973" w14:textId="2A2B4AC8" w:rsidTr="006B6B67">
        <w:trPr>
          <w:cantSplit/>
        </w:trPr>
        <w:tc>
          <w:tcPr>
            <w:tcW w:w="1260" w:type="dxa"/>
            <w:vMerge/>
          </w:tcPr>
          <w:p w14:paraId="1FE7F63B" w14:textId="77777777" w:rsidR="00113E1C" w:rsidRPr="0067507D" w:rsidRDefault="00113E1C" w:rsidP="003E4E12">
            <w:pPr>
              <w:pStyle w:val="Tabletext"/>
            </w:pPr>
          </w:p>
        </w:tc>
        <w:tc>
          <w:tcPr>
            <w:tcW w:w="2250" w:type="dxa"/>
            <w:shd w:val="clear" w:color="auto" w:fill="D9D9D9" w:themeFill="background1" w:themeFillShade="D9"/>
          </w:tcPr>
          <w:p w14:paraId="20DDF679" w14:textId="77777777" w:rsidR="00113E1C" w:rsidRPr="0067507D" w:rsidRDefault="00113E1C" w:rsidP="003E4E12">
            <w:pPr>
              <w:pStyle w:val="Tabletext"/>
            </w:pPr>
            <w:r w:rsidRPr="0067507D">
              <w:t>Number of quarterly OHS Committee meetings</w:t>
            </w:r>
          </w:p>
        </w:tc>
        <w:tc>
          <w:tcPr>
            <w:tcW w:w="1980" w:type="dxa"/>
          </w:tcPr>
          <w:p w14:paraId="56C1727E" w14:textId="7DD2B0F1" w:rsidR="21264DBD" w:rsidRPr="0067507D" w:rsidRDefault="21264DBD" w:rsidP="00A101E9">
            <w:pPr>
              <w:pStyle w:val="Tabletext"/>
              <w:rPr>
                <w:rFonts w:eastAsia="Aptos"/>
              </w:rPr>
            </w:pPr>
            <w:r w:rsidRPr="0067507D">
              <w:rPr>
                <w:rFonts w:eastAsia="Aptos"/>
              </w:rPr>
              <w:t>The committee met in each quarter in 2022</w:t>
            </w:r>
            <w:r w:rsidR="006A5485">
              <w:rPr>
                <w:rFonts w:eastAsia="Aptos"/>
              </w:rPr>
              <w:noBreakHyphen/>
            </w:r>
            <w:r w:rsidRPr="0067507D">
              <w:rPr>
                <w:rFonts w:eastAsia="Aptos"/>
              </w:rPr>
              <w:t>23</w:t>
            </w:r>
            <w:r w:rsidRPr="0067507D">
              <w:rPr>
                <w:rFonts w:ascii="Calibri" w:eastAsia="Aptos" w:hAnsi="Calibri" w:cs="Calibri"/>
              </w:rPr>
              <w:t> </w:t>
            </w:r>
          </w:p>
        </w:tc>
        <w:tc>
          <w:tcPr>
            <w:tcW w:w="2165" w:type="dxa"/>
          </w:tcPr>
          <w:p w14:paraId="585A48C2" w14:textId="6D692E52" w:rsidR="21264DBD" w:rsidRPr="0067507D" w:rsidRDefault="21264DBD" w:rsidP="00A101E9">
            <w:pPr>
              <w:pStyle w:val="Tabletext"/>
              <w:rPr>
                <w:rFonts w:eastAsia="Aptos"/>
              </w:rPr>
            </w:pPr>
            <w:r w:rsidRPr="0067507D">
              <w:rPr>
                <w:rFonts w:eastAsia="Aptos"/>
              </w:rPr>
              <w:t>The committee met in each quarter in 2023</w:t>
            </w:r>
            <w:r w:rsidR="006A5485">
              <w:rPr>
                <w:rFonts w:eastAsia="Aptos"/>
              </w:rPr>
              <w:noBreakHyphen/>
            </w:r>
            <w:r w:rsidRPr="0067507D">
              <w:rPr>
                <w:rFonts w:eastAsia="Aptos"/>
              </w:rPr>
              <w:t>24</w:t>
            </w:r>
          </w:p>
        </w:tc>
        <w:tc>
          <w:tcPr>
            <w:tcW w:w="1975" w:type="dxa"/>
          </w:tcPr>
          <w:p w14:paraId="2192697E" w14:textId="15395FA5" w:rsidR="00E5426C" w:rsidRPr="0067507D" w:rsidRDefault="009436D9" w:rsidP="00E5426C">
            <w:pPr>
              <w:pStyle w:val="Tabletext"/>
              <w:rPr>
                <w:highlight w:val="yellow"/>
              </w:rPr>
            </w:pPr>
            <w:r w:rsidRPr="0067507D">
              <w:rPr>
                <w:rFonts w:eastAsia="Aptos"/>
              </w:rPr>
              <w:t xml:space="preserve">The committee met once in </w:t>
            </w:r>
            <w:r w:rsidR="005F79A7" w:rsidRPr="0067507D">
              <w:rPr>
                <w:rFonts w:eastAsia="Aptos"/>
              </w:rPr>
              <w:t>2024</w:t>
            </w:r>
            <w:r w:rsidR="006A5485">
              <w:rPr>
                <w:rFonts w:eastAsia="Aptos"/>
              </w:rPr>
              <w:noBreakHyphen/>
            </w:r>
            <w:r w:rsidR="005F79A7" w:rsidRPr="0067507D">
              <w:rPr>
                <w:rFonts w:eastAsia="Aptos"/>
              </w:rPr>
              <w:t>25</w:t>
            </w:r>
          </w:p>
        </w:tc>
      </w:tr>
      <w:tr w:rsidR="00113E1C" w:rsidRPr="0067507D" w14:paraId="10541FED" w14:textId="1D70C291" w:rsidTr="006B6B67">
        <w:trPr>
          <w:cantSplit/>
        </w:trPr>
        <w:tc>
          <w:tcPr>
            <w:tcW w:w="1260" w:type="dxa"/>
            <w:hideMark/>
          </w:tcPr>
          <w:p w14:paraId="460FD28F" w14:textId="77777777" w:rsidR="00113E1C" w:rsidRPr="0067507D" w:rsidRDefault="00113E1C" w:rsidP="003E4E12">
            <w:pPr>
              <w:pStyle w:val="Tabletext"/>
            </w:pPr>
            <w:r w:rsidRPr="0067507D">
              <w:t>Risk management</w:t>
            </w:r>
          </w:p>
        </w:tc>
        <w:tc>
          <w:tcPr>
            <w:tcW w:w="2250" w:type="dxa"/>
            <w:shd w:val="clear" w:color="auto" w:fill="D9D9D9" w:themeFill="background1" w:themeFillShade="D9"/>
            <w:hideMark/>
          </w:tcPr>
          <w:p w14:paraId="680D935C" w14:textId="77777777" w:rsidR="00113E1C" w:rsidRPr="0067507D" w:rsidRDefault="00113E1C" w:rsidP="003E4E12">
            <w:pPr>
              <w:pStyle w:val="Tabletext"/>
            </w:pPr>
            <w:r w:rsidRPr="0067507D">
              <w:t>Percentage of internal audits/inspections conducted as planned</w:t>
            </w:r>
          </w:p>
        </w:tc>
        <w:tc>
          <w:tcPr>
            <w:tcW w:w="1980" w:type="dxa"/>
          </w:tcPr>
          <w:p w14:paraId="3DB64A6F" w14:textId="75E5BC01" w:rsidR="21264DBD" w:rsidRPr="0067507D" w:rsidRDefault="21264DBD" w:rsidP="00A101E9">
            <w:pPr>
              <w:pStyle w:val="Tabletext"/>
              <w:rPr>
                <w:rFonts w:eastAsia="Aptos"/>
              </w:rPr>
            </w:pPr>
            <w:r w:rsidRPr="0067507D">
              <w:rPr>
                <w:rFonts w:eastAsia="Aptos"/>
              </w:rPr>
              <w:t>Quarterly site inspections completed by HSRs and DTF OHS Advisory</w:t>
            </w:r>
          </w:p>
          <w:p w14:paraId="3C329123" w14:textId="096A72A5" w:rsidR="21264DBD" w:rsidRPr="0067507D" w:rsidRDefault="21264DBD" w:rsidP="00A101E9">
            <w:pPr>
              <w:pStyle w:val="Tabletext"/>
              <w:rPr>
                <w:rFonts w:eastAsia="Aptos"/>
              </w:rPr>
            </w:pPr>
            <w:r w:rsidRPr="0067507D">
              <w:rPr>
                <w:rFonts w:eastAsia="Aptos"/>
              </w:rPr>
              <w:t>Locations included:</w:t>
            </w:r>
          </w:p>
          <w:p w14:paraId="5C848B3D" w14:textId="53BCE1C2" w:rsidR="21264DBD" w:rsidRPr="0067507D" w:rsidRDefault="21264DBD" w:rsidP="00D8566F">
            <w:pPr>
              <w:pStyle w:val="Tablebullet"/>
              <w:keepLines w:val="0"/>
              <w:numPr>
                <w:ilvl w:val="0"/>
                <w:numId w:val="1"/>
              </w:numPr>
              <w:tabs>
                <w:tab w:val="num" w:pos="360"/>
              </w:tabs>
              <w:ind w:left="216" w:right="0" w:hanging="216"/>
              <w:rPr>
                <w:rFonts w:eastAsia="Aptos"/>
              </w:rPr>
            </w:pPr>
            <w:r w:rsidRPr="0067507D">
              <w:rPr>
                <w:rFonts w:eastAsia="Aptos"/>
              </w:rPr>
              <w:t>1 Macarthur Street</w:t>
            </w:r>
          </w:p>
          <w:p w14:paraId="7A7F0C78" w14:textId="102DA3B3" w:rsidR="21264DBD" w:rsidRPr="0067507D" w:rsidRDefault="21264DBD" w:rsidP="00D8566F">
            <w:pPr>
              <w:pStyle w:val="Tablebullet"/>
              <w:keepLines w:val="0"/>
              <w:numPr>
                <w:ilvl w:val="0"/>
                <w:numId w:val="1"/>
              </w:numPr>
              <w:tabs>
                <w:tab w:val="num" w:pos="360"/>
              </w:tabs>
              <w:ind w:left="216" w:right="0" w:hanging="216"/>
              <w:rPr>
                <w:rFonts w:eastAsia="Aptos"/>
              </w:rPr>
            </w:pPr>
            <w:r w:rsidRPr="0067507D">
              <w:rPr>
                <w:rFonts w:eastAsia="Aptos"/>
              </w:rPr>
              <w:t>1 Treasury Place</w:t>
            </w:r>
          </w:p>
          <w:p w14:paraId="78219737" w14:textId="41EDC3CC" w:rsidR="21264DBD" w:rsidRPr="0067507D" w:rsidRDefault="21264DBD" w:rsidP="00D8566F">
            <w:pPr>
              <w:pStyle w:val="Tablebullet"/>
              <w:keepLines w:val="0"/>
              <w:numPr>
                <w:ilvl w:val="0"/>
                <w:numId w:val="1"/>
              </w:numPr>
              <w:tabs>
                <w:tab w:val="num" w:pos="360"/>
              </w:tabs>
              <w:ind w:left="216" w:right="0" w:hanging="216"/>
              <w:rPr>
                <w:rFonts w:eastAsia="Aptos"/>
              </w:rPr>
            </w:pPr>
            <w:r w:rsidRPr="0067507D">
              <w:rPr>
                <w:rFonts w:eastAsia="Aptos"/>
              </w:rPr>
              <w:t>55 Collins Street</w:t>
            </w:r>
          </w:p>
          <w:p w14:paraId="6908308F" w14:textId="597D44AC" w:rsidR="21264DBD" w:rsidRPr="0067507D" w:rsidRDefault="21264DBD" w:rsidP="00D8566F">
            <w:pPr>
              <w:pStyle w:val="Tablebullet"/>
              <w:keepLines w:val="0"/>
              <w:numPr>
                <w:ilvl w:val="0"/>
                <w:numId w:val="1"/>
              </w:numPr>
              <w:tabs>
                <w:tab w:val="num" w:pos="360"/>
              </w:tabs>
              <w:ind w:left="216" w:right="0" w:hanging="216"/>
              <w:rPr>
                <w:rFonts w:eastAsia="Aptos"/>
              </w:rPr>
            </w:pPr>
            <w:r w:rsidRPr="0067507D">
              <w:rPr>
                <w:rFonts w:eastAsia="Aptos"/>
              </w:rPr>
              <w:t>Werribee Library</w:t>
            </w:r>
          </w:p>
          <w:p w14:paraId="18E300BB" w14:textId="35C052FA" w:rsidR="21264DBD" w:rsidRPr="0067507D" w:rsidRDefault="21264DBD" w:rsidP="00A101E9">
            <w:pPr>
              <w:pStyle w:val="Tabletext"/>
              <w:rPr>
                <w:rFonts w:eastAsia="Aptos"/>
              </w:rPr>
            </w:pPr>
            <w:r w:rsidRPr="0067507D">
              <w:rPr>
                <w:rFonts w:eastAsia="Aptos"/>
              </w:rPr>
              <w:t>This included a review of the furniture for the government hubs:</w:t>
            </w:r>
          </w:p>
          <w:p w14:paraId="5CE318B8" w14:textId="2E3C0827" w:rsidR="21264DBD" w:rsidRPr="0067507D" w:rsidRDefault="21264DBD" w:rsidP="00A101E9">
            <w:pPr>
              <w:pStyle w:val="Tabletext"/>
              <w:rPr>
                <w:rFonts w:eastAsia="Aptos"/>
              </w:rPr>
            </w:pPr>
            <w:r w:rsidRPr="0067507D">
              <w:rPr>
                <w:rFonts w:eastAsia="Aptos"/>
              </w:rPr>
              <w:t>Bendigo</w:t>
            </w:r>
          </w:p>
        </w:tc>
        <w:tc>
          <w:tcPr>
            <w:tcW w:w="2165" w:type="dxa"/>
          </w:tcPr>
          <w:p w14:paraId="7B9AAF5F" w14:textId="738DDCB5" w:rsidR="21264DBD" w:rsidRPr="0067507D" w:rsidRDefault="21264DBD" w:rsidP="00A101E9">
            <w:pPr>
              <w:pStyle w:val="Tabletext"/>
              <w:rPr>
                <w:rFonts w:eastAsia="Aptos"/>
              </w:rPr>
            </w:pPr>
            <w:r w:rsidRPr="0067507D">
              <w:rPr>
                <w:rFonts w:eastAsia="Aptos"/>
              </w:rPr>
              <w:t>Quarterly site inspections were completed by HRSs</w:t>
            </w:r>
            <w:r w:rsidRPr="0067507D">
              <w:rPr>
                <w:rFonts w:ascii="Calibri" w:eastAsia="Aptos" w:hAnsi="Calibri" w:cs="Calibri"/>
              </w:rPr>
              <w:t> </w:t>
            </w:r>
          </w:p>
          <w:p w14:paraId="16A45AB3" w14:textId="0F6D9051" w:rsidR="21264DBD" w:rsidRPr="0067507D" w:rsidRDefault="21264DBD" w:rsidP="00A101E9">
            <w:pPr>
              <w:pStyle w:val="Tabletext"/>
              <w:rPr>
                <w:rFonts w:eastAsia="Aptos"/>
              </w:rPr>
            </w:pPr>
            <w:r w:rsidRPr="0067507D">
              <w:rPr>
                <w:rFonts w:eastAsia="Aptos"/>
              </w:rPr>
              <w:t>Locations included:</w:t>
            </w:r>
            <w:r w:rsidRPr="0067507D">
              <w:rPr>
                <w:rFonts w:ascii="Calibri" w:eastAsia="Aptos" w:hAnsi="Calibri" w:cs="Calibri"/>
              </w:rPr>
              <w:t> </w:t>
            </w:r>
          </w:p>
          <w:p w14:paraId="2935705F" w14:textId="50119702" w:rsidR="21264DBD" w:rsidRPr="0067507D" w:rsidRDefault="21264DBD" w:rsidP="00D8566F">
            <w:pPr>
              <w:pStyle w:val="Tablebullet"/>
              <w:keepLines w:val="0"/>
              <w:numPr>
                <w:ilvl w:val="0"/>
                <w:numId w:val="1"/>
              </w:numPr>
              <w:tabs>
                <w:tab w:val="num" w:pos="360"/>
              </w:tabs>
              <w:ind w:left="216" w:right="0" w:hanging="216"/>
              <w:rPr>
                <w:rFonts w:eastAsia="Aptos"/>
              </w:rPr>
            </w:pPr>
            <w:r w:rsidRPr="0067507D">
              <w:rPr>
                <w:rFonts w:eastAsia="Aptos"/>
              </w:rPr>
              <w:t>1 Macarthur Street</w:t>
            </w:r>
          </w:p>
          <w:p w14:paraId="29F9438B" w14:textId="4DDB1592" w:rsidR="21264DBD" w:rsidRPr="0067507D" w:rsidRDefault="21264DBD" w:rsidP="00D8566F">
            <w:pPr>
              <w:pStyle w:val="Tablebullet"/>
              <w:keepLines w:val="0"/>
              <w:numPr>
                <w:ilvl w:val="0"/>
                <w:numId w:val="1"/>
              </w:numPr>
              <w:tabs>
                <w:tab w:val="num" w:pos="360"/>
              </w:tabs>
              <w:ind w:left="216" w:right="0" w:hanging="216"/>
              <w:rPr>
                <w:rFonts w:eastAsia="Aptos"/>
              </w:rPr>
            </w:pPr>
            <w:r w:rsidRPr="0067507D">
              <w:rPr>
                <w:rFonts w:eastAsia="Aptos"/>
              </w:rPr>
              <w:t>1 Treasury Place</w:t>
            </w:r>
          </w:p>
          <w:p w14:paraId="5BB3B0D9" w14:textId="68D766D1" w:rsidR="21264DBD" w:rsidRPr="0067507D" w:rsidRDefault="21264DBD" w:rsidP="00D8566F">
            <w:pPr>
              <w:pStyle w:val="Tablebullet"/>
              <w:keepLines w:val="0"/>
              <w:numPr>
                <w:ilvl w:val="0"/>
                <w:numId w:val="1"/>
              </w:numPr>
              <w:tabs>
                <w:tab w:val="num" w:pos="360"/>
              </w:tabs>
              <w:ind w:left="216" w:right="0" w:hanging="216"/>
              <w:rPr>
                <w:rFonts w:eastAsia="Aptos"/>
              </w:rPr>
            </w:pPr>
            <w:r w:rsidRPr="0067507D">
              <w:rPr>
                <w:rFonts w:eastAsia="Aptos"/>
              </w:rPr>
              <w:t>55 Collins Street</w:t>
            </w:r>
          </w:p>
        </w:tc>
        <w:tc>
          <w:tcPr>
            <w:tcW w:w="1975" w:type="dxa"/>
          </w:tcPr>
          <w:p w14:paraId="447839C4" w14:textId="4C3C9580" w:rsidR="00E5426C" w:rsidRPr="0067507D" w:rsidRDefault="00912B3B" w:rsidP="00281AB1">
            <w:pPr>
              <w:pStyle w:val="Tabletext"/>
            </w:pPr>
            <w:r w:rsidRPr="0067507D">
              <w:rPr>
                <w:rFonts w:eastAsia="Aptos"/>
              </w:rPr>
              <w:t>No q</w:t>
            </w:r>
            <w:r w:rsidR="003D4098" w:rsidRPr="0067507D">
              <w:rPr>
                <w:rFonts w:eastAsia="Aptos"/>
              </w:rPr>
              <w:t xml:space="preserve">uarterly site inspections were completed by </w:t>
            </w:r>
            <w:r w:rsidR="00931A09" w:rsidRPr="0067507D">
              <w:rPr>
                <w:rFonts w:eastAsia="Aptos"/>
              </w:rPr>
              <w:t>HSRs</w:t>
            </w:r>
          </w:p>
        </w:tc>
      </w:tr>
      <w:tr w:rsidR="00113E1C" w:rsidRPr="0067507D" w14:paraId="269B16A0" w14:textId="46E13DD6" w:rsidTr="006B6B67">
        <w:trPr>
          <w:cantSplit/>
        </w:trPr>
        <w:tc>
          <w:tcPr>
            <w:tcW w:w="1260" w:type="dxa"/>
          </w:tcPr>
          <w:p w14:paraId="06598CEF" w14:textId="77777777" w:rsidR="00113E1C" w:rsidRPr="0067507D" w:rsidRDefault="00113E1C" w:rsidP="00080B1E">
            <w:pPr>
              <w:pStyle w:val="Tabletext"/>
              <w:rPr>
                <w:highlight w:val="yellow"/>
              </w:rPr>
            </w:pPr>
          </w:p>
        </w:tc>
        <w:tc>
          <w:tcPr>
            <w:tcW w:w="2250" w:type="dxa"/>
            <w:shd w:val="clear" w:color="auto" w:fill="D9D9D9" w:themeFill="background1" w:themeFillShade="D9"/>
          </w:tcPr>
          <w:p w14:paraId="34806B64" w14:textId="77777777" w:rsidR="00113E1C" w:rsidRPr="0067507D" w:rsidRDefault="1BCD0F5B" w:rsidP="21264DBD">
            <w:pPr>
              <w:pStyle w:val="Tabletext"/>
            </w:pPr>
            <w:r w:rsidRPr="0067507D">
              <w:t>Percentage of reported incidents investigated</w:t>
            </w:r>
          </w:p>
        </w:tc>
        <w:tc>
          <w:tcPr>
            <w:tcW w:w="1980" w:type="dxa"/>
          </w:tcPr>
          <w:p w14:paraId="286B5D5C" w14:textId="4A162910" w:rsidR="21264DBD" w:rsidRPr="0067507D" w:rsidRDefault="21264DBD" w:rsidP="00A101E9">
            <w:pPr>
              <w:pStyle w:val="Tabletext"/>
              <w:rPr>
                <w:rFonts w:eastAsia="Aptos"/>
              </w:rPr>
            </w:pPr>
            <w:r w:rsidRPr="0067507D">
              <w:rPr>
                <w:rFonts w:eastAsia="Aptos"/>
              </w:rPr>
              <w:t>Of the 13 incidents reported, 100</w:t>
            </w:r>
            <w:r w:rsidRPr="0067507D">
              <w:rPr>
                <w:rFonts w:ascii="Calibri" w:eastAsia="Arial" w:hAnsi="Calibri" w:cs="Calibri"/>
              </w:rPr>
              <w:t> </w:t>
            </w:r>
            <w:r w:rsidRPr="0067507D">
              <w:rPr>
                <w:rFonts w:eastAsia="Aptos"/>
              </w:rPr>
              <w:t>per</w:t>
            </w:r>
            <w:r w:rsidRPr="0067507D">
              <w:rPr>
                <w:rFonts w:ascii="Calibri" w:eastAsia="Arial" w:hAnsi="Calibri" w:cs="Calibri"/>
              </w:rPr>
              <w:t> </w:t>
            </w:r>
            <w:r w:rsidRPr="0067507D">
              <w:rPr>
                <w:rFonts w:eastAsia="Aptos"/>
              </w:rPr>
              <w:t>cent of these incidents were investigated.</w:t>
            </w:r>
          </w:p>
        </w:tc>
        <w:tc>
          <w:tcPr>
            <w:tcW w:w="2165" w:type="dxa"/>
          </w:tcPr>
          <w:p w14:paraId="221DC767" w14:textId="4F3226E6" w:rsidR="21264DBD" w:rsidRPr="0067507D" w:rsidRDefault="21264DBD" w:rsidP="00A101E9">
            <w:pPr>
              <w:pStyle w:val="Tabletext"/>
              <w:rPr>
                <w:rFonts w:eastAsia="Aptos"/>
              </w:rPr>
            </w:pPr>
            <w:r w:rsidRPr="0067507D">
              <w:rPr>
                <w:rFonts w:eastAsia="Aptos"/>
              </w:rPr>
              <w:t>Of the 26 incidents reported, 100 per cent of these incidents were investigated.</w:t>
            </w:r>
          </w:p>
        </w:tc>
        <w:tc>
          <w:tcPr>
            <w:tcW w:w="1975" w:type="dxa"/>
          </w:tcPr>
          <w:p w14:paraId="3B51A993" w14:textId="60BEF796" w:rsidR="00E5426C" w:rsidRPr="0067507D" w:rsidRDefault="0A9F7446" w:rsidP="21264DBD">
            <w:pPr>
              <w:pStyle w:val="Tabletext"/>
              <w:rPr>
                <w:highlight w:val="yellow"/>
              </w:rPr>
            </w:pPr>
            <w:r w:rsidRPr="0067507D">
              <w:rPr>
                <w:rFonts w:eastAsia="Aptos"/>
              </w:rPr>
              <w:t xml:space="preserve">Of the 7 incidents reported, 100 per cent of these incidents were investigated. </w:t>
            </w:r>
          </w:p>
        </w:tc>
      </w:tr>
      <w:tr w:rsidR="00113E1C" w:rsidRPr="0067507D" w14:paraId="220994F3" w14:textId="456F4003" w:rsidTr="006B6B67">
        <w:trPr>
          <w:cantSplit/>
        </w:trPr>
        <w:tc>
          <w:tcPr>
            <w:tcW w:w="1260" w:type="dxa"/>
          </w:tcPr>
          <w:p w14:paraId="26BFCF58" w14:textId="77777777" w:rsidR="00113E1C" w:rsidRPr="0067507D" w:rsidRDefault="00113E1C" w:rsidP="003E4E12">
            <w:pPr>
              <w:pStyle w:val="Tabletext"/>
              <w:keepNext/>
              <w:rPr>
                <w:highlight w:val="yellow"/>
              </w:rPr>
            </w:pPr>
          </w:p>
        </w:tc>
        <w:tc>
          <w:tcPr>
            <w:tcW w:w="2250" w:type="dxa"/>
            <w:shd w:val="clear" w:color="auto" w:fill="D9D9D9" w:themeFill="background1" w:themeFillShade="D9"/>
          </w:tcPr>
          <w:p w14:paraId="278226EE" w14:textId="192D2FDA" w:rsidR="00113E1C" w:rsidRPr="0067507D" w:rsidRDefault="1BCD0F5B" w:rsidP="21264DBD">
            <w:pPr>
              <w:pStyle w:val="Tabletext"/>
            </w:pPr>
            <w:r w:rsidRPr="0067507D">
              <w:t>No. of Improvement Notices issued across the Department by WorkSafe</w:t>
            </w:r>
            <w:r w:rsidR="003D4098" w:rsidRPr="0067507D">
              <w:rPr>
                <w:rFonts w:ascii="Calibri" w:hAnsi="Calibri"/>
              </w:rPr>
              <w:t xml:space="preserve"> </w:t>
            </w:r>
            <w:r w:rsidRPr="0067507D">
              <w:t>Inspector</w:t>
            </w:r>
          </w:p>
        </w:tc>
        <w:tc>
          <w:tcPr>
            <w:tcW w:w="1980" w:type="dxa"/>
          </w:tcPr>
          <w:p w14:paraId="7C056380" w14:textId="3F88DEFB" w:rsidR="21264DBD" w:rsidRPr="0067507D" w:rsidRDefault="005B144C" w:rsidP="00A101E9">
            <w:pPr>
              <w:pStyle w:val="Tabletext"/>
              <w:rPr>
                <w:rFonts w:eastAsia="Aptos"/>
              </w:rPr>
            </w:pPr>
            <w:r w:rsidRPr="0067507D">
              <w:rPr>
                <w:rFonts w:eastAsia="Aptos"/>
              </w:rPr>
              <w:t>none</w:t>
            </w:r>
          </w:p>
        </w:tc>
        <w:tc>
          <w:tcPr>
            <w:tcW w:w="2165" w:type="dxa"/>
          </w:tcPr>
          <w:p w14:paraId="4ECC654D" w14:textId="07ABE069" w:rsidR="21264DBD" w:rsidRPr="0067507D" w:rsidRDefault="005B144C" w:rsidP="00A101E9">
            <w:pPr>
              <w:pStyle w:val="Tabletext"/>
              <w:rPr>
                <w:rFonts w:eastAsia="Aptos"/>
              </w:rPr>
            </w:pPr>
            <w:r w:rsidRPr="0067507D">
              <w:rPr>
                <w:rFonts w:eastAsia="Aptos"/>
              </w:rPr>
              <w:t>none</w:t>
            </w:r>
          </w:p>
        </w:tc>
        <w:tc>
          <w:tcPr>
            <w:tcW w:w="1975" w:type="dxa"/>
          </w:tcPr>
          <w:p w14:paraId="1678B28A" w14:textId="386B16BF" w:rsidR="00E5426C" w:rsidRPr="0067507D" w:rsidRDefault="005B144C" w:rsidP="21264DBD">
            <w:pPr>
              <w:pStyle w:val="Tabletext"/>
            </w:pPr>
            <w:r w:rsidRPr="0067507D">
              <w:t>none</w:t>
            </w:r>
          </w:p>
        </w:tc>
      </w:tr>
      <w:tr w:rsidR="00113E1C" w:rsidRPr="0067507D" w14:paraId="583CB200" w14:textId="75BF18D3" w:rsidTr="006B6B67">
        <w:trPr>
          <w:cantSplit/>
        </w:trPr>
        <w:tc>
          <w:tcPr>
            <w:tcW w:w="1260" w:type="dxa"/>
            <w:vMerge w:val="restart"/>
            <w:hideMark/>
          </w:tcPr>
          <w:p w14:paraId="64A3F409" w14:textId="77777777" w:rsidR="00113E1C" w:rsidRPr="0067507D" w:rsidRDefault="00113E1C" w:rsidP="00080B1E">
            <w:pPr>
              <w:pStyle w:val="Tabletext"/>
              <w:keepNext/>
              <w:rPr>
                <w:highlight w:val="yellow"/>
              </w:rPr>
            </w:pPr>
          </w:p>
        </w:tc>
        <w:tc>
          <w:tcPr>
            <w:tcW w:w="2250" w:type="dxa"/>
            <w:shd w:val="clear" w:color="auto" w:fill="D9D9D9" w:themeFill="background1" w:themeFillShade="D9"/>
            <w:hideMark/>
          </w:tcPr>
          <w:p w14:paraId="00D5DB3C" w14:textId="77777777" w:rsidR="00113E1C" w:rsidRPr="0067507D" w:rsidRDefault="1BCD0F5B" w:rsidP="21264DBD">
            <w:pPr>
              <w:pStyle w:val="Tabletext"/>
            </w:pPr>
            <w:r w:rsidRPr="0067507D">
              <w:t>Percentage of issues identified actioned arising</w:t>
            </w:r>
            <w:r w:rsidRPr="0067507D">
              <w:rPr>
                <w:rFonts w:ascii="Calibri" w:hAnsi="Calibri"/>
              </w:rPr>
              <w:t> </w:t>
            </w:r>
            <w:r w:rsidRPr="0067507D">
              <w:t>from:</w:t>
            </w:r>
          </w:p>
        </w:tc>
        <w:tc>
          <w:tcPr>
            <w:tcW w:w="1980" w:type="dxa"/>
          </w:tcPr>
          <w:p w14:paraId="2B82974D" w14:textId="0095606F" w:rsidR="21264DBD" w:rsidRPr="0067507D" w:rsidRDefault="21264DBD" w:rsidP="00A101E9">
            <w:pPr>
              <w:pStyle w:val="Tabletext"/>
              <w:rPr>
                <w:rFonts w:eastAsia="Aptos"/>
              </w:rPr>
            </w:pPr>
          </w:p>
        </w:tc>
        <w:tc>
          <w:tcPr>
            <w:tcW w:w="2165" w:type="dxa"/>
          </w:tcPr>
          <w:p w14:paraId="7C34462C" w14:textId="67BE0A13" w:rsidR="21264DBD" w:rsidRPr="0067507D" w:rsidRDefault="21264DBD" w:rsidP="00A101E9">
            <w:pPr>
              <w:pStyle w:val="Tabletext"/>
              <w:rPr>
                <w:rFonts w:eastAsia="Aptos"/>
              </w:rPr>
            </w:pPr>
          </w:p>
        </w:tc>
        <w:tc>
          <w:tcPr>
            <w:tcW w:w="1975" w:type="dxa"/>
          </w:tcPr>
          <w:p w14:paraId="286C1AA5" w14:textId="77777777" w:rsidR="00E5426C" w:rsidRPr="0067507D" w:rsidRDefault="00E5426C" w:rsidP="21264DBD">
            <w:pPr>
              <w:pStyle w:val="Tabletext"/>
            </w:pPr>
          </w:p>
        </w:tc>
      </w:tr>
      <w:tr w:rsidR="00113E1C" w:rsidRPr="0067507D" w14:paraId="75E3470C" w14:textId="64D016AB" w:rsidTr="006B6B67">
        <w:trPr>
          <w:cantSplit/>
        </w:trPr>
        <w:tc>
          <w:tcPr>
            <w:tcW w:w="1260" w:type="dxa"/>
            <w:vMerge/>
            <w:hideMark/>
          </w:tcPr>
          <w:p w14:paraId="2B8587F6" w14:textId="77777777" w:rsidR="00113E1C" w:rsidRPr="0067507D" w:rsidRDefault="00113E1C" w:rsidP="003E4E12">
            <w:pPr>
              <w:pStyle w:val="Tabletext"/>
              <w:rPr>
                <w:highlight w:val="yellow"/>
              </w:rPr>
            </w:pPr>
          </w:p>
        </w:tc>
        <w:tc>
          <w:tcPr>
            <w:tcW w:w="2250" w:type="dxa"/>
            <w:shd w:val="clear" w:color="auto" w:fill="D9D9D9" w:themeFill="background1" w:themeFillShade="D9"/>
            <w:hideMark/>
          </w:tcPr>
          <w:p w14:paraId="3CBDB9AA" w14:textId="77777777" w:rsidR="00113E1C" w:rsidRPr="0067507D" w:rsidRDefault="1BCD0F5B" w:rsidP="00A101E9">
            <w:pPr>
              <w:pStyle w:val="Tabletext"/>
            </w:pPr>
            <w:r w:rsidRPr="0067507D">
              <w:t>internal audits</w:t>
            </w:r>
          </w:p>
        </w:tc>
        <w:tc>
          <w:tcPr>
            <w:tcW w:w="1980" w:type="dxa"/>
          </w:tcPr>
          <w:p w14:paraId="7E3227CA" w14:textId="3E77E856" w:rsidR="21264DBD" w:rsidRPr="0067507D" w:rsidRDefault="21264DBD" w:rsidP="00A101E9">
            <w:pPr>
              <w:pStyle w:val="Tabletext"/>
              <w:rPr>
                <w:rFonts w:eastAsia="Aptos"/>
              </w:rPr>
            </w:pPr>
            <w:r w:rsidRPr="0067507D">
              <w:rPr>
                <w:rFonts w:eastAsia="Aptos"/>
              </w:rPr>
              <w:t>Zero corrective actions were identified for DTF Policy and Procedures review</w:t>
            </w:r>
          </w:p>
        </w:tc>
        <w:tc>
          <w:tcPr>
            <w:tcW w:w="2165" w:type="dxa"/>
          </w:tcPr>
          <w:p w14:paraId="06F953C4" w14:textId="1919042F" w:rsidR="21264DBD" w:rsidRPr="0067507D" w:rsidRDefault="21264DBD" w:rsidP="00A101E9">
            <w:pPr>
              <w:pStyle w:val="Tabletext"/>
              <w:rPr>
                <w:rFonts w:eastAsia="Aptos"/>
              </w:rPr>
            </w:pPr>
            <w:r w:rsidRPr="0067507D">
              <w:rPr>
                <w:rFonts w:eastAsia="Aptos"/>
              </w:rPr>
              <w:t>Zero corrective actions were identified for DTF Policy and Procedures review</w:t>
            </w:r>
          </w:p>
        </w:tc>
        <w:tc>
          <w:tcPr>
            <w:tcW w:w="1975" w:type="dxa"/>
          </w:tcPr>
          <w:p w14:paraId="71C7CD2B" w14:textId="679E47FC" w:rsidR="00E5426C" w:rsidRPr="0067507D" w:rsidRDefault="00BD6E77" w:rsidP="21264DBD">
            <w:pPr>
              <w:pStyle w:val="Tabletext"/>
            </w:pPr>
            <w:r w:rsidRPr="0067507D">
              <w:t>Zero corrective actions were identified for DTF Policy and Procedures review</w:t>
            </w:r>
          </w:p>
        </w:tc>
      </w:tr>
      <w:tr w:rsidR="00113E1C" w:rsidRPr="0067507D" w14:paraId="0362A1B5" w14:textId="734DC55B" w:rsidTr="006B6B67">
        <w:trPr>
          <w:cantSplit/>
        </w:trPr>
        <w:tc>
          <w:tcPr>
            <w:tcW w:w="1260" w:type="dxa"/>
            <w:hideMark/>
          </w:tcPr>
          <w:p w14:paraId="2B29A07B" w14:textId="77777777" w:rsidR="00113E1C" w:rsidRPr="0067507D" w:rsidRDefault="00113E1C" w:rsidP="003E4E12">
            <w:pPr>
              <w:pStyle w:val="Tabletext"/>
              <w:rPr>
                <w:highlight w:val="yellow"/>
              </w:rPr>
            </w:pPr>
          </w:p>
        </w:tc>
        <w:tc>
          <w:tcPr>
            <w:tcW w:w="2250" w:type="dxa"/>
            <w:shd w:val="clear" w:color="auto" w:fill="D9D9D9" w:themeFill="background1" w:themeFillShade="D9"/>
            <w:hideMark/>
          </w:tcPr>
          <w:p w14:paraId="76FE51BE" w14:textId="77777777" w:rsidR="00113E1C" w:rsidRPr="0067507D" w:rsidRDefault="1BCD0F5B" w:rsidP="00A101E9">
            <w:pPr>
              <w:pStyle w:val="Tabletext"/>
            </w:pPr>
            <w:r w:rsidRPr="0067507D">
              <w:t xml:space="preserve">HSR provisional improvement notices </w:t>
            </w:r>
          </w:p>
        </w:tc>
        <w:tc>
          <w:tcPr>
            <w:tcW w:w="1980" w:type="dxa"/>
          </w:tcPr>
          <w:p w14:paraId="351BC374" w14:textId="6FC249DA" w:rsidR="21264DBD" w:rsidRPr="0067507D" w:rsidRDefault="21264DBD" w:rsidP="00A101E9">
            <w:pPr>
              <w:pStyle w:val="Tabletext"/>
              <w:rPr>
                <w:rFonts w:eastAsia="Aptos"/>
              </w:rPr>
            </w:pPr>
            <w:r w:rsidRPr="0067507D">
              <w:rPr>
                <w:rFonts w:eastAsia="Aptos"/>
              </w:rPr>
              <w:t>nil issued</w:t>
            </w:r>
          </w:p>
        </w:tc>
        <w:tc>
          <w:tcPr>
            <w:tcW w:w="2165" w:type="dxa"/>
          </w:tcPr>
          <w:p w14:paraId="13B242E3" w14:textId="0B9814AD" w:rsidR="21264DBD" w:rsidRPr="0067507D" w:rsidRDefault="21264DBD" w:rsidP="00A101E9">
            <w:pPr>
              <w:pStyle w:val="Tabletext"/>
              <w:rPr>
                <w:rFonts w:eastAsia="Aptos"/>
              </w:rPr>
            </w:pPr>
            <w:r w:rsidRPr="0067507D">
              <w:rPr>
                <w:rFonts w:eastAsia="Aptos"/>
              </w:rPr>
              <w:t>nil issued</w:t>
            </w:r>
          </w:p>
        </w:tc>
        <w:tc>
          <w:tcPr>
            <w:tcW w:w="1975" w:type="dxa"/>
          </w:tcPr>
          <w:p w14:paraId="5F81BBD3" w14:textId="22AF97D5" w:rsidR="00E5426C" w:rsidRPr="0067507D" w:rsidRDefault="00BD6E77" w:rsidP="21264DBD">
            <w:pPr>
              <w:pStyle w:val="Tabletext"/>
            </w:pPr>
            <w:r w:rsidRPr="0067507D">
              <w:t>nil issued</w:t>
            </w:r>
          </w:p>
        </w:tc>
      </w:tr>
      <w:tr w:rsidR="00113E1C" w:rsidRPr="0067507D" w14:paraId="5C302252" w14:textId="63D6F1D9" w:rsidTr="006B6B67">
        <w:trPr>
          <w:cantSplit/>
        </w:trPr>
        <w:tc>
          <w:tcPr>
            <w:tcW w:w="1260" w:type="dxa"/>
            <w:hideMark/>
          </w:tcPr>
          <w:p w14:paraId="79E24DFB" w14:textId="77777777" w:rsidR="00113E1C" w:rsidRPr="0067507D" w:rsidRDefault="00113E1C" w:rsidP="003E4E12">
            <w:pPr>
              <w:pStyle w:val="Tabletext"/>
              <w:rPr>
                <w:highlight w:val="yellow"/>
              </w:rPr>
            </w:pPr>
          </w:p>
        </w:tc>
        <w:tc>
          <w:tcPr>
            <w:tcW w:w="2250" w:type="dxa"/>
            <w:shd w:val="clear" w:color="auto" w:fill="D9D9D9" w:themeFill="background1" w:themeFillShade="D9"/>
            <w:hideMark/>
          </w:tcPr>
          <w:p w14:paraId="79D67CFB" w14:textId="77777777" w:rsidR="00113E1C" w:rsidRPr="0067507D" w:rsidRDefault="1BCD0F5B" w:rsidP="00A101E9">
            <w:pPr>
              <w:pStyle w:val="Tabletext"/>
            </w:pPr>
            <w:r w:rsidRPr="0067507D">
              <w:t>WorkSafe notices</w:t>
            </w:r>
          </w:p>
        </w:tc>
        <w:tc>
          <w:tcPr>
            <w:tcW w:w="1980" w:type="dxa"/>
          </w:tcPr>
          <w:p w14:paraId="716C5AD2" w14:textId="645DFAA6" w:rsidR="21264DBD" w:rsidRPr="0067507D" w:rsidRDefault="21264DBD" w:rsidP="00A101E9">
            <w:pPr>
              <w:pStyle w:val="Tabletext"/>
              <w:rPr>
                <w:rFonts w:eastAsia="Aptos"/>
              </w:rPr>
            </w:pPr>
            <w:r w:rsidRPr="0067507D">
              <w:rPr>
                <w:rFonts w:eastAsia="Aptos"/>
              </w:rPr>
              <w:t>nil issued</w:t>
            </w:r>
          </w:p>
        </w:tc>
        <w:tc>
          <w:tcPr>
            <w:tcW w:w="2165" w:type="dxa"/>
          </w:tcPr>
          <w:p w14:paraId="092CDBB8" w14:textId="0465AF4A" w:rsidR="21264DBD" w:rsidRPr="0067507D" w:rsidRDefault="21264DBD" w:rsidP="00A101E9">
            <w:pPr>
              <w:pStyle w:val="Tabletext"/>
              <w:rPr>
                <w:rFonts w:eastAsia="Aptos"/>
              </w:rPr>
            </w:pPr>
            <w:r w:rsidRPr="0067507D">
              <w:rPr>
                <w:rFonts w:eastAsia="Aptos"/>
              </w:rPr>
              <w:t>nil issued</w:t>
            </w:r>
          </w:p>
        </w:tc>
        <w:tc>
          <w:tcPr>
            <w:tcW w:w="1975" w:type="dxa"/>
          </w:tcPr>
          <w:p w14:paraId="4FF18FDD" w14:textId="51B72325" w:rsidR="00E5426C" w:rsidRPr="0067507D" w:rsidRDefault="00BD6E77" w:rsidP="21264DBD">
            <w:pPr>
              <w:pStyle w:val="Tabletext"/>
            </w:pPr>
            <w:r w:rsidRPr="0067507D">
              <w:t>nil issued</w:t>
            </w:r>
          </w:p>
        </w:tc>
      </w:tr>
      <w:tr w:rsidR="00113E1C" w:rsidRPr="0067507D" w14:paraId="0C3D7591" w14:textId="08543879" w:rsidTr="006B6B67">
        <w:trPr>
          <w:cantSplit/>
        </w:trPr>
        <w:tc>
          <w:tcPr>
            <w:tcW w:w="1260" w:type="dxa"/>
            <w:vMerge w:val="restart"/>
          </w:tcPr>
          <w:p w14:paraId="3DA19994" w14:textId="77777777" w:rsidR="00113E1C" w:rsidRPr="0067507D" w:rsidRDefault="00113E1C" w:rsidP="003E4E12">
            <w:pPr>
              <w:pStyle w:val="Tabletext"/>
            </w:pPr>
            <w:r w:rsidRPr="0067507D">
              <w:t>OHSMS development and improvement</w:t>
            </w:r>
          </w:p>
        </w:tc>
        <w:tc>
          <w:tcPr>
            <w:tcW w:w="2250" w:type="dxa"/>
            <w:shd w:val="clear" w:color="auto" w:fill="D9D9D9" w:themeFill="background1" w:themeFillShade="D9"/>
          </w:tcPr>
          <w:p w14:paraId="7B8D8AEB" w14:textId="77777777" w:rsidR="00113E1C" w:rsidRPr="0067507D" w:rsidRDefault="00113E1C" w:rsidP="003E4E12">
            <w:pPr>
              <w:pStyle w:val="Tabletext"/>
            </w:pPr>
            <w:r w:rsidRPr="0067507D">
              <w:t>No. of procedures developed and/or approved</w:t>
            </w:r>
          </w:p>
        </w:tc>
        <w:tc>
          <w:tcPr>
            <w:tcW w:w="1980" w:type="dxa"/>
          </w:tcPr>
          <w:p w14:paraId="4375F351" w14:textId="4C025C76" w:rsidR="21264DBD" w:rsidRPr="0067507D" w:rsidRDefault="21264DBD" w:rsidP="00A101E9">
            <w:pPr>
              <w:pStyle w:val="Tabletext"/>
              <w:rPr>
                <w:rFonts w:eastAsia="Aptos"/>
              </w:rPr>
            </w:pPr>
            <w:r w:rsidRPr="0067507D">
              <w:rPr>
                <w:rFonts w:eastAsia="Aptos"/>
              </w:rPr>
              <w:t>One new DTF procedure was developed</w:t>
            </w:r>
          </w:p>
        </w:tc>
        <w:tc>
          <w:tcPr>
            <w:tcW w:w="2165" w:type="dxa"/>
          </w:tcPr>
          <w:p w14:paraId="138FF975" w14:textId="11A1E5A6" w:rsidR="21264DBD" w:rsidRPr="0067507D" w:rsidRDefault="21264DBD" w:rsidP="00A101E9">
            <w:pPr>
              <w:pStyle w:val="Tabletext"/>
              <w:rPr>
                <w:rFonts w:eastAsia="Aptos"/>
              </w:rPr>
            </w:pPr>
            <w:r w:rsidRPr="0067507D">
              <w:rPr>
                <w:rFonts w:eastAsia="Aptos"/>
              </w:rPr>
              <w:t>Five new DTF procedures were developed</w:t>
            </w:r>
          </w:p>
        </w:tc>
        <w:tc>
          <w:tcPr>
            <w:tcW w:w="1975" w:type="dxa"/>
          </w:tcPr>
          <w:p w14:paraId="2B9BE7A2" w14:textId="4FF2F5A8" w:rsidR="00E5426C" w:rsidRPr="0067507D" w:rsidRDefault="00D53427" w:rsidP="00E5426C">
            <w:pPr>
              <w:pStyle w:val="Tabletext"/>
            </w:pPr>
            <w:r>
              <w:t>Two</w:t>
            </w:r>
            <w:r w:rsidR="00F51E92" w:rsidRPr="0067507D">
              <w:t xml:space="preserve"> new DTF procedures were developed</w:t>
            </w:r>
          </w:p>
        </w:tc>
      </w:tr>
      <w:tr w:rsidR="00113E1C" w:rsidRPr="0067507D" w14:paraId="7345A1CD" w14:textId="2111BEAC" w:rsidTr="006B6B67">
        <w:trPr>
          <w:cantSplit/>
        </w:trPr>
        <w:tc>
          <w:tcPr>
            <w:tcW w:w="1260" w:type="dxa"/>
            <w:vMerge/>
          </w:tcPr>
          <w:p w14:paraId="2CD3F0E0" w14:textId="77777777" w:rsidR="00113E1C" w:rsidRPr="0067507D" w:rsidRDefault="00113E1C" w:rsidP="003E4E12">
            <w:pPr>
              <w:pStyle w:val="Tabletext"/>
            </w:pPr>
          </w:p>
        </w:tc>
        <w:tc>
          <w:tcPr>
            <w:tcW w:w="2250" w:type="dxa"/>
            <w:shd w:val="clear" w:color="auto" w:fill="D9D9D9" w:themeFill="background1" w:themeFillShade="D9"/>
          </w:tcPr>
          <w:p w14:paraId="59CC99DD" w14:textId="77777777" w:rsidR="00113E1C" w:rsidRPr="0067507D" w:rsidRDefault="00113E1C" w:rsidP="003E4E12">
            <w:pPr>
              <w:pStyle w:val="Tabletext"/>
            </w:pPr>
            <w:r w:rsidRPr="0067507D">
              <w:t>No. of procedures reviewed and refined</w:t>
            </w:r>
          </w:p>
        </w:tc>
        <w:tc>
          <w:tcPr>
            <w:tcW w:w="1980" w:type="dxa"/>
          </w:tcPr>
          <w:p w14:paraId="35D7075E" w14:textId="54DC9D2E" w:rsidR="21264DBD" w:rsidRPr="0067507D" w:rsidRDefault="0028540D" w:rsidP="00A101E9">
            <w:pPr>
              <w:pStyle w:val="Tabletext"/>
              <w:rPr>
                <w:rFonts w:eastAsia="Aptos"/>
              </w:rPr>
            </w:pPr>
            <w:r>
              <w:rPr>
                <w:rFonts w:eastAsia="Aptos"/>
              </w:rPr>
              <w:t>Nineteen</w:t>
            </w:r>
            <w:r w:rsidR="21264DBD" w:rsidRPr="0067507D">
              <w:rPr>
                <w:rFonts w:eastAsia="Aptos"/>
              </w:rPr>
              <w:t xml:space="preserve"> DTF policies and procedures were reviewed.</w:t>
            </w:r>
          </w:p>
          <w:p w14:paraId="3B92D481" w14:textId="01C86224" w:rsidR="21264DBD" w:rsidRPr="0067507D" w:rsidRDefault="21264DBD" w:rsidP="00A101E9">
            <w:pPr>
              <w:pStyle w:val="Tabletext"/>
              <w:rPr>
                <w:rFonts w:eastAsia="Aptos"/>
              </w:rPr>
            </w:pPr>
            <w:r w:rsidRPr="0067507D">
              <w:rPr>
                <w:rFonts w:eastAsia="Aptos"/>
              </w:rPr>
              <w:t>Working from home risk assessment, review of Vaccination policy risk assessment, cold and flu policy consultation, emergency management plans for 1 Treasury and 1</w:t>
            </w:r>
            <w:r w:rsidRPr="0067507D">
              <w:rPr>
                <w:rFonts w:ascii="Calibri" w:eastAsia="Arial" w:hAnsi="Calibri" w:cs="Calibri"/>
              </w:rPr>
              <w:t> </w:t>
            </w:r>
            <w:r w:rsidRPr="0067507D">
              <w:rPr>
                <w:rFonts w:eastAsia="Aptos"/>
              </w:rPr>
              <w:t>Macarthur were reviewed.</w:t>
            </w:r>
            <w:r w:rsidR="006F3595" w:rsidRPr="0067507D">
              <w:rPr>
                <w:rFonts w:eastAsia="Aptos"/>
              </w:rPr>
              <w:t xml:space="preserve"> </w:t>
            </w:r>
          </w:p>
        </w:tc>
        <w:tc>
          <w:tcPr>
            <w:tcW w:w="2165" w:type="dxa"/>
          </w:tcPr>
          <w:p w14:paraId="5083B66F" w14:textId="4DE4995B" w:rsidR="21264DBD" w:rsidRPr="0067507D" w:rsidRDefault="00D53427" w:rsidP="00A101E9">
            <w:pPr>
              <w:pStyle w:val="Tabletext"/>
              <w:rPr>
                <w:rFonts w:eastAsia="Aptos"/>
              </w:rPr>
            </w:pPr>
            <w:r>
              <w:rPr>
                <w:rFonts w:eastAsia="Aptos"/>
              </w:rPr>
              <w:t>Seven</w:t>
            </w:r>
            <w:r w:rsidR="21264DBD" w:rsidRPr="0067507D">
              <w:rPr>
                <w:rFonts w:eastAsia="Aptos"/>
              </w:rPr>
              <w:t xml:space="preserve"> DTF policies and procedures were reviewed.</w:t>
            </w:r>
            <w:r w:rsidR="006F3595" w:rsidRPr="0067507D">
              <w:rPr>
                <w:rFonts w:eastAsia="Aptos"/>
              </w:rPr>
              <w:t xml:space="preserve"> </w:t>
            </w:r>
          </w:p>
          <w:p w14:paraId="5FF56D71" w14:textId="2995BB65" w:rsidR="21264DBD" w:rsidRPr="0067507D" w:rsidRDefault="21264DBD" w:rsidP="00A101E9">
            <w:pPr>
              <w:pStyle w:val="Tabletext"/>
              <w:rPr>
                <w:rFonts w:eastAsia="Aptos"/>
              </w:rPr>
            </w:pPr>
            <w:r w:rsidRPr="0067507D">
              <w:rPr>
                <w:rFonts w:eastAsia="Aptos"/>
              </w:rPr>
              <w:t>Guidance for creating a personal emergency evacuation plan (PEEP), PEEP template, emergency evacuation procedure, first aid procedure, flexible work policy and working remotely form, risk management procedure and fatigue risk management procedure.</w:t>
            </w:r>
          </w:p>
        </w:tc>
        <w:tc>
          <w:tcPr>
            <w:tcW w:w="1975" w:type="dxa"/>
          </w:tcPr>
          <w:p w14:paraId="5B8451CD" w14:textId="463DBF08" w:rsidR="00E5426C" w:rsidRPr="0067507D" w:rsidRDefault="00D53427" w:rsidP="00424463">
            <w:pPr>
              <w:pStyle w:val="Tabletext"/>
              <w:rPr>
                <w:rFonts w:eastAsia="Aptos"/>
              </w:rPr>
            </w:pPr>
            <w:r>
              <w:rPr>
                <w:rFonts w:eastAsia="Aptos"/>
              </w:rPr>
              <w:t>Four</w:t>
            </w:r>
            <w:r w:rsidR="004E3D56" w:rsidRPr="0067507D">
              <w:rPr>
                <w:rFonts w:eastAsia="Aptos"/>
              </w:rPr>
              <w:t xml:space="preserve"> DTF policies and procedures were reviewed</w:t>
            </w:r>
            <w:r w:rsidR="00CB387E" w:rsidRPr="0067507D">
              <w:rPr>
                <w:rFonts w:eastAsia="Aptos"/>
              </w:rPr>
              <w:t xml:space="preserve">. </w:t>
            </w:r>
            <w:r w:rsidR="008D4821" w:rsidRPr="0067507D">
              <w:rPr>
                <w:rFonts w:eastAsia="Aptos"/>
              </w:rPr>
              <w:t>First aid and risk management.</w:t>
            </w:r>
          </w:p>
          <w:p w14:paraId="3E194E2B" w14:textId="7A2DB545" w:rsidR="00E5426C" w:rsidRPr="0067507D" w:rsidRDefault="00F51E92" w:rsidP="00E5426C">
            <w:pPr>
              <w:pStyle w:val="Tabletext"/>
            </w:pPr>
            <w:r w:rsidRPr="0067507D">
              <w:rPr>
                <w:rFonts w:eastAsia="Aptos"/>
              </w:rPr>
              <w:t>C</w:t>
            </w:r>
            <w:r w:rsidR="00731143" w:rsidRPr="0067507D">
              <w:rPr>
                <w:rFonts w:eastAsia="Aptos"/>
              </w:rPr>
              <w:t xml:space="preserve">onsultation and communication and </w:t>
            </w:r>
            <w:r w:rsidRPr="0067507D">
              <w:rPr>
                <w:rFonts w:eastAsia="Aptos"/>
              </w:rPr>
              <w:t>hazard, incident and near miss reporting and investigations</w:t>
            </w:r>
            <w:r w:rsidR="00746928" w:rsidRPr="0067507D">
              <w:rPr>
                <w:rFonts w:eastAsia="Aptos"/>
              </w:rPr>
              <w:t>.</w:t>
            </w:r>
          </w:p>
        </w:tc>
      </w:tr>
      <w:tr w:rsidR="009E5288" w:rsidRPr="0067507D" w14:paraId="63C92A79" w14:textId="3C83D0BC" w:rsidTr="006B6B67">
        <w:trPr>
          <w:cantSplit/>
          <w:trHeight w:val="2832"/>
        </w:trPr>
        <w:tc>
          <w:tcPr>
            <w:tcW w:w="1260" w:type="dxa"/>
            <w:vMerge w:val="restart"/>
            <w:hideMark/>
          </w:tcPr>
          <w:p w14:paraId="515D25CA" w14:textId="0FB4868F" w:rsidR="009E5288" w:rsidRPr="0067507D" w:rsidRDefault="009E5288" w:rsidP="003E4E12">
            <w:pPr>
              <w:pStyle w:val="Tabletext"/>
            </w:pPr>
            <w:r w:rsidRPr="0067507D">
              <w:t>Training</w:t>
            </w:r>
          </w:p>
        </w:tc>
        <w:tc>
          <w:tcPr>
            <w:tcW w:w="2250" w:type="dxa"/>
            <w:vMerge w:val="restart"/>
            <w:shd w:val="clear" w:color="auto" w:fill="D9D9D9" w:themeFill="background1" w:themeFillShade="D9"/>
            <w:hideMark/>
          </w:tcPr>
          <w:p w14:paraId="7D7F9B02" w14:textId="77777777" w:rsidR="009E5288" w:rsidRPr="0067507D" w:rsidRDefault="009E5288" w:rsidP="003E4E12">
            <w:pPr>
              <w:pStyle w:val="Tabletext"/>
            </w:pPr>
            <w:r w:rsidRPr="0067507D">
              <w:t>Percentage of managers and staff that have received OHS training:</w:t>
            </w:r>
          </w:p>
          <w:p w14:paraId="236A99C2" w14:textId="77777777" w:rsidR="009E5288" w:rsidRPr="0067507D" w:rsidRDefault="009E5288" w:rsidP="00655729">
            <w:pPr>
              <w:pStyle w:val="Tablebullet"/>
              <w:keepLines w:val="0"/>
              <w:ind w:left="216" w:right="0" w:hanging="216"/>
            </w:pPr>
            <w:r w:rsidRPr="0067507D">
              <w:t>induction</w:t>
            </w:r>
          </w:p>
          <w:p w14:paraId="4B996F08" w14:textId="77777777" w:rsidR="009E5288" w:rsidRPr="0067507D" w:rsidRDefault="009E5288" w:rsidP="00655729">
            <w:pPr>
              <w:pStyle w:val="Tablebullet"/>
              <w:keepLines w:val="0"/>
              <w:ind w:left="216" w:right="0" w:hanging="216"/>
            </w:pPr>
            <w:r w:rsidRPr="0067507D">
              <w:t>management training</w:t>
            </w:r>
          </w:p>
          <w:p w14:paraId="584571A7" w14:textId="77777777" w:rsidR="009E5288" w:rsidRPr="0067507D" w:rsidRDefault="009E5288" w:rsidP="00655729">
            <w:pPr>
              <w:pStyle w:val="Tablebullet"/>
              <w:keepLines w:val="0"/>
              <w:ind w:left="216" w:right="0" w:hanging="216"/>
            </w:pPr>
            <w:r w:rsidRPr="0067507D">
              <w:t>contractors, temps, and visitors</w:t>
            </w:r>
          </w:p>
        </w:tc>
        <w:tc>
          <w:tcPr>
            <w:tcW w:w="1980" w:type="dxa"/>
          </w:tcPr>
          <w:p w14:paraId="7080E741" w14:textId="2E86C155" w:rsidR="009E5288" w:rsidRPr="0067507D" w:rsidRDefault="009E5288" w:rsidP="00A101E9">
            <w:pPr>
              <w:pStyle w:val="Tabletext"/>
              <w:rPr>
                <w:rFonts w:eastAsia="Aptos"/>
              </w:rPr>
            </w:pPr>
            <w:r w:rsidRPr="0067507D">
              <w:rPr>
                <w:rFonts w:eastAsia="Aptos"/>
              </w:rPr>
              <w:t xml:space="preserve">96 DTF employees have attended mental health and wellbeing training for people leaders. </w:t>
            </w:r>
          </w:p>
          <w:p w14:paraId="73CC28FD" w14:textId="2D72F6CE" w:rsidR="009E5288" w:rsidRPr="0067507D" w:rsidRDefault="009E5288" w:rsidP="00A101E9">
            <w:pPr>
              <w:pStyle w:val="Tabletext"/>
              <w:rPr>
                <w:rFonts w:eastAsia="Aptos"/>
              </w:rPr>
            </w:pPr>
            <w:r w:rsidRPr="0067507D">
              <w:rPr>
                <w:rFonts w:eastAsia="Aptos"/>
              </w:rPr>
              <w:t>371 DTF employees and contractors have successfully completed OHS online learning modules through DTF’s Learning Management System (Kando Central). This reflects 64</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 of DTF’s FTE.</w:t>
            </w:r>
            <w:r w:rsidRPr="0067507D">
              <w:rPr>
                <w:rFonts w:ascii="Calibri" w:eastAsia="Aptos" w:hAnsi="Calibri" w:cs="Calibri"/>
              </w:rPr>
              <w:t> </w:t>
            </w:r>
          </w:p>
          <w:p w14:paraId="1E662049" w14:textId="66678A74" w:rsidR="009E5288" w:rsidRPr="0067507D" w:rsidRDefault="009E5288" w:rsidP="00A101E9">
            <w:pPr>
              <w:pStyle w:val="Tabletext"/>
              <w:rPr>
                <w:rFonts w:eastAsia="Aptos"/>
              </w:rPr>
            </w:pPr>
            <w:r w:rsidRPr="0067507D">
              <w:rPr>
                <w:rFonts w:eastAsia="Aptos"/>
              </w:rPr>
              <w:t>165 (28</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 executive and senior DTF staff have completed Online Mental Health Training through DTF’s Learning Management System (Kando Central).</w:t>
            </w:r>
            <w:r w:rsidRPr="0067507D">
              <w:rPr>
                <w:rFonts w:ascii="Calibri" w:eastAsia="Aptos" w:hAnsi="Calibri" w:cs="Calibri"/>
              </w:rPr>
              <w:t> </w:t>
            </w:r>
          </w:p>
          <w:p w14:paraId="6666AD8C" w14:textId="58DFA94E" w:rsidR="009E5288" w:rsidRPr="0067507D" w:rsidRDefault="009E5288" w:rsidP="00A101E9">
            <w:pPr>
              <w:pStyle w:val="Tabletext"/>
              <w:rPr>
                <w:rFonts w:eastAsia="Aptos"/>
              </w:rPr>
            </w:pPr>
            <w:r w:rsidRPr="0067507D">
              <w:rPr>
                <w:rFonts w:eastAsia="Aptos"/>
              </w:rPr>
              <w:t xml:space="preserve">As of 30 June 2024, seven newly appointed First Aid Officers (FAO) are to undergo FAO training and induction and one FAO is scheduled for refresher training. </w:t>
            </w:r>
          </w:p>
        </w:tc>
        <w:tc>
          <w:tcPr>
            <w:tcW w:w="2165" w:type="dxa"/>
          </w:tcPr>
          <w:p w14:paraId="6AC6AEB0" w14:textId="5C155BB7" w:rsidR="009E5288" w:rsidRPr="0067507D" w:rsidRDefault="009E5288" w:rsidP="00A101E9">
            <w:pPr>
              <w:pStyle w:val="Tabletext"/>
              <w:rPr>
                <w:rFonts w:eastAsia="Aptos"/>
              </w:rPr>
            </w:pPr>
            <w:r w:rsidRPr="0067507D">
              <w:rPr>
                <w:rFonts w:eastAsia="Aptos"/>
              </w:rPr>
              <w:t>106 DTF employees have attended mental health and wellbeing training for people leaders.</w:t>
            </w:r>
            <w:r w:rsidRPr="0067507D">
              <w:rPr>
                <w:rFonts w:ascii="Calibri" w:eastAsia="Aptos" w:hAnsi="Calibri" w:cs="Calibri"/>
              </w:rPr>
              <w:t> </w:t>
            </w:r>
          </w:p>
          <w:p w14:paraId="093B8CBF" w14:textId="49EC5F4E" w:rsidR="009E5288" w:rsidRPr="0067507D" w:rsidRDefault="009E5288" w:rsidP="00A101E9">
            <w:pPr>
              <w:pStyle w:val="Tabletext"/>
              <w:rPr>
                <w:rFonts w:eastAsia="Aptos"/>
              </w:rPr>
            </w:pPr>
            <w:r w:rsidRPr="0067507D">
              <w:rPr>
                <w:rFonts w:eastAsia="Aptos"/>
              </w:rPr>
              <w:t>407 DTF employees and contractors have successfully completed OHS online learning modules through DTF’s Learning Management System (Kando Central). This reflects 62 per cent of DTF’s</w:t>
            </w:r>
            <w:r w:rsidRPr="0067507D">
              <w:rPr>
                <w:rFonts w:ascii="Arial" w:eastAsia="Arial" w:hAnsi="Arial" w:cs="Arial"/>
              </w:rPr>
              <w:t> </w:t>
            </w:r>
            <w:r w:rsidRPr="0067507D">
              <w:rPr>
                <w:rFonts w:eastAsia="Aptos"/>
              </w:rPr>
              <w:t>FTE.</w:t>
            </w:r>
            <w:r w:rsidRPr="0067507D">
              <w:rPr>
                <w:rFonts w:ascii="Calibri" w:eastAsia="Aptos" w:hAnsi="Calibri" w:cs="Calibri"/>
              </w:rPr>
              <w:t> </w:t>
            </w:r>
          </w:p>
          <w:p w14:paraId="4A22675E" w14:textId="44026DB9" w:rsidR="009E5288" w:rsidRPr="0067507D" w:rsidRDefault="009E5288" w:rsidP="00A101E9">
            <w:pPr>
              <w:pStyle w:val="Tabletext"/>
              <w:rPr>
                <w:rFonts w:eastAsia="Aptos"/>
              </w:rPr>
            </w:pPr>
            <w:r w:rsidRPr="0067507D">
              <w:rPr>
                <w:rFonts w:eastAsia="Aptos"/>
              </w:rPr>
              <w:t xml:space="preserve">122 </w:t>
            </w:r>
            <w:r w:rsidR="0009473F" w:rsidRPr="0067507D">
              <w:rPr>
                <w:rFonts w:eastAsia="Aptos"/>
              </w:rPr>
              <w:t>(19 per cent)</w:t>
            </w:r>
            <w:r w:rsidRPr="0067507D">
              <w:rPr>
                <w:rFonts w:eastAsia="Aptos"/>
              </w:rPr>
              <w:t xml:space="preserve"> executive and senior DTF staff have completed Online Mental Health Training through DTF’s Learning Management System (Kando Central)</w:t>
            </w:r>
            <w:r w:rsidRPr="0067507D">
              <w:rPr>
                <w:rFonts w:ascii="Calibri" w:eastAsia="Aptos" w:hAnsi="Calibri" w:cs="Calibri"/>
              </w:rPr>
              <w:t> </w:t>
            </w:r>
          </w:p>
          <w:p w14:paraId="06CD825C" w14:textId="3B0C3C63" w:rsidR="009E5288" w:rsidRPr="0067507D" w:rsidRDefault="009E5288" w:rsidP="00A101E9">
            <w:pPr>
              <w:pStyle w:val="Tabletext"/>
              <w:rPr>
                <w:rFonts w:eastAsia="Aptos"/>
              </w:rPr>
            </w:pPr>
            <w:r w:rsidRPr="0067507D">
              <w:rPr>
                <w:rFonts w:eastAsia="Aptos"/>
              </w:rPr>
              <w:t>As of 30 June 2025, all newly appointed First Aid Officers (FAO) have attended training (HLTAID011) and all existing first aid officers have attended CPR refresher training.</w:t>
            </w:r>
            <w:r w:rsidRPr="0067507D">
              <w:rPr>
                <w:rFonts w:ascii="Calibri" w:eastAsia="Aptos" w:hAnsi="Calibri" w:cs="Calibri"/>
              </w:rPr>
              <w:t> </w:t>
            </w:r>
          </w:p>
        </w:tc>
        <w:tc>
          <w:tcPr>
            <w:tcW w:w="1975" w:type="dxa"/>
          </w:tcPr>
          <w:p w14:paraId="12433E36" w14:textId="017CCFA9" w:rsidR="009E5288" w:rsidRPr="0067507D" w:rsidRDefault="00421153" w:rsidP="00424463">
            <w:pPr>
              <w:pStyle w:val="Tabletext"/>
              <w:rPr>
                <w:rFonts w:eastAsia="Aptos"/>
              </w:rPr>
            </w:pPr>
            <w:r w:rsidRPr="0067507D">
              <w:rPr>
                <w:rFonts w:eastAsia="Aptos"/>
              </w:rPr>
              <w:t>114 DTF employees have attended mental health and wellbeing training for people leaders.</w:t>
            </w:r>
          </w:p>
          <w:p w14:paraId="5DE7B966" w14:textId="77777777" w:rsidR="00A9329B" w:rsidRPr="0067507D" w:rsidRDefault="00067AB3" w:rsidP="00424463">
            <w:pPr>
              <w:pStyle w:val="Tabletext"/>
            </w:pPr>
            <w:r w:rsidRPr="0067507D">
              <w:t>334 DTF employees and contractors have successfully completed OHS online learning modules through DTF’s Learning Management System (Kando Central)</w:t>
            </w:r>
            <w:r w:rsidR="00A36345" w:rsidRPr="0067507D">
              <w:t>.</w:t>
            </w:r>
          </w:p>
          <w:p w14:paraId="1334F92E" w14:textId="3B7521B3" w:rsidR="00A36345" w:rsidRPr="0067507D" w:rsidRDefault="00A36345" w:rsidP="00424463">
            <w:pPr>
              <w:pStyle w:val="Tabletext"/>
            </w:pPr>
            <w:r w:rsidRPr="0067507D">
              <w:t xml:space="preserve">This reflects </w:t>
            </w:r>
            <w:r w:rsidR="00F1604B" w:rsidRPr="0067507D">
              <w:t>51 per cent</w:t>
            </w:r>
            <w:r w:rsidR="006907BB" w:rsidRPr="0067507D">
              <w:t xml:space="preserve"> of DTF’s FTE.</w:t>
            </w:r>
          </w:p>
          <w:p w14:paraId="4EB15B5F" w14:textId="6D751FE4" w:rsidR="00E62B1F" w:rsidRPr="0067507D" w:rsidRDefault="00096F5C" w:rsidP="00424463">
            <w:pPr>
              <w:pStyle w:val="Tabletext"/>
            </w:pPr>
            <w:r w:rsidRPr="0067507D">
              <w:t>60</w:t>
            </w:r>
            <w:r w:rsidR="0064701D" w:rsidRPr="0067507D">
              <w:t xml:space="preserve"> </w:t>
            </w:r>
            <w:r w:rsidR="00777728" w:rsidRPr="0067507D">
              <w:t>(</w:t>
            </w:r>
            <w:r w:rsidR="005C4769" w:rsidRPr="0067507D">
              <w:t>59</w:t>
            </w:r>
            <w:r w:rsidR="00777728" w:rsidRPr="0067507D">
              <w:t xml:space="preserve"> per cent</w:t>
            </w:r>
            <w:r w:rsidR="00255DC0" w:rsidRPr="0067507D">
              <w:t xml:space="preserve">) </w:t>
            </w:r>
            <w:r w:rsidR="0064701D" w:rsidRPr="0067507D">
              <w:t>executive and senior DTF staff have completed Online Ment</w:t>
            </w:r>
            <w:r w:rsidR="007C7165" w:rsidRPr="0067507D">
              <w:t xml:space="preserve">al Health </w:t>
            </w:r>
            <w:r w:rsidR="00767152" w:rsidRPr="0067507D">
              <w:t xml:space="preserve">Training through DTF’s Learning Management System </w:t>
            </w:r>
            <w:r w:rsidR="000946D2" w:rsidRPr="0067507D">
              <w:t>(Kando Central)</w:t>
            </w:r>
          </w:p>
          <w:p w14:paraId="6CE5F5B6" w14:textId="74D4C070" w:rsidR="009E5288" w:rsidRPr="0067507D" w:rsidRDefault="000946D2" w:rsidP="00E5426C">
            <w:pPr>
              <w:pStyle w:val="Tabletext"/>
              <w:rPr>
                <w:highlight w:val="yellow"/>
              </w:rPr>
            </w:pPr>
            <w:r w:rsidRPr="0067507D">
              <w:t>As of 30 June 202</w:t>
            </w:r>
            <w:r w:rsidR="00EC13F9" w:rsidRPr="0067507D">
              <w:t>5, all newly appointed First Aid Officers (FAO) have attended training</w:t>
            </w:r>
            <w:r w:rsidR="007B6BE7" w:rsidRPr="0067507D">
              <w:t xml:space="preserve"> (HLTAID011) and all existing first aid officers have attended CPR refresher training. </w:t>
            </w:r>
          </w:p>
        </w:tc>
      </w:tr>
      <w:tr w:rsidR="009E5288" w:rsidRPr="0067507D" w14:paraId="42B15B27" w14:textId="77777777" w:rsidTr="006B6B67">
        <w:trPr>
          <w:cantSplit/>
        </w:trPr>
        <w:tc>
          <w:tcPr>
            <w:tcW w:w="1260" w:type="dxa"/>
            <w:vMerge/>
          </w:tcPr>
          <w:p w14:paraId="5A438786" w14:textId="77777777" w:rsidR="009E5288" w:rsidRPr="0067507D" w:rsidRDefault="009E5288" w:rsidP="003E4E12">
            <w:pPr>
              <w:pStyle w:val="Tabletext"/>
            </w:pPr>
          </w:p>
        </w:tc>
        <w:tc>
          <w:tcPr>
            <w:tcW w:w="2250" w:type="dxa"/>
            <w:vMerge/>
            <w:shd w:val="clear" w:color="auto" w:fill="D9D9D9" w:themeFill="background1" w:themeFillShade="D9"/>
          </w:tcPr>
          <w:p w14:paraId="6BB30475" w14:textId="77777777" w:rsidR="009E5288" w:rsidRPr="0067507D" w:rsidRDefault="009E5288" w:rsidP="003E4E12">
            <w:pPr>
              <w:pStyle w:val="Tabletext"/>
            </w:pPr>
          </w:p>
        </w:tc>
        <w:tc>
          <w:tcPr>
            <w:tcW w:w="1980" w:type="dxa"/>
          </w:tcPr>
          <w:p w14:paraId="01763096" w14:textId="77777777" w:rsidR="009E5288" w:rsidRPr="0067507D" w:rsidRDefault="009E5288" w:rsidP="009E5288">
            <w:pPr>
              <w:pStyle w:val="Tabletext"/>
              <w:ind w:right="-38"/>
              <w:rPr>
                <w:rFonts w:eastAsia="Aptos"/>
              </w:rPr>
            </w:pPr>
            <w:r w:rsidRPr="0067507D">
              <w:rPr>
                <w:rFonts w:eastAsia="Aptos"/>
              </w:rPr>
              <w:t>Sixteen FAOs had received training on HLTAID003 ‘Provide First Aid’. One First Aid Officers had received training on HLTAID001 ‘Provide cardiopulmonary resuscitation’.</w:t>
            </w:r>
          </w:p>
          <w:p w14:paraId="4DBEE21B" w14:textId="332970D6" w:rsidR="009E5288" w:rsidRPr="0067507D" w:rsidRDefault="009E5288" w:rsidP="009E5288">
            <w:pPr>
              <w:pStyle w:val="Tabletext"/>
              <w:rPr>
                <w:rFonts w:eastAsia="Aptos"/>
              </w:rPr>
            </w:pPr>
            <w:r w:rsidRPr="0067507D">
              <w:rPr>
                <w:rFonts w:eastAsia="Aptos"/>
              </w:rPr>
              <w:t>DTF currently has six Mental Health trained First Aid Officers.</w:t>
            </w:r>
          </w:p>
        </w:tc>
        <w:tc>
          <w:tcPr>
            <w:tcW w:w="2165" w:type="dxa"/>
          </w:tcPr>
          <w:p w14:paraId="074473C3" w14:textId="6F7063BE" w:rsidR="009E5288" w:rsidRPr="0067507D" w:rsidRDefault="009E5288" w:rsidP="009E5288">
            <w:pPr>
              <w:pStyle w:val="Tabletext"/>
              <w:rPr>
                <w:rFonts w:ascii="Calibri" w:eastAsia="Aptos" w:hAnsi="Calibri" w:cs="Calibri"/>
              </w:rPr>
            </w:pPr>
            <w:r w:rsidRPr="0067507D">
              <w:rPr>
                <w:rFonts w:eastAsia="Aptos"/>
              </w:rPr>
              <w:t>Eight First Aid Officers attended HLTAID011</w:t>
            </w:r>
            <w:r w:rsidR="006A5485">
              <w:rPr>
                <w:rFonts w:eastAsia="Aptos"/>
              </w:rPr>
              <w:noBreakHyphen/>
            </w:r>
            <w:r w:rsidRPr="0067507D">
              <w:rPr>
                <w:rFonts w:eastAsia="Aptos"/>
              </w:rPr>
              <w:t>Provide First Aid Training.</w:t>
            </w:r>
            <w:r w:rsidRPr="0067507D">
              <w:rPr>
                <w:rFonts w:ascii="Calibri" w:eastAsia="Aptos" w:hAnsi="Calibri" w:cs="Calibri"/>
              </w:rPr>
              <w:t> </w:t>
            </w:r>
          </w:p>
          <w:p w14:paraId="2EF50B56" w14:textId="75128298" w:rsidR="009E5288" w:rsidRPr="0067507D" w:rsidRDefault="009E5288" w:rsidP="009E5288">
            <w:pPr>
              <w:pStyle w:val="Tabletext"/>
              <w:rPr>
                <w:rFonts w:eastAsia="Aptos"/>
              </w:rPr>
            </w:pPr>
            <w:r w:rsidRPr="0067507D">
              <w:rPr>
                <w:rFonts w:eastAsia="Aptos"/>
              </w:rPr>
              <w:t>Nine current First Aid Officers attended HLTAID009</w:t>
            </w:r>
            <w:r w:rsidR="006A5485">
              <w:rPr>
                <w:rFonts w:eastAsia="Aptos"/>
              </w:rPr>
              <w:noBreakHyphen/>
            </w:r>
            <w:r w:rsidRPr="0067507D">
              <w:rPr>
                <w:rFonts w:eastAsia="Aptos"/>
              </w:rPr>
              <w:t>CPR Refresher training. DTF currently has four Mental Health trained First Aid Officers.</w:t>
            </w:r>
            <w:r w:rsidRPr="0067507D">
              <w:rPr>
                <w:rFonts w:ascii="Calibri" w:eastAsia="Aptos" w:hAnsi="Calibri" w:cs="Calibri"/>
              </w:rPr>
              <w:t> </w:t>
            </w:r>
          </w:p>
        </w:tc>
        <w:tc>
          <w:tcPr>
            <w:tcW w:w="1975" w:type="dxa"/>
          </w:tcPr>
          <w:p w14:paraId="1A1C8E66" w14:textId="02B3A8A2" w:rsidR="00841351" w:rsidRPr="0067507D" w:rsidRDefault="00E54B5E" w:rsidP="00841351">
            <w:pPr>
              <w:pStyle w:val="Tabletext"/>
              <w:rPr>
                <w:rFonts w:ascii="Calibri" w:eastAsia="Aptos" w:hAnsi="Calibri" w:cs="Calibri"/>
              </w:rPr>
            </w:pPr>
            <w:r w:rsidRPr="0067507D">
              <w:rPr>
                <w:rFonts w:eastAsia="Aptos"/>
              </w:rPr>
              <w:t>Fourteen</w:t>
            </w:r>
            <w:r w:rsidR="00841351" w:rsidRPr="0067507D">
              <w:rPr>
                <w:rFonts w:eastAsia="Aptos"/>
              </w:rPr>
              <w:t xml:space="preserve"> First Aid Officers attended HLTAID011</w:t>
            </w:r>
            <w:r w:rsidR="006A5485">
              <w:rPr>
                <w:rFonts w:eastAsia="Aptos"/>
              </w:rPr>
              <w:noBreakHyphen/>
            </w:r>
            <w:r w:rsidR="00841351" w:rsidRPr="0067507D">
              <w:rPr>
                <w:rFonts w:eastAsia="Aptos"/>
              </w:rPr>
              <w:t>Provide First Aid Training.</w:t>
            </w:r>
          </w:p>
          <w:p w14:paraId="09C0C0CE" w14:textId="4158FEA8" w:rsidR="009E5288" w:rsidRPr="0067507D" w:rsidRDefault="004E401E" w:rsidP="00E5426C">
            <w:pPr>
              <w:pStyle w:val="Tabletext"/>
              <w:rPr>
                <w:highlight w:val="yellow"/>
              </w:rPr>
            </w:pPr>
            <w:r w:rsidRPr="0067507D">
              <w:rPr>
                <w:rFonts w:eastAsia="Aptos"/>
              </w:rPr>
              <w:t>Fifteen</w:t>
            </w:r>
            <w:r w:rsidR="00841351" w:rsidRPr="0067507D">
              <w:rPr>
                <w:rFonts w:eastAsia="Aptos"/>
              </w:rPr>
              <w:t xml:space="preserve"> current First Aid Officers attended HLTAID009</w:t>
            </w:r>
            <w:r w:rsidR="006A5485">
              <w:rPr>
                <w:rFonts w:eastAsia="Aptos"/>
              </w:rPr>
              <w:noBreakHyphen/>
            </w:r>
            <w:r w:rsidR="00841351" w:rsidRPr="0067507D">
              <w:rPr>
                <w:rFonts w:eastAsia="Aptos"/>
              </w:rPr>
              <w:t xml:space="preserve">CPR Refresher training. DTF currently has </w:t>
            </w:r>
            <w:r w:rsidR="00AA7804" w:rsidRPr="0067507D">
              <w:rPr>
                <w:rFonts w:eastAsia="Aptos"/>
              </w:rPr>
              <w:t>eleven</w:t>
            </w:r>
            <w:r w:rsidR="00841351" w:rsidRPr="0067507D">
              <w:rPr>
                <w:rFonts w:eastAsia="Aptos"/>
              </w:rPr>
              <w:t xml:space="preserve"> Mental Health trained First Aid Officers.</w:t>
            </w:r>
          </w:p>
        </w:tc>
      </w:tr>
      <w:tr w:rsidR="009E5288" w:rsidRPr="0067507D" w14:paraId="408E8673" w14:textId="13F87346" w:rsidTr="006B6B67">
        <w:trPr>
          <w:cantSplit/>
        </w:trPr>
        <w:tc>
          <w:tcPr>
            <w:tcW w:w="1260" w:type="dxa"/>
            <w:vMerge/>
          </w:tcPr>
          <w:p w14:paraId="376F4165" w14:textId="77777777" w:rsidR="009E5288" w:rsidRPr="0067507D" w:rsidRDefault="009E5288" w:rsidP="003E4E12">
            <w:pPr>
              <w:pStyle w:val="Tabletext"/>
              <w:rPr>
                <w:highlight w:val="yellow"/>
              </w:rPr>
            </w:pPr>
          </w:p>
        </w:tc>
        <w:tc>
          <w:tcPr>
            <w:tcW w:w="2250" w:type="dxa"/>
            <w:shd w:val="clear" w:color="auto" w:fill="D9D9D9" w:themeFill="background1" w:themeFillShade="D9"/>
          </w:tcPr>
          <w:p w14:paraId="422C8693" w14:textId="77777777" w:rsidR="009E5288" w:rsidRPr="0067507D" w:rsidRDefault="009E5288" w:rsidP="00655729">
            <w:pPr>
              <w:pStyle w:val="Tablebullet"/>
              <w:keepLines w:val="0"/>
              <w:ind w:left="216" w:right="0" w:hanging="216"/>
            </w:pPr>
            <w:r w:rsidRPr="0067507D">
              <w:t>executive officers training</w:t>
            </w:r>
          </w:p>
        </w:tc>
        <w:tc>
          <w:tcPr>
            <w:tcW w:w="1980" w:type="dxa"/>
          </w:tcPr>
          <w:p w14:paraId="2246B37A" w14:textId="443911D3" w:rsidR="009E5288" w:rsidRPr="0067507D" w:rsidRDefault="009E5288" w:rsidP="00A101E9">
            <w:pPr>
              <w:pStyle w:val="Tabletext"/>
              <w:rPr>
                <w:rFonts w:eastAsia="Aptos"/>
              </w:rPr>
            </w:pPr>
            <w:r w:rsidRPr="0067507D">
              <w:rPr>
                <w:rFonts w:eastAsia="Aptos"/>
              </w:rPr>
              <w:t>25</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 xml:space="preserve">cent of DTF executives have completed relevant training aligned with the VPS Mental Health and Wellbeing Charter Framework. </w:t>
            </w:r>
          </w:p>
        </w:tc>
        <w:tc>
          <w:tcPr>
            <w:tcW w:w="2165" w:type="dxa"/>
          </w:tcPr>
          <w:p w14:paraId="5C55010F" w14:textId="75E2BF66" w:rsidR="009E5288" w:rsidRPr="0067507D" w:rsidRDefault="009E5288" w:rsidP="00A101E9">
            <w:pPr>
              <w:pStyle w:val="Tabletext"/>
              <w:rPr>
                <w:rFonts w:eastAsia="Aptos"/>
              </w:rPr>
            </w:pPr>
            <w:r w:rsidRPr="0067507D">
              <w:rPr>
                <w:rFonts w:eastAsia="Aptos"/>
              </w:rPr>
              <w:t>32 per</w:t>
            </w:r>
            <w:r w:rsidRPr="0067507D">
              <w:rPr>
                <w:rFonts w:ascii="Arial" w:eastAsia="Arial" w:hAnsi="Arial" w:cs="Arial"/>
              </w:rPr>
              <w:t> </w:t>
            </w:r>
            <w:r w:rsidRPr="0067507D">
              <w:rPr>
                <w:rFonts w:eastAsia="Aptos"/>
              </w:rPr>
              <w:t xml:space="preserve">cent of DTF executives have completed relevant training aligned with the VPS Mental Health and Wellbeing Charter Framework. </w:t>
            </w:r>
          </w:p>
        </w:tc>
        <w:tc>
          <w:tcPr>
            <w:tcW w:w="1975" w:type="dxa"/>
          </w:tcPr>
          <w:p w14:paraId="28779B15" w14:textId="30DE6423" w:rsidR="009E5288" w:rsidRPr="0067507D" w:rsidRDefault="00C61639" w:rsidP="00A36009">
            <w:pPr>
              <w:pStyle w:val="Tabletext"/>
            </w:pPr>
            <w:r w:rsidRPr="0067507D">
              <w:t>32 per cent of DTF executives have completed relevant training aligned with the VPS Mental Health and Wellbeing Charter Framework</w:t>
            </w:r>
          </w:p>
        </w:tc>
      </w:tr>
      <w:tr w:rsidR="009E5288" w:rsidRPr="0067507D" w14:paraId="74C30529" w14:textId="24254F9F" w:rsidTr="006B6B67">
        <w:trPr>
          <w:cantSplit/>
        </w:trPr>
        <w:tc>
          <w:tcPr>
            <w:tcW w:w="1260" w:type="dxa"/>
            <w:vMerge/>
          </w:tcPr>
          <w:p w14:paraId="36C8B874" w14:textId="77777777" w:rsidR="009E5288" w:rsidRPr="0067507D" w:rsidRDefault="009E5288" w:rsidP="003E4E12">
            <w:pPr>
              <w:pStyle w:val="Tabletext"/>
              <w:rPr>
                <w:highlight w:val="yellow"/>
              </w:rPr>
            </w:pPr>
          </w:p>
        </w:tc>
        <w:tc>
          <w:tcPr>
            <w:tcW w:w="2250" w:type="dxa"/>
            <w:shd w:val="clear" w:color="auto" w:fill="D9D9D9" w:themeFill="background1" w:themeFillShade="D9"/>
          </w:tcPr>
          <w:p w14:paraId="4D590957" w14:textId="77777777" w:rsidR="009E5288" w:rsidRPr="0067507D" w:rsidRDefault="009E5288" w:rsidP="00655729">
            <w:pPr>
              <w:pStyle w:val="Tablebullet"/>
              <w:keepLines w:val="0"/>
              <w:ind w:left="216" w:right="0" w:hanging="216"/>
            </w:pPr>
            <w:r w:rsidRPr="0067507D">
              <w:t>management training</w:t>
            </w:r>
          </w:p>
        </w:tc>
        <w:tc>
          <w:tcPr>
            <w:tcW w:w="1980" w:type="dxa"/>
          </w:tcPr>
          <w:p w14:paraId="401BCDCD" w14:textId="5BC2D245" w:rsidR="009E5288" w:rsidRPr="0067507D" w:rsidRDefault="009E5288" w:rsidP="00A101E9">
            <w:pPr>
              <w:pStyle w:val="Tabletext"/>
              <w:rPr>
                <w:rFonts w:eastAsia="Aptos"/>
              </w:rPr>
            </w:pPr>
            <w:r w:rsidRPr="0067507D">
              <w:rPr>
                <w:rFonts w:eastAsia="Aptos"/>
              </w:rPr>
              <w:t>41</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 of DTF management staff have completed relevant training aligned with the VPS Mental Health and Wellbeing Charter Framework.</w:t>
            </w:r>
          </w:p>
        </w:tc>
        <w:tc>
          <w:tcPr>
            <w:tcW w:w="2165" w:type="dxa"/>
          </w:tcPr>
          <w:p w14:paraId="3CE71F81" w14:textId="17F99259" w:rsidR="009E5288" w:rsidRPr="0067507D" w:rsidRDefault="009E5288" w:rsidP="00A101E9">
            <w:pPr>
              <w:pStyle w:val="Tabletext"/>
              <w:rPr>
                <w:rFonts w:eastAsia="Aptos"/>
              </w:rPr>
            </w:pPr>
            <w:r w:rsidRPr="0067507D">
              <w:rPr>
                <w:rFonts w:eastAsia="Aptos"/>
              </w:rPr>
              <w:t>42 per</w:t>
            </w:r>
            <w:r w:rsidRPr="0067507D">
              <w:rPr>
                <w:rFonts w:ascii="Arial" w:eastAsia="Arial" w:hAnsi="Arial" w:cs="Arial"/>
              </w:rPr>
              <w:t> </w:t>
            </w:r>
            <w:r w:rsidRPr="0067507D">
              <w:rPr>
                <w:rFonts w:eastAsia="Aptos"/>
              </w:rPr>
              <w:t>cent of DTF management staff have completed relevant training aligned with the VPS Mental Health and Wellbeing Charter Framework</w:t>
            </w:r>
            <w:r w:rsidR="009632A4" w:rsidRPr="0067507D">
              <w:rPr>
                <w:rFonts w:eastAsia="Aptos"/>
              </w:rPr>
              <w:t>.</w:t>
            </w:r>
          </w:p>
        </w:tc>
        <w:tc>
          <w:tcPr>
            <w:tcW w:w="1975" w:type="dxa"/>
          </w:tcPr>
          <w:p w14:paraId="75F90B26" w14:textId="555C1289" w:rsidR="009E5288" w:rsidRPr="0067507D" w:rsidRDefault="00C61639" w:rsidP="00A36009">
            <w:pPr>
              <w:pStyle w:val="Tabletext"/>
            </w:pPr>
            <w:r w:rsidRPr="0067507D">
              <w:t xml:space="preserve">40 per cent of DTF </w:t>
            </w:r>
            <w:r w:rsidR="0068522D" w:rsidRPr="0067507D">
              <w:t>management staff</w:t>
            </w:r>
            <w:r w:rsidRPr="0067507D">
              <w:t xml:space="preserve"> have completed relevant training aligned with the VPS Mental Health and Wellbeing Charter Framework</w:t>
            </w:r>
          </w:p>
        </w:tc>
      </w:tr>
      <w:tr w:rsidR="009E5288" w:rsidRPr="0067507D" w14:paraId="0662CAF0" w14:textId="70D3952C" w:rsidTr="006B6B67">
        <w:trPr>
          <w:cantSplit/>
        </w:trPr>
        <w:tc>
          <w:tcPr>
            <w:tcW w:w="1260" w:type="dxa"/>
            <w:vMerge/>
          </w:tcPr>
          <w:p w14:paraId="78A9F56B" w14:textId="77777777" w:rsidR="009E5288" w:rsidRPr="0067507D" w:rsidRDefault="009E5288" w:rsidP="003E4E12">
            <w:pPr>
              <w:pStyle w:val="Tabletext"/>
              <w:rPr>
                <w:highlight w:val="yellow"/>
              </w:rPr>
            </w:pPr>
          </w:p>
        </w:tc>
        <w:tc>
          <w:tcPr>
            <w:tcW w:w="2250" w:type="dxa"/>
            <w:shd w:val="clear" w:color="auto" w:fill="D9D9D9" w:themeFill="background1" w:themeFillShade="D9"/>
          </w:tcPr>
          <w:p w14:paraId="2B391012" w14:textId="77777777" w:rsidR="009E5288" w:rsidRPr="0067507D" w:rsidRDefault="009E5288" w:rsidP="00655729">
            <w:pPr>
              <w:pStyle w:val="Tablebullet"/>
              <w:keepLines w:val="0"/>
              <w:ind w:left="216" w:right="0" w:hanging="216"/>
            </w:pPr>
            <w:r w:rsidRPr="0067507D">
              <w:t>contractors, temps, and visitors</w:t>
            </w:r>
          </w:p>
        </w:tc>
        <w:tc>
          <w:tcPr>
            <w:tcW w:w="1980" w:type="dxa"/>
          </w:tcPr>
          <w:p w14:paraId="06F05F1C" w14:textId="61C30D7D" w:rsidR="009E5288" w:rsidRPr="0067507D" w:rsidRDefault="009E5288" w:rsidP="00A101E9">
            <w:pPr>
              <w:pStyle w:val="Tabletext"/>
              <w:rPr>
                <w:rFonts w:eastAsia="Aptos"/>
              </w:rPr>
            </w:pPr>
            <w:r w:rsidRPr="0067507D">
              <w:rPr>
                <w:rFonts w:eastAsia="Aptos"/>
              </w:rPr>
              <w:t>n/a</w:t>
            </w:r>
          </w:p>
        </w:tc>
        <w:tc>
          <w:tcPr>
            <w:tcW w:w="2165" w:type="dxa"/>
          </w:tcPr>
          <w:p w14:paraId="1F1013B4" w14:textId="12E95D3D" w:rsidR="009E5288" w:rsidRPr="0067507D" w:rsidRDefault="009E5288" w:rsidP="00A101E9">
            <w:pPr>
              <w:pStyle w:val="Tabletext"/>
              <w:rPr>
                <w:rFonts w:eastAsia="Aptos"/>
              </w:rPr>
            </w:pPr>
            <w:r w:rsidRPr="0067507D">
              <w:rPr>
                <w:rFonts w:eastAsia="Aptos"/>
              </w:rPr>
              <w:t>n/a</w:t>
            </w:r>
          </w:p>
        </w:tc>
        <w:tc>
          <w:tcPr>
            <w:tcW w:w="1975" w:type="dxa"/>
          </w:tcPr>
          <w:p w14:paraId="741E05B9" w14:textId="2C12B108" w:rsidR="009E5288" w:rsidRPr="0067507D" w:rsidRDefault="00771834" w:rsidP="00A36009">
            <w:pPr>
              <w:pStyle w:val="Tabletext"/>
            </w:pPr>
            <w:r w:rsidRPr="0067507D">
              <w:rPr>
                <w:rFonts w:eastAsia="Aptos"/>
              </w:rPr>
              <w:t>n/a</w:t>
            </w:r>
          </w:p>
        </w:tc>
      </w:tr>
      <w:tr w:rsidR="009E5288" w:rsidRPr="0067507D" w14:paraId="2FC812AC" w14:textId="1B0A0A2A" w:rsidTr="006B6B67">
        <w:trPr>
          <w:cantSplit/>
        </w:trPr>
        <w:tc>
          <w:tcPr>
            <w:tcW w:w="1260" w:type="dxa"/>
            <w:vMerge/>
            <w:hideMark/>
          </w:tcPr>
          <w:p w14:paraId="170FFC7B" w14:textId="77777777" w:rsidR="009E5288" w:rsidRPr="0067507D" w:rsidRDefault="009E5288" w:rsidP="003E4E12">
            <w:pPr>
              <w:pStyle w:val="Tabletext"/>
              <w:rPr>
                <w:highlight w:val="yellow"/>
              </w:rPr>
            </w:pPr>
          </w:p>
        </w:tc>
        <w:tc>
          <w:tcPr>
            <w:tcW w:w="2250" w:type="dxa"/>
            <w:shd w:val="clear" w:color="auto" w:fill="D9D9D9" w:themeFill="background1" w:themeFillShade="D9"/>
            <w:hideMark/>
          </w:tcPr>
          <w:p w14:paraId="5B55C35D" w14:textId="176EEF7A" w:rsidR="009E5288" w:rsidRPr="0067507D" w:rsidRDefault="009E5288" w:rsidP="003E4E12">
            <w:pPr>
              <w:pStyle w:val="Tabletext"/>
            </w:pPr>
            <w:r w:rsidRPr="0067507D">
              <w:t>Percentage of HSRs trained:</w:t>
            </w:r>
          </w:p>
        </w:tc>
        <w:tc>
          <w:tcPr>
            <w:tcW w:w="1980" w:type="dxa"/>
          </w:tcPr>
          <w:p w14:paraId="4AD54EDD" w14:textId="368AF742" w:rsidR="009E5288" w:rsidRPr="0067507D" w:rsidRDefault="009E5288" w:rsidP="00A101E9">
            <w:pPr>
              <w:pStyle w:val="Tabletext"/>
              <w:rPr>
                <w:rFonts w:eastAsia="Aptos"/>
              </w:rPr>
            </w:pPr>
            <w:r w:rsidRPr="0067507D">
              <w:rPr>
                <w:rFonts w:eastAsia="Aptos"/>
              </w:rPr>
              <w:t>On 30 June 2023, 100</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 of DTF’s HSRs have been provided with the opportunity to complete the WorkSafe Approved HSR Initial OHS Training as per DTF’s legislative duties.</w:t>
            </w:r>
          </w:p>
        </w:tc>
        <w:tc>
          <w:tcPr>
            <w:tcW w:w="2165" w:type="dxa"/>
          </w:tcPr>
          <w:p w14:paraId="1B7DD6DF" w14:textId="0C3C6B68" w:rsidR="009E5288" w:rsidRPr="0067507D" w:rsidRDefault="009E5288" w:rsidP="00A101E9">
            <w:pPr>
              <w:pStyle w:val="Tabletext"/>
              <w:rPr>
                <w:rFonts w:eastAsia="Aptos"/>
              </w:rPr>
            </w:pPr>
            <w:r w:rsidRPr="0067507D">
              <w:rPr>
                <w:rFonts w:eastAsia="Aptos"/>
              </w:rPr>
              <w:t>On 30 June 2024, 100</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 of DTF’s seven elected HSRs have been provided with the opportunity to complete the HSR refresher OHS training as per DTF’s legislative duties.</w:t>
            </w:r>
          </w:p>
        </w:tc>
        <w:tc>
          <w:tcPr>
            <w:tcW w:w="1975" w:type="dxa"/>
          </w:tcPr>
          <w:p w14:paraId="29107698" w14:textId="05115591" w:rsidR="009E5288" w:rsidRPr="0067507D" w:rsidRDefault="00B12C5D" w:rsidP="00E5426C">
            <w:pPr>
              <w:pStyle w:val="Tabletext"/>
            </w:pPr>
            <w:r w:rsidRPr="0067507D">
              <w:rPr>
                <w:rFonts w:eastAsia="Aptos"/>
              </w:rPr>
              <w:t>On 30 June 2025, 100</w:t>
            </w:r>
            <w:r w:rsidR="004A395B">
              <w:rPr>
                <w:rFonts w:ascii="Calibri" w:eastAsia="Aptos" w:hAnsi="Calibri" w:cs="Calibri"/>
              </w:rPr>
              <w:t> </w:t>
            </w:r>
            <w:r w:rsidRPr="0067507D">
              <w:rPr>
                <w:rFonts w:eastAsia="Aptos"/>
              </w:rPr>
              <w:t>per</w:t>
            </w:r>
            <w:r w:rsidR="004A395B">
              <w:rPr>
                <w:rFonts w:ascii="Calibri" w:eastAsia="Aptos" w:hAnsi="Calibri" w:cs="Calibri"/>
              </w:rPr>
              <w:t> </w:t>
            </w:r>
            <w:r w:rsidRPr="0067507D">
              <w:rPr>
                <w:rFonts w:eastAsia="Aptos"/>
              </w:rPr>
              <w:t xml:space="preserve">cent of DTF’s </w:t>
            </w:r>
            <w:r w:rsidR="00356DEE" w:rsidRPr="0067507D">
              <w:rPr>
                <w:rFonts w:eastAsia="Aptos"/>
              </w:rPr>
              <w:t>one</w:t>
            </w:r>
            <w:r w:rsidR="000119E0" w:rsidRPr="0067507D">
              <w:rPr>
                <w:rFonts w:eastAsia="Aptos"/>
              </w:rPr>
              <w:t xml:space="preserve"> HSR ha</w:t>
            </w:r>
            <w:r w:rsidR="00580179" w:rsidRPr="0067507D">
              <w:rPr>
                <w:rFonts w:eastAsia="Aptos"/>
              </w:rPr>
              <w:t>s</w:t>
            </w:r>
            <w:r w:rsidR="000119E0" w:rsidRPr="0067507D">
              <w:rPr>
                <w:rFonts w:eastAsia="Aptos"/>
              </w:rPr>
              <w:t xml:space="preserve"> been provided with the </w:t>
            </w:r>
            <w:r w:rsidR="00C62303" w:rsidRPr="0067507D">
              <w:rPr>
                <w:rFonts w:eastAsia="Aptos"/>
              </w:rPr>
              <w:t>opportunity</w:t>
            </w:r>
            <w:r w:rsidR="000119E0" w:rsidRPr="0067507D">
              <w:rPr>
                <w:rFonts w:eastAsia="Aptos"/>
              </w:rPr>
              <w:t xml:space="preserve"> to complete the HS</w:t>
            </w:r>
            <w:r w:rsidR="00C62303" w:rsidRPr="0067507D">
              <w:rPr>
                <w:rFonts w:eastAsia="Aptos"/>
              </w:rPr>
              <w:t>R</w:t>
            </w:r>
            <w:r w:rsidR="000119E0" w:rsidRPr="0067507D">
              <w:rPr>
                <w:rFonts w:eastAsia="Aptos"/>
              </w:rPr>
              <w:t xml:space="preserve"> refresher OHS training as per DTF’s legislative duties.</w:t>
            </w:r>
          </w:p>
        </w:tc>
      </w:tr>
      <w:tr w:rsidR="009E5288" w:rsidRPr="0067507D" w14:paraId="2F4BA96B" w14:textId="674A0B90" w:rsidTr="006B6B67">
        <w:trPr>
          <w:cantSplit/>
        </w:trPr>
        <w:tc>
          <w:tcPr>
            <w:tcW w:w="1260" w:type="dxa"/>
            <w:vMerge/>
            <w:hideMark/>
          </w:tcPr>
          <w:p w14:paraId="2981235B" w14:textId="77777777" w:rsidR="009E5288" w:rsidRPr="0067507D" w:rsidRDefault="009E5288" w:rsidP="003E4E12">
            <w:pPr>
              <w:pStyle w:val="Tabletext"/>
              <w:rPr>
                <w:highlight w:val="yellow"/>
              </w:rPr>
            </w:pPr>
          </w:p>
        </w:tc>
        <w:tc>
          <w:tcPr>
            <w:tcW w:w="2250" w:type="dxa"/>
            <w:shd w:val="clear" w:color="auto" w:fill="D9D9D9" w:themeFill="background1" w:themeFillShade="D9"/>
            <w:hideMark/>
          </w:tcPr>
          <w:p w14:paraId="5A362FDA" w14:textId="77777777" w:rsidR="009E5288" w:rsidRPr="0067507D" w:rsidRDefault="009E5288" w:rsidP="00655729">
            <w:pPr>
              <w:pStyle w:val="Tablebullet"/>
              <w:keepLines w:val="0"/>
              <w:ind w:left="216" w:right="0" w:hanging="216"/>
            </w:pPr>
            <w:r w:rsidRPr="0067507D">
              <w:t>upon acceptance of role (initial training)</w:t>
            </w:r>
          </w:p>
        </w:tc>
        <w:tc>
          <w:tcPr>
            <w:tcW w:w="1980" w:type="dxa"/>
          </w:tcPr>
          <w:p w14:paraId="6543F986" w14:textId="301A9843" w:rsidR="009E5288" w:rsidRPr="0067507D" w:rsidRDefault="009E5288" w:rsidP="00A101E9">
            <w:pPr>
              <w:pStyle w:val="Tabletext"/>
              <w:rPr>
                <w:rFonts w:eastAsia="Aptos"/>
              </w:rPr>
            </w:pPr>
            <w:r w:rsidRPr="0067507D">
              <w:rPr>
                <w:rFonts w:eastAsia="Aptos"/>
              </w:rPr>
              <w:t>Expressions of interest open</w:t>
            </w:r>
          </w:p>
        </w:tc>
        <w:tc>
          <w:tcPr>
            <w:tcW w:w="2165" w:type="dxa"/>
          </w:tcPr>
          <w:p w14:paraId="695CB97E" w14:textId="0B244D34" w:rsidR="009E5288" w:rsidRPr="0067507D" w:rsidRDefault="009E5288" w:rsidP="00A101E9">
            <w:pPr>
              <w:pStyle w:val="Tabletext"/>
              <w:rPr>
                <w:rFonts w:eastAsia="Aptos"/>
              </w:rPr>
            </w:pPr>
            <w:r w:rsidRPr="0067507D">
              <w:rPr>
                <w:rFonts w:eastAsia="Aptos"/>
              </w:rPr>
              <w:t>Expression of interest open</w:t>
            </w:r>
          </w:p>
        </w:tc>
        <w:tc>
          <w:tcPr>
            <w:tcW w:w="1975" w:type="dxa"/>
          </w:tcPr>
          <w:p w14:paraId="68E11532" w14:textId="4EC5EB7A" w:rsidR="009E5288" w:rsidRPr="0067507D" w:rsidRDefault="00FE56FC" w:rsidP="00A36009">
            <w:pPr>
              <w:pStyle w:val="Tabletext"/>
            </w:pPr>
            <w:r w:rsidRPr="0067507D">
              <w:rPr>
                <w:rFonts w:eastAsia="Aptos"/>
              </w:rPr>
              <w:t>Expression of</w:t>
            </w:r>
            <w:r w:rsidR="00A9709F" w:rsidRPr="0067507D">
              <w:rPr>
                <w:rFonts w:eastAsia="Aptos"/>
              </w:rPr>
              <w:t xml:space="preserve"> interest open</w:t>
            </w:r>
          </w:p>
        </w:tc>
      </w:tr>
      <w:tr w:rsidR="009E5288" w:rsidRPr="0067507D" w14:paraId="10F28C95" w14:textId="08598DBE" w:rsidTr="006B6B67">
        <w:trPr>
          <w:cantSplit/>
        </w:trPr>
        <w:tc>
          <w:tcPr>
            <w:tcW w:w="1260" w:type="dxa"/>
            <w:vMerge/>
            <w:hideMark/>
          </w:tcPr>
          <w:p w14:paraId="04AF35E2" w14:textId="77777777" w:rsidR="009E5288" w:rsidRPr="0067507D" w:rsidRDefault="009E5288" w:rsidP="003E4E12">
            <w:pPr>
              <w:pStyle w:val="Tabletext"/>
              <w:rPr>
                <w:highlight w:val="yellow"/>
              </w:rPr>
            </w:pPr>
          </w:p>
        </w:tc>
        <w:tc>
          <w:tcPr>
            <w:tcW w:w="2250" w:type="dxa"/>
            <w:shd w:val="clear" w:color="auto" w:fill="D9D9D9" w:themeFill="background1" w:themeFillShade="D9"/>
            <w:hideMark/>
          </w:tcPr>
          <w:p w14:paraId="50B2C191" w14:textId="77777777" w:rsidR="009E5288" w:rsidRPr="0067507D" w:rsidRDefault="009E5288" w:rsidP="00655729">
            <w:pPr>
              <w:pStyle w:val="Tablebullet"/>
              <w:keepLines w:val="0"/>
              <w:ind w:left="216" w:right="0" w:hanging="216"/>
            </w:pPr>
            <w:r w:rsidRPr="0067507D">
              <w:t>re</w:t>
            </w:r>
            <w:r w:rsidRPr="0067507D">
              <w:noBreakHyphen/>
              <w:t>training (annual refresher)</w:t>
            </w:r>
          </w:p>
        </w:tc>
        <w:tc>
          <w:tcPr>
            <w:tcW w:w="1980" w:type="dxa"/>
          </w:tcPr>
          <w:p w14:paraId="1C81A506" w14:textId="6AD23BEF" w:rsidR="009E5288" w:rsidRPr="0067507D" w:rsidRDefault="009E5288" w:rsidP="00A101E9">
            <w:pPr>
              <w:pStyle w:val="Tabletext"/>
              <w:rPr>
                <w:rFonts w:eastAsia="Aptos"/>
              </w:rPr>
            </w:pPr>
            <w:r w:rsidRPr="0067507D">
              <w:rPr>
                <w:rFonts w:eastAsia="Aptos"/>
              </w:rPr>
              <w:t>100</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 WorkSafe Approved HSR Initial OHS Training was offered and scheduled where required for HSRs, as this training is not mandatory.</w:t>
            </w:r>
          </w:p>
        </w:tc>
        <w:tc>
          <w:tcPr>
            <w:tcW w:w="2165" w:type="dxa"/>
          </w:tcPr>
          <w:p w14:paraId="11CF2CEB" w14:textId="1E521DB6" w:rsidR="009E5288" w:rsidRPr="0067507D" w:rsidRDefault="009E5288" w:rsidP="00A101E9">
            <w:pPr>
              <w:pStyle w:val="Tabletext"/>
              <w:rPr>
                <w:rFonts w:eastAsia="Aptos"/>
              </w:rPr>
            </w:pPr>
            <w:r w:rsidRPr="0067507D">
              <w:rPr>
                <w:rFonts w:eastAsia="Aptos"/>
              </w:rPr>
              <w:t>100</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 WorkSafe Approved HSR refresher OHS training was offered and scheduled where required for HSRs, as this training is not mandatory.</w:t>
            </w:r>
          </w:p>
        </w:tc>
        <w:tc>
          <w:tcPr>
            <w:tcW w:w="1975" w:type="dxa"/>
          </w:tcPr>
          <w:p w14:paraId="6AD3044E" w14:textId="18B980E5" w:rsidR="009E5288" w:rsidRPr="0067507D" w:rsidRDefault="00DD6FBC" w:rsidP="00A36009">
            <w:pPr>
              <w:pStyle w:val="Tabletext"/>
              <w:rPr>
                <w:highlight w:val="yellow"/>
              </w:rPr>
            </w:pPr>
            <w:r w:rsidRPr="0067507D">
              <w:rPr>
                <w:rFonts w:eastAsia="Aptos"/>
              </w:rPr>
              <w:t>100</w:t>
            </w:r>
            <w:r w:rsidRPr="0067507D">
              <w:rPr>
                <w:rFonts w:ascii="Calibri" w:eastAsia="Arial" w:hAnsi="Calibri" w:cs="Calibri"/>
              </w:rPr>
              <w:t> </w:t>
            </w:r>
            <w:r w:rsidRPr="0067507D">
              <w:rPr>
                <w:rFonts w:eastAsia="Aptos"/>
              </w:rPr>
              <w:t>per</w:t>
            </w:r>
            <w:r w:rsidRPr="0067507D">
              <w:rPr>
                <w:rFonts w:ascii="Calibri" w:eastAsia="Arial" w:hAnsi="Calibri" w:cs="Calibri"/>
              </w:rPr>
              <w:t> </w:t>
            </w:r>
            <w:r w:rsidRPr="0067507D">
              <w:rPr>
                <w:rFonts w:eastAsia="Aptos"/>
              </w:rPr>
              <w:t>cent WorkSafe Approved HSR refresher OHS training was offered and scheduled where required for HSRs, as this training is not mandatory.</w:t>
            </w:r>
          </w:p>
        </w:tc>
      </w:tr>
      <w:tr w:rsidR="009E5288" w:rsidRPr="0067507D" w14:paraId="08B5A753" w14:textId="3D823065" w:rsidTr="006B6B67">
        <w:trPr>
          <w:cantSplit/>
        </w:trPr>
        <w:tc>
          <w:tcPr>
            <w:tcW w:w="1260" w:type="dxa"/>
            <w:vMerge/>
          </w:tcPr>
          <w:p w14:paraId="4407F7E9" w14:textId="77777777" w:rsidR="009E5288" w:rsidRPr="0067507D" w:rsidRDefault="009E5288" w:rsidP="003E4E12">
            <w:pPr>
              <w:pStyle w:val="Tabletext"/>
              <w:rPr>
                <w:highlight w:val="yellow"/>
              </w:rPr>
            </w:pPr>
          </w:p>
        </w:tc>
        <w:tc>
          <w:tcPr>
            <w:tcW w:w="2250" w:type="dxa"/>
            <w:shd w:val="clear" w:color="auto" w:fill="D9D9D9" w:themeFill="background1" w:themeFillShade="D9"/>
          </w:tcPr>
          <w:p w14:paraId="00BE7FF0" w14:textId="77777777" w:rsidR="009E5288" w:rsidRPr="0067507D" w:rsidRDefault="009E5288" w:rsidP="00655729">
            <w:pPr>
              <w:pStyle w:val="Tablebullet"/>
              <w:keepLines w:val="0"/>
              <w:ind w:left="216" w:right="0" w:hanging="216"/>
            </w:pPr>
            <w:r w:rsidRPr="0067507D">
              <w:t>reporting of incidents and injuries</w:t>
            </w:r>
          </w:p>
        </w:tc>
        <w:tc>
          <w:tcPr>
            <w:tcW w:w="1980" w:type="dxa"/>
          </w:tcPr>
          <w:p w14:paraId="69A3CCC3" w14:textId="32C40AEA" w:rsidR="009E5288" w:rsidRPr="0067507D" w:rsidRDefault="009E5288" w:rsidP="00A101E9">
            <w:pPr>
              <w:pStyle w:val="Tabletext"/>
              <w:rPr>
                <w:rFonts w:eastAsia="Aptos"/>
              </w:rPr>
            </w:pPr>
            <w:r w:rsidRPr="0067507D">
              <w:rPr>
                <w:rFonts w:eastAsia="Aptos"/>
              </w:rPr>
              <w:t>Investigations are led by OHS Advisory in consultation with the HSRs and relevant manager as</w:t>
            </w:r>
            <w:r w:rsidR="00982BDA" w:rsidRPr="0067507D">
              <w:rPr>
                <w:rFonts w:ascii="Arial" w:eastAsia="Arial" w:hAnsi="Arial" w:cs="Arial"/>
              </w:rPr>
              <w:t xml:space="preserve"> </w:t>
            </w:r>
            <w:r w:rsidRPr="0067507D">
              <w:rPr>
                <w:rFonts w:eastAsia="Aptos"/>
              </w:rPr>
              <w:t>appropriate.</w:t>
            </w:r>
          </w:p>
          <w:p w14:paraId="72539A29" w14:textId="15E5E281" w:rsidR="009E5288" w:rsidRPr="0067507D" w:rsidRDefault="009E5288" w:rsidP="00A101E9">
            <w:pPr>
              <w:pStyle w:val="Tabletext"/>
              <w:rPr>
                <w:rFonts w:eastAsia="Aptos"/>
              </w:rPr>
            </w:pPr>
            <w:r w:rsidRPr="0067507D">
              <w:rPr>
                <w:rFonts w:eastAsia="Aptos"/>
              </w:rPr>
              <w:t>All reported incidents have been investigated. Incident trends are reported on a quarterly basis including to the HSC.</w:t>
            </w:r>
          </w:p>
        </w:tc>
        <w:tc>
          <w:tcPr>
            <w:tcW w:w="2165" w:type="dxa"/>
          </w:tcPr>
          <w:p w14:paraId="75A2533C" w14:textId="468E7F9D" w:rsidR="009E5288" w:rsidRPr="0067507D" w:rsidRDefault="009E5288" w:rsidP="00A101E9">
            <w:pPr>
              <w:pStyle w:val="Tabletext"/>
              <w:rPr>
                <w:rFonts w:eastAsia="Aptos"/>
              </w:rPr>
            </w:pPr>
            <w:r w:rsidRPr="0067507D">
              <w:rPr>
                <w:rFonts w:eastAsia="Aptos"/>
              </w:rPr>
              <w:t>Investigations were led by OHS Advisory in consultation with the HSRs and relevant manager as appropriate. As of March 2024 investigations were led through the OHS shared services team.</w:t>
            </w:r>
            <w:r w:rsidRPr="0067507D">
              <w:rPr>
                <w:rFonts w:ascii="Calibri" w:eastAsia="Aptos" w:hAnsi="Calibri" w:cs="Calibri"/>
              </w:rPr>
              <w:t> </w:t>
            </w:r>
          </w:p>
        </w:tc>
        <w:tc>
          <w:tcPr>
            <w:tcW w:w="1975" w:type="dxa"/>
          </w:tcPr>
          <w:p w14:paraId="389735D8" w14:textId="35A327FE" w:rsidR="009E5288" w:rsidRPr="0067507D" w:rsidRDefault="00287728" w:rsidP="00A36009">
            <w:pPr>
              <w:pStyle w:val="Tabletext"/>
              <w:rPr>
                <w:highlight w:val="yellow"/>
              </w:rPr>
            </w:pPr>
            <w:r w:rsidRPr="0067507D">
              <w:rPr>
                <w:rFonts w:eastAsia="Aptos"/>
              </w:rPr>
              <w:t xml:space="preserve">Investigations were led through </w:t>
            </w:r>
            <w:r w:rsidR="00B86C65" w:rsidRPr="0067507D">
              <w:rPr>
                <w:rFonts w:eastAsia="Aptos"/>
              </w:rPr>
              <w:t xml:space="preserve">the </w:t>
            </w:r>
            <w:r w:rsidRPr="0067507D">
              <w:rPr>
                <w:rFonts w:eastAsia="Aptos"/>
              </w:rPr>
              <w:t>OHS shared services team.</w:t>
            </w:r>
          </w:p>
        </w:tc>
      </w:tr>
      <w:tr w:rsidR="00113E1C" w:rsidRPr="0067507D" w14:paraId="6D5BD87E" w14:textId="268F5707" w:rsidTr="006B6B67">
        <w:trPr>
          <w:cantSplit/>
        </w:trPr>
        <w:tc>
          <w:tcPr>
            <w:tcW w:w="1260" w:type="dxa"/>
            <w:vMerge w:val="restart"/>
          </w:tcPr>
          <w:p w14:paraId="3BE0DD64" w14:textId="77777777" w:rsidR="00113E1C" w:rsidRPr="0067507D" w:rsidRDefault="1BCD0F5B" w:rsidP="21264DBD">
            <w:pPr>
              <w:pStyle w:val="Tabletext"/>
            </w:pPr>
            <w:r w:rsidRPr="0067507D">
              <w:t>Hazards</w:t>
            </w:r>
          </w:p>
        </w:tc>
        <w:tc>
          <w:tcPr>
            <w:tcW w:w="2250" w:type="dxa"/>
            <w:shd w:val="clear" w:color="auto" w:fill="D9D9D9" w:themeFill="background1" w:themeFillShade="D9"/>
          </w:tcPr>
          <w:p w14:paraId="3C9A0EAF" w14:textId="77777777" w:rsidR="00113E1C" w:rsidRPr="0067507D" w:rsidRDefault="1BCD0F5B" w:rsidP="21264DBD">
            <w:pPr>
              <w:pStyle w:val="Tabletext"/>
            </w:pPr>
            <w:r w:rsidRPr="0067507D">
              <w:t>No. of hazards reported</w:t>
            </w:r>
          </w:p>
        </w:tc>
        <w:tc>
          <w:tcPr>
            <w:tcW w:w="1980" w:type="dxa"/>
          </w:tcPr>
          <w:p w14:paraId="198E398C" w14:textId="1A73E93B" w:rsidR="21264DBD" w:rsidRPr="0067507D" w:rsidRDefault="21264DBD" w:rsidP="00A101E9">
            <w:pPr>
              <w:pStyle w:val="Tabletext"/>
              <w:rPr>
                <w:rFonts w:eastAsia="Aptos"/>
              </w:rPr>
            </w:pPr>
            <w:r w:rsidRPr="0067507D">
              <w:rPr>
                <w:rFonts w:eastAsia="Aptos"/>
              </w:rPr>
              <w:t>11</w:t>
            </w:r>
          </w:p>
        </w:tc>
        <w:tc>
          <w:tcPr>
            <w:tcW w:w="2165" w:type="dxa"/>
          </w:tcPr>
          <w:p w14:paraId="545FE2EF" w14:textId="1BC37837" w:rsidR="21264DBD" w:rsidRPr="0067507D" w:rsidRDefault="21264DBD" w:rsidP="00A101E9">
            <w:pPr>
              <w:pStyle w:val="Tabletext"/>
              <w:rPr>
                <w:rFonts w:eastAsia="Aptos"/>
              </w:rPr>
            </w:pPr>
            <w:r w:rsidRPr="0067507D">
              <w:rPr>
                <w:rFonts w:eastAsia="Aptos"/>
              </w:rPr>
              <w:t>23</w:t>
            </w:r>
            <w:r w:rsidRPr="0067507D">
              <w:rPr>
                <w:rFonts w:ascii="Calibri" w:eastAsia="Aptos" w:hAnsi="Calibri" w:cs="Calibri"/>
              </w:rPr>
              <w:t> </w:t>
            </w:r>
          </w:p>
        </w:tc>
        <w:tc>
          <w:tcPr>
            <w:tcW w:w="1975" w:type="dxa"/>
          </w:tcPr>
          <w:p w14:paraId="15327B7E" w14:textId="76F84828" w:rsidR="00E5426C" w:rsidRPr="0067507D" w:rsidRDefault="00635B49" w:rsidP="21264DBD">
            <w:pPr>
              <w:pStyle w:val="Tabletext"/>
            </w:pPr>
            <w:r w:rsidRPr="0067507D">
              <w:rPr>
                <w:rFonts w:ascii="Aptos" w:eastAsia="Aptos" w:hAnsi="Aptos" w:cs="Aptos"/>
                <w:color w:val="000000"/>
                <w:sz w:val="16"/>
                <w:szCs w:val="16"/>
              </w:rPr>
              <w:t>1</w:t>
            </w:r>
          </w:p>
        </w:tc>
      </w:tr>
      <w:tr w:rsidR="00113E1C" w:rsidRPr="0067507D" w14:paraId="6A46B3E9" w14:textId="49056905" w:rsidTr="006B6B67">
        <w:trPr>
          <w:cantSplit/>
        </w:trPr>
        <w:tc>
          <w:tcPr>
            <w:tcW w:w="1260" w:type="dxa"/>
            <w:vMerge/>
          </w:tcPr>
          <w:p w14:paraId="778D4E49"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030131BF" w14:textId="644E4C1B" w:rsidR="00113E1C" w:rsidRPr="0067507D" w:rsidRDefault="1BCD0F5B" w:rsidP="00A101E9">
            <w:pPr>
              <w:pStyle w:val="Tabletext"/>
              <w:spacing w:line="259" w:lineRule="auto"/>
            </w:pPr>
            <w:r w:rsidRPr="0067507D">
              <w:t>Rate per 100 FTE</w:t>
            </w:r>
          </w:p>
        </w:tc>
        <w:tc>
          <w:tcPr>
            <w:tcW w:w="1980" w:type="dxa"/>
          </w:tcPr>
          <w:p w14:paraId="381BB66A" w14:textId="422C568C" w:rsidR="21264DBD" w:rsidRPr="0067507D" w:rsidRDefault="21264DBD" w:rsidP="00A101E9">
            <w:pPr>
              <w:pStyle w:val="Tabletext"/>
              <w:rPr>
                <w:rFonts w:eastAsia="Aptos"/>
              </w:rPr>
            </w:pPr>
            <w:r w:rsidRPr="0067507D">
              <w:rPr>
                <w:rFonts w:eastAsia="Aptos"/>
              </w:rPr>
              <w:t>1.89 (FTE 580.50)</w:t>
            </w:r>
            <w:r w:rsidRPr="0067507D">
              <w:rPr>
                <w:rFonts w:ascii="Calibri" w:eastAsia="Aptos" w:hAnsi="Calibri" w:cs="Calibri"/>
              </w:rPr>
              <w:t> </w:t>
            </w:r>
          </w:p>
        </w:tc>
        <w:tc>
          <w:tcPr>
            <w:tcW w:w="2165" w:type="dxa"/>
          </w:tcPr>
          <w:p w14:paraId="00F269BB" w14:textId="40DDF48A" w:rsidR="21264DBD" w:rsidRPr="0067507D" w:rsidRDefault="21264DBD" w:rsidP="00A101E9">
            <w:pPr>
              <w:pStyle w:val="Tabletext"/>
              <w:rPr>
                <w:rFonts w:eastAsia="Aptos"/>
              </w:rPr>
            </w:pPr>
            <w:r w:rsidRPr="0067507D">
              <w:rPr>
                <w:rFonts w:eastAsia="Aptos"/>
              </w:rPr>
              <w:t>3.52 (FTE 654)</w:t>
            </w:r>
            <w:r w:rsidRPr="0067507D">
              <w:rPr>
                <w:rFonts w:ascii="Calibri" w:eastAsia="Aptos" w:hAnsi="Calibri" w:cs="Calibri"/>
              </w:rPr>
              <w:t> </w:t>
            </w:r>
          </w:p>
        </w:tc>
        <w:tc>
          <w:tcPr>
            <w:tcW w:w="1975" w:type="dxa"/>
          </w:tcPr>
          <w:p w14:paraId="16FDF147" w14:textId="13304021" w:rsidR="00E5426C" w:rsidRPr="0067507D" w:rsidRDefault="047FB9D2" w:rsidP="21264DBD">
            <w:pPr>
              <w:pStyle w:val="Tabletext"/>
            </w:pPr>
            <w:r w:rsidRPr="0067507D">
              <w:t>0.15</w:t>
            </w:r>
            <w:r w:rsidR="263B4509" w:rsidRPr="0067507D">
              <w:t xml:space="preserve"> (FTE</w:t>
            </w:r>
            <w:r w:rsidR="2518D8BA" w:rsidRPr="0067507D">
              <w:t xml:space="preserve"> </w:t>
            </w:r>
            <w:r w:rsidR="263B4509" w:rsidRPr="0067507D">
              <w:t>6</w:t>
            </w:r>
            <w:r w:rsidR="3C2BC797" w:rsidRPr="0067507D">
              <w:t>6</w:t>
            </w:r>
            <w:r w:rsidR="263B4509" w:rsidRPr="0067507D">
              <w:t>4)</w:t>
            </w:r>
          </w:p>
        </w:tc>
      </w:tr>
      <w:tr w:rsidR="00113E1C" w:rsidRPr="0067507D" w14:paraId="52A1B9DD" w14:textId="3CA4DEE9" w:rsidTr="006B6B67">
        <w:trPr>
          <w:cantSplit/>
        </w:trPr>
        <w:tc>
          <w:tcPr>
            <w:tcW w:w="1260" w:type="dxa"/>
            <w:vMerge w:val="restart"/>
          </w:tcPr>
          <w:p w14:paraId="3570F046" w14:textId="77777777" w:rsidR="00113E1C" w:rsidRPr="0067507D" w:rsidRDefault="1BCD0F5B" w:rsidP="21264DBD">
            <w:pPr>
              <w:pStyle w:val="Tabletext"/>
            </w:pPr>
            <w:r w:rsidRPr="0067507D">
              <w:t>Corrective actions</w:t>
            </w:r>
          </w:p>
        </w:tc>
        <w:tc>
          <w:tcPr>
            <w:tcW w:w="2250" w:type="dxa"/>
            <w:shd w:val="clear" w:color="auto" w:fill="D9D9D9" w:themeFill="background1" w:themeFillShade="D9"/>
          </w:tcPr>
          <w:p w14:paraId="48BE8638" w14:textId="77777777" w:rsidR="00113E1C" w:rsidRPr="0067507D" w:rsidRDefault="1BCD0F5B" w:rsidP="21264DBD">
            <w:pPr>
              <w:pStyle w:val="Tabletext"/>
            </w:pPr>
            <w:r w:rsidRPr="0067507D">
              <w:t>No. of corrective actions</w:t>
            </w:r>
          </w:p>
        </w:tc>
        <w:tc>
          <w:tcPr>
            <w:tcW w:w="1980" w:type="dxa"/>
          </w:tcPr>
          <w:p w14:paraId="2318D471" w14:textId="6880B283" w:rsidR="21264DBD" w:rsidRPr="0067507D" w:rsidRDefault="21264DBD" w:rsidP="00A101E9">
            <w:pPr>
              <w:pStyle w:val="Tabletext"/>
              <w:rPr>
                <w:rFonts w:eastAsia="Aptos"/>
              </w:rPr>
            </w:pPr>
            <w:r w:rsidRPr="0067507D">
              <w:rPr>
                <w:rFonts w:eastAsia="Aptos"/>
              </w:rPr>
              <w:t>15</w:t>
            </w:r>
          </w:p>
        </w:tc>
        <w:tc>
          <w:tcPr>
            <w:tcW w:w="2165" w:type="dxa"/>
          </w:tcPr>
          <w:p w14:paraId="6F9CA6EB" w14:textId="7533135E" w:rsidR="21264DBD" w:rsidRPr="0067507D" w:rsidRDefault="21264DBD" w:rsidP="00A101E9">
            <w:pPr>
              <w:pStyle w:val="Tabletext"/>
              <w:rPr>
                <w:rFonts w:eastAsia="Aptos"/>
              </w:rPr>
            </w:pPr>
            <w:r w:rsidRPr="0067507D">
              <w:rPr>
                <w:rFonts w:eastAsia="Aptos"/>
              </w:rPr>
              <w:t>6</w:t>
            </w:r>
            <w:r w:rsidRPr="0067507D">
              <w:rPr>
                <w:rFonts w:ascii="Calibri" w:eastAsia="Aptos" w:hAnsi="Calibri" w:cs="Calibri"/>
              </w:rPr>
              <w:t> </w:t>
            </w:r>
          </w:p>
        </w:tc>
        <w:tc>
          <w:tcPr>
            <w:tcW w:w="1975" w:type="dxa"/>
          </w:tcPr>
          <w:p w14:paraId="22133D6E" w14:textId="3C950C5C" w:rsidR="00E5426C" w:rsidRPr="0067507D" w:rsidRDefault="00635B49" w:rsidP="21264DBD">
            <w:pPr>
              <w:pStyle w:val="Tabletext"/>
            </w:pPr>
            <w:r w:rsidRPr="0067507D">
              <w:t>1</w:t>
            </w:r>
          </w:p>
        </w:tc>
      </w:tr>
      <w:tr w:rsidR="00113E1C" w:rsidRPr="0067507D" w14:paraId="36763CF5" w14:textId="1399DB2A" w:rsidTr="006B6B67">
        <w:trPr>
          <w:cantSplit/>
        </w:trPr>
        <w:tc>
          <w:tcPr>
            <w:tcW w:w="1260" w:type="dxa"/>
            <w:vMerge/>
          </w:tcPr>
          <w:p w14:paraId="21643332"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1C0CCBD3" w14:textId="77777777" w:rsidR="00113E1C" w:rsidRPr="0067507D" w:rsidRDefault="1BCD0F5B" w:rsidP="21264DBD">
            <w:pPr>
              <w:pStyle w:val="Tabletext"/>
            </w:pPr>
            <w:r w:rsidRPr="0067507D">
              <w:t>Percentage of corrective actions completed</w:t>
            </w:r>
          </w:p>
        </w:tc>
        <w:tc>
          <w:tcPr>
            <w:tcW w:w="1980" w:type="dxa"/>
          </w:tcPr>
          <w:p w14:paraId="0E8CBB4E" w14:textId="5EEE9071" w:rsidR="21264DBD" w:rsidRPr="0067507D" w:rsidRDefault="21264DBD" w:rsidP="00A101E9">
            <w:pPr>
              <w:pStyle w:val="Tabletext"/>
              <w:rPr>
                <w:rFonts w:eastAsia="Aptos"/>
              </w:rPr>
            </w:pPr>
            <w:r w:rsidRPr="0067507D">
              <w:rPr>
                <w:rFonts w:eastAsia="Aptos"/>
              </w:rPr>
              <w:t>100</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w:t>
            </w:r>
          </w:p>
        </w:tc>
        <w:tc>
          <w:tcPr>
            <w:tcW w:w="2165" w:type="dxa"/>
          </w:tcPr>
          <w:p w14:paraId="30A0DBF2" w14:textId="7B9FBA8B" w:rsidR="21264DBD" w:rsidRPr="0067507D" w:rsidRDefault="21264DBD" w:rsidP="00A101E9">
            <w:pPr>
              <w:pStyle w:val="Tabletext"/>
              <w:rPr>
                <w:rFonts w:eastAsia="Aptos"/>
              </w:rPr>
            </w:pPr>
            <w:r w:rsidRPr="0067507D">
              <w:rPr>
                <w:rFonts w:eastAsia="Aptos"/>
              </w:rPr>
              <w:t>74 per cent</w:t>
            </w:r>
          </w:p>
        </w:tc>
        <w:tc>
          <w:tcPr>
            <w:tcW w:w="1975" w:type="dxa"/>
          </w:tcPr>
          <w:p w14:paraId="15846B4D" w14:textId="7F1763E1" w:rsidR="00E5426C" w:rsidRPr="0067507D" w:rsidRDefault="00635B49" w:rsidP="21264DBD">
            <w:pPr>
              <w:pStyle w:val="Tabletext"/>
            </w:pPr>
            <w:r w:rsidRPr="0067507D">
              <w:t>100 per cent</w:t>
            </w:r>
          </w:p>
        </w:tc>
      </w:tr>
      <w:tr w:rsidR="00113E1C" w:rsidRPr="0067507D" w14:paraId="4975D0A2" w14:textId="30AB2776" w:rsidTr="006B6B67">
        <w:trPr>
          <w:cantSplit/>
        </w:trPr>
        <w:tc>
          <w:tcPr>
            <w:tcW w:w="1260" w:type="dxa"/>
            <w:vMerge w:val="restart"/>
          </w:tcPr>
          <w:p w14:paraId="710D57AC" w14:textId="77777777" w:rsidR="00113E1C" w:rsidRPr="0067507D" w:rsidRDefault="1BCD0F5B" w:rsidP="00545D80">
            <w:pPr>
              <w:pStyle w:val="Tabletext"/>
              <w:keepNext/>
            </w:pPr>
            <w:r w:rsidRPr="0067507D">
              <w:lastRenderedPageBreak/>
              <w:t>OHSMS audits</w:t>
            </w:r>
          </w:p>
        </w:tc>
        <w:tc>
          <w:tcPr>
            <w:tcW w:w="2250" w:type="dxa"/>
            <w:shd w:val="clear" w:color="auto" w:fill="D9D9D9" w:themeFill="background1" w:themeFillShade="D9"/>
          </w:tcPr>
          <w:p w14:paraId="27E94511" w14:textId="77777777" w:rsidR="00113E1C" w:rsidRPr="0067507D" w:rsidRDefault="1BCD0F5B" w:rsidP="21264DBD">
            <w:pPr>
              <w:pStyle w:val="Tabletext"/>
            </w:pPr>
            <w:r w:rsidRPr="0067507D">
              <w:t xml:space="preserve">No. of OHSMS audits conducted </w:t>
            </w:r>
          </w:p>
        </w:tc>
        <w:tc>
          <w:tcPr>
            <w:tcW w:w="1980" w:type="dxa"/>
          </w:tcPr>
          <w:p w14:paraId="0C2820A0" w14:textId="07500DF2" w:rsidR="21264DBD" w:rsidRPr="0067507D" w:rsidRDefault="21264DBD" w:rsidP="00A101E9">
            <w:pPr>
              <w:pStyle w:val="Tabletext"/>
              <w:rPr>
                <w:rFonts w:eastAsia="Aptos"/>
              </w:rPr>
            </w:pPr>
            <w:r w:rsidRPr="0067507D">
              <w:rPr>
                <w:rFonts w:eastAsia="Aptos"/>
              </w:rPr>
              <w:t>0</w:t>
            </w:r>
          </w:p>
        </w:tc>
        <w:tc>
          <w:tcPr>
            <w:tcW w:w="2165" w:type="dxa"/>
          </w:tcPr>
          <w:p w14:paraId="7A1522BC" w14:textId="6C0A9907" w:rsidR="21264DBD" w:rsidRPr="0067507D" w:rsidRDefault="21264DBD" w:rsidP="00A101E9">
            <w:pPr>
              <w:pStyle w:val="Tabletext"/>
              <w:rPr>
                <w:rFonts w:eastAsia="Aptos"/>
              </w:rPr>
            </w:pPr>
            <w:r w:rsidRPr="0067507D">
              <w:rPr>
                <w:rFonts w:eastAsia="Aptos"/>
              </w:rPr>
              <w:t>0</w:t>
            </w:r>
          </w:p>
        </w:tc>
        <w:tc>
          <w:tcPr>
            <w:tcW w:w="1975" w:type="dxa"/>
          </w:tcPr>
          <w:p w14:paraId="59DDF55E" w14:textId="044AE5E1" w:rsidR="00E5426C" w:rsidRPr="0067507D" w:rsidRDefault="263B4509" w:rsidP="21264DBD">
            <w:pPr>
              <w:pStyle w:val="Tabletext"/>
            </w:pPr>
            <w:r w:rsidRPr="0067507D">
              <w:t>0</w:t>
            </w:r>
          </w:p>
        </w:tc>
      </w:tr>
      <w:tr w:rsidR="00113E1C" w:rsidRPr="0067507D" w14:paraId="38D36827" w14:textId="1FB48BA9" w:rsidTr="006B6B67">
        <w:trPr>
          <w:cantSplit/>
        </w:trPr>
        <w:tc>
          <w:tcPr>
            <w:tcW w:w="1260" w:type="dxa"/>
            <w:vMerge/>
          </w:tcPr>
          <w:p w14:paraId="47D1A60D"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50DC1A56" w14:textId="77777777" w:rsidR="00113E1C" w:rsidRPr="0067507D" w:rsidRDefault="1BCD0F5B" w:rsidP="21264DBD">
            <w:pPr>
              <w:pStyle w:val="Tabletext"/>
            </w:pPr>
            <w:r w:rsidRPr="0067507D">
              <w:t>Percentage of workplaces</w:t>
            </w:r>
            <w:r w:rsidRPr="0067507D">
              <w:rPr>
                <w:rFonts w:ascii="Calibri" w:hAnsi="Calibri"/>
              </w:rPr>
              <w:t> </w:t>
            </w:r>
            <w:r w:rsidRPr="0067507D">
              <w:t xml:space="preserve">audited </w:t>
            </w:r>
          </w:p>
        </w:tc>
        <w:tc>
          <w:tcPr>
            <w:tcW w:w="1980" w:type="dxa"/>
          </w:tcPr>
          <w:p w14:paraId="0A2398F7" w14:textId="2533BAF5" w:rsidR="21264DBD" w:rsidRPr="0067507D" w:rsidRDefault="21264DBD" w:rsidP="00A101E9">
            <w:pPr>
              <w:pStyle w:val="Tabletext"/>
              <w:rPr>
                <w:rFonts w:eastAsia="Aptos"/>
              </w:rPr>
            </w:pPr>
            <w:r w:rsidRPr="0067507D">
              <w:rPr>
                <w:rFonts w:eastAsia="Aptos"/>
              </w:rPr>
              <w:t>0</w:t>
            </w:r>
          </w:p>
        </w:tc>
        <w:tc>
          <w:tcPr>
            <w:tcW w:w="2165" w:type="dxa"/>
          </w:tcPr>
          <w:p w14:paraId="638D4D2C" w14:textId="6D9D8040" w:rsidR="21264DBD" w:rsidRPr="0067507D" w:rsidRDefault="21264DBD" w:rsidP="00A101E9">
            <w:pPr>
              <w:pStyle w:val="Tabletext"/>
              <w:rPr>
                <w:rFonts w:eastAsia="Aptos"/>
              </w:rPr>
            </w:pPr>
            <w:r w:rsidRPr="0067507D">
              <w:rPr>
                <w:rFonts w:eastAsia="Aptos"/>
              </w:rPr>
              <w:t>0</w:t>
            </w:r>
          </w:p>
        </w:tc>
        <w:tc>
          <w:tcPr>
            <w:tcW w:w="1975" w:type="dxa"/>
          </w:tcPr>
          <w:p w14:paraId="4B56EF3C" w14:textId="589AA756" w:rsidR="00E5426C" w:rsidRPr="0067507D" w:rsidRDefault="263B4509" w:rsidP="21264DBD">
            <w:pPr>
              <w:pStyle w:val="Tabletext"/>
            </w:pPr>
            <w:r w:rsidRPr="0067507D">
              <w:t>0</w:t>
            </w:r>
          </w:p>
        </w:tc>
      </w:tr>
      <w:tr w:rsidR="00113E1C" w:rsidRPr="0067507D" w14:paraId="37794D2E" w14:textId="3A095AF0" w:rsidTr="006B6B67">
        <w:trPr>
          <w:cantSplit/>
        </w:trPr>
        <w:tc>
          <w:tcPr>
            <w:tcW w:w="1260" w:type="dxa"/>
          </w:tcPr>
          <w:p w14:paraId="214F839A" w14:textId="77777777" w:rsidR="00113E1C" w:rsidRPr="0067507D" w:rsidRDefault="1BCD0F5B" w:rsidP="21264DBD">
            <w:pPr>
              <w:pStyle w:val="Tabletext"/>
            </w:pPr>
            <w:r w:rsidRPr="0067507D">
              <w:t>OHSMS implementation</w:t>
            </w:r>
          </w:p>
        </w:tc>
        <w:tc>
          <w:tcPr>
            <w:tcW w:w="2250" w:type="dxa"/>
            <w:shd w:val="clear" w:color="auto" w:fill="D9D9D9" w:themeFill="background1" w:themeFillShade="D9"/>
          </w:tcPr>
          <w:p w14:paraId="02785FD9" w14:textId="77777777" w:rsidR="00113E1C" w:rsidRPr="0067507D" w:rsidRDefault="1BCD0F5B" w:rsidP="21264DBD">
            <w:pPr>
              <w:pStyle w:val="Tabletext"/>
            </w:pPr>
            <w:r w:rsidRPr="0067507D">
              <w:t>Percentage of an averaged OHSMS audit score</w:t>
            </w:r>
          </w:p>
        </w:tc>
        <w:tc>
          <w:tcPr>
            <w:tcW w:w="1980" w:type="dxa"/>
          </w:tcPr>
          <w:p w14:paraId="4E277E89" w14:textId="4C980BC4" w:rsidR="21264DBD" w:rsidRPr="0067507D" w:rsidRDefault="21264DBD" w:rsidP="00A101E9">
            <w:pPr>
              <w:pStyle w:val="Tabletext"/>
              <w:rPr>
                <w:rFonts w:eastAsia="Aptos"/>
              </w:rPr>
            </w:pPr>
            <w:r w:rsidRPr="0067507D">
              <w:rPr>
                <w:rFonts w:eastAsia="Aptos"/>
              </w:rPr>
              <w:t>0</w:t>
            </w:r>
          </w:p>
        </w:tc>
        <w:tc>
          <w:tcPr>
            <w:tcW w:w="2165" w:type="dxa"/>
          </w:tcPr>
          <w:p w14:paraId="0301972F" w14:textId="4E4E07DE" w:rsidR="21264DBD" w:rsidRPr="0067507D" w:rsidRDefault="21264DBD" w:rsidP="00A101E9">
            <w:pPr>
              <w:pStyle w:val="Tabletext"/>
              <w:rPr>
                <w:rFonts w:eastAsia="Aptos"/>
              </w:rPr>
            </w:pPr>
            <w:r w:rsidRPr="0067507D">
              <w:rPr>
                <w:rFonts w:eastAsia="Aptos"/>
              </w:rPr>
              <w:t>0</w:t>
            </w:r>
          </w:p>
        </w:tc>
        <w:tc>
          <w:tcPr>
            <w:tcW w:w="1975" w:type="dxa"/>
          </w:tcPr>
          <w:p w14:paraId="0C094FA0" w14:textId="2C72493E" w:rsidR="00E5426C" w:rsidRPr="0067507D" w:rsidRDefault="263B4509" w:rsidP="21264DBD">
            <w:pPr>
              <w:pStyle w:val="Tabletext"/>
            </w:pPr>
            <w:r w:rsidRPr="0067507D">
              <w:t>0</w:t>
            </w:r>
          </w:p>
        </w:tc>
      </w:tr>
      <w:tr w:rsidR="00113E1C" w:rsidRPr="0067507D" w14:paraId="2EEB576D" w14:textId="61467C21" w:rsidTr="006B6B67">
        <w:trPr>
          <w:cantSplit/>
        </w:trPr>
        <w:tc>
          <w:tcPr>
            <w:tcW w:w="1260" w:type="dxa"/>
            <w:vMerge w:val="restart"/>
          </w:tcPr>
          <w:p w14:paraId="4392A2A5" w14:textId="77777777" w:rsidR="00113E1C" w:rsidRPr="0067507D" w:rsidRDefault="1BCD0F5B" w:rsidP="21264DBD">
            <w:pPr>
              <w:pStyle w:val="Tabletext"/>
              <w:keepNext/>
            </w:pPr>
            <w:r w:rsidRPr="0067507D">
              <w:t xml:space="preserve">Management participation in audits </w:t>
            </w:r>
          </w:p>
        </w:tc>
        <w:tc>
          <w:tcPr>
            <w:tcW w:w="2250" w:type="dxa"/>
            <w:shd w:val="clear" w:color="auto" w:fill="D9D9D9" w:themeFill="background1" w:themeFillShade="D9"/>
          </w:tcPr>
          <w:p w14:paraId="6B7671F9" w14:textId="77777777" w:rsidR="00113E1C" w:rsidRPr="0067507D" w:rsidRDefault="1BCD0F5B" w:rsidP="21264DBD">
            <w:pPr>
              <w:pStyle w:val="Tabletext"/>
            </w:pPr>
            <w:r w:rsidRPr="0067507D">
              <w:t xml:space="preserve">Percentage of managers that have participated in the total no. of workplace audits conducted </w:t>
            </w:r>
          </w:p>
        </w:tc>
        <w:tc>
          <w:tcPr>
            <w:tcW w:w="1980" w:type="dxa"/>
          </w:tcPr>
          <w:p w14:paraId="56AD5A6D" w14:textId="000831FA" w:rsidR="21264DBD" w:rsidRPr="0067507D" w:rsidRDefault="21264DBD" w:rsidP="00A101E9">
            <w:pPr>
              <w:pStyle w:val="Tabletext"/>
              <w:rPr>
                <w:rFonts w:eastAsia="Aptos"/>
              </w:rPr>
            </w:pPr>
            <w:r w:rsidRPr="0067507D">
              <w:rPr>
                <w:rFonts w:eastAsia="Aptos"/>
              </w:rPr>
              <w:t>0</w:t>
            </w:r>
          </w:p>
        </w:tc>
        <w:tc>
          <w:tcPr>
            <w:tcW w:w="2165" w:type="dxa"/>
          </w:tcPr>
          <w:p w14:paraId="5F09EC8E" w14:textId="2290A9CA" w:rsidR="21264DBD" w:rsidRPr="0067507D" w:rsidRDefault="21264DBD" w:rsidP="00A101E9">
            <w:pPr>
              <w:pStyle w:val="Tabletext"/>
              <w:rPr>
                <w:rFonts w:eastAsia="Aptos"/>
              </w:rPr>
            </w:pPr>
            <w:r w:rsidRPr="0067507D">
              <w:rPr>
                <w:rFonts w:eastAsia="Aptos"/>
              </w:rPr>
              <w:t>0</w:t>
            </w:r>
          </w:p>
        </w:tc>
        <w:tc>
          <w:tcPr>
            <w:tcW w:w="1975" w:type="dxa"/>
          </w:tcPr>
          <w:p w14:paraId="09AC5A64" w14:textId="16A326B5" w:rsidR="00E5426C" w:rsidRPr="0067507D" w:rsidRDefault="263B4509" w:rsidP="21264DBD">
            <w:pPr>
              <w:pStyle w:val="Tabletext"/>
            </w:pPr>
            <w:r w:rsidRPr="0067507D">
              <w:t>0</w:t>
            </w:r>
          </w:p>
        </w:tc>
      </w:tr>
      <w:tr w:rsidR="00113E1C" w:rsidRPr="0067507D" w14:paraId="45206DCF" w14:textId="0BC37DE2" w:rsidTr="006B6B67">
        <w:trPr>
          <w:cantSplit/>
        </w:trPr>
        <w:tc>
          <w:tcPr>
            <w:tcW w:w="1260" w:type="dxa"/>
            <w:vMerge/>
          </w:tcPr>
          <w:p w14:paraId="1585BA54"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4649F82A" w14:textId="490604CB" w:rsidR="00113E1C" w:rsidRPr="0067507D" w:rsidRDefault="1BCD0F5B" w:rsidP="21264DBD">
            <w:pPr>
              <w:pStyle w:val="Tabletext"/>
            </w:pPr>
            <w:r w:rsidRPr="0067507D">
              <w:t>No. of senior management participating in departmental OHSMS review and evaluation per two</w:t>
            </w:r>
            <w:r w:rsidR="006A5485">
              <w:noBreakHyphen/>
            </w:r>
            <w:r w:rsidRPr="0067507D">
              <w:t xml:space="preserve">year cycle </w:t>
            </w:r>
          </w:p>
        </w:tc>
        <w:tc>
          <w:tcPr>
            <w:tcW w:w="1980" w:type="dxa"/>
          </w:tcPr>
          <w:p w14:paraId="685286AC" w14:textId="5571FA24" w:rsidR="21264DBD" w:rsidRPr="0067507D" w:rsidRDefault="21264DBD" w:rsidP="00A101E9">
            <w:pPr>
              <w:pStyle w:val="Tabletext"/>
              <w:rPr>
                <w:rFonts w:eastAsia="Aptos"/>
              </w:rPr>
            </w:pPr>
            <w:r w:rsidRPr="0067507D">
              <w:rPr>
                <w:rFonts w:eastAsia="Aptos"/>
              </w:rPr>
              <w:t>0</w:t>
            </w:r>
          </w:p>
        </w:tc>
        <w:tc>
          <w:tcPr>
            <w:tcW w:w="2165" w:type="dxa"/>
          </w:tcPr>
          <w:p w14:paraId="49534044" w14:textId="22CE7191" w:rsidR="21264DBD" w:rsidRPr="0067507D" w:rsidRDefault="21264DBD" w:rsidP="00A101E9">
            <w:pPr>
              <w:pStyle w:val="Tabletext"/>
              <w:rPr>
                <w:rFonts w:eastAsia="Aptos"/>
              </w:rPr>
            </w:pPr>
            <w:r w:rsidRPr="0067507D">
              <w:rPr>
                <w:rFonts w:eastAsia="Aptos"/>
              </w:rPr>
              <w:t>0</w:t>
            </w:r>
          </w:p>
        </w:tc>
        <w:tc>
          <w:tcPr>
            <w:tcW w:w="1975" w:type="dxa"/>
          </w:tcPr>
          <w:p w14:paraId="6B6B2A80" w14:textId="0F1C23EA" w:rsidR="00E5426C" w:rsidRPr="0067507D" w:rsidRDefault="263B4509" w:rsidP="21264DBD">
            <w:pPr>
              <w:pStyle w:val="Tabletext"/>
            </w:pPr>
            <w:r w:rsidRPr="0067507D">
              <w:t>0</w:t>
            </w:r>
          </w:p>
        </w:tc>
      </w:tr>
      <w:tr w:rsidR="00113E1C" w:rsidRPr="0067507D" w14:paraId="59619D4E" w14:textId="1F476E51" w:rsidTr="006B6B67">
        <w:trPr>
          <w:cantSplit/>
        </w:trPr>
        <w:tc>
          <w:tcPr>
            <w:tcW w:w="1260" w:type="dxa"/>
            <w:vMerge w:val="restart"/>
          </w:tcPr>
          <w:p w14:paraId="08216C0E" w14:textId="77777777" w:rsidR="00113E1C" w:rsidRPr="0067507D" w:rsidRDefault="1BCD0F5B" w:rsidP="21264DBD">
            <w:pPr>
              <w:pStyle w:val="Tabletext"/>
            </w:pPr>
            <w:r w:rsidRPr="0067507D">
              <w:t>Mental health and wellbeing training</w:t>
            </w:r>
          </w:p>
        </w:tc>
        <w:tc>
          <w:tcPr>
            <w:tcW w:w="2250" w:type="dxa"/>
            <w:shd w:val="clear" w:color="auto" w:fill="D9D9D9" w:themeFill="background1" w:themeFillShade="D9"/>
          </w:tcPr>
          <w:p w14:paraId="053AFE00" w14:textId="77777777" w:rsidR="00113E1C" w:rsidRPr="0067507D" w:rsidRDefault="1BCD0F5B" w:rsidP="21264DBD">
            <w:pPr>
              <w:pStyle w:val="Tabletext"/>
            </w:pPr>
            <w:r w:rsidRPr="0067507D">
              <w:t>No. of mental health and wellbeing training initiatives/activities delivered</w:t>
            </w:r>
          </w:p>
        </w:tc>
        <w:tc>
          <w:tcPr>
            <w:tcW w:w="1980" w:type="dxa"/>
          </w:tcPr>
          <w:p w14:paraId="29F2756C" w14:textId="10962B5F" w:rsidR="21264DBD" w:rsidRPr="0067507D" w:rsidRDefault="21264DBD" w:rsidP="00A101E9">
            <w:pPr>
              <w:pStyle w:val="Tabletext"/>
              <w:rPr>
                <w:rFonts w:eastAsia="Aptos"/>
              </w:rPr>
            </w:pPr>
            <w:r w:rsidRPr="0067507D">
              <w:rPr>
                <w:rFonts w:eastAsia="Aptos"/>
              </w:rPr>
              <w:t>40</w:t>
            </w:r>
          </w:p>
        </w:tc>
        <w:tc>
          <w:tcPr>
            <w:tcW w:w="2165" w:type="dxa"/>
          </w:tcPr>
          <w:p w14:paraId="6BACBC2B" w14:textId="64E79094" w:rsidR="21264DBD" w:rsidRPr="0067507D" w:rsidRDefault="21264DBD" w:rsidP="00A101E9">
            <w:pPr>
              <w:pStyle w:val="Tabletext"/>
              <w:rPr>
                <w:rFonts w:eastAsia="Aptos"/>
              </w:rPr>
            </w:pPr>
            <w:r w:rsidRPr="0067507D">
              <w:rPr>
                <w:rFonts w:eastAsia="Aptos"/>
              </w:rPr>
              <w:t>34</w:t>
            </w:r>
          </w:p>
        </w:tc>
        <w:tc>
          <w:tcPr>
            <w:tcW w:w="1975" w:type="dxa"/>
          </w:tcPr>
          <w:p w14:paraId="4F915C13" w14:textId="5D8FD9DB" w:rsidR="00E5426C" w:rsidRPr="0067507D" w:rsidRDefault="2096AFDD" w:rsidP="21264DBD">
            <w:pPr>
              <w:pStyle w:val="Tabletext"/>
            </w:pPr>
            <w:r w:rsidRPr="0067507D">
              <w:t>26</w:t>
            </w:r>
          </w:p>
        </w:tc>
      </w:tr>
      <w:tr w:rsidR="00113E1C" w:rsidRPr="0067507D" w14:paraId="74474F2E" w14:textId="5CC2202F" w:rsidTr="006B6B67">
        <w:trPr>
          <w:cantSplit/>
        </w:trPr>
        <w:tc>
          <w:tcPr>
            <w:tcW w:w="1260" w:type="dxa"/>
            <w:vMerge/>
          </w:tcPr>
          <w:p w14:paraId="10DCA862"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7C34726B" w14:textId="2AF0EB2D" w:rsidR="00113E1C" w:rsidRPr="0067507D" w:rsidRDefault="00113E1C" w:rsidP="003E4E12">
            <w:pPr>
              <w:pStyle w:val="Tabletext"/>
            </w:pPr>
            <w:r w:rsidRPr="0067507D">
              <w:t>Percentage of senior leaders, people leaders and staff that have completed mental health and</w:t>
            </w:r>
            <w:r w:rsidR="00F749B3" w:rsidRPr="0067507D">
              <w:t xml:space="preserve"> </w:t>
            </w:r>
            <w:r w:rsidRPr="0067507D">
              <w:t>wellbeing</w:t>
            </w:r>
            <w:r w:rsidR="00F749B3" w:rsidRPr="0067507D">
              <w:rPr>
                <w:rFonts w:ascii="Calibri" w:hAnsi="Calibri"/>
              </w:rPr>
              <w:t xml:space="preserve"> </w:t>
            </w:r>
            <w:r w:rsidRPr="0067507D">
              <w:t>training</w:t>
            </w:r>
            <w:r w:rsidR="00F749B3" w:rsidRPr="0067507D">
              <w:t>:</w:t>
            </w:r>
            <w:r w:rsidR="00F749B3" w:rsidRPr="0067507D">
              <w:rPr>
                <w:rFonts w:ascii="Calibri" w:hAnsi="Calibri" w:cs="Calibri"/>
              </w:rPr>
              <w:t> </w:t>
            </w:r>
            <w:r w:rsidRPr="0067507D">
              <w:rPr>
                <w:vertAlign w:val="superscript"/>
              </w:rPr>
              <w:t>(</w:t>
            </w:r>
            <w:r w:rsidR="008F20BD" w:rsidRPr="0067507D">
              <w:rPr>
                <w:vertAlign w:val="superscript"/>
              </w:rPr>
              <w:t>d</w:t>
            </w:r>
            <w:r w:rsidRPr="0067507D">
              <w:rPr>
                <w:vertAlign w:val="superscript"/>
              </w:rPr>
              <w:t>)</w:t>
            </w:r>
            <w:r w:rsidRPr="0067507D">
              <w:t xml:space="preserve"> </w:t>
            </w:r>
          </w:p>
        </w:tc>
        <w:tc>
          <w:tcPr>
            <w:tcW w:w="1980" w:type="dxa"/>
          </w:tcPr>
          <w:p w14:paraId="5ED925CE" w14:textId="747D4DD7" w:rsidR="21264DBD" w:rsidRPr="0067507D" w:rsidRDefault="21264DBD" w:rsidP="00A101E9">
            <w:pPr>
              <w:pStyle w:val="Tabletext"/>
              <w:rPr>
                <w:rFonts w:ascii="Calibri" w:eastAsia="Aptos" w:hAnsi="Calibri" w:cs="Calibri"/>
              </w:rPr>
            </w:pPr>
          </w:p>
        </w:tc>
        <w:tc>
          <w:tcPr>
            <w:tcW w:w="2165" w:type="dxa"/>
          </w:tcPr>
          <w:p w14:paraId="3D081033" w14:textId="0448B611" w:rsidR="21264DBD" w:rsidRPr="0067507D" w:rsidRDefault="21264DBD" w:rsidP="00A101E9">
            <w:pPr>
              <w:pStyle w:val="Tabletext"/>
              <w:rPr>
                <w:rFonts w:ascii="Calibri" w:eastAsia="Aptos" w:hAnsi="Calibri" w:cs="Calibri"/>
              </w:rPr>
            </w:pPr>
          </w:p>
        </w:tc>
        <w:tc>
          <w:tcPr>
            <w:tcW w:w="1975" w:type="dxa"/>
          </w:tcPr>
          <w:p w14:paraId="5DE7D653" w14:textId="7AD5C750" w:rsidR="00E5426C" w:rsidRPr="0067507D" w:rsidRDefault="00E5426C" w:rsidP="00E5426C">
            <w:pPr>
              <w:pStyle w:val="Tabletext"/>
              <w:rPr>
                <w:highlight w:val="yellow"/>
              </w:rPr>
            </w:pPr>
          </w:p>
        </w:tc>
      </w:tr>
      <w:tr w:rsidR="00113E1C" w:rsidRPr="0067507D" w14:paraId="6B78A04A" w14:textId="3721A5AB" w:rsidTr="006B6B67">
        <w:trPr>
          <w:cantSplit/>
        </w:trPr>
        <w:tc>
          <w:tcPr>
            <w:tcW w:w="1260" w:type="dxa"/>
            <w:vMerge/>
          </w:tcPr>
          <w:p w14:paraId="6EB57FAC"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43EFD78E" w14:textId="77777777" w:rsidR="00113E1C" w:rsidRPr="0067507D" w:rsidRDefault="00113E1C" w:rsidP="00655729">
            <w:pPr>
              <w:pStyle w:val="Tablebullet"/>
              <w:keepLines w:val="0"/>
              <w:ind w:left="216" w:hanging="216"/>
            </w:pPr>
            <w:r w:rsidRPr="0067507D">
              <w:t>senior leaders training</w:t>
            </w:r>
          </w:p>
        </w:tc>
        <w:tc>
          <w:tcPr>
            <w:tcW w:w="1980" w:type="dxa"/>
          </w:tcPr>
          <w:p w14:paraId="1CA175AA" w14:textId="2B4FB55B" w:rsidR="21264DBD" w:rsidRPr="0067507D" w:rsidRDefault="21264DBD" w:rsidP="00A101E9">
            <w:pPr>
              <w:pStyle w:val="Tabletext"/>
              <w:rPr>
                <w:rFonts w:eastAsia="Aptos"/>
              </w:rPr>
            </w:pPr>
            <w:r w:rsidRPr="0067507D">
              <w:rPr>
                <w:rFonts w:eastAsia="Aptos"/>
              </w:rPr>
              <w:t>21</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w:t>
            </w:r>
          </w:p>
        </w:tc>
        <w:tc>
          <w:tcPr>
            <w:tcW w:w="2165" w:type="dxa"/>
          </w:tcPr>
          <w:p w14:paraId="19B43FC9" w14:textId="2AEF6B3B" w:rsidR="21264DBD" w:rsidRPr="0067507D" w:rsidRDefault="21264DBD" w:rsidP="00A101E9">
            <w:pPr>
              <w:pStyle w:val="Tabletext"/>
              <w:rPr>
                <w:rFonts w:eastAsia="Aptos"/>
              </w:rPr>
            </w:pPr>
            <w:r w:rsidRPr="0067507D">
              <w:rPr>
                <w:rFonts w:eastAsia="Aptos"/>
              </w:rPr>
              <w:t>23 per cent</w:t>
            </w:r>
          </w:p>
        </w:tc>
        <w:tc>
          <w:tcPr>
            <w:tcW w:w="1975" w:type="dxa"/>
          </w:tcPr>
          <w:p w14:paraId="5ABBB59B" w14:textId="1907F3D8" w:rsidR="00E5426C" w:rsidRPr="0067507D" w:rsidRDefault="003C62A5" w:rsidP="00E5426C">
            <w:pPr>
              <w:pStyle w:val="Tabletext"/>
            </w:pPr>
            <w:r w:rsidRPr="0067507D">
              <w:rPr>
                <w:rFonts w:eastAsia="Aptos"/>
              </w:rPr>
              <w:t>32 per cent</w:t>
            </w:r>
          </w:p>
        </w:tc>
      </w:tr>
      <w:tr w:rsidR="00113E1C" w:rsidRPr="0067507D" w14:paraId="214EB462" w14:textId="3A2090A8" w:rsidTr="006B6B67">
        <w:trPr>
          <w:cantSplit/>
        </w:trPr>
        <w:tc>
          <w:tcPr>
            <w:tcW w:w="1260" w:type="dxa"/>
            <w:vMerge/>
          </w:tcPr>
          <w:p w14:paraId="0DAA24F5"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53587809" w14:textId="77777777" w:rsidR="00113E1C" w:rsidRPr="0067507D" w:rsidRDefault="00113E1C" w:rsidP="00655729">
            <w:pPr>
              <w:pStyle w:val="Tablebullet"/>
              <w:keepLines w:val="0"/>
              <w:ind w:left="216" w:hanging="216"/>
            </w:pPr>
            <w:r w:rsidRPr="0067507D">
              <w:t>people leaders training</w:t>
            </w:r>
          </w:p>
        </w:tc>
        <w:tc>
          <w:tcPr>
            <w:tcW w:w="1980" w:type="dxa"/>
          </w:tcPr>
          <w:p w14:paraId="3D320F1E" w14:textId="2BED2612" w:rsidR="21264DBD" w:rsidRPr="0067507D" w:rsidRDefault="21264DBD" w:rsidP="00A101E9">
            <w:pPr>
              <w:pStyle w:val="Tabletext"/>
              <w:rPr>
                <w:rFonts w:eastAsia="Aptos"/>
              </w:rPr>
            </w:pPr>
            <w:r w:rsidRPr="0067507D">
              <w:rPr>
                <w:rFonts w:eastAsia="Aptos"/>
              </w:rPr>
              <w:t>26</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w:t>
            </w:r>
          </w:p>
        </w:tc>
        <w:tc>
          <w:tcPr>
            <w:tcW w:w="2165" w:type="dxa"/>
          </w:tcPr>
          <w:p w14:paraId="505FF2D4" w14:textId="3DF1809D" w:rsidR="21264DBD" w:rsidRPr="0067507D" w:rsidRDefault="21264DBD" w:rsidP="00A101E9">
            <w:pPr>
              <w:pStyle w:val="Tabletext"/>
              <w:rPr>
                <w:rFonts w:eastAsia="Aptos"/>
              </w:rPr>
            </w:pPr>
            <w:r w:rsidRPr="0067507D">
              <w:rPr>
                <w:rFonts w:eastAsia="Aptos"/>
              </w:rPr>
              <w:t>30 per cent</w:t>
            </w:r>
          </w:p>
        </w:tc>
        <w:tc>
          <w:tcPr>
            <w:tcW w:w="1975" w:type="dxa"/>
          </w:tcPr>
          <w:p w14:paraId="37AC3545" w14:textId="1433C2B2" w:rsidR="00E5426C" w:rsidRPr="0067507D" w:rsidRDefault="003C62A5" w:rsidP="00E5426C">
            <w:pPr>
              <w:pStyle w:val="Tabletext"/>
            </w:pPr>
            <w:r w:rsidRPr="0067507D">
              <w:rPr>
                <w:rFonts w:eastAsia="Aptos"/>
              </w:rPr>
              <w:t>40 per cent</w:t>
            </w:r>
          </w:p>
        </w:tc>
      </w:tr>
      <w:tr w:rsidR="00113E1C" w:rsidRPr="0067507D" w14:paraId="21DD5101" w14:textId="49F92CB8" w:rsidTr="006B6B67">
        <w:trPr>
          <w:cantSplit/>
        </w:trPr>
        <w:tc>
          <w:tcPr>
            <w:tcW w:w="1260" w:type="dxa"/>
            <w:vMerge/>
          </w:tcPr>
          <w:p w14:paraId="636AE6EC"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1729D07A" w14:textId="77777777" w:rsidR="00113E1C" w:rsidRPr="0067507D" w:rsidRDefault="00113E1C" w:rsidP="00655729">
            <w:pPr>
              <w:pStyle w:val="Tablebullet"/>
              <w:keepLines w:val="0"/>
              <w:ind w:left="216" w:hanging="216"/>
            </w:pPr>
            <w:r w:rsidRPr="0067507D">
              <w:t xml:space="preserve">staff training </w:t>
            </w:r>
          </w:p>
        </w:tc>
        <w:tc>
          <w:tcPr>
            <w:tcW w:w="1980" w:type="dxa"/>
          </w:tcPr>
          <w:p w14:paraId="14E06401" w14:textId="43DA5B5A" w:rsidR="21264DBD" w:rsidRPr="0067507D" w:rsidRDefault="21264DBD" w:rsidP="00A101E9">
            <w:pPr>
              <w:pStyle w:val="Tabletext"/>
              <w:rPr>
                <w:rFonts w:eastAsia="Aptos"/>
              </w:rPr>
            </w:pPr>
            <w:r w:rsidRPr="0067507D">
              <w:rPr>
                <w:rFonts w:eastAsia="Aptos"/>
              </w:rPr>
              <w:t>32</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w:t>
            </w:r>
          </w:p>
        </w:tc>
        <w:tc>
          <w:tcPr>
            <w:tcW w:w="2165" w:type="dxa"/>
          </w:tcPr>
          <w:p w14:paraId="67DEFA64" w14:textId="74DFDA21" w:rsidR="21264DBD" w:rsidRPr="0067507D" w:rsidRDefault="21264DBD" w:rsidP="00A101E9">
            <w:pPr>
              <w:pStyle w:val="Tabletext"/>
              <w:rPr>
                <w:rFonts w:eastAsia="Aptos"/>
              </w:rPr>
            </w:pPr>
            <w:r w:rsidRPr="0067507D">
              <w:rPr>
                <w:rFonts w:eastAsia="Aptos"/>
              </w:rPr>
              <w:t>35 per cent</w:t>
            </w:r>
          </w:p>
        </w:tc>
        <w:tc>
          <w:tcPr>
            <w:tcW w:w="1975" w:type="dxa"/>
          </w:tcPr>
          <w:p w14:paraId="02CBBD36" w14:textId="5D70CA88" w:rsidR="00E5426C" w:rsidRPr="0067507D" w:rsidRDefault="007E12F2" w:rsidP="00E5426C">
            <w:pPr>
              <w:pStyle w:val="Tabletext"/>
            </w:pPr>
            <w:r w:rsidRPr="0067507D">
              <w:rPr>
                <w:rFonts w:eastAsia="Aptos"/>
              </w:rPr>
              <w:t>17 per cent</w:t>
            </w:r>
          </w:p>
        </w:tc>
      </w:tr>
      <w:tr w:rsidR="00113E1C" w:rsidRPr="0067507D" w14:paraId="7E0FF4C0" w14:textId="6719233D" w:rsidTr="006B6B67">
        <w:trPr>
          <w:cantSplit/>
        </w:trPr>
        <w:tc>
          <w:tcPr>
            <w:tcW w:w="1260" w:type="dxa"/>
            <w:vMerge/>
          </w:tcPr>
          <w:p w14:paraId="427944BE"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414EFB66" w14:textId="77777777" w:rsidR="00113E1C" w:rsidRPr="0067507D" w:rsidRDefault="00113E1C" w:rsidP="003E4E12">
            <w:pPr>
              <w:pStyle w:val="Tabletext"/>
            </w:pPr>
            <w:r w:rsidRPr="0067507D">
              <w:t xml:space="preserve">Evidence of staff having participated in at least two wellbeing initiatives/ activities </w:t>
            </w:r>
          </w:p>
        </w:tc>
        <w:tc>
          <w:tcPr>
            <w:tcW w:w="1980" w:type="dxa"/>
          </w:tcPr>
          <w:p w14:paraId="4C10A448" w14:textId="1D161EF9" w:rsidR="21264DBD" w:rsidRPr="0067507D" w:rsidRDefault="21264DBD" w:rsidP="00A101E9">
            <w:pPr>
              <w:pStyle w:val="Tabletext"/>
              <w:rPr>
                <w:rFonts w:eastAsia="Aptos"/>
              </w:rPr>
            </w:pPr>
            <w:r w:rsidRPr="0067507D">
              <w:rPr>
                <w:rFonts w:eastAsia="Aptos"/>
              </w:rPr>
              <w:t>Evidence of participation in at least two wellbeing initiatives/activities is available via DTF’s Learning Management System (Kando Central).</w:t>
            </w:r>
            <w:r w:rsidR="006F3595" w:rsidRPr="0067507D">
              <w:rPr>
                <w:rFonts w:eastAsia="Aptos"/>
              </w:rPr>
              <w:t xml:space="preserve"> </w:t>
            </w:r>
          </w:p>
          <w:p w14:paraId="3422F5E9" w14:textId="5DF2A3D7" w:rsidR="21264DBD" w:rsidRPr="0067507D" w:rsidRDefault="21264DBD" w:rsidP="00A101E9">
            <w:pPr>
              <w:pStyle w:val="Tabletext"/>
              <w:rPr>
                <w:rFonts w:eastAsia="Aptos"/>
              </w:rPr>
            </w:pPr>
            <w:r w:rsidRPr="0067507D">
              <w:rPr>
                <w:rFonts w:eastAsia="Aptos"/>
              </w:rPr>
              <w:t>96 DTF employees have attended mental health</w:t>
            </w:r>
            <w:r w:rsidR="00C81735" w:rsidRPr="0067507D">
              <w:rPr>
                <w:rFonts w:eastAsia="Aptos"/>
              </w:rPr>
              <w:t xml:space="preserve"> </w:t>
            </w:r>
            <w:r w:rsidRPr="0067507D">
              <w:rPr>
                <w:rFonts w:eastAsia="Aptos"/>
              </w:rPr>
              <w:t>and wellbeing training for people leaders.</w:t>
            </w:r>
            <w:r w:rsidR="006F3595" w:rsidRPr="0067507D">
              <w:rPr>
                <w:rFonts w:eastAsia="Aptos"/>
              </w:rPr>
              <w:t xml:space="preserve"> </w:t>
            </w:r>
          </w:p>
          <w:p w14:paraId="758E67F1" w14:textId="2166DAB1" w:rsidR="21264DBD" w:rsidRPr="0067507D" w:rsidRDefault="21264DBD" w:rsidP="00A101E9">
            <w:pPr>
              <w:pStyle w:val="Tabletext"/>
              <w:rPr>
                <w:rFonts w:eastAsia="Aptos"/>
              </w:rPr>
            </w:pPr>
            <w:r w:rsidRPr="0067507D">
              <w:rPr>
                <w:rFonts w:eastAsia="Aptos"/>
              </w:rPr>
              <w:t>165 executive and senior DTF staff have completed Online Mental Health Training through DTF’s Learning Management System (Kando Central).</w:t>
            </w:r>
            <w:r w:rsidR="006F3595" w:rsidRPr="0067507D">
              <w:rPr>
                <w:rFonts w:eastAsia="Aptos"/>
              </w:rPr>
              <w:t xml:space="preserve"> </w:t>
            </w:r>
          </w:p>
        </w:tc>
        <w:tc>
          <w:tcPr>
            <w:tcW w:w="2165" w:type="dxa"/>
          </w:tcPr>
          <w:p w14:paraId="6FC2901E" w14:textId="1AE6B3B5" w:rsidR="21264DBD" w:rsidRPr="0067507D" w:rsidRDefault="21264DBD" w:rsidP="00A101E9">
            <w:pPr>
              <w:pStyle w:val="Tabletext"/>
              <w:rPr>
                <w:rFonts w:eastAsia="Aptos"/>
              </w:rPr>
            </w:pPr>
            <w:r w:rsidRPr="0067507D">
              <w:rPr>
                <w:rFonts w:eastAsia="Aptos"/>
              </w:rPr>
              <w:t>Evidence of participation in at least two wellbeing initiatives/activities is available via DTF’s Learning Management System (Kando Central).</w:t>
            </w:r>
            <w:r w:rsidR="006F3595" w:rsidRPr="0067507D">
              <w:rPr>
                <w:rFonts w:eastAsia="Aptos"/>
              </w:rPr>
              <w:t xml:space="preserve"> </w:t>
            </w:r>
          </w:p>
          <w:p w14:paraId="6C4676BE" w14:textId="4AC00EB0" w:rsidR="21264DBD" w:rsidRPr="0067507D" w:rsidRDefault="21264DBD" w:rsidP="00A101E9">
            <w:pPr>
              <w:pStyle w:val="Tabletext"/>
              <w:rPr>
                <w:rFonts w:eastAsia="Aptos"/>
              </w:rPr>
            </w:pPr>
            <w:r w:rsidRPr="0067507D">
              <w:rPr>
                <w:rFonts w:eastAsia="Aptos"/>
              </w:rPr>
              <w:t>106 DTF employees have attended mental health and wellbeing training for people leaders.</w:t>
            </w:r>
          </w:p>
          <w:p w14:paraId="1DE5A1F7" w14:textId="584419A2" w:rsidR="21264DBD" w:rsidRPr="0067507D" w:rsidRDefault="21264DBD" w:rsidP="00A101E9">
            <w:pPr>
              <w:pStyle w:val="Tabletext"/>
              <w:rPr>
                <w:rFonts w:eastAsia="Aptos"/>
              </w:rPr>
            </w:pPr>
            <w:r w:rsidRPr="0067507D">
              <w:rPr>
                <w:rFonts w:eastAsia="Aptos"/>
              </w:rPr>
              <w:t xml:space="preserve">122 executive and senior DTF staff </w:t>
            </w:r>
            <w:r w:rsidR="004B1AB2" w:rsidRPr="0067507D">
              <w:rPr>
                <w:rFonts w:eastAsia="Aptos"/>
              </w:rPr>
              <w:t xml:space="preserve">(19 per cent) </w:t>
            </w:r>
            <w:r w:rsidRPr="0067507D">
              <w:rPr>
                <w:rFonts w:eastAsia="Aptos"/>
              </w:rPr>
              <w:t>have completed Online Mental Health Training through DTF’s Learning Management System (Kando Central)</w:t>
            </w:r>
            <w:r w:rsidRPr="0067507D">
              <w:rPr>
                <w:rFonts w:ascii="Calibri" w:eastAsia="Aptos" w:hAnsi="Calibri" w:cs="Calibri"/>
              </w:rPr>
              <w:t> </w:t>
            </w:r>
          </w:p>
        </w:tc>
        <w:tc>
          <w:tcPr>
            <w:tcW w:w="1975" w:type="dxa"/>
          </w:tcPr>
          <w:p w14:paraId="0FDDFEFF" w14:textId="77777777" w:rsidR="00312005" w:rsidRPr="0067507D" w:rsidRDefault="00312005" w:rsidP="00312005">
            <w:pPr>
              <w:pStyle w:val="Tabletext"/>
              <w:rPr>
                <w:rFonts w:eastAsia="Aptos"/>
              </w:rPr>
            </w:pPr>
            <w:r w:rsidRPr="0067507D">
              <w:rPr>
                <w:rFonts w:eastAsia="Aptos"/>
              </w:rPr>
              <w:t xml:space="preserve">Evidence of participation in at least two wellbeing initiatives/activities is available via DTF’s Learning Management System (Kando Central). </w:t>
            </w:r>
          </w:p>
          <w:p w14:paraId="528C47A4" w14:textId="5D4FBECD" w:rsidR="00312005" w:rsidRPr="0067507D" w:rsidRDefault="00312005" w:rsidP="00312005">
            <w:pPr>
              <w:pStyle w:val="Tabletext"/>
              <w:rPr>
                <w:rFonts w:eastAsia="Aptos"/>
              </w:rPr>
            </w:pPr>
            <w:r w:rsidRPr="0067507D">
              <w:rPr>
                <w:rFonts w:eastAsia="Aptos"/>
              </w:rPr>
              <w:t>114 DTF employees have attended mental health and wellbeing training for people leaders.</w:t>
            </w:r>
            <w:r w:rsidRPr="0067507D">
              <w:rPr>
                <w:rFonts w:ascii="Calibri" w:eastAsia="Aptos" w:hAnsi="Calibri" w:cs="Calibri"/>
              </w:rPr>
              <w:t> </w:t>
            </w:r>
          </w:p>
          <w:p w14:paraId="7E2CE0CE" w14:textId="447F9C19" w:rsidR="00E5426C" w:rsidRPr="0067507D" w:rsidRDefault="0040258D" w:rsidP="00E5426C">
            <w:pPr>
              <w:pStyle w:val="Tabletext"/>
              <w:rPr>
                <w:highlight w:val="yellow"/>
              </w:rPr>
            </w:pPr>
            <w:r w:rsidRPr="0067507D">
              <w:rPr>
                <w:rFonts w:eastAsia="Aptos"/>
              </w:rPr>
              <w:t>60</w:t>
            </w:r>
            <w:r w:rsidR="00312005" w:rsidRPr="0067507D">
              <w:rPr>
                <w:rFonts w:eastAsia="Aptos"/>
              </w:rPr>
              <w:t xml:space="preserve"> executive and senior DTF staff </w:t>
            </w:r>
            <w:r w:rsidR="004B1AB2" w:rsidRPr="0067507D">
              <w:rPr>
                <w:rFonts w:eastAsia="Aptos"/>
              </w:rPr>
              <w:t xml:space="preserve">(59 per cent) </w:t>
            </w:r>
            <w:r w:rsidR="00312005" w:rsidRPr="0067507D">
              <w:rPr>
                <w:rFonts w:eastAsia="Aptos"/>
              </w:rPr>
              <w:t>have completed Online Mental Health Training through DTF’s Learning Management System (Kando Central)</w:t>
            </w:r>
            <w:r w:rsidR="00312005" w:rsidRPr="0067507D">
              <w:rPr>
                <w:rFonts w:ascii="Calibri" w:eastAsia="Aptos" w:hAnsi="Calibri" w:cs="Calibri"/>
              </w:rPr>
              <w:t> </w:t>
            </w:r>
          </w:p>
        </w:tc>
      </w:tr>
      <w:tr w:rsidR="00113E1C" w:rsidRPr="0067507D" w14:paraId="76F3B5A7" w14:textId="40764E5C" w:rsidTr="006B6B67">
        <w:trPr>
          <w:cantSplit/>
        </w:trPr>
        <w:tc>
          <w:tcPr>
            <w:tcW w:w="1260" w:type="dxa"/>
            <w:vMerge/>
          </w:tcPr>
          <w:p w14:paraId="452D70B2"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7B493BBF" w14:textId="77777777" w:rsidR="00113E1C" w:rsidRPr="0067507D" w:rsidRDefault="00113E1C" w:rsidP="003E4E12">
            <w:pPr>
              <w:pStyle w:val="Tabletext"/>
              <w:rPr>
                <w:highlight w:val="yellow"/>
              </w:rPr>
            </w:pPr>
            <w:r w:rsidRPr="0067507D">
              <w:t xml:space="preserve">Total percentage of staff participation at mental health and wellbeing initiatives/activities </w:t>
            </w:r>
          </w:p>
        </w:tc>
        <w:tc>
          <w:tcPr>
            <w:tcW w:w="1980" w:type="dxa"/>
          </w:tcPr>
          <w:p w14:paraId="67B6B2A0" w14:textId="5CAAD0D7" w:rsidR="21264DBD" w:rsidRPr="0067507D" w:rsidRDefault="21264DBD" w:rsidP="00A101E9">
            <w:pPr>
              <w:pStyle w:val="Tabletext"/>
              <w:rPr>
                <w:rFonts w:eastAsia="Aptos"/>
              </w:rPr>
            </w:pPr>
            <w:r w:rsidRPr="0067507D">
              <w:rPr>
                <w:rFonts w:eastAsia="Aptos"/>
              </w:rPr>
              <w:t>60</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w:t>
            </w:r>
            <w:r w:rsidRPr="0067507D">
              <w:rPr>
                <w:rFonts w:ascii="Calibri" w:eastAsia="Aptos" w:hAnsi="Calibri" w:cs="Calibri"/>
              </w:rPr>
              <w:t> </w:t>
            </w:r>
          </w:p>
        </w:tc>
        <w:tc>
          <w:tcPr>
            <w:tcW w:w="2165" w:type="dxa"/>
          </w:tcPr>
          <w:p w14:paraId="278687AD" w14:textId="06201CA2" w:rsidR="21264DBD" w:rsidRPr="0067507D" w:rsidRDefault="21264DBD" w:rsidP="00A101E9">
            <w:pPr>
              <w:pStyle w:val="Tabletext"/>
              <w:rPr>
                <w:rFonts w:eastAsia="Aptos"/>
              </w:rPr>
            </w:pPr>
            <w:r w:rsidRPr="0067507D">
              <w:rPr>
                <w:rFonts w:eastAsia="Aptos"/>
              </w:rPr>
              <w:t>78 per cent</w:t>
            </w:r>
          </w:p>
        </w:tc>
        <w:tc>
          <w:tcPr>
            <w:tcW w:w="1975" w:type="dxa"/>
          </w:tcPr>
          <w:p w14:paraId="2D58FCD1" w14:textId="53FB6C80" w:rsidR="00E5426C" w:rsidRPr="0067507D" w:rsidRDefault="00A75AE7" w:rsidP="00E5426C">
            <w:pPr>
              <w:pStyle w:val="Tabletext"/>
            </w:pPr>
            <w:r w:rsidRPr="0067507D">
              <w:rPr>
                <w:rFonts w:eastAsia="Aptos"/>
              </w:rPr>
              <w:t xml:space="preserve">Due to </w:t>
            </w:r>
            <w:r w:rsidR="00AB533A" w:rsidRPr="0067507D">
              <w:rPr>
                <w:rFonts w:eastAsia="Aptos"/>
              </w:rPr>
              <w:t xml:space="preserve">a </w:t>
            </w:r>
            <w:r w:rsidRPr="0067507D">
              <w:rPr>
                <w:rFonts w:eastAsia="Aptos"/>
              </w:rPr>
              <w:t>change in reporting measure, th</w:t>
            </w:r>
            <w:r w:rsidR="00C76D6B" w:rsidRPr="0067507D">
              <w:rPr>
                <w:rFonts w:eastAsia="Aptos"/>
              </w:rPr>
              <w:t>e</w:t>
            </w:r>
            <w:r w:rsidRPr="0067507D">
              <w:rPr>
                <w:rFonts w:eastAsia="Aptos"/>
              </w:rPr>
              <w:t>s</w:t>
            </w:r>
            <w:r w:rsidR="00EC10DF" w:rsidRPr="0067507D">
              <w:rPr>
                <w:rFonts w:eastAsia="Aptos"/>
              </w:rPr>
              <w:t>e</w:t>
            </w:r>
            <w:r w:rsidRPr="0067507D">
              <w:rPr>
                <w:rFonts w:eastAsia="Aptos"/>
              </w:rPr>
              <w:t xml:space="preserve"> da</w:t>
            </w:r>
            <w:r w:rsidR="00A75A07" w:rsidRPr="0067507D">
              <w:rPr>
                <w:rFonts w:eastAsia="Aptos"/>
              </w:rPr>
              <w:t xml:space="preserve">ta </w:t>
            </w:r>
            <w:r w:rsidR="00EC10DF" w:rsidRPr="0067507D">
              <w:rPr>
                <w:rFonts w:eastAsia="Aptos"/>
              </w:rPr>
              <w:t>are</w:t>
            </w:r>
            <w:r w:rsidR="00A75A07" w:rsidRPr="0067507D">
              <w:rPr>
                <w:rFonts w:eastAsia="Aptos"/>
              </w:rPr>
              <w:t xml:space="preserve"> un</w:t>
            </w:r>
            <w:r w:rsidR="00AB533A" w:rsidRPr="0067507D">
              <w:rPr>
                <w:rFonts w:eastAsia="Aptos"/>
              </w:rPr>
              <w:t>available</w:t>
            </w:r>
          </w:p>
        </w:tc>
      </w:tr>
      <w:tr w:rsidR="00113E1C" w:rsidRPr="0067507D" w14:paraId="21255D1B" w14:textId="7C8366E5" w:rsidTr="006B6B67">
        <w:trPr>
          <w:cantSplit/>
        </w:trPr>
        <w:tc>
          <w:tcPr>
            <w:tcW w:w="1260" w:type="dxa"/>
            <w:vMerge w:val="restart"/>
          </w:tcPr>
          <w:p w14:paraId="7E8CBD9A" w14:textId="77777777" w:rsidR="00113E1C" w:rsidRPr="0067507D" w:rsidRDefault="1BCD0F5B" w:rsidP="21264DBD">
            <w:pPr>
              <w:pStyle w:val="Tabletext"/>
              <w:keepNext/>
            </w:pPr>
            <w:r w:rsidRPr="0067507D">
              <w:t xml:space="preserve">Mental health and wellbeing audit </w:t>
            </w:r>
          </w:p>
        </w:tc>
        <w:tc>
          <w:tcPr>
            <w:tcW w:w="2250" w:type="dxa"/>
            <w:shd w:val="clear" w:color="auto" w:fill="D9D9D9" w:themeFill="background1" w:themeFillShade="D9"/>
          </w:tcPr>
          <w:p w14:paraId="7852B98C" w14:textId="454C77EA" w:rsidR="00113E1C" w:rsidRPr="0067507D" w:rsidRDefault="1BCD0F5B" w:rsidP="21264DBD">
            <w:pPr>
              <w:pStyle w:val="Tabletext"/>
            </w:pPr>
            <w:r w:rsidRPr="0067507D">
              <w:t>Mental injury 13</w:t>
            </w:r>
            <w:r w:rsidR="00C501A2" w:rsidRPr="0067507D">
              <w:noBreakHyphen/>
            </w:r>
            <w:r w:rsidRPr="0067507D">
              <w:t>week claims</w:t>
            </w:r>
            <w:r w:rsidR="007C31D9">
              <w:rPr>
                <w:rFonts w:ascii="Calibri" w:hAnsi="Calibri" w:cs="Calibri"/>
              </w:rPr>
              <w:t> </w:t>
            </w:r>
            <w:r w:rsidRPr="0067507D">
              <w:t xml:space="preserve">as a percentage of total claims </w:t>
            </w:r>
          </w:p>
        </w:tc>
        <w:tc>
          <w:tcPr>
            <w:tcW w:w="1980" w:type="dxa"/>
          </w:tcPr>
          <w:p w14:paraId="06047139" w14:textId="1B87FC1D" w:rsidR="21264DBD" w:rsidRPr="0067507D" w:rsidRDefault="21264DBD" w:rsidP="00A101E9">
            <w:pPr>
              <w:pStyle w:val="Tabletext"/>
              <w:rPr>
                <w:rFonts w:eastAsia="Aptos"/>
              </w:rPr>
            </w:pPr>
            <w:r w:rsidRPr="0067507D">
              <w:rPr>
                <w:rFonts w:eastAsia="Aptos"/>
              </w:rPr>
              <w:t>0</w:t>
            </w:r>
            <w:r w:rsidRPr="0067507D">
              <w:rPr>
                <w:rFonts w:ascii="Calibri" w:eastAsia="Aptos" w:hAnsi="Calibri" w:cs="Calibri"/>
              </w:rPr>
              <w:t> </w:t>
            </w:r>
          </w:p>
        </w:tc>
        <w:tc>
          <w:tcPr>
            <w:tcW w:w="2165" w:type="dxa"/>
          </w:tcPr>
          <w:p w14:paraId="7838E843" w14:textId="514A288E" w:rsidR="21264DBD" w:rsidRPr="0067507D" w:rsidRDefault="21264DBD" w:rsidP="00A101E9">
            <w:pPr>
              <w:pStyle w:val="Tabletext"/>
              <w:rPr>
                <w:rFonts w:eastAsia="Aptos"/>
              </w:rPr>
            </w:pPr>
            <w:r w:rsidRPr="0067507D">
              <w:rPr>
                <w:rFonts w:eastAsia="Aptos"/>
              </w:rPr>
              <w:t>100 per cent</w:t>
            </w:r>
            <w:r w:rsidRPr="0067507D">
              <w:rPr>
                <w:rFonts w:ascii="Calibri" w:eastAsia="Aptos" w:hAnsi="Calibri" w:cs="Calibri"/>
              </w:rPr>
              <w:t> </w:t>
            </w:r>
          </w:p>
        </w:tc>
        <w:tc>
          <w:tcPr>
            <w:tcW w:w="1975" w:type="dxa"/>
          </w:tcPr>
          <w:p w14:paraId="13AAFCEB" w14:textId="3606C016" w:rsidR="00E5426C" w:rsidRPr="0067507D" w:rsidRDefault="23516FB6" w:rsidP="21264DBD">
            <w:pPr>
              <w:pStyle w:val="Tabletext"/>
            </w:pPr>
            <w:r w:rsidRPr="0067507D">
              <w:t>1</w:t>
            </w:r>
            <w:r w:rsidR="7654C64F" w:rsidRPr="0067507D">
              <w:t>00 per cent</w:t>
            </w:r>
          </w:p>
        </w:tc>
      </w:tr>
      <w:tr w:rsidR="00113E1C" w:rsidRPr="0067507D" w14:paraId="77D2C754" w14:textId="0FBAB6EE" w:rsidTr="006B6B67">
        <w:trPr>
          <w:cantSplit/>
        </w:trPr>
        <w:tc>
          <w:tcPr>
            <w:tcW w:w="1260" w:type="dxa"/>
            <w:vMerge/>
          </w:tcPr>
          <w:p w14:paraId="31719540"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6D7773D1" w14:textId="581129D3" w:rsidR="00113E1C" w:rsidRPr="0067507D" w:rsidRDefault="1BCD0F5B" w:rsidP="21264DBD">
            <w:pPr>
              <w:pStyle w:val="Tabletext"/>
            </w:pPr>
            <w:r w:rsidRPr="0067507D">
              <w:t>Mental injury 26</w:t>
            </w:r>
            <w:r w:rsidR="00C501A2" w:rsidRPr="0067507D">
              <w:noBreakHyphen/>
            </w:r>
            <w:r w:rsidRPr="0067507D">
              <w:t xml:space="preserve">week claims as a percentage of total claims </w:t>
            </w:r>
          </w:p>
        </w:tc>
        <w:tc>
          <w:tcPr>
            <w:tcW w:w="1980" w:type="dxa"/>
          </w:tcPr>
          <w:p w14:paraId="0C2D9303" w14:textId="664781E2" w:rsidR="21264DBD" w:rsidRPr="0067507D" w:rsidRDefault="21264DBD" w:rsidP="00A101E9">
            <w:pPr>
              <w:pStyle w:val="Tabletext"/>
              <w:rPr>
                <w:rFonts w:eastAsia="Aptos"/>
              </w:rPr>
            </w:pPr>
            <w:r w:rsidRPr="0067507D">
              <w:rPr>
                <w:rFonts w:eastAsia="Aptos"/>
              </w:rPr>
              <w:t>0</w:t>
            </w:r>
            <w:r w:rsidRPr="0067507D">
              <w:rPr>
                <w:rFonts w:ascii="Calibri" w:eastAsia="Aptos" w:hAnsi="Calibri" w:cs="Calibri"/>
              </w:rPr>
              <w:t> </w:t>
            </w:r>
          </w:p>
        </w:tc>
        <w:tc>
          <w:tcPr>
            <w:tcW w:w="2165" w:type="dxa"/>
          </w:tcPr>
          <w:p w14:paraId="4E9D0228" w14:textId="6A6E69EF" w:rsidR="21264DBD" w:rsidRPr="0067507D" w:rsidRDefault="21264DBD" w:rsidP="00A101E9">
            <w:pPr>
              <w:pStyle w:val="Tabletext"/>
              <w:rPr>
                <w:rFonts w:eastAsia="Aptos"/>
              </w:rPr>
            </w:pPr>
            <w:r w:rsidRPr="0067507D">
              <w:rPr>
                <w:rFonts w:eastAsia="Aptos"/>
              </w:rPr>
              <w:t>100 per cent</w:t>
            </w:r>
            <w:r w:rsidRPr="0067507D">
              <w:rPr>
                <w:rFonts w:ascii="Calibri" w:eastAsia="Aptos" w:hAnsi="Calibri" w:cs="Calibri"/>
              </w:rPr>
              <w:t> </w:t>
            </w:r>
          </w:p>
        </w:tc>
        <w:tc>
          <w:tcPr>
            <w:tcW w:w="1975" w:type="dxa"/>
          </w:tcPr>
          <w:p w14:paraId="7353C5B5" w14:textId="5AFF9513" w:rsidR="00E5426C" w:rsidRPr="0067507D" w:rsidRDefault="23516FB6" w:rsidP="21264DBD">
            <w:pPr>
              <w:pStyle w:val="Tabletext"/>
            </w:pPr>
            <w:r w:rsidRPr="0067507D">
              <w:t>100</w:t>
            </w:r>
            <w:r w:rsidR="69164143" w:rsidRPr="0067507D">
              <w:t xml:space="preserve"> per cent</w:t>
            </w:r>
          </w:p>
        </w:tc>
      </w:tr>
      <w:tr w:rsidR="00113E1C" w:rsidRPr="0067507D" w14:paraId="4B6ADFA2" w14:textId="727DDDA0" w:rsidTr="006B6B67">
        <w:trPr>
          <w:cantSplit/>
        </w:trPr>
        <w:tc>
          <w:tcPr>
            <w:tcW w:w="1260" w:type="dxa"/>
            <w:vMerge/>
          </w:tcPr>
          <w:p w14:paraId="6C35E23D"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6A3540C2" w14:textId="77777777" w:rsidR="00113E1C" w:rsidRPr="0067507D" w:rsidRDefault="1BCD0F5B" w:rsidP="21264DBD">
            <w:pPr>
              <w:pStyle w:val="Tabletext"/>
            </w:pPr>
            <w:r w:rsidRPr="0067507D">
              <w:t xml:space="preserve">Averaged fully developed costs – mental injury claims </w:t>
            </w:r>
          </w:p>
        </w:tc>
        <w:tc>
          <w:tcPr>
            <w:tcW w:w="1980" w:type="dxa"/>
          </w:tcPr>
          <w:p w14:paraId="057948CF" w14:textId="44642AB8" w:rsidR="21264DBD" w:rsidRPr="0067507D" w:rsidRDefault="21264DBD" w:rsidP="00A101E9">
            <w:pPr>
              <w:pStyle w:val="Tabletext"/>
              <w:rPr>
                <w:rFonts w:eastAsia="Aptos"/>
              </w:rPr>
            </w:pPr>
            <w:r w:rsidRPr="0067507D">
              <w:rPr>
                <w:rFonts w:eastAsia="Aptos"/>
              </w:rPr>
              <w:t>$0</w:t>
            </w:r>
            <w:r w:rsidRPr="0067507D">
              <w:rPr>
                <w:rFonts w:ascii="Calibri" w:eastAsia="Aptos" w:hAnsi="Calibri" w:cs="Calibri"/>
              </w:rPr>
              <w:t> </w:t>
            </w:r>
          </w:p>
        </w:tc>
        <w:tc>
          <w:tcPr>
            <w:tcW w:w="2165" w:type="dxa"/>
          </w:tcPr>
          <w:p w14:paraId="6B4E9F6B" w14:textId="4859DC03" w:rsidR="21264DBD" w:rsidRPr="0067507D" w:rsidRDefault="21264DBD" w:rsidP="00A101E9">
            <w:pPr>
              <w:pStyle w:val="Tabletext"/>
              <w:rPr>
                <w:rFonts w:eastAsia="Aptos"/>
              </w:rPr>
            </w:pPr>
            <w:r w:rsidRPr="0067507D">
              <w:rPr>
                <w:rFonts w:eastAsia="Aptos"/>
              </w:rPr>
              <w:t>$479 000</w:t>
            </w:r>
            <w:r w:rsidRPr="0067507D">
              <w:rPr>
                <w:rFonts w:ascii="Calibri" w:eastAsia="Aptos" w:hAnsi="Calibri" w:cs="Calibri"/>
              </w:rPr>
              <w:t> </w:t>
            </w:r>
          </w:p>
        </w:tc>
        <w:tc>
          <w:tcPr>
            <w:tcW w:w="1975" w:type="dxa"/>
          </w:tcPr>
          <w:p w14:paraId="03D95EA4" w14:textId="3279BBB7" w:rsidR="00E5426C" w:rsidRPr="0067507D" w:rsidRDefault="7A6EE425" w:rsidP="21264DBD">
            <w:pPr>
              <w:pStyle w:val="Tabletext"/>
              <w:rPr>
                <w:highlight w:val="yellow"/>
              </w:rPr>
            </w:pPr>
            <w:r w:rsidRPr="0067507D">
              <w:t>$</w:t>
            </w:r>
            <w:r w:rsidR="5F7FADC8" w:rsidRPr="0067507D">
              <w:t>311</w:t>
            </w:r>
            <w:r w:rsidR="00175FED" w:rsidRPr="0067507D">
              <w:rPr>
                <w:rFonts w:ascii="Calibri" w:hAnsi="Calibri" w:cs="Calibri"/>
              </w:rPr>
              <w:t> </w:t>
            </w:r>
            <w:r w:rsidR="5F7FADC8" w:rsidRPr="0067507D">
              <w:t>003</w:t>
            </w:r>
          </w:p>
        </w:tc>
      </w:tr>
      <w:tr w:rsidR="00113E1C" w:rsidRPr="0067507D" w14:paraId="71745C7D" w14:textId="29119A11" w:rsidTr="006B6B67">
        <w:trPr>
          <w:cantSplit/>
        </w:trPr>
        <w:tc>
          <w:tcPr>
            <w:tcW w:w="1260" w:type="dxa"/>
            <w:vMerge/>
          </w:tcPr>
          <w:p w14:paraId="5E12317A"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7B00F72C" w14:textId="77777777" w:rsidR="00113E1C" w:rsidRPr="0067507D" w:rsidRDefault="1BCD0F5B" w:rsidP="21264DBD">
            <w:pPr>
              <w:pStyle w:val="Tabletext"/>
            </w:pPr>
            <w:r w:rsidRPr="0067507D">
              <w:t xml:space="preserve">Average no. of days/shifts lost per workers’ compensation claim for mental injury </w:t>
            </w:r>
          </w:p>
        </w:tc>
        <w:tc>
          <w:tcPr>
            <w:tcW w:w="1980" w:type="dxa"/>
          </w:tcPr>
          <w:p w14:paraId="4CBBCE92" w14:textId="5A4BC63F" w:rsidR="21264DBD" w:rsidRPr="0067507D" w:rsidRDefault="21264DBD" w:rsidP="00A101E9">
            <w:pPr>
              <w:pStyle w:val="Tabletext"/>
              <w:rPr>
                <w:rFonts w:eastAsia="Aptos"/>
              </w:rPr>
            </w:pPr>
            <w:r w:rsidRPr="0067507D">
              <w:rPr>
                <w:rFonts w:eastAsia="Aptos"/>
              </w:rPr>
              <w:t>0</w:t>
            </w:r>
            <w:r w:rsidRPr="0067507D">
              <w:rPr>
                <w:rFonts w:ascii="Calibri" w:eastAsia="Aptos" w:hAnsi="Calibri" w:cs="Calibri"/>
              </w:rPr>
              <w:t> </w:t>
            </w:r>
          </w:p>
        </w:tc>
        <w:tc>
          <w:tcPr>
            <w:tcW w:w="2165" w:type="dxa"/>
          </w:tcPr>
          <w:p w14:paraId="5C4F84E5" w14:textId="1576BBB4" w:rsidR="21264DBD" w:rsidRPr="0067507D" w:rsidRDefault="21264DBD" w:rsidP="00A101E9">
            <w:pPr>
              <w:pStyle w:val="Tabletext"/>
              <w:rPr>
                <w:rFonts w:eastAsia="Aptos"/>
              </w:rPr>
            </w:pPr>
            <w:r w:rsidRPr="0067507D">
              <w:rPr>
                <w:rFonts w:eastAsia="Aptos"/>
              </w:rPr>
              <w:t>175</w:t>
            </w:r>
            <w:r w:rsidRPr="0067507D">
              <w:rPr>
                <w:rFonts w:ascii="Calibri" w:eastAsia="Aptos" w:hAnsi="Calibri" w:cs="Calibri"/>
              </w:rPr>
              <w:t> </w:t>
            </w:r>
          </w:p>
        </w:tc>
        <w:tc>
          <w:tcPr>
            <w:tcW w:w="1975" w:type="dxa"/>
          </w:tcPr>
          <w:p w14:paraId="1B2D1DDF" w14:textId="6A340670" w:rsidR="00E5426C" w:rsidRPr="0067507D" w:rsidRDefault="23516FB6" w:rsidP="21264DBD">
            <w:pPr>
              <w:pStyle w:val="Tabletext"/>
            </w:pPr>
            <w:r w:rsidRPr="0067507D">
              <w:t>17</w:t>
            </w:r>
            <w:r w:rsidR="52CE2E98" w:rsidRPr="0067507D">
              <w:t>0</w:t>
            </w:r>
          </w:p>
        </w:tc>
      </w:tr>
      <w:tr w:rsidR="00113E1C" w:rsidRPr="0067507D" w14:paraId="4358D430" w14:textId="4C821927" w:rsidTr="006B6B67">
        <w:trPr>
          <w:cantSplit/>
        </w:trPr>
        <w:tc>
          <w:tcPr>
            <w:tcW w:w="1260" w:type="dxa"/>
            <w:vMerge/>
          </w:tcPr>
          <w:p w14:paraId="180D0AEB"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4768953D" w14:textId="777AF709" w:rsidR="00113E1C" w:rsidRPr="0067507D" w:rsidRDefault="1BCD0F5B" w:rsidP="21264DBD">
            <w:pPr>
              <w:pStyle w:val="Tabletext"/>
            </w:pPr>
            <w:r w:rsidRPr="0067507D">
              <w:t>No. of workers’ compensation claims for mental injury by industry</w:t>
            </w:r>
            <w:r w:rsidRPr="0067507D">
              <w:rPr>
                <w:rFonts w:ascii="Calibri" w:hAnsi="Calibri"/>
              </w:rPr>
              <w:t> </w:t>
            </w:r>
            <w:r w:rsidRPr="0067507D">
              <w:t xml:space="preserve">groups </w:t>
            </w:r>
          </w:p>
        </w:tc>
        <w:tc>
          <w:tcPr>
            <w:tcW w:w="1980" w:type="dxa"/>
          </w:tcPr>
          <w:p w14:paraId="0B5DA351" w14:textId="32A06C83" w:rsidR="21264DBD" w:rsidRPr="0067507D" w:rsidRDefault="21264DBD" w:rsidP="00A101E9">
            <w:pPr>
              <w:pStyle w:val="Tabletext"/>
              <w:rPr>
                <w:rFonts w:eastAsia="Aptos"/>
              </w:rPr>
            </w:pPr>
            <w:r w:rsidRPr="0067507D">
              <w:rPr>
                <w:rFonts w:eastAsia="Aptos"/>
              </w:rPr>
              <w:t>0</w:t>
            </w:r>
            <w:r w:rsidRPr="0067507D">
              <w:rPr>
                <w:rFonts w:ascii="Calibri" w:eastAsia="Aptos" w:hAnsi="Calibri" w:cs="Calibri"/>
              </w:rPr>
              <w:t> </w:t>
            </w:r>
          </w:p>
        </w:tc>
        <w:tc>
          <w:tcPr>
            <w:tcW w:w="2165" w:type="dxa"/>
          </w:tcPr>
          <w:p w14:paraId="6ABA61D7" w14:textId="4EA52DF9" w:rsidR="21264DBD" w:rsidRPr="0067507D" w:rsidRDefault="21264DBD" w:rsidP="00A101E9">
            <w:pPr>
              <w:pStyle w:val="Tabletext"/>
              <w:rPr>
                <w:rFonts w:eastAsia="Aptos"/>
              </w:rPr>
            </w:pPr>
            <w:r w:rsidRPr="0067507D">
              <w:rPr>
                <w:rFonts w:eastAsia="Aptos"/>
              </w:rPr>
              <w:t>1</w:t>
            </w:r>
            <w:r w:rsidRPr="0067507D">
              <w:rPr>
                <w:rFonts w:ascii="Calibri" w:eastAsia="Aptos" w:hAnsi="Calibri" w:cs="Calibri"/>
              </w:rPr>
              <w:t> </w:t>
            </w:r>
          </w:p>
        </w:tc>
        <w:tc>
          <w:tcPr>
            <w:tcW w:w="1975" w:type="dxa"/>
          </w:tcPr>
          <w:p w14:paraId="2F0115A7" w14:textId="4364E052" w:rsidR="00E5426C" w:rsidRPr="0067507D" w:rsidRDefault="23516FB6" w:rsidP="21264DBD">
            <w:pPr>
              <w:pStyle w:val="Tabletext"/>
            </w:pPr>
            <w:r w:rsidRPr="0067507D">
              <w:t>1</w:t>
            </w:r>
          </w:p>
        </w:tc>
      </w:tr>
      <w:tr w:rsidR="00113E1C" w:rsidRPr="0067507D" w14:paraId="4A88DB79" w14:textId="5FB8D867" w:rsidTr="006B6B67">
        <w:trPr>
          <w:cantSplit/>
        </w:trPr>
        <w:tc>
          <w:tcPr>
            <w:tcW w:w="1260" w:type="dxa"/>
            <w:vMerge/>
          </w:tcPr>
          <w:p w14:paraId="41D0FB6C"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094A2ABD" w14:textId="532D3862" w:rsidR="00113E1C" w:rsidRPr="0067507D" w:rsidRDefault="1BCD0F5B" w:rsidP="21264DBD">
            <w:pPr>
              <w:pStyle w:val="Tabletext"/>
            </w:pPr>
            <w:r w:rsidRPr="0067507D">
              <w:t>Evidence of department completing the mental health self</w:t>
            </w:r>
            <w:r w:rsidR="006A5485">
              <w:noBreakHyphen/>
            </w:r>
            <w:r w:rsidRPr="0067507D">
              <w:t xml:space="preserve">assessment tool </w:t>
            </w:r>
          </w:p>
        </w:tc>
        <w:tc>
          <w:tcPr>
            <w:tcW w:w="1980" w:type="dxa"/>
          </w:tcPr>
          <w:p w14:paraId="48762BF8" w14:textId="04A30A47" w:rsidR="21264DBD" w:rsidRPr="0067507D" w:rsidRDefault="00175FED" w:rsidP="00A101E9">
            <w:pPr>
              <w:pStyle w:val="Tabletext"/>
              <w:rPr>
                <w:rFonts w:eastAsia="Aptos"/>
              </w:rPr>
            </w:pPr>
            <w:r w:rsidRPr="0067507D">
              <w:rPr>
                <w:rFonts w:eastAsia="Aptos"/>
              </w:rPr>
              <w:t>completed</w:t>
            </w:r>
          </w:p>
        </w:tc>
        <w:tc>
          <w:tcPr>
            <w:tcW w:w="2165" w:type="dxa"/>
          </w:tcPr>
          <w:p w14:paraId="3ED02088" w14:textId="7296B006" w:rsidR="21264DBD" w:rsidRPr="0067507D" w:rsidRDefault="00175FED" w:rsidP="00A101E9">
            <w:pPr>
              <w:pStyle w:val="Tabletext"/>
              <w:rPr>
                <w:rFonts w:eastAsia="Aptos"/>
              </w:rPr>
            </w:pPr>
            <w:r w:rsidRPr="0067507D">
              <w:rPr>
                <w:rFonts w:eastAsia="Aptos"/>
              </w:rPr>
              <w:t>completed</w:t>
            </w:r>
          </w:p>
        </w:tc>
        <w:tc>
          <w:tcPr>
            <w:tcW w:w="1975" w:type="dxa"/>
          </w:tcPr>
          <w:p w14:paraId="51F118D1" w14:textId="059DD599" w:rsidR="00E5426C" w:rsidRPr="0067507D" w:rsidRDefault="00175FED" w:rsidP="21264DBD">
            <w:pPr>
              <w:pStyle w:val="Tabletext"/>
            </w:pPr>
            <w:r w:rsidRPr="0067507D">
              <w:rPr>
                <w:rFonts w:eastAsia="Aptos"/>
              </w:rPr>
              <w:t>completed</w:t>
            </w:r>
          </w:p>
        </w:tc>
      </w:tr>
      <w:tr w:rsidR="00113E1C" w:rsidRPr="0067507D" w14:paraId="07532DD2" w14:textId="7C7B3A1A" w:rsidTr="006B6B67">
        <w:trPr>
          <w:cantSplit/>
        </w:trPr>
        <w:tc>
          <w:tcPr>
            <w:tcW w:w="1260" w:type="dxa"/>
            <w:vMerge/>
          </w:tcPr>
          <w:p w14:paraId="7F589701"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04A610B4" w14:textId="77777777" w:rsidR="00113E1C" w:rsidRPr="0067507D" w:rsidRDefault="1BCD0F5B" w:rsidP="21264DBD">
            <w:pPr>
              <w:pStyle w:val="Tabletext"/>
            </w:pPr>
            <w:r w:rsidRPr="0067507D">
              <w:t xml:space="preserve">Staff appointed as peer support officers who have attended relevant training: </w:t>
            </w:r>
          </w:p>
        </w:tc>
        <w:tc>
          <w:tcPr>
            <w:tcW w:w="1980" w:type="dxa"/>
          </w:tcPr>
          <w:p w14:paraId="050B59F8" w14:textId="2A7FF54B" w:rsidR="21264DBD" w:rsidRPr="0067507D" w:rsidRDefault="21264DBD" w:rsidP="00A101E9">
            <w:pPr>
              <w:pStyle w:val="Tabletext"/>
              <w:rPr>
                <w:rFonts w:eastAsia="Aptos"/>
              </w:rPr>
            </w:pPr>
            <w:r w:rsidRPr="0067507D">
              <w:rPr>
                <w:rFonts w:eastAsia="Aptos"/>
              </w:rPr>
              <w:t>4</w:t>
            </w:r>
            <w:r w:rsidRPr="0067507D">
              <w:rPr>
                <w:rFonts w:ascii="Calibri" w:eastAsia="Aptos" w:hAnsi="Calibri" w:cs="Calibri"/>
              </w:rPr>
              <w:t> </w:t>
            </w:r>
          </w:p>
        </w:tc>
        <w:tc>
          <w:tcPr>
            <w:tcW w:w="2165" w:type="dxa"/>
          </w:tcPr>
          <w:p w14:paraId="6D70040F" w14:textId="74C85EB0" w:rsidR="21264DBD" w:rsidRPr="0067507D" w:rsidRDefault="21264DBD" w:rsidP="00A101E9">
            <w:pPr>
              <w:pStyle w:val="Tabletext"/>
              <w:rPr>
                <w:rFonts w:eastAsia="Aptos"/>
              </w:rPr>
            </w:pPr>
            <w:r w:rsidRPr="0067507D">
              <w:rPr>
                <w:rFonts w:eastAsia="Aptos"/>
              </w:rPr>
              <w:t>11</w:t>
            </w:r>
            <w:r w:rsidRPr="0067507D">
              <w:rPr>
                <w:rFonts w:ascii="Calibri" w:eastAsia="Aptos" w:hAnsi="Calibri" w:cs="Calibri"/>
              </w:rPr>
              <w:t> </w:t>
            </w:r>
          </w:p>
        </w:tc>
        <w:tc>
          <w:tcPr>
            <w:tcW w:w="1975" w:type="dxa"/>
          </w:tcPr>
          <w:p w14:paraId="32B83896" w14:textId="5A0F4517" w:rsidR="00E5426C" w:rsidRPr="0067507D" w:rsidRDefault="18EB3C0B" w:rsidP="21264DBD">
            <w:pPr>
              <w:pStyle w:val="Tabletext"/>
            </w:pPr>
            <w:r w:rsidRPr="0067507D">
              <w:t>11</w:t>
            </w:r>
          </w:p>
        </w:tc>
      </w:tr>
      <w:tr w:rsidR="00113E1C" w:rsidRPr="0067507D" w14:paraId="7FAE9A06" w14:textId="0301F951" w:rsidTr="006B6B67">
        <w:trPr>
          <w:cantSplit/>
        </w:trPr>
        <w:tc>
          <w:tcPr>
            <w:tcW w:w="1260" w:type="dxa"/>
            <w:vMerge/>
          </w:tcPr>
          <w:p w14:paraId="1D1186B7"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4469E183" w14:textId="77777777" w:rsidR="00113E1C" w:rsidRPr="0067507D" w:rsidRDefault="1BCD0F5B" w:rsidP="21264DBD">
            <w:pPr>
              <w:pStyle w:val="Tabletext"/>
            </w:pPr>
            <w:r w:rsidRPr="0067507D">
              <w:t xml:space="preserve">No. of staff appointed as peer support officers </w:t>
            </w:r>
          </w:p>
        </w:tc>
        <w:tc>
          <w:tcPr>
            <w:tcW w:w="1980" w:type="dxa"/>
          </w:tcPr>
          <w:p w14:paraId="5CB19A77" w14:textId="3F92F074" w:rsidR="21264DBD" w:rsidRPr="0067507D" w:rsidRDefault="21264DBD" w:rsidP="00A101E9">
            <w:pPr>
              <w:pStyle w:val="Tabletext"/>
              <w:rPr>
                <w:rFonts w:eastAsia="Aptos"/>
              </w:rPr>
            </w:pPr>
            <w:r w:rsidRPr="0067507D">
              <w:rPr>
                <w:rFonts w:eastAsia="Aptos"/>
              </w:rPr>
              <w:t>11</w:t>
            </w:r>
            <w:r w:rsidRPr="0067507D">
              <w:rPr>
                <w:rFonts w:ascii="Calibri" w:eastAsia="Aptos" w:hAnsi="Calibri" w:cs="Calibri"/>
              </w:rPr>
              <w:t> </w:t>
            </w:r>
          </w:p>
        </w:tc>
        <w:tc>
          <w:tcPr>
            <w:tcW w:w="2165" w:type="dxa"/>
          </w:tcPr>
          <w:p w14:paraId="1128E75C" w14:textId="050E9638" w:rsidR="21264DBD" w:rsidRPr="0067507D" w:rsidRDefault="21264DBD" w:rsidP="00A101E9">
            <w:pPr>
              <w:pStyle w:val="Tabletext"/>
              <w:rPr>
                <w:rFonts w:eastAsia="Aptos"/>
              </w:rPr>
            </w:pPr>
            <w:r w:rsidRPr="0067507D">
              <w:rPr>
                <w:rFonts w:eastAsia="Aptos"/>
              </w:rPr>
              <w:t>11</w:t>
            </w:r>
            <w:r w:rsidRPr="0067507D">
              <w:rPr>
                <w:rFonts w:ascii="Calibri" w:eastAsia="Aptos" w:hAnsi="Calibri" w:cs="Calibri"/>
              </w:rPr>
              <w:t> </w:t>
            </w:r>
          </w:p>
        </w:tc>
        <w:tc>
          <w:tcPr>
            <w:tcW w:w="1975" w:type="dxa"/>
          </w:tcPr>
          <w:p w14:paraId="4FC92750" w14:textId="50E59DCA" w:rsidR="00E5426C" w:rsidRPr="0067507D" w:rsidRDefault="18EB3C0B" w:rsidP="21264DBD">
            <w:pPr>
              <w:pStyle w:val="Tabletext"/>
            </w:pPr>
            <w:r w:rsidRPr="0067507D">
              <w:t>11</w:t>
            </w:r>
          </w:p>
        </w:tc>
      </w:tr>
      <w:tr w:rsidR="00113E1C" w:rsidRPr="0067507D" w14:paraId="44FAE94C" w14:textId="30A9422E" w:rsidTr="006B6B67">
        <w:trPr>
          <w:cantSplit/>
        </w:trPr>
        <w:tc>
          <w:tcPr>
            <w:tcW w:w="1260" w:type="dxa"/>
            <w:vMerge/>
          </w:tcPr>
          <w:p w14:paraId="6857C366" w14:textId="77777777" w:rsidR="00113E1C" w:rsidRPr="0067507D" w:rsidRDefault="00113E1C" w:rsidP="003E4E12">
            <w:pPr>
              <w:pStyle w:val="Tabletext"/>
              <w:rPr>
                <w:highlight w:val="yellow"/>
              </w:rPr>
            </w:pPr>
          </w:p>
        </w:tc>
        <w:tc>
          <w:tcPr>
            <w:tcW w:w="2250" w:type="dxa"/>
            <w:shd w:val="clear" w:color="auto" w:fill="D9D9D9" w:themeFill="background1" w:themeFillShade="D9"/>
          </w:tcPr>
          <w:p w14:paraId="09F01D90" w14:textId="77777777" w:rsidR="00113E1C" w:rsidRPr="0067507D" w:rsidRDefault="1BCD0F5B" w:rsidP="21264DBD">
            <w:pPr>
              <w:pStyle w:val="Tabletext"/>
            </w:pPr>
            <w:r w:rsidRPr="0067507D">
              <w:t xml:space="preserve">Percentage of staff appointed as peer support officers (or equivalent) </w:t>
            </w:r>
          </w:p>
        </w:tc>
        <w:tc>
          <w:tcPr>
            <w:tcW w:w="1980" w:type="dxa"/>
          </w:tcPr>
          <w:p w14:paraId="4206F073" w14:textId="69C52E4B" w:rsidR="21264DBD" w:rsidRPr="0067507D" w:rsidRDefault="21264DBD" w:rsidP="00A101E9">
            <w:pPr>
              <w:pStyle w:val="Tabletext"/>
              <w:rPr>
                <w:rFonts w:eastAsia="Aptos"/>
              </w:rPr>
            </w:pPr>
            <w:r w:rsidRPr="0067507D">
              <w:rPr>
                <w:rFonts w:eastAsia="Aptos"/>
              </w:rPr>
              <w:t>2</w:t>
            </w:r>
            <w:r w:rsidRPr="0067507D">
              <w:rPr>
                <w:rFonts w:ascii="Arial" w:eastAsia="Arial" w:hAnsi="Arial" w:cs="Arial"/>
              </w:rPr>
              <w:t> </w:t>
            </w:r>
            <w:r w:rsidRPr="0067507D">
              <w:rPr>
                <w:rFonts w:eastAsia="Aptos"/>
              </w:rPr>
              <w:t>per</w:t>
            </w:r>
            <w:r w:rsidRPr="0067507D">
              <w:rPr>
                <w:rFonts w:ascii="Arial" w:eastAsia="Arial" w:hAnsi="Arial" w:cs="Arial"/>
              </w:rPr>
              <w:t> </w:t>
            </w:r>
            <w:r w:rsidRPr="0067507D">
              <w:rPr>
                <w:rFonts w:eastAsia="Aptos"/>
              </w:rPr>
              <w:t>cent</w:t>
            </w:r>
            <w:r w:rsidRPr="0067507D">
              <w:rPr>
                <w:rFonts w:ascii="Calibri" w:eastAsia="Aptos" w:hAnsi="Calibri" w:cs="Calibri"/>
              </w:rPr>
              <w:t> </w:t>
            </w:r>
          </w:p>
        </w:tc>
        <w:tc>
          <w:tcPr>
            <w:tcW w:w="2165" w:type="dxa"/>
          </w:tcPr>
          <w:p w14:paraId="2CFEE3CD" w14:textId="6777C4AD" w:rsidR="21264DBD" w:rsidRPr="0067507D" w:rsidRDefault="21264DBD" w:rsidP="00A101E9">
            <w:pPr>
              <w:pStyle w:val="Tabletext"/>
              <w:rPr>
                <w:rFonts w:eastAsia="Aptos"/>
              </w:rPr>
            </w:pPr>
            <w:r w:rsidRPr="0067507D">
              <w:rPr>
                <w:rFonts w:eastAsia="Aptos"/>
              </w:rPr>
              <w:t>2 per cent</w:t>
            </w:r>
            <w:r w:rsidRPr="0067507D">
              <w:rPr>
                <w:rFonts w:ascii="Calibri" w:eastAsia="Aptos" w:hAnsi="Calibri" w:cs="Calibri"/>
              </w:rPr>
              <w:t> </w:t>
            </w:r>
          </w:p>
        </w:tc>
        <w:tc>
          <w:tcPr>
            <w:tcW w:w="1975" w:type="dxa"/>
          </w:tcPr>
          <w:p w14:paraId="01CDDACB" w14:textId="1205E89D" w:rsidR="00E5426C" w:rsidRPr="0067507D" w:rsidRDefault="18EB3C0B" w:rsidP="21264DBD">
            <w:pPr>
              <w:pStyle w:val="Tabletext"/>
            </w:pPr>
            <w:r w:rsidRPr="0067507D">
              <w:t>2</w:t>
            </w:r>
            <w:r w:rsidR="42F221F7" w:rsidRPr="0067507D">
              <w:t xml:space="preserve"> per cent</w:t>
            </w:r>
          </w:p>
        </w:tc>
      </w:tr>
    </w:tbl>
    <w:bookmarkEnd w:id="218"/>
    <w:p w14:paraId="100FC0E7" w14:textId="3BF2A894" w:rsidR="000E5C7D" w:rsidRPr="0067507D" w:rsidRDefault="000E5C7D" w:rsidP="000E5C7D">
      <w:pPr>
        <w:pStyle w:val="Notes"/>
        <w:keepNext/>
      </w:pPr>
      <w:r w:rsidRPr="0067507D">
        <w:t>Notes:</w:t>
      </w:r>
    </w:p>
    <w:p w14:paraId="4768210E" w14:textId="27219429" w:rsidR="000E5C7D" w:rsidRPr="0067507D" w:rsidRDefault="69C78741" w:rsidP="21264DBD">
      <w:pPr>
        <w:pStyle w:val="Notes"/>
      </w:pPr>
      <w:r w:rsidRPr="0067507D">
        <w:t xml:space="preserve">(a) Victorian WorkCover Authority (VWA) supplied data. Data for standardised claims, time lost claims and death claims is as of </w:t>
      </w:r>
      <w:r w:rsidR="3D6661E2" w:rsidRPr="0067507D">
        <w:t>30 June 2025</w:t>
      </w:r>
      <w:r w:rsidRPr="0067507D">
        <w:t>. Standardised claims are those that have exceeded the employer excess or are registered as a standard claim and are open with no payments at the time of extraction.</w:t>
      </w:r>
    </w:p>
    <w:p w14:paraId="00C8E657" w14:textId="77777777" w:rsidR="000E5C7D" w:rsidRPr="0067507D" w:rsidRDefault="69C78741" w:rsidP="21264DBD">
      <w:pPr>
        <w:pStyle w:val="Notes"/>
      </w:pPr>
      <w:r w:rsidRPr="0067507D">
        <w:t>(b) VWA supplied data. A time lost claim is one with one or more days compensated by the VWA (after employer excess) at the time of extraction. They are a subset of standardised claims.</w:t>
      </w:r>
    </w:p>
    <w:p w14:paraId="36393953" w14:textId="5E02AA2F" w:rsidR="000E5C7D" w:rsidRPr="0067507D" w:rsidRDefault="69C78741" w:rsidP="21264DBD">
      <w:pPr>
        <w:pStyle w:val="Notes"/>
      </w:pPr>
      <w:r w:rsidRPr="0067507D">
        <w:t>(c) VWA supplied data based on claims reported between 1 July 202</w:t>
      </w:r>
      <w:r w:rsidR="000C432A" w:rsidRPr="0067507D">
        <w:t>4</w:t>
      </w:r>
      <w:r w:rsidRPr="0067507D">
        <w:t xml:space="preserve"> and </w:t>
      </w:r>
      <w:r w:rsidR="3D6661E2" w:rsidRPr="0067507D">
        <w:t>30 June 2025</w:t>
      </w:r>
      <w:r w:rsidRPr="0067507D">
        <w:t xml:space="preserve">. </w:t>
      </w:r>
      <w:r w:rsidR="4E0FCA5E" w:rsidRPr="0067507D">
        <w:t>Claim includes payment of $32</w:t>
      </w:r>
      <w:r w:rsidR="00A03F9C">
        <w:rPr>
          <w:rFonts w:ascii="Calibri" w:hAnsi="Calibri" w:cs="Calibri"/>
        </w:rPr>
        <w:t> </w:t>
      </w:r>
      <w:r w:rsidR="4E0FCA5E" w:rsidRPr="0067507D">
        <w:t>928</w:t>
      </w:r>
      <w:r w:rsidRPr="0067507D">
        <w:t xml:space="preserve"> to date plus an estimate of </w:t>
      </w:r>
      <w:r w:rsidR="4E0FCA5E" w:rsidRPr="0067507D">
        <w:t xml:space="preserve">the </w:t>
      </w:r>
      <w:r w:rsidR="687A5649" w:rsidRPr="0067507D">
        <w:t xml:space="preserve">lifetime </w:t>
      </w:r>
      <w:r w:rsidR="4E0FCA5E" w:rsidRPr="0067507D">
        <w:t>claim cost (</w:t>
      </w:r>
      <w:r w:rsidRPr="0067507D">
        <w:t>as calculated by the VWA</w:t>
      </w:r>
      <w:r w:rsidRPr="0067507D">
        <w:rPr>
          <w:rFonts w:ascii="VIC" w:hAnsi="VIC" w:cs="VIC"/>
        </w:rPr>
        <w:t>’</w:t>
      </w:r>
      <w:r w:rsidRPr="0067507D">
        <w:t xml:space="preserve">s statistical case estimate model). </w:t>
      </w:r>
      <w:r w:rsidR="4E0FCA5E" w:rsidRPr="0067507D">
        <w:t>Outstanding claims costs will vary after the time of reporting as claims are continually adjusted and amended.</w:t>
      </w:r>
    </w:p>
    <w:p w14:paraId="4C58F4F4" w14:textId="0E222DFF" w:rsidR="000E5C7D" w:rsidRPr="0067507D" w:rsidRDefault="69C78741" w:rsidP="000E5C7D">
      <w:pPr>
        <w:pStyle w:val="Notes"/>
      </w:pPr>
      <w:r w:rsidRPr="0067507D">
        <w:t xml:space="preserve">(d) Figures reflect the percentage of staff who have completed training within the financial year </w:t>
      </w:r>
      <w:r w:rsidR="3D6661E2" w:rsidRPr="0067507D">
        <w:t>2024</w:t>
      </w:r>
      <w:r w:rsidR="006A5485">
        <w:noBreakHyphen/>
      </w:r>
      <w:r w:rsidR="3D6661E2" w:rsidRPr="0067507D">
        <w:t>25</w:t>
      </w:r>
      <w:r w:rsidRPr="0067507D">
        <w:t xml:space="preserve">. </w:t>
      </w:r>
    </w:p>
    <w:p w14:paraId="38F0222F" w14:textId="77777777" w:rsidR="005114A7" w:rsidRPr="0067507D" w:rsidRDefault="005114A7" w:rsidP="000E5C7D">
      <w:pPr>
        <w:pStyle w:val="Notes"/>
      </w:pPr>
    </w:p>
    <w:p w14:paraId="30B6A7B0" w14:textId="77777777" w:rsidR="000E5C7D" w:rsidRPr="0067507D" w:rsidRDefault="000E5C7D" w:rsidP="00113E1C">
      <w:pPr>
        <w:pStyle w:val="Heading1App"/>
        <w:sectPr w:rsidR="000E5C7D" w:rsidRPr="0067507D" w:rsidSect="00916716">
          <w:headerReference w:type="even" r:id="rId196"/>
          <w:headerReference w:type="default" r:id="rId197"/>
          <w:footerReference w:type="even" r:id="rId198"/>
          <w:footerReference w:type="default" r:id="rId199"/>
          <w:headerReference w:type="first" r:id="rId200"/>
          <w:footerReference w:type="first" r:id="rId201"/>
          <w:pgSz w:w="11909" w:h="16834" w:code="9"/>
          <w:pgMar w:top="1728" w:right="1152" w:bottom="1267" w:left="1152" w:header="720" w:footer="288" w:gutter="0"/>
          <w:cols w:space="720"/>
          <w:noEndnote/>
        </w:sectPr>
      </w:pPr>
    </w:p>
    <w:p w14:paraId="024312BF" w14:textId="6454BD88" w:rsidR="00B93BEE" w:rsidRPr="0067507D" w:rsidRDefault="00B93BEE" w:rsidP="0035168C">
      <w:pPr>
        <w:pStyle w:val="Heading1App"/>
      </w:pPr>
      <w:bookmarkStart w:id="219" w:name="_Toc210221112"/>
      <w:bookmarkStart w:id="220" w:name="_Toc210221140"/>
      <w:bookmarkStart w:id="221" w:name="_Toc144211692"/>
      <w:bookmarkStart w:id="222" w:name="_Toc172297894"/>
      <w:bookmarkStart w:id="223" w:name="_Ref492631265"/>
      <w:bookmarkStart w:id="224" w:name="Environmental_start"/>
      <w:r w:rsidRPr="0067507D">
        <w:lastRenderedPageBreak/>
        <w:t>Appendix 3</w:t>
      </w:r>
      <w:r w:rsidRPr="0067507D">
        <w:tab/>
        <w:t>Reporting of environmental data</w:t>
      </w:r>
      <w:bookmarkEnd w:id="219"/>
      <w:bookmarkEnd w:id="220"/>
    </w:p>
    <w:p w14:paraId="6232EC39" w14:textId="77777777" w:rsidR="00B93BEE" w:rsidRPr="0067507D" w:rsidRDefault="00B93BEE" w:rsidP="00DD544B">
      <w:pPr>
        <w:sectPr w:rsidR="00B93BEE" w:rsidRPr="0067507D" w:rsidSect="00CC07D8">
          <w:headerReference w:type="default" r:id="rId202"/>
          <w:footerReference w:type="even" r:id="rId203"/>
          <w:footerReference w:type="default" r:id="rId204"/>
          <w:pgSz w:w="11909" w:h="16834" w:code="9"/>
          <w:pgMar w:top="1728" w:right="1152" w:bottom="1267" w:left="1152" w:header="720" w:footer="288" w:gutter="0"/>
          <w:cols w:space="720"/>
          <w:noEndnote/>
        </w:sectPr>
      </w:pPr>
    </w:p>
    <w:p w14:paraId="569D2172" w14:textId="77777777" w:rsidR="00B93BEE" w:rsidRPr="0067507D" w:rsidDel="00BB63B9" w:rsidRDefault="00B93BEE" w:rsidP="00C92570">
      <w:r w:rsidRPr="0067507D" w:rsidDel="00BB63B9">
        <w:t>DTF</w:t>
      </w:r>
      <w:r w:rsidRPr="0067507D">
        <w:t xml:space="preserve"> recognises its role in contributing to Victoria’s climate action targets and</w:t>
      </w:r>
      <w:r w:rsidRPr="0067507D" w:rsidDel="00BB63B9">
        <w:t xml:space="preserve"> is committed to reducing its environmental impact through</w:t>
      </w:r>
      <w:r w:rsidRPr="0067507D">
        <w:t xml:space="preserve"> </w:t>
      </w:r>
      <w:r w:rsidRPr="0067507D" w:rsidDel="00BB63B9">
        <w:t>sustainable practices. Th</w:t>
      </w:r>
      <w:r w:rsidRPr="0067507D">
        <w:t>is</w:t>
      </w:r>
      <w:r w:rsidRPr="0067507D" w:rsidDel="00BB63B9">
        <w:t xml:space="preserve"> report is guided by the Financial Reporting Direction (FRD)</w:t>
      </w:r>
      <w:r w:rsidRPr="0067507D">
        <w:rPr>
          <w:rFonts w:ascii="Calibri" w:hAnsi="Calibri" w:cs="Calibri"/>
        </w:rPr>
        <w:t> </w:t>
      </w:r>
      <w:r w:rsidRPr="0067507D" w:rsidDel="00BB63B9">
        <w:t>24.</w:t>
      </w:r>
    </w:p>
    <w:p w14:paraId="651901FB" w14:textId="77777777" w:rsidR="00B93BEE" w:rsidRPr="0067507D" w:rsidRDefault="00B93BEE" w:rsidP="00C92570">
      <w:r w:rsidRPr="0067507D">
        <w:t>DTF’s commitment to sustainability in its operations is demonstrated through several key initiatives, including:</w:t>
      </w:r>
    </w:p>
    <w:p w14:paraId="0B6DE5C9" w14:textId="77777777" w:rsidR="00B93BEE" w:rsidRPr="0067507D" w:rsidRDefault="00B93BEE" w:rsidP="00C92570">
      <w:pPr>
        <w:pStyle w:val="Bullet"/>
      </w:pPr>
      <w:r w:rsidRPr="0067507D">
        <w:t>integrating environmental considerations into tender specifications to promote responsible procurement practices</w:t>
      </w:r>
    </w:p>
    <w:p w14:paraId="1214FD34" w14:textId="709A1561" w:rsidR="00B93BEE" w:rsidRPr="0067507D" w:rsidRDefault="00B93BEE" w:rsidP="00C92570">
      <w:pPr>
        <w:pStyle w:val="Bullet"/>
      </w:pPr>
      <w:r w:rsidRPr="0067507D">
        <w:t>utilising a tri</w:t>
      </w:r>
      <w:r w:rsidR="006A5485">
        <w:noBreakHyphen/>
      </w:r>
      <w:r w:rsidRPr="0067507D">
        <w:t>stream waste disposal system (landfill, commingled and organics) to encourage waste reduction and recycling</w:t>
      </w:r>
    </w:p>
    <w:p w14:paraId="4A427BAC" w14:textId="5E7A539C" w:rsidR="00B93BEE" w:rsidRPr="0067507D" w:rsidRDefault="00B93BEE" w:rsidP="00C92570">
      <w:pPr>
        <w:pStyle w:val="Bullet"/>
        <w:rPr>
          <w:szCs w:val="17"/>
        </w:rPr>
      </w:pPr>
      <w:r w:rsidRPr="0067507D">
        <w:t>prioritising energy efficiency through the use of energy</w:t>
      </w:r>
      <w:r w:rsidR="006A5485">
        <w:noBreakHyphen/>
      </w:r>
      <w:r w:rsidRPr="0067507D">
        <w:t>saving appliances and sensor lighting</w:t>
      </w:r>
    </w:p>
    <w:p w14:paraId="738F4FC5" w14:textId="77777777" w:rsidR="00B93BEE" w:rsidRPr="0067507D" w:rsidRDefault="00B93BEE" w:rsidP="00C92570">
      <w:pPr>
        <w:pStyle w:val="Bullet"/>
        <w:rPr>
          <w:szCs w:val="17"/>
        </w:rPr>
      </w:pPr>
      <w:r w:rsidRPr="0067507D">
        <w:t>s</w:t>
      </w:r>
      <w:r w:rsidRPr="0067507D">
        <w:rPr>
          <w:szCs w:val="17"/>
        </w:rPr>
        <w:t>ourcing sustainable and locally produced furniture, with an emphasis on certifications like Global GreenTag</w:t>
      </w:r>
    </w:p>
    <w:p w14:paraId="5BF4340C" w14:textId="77777777" w:rsidR="00B93BEE" w:rsidRPr="0067507D" w:rsidRDefault="00B93BEE" w:rsidP="00C92570">
      <w:pPr>
        <w:pStyle w:val="Bullet"/>
      </w:pPr>
      <w:r w:rsidRPr="0067507D">
        <w:t>adopting responsible relocation practices with a focus on sustainable waste management</w:t>
      </w:r>
    </w:p>
    <w:p w14:paraId="427D9763" w14:textId="77777777" w:rsidR="00B93BEE" w:rsidRPr="0067507D" w:rsidRDefault="00B93BEE" w:rsidP="00C92570">
      <w:pPr>
        <w:pStyle w:val="Bullet"/>
      </w:pPr>
      <w:r w:rsidRPr="0067507D">
        <w:t>recycling usable furniture and equipment during refurbishments or relocations to minimise waste</w:t>
      </w:r>
    </w:p>
    <w:p w14:paraId="67258170" w14:textId="77777777" w:rsidR="00B93BEE" w:rsidRPr="0067507D" w:rsidRDefault="00B93BEE" w:rsidP="00C92570">
      <w:pPr>
        <w:pStyle w:val="Bullet"/>
      </w:pPr>
      <w:r w:rsidRPr="0067507D">
        <w:t>adopting digital solutions to reduce paper usage and shift towards more sustainable practices.</w:t>
      </w:r>
    </w:p>
    <w:p w14:paraId="24E382AD" w14:textId="77777777" w:rsidR="00B93BEE" w:rsidRPr="0067507D" w:rsidRDefault="00B93BEE" w:rsidP="00C92570">
      <w:r w:rsidRPr="0067507D">
        <w:t>DTF aims to support the Victorian public sector in adopting technologies and practices that lower emissions and enhance environmental sustainability, contributing to a greener and more environmentally responsible future.</w:t>
      </w:r>
    </w:p>
    <w:p w14:paraId="4718EA48" w14:textId="77777777" w:rsidR="00B93BEE" w:rsidRPr="0067507D" w:rsidRDefault="00B93BEE" w:rsidP="00C92570">
      <w:pPr>
        <w:pStyle w:val="Heading2"/>
      </w:pPr>
      <w:r w:rsidRPr="0067507D">
        <w:t>The Department’s Environmental Management System</w:t>
      </w:r>
    </w:p>
    <w:p w14:paraId="21E0B848" w14:textId="77777777" w:rsidR="00B93BEE" w:rsidRPr="0067507D" w:rsidRDefault="00B93BEE" w:rsidP="00C92570">
      <w:pPr>
        <w:ind w:right="-57"/>
      </w:pPr>
      <w:r w:rsidRPr="0067507D">
        <w:t>DTF’s commitment to</w:t>
      </w:r>
      <w:r w:rsidRPr="0067507D">
        <w:rPr>
          <w:rFonts w:ascii="Calibri" w:hAnsi="Calibri" w:cs="Calibri"/>
        </w:rPr>
        <w:t> </w:t>
      </w:r>
      <w:r w:rsidRPr="0067507D">
        <w:t>fostering a culture of sustainability is reflected in the Department’s dedication to realising a greener future.</w:t>
      </w:r>
    </w:p>
    <w:p w14:paraId="450A59C1" w14:textId="26661927" w:rsidR="00B93BEE" w:rsidRPr="0067507D" w:rsidRDefault="00B93BEE" w:rsidP="00C92570">
      <w:r w:rsidRPr="0067507D">
        <w:t>DTF has sought to mitigate the environmental impacts of its operations during 2024</w:t>
      </w:r>
      <w:r w:rsidR="006A5485">
        <w:noBreakHyphen/>
      </w:r>
      <w:r w:rsidRPr="0067507D">
        <w:t>25 through office</w:t>
      </w:r>
      <w:r w:rsidR="006A5485">
        <w:noBreakHyphen/>
      </w:r>
      <w:r w:rsidRPr="0067507D">
        <w:t xml:space="preserve">based initiatives that integrate environmental considerations across the Department. </w:t>
      </w:r>
    </w:p>
    <w:p w14:paraId="39221269" w14:textId="77777777" w:rsidR="00B93BEE" w:rsidRPr="0067507D" w:rsidRDefault="00B93BEE" w:rsidP="00C92570">
      <w:r w:rsidRPr="0067507D">
        <w:t>DTF is continuing to mature its Environmental Management System (EMS) to further guide the Department’s environmental management and follow standards set out in AS/NZS ISO 14001:2016. This includes targeted sustainability initiatives in the central agency emissions reduction plan.</w:t>
      </w:r>
    </w:p>
    <w:p w14:paraId="6B29230E" w14:textId="77777777" w:rsidR="00B93BEE" w:rsidRPr="0067507D" w:rsidRDefault="00B93BEE" w:rsidP="00C92570">
      <w:pPr>
        <w:pStyle w:val="Heading3"/>
        <w:ind w:right="-327"/>
      </w:pPr>
      <w:r w:rsidRPr="0067507D">
        <w:t xml:space="preserve">Reporting boundary for environmental data </w:t>
      </w:r>
    </w:p>
    <w:p w14:paraId="2432B2EB" w14:textId="7849980F" w:rsidR="00B93BEE" w:rsidRPr="0067507D" w:rsidRDefault="00B93BEE" w:rsidP="00C92570">
      <w:r w:rsidRPr="0067507D">
        <w:t>This report outlines DTF’s environmental performance from 1 July 2024 to 30 June 2025, with data captured through consumption reports and audits. Data encompass all sites where DTF conducts its operations, and relevant activities of departmental staff (e.g. travel).</w:t>
      </w:r>
    </w:p>
    <w:p w14:paraId="4806AB53" w14:textId="60DA77D3" w:rsidR="00B93BEE" w:rsidRPr="0067507D" w:rsidRDefault="00B93BEE" w:rsidP="00C92570">
      <w:r w:rsidRPr="0067507D">
        <w:t>For comparative analysis, certain data indicators have been normalised using Full</w:t>
      </w:r>
      <w:r w:rsidR="006A5485">
        <w:noBreakHyphen/>
      </w:r>
      <w:r w:rsidRPr="0067507D">
        <w:t>Time Equivalents (FTE). This normalisation provides a clearer view of performance and facilitates trend analysis.</w:t>
      </w:r>
    </w:p>
    <w:p w14:paraId="42E773B5" w14:textId="51A0D671" w:rsidR="00B93BEE" w:rsidRPr="0067507D" w:rsidRDefault="00B93BEE" w:rsidP="00C92570">
      <w:pPr>
        <w:pStyle w:val="BodyText"/>
      </w:pPr>
      <w:r w:rsidRPr="0067507D">
        <w:t>During 2024</w:t>
      </w:r>
      <w:r w:rsidR="006A5485">
        <w:noBreakHyphen/>
      </w:r>
      <w:r w:rsidRPr="0067507D">
        <w:t>25, a reporting platform of the State Government Environmental Sustainability service provider transitioned from the Canopy system to IBM Envizi. Historic data was migrated to Envizi, which offers enhanced functionality, and more comprehensive dashboards and data views. Envizi is now a primary source for electricity, gas, and site</w:t>
      </w:r>
      <w:r w:rsidR="006A5485">
        <w:noBreakHyphen/>
      </w:r>
      <w:r w:rsidRPr="0067507D">
        <w:t xml:space="preserve">based environmental data used in this report. </w:t>
      </w:r>
    </w:p>
    <w:p w14:paraId="444EB774" w14:textId="77777777" w:rsidR="00B93BEE" w:rsidRPr="0067507D" w:rsidRDefault="00B93BEE" w:rsidP="00C92570">
      <w:r w:rsidRPr="0067507D">
        <w:t xml:space="preserve">Certain environmental metrics such as water, gas and waste were not available for all sites due to factors such as different metering systems and data measurement methods. </w:t>
      </w:r>
    </w:p>
    <w:p w14:paraId="1AE0A8AC" w14:textId="77777777" w:rsidR="00B93BEE" w:rsidRPr="0067507D" w:rsidRDefault="00B93BEE" w:rsidP="00C92570">
      <w:r w:rsidRPr="0067507D">
        <w:t>DTF will continue to see further refinement of reporting outcomes by engaging with both internal and external data sources aligning with FRD</w:t>
      </w:r>
      <w:r w:rsidRPr="0067507D">
        <w:rPr>
          <w:rFonts w:ascii="Calibri" w:hAnsi="Calibri" w:cs="Calibri"/>
        </w:rPr>
        <w:t> </w:t>
      </w:r>
      <w:r w:rsidRPr="0067507D">
        <w:t xml:space="preserve">24 requirements. </w:t>
      </w:r>
    </w:p>
    <w:p w14:paraId="37B3858F" w14:textId="63BC7F0B" w:rsidR="00B93BEE" w:rsidRPr="0067507D" w:rsidRDefault="00B93BEE" w:rsidP="00174807">
      <w:pPr>
        <w:pStyle w:val="Heading2"/>
      </w:pPr>
      <w:r w:rsidRPr="0067507D">
        <w:t>Climate</w:t>
      </w:r>
      <w:r w:rsidR="006A5485">
        <w:noBreakHyphen/>
      </w:r>
      <w:r w:rsidRPr="0067507D">
        <w:t xml:space="preserve">related risk and opportunity </w:t>
      </w:r>
    </w:p>
    <w:p w14:paraId="7D1785D4" w14:textId="5532422F" w:rsidR="00B93BEE" w:rsidRPr="0067507D" w:rsidRDefault="00B93BEE" w:rsidP="00174807">
      <w:r w:rsidRPr="0067507D">
        <w:t>DTF acknowledges the potential direct and indirect impacts of climate change on its services and operations. DTF is committed to understanding and addressing climate</w:t>
      </w:r>
      <w:r w:rsidR="006A5485">
        <w:noBreakHyphen/>
      </w:r>
      <w:r w:rsidRPr="0067507D">
        <w:t>related risks and opportunities to enhance resilience and sustainability.</w:t>
      </w:r>
    </w:p>
    <w:p w14:paraId="0A760FC7" w14:textId="213B16A6" w:rsidR="00B93BEE" w:rsidRPr="0067507D" w:rsidRDefault="00B93BEE" w:rsidP="00174807">
      <w:r w:rsidRPr="0067507D">
        <w:t>DTF aims to lead by example in the Victorian public sector by embracing new technologies and practices that support Victoria’s transition to net zero emissions and a climate</w:t>
      </w:r>
      <w:r w:rsidR="006A5485">
        <w:noBreakHyphen/>
      </w:r>
      <w:r w:rsidRPr="0067507D">
        <w:t xml:space="preserve">resilient future. </w:t>
      </w:r>
    </w:p>
    <w:p w14:paraId="6E47FF36" w14:textId="77777777" w:rsidR="00B93BEE" w:rsidRPr="0067507D" w:rsidRDefault="00B93BEE" w:rsidP="00174807">
      <w:r w:rsidRPr="0067507D">
        <w:t>Through this disclosure statement, DTF seeks to:</w:t>
      </w:r>
    </w:p>
    <w:p w14:paraId="5B16A41D" w14:textId="77777777" w:rsidR="00B93BEE" w:rsidRPr="0067507D" w:rsidRDefault="00B93BEE" w:rsidP="00174807">
      <w:pPr>
        <w:pStyle w:val="Bullet"/>
        <w:rPr>
          <w:szCs w:val="17"/>
        </w:rPr>
      </w:pPr>
      <w:r w:rsidRPr="0067507D">
        <w:t>outline its ongoing efforts to assess and understand how climate change may impact its assets, operations, and services</w:t>
      </w:r>
    </w:p>
    <w:p w14:paraId="0EA2E326" w14:textId="77777777" w:rsidR="00B93BEE" w:rsidRPr="0067507D" w:rsidRDefault="00B93BEE" w:rsidP="00174807">
      <w:pPr>
        <w:pStyle w:val="Bullet"/>
        <w:rPr>
          <w:szCs w:val="17"/>
        </w:rPr>
      </w:pPr>
      <w:r w:rsidRPr="0067507D">
        <w:t xml:space="preserve">demonstrate a commitment to responsibly </w:t>
      </w:r>
      <w:r w:rsidRPr="0067507D">
        <w:rPr>
          <w:szCs w:val="17"/>
        </w:rPr>
        <w:t>managing and mitigating these environmental impacts</w:t>
      </w:r>
    </w:p>
    <w:p w14:paraId="19F0F0E3" w14:textId="77777777" w:rsidR="00B93BEE" w:rsidRPr="0067507D" w:rsidRDefault="00B93BEE" w:rsidP="00174807">
      <w:pPr>
        <w:pStyle w:val="Bullet"/>
        <w:rPr>
          <w:szCs w:val="17"/>
        </w:rPr>
      </w:pPr>
      <w:r w:rsidRPr="0067507D">
        <w:t>support the efficient allocation of resources towards achieving net zero emissions and continuously improving environmental performance.</w:t>
      </w:r>
    </w:p>
    <w:p w14:paraId="4B560443" w14:textId="2FA99046" w:rsidR="00B93BEE" w:rsidRPr="0067507D" w:rsidRDefault="00B93BEE" w:rsidP="00174807">
      <w:r w:rsidRPr="0067507D">
        <w:lastRenderedPageBreak/>
        <w:t>By addressing climate</w:t>
      </w:r>
      <w:r w:rsidR="006A5485">
        <w:noBreakHyphen/>
      </w:r>
      <w:r w:rsidRPr="0067507D">
        <w:t xml:space="preserve">related risks and opportunities, DTF is dedicated to fostering a sustainable and resilient operational framework that aligns with the ambitious goals set by the Victorian Government. </w:t>
      </w:r>
    </w:p>
    <w:p w14:paraId="3DEE6957" w14:textId="7252F1BD" w:rsidR="00B93BEE" w:rsidRPr="0067507D" w:rsidRDefault="00B93BEE" w:rsidP="0035168C">
      <w:pPr>
        <w:pStyle w:val="Heading3"/>
      </w:pPr>
      <w:r w:rsidRPr="0067507D">
        <w:t>Climate</w:t>
      </w:r>
      <w:r w:rsidR="006A5485">
        <w:noBreakHyphen/>
      </w:r>
      <w:r w:rsidRPr="0067507D">
        <w:t>related risk governance and strategy</w:t>
      </w:r>
    </w:p>
    <w:p w14:paraId="7E4BF0C4" w14:textId="68E4B8FB" w:rsidR="00B93BEE" w:rsidRPr="0067507D" w:rsidRDefault="00B93BEE" w:rsidP="00174807">
      <w:bookmarkStart w:id="225" w:name="_Hlk203573466"/>
      <w:r w:rsidRPr="0067507D">
        <w:t>DTF is dedicated to comprehensive risk governance, strategy development, and effective risk management practices. Guided by the Victorian Government Risk Management Framework and the AS ISO 31000:2018 standard, DTF actively promotes proactive risk identification and management, extending this commitment to climate</w:t>
      </w:r>
      <w:r w:rsidR="006A5485">
        <w:noBreakHyphen/>
      </w:r>
      <w:r w:rsidRPr="0067507D">
        <w:t>related risks</w:t>
      </w:r>
      <w:bookmarkEnd w:id="225"/>
      <w:r w:rsidRPr="0067507D">
        <w:t>.</w:t>
      </w:r>
    </w:p>
    <w:p w14:paraId="426077F4" w14:textId="7A202359" w:rsidR="00B93BEE" w:rsidRPr="0067507D" w:rsidRDefault="00B93BEE" w:rsidP="0681AAE6">
      <w:pPr>
        <w:pStyle w:val="Heading3"/>
      </w:pPr>
      <w:r w:rsidRPr="0067507D">
        <w:t>Climate</w:t>
      </w:r>
      <w:r w:rsidR="006A5485">
        <w:noBreakHyphen/>
      </w:r>
      <w:r w:rsidRPr="0067507D">
        <w:t xml:space="preserve">related risk management </w:t>
      </w:r>
    </w:p>
    <w:p w14:paraId="09E6A316" w14:textId="181EE662" w:rsidR="00B93BEE" w:rsidRPr="0067507D" w:rsidRDefault="00B93BEE" w:rsidP="00A92B80">
      <w:pPr>
        <w:rPr>
          <w:rFonts w:cs="Calibri"/>
        </w:rPr>
      </w:pPr>
      <w:r w:rsidRPr="0067507D">
        <w:t>DTF’s proactive commitment to environmental responsibility extends to the exploration of climate</w:t>
      </w:r>
      <w:r w:rsidRPr="0067507D">
        <w:noBreakHyphen/>
        <w:t xml:space="preserve">related risks and opportunities. DTF plays a key role in supporting government in managing climate risks. DTF </w:t>
      </w:r>
      <w:r w:rsidRPr="0067507D">
        <w:rPr>
          <w:rFonts w:cs="Calibri"/>
        </w:rPr>
        <w:t>provides advice to the Victorian Government on whole</w:t>
      </w:r>
      <w:r w:rsidR="006A5485">
        <w:rPr>
          <w:rFonts w:cs="Calibri"/>
        </w:rPr>
        <w:noBreakHyphen/>
      </w:r>
      <w:r w:rsidRPr="0067507D">
        <w:rPr>
          <w:rFonts w:cs="Calibri"/>
        </w:rPr>
        <w:t>of</w:t>
      </w:r>
      <w:r w:rsidR="006A5485">
        <w:rPr>
          <w:rFonts w:cs="Calibri"/>
        </w:rPr>
        <w:noBreakHyphen/>
      </w:r>
      <w:r w:rsidRPr="0067507D">
        <w:rPr>
          <w:rFonts w:cs="Calibri"/>
        </w:rPr>
        <w:t>government climate risk activities and supports the governance arrangements for the Victorian Government’s pledge 2026</w:t>
      </w:r>
      <w:r w:rsidR="003F781E">
        <w:rPr>
          <w:rFonts w:cs="Calibri"/>
        </w:rPr>
        <w:noBreakHyphen/>
      </w:r>
      <w:r w:rsidRPr="0067507D">
        <w:rPr>
          <w:rFonts w:cs="Calibri"/>
        </w:rPr>
        <w:t xml:space="preserve">2030. DTF has developed Financial Reporting Direction 24 requiring disclosure on Environmental Reporting and, for Tier 1 entities (departments and administrative offices) </w:t>
      </w:r>
      <w:r w:rsidR="00480698" w:rsidRPr="0067507D">
        <w:rPr>
          <w:rFonts w:cs="Calibri"/>
        </w:rPr>
        <w:t>c</w:t>
      </w:r>
      <w:r w:rsidRPr="0067507D">
        <w:rPr>
          <w:rFonts w:cs="Calibri"/>
        </w:rPr>
        <w:t>limate</w:t>
      </w:r>
      <w:r w:rsidR="006A5485">
        <w:rPr>
          <w:rFonts w:cs="Calibri"/>
        </w:rPr>
        <w:noBreakHyphen/>
      </w:r>
      <w:r w:rsidRPr="0067507D">
        <w:rPr>
          <w:rFonts w:cs="Calibri"/>
        </w:rPr>
        <w:t xml:space="preserve">related risks, in their Annual Reports, ensuring the commitment towards reducing environmental impacts through ongoing implementation of sustainability practices. DTF’s operations are largely limited to the use of buildings, vehicles and consumables. </w:t>
      </w:r>
    </w:p>
    <w:p w14:paraId="700B357E" w14:textId="474F034A" w:rsidR="00B93BEE" w:rsidRPr="0067507D" w:rsidRDefault="00B93BEE" w:rsidP="0681AAE6">
      <w:pPr>
        <w:pStyle w:val="Heading3"/>
      </w:pPr>
      <w:r w:rsidRPr="0067507D">
        <w:t>Climate</w:t>
      </w:r>
      <w:r w:rsidR="006A5485">
        <w:noBreakHyphen/>
      </w:r>
      <w:r w:rsidRPr="0067507D">
        <w:t xml:space="preserve">related metrics and targets </w:t>
      </w:r>
    </w:p>
    <w:p w14:paraId="79100CF2" w14:textId="0E11A906" w:rsidR="00B93BEE" w:rsidRPr="0067507D" w:rsidRDefault="00B93BEE" w:rsidP="00A92B80">
      <w:pPr>
        <w:rPr>
          <w:rFonts w:cs="Calibri"/>
        </w:rPr>
      </w:pPr>
      <w:r w:rsidRPr="0067507D">
        <w:t>While DTF’s physical assets are not greatly exposed to climate risks or hazards, DTF continues to mature its understanding of the potential impacts of climate</w:t>
      </w:r>
      <w:r w:rsidR="006A5485">
        <w:noBreakHyphen/>
      </w:r>
      <w:r w:rsidRPr="0067507D">
        <w:t>related risks on its operations, workforce and financial planning.</w:t>
      </w:r>
    </w:p>
    <w:p w14:paraId="77CD8896" w14:textId="7B14491E" w:rsidR="00B93BEE" w:rsidRPr="0067507D" w:rsidRDefault="00B93BEE" w:rsidP="00174807">
      <w:r w:rsidRPr="0067507D">
        <w:t>The Department, through its risk framework and risk review, is evaluating its climate</w:t>
      </w:r>
      <w:r w:rsidR="006A5485">
        <w:noBreakHyphen/>
      </w:r>
      <w:r w:rsidRPr="0067507D">
        <w:t>related risk. Collaborative efforts with the Board and corporate functions continue to support the formulation of strategies aimed at tackling climate</w:t>
      </w:r>
      <w:r w:rsidR="006A5485">
        <w:noBreakHyphen/>
      </w:r>
      <w:r w:rsidRPr="0067507D">
        <w:t>related challenges.</w:t>
      </w:r>
    </w:p>
    <w:p w14:paraId="22FDD941" w14:textId="77777777" w:rsidR="00B93BEE" w:rsidRPr="0067507D" w:rsidRDefault="00B93BEE" w:rsidP="00174807">
      <w:pPr>
        <w:pStyle w:val="Heading3"/>
        <w:rPr>
          <w:highlight w:val="yellow"/>
        </w:rPr>
      </w:pPr>
      <w:r w:rsidRPr="0067507D">
        <w:rPr>
          <w:highlight w:val="yellow"/>
        </w:rPr>
        <w:br w:type="column"/>
      </w:r>
      <w:r w:rsidRPr="0067507D">
        <w:t>Glossary</w:t>
      </w:r>
    </w:p>
    <w:tbl>
      <w:tblPr>
        <w:tblW w:w="0" w:type="auto"/>
        <w:tblLook w:val="0000" w:firstRow="0" w:lastRow="0" w:firstColumn="0" w:lastColumn="0" w:noHBand="0" w:noVBand="0"/>
      </w:tblPr>
      <w:tblGrid>
        <w:gridCol w:w="990"/>
        <w:gridCol w:w="2948"/>
      </w:tblGrid>
      <w:tr w:rsidR="00B93BEE" w:rsidRPr="0067507D" w14:paraId="5DAAA96B" w14:textId="77777777" w:rsidTr="004D70AA">
        <w:trPr>
          <w:trHeight w:val="255"/>
        </w:trPr>
        <w:tc>
          <w:tcPr>
            <w:tcW w:w="990" w:type="dxa"/>
            <w:shd w:val="clear" w:color="auto" w:fill="E0E0E0"/>
            <w:noWrap/>
          </w:tcPr>
          <w:p w14:paraId="7F8468B4" w14:textId="77777777" w:rsidR="00B93BEE" w:rsidRPr="0067507D" w:rsidRDefault="00B93BEE" w:rsidP="003F07BB">
            <w:pPr>
              <w:pStyle w:val="Tabletext"/>
              <w:rPr>
                <w:highlight w:val="yellow"/>
              </w:rPr>
            </w:pPr>
            <w:r w:rsidRPr="0067507D">
              <w:t>FTE</w:t>
            </w:r>
          </w:p>
        </w:tc>
        <w:tc>
          <w:tcPr>
            <w:tcW w:w="2948" w:type="dxa"/>
          </w:tcPr>
          <w:p w14:paraId="15B1B648" w14:textId="77777777" w:rsidR="00B93BEE" w:rsidRPr="0067507D" w:rsidRDefault="00B93BEE" w:rsidP="003F07BB">
            <w:pPr>
              <w:pStyle w:val="Tabletext"/>
              <w:rPr>
                <w:highlight w:val="yellow"/>
              </w:rPr>
            </w:pPr>
            <w:r w:rsidRPr="0067507D">
              <w:t>full time equivalent employee</w:t>
            </w:r>
          </w:p>
        </w:tc>
      </w:tr>
      <w:tr w:rsidR="00B93BEE" w:rsidRPr="0067507D" w14:paraId="31787B26" w14:textId="77777777" w:rsidTr="004D70AA">
        <w:trPr>
          <w:trHeight w:val="255"/>
        </w:trPr>
        <w:tc>
          <w:tcPr>
            <w:tcW w:w="990" w:type="dxa"/>
            <w:shd w:val="clear" w:color="auto" w:fill="E0E0E0"/>
            <w:noWrap/>
          </w:tcPr>
          <w:p w14:paraId="77324FB9" w14:textId="77777777" w:rsidR="00B93BEE" w:rsidRPr="0067507D" w:rsidRDefault="00B93BEE" w:rsidP="003F07BB">
            <w:pPr>
              <w:pStyle w:val="Tabletext"/>
              <w:rPr>
                <w:highlight w:val="yellow"/>
              </w:rPr>
            </w:pPr>
            <w:r w:rsidRPr="0067507D">
              <w:t>kg</w:t>
            </w:r>
          </w:p>
        </w:tc>
        <w:tc>
          <w:tcPr>
            <w:tcW w:w="2948" w:type="dxa"/>
          </w:tcPr>
          <w:p w14:paraId="602974F3" w14:textId="77777777" w:rsidR="00B93BEE" w:rsidRPr="0067507D" w:rsidRDefault="00B93BEE" w:rsidP="003F07BB">
            <w:pPr>
              <w:pStyle w:val="Tabletext"/>
              <w:rPr>
                <w:highlight w:val="yellow"/>
              </w:rPr>
            </w:pPr>
            <w:r w:rsidRPr="0067507D">
              <w:t>kilograms</w:t>
            </w:r>
          </w:p>
        </w:tc>
      </w:tr>
      <w:tr w:rsidR="00B93BEE" w:rsidRPr="0067507D" w14:paraId="5D5047C3" w14:textId="77777777" w:rsidTr="004D70AA">
        <w:trPr>
          <w:trHeight w:val="255"/>
        </w:trPr>
        <w:tc>
          <w:tcPr>
            <w:tcW w:w="990" w:type="dxa"/>
            <w:shd w:val="clear" w:color="auto" w:fill="E0E0E0"/>
            <w:noWrap/>
          </w:tcPr>
          <w:p w14:paraId="761937B8" w14:textId="77777777" w:rsidR="00B93BEE" w:rsidRPr="0067507D" w:rsidRDefault="00B93BEE" w:rsidP="003F07BB">
            <w:pPr>
              <w:pStyle w:val="Tabletext"/>
              <w:rPr>
                <w:highlight w:val="yellow"/>
              </w:rPr>
            </w:pPr>
            <w:r w:rsidRPr="0067507D">
              <w:t>kL</w:t>
            </w:r>
          </w:p>
        </w:tc>
        <w:tc>
          <w:tcPr>
            <w:tcW w:w="2948" w:type="dxa"/>
          </w:tcPr>
          <w:p w14:paraId="407B82A8" w14:textId="77777777" w:rsidR="00B93BEE" w:rsidRPr="0067507D" w:rsidRDefault="00B93BEE" w:rsidP="003F07BB">
            <w:pPr>
              <w:pStyle w:val="Tabletext"/>
              <w:rPr>
                <w:highlight w:val="yellow"/>
              </w:rPr>
            </w:pPr>
            <w:r w:rsidRPr="0067507D">
              <w:t>kilolitres</w:t>
            </w:r>
          </w:p>
        </w:tc>
      </w:tr>
      <w:tr w:rsidR="00B93BEE" w:rsidRPr="0067507D" w14:paraId="76A68AAF" w14:textId="77777777" w:rsidTr="004D70AA">
        <w:trPr>
          <w:trHeight w:val="255"/>
        </w:trPr>
        <w:tc>
          <w:tcPr>
            <w:tcW w:w="990" w:type="dxa"/>
            <w:shd w:val="clear" w:color="auto" w:fill="E0E0E0"/>
            <w:noWrap/>
          </w:tcPr>
          <w:p w14:paraId="6BDDF0C9" w14:textId="77777777" w:rsidR="00B93BEE" w:rsidRPr="0067507D" w:rsidRDefault="00B93BEE" w:rsidP="003F07BB">
            <w:pPr>
              <w:pStyle w:val="Tabletext"/>
              <w:rPr>
                <w:highlight w:val="yellow"/>
              </w:rPr>
            </w:pPr>
            <w:r w:rsidRPr="0067507D">
              <w:t>km</w:t>
            </w:r>
          </w:p>
        </w:tc>
        <w:tc>
          <w:tcPr>
            <w:tcW w:w="2948" w:type="dxa"/>
          </w:tcPr>
          <w:p w14:paraId="3C6B2CE8" w14:textId="77777777" w:rsidR="00B93BEE" w:rsidRPr="0067507D" w:rsidRDefault="00B93BEE" w:rsidP="003F07BB">
            <w:pPr>
              <w:pStyle w:val="Tabletext"/>
              <w:rPr>
                <w:highlight w:val="yellow"/>
              </w:rPr>
            </w:pPr>
            <w:r w:rsidRPr="0067507D">
              <w:t>kilometres</w:t>
            </w:r>
          </w:p>
        </w:tc>
      </w:tr>
      <w:tr w:rsidR="00B93BEE" w:rsidRPr="0067507D" w14:paraId="23FAEC83" w14:textId="77777777" w:rsidTr="004D70AA">
        <w:trPr>
          <w:trHeight w:val="255"/>
        </w:trPr>
        <w:tc>
          <w:tcPr>
            <w:tcW w:w="990" w:type="dxa"/>
            <w:shd w:val="clear" w:color="auto" w:fill="E0E0E0"/>
            <w:noWrap/>
          </w:tcPr>
          <w:p w14:paraId="6E234392" w14:textId="77777777" w:rsidR="00B93BEE" w:rsidRPr="0067507D" w:rsidRDefault="00B93BEE" w:rsidP="003F07BB">
            <w:pPr>
              <w:pStyle w:val="Tabletext"/>
              <w:rPr>
                <w:highlight w:val="yellow"/>
              </w:rPr>
            </w:pPr>
            <w:r w:rsidRPr="0067507D">
              <w:t>L</w:t>
            </w:r>
          </w:p>
        </w:tc>
        <w:tc>
          <w:tcPr>
            <w:tcW w:w="2948" w:type="dxa"/>
          </w:tcPr>
          <w:p w14:paraId="59E43CBC" w14:textId="77777777" w:rsidR="00B93BEE" w:rsidRPr="0067507D" w:rsidRDefault="00B93BEE" w:rsidP="003F07BB">
            <w:pPr>
              <w:pStyle w:val="Tabletext"/>
              <w:rPr>
                <w:highlight w:val="yellow"/>
              </w:rPr>
            </w:pPr>
            <w:r w:rsidRPr="0067507D">
              <w:t>litres</w:t>
            </w:r>
          </w:p>
        </w:tc>
      </w:tr>
      <w:tr w:rsidR="00B93BEE" w:rsidRPr="0067507D" w14:paraId="5E05F5BB" w14:textId="77777777" w:rsidTr="004D70AA">
        <w:trPr>
          <w:trHeight w:val="255"/>
        </w:trPr>
        <w:tc>
          <w:tcPr>
            <w:tcW w:w="990" w:type="dxa"/>
            <w:shd w:val="clear" w:color="auto" w:fill="E0E0E0"/>
            <w:noWrap/>
          </w:tcPr>
          <w:p w14:paraId="6C502CDD" w14:textId="77777777" w:rsidR="00B93BEE" w:rsidRPr="0067507D" w:rsidRDefault="00B93BEE" w:rsidP="003F07BB">
            <w:pPr>
              <w:pStyle w:val="Tabletext"/>
              <w:rPr>
                <w:highlight w:val="yellow"/>
              </w:rPr>
            </w:pPr>
            <w:r w:rsidRPr="0067507D">
              <w:t>LPG</w:t>
            </w:r>
          </w:p>
        </w:tc>
        <w:tc>
          <w:tcPr>
            <w:tcW w:w="2948" w:type="dxa"/>
          </w:tcPr>
          <w:p w14:paraId="5AD5FADE" w14:textId="77777777" w:rsidR="00B93BEE" w:rsidRPr="0067507D" w:rsidRDefault="00B93BEE" w:rsidP="003F07BB">
            <w:pPr>
              <w:pStyle w:val="Tabletext"/>
              <w:rPr>
                <w:highlight w:val="yellow"/>
              </w:rPr>
            </w:pPr>
            <w:r w:rsidRPr="0067507D">
              <w:t>liquefied petroleum gas</w:t>
            </w:r>
          </w:p>
        </w:tc>
      </w:tr>
      <w:tr w:rsidR="00B93BEE" w:rsidRPr="0067507D" w14:paraId="4A11843C" w14:textId="77777777" w:rsidTr="004D70AA">
        <w:trPr>
          <w:trHeight w:val="255"/>
        </w:trPr>
        <w:tc>
          <w:tcPr>
            <w:tcW w:w="990" w:type="dxa"/>
            <w:shd w:val="clear" w:color="auto" w:fill="E0E0E0"/>
            <w:noWrap/>
          </w:tcPr>
          <w:p w14:paraId="25B0F408" w14:textId="77777777" w:rsidR="00B93BEE" w:rsidRPr="0067507D" w:rsidRDefault="00B93BEE" w:rsidP="003F07BB">
            <w:pPr>
              <w:pStyle w:val="Tabletext"/>
              <w:rPr>
                <w:highlight w:val="yellow"/>
              </w:rPr>
            </w:pPr>
            <w:r w:rsidRPr="0067507D">
              <w:t>m</w:t>
            </w:r>
            <w:r w:rsidRPr="0067507D">
              <w:rPr>
                <w:vertAlign w:val="superscript"/>
              </w:rPr>
              <w:t>2</w:t>
            </w:r>
          </w:p>
        </w:tc>
        <w:tc>
          <w:tcPr>
            <w:tcW w:w="2948" w:type="dxa"/>
          </w:tcPr>
          <w:p w14:paraId="108E9C5E" w14:textId="77777777" w:rsidR="00B93BEE" w:rsidRPr="0067507D" w:rsidRDefault="00B93BEE" w:rsidP="003F07BB">
            <w:pPr>
              <w:pStyle w:val="Tabletext"/>
              <w:rPr>
                <w:highlight w:val="yellow"/>
              </w:rPr>
            </w:pPr>
            <w:r w:rsidRPr="0067507D">
              <w:t>metres squared</w:t>
            </w:r>
          </w:p>
        </w:tc>
      </w:tr>
      <w:tr w:rsidR="00B93BEE" w:rsidRPr="0067507D" w14:paraId="626A9F43" w14:textId="77777777" w:rsidTr="004D70AA">
        <w:trPr>
          <w:trHeight w:val="255"/>
        </w:trPr>
        <w:tc>
          <w:tcPr>
            <w:tcW w:w="990" w:type="dxa"/>
            <w:shd w:val="clear" w:color="auto" w:fill="E0E0E0"/>
            <w:noWrap/>
          </w:tcPr>
          <w:p w14:paraId="1D0AD395" w14:textId="77777777" w:rsidR="00B93BEE" w:rsidRPr="0067507D" w:rsidRDefault="00B93BEE" w:rsidP="003F07BB">
            <w:pPr>
              <w:pStyle w:val="Tabletext"/>
              <w:rPr>
                <w:highlight w:val="yellow"/>
              </w:rPr>
            </w:pPr>
            <w:r w:rsidRPr="0067507D">
              <w:t>MJ</w:t>
            </w:r>
          </w:p>
        </w:tc>
        <w:tc>
          <w:tcPr>
            <w:tcW w:w="2948" w:type="dxa"/>
          </w:tcPr>
          <w:p w14:paraId="4363B02E" w14:textId="77777777" w:rsidR="00B93BEE" w:rsidRPr="0067507D" w:rsidRDefault="00B93BEE" w:rsidP="003F07BB">
            <w:pPr>
              <w:pStyle w:val="Tabletext"/>
              <w:rPr>
                <w:highlight w:val="yellow"/>
              </w:rPr>
            </w:pPr>
            <w:r w:rsidRPr="0067507D">
              <w:t>megajoules</w:t>
            </w:r>
          </w:p>
        </w:tc>
      </w:tr>
      <w:tr w:rsidR="00B93BEE" w:rsidRPr="0067507D" w14:paraId="7407E2FD" w14:textId="77777777" w:rsidTr="004D70AA">
        <w:trPr>
          <w:trHeight w:val="255"/>
        </w:trPr>
        <w:tc>
          <w:tcPr>
            <w:tcW w:w="990" w:type="dxa"/>
            <w:shd w:val="clear" w:color="auto" w:fill="E0E0E0"/>
            <w:noWrap/>
          </w:tcPr>
          <w:p w14:paraId="2F6CC347" w14:textId="77777777" w:rsidR="00B93BEE" w:rsidRPr="0067507D" w:rsidRDefault="00B93BEE" w:rsidP="003F07BB">
            <w:pPr>
              <w:pStyle w:val="Tabletext"/>
              <w:rPr>
                <w:highlight w:val="yellow"/>
              </w:rPr>
            </w:pPr>
            <w:r w:rsidRPr="0067507D">
              <w:t>Ream</w:t>
            </w:r>
          </w:p>
        </w:tc>
        <w:tc>
          <w:tcPr>
            <w:tcW w:w="2948" w:type="dxa"/>
          </w:tcPr>
          <w:p w14:paraId="7A8C50E2" w14:textId="77777777" w:rsidR="00B93BEE" w:rsidRPr="0067507D" w:rsidRDefault="00B93BEE" w:rsidP="003F07BB">
            <w:pPr>
              <w:pStyle w:val="Tabletext"/>
              <w:rPr>
                <w:highlight w:val="yellow"/>
              </w:rPr>
            </w:pPr>
            <w:r w:rsidRPr="0067507D">
              <w:t>500 sheets of A4 paper</w:t>
            </w:r>
          </w:p>
        </w:tc>
      </w:tr>
      <w:tr w:rsidR="00B93BEE" w:rsidRPr="0067507D" w14:paraId="6CCB6473" w14:textId="77777777" w:rsidTr="004D70AA">
        <w:trPr>
          <w:trHeight w:val="255"/>
        </w:trPr>
        <w:tc>
          <w:tcPr>
            <w:tcW w:w="990" w:type="dxa"/>
            <w:shd w:val="clear" w:color="auto" w:fill="E0E0E0"/>
            <w:noWrap/>
          </w:tcPr>
          <w:p w14:paraId="6D9BEB89" w14:textId="77777777" w:rsidR="00B93BEE" w:rsidRPr="0067507D" w:rsidRDefault="00B93BEE" w:rsidP="003F07BB">
            <w:pPr>
              <w:pStyle w:val="Tabletext"/>
              <w:rPr>
                <w:highlight w:val="yellow"/>
              </w:rPr>
            </w:pPr>
            <w:r w:rsidRPr="0067507D">
              <w:t>t</w:t>
            </w:r>
            <w:r w:rsidRPr="0067507D">
              <w:rPr>
                <w:rFonts w:ascii="Calibri" w:hAnsi="Calibri" w:cs="Calibri"/>
              </w:rPr>
              <w:t> </w:t>
            </w:r>
            <w:r w:rsidRPr="0067507D">
              <w:t>CO</w:t>
            </w:r>
            <w:r w:rsidRPr="0067507D">
              <w:rPr>
                <w:vertAlign w:val="subscript"/>
              </w:rPr>
              <w:t>2</w:t>
            </w:r>
            <w:r w:rsidRPr="0067507D">
              <w:t>–e</w:t>
            </w:r>
          </w:p>
        </w:tc>
        <w:tc>
          <w:tcPr>
            <w:tcW w:w="2948" w:type="dxa"/>
          </w:tcPr>
          <w:p w14:paraId="11A7C8B4" w14:textId="77777777" w:rsidR="00B93BEE" w:rsidRPr="0067507D" w:rsidRDefault="00B93BEE" w:rsidP="003F07BB">
            <w:pPr>
              <w:pStyle w:val="Tabletext"/>
              <w:rPr>
                <w:highlight w:val="yellow"/>
              </w:rPr>
            </w:pPr>
            <w:r w:rsidRPr="0067507D">
              <w:t>tonnes of CO</w:t>
            </w:r>
            <w:r w:rsidRPr="0067507D">
              <w:rPr>
                <w:vertAlign w:val="subscript"/>
              </w:rPr>
              <w:t>2</w:t>
            </w:r>
            <w:r w:rsidRPr="0067507D">
              <w:t xml:space="preserve"> equivalent</w:t>
            </w:r>
          </w:p>
        </w:tc>
      </w:tr>
    </w:tbl>
    <w:p w14:paraId="51D97F6B" w14:textId="77777777" w:rsidR="00B93BEE" w:rsidRPr="0067507D" w:rsidRDefault="00B93BEE" w:rsidP="00174807">
      <w:pPr>
        <w:rPr>
          <w:rFonts w:cstheme="minorHAnsi"/>
          <w:highlight w:val="yellow"/>
        </w:rPr>
      </w:pPr>
    </w:p>
    <w:p w14:paraId="1FFA1E97" w14:textId="77777777" w:rsidR="00B93BEE" w:rsidRPr="0067507D" w:rsidRDefault="00B93BEE" w:rsidP="00174807">
      <w:pPr>
        <w:rPr>
          <w:rFonts w:cstheme="minorHAnsi"/>
          <w:highlight w:val="yellow"/>
        </w:rPr>
        <w:sectPr w:rsidR="00B93BEE" w:rsidRPr="0067507D" w:rsidSect="00B93BEE">
          <w:type w:val="continuous"/>
          <w:pgSz w:w="11909" w:h="16834" w:code="9"/>
          <w:pgMar w:top="1729" w:right="1151" w:bottom="1151" w:left="1151" w:header="720" w:footer="289" w:gutter="0"/>
          <w:cols w:num="2" w:space="720"/>
          <w:noEndnote/>
        </w:sectPr>
      </w:pPr>
    </w:p>
    <w:p w14:paraId="59743DDA" w14:textId="77777777" w:rsidR="00B93BEE" w:rsidRPr="0067507D" w:rsidRDefault="00B93BEE" w:rsidP="00174807">
      <w:pPr>
        <w:pStyle w:val="Heading3"/>
      </w:pPr>
      <w:r w:rsidRPr="0067507D">
        <w:lastRenderedPageBreak/>
        <w:t>Greenhouse gas emissions</w:t>
      </w:r>
    </w:p>
    <w:p w14:paraId="5B75BA79" w14:textId="77777777" w:rsidR="00B93BEE" w:rsidRPr="0067507D" w:rsidRDefault="00B93BEE" w:rsidP="00174807">
      <w:pPr>
        <w:sectPr w:rsidR="00B93BEE" w:rsidRPr="0067507D" w:rsidSect="00B93BEE">
          <w:pgSz w:w="11909" w:h="16834" w:code="9"/>
          <w:pgMar w:top="1728" w:right="1152" w:bottom="1267" w:left="1152" w:header="720" w:footer="288" w:gutter="0"/>
          <w:cols w:num="2" w:space="720"/>
          <w:noEndnote/>
        </w:sectPr>
      </w:pPr>
    </w:p>
    <w:p w14:paraId="4E7F8B79" w14:textId="77777777" w:rsidR="00B93BEE" w:rsidRPr="0067507D" w:rsidRDefault="00B93BEE" w:rsidP="008F6654">
      <w:r w:rsidRPr="0067507D">
        <w:t xml:space="preserve">DTF reports its greenhouse gas emissions broken down into emissions ‘scopes’ consistent with national and international reporting standards. </w:t>
      </w:r>
    </w:p>
    <w:p w14:paraId="0E1680CB" w14:textId="77777777" w:rsidR="00B93BEE" w:rsidRPr="0067507D" w:rsidRDefault="00B93BEE" w:rsidP="008F6654">
      <w:pPr>
        <w:pStyle w:val="Bullet"/>
      </w:pPr>
      <w:r w:rsidRPr="0067507D">
        <w:t xml:space="preserve">Scope 1 emissions are from sources that DTF owns or controls, such as burning fossil fuels in vehicles or machinery. </w:t>
      </w:r>
    </w:p>
    <w:p w14:paraId="1057AB70" w14:textId="1CDEADC8" w:rsidR="00B93BEE" w:rsidRPr="0067507D" w:rsidRDefault="00B93BEE" w:rsidP="008F6654">
      <w:pPr>
        <w:pStyle w:val="Bullet"/>
      </w:pPr>
      <w:r w:rsidRPr="0067507D">
        <w:t>Scope 2 emissions are indirect emissions from the Department’s use of electricity from the grid, which still includes coal and gas</w:t>
      </w:r>
      <w:r w:rsidR="006A5485">
        <w:noBreakHyphen/>
      </w:r>
      <w:r w:rsidRPr="0067507D">
        <w:t xml:space="preserve">fired power generation. </w:t>
      </w:r>
    </w:p>
    <w:p w14:paraId="0E58AA4D" w14:textId="77777777" w:rsidR="00B93BEE" w:rsidRPr="0067507D" w:rsidRDefault="00B93BEE" w:rsidP="008F6654">
      <w:pPr>
        <w:pStyle w:val="Bullet"/>
        <w:rPr>
          <w:szCs w:val="17"/>
        </w:rPr>
      </w:pPr>
      <w:r w:rsidRPr="0067507D">
        <w:t xml:space="preserve">Scope 3 emissions are indirect emissions from sources </w:t>
      </w:r>
      <w:r w:rsidRPr="0067507D">
        <w:rPr>
          <w:szCs w:val="17"/>
        </w:rPr>
        <w:t>DTF does not control but can influence. DTF’s scope 3 reporting includes corporate air travel and waste disposal.</w:t>
      </w:r>
    </w:p>
    <w:p w14:paraId="7A8A11CD" w14:textId="747DC5F1" w:rsidR="00B93BEE" w:rsidRPr="0067507D" w:rsidRDefault="00B93BEE" w:rsidP="007C695E">
      <w:r w:rsidRPr="0067507D">
        <w:rPr>
          <w:highlight w:val="yellow"/>
        </w:rPr>
        <w:br w:type="column"/>
      </w:r>
      <w:r w:rsidRPr="0067507D">
        <w:t>DTF’s aggregate scope 1 and scope 2 greenhouse gas emissions have remained stable from 2023</w:t>
      </w:r>
      <w:r w:rsidR="006A5485">
        <w:noBreakHyphen/>
      </w:r>
      <w:r w:rsidRPr="0067507D">
        <w:t xml:space="preserve">2024. </w:t>
      </w:r>
    </w:p>
    <w:p w14:paraId="1DD9F0C4" w14:textId="0F807652" w:rsidR="00B93BEE" w:rsidRPr="0067507D" w:rsidRDefault="00B93BEE" w:rsidP="007C695E">
      <w:r w:rsidRPr="0067507D">
        <w:t>Emissions are forecast to decrease in 2025</w:t>
      </w:r>
      <w:r w:rsidR="006A5485">
        <w:noBreakHyphen/>
      </w:r>
      <w:r w:rsidRPr="0067507D">
        <w:t>26 with the State Electricity Commission (SEC) coming into effect on 1 July 2025. The SEC will transfer electricity accounts to green power, providing a shift to higher renewable energy sources and reducing Scope 2 emissions.</w:t>
      </w:r>
    </w:p>
    <w:p w14:paraId="4CF65C74" w14:textId="78D285CE" w:rsidR="00B93BEE" w:rsidRPr="0067507D" w:rsidRDefault="00B93BEE" w:rsidP="007C695E">
      <w:r w:rsidRPr="0067507D">
        <w:t>Total scope 3 emissions have increased, primarily due to increased passenger kilometres via commercial air travel.</w:t>
      </w:r>
    </w:p>
    <w:p w14:paraId="2245B266" w14:textId="2D68D939" w:rsidR="00B93BEE" w:rsidRPr="0067507D" w:rsidRDefault="00B93BEE" w:rsidP="007C695E">
      <w:r w:rsidRPr="0067507D">
        <w:t>Greenhouse gas emissions from corporate air travel were offset through the CTM Climate+ program until February 2025, when the program ended. This program was replaced by a new offset approach which enables DTF to select offset providers to align with its business objectives. This will allow DTF to backdate carbon offsets recorded between March and June 2025.</w:t>
      </w:r>
    </w:p>
    <w:p w14:paraId="66D9A7E1" w14:textId="77777777" w:rsidR="00B93BEE" w:rsidRPr="0067507D" w:rsidRDefault="00B93BEE" w:rsidP="007C695E">
      <w:pPr>
        <w:rPr>
          <w:highlight w:val="yellow"/>
        </w:rPr>
      </w:pPr>
    </w:p>
    <w:p w14:paraId="470A3EC0" w14:textId="77777777" w:rsidR="00B93BEE" w:rsidRPr="0067507D" w:rsidRDefault="00B93BEE" w:rsidP="00174807">
      <w:pPr>
        <w:rPr>
          <w:highlight w:val="yellow"/>
        </w:rPr>
        <w:sectPr w:rsidR="00B93BEE" w:rsidRPr="0067507D" w:rsidSect="00B93BEE">
          <w:type w:val="continuous"/>
          <w:pgSz w:w="11909" w:h="16834" w:code="9"/>
          <w:pgMar w:top="1728" w:right="1152" w:bottom="1267" w:left="1152" w:header="720" w:footer="288" w:gutter="0"/>
          <w:cols w:num="2" w:space="720"/>
          <w:noEndnote/>
        </w:sectPr>
      </w:pPr>
    </w:p>
    <w:p w14:paraId="6F1627AF" w14:textId="77777777" w:rsidR="00B93BEE" w:rsidRPr="0067507D" w:rsidRDefault="00B93BEE" w:rsidP="00174807">
      <w:pPr>
        <w:rPr>
          <w:highlight w:val="yellow"/>
        </w:rPr>
      </w:pPr>
    </w:p>
    <w:tbl>
      <w:tblPr>
        <w:tblStyle w:val="AnnualReporttexttable"/>
        <w:tblW w:w="9509" w:type="dxa"/>
        <w:tblLayout w:type="fixed"/>
        <w:tblLook w:val="02A0" w:firstRow="1" w:lastRow="0" w:firstColumn="1" w:lastColumn="0" w:noHBand="1" w:noVBand="0"/>
      </w:tblPr>
      <w:tblGrid>
        <w:gridCol w:w="5936"/>
        <w:gridCol w:w="1191"/>
        <w:gridCol w:w="1191"/>
        <w:gridCol w:w="1191"/>
      </w:tblGrid>
      <w:tr w:rsidR="00B93BEE" w:rsidRPr="0067507D" w14:paraId="4DE7575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6" w:type="dxa"/>
            <w:shd w:val="clear" w:color="auto" w:fill="auto"/>
          </w:tcPr>
          <w:p w14:paraId="3FFD5FE8" w14:textId="77777777" w:rsidR="00B93BEE" w:rsidRPr="0067507D" w:rsidRDefault="00B93BEE" w:rsidP="00D31217">
            <w:pPr>
              <w:pStyle w:val="Tabletextheadingleft"/>
              <w:rPr>
                <w:b w:val="0"/>
                <w:bCs/>
                <w:highlight w:val="yellow"/>
              </w:rPr>
            </w:pPr>
            <w:r w:rsidRPr="0067507D">
              <w:rPr>
                <w:b w:val="0"/>
                <w:bCs/>
              </w:rPr>
              <w:t>Indicator</w:t>
            </w:r>
          </w:p>
        </w:tc>
        <w:tc>
          <w:tcPr>
            <w:cnfStyle w:val="000010000000" w:firstRow="0" w:lastRow="0" w:firstColumn="0" w:lastColumn="0" w:oddVBand="1" w:evenVBand="0" w:oddHBand="0" w:evenHBand="0" w:firstRowFirstColumn="0" w:firstRowLastColumn="0" w:lastRowFirstColumn="0" w:lastRowLastColumn="0"/>
            <w:tcW w:w="1191" w:type="dxa"/>
            <w:shd w:val="clear" w:color="auto" w:fill="auto"/>
          </w:tcPr>
          <w:p w14:paraId="76552085" w14:textId="33CDC73B" w:rsidR="00B93BEE" w:rsidRPr="0067507D" w:rsidRDefault="00B93BEE" w:rsidP="00D31217">
            <w:pPr>
              <w:pStyle w:val="Tabletextheadingright"/>
              <w:rPr>
                <w:b w:val="0"/>
                <w:bCs/>
                <w:highlight w:val="yellow"/>
              </w:rPr>
            </w:pPr>
            <w:r w:rsidRPr="0067507D">
              <w:rPr>
                <w:b w:val="0"/>
                <w:bCs/>
              </w:rPr>
              <w:t>2024</w:t>
            </w:r>
            <w:r w:rsidR="006A5485">
              <w:rPr>
                <w:b w:val="0"/>
                <w:bCs/>
              </w:rPr>
              <w:noBreakHyphen/>
            </w:r>
            <w:r w:rsidRPr="0067507D">
              <w:rPr>
                <w:b w:val="0"/>
                <w:bCs/>
              </w:rPr>
              <w:t>25</w:t>
            </w:r>
          </w:p>
        </w:tc>
        <w:tc>
          <w:tcPr>
            <w:cnfStyle w:val="000001000000" w:firstRow="0" w:lastRow="0" w:firstColumn="0" w:lastColumn="0" w:oddVBand="0" w:evenVBand="1" w:oddHBand="0" w:evenHBand="0" w:firstRowFirstColumn="0" w:firstRowLastColumn="0" w:lastRowFirstColumn="0" w:lastRowLastColumn="0"/>
            <w:tcW w:w="1191" w:type="dxa"/>
            <w:shd w:val="clear" w:color="auto" w:fill="auto"/>
          </w:tcPr>
          <w:p w14:paraId="3ACD74F8" w14:textId="3C8CB1A9" w:rsidR="00B93BEE" w:rsidRPr="0067507D" w:rsidRDefault="00B93BEE" w:rsidP="00D31217">
            <w:pPr>
              <w:pStyle w:val="Tabletextheadingright"/>
              <w:rPr>
                <w:b w:val="0"/>
                <w:bCs/>
                <w:highlight w:val="yellow"/>
              </w:rPr>
            </w:pPr>
            <w:r w:rsidRPr="0067507D">
              <w:rPr>
                <w:b w:val="0"/>
                <w:bCs/>
              </w:rPr>
              <w:t>2023</w:t>
            </w:r>
            <w:r w:rsidR="006A5485">
              <w:rPr>
                <w:b w:val="0"/>
                <w:bCs/>
              </w:rPr>
              <w:noBreakHyphen/>
            </w:r>
            <w:r w:rsidRPr="0067507D">
              <w:rPr>
                <w:b w:val="0"/>
                <w:bCs/>
              </w:rPr>
              <w:t>24</w:t>
            </w:r>
          </w:p>
        </w:tc>
        <w:tc>
          <w:tcPr>
            <w:cnfStyle w:val="000010000000" w:firstRow="0" w:lastRow="0" w:firstColumn="0" w:lastColumn="0" w:oddVBand="1" w:evenVBand="0" w:oddHBand="0" w:evenHBand="0" w:firstRowFirstColumn="0" w:firstRowLastColumn="0" w:lastRowFirstColumn="0" w:lastRowLastColumn="0"/>
            <w:tcW w:w="1191" w:type="dxa"/>
            <w:shd w:val="clear" w:color="auto" w:fill="auto"/>
          </w:tcPr>
          <w:p w14:paraId="770D223C" w14:textId="1BA097A4" w:rsidR="00B93BEE" w:rsidRPr="0067507D" w:rsidRDefault="00B93BEE" w:rsidP="00D31217">
            <w:pPr>
              <w:pStyle w:val="Tabletextheadingright"/>
              <w:rPr>
                <w:b w:val="0"/>
                <w:bCs/>
                <w:highlight w:val="yellow"/>
              </w:rPr>
            </w:pPr>
            <w:r w:rsidRPr="0067507D">
              <w:rPr>
                <w:b w:val="0"/>
                <w:bCs/>
              </w:rPr>
              <w:t>2022</w:t>
            </w:r>
            <w:r w:rsidR="006A5485">
              <w:rPr>
                <w:b w:val="0"/>
                <w:bCs/>
              </w:rPr>
              <w:noBreakHyphen/>
            </w:r>
            <w:r w:rsidRPr="0067507D">
              <w:rPr>
                <w:b w:val="0"/>
                <w:bCs/>
              </w:rPr>
              <w:t>23</w:t>
            </w:r>
          </w:p>
        </w:tc>
      </w:tr>
      <w:tr w:rsidR="00B93BEE" w:rsidRPr="0067507D" w14:paraId="32D1C196" w14:textId="77777777">
        <w:tc>
          <w:tcPr>
            <w:cnfStyle w:val="001000000000" w:firstRow="0" w:lastRow="0" w:firstColumn="1" w:lastColumn="0" w:oddVBand="0" w:evenVBand="0" w:oddHBand="0" w:evenHBand="0" w:firstRowFirstColumn="0" w:firstRowLastColumn="0" w:lastRowFirstColumn="0" w:lastRowLastColumn="0"/>
            <w:tcW w:w="5936" w:type="dxa"/>
          </w:tcPr>
          <w:p w14:paraId="3F0DEAFC" w14:textId="77777777" w:rsidR="00B93BEE" w:rsidRPr="0067507D" w:rsidRDefault="00B93BEE" w:rsidP="00D31217">
            <w:pPr>
              <w:pStyle w:val="Tabletextbold"/>
              <w:rPr>
                <w:highlight w:val="yellow"/>
              </w:rPr>
            </w:pPr>
            <w:r w:rsidRPr="0067507D">
              <w:t xml:space="preserve">Total scope 1 greenhouse gas emissions </w:t>
            </w:r>
            <w:r w:rsidRPr="0067507D">
              <w:rPr>
                <w:rFonts w:cstheme="minorHAnsi"/>
              </w:rPr>
              <w:t>(t</w:t>
            </w:r>
            <w:r w:rsidRPr="0067507D">
              <w:rPr>
                <w:rFonts w:ascii="Calibri" w:hAnsi="Calibri" w:cs="Calibri"/>
              </w:rPr>
              <w:t> </w:t>
            </w:r>
            <w:r w:rsidRPr="0067507D">
              <w:rPr>
                <w:rFonts w:cstheme="minorHAnsi"/>
              </w:rPr>
              <w:t>CO</w:t>
            </w:r>
            <w:r w:rsidRPr="0067507D">
              <w:rPr>
                <w:rFonts w:cstheme="minorHAnsi"/>
                <w:vertAlign w:val="subscript"/>
              </w:rPr>
              <w:t>2</w:t>
            </w:r>
            <w:r w:rsidRPr="0067507D">
              <w:rPr>
                <w:rFonts w:cstheme="minorHAnsi"/>
              </w:rPr>
              <w:noBreakHyphen/>
              <w:t xml:space="preserve">e) </w:t>
            </w:r>
            <w:r w:rsidRPr="0067507D">
              <w:rPr>
                <w:rFonts w:asciiTheme="minorHAnsi" w:hAnsiTheme="minorHAnsi" w:cstheme="minorHAnsi"/>
              </w:rPr>
              <w:t>[Indicator G1]</w:t>
            </w:r>
          </w:p>
        </w:tc>
        <w:tc>
          <w:tcPr>
            <w:cnfStyle w:val="000010000000" w:firstRow="0" w:lastRow="0" w:firstColumn="0" w:lastColumn="0" w:oddVBand="1" w:evenVBand="0" w:oddHBand="0" w:evenHBand="0" w:firstRowFirstColumn="0" w:firstRowLastColumn="0" w:lastRowFirstColumn="0" w:lastRowLastColumn="0"/>
            <w:tcW w:w="1191" w:type="dxa"/>
          </w:tcPr>
          <w:p w14:paraId="13FCAB9A" w14:textId="77777777" w:rsidR="00B93BEE" w:rsidRPr="0067507D" w:rsidRDefault="00B93BEE" w:rsidP="00D31217">
            <w:pPr>
              <w:pStyle w:val="Tabletextrightbold"/>
              <w:rPr>
                <w:highlight w:val="yellow"/>
              </w:rPr>
            </w:pPr>
            <w:r w:rsidRPr="0067507D">
              <w:t>210</w:t>
            </w:r>
          </w:p>
        </w:tc>
        <w:tc>
          <w:tcPr>
            <w:cnfStyle w:val="000001000000" w:firstRow="0" w:lastRow="0" w:firstColumn="0" w:lastColumn="0" w:oddVBand="0" w:evenVBand="1" w:oddHBand="0" w:evenHBand="0" w:firstRowFirstColumn="0" w:firstRowLastColumn="0" w:lastRowFirstColumn="0" w:lastRowLastColumn="0"/>
            <w:tcW w:w="1191" w:type="dxa"/>
          </w:tcPr>
          <w:p w14:paraId="5F4FF58E" w14:textId="77777777" w:rsidR="00B93BEE" w:rsidRPr="0067507D" w:rsidRDefault="00B93BEE" w:rsidP="00D31217">
            <w:pPr>
              <w:pStyle w:val="Tabletextrightbold"/>
              <w:rPr>
                <w:highlight w:val="yellow"/>
              </w:rPr>
            </w:pPr>
            <w:r w:rsidRPr="0067507D">
              <w:t>226</w:t>
            </w:r>
          </w:p>
        </w:tc>
        <w:tc>
          <w:tcPr>
            <w:cnfStyle w:val="000010000000" w:firstRow="0" w:lastRow="0" w:firstColumn="0" w:lastColumn="0" w:oddVBand="1" w:evenVBand="0" w:oddHBand="0" w:evenHBand="0" w:firstRowFirstColumn="0" w:firstRowLastColumn="0" w:lastRowFirstColumn="0" w:lastRowLastColumn="0"/>
            <w:tcW w:w="1191" w:type="dxa"/>
          </w:tcPr>
          <w:p w14:paraId="198C34C9" w14:textId="77777777" w:rsidR="00B93BEE" w:rsidRPr="0067507D" w:rsidRDefault="00B93BEE" w:rsidP="00D31217">
            <w:pPr>
              <w:pStyle w:val="Tabletextrightbold"/>
              <w:rPr>
                <w:highlight w:val="yellow"/>
              </w:rPr>
            </w:pPr>
            <w:r w:rsidRPr="0067507D">
              <w:t>130</w:t>
            </w:r>
          </w:p>
        </w:tc>
      </w:tr>
      <w:tr w:rsidR="00B93BEE" w:rsidRPr="0067507D" w14:paraId="0FF7DACF" w14:textId="77777777">
        <w:tc>
          <w:tcPr>
            <w:cnfStyle w:val="001000000000" w:firstRow="0" w:lastRow="0" w:firstColumn="1" w:lastColumn="0" w:oddVBand="0" w:evenVBand="0" w:oddHBand="0" w:evenHBand="0" w:firstRowFirstColumn="0" w:firstRowLastColumn="0" w:lastRowFirstColumn="0" w:lastRowLastColumn="0"/>
            <w:tcW w:w="5936" w:type="dxa"/>
          </w:tcPr>
          <w:p w14:paraId="33FC64AB" w14:textId="77777777" w:rsidR="00B93BEE" w:rsidRPr="0067507D" w:rsidRDefault="00B93BEE" w:rsidP="00D31217">
            <w:pPr>
              <w:pStyle w:val="Tabletextbold"/>
              <w:rPr>
                <w:highlight w:val="yellow"/>
              </w:rPr>
            </w:pPr>
            <w:r w:rsidRPr="0067507D">
              <w:t xml:space="preserve">Total scope 2 greenhouse gas emissions </w:t>
            </w:r>
            <w:r w:rsidRPr="0067507D">
              <w:rPr>
                <w:rFonts w:cstheme="minorHAnsi"/>
              </w:rPr>
              <w:t>(t</w:t>
            </w:r>
            <w:r w:rsidRPr="0067507D">
              <w:rPr>
                <w:rFonts w:ascii="Calibri" w:hAnsi="Calibri" w:cs="Calibri"/>
              </w:rPr>
              <w:t> </w:t>
            </w:r>
            <w:r w:rsidRPr="0067507D">
              <w:rPr>
                <w:rFonts w:cstheme="minorHAnsi"/>
              </w:rPr>
              <w:t>CO</w:t>
            </w:r>
            <w:r w:rsidRPr="0067507D">
              <w:rPr>
                <w:rFonts w:cstheme="minorHAnsi"/>
                <w:vertAlign w:val="subscript"/>
              </w:rPr>
              <w:t>2</w:t>
            </w:r>
            <w:r w:rsidRPr="0067507D">
              <w:rPr>
                <w:rFonts w:cstheme="minorHAnsi"/>
              </w:rPr>
              <w:noBreakHyphen/>
              <w:t xml:space="preserve">e) </w:t>
            </w:r>
            <w:r w:rsidRPr="0067507D">
              <w:rPr>
                <w:rFonts w:asciiTheme="minorHAnsi" w:hAnsiTheme="minorHAnsi" w:cstheme="minorHAnsi"/>
              </w:rPr>
              <w:t>[Indicator G2]</w:t>
            </w:r>
          </w:p>
        </w:tc>
        <w:tc>
          <w:tcPr>
            <w:cnfStyle w:val="000010000000" w:firstRow="0" w:lastRow="0" w:firstColumn="0" w:lastColumn="0" w:oddVBand="1" w:evenVBand="0" w:oddHBand="0" w:evenHBand="0" w:firstRowFirstColumn="0" w:firstRowLastColumn="0" w:lastRowFirstColumn="0" w:lastRowLastColumn="0"/>
            <w:tcW w:w="1191" w:type="dxa"/>
          </w:tcPr>
          <w:p w14:paraId="74AED167" w14:textId="77777777" w:rsidR="00B93BEE" w:rsidRPr="0067507D" w:rsidRDefault="00B93BEE" w:rsidP="00D31217">
            <w:pPr>
              <w:pStyle w:val="Tabletextrightbold"/>
              <w:rPr>
                <w:highlight w:val="yellow"/>
              </w:rPr>
            </w:pPr>
            <w:r w:rsidRPr="0067507D">
              <w:t>1 023</w:t>
            </w:r>
          </w:p>
        </w:tc>
        <w:tc>
          <w:tcPr>
            <w:cnfStyle w:val="000001000000" w:firstRow="0" w:lastRow="0" w:firstColumn="0" w:lastColumn="0" w:oddVBand="0" w:evenVBand="1" w:oddHBand="0" w:evenHBand="0" w:firstRowFirstColumn="0" w:firstRowLastColumn="0" w:lastRowFirstColumn="0" w:lastRowLastColumn="0"/>
            <w:tcW w:w="1191" w:type="dxa"/>
          </w:tcPr>
          <w:p w14:paraId="71A46216" w14:textId="77777777" w:rsidR="00B93BEE" w:rsidRPr="0067507D" w:rsidRDefault="00B93BEE" w:rsidP="00D31217">
            <w:pPr>
              <w:pStyle w:val="Tabletextrightbold"/>
              <w:rPr>
                <w:highlight w:val="yellow"/>
              </w:rPr>
            </w:pPr>
            <w:r w:rsidRPr="0067507D">
              <w:t>1 003</w:t>
            </w:r>
          </w:p>
        </w:tc>
        <w:tc>
          <w:tcPr>
            <w:cnfStyle w:val="000010000000" w:firstRow="0" w:lastRow="0" w:firstColumn="0" w:lastColumn="0" w:oddVBand="1" w:evenVBand="0" w:oddHBand="0" w:evenHBand="0" w:firstRowFirstColumn="0" w:firstRowLastColumn="0" w:lastRowFirstColumn="0" w:lastRowLastColumn="0"/>
            <w:tcW w:w="1191" w:type="dxa"/>
          </w:tcPr>
          <w:p w14:paraId="4A53E7FE" w14:textId="77777777" w:rsidR="00B93BEE" w:rsidRPr="0067507D" w:rsidRDefault="00B93BEE" w:rsidP="00D31217">
            <w:pPr>
              <w:pStyle w:val="Tabletextrightbold"/>
              <w:rPr>
                <w:highlight w:val="yellow"/>
              </w:rPr>
            </w:pPr>
            <w:r w:rsidRPr="0067507D">
              <w:t>1 277</w:t>
            </w:r>
          </w:p>
        </w:tc>
      </w:tr>
      <w:tr w:rsidR="00B93BEE" w:rsidRPr="0067507D" w14:paraId="5B5F69BE" w14:textId="77777777">
        <w:tc>
          <w:tcPr>
            <w:cnfStyle w:val="001000000000" w:firstRow="0" w:lastRow="0" w:firstColumn="1" w:lastColumn="0" w:oddVBand="0" w:evenVBand="0" w:oddHBand="0" w:evenHBand="0" w:firstRowFirstColumn="0" w:firstRowLastColumn="0" w:lastRowFirstColumn="0" w:lastRowLastColumn="0"/>
            <w:tcW w:w="5936" w:type="dxa"/>
          </w:tcPr>
          <w:p w14:paraId="32920161" w14:textId="77777777" w:rsidR="00B93BEE" w:rsidRPr="0067507D" w:rsidRDefault="00B93BEE" w:rsidP="00D31217">
            <w:pPr>
              <w:pStyle w:val="Tabletextbold"/>
              <w:rPr>
                <w:highlight w:val="yellow"/>
              </w:rPr>
            </w:pPr>
            <w:r w:rsidRPr="0067507D">
              <w:t xml:space="preserve">Total scope 3 greenhouse gas emissions from commercial air travel and waste disposal </w:t>
            </w:r>
            <w:r w:rsidRPr="0067507D">
              <w:rPr>
                <w:rFonts w:cstheme="minorHAnsi"/>
              </w:rPr>
              <w:t>(t</w:t>
            </w:r>
            <w:r w:rsidRPr="0067507D">
              <w:rPr>
                <w:rFonts w:ascii="Calibri" w:hAnsi="Calibri" w:cs="Calibri"/>
              </w:rPr>
              <w:t> </w:t>
            </w:r>
            <w:r w:rsidRPr="0067507D">
              <w:rPr>
                <w:rFonts w:cstheme="minorHAnsi"/>
              </w:rPr>
              <w:t>CO</w:t>
            </w:r>
            <w:r w:rsidRPr="0067507D">
              <w:rPr>
                <w:rFonts w:cstheme="minorHAnsi"/>
                <w:vertAlign w:val="subscript"/>
              </w:rPr>
              <w:t>2</w:t>
            </w:r>
            <w:r w:rsidRPr="0067507D">
              <w:rPr>
                <w:rFonts w:cstheme="minorHAnsi"/>
              </w:rPr>
              <w:noBreakHyphen/>
              <w:t xml:space="preserve">e) </w:t>
            </w:r>
            <w:r w:rsidRPr="0067507D">
              <w:rPr>
                <w:rFonts w:asciiTheme="minorHAnsi" w:hAnsiTheme="minorHAnsi" w:cstheme="minorHAnsi"/>
              </w:rPr>
              <w:t>[Indicator G3]</w:t>
            </w:r>
          </w:p>
        </w:tc>
        <w:tc>
          <w:tcPr>
            <w:cnfStyle w:val="000010000000" w:firstRow="0" w:lastRow="0" w:firstColumn="0" w:lastColumn="0" w:oddVBand="1" w:evenVBand="0" w:oddHBand="0" w:evenHBand="0" w:firstRowFirstColumn="0" w:firstRowLastColumn="0" w:lastRowFirstColumn="0" w:lastRowLastColumn="0"/>
            <w:tcW w:w="1191" w:type="dxa"/>
          </w:tcPr>
          <w:p w14:paraId="264BB956" w14:textId="77777777" w:rsidR="00B93BEE" w:rsidRPr="0067507D" w:rsidRDefault="00B93BEE" w:rsidP="00D31217">
            <w:pPr>
              <w:pStyle w:val="Tabletextrightbold"/>
              <w:rPr>
                <w:highlight w:val="yellow"/>
              </w:rPr>
            </w:pPr>
            <w:r w:rsidRPr="0067507D">
              <w:t>186</w:t>
            </w:r>
          </w:p>
        </w:tc>
        <w:tc>
          <w:tcPr>
            <w:cnfStyle w:val="000001000000" w:firstRow="0" w:lastRow="0" w:firstColumn="0" w:lastColumn="0" w:oddVBand="0" w:evenVBand="1" w:oddHBand="0" w:evenHBand="0" w:firstRowFirstColumn="0" w:firstRowLastColumn="0" w:lastRowFirstColumn="0" w:lastRowLastColumn="0"/>
            <w:tcW w:w="1191" w:type="dxa"/>
          </w:tcPr>
          <w:p w14:paraId="4211DC94" w14:textId="77777777" w:rsidR="00B93BEE" w:rsidRPr="0067507D" w:rsidRDefault="00B93BEE" w:rsidP="00D31217">
            <w:pPr>
              <w:pStyle w:val="Tabletextrightbold"/>
              <w:rPr>
                <w:highlight w:val="yellow"/>
              </w:rPr>
            </w:pPr>
            <w:r w:rsidRPr="0067507D">
              <w:t>96</w:t>
            </w:r>
          </w:p>
        </w:tc>
        <w:tc>
          <w:tcPr>
            <w:cnfStyle w:val="000010000000" w:firstRow="0" w:lastRow="0" w:firstColumn="0" w:lastColumn="0" w:oddVBand="1" w:evenVBand="0" w:oddHBand="0" w:evenHBand="0" w:firstRowFirstColumn="0" w:firstRowLastColumn="0" w:lastRowFirstColumn="0" w:lastRowLastColumn="0"/>
            <w:tcW w:w="1191" w:type="dxa"/>
          </w:tcPr>
          <w:p w14:paraId="4247E66B" w14:textId="77777777" w:rsidR="00B93BEE" w:rsidRPr="0067507D" w:rsidRDefault="00B93BEE" w:rsidP="00D31217">
            <w:pPr>
              <w:pStyle w:val="Tabletextrightbold"/>
              <w:rPr>
                <w:highlight w:val="yellow"/>
              </w:rPr>
            </w:pPr>
            <w:r w:rsidRPr="0067507D">
              <w:t>139</w:t>
            </w:r>
          </w:p>
        </w:tc>
      </w:tr>
    </w:tbl>
    <w:p w14:paraId="766873D0" w14:textId="77777777" w:rsidR="00B93BEE" w:rsidRPr="0067507D" w:rsidRDefault="00B93BEE" w:rsidP="00174807">
      <w:pPr>
        <w:rPr>
          <w:highlight w:val="yellow"/>
        </w:rPr>
      </w:pPr>
    </w:p>
    <w:p w14:paraId="202FF1F1" w14:textId="77777777" w:rsidR="00B93BEE" w:rsidRPr="0067507D" w:rsidRDefault="00B93BEE" w:rsidP="00174807">
      <w:pPr>
        <w:rPr>
          <w:highlight w:val="yellow"/>
        </w:rPr>
        <w:sectPr w:rsidR="00B93BEE" w:rsidRPr="0067507D" w:rsidSect="00B93BEE">
          <w:type w:val="continuous"/>
          <w:pgSz w:w="11909" w:h="16834" w:code="9"/>
          <w:pgMar w:top="1728" w:right="1152" w:bottom="1267" w:left="1152" w:header="720" w:footer="288" w:gutter="0"/>
          <w:cols w:space="720"/>
          <w:noEndnote/>
        </w:sectPr>
      </w:pPr>
    </w:p>
    <w:p w14:paraId="6A617C4C" w14:textId="77777777" w:rsidR="00B93BEE" w:rsidRPr="0067507D" w:rsidRDefault="00B93BEE" w:rsidP="00174807">
      <w:pPr>
        <w:pStyle w:val="Heading3"/>
      </w:pPr>
      <w:r w:rsidRPr="0067507D">
        <w:lastRenderedPageBreak/>
        <w:t>Electricity production and consumption</w:t>
      </w:r>
    </w:p>
    <w:p w14:paraId="38EA4FF8" w14:textId="77777777" w:rsidR="00B93BEE" w:rsidRPr="0067507D" w:rsidRDefault="00B93BEE" w:rsidP="00174807">
      <w:pPr>
        <w:sectPr w:rsidR="00B93BEE" w:rsidRPr="0067507D" w:rsidSect="00B93BEE">
          <w:pgSz w:w="11909" w:h="16834" w:code="9"/>
          <w:pgMar w:top="1728" w:right="1152" w:bottom="1267" w:left="1152" w:header="720" w:footer="288" w:gutter="0"/>
          <w:cols w:num="2" w:space="720"/>
          <w:noEndnote/>
        </w:sectPr>
      </w:pPr>
    </w:p>
    <w:p w14:paraId="100AA733" w14:textId="77777777" w:rsidR="00B93BEE" w:rsidRPr="0067507D" w:rsidRDefault="00B93BEE" w:rsidP="009C0535">
      <w:pPr>
        <w:rPr>
          <w:rFonts w:ascii="VIC" w:eastAsia="MS Mincho" w:hAnsi="VIC" w:cs="Arial"/>
          <w:szCs w:val="17"/>
          <w:lang w:eastAsia="en-US"/>
        </w:rPr>
      </w:pPr>
      <w:r w:rsidRPr="0067507D">
        <w:rPr>
          <w:rFonts w:ascii="VIC" w:eastAsia="MS Mincho" w:hAnsi="VIC" w:cs="Arial"/>
          <w:szCs w:val="17"/>
          <w:lang w:eastAsia="en-US"/>
        </w:rPr>
        <w:t>DTF’s electricity consumption reporting covers tenancies at the following sites:</w:t>
      </w:r>
    </w:p>
    <w:p w14:paraId="03BD1BA9" w14:textId="77777777" w:rsidR="00B93BEE" w:rsidRPr="0067507D" w:rsidRDefault="00B93BEE" w:rsidP="009C0535">
      <w:pPr>
        <w:pStyle w:val="Bullet"/>
        <w:numPr>
          <w:ilvl w:val="0"/>
          <w:numId w:val="40"/>
        </w:numPr>
        <w:rPr>
          <w:rFonts w:ascii="VIC" w:hAnsi="VIC"/>
          <w:szCs w:val="17"/>
        </w:rPr>
      </w:pPr>
      <w:r w:rsidRPr="0067507D">
        <w:rPr>
          <w:rFonts w:ascii="VIC" w:hAnsi="VIC"/>
          <w:szCs w:val="17"/>
        </w:rPr>
        <w:t>1 Treasury Place, East Melbourne</w:t>
      </w:r>
    </w:p>
    <w:p w14:paraId="08DAC47E" w14:textId="77777777" w:rsidR="00B93BEE" w:rsidRPr="0067507D" w:rsidRDefault="00B93BEE" w:rsidP="009C0535">
      <w:pPr>
        <w:pStyle w:val="Bullet"/>
        <w:numPr>
          <w:ilvl w:val="0"/>
          <w:numId w:val="40"/>
        </w:numPr>
        <w:rPr>
          <w:rFonts w:ascii="VIC" w:hAnsi="VIC"/>
          <w:szCs w:val="17"/>
        </w:rPr>
      </w:pPr>
      <w:r w:rsidRPr="0067507D">
        <w:rPr>
          <w:rFonts w:ascii="VIC" w:hAnsi="VIC"/>
          <w:szCs w:val="17"/>
        </w:rPr>
        <w:t xml:space="preserve">1 Macarthur Street, East Melbourne </w:t>
      </w:r>
    </w:p>
    <w:p w14:paraId="4BB0BBB0" w14:textId="77777777" w:rsidR="00B93BEE" w:rsidRPr="0067507D" w:rsidRDefault="00B93BEE" w:rsidP="009C0535">
      <w:pPr>
        <w:pStyle w:val="Bullet"/>
        <w:numPr>
          <w:ilvl w:val="0"/>
          <w:numId w:val="40"/>
        </w:numPr>
        <w:rPr>
          <w:rFonts w:ascii="VIC" w:hAnsi="VIC"/>
          <w:szCs w:val="17"/>
        </w:rPr>
      </w:pPr>
      <w:r w:rsidRPr="0067507D">
        <w:rPr>
          <w:rFonts w:ascii="VIC" w:hAnsi="VIC"/>
          <w:szCs w:val="17"/>
        </w:rPr>
        <w:t>1 Spring Street, Melbourne</w:t>
      </w:r>
    </w:p>
    <w:p w14:paraId="561D2554" w14:textId="43C05BFB" w:rsidR="00B93BEE" w:rsidRPr="0067507D" w:rsidRDefault="00B93BEE" w:rsidP="009C0535">
      <w:pPr>
        <w:rPr>
          <w:szCs w:val="17"/>
          <w:highlight w:val="yellow"/>
        </w:rPr>
      </w:pPr>
      <w:r w:rsidRPr="0067507D">
        <w:rPr>
          <w:szCs w:val="17"/>
        </w:rPr>
        <w:t>The total electricity consumption for DTF over the 2024</w:t>
      </w:r>
      <w:r w:rsidRPr="0067507D">
        <w:rPr>
          <w:szCs w:val="17"/>
        </w:rPr>
        <w:noBreakHyphen/>
        <w:t>25 reporting period remains stable at 1</w:t>
      </w:r>
      <w:r w:rsidR="00E937E7">
        <w:rPr>
          <w:rFonts w:ascii="Calibri" w:hAnsi="Calibri" w:cs="Calibri"/>
          <w:szCs w:val="17"/>
        </w:rPr>
        <w:t> </w:t>
      </w:r>
      <w:r w:rsidRPr="0067507D">
        <w:rPr>
          <w:szCs w:val="17"/>
        </w:rPr>
        <w:t>549 megawatt hours (MWh).</w:t>
      </w:r>
    </w:p>
    <w:p w14:paraId="372DF1EA" w14:textId="77777777" w:rsidR="00B93BEE" w:rsidRPr="0067507D" w:rsidRDefault="00B93BEE" w:rsidP="00174807">
      <w:pPr>
        <w:rPr>
          <w:szCs w:val="17"/>
        </w:rPr>
      </w:pPr>
      <w:r w:rsidRPr="0067507D">
        <w:rPr>
          <w:szCs w:val="17"/>
        </w:rPr>
        <w:t>DTF exclusively leases offices with electricity, gas and water as the sole energy sources, without ownership or access to any other energy sources.</w:t>
      </w:r>
    </w:p>
    <w:p w14:paraId="78A67525" w14:textId="77777777" w:rsidR="00B93BEE" w:rsidRPr="0067507D" w:rsidRDefault="00B93BEE" w:rsidP="00174807">
      <w:pPr>
        <w:rPr>
          <w:highlight w:val="yellow"/>
        </w:rPr>
        <w:sectPr w:rsidR="00B93BEE" w:rsidRPr="0067507D" w:rsidSect="00B93BEE">
          <w:type w:val="continuous"/>
          <w:pgSz w:w="11909" w:h="16834" w:code="9"/>
          <w:pgMar w:top="1728" w:right="1152" w:bottom="1267" w:left="1152" w:header="720" w:footer="288" w:gutter="0"/>
          <w:cols w:num="2" w:space="720"/>
          <w:noEndnote/>
        </w:sectPr>
      </w:pPr>
    </w:p>
    <w:p w14:paraId="24E91629" w14:textId="77777777" w:rsidR="00B93BEE" w:rsidRPr="0067507D" w:rsidRDefault="00B93BEE" w:rsidP="00174807">
      <w:pPr>
        <w:rPr>
          <w:highlight w:val="yellow"/>
        </w:rPr>
      </w:pPr>
    </w:p>
    <w:tbl>
      <w:tblPr>
        <w:tblStyle w:val="AnnualReporttexttable"/>
        <w:tblW w:w="9036" w:type="dxa"/>
        <w:tblLayout w:type="fixed"/>
        <w:tblCellMar>
          <w:left w:w="86" w:type="dxa"/>
          <w:right w:w="86" w:type="dxa"/>
        </w:tblCellMar>
        <w:tblLook w:val="02A0" w:firstRow="1" w:lastRow="0" w:firstColumn="1" w:lastColumn="0" w:noHBand="1" w:noVBand="0"/>
      </w:tblPr>
      <w:tblGrid>
        <w:gridCol w:w="5499"/>
        <w:gridCol w:w="1155"/>
        <w:gridCol w:w="1155"/>
        <w:gridCol w:w="1227"/>
      </w:tblGrid>
      <w:tr w:rsidR="00B93BEE" w:rsidRPr="0067507D" w14:paraId="2388B59E" w14:textId="77777777" w:rsidTr="00094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9" w:type="dxa"/>
            <w:shd w:val="clear" w:color="auto" w:fill="auto"/>
          </w:tcPr>
          <w:p w14:paraId="1D03F757" w14:textId="77777777" w:rsidR="00B93BEE" w:rsidRPr="0067507D" w:rsidRDefault="00B93BEE" w:rsidP="00F34DB0">
            <w:pPr>
              <w:pStyle w:val="Tabletextheadingleft"/>
              <w:rPr>
                <w:b w:val="0"/>
                <w:highlight w:val="yellow"/>
              </w:rPr>
            </w:pPr>
            <w:r w:rsidRPr="0067507D">
              <w:rPr>
                <w:b w:val="0"/>
              </w:rPr>
              <w:t>Indicator</w:t>
            </w:r>
          </w:p>
        </w:tc>
        <w:tc>
          <w:tcPr>
            <w:cnfStyle w:val="000010000000" w:firstRow="0" w:lastRow="0" w:firstColumn="0" w:lastColumn="0" w:oddVBand="1" w:evenVBand="0" w:oddHBand="0" w:evenHBand="0" w:firstRowFirstColumn="0" w:firstRowLastColumn="0" w:lastRowFirstColumn="0" w:lastRowLastColumn="0"/>
            <w:tcW w:w="1155" w:type="dxa"/>
            <w:shd w:val="clear" w:color="auto" w:fill="auto"/>
          </w:tcPr>
          <w:p w14:paraId="3C349348" w14:textId="6C5A5949" w:rsidR="00B93BEE" w:rsidRPr="0067507D" w:rsidRDefault="00B93BEE" w:rsidP="00F34DB0">
            <w:pPr>
              <w:pStyle w:val="Tabletextheadingright"/>
              <w:rPr>
                <w:b w:val="0"/>
                <w:highlight w:val="yellow"/>
              </w:rPr>
            </w:pPr>
            <w:r w:rsidRPr="0067507D">
              <w:rPr>
                <w:b w:val="0"/>
              </w:rPr>
              <w:t>2024</w:t>
            </w:r>
            <w:r w:rsidR="006A5485">
              <w:rPr>
                <w:b w:val="0"/>
              </w:rPr>
              <w:noBreakHyphen/>
            </w:r>
            <w:r w:rsidRPr="0067507D">
              <w:rPr>
                <w:b w:val="0"/>
              </w:rPr>
              <w:t xml:space="preserve">25 </w:t>
            </w:r>
            <w:r w:rsidRPr="0067507D">
              <w:rPr>
                <w:b w:val="0"/>
                <w:vertAlign w:val="superscript"/>
              </w:rPr>
              <w:t>(a)</w:t>
            </w:r>
          </w:p>
        </w:tc>
        <w:tc>
          <w:tcPr>
            <w:cnfStyle w:val="000001000000" w:firstRow="0" w:lastRow="0" w:firstColumn="0" w:lastColumn="0" w:oddVBand="0" w:evenVBand="1" w:oddHBand="0" w:evenHBand="0" w:firstRowFirstColumn="0" w:firstRowLastColumn="0" w:lastRowFirstColumn="0" w:lastRowLastColumn="0"/>
            <w:tcW w:w="1155" w:type="dxa"/>
            <w:shd w:val="clear" w:color="auto" w:fill="auto"/>
          </w:tcPr>
          <w:p w14:paraId="4803005B" w14:textId="2E59195E" w:rsidR="00B93BEE" w:rsidRPr="0067507D" w:rsidRDefault="00B93BEE" w:rsidP="00F34DB0">
            <w:pPr>
              <w:pStyle w:val="Tabletextheadingright"/>
              <w:rPr>
                <w:b w:val="0"/>
                <w:highlight w:val="yellow"/>
              </w:rPr>
            </w:pPr>
            <w:r w:rsidRPr="0067507D">
              <w:rPr>
                <w:b w:val="0"/>
              </w:rPr>
              <w:t>2023</w:t>
            </w:r>
            <w:r w:rsidR="006A5485">
              <w:rPr>
                <w:b w:val="0"/>
              </w:rPr>
              <w:noBreakHyphen/>
            </w:r>
            <w:r w:rsidRPr="0067507D">
              <w:rPr>
                <w:b w:val="0"/>
              </w:rPr>
              <w:t>24</w:t>
            </w:r>
          </w:p>
        </w:tc>
        <w:tc>
          <w:tcPr>
            <w:cnfStyle w:val="000010000000" w:firstRow="0" w:lastRow="0" w:firstColumn="0" w:lastColumn="0" w:oddVBand="1" w:evenVBand="0" w:oddHBand="0" w:evenHBand="0" w:firstRowFirstColumn="0" w:firstRowLastColumn="0" w:lastRowFirstColumn="0" w:lastRowLastColumn="0"/>
            <w:tcW w:w="1227" w:type="dxa"/>
            <w:shd w:val="clear" w:color="auto" w:fill="auto"/>
          </w:tcPr>
          <w:p w14:paraId="36317CAC" w14:textId="45FECE29" w:rsidR="00B93BEE" w:rsidRPr="0067507D" w:rsidRDefault="00B93BEE" w:rsidP="00F34DB0">
            <w:pPr>
              <w:pStyle w:val="Tabletextheadingright"/>
              <w:rPr>
                <w:b w:val="0"/>
                <w:highlight w:val="yellow"/>
              </w:rPr>
            </w:pPr>
            <w:r w:rsidRPr="0067507D">
              <w:rPr>
                <w:b w:val="0"/>
              </w:rPr>
              <w:t>2022</w:t>
            </w:r>
            <w:r w:rsidR="006A5485">
              <w:rPr>
                <w:b w:val="0"/>
              </w:rPr>
              <w:noBreakHyphen/>
            </w:r>
            <w:r w:rsidRPr="0067507D">
              <w:rPr>
                <w:b w:val="0"/>
              </w:rPr>
              <w:t>23</w:t>
            </w:r>
          </w:p>
        </w:tc>
      </w:tr>
      <w:tr w:rsidR="00B93BEE" w:rsidRPr="0067507D" w14:paraId="6662DA3E" w14:textId="77777777" w:rsidTr="00894295">
        <w:tc>
          <w:tcPr>
            <w:cnfStyle w:val="001000000000" w:firstRow="0" w:lastRow="0" w:firstColumn="1" w:lastColumn="0" w:oddVBand="0" w:evenVBand="0" w:oddHBand="0" w:evenHBand="0" w:firstRowFirstColumn="0" w:firstRowLastColumn="0" w:lastRowFirstColumn="0" w:lastRowLastColumn="0"/>
            <w:tcW w:w="5499" w:type="dxa"/>
          </w:tcPr>
          <w:p w14:paraId="4EAC2DCA" w14:textId="77777777" w:rsidR="00B93BEE" w:rsidRPr="0067507D" w:rsidRDefault="00B93BEE" w:rsidP="00F34DB0">
            <w:pPr>
              <w:pStyle w:val="Tabletextbold"/>
              <w:rPr>
                <w:highlight w:val="yellow"/>
              </w:rPr>
            </w:pPr>
            <w:r w:rsidRPr="0067507D">
              <w:t xml:space="preserve">Total electricity consumption (MWh) </w:t>
            </w:r>
            <w:r w:rsidRPr="0067507D">
              <w:rPr>
                <w:rFonts w:asciiTheme="minorHAnsi" w:hAnsiTheme="minorHAnsi"/>
              </w:rPr>
              <w:t>[Indicator EL1]</w:t>
            </w:r>
          </w:p>
        </w:tc>
        <w:tc>
          <w:tcPr>
            <w:cnfStyle w:val="000010000000" w:firstRow="0" w:lastRow="0" w:firstColumn="0" w:lastColumn="0" w:oddVBand="1" w:evenVBand="0" w:oddHBand="0" w:evenHBand="0" w:firstRowFirstColumn="0" w:firstRowLastColumn="0" w:lastRowFirstColumn="0" w:lastRowLastColumn="0"/>
            <w:tcW w:w="1155" w:type="dxa"/>
          </w:tcPr>
          <w:p w14:paraId="3E656B7C" w14:textId="77777777" w:rsidR="00B93BEE" w:rsidRPr="0067507D" w:rsidRDefault="00B93BEE" w:rsidP="00F34DB0">
            <w:pPr>
              <w:pStyle w:val="Tabletextrightbold"/>
              <w:rPr>
                <w:highlight w:val="yellow"/>
              </w:rPr>
            </w:pPr>
            <w:r w:rsidRPr="0067507D">
              <w:t>1 549</w:t>
            </w:r>
          </w:p>
        </w:tc>
        <w:tc>
          <w:tcPr>
            <w:cnfStyle w:val="000001000000" w:firstRow="0" w:lastRow="0" w:firstColumn="0" w:lastColumn="0" w:oddVBand="0" w:evenVBand="1" w:oddHBand="0" w:evenHBand="0" w:firstRowFirstColumn="0" w:firstRowLastColumn="0" w:lastRowFirstColumn="0" w:lastRowLastColumn="0"/>
            <w:tcW w:w="1155" w:type="dxa"/>
          </w:tcPr>
          <w:p w14:paraId="53D94A5D" w14:textId="77777777" w:rsidR="00B93BEE" w:rsidRPr="0067507D" w:rsidRDefault="00B93BEE" w:rsidP="00F34DB0">
            <w:pPr>
              <w:pStyle w:val="Tabletextrightbold"/>
              <w:rPr>
                <w:highlight w:val="yellow"/>
              </w:rPr>
            </w:pPr>
            <w:r w:rsidRPr="0067507D">
              <w:t>1 527</w:t>
            </w:r>
          </w:p>
        </w:tc>
        <w:tc>
          <w:tcPr>
            <w:cnfStyle w:val="000010000000" w:firstRow="0" w:lastRow="0" w:firstColumn="0" w:lastColumn="0" w:oddVBand="1" w:evenVBand="0" w:oddHBand="0" w:evenHBand="0" w:firstRowFirstColumn="0" w:firstRowLastColumn="0" w:lastRowFirstColumn="0" w:lastRowLastColumn="0"/>
            <w:tcW w:w="1227" w:type="dxa"/>
            <w:vAlign w:val="center"/>
          </w:tcPr>
          <w:p w14:paraId="5206B537" w14:textId="77777777" w:rsidR="00B93BEE" w:rsidRPr="0067507D" w:rsidRDefault="00B93BEE" w:rsidP="00F34DB0">
            <w:pPr>
              <w:pStyle w:val="Tabletextrightbold"/>
              <w:rPr>
                <w:highlight w:val="yellow"/>
              </w:rPr>
            </w:pPr>
            <w:r w:rsidRPr="0067507D">
              <w:t>1 692</w:t>
            </w:r>
          </w:p>
        </w:tc>
      </w:tr>
      <w:tr w:rsidR="00B93BEE" w:rsidRPr="0067507D" w14:paraId="4E6BDEA4" w14:textId="77777777" w:rsidTr="00894295">
        <w:tc>
          <w:tcPr>
            <w:cnfStyle w:val="001000000000" w:firstRow="0" w:lastRow="0" w:firstColumn="1" w:lastColumn="0" w:oddVBand="0" w:evenVBand="0" w:oddHBand="0" w:evenHBand="0" w:firstRowFirstColumn="0" w:firstRowLastColumn="0" w:lastRowFirstColumn="0" w:lastRowLastColumn="0"/>
            <w:tcW w:w="5499" w:type="dxa"/>
          </w:tcPr>
          <w:p w14:paraId="795B5F80" w14:textId="77777777" w:rsidR="00B93BEE" w:rsidRPr="0067507D" w:rsidRDefault="00B93BEE" w:rsidP="00F34DB0">
            <w:pPr>
              <w:pStyle w:val="Tabletext"/>
              <w:rPr>
                <w:highlight w:val="yellow"/>
              </w:rPr>
            </w:pPr>
            <w:r w:rsidRPr="0067507D">
              <w:t>Purchased electricity – Consolidated</w:t>
            </w:r>
          </w:p>
        </w:tc>
        <w:tc>
          <w:tcPr>
            <w:cnfStyle w:val="000010000000" w:firstRow="0" w:lastRow="0" w:firstColumn="0" w:lastColumn="0" w:oddVBand="1" w:evenVBand="0" w:oddHBand="0" w:evenHBand="0" w:firstRowFirstColumn="0" w:firstRowLastColumn="0" w:lastRowFirstColumn="0" w:lastRowLastColumn="0"/>
            <w:tcW w:w="1155" w:type="dxa"/>
          </w:tcPr>
          <w:p w14:paraId="416BAFAE" w14:textId="77777777" w:rsidR="00B93BEE" w:rsidRPr="0067507D" w:rsidRDefault="00B93BEE" w:rsidP="00F34DB0">
            <w:pPr>
              <w:pStyle w:val="Tabletextright"/>
              <w:rPr>
                <w:highlight w:val="yellow"/>
              </w:rPr>
            </w:pPr>
            <w:r w:rsidRPr="0067507D">
              <w:t>1 549</w:t>
            </w:r>
          </w:p>
        </w:tc>
        <w:tc>
          <w:tcPr>
            <w:cnfStyle w:val="000001000000" w:firstRow="0" w:lastRow="0" w:firstColumn="0" w:lastColumn="0" w:oddVBand="0" w:evenVBand="1" w:oddHBand="0" w:evenHBand="0" w:firstRowFirstColumn="0" w:firstRowLastColumn="0" w:lastRowFirstColumn="0" w:lastRowLastColumn="0"/>
            <w:tcW w:w="1155" w:type="dxa"/>
          </w:tcPr>
          <w:p w14:paraId="5B3F7B8E" w14:textId="77777777" w:rsidR="00B93BEE" w:rsidRPr="0067507D" w:rsidRDefault="00B93BEE" w:rsidP="00F34DB0">
            <w:pPr>
              <w:pStyle w:val="Tabletextright"/>
              <w:rPr>
                <w:highlight w:val="yellow"/>
              </w:rPr>
            </w:pPr>
            <w:r w:rsidRPr="0067507D">
              <w:t>1 527</w:t>
            </w:r>
          </w:p>
        </w:tc>
        <w:tc>
          <w:tcPr>
            <w:cnfStyle w:val="000010000000" w:firstRow="0" w:lastRow="0" w:firstColumn="0" w:lastColumn="0" w:oddVBand="1" w:evenVBand="0" w:oddHBand="0" w:evenHBand="0" w:firstRowFirstColumn="0" w:firstRowLastColumn="0" w:lastRowFirstColumn="0" w:lastRowLastColumn="0"/>
            <w:tcW w:w="1227" w:type="dxa"/>
            <w:vAlign w:val="center"/>
          </w:tcPr>
          <w:p w14:paraId="2D73CC28" w14:textId="77777777" w:rsidR="00B93BEE" w:rsidRPr="0067507D" w:rsidRDefault="00B93BEE" w:rsidP="00F34DB0">
            <w:pPr>
              <w:pStyle w:val="Tabletextright"/>
              <w:rPr>
                <w:highlight w:val="yellow"/>
              </w:rPr>
            </w:pPr>
            <w:r w:rsidRPr="0067507D">
              <w:t>1 692</w:t>
            </w:r>
          </w:p>
        </w:tc>
      </w:tr>
      <w:tr w:rsidR="00B93BEE" w:rsidRPr="0067507D" w14:paraId="727D2A15" w14:textId="77777777" w:rsidTr="00894295">
        <w:tc>
          <w:tcPr>
            <w:cnfStyle w:val="001000000000" w:firstRow="0" w:lastRow="0" w:firstColumn="1" w:lastColumn="0" w:oddVBand="0" w:evenVBand="0" w:oddHBand="0" w:evenHBand="0" w:firstRowFirstColumn="0" w:firstRowLastColumn="0" w:lastRowFirstColumn="0" w:lastRowLastColumn="0"/>
            <w:tcW w:w="5499" w:type="dxa"/>
          </w:tcPr>
          <w:p w14:paraId="1B4917B1" w14:textId="77777777" w:rsidR="00B93BEE" w:rsidRPr="0067507D" w:rsidRDefault="00B93BEE" w:rsidP="00F34DB0">
            <w:pPr>
              <w:pStyle w:val="Tabletextindent"/>
              <w:rPr>
                <w:highlight w:val="yellow"/>
              </w:rPr>
            </w:pPr>
            <w:r w:rsidRPr="0067507D">
              <w:t xml:space="preserve">Department Offices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1155" w:type="dxa"/>
          </w:tcPr>
          <w:p w14:paraId="5E1E9A2B" w14:textId="77777777" w:rsidR="00B93BEE" w:rsidRPr="0067507D" w:rsidRDefault="00B93BEE" w:rsidP="00F34DB0">
            <w:pPr>
              <w:pStyle w:val="Tabletextright"/>
              <w:rPr>
                <w:highlight w:val="yellow"/>
              </w:rPr>
            </w:pPr>
            <w:r w:rsidRPr="0067507D">
              <w:t>1 549</w:t>
            </w:r>
          </w:p>
        </w:tc>
        <w:tc>
          <w:tcPr>
            <w:cnfStyle w:val="000001000000" w:firstRow="0" w:lastRow="0" w:firstColumn="0" w:lastColumn="0" w:oddVBand="0" w:evenVBand="1" w:oddHBand="0" w:evenHBand="0" w:firstRowFirstColumn="0" w:firstRowLastColumn="0" w:lastRowFirstColumn="0" w:lastRowLastColumn="0"/>
            <w:tcW w:w="1155" w:type="dxa"/>
          </w:tcPr>
          <w:p w14:paraId="570D5EA7" w14:textId="77777777" w:rsidR="00B93BEE" w:rsidRPr="0067507D" w:rsidRDefault="00B93BEE" w:rsidP="00F34DB0">
            <w:pPr>
              <w:pStyle w:val="Tabletextright"/>
              <w:rPr>
                <w:highlight w:val="yellow"/>
              </w:rPr>
            </w:pPr>
            <w:r w:rsidRPr="0067507D">
              <w:t>1 527</w:t>
            </w:r>
          </w:p>
        </w:tc>
        <w:tc>
          <w:tcPr>
            <w:cnfStyle w:val="000010000000" w:firstRow="0" w:lastRow="0" w:firstColumn="0" w:lastColumn="0" w:oddVBand="1" w:evenVBand="0" w:oddHBand="0" w:evenHBand="0" w:firstRowFirstColumn="0" w:firstRowLastColumn="0" w:lastRowFirstColumn="0" w:lastRowLastColumn="0"/>
            <w:tcW w:w="1227" w:type="dxa"/>
            <w:vAlign w:val="center"/>
          </w:tcPr>
          <w:p w14:paraId="36F51040" w14:textId="77777777" w:rsidR="00B93BEE" w:rsidRPr="0067507D" w:rsidRDefault="00B93BEE" w:rsidP="00F34DB0">
            <w:pPr>
              <w:pStyle w:val="Tabletextright"/>
              <w:rPr>
                <w:highlight w:val="yellow"/>
              </w:rPr>
            </w:pPr>
            <w:r w:rsidRPr="0067507D">
              <w:t>1 692</w:t>
            </w:r>
          </w:p>
        </w:tc>
      </w:tr>
      <w:tr w:rsidR="00B93BEE" w:rsidRPr="0067507D" w14:paraId="1C6FEEF8" w14:textId="77777777" w:rsidTr="00894295">
        <w:tc>
          <w:tcPr>
            <w:cnfStyle w:val="001000000000" w:firstRow="0" w:lastRow="0" w:firstColumn="1" w:lastColumn="0" w:oddVBand="0" w:evenVBand="0" w:oddHBand="0" w:evenHBand="0" w:firstRowFirstColumn="0" w:firstRowLastColumn="0" w:lastRowFirstColumn="0" w:lastRowLastColumn="0"/>
            <w:tcW w:w="5499" w:type="dxa"/>
          </w:tcPr>
          <w:p w14:paraId="46C468BB" w14:textId="06CC6EC7" w:rsidR="00B93BEE" w:rsidRPr="0067507D" w:rsidRDefault="00B93BEE" w:rsidP="00F34DB0">
            <w:pPr>
              <w:pStyle w:val="Tabletextbold"/>
              <w:rPr>
                <w:highlight w:val="yellow"/>
              </w:rPr>
            </w:pPr>
            <w:r w:rsidRPr="0067507D">
              <w:t>On</w:t>
            </w:r>
            <w:r w:rsidR="006A5485">
              <w:noBreakHyphen/>
            </w:r>
            <w:r w:rsidRPr="0067507D">
              <w:t xml:space="preserve">site electricity generated (MWh) </w:t>
            </w:r>
            <w:r w:rsidRPr="0067507D">
              <w:rPr>
                <w:rFonts w:asciiTheme="minorHAnsi" w:hAnsiTheme="minorHAnsi"/>
              </w:rPr>
              <w:t>[Indicator EL2]</w:t>
            </w:r>
          </w:p>
        </w:tc>
        <w:tc>
          <w:tcPr>
            <w:cnfStyle w:val="000010000000" w:firstRow="0" w:lastRow="0" w:firstColumn="0" w:lastColumn="0" w:oddVBand="1" w:evenVBand="0" w:oddHBand="0" w:evenHBand="0" w:firstRowFirstColumn="0" w:firstRowLastColumn="0" w:lastRowFirstColumn="0" w:lastRowLastColumn="0"/>
            <w:tcW w:w="1155" w:type="dxa"/>
          </w:tcPr>
          <w:p w14:paraId="77F2A692" w14:textId="77777777" w:rsidR="00B93BEE" w:rsidRPr="0067507D" w:rsidRDefault="00B93BEE" w:rsidP="00F34DB0">
            <w:pPr>
              <w:pStyle w:val="Tabletextrightbold"/>
              <w:rPr>
                <w:highlight w:val="yellow"/>
              </w:rPr>
            </w:pPr>
            <w:r w:rsidRPr="0067507D">
              <w:t>0</w:t>
            </w:r>
          </w:p>
        </w:tc>
        <w:tc>
          <w:tcPr>
            <w:cnfStyle w:val="000001000000" w:firstRow="0" w:lastRow="0" w:firstColumn="0" w:lastColumn="0" w:oddVBand="0" w:evenVBand="1" w:oddHBand="0" w:evenHBand="0" w:firstRowFirstColumn="0" w:firstRowLastColumn="0" w:lastRowFirstColumn="0" w:lastRowLastColumn="0"/>
            <w:tcW w:w="1155" w:type="dxa"/>
          </w:tcPr>
          <w:p w14:paraId="32ED2AAC" w14:textId="77777777" w:rsidR="00B93BEE" w:rsidRPr="0067507D" w:rsidRDefault="00B93BEE" w:rsidP="00F34DB0">
            <w:pPr>
              <w:pStyle w:val="Tabletextrightbold"/>
              <w:rPr>
                <w:highlight w:val="yellow"/>
              </w:rPr>
            </w:pPr>
            <w:r w:rsidRPr="0067507D">
              <w:t>0</w:t>
            </w:r>
          </w:p>
        </w:tc>
        <w:tc>
          <w:tcPr>
            <w:cnfStyle w:val="000010000000" w:firstRow="0" w:lastRow="0" w:firstColumn="0" w:lastColumn="0" w:oddVBand="1" w:evenVBand="0" w:oddHBand="0" w:evenHBand="0" w:firstRowFirstColumn="0" w:firstRowLastColumn="0" w:lastRowFirstColumn="0" w:lastRowLastColumn="0"/>
            <w:tcW w:w="1227" w:type="dxa"/>
          </w:tcPr>
          <w:p w14:paraId="4F8AD73C" w14:textId="77777777" w:rsidR="00B93BEE" w:rsidRPr="0067507D" w:rsidRDefault="00B93BEE" w:rsidP="00F34DB0">
            <w:pPr>
              <w:pStyle w:val="Tabletextrightbold"/>
              <w:rPr>
                <w:highlight w:val="yellow"/>
              </w:rPr>
            </w:pPr>
            <w:r w:rsidRPr="0067507D">
              <w:t>0</w:t>
            </w:r>
          </w:p>
        </w:tc>
      </w:tr>
      <w:tr w:rsidR="00B93BEE" w:rsidRPr="0067507D" w14:paraId="59695B5C" w14:textId="77777777" w:rsidTr="00894295">
        <w:tc>
          <w:tcPr>
            <w:cnfStyle w:val="001000000000" w:firstRow="0" w:lastRow="0" w:firstColumn="1" w:lastColumn="0" w:oddVBand="0" w:evenVBand="0" w:oddHBand="0" w:evenHBand="0" w:firstRowFirstColumn="0" w:firstRowLastColumn="0" w:lastRowFirstColumn="0" w:lastRowLastColumn="0"/>
            <w:tcW w:w="5499" w:type="dxa"/>
          </w:tcPr>
          <w:p w14:paraId="0D2F4F3A" w14:textId="1CE83F33" w:rsidR="00B93BEE" w:rsidRPr="0067507D" w:rsidRDefault="00B93BEE" w:rsidP="00F34DB0">
            <w:pPr>
              <w:pStyle w:val="Tabletextbold"/>
              <w:rPr>
                <w:highlight w:val="yellow"/>
              </w:rPr>
            </w:pPr>
            <w:r w:rsidRPr="0067507D">
              <w:t>On</w:t>
            </w:r>
            <w:r w:rsidR="006A5485">
              <w:noBreakHyphen/>
            </w:r>
            <w:r w:rsidRPr="0067507D">
              <w:t xml:space="preserve">site installed generation capacity (MW) </w:t>
            </w:r>
            <w:r w:rsidRPr="0067507D">
              <w:rPr>
                <w:rFonts w:asciiTheme="minorHAnsi" w:hAnsiTheme="minorHAnsi"/>
              </w:rPr>
              <w:t>[Indicator EL3]</w:t>
            </w:r>
          </w:p>
        </w:tc>
        <w:tc>
          <w:tcPr>
            <w:cnfStyle w:val="000010000000" w:firstRow="0" w:lastRow="0" w:firstColumn="0" w:lastColumn="0" w:oddVBand="1" w:evenVBand="0" w:oddHBand="0" w:evenHBand="0" w:firstRowFirstColumn="0" w:firstRowLastColumn="0" w:lastRowFirstColumn="0" w:lastRowLastColumn="0"/>
            <w:tcW w:w="1155" w:type="dxa"/>
          </w:tcPr>
          <w:p w14:paraId="6AFF2136" w14:textId="77777777" w:rsidR="00B93BEE" w:rsidRPr="0067507D" w:rsidRDefault="00B93BEE" w:rsidP="00F34DB0">
            <w:pPr>
              <w:pStyle w:val="Tabletextrightbold"/>
              <w:rPr>
                <w:highlight w:val="yellow"/>
              </w:rPr>
            </w:pPr>
            <w:r w:rsidRPr="0067507D">
              <w:t>n/a</w:t>
            </w:r>
          </w:p>
        </w:tc>
        <w:tc>
          <w:tcPr>
            <w:cnfStyle w:val="000001000000" w:firstRow="0" w:lastRow="0" w:firstColumn="0" w:lastColumn="0" w:oddVBand="0" w:evenVBand="1" w:oddHBand="0" w:evenHBand="0" w:firstRowFirstColumn="0" w:firstRowLastColumn="0" w:lastRowFirstColumn="0" w:lastRowLastColumn="0"/>
            <w:tcW w:w="1155" w:type="dxa"/>
          </w:tcPr>
          <w:p w14:paraId="58A9F6D9" w14:textId="77777777" w:rsidR="00B93BEE" w:rsidRPr="0067507D" w:rsidRDefault="00B93BEE" w:rsidP="00F34DB0">
            <w:pPr>
              <w:pStyle w:val="Tabletextrightbold"/>
              <w:rPr>
                <w:highlight w:val="yellow"/>
              </w:rPr>
            </w:pPr>
            <w:r w:rsidRPr="0067507D">
              <w:t>n/a</w:t>
            </w:r>
          </w:p>
        </w:tc>
        <w:tc>
          <w:tcPr>
            <w:cnfStyle w:val="000010000000" w:firstRow="0" w:lastRow="0" w:firstColumn="0" w:lastColumn="0" w:oddVBand="1" w:evenVBand="0" w:oddHBand="0" w:evenHBand="0" w:firstRowFirstColumn="0" w:firstRowLastColumn="0" w:lastRowFirstColumn="0" w:lastRowLastColumn="0"/>
            <w:tcW w:w="1227" w:type="dxa"/>
          </w:tcPr>
          <w:p w14:paraId="0B6FC1C5" w14:textId="77777777" w:rsidR="00B93BEE" w:rsidRPr="0067507D" w:rsidRDefault="00B93BEE" w:rsidP="00F34DB0">
            <w:pPr>
              <w:pStyle w:val="Tabletextrightbold"/>
              <w:rPr>
                <w:highlight w:val="yellow"/>
              </w:rPr>
            </w:pPr>
            <w:r w:rsidRPr="0067507D">
              <w:t>n/a</w:t>
            </w:r>
          </w:p>
        </w:tc>
      </w:tr>
      <w:tr w:rsidR="00B93BEE" w:rsidRPr="0067507D" w14:paraId="59E73F8B" w14:textId="77777777" w:rsidTr="00894295">
        <w:tc>
          <w:tcPr>
            <w:cnfStyle w:val="001000000000" w:firstRow="0" w:lastRow="0" w:firstColumn="1" w:lastColumn="0" w:oddVBand="0" w:evenVBand="0" w:oddHBand="0" w:evenHBand="0" w:firstRowFirstColumn="0" w:firstRowLastColumn="0" w:lastRowFirstColumn="0" w:lastRowLastColumn="0"/>
            <w:tcW w:w="5499" w:type="dxa"/>
          </w:tcPr>
          <w:p w14:paraId="39E2CC7D" w14:textId="77777777" w:rsidR="00B93BEE" w:rsidRPr="0067507D" w:rsidRDefault="00B93BEE" w:rsidP="00F34DB0">
            <w:pPr>
              <w:pStyle w:val="Tabletextbold"/>
              <w:rPr>
                <w:highlight w:val="yellow"/>
              </w:rPr>
            </w:pPr>
            <w:r w:rsidRPr="0067507D">
              <w:t xml:space="preserve">Total electricity offsets (MWh) </w:t>
            </w:r>
            <w:r w:rsidRPr="0067507D">
              <w:rPr>
                <w:rFonts w:asciiTheme="minorHAnsi" w:hAnsiTheme="minorHAnsi"/>
              </w:rPr>
              <w:t>[Indicator EL4]</w:t>
            </w:r>
          </w:p>
        </w:tc>
        <w:tc>
          <w:tcPr>
            <w:cnfStyle w:val="000010000000" w:firstRow="0" w:lastRow="0" w:firstColumn="0" w:lastColumn="0" w:oddVBand="1" w:evenVBand="0" w:oddHBand="0" w:evenHBand="0" w:firstRowFirstColumn="0" w:firstRowLastColumn="0" w:lastRowFirstColumn="0" w:lastRowLastColumn="0"/>
            <w:tcW w:w="1155" w:type="dxa"/>
          </w:tcPr>
          <w:p w14:paraId="4CCB98BF" w14:textId="77777777" w:rsidR="00B93BEE" w:rsidRPr="0067507D" w:rsidRDefault="00B93BEE" w:rsidP="00F34DB0">
            <w:pPr>
              <w:pStyle w:val="Tabletextrightbold"/>
              <w:rPr>
                <w:highlight w:val="yellow"/>
              </w:rPr>
            </w:pPr>
            <w:r w:rsidRPr="0067507D">
              <w:t>0</w:t>
            </w:r>
          </w:p>
        </w:tc>
        <w:tc>
          <w:tcPr>
            <w:cnfStyle w:val="000001000000" w:firstRow="0" w:lastRow="0" w:firstColumn="0" w:lastColumn="0" w:oddVBand="0" w:evenVBand="1" w:oddHBand="0" w:evenHBand="0" w:firstRowFirstColumn="0" w:firstRowLastColumn="0" w:lastRowFirstColumn="0" w:lastRowLastColumn="0"/>
            <w:tcW w:w="1155" w:type="dxa"/>
          </w:tcPr>
          <w:p w14:paraId="39AFC036" w14:textId="77777777" w:rsidR="00B93BEE" w:rsidRPr="0067507D" w:rsidRDefault="00B93BEE" w:rsidP="00F34DB0">
            <w:pPr>
              <w:pStyle w:val="Tabletextrightbold"/>
              <w:rPr>
                <w:highlight w:val="yellow"/>
              </w:rPr>
            </w:pPr>
            <w:r w:rsidRPr="0067507D">
              <w:t>0</w:t>
            </w:r>
          </w:p>
        </w:tc>
        <w:tc>
          <w:tcPr>
            <w:cnfStyle w:val="000010000000" w:firstRow="0" w:lastRow="0" w:firstColumn="0" w:lastColumn="0" w:oddVBand="1" w:evenVBand="0" w:oddHBand="0" w:evenHBand="0" w:firstRowFirstColumn="0" w:firstRowLastColumn="0" w:lastRowFirstColumn="0" w:lastRowLastColumn="0"/>
            <w:tcW w:w="1227" w:type="dxa"/>
          </w:tcPr>
          <w:p w14:paraId="266DB5E1" w14:textId="77777777" w:rsidR="00B93BEE" w:rsidRPr="0067507D" w:rsidRDefault="00B93BEE" w:rsidP="00F34DB0">
            <w:pPr>
              <w:pStyle w:val="Tabletextrightbold"/>
              <w:rPr>
                <w:highlight w:val="yellow"/>
              </w:rPr>
            </w:pPr>
            <w:r w:rsidRPr="0067507D">
              <w:t>0</w:t>
            </w:r>
          </w:p>
        </w:tc>
      </w:tr>
    </w:tbl>
    <w:p w14:paraId="177DAA4A" w14:textId="77777777" w:rsidR="00B93BEE" w:rsidRPr="0067507D" w:rsidRDefault="00B93BEE" w:rsidP="00826D53">
      <w:pPr>
        <w:pStyle w:val="Notes"/>
      </w:pPr>
      <w:r w:rsidRPr="0067507D">
        <w:t>Notes:</w:t>
      </w:r>
    </w:p>
    <w:p w14:paraId="4AFA96D9" w14:textId="2484F730" w:rsidR="00B93BEE" w:rsidRPr="0067507D" w:rsidRDefault="00B93BEE" w:rsidP="00826D53">
      <w:pPr>
        <w:pStyle w:val="Notes"/>
      </w:pPr>
      <w:r w:rsidRPr="0067507D">
        <w:t>(a) The 2024</w:t>
      </w:r>
      <w:r w:rsidR="006A5485">
        <w:noBreakHyphen/>
      </w:r>
      <w:r w:rsidRPr="0067507D">
        <w:t>25 figures in this annual report contain accrued values for electricity consumption.</w:t>
      </w:r>
    </w:p>
    <w:p w14:paraId="0A79E4FE" w14:textId="77777777" w:rsidR="00B93BEE" w:rsidRPr="0067507D" w:rsidRDefault="00B93BEE" w:rsidP="00826D53">
      <w:pPr>
        <w:pStyle w:val="Notes"/>
      </w:pPr>
      <w:r w:rsidRPr="0067507D">
        <w:t>(b) Electricity and gas usage data is provided by outsourced providers via retailers who operate under the State's Energy Purchase Contracts.</w:t>
      </w:r>
    </w:p>
    <w:p w14:paraId="015295CE" w14:textId="77777777" w:rsidR="00B93BEE" w:rsidRPr="0067507D" w:rsidRDefault="00B93BEE" w:rsidP="00174807">
      <w:pPr>
        <w:rPr>
          <w:highlight w:val="yellow"/>
        </w:rPr>
      </w:pPr>
    </w:p>
    <w:p w14:paraId="5849B5C8" w14:textId="77777777" w:rsidR="00B93BEE" w:rsidRPr="0067507D" w:rsidRDefault="00B93BEE" w:rsidP="00174807">
      <w:pPr>
        <w:rPr>
          <w:highlight w:val="yellow"/>
        </w:rPr>
        <w:sectPr w:rsidR="00B93BEE" w:rsidRPr="0067507D" w:rsidSect="00B93BEE">
          <w:type w:val="continuous"/>
          <w:pgSz w:w="11909" w:h="16834" w:code="9"/>
          <w:pgMar w:top="1728" w:right="1152" w:bottom="1267" w:left="1152" w:header="720" w:footer="288" w:gutter="0"/>
          <w:cols w:space="720"/>
          <w:noEndnote/>
        </w:sectPr>
      </w:pPr>
    </w:p>
    <w:p w14:paraId="1ECFB178" w14:textId="77777777" w:rsidR="00B93BEE" w:rsidRPr="0067507D" w:rsidRDefault="00B93BEE" w:rsidP="00174807">
      <w:pPr>
        <w:pStyle w:val="Heading3"/>
      </w:pPr>
      <w:r w:rsidRPr="0067507D">
        <w:lastRenderedPageBreak/>
        <w:t>Stationary fuel use</w:t>
      </w:r>
    </w:p>
    <w:p w14:paraId="20D8188B" w14:textId="77777777" w:rsidR="00B93BEE" w:rsidRPr="0067507D" w:rsidRDefault="00B93BEE" w:rsidP="00174807">
      <w:pPr>
        <w:sectPr w:rsidR="00B93BEE" w:rsidRPr="0067507D" w:rsidSect="00B93BEE">
          <w:pgSz w:w="11909" w:h="16834" w:code="9"/>
          <w:pgMar w:top="1728" w:right="1152" w:bottom="1267" w:left="1152" w:header="720" w:footer="288" w:gutter="0"/>
          <w:cols w:num="2" w:space="720"/>
          <w:noEndnote/>
        </w:sectPr>
      </w:pPr>
    </w:p>
    <w:p w14:paraId="1D325F12" w14:textId="77777777" w:rsidR="00B93BEE" w:rsidRPr="0067507D" w:rsidRDefault="00B93BEE" w:rsidP="00B30E14">
      <w:pPr>
        <w:rPr>
          <w:rFonts w:ascii="VIC" w:eastAsia="MS Mincho" w:hAnsi="VIC" w:cs="Arial"/>
          <w:szCs w:val="17"/>
          <w:lang w:eastAsia="en-US"/>
        </w:rPr>
      </w:pPr>
      <w:r w:rsidRPr="0067507D">
        <w:rPr>
          <w:rFonts w:ascii="VIC" w:eastAsia="MS Mincho" w:hAnsi="VIC" w:cs="Arial"/>
          <w:szCs w:val="17"/>
          <w:lang w:eastAsia="en-US"/>
        </w:rPr>
        <w:t xml:space="preserve">DTF’s </w:t>
      </w:r>
      <w:r w:rsidRPr="0067507D">
        <w:rPr>
          <w:szCs w:val="17"/>
        </w:rPr>
        <w:t xml:space="preserve">stationary fuel </w:t>
      </w:r>
      <w:r w:rsidRPr="0067507D">
        <w:rPr>
          <w:rFonts w:ascii="VIC" w:eastAsia="MS Mincho" w:hAnsi="VIC" w:cs="Arial"/>
          <w:szCs w:val="17"/>
          <w:lang w:eastAsia="en-US"/>
        </w:rPr>
        <w:t>consumption reporting covers tenancies at the following sites:</w:t>
      </w:r>
    </w:p>
    <w:p w14:paraId="3075EF76" w14:textId="77777777" w:rsidR="00B93BEE" w:rsidRPr="0067507D" w:rsidRDefault="00B93BEE" w:rsidP="00B30E14">
      <w:pPr>
        <w:pStyle w:val="Bullet"/>
        <w:numPr>
          <w:ilvl w:val="0"/>
          <w:numId w:val="40"/>
        </w:numPr>
        <w:rPr>
          <w:rFonts w:ascii="VIC" w:hAnsi="VIC"/>
          <w:szCs w:val="17"/>
        </w:rPr>
      </w:pPr>
      <w:r w:rsidRPr="0067507D">
        <w:rPr>
          <w:rFonts w:ascii="VIC" w:hAnsi="VIC"/>
          <w:szCs w:val="17"/>
        </w:rPr>
        <w:t>1 Treasury Place, East Melbourne</w:t>
      </w:r>
    </w:p>
    <w:p w14:paraId="37704501" w14:textId="77777777" w:rsidR="00B93BEE" w:rsidRPr="0067507D" w:rsidRDefault="00B93BEE" w:rsidP="00B30E14">
      <w:pPr>
        <w:pStyle w:val="Bullet"/>
        <w:numPr>
          <w:ilvl w:val="0"/>
          <w:numId w:val="40"/>
        </w:numPr>
        <w:rPr>
          <w:rFonts w:ascii="VIC" w:hAnsi="VIC"/>
          <w:szCs w:val="17"/>
        </w:rPr>
      </w:pPr>
      <w:r w:rsidRPr="0067507D">
        <w:rPr>
          <w:rFonts w:ascii="VIC" w:hAnsi="VIC"/>
          <w:szCs w:val="17"/>
        </w:rPr>
        <w:t xml:space="preserve">1 Macarthur Street, East Melbourne </w:t>
      </w:r>
    </w:p>
    <w:p w14:paraId="6914079C" w14:textId="77777777" w:rsidR="00B93BEE" w:rsidRPr="0067507D" w:rsidRDefault="00B93BEE" w:rsidP="00B30E14">
      <w:pPr>
        <w:pStyle w:val="Bullet"/>
        <w:numPr>
          <w:ilvl w:val="0"/>
          <w:numId w:val="40"/>
        </w:numPr>
        <w:rPr>
          <w:rFonts w:ascii="VIC" w:hAnsi="VIC"/>
          <w:szCs w:val="17"/>
        </w:rPr>
      </w:pPr>
      <w:r w:rsidRPr="0067507D">
        <w:rPr>
          <w:rFonts w:ascii="VIC" w:hAnsi="VIC"/>
          <w:szCs w:val="17"/>
        </w:rPr>
        <w:t>1 Spring Street, Melbourne</w:t>
      </w:r>
    </w:p>
    <w:p w14:paraId="4074DA1E" w14:textId="133350D4" w:rsidR="00B93BEE" w:rsidRPr="0067507D" w:rsidRDefault="00B93BEE" w:rsidP="0028260C">
      <w:pPr>
        <w:ind w:right="122"/>
        <w:rPr>
          <w:szCs w:val="17"/>
          <w:highlight w:val="yellow"/>
        </w:rPr>
      </w:pPr>
      <w:r w:rsidRPr="0067507D">
        <w:rPr>
          <w:szCs w:val="17"/>
        </w:rPr>
        <w:t>Total fuels used in buildings over the 2024</w:t>
      </w:r>
      <w:r w:rsidR="00CE010A">
        <w:rPr>
          <w:szCs w:val="17"/>
        </w:rPr>
        <w:noBreakHyphen/>
      </w:r>
      <w:r w:rsidRPr="0067507D">
        <w:rPr>
          <w:szCs w:val="17"/>
        </w:rPr>
        <w:t>25 reporting period was 2 121 081 megajoules (MJ), which is a slight decrease from the previous reporting period. Greenhouse gas emissions from stationary fuel consumption totalled 109.3 tonnes CO2</w:t>
      </w:r>
      <w:r w:rsidR="006A5485">
        <w:rPr>
          <w:szCs w:val="17"/>
        </w:rPr>
        <w:noBreakHyphen/>
      </w:r>
      <w:r w:rsidRPr="0067507D">
        <w:rPr>
          <w:szCs w:val="17"/>
        </w:rPr>
        <w:t xml:space="preserve">e, a reduction of 1 per cent. </w:t>
      </w:r>
    </w:p>
    <w:p w14:paraId="5DE080B2" w14:textId="77777777" w:rsidR="00B93BEE" w:rsidRPr="0067507D" w:rsidRDefault="00B93BEE" w:rsidP="00174807">
      <w:pPr>
        <w:rPr>
          <w:highlight w:val="yellow"/>
        </w:rPr>
      </w:pPr>
    </w:p>
    <w:p w14:paraId="08B617AA" w14:textId="77777777" w:rsidR="00B93BEE" w:rsidRPr="0067507D" w:rsidRDefault="00B93BEE" w:rsidP="00174807">
      <w:pPr>
        <w:rPr>
          <w:highlight w:val="yellow"/>
        </w:rPr>
        <w:sectPr w:rsidR="00B93BEE" w:rsidRPr="0067507D" w:rsidSect="00B93BEE">
          <w:type w:val="continuous"/>
          <w:pgSz w:w="11909" w:h="16834" w:code="9"/>
          <w:pgMar w:top="1728" w:right="1152" w:bottom="1267" w:left="1152" w:header="720" w:footer="288" w:gutter="0"/>
          <w:cols w:num="2" w:space="720"/>
          <w:noEndnote/>
        </w:sectPr>
      </w:pPr>
    </w:p>
    <w:p w14:paraId="4CB696EB" w14:textId="77777777" w:rsidR="00B93BEE" w:rsidRPr="0067507D" w:rsidRDefault="00B93BEE" w:rsidP="00174807">
      <w:pPr>
        <w:pStyle w:val="Notes"/>
        <w:rPr>
          <w:highlight w:val="yellow"/>
        </w:rPr>
      </w:pPr>
    </w:p>
    <w:tbl>
      <w:tblPr>
        <w:tblStyle w:val="AnnualReporttexttable"/>
        <w:tblW w:w="9036" w:type="dxa"/>
        <w:tblLayout w:type="fixed"/>
        <w:tblCellMar>
          <w:left w:w="86" w:type="dxa"/>
          <w:right w:w="86" w:type="dxa"/>
        </w:tblCellMar>
        <w:tblLook w:val="02A0" w:firstRow="1" w:lastRow="0" w:firstColumn="1" w:lastColumn="0" w:noHBand="1" w:noVBand="0"/>
      </w:tblPr>
      <w:tblGrid>
        <w:gridCol w:w="5387"/>
        <w:gridCol w:w="1267"/>
        <w:gridCol w:w="1155"/>
        <w:gridCol w:w="1227"/>
      </w:tblGrid>
      <w:tr w:rsidR="00B93BEE" w:rsidRPr="0067507D" w14:paraId="31775E37" w14:textId="77777777" w:rsidTr="00094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shd w:val="clear" w:color="auto" w:fill="auto"/>
          </w:tcPr>
          <w:p w14:paraId="13C89E20" w14:textId="77777777" w:rsidR="00B93BEE" w:rsidRPr="00D85F24" w:rsidRDefault="00B93BEE">
            <w:pPr>
              <w:pStyle w:val="Tabletextheadingleft"/>
              <w:rPr>
                <w:b w:val="0"/>
                <w:bCs/>
              </w:rPr>
            </w:pPr>
            <w:r w:rsidRPr="00D85F24">
              <w:rPr>
                <w:b w:val="0"/>
                <w:bCs/>
              </w:rPr>
              <w:t>Indicator</w:t>
            </w:r>
          </w:p>
        </w:tc>
        <w:tc>
          <w:tcPr>
            <w:cnfStyle w:val="000010000000" w:firstRow="0" w:lastRow="0" w:firstColumn="0" w:lastColumn="0" w:oddVBand="1" w:evenVBand="0" w:oddHBand="0" w:evenHBand="0" w:firstRowFirstColumn="0" w:firstRowLastColumn="0" w:lastRowFirstColumn="0" w:lastRowLastColumn="0"/>
            <w:tcW w:w="1267" w:type="dxa"/>
            <w:shd w:val="clear" w:color="auto" w:fill="auto"/>
          </w:tcPr>
          <w:p w14:paraId="1266E28E" w14:textId="562B0450" w:rsidR="00B93BEE" w:rsidRPr="00D85F24" w:rsidRDefault="00B93BEE">
            <w:pPr>
              <w:pStyle w:val="Tabletextheadingright"/>
              <w:rPr>
                <w:b w:val="0"/>
                <w:bCs/>
              </w:rPr>
            </w:pPr>
            <w:r w:rsidRPr="00D85F24">
              <w:rPr>
                <w:b w:val="0"/>
                <w:bCs/>
              </w:rPr>
              <w:t>2024</w:t>
            </w:r>
            <w:r w:rsidR="006A5485" w:rsidRPr="00D85F24">
              <w:rPr>
                <w:b w:val="0"/>
                <w:bCs/>
              </w:rPr>
              <w:noBreakHyphen/>
            </w:r>
            <w:r w:rsidRPr="00D85F24">
              <w:rPr>
                <w:b w:val="0"/>
                <w:bCs/>
              </w:rPr>
              <w:t xml:space="preserve">25 </w:t>
            </w:r>
            <w:r w:rsidRPr="00D85F24">
              <w:rPr>
                <w:b w:val="0"/>
                <w:bCs/>
                <w:vertAlign w:val="superscript"/>
              </w:rPr>
              <w:t>(a)</w:t>
            </w:r>
          </w:p>
        </w:tc>
        <w:tc>
          <w:tcPr>
            <w:cnfStyle w:val="000001000000" w:firstRow="0" w:lastRow="0" w:firstColumn="0" w:lastColumn="0" w:oddVBand="0" w:evenVBand="1" w:oddHBand="0" w:evenHBand="0" w:firstRowFirstColumn="0" w:firstRowLastColumn="0" w:lastRowFirstColumn="0" w:lastRowLastColumn="0"/>
            <w:tcW w:w="1155" w:type="dxa"/>
            <w:shd w:val="clear" w:color="auto" w:fill="auto"/>
          </w:tcPr>
          <w:p w14:paraId="100E2C84" w14:textId="0A23410A" w:rsidR="00B93BEE" w:rsidRPr="00D85F24" w:rsidRDefault="00B93BEE">
            <w:pPr>
              <w:pStyle w:val="Tabletextheadingright"/>
              <w:rPr>
                <w:b w:val="0"/>
                <w:bCs/>
              </w:rPr>
            </w:pPr>
            <w:r w:rsidRPr="00D85F24">
              <w:rPr>
                <w:b w:val="0"/>
                <w:bCs/>
              </w:rPr>
              <w:t>2023</w:t>
            </w:r>
            <w:r w:rsidR="006A5485" w:rsidRPr="00D85F24">
              <w:rPr>
                <w:b w:val="0"/>
                <w:bCs/>
              </w:rPr>
              <w:noBreakHyphen/>
            </w:r>
            <w:r w:rsidRPr="00D85F24">
              <w:rPr>
                <w:b w:val="0"/>
                <w:bCs/>
              </w:rPr>
              <w:t>24</w:t>
            </w:r>
          </w:p>
        </w:tc>
        <w:tc>
          <w:tcPr>
            <w:cnfStyle w:val="000010000000" w:firstRow="0" w:lastRow="0" w:firstColumn="0" w:lastColumn="0" w:oddVBand="1" w:evenVBand="0" w:oddHBand="0" w:evenHBand="0" w:firstRowFirstColumn="0" w:firstRowLastColumn="0" w:lastRowFirstColumn="0" w:lastRowLastColumn="0"/>
            <w:tcW w:w="1227" w:type="dxa"/>
            <w:shd w:val="clear" w:color="auto" w:fill="auto"/>
          </w:tcPr>
          <w:p w14:paraId="0ACE9002" w14:textId="07D54412" w:rsidR="00B93BEE" w:rsidRPr="00D85F24" w:rsidRDefault="00B93BEE">
            <w:pPr>
              <w:pStyle w:val="Tabletextheadingright"/>
              <w:rPr>
                <w:b w:val="0"/>
                <w:bCs/>
              </w:rPr>
            </w:pPr>
            <w:r w:rsidRPr="00D85F24">
              <w:rPr>
                <w:b w:val="0"/>
                <w:bCs/>
              </w:rPr>
              <w:t>2022</w:t>
            </w:r>
            <w:r w:rsidR="006A5485" w:rsidRPr="00D85F24">
              <w:rPr>
                <w:b w:val="0"/>
                <w:bCs/>
              </w:rPr>
              <w:noBreakHyphen/>
            </w:r>
            <w:r w:rsidRPr="00D85F24">
              <w:rPr>
                <w:b w:val="0"/>
                <w:bCs/>
              </w:rPr>
              <w:t xml:space="preserve">23 </w:t>
            </w:r>
          </w:p>
        </w:tc>
      </w:tr>
      <w:tr w:rsidR="00B93BEE" w:rsidRPr="0067507D" w14:paraId="61C244CC" w14:textId="77777777" w:rsidTr="00D85F24">
        <w:tc>
          <w:tcPr>
            <w:cnfStyle w:val="001000000000" w:firstRow="0" w:lastRow="0" w:firstColumn="1" w:lastColumn="0" w:oddVBand="0" w:evenVBand="0" w:oddHBand="0" w:evenHBand="0" w:firstRowFirstColumn="0" w:firstRowLastColumn="0" w:lastRowFirstColumn="0" w:lastRowLastColumn="0"/>
            <w:tcW w:w="5387" w:type="dxa"/>
          </w:tcPr>
          <w:p w14:paraId="4B663461" w14:textId="77777777" w:rsidR="00B93BEE" w:rsidRPr="0067507D" w:rsidRDefault="00B93BEE">
            <w:pPr>
              <w:pStyle w:val="Tabletextbold"/>
            </w:pPr>
            <w:r w:rsidRPr="0067507D">
              <w:t xml:space="preserve">Total fuels used in buildings and machinery (MJ) </w:t>
            </w:r>
            <w:r w:rsidRPr="0067507D">
              <w:rPr>
                <w:rFonts w:asciiTheme="minorHAnsi" w:hAnsiTheme="minorHAnsi"/>
              </w:rPr>
              <w:t>[Indicator F1]</w:t>
            </w:r>
            <w:r w:rsidRPr="0067507D">
              <w:rPr>
                <w:rFonts w:asciiTheme="minorHAnsi" w:hAnsiTheme="minorHAnsi"/>
                <w:vertAlign w:val="superscript"/>
              </w:rPr>
              <w:t xml:space="preserve"> (b)</w:t>
            </w:r>
          </w:p>
        </w:tc>
        <w:tc>
          <w:tcPr>
            <w:cnfStyle w:val="000010000000" w:firstRow="0" w:lastRow="0" w:firstColumn="0" w:lastColumn="0" w:oddVBand="1" w:evenVBand="0" w:oddHBand="0" w:evenHBand="0" w:firstRowFirstColumn="0" w:firstRowLastColumn="0" w:lastRowFirstColumn="0" w:lastRowLastColumn="0"/>
            <w:tcW w:w="1267" w:type="dxa"/>
          </w:tcPr>
          <w:p w14:paraId="2AF44342" w14:textId="77777777" w:rsidR="00B93BEE" w:rsidRPr="0067507D" w:rsidRDefault="00B93BEE">
            <w:pPr>
              <w:pStyle w:val="Tabletextrightbold"/>
            </w:pPr>
            <w:r w:rsidRPr="0067507D">
              <w:t>2 121 081</w:t>
            </w:r>
          </w:p>
        </w:tc>
        <w:tc>
          <w:tcPr>
            <w:cnfStyle w:val="000001000000" w:firstRow="0" w:lastRow="0" w:firstColumn="0" w:lastColumn="0" w:oddVBand="0" w:evenVBand="1" w:oddHBand="0" w:evenHBand="0" w:firstRowFirstColumn="0" w:firstRowLastColumn="0" w:lastRowFirstColumn="0" w:lastRowLastColumn="0"/>
            <w:tcW w:w="1155" w:type="dxa"/>
          </w:tcPr>
          <w:p w14:paraId="77C50288" w14:textId="77777777" w:rsidR="00B93BEE" w:rsidRPr="0067507D" w:rsidRDefault="00B93BEE">
            <w:pPr>
              <w:pStyle w:val="Tabletextrightbold"/>
            </w:pPr>
            <w:r w:rsidRPr="0067507D">
              <w:t>2 143 190</w:t>
            </w:r>
          </w:p>
        </w:tc>
        <w:tc>
          <w:tcPr>
            <w:cnfStyle w:val="000010000000" w:firstRow="0" w:lastRow="0" w:firstColumn="0" w:lastColumn="0" w:oddVBand="1" w:evenVBand="0" w:oddHBand="0" w:evenHBand="0" w:firstRowFirstColumn="0" w:firstRowLastColumn="0" w:lastRowFirstColumn="0" w:lastRowLastColumn="0"/>
            <w:tcW w:w="1227" w:type="dxa"/>
            <w:vAlign w:val="center"/>
          </w:tcPr>
          <w:p w14:paraId="5BFF0727" w14:textId="77777777" w:rsidR="00B93BEE" w:rsidRPr="0067507D" w:rsidRDefault="00B93BEE">
            <w:pPr>
              <w:pStyle w:val="Tabletextrightbold"/>
            </w:pPr>
            <w:r w:rsidRPr="0067507D">
              <w:t>2 435 057</w:t>
            </w:r>
          </w:p>
        </w:tc>
      </w:tr>
      <w:tr w:rsidR="00B93BEE" w:rsidRPr="0067507D" w14:paraId="54298004" w14:textId="77777777" w:rsidTr="00D85F24">
        <w:tc>
          <w:tcPr>
            <w:cnfStyle w:val="001000000000" w:firstRow="0" w:lastRow="0" w:firstColumn="1" w:lastColumn="0" w:oddVBand="0" w:evenVBand="0" w:oddHBand="0" w:evenHBand="0" w:firstRowFirstColumn="0" w:firstRowLastColumn="0" w:lastRowFirstColumn="0" w:lastRowLastColumn="0"/>
            <w:tcW w:w="5387" w:type="dxa"/>
          </w:tcPr>
          <w:p w14:paraId="74D639F2" w14:textId="77777777" w:rsidR="00B93BEE" w:rsidRPr="0067507D" w:rsidRDefault="00B93BEE">
            <w:pPr>
              <w:pStyle w:val="Tabletext"/>
            </w:pPr>
            <w:r w:rsidRPr="0067507D">
              <w:t>Buildings</w:t>
            </w:r>
          </w:p>
        </w:tc>
        <w:tc>
          <w:tcPr>
            <w:cnfStyle w:val="000010000000" w:firstRow="0" w:lastRow="0" w:firstColumn="0" w:lastColumn="0" w:oddVBand="1" w:evenVBand="0" w:oddHBand="0" w:evenHBand="0" w:firstRowFirstColumn="0" w:firstRowLastColumn="0" w:lastRowFirstColumn="0" w:lastRowLastColumn="0"/>
            <w:tcW w:w="1267" w:type="dxa"/>
          </w:tcPr>
          <w:p w14:paraId="5979F212" w14:textId="77777777" w:rsidR="00B93BEE" w:rsidRPr="0067507D" w:rsidRDefault="00B93BEE">
            <w:pPr>
              <w:pStyle w:val="Tabletextright"/>
            </w:pPr>
            <w:r w:rsidRPr="0067507D">
              <w:t>2 121 081</w:t>
            </w:r>
          </w:p>
        </w:tc>
        <w:tc>
          <w:tcPr>
            <w:cnfStyle w:val="000001000000" w:firstRow="0" w:lastRow="0" w:firstColumn="0" w:lastColumn="0" w:oddVBand="0" w:evenVBand="1" w:oddHBand="0" w:evenHBand="0" w:firstRowFirstColumn="0" w:firstRowLastColumn="0" w:lastRowFirstColumn="0" w:lastRowLastColumn="0"/>
            <w:tcW w:w="1155" w:type="dxa"/>
          </w:tcPr>
          <w:p w14:paraId="364891CE" w14:textId="77777777" w:rsidR="00B93BEE" w:rsidRPr="0067507D" w:rsidRDefault="00B93BEE">
            <w:pPr>
              <w:pStyle w:val="Tabletextright"/>
            </w:pPr>
            <w:r w:rsidRPr="0067507D">
              <w:t>2 143 190</w:t>
            </w:r>
          </w:p>
        </w:tc>
        <w:tc>
          <w:tcPr>
            <w:cnfStyle w:val="000010000000" w:firstRow="0" w:lastRow="0" w:firstColumn="0" w:lastColumn="0" w:oddVBand="1" w:evenVBand="0" w:oddHBand="0" w:evenHBand="0" w:firstRowFirstColumn="0" w:firstRowLastColumn="0" w:lastRowFirstColumn="0" w:lastRowLastColumn="0"/>
            <w:tcW w:w="1227" w:type="dxa"/>
            <w:vAlign w:val="center"/>
          </w:tcPr>
          <w:p w14:paraId="190E4994" w14:textId="77777777" w:rsidR="00B93BEE" w:rsidRPr="0067507D" w:rsidRDefault="00B93BEE">
            <w:pPr>
              <w:pStyle w:val="Tabletextright"/>
            </w:pPr>
            <w:r w:rsidRPr="0067507D">
              <w:t>2 435 057</w:t>
            </w:r>
          </w:p>
        </w:tc>
      </w:tr>
      <w:tr w:rsidR="00B93BEE" w:rsidRPr="0067507D" w14:paraId="34530C4B" w14:textId="77777777" w:rsidTr="00D85F24">
        <w:tc>
          <w:tcPr>
            <w:cnfStyle w:val="001000000000" w:firstRow="0" w:lastRow="0" w:firstColumn="1" w:lastColumn="0" w:oddVBand="0" w:evenVBand="0" w:oddHBand="0" w:evenHBand="0" w:firstRowFirstColumn="0" w:firstRowLastColumn="0" w:lastRowFirstColumn="0" w:lastRowLastColumn="0"/>
            <w:tcW w:w="5387" w:type="dxa"/>
          </w:tcPr>
          <w:p w14:paraId="5720FDB5" w14:textId="77777777" w:rsidR="00B93BEE" w:rsidRPr="0067507D" w:rsidRDefault="00B93BEE">
            <w:pPr>
              <w:pStyle w:val="Tabletextindent"/>
            </w:pPr>
            <w:r w:rsidRPr="0067507D">
              <w:t>Natural gas</w:t>
            </w:r>
          </w:p>
        </w:tc>
        <w:tc>
          <w:tcPr>
            <w:cnfStyle w:val="000010000000" w:firstRow="0" w:lastRow="0" w:firstColumn="0" w:lastColumn="0" w:oddVBand="1" w:evenVBand="0" w:oddHBand="0" w:evenHBand="0" w:firstRowFirstColumn="0" w:firstRowLastColumn="0" w:lastRowFirstColumn="0" w:lastRowLastColumn="0"/>
            <w:tcW w:w="1267" w:type="dxa"/>
          </w:tcPr>
          <w:p w14:paraId="27B1E3F2" w14:textId="77777777" w:rsidR="00B93BEE" w:rsidRPr="0067507D" w:rsidRDefault="00B93BEE">
            <w:pPr>
              <w:pStyle w:val="Tabletextright"/>
            </w:pPr>
            <w:r w:rsidRPr="0067507D">
              <w:t>2 121 081</w:t>
            </w:r>
          </w:p>
        </w:tc>
        <w:tc>
          <w:tcPr>
            <w:cnfStyle w:val="000001000000" w:firstRow="0" w:lastRow="0" w:firstColumn="0" w:lastColumn="0" w:oddVBand="0" w:evenVBand="1" w:oddHBand="0" w:evenHBand="0" w:firstRowFirstColumn="0" w:firstRowLastColumn="0" w:lastRowFirstColumn="0" w:lastRowLastColumn="0"/>
            <w:tcW w:w="1155" w:type="dxa"/>
          </w:tcPr>
          <w:p w14:paraId="6E82708F" w14:textId="77777777" w:rsidR="00B93BEE" w:rsidRPr="0067507D" w:rsidRDefault="00B93BEE">
            <w:pPr>
              <w:pStyle w:val="Tabletextright"/>
            </w:pPr>
            <w:r w:rsidRPr="0067507D">
              <w:t>2 143 190</w:t>
            </w:r>
          </w:p>
        </w:tc>
        <w:tc>
          <w:tcPr>
            <w:cnfStyle w:val="000010000000" w:firstRow="0" w:lastRow="0" w:firstColumn="0" w:lastColumn="0" w:oddVBand="1" w:evenVBand="0" w:oddHBand="0" w:evenHBand="0" w:firstRowFirstColumn="0" w:firstRowLastColumn="0" w:lastRowFirstColumn="0" w:lastRowLastColumn="0"/>
            <w:tcW w:w="1227" w:type="dxa"/>
            <w:vAlign w:val="center"/>
          </w:tcPr>
          <w:p w14:paraId="1D252041" w14:textId="77777777" w:rsidR="00B93BEE" w:rsidRPr="0067507D" w:rsidRDefault="00B93BEE">
            <w:pPr>
              <w:pStyle w:val="Tabletextright"/>
            </w:pPr>
            <w:r w:rsidRPr="0067507D">
              <w:t>2 435 057</w:t>
            </w:r>
          </w:p>
        </w:tc>
      </w:tr>
      <w:tr w:rsidR="00B93BEE" w:rsidRPr="0067507D" w14:paraId="18275B2E" w14:textId="77777777" w:rsidTr="00D85F24">
        <w:tc>
          <w:tcPr>
            <w:cnfStyle w:val="001000000000" w:firstRow="0" w:lastRow="0" w:firstColumn="1" w:lastColumn="0" w:oddVBand="0" w:evenVBand="0" w:oddHBand="0" w:evenHBand="0" w:firstRowFirstColumn="0" w:firstRowLastColumn="0" w:lastRowFirstColumn="0" w:lastRowLastColumn="0"/>
            <w:tcW w:w="5387" w:type="dxa"/>
          </w:tcPr>
          <w:p w14:paraId="710B794D" w14:textId="77777777" w:rsidR="00B93BEE" w:rsidRPr="0067507D" w:rsidRDefault="00B93BEE">
            <w:pPr>
              <w:pStyle w:val="Tabletext"/>
            </w:pPr>
            <w:r w:rsidRPr="0067507D">
              <w:t xml:space="preserve">Machinery </w:t>
            </w:r>
          </w:p>
        </w:tc>
        <w:tc>
          <w:tcPr>
            <w:cnfStyle w:val="000010000000" w:firstRow="0" w:lastRow="0" w:firstColumn="0" w:lastColumn="0" w:oddVBand="1" w:evenVBand="0" w:oddHBand="0" w:evenHBand="0" w:firstRowFirstColumn="0" w:firstRowLastColumn="0" w:lastRowFirstColumn="0" w:lastRowLastColumn="0"/>
            <w:tcW w:w="1267" w:type="dxa"/>
          </w:tcPr>
          <w:p w14:paraId="603979EE" w14:textId="77777777" w:rsidR="00B93BEE" w:rsidRPr="0067507D" w:rsidRDefault="00B93BEE">
            <w:pPr>
              <w:pStyle w:val="Tabletextright"/>
            </w:pPr>
            <w:r w:rsidRPr="0067507D">
              <w:t>0</w:t>
            </w:r>
          </w:p>
        </w:tc>
        <w:tc>
          <w:tcPr>
            <w:cnfStyle w:val="000001000000" w:firstRow="0" w:lastRow="0" w:firstColumn="0" w:lastColumn="0" w:oddVBand="0" w:evenVBand="1" w:oddHBand="0" w:evenHBand="0" w:firstRowFirstColumn="0" w:firstRowLastColumn="0" w:lastRowFirstColumn="0" w:lastRowLastColumn="0"/>
            <w:tcW w:w="1155" w:type="dxa"/>
          </w:tcPr>
          <w:p w14:paraId="18077C26" w14:textId="77777777" w:rsidR="00B93BEE" w:rsidRPr="0067507D" w:rsidRDefault="00B93BEE">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1227" w:type="dxa"/>
            <w:vAlign w:val="center"/>
          </w:tcPr>
          <w:p w14:paraId="72328BBA" w14:textId="77777777" w:rsidR="00B93BEE" w:rsidRPr="0067507D" w:rsidRDefault="00B93BEE">
            <w:pPr>
              <w:pStyle w:val="Tabletextright"/>
            </w:pPr>
            <w:r w:rsidRPr="0067507D">
              <w:t>0</w:t>
            </w:r>
          </w:p>
        </w:tc>
      </w:tr>
      <w:tr w:rsidR="00B93BEE" w:rsidRPr="0067507D" w14:paraId="4770662B" w14:textId="77777777" w:rsidTr="00D85F24">
        <w:tc>
          <w:tcPr>
            <w:cnfStyle w:val="001000000000" w:firstRow="0" w:lastRow="0" w:firstColumn="1" w:lastColumn="0" w:oddVBand="0" w:evenVBand="0" w:oddHBand="0" w:evenHBand="0" w:firstRowFirstColumn="0" w:firstRowLastColumn="0" w:lastRowFirstColumn="0" w:lastRowLastColumn="0"/>
            <w:tcW w:w="5387" w:type="dxa"/>
          </w:tcPr>
          <w:p w14:paraId="38E1A9E3" w14:textId="77777777" w:rsidR="00B93BEE" w:rsidRPr="0067507D" w:rsidRDefault="00B93BEE">
            <w:pPr>
              <w:pStyle w:val="Tabletextindent"/>
            </w:pPr>
            <w:r w:rsidRPr="0067507D">
              <w:t>Diesel</w:t>
            </w:r>
          </w:p>
        </w:tc>
        <w:tc>
          <w:tcPr>
            <w:cnfStyle w:val="000010000000" w:firstRow="0" w:lastRow="0" w:firstColumn="0" w:lastColumn="0" w:oddVBand="1" w:evenVBand="0" w:oddHBand="0" w:evenHBand="0" w:firstRowFirstColumn="0" w:firstRowLastColumn="0" w:lastRowFirstColumn="0" w:lastRowLastColumn="0"/>
            <w:tcW w:w="1267" w:type="dxa"/>
          </w:tcPr>
          <w:p w14:paraId="443F2974" w14:textId="77777777" w:rsidR="00B93BEE" w:rsidRPr="0067507D" w:rsidRDefault="00B93BEE">
            <w:pPr>
              <w:pStyle w:val="Tabletextright"/>
            </w:pPr>
            <w:r w:rsidRPr="0067507D">
              <w:t>0</w:t>
            </w:r>
          </w:p>
        </w:tc>
        <w:tc>
          <w:tcPr>
            <w:cnfStyle w:val="000001000000" w:firstRow="0" w:lastRow="0" w:firstColumn="0" w:lastColumn="0" w:oddVBand="0" w:evenVBand="1" w:oddHBand="0" w:evenHBand="0" w:firstRowFirstColumn="0" w:firstRowLastColumn="0" w:lastRowFirstColumn="0" w:lastRowLastColumn="0"/>
            <w:tcW w:w="1155" w:type="dxa"/>
          </w:tcPr>
          <w:p w14:paraId="462625A0" w14:textId="77777777" w:rsidR="00B93BEE" w:rsidRPr="0067507D" w:rsidRDefault="00B93BEE">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1227" w:type="dxa"/>
          </w:tcPr>
          <w:p w14:paraId="407E46D6" w14:textId="77777777" w:rsidR="00B93BEE" w:rsidRPr="0067507D" w:rsidRDefault="00B93BEE">
            <w:pPr>
              <w:pStyle w:val="Tabletextright"/>
            </w:pPr>
            <w:r w:rsidRPr="0067507D">
              <w:t>0</w:t>
            </w:r>
          </w:p>
        </w:tc>
      </w:tr>
      <w:tr w:rsidR="00B93BEE" w:rsidRPr="0067507D" w14:paraId="3D8A384E" w14:textId="77777777" w:rsidTr="00D85F24">
        <w:tc>
          <w:tcPr>
            <w:cnfStyle w:val="001000000000" w:firstRow="0" w:lastRow="0" w:firstColumn="1" w:lastColumn="0" w:oddVBand="0" w:evenVBand="0" w:oddHBand="0" w:evenHBand="0" w:firstRowFirstColumn="0" w:firstRowLastColumn="0" w:lastRowFirstColumn="0" w:lastRowLastColumn="0"/>
            <w:tcW w:w="5387" w:type="dxa"/>
          </w:tcPr>
          <w:p w14:paraId="3E0C6513" w14:textId="0DC364E3" w:rsidR="00B93BEE" w:rsidRPr="0067507D" w:rsidRDefault="00B93BEE">
            <w:pPr>
              <w:pStyle w:val="Tabletextbold"/>
            </w:pPr>
            <w:r w:rsidRPr="0067507D">
              <w:t>Greenhouse gas emissions from stationary fuel consumption (tonnes</w:t>
            </w:r>
            <w:r w:rsidRPr="0067507D">
              <w:rPr>
                <w:rFonts w:ascii="Calibri" w:hAnsi="Calibri" w:cs="Calibri"/>
              </w:rPr>
              <w:t> </w:t>
            </w:r>
            <w:r w:rsidRPr="0067507D">
              <w:t>CO</w:t>
            </w:r>
            <w:r w:rsidRPr="0067507D">
              <w:rPr>
                <w:vertAlign w:val="subscript"/>
              </w:rPr>
              <w:t>2</w:t>
            </w:r>
            <w:r w:rsidR="006A5485">
              <w:noBreakHyphen/>
            </w:r>
            <w:r w:rsidRPr="0067507D">
              <w:t xml:space="preserve">e) </w:t>
            </w:r>
            <w:r w:rsidRPr="0067507D">
              <w:rPr>
                <w:rFonts w:asciiTheme="minorHAnsi" w:hAnsiTheme="minorHAnsi"/>
              </w:rPr>
              <w:t>[Indicator F2]</w:t>
            </w:r>
          </w:p>
        </w:tc>
        <w:tc>
          <w:tcPr>
            <w:cnfStyle w:val="000010000000" w:firstRow="0" w:lastRow="0" w:firstColumn="0" w:lastColumn="0" w:oddVBand="1" w:evenVBand="0" w:oddHBand="0" w:evenHBand="0" w:firstRowFirstColumn="0" w:firstRowLastColumn="0" w:lastRowFirstColumn="0" w:lastRowLastColumn="0"/>
            <w:tcW w:w="1267" w:type="dxa"/>
          </w:tcPr>
          <w:p w14:paraId="7C8E617D" w14:textId="77777777" w:rsidR="00B93BEE" w:rsidRPr="0067507D" w:rsidRDefault="00B93BEE">
            <w:pPr>
              <w:pStyle w:val="Tabletextright"/>
              <w:rPr>
                <w:b/>
                <w:bCs/>
              </w:rPr>
            </w:pPr>
            <w:r w:rsidRPr="0067507D">
              <w:rPr>
                <w:b/>
                <w:bCs/>
              </w:rPr>
              <w:t>109.3</w:t>
            </w:r>
          </w:p>
        </w:tc>
        <w:tc>
          <w:tcPr>
            <w:cnfStyle w:val="000001000000" w:firstRow="0" w:lastRow="0" w:firstColumn="0" w:lastColumn="0" w:oddVBand="0" w:evenVBand="1" w:oddHBand="0" w:evenHBand="0" w:firstRowFirstColumn="0" w:firstRowLastColumn="0" w:lastRowFirstColumn="0" w:lastRowLastColumn="0"/>
            <w:tcW w:w="1155" w:type="dxa"/>
          </w:tcPr>
          <w:p w14:paraId="7D3F0592" w14:textId="77777777" w:rsidR="00B93BEE" w:rsidRPr="0067507D" w:rsidRDefault="00B93BEE">
            <w:pPr>
              <w:pStyle w:val="Tabletextright"/>
              <w:rPr>
                <w:b/>
                <w:bCs/>
              </w:rPr>
            </w:pPr>
            <w:r w:rsidRPr="0067507D">
              <w:rPr>
                <w:b/>
                <w:bCs/>
              </w:rPr>
              <w:t>110.4</w:t>
            </w:r>
          </w:p>
        </w:tc>
        <w:tc>
          <w:tcPr>
            <w:cnfStyle w:val="000010000000" w:firstRow="0" w:lastRow="0" w:firstColumn="0" w:lastColumn="0" w:oddVBand="1" w:evenVBand="0" w:oddHBand="0" w:evenHBand="0" w:firstRowFirstColumn="0" w:firstRowLastColumn="0" w:lastRowFirstColumn="0" w:lastRowLastColumn="0"/>
            <w:tcW w:w="1227" w:type="dxa"/>
          </w:tcPr>
          <w:p w14:paraId="75C5BA55" w14:textId="77777777" w:rsidR="00B93BEE" w:rsidRPr="0067507D" w:rsidRDefault="00B93BEE">
            <w:pPr>
              <w:pStyle w:val="Tabletextright"/>
              <w:rPr>
                <w:b/>
                <w:bCs/>
              </w:rPr>
            </w:pPr>
            <w:r w:rsidRPr="0067507D">
              <w:rPr>
                <w:b/>
                <w:bCs/>
              </w:rPr>
              <w:t>125.5</w:t>
            </w:r>
          </w:p>
        </w:tc>
      </w:tr>
    </w:tbl>
    <w:p w14:paraId="7A9ED1B0" w14:textId="77777777" w:rsidR="00B93BEE" w:rsidRPr="0067507D" w:rsidRDefault="00B93BEE" w:rsidP="00F324C0">
      <w:pPr>
        <w:pStyle w:val="Notes"/>
      </w:pPr>
      <w:r w:rsidRPr="0067507D">
        <w:t>Notes:</w:t>
      </w:r>
    </w:p>
    <w:p w14:paraId="39DF4679" w14:textId="180F1184" w:rsidR="00B93BEE" w:rsidRPr="0067507D" w:rsidRDefault="00B93BEE" w:rsidP="00F324C0">
      <w:pPr>
        <w:pStyle w:val="Notes"/>
      </w:pPr>
      <w:r w:rsidRPr="0067507D">
        <w:t>(a) The 2024</w:t>
      </w:r>
      <w:r w:rsidR="006A5485">
        <w:noBreakHyphen/>
      </w:r>
      <w:r w:rsidRPr="0067507D">
        <w:t>25 figures in this annual report contain accrued values for stationary fuel consumption.</w:t>
      </w:r>
    </w:p>
    <w:p w14:paraId="459F5B69" w14:textId="7CEF23C6" w:rsidR="00B93BEE" w:rsidRPr="0067507D" w:rsidRDefault="00B93BEE" w:rsidP="00F324C0">
      <w:pPr>
        <w:pStyle w:val="Notes"/>
      </w:pPr>
      <w:r w:rsidRPr="0067507D">
        <w:t>(b) Electricity and gas usage data are provided by outsourced providers via retailers who operate under the State's Energy Purchase Contracts.</w:t>
      </w:r>
    </w:p>
    <w:p w14:paraId="0D82A19D" w14:textId="77777777" w:rsidR="00B93BEE" w:rsidRPr="0067507D" w:rsidRDefault="00B93BEE" w:rsidP="00174807">
      <w:pPr>
        <w:rPr>
          <w:highlight w:val="yellow"/>
        </w:rPr>
      </w:pPr>
    </w:p>
    <w:p w14:paraId="677ECF09" w14:textId="77777777" w:rsidR="00B93BEE" w:rsidRPr="0067507D" w:rsidRDefault="00B93BEE" w:rsidP="00174807">
      <w:pPr>
        <w:pStyle w:val="Heading4"/>
        <w:rPr>
          <w:highlight w:val="yellow"/>
        </w:rPr>
        <w:sectPr w:rsidR="00B93BEE" w:rsidRPr="0067507D" w:rsidSect="00B93BEE">
          <w:type w:val="continuous"/>
          <w:pgSz w:w="11909" w:h="16834" w:code="9"/>
          <w:pgMar w:top="1728" w:right="1152" w:bottom="1267" w:left="1152" w:header="720" w:footer="288" w:gutter="0"/>
          <w:cols w:space="720"/>
          <w:noEndnote/>
        </w:sectPr>
      </w:pPr>
    </w:p>
    <w:p w14:paraId="06D985A8" w14:textId="5F3A06B9" w:rsidR="00B93BEE" w:rsidRPr="0067507D" w:rsidRDefault="00B93BEE" w:rsidP="00174807">
      <w:pPr>
        <w:pStyle w:val="Heading3"/>
      </w:pPr>
      <w:r w:rsidRPr="0067507D">
        <w:lastRenderedPageBreak/>
        <w:t>Transportation</w:t>
      </w:r>
    </w:p>
    <w:p w14:paraId="61E93B65" w14:textId="77777777" w:rsidR="00B93BEE" w:rsidRPr="0067507D" w:rsidRDefault="00B93BEE" w:rsidP="00174807">
      <w:pPr>
        <w:sectPr w:rsidR="00B93BEE" w:rsidRPr="0067507D" w:rsidSect="00B93BEE">
          <w:pgSz w:w="11909" w:h="16834" w:code="9"/>
          <w:pgMar w:top="1728" w:right="1152" w:bottom="1267" w:left="1152" w:header="720" w:footer="288" w:gutter="0"/>
          <w:cols w:space="720"/>
          <w:noEndnote/>
        </w:sectPr>
      </w:pPr>
    </w:p>
    <w:p w14:paraId="4B9888D4" w14:textId="77777777" w:rsidR="00B93BEE" w:rsidRPr="0067507D" w:rsidRDefault="00B93BEE" w:rsidP="00174807">
      <w:r w:rsidRPr="0067507D">
        <w:t>DTF uses vehicles from both VicFleet and from the Accommodation, Carpool and Library Services (ACLS) carpool</w:t>
      </w:r>
      <w:r w:rsidRPr="0067507D" w:rsidDel="00DA0048">
        <w:t xml:space="preserve"> </w:t>
      </w:r>
      <w:r w:rsidRPr="0067507D">
        <w:t xml:space="preserve">for its operational car travel. </w:t>
      </w:r>
    </w:p>
    <w:p w14:paraId="35C5FF83" w14:textId="77777777" w:rsidR="00B93BEE" w:rsidRPr="0067507D" w:rsidRDefault="00B93BEE" w:rsidP="00174807">
      <w:pPr>
        <w:rPr>
          <w:color w:val="232B39" w:themeColor="text1"/>
        </w:rPr>
      </w:pPr>
      <w:r w:rsidRPr="0067507D">
        <w:rPr>
          <w:color w:val="232B39" w:themeColor="text1"/>
        </w:rPr>
        <w:t>DTF’s travel guidelines align with the Victorian Public Service Travel Policy, which stipulates that travel alternatives (e.g. conference calls, video calls) must be pursued unless travel for government business is of benefit to the government entity. This also aligns with the State’s environmental policy objectives to pursue resource efficient technology.</w:t>
      </w:r>
    </w:p>
    <w:p w14:paraId="07E81DE8" w14:textId="5F28E5FE" w:rsidR="00B93BEE" w:rsidRPr="0067507D" w:rsidRDefault="00B93BEE" w:rsidP="00174807">
      <w:pPr>
        <w:rPr>
          <w:color w:val="232B39" w:themeColor="text1"/>
        </w:rPr>
      </w:pPr>
      <w:r w:rsidRPr="0067507D">
        <w:t>The reported decrease between 2023</w:t>
      </w:r>
      <w:r w:rsidR="006A5485">
        <w:noBreakHyphen/>
      </w:r>
      <w:r w:rsidRPr="0067507D">
        <w:t>24 and 2024</w:t>
      </w:r>
      <w:r w:rsidR="006A5485">
        <w:noBreakHyphen/>
      </w:r>
      <w:r w:rsidRPr="0067507D">
        <w:t>25 in energy used in transport fuels and greenhouse gas emissions from the vehicle fleet is due to a reduction in internal combustion engine vehicles, an increase in zero emissions vehicles and more fuel</w:t>
      </w:r>
      <w:r w:rsidR="006A5485">
        <w:noBreakHyphen/>
      </w:r>
      <w:r w:rsidRPr="0067507D">
        <w:t>efficient vehicles in the fleet.</w:t>
      </w:r>
    </w:p>
    <w:p w14:paraId="6ED01489" w14:textId="528C6A43" w:rsidR="00B93BEE" w:rsidRPr="0067507D" w:rsidRDefault="00B93BEE" w:rsidP="00174807">
      <w:r w:rsidRPr="0067507D">
        <w:t>In 2024</w:t>
      </w:r>
      <w:r w:rsidR="006A5485">
        <w:noBreakHyphen/>
      </w:r>
      <w:r w:rsidRPr="0067507D">
        <w:t>25 DTF operated a fleet of 38 vehicles via VicFleet, to facilitate its operational vehicle requirements.</w:t>
      </w:r>
    </w:p>
    <w:p w14:paraId="7B0F927A" w14:textId="12892117" w:rsidR="00B93BEE" w:rsidRPr="0067507D" w:rsidRDefault="00B93BEE" w:rsidP="00174807">
      <w:pPr>
        <w:rPr>
          <w:highlight w:val="yellow"/>
        </w:rPr>
        <w:sectPr w:rsidR="00B93BEE" w:rsidRPr="0067507D" w:rsidSect="00B93BEE">
          <w:type w:val="continuous"/>
          <w:pgSz w:w="11909" w:h="16834" w:code="9"/>
          <w:pgMar w:top="1728" w:right="1152" w:bottom="1267" w:left="1152" w:header="720" w:footer="288" w:gutter="0"/>
          <w:cols w:num="2" w:space="389"/>
          <w:noEndnote/>
        </w:sectPr>
      </w:pPr>
      <w:r w:rsidRPr="0067507D">
        <w:t>For the 2024</w:t>
      </w:r>
      <w:r w:rsidR="006A5485">
        <w:noBreakHyphen/>
      </w:r>
      <w:r w:rsidRPr="0067507D">
        <w:t>25 reporting period, total distance travelled by commercial air increased from the previous period. While the total number of flights decreased, there was a shift towards more long</w:t>
      </w:r>
      <w:r w:rsidR="006A5485">
        <w:noBreakHyphen/>
      </w:r>
      <w:r w:rsidRPr="0067507D">
        <w:t>haul travel compared to short</w:t>
      </w:r>
      <w:r w:rsidR="006A5485">
        <w:noBreakHyphen/>
      </w:r>
      <w:r w:rsidRPr="0067507D">
        <w:t xml:space="preserve">haul, contributing an overall increase in kilometres travelled. </w:t>
      </w:r>
    </w:p>
    <w:p w14:paraId="1F7344AA" w14:textId="77777777" w:rsidR="00B93BEE" w:rsidRPr="0067507D" w:rsidRDefault="00B93BEE" w:rsidP="001A0992">
      <w:pPr>
        <w:pStyle w:val="Notes"/>
        <w:spacing w:before="0" w:after="0"/>
        <w:rPr>
          <w:highlight w:val="yellow"/>
        </w:rPr>
      </w:pPr>
    </w:p>
    <w:tbl>
      <w:tblPr>
        <w:tblStyle w:val="AnnualReporttexttable"/>
        <w:tblW w:w="8577" w:type="dxa"/>
        <w:tblLayout w:type="fixed"/>
        <w:tblCellMar>
          <w:left w:w="86" w:type="dxa"/>
          <w:right w:w="86" w:type="dxa"/>
        </w:tblCellMar>
        <w:tblLook w:val="02A0" w:firstRow="1" w:lastRow="0" w:firstColumn="1" w:lastColumn="0" w:noHBand="1" w:noVBand="0"/>
      </w:tblPr>
      <w:tblGrid>
        <w:gridCol w:w="5040"/>
        <w:gridCol w:w="1179"/>
        <w:gridCol w:w="1179"/>
        <w:gridCol w:w="1179"/>
      </w:tblGrid>
      <w:tr w:rsidR="00B93BEE" w:rsidRPr="0067507D" w14:paraId="0429181C" w14:textId="77777777" w:rsidTr="00094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shd w:val="clear" w:color="auto" w:fill="auto"/>
          </w:tcPr>
          <w:p w14:paraId="241DE86E" w14:textId="77777777" w:rsidR="00B93BEE" w:rsidRPr="0067507D" w:rsidRDefault="00B93BEE">
            <w:pPr>
              <w:pStyle w:val="Tabletextheadingleft"/>
              <w:rPr>
                <w:b w:val="0"/>
              </w:rPr>
            </w:pPr>
            <w:r w:rsidRPr="0067507D">
              <w:rPr>
                <w:b w:val="0"/>
              </w:rPr>
              <w:t>Indicator</w:t>
            </w:r>
          </w:p>
        </w:tc>
        <w:tc>
          <w:tcPr>
            <w:cnfStyle w:val="000010000000" w:firstRow="0" w:lastRow="0" w:firstColumn="0" w:lastColumn="0" w:oddVBand="1" w:evenVBand="0" w:oddHBand="0" w:evenHBand="0" w:firstRowFirstColumn="0" w:firstRowLastColumn="0" w:lastRowFirstColumn="0" w:lastRowLastColumn="0"/>
            <w:tcW w:w="1179" w:type="dxa"/>
            <w:shd w:val="clear" w:color="auto" w:fill="auto"/>
          </w:tcPr>
          <w:p w14:paraId="2A6A800E" w14:textId="3D30FD51" w:rsidR="00B93BEE" w:rsidRPr="0067507D" w:rsidRDefault="00B93BEE">
            <w:pPr>
              <w:pStyle w:val="Tabletextheadingright"/>
              <w:rPr>
                <w:b w:val="0"/>
              </w:rPr>
            </w:pPr>
            <w:r w:rsidRPr="0067507D">
              <w:rPr>
                <w:b w:val="0"/>
              </w:rPr>
              <w:t>2024</w:t>
            </w:r>
            <w:r w:rsidR="006A5485">
              <w:rPr>
                <w:b w:val="0"/>
              </w:rPr>
              <w:noBreakHyphen/>
            </w:r>
            <w:r w:rsidRPr="0067507D">
              <w:rPr>
                <w:b w:val="0"/>
              </w:rPr>
              <w:t>25</w:t>
            </w:r>
          </w:p>
        </w:tc>
        <w:tc>
          <w:tcPr>
            <w:cnfStyle w:val="000001000000" w:firstRow="0" w:lastRow="0" w:firstColumn="0" w:lastColumn="0" w:oddVBand="0" w:evenVBand="1" w:oddHBand="0" w:evenHBand="0" w:firstRowFirstColumn="0" w:firstRowLastColumn="0" w:lastRowFirstColumn="0" w:lastRowLastColumn="0"/>
            <w:tcW w:w="1179" w:type="dxa"/>
            <w:shd w:val="clear" w:color="auto" w:fill="auto"/>
          </w:tcPr>
          <w:p w14:paraId="52BF667C" w14:textId="21F2D0A3" w:rsidR="00B93BEE" w:rsidRPr="0067507D" w:rsidRDefault="00B93BEE">
            <w:pPr>
              <w:pStyle w:val="Tabletextheadingright"/>
              <w:rPr>
                <w:b w:val="0"/>
              </w:rPr>
            </w:pPr>
            <w:r w:rsidRPr="0067507D">
              <w:rPr>
                <w:b w:val="0"/>
              </w:rPr>
              <w:t>2023</w:t>
            </w:r>
            <w:r w:rsidR="006A5485">
              <w:rPr>
                <w:b w:val="0"/>
              </w:rPr>
              <w:noBreakHyphen/>
            </w:r>
            <w:r w:rsidRPr="0067507D">
              <w:rPr>
                <w:b w:val="0"/>
              </w:rPr>
              <w:t>24</w:t>
            </w:r>
          </w:p>
        </w:tc>
        <w:tc>
          <w:tcPr>
            <w:cnfStyle w:val="000010000000" w:firstRow="0" w:lastRow="0" w:firstColumn="0" w:lastColumn="0" w:oddVBand="1" w:evenVBand="0" w:oddHBand="0" w:evenHBand="0" w:firstRowFirstColumn="0" w:firstRowLastColumn="0" w:lastRowFirstColumn="0" w:lastRowLastColumn="0"/>
            <w:tcW w:w="1179" w:type="dxa"/>
            <w:shd w:val="clear" w:color="auto" w:fill="auto"/>
          </w:tcPr>
          <w:p w14:paraId="13CB953E" w14:textId="16C43A87" w:rsidR="00B93BEE" w:rsidRPr="0067507D" w:rsidRDefault="00B93BEE">
            <w:pPr>
              <w:pStyle w:val="Tabletextheadingright"/>
              <w:rPr>
                <w:b w:val="0"/>
                <w:highlight w:val="yellow"/>
              </w:rPr>
            </w:pPr>
            <w:r w:rsidRPr="0067507D">
              <w:rPr>
                <w:b w:val="0"/>
              </w:rPr>
              <w:t>2022</w:t>
            </w:r>
            <w:r w:rsidR="006A5485">
              <w:rPr>
                <w:b w:val="0"/>
              </w:rPr>
              <w:noBreakHyphen/>
            </w:r>
            <w:r w:rsidRPr="0067507D">
              <w:rPr>
                <w:b w:val="0"/>
              </w:rPr>
              <w:t>23</w:t>
            </w:r>
          </w:p>
        </w:tc>
      </w:tr>
      <w:tr w:rsidR="00B93BEE" w:rsidRPr="0067507D" w14:paraId="77719C9C"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378EA092" w14:textId="77777777" w:rsidR="00B93BEE" w:rsidRPr="0067507D" w:rsidRDefault="00B93BEE" w:rsidP="00705C56">
            <w:pPr>
              <w:pStyle w:val="Tabletextbold"/>
            </w:pPr>
            <w:r w:rsidRPr="0067507D">
              <w:t xml:space="preserve">Total energy used in transportation (MJ) </w:t>
            </w:r>
            <w:r w:rsidRPr="0067507D">
              <w:rPr>
                <w:rFonts w:asciiTheme="minorHAnsi" w:hAnsiTheme="minorHAnsi"/>
              </w:rPr>
              <w:t xml:space="preserve">[Indicator T1] </w:t>
            </w:r>
            <w:r w:rsidRPr="0067507D">
              <w:rPr>
                <w:rFonts w:asciiTheme="minorHAnsi" w:hAnsiTheme="minorHAnsi"/>
                <w:vertAlign w:val="superscript"/>
              </w:rPr>
              <w:t>(a)</w:t>
            </w:r>
          </w:p>
        </w:tc>
        <w:tc>
          <w:tcPr>
            <w:cnfStyle w:val="000010000000" w:firstRow="0" w:lastRow="0" w:firstColumn="0" w:lastColumn="0" w:oddVBand="1" w:evenVBand="0" w:oddHBand="0" w:evenHBand="0" w:firstRowFirstColumn="0" w:firstRowLastColumn="0" w:lastRowFirstColumn="0" w:lastRowLastColumn="0"/>
            <w:tcW w:w="1179" w:type="dxa"/>
          </w:tcPr>
          <w:p w14:paraId="75B2D5EE" w14:textId="77777777" w:rsidR="00B93BEE" w:rsidRPr="0067507D" w:rsidRDefault="00B93BEE" w:rsidP="00705C56">
            <w:pPr>
              <w:pStyle w:val="Tabletextrightbold"/>
            </w:pPr>
            <w:r w:rsidRPr="0067507D">
              <w:t>1 467 175</w:t>
            </w:r>
          </w:p>
        </w:tc>
        <w:tc>
          <w:tcPr>
            <w:cnfStyle w:val="000001000000" w:firstRow="0" w:lastRow="0" w:firstColumn="0" w:lastColumn="0" w:oddVBand="0" w:evenVBand="1" w:oddHBand="0" w:evenHBand="0" w:firstRowFirstColumn="0" w:firstRowLastColumn="0" w:lastRowFirstColumn="0" w:lastRowLastColumn="0"/>
            <w:tcW w:w="1179" w:type="dxa"/>
          </w:tcPr>
          <w:p w14:paraId="68C603F2" w14:textId="77777777" w:rsidR="00B93BEE" w:rsidRPr="0067507D" w:rsidRDefault="00B93BEE" w:rsidP="00705C56">
            <w:pPr>
              <w:pStyle w:val="Tabletextrightbold"/>
            </w:pPr>
            <w:r w:rsidRPr="0067507D">
              <w:t>1 692 155</w:t>
            </w:r>
          </w:p>
        </w:tc>
        <w:tc>
          <w:tcPr>
            <w:cnfStyle w:val="000010000000" w:firstRow="0" w:lastRow="0" w:firstColumn="0" w:lastColumn="0" w:oddVBand="1" w:evenVBand="0" w:oddHBand="0" w:evenHBand="0" w:firstRowFirstColumn="0" w:firstRowLastColumn="0" w:lastRowFirstColumn="0" w:lastRowLastColumn="0"/>
            <w:tcW w:w="1179" w:type="dxa"/>
          </w:tcPr>
          <w:p w14:paraId="0F9237C1" w14:textId="77777777" w:rsidR="00B93BEE" w:rsidRPr="0067507D" w:rsidRDefault="00B93BEE" w:rsidP="00705C56">
            <w:pPr>
              <w:pStyle w:val="Tabletextrightbold"/>
            </w:pPr>
            <w:r w:rsidRPr="0067507D">
              <w:t>67 478</w:t>
            </w:r>
          </w:p>
        </w:tc>
      </w:tr>
      <w:tr w:rsidR="00B93BEE" w:rsidRPr="0067507D" w14:paraId="6EC65579"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5C920109" w14:textId="77777777" w:rsidR="00B93BEE" w:rsidRPr="0067507D" w:rsidRDefault="00B93BEE" w:rsidP="00705C56">
            <w:pPr>
              <w:pStyle w:val="Tabletextbold"/>
            </w:pPr>
            <w:r w:rsidRPr="0067507D">
              <w:t>Road vehicles</w:t>
            </w:r>
          </w:p>
        </w:tc>
        <w:tc>
          <w:tcPr>
            <w:cnfStyle w:val="000010000000" w:firstRow="0" w:lastRow="0" w:firstColumn="0" w:lastColumn="0" w:oddVBand="1" w:evenVBand="0" w:oddHBand="0" w:evenHBand="0" w:firstRowFirstColumn="0" w:firstRowLastColumn="0" w:lastRowFirstColumn="0" w:lastRowLastColumn="0"/>
            <w:tcW w:w="1179" w:type="dxa"/>
          </w:tcPr>
          <w:p w14:paraId="683E938E" w14:textId="77777777" w:rsidR="00B93BEE" w:rsidRPr="0067507D" w:rsidRDefault="00B93BEE" w:rsidP="00705C56">
            <w:pPr>
              <w:pStyle w:val="Tabletextrightbold"/>
            </w:pPr>
            <w:r w:rsidRPr="0067507D">
              <w:t>1 467 175</w:t>
            </w:r>
          </w:p>
        </w:tc>
        <w:tc>
          <w:tcPr>
            <w:cnfStyle w:val="000001000000" w:firstRow="0" w:lastRow="0" w:firstColumn="0" w:lastColumn="0" w:oddVBand="0" w:evenVBand="1" w:oddHBand="0" w:evenHBand="0" w:firstRowFirstColumn="0" w:firstRowLastColumn="0" w:lastRowFirstColumn="0" w:lastRowLastColumn="0"/>
            <w:tcW w:w="1179" w:type="dxa"/>
          </w:tcPr>
          <w:p w14:paraId="43AF8DE5" w14:textId="77777777" w:rsidR="00B93BEE" w:rsidRPr="0067507D" w:rsidRDefault="00B93BEE" w:rsidP="00705C56">
            <w:pPr>
              <w:pStyle w:val="Tabletextrightbold"/>
            </w:pPr>
            <w:r w:rsidRPr="0067507D">
              <w:t>1 692 155</w:t>
            </w:r>
          </w:p>
        </w:tc>
        <w:tc>
          <w:tcPr>
            <w:cnfStyle w:val="000010000000" w:firstRow="0" w:lastRow="0" w:firstColumn="0" w:lastColumn="0" w:oddVBand="1" w:evenVBand="0" w:oddHBand="0" w:evenHBand="0" w:firstRowFirstColumn="0" w:firstRowLastColumn="0" w:lastRowFirstColumn="0" w:lastRowLastColumn="0"/>
            <w:tcW w:w="1179" w:type="dxa"/>
          </w:tcPr>
          <w:p w14:paraId="40E365D4" w14:textId="77777777" w:rsidR="00B93BEE" w:rsidRPr="0067507D" w:rsidRDefault="00B93BEE" w:rsidP="00705C56">
            <w:pPr>
              <w:pStyle w:val="Tabletextrightbold"/>
            </w:pPr>
            <w:r w:rsidRPr="0067507D">
              <w:t>67 478</w:t>
            </w:r>
          </w:p>
        </w:tc>
      </w:tr>
      <w:tr w:rsidR="00B93BEE" w:rsidRPr="0067507D" w14:paraId="28B4A103"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49C9EC88" w14:textId="77777777" w:rsidR="00B93BEE" w:rsidRPr="0067507D" w:rsidRDefault="00B93BEE" w:rsidP="00705C56">
            <w:pPr>
              <w:pStyle w:val="Tabletext"/>
              <w:spacing w:before="15" w:after="15"/>
            </w:pPr>
            <w:r w:rsidRPr="0067507D">
              <w:t xml:space="preserve">Passenger vehicles </w:t>
            </w:r>
          </w:p>
        </w:tc>
        <w:tc>
          <w:tcPr>
            <w:cnfStyle w:val="000010000000" w:firstRow="0" w:lastRow="0" w:firstColumn="0" w:lastColumn="0" w:oddVBand="1" w:evenVBand="0" w:oddHBand="0" w:evenHBand="0" w:firstRowFirstColumn="0" w:firstRowLastColumn="0" w:lastRowFirstColumn="0" w:lastRowLastColumn="0"/>
            <w:tcW w:w="1179" w:type="dxa"/>
          </w:tcPr>
          <w:p w14:paraId="6283F4B2" w14:textId="77777777" w:rsidR="00B93BEE" w:rsidRPr="0067507D" w:rsidRDefault="00B93BEE" w:rsidP="00705C56">
            <w:pPr>
              <w:pStyle w:val="Tabletextright"/>
            </w:pPr>
            <w:r w:rsidRPr="0067507D">
              <w:t>1 467 175</w:t>
            </w:r>
          </w:p>
        </w:tc>
        <w:tc>
          <w:tcPr>
            <w:cnfStyle w:val="000001000000" w:firstRow="0" w:lastRow="0" w:firstColumn="0" w:lastColumn="0" w:oddVBand="0" w:evenVBand="1" w:oddHBand="0" w:evenHBand="0" w:firstRowFirstColumn="0" w:firstRowLastColumn="0" w:lastRowFirstColumn="0" w:lastRowLastColumn="0"/>
            <w:tcW w:w="1179" w:type="dxa"/>
          </w:tcPr>
          <w:p w14:paraId="7B4F41F4" w14:textId="77777777" w:rsidR="00B93BEE" w:rsidRPr="0067507D" w:rsidRDefault="00B93BEE" w:rsidP="00705C56">
            <w:pPr>
              <w:pStyle w:val="Tabletextright"/>
            </w:pPr>
            <w:r w:rsidRPr="0067507D">
              <w:t>1 692 155</w:t>
            </w:r>
          </w:p>
        </w:tc>
        <w:tc>
          <w:tcPr>
            <w:cnfStyle w:val="000010000000" w:firstRow="0" w:lastRow="0" w:firstColumn="0" w:lastColumn="0" w:oddVBand="1" w:evenVBand="0" w:oddHBand="0" w:evenHBand="0" w:firstRowFirstColumn="0" w:firstRowLastColumn="0" w:lastRowFirstColumn="0" w:lastRowLastColumn="0"/>
            <w:tcW w:w="1179" w:type="dxa"/>
          </w:tcPr>
          <w:p w14:paraId="2AA2200F" w14:textId="77777777" w:rsidR="00B93BEE" w:rsidRPr="0067507D" w:rsidRDefault="00B93BEE" w:rsidP="00705C56">
            <w:pPr>
              <w:pStyle w:val="Tabletextright"/>
            </w:pPr>
            <w:r w:rsidRPr="0067507D">
              <w:t>67 478</w:t>
            </w:r>
          </w:p>
        </w:tc>
      </w:tr>
      <w:tr w:rsidR="00B93BEE" w:rsidRPr="0067507D" w14:paraId="5D9D28D3"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3491C775" w14:textId="77777777" w:rsidR="00B93BEE" w:rsidRPr="0067507D" w:rsidRDefault="00B93BEE" w:rsidP="00705C56">
            <w:pPr>
              <w:pStyle w:val="Tabletextindent"/>
            </w:pPr>
            <w:r w:rsidRPr="0067507D">
              <w:t>Petrol</w:t>
            </w:r>
          </w:p>
        </w:tc>
        <w:tc>
          <w:tcPr>
            <w:cnfStyle w:val="000010000000" w:firstRow="0" w:lastRow="0" w:firstColumn="0" w:lastColumn="0" w:oddVBand="1" w:evenVBand="0" w:oddHBand="0" w:evenHBand="0" w:firstRowFirstColumn="0" w:firstRowLastColumn="0" w:lastRowFirstColumn="0" w:lastRowLastColumn="0"/>
            <w:tcW w:w="1179" w:type="dxa"/>
          </w:tcPr>
          <w:p w14:paraId="579DA566" w14:textId="77777777" w:rsidR="00B93BEE" w:rsidRPr="0067507D" w:rsidRDefault="00B93BEE" w:rsidP="00705C56">
            <w:pPr>
              <w:pStyle w:val="Tabletextright"/>
            </w:pPr>
            <w:r w:rsidRPr="0067507D">
              <w:t>1 076 582</w:t>
            </w:r>
          </w:p>
        </w:tc>
        <w:tc>
          <w:tcPr>
            <w:cnfStyle w:val="000001000000" w:firstRow="0" w:lastRow="0" w:firstColumn="0" w:lastColumn="0" w:oddVBand="0" w:evenVBand="1" w:oddHBand="0" w:evenHBand="0" w:firstRowFirstColumn="0" w:firstRowLastColumn="0" w:lastRowFirstColumn="0" w:lastRowLastColumn="0"/>
            <w:tcW w:w="1179" w:type="dxa"/>
          </w:tcPr>
          <w:p w14:paraId="55DF2859" w14:textId="77777777" w:rsidR="00B93BEE" w:rsidRPr="0067507D" w:rsidRDefault="00B93BEE" w:rsidP="00705C56">
            <w:pPr>
              <w:pStyle w:val="Tabletextright"/>
            </w:pPr>
            <w:r w:rsidRPr="0067507D">
              <w:t>1 254 377</w:t>
            </w:r>
          </w:p>
        </w:tc>
        <w:tc>
          <w:tcPr>
            <w:cnfStyle w:val="000010000000" w:firstRow="0" w:lastRow="0" w:firstColumn="0" w:lastColumn="0" w:oddVBand="1" w:evenVBand="0" w:oddHBand="0" w:evenHBand="0" w:firstRowFirstColumn="0" w:firstRowLastColumn="0" w:lastRowFirstColumn="0" w:lastRowLastColumn="0"/>
            <w:tcW w:w="1179" w:type="dxa"/>
          </w:tcPr>
          <w:p w14:paraId="6D1BC68E" w14:textId="77777777" w:rsidR="00B93BEE" w:rsidRPr="0067507D" w:rsidRDefault="00B93BEE" w:rsidP="00705C56">
            <w:pPr>
              <w:pStyle w:val="Tabletextright"/>
            </w:pPr>
            <w:r w:rsidRPr="0067507D">
              <w:t>33 435</w:t>
            </w:r>
          </w:p>
        </w:tc>
      </w:tr>
      <w:tr w:rsidR="00B93BEE" w:rsidRPr="0067507D" w14:paraId="516944AA"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71340E93" w14:textId="77777777" w:rsidR="00B93BEE" w:rsidRPr="0067507D" w:rsidRDefault="00B93BEE" w:rsidP="00705C56">
            <w:pPr>
              <w:pStyle w:val="Tabletextindent"/>
            </w:pPr>
            <w:r w:rsidRPr="0067507D">
              <w:t>Diesel</w:t>
            </w:r>
          </w:p>
        </w:tc>
        <w:tc>
          <w:tcPr>
            <w:cnfStyle w:val="000010000000" w:firstRow="0" w:lastRow="0" w:firstColumn="0" w:lastColumn="0" w:oddVBand="1" w:evenVBand="0" w:oddHBand="0" w:evenHBand="0" w:firstRowFirstColumn="0" w:firstRowLastColumn="0" w:lastRowFirstColumn="0" w:lastRowLastColumn="0"/>
            <w:tcW w:w="1179" w:type="dxa"/>
          </w:tcPr>
          <w:p w14:paraId="75201B21" w14:textId="77777777" w:rsidR="00B93BEE" w:rsidRPr="0067507D" w:rsidRDefault="00B93BEE" w:rsidP="00705C56">
            <w:pPr>
              <w:pStyle w:val="Tabletextright"/>
            </w:pPr>
            <w:r w:rsidRPr="0067507D">
              <w:t>390 593</w:t>
            </w:r>
          </w:p>
        </w:tc>
        <w:tc>
          <w:tcPr>
            <w:cnfStyle w:val="000001000000" w:firstRow="0" w:lastRow="0" w:firstColumn="0" w:lastColumn="0" w:oddVBand="0" w:evenVBand="1" w:oddHBand="0" w:evenHBand="0" w:firstRowFirstColumn="0" w:firstRowLastColumn="0" w:lastRowFirstColumn="0" w:lastRowLastColumn="0"/>
            <w:tcW w:w="1179" w:type="dxa"/>
          </w:tcPr>
          <w:p w14:paraId="6BBDB965" w14:textId="77777777" w:rsidR="00B93BEE" w:rsidRPr="0067507D" w:rsidRDefault="00B93BEE" w:rsidP="00705C56">
            <w:pPr>
              <w:pStyle w:val="Tabletextright"/>
            </w:pPr>
            <w:r w:rsidRPr="0067507D">
              <w:t>437 778</w:t>
            </w:r>
          </w:p>
        </w:tc>
        <w:tc>
          <w:tcPr>
            <w:cnfStyle w:val="000010000000" w:firstRow="0" w:lastRow="0" w:firstColumn="0" w:lastColumn="0" w:oddVBand="1" w:evenVBand="0" w:oddHBand="0" w:evenHBand="0" w:firstRowFirstColumn="0" w:firstRowLastColumn="0" w:lastRowFirstColumn="0" w:lastRowLastColumn="0"/>
            <w:tcW w:w="1179" w:type="dxa"/>
          </w:tcPr>
          <w:p w14:paraId="687E53FF" w14:textId="77777777" w:rsidR="00B93BEE" w:rsidRPr="0067507D" w:rsidRDefault="00B93BEE" w:rsidP="00705C56">
            <w:pPr>
              <w:pStyle w:val="Tabletextright"/>
            </w:pPr>
            <w:r w:rsidRPr="0067507D">
              <w:t>4 078</w:t>
            </w:r>
          </w:p>
        </w:tc>
      </w:tr>
      <w:tr w:rsidR="00B93BEE" w:rsidRPr="0067507D" w14:paraId="75BBE87B"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4E7BFE3B" w14:textId="77777777" w:rsidR="00B93BEE" w:rsidRPr="0067507D" w:rsidRDefault="00B93BEE" w:rsidP="00705C56">
            <w:pPr>
              <w:pStyle w:val="Tabletextindent"/>
            </w:pPr>
            <w:r w:rsidRPr="0067507D">
              <w:t xml:space="preserve">Electricity (MWh) </w:t>
            </w:r>
            <w:r w:rsidRPr="0067507D">
              <w:rPr>
                <w:vertAlign w:val="superscript"/>
              </w:rPr>
              <w:t>(b)</w:t>
            </w:r>
          </w:p>
        </w:tc>
        <w:tc>
          <w:tcPr>
            <w:cnfStyle w:val="000010000000" w:firstRow="0" w:lastRow="0" w:firstColumn="0" w:lastColumn="0" w:oddVBand="1" w:evenVBand="0" w:oddHBand="0" w:evenHBand="0" w:firstRowFirstColumn="0" w:firstRowLastColumn="0" w:lastRowFirstColumn="0" w:lastRowLastColumn="0"/>
            <w:tcW w:w="1179" w:type="dxa"/>
          </w:tcPr>
          <w:p w14:paraId="05D4FA6C" w14:textId="77777777" w:rsidR="00B93BEE" w:rsidRPr="0067507D" w:rsidRDefault="00B93BEE" w:rsidP="00705C56">
            <w:pPr>
              <w:pStyle w:val="Tabletextright"/>
            </w:pPr>
            <w:r w:rsidRPr="0067507D">
              <w:rPr>
                <w:color w:val="auto"/>
              </w:rPr>
              <w:t>0</w:t>
            </w:r>
          </w:p>
        </w:tc>
        <w:tc>
          <w:tcPr>
            <w:cnfStyle w:val="000001000000" w:firstRow="0" w:lastRow="0" w:firstColumn="0" w:lastColumn="0" w:oddVBand="0" w:evenVBand="1" w:oddHBand="0" w:evenHBand="0" w:firstRowFirstColumn="0" w:firstRowLastColumn="0" w:lastRowFirstColumn="0" w:lastRowLastColumn="0"/>
            <w:tcW w:w="1179" w:type="dxa"/>
          </w:tcPr>
          <w:p w14:paraId="5697C4AB" w14:textId="77777777" w:rsidR="00B93BEE" w:rsidRPr="0067507D" w:rsidRDefault="00B93BEE" w:rsidP="00705C56">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1179" w:type="dxa"/>
          </w:tcPr>
          <w:p w14:paraId="1760C03F" w14:textId="77777777" w:rsidR="00B93BEE" w:rsidRPr="0067507D" w:rsidRDefault="00B93BEE" w:rsidP="00705C56">
            <w:pPr>
              <w:pStyle w:val="Tabletextright"/>
            </w:pPr>
            <w:r w:rsidRPr="0067507D">
              <w:t>0</w:t>
            </w:r>
          </w:p>
        </w:tc>
      </w:tr>
      <w:tr w:rsidR="00B93BEE" w:rsidRPr="0067507D" w14:paraId="3D7D5B29"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44D2AE58" w14:textId="77777777" w:rsidR="00B93BEE" w:rsidRPr="0067507D" w:rsidRDefault="00B93BEE" w:rsidP="00705C56">
            <w:pPr>
              <w:pStyle w:val="Tabletext"/>
            </w:pPr>
            <w:r w:rsidRPr="0067507D">
              <w:t>Goods vehicles</w:t>
            </w:r>
          </w:p>
        </w:tc>
        <w:tc>
          <w:tcPr>
            <w:cnfStyle w:val="000010000000" w:firstRow="0" w:lastRow="0" w:firstColumn="0" w:lastColumn="0" w:oddVBand="1" w:evenVBand="0" w:oddHBand="0" w:evenHBand="0" w:firstRowFirstColumn="0" w:firstRowLastColumn="0" w:lastRowFirstColumn="0" w:lastRowLastColumn="0"/>
            <w:tcW w:w="1179" w:type="dxa"/>
          </w:tcPr>
          <w:p w14:paraId="617742F4" w14:textId="77777777" w:rsidR="00B93BEE" w:rsidRPr="0067507D" w:rsidRDefault="00B93BEE" w:rsidP="00705C56">
            <w:pPr>
              <w:pStyle w:val="Tabletextright"/>
            </w:pPr>
            <w:r w:rsidRPr="0067507D">
              <w:rPr>
                <w:color w:val="auto"/>
              </w:rPr>
              <w:t>0</w:t>
            </w:r>
          </w:p>
        </w:tc>
        <w:tc>
          <w:tcPr>
            <w:cnfStyle w:val="000001000000" w:firstRow="0" w:lastRow="0" w:firstColumn="0" w:lastColumn="0" w:oddVBand="0" w:evenVBand="1" w:oddHBand="0" w:evenHBand="0" w:firstRowFirstColumn="0" w:firstRowLastColumn="0" w:lastRowFirstColumn="0" w:lastRowLastColumn="0"/>
            <w:tcW w:w="1179" w:type="dxa"/>
          </w:tcPr>
          <w:p w14:paraId="37507471" w14:textId="77777777" w:rsidR="00B93BEE" w:rsidRPr="0067507D" w:rsidRDefault="00B93BEE" w:rsidP="00705C56">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1179" w:type="dxa"/>
          </w:tcPr>
          <w:p w14:paraId="248FD8D0" w14:textId="77777777" w:rsidR="00B93BEE" w:rsidRPr="0067507D" w:rsidRDefault="00B93BEE" w:rsidP="00705C56">
            <w:pPr>
              <w:pStyle w:val="Tabletextright"/>
            </w:pPr>
            <w:r w:rsidRPr="0067507D">
              <w:t>0</w:t>
            </w:r>
          </w:p>
        </w:tc>
      </w:tr>
      <w:tr w:rsidR="00B93BEE" w:rsidRPr="0067507D" w14:paraId="171820FD"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0D1F0532" w14:textId="77777777" w:rsidR="00B93BEE" w:rsidRPr="0067507D" w:rsidRDefault="00B93BEE" w:rsidP="00705C56">
            <w:pPr>
              <w:pStyle w:val="Tabletextbold"/>
            </w:pPr>
            <w:r w:rsidRPr="0067507D">
              <w:t>Greenhouse gas emissions from vehicle fleet (tonnes CO</w:t>
            </w:r>
            <w:r w:rsidRPr="0067507D">
              <w:rPr>
                <w:vertAlign w:val="subscript"/>
              </w:rPr>
              <w:t>2</w:t>
            </w:r>
            <w:r w:rsidRPr="0067507D">
              <w:noBreakHyphen/>
              <w:t xml:space="preserve">e) </w:t>
            </w:r>
            <w:r w:rsidRPr="0067507D">
              <w:rPr>
                <w:rFonts w:asciiTheme="minorHAnsi" w:hAnsiTheme="minorHAnsi"/>
              </w:rPr>
              <w:t>[Indicator</w:t>
            </w:r>
            <w:r w:rsidRPr="0067507D">
              <w:rPr>
                <w:rFonts w:ascii="Calibri" w:hAnsi="Calibri" w:cs="Calibri"/>
              </w:rPr>
              <w:t> </w:t>
            </w:r>
            <w:r w:rsidRPr="0067507D">
              <w:rPr>
                <w:rFonts w:asciiTheme="minorHAnsi" w:hAnsiTheme="minorHAnsi"/>
              </w:rPr>
              <w:t>T3]</w:t>
            </w:r>
          </w:p>
        </w:tc>
        <w:tc>
          <w:tcPr>
            <w:cnfStyle w:val="000010000000" w:firstRow="0" w:lastRow="0" w:firstColumn="0" w:lastColumn="0" w:oddVBand="1" w:evenVBand="0" w:oddHBand="0" w:evenHBand="0" w:firstRowFirstColumn="0" w:firstRowLastColumn="0" w:lastRowFirstColumn="0" w:lastRowLastColumn="0"/>
            <w:tcW w:w="1179" w:type="dxa"/>
          </w:tcPr>
          <w:p w14:paraId="7A1705B5" w14:textId="77777777" w:rsidR="00B93BEE" w:rsidRPr="0067507D" w:rsidRDefault="00B93BEE" w:rsidP="00705C56">
            <w:pPr>
              <w:pStyle w:val="Tabletextrightbold"/>
            </w:pPr>
            <w:r w:rsidRPr="0067507D">
              <w:t>100</w:t>
            </w:r>
          </w:p>
        </w:tc>
        <w:tc>
          <w:tcPr>
            <w:cnfStyle w:val="000001000000" w:firstRow="0" w:lastRow="0" w:firstColumn="0" w:lastColumn="0" w:oddVBand="0" w:evenVBand="1" w:oddHBand="0" w:evenHBand="0" w:firstRowFirstColumn="0" w:firstRowLastColumn="0" w:lastRowFirstColumn="0" w:lastRowLastColumn="0"/>
            <w:tcW w:w="1179" w:type="dxa"/>
          </w:tcPr>
          <w:p w14:paraId="6042F9F2" w14:textId="77777777" w:rsidR="00B93BEE" w:rsidRPr="0067507D" w:rsidRDefault="00B93BEE" w:rsidP="00705C56">
            <w:pPr>
              <w:pStyle w:val="Tabletextrightbold"/>
            </w:pPr>
            <w:r w:rsidRPr="0067507D">
              <w:t>116</w:t>
            </w:r>
          </w:p>
        </w:tc>
        <w:tc>
          <w:tcPr>
            <w:cnfStyle w:val="000010000000" w:firstRow="0" w:lastRow="0" w:firstColumn="0" w:lastColumn="0" w:oddVBand="1" w:evenVBand="0" w:oddHBand="0" w:evenHBand="0" w:firstRowFirstColumn="0" w:firstRowLastColumn="0" w:lastRowFirstColumn="0" w:lastRowLastColumn="0"/>
            <w:tcW w:w="1179" w:type="dxa"/>
          </w:tcPr>
          <w:p w14:paraId="047BA93C" w14:textId="77777777" w:rsidR="00B93BEE" w:rsidRPr="0067507D" w:rsidRDefault="00B93BEE" w:rsidP="00705C56">
            <w:pPr>
              <w:pStyle w:val="Tabletextrightbold"/>
            </w:pPr>
            <w:r w:rsidRPr="0067507D">
              <w:t>4.57</w:t>
            </w:r>
          </w:p>
        </w:tc>
      </w:tr>
      <w:tr w:rsidR="00B93BEE" w:rsidRPr="0067507D" w14:paraId="49B75B6E"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13B65A9C" w14:textId="77777777" w:rsidR="00B93BEE" w:rsidRPr="0067507D" w:rsidRDefault="00B93BEE" w:rsidP="00705C56">
            <w:pPr>
              <w:pStyle w:val="Tabletextbold"/>
            </w:pPr>
            <w:r w:rsidRPr="0067507D">
              <w:t>Road vehicles</w:t>
            </w:r>
          </w:p>
        </w:tc>
        <w:tc>
          <w:tcPr>
            <w:cnfStyle w:val="000010000000" w:firstRow="0" w:lastRow="0" w:firstColumn="0" w:lastColumn="0" w:oddVBand="1" w:evenVBand="0" w:oddHBand="0" w:evenHBand="0" w:firstRowFirstColumn="0" w:firstRowLastColumn="0" w:lastRowFirstColumn="0" w:lastRowLastColumn="0"/>
            <w:tcW w:w="1179" w:type="dxa"/>
          </w:tcPr>
          <w:p w14:paraId="55BEDE33" w14:textId="77777777" w:rsidR="00B93BEE" w:rsidRPr="0067507D" w:rsidRDefault="00B93BEE" w:rsidP="00705C56">
            <w:pPr>
              <w:pStyle w:val="Tabletextrightbold"/>
            </w:pPr>
            <w:r w:rsidRPr="0067507D">
              <w:t>100</w:t>
            </w:r>
          </w:p>
        </w:tc>
        <w:tc>
          <w:tcPr>
            <w:cnfStyle w:val="000001000000" w:firstRow="0" w:lastRow="0" w:firstColumn="0" w:lastColumn="0" w:oddVBand="0" w:evenVBand="1" w:oddHBand="0" w:evenHBand="0" w:firstRowFirstColumn="0" w:firstRowLastColumn="0" w:lastRowFirstColumn="0" w:lastRowLastColumn="0"/>
            <w:tcW w:w="1179" w:type="dxa"/>
          </w:tcPr>
          <w:p w14:paraId="165F27F7" w14:textId="77777777" w:rsidR="00B93BEE" w:rsidRPr="0067507D" w:rsidRDefault="00B93BEE" w:rsidP="00705C56">
            <w:pPr>
              <w:pStyle w:val="Tabletextrightbold"/>
            </w:pPr>
            <w:r w:rsidRPr="0067507D">
              <w:t>116</w:t>
            </w:r>
          </w:p>
        </w:tc>
        <w:tc>
          <w:tcPr>
            <w:cnfStyle w:val="000010000000" w:firstRow="0" w:lastRow="0" w:firstColumn="0" w:lastColumn="0" w:oddVBand="1" w:evenVBand="0" w:oddHBand="0" w:evenHBand="0" w:firstRowFirstColumn="0" w:firstRowLastColumn="0" w:lastRowFirstColumn="0" w:lastRowLastColumn="0"/>
            <w:tcW w:w="1179" w:type="dxa"/>
          </w:tcPr>
          <w:p w14:paraId="5B8CF59C" w14:textId="77777777" w:rsidR="00B93BEE" w:rsidRPr="0067507D" w:rsidRDefault="00B93BEE" w:rsidP="00705C56">
            <w:pPr>
              <w:pStyle w:val="Tabletextrightbold"/>
            </w:pPr>
            <w:r w:rsidRPr="0067507D">
              <w:t>4.57</w:t>
            </w:r>
          </w:p>
        </w:tc>
      </w:tr>
      <w:tr w:rsidR="00B93BEE" w:rsidRPr="0067507D" w14:paraId="5BED572A"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1A3B6B2C" w14:textId="77777777" w:rsidR="00B93BEE" w:rsidRPr="0067507D" w:rsidRDefault="00B93BEE" w:rsidP="00705C56">
            <w:pPr>
              <w:pStyle w:val="Tabletext"/>
              <w:spacing w:before="15" w:after="15"/>
            </w:pPr>
            <w:r w:rsidRPr="0067507D">
              <w:t>Passenger vehicles</w:t>
            </w:r>
          </w:p>
        </w:tc>
        <w:tc>
          <w:tcPr>
            <w:cnfStyle w:val="000010000000" w:firstRow="0" w:lastRow="0" w:firstColumn="0" w:lastColumn="0" w:oddVBand="1" w:evenVBand="0" w:oddHBand="0" w:evenHBand="0" w:firstRowFirstColumn="0" w:firstRowLastColumn="0" w:lastRowFirstColumn="0" w:lastRowLastColumn="0"/>
            <w:tcW w:w="1179" w:type="dxa"/>
          </w:tcPr>
          <w:p w14:paraId="748B3326" w14:textId="77777777" w:rsidR="00B93BEE" w:rsidRPr="0067507D" w:rsidRDefault="00B93BEE" w:rsidP="00705C56">
            <w:pPr>
              <w:pStyle w:val="Tabletextright"/>
            </w:pPr>
            <w:r w:rsidRPr="0067507D">
              <w:t>100</w:t>
            </w:r>
          </w:p>
        </w:tc>
        <w:tc>
          <w:tcPr>
            <w:cnfStyle w:val="000001000000" w:firstRow="0" w:lastRow="0" w:firstColumn="0" w:lastColumn="0" w:oddVBand="0" w:evenVBand="1" w:oddHBand="0" w:evenHBand="0" w:firstRowFirstColumn="0" w:firstRowLastColumn="0" w:lastRowFirstColumn="0" w:lastRowLastColumn="0"/>
            <w:tcW w:w="1179" w:type="dxa"/>
          </w:tcPr>
          <w:p w14:paraId="1B36338A" w14:textId="77777777" w:rsidR="00B93BEE" w:rsidRPr="0067507D" w:rsidRDefault="00B93BEE" w:rsidP="00705C56">
            <w:pPr>
              <w:pStyle w:val="Tabletextright"/>
            </w:pPr>
            <w:r w:rsidRPr="0067507D">
              <w:t>116</w:t>
            </w:r>
          </w:p>
        </w:tc>
        <w:tc>
          <w:tcPr>
            <w:cnfStyle w:val="000010000000" w:firstRow="0" w:lastRow="0" w:firstColumn="0" w:lastColumn="0" w:oddVBand="1" w:evenVBand="0" w:oddHBand="0" w:evenHBand="0" w:firstRowFirstColumn="0" w:firstRowLastColumn="0" w:lastRowFirstColumn="0" w:lastRowLastColumn="0"/>
            <w:tcW w:w="1179" w:type="dxa"/>
          </w:tcPr>
          <w:p w14:paraId="0963FCFE" w14:textId="77777777" w:rsidR="00B93BEE" w:rsidRPr="0067507D" w:rsidRDefault="00B93BEE" w:rsidP="00705C56">
            <w:pPr>
              <w:pStyle w:val="Tabletextright"/>
            </w:pPr>
            <w:r w:rsidRPr="0067507D">
              <w:t>4.57</w:t>
            </w:r>
          </w:p>
        </w:tc>
      </w:tr>
      <w:tr w:rsidR="00B93BEE" w:rsidRPr="0067507D" w14:paraId="32ABA97E"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3B35DD9F" w14:textId="77777777" w:rsidR="00B93BEE" w:rsidRPr="0067507D" w:rsidRDefault="00B93BEE" w:rsidP="00705C56">
            <w:pPr>
              <w:pStyle w:val="Tabletextindent"/>
            </w:pPr>
            <w:r w:rsidRPr="0067507D">
              <w:t>Petrol</w:t>
            </w:r>
          </w:p>
        </w:tc>
        <w:tc>
          <w:tcPr>
            <w:cnfStyle w:val="000010000000" w:firstRow="0" w:lastRow="0" w:firstColumn="0" w:lastColumn="0" w:oddVBand="1" w:evenVBand="0" w:oddHBand="0" w:evenHBand="0" w:firstRowFirstColumn="0" w:firstRowLastColumn="0" w:lastRowFirstColumn="0" w:lastRowLastColumn="0"/>
            <w:tcW w:w="1179" w:type="dxa"/>
          </w:tcPr>
          <w:p w14:paraId="1C83DDCD" w14:textId="77777777" w:rsidR="00B93BEE" w:rsidRPr="0067507D" w:rsidRDefault="00B93BEE" w:rsidP="00705C56">
            <w:pPr>
              <w:pStyle w:val="Tabletextright"/>
            </w:pPr>
            <w:r w:rsidRPr="0067507D">
              <w:t>73</w:t>
            </w:r>
          </w:p>
        </w:tc>
        <w:tc>
          <w:tcPr>
            <w:cnfStyle w:val="000001000000" w:firstRow="0" w:lastRow="0" w:firstColumn="0" w:lastColumn="0" w:oddVBand="0" w:evenVBand="1" w:oddHBand="0" w:evenHBand="0" w:firstRowFirstColumn="0" w:firstRowLastColumn="0" w:lastRowFirstColumn="0" w:lastRowLastColumn="0"/>
            <w:tcW w:w="1179" w:type="dxa"/>
          </w:tcPr>
          <w:p w14:paraId="09E0CE6D" w14:textId="77777777" w:rsidR="00B93BEE" w:rsidRPr="0067507D" w:rsidRDefault="00B93BEE" w:rsidP="00705C56">
            <w:pPr>
              <w:pStyle w:val="Tabletextright"/>
            </w:pPr>
            <w:r w:rsidRPr="0067507D">
              <w:t>85</w:t>
            </w:r>
          </w:p>
        </w:tc>
        <w:tc>
          <w:tcPr>
            <w:cnfStyle w:val="000010000000" w:firstRow="0" w:lastRow="0" w:firstColumn="0" w:lastColumn="0" w:oddVBand="1" w:evenVBand="0" w:oddHBand="0" w:evenHBand="0" w:firstRowFirstColumn="0" w:firstRowLastColumn="0" w:lastRowFirstColumn="0" w:lastRowLastColumn="0"/>
            <w:tcW w:w="1179" w:type="dxa"/>
          </w:tcPr>
          <w:p w14:paraId="105BF3FB" w14:textId="77777777" w:rsidR="00B93BEE" w:rsidRPr="0067507D" w:rsidRDefault="00B93BEE" w:rsidP="00705C56">
            <w:pPr>
              <w:pStyle w:val="Tabletextright"/>
            </w:pPr>
            <w:r w:rsidRPr="0067507D">
              <w:t>2.26</w:t>
            </w:r>
          </w:p>
        </w:tc>
      </w:tr>
      <w:tr w:rsidR="00B93BEE" w:rsidRPr="0067507D" w14:paraId="04CE1617"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7E922149" w14:textId="77777777" w:rsidR="00B93BEE" w:rsidRPr="0067507D" w:rsidRDefault="00B93BEE" w:rsidP="00705C56">
            <w:pPr>
              <w:pStyle w:val="Tabletextindent"/>
            </w:pPr>
            <w:r w:rsidRPr="0067507D">
              <w:t>Diesel</w:t>
            </w:r>
          </w:p>
        </w:tc>
        <w:tc>
          <w:tcPr>
            <w:cnfStyle w:val="000010000000" w:firstRow="0" w:lastRow="0" w:firstColumn="0" w:lastColumn="0" w:oddVBand="1" w:evenVBand="0" w:oddHBand="0" w:evenHBand="0" w:firstRowFirstColumn="0" w:firstRowLastColumn="0" w:lastRowFirstColumn="0" w:lastRowLastColumn="0"/>
            <w:tcW w:w="1179" w:type="dxa"/>
          </w:tcPr>
          <w:p w14:paraId="4713D78B" w14:textId="77777777" w:rsidR="00B93BEE" w:rsidRPr="0067507D" w:rsidRDefault="00B93BEE" w:rsidP="00705C56">
            <w:pPr>
              <w:pStyle w:val="Tabletextright"/>
            </w:pPr>
            <w:r w:rsidRPr="0067507D">
              <w:t>27</w:t>
            </w:r>
          </w:p>
        </w:tc>
        <w:tc>
          <w:tcPr>
            <w:cnfStyle w:val="000001000000" w:firstRow="0" w:lastRow="0" w:firstColumn="0" w:lastColumn="0" w:oddVBand="0" w:evenVBand="1" w:oddHBand="0" w:evenHBand="0" w:firstRowFirstColumn="0" w:firstRowLastColumn="0" w:lastRowFirstColumn="0" w:lastRowLastColumn="0"/>
            <w:tcW w:w="1179" w:type="dxa"/>
          </w:tcPr>
          <w:p w14:paraId="5F40CA3C" w14:textId="77777777" w:rsidR="00B93BEE" w:rsidRPr="0067507D" w:rsidRDefault="00B93BEE" w:rsidP="00705C56">
            <w:pPr>
              <w:pStyle w:val="Tabletextright"/>
            </w:pPr>
            <w:r w:rsidRPr="0067507D">
              <w:t>31</w:t>
            </w:r>
          </w:p>
        </w:tc>
        <w:tc>
          <w:tcPr>
            <w:cnfStyle w:val="000010000000" w:firstRow="0" w:lastRow="0" w:firstColumn="0" w:lastColumn="0" w:oddVBand="1" w:evenVBand="0" w:oddHBand="0" w:evenHBand="0" w:firstRowFirstColumn="0" w:firstRowLastColumn="0" w:lastRowFirstColumn="0" w:lastRowLastColumn="0"/>
            <w:tcW w:w="1179" w:type="dxa"/>
          </w:tcPr>
          <w:p w14:paraId="539B385C" w14:textId="77777777" w:rsidR="00B93BEE" w:rsidRPr="0067507D" w:rsidRDefault="00B93BEE" w:rsidP="00705C56">
            <w:pPr>
              <w:pStyle w:val="Tabletextright"/>
            </w:pPr>
            <w:r w:rsidRPr="0067507D">
              <w:t>0.29</w:t>
            </w:r>
          </w:p>
        </w:tc>
      </w:tr>
      <w:tr w:rsidR="00B93BEE" w:rsidRPr="0067507D" w14:paraId="0C64C06F"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71321CB6" w14:textId="77777777" w:rsidR="00B93BEE" w:rsidRPr="0067507D" w:rsidRDefault="00B93BEE" w:rsidP="00705C56">
            <w:pPr>
              <w:pStyle w:val="Tabletextindent"/>
            </w:pPr>
            <w:r w:rsidRPr="0067507D">
              <w:t>Electricity (MWh)</w:t>
            </w:r>
            <w:r w:rsidRPr="0067507D">
              <w:rPr>
                <w:vertAlign w:val="superscript"/>
              </w:rPr>
              <w:t>(a)</w:t>
            </w:r>
          </w:p>
        </w:tc>
        <w:tc>
          <w:tcPr>
            <w:cnfStyle w:val="000010000000" w:firstRow="0" w:lastRow="0" w:firstColumn="0" w:lastColumn="0" w:oddVBand="1" w:evenVBand="0" w:oddHBand="0" w:evenHBand="0" w:firstRowFirstColumn="0" w:firstRowLastColumn="0" w:lastRowFirstColumn="0" w:lastRowLastColumn="0"/>
            <w:tcW w:w="1179" w:type="dxa"/>
          </w:tcPr>
          <w:p w14:paraId="2A846057" w14:textId="77777777" w:rsidR="00B93BEE" w:rsidRPr="0067507D" w:rsidRDefault="00B93BEE" w:rsidP="00705C56">
            <w:pPr>
              <w:pStyle w:val="Tabletextright"/>
            </w:pPr>
            <w:r w:rsidRPr="0067507D">
              <w:rPr>
                <w:color w:val="auto"/>
              </w:rPr>
              <w:t>0</w:t>
            </w:r>
          </w:p>
        </w:tc>
        <w:tc>
          <w:tcPr>
            <w:cnfStyle w:val="000001000000" w:firstRow="0" w:lastRow="0" w:firstColumn="0" w:lastColumn="0" w:oddVBand="0" w:evenVBand="1" w:oddHBand="0" w:evenHBand="0" w:firstRowFirstColumn="0" w:firstRowLastColumn="0" w:lastRowFirstColumn="0" w:lastRowLastColumn="0"/>
            <w:tcW w:w="1179" w:type="dxa"/>
          </w:tcPr>
          <w:p w14:paraId="3370A493" w14:textId="77777777" w:rsidR="00B93BEE" w:rsidRPr="0067507D" w:rsidRDefault="00B93BEE" w:rsidP="00705C56">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1179" w:type="dxa"/>
          </w:tcPr>
          <w:p w14:paraId="0366735F" w14:textId="77777777" w:rsidR="00B93BEE" w:rsidRPr="0067507D" w:rsidRDefault="00B93BEE" w:rsidP="00705C56">
            <w:pPr>
              <w:pStyle w:val="Tabletextright"/>
            </w:pPr>
            <w:r w:rsidRPr="0067507D">
              <w:t>0</w:t>
            </w:r>
          </w:p>
        </w:tc>
      </w:tr>
      <w:tr w:rsidR="00B93BEE" w:rsidRPr="0067507D" w14:paraId="0C461771"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1037094A" w14:textId="77777777" w:rsidR="00B93BEE" w:rsidRPr="0067507D" w:rsidRDefault="00B93BEE" w:rsidP="00705C56">
            <w:pPr>
              <w:pStyle w:val="Tabletext"/>
            </w:pPr>
            <w:r w:rsidRPr="0067507D">
              <w:t>Goods vehicles</w:t>
            </w:r>
          </w:p>
        </w:tc>
        <w:tc>
          <w:tcPr>
            <w:cnfStyle w:val="000010000000" w:firstRow="0" w:lastRow="0" w:firstColumn="0" w:lastColumn="0" w:oddVBand="1" w:evenVBand="0" w:oddHBand="0" w:evenHBand="0" w:firstRowFirstColumn="0" w:firstRowLastColumn="0" w:lastRowFirstColumn="0" w:lastRowLastColumn="0"/>
            <w:tcW w:w="1179" w:type="dxa"/>
          </w:tcPr>
          <w:p w14:paraId="2A6C20BE" w14:textId="77777777" w:rsidR="00B93BEE" w:rsidRPr="0067507D" w:rsidRDefault="00B93BEE" w:rsidP="00705C56">
            <w:pPr>
              <w:pStyle w:val="Tabletextright"/>
            </w:pPr>
            <w:r w:rsidRPr="0067507D">
              <w:rPr>
                <w:color w:val="auto"/>
              </w:rPr>
              <w:t>0</w:t>
            </w:r>
          </w:p>
        </w:tc>
        <w:tc>
          <w:tcPr>
            <w:cnfStyle w:val="000001000000" w:firstRow="0" w:lastRow="0" w:firstColumn="0" w:lastColumn="0" w:oddVBand="0" w:evenVBand="1" w:oddHBand="0" w:evenHBand="0" w:firstRowFirstColumn="0" w:firstRowLastColumn="0" w:lastRowFirstColumn="0" w:lastRowLastColumn="0"/>
            <w:tcW w:w="1179" w:type="dxa"/>
          </w:tcPr>
          <w:p w14:paraId="1130F018" w14:textId="77777777" w:rsidR="00B93BEE" w:rsidRPr="0067507D" w:rsidRDefault="00B93BEE" w:rsidP="00705C56">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1179" w:type="dxa"/>
          </w:tcPr>
          <w:p w14:paraId="1D777EBF" w14:textId="77777777" w:rsidR="00B93BEE" w:rsidRPr="0067507D" w:rsidRDefault="00B93BEE" w:rsidP="00705C56">
            <w:pPr>
              <w:pStyle w:val="Tabletextright"/>
            </w:pPr>
            <w:r w:rsidRPr="0067507D">
              <w:t>0</w:t>
            </w:r>
          </w:p>
        </w:tc>
      </w:tr>
      <w:tr w:rsidR="00B93BEE" w:rsidRPr="0067507D" w14:paraId="34AF2250" w14:textId="77777777" w:rsidTr="00EF6C5C">
        <w:tc>
          <w:tcPr>
            <w:cnfStyle w:val="001000000000" w:firstRow="0" w:lastRow="0" w:firstColumn="1" w:lastColumn="0" w:oddVBand="0" w:evenVBand="0" w:oddHBand="0" w:evenHBand="0" w:firstRowFirstColumn="0" w:firstRowLastColumn="0" w:lastRowFirstColumn="0" w:lastRowLastColumn="0"/>
            <w:tcW w:w="5040" w:type="dxa"/>
          </w:tcPr>
          <w:p w14:paraId="77FE0A69" w14:textId="77777777" w:rsidR="00B93BEE" w:rsidRPr="0067507D" w:rsidRDefault="00B93BEE" w:rsidP="00842F0A">
            <w:pPr>
              <w:pStyle w:val="Tabletextbold"/>
            </w:pPr>
            <w:r w:rsidRPr="0067507D">
              <w:t xml:space="preserve">Total distance travelled by commercial air travel (passenger km) </w:t>
            </w:r>
            <w:r w:rsidRPr="0067507D">
              <w:rPr>
                <w:rFonts w:asciiTheme="minorHAnsi" w:hAnsiTheme="minorHAnsi"/>
              </w:rPr>
              <w:t>[Indicator</w:t>
            </w:r>
            <w:r w:rsidRPr="0067507D">
              <w:rPr>
                <w:rFonts w:ascii="Calibri" w:hAnsi="Calibri" w:cs="Calibri"/>
              </w:rPr>
              <w:t> </w:t>
            </w:r>
            <w:r w:rsidRPr="0067507D">
              <w:rPr>
                <w:rFonts w:asciiTheme="minorHAnsi" w:hAnsiTheme="minorHAnsi"/>
              </w:rPr>
              <w:t>T4]</w:t>
            </w:r>
          </w:p>
        </w:tc>
        <w:tc>
          <w:tcPr>
            <w:cnfStyle w:val="000010000000" w:firstRow="0" w:lastRow="0" w:firstColumn="0" w:lastColumn="0" w:oddVBand="1" w:evenVBand="0" w:oddHBand="0" w:evenHBand="0" w:firstRowFirstColumn="0" w:firstRowLastColumn="0" w:lastRowFirstColumn="0" w:lastRowLastColumn="0"/>
            <w:tcW w:w="1179" w:type="dxa"/>
          </w:tcPr>
          <w:p w14:paraId="67E25F78" w14:textId="77777777" w:rsidR="00B93BEE" w:rsidRPr="0067507D" w:rsidRDefault="00B93BEE" w:rsidP="00842F0A">
            <w:pPr>
              <w:pStyle w:val="Tabletextrightbold"/>
            </w:pPr>
            <w:r w:rsidRPr="0067507D">
              <w:t>467 922</w:t>
            </w:r>
          </w:p>
        </w:tc>
        <w:tc>
          <w:tcPr>
            <w:cnfStyle w:val="000001000000" w:firstRow="0" w:lastRow="0" w:firstColumn="0" w:lastColumn="0" w:oddVBand="0" w:evenVBand="1" w:oddHBand="0" w:evenHBand="0" w:firstRowFirstColumn="0" w:firstRowLastColumn="0" w:lastRowFirstColumn="0" w:lastRowLastColumn="0"/>
            <w:tcW w:w="1179" w:type="dxa"/>
          </w:tcPr>
          <w:p w14:paraId="72756C36" w14:textId="77777777" w:rsidR="00B93BEE" w:rsidRPr="0067507D" w:rsidRDefault="00B93BEE" w:rsidP="00842F0A">
            <w:pPr>
              <w:pStyle w:val="Tabletextrightbold"/>
              <w:rPr>
                <w:highlight w:val="yellow"/>
              </w:rPr>
            </w:pPr>
            <w:r w:rsidRPr="0067507D">
              <w:t>362 682</w:t>
            </w:r>
          </w:p>
        </w:tc>
        <w:tc>
          <w:tcPr>
            <w:cnfStyle w:val="000010000000" w:firstRow="0" w:lastRow="0" w:firstColumn="0" w:lastColumn="0" w:oddVBand="1" w:evenVBand="0" w:oddHBand="0" w:evenHBand="0" w:firstRowFirstColumn="0" w:firstRowLastColumn="0" w:lastRowFirstColumn="0" w:lastRowLastColumn="0"/>
            <w:tcW w:w="1179" w:type="dxa"/>
          </w:tcPr>
          <w:p w14:paraId="1DC549DB" w14:textId="77777777" w:rsidR="00B93BEE" w:rsidRPr="0067507D" w:rsidRDefault="00B93BEE" w:rsidP="00842F0A">
            <w:pPr>
              <w:pStyle w:val="Tabletextrightbold"/>
              <w:rPr>
                <w:highlight w:val="yellow"/>
              </w:rPr>
            </w:pPr>
            <w:r w:rsidRPr="0067507D">
              <w:t>523 849</w:t>
            </w:r>
          </w:p>
        </w:tc>
      </w:tr>
    </w:tbl>
    <w:p w14:paraId="3DC4230A" w14:textId="77777777" w:rsidR="00B93BEE" w:rsidRPr="0067507D" w:rsidRDefault="00B93BEE" w:rsidP="00174807">
      <w:pPr>
        <w:pStyle w:val="Notes"/>
      </w:pPr>
      <w:r w:rsidRPr="0067507D">
        <w:t>Notes:</w:t>
      </w:r>
    </w:p>
    <w:p w14:paraId="28811784" w14:textId="3B0A39E2" w:rsidR="00B93BEE" w:rsidRPr="0067507D" w:rsidRDefault="00B93BEE" w:rsidP="00174807">
      <w:pPr>
        <w:pStyle w:val="Notes"/>
        <w:rPr>
          <w:rFonts w:eastAsia="MS Mincho"/>
          <w:lang w:eastAsia="en-US"/>
        </w:rPr>
      </w:pPr>
      <w:r w:rsidRPr="0067507D">
        <w:rPr>
          <w:rFonts w:eastAsia="MS Mincho"/>
          <w:lang w:eastAsia="en-US"/>
        </w:rPr>
        <w:t>(a) Reported emissions include those from both long</w:t>
      </w:r>
      <w:r w:rsidR="006A5485">
        <w:rPr>
          <w:rFonts w:eastAsia="MS Mincho"/>
          <w:lang w:eastAsia="en-US"/>
        </w:rPr>
        <w:noBreakHyphen/>
      </w:r>
      <w:r w:rsidRPr="0067507D">
        <w:rPr>
          <w:rFonts w:eastAsia="MS Mincho"/>
          <w:lang w:eastAsia="en-US"/>
        </w:rPr>
        <w:t>term VicFleet vehicles and short</w:t>
      </w:r>
      <w:r w:rsidR="006A5485">
        <w:rPr>
          <w:rFonts w:eastAsia="MS Mincho"/>
          <w:lang w:eastAsia="en-US"/>
        </w:rPr>
        <w:noBreakHyphen/>
      </w:r>
      <w:r w:rsidRPr="0067507D">
        <w:rPr>
          <w:rFonts w:eastAsia="MS Mincho"/>
          <w:lang w:eastAsia="en-US"/>
        </w:rPr>
        <w:t>term hire vehicles from ACLS carpool service.</w:t>
      </w:r>
    </w:p>
    <w:p w14:paraId="7B6FF778" w14:textId="77777777" w:rsidR="00B93BEE" w:rsidRPr="0067507D" w:rsidRDefault="00B93BEE" w:rsidP="00174807">
      <w:pPr>
        <w:pStyle w:val="Notes"/>
      </w:pPr>
      <w:r w:rsidRPr="0067507D">
        <w:rPr>
          <w:rFonts w:eastAsia="MS Mincho"/>
          <w:lang w:eastAsia="en-US"/>
        </w:rPr>
        <w:t>(b) Electricity used to charge vehicles at DTF sites is not metered separately and is included in the total electricity consumption.</w:t>
      </w:r>
      <w:r w:rsidRPr="0067507D">
        <w:t xml:space="preserve"> </w:t>
      </w:r>
    </w:p>
    <w:p w14:paraId="1175B29A" w14:textId="77777777" w:rsidR="00B93BEE" w:rsidRPr="0067507D" w:rsidRDefault="00B93BEE" w:rsidP="00174807">
      <w:pPr>
        <w:pStyle w:val="Notes"/>
        <w:rPr>
          <w:highlight w:val="yellow"/>
        </w:rPr>
      </w:pPr>
    </w:p>
    <w:tbl>
      <w:tblPr>
        <w:tblStyle w:val="AnnualReporttexttable"/>
        <w:tblW w:w="9281" w:type="dxa"/>
        <w:tblLayout w:type="fixed"/>
        <w:tblLook w:val="02A0" w:firstRow="1" w:lastRow="0" w:firstColumn="1" w:lastColumn="0" w:noHBand="1" w:noVBand="0"/>
      </w:tblPr>
      <w:tblGrid>
        <w:gridCol w:w="4230"/>
        <w:gridCol w:w="1039"/>
        <w:gridCol w:w="698"/>
        <w:gridCol w:w="999"/>
        <w:gridCol w:w="694"/>
        <w:gridCol w:w="999"/>
        <w:gridCol w:w="622"/>
      </w:tblGrid>
      <w:tr w:rsidR="009632A4" w:rsidRPr="0067507D" w14:paraId="03C4C8DC" w14:textId="77777777" w:rsidTr="000944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shd w:val="clear" w:color="auto" w:fill="auto"/>
          </w:tcPr>
          <w:p w14:paraId="6B518919" w14:textId="77777777" w:rsidR="00B93BEE" w:rsidRPr="0067507D" w:rsidRDefault="00B93BEE">
            <w:pPr>
              <w:pStyle w:val="Tabletextheadingleft"/>
              <w:rPr>
                <w:b w:val="0"/>
              </w:rPr>
            </w:pPr>
            <w:r w:rsidRPr="0067507D">
              <w:rPr>
                <w:b w:val="0"/>
              </w:rPr>
              <w:t>Indicator</w:t>
            </w:r>
          </w:p>
        </w:tc>
        <w:tc>
          <w:tcPr>
            <w:cnfStyle w:val="000010000000" w:firstRow="0" w:lastRow="0" w:firstColumn="0" w:lastColumn="0" w:oddVBand="1" w:evenVBand="0" w:oddHBand="0" w:evenHBand="0" w:firstRowFirstColumn="0" w:firstRowLastColumn="0" w:lastRowFirstColumn="0" w:lastRowLastColumn="0"/>
            <w:tcW w:w="1039" w:type="dxa"/>
            <w:shd w:val="clear" w:color="auto" w:fill="auto"/>
          </w:tcPr>
          <w:p w14:paraId="3205650A" w14:textId="58E2260C" w:rsidR="00B93BEE" w:rsidRPr="0067507D" w:rsidRDefault="00B93BEE">
            <w:pPr>
              <w:pStyle w:val="Tabletextheadingright"/>
              <w:rPr>
                <w:b w:val="0"/>
              </w:rPr>
            </w:pPr>
            <w:r w:rsidRPr="0067507D">
              <w:rPr>
                <w:b w:val="0"/>
              </w:rPr>
              <w:t>2024</w:t>
            </w:r>
            <w:r w:rsidR="006A5485">
              <w:rPr>
                <w:b w:val="0"/>
              </w:rPr>
              <w:noBreakHyphen/>
            </w:r>
            <w:r w:rsidRPr="0067507D">
              <w:rPr>
                <w:b w:val="0"/>
              </w:rPr>
              <w:t xml:space="preserve">25 </w:t>
            </w:r>
          </w:p>
        </w:tc>
        <w:tc>
          <w:tcPr>
            <w:cnfStyle w:val="000001000000" w:firstRow="0" w:lastRow="0" w:firstColumn="0" w:lastColumn="0" w:oddVBand="0" w:evenVBand="1" w:oddHBand="0" w:evenHBand="0" w:firstRowFirstColumn="0" w:firstRowLastColumn="0" w:lastRowFirstColumn="0" w:lastRowLastColumn="0"/>
            <w:tcW w:w="698" w:type="dxa"/>
            <w:shd w:val="clear" w:color="auto" w:fill="auto"/>
          </w:tcPr>
          <w:p w14:paraId="14020C46" w14:textId="77777777" w:rsidR="00B93BEE" w:rsidRPr="0067507D" w:rsidRDefault="00B93BEE">
            <w:pPr>
              <w:pStyle w:val="Tabletextheadingright"/>
              <w:rPr>
                <w:b w:val="0"/>
              </w:rPr>
            </w:pPr>
            <w:r w:rsidRPr="0067507D">
              <w:rPr>
                <w:b w:val="0"/>
              </w:rPr>
              <w:t>%</w:t>
            </w:r>
          </w:p>
        </w:tc>
        <w:tc>
          <w:tcPr>
            <w:cnfStyle w:val="000010000000" w:firstRow="0" w:lastRow="0" w:firstColumn="0" w:lastColumn="0" w:oddVBand="1" w:evenVBand="0" w:oddHBand="0" w:evenHBand="0" w:firstRowFirstColumn="0" w:firstRowLastColumn="0" w:lastRowFirstColumn="0" w:lastRowLastColumn="0"/>
            <w:tcW w:w="999" w:type="dxa"/>
            <w:shd w:val="clear" w:color="auto" w:fill="auto"/>
          </w:tcPr>
          <w:p w14:paraId="2D9D9287" w14:textId="39A22C6B" w:rsidR="00B93BEE" w:rsidRPr="0067507D" w:rsidRDefault="00B93BEE">
            <w:pPr>
              <w:pStyle w:val="Tabletextheadingright"/>
              <w:rPr>
                <w:b w:val="0"/>
              </w:rPr>
            </w:pPr>
            <w:r w:rsidRPr="0067507D">
              <w:rPr>
                <w:b w:val="0"/>
              </w:rPr>
              <w:t>2023</w:t>
            </w:r>
            <w:r w:rsidR="006A5485">
              <w:rPr>
                <w:b w:val="0"/>
              </w:rPr>
              <w:noBreakHyphen/>
            </w:r>
            <w:r w:rsidRPr="0067507D">
              <w:rPr>
                <w:b w:val="0"/>
              </w:rPr>
              <w:t xml:space="preserve">24 </w:t>
            </w:r>
          </w:p>
        </w:tc>
        <w:tc>
          <w:tcPr>
            <w:cnfStyle w:val="000001000000" w:firstRow="0" w:lastRow="0" w:firstColumn="0" w:lastColumn="0" w:oddVBand="0" w:evenVBand="1" w:oddHBand="0" w:evenHBand="0" w:firstRowFirstColumn="0" w:firstRowLastColumn="0" w:lastRowFirstColumn="0" w:lastRowLastColumn="0"/>
            <w:tcW w:w="694" w:type="dxa"/>
            <w:shd w:val="clear" w:color="auto" w:fill="auto"/>
          </w:tcPr>
          <w:p w14:paraId="110B0842" w14:textId="77777777" w:rsidR="00B93BEE" w:rsidRPr="0067507D" w:rsidRDefault="00B93BEE">
            <w:pPr>
              <w:pStyle w:val="Tabletextheadingright"/>
              <w:rPr>
                <w:b w:val="0"/>
              </w:rPr>
            </w:pPr>
            <w:r w:rsidRPr="0067507D">
              <w:rPr>
                <w:b w:val="0"/>
              </w:rPr>
              <w:t>%</w:t>
            </w:r>
          </w:p>
        </w:tc>
        <w:tc>
          <w:tcPr>
            <w:cnfStyle w:val="000010000000" w:firstRow="0" w:lastRow="0" w:firstColumn="0" w:lastColumn="0" w:oddVBand="1" w:evenVBand="0" w:oddHBand="0" w:evenHBand="0" w:firstRowFirstColumn="0" w:firstRowLastColumn="0" w:lastRowFirstColumn="0" w:lastRowLastColumn="0"/>
            <w:tcW w:w="999" w:type="dxa"/>
            <w:shd w:val="clear" w:color="auto" w:fill="auto"/>
          </w:tcPr>
          <w:p w14:paraId="6F487CD4" w14:textId="0CC94061" w:rsidR="00B93BEE" w:rsidRPr="0067507D" w:rsidRDefault="00B93BEE">
            <w:pPr>
              <w:pStyle w:val="Tabletextheadingright"/>
              <w:rPr>
                <w:b w:val="0"/>
              </w:rPr>
            </w:pPr>
            <w:r w:rsidRPr="0067507D">
              <w:rPr>
                <w:b w:val="0"/>
              </w:rPr>
              <w:t>2022</w:t>
            </w:r>
            <w:r w:rsidR="006A5485">
              <w:rPr>
                <w:b w:val="0"/>
              </w:rPr>
              <w:noBreakHyphen/>
            </w:r>
            <w:r w:rsidRPr="0067507D">
              <w:rPr>
                <w:b w:val="0"/>
              </w:rPr>
              <w:t xml:space="preserve">23 </w:t>
            </w:r>
            <w:r w:rsidRPr="0067507D">
              <w:rPr>
                <w:b w:val="0"/>
                <w:vertAlign w:val="superscript"/>
              </w:rPr>
              <w:t>(a)</w:t>
            </w:r>
            <w:r w:rsidRPr="0067507D">
              <w:rPr>
                <w:b w:val="0"/>
              </w:rPr>
              <w:t xml:space="preserve"> </w:t>
            </w:r>
          </w:p>
        </w:tc>
        <w:tc>
          <w:tcPr>
            <w:cnfStyle w:val="000001000000" w:firstRow="0" w:lastRow="0" w:firstColumn="0" w:lastColumn="0" w:oddVBand="0" w:evenVBand="1" w:oddHBand="0" w:evenHBand="0" w:firstRowFirstColumn="0" w:firstRowLastColumn="0" w:lastRowFirstColumn="0" w:lastRowLastColumn="0"/>
            <w:tcW w:w="622" w:type="dxa"/>
            <w:shd w:val="clear" w:color="auto" w:fill="auto"/>
          </w:tcPr>
          <w:p w14:paraId="4AE9BB57" w14:textId="77777777" w:rsidR="00B93BEE" w:rsidRPr="0067507D" w:rsidRDefault="00B93BEE">
            <w:pPr>
              <w:pStyle w:val="Tabletextheadingright"/>
              <w:rPr>
                <w:b w:val="0"/>
              </w:rPr>
            </w:pPr>
            <w:r w:rsidRPr="0067507D">
              <w:rPr>
                <w:b w:val="0"/>
              </w:rPr>
              <w:t xml:space="preserve">% </w:t>
            </w:r>
          </w:p>
        </w:tc>
      </w:tr>
      <w:tr w:rsidR="009632A4" w:rsidRPr="0067507D" w14:paraId="27926800" w14:textId="77777777" w:rsidTr="00A4200F">
        <w:trPr>
          <w:trHeight w:val="332"/>
        </w:trPr>
        <w:tc>
          <w:tcPr>
            <w:cnfStyle w:val="001000000000" w:firstRow="0" w:lastRow="0" w:firstColumn="1" w:lastColumn="0" w:oddVBand="0" w:evenVBand="0" w:oddHBand="0" w:evenHBand="0" w:firstRowFirstColumn="0" w:firstRowLastColumn="0" w:lastRowFirstColumn="0" w:lastRowLastColumn="0"/>
            <w:tcW w:w="4230" w:type="dxa"/>
          </w:tcPr>
          <w:p w14:paraId="2F5A41A4" w14:textId="77777777" w:rsidR="00B93BEE" w:rsidRPr="0067507D" w:rsidRDefault="00B93BEE" w:rsidP="00705C56">
            <w:pPr>
              <w:pStyle w:val="Tabletextbold"/>
            </w:pPr>
            <w:r w:rsidRPr="0067507D">
              <w:t xml:space="preserve">Number and proportion of vehicles </w:t>
            </w:r>
            <w:r w:rsidRPr="0067507D">
              <w:rPr>
                <w:rFonts w:asciiTheme="minorHAnsi" w:hAnsiTheme="minorHAnsi"/>
              </w:rPr>
              <w:t>[Indicator T2]</w:t>
            </w:r>
          </w:p>
        </w:tc>
        <w:tc>
          <w:tcPr>
            <w:cnfStyle w:val="000010000000" w:firstRow="0" w:lastRow="0" w:firstColumn="0" w:lastColumn="0" w:oddVBand="1" w:evenVBand="0" w:oddHBand="0" w:evenHBand="0" w:firstRowFirstColumn="0" w:firstRowLastColumn="0" w:lastRowFirstColumn="0" w:lastRowLastColumn="0"/>
            <w:tcW w:w="1039" w:type="dxa"/>
          </w:tcPr>
          <w:p w14:paraId="34950061" w14:textId="77777777" w:rsidR="00B93BEE" w:rsidRPr="0067507D" w:rsidRDefault="00B93BEE" w:rsidP="00705C56">
            <w:pPr>
              <w:pStyle w:val="Tabletextrightbold"/>
            </w:pPr>
            <w:r w:rsidRPr="0067507D">
              <w:t>38</w:t>
            </w:r>
          </w:p>
        </w:tc>
        <w:tc>
          <w:tcPr>
            <w:cnfStyle w:val="000001000000" w:firstRow="0" w:lastRow="0" w:firstColumn="0" w:lastColumn="0" w:oddVBand="0" w:evenVBand="1" w:oddHBand="0" w:evenHBand="0" w:firstRowFirstColumn="0" w:firstRowLastColumn="0" w:lastRowFirstColumn="0" w:lastRowLastColumn="0"/>
            <w:tcW w:w="698" w:type="dxa"/>
          </w:tcPr>
          <w:p w14:paraId="533C4DDF" w14:textId="77777777" w:rsidR="00B93BEE" w:rsidRPr="0067507D" w:rsidRDefault="00B93BEE" w:rsidP="00705C56">
            <w:pPr>
              <w:pStyle w:val="Tabletextrightbold"/>
            </w:pPr>
            <w:r w:rsidRPr="0067507D">
              <w:t>100.0</w:t>
            </w:r>
          </w:p>
        </w:tc>
        <w:tc>
          <w:tcPr>
            <w:cnfStyle w:val="000010000000" w:firstRow="0" w:lastRow="0" w:firstColumn="0" w:lastColumn="0" w:oddVBand="1" w:evenVBand="0" w:oddHBand="0" w:evenHBand="0" w:firstRowFirstColumn="0" w:firstRowLastColumn="0" w:lastRowFirstColumn="0" w:lastRowLastColumn="0"/>
            <w:tcW w:w="999" w:type="dxa"/>
          </w:tcPr>
          <w:p w14:paraId="4B844C89" w14:textId="77777777" w:rsidR="00B93BEE" w:rsidRPr="0067507D" w:rsidRDefault="00B93BEE" w:rsidP="00705C56">
            <w:pPr>
              <w:pStyle w:val="Tabletextrightbold"/>
            </w:pPr>
            <w:r w:rsidRPr="0067507D">
              <w:t>35</w:t>
            </w:r>
          </w:p>
        </w:tc>
        <w:tc>
          <w:tcPr>
            <w:cnfStyle w:val="000001000000" w:firstRow="0" w:lastRow="0" w:firstColumn="0" w:lastColumn="0" w:oddVBand="0" w:evenVBand="1" w:oddHBand="0" w:evenHBand="0" w:firstRowFirstColumn="0" w:firstRowLastColumn="0" w:lastRowFirstColumn="0" w:lastRowLastColumn="0"/>
            <w:tcW w:w="694" w:type="dxa"/>
          </w:tcPr>
          <w:p w14:paraId="2D790C85" w14:textId="77777777" w:rsidR="00B93BEE" w:rsidRPr="0067507D" w:rsidRDefault="00B93BEE" w:rsidP="00705C56">
            <w:pPr>
              <w:pStyle w:val="Tabletextrightbold"/>
            </w:pPr>
            <w:r w:rsidRPr="0067507D">
              <w:t>100.0</w:t>
            </w:r>
          </w:p>
        </w:tc>
        <w:tc>
          <w:tcPr>
            <w:cnfStyle w:val="000010000000" w:firstRow="0" w:lastRow="0" w:firstColumn="0" w:lastColumn="0" w:oddVBand="1" w:evenVBand="0" w:oddHBand="0" w:evenHBand="0" w:firstRowFirstColumn="0" w:firstRowLastColumn="0" w:lastRowFirstColumn="0" w:lastRowLastColumn="0"/>
            <w:tcW w:w="999" w:type="dxa"/>
          </w:tcPr>
          <w:p w14:paraId="17E2219C" w14:textId="77777777" w:rsidR="00B93BEE" w:rsidRPr="0067507D" w:rsidRDefault="00B93BEE" w:rsidP="00705C56">
            <w:pPr>
              <w:pStyle w:val="Tabletextrightbold"/>
            </w:pPr>
            <w:r w:rsidRPr="0067507D">
              <w:t>64</w:t>
            </w:r>
          </w:p>
        </w:tc>
        <w:tc>
          <w:tcPr>
            <w:cnfStyle w:val="000001000000" w:firstRow="0" w:lastRow="0" w:firstColumn="0" w:lastColumn="0" w:oddVBand="0" w:evenVBand="1" w:oddHBand="0" w:evenHBand="0" w:firstRowFirstColumn="0" w:firstRowLastColumn="0" w:lastRowFirstColumn="0" w:lastRowLastColumn="0"/>
            <w:tcW w:w="622" w:type="dxa"/>
          </w:tcPr>
          <w:p w14:paraId="59302899" w14:textId="77777777" w:rsidR="00B93BEE" w:rsidRPr="0067507D" w:rsidRDefault="00B93BEE" w:rsidP="00705C56">
            <w:pPr>
              <w:pStyle w:val="Tabletextrightbold"/>
            </w:pPr>
            <w:r w:rsidRPr="0067507D">
              <w:t>100.0</w:t>
            </w:r>
          </w:p>
        </w:tc>
      </w:tr>
      <w:tr w:rsidR="009632A4" w:rsidRPr="0067507D" w14:paraId="2BA44509"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36AC897D" w14:textId="77777777" w:rsidR="00B93BEE" w:rsidRPr="0067507D" w:rsidRDefault="00B93BEE" w:rsidP="00705C56">
            <w:pPr>
              <w:pStyle w:val="Tabletextbold"/>
            </w:pPr>
            <w:r w:rsidRPr="0067507D">
              <w:t>Road vehicles</w:t>
            </w:r>
          </w:p>
        </w:tc>
        <w:tc>
          <w:tcPr>
            <w:cnfStyle w:val="000010000000" w:firstRow="0" w:lastRow="0" w:firstColumn="0" w:lastColumn="0" w:oddVBand="1" w:evenVBand="0" w:oddHBand="0" w:evenHBand="0" w:firstRowFirstColumn="0" w:firstRowLastColumn="0" w:lastRowFirstColumn="0" w:lastRowLastColumn="0"/>
            <w:tcW w:w="1039" w:type="dxa"/>
          </w:tcPr>
          <w:p w14:paraId="142350D0" w14:textId="77777777" w:rsidR="00B93BEE" w:rsidRPr="0067507D" w:rsidRDefault="00B93BEE" w:rsidP="00705C56">
            <w:pPr>
              <w:pStyle w:val="Tabletextrightbold"/>
            </w:pPr>
            <w:r w:rsidRPr="0067507D">
              <w:t>38</w:t>
            </w:r>
          </w:p>
        </w:tc>
        <w:tc>
          <w:tcPr>
            <w:cnfStyle w:val="000001000000" w:firstRow="0" w:lastRow="0" w:firstColumn="0" w:lastColumn="0" w:oddVBand="0" w:evenVBand="1" w:oddHBand="0" w:evenHBand="0" w:firstRowFirstColumn="0" w:firstRowLastColumn="0" w:lastRowFirstColumn="0" w:lastRowLastColumn="0"/>
            <w:tcW w:w="698" w:type="dxa"/>
          </w:tcPr>
          <w:p w14:paraId="29DFEB38" w14:textId="77777777" w:rsidR="00B93BEE" w:rsidRPr="0067507D" w:rsidRDefault="00B93BEE" w:rsidP="00705C56">
            <w:pPr>
              <w:pStyle w:val="Tabletextrightbold"/>
            </w:pPr>
            <w:r w:rsidRPr="0067507D">
              <w:t>100.0</w:t>
            </w:r>
          </w:p>
        </w:tc>
        <w:tc>
          <w:tcPr>
            <w:cnfStyle w:val="000010000000" w:firstRow="0" w:lastRow="0" w:firstColumn="0" w:lastColumn="0" w:oddVBand="1" w:evenVBand="0" w:oddHBand="0" w:evenHBand="0" w:firstRowFirstColumn="0" w:firstRowLastColumn="0" w:lastRowFirstColumn="0" w:lastRowLastColumn="0"/>
            <w:tcW w:w="999" w:type="dxa"/>
          </w:tcPr>
          <w:p w14:paraId="0E4F8AE7" w14:textId="77777777" w:rsidR="00B93BEE" w:rsidRPr="0067507D" w:rsidRDefault="00B93BEE" w:rsidP="00705C56">
            <w:pPr>
              <w:pStyle w:val="Tabletextrightbold"/>
            </w:pPr>
            <w:r w:rsidRPr="0067507D">
              <w:t>35</w:t>
            </w:r>
          </w:p>
        </w:tc>
        <w:tc>
          <w:tcPr>
            <w:cnfStyle w:val="000001000000" w:firstRow="0" w:lastRow="0" w:firstColumn="0" w:lastColumn="0" w:oddVBand="0" w:evenVBand="1" w:oddHBand="0" w:evenHBand="0" w:firstRowFirstColumn="0" w:firstRowLastColumn="0" w:lastRowFirstColumn="0" w:lastRowLastColumn="0"/>
            <w:tcW w:w="694" w:type="dxa"/>
          </w:tcPr>
          <w:p w14:paraId="1C90854E" w14:textId="77777777" w:rsidR="00B93BEE" w:rsidRPr="0067507D" w:rsidRDefault="00B93BEE" w:rsidP="00705C56">
            <w:pPr>
              <w:pStyle w:val="Tabletextrightbold"/>
            </w:pPr>
            <w:r w:rsidRPr="0067507D">
              <w:t>100.0</w:t>
            </w:r>
          </w:p>
        </w:tc>
        <w:tc>
          <w:tcPr>
            <w:cnfStyle w:val="000010000000" w:firstRow="0" w:lastRow="0" w:firstColumn="0" w:lastColumn="0" w:oddVBand="1" w:evenVBand="0" w:oddHBand="0" w:evenHBand="0" w:firstRowFirstColumn="0" w:firstRowLastColumn="0" w:lastRowFirstColumn="0" w:lastRowLastColumn="0"/>
            <w:tcW w:w="999" w:type="dxa"/>
          </w:tcPr>
          <w:p w14:paraId="6F56BC74" w14:textId="77777777" w:rsidR="00B93BEE" w:rsidRPr="0067507D" w:rsidRDefault="00B93BEE" w:rsidP="00705C56">
            <w:pPr>
              <w:pStyle w:val="Tabletextrightbold"/>
            </w:pPr>
            <w:r w:rsidRPr="0067507D">
              <w:t>64</w:t>
            </w:r>
          </w:p>
        </w:tc>
        <w:tc>
          <w:tcPr>
            <w:cnfStyle w:val="000001000000" w:firstRow="0" w:lastRow="0" w:firstColumn="0" w:lastColumn="0" w:oddVBand="0" w:evenVBand="1" w:oddHBand="0" w:evenHBand="0" w:firstRowFirstColumn="0" w:firstRowLastColumn="0" w:lastRowFirstColumn="0" w:lastRowLastColumn="0"/>
            <w:tcW w:w="622" w:type="dxa"/>
          </w:tcPr>
          <w:p w14:paraId="6D88940A" w14:textId="77777777" w:rsidR="00B93BEE" w:rsidRPr="0067507D" w:rsidRDefault="00B93BEE" w:rsidP="00705C56">
            <w:pPr>
              <w:pStyle w:val="Tabletextrightbold"/>
            </w:pPr>
            <w:r w:rsidRPr="0067507D">
              <w:t>100.0</w:t>
            </w:r>
          </w:p>
        </w:tc>
      </w:tr>
      <w:tr w:rsidR="009632A4" w:rsidRPr="0067507D" w14:paraId="49DA07B3"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57F9386B" w14:textId="77777777" w:rsidR="00B93BEE" w:rsidRPr="0067507D" w:rsidRDefault="00B93BEE" w:rsidP="00705C56">
            <w:pPr>
              <w:pStyle w:val="Tabletext"/>
            </w:pPr>
            <w:r w:rsidRPr="0067507D">
              <w:t>Passenger vehicles</w:t>
            </w:r>
          </w:p>
        </w:tc>
        <w:tc>
          <w:tcPr>
            <w:cnfStyle w:val="000010000000" w:firstRow="0" w:lastRow="0" w:firstColumn="0" w:lastColumn="0" w:oddVBand="1" w:evenVBand="0" w:oddHBand="0" w:evenHBand="0" w:firstRowFirstColumn="0" w:firstRowLastColumn="0" w:lastRowFirstColumn="0" w:lastRowLastColumn="0"/>
            <w:tcW w:w="1039" w:type="dxa"/>
          </w:tcPr>
          <w:p w14:paraId="0EF64C06" w14:textId="77777777" w:rsidR="00B93BEE" w:rsidRPr="0067507D" w:rsidRDefault="00B93BEE" w:rsidP="00705C56">
            <w:pPr>
              <w:pStyle w:val="Tabletextright"/>
            </w:pPr>
            <w:r w:rsidRPr="0067507D">
              <w:t>38</w:t>
            </w:r>
          </w:p>
        </w:tc>
        <w:tc>
          <w:tcPr>
            <w:cnfStyle w:val="000001000000" w:firstRow="0" w:lastRow="0" w:firstColumn="0" w:lastColumn="0" w:oddVBand="0" w:evenVBand="1" w:oddHBand="0" w:evenHBand="0" w:firstRowFirstColumn="0" w:firstRowLastColumn="0" w:lastRowFirstColumn="0" w:lastRowLastColumn="0"/>
            <w:tcW w:w="698" w:type="dxa"/>
          </w:tcPr>
          <w:p w14:paraId="19CF2BEB" w14:textId="77777777" w:rsidR="00B93BEE" w:rsidRPr="0067507D" w:rsidRDefault="00B93BEE" w:rsidP="00705C56">
            <w:pPr>
              <w:pStyle w:val="Tabletextright"/>
            </w:pPr>
            <w:r w:rsidRPr="0067507D">
              <w:t>100.0</w:t>
            </w:r>
          </w:p>
        </w:tc>
        <w:tc>
          <w:tcPr>
            <w:cnfStyle w:val="000010000000" w:firstRow="0" w:lastRow="0" w:firstColumn="0" w:lastColumn="0" w:oddVBand="1" w:evenVBand="0" w:oddHBand="0" w:evenHBand="0" w:firstRowFirstColumn="0" w:firstRowLastColumn="0" w:lastRowFirstColumn="0" w:lastRowLastColumn="0"/>
            <w:tcW w:w="999" w:type="dxa"/>
          </w:tcPr>
          <w:p w14:paraId="3BD49084" w14:textId="77777777" w:rsidR="00B93BEE" w:rsidRPr="0067507D" w:rsidRDefault="00B93BEE" w:rsidP="00705C56">
            <w:pPr>
              <w:pStyle w:val="Tabletextright"/>
            </w:pPr>
            <w:r w:rsidRPr="0067507D">
              <w:t>35</w:t>
            </w:r>
          </w:p>
        </w:tc>
        <w:tc>
          <w:tcPr>
            <w:cnfStyle w:val="000001000000" w:firstRow="0" w:lastRow="0" w:firstColumn="0" w:lastColumn="0" w:oddVBand="0" w:evenVBand="1" w:oddHBand="0" w:evenHBand="0" w:firstRowFirstColumn="0" w:firstRowLastColumn="0" w:lastRowFirstColumn="0" w:lastRowLastColumn="0"/>
            <w:tcW w:w="694" w:type="dxa"/>
          </w:tcPr>
          <w:p w14:paraId="64B8EFFE" w14:textId="77777777" w:rsidR="00B93BEE" w:rsidRPr="0067507D" w:rsidRDefault="00B93BEE" w:rsidP="00705C56">
            <w:pPr>
              <w:pStyle w:val="Tabletextright"/>
            </w:pPr>
            <w:r w:rsidRPr="0067507D">
              <w:t>100.0</w:t>
            </w:r>
          </w:p>
        </w:tc>
        <w:tc>
          <w:tcPr>
            <w:cnfStyle w:val="000010000000" w:firstRow="0" w:lastRow="0" w:firstColumn="0" w:lastColumn="0" w:oddVBand="1" w:evenVBand="0" w:oddHBand="0" w:evenHBand="0" w:firstRowFirstColumn="0" w:firstRowLastColumn="0" w:lastRowFirstColumn="0" w:lastRowLastColumn="0"/>
            <w:tcW w:w="999" w:type="dxa"/>
          </w:tcPr>
          <w:p w14:paraId="25DBCD86" w14:textId="77777777" w:rsidR="00B93BEE" w:rsidRPr="0067507D" w:rsidRDefault="00B93BEE" w:rsidP="00705C56">
            <w:pPr>
              <w:pStyle w:val="Tabletextright"/>
            </w:pPr>
            <w:r w:rsidRPr="0067507D">
              <w:t>64</w:t>
            </w:r>
          </w:p>
        </w:tc>
        <w:tc>
          <w:tcPr>
            <w:cnfStyle w:val="000001000000" w:firstRow="0" w:lastRow="0" w:firstColumn="0" w:lastColumn="0" w:oddVBand="0" w:evenVBand="1" w:oddHBand="0" w:evenHBand="0" w:firstRowFirstColumn="0" w:firstRowLastColumn="0" w:lastRowFirstColumn="0" w:lastRowLastColumn="0"/>
            <w:tcW w:w="622" w:type="dxa"/>
          </w:tcPr>
          <w:p w14:paraId="7C6856E2" w14:textId="77777777" w:rsidR="00B93BEE" w:rsidRPr="0067507D" w:rsidRDefault="00B93BEE" w:rsidP="00705C56">
            <w:pPr>
              <w:pStyle w:val="Tabletextright"/>
            </w:pPr>
            <w:r w:rsidRPr="0067507D">
              <w:t>100.0</w:t>
            </w:r>
          </w:p>
        </w:tc>
      </w:tr>
      <w:tr w:rsidR="009632A4" w:rsidRPr="0067507D" w14:paraId="056B8714"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4C663192" w14:textId="77777777" w:rsidR="00B93BEE" w:rsidRPr="0067507D" w:rsidRDefault="00B93BEE" w:rsidP="007A60F2">
            <w:pPr>
              <w:pStyle w:val="Tablebullet"/>
            </w:pPr>
            <w:r w:rsidRPr="0067507D">
              <w:t xml:space="preserve">Internal </w:t>
            </w:r>
            <w:r w:rsidRPr="007A60F2">
              <w:t>combustion</w:t>
            </w:r>
            <w:r w:rsidRPr="0067507D">
              <w:t xml:space="preserve"> engines</w:t>
            </w:r>
          </w:p>
        </w:tc>
        <w:tc>
          <w:tcPr>
            <w:cnfStyle w:val="000010000000" w:firstRow="0" w:lastRow="0" w:firstColumn="0" w:lastColumn="0" w:oddVBand="1" w:evenVBand="0" w:oddHBand="0" w:evenHBand="0" w:firstRowFirstColumn="0" w:firstRowLastColumn="0" w:lastRowFirstColumn="0" w:lastRowLastColumn="0"/>
            <w:tcW w:w="1039" w:type="dxa"/>
          </w:tcPr>
          <w:p w14:paraId="07889C30" w14:textId="77777777" w:rsidR="00B93BEE" w:rsidRPr="0067507D" w:rsidRDefault="00B93BEE" w:rsidP="00705C56">
            <w:pPr>
              <w:pStyle w:val="Tabletextright"/>
            </w:pPr>
            <w:r w:rsidRPr="0067507D">
              <w:t>25</w:t>
            </w:r>
          </w:p>
        </w:tc>
        <w:tc>
          <w:tcPr>
            <w:cnfStyle w:val="000001000000" w:firstRow="0" w:lastRow="0" w:firstColumn="0" w:lastColumn="0" w:oddVBand="0" w:evenVBand="1" w:oddHBand="0" w:evenHBand="0" w:firstRowFirstColumn="0" w:firstRowLastColumn="0" w:lastRowFirstColumn="0" w:lastRowLastColumn="0"/>
            <w:tcW w:w="698" w:type="dxa"/>
          </w:tcPr>
          <w:p w14:paraId="1EDC915D" w14:textId="77777777" w:rsidR="00B93BEE" w:rsidRPr="0067507D" w:rsidRDefault="00B93BEE" w:rsidP="00705C56">
            <w:pPr>
              <w:pStyle w:val="Tabletextright"/>
            </w:pPr>
            <w:r w:rsidRPr="0067507D">
              <w:t>65.8</w:t>
            </w:r>
          </w:p>
        </w:tc>
        <w:tc>
          <w:tcPr>
            <w:cnfStyle w:val="000010000000" w:firstRow="0" w:lastRow="0" w:firstColumn="0" w:lastColumn="0" w:oddVBand="1" w:evenVBand="0" w:oddHBand="0" w:evenHBand="0" w:firstRowFirstColumn="0" w:firstRowLastColumn="0" w:lastRowFirstColumn="0" w:lastRowLastColumn="0"/>
            <w:tcW w:w="999" w:type="dxa"/>
          </w:tcPr>
          <w:p w14:paraId="0EC171E8" w14:textId="77777777" w:rsidR="00B93BEE" w:rsidRPr="0067507D" w:rsidRDefault="00B93BEE" w:rsidP="00705C56">
            <w:pPr>
              <w:pStyle w:val="Tabletextright"/>
            </w:pPr>
            <w:r w:rsidRPr="0067507D">
              <w:t>27</w:t>
            </w:r>
          </w:p>
        </w:tc>
        <w:tc>
          <w:tcPr>
            <w:cnfStyle w:val="000001000000" w:firstRow="0" w:lastRow="0" w:firstColumn="0" w:lastColumn="0" w:oddVBand="0" w:evenVBand="1" w:oddHBand="0" w:evenHBand="0" w:firstRowFirstColumn="0" w:firstRowLastColumn="0" w:lastRowFirstColumn="0" w:lastRowLastColumn="0"/>
            <w:tcW w:w="694" w:type="dxa"/>
          </w:tcPr>
          <w:p w14:paraId="2E3B91F2" w14:textId="77777777" w:rsidR="00B93BEE" w:rsidRPr="0067507D" w:rsidRDefault="00B93BEE" w:rsidP="00705C56">
            <w:pPr>
              <w:pStyle w:val="Tabletextright"/>
            </w:pPr>
            <w:r w:rsidRPr="0067507D">
              <w:t>77.1</w:t>
            </w:r>
          </w:p>
        </w:tc>
        <w:tc>
          <w:tcPr>
            <w:cnfStyle w:val="000010000000" w:firstRow="0" w:lastRow="0" w:firstColumn="0" w:lastColumn="0" w:oddVBand="1" w:evenVBand="0" w:oddHBand="0" w:evenHBand="0" w:firstRowFirstColumn="0" w:firstRowLastColumn="0" w:lastRowFirstColumn="0" w:lastRowLastColumn="0"/>
            <w:tcW w:w="999" w:type="dxa"/>
          </w:tcPr>
          <w:p w14:paraId="3E5AC163" w14:textId="77777777" w:rsidR="00B93BEE" w:rsidRPr="0067507D" w:rsidRDefault="00B93BEE" w:rsidP="00705C56">
            <w:pPr>
              <w:pStyle w:val="Tabletextright"/>
            </w:pPr>
            <w:r w:rsidRPr="0067507D">
              <w:t>31</w:t>
            </w:r>
          </w:p>
        </w:tc>
        <w:tc>
          <w:tcPr>
            <w:cnfStyle w:val="000001000000" w:firstRow="0" w:lastRow="0" w:firstColumn="0" w:lastColumn="0" w:oddVBand="0" w:evenVBand="1" w:oddHBand="0" w:evenHBand="0" w:firstRowFirstColumn="0" w:firstRowLastColumn="0" w:lastRowFirstColumn="0" w:lastRowLastColumn="0"/>
            <w:tcW w:w="622" w:type="dxa"/>
          </w:tcPr>
          <w:p w14:paraId="3AB9CFF4" w14:textId="77777777" w:rsidR="00B93BEE" w:rsidRPr="0067507D" w:rsidRDefault="00B93BEE" w:rsidP="00705C56">
            <w:pPr>
              <w:pStyle w:val="Tabletextright"/>
            </w:pPr>
            <w:r w:rsidRPr="0067507D">
              <w:t>48.4</w:t>
            </w:r>
          </w:p>
        </w:tc>
      </w:tr>
      <w:tr w:rsidR="009632A4" w:rsidRPr="0067507D" w14:paraId="53DB313A"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0929D007" w14:textId="77777777" w:rsidR="00B93BEE" w:rsidRPr="0067507D" w:rsidRDefault="00B93BEE" w:rsidP="006273F6">
            <w:pPr>
              <w:pStyle w:val="Tabledash"/>
              <w:ind w:left="790"/>
            </w:pPr>
            <w:r w:rsidRPr="0067507D">
              <w:t>Petrol</w:t>
            </w:r>
          </w:p>
        </w:tc>
        <w:tc>
          <w:tcPr>
            <w:cnfStyle w:val="000010000000" w:firstRow="0" w:lastRow="0" w:firstColumn="0" w:lastColumn="0" w:oddVBand="1" w:evenVBand="0" w:oddHBand="0" w:evenHBand="0" w:firstRowFirstColumn="0" w:firstRowLastColumn="0" w:lastRowFirstColumn="0" w:lastRowLastColumn="0"/>
            <w:tcW w:w="1039" w:type="dxa"/>
          </w:tcPr>
          <w:p w14:paraId="241E5424" w14:textId="77777777" w:rsidR="00B93BEE" w:rsidRPr="0067507D" w:rsidRDefault="00B93BEE" w:rsidP="00705C56">
            <w:pPr>
              <w:pStyle w:val="Tabletextright"/>
            </w:pPr>
            <w:r w:rsidRPr="0067507D">
              <w:t>17</w:t>
            </w:r>
          </w:p>
        </w:tc>
        <w:tc>
          <w:tcPr>
            <w:cnfStyle w:val="000001000000" w:firstRow="0" w:lastRow="0" w:firstColumn="0" w:lastColumn="0" w:oddVBand="0" w:evenVBand="1" w:oddHBand="0" w:evenHBand="0" w:firstRowFirstColumn="0" w:firstRowLastColumn="0" w:lastRowFirstColumn="0" w:lastRowLastColumn="0"/>
            <w:tcW w:w="698" w:type="dxa"/>
          </w:tcPr>
          <w:p w14:paraId="3A8EBA60" w14:textId="77777777" w:rsidR="00B93BEE" w:rsidRPr="0067507D" w:rsidRDefault="00B93BEE" w:rsidP="00705C56">
            <w:pPr>
              <w:pStyle w:val="Tabletextright"/>
            </w:pPr>
            <w:r w:rsidRPr="0067507D">
              <w:t>44.7</w:t>
            </w:r>
          </w:p>
        </w:tc>
        <w:tc>
          <w:tcPr>
            <w:cnfStyle w:val="000010000000" w:firstRow="0" w:lastRow="0" w:firstColumn="0" w:lastColumn="0" w:oddVBand="1" w:evenVBand="0" w:oddHBand="0" w:evenHBand="0" w:firstRowFirstColumn="0" w:firstRowLastColumn="0" w:lastRowFirstColumn="0" w:lastRowLastColumn="0"/>
            <w:tcW w:w="999" w:type="dxa"/>
          </w:tcPr>
          <w:p w14:paraId="1090D1CA" w14:textId="77777777" w:rsidR="00B93BEE" w:rsidRPr="0067507D" w:rsidRDefault="00B93BEE" w:rsidP="00705C56">
            <w:pPr>
              <w:pStyle w:val="Tabletextright"/>
            </w:pPr>
            <w:r w:rsidRPr="0067507D">
              <w:t>20</w:t>
            </w:r>
          </w:p>
        </w:tc>
        <w:tc>
          <w:tcPr>
            <w:cnfStyle w:val="000001000000" w:firstRow="0" w:lastRow="0" w:firstColumn="0" w:lastColumn="0" w:oddVBand="0" w:evenVBand="1" w:oddHBand="0" w:evenHBand="0" w:firstRowFirstColumn="0" w:firstRowLastColumn="0" w:lastRowFirstColumn="0" w:lastRowLastColumn="0"/>
            <w:tcW w:w="694" w:type="dxa"/>
          </w:tcPr>
          <w:p w14:paraId="1ECCEEDA" w14:textId="77777777" w:rsidR="00B93BEE" w:rsidRPr="0067507D" w:rsidRDefault="00B93BEE" w:rsidP="00705C56">
            <w:pPr>
              <w:pStyle w:val="Tabletextright"/>
            </w:pPr>
            <w:r w:rsidRPr="0067507D">
              <w:t>57.1</w:t>
            </w:r>
          </w:p>
        </w:tc>
        <w:tc>
          <w:tcPr>
            <w:cnfStyle w:val="000010000000" w:firstRow="0" w:lastRow="0" w:firstColumn="0" w:lastColumn="0" w:oddVBand="1" w:evenVBand="0" w:oddHBand="0" w:evenHBand="0" w:firstRowFirstColumn="0" w:firstRowLastColumn="0" w:lastRowFirstColumn="0" w:lastRowLastColumn="0"/>
            <w:tcW w:w="999" w:type="dxa"/>
          </w:tcPr>
          <w:p w14:paraId="36F3EB13" w14:textId="77777777" w:rsidR="00B93BEE" w:rsidRPr="0067507D" w:rsidRDefault="00B93BEE" w:rsidP="00705C56">
            <w:pPr>
              <w:pStyle w:val="Tabletextright"/>
            </w:pPr>
            <w:r w:rsidRPr="0067507D">
              <w:t>28</w:t>
            </w:r>
          </w:p>
        </w:tc>
        <w:tc>
          <w:tcPr>
            <w:cnfStyle w:val="000001000000" w:firstRow="0" w:lastRow="0" w:firstColumn="0" w:lastColumn="0" w:oddVBand="0" w:evenVBand="1" w:oddHBand="0" w:evenHBand="0" w:firstRowFirstColumn="0" w:firstRowLastColumn="0" w:lastRowFirstColumn="0" w:lastRowLastColumn="0"/>
            <w:tcW w:w="622" w:type="dxa"/>
          </w:tcPr>
          <w:p w14:paraId="468E157D" w14:textId="77777777" w:rsidR="00B93BEE" w:rsidRPr="0067507D" w:rsidRDefault="00B93BEE" w:rsidP="00705C56">
            <w:pPr>
              <w:pStyle w:val="Tabletextright"/>
            </w:pPr>
            <w:r w:rsidRPr="0067507D">
              <w:t>43.8</w:t>
            </w:r>
          </w:p>
        </w:tc>
      </w:tr>
      <w:tr w:rsidR="009632A4" w:rsidRPr="0067507D" w14:paraId="4AE42843"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1AFC6F97" w14:textId="77777777" w:rsidR="00B93BEE" w:rsidRPr="0067507D" w:rsidRDefault="00B93BEE" w:rsidP="006273F6">
            <w:pPr>
              <w:pStyle w:val="Tabledash"/>
              <w:ind w:left="790"/>
            </w:pPr>
            <w:r w:rsidRPr="0067507D">
              <w:t>Diesel/biodiesel</w:t>
            </w:r>
          </w:p>
        </w:tc>
        <w:tc>
          <w:tcPr>
            <w:cnfStyle w:val="000010000000" w:firstRow="0" w:lastRow="0" w:firstColumn="0" w:lastColumn="0" w:oddVBand="1" w:evenVBand="0" w:oddHBand="0" w:evenHBand="0" w:firstRowFirstColumn="0" w:firstRowLastColumn="0" w:lastRowFirstColumn="0" w:lastRowLastColumn="0"/>
            <w:tcW w:w="1039" w:type="dxa"/>
          </w:tcPr>
          <w:p w14:paraId="6151AE73" w14:textId="77777777" w:rsidR="00B93BEE" w:rsidRPr="0067507D" w:rsidRDefault="00B93BEE" w:rsidP="00705C56">
            <w:pPr>
              <w:pStyle w:val="Tabletextright"/>
            </w:pPr>
            <w:r w:rsidRPr="0067507D">
              <w:t>8</w:t>
            </w:r>
          </w:p>
        </w:tc>
        <w:tc>
          <w:tcPr>
            <w:cnfStyle w:val="000001000000" w:firstRow="0" w:lastRow="0" w:firstColumn="0" w:lastColumn="0" w:oddVBand="0" w:evenVBand="1" w:oddHBand="0" w:evenHBand="0" w:firstRowFirstColumn="0" w:firstRowLastColumn="0" w:lastRowFirstColumn="0" w:lastRowLastColumn="0"/>
            <w:tcW w:w="698" w:type="dxa"/>
          </w:tcPr>
          <w:p w14:paraId="159E4D45" w14:textId="77777777" w:rsidR="00B93BEE" w:rsidRPr="0067507D" w:rsidRDefault="00B93BEE" w:rsidP="00705C56">
            <w:pPr>
              <w:pStyle w:val="Tabletextright"/>
            </w:pPr>
            <w:r w:rsidRPr="0067507D">
              <w:t>21.1</w:t>
            </w:r>
          </w:p>
        </w:tc>
        <w:tc>
          <w:tcPr>
            <w:cnfStyle w:val="000010000000" w:firstRow="0" w:lastRow="0" w:firstColumn="0" w:lastColumn="0" w:oddVBand="1" w:evenVBand="0" w:oddHBand="0" w:evenHBand="0" w:firstRowFirstColumn="0" w:firstRowLastColumn="0" w:lastRowFirstColumn="0" w:lastRowLastColumn="0"/>
            <w:tcW w:w="999" w:type="dxa"/>
          </w:tcPr>
          <w:p w14:paraId="7506FB39" w14:textId="77777777" w:rsidR="00B93BEE" w:rsidRPr="0067507D" w:rsidRDefault="00B93BEE" w:rsidP="00705C56">
            <w:pPr>
              <w:pStyle w:val="Tabletextright"/>
            </w:pPr>
            <w:r w:rsidRPr="0067507D">
              <w:t>7</w:t>
            </w:r>
          </w:p>
        </w:tc>
        <w:tc>
          <w:tcPr>
            <w:cnfStyle w:val="000001000000" w:firstRow="0" w:lastRow="0" w:firstColumn="0" w:lastColumn="0" w:oddVBand="0" w:evenVBand="1" w:oddHBand="0" w:evenHBand="0" w:firstRowFirstColumn="0" w:firstRowLastColumn="0" w:lastRowFirstColumn="0" w:lastRowLastColumn="0"/>
            <w:tcW w:w="694" w:type="dxa"/>
          </w:tcPr>
          <w:p w14:paraId="27E0AB86" w14:textId="77777777" w:rsidR="00B93BEE" w:rsidRPr="0067507D" w:rsidRDefault="00B93BEE" w:rsidP="00705C56">
            <w:pPr>
              <w:pStyle w:val="Tabletextright"/>
            </w:pPr>
            <w:r w:rsidRPr="0067507D">
              <w:t>20.0</w:t>
            </w:r>
          </w:p>
        </w:tc>
        <w:tc>
          <w:tcPr>
            <w:cnfStyle w:val="000010000000" w:firstRow="0" w:lastRow="0" w:firstColumn="0" w:lastColumn="0" w:oddVBand="1" w:evenVBand="0" w:oddHBand="0" w:evenHBand="0" w:firstRowFirstColumn="0" w:firstRowLastColumn="0" w:lastRowFirstColumn="0" w:lastRowLastColumn="0"/>
            <w:tcW w:w="999" w:type="dxa"/>
          </w:tcPr>
          <w:p w14:paraId="71210A38" w14:textId="77777777" w:rsidR="00B93BEE" w:rsidRPr="0067507D" w:rsidRDefault="00B93BEE" w:rsidP="00705C56">
            <w:pPr>
              <w:pStyle w:val="Tabletextright"/>
            </w:pPr>
            <w:r w:rsidRPr="0067507D">
              <w:t>3</w:t>
            </w:r>
          </w:p>
        </w:tc>
        <w:tc>
          <w:tcPr>
            <w:cnfStyle w:val="000001000000" w:firstRow="0" w:lastRow="0" w:firstColumn="0" w:lastColumn="0" w:oddVBand="0" w:evenVBand="1" w:oddHBand="0" w:evenHBand="0" w:firstRowFirstColumn="0" w:firstRowLastColumn="0" w:lastRowFirstColumn="0" w:lastRowLastColumn="0"/>
            <w:tcW w:w="622" w:type="dxa"/>
          </w:tcPr>
          <w:p w14:paraId="1B91FEAE" w14:textId="77777777" w:rsidR="00B93BEE" w:rsidRPr="0067507D" w:rsidRDefault="00B93BEE" w:rsidP="00705C56">
            <w:pPr>
              <w:pStyle w:val="Tabletextright"/>
            </w:pPr>
            <w:r w:rsidRPr="0067507D">
              <w:t>4.7</w:t>
            </w:r>
          </w:p>
        </w:tc>
      </w:tr>
      <w:tr w:rsidR="009632A4" w:rsidRPr="0067507D" w14:paraId="0D72687F"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2DE95E05" w14:textId="77777777" w:rsidR="00B93BEE" w:rsidRPr="0067507D" w:rsidRDefault="00B93BEE" w:rsidP="00705C56">
            <w:pPr>
              <w:pStyle w:val="Tablebullet"/>
            </w:pPr>
            <w:r w:rsidRPr="0067507D">
              <w:t>Hybrid</w:t>
            </w:r>
          </w:p>
        </w:tc>
        <w:tc>
          <w:tcPr>
            <w:cnfStyle w:val="000010000000" w:firstRow="0" w:lastRow="0" w:firstColumn="0" w:lastColumn="0" w:oddVBand="1" w:evenVBand="0" w:oddHBand="0" w:evenHBand="0" w:firstRowFirstColumn="0" w:firstRowLastColumn="0" w:lastRowFirstColumn="0" w:lastRowLastColumn="0"/>
            <w:tcW w:w="1039" w:type="dxa"/>
          </w:tcPr>
          <w:p w14:paraId="6CC8AAD3" w14:textId="77777777" w:rsidR="00B93BEE" w:rsidRPr="0067507D" w:rsidRDefault="00B93BEE" w:rsidP="00705C56">
            <w:pPr>
              <w:pStyle w:val="Tabletextright"/>
            </w:pPr>
            <w:r w:rsidRPr="0067507D">
              <w:t>7</w:t>
            </w:r>
          </w:p>
        </w:tc>
        <w:tc>
          <w:tcPr>
            <w:cnfStyle w:val="000001000000" w:firstRow="0" w:lastRow="0" w:firstColumn="0" w:lastColumn="0" w:oddVBand="0" w:evenVBand="1" w:oddHBand="0" w:evenHBand="0" w:firstRowFirstColumn="0" w:firstRowLastColumn="0" w:lastRowFirstColumn="0" w:lastRowLastColumn="0"/>
            <w:tcW w:w="698" w:type="dxa"/>
          </w:tcPr>
          <w:p w14:paraId="694E45A7" w14:textId="77777777" w:rsidR="00B93BEE" w:rsidRPr="0067507D" w:rsidRDefault="00B93BEE" w:rsidP="00705C56">
            <w:pPr>
              <w:pStyle w:val="Tabletextright"/>
            </w:pPr>
            <w:r w:rsidRPr="0067507D">
              <w:t>10.5</w:t>
            </w:r>
          </w:p>
        </w:tc>
        <w:tc>
          <w:tcPr>
            <w:cnfStyle w:val="000010000000" w:firstRow="0" w:lastRow="0" w:firstColumn="0" w:lastColumn="0" w:oddVBand="1" w:evenVBand="0" w:oddHBand="0" w:evenHBand="0" w:firstRowFirstColumn="0" w:firstRowLastColumn="0" w:lastRowFirstColumn="0" w:lastRowLastColumn="0"/>
            <w:tcW w:w="999" w:type="dxa"/>
          </w:tcPr>
          <w:p w14:paraId="7AD3122C" w14:textId="77777777" w:rsidR="00B93BEE" w:rsidRPr="0067507D" w:rsidRDefault="00B93BEE" w:rsidP="00705C56">
            <w:pPr>
              <w:pStyle w:val="Tabletextright"/>
            </w:pPr>
            <w:r w:rsidRPr="0067507D">
              <w:t>7</w:t>
            </w:r>
          </w:p>
        </w:tc>
        <w:tc>
          <w:tcPr>
            <w:cnfStyle w:val="000001000000" w:firstRow="0" w:lastRow="0" w:firstColumn="0" w:lastColumn="0" w:oddVBand="0" w:evenVBand="1" w:oddHBand="0" w:evenHBand="0" w:firstRowFirstColumn="0" w:firstRowLastColumn="0" w:lastRowFirstColumn="0" w:lastRowLastColumn="0"/>
            <w:tcW w:w="694" w:type="dxa"/>
          </w:tcPr>
          <w:p w14:paraId="0E6D2184" w14:textId="77777777" w:rsidR="00B93BEE" w:rsidRPr="0067507D" w:rsidRDefault="00B93BEE" w:rsidP="00705C56">
            <w:pPr>
              <w:pStyle w:val="Tabletextright"/>
            </w:pPr>
            <w:r w:rsidRPr="0067507D">
              <w:t>20.0</w:t>
            </w:r>
          </w:p>
        </w:tc>
        <w:tc>
          <w:tcPr>
            <w:cnfStyle w:val="000010000000" w:firstRow="0" w:lastRow="0" w:firstColumn="0" w:lastColumn="0" w:oddVBand="1" w:evenVBand="0" w:oddHBand="0" w:evenHBand="0" w:firstRowFirstColumn="0" w:firstRowLastColumn="0" w:lastRowFirstColumn="0" w:lastRowLastColumn="0"/>
            <w:tcW w:w="999" w:type="dxa"/>
          </w:tcPr>
          <w:p w14:paraId="0BAB7E6D" w14:textId="77777777" w:rsidR="00B93BEE" w:rsidRPr="0067507D" w:rsidRDefault="00B93BEE" w:rsidP="00705C56">
            <w:pPr>
              <w:pStyle w:val="Tabletextright"/>
            </w:pPr>
            <w:r w:rsidRPr="0067507D">
              <w:t>28</w:t>
            </w:r>
          </w:p>
        </w:tc>
        <w:tc>
          <w:tcPr>
            <w:cnfStyle w:val="000001000000" w:firstRow="0" w:lastRow="0" w:firstColumn="0" w:lastColumn="0" w:oddVBand="0" w:evenVBand="1" w:oddHBand="0" w:evenHBand="0" w:firstRowFirstColumn="0" w:firstRowLastColumn="0" w:lastRowFirstColumn="0" w:lastRowLastColumn="0"/>
            <w:tcW w:w="622" w:type="dxa"/>
          </w:tcPr>
          <w:p w14:paraId="4D1DDB49" w14:textId="77777777" w:rsidR="00B93BEE" w:rsidRPr="0067507D" w:rsidRDefault="00B93BEE" w:rsidP="00705C56">
            <w:pPr>
              <w:pStyle w:val="Tabletextright"/>
            </w:pPr>
            <w:r w:rsidRPr="0067507D">
              <w:t>43.8</w:t>
            </w:r>
          </w:p>
        </w:tc>
      </w:tr>
      <w:tr w:rsidR="009632A4" w:rsidRPr="0067507D" w14:paraId="49D9985C"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791F95F7" w14:textId="5E018119" w:rsidR="00B93BEE" w:rsidRPr="0067507D" w:rsidRDefault="00B93BEE" w:rsidP="006273F6">
            <w:pPr>
              <w:pStyle w:val="Tabledash"/>
              <w:ind w:left="790"/>
            </w:pPr>
            <w:r w:rsidRPr="0067507D">
              <w:t>Plug</w:t>
            </w:r>
            <w:r w:rsidR="006A5485">
              <w:noBreakHyphen/>
            </w:r>
            <w:r w:rsidRPr="0067507D">
              <w:t>in hybrid electric vehicle (PHEV)</w:t>
            </w:r>
          </w:p>
        </w:tc>
        <w:tc>
          <w:tcPr>
            <w:cnfStyle w:val="000010000000" w:firstRow="0" w:lastRow="0" w:firstColumn="0" w:lastColumn="0" w:oddVBand="1" w:evenVBand="0" w:oddHBand="0" w:evenHBand="0" w:firstRowFirstColumn="0" w:firstRowLastColumn="0" w:lastRowFirstColumn="0" w:lastRowLastColumn="0"/>
            <w:tcW w:w="1039" w:type="dxa"/>
          </w:tcPr>
          <w:p w14:paraId="4BC93006" w14:textId="77777777" w:rsidR="00B93BEE" w:rsidRPr="0067507D" w:rsidRDefault="00B93BEE" w:rsidP="00705C56">
            <w:pPr>
              <w:pStyle w:val="Tabletextright"/>
            </w:pPr>
            <w:r w:rsidRPr="0067507D">
              <w:t>3</w:t>
            </w:r>
          </w:p>
        </w:tc>
        <w:tc>
          <w:tcPr>
            <w:cnfStyle w:val="000001000000" w:firstRow="0" w:lastRow="0" w:firstColumn="0" w:lastColumn="0" w:oddVBand="0" w:evenVBand="1" w:oddHBand="0" w:evenHBand="0" w:firstRowFirstColumn="0" w:firstRowLastColumn="0" w:lastRowFirstColumn="0" w:lastRowLastColumn="0"/>
            <w:tcW w:w="698" w:type="dxa"/>
          </w:tcPr>
          <w:p w14:paraId="0044236F" w14:textId="77777777" w:rsidR="00B93BEE" w:rsidRPr="0067507D" w:rsidRDefault="00B93BEE" w:rsidP="00705C56">
            <w:pPr>
              <w:pStyle w:val="Tabletextright"/>
            </w:pPr>
            <w:r w:rsidRPr="0067507D">
              <w:t>10.5</w:t>
            </w:r>
          </w:p>
        </w:tc>
        <w:tc>
          <w:tcPr>
            <w:cnfStyle w:val="000010000000" w:firstRow="0" w:lastRow="0" w:firstColumn="0" w:lastColumn="0" w:oddVBand="1" w:evenVBand="0" w:oddHBand="0" w:evenHBand="0" w:firstRowFirstColumn="0" w:firstRowLastColumn="0" w:lastRowFirstColumn="0" w:lastRowLastColumn="0"/>
            <w:tcW w:w="999" w:type="dxa"/>
          </w:tcPr>
          <w:p w14:paraId="51101737" w14:textId="77777777" w:rsidR="00B93BEE" w:rsidRPr="0067507D" w:rsidRDefault="00B93BEE" w:rsidP="00705C56">
            <w:pPr>
              <w:pStyle w:val="Tabletextright"/>
            </w:pPr>
            <w:r w:rsidRPr="0067507D">
              <w:t>1</w:t>
            </w:r>
          </w:p>
        </w:tc>
        <w:tc>
          <w:tcPr>
            <w:cnfStyle w:val="000001000000" w:firstRow="0" w:lastRow="0" w:firstColumn="0" w:lastColumn="0" w:oddVBand="0" w:evenVBand="1" w:oddHBand="0" w:evenHBand="0" w:firstRowFirstColumn="0" w:firstRowLastColumn="0" w:lastRowFirstColumn="0" w:lastRowLastColumn="0"/>
            <w:tcW w:w="694" w:type="dxa"/>
          </w:tcPr>
          <w:p w14:paraId="7157742B" w14:textId="77777777" w:rsidR="00B93BEE" w:rsidRPr="0067507D" w:rsidRDefault="00B93BEE" w:rsidP="00705C56">
            <w:pPr>
              <w:pStyle w:val="Tabletextright"/>
            </w:pPr>
            <w:r w:rsidRPr="0067507D">
              <w:t>2.9</w:t>
            </w:r>
          </w:p>
        </w:tc>
        <w:tc>
          <w:tcPr>
            <w:cnfStyle w:val="000010000000" w:firstRow="0" w:lastRow="0" w:firstColumn="0" w:lastColumn="0" w:oddVBand="1" w:evenVBand="0" w:oddHBand="0" w:evenHBand="0" w:firstRowFirstColumn="0" w:firstRowLastColumn="0" w:lastRowFirstColumn="0" w:lastRowLastColumn="0"/>
            <w:tcW w:w="999" w:type="dxa"/>
          </w:tcPr>
          <w:p w14:paraId="43108005" w14:textId="77777777" w:rsidR="00B93BEE" w:rsidRPr="0067507D" w:rsidRDefault="00B93BEE" w:rsidP="00705C56">
            <w:pPr>
              <w:pStyle w:val="Tabletextright"/>
            </w:pPr>
            <w:r w:rsidRPr="0067507D">
              <w:t>28</w:t>
            </w:r>
          </w:p>
        </w:tc>
        <w:tc>
          <w:tcPr>
            <w:cnfStyle w:val="000001000000" w:firstRow="0" w:lastRow="0" w:firstColumn="0" w:lastColumn="0" w:oddVBand="0" w:evenVBand="1" w:oddHBand="0" w:evenHBand="0" w:firstRowFirstColumn="0" w:firstRowLastColumn="0" w:lastRowFirstColumn="0" w:lastRowLastColumn="0"/>
            <w:tcW w:w="622" w:type="dxa"/>
          </w:tcPr>
          <w:p w14:paraId="6B0C16F5" w14:textId="77777777" w:rsidR="00B93BEE" w:rsidRPr="0067507D" w:rsidRDefault="00B93BEE" w:rsidP="00705C56">
            <w:pPr>
              <w:pStyle w:val="Tabletextright"/>
            </w:pPr>
            <w:r w:rsidRPr="0067507D">
              <w:t>43.8</w:t>
            </w:r>
          </w:p>
        </w:tc>
      </w:tr>
      <w:tr w:rsidR="009632A4" w:rsidRPr="0067507D" w14:paraId="74520BCE"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3BB6D5DE" w14:textId="13E4915F" w:rsidR="00B93BEE" w:rsidRPr="0067507D" w:rsidRDefault="00B93BEE" w:rsidP="006273F6">
            <w:pPr>
              <w:pStyle w:val="Tabledash"/>
              <w:ind w:left="790"/>
            </w:pPr>
            <w:r w:rsidRPr="0067507D">
              <w:t>Range</w:t>
            </w:r>
            <w:r w:rsidR="006A5485">
              <w:noBreakHyphen/>
            </w:r>
            <w:r w:rsidRPr="0067507D">
              <w:t>extended electric vehicle</w:t>
            </w:r>
          </w:p>
        </w:tc>
        <w:tc>
          <w:tcPr>
            <w:cnfStyle w:val="000010000000" w:firstRow="0" w:lastRow="0" w:firstColumn="0" w:lastColumn="0" w:oddVBand="1" w:evenVBand="0" w:oddHBand="0" w:evenHBand="0" w:firstRowFirstColumn="0" w:firstRowLastColumn="0" w:lastRowFirstColumn="0" w:lastRowLastColumn="0"/>
            <w:tcW w:w="1039" w:type="dxa"/>
          </w:tcPr>
          <w:p w14:paraId="70377452" w14:textId="77777777" w:rsidR="00B93BEE" w:rsidRPr="0067507D" w:rsidRDefault="00B93BEE" w:rsidP="00705C56">
            <w:pPr>
              <w:pStyle w:val="Tabletextright"/>
            </w:pPr>
            <w:r w:rsidRPr="0067507D">
              <w:t>0</w:t>
            </w:r>
          </w:p>
        </w:tc>
        <w:tc>
          <w:tcPr>
            <w:cnfStyle w:val="000001000000" w:firstRow="0" w:lastRow="0" w:firstColumn="0" w:lastColumn="0" w:oddVBand="0" w:evenVBand="1" w:oddHBand="0" w:evenHBand="0" w:firstRowFirstColumn="0" w:firstRowLastColumn="0" w:lastRowFirstColumn="0" w:lastRowLastColumn="0"/>
            <w:tcW w:w="698" w:type="dxa"/>
          </w:tcPr>
          <w:p w14:paraId="1A76635B" w14:textId="77777777" w:rsidR="00B93BEE" w:rsidRPr="0067507D" w:rsidRDefault="00B93BEE" w:rsidP="00705C56">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999" w:type="dxa"/>
          </w:tcPr>
          <w:p w14:paraId="4ACE4D62" w14:textId="77777777" w:rsidR="00B93BEE" w:rsidRPr="0067507D" w:rsidRDefault="00B93BEE" w:rsidP="00705C56">
            <w:pPr>
              <w:pStyle w:val="Tabletextright"/>
            </w:pPr>
            <w:r w:rsidRPr="0067507D">
              <w:t>6</w:t>
            </w:r>
          </w:p>
        </w:tc>
        <w:tc>
          <w:tcPr>
            <w:cnfStyle w:val="000001000000" w:firstRow="0" w:lastRow="0" w:firstColumn="0" w:lastColumn="0" w:oddVBand="0" w:evenVBand="1" w:oddHBand="0" w:evenHBand="0" w:firstRowFirstColumn="0" w:firstRowLastColumn="0" w:lastRowFirstColumn="0" w:lastRowLastColumn="0"/>
            <w:tcW w:w="694" w:type="dxa"/>
          </w:tcPr>
          <w:p w14:paraId="677B92B3" w14:textId="77777777" w:rsidR="00B93BEE" w:rsidRPr="0067507D" w:rsidRDefault="00B93BEE" w:rsidP="00705C56">
            <w:pPr>
              <w:pStyle w:val="Tabletextright"/>
            </w:pPr>
            <w:r w:rsidRPr="0067507D">
              <w:t>17.1</w:t>
            </w:r>
          </w:p>
        </w:tc>
        <w:tc>
          <w:tcPr>
            <w:cnfStyle w:val="000010000000" w:firstRow="0" w:lastRow="0" w:firstColumn="0" w:lastColumn="0" w:oddVBand="1" w:evenVBand="0" w:oddHBand="0" w:evenHBand="0" w:firstRowFirstColumn="0" w:firstRowLastColumn="0" w:lastRowFirstColumn="0" w:lastRowLastColumn="0"/>
            <w:tcW w:w="999" w:type="dxa"/>
          </w:tcPr>
          <w:p w14:paraId="0AB7BEAA" w14:textId="77777777" w:rsidR="00B93BEE" w:rsidRPr="0067507D" w:rsidRDefault="00B93BEE" w:rsidP="00705C56">
            <w:pPr>
              <w:pStyle w:val="Tabletextright"/>
            </w:pPr>
            <w:r w:rsidRPr="0067507D">
              <w:t>0</w:t>
            </w:r>
          </w:p>
        </w:tc>
        <w:tc>
          <w:tcPr>
            <w:cnfStyle w:val="000001000000" w:firstRow="0" w:lastRow="0" w:firstColumn="0" w:lastColumn="0" w:oddVBand="0" w:evenVBand="1" w:oddHBand="0" w:evenHBand="0" w:firstRowFirstColumn="0" w:firstRowLastColumn="0" w:lastRowFirstColumn="0" w:lastRowLastColumn="0"/>
            <w:tcW w:w="622" w:type="dxa"/>
          </w:tcPr>
          <w:p w14:paraId="461A26DF" w14:textId="77777777" w:rsidR="00B93BEE" w:rsidRPr="0067507D" w:rsidRDefault="00B93BEE" w:rsidP="00705C56">
            <w:pPr>
              <w:pStyle w:val="Tabletextright"/>
            </w:pPr>
            <w:r w:rsidRPr="0067507D">
              <w:t>0</w:t>
            </w:r>
          </w:p>
        </w:tc>
      </w:tr>
      <w:tr w:rsidR="009632A4" w:rsidRPr="0067507D" w14:paraId="573E2E87"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0A9BD307" w14:textId="77777777" w:rsidR="00B93BEE" w:rsidRPr="0067507D" w:rsidRDefault="00B93BEE" w:rsidP="00705C56">
            <w:pPr>
              <w:pStyle w:val="Tablebullet"/>
              <w:tabs>
                <w:tab w:val="clear" w:pos="360"/>
              </w:tabs>
              <w:ind w:left="248" w:hanging="248"/>
            </w:pPr>
            <w:r w:rsidRPr="0067507D">
              <w:t>Electric propulsion</w:t>
            </w:r>
          </w:p>
        </w:tc>
        <w:tc>
          <w:tcPr>
            <w:cnfStyle w:val="000010000000" w:firstRow="0" w:lastRow="0" w:firstColumn="0" w:lastColumn="0" w:oddVBand="1" w:evenVBand="0" w:oddHBand="0" w:evenHBand="0" w:firstRowFirstColumn="0" w:firstRowLastColumn="0" w:lastRowFirstColumn="0" w:lastRowLastColumn="0"/>
            <w:tcW w:w="1039" w:type="dxa"/>
          </w:tcPr>
          <w:p w14:paraId="16FB6A52" w14:textId="77777777" w:rsidR="00B93BEE" w:rsidRPr="0067507D" w:rsidRDefault="00B93BEE" w:rsidP="00705C56">
            <w:pPr>
              <w:pStyle w:val="Tabletextright"/>
            </w:pPr>
            <w:r w:rsidRPr="0067507D">
              <w:t>6</w:t>
            </w:r>
          </w:p>
        </w:tc>
        <w:tc>
          <w:tcPr>
            <w:cnfStyle w:val="000001000000" w:firstRow="0" w:lastRow="0" w:firstColumn="0" w:lastColumn="0" w:oddVBand="0" w:evenVBand="1" w:oddHBand="0" w:evenHBand="0" w:firstRowFirstColumn="0" w:firstRowLastColumn="0" w:lastRowFirstColumn="0" w:lastRowLastColumn="0"/>
            <w:tcW w:w="698" w:type="dxa"/>
          </w:tcPr>
          <w:p w14:paraId="462A76CC" w14:textId="77777777" w:rsidR="00B93BEE" w:rsidRPr="0067507D" w:rsidRDefault="00B93BEE" w:rsidP="00705C56">
            <w:pPr>
              <w:pStyle w:val="Tabletextright"/>
            </w:pPr>
            <w:r w:rsidRPr="0067507D">
              <w:t>15.8</w:t>
            </w:r>
          </w:p>
        </w:tc>
        <w:tc>
          <w:tcPr>
            <w:cnfStyle w:val="000010000000" w:firstRow="0" w:lastRow="0" w:firstColumn="0" w:lastColumn="0" w:oddVBand="1" w:evenVBand="0" w:oddHBand="0" w:evenHBand="0" w:firstRowFirstColumn="0" w:firstRowLastColumn="0" w:lastRowFirstColumn="0" w:lastRowLastColumn="0"/>
            <w:tcW w:w="999" w:type="dxa"/>
          </w:tcPr>
          <w:p w14:paraId="661C53FD" w14:textId="77777777" w:rsidR="00B93BEE" w:rsidRPr="0067507D" w:rsidRDefault="00B93BEE" w:rsidP="00705C56">
            <w:pPr>
              <w:pStyle w:val="Tabletextright"/>
            </w:pPr>
            <w:r w:rsidRPr="0067507D">
              <w:t>1</w:t>
            </w:r>
          </w:p>
        </w:tc>
        <w:tc>
          <w:tcPr>
            <w:cnfStyle w:val="000001000000" w:firstRow="0" w:lastRow="0" w:firstColumn="0" w:lastColumn="0" w:oddVBand="0" w:evenVBand="1" w:oddHBand="0" w:evenHBand="0" w:firstRowFirstColumn="0" w:firstRowLastColumn="0" w:lastRowFirstColumn="0" w:lastRowLastColumn="0"/>
            <w:tcW w:w="694" w:type="dxa"/>
          </w:tcPr>
          <w:p w14:paraId="67CEEF9E" w14:textId="77777777" w:rsidR="00B93BEE" w:rsidRPr="0067507D" w:rsidRDefault="00B93BEE" w:rsidP="00705C56">
            <w:pPr>
              <w:pStyle w:val="Tabletextright"/>
            </w:pPr>
            <w:r w:rsidRPr="0067507D">
              <w:t>2.9</w:t>
            </w:r>
          </w:p>
        </w:tc>
        <w:tc>
          <w:tcPr>
            <w:cnfStyle w:val="000010000000" w:firstRow="0" w:lastRow="0" w:firstColumn="0" w:lastColumn="0" w:oddVBand="1" w:evenVBand="0" w:oddHBand="0" w:evenHBand="0" w:firstRowFirstColumn="0" w:firstRowLastColumn="0" w:lastRowFirstColumn="0" w:lastRowLastColumn="0"/>
            <w:tcW w:w="999" w:type="dxa"/>
          </w:tcPr>
          <w:p w14:paraId="08CB7105" w14:textId="77777777" w:rsidR="00B93BEE" w:rsidRPr="0067507D" w:rsidRDefault="00B93BEE" w:rsidP="00705C56">
            <w:pPr>
              <w:pStyle w:val="Tabletextright"/>
            </w:pPr>
            <w:r w:rsidRPr="0067507D">
              <w:t>1</w:t>
            </w:r>
          </w:p>
        </w:tc>
        <w:tc>
          <w:tcPr>
            <w:cnfStyle w:val="000001000000" w:firstRow="0" w:lastRow="0" w:firstColumn="0" w:lastColumn="0" w:oddVBand="0" w:evenVBand="1" w:oddHBand="0" w:evenHBand="0" w:firstRowFirstColumn="0" w:firstRowLastColumn="0" w:lastRowFirstColumn="0" w:lastRowLastColumn="0"/>
            <w:tcW w:w="622" w:type="dxa"/>
          </w:tcPr>
          <w:p w14:paraId="7FBB8083" w14:textId="77777777" w:rsidR="00B93BEE" w:rsidRPr="0067507D" w:rsidRDefault="00B93BEE" w:rsidP="00705C56">
            <w:pPr>
              <w:pStyle w:val="Tabletextright"/>
            </w:pPr>
            <w:r w:rsidRPr="0067507D">
              <w:t>0.8</w:t>
            </w:r>
          </w:p>
        </w:tc>
      </w:tr>
      <w:tr w:rsidR="009632A4" w:rsidRPr="0067507D" w14:paraId="05F493A7"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078BE483" w14:textId="77777777" w:rsidR="00B93BEE" w:rsidRPr="0067507D" w:rsidRDefault="00B93BEE" w:rsidP="006273F6">
            <w:pPr>
              <w:pStyle w:val="Tabledash"/>
              <w:ind w:left="790"/>
            </w:pPr>
            <w:r w:rsidRPr="0067507D">
              <w:t>Battery electric vehicle</w:t>
            </w:r>
          </w:p>
        </w:tc>
        <w:tc>
          <w:tcPr>
            <w:cnfStyle w:val="000010000000" w:firstRow="0" w:lastRow="0" w:firstColumn="0" w:lastColumn="0" w:oddVBand="1" w:evenVBand="0" w:oddHBand="0" w:evenHBand="0" w:firstRowFirstColumn="0" w:firstRowLastColumn="0" w:lastRowFirstColumn="0" w:lastRowLastColumn="0"/>
            <w:tcW w:w="1039" w:type="dxa"/>
          </w:tcPr>
          <w:p w14:paraId="1CCA258C" w14:textId="77777777" w:rsidR="00B93BEE" w:rsidRPr="0067507D" w:rsidRDefault="00B93BEE" w:rsidP="00705C56">
            <w:pPr>
              <w:pStyle w:val="Tabletextright"/>
            </w:pPr>
            <w:r w:rsidRPr="0067507D">
              <w:t>6</w:t>
            </w:r>
          </w:p>
        </w:tc>
        <w:tc>
          <w:tcPr>
            <w:cnfStyle w:val="000001000000" w:firstRow="0" w:lastRow="0" w:firstColumn="0" w:lastColumn="0" w:oddVBand="0" w:evenVBand="1" w:oddHBand="0" w:evenHBand="0" w:firstRowFirstColumn="0" w:firstRowLastColumn="0" w:lastRowFirstColumn="0" w:lastRowLastColumn="0"/>
            <w:tcW w:w="698" w:type="dxa"/>
          </w:tcPr>
          <w:p w14:paraId="120F28EE" w14:textId="77777777" w:rsidR="00B93BEE" w:rsidRPr="0067507D" w:rsidRDefault="00B93BEE" w:rsidP="00705C56">
            <w:pPr>
              <w:pStyle w:val="Tabletextright"/>
            </w:pPr>
            <w:r w:rsidRPr="0067507D">
              <w:t>15.8</w:t>
            </w:r>
          </w:p>
        </w:tc>
        <w:tc>
          <w:tcPr>
            <w:cnfStyle w:val="000010000000" w:firstRow="0" w:lastRow="0" w:firstColumn="0" w:lastColumn="0" w:oddVBand="1" w:evenVBand="0" w:oddHBand="0" w:evenHBand="0" w:firstRowFirstColumn="0" w:firstRowLastColumn="0" w:lastRowFirstColumn="0" w:lastRowLastColumn="0"/>
            <w:tcW w:w="999" w:type="dxa"/>
          </w:tcPr>
          <w:p w14:paraId="6AA1E75C" w14:textId="77777777" w:rsidR="00B93BEE" w:rsidRPr="0067507D" w:rsidRDefault="00B93BEE" w:rsidP="00705C56">
            <w:pPr>
              <w:pStyle w:val="Tabletextright"/>
            </w:pPr>
            <w:r w:rsidRPr="0067507D">
              <w:t>1</w:t>
            </w:r>
          </w:p>
        </w:tc>
        <w:tc>
          <w:tcPr>
            <w:cnfStyle w:val="000001000000" w:firstRow="0" w:lastRow="0" w:firstColumn="0" w:lastColumn="0" w:oddVBand="0" w:evenVBand="1" w:oddHBand="0" w:evenHBand="0" w:firstRowFirstColumn="0" w:firstRowLastColumn="0" w:lastRowFirstColumn="0" w:lastRowLastColumn="0"/>
            <w:tcW w:w="694" w:type="dxa"/>
          </w:tcPr>
          <w:p w14:paraId="60359767" w14:textId="77777777" w:rsidR="00B93BEE" w:rsidRPr="0067507D" w:rsidRDefault="00B93BEE" w:rsidP="00705C56">
            <w:pPr>
              <w:pStyle w:val="Tabletextright"/>
            </w:pPr>
            <w:r w:rsidRPr="0067507D">
              <w:t>2.9</w:t>
            </w:r>
          </w:p>
        </w:tc>
        <w:tc>
          <w:tcPr>
            <w:cnfStyle w:val="000010000000" w:firstRow="0" w:lastRow="0" w:firstColumn="0" w:lastColumn="0" w:oddVBand="1" w:evenVBand="0" w:oddHBand="0" w:evenHBand="0" w:firstRowFirstColumn="0" w:firstRowLastColumn="0" w:lastRowFirstColumn="0" w:lastRowLastColumn="0"/>
            <w:tcW w:w="999" w:type="dxa"/>
          </w:tcPr>
          <w:p w14:paraId="02FE223D" w14:textId="77777777" w:rsidR="00B93BEE" w:rsidRPr="0067507D" w:rsidRDefault="00B93BEE" w:rsidP="00705C56">
            <w:pPr>
              <w:pStyle w:val="Tabletextright"/>
            </w:pPr>
            <w:r w:rsidRPr="0067507D">
              <w:t>1</w:t>
            </w:r>
          </w:p>
        </w:tc>
        <w:tc>
          <w:tcPr>
            <w:cnfStyle w:val="000001000000" w:firstRow="0" w:lastRow="0" w:firstColumn="0" w:lastColumn="0" w:oddVBand="0" w:evenVBand="1" w:oddHBand="0" w:evenHBand="0" w:firstRowFirstColumn="0" w:firstRowLastColumn="0" w:lastRowFirstColumn="0" w:lastRowLastColumn="0"/>
            <w:tcW w:w="622" w:type="dxa"/>
          </w:tcPr>
          <w:p w14:paraId="6A742D23" w14:textId="77777777" w:rsidR="00B93BEE" w:rsidRPr="0067507D" w:rsidRDefault="00B93BEE" w:rsidP="00705C56">
            <w:pPr>
              <w:pStyle w:val="Tabletextright"/>
            </w:pPr>
            <w:r w:rsidRPr="0067507D">
              <w:t>0.8</w:t>
            </w:r>
          </w:p>
        </w:tc>
      </w:tr>
      <w:tr w:rsidR="009632A4" w:rsidRPr="0067507D" w14:paraId="771E7ADE" w14:textId="77777777" w:rsidTr="00A4200F">
        <w:tc>
          <w:tcPr>
            <w:cnfStyle w:val="001000000000" w:firstRow="0" w:lastRow="0" w:firstColumn="1" w:lastColumn="0" w:oddVBand="0" w:evenVBand="0" w:oddHBand="0" w:evenHBand="0" w:firstRowFirstColumn="0" w:firstRowLastColumn="0" w:lastRowFirstColumn="0" w:lastRowLastColumn="0"/>
            <w:tcW w:w="4230" w:type="dxa"/>
          </w:tcPr>
          <w:p w14:paraId="12D1226C" w14:textId="77777777" w:rsidR="00B93BEE" w:rsidRPr="0067507D" w:rsidRDefault="00B93BEE" w:rsidP="006273F6">
            <w:pPr>
              <w:pStyle w:val="Tabledash"/>
              <w:ind w:left="790"/>
            </w:pPr>
            <w:r w:rsidRPr="0067507D">
              <w:t>Fuel cell electric vehicle (FCEV)</w:t>
            </w:r>
          </w:p>
        </w:tc>
        <w:tc>
          <w:tcPr>
            <w:cnfStyle w:val="000010000000" w:firstRow="0" w:lastRow="0" w:firstColumn="0" w:lastColumn="0" w:oddVBand="1" w:evenVBand="0" w:oddHBand="0" w:evenHBand="0" w:firstRowFirstColumn="0" w:firstRowLastColumn="0" w:lastRowFirstColumn="0" w:lastRowLastColumn="0"/>
            <w:tcW w:w="1039" w:type="dxa"/>
          </w:tcPr>
          <w:p w14:paraId="7C2237E9" w14:textId="77777777" w:rsidR="00B93BEE" w:rsidRPr="0067507D" w:rsidRDefault="00B93BEE" w:rsidP="00705C56">
            <w:pPr>
              <w:pStyle w:val="Tabletextright"/>
            </w:pPr>
            <w:r w:rsidRPr="0067507D">
              <w:t xml:space="preserve">0 </w:t>
            </w:r>
          </w:p>
        </w:tc>
        <w:tc>
          <w:tcPr>
            <w:cnfStyle w:val="000001000000" w:firstRow="0" w:lastRow="0" w:firstColumn="0" w:lastColumn="0" w:oddVBand="0" w:evenVBand="1" w:oddHBand="0" w:evenHBand="0" w:firstRowFirstColumn="0" w:firstRowLastColumn="0" w:lastRowFirstColumn="0" w:lastRowLastColumn="0"/>
            <w:tcW w:w="698" w:type="dxa"/>
          </w:tcPr>
          <w:p w14:paraId="47C7EC11" w14:textId="77777777" w:rsidR="00B93BEE" w:rsidRPr="0067507D" w:rsidRDefault="00B93BEE" w:rsidP="00705C56">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999" w:type="dxa"/>
          </w:tcPr>
          <w:p w14:paraId="5BB81CEB" w14:textId="77777777" w:rsidR="00B93BEE" w:rsidRPr="0067507D" w:rsidRDefault="00B93BEE" w:rsidP="00705C56">
            <w:pPr>
              <w:pStyle w:val="Tabletextright"/>
            </w:pPr>
            <w:r w:rsidRPr="0067507D">
              <w:t>0</w:t>
            </w:r>
          </w:p>
        </w:tc>
        <w:tc>
          <w:tcPr>
            <w:cnfStyle w:val="000001000000" w:firstRow="0" w:lastRow="0" w:firstColumn="0" w:lastColumn="0" w:oddVBand="0" w:evenVBand="1" w:oddHBand="0" w:evenHBand="0" w:firstRowFirstColumn="0" w:firstRowLastColumn="0" w:lastRowFirstColumn="0" w:lastRowLastColumn="0"/>
            <w:tcW w:w="694" w:type="dxa"/>
          </w:tcPr>
          <w:p w14:paraId="413A4DEB" w14:textId="77777777" w:rsidR="00B93BEE" w:rsidRPr="0067507D" w:rsidRDefault="00B93BEE" w:rsidP="00705C56">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999" w:type="dxa"/>
          </w:tcPr>
          <w:p w14:paraId="74CC1572" w14:textId="77777777" w:rsidR="00B93BEE" w:rsidRPr="0067507D" w:rsidRDefault="00B93BEE" w:rsidP="00705C56">
            <w:pPr>
              <w:pStyle w:val="Tabletextright"/>
            </w:pPr>
            <w:r w:rsidRPr="0067507D">
              <w:t>0</w:t>
            </w:r>
          </w:p>
        </w:tc>
        <w:tc>
          <w:tcPr>
            <w:cnfStyle w:val="000001000000" w:firstRow="0" w:lastRow="0" w:firstColumn="0" w:lastColumn="0" w:oddVBand="0" w:evenVBand="1" w:oddHBand="0" w:evenHBand="0" w:firstRowFirstColumn="0" w:firstRowLastColumn="0" w:lastRowFirstColumn="0" w:lastRowLastColumn="0"/>
            <w:tcW w:w="622" w:type="dxa"/>
          </w:tcPr>
          <w:p w14:paraId="545FB7E4" w14:textId="77777777" w:rsidR="00B93BEE" w:rsidRPr="0067507D" w:rsidRDefault="00B93BEE" w:rsidP="00705C56">
            <w:pPr>
              <w:pStyle w:val="Tabletextright"/>
            </w:pPr>
            <w:r w:rsidRPr="0067507D">
              <w:t>0</w:t>
            </w:r>
          </w:p>
        </w:tc>
      </w:tr>
    </w:tbl>
    <w:p w14:paraId="229E5152" w14:textId="77777777" w:rsidR="00B93BEE" w:rsidRPr="0067507D" w:rsidRDefault="00B93BEE" w:rsidP="005802E8">
      <w:pPr>
        <w:pStyle w:val="Spacer"/>
        <w:rPr>
          <w:highlight w:val="yellow"/>
        </w:rPr>
      </w:pPr>
    </w:p>
    <w:p w14:paraId="675C9D11" w14:textId="77777777" w:rsidR="005802E8" w:rsidRPr="0067507D" w:rsidRDefault="005802E8" w:rsidP="00174807">
      <w:pPr>
        <w:pStyle w:val="Notes"/>
        <w:rPr>
          <w:highlight w:val="yellow"/>
        </w:rPr>
        <w:sectPr w:rsidR="005802E8" w:rsidRPr="0067507D" w:rsidSect="00B93BEE">
          <w:type w:val="continuous"/>
          <w:pgSz w:w="11909" w:h="16834" w:code="9"/>
          <w:pgMar w:top="1728" w:right="1152" w:bottom="1267" w:left="1152" w:header="720" w:footer="288" w:gutter="0"/>
          <w:cols w:space="720"/>
          <w:noEndnote/>
        </w:sectPr>
      </w:pPr>
    </w:p>
    <w:p w14:paraId="67029048" w14:textId="77777777" w:rsidR="00B93BEE" w:rsidRPr="0067507D" w:rsidRDefault="00B93BEE" w:rsidP="00174807">
      <w:pPr>
        <w:pStyle w:val="Heading3"/>
      </w:pPr>
      <w:r w:rsidRPr="0067507D">
        <w:lastRenderedPageBreak/>
        <w:t>Total energy use</w:t>
      </w:r>
    </w:p>
    <w:p w14:paraId="686604B4" w14:textId="77777777" w:rsidR="00B93BEE" w:rsidRPr="0067507D" w:rsidRDefault="00B93BEE" w:rsidP="00174807">
      <w:pPr>
        <w:ind w:right="122"/>
        <w:sectPr w:rsidR="00B93BEE" w:rsidRPr="0067507D" w:rsidSect="00B93BEE">
          <w:pgSz w:w="11909" w:h="16834" w:code="9"/>
          <w:pgMar w:top="1728" w:right="1152" w:bottom="1267" w:left="1152" w:header="720" w:footer="288" w:gutter="0"/>
          <w:cols w:num="2" w:space="720"/>
          <w:noEndnote/>
        </w:sectPr>
      </w:pPr>
    </w:p>
    <w:p w14:paraId="2CCF5278" w14:textId="77777777" w:rsidR="00B93BEE" w:rsidRPr="0067507D" w:rsidRDefault="00B93BEE" w:rsidP="007E1586">
      <w:pPr>
        <w:rPr>
          <w:rFonts w:ascii="VIC" w:eastAsia="MS Mincho" w:hAnsi="VIC" w:cs="Arial"/>
          <w:sz w:val="18"/>
          <w:szCs w:val="18"/>
          <w:lang w:eastAsia="en-US"/>
        </w:rPr>
      </w:pPr>
      <w:r w:rsidRPr="0067507D">
        <w:rPr>
          <w:rFonts w:ascii="VIC" w:eastAsia="MS Mincho" w:hAnsi="VIC" w:cs="Arial"/>
          <w:sz w:val="18"/>
          <w:szCs w:val="18"/>
          <w:lang w:eastAsia="en-US"/>
        </w:rPr>
        <w:t xml:space="preserve">DTF’s </w:t>
      </w:r>
      <w:r w:rsidRPr="0067507D">
        <w:t xml:space="preserve">energy </w:t>
      </w:r>
      <w:r w:rsidRPr="0067507D">
        <w:rPr>
          <w:rFonts w:ascii="VIC" w:eastAsia="MS Mincho" w:hAnsi="VIC" w:cs="Arial"/>
          <w:sz w:val="18"/>
          <w:szCs w:val="18"/>
          <w:lang w:eastAsia="en-US"/>
        </w:rPr>
        <w:t>consumption reporting covers tenancies at the following sites:</w:t>
      </w:r>
    </w:p>
    <w:p w14:paraId="289BA0B5" w14:textId="77777777" w:rsidR="00B93BEE" w:rsidRPr="0067507D" w:rsidRDefault="00B93BEE" w:rsidP="007E1586">
      <w:pPr>
        <w:pStyle w:val="Bullet"/>
        <w:numPr>
          <w:ilvl w:val="0"/>
          <w:numId w:val="40"/>
        </w:numPr>
        <w:rPr>
          <w:rFonts w:ascii="VIC" w:hAnsi="VIC"/>
        </w:rPr>
      </w:pPr>
      <w:r w:rsidRPr="0067507D">
        <w:rPr>
          <w:rFonts w:ascii="VIC" w:hAnsi="VIC"/>
        </w:rPr>
        <w:t>1 Treasury Place, East Melbourne</w:t>
      </w:r>
    </w:p>
    <w:p w14:paraId="757114CB" w14:textId="77777777" w:rsidR="00B93BEE" w:rsidRPr="0067507D" w:rsidRDefault="00B93BEE" w:rsidP="007E1586">
      <w:pPr>
        <w:pStyle w:val="Bullet"/>
        <w:numPr>
          <w:ilvl w:val="0"/>
          <w:numId w:val="40"/>
        </w:numPr>
        <w:rPr>
          <w:rFonts w:ascii="VIC" w:hAnsi="VIC"/>
        </w:rPr>
      </w:pPr>
      <w:r w:rsidRPr="0067507D">
        <w:rPr>
          <w:rFonts w:ascii="VIC" w:hAnsi="VIC"/>
        </w:rPr>
        <w:t xml:space="preserve">1 Macarthur Street, East Melbourne </w:t>
      </w:r>
    </w:p>
    <w:p w14:paraId="0E37B62C" w14:textId="77777777" w:rsidR="00B93BEE" w:rsidRPr="0067507D" w:rsidRDefault="00B93BEE" w:rsidP="007E1586">
      <w:pPr>
        <w:pStyle w:val="Bullet"/>
        <w:numPr>
          <w:ilvl w:val="0"/>
          <w:numId w:val="40"/>
        </w:numPr>
        <w:rPr>
          <w:rFonts w:ascii="VIC" w:hAnsi="VIC"/>
        </w:rPr>
      </w:pPr>
      <w:r w:rsidRPr="0067507D">
        <w:rPr>
          <w:rFonts w:ascii="VIC" w:hAnsi="VIC"/>
        </w:rPr>
        <w:t>1 Spring Street, Melbourne</w:t>
      </w:r>
    </w:p>
    <w:p w14:paraId="0A54645E" w14:textId="619F7D16" w:rsidR="00B93BEE" w:rsidRPr="0067507D" w:rsidRDefault="00B93BEE" w:rsidP="007E1586">
      <w:pPr>
        <w:ind w:right="122"/>
      </w:pPr>
      <w:r w:rsidRPr="0067507D">
        <w:t>During the 2024</w:t>
      </w:r>
      <w:r w:rsidR="003F781E">
        <w:noBreakHyphen/>
      </w:r>
      <w:r w:rsidRPr="0067507D">
        <w:t xml:space="preserve">25 reporting period, DTF's total energy use remained stable at 9 164 949 MJ. </w:t>
      </w:r>
    </w:p>
    <w:p w14:paraId="629B2E55" w14:textId="77777777" w:rsidR="00B93BEE" w:rsidRPr="0067507D" w:rsidRDefault="00B93BEE" w:rsidP="007E1586">
      <w:pPr>
        <w:ind w:right="122"/>
        <w:rPr>
          <w:highlight w:val="yellow"/>
        </w:rPr>
      </w:pPr>
      <w:r w:rsidRPr="0067507D">
        <w:t xml:space="preserve">This total includes energy from both fuels and electricity; details on these contributors are outlined in the relevant sections of the report. </w:t>
      </w:r>
    </w:p>
    <w:p w14:paraId="764D57F4" w14:textId="77777777" w:rsidR="00B93BEE" w:rsidRPr="0067507D" w:rsidRDefault="00B93BEE" w:rsidP="00174807">
      <w:pPr>
        <w:rPr>
          <w:highlight w:val="yellow"/>
        </w:rPr>
      </w:pPr>
    </w:p>
    <w:p w14:paraId="10342D1F" w14:textId="77777777" w:rsidR="00B93BEE" w:rsidRPr="0067507D" w:rsidRDefault="00B93BEE" w:rsidP="00174807">
      <w:pPr>
        <w:rPr>
          <w:rFonts w:cstheme="minorHAnsi"/>
          <w:highlight w:val="yellow"/>
        </w:rPr>
        <w:sectPr w:rsidR="00B93BEE" w:rsidRPr="0067507D" w:rsidSect="00B93BEE">
          <w:type w:val="continuous"/>
          <w:pgSz w:w="11909" w:h="16834" w:code="9"/>
          <w:pgMar w:top="1728" w:right="1152" w:bottom="1267" w:left="1152" w:header="720" w:footer="288" w:gutter="0"/>
          <w:cols w:num="2" w:space="720"/>
          <w:noEndnote/>
        </w:sectPr>
      </w:pPr>
    </w:p>
    <w:p w14:paraId="3CB3ACF1" w14:textId="77777777" w:rsidR="00B93BEE" w:rsidRPr="0067507D" w:rsidRDefault="00B93BEE" w:rsidP="00174807">
      <w:pPr>
        <w:pStyle w:val="Notes"/>
        <w:rPr>
          <w:highlight w:val="yellow"/>
        </w:rPr>
      </w:pPr>
    </w:p>
    <w:tbl>
      <w:tblPr>
        <w:tblStyle w:val="AnnualReporttexttable"/>
        <w:tblW w:w="9036" w:type="dxa"/>
        <w:tblLayout w:type="fixed"/>
        <w:tblCellMar>
          <w:left w:w="86" w:type="dxa"/>
          <w:right w:w="86" w:type="dxa"/>
        </w:tblCellMar>
        <w:tblLook w:val="02A0" w:firstRow="1" w:lastRow="0" w:firstColumn="1" w:lastColumn="0" w:noHBand="1" w:noVBand="0"/>
      </w:tblPr>
      <w:tblGrid>
        <w:gridCol w:w="5499"/>
        <w:gridCol w:w="1155"/>
        <w:gridCol w:w="1155"/>
        <w:gridCol w:w="1227"/>
      </w:tblGrid>
      <w:tr w:rsidR="00B93BEE" w:rsidRPr="0067507D" w14:paraId="3823930A" w14:textId="77777777" w:rsidTr="002A27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9" w:type="dxa"/>
            <w:shd w:val="clear" w:color="auto" w:fill="auto"/>
          </w:tcPr>
          <w:p w14:paraId="53FE799C" w14:textId="77777777" w:rsidR="00B93BEE" w:rsidRPr="00D85F24" w:rsidRDefault="00B93BEE">
            <w:pPr>
              <w:pStyle w:val="Tabletextheadingleft"/>
              <w:rPr>
                <w:b w:val="0"/>
                <w:bCs/>
              </w:rPr>
            </w:pPr>
            <w:r w:rsidRPr="00D85F24">
              <w:rPr>
                <w:b w:val="0"/>
                <w:bCs/>
              </w:rPr>
              <w:t>Indicator</w:t>
            </w:r>
          </w:p>
        </w:tc>
        <w:tc>
          <w:tcPr>
            <w:cnfStyle w:val="000010000000" w:firstRow="0" w:lastRow="0" w:firstColumn="0" w:lastColumn="0" w:oddVBand="1" w:evenVBand="0" w:oddHBand="0" w:evenHBand="0" w:firstRowFirstColumn="0" w:firstRowLastColumn="0" w:lastRowFirstColumn="0" w:lastRowLastColumn="0"/>
            <w:tcW w:w="1155" w:type="dxa"/>
            <w:shd w:val="clear" w:color="auto" w:fill="auto"/>
          </w:tcPr>
          <w:p w14:paraId="648C2A44" w14:textId="012ED99E" w:rsidR="00B93BEE" w:rsidRPr="00D85F24" w:rsidRDefault="00B93BEE">
            <w:pPr>
              <w:pStyle w:val="Tabletextheadingright"/>
              <w:rPr>
                <w:b w:val="0"/>
                <w:bCs/>
              </w:rPr>
            </w:pPr>
            <w:r w:rsidRPr="00D85F24">
              <w:rPr>
                <w:b w:val="0"/>
                <w:bCs/>
              </w:rPr>
              <w:t>2024</w:t>
            </w:r>
            <w:r w:rsidR="006A5485" w:rsidRPr="00D85F24">
              <w:rPr>
                <w:b w:val="0"/>
                <w:bCs/>
              </w:rPr>
              <w:noBreakHyphen/>
            </w:r>
            <w:r w:rsidRPr="00D85F24">
              <w:rPr>
                <w:b w:val="0"/>
                <w:bCs/>
              </w:rPr>
              <w:t xml:space="preserve">25 </w:t>
            </w:r>
            <w:r w:rsidRPr="00D85F24">
              <w:rPr>
                <w:b w:val="0"/>
                <w:bCs/>
                <w:vertAlign w:val="superscript"/>
              </w:rPr>
              <w:t>(a)</w:t>
            </w:r>
          </w:p>
        </w:tc>
        <w:tc>
          <w:tcPr>
            <w:cnfStyle w:val="000001000000" w:firstRow="0" w:lastRow="0" w:firstColumn="0" w:lastColumn="0" w:oddVBand="0" w:evenVBand="1" w:oddHBand="0" w:evenHBand="0" w:firstRowFirstColumn="0" w:firstRowLastColumn="0" w:lastRowFirstColumn="0" w:lastRowLastColumn="0"/>
            <w:tcW w:w="1155" w:type="dxa"/>
            <w:shd w:val="clear" w:color="auto" w:fill="auto"/>
          </w:tcPr>
          <w:p w14:paraId="703E4F50" w14:textId="4ADBCA71" w:rsidR="00B93BEE" w:rsidRPr="00D85F24" w:rsidRDefault="00B93BEE">
            <w:pPr>
              <w:pStyle w:val="Tabletextheadingright"/>
              <w:rPr>
                <w:b w:val="0"/>
                <w:bCs/>
              </w:rPr>
            </w:pPr>
            <w:r w:rsidRPr="00D85F24">
              <w:rPr>
                <w:b w:val="0"/>
                <w:bCs/>
              </w:rPr>
              <w:t>2023</w:t>
            </w:r>
            <w:r w:rsidR="006A5485" w:rsidRPr="00D85F24">
              <w:rPr>
                <w:b w:val="0"/>
                <w:bCs/>
              </w:rPr>
              <w:noBreakHyphen/>
            </w:r>
            <w:r w:rsidRPr="00D85F24">
              <w:rPr>
                <w:b w:val="0"/>
                <w:bCs/>
              </w:rPr>
              <w:t xml:space="preserve">24 </w:t>
            </w:r>
          </w:p>
        </w:tc>
        <w:tc>
          <w:tcPr>
            <w:cnfStyle w:val="000010000000" w:firstRow="0" w:lastRow="0" w:firstColumn="0" w:lastColumn="0" w:oddVBand="1" w:evenVBand="0" w:oddHBand="0" w:evenHBand="0" w:firstRowFirstColumn="0" w:firstRowLastColumn="0" w:lastRowFirstColumn="0" w:lastRowLastColumn="0"/>
            <w:tcW w:w="1227" w:type="dxa"/>
            <w:shd w:val="clear" w:color="auto" w:fill="auto"/>
          </w:tcPr>
          <w:p w14:paraId="21759D63" w14:textId="2180FD35" w:rsidR="00B93BEE" w:rsidRPr="00D85F24" w:rsidRDefault="00B93BEE">
            <w:pPr>
              <w:pStyle w:val="Tabletextheadingright"/>
              <w:rPr>
                <w:b w:val="0"/>
                <w:bCs/>
              </w:rPr>
            </w:pPr>
            <w:r w:rsidRPr="00D85F24">
              <w:rPr>
                <w:b w:val="0"/>
                <w:bCs/>
              </w:rPr>
              <w:t>2022</w:t>
            </w:r>
            <w:r w:rsidR="006A5485" w:rsidRPr="00D85F24">
              <w:rPr>
                <w:b w:val="0"/>
                <w:bCs/>
              </w:rPr>
              <w:noBreakHyphen/>
            </w:r>
            <w:r w:rsidRPr="00D85F24">
              <w:rPr>
                <w:b w:val="0"/>
                <w:bCs/>
              </w:rPr>
              <w:t xml:space="preserve">23 </w:t>
            </w:r>
            <w:r w:rsidRPr="00D85F24">
              <w:rPr>
                <w:b w:val="0"/>
                <w:bCs/>
                <w:vertAlign w:val="superscript"/>
              </w:rPr>
              <w:t>(b)</w:t>
            </w:r>
          </w:p>
        </w:tc>
      </w:tr>
      <w:tr w:rsidR="00B93BEE" w:rsidRPr="0067507D" w14:paraId="72D59ADE" w14:textId="77777777" w:rsidTr="00D85F24">
        <w:tc>
          <w:tcPr>
            <w:cnfStyle w:val="001000000000" w:firstRow="0" w:lastRow="0" w:firstColumn="1" w:lastColumn="0" w:oddVBand="0" w:evenVBand="0" w:oddHBand="0" w:evenHBand="0" w:firstRowFirstColumn="0" w:firstRowLastColumn="0" w:lastRowFirstColumn="0" w:lastRowLastColumn="0"/>
            <w:tcW w:w="5499" w:type="dxa"/>
            <w:shd w:val="clear" w:color="auto" w:fill="auto"/>
          </w:tcPr>
          <w:p w14:paraId="47CCC9B0" w14:textId="77777777" w:rsidR="00B93BEE" w:rsidRPr="0067507D" w:rsidRDefault="00B93BEE">
            <w:pPr>
              <w:pStyle w:val="Tabletextbold"/>
            </w:pPr>
            <w:r w:rsidRPr="0067507D">
              <w:t xml:space="preserve">Total energy usage from fuels (stationary and transportation) (MJ) </w:t>
            </w:r>
            <w:r w:rsidRPr="0067507D">
              <w:rPr>
                <w:rFonts w:asciiTheme="minorHAnsi" w:hAnsiTheme="minorHAnsi"/>
              </w:rPr>
              <w:t>[Indicator E1]</w:t>
            </w:r>
          </w:p>
        </w:tc>
        <w:tc>
          <w:tcPr>
            <w:cnfStyle w:val="000010000000" w:firstRow="0" w:lastRow="0" w:firstColumn="0" w:lastColumn="0" w:oddVBand="1" w:evenVBand="0" w:oddHBand="0" w:evenHBand="0" w:firstRowFirstColumn="0" w:firstRowLastColumn="0" w:lastRowFirstColumn="0" w:lastRowLastColumn="0"/>
            <w:tcW w:w="1155" w:type="dxa"/>
          </w:tcPr>
          <w:p w14:paraId="166243BA" w14:textId="77777777" w:rsidR="00B93BEE" w:rsidRPr="0067507D" w:rsidRDefault="00B93BEE">
            <w:pPr>
              <w:pStyle w:val="Tabletextrightbold"/>
            </w:pPr>
            <w:r w:rsidRPr="0067507D">
              <w:t>3 588 256</w:t>
            </w:r>
          </w:p>
        </w:tc>
        <w:tc>
          <w:tcPr>
            <w:cnfStyle w:val="000001000000" w:firstRow="0" w:lastRow="0" w:firstColumn="0" w:lastColumn="0" w:oddVBand="0" w:evenVBand="1" w:oddHBand="0" w:evenHBand="0" w:firstRowFirstColumn="0" w:firstRowLastColumn="0" w:lastRowFirstColumn="0" w:lastRowLastColumn="0"/>
            <w:tcW w:w="1155" w:type="dxa"/>
          </w:tcPr>
          <w:p w14:paraId="52CCE16E" w14:textId="77777777" w:rsidR="00B93BEE" w:rsidRPr="0067507D" w:rsidRDefault="00B93BEE">
            <w:pPr>
              <w:pStyle w:val="Tabletextrightbold"/>
            </w:pPr>
            <w:r w:rsidRPr="0067507D">
              <w:t>3 835 345</w:t>
            </w:r>
          </w:p>
        </w:tc>
        <w:tc>
          <w:tcPr>
            <w:cnfStyle w:val="000010000000" w:firstRow="0" w:lastRow="0" w:firstColumn="0" w:lastColumn="0" w:oddVBand="1" w:evenVBand="0" w:oddHBand="0" w:evenHBand="0" w:firstRowFirstColumn="0" w:firstRowLastColumn="0" w:lastRowFirstColumn="0" w:lastRowLastColumn="0"/>
            <w:tcW w:w="1227" w:type="dxa"/>
          </w:tcPr>
          <w:p w14:paraId="18F10EE8" w14:textId="77777777" w:rsidR="00B93BEE" w:rsidRPr="0067507D" w:rsidRDefault="00B93BEE">
            <w:pPr>
              <w:pStyle w:val="Tabletextrightbold"/>
            </w:pPr>
            <w:r w:rsidRPr="0067507D">
              <w:t>2 502 535</w:t>
            </w:r>
          </w:p>
        </w:tc>
      </w:tr>
      <w:tr w:rsidR="00B93BEE" w:rsidRPr="0067507D" w14:paraId="1E3AB670" w14:textId="77777777" w:rsidTr="00D85F24">
        <w:tc>
          <w:tcPr>
            <w:cnfStyle w:val="001000000000" w:firstRow="0" w:lastRow="0" w:firstColumn="1" w:lastColumn="0" w:oddVBand="0" w:evenVBand="0" w:oddHBand="0" w:evenHBand="0" w:firstRowFirstColumn="0" w:firstRowLastColumn="0" w:lastRowFirstColumn="0" w:lastRowLastColumn="0"/>
            <w:tcW w:w="5499" w:type="dxa"/>
            <w:shd w:val="clear" w:color="auto" w:fill="auto"/>
          </w:tcPr>
          <w:p w14:paraId="07A32685" w14:textId="77777777" w:rsidR="00B93BEE" w:rsidRPr="0067507D" w:rsidRDefault="00B93BEE">
            <w:pPr>
              <w:pStyle w:val="Tabletextbold"/>
            </w:pPr>
            <w:r w:rsidRPr="0067507D">
              <w:t xml:space="preserve">Total energy used from electricity (MJ) </w:t>
            </w:r>
            <w:r w:rsidRPr="0067507D">
              <w:rPr>
                <w:rFonts w:asciiTheme="minorHAnsi" w:hAnsiTheme="minorHAnsi"/>
              </w:rPr>
              <w:t>[Indicator E2]</w:t>
            </w:r>
          </w:p>
        </w:tc>
        <w:tc>
          <w:tcPr>
            <w:cnfStyle w:val="000010000000" w:firstRow="0" w:lastRow="0" w:firstColumn="0" w:lastColumn="0" w:oddVBand="1" w:evenVBand="0" w:oddHBand="0" w:evenHBand="0" w:firstRowFirstColumn="0" w:firstRowLastColumn="0" w:lastRowFirstColumn="0" w:lastRowLastColumn="0"/>
            <w:tcW w:w="1155" w:type="dxa"/>
          </w:tcPr>
          <w:p w14:paraId="19097723" w14:textId="77777777" w:rsidR="00B93BEE" w:rsidRPr="0067507D" w:rsidRDefault="00B93BEE">
            <w:pPr>
              <w:pStyle w:val="Tabletextrightbold"/>
            </w:pPr>
            <w:r w:rsidRPr="0067507D">
              <w:t>5 576 694</w:t>
            </w:r>
          </w:p>
        </w:tc>
        <w:tc>
          <w:tcPr>
            <w:cnfStyle w:val="000001000000" w:firstRow="0" w:lastRow="0" w:firstColumn="0" w:lastColumn="0" w:oddVBand="0" w:evenVBand="1" w:oddHBand="0" w:evenHBand="0" w:firstRowFirstColumn="0" w:firstRowLastColumn="0" w:lastRowFirstColumn="0" w:lastRowLastColumn="0"/>
            <w:tcW w:w="1155" w:type="dxa"/>
          </w:tcPr>
          <w:p w14:paraId="1B2C43BF" w14:textId="77777777" w:rsidR="00B93BEE" w:rsidRPr="0067507D" w:rsidRDefault="00B93BEE">
            <w:pPr>
              <w:pStyle w:val="Tabletextrightbold"/>
            </w:pPr>
            <w:r w:rsidRPr="0067507D">
              <w:t>5 498 387</w:t>
            </w:r>
          </w:p>
        </w:tc>
        <w:tc>
          <w:tcPr>
            <w:cnfStyle w:val="000010000000" w:firstRow="0" w:lastRow="0" w:firstColumn="0" w:lastColumn="0" w:oddVBand="1" w:evenVBand="0" w:oddHBand="0" w:evenHBand="0" w:firstRowFirstColumn="0" w:firstRowLastColumn="0" w:lastRowFirstColumn="0" w:lastRowLastColumn="0"/>
            <w:tcW w:w="1227" w:type="dxa"/>
          </w:tcPr>
          <w:p w14:paraId="0C2FBB8D" w14:textId="77777777" w:rsidR="00B93BEE" w:rsidRPr="0067507D" w:rsidRDefault="00B93BEE">
            <w:pPr>
              <w:pStyle w:val="Tabletextrightbold"/>
            </w:pPr>
            <w:r w:rsidRPr="0067507D">
              <w:t>6 091 452</w:t>
            </w:r>
          </w:p>
        </w:tc>
      </w:tr>
      <w:tr w:rsidR="00B93BEE" w:rsidRPr="0067507D" w14:paraId="69705347" w14:textId="77777777" w:rsidTr="00D85F24">
        <w:tc>
          <w:tcPr>
            <w:cnfStyle w:val="001000000000" w:firstRow="0" w:lastRow="0" w:firstColumn="1" w:lastColumn="0" w:oddVBand="0" w:evenVBand="0" w:oddHBand="0" w:evenHBand="0" w:firstRowFirstColumn="0" w:firstRowLastColumn="0" w:lastRowFirstColumn="0" w:lastRowLastColumn="0"/>
            <w:tcW w:w="5499" w:type="dxa"/>
            <w:shd w:val="clear" w:color="auto" w:fill="auto"/>
          </w:tcPr>
          <w:p w14:paraId="4D75B297" w14:textId="53515415" w:rsidR="00B93BEE" w:rsidRPr="0067507D" w:rsidRDefault="00B93BEE">
            <w:pPr>
              <w:pStyle w:val="Tabletextbold"/>
            </w:pPr>
            <w:r w:rsidRPr="0067507D">
              <w:rPr>
                <w:szCs w:val="17"/>
                <w:lang w:eastAsia="ja-JP"/>
              </w:rPr>
              <w:t>Total energy used segmented into renewable and non</w:t>
            </w:r>
            <w:r w:rsidR="006A5485">
              <w:rPr>
                <w:szCs w:val="17"/>
                <w:lang w:eastAsia="ja-JP"/>
              </w:rPr>
              <w:noBreakHyphen/>
            </w:r>
            <w:r w:rsidRPr="0067507D">
              <w:rPr>
                <w:szCs w:val="17"/>
                <w:lang w:eastAsia="ja-JP"/>
              </w:rPr>
              <w:t xml:space="preserve">renewable sources (MJ) </w:t>
            </w:r>
            <w:r w:rsidRPr="0067507D">
              <w:rPr>
                <w:rFonts w:asciiTheme="minorHAnsi" w:hAnsiTheme="minorHAnsi"/>
                <w:szCs w:val="17"/>
                <w:lang w:eastAsia="ja-JP"/>
              </w:rPr>
              <w:t>[Indicator E3]</w:t>
            </w:r>
          </w:p>
        </w:tc>
        <w:tc>
          <w:tcPr>
            <w:cnfStyle w:val="000010000000" w:firstRow="0" w:lastRow="0" w:firstColumn="0" w:lastColumn="0" w:oddVBand="1" w:evenVBand="0" w:oddHBand="0" w:evenHBand="0" w:firstRowFirstColumn="0" w:firstRowLastColumn="0" w:lastRowFirstColumn="0" w:lastRowLastColumn="0"/>
            <w:tcW w:w="1155" w:type="dxa"/>
          </w:tcPr>
          <w:p w14:paraId="375124C5" w14:textId="77777777" w:rsidR="00B93BEE" w:rsidRPr="0067507D" w:rsidRDefault="00B93BEE">
            <w:pPr>
              <w:pStyle w:val="Tabletextrightbold"/>
            </w:pPr>
            <w:r w:rsidRPr="0067507D">
              <w:t>9 164 949</w:t>
            </w:r>
          </w:p>
        </w:tc>
        <w:tc>
          <w:tcPr>
            <w:cnfStyle w:val="000001000000" w:firstRow="0" w:lastRow="0" w:firstColumn="0" w:lastColumn="0" w:oddVBand="0" w:evenVBand="1" w:oddHBand="0" w:evenHBand="0" w:firstRowFirstColumn="0" w:firstRowLastColumn="0" w:lastRowFirstColumn="0" w:lastRowLastColumn="0"/>
            <w:tcW w:w="1155" w:type="dxa"/>
          </w:tcPr>
          <w:p w14:paraId="3EFC7235" w14:textId="77777777" w:rsidR="00B93BEE" w:rsidRPr="0067507D" w:rsidRDefault="00B93BEE">
            <w:pPr>
              <w:pStyle w:val="Tabletextrightbold"/>
            </w:pPr>
            <w:r w:rsidRPr="0067507D">
              <w:t>9 333 732</w:t>
            </w:r>
          </w:p>
        </w:tc>
        <w:tc>
          <w:tcPr>
            <w:cnfStyle w:val="000010000000" w:firstRow="0" w:lastRow="0" w:firstColumn="0" w:lastColumn="0" w:oddVBand="1" w:evenVBand="0" w:oddHBand="0" w:evenHBand="0" w:firstRowFirstColumn="0" w:firstRowLastColumn="0" w:lastRowFirstColumn="0" w:lastRowLastColumn="0"/>
            <w:tcW w:w="1227" w:type="dxa"/>
          </w:tcPr>
          <w:p w14:paraId="75B63085" w14:textId="77777777" w:rsidR="00B93BEE" w:rsidRPr="0067507D" w:rsidRDefault="00B93BEE">
            <w:pPr>
              <w:pStyle w:val="Tabletextrightbold"/>
            </w:pPr>
            <w:r w:rsidRPr="0067507D">
              <w:t>8 593 987</w:t>
            </w:r>
          </w:p>
        </w:tc>
      </w:tr>
      <w:tr w:rsidR="00B93BEE" w:rsidRPr="0067507D" w14:paraId="1DE8C58A" w14:textId="77777777" w:rsidTr="00D85F24">
        <w:tc>
          <w:tcPr>
            <w:cnfStyle w:val="001000000000" w:firstRow="0" w:lastRow="0" w:firstColumn="1" w:lastColumn="0" w:oddVBand="0" w:evenVBand="0" w:oddHBand="0" w:evenHBand="0" w:firstRowFirstColumn="0" w:firstRowLastColumn="0" w:lastRowFirstColumn="0" w:lastRowLastColumn="0"/>
            <w:tcW w:w="5499" w:type="dxa"/>
            <w:shd w:val="clear" w:color="auto" w:fill="auto"/>
          </w:tcPr>
          <w:p w14:paraId="1537B977" w14:textId="77777777" w:rsidR="00B93BEE" w:rsidRPr="0067507D" w:rsidRDefault="00B93BEE">
            <w:pPr>
              <w:pStyle w:val="Tabletext"/>
            </w:pPr>
            <w:r w:rsidRPr="0067507D">
              <w:rPr>
                <w:szCs w:val="17"/>
                <w:lang w:eastAsia="ja-JP"/>
              </w:rPr>
              <w:t>Renewable</w:t>
            </w:r>
          </w:p>
        </w:tc>
        <w:tc>
          <w:tcPr>
            <w:cnfStyle w:val="000010000000" w:firstRow="0" w:lastRow="0" w:firstColumn="0" w:lastColumn="0" w:oddVBand="1" w:evenVBand="0" w:oddHBand="0" w:evenHBand="0" w:firstRowFirstColumn="0" w:firstRowLastColumn="0" w:lastRowFirstColumn="0" w:lastRowLastColumn="0"/>
            <w:tcW w:w="1155" w:type="dxa"/>
          </w:tcPr>
          <w:p w14:paraId="15D2C893" w14:textId="77777777" w:rsidR="00B93BEE" w:rsidRPr="0067507D" w:rsidRDefault="00B93BEE">
            <w:pPr>
              <w:pStyle w:val="Tabletextright"/>
            </w:pPr>
            <w:r w:rsidRPr="0067507D">
              <w:t>1 030 573</w:t>
            </w:r>
          </w:p>
        </w:tc>
        <w:tc>
          <w:tcPr>
            <w:cnfStyle w:val="000001000000" w:firstRow="0" w:lastRow="0" w:firstColumn="0" w:lastColumn="0" w:oddVBand="0" w:evenVBand="1" w:oddHBand="0" w:evenHBand="0" w:firstRowFirstColumn="0" w:firstRowLastColumn="0" w:lastRowFirstColumn="0" w:lastRowLastColumn="0"/>
            <w:tcW w:w="1155" w:type="dxa"/>
          </w:tcPr>
          <w:p w14:paraId="526567AC" w14:textId="77777777" w:rsidR="00B93BEE" w:rsidRPr="0067507D" w:rsidRDefault="00B93BEE">
            <w:pPr>
              <w:pStyle w:val="Tabletextright"/>
            </w:pPr>
            <w:r w:rsidRPr="0067507D">
              <w:t>1 042 494</w:t>
            </w:r>
          </w:p>
        </w:tc>
        <w:tc>
          <w:tcPr>
            <w:cnfStyle w:val="000010000000" w:firstRow="0" w:lastRow="0" w:firstColumn="0" w:lastColumn="0" w:oddVBand="1" w:evenVBand="0" w:oddHBand="0" w:evenHBand="0" w:firstRowFirstColumn="0" w:firstRowLastColumn="0" w:lastRowFirstColumn="0" w:lastRowLastColumn="0"/>
            <w:tcW w:w="1227" w:type="dxa"/>
            <w:vAlign w:val="center"/>
          </w:tcPr>
          <w:p w14:paraId="17471B23" w14:textId="77777777" w:rsidR="00B93BEE" w:rsidRPr="0067507D" w:rsidRDefault="00B93BEE">
            <w:pPr>
              <w:pStyle w:val="Tabletextright"/>
            </w:pPr>
            <w:r w:rsidRPr="0067507D">
              <w:t>nc</w:t>
            </w:r>
          </w:p>
        </w:tc>
      </w:tr>
      <w:tr w:rsidR="00B93BEE" w:rsidRPr="0067507D" w14:paraId="232FF3F2" w14:textId="77777777" w:rsidTr="00D85F24">
        <w:tc>
          <w:tcPr>
            <w:cnfStyle w:val="001000000000" w:firstRow="0" w:lastRow="0" w:firstColumn="1" w:lastColumn="0" w:oddVBand="0" w:evenVBand="0" w:oddHBand="0" w:evenHBand="0" w:firstRowFirstColumn="0" w:firstRowLastColumn="0" w:lastRowFirstColumn="0" w:lastRowLastColumn="0"/>
            <w:tcW w:w="5499" w:type="dxa"/>
            <w:shd w:val="clear" w:color="auto" w:fill="auto"/>
          </w:tcPr>
          <w:p w14:paraId="05EEFEFA" w14:textId="700976E3" w:rsidR="00B93BEE" w:rsidRPr="0067507D" w:rsidRDefault="00B93BEE">
            <w:pPr>
              <w:pStyle w:val="Tabletext"/>
            </w:pPr>
            <w:r w:rsidRPr="0067507D">
              <w:rPr>
                <w:szCs w:val="17"/>
                <w:lang w:eastAsia="ja-JP"/>
              </w:rPr>
              <w:t>Non</w:t>
            </w:r>
            <w:r w:rsidR="006A5485">
              <w:rPr>
                <w:szCs w:val="17"/>
                <w:lang w:eastAsia="ja-JP"/>
              </w:rPr>
              <w:noBreakHyphen/>
            </w:r>
            <w:r w:rsidRPr="0067507D">
              <w:rPr>
                <w:szCs w:val="17"/>
                <w:lang w:eastAsia="ja-JP"/>
              </w:rPr>
              <w:t>renewable</w:t>
            </w:r>
          </w:p>
        </w:tc>
        <w:tc>
          <w:tcPr>
            <w:cnfStyle w:val="000010000000" w:firstRow="0" w:lastRow="0" w:firstColumn="0" w:lastColumn="0" w:oddVBand="1" w:evenVBand="0" w:oddHBand="0" w:evenHBand="0" w:firstRowFirstColumn="0" w:firstRowLastColumn="0" w:lastRowFirstColumn="0" w:lastRowLastColumn="0"/>
            <w:tcW w:w="1155" w:type="dxa"/>
          </w:tcPr>
          <w:p w14:paraId="3CB86701" w14:textId="77777777" w:rsidR="00B93BEE" w:rsidRPr="0067507D" w:rsidRDefault="00B93BEE">
            <w:pPr>
              <w:pStyle w:val="Tabletextright"/>
            </w:pPr>
            <w:r w:rsidRPr="0067507D">
              <w:t>8 134 376</w:t>
            </w:r>
          </w:p>
        </w:tc>
        <w:tc>
          <w:tcPr>
            <w:cnfStyle w:val="000001000000" w:firstRow="0" w:lastRow="0" w:firstColumn="0" w:lastColumn="0" w:oddVBand="0" w:evenVBand="1" w:oddHBand="0" w:evenHBand="0" w:firstRowFirstColumn="0" w:firstRowLastColumn="0" w:lastRowFirstColumn="0" w:lastRowLastColumn="0"/>
            <w:tcW w:w="1155" w:type="dxa"/>
          </w:tcPr>
          <w:p w14:paraId="09547552" w14:textId="77777777" w:rsidR="00B93BEE" w:rsidRPr="0067507D" w:rsidRDefault="00B93BEE">
            <w:pPr>
              <w:pStyle w:val="Tabletextright"/>
            </w:pPr>
            <w:r w:rsidRPr="0067507D">
              <w:t>8 291 238</w:t>
            </w:r>
          </w:p>
        </w:tc>
        <w:tc>
          <w:tcPr>
            <w:cnfStyle w:val="000010000000" w:firstRow="0" w:lastRow="0" w:firstColumn="0" w:lastColumn="0" w:oddVBand="1" w:evenVBand="0" w:oddHBand="0" w:evenHBand="0" w:firstRowFirstColumn="0" w:firstRowLastColumn="0" w:lastRowFirstColumn="0" w:lastRowLastColumn="0"/>
            <w:tcW w:w="1227" w:type="dxa"/>
          </w:tcPr>
          <w:p w14:paraId="08258A1B" w14:textId="77777777" w:rsidR="00B93BEE" w:rsidRPr="0067507D" w:rsidRDefault="00B93BEE">
            <w:pPr>
              <w:pStyle w:val="Tabletextright"/>
            </w:pPr>
            <w:r w:rsidRPr="0067507D">
              <w:t>nc</w:t>
            </w:r>
          </w:p>
        </w:tc>
      </w:tr>
      <w:tr w:rsidR="00B93BEE" w:rsidRPr="0067507D" w14:paraId="31A8AD97" w14:textId="77777777" w:rsidTr="00D85F24">
        <w:tc>
          <w:tcPr>
            <w:cnfStyle w:val="001000000000" w:firstRow="0" w:lastRow="0" w:firstColumn="1" w:lastColumn="0" w:oddVBand="0" w:evenVBand="0" w:oddHBand="0" w:evenHBand="0" w:firstRowFirstColumn="0" w:firstRowLastColumn="0" w:lastRowFirstColumn="0" w:lastRowLastColumn="0"/>
            <w:tcW w:w="5499" w:type="dxa"/>
            <w:shd w:val="clear" w:color="auto" w:fill="auto"/>
          </w:tcPr>
          <w:p w14:paraId="01AE3EFE" w14:textId="77777777" w:rsidR="00B93BEE" w:rsidRPr="0067507D" w:rsidRDefault="00B93BEE">
            <w:pPr>
              <w:pStyle w:val="Tabletextbold"/>
            </w:pPr>
            <w:r w:rsidRPr="0067507D">
              <w:rPr>
                <w:lang w:eastAsia="ja-JP"/>
              </w:rPr>
              <w:t xml:space="preserve">Units of energy used normalised by FTE </w:t>
            </w:r>
            <w:r w:rsidRPr="0067507D">
              <w:rPr>
                <w:rFonts w:asciiTheme="minorHAnsi" w:hAnsiTheme="minorHAnsi"/>
                <w:lang w:eastAsia="ja-JP"/>
              </w:rPr>
              <w:t>[Indicator E4]</w:t>
            </w:r>
          </w:p>
        </w:tc>
        <w:tc>
          <w:tcPr>
            <w:cnfStyle w:val="000010000000" w:firstRow="0" w:lastRow="0" w:firstColumn="0" w:lastColumn="0" w:oddVBand="1" w:evenVBand="0" w:oddHBand="0" w:evenHBand="0" w:firstRowFirstColumn="0" w:firstRowLastColumn="0" w:lastRowFirstColumn="0" w:lastRowLastColumn="0"/>
            <w:tcW w:w="1155" w:type="dxa"/>
          </w:tcPr>
          <w:p w14:paraId="14B352F8" w14:textId="77777777" w:rsidR="00B93BEE" w:rsidRPr="0067507D" w:rsidRDefault="00B93BEE">
            <w:pPr>
              <w:pStyle w:val="Tabletextrightbold"/>
            </w:pPr>
            <w:r w:rsidRPr="0067507D">
              <w:t>13 964</w:t>
            </w:r>
          </w:p>
        </w:tc>
        <w:tc>
          <w:tcPr>
            <w:cnfStyle w:val="000001000000" w:firstRow="0" w:lastRow="0" w:firstColumn="0" w:lastColumn="0" w:oddVBand="0" w:evenVBand="1" w:oddHBand="0" w:evenHBand="0" w:firstRowFirstColumn="0" w:firstRowLastColumn="0" w:lastRowFirstColumn="0" w:lastRowLastColumn="0"/>
            <w:tcW w:w="1155" w:type="dxa"/>
          </w:tcPr>
          <w:p w14:paraId="3E82AC84" w14:textId="77777777" w:rsidR="00B93BEE" w:rsidRPr="0067507D" w:rsidRDefault="00B93BEE">
            <w:pPr>
              <w:pStyle w:val="Tabletextrightbold"/>
            </w:pPr>
            <w:r w:rsidRPr="0067507D">
              <w:t>13 646</w:t>
            </w:r>
          </w:p>
        </w:tc>
        <w:tc>
          <w:tcPr>
            <w:cnfStyle w:val="000010000000" w:firstRow="0" w:lastRow="0" w:firstColumn="0" w:lastColumn="0" w:oddVBand="1" w:evenVBand="0" w:oddHBand="0" w:evenHBand="0" w:firstRowFirstColumn="0" w:firstRowLastColumn="0" w:lastRowFirstColumn="0" w:lastRowLastColumn="0"/>
            <w:tcW w:w="1227" w:type="dxa"/>
          </w:tcPr>
          <w:p w14:paraId="36212C2E" w14:textId="77777777" w:rsidR="00B93BEE" w:rsidRPr="0067507D" w:rsidRDefault="00B93BEE">
            <w:pPr>
              <w:pStyle w:val="Tabletextrightbold"/>
            </w:pPr>
            <w:r w:rsidRPr="0067507D">
              <w:t>9 846</w:t>
            </w:r>
          </w:p>
        </w:tc>
      </w:tr>
    </w:tbl>
    <w:p w14:paraId="2F183B45" w14:textId="77777777" w:rsidR="00B93BEE" w:rsidRPr="0067507D" w:rsidRDefault="00B93BEE" w:rsidP="00B2089D">
      <w:pPr>
        <w:pStyle w:val="Notes"/>
      </w:pPr>
      <w:r w:rsidRPr="0067507D">
        <w:t>Notes:</w:t>
      </w:r>
    </w:p>
    <w:p w14:paraId="4FA68F7F" w14:textId="70452F8F" w:rsidR="00B93BEE" w:rsidRPr="0067507D" w:rsidRDefault="00B93BEE" w:rsidP="00B2089D">
      <w:pPr>
        <w:pStyle w:val="Notes"/>
      </w:pPr>
      <w:r w:rsidRPr="0067507D">
        <w:t>(a) The 2024</w:t>
      </w:r>
      <w:r w:rsidR="006A5485">
        <w:noBreakHyphen/>
      </w:r>
      <w:r w:rsidRPr="0067507D">
        <w:t xml:space="preserve">25 figures in this annual report contain accrued values for electricity </w:t>
      </w:r>
      <w:r w:rsidRPr="0067507D">
        <w:rPr>
          <w:color w:val="auto"/>
        </w:rPr>
        <w:t xml:space="preserve">and </w:t>
      </w:r>
      <w:r w:rsidRPr="0067507D">
        <w:t>stationary fuel consumption.</w:t>
      </w:r>
    </w:p>
    <w:p w14:paraId="43DBD547" w14:textId="5CE23304" w:rsidR="00B93BEE" w:rsidRPr="0067507D" w:rsidRDefault="00B93BEE" w:rsidP="00B2089D">
      <w:pPr>
        <w:pStyle w:val="Notes"/>
      </w:pPr>
      <w:r w:rsidRPr="0067507D">
        <w:t>(b) ‘nc’ denotes ‘not collected’ in instances where data from previous reporting periods is not available. This is due to the changing key reporting indicators that came into effect in the 2023</w:t>
      </w:r>
      <w:r w:rsidR="006A5485">
        <w:noBreakHyphen/>
      </w:r>
      <w:r w:rsidRPr="0067507D">
        <w:t>24 reporting period.</w:t>
      </w:r>
    </w:p>
    <w:p w14:paraId="6391CBF9" w14:textId="77777777" w:rsidR="00B93BEE" w:rsidRPr="0067507D" w:rsidRDefault="00B93BEE" w:rsidP="00174807">
      <w:pPr>
        <w:rPr>
          <w:rFonts w:cstheme="minorHAnsi"/>
          <w:highlight w:val="yellow"/>
        </w:rPr>
      </w:pPr>
    </w:p>
    <w:p w14:paraId="6B4AFEB9" w14:textId="77777777" w:rsidR="00B93BEE" w:rsidRPr="0067507D" w:rsidRDefault="00B93BEE" w:rsidP="00174807">
      <w:pPr>
        <w:pStyle w:val="Heading3"/>
        <w:rPr>
          <w:highlight w:val="yellow"/>
        </w:rPr>
        <w:sectPr w:rsidR="00B93BEE" w:rsidRPr="0067507D" w:rsidSect="00B93BEE">
          <w:type w:val="continuous"/>
          <w:pgSz w:w="11909" w:h="16834" w:code="9"/>
          <w:pgMar w:top="1728" w:right="1152" w:bottom="1260" w:left="1152" w:header="720" w:footer="288" w:gutter="0"/>
          <w:cols w:space="720"/>
          <w:noEndnote/>
        </w:sectPr>
      </w:pPr>
    </w:p>
    <w:p w14:paraId="371AF54B" w14:textId="77777777" w:rsidR="00B93BEE" w:rsidRPr="0067507D" w:rsidRDefault="00B93BEE" w:rsidP="00174807">
      <w:pPr>
        <w:pStyle w:val="Heading3"/>
      </w:pPr>
      <w:r w:rsidRPr="0067507D">
        <w:lastRenderedPageBreak/>
        <w:t xml:space="preserve">Sustainable buildings and infrastructure </w:t>
      </w:r>
    </w:p>
    <w:p w14:paraId="20412247" w14:textId="77777777" w:rsidR="00B93BEE" w:rsidRPr="0067507D" w:rsidRDefault="00B93BEE" w:rsidP="00174807">
      <w:pPr>
        <w:sectPr w:rsidR="00B93BEE" w:rsidRPr="0067507D" w:rsidSect="00B93BEE">
          <w:pgSz w:w="11909" w:h="16834" w:code="9"/>
          <w:pgMar w:top="1728" w:right="1152" w:bottom="1260" w:left="1152" w:header="720" w:footer="288" w:gutter="0"/>
          <w:cols w:space="720"/>
          <w:noEndnote/>
        </w:sectPr>
      </w:pPr>
    </w:p>
    <w:p w14:paraId="7DCCC412" w14:textId="4F807CA0" w:rsidR="00B93BEE" w:rsidRPr="0067507D" w:rsidRDefault="00B93BEE" w:rsidP="00EF0A60">
      <w:r w:rsidRPr="0067507D">
        <w:t>DTF’s lease at 1 Spring Street, negotiated and managed by ACLS in conjunction with their outsourced service partner, incorporates a Green Lease Schedule within the Standard Government Lease. The schedule outlines obligations for both the landlord and tenant to maintain properties to a minimum NABERS rating for energy, water, waste, and indoor environment.</w:t>
      </w:r>
    </w:p>
    <w:p w14:paraId="338AF547" w14:textId="77777777" w:rsidR="00B93BEE" w:rsidRPr="0067507D" w:rsidRDefault="00B93BEE" w:rsidP="00EF0A60">
      <w:r w:rsidRPr="0067507D">
        <w:t>The Green Lease Schedule is proposed to landlords or managing agents with each new lease negotiation. However, in cases where premises are not subject to Commonwealth mandatory disclosure laws or landlords are unwilling to include these obligations, ACLS and its outsourced provider work with landlords to implement energy efficiency, emission savings, and cost improvements.</w:t>
      </w:r>
    </w:p>
    <w:p w14:paraId="74F07FAE" w14:textId="77777777" w:rsidR="00B93BEE" w:rsidRPr="0067507D" w:rsidRDefault="00B93BEE" w:rsidP="00EF0A60">
      <w:r w:rsidRPr="0067507D">
        <w:t>The Green Lease Schedule mandates a NABERS Energy rating for all leases, with additional performance requirements for larger tenures. It also requires the installation of efficient lighting systems and data sharing to support energy and emissions reporting.</w:t>
      </w:r>
    </w:p>
    <w:p w14:paraId="495F1CB6" w14:textId="77777777" w:rsidR="00B93BEE" w:rsidRPr="0067507D" w:rsidRDefault="00B93BEE" w:rsidP="00EF0A60">
      <w:r w:rsidRPr="0067507D">
        <w:t>DTF discloses a summary of NABERS ratings for its occupied premises, based on data downloaded from the NABERS public portal. One relevant office building has received an environmental performance rating, as detailed in the table below. No new buildings were commissioned by DTF in this reporting period, and no NABERS ratings were conducted on owned buildings or as part of tenancy fit out works in this reporting period.</w:t>
      </w:r>
    </w:p>
    <w:p w14:paraId="60DD5E89" w14:textId="62B26A6B" w:rsidR="00B93BEE" w:rsidRPr="0067507D" w:rsidRDefault="00B93BEE" w:rsidP="00EF0A60">
      <w:r w:rsidRPr="0067507D">
        <w:t>There are no newly completed DTF</w:t>
      </w:r>
      <w:r w:rsidR="006A5485">
        <w:noBreakHyphen/>
      </w:r>
      <w:r w:rsidRPr="0067507D">
        <w:t>owned non</w:t>
      </w:r>
      <w:r w:rsidR="006A5485">
        <w:noBreakHyphen/>
      </w:r>
      <w:r w:rsidRPr="0067507D">
        <w:t>office building or infrastructure projects or upgrades valued over $1 million.</w:t>
      </w:r>
    </w:p>
    <w:p w14:paraId="2780A79B" w14:textId="77777777" w:rsidR="00B93BEE" w:rsidRPr="0067507D" w:rsidRDefault="00B93BEE" w:rsidP="00174807">
      <w:pPr>
        <w:keepNext/>
        <w:rPr>
          <w:rFonts w:cstheme="minorHAnsi"/>
          <w:highlight w:val="yellow"/>
        </w:rPr>
        <w:sectPr w:rsidR="00B93BEE" w:rsidRPr="0067507D" w:rsidSect="00B93BEE">
          <w:type w:val="continuous"/>
          <w:pgSz w:w="11909" w:h="16834" w:code="9"/>
          <w:pgMar w:top="1728" w:right="1152" w:bottom="1260" w:left="1152" w:header="720" w:footer="288" w:gutter="0"/>
          <w:cols w:num="2" w:space="720"/>
          <w:noEndnote/>
        </w:sectPr>
      </w:pPr>
    </w:p>
    <w:p w14:paraId="0DAAA620" w14:textId="77777777" w:rsidR="00B93BEE" w:rsidRPr="0067507D" w:rsidRDefault="00B93BEE" w:rsidP="00174807">
      <w:pPr>
        <w:rPr>
          <w:rFonts w:cstheme="minorHAnsi"/>
          <w:highlight w:val="yellow"/>
        </w:rPr>
      </w:pPr>
    </w:p>
    <w:tbl>
      <w:tblPr>
        <w:tblStyle w:val="AnnualReporttexttable"/>
        <w:tblW w:w="9639" w:type="dxa"/>
        <w:tblLayout w:type="fixed"/>
        <w:tblLook w:val="02A0" w:firstRow="1" w:lastRow="0" w:firstColumn="1" w:lastColumn="0" w:noHBand="1" w:noVBand="0"/>
      </w:tblPr>
      <w:tblGrid>
        <w:gridCol w:w="2654"/>
        <w:gridCol w:w="3659"/>
        <w:gridCol w:w="2162"/>
        <w:gridCol w:w="1164"/>
      </w:tblGrid>
      <w:tr w:rsidR="00B93BEE" w:rsidRPr="0067507D" w14:paraId="05378870" w14:textId="77777777">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654" w:type="dxa"/>
            <w:shd w:val="clear" w:color="auto" w:fill="auto"/>
          </w:tcPr>
          <w:p w14:paraId="66B3D1AB" w14:textId="77777777" w:rsidR="00B93BEE" w:rsidRPr="0067507D" w:rsidRDefault="00B93BEE">
            <w:pPr>
              <w:pStyle w:val="Tabletextheadingleft"/>
              <w:rPr>
                <w:b w:val="0"/>
              </w:rPr>
            </w:pPr>
            <w:r w:rsidRPr="0067507D">
              <w:rPr>
                <w:b w:val="0"/>
              </w:rPr>
              <w:t>Name of building</w:t>
            </w:r>
          </w:p>
        </w:tc>
        <w:tc>
          <w:tcPr>
            <w:cnfStyle w:val="000010000000" w:firstRow="0" w:lastRow="0" w:firstColumn="0" w:lastColumn="0" w:oddVBand="1" w:evenVBand="0" w:oddHBand="0" w:evenHBand="0" w:firstRowFirstColumn="0" w:firstRowLastColumn="0" w:lastRowFirstColumn="0" w:lastRowLastColumn="0"/>
            <w:tcW w:w="3659" w:type="dxa"/>
            <w:shd w:val="clear" w:color="auto" w:fill="auto"/>
          </w:tcPr>
          <w:p w14:paraId="1B7F883B" w14:textId="77777777" w:rsidR="00B93BEE" w:rsidRPr="0067507D" w:rsidRDefault="00B93BEE">
            <w:pPr>
              <w:pStyle w:val="Tabletextheadingleft"/>
              <w:rPr>
                <w:b w:val="0"/>
              </w:rPr>
            </w:pPr>
            <w:r w:rsidRPr="0067507D">
              <w:rPr>
                <w:b w:val="0"/>
              </w:rPr>
              <w:t>Building type</w:t>
            </w:r>
          </w:p>
        </w:tc>
        <w:tc>
          <w:tcPr>
            <w:cnfStyle w:val="000001000000" w:firstRow="0" w:lastRow="0" w:firstColumn="0" w:lastColumn="0" w:oddVBand="0" w:evenVBand="1" w:oddHBand="0" w:evenHBand="0" w:firstRowFirstColumn="0" w:firstRowLastColumn="0" w:lastRowFirstColumn="0" w:lastRowLastColumn="0"/>
            <w:tcW w:w="2162" w:type="dxa"/>
            <w:shd w:val="clear" w:color="auto" w:fill="auto"/>
          </w:tcPr>
          <w:p w14:paraId="069A039F" w14:textId="77777777" w:rsidR="00B93BEE" w:rsidRPr="0067507D" w:rsidRDefault="00B93BEE">
            <w:pPr>
              <w:pStyle w:val="Tabletextheadingleft"/>
              <w:rPr>
                <w:b w:val="0"/>
              </w:rPr>
            </w:pPr>
            <w:r w:rsidRPr="0067507D">
              <w:rPr>
                <w:b w:val="0"/>
              </w:rPr>
              <w:t>Rating Scheme</w:t>
            </w:r>
          </w:p>
        </w:tc>
        <w:tc>
          <w:tcPr>
            <w:cnfStyle w:val="000010000000" w:firstRow="0" w:lastRow="0" w:firstColumn="0" w:lastColumn="0" w:oddVBand="1" w:evenVBand="0" w:oddHBand="0" w:evenHBand="0" w:firstRowFirstColumn="0" w:firstRowLastColumn="0" w:lastRowFirstColumn="0" w:lastRowLastColumn="0"/>
            <w:tcW w:w="1164" w:type="dxa"/>
            <w:shd w:val="clear" w:color="auto" w:fill="auto"/>
          </w:tcPr>
          <w:p w14:paraId="5D89A97A" w14:textId="77777777" w:rsidR="00B93BEE" w:rsidRPr="0067507D" w:rsidRDefault="00B93BEE">
            <w:pPr>
              <w:pStyle w:val="Tabletextheadingleft"/>
              <w:rPr>
                <w:b w:val="0"/>
              </w:rPr>
            </w:pPr>
            <w:r w:rsidRPr="0067507D">
              <w:rPr>
                <w:b w:val="0"/>
              </w:rPr>
              <w:t>Rating</w:t>
            </w:r>
          </w:p>
        </w:tc>
      </w:tr>
      <w:tr w:rsidR="00B93BEE" w:rsidRPr="0067507D" w14:paraId="0EAEA360" w14:textId="77777777">
        <w:trPr>
          <w:trHeight w:val="187"/>
        </w:trPr>
        <w:tc>
          <w:tcPr>
            <w:cnfStyle w:val="001000000000" w:firstRow="0" w:lastRow="0" w:firstColumn="1" w:lastColumn="0" w:oddVBand="0" w:evenVBand="0" w:oddHBand="0" w:evenHBand="0" w:firstRowFirstColumn="0" w:firstRowLastColumn="0" w:lastRowFirstColumn="0" w:lastRowLastColumn="0"/>
            <w:tcW w:w="2654" w:type="dxa"/>
          </w:tcPr>
          <w:p w14:paraId="3E79DF5E" w14:textId="77777777" w:rsidR="00B93BEE" w:rsidRPr="0067507D" w:rsidRDefault="00B93BEE">
            <w:pPr>
              <w:pStyle w:val="Tabletext"/>
            </w:pPr>
            <w:r w:rsidRPr="0067507D">
              <w:t>1 Spring Street</w:t>
            </w:r>
          </w:p>
        </w:tc>
        <w:tc>
          <w:tcPr>
            <w:cnfStyle w:val="000010000000" w:firstRow="0" w:lastRow="0" w:firstColumn="0" w:lastColumn="0" w:oddVBand="1" w:evenVBand="0" w:oddHBand="0" w:evenHBand="0" w:firstRowFirstColumn="0" w:firstRowLastColumn="0" w:lastRowFirstColumn="0" w:lastRowLastColumn="0"/>
            <w:tcW w:w="3659" w:type="dxa"/>
          </w:tcPr>
          <w:p w14:paraId="647AF934" w14:textId="77777777" w:rsidR="00B93BEE" w:rsidRPr="0067507D" w:rsidRDefault="00B93BEE">
            <w:pPr>
              <w:pStyle w:val="Tabletext"/>
            </w:pPr>
            <w:r w:rsidRPr="0067507D">
              <w:t xml:space="preserve">General office building </w:t>
            </w:r>
          </w:p>
        </w:tc>
        <w:tc>
          <w:tcPr>
            <w:cnfStyle w:val="000001000000" w:firstRow="0" w:lastRow="0" w:firstColumn="0" w:lastColumn="0" w:oddVBand="0" w:evenVBand="1" w:oddHBand="0" w:evenHBand="0" w:firstRowFirstColumn="0" w:firstRowLastColumn="0" w:lastRowFirstColumn="0" w:lastRowLastColumn="0"/>
            <w:tcW w:w="2162" w:type="dxa"/>
          </w:tcPr>
          <w:p w14:paraId="5CB73AD9" w14:textId="77777777" w:rsidR="00B93BEE" w:rsidRPr="0067507D" w:rsidRDefault="00B93BEE">
            <w:pPr>
              <w:pStyle w:val="Tabletext"/>
            </w:pPr>
            <w:r w:rsidRPr="0067507D">
              <w:t>NABERS – Energy</w:t>
            </w:r>
          </w:p>
        </w:tc>
        <w:tc>
          <w:tcPr>
            <w:cnfStyle w:val="000010000000" w:firstRow="0" w:lastRow="0" w:firstColumn="0" w:lastColumn="0" w:oddVBand="1" w:evenVBand="0" w:oddHBand="0" w:evenHBand="0" w:firstRowFirstColumn="0" w:firstRowLastColumn="0" w:lastRowFirstColumn="0" w:lastRowLastColumn="0"/>
            <w:tcW w:w="1164" w:type="dxa"/>
          </w:tcPr>
          <w:p w14:paraId="7C597371" w14:textId="77777777" w:rsidR="00B93BEE" w:rsidRPr="0067507D" w:rsidRDefault="00B93BEE">
            <w:pPr>
              <w:pStyle w:val="Tabletext"/>
            </w:pPr>
            <w:r w:rsidRPr="0067507D">
              <w:t>5.5</w:t>
            </w:r>
          </w:p>
        </w:tc>
      </w:tr>
    </w:tbl>
    <w:p w14:paraId="5CBE4DF3" w14:textId="77777777" w:rsidR="00B93BEE" w:rsidRPr="0067507D" w:rsidRDefault="00B93BEE" w:rsidP="00174807">
      <w:pPr>
        <w:rPr>
          <w:rFonts w:cstheme="minorHAnsi"/>
          <w:highlight w:val="yellow"/>
        </w:rPr>
      </w:pPr>
    </w:p>
    <w:p w14:paraId="0BC14656" w14:textId="77777777" w:rsidR="00B93BEE" w:rsidRPr="0067507D" w:rsidRDefault="00B93BEE" w:rsidP="00174807">
      <w:pPr>
        <w:rPr>
          <w:rFonts w:cstheme="minorHAnsi"/>
          <w:highlight w:val="yellow"/>
        </w:rPr>
        <w:sectPr w:rsidR="00B93BEE" w:rsidRPr="0067507D" w:rsidSect="00B93BEE">
          <w:type w:val="continuous"/>
          <w:pgSz w:w="11909" w:h="16834" w:code="9"/>
          <w:pgMar w:top="1728" w:right="1152" w:bottom="1260" w:left="1152" w:header="720" w:footer="288" w:gutter="0"/>
          <w:cols w:space="720"/>
          <w:noEndnote/>
        </w:sectPr>
      </w:pPr>
    </w:p>
    <w:p w14:paraId="10B409AB" w14:textId="77777777" w:rsidR="00B93BEE" w:rsidRPr="0067507D" w:rsidRDefault="00B93BEE" w:rsidP="00AE03C7">
      <w:pPr>
        <w:pStyle w:val="Heading3"/>
      </w:pPr>
      <w:r w:rsidRPr="0067507D">
        <w:t>Sustainable procurement</w:t>
      </w:r>
    </w:p>
    <w:p w14:paraId="65E38FFA" w14:textId="77777777" w:rsidR="00B93BEE" w:rsidRPr="0067507D" w:rsidRDefault="00B93BEE" w:rsidP="00AE03C7">
      <w:r w:rsidRPr="0067507D">
        <w:t>DTF considers sustainable procurement objectives through its implementation of the Social Procurement Framework, which establishes requirements that apply to Victorian Government departments and agencies when they procure goods, services and construction. More details of DTF’s implementation of the Social Procurement Framework are contained in the relevant section of this annual report.</w:t>
      </w:r>
    </w:p>
    <w:p w14:paraId="66176620" w14:textId="77777777" w:rsidR="00B93BEE" w:rsidRPr="0067507D" w:rsidRDefault="00B93BEE" w:rsidP="00AE03C7">
      <w:pPr>
        <w:pStyle w:val="Heading3"/>
      </w:pPr>
      <w:r w:rsidRPr="0067507D">
        <w:br w:type="column"/>
      </w:r>
      <w:r w:rsidRPr="0067507D">
        <w:t>Water consumption</w:t>
      </w:r>
    </w:p>
    <w:p w14:paraId="2AB5C094" w14:textId="77777777" w:rsidR="00B93BEE" w:rsidRPr="0067507D" w:rsidRDefault="00B93BEE" w:rsidP="00AE03C7">
      <w:pPr>
        <w:rPr>
          <w:rFonts w:ascii="VIC" w:eastAsia="MS Mincho" w:hAnsi="VIC" w:cs="Arial"/>
          <w:sz w:val="18"/>
          <w:szCs w:val="18"/>
          <w:lang w:eastAsia="en-US"/>
        </w:rPr>
      </w:pPr>
      <w:r w:rsidRPr="0067507D">
        <w:rPr>
          <w:rFonts w:ascii="VIC" w:eastAsia="MS Mincho" w:hAnsi="VIC" w:cs="Arial"/>
          <w:sz w:val="18"/>
          <w:szCs w:val="18"/>
          <w:lang w:eastAsia="en-US"/>
        </w:rPr>
        <w:t>DTF’s water consumption reporting covers tenancies at the following sites:</w:t>
      </w:r>
    </w:p>
    <w:p w14:paraId="19A9B746" w14:textId="77777777" w:rsidR="00B93BEE" w:rsidRPr="0067507D" w:rsidRDefault="00B93BEE" w:rsidP="00AE03C7">
      <w:pPr>
        <w:pStyle w:val="Bullet"/>
        <w:numPr>
          <w:ilvl w:val="0"/>
          <w:numId w:val="40"/>
        </w:numPr>
        <w:rPr>
          <w:rFonts w:ascii="VIC" w:hAnsi="VIC"/>
        </w:rPr>
      </w:pPr>
      <w:r w:rsidRPr="0067507D">
        <w:rPr>
          <w:rFonts w:ascii="VIC" w:hAnsi="VIC"/>
        </w:rPr>
        <w:t>1 Treasury Place, East Melbourne</w:t>
      </w:r>
    </w:p>
    <w:p w14:paraId="1EE8B32D" w14:textId="77777777" w:rsidR="00B93BEE" w:rsidRPr="0067507D" w:rsidRDefault="00B93BEE" w:rsidP="00AE03C7">
      <w:pPr>
        <w:pStyle w:val="Bullet"/>
        <w:numPr>
          <w:ilvl w:val="0"/>
          <w:numId w:val="40"/>
        </w:numPr>
        <w:rPr>
          <w:rFonts w:ascii="VIC" w:hAnsi="VIC"/>
        </w:rPr>
      </w:pPr>
      <w:r w:rsidRPr="0067507D">
        <w:rPr>
          <w:rFonts w:ascii="VIC" w:hAnsi="VIC"/>
        </w:rPr>
        <w:t>1 Macarthur Street, East Melbourne</w:t>
      </w:r>
    </w:p>
    <w:p w14:paraId="602E8868" w14:textId="77777777" w:rsidR="00B93BEE" w:rsidRPr="0067507D" w:rsidRDefault="00B93BEE" w:rsidP="00AE03C7">
      <w:pPr>
        <w:pStyle w:val="Bullet"/>
        <w:numPr>
          <w:ilvl w:val="0"/>
          <w:numId w:val="40"/>
        </w:numPr>
        <w:rPr>
          <w:rFonts w:ascii="VIC" w:hAnsi="VIC"/>
        </w:rPr>
      </w:pPr>
      <w:r w:rsidRPr="0067507D">
        <w:rPr>
          <w:rFonts w:ascii="VIC" w:hAnsi="VIC"/>
        </w:rPr>
        <w:t>1 Spring Street, Melbourne</w:t>
      </w:r>
    </w:p>
    <w:p w14:paraId="7433ED6C" w14:textId="0215247F" w:rsidR="00B93BEE" w:rsidRPr="0067507D" w:rsidRDefault="00B93BEE" w:rsidP="00705C56">
      <w:pPr>
        <w:rPr>
          <w:rFonts w:ascii="VIC" w:eastAsia="MS Mincho" w:hAnsi="VIC" w:cs="Arial"/>
          <w:sz w:val="18"/>
          <w:szCs w:val="18"/>
        </w:rPr>
      </w:pPr>
      <w:r w:rsidRPr="0067507D">
        <w:rPr>
          <w:rFonts w:ascii="VIC" w:eastAsia="MS Mincho" w:hAnsi="VIC" w:cs="Arial"/>
          <w:sz w:val="18"/>
          <w:szCs w:val="18"/>
        </w:rPr>
        <w:t>During the 2024</w:t>
      </w:r>
      <w:r w:rsidR="003F781E">
        <w:rPr>
          <w:rFonts w:ascii="VIC" w:eastAsia="MS Mincho" w:hAnsi="VIC" w:cs="Arial"/>
          <w:sz w:val="18"/>
          <w:szCs w:val="18"/>
        </w:rPr>
        <w:noBreakHyphen/>
      </w:r>
      <w:r w:rsidRPr="0067507D">
        <w:rPr>
          <w:rFonts w:ascii="VIC" w:eastAsia="MS Mincho" w:hAnsi="VIC" w:cs="Arial"/>
          <w:sz w:val="18"/>
          <w:szCs w:val="18"/>
        </w:rPr>
        <w:t>25 reporting period, DTF's total water consumption was 3 033 kilolitres (kL), representing a 33 per cent decrease from the previous period. This is a return to baseline from an increase that occurred in 2023</w:t>
      </w:r>
      <w:r w:rsidR="006A5485">
        <w:rPr>
          <w:rFonts w:ascii="VIC" w:eastAsia="MS Mincho" w:hAnsi="VIC" w:cs="Arial"/>
          <w:sz w:val="18"/>
          <w:szCs w:val="18"/>
        </w:rPr>
        <w:noBreakHyphen/>
      </w:r>
      <w:r w:rsidRPr="0067507D">
        <w:rPr>
          <w:rFonts w:ascii="VIC" w:eastAsia="MS Mincho" w:hAnsi="VIC" w:cs="Arial"/>
          <w:sz w:val="18"/>
          <w:szCs w:val="18"/>
        </w:rPr>
        <w:t xml:space="preserve">24, likely due to landlord works, including a greenroof project. </w:t>
      </w:r>
    </w:p>
    <w:p w14:paraId="07283ACE" w14:textId="77777777" w:rsidR="00B93BEE" w:rsidRPr="0067507D" w:rsidRDefault="00B93BEE" w:rsidP="00174807">
      <w:pPr>
        <w:rPr>
          <w:rFonts w:ascii="VIC" w:eastAsia="MS Mincho" w:hAnsi="VIC" w:cs="Arial"/>
          <w:sz w:val="18"/>
          <w:szCs w:val="18"/>
          <w:highlight w:val="yellow"/>
          <w:lang w:eastAsia="en-US"/>
        </w:rPr>
      </w:pPr>
    </w:p>
    <w:p w14:paraId="2D6499F9" w14:textId="77777777" w:rsidR="00B93BEE" w:rsidRPr="0067507D" w:rsidRDefault="00B93BEE" w:rsidP="00174807">
      <w:pPr>
        <w:rPr>
          <w:rFonts w:cstheme="minorHAnsi"/>
          <w:highlight w:val="yellow"/>
        </w:rPr>
        <w:sectPr w:rsidR="00B93BEE" w:rsidRPr="0067507D" w:rsidSect="00B93BEE">
          <w:type w:val="continuous"/>
          <w:pgSz w:w="11909" w:h="16834" w:code="9"/>
          <w:pgMar w:top="1728" w:right="1152" w:bottom="1260" w:left="1152" w:header="720" w:footer="288" w:gutter="0"/>
          <w:cols w:num="2" w:space="720"/>
          <w:noEndnote/>
        </w:sectPr>
      </w:pPr>
    </w:p>
    <w:tbl>
      <w:tblPr>
        <w:tblStyle w:val="AnnualReporttexttable"/>
        <w:tblW w:w="9072" w:type="dxa"/>
        <w:tblLayout w:type="fixed"/>
        <w:tblLook w:val="02A0" w:firstRow="1" w:lastRow="0" w:firstColumn="1" w:lastColumn="0" w:noHBand="1" w:noVBand="0"/>
      </w:tblPr>
      <w:tblGrid>
        <w:gridCol w:w="5499"/>
        <w:gridCol w:w="1191"/>
        <w:gridCol w:w="1191"/>
        <w:gridCol w:w="1191"/>
      </w:tblGrid>
      <w:tr w:rsidR="00B93BEE" w:rsidRPr="0067507D" w14:paraId="437881B8" w14:textId="77777777" w:rsidTr="002A27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9" w:type="dxa"/>
            <w:shd w:val="clear" w:color="auto" w:fill="auto"/>
          </w:tcPr>
          <w:p w14:paraId="0773B496" w14:textId="77777777" w:rsidR="00B93BEE" w:rsidRPr="0067507D" w:rsidRDefault="00B93BEE">
            <w:pPr>
              <w:pStyle w:val="Tabletextheadingleft"/>
              <w:rPr>
                <w:b w:val="0"/>
              </w:rPr>
            </w:pPr>
            <w:r w:rsidRPr="0067507D">
              <w:rPr>
                <w:b w:val="0"/>
              </w:rPr>
              <w:t>Indicator</w:t>
            </w:r>
          </w:p>
        </w:tc>
        <w:tc>
          <w:tcPr>
            <w:cnfStyle w:val="000010000000" w:firstRow="0" w:lastRow="0" w:firstColumn="0" w:lastColumn="0" w:oddVBand="1" w:evenVBand="0" w:oddHBand="0" w:evenHBand="0" w:firstRowFirstColumn="0" w:firstRowLastColumn="0" w:lastRowFirstColumn="0" w:lastRowLastColumn="0"/>
            <w:tcW w:w="1191" w:type="dxa"/>
            <w:shd w:val="clear" w:color="auto" w:fill="auto"/>
          </w:tcPr>
          <w:p w14:paraId="7CE38AC5" w14:textId="798C12BF" w:rsidR="00B93BEE" w:rsidRPr="0067507D" w:rsidRDefault="00B93BEE">
            <w:pPr>
              <w:pStyle w:val="Tabletextheadingright"/>
            </w:pPr>
            <w:r w:rsidRPr="0067507D">
              <w:rPr>
                <w:b w:val="0"/>
              </w:rPr>
              <w:t>2024</w:t>
            </w:r>
            <w:r w:rsidR="006A5485">
              <w:rPr>
                <w:b w:val="0"/>
              </w:rPr>
              <w:noBreakHyphen/>
            </w:r>
            <w:r w:rsidRPr="0067507D">
              <w:rPr>
                <w:b w:val="0"/>
              </w:rPr>
              <w:t xml:space="preserve">25 </w:t>
            </w:r>
            <w:r w:rsidRPr="0067507D">
              <w:rPr>
                <w:b w:val="0"/>
                <w:vertAlign w:val="superscript"/>
              </w:rPr>
              <w:t>(a)</w:t>
            </w:r>
          </w:p>
        </w:tc>
        <w:tc>
          <w:tcPr>
            <w:cnfStyle w:val="000001000000" w:firstRow="0" w:lastRow="0" w:firstColumn="0" w:lastColumn="0" w:oddVBand="0" w:evenVBand="1" w:oddHBand="0" w:evenHBand="0" w:firstRowFirstColumn="0" w:firstRowLastColumn="0" w:lastRowFirstColumn="0" w:lastRowLastColumn="0"/>
            <w:tcW w:w="1191" w:type="dxa"/>
            <w:shd w:val="clear" w:color="auto" w:fill="auto"/>
          </w:tcPr>
          <w:p w14:paraId="404FB52E" w14:textId="6BBBE7A3" w:rsidR="00B93BEE" w:rsidRPr="0067507D" w:rsidRDefault="00B93BEE">
            <w:pPr>
              <w:pStyle w:val="Tabletextheadingright"/>
              <w:rPr>
                <w:b w:val="0"/>
              </w:rPr>
            </w:pPr>
            <w:r w:rsidRPr="0067507D">
              <w:rPr>
                <w:b w:val="0"/>
              </w:rPr>
              <w:t>2023</w:t>
            </w:r>
            <w:r w:rsidR="006A5485">
              <w:rPr>
                <w:b w:val="0"/>
              </w:rPr>
              <w:noBreakHyphen/>
            </w:r>
            <w:r w:rsidRPr="0067507D">
              <w:rPr>
                <w:b w:val="0"/>
              </w:rPr>
              <w:t>24</w:t>
            </w:r>
          </w:p>
        </w:tc>
        <w:tc>
          <w:tcPr>
            <w:cnfStyle w:val="000010000000" w:firstRow="0" w:lastRow="0" w:firstColumn="0" w:lastColumn="0" w:oddVBand="1" w:evenVBand="0" w:oddHBand="0" w:evenHBand="0" w:firstRowFirstColumn="0" w:firstRowLastColumn="0" w:lastRowFirstColumn="0" w:lastRowLastColumn="0"/>
            <w:tcW w:w="1191" w:type="dxa"/>
            <w:shd w:val="clear" w:color="auto" w:fill="auto"/>
          </w:tcPr>
          <w:p w14:paraId="4CE68B3D" w14:textId="2C089473" w:rsidR="00B93BEE" w:rsidRPr="0067507D" w:rsidRDefault="00B93BEE">
            <w:pPr>
              <w:pStyle w:val="Tabletextheadingright"/>
              <w:rPr>
                <w:b w:val="0"/>
              </w:rPr>
            </w:pPr>
            <w:r w:rsidRPr="0067507D">
              <w:rPr>
                <w:b w:val="0"/>
              </w:rPr>
              <w:t>2022</w:t>
            </w:r>
            <w:r w:rsidR="006A5485">
              <w:rPr>
                <w:b w:val="0"/>
              </w:rPr>
              <w:noBreakHyphen/>
            </w:r>
            <w:r w:rsidRPr="0067507D">
              <w:rPr>
                <w:b w:val="0"/>
              </w:rPr>
              <w:t>23</w:t>
            </w:r>
          </w:p>
        </w:tc>
      </w:tr>
      <w:tr w:rsidR="00B93BEE" w:rsidRPr="0067507D" w14:paraId="18976143" w14:textId="77777777">
        <w:tc>
          <w:tcPr>
            <w:cnfStyle w:val="001000000000" w:firstRow="0" w:lastRow="0" w:firstColumn="1" w:lastColumn="0" w:oddVBand="0" w:evenVBand="0" w:oddHBand="0" w:evenHBand="0" w:firstRowFirstColumn="0" w:firstRowLastColumn="0" w:lastRowFirstColumn="0" w:lastRowLastColumn="0"/>
            <w:tcW w:w="5499" w:type="dxa"/>
          </w:tcPr>
          <w:p w14:paraId="01155287" w14:textId="77777777" w:rsidR="00B93BEE" w:rsidRPr="0067507D" w:rsidRDefault="00B93BEE">
            <w:pPr>
              <w:pStyle w:val="Tabletext"/>
            </w:pPr>
            <w:r w:rsidRPr="0067507D">
              <w:t>Total water consumption by an entity (kilolitres)</w:t>
            </w:r>
          </w:p>
        </w:tc>
        <w:tc>
          <w:tcPr>
            <w:cnfStyle w:val="000010000000" w:firstRow="0" w:lastRow="0" w:firstColumn="0" w:lastColumn="0" w:oddVBand="1" w:evenVBand="0" w:oddHBand="0" w:evenHBand="0" w:firstRowFirstColumn="0" w:firstRowLastColumn="0" w:lastRowFirstColumn="0" w:lastRowLastColumn="0"/>
            <w:tcW w:w="1191" w:type="dxa"/>
          </w:tcPr>
          <w:p w14:paraId="2A0BC0FD" w14:textId="77777777" w:rsidR="00B93BEE" w:rsidRPr="0067507D" w:rsidRDefault="00B93BEE">
            <w:pPr>
              <w:pStyle w:val="Tabletextright"/>
            </w:pPr>
            <w:r w:rsidRPr="0067507D">
              <w:t>3 033</w:t>
            </w:r>
          </w:p>
        </w:tc>
        <w:tc>
          <w:tcPr>
            <w:cnfStyle w:val="000001000000" w:firstRow="0" w:lastRow="0" w:firstColumn="0" w:lastColumn="0" w:oddVBand="0" w:evenVBand="1" w:oddHBand="0" w:evenHBand="0" w:firstRowFirstColumn="0" w:firstRowLastColumn="0" w:lastRowFirstColumn="0" w:lastRowLastColumn="0"/>
            <w:tcW w:w="1191" w:type="dxa"/>
          </w:tcPr>
          <w:p w14:paraId="1FF76961" w14:textId="77777777" w:rsidR="00B93BEE" w:rsidRPr="0067507D" w:rsidRDefault="00B93BEE">
            <w:pPr>
              <w:pStyle w:val="Tabletextright"/>
            </w:pPr>
            <w:r w:rsidRPr="0067507D">
              <w:t>4 511</w:t>
            </w:r>
            <w:r w:rsidRPr="0067507D">
              <w:rPr>
                <w:b/>
                <w:vertAlign w:val="superscript"/>
              </w:rPr>
              <w:t>(b)</w:t>
            </w:r>
          </w:p>
        </w:tc>
        <w:tc>
          <w:tcPr>
            <w:cnfStyle w:val="000010000000" w:firstRow="0" w:lastRow="0" w:firstColumn="0" w:lastColumn="0" w:oddVBand="1" w:evenVBand="0" w:oddHBand="0" w:evenHBand="0" w:firstRowFirstColumn="0" w:firstRowLastColumn="0" w:lastRowFirstColumn="0" w:lastRowLastColumn="0"/>
            <w:tcW w:w="1191" w:type="dxa"/>
          </w:tcPr>
          <w:p w14:paraId="71926771" w14:textId="77777777" w:rsidR="00B93BEE" w:rsidRPr="0067507D" w:rsidRDefault="00B93BEE">
            <w:pPr>
              <w:pStyle w:val="Tabletextright"/>
            </w:pPr>
            <w:r w:rsidRPr="0067507D">
              <w:t>3 158</w:t>
            </w:r>
          </w:p>
        </w:tc>
      </w:tr>
      <w:tr w:rsidR="00B93BEE" w:rsidRPr="0067507D" w14:paraId="1FAD6A49" w14:textId="77777777">
        <w:tc>
          <w:tcPr>
            <w:cnfStyle w:val="001000000000" w:firstRow="0" w:lastRow="0" w:firstColumn="1" w:lastColumn="0" w:oddVBand="0" w:evenVBand="0" w:oddHBand="0" w:evenHBand="0" w:firstRowFirstColumn="0" w:firstRowLastColumn="0" w:lastRowFirstColumn="0" w:lastRowLastColumn="0"/>
            <w:tcW w:w="5499" w:type="dxa"/>
          </w:tcPr>
          <w:p w14:paraId="027B054F" w14:textId="77777777" w:rsidR="00B93BEE" w:rsidRPr="0067507D" w:rsidRDefault="00B93BEE">
            <w:pPr>
              <w:pStyle w:val="Tabletext"/>
            </w:pPr>
            <w:r w:rsidRPr="0067507D">
              <w:t>Potable water consumption</w:t>
            </w:r>
          </w:p>
        </w:tc>
        <w:tc>
          <w:tcPr>
            <w:cnfStyle w:val="000010000000" w:firstRow="0" w:lastRow="0" w:firstColumn="0" w:lastColumn="0" w:oddVBand="1" w:evenVBand="0" w:oddHBand="0" w:evenHBand="0" w:firstRowFirstColumn="0" w:firstRowLastColumn="0" w:lastRowFirstColumn="0" w:lastRowLastColumn="0"/>
            <w:tcW w:w="1191" w:type="dxa"/>
          </w:tcPr>
          <w:p w14:paraId="4487637E" w14:textId="77777777" w:rsidR="00B93BEE" w:rsidRPr="0067507D" w:rsidRDefault="00B93BEE">
            <w:pPr>
              <w:pStyle w:val="Tabletextright"/>
            </w:pPr>
            <w:r w:rsidRPr="0067507D">
              <w:t>3 033</w:t>
            </w:r>
          </w:p>
        </w:tc>
        <w:tc>
          <w:tcPr>
            <w:cnfStyle w:val="000001000000" w:firstRow="0" w:lastRow="0" w:firstColumn="0" w:lastColumn="0" w:oddVBand="0" w:evenVBand="1" w:oddHBand="0" w:evenHBand="0" w:firstRowFirstColumn="0" w:firstRowLastColumn="0" w:lastRowFirstColumn="0" w:lastRowLastColumn="0"/>
            <w:tcW w:w="1191" w:type="dxa"/>
          </w:tcPr>
          <w:p w14:paraId="1900B0AB" w14:textId="77777777" w:rsidR="00B93BEE" w:rsidRPr="0067507D" w:rsidRDefault="00B93BEE">
            <w:pPr>
              <w:pStyle w:val="Tabletextright"/>
            </w:pPr>
            <w:r w:rsidRPr="0067507D">
              <w:t>4 511</w:t>
            </w:r>
          </w:p>
        </w:tc>
        <w:tc>
          <w:tcPr>
            <w:cnfStyle w:val="000010000000" w:firstRow="0" w:lastRow="0" w:firstColumn="0" w:lastColumn="0" w:oddVBand="1" w:evenVBand="0" w:oddHBand="0" w:evenHBand="0" w:firstRowFirstColumn="0" w:firstRowLastColumn="0" w:lastRowFirstColumn="0" w:lastRowLastColumn="0"/>
            <w:tcW w:w="1191" w:type="dxa"/>
          </w:tcPr>
          <w:p w14:paraId="4A865D12" w14:textId="77777777" w:rsidR="00B93BEE" w:rsidRPr="0067507D" w:rsidRDefault="00B93BEE">
            <w:pPr>
              <w:pStyle w:val="Tabletextright"/>
            </w:pPr>
            <w:r w:rsidRPr="0067507D">
              <w:t>3 158</w:t>
            </w:r>
          </w:p>
        </w:tc>
      </w:tr>
      <w:tr w:rsidR="00B93BEE" w:rsidRPr="0067507D" w14:paraId="0BEB0694" w14:textId="77777777">
        <w:tc>
          <w:tcPr>
            <w:cnfStyle w:val="001000000000" w:firstRow="0" w:lastRow="0" w:firstColumn="1" w:lastColumn="0" w:oddVBand="0" w:evenVBand="0" w:oddHBand="0" w:evenHBand="0" w:firstRowFirstColumn="0" w:firstRowLastColumn="0" w:lastRowFirstColumn="0" w:lastRowLastColumn="0"/>
            <w:tcW w:w="5499" w:type="dxa"/>
          </w:tcPr>
          <w:p w14:paraId="5AD337D4" w14:textId="77777777" w:rsidR="00B93BEE" w:rsidRPr="0067507D" w:rsidRDefault="00B93BEE">
            <w:pPr>
              <w:pStyle w:val="Tabletext"/>
            </w:pPr>
            <w:r w:rsidRPr="0067507D">
              <w:t>Metered reused water consumption</w:t>
            </w:r>
          </w:p>
        </w:tc>
        <w:tc>
          <w:tcPr>
            <w:cnfStyle w:val="000010000000" w:firstRow="0" w:lastRow="0" w:firstColumn="0" w:lastColumn="0" w:oddVBand="1" w:evenVBand="0" w:oddHBand="0" w:evenHBand="0" w:firstRowFirstColumn="0" w:firstRowLastColumn="0" w:lastRowFirstColumn="0" w:lastRowLastColumn="0"/>
            <w:tcW w:w="1191" w:type="dxa"/>
          </w:tcPr>
          <w:p w14:paraId="74119A87" w14:textId="77777777" w:rsidR="00B93BEE" w:rsidRPr="0067507D" w:rsidRDefault="00B93BEE">
            <w:pPr>
              <w:pStyle w:val="Tabletextright"/>
            </w:pPr>
            <w:r w:rsidRPr="0067507D">
              <w:t>0</w:t>
            </w:r>
          </w:p>
        </w:tc>
        <w:tc>
          <w:tcPr>
            <w:cnfStyle w:val="000001000000" w:firstRow="0" w:lastRow="0" w:firstColumn="0" w:lastColumn="0" w:oddVBand="0" w:evenVBand="1" w:oddHBand="0" w:evenHBand="0" w:firstRowFirstColumn="0" w:firstRowLastColumn="0" w:lastRowFirstColumn="0" w:lastRowLastColumn="0"/>
            <w:tcW w:w="1191" w:type="dxa"/>
          </w:tcPr>
          <w:p w14:paraId="62621711" w14:textId="77777777" w:rsidR="00B93BEE" w:rsidRPr="0067507D" w:rsidRDefault="00B93BEE">
            <w:pPr>
              <w:pStyle w:val="Tabletextright"/>
            </w:pPr>
            <w:r w:rsidRPr="0067507D">
              <w:t>0</w:t>
            </w:r>
          </w:p>
        </w:tc>
        <w:tc>
          <w:tcPr>
            <w:cnfStyle w:val="000010000000" w:firstRow="0" w:lastRow="0" w:firstColumn="0" w:lastColumn="0" w:oddVBand="1" w:evenVBand="0" w:oddHBand="0" w:evenHBand="0" w:firstRowFirstColumn="0" w:firstRowLastColumn="0" w:lastRowFirstColumn="0" w:lastRowLastColumn="0"/>
            <w:tcW w:w="1191" w:type="dxa"/>
          </w:tcPr>
          <w:p w14:paraId="681BC1E9" w14:textId="77777777" w:rsidR="00B93BEE" w:rsidRPr="0067507D" w:rsidRDefault="00B93BEE">
            <w:pPr>
              <w:pStyle w:val="Tabletextright"/>
            </w:pPr>
            <w:r w:rsidRPr="0067507D">
              <w:t>0</w:t>
            </w:r>
          </w:p>
        </w:tc>
      </w:tr>
      <w:tr w:rsidR="00B93BEE" w:rsidRPr="0067507D" w14:paraId="1F6C035D" w14:textId="77777777">
        <w:tc>
          <w:tcPr>
            <w:cnfStyle w:val="001000000000" w:firstRow="0" w:lastRow="0" w:firstColumn="1" w:lastColumn="0" w:oddVBand="0" w:evenVBand="0" w:oddHBand="0" w:evenHBand="0" w:firstRowFirstColumn="0" w:firstRowLastColumn="0" w:lastRowFirstColumn="0" w:lastRowLastColumn="0"/>
            <w:tcW w:w="5499" w:type="dxa"/>
          </w:tcPr>
          <w:p w14:paraId="526803B4" w14:textId="77777777" w:rsidR="00B93BEE" w:rsidRPr="0067507D" w:rsidRDefault="00B93BEE">
            <w:pPr>
              <w:pStyle w:val="Tabletext"/>
            </w:pPr>
            <w:r w:rsidRPr="0067507D">
              <w:t>Units of metered water consumed normalised by FTE</w:t>
            </w:r>
          </w:p>
        </w:tc>
        <w:tc>
          <w:tcPr>
            <w:cnfStyle w:val="000010000000" w:firstRow="0" w:lastRow="0" w:firstColumn="0" w:lastColumn="0" w:oddVBand="1" w:evenVBand="0" w:oddHBand="0" w:evenHBand="0" w:firstRowFirstColumn="0" w:firstRowLastColumn="0" w:lastRowFirstColumn="0" w:lastRowLastColumn="0"/>
            <w:tcW w:w="1191" w:type="dxa"/>
          </w:tcPr>
          <w:p w14:paraId="7B62E31C" w14:textId="77777777" w:rsidR="00B93BEE" w:rsidRPr="0067507D" w:rsidRDefault="00B93BEE">
            <w:pPr>
              <w:pStyle w:val="Tabletextright"/>
            </w:pPr>
            <w:r w:rsidRPr="0067507D">
              <w:t>5</w:t>
            </w:r>
          </w:p>
        </w:tc>
        <w:tc>
          <w:tcPr>
            <w:cnfStyle w:val="000001000000" w:firstRow="0" w:lastRow="0" w:firstColumn="0" w:lastColumn="0" w:oddVBand="0" w:evenVBand="1" w:oddHBand="0" w:evenHBand="0" w:firstRowFirstColumn="0" w:firstRowLastColumn="0" w:lastRowFirstColumn="0" w:lastRowLastColumn="0"/>
            <w:tcW w:w="1191" w:type="dxa"/>
          </w:tcPr>
          <w:p w14:paraId="1BAF9765" w14:textId="77777777" w:rsidR="00B93BEE" w:rsidRPr="0067507D" w:rsidRDefault="00B93BEE">
            <w:pPr>
              <w:pStyle w:val="Tabletextright"/>
            </w:pPr>
            <w:r w:rsidRPr="0067507D">
              <w:t>7</w:t>
            </w:r>
          </w:p>
        </w:tc>
        <w:tc>
          <w:tcPr>
            <w:cnfStyle w:val="000010000000" w:firstRow="0" w:lastRow="0" w:firstColumn="0" w:lastColumn="0" w:oddVBand="1" w:evenVBand="0" w:oddHBand="0" w:evenHBand="0" w:firstRowFirstColumn="0" w:firstRowLastColumn="0" w:lastRowFirstColumn="0" w:lastRowLastColumn="0"/>
            <w:tcW w:w="1191" w:type="dxa"/>
          </w:tcPr>
          <w:p w14:paraId="3A4FB8A9" w14:textId="77777777" w:rsidR="00B93BEE" w:rsidRPr="0067507D" w:rsidRDefault="00B93BEE">
            <w:pPr>
              <w:pStyle w:val="Tabletextright"/>
            </w:pPr>
            <w:r w:rsidRPr="0067507D">
              <w:t>4</w:t>
            </w:r>
          </w:p>
        </w:tc>
      </w:tr>
    </w:tbl>
    <w:p w14:paraId="0DC9C3B5" w14:textId="77777777" w:rsidR="00B93BEE" w:rsidRPr="0067507D" w:rsidRDefault="00B93BEE" w:rsidP="00174807">
      <w:pPr>
        <w:pStyle w:val="Notes"/>
      </w:pPr>
      <w:r w:rsidRPr="0067507D">
        <w:t>Note:</w:t>
      </w:r>
    </w:p>
    <w:p w14:paraId="10659DB8" w14:textId="3CAC9C8D" w:rsidR="00B93BEE" w:rsidRPr="0067507D" w:rsidRDefault="00B93BEE" w:rsidP="002D5753">
      <w:pPr>
        <w:pStyle w:val="Notes"/>
      </w:pPr>
      <w:r w:rsidRPr="0067507D">
        <w:t>(a) The 2024</w:t>
      </w:r>
      <w:r w:rsidR="006A5485">
        <w:noBreakHyphen/>
      </w:r>
      <w:r w:rsidRPr="0067507D">
        <w:t xml:space="preserve">25 figures in this Annual Report contain </w:t>
      </w:r>
      <w:r w:rsidRPr="0067507D">
        <w:rPr>
          <w:color w:val="auto"/>
        </w:rPr>
        <w:t xml:space="preserve">accrued </w:t>
      </w:r>
      <w:r w:rsidRPr="0067507D">
        <w:t>values for water consumption.</w:t>
      </w:r>
    </w:p>
    <w:p w14:paraId="256060B4" w14:textId="761FDC38" w:rsidR="00B93BEE" w:rsidRPr="0067507D" w:rsidRDefault="002D5753" w:rsidP="002D5753">
      <w:pPr>
        <w:pStyle w:val="Notes"/>
      </w:pPr>
      <w:r w:rsidRPr="0067507D">
        <w:t xml:space="preserve">(b) </w:t>
      </w:r>
      <w:r w:rsidR="00B93BEE" w:rsidRPr="0067507D">
        <w:t>2023</w:t>
      </w:r>
      <w:r w:rsidR="006A5485">
        <w:noBreakHyphen/>
      </w:r>
      <w:r w:rsidR="00B93BEE" w:rsidRPr="0067507D">
        <w:t>24 water usage likely attributable to landlord works, including a greenroof project.</w:t>
      </w:r>
    </w:p>
    <w:p w14:paraId="7D6AB074" w14:textId="77777777" w:rsidR="00B93BEE" w:rsidRPr="0067507D" w:rsidRDefault="00B93BEE" w:rsidP="00174807">
      <w:pPr>
        <w:rPr>
          <w:rFonts w:cstheme="minorHAnsi"/>
          <w:highlight w:val="yellow"/>
        </w:rPr>
      </w:pPr>
    </w:p>
    <w:p w14:paraId="010054E5" w14:textId="77777777" w:rsidR="00B93BEE" w:rsidRPr="0067507D" w:rsidRDefault="00B93BEE" w:rsidP="00174807">
      <w:pPr>
        <w:rPr>
          <w:rFonts w:cstheme="minorHAnsi"/>
          <w:highlight w:val="yellow"/>
        </w:rPr>
        <w:sectPr w:rsidR="00B93BEE" w:rsidRPr="0067507D" w:rsidSect="00B93BEE">
          <w:type w:val="continuous"/>
          <w:pgSz w:w="11909" w:h="16834" w:code="9"/>
          <w:pgMar w:top="1728" w:right="1152" w:bottom="1260" w:left="1152" w:header="720" w:footer="288" w:gutter="0"/>
          <w:cols w:space="720"/>
          <w:noEndnote/>
        </w:sectPr>
      </w:pPr>
    </w:p>
    <w:p w14:paraId="04C58753" w14:textId="77777777" w:rsidR="00B93BEE" w:rsidRPr="0067507D" w:rsidRDefault="00B93BEE" w:rsidP="00174807">
      <w:pPr>
        <w:pStyle w:val="Heading3"/>
        <w:keepNext w:val="0"/>
      </w:pPr>
      <w:r w:rsidRPr="0067507D">
        <w:lastRenderedPageBreak/>
        <w:t>Waste and recycling</w:t>
      </w:r>
    </w:p>
    <w:p w14:paraId="28E51C20" w14:textId="77777777" w:rsidR="00B93BEE" w:rsidRPr="0067507D" w:rsidRDefault="00B93BEE" w:rsidP="00174807">
      <w:pPr>
        <w:sectPr w:rsidR="00B93BEE" w:rsidRPr="0067507D" w:rsidSect="00B93BEE">
          <w:pgSz w:w="11909" w:h="16834" w:code="9"/>
          <w:pgMar w:top="1728" w:right="1152" w:bottom="1267" w:left="1152" w:header="720" w:footer="288" w:gutter="0"/>
          <w:cols w:space="720"/>
          <w:noEndnote/>
        </w:sectPr>
      </w:pPr>
    </w:p>
    <w:p w14:paraId="7874B399" w14:textId="77777777" w:rsidR="00B93BEE" w:rsidRPr="0067507D" w:rsidRDefault="00B93BEE" w:rsidP="00641B1C">
      <w:r w:rsidRPr="0067507D">
        <w:t>DTF's waste consumption reporting covers tenancies at the following sites:</w:t>
      </w:r>
    </w:p>
    <w:p w14:paraId="301AE96F" w14:textId="77777777" w:rsidR="00B93BEE" w:rsidRPr="0067507D" w:rsidRDefault="00B93BEE" w:rsidP="00641B1C">
      <w:pPr>
        <w:pStyle w:val="Bullet"/>
        <w:numPr>
          <w:ilvl w:val="0"/>
          <w:numId w:val="40"/>
        </w:numPr>
        <w:rPr>
          <w:rFonts w:ascii="VIC" w:hAnsi="VIC"/>
        </w:rPr>
      </w:pPr>
      <w:r w:rsidRPr="0067507D">
        <w:rPr>
          <w:rFonts w:ascii="VIC" w:hAnsi="VIC"/>
        </w:rPr>
        <w:t>1 Treasury Place, East Melbourne</w:t>
      </w:r>
    </w:p>
    <w:p w14:paraId="137A1853" w14:textId="77777777" w:rsidR="00B93BEE" w:rsidRPr="0067507D" w:rsidRDefault="00B93BEE" w:rsidP="00641B1C">
      <w:pPr>
        <w:pStyle w:val="Bullet"/>
        <w:numPr>
          <w:ilvl w:val="0"/>
          <w:numId w:val="40"/>
        </w:numPr>
        <w:rPr>
          <w:rFonts w:ascii="VIC" w:hAnsi="VIC"/>
        </w:rPr>
      </w:pPr>
      <w:r w:rsidRPr="0067507D">
        <w:rPr>
          <w:rFonts w:ascii="VIC" w:hAnsi="VIC"/>
        </w:rPr>
        <w:t>1 Macarthur Street, East Melbourne</w:t>
      </w:r>
    </w:p>
    <w:p w14:paraId="4E03E931" w14:textId="38F5FDFA" w:rsidR="00B93BEE" w:rsidRPr="0067507D" w:rsidRDefault="00B93BEE" w:rsidP="00641B1C">
      <w:pPr>
        <w:pStyle w:val="Bullet"/>
        <w:numPr>
          <w:ilvl w:val="0"/>
          <w:numId w:val="40"/>
        </w:numPr>
        <w:rPr>
          <w:rFonts w:ascii="VIC" w:hAnsi="VIC"/>
        </w:rPr>
      </w:pPr>
      <w:r w:rsidRPr="0067507D">
        <w:rPr>
          <w:rFonts w:ascii="VIC" w:hAnsi="VIC"/>
        </w:rPr>
        <w:t>1 Spring Street, Melbourne</w:t>
      </w:r>
    </w:p>
    <w:p w14:paraId="0715C9C2" w14:textId="520E07F8" w:rsidR="00B93BEE" w:rsidRPr="0067507D" w:rsidRDefault="00B93BEE" w:rsidP="00641B1C">
      <w:r w:rsidRPr="0067507D">
        <w:t>During the 2024</w:t>
      </w:r>
      <w:r w:rsidR="009164CC">
        <w:noBreakHyphen/>
      </w:r>
      <w:r w:rsidRPr="0067507D">
        <w:t xml:space="preserve">25 reporting period, DTF generated a total of 34 912 kilograms (kg) of waste. </w:t>
      </w:r>
    </w:p>
    <w:p w14:paraId="69E9B97E" w14:textId="0388A6B7" w:rsidR="00B93BEE" w:rsidRPr="0067507D" w:rsidRDefault="00B93BEE" w:rsidP="00641B1C">
      <w:r w:rsidRPr="0067507D">
        <w:t>A significantly higher amount of reported waste in 2024</w:t>
      </w:r>
      <w:r w:rsidR="006A5485">
        <w:noBreakHyphen/>
      </w:r>
      <w:r w:rsidRPr="0067507D">
        <w:t xml:space="preserve">25 is attributable to more detailed reporting through the new platform Envizi, the inclusion of 1 Spring Street, and the addition of reporting on secure document disposal. The largest increase related to inclusion of an additional data source for recycling, particularly paper and cardboard. </w:t>
      </w:r>
    </w:p>
    <w:p w14:paraId="1CA00391" w14:textId="71BB3037" w:rsidR="00B93BEE" w:rsidRPr="0067507D" w:rsidRDefault="00B93BEE" w:rsidP="00641B1C">
      <w:r w:rsidRPr="0067507D">
        <w:t>Landfill waste continues to decline. This is supported by a reduced cleaning schedule at 1 Macarthur Street, introduced following a successful trial, and improved recycling practices. Greenhouse gas emissions from waste decreased from the previous period. DTF continues to maintain dedicated processes for the disposal of e</w:t>
      </w:r>
      <w:r w:rsidR="006A5485">
        <w:noBreakHyphen/>
      </w:r>
      <w:r w:rsidRPr="0067507D">
        <w:t>waste and printer cartridges across all office sites.</w:t>
      </w:r>
    </w:p>
    <w:p w14:paraId="41B59FFA" w14:textId="77777777" w:rsidR="00B93BEE" w:rsidRPr="0067507D" w:rsidRDefault="00B93BEE" w:rsidP="00174807">
      <w:pPr>
        <w:rPr>
          <w:highlight w:val="yellow"/>
        </w:rPr>
      </w:pPr>
    </w:p>
    <w:p w14:paraId="6FC70C8A" w14:textId="77777777" w:rsidR="00B93BEE" w:rsidRPr="0067507D" w:rsidRDefault="00B93BEE" w:rsidP="00174807">
      <w:pPr>
        <w:rPr>
          <w:highlight w:val="yellow"/>
        </w:rPr>
        <w:sectPr w:rsidR="00B93BEE" w:rsidRPr="0067507D" w:rsidSect="00B93BEE">
          <w:type w:val="continuous"/>
          <w:pgSz w:w="11909" w:h="16834" w:code="9"/>
          <w:pgMar w:top="1728" w:right="1152" w:bottom="1260" w:left="1152" w:header="720" w:footer="288" w:gutter="0"/>
          <w:cols w:num="2" w:space="720"/>
          <w:noEndnote/>
        </w:sectPr>
      </w:pPr>
    </w:p>
    <w:p w14:paraId="4238F85A" w14:textId="77777777" w:rsidR="00B93BEE" w:rsidRPr="0067507D" w:rsidRDefault="00B93BEE" w:rsidP="00174807">
      <w:pPr>
        <w:pStyle w:val="Notes"/>
        <w:rPr>
          <w:highlight w:val="yellow"/>
        </w:rPr>
      </w:pPr>
    </w:p>
    <w:tbl>
      <w:tblPr>
        <w:tblStyle w:val="AnnualReporttexttable"/>
        <w:tblW w:w="0" w:type="auto"/>
        <w:tblLook w:val="02A0" w:firstRow="1" w:lastRow="0" w:firstColumn="1" w:lastColumn="0" w:noHBand="1" w:noVBand="0"/>
      </w:tblPr>
      <w:tblGrid>
        <w:gridCol w:w="3972"/>
        <w:gridCol w:w="1011"/>
        <w:gridCol w:w="792"/>
        <w:gridCol w:w="1008"/>
        <w:gridCol w:w="792"/>
        <w:gridCol w:w="1004"/>
        <w:gridCol w:w="796"/>
      </w:tblGrid>
      <w:tr w:rsidR="009632A4" w:rsidRPr="0067507D" w14:paraId="3121E953" w14:textId="77777777" w:rsidTr="002A27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2" w:type="dxa"/>
            <w:shd w:val="clear" w:color="auto" w:fill="auto"/>
          </w:tcPr>
          <w:p w14:paraId="1E9C7608" w14:textId="77777777" w:rsidR="00B93BEE" w:rsidRPr="0067507D" w:rsidRDefault="00B93BEE">
            <w:pPr>
              <w:pStyle w:val="Tabletextheadingleft"/>
              <w:rPr>
                <w:b w:val="0"/>
              </w:rPr>
            </w:pPr>
            <w:r w:rsidRPr="0067507D">
              <w:rPr>
                <w:b w:val="0"/>
              </w:rPr>
              <w:t xml:space="preserve">Indicator </w:t>
            </w:r>
          </w:p>
        </w:tc>
        <w:tc>
          <w:tcPr>
            <w:cnfStyle w:val="000010000000" w:firstRow="0" w:lastRow="0" w:firstColumn="0" w:lastColumn="0" w:oddVBand="1" w:evenVBand="0" w:oddHBand="0" w:evenHBand="0" w:firstRowFirstColumn="0" w:firstRowLastColumn="0" w:lastRowFirstColumn="0" w:lastRowLastColumn="0"/>
            <w:tcW w:w="1011" w:type="dxa"/>
            <w:shd w:val="clear" w:color="auto" w:fill="auto"/>
          </w:tcPr>
          <w:p w14:paraId="7368C282" w14:textId="647414C2" w:rsidR="00B93BEE" w:rsidRPr="0067507D" w:rsidRDefault="00B93BEE">
            <w:pPr>
              <w:pStyle w:val="Tabletextheadingright"/>
              <w:rPr>
                <w:b w:val="0"/>
                <w:bCs/>
              </w:rPr>
            </w:pPr>
            <w:r w:rsidRPr="0067507D">
              <w:rPr>
                <w:b w:val="0"/>
                <w:bCs/>
              </w:rPr>
              <w:t>2024</w:t>
            </w:r>
            <w:r w:rsidR="006A5485">
              <w:rPr>
                <w:b w:val="0"/>
                <w:bCs/>
              </w:rPr>
              <w:noBreakHyphen/>
            </w:r>
            <w:r w:rsidRPr="0067507D">
              <w:rPr>
                <w:b w:val="0"/>
                <w:bCs/>
              </w:rPr>
              <w:t xml:space="preserve">25 </w:t>
            </w:r>
            <w:r w:rsidRPr="0067507D">
              <w:rPr>
                <w:b w:val="0"/>
                <w:bCs/>
                <w:vertAlign w:val="superscript"/>
              </w:rPr>
              <w:t>(a)</w:t>
            </w:r>
          </w:p>
        </w:tc>
        <w:tc>
          <w:tcPr>
            <w:cnfStyle w:val="000001000000" w:firstRow="0" w:lastRow="0" w:firstColumn="0" w:lastColumn="0" w:oddVBand="0" w:evenVBand="1" w:oddHBand="0" w:evenHBand="0" w:firstRowFirstColumn="0" w:firstRowLastColumn="0" w:lastRowFirstColumn="0" w:lastRowLastColumn="0"/>
            <w:tcW w:w="792" w:type="dxa"/>
            <w:shd w:val="clear" w:color="auto" w:fill="auto"/>
          </w:tcPr>
          <w:p w14:paraId="14FAD882" w14:textId="77777777" w:rsidR="00B93BEE" w:rsidRPr="0067507D" w:rsidRDefault="00B93BEE">
            <w:pPr>
              <w:pStyle w:val="Tabletextheadingright"/>
              <w:rPr>
                <w:b w:val="0"/>
                <w:bCs/>
              </w:rPr>
            </w:pPr>
            <w:r w:rsidRPr="0067507D">
              <w:rPr>
                <w:b w:val="0"/>
                <w:bCs/>
              </w:rPr>
              <w:t>%</w:t>
            </w:r>
          </w:p>
        </w:tc>
        <w:tc>
          <w:tcPr>
            <w:cnfStyle w:val="000010000000" w:firstRow="0" w:lastRow="0" w:firstColumn="0" w:lastColumn="0" w:oddVBand="1" w:evenVBand="0" w:oddHBand="0" w:evenHBand="0" w:firstRowFirstColumn="0" w:firstRowLastColumn="0" w:lastRowFirstColumn="0" w:lastRowLastColumn="0"/>
            <w:tcW w:w="1008" w:type="dxa"/>
            <w:shd w:val="clear" w:color="auto" w:fill="auto"/>
          </w:tcPr>
          <w:p w14:paraId="7650C0A0" w14:textId="31A4F531" w:rsidR="00B93BEE" w:rsidRPr="0067507D" w:rsidRDefault="00B93BEE">
            <w:pPr>
              <w:pStyle w:val="Tabletextheadingright"/>
              <w:rPr>
                <w:b w:val="0"/>
                <w:bCs/>
              </w:rPr>
            </w:pPr>
            <w:r w:rsidRPr="0067507D">
              <w:rPr>
                <w:b w:val="0"/>
                <w:bCs/>
              </w:rPr>
              <w:t>2023</w:t>
            </w:r>
            <w:r w:rsidR="006A5485">
              <w:rPr>
                <w:b w:val="0"/>
                <w:bCs/>
              </w:rPr>
              <w:noBreakHyphen/>
            </w:r>
            <w:r w:rsidRPr="0067507D">
              <w:rPr>
                <w:b w:val="0"/>
                <w:bCs/>
              </w:rPr>
              <w:t>24</w:t>
            </w:r>
          </w:p>
        </w:tc>
        <w:tc>
          <w:tcPr>
            <w:cnfStyle w:val="000001000000" w:firstRow="0" w:lastRow="0" w:firstColumn="0" w:lastColumn="0" w:oddVBand="0" w:evenVBand="1" w:oddHBand="0" w:evenHBand="0" w:firstRowFirstColumn="0" w:firstRowLastColumn="0" w:lastRowFirstColumn="0" w:lastRowLastColumn="0"/>
            <w:tcW w:w="792" w:type="dxa"/>
            <w:shd w:val="clear" w:color="auto" w:fill="auto"/>
          </w:tcPr>
          <w:p w14:paraId="12FAAC52" w14:textId="77777777" w:rsidR="00B93BEE" w:rsidRPr="0067507D" w:rsidRDefault="00B93BEE">
            <w:pPr>
              <w:pStyle w:val="Tabletextheadingright"/>
              <w:rPr>
                <w:b w:val="0"/>
                <w:bCs/>
              </w:rPr>
            </w:pPr>
            <w:r w:rsidRPr="0067507D">
              <w:rPr>
                <w:b w:val="0"/>
                <w:bCs/>
              </w:rPr>
              <w:t>%</w:t>
            </w:r>
          </w:p>
        </w:tc>
        <w:tc>
          <w:tcPr>
            <w:cnfStyle w:val="000010000000" w:firstRow="0" w:lastRow="0" w:firstColumn="0" w:lastColumn="0" w:oddVBand="1" w:evenVBand="0" w:oddHBand="0" w:evenHBand="0" w:firstRowFirstColumn="0" w:firstRowLastColumn="0" w:lastRowFirstColumn="0" w:lastRowLastColumn="0"/>
            <w:tcW w:w="1004" w:type="dxa"/>
            <w:shd w:val="clear" w:color="auto" w:fill="auto"/>
          </w:tcPr>
          <w:p w14:paraId="35B1725F" w14:textId="7DDBFE1E" w:rsidR="00B93BEE" w:rsidRPr="0067507D" w:rsidRDefault="00B93BEE">
            <w:pPr>
              <w:pStyle w:val="Tabletextheadingright"/>
              <w:rPr>
                <w:b w:val="0"/>
                <w:bCs/>
              </w:rPr>
            </w:pPr>
            <w:r w:rsidRPr="0067507D">
              <w:rPr>
                <w:b w:val="0"/>
                <w:bCs/>
              </w:rPr>
              <w:t>2022</w:t>
            </w:r>
            <w:r w:rsidR="006A5485">
              <w:rPr>
                <w:b w:val="0"/>
                <w:bCs/>
              </w:rPr>
              <w:noBreakHyphen/>
            </w:r>
            <w:r w:rsidRPr="0067507D">
              <w:rPr>
                <w:b w:val="0"/>
                <w:bCs/>
              </w:rPr>
              <w:t>23</w:t>
            </w:r>
          </w:p>
        </w:tc>
        <w:tc>
          <w:tcPr>
            <w:cnfStyle w:val="000001000000" w:firstRow="0" w:lastRow="0" w:firstColumn="0" w:lastColumn="0" w:oddVBand="0" w:evenVBand="1" w:oddHBand="0" w:evenHBand="0" w:firstRowFirstColumn="0" w:firstRowLastColumn="0" w:lastRowFirstColumn="0" w:lastRowLastColumn="0"/>
            <w:tcW w:w="796" w:type="dxa"/>
            <w:shd w:val="clear" w:color="auto" w:fill="auto"/>
          </w:tcPr>
          <w:p w14:paraId="737D8345" w14:textId="77777777" w:rsidR="00B93BEE" w:rsidRPr="0067507D" w:rsidRDefault="00B93BEE">
            <w:pPr>
              <w:pStyle w:val="Tabletextheadingright"/>
              <w:rPr>
                <w:b w:val="0"/>
                <w:bCs/>
              </w:rPr>
            </w:pPr>
            <w:r w:rsidRPr="0067507D">
              <w:rPr>
                <w:b w:val="0"/>
                <w:bCs/>
              </w:rPr>
              <w:t xml:space="preserve">% </w:t>
            </w:r>
            <w:r w:rsidRPr="0067507D">
              <w:rPr>
                <w:b w:val="0"/>
                <w:bCs/>
                <w:vertAlign w:val="superscript"/>
              </w:rPr>
              <w:t>(b)</w:t>
            </w:r>
          </w:p>
        </w:tc>
      </w:tr>
      <w:tr w:rsidR="009632A4" w:rsidRPr="0067507D" w14:paraId="48BDC257" w14:textId="77777777">
        <w:tc>
          <w:tcPr>
            <w:cnfStyle w:val="001000000000" w:firstRow="0" w:lastRow="0" w:firstColumn="1" w:lastColumn="0" w:oddVBand="0" w:evenVBand="0" w:oddHBand="0" w:evenHBand="0" w:firstRowFirstColumn="0" w:firstRowLastColumn="0" w:lastRowFirstColumn="0" w:lastRowLastColumn="0"/>
            <w:tcW w:w="3972" w:type="dxa"/>
          </w:tcPr>
          <w:p w14:paraId="7D00E758" w14:textId="77777777" w:rsidR="00B93BEE" w:rsidRPr="0067507D" w:rsidRDefault="00B93BEE">
            <w:pPr>
              <w:pStyle w:val="Tabletextbold"/>
            </w:pPr>
            <w:r w:rsidRPr="0067507D">
              <w:t xml:space="preserve">Total units of waste disposed (kg and %) </w:t>
            </w:r>
            <w:r w:rsidRPr="0067507D">
              <w:rPr>
                <w:rFonts w:asciiTheme="minorHAnsi" w:hAnsiTheme="minorHAnsi"/>
              </w:rPr>
              <w:t>[Indicator</w:t>
            </w:r>
            <w:r w:rsidRPr="0067507D">
              <w:rPr>
                <w:rFonts w:ascii="Calibri" w:hAnsi="Calibri" w:cs="Calibri"/>
              </w:rPr>
              <w:t> </w:t>
            </w:r>
            <w:r w:rsidRPr="0067507D">
              <w:rPr>
                <w:rFonts w:asciiTheme="minorHAnsi" w:hAnsiTheme="minorHAnsi"/>
              </w:rPr>
              <w:t>WR1]</w:t>
            </w:r>
          </w:p>
        </w:tc>
        <w:tc>
          <w:tcPr>
            <w:cnfStyle w:val="000010000000" w:firstRow="0" w:lastRow="0" w:firstColumn="0" w:lastColumn="0" w:oddVBand="1" w:evenVBand="0" w:oddHBand="0" w:evenHBand="0" w:firstRowFirstColumn="0" w:firstRowLastColumn="0" w:lastRowFirstColumn="0" w:lastRowLastColumn="0"/>
            <w:tcW w:w="1011" w:type="dxa"/>
          </w:tcPr>
          <w:p w14:paraId="26B82523" w14:textId="77777777" w:rsidR="00B93BEE" w:rsidRPr="0067507D" w:rsidRDefault="00B93BEE" w:rsidP="00970E33">
            <w:pPr>
              <w:pStyle w:val="Tabletextrightbold"/>
            </w:pPr>
            <w:r w:rsidRPr="0067507D">
              <w:t>34 912</w:t>
            </w:r>
          </w:p>
        </w:tc>
        <w:tc>
          <w:tcPr>
            <w:cnfStyle w:val="000001000000" w:firstRow="0" w:lastRow="0" w:firstColumn="0" w:lastColumn="0" w:oddVBand="0" w:evenVBand="1" w:oddHBand="0" w:evenHBand="0" w:firstRowFirstColumn="0" w:firstRowLastColumn="0" w:lastRowFirstColumn="0" w:lastRowLastColumn="0"/>
            <w:tcW w:w="792" w:type="dxa"/>
          </w:tcPr>
          <w:p w14:paraId="01758776" w14:textId="77777777" w:rsidR="00B93BEE" w:rsidRPr="0067507D" w:rsidRDefault="00B93BEE" w:rsidP="00970E33">
            <w:pPr>
              <w:pStyle w:val="Tabletextrightbold"/>
              <w:rPr>
                <w:highlight w:val="yellow"/>
              </w:rPr>
            </w:pPr>
            <w:r w:rsidRPr="0067507D">
              <w:t>100.0</w:t>
            </w:r>
          </w:p>
        </w:tc>
        <w:tc>
          <w:tcPr>
            <w:cnfStyle w:val="000010000000" w:firstRow="0" w:lastRow="0" w:firstColumn="0" w:lastColumn="0" w:oddVBand="1" w:evenVBand="0" w:oddHBand="0" w:evenHBand="0" w:firstRowFirstColumn="0" w:firstRowLastColumn="0" w:lastRowFirstColumn="0" w:lastRowLastColumn="0"/>
            <w:tcW w:w="1008" w:type="dxa"/>
          </w:tcPr>
          <w:p w14:paraId="14DA61E2" w14:textId="77777777" w:rsidR="00B93BEE" w:rsidRPr="0067507D" w:rsidRDefault="00B93BEE" w:rsidP="00970E33">
            <w:pPr>
              <w:pStyle w:val="Tabletextrightbold"/>
              <w:rPr>
                <w:highlight w:val="yellow"/>
              </w:rPr>
            </w:pPr>
            <w:r w:rsidRPr="0067507D">
              <w:t>19 630</w:t>
            </w:r>
          </w:p>
        </w:tc>
        <w:tc>
          <w:tcPr>
            <w:cnfStyle w:val="000001000000" w:firstRow="0" w:lastRow="0" w:firstColumn="0" w:lastColumn="0" w:oddVBand="0" w:evenVBand="1" w:oddHBand="0" w:evenHBand="0" w:firstRowFirstColumn="0" w:firstRowLastColumn="0" w:lastRowFirstColumn="0" w:lastRowLastColumn="0"/>
            <w:tcW w:w="792" w:type="dxa"/>
          </w:tcPr>
          <w:p w14:paraId="18E9CE6E" w14:textId="77777777" w:rsidR="00B93BEE" w:rsidRPr="0067507D" w:rsidRDefault="00B93BEE" w:rsidP="00970E33">
            <w:pPr>
              <w:pStyle w:val="Tabletextrightbold"/>
              <w:rPr>
                <w:highlight w:val="yellow"/>
              </w:rPr>
            </w:pPr>
            <w:r w:rsidRPr="0067507D">
              <w:t>100.0</w:t>
            </w:r>
          </w:p>
        </w:tc>
        <w:tc>
          <w:tcPr>
            <w:cnfStyle w:val="000010000000" w:firstRow="0" w:lastRow="0" w:firstColumn="0" w:lastColumn="0" w:oddVBand="1" w:evenVBand="0" w:oddHBand="0" w:evenHBand="0" w:firstRowFirstColumn="0" w:firstRowLastColumn="0" w:lastRowFirstColumn="0" w:lastRowLastColumn="0"/>
            <w:tcW w:w="1004" w:type="dxa"/>
          </w:tcPr>
          <w:p w14:paraId="5CA12132" w14:textId="77777777" w:rsidR="00B93BEE" w:rsidRPr="0067507D" w:rsidRDefault="00B93BEE" w:rsidP="00970E33">
            <w:pPr>
              <w:pStyle w:val="Tabletextrightbold"/>
              <w:rPr>
                <w:highlight w:val="yellow"/>
              </w:rPr>
            </w:pPr>
            <w:r w:rsidRPr="0067507D">
              <w:t>32 433</w:t>
            </w:r>
          </w:p>
        </w:tc>
        <w:tc>
          <w:tcPr>
            <w:cnfStyle w:val="000001000000" w:firstRow="0" w:lastRow="0" w:firstColumn="0" w:lastColumn="0" w:oddVBand="0" w:evenVBand="1" w:oddHBand="0" w:evenHBand="0" w:firstRowFirstColumn="0" w:firstRowLastColumn="0" w:lastRowFirstColumn="0" w:lastRowLastColumn="0"/>
            <w:tcW w:w="796" w:type="dxa"/>
          </w:tcPr>
          <w:p w14:paraId="2C836B72" w14:textId="77777777" w:rsidR="00B93BEE" w:rsidRPr="0067507D" w:rsidRDefault="00B93BEE" w:rsidP="00970E33">
            <w:pPr>
              <w:pStyle w:val="Tabletextrightbold"/>
              <w:rPr>
                <w:highlight w:val="yellow"/>
              </w:rPr>
            </w:pPr>
            <w:r w:rsidRPr="0067507D">
              <w:t>100</w:t>
            </w:r>
          </w:p>
        </w:tc>
      </w:tr>
      <w:tr w:rsidR="009632A4" w:rsidRPr="0067507D" w14:paraId="45569986" w14:textId="77777777">
        <w:tc>
          <w:tcPr>
            <w:cnfStyle w:val="001000000000" w:firstRow="0" w:lastRow="0" w:firstColumn="1" w:lastColumn="0" w:oddVBand="0" w:evenVBand="0" w:oddHBand="0" w:evenHBand="0" w:firstRowFirstColumn="0" w:firstRowLastColumn="0" w:lastRowFirstColumn="0" w:lastRowLastColumn="0"/>
            <w:tcW w:w="3972" w:type="dxa"/>
          </w:tcPr>
          <w:p w14:paraId="32D559D9" w14:textId="47C2DAA1" w:rsidR="00B93BEE" w:rsidRPr="0067507D" w:rsidRDefault="00B93BEE">
            <w:pPr>
              <w:pStyle w:val="Tabletext"/>
            </w:pPr>
            <w:r w:rsidRPr="0067507D">
              <w:t>Landfill (disposal)</w:t>
            </w:r>
          </w:p>
        </w:tc>
        <w:tc>
          <w:tcPr>
            <w:cnfStyle w:val="000010000000" w:firstRow="0" w:lastRow="0" w:firstColumn="0" w:lastColumn="0" w:oddVBand="1" w:evenVBand="0" w:oddHBand="0" w:evenHBand="0" w:firstRowFirstColumn="0" w:firstRowLastColumn="0" w:lastRowFirstColumn="0" w:lastRowLastColumn="0"/>
            <w:tcW w:w="1011" w:type="dxa"/>
          </w:tcPr>
          <w:p w14:paraId="3DE4B64B" w14:textId="0CE37271" w:rsidR="00B93BEE" w:rsidRPr="0067507D" w:rsidRDefault="00B93BEE">
            <w:pPr>
              <w:pStyle w:val="Tabletextright"/>
            </w:pPr>
            <w:r w:rsidRPr="0067507D">
              <w:t>10 805</w:t>
            </w:r>
          </w:p>
        </w:tc>
        <w:tc>
          <w:tcPr>
            <w:cnfStyle w:val="000001000000" w:firstRow="0" w:lastRow="0" w:firstColumn="0" w:lastColumn="0" w:oddVBand="0" w:evenVBand="1" w:oddHBand="0" w:evenHBand="0" w:firstRowFirstColumn="0" w:firstRowLastColumn="0" w:lastRowFirstColumn="0" w:lastRowLastColumn="0"/>
            <w:tcW w:w="792" w:type="dxa"/>
          </w:tcPr>
          <w:p w14:paraId="0A323AA2" w14:textId="77777777" w:rsidR="00B93BEE" w:rsidRPr="0067507D" w:rsidRDefault="00B93BEE">
            <w:pPr>
              <w:pStyle w:val="Tabletextright"/>
              <w:rPr>
                <w:highlight w:val="yellow"/>
              </w:rPr>
            </w:pPr>
            <w:r w:rsidRPr="0067507D">
              <w:t>30.9</w:t>
            </w:r>
          </w:p>
        </w:tc>
        <w:tc>
          <w:tcPr>
            <w:cnfStyle w:val="000010000000" w:firstRow="0" w:lastRow="0" w:firstColumn="0" w:lastColumn="0" w:oddVBand="1" w:evenVBand="0" w:oddHBand="0" w:evenHBand="0" w:firstRowFirstColumn="0" w:firstRowLastColumn="0" w:lastRowFirstColumn="0" w:lastRowLastColumn="0"/>
            <w:tcW w:w="1008" w:type="dxa"/>
          </w:tcPr>
          <w:p w14:paraId="44001518" w14:textId="77777777" w:rsidR="00B93BEE" w:rsidRPr="0067507D" w:rsidRDefault="00B93BEE">
            <w:pPr>
              <w:pStyle w:val="Tabletextright"/>
              <w:rPr>
                <w:highlight w:val="yellow"/>
              </w:rPr>
            </w:pPr>
            <w:r w:rsidRPr="0067507D">
              <w:t>14 788</w:t>
            </w:r>
          </w:p>
        </w:tc>
        <w:tc>
          <w:tcPr>
            <w:cnfStyle w:val="000001000000" w:firstRow="0" w:lastRow="0" w:firstColumn="0" w:lastColumn="0" w:oddVBand="0" w:evenVBand="1" w:oddHBand="0" w:evenHBand="0" w:firstRowFirstColumn="0" w:firstRowLastColumn="0" w:lastRowFirstColumn="0" w:lastRowLastColumn="0"/>
            <w:tcW w:w="792" w:type="dxa"/>
          </w:tcPr>
          <w:p w14:paraId="5236150E" w14:textId="77777777" w:rsidR="00B93BEE" w:rsidRPr="0067507D" w:rsidRDefault="00B93BEE">
            <w:pPr>
              <w:pStyle w:val="Tabletextright"/>
              <w:rPr>
                <w:highlight w:val="yellow"/>
              </w:rPr>
            </w:pPr>
            <w:r w:rsidRPr="0067507D">
              <w:t>75.3</w:t>
            </w:r>
          </w:p>
        </w:tc>
        <w:tc>
          <w:tcPr>
            <w:cnfStyle w:val="000010000000" w:firstRow="0" w:lastRow="0" w:firstColumn="0" w:lastColumn="0" w:oddVBand="1" w:evenVBand="0" w:oddHBand="0" w:evenHBand="0" w:firstRowFirstColumn="0" w:firstRowLastColumn="0" w:lastRowFirstColumn="0" w:lastRowLastColumn="0"/>
            <w:tcW w:w="1004" w:type="dxa"/>
          </w:tcPr>
          <w:p w14:paraId="7FD2A408" w14:textId="77777777" w:rsidR="00B93BEE" w:rsidRPr="0067507D" w:rsidRDefault="00B93BEE">
            <w:pPr>
              <w:pStyle w:val="Tabletextright"/>
              <w:rPr>
                <w:highlight w:val="yellow"/>
              </w:rPr>
            </w:pPr>
            <w:r w:rsidRPr="0067507D">
              <w:t>20 915</w:t>
            </w:r>
          </w:p>
        </w:tc>
        <w:tc>
          <w:tcPr>
            <w:cnfStyle w:val="000001000000" w:firstRow="0" w:lastRow="0" w:firstColumn="0" w:lastColumn="0" w:oddVBand="0" w:evenVBand="1" w:oddHBand="0" w:evenHBand="0" w:firstRowFirstColumn="0" w:firstRowLastColumn="0" w:lastRowFirstColumn="0" w:lastRowLastColumn="0"/>
            <w:tcW w:w="796" w:type="dxa"/>
          </w:tcPr>
          <w:p w14:paraId="4EEBC0F7" w14:textId="77777777" w:rsidR="00B93BEE" w:rsidRPr="0067507D" w:rsidRDefault="00B93BEE">
            <w:pPr>
              <w:pStyle w:val="Tabletextright"/>
              <w:rPr>
                <w:highlight w:val="yellow"/>
              </w:rPr>
            </w:pPr>
            <w:r w:rsidRPr="0067507D">
              <w:t>64.5</w:t>
            </w:r>
          </w:p>
        </w:tc>
      </w:tr>
      <w:tr w:rsidR="009632A4" w:rsidRPr="0067507D" w14:paraId="70A09429" w14:textId="77777777">
        <w:tc>
          <w:tcPr>
            <w:cnfStyle w:val="001000000000" w:firstRow="0" w:lastRow="0" w:firstColumn="1" w:lastColumn="0" w:oddVBand="0" w:evenVBand="0" w:oddHBand="0" w:evenHBand="0" w:firstRowFirstColumn="0" w:firstRowLastColumn="0" w:lastRowFirstColumn="0" w:lastRowLastColumn="0"/>
            <w:tcW w:w="3972" w:type="dxa"/>
          </w:tcPr>
          <w:p w14:paraId="264C82B2" w14:textId="77777777" w:rsidR="00B93BEE" w:rsidRPr="0067507D" w:rsidRDefault="00B93BEE">
            <w:pPr>
              <w:pStyle w:val="Tabletext"/>
            </w:pPr>
            <w:r w:rsidRPr="0067507D">
              <w:t>Recycling/recovery (disposal)</w:t>
            </w:r>
          </w:p>
        </w:tc>
        <w:tc>
          <w:tcPr>
            <w:cnfStyle w:val="000010000000" w:firstRow="0" w:lastRow="0" w:firstColumn="0" w:lastColumn="0" w:oddVBand="1" w:evenVBand="0" w:oddHBand="0" w:evenHBand="0" w:firstRowFirstColumn="0" w:firstRowLastColumn="0" w:lastRowFirstColumn="0" w:lastRowLastColumn="0"/>
            <w:tcW w:w="1011" w:type="dxa"/>
          </w:tcPr>
          <w:p w14:paraId="603EB869" w14:textId="77777777" w:rsidR="00B93BEE" w:rsidRPr="0067507D" w:rsidRDefault="00B93BEE">
            <w:pPr>
              <w:pStyle w:val="Tabletextright"/>
            </w:pPr>
            <w:r w:rsidRPr="0067507D">
              <w:t>23 014</w:t>
            </w:r>
          </w:p>
        </w:tc>
        <w:tc>
          <w:tcPr>
            <w:cnfStyle w:val="000001000000" w:firstRow="0" w:lastRow="0" w:firstColumn="0" w:lastColumn="0" w:oddVBand="0" w:evenVBand="1" w:oddHBand="0" w:evenHBand="0" w:firstRowFirstColumn="0" w:firstRowLastColumn="0" w:lastRowFirstColumn="0" w:lastRowLastColumn="0"/>
            <w:tcW w:w="792" w:type="dxa"/>
          </w:tcPr>
          <w:p w14:paraId="61357480" w14:textId="77777777" w:rsidR="00B93BEE" w:rsidRPr="0067507D" w:rsidRDefault="00B93BEE">
            <w:pPr>
              <w:pStyle w:val="Tabletextright"/>
            </w:pPr>
            <w:r w:rsidRPr="0067507D">
              <w:t>69.1</w:t>
            </w:r>
          </w:p>
        </w:tc>
        <w:tc>
          <w:tcPr>
            <w:cnfStyle w:val="000010000000" w:firstRow="0" w:lastRow="0" w:firstColumn="0" w:lastColumn="0" w:oddVBand="1" w:evenVBand="0" w:oddHBand="0" w:evenHBand="0" w:firstRowFirstColumn="0" w:firstRowLastColumn="0" w:lastRowFirstColumn="0" w:lastRowLastColumn="0"/>
            <w:tcW w:w="1008" w:type="dxa"/>
          </w:tcPr>
          <w:p w14:paraId="5AC342F7" w14:textId="77777777" w:rsidR="00B93BEE" w:rsidRPr="0067507D" w:rsidRDefault="00B93BEE">
            <w:pPr>
              <w:pStyle w:val="Tabletextright"/>
              <w:rPr>
                <w:highlight w:val="yellow"/>
              </w:rPr>
            </w:pPr>
            <w:r w:rsidRPr="0067507D">
              <w:t>4 070</w:t>
            </w:r>
          </w:p>
        </w:tc>
        <w:tc>
          <w:tcPr>
            <w:cnfStyle w:val="000001000000" w:firstRow="0" w:lastRow="0" w:firstColumn="0" w:lastColumn="0" w:oddVBand="0" w:evenVBand="1" w:oddHBand="0" w:evenHBand="0" w:firstRowFirstColumn="0" w:firstRowLastColumn="0" w:lastRowFirstColumn="0" w:lastRowLastColumn="0"/>
            <w:tcW w:w="792" w:type="dxa"/>
          </w:tcPr>
          <w:p w14:paraId="0FECF039" w14:textId="77777777" w:rsidR="00B93BEE" w:rsidRPr="0067507D" w:rsidRDefault="00B93BEE">
            <w:pPr>
              <w:pStyle w:val="Tabletextright"/>
              <w:rPr>
                <w:highlight w:val="yellow"/>
              </w:rPr>
            </w:pPr>
            <w:r w:rsidRPr="0067507D">
              <w:t>20.7</w:t>
            </w:r>
          </w:p>
        </w:tc>
        <w:tc>
          <w:tcPr>
            <w:cnfStyle w:val="000010000000" w:firstRow="0" w:lastRow="0" w:firstColumn="0" w:lastColumn="0" w:oddVBand="1" w:evenVBand="0" w:oddHBand="0" w:evenHBand="0" w:firstRowFirstColumn="0" w:firstRowLastColumn="0" w:lastRowFirstColumn="0" w:lastRowLastColumn="0"/>
            <w:tcW w:w="1004" w:type="dxa"/>
          </w:tcPr>
          <w:p w14:paraId="0FC8832A" w14:textId="77777777" w:rsidR="00B93BEE" w:rsidRPr="0067507D" w:rsidRDefault="00B93BEE">
            <w:pPr>
              <w:pStyle w:val="Tabletextright"/>
              <w:rPr>
                <w:highlight w:val="yellow"/>
              </w:rPr>
            </w:pPr>
            <w:r w:rsidRPr="0067507D">
              <w:t>5 295</w:t>
            </w:r>
          </w:p>
        </w:tc>
        <w:tc>
          <w:tcPr>
            <w:cnfStyle w:val="000001000000" w:firstRow="0" w:lastRow="0" w:firstColumn="0" w:lastColumn="0" w:oddVBand="0" w:evenVBand="1" w:oddHBand="0" w:evenHBand="0" w:firstRowFirstColumn="0" w:firstRowLastColumn="0" w:lastRowFirstColumn="0" w:lastRowLastColumn="0"/>
            <w:tcW w:w="796" w:type="dxa"/>
          </w:tcPr>
          <w:p w14:paraId="1A5CAE8A" w14:textId="77777777" w:rsidR="00B93BEE" w:rsidRPr="0067507D" w:rsidRDefault="00B93BEE">
            <w:pPr>
              <w:pStyle w:val="Tabletextright"/>
              <w:rPr>
                <w:highlight w:val="yellow"/>
              </w:rPr>
            </w:pPr>
            <w:r w:rsidRPr="0067507D">
              <w:t>16.3</w:t>
            </w:r>
          </w:p>
        </w:tc>
      </w:tr>
      <w:tr w:rsidR="009632A4" w:rsidRPr="0067507D" w14:paraId="7B8072D5" w14:textId="77777777">
        <w:tc>
          <w:tcPr>
            <w:cnfStyle w:val="001000000000" w:firstRow="0" w:lastRow="0" w:firstColumn="1" w:lastColumn="0" w:oddVBand="0" w:evenVBand="0" w:oddHBand="0" w:evenHBand="0" w:firstRowFirstColumn="0" w:firstRowLastColumn="0" w:lastRowFirstColumn="0" w:lastRowLastColumn="0"/>
            <w:tcW w:w="3972" w:type="dxa"/>
          </w:tcPr>
          <w:p w14:paraId="5B60D34B" w14:textId="77777777" w:rsidR="00B93BEE" w:rsidRPr="0067507D" w:rsidRDefault="00B93BEE">
            <w:pPr>
              <w:pStyle w:val="Tabletext"/>
              <w:ind w:left="216"/>
            </w:pPr>
            <w:r w:rsidRPr="0067507D">
              <w:t>Commingle</w:t>
            </w:r>
          </w:p>
        </w:tc>
        <w:tc>
          <w:tcPr>
            <w:cnfStyle w:val="000010000000" w:firstRow="0" w:lastRow="0" w:firstColumn="0" w:lastColumn="0" w:oddVBand="1" w:evenVBand="0" w:oddHBand="0" w:evenHBand="0" w:firstRowFirstColumn="0" w:firstRowLastColumn="0" w:lastRowFirstColumn="0" w:lastRowLastColumn="0"/>
            <w:tcW w:w="1011" w:type="dxa"/>
          </w:tcPr>
          <w:p w14:paraId="2C96BB64" w14:textId="77777777" w:rsidR="00B93BEE" w:rsidRPr="0067507D" w:rsidRDefault="00B93BEE">
            <w:pPr>
              <w:pStyle w:val="Tabletextright"/>
            </w:pPr>
            <w:r w:rsidRPr="0067507D">
              <w:t>4 327</w:t>
            </w:r>
          </w:p>
        </w:tc>
        <w:tc>
          <w:tcPr>
            <w:cnfStyle w:val="000001000000" w:firstRow="0" w:lastRow="0" w:firstColumn="0" w:lastColumn="0" w:oddVBand="0" w:evenVBand="1" w:oddHBand="0" w:evenHBand="0" w:firstRowFirstColumn="0" w:firstRowLastColumn="0" w:lastRowFirstColumn="0" w:lastRowLastColumn="0"/>
            <w:tcW w:w="792" w:type="dxa"/>
          </w:tcPr>
          <w:p w14:paraId="2D9FA852" w14:textId="77777777" w:rsidR="00B93BEE" w:rsidRPr="0067507D" w:rsidRDefault="00B93BEE">
            <w:pPr>
              <w:pStyle w:val="Tabletextright"/>
              <w:rPr>
                <w:highlight w:val="yellow"/>
              </w:rPr>
            </w:pPr>
            <w:r w:rsidRPr="0067507D">
              <w:t>12.4</w:t>
            </w:r>
          </w:p>
        </w:tc>
        <w:tc>
          <w:tcPr>
            <w:cnfStyle w:val="000010000000" w:firstRow="0" w:lastRow="0" w:firstColumn="0" w:lastColumn="0" w:oddVBand="1" w:evenVBand="0" w:oddHBand="0" w:evenHBand="0" w:firstRowFirstColumn="0" w:firstRowLastColumn="0" w:lastRowFirstColumn="0" w:lastRowLastColumn="0"/>
            <w:tcW w:w="1008" w:type="dxa"/>
          </w:tcPr>
          <w:p w14:paraId="61092615" w14:textId="77777777" w:rsidR="00B93BEE" w:rsidRPr="0067507D" w:rsidRDefault="00B93BEE">
            <w:pPr>
              <w:pStyle w:val="Tabletextright"/>
              <w:rPr>
                <w:highlight w:val="yellow"/>
              </w:rPr>
            </w:pPr>
            <w:r w:rsidRPr="0067507D">
              <w:t>863</w:t>
            </w:r>
          </w:p>
        </w:tc>
        <w:tc>
          <w:tcPr>
            <w:cnfStyle w:val="000001000000" w:firstRow="0" w:lastRow="0" w:firstColumn="0" w:lastColumn="0" w:oddVBand="0" w:evenVBand="1" w:oddHBand="0" w:evenHBand="0" w:firstRowFirstColumn="0" w:firstRowLastColumn="0" w:lastRowFirstColumn="0" w:lastRowLastColumn="0"/>
            <w:tcW w:w="792" w:type="dxa"/>
          </w:tcPr>
          <w:p w14:paraId="3706DABB" w14:textId="77777777" w:rsidR="00B93BEE" w:rsidRPr="0067507D" w:rsidRDefault="00B93BEE">
            <w:pPr>
              <w:pStyle w:val="Tabletextright"/>
              <w:rPr>
                <w:highlight w:val="yellow"/>
              </w:rPr>
            </w:pPr>
            <w:r w:rsidRPr="0067507D">
              <w:t>4.4</w:t>
            </w:r>
          </w:p>
        </w:tc>
        <w:tc>
          <w:tcPr>
            <w:cnfStyle w:val="000010000000" w:firstRow="0" w:lastRow="0" w:firstColumn="0" w:lastColumn="0" w:oddVBand="1" w:evenVBand="0" w:oddHBand="0" w:evenHBand="0" w:firstRowFirstColumn="0" w:firstRowLastColumn="0" w:lastRowFirstColumn="0" w:lastRowLastColumn="0"/>
            <w:tcW w:w="1004" w:type="dxa"/>
          </w:tcPr>
          <w:p w14:paraId="1D020F61" w14:textId="77777777" w:rsidR="00B93BEE" w:rsidRPr="0067507D" w:rsidRDefault="00B93BEE">
            <w:pPr>
              <w:pStyle w:val="Tabletextright"/>
              <w:rPr>
                <w:highlight w:val="yellow"/>
              </w:rPr>
            </w:pPr>
            <w:r w:rsidRPr="0067507D">
              <w:t>840</w:t>
            </w:r>
          </w:p>
        </w:tc>
        <w:tc>
          <w:tcPr>
            <w:cnfStyle w:val="000001000000" w:firstRow="0" w:lastRow="0" w:firstColumn="0" w:lastColumn="0" w:oddVBand="0" w:evenVBand="1" w:oddHBand="0" w:evenHBand="0" w:firstRowFirstColumn="0" w:firstRowLastColumn="0" w:lastRowFirstColumn="0" w:lastRowLastColumn="0"/>
            <w:tcW w:w="796" w:type="dxa"/>
          </w:tcPr>
          <w:p w14:paraId="7314AEBD" w14:textId="77777777" w:rsidR="00B93BEE" w:rsidRPr="0067507D" w:rsidRDefault="00B93BEE">
            <w:pPr>
              <w:pStyle w:val="Tabletextright"/>
              <w:rPr>
                <w:highlight w:val="yellow"/>
              </w:rPr>
            </w:pPr>
            <w:r w:rsidRPr="0067507D">
              <w:t>2.6</w:t>
            </w:r>
          </w:p>
        </w:tc>
      </w:tr>
      <w:tr w:rsidR="009632A4" w:rsidRPr="0067507D" w14:paraId="33F12422" w14:textId="77777777">
        <w:tc>
          <w:tcPr>
            <w:cnfStyle w:val="001000000000" w:firstRow="0" w:lastRow="0" w:firstColumn="1" w:lastColumn="0" w:oddVBand="0" w:evenVBand="0" w:oddHBand="0" w:evenHBand="0" w:firstRowFirstColumn="0" w:firstRowLastColumn="0" w:lastRowFirstColumn="0" w:lastRowLastColumn="0"/>
            <w:tcW w:w="3972" w:type="dxa"/>
          </w:tcPr>
          <w:p w14:paraId="09C23E0F" w14:textId="77777777" w:rsidR="00B93BEE" w:rsidRPr="0067507D" w:rsidRDefault="00B93BEE">
            <w:pPr>
              <w:pStyle w:val="Tabletext"/>
              <w:ind w:left="216"/>
            </w:pPr>
            <w:r w:rsidRPr="0067507D">
              <w:t>Cardboard</w:t>
            </w:r>
          </w:p>
        </w:tc>
        <w:tc>
          <w:tcPr>
            <w:cnfStyle w:val="000010000000" w:firstRow="0" w:lastRow="0" w:firstColumn="0" w:lastColumn="0" w:oddVBand="1" w:evenVBand="0" w:oddHBand="0" w:evenHBand="0" w:firstRowFirstColumn="0" w:firstRowLastColumn="0" w:lastRowFirstColumn="0" w:lastRowLastColumn="0"/>
            <w:tcW w:w="1011" w:type="dxa"/>
          </w:tcPr>
          <w:p w14:paraId="7BD36F7B" w14:textId="77777777" w:rsidR="00B93BEE" w:rsidRPr="0067507D" w:rsidRDefault="00B93BEE">
            <w:pPr>
              <w:pStyle w:val="Tabletextright"/>
            </w:pPr>
            <w:r w:rsidRPr="0067507D">
              <w:t>15 626</w:t>
            </w:r>
          </w:p>
        </w:tc>
        <w:tc>
          <w:tcPr>
            <w:cnfStyle w:val="000001000000" w:firstRow="0" w:lastRow="0" w:firstColumn="0" w:lastColumn="0" w:oddVBand="0" w:evenVBand="1" w:oddHBand="0" w:evenHBand="0" w:firstRowFirstColumn="0" w:firstRowLastColumn="0" w:lastRowFirstColumn="0" w:lastRowLastColumn="0"/>
            <w:tcW w:w="792" w:type="dxa"/>
          </w:tcPr>
          <w:p w14:paraId="7968BE10" w14:textId="77777777" w:rsidR="00B93BEE" w:rsidRPr="0067507D" w:rsidRDefault="00B93BEE">
            <w:pPr>
              <w:pStyle w:val="Tabletextright"/>
            </w:pPr>
            <w:r w:rsidRPr="0067507D">
              <w:t>44.8</w:t>
            </w:r>
          </w:p>
        </w:tc>
        <w:tc>
          <w:tcPr>
            <w:cnfStyle w:val="000010000000" w:firstRow="0" w:lastRow="0" w:firstColumn="0" w:lastColumn="0" w:oddVBand="1" w:evenVBand="0" w:oddHBand="0" w:evenHBand="0" w:firstRowFirstColumn="0" w:firstRowLastColumn="0" w:lastRowFirstColumn="0" w:lastRowLastColumn="0"/>
            <w:tcW w:w="1008" w:type="dxa"/>
          </w:tcPr>
          <w:p w14:paraId="425059BC" w14:textId="77777777" w:rsidR="00B93BEE" w:rsidRPr="0067507D" w:rsidRDefault="00B93BEE">
            <w:pPr>
              <w:pStyle w:val="Tabletextright"/>
              <w:rPr>
                <w:highlight w:val="yellow"/>
              </w:rPr>
            </w:pPr>
            <w:r w:rsidRPr="0067507D">
              <w:t>3 207</w:t>
            </w:r>
          </w:p>
        </w:tc>
        <w:tc>
          <w:tcPr>
            <w:cnfStyle w:val="000001000000" w:firstRow="0" w:lastRow="0" w:firstColumn="0" w:lastColumn="0" w:oddVBand="0" w:evenVBand="1" w:oddHBand="0" w:evenHBand="0" w:firstRowFirstColumn="0" w:firstRowLastColumn="0" w:lastRowFirstColumn="0" w:lastRowLastColumn="0"/>
            <w:tcW w:w="792" w:type="dxa"/>
          </w:tcPr>
          <w:p w14:paraId="1F8F46C2" w14:textId="77777777" w:rsidR="00B93BEE" w:rsidRPr="0067507D" w:rsidRDefault="00B93BEE">
            <w:pPr>
              <w:pStyle w:val="Tabletextright"/>
              <w:rPr>
                <w:highlight w:val="yellow"/>
              </w:rPr>
            </w:pPr>
            <w:r w:rsidRPr="0067507D">
              <w:t>16.3</w:t>
            </w:r>
          </w:p>
        </w:tc>
        <w:tc>
          <w:tcPr>
            <w:cnfStyle w:val="000010000000" w:firstRow="0" w:lastRow="0" w:firstColumn="0" w:lastColumn="0" w:oddVBand="1" w:evenVBand="0" w:oddHBand="0" w:evenHBand="0" w:firstRowFirstColumn="0" w:firstRowLastColumn="0" w:lastRowFirstColumn="0" w:lastRowLastColumn="0"/>
            <w:tcW w:w="1004" w:type="dxa"/>
          </w:tcPr>
          <w:p w14:paraId="569A4290" w14:textId="77777777" w:rsidR="00B93BEE" w:rsidRPr="0067507D" w:rsidRDefault="00B93BEE">
            <w:pPr>
              <w:pStyle w:val="Tabletextright"/>
              <w:rPr>
                <w:highlight w:val="yellow"/>
              </w:rPr>
            </w:pPr>
            <w:r w:rsidRPr="0067507D">
              <w:t>4 455</w:t>
            </w:r>
          </w:p>
        </w:tc>
        <w:tc>
          <w:tcPr>
            <w:cnfStyle w:val="000001000000" w:firstRow="0" w:lastRow="0" w:firstColumn="0" w:lastColumn="0" w:oddVBand="0" w:evenVBand="1" w:oddHBand="0" w:evenHBand="0" w:firstRowFirstColumn="0" w:firstRowLastColumn="0" w:lastRowFirstColumn="0" w:lastRowLastColumn="0"/>
            <w:tcW w:w="796" w:type="dxa"/>
          </w:tcPr>
          <w:p w14:paraId="76F87017" w14:textId="77777777" w:rsidR="00B93BEE" w:rsidRPr="0067507D" w:rsidRDefault="00B93BEE">
            <w:pPr>
              <w:pStyle w:val="Tabletextright"/>
              <w:rPr>
                <w:highlight w:val="yellow"/>
              </w:rPr>
            </w:pPr>
            <w:r w:rsidRPr="0067507D">
              <w:t>13.7</w:t>
            </w:r>
          </w:p>
        </w:tc>
      </w:tr>
      <w:tr w:rsidR="009632A4" w:rsidRPr="0067507D" w14:paraId="6230021C" w14:textId="77777777">
        <w:tc>
          <w:tcPr>
            <w:cnfStyle w:val="001000000000" w:firstRow="0" w:lastRow="0" w:firstColumn="1" w:lastColumn="0" w:oddVBand="0" w:evenVBand="0" w:oddHBand="0" w:evenHBand="0" w:firstRowFirstColumn="0" w:firstRowLastColumn="0" w:lastRowFirstColumn="0" w:lastRowLastColumn="0"/>
            <w:tcW w:w="3972" w:type="dxa"/>
          </w:tcPr>
          <w:p w14:paraId="4503F6E8" w14:textId="77777777" w:rsidR="00B93BEE" w:rsidRPr="0067507D" w:rsidRDefault="00B93BEE">
            <w:pPr>
              <w:pStyle w:val="Tabletext"/>
              <w:ind w:left="216"/>
            </w:pPr>
            <w:r w:rsidRPr="0067507D">
              <w:t>Secure Document Disposal</w:t>
            </w:r>
          </w:p>
        </w:tc>
        <w:tc>
          <w:tcPr>
            <w:cnfStyle w:val="000010000000" w:firstRow="0" w:lastRow="0" w:firstColumn="0" w:lastColumn="0" w:oddVBand="1" w:evenVBand="0" w:oddHBand="0" w:evenHBand="0" w:firstRowFirstColumn="0" w:firstRowLastColumn="0" w:lastRowFirstColumn="0" w:lastRowLastColumn="0"/>
            <w:tcW w:w="1011" w:type="dxa"/>
          </w:tcPr>
          <w:p w14:paraId="4423F1DB" w14:textId="77777777" w:rsidR="00B93BEE" w:rsidRPr="0067507D" w:rsidRDefault="00B93BEE">
            <w:pPr>
              <w:pStyle w:val="Tabletextright"/>
            </w:pPr>
            <w:r w:rsidRPr="0067507D">
              <w:t>3 061</w:t>
            </w:r>
          </w:p>
        </w:tc>
        <w:tc>
          <w:tcPr>
            <w:cnfStyle w:val="000001000000" w:firstRow="0" w:lastRow="0" w:firstColumn="0" w:lastColumn="0" w:oddVBand="0" w:evenVBand="1" w:oddHBand="0" w:evenHBand="0" w:firstRowFirstColumn="0" w:firstRowLastColumn="0" w:lastRowFirstColumn="0" w:lastRowLastColumn="0"/>
            <w:tcW w:w="792" w:type="dxa"/>
          </w:tcPr>
          <w:p w14:paraId="320234A7" w14:textId="77777777" w:rsidR="00B93BEE" w:rsidRPr="0067507D" w:rsidRDefault="00B93BEE">
            <w:pPr>
              <w:pStyle w:val="Tabletextright"/>
            </w:pPr>
            <w:r w:rsidRPr="0067507D">
              <w:t>8.8</w:t>
            </w:r>
          </w:p>
        </w:tc>
        <w:tc>
          <w:tcPr>
            <w:cnfStyle w:val="000010000000" w:firstRow="0" w:lastRow="0" w:firstColumn="0" w:lastColumn="0" w:oddVBand="1" w:evenVBand="0" w:oddHBand="0" w:evenHBand="0" w:firstRowFirstColumn="0" w:firstRowLastColumn="0" w:lastRowFirstColumn="0" w:lastRowLastColumn="0"/>
            <w:tcW w:w="1008" w:type="dxa"/>
          </w:tcPr>
          <w:p w14:paraId="19AAB932" w14:textId="77777777" w:rsidR="00B93BEE" w:rsidRPr="0067507D" w:rsidRDefault="00B93BEE">
            <w:pPr>
              <w:pStyle w:val="Tabletextright"/>
            </w:pPr>
            <w:r w:rsidRPr="0067507D">
              <w:t>nc</w:t>
            </w:r>
          </w:p>
        </w:tc>
        <w:tc>
          <w:tcPr>
            <w:cnfStyle w:val="000001000000" w:firstRow="0" w:lastRow="0" w:firstColumn="0" w:lastColumn="0" w:oddVBand="0" w:evenVBand="1" w:oddHBand="0" w:evenHBand="0" w:firstRowFirstColumn="0" w:firstRowLastColumn="0" w:lastRowFirstColumn="0" w:lastRowLastColumn="0"/>
            <w:tcW w:w="792" w:type="dxa"/>
          </w:tcPr>
          <w:p w14:paraId="458F746D" w14:textId="77777777" w:rsidR="00B93BEE" w:rsidRPr="0067507D" w:rsidRDefault="00B93BEE">
            <w:pPr>
              <w:pStyle w:val="Tabletextright"/>
            </w:pPr>
            <w:r w:rsidRPr="0067507D">
              <w:t>nc</w:t>
            </w:r>
          </w:p>
        </w:tc>
        <w:tc>
          <w:tcPr>
            <w:cnfStyle w:val="000010000000" w:firstRow="0" w:lastRow="0" w:firstColumn="0" w:lastColumn="0" w:oddVBand="1" w:evenVBand="0" w:oddHBand="0" w:evenHBand="0" w:firstRowFirstColumn="0" w:firstRowLastColumn="0" w:lastRowFirstColumn="0" w:lastRowLastColumn="0"/>
            <w:tcW w:w="1004" w:type="dxa"/>
          </w:tcPr>
          <w:p w14:paraId="2B725B75" w14:textId="77777777" w:rsidR="00B93BEE" w:rsidRPr="0067507D" w:rsidRDefault="00B93BEE">
            <w:pPr>
              <w:pStyle w:val="Tabletextright"/>
            </w:pPr>
            <w:r w:rsidRPr="0067507D">
              <w:t>nc</w:t>
            </w:r>
          </w:p>
        </w:tc>
        <w:tc>
          <w:tcPr>
            <w:cnfStyle w:val="000001000000" w:firstRow="0" w:lastRow="0" w:firstColumn="0" w:lastColumn="0" w:oddVBand="0" w:evenVBand="1" w:oddHBand="0" w:evenHBand="0" w:firstRowFirstColumn="0" w:firstRowLastColumn="0" w:lastRowFirstColumn="0" w:lastRowLastColumn="0"/>
            <w:tcW w:w="796" w:type="dxa"/>
          </w:tcPr>
          <w:p w14:paraId="5D2B5385" w14:textId="77777777" w:rsidR="00B93BEE" w:rsidRPr="0067507D" w:rsidRDefault="00B93BEE">
            <w:pPr>
              <w:pStyle w:val="Tabletextright"/>
            </w:pPr>
            <w:r w:rsidRPr="0067507D">
              <w:t>nc</w:t>
            </w:r>
          </w:p>
        </w:tc>
      </w:tr>
      <w:tr w:rsidR="009632A4" w:rsidRPr="0067507D" w14:paraId="30B10782" w14:textId="77777777">
        <w:tc>
          <w:tcPr>
            <w:cnfStyle w:val="001000000000" w:firstRow="0" w:lastRow="0" w:firstColumn="1" w:lastColumn="0" w:oddVBand="0" w:evenVBand="0" w:oddHBand="0" w:evenHBand="0" w:firstRowFirstColumn="0" w:firstRowLastColumn="0" w:lastRowFirstColumn="0" w:lastRowLastColumn="0"/>
            <w:tcW w:w="3972" w:type="dxa"/>
          </w:tcPr>
          <w:p w14:paraId="66CDE27B" w14:textId="77777777" w:rsidR="00B93BEE" w:rsidRPr="0067507D" w:rsidRDefault="00B93BEE">
            <w:pPr>
              <w:pStyle w:val="Tabletext"/>
            </w:pPr>
            <w:r w:rsidRPr="0067507D">
              <w:t>Other</w:t>
            </w:r>
          </w:p>
        </w:tc>
        <w:tc>
          <w:tcPr>
            <w:cnfStyle w:val="000010000000" w:firstRow="0" w:lastRow="0" w:firstColumn="0" w:lastColumn="0" w:oddVBand="1" w:evenVBand="0" w:oddHBand="0" w:evenHBand="0" w:firstRowFirstColumn="0" w:firstRowLastColumn="0" w:lastRowFirstColumn="0" w:lastRowLastColumn="0"/>
            <w:tcW w:w="1011" w:type="dxa"/>
          </w:tcPr>
          <w:p w14:paraId="0376819F" w14:textId="77777777" w:rsidR="00B93BEE" w:rsidRPr="0067507D" w:rsidRDefault="00B93BEE">
            <w:pPr>
              <w:pStyle w:val="Tabletextright"/>
            </w:pPr>
            <w:r w:rsidRPr="0067507D">
              <w:t>1 092</w:t>
            </w:r>
          </w:p>
        </w:tc>
        <w:tc>
          <w:tcPr>
            <w:cnfStyle w:val="000001000000" w:firstRow="0" w:lastRow="0" w:firstColumn="0" w:lastColumn="0" w:oddVBand="0" w:evenVBand="1" w:oddHBand="0" w:evenHBand="0" w:firstRowFirstColumn="0" w:firstRowLastColumn="0" w:lastRowFirstColumn="0" w:lastRowLastColumn="0"/>
            <w:tcW w:w="792" w:type="dxa"/>
          </w:tcPr>
          <w:p w14:paraId="74576AAE" w14:textId="77777777" w:rsidR="00B93BEE" w:rsidRPr="0067507D" w:rsidRDefault="00B93BEE">
            <w:pPr>
              <w:pStyle w:val="Tabletextright"/>
            </w:pPr>
            <w:r w:rsidRPr="0067507D">
              <w:t>3.1</w:t>
            </w:r>
          </w:p>
        </w:tc>
        <w:tc>
          <w:tcPr>
            <w:cnfStyle w:val="000010000000" w:firstRow="0" w:lastRow="0" w:firstColumn="0" w:lastColumn="0" w:oddVBand="1" w:evenVBand="0" w:oddHBand="0" w:evenHBand="0" w:firstRowFirstColumn="0" w:firstRowLastColumn="0" w:lastRowFirstColumn="0" w:lastRowLastColumn="0"/>
            <w:tcW w:w="1008" w:type="dxa"/>
          </w:tcPr>
          <w:p w14:paraId="58A47EB5" w14:textId="77777777" w:rsidR="00B93BEE" w:rsidRPr="0067507D" w:rsidRDefault="00B93BEE">
            <w:pPr>
              <w:pStyle w:val="Tabletextright"/>
              <w:rPr>
                <w:highlight w:val="yellow"/>
              </w:rPr>
            </w:pPr>
            <w:r w:rsidRPr="0067507D">
              <w:t>772</w:t>
            </w:r>
          </w:p>
        </w:tc>
        <w:tc>
          <w:tcPr>
            <w:cnfStyle w:val="000001000000" w:firstRow="0" w:lastRow="0" w:firstColumn="0" w:lastColumn="0" w:oddVBand="0" w:evenVBand="1" w:oddHBand="0" w:evenHBand="0" w:firstRowFirstColumn="0" w:firstRowLastColumn="0" w:lastRowFirstColumn="0" w:lastRowLastColumn="0"/>
            <w:tcW w:w="792" w:type="dxa"/>
          </w:tcPr>
          <w:p w14:paraId="399DDC5E" w14:textId="77777777" w:rsidR="00B93BEE" w:rsidRPr="0067507D" w:rsidRDefault="00B93BEE">
            <w:pPr>
              <w:pStyle w:val="Tabletextright"/>
              <w:rPr>
                <w:highlight w:val="yellow"/>
              </w:rPr>
            </w:pPr>
            <w:r w:rsidRPr="0067507D">
              <w:t>3.9</w:t>
            </w:r>
          </w:p>
        </w:tc>
        <w:tc>
          <w:tcPr>
            <w:cnfStyle w:val="000010000000" w:firstRow="0" w:lastRow="0" w:firstColumn="0" w:lastColumn="0" w:oddVBand="1" w:evenVBand="0" w:oddHBand="0" w:evenHBand="0" w:firstRowFirstColumn="0" w:firstRowLastColumn="0" w:lastRowFirstColumn="0" w:lastRowLastColumn="0"/>
            <w:tcW w:w="1004" w:type="dxa"/>
          </w:tcPr>
          <w:p w14:paraId="781BCA3A" w14:textId="77777777" w:rsidR="00B93BEE" w:rsidRPr="0067507D" w:rsidRDefault="00B93BEE">
            <w:pPr>
              <w:pStyle w:val="Tabletextright"/>
              <w:rPr>
                <w:highlight w:val="yellow"/>
              </w:rPr>
            </w:pPr>
            <w:r w:rsidRPr="0067507D">
              <w:t>6 224</w:t>
            </w:r>
          </w:p>
        </w:tc>
        <w:tc>
          <w:tcPr>
            <w:cnfStyle w:val="000001000000" w:firstRow="0" w:lastRow="0" w:firstColumn="0" w:lastColumn="0" w:oddVBand="0" w:evenVBand="1" w:oddHBand="0" w:evenHBand="0" w:firstRowFirstColumn="0" w:firstRowLastColumn="0" w:lastRowFirstColumn="0" w:lastRowLastColumn="0"/>
            <w:tcW w:w="796" w:type="dxa"/>
          </w:tcPr>
          <w:p w14:paraId="5D2A093B" w14:textId="77777777" w:rsidR="00B93BEE" w:rsidRPr="0067507D" w:rsidRDefault="00B93BEE">
            <w:pPr>
              <w:pStyle w:val="Tabletextright"/>
              <w:rPr>
                <w:highlight w:val="yellow"/>
              </w:rPr>
            </w:pPr>
            <w:r w:rsidRPr="0067507D">
              <w:t>19.2</w:t>
            </w:r>
          </w:p>
        </w:tc>
      </w:tr>
      <w:tr w:rsidR="009632A4" w:rsidRPr="0067507D" w14:paraId="58ED2BF2" w14:textId="77777777">
        <w:tc>
          <w:tcPr>
            <w:cnfStyle w:val="001000000000" w:firstRow="0" w:lastRow="0" w:firstColumn="1" w:lastColumn="0" w:oddVBand="0" w:evenVBand="0" w:oddHBand="0" w:evenHBand="0" w:firstRowFirstColumn="0" w:firstRowLastColumn="0" w:lastRowFirstColumn="0" w:lastRowLastColumn="0"/>
            <w:tcW w:w="3972" w:type="dxa"/>
          </w:tcPr>
          <w:p w14:paraId="1279CF5C" w14:textId="77777777" w:rsidR="00B93BEE" w:rsidRPr="0067507D" w:rsidRDefault="00B93BEE">
            <w:pPr>
              <w:pStyle w:val="Tabletext"/>
              <w:ind w:left="216"/>
            </w:pPr>
            <w:r w:rsidRPr="0067507D">
              <w:t>Food and garden organics (FOGO)</w:t>
            </w:r>
          </w:p>
        </w:tc>
        <w:tc>
          <w:tcPr>
            <w:cnfStyle w:val="000010000000" w:firstRow="0" w:lastRow="0" w:firstColumn="0" w:lastColumn="0" w:oddVBand="1" w:evenVBand="0" w:oddHBand="0" w:evenHBand="0" w:firstRowFirstColumn="0" w:firstRowLastColumn="0" w:lastRowFirstColumn="0" w:lastRowLastColumn="0"/>
            <w:tcW w:w="1011" w:type="dxa"/>
          </w:tcPr>
          <w:p w14:paraId="6614BAAF" w14:textId="77777777" w:rsidR="00B93BEE" w:rsidRPr="0067507D" w:rsidRDefault="00B93BEE">
            <w:pPr>
              <w:pStyle w:val="Tabletextright"/>
            </w:pPr>
            <w:r w:rsidRPr="0067507D">
              <w:t>1 092</w:t>
            </w:r>
          </w:p>
        </w:tc>
        <w:tc>
          <w:tcPr>
            <w:cnfStyle w:val="000001000000" w:firstRow="0" w:lastRow="0" w:firstColumn="0" w:lastColumn="0" w:oddVBand="0" w:evenVBand="1" w:oddHBand="0" w:evenHBand="0" w:firstRowFirstColumn="0" w:firstRowLastColumn="0" w:lastRowFirstColumn="0" w:lastRowLastColumn="0"/>
            <w:tcW w:w="792" w:type="dxa"/>
          </w:tcPr>
          <w:p w14:paraId="444AC99B" w14:textId="77777777" w:rsidR="00B93BEE" w:rsidRPr="0067507D" w:rsidRDefault="00B93BEE">
            <w:pPr>
              <w:pStyle w:val="Tabletextright"/>
            </w:pPr>
            <w:r w:rsidRPr="0067507D">
              <w:t>3.1</w:t>
            </w:r>
          </w:p>
        </w:tc>
        <w:tc>
          <w:tcPr>
            <w:cnfStyle w:val="000010000000" w:firstRow="0" w:lastRow="0" w:firstColumn="0" w:lastColumn="0" w:oddVBand="1" w:evenVBand="0" w:oddHBand="0" w:evenHBand="0" w:firstRowFirstColumn="0" w:firstRowLastColumn="0" w:lastRowFirstColumn="0" w:lastRowLastColumn="0"/>
            <w:tcW w:w="1008" w:type="dxa"/>
          </w:tcPr>
          <w:p w14:paraId="042506B8" w14:textId="77777777" w:rsidR="00B93BEE" w:rsidRPr="0067507D" w:rsidRDefault="00B93BEE">
            <w:pPr>
              <w:pStyle w:val="Tabletextright"/>
              <w:rPr>
                <w:highlight w:val="yellow"/>
              </w:rPr>
            </w:pPr>
            <w:r w:rsidRPr="0067507D">
              <w:t>772</w:t>
            </w:r>
          </w:p>
        </w:tc>
        <w:tc>
          <w:tcPr>
            <w:cnfStyle w:val="000001000000" w:firstRow="0" w:lastRow="0" w:firstColumn="0" w:lastColumn="0" w:oddVBand="0" w:evenVBand="1" w:oddHBand="0" w:evenHBand="0" w:firstRowFirstColumn="0" w:firstRowLastColumn="0" w:lastRowFirstColumn="0" w:lastRowLastColumn="0"/>
            <w:tcW w:w="792" w:type="dxa"/>
          </w:tcPr>
          <w:p w14:paraId="1B7F784B" w14:textId="77777777" w:rsidR="00B93BEE" w:rsidRPr="0067507D" w:rsidRDefault="00B93BEE">
            <w:pPr>
              <w:pStyle w:val="Tabletextright"/>
              <w:rPr>
                <w:highlight w:val="yellow"/>
              </w:rPr>
            </w:pPr>
            <w:r w:rsidRPr="0067507D">
              <w:t>3.9</w:t>
            </w:r>
          </w:p>
        </w:tc>
        <w:tc>
          <w:tcPr>
            <w:cnfStyle w:val="000010000000" w:firstRow="0" w:lastRow="0" w:firstColumn="0" w:lastColumn="0" w:oddVBand="1" w:evenVBand="0" w:oddHBand="0" w:evenHBand="0" w:firstRowFirstColumn="0" w:firstRowLastColumn="0" w:lastRowFirstColumn="0" w:lastRowLastColumn="0"/>
            <w:tcW w:w="1004" w:type="dxa"/>
          </w:tcPr>
          <w:p w14:paraId="0436989C" w14:textId="77777777" w:rsidR="00B93BEE" w:rsidRPr="0067507D" w:rsidRDefault="00B93BEE">
            <w:pPr>
              <w:pStyle w:val="Tabletextright"/>
              <w:rPr>
                <w:highlight w:val="yellow"/>
              </w:rPr>
            </w:pPr>
            <w:r w:rsidRPr="0067507D">
              <w:t>6 224</w:t>
            </w:r>
          </w:p>
        </w:tc>
        <w:tc>
          <w:tcPr>
            <w:cnfStyle w:val="000001000000" w:firstRow="0" w:lastRow="0" w:firstColumn="0" w:lastColumn="0" w:oddVBand="0" w:evenVBand="1" w:oddHBand="0" w:evenHBand="0" w:firstRowFirstColumn="0" w:firstRowLastColumn="0" w:lastRowFirstColumn="0" w:lastRowLastColumn="0"/>
            <w:tcW w:w="796" w:type="dxa"/>
          </w:tcPr>
          <w:p w14:paraId="3D895776" w14:textId="77777777" w:rsidR="00B93BEE" w:rsidRPr="0067507D" w:rsidRDefault="00B93BEE">
            <w:pPr>
              <w:pStyle w:val="Tabletextright"/>
              <w:rPr>
                <w:highlight w:val="yellow"/>
              </w:rPr>
            </w:pPr>
            <w:r w:rsidRPr="0067507D">
              <w:t>19.2</w:t>
            </w:r>
          </w:p>
        </w:tc>
      </w:tr>
      <w:tr w:rsidR="009632A4" w:rsidRPr="0067507D" w14:paraId="3E26AF05" w14:textId="77777777">
        <w:tc>
          <w:tcPr>
            <w:cnfStyle w:val="001000000000" w:firstRow="0" w:lastRow="0" w:firstColumn="1" w:lastColumn="0" w:oddVBand="0" w:evenVBand="0" w:oddHBand="0" w:evenHBand="0" w:firstRowFirstColumn="0" w:firstRowLastColumn="0" w:lastRowFirstColumn="0" w:lastRowLastColumn="0"/>
            <w:tcW w:w="3972" w:type="dxa"/>
          </w:tcPr>
          <w:p w14:paraId="1DBBDA34" w14:textId="77777777" w:rsidR="00B93BEE" w:rsidRPr="0067507D" w:rsidRDefault="00B93BEE">
            <w:pPr>
              <w:pStyle w:val="Tabletextbold"/>
            </w:pPr>
            <w:r w:rsidRPr="0067507D">
              <w:t xml:space="preserve">Percentage of office sites which are covered by dedicated collection services for </w:t>
            </w:r>
            <w:r w:rsidRPr="0067507D">
              <w:rPr>
                <w:rFonts w:asciiTheme="minorHAnsi" w:hAnsiTheme="minorHAnsi"/>
              </w:rPr>
              <w:t>[Indicator WR2]</w:t>
            </w:r>
          </w:p>
        </w:tc>
        <w:tc>
          <w:tcPr>
            <w:cnfStyle w:val="000010000000" w:firstRow="0" w:lastRow="0" w:firstColumn="0" w:lastColumn="0" w:oddVBand="1" w:evenVBand="0" w:oddHBand="0" w:evenHBand="0" w:firstRowFirstColumn="0" w:firstRowLastColumn="0" w:lastRowFirstColumn="0" w:lastRowLastColumn="0"/>
            <w:tcW w:w="1011" w:type="dxa"/>
          </w:tcPr>
          <w:p w14:paraId="4AAEB6F6" w14:textId="77777777" w:rsidR="00B93BEE" w:rsidRPr="0067507D" w:rsidRDefault="00B93BEE" w:rsidP="00970E33">
            <w:pPr>
              <w:pStyle w:val="Tabletextrightbold"/>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2BADCC71" w14:textId="77777777" w:rsidR="00B93BEE" w:rsidRPr="0067507D" w:rsidRDefault="00B93BEE" w:rsidP="00970E33">
            <w:pPr>
              <w:pStyle w:val="Tabletextrightbold"/>
              <w:rPr>
                <w:highlight w:val="yellow"/>
              </w:rPr>
            </w:pPr>
            <w:r w:rsidRPr="0067507D">
              <w:t>–</w:t>
            </w:r>
          </w:p>
        </w:tc>
        <w:tc>
          <w:tcPr>
            <w:cnfStyle w:val="000010000000" w:firstRow="0" w:lastRow="0" w:firstColumn="0" w:lastColumn="0" w:oddVBand="1" w:evenVBand="0" w:oddHBand="0" w:evenHBand="0" w:firstRowFirstColumn="0" w:firstRowLastColumn="0" w:lastRowFirstColumn="0" w:lastRowLastColumn="0"/>
            <w:tcW w:w="1008" w:type="dxa"/>
          </w:tcPr>
          <w:p w14:paraId="4588D30F" w14:textId="77777777" w:rsidR="00B93BEE" w:rsidRPr="0067507D" w:rsidRDefault="00B93BEE" w:rsidP="00970E33">
            <w:pPr>
              <w:pStyle w:val="Tabletextrightbold"/>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2D15AF48" w14:textId="77777777" w:rsidR="00B93BEE" w:rsidRPr="0067507D" w:rsidRDefault="00B93BEE" w:rsidP="00970E33">
            <w:pPr>
              <w:pStyle w:val="Tabletextrightbold"/>
              <w:rPr>
                <w:highlight w:val="yellow"/>
              </w:rPr>
            </w:pPr>
            <w:r w:rsidRPr="0067507D">
              <w:t>–</w:t>
            </w:r>
          </w:p>
        </w:tc>
        <w:tc>
          <w:tcPr>
            <w:cnfStyle w:val="000010000000" w:firstRow="0" w:lastRow="0" w:firstColumn="0" w:lastColumn="0" w:oddVBand="1" w:evenVBand="0" w:oddHBand="0" w:evenHBand="0" w:firstRowFirstColumn="0" w:firstRowLastColumn="0" w:lastRowFirstColumn="0" w:lastRowLastColumn="0"/>
            <w:tcW w:w="1004" w:type="dxa"/>
          </w:tcPr>
          <w:p w14:paraId="33F225EA" w14:textId="77777777" w:rsidR="00B93BEE" w:rsidRPr="0067507D" w:rsidRDefault="00B93BEE" w:rsidP="00970E33">
            <w:pPr>
              <w:pStyle w:val="Tabletextrightbold"/>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6" w:type="dxa"/>
          </w:tcPr>
          <w:p w14:paraId="6BA543CB" w14:textId="77777777" w:rsidR="00B93BEE" w:rsidRPr="0067507D" w:rsidRDefault="00B93BEE" w:rsidP="00970E33">
            <w:pPr>
              <w:pStyle w:val="Tabletextrightbold"/>
              <w:rPr>
                <w:highlight w:val="yellow"/>
              </w:rPr>
            </w:pPr>
            <w:r w:rsidRPr="0067507D">
              <w:t>nc</w:t>
            </w:r>
          </w:p>
        </w:tc>
      </w:tr>
      <w:tr w:rsidR="009632A4" w:rsidRPr="0067507D" w14:paraId="66EC4DF2" w14:textId="77777777">
        <w:tc>
          <w:tcPr>
            <w:cnfStyle w:val="001000000000" w:firstRow="0" w:lastRow="0" w:firstColumn="1" w:lastColumn="0" w:oddVBand="0" w:evenVBand="0" w:oddHBand="0" w:evenHBand="0" w:firstRowFirstColumn="0" w:firstRowLastColumn="0" w:lastRowFirstColumn="0" w:lastRowLastColumn="0"/>
            <w:tcW w:w="3972" w:type="dxa"/>
          </w:tcPr>
          <w:p w14:paraId="6D15186C" w14:textId="77777777" w:rsidR="00B93BEE" w:rsidRPr="0067507D" w:rsidRDefault="00B93BEE">
            <w:pPr>
              <w:pStyle w:val="Tabletext"/>
            </w:pPr>
            <w:r w:rsidRPr="0067507D">
              <w:t xml:space="preserve">Printer cartridges </w:t>
            </w:r>
          </w:p>
        </w:tc>
        <w:tc>
          <w:tcPr>
            <w:cnfStyle w:val="000010000000" w:firstRow="0" w:lastRow="0" w:firstColumn="0" w:lastColumn="0" w:oddVBand="1" w:evenVBand="0" w:oddHBand="0" w:evenHBand="0" w:firstRowFirstColumn="0" w:firstRowLastColumn="0" w:lastRowFirstColumn="0" w:lastRowLastColumn="0"/>
            <w:tcW w:w="1011" w:type="dxa"/>
          </w:tcPr>
          <w:p w14:paraId="5D56DD9F"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6880F64D" w14:textId="77777777" w:rsidR="00B93BEE" w:rsidRPr="0067507D" w:rsidRDefault="00B93BEE">
            <w:pPr>
              <w:pStyle w:val="Tabletextright"/>
              <w:rPr>
                <w:highlight w:val="yellow"/>
              </w:rPr>
            </w:pPr>
            <w:r w:rsidRPr="0067507D">
              <w:t>100.0</w:t>
            </w:r>
          </w:p>
        </w:tc>
        <w:tc>
          <w:tcPr>
            <w:cnfStyle w:val="000010000000" w:firstRow="0" w:lastRow="0" w:firstColumn="0" w:lastColumn="0" w:oddVBand="1" w:evenVBand="0" w:oddHBand="0" w:evenHBand="0" w:firstRowFirstColumn="0" w:firstRowLastColumn="0" w:lastRowFirstColumn="0" w:lastRowLastColumn="0"/>
            <w:tcW w:w="1008" w:type="dxa"/>
          </w:tcPr>
          <w:p w14:paraId="3675C423"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5EF23639" w14:textId="77777777" w:rsidR="00B93BEE" w:rsidRPr="0067507D" w:rsidRDefault="00B93BEE">
            <w:pPr>
              <w:pStyle w:val="Tabletextright"/>
              <w:rPr>
                <w:highlight w:val="yellow"/>
              </w:rPr>
            </w:pPr>
            <w:r w:rsidRPr="0067507D">
              <w:t>100.0</w:t>
            </w:r>
          </w:p>
        </w:tc>
        <w:tc>
          <w:tcPr>
            <w:cnfStyle w:val="000010000000" w:firstRow="0" w:lastRow="0" w:firstColumn="0" w:lastColumn="0" w:oddVBand="1" w:evenVBand="0" w:oddHBand="0" w:evenHBand="0" w:firstRowFirstColumn="0" w:firstRowLastColumn="0" w:lastRowFirstColumn="0" w:lastRowLastColumn="0"/>
            <w:tcW w:w="1004" w:type="dxa"/>
          </w:tcPr>
          <w:p w14:paraId="0D171BCD"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6" w:type="dxa"/>
          </w:tcPr>
          <w:p w14:paraId="4A923AF3" w14:textId="77777777" w:rsidR="00B93BEE" w:rsidRPr="0067507D" w:rsidRDefault="00B93BEE">
            <w:pPr>
              <w:pStyle w:val="Tabletextright"/>
              <w:rPr>
                <w:highlight w:val="yellow"/>
              </w:rPr>
            </w:pPr>
            <w:r w:rsidRPr="0067507D">
              <w:t>nc</w:t>
            </w:r>
          </w:p>
        </w:tc>
      </w:tr>
      <w:tr w:rsidR="009632A4" w:rsidRPr="0067507D" w14:paraId="4ACF05CF" w14:textId="77777777">
        <w:tc>
          <w:tcPr>
            <w:cnfStyle w:val="001000000000" w:firstRow="0" w:lastRow="0" w:firstColumn="1" w:lastColumn="0" w:oddVBand="0" w:evenVBand="0" w:oddHBand="0" w:evenHBand="0" w:firstRowFirstColumn="0" w:firstRowLastColumn="0" w:lastRowFirstColumn="0" w:lastRowLastColumn="0"/>
            <w:tcW w:w="3972" w:type="dxa"/>
          </w:tcPr>
          <w:p w14:paraId="12773CAB" w14:textId="4AD048A7" w:rsidR="00B93BEE" w:rsidRPr="0067507D" w:rsidRDefault="00B93BEE">
            <w:pPr>
              <w:pStyle w:val="Tabletext"/>
            </w:pPr>
            <w:r w:rsidRPr="0067507D">
              <w:t xml:space="preserve">Batteries </w:t>
            </w:r>
          </w:p>
        </w:tc>
        <w:tc>
          <w:tcPr>
            <w:cnfStyle w:val="000010000000" w:firstRow="0" w:lastRow="0" w:firstColumn="0" w:lastColumn="0" w:oddVBand="1" w:evenVBand="0" w:oddHBand="0" w:evenHBand="0" w:firstRowFirstColumn="0" w:firstRowLastColumn="0" w:lastRowFirstColumn="0" w:lastRowLastColumn="0"/>
            <w:tcW w:w="1011" w:type="dxa"/>
          </w:tcPr>
          <w:p w14:paraId="035F3A5A"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774E3415" w14:textId="034DB64C" w:rsidR="00B93BEE" w:rsidRPr="0067507D" w:rsidRDefault="000478C5">
            <w:pPr>
              <w:pStyle w:val="Tabletextright"/>
              <w:rPr>
                <w:highlight w:val="yellow"/>
              </w:rPr>
            </w:pPr>
            <w:r>
              <w:t>–</w:t>
            </w:r>
          </w:p>
        </w:tc>
        <w:tc>
          <w:tcPr>
            <w:cnfStyle w:val="000010000000" w:firstRow="0" w:lastRow="0" w:firstColumn="0" w:lastColumn="0" w:oddVBand="1" w:evenVBand="0" w:oddHBand="0" w:evenHBand="0" w:firstRowFirstColumn="0" w:firstRowLastColumn="0" w:lastRowFirstColumn="0" w:lastRowLastColumn="0"/>
            <w:tcW w:w="1008" w:type="dxa"/>
          </w:tcPr>
          <w:p w14:paraId="0E30FBF9"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083F3A21" w14:textId="49AD46DF" w:rsidR="00B93BEE" w:rsidRPr="0067507D" w:rsidRDefault="000478C5">
            <w:pPr>
              <w:pStyle w:val="Tabletextright"/>
              <w:rPr>
                <w:highlight w:val="yellow"/>
              </w:rPr>
            </w:pPr>
            <w:r>
              <w:t>–</w:t>
            </w:r>
          </w:p>
        </w:tc>
        <w:tc>
          <w:tcPr>
            <w:cnfStyle w:val="000010000000" w:firstRow="0" w:lastRow="0" w:firstColumn="0" w:lastColumn="0" w:oddVBand="1" w:evenVBand="0" w:oddHBand="0" w:evenHBand="0" w:firstRowFirstColumn="0" w:firstRowLastColumn="0" w:lastRowFirstColumn="0" w:lastRowLastColumn="0"/>
            <w:tcW w:w="1004" w:type="dxa"/>
          </w:tcPr>
          <w:p w14:paraId="7CA5C014"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6" w:type="dxa"/>
          </w:tcPr>
          <w:p w14:paraId="7DC6B307" w14:textId="77777777" w:rsidR="00B93BEE" w:rsidRPr="0067507D" w:rsidRDefault="00B93BEE">
            <w:pPr>
              <w:pStyle w:val="Tabletextright"/>
              <w:rPr>
                <w:highlight w:val="yellow"/>
              </w:rPr>
            </w:pPr>
            <w:r w:rsidRPr="0067507D">
              <w:t>nc</w:t>
            </w:r>
          </w:p>
        </w:tc>
      </w:tr>
      <w:tr w:rsidR="009632A4" w:rsidRPr="0067507D" w14:paraId="3BC9545B" w14:textId="77777777">
        <w:tc>
          <w:tcPr>
            <w:cnfStyle w:val="001000000000" w:firstRow="0" w:lastRow="0" w:firstColumn="1" w:lastColumn="0" w:oddVBand="0" w:evenVBand="0" w:oddHBand="0" w:evenHBand="0" w:firstRowFirstColumn="0" w:firstRowLastColumn="0" w:lastRowFirstColumn="0" w:lastRowLastColumn="0"/>
            <w:tcW w:w="3972" w:type="dxa"/>
          </w:tcPr>
          <w:p w14:paraId="031EB031" w14:textId="497D51A2" w:rsidR="00B93BEE" w:rsidRPr="0067507D" w:rsidRDefault="00B93BEE">
            <w:pPr>
              <w:pStyle w:val="Tabletext"/>
            </w:pPr>
            <w:r w:rsidRPr="0067507D">
              <w:t>E</w:t>
            </w:r>
            <w:r w:rsidR="006A5485">
              <w:noBreakHyphen/>
            </w:r>
            <w:r w:rsidRPr="0067507D">
              <w:t xml:space="preserve">waste </w:t>
            </w:r>
          </w:p>
        </w:tc>
        <w:tc>
          <w:tcPr>
            <w:cnfStyle w:val="000010000000" w:firstRow="0" w:lastRow="0" w:firstColumn="0" w:lastColumn="0" w:oddVBand="1" w:evenVBand="0" w:oddHBand="0" w:evenHBand="0" w:firstRowFirstColumn="0" w:firstRowLastColumn="0" w:lastRowFirstColumn="0" w:lastRowLastColumn="0"/>
            <w:tcW w:w="1011" w:type="dxa"/>
          </w:tcPr>
          <w:p w14:paraId="4B5A010C"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56E6FA82" w14:textId="77777777" w:rsidR="00B93BEE" w:rsidRPr="0067507D" w:rsidRDefault="00B93BEE">
            <w:pPr>
              <w:pStyle w:val="Tabletextright"/>
              <w:rPr>
                <w:highlight w:val="yellow"/>
              </w:rPr>
            </w:pPr>
            <w:r w:rsidRPr="0067507D">
              <w:t>100.0</w:t>
            </w:r>
          </w:p>
        </w:tc>
        <w:tc>
          <w:tcPr>
            <w:cnfStyle w:val="000010000000" w:firstRow="0" w:lastRow="0" w:firstColumn="0" w:lastColumn="0" w:oddVBand="1" w:evenVBand="0" w:oddHBand="0" w:evenHBand="0" w:firstRowFirstColumn="0" w:firstRowLastColumn="0" w:lastRowFirstColumn="0" w:lastRowLastColumn="0"/>
            <w:tcW w:w="1008" w:type="dxa"/>
          </w:tcPr>
          <w:p w14:paraId="76253333"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0C2A33E6" w14:textId="77777777" w:rsidR="00B93BEE" w:rsidRPr="0067507D" w:rsidRDefault="00B93BEE">
            <w:pPr>
              <w:pStyle w:val="Tabletextright"/>
              <w:rPr>
                <w:highlight w:val="yellow"/>
              </w:rPr>
            </w:pPr>
            <w:r w:rsidRPr="0067507D">
              <w:t>100.0</w:t>
            </w:r>
          </w:p>
        </w:tc>
        <w:tc>
          <w:tcPr>
            <w:cnfStyle w:val="000010000000" w:firstRow="0" w:lastRow="0" w:firstColumn="0" w:lastColumn="0" w:oddVBand="1" w:evenVBand="0" w:oddHBand="0" w:evenHBand="0" w:firstRowFirstColumn="0" w:firstRowLastColumn="0" w:lastRowFirstColumn="0" w:lastRowLastColumn="0"/>
            <w:tcW w:w="1004" w:type="dxa"/>
          </w:tcPr>
          <w:p w14:paraId="4A15C882"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6" w:type="dxa"/>
          </w:tcPr>
          <w:p w14:paraId="40BA07C8" w14:textId="77777777" w:rsidR="00B93BEE" w:rsidRPr="0067507D" w:rsidRDefault="00B93BEE">
            <w:pPr>
              <w:pStyle w:val="Tabletextright"/>
              <w:rPr>
                <w:highlight w:val="yellow"/>
              </w:rPr>
            </w:pPr>
            <w:r w:rsidRPr="0067507D">
              <w:t>nc</w:t>
            </w:r>
          </w:p>
        </w:tc>
      </w:tr>
      <w:tr w:rsidR="009632A4" w:rsidRPr="0067507D" w14:paraId="347335F6" w14:textId="77777777">
        <w:tc>
          <w:tcPr>
            <w:cnfStyle w:val="001000000000" w:firstRow="0" w:lastRow="0" w:firstColumn="1" w:lastColumn="0" w:oddVBand="0" w:evenVBand="0" w:oddHBand="0" w:evenHBand="0" w:firstRowFirstColumn="0" w:firstRowLastColumn="0" w:lastRowFirstColumn="0" w:lastRowLastColumn="0"/>
            <w:tcW w:w="3972" w:type="dxa"/>
          </w:tcPr>
          <w:p w14:paraId="35B5F296" w14:textId="77777777" w:rsidR="00B93BEE" w:rsidRPr="0067507D" w:rsidRDefault="00B93BEE">
            <w:pPr>
              <w:pStyle w:val="Tabletext"/>
            </w:pPr>
            <w:r w:rsidRPr="0067507D">
              <w:t>Soft plastics</w:t>
            </w:r>
          </w:p>
        </w:tc>
        <w:tc>
          <w:tcPr>
            <w:cnfStyle w:val="000010000000" w:firstRow="0" w:lastRow="0" w:firstColumn="0" w:lastColumn="0" w:oddVBand="1" w:evenVBand="0" w:oddHBand="0" w:evenHBand="0" w:firstRowFirstColumn="0" w:firstRowLastColumn="0" w:lastRowFirstColumn="0" w:lastRowLastColumn="0"/>
            <w:tcW w:w="1011" w:type="dxa"/>
          </w:tcPr>
          <w:p w14:paraId="202841EE"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43760E58" w14:textId="57C892A2" w:rsidR="00B93BEE" w:rsidRPr="0067507D" w:rsidRDefault="000478C5">
            <w:pPr>
              <w:pStyle w:val="Tabletextright"/>
              <w:rPr>
                <w:highlight w:val="yellow"/>
              </w:rPr>
            </w:pPr>
            <w:r>
              <w:t>–</w:t>
            </w:r>
          </w:p>
        </w:tc>
        <w:tc>
          <w:tcPr>
            <w:cnfStyle w:val="000010000000" w:firstRow="0" w:lastRow="0" w:firstColumn="0" w:lastColumn="0" w:oddVBand="1" w:evenVBand="0" w:oddHBand="0" w:evenHBand="0" w:firstRowFirstColumn="0" w:firstRowLastColumn="0" w:lastRowFirstColumn="0" w:lastRowLastColumn="0"/>
            <w:tcW w:w="1008" w:type="dxa"/>
          </w:tcPr>
          <w:p w14:paraId="2311195E"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6206E4FE" w14:textId="6D0C8767" w:rsidR="00B93BEE" w:rsidRPr="0067507D" w:rsidRDefault="000478C5">
            <w:pPr>
              <w:pStyle w:val="Tabletextright"/>
              <w:rPr>
                <w:highlight w:val="yellow"/>
              </w:rPr>
            </w:pPr>
            <w:r>
              <w:t>–</w:t>
            </w:r>
          </w:p>
        </w:tc>
        <w:tc>
          <w:tcPr>
            <w:cnfStyle w:val="000010000000" w:firstRow="0" w:lastRow="0" w:firstColumn="0" w:lastColumn="0" w:oddVBand="1" w:evenVBand="0" w:oddHBand="0" w:evenHBand="0" w:firstRowFirstColumn="0" w:firstRowLastColumn="0" w:lastRowFirstColumn="0" w:lastRowLastColumn="0"/>
            <w:tcW w:w="1004" w:type="dxa"/>
          </w:tcPr>
          <w:p w14:paraId="3D8BC6CE"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6" w:type="dxa"/>
          </w:tcPr>
          <w:p w14:paraId="3656A135" w14:textId="77777777" w:rsidR="00B93BEE" w:rsidRPr="0067507D" w:rsidRDefault="00B93BEE">
            <w:pPr>
              <w:pStyle w:val="Tabletextright"/>
              <w:rPr>
                <w:highlight w:val="yellow"/>
              </w:rPr>
            </w:pPr>
            <w:r w:rsidRPr="0067507D">
              <w:t>nc</w:t>
            </w:r>
          </w:p>
        </w:tc>
      </w:tr>
      <w:tr w:rsidR="009632A4" w:rsidRPr="0067507D" w14:paraId="1FE62072" w14:textId="77777777">
        <w:tc>
          <w:tcPr>
            <w:cnfStyle w:val="001000000000" w:firstRow="0" w:lastRow="0" w:firstColumn="1" w:lastColumn="0" w:oddVBand="0" w:evenVBand="0" w:oddHBand="0" w:evenHBand="0" w:firstRowFirstColumn="0" w:firstRowLastColumn="0" w:lastRowFirstColumn="0" w:lastRowLastColumn="0"/>
            <w:tcW w:w="3972" w:type="dxa"/>
          </w:tcPr>
          <w:p w14:paraId="42E9F1B0" w14:textId="77777777" w:rsidR="00B93BEE" w:rsidRPr="0067507D" w:rsidRDefault="00B93BEE">
            <w:pPr>
              <w:pStyle w:val="Tabletextbold"/>
            </w:pPr>
            <w:r w:rsidRPr="0067507D">
              <w:t xml:space="preserve">Total units of waste disposed of normalised by FTE (kg/FTE) </w:t>
            </w:r>
            <w:r w:rsidRPr="0067507D">
              <w:rPr>
                <w:rFonts w:asciiTheme="minorHAnsi" w:hAnsiTheme="minorHAnsi"/>
              </w:rPr>
              <w:t>[Indicator WR3]</w:t>
            </w:r>
          </w:p>
        </w:tc>
        <w:tc>
          <w:tcPr>
            <w:cnfStyle w:val="000010000000" w:firstRow="0" w:lastRow="0" w:firstColumn="0" w:lastColumn="0" w:oddVBand="1" w:evenVBand="0" w:oddHBand="0" w:evenHBand="0" w:firstRowFirstColumn="0" w:firstRowLastColumn="0" w:lastRowFirstColumn="0" w:lastRowLastColumn="0"/>
            <w:tcW w:w="1011" w:type="dxa"/>
          </w:tcPr>
          <w:p w14:paraId="23E9C62E" w14:textId="77777777" w:rsidR="00B93BEE" w:rsidRPr="0067507D" w:rsidRDefault="00B93BEE" w:rsidP="00970E33">
            <w:pPr>
              <w:pStyle w:val="Tabletextrightbold"/>
            </w:pPr>
            <w:r w:rsidRPr="0067507D">
              <w:t>55.58</w:t>
            </w:r>
          </w:p>
        </w:tc>
        <w:tc>
          <w:tcPr>
            <w:cnfStyle w:val="000001000000" w:firstRow="0" w:lastRow="0" w:firstColumn="0" w:lastColumn="0" w:oddVBand="0" w:evenVBand="1" w:oddHBand="0" w:evenHBand="0" w:firstRowFirstColumn="0" w:firstRowLastColumn="0" w:lastRowFirstColumn="0" w:lastRowLastColumn="0"/>
            <w:tcW w:w="792" w:type="dxa"/>
          </w:tcPr>
          <w:p w14:paraId="5A649300" w14:textId="77777777" w:rsidR="00B93BEE" w:rsidRPr="0067507D" w:rsidRDefault="00B93BEE" w:rsidP="00970E33">
            <w:pPr>
              <w:pStyle w:val="Tabletextrightbold"/>
              <w:rPr>
                <w:highlight w:val="yellow"/>
              </w:rPr>
            </w:pPr>
            <w:r w:rsidRPr="0067507D">
              <w:t>–</w:t>
            </w:r>
          </w:p>
        </w:tc>
        <w:tc>
          <w:tcPr>
            <w:cnfStyle w:val="000010000000" w:firstRow="0" w:lastRow="0" w:firstColumn="0" w:lastColumn="0" w:oddVBand="1" w:evenVBand="0" w:oddHBand="0" w:evenHBand="0" w:firstRowFirstColumn="0" w:firstRowLastColumn="0" w:lastRowFirstColumn="0" w:lastRowLastColumn="0"/>
            <w:tcW w:w="1008" w:type="dxa"/>
          </w:tcPr>
          <w:p w14:paraId="5F683AFE" w14:textId="77777777" w:rsidR="00B93BEE" w:rsidRPr="0067507D" w:rsidRDefault="00B93BEE" w:rsidP="00970E33">
            <w:pPr>
              <w:pStyle w:val="Tabletextrightbold"/>
              <w:rPr>
                <w:highlight w:val="yellow"/>
              </w:rPr>
            </w:pPr>
            <w:r w:rsidRPr="0067507D">
              <w:t>30.15</w:t>
            </w:r>
          </w:p>
        </w:tc>
        <w:tc>
          <w:tcPr>
            <w:cnfStyle w:val="000001000000" w:firstRow="0" w:lastRow="0" w:firstColumn="0" w:lastColumn="0" w:oddVBand="0" w:evenVBand="1" w:oddHBand="0" w:evenHBand="0" w:firstRowFirstColumn="0" w:firstRowLastColumn="0" w:lastRowFirstColumn="0" w:lastRowLastColumn="0"/>
            <w:tcW w:w="792" w:type="dxa"/>
          </w:tcPr>
          <w:p w14:paraId="3CAC13DE" w14:textId="77777777" w:rsidR="00B93BEE" w:rsidRPr="0067507D" w:rsidRDefault="00B93BEE" w:rsidP="00970E33">
            <w:pPr>
              <w:pStyle w:val="Tabletextrightbold"/>
              <w:rPr>
                <w:highlight w:val="yellow"/>
              </w:rPr>
            </w:pPr>
            <w:r w:rsidRPr="0067507D">
              <w:t>–</w:t>
            </w:r>
          </w:p>
        </w:tc>
        <w:tc>
          <w:tcPr>
            <w:cnfStyle w:val="000010000000" w:firstRow="0" w:lastRow="0" w:firstColumn="0" w:lastColumn="0" w:oddVBand="1" w:evenVBand="0" w:oddHBand="0" w:evenHBand="0" w:firstRowFirstColumn="0" w:firstRowLastColumn="0" w:lastRowFirstColumn="0" w:lastRowLastColumn="0"/>
            <w:tcW w:w="1004" w:type="dxa"/>
          </w:tcPr>
          <w:p w14:paraId="3082ED36" w14:textId="77777777" w:rsidR="00B93BEE" w:rsidRPr="0067507D" w:rsidRDefault="00B93BEE" w:rsidP="00970E33">
            <w:pPr>
              <w:pStyle w:val="Tabletextrightbold"/>
              <w:rPr>
                <w:highlight w:val="yellow"/>
              </w:rPr>
            </w:pPr>
            <w:r w:rsidRPr="0067507D">
              <w:t>41.9</w:t>
            </w:r>
          </w:p>
        </w:tc>
        <w:tc>
          <w:tcPr>
            <w:cnfStyle w:val="000001000000" w:firstRow="0" w:lastRow="0" w:firstColumn="0" w:lastColumn="0" w:oddVBand="0" w:evenVBand="1" w:oddHBand="0" w:evenHBand="0" w:firstRowFirstColumn="0" w:firstRowLastColumn="0" w:lastRowFirstColumn="0" w:lastRowLastColumn="0"/>
            <w:tcW w:w="796" w:type="dxa"/>
          </w:tcPr>
          <w:p w14:paraId="29D307FC" w14:textId="77777777" w:rsidR="00B93BEE" w:rsidRPr="0067507D" w:rsidRDefault="00B93BEE" w:rsidP="00970E33">
            <w:pPr>
              <w:pStyle w:val="Tabletextrightbold"/>
              <w:rPr>
                <w:highlight w:val="yellow"/>
              </w:rPr>
            </w:pPr>
            <w:r w:rsidRPr="0067507D">
              <w:t>–</w:t>
            </w:r>
          </w:p>
        </w:tc>
      </w:tr>
      <w:tr w:rsidR="009632A4" w:rsidRPr="0067507D" w14:paraId="20D18C1E" w14:textId="77777777">
        <w:tc>
          <w:tcPr>
            <w:cnfStyle w:val="001000000000" w:firstRow="0" w:lastRow="0" w:firstColumn="1" w:lastColumn="0" w:oddVBand="0" w:evenVBand="0" w:oddHBand="0" w:evenHBand="0" w:firstRowFirstColumn="0" w:firstRowLastColumn="0" w:lastRowFirstColumn="0" w:lastRowLastColumn="0"/>
            <w:tcW w:w="3972" w:type="dxa"/>
          </w:tcPr>
          <w:p w14:paraId="5A777D58" w14:textId="77777777" w:rsidR="00B93BEE" w:rsidRPr="0067507D" w:rsidRDefault="00B93BEE">
            <w:pPr>
              <w:pStyle w:val="Tabletext"/>
            </w:pPr>
            <w:r w:rsidRPr="0067507D">
              <w:t xml:space="preserve">Recycling rate (%) </w:t>
            </w:r>
          </w:p>
        </w:tc>
        <w:tc>
          <w:tcPr>
            <w:cnfStyle w:val="000010000000" w:firstRow="0" w:lastRow="0" w:firstColumn="0" w:lastColumn="0" w:oddVBand="1" w:evenVBand="0" w:oddHBand="0" w:evenHBand="0" w:firstRowFirstColumn="0" w:firstRowLastColumn="0" w:lastRowFirstColumn="0" w:lastRowLastColumn="0"/>
            <w:tcW w:w="1011" w:type="dxa"/>
          </w:tcPr>
          <w:p w14:paraId="35108132" w14:textId="77777777" w:rsidR="00B93BEE" w:rsidRPr="0067507D" w:rsidRDefault="00B93BEE">
            <w:pPr>
              <w:pStyle w:val="Tabletextright"/>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5539280A" w14:textId="77777777" w:rsidR="00B93BEE" w:rsidRPr="0067507D" w:rsidRDefault="00B93BEE">
            <w:pPr>
              <w:pStyle w:val="Tabletextright"/>
              <w:rPr>
                <w:highlight w:val="yellow"/>
              </w:rPr>
            </w:pPr>
            <w:r w:rsidRPr="0067507D">
              <w:t>69.05</w:t>
            </w:r>
          </w:p>
        </w:tc>
        <w:tc>
          <w:tcPr>
            <w:cnfStyle w:val="000010000000" w:firstRow="0" w:lastRow="0" w:firstColumn="0" w:lastColumn="0" w:oddVBand="1" w:evenVBand="0" w:oddHBand="0" w:evenHBand="0" w:firstRowFirstColumn="0" w:firstRowLastColumn="0" w:lastRowFirstColumn="0" w:lastRowLastColumn="0"/>
            <w:tcW w:w="1008" w:type="dxa"/>
          </w:tcPr>
          <w:p w14:paraId="0CC1EF69"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2" w:type="dxa"/>
          </w:tcPr>
          <w:p w14:paraId="070A5894" w14:textId="77777777" w:rsidR="00B93BEE" w:rsidRPr="0067507D" w:rsidRDefault="00B93BEE">
            <w:pPr>
              <w:pStyle w:val="Tabletextright"/>
              <w:rPr>
                <w:highlight w:val="yellow"/>
              </w:rPr>
            </w:pPr>
            <w:r w:rsidRPr="0067507D">
              <w:t>20.7</w:t>
            </w:r>
          </w:p>
        </w:tc>
        <w:tc>
          <w:tcPr>
            <w:cnfStyle w:val="000010000000" w:firstRow="0" w:lastRow="0" w:firstColumn="0" w:lastColumn="0" w:oddVBand="1" w:evenVBand="0" w:oddHBand="0" w:evenHBand="0" w:firstRowFirstColumn="0" w:firstRowLastColumn="0" w:lastRowFirstColumn="0" w:lastRowLastColumn="0"/>
            <w:tcW w:w="1004" w:type="dxa"/>
          </w:tcPr>
          <w:p w14:paraId="32F4D98B" w14:textId="77777777" w:rsidR="00B93BEE" w:rsidRPr="0067507D" w:rsidRDefault="00B93BEE">
            <w:pPr>
              <w:pStyle w:val="Tabletextright"/>
              <w:rPr>
                <w:highlight w:val="yellow"/>
              </w:rPr>
            </w:pPr>
            <w:r w:rsidRPr="0067507D">
              <w:t>–</w:t>
            </w:r>
          </w:p>
        </w:tc>
        <w:tc>
          <w:tcPr>
            <w:cnfStyle w:val="000001000000" w:firstRow="0" w:lastRow="0" w:firstColumn="0" w:lastColumn="0" w:oddVBand="0" w:evenVBand="1" w:oddHBand="0" w:evenHBand="0" w:firstRowFirstColumn="0" w:firstRowLastColumn="0" w:lastRowFirstColumn="0" w:lastRowLastColumn="0"/>
            <w:tcW w:w="796" w:type="dxa"/>
          </w:tcPr>
          <w:p w14:paraId="764A70AD" w14:textId="77777777" w:rsidR="00B93BEE" w:rsidRPr="0067507D" w:rsidRDefault="00B93BEE">
            <w:pPr>
              <w:pStyle w:val="Tabletextright"/>
              <w:rPr>
                <w:highlight w:val="yellow"/>
              </w:rPr>
            </w:pPr>
            <w:r w:rsidRPr="0067507D">
              <w:t>35.5</w:t>
            </w:r>
          </w:p>
        </w:tc>
      </w:tr>
      <w:tr w:rsidR="009632A4" w:rsidRPr="0067507D" w14:paraId="6A942795" w14:textId="77777777">
        <w:tc>
          <w:tcPr>
            <w:cnfStyle w:val="001000000000" w:firstRow="0" w:lastRow="0" w:firstColumn="1" w:lastColumn="0" w:oddVBand="0" w:evenVBand="0" w:oddHBand="0" w:evenHBand="0" w:firstRowFirstColumn="0" w:firstRowLastColumn="0" w:lastRowFirstColumn="0" w:lastRowLastColumn="0"/>
            <w:tcW w:w="3972" w:type="dxa"/>
          </w:tcPr>
          <w:p w14:paraId="21F92AB3" w14:textId="24C5EC3F" w:rsidR="00B93BEE" w:rsidRPr="0067507D" w:rsidRDefault="00B93BEE">
            <w:pPr>
              <w:pStyle w:val="Tabletextbold"/>
            </w:pPr>
            <w:r w:rsidRPr="0067507D">
              <w:t>Greenhouse gas emissions associated with waste disposal (tonnes CO</w:t>
            </w:r>
            <w:r w:rsidRPr="0067507D">
              <w:rPr>
                <w:vertAlign w:val="subscript"/>
              </w:rPr>
              <w:t>2</w:t>
            </w:r>
            <w:r w:rsidR="006A5485">
              <w:noBreakHyphen/>
            </w:r>
            <w:r w:rsidRPr="0067507D">
              <w:t xml:space="preserve">e) </w:t>
            </w:r>
            <w:r w:rsidRPr="0067507D">
              <w:rPr>
                <w:rFonts w:asciiTheme="minorHAnsi" w:hAnsiTheme="minorHAnsi"/>
              </w:rPr>
              <w:t>[Indicator WR5]</w:t>
            </w:r>
          </w:p>
        </w:tc>
        <w:tc>
          <w:tcPr>
            <w:cnfStyle w:val="000010000000" w:firstRow="0" w:lastRow="0" w:firstColumn="0" w:lastColumn="0" w:oddVBand="1" w:evenVBand="0" w:oddHBand="0" w:evenHBand="0" w:firstRowFirstColumn="0" w:firstRowLastColumn="0" w:lastRowFirstColumn="0" w:lastRowLastColumn="0"/>
            <w:tcW w:w="1011" w:type="dxa"/>
          </w:tcPr>
          <w:p w14:paraId="6EE7D9A9" w14:textId="77777777" w:rsidR="00B93BEE" w:rsidRPr="0067507D" w:rsidRDefault="00B93BEE" w:rsidP="00970E33">
            <w:pPr>
              <w:pStyle w:val="Tabletextrightbold"/>
            </w:pPr>
            <w:r w:rsidRPr="0067507D">
              <w:t>14.05</w:t>
            </w:r>
          </w:p>
        </w:tc>
        <w:tc>
          <w:tcPr>
            <w:cnfStyle w:val="000001000000" w:firstRow="0" w:lastRow="0" w:firstColumn="0" w:lastColumn="0" w:oddVBand="0" w:evenVBand="1" w:oddHBand="0" w:evenHBand="0" w:firstRowFirstColumn="0" w:firstRowLastColumn="0" w:lastRowFirstColumn="0" w:lastRowLastColumn="0"/>
            <w:tcW w:w="792" w:type="dxa"/>
          </w:tcPr>
          <w:p w14:paraId="4F9610EB" w14:textId="7428F7EE" w:rsidR="00B93BEE" w:rsidRPr="0067507D" w:rsidRDefault="00B93BEE" w:rsidP="00970E33">
            <w:pPr>
              <w:pStyle w:val="Tabletextrightbold"/>
              <w:rPr>
                <w:highlight w:val="yellow"/>
              </w:rPr>
            </w:pPr>
            <w:r w:rsidRPr="0067507D">
              <w:t>–</w:t>
            </w:r>
          </w:p>
        </w:tc>
        <w:tc>
          <w:tcPr>
            <w:cnfStyle w:val="000010000000" w:firstRow="0" w:lastRow="0" w:firstColumn="0" w:lastColumn="0" w:oddVBand="1" w:evenVBand="0" w:oddHBand="0" w:evenHBand="0" w:firstRowFirstColumn="0" w:firstRowLastColumn="0" w:lastRowFirstColumn="0" w:lastRowLastColumn="0"/>
            <w:tcW w:w="1008" w:type="dxa"/>
          </w:tcPr>
          <w:p w14:paraId="4B13F032" w14:textId="77777777" w:rsidR="00B93BEE" w:rsidRPr="0067507D" w:rsidRDefault="00B93BEE" w:rsidP="00970E33">
            <w:pPr>
              <w:pStyle w:val="Tabletextrightbold"/>
              <w:rPr>
                <w:highlight w:val="yellow"/>
              </w:rPr>
            </w:pPr>
            <w:r w:rsidRPr="0067507D">
              <w:t>19.23</w:t>
            </w:r>
          </w:p>
        </w:tc>
        <w:tc>
          <w:tcPr>
            <w:cnfStyle w:val="000001000000" w:firstRow="0" w:lastRow="0" w:firstColumn="0" w:lastColumn="0" w:oddVBand="0" w:evenVBand="1" w:oddHBand="0" w:evenHBand="0" w:firstRowFirstColumn="0" w:firstRowLastColumn="0" w:lastRowFirstColumn="0" w:lastRowLastColumn="0"/>
            <w:tcW w:w="792" w:type="dxa"/>
          </w:tcPr>
          <w:p w14:paraId="56F28C6C" w14:textId="77777777" w:rsidR="00B93BEE" w:rsidRPr="0067507D" w:rsidRDefault="00B93BEE" w:rsidP="00970E33">
            <w:pPr>
              <w:pStyle w:val="Tabletextrightbold"/>
              <w:rPr>
                <w:highlight w:val="yellow"/>
              </w:rPr>
            </w:pPr>
            <w:r w:rsidRPr="0067507D">
              <w:t>–</w:t>
            </w:r>
          </w:p>
        </w:tc>
        <w:tc>
          <w:tcPr>
            <w:cnfStyle w:val="000010000000" w:firstRow="0" w:lastRow="0" w:firstColumn="0" w:lastColumn="0" w:oddVBand="1" w:evenVBand="0" w:oddHBand="0" w:evenHBand="0" w:firstRowFirstColumn="0" w:firstRowLastColumn="0" w:lastRowFirstColumn="0" w:lastRowLastColumn="0"/>
            <w:tcW w:w="1004" w:type="dxa"/>
          </w:tcPr>
          <w:p w14:paraId="3201F868" w14:textId="77777777" w:rsidR="00B93BEE" w:rsidRPr="0067507D" w:rsidRDefault="00B93BEE" w:rsidP="00970E33">
            <w:pPr>
              <w:pStyle w:val="Tabletextrightbold"/>
              <w:rPr>
                <w:highlight w:val="yellow"/>
              </w:rPr>
            </w:pPr>
            <w:r w:rsidRPr="0067507D">
              <w:t>27.2</w:t>
            </w:r>
          </w:p>
        </w:tc>
        <w:tc>
          <w:tcPr>
            <w:cnfStyle w:val="000001000000" w:firstRow="0" w:lastRow="0" w:firstColumn="0" w:lastColumn="0" w:oddVBand="0" w:evenVBand="1" w:oddHBand="0" w:evenHBand="0" w:firstRowFirstColumn="0" w:firstRowLastColumn="0" w:lastRowFirstColumn="0" w:lastRowLastColumn="0"/>
            <w:tcW w:w="796" w:type="dxa"/>
          </w:tcPr>
          <w:p w14:paraId="10A37A36" w14:textId="77777777" w:rsidR="00B93BEE" w:rsidRPr="0067507D" w:rsidRDefault="00B93BEE" w:rsidP="00970E33">
            <w:pPr>
              <w:pStyle w:val="Tabletextrightbold"/>
              <w:rPr>
                <w:highlight w:val="yellow"/>
              </w:rPr>
            </w:pPr>
            <w:r w:rsidRPr="0067507D">
              <w:t>–</w:t>
            </w:r>
          </w:p>
        </w:tc>
      </w:tr>
      <w:tr w:rsidR="009632A4" w:rsidRPr="0067507D" w14:paraId="45E2FC37" w14:textId="77777777">
        <w:tc>
          <w:tcPr>
            <w:cnfStyle w:val="001000000000" w:firstRow="0" w:lastRow="0" w:firstColumn="1" w:lastColumn="0" w:oddVBand="0" w:evenVBand="0" w:oddHBand="0" w:evenHBand="0" w:firstRowFirstColumn="0" w:firstRowLastColumn="0" w:lastRowFirstColumn="0" w:lastRowLastColumn="0"/>
            <w:tcW w:w="3972" w:type="dxa"/>
          </w:tcPr>
          <w:p w14:paraId="50BF6149" w14:textId="77777777" w:rsidR="00B93BEE" w:rsidRPr="0067507D" w:rsidRDefault="00B93BEE">
            <w:pPr>
              <w:pStyle w:val="Tabletext"/>
            </w:pPr>
            <w:r w:rsidRPr="0067507D">
              <w:t xml:space="preserve">Landfill </w:t>
            </w:r>
          </w:p>
        </w:tc>
        <w:tc>
          <w:tcPr>
            <w:cnfStyle w:val="000010000000" w:firstRow="0" w:lastRow="0" w:firstColumn="0" w:lastColumn="0" w:oddVBand="1" w:evenVBand="0" w:oddHBand="0" w:evenHBand="0" w:firstRowFirstColumn="0" w:firstRowLastColumn="0" w:lastRowFirstColumn="0" w:lastRowLastColumn="0"/>
            <w:tcW w:w="1011" w:type="dxa"/>
          </w:tcPr>
          <w:p w14:paraId="59040569" w14:textId="77777777" w:rsidR="00B93BEE" w:rsidRPr="0067507D" w:rsidRDefault="00B93BEE">
            <w:pPr>
              <w:pStyle w:val="Tabletextright"/>
            </w:pPr>
            <w:r w:rsidRPr="0067507D">
              <w:t>14.05</w:t>
            </w:r>
          </w:p>
        </w:tc>
        <w:tc>
          <w:tcPr>
            <w:cnfStyle w:val="000001000000" w:firstRow="0" w:lastRow="0" w:firstColumn="0" w:lastColumn="0" w:oddVBand="0" w:evenVBand="1" w:oddHBand="0" w:evenHBand="0" w:firstRowFirstColumn="0" w:firstRowLastColumn="0" w:lastRowFirstColumn="0" w:lastRowLastColumn="0"/>
            <w:tcW w:w="792" w:type="dxa"/>
          </w:tcPr>
          <w:p w14:paraId="0A506976" w14:textId="341B9940" w:rsidR="00B93BEE" w:rsidRPr="00B80175" w:rsidRDefault="00B80175">
            <w:pPr>
              <w:pStyle w:val="Tabletextright"/>
            </w:pPr>
            <w:r w:rsidRPr="00B80175">
              <w:t>–</w:t>
            </w:r>
          </w:p>
        </w:tc>
        <w:tc>
          <w:tcPr>
            <w:cnfStyle w:val="000010000000" w:firstRow="0" w:lastRow="0" w:firstColumn="0" w:lastColumn="0" w:oddVBand="1" w:evenVBand="0" w:oddHBand="0" w:evenHBand="0" w:firstRowFirstColumn="0" w:firstRowLastColumn="0" w:lastRowFirstColumn="0" w:lastRowLastColumn="0"/>
            <w:tcW w:w="1008" w:type="dxa"/>
          </w:tcPr>
          <w:p w14:paraId="49EA7EF3" w14:textId="77777777" w:rsidR="00B93BEE" w:rsidRPr="0067507D" w:rsidRDefault="00B93BEE">
            <w:pPr>
              <w:pStyle w:val="Tabletextright"/>
              <w:rPr>
                <w:highlight w:val="yellow"/>
              </w:rPr>
            </w:pPr>
            <w:r w:rsidRPr="0067507D">
              <w:t>19.23</w:t>
            </w:r>
          </w:p>
        </w:tc>
        <w:tc>
          <w:tcPr>
            <w:cnfStyle w:val="000001000000" w:firstRow="0" w:lastRow="0" w:firstColumn="0" w:lastColumn="0" w:oddVBand="0" w:evenVBand="1" w:oddHBand="0" w:evenHBand="0" w:firstRowFirstColumn="0" w:firstRowLastColumn="0" w:lastRowFirstColumn="0" w:lastRowLastColumn="0"/>
            <w:tcW w:w="792" w:type="dxa"/>
          </w:tcPr>
          <w:p w14:paraId="44151B20" w14:textId="77777777" w:rsidR="00B93BEE" w:rsidRPr="0067507D" w:rsidRDefault="00B93BEE">
            <w:pPr>
              <w:pStyle w:val="Tabletextright"/>
              <w:rPr>
                <w:highlight w:val="yellow"/>
              </w:rPr>
            </w:pPr>
            <w:r w:rsidRPr="0067507D">
              <w:t>–</w:t>
            </w:r>
          </w:p>
        </w:tc>
        <w:tc>
          <w:tcPr>
            <w:cnfStyle w:val="000010000000" w:firstRow="0" w:lastRow="0" w:firstColumn="0" w:lastColumn="0" w:oddVBand="1" w:evenVBand="0" w:oddHBand="0" w:evenHBand="0" w:firstRowFirstColumn="0" w:firstRowLastColumn="0" w:lastRowFirstColumn="0" w:lastRowLastColumn="0"/>
            <w:tcW w:w="1004" w:type="dxa"/>
          </w:tcPr>
          <w:p w14:paraId="78BE7536" w14:textId="77777777" w:rsidR="00B93BEE" w:rsidRPr="0067507D" w:rsidRDefault="00B93BEE">
            <w:pPr>
              <w:pStyle w:val="Tabletextright"/>
              <w:rPr>
                <w:highlight w:val="yellow"/>
              </w:rPr>
            </w:pPr>
            <w:r w:rsidRPr="0067507D">
              <w:t>27.2</w:t>
            </w:r>
          </w:p>
        </w:tc>
        <w:tc>
          <w:tcPr>
            <w:cnfStyle w:val="000001000000" w:firstRow="0" w:lastRow="0" w:firstColumn="0" w:lastColumn="0" w:oddVBand="0" w:evenVBand="1" w:oddHBand="0" w:evenHBand="0" w:firstRowFirstColumn="0" w:firstRowLastColumn="0" w:lastRowFirstColumn="0" w:lastRowLastColumn="0"/>
            <w:tcW w:w="796" w:type="dxa"/>
          </w:tcPr>
          <w:p w14:paraId="3DA3899C" w14:textId="77777777" w:rsidR="00B93BEE" w:rsidRPr="0067507D" w:rsidRDefault="00B93BEE">
            <w:pPr>
              <w:pStyle w:val="Tabletextright"/>
              <w:rPr>
                <w:highlight w:val="yellow"/>
              </w:rPr>
            </w:pPr>
            <w:r w:rsidRPr="0067507D">
              <w:t>–</w:t>
            </w:r>
          </w:p>
        </w:tc>
      </w:tr>
    </w:tbl>
    <w:p w14:paraId="2FF29BF4" w14:textId="77777777" w:rsidR="00B93BEE" w:rsidRPr="0067507D" w:rsidRDefault="00B93BEE" w:rsidP="0072435E">
      <w:pPr>
        <w:pStyle w:val="Notes"/>
        <w:rPr>
          <w:szCs w:val="14"/>
        </w:rPr>
      </w:pPr>
      <w:r w:rsidRPr="0067507D">
        <w:t>Notes</w:t>
      </w:r>
      <w:r w:rsidRPr="0067507D">
        <w:rPr>
          <w:szCs w:val="14"/>
        </w:rPr>
        <w:t>:</w:t>
      </w:r>
    </w:p>
    <w:p w14:paraId="0955AE8B" w14:textId="50E341A4" w:rsidR="00B93BEE" w:rsidRPr="0067507D" w:rsidRDefault="00B93BEE" w:rsidP="0072435E">
      <w:pPr>
        <w:pStyle w:val="Notes"/>
      </w:pPr>
      <w:r w:rsidRPr="0067507D">
        <w:t>(a) The 2024</w:t>
      </w:r>
      <w:r w:rsidR="006A5485">
        <w:noBreakHyphen/>
      </w:r>
      <w:r w:rsidRPr="0067507D">
        <w:t xml:space="preserve">25 figures in this Annual Report contain </w:t>
      </w:r>
      <w:r w:rsidRPr="0067507D">
        <w:rPr>
          <w:color w:val="323537" w:themeColor="accent5" w:themeShade="40"/>
        </w:rPr>
        <w:t xml:space="preserve">accrued </w:t>
      </w:r>
      <w:r w:rsidRPr="0067507D">
        <w:t>values for water consumption.</w:t>
      </w:r>
    </w:p>
    <w:p w14:paraId="3715C83D" w14:textId="518A574C" w:rsidR="00B93BEE" w:rsidRPr="0067507D" w:rsidRDefault="00B93BEE" w:rsidP="00D35AF7">
      <w:pPr>
        <w:pStyle w:val="Tabletextheadingleft"/>
        <w:rPr>
          <w:rFonts w:ascii="VIC" w:hAnsi="VIC"/>
          <w:sz w:val="14"/>
          <w:szCs w:val="14"/>
        </w:rPr>
      </w:pPr>
      <w:r w:rsidRPr="0067507D">
        <w:rPr>
          <w:rFonts w:ascii="VIC" w:hAnsi="VIC"/>
          <w:sz w:val="14"/>
          <w:szCs w:val="14"/>
        </w:rPr>
        <w:t>(b) ‘nc’ denotes ‘not collected’ in instances where data from previous reporting periods is not available. This is due to the changing key reporting indicators that came into effect in the 2023</w:t>
      </w:r>
      <w:r w:rsidR="006A5485">
        <w:rPr>
          <w:rFonts w:ascii="VIC" w:hAnsi="VIC"/>
          <w:sz w:val="14"/>
          <w:szCs w:val="14"/>
        </w:rPr>
        <w:noBreakHyphen/>
      </w:r>
      <w:r w:rsidRPr="0067507D">
        <w:rPr>
          <w:rFonts w:ascii="VIC" w:hAnsi="VIC"/>
          <w:sz w:val="14"/>
          <w:szCs w:val="14"/>
        </w:rPr>
        <w:t>24 reporting period.</w:t>
      </w:r>
    </w:p>
    <w:p w14:paraId="59AF9969" w14:textId="77777777" w:rsidR="00B93BEE" w:rsidRPr="0067507D" w:rsidRDefault="00B93BEE" w:rsidP="005E3015">
      <w:pPr>
        <w:pStyle w:val="Notes"/>
        <w:rPr>
          <w:highlight w:val="yellow"/>
        </w:rPr>
      </w:pPr>
      <w:bookmarkStart w:id="226" w:name="Environmental_end"/>
    </w:p>
    <w:bookmarkEnd w:id="226"/>
    <w:p w14:paraId="36F25F03" w14:textId="3A1180D8" w:rsidR="00C92570" w:rsidRPr="0067507D" w:rsidDel="00BB63B9" w:rsidRDefault="00C92570" w:rsidP="00C92570"/>
    <w:bookmarkEnd w:id="221"/>
    <w:bookmarkEnd w:id="222"/>
    <w:bookmarkEnd w:id="223"/>
    <w:bookmarkEnd w:id="224"/>
    <w:p w14:paraId="170F5E5A" w14:textId="18D83269" w:rsidR="00DD544B" w:rsidRPr="0067507D" w:rsidRDefault="00DD544B" w:rsidP="00250488"/>
    <w:p w14:paraId="14E9AFCA" w14:textId="77777777" w:rsidR="00DD544B" w:rsidRPr="0067507D" w:rsidRDefault="00DD544B" w:rsidP="00DD544B">
      <w:pPr>
        <w:jc w:val="right"/>
        <w:sectPr w:rsidR="00DD544B" w:rsidRPr="0067507D" w:rsidSect="00790E11">
          <w:headerReference w:type="default" r:id="rId205"/>
          <w:footerReference w:type="even" r:id="rId206"/>
          <w:footerReference w:type="default" r:id="rId207"/>
          <w:type w:val="continuous"/>
          <w:pgSz w:w="11909" w:h="16834" w:code="9"/>
          <w:pgMar w:top="1728" w:right="1152" w:bottom="1260" w:left="1152" w:header="720" w:footer="288" w:gutter="0"/>
          <w:cols w:space="720"/>
          <w:noEndnote/>
        </w:sectPr>
      </w:pPr>
    </w:p>
    <w:p w14:paraId="6E3F55F8" w14:textId="5011F300" w:rsidR="004E29AF" w:rsidRPr="0067507D" w:rsidRDefault="004E29AF" w:rsidP="004E29AF">
      <w:pPr>
        <w:pStyle w:val="Heading1App"/>
      </w:pPr>
      <w:bookmarkStart w:id="227" w:name="_Toc115251046"/>
      <w:bookmarkStart w:id="228" w:name="_Toc210221113"/>
      <w:bookmarkStart w:id="229" w:name="_Toc210221141"/>
      <w:r w:rsidRPr="0067507D">
        <w:lastRenderedPageBreak/>
        <w:t>Appendix 4</w:t>
      </w:r>
      <w:r w:rsidRPr="0067507D">
        <w:tab/>
        <w:t>Statutory compliance and other information</w:t>
      </w:r>
      <w:bookmarkEnd w:id="227"/>
      <w:bookmarkEnd w:id="228"/>
      <w:bookmarkEnd w:id="229"/>
    </w:p>
    <w:p w14:paraId="0ED201EF" w14:textId="77777777" w:rsidR="004E29AF" w:rsidRPr="0067507D" w:rsidRDefault="004E29AF" w:rsidP="004E29AF">
      <w:pPr>
        <w:keepLines w:val="0"/>
        <w:rPr>
          <w:rFonts w:ascii="VIC" w:hAnsi="VIC"/>
          <w:szCs w:val="17"/>
        </w:rPr>
        <w:sectPr w:rsidR="004E29AF" w:rsidRPr="0067507D" w:rsidSect="00790E11">
          <w:headerReference w:type="even" r:id="rId208"/>
          <w:headerReference w:type="default" r:id="rId209"/>
          <w:footerReference w:type="even" r:id="rId210"/>
          <w:footerReference w:type="default" r:id="rId211"/>
          <w:headerReference w:type="first" r:id="rId212"/>
          <w:footerReference w:type="first" r:id="rId213"/>
          <w:pgSz w:w="11909" w:h="16834" w:code="9"/>
          <w:pgMar w:top="1728" w:right="1152" w:bottom="1260" w:left="1152" w:header="720" w:footer="288" w:gutter="0"/>
          <w:cols w:space="720"/>
          <w:noEndnote/>
        </w:sectPr>
      </w:pPr>
    </w:p>
    <w:p w14:paraId="29A0E499" w14:textId="6AC1E55B" w:rsidR="004E29AF" w:rsidRPr="0067507D" w:rsidRDefault="004E29AF" w:rsidP="004E29AF">
      <w:pPr>
        <w:pStyle w:val="Heading1b"/>
      </w:pPr>
      <w:bookmarkStart w:id="230" w:name="_Toc210221142"/>
      <w:r w:rsidRPr="0067507D">
        <w:t>Legislation administered by DTF portfolios</w:t>
      </w:r>
      <w:bookmarkEnd w:id="230"/>
    </w:p>
    <w:p w14:paraId="734CCC8D" w14:textId="77777777" w:rsidR="007E17A5" w:rsidRPr="0067507D" w:rsidRDefault="007E17A5" w:rsidP="00AF0C14">
      <w:pPr>
        <w:spacing w:line="257" w:lineRule="auto"/>
        <w:rPr>
          <w:rFonts w:ascii="VIC" w:hAnsi="VIC"/>
          <w:kern w:val="2"/>
          <w14:ligatures w14:val="standardContextual"/>
        </w:rPr>
        <w:sectPr w:rsidR="007E17A5" w:rsidRPr="0067507D" w:rsidSect="009526AE">
          <w:type w:val="continuous"/>
          <w:pgSz w:w="11909" w:h="16834" w:code="9"/>
          <w:pgMar w:top="1728" w:right="1152" w:bottom="1267" w:left="1152" w:header="720" w:footer="288" w:gutter="0"/>
          <w:cols w:num="2" w:space="720"/>
          <w:noEndnote/>
        </w:sectPr>
      </w:pPr>
    </w:p>
    <w:p w14:paraId="2AFE62E8" w14:textId="20C143A5" w:rsidR="0050598E" w:rsidRPr="0067507D" w:rsidRDefault="0050598E" w:rsidP="00175FED">
      <w:pPr>
        <w:ind w:right="212"/>
      </w:pPr>
      <w:r w:rsidRPr="0067507D">
        <w:t>During the 2024</w:t>
      </w:r>
      <w:r w:rsidR="006A5485">
        <w:noBreakHyphen/>
      </w:r>
      <w:r w:rsidRPr="0067507D">
        <w:t>25 financial year, the General Order dated 2 April 2024 (in place at 1 July 2024, as</w:t>
      </w:r>
      <w:r w:rsidR="00175FED" w:rsidRPr="0067507D">
        <w:rPr>
          <w:rFonts w:ascii="Calibri" w:hAnsi="Calibri" w:cs="Calibri"/>
        </w:rPr>
        <w:t> </w:t>
      </w:r>
      <w:r w:rsidRPr="0067507D">
        <w:t>varied by the Supplements to the General Order dated 10</w:t>
      </w:r>
      <w:r w:rsidR="00175FED" w:rsidRPr="0067507D">
        <w:rPr>
          <w:rFonts w:ascii="Calibri" w:hAnsi="Calibri" w:cs="Calibri"/>
        </w:rPr>
        <w:t> </w:t>
      </w:r>
      <w:r w:rsidRPr="0067507D">
        <w:t>September 2024 and 17 December 2024) was replaced by the General Order dated 19</w:t>
      </w:r>
      <w:r w:rsidR="00175FED" w:rsidRPr="0067507D">
        <w:rPr>
          <w:rFonts w:ascii="Calibri" w:hAnsi="Calibri" w:cs="Calibri"/>
        </w:rPr>
        <w:t> </w:t>
      </w:r>
      <w:r w:rsidRPr="0067507D">
        <w:t>December</w:t>
      </w:r>
      <w:r w:rsidR="00175FED" w:rsidRPr="0067507D">
        <w:rPr>
          <w:rFonts w:ascii="Calibri" w:hAnsi="Calibri" w:cs="Calibri"/>
        </w:rPr>
        <w:t> </w:t>
      </w:r>
      <w:r w:rsidRPr="0067507D">
        <w:t xml:space="preserve">2024. </w:t>
      </w:r>
    </w:p>
    <w:p w14:paraId="7C251B45" w14:textId="15C19D13" w:rsidR="0050598E" w:rsidRPr="0067507D" w:rsidRDefault="0050598E" w:rsidP="00175FED">
      <w:r w:rsidRPr="0067507D">
        <w:t xml:space="preserve">Under the General Order dated 19 December 2024, the Assistant Treasurer became the Minister for Finance. There were no changes in responsibility for the Treasurer, the Minister for WorkSafe and the TAC, and the Minister for Industrial Relations under the General Order dated 19 December 2024. </w:t>
      </w:r>
    </w:p>
    <w:p w14:paraId="369420BA" w14:textId="59B22C1F" w:rsidR="0050598E" w:rsidRPr="0067507D" w:rsidRDefault="0050598E" w:rsidP="00175FED">
      <w:r w:rsidRPr="0067507D">
        <w:t xml:space="preserve">The General Order dated 19 December 2024 was then varied by the Supplement to the General Order effective 27 March 2025. This supplement did not change any responsibilities for DTF’s Ministers. </w:t>
      </w:r>
    </w:p>
    <w:p w14:paraId="6BB84062" w14:textId="6AE33477" w:rsidR="0050598E" w:rsidRPr="0067507D" w:rsidRDefault="0050598E" w:rsidP="00175FED">
      <w:r w:rsidRPr="0067507D">
        <w:t xml:space="preserve">The General Order (as supplemented) was then further varied by the Supplement to the General Order dated 23 May 2025. This supplement did not change any responsibilities for DTF’s Ministers. </w:t>
      </w:r>
    </w:p>
    <w:p w14:paraId="47C726FF" w14:textId="6AF818F1" w:rsidR="00AF0C14" w:rsidRPr="0067507D" w:rsidRDefault="0050598E" w:rsidP="00175FED">
      <w:pPr>
        <w:rPr>
          <w:rFonts w:eastAsia="VIC" w:cs="VIC"/>
          <w:szCs w:val="17"/>
        </w:rPr>
      </w:pPr>
      <w:r w:rsidRPr="0067507D">
        <w:rPr>
          <w:rFonts w:eastAsia="VIC"/>
        </w:rPr>
        <w:t xml:space="preserve">For reporting purposes, the legislation administered by DTF’s Ministers under the General Order dated </w:t>
      </w:r>
      <w:r w:rsidRPr="0067507D">
        <w:t>19</w:t>
      </w:r>
      <w:r w:rsidR="00175FED" w:rsidRPr="0067507D">
        <w:rPr>
          <w:rFonts w:ascii="Calibri" w:hAnsi="Calibri" w:cs="Calibri"/>
        </w:rPr>
        <w:t> </w:t>
      </w:r>
      <w:r w:rsidRPr="0067507D">
        <w:t>December 2024, as varied by the Supplements to the General Order dated 27 March and 23 May 2025,</w:t>
      </w:r>
      <w:r w:rsidRPr="0067507D">
        <w:rPr>
          <w:rFonts w:eastAsia="VIC"/>
        </w:rPr>
        <w:t xml:space="preserve"> has been included in the </w:t>
      </w:r>
      <w:r w:rsidRPr="0067507D">
        <w:rPr>
          <w:rFonts w:eastAsia="VIC"/>
          <w:i/>
          <w:iCs/>
        </w:rPr>
        <w:t>2024</w:t>
      </w:r>
      <w:r w:rsidR="006A5485">
        <w:rPr>
          <w:rFonts w:eastAsia="VIC"/>
          <w:i/>
          <w:iCs/>
        </w:rPr>
        <w:noBreakHyphen/>
      </w:r>
      <w:r w:rsidRPr="0067507D">
        <w:rPr>
          <w:rFonts w:eastAsia="VIC"/>
          <w:i/>
          <w:iCs/>
        </w:rPr>
        <w:t>25 Annual Report</w:t>
      </w:r>
      <w:r w:rsidRPr="0067507D">
        <w:rPr>
          <w:rFonts w:eastAsia="VIC"/>
        </w:rPr>
        <w:t>. References to responsibilities of other Ministers are, for convenience, provided under their current titles.</w:t>
      </w:r>
    </w:p>
    <w:p w14:paraId="358279F0" w14:textId="59384533" w:rsidR="00955FB5" w:rsidRPr="0067507D" w:rsidRDefault="00071215" w:rsidP="00955FB5">
      <w:pPr>
        <w:keepNext/>
        <w:tabs>
          <w:tab w:val="left" w:pos="5180"/>
        </w:tabs>
        <w:spacing w:before="200" w:line="216" w:lineRule="auto"/>
        <w:outlineLvl w:val="1"/>
        <w:rPr>
          <w:rFonts w:ascii="VIC SemiBold" w:hAnsi="VIC SemiBold" w:cs="VIC"/>
          <w:color w:val="404040"/>
          <w:sz w:val="24"/>
          <w:szCs w:val="28"/>
        </w:rPr>
      </w:pPr>
      <w:r w:rsidRPr="0067507D">
        <w:rPr>
          <w:rFonts w:eastAsia="Cambria Math"/>
        </w:rPr>
        <w:br w:type="column"/>
      </w:r>
      <w:r w:rsidR="00955FB5" w:rsidRPr="0067507D">
        <w:rPr>
          <w:rFonts w:ascii="VIC SemiBold" w:hAnsi="VIC SemiBold" w:cs="VIC"/>
          <w:color w:val="404040"/>
          <w:sz w:val="24"/>
          <w:szCs w:val="28"/>
        </w:rPr>
        <w:t>Legislation administered as of 2</w:t>
      </w:r>
      <w:r w:rsidR="00500AE6" w:rsidRPr="0067507D">
        <w:rPr>
          <w:rFonts w:ascii="VIC SemiBold" w:hAnsi="VIC SemiBold" w:cs="VIC"/>
          <w:color w:val="404040"/>
          <w:sz w:val="24"/>
          <w:szCs w:val="28"/>
        </w:rPr>
        <w:t>3</w:t>
      </w:r>
      <w:r w:rsidR="00E1256F" w:rsidRPr="0067507D">
        <w:rPr>
          <w:rFonts w:ascii="Calibri" w:hAnsi="Calibri" w:cs="Calibri"/>
          <w:color w:val="404040"/>
          <w:sz w:val="24"/>
          <w:szCs w:val="28"/>
        </w:rPr>
        <w:t> </w:t>
      </w:r>
      <w:r w:rsidR="00500AE6" w:rsidRPr="0067507D">
        <w:rPr>
          <w:rFonts w:ascii="VIC SemiBold" w:hAnsi="VIC SemiBold" w:cs="VIC"/>
          <w:color w:val="404040"/>
          <w:sz w:val="24"/>
          <w:szCs w:val="28"/>
        </w:rPr>
        <w:t>May</w:t>
      </w:r>
      <w:r w:rsidR="00500AE6" w:rsidRPr="0067507D">
        <w:rPr>
          <w:rFonts w:ascii="Calibri" w:hAnsi="Calibri" w:cs="Calibri"/>
          <w:color w:val="404040"/>
          <w:sz w:val="24"/>
          <w:szCs w:val="28"/>
        </w:rPr>
        <w:t> </w:t>
      </w:r>
      <w:r w:rsidR="00955FB5" w:rsidRPr="0067507D">
        <w:rPr>
          <w:rFonts w:ascii="VIC SemiBold" w:hAnsi="VIC SemiBold" w:cs="VIC"/>
          <w:color w:val="404040"/>
          <w:sz w:val="24"/>
          <w:szCs w:val="28"/>
        </w:rPr>
        <w:t>2024</w:t>
      </w:r>
    </w:p>
    <w:p w14:paraId="5BA663CC" w14:textId="77777777" w:rsidR="00733E1C" w:rsidRPr="0067507D" w:rsidRDefault="00733E1C" w:rsidP="00733E1C">
      <w:pPr>
        <w:keepNext/>
        <w:tabs>
          <w:tab w:val="left" w:pos="5180"/>
        </w:tabs>
        <w:spacing w:line="216" w:lineRule="auto"/>
        <w:outlineLvl w:val="2"/>
        <w:rPr>
          <w:rFonts w:eastAsia="Aptos"/>
        </w:rPr>
      </w:pPr>
      <w:r w:rsidRPr="0067507D">
        <w:rPr>
          <w:rFonts w:ascii="VIC SemiBold" w:hAnsi="VIC SemiBold" w:cs="Arial"/>
          <w:bCs/>
          <w:color w:val="4F4F4F"/>
          <w:sz w:val="22"/>
          <w:szCs w:val="26"/>
        </w:rPr>
        <w:t>Treasurer</w:t>
      </w:r>
    </w:p>
    <w:p w14:paraId="194F70F6" w14:textId="36823A11" w:rsidR="00733E1C" w:rsidRPr="0067507D" w:rsidRDefault="00733E1C" w:rsidP="00733E1C">
      <w:pPr>
        <w:rPr>
          <w:rFonts w:eastAsia="Aptos"/>
          <w:i/>
          <w:iCs/>
          <w:lang w:eastAsia="en-US"/>
        </w:rPr>
      </w:pPr>
      <w:r w:rsidRPr="0067507D">
        <w:rPr>
          <w:rFonts w:eastAsia="Aptos"/>
          <w:i/>
          <w:iCs/>
          <w:lang w:eastAsia="en-US"/>
        </w:rPr>
        <w:t>Alcoa (Portland Aluminium Smelter) Act 1980</w:t>
      </w:r>
    </w:p>
    <w:p w14:paraId="17AD5DC5" w14:textId="275D96E1" w:rsidR="00733E1C" w:rsidRPr="0067507D" w:rsidRDefault="00733E1C" w:rsidP="00733E1C">
      <w:pPr>
        <w:rPr>
          <w:rFonts w:eastAsia="Aptos"/>
          <w:lang w:eastAsia="en-US"/>
        </w:rPr>
      </w:pPr>
      <w:r w:rsidRPr="0067507D">
        <w:rPr>
          <w:rFonts w:eastAsia="Aptos"/>
          <w:i/>
          <w:iCs/>
          <w:lang w:eastAsia="en-US"/>
        </w:rPr>
        <w:t>Appropriation Acts</w:t>
      </w:r>
      <w:r w:rsidRPr="0067507D">
        <w:rPr>
          <w:rFonts w:eastAsia="Aptos"/>
          <w:lang w:eastAsia="en-US"/>
        </w:rPr>
        <w:t xml:space="preserve"> (passed annually)</w:t>
      </w:r>
    </w:p>
    <w:p w14:paraId="70F2FE38" w14:textId="77777777" w:rsidR="00733E1C" w:rsidRPr="0067507D" w:rsidRDefault="00733E1C" w:rsidP="00733E1C">
      <w:pPr>
        <w:rPr>
          <w:rFonts w:eastAsia="Aptos"/>
          <w:lang w:eastAsia="en-US"/>
        </w:rPr>
      </w:pPr>
      <w:r w:rsidRPr="0067507D">
        <w:rPr>
          <w:rFonts w:eastAsia="Aptos"/>
          <w:i/>
          <w:iCs/>
          <w:lang w:eastAsia="en-US"/>
        </w:rPr>
        <w:t>Audit Act 1994</w:t>
      </w:r>
      <w:r w:rsidRPr="0067507D">
        <w:rPr>
          <w:rFonts w:eastAsia="Aptos"/>
          <w:lang w:eastAsia="en-US"/>
        </w:rPr>
        <w:t xml:space="preserve"> – </w:t>
      </w:r>
      <w:r w:rsidRPr="0067507D">
        <w:rPr>
          <w:rFonts w:eastAsia="VIC" w:cs="VIC"/>
          <w:iCs/>
        </w:rPr>
        <w:t>except</w:t>
      </w:r>
      <w:r w:rsidRPr="0067507D">
        <w:rPr>
          <w:rFonts w:eastAsia="Aptos"/>
          <w:lang w:eastAsia="en-US"/>
        </w:rPr>
        <w:t>:</w:t>
      </w:r>
    </w:p>
    <w:p w14:paraId="350F9844" w14:textId="481C0570" w:rsidR="00733E1C" w:rsidRPr="0067507D" w:rsidRDefault="00733E1C" w:rsidP="00733E1C">
      <w:pPr>
        <w:pStyle w:val="Bullet"/>
        <w:rPr>
          <w:rFonts w:eastAsia="Aptos"/>
          <w:lang w:eastAsia="en-US"/>
        </w:rPr>
      </w:pPr>
      <w:r w:rsidRPr="0067507D">
        <w:rPr>
          <w:rFonts w:eastAsia="Aptos"/>
          <w:lang w:eastAsia="en-US"/>
        </w:rPr>
        <w:t>Sections 10</w:t>
      </w:r>
      <w:r w:rsidR="006A5485">
        <w:rPr>
          <w:rFonts w:eastAsia="Aptos"/>
          <w:lang w:eastAsia="en-US"/>
        </w:rPr>
        <w:noBreakHyphen/>
      </w:r>
      <w:r w:rsidRPr="0067507D">
        <w:rPr>
          <w:rFonts w:eastAsia="Aptos"/>
          <w:lang w:eastAsia="en-US"/>
        </w:rPr>
        <w:t>13, 19, 22</w:t>
      </w:r>
      <w:r w:rsidR="006A5485">
        <w:rPr>
          <w:rFonts w:eastAsia="Aptos"/>
          <w:lang w:eastAsia="en-US"/>
        </w:rPr>
        <w:noBreakHyphen/>
      </w:r>
      <w:r w:rsidRPr="0067507D">
        <w:rPr>
          <w:rFonts w:eastAsia="Aptos"/>
          <w:lang w:eastAsia="en-US"/>
        </w:rPr>
        <w:t xml:space="preserve">28 and 57 (these sections are administered by the </w:t>
      </w:r>
      <w:r w:rsidR="00C33FF0" w:rsidRPr="0067507D">
        <w:rPr>
          <w:rFonts w:eastAsia="Aptos"/>
          <w:lang w:eastAsia="en-US"/>
        </w:rPr>
        <w:t>Minister for Finance</w:t>
      </w:r>
      <w:r w:rsidRPr="0067507D">
        <w:rPr>
          <w:rFonts w:eastAsia="Aptos"/>
          <w:lang w:eastAsia="en-US"/>
        </w:rPr>
        <w:t>)</w:t>
      </w:r>
    </w:p>
    <w:p w14:paraId="32512E2A" w14:textId="10E3E95D" w:rsidR="00733E1C" w:rsidRPr="0067507D" w:rsidRDefault="00733E1C" w:rsidP="00733E1C">
      <w:pPr>
        <w:pStyle w:val="Bullet"/>
        <w:rPr>
          <w:rFonts w:eastAsia="Aptos"/>
          <w:lang w:eastAsia="en-US"/>
        </w:rPr>
      </w:pPr>
      <w:r w:rsidRPr="0067507D">
        <w:rPr>
          <w:rFonts w:eastAsia="Aptos"/>
          <w:lang w:eastAsia="en-US"/>
        </w:rPr>
        <w:t xml:space="preserve">Sections 15, 78 and 84 (these sections are jointly and severally administered with the </w:t>
      </w:r>
      <w:r w:rsidR="00C33FF0" w:rsidRPr="0067507D">
        <w:rPr>
          <w:rFonts w:eastAsia="Aptos"/>
          <w:lang w:eastAsia="en-US"/>
        </w:rPr>
        <w:t>Minister for Finance</w:t>
      </w:r>
      <w:r w:rsidRPr="0067507D">
        <w:rPr>
          <w:rFonts w:eastAsia="Aptos"/>
          <w:lang w:eastAsia="en-US"/>
        </w:rPr>
        <w:t>)</w:t>
      </w:r>
    </w:p>
    <w:p w14:paraId="6F64C358" w14:textId="77777777" w:rsidR="00733E1C" w:rsidRPr="0067507D" w:rsidRDefault="00733E1C" w:rsidP="00733E1C">
      <w:pPr>
        <w:rPr>
          <w:rFonts w:eastAsia="Aptos"/>
          <w:i/>
          <w:iCs/>
          <w:lang w:eastAsia="en-US"/>
        </w:rPr>
      </w:pPr>
      <w:r w:rsidRPr="0067507D">
        <w:rPr>
          <w:rFonts w:eastAsia="Aptos"/>
          <w:i/>
          <w:iCs/>
          <w:lang w:eastAsia="en-US"/>
        </w:rPr>
        <w:t>Back to Work Act 2015</w:t>
      </w:r>
    </w:p>
    <w:p w14:paraId="07A6E8C1" w14:textId="45A56855" w:rsidR="00733E1C" w:rsidRPr="0067507D" w:rsidRDefault="00733E1C" w:rsidP="00733E1C">
      <w:pPr>
        <w:rPr>
          <w:rFonts w:eastAsia="Aptos"/>
          <w:i/>
          <w:iCs/>
          <w:lang w:eastAsia="en-US"/>
        </w:rPr>
      </w:pPr>
      <w:r w:rsidRPr="0067507D">
        <w:rPr>
          <w:rFonts w:eastAsia="Aptos"/>
          <w:i/>
          <w:iCs/>
          <w:lang w:eastAsia="en-US"/>
        </w:rPr>
        <w:t>Bank Integration Act 1992</w:t>
      </w:r>
    </w:p>
    <w:p w14:paraId="293BE93D" w14:textId="39027955" w:rsidR="00733E1C" w:rsidRPr="0067507D" w:rsidRDefault="00733E1C" w:rsidP="00733E1C">
      <w:pPr>
        <w:rPr>
          <w:rFonts w:eastAsia="Aptos"/>
          <w:i/>
          <w:iCs/>
          <w:lang w:eastAsia="en-US"/>
        </w:rPr>
      </w:pPr>
      <w:r w:rsidRPr="0067507D">
        <w:rPr>
          <w:rFonts w:eastAsia="Aptos"/>
          <w:i/>
          <w:iCs/>
          <w:lang w:eastAsia="en-US"/>
        </w:rPr>
        <w:t>Borrowing and Investment Powers Act 1987</w:t>
      </w:r>
    </w:p>
    <w:p w14:paraId="7A6F9AAE" w14:textId="6E2D9790" w:rsidR="00733E1C" w:rsidRPr="0067507D" w:rsidRDefault="00733E1C" w:rsidP="00733E1C">
      <w:pPr>
        <w:rPr>
          <w:rFonts w:eastAsia="Aptos"/>
          <w:i/>
          <w:iCs/>
          <w:lang w:eastAsia="en-US"/>
        </w:rPr>
      </w:pPr>
      <w:r w:rsidRPr="0067507D">
        <w:rPr>
          <w:rFonts w:eastAsia="Aptos"/>
          <w:i/>
          <w:iCs/>
          <w:lang w:eastAsia="en-US"/>
        </w:rPr>
        <w:t>Business Franchise (Petroleum Products) Act 1979</w:t>
      </w:r>
    </w:p>
    <w:p w14:paraId="268DF707" w14:textId="3A80CAAA" w:rsidR="00733E1C" w:rsidRPr="0067507D" w:rsidRDefault="00733E1C" w:rsidP="00733E1C">
      <w:pPr>
        <w:rPr>
          <w:rFonts w:eastAsia="Aptos"/>
          <w:i/>
          <w:iCs/>
          <w:lang w:eastAsia="en-US"/>
        </w:rPr>
      </w:pPr>
      <w:r w:rsidRPr="0067507D">
        <w:rPr>
          <w:rFonts w:eastAsia="Aptos"/>
          <w:i/>
          <w:iCs/>
          <w:lang w:eastAsia="en-US"/>
        </w:rPr>
        <w:t>Commonwealth Places (Mirror Taxes Administration) Act 1999</w:t>
      </w:r>
    </w:p>
    <w:p w14:paraId="2F4A9E16" w14:textId="5460A148" w:rsidR="00733E1C" w:rsidRPr="0067507D" w:rsidRDefault="00733E1C" w:rsidP="00733E1C">
      <w:pPr>
        <w:rPr>
          <w:rFonts w:eastAsia="Aptos"/>
          <w:i/>
          <w:iCs/>
          <w:lang w:eastAsia="en-US"/>
        </w:rPr>
      </w:pPr>
      <w:r w:rsidRPr="0067507D">
        <w:rPr>
          <w:rFonts w:eastAsia="Aptos"/>
          <w:i/>
          <w:iCs/>
          <w:lang w:eastAsia="en-US"/>
        </w:rPr>
        <w:t>Competition Policy Reform (Victoria) Act 1995</w:t>
      </w:r>
    </w:p>
    <w:p w14:paraId="5C9F83F6" w14:textId="69FEABBF" w:rsidR="00733E1C" w:rsidRPr="0067507D" w:rsidRDefault="00733E1C" w:rsidP="00733E1C">
      <w:pPr>
        <w:rPr>
          <w:rFonts w:eastAsia="Aptos"/>
          <w:i/>
          <w:iCs/>
          <w:lang w:eastAsia="en-US"/>
        </w:rPr>
      </w:pPr>
      <w:r w:rsidRPr="0067507D">
        <w:rPr>
          <w:rFonts w:eastAsia="Aptos"/>
          <w:i/>
          <w:iCs/>
          <w:lang w:eastAsia="en-US"/>
        </w:rPr>
        <w:t>Congestion Levy Act 2005</w:t>
      </w:r>
    </w:p>
    <w:p w14:paraId="6E9669A1" w14:textId="06FA5713" w:rsidR="00733E1C" w:rsidRPr="0067507D" w:rsidRDefault="00733E1C" w:rsidP="00733E1C">
      <w:pPr>
        <w:rPr>
          <w:rFonts w:eastAsia="VIC" w:cs="VIC"/>
        </w:rPr>
      </w:pPr>
      <w:r w:rsidRPr="0067507D">
        <w:rPr>
          <w:rFonts w:eastAsia="VIC" w:cs="VIC"/>
          <w:i/>
          <w:iCs/>
        </w:rPr>
        <w:t>Constitution Act 1975</w:t>
      </w:r>
      <w:r w:rsidRPr="0067507D">
        <w:rPr>
          <w:rFonts w:eastAsia="VIC" w:cs="VIC"/>
        </w:rPr>
        <w:t xml:space="preserve"> –</w:t>
      </w:r>
    </w:p>
    <w:p w14:paraId="1B5F2998" w14:textId="127C5AEC" w:rsidR="00733E1C" w:rsidRPr="0067507D" w:rsidRDefault="00733E1C" w:rsidP="00733E1C">
      <w:pPr>
        <w:pStyle w:val="Bullet"/>
        <w:rPr>
          <w:rFonts w:eastAsia="VIC"/>
        </w:rPr>
      </w:pPr>
      <w:r w:rsidRPr="0067507D">
        <w:rPr>
          <w:rFonts w:eastAsia="VIC"/>
        </w:rPr>
        <w:t>Section 88 in so far as it relates to the appointment of the Commissioner</w:t>
      </w:r>
      <w:r w:rsidRPr="0067507D">
        <w:rPr>
          <w:rFonts w:ascii="Calibri" w:eastAsia="VIC" w:hAnsi="Calibri" w:cs="Calibri"/>
        </w:rPr>
        <w:t> </w:t>
      </w:r>
      <w:r w:rsidRPr="0067507D">
        <w:rPr>
          <w:rFonts w:eastAsia="VIC"/>
        </w:rPr>
        <w:t>with responsibi</w:t>
      </w:r>
      <w:r w:rsidRPr="0067507D">
        <w:rPr>
          <w:rStyle w:val="BulletChar"/>
          <w:rFonts w:eastAsia="VIC"/>
        </w:rPr>
        <w:t xml:space="preserve">lity for providing independent advice in accordance with section 10(3) of the </w:t>
      </w:r>
      <w:r w:rsidRPr="0067507D">
        <w:rPr>
          <w:rStyle w:val="BulletChar"/>
          <w:rFonts w:eastAsia="VIC"/>
          <w:i/>
        </w:rPr>
        <w:t>Subordinate Legislation Act 1994</w:t>
      </w:r>
      <w:r w:rsidRPr="0067507D">
        <w:rPr>
          <w:rStyle w:val="BulletChar"/>
          <w:rFonts w:eastAsia="VIC"/>
        </w:rPr>
        <w:t xml:space="preserve"> and who, as at 1</w:t>
      </w:r>
      <w:r w:rsidR="00D31F7C" w:rsidRPr="0067507D">
        <w:rPr>
          <w:rStyle w:val="BulletChar"/>
          <w:rFonts w:ascii="Calibri" w:eastAsia="VIC" w:hAnsi="Calibri" w:cs="Calibri"/>
        </w:rPr>
        <w:t> </w:t>
      </w:r>
      <w:r w:rsidRPr="0067507D">
        <w:rPr>
          <w:rStyle w:val="BulletChar"/>
          <w:rFonts w:eastAsia="VIC"/>
        </w:rPr>
        <w:t>April 2024, is known as the Commissio</w:t>
      </w:r>
      <w:r w:rsidRPr="0067507D">
        <w:rPr>
          <w:rFonts w:eastAsia="VIC"/>
        </w:rPr>
        <w:t xml:space="preserve">ner for Economic Growth and Better Regulation (in so far as it relates to those matters, this section is jointly and severally administered with the </w:t>
      </w:r>
      <w:r w:rsidR="00C33FF0" w:rsidRPr="0067507D">
        <w:rPr>
          <w:rFonts w:eastAsia="VIC"/>
        </w:rPr>
        <w:t>Minister for Finance</w:t>
      </w:r>
      <w:r w:rsidRPr="0067507D">
        <w:rPr>
          <w:rFonts w:eastAsia="VIC"/>
        </w:rPr>
        <w:t>)</w:t>
      </w:r>
    </w:p>
    <w:p w14:paraId="2CCB7979" w14:textId="65931D57" w:rsidR="00733E1C" w:rsidRPr="0067507D" w:rsidRDefault="00733E1C" w:rsidP="00733E1C">
      <w:pPr>
        <w:pStyle w:val="NormalIndent"/>
        <w:rPr>
          <w:rFonts w:eastAsia="VIC"/>
        </w:rPr>
      </w:pPr>
      <w:r w:rsidRPr="0067507D">
        <w:rPr>
          <w:rFonts w:eastAsia="VIC"/>
        </w:rPr>
        <w:t xml:space="preserve">(The Act is otherwise administrated by the </w:t>
      </w:r>
      <w:r w:rsidR="00C33FF0" w:rsidRPr="0067507D">
        <w:rPr>
          <w:rFonts w:eastAsia="VIC"/>
        </w:rPr>
        <w:t>Minister for Finance</w:t>
      </w:r>
      <w:r w:rsidRPr="0067507D">
        <w:rPr>
          <w:rFonts w:eastAsia="VIC"/>
        </w:rPr>
        <w:t>, the Attorney</w:t>
      </w:r>
      <w:r w:rsidR="006A5485">
        <w:rPr>
          <w:rFonts w:eastAsia="VIC"/>
        </w:rPr>
        <w:noBreakHyphen/>
      </w:r>
      <w:r w:rsidRPr="0067507D">
        <w:rPr>
          <w:rFonts w:eastAsia="VIC"/>
        </w:rPr>
        <w:t>General and the Premier)</w:t>
      </w:r>
    </w:p>
    <w:p w14:paraId="14FFD4DA" w14:textId="4D780830" w:rsidR="00733E1C" w:rsidRPr="0067507D" w:rsidRDefault="00733E1C" w:rsidP="00733E1C">
      <w:pPr>
        <w:rPr>
          <w:rFonts w:eastAsia="Aptos"/>
          <w:i/>
          <w:iCs/>
          <w:lang w:eastAsia="en-US"/>
        </w:rPr>
      </w:pPr>
      <w:r w:rsidRPr="0067507D">
        <w:rPr>
          <w:rFonts w:eastAsia="Aptos"/>
          <w:i/>
          <w:iCs/>
          <w:lang w:eastAsia="en-US"/>
        </w:rPr>
        <w:t>Co</w:t>
      </w:r>
      <w:r w:rsidR="006A5485">
        <w:rPr>
          <w:rFonts w:eastAsia="Aptos"/>
          <w:i/>
          <w:iCs/>
          <w:lang w:eastAsia="en-US"/>
        </w:rPr>
        <w:noBreakHyphen/>
      </w:r>
      <w:r w:rsidRPr="0067507D">
        <w:rPr>
          <w:rFonts w:eastAsia="Aptos"/>
          <w:i/>
          <w:iCs/>
          <w:lang w:eastAsia="en-US"/>
        </w:rPr>
        <w:t>operative Housing Societies Act 1958</w:t>
      </w:r>
    </w:p>
    <w:p w14:paraId="35956405" w14:textId="77777777" w:rsidR="00733E1C" w:rsidRPr="0067507D" w:rsidRDefault="00733E1C" w:rsidP="00733E1C">
      <w:pPr>
        <w:rPr>
          <w:rFonts w:eastAsia="Aptos"/>
          <w:i/>
          <w:iCs/>
          <w:lang w:eastAsia="en-US"/>
        </w:rPr>
      </w:pPr>
      <w:r w:rsidRPr="0067507D">
        <w:rPr>
          <w:rFonts w:eastAsia="Aptos"/>
          <w:i/>
          <w:iCs/>
          <w:lang w:eastAsia="en-US"/>
        </w:rPr>
        <w:t>Delivering Victorian Infrastructure (Port of Melbourne Lease Transaction) Act 2016</w:t>
      </w:r>
    </w:p>
    <w:p w14:paraId="3F2AEFD4" w14:textId="32A2A96F" w:rsidR="00733E1C" w:rsidRPr="0067507D" w:rsidRDefault="00733E1C" w:rsidP="00733E1C">
      <w:pPr>
        <w:rPr>
          <w:rFonts w:eastAsia="Aptos"/>
          <w:i/>
          <w:iCs/>
          <w:lang w:eastAsia="en-US"/>
        </w:rPr>
      </w:pPr>
      <w:r w:rsidRPr="0067507D">
        <w:rPr>
          <w:rFonts w:eastAsia="Aptos"/>
          <w:i/>
          <w:iCs/>
          <w:lang w:eastAsia="en-US"/>
        </w:rPr>
        <w:t>Duties Act 2000</w:t>
      </w:r>
    </w:p>
    <w:p w14:paraId="6D3F73F3" w14:textId="661B520E" w:rsidR="00733E1C" w:rsidRPr="0067507D" w:rsidRDefault="00733E1C" w:rsidP="00733E1C">
      <w:pPr>
        <w:rPr>
          <w:rFonts w:eastAsia="Aptos"/>
          <w:i/>
          <w:iCs/>
          <w:lang w:eastAsia="en-US"/>
        </w:rPr>
      </w:pPr>
      <w:r w:rsidRPr="0067507D">
        <w:rPr>
          <w:rFonts w:eastAsia="Aptos"/>
          <w:i/>
          <w:iCs/>
          <w:lang w:eastAsia="en-US"/>
        </w:rPr>
        <w:t>Educational Institutions (Guarantees) Act 1976</w:t>
      </w:r>
    </w:p>
    <w:p w14:paraId="36502C9C" w14:textId="19ABEB43" w:rsidR="00733E1C" w:rsidRPr="0067507D" w:rsidRDefault="00733E1C" w:rsidP="00733E1C">
      <w:pPr>
        <w:rPr>
          <w:rFonts w:eastAsia="Aptos"/>
          <w:i/>
          <w:iCs/>
          <w:lang w:eastAsia="en-US"/>
        </w:rPr>
      </w:pPr>
      <w:r w:rsidRPr="0067507D">
        <w:rPr>
          <w:rFonts w:eastAsia="Aptos"/>
          <w:i/>
          <w:iCs/>
          <w:lang w:eastAsia="en-US"/>
        </w:rPr>
        <w:t>Electricity Industry (Residual Provisions) Act 1993</w:t>
      </w:r>
    </w:p>
    <w:p w14:paraId="3CCC35E9" w14:textId="3E3A304A" w:rsidR="00733E1C" w:rsidRPr="0067507D" w:rsidRDefault="00733E1C" w:rsidP="00733E1C">
      <w:pPr>
        <w:rPr>
          <w:rFonts w:eastAsia="Aptos"/>
          <w:i/>
          <w:iCs/>
          <w:lang w:eastAsia="en-US"/>
        </w:rPr>
      </w:pPr>
      <w:r w:rsidRPr="0067507D">
        <w:rPr>
          <w:rFonts w:eastAsia="Aptos"/>
          <w:i/>
          <w:iCs/>
          <w:lang w:eastAsia="en-US"/>
        </w:rPr>
        <w:lastRenderedPageBreak/>
        <w:t>Financial Agreement Act 1994</w:t>
      </w:r>
    </w:p>
    <w:p w14:paraId="013D124D" w14:textId="4E505D0E" w:rsidR="00733E1C" w:rsidRPr="0067507D" w:rsidRDefault="00733E1C" w:rsidP="00733E1C">
      <w:pPr>
        <w:keepNext/>
        <w:rPr>
          <w:rFonts w:eastAsia="Aptos"/>
          <w:i/>
          <w:iCs/>
          <w:lang w:eastAsia="en-US"/>
        </w:rPr>
      </w:pPr>
      <w:r w:rsidRPr="0067507D">
        <w:rPr>
          <w:rFonts w:eastAsia="Aptos"/>
          <w:i/>
          <w:iCs/>
          <w:lang w:eastAsia="en-US"/>
        </w:rPr>
        <w:t>Financial Management Act 1994</w:t>
      </w:r>
      <w:r w:rsidRPr="0067507D">
        <w:rPr>
          <w:rFonts w:eastAsia="Aptos"/>
          <w:lang w:eastAsia="en-US"/>
        </w:rPr>
        <w:t xml:space="preserve"> – </w:t>
      </w:r>
      <w:r w:rsidRPr="0067507D">
        <w:rPr>
          <w:rFonts w:eastAsia="VIC" w:cs="VIC"/>
        </w:rPr>
        <w:t>except:</w:t>
      </w:r>
    </w:p>
    <w:p w14:paraId="1EF3C19B" w14:textId="521C9400" w:rsidR="00733E1C" w:rsidRPr="0067507D" w:rsidRDefault="00733E1C" w:rsidP="00733E1C">
      <w:pPr>
        <w:pStyle w:val="Bullet"/>
        <w:keepNext/>
        <w:rPr>
          <w:rFonts w:eastAsia="Aptos"/>
          <w:lang w:eastAsia="en-US"/>
        </w:rPr>
      </w:pPr>
      <w:r w:rsidRPr="0067507D">
        <w:rPr>
          <w:rFonts w:eastAsia="Aptos"/>
          <w:lang w:eastAsia="en-US"/>
        </w:rPr>
        <w:t>Sections 1</w:t>
      </w:r>
      <w:r w:rsidR="006A5485">
        <w:rPr>
          <w:rFonts w:eastAsia="Aptos"/>
          <w:lang w:eastAsia="en-US"/>
        </w:rPr>
        <w:noBreakHyphen/>
      </w:r>
      <w:r w:rsidRPr="0067507D">
        <w:rPr>
          <w:rFonts w:eastAsia="Aptos"/>
          <w:lang w:eastAsia="en-US"/>
        </w:rPr>
        <w:t xml:space="preserve">3 and 7 (these provisions are jointly administered with the </w:t>
      </w:r>
      <w:r w:rsidR="009F55EC" w:rsidRPr="0067507D">
        <w:rPr>
          <w:rFonts w:eastAsia="Aptos"/>
          <w:lang w:eastAsia="en-US"/>
        </w:rPr>
        <w:t>Minister for Finance</w:t>
      </w:r>
      <w:r w:rsidRPr="0067507D">
        <w:rPr>
          <w:rFonts w:eastAsia="Aptos"/>
          <w:lang w:eastAsia="en-US"/>
        </w:rPr>
        <w:t>)</w:t>
      </w:r>
      <w:r w:rsidRPr="0067507D">
        <w:rPr>
          <w:rFonts w:ascii="Calibri" w:eastAsia="VIC" w:hAnsi="Calibri" w:cs="Calibri"/>
          <w:iCs/>
        </w:rPr>
        <w:t> </w:t>
      </w:r>
    </w:p>
    <w:p w14:paraId="0857228B" w14:textId="057CA790" w:rsidR="00733E1C" w:rsidRPr="0067507D" w:rsidRDefault="00733E1C" w:rsidP="00733E1C">
      <w:pPr>
        <w:pStyle w:val="Bullet"/>
        <w:keepNext/>
        <w:rPr>
          <w:rFonts w:eastAsia="Aptos"/>
          <w:lang w:eastAsia="en-US"/>
        </w:rPr>
      </w:pPr>
      <w:r w:rsidRPr="0067507D">
        <w:rPr>
          <w:rFonts w:eastAsia="Aptos"/>
          <w:lang w:eastAsia="en-US"/>
        </w:rPr>
        <w:t>Parts 7, 7B, 8, sections 5, 6, 8, 13</w:t>
      </w:r>
      <w:r w:rsidR="006A5485">
        <w:rPr>
          <w:rFonts w:eastAsia="Aptos"/>
          <w:lang w:eastAsia="en-US"/>
        </w:rPr>
        <w:noBreakHyphen/>
      </w:r>
      <w:r w:rsidRPr="0067507D">
        <w:rPr>
          <w:rFonts w:eastAsia="Aptos"/>
          <w:lang w:eastAsia="en-US"/>
        </w:rPr>
        <w:t>16, 18</w:t>
      </w:r>
      <w:r w:rsidR="006A5485">
        <w:rPr>
          <w:rFonts w:eastAsia="Aptos"/>
          <w:lang w:eastAsia="en-US"/>
        </w:rPr>
        <w:noBreakHyphen/>
      </w:r>
      <w:r w:rsidRPr="0067507D">
        <w:rPr>
          <w:rFonts w:eastAsia="Aptos"/>
          <w:lang w:eastAsia="en-US"/>
        </w:rPr>
        <w:t>23(1), 27A</w:t>
      </w:r>
      <w:r w:rsidRPr="0067507D">
        <w:rPr>
          <w:rFonts w:eastAsia="VIC" w:cs="VIC"/>
          <w:iCs/>
        </w:rPr>
        <w:noBreakHyphen/>
      </w:r>
      <w:r w:rsidRPr="0067507D">
        <w:rPr>
          <w:rFonts w:eastAsia="Aptos"/>
          <w:lang w:eastAsia="en-US"/>
        </w:rPr>
        <w:t>27C and 62</w:t>
      </w:r>
      <w:r w:rsidR="006A5485">
        <w:rPr>
          <w:rFonts w:eastAsia="Aptos"/>
          <w:lang w:eastAsia="en-US"/>
        </w:rPr>
        <w:noBreakHyphen/>
      </w:r>
      <w:r w:rsidRPr="0067507D">
        <w:rPr>
          <w:rFonts w:eastAsia="Aptos"/>
          <w:lang w:eastAsia="en-US"/>
        </w:rPr>
        <w:t xml:space="preserve">63 (these provisions are administered by the </w:t>
      </w:r>
      <w:r w:rsidR="009F55EC" w:rsidRPr="0067507D">
        <w:rPr>
          <w:rFonts w:eastAsia="Aptos"/>
          <w:lang w:eastAsia="en-US"/>
        </w:rPr>
        <w:t>Minister for Finance</w:t>
      </w:r>
      <w:r w:rsidRPr="0067507D">
        <w:rPr>
          <w:rFonts w:eastAsia="Aptos"/>
          <w:lang w:eastAsia="en-US"/>
        </w:rPr>
        <w:t>)</w:t>
      </w:r>
    </w:p>
    <w:p w14:paraId="11D4D533" w14:textId="77777777" w:rsidR="00733E1C" w:rsidRPr="0067507D" w:rsidRDefault="00733E1C" w:rsidP="00733E1C">
      <w:pPr>
        <w:pStyle w:val="Bullet"/>
        <w:rPr>
          <w:rFonts w:eastAsia="Aptos"/>
          <w:lang w:eastAsia="en-US"/>
        </w:rPr>
      </w:pPr>
      <w:r w:rsidRPr="0067507D">
        <w:rPr>
          <w:rFonts w:eastAsia="Aptos"/>
          <w:lang w:eastAsia="en-US"/>
        </w:rPr>
        <w:t>Part 7A (these provisions are administered by the Minister for Government Services)</w:t>
      </w:r>
    </w:p>
    <w:p w14:paraId="2D03C52E" w14:textId="1D2FBD48" w:rsidR="00733E1C" w:rsidRPr="0067507D" w:rsidRDefault="00733E1C" w:rsidP="00733E1C">
      <w:pPr>
        <w:pStyle w:val="Bullet"/>
        <w:rPr>
          <w:rFonts w:eastAsia="Aptos"/>
          <w:lang w:eastAsia="en-US"/>
        </w:rPr>
      </w:pPr>
      <w:r w:rsidRPr="0067507D">
        <w:rPr>
          <w:rFonts w:eastAsia="Aptos"/>
          <w:lang w:eastAsia="en-US"/>
        </w:rPr>
        <w:t xml:space="preserve">Part 7C and section 59 in so far as it relates to the prescription of a matter for the purposes of Part 7C (these provisions are jointly administered with the </w:t>
      </w:r>
      <w:r w:rsidR="009F55EC" w:rsidRPr="0067507D">
        <w:rPr>
          <w:rFonts w:eastAsia="Aptos"/>
          <w:lang w:eastAsia="en-US"/>
        </w:rPr>
        <w:t>Minister for Finance</w:t>
      </w:r>
      <w:r w:rsidRPr="0067507D">
        <w:rPr>
          <w:rFonts w:eastAsia="Aptos"/>
          <w:lang w:eastAsia="en-US"/>
        </w:rPr>
        <w:t>)</w:t>
      </w:r>
    </w:p>
    <w:p w14:paraId="0FB09871" w14:textId="4A2D4623" w:rsidR="009F55EC" w:rsidRPr="0067507D" w:rsidRDefault="007D6C3F" w:rsidP="00733E1C">
      <w:pPr>
        <w:pStyle w:val="Bullet"/>
        <w:rPr>
          <w:rFonts w:eastAsia="Aptos"/>
          <w:lang w:eastAsia="en-US"/>
        </w:rPr>
      </w:pPr>
      <w:r w:rsidRPr="0067507D">
        <w:rPr>
          <w:rFonts w:eastAsia="Aptos"/>
          <w:lang w:eastAsia="en-US"/>
        </w:rPr>
        <w:t>Section 54O (this section is jointly and severally administered by the Minister for Finance and the Minister for Government Services)</w:t>
      </w:r>
    </w:p>
    <w:p w14:paraId="04B04806" w14:textId="7B008BEE" w:rsidR="00733E1C" w:rsidRPr="0067507D" w:rsidRDefault="00733E1C" w:rsidP="00733E1C">
      <w:pPr>
        <w:rPr>
          <w:rFonts w:eastAsia="Aptos"/>
          <w:i/>
          <w:iCs/>
          <w:lang w:eastAsia="en-US"/>
        </w:rPr>
      </w:pPr>
      <w:r w:rsidRPr="0067507D">
        <w:rPr>
          <w:rFonts w:eastAsia="Aptos"/>
          <w:lang w:eastAsia="en-US"/>
        </w:rPr>
        <w:t>F</w:t>
      </w:r>
      <w:r w:rsidRPr="0067507D">
        <w:rPr>
          <w:rFonts w:eastAsia="Aptos"/>
          <w:i/>
          <w:iCs/>
          <w:lang w:eastAsia="en-US"/>
        </w:rPr>
        <w:t>inancial Sector Reform (Victoria) Act 1999</w:t>
      </w:r>
    </w:p>
    <w:p w14:paraId="79C7C2E3" w14:textId="77777777" w:rsidR="00733E1C" w:rsidRPr="0067507D" w:rsidRDefault="00733E1C" w:rsidP="00733E1C">
      <w:pPr>
        <w:rPr>
          <w:rFonts w:eastAsia="Aptos"/>
          <w:i/>
          <w:iCs/>
          <w:lang w:eastAsia="en-US"/>
        </w:rPr>
      </w:pPr>
      <w:r w:rsidRPr="0067507D">
        <w:rPr>
          <w:rFonts w:eastAsia="Aptos"/>
          <w:i/>
          <w:iCs/>
          <w:lang w:eastAsia="en-US"/>
        </w:rPr>
        <w:t>Fire Services Property Levy Act 2012</w:t>
      </w:r>
    </w:p>
    <w:p w14:paraId="7F8C8991" w14:textId="468CDB53" w:rsidR="00733E1C" w:rsidRPr="0067507D" w:rsidRDefault="00733E1C" w:rsidP="00733E1C">
      <w:pPr>
        <w:rPr>
          <w:rFonts w:eastAsia="Aptos"/>
          <w:i/>
          <w:iCs/>
          <w:lang w:eastAsia="en-US"/>
        </w:rPr>
      </w:pPr>
      <w:r w:rsidRPr="0067507D">
        <w:rPr>
          <w:rFonts w:eastAsia="Aptos"/>
          <w:i/>
          <w:iCs/>
          <w:lang w:eastAsia="en-US"/>
        </w:rPr>
        <w:t>First Home Owner Grant Act 2000</w:t>
      </w:r>
    </w:p>
    <w:p w14:paraId="4D867517" w14:textId="0AF97809" w:rsidR="00733E1C" w:rsidRPr="0067507D" w:rsidRDefault="00733E1C" w:rsidP="00733E1C">
      <w:pPr>
        <w:rPr>
          <w:rFonts w:eastAsia="Aptos"/>
          <w:lang w:eastAsia="en-US"/>
        </w:rPr>
      </w:pPr>
      <w:r w:rsidRPr="0067507D">
        <w:rPr>
          <w:rFonts w:eastAsia="Aptos"/>
          <w:i/>
          <w:iCs/>
          <w:lang w:eastAsia="en-US"/>
        </w:rPr>
        <w:t>Gambling Regulation Act 2003</w:t>
      </w:r>
      <w:r w:rsidRPr="0067507D">
        <w:rPr>
          <w:rFonts w:eastAsia="Aptos"/>
          <w:lang w:eastAsia="en-US"/>
        </w:rPr>
        <w:t xml:space="preserve"> –</w:t>
      </w:r>
    </w:p>
    <w:p w14:paraId="3A46BF1C" w14:textId="77777777" w:rsidR="00733E1C" w:rsidRPr="0067507D" w:rsidRDefault="00733E1C" w:rsidP="00733E1C">
      <w:pPr>
        <w:pStyle w:val="Bullet"/>
        <w:rPr>
          <w:rFonts w:eastAsia="Aptos"/>
          <w:lang w:eastAsia="en-US"/>
        </w:rPr>
      </w:pPr>
      <w:r w:rsidRPr="0067507D">
        <w:rPr>
          <w:rFonts w:eastAsia="Aptos"/>
          <w:lang w:eastAsia="en-US"/>
        </w:rPr>
        <w:t>Section 3.4.33</w:t>
      </w:r>
    </w:p>
    <w:p w14:paraId="471E6126" w14:textId="77777777" w:rsidR="00733E1C" w:rsidRPr="0067507D" w:rsidRDefault="00733E1C" w:rsidP="00733E1C">
      <w:pPr>
        <w:pStyle w:val="Bullet"/>
        <w:rPr>
          <w:rFonts w:eastAsia="Aptos"/>
          <w:lang w:eastAsia="en-US"/>
        </w:rPr>
      </w:pPr>
      <w:r w:rsidRPr="0067507D">
        <w:rPr>
          <w:rFonts w:eastAsia="Aptos"/>
          <w:lang w:eastAsia="en-US"/>
        </w:rPr>
        <w:t>Section 4.3.12</w:t>
      </w:r>
    </w:p>
    <w:p w14:paraId="7381CFAF" w14:textId="77777777" w:rsidR="00733E1C" w:rsidRPr="0067507D" w:rsidRDefault="00733E1C" w:rsidP="00733E1C">
      <w:pPr>
        <w:pStyle w:val="Bullet"/>
        <w:rPr>
          <w:rFonts w:eastAsia="Aptos"/>
          <w:lang w:eastAsia="en-US"/>
        </w:rPr>
      </w:pPr>
      <w:r w:rsidRPr="0067507D">
        <w:rPr>
          <w:rFonts w:eastAsia="Aptos"/>
          <w:lang w:eastAsia="en-US"/>
        </w:rPr>
        <w:t>Section 6A.4.2</w:t>
      </w:r>
    </w:p>
    <w:p w14:paraId="56096775" w14:textId="77777777" w:rsidR="00733E1C" w:rsidRPr="0067507D" w:rsidRDefault="00733E1C" w:rsidP="00733E1C">
      <w:pPr>
        <w:pStyle w:val="Bullet"/>
        <w:rPr>
          <w:rFonts w:eastAsia="Aptos"/>
          <w:lang w:eastAsia="en-US"/>
        </w:rPr>
      </w:pPr>
      <w:r w:rsidRPr="0067507D">
        <w:rPr>
          <w:rFonts w:eastAsia="Aptos"/>
          <w:lang w:eastAsia="en-US"/>
        </w:rPr>
        <w:t>Division 1 of Part 3 of Chapter 10</w:t>
      </w:r>
    </w:p>
    <w:p w14:paraId="41D2C926" w14:textId="77777777" w:rsidR="00733E1C" w:rsidRPr="0067507D" w:rsidRDefault="00733E1C" w:rsidP="00733E1C">
      <w:pPr>
        <w:pStyle w:val="Bullet"/>
        <w:rPr>
          <w:rFonts w:eastAsia="Aptos"/>
          <w:lang w:eastAsia="en-US"/>
        </w:rPr>
      </w:pPr>
      <w:r w:rsidRPr="0067507D">
        <w:rPr>
          <w:rFonts w:eastAsia="Aptos"/>
          <w:lang w:eastAsia="en-US"/>
        </w:rPr>
        <w:t>Part 6A of Chapter 4</w:t>
      </w:r>
    </w:p>
    <w:p w14:paraId="4E7B81E2" w14:textId="77777777" w:rsidR="00733E1C" w:rsidRPr="0067507D" w:rsidRDefault="00733E1C" w:rsidP="00733E1C">
      <w:pPr>
        <w:pStyle w:val="NormalIndent"/>
        <w:rPr>
          <w:rFonts w:eastAsia="Aptos"/>
          <w:lang w:eastAsia="en-US"/>
        </w:rPr>
      </w:pPr>
      <w:r w:rsidRPr="0067507D">
        <w:rPr>
          <w:rFonts w:eastAsia="Aptos"/>
          <w:lang w:eastAsia="en-US"/>
        </w:rPr>
        <w:t>(The Act is otherwise administered by the Minister for Casino,</w:t>
      </w:r>
      <w:r w:rsidRPr="0067507D">
        <w:rPr>
          <w:rFonts w:ascii="Calibri" w:eastAsia="VIC" w:hAnsi="Calibri" w:cs="Calibri"/>
          <w:iCs/>
        </w:rPr>
        <w:t xml:space="preserve"> </w:t>
      </w:r>
      <w:r w:rsidRPr="0067507D">
        <w:rPr>
          <w:rFonts w:eastAsia="Aptos"/>
          <w:lang w:eastAsia="en-US"/>
        </w:rPr>
        <w:t>Gaming and Liquor Regulation and the Minister for Racing)</w:t>
      </w:r>
    </w:p>
    <w:p w14:paraId="73329516" w14:textId="783187CC" w:rsidR="00733E1C" w:rsidRPr="0067507D" w:rsidRDefault="00733E1C" w:rsidP="00733E1C">
      <w:pPr>
        <w:rPr>
          <w:rFonts w:eastAsia="VIC"/>
          <w:i/>
          <w:iCs/>
        </w:rPr>
      </w:pPr>
      <w:r w:rsidRPr="0067507D">
        <w:rPr>
          <w:rFonts w:eastAsia="VIC"/>
          <w:i/>
          <w:iCs/>
        </w:rPr>
        <w:t>Gambling Taxation Act</w:t>
      </w:r>
      <w:r w:rsidRPr="0067507D">
        <w:rPr>
          <w:rFonts w:ascii="Calibri" w:eastAsia="VIC" w:hAnsi="Calibri" w:cs="Calibri"/>
          <w:i/>
          <w:iCs/>
        </w:rPr>
        <w:t xml:space="preserve"> </w:t>
      </w:r>
      <w:r w:rsidRPr="0067507D">
        <w:rPr>
          <w:rFonts w:eastAsia="VIC"/>
          <w:i/>
          <w:iCs/>
        </w:rPr>
        <w:t>2023</w:t>
      </w:r>
    </w:p>
    <w:p w14:paraId="768E72F6" w14:textId="65D57E09" w:rsidR="00733E1C" w:rsidRPr="0067507D" w:rsidRDefault="00733E1C" w:rsidP="00733E1C">
      <w:pPr>
        <w:rPr>
          <w:rFonts w:eastAsia="Aptos"/>
          <w:i/>
          <w:iCs/>
          <w:szCs w:val="22"/>
          <w:lang w:eastAsia="en-US"/>
        </w:rPr>
      </w:pPr>
      <w:r w:rsidRPr="0067507D">
        <w:rPr>
          <w:rFonts w:eastAsia="Aptos"/>
          <w:i/>
          <w:iCs/>
          <w:szCs w:val="22"/>
          <w:lang w:eastAsia="en-US"/>
        </w:rPr>
        <w:t>Gas and Fuel Corporation (Heatane Gas) Act 1993</w:t>
      </w:r>
    </w:p>
    <w:p w14:paraId="51DD3EE1" w14:textId="69CAF601" w:rsidR="00733E1C" w:rsidRPr="0067507D" w:rsidRDefault="00733E1C" w:rsidP="00733E1C">
      <w:pPr>
        <w:rPr>
          <w:rFonts w:eastAsia="Aptos"/>
          <w:i/>
          <w:iCs/>
          <w:szCs w:val="22"/>
          <w:lang w:eastAsia="en-US"/>
        </w:rPr>
      </w:pPr>
      <w:r w:rsidRPr="0067507D">
        <w:rPr>
          <w:rFonts w:eastAsia="Aptos"/>
          <w:i/>
          <w:iCs/>
          <w:szCs w:val="22"/>
          <w:lang w:eastAsia="en-US"/>
        </w:rPr>
        <w:t>Gas Industry (Residual Provisions) Act 1994</w:t>
      </w:r>
    </w:p>
    <w:p w14:paraId="2FC20CCA" w14:textId="09B6E8FF" w:rsidR="00733E1C" w:rsidRPr="0067507D" w:rsidRDefault="00733E1C" w:rsidP="00733E1C">
      <w:pPr>
        <w:rPr>
          <w:rFonts w:eastAsia="Aptos"/>
          <w:szCs w:val="22"/>
          <w:lang w:eastAsia="en-US"/>
        </w:rPr>
      </w:pPr>
      <w:r w:rsidRPr="0067507D">
        <w:rPr>
          <w:rFonts w:eastAsia="Aptos"/>
          <w:i/>
          <w:iCs/>
          <w:szCs w:val="22"/>
          <w:lang w:eastAsia="en-US"/>
        </w:rPr>
        <w:t>Grain Handling and Storage Act 1995</w:t>
      </w:r>
      <w:r w:rsidRPr="0067507D">
        <w:rPr>
          <w:rFonts w:eastAsia="Aptos"/>
          <w:szCs w:val="22"/>
          <w:lang w:eastAsia="en-US"/>
        </w:rPr>
        <w:t xml:space="preserve"> – </w:t>
      </w:r>
      <w:r w:rsidRPr="0067507D">
        <w:rPr>
          <w:rFonts w:eastAsia="VIC"/>
        </w:rPr>
        <w:t>except:</w:t>
      </w:r>
    </w:p>
    <w:p w14:paraId="42716D10" w14:textId="77777777" w:rsidR="00733E1C" w:rsidRPr="0067507D" w:rsidRDefault="00733E1C" w:rsidP="00733E1C">
      <w:pPr>
        <w:pStyle w:val="Bullet"/>
        <w:rPr>
          <w:rFonts w:eastAsia="Aptos"/>
          <w:lang w:eastAsia="en-US"/>
        </w:rPr>
      </w:pPr>
      <w:r w:rsidRPr="0067507D">
        <w:rPr>
          <w:rFonts w:eastAsia="Aptos"/>
          <w:lang w:eastAsia="en-US"/>
        </w:rPr>
        <w:t>Part 3 (this Part is administered by the Minister for Agriculture)</w:t>
      </w:r>
      <w:r w:rsidRPr="0067507D">
        <w:rPr>
          <w:rFonts w:ascii="Calibri" w:eastAsia="VIC" w:hAnsi="Calibri" w:cs="Calibri"/>
          <w:iCs/>
        </w:rPr>
        <w:t> </w:t>
      </w:r>
    </w:p>
    <w:p w14:paraId="1471C3D3" w14:textId="77777777" w:rsidR="00733E1C" w:rsidRPr="0067507D" w:rsidRDefault="00733E1C" w:rsidP="00733E1C">
      <w:pPr>
        <w:rPr>
          <w:rFonts w:eastAsia="Aptos"/>
          <w:i/>
          <w:iCs/>
          <w:lang w:eastAsia="en-US"/>
        </w:rPr>
      </w:pPr>
      <w:r w:rsidRPr="0067507D">
        <w:rPr>
          <w:rFonts w:eastAsia="Aptos"/>
          <w:i/>
          <w:iCs/>
          <w:lang w:eastAsia="en-US"/>
        </w:rPr>
        <w:t>Infrastructure Victoria Act 2015</w:t>
      </w:r>
    </w:p>
    <w:p w14:paraId="6B72344A" w14:textId="1240CD9F" w:rsidR="00733E1C" w:rsidRPr="0067507D" w:rsidRDefault="00733E1C" w:rsidP="00733E1C">
      <w:pPr>
        <w:rPr>
          <w:rFonts w:eastAsia="Aptos"/>
          <w:i/>
          <w:iCs/>
          <w:lang w:eastAsia="en-US"/>
        </w:rPr>
      </w:pPr>
      <w:r w:rsidRPr="0067507D">
        <w:rPr>
          <w:rFonts w:eastAsia="Aptos"/>
          <w:i/>
          <w:iCs/>
          <w:lang w:eastAsia="en-US"/>
        </w:rPr>
        <w:t>Land Tax Act 2005</w:t>
      </w:r>
    </w:p>
    <w:p w14:paraId="174CF565" w14:textId="5CD2A403" w:rsidR="00733E1C" w:rsidRPr="0067507D" w:rsidRDefault="00733E1C" w:rsidP="00733E1C">
      <w:pPr>
        <w:rPr>
          <w:rFonts w:eastAsia="Aptos"/>
          <w:i/>
          <w:iCs/>
          <w:lang w:eastAsia="en-US"/>
        </w:rPr>
      </w:pPr>
      <w:r w:rsidRPr="0067507D">
        <w:rPr>
          <w:rFonts w:eastAsia="Aptos"/>
          <w:i/>
          <w:iCs/>
          <w:lang w:eastAsia="en-US"/>
        </w:rPr>
        <w:t>Loy Yang B Act 1992</w:t>
      </w:r>
    </w:p>
    <w:p w14:paraId="7E6ED690" w14:textId="25048E87" w:rsidR="00733E1C" w:rsidRPr="0067507D" w:rsidRDefault="00733E1C" w:rsidP="00733E1C">
      <w:pPr>
        <w:rPr>
          <w:rFonts w:eastAsia="Aptos"/>
          <w:i/>
          <w:iCs/>
          <w:lang w:eastAsia="en-US"/>
        </w:rPr>
      </w:pPr>
      <w:r w:rsidRPr="0067507D">
        <w:rPr>
          <w:rFonts w:eastAsia="Aptos"/>
          <w:i/>
          <w:iCs/>
          <w:lang w:eastAsia="en-US"/>
        </w:rPr>
        <w:t>Melbourne Cricket Club Act 1974</w:t>
      </w:r>
    </w:p>
    <w:p w14:paraId="7D2A5F53" w14:textId="0B8459E8" w:rsidR="00733E1C" w:rsidRPr="0067507D" w:rsidRDefault="00733E1C" w:rsidP="00733E1C">
      <w:pPr>
        <w:rPr>
          <w:rFonts w:eastAsia="Aptos"/>
          <w:i/>
          <w:iCs/>
          <w:lang w:eastAsia="en-US"/>
        </w:rPr>
      </w:pPr>
      <w:r w:rsidRPr="0067507D">
        <w:rPr>
          <w:rFonts w:eastAsia="Aptos"/>
          <w:i/>
          <w:iCs/>
          <w:lang w:eastAsia="en-US"/>
        </w:rPr>
        <w:t>Monetary Units Act 2004</w:t>
      </w:r>
    </w:p>
    <w:p w14:paraId="5D97EDA9" w14:textId="77777777" w:rsidR="00733E1C" w:rsidRPr="0067507D" w:rsidRDefault="00733E1C" w:rsidP="00733E1C">
      <w:pPr>
        <w:rPr>
          <w:rFonts w:eastAsia="Aptos"/>
          <w:i/>
          <w:iCs/>
          <w:lang w:eastAsia="en-US"/>
        </w:rPr>
      </w:pPr>
      <w:r w:rsidRPr="0067507D">
        <w:rPr>
          <w:rFonts w:eastAsia="Aptos"/>
          <w:i/>
          <w:iCs/>
          <w:lang w:eastAsia="en-US"/>
        </w:rPr>
        <w:t>Mutual Recognition (Victoria) Act 1998</w:t>
      </w:r>
    </w:p>
    <w:p w14:paraId="288545A3" w14:textId="09FECB8B" w:rsidR="00733E1C" w:rsidRPr="0067507D" w:rsidRDefault="00733E1C" w:rsidP="00B434A1">
      <w:pPr>
        <w:keepNext/>
        <w:rPr>
          <w:rFonts w:eastAsia="Aptos"/>
          <w:i/>
          <w:iCs/>
          <w:lang w:eastAsia="en-US"/>
        </w:rPr>
      </w:pPr>
      <w:r w:rsidRPr="0067507D">
        <w:rPr>
          <w:rFonts w:eastAsia="Aptos"/>
          <w:i/>
          <w:iCs/>
          <w:lang w:eastAsia="en-US"/>
        </w:rPr>
        <w:t>National Taxation Reform (Consequential Provisions) Act 2000</w:t>
      </w:r>
    </w:p>
    <w:p w14:paraId="1BCD3E81" w14:textId="2719E02C" w:rsidR="00733E1C" w:rsidRPr="0067507D" w:rsidRDefault="00733E1C" w:rsidP="00B434A1">
      <w:pPr>
        <w:keepNext/>
        <w:rPr>
          <w:rFonts w:eastAsia="Aptos"/>
          <w:i/>
          <w:iCs/>
          <w:lang w:eastAsia="en-US"/>
        </w:rPr>
      </w:pPr>
      <w:r w:rsidRPr="0067507D">
        <w:rPr>
          <w:rFonts w:eastAsia="Aptos"/>
          <w:i/>
          <w:iCs/>
          <w:lang w:eastAsia="en-US"/>
        </w:rPr>
        <w:t>New Tax System Price Exploitation Code (Victoria) Act 1999</w:t>
      </w:r>
    </w:p>
    <w:p w14:paraId="2BE3AEDC" w14:textId="77777777" w:rsidR="00733E1C" w:rsidRPr="0067507D" w:rsidRDefault="00733E1C" w:rsidP="00733E1C">
      <w:pPr>
        <w:keepNext/>
        <w:rPr>
          <w:rFonts w:eastAsia="Aptos"/>
          <w:lang w:eastAsia="en-US"/>
        </w:rPr>
      </w:pPr>
      <w:r w:rsidRPr="0067507D">
        <w:rPr>
          <w:rFonts w:eastAsia="Aptos"/>
          <w:i/>
          <w:iCs/>
          <w:lang w:eastAsia="en-US"/>
        </w:rPr>
        <w:t>North East Link Act 2020</w:t>
      </w:r>
      <w:r w:rsidRPr="0067507D">
        <w:rPr>
          <w:rFonts w:eastAsia="Aptos"/>
          <w:lang w:eastAsia="en-US"/>
        </w:rPr>
        <w:t xml:space="preserve"> –</w:t>
      </w:r>
    </w:p>
    <w:p w14:paraId="58B7F926" w14:textId="77777777" w:rsidR="00733E1C" w:rsidRPr="0067507D" w:rsidRDefault="00733E1C" w:rsidP="00733E1C">
      <w:pPr>
        <w:pStyle w:val="Bullet"/>
        <w:rPr>
          <w:rFonts w:eastAsia="Aptos"/>
          <w:lang w:eastAsia="en-US"/>
        </w:rPr>
      </w:pPr>
      <w:r w:rsidRPr="0067507D">
        <w:rPr>
          <w:rFonts w:eastAsia="Aptos"/>
          <w:lang w:eastAsia="en-US"/>
        </w:rPr>
        <w:t>Section 13(4) (this provision is jointly administered with the Minister for Transport Infrastructure)</w:t>
      </w:r>
      <w:r w:rsidRPr="0067507D">
        <w:rPr>
          <w:rFonts w:ascii="Calibri" w:eastAsia="VIC" w:hAnsi="Calibri" w:cs="Calibri"/>
          <w:iCs/>
        </w:rPr>
        <w:t> </w:t>
      </w:r>
    </w:p>
    <w:p w14:paraId="24DE0EBB" w14:textId="77777777" w:rsidR="00733E1C" w:rsidRPr="0067507D" w:rsidRDefault="00733E1C" w:rsidP="00733E1C">
      <w:pPr>
        <w:pStyle w:val="NormalIndent"/>
        <w:rPr>
          <w:rFonts w:eastAsia="Aptos"/>
          <w:lang w:eastAsia="en-US"/>
        </w:rPr>
      </w:pPr>
      <w:r w:rsidRPr="0067507D">
        <w:rPr>
          <w:rFonts w:eastAsia="Aptos"/>
          <w:lang w:eastAsia="en-US"/>
        </w:rPr>
        <w:t>(The Act is otherwise administered by the Minister for Transport Infrastructure)</w:t>
      </w:r>
    </w:p>
    <w:p w14:paraId="75E7F34C" w14:textId="1C67FAAA" w:rsidR="00733E1C" w:rsidRPr="0067507D" w:rsidRDefault="00733E1C" w:rsidP="00733E1C">
      <w:pPr>
        <w:rPr>
          <w:rFonts w:eastAsia="Aptos"/>
          <w:i/>
          <w:iCs/>
          <w:lang w:eastAsia="en-US"/>
        </w:rPr>
      </w:pPr>
      <w:r w:rsidRPr="0067507D">
        <w:rPr>
          <w:rFonts w:eastAsia="Aptos"/>
          <w:i/>
          <w:iCs/>
          <w:lang w:eastAsia="en-US"/>
        </w:rPr>
        <w:t>Occupational Licensing National Law Repeal Act</w:t>
      </w:r>
      <w:r w:rsidRPr="0067507D">
        <w:rPr>
          <w:rFonts w:ascii="Calibri" w:eastAsia="VIC" w:hAnsi="Calibri" w:cs="Calibri"/>
          <w:i/>
          <w:iCs/>
        </w:rPr>
        <w:t> </w:t>
      </w:r>
      <w:r w:rsidRPr="0067507D">
        <w:rPr>
          <w:rFonts w:eastAsia="Aptos"/>
          <w:i/>
          <w:iCs/>
          <w:lang w:eastAsia="en-US"/>
        </w:rPr>
        <w:t>2016</w:t>
      </w:r>
    </w:p>
    <w:p w14:paraId="5E6DA2DE" w14:textId="77777777" w:rsidR="00733E1C" w:rsidRPr="0067507D" w:rsidRDefault="00733E1C" w:rsidP="00733E1C">
      <w:pPr>
        <w:rPr>
          <w:rFonts w:eastAsia="Aptos"/>
          <w:i/>
          <w:iCs/>
          <w:lang w:eastAsia="en-US"/>
        </w:rPr>
      </w:pPr>
      <w:r w:rsidRPr="0067507D">
        <w:rPr>
          <w:rFonts w:eastAsia="Aptos"/>
          <w:i/>
          <w:iCs/>
          <w:lang w:eastAsia="en-US"/>
        </w:rPr>
        <w:t>Parliamentary Budget Officer Act 2017</w:t>
      </w:r>
    </w:p>
    <w:p w14:paraId="2F0E0D05" w14:textId="77777777" w:rsidR="00733E1C" w:rsidRPr="0067507D" w:rsidRDefault="00733E1C" w:rsidP="00733E1C">
      <w:pPr>
        <w:rPr>
          <w:rFonts w:eastAsia="Aptos"/>
          <w:i/>
          <w:iCs/>
          <w:lang w:eastAsia="en-US"/>
        </w:rPr>
      </w:pPr>
      <w:r w:rsidRPr="0067507D">
        <w:rPr>
          <w:rFonts w:eastAsia="Aptos"/>
          <w:i/>
          <w:iCs/>
          <w:lang w:eastAsia="en-US"/>
        </w:rPr>
        <w:t>Payroll Tax Act 2007</w:t>
      </w:r>
    </w:p>
    <w:p w14:paraId="491641A5" w14:textId="77777777" w:rsidR="00733E1C" w:rsidRPr="0067507D" w:rsidRDefault="00733E1C" w:rsidP="00733E1C">
      <w:pPr>
        <w:rPr>
          <w:rFonts w:eastAsia="Aptos"/>
          <w:lang w:eastAsia="en-US"/>
        </w:rPr>
      </w:pPr>
      <w:r w:rsidRPr="0067507D">
        <w:rPr>
          <w:rFonts w:eastAsia="Aptos"/>
          <w:i/>
          <w:iCs/>
          <w:lang w:eastAsia="en-US"/>
        </w:rPr>
        <w:t>Planning and Environment Act 1987</w:t>
      </w:r>
      <w:r w:rsidRPr="0067507D">
        <w:rPr>
          <w:rFonts w:eastAsia="Aptos"/>
          <w:lang w:eastAsia="en-US"/>
        </w:rPr>
        <w:t xml:space="preserve"> –</w:t>
      </w:r>
    </w:p>
    <w:p w14:paraId="75E1460F" w14:textId="77777777" w:rsidR="00733E1C" w:rsidRPr="0067507D" w:rsidRDefault="00733E1C" w:rsidP="00733E1C">
      <w:pPr>
        <w:pStyle w:val="Bullet"/>
        <w:rPr>
          <w:rFonts w:eastAsia="Aptos"/>
          <w:lang w:eastAsia="en-US"/>
        </w:rPr>
      </w:pPr>
      <w:r w:rsidRPr="0067507D">
        <w:rPr>
          <w:rFonts w:eastAsia="Aptos"/>
          <w:lang w:eastAsia="en-US"/>
        </w:rPr>
        <w:t>Part 9B (this Part is jointly and severally administered with the Minister for Planning)</w:t>
      </w:r>
      <w:r w:rsidRPr="0067507D">
        <w:rPr>
          <w:rFonts w:ascii="Calibri" w:eastAsia="VIC" w:hAnsi="Calibri" w:cs="Calibri"/>
          <w:iCs/>
        </w:rPr>
        <w:t> </w:t>
      </w:r>
    </w:p>
    <w:p w14:paraId="5E499599" w14:textId="77777777" w:rsidR="00733E1C" w:rsidRPr="0067507D" w:rsidRDefault="00733E1C" w:rsidP="00733E1C">
      <w:pPr>
        <w:pStyle w:val="NormalIndent"/>
        <w:rPr>
          <w:rFonts w:eastAsia="Aptos"/>
          <w:lang w:eastAsia="en-US"/>
        </w:rPr>
      </w:pPr>
      <w:r w:rsidRPr="0067507D">
        <w:rPr>
          <w:rFonts w:eastAsia="Aptos"/>
          <w:lang w:eastAsia="en-US"/>
        </w:rPr>
        <w:t>(The Act is otherwise administered by the Minister for Planning)</w:t>
      </w:r>
    </w:p>
    <w:p w14:paraId="47FCFB01" w14:textId="4F2AD0EC" w:rsidR="00733E1C" w:rsidRPr="0067507D" w:rsidRDefault="00733E1C" w:rsidP="00733E1C">
      <w:pPr>
        <w:rPr>
          <w:rFonts w:eastAsia="Aptos"/>
          <w:lang w:eastAsia="en-US"/>
        </w:rPr>
      </w:pPr>
      <w:r w:rsidRPr="0067507D">
        <w:rPr>
          <w:rFonts w:eastAsia="Aptos"/>
          <w:i/>
          <w:iCs/>
          <w:lang w:eastAsia="en-US"/>
        </w:rPr>
        <w:t>Port Management Act 1995</w:t>
      </w:r>
      <w:r w:rsidRPr="0067507D">
        <w:rPr>
          <w:rFonts w:eastAsia="Aptos"/>
          <w:lang w:eastAsia="en-US"/>
        </w:rPr>
        <w:t xml:space="preserve"> –</w:t>
      </w:r>
    </w:p>
    <w:p w14:paraId="4F3628D5" w14:textId="77777777" w:rsidR="00733E1C" w:rsidRPr="0067507D" w:rsidRDefault="00733E1C" w:rsidP="00733E1C">
      <w:pPr>
        <w:pStyle w:val="Bullet"/>
        <w:rPr>
          <w:rFonts w:eastAsia="Aptos"/>
          <w:lang w:eastAsia="en-US"/>
        </w:rPr>
      </w:pPr>
      <w:r w:rsidRPr="0067507D">
        <w:rPr>
          <w:rFonts w:eastAsia="Aptos"/>
          <w:lang w:eastAsia="en-US"/>
        </w:rPr>
        <w:t>Sections 160, 171 and 173</w:t>
      </w:r>
      <w:r w:rsidRPr="0067507D">
        <w:rPr>
          <w:rFonts w:ascii="Calibri" w:eastAsia="VIC" w:hAnsi="Calibri" w:cs="Calibri"/>
          <w:iCs/>
        </w:rPr>
        <w:t> </w:t>
      </w:r>
    </w:p>
    <w:p w14:paraId="6BC95A8E" w14:textId="4B7D22BC" w:rsidR="00733E1C" w:rsidRPr="0067507D" w:rsidRDefault="00733E1C" w:rsidP="00733E1C">
      <w:pPr>
        <w:pStyle w:val="NormalIndent"/>
        <w:rPr>
          <w:rFonts w:eastAsia="Aptos"/>
          <w:lang w:eastAsia="en-US"/>
        </w:rPr>
      </w:pPr>
      <w:r w:rsidRPr="0067507D">
        <w:rPr>
          <w:rFonts w:eastAsia="Aptos"/>
          <w:lang w:eastAsia="en-US"/>
        </w:rPr>
        <w:t xml:space="preserve">(The Act is otherwise administered by the </w:t>
      </w:r>
      <w:r w:rsidR="00590F24" w:rsidRPr="0067507D">
        <w:rPr>
          <w:rFonts w:eastAsia="Aptos"/>
          <w:lang w:eastAsia="en-US"/>
        </w:rPr>
        <w:t>Minister for Finance</w:t>
      </w:r>
      <w:r w:rsidRPr="0067507D">
        <w:rPr>
          <w:rFonts w:eastAsia="Aptos"/>
          <w:lang w:eastAsia="en-US"/>
        </w:rPr>
        <w:t xml:space="preserve"> and the Minister for Ports and Freight)</w:t>
      </w:r>
    </w:p>
    <w:p w14:paraId="26A3D7FF" w14:textId="77777777" w:rsidR="00733E1C" w:rsidRPr="0067507D" w:rsidRDefault="00733E1C" w:rsidP="00733E1C">
      <w:pPr>
        <w:rPr>
          <w:rFonts w:eastAsia="Aptos"/>
          <w:i/>
          <w:iCs/>
          <w:lang w:eastAsia="en-US"/>
        </w:rPr>
      </w:pPr>
      <w:r w:rsidRPr="0067507D">
        <w:rPr>
          <w:rFonts w:eastAsia="Aptos"/>
          <w:i/>
          <w:iCs/>
          <w:lang w:eastAsia="en-US"/>
        </w:rPr>
        <w:t>Public Authorities (Dividends) Act 1983</w:t>
      </w:r>
    </w:p>
    <w:p w14:paraId="76A22661" w14:textId="7A4BEA72" w:rsidR="00733E1C" w:rsidRPr="0067507D" w:rsidRDefault="00733E1C" w:rsidP="00733E1C">
      <w:pPr>
        <w:rPr>
          <w:rFonts w:eastAsia="Aptos"/>
          <w:i/>
          <w:iCs/>
          <w:lang w:eastAsia="en-US"/>
        </w:rPr>
      </w:pPr>
      <w:r w:rsidRPr="0067507D">
        <w:rPr>
          <w:rFonts w:eastAsia="Aptos"/>
          <w:i/>
          <w:iCs/>
          <w:lang w:eastAsia="en-US"/>
        </w:rPr>
        <w:t>Snowy Hydro Corporatisation Act 1997</w:t>
      </w:r>
    </w:p>
    <w:p w14:paraId="45A741C9" w14:textId="59AEEF40" w:rsidR="00733E1C" w:rsidRPr="0067507D" w:rsidRDefault="00733E1C" w:rsidP="00733E1C">
      <w:pPr>
        <w:rPr>
          <w:rFonts w:eastAsia="Aptos"/>
          <w:i/>
          <w:iCs/>
          <w:lang w:eastAsia="en-US"/>
        </w:rPr>
      </w:pPr>
      <w:r w:rsidRPr="0067507D">
        <w:rPr>
          <w:rFonts w:eastAsia="Aptos"/>
          <w:i/>
          <w:iCs/>
          <w:lang w:eastAsia="en-US"/>
        </w:rPr>
        <w:t>State Bank (Succession of Commonwealth Bank) Act</w:t>
      </w:r>
      <w:r w:rsidRPr="0067507D">
        <w:rPr>
          <w:rFonts w:ascii="Calibri" w:eastAsia="VIC" w:hAnsi="Calibri" w:cs="Calibri"/>
          <w:i/>
          <w:iCs/>
        </w:rPr>
        <w:t> </w:t>
      </w:r>
      <w:r w:rsidRPr="0067507D">
        <w:rPr>
          <w:rFonts w:eastAsia="Aptos"/>
          <w:i/>
          <w:iCs/>
          <w:lang w:eastAsia="en-US"/>
        </w:rPr>
        <w:t>1990</w:t>
      </w:r>
    </w:p>
    <w:p w14:paraId="3C93A140" w14:textId="4E958565" w:rsidR="00733E1C" w:rsidRPr="0067507D" w:rsidRDefault="00733E1C" w:rsidP="00733E1C">
      <w:pPr>
        <w:rPr>
          <w:rFonts w:eastAsia="Aptos"/>
          <w:lang w:eastAsia="en-US"/>
        </w:rPr>
      </w:pPr>
      <w:r w:rsidRPr="0067507D">
        <w:rPr>
          <w:rFonts w:eastAsia="Aptos"/>
          <w:i/>
          <w:iCs/>
          <w:lang w:eastAsia="en-US"/>
        </w:rPr>
        <w:t>State Electricity Commission Act 1958</w:t>
      </w:r>
      <w:r w:rsidRPr="0067507D">
        <w:rPr>
          <w:rFonts w:eastAsia="Aptos"/>
          <w:lang w:eastAsia="en-US"/>
        </w:rPr>
        <w:t xml:space="preserve"> – </w:t>
      </w:r>
      <w:r w:rsidRPr="0067507D">
        <w:rPr>
          <w:rFonts w:eastAsia="VIC" w:cs="VIC"/>
          <w:iCs/>
        </w:rPr>
        <w:t>except:</w:t>
      </w:r>
    </w:p>
    <w:p w14:paraId="069DD6F1" w14:textId="77777777" w:rsidR="00733E1C" w:rsidRPr="0067507D" w:rsidRDefault="00733E1C" w:rsidP="00733E1C">
      <w:pPr>
        <w:pStyle w:val="Bullet"/>
        <w:rPr>
          <w:rFonts w:eastAsia="Aptos"/>
          <w:lang w:eastAsia="en-US"/>
        </w:rPr>
      </w:pPr>
      <w:r w:rsidRPr="0067507D">
        <w:rPr>
          <w:rFonts w:eastAsia="Aptos"/>
          <w:lang w:eastAsia="en-US"/>
        </w:rPr>
        <w:t>Section 107 (this section is administered by the Minister for Energy and Resources)</w:t>
      </w:r>
      <w:r w:rsidRPr="0067507D">
        <w:rPr>
          <w:rFonts w:ascii="Calibri" w:eastAsia="VIC" w:hAnsi="Calibri" w:cs="Calibri"/>
          <w:iCs/>
        </w:rPr>
        <w:t> </w:t>
      </w:r>
    </w:p>
    <w:p w14:paraId="704B81FD" w14:textId="77777777" w:rsidR="00733E1C" w:rsidRPr="0067507D" w:rsidRDefault="00733E1C" w:rsidP="00733E1C">
      <w:pPr>
        <w:pStyle w:val="NormalIndent"/>
        <w:rPr>
          <w:rFonts w:eastAsia="Aptos"/>
          <w:lang w:eastAsia="en-US"/>
        </w:rPr>
      </w:pPr>
      <w:r w:rsidRPr="0067507D">
        <w:rPr>
          <w:rFonts w:eastAsia="Aptos"/>
          <w:lang w:eastAsia="en-US"/>
        </w:rPr>
        <w:t>(The Act is otherwise jointly and severally administered with the Minister for the State Electricity Commission)</w:t>
      </w:r>
    </w:p>
    <w:p w14:paraId="1BC6A7B8" w14:textId="0A31017D" w:rsidR="00733E1C" w:rsidRPr="0067507D" w:rsidRDefault="00733E1C" w:rsidP="00733E1C">
      <w:pPr>
        <w:rPr>
          <w:rFonts w:eastAsia="Aptos"/>
          <w:lang w:eastAsia="en-US"/>
        </w:rPr>
      </w:pPr>
      <w:r w:rsidRPr="0067507D">
        <w:rPr>
          <w:rFonts w:eastAsia="Aptos"/>
          <w:i/>
          <w:iCs/>
          <w:lang w:eastAsia="en-US"/>
        </w:rPr>
        <w:br w:type="column"/>
      </w:r>
      <w:r w:rsidRPr="0067507D">
        <w:rPr>
          <w:rFonts w:eastAsia="Aptos"/>
          <w:i/>
          <w:iCs/>
          <w:lang w:eastAsia="en-US"/>
        </w:rPr>
        <w:lastRenderedPageBreak/>
        <w:t>State Owned Enterprises Act 1992</w:t>
      </w:r>
      <w:r w:rsidRPr="0067507D">
        <w:rPr>
          <w:rFonts w:eastAsia="Aptos"/>
          <w:lang w:eastAsia="en-US"/>
        </w:rPr>
        <w:t xml:space="preserve"> – </w:t>
      </w:r>
      <w:r w:rsidRPr="0067507D">
        <w:rPr>
          <w:rFonts w:eastAsia="VIC" w:cs="VIC"/>
          <w:iCs/>
        </w:rPr>
        <w:t>except</w:t>
      </w:r>
      <w:r w:rsidRPr="0067507D">
        <w:rPr>
          <w:rFonts w:eastAsia="Aptos"/>
          <w:lang w:eastAsia="en-US"/>
        </w:rPr>
        <w:t>:</w:t>
      </w:r>
    </w:p>
    <w:p w14:paraId="2F1D0B65" w14:textId="77777777" w:rsidR="00733E1C" w:rsidRPr="0067507D" w:rsidRDefault="00733E1C" w:rsidP="00733E1C">
      <w:pPr>
        <w:pStyle w:val="Bullet"/>
        <w:rPr>
          <w:rFonts w:eastAsia="Aptos"/>
          <w:lang w:eastAsia="en-US"/>
        </w:rPr>
      </w:pPr>
      <w:r w:rsidRPr="0067507D">
        <w:rPr>
          <w:rFonts w:eastAsia="Aptos"/>
          <w:lang w:eastAsia="en-US"/>
        </w:rPr>
        <w:t>Division 2 of Part 2 in so far as it relates to the CenITex (in so far as they relate to that matter, these provisions are administered by the Minister for Government Services)</w:t>
      </w:r>
    </w:p>
    <w:p w14:paraId="084AFB76" w14:textId="77777777" w:rsidR="00733E1C" w:rsidRPr="0067507D" w:rsidRDefault="00733E1C" w:rsidP="00733E1C">
      <w:pPr>
        <w:pStyle w:val="Bullet"/>
        <w:rPr>
          <w:rFonts w:eastAsia="Aptos"/>
          <w:lang w:eastAsia="en-US"/>
        </w:rPr>
      </w:pPr>
      <w:r w:rsidRPr="0067507D">
        <w:rPr>
          <w:rFonts w:eastAsia="Aptos"/>
          <w:lang w:eastAsia="en-US"/>
        </w:rPr>
        <w:t>Division 2 of Part 2 in so far as it relates to the Victorian Plantations Corporation (in so far as they relate to that matter, these provisions are administered by the Minister for Environment)</w:t>
      </w:r>
    </w:p>
    <w:p w14:paraId="3F9D8235" w14:textId="77777777" w:rsidR="00733E1C" w:rsidRPr="0067507D" w:rsidRDefault="00733E1C" w:rsidP="00733E1C">
      <w:pPr>
        <w:pStyle w:val="Bullet"/>
        <w:rPr>
          <w:rFonts w:eastAsia="Aptos"/>
          <w:lang w:eastAsia="en-US"/>
        </w:rPr>
      </w:pPr>
      <w:r w:rsidRPr="0067507D">
        <w:rPr>
          <w:rFonts w:eastAsia="Aptos"/>
          <w:lang w:eastAsia="en-US"/>
        </w:rPr>
        <w:t>Division 2 of Part 2 in so far as it relates to the Water Training Centre (in so far as they relate to that matter, these provisions are administered by the Minister for Water)</w:t>
      </w:r>
      <w:r w:rsidRPr="0067507D">
        <w:rPr>
          <w:rFonts w:ascii="Calibri" w:eastAsia="VIC" w:hAnsi="Calibri" w:cs="Calibri"/>
          <w:iCs/>
        </w:rPr>
        <w:t> </w:t>
      </w:r>
    </w:p>
    <w:p w14:paraId="189908C4" w14:textId="77777777" w:rsidR="00733E1C" w:rsidRPr="0067507D" w:rsidRDefault="00733E1C" w:rsidP="00733E1C">
      <w:pPr>
        <w:pStyle w:val="Bullet"/>
        <w:rPr>
          <w:rFonts w:eastAsia="Aptos"/>
          <w:lang w:eastAsia="en-US"/>
        </w:rPr>
      </w:pPr>
      <w:r w:rsidRPr="0067507D">
        <w:rPr>
          <w:rFonts w:eastAsia="Aptos"/>
          <w:lang w:eastAsia="en-US"/>
        </w:rPr>
        <w:t>Division 2 of Part 2 and Part 3 in so far as they relate to the Victorian Interpreting and Translating Service (in so far as they relate to that matter, these provisions are administered by the Minister for Multicultural Affairs)</w:t>
      </w:r>
    </w:p>
    <w:p w14:paraId="41F2150E" w14:textId="363862BC" w:rsidR="00733E1C" w:rsidRPr="0067507D" w:rsidRDefault="00733E1C" w:rsidP="00733E1C">
      <w:pPr>
        <w:rPr>
          <w:rFonts w:eastAsia="Aptos"/>
          <w:lang w:eastAsia="en-US"/>
        </w:rPr>
      </w:pPr>
      <w:r w:rsidRPr="0067507D">
        <w:rPr>
          <w:rFonts w:eastAsia="Aptos"/>
          <w:i/>
          <w:iCs/>
          <w:lang w:eastAsia="en-US"/>
        </w:rPr>
        <w:t>State Trustees (State Owned Company) Act 1994</w:t>
      </w:r>
      <w:r w:rsidRPr="0067507D">
        <w:rPr>
          <w:rFonts w:eastAsia="Aptos"/>
          <w:lang w:eastAsia="en-US"/>
        </w:rPr>
        <w:t xml:space="preserve"> – </w:t>
      </w:r>
      <w:r w:rsidRPr="0067507D">
        <w:rPr>
          <w:rFonts w:eastAsia="VIC" w:cs="VIC"/>
          <w:iCs/>
        </w:rPr>
        <w:t>except:</w:t>
      </w:r>
    </w:p>
    <w:p w14:paraId="7F1E895B" w14:textId="77777777" w:rsidR="00733E1C" w:rsidRPr="0067507D" w:rsidRDefault="00733E1C" w:rsidP="00733E1C">
      <w:pPr>
        <w:pStyle w:val="Bullet"/>
        <w:rPr>
          <w:rFonts w:eastAsia="Aptos"/>
          <w:lang w:eastAsia="en-US"/>
        </w:rPr>
      </w:pPr>
      <w:r w:rsidRPr="0067507D">
        <w:rPr>
          <w:rFonts w:eastAsia="Aptos"/>
          <w:lang w:eastAsia="en-US"/>
        </w:rPr>
        <w:t xml:space="preserve">Part 4 (this Part is jointly and severally administered by the Minister for </w:t>
      </w:r>
      <w:r w:rsidRPr="0067507D">
        <w:rPr>
          <w:rFonts w:eastAsia="VIC" w:cs="VIC"/>
          <w:iCs/>
        </w:rPr>
        <w:t>Children</w:t>
      </w:r>
      <w:r w:rsidRPr="0067507D">
        <w:rPr>
          <w:rFonts w:eastAsia="Aptos"/>
          <w:lang w:eastAsia="en-US"/>
        </w:rPr>
        <w:t xml:space="preserve"> and the Minister for Disability</w:t>
      </w:r>
      <w:r w:rsidRPr="0067507D">
        <w:rPr>
          <w:rFonts w:eastAsia="VIC" w:cs="VIC"/>
          <w:iCs/>
        </w:rPr>
        <w:t>)</w:t>
      </w:r>
      <w:r w:rsidRPr="0067507D">
        <w:rPr>
          <w:rFonts w:ascii="Calibri" w:eastAsia="VIC" w:hAnsi="Calibri" w:cs="Calibri"/>
          <w:iCs/>
        </w:rPr>
        <w:t> </w:t>
      </w:r>
    </w:p>
    <w:p w14:paraId="51886F01" w14:textId="4A45946B" w:rsidR="00733E1C" w:rsidRPr="0067507D" w:rsidRDefault="00733E1C" w:rsidP="00733E1C">
      <w:pPr>
        <w:rPr>
          <w:rFonts w:eastAsia="Aptos"/>
          <w:i/>
          <w:iCs/>
          <w:lang w:eastAsia="en-US"/>
        </w:rPr>
      </w:pPr>
      <w:r w:rsidRPr="0067507D">
        <w:rPr>
          <w:rFonts w:eastAsia="Aptos"/>
          <w:i/>
          <w:iCs/>
          <w:lang w:eastAsia="en-US"/>
        </w:rPr>
        <w:t>Taxation Administration Act 1997</w:t>
      </w:r>
    </w:p>
    <w:p w14:paraId="7A175872" w14:textId="0B114ED1" w:rsidR="00733E1C" w:rsidRPr="0067507D" w:rsidRDefault="00733E1C" w:rsidP="00733E1C">
      <w:pPr>
        <w:rPr>
          <w:rFonts w:eastAsia="Aptos"/>
          <w:i/>
          <w:iCs/>
          <w:lang w:eastAsia="en-US"/>
        </w:rPr>
      </w:pPr>
      <w:r w:rsidRPr="0067507D">
        <w:rPr>
          <w:rFonts w:eastAsia="Aptos"/>
          <w:i/>
          <w:iCs/>
          <w:lang w:eastAsia="en-US"/>
        </w:rPr>
        <w:t>Taxation (Interest on Overpayments) Act 1986</w:t>
      </w:r>
    </w:p>
    <w:p w14:paraId="6CA8FA82" w14:textId="7EFF3944" w:rsidR="00733E1C" w:rsidRPr="0067507D" w:rsidRDefault="00733E1C" w:rsidP="00733E1C">
      <w:pPr>
        <w:rPr>
          <w:rFonts w:eastAsia="Aptos"/>
          <w:i/>
          <w:iCs/>
          <w:lang w:eastAsia="en-US"/>
        </w:rPr>
      </w:pPr>
      <w:r w:rsidRPr="0067507D">
        <w:rPr>
          <w:rFonts w:eastAsia="Aptos"/>
          <w:i/>
          <w:iCs/>
          <w:lang w:eastAsia="en-US"/>
        </w:rPr>
        <w:t>Trans</w:t>
      </w:r>
      <w:r w:rsidR="006A5485">
        <w:rPr>
          <w:rFonts w:eastAsia="Aptos"/>
          <w:i/>
          <w:iCs/>
          <w:lang w:eastAsia="en-US"/>
        </w:rPr>
        <w:noBreakHyphen/>
      </w:r>
      <w:r w:rsidRPr="0067507D">
        <w:rPr>
          <w:rFonts w:eastAsia="Aptos"/>
          <w:i/>
          <w:iCs/>
          <w:lang w:eastAsia="en-US"/>
        </w:rPr>
        <w:t>Tasman Mutual Recognition (Victoria) Act</w:t>
      </w:r>
      <w:r w:rsidRPr="0067507D">
        <w:rPr>
          <w:rFonts w:ascii="Calibri" w:eastAsia="VIC" w:hAnsi="Calibri" w:cs="Calibri"/>
          <w:i/>
          <w:iCs/>
        </w:rPr>
        <w:t> </w:t>
      </w:r>
      <w:r w:rsidRPr="0067507D">
        <w:rPr>
          <w:rFonts w:eastAsia="Aptos"/>
          <w:i/>
          <w:iCs/>
          <w:lang w:eastAsia="en-US"/>
        </w:rPr>
        <w:t>1998</w:t>
      </w:r>
    </w:p>
    <w:p w14:paraId="299F390D" w14:textId="758B66E4" w:rsidR="00733E1C" w:rsidRPr="0067507D" w:rsidRDefault="00733E1C" w:rsidP="00733E1C">
      <w:pPr>
        <w:rPr>
          <w:rFonts w:eastAsia="Aptos"/>
          <w:i/>
          <w:iCs/>
          <w:lang w:eastAsia="en-US"/>
        </w:rPr>
      </w:pPr>
      <w:r w:rsidRPr="0067507D">
        <w:rPr>
          <w:rFonts w:eastAsia="Aptos"/>
          <w:i/>
          <w:iCs/>
          <w:lang w:eastAsia="en-US"/>
        </w:rPr>
        <w:t>Treasury Corporation of Victoria Act 1992</w:t>
      </w:r>
    </w:p>
    <w:p w14:paraId="5C5C69E2" w14:textId="2BAAF4C8" w:rsidR="00733E1C" w:rsidRPr="0067507D" w:rsidRDefault="00733E1C" w:rsidP="00733E1C">
      <w:pPr>
        <w:rPr>
          <w:rFonts w:eastAsia="Aptos"/>
          <w:lang w:eastAsia="en-US"/>
        </w:rPr>
      </w:pPr>
      <w:r w:rsidRPr="0067507D">
        <w:rPr>
          <w:rFonts w:eastAsia="Aptos"/>
          <w:i/>
          <w:iCs/>
          <w:lang w:eastAsia="en-US"/>
        </w:rPr>
        <w:t>Trustee Companies Act 1984</w:t>
      </w:r>
      <w:r w:rsidRPr="0067507D">
        <w:rPr>
          <w:rFonts w:eastAsia="Aptos"/>
          <w:lang w:eastAsia="en-US"/>
        </w:rPr>
        <w:t xml:space="preserve"> –</w:t>
      </w:r>
    </w:p>
    <w:p w14:paraId="6056EBDA" w14:textId="0CFCE51A" w:rsidR="00733E1C" w:rsidRPr="0067507D" w:rsidRDefault="00733E1C" w:rsidP="00733E1C">
      <w:pPr>
        <w:pStyle w:val="Bullet"/>
        <w:rPr>
          <w:rFonts w:eastAsia="Aptos"/>
          <w:lang w:eastAsia="en-US"/>
        </w:rPr>
      </w:pPr>
      <w:r w:rsidRPr="0067507D">
        <w:rPr>
          <w:rFonts w:eastAsia="Aptos"/>
          <w:lang w:eastAsia="en-US"/>
        </w:rPr>
        <w:t>The Act is jointly administered with the Attorney</w:t>
      </w:r>
      <w:r w:rsidR="006A5485">
        <w:rPr>
          <w:rFonts w:eastAsia="Aptos"/>
          <w:lang w:eastAsia="en-US"/>
        </w:rPr>
        <w:noBreakHyphen/>
      </w:r>
      <w:r w:rsidRPr="0067507D">
        <w:rPr>
          <w:rFonts w:eastAsia="Aptos"/>
          <w:lang w:eastAsia="en-US"/>
        </w:rPr>
        <w:t>General</w:t>
      </w:r>
      <w:r w:rsidRPr="0067507D">
        <w:rPr>
          <w:rFonts w:ascii="Calibri" w:eastAsia="VIC" w:hAnsi="Calibri" w:cs="Calibri"/>
          <w:iCs/>
        </w:rPr>
        <w:t> </w:t>
      </w:r>
    </w:p>
    <w:p w14:paraId="01A2E17E" w14:textId="20B30A1A" w:rsidR="00733E1C" w:rsidRPr="0067507D" w:rsidRDefault="00733E1C" w:rsidP="00733E1C">
      <w:pPr>
        <w:rPr>
          <w:rFonts w:eastAsia="Aptos"/>
          <w:i/>
          <w:iCs/>
          <w:lang w:eastAsia="en-US"/>
        </w:rPr>
      </w:pPr>
      <w:r w:rsidRPr="0067507D">
        <w:rPr>
          <w:rFonts w:eastAsia="Aptos"/>
          <w:i/>
          <w:iCs/>
          <w:lang w:eastAsia="en-US"/>
        </w:rPr>
        <w:t>Victorian Funds Management Corporation Act 1994</w:t>
      </w:r>
    </w:p>
    <w:p w14:paraId="60B14356" w14:textId="77777777" w:rsidR="00733E1C" w:rsidRPr="0067507D" w:rsidRDefault="00733E1C" w:rsidP="00733E1C">
      <w:pPr>
        <w:rPr>
          <w:rFonts w:eastAsia="VIC" w:cs="VIC"/>
          <w:i/>
          <w:iCs/>
        </w:rPr>
      </w:pPr>
      <w:r w:rsidRPr="0067507D">
        <w:rPr>
          <w:rFonts w:eastAsia="VIC" w:cs="VIC"/>
          <w:i/>
          <w:iCs/>
        </w:rPr>
        <w:t>Victorian Future Fund Act 2023</w:t>
      </w:r>
    </w:p>
    <w:p w14:paraId="0B712CAA" w14:textId="6DEC59B7" w:rsidR="00733E1C" w:rsidRPr="0067507D" w:rsidRDefault="00733E1C" w:rsidP="00733E1C">
      <w:pPr>
        <w:rPr>
          <w:rFonts w:eastAsia="Aptos"/>
          <w:i/>
          <w:iCs/>
          <w:lang w:eastAsia="en-US"/>
        </w:rPr>
      </w:pPr>
      <w:r w:rsidRPr="0067507D">
        <w:rPr>
          <w:rFonts w:eastAsia="Aptos"/>
          <w:i/>
          <w:iCs/>
          <w:lang w:eastAsia="en-US"/>
        </w:rPr>
        <w:t>Windfall Gains Tax and State Taxation and Other Acts Further Amendment Act</w:t>
      </w:r>
      <w:r w:rsidRPr="0067507D">
        <w:rPr>
          <w:rFonts w:ascii="Calibri" w:eastAsia="VIC" w:hAnsi="Calibri" w:cs="Calibri"/>
          <w:i/>
          <w:iCs/>
        </w:rPr>
        <w:t xml:space="preserve"> </w:t>
      </w:r>
      <w:r w:rsidRPr="0067507D">
        <w:rPr>
          <w:rFonts w:eastAsia="Aptos"/>
          <w:i/>
          <w:iCs/>
          <w:lang w:eastAsia="en-US"/>
        </w:rPr>
        <w:t>2021</w:t>
      </w:r>
    </w:p>
    <w:p w14:paraId="0FCB1C59" w14:textId="4AB4DFB8" w:rsidR="00733E1C" w:rsidRPr="0067507D" w:rsidRDefault="00733E1C" w:rsidP="00733E1C">
      <w:pPr>
        <w:rPr>
          <w:rFonts w:eastAsia="Aptos"/>
          <w:lang w:eastAsia="en-US"/>
        </w:rPr>
      </w:pPr>
      <w:r w:rsidRPr="0067507D">
        <w:rPr>
          <w:rFonts w:eastAsia="Aptos"/>
          <w:i/>
          <w:iCs/>
          <w:lang w:eastAsia="en-US"/>
        </w:rPr>
        <w:t>Workers Compensation Act 1958</w:t>
      </w:r>
      <w:r w:rsidRPr="0067507D">
        <w:rPr>
          <w:rFonts w:eastAsia="Aptos"/>
          <w:lang w:eastAsia="en-US"/>
        </w:rPr>
        <w:t xml:space="preserve"> –</w:t>
      </w:r>
    </w:p>
    <w:p w14:paraId="7E0B4AB6" w14:textId="77777777" w:rsidR="00733E1C" w:rsidRPr="0067507D" w:rsidRDefault="00733E1C" w:rsidP="00733E1C">
      <w:pPr>
        <w:pStyle w:val="Bullet"/>
        <w:rPr>
          <w:rFonts w:eastAsia="Aptos"/>
          <w:lang w:eastAsia="en-US"/>
        </w:rPr>
      </w:pPr>
      <w:r w:rsidRPr="0067507D">
        <w:rPr>
          <w:rFonts w:eastAsia="Aptos"/>
          <w:lang w:eastAsia="en-US"/>
        </w:rPr>
        <w:t>Division 8 of Part 1</w:t>
      </w:r>
      <w:r w:rsidRPr="0067507D">
        <w:rPr>
          <w:rFonts w:ascii="Calibri" w:eastAsia="VIC" w:hAnsi="Calibri" w:cs="Calibri"/>
          <w:iCs/>
        </w:rPr>
        <w:t> </w:t>
      </w:r>
    </w:p>
    <w:p w14:paraId="123E13CB" w14:textId="77777777" w:rsidR="00733E1C" w:rsidRPr="0067507D" w:rsidRDefault="00733E1C" w:rsidP="00733E1C">
      <w:pPr>
        <w:pStyle w:val="NormalIndent"/>
        <w:rPr>
          <w:rFonts w:eastAsia="Aptos"/>
          <w:lang w:eastAsia="en-US"/>
        </w:rPr>
      </w:pPr>
      <w:r w:rsidRPr="0067507D">
        <w:rPr>
          <w:rFonts w:eastAsia="Aptos"/>
          <w:lang w:eastAsia="en-US"/>
        </w:rPr>
        <w:t>(The Act is otherwise administered by the Minister for WorkSafe and the TAC)</w:t>
      </w:r>
      <w:r w:rsidRPr="0067507D">
        <w:rPr>
          <w:rFonts w:ascii="Calibri" w:eastAsia="VIC" w:hAnsi="Calibri" w:cs="Calibri"/>
          <w:iCs/>
        </w:rPr>
        <w:t> </w:t>
      </w:r>
    </w:p>
    <w:p w14:paraId="698CBCBC" w14:textId="1AAA6D40" w:rsidR="00955FB5" w:rsidRPr="0067507D" w:rsidRDefault="00733E1C" w:rsidP="00955FB5">
      <w:pPr>
        <w:keepNext/>
        <w:tabs>
          <w:tab w:val="left" w:pos="5180"/>
        </w:tabs>
        <w:spacing w:line="216" w:lineRule="auto"/>
        <w:outlineLvl w:val="2"/>
        <w:rPr>
          <w:rFonts w:ascii="VIC" w:hAnsi="VIC" w:cs="Arial"/>
          <w:b/>
          <w:bCs/>
          <w:color w:val="4F4F4F"/>
          <w:sz w:val="20"/>
          <w:szCs w:val="20"/>
        </w:rPr>
      </w:pPr>
      <w:r w:rsidRPr="0067507D">
        <w:rPr>
          <w:rFonts w:ascii="VIC SemiBold" w:hAnsi="VIC SemiBold" w:cs="Arial"/>
          <w:color w:val="4F4F4F"/>
          <w:sz w:val="22"/>
          <w:szCs w:val="22"/>
        </w:rPr>
        <w:br w:type="column"/>
      </w:r>
      <w:r w:rsidR="00AD313B" w:rsidRPr="0067507D">
        <w:rPr>
          <w:rFonts w:ascii="VIC SemiBold" w:hAnsi="VIC SemiBold" w:cs="Arial"/>
          <w:color w:val="4F4F4F"/>
          <w:sz w:val="22"/>
          <w:szCs w:val="22"/>
        </w:rPr>
        <w:t>Minister for Finance</w:t>
      </w:r>
    </w:p>
    <w:p w14:paraId="57315C40" w14:textId="09612FC0" w:rsidR="00955FB5" w:rsidRPr="0067507D" w:rsidRDefault="00955FB5" w:rsidP="00733E1C">
      <w:pPr>
        <w:rPr>
          <w:rFonts w:eastAsia="Aptos"/>
        </w:rPr>
      </w:pPr>
      <w:r w:rsidRPr="0067507D">
        <w:rPr>
          <w:rFonts w:eastAsia="Aptos"/>
          <w:i/>
          <w:iCs/>
          <w:lang w:eastAsia="en-US"/>
        </w:rPr>
        <w:t>Audit Act 1994</w:t>
      </w:r>
      <w:r w:rsidRPr="0067507D">
        <w:rPr>
          <w:rFonts w:eastAsia="Aptos"/>
        </w:rPr>
        <w:t xml:space="preserve"> –</w:t>
      </w:r>
    </w:p>
    <w:p w14:paraId="1BACE8EE" w14:textId="5C45147D" w:rsidR="00955FB5" w:rsidRPr="0067507D" w:rsidRDefault="00955FB5" w:rsidP="00431DCC">
      <w:pPr>
        <w:pStyle w:val="Bullet"/>
        <w:rPr>
          <w:rFonts w:eastAsia="Aptos"/>
          <w:lang w:eastAsia="en-US"/>
        </w:rPr>
      </w:pPr>
      <w:r w:rsidRPr="0067507D">
        <w:rPr>
          <w:rFonts w:eastAsia="Aptos"/>
          <w:lang w:eastAsia="en-US"/>
        </w:rPr>
        <w:t>Sections 10</w:t>
      </w:r>
      <w:r w:rsidR="006A5485">
        <w:rPr>
          <w:rFonts w:eastAsia="Aptos"/>
          <w:lang w:eastAsia="en-US"/>
        </w:rPr>
        <w:noBreakHyphen/>
      </w:r>
      <w:r w:rsidRPr="0067507D">
        <w:rPr>
          <w:rFonts w:eastAsia="Aptos"/>
          <w:lang w:eastAsia="en-US"/>
        </w:rPr>
        <w:t>13, 19, 22</w:t>
      </w:r>
      <w:r w:rsidR="006A5485">
        <w:rPr>
          <w:rFonts w:eastAsia="Aptos"/>
          <w:lang w:eastAsia="en-US"/>
        </w:rPr>
        <w:noBreakHyphen/>
      </w:r>
      <w:r w:rsidRPr="0067507D">
        <w:rPr>
          <w:rFonts w:eastAsia="Aptos"/>
          <w:lang w:eastAsia="en-US"/>
        </w:rPr>
        <w:t>28 and 57</w:t>
      </w:r>
    </w:p>
    <w:p w14:paraId="5370B898" w14:textId="77777777" w:rsidR="00955FB5" w:rsidRPr="0067507D" w:rsidRDefault="00955FB5" w:rsidP="00431DCC">
      <w:pPr>
        <w:pStyle w:val="Bullet"/>
        <w:rPr>
          <w:rFonts w:eastAsia="Aptos"/>
          <w:lang w:eastAsia="en-US"/>
        </w:rPr>
      </w:pPr>
      <w:r w:rsidRPr="0067507D">
        <w:rPr>
          <w:rFonts w:eastAsia="Aptos"/>
          <w:lang w:eastAsia="en-US"/>
        </w:rPr>
        <w:t>Sections 15, 78 and 84 (these sections are jointly and severally administered with the Treasurer)</w:t>
      </w:r>
    </w:p>
    <w:p w14:paraId="266679A9" w14:textId="77777777" w:rsidR="00955FB5" w:rsidRPr="0067507D" w:rsidRDefault="00955FB5" w:rsidP="004110B5">
      <w:pPr>
        <w:pStyle w:val="NormalIndent"/>
        <w:rPr>
          <w:rFonts w:eastAsia="Aptos"/>
          <w:lang w:eastAsia="en-US"/>
        </w:rPr>
      </w:pPr>
      <w:r w:rsidRPr="0067507D">
        <w:rPr>
          <w:rFonts w:eastAsia="Aptos"/>
          <w:lang w:eastAsia="en-US"/>
        </w:rPr>
        <w:t>(The Act is otherwise administered by the Treasurer)</w:t>
      </w:r>
    </w:p>
    <w:p w14:paraId="44560516" w14:textId="1ED508AC" w:rsidR="00955FB5" w:rsidRPr="0067507D" w:rsidRDefault="00955FB5" w:rsidP="00733E1C">
      <w:pPr>
        <w:rPr>
          <w:rFonts w:eastAsia="Aptos"/>
        </w:rPr>
      </w:pPr>
      <w:r w:rsidRPr="0067507D">
        <w:rPr>
          <w:rFonts w:eastAsia="Aptos"/>
          <w:i/>
          <w:iCs/>
          <w:lang w:eastAsia="en-US"/>
        </w:rPr>
        <w:t>Casino Control Act 1991</w:t>
      </w:r>
      <w:r w:rsidRPr="0067507D">
        <w:rPr>
          <w:rFonts w:eastAsia="Aptos"/>
        </w:rPr>
        <w:t xml:space="preserve"> –</w:t>
      </w:r>
    </w:p>
    <w:p w14:paraId="330DFBC7" w14:textId="77777777" w:rsidR="00955FB5" w:rsidRPr="0067507D" w:rsidRDefault="00955FB5" w:rsidP="001F4981">
      <w:pPr>
        <w:pStyle w:val="Bullet"/>
        <w:rPr>
          <w:rFonts w:eastAsia="Aptos"/>
          <w:lang w:eastAsia="en-US"/>
        </w:rPr>
      </w:pPr>
      <w:r w:rsidRPr="0067507D">
        <w:rPr>
          <w:rFonts w:eastAsia="Aptos"/>
          <w:lang w:eastAsia="en-US"/>
        </w:rPr>
        <w:t>Section 128K(2)</w:t>
      </w:r>
      <w:r w:rsidRPr="0067507D">
        <w:rPr>
          <w:rFonts w:ascii="Calibri" w:eastAsia="VIC" w:hAnsi="Calibri" w:cs="Calibri"/>
          <w:szCs w:val="17"/>
        </w:rPr>
        <w:t> </w:t>
      </w:r>
    </w:p>
    <w:p w14:paraId="3A80D284" w14:textId="77777777" w:rsidR="00955FB5" w:rsidRPr="0067507D" w:rsidRDefault="00955FB5" w:rsidP="008A30FA">
      <w:pPr>
        <w:pStyle w:val="NormalIndent"/>
        <w:rPr>
          <w:rFonts w:eastAsia="Aptos"/>
          <w:lang w:eastAsia="en-US"/>
        </w:rPr>
      </w:pPr>
      <w:r w:rsidRPr="0067507D">
        <w:rPr>
          <w:rFonts w:eastAsia="Aptos"/>
          <w:lang w:eastAsia="en-US"/>
        </w:rPr>
        <w:t>(The Act is otherwise administered by the Minister for Casino, Gaming and Liquor Regulation and the Minister for Planning)</w:t>
      </w:r>
    </w:p>
    <w:p w14:paraId="7B18E7E5" w14:textId="77777777" w:rsidR="00955FB5" w:rsidRPr="0067507D" w:rsidRDefault="00955FB5" w:rsidP="00733E1C">
      <w:pPr>
        <w:rPr>
          <w:rFonts w:eastAsia="Aptos"/>
          <w:i/>
          <w:iCs/>
          <w:lang w:eastAsia="en-US"/>
        </w:rPr>
      </w:pPr>
      <w:r w:rsidRPr="0067507D">
        <w:rPr>
          <w:rFonts w:eastAsia="Aptos"/>
          <w:i/>
          <w:iCs/>
          <w:lang w:eastAsia="en-US"/>
        </w:rPr>
        <w:t>Coal Mines (Pensions) Act 1958</w:t>
      </w:r>
    </w:p>
    <w:p w14:paraId="05852326" w14:textId="455243B1" w:rsidR="00955FB5" w:rsidRPr="0067507D" w:rsidRDefault="00955FB5" w:rsidP="00733E1C">
      <w:pPr>
        <w:rPr>
          <w:rFonts w:eastAsia="Aptos"/>
          <w:lang w:eastAsia="en-US"/>
        </w:rPr>
      </w:pPr>
      <w:r w:rsidRPr="0067507D">
        <w:rPr>
          <w:rFonts w:eastAsia="Aptos"/>
          <w:i/>
          <w:iCs/>
          <w:lang w:eastAsia="en-US"/>
        </w:rPr>
        <w:t>Constitution Act 1975</w:t>
      </w:r>
      <w:r w:rsidRPr="0067507D">
        <w:rPr>
          <w:rFonts w:eastAsia="Aptos"/>
          <w:lang w:eastAsia="en-US"/>
        </w:rPr>
        <w:t xml:space="preserve"> –</w:t>
      </w:r>
    </w:p>
    <w:p w14:paraId="5FA20C18" w14:textId="77777777" w:rsidR="00955FB5" w:rsidRPr="0067507D" w:rsidRDefault="00955FB5" w:rsidP="001F4981">
      <w:pPr>
        <w:pStyle w:val="Bullet"/>
        <w:rPr>
          <w:rFonts w:eastAsia="Aptos"/>
          <w:szCs w:val="22"/>
          <w:lang w:eastAsia="en-US"/>
        </w:rPr>
      </w:pPr>
      <w:r w:rsidRPr="0067507D">
        <w:rPr>
          <w:rFonts w:eastAsia="Aptos"/>
          <w:szCs w:val="22"/>
          <w:lang w:eastAsia="en-US"/>
        </w:rPr>
        <w:t>Section 88 in so far as it relates to the appointment of the Commissioner</w:t>
      </w:r>
      <w:r w:rsidRPr="0067507D">
        <w:rPr>
          <w:rFonts w:ascii="Calibri" w:eastAsia="VIC" w:hAnsi="Calibri" w:cs="Calibri"/>
        </w:rPr>
        <w:t> </w:t>
      </w:r>
      <w:r w:rsidRPr="0067507D">
        <w:rPr>
          <w:rFonts w:eastAsia="VIC"/>
        </w:rPr>
        <w:t>with responsibility</w:t>
      </w:r>
      <w:r w:rsidRPr="0067507D">
        <w:rPr>
          <w:rFonts w:eastAsia="Aptos"/>
          <w:szCs w:val="22"/>
          <w:lang w:eastAsia="en-US"/>
        </w:rPr>
        <w:t xml:space="preserve"> for </w:t>
      </w:r>
      <w:r w:rsidRPr="0067507D">
        <w:rPr>
          <w:rFonts w:eastAsia="VIC"/>
        </w:rPr>
        <w:t>providing independent advice in accordance with section 10(3) of the Subordinate Legislation Act 1994 and who, as at</w:t>
      </w:r>
      <w:r w:rsidRPr="0067507D">
        <w:rPr>
          <w:rFonts w:ascii="Calibri" w:eastAsia="VIC" w:hAnsi="Calibri" w:cs="Calibri"/>
        </w:rPr>
        <w:t> </w:t>
      </w:r>
      <w:r w:rsidRPr="0067507D">
        <w:rPr>
          <w:rFonts w:eastAsia="VIC"/>
        </w:rPr>
        <w:t xml:space="preserve">1 April 2024, is known as the Commissioner for Economic Growth and </w:t>
      </w:r>
      <w:r w:rsidRPr="0067507D">
        <w:rPr>
          <w:rFonts w:eastAsia="Aptos"/>
          <w:szCs w:val="22"/>
          <w:lang w:eastAsia="en-US"/>
        </w:rPr>
        <w:t>Better Regulation</w:t>
      </w:r>
      <w:r w:rsidRPr="0067507D">
        <w:rPr>
          <w:rFonts w:ascii="Calibri" w:eastAsia="VIC" w:hAnsi="Calibri" w:cs="Calibri"/>
        </w:rPr>
        <w:t> </w:t>
      </w:r>
      <w:r w:rsidRPr="0067507D">
        <w:rPr>
          <w:rFonts w:eastAsia="VIC"/>
        </w:rPr>
        <w:t>(in so far as it relates to those matters, this section is jointly and severally administered with the Treasurer)</w:t>
      </w:r>
    </w:p>
    <w:p w14:paraId="66B6E3C3" w14:textId="0703F784" w:rsidR="00955FB5" w:rsidRPr="0067507D" w:rsidRDefault="00955FB5" w:rsidP="00733E1C">
      <w:pPr>
        <w:pStyle w:val="NormalIndent"/>
        <w:rPr>
          <w:rFonts w:eastAsia="Aptos"/>
          <w:lang w:eastAsia="en-US"/>
        </w:rPr>
      </w:pPr>
      <w:r w:rsidRPr="0067507D">
        <w:rPr>
          <w:rFonts w:eastAsia="Aptos"/>
          <w:lang w:eastAsia="en-US"/>
        </w:rPr>
        <w:t>(The Act is otherwise administrated by the Attorney</w:t>
      </w:r>
      <w:r w:rsidR="006A5485">
        <w:rPr>
          <w:rFonts w:eastAsia="Aptos"/>
          <w:lang w:eastAsia="en-US"/>
        </w:rPr>
        <w:noBreakHyphen/>
      </w:r>
      <w:r w:rsidRPr="0067507D">
        <w:rPr>
          <w:rFonts w:eastAsia="Aptos"/>
          <w:lang w:eastAsia="en-US"/>
        </w:rPr>
        <w:t>General, the Premier</w:t>
      </w:r>
      <w:r w:rsidRPr="0067507D">
        <w:rPr>
          <w:rFonts w:eastAsia="VIC" w:cs="VIC"/>
          <w:szCs w:val="17"/>
        </w:rPr>
        <w:t xml:space="preserve"> and the Treasurer</w:t>
      </w:r>
      <w:r w:rsidRPr="0067507D">
        <w:rPr>
          <w:rFonts w:eastAsia="Aptos"/>
          <w:lang w:eastAsia="en-US"/>
        </w:rPr>
        <w:t>)</w:t>
      </w:r>
    </w:p>
    <w:p w14:paraId="114C9106" w14:textId="45D352D1" w:rsidR="00955FB5" w:rsidRPr="0067507D" w:rsidRDefault="00955FB5" w:rsidP="00733E1C">
      <w:pPr>
        <w:rPr>
          <w:rFonts w:eastAsia="Aptos"/>
          <w:lang w:eastAsia="en-US"/>
        </w:rPr>
      </w:pPr>
      <w:r w:rsidRPr="0067507D">
        <w:rPr>
          <w:rFonts w:eastAsia="Aptos"/>
          <w:i/>
          <w:iCs/>
          <w:lang w:eastAsia="en-US"/>
        </w:rPr>
        <w:t>Crown Land (Reserves) Act 1978</w:t>
      </w:r>
      <w:r w:rsidRPr="0067507D">
        <w:rPr>
          <w:rFonts w:eastAsia="Aptos"/>
          <w:lang w:eastAsia="en-US"/>
        </w:rPr>
        <w:t xml:space="preserve"> –</w:t>
      </w:r>
    </w:p>
    <w:p w14:paraId="41645D36" w14:textId="77777777" w:rsidR="00955FB5" w:rsidRPr="0067507D" w:rsidRDefault="00955FB5" w:rsidP="001F4981">
      <w:pPr>
        <w:pStyle w:val="Bullet"/>
        <w:rPr>
          <w:rFonts w:eastAsia="Aptos"/>
          <w:lang w:eastAsia="en-US"/>
        </w:rPr>
      </w:pPr>
      <w:r w:rsidRPr="0067507D">
        <w:rPr>
          <w:rFonts w:eastAsia="Aptos"/>
          <w:lang w:eastAsia="en-US"/>
        </w:rPr>
        <w:t>In so far as it relates to the land shown as:</w:t>
      </w:r>
    </w:p>
    <w:p w14:paraId="4258A5C7" w14:textId="77777777" w:rsidR="00955FB5" w:rsidRPr="0067507D" w:rsidRDefault="00955FB5" w:rsidP="00FB2B92">
      <w:pPr>
        <w:pStyle w:val="Dash"/>
        <w:rPr>
          <w:lang w:eastAsia="en-US"/>
        </w:rPr>
      </w:pPr>
      <w:r w:rsidRPr="0067507D">
        <w:rPr>
          <w:lang w:eastAsia="en-US"/>
        </w:rPr>
        <w:t>Crown Allotments 2A, 3 and 4 of Section 5, City of Melbourne, Parish of Melbourne North (Parish Plan No. 5514C) and known as the Treasury Reserve</w:t>
      </w:r>
    </w:p>
    <w:p w14:paraId="5DDC8FDE" w14:textId="27B83E11" w:rsidR="00955FB5" w:rsidRPr="0067507D" w:rsidRDefault="00955FB5" w:rsidP="00FB2B92">
      <w:pPr>
        <w:pStyle w:val="Dash"/>
        <w:rPr>
          <w:lang w:eastAsia="en-US"/>
        </w:rPr>
      </w:pPr>
      <w:r w:rsidRPr="0067507D">
        <w:rPr>
          <w:lang w:eastAsia="en-US"/>
        </w:rPr>
        <w:t>Crown Allotments 4A and 4B on Certified Plan</w:t>
      </w:r>
      <w:r w:rsidR="00721863" w:rsidRPr="0067507D">
        <w:rPr>
          <w:rFonts w:ascii="Calibri" w:hAnsi="Calibri" w:cs="Calibri"/>
          <w:lang w:eastAsia="en-US"/>
        </w:rPr>
        <w:t> </w:t>
      </w:r>
      <w:r w:rsidRPr="0067507D">
        <w:rPr>
          <w:lang w:eastAsia="en-US"/>
        </w:rPr>
        <w:t>111284 lodged with the Central Plan Office and to be known as the Old Treasury Building Reserve</w:t>
      </w:r>
      <w:r w:rsidRPr="0067507D">
        <w:rPr>
          <w:rFonts w:ascii="Calibri" w:eastAsia="VIC" w:hAnsi="Calibri" w:cs="Calibri"/>
        </w:rPr>
        <w:t> </w:t>
      </w:r>
    </w:p>
    <w:p w14:paraId="718829E9" w14:textId="24DF8A41" w:rsidR="00955FB5" w:rsidRPr="0067507D" w:rsidRDefault="00955FB5" w:rsidP="008A30FA">
      <w:pPr>
        <w:pStyle w:val="NormalIndent"/>
        <w:rPr>
          <w:rFonts w:eastAsia="Aptos"/>
          <w:lang w:eastAsia="en-US"/>
        </w:rPr>
      </w:pPr>
      <w:r w:rsidRPr="0067507D">
        <w:rPr>
          <w:rFonts w:eastAsia="Aptos"/>
          <w:lang w:eastAsia="en-US"/>
        </w:rPr>
        <w:t>(The Act is otherwise administered by the Minister for Corrections, the Minister for Environment, the Minister for Health, the Minister for Planning, the Minister for Ports and Freight,</w:t>
      </w:r>
      <w:r w:rsidR="00721863" w:rsidRPr="0067507D">
        <w:rPr>
          <w:rFonts w:eastAsia="Aptos"/>
          <w:lang w:eastAsia="en-US"/>
        </w:rPr>
        <w:t xml:space="preserve"> </w:t>
      </w:r>
      <w:r w:rsidRPr="0067507D">
        <w:rPr>
          <w:rFonts w:eastAsia="Aptos"/>
          <w:lang w:eastAsia="en-US"/>
        </w:rPr>
        <w:t>the Minister for Tourism,</w:t>
      </w:r>
      <w:r w:rsidR="00721863" w:rsidRPr="0067507D">
        <w:rPr>
          <w:rFonts w:ascii="Calibri" w:eastAsia="VIC" w:hAnsi="Calibri" w:cs="Calibri"/>
          <w:szCs w:val="17"/>
        </w:rPr>
        <w:t xml:space="preserve"> </w:t>
      </w:r>
      <w:r w:rsidRPr="0067507D">
        <w:rPr>
          <w:rFonts w:eastAsia="Aptos"/>
          <w:lang w:eastAsia="en-US"/>
        </w:rPr>
        <w:t>Sport and Major Events and the Premier)</w:t>
      </w:r>
    </w:p>
    <w:p w14:paraId="0FBCCFED" w14:textId="77777777" w:rsidR="00955FB5" w:rsidRPr="0067507D" w:rsidRDefault="00955FB5" w:rsidP="00721863">
      <w:pPr>
        <w:rPr>
          <w:rFonts w:eastAsia="Aptos"/>
          <w:i/>
          <w:iCs/>
          <w:lang w:eastAsia="en-US"/>
        </w:rPr>
      </w:pPr>
      <w:r w:rsidRPr="0067507D">
        <w:rPr>
          <w:rFonts w:eastAsia="Aptos"/>
          <w:i/>
          <w:iCs/>
          <w:lang w:eastAsia="en-US"/>
        </w:rPr>
        <w:t>Emergency Services Superannuation Act 1986</w:t>
      </w:r>
    </w:p>
    <w:p w14:paraId="59816960" w14:textId="7C1BD56A" w:rsidR="00955FB5" w:rsidRPr="0067507D" w:rsidRDefault="00955FB5" w:rsidP="00721863">
      <w:pPr>
        <w:rPr>
          <w:rFonts w:eastAsia="Aptos"/>
          <w:i/>
          <w:iCs/>
          <w:lang w:eastAsia="en-US"/>
        </w:rPr>
      </w:pPr>
      <w:r w:rsidRPr="0067507D">
        <w:rPr>
          <w:rFonts w:eastAsia="Aptos"/>
          <w:i/>
          <w:iCs/>
          <w:lang w:eastAsia="en-US"/>
        </w:rPr>
        <w:t>Essential Services Commission Act 2001</w:t>
      </w:r>
    </w:p>
    <w:p w14:paraId="54B45D24" w14:textId="7E29ADB1" w:rsidR="00955FB5" w:rsidRPr="0067507D" w:rsidRDefault="00955FB5" w:rsidP="00721863">
      <w:pPr>
        <w:keepNext/>
        <w:rPr>
          <w:rFonts w:eastAsia="Aptos"/>
          <w:lang w:eastAsia="en-US"/>
        </w:rPr>
      </w:pPr>
      <w:r w:rsidRPr="0067507D">
        <w:rPr>
          <w:rFonts w:eastAsia="Aptos"/>
          <w:i/>
          <w:iCs/>
          <w:lang w:eastAsia="en-US"/>
        </w:rPr>
        <w:lastRenderedPageBreak/>
        <w:t>Financial Management Act 1994</w:t>
      </w:r>
      <w:r w:rsidRPr="0067507D">
        <w:rPr>
          <w:rFonts w:eastAsia="Aptos"/>
          <w:lang w:eastAsia="en-US"/>
        </w:rPr>
        <w:t xml:space="preserve"> –</w:t>
      </w:r>
    </w:p>
    <w:p w14:paraId="2666230B" w14:textId="011F8613" w:rsidR="00955FB5" w:rsidRPr="0067507D" w:rsidRDefault="00955FB5" w:rsidP="00721863">
      <w:pPr>
        <w:pStyle w:val="Bullet"/>
        <w:keepNext/>
        <w:rPr>
          <w:rFonts w:eastAsia="Aptos"/>
          <w:lang w:eastAsia="en-US"/>
        </w:rPr>
      </w:pPr>
      <w:r w:rsidRPr="0067507D">
        <w:rPr>
          <w:rFonts w:eastAsia="Aptos"/>
          <w:lang w:eastAsia="en-US"/>
        </w:rPr>
        <w:t>Sections 1</w:t>
      </w:r>
      <w:r w:rsidR="006A5485">
        <w:rPr>
          <w:rFonts w:eastAsia="Aptos"/>
          <w:lang w:eastAsia="en-US"/>
        </w:rPr>
        <w:noBreakHyphen/>
      </w:r>
      <w:r w:rsidRPr="0067507D">
        <w:rPr>
          <w:rFonts w:eastAsia="Aptos"/>
          <w:lang w:eastAsia="en-US"/>
        </w:rPr>
        <w:t>3 and 7 (these provisions are jointly administered with the Treasurer)</w:t>
      </w:r>
      <w:r w:rsidRPr="0067507D">
        <w:rPr>
          <w:rFonts w:ascii="Calibri" w:eastAsia="VIC" w:hAnsi="Calibri" w:cs="Calibri"/>
          <w:szCs w:val="17"/>
        </w:rPr>
        <w:t> </w:t>
      </w:r>
    </w:p>
    <w:p w14:paraId="375B253A" w14:textId="4C7F4348" w:rsidR="00955FB5" w:rsidRPr="0067507D" w:rsidRDefault="00955FB5" w:rsidP="001F4981">
      <w:pPr>
        <w:pStyle w:val="Bullet"/>
        <w:rPr>
          <w:rFonts w:eastAsia="Aptos"/>
          <w:lang w:eastAsia="en-US"/>
        </w:rPr>
      </w:pPr>
      <w:r w:rsidRPr="0067507D">
        <w:rPr>
          <w:rFonts w:eastAsia="VIC" w:cs="VIC"/>
          <w:szCs w:val="17"/>
        </w:rPr>
        <w:t>Part</w:t>
      </w:r>
      <w:r w:rsidRPr="0067507D">
        <w:rPr>
          <w:rFonts w:eastAsia="Aptos"/>
          <w:lang w:eastAsia="en-US"/>
        </w:rPr>
        <w:t xml:space="preserve"> 7, </w:t>
      </w:r>
      <w:r w:rsidRPr="0067507D">
        <w:rPr>
          <w:rFonts w:eastAsia="VIC" w:cs="VIC"/>
          <w:szCs w:val="17"/>
        </w:rPr>
        <w:t xml:space="preserve">Part </w:t>
      </w:r>
      <w:r w:rsidRPr="0067507D">
        <w:rPr>
          <w:rFonts w:eastAsia="Aptos"/>
          <w:lang w:eastAsia="en-US"/>
        </w:rPr>
        <w:t>7B</w:t>
      </w:r>
      <w:r w:rsidR="0008102E" w:rsidRPr="0067507D">
        <w:rPr>
          <w:rFonts w:eastAsia="Aptos"/>
          <w:lang w:eastAsia="en-US"/>
        </w:rPr>
        <w:t xml:space="preserve"> (except section 54O)</w:t>
      </w:r>
      <w:r w:rsidRPr="0067507D">
        <w:rPr>
          <w:rFonts w:eastAsia="VIC" w:cs="VIC"/>
          <w:szCs w:val="17"/>
        </w:rPr>
        <w:t>, Part</w:t>
      </w:r>
      <w:r w:rsidRPr="0067507D">
        <w:rPr>
          <w:rFonts w:eastAsia="Aptos"/>
          <w:lang w:eastAsia="en-US"/>
        </w:rPr>
        <w:t xml:space="preserve"> 8, sections 5, 6, 8, 13</w:t>
      </w:r>
      <w:r w:rsidR="006A5485">
        <w:rPr>
          <w:rFonts w:eastAsia="Aptos"/>
          <w:lang w:eastAsia="en-US"/>
        </w:rPr>
        <w:noBreakHyphen/>
      </w:r>
      <w:r w:rsidRPr="0067507D">
        <w:rPr>
          <w:rFonts w:eastAsia="Aptos"/>
          <w:lang w:eastAsia="en-US"/>
        </w:rPr>
        <w:t>16, 18</w:t>
      </w:r>
      <w:r w:rsidR="00143C5A" w:rsidRPr="0067507D">
        <w:rPr>
          <w:rFonts w:eastAsia="Aptos"/>
          <w:lang w:eastAsia="en-US"/>
        </w:rPr>
        <w:noBreakHyphen/>
      </w:r>
      <w:r w:rsidRPr="0067507D">
        <w:rPr>
          <w:rFonts w:eastAsia="Aptos"/>
          <w:lang w:eastAsia="en-US"/>
        </w:rPr>
        <w:t>23(1), 27A</w:t>
      </w:r>
      <w:r w:rsidR="006A5485">
        <w:rPr>
          <w:rFonts w:eastAsia="VIC" w:cs="VIC"/>
          <w:szCs w:val="17"/>
        </w:rPr>
        <w:noBreakHyphen/>
      </w:r>
      <w:r w:rsidRPr="0067507D">
        <w:rPr>
          <w:rFonts w:eastAsia="Aptos"/>
          <w:lang w:eastAsia="en-US"/>
        </w:rPr>
        <w:t>27C and 62</w:t>
      </w:r>
      <w:r w:rsidR="006A5485">
        <w:rPr>
          <w:rFonts w:eastAsia="Aptos"/>
          <w:lang w:eastAsia="en-US"/>
        </w:rPr>
        <w:noBreakHyphen/>
      </w:r>
      <w:r w:rsidRPr="0067507D">
        <w:rPr>
          <w:rFonts w:eastAsia="Aptos"/>
          <w:lang w:eastAsia="en-US"/>
        </w:rPr>
        <w:t>63</w:t>
      </w:r>
    </w:p>
    <w:p w14:paraId="09ED7B90" w14:textId="213EC2EC" w:rsidR="0008102E" w:rsidRPr="0067507D" w:rsidRDefault="00D52857" w:rsidP="001F4981">
      <w:pPr>
        <w:pStyle w:val="Bullet"/>
        <w:rPr>
          <w:rFonts w:eastAsia="Aptos"/>
          <w:lang w:eastAsia="en-US"/>
        </w:rPr>
      </w:pPr>
      <w:r w:rsidRPr="0067507D">
        <w:rPr>
          <w:rFonts w:eastAsia="Aptos"/>
          <w:lang w:eastAsia="en-US"/>
        </w:rPr>
        <w:t>Section 54O (this section is jointly and severally administered with the Minister for Government Services.)</w:t>
      </w:r>
    </w:p>
    <w:p w14:paraId="3EAFFFCE" w14:textId="77777777" w:rsidR="00955FB5" w:rsidRPr="0067507D" w:rsidRDefault="00955FB5" w:rsidP="001F4981">
      <w:pPr>
        <w:pStyle w:val="Bullet"/>
        <w:rPr>
          <w:rFonts w:eastAsia="Aptos"/>
          <w:lang w:eastAsia="en-US"/>
        </w:rPr>
      </w:pPr>
      <w:r w:rsidRPr="0067507D">
        <w:rPr>
          <w:rFonts w:eastAsia="Aptos"/>
          <w:lang w:eastAsia="en-US"/>
        </w:rPr>
        <w:t>Part 7C and section 59 in so far as it relates to the prescription of a matter for the purposes of Part 7C (these provisions are jointly administered with the Treasurer)</w:t>
      </w:r>
    </w:p>
    <w:p w14:paraId="00F56498" w14:textId="77777777" w:rsidR="00955FB5" w:rsidRPr="0067507D" w:rsidRDefault="00955FB5" w:rsidP="008A30FA">
      <w:pPr>
        <w:pStyle w:val="NormalIndent"/>
        <w:rPr>
          <w:rFonts w:eastAsia="Aptos"/>
          <w:lang w:eastAsia="en-US"/>
        </w:rPr>
      </w:pPr>
      <w:r w:rsidRPr="0067507D">
        <w:rPr>
          <w:rFonts w:eastAsia="Aptos"/>
          <w:lang w:eastAsia="en-US"/>
        </w:rPr>
        <w:t>(The Act is otherwise administered by the Minister for Government Services and the Treasurer)</w:t>
      </w:r>
      <w:r w:rsidRPr="0067507D">
        <w:rPr>
          <w:rFonts w:ascii="Calibri" w:eastAsia="VIC" w:hAnsi="Calibri" w:cs="Calibri"/>
          <w:szCs w:val="17"/>
        </w:rPr>
        <w:t> </w:t>
      </w:r>
    </w:p>
    <w:p w14:paraId="6120DE21" w14:textId="77777777" w:rsidR="00955FB5" w:rsidRPr="0067507D" w:rsidRDefault="00955FB5" w:rsidP="00721863">
      <w:pPr>
        <w:rPr>
          <w:rFonts w:eastAsia="Aptos"/>
          <w:i/>
          <w:iCs/>
          <w:lang w:eastAsia="en-US"/>
        </w:rPr>
      </w:pPr>
      <w:r w:rsidRPr="0067507D">
        <w:rPr>
          <w:rFonts w:eastAsia="Aptos"/>
          <w:i/>
          <w:iCs/>
          <w:lang w:eastAsia="en-US"/>
        </w:rPr>
        <w:t>Government Superannuation Act 1999</w:t>
      </w:r>
    </w:p>
    <w:p w14:paraId="44F679B2" w14:textId="77777777" w:rsidR="00955FB5" w:rsidRPr="0067507D" w:rsidRDefault="00955FB5" w:rsidP="00721863">
      <w:pPr>
        <w:rPr>
          <w:rFonts w:eastAsia="Aptos"/>
          <w:lang w:eastAsia="en-US"/>
        </w:rPr>
      </w:pPr>
      <w:r w:rsidRPr="0067507D">
        <w:rPr>
          <w:rFonts w:eastAsia="Aptos"/>
          <w:i/>
          <w:iCs/>
          <w:lang w:eastAsia="en-US"/>
        </w:rPr>
        <w:t>Housing Act 1983</w:t>
      </w:r>
      <w:r w:rsidRPr="0067507D">
        <w:rPr>
          <w:rFonts w:eastAsia="Aptos"/>
          <w:lang w:eastAsia="en-US"/>
        </w:rPr>
        <w:t xml:space="preserve"> –</w:t>
      </w:r>
    </w:p>
    <w:p w14:paraId="3EA78193" w14:textId="5A38577C" w:rsidR="00955FB5" w:rsidRPr="0067507D" w:rsidRDefault="00955FB5" w:rsidP="001F4981">
      <w:pPr>
        <w:pStyle w:val="Bullet"/>
        <w:rPr>
          <w:rFonts w:eastAsia="Aptos"/>
          <w:lang w:eastAsia="en-US"/>
        </w:rPr>
      </w:pPr>
      <w:r w:rsidRPr="0067507D">
        <w:rPr>
          <w:rFonts w:eastAsia="Aptos"/>
          <w:lang w:eastAsia="en-US"/>
        </w:rPr>
        <w:t>Divisions 1</w:t>
      </w:r>
      <w:r w:rsidR="006A5485">
        <w:rPr>
          <w:rFonts w:eastAsia="Aptos"/>
          <w:lang w:eastAsia="en-US"/>
        </w:rPr>
        <w:noBreakHyphen/>
      </w:r>
      <w:r w:rsidRPr="0067507D">
        <w:rPr>
          <w:rFonts w:eastAsia="Aptos"/>
          <w:lang w:eastAsia="en-US"/>
        </w:rPr>
        <w:t>5, 7</w:t>
      </w:r>
      <w:r w:rsidR="006A5485">
        <w:rPr>
          <w:rFonts w:eastAsia="Aptos"/>
          <w:lang w:eastAsia="en-US"/>
        </w:rPr>
        <w:noBreakHyphen/>
      </w:r>
      <w:r w:rsidRPr="0067507D">
        <w:rPr>
          <w:rFonts w:eastAsia="Aptos"/>
          <w:lang w:eastAsia="en-US"/>
        </w:rPr>
        <w:t>9 of Part VIII, Schedules 7 and 8</w:t>
      </w:r>
    </w:p>
    <w:p w14:paraId="3B22AB0F" w14:textId="77777777" w:rsidR="00955FB5" w:rsidRPr="0067507D" w:rsidRDefault="00955FB5" w:rsidP="001F4981">
      <w:pPr>
        <w:pStyle w:val="Bullet"/>
        <w:rPr>
          <w:rFonts w:eastAsia="Aptos"/>
          <w:lang w:eastAsia="en-US"/>
        </w:rPr>
      </w:pPr>
      <w:r w:rsidRPr="0067507D">
        <w:rPr>
          <w:rFonts w:eastAsia="Aptos"/>
          <w:lang w:eastAsia="en-US"/>
        </w:rPr>
        <w:t>Sections 143(1), 143(2)(d), 143(2)(e), 143(2)(f), 143(2)(i) and 143(3) (these provisions are jointly and severally administered with the Minister for Housing)</w:t>
      </w:r>
    </w:p>
    <w:p w14:paraId="3C09434E" w14:textId="1635A976" w:rsidR="00955FB5" w:rsidRPr="0067507D" w:rsidRDefault="00955FB5" w:rsidP="008A30FA">
      <w:pPr>
        <w:pStyle w:val="NormalIndent"/>
        <w:rPr>
          <w:rFonts w:eastAsia="Aptos"/>
          <w:lang w:eastAsia="en-US"/>
        </w:rPr>
      </w:pPr>
      <w:r w:rsidRPr="0067507D">
        <w:rPr>
          <w:rFonts w:eastAsia="Aptos"/>
          <w:lang w:eastAsia="en-US"/>
        </w:rPr>
        <w:t>(The Act is otherwise administered by the Minister for Housing</w:t>
      </w:r>
      <w:r w:rsidR="00D52857" w:rsidRPr="0067507D">
        <w:rPr>
          <w:rFonts w:eastAsia="Aptos"/>
          <w:lang w:eastAsia="en-US"/>
        </w:rPr>
        <w:t xml:space="preserve"> and Building</w:t>
      </w:r>
      <w:r w:rsidRPr="0067507D">
        <w:rPr>
          <w:rFonts w:eastAsia="Aptos"/>
          <w:lang w:eastAsia="en-US"/>
        </w:rPr>
        <w:t>)</w:t>
      </w:r>
    </w:p>
    <w:p w14:paraId="4A67CD8B" w14:textId="77777777" w:rsidR="00955FB5" w:rsidRPr="0067507D" w:rsidRDefault="00955FB5" w:rsidP="00721863">
      <w:pPr>
        <w:rPr>
          <w:rFonts w:eastAsia="Aptos"/>
          <w:lang w:eastAsia="en-US"/>
        </w:rPr>
      </w:pPr>
      <w:r w:rsidRPr="0067507D">
        <w:rPr>
          <w:rFonts w:eastAsia="Aptos"/>
          <w:i/>
          <w:iCs/>
          <w:lang w:eastAsia="en-US"/>
        </w:rPr>
        <w:t>Interpretation of Legislation Act 1984</w:t>
      </w:r>
      <w:r w:rsidRPr="0067507D">
        <w:rPr>
          <w:rFonts w:eastAsia="Aptos"/>
          <w:lang w:eastAsia="en-US"/>
        </w:rPr>
        <w:t xml:space="preserve"> –</w:t>
      </w:r>
    </w:p>
    <w:p w14:paraId="0B452EE8" w14:textId="78FA68E6" w:rsidR="00955FB5" w:rsidRPr="0067507D" w:rsidRDefault="00955FB5" w:rsidP="001F4981">
      <w:pPr>
        <w:pStyle w:val="Bullet"/>
        <w:rPr>
          <w:rFonts w:eastAsia="Aptos"/>
          <w:lang w:eastAsia="en-US"/>
        </w:rPr>
      </w:pPr>
      <w:r w:rsidRPr="0067507D">
        <w:rPr>
          <w:rFonts w:eastAsia="Aptos"/>
          <w:lang w:eastAsia="en-US"/>
        </w:rPr>
        <w:t>Sections 38M to 38P (these sections are jointly and severally administered with the Attorney</w:t>
      </w:r>
      <w:r w:rsidR="006A5485">
        <w:rPr>
          <w:rFonts w:eastAsia="Aptos"/>
          <w:lang w:eastAsia="en-US"/>
        </w:rPr>
        <w:noBreakHyphen/>
      </w:r>
      <w:r w:rsidRPr="0067507D">
        <w:rPr>
          <w:rFonts w:eastAsia="Aptos"/>
          <w:lang w:eastAsia="en-US"/>
        </w:rPr>
        <w:t>General)</w:t>
      </w:r>
    </w:p>
    <w:p w14:paraId="782532D9" w14:textId="163E7DE6" w:rsidR="00955FB5" w:rsidRPr="0067507D" w:rsidRDefault="00955FB5" w:rsidP="001F4981">
      <w:pPr>
        <w:pStyle w:val="Bullet"/>
        <w:rPr>
          <w:rFonts w:eastAsia="Aptos"/>
          <w:lang w:eastAsia="en-US"/>
        </w:rPr>
      </w:pPr>
      <w:r w:rsidRPr="0067507D">
        <w:rPr>
          <w:rFonts w:eastAsia="Aptos"/>
          <w:lang w:eastAsia="en-US"/>
        </w:rPr>
        <w:t>Section 65 in so far as it relates to the prescription of a matter for the purposes of sections 38M</w:t>
      </w:r>
      <w:r w:rsidR="006A5485">
        <w:rPr>
          <w:rFonts w:eastAsia="Aptos"/>
          <w:lang w:eastAsia="en-US"/>
        </w:rPr>
        <w:noBreakHyphen/>
      </w:r>
      <w:r w:rsidRPr="0067507D">
        <w:rPr>
          <w:rFonts w:eastAsia="Aptos"/>
          <w:lang w:eastAsia="en-US"/>
        </w:rPr>
        <w:t>to 38P (in so far as it relates to those matters, this section is jointly and severally administered with the Attorney</w:t>
      </w:r>
      <w:r w:rsidR="006A5485">
        <w:rPr>
          <w:rFonts w:eastAsia="Aptos"/>
          <w:lang w:eastAsia="en-US"/>
        </w:rPr>
        <w:noBreakHyphen/>
      </w:r>
      <w:r w:rsidRPr="0067507D">
        <w:rPr>
          <w:rFonts w:eastAsia="Aptos"/>
          <w:lang w:eastAsia="en-US"/>
        </w:rPr>
        <w:t>General)</w:t>
      </w:r>
    </w:p>
    <w:p w14:paraId="461CB45B" w14:textId="77777777" w:rsidR="00955FB5" w:rsidRPr="0067507D" w:rsidRDefault="00955FB5" w:rsidP="00721863">
      <w:pPr>
        <w:rPr>
          <w:rFonts w:eastAsia="Aptos"/>
          <w:lang w:eastAsia="en-US"/>
        </w:rPr>
      </w:pPr>
      <w:r w:rsidRPr="0067507D">
        <w:rPr>
          <w:rFonts w:eastAsia="Aptos"/>
          <w:i/>
          <w:iCs/>
          <w:lang w:eastAsia="en-US"/>
        </w:rPr>
        <w:t>Land Act 1958</w:t>
      </w:r>
      <w:r w:rsidRPr="0067507D">
        <w:rPr>
          <w:rFonts w:eastAsia="Aptos"/>
          <w:lang w:eastAsia="en-US"/>
        </w:rPr>
        <w:t xml:space="preserve"> –</w:t>
      </w:r>
    </w:p>
    <w:p w14:paraId="563FD4E8" w14:textId="6A81991E" w:rsidR="00955FB5" w:rsidRPr="0067507D" w:rsidRDefault="00955FB5" w:rsidP="001F4981">
      <w:pPr>
        <w:pStyle w:val="Bullet"/>
        <w:rPr>
          <w:rFonts w:eastAsia="Aptos"/>
          <w:lang w:eastAsia="en-US"/>
        </w:rPr>
      </w:pPr>
      <w:r w:rsidRPr="0067507D">
        <w:rPr>
          <w:rFonts w:eastAsia="Aptos"/>
          <w:lang w:eastAsia="en-US"/>
        </w:rPr>
        <w:t>In so far as it relates to the exercise of powers relating to leases and licences under Subdivisions 1 and 2 of Division 9 of Part I in</w:t>
      </w:r>
      <w:r w:rsidR="00721863" w:rsidRPr="0067507D">
        <w:rPr>
          <w:rFonts w:ascii="Calibri" w:eastAsia="Aptos" w:hAnsi="Calibri" w:cs="Calibri"/>
          <w:lang w:eastAsia="en-US"/>
        </w:rPr>
        <w:t> </w:t>
      </w:r>
      <w:r w:rsidRPr="0067507D">
        <w:rPr>
          <w:rFonts w:eastAsia="Aptos"/>
          <w:lang w:eastAsia="en-US"/>
        </w:rPr>
        <w:t>respect of:</w:t>
      </w:r>
    </w:p>
    <w:p w14:paraId="69D7BDEB" w14:textId="77777777" w:rsidR="00955FB5" w:rsidRPr="0067507D" w:rsidRDefault="00955FB5" w:rsidP="00FB2B92">
      <w:pPr>
        <w:pStyle w:val="Dash"/>
        <w:rPr>
          <w:lang w:eastAsia="en-US"/>
        </w:rPr>
      </w:pPr>
      <w:r w:rsidRPr="0067507D">
        <w:rPr>
          <w:lang w:eastAsia="en-US"/>
        </w:rPr>
        <w:t>land in the Melbourne Casino area within the meaning of Part 9A of the Casino Control Act 1991</w:t>
      </w:r>
      <w:r w:rsidRPr="0067507D">
        <w:rPr>
          <w:rFonts w:ascii="Calibri" w:eastAsia="VIC" w:hAnsi="Calibri" w:cs="Calibri"/>
        </w:rPr>
        <w:t> </w:t>
      </w:r>
    </w:p>
    <w:p w14:paraId="149DC0F5" w14:textId="325962B2" w:rsidR="00955FB5" w:rsidRPr="0067507D" w:rsidRDefault="00955FB5" w:rsidP="00FB2B92">
      <w:pPr>
        <w:pStyle w:val="Dash"/>
        <w:rPr>
          <w:lang w:eastAsia="en-US"/>
        </w:rPr>
      </w:pPr>
      <w:r w:rsidRPr="0067507D">
        <w:rPr>
          <w:lang w:eastAsia="en-US"/>
        </w:rPr>
        <w:t>Crown land coloured brown on Plans numbered LEGL./93</w:t>
      </w:r>
      <w:r w:rsidR="006A5485">
        <w:rPr>
          <w:lang w:eastAsia="en-US"/>
        </w:rPr>
        <w:noBreakHyphen/>
      </w:r>
      <w:r w:rsidRPr="0067507D">
        <w:rPr>
          <w:lang w:eastAsia="en-US"/>
        </w:rPr>
        <w:t>211, LEGL./93</w:t>
      </w:r>
      <w:r w:rsidR="006A5485">
        <w:rPr>
          <w:lang w:eastAsia="en-US"/>
        </w:rPr>
        <w:noBreakHyphen/>
      </w:r>
      <w:r w:rsidRPr="0067507D">
        <w:rPr>
          <w:lang w:eastAsia="en-US"/>
        </w:rPr>
        <w:t>212, LEGL./93</w:t>
      </w:r>
      <w:r w:rsidR="006A5485">
        <w:rPr>
          <w:lang w:eastAsia="en-US"/>
        </w:rPr>
        <w:noBreakHyphen/>
      </w:r>
      <w:r w:rsidRPr="0067507D">
        <w:rPr>
          <w:lang w:eastAsia="en-US"/>
        </w:rPr>
        <w:t>213, LEGL./93</w:t>
      </w:r>
      <w:r w:rsidR="006A5485">
        <w:rPr>
          <w:lang w:eastAsia="en-US"/>
        </w:rPr>
        <w:noBreakHyphen/>
      </w:r>
      <w:r w:rsidRPr="0067507D">
        <w:rPr>
          <w:lang w:eastAsia="en-US"/>
        </w:rPr>
        <w:t>214 and LEGL./93</w:t>
      </w:r>
      <w:r w:rsidR="006A5485">
        <w:rPr>
          <w:lang w:eastAsia="en-US"/>
        </w:rPr>
        <w:noBreakHyphen/>
      </w:r>
      <w:r w:rsidRPr="0067507D">
        <w:rPr>
          <w:lang w:eastAsia="en-US"/>
        </w:rPr>
        <w:t>215 lodged in the Central Plan Office</w:t>
      </w:r>
      <w:r w:rsidRPr="0067507D">
        <w:rPr>
          <w:rFonts w:ascii="Calibri" w:eastAsia="VIC" w:hAnsi="Calibri" w:cs="Calibri"/>
        </w:rPr>
        <w:t> </w:t>
      </w:r>
    </w:p>
    <w:p w14:paraId="03002FA7" w14:textId="77777777" w:rsidR="00955FB5" w:rsidRPr="0067507D" w:rsidRDefault="00955FB5" w:rsidP="00FB2B92">
      <w:pPr>
        <w:pStyle w:val="Dash"/>
        <w:rPr>
          <w:lang w:eastAsia="en-US"/>
        </w:rPr>
      </w:pPr>
      <w:r w:rsidRPr="0067507D">
        <w:rPr>
          <w:lang w:eastAsia="en-US"/>
        </w:rPr>
        <w:t>land shown as Crown Allotment 32E, Section</w:t>
      </w:r>
      <w:r w:rsidRPr="0067507D">
        <w:rPr>
          <w:rFonts w:eastAsia="VIC" w:cs="VIC"/>
        </w:rPr>
        <w:t xml:space="preserve"> </w:t>
      </w:r>
      <w:r w:rsidRPr="0067507D">
        <w:rPr>
          <w:lang w:eastAsia="en-US"/>
        </w:rPr>
        <w:t>7 on Certified Plan No. 108871 lodged in the Central Plan Office</w:t>
      </w:r>
    </w:p>
    <w:p w14:paraId="3930D96F" w14:textId="77777777" w:rsidR="00955FB5" w:rsidRPr="0067507D" w:rsidRDefault="00955FB5" w:rsidP="00FB2B92">
      <w:pPr>
        <w:pStyle w:val="Dash"/>
        <w:rPr>
          <w:lang w:eastAsia="en-US"/>
        </w:rPr>
      </w:pPr>
      <w:r w:rsidRPr="0067507D">
        <w:rPr>
          <w:lang w:eastAsia="en-US"/>
        </w:rPr>
        <w:t>land shown as Crown Allotment 4A, Section</w:t>
      </w:r>
      <w:r w:rsidRPr="0067507D">
        <w:rPr>
          <w:rFonts w:eastAsia="VIC" w:cs="VIC"/>
        </w:rPr>
        <w:t xml:space="preserve"> </w:t>
      </w:r>
      <w:r w:rsidRPr="0067507D">
        <w:rPr>
          <w:lang w:eastAsia="en-US"/>
        </w:rPr>
        <w:t>1A on Certified Plan No. 75050 lodged in the Central Plan Office</w:t>
      </w:r>
    </w:p>
    <w:p w14:paraId="221240E9" w14:textId="77777777" w:rsidR="00955FB5" w:rsidRPr="0067507D" w:rsidRDefault="00955FB5" w:rsidP="00FB2B92">
      <w:pPr>
        <w:pStyle w:val="Dash"/>
        <w:rPr>
          <w:lang w:eastAsia="en-US"/>
        </w:rPr>
      </w:pPr>
      <w:r w:rsidRPr="0067507D">
        <w:rPr>
          <w:lang w:eastAsia="en-US"/>
        </w:rPr>
        <w:t>land shown as Crown Allotment 4D, Section</w:t>
      </w:r>
      <w:r w:rsidRPr="0067507D">
        <w:rPr>
          <w:rFonts w:eastAsia="VIC" w:cs="VIC"/>
        </w:rPr>
        <w:t xml:space="preserve"> </w:t>
      </w:r>
      <w:r w:rsidRPr="0067507D">
        <w:rPr>
          <w:lang w:eastAsia="en-US"/>
        </w:rPr>
        <w:t>1A on Certified Plan No. 112128 lodged in the Central Plan Office</w:t>
      </w:r>
    </w:p>
    <w:p w14:paraId="3150DCFF" w14:textId="77EAFD6C" w:rsidR="00955FB5" w:rsidRPr="0067507D" w:rsidRDefault="00955FB5" w:rsidP="00FB2B92">
      <w:pPr>
        <w:pStyle w:val="Dash"/>
        <w:rPr>
          <w:lang w:eastAsia="en-US"/>
        </w:rPr>
      </w:pPr>
      <w:r w:rsidRPr="0067507D">
        <w:rPr>
          <w:lang w:eastAsia="en-US"/>
        </w:rPr>
        <w:t>the area of 3643 square metres of land in the city of Port Melbourne as shown on Plan LEGL./96</w:t>
      </w:r>
      <w:r w:rsidR="006A5485">
        <w:rPr>
          <w:lang w:eastAsia="en-US"/>
        </w:rPr>
        <w:noBreakHyphen/>
      </w:r>
      <w:r w:rsidRPr="0067507D">
        <w:rPr>
          <w:lang w:eastAsia="en-US"/>
        </w:rPr>
        <w:t>216 lodged in the Central Plan Office</w:t>
      </w:r>
    </w:p>
    <w:p w14:paraId="063AFEE1" w14:textId="77777777" w:rsidR="00955FB5" w:rsidRPr="0067507D" w:rsidRDefault="00955FB5" w:rsidP="00FB2B92">
      <w:pPr>
        <w:pStyle w:val="Dash"/>
        <w:rPr>
          <w:lang w:eastAsia="en-US"/>
        </w:rPr>
      </w:pPr>
      <w:r w:rsidRPr="0067507D">
        <w:rPr>
          <w:lang w:eastAsia="en-US"/>
        </w:rPr>
        <w:t>land shown as Crown Allotment 4, Section 1A on Certified Plan No. 109991 lodged in the Central Plan Office</w:t>
      </w:r>
    </w:p>
    <w:p w14:paraId="2050A1DB" w14:textId="77777777" w:rsidR="00955FB5" w:rsidRPr="0067507D" w:rsidRDefault="00955FB5" w:rsidP="001F4981">
      <w:pPr>
        <w:pStyle w:val="Bullet"/>
        <w:rPr>
          <w:rFonts w:eastAsia="Aptos"/>
          <w:lang w:eastAsia="en-US"/>
        </w:rPr>
      </w:pPr>
      <w:r w:rsidRPr="0067507D">
        <w:rPr>
          <w:rFonts w:eastAsia="Aptos"/>
          <w:lang w:eastAsia="en-US"/>
        </w:rPr>
        <w:t>Division 6 of Part I, Subdivision 3 of Division 9 of Part I, section 209 and the remainder of the Act where it relates to the sale and alienation of Crown Lands as set out in Administrative Arrangements Order No. 58</w:t>
      </w:r>
    </w:p>
    <w:p w14:paraId="505E172A" w14:textId="77777777" w:rsidR="00955FB5" w:rsidRPr="0067507D" w:rsidRDefault="00955FB5" w:rsidP="001F4981">
      <w:pPr>
        <w:pStyle w:val="Bullet"/>
        <w:rPr>
          <w:rFonts w:eastAsia="Aptos"/>
          <w:lang w:eastAsia="en-US"/>
        </w:rPr>
      </w:pPr>
      <w:r w:rsidRPr="0067507D">
        <w:rPr>
          <w:rFonts w:eastAsia="Aptos"/>
          <w:lang w:eastAsia="en-US"/>
        </w:rPr>
        <w:t>Sections 201, 201A and 399 except in so far as they relate to the land described as Crown Allotment 16 of Section 5, Elwood, Parish of Prahran being the site of the former Elwood Police Station (except in so far as they relate to that land, these provisions are jointly administered with the Minister for Environment)</w:t>
      </w:r>
    </w:p>
    <w:p w14:paraId="44AB8079" w14:textId="30FE323B" w:rsidR="00955FB5" w:rsidRPr="0067507D" w:rsidRDefault="00955FB5" w:rsidP="001F4981">
      <w:pPr>
        <w:pStyle w:val="Bullet"/>
        <w:rPr>
          <w:rFonts w:eastAsia="Aptos"/>
          <w:lang w:eastAsia="en-US"/>
        </w:rPr>
      </w:pPr>
      <w:r w:rsidRPr="0067507D">
        <w:rPr>
          <w:rFonts w:eastAsia="Aptos"/>
          <w:lang w:eastAsia="en-US"/>
        </w:rPr>
        <w:t>Sections 201, 201A and 399 in so far as they relate to the land described as Crown Allotment 16 of Section 5, Elwood, Parish of Prahran being the site of the former Elwood Police Station (in so far as they relate to that land, these provisions are jointly administered with the Attorney</w:t>
      </w:r>
      <w:r w:rsidR="006A5485">
        <w:rPr>
          <w:rFonts w:eastAsia="Aptos"/>
          <w:lang w:eastAsia="en-US"/>
        </w:rPr>
        <w:noBreakHyphen/>
      </w:r>
      <w:r w:rsidRPr="0067507D">
        <w:rPr>
          <w:rFonts w:eastAsia="Aptos"/>
          <w:lang w:eastAsia="en-US"/>
        </w:rPr>
        <w:t>General)</w:t>
      </w:r>
    </w:p>
    <w:p w14:paraId="026C701C" w14:textId="1A0E85FE" w:rsidR="00955FB5" w:rsidRPr="0067507D" w:rsidRDefault="00955FB5" w:rsidP="008A30FA">
      <w:pPr>
        <w:pStyle w:val="NormalIndent"/>
        <w:rPr>
          <w:rFonts w:eastAsia="Aptos"/>
          <w:lang w:eastAsia="en-US"/>
        </w:rPr>
      </w:pPr>
      <w:r w:rsidRPr="0067507D">
        <w:rPr>
          <w:rFonts w:eastAsia="Aptos"/>
          <w:lang w:eastAsia="en-US"/>
        </w:rPr>
        <w:t>(The Act is otherwise administered by the Attorney</w:t>
      </w:r>
      <w:r w:rsidR="006A5485">
        <w:rPr>
          <w:rFonts w:eastAsia="Aptos"/>
          <w:lang w:eastAsia="en-US"/>
        </w:rPr>
        <w:noBreakHyphen/>
      </w:r>
      <w:r w:rsidRPr="0067507D">
        <w:rPr>
          <w:rFonts w:eastAsia="Aptos"/>
          <w:lang w:eastAsia="en-US"/>
        </w:rPr>
        <w:t>General, the Minister for Corrections, the Minister for Creative Industries, the Minister for Environment, the Minister for Government Services, the Minister for Health, the Minister for Health Infrastructure, the Minister for Ports and Freight and the Minister for Roads and Road Safety)</w:t>
      </w:r>
    </w:p>
    <w:p w14:paraId="1515A6F6" w14:textId="0793C0D2" w:rsidR="00955FB5" w:rsidRPr="0067507D" w:rsidRDefault="00955FB5" w:rsidP="00721863">
      <w:pPr>
        <w:rPr>
          <w:rFonts w:eastAsia="Aptos"/>
          <w:lang w:eastAsia="en-US"/>
        </w:rPr>
      </w:pPr>
      <w:r w:rsidRPr="0067507D">
        <w:rPr>
          <w:rFonts w:eastAsia="Aptos"/>
          <w:i/>
          <w:iCs/>
          <w:lang w:eastAsia="en-US"/>
        </w:rPr>
        <w:t>Parliamentary Salaries, Allowances and Superannuation Act 1968</w:t>
      </w:r>
      <w:r w:rsidRPr="0067507D">
        <w:rPr>
          <w:rFonts w:eastAsia="Aptos"/>
          <w:lang w:eastAsia="en-US"/>
        </w:rPr>
        <w:t xml:space="preserve"> –</w:t>
      </w:r>
    </w:p>
    <w:p w14:paraId="7AB2D51A" w14:textId="77777777" w:rsidR="00955FB5" w:rsidRPr="0067507D" w:rsidRDefault="00955FB5" w:rsidP="001F4981">
      <w:pPr>
        <w:pStyle w:val="Bullet"/>
        <w:rPr>
          <w:rFonts w:eastAsia="Aptos"/>
          <w:lang w:eastAsia="en-US"/>
        </w:rPr>
      </w:pPr>
      <w:r w:rsidRPr="0067507D">
        <w:rPr>
          <w:rFonts w:eastAsia="Aptos"/>
          <w:lang w:eastAsia="en-US"/>
        </w:rPr>
        <w:t>Sections 6(6), 9K(3), 9K(5) and 9L</w:t>
      </w:r>
    </w:p>
    <w:p w14:paraId="39A63DF5" w14:textId="77777777" w:rsidR="00955FB5" w:rsidRPr="0067507D" w:rsidRDefault="00955FB5" w:rsidP="001F4981">
      <w:pPr>
        <w:pStyle w:val="Bullet"/>
        <w:rPr>
          <w:rFonts w:eastAsia="Aptos"/>
          <w:lang w:eastAsia="en-US"/>
        </w:rPr>
      </w:pPr>
      <w:r w:rsidRPr="0067507D">
        <w:rPr>
          <w:rFonts w:eastAsia="Aptos"/>
          <w:lang w:eastAsia="en-US"/>
        </w:rPr>
        <w:t>Part 3</w:t>
      </w:r>
    </w:p>
    <w:p w14:paraId="39A3AF0E" w14:textId="77777777" w:rsidR="00955FB5" w:rsidRPr="0067507D" w:rsidRDefault="00955FB5" w:rsidP="008A30FA">
      <w:pPr>
        <w:pStyle w:val="NormalIndent"/>
        <w:rPr>
          <w:rFonts w:eastAsia="Aptos"/>
          <w:lang w:eastAsia="en-US"/>
        </w:rPr>
      </w:pPr>
      <w:r w:rsidRPr="0067507D">
        <w:rPr>
          <w:rFonts w:eastAsia="Aptos"/>
          <w:lang w:eastAsia="en-US"/>
        </w:rPr>
        <w:t>(The Act is otherwise administered by the Premier)</w:t>
      </w:r>
      <w:r w:rsidRPr="0067507D">
        <w:rPr>
          <w:rFonts w:ascii="Calibri" w:eastAsia="VIC" w:hAnsi="Calibri" w:cs="Calibri"/>
          <w:szCs w:val="17"/>
        </w:rPr>
        <w:t> </w:t>
      </w:r>
    </w:p>
    <w:p w14:paraId="577F77C3" w14:textId="77777777" w:rsidR="00955FB5" w:rsidRPr="0067507D" w:rsidRDefault="00955FB5" w:rsidP="005F085A">
      <w:pPr>
        <w:rPr>
          <w:rFonts w:eastAsia="Aptos"/>
          <w:i/>
          <w:iCs/>
          <w:lang w:eastAsia="en-US"/>
        </w:rPr>
      </w:pPr>
      <w:r w:rsidRPr="0067507D">
        <w:rPr>
          <w:rFonts w:eastAsia="Aptos"/>
          <w:i/>
          <w:iCs/>
          <w:lang w:eastAsia="en-US"/>
        </w:rPr>
        <w:t>Petroleum Products Subsidy Act 1965</w:t>
      </w:r>
      <w:r w:rsidRPr="0067507D">
        <w:rPr>
          <w:rFonts w:ascii="Calibri" w:eastAsia="VIC" w:hAnsi="Calibri" w:cs="Calibri"/>
          <w:i/>
          <w:iCs/>
          <w:szCs w:val="17"/>
        </w:rPr>
        <w:t> </w:t>
      </w:r>
    </w:p>
    <w:p w14:paraId="50225F36" w14:textId="7F033567" w:rsidR="00955FB5" w:rsidRPr="0067507D" w:rsidRDefault="00955FB5" w:rsidP="005F085A">
      <w:pPr>
        <w:rPr>
          <w:rFonts w:eastAsia="Aptos"/>
          <w:lang w:eastAsia="en-US"/>
        </w:rPr>
      </w:pPr>
      <w:r w:rsidRPr="0067507D">
        <w:rPr>
          <w:rFonts w:eastAsia="Aptos"/>
          <w:i/>
          <w:iCs/>
          <w:lang w:eastAsia="en-US"/>
        </w:rPr>
        <w:t>Police Regulation (Pensions) Act 1958</w:t>
      </w:r>
      <w:r w:rsidRPr="0067507D">
        <w:rPr>
          <w:rFonts w:eastAsia="Aptos"/>
          <w:lang w:eastAsia="en-US"/>
        </w:rPr>
        <w:t xml:space="preserve"> –</w:t>
      </w:r>
      <w:r w:rsidRPr="0067507D">
        <w:rPr>
          <w:rFonts w:ascii="Calibri" w:eastAsia="VIC" w:hAnsi="Calibri" w:cs="Calibri"/>
          <w:szCs w:val="17"/>
        </w:rPr>
        <w:t> </w:t>
      </w:r>
    </w:p>
    <w:p w14:paraId="51AB7F9F" w14:textId="77777777" w:rsidR="00955FB5" w:rsidRPr="0067507D" w:rsidRDefault="00955FB5" w:rsidP="001F4981">
      <w:pPr>
        <w:pStyle w:val="Bullet"/>
        <w:rPr>
          <w:rFonts w:eastAsia="Aptos"/>
          <w:lang w:eastAsia="en-US"/>
        </w:rPr>
      </w:pPr>
      <w:r w:rsidRPr="0067507D">
        <w:rPr>
          <w:rFonts w:eastAsia="Aptos"/>
          <w:lang w:eastAsia="en-US"/>
        </w:rPr>
        <w:t>Part III</w:t>
      </w:r>
    </w:p>
    <w:p w14:paraId="3B4BCAE8" w14:textId="77777777" w:rsidR="00955FB5" w:rsidRPr="0067507D" w:rsidRDefault="00955FB5" w:rsidP="008A30FA">
      <w:pPr>
        <w:pStyle w:val="NormalIndent"/>
        <w:rPr>
          <w:rFonts w:eastAsia="Aptos"/>
          <w:lang w:eastAsia="en-US"/>
        </w:rPr>
      </w:pPr>
      <w:r w:rsidRPr="0067507D">
        <w:rPr>
          <w:rFonts w:eastAsia="Aptos"/>
          <w:lang w:eastAsia="en-US"/>
        </w:rPr>
        <w:t>(The Act is otherwise administered by the Minister for Police)</w:t>
      </w:r>
    </w:p>
    <w:p w14:paraId="65B3FF72" w14:textId="77777777" w:rsidR="00955FB5" w:rsidRPr="0067507D" w:rsidRDefault="00955FB5" w:rsidP="005F085A">
      <w:pPr>
        <w:rPr>
          <w:rFonts w:eastAsia="Aptos"/>
          <w:lang w:eastAsia="en-US"/>
        </w:rPr>
      </w:pPr>
      <w:r w:rsidRPr="0067507D">
        <w:rPr>
          <w:rFonts w:eastAsia="Aptos"/>
          <w:i/>
          <w:iCs/>
          <w:lang w:eastAsia="en-US"/>
        </w:rPr>
        <w:t>Port Management Act 1995</w:t>
      </w:r>
      <w:r w:rsidRPr="0067507D">
        <w:rPr>
          <w:rFonts w:eastAsia="Aptos"/>
          <w:lang w:eastAsia="en-US"/>
        </w:rPr>
        <w:t xml:space="preserve"> –</w:t>
      </w:r>
      <w:r w:rsidRPr="0067507D">
        <w:rPr>
          <w:rFonts w:ascii="Calibri" w:eastAsia="VIC" w:hAnsi="Calibri" w:cs="Calibri"/>
          <w:szCs w:val="17"/>
        </w:rPr>
        <w:t> </w:t>
      </w:r>
    </w:p>
    <w:p w14:paraId="455B9819" w14:textId="71401799" w:rsidR="00955FB5" w:rsidRPr="0067507D" w:rsidRDefault="00955FB5" w:rsidP="001F4981">
      <w:pPr>
        <w:pStyle w:val="Bullet"/>
        <w:rPr>
          <w:rFonts w:eastAsia="Aptos"/>
          <w:lang w:eastAsia="en-US"/>
        </w:rPr>
      </w:pPr>
      <w:r w:rsidRPr="0067507D">
        <w:rPr>
          <w:rFonts w:eastAsia="Aptos"/>
          <w:lang w:eastAsia="en-US"/>
        </w:rPr>
        <w:t>Sections 63A</w:t>
      </w:r>
      <w:r w:rsidR="006A5485">
        <w:rPr>
          <w:rFonts w:eastAsia="Aptos"/>
          <w:lang w:eastAsia="en-US"/>
        </w:rPr>
        <w:noBreakHyphen/>
      </w:r>
      <w:r w:rsidRPr="0067507D">
        <w:rPr>
          <w:rFonts w:eastAsia="Aptos"/>
          <w:lang w:eastAsia="en-US"/>
        </w:rPr>
        <w:t>63J</w:t>
      </w:r>
      <w:r w:rsidRPr="0067507D">
        <w:rPr>
          <w:rFonts w:ascii="Calibri" w:eastAsia="VIC" w:hAnsi="Calibri" w:cs="Calibri"/>
          <w:szCs w:val="17"/>
        </w:rPr>
        <w:t> </w:t>
      </w:r>
    </w:p>
    <w:p w14:paraId="65E6CF32" w14:textId="7172CECB" w:rsidR="00955FB5" w:rsidRPr="0067507D" w:rsidRDefault="00955FB5" w:rsidP="008A30FA">
      <w:pPr>
        <w:pStyle w:val="NormalIndent"/>
        <w:rPr>
          <w:rFonts w:eastAsia="Aptos"/>
          <w:lang w:eastAsia="en-US"/>
        </w:rPr>
      </w:pPr>
      <w:r w:rsidRPr="0067507D">
        <w:rPr>
          <w:rFonts w:eastAsia="Aptos"/>
          <w:lang w:eastAsia="en-US"/>
        </w:rPr>
        <w:t>(The Act is otherwise administered by the Minister for Ports and Freight and the Treasurer)</w:t>
      </w:r>
    </w:p>
    <w:p w14:paraId="62A7A261" w14:textId="77777777" w:rsidR="00955FB5" w:rsidRPr="0067507D" w:rsidRDefault="00955FB5" w:rsidP="005F085A">
      <w:pPr>
        <w:rPr>
          <w:rFonts w:eastAsia="Aptos"/>
          <w:lang w:eastAsia="en-US"/>
        </w:rPr>
      </w:pPr>
      <w:r w:rsidRPr="0067507D">
        <w:rPr>
          <w:rFonts w:eastAsia="Aptos"/>
          <w:i/>
          <w:iCs/>
          <w:lang w:eastAsia="en-US"/>
        </w:rPr>
        <w:lastRenderedPageBreak/>
        <w:t>Project Development and Construction Management Act 1994</w:t>
      </w:r>
      <w:r w:rsidRPr="0067507D">
        <w:rPr>
          <w:rFonts w:eastAsia="Aptos"/>
          <w:lang w:eastAsia="en-US"/>
        </w:rPr>
        <w:t xml:space="preserve"> –</w:t>
      </w:r>
    </w:p>
    <w:p w14:paraId="540D4EAF" w14:textId="77777777" w:rsidR="00955FB5" w:rsidRPr="0067507D" w:rsidRDefault="00955FB5" w:rsidP="001F4981">
      <w:pPr>
        <w:pStyle w:val="Bullet"/>
        <w:rPr>
          <w:rFonts w:eastAsia="Aptos"/>
          <w:lang w:eastAsia="en-US"/>
        </w:rPr>
      </w:pPr>
      <w:r w:rsidRPr="0067507D">
        <w:rPr>
          <w:rFonts w:eastAsia="Aptos"/>
          <w:lang w:eastAsia="en-US"/>
        </w:rPr>
        <w:t>Part 4</w:t>
      </w:r>
    </w:p>
    <w:p w14:paraId="1D907B8C" w14:textId="77777777" w:rsidR="00955FB5" w:rsidRPr="0067507D" w:rsidRDefault="00955FB5" w:rsidP="008A30FA">
      <w:pPr>
        <w:pStyle w:val="NormalIndent"/>
        <w:rPr>
          <w:rFonts w:eastAsia="Aptos"/>
          <w:lang w:eastAsia="en-US"/>
        </w:rPr>
      </w:pPr>
      <w:r w:rsidRPr="0067507D">
        <w:rPr>
          <w:rFonts w:eastAsia="Aptos"/>
          <w:lang w:eastAsia="en-US"/>
        </w:rPr>
        <w:t xml:space="preserve">(The Act is otherwise administered by the Minister for Planning, the Minister for </w:t>
      </w:r>
      <w:r w:rsidRPr="0067507D">
        <w:rPr>
          <w:rFonts w:eastAsia="VIC" w:cs="VIC"/>
          <w:szCs w:val="17"/>
        </w:rPr>
        <w:t>Precincts</w:t>
      </w:r>
      <w:r w:rsidRPr="0067507D">
        <w:rPr>
          <w:rFonts w:eastAsia="Aptos"/>
          <w:lang w:eastAsia="en-US"/>
        </w:rPr>
        <w:t xml:space="preserve"> and the Premier)</w:t>
      </w:r>
      <w:r w:rsidRPr="0067507D">
        <w:rPr>
          <w:rFonts w:ascii="Calibri" w:eastAsia="VIC" w:hAnsi="Calibri" w:cs="Calibri"/>
          <w:szCs w:val="17"/>
        </w:rPr>
        <w:t> </w:t>
      </w:r>
    </w:p>
    <w:p w14:paraId="4AE079E2" w14:textId="58D900FB" w:rsidR="00955FB5" w:rsidRPr="0067507D" w:rsidRDefault="00955FB5" w:rsidP="005F3D17">
      <w:pPr>
        <w:rPr>
          <w:rFonts w:eastAsia="Aptos"/>
          <w:i/>
          <w:iCs/>
          <w:lang w:eastAsia="en-US"/>
        </w:rPr>
      </w:pPr>
      <w:r w:rsidRPr="0067507D">
        <w:rPr>
          <w:rFonts w:eastAsia="Aptos"/>
          <w:i/>
          <w:iCs/>
          <w:lang w:eastAsia="en-US"/>
        </w:rPr>
        <w:t>State Employees Retirement Benefits Act 1979</w:t>
      </w:r>
    </w:p>
    <w:p w14:paraId="20B0ACA5" w14:textId="77777777" w:rsidR="00955FB5" w:rsidRPr="0067507D" w:rsidRDefault="00955FB5" w:rsidP="005F3D17">
      <w:pPr>
        <w:rPr>
          <w:rFonts w:eastAsia="Aptos"/>
          <w:i/>
          <w:iCs/>
          <w:lang w:eastAsia="en-US"/>
        </w:rPr>
      </w:pPr>
      <w:r w:rsidRPr="0067507D">
        <w:rPr>
          <w:rFonts w:eastAsia="Aptos"/>
          <w:i/>
          <w:iCs/>
          <w:lang w:eastAsia="en-US"/>
        </w:rPr>
        <w:t>State Superannuation Act 1988</w:t>
      </w:r>
    </w:p>
    <w:p w14:paraId="34DBEBBE" w14:textId="251AD295" w:rsidR="00955FB5" w:rsidRPr="0067507D" w:rsidRDefault="00955FB5" w:rsidP="005F3D17">
      <w:pPr>
        <w:rPr>
          <w:rFonts w:eastAsia="Aptos"/>
          <w:i/>
          <w:iCs/>
          <w:lang w:eastAsia="en-US"/>
        </w:rPr>
      </w:pPr>
      <w:r w:rsidRPr="0067507D">
        <w:rPr>
          <w:rFonts w:eastAsia="Aptos"/>
          <w:i/>
          <w:iCs/>
          <w:lang w:eastAsia="en-US"/>
        </w:rPr>
        <w:t>Superannuation (Portability) Act 1989</w:t>
      </w:r>
    </w:p>
    <w:p w14:paraId="73EF9B88" w14:textId="77777777" w:rsidR="00955FB5" w:rsidRPr="0067507D" w:rsidRDefault="00955FB5" w:rsidP="005F3D17">
      <w:pPr>
        <w:rPr>
          <w:rFonts w:eastAsia="Aptos"/>
          <w:i/>
          <w:iCs/>
          <w:lang w:eastAsia="en-US"/>
        </w:rPr>
      </w:pPr>
      <w:r w:rsidRPr="0067507D">
        <w:rPr>
          <w:rFonts w:eastAsia="Aptos"/>
          <w:i/>
          <w:iCs/>
          <w:lang w:eastAsia="en-US"/>
        </w:rPr>
        <w:t>Transport Superannuation Act 1988</w:t>
      </w:r>
      <w:r w:rsidRPr="0067507D">
        <w:rPr>
          <w:rFonts w:ascii="Calibri" w:eastAsia="VIC" w:hAnsi="Calibri" w:cs="Calibri"/>
          <w:i/>
          <w:iCs/>
          <w:szCs w:val="17"/>
        </w:rPr>
        <w:t> </w:t>
      </w:r>
    </w:p>
    <w:p w14:paraId="4A2EA37F" w14:textId="77777777" w:rsidR="00955FB5" w:rsidRPr="0067507D" w:rsidRDefault="00955FB5" w:rsidP="005F3D17">
      <w:pPr>
        <w:rPr>
          <w:rFonts w:eastAsia="Aptos"/>
          <w:i/>
          <w:iCs/>
          <w:lang w:eastAsia="en-US"/>
        </w:rPr>
      </w:pPr>
      <w:r w:rsidRPr="0067507D">
        <w:rPr>
          <w:rFonts w:eastAsia="Aptos"/>
          <w:i/>
          <w:iCs/>
          <w:lang w:eastAsia="en-US"/>
        </w:rPr>
        <w:t>Unclaimed Money Act 2008</w:t>
      </w:r>
    </w:p>
    <w:p w14:paraId="7A4318F9" w14:textId="1C6374FF" w:rsidR="00955FB5" w:rsidRPr="0067507D" w:rsidRDefault="00955FB5" w:rsidP="005F3D17">
      <w:pPr>
        <w:rPr>
          <w:rFonts w:eastAsia="VIC" w:cs="VIC"/>
          <w:szCs w:val="17"/>
        </w:rPr>
      </w:pPr>
      <w:r w:rsidRPr="0067507D">
        <w:rPr>
          <w:rFonts w:eastAsia="VIC" w:cs="VIC"/>
          <w:i/>
          <w:iCs/>
          <w:szCs w:val="17"/>
        </w:rPr>
        <w:t>Victorian Independent Remuneration Tribunal and Improving Parliamentary Standards Act 2019</w:t>
      </w:r>
      <w:r w:rsidRPr="0067507D">
        <w:rPr>
          <w:rFonts w:eastAsia="VIC" w:cs="VIC"/>
          <w:szCs w:val="17"/>
        </w:rPr>
        <w:t xml:space="preserve"> – </w:t>
      </w:r>
      <w:r w:rsidR="00143C5A" w:rsidRPr="0067507D">
        <w:rPr>
          <w:rFonts w:eastAsia="VIC" w:cs="VIC"/>
          <w:iCs/>
          <w:szCs w:val="17"/>
        </w:rPr>
        <w:t>except</w:t>
      </w:r>
      <w:r w:rsidRPr="0067507D">
        <w:rPr>
          <w:rFonts w:eastAsia="VIC" w:cs="VIC"/>
          <w:szCs w:val="17"/>
        </w:rPr>
        <w:t>:</w:t>
      </w:r>
    </w:p>
    <w:p w14:paraId="7B22007D" w14:textId="77777777" w:rsidR="00955FB5" w:rsidRPr="0067507D" w:rsidRDefault="00955FB5" w:rsidP="001F4981">
      <w:pPr>
        <w:pStyle w:val="Bullet"/>
        <w:rPr>
          <w:rFonts w:eastAsia="VIC"/>
        </w:rPr>
      </w:pPr>
      <w:r w:rsidRPr="0067507D">
        <w:rPr>
          <w:rFonts w:eastAsia="VIC"/>
        </w:rPr>
        <w:t>Part 4 and section 36 (these provisions are jointly and severally administered with the Premier)</w:t>
      </w:r>
    </w:p>
    <w:p w14:paraId="6279BB50" w14:textId="77777777" w:rsidR="00955FB5" w:rsidRPr="0067507D" w:rsidRDefault="00955FB5" w:rsidP="005F3D17">
      <w:pPr>
        <w:rPr>
          <w:rFonts w:eastAsia="Aptos"/>
          <w:i/>
          <w:iCs/>
          <w:lang w:eastAsia="en-US"/>
        </w:rPr>
      </w:pPr>
      <w:r w:rsidRPr="0067507D">
        <w:rPr>
          <w:rFonts w:eastAsia="Aptos"/>
          <w:i/>
          <w:iCs/>
          <w:lang w:eastAsia="en-US"/>
        </w:rPr>
        <w:t>Victorian Managed Insurance Authority Act 1996</w:t>
      </w:r>
    </w:p>
    <w:p w14:paraId="7313C84C" w14:textId="77777777" w:rsidR="00955FB5" w:rsidRPr="0067507D" w:rsidRDefault="00955FB5" w:rsidP="005F3D17">
      <w:pPr>
        <w:rPr>
          <w:rFonts w:eastAsia="Aptos"/>
          <w:lang w:eastAsia="en-US"/>
        </w:rPr>
      </w:pPr>
      <w:r w:rsidRPr="0067507D">
        <w:rPr>
          <w:rFonts w:eastAsia="Aptos"/>
          <w:i/>
          <w:iCs/>
          <w:lang w:eastAsia="en-US"/>
        </w:rPr>
        <w:t>Workplace Injury Rehabilitation and Compensation Act 2013</w:t>
      </w:r>
      <w:r w:rsidRPr="0067507D">
        <w:rPr>
          <w:rFonts w:eastAsia="Aptos"/>
          <w:lang w:eastAsia="en-US"/>
        </w:rPr>
        <w:t xml:space="preserve"> –</w:t>
      </w:r>
    </w:p>
    <w:p w14:paraId="58F7FC73" w14:textId="10AAB122" w:rsidR="00955FB5" w:rsidRPr="0067507D" w:rsidRDefault="00955FB5" w:rsidP="001F4981">
      <w:pPr>
        <w:pStyle w:val="Bullet"/>
        <w:rPr>
          <w:rFonts w:eastAsia="Aptos"/>
          <w:lang w:eastAsia="en-US"/>
        </w:rPr>
      </w:pPr>
      <w:r w:rsidRPr="0067507D">
        <w:rPr>
          <w:rFonts w:eastAsia="Aptos"/>
          <w:lang w:eastAsia="en-US"/>
        </w:rPr>
        <w:t>Sections 492</w:t>
      </w:r>
      <w:r w:rsidR="001B0190">
        <w:rPr>
          <w:rFonts w:eastAsia="Aptos"/>
          <w:lang w:eastAsia="en-US"/>
        </w:rPr>
        <w:t>–</w:t>
      </w:r>
      <w:r w:rsidRPr="0067507D">
        <w:rPr>
          <w:rFonts w:eastAsia="Aptos"/>
          <w:lang w:eastAsia="en-US"/>
        </w:rPr>
        <w:t>495 in so far as they relate to WorkSafe’s budget, financial reporting and management of the WorkCover Authority Fund (in so far as they relate to those matters, these sections are jointly administered with the Minister for WorkSafe and the TAC)</w:t>
      </w:r>
    </w:p>
    <w:p w14:paraId="3C9CB6E6" w14:textId="434A639F" w:rsidR="00955FB5" w:rsidRPr="0067507D" w:rsidRDefault="00955FB5" w:rsidP="001F4981">
      <w:pPr>
        <w:pStyle w:val="Bullet"/>
        <w:rPr>
          <w:rFonts w:eastAsia="Aptos"/>
          <w:lang w:eastAsia="en-US"/>
        </w:rPr>
      </w:pPr>
      <w:r w:rsidRPr="0067507D">
        <w:rPr>
          <w:rFonts w:eastAsia="Aptos"/>
          <w:lang w:eastAsia="en-US"/>
        </w:rPr>
        <w:t>Sections 515</w:t>
      </w:r>
      <w:r w:rsidR="006A5485">
        <w:rPr>
          <w:rFonts w:eastAsia="Aptos"/>
          <w:lang w:eastAsia="en-US"/>
        </w:rPr>
        <w:noBreakHyphen/>
      </w:r>
      <w:r w:rsidRPr="0067507D">
        <w:rPr>
          <w:rFonts w:eastAsia="Aptos"/>
          <w:lang w:eastAsia="en-US"/>
        </w:rPr>
        <w:t xml:space="preserve">518 (these sections are jointly administered with the Minister for WorkSafe and the </w:t>
      </w:r>
      <w:r w:rsidRPr="0067507D">
        <w:rPr>
          <w:rFonts w:eastAsia="Aptos"/>
          <w:iCs/>
          <w:lang w:eastAsia="en-US"/>
        </w:rPr>
        <w:t>AC</w:t>
      </w:r>
      <w:r w:rsidRPr="0067507D">
        <w:rPr>
          <w:rFonts w:eastAsia="Aptos"/>
          <w:lang w:eastAsia="en-US"/>
        </w:rPr>
        <w:t>)</w:t>
      </w:r>
    </w:p>
    <w:p w14:paraId="63215757" w14:textId="0516CB78" w:rsidR="00955FB5" w:rsidRPr="0067507D" w:rsidRDefault="00955FB5" w:rsidP="008A30FA">
      <w:pPr>
        <w:pStyle w:val="NormalIndent"/>
        <w:rPr>
          <w:rFonts w:eastAsia="Aptos"/>
          <w:lang w:eastAsia="en-US"/>
        </w:rPr>
      </w:pPr>
      <w:r w:rsidRPr="0067507D">
        <w:rPr>
          <w:rFonts w:eastAsia="Aptos"/>
          <w:lang w:eastAsia="en-US"/>
        </w:rPr>
        <w:t>(The Act is otherwise administered by the Attorney</w:t>
      </w:r>
      <w:r w:rsidR="006A5485">
        <w:rPr>
          <w:rFonts w:eastAsia="Aptos"/>
          <w:lang w:eastAsia="en-US"/>
        </w:rPr>
        <w:noBreakHyphen/>
      </w:r>
      <w:r w:rsidRPr="0067507D">
        <w:rPr>
          <w:rFonts w:eastAsia="Aptos"/>
          <w:lang w:eastAsia="en-US"/>
        </w:rPr>
        <w:t>General and the Minister for WorkSafe and the TAC)</w:t>
      </w:r>
    </w:p>
    <w:p w14:paraId="112090E1" w14:textId="77777777" w:rsidR="00955FB5" w:rsidRPr="0067507D" w:rsidRDefault="00955FB5" w:rsidP="005F3D17">
      <w:pPr>
        <w:rPr>
          <w:rFonts w:eastAsia="Cambria Math"/>
        </w:rPr>
      </w:pPr>
    </w:p>
    <w:p w14:paraId="2962CD46" w14:textId="15602747" w:rsidR="00955FB5" w:rsidRPr="0067507D" w:rsidRDefault="00582185" w:rsidP="00955FB5">
      <w:pPr>
        <w:keepNext/>
        <w:tabs>
          <w:tab w:val="left" w:pos="5180"/>
        </w:tabs>
        <w:spacing w:line="216" w:lineRule="auto"/>
        <w:outlineLvl w:val="2"/>
        <w:rPr>
          <w:rFonts w:ascii="VIC SemiBold" w:eastAsia="Cambria Math" w:hAnsi="VIC SemiBold" w:cs="Arial"/>
          <w:color w:val="4F4F4F"/>
          <w:sz w:val="22"/>
          <w:szCs w:val="26"/>
        </w:rPr>
      </w:pPr>
      <w:r w:rsidRPr="0067507D">
        <w:rPr>
          <w:rFonts w:ascii="VIC SemiBold" w:eastAsia="Cambria Math" w:hAnsi="VIC SemiBold" w:cs="Arial"/>
          <w:bCs/>
          <w:color w:val="4F4F4F"/>
          <w:sz w:val="22"/>
          <w:szCs w:val="26"/>
        </w:rPr>
        <w:br w:type="column"/>
      </w:r>
      <w:r w:rsidR="00955FB5" w:rsidRPr="0067507D">
        <w:rPr>
          <w:rFonts w:ascii="VIC SemiBold" w:eastAsia="Cambria Math" w:hAnsi="VIC SemiBold" w:cs="Arial"/>
          <w:bCs/>
          <w:color w:val="4F4F4F"/>
          <w:sz w:val="22"/>
          <w:szCs w:val="26"/>
        </w:rPr>
        <w:t>Minister for Industrial Relations</w:t>
      </w:r>
    </w:p>
    <w:p w14:paraId="4E69BF7C" w14:textId="77777777" w:rsidR="00955FB5" w:rsidRPr="0067507D" w:rsidRDefault="00955FB5" w:rsidP="00582185">
      <w:pPr>
        <w:rPr>
          <w:rFonts w:eastAsia="VIC"/>
          <w:i/>
          <w:iCs/>
        </w:rPr>
      </w:pPr>
      <w:r w:rsidRPr="0067507D">
        <w:rPr>
          <w:rFonts w:eastAsia="VIC"/>
          <w:i/>
          <w:iCs/>
        </w:rPr>
        <w:t>Child Employment Act 2003</w:t>
      </w:r>
    </w:p>
    <w:p w14:paraId="49E3D5B5" w14:textId="77777777" w:rsidR="00955FB5" w:rsidRPr="0067507D" w:rsidRDefault="00955FB5" w:rsidP="00582185">
      <w:pPr>
        <w:rPr>
          <w:rFonts w:eastAsia="VIC"/>
          <w:i/>
          <w:iCs/>
        </w:rPr>
      </w:pPr>
      <w:r w:rsidRPr="0067507D">
        <w:rPr>
          <w:rFonts w:eastAsia="VIC"/>
          <w:i/>
          <w:iCs/>
        </w:rPr>
        <w:t>Construction Industry Long Service Leave Act 1997</w:t>
      </w:r>
    </w:p>
    <w:p w14:paraId="448A5C8B" w14:textId="77777777" w:rsidR="00955FB5" w:rsidRPr="0067507D" w:rsidRDefault="00955FB5" w:rsidP="00582185">
      <w:pPr>
        <w:rPr>
          <w:rFonts w:eastAsia="VIC"/>
          <w:i/>
          <w:iCs/>
        </w:rPr>
      </w:pPr>
      <w:r w:rsidRPr="0067507D">
        <w:rPr>
          <w:rFonts w:eastAsia="VIC"/>
          <w:i/>
          <w:iCs/>
        </w:rPr>
        <w:t>Fair Work (Commonwealth Powers) Act 2009</w:t>
      </w:r>
    </w:p>
    <w:p w14:paraId="0B0D0788" w14:textId="77777777" w:rsidR="00955FB5" w:rsidRPr="0067507D" w:rsidRDefault="00955FB5" w:rsidP="00582185">
      <w:pPr>
        <w:rPr>
          <w:rFonts w:eastAsia="VIC"/>
          <w:i/>
          <w:iCs/>
        </w:rPr>
      </w:pPr>
      <w:r w:rsidRPr="0067507D">
        <w:rPr>
          <w:rFonts w:eastAsia="VIC"/>
          <w:i/>
          <w:iCs/>
        </w:rPr>
        <w:t>Labour Hire Licensing Act 2018</w:t>
      </w:r>
    </w:p>
    <w:p w14:paraId="0DE6A761" w14:textId="77777777" w:rsidR="00955FB5" w:rsidRPr="0067507D" w:rsidRDefault="00955FB5" w:rsidP="00582185">
      <w:pPr>
        <w:rPr>
          <w:rFonts w:eastAsia="VIC"/>
          <w:i/>
          <w:iCs/>
        </w:rPr>
      </w:pPr>
      <w:r w:rsidRPr="0067507D">
        <w:rPr>
          <w:rFonts w:eastAsia="VIC"/>
          <w:i/>
          <w:iCs/>
        </w:rPr>
        <w:t>Long Service Leave Act 2018</w:t>
      </w:r>
    </w:p>
    <w:p w14:paraId="64AFE5D7" w14:textId="77777777" w:rsidR="00955FB5" w:rsidRPr="0067507D" w:rsidRDefault="00955FB5" w:rsidP="00582185">
      <w:pPr>
        <w:rPr>
          <w:rFonts w:eastAsia="VIC"/>
          <w:i/>
          <w:iCs/>
        </w:rPr>
      </w:pPr>
      <w:r w:rsidRPr="0067507D">
        <w:rPr>
          <w:rFonts w:eastAsia="VIC"/>
          <w:i/>
          <w:iCs/>
        </w:rPr>
        <w:t>Long Service Benefits Portability Act 2018</w:t>
      </w:r>
    </w:p>
    <w:p w14:paraId="4B114C63" w14:textId="77777777" w:rsidR="00955FB5" w:rsidRPr="0067507D" w:rsidRDefault="00955FB5" w:rsidP="00582185">
      <w:pPr>
        <w:rPr>
          <w:rFonts w:eastAsia="VIC"/>
          <w:i/>
          <w:iCs/>
        </w:rPr>
      </w:pPr>
      <w:r w:rsidRPr="0067507D">
        <w:rPr>
          <w:rFonts w:eastAsia="VIC"/>
          <w:i/>
          <w:iCs/>
        </w:rPr>
        <w:t>Outworkers (Improved Protection) Act 2003</w:t>
      </w:r>
      <w:r w:rsidRPr="0067507D">
        <w:rPr>
          <w:rFonts w:ascii="Calibri" w:eastAsia="VIC" w:hAnsi="Calibri" w:cs="Calibri"/>
          <w:i/>
          <w:iCs/>
        </w:rPr>
        <w:t> </w:t>
      </w:r>
    </w:p>
    <w:p w14:paraId="71AC3F4A" w14:textId="77777777" w:rsidR="00955FB5" w:rsidRPr="0067507D" w:rsidRDefault="00955FB5" w:rsidP="00582185">
      <w:pPr>
        <w:rPr>
          <w:rFonts w:eastAsia="VIC"/>
          <w:i/>
          <w:iCs/>
        </w:rPr>
      </w:pPr>
      <w:r w:rsidRPr="0067507D">
        <w:rPr>
          <w:rFonts w:eastAsia="VIC"/>
          <w:i/>
          <w:iCs/>
        </w:rPr>
        <w:t>Owner Drivers and Forestry Contractors Act 2005</w:t>
      </w:r>
    </w:p>
    <w:p w14:paraId="7804E51A" w14:textId="591991D7" w:rsidR="00955FB5" w:rsidRPr="0067507D" w:rsidRDefault="00955FB5" w:rsidP="00582185">
      <w:pPr>
        <w:rPr>
          <w:rFonts w:eastAsia="VIC"/>
          <w:i/>
          <w:iCs/>
        </w:rPr>
      </w:pPr>
      <w:r w:rsidRPr="0067507D">
        <w:rPr>
          <w:rFonts w:eastAsia="VIC"/>
          <w:i/>
          <w:iCs/>
        </w:rPr>
        <w:t>Public Sector Employment (Award Entitlements) Act</w:t>
      </w:r>
      <w:r w:rsidR="00582185" w:rsidRPr="0067507D">
        <w:rPr>
          <w:rFonts w:ascii="Calibri" w:eastAsia="VIC" w:hAnsi="Calibri" w:cs="Calibri"/>
          <w:i/>
          <w:iCs/>
        </w:rPr>
        <w:t> </w:t>
      </w:r>
      <w:r w:rsidRPr="0067507D">
        <w:rPr>
          <w:rFonts w:eastAsia="VIC"/>
          <w:i/>
          <w:iCs/>
        </w:rPr>
        <w:t>2006</w:t>
      </w:r>
    </w:p>
    <w:p w14:paraId="6ED613F3" w14:textId="77777777" w:rsidR="00955FB5" w:rsidRPr="0067507D" w:rsidRDefault="00955FB5" w:rsidP="00582185">
      <w:pPr>
        <w:rPr>
          <w:rFonts w:eastAsia="VIC"/>
          <w:i/>
          <w:iCs/>
        </w:rPr>
      </w:pPr>
      <w:r w:rsidRPr="0067507D">
        <w:rPr>
          <w:rFonts w:eastAsia="VIC"/>
          <w:i/>
          <w:iCs/>
        </w:rPr>
        <w:t>Trade Unions Act 1958</w:t>
      </w:r>
    </w:p>
    <w:p w14:paraId="25C834B6" w14:textId="77777777" w:rsidR="00955FB5" w:rsidRPr="0067507D" w:rsidRDefault="00955FB5" w:rsidP="00582185">
      <w:pPr>
        <w:rPr>
          <w:rFonts w:eastAsia="VIC"/>
          <w:i/>
          <w:iCs/>
        </w:rPr>
      </w:pPr>
      <w:r w:rsidRPr="0067507D">
        <w:rPr>
          <w:rFonts w:eastAsia="VIC"/>
          <w:i/>
          <w:iCs/>
        </w:rPr>
        <w:t>Wage Theft Act 2020</w:t>
      </w:r>
    </w:p>
    <w:p w14:paraId="05F2D516" w14:textId="77777777" w:rsidR="00746E45" w:rsidRPr="0067507D" w:rsidRDefault="00746E45" w:rsidP="00746E45">
      <w:pPr>
        <w:rPr>
          <w:rFonts w:eastAsia="VIC"/>
        </w:rPr>
      </w:pPr>
    </w:p>
    <w:p w14:paraId="0C9ADF18" w14:textId="42F80689" w:rsidR="00955FB5" w:rsidRPr="0067507D" w:rsidRDefault="00582185" w:rsidP="00955FB5">
      <w:pPr>
        <w:keepNext/>
        <w:tabs>
          <w:tab w:val="left" w:pos="5180"/>
        </w:tabs>
        <w:spacing w:line="216" w:lineRule="auto"/>
        <w:outlineLvl w:val="2"/>
        <w:rPr>
          <w:rFonts w:ascii="VIC" w:hAnsi="VIC" w:cs="Arial"/>
          <w:b/>
          <w:bCs/>
          <w:color w:val="4F4F4F"/>
          <w:sz w:val="20"/>
          <w:szCs w:val="20"/>
        </w:rPr>
      </w:pPr>
      <w:r w:rsidRPr="0067507D">
        <w:rPr>
          <w:rFonts w:ascii="VIC SemiBold" w:hAnsi="VIC SemiBold" w:cs="Arial"/>
          <w:bCs/>
          <w:color w:val="4F4F4F"/>
          <w:sz w:val="22"/>
          <w:szCs w:val="26"/>
        </w:rPr>
        <w:br w:type="column"/>
      </w:r>
      <w:r w:rsidR="00955FB5" w:rsidRPr="0067507D">
        <w:rPr>
          <w:rFonts w:ascii="VIC SemiBold" w:hAnsi="VIC SemiBold" w:cs="Arial"/>
          <w:bCs/>
          <w:color w:val="4F4F4F"/>
          <w:sz w:val="22"/>
          <w:szCs w:val="26"/>
        </w:rPr>
        <w:lastRenderedPageBreak/>
        <w:t>Minister for WorkSafe and the TAC</w:t>
      </w:r>
    </w:p>
    <w:p w14:paraId="2C6D5F4E" w14:textId="7F5A2A0F" w:rsidR="00955FB5" w:rsidRPr="0067507D" w:rsidRDefault="00955FB5" w:rsidP="00450DAC">
      <w:pPr>
        <w:rPr>
          <w:rFonts w:eastAsia="Aptos"/>
          <w:i/>
          <w:iCs/>
          <w:lang w:eastAsia="en-US"/>
        </w:rPr>
      </w:pPr>
      <w:r w:rsidRPr="0067507D">
        <w:rPr>
          <w:rFonts w:eastAsia="Aptos"/>
          <w:i/>
          <w:iCs/>
          <w:lang w:eastAsia="en-US"/>
        </w:rPr>
        <w:t>Accident Compensation Act 1985</w:t>
      </w:r>
    </w:p>
    <w:p w14:paraId="7AEE0707" w14:textId="77777777" w:rsidR="00955FB5" w:rsidRPr="0067507D" w:rsidRDefault="00955FB5" w:rsidP="00450DAC">
      <w:pPr>
        <w:rPr>
          <w:rFonts w:eastAsia="Aptos"/>
          <w:i/>
          <w:iCs/>
          <w:lang w:eastAsia="en-US"/>
        </w:rPr>
      </w:pPr>
      <w:r w:rsidRPr="0067507D">
        <w:rPr>
          <w:rFonts w:eastAsia="Aptos"/>
          <w:i/>
          <w:iCs/>
          <w:lang w:eastAsia="en-US"/>
        </w:rPr>
        <w:t>Accident Compensation (Occupational Health and Safety) Act 1996</w:t>
      </w:r>
    </w:p>
    <w:p w14:paraId="189093A0" w14:textId="410C70F1" w:rsidR="00955FB5" w:rsidRPr="0067507D" w:rsidRDefault="00955FB5" w:rsidP="00450DAC">
      <w:pPr>
        <w:rPr>
          <w:rFonts w:eastAsia="Aptos"/>
          <w:i/>
          <w:iCs/>
          <w:lang w:eastAsia="en-US"/>
        </w:rPr>
      </w:pPr>
      <w:r w:rsidRPr="0067507D">
        <w:rPr>
          <w:rFonts w:eastAsia="Aptos"/>
          <w:i/>
          <w:iCs/>
          <w:lang w:eastAsia="en-US"/>
        </w:rPr>
        <w:t>Asbestos Diseases Compensation Act 2008</w:t>
      </w:r>
    </w:p>
    <w:p w14:paraId="7D7C332B" w14:textId="1555B22F" w:rsidR="00955FB5" w:rsidRPr="0067507D" w:rsidRDefault="00955FB5" w:rsidP="00450DAC">
      <w:pPr>
        <w:rPr>
          <w:rFonts w:eastAsia="Aptos"/>
          <w:i/>
          <w:iCs/>
          <w:lang w:eastAsia="en-US"/>
        </w:rPr>
      </w:pPr>
      <w:r w:rsidRPr="0067507D">
        <w:rPr>
          <w:rFonts w:eastAsia="Aptos"/>
          <w:i/>
          <w:iCs/>
          <w:lang w:eastAsia="en-US"/>
        </w:rPr>
        <w:t>Dangerous Goods Act 1985</w:t>
      </w:r>
    </w:p>
    <w:p w14:paraId="20C3F4DB" w14:textId="13A16661" w:rsidR="00955FB5" w:rsidRPr="0067507D" w:rsidRDefault="00955FB5" w:rsidP="00450DAC">
      <w:pPr>
        <w:rPr>
          <w:rFonts w:eastAsia="Aptos"/>
          <w:i/>
          <w:iCs/>
          <w:lang w:eastAsia="en-US"/>
        </w:rPr>
      </w:pPr>
      <w:r w:rsidRPr="0067507D">
        <w:rPr>
          <w:rFonts w:eastAsia="Aptos"/>
          <w:i/>
          <w:iCs/>
          <w:lang w:eastAsia="en-US"/>
        </w:rPr>
        <w:t>Equipment (Public Safety) Act 1994</w:t>
      </w:r>
    </w:p>
    <w:p w14:paraId="18952F55" w14:textId="31E15EA5" w:rsidR="00955FB5" w:rsidRPr="0067507D" w:rsidRDefault="00955FB5" w:rsidP="00450DAC">
      <w:pPr>
        <w:rPr>
          <w:rFonts w:eastAsia="Aptos"/>
          <w:i/>
          <w:iCs/>
          <w:lang w:eastAsia="en-US"/>
        </w:rPr>
      </w:pPr>
      <w:r w:rsidRPr="0067507D">
        <w:rPr>
          <w:rFonts w:eastAsia="Aptos"/>
          <w:i/>
          <w:iCs/>
          <w:lang w:eastAsia="en-US"/>
        </w:rPr>
        <w:t>Occupational Health and Safety Act 2004</w:t>
      </w:r>
    </w:p>
    <w:p w14:paraId="2E458514" w14:textId="77777777" w:rsidR="00955FB5" w:rsidRPr="0067507D" w:rsidRDefault="00955FB5" w:rsidP="00450DAC">
      <w:pPr>
        <w:rPr>
          <w:rFonts w:eastAsia="VIC" w:cs="VIC"/>
          <w:i/>
          <w:iCs/>
          <w:szCs w:val="17"/>
        </w:rPr>
      </w:pPr>
      <w:r w:rsidRPr="0067507D">
        <w:rPr>
          <w:rFonts w:eastAsia="VIC" w:cs="VIC"/>
          <w:i/>
          <w:iCs/>
          <w:szCs w:val="17"/>
        </w:rPr>
        <w:t>Sex Work Decriminalisation Act 2022</w:t>
      </w:r>
    </w:p>
    <w:p w14:paraId="3C0F28C2" w14:textId="66EBEDA8" w:rsidR="00955FB5" w:rsidRPr="0067507D" w:rsidRDefault="00955FB5" w:rsidP="00450DAC">
      <w:pPr>
        <w:rPr>
          <w:rFonts w:eastAsia="Aptos"/>
          <w:lang w:eastAsia="en-US"/>
        </w:rPr>
      </w:pPr>
      <w:r w:rsidRPr="0067507D">
        <w:rPr>
          <w:rFonts w:eastAsia="Aptos"/>
          <w:i/>
          <w:iCs/>
          <w:lang w:eastAsia="en-US"/>
        </w:rPr>
        <w:t>Transport Accident Act 1986</w:t>
      </w:r>
      <w:r w:rsidR="00450DAC" w:rsidRPr="0067507D">
        <w:rPr>
          <w:rFonts w:ascii="Calibri" w:eastAsia="VIC" w:hAnsi="Calibri" w:cs="Calibri"/>
          <w:szCs w:val="17"/>
        </w:rPr>
        <w:t xml:space="preserve"> </w:t>
      </w:r>
      <w:r w:rsidRPr="0067507D">
        <w:rPr>
          <w:rFonts w:eastAsia="VIC" w:cs="VIC"/>
          <w:szCs w:val="17"/>
        </w:rPr>
        <w:t xml:space="preserve">– </w:t>
      </w:r>
      <w:r w:rsidR="00143C5A" w:rsidRPr="0067507D">
        <w:rPr>
          <w:rFonts w:eastAsia="VIC" w:cs="VIC"/>
          <w:iCs/>
          <w:szCs w:val="17"/>
        </w:rPr>
        <w:t>except</w:t>
      </w:r>
      <w:r w:rsidRPr="0067507D">
        <w:rPr>
          <w:rFonts w:eastAsia="Aptos"/>
          <w:lang w:eastAsia="en-US"/>
        </w:rPr>
        <w:t>:</w:t>
      </w:r>
    </w:p>
    <w:p w14:paraId="2C9B61CF" w14:textId="49DF86A0" w:rsidR="00955FB5" w:rsidRPr="0067507D" w:rsidRDefault="00955FB5" w:rsidP="001F4981">
      <w:pPr>
        <w:pStyle w:val="Bullet"/>
        <w:rPr>
          <w:rFonts w:eastAsia="Aptos"/>
          <w:lang w:eastAsia="en-US"/>
        </w:rPr>
      </w:pPr>
      <w:r w:rsidRPr="0067507D">
        <w:rPr>
          <w:rFonts w:eastAsia="Aptos"/>
          <w:lang w:eastAsia="en-US"/>
        </w:rPr>
        <w:t>Sections 11</w:t>
      </w:r>
      <w:r w:rsidR="006A5485">
        <w:rPr>
          <w:rFonts w:eastAsia="Aptos"/>
          <w:lang w:eastAsia="en-US"/>
        </w:rPr>
        <w:noBreakHyphen/>
      </w:r>
      <w:r w:rsidRPr="0067507D">
        <w:rPr>
          <w:rFonts w:eastAsia="Aptos"/>
          <w:lang w:eastAsia="en-US"/>
        </w:rPr>
        <w:t>14 in so far as they relate to the Transport Accident Commission’s budget, financial reporting and management of the Transport Accident Fund (in so far as they relate to those matters, these sections are jointly administered with the Minister for Roads and Road Safety)</w:t>
      </w:r>
    </w:p>
    <w:p w14:paraId="6004190A" w14:textId="77777777" w:rsidR="00955FB5" w:rsidRPr="0067507D" w:rsidRDefault="00955FB5" w:rsidP="001F4981">
      <w:pPr>
        <w:pStyle w:val="Bullet"/>
        <w:rPr>
          <w:rFonts w:eastAsia="Aptos"/>
          <w:lang w:eastAsia="en-US"/>
        </w:rPr>
      </w:pPr>
      <w:r w:rsidRPr="0067507D">
        <w:rPr>
          <w:rFonts w:eastAsia="Aptos"/>
          <w:lang w:eastAsia="en-US"/>
        </w:rPr>
        <w:t>Sections 29, 29A and 29B (these sections are jointly administered with the Minister for Roads and Road Safety)</w:t>
      </w:r>
    </w:p>
    <w:p w14:paraId="1841827B" w14:textId="77777777" w:rsidR="00955FB5" w:rsidRPr="0067507D" w:rsidRDefault="00955FB5" w:rsidP="00450DAC">
      <w:pPr>
        <w:pStyle w:val="NormalIndent"/>
        <w:rPr>
          <w:rFonts w:eastAsia="Aptos"/>
          <w:lang w:eastAsia="en-US"/>
        </w:rPr>
      </w:pPr>
      <w:r w:rsidRPr="0067507D">
        <w:rPr>
          <w:rFonts w:eastAsia="Aptos"/>
          <w:lang w:eastAsia="en-US"/>
        </w:rPr>
        <w:t>(The Act is otherwise administered jointly and severally with the Minister for Roads and Road Safety)</w:t>
      </w:r>
    </w:p>
    <w:p w14:paraId="2437671A" w14:textId="1155C330" w:rsidR="00955FB5" w:rsidRPr="0067507D" w:rsidRDefault="00955FB5" w:rsidP="00450DAC">
      <w:pPr>
        <w:rPr>
          <w:rFonts w:eastAsia="Aptos"/>
          <w:lang w:eastAsia="en-US"/>
        </w:rPr>
      </w:pPr>
      <w:r w:rsidRPr="0067507D">
        <w:rPr>
          <w:rFonts w:eastAsia="Aptos"/>
          <w:i/>
          <w:iCs/>
          <w:lang w:eastAsia="en-US"/>
        </w:rPr>
        <w:t>Workers Compensation Act 1958</w:t>
      </w:r>
      <w:r w:rsidRPr="0067507D">
        <w:rPr>
          <w:rFonts w:eastAsia="Aptos"/>
          <w:lang w:eastAsia="en-US"/>
        </w:rPr>
        <w:t xml:space="preserve"> – </w:t>
      </w:r>
      <w:r w:rsidR="00143C5A" w:rsidRPr="0067507D">
        <w:rPr>
          <w:rFonts w:eastAsia="VIC" w:cs="VIC"/>
          <w:iCs/>
          <w:szCs w:val="17"/>
        </w:rPr>
        <w:t>except</w:t>
      </w:r>
      <w:r w:rsidRPr="0067507D">
        <w:rPr>
          <w:rFonts w:eastAsia="VIC" w:cs="VIC"/>
          <w:szCs w:val="17"/>
        </w:rPr>
        <w:t>:</w:t>
      </w:r>
    </w:p>
    <w:p w14:paraId="7C7B0FAE" w14:textId="77777777" w:rsidR="00955FB5" w:rsidRPr="0067507D" w:rsidRDefault="00955FB5" w:rsidP="001F4981">
      <w:pPr>
        <w:pStyle w:val="Bullet"/>
        <w:rPr>
          <w:rFonts w:eastAsia="Aptos"/>
          <w:lang w:eastAsia="en-US"/>
        </w:rPr>
      </w:pPr>
      <w:r w:rsidRPr="0067507D">
        <w:rPr>
          <w:rFonts w:eastAsia="Aptos"/>
          <w:lang w:eastAsia="en-US"/>
        </w:rPr>
        <w:t>Division 8 of Part 1 (this Division is administered by the Treasurer)</w:t>
      </w:r>
      <w:r w:rsidRPr="0067507D">
        <w:rPr>
          <w:rFonts w:ascii="Calibri" w:eastAsia="VIC" w:hAnsi="Calibri" w:cs="Calibri"/>
          <w:szCs w:val="17"/>
        </w:rPr>
        <w:t> </w:t>
      </w:r>
    </w:p>
    <w:p w14:paraId="1815921B" w14:textId="4E0F68C5" w:rsidR="00955FB5" w:rsidRPr="0067507D" w:rsidRDefault="00955FB5" w:rsidP="00450DAC">
      <w:pPr>
        <w:rPr>
          <w:rFonts w:eastAsia="Aptos"/>
          <w:lang w:eastAsia="en-US"/>
        </w:rPr>
      </w:pPr>
      <w:r w:rsidRPr="0067507D">
        <w:rPr>
          <w:rFonts w:eastAsia="Aptos"/>
          <w:i/>
          <w:iCs/>
          <w:lang w:eastAsia="en-US"/>
        </w:rPr>
        <w:t>Workplace Injury Rehabilitation and Compensation Act 2013</w:t>
      </w:r>
      <w:r w:rsidRPr="0067507D">
        <w:rPr>
          <w:rFonts w:eastAsia="Aptos"/>
          <w:lang w:eastAsia="en-US"/>
        </w:rPr>
        <w:t xml:space="preserve"> – </w:t>
      </w:r>
      <w:r w:rsidR="00143C5A" w:rsidRPr="0067507D">
        <w:rPr>
          <w:rFonts w:eastAsia="VIC" w:cs="VIC"/>
          <w:iCs/>
          <w:szCs w:val="17"/>
        </w:rPr>
        <w:t>except</w:t>
      </w:r>
      <w:r w:rsidRPr="0067507D">
        <w:rPr>
          <w:rFonts w:eastAsia="Aptos"/>
          <w:lang w:eastAsia="en-US"/>
        </w:rPr>
        <w:t>:</w:t>
      </w:r>
    </w:p>
    <w:p w14:paraId="0E92CE15" w14:textId="710D5E7C" w:rsidR="00955FB5" w:rsidRPr="0067507D" w:rsidRDefault="00955FB5" w:rsidP="001F4981">
      <w:pPr>
        <w:pStyle w:val="Bullet"/>
        <w:rPr>
          <w:rFonts w:eastAsia="Aptos"/>
          <w:lang w:eastAsia="en-US"/>
        </w:rPr>
      </w:pPr>
      <w:r w:rsidRPr="0067507D">
        <w:rPr>
          <w:rFonts w:eastAsia="Aptos"/>
          <w:lang w:eastAsia="en-US"/>
        </w:rPr>
        <w:t>Division 1 of Part 6 (this Division is administered by the Attorney</w:t>
      </w:r>
      <w:r w:rsidR="006A5485">
        <w:rPr>
          <w:rFonts w:eastAsia="Aptos"/>
          <w:lang w:eastAsia="en-US"/>
        </w:rPr>
        <w:noBreakHyphen/>
      </w:r>
      <w:r w:rsidRPr="0067507D">
        <w:rPr>
          <w:rFonts w:eastAsia="Aptos"/>
          <w:lang w:eastAsia="en-US"/>
        </w:rPr>
        <w:t>General)</w:t>
      </w:r>
    </w:p>
    <w:p w14:paraId="30F8BEEA" w14:textId="6661FCB9" w:rsidR="00955FB5" w:rsidRPr="0067507D" w:rsidRDefault="00955FB5" w:rsidP="001F4981">
      <w:pPr>
        <w:pStyle w:val="Bullet"/>
        <w:rPr>
          <w:rFonts w:eastAsia="Aptos"/>
          <w:lang w:eastAsia="en-US"/>
        </w:rPr>
      </w:pPr>
      <w:r w:rsidRPr="0067507D">
        <w:rPr>
          <w:rFonts w:eastAsia="Aptos"/>
          <w:lang w:eastAsia="en-US"/>
        </w:rPr>
        <w:t>Sections 492</w:t>
      </w:r>
      <w:r w:rsidR="006A5485">
        <w:rPr>
          <w:rFonts w:eastAsia="Aptos"/>
          <w:lang w:eastAsia="en-US"/>
        </w:rPr>
        <w:noBreakHyphen/>
      </w:r>
      <w:r w:rsidRPr="0067507D">
        <w:rPr>
          <w:rFonts w:eastAsia="Aptos"/>
          <w:lang w:eastAsia="en-US"/>
        </w:rPr>
        <w:t xml:space="preserve">495 in so far as they relate to WorkSafe’s budget, financial reporting and management of the WorkCover Authority Fund (in so far as they relate to those matters, these sections are jointly administered with the </w:t>
      </w:r>
      <w:r w:rsidR="007558F3" w:rsidRPr="0067507D">
        <w:rPr>
          <w:rFonts w:eastAsia="Aptos"/>
          <w:lang w:eastAsia="en-US"/>
        </w:rPr>
        <w:t>Minister for Finance</w:t>
      </w:r>
      <w:r w:rsidRPr="0067507D">
        <w:rPr>
          <w:rFonts w:eastAsia="Aptos"/>
          <w:lang w:eastAsia="en-US"/>
        </w:rPr>
        <w:t>)</w:t>
      </w:r>
    </w:p>
    <w:p w14:paraId="51C0F531" w14:textId="407E5428" w:rsidR="00955FB5" w:rsidRPr="0067507D" w:rsidRDefault="00955FB5" w:rsidP="001F4981">
      <w:pPr>
        <w:pStyle w:val="Bullet"/>
        <w:rPr>
          <w:rFonts w:eastAsia="Aptos"/>
          <w:lang w:eastAsia="en-US"/>
        </w:rPr>
      </w:pPr>
      <w:r w:rsidRPr="0067507D">
        <w:rPr>
          <w:rFonts w:eastAsia="Aptos"/>
          <w:lang w:eastAsia="en-US"/>
        </w:rPr>
        <w:t>Sections 515</w:t>
      </w:r>
      <w:r w:rsidR="006A5485">
        <w:rPr>
          <w:rFonts w:eastAsia="Aptos"/>
          <w:lang w:eastAsia="en-US"/>
        </w:rPr>
        <w:noBreakHyphen/>
      </w:r>
      <w:r w:rsidRPr="0067507D">
        <w:rPr>
          <w:rFonts w:eastAsia="Aptos"/>
          <w:lang w:eastAsia="en-US"/>
        </w:rPr>
        <w:t xml:space="preserve">518 (these sections are jointly administered with the </w:t>
      </w:r>
      <w:r w:rsidR="007558F3" w:rsidRPr="0067507D">
        <w:rPr>
          <w:rFonts w:eastAsia="Aptos"/>
          <w:lang w:eastAsia="en-US"/>
        </w:rPr>
        <w:t>Minister for Finance</w:t>
      </w:r>
      <w:r w:rsidRPr="0067507D">
        <w:rPr>
          <w:rFonts w:eastAsia="Aptos"/>
          <w:lang w:eastAsia="en-US"/>
        </w:rPr>
        <w:t>)</w:t>
      </w:r>
    </w:p>
    <w:p w14:paraId="07A987ED" w14:textId="2E76F221" w:rsidR="004E29AF" w:rsidRPr="0067507D" w:rsidRDefault="004E29AF" w:rsidP="004E29AF">
      <w:pPr>
        <w:rPr>
          <w:rFonts w:ascii="VIC" w:hAnsi="VIC"/>
          <w:szCs w:val="17"/>
        </w:rPr>
      </w:pPr>
    </w:p>
    <w:p w14:paraId="0DD03D8E" w14:textId="77777777" w:rsidR="004E29AF" w:rsidRPr="0067507D" w:rsidRDefault="004E29AF" w:rsidP="004E29AF"/>
    <w:p w14:paraId="08D63BBE" w14:textId="77777777" w:rsidR="004E29AF" w:rsidRPr="0067507D" w:rsidRDefault="004E29AF" w:rsidP="004E29AF">
      <w:pPr>
        <w:pStyle w:val="Heading1b"/>
        <w:sectPr w:rsidR="004E29AF" w:rsidRPr="0067507D" w:rsidSect="009526AE">
          <w:type w:val="continuous"/>
          <w:pgSz w:w="11909" w:h="16834" w:code="9"/>
          <w:pgMar w:top="1728" w:right="1152" w:bottom="1267" w:left="1152" w:header="720" w:footer="288" w:gutter="0"/>
          <w:cols w:num="2" w:space="720"/>
          <w:noEndnote/>
        </w:sectPr>
      </w:pPr>
    </w:p>
    <w:p w14:paraId="1DBEA29F" w14:textId="6B83262E" w:rsidR="004E29AF" w:rsidRPr="0067507D" w:rsidRDefault="004E29AF" w:rsidP="004E29AF">
      <w:pPr>
        <w:pStyle w:val="Heading1b"/>
      </w:pPr>
      <w:bookmarkStart w:id="231" w:name="VIPP"/>
      <w:bookmarkStart w:id="232" w:name="_Toc17189960"/>
      <w:bookmarkStart w:id="233" w:name="_Toc210221143"/>
      <w:bookmarkStart w:id="234" w:name="LocalJobsFirst"/>
      <w:bookmarkEnd w:id="231"/>
      <w:r w:rsidRPr="0067507D">
        <w:lastRenderedPageBreak/>
        <w:t>Local Jobs First</w:t>
      </w:r>
      <w:bookmarkEnd w:id="232"/>
      <w:bookmarkEnd w:id="233"/>
    </w:p>
    <w:p w14:paraId="6483A0BE" w14:textId="77777777" w:rsidR="00865775" w:rsidRPr="0067507D" w:rsidRDefault="00865775" w:rsidP="007D7EE6">
      <w:pPr>
        <w:sectPr w:rsidR="00865775" w:rsidRPr="0067507D" w:rsidSect="00232928">
          <w:pgSz w:w="11909" w:h="16834" w:code="9"/>
          <w:pgMar w:top="1728" w:right="1152" w:bottom="1267" w:left="1152" w:header="720" w:footer="288" w:gutter="0"/>
          <w:cols w:num="2" w:space="720"/>
          <w:noEndnote/>
        </w:sectPr>
      </w:pPr>
    </w:p>
    <w:p w14:paraId="24D86305" w14:textId="6FE2DBE1" w:rsidR="007D7EE6" w:rsidRPr="0067507D" w:rsidRDefault="007D7EE6" w:rsidP="007D7EE6">
      <w:r w:rsidRPr="0067507D">
        <w:t xml:space="preserve">The </w:t>
      </w:r>
      <w:r w:rsidRPr="0067507D">
        <w:rPr>
          <w:i/>
          <w:iCs/>
        </w:rPr>
        <w:t>Local Jobs First Act 2003</w:t>
      </w:r>
      <w:r w:rsidRPr="0067507D">
        <w:t xml:space="preserve"> introduced in August</w:t>
      </w:r>
      <w:r w:rsidR="00746E45" w:rsidRPr="0067507D">
        <w:rPr>
          <w:rFonts w:ascii="Calibri" w:hAnsi="Calibri" w:cs="Calibri"/>
        </w:rPr>
        <w:t> </w:t>
      </w:r>
      <w:r w:rsidRPr="0067507D">
        <w:t xml:space="preserve">2018 brings together the Victorian Industry Participation Policy (VIPP) and Major Project Skills Guarantee (MPSG) policy which were previously administered separately. </w:t>
      </w:r>
    </w:p>
    <w:p w14:paraId="1C5B8CFD" w14:textId="77777777" w:rsidR="007D7EE6" w:rsidRPr="0067507D" w:rsidRDefault="007D7EE6" w:rsidP="007D7EE6">
      <w:r w:rsidRPr="0067507D">
        <w:t>Departments and public sector bodies are required to apply the Local Jobs First policy in all projects valued at $3 million or more in Metropolitan Melbourne or for statewide projects, or $1 million or more for projects in regional Victoria.</w:t>
      </w:r>
    </w:p>
    <w:p w14:paraId="7F3C7509" w14:textId="77777777" w:rsidR="007D7EE6" w:rsidRPr="0067507D" w:rsidRDefault="007D7EE6" w:rsidP="007D7EE6">
      <w:r w:rsidRPr="0067507D">
        <w:t>MPSG applies to all construction projects valued at $20 million or more.</w:t>
      </w:r>
    </w:p>
    <w:p w14:paraId="4D62E423" w14:textId="76FF33A5" w:rsidR="007D7EE6" w:rsidRPr="0067507D" w:rsidRDefault="007D7EE6" w:rsidP="007D7EE6">
      <w:r w:rsidRPr="0067507D">
        <w:t>The MPSG guidelines and VIPP guidelines will continue to apply to MPSG</w:t>
      </w:r>
      <w:r w:rsidR="006A5485">
        <w:noBreakHyphen/>
      </w:r>
      <w:r w:rsidRPr="0067507D">
        <w:t>applicable and VIPP</w:t>
      </w:r>
      <w:r w:rsidR="006A5485">
        <w:noBreakHyphen/>
      </w:r>
      <w:r w:rsidRPr="0067507D">
        <w:t xml:space="preserve">applicable projects respectively where contracts have been entered </w:t>
      </w:r>
      <w:r w:rsidR="00A9095D" w:rsidRPr="0067507D">
        <w:t xml:space="preserve">into </w:t>
      </w:r>
      <w:r w:rsidRPr="0067507D">
        <w:t>prior to 15 August 2018.</w:t>
      </w:r>
    </w:p>
    <w:p w14:paraId="65D6F4F2" w14:textId="77777777" w:rsidR="007D7EE6" w:rsidRPr="0067507D" w:rsidRDefault="007D7EE6" w:rsidP="007D7EE6">
      <w:pPr>
        <w:pStyle w:val="Heading3"/>
      </w:pPr>
      <w:r w:rsidRPr="0067507D">
        <w:t>Projects commenced – Local Jobs First Standard</w:t>
      </w:r>
    </w:p>
    <w:p w14:paraId="5194F9BC" w14:textId="7623D1B4" w:rsidR="007D7EE6" w:rsidRPr="0067507D" w:rsidRDefault="007D7EE6" w:rsidP="004F6550">
      <w:r w:rsidRPr="0067507D">
        <w:t xml:space="preserve">During </w:t>
      </w:r>
      <w:r w:rsidR="7E705580" w:rsidRPr="0067507D">
        <w:t>2024</w:t>
      </w:r>
      <w:r w:rsidR="006A5485">
        <w:noBreakHyphen/>
      </w:r>
      <w:r w:rsidR="7E705580" w:rsidRPr="0067507D">
        <w:t>25</w:t>
      </w:r>
      <w:fldSimple w:instr="DOCPROPERTY  FinYearCurrent  \* MERGEFORMAT"/>
      <w:r w:rsidRPr="0067507D">
        <w:t xml:space="preserve">, the Department </w:t>
      </w:r>
      <w:r w:rsidR="00DD68EE" w:rsidRPr="0067507D">
        <w:t xml:space="preserve">did not </w:t>
      </w:r>
      <w:r w:rsidRPr="0067507D">
        <w:t>commence</w:t>
      </w:r>
      <w:r w:rsidR="00DD68EE" w:rsidRPr="0067507D">
        <w:t xml:space="preserve"> </w:t>
      </w:r>
      <w:r w:rsidR="008D5DB7" w:rsidRPr="0067507D">
        <w:t>any</w:t>
      </w:r>
      <w:r w:rsidRPr="0067507D">
        <w:t xml:space="preserve"> Local Jobs First Standard projects</w:t>
      </w:r>
      <w:r w:rsidR="008D5DB7" w:rsidRPr="0067507D">
        <w:t>.</w:t>
      </w:r>
    </w:p>
    <w:p w14:paraId="5B3D8CE5" w14:textId="77777777" w:rsidR="007D7EE6" w:rsidRPr="0067507D" w:rsidRDefault="007D7EE6" w:rsidP="007D7EE6">
      <w:pPr>
        <w:pStyle w:val="Heading3"/>
      </w:pPr>
      <w:r w:rsidRPr="0067507D">
        <w:t>Projects completed – Local Jobs First Standard</w:t>
      </w:r>
    </w:p>
    <w:p w14:paraId="635317BD" w14:textId="0A13C6A8" w:rsidR="007D7EE6" w:rsidRPr="0067507D" w:rsidRDefault="007D7EE6" w:rsidP="007D7EE6">
      <w:r w:rsidRPr="0067507D">
        <w:t xml:space="preserve">During </w:t>
      </w:r>
      <w:r w:rsidR="2F6F8239" w:rsidRPr="0067507D">
        <w:t>2024</w:t>
      </w:r>
      <w:r w:rsidR="006A5485">
        <w:noBreakHyphen/>
      </w:r>
      <w:r w:rsidR="2F6F8239" w:rsidRPr="0067507D">
        <w:t>25</w:t>
      </w:r>
      <w:r w:rsidRPr="0067507D">
        <w:t xml:space="preserve">, the Department completed </w:t>
      </w:r>
      <w:r w:rsidR="00748CED" w:rsidRPr="0067507D">
        <w:t>one</w:t>
      </w:r>
      <w:r w:rsidR="00A066C4" w:rsidRPr="0067507D">
        <w:t xml:space="preserve"> </w:t>
      </w:r>
      <w:r w:rsidRPr="0067507D">
        <w:t>Local</w:t>
      </w:r>
      <w:r w:rsidR="00746E45" w:rsidRPr="0067507D">
        <w:rPr>
          <w:rFonts w:ascii="Calibri" w:hAnsi="Calibri" w:cs="Calibri"/>
        </w:rPr>
        <w:t> </w:t>
      </w:r>
      <w:r w:rsidRPr="0067507D">
        <w:t>Jobs First Standard project, totalling $</w:t>
      </w:r>
      <w:r w:rsidR="005857A8" w:rsidRPr="0067507D">
        <w:t>4</w:t>
      </w:r>
      <w:r w:rsidRPr="0067507D">
        <w:t xml:space="preserve"> million. </w:t>
      </w:r>
      <w:r w:rsidR="1A1BD8EA" w:rsidRPr="0067507D">
        <w:t>This</w:t>
      </w:r>
      <w:r w:rsidR="00746E45" w:rsidRPr="0067507D">
        <w:rPr>
          <w:rFonts w:ascii="Calibri" w:hAnsi="Calibri" w:cs="Calibri"/>
        </w:rPr>
        <w:t> </w:t>
      </w:r>
      <w:r w:rsidRPr="0067507D">
        <w:t>project</w:t>
      </w:r>
      <w:r w:rsidRPr="0067507D" w:rsidDel="004058C2">
        <w:t xml:space="preserve"> was </w:t>
      </w:r>
      <w:r w:rsidR="40033093" w:rsidRPr="0067507D">
        <w:t>Statewide</w:t>
      </w:r>
      <w:r w:rsidRPr="0067507D" w:rsidDel="004058C2">
        <w:t xml:space="preserve">, with a commitment of </w:t>
      </w:r>
      <w:r w:rsidR="4EA31FBD" w:rsidRPr="0067507D">
        <w:t>7</w:t>
      </w:r>
      <w:r w:rsidR="001415A2" w:rsidRPr="0067507D">
        <w:t>9.94</w:t>
      </w:r>
      <w:r w:rsidR="00746E45" w:rsidRPr="0067507D">
        <w:rPr>
          <w:rFonts w:ascii="Calibri" w:hAnsi="Calibri" w:cs="Calibri"/>
        </w:rPr>
        <w:t> </w:t>
      </w:r>
      <w:r w:rsidRPr="0067507D" w:rsidDel="004058C2">
        <w:t>per</w:t>
      </w:r>
      <w:r w:rsidR="00746E45" w:rsidRPr="0067507D">
        <w:rPr>
          <w:rFonts w:ascii="Calibri" w:hAnsi="Calibri" w:cs="Calibri"/>
        </w:rPr>
        <w:t> </w:t>
      </w:r>
      <w:r w:rsidRPr="0067507D" w:rsidDel="004058C2">
        <w:t>cent local content</w:t>
      </w:r>
      <w:r w:rsidRPr="0067507D">
        <w:t xml:space="preserve">. </w:t>
      </w:r>
    </w:p>
    <w:p w14:paraId="05C292BE" w14:textId="540240F5" w:rsidR="007D7EE6" w:rsidRPr="0067507D" w:rsidRDefault="007D7EE6" w:rsidP="007D7EE6">
      <w:r w:rsidRPr="0067507D">
        <w:t>The commitments made and outcomes achieved for Standard Projects completed in 20</w:t>
      </w:r>
      <w:r w:rsidR="347C9EF2" w:rsidRPr="0067507D">
        <w:t>24</w:t>
      </w:r>
      <w:r w:rsidR="006A5485">
        <w:noBreakHyphen/>
      </w:r>
      <w:r w:rsidR="1B43E44A" w:rsidRPr="0067507D">
        <w:t>25</w:t>
      </w:r>
      <w:r w:rsidRPr="0067507D">
        <w:t xml:space="preserve"> were as follows: </w:t>
      </w:r>
    </w:p>
    <w:p w14:paraId="148437C7" w14:textId="47256A10" w:rsidR="007D7EE6" w:rsidRPr="0067507D" w:rsidRDefault="007D7EE6" w:rsidP="007D7EE6">
      <w:pPr>
        <w:pStyle w:val="Bullet"/>
      </w:pPr>
      <w:r w:rsidRPr="0067507D">
        <w:t xml:space="preserve">An average of </w:t>
      </w:r>
      <w:r w:rsidR="1B9295C5" w:rsidRPr="0067507D">
        <w:t>79.94</w:t>
      </w:r>
      <w:r w:rsidRPr="0067507D">
        <w:t xml:space="preserve"> per cent of local content commitment was made, with an average of 7</w:t>
      </w:r>
      <w:r w:rsidR="40BD5FA3" w:rsidRPr="0067507D">
        <w:t>0</w:t>
      </w:r>
      <w:r w:rsidR="00746E45" w:rsidRPr="0067507D">
        <w:rPr>
          <w:rFonts w:ascii="Calibri" w:hAnsi="Calibri" w:cs="Calibri"/>
        </w:rPr>
        <w:t> </w:t>
      </w:r>
      <w:r w:rsidRPr="0067507D">
        <w:t>per cent achieved.</w:t>
      </w:r>
    </w:p>
    <w:p w14:paraId="12E09A79" w14:textId="13E7B55D" w:rsidR="007D7EE6" w:rsidRPr="0067507D" w:rsidRDefault="007D7EE6" w:rsidP="00D07CFB">
      <w:pPr>
        <w:pStyle w:val="Bullet"/>
      </w:pPr>
      <w:r w:rsidRPr="0067507D">
        <w:t xml:space="preserve">Standard Projects that completed in this financial year were due to submit </w:t>
      </w:r>
      <w:r w:rsidR="00865775" w:rsidRPr="0067507D">
        <w:t>one</w:t>
      </w:r>
      <w:r w:rsidR="0001501D" w:rsidRPr="0067507D">
        <w:t xml:space="preserve"> </w:t>
      </w:r>
      <w:r w:rsidRPr="0067507D">
        <w:t>post</w:t>
      </w:r>
      <w:r w:rsidR="00865775" w:rsidRPr="0067507D">
        <w:noBreakHyphen/>
      </w:r>
      <w:r w:rsidRPr="0067507D">
        <w:t xml:space="preserve">contract review, with </w:t>
      </w:r>
      <w:r w:rsidR="00746E45" w:rsidRPr="0067507D">
        <w:t>one</w:t>
      </w:r>
      <w:r w:rsidR="0001501D" w:rsidRPr="0067507D">
        <w:t xml:space="preserve"> </w:t>
      </w:r>
      <w:r w:rsidRPr="0067507D">
        <w:t>submitted.</w:t>
      </w:r>
    </w:p>
    <w:p w14:paraId="4D92DAEA" w14:textId="3080578E" w:rsidR="007D7EE6" w:rsidRPr="0067507D" w:rsidRDefault="00C44607" w:rsidP="007D7EE6">
      <w:pPr>
        <w:pStyle w:val="Heading3"/>
      </w:pPr>
      <w:r w:rsidRPr="0067507D">
        <w:br w:type="column"/>
      </w:r>
      <w:r w:rsidR="007D7EE6" w:rsidRPr="0067507D">
        <w:t>Projects commenced – Local Jobs First Strategic</w:t>
      </w:r>
    </w:p>
    <w:p w14:paraId="55111C6A" w14:textId="137766D4" w:rsidR="00780CEB" w:rsidRPr="0067507D" w:rsidRDefault="00780CEB" w:rsidP="00780CEB">
      <w:r w:rsidRPr="0067507D">
        <w:t>During 2024</w:t>
      </w:r>
      <w:r w:rsidR="006A5485">
        <w:noBreakHyphen/>
      </w:r>
      <w:r w:rsidRPr="0067507D">
        <w:t>25</w:t>
      </w:r>
      <w:fldSimple w:instr="DOCPROPERTY  FinYearCurrent  \* MERGEFORMAT"/>
      <w:r w:rsidRPr="0067507D">
        <w:t xml:space="preserve">, the Department did not commence any Local Jobs First </w:t>
      </w:r>
      <w:r w:rsidR="005E7DD7" w:rsidRPr="0067507D">
        <w:t>Strategic</w:t>
      </w:r>
      <w:r w:rsidRPr="0067507D">
        <w:t xml:space="preserve"> projects.</w:t>
      </w:r>
    </w:p>
    <w:p w14:paraId="2B37D469" w14:textId="77777777" w:rsidR="007D7EE6" w:rsidRPr="0067507D" w:rsidRDefault="007D7EE6" w:rsidP="007D7EE6">
      <w:pPr>
        <w:pStyle w:val="Heading3"/>
      </w:pPr>
      <w:r w:rsidRPr="0067507D">
        <w:t>Projects completed – Local Jobs First Strategic</w:t>
      </w:r>
    </w:p>
    <w:p w14:paraId="1A2356E5" w14:textId="1C0AAE1F" w:rsidR="00C22C7A" w:rsidRPr="0067507D" w:rsidRDefault="00C22C7A" w:rsidP="00C22C7A">
      <w:r w:rsidRPr="0067507D">
        <w:t>During 2024</w:t>
      </w:r>
      <w:r w:rsidR="006A5485">
        <w:noBreakHyphen/>
      </w:r>
      <w:r w:rsidRPr="0067507D">
        <w:t>25</w:t>
      </w:r>
      <w:fldSimple w:instr="DOCPROPERTY  FinYearCurrent  \* MERGEFORMAT"/>
      <w:r w:rsidRPr="0067507D">
        <w:t>, the Department did not complete any Local Jobs First Strategic projects.</w:t>
      </w:r>
    </w:p>
    <w:p w14:paraId="7D952356" w14:textId="4E797709" w:rsidR="004E29AF" w:rsidRPr="0067507D" w:rsidRDefault="004E29AF" w:rsidP="004E29AF">
      <w:pPr>
        <w:rPr>
          <w:rFonts w:ascii="VIC" w:hAnsi="VIC"/>
        </w:rPr>
      </w:pPr>
    </w:p>
    <w:p w14:paraId="5D7999EB" w14:textId="28D6910A" w:rsidR="004E29AF" w:rsidRPr="0067507D" w:rsidRDefault="004E29AF" w:rsidP="004E29AF">
      <w:pPr>
        <w:pStyle w:val="Heading1b"/>
      </w:pPr>
      <w:bookmarkStart w:id="235" w:name="_Toc17189961"/>
      <w:bookmarkEnd w:id="234"/>
      <w:r w:rsidRPr="0067507D">
        <w:br w:type="column"/>
      </w:r>
      <w:bookmarkStart w:id="236" w:name="_Toc210221144"/>
      <w:bookmarkStart w:id="237" w:name="Implementation_SPF"/>
      <w:r w:rsidRPr="0067507D">
        <w:lastRenderedPageBreak/>
        <w:t>Implementation of the Social Procurement Framework</w:t>
      </w:r>
      <w:bookmarkEnd w:id="235"/>
      <w:bookmarkEnd w:id="236"/>
    </w:p>
    <w:p w14:paraId="58ECE01E" w14:textId="77777777" w:rsidR="00865775" w:rsidRPr="0067507D" w:rsidRDefault="00865775" w:rsidP="004E29AF">
      <w:pPr>
        <w:sectPr w:rsidR="00865775" w:rsidRPr="0067507D" w:rsidSect="00865775">
          <w:type w:val="continuous"/>
          <w:pgSz w:w="11909" w:h="16834" w:code="9"/>
          <w:pgMar w:top="1728" w:right="1152" w:bottom="1267" w:left="1152" w:header="720" w:footer="288" w:gutter="0"/>
          <w:cols w:num="2" w:space="720"/>
          <w:noEndnote/>
        </w:sectPr>
      </w:pPr>
    </w:p>
    <w:p w14:paraId="1D12B9FE" w14:textId="77777777" w:rsidR="004E29AF" w:rsidRPr="0067507D" w:rsidRDefault="004E29AF" w:rsidP="004E29AF">
      <w:r w:rsidRPr="0067507D">
        <w:t xml:space="preserve">Victoria is committed to social procurement and has established the Social Procurement Framework. </w:t>
      </w:r>
    </w:p>
    <w:p w14:paraId="72761525" w14:textId="77777777" w:rsidR="004E29AF" w:rsidRPr="0067507D" w:rsidRDefault="004E29AF" w:rsidP="004E29AF">
      <w:r w:rsidRPr="0067507D">
        <w:t>The Framework enables buyers and suppliers to use government buying power to deliver social, economic and environmental outcomes that benefit the Victorian community, the economy and the environment.</w:t>
      </w:r>
    </w:p>
    <w:p w14:paraId="37161E69" w14:textId="77777777" w:rsidR="004E29AF" w:rsidRPr="0067507D" w:rsidRDefault="004E29AF" w:rsidP="004E29AF">
      <w:r w:rsidRPr="0067507D">
        <w:t>DTF has a social procurement strategy that outlines its approach to implementing the Framework, which was implemented late 2018.</w:t>
      </w:r>
    </w:p>
    <w:p w14:paraId="66996042" w14:textId="3F559831" w:rsidR="004E29AF" w:rsidRPr="0067507D" w:rsidRDefault="004E29AF" w:rsidP="004E29AF">
      <w:r w:rsidRPr="0067507D">
        <w:t xml:space="preserve">In </w:t>
      </w:r>
      <w:r w:rsidR="00C30F42" w:rsidRPr="0067507D">
        <w:t>2024</w:t>
      </w:r>
      <w:r w:rsidR="006A5485">
        <w:noBreakHyphen/>
      </w:r>
      <w:r w:rsidR="00C30F42" w:rsidRPr="0067507D">
        <w:t>25</w:t>
      </w:r>
      <w:r w:rsidRPr="0067507D">
        <w:t>, DTF continued to prioritise the following Social Procurement Framework objectives:</w:t>
      </w:r>
    </w:p>
    <w:p w14:paraId="250EB412" w14:textId="77777777" w:rsidR="004E29AF" w:rsidRPr="0067507D" w:rsidRDefault="004E29AF" w:rsidP="00655729">
      <w:pPr>
        <w:pStyle w:val="Bullet"/>
      </w:pPr>
      <w:r w:rsidRPr="0067507D">
        <w:t>opportunities for Victorian Aboriginal people</w:t>
      </w:r>
    </w:p>
    <w:p w14:paraId="401EE630" w14:textId="77777777" w:rsidR="004E29AF" w:rsidRPr="0067507D" w:rsidRDefault="004E29AF" w:rsidP="00655729">
      <w:pPr>
        <w:pStyle w:val="Bullet"/>
      </w:pPr>
      <w:r w:rsidRPr="0067507D">
        <w:t>opportunities for Victorians with disability</w:t>
      </w:r>
    </w:p>
    <w:p w14:paraId="7C719C7F" w14:textId="77777777" w:rsidR="004E29AF" w:rsidRPr="0067507D" w:rsidRDefault="004E29AF" w:rsidP="00655729">
      <w:pPr>
        <w:pStyle w:val="Bullet"/>
      </w:pPr>
      <w:r w:rsidRPr="0067507D">
        <w:t>women’s equality and safety</w:t>
      </w:r>
    </w:p>
    <w:p w14:paraId="2D8DA4E8" w14:textId="6C792079" w:rsidR="004E29AF" w:rsidRPr="0067507D" w:rsidRDefault="004E29AF" w:rsidP="00655729">
      <w:pPr>
        <w:pStyle w:val="Bullet"/>
      </w:pPr>
      <w:r w:rsidRPr="0067507D">
        <w:rPr>
          <w:rFonts w:ascii="VIC" w:hAnsi="VIC"/>
        </w:rPr>
        <w:t xml:space="preserve">opportunities for </w:t>
      </w:r>
      <w:r w:rsidR="3CA6F448" w:rsidRPr="0067507D">
        <w:rPr>
          <w:rFonts w:ascii="VIC" w:hAnsi="VIC"/>
        </w:rPr>
        <w:t>Victorian priority jobseekers</w:t>
      </w:r>
    </w:p>
    <w:p w14:paraId="2DFC19FF" w14:textId="77777777" w:rsidR="004E29AF" w:rsidRPr="0067507D" w:rsidRDefault="004E29AF" w:rsidP="00655729">
      <w:pPr>
        <w:pStyle w:val="Bullet"/>
      </w:pPr>
      <w:r w:rsidRPr="0067507D">
        <w:t>supporting safe and fair workplaces</w:t>
      </w:r>
    </w:p>
    <w:p w14:paraId="3B7E0A94" w14:textId="77777777" w:rsidR="004E29AF" w:rsidRPr="0067507D" w:rsidRDefault="004E29AF" w:rsidP="00655729">
      <w:pPr>
        <w:pStyle w:val="Bullet"/>
      </w:pPr>
      <w:r w:rsidRPr="0067507D">
        <w:t>sustainable Victorian social enterprises and Aboriginal business sectors.</w:t>
      </w:r>
    </w:p>
    <w:p w14:paraId="6D68996B" w14:textId="77777777" w:rsidR="004E29AF" w:rsidRPr="0067507D" w:rsidRDefault="004E29AF" w:rsidP="004E29AF">
      <w:r w:rsidRPr="0067507D">
        <w:t>In its strategy, DTF has also identified a number of opportunities for increasing its direct social procurement. These included:</w:t>
      </w:r>
    </w:p>
    <w:p w14:paraId="60D28CEA" w14:textId="77777777" w:rsidR="004E29AF" w:rsidRPr="0067507D" w:rsidRDefault="004E29AF" w:rsidP="00655729">
      <w:pPr>
        <w:pStyle w:val="Bullet"/>
      </w:pPr>
      <w:r w:rsidRPr="0067507D">
        <w:t>identifying social benefit suppliers through the print state purchase contract</w:t>
      </w:r>
    </w:p>
    <w:p w14:paraId="0874CE58" w14:textId="77777777" w:rsidR="004E29AF" w:rsidRPr="0067507D" w:rsidRDefault="004E29AF" w:rsidP="00655729">
      <w:pPr>
        <w:pStyle w:val="Bullet"/>
      </w:pPr>
      <w:r w:rsidRPr="0067507D">
        <w:t>identifying social benefit suppliers for use in strategic communications work</w:t>
      </w:r>
    </w:p>
    <w:p w14:paraId="0FC8ADCB" w14:textId="77777777" w:rsidR="00A20F27" w:rsidRPr="0067507D" w:rsidRDefault="004E29AF" w:rsidP="00655729">
      <w:pPr>
        <w:pStyle w:val="Bullet"/>
      </w:pPr>
      <w:r w:rsidRPr="0067507D">
        <w:t>continuing to use social enterprises for group</w:t>
      </w:r>
      <w:r w:rsidRPr="0067507D">
        <w:rPr>
          <w:rFonts w:ascii="Calibri" w:hAnsi="Calibri"/>
        </w:rPr>
        <w:t> </w:t>
      </w:r>
      <w:r w:rsidRPr="0067507D">
        <w:t>training</w:t>
      </w:r>
    </w:p>
    <w:p w14:paraId="041CB793" w14:textId="22EC4D96" w:rsidR="004E29AF" w:rsidRPr="0067507D" w:rsidRDefault="00C47233" w:rsidP="00655729">
      <w:pPr>
        <w:pStyle w:val="Bullet"/>
      </w:pPr>
      <w:r w:rsidRPr="0067507D">
        <w:t>i</w:t>
      </w:r>
      <w:r w:rsidR="00A20F27" w:rsidRPr="0067507D">
        <w:t>dentifying social benefit suppliers for venue hire and catering</w:t>
      </w:r>
      <w:r w:rsidR="004E29AF" w:rsidRPr="0067507D">
        <w:t>.</w:t>
      </w:r>
    </w:p>
    <w:p w14:paraId="62A251E2" w14:textId="420B62D2" w:rsidR="00F500A2" w:rsidRPr="0067507D" w:rsidRDefault="004E29AF" w:rsidP="004E29AF">
      <w:pPr>
        <w:keepNext/>
      </w:pPr>
      <w:r w:rsidRPr="0067507D">
        <w:t xml:space="preserve">Education and advice for procuring teams continued during </w:t>
      </w:r>
      <w:r w:rsidR="00C30F42" w:rsidRPr="0067507D">
        <w:t>2024</w:t>
      </w:r>
      <w:r w:rsidR="006A5485">
        <w:noBreakHyphen/>
      </w:r>
      <w:r w:rsidR="00C30F42" w:rsidRPr="0067507D">
        <w:t>25</w:t>
      </w:r>
      <w:r w:rsidRPr="0067507D">
        <w:t>, supporting key decision makers to understand the important principles and requirements of the Framework. This resulted in social procurement priorities being included in supplier selection and contract awarding procedures. In turn this has contributed to driving supplier commitment to social procurement objectives through indirect procurement for both state purchase contracts managed by the Department as well as in individual business procurement engagements.</w:t>
      </w:r>
    </w:p>
    <w:p w14:paraId="7D2FE533" w14:textId="77777777" w:rsidR="00E81A92" w:rsidRPr="0067507D" w:rsidRDefault="00E81A92"/>
    <w:tbl>
      <w:tblPr>
        <w:tblStyle w:val="AnnualReportfinancialtable1"/>
        <w:tblW w:w="0" w:type="auto"/>
        <w:tblLook w:val="0220" w:firstRow="1" w:lastRow="0" w:firstColumn="0" w:lastColumn="0" w:noHBand="1" w:noVBand="0"/>
      </w:tblPr>
      <w:tblGrid>
        <w:gridCol w:w="2243"/>
        <w:gridCol w:w="1162"/>
        <w:gridCol w:w="1037"/>
      </w:tblGrid>
      <w:tr w:rsidR="001D2F74" w:rsidRPr="0067507D" w14:paraId="14810098" w14:textId="77777777" w:rsidTr="001B0190">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43" w:type="dxa"/>
            <w:vAlign w:val="bottom"/>
          </w:tcPr>
          <w:p w14:paraId="3A2015C2" w14:textId="02B85F47" w:rsidR="004E29AF" w:rsidRPr="0067507D" w:rsidRDefault="004E29AF" w:rsidP="001B0190">
            <w:pPr>
              <w:pStyle w:val="Tableheader"/>
              <w:jc w:val="left"/>
              <w:rPr>
                <w:rFonts w:asciiTheme="majorHAnsi" w:eastAsia="Tahoma" w:hAnsiTheme="majorHAnsi"/>
              </w:rPr>
            </w:pPr>
            <w:r w:rsidRPr="0067507D">
              <w:rPr>
                <w:rFonts w:asciiTheme="majorHAnsi" w:eastAsia="Tahoma" w:hAnsiTheme="majorHAnsi"/>
              </w:rPr>
              <w:t>Social procurement metric</w:t>
            </w:r>
          </w:p>
        </w:tc>
        <w:tc>
          <w:tcPr>
            <w:cnfStyle w:val="000001000000" w:firstRow="0" w:lastRow="0" w:firstColumn="0" w:lastColumn="0" w:oddVBand="0" w:evenVBand="1" w:oddHBand="0" w:evenHBand="0" w:firstRowFirstColumn="0" w:firstRowLastColumn="0" w:lastRowFirstColumn="0" w:lastRowLastColumn="0"/>
            <w:tcW w:w="1162" w:type="dxa"/>
            <w:vAlign w:val="bottom"/>
          </w:tcPr>
          <w:p w14:paraId="7BEF8A8A" w14:textId="14A75173" w:rsidR="004E29AF" w:rsidRPr="0067507D" w:rsidRDefault="004E29AF" w:rsidP="001B0190">
            <w:pPr>
              <w:pStyle w:val="Tableheader"/>
              <w:rPr>
                <w:rFonts w:asciiTheme="majorHAnsi" w:eastAsia="Tahoma" w:hAnsiTheme="majorHAnsi"/>
              </w:rPr>
            </w:pPr>
            <w:r w:rsidRPr="0067507D">
              <w:rPr>
                <w:rFonts w:asciiTheme="majorHAnsi" w:eastAsia="Tahoma" w:hAnsiTheme="majorHAnsi"/>
              </w:rPr>
              <w:t>Expenditure</w:t>
            </w:r>
            <w:r w:rsidRPr="0067507D">
              <w:rPr>
                <w:rFonts w:asciiTheme="majorHAnsi" w:eastAsia="Tahoma" w:hAnsiTheme="majorHAnsi"/>
              </w:rPr>
              <w:br/>
              <w:t>$</w:t>
            </w:r>
            <w:r w:rsidR="00537B3F" w:rsidRPr="0067507D">
              <w:rPr>
                <w:rFonts w:asciiTheme="majorHAnsi" w:eastAsia="Tahoma" w:hAnsiTheme="majorHAnsi"/>
              </w:rPr>
              <w:t>’</w:t>
            </w:r>
            <w:r w:rsidRPr="0067507D">
              <w:rPr>
                <w:rFonts w:asciiTheme="majorHAnsi" w:eastAsia="Tahoma" w:hAnsiTheme="majorHAnsi"/>
              </w:rPr>
              <w:t>000</w:t>
            </w:r>
          </w:p>
        </w:tc>
        <w:tc>
          <w:tcPr>
            <w:cnfStyle w:val="000010000000" w:firstRow="0" w:lastRow="0" w:firstColumn="0" w:lastColumn="0" w:oddVBand="1" w:evenVBand="0" w:oddHBand="0" w:evenHBand="0" w:firstRowFirstColumn="0" w:firstRowLastColumn="0" w:lastRowFirstColumn="0" w:lastRowLastColumn="0"/>
            <w:tcW w:w="1037" w:type="dxa"/>
            <w:vAlign w:val="bottom"/>
          </w:tcPr>
          <w:p w14:paraId="2FA2D2E2" w14:textId="30C604D2" w:rsidR="004E29AF" w:rsidRPr="0067507D" w:rsidRDefault="004E29AF" w:rsidP="001B0190">
            <w:pPr>
              <w:pStyle w:val="Tableheader"/>
              <w:rPr>
                <w:rFonts w:asciiTheme="majorHAnsi" w:eastAsia="Tahoma" w:hAnsiTheme="majorHAnsi"/>
              </w:rPr>
            </w:pPr>
            <w:r w:rsidRPr="0067507D">
              <w:rPr>
                <w:rFonts w:asciiTheme="majorHAnsi" w:eastAsia="Tahoma" w:hAnsiTheme="majorHAnsi"/>
              </w:rPr>
              <w:t>No. of businesses engaged</w:t>
            </w:r>
          </w:p>
        </w:tc>
      </w:tr>
      <w:tr w:rsidR="00DF6A2B" w:rsidRPr="0067507D" w14:paraId="1CBFB6D0" w14:textId="77777777" w:rsidTr="00865775">
        <w:tc>
          <w:tcPr>
            <w:cnfStyle w:val="000010000000" w:firstRow="0" w:lastRow="0" w:firstColumn="0" w:lastColumn="0" w:oddVBand="1" w:evenVBand="0" w:oddHBand="0" w:evenHBand="0" w:firstRowFirstColumn="0" w:firstRowLastColumn="0" w:lastRowFirstColumn="0" w:lastRowLastColumn="0"/>
            <w:tcW w:w="2243" w:type="dxa"/>
          </w:tcPr>
          <w:p w14:paraId="34008E8D" w14:textId="77777777" w:rsidR="004E29AF" w:rsidRPr="0067507D" w:rsidRDefault="004E29AF" w:rsidP="00865775">
            <w:pPr>
              <w:pStyle w:val="Tabletext"/>
              <w:jc w:val="left"/>
            </w:pPr>
            <w:r w:rsidRPr="0067507D">
              <w:t>Total spend with Victorian Aboriginal businesses</w:t>
            </w:r>
          </w:p>
        </w:tc>
        <w:tc>
          <w:tcPr>
            <w:cnfStyle w:val="000001000000" w:firstRow="0" w:lastRow="0" w:firstColumn="0" w:lastColumn="0" w:oddVBand="0" w:evenVBand="1" w:oddHBand="0" w:evenHBand="0" w:firstRowFirstColumn="0" w:firstRowLastColumn="0" w:lastRowFirstColumn="0" w:lastRowLastColumn="0"/>
            <w:tcW w:w="1162" w:type="dxa"/>
          </w:tcPr>
          <w:p w14:paraId="14698E11" w14:textId="2A917133" w:rsidR="004E29AF" w:rsidRPr="0067507D" w:rsidRDefault="005A7C0A" w:rsidP="00E00608">
            <w:pPr>
              <w:pStyle w:val="Tabletextright"/>
            </w:pPr>
            <w:r w:rsidRPr="0067507D">
              <w:t>1</w:t>
            </w:r>
            <w:r w:rsidR="00130331" w:rsidRPr="0067507D">
              <w:t>16</w:t>
            </w:r>
          </w:p>
        </w:tc>
        <w:tc>
          <w:tcPr>
            <w:cnfStyle w:val="000010000000" w:firstRow="0" w:lastRow="0" w:firstColumn="0" w:lastColumn="0" w:oddVBand="1" w:evenVBand="0" w:oddHBand="0" w:evenHBand="0" w:firstRowFirstColumn="0" w:firstRowLastColumn="0" w:lastRowFirstColumn="0" w:lastRowLastColumn="0"/>
            <w:tcW w:w="1037" w:type="dxa"/>
          </w:tcPr>
          <w:p w14:paraId="307BE9A9" w14:textId="5C22A469" w:rsidR="004E29AF" w:rsidRPr="0067507D" w:rsidRDefault="00FA5988" w:rsidP="00E00608">
            <w:pPr>
              <w:pStyle w:val="Tabletextright"/>
            </w:pPr>
            <w:r w:rsidRPr="0067507D">
              <w:t>5</w:t>
            </w:r>
          </w:p>
        </w:tc>
      </w:tr>
      <w:tr w:rsidR="00DF6A2B" w:rsidRPr="0067507D" w14:paraId="521143A2" w14:textId="77777777" w:rsidTr="00865775">
        <w:tc>
          <w:tcPr>
            <w:cnfStyle w:val="000010000000" w:firstRow="0" w:lastRow="0" w:firstColumn="0" w:lastColumn="0" w:oddVBand="1" w:evenVBand="0" w:oddHBand="0" w:evenHBand="0" w:firstRowFirstColumn="0" w:firstRowLastColumn="0" w:lastRowFirstColumn="0" w:lastRowLastColumn="0"/>
            <w:tcW w:w="2243" w:type="dxa"/>
          </w:tcPr>
          <w:p w14:paraId="01D508CE" w14:textId="77777777" w:rsidR="004E29AF" w:rsidRPr="0067507D" w:rsidRDefault="004E29AF" w:rsidP="00865775">
            <w:pPr>
              <w:pStyle w:val="Tabletext"/>
              <w:jc w:val="left"/>
            </w:pPr>
            <w:r w:rsidRPr="0067507D">
              <w:t xml:space="preserve">Total spend with Victorian social enterprises led by a mission for people with disability and Australian Disability Enterprises </w:t>
            </w:r>
          </w:p>
        </w:tc>
        <w:tc>
          <w:tcPr>
            <w:cnfStyle w:val="000001000000" w:firstRow="0" w:lastRow="0" w:firstColumn="0" w:lastColumn="0" w:oddVBand="0" w:evenVBand="1" w:oddHBand="0" w:evenHBand="0" w:firstRowFirstColumn="0" w:firstRowLastColumn="0" w:lastRowFirstColumn="0" w:lastRowLastColumn="0"/>
            <w:tcW w:w="1162" w:type="dxa"/>
          </w:tcPr>
          <w:p w14:paraId="64BF8600" w14:textId="2586B044" w:rsidR="004E29AF" w:rsidRPr="0067507D" w:rsidRDefault="004522B0" w:rsidP="00E00608">
            <w:pPr>
              <w:pStyle w:val="Tabletextright"/>
            </w:pPr>
            <w:r w:rsidRPr="0067507D">
              <w:t>2</w:t>
            </w:r>
          </w:p>
        </w:tc>
        <w:tc>
          <w:tcPr>
            <w:cnfStyle w:val="000010000000" w:firstRow="0" w:lastRow="0" w:firstColumn="0" w:lastColumn="0" w:oddVBand="1" w:evenVBand="0" w:oddHBand="0" w:evenHBand="0" w:firstRowFirstColumn="0" w:firstRowLastColumn="0" w:lastRowFirstColumn="0" w:lastRowLastColumn="0"/>
            <w:tcW w:w="1037" w:type="dxa"/>
          </w:tcPr>
          <w:p w14:paraId="22848C90" w14:textId="3FAA4E56" w:rsidR="004E29AF" w:rsidRPr="0067507D" w:rsidRDefault="004522B0" w:rsidP="00846F66">
            <w:pPr>
              <w:pStyle w:val="Tabletextright"/>
            </w:pPr>
            <w:r w:rsidRPr="0067507D">
              <w:t>1</w:t>
            </w:r>
          </w:p>
        </w:tc>
      </w:tr>
      <w:tr w:rsidR="00DF6A2B" w:rsidRPr="0067507D" w14:paraId="5504182D" w14:textId="77777777" w:rsidTr="00865775">
        <w:tc>
          <w:tcPr>
            <w:cnfStyle w:val="000010000000" w:firstRow="0" w:lastRow="0" w:firstColumn="0" w:lastColumn="0" w:oddVBand="1" w:evenVBand="0" w:oddHBand="0" w:evenHBand="0" w:firstRowFirstColumn="0" w:firstRowLastColumn="0" w:lastRowFirstColumn="0" w:lastRowLastColumn="0"/>
            <w:tcW w:w="2243" w:type="dxa"/>
          </w:tcPr>
          <w:p w14:paraId="7B5C7716" w14:textId="39892B28" w:rsidR="004E29AF" w:rsidRPr="0067507D" w:rsidRDefault="004E29AF" w:rsidP="00865775">
            <w:pPr>
              <w:pStyle w:val="Tabletext"/>
              <w:jc w:val="left"/>
            </w:pPr>
            <w:r w:rsidRPr="0067507D">
              <w:t xml:space="preserve">Total spend with Victorian social enterprises led by a mission for </w:t>
            </w:r>
            <w:r w:rsidR="1BE505BC" w:rsidRPr="0067507D">
              <w:t>priority</w:t>
            </w:r>
            <w:r w:rsidR="1B4CAFD0" w:rsidRPr="0067507D">
              <w:t xml:space="preserve"> jobseekers</w:t>
            </w:r>
          </w:p>
        </w:tc>
        <w:tc>
          <w:tcPr>
            <w:cnfStyle w:val="000001000000" w:firstRow="0" w:lastRow="0" w:firstColumn="0" w:lastColumn="0" w:oddVBand="0" w:evenVBand="1" w:oddHBand="0" w:evenHBand="0" w:firstRowFirstColumn="0" w:firstRowLastColumn="0" w:lastRowFirstColumn="0" w:lastRowLastColumn="0"/>
            <w:tcW w:w="1162" w:type="dxa"/>
          </w:tcPr>
          <w:p w14:paraId="25519402" w14:textId="53EA7A92" w:rsidR="004E29AF" w:rsidRPr="0067507D" w:rsidRDefault="00B9121E" w:rsidP="00E00608">
            <w:pPr>
              <w:pStyle w:val="Tabletextright"/>
            </w:pPr>
            <w:r w:rsidRPr="0067507D">
              <w:t>–</w:t>
            </w:r>
          </w:p>
        </w:tc>
        <w:tc>
          <w:tcPr>
            <w:cnfStyle w:val="000010000000" w:firstRow="0" w:lastRow="0" w:firstColumn="0" w:lastColumn="0" w:oddVBand="1" w:evenVBand="0" w:oddHBand="0" w:evenHBand="0" w:firstRowFirstColumn="0" w:firstRowLastColumn="0" w:lastRowFirstColumn="0" w:lastRowLastColumn="0"/>
            <w:tcW w:w="1037" w:type="dxa"/>
          </w:tcPr>
          <w:p w14:paraId="45A7E4DF" w14:textId="26EF5EBE" w:rsidR="004E29AF" w:rsidRPr="0067507D" w:rsidRDefault="00B9121E" w:rsidP="00E00608">
            <w:pPr>
              <w:pStyle w:val="Tabletextright"/>
            </w:pPr>
            <w:r w:rsidRPr="0067507D">
              <w:t>–</w:t>
            </w:r>
          </w:p>
        </w:tc>
      </w:tr>
      <w:tr w:rsidR="007118C1" w:rsidRPr="0067507D" w14:paraId="6365B8D9" w14:textId="77777777" w:rsidTr="00E81A92">
        <w:tc>
          <w:tcPr>
            <w:cnfStyle w:val="000010000000" w:firstRow="0" w:lastRow="0" w:firstColumn="0" w:lastColumn="0" w:oddVBand="1" w:evenVBand="0" w:oddHBand="0" w:evenHBand="0" w:firstRowFirstColumn="0" w:firstRowLastColumn="0" w:lastRowFirstColumn="0" w:lastRowLastColumn="0"/>
            <w:tcW w:w="2243" w:type="dxa"/>
          </w:tcPr>
          <w:p w14:paraId="7E1F9C2A" w14:textId="7FB3BD6D" w:rsidR="007118C1" w:rsidRPr="0067507D" w:rsidRDefault="007118C1" w:rsidP="008C2AA8">
            <w:pPr>
              <w:pStyle w:val="Tabletext"/>
              <w:jc w:val="left"/>
            </w:pPr>
            <w:r w:rsidRPr="0067507D">
              <w:t xml:space="preserve">Total spend with Victorian social </w:t>
            </w:r>
            <w:r w:rsidR="008C2AA8" w:rsidRPr="0067507D">
              <w:t>enterprises</w:t>
            </w:r>
          </w:p>
        </w:tc>
        <w:tc>
          <w:tcPr>
            <w:cnfStyle w:val="000001000000" w:firstRow="0" w:lastRow="0" w:firstColumn="0" w:lastColumn="0" w:oddVBand="0" w:evenVBand="1" w:oddHBand="0" w:evenHBand="0" w:firstRowFirstColumn="0" w:firstRowLastColumn="0" w:lastRowFirstColumn="0" w:lastRowLastColumn="0"/>
            <w:tcW w:w="1162" w:type="dxa"/>
          </w:tcPr>
          <w:p w14:paraId="1DB6F73D" w14:textId="1DE1A806" w:rsidR="007118C1" w:rsidRPr="0067507D" w:rsidRDefault="008070A3" w:rsidP="00E00608">
            <w:pPr>
              <w:pStyle w:val="Tabletextright"/>
            </w:pPr>
            <w:r w:rsidRPr="0067507D">
              <w:t>38</w:t>
            </w:r>
          </w:p>
        </w:tc>
        <w:tc>
          <w:tcPr>
            <w:cnfStyle w:val="000010000000" w:firstRow="0" w:lastRow="0" w:firstColumn="0" w:lastColumn="0" w:oddVBand="1" w:evenVBand="0" w:oddHBand="0" w:evenHBand="0" w:firstRowFirstColumn="0" w:firstRowLastColumn="0" w:lastRowFirstColumn="0" w:lastRowLastColumn="0"/>
            <w:tcW w:w="1037" w:type="dxa"/>
          </w:tcPr>
          <w:p w14:paraId="0F379BEE" w14:textId="41BA7A74" w:rsidR="007118C1" w:rsidRPr="0067507D" w:rsidRDefault="007F24F5" w:rsidP="00E00608">
            <w:pPr>
              <w:pStyle w:val="Tabletextright"/>
            </w:pPr>
            <w:r w:rsidRPr="0067507D">
              <w:t>7</w:t>
            </w:r>
          </w:p>
        </w:tc>
      </w:tr>
      <w:tr w:rsidR="00DF6A2B" w:rsidRPr="0067507D" w14:paraId="6B44BC5A" w14:textId="77777777" w:rsidTr="00865775">
        <w:tc>
          <w:tcPr>
            <w:cnfStyle w:val="000010000000" w:firstRow="0" w:lastRow="0" w:firstColumn="0" w:lastColumn="0" w:oddVBand="1" w:evenVBand="0" w:oddHBand="0" w:evenHBand="0" w:firstRowFirstColumn="0" w:firstRowLastColumn="0" w:lastRowFirstColumn="0" w:lastRowLastColumn="0"/>
            <w:tcW w:w="2243" w:type="dxa"/>
          </w:tcPr>
          <w:p w14:paraId="19205609" w14:textId="77777777" w:rsidR="004E29AF" w:rsidRPr="0067507D" w:rsidRDefault="004E29AF" w:rsidP="00865775">
            <w:pPr>
              <w:pStyle w:val="Tabletextbold"/>
              <w:jc w:val="left"/>
            </w:pPr>
            <w:r w:rsidRPr="0067507D">
              <w:t xml:space="preserve">Total spend with social enterprises </w:t>
            </w:r>
          </w:p>
        </w:tc>
        <w:tc>
          <w:tcPr>
            <w:cnfStyle w:val="000001000000" w:firstRow="0" w:lastRow="0" w:firstColumn="0" w:lastColumn="0" w:oddVBand="0" w:evenVBand="1" w:oddHBand="0" w:evenHBand="0" w:firstRowFirstColumn="0" w:firstRowLastColumn="0" w:lastRowFirstColumn="0" w:lastRowLastColumn="0"/>
            <w:tcW w:w="1162" w:type="dxa"/>
          </w:tcPr>
          <w:p w14:paraId="08914907" w14:textId="27A50165" w:rsidR="004E29AF" w:rsidRPr="0067507D" w:rsidRDefault="007F24F5" w:rsidP="00E00608">
            <w:pPr>
              <w:pStyle w:val="Tabletextrightbold"/>
            </w:pPr>
            <w:r w:rsidRPr="0067507D">
              <w:t>154</w:t>
            </w:r>
          </w:p>
        </w:tc>
        <w:tc>
          <w:tcPr>
            <w:cnfStyle w:val="000010000000" w:firstRow="0" w:lastRow="0" w:firstColumn="0" w:lastColumn="0" w:oddVBand="1" w:evenVBand="0" w:oddHBand="0" w:evenHBand="0" w:firstRowFirstColumn="0" w:firstRowLastColumn="0" w:lastRowFirstColumn="0" w:lastRowLastColumn="0"/>
            <w:tcW w:w="1037" w:type="dxa"/>
          </w:tcPr>
          <w:p w14:paraId="48AB3608" w14:textId="6E1AF9CE" w:rsidR="004E29AF" w:rsidRPr="0067507D" w:rsidRDefault="00FA70E7" w:rsidP="00E00608">
            <w:pPr>
              <w:pStyle w:val="Tabletextrightbold"/>
            </w:pPr>
            <w:r w:rsidRPr="0067507D">
              <w:t>1</w:t>
            </w:r>
            <w:r w:rsidR="007F24F5" w:rsidRPr="0067507D">
              <w:t>2</w:t>
            </w:r>
          </w:p>
        </w:tc>
      </w:tr>
    </w:tbl>
    <w:p w14:paraId="69C73AE9" w14:textId="77777777" w:rsidR="0078032A" w:rsidRPr="0067507D" w:rsidRDefault="0078032A" w:rsidP="0078032A">
      <w:pPr>
        <w:pStyle w:val="Spacer"/>
      </w:pPr>
    </w:p>
    <w:p w14:paraId="0FE085E8" w14:textId="70EBE546" w:rsidR="004A2482" w:rsidRPr="0067507D" w:rsidRDefault="2B078B91" w:rsidP="00493364">
      <w:r w:rsidRPr="0067507D">
        <w:t xml:space="preserve">During </w:t>
      </w:r>
      <w:r w:rsidR="004A2482" w:rsidRPr="0067507D">
        <w:fldChar w:fldCharType="begin"/>
      </w:r>
      <w:r w:rsidR="004A2482" w:rsidRPr="0067507D">
        <w:instrText>DOCPROPERTY  FinYearCurrent  \* MERGEFORMAT</w:instrText>
      </w:r>
      <w:r w:rsidR="004A2482" w:rsidRPr="0067507D">
        <w:fldChar w:fldCharType="end"/>
      </w:r>
      <w:r w:rsidRPr="0067507D">
        <w:t>2024</w:t>
      </w:r>
      <w:r w:rsidR="006A5485">
        <w:noBreakHyphen/>
      </w:r>
      <w:r w:rsidRPr="0067507D">
        <w:t>25, the Department:</w:t>
      </w:r>
    </w:p>
    <w:p w14:paraId="6BB75087" w14:textId="1B42BF2B" w:rsidR="004A2482" w:rsidRPr="0067507D" w:rsidRDefault="2B078B91" w:rsidP="1EC1495C">
      <w:pPr>
        <w:pStyle w:val="Bullet"/>
      </w:pPr>
      <w:r w:rsidRPr="0067507D">
        <w:t>engaged 12 social benefit suppliers with a total spend of $154 075 with certified social enterprises, Aboriginal businesses and disability enterprises</w:t>
      </w:r>
    </w:p>
    <w:p w14:paraId="0A5ACE6E" w14:textId="6AAC96C8" w:rsidR="004A2482" w:rsidRPr="0067507D" w:rsidRDefault="2B078B91" w:rsidP="1EC1495C">
      <w:pPr>
        <w:pStyle w:val="Bullet"/>
      </w:pPr>
      <w:r w:rsidRPr="0067507D">
        <w:t xml:space="preserve">engaged 56 Victorian Aboriginal businesses with a total spend of $115 </w:t>
      </w:r>
      <w:r w:rsidRPr="0067507D">
        <w:rPr>
          <w:rFonts w:cs="Calibri"/>
        </w:rPr>
        <w:t>770</w:t>
      </w:r>
    </w:p>
    <w:p w14:paraId="3BE542B4" w14:textId="50093BB7" w:rsidR="004A2482" w:rsidRPr="0067507D" w:rsidRDefault="2B078B91" w:rsidP="1EC1495C">
      <w:pPr>
        <w:pStyle w:val="Bullet"/>
      </w:pPr>
      <w:r w:rsidRPr="0067507D">
        <w:t xml:space="preserve">engaged </w:t>
      </w:r>
      <w:r w:rsidR="00062CBE">
        <w:t>seven</w:t>
      </w:r>
      <w:r w:rsidRPr="0067507D">
        <w:t xml:space="preserve"> Victorian social enterprises with a total spend of $38 306</w:t>
      </w:r>
    </w:p>
    <w:p w14:paraId="709B7829" w14:textId="5DD0DCAB" w:rsidR="004A2482" w:rsidRPr="0067507D" w:rsidRDefault="2B078B91" w:rsidP="1EC1495C">
      <w:pPr>
        <w:pStyle w:val="Bullet"/>
      </w:pPr>
      <w:r w:rsidRPr="0067507D">
        <w:t xml:space="preserve">established </w:t>
      </w:r>
      <w:r w:rsidR="00062CBE">
        <w:t>seven</w:t>
      </w:r>
      <w:r w:rsidRPr="0067507D">
        <w:t xml:space="preserve"> contracts with Victorian Government suppliers that include social procurement commitments.</w:t>
      </w:r>
    </w:p>
    <w:p w14:paraId="3CB83B3C" w14:textId="77777777" w:rsidR="00865775" w:rsidRPr="0067507D" w:rsidRDefault="00865775" w:rsidP="00493364"/>
    <w:p w14:paraId="1F50070C" w14:textId="68AE0778" w:rsidR="004E29AF" w:rsidRPr="0067507D" w:rsidRDefault="004E29AF" w:rsidP="005753BE">
      <w:pPr>
        <w:pStyle w:val="Heading1b"/>
        <w:spacing w:before="0"/>
        <w:rPr>
          <w:highlight w:val="yellow"/>
        </w:rPr>
      </w:pPr>
      <w:bookmarkStart w:id="238" w:name="_Toc210221145"/>
      <w:bookmarkStart w:id="239" w:name="_Hlk83026715"/>
      <w:bookmarkEnd w:id="237"/>
      <w:r w:rsidRPr="0067507D">
        <w:t>Disclosure of government advertising expenditure</w:t>
      </w:r>
      <w:bookmarkStart w:id="240" w:name="GovernmentAdvertising"/>
      <w:bookmarkEnd w:id="238"/>
      <w:bookmarkEnd w:id="240"/>
    </w:p>
    <w:p w14:paraId="5C2B20B6" w14:textId="1BF089B0" w:rsidR="004E29AF" w:rsidRPr="0067507D" w:rsidRDefault="004E29AF" w:rsidP="004E29AF">
      <w:r w:rsidRPr="0067507D">
        <w:t xml:space="preserve">In </w:t>
      </w:r>
      <w:r w:rsidR="00C30F42" w:rsidRPr="0067507D">
        <w:t>2024</w:t>
      </w:r>
      <w:r w:rsidR="006A5485">
        <w:noBreakHyphen/>
      </w:r>
      <w:r w:rsidR="00C30F42" w:rsidRPr="0067507D">
        <w:t>25</w:t>
      </w:r>
      <w:r w:rsidRPr="0067507D">
        <w:t xml:space="preserve">, there </w:t>
      </w:r>
      <w:r w:rsidR="00C906DF" w:rsidRPr="0067507D">
        <w:t xml:space="preserve">were </w:t>
      </w:r>
      <w:r w:rsidR="00A11E5F" w:rsidRPr="0067507D">
        <w:t>no</w:t>
      </w:r>
      <w:r w:rsidRPr="0067507D">
        <w:t xml:space="preserve"> government advertising campaign</w:t>
      </w:r>
      <w:r w:rsidR="00C906DF" w:rsidRPr="0067507D">
        <w:t>s</w:t>
      </w:r>
      <w:r w:rsidRPr="0067507D">
        <w:t xml:space="preserve"> with </w:t>
      </w:r>
      <w:r w:rsidR="00CB255E" w:rsidRPr="0067507D">
        <w:t xml:space="preserve">a </w:t>
      </w:r>
      <w:r w:rsidRPr="0067507D">
        <w:t>total media spend of $100</w:t>
      </w:r>
      <w:r w:rsidR="00D60F94" w:rsidRPr="0067507D">
        <w:rPr>
          <w:rFonts w:ascii="Calibri" w:hAnsi="Calibri" w:cs="Calibri"/>
        </w:rPr>
        <w:t> </w:t>
      </w:r>
      <w:r w:rsidRPr="0067507D">
        <w:t xml:space="preserve">000 or greater (exclusive of GST). </w:t>
      </w:r>
    </w:p>
    <w:p w14:paraId="7291DACF" w14:textId="77777777" w:rsidR="004E29AF" w:rsidRPr="0067507D" w:rsidRDefault="004E29AF" w:rsidP="004E29AF">
      <w:pPr>
        <w:rPr>
          <w:rFonts w:cs="Tahoma"/>
          <w:color w:val="232B39"/>
          <w:szCs w:val="17"/>
          <w:shd w:val="clear" w:color="auto" w:fill="FFFFFF"/>
        </w:rPr>
      </w:pPr>
    </w:p>
    <w:p w14:paraId="18D73F34" w14:textId="77777777" w:rsidR="00816325" w:rsidRPr="0067507D" w:rsidRDefault="00816325" w:rsidP="002766E1">
      <w:pPr>
        <w:pStyle w:val="Heading1b"/>
        <w:rPr>
          <w:shd w:val="clear" w:color="auto" w:fill="FFFFFF"/>
        </w:rPr>
        <w:sectPr w:rsidR="00816325" w:rsidRPr="0067507D" w:rsidSect="00865775">
          <w:type w:val="continuous"/>
          <w:pgSz w:w="11909" w:h="16834" w:code="9"/>
          <w:pgMar w:top="1728" w:right="1152" w:bottom="1267" w:left="1152" w:header="720" w:footer="288" w:gutter="0"/>
          <w:cols w:num="2" w:space="720"/>
          <w:noEndnote/>
        </w:sectPr>
      </w:pPr>
    </w:p>
    <w:p w14:paraId="34E53E38" w14:textId="393A0667" w:rsidR="00C44155" w:rsidRPr="0067507D" w:rsidRDefault="00C44155" w:rsidP="00826666">
      <w:pPr>
        <w:pStyle w:val="Heading1b"/>
        <w:rPr>
          <w:shd w:val="clear" w:color="auto" w:fill="FFFFFF"/>
        </w:rPr>
      </w:pPr>
      <w:bookmarkStart w:id="241" w:name="_Toc210221146"/>
      <w:r w:rsidRPr="0067507D">
        <w:lastRenderedPageBreak/>
        <w:t>Consultancy</w:t>
      </w:r>
      <w:r w:rsidRPr="0067507D">
        <w:rPr>
          <w:shd w:val="clear" w:color="auto" w:fill="FFFFFF"/>
        </w:rPr>
        <w:t xml:space="preserve"> expenditure</w:t>
      </w:r>
      <w:bookmarkEnd w:id="241"/>
    </w:p>
    <w:p w14:paraId="5990BC17" w14:textId="77777777" w:rsidR="00C44155" w:rsidRPr="0067507D" w:rsidRDefault="00C44155" w:rsidP="004E29AF">
      <w:pPr>
        <w:pStyle w:val="Heading2"/>
      </w:pPr>
      <w:bookmarkStart w:id="242" w:name="_Ref492630865"/>
      <w:bookmarkStart w:id="243" w:name="ConsultanciesOver"/>
      <w:r w:rsidRPr="0067507D">
        <w:t>Details of consultancies (valued at $10</w:t>
      </w:r>
      <w:r w:rsidRPr="0067507D">
        <w:rPr>
          <w:rFonts w:ascii="Calibri" w:hAnsi="Calibri" w:cs="Calibri"/>
        </w:rPr>
        <w:t> </w:t>
      </w:r>
      <w:r w:rsidRPr="0067507D">
        <w:t>000 or greater)</w:t>
      </w:r>
      <w:bookmarkEnd w:id="242"/>
      <w:bookmarkEnd w:id="243"/>
    </w:p>
    <w:p w14:paraId="208C9EB7" w14:textId="4BABA600" w:rsidR="00C44155" w:rsidRPr="0067507D" w:rsidRDefault="00C44155" w:rsidP="004E29AF">
      <w:r w:rsidRPr="0067507D">
        <w:t>In 2024</w:t>
      </w:r>
      <w:r w:rsidR="00617EFC">
        <w:noBreakHyphen/>
      </w:r>
      <w:r w:rsidRPr="0067507D">
        <w:t xml:space="preserve">25 there were </w:t>
      </w:r>
      <w:r w:rsidR="0086347A" w:rsidRPr="0067507D">
        <w:t>6</w:t>
      </w:r>
      <w:r w:rsidR="007C49CA" w:rsidRPr="0067507D">
        <w:t>2</w:t>
      </w:r>
      <w:r w:rsidRPr="0067507D">
        <w:t xml:space="preserve"> consultancies engaged with a total approved value at $10</w:t>
      </w:r>
      <w:r w:rsidRPr="0067507D">
        <w:rPr>
          <w:rFonts w:ascii="Calibri" w:hAnsi="Calibri" w:cs="Calibri"/>
        </w:rPr>
        <w:t> </w:t>
      </w:r>
      <w:r w:rsidRPr="0067507D">
        <w:t>000 or greater. The total expenditure incurred during 2024</w:t>
      </w:r>
      <w:r w:rsidR="00617EFC">
        <w:noBreakHyphen/>
      </w:r>
      <w:r w:rsidRPr="0067507D">
        <w:t>25 in relation to these consultancies was $</w:t>
      </w:r>
      <w:r w:rsidR="0000458F" w:rsidRPr="0067507D">
        <w:t>1</w:t>
      </w:r>
      <w:r w:rsidR="003718EC" w:rsidRPr="0067507D">
        <w:t>1</w:t>
      </w:r>
      <w:r w:rsidRPr="0067507D">
        <w:t>.</w:t>
      </w:r>
      <w:r w:rsidR="005E161E" w:rsidRPr="0067507D">
        <w:t>42</w:t>
      </w:r>
      <w:r w:rsidRPr="0067507D">
        <w:rPr>
          <w:rFonts w:ascii="Calibri" w:hAnsi="Calibri" w:cs="Calibri"/>
        </w:rPr>
        <w:t> </w:t>
      </w:r>
      <w:r w:rsidRPr="0067507D">
        <w:t>million (excluding GST). Details of consultancies are listed below.</w:t>
      </w:r>
    </w:p>
    <w:p w14:paraId="4DB19C96" w14:textId="77777777" w:rsidR="00C44155" w:rsidRPr="0067507D" w:rsidRDefault="00C44155" w:rsidP="004E29AF">
      <w:pPr>
        <w:sectPr w:rsidR="00C44155" w:rsidRPr="0067507D" w:rsidSect="00C44155">
          <w:headerReference w:type="even" r:id="rId214"/>
          <w:headerReference w:type="default" r:id="rId215"/>
          <w:footerReference w:type="even" r:id="rId216"/>
          <w:footerReference w:type="default" r:id="rId217"/>
          <w:headerReference w:type="first" r:id="rId218"/>
          <w:footerReference w:type="first" r:id="rId219"/>
          <w:type w:val="continuous"/>
          <w:pgSz w:w="11909" w:h="16834" w:code="9"/>
          <w:pgMar w:top="1728" w:right="1152" w:bottom="1267" w:left="1152" w:header="720" w:footer="288" w:gutter="0"/>
          <w:cols w:num="2" w:space="720"/>
          <w:noEndnote/>
        </w:sectPr>
      </w:pPr>
    </w:p>
    <w:tbl>
      <w:tblPr>
        <w:tblStyle w:val="AnnualReporttexttable"/>
        <w:tblW w:w="0" w:type="auto"/>
        <w:tblLayout w:type="fixed"/>
        <w:tblLook w:val="02A0" w:firstRow="1" w:lastRow="0" w:firstColumn="1" w:lastColumn="0" w:noHBand="1" w:noVBand="0"/>
      </w:tblPr>
      <w:tblGrid>
        <w:gridCol w:w="2520"/>
        <w:gridCol w:w="2880"/>
        <w:gridCol w:w="1530"/>
        <w:gridCol w:w="1320"/>
        <w:gridCol w:w="1320"/>
      </w:tblGrid>
      <w:tr w:rsidR="00C44155" w:rsidRPr="0067507D" w14:paraId="05C3DBD2" w14:textId="77777777" w:rsidTr="702E54E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520" w:type="dxa"/>
            <w:shd w:val="clear" w:color="auto" w:fill="auto"/>
            <w:vAlign w:val="bottom"/>
            <w:hideMark/>
          </w:tcPr>
          <w:p w14:paraId="31D0F29F" w14:textId="77777777" w:rsidR="00C44155" w:rsidRPr="00617EFC" w:rsidRDefault="00C44155" w:rsidP="00394E38">
            <w:pPr>
              <w:pStyle w:val="Tableheader"/>
              <w:jc w:val="left"/>
              <w:rPr>
                <w:rFonts w:asciiTheme="majorHAnsi" w:hAnsiTheme="majorHAnsi"/>
                <w:b w:val="0"/>
                <w:bCs/>
                <w:sz w:val="17"/>
              </w:rPr>
            </w:pPr>
            <w:r w:rsidRPr="00617EFC">
              <w:rPr>
                <w:rFonts w:asciiTheme="majorHAnsi" w:hAnsiTheme="majorHAnsi"/>
                <w:b w:val="0"/>
                <w:bCs/>
                <w:sz w:val="17"/>
              </w:rPr>
              <w:t>Consultant engaged</w:t>
            </w:r>
          </w:p>
        </w:tc>
        <w:tc>
          <w:tcPr>
            <w:cnfStyle w:val="000010000000" w:firstRow="0" w:lastRow="0" w:firstColumn="0" w:lastColumn="0" w:oddVBand="1" w:evenVBand="0" w:oddHBand="0" w:evenHBand="0" w:firstRowFirstColumn="0" w:firstRowLastColumn="0" w:lastRowFirstColumn="0" w:lastRowLastColumn="0"/>
            <w:tcW w:w="2880" w:type="dxa"/>
            <w:shd w:val="clear" w:color="auto" w:fill="auto"/>
            <w:vAlign w:val="bottom"/>
            <w:hideMark/>
          </w:tcPr>
          <w:p w14:paraId="37F88638" w14:textId="77777777" w:rsidR="00C44155" w:rsidRPr="00617EFC" w:rsidRDefault="00C44155" w:rsidP="00394E38">
            <w:pPr>
              <w:pStyle w:val="Tableheader"/>
              <w:jc w:val="left"/>
              <w:rPr>
                <w:rFonts w:asciiTheme="majorHAnsi" w:hAnsiTheme="majorHAnsi"/>
                <w:b w:val="0"/>
                <w:bCs/>
                <w:sz w:val="17"/>
              </w:rPr>
            </w:pPr>
            <w:r w:rsidRPr="00617EFC">
              <w:rPr>
                <w:rFonts w:asciiTheme="majorHAnsi" w:hAnsiTheme="majorHAnsi"/>
                <w:b w:val="0"/>
                <w:bCs/>
                <w:sz w:val="17"/>
              </w:rPr>
              <w:t>Purpose of consultancy</w:t>
            </w:r>
          </w:p>
        </w:tc>
        <w:tc>
          <w:tcPr>
            <w:cnfStyle w:val="000001000000" w:firstRow="0" w:lastRow="0" w:firstColumn="0" w:lastColumn="0" w:oddVBand="0" w:evenVBand="1" w:oddHBand="0" w:evenHBand="0" w:firstRowFirstColumn="0" w:firstRowLastColumn="0" w:lastRowFirstColumn="0" w:lastRowLastColumn="0"/>
            <w:tcW w:w="1530" w:type="dxa"/>
            <w:shd w:val="clear" w:color="auto" w:fill="auto"/>
            <w:vAlign w:val="bottom"/>
            <w:hideMark/>
          </w:tcPr>
          <w:p w14:paraId="5441DE9F" w14:textId="77777777" w:rsidR="00C44155" w:rsidRPr="00617EFC" w:rsidRDefault="00C44155" w:rsidP="00394E38">
            <w:pPr>
              <w:pStyle w:val="Tableheader"/>
              <w:rPr>
                <w:rFonts w:asciiTheme="majorHAnsi" w:hAnsiTheme="majorHAnsi"/>
                <w:b w:val="0"/>
                <w:bCs/>
                <w:sz w:val="17"/>
              </w:rPr>
            </w:pPr>
            <w:r w:rsidRPr="00617EFC">
              <w:rPr>
                <w:rFonts w:asciiTheme="majorHAnsi" w:hAnsiTheme="majorHAnsi"/>
                <w:b w:val="0"/>
                <w:bCs/>
                <w:sz w:val="17"/>
              </w:rPr>
              <w:t xml:space="preserve">Total approved project fee </w:t>
            </w:r>
            <w:r w:rsidRPr="00617EFC">
              <w:rPr>
                <w:rFonts w:asciiTheme="majorHAnsi" w:hAnsiTheme="majorHAnsi"/>
                <w:b w:val="0"/>
                <w:bCs/>
                <w:sz w:val="17"/>
              </w:rPr>
              <w:br/>
              <w:t>(excl. GST)</w:t>
            </w:r>
            <w:r w:rsidRPr="00617EFC">
              <w:rPr>
                <w:rFonts w:asciiTheme="majorHAnsi" w:hAnsiTheme="majorHAnsi"/>
                <w:b w:val="0"/>
                <w:bCs/>
                <w:sz w:val="17"/>
              </w:rPr>
              <w:br/>
              <w:t>($)</w:t>
            </w:r>
          </w:p>
        </w:tc>
        <w:tc>
          <w:tcPr>
            <w:cnfStyle w:val="000010000000" w:firstRow="0" w:lastRow="0" w:firstColumn="0" w:lastColumn="0" w:oddVBand="1" w:evenVBand="0" w:oddHBand="0" w:evenHBand="0" w:firstRowFirstColumn="0" w:firstRowLastColumn="0" w:lastRowFirstColumn="0" w:lastRowLastColumn="0"/>
            <w:tcW w:w="1320" w:type="dxa"/>
            <w:shd w:val="clear" w:color="auto" w:fill="auto"/>
            <w:vAlign w:val="bottom"/>
            <w:hideMark/>
          </w:tcPr>
          <w:p w14:paraId="7E065027" w14:textId="6A8BF207" w:rsidR="00C44155" w:rsidRPr="00617EFC" w:rsidRDefault="00C44155" w:rsidP="00394E38">
            <w:pPr>
              <w:pStyle w:val="Tableheader"/>
              <w:rPr>
                <w:rFonts w:asciiTheme="majorHAnsi" w:hAnsiTheme="majorHAnsi"/>
                <w:b w:val="0"/>
                <w:bCs/>
                <w:sz w:val="17"/>
              </w:rPr>
            </w:pPr>
            <w:r w:rsidRPr="00617EFC">
              <w:rPr>
                <w:rFonts w:asciiTheme="majorHAnsi" w:hAnsiTheme="majorHAnsi"/>
                <w:b w:val="0"/>
                <w:bCs/>
                <w:sz w:val="17"/>
              </w:rPr>
              <w:t xml:space="preserve">Expenditure </w:t>
            </w:r>
            <w:r w:rsidRPr="00617EFC">
              <w:rPr>
                <w:rFonts w:asciiTheme="majorHAnsi" w:hAnsiTheme="majorHAnsi"/>
                <w:b w:val="0"/>
                <w:bCs/>
                <w:sz w:val="17"/>
              </w:rPr>
              <w:br/>
              <w:t>2024</w:t>
            </w:r>
            <w:r w:rsidR="009164CC">
              <w:rPr>
                <w:rFonts w:asciiTheme="majorHAnsi" w:hAnsiTheme="majorHAnsi"/>
                <w:b w:val="0"/>
                <w:bCs/>
                <w:sz w:val="17"/>
              </w:rPr>
              <w:noBreakHyphen/>
            </w:r>
            <w:r w:rsidRPr="00617EFC">
              <w:rPr>
                <w:rFonts w:asciiTheme="majorHAnsi" w:hAnsiTheme="majorHAnsi"/>
                <w:b w:val="0"/>
                <w:bCs/>
                <w:sz w:val="17"/>
              </w:rPr>
              <w:t>25</w:t>
            </w:r>
            <w:r w:rsidRPr="00617EFC">
              <w:rPr>
                <w:rFonts w:asciiTheme="majorHAnsi" w:hAnsiTheme="majorHAnsi"/>
                <w:b w:val="0"/>
                <w:bCs/>
                <w:sz w:val="17"/>
              </w:rPr>
              <w:br/>
              <w:t xml:space="preserve">(excl. GST) </w:t>
            </w:r>
            <w:r w:rsidRPr="00617EFC">
              <w:rPr>
                <w:rFonts w:asciiTheme="majorHAnsi" w:hAnsiTheme="majorHAnsi"/>
                <w:b w:val="0"/>
                <w:bCs/>
                <w:sz w:val="17"/>
              </w:rPr>
              <w:br/>
              <w:t>($)</w:t>
            </w:r>
          </w:p>
        </w:tc>
        <w:tc>
          <w:tcPr>
            <w:cnfStyle w:val="000001000000" w:firstRow="0" w:lastRow="0" w:firstColumn="0" w:lastColumn="0" w:oddVBand="0" w:evenVBand="1" w:oddHBand="0" w:evenHBand="0" w:firstRowFirstColumn="0" w:firstRowLastColumn="0" w:lastRowFirstColumn="0" w:lastRowLastColumn="0"/>
            <w:tcW w:w="1320" w:type="dxa"/>
            <w:shd w:val="clear" w:color="auto" w:fill="auto"/>
            <w:vAlign w:val="bottom"/>
            <w:hideMark/>
          </w:tcPr>
          <w:p w14:paraId="533DD291" w14:textId="77777777" w:rsidR="00C44155" w:rsidRPr="00617EFC" w:rsidRDefault="00C44155" w:rsidP="00394E38">
            <w:pPr>
              <w:pStyle w:val="Tableheader"/>
              <w:rPr>
                <w:rFonts w:asciiTheme="majorHAnsi" w:hAnsiTheme="majorHAnsi"/>
                <w:b w:val="0"/>
                <w:bCs/>
                <w:sz w:val="17"/>
              </w:rPr>
            </w:pPr>
            <w:r w:rsidRPr="00617EFC">
              <w:rPr>
                <w:rFonts w:asciiTheme="majorHAnsi" w:hAnsiTheme="majorHAnsi"/>
                <w:b w:val="0"/>
                <w:bCs/>
                <w:sz w:val="17"/>
              </w:rPr>
              <w:t xml:space="preserve">Future </w:t>
            </w:r>
            <w:r w:rsidRPr="00617EFC">
              <w:rPr>
                <w:rFonts w:asciiTheme="majorHAnsi" w:hAnsiTheme="majorHAnsi"/>
                <w:b w:val="0"/>
                <w:bCs/>
                <w:sz w:val="17"/>
              </w:rPr>
              <w:br/>
              <w:t>expenditure</w:t>
            </w:r>
            <w:r w:rsidRPr="00617EFC">
              <w:rPr>
                <w:rFonts w:asciiTheme="majorHAnsi" w:hAnsiTheme="majorHAnsi"/>
                <w:b w:val="0"/>
                <w:bCs/>
                <w:sz w:val="17"/>
              </w:rPr>
              <w:br/>
              <w:t xml:space="preserve">(excl. GST) </w:t>
            </w:r>
            <w:r w:rsidRPr="00617EFC">
              <w:rPr>
                <w:rFonts w:asciiTheme="majorHAnsi" w:hAnsiTheme="majorHAnsi"/>
                <w:b w:val="0"/>
                <w:bCs/>
                <w:sz w:val="17"/>
              </w:rPr>
              <w:br/>
              <w:t>($)</w:t>
            </w:r>
          </w:p>
        </w:tc>
      </w:tr>
      <w:tr w:rsidR="00C44155" w:rsidRPr="0067507D" w14:paraId="5C67FD93"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45D4C448" w14:textId="77777777" w:rsidR="00C44155" w:rsidRPr="0067507D" w:rsidRDefault="00C44155" w:rsidP="00984851">
            <w:pPr>
              <w:pStyle w:val="Tabletext"/>
            </w:pPr>
            <w:r w:rsidRPr="0067507D">
              <w:t>Ad Astra Corporate Advisory</w:t>
            </w:r>
          </w:p>
        </w:tc>
        <w:tc>
          <w:tcPr>
            <w:cnfStyle w:val="000010000000" w:firstRow="0" w:lastRow="0" w:firstColumn="0" w:lastColumn="0" w:oddVBand="1" w:evenVBand="0" w:oddHBand="0" w:evenHBand="0" w:firstRowFirstColumn="0" w:firstRowLastColumn="0" w:lastRowFirstColumn="0" w:lastRowLastColumn="0"/>
            <w:tcW w:w="2880" w:type="dxa"/>
            <w:noWrap/>
          </w:tcPr>
          <w:p w14:paraId="0E7AD274" w14:textId="77777777" w:rsidR="00C44155" w:rsidRPr="0067507D" w:rsidRDefault="00C44155" w:rsidP="00984851">
            <w:pPr>
              <w:pStyle w:val="Tabletext"/>
            </w:pPr>
            <w:r w:rsidRPr="0067507D">
              <w:t>Commercial and transaction advice</w:t>
            </w:r>
          </w:p>
        </w:tc>
        <w:tc>
          <w:tcPr>
            <w:cnfStyle w:val="000001000000" w:firstRow="0" w:lastRow="0" w:firstColumn="0" w:lastColumn="0" w:oddVBand="0" w:evenVBand="1" w:oddHBand="0" w:evenHBand="0" w:firstRowFirstColumn="0" w:firstRowLastColumn="0" w:lastRowFirstColumn="0" w:lastRowLastColumn="0"/>
            <w:tcW w:w="1530" w:type="dxa"/>
            <w:noWrap/>
          </w:tcPr>
          <w:p w14:paraId="18E86CE2" w14:textId="77777777" w:rsidR="00C44155" w:rsidRPr="0067507D" w:rsidRDefault="00C44155" w:rsidP="00984851">
            <w:pPr>
              <w:pStyle w:val="Tabletextright"/>
            </w:pPr>
            <w:r w:rsidRPr="0067507D">
              <w:t>2 027 273</w:t>
            </w:r>
          </w:p>
        </w:tc>
        <w:tc>
          <w:tcPr>
            <w:cnfStyle w:val="000010000000" w:firstRow="0" w:lastRow="0" w:firstColumn="0" w:lastColumn="0" w:oddVBand="1" w:evenVBand="0" w:oddHBand="0" w:evenHBand="0" w:firstRowFirstColumn="0" w:firstRowLastColumn="0" w:lastRowFirstColumn="0" w:lastRowLastColumn="0"/>
            <w:tcW w:w="1320" w:type="dxa"/>
            <w:noWrap/>
          </w:tcPr>
          <w:p w14:paraId="27A5CB2E" w14:textId="77777777" w:rsidR="00C44155" w:rsidRPr="0067507D" w:rsidRDefault="00C44155" w:rsidP="00984851">
            <w:pPr>
              <w:pStyle w:val="Tabletextright"/>
            </w:pPr>
            <w:r w:rsidRPr="0067507D">
              <w:t>319 123</w:t>
            </w:r>
          </w:p>
        </w:tc>
        <w:tc>
          <w:tcPr>
            <w:cnfStyle w:val="000001000000" w:firstRow="0" w:lastRow="0" w:firstColumn="0" w:lastColumn="0" w:oddVBand="0" w:evenVBand="1" w:oddHBand="0" w:evenHBand="0" w:firstRowFirstColumn="0" w:firstRowLastColumn="0" w:lastRowFirstColumn="0" w:lastRowLastColumn="0"/>
            <w:tcW w:w="1320" w:type="dxa"/>
            <w:noWrap/>
          </w:tcPr>
          <w:p w14:paraId="1E707C94" w14:textId="62EDF4A7" w:rsidR="00C44155" w:rsidRPr="0067507D" w:rsidRDefault="00B37818" w:rsidP="00984851">
            <w:pPr>
              <w:pStyle w:val="Tabletextright"/>
            </w:pPr>
            <w:r w:rsidRPr="0067507D">
              <w:t>–</w:t>
            </w:r>
          </w:p>
        </w:tc>
      </w:tr>
      <w:tr w:rsidR="00C44155" w:rsidRPr="0067507D" w14:paraId="1B9D34F9"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1C77D901" w14:textId="77777777" w:rsidR="00C44155" w:rsidRPr="0067507D" w:rsidRDefault="00C44155" w:rsidP="00984851">
            <w:pPr>
              <w:pStyle w:val="Tabletext"/>
            </w:pPr>
            <w:r w:rsidRPr="0067507D">
              <w:t>Anne Dalton &amp; Associates</w:t>
            </w:r>
          </w:p>
        </w:tc>
        <w:tc>
          <w:tcPr>
            <w:cnfStyle w:val="000010000000" w:firstRow="0" w:lastRow="0" w:firstColumn="0" w:lastColumn="0" w:oddVBand="1" w:evenVBand="0" w:oddHBand="0" w:evenHBand="0" w:firstRowFirstColumn="0" w:firstRowLastColumn="0" w:lastRowFirstColumn="0" w:lastRowLastColumn="0"/>
            <w:tcW w:w="2880" w:type="dxa"/>
            <w:noWrap/>
          </w:tcPr>
          <w:p w14:paraId="3CCCC4B8" w14:textId="77777777" w:rsidR="00C44155" w:rsidRPr="0067507D" w:rsidRDefault="00C44155" w:rsidP="00984851">
            <w:pPr>
              <w:pStyle w:val="Tabletext"/>
            </w:pPr>
            <w:r w:rsidRPr="0067507D">
              <w:t>Probity adviser to support Build and Operate Program (BOP) Round 2</w:t>
            </w:r>
          </w:p>
        </w:tc>
        <w:tc>
          <w:tcPr>
            <w:cnfStyle w:val="000001000000" w:firstRow="0" w:lastRow="0" w:firstColumn="0" w:lastColumn="0" w:oddVBand="0" w:evenVBand="1" w:oddHBand="0" w:evenHBand="0" w:firstRowFirstColumn="0" w:firstRowLastColumn="0" w:lastRowFirstColumn="0" w:lastRowLastColumn="0"/>
            <w:tcW w:w="1530" w:type="dxa"/>
            <w:noWrap/>
          </w:tcPr>
          <w:p w14:paraId="16A39A04" w14:textId="77777777" w:rsidR="00C44155" w:rsidRPr="0067507D" w:rsidRDefault="00C44155" w:rsidP="00984851">
            <w:pPr>
              <w:pStyle w:val="Tabletextright"/>
            </w:pPr>
            <w:r w:rsidRPr="0067507D">
              <w:t>63 636</w:t>
            </w:r>
          </w:p>
        </w:tc>
        <w:tc>
          <w:tcPr>
            <w:cnfStyle w:val="000010000000" w:firstRow="0" w:lastRow="0" w:firstColumn="0" w:lastColumn="0" w:oddVBand="1" w:evenVBand="0" w:oddHBand="0" w:evenHBand="0" w:firstRowFirstColumn="0" w:firstRowLastColumn="0" w:lastRowFirstColumn="0" w:lastRowLastColumn="0"/>
            <w:tcW w:w="1320" w:type="dxa"/>
            <w:noWrap/>
          </w:tcPr>
          <w:p w14:paraId="1D5856C2" w14:textId="77777777" w:rsidR="00C44155" w:rsidRPr="0067507D" w:rsidRDefault="00C44155" w:rsidP="00984851">
            <w:pPr>
              <w:pStyle w:val="Tabletextright"/>
            </w:pPr>
            <w:r w:rsidRPr="0067507D">
              <w:t>4 826</w:t>
            </w:r>
          </w:p>
        </w:tc>
        <w:tc>
          <w:tcPr>
            <w:cnfStyle w:val="000001000000" w:firstRow="0" w:lastRow="0" w:firstColumn="0" w:lastColumn="0" w:oddVBand="0" w:evenVBand="1" w:oddHBand="0" w:evenHBand="0" w:firstRowFirstColumn="0" w:firstRowLastColumn="0" w:lastRowFirstColumn="0" w:lastRowLastColumn="0"/>
            <w:tcW w:w="1320" w:type="dxa"/>
            <w:noWrap/>
          </w:tcPr>
          <w:p w14:paraId="61051901" w14:textId="77777777" w:rsidR="00C44155" w:rsidRPr="0067507D" w:rsidRDefault="00C44155" w:rsidP="00984851">
            <w:pPr>
              <w:pStyle w:val="Tabletextright"/>
            </w:pPr>
            <w:r w:rsidRPr="0067507D">
              <w:t>58 810</w:t>
            </w:r>
          </w:p>
        </w:tc>
      </w:tr>
      <w:tr w:rsidR="00C44155" w:rsidRPr="0067507D" w14:paraId="3F5C35DA"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790606BA" w14:textId="77777777" w:rsidR="00C44155" w:rsidRPr="0067507D" w:rsidRDefault="00C44155" w:rsidP="00984851">
            <w:pPr>
              <w:pStyle w:val="Tabletext"/>
            </w:pPr>
            <w:r w:rsidRPr="0067507D">
              <w:t>Anne Dalton &amp; Associates</w:t>
            </w:r>
          </w:p>
        </w:tc>
        <w:tc>
          <w:tcPr>
            <w:cnfStyle w:val="000010000000" w:firstRow="0" w:lastRow="0" w:firstColumn="0" w:lastColumn="0" w:oddVBand="1" w:evenVBand="0" w:oddHBand="0" w:evenHBand="0" w:firstRowFirstColumn="0" w:firstRowLastColumn="0" w:lastRowFirstColumn="0" w:lastRowLastColumn="0"/>
            <w:tcW w:w="2880" w:type="dxa"/>
            <w:noWrap/>
          </w:tcPr>
          <w:p w14:paraId="773CF857" w14:textId="77777777" w:rsidR="00C44155" w:rsidRPr="0067507D" w:rsidRDefault="00C44155" w:rsidP="00984851">
            <w:pPr>
              <w:pStyle w:val="Tabletext"/>
            </w:pPr>
            <w:r w:rsidRPr="0067507D">
              <w:t>Probity advisory services to support the implementation of Affordable Housing Investment Partnerships (AHIP)</w:t>
            </w:r>
          </w:p>
        </w:tc>
        <w:tc>
          <w:tcPr>
            <w:cnfStyle w:val="000001000000" w:firstRow="0" w:lastRow="0" w:firstColumn="0" w:lastColumn="0" w:oddVBand="0" w:evenVBand="1" w:oddHBand="0" w:evenHBand="0" w:firstRowFirstColumn="0" w:firstRowLastColumn="0" w:lastRowFirstColumn="0" w:lastRowLastColumn="0"/>
            <w:tcW w:w="1530" w:type="dxa"/>
            <w:noWrap/>
          </w:tcPr>
          <w:p w14:paraId="79101BA9" w14:textId="77777777" w:rsidR="00C44155" w:rsidRPr="0067507D" w:rsidRDefault="00C44155" w:rsidP="00984851">
            <w:pPr>
              <w:pStyle w:val="Tabletextright"/>
            </w:pPr>
            <w:r w:rsidRPr="0067507D">
              <w:t>13 628</w:t>
            </w:r>
          </w:p>
        </w:tc>
        <w:tc>
          <w:tcPr>
            <w:cnfStyle w:val="000010000000" w:firstRow="0" w:lastRow="0" w:firstColumn="0" w:lastColumn="0" w:oddVBand="1" w:evenVBand="0" w:oddHBand="0" w:evenHBand="0" w:firstRowFirstColumn="0" w:firstRowLastColumn="0" w:lastRowFirstColumn="0" w:lastRowLastColumn="0"/>
            <w:tcW w:w="1320" w:type="dxa"/>
            <w:noWrap/>
          </w:tcPr>
          <w:p w14:paraId="7A021E8C" w14:textId="77777777" w:rsidR="00C44155" w:rsidRPr="0067507D" w:rsidRDefault="00C44155" w:rsidP="00984851">
            <w:pPr>
              <w:pStyle w:val="Tabletextright"/>
            </w:pPr>
            <w:r w:rsidRPr="0067507D">
              <w:t xml:space="preserve"> 988</w:t>
            </w:r>
          </w:p>
        </w:tc>
        <w:tc>
          <w:tcPr>
            <w:cnfStyle w:val="000001000000" w:firstRow="0" w:lastRow="0" w:firstColumn="0" w:lastColumn="0" w:oddVBand="0" w:evenVBand="1" w:oddHBand="0" w:evenHBand="0" w:firstRowFirstColumn="0" w:firstRowLastColumn="0" w:lastRowFirstColumn="0" w:lastRowLastColumn="0"/>
            <w:tcW w:w="1320" w:type="dxa"/>
            <w:noWrap/>
          </w:tcPr>
          <w:p w14:paraId="3E5AE050" w14:textId="77777777" w:rsidR="00C44155" w:rsidRPr="0067507D" w:rsidRDefault="00C44155" w:rsidP="00984851">
            <w:pPr>
              <w:pStyle w:val="Tabletextright"/>
            </w:pPr>
            <w:r w:rsidRPr="0067507D">
              <w:t>12 640</w:t>
            </w:r>
          </w:p>
        </w:tc>
      </w:tr>
      <w:tr w:rsidR="00C44155" w:rsidRPr="0067507D" w14:paraId="275092A5"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4F8ACF66" w14:textId="77777777" w:rsidR="00C44155" w:rsidRPr="0067507D" w:rsidRDefault="00C44155" w:rsidP="00984851">
            <w:pPr>
              <w:pStyle w:val="Tabletext"/>
            </w:pPr>
            <w:r w:rsidRPr="0067507D">
              <w:t>Aster Advisory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1B4368C7" w14:textId="77777777" w:rsidR="00C44155" w:rsidRPr="0067507D" w:rsidRDefault="00C44155" w:rsidP="00984851">
            <w:pPr>
              <w:pStyle w:val="Tabletext"/>
            </w:pPr>
            <w:r w:rsidRPr="0067507D">
              <w:t>Commercial and transaction advice</w:t>
            </w:r>
          </w:p>
        </w:tc>
        <w:tc>
          <w:tcPr>
            <w:cnfStyle w:val="000001000000" w:firstRow="0" w:lastRow="0" w:firstColumn="0" w:lastColumn="0" w:oddVBand="0" w:evenVBand="1" w:oddHBand="0" w:evenHBand="0" w:firstRowFirstColumn="0" w:firstRowLastColumn="0" w:lastRowFirstColumn="0" w:lastRowLastColumn="0"/>
            <w:tcW w:w="1530" w:type="dxa"/>
            <w:noWrap/>
          </w:tcPr>
          <w:p w14:paraId="04176347" w14:textId="77777777" w:rsidR="00C44155" w:rsidRPr="0067507D" w:rsidRDefault="00C44155" w:rsidP="00984851">
            <w:pPr>
              <w:pStyle w:val="Tabletextright"/>
            </w:pPr>
            <w:r w:rsidRPr="0067507D">
              <w:t>124 286</w:t>
            </w:r>
          </w:p>
        </w:tc>
        <w:tc>
          <w:tcPr>
            <w:cnfStyle w:val="000010000000" w:firstRow="0" w:lastRow="0" w:firstColumn="0" w:lastColumn="0" w:oddVBand="1" w:evenVBand="0" w:oddHBand="0" w:evenHBand="0" w:firstRowFirstColumn="0" w:firstRowLastColumn="0" w:lastRowFirstColumn="0" w:lastRowLastColumn="0"/>
            <w:tcW w:w="1320" w:type="dxa"/>
            <w:noWrap/>
          </w:tcPr>
          <w:p w14:paraId="10484B20" w14:textId="77777777" w:rsidR="00C44155" w:rsidRPr="0067507D" w:rsidRDefault="00C44155" w:rsidP="00984851">
            <w:pPr>
              <w:pStyle w:val="Tabletextright"/>
            </w:pPr>
            <w:r w:rsidRPr="0067507D">
              <w:t>31 999</w:t>
            </w:r>
          </w:p>
        </w:tc>
        <w:tc>
          <w:tcPr>
            <w:cnfStyle w:val="000001000000" w:firstRow="0" w:lastRow="0" w:firstColumn="0" w:lastColumn="0" w:oddVBand="0" w:evenVBand="1" w:oddHBand="0" w:evenHBand="0" w:firstRowFirstColumn="0" w:firstRowLastColumn="0" w:lastRowFirstColumn="0" w:lastRowLastColumn="0"/>
            <w:tcW w:w="1320" w:type="dxa"/>
            <w:noWrap/>
          </w:tcPr>
          <w:p w14:paraId="4076C42C" w14:textId="59C1FFB9" w:rsidR="00C44155" w:rsidRPr="0067507D" w:rsidRDefault="00C44155" w:rsidP="00984851">
            <w:pPr>
              <w:pStyle w:val="Tabletextright"/>
            </w:pPr>
            <w:r w:rsidRPr="0067507D">
              <w:t>64 498</w:t>
            </w:r>
          </w:p>
        </w:tc>
      </w:tr>
      <w:tr w:rsidR="00C44155" w:rsidRPr="0067507D" w14:paraId="3F4D8276"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5916826E" w14:textId="77777777" w:rsidR="00C44155" w:rsidRPr="0067507D" w:rsidRDefault="00C44155" w:rsidP="00984851">
            <w:pPr>
              <w:pStyle w:val="Tabletext"/>
            </w:pPr>
            <w:r w:rsidRPr="0067507D">
              <w:t>Australia &amp; New Zealand School of Government</w:t>
            </w:r>
          </w:p>
        </w:tc>
        <w:tc>
          <w:tcPr>
            <w:cnfStyle w:val="000010000000" w:firstRow="0" w:lastRow="0" w:firstColumn="0" w:lastColumn="0" w:oddVBand="1" w:evenVBand="0" w:oddHBand="0" w:evenHBand="0" w:firstRowFirstColumn="0" w:firstRowLastColumn="0" w:lastRowFirstColumn="0" w:lastRowLastColumn="0"/>
            <w:tcW w:w="2880" w:type="dxa"/>
            <w:noWrap/>
          </w:tcPr>
          <w:p w14:paraId="4F96A288" w14:textId="77777777" w:rsidR="00C44155" w:rsidRPr="0067507D" w:rsidRDefault="00C44155" w:rsidP="00984851">
            <w:pPr>
              <w:pStyle w:val="Tabletext"/>
            </w:pPr>
            <w:r w:rsidRPr="0067507D">
              <w:t>Delivery of a thematic report on regulatory practice for the First Peoples &amp; Regulation Project</w:t>
            </w:r>
          </w:p>
        </w:tc>
        <w:tc>
          <w:tcPr>
            <w:cnfStyle w:val="000001000000" w:firstRow="0" w:lastRow="0" w:firstColumn="0" w:lastColumn="0" w:oddVBand="0" w:evenVBand="1" w:oddHBand="0" w:evenHBand="0" w:firstRowFirstColumn="0" w:firstRowLastColumn="0" w:lastRowFirstColumn="0" w:lastRowLastColumn="0"/>
            <w:tcW w:w="1530" w:type="dxa"/>
            <w:noWrap/>
          </w:tcPr>
          <w:p w14:paraId="60E61CD0" w14:textId="77777777" w:rsidR="00C44155" w:rsidRPr="0067507D" w:rsidRDefault="00C44155" w:rsidP="00984851">
            <w:pPr>
              <w:pStyle w:val="Tabletextright"/>
            </w:pPr>
            <w:r w:rsidRPr="0067507D">
              <w:t>30 000</w:t>
            </w:r>
          </w:p>
        </w:tc>
        <w:tc>
          <w:tcPr>
            <w:cnfStyle w:val="000010000000" w:firstRow="0" w:lastRow="0" w:firstColumn="0" w:lastColumn="0" w:oddVBand="1" w:evenVBand="0" w:oddHBand="0" w:evenHBand="0" w:firstRowFirstColumn="0" w:firstRowLastColumn="0" w:lastRowFirstColumn="0" w:lastRowLastColumn="0"/>
            <w:tcW w:w="1320" w:type="dxa"/>
            <w:noWrap/>
          </w:tcPr>
          <w:p w14:paraId="76EC367E" w14:textId="77777777" w:rsidR="00C44155" w:rsidRPr="0067507D" w:rsidRDefault="00C44155" w:rsidP="00984851">
            <w:pPr>
              <w:pStyle w:val="Tabletextright"/>
            </w:pPr>
            <w:r w:rsidRPr="0067507D">
              <w:t>30 000</w:t>
            </w:r>
          </w:p>
        </w:tc>
        <w:tc>
          <w:tcPr>
            <w:cnfStyle w:val="000001000000" w:firstRow="0" w:lastRow="0" w:firstColumn="0" w:lastColumn="0" w:oddVBand="0" w:evenVBand="1" w:oddHBand="0" w:evenHBand="0" w:firstRowFirstColumn="0" w:firstRowLastColumn="0" w:lastRowFirstColumn="0" w:lastRowLastColumn="0"/>
            <w:tcW w:w="1320" w:type="dxa"/>
            <w:noWrap/>
          </w:tcPr>
          <w:p w14:paraId="5EF3854B" w14:textId="17B9D957" w:rsidR="00C44155" w:rsidRPr="0067507D" w:rsidRDefault="00B37818" w:rsidP="00984851">
            <w:pPr>
              <w:pStyle w:val="Tabletextright"/>
            </w:pPr>
            <w:r w:rsidRPr="0067507D">
              <w:t>–</w:t>
            </w:r>
          </w:p>
        </w:tc>
      </w:tr>
      <w:tr w:rsidR="00C44155" w:rsidRPr="0067507D" w14:paraId="16EA48C4"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1B92B825" w14:textId="77777777" w:rsidR="00C44155" w:rsidRPr="0067507D" w:rsidRDefault="00C44155" w:rsidP="00984851">
            <w:pPr>
              <w:pStyle w:val="Tabletext"/>
            </w:pPr>
            <w:r w:rsidRPr="0067507D">
              <w:t>Brave TV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66AF1DA9" w14:textId="77777777" w:rsidR="00C44155" w:rsidRPr="0067507D" w:rsidRDefault="00C44155" w:rsidP="00984851">
            <w:pPr>
              <w:pStyle w:val="Tabletext"/>
            </w:pPr>
            <w:r w:rsidRPr="0067507D">
              <w:t>Advice on a communications strategy and associated communication costs for the establishment of the proposed National Labour Hire Regulator</w:t>
            </w:r>
          </w:p>
        </w:tc>
        <w:tc>
          <w:tcPr>
            <w:cnfStyle w:val="000001000000" w:firstRow="0" w:lastRow="0" w:firstColumn="0" w:lastColumn="0" w:oddVBand="0" w:evenVBand="1" w:oddHBand="0" w:evenHBand="0" w:firstRowFirstColumn="0" w:firstRowLastColumn="0" w:lastRowFirstColumn="0" w:lastRowLastColumn="0"/>
            <w:tcW w:w="1530" w:type="dxa"/>
            <w:noWrap/>
          </w:tcPr>
          <w:p w14:paraId="6711BB67" w14:textId="77777777" w:rsidR="00C44155" w:rsidRPr="0067507D" w:rsidRDefault="00C44155" w:rsidP="00984851">
            <w:pPr>
              <w:pStyle w:val="Tabletextright"/>
            </w:pPr>
            <w:r w:rsidRPr="0067507D">
              <w:t>11 956</w:t>
            </w:r>
          </w:p>
        </w:tc>
        <w:tc>
          <w:tcPr>
            <w:cnfStyle w:val="000010000000" w:firstRow="0" w:lastRow="0" w:firstColumn="0" w:lastColumn="0" w:oddVBand="1" w:evenVBand="0" w:oddHBand="0" w:evenHBand="0" w:firstRowFirstColumn="0" w:firstRowLastColumn="0" w:lastRowFirstColumn="0" w:lastRowLastColumn="0"/>
            <w:tcW w:w="1320" w:type="dxa"/>
            <w:noWrap/>
          </w:tcPr>
          <w:p w14:paraId="2E4F448C" w14:textId="77777777" w:rsidR="00C44155" w:rsidRPr="0067507D" w:rsidRDefault="00C44155" w:rsidP="00984851">
            <w:pPr>
              <w:pStyle w:val="Tabletextright"/>
            </w:pPr>
            <w:r w:rsidRPr="0067507D">
              <w:t>5 978</w:t>
            </w:r>
          </w:p>
        </w:tc>
        <w:tc>
          <w:tcPr>
            <w:cnfStyle w:val="000001000000" w:firstRow="0" w:lastRow="0" w:firstColumn="0" w:lastColumn="0" w:oddVBand="0" w:evenVBand="1" w:oddHBand="0" w:evenHBand="0" w:firstRowFirstColumn="0" w:firstRowLastColumn="0" w:lastRowFirstColumn="0" w:lastRowLastColumn="0"/>
            <w:tcW w:w="1320" w:type="dxa"/>
            <w:noWrap/>
          </w:tcPr>
          <w:p w14:paraId="32057871" w14:textId="77777777" w:rsidR="00C44155" w:rsidRPr="0067507D" w:rsidRDefault="00C44155" w:rsidP="00984851">
            <w:pPr>
              <w:pStyle w:val="Tabletextright"/>
            </w:pPr>
            <w:r w:rsidRPr="0067507D">
              <w:t>5 978</w:t>
            </w:r>
          </w:p>
        </w:tc>
      </w:tr>
      <w:tr w:rsidR="00C44155" w:rsidRPr="0067507D" w14:paraId="0DCA0CC8"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34F64625" w14:textId="77777777" w:rsidR="00C44155" w:rsidRPr="0067507D" w:rsidRDefault="00C44155" w:rsidP="00984851">
            <w:pPr>
              <w:pStyle w:val="Tabletext"/>
            </w:pPr>
            <w:r w:rsidRPr="0067507D">
              <w:t>CBRE (GCS)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66EDC318" w14:textId="77777777" w:rsidR="00C44155" w:rsidRPr="0067507D" w:rsidRDefault="00C44155" w:rsidP="00984851">
            <w:pPr>
              <w:pStyle w:val="Tabletext"/>
            </w:pPr>
            <w:r w:rsidRPr="0067507D">
              <w:t>Property adviser engaged to support Round Two of the Build and Operate Program (BOP) under the Social Housing Growth Fund (SHGF).</w:t>
            </w:r>
          </w:p>
        </w:tc>
        <w:tc>
          <w:tcPr>
            <w:cnfStyle w:val="000001000000" w:firstRow="0" w:lastRow="0" w:firstColumn="0" w:lastColumn="0" w:oddVBand="0" w:evenVBand="1" w:oddHBand="0" w:evenHBand="0" w:firstRowFirstColumn="0" w:firstRowLastColumn="0" w:lastRowFirstColumn="0" w:lastRowLastColumn="0"/>
            <w:tcW w:w="1530" w:type="dxa"/>
            <w:noWrap/>
          </w:tcPr>
          <w:p w14:paraId="4A625EC3" w14:textId="77777777" w:rsidR="00C44155" w:rsidRPr="0067507D" w:rsidRDefault="00C44155" w:rsidP="00984851">
            <w:pPr>
              <w:pStyle w:val="Tabletextright"/>
            </w:pPr>
            <w:r w:rsidRPr="0067507D">
              <w:t>48 008</w:t>
            </w:r>
          </w:p>
        </w:tc>
        <w:tc>
          <w:tcPr>
            <w:cnfStyle w:val="000010000000" w:firstRow="0" w:lastRow="0" w:firstColumn="0" w:lastColumn="0" w:oddVBand="1" w:evenVBand="0" w:oddHBand="0" w:evenHBand="0" w:firstRowFirstColumn="0" w:firstRowLastColumn="0" w:lastRowFirstColumn="0" w:lastRowLastColumn="0"/>
            <w:tcW w:w="1320" w:type="dxa"/>
            <w:noWrap/>
          </w:tcPr>
          <w:p w14:paraId="3ADA4006" w14:textId="77777777" w:rsidR="00C44155" w:rsidRPr="0067507D" w:rsidRDefault="00C44155" w:rsidP="00984851">
            <w:pPr>
              <w:pStyle w:val="Tabletextright"/>
            </w:pPr>
            <w:r w:rsidRPr="0067507D">
              <w:t>2 280</w:t>
            </w:r>
          </w:p>
        </w:tc>
        <w:tc>
          <w:tcPr>
            <w:cnfStyle w:val="000001000000" w:firstRow="0" w:lastRow="0" w:firstColumn="0" w:lastColumn="0" w:oddVBand="0" w:evenVBand="1" w:oddHBand="0" w:evenHBand="0" w:firstRowFirstColumn="0" w:firstRowLastColumn="0" w:lastRowFirstColumn="0" w:lastRowLastColumn="0"/>
            <w:tcW w:w="1320" w:type="dxa"/>
            <w:noWrap/>
          </w:tcPr>
          <w:p w14:paraId="61D6F035" w14:textId="77777777" w:rsidR="00C44155" w:rsidRPr="0067507D" w:rsidRDefault="00C44155" w:rsidP="00984851">
            <w:pPr>
              <w:pStyle w:val="Tabletextright"/>
            </w:pPr>
            <w:r w:rsidRPr="0067507D">
              <w:t>45 728</w:t>
            </w:r>
          </w:p>
        </w:tc>
      </w:tr>
      <w:tr w:rsidR="00C44155" w:rsidRPr="0067507D" w14:paraId="2B293231"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1B58FADF" w14:textId="77777777" w:rsidR="00C44155" w:rsidRPr="0067507D" w:rsidRDefault="00C44155" w:rsidP="001B4E67">
            <w:pPr>
              <w:pStyle w:val="Tabletext"/>
            </w:pPr>
            <w:r w:rsidRPr="0067507D">
              <w:t>Centre for New Energy Technologies Ltd</w:t>
            </w:r>
          </w:p>
        </w:tc>
        <w:tc>
          <w:tcPr>
            <w:cnfStyle w:val="000010000000" w:firstRow="0" w:lastRow="0" w:firstColumn="0" w:lastColumn="0" w:oddVBand="1" w:evenVBand="0" w:oddHBand="0" w:evenHBand="0" w:firstRowFirstColumn="0" w:firstRowLastColumn="0" w:lastRowFirstColumn="0" w:lastRowLastColumn="0"/>
            <w:tcW w:w="2880" w:type="dxa"/>
            <w:noWrap/>
          </w:tcPr>
          <w:p w14:paraId="3F9D08EA" w14:textId="77777777" w:rsidR="00C44155" w:rsidRPr="0067507D" w:rsidRDefault="00C44155" w:rsidP="001B4E67">
            <w:pPr>
              <w:pStyle w:val="Tabletext"/>
            </w:pPr>
            <w:r w:rsidRPr="0067507D">
              <w:t>Residential occupancy insights from electricity data – pilot research project</w:t>
            </w:r>
          </w:p>
        </w:tc>
        <w:tc>
          <w:tcPr>
            <w:cnfStyle w:val="000001000000" w:firstRow="0" w:lastRow="0" w:firstColumn="0" w:lastColumn="0" w:oddVBand="0" w:evenVBand="1" w:oddHBand="0" w:evenHBand="0" w:firstRowFirstColumn="0" w:firstRowLastColumn="0" w:lastRowFirstColumn="0" w:lastRowLastColumn="0"/>
            <w:tcW w:w="1530" w:type="dxa"/>
            <w:noWrap/>
          </w:tcPr>
          <w:p w14:paraId="066BD2ED" w14:textId="77777777" w:rsidR="00C44155" w:rsidRPr="0067507D" w:rsidRDefault="00C44155" w:rsidP="001B4E67">
            <w:pPr>
              <w:pStyle w:val="Tabletextright"/>
            </w:pPr>
            <w:r w:rsidRPr="0067507D">
              <w:t xml:space="preserve">22 273 </w:t>
            </w:r>
          </w:p>
        </w:tc>
        <w:tc>
          <w:tcPr>
            <w:cnfStyle w:val="000010000000" w:firstRow="0" w:lastRow="0" w:firstColumn="0" w:lastColumn="0" w:oddVBand="1" w:evenVBand="0" w:oddHBand="0" w:evenHBand="0" w:firstRowFirstColumn="0" w:firstRowLastColumn="0" w:lastRowFirstColumn="0" w:lastRowLastColumn="0"/>
            <w:tcW w:w="1320" w:type="dxa"/>
            <w:noWrap/>
          </w:tcPr>
          <w:p w14:paraId="7187805F" w14:textId="77777777" w:rsidR="00C44155" w:rsidRPr="0067507D" w:rsidRDefault="00C44155" w:rsidP="001B4E67">
            <w:pPr>
              <w:pStyle w:val="Tabletextright"/>
            </w:pPr>
            <w:r w:rsidRPr="0067507D">
              <w:t xml:space="preserve">22 273 </w:t>
            </w:r>
          </w:p>
        </w:tc>
        <w:tc>
          <w:tcPr>
            <w:cnfStyle w:val="000001000000" w:firstRow="0" w:lastRow="0" w:firstColumn="0" w:lastColumn="0" w:oddVBand="0" w:evenVBand="1" w:oddHBand="0" w:evenHBand="0" w:firstRowFirstColumn="0" w:firstRowLastColumn="0" w:lastRowFirstColumn="0" w:lastRowLastColumn="0"/>
            <w:tcW w:w="1320" w:type="dxa"/>
            <w:noWrap/>
          </w:tcPr>
          <w:p w14:paraId="7654B824" w14:textId="7C1FE695" w:rsidR="00C44155" w:rsidRPr="0067507D" w:rsidRDefault="00B37818" w:rsidP="001B4E67">
            <w:pPr>
              <w:pStyle w:val="Tabletextright"/>
            </w:pPr>
            <w:r w:rsidRPr="0067507D">
              <w:t>–</w:t>
            </w:r>
          </w:p>
        </w:tc>
      </w:tr>
      <w:tr w:rsidR="00C44155" w:rsidRPr="0067507D" w14:paraId="3B73B053"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677580B" w14:textId="027C426A" w:rsidR="00C44155" w:rsidRPr="0067507D" w:rsidRDefault="00C44155" w:rsidP="00984851">
            <w:pPr>
              <w:pStyle w:val="Tabletext"/>
            </w:pPr>
            <w:r w:rsidRPr="0067507D">
              <w:t>Centre For Public Impact Australia And New Zealand Ltd</w:t>
            </w:r>
          </w:p>
        </w:tc>
        <w:tc>
          <w:tcPr>
            <w:cnfStyle w:val="000010000000" w:firstRow="0" w:lastRow="0" w:firstColumn="0" w:lastColumn="0" w:oddVBand="1" w:evenVBand="0" w:oddHBand="0" w:evenHBand="0" w:firstRowFirstColumn="0" w:firstRowLastColumn="0" w:lastRowFirstColumn="0" w:lastRowLastColumn="0"/>
            <w:tcW w:w="2880" w:type="dxa"/>
            <w:noWrap/>
          </w:tcPr>
          <w:p w14:paraId="0B797A76" w14:textId="77777777" w:rsidR="00C44155" w:rsidRPr="0067507D" w:rsidRDefault="00C44155" w:rsidP="00984851">
            <w:pPr>
              <w:pStyle w:val="Tabletext"/>
            </w:pPr>
            <w:r w:rsidRPr="0067507D">
              <w:t xml:space="preserve">DTF Senior Executive Group leadership training </w:t>
            </w:r>
          </w:p>
        </w:tc>
        <w:tc>
          <w:tcPr>
            <w:cnfStyle w:val="000001000000" w:firstRow="0" w:lastRow="0" w:firstColumn="0" w:lastColumn="0" w:oddVBand="0" w:evenVBand="1" w:oddHBand="0" w:evenHBand="0" w:firstRowFirstColumn="0" w:firstRowLastColumn="0" w:lastRowFirstColumn="0" w:lastRowLastColumn="0"/>
            <w:tcW w:w="1530" w:type="dxa"/>
            <w:noWrap/>
          </w:tcPr>
          <w:p w14:paraId="4E5BB9E3" w14:textId="77777777" w:rsidR="00C44155" w:rsidRPr="0067507D" w:rsidRDefault="00C44155" w:rsidP="00984851">
            <w:pPr>
              <w:pStyle w:val="Tabletextright"/>
            </w:pPr>
            <w:r w:rsidRPr="0067507D">
              <w:t>74 359</w:t>
            </w:r>
          </w:p>
        </w:tc>
        <w:tc>
          <w:tcPr>
            <w:cnfStyle w:val="000010000000" w:firstRow="0" w:lastRow="0" w:firstColumn="0" w:lastColumn="0" w:oddVBand="1" w:evenVBand="0" w:oddHBand="0" w:evenHBand="0" w:firstRowFirstColumn="0" w:firstRowLastColumn="0" w:lastRowFirstColumn="0" w:lastRowLastColumn="0"/>
            <w:tcW w:w="1320" w:type="dxa"/>
            <w:noWrap/>
          </w:tcPr>
          <w:p w14:paraId="2FF71C12" w14:textId="77777777" w:rsidR="00C44155" w:rsidRPr="0067507D" w:rsidRDefault="00C44155" w:rsidP="00984851">
            <w:pPr>
              <w:pStyle w:val="Tabletextright"/>
            </w:pPr>
            <w:r w:rsidRPr="0067507D">
              <w:t>60 791</w:t>
            </w:r>
          </w:p>
        </w:tc>
        <w:tc>
          <w:tcPr>
            <w:cnfStyle w:val="000001000000" w:firstRow="0" w:lastRow="0" w:firstColumn="0" w:lastColumn="0" w:oddVBand="0" w:evenVBand="1" w:oddHBand="0" w:evenHBand="0" w:firstRowFirstColumn="0" w:firstRowLastColumn="0" w:lastRowFirstColumn="0" w:lastRowLastColumn="0"/>
            <w:tcW w:w="1320" w:type="dxa"/>
            <w:noWrap/>
          </w:tcPr>
          <w:p w14:paraId="35FCB9E1" w14:textId="2333903E" w:rsidR="00C44155" w:rsidRPr="0067507D" w:rsidRDefault="00B37818" w:rsidP="00984851">
            <w:pPr>
              <w:pStyle w:val="Tabletextright"/>
            </w:pPr>
            <w:r w:rsidRPr="0067507D">
              <w:t>–</w:t>
            </w:r>
          </w:p>
        </w:tc>
      </w:tr>
      <w:tr w:rsidR="00C44155" w:rsidRPr="0067507D" w14:paraId="5B4ABED3"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04033D8" w14:textId="77777777" w:rsidR="00C44155" w:rsidRPr="0067507D" w:rsidRDefault="00C44155" w:rsidP="00984851">
            <w:pPr>
              <w:pStyle w:val="Tabletext"/>
            </w:pPr>
            <w:r w:rsidRPr="0067507D">
              <w:t>Centre For Public Impact Australia And New Zealand Ltd</w:t>
            </w:r>
          </w:p>
        </w:tc>
        <w:tc>
          <w:tcPr>
            <w:cnfStyle w:val="000010000000" w:firstRow="0" w:lastRow="0" w:firstColumn="0" w:lastColumn="0" w:oddVBand="1" w:evenVBand="0" w:oddHBand="0" w:evenHBand="0" w:firstRowFirstColumn="0" w:firstRowLastColumn="0" w:lastRowFirstColumn="0" w:lastRowLastColumn="0"/>
            <w:tcW w:w="2880" w:type="dxa"/>
            <w:noWrap/>
          </w:tcPr>
          <w:p w14:paraId="1A11E18D" w14:textId="77777777" w:rsidR="00C44155" w:rsidRPr="0067507D" w:rsidRDefault="00C44155" w:rsidP="00984851">
            <w:pPr>
              <w:pStyle w:val="Tabletext"/>
            </w:pPr>
            <w:r w:rsidRPr="0067507D">
              <w:t>DTF executive leadership training</w:t>
            </w:r>
          </w:p>
        </w:tc>
        <w:tc>
          <w:tcPr>
            <w:cnfStyle w:val="000001000000" w:firstRow="0" w:lastRow="0" w:firstColumn="0" w:lastColumn="0" w:oddVBand="0" w:evenVBand="1" w:oddHBand="0" w:evenHBand="0" w:firstRowFirstColumn="0" w:firstRowLastColumn="0" w:lastRowFirstColumn="0" w:lastRowLastColumn="0"/>
            <w:tcW w:w="1530" w:type="dxa"/>
            <w:noWrap/>
          </w:tcPr>
          <w:p w14:paraId="3B06B045" w14:textId="77777777" w:rsidR="00C44155" w:rsidRPr="0067507D" w:rsidRDefault="00C44155" w:rsidP="00984851">
            <w:pPr>
              <w:pStyle w:val="Tabletextright"/>
            </w:pPr>
            <w:r w:rsidRPr="0067507D">
              <w:t>24 500</w:t>
            </w:r>
          </w:p>
        </w:tc>
        <w:tc>
          <w:tcPr>
            <w:cnfStyle w:val="000010000000" w:firstRow="0" w:lastRow="0" w:firstColumn="0" w:lastColumn="0" w:oddVBand="1" w:evenVBand="0" w:oddHBand="0" w:evenHBand="0" w:firstRowFirstColumn="0" w:firstRowLastColumn="0" w:lastRowFirstColumn="0" w:lastRowLastColumn="0"/>
            <w:tcW w:w="1320" w:type="dxa"/>
            <w:noWrap/>
          </w:tcPr>
          <w:p w14:paraId="0AA51CF0" w14:textId="77777777" w:rsidR="00C44155" w:rsidRPr="0067507D" w:rsidRDefault="00C44155" w:rsidP="00984851">
            <w:pPr>
              <w:pStyle w:val="Tabletextright"/>
            </w:pPr>
            <w:r w:rsidRPr="0067507D">
              <w:t>12 000</w:t>
            </w:r>
          </w:p>
        </w:tc>
        <w:tc>
          <w:tcPr>
            <w:cnfStyle w:val="000001000000" w:firstRow="0" w:lastRow="0" w:firstColumn="0" w:lastColumn="0" w:oddVBand="0" w:evenVBand="1" w:oddHBand="0" w:evenHBand="0" w:firstRowFirstColumn="0" w:firstRowLastColumn="0" w:lastRowFirstColumn="0" w:lastRowLastColumn="0"/>
            <w:tcW w:w="1320" w:type="dxa"/>
            <w:noWrap/>
          </w:tcPr>
          <w:p w14:paraId="7B53DCCE" w14:textId="77777777" w:rsidR="00C44155" w:rsidRPr="0067507D" w:rsidRDefault="00C44155" w:rsidP="00984851">
            <w:pPr>
              <w:pStyle w:val="Tabletextright"/>
            </w:pPr>
            <w:r w:rsidRPr="0067507D">
              <w:t>12 500</w:t>
            </w:r>
          </w:p>
        </w:tc>
      </w:tr>
      <w:tr w:rsidR="00C44155" w:rsidRPr="0067507D" w14:paraId="7114A30B"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5D878562" w14:textId="77777777" w:rsidR="00C44155" w:rsidRPr="0067507D" w:rsidRDefault="00C44155" w:rsidP="00984851">
            <w:pPr>
              <w:pStyle w:val="Tabletext"/>
            </w:pPr>
            <w:r w:rsidRPr="0067507D">
              <w:t>Clayton Utz</w:t>
            </w:r>
          </w:p>
        </w:tc>
        <w:tc>
          <w:tcPr>
            <w:cnfStyle w:val="000010000000" w:firstRow="0" w:lastRow="0" w:firstColumn="0" w:lastColumn="0" w:oddVBand="1" w:evenVBand="0" w:oddHBand="0" w:evenHBand="0" w:firstRowFirstColumn="0" w:firstRowLastColumn="0" w:lastRowFirstColumn="0" w:lastRowLastColumn="0"/>
            <w:tcW w:w="2880" w:type="dxa"/>
            <w:noWrap/>
          </w:tcPr>
          <w:p w14:paraId="3314ED8C" w14:textId="77777777" w:rsidR="00C44155" w:rsidRPr="0067507D" w:rsidRDefault="00C44155" w:rsidP="00984851">
            <w:pPr>
              <w:pStyle w:val="Tabletext"/>
            </w:pPr>
            <w:r w:rsidRPr="0067507D">
              <w:t xml:space="preserve">Commercial and transaction advice </w:t>
            </w:r>
          </w:p>
        </w:tc>
        <w:tc>
          <w:tcPr>
            <w:cnfStyle w:val="000001000000" w:firstRow="0" w:lastRow="0" w:firstColumn="0" w:lastColumn="0" w:oddVBand="0" w:evenVBand="1" w:oddHBand="0" w:evenHBand="0" w:firstRowFirstColumn="0" w:firstRowLastColumn="0" w:lastRowFirstColumn="0" w:lastRowLastColumn="0"/>
            <w:tcW w:w="1530" w:type="dxa"/>
            <w:noWrap/>
          </w:tcPr>
          <w:p w14:paraId="44E9F1BF" w14:textId="77777777" w:rsidR="00C44155" w:rsidRPr="0067507D" w:rsidRDefault="00C44155" w:rsidP="00984851">
            <w:pPr>
              <w:pStyle w:val="Tabletextright"/>
            </w:pPr>
            <w:r w:rsidRPr="0067507D">
              <w:t>451 290</w:t>
            </w:r>
          </w:p>
        </w:tc>
        <w:tc>
          <w:tcPr>
            <w:cnfStyle w:val="000010000000" w:firstRow="0" w:lastRow="0" w:firstColumn="0" w:lastColumn="0" w:oddVBand="1" w:evenVBand="0" w:oddHBand="0" w:evenHBand="0" w:firstRowFirstColumn="0" w:firstRowLastColumn="0" w:lastRowFirstColumn="0" w:lastRowLastColumn="0"/>
            <w:tcW w:w="1320" w:type="dxa"/>
            <w:noWrap/>
          </w:tcPr>
          <w:p w14:paraId="5DEBF6B7" w14:textId="77777777" w:rsidR="00C44155" w:rsidRPr="0067507D" w:rsidRDefault="00C44155" w:rsidP="00984851">
            <w:pPr>
              <w:pStyle w:val="Tabletextright"/>
            </w:pPr>
            <w:r w:rsidRPr="0067507D">
              <w:t>36 000</w:t>
            </w:r>
          </w:p>
        </w:tc>
        <w:tc>
          <w:tcPr>
            <w:cnfStyle w:val="000001000000" w:firstRow="0" w:lastRow="0" w:firstColumn="0" w:lastColumn="0" w:oddVBand="0" w:evenVBand="1" w:oddHBand="0" w:evenHBand="0" w:firstRowFirstColumn="0" w:firstRowLastColumn="0" w:lastRowFirstColumn="0" w:lastRowLastColumn="0"/>
            <w:tcW w:w="1320" w:type="dxa"/>
            <w:noWrap/>
          </w:tcPr>
          <w:p w14:paraId="4064AB83" w14:textId="77777777" w:rsidR="00C44155" w:rsidRPr="0067507D" w:rsidRDefault="00C44155" w:rsidP="00984851">
            <w:pPr>
              <w:pStyle w:val="Tabletextright"/>
            </w:pPr>
            <w:r w:rsidRPr="0067507D">
              <w:t>88 780</w:t>
            </w:r>
          </w:p>
        </w:tc>
      </w:tr>
      <w:tr w:rsidR="00C44155" w:rsidRPr="0067507D" w14:paraId="2868A645"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3FBFD0C3" w14:textId="1F981843" w:rsidR="00C44155" w:rsidRPr="0067507D" w:rsidRDefault="00C44155" w:rsidP="00984851">
            <w:pPr>
              <w:pStyle w:val="Tabletext"/>
            </w:pPr>
            <w:r w:rsidRPr="0067507D">
              <w:t>Deloitte Touche Tohmatsu</w:t>
            </w:r>
          </w:p>
        </w:tc>
        <w:tc>
          <w:tcPr>
            <w:cnfStyle w:val="000010000000" w:firstRow="0" w:lastRow="0" w:firstColumn="0" w:lastColumn="0" w:oddVBand="1" w:evenVBand="0" w:oddHBand="0" w:evenHBand="0" w:firstRowFirstColumn="0" w:firstRowLastColumn="0" w:lastRowFirstColumn="0" w:lastRowLastColumn="0"/>
            <w:tcW w:w="2880" w:type="dxa"/>
            <w:noWrap/>
          </w:tcPr>
          <w:p w14:paraId="3CB894BE" w14:textId="77777777" w:rsidR="00C44155" w:rsidRPr="0067507D" w:rsidRDefault="00C44155" w:rsidP="00984851">
            <w:pPr>
              <w:pStyle w:val="Tabletext"/>
            </w:pPr>
            <w:r w:rsidRPr="0067507D">
              <w:t>Commercial and financial advisory services to support Phase 3 of the Building the Financial Capacity of Housing Agencies initiative</w:t>
            </w:r>
          </w:p>
        </w:tc>
        <w:tc>
          <w:tcPr>
            <w:cnfStyle w:val="000001000000" w:firstRow="0" w:lastRow="0" w:firstColumn="0" w:lastColumn="0" w:oddVBand="0" w:evenVBand="1" w:oddHBand="0" w:evenHBand="0" w:firstRowFirstColumn="0" w:firstRowLastColumn="0" w:lastRowFirstColumn="0" w:lastRowLastColumn="0"/>
            <w:tcW w:w="1530" w:type="dxa"/>
            <w:noWrap/>
          </w:tcPr>
          <w:p w14:paraId="102F16F1" w14:textId="77777777" w:rsidR="00C44155" w:rsidRPr="0067507D" w:rsidRDefault="00C44155" w:rsidP="00984851">
            <w:pPr>
              <w:pStyle w:val="Tabletextright"/>
            </w:pPr>
            <w:r w:rsidRPr="0067507D">
              <w:t>145 455</w:t>
            </w:r>
          </w:p>
        </w:tc>
        <w:tc>
          <w:tcPr>
            <w:cnfStyle w:val="000010000000" w:firstRow="0" w:lastRow="0" w:firstColumn="0" w:lastColumn="0" w:oddVBand="1" w:evenVBand="0" w:oddHBand="0" w:evenHBand="0" w:firstRowFirstColumn="0" w:firstRowLastColumn="0" w:lastRowFirstColumn="0" w:lastRowLastColumn="0"/>
            <w:tcW w:w="1320" w:type="dxa"/>
            <w:noWrap/>
          </w:tcPr>
          <w:p w14:paraId="798FCDD3" w14:textId="77777777" w:rsidR="00C44155" w:rsidRPr="0067507D" w:rsidRDefault="00C44155" w:rsidP="00984851">
            <w:pPr>
              <w:pStyle w:val="Tabletextright"/>
            </w:pPr>
            <w:r w:rsidRPr="0067507D">
              <w:t>145 455</w:t>
            </w:r>
          </w:p>
        </w:tc>
        <w:tc>
          <w:tcPr>
            <w:cnfStyle w:val="000001000000" w:firstRow="0" w:lastRow="0" w:firstColumn="0" w:lastColumn="0" w:oddVBand="0" w:evenVBand="1" w:oddHBand="0" w:evenHBand="0" w:firstRowFirstColumn="0" w:firstRowLastColumn="0" w:lastRowFirstColumn="0" w:lastRowLastColumn="0"/>
            <w:tcW w:w="1320" w:type="dxa"/>
            <w:noWrap/>
          </w:tcPr>
          <w:p w14:paraId="1CD81349" w14:textId="58B00758" w:rsidR="00C44155" w:rsidRPr="0067507D" w:rsidRDefault="00B37818" w:rsidP="00984851">
            <w:pPr>
              <w:pStyle w:val="Tabletextright"/>
            </w:pPr>
            <w:r w:rsidRPr="0067507D">
              <w:t>–</w:t>
            </w:r>
          </w:p>
        </w:tc>
      </w:tr>
      <w:tr w:rsidR="00C44155" w:rsidRPr="0067507D" w14:paraId="7AF40ED5"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51BF7B3C" w14:textId="77777777" w:rsidR="00C44155" w:rsidRPr="0067507D" w:rsidRDefault="00C44155" w:rsidP="00984851">
            <w:pPr>
              <w:pStyle w:val="Tabletext"/>
            </w:pPr>
            <w:r w:rsidRPr="0067507D">
              <w:t>Deloitte Touche Tohmatsu</w:t>
            </w:r>
          </w:p>
        </w:tc>
        <w:tc>
          <w:tcPr>
            <w:cnfStyle w:val="000010000000" w:firstRow="0" w:lastRow="0" w:firstColumn="0" w:lastColumn="0" w:oddVBand="1" w:evenVBand="0" w:oddHBand="0" w:evenHBand="0" w:firstRowFirstColumn="0" w:firstRowLastColumn="0" w:lastRowFirstColumn="0" w:lastRowLastColumn="0"/>
            <w:tcW w:w="2880" w:type="dxa"/>
            <w:noWrap/>
          </w:tcPr>
          <w:p w14:paraId="39E7824A" w14:textId="77777777" w:rsidR="00C44155" w:rsidRPr="0067507D" w:rsidRDefault="00C44155" w:rsidP="00984851">
            <w:pPr>
              <w:pStyle w:val="Tabletext"/>
            </w:pPr>
            <w:r w:rsidRPr="0067507D">
              <w:t>Commercial and financial advisory services to support the implementation of Affordable Housing Investment Partnerships (AHIP) (Phase 4)</w:t>
            </w:r>
          </w:p>
        </w:tc>
        <w:tc>
          <w:tcPr>
            <w:cnfStyle w:val="000001000000" w:firstRow="0" w:lastRow="0" w:firstColumn="0" w:lastColumn="0" w:oddVBand="0" w:evenVBand="1" w:oddHBand="0" w:evenHBand="0" w:firstRowFirstColumn="0" w:firstRowLastColumn="0" w:lastRowFirstColumn="0" w:lastRowLastColumn="0"/>
            <w:tcW w:w="1530" w:type="dxa"/>
            <w:noWrap/>
          </w:tcPr>
          <w:p w14:paraId="017E3464" w14:textId="77777777" w:rsidR="00C44155" w:rsidRPr="0067507D" w:rsidRDefault="00C44155" w:rsidP="00984851">
            <w:pPr>
              <w:pStyle w:val="Tabletextright"/>
            </w:pPr>
            <w:r w:rsidRPr="0067507D">
              <w:t>954 545</w:t>
            </w:r>
          </w:p>
        </w:tc>
        <w:tc>
          <w:tcPr>
            <w:cnfStyle w:val="000010000000" w:firstRow="0" w:lastRow="0" w:firstColumn="0" w:lastColumn="0" w:oddVBand="1" w:evenVBand="0" w:oddHBand="0" w:evenHBand="0" w:firstRowFirstColumn="0" w:firstRowLastColumn="0" w:lastRowFirstColumn="0" w:lastRowLastColumn="0"/>
            <w:tcW w:w="1320" w:type="dxa"/>
            <w:noWrap/>
          </w:tcPr>
          <w:p w14:paraId="61AC9C32" w14:textId="77777777" w:rsidR="00C44155" w:rsidRPr="0067507D" w:rsidRDefault="00C44155" w:rsidP="00984851">
            <w:pPr>
              <w:pStyle w:val="Tabletextright"/>
            </w:pPr>
            <w:r w:rsidRPr="0067507D">
              <w:t>701 949</w:t>
            </w:r>
          </w:p>
        </w:tc>
        <w:tc>
          <w:tcPr>
            <w:cnfStyle w:val="000001000000" w:firstRow="0" w:lastRow="0" w:firstColumn="0" w:lastColumn="0" w:oddVBand="0" w:evenVBand="1" w:oddHBand="0" w:evenHBand="0" w:firstRowFirstColumn="0" w:firstRowLastColumn="0" w:lastRowFirstColumn="0" w:lastRowLastColumn="0"/>
            <w:tcW w:w="1320" w:type="dxa"/>
            <w:noWrap/>
          </w:tcPr>
          <w:p w14:paraId="35F10906" w14:textId="77777777" w:rsidR="00C44155" w:rsidRPr="0067507D" w:rsidRDefault="00C44155" w:rsidP="00984851">
            <w:pPr>
              <w:pStyle w:val="Tabletextright"/>
            </w:pPr>
            <w:r w:rsidRPr="0067507D">
              <w:t>252 596</w:t>
            </w:r>
          </w:p>
        </w:tc>
      </w:tr>
      <w:tr w:rsidR="00C44155" w:rsidRPr="0067507D" w14:paraId="0EE0118B"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7FE9F18B" w14:textId="77777777" w:rsidR="00C44155" w:rsidRPr="0067507D" w:rsidRDefault="00C44155" w:rsidP="00984851">
            <w:pPr>
              <w:pStyle w:val="Tabletext"/>
            </w:pPr>
            <w:r w:rsidRPr="0067507D">
              <w:t>Deloitte Touche Tohmatsu</w:t>
            </w:r>
          </w:p>
        </w:tc>
        <w:tc>
          <w:tcPr>
            <w:cnfStyle w:val="000010000000" w:firstRow="0" w:lastRow="0" w:firstColumn="0" w:lastColumn="0" w:oddVBand="1" w:evenVBand="0" w:oddHBand="0" w:evenHBand="0" w:firstRowFirstColumn="0" w:firstRowLastColumn="0" w:lastRowFirstColumn="0" w:lastRowLastColumn="0"/>
            <w:tcW w:w="2880" w:type="dxa"/>
            <w:noWrap/>
          </w:tcPr>
          <w:p w14:paraId="4CE45E8D" w14:textId="77777777" w:rsidR="00C44155" w:rsidRPr="0067507D" w:rsidRDefault="00C44155" w:rsidP="00984851">
            <w:pPr>
              <w:pStyle w:val="Tabletext"/>
            </w:pPr>
            <w:r w:rsidRPr="0067507D">
              <w:t>Estimate the economic benefits of the early education reforms.</w:t>
            </w:r>
          </w:p>
        </w:tc>
        <w:tc>
          <w:tcPr>
            <w:cnfStyle w:val="000001000000" w:firstRow="0" w:lastRow="0" w:firstColumn="0" w:lastColumn="0" w:oddVBand="0" w:evenVBand="1" w:oddHBand="0" w:evenHBand="0" w:firstRowFirstColumn="0" w:firstRowLastColumn="0" w:lastRowFirstColumn="0" w:lastRowLastColumn="0"/>
            <w:tcW w:w="1530" w:type="dxa"/>
            <w:noWrap/>
          </w:tcPr>
          <w:p w14:paraId="700C2734" w14:textId="77777777" w:rsidR="00C44155" w:rsidRPr="0067507D" w:rsidRDefault="00C44155" w:rsidP="00984851">
            <w:pPr>
              <w:pStyle w:val="Tabletextright"/>
            </w:pPr>
            <w:r w:rsidRPr="0067507D">
              <w:t>284 079</w:t>
            </w:r>
          </w:p>
        </w:tc>
        <w:tc>
          <w:tcPr>
            <w:cnfStyle w:val="000010000000" w:firstRow="0" w:lastRow="0" w:firstColumn="0" w:lastColumn="0" w:oddVBand="1" w:evenVBand="0" w:oddHBand="0" w:evenHBand="0" w:firstRowFirstColumn="0" w:firstRowLastColumn="0" w:lastRowFirstColumn="0" w:lastRowLastColumn="0"/>
            <w:tcW w:w="1320" w:type="dxa"/>
            <w:noWrap/>
          </w:tcPr>
          <w:p w14:paraId="1D48E9E2" w14:textId="77777777" w:rsidR="00C44155" w:rsidRPr="0067507D" w:rsidRDefault="00C44155" w:rsidP="00984851">
            <w:pPr>
              <w:pStyle w:val="Tabletextright"/>
            </w:pPr>
            <w:r w:rsidRPr="0067507D">
              <w:t>45 455</w:t>
            </w:r>
          </w:p>
        </w:tc>
        <w:tc>
          <w:tcPr>
            <w:cnfStyle w:val="000001000000" w:firstRow="0" w:lastRow="0" w:firstColumn="0" w:lastColumn="0" w:oddVBand="0" w:evenVBand="1" w:oddHBand="0" w:evenHBand="0" w:firstRowFirstColumn="0" w:firstRowLastColumn="0" w:lastRowFirstColumn="0" w:lastRowLastColumn="0"/>
            <w:tcW w:w="1320" w:type="dxa"/>
            <w:noWrap/>
          </w:tcPr>
          <w:p w14:paraId="11413D79" w14:textId="7D0743D3" w:rsidR="00C44155" w:rsidRPr="0067507D" w:rsidRDefault="00B37818" w:rsidP="00984851">
            <w:pPr>
              <w:pStyle w:val="Tabletextright"/>
            </w:pPr>
            <w:r w:rsidRPr="0067507D">
              <w:t>–</w:t>
            </w:r>
          </w:p>
        </w:tc>
      </w:tr>
      <w:tr w:rsidR="00C44155" w:rsidRPr="0067507D" w14:paraId="5BC3788C"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450DB905" w14:textId="77777777" w:rsidR="00C44155" w:rsidRPr="0067507D" w:rsidRDefault="00C44155" w:rsidP="00984851">
            <w:pPr>
              <w:pStyle w:val="Tabletext"/>
            </w:pPr>
            <w:r w:rsidRPr="0067507D">
              <w:t>Deloitte Touche Tohmatsu</w:t>
            </w:r>
          </w:p>
        </w:tc>
        <w:tc>
          <w:tcPr>
            <w:cnfStyle w:val="000010000000" w:firstRow="0" w:lastRow="0" w:firstColumn="0" w:lastColumn="0" w:oddVBand="1" w:evenVBand="0" w:oddHBand="0" w:evenHBand="0" w:firstRowFirstColumn="0" w:firstRowLastColumn="0" w:lastRowFirstColumn="0" w:lastRowLastColumn="0"/>
            <w:tcW w:w="2880" w:type="dxa"/>
            <w:noWrap/>
          </w:tcPr>
          <w:p w14:paraId="3A7FBF25" w14:textId="77777777" w:rsidR="00C44155" w:rsidRPr="0067507D" w:rsidRDefault="00C44155" w:rsidP="00984851">
            <w:pPr>
              <w:pStyle w:val="Tabletext"/>
            </w:pPr>
            <w:r w:rsidRPr="0067507D">
              <w:t>Evaluation of Side by Side Partnership Addressing Disadvantage</w:t>
            </w:r>
          </w:p>
        </w:tc>
        <w:tc>
          <w:tcPr>
            <w:cnfStyle w:val="000001000000" w:firstRow="0" w:lastRow="0" w:firstColumn="0" w:lastColumn="0" w:oddVBand="0" w:evenVBand="1" w:oddHBand="0" w:evenHBand="0" w:firstRowFirstColumn="0" w:firstRowLastColumn="0" w:lastRowFirstColumn="0" w:lastRowLastColumn="0"/>
            <w:tcW w:w="1530" w:type="dxa"/>
            <w:noWrap/>
          </w:tcPr>
          <w:p w14:paraId="51D4CF79" w14:textId="77777777" w:rsidR="00C44155" w:rsidRPr="0067507D" w:rsidRDefault="00C44155" w:rsidP="00984851">
            <w:pPr>
              <w:pStyle w:val="Tabletextright"/>
            </w:pPr>
            <w:r w:rsidRPr="0067507D">
              <w:t>702 819</w:t>
            </w:r>
          </w:p>
        </w:tc>
        <w:tc>
          <w:tcPr>
            <w:cnfStyle w:val="000010000000" w:firstRow="0" w:lastRow="0" w:firstColumn="0" w:lastColumn="0" w:oddVBand="1" w:evenVBand="0" w:oddHBand="0" w:evenHBand="0" w:firstRowFirstColumn="0" w:firstRowLastColumn="0" w:lastRowFirstColumn="0" w:lastRowLastColumn="0"/>
            <w:tcW w:w="1320" w:type="dxa"/>
            <w:noWrap/>
          </w:tcPr>
          <w:p w14:paraId="6C283769" w14:textId="77777777" w:rsidR="00C44155" w:rsidRPr="0067507D" w:rsidRDefault="00C44155" w:rsidP="00984851">
            <w:pPr>
              <w:pStyle w:val="Tabletextright"/>
            </w:pPr>
            <w:r w:rsidRPr="0067507D">
              <w:t>46 496</w:t>
            </w:r>
          </w:p>
        </w:tc>
        <w:tc>
          <w:tcPr>
            <w:cnfStyle w:val="000001000000" w:firstRow="0" w:lastRow="0" w:firstColumn="0" w:lastColumn="0" w:oddVBand="0" w:evenVBand="1" w:oddHBand="0" w:evenHBand="0" w:firstRowFirstColumn="0" w:firstRowLastColumn="0" w:lastRowFirstColumn="0" w:lastRowLastColumn="0"/>
            <w:tcW w:w="1320" w:type="dxa"/>
            <w:noWrap/>
          </w:tcPr>
          <w:p w14:paraId="5DE2AAE8" w14:textId="77777777" w:rsidR="00C44155" w:rsidRPr="0067507D" w:rsidRDefault="00C44155" w:rsidP="00984851">
            <w:pPr>
              <w:pStyle w:val="Tabletextright"/>
            </w:pPr>
            <w:r w:rsidRPr="0067507D">
              <w:t>139 489</w:t>
            </w:r>
          </w:p>
        </w:tc>
      </w:tr>
      <w:tr w:rsidR="00C44155" w:rsidRPr="0067507D" w14:paraId="43D49DD4"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74F46CC5" w14:textId="77777777" w:rsidR="00C44155" w:rsidRPr="0067507D" w:rsidRDefault="00C44155" w:rsidP="00984851">
            <w:pPr>
              <w:pStyle w:val="Tabletext"/>
            </w:pPr>
            <w:r w:rsidRPr="0067507D">
              <w:t>Deloitte Touche Tohmatsu</w:t>
            </w:r>
          </w:p>
        </w:tc>
        <w:tc>
          <w:tcPr>
            <w:cnfStyle w:val="000010000000" w:firstRow="0" w:lastRow="0" w:firstColumn="0" w:lastColumn="0" w:oddVBand="1" w:evenVBand="0" w:oddHBand="0" w:evenHBand="0" w:firstRowFirstColumn="0" w:firstRowLastColumn="0" w:lastRowFirstColumn="0" w:lastRowLastColumn="0"/>
            <w:tcW w:w="2880" w:type="dxa"/>
            <w:noWrap/>
          </w:tcPr>
          <w:p w14:paraId="5FFDC091" w14:textId="77777777" w:rsidR="00C44155" w:rsidRPr="0067507D" w:rsidRDefault="00C44155" w:rsidP="00984851">
            <w:pPr>
              <w:pStyle w:val="Tabletext"/>
            </w:pPr>
            <w:r w:rsidRPr="0067507D">
              <w:t>National Labour Hire Regulator ICT Requirements and Solutions Options</w:t>
            </w:r>
          </w:p>
        </w:tc>
        <w:tc>
          <w:tcPr>
            <w:cnfStyle w:val="000001000000" w:firstRow="0" w:lastRow="0" w:firstColumn="0" w:lastColumn="0" w:oddVBand="0" w:evenVBand="1" w:oddHBand="0" w:evenHBand="0" w:firstRowFirstColumn="0" w:firstRowLastColumn="0" w:lastRowFirstColumn="0" w:lastRowLastColumn="0"/>
            <w:tcW w:w="1530" w:type="dxa"/>
            <w:noWrap/>
          </w:tcPr>
          <w:p w14:paraId="24D17662" w14:textId="77777777" w:rsidR="00C44155" w:rsidRPr="0067507D" w:rsidRDefault="00C44155" w:rsidP="00984851">
            <w:pPr>
              <w:pStyle w:val="Tabletextright"/>
            </w:pPr>
            <w:r w:rsidRPr="0067507D">
              <w:t>423 143</w:t>
            </w:r>
          </w:p>
        </w:tc>
        <w:tc>
          <w:tcPr>
            <w:cnfStyle w:val="000010000000" w:firstRow="0" w:lastRow="0" w:firstColumn="0" w:lastColumn="0" w:oddVBand="1" w:evenVBand="0" w:oddHBand="0" w:evenHBand="0" w:firstRowFirstColumn="0" w:firstRowLastColumn="0" w:lastRowFirstColumn="0" w:lastRowLastColumn="0"/>
            <w:tcW w:w="1320" w:type="dxa"/>
            <w:noWrap/>
          </w:tcPr>
          <w:p w14:paraId="12B7632C" w14:textId="77777777" w:rsidR="00C44155" w:rsidRPr="0067507D" w:rsidRDefault="00C44155" w:rsidP="00984851">
            <w:pPr>
              <w:pStyle w:val="Tabletextright"/>
            </w:pPr>
            <w:r w:rsidRPr="0067507D">
              <w:t>338 514</w:t>
            </w:r>
          </w:p>
        </w:tc>
        <w:tc>
          <w:tcPr>
            <w:cnfStyle w:val="000001000000" w:firstRow="0" w:lastRow="0" w:firstColumn="0" w:lastColumn="0" w:oddVBand="0" w:evenVBand="1" w:oddHBand="0" w:evenHBand="0" w:firstRowFirstColumn="0" w:firstRowLastColumn="0" w:lastRowFirstColumn="0" w:lastRowLastColumn="0"/>
            <w:tcW w:w="1320" w:type="dxa"/>
            <w:noWrap/>
          </w:tcPr>
          <w:p w14:paraId="20645319" w14:textId="77777777" w:rsidR="00C44155" w:rsidRPr="0067507D" w:rsidRDefault="00C44155" w:rsidP="00984851">
            <w:pPr>
              <w:pStyle w:val="Tabletextright"/>
            </w:pPr>
            <w:r w:rsidRPr="0067507D">
              <w:t>84 629</w:t>
            </w:r>
          </w:p>
        </w:tc>
      </w:tr>
      <w:tr w:rsidR="00C44155" w:rsidRPr="0067507D" w14:paraId="198A69E8"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4EB7AD40" w14:textId="77777777" w:rsidR="00C44155" w:rsidRPr="0067507D" w:rsidRDefault="00C44155" w:rsidP="00984851">
            <w:pPr>
              <w:pStyle w:val="Tabletext"/>
            </w:pPr>
            <w:r w:rsidRPr="0067507D">
              <w:lastRenderedPageBreak/>
              <w:t>E3 Advisory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777E44EA" w14:textId="77777777" w:rsidR="00C44155" w:rsidRPr="0067507D" w:rsidRDefault="00C44155" w:rsidP="00984851">
            <w:pPr>
              <w:pStyle w:val="Tabletext"/>
            </w:pPr>
            <w:r w:rsidRPr="0067507D">
              <w:t>Assurance review</w:t>
            </w:r>
          </w:p>
        </w:tc>
        <w:tc>
          <w:tcPr>
            <w:cnfStyle w:val="000001000000" w:firstRow="0" w:lastRow="0" w:firstColumn="0" w:lastColumn="0" w:oddVBand="0" w:evenVBand="1" w:oddHBand="0" w:evenHBand="0" w:firstRowFirstColumn="0" w:firstRowLastColumn="0" w:lastRowFirstColumn="0" w:lastRowLastColumn="0"/>
            <w:tcW w:w="1530" w:type="dxa"/>
            <w:noWrap/>
          </w:tcPr>
          <w:p w14:paraId="4226CEF3" w14:textId="77777777" w:rsidR="00C44155" w:rsidRPr="0067507D" w:rsidRDefault="00C44155" w:rsidP="00984851">
            <w:pPr>
              <w:pStyle w:val="Tabletextright"/>
            </w:pPr>
            <w:r w:rsidRPr="0067507D">
              <w:t>363 363</w:t>
            </w:r>
          </w:p>
        </w:tc>
        <w:tc>
          <w:tcPr>
            <w:cnfStyle w:val="000010000000" w:firstRow="0" w:lastRow="0" w:firstColumn="0" w:lastColumn="0" w:oddVBand="1" w:evenVBand="0" w:oddHBand="0" w:evenHBand="0" w:firstRowFirstColumn="0" w:firstRowLastColumn="0" w:lastRowFirstColumn="0" w:lastRowLastColumn="0"/>
            <w:tcW w:w="1320" w:type="dxa"/>
            <w:noWrap/>
          </w:tcPr>
          <w:p w14:paraId="65DE298D" w14:textId="77777777" w:rsidR="00C44155" w:rsidRPr="0067507D" w:rsidRDefault="00C44155" w:rsidP="00984851">
            <w:pPr>
              <w:pStyle w:val="Tabletextright"/>
            </w:pPr>
            <w:r w:rsidRPr="0067507D">
              <w:t>190 650</w:t>
            </w:r>
          </w:p>
        </w:tc>
        <w:tc>
          <w:tcPr>
            <w:cnfStyle w:val="000001000000" w:firstRow="0" w:lastRow="0" w:firstColumn="0" w:lastColumn="0" w:oddVBand="0" w:evenVBand="1" w:oddHBand="0" w:evenHBand="0" w:firstRowFirstColumn="0" w:firstRowLastColumn="0" w:lastRowFirstColumn="0" w:lastRowLastColumn="0"/>
            <w:tcW w:w="1320" w:type="dxa"/>
            <w:noWrap/>
          </w:tcPr>
          <w:p w14:paraId="16ECE7EF" w14:textId="77777777" w:rsidR="00C44155" w:rsidRPr="0067507D" w:rsidRDefault="00C44155" w:rsidP="00984851">
            <w:pPr>
              <w:pStyle w:val="Tabletextright"/>
            </w:pPr>
            <w:r w:rsidRPr="0067507D">
              <w:t>75 174</w:t>
            </w:r>
          </w:p>
        </w:tc>
      </w:tr>
      <w:tr w:rsidR="00C44155" w:rsidRPr="0067507D" w14:paraId="393DBBD9"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E0DB7F4" w14:textId="77777777" w:rsidR="00C44155" w:rsidRPr="0067507D" w:rsidRDefault="00C44155" w:rsidP="00984851">
            <w:pPr>
              <w:pStyle w:val="Tabletext"/>
            </w:pPr>
            <w:r w:rsidRPr="0067507D">
              <w:t>Ernst &amp; Young</w:t>
            </w:r>
          </w:p>
        </w:tc>
        <w:tc>
          <w:tcPr>
            <w:cnfStyle w:val="000010000000" w:firstRow="0" w:lastRow="0" w:firstColumn="0" w:lastColumn="0" w:oddVBand="1" w:evenVBand="0" w:oddHBand="0" w:evenHBand="0" w:firstRowFirstColumn="0" w:firstRowLastColumn="0" w:lastRowFirstColumn="0" w:lastRowLastColumn="0"/>
            <w:tcW w:w="2880" w:type="dxa"/>
            <w:noWrap/>
          </w:tcPr>
          <w:p w14:paraId="1F570135" w14:textId="77777777" w:rsidR="00C44155" w:rsidRPr="0067507D" w:rsidRDefault="00C44155" w:rsidP="00984851">
            <w:pPr>
              <w:pStyle w:val="Tabletext"/>
            </w:pPr>
            <w:r w:rsidRPr="0067507D">
              <w:t>Commercial and transaction advice</w:t>
            </w:r>
          </w:p>
        </w:tc>
        <w:tc>
          <w:tcPr>
            <w:cnfStyle w:val="000001000000" w:firstRow="0" w:lastRow="0" w:firstColumn="0" w:lastColumn="0" w:oddVBand="0" w:evenVBand="1" w:oddHBand="0" w:evenHBand="0" w:firstRowFirstColumn="0" w:firstRowLastColumn="0" w:lastRowFirstColumn="0" w:lastRowLastColumn="0"/>
            <w:tcW w:w="1530" w:type="dxa"/>
            <w:noWrap/>
          </w:tcPr>
          <w:p w14:paraId="67D60194" w14:textId="77777777" w:rsidR="00C44155" w:rsidRPr="0067507D" w:rsidRDefault="00C44155" w:rsidP="00984851">
            <w:pPr>
              <w:pStyle w:val="Tabletextright"/>
            </w:pPr>
            <w:r w:rsidRPr="0067507D">
              <w:t>234 100</w:t>
            </w:r>
          </w:p>
        </w:tc>
        <w:tc>
          <w:tcPr>
            <w:cnfStyle w:val="000010000000" w:firstRow="0" w:lastRow="0" w:firstColumn="0" w:lastColumn="0" w:oddVBand="1" w:evenVBand="0" w:oddHBand="0" w:evenHBand="0" w:firstRowFirstColumn="0" w:firstRowLastColumn="0" w:lastRowFirstColumn="0" w:lastRowLastColumn="0"/>
            <w:tcW w:w="1320" w:type="dxa"/>
            <w:noWrap/>
          </w:tcPr>
          <w:p w14:paraId="180774DE" w14:textId="77777777" w:rsidR="00C44155" w:rsidRPr="0067507D" w:rsidRDefault="00C44155" w:rsidP="00984851">
            <w:pPr>
              <w:pStyle w:val="Tabletextright"/>
            </w:pPr>
            <w:r w:rsidRPr="0067507D">
              <w:t>234 100</w:t>
            </w:r>
          </w:p>
        </w:tc>
        <w:tc>
          <w:tcPr>
            <w:cnfStyle w:val="000001000000" w:firstRow="0" w:lastRow="0" w:firstColumn="0" w:lastColumn="0" w:oddVBand="0" w:evenVBand="1" w:oddHBand="0" w:evenHBand="0" w:firstRowFirstColumn="0" w:firstRowLastColumn="0" w:lastRowFirstColumn="0" w:lastRowLastColumn="0"/>
            <w:tcW w:w="1320" w:type="dxa"/>
            <w:noWrap/>
          </w:tcPr>
          <w:p w14:paraId="711B23EA" w14:textId="6ACB06F9" w:rsidR="00C44155" w:rsidRPr="0067507D" w:rsidRDefault="00B37818" w:rsidP="00984851">
            <w:pPr>
              <w:pStyle w:val="Tabletextright"/>
            </w:pPr>
            <w:r w:rsidRPr="0067507D">
              <w:t>–</w:t>
            </w:r>
          </w:p>
        </w:tc>
      </w:tr>
      <w:tr w:rsidR="00C44155" w:rsidRPr="0067507D" w14:paraId="3E0238DA"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105C46C8" w14:textId="77777777" w:rsidR="00C44155" w:rsidRPr="0067507D" w:rsidRDefault="00C44155" w:rsidP="00984851">
            <w:pPr>
              <w:pStyle w:val="Tabletext"/>
            </w:pPr>
            <w:r w:rsidRPr="0067507D">
              <w:t>Ernst &amp; Young</w:t>
            </w:r>
          </w:p>
        </w:tc>
        <w:tc>
          <w:tcPr>
            <w:cnfStyle w:val="000010000000" w:firstRow="0" w:lastRow="0" w:firstColumn="0" w:lastColumn="0" w:oddVBand="1" w:evenVBand="0" w:oddHBand="0" w:evenHBand="0" w:firstRowFirstColumn="0" w:firstRowLastColumn="0" w:lastRowFirstColumn="0" w:lastRowLastColumn="0"/>
            <w:tcW w:w="2880" w:type="dxa"/>
            <w:noWrap/>
          </w:tcPr>
          <w:p w14:paraId="3F141D0E" w14:textId="77777777" w:rsidR="00C44155" w:rsidRPr="0067507D" w:rsidRDefault="00C44155" w:rsidP="00984851">
            <w:pPr>
              <w:pStyle w:val="Tabletext"/>
            </w:pPr>
            <w:r w:rsidRPr="0067507D">
              <w:t>Consultancy to support financial management reform in Victoria</w:t>
            </w:r>
          </w:p>
        </w:tc>
        <w:tc>
          <w:tcPr>
            <w:cnfStyle w:val="000001000000" w:firstRow="0" w:lastRow="0" w:firstColumn="0" w:lastColumn="0" w:oddVBand="0" w:evenVBand="1" w:oddHBand="0" w:evenHBand="0" w:firstRowFirstColumn="0" w:firstRowLastColumn="0" w:lastRowFirstColumn="0" w:lastRowLastColumn="0"/>
            <w:tcW w:w="1530" w:type="dxa"/>
            <w:noWrap/>
          </w:tcPr>
          <w:p w14:paraId="01AB76FC" w14:textId="77777777" w:rsidR="00C44155" w:rsidRPr="0067507D" w:rsidRDefault="00C44155" w:rsidP="00984851">
            <w:pPr>
              <w:pStyle w:val="Tabletextright"/>
            </w:pPr>
            <w:r w:rsidRPr="0067507D">
              <w:t>129 998</w:t>
            </w:r>
          </w:p>
        </w:tc>
        <w:tc>
          <w:tcPr>
            <w:cnfStyle w:val="000010000000" w:firstRow="0" w:lastRow="0" w:firstColumn="0" w:lastColumn="0" w:oddVBand="1" w:evenVBand="0" w:oddHBand="0" w:evenHBand="0" w:firstRowFirstColumn="0" w:firstRowLastColumn="0" w:lastRowFirstColumn="0" w:lastRowLastColumn="0"/>
            <w:tcW w:w="1320" w:type="dxa"/>
            <w:noWrap/>
          </w:tcPr>
          <w:p w14:paraId="2A004D4F" w14:textId="77777777" w:rsidR="00C44155" w:rsidRPr="0067507D" w:rsidRDefault="00C44155" w:rsidP="00984851">
            <w:pPr>
              <w:pStyle w:val="Tabletextright"/>
            </w:pPr>
            <w:r w:rsidRPr="0067507D">
              <w:t>129 998</w:t>
            </w:r>
          </w:p>
        </w:tc>
        <w:tc>
          <w:tcPr>
            <w:cnfStyle w:val="000001000000" w:firstRow="0" w:lastRow="0" w:firstColumn="0" w:lastColumn="0" w:oddVBand="0" w:evenVBand="1" w:oddHBand="0" w:evenHBand="0" w:firstRowFirstColumn="0" w:firstRowLastColumn="0" w:lastRowFirstColumn="0" w:lastRowLastColumn="0"/>
            <w:tcW w:w="1320" w:type="dxa"/>
            <w:noWrap/>
          </w:tcPr>
          <w:p w14:paraId="68A2862C" w14:textId="53EB0B47" w:rsidR="00C44155" w:rsidRPr="0067507D" w:rsidRDefault="00B37818" w:rsidP="00984851">
            <w:pPr>
              <w:pStyle w:val="Tabletextright"/>
            </w:pPr>
            <w:r w:rsidRPr="0067507D">
              <w:t>–</w:t>
            </w:r>
          </w:p>
        </w:tc>
      </w:tr>
      <w:tr w:rsidR="00C44155" w:rsidRPr="0067507D" w14:paraId="38E197B8"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764BC820" w14:textId="77777777" w:rsidR="00C44155" w:rsidRPr="0067507D" w:rsidRDefault="00C44155" w:rsidP="00984851">
            <w:pPr>
              <w:pStyle w:val="Tabletext"/>
            </w:pPr>
            <w:r w:rsidRPr="0067507D">
              <w:t>Ernst &amp; Young</w:t>
            </w:r>
          </w:p>
        </w:tc>
        <w:tc>
          <w:tcPr>
            <w:cnfStyle w:val="000010000000" w:firstRow="0" w:lastRow="0" w:firstColumn="0" w:lastColumn="0" w:oddVBand="1" w:evenVBand="0" w:oddHBand="0" w:evenHBand="0" w:firstRowFirstColumn="0" w:firstRowLastColumn="0" w:lastRowFirstColumn="0" w:lastRowLastColumn="0"/>
            <w:tcW w:w="2880" w:type="dxa"/>
            <w:noWrap/>
          </w:tcPr>
          <w:p w14:paraId="54497806" w14:textId="77777777" w:rsidR="00C44155" w:rsidRPr="0067507D" w:rsidRDefault="00C44155" w:rsidP="00984851">
            <w:pPr>
              <w:pStyle w:val="Tabletext"/>
            </w:pPr>
            <w:r w:rsidRPr="0067507D">
              <w:t xml:space="preserve">Provision of prudential supervision services for Treasury Corporation of Victoria (TCV) </w:t>
            </w:r>
          </w:p>
        </w:tc>
        <w:tc>
          <w:tcPr>
            <w:cnfStyle w:val="000001000000" w:firstRow="0" w:lastRow="0" w:firstColumn="0" w:lastColumn="0" w:oddVBand="0" w:evenVBand="1" w:oddHBand="0" w:evenHBand="0" w:firstRowFirstColumn="0" w:firstRowLastColumn="0" w:lastRowFirstColumn="0" w:lastRowLastColumn="0"/>
            <w:tcW w:w="1530" w:type="dxa"/>
            <w:noWrap/>
          </w:tcPr>
          <w:p w14:paraId="218E5686" w14:textId="77777777" w:rsidR="00C44155" w:rsidRPr="0067507D" w:rsidRDefault="00C44155" w:rsidP="00984851">
            <w:pPr>
              <w:pStyle w:val="Tabletextright"/>
            </w:pPr>
            <w:r w:rsidRPr="0067507D">
              <w:t>700 000</w:t>
            </w:r>
          </w:p>
        </w:tc>
        <w:tc>
          <w:tcPr>
            <w:cnfStyle w:val="000010000000" w:firstRow="0" w:lastRow="0" w:firstColumn="0" w:lastColumn="0" w:oddVBand="1" w:evenVBand="0" w:oddHBand="0" w:evenHBand="0" w:firstRowFirstColumn="0" w:firstRowLastColumn="0" w:lastRowFirstColumn="0" w:lastRowLastColumn="0"/>
            <w:tcW w:w="1320" w:type="dxa"/>
            <w:noWrap/>
          </w:tcPr>
          <w:p w14:paraId="6C9A0C13" w14:textId="77777777" w:rsidR="00C44155" w:rsidRPr="0067507D" w:rsidRDefault="00C44155" w:rsidP="00984851">
            <w:pPr>
              <w:pStyle w:val="Tabletextright"/>
            </w:pPr>
            <w:r w:rsidRPr="0067507D">
              <w:t>100 000</w:t>
            </w:r>
          </w:p>
        </w:tc>
        <w:tc>
          <w:tcPr>
            <w:cnfStyle w:val="000001000000" w:firstRow="0" w:lastRow="0" w:firstColumn="0" w:lastColumn="0" w:oddVBand="0" w:evenVBand="1" w:oddHBand="0" w:evenHBand="0" w:firstRowFirstColumn="0" w:firstRowLastColumn="0" w:lastRowFirstColumn="0" w:lastRowLastColumn="0"/>
            <w:tcW w:w="1320" w:type="dxa"/>
            <w:noWrap/>
          </w:tcPr>
          <w:p w14:paraId="6CCE13FC" w14:textId="77777777" w:rsidR="00C44155" w:rsidRPr="0067507D" w:rsidRDefault="00C44155" w:rsidP="00984851">
            <w:pPr>
              <w:pStyle w:val="Tabletextright"/>
            </w:pPr>
            <w:r w:rsidRPr="0067507D">
              <w:t>50 000</w:t>
            </w:r>
          </w:p>
        </w:tc>
      </w:tr>
      <w:tr w:rsidR="00B829F2" w:rsidRPr="0067507D" w14:paraId="39260D9F" w14:textId="77777777" w:rsidTr="00034A8D">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5C9052D3" w14:textId="576066B3" w:rsidR="00B829F2" w:rsidRPr="0067507D" w:rsidRDefault="00B829F2" w:rsidP="00034A8D">
            <w:pPr>
              <w:pStyle w:val="Tabletext"/>
            </w:pPr>
            <w:r w:rsidRPr="0067507D">
              <w:t>Ernst &amp; Young</w:t>
            </w:r>
          </w:p>
        </w:tc>
        <w:tc>
          <w:tcPr>
            <w:cnfStyle w:val="000010000000" w:firstRow="0" w:lastRow="0" w:firstColumn="0" w:lastColumn="0" w:oddVBand="1" w:evenVBand="0" w:oddHBand="0" w:evenHBand="0" w:firstRowFirstColumn="0" w:firstRowLastColumn="0" w:lastRowFirstColumn="0" w:lastRowLastColumn="0"/>
            <w:tcW w:w="2880" w:type="dxa"/>
            <w:noWrap/>
          </w:tcPr>
          <w:p w14:paraId="27C660D7" w14:textId="548C162D" w:rsidR="00B829F2" w:rsidRPr="0067507D" w:rsidRDefault="008748C7" w:rsidP="00034A8D">
            <w:pPr>
              <w:pStyle w:val="Tabletext"/>
            </w:pPr>
            <w:r w:rsidRPr="0067507D">
              <w:t xml:space="preserve">Support for the Independent </w:t>
            </w:r>
            <w:r w:rsidR="00FC1F0D" w:rsidRPr="0067507D">
              <w:t>R</w:t>
            </w:r>
            <w:r w:rsidRPr="0067507D">
              <w:t>eview into the Victorian Public Sector</w:t>
            </w:r>
          </w:p>
        </w:tc>
        <w:tc>
          <w:tcPr>
            <w:cnfStyle w:val="000001000000" w:firstRow="0" w:lastRow="0" w:firstColumn="0" w:lastColumn="0" w:oddVBand="0" w:evenVBand="1" w:oddHBand="0" w:evenHBand="0" w:firstRowFirstColumn="0" w:firstRowLastColumn="0" w:lastRowFirstColumn="0" w:lastRowLastColumn="0"/>
            <w:tcW w:w="1530" w:type="dxa"/>
            <w:noWrap/>
          </w:tcPr>
          <w:p w14:paraId="007DD913" w14:textId="1D3BAF5D" w:rsidR="00B829F2" w:rsidRPr="0067507D" w:rsidRDefault="003C006A" w:rsidP="005E36E5">
            <w:pPr>
              <w:pStyle w:val="Tabletextright"/>
            </w:pPr>
            <w:r w:rsidRPr="0067507D">
              <w:t>9</w:t>
            </w:r>
            <w:r w:rsidR="00B95C8A" w:rsidRPr="0067507D">
              <w:t>0</w:t>
            </w:r>
            <w:r w:rsidRPr="0067507D">
              <w:t xml:space="preserve"> 000</w:t>
            </w:r>
          </w:p>
        </w:tc>
        <w:tc>
          <w:tcPr>
            <w:cnfStyle w:val="000010000000" w:firstRow="0" w:lastRow="0" w:firstColumn="0" w:lastColumn="0" w:oddVBand="1" w:evenVBand="0" w:oddHBand="0" w:evenHBand="0" w:firstRowFirstColumn="0" w:firstRowLastColumn="0" w:lastRowFirstColumn="0" w:lastRowLastColumn="0"/>
            <w:tcW w:w="1320" w:type="dxa"/>
            <w:noWrap/>
          </w:tcPr>
          <w:p w14:paraId="76FD4D85" w14:textId="53AF9468" w:rsidR="00B829F2" w:rsidRPr="0067507D" w:rsidRDefault="00A3450F" w:rsidP="005E36E5">
            <w:pPr>
              <w:pStyle w:val="Tabletextright"/>
            </w:pPr>
            <w:r w:rsidRPr="0067507D">
              <w:t>9</w:t>
            </w:r>
            <w:r w:rsidR="00B95C8A" w:rsidRPr="0067507D">
              <w:t>0</w:t>
            </w:r>
            <w:r w:rsidRPr="0067507D">
              <w:t xml:space="preserve"> 000</w:t>
            </w:r>
          </w:p>
        </w:tc>
        <w:tc>
          <w:tcPr>
            <w:cnfStyle w:val="000001000000" w:firstRow="0" w:lastRow="0" w:firstColumn="0" w:lastColumn="0" w:oddVBand="0" w:evenVBand="1" w:oddHBand="0" w:evenHBand="0" w:firstRowFirstColumn="0" w:firstRowLastColumn="0" w:lastRowFirstColumn="0" w:lastRowLastColumn="0"/>
            <w:tcW w:w="1320" w:type="dxa"/>
            <w:noWrap/>
          </w:tcPr>
          <w:p w14:paraId="6E93DA2E" w14:textId="03DBF8B3" w:rsidR="00B829F2" w:rsidRPr="0067507D" w:rsidRDefault="00610836" w:rsidP="005E36E5">
            <w:pPr>
              <w:pStyle w:val="Tabletextright"/>
            </w:pPr>
            <w:r>
              <w:t>–</w:t>
            </w:r>
          </w:p>
        </w:tc>
      </w:tr>
      <w:tr w:rsidR="008414DC" w:rsidRPr="0067507D" w14:paraId="2AB6C3B6" w14:textId="77777777" w:rsidTr="00034A8D">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8DC3BF8" w14:textId="74EE3F1B" w:rsidR="008414DC" w:rsidRPr="0067507D" w:rsidRDefault="008414DC" w:rsidP="008414DC">
            <w:pPr>
              <w:pStyle w:val="Tabletext"/>
              <w:rPr>
                <w:rStyle w:val="CommentReference"/>
                <w:rFonts w:eastAsiaTheme="minorHAnsi" w:cstheme="minorBidi"/>
                <w:color w:val="auto"/>
                <w:lang w:eastAsia="en-US"/>
              </w:rPr>
            </w:pPr>
            <w:r w:rsidRPr="0067507D">
              <w:t>Ernst &amp; Young</w:t>
            </w:r>
          </w:p>
        </w:tc>
        <w:tc>
          <w:tcPr>
            <w:cnfStyle w:val="000010000000" w:firstRow="0" w:lastRow="0" w:firstColumn="0" w:lastColumn="0" w:oddVBand="1" w:evenVBand="0" w:oddHBand="0" w:evenHBand="0" w:firstRowFirstColumn="0" w:firstRowLastColumn="0" w:lastRowFirstColumn="0" w:lastRowLastColumn="0"/>
            <w:tcW w:w="2880" w:type="dxa"/>
            <w:noWrap/>
          </w:tcPr>
          <w:p w14:paraId="63F58703" w14:textId="0881E7E0" w:rsidR="008414DC" w:rsidRPr="0067507D" w:rsidRDefault="008414DC" w:rsidP="008414DC">
            <w:pPr>
              <w:pStyle w:val="Tabletext"/>
            </w:pPr>
            <w:r w:rsidRPr="0067507D">
              <w:t xml:space="preserve">Support for the Independent </w:t>
            </w:r>
            <w:r w:rsidR="00FC1F0D" w:rsidRPr="0067507D">
              <w:t>R</w:t>
            </w:r>
            <w:r w:rsidRPr="0067507D">
              <w:t>eview into the Victorian Public Sector</w:t>
            </w:r>
          </w:p>
        </w:tc>
        <w:tc>
          <w:tcPr>
            <w:cnfStyle w:val="000001000000" w:firstRow="0" w:lastRow="0" w:firstColumn="0" w:lastColumn="0" w:oddVBand="0" w:evenVBand="1" w:oddHBand="0" w:evenHBand="0" w:firstRowFirstColumn="0" w:firstRowLastColumn="0" w:lastRowFirstColumn="0" w:lastRowLastColumn="0"/>
            <w:tcW w:w="1530" w:type="dxa"/>
            <w:noWrap/>
          </w:tcPr>
          <w:p w14:paraId="5D4969D6" w14:textId="2264C747" w:rsidR="008414DC" w:rsidRPr="0067507D" w:rsidRDefault="008414DC" w:rsidP="008414DC">
            <w:pPr>
              <w:pStyle w:val="Tabletextright"/>
            </w:pPr>
            <w:r w:rsidRPr="0067507D">
              <w:t>346 000</w:t>
            </w:r>
          </w:p>
        </w:tc>
        <w:tc>
          <w:tcPr>
            <w:cnfStyle w:val="000010000000" w:firstRow="0" w:lastRow="0" w:firstColumn="0" w:lastColumn="0" w:oddVBand="1" w:evenVBand="0" w:oddHBand="0" w:evenHBand="0" w:firstRowFirstColumn="0" w:firstRowLastColumn="0" w:lastRowFirstColumn="0" w:lastRowLastColumn="0"/>
            <w:tcW w:w="1320" w:type="dxa"/>
            <w:noWrap/>
          </w:tcPr>
          <w:p w14:paraId="646E1839" w14:textId="514C1990" w:rsidR="008414DC" w:rsidRPr="0067507D" w:rsidRDefault="008414DC" w:rsidP="008414DC">
            <w:pPr>
              <w:pStyle w:val="Tabletextright"/>
            </w:pPr>
            <w:r w:rsidRPr="0067507D">
              <w:t>346 000</w:t>
            </w:r>
          </w:p>
        </w:tc>
        <w:tc>
          <w:tcPr>
            <w:cnfStyle w:val="000001000000" w:firstRow="0" w:lastRow="0" w:firstColumn="0" w:lastColumn="0" w:oddVBand="0" w:evenVBand="1" w:oddHBand="0" w:evenHBand="0" w:firstRowFirstColumn="0" w:firstRowLastColumn="0" w:lastRowFirstColumn="0" w:lastRowLastColumn="0"/>
            <w:tcW w:w="1320" w:type="dxa"/>
            <w:noWrap/>
          </w:tcPr>
          <w:p w14:paraId="6EA4289B" w14:textId="0E445EA9" w:rsidR="008414DC" w:rsidRPr="0067507D" w:rsidRDefault="00610836" w:rsidP="008414DC">
            <w:pPr>
              <w:pStyle w:val="Tabletextright"/>
            </w:pPr>
            <w:r>
              <w:t>–</w:t>
            </w:r>
          </w:p>
        </w:tc>
      </w:tr>
      <w:tr w:rsidR="008414DC" w:rsidRPr="0067507D" w14:paraId="23AE61AA" w14:textId="77777777" w:rsidTr="000F0D8E">
        <w:trPr>
          <w:trHeight w:val="300"/>
        </w:trPr>
        <w:tc>
          <w:tcPr>
            <w:cnfStyle w:val="001000000000" w:firstRow="0" w:lastRow="0" w:firstColumn="1" w:lastColumn="0" w:oddVBand="0" w:evenVBand="0" w:oddHBand="0" w:evenHBand="0" w:firstRowFirstColumn="0" w:firstRowLastColumn="0" w:lastRowFirstColumn="0" w:lastRowLastColumn="0"/>
            <w:tcW w:w="0" w:type="dxa"/>
            <w:noWrap/>
          </w:tcPr>
          <w:p w14:paraId="5B7551D9" w14:textId="0F16F1D5" w:rsidR="008414DC" w:rsidRPr="0067507D" w:rsidRDefault="008414DC" w:rsidP="008414DC">
            <w:pPr>
              <w:pStyle w:val="Tabletext"/>
            </w:pPr>
            <w:r w:rsidRPr="0067507D">
              <w:t>Gilbert &amp; Tobin</w:t>
            </w:r>
          </w:p>
        </w:tc>
        <w:tc>
          <w:tcPr>
            <w:cnfStyle w:val="000010000000" w:firstRow="0" w:lastRow="0" w:firstColumn="0" w:lastColumn="0" w:oddVBand="1" w:evenVBand="0" w:oddHBand="0" w:evenHBand="0" w:firstRowFirstColumn="0" w:firstRowLastColumn="0" w:lastRowFirstColumn="0" w:lastRowLastColumn="0"/>
            <w:tcW w:w="0" w:type="dxa"/>
            <w:noWrap/>
          </w:tcPr>
          <w:p w14:paraId="3ED1E286" w14:textId="2D185704" w:rsidR="008414DC" w:rsidRPr="0067507D" w:rsidRDefault="008414DC" w:rsidP="008414DC">
            <w:pPr>
              <w:pStyle w:val="Tabletext"/>
            </w:pPr>
            <w:r w:rsidRPr="0067507D">
              <w:t>Support for the Independent Review into the Victorian Public Sector</w:t>
            </w:r>
          </w:p>
        </w:tc>
        <w:tc>
          <w:tcPr>
            <w:cnfStyle w:val="000001000000" w:firstRow="0" w:lastRow="0" w:firstColumn="0" w:lastColumn="0" w:oddVBand="0" w:evenVBand="1" w:oddHBand="0" w:evenHBand="0" w:firstRowFirstColumn="0" w:firstRowLastColumn="0" w:lastRowFirstColumn="0" w:lastRowLastColumn="0"/>
            <w:tcW w:w="0" w:type="dxa"/>
            <w:noWrap/>
          </w:tcPr>
          <w:p w14:paraId="14EC0FB7" w14:textId="4FF055AA" w:rsidR="008414DC" w:rsidRPr="0067507D" w:rsidRDefault="008414DC" w:rsidP="008414DC">
            <w:pPr>
              <w:pStyle w:val="Tabletextright"/>
            </w:pPr>
            <w:r w:rsidRPr="0067507D">
              <w:t>1 384 374</w:t>
            </w:r>
          </w:p>
        </w:tc>
        <w:tc>
          <w:tcPr>
            <w:cnfStyle w:val="000010000000" w:firstRow="0" w:lastRow="0" w:firstColumn="0" w:lastColumn="0" w:oddVBand="1" w:evenVBand="0" w:oddHBand="0" w:evenHBand="0" w:firstRowFirstColumn="0" w:firstRowLastColumn="0" w:lastRowFirstColumn="0" w:lastRowLastColumn="0"/>
            <w:tcW w:w="0" w:type="dxa"/>
            <w:noWrap/>
          </w:tcPr>
          <w:p w14:paraId="3F239B93" w14:textId="7AA92702" w:rsidR="008414DC" w:rsidRPr="0067507D" w:rsidRDefault="004B7E96" w:rsidP="008414DC">
            <w:pPr>
              <w:pStyle w:val="Tabletextright"/>
            </w:pPr>
            <w:r w:rsidRPr="0067507D">
              <w:t>1</w:t>
            </w:r>
            <w:r w:rsidR="00263174" w:rsidRPr="0067507D">
              <w:t xml:space="preserve"> 366 723</w:t>
            </w:r>
          </w:p>
        </w:tc>
        <w:tc>
          <w:tcPr>
            <w:cnfStyle w:val="000001000000" w:firstRow="0" w:lastRow="0" w:firstColumn="0" w:lastColumn="0" w:oddVBand="0" w:evenVBand="1" w:oddHBand="0" w:evenHBand="0" w:firstRowFirstColumn="0" w:firstRowLastColumn="0" w:lastRowFirstColumn="0" w:lastRowLastColumn="0"/>
            <w:tcW w:w="0" w:type="dxa"/>
            <w:noWrap/>
          </w:tcPr>
          <w:p w14:paraId="541423CD" w14:textId="53E5140C" w:rsidR="008414DC" w:rsidRPr="0067507D" w:rsidRDefault="00610836" w:rsidP="008414DC">
            <w:pPr>
              <w:pStyle w:val="Tabletextright"/>
            </w:pPr>
            <w:r>
              <w:t>–</w:t>
            </w:r>
          </w:p>
        </w:tc>
      </w:tr>
      <w:tr w:rsidR="00C44155" w:rsidRPr="0067507D" w14:paraId="742850AB" w14:textId="77777777" w:rsidTr="004960F6">
        <w:trPr>
          <w:trHeight w:val="300"/>
        </w:trPr>
        <w:tc>
          <w:tcPr>
            <w:cnfStyle w:val="001000000000" w:firstRow="0" w:lastRow="0" w:firstColumn="1" w:lastColumn="0" w:oddVBand="0" w:evenVBand="0" w:oddHBand="0" w:evenHBand="0" w:firstRowFirstColumn="0" w:firstRowLastColumn="0" w:lastRowFirstColumn="0" w:lastRowLastColumn="0"/>
            <w:tcW w:w="0" w:type="dxa"/>
            <w:noWrap/>
          </w:tcPr>
          <w:p w14:paraId="41863A59" w14:textId="28E7725F" w:rsidR="00C44155" w:rsidRPr="0067507D" w:rsidRDefault="00C44155" w:rsidP="004960F6">
            <w:pPr>
              <w:pStyle w:val="Tabletext"/>
            </w:pPr>
            <w:r w:rsidRPr="0067507D">
              <w:t>Helen Elizabeth Silver</w:t>
            </w:r>
          </w:p>
        </w:tc>
        <w:tc>
          <w:tcPr>
            <w:cnfStyle w:val="000010000000" w:firstRow="0" w:lastRow="0" w:firstColumn="0" w:lastColumn="0" w:oddVBand="1" w:evenVBand="0" w:oddHBand="0" w:evenHBand="0" w:firstRowFirstColumn="0" w:firstRowLastColumn="0" w:lastRowFirstColumn="0" w:lastRowLastColumn="0"/>
            <w:tcW w:w="0" w:type="dxa"/>
            <w:noWrap/>
          </w:tcPr>
          <w:p w14:paraId="55792D44" w14:textId="0C5E82EF" w:rsidR="00C44155" w:rsidRPr="0067507D" w:rsidRDefault="00FC1F0D" w:rsidP="00984851">
            <w:pPr>
              <w:pStyle w:val="Tabletext"/>
            </w:pPr>
            <w:r w:rsidRPr="0067507D">
              <w:t>Independent Review into the Victorian Public Sector</w:t>
            </w:r>
          </w:p>
        </w:tc>
        <w:tc>
          <w:tcPr>
            <w:cnfStyle w:val="000001000000" w:firstRow="0" w:lastRow="0" w:firstColumn="0" w:lastColumn="0" w:oddVBand="0" w:evenVBand="1" w:oddHBand="0" w:evenHBand="0" w:firstRowFirstColumn="0" w:firstRowLastColumn="0" w:lastRowFirstColumn="0" w:lastRowLastColumn="0"/>
            <w:tcW w:w="0" w:type="dxa"/>
            <w:noWrap/>
          </w:tcPr>
          <w:p w14:paraId="24CA67BD" w14:textId="20D1D023" w:rsidR="00C44155" w:rsidRPr="0067507D" w:rsidRDefault="008414DC" w:rsidP="00984851">
            <w:pPr>
              <w:pStyle w:val="Tabletextright"/>
            </w:pPr>
            <w:r w:rsidRPr="0067507D">
              <w:t>203 000</w:t>
            </w:r>
          </w:p>
        </w:tc>
        <w:tc>
          <w:tcPr>
            <w:cnfStyle w:val="000010000000" w:firstRow="0" w:lastRow="0" w:firstColumn="0" w:lastColumn="0" w:oddVBand="1" w:evenVBand="0" w:oddHBand="0" w:evenHBand="0" w:firstRowFirstColumn="0" w:firstRowLastColumn="0" w:lastRowFirstColumn="0" w:lastRowLastColumn="0"/>
            <w:tcW w:w="0" w:type="dxa"/>
            <w:noWrap/>
          </w:tcPr>
          <w:p w14:paraId="03FA95EE" w14:textId="6A732974" w:rsidR="00C44155" w:rsidRPr="0067507D" w:rsidRDefault="008414DC" w:rsidP="00984851">
            <w:pPr>
              <w:pStyle w:val="Tabletextright"/>
            </w:pPr>
            <w:r w:rsidRPr="0067507D">
              <w:t>155 150</w:t>
            </w:r>
          </w:p>
        </w:tc>
        <w:tc>
          <w:tcPr>
            <w:cnfStyle w:val="000001000000" w:firstRow="0" w:lastRow="0" w:firstColumn="0" w:lastColumn="0" w:oddVBand="0" w:evenVBand="1" w:oddHBand="0" w:evenHBand="0" w:firstRowFirstColumn="0" w:firstRowLastColumn="0" w:lastRowFirstColumn="0" w:lastRowLastColumn="0"/>
            <w:tcW w:w="0" w:type="dxa"/>
            <w:noWrap/>
          </w:tcPr>
          <w:p w14:paraId="3F567DE3" w14:textId="0D1D7D1A" w:rsidR="00C44155" w:rsidRPr="0067507D" w:rsidRDefault="008414DC" w:rsidP="00984851">
            <w:pPr>
              <w:pStyle w:val="Tabletextright"/>
            </w:pPr>
            <w:r w:rsidRPr="0067507D">
              <w:t>–</w:t>
            </w:r>
          </w:p>
        </w:tc>
      </w:tr>
      <w:tr w:rsidR="00C44155" w:rsidRPr="0067507D" w14:paraId="10FA098B"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49AB9CD7" w14:textId="1C8D9ABD" w:rsidR="00C44155" w:rsidRPr="0067507D" w:rsidRDefault="00C44155" w:rsidP="00984851">
            <w:pPr>
              <w:pStyle w:val="Tabletext"/>
            </w:pPr>
            <w:r w:rsidRPr="0067507D">
              <w:t>Holding Redlich</w:t>
            </w:r>
          </w:p>
        </w:tc>
        <w:tc>
          <w:tcPr>
            <w:cnfStyle w:val="000010000000" w:firstRow="0" w:lastRow="0" w:firstColumn="0" w:lastColumn="0" w:oddVBand="1" w:evenVBand="0" w:oddHBand="0" w:evenHBand="0" w:firstRowFirstColumn="0" w:firstRowLastColumn="0" w:lastRowFirstColumn="0" w:lastRowLastColumn="0"/>
            <w:tcW w:w="2880" w:type="dxa"/>
            <w:noWrap/>
          </w:tcPr>
          <w:p w14:paraId="57ACD386" w14:textId="77777777" w:rsidR="00C44155" w:rsidRPr="0067507D" w:rsidRDefault="00C44155" w:rsidP="00984851">
            <w:pPr>
              <w:pStyle w:val="Tabletext"/>
            </w:pPr>
            <w:r w:rsidRPr="0067507D">
              <w:t>Development of Model Legislative Provisions</w:t>
            </w:r>
          </w:p>
        </w:tc>
        <w:tc>
          <w:tcPr>
            <w:cnfStyle w:val="000001000000" w:firstRow="0" w:lastRow="0" w:firstColumn="0" w:lastColumn="0" w:oddVBand="0" w:evenVBand="1" w:oddHBand="0" w:evenHBand="0" w:firstRowFirstColumn="0" w:firstRowLastColumn="0" w:lastRowFirstColumn="0" w:lastRowLastColumn="0"/>
            <w:tcW w:w="1530" w:type="dxa"/>
            <w:noWrap/>
          </w:tcPr>
          <w:p w14:paraId="1C3B9958" w14:textId="77777777" w:rsidR="00C44155" w:rsidRPr="0067507D" w:rsidRDefault="00C44155" w:rsidP="00984851">
            <w:pPr>
              <w:pStyle w:val="Tabletextright"/>
            </w:pPr>
            <w:r w:rsidRPr="0067507D">
              <w:t>81 500</w:t>
            </w:r>
          </w:p>
        </w:tc>
        <w:tc>
          <w:tcPr>
            <w:cnfStyle w:val="000010000000" w:firstRow="0" w:lastRow="0" w:firstColumn="0" w:lastColumn="0" w:oddVBand="1" w:evenVBand="0" w:oddHBand="0" w:evenHBand="0" w:firstRowFirstColumn="0" w:firstRowLastColumn="0" w:lastRowFirstColumn="0" w:lastRowLastColumn="0"/>
            <w:tcW w:w="1320" w:type="dxa"/>
            <w:noWrap/>
          </w:tcPr>
          <w:p w14:paraId="35767A65" w14:textId="77777777" w:rsidR="00C44155" w:rsidRPr="0067507D" w:rsidRDefault="00C44155" w:rsidP="00984851">
            <w:pPr>
              <w:pStyle w:val="Tabletextright"/>
            </w:pPr>
            <w:r w:rsidRPr="0067507D">
              <w:t>27 166</w:t>
            </w:r>
          </w:p>
        </w:tc>
        <w:tc>
          <w:tcPr>
            <w:cnfStyle w:val="000001000000" w:firstRow="0" w:lastRow="0" w:firstColumn="0" w:lastColumn="0" w:oddVBand="0" w:evenVBand="1" w:oddHBand="0" w:evenHBand="0" w:firstRowFirstColumn="0" w:firstRowLastColumn="0" w:lastRowFirstColumn="0" w:lastRowLastColumn="0"/>
            <w:tcW w:w="1320" w:type="dxa"/>
            <w:noWrap/>
          </w:tcPr>
          <w:p w14:paraId="1D423BBA" w14:textId="77777777" w:rsidR="00C44155" w:rsidRPr="0067507D" w:rsidRDefault="00C44155" w:rsidP="00984851">
            <w:pPr>
              <w:pStyle w:val="Tabletextright"/>
            </w:pPr>
            <w:r w:rsidRPr="0067507D">
              <w:t>54 334</w:t>
            </w:r>
          </w:p>
        </w:tc>
      </w:tr>
      <w:tr w:rsidR="00C44155" w:rsidRPr="0067507D" w14:paraId="2A3E0ADD"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34CCB19" w14:textId="2C2A82DE" w:rsidR="00C44155" w:rsidRPr="0067507D" w:rsidRDefault="00C44155" w:rsidP="00984851">
            <w:pPr>
              <w:pStyle w:val="Tabletext"/>
            </w:pPr>
            <w:r w:rsidRPr="0067507D">
              <w:t xml:space="preserve">Impact Economics </w:t>
            </w:r>
            <w:r w:rsidR="00455562" w:rsidRPr="0067507D">
              <w:t xml:space="preserve">&amp; </w:t>
            </w:r>
            <w:r w:rsidRPr="0067507D">
              <w:t>Policy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1418615D" w14:textId="6BC43B91" w:rsidR="00C44155" w:rsidRPr="0067507D" w:rsidRDefault="00C44155" w:rsidP="00984851">
            <w:pPr>
              <w:pStyle w:val="Tabletext"/>
            </w:pPr>
            <w:r w:rsidRPr="0067507D">
              <w:t>Firm</w:t>
            </w:r>
            <w:r w:rsidR="006A5485">
              <w:noBreakHyphen/>
            </w:r>
            <w:r w:rsidRPr="0067507D">
              <w:t>level analysis of the gender pay gap in Victoria</w:t>
            </w:r>
          </w:p>
        </w:tc>
        <w:tc>
          <w:tcPr>
            <w:cnfStyle w:val="000001000000" w:firstRow="0" w:lastRow="0" w:firstColumn="0" w:lastColumn="0" w:oddVBand="0" w:evenVBand="1" w:oddHBand="0" w:evenHBand="0" w:firstRowFirstColumn="0" w:firstRowLastColumn="0" w:lastRowFirstColumn="0" w:lastRowLastColumn="0"/>
            <w:tcW w:w="1530" w:type="dxa"/>
            <w:noWrap/>
          </w:tcPr>
          <w:p w14:paraId="065BFA1D" w14:textId="77777777" w:rsidR="00C44155" w:rsidRPr="0067507D" w:rsidRDefault="00C44155" w:rsidP="00984851">
            <w:pPr>
              <w:pStyle w:val="Tabletextright"/>
            </w:pPr>
            <w:r w:rsidRPr="0067507D">
              <w:t>273 700</w:t>
            </w:r>
          </w:p>
        </w:tc>
        <w:tc>
          <w:tcPr>
            <w:cnfStyle w:val="000010000000" w:firstRow="0" w:lastRow="0" w:firstColumn="0" w:lastColumn="0" w:oddVBand="1" w:evenVBand="0" w:oddHBand="0" w:evenHBand="0" w:firstRowFirstColumn="0" w:firstRowLastColumn="0" w:lastRowFirstColumn="0" w:lastRowLastColumn="0"/>
            <w:tcW w:w="1320" w:type="dxa"/>
            <w:noWrap/>
          </w:tcPr>
          <w:p w14:paraId="1196EF66" w14:textId="77777777" w:rsidR="00C44155" w:rsidRPr="0067507D" w:rsidRDefault="00C44155" w:rsidP="00984851">
            <w:pPr>
              <w:pStyle w:val="Tabletextright"/>
            </w:pPr>
            <w:r w:rsidRPr="0067507D">
              <w:t>207 800</w:t>
            </w:r>
          </w:p>
        </w:tc>
        <w:tc>
          <w:tcPr>
            <w:cnfStyle w:val="000001000000" w:firstRow="0" w:lastRow="0" w:firstColumn="0" w:lastColumn="0" w:oddVBand="0" w:evenVBand="1" w:oddHBand="0" w:evenHBand="0" w:firstRowFirstColumn="0" w:firstRowLastColumn="0" w:lastRowFirstColumn="0" w:lastRowLastColumn="0"/>
            <w:tcW w:w="1320" w:type="dxa"/>
            <w:noWrap/>
          </w:tcPr>
          <w:p w14:paraId="666ACCC2" w14:textId="634D579D" w:rsidR="00C44155" w:rsidRPr="0067507D" w:rsidRDefault="00B37818" w:rsidP="00984851">
            <w:pPr>
              <w:pStyle w:val="Tabletextright"/>
            </w:pPr>
            <w:r w:rsidRPr="0067507D">
              <w:t>–</w:t>
            </w:r>
          </w:p>
        </w:tc>
      </w:tr>
      <w:tr w:rsidR="00C44155" w:rsidRPr="0067507D" w14:paraId="697A2D68"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293398B4" w14:textId="77777777" w:rsidR="00C44155" w:rsidRPr="0067507D" w:rsidRDefault="00C44155" w:rsidP="00984851">
            <w:pPr>
              <w:pStyle w:val="Tabletext"/>
            </w:pPr>
            <w:r w:rsidRPr="0067507D">
              <w:t>Insight Economics</w:t>
            </w:r>
          </w:p>
        </w:tc>
        <w:tc>
          <w:tcPr>
            <w:cnfStyle w:val="000010000000" w:firstRow="0" w:lastRow="0" w:firstColumn="0" w:lastColumn="0" w:oddVBand="1" w:evenVBand="0" w:oddHBand="0" w:evenHBand="0" w:firstRowFirstColumn="0" w:firstRowLastColumn="0" w:lastRowFirstColumn="0" w:lastRowLastColumn="0"/>
            <w:tcW w:w="2880" w:type="dxa"/>
            <w:noWrap/>
          </w:tcPr>
          <w:p w14:paraId="3B75F1C1" w14:textId="77777777" w:rsidR="00C44155" w:rsidRPr="0067507D" w:rsidRDefault="00C44155" w:rsidP="00984851">
            <w:pPr>
              <w:pStyle w:val="Tabletext"/>
            </w:pPr>
            <w:r w:rsidRPr="0067507D">
              <w:t>Financial modelling and funding options</w:t>
            </w:r>
          </w:p>
        </w:tc>
        <w:tc>
          <w:tcPr>
            <w:cnfStyle w:val="000001000000" w:firstRow="0" w:lastRow="0" w:firstColumn="0" w:lastColumn="0" w:oddVBand="0" w:evenVBand="1" w:oddHBand="0" w:evenHBand="0" w:firstRowFirstColumn="0" w:firstRowLastColumn="0" w:lastRowFirstColumn="0" w:lastRowLastColumn="0"/>
            <w:tcW w:w="1530" w:type="dxa"/>
            <w:noWrap/>
          </w:tcPr>
          <w:p w14:paraId="36C85414" w14:textId="77777777" w:rsidR="00C44155" w:rsidRPr="0067507D" w:rsidRDefault="00C44155" w:rsidP="00984851">
            <w:pPr>
              <w:pStyle w:val="Tabletextright"/>
            </w:pPr>
            <w:r w:rsidRPr="0067507D">
              <w:t>229 919</w:t>
            </w:r>
          </w:p>
        </w:tc>
        <w:tc>
          <w:tcPr>
            <w:cnfStyle w:val="000010000000" w:firstRow="0" w:lastRow="0" w:firstColumn="0" w:lastColumn="0" w:oddVBand="1" w:evenVBand="0" w:oddHBand="0" w:evenHBand="0" w:firstRowFirstColumn="0" w:firstRowLastColumn="0" w:lastRowFirstColumn="0" w:lastRowLastColumn="0"/>
            <w:tcW w:w="1320" w:type="dxa"/>
            <w:noWrap/>
          </w:tcPr>
          <w:p w14:paraId="3E4E4A5F" w14:textId="77777777" w:rsidR="00C44155" w:rsidRPr="0067507D" w:rsidRDefault="00C44155" w:rsidP="00984851">
            <w:pPr>
              <w:pStyle w:val="Tabletextright"/>
            </w:pPr>
            <w:r w:rsidRPr="0067507D">
              <w:t>166 690</w:t>
            </w:r>
          </w:p>
        </w:tc>
        <w:tc>
          <w:tcPr>
            <w:cnfStyle w:val="000001000000" w:firstRow="0" w:lastRow="0" w:firstColumn="0" w:lastColumn="0" w:oddVBand="0" w:evenVBand="1" w:oddHBand="0" w:evenHBand="0" w:firstRowFirstColumn="0" w:firstRowLastColumn="0" w:lastRowFirstColumn="0" w:lastRowLastColumn="0"/>
            <w:tcW w:w="1320" w:type="dxa"/>
            <w:noWrap/>
          </w:tcPr>
          <w:p w14:paraId="5C8806CF" w14:textId="0ADA30C3" w:rsidR="00C44155" w:rsidRPr="0067507D" w:rsidRDefault="00B37818" w:rsidP="00984851">
            <w:pPr>
              <w:pStyle w:val="Tabletextright"/>
            </w:pPr>
            <w:r w:rsidRPr="0067507D">
              <w:t>–</w:t>
            </w:r>
          </w:p>
        </w:tc>
      </w:tr>
      <w:tr w:rsidR="00C44155" w:rsidRPr="0067507D" w14:paraId="148CB0F3"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0F2CD270" w14:textId="77777777" w:rsidR="00C44155" w:rsidRPr="0067507D" w:rsidRDefault="00C44155" w:rsidP="00984851">
            <w:pPr>
              <w:pStyle w:val="Tabletext"/>
            </w:pPr>
            <w:r w:rsidRPr="0067507D">
              <w:t>Johnstaff Projects (Vic)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4591DC7E" w14:textId="77777777" w:rsidR="00C44155" w:rsidRPr="0067507D" w:rsidRDefault="00C44155" w:rsidP="00984851">
            <w:pPr>
              <w:pStyle w:val="Tabletext"/>
            </w:pPr>
            <w:r w:rsidRPr="0067507D">
              <w:t>Professional advisory services</w:t>
            </w:r>
          </w:p>
        </w:tc>
        <w:tc>
          <w:tcPr>
            <w:cnfStyle w:val="000001000000" w:firstRow="0" w:lastRow="0" w:firstColumn="0" w:lastColumn="0" w:oddVBand="0" w:evenVBand="1" w:oddHBand="0" w:evenHBand="0" w:firstRowFirstColumn="0" w:firstRowLastColumn="0" w:lastRowFirstColumn="0" w:lastRowLastColumn="0"/>
            <w:tcW w:w="1530" w:type="dxa"/>
            <w:noWrap/>
          </w:tcPr>
          <w:p w14:paraId="07C4A465" w14:textId="77777777" w:rsidR="00C44155" w:rsidRPr="0067507D" w:rsidRDefault="00C44155" w:rsidP="00984851">
            <w:pPr>
              <w:pStyle w:val="Tabletextright"/>
            </w:pPr>
            <w:r w:rsidRPr="0067507D">
              <w:t>85 638</w:t>
            </w:r>
          </w:p>
        </w:tc>
        <w:tc>
          <w:tcPr>
            <w:cnfStyle w:val="000010000000" w:firstRow="0" w:lastRow="0" w:firstColumn="0" w:lastColumn="0" w:oddVBand="1" w:evenVBand="0" w:oddHBand="0" w:evenHBand="0" w:firstRowFirstColumn="0" w:firstRowLastColumn="0" w:lastRowFirstColumn="0" w:lastRowLastColumn="0"/>
            <w:tcW w:w="1320" w:type="dxa"/>
            <w:noWrap/>
          </w:tcPr>
          <w:p w14:paraId="1DE36945" w14:textId="77777777" w:rsidR="00C44155" w:rsidRPr="0067507D" w:rsidRDefault="00C44155" w:rsidP="00984851">
            <w:pPr>
              <w:pStyle w:val="Tabletextright"/>
            </w:pPr>
            <w:r w:rsidRPr="0067507D">
              <w:t>63 851</w:t>
            </w:r>
          </w:p>
        </w:tc>
        <w:tc>
          <w:tcPr>
            <w:cnfStyle w:val="000001000000" w:firstRow="0" w:lastRow="0" w:firstColumn="0" w:lastColumn="0" w:oddVBand="0" w:evenVBand="1" w:oddHBand="0" w:evenHBand="0" w:firstRowFirstColumn="0" w:firstRowLastColumn="0" w:lastRowFirstColumn="0" w:lastRowLastColumn="0"/>
            <w:tcW w:w="1320" w:type="dxa"/>
            <w:noWrap/>
          </w:tcPr>
          <w:p w14:paraId="384A46D8" w14:textId="77777777" w:rsidR="00C44155" w:rsidRPr="0067507D" w:rsidRDefault="00C44155" w:rsidP="00984851">
            <w:pPr>
              <w:pStyle w:val="Tabletextright"/>
            </w:pPr>
            <w:r w:rsidRPr="0067507D">
              <w:t>21 787</w:t>
            </w:r>
          </w:p>
        </w:tc>
      </w:tr>
      <w:tr w:rsidR="00C44155" w:rsidRPr="0067507D" w14:paraId="18895C19"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746D2401" w14:textId="77777777" w:rsidR="00C44155" w:rsidRPr="0067507D" w:rsidRDefault="00C44155" w:rsidP="00984851">
            <w:pPr>
              <w:pStyle w:val="Tabletext"/>
            </w:pPr>
            <w:r w:rsidRPr="0067507D">
              <w:t>KPMG</w:t>
            </w:r>
          </w:p>
        </w:tc>
        <w:tc>
          <w:tcPr>
            <w:cnfStyle w:val="000010000000" w:firstRow="0" w:lastRow="0" w:firstColumn="0" w:lastColumn="0" w:oddVBand="1" w:evenVBand="0" w:oddHBand="0" w:evenHBand="0" w:firstRowFirstColumn="0" w:firstRowLastColumn="0" w:lastRowFirstColumn="0" w:lastRowLastColumn="0"/>
            <w:tcW w:w="2880" w:type="dxa"/>
            <w:noWrap/>
          </w:tcPr>
          <w:p w14:paraId="1A0B3061" w14:textId="77777777" w:rsidR="00C44155" w:rsidRPr="0067507D" w:rsidRDefault="00C44155" w:rsidP="00984851">
            <w:pPr>
              <w:pStyle w:val="Tabletext"/>
            </w:pPr>
            <w:r w:rsidRPr="0067507D">
              <w:t>Commercial and financial advisory services to support the Regional Round and Mental Health Supported Housing Round of the Social Housing Growth Fund</w:t>
            </w:r>
          </w:p>
        </w:tc>
        <w:tc>
          <w:tcPr>
            <w:cnfStyle w:val="000001000000" w:firstRow="0" w:lastRow="0" w:firstColumn="0" w:lastColumn="0" w:oddVBand="0" w:evenVBand="1" w:oddHBand="0" w:evenHBand="0" w:firstRowFirstColumn="0" w:firstRowLastColumn="0" w:lastRowFirstColumn="0" w:lastRowLastColumn="0"/>
            <w:tcW w:w="1530" w:type="dxa"/>
            <w:noWrap/>
          </w:tcPr>
          <w:p w14:paraId="3A4BB003" w14:textId="77777777" w:rsidR="00C44155" w:rsidRPr="0067507D" w:rsidRDefault="00C44155" w:rsidP="00984851">
            <w:pPr>
              <w:pStyle w:val="Tabletextright"/>
            </w:pPr>
            <w:r w:rsidRPr="0067507D">
              <w:t>148 684</w:t>
            </w:r>
          </w:p>
        </w:tc>
        <w:tc>
          <w:tcPr>
            <w:cnfStyle w:val="000010000000" w:firstRow="0" w:lastRow="0" w:firstColumn="0" w:lastColumn="0" w:oddVBand="1" w:evenVBand="0" w:oddHBand="0" w:evenHBand="0" w:firstRowFirstColumn="0" w:firstRowLastColumn="0" w:lastRowFirstColumn="0" w:lastRowLastColumn="0"/>
            <w:tcW w:w="1320" w:type="dxa"/>
            <w:noWrap/>
          </w:tcPr>
          <w:p w14:paraId="04AC3477" w14:textId="77777777" w:rsidR="00C44155" w:rsidRPr="0067507D" w:rsidRDefault="00C44155" w:rsidP="00984851">
            <w:pPr>
              <w:pStyle w:val="Tabletextright"/>
            </w:pPr>
            <w:r w:rsidRPr="0067507D">
              <w:t>144 204</w:t>
            </w:r>
          </w:p>
        </w:tc>
        <w:tc>
          <w:tcPr>
            <w:cnfStyle w:val="000001000000" w:firstRow="0" w:lastRow="0" w:firstColumn="0" w:lastColumn="0" w:oddVBand="0" w:evenVBand="1" w:oddHBand="0" w:evenHBand="0" w:firstRowFirstColumn="0" w:firstRowLastColumn="0" w:lastRowFirstColumn="0" w:lastRowLastColumn="0"/>
            <w:tcW w:w="1320" w:type="dxa"/>
            <w:noWrap/>
          </w:tcPr>
          <w:p w14:paraId="5D6576BF" w14:textId="37CE97E6" w:rsidR="00C44155" w:rsidRPr="0067507D" w:rsidRDefault="00B37818" w:rsidP="00984851">
            <w:pPr>
              <w:pStyle w:val="Tabletextright"/>
            </w:pPr>
            <w:r w:rsidRPr="0067507D">
              <w:t>–</w:t>
            </w:r>
          </w:p>
        </w:tc>
      </w:tr>
      <w:tr w:rsidR="00C44155" w:rsidRPr="0067507D" w14:paraId="718276F2"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89EF555" w14:textId="77777777" w:rsidR="00C44155" w:rsidRPr="0067507D" w:rsidRDefault="00C44155" w:rsidP="00984851">
            <w:pPr>
              <w:pStyle w:val="Tabletext"/>
            </w:pPr>
            <w:r w:rsidRPr="0067507D">
              <w:t>KPMG</w:t>
            </w:r>
          </w:p>
        </w:tc>
        <w:tc>
          <w:tcPr>
            <w:cnfStyle w:val="000010000000" w:firstRow="0" w:lastRow="0" w:firstColumn="0" w:lastColumn="0" w:oddVBand="1" w:evenVBand="0" w:oddHBand="0" w:evenHBand="0" w:firstRowFirstColumn="0" w:firstRowLastColumn="0" w:lastRowFirstColumn="0" w:lastRowLastColumn="0"/>
            <w:tcW w:w="2880" w:type="dxa"/>
            <w:noWrap/>
          </w:tcPr>
          <w:p w14:paraId="3536BE4F" w14:textId="77777777" w:rsidR="00C44155" w:rsidRPr="0067507D" w:rsidRDefault="00C44155" w:rsidP="00984851">
            <w:pPr>
              <w:pStyle w:val="Tabletext"/>
            </w:pPr>
            <w:r w:rsidRPr="0067507D">
              <w:t>Commercial and transaction advice</w:t>
            </w:r>
          </w:p>
        </w:tc>
        <w:tc>
          <w:tcPr>
            <w:cnfStyle w:val="000001000000" w:firstRow="0" w:lastRow="0" w:firstColumn="0" w:lastColumn="0" w:oddVBand="0" w:evenVBand="1" w:oddHBand="0" w:evenHBand="0" w:firstRowFirstColumn="0" w:firstRowLastColumn="0" w:lastRowFirstColumn="0" w:lastRowLastColumn="0"/>
            <w:tcW w:w="1530" w:type="dxa"/>
            <w:noWrap/>
          </w:tcPr>
          <w:p w14:paraId="102F9CEA" w14:textId="77777777" w:rsidR="00C44155" w:rsidRPr="0067507D" w:rsidRDefault="00C44155" w:rsidP="00984851">
            <w:pPr>
              <w:pStyle w:val="Tabletextright"/>
            </w:pPr>
            <w:r w:rsidRPr="0067507D">
              <w:t>1 156 039</w:t>
            </w:r>
          </w:p>
        </w:tc>
        <w:tc>
          <w:tcPr>
            <w:cnfStyle w:val="000010000000" w:firstRow="0" w:lastRow="0" w:firstColumn="0" w:lastColumn="0" w:oddVBand="1" w:evenVBand="0" w:oddHBand="0" w:evenHBand="0" w:firstRowFirstColumn="0" w:firstRowLastColumn="0" w:lastRowFirstColumn="0" w:lastRowLastColumn="0"/>
            <w:tcW w:w="1320" w:type="dxa"/>
            <w:noWrap/>
          </w:tcPr>
          <w:p w14:paraId="0DA38A0A" w14:textId="77777777" w:rsidR="00C44155" w:rsidRPr="0067507D" w:rsidRDefault="00C44155" w:rsidP="00984851">
            <w:pPr>
              <w:pStyle w:val="Tabletextright"/>
            </w:pPr>
            <w:r w:rsidRPr="0067507D">
              <w:t>1 102 108</w:t>
            </w:r>
          </w:p>
        </w:tc>
        <w:tc>
          <w:tcPr>
            <w:cnfStyle w:val="000001000000" w:firstRow="0" w:lastRow="0" w:firstColumn="0" w:lastColumn="0" w:oddVBand="0" w:evenVBand="1" w:oddHBand="0" w:evenHBand="0" w:firstRowFirstColumn="0" w:firstRowLastColumn="0" w:lastRowFirstColumn="0" w:lastRowLastColumn="0"/>
            <w:tcW w:w="1320" w:type="dxa"/>
            <w:noWrap/>
          </w:tcPr>
          <w:p w14:paraId="55F34A9E" w14:textId="57B30C76" w:rsidR="00C44155" w:rsidRPr="0067507D" w:rsidRDefault="00B37818" w:rsidP="00984851">
            <w:pPr>
              <w:pStyle w:val="Tabletextright"/>
            </w:pPr>
            <w:r w:rsidRPr="0067507D">
              <w:t>–</w:t>
            </w:r>
          </w:p>
        </w:tc>
      </w:tr>
      <w:tr w:rsidR="00C44155" w:rsidRPr="0067507D" w14:paraId="023812FE"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351A232B" w14:textId="77777777" w:rsidR="00C44155" w:rsidRPr="0067507D" w:rsidRDefault="00C44155" w:rsidP="00984851">
            <w:pPr>
              <w:pStyle w:val="Tabletext"/>
            </w:pPr>
            <w:r w:rsidRPr="0067507D">
              <w:t>KPMG</w:t>
            </w:r>
          </w:p>
        </w:tc>
        <w:tc>
          <w:tcPr>
            <w:cnfStyle w:val="000010000000" w:firstRow="0" w:lastRow="0" w:firstColumn="0" w:lastColumn="0" w:oddVBand="1" w:evenVBand="0" w:oddHBand="0" w:evenHBand="0" w:firstRowFirstColumn="0" w:firstRowLastColumn="0" w:lastRowFirstColumn="0" w:lastRowLastColumn="0"/>
            <w:tcW w:w="2880" w:type="dxa"/>
            <w:noWrap/>
          </w:tcPr>
          <w:p w14:paraId="46C3E8D6" w14:textId="77777777" w:rsidR="00C44155" w:rsidRPr="0067507D" w:rsidRDefault="00C44155" w:rsidP="00984851">
            <w:pPr>
              <w:pStyle w:val="Tabletext"/>
            </w:pPr>
            <w:r w:rsidRPr="0067507D">
              <w:t>Commercial and transaction advice</w:t>
            </w:r>
          </w:p>
        </w:tc>
        <w:tc>
          <w:tcPr>
            <w:cnfStyle w:val="000001000000" w:firstRow="0" w:lastRow="0" w:firstColumn="0" w:lastColumn="0" w:oddVBand="0" w:evenVBand="1" w:oddHBand="0" w:evenHBand="0" w:firstRowFirstColumn="0" w:firstRowLastColumn="0" w:lastRowFirstColumn="0" w:lastRowLastColumn="0"/>
            <w:tcW w:w="1530" w:type="dxa"/>
            <w:noWrap/>
          </w:tcPr>
          <w:p w14:paraId="64C826C4" w14:textId="77777777" w:rsidR="00C44155" w:rsidRPr="0067507D" w:rsidRDefault="00C44155" w:rsidP="00984851">
            <w:pPr>
              <w:pStyle w:val="Tabletextright"/>
            </w:pPr>
            <w:r w:rsidRPr="0067507D">
              <w:t>2 380 282</w:t>
            </w:r>
          </w:p>
        </w:tc>
        <w:tc>
          <w:tcPr>
            <w:cnfStyle w:val="000010000000" w:firstRow="0" w:lastRow="0" w:firstColumn="0" w:lastColumn="0" w:oddVBand="1" w:evenVBand="0" w:oddHBand="0" w:evenHBand="0" w:firstRowFirstColumn="0" w:firstRowLastColumn="0" w:lastRowFirstColumn="0" w:lastRowLastColumn="0"/>
            <w:tcW w:w="1320" w:type="dxa"/>
            <w:noWrap/>
          </w:tcPr>
          <w:p w14:paraId="6D8422EA" w14:textId="77777777" w:rsidR="00C44155" w:rsidRPr="0067507D" w:rsidRDefault="00C44155" w:rsidP="00984851">
            <w:pPr>
              <w:pStyle w:val="Tabletextright"/>
            </w:pPr>
            <w:r w:rsidRPr="0067507D">
              <w:t>829 374</w:t>
            </w:r>
          </w:p>
        </w:tc>
        <w:tc>
          <w:tcPr>
            <w:cnfStyle w:val="000001000000" w:firstRow="0" w:lastRow="0" w:firstColumn="0" w:lastColumn="0" w:oddVBand="0" w:evenVBand="1" w:oddHBand="0" w:evenHBand="0" w:firstRowFirstColumn="0" w:firstRowLastColumn="0" w:lastRowFirstColumn="0" w:lastRowLastColumn="0"/>
            <w:tcW w:w="1320" w:type="dxa"/>
            <w:noWrap/>
          </w:tcPr>
          <w:p w14:paraId="013C5290" w14:textId="77777777" w:rsidR="00C44155" w:rsidRPr="0067507D" w:rsidRDefault="00C44155" w:rsidP="00984851">
            <w:pPr>
              <w:pStyle w:val="Tabletextright"/>
            </w:pPr>
            <w:r w:rsidRPr="0067507D">
              <w:t>808 282</w:t>
            </w:r>
          </w:p>
        </w:tc>
      </w:tr>
      <w:tr w:rsidR="00C44155" w:rsidRPr="0067507D" w14:paraId="1F920470"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3C3D41FD" w14:textId="77777777" w:rsidR="00C44155" w:rsidRPr="0067507D" w:rsidRDefault="00C44155" w:rsidP="00984851">
            <w:pPr>
              <w:pStyle w:val="Tabletext"/>
            </w:pPr>
            <w:r w:rsidRPr="0067507D">
              <w:t>KPMG</w:t>
            </w:r>
          </w:p>
        </w:tc>
        <w:tc>
          <w:tcPr>
            <w:cnfStyle w:val="000010000000" w:firstRow="0" w:lastRow="0" w:firstColumn="0" w:lastColumn="0" w:oddVBand="1" w:evenVBand="0" w:oddHBand="0" w:evenHBand="0" w:firstRowFirstColumn="0" w:firstRowLastColumn="0" w:lastRowFirstColumn="0" w:lastRowLastColumn="0"/>
            <w:tcW w:w="2880" w:type="dxa"/>
            <w:noWrap/>
          </w:tcPr>
          <w:p w14:paraId="1519503A" w14:textId="2C85A104" w:rsidR="00C44155" w:rsidRPr="0067507D" w:rsidRDefault="00C44155" w:rsidP="00984851">
            <w:pPr>
              <w:pStyle w:val="Tabletext"/>
            </w:pPr>
            <w:r w:rsidRPr="0067507D">
              <w:t>Commercial and transaction advice</w:t>
            </w:r>
          </w:p>
        </w:tc>
        <w:tc>
          <w:tcPr>
            <w:cnfStyle w:val="000001000000" w:firstRow="0" w:lastRow="0" w:firstColumn="0" w:lastColumn="0" w:oddVBand="0" w:evenVBand="1" w:oddHBand="0" w:evenHBand="0" w:firstRowFirstColumn="0" w:firstRowLastColumn="0" w:lastRowFirstColumn="0" w:lastRowLastColumn="0"/>
            <w:tcW w:w="1530" w:type="dxa"/>
            <w:noWrap/>
          </w:tcPr>
          <w:p w14:paraId="07278CFA" w14:textId="77777777" w:rsidR="00C44155" w:rsidRPr="0067507D" w:rsidRDefault="00C44155" w:rsidP="00984851">
            <w:pPr>
              <w:pStyle w:val="Tabletextright"/>
            </w:pPr>
            <w:r w:rsidRPr="0067507D">
              <w:t>282 063</w:t>
            </w:r>
          </w:p>
        </w:tc>
        <w:tc>
          <w:tcPr>
            <w:cnfStyle w:val="000010000000" w:firstRow="0" w:lastRow="0" w:firstColumn="0" w:lastColumn="0" w:oddVBand="1" w:evenVBand="0" w:oddHBand="0" w:evenHBand="0" w:firstRowFirstColumn="0" w:firstRowLastColumn="0" w:lastRowFirstColumn="0" w:lastRowLastColumn="0"/>
            <w:tcW w:w="1320" w:type="dxa"/>
            <w:noWrap/>
          </w:tcPr>
          <w:p w14:paraId="13580660" w14:textId="77777777" w:rsidR="00C44155" w:rsidRPr="0067507D" w:rsidRDefault="00C44155" w:rsidP="00984851">
            <w:pPr>
              <w:pStyle w:val="Tabletextright"/>
            </w:pPr>
            <w:r w:rsidRPr="0067507D">
              <w:t>222 972</w:t>
            </w:r>
          </w:p>
        </w:tc>
        <w:tc>
          <w:tcPr>
            <w:cnfStyle w:val="000001000000" w:firstRow="0" w:lastRow="0" w:firstColumn="0" w:lastColumn="0" w:oddVBand="0" w:evenVBand="1" w:oddHBand="0" w:evenHBand="0" w:firstRowFirstColumn="0" w:firstRowLastColumn="0" w:lastRowFirstColumn="0" w:lastRowLastColumn="0"/>
            <w:tcW w:w="1320" w:type="dxa"/>
            <w:noWrap/>
          </w:tcPr>
          <w:p w14:paraId="32F94327" w14:textId="65F4B70C" w:rsidR="00C44155" w:rsidRPr="0067507D" w:rsidRDefault="00B37818" w:rsidP="00984851">
            <w:pPr>
              <w:pStyle w:val="Tabletextright"/>
            </w:pPr>
            <w:r w:rsidRPr="0067507D">
              <w:t>–</w:t>
            </w:r>
          </w:p>
        </w:tc>
      </w:tr>
      <w:tr w:rsidR="00C44155" w:rsidRPr="0067507D" w14:paraId="48C629E9"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3FC10B4A" w14:textId="77777777" w:rsidR="00C44155" w:rsidRPr="0067507D" w:rsidRDefault="00C44155" w:rsidP="00984851">
            <w:pPr>
              <w:pStyle w:val="Tabletext"/>
            </w:pPr>
            <w:r w:rsidRPr="0067507D">
              <w:t>KPMG</w:t>
            </w:r>
          </w:p>
        </w:tc>
        <w:tc>
          <w:tcPr>
            <w:cnfStyle w:val="000010000000" w:firstRow="0" w:lastRow="0" w:firstColumn="0" w:lastColumn="0" w:oddVBand="1" w:evenVBand="0" w:oddHBand="0" w:evenHBand="0" w:firstRowFirstColumn="0" w:firstRowLastColumn="0" w:lastRowFirstColumn="0" w:lastRowLastColumn="0"/>
            <w:tcW w:w="2880" w:type="dxa"/>
            <w:noWrap/>
          </w:tcPr>
          <w:p w14:paraId="6BDADE1D" w14:textId="77777777" w:rsidR="00C44155" w:rsidRPr="0067507D" w:rsidRDefault="00C44155" w:rsidP="00984851">
            <w:pPr>
              <w:pStyle w:val="Tabletext"/>
            </w:pPr>
            <w:r w:rsidRPr="0067507D">
              <w:t>Digital Regulation Capability Model</w:t>
            </w:r>
          </w:p>
        </w:tc>
        <w:tc>
          <w:tcPr>
            <w:cnfStyle w:val="000001000000" w:firstRow="0" w:lastRow="0" w:firstColumn="0" w:lastColumn="0" w:oddVBand="0" w:evenVBand="1" w:oddHBand="0" w:evenHBand="0" w:firstRowFirstColumn="0" w:firstRowLastColumn="0" w:lastRowFirstColumn="0" w:lastRowLastColumn="0"/>
            <w:tcW w:w="1530" w:type="dxa"/>
            <w:noWrap/>
          </w:tcPr>
          <w:p w14:paraId="4687DC45" w14:textId="77777777" w:rsidR="00C44155" w:rsidRPr="0067507D" w:rsidRDefault="00C44155" w:rsidP="00984851">
            <w:pPr>
              <w:pStyle w:val="Tabletextright"/>
            </w:pPr>
            <w:r w:rsidRPr="0067507D">
              <w:t>160 000</w:t>
            </w:r>
          </w:p>
        </w:tc>
        <w:tc>
          <w:tcPr>
            <w:cnfStyle w:val="000010000000" w:firstRow="0" w:lastRow="0" w:firstColumn="0" w:lastColumn="0" w:oddVBand="1" w:evenVBand="0" w:oddHBand="0" w:evenHBand="0" w:firstRowFirstColumn="0" w:firstRowLastColumn="0" w:lastRowFirstColumn="0" w:lastRowLastColumn="0"/>
            <w:tcW w:w="1320" w:type="dxa"/>
            <w:noWrap/>
          </w:tcPr>
          <w:p w14:paraId="651A25E5" w14:textId="77777777" w:rsidR="00C44155" w:rsidRPr="0067507D" w:rsidRDefault="00C44155" w:rsidP="00984851">
            <w:pPr>
              <w:pStyle w:val="Tabletextright"/>
            </w:pPr>
            <w:r w:rsidRPr="0067507D">
              <w:t>130 000</w:t>
            </w:r>
          </w:p>
        </w:tc>
        <w:tc>
          <w:tcPr>
            <w:cnfStyle w:val="000001000000" w:firstRow="0" w:lastRow="0" w:firstColumn="0" w:lastColumn="0" w:oddVBand="0" w:evenVBand="1" w:oddHBand="0" w:evenHBand="0" w:firstRowFirstColumn="0" w:firstRowLastColumn="0" w:lastRowFirstColumn="0" w:lastRowLastColumn="0"/>
            <w:tcW w:w="1320" w:type="dxa"/>
            <w:noWrap/>
          </w:tcPr>
          <w:p w14:paraId="372CB26F" w14:textId="19D14C99" w:rsidR="00C44155" w:rsidRPr="0067507D" w:rsidRDefault="00B37818" w:rsidP="00984851">
            <w:pPr>
              <w:pStyle w:val="Tabletextright"/>
            </w:pPr>
            <w:r w:rsidRPr="0067507D">
              <w:t>–</w:t>
            </w:r>
          </w:p>
        </w:tc>
      </w:tr>
      <w:tr w:rsidR="00C44155" w:rsidRPr="0067507D" w14:paraId="1F5ABA46"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7542A476" w14:textId="77777777" w:rsidR="00C44155" w:rsidRPr="0067507D" w:rsidRDefault="00C44155" w:rsidP="00984851">
            <w:pPr>
              <w:pStyle w:val="Tabletext"/>
            </w:pPr>
            <w:r w:rsidRPr="0067507D">
              <w:t>KPMG</w:t>
            </w:r>
          </w:p>
        </w:tc>
        <w:tc>
          <w:tcPr>
            <w:cnfStyle w:val="000010000000" w:firstRow="0" w:lastRow="0" w:firstColumn="0" w:lastColumn="0" w:oddVBand="1" w:evenVBand="0" w:oddHBand="0" w:evenHBand="0" w:firstRowFirstColumn="0" w:firstRowLastColumn="0" w:lastRowFirstColumn="0" w:lastRowLastColumn="0"/>
            <w:tcW w:w="2880" w:type="dxa"/>
            <w:noWrap/>
          </w:tcPr>
          <w:p w14:paraId="18AC3463" w14:textId="77777777" w:rsidR="00C44155" w:rsidRPr="0067507D" w:rsidRDefault="00C44155" w:rsidP="00984851">
            <w:pPr>
              <w:pStyle w:val="Tabletext"/>
            </w:pPr>
            <w:r w:rsidRPr="0067507D">
              <w:t>Professional advisory services for the development of model legislative provisions to address legislative pain points for regulators</w:t>
            </w:r>
          </w:p>
        </w:tc>
        <w:tc>
          <w:tcPr>
            <w:cnfStyle w:val="000001000000" w:firstRow="0" w:lastRow="0" w:firstColumn="0" w:lastColumn="0" w:oddVBand="0" w:evenVBand="1" w:oddHBand="0" w:evenHBand="0" w:firstRowFirstColumn="0" w:firstRowLastColumn="0" w:lastRowFirstColumn="0" w:lastRowLastColumn="0"/>
            <w:tcW w:w="1530" w:type="dxa"/>
            <w:noWrap/>
          </w:tcPr>
          <w:p w14:paraId="216274A3" w14:textId="77777777" w:rsidR="00C44155" w:rsidRPr="0067507D" w:rsidRDefault="00C44155" w:rsidP="00984851">
            <w:pPr>
              <w:pStyle w:val="Tabletextright"/>
            </w:pPr>
            <w:r w:rsidRPr="0067507D">
              <w:t>187 175</w:t>
            </w:r>
          </w:p>
        </w:tc>
        <w:tc>
          <w:tcPr>
            <w:cnfStyle w:val="000010000000" w:firstRow="0" w:lastRow="0" w:firstColumn="0" w:lastColumn="0" w:oddVBand="1" w:evenVBand="0" w:oddHBand="0" w:evenHBand="0" w:firstRowFirstColumn="0" w:firstRowLastColumn="0" w:lastRowFirstColumn="0" w:lastRowLastColumn="0"/>
            <w:tcW w:w="1320" w:type="dxa"/>
            <w:noWrap/>
          </w:tcPr>
          <w:p w14:paraId="59214D4E" w14:textId="77777777" w:rsidR="00C44155" w:rsidRPr="0067507D" w:rsidRDefault="00C44155" w:rsidP="00984851">
            <w:pPr>
              <w:pStyle w:val="Tabletextright"/>
            </w:pPr>
            <w:r w:rsidRPr="0067507D">
              <w:t>134 822</w:t>
            </w:r>
          </w:p>
        </w:tc>
        <w:tc>
          <w:tcPr>
            <w:cnfStyle w:val="000001000000" w:firstRow="0" w:lastRow="0" w:firstColumn="0" w:lastColumn="0" w:oddVBand="0" w:evenVBand="1" w:oddHBand="0" w:evenHBand="0" w:firstRowFirstColumn="0" w:firstRowLastColumn="0" w:lastRowFirstColumn="0" w:lastRowLastColumn="0"/>
            <w:tcW w:w="1320" w:type="dxa"/>
            <w:noWrap/>
          </w:tcPr>
          <w:p w14:paraId="6D9F9D19" w14:textId="41883DFE" w:rsidR="00C44155" w:rsidRPr="0067507D" w:rsidRDefault="00B37818" w:rsidP="00984851">
            <w:pPr>
              <w:pStyle w:val="Tabletextright"/>
            </w:pPr>
            <w:r w:rsidRPr="0067507D">
              <w:t>–</w:t>
            </w:r>
          </w:p>
        </w:tc>
      </w:tr>
      <w:tr w:rsidR="00C44155" w:rsidRPr="0067507D" w14:paraId="56CEEAB6"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76A8E25F" w14:textId="77777777" w:rsidR="00C44155" w:rsidRPr="0067507D" w:rsidRDefault="00C44155">
            <w:pPr>
              <w:pStyle w:val="Tabletext"/>
              <w:rPr>
                <w:highlight w:val="yellow"/>
              </w:rPr>
            </w:pPr>
            <w:r w:rsidRPr="0067507D">
              <w:t>KPMG</w:t>
            </w:r>
          </w:p>
        </w:tc>
        <w:tc>
          <w:tcPr>
            <w:cnfStyle w:val="000010000000" w:firstRow="0" w:lastRow="0" w:firstColumn="0" w:lastColumn="0" w:oddVBand="1" w:evenVBand="0" w:oddHBand="0" w:evenHBand="0" w:firstRowFirstColumn="0" w:firstRowLastColumn="0" w:lastRowFirstColumn="0" w:lastRowLastColumn="0"/>
            <w:tcW w:w="2880" w:type="dxa"/>
            <w:noWrap/>
          </w:tcPr>
          <w:p w14:paraId="480159A3" w14:textId="77777777" w:rsidR="00C44155" w:rsidRPr="0067507D" w:rsidRDefault="00C44155">
            <w:pPr>
              <w:pStyle w:val="Tabletext"/>
              <w:rPr>
                <w:highlight w:val="yellow"/>
              </w:rPr>
            </w:pPr>
            <w:r w:rsidRPr="0067507D">
              <w:t>Food Production Industry Regulatory Reform</w:t>
            </w:r>
          </w:p>
        </w:tc>
        <w:tc>
          <w:tcPr>
            <w:cnfStyle w:val="000001000000" w:firstRow="0" w:lastRow="0" w:firstColumn="0" w:lastColumn="0" w:oddVBand="0" w:evenVBand="1" w:oddHBand="0" w:evenHBand="0" w:firstRowFirstColumn="0" w:firstRowLastColumn="0" w:lastRowFirstColumn="0" w:lastRowLastColumn="0"/>
            <w:tcW w:w="1530" w:type="dxa"/>
            <w:noWrap/>
          </w:tcPr>
          <w:p w14:paraId="76D89741" w14:textId="77777777" w:rsidR="00C44155" w:rsidRPr="0067507D" w:rsidRDefault="00C44155">
            <w:pPr>
              <w:pStyle w:val="Tabletextright"/>
              <w:rPr>
                <w:highlight w:val="yellow"/>
              </w:rPr>
            </w:pPr>
            <w:r w:rsidRPr="0067507D">
              <w:t>265 448</w:t>
            </w:r>
          </w:p>
        </w:tc>
        <w:tc>
          <w:tcPr>
            <w:cnfStyle w:val="000010000000" w:firstRow="0" w:lastRow="0" w:firstColumn="0" w:lastColumn="0" w:oddVBand="1" w:evenVBand="0" w:oddHBand="0" w:evenHBand="0" w:firstRowFirstColumn="0" w:firstRowLastColumn="0" w:lastRowFirstColumn="0" w:lastRowLastColumn="0"/>
            <w:tcW w:w="1320" w:type="dxa"/>
            <w:noWrap/>
          </w:tcPr>
          <w:p w14:paraId="6E2F9F08" w14:textId="77777777" w:rsidR="00C44155" w:rsidRPr="0067507D" w:rsidRDefault="00C44155">
            <w:pPr>
              <w:pStyle w:val="Tabletextright"/>
              <w:rPr>
                <w:highlight w:val="yellow"/>
              </w:rPr>
            </w:pPr>
            <w:r w:rsidRPr="0067507D">
              <w:t>53 090</w:t>
            </w:r>
          </w:p>
        </w:tc>
        <w:tc>
          <w:tcPr>
            <w:cnfStyle w:val="000001000000" w:firstRow="0" w:lastRow="0" w:firstColumn="0" w:lastColumn="0" w:oddVBand="0" w:evenVBand="1" w:oddHBand="0" w:evenHBand="0" w:firstRowFirstColumn="0" w:firstRowLastColumn="0" w:lastRowFirstColumn="0" w:lastRowLastColumn="0"/>
            <w:tcW w:w="1320" w:type="dxa"/>
            <w:noWrap/>
          </w:tcPr>
          <w:p w14:paraId="33F4F104" w14:textId="77777777" w:rsidR="00C44155" w:rsidRPr="0067507D" w:rsidRDefault="00C44155">
            <w:pPr>
              <w:pStyle w:val="Tabletextright"/>
              <w:rPr>
                <w:highlight w:val="yellow"/>
              </w:rPr>
            </w:pPr>
            <w:r w:rsidRPr="0067507D">
              <w:t>212 358</w:t>
            </w:r>
          </w:p>
        </w:tc>
      </w:tr>
      <w:tr w:rsidR="00C44155" w:rsidRPr="0067507D" w14:paraId="49E5D316"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5B0F342A" w14:textId="77777777" w:rsidR="00C44155" w:rsidRPr="0067507D" w:rsidRDefault="00C44155">
            <w:pPr>
              <w:pStyle w:val="Tabletext"/>
              <w:rPr>
                <w:highlight w:val="yellow"/>
              </w:rPr>
            </w:pPr>
            <w:r w:rsidRPr="0067507D">
              <w:t>KPMG</w:t>
            </w:r>
          </w:p>
        </w:tc>
        <w:tc>
          <w:tcPr>
            <w:cnfStyle w:val="000010000000" w:firstRow="0" w:lastRow="0" w:firstColumn="0" w:lastColumn="0" w:oddVBand="1" w:evenVBand="0" w:oddHBand="0" w:evenHBand="0" w:firstRowFirstColumn="0" w:firstRowLastColumn="0" w:lastRowFirstColumn="0" w:lastRowLastColumn="0"/>
            <w:tcW w:w="2880" w:type="dxa"/>
            <w:noWrap/>
          </w:tcPr>
          <w:p w14:paraId="7151063F" w14:textId="77777777" w:rsidR="00C44155" w:rsidRPr="0067507D" w:rsidRDefault="00C44155">
            <w:pPr>
              <w:pStyle w:val="Tabletext"/>
              <w:rPr>
                <w:highlight w:val="yellow"/>
              </w:rPr>
            </w:pPr>
            <w:r w:rsidRPr="0067507D">
              <w:t>Streamlining Local Law Requirements for Hospitality and Construction</w:t>
            </w:r>
          </w:p>
        </w:tc>
        <w:tc>
          <w:tcPr>
            <w:cnfStyle w:val="000001000000" w:firstRow="0" w:lastRow="0" w:firstColumn="0" w:lastColumn="0" w:oddVBand="0" w:evenVBand="1" w:oddHBand="0" w:evenHBand="0" w:firstRowFirstColumn="0" w:firstRowLastColumn="0" w:lastRowFirstColumn="0" w:lastRowLastColumn="0"/>
            <w:tcW w:w="1530" w:type="dxa"/>
            <w:noWrap/>
          </w:tcPr>
          <w:p w14:paraId="4C699AAB" w14:textId="77777777" w:rsidR="00C44155" w:rsidRPr="0067507D" w:rsidRDefault="00C44155">
            <w:pPr>
              <w:pStyle w:val="Tabletextright"/>
              <w:rPr>
                <w:highlight w:val="yellow"/>
              </w:rPr>
            </w:pPr>
            <w:r w:rsidRPr="0067507D">
              <w:t>271 762</w:t>
            </w:r>
          </w:p>
        </w:tc>
        <w:tc>
          <w:tcPr>
            <w:cnfStyle w:val="000010000000" w:firstRow="0" w:lastRow="0" w:firstColumn="0" w:lastColumn="0" w:oddVBand="1" w:evenVBand="0" w:oddHBand="0" w:evenHBand="0" w:firstRowFirstColumn="0" w:firstRowLastColumn="0" w:lastRowFirstColumn="0" w:lastRowLastColumn="0"/>
            <w:tcW w:w="1320" w:type="dxa"/>
            <w:noWrap/>
          </w:tcPr>
          <w:p w14:paraId="0A5F6EA9" w14:textId="77777777" w:rsidR="00C44155" w:rsidRPr="0067507D" w:rsidRDefault="00C44155">
            <w:pPr>
              <w:pStyle w:val="Tabletextright"/>
              <w:rPr>
                <w:highlight w:val="yellow"/>
              </w:rPr>
            </w:pPr>
            <w:r w:rsidRPr="0067507D">
              <w:t>173 278</w:t>
            </w:r>
          </w:p>
        </w:tc>
        <w:tc>
          <w:tcPr>
            <w:cnfStyle w:val="000001000000" w:firstRow="0" w:lastRow="0" w:firstColumn="0" w:lastColumn="0" w:oddVBand="0" w:evenVBand="1" w:oddHBand="0" w:evenHBand="0" w:firstRowFirstColumn="0" w:firstRowLastColumn="0" w:lastRowFirstColumn="0" w:lastRowLastColumn="0"/>
            <w:tcW w:w="1320" w:type="dxa"/>
            <w:noWrap/>
          </w:tcPr>
          <w:p w14:paraId="0A250963" w14:textId="77777777" w:rsidR="00C44155" w:rsidRPr="0067507D" w:rsidRDefault="00C44155">
            <w:pPr>
              <w:pStyle w:val="Tabletextright"/>
              <w:rPr>
                <w:highlight w:val="yellow"/>
              </w:rPr>
            </w:pPr>
            <w:r w:rsidRPr="0067507D">
              <w:t>98 484</w:t>
            </w:r>
          </w:p>
        </w:tc>
      </w:tr>
      <w:tr w:rsidR="00C44155" w:rsidRPr="0067507D" w14:paraId="13485EA4"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10DFCEB5" w14:textId="77777777" w:rsidR="00C44155" w:rsidRPr="0067507D" w:rsidRDefault="00C44155">
            <w:pPr>
              <w:pStyle w:val="Tabletext"/>
              <w:rPr>
                <w:highlight w:val="yellow"/>
              </w:rPr>
            </w:pPr>
            <w:r w:rsidRPr="0067507D">
              <w:t>KPMG Financial Services Consulting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7509B5D1" w14:textId="204B8B96" w:rsidR="00C44155" w:rsidRPr="0067507D" w:rsidRDefault="00C44155">
            <w:pPr>
              <w:pStyle w:val="Tabletext"/>
              <w:rPr>
                <w:highlight w:val="yellow"/>
              </w:rPr>
            </w:pPr>
            <w:r w:rsidRPr="0067507D">
              <w:t>Commercial and financial advisory services to support the Commonwealth Co</w:t>
            </w:r>
            <w:r w:rsidR="006A5485">
              <w:noBreakHyphen/>
            </w:r>
            <w:r w:rsidRPr="0067507D">
              <w:t>Investment Program and the Affordable Housing Partnerships Program.</w:t>
            </w:r>
          </w:p>
        </w:tc>
        <w:tc>
          <w:tcPr>
            <w:cnfStyle w:val="000001000000" w:firstRow="0" w:lastRow="0" w:firstColumn="0" w:lastColumn="0" w:oddVBand="0" w:evenVBand="1" w:oddHBand="0" w:evenHBand="0" w:firstRowFirstColumn="0" w:firstRowLastColumn="0" w:lastRowFirstColumn="0" w:lastRowLastColumn="0"/>
            <w:tcW w:w="1530" w:type="dxa"/>
            <w:noWrap/>
          </w:tcPr>
          <w:p w14:paraId="1090F862" w14:textId="77777777" w:rsidR="00C44155" w:rsidRPr="0067507D" w:rsidRDefault="00C44155">
            <w:pPr>
              <w:pStyle w:val="Tabletextright"/>
              <w:rPr>
                <w:highlight w:val="yellow"/>
              </w:rPr>
            </w:pPr>
            <w:r w:rsidRPr="0067507D">
              <w:t>1 077 000</w:t>
            </w:r>
          </w:p>
        </w:tc>
        <w:tc>
          <w:tcPr>
            <w:cnfStyle w:val="000010000000" w:firstRow="0" w:lastRow="0" w:firstColumn="0" w:lastColumn="0" w:oddVBand="1" w:evenVBand="0" w:oddHBand="0" w:evenHBand="0" w:firstRowFirstColumn="0" w:firstRowLastColumn="0" w:lastRowFirstColumn="0" w:lastRowLastColumn="0"/>
            <w:tcW w:w="1320" w:type="dxa"/>
            <w:noWrap/>
          </w:tcPr>
          <w:p w14:paraId="249578FB" w14:textId="77777777" w:rsidR="00C44155" w:rsidRPr="0067507D" w:rsidRDefault="00C44155">
            <w:pPr>
              <w:pStyle w:val="Tabletextright"/>
              <w:rPr>
                <w:highlight w:val="yellow"/>
              </w:rPr>
            </w:pPr>
            <w:r w:rsidRPr="0067507D">
              <w:t>294 300</w:t>
            </w:r>
          </w:p>
        </w:tc>
        <w:tc>
          <w:tcPr>
            <w:cnfStyle w:val="000001000000" w:firstRow="0" w:lastRow="0" w:firstColumn="0" w:lastColumn="0" w:oddVBand="0" w:evenVBand="1" w:oddHBand="0" w:evenHBand="0" w:firstRowFirstColumn="0" w:firstRowLastColumn="0" w:lastRowFirstColumn="0" w:lastRowLastColumn="0"/>
            <w:tcW w:w="1320" w:type="dxa"/>
            <w:noWrap/>
          </w:tcPr>
          <w:p w14:paraId="154F0390" w14:textId="77777777" w:rsidR="00C44155" w:rsidRPr="0067507D" w:rsidRDefault="00C44155">
            <w:pPr>
              <w:pStyle w:val="Tabletextright"/>
              <w:rPr>
                <w:highlight w:val="yellow"/>
              </w:rPr>
            </w:pPr>
            <w:r w:rsidRPr="0067507D">
              <w:t>619 232</w:t>
            </w:r>
          </w:p>
        </w:tc>
      </w:tr>
      <w:tr w:rsidR="00C44155" w:rsidRPr="0067507D" w14:paraId="1BB0E9AA"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5A637D50" w14:textId="77777777" w:rsidR="00C44155" w:rsidRPr="0067507D" w:rsidRDefault="00C44155">
            <w:pPr>
              <w:pStyle w:val="Tabletext"/>
              <w:rPr>
                <w:highlight w:val="yellow"/>
              </w:rPr>
            </w:pPr>
            <w:r w:rsidRPr="0067507D">
              <w:t>Lander &amp; Rogers</w:t>
            </w:r>
          </w:p>
        </w:tc>
        <w:tc>
          <w:tcPr>
            <w:cnfStyle w:val="000010000000" w:firstRow="0" w:lastRow="0" w:firstColumn="0" w:lastColumn="0" w:oddVBand="1" w:evenVBand="0" w:oddHBand="0" w:evenHBand="0" w:firstRowFirstColumn="0" w:firstRowLastColumn="0" w:lastRowFirstColumn="0" w:lastRowLastColumn="0"/>
            <w:tcW w:w="2880" w:type="dxa"/>
            <w:noWrap/>
          </w:tcPr>
          <w:p w14:paraId="35CB47B2" w14:textId="77777777" w:rsidR="00C44155" w:rsidRPr="0067507D" w:rsidRDefault="00C44155">
            <w:pPr>
              <w:pStyle w:val="Tabletext"/>
              <w:rPr>
                <w:highlight w:val="yellow"/>
              </w:rPr>
            </w:pPr>
            <w:r w:rsidRPr="0067507D">
              <w:t xml:space="preserve">Advice on legislative amendments to the labour hire regulatory scheme. </w:t>
            </w:r>
          </w:p>
        </w:tc>
        <w:tc>
          <w:tcPr>
            <w:cnfStyle w:val="000001000000" w:firstRow="0" w:lastRow="0" w:firstColumn="0" w:lastColumn="0" w:oddVBand="0" w:evenVBand="1" w:oddHBand="0" w:evenHBand="0" w:firstRowFirstColumn="0" w:firstRowLastColumn="0" w:lastRowFirstColumn="0" w:lastRowLastColumn="0"/>
            <w:tcW w:w="1530" w:type="dxa"/>
            <w:noWrap/>
          </w:tcPr>
          <w:p w14:paraId="528A4524" w14:textId="77777777" w:rsidR="00C44155" w:rsidRPr="0067507D" w:rsidRDefault="00C44155">
            <w:pPr>
              <w:pStyle w:val="Tabletextright"/>
              <w:rPr>
                <w:highlight w:val="yellow"/>
              </w:rPr>
            </w:pPr>
            <w:r w:rsidRPr="0067507D">
              <w:t>22 000</w:t>
            </w:r>
          </w:p>
        </w:tc>
        <w:tc>
          <w:tcPr>
            <w:cnfStyle w:val="000010000000" w:firstRow="0" w:lastRow="0" w:firstColumn="0" w:lastColumn="0" w:oddVBand="1" w:evenVBand="0" w:oddHBand="0" w:evenHBand="0" w:firstRowFirstColumn="0" w:firstRowLastColumn="0" w:lastRowFirstColumn="0" w:lastRowLastColumn="0"/>
            <w:tcW w:w="1320" w:type="dxa"/>
            <w:noWrap/>
          </w:tcPr>
          <w:p w14:paraId="1D8B48E0" w14:textId="77777777" w:rsidR="00C44155" w:rsidRPr="0067507D" w:rsidRDefault="00C44155">
            <w:pPr>
              <w:pStyle w:val="Tabletextright"/>
              <w:rPr>
                <w:highlight w:val="yellow"/>
              </w:rPr>
            </w:pPr>
            <w:r w:rsidRPr="0067507D">
              <w:t>17 339</w:t>
            </w:r>
          </w:p>
        </w:tc>
        <w:tc>
          <w:tcPr>
            <w:cnfStyle w:val="000001000000" w:firstRow="0" w:lastRow="0" w:firstColumn="0" w:lastColumn="0" w:oddVBand="0" w:evenVBand="1" w:oddHBand="0" w:evenHBand="0" w:firstRowFirstColumn="0" w:firstRowLastColumn="0" w:lastRowFirstColumn="0" w:lastRowLastColumn="0"/>
            <w:tcW w:w="1320" w:type="dxa"/>
            <w:noWrap/>
          </w:tcPr>
          <w:p w14:paraId="03778834" w14:textId="77777777" w:rsidR="00C44155" w:rsidRPr="0067507D" w:rsidRDefault="00C44155">
            <w:pPr>
              <w:pStyle w:val="Tabletextright"/>
              <w:rPr>
                <w:highlight w:val="yellow"/>
              </w:rPr>
            </w:pPr>
            <w:r w:rsidRPr="0067507D">
              <w:t>4 661</w:t>
            </w:r>
          </w:p>
        </w:tc>
      </w:tr>
      <w:tr w:rsidR="00C44155" w:rsidRPr="0067507D" w14:paraId="5CF93E6C"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D00F021" w14:textId="77777777" w:rsidR="00C44155" w:rsidRPr="0067507D" w:rsidRDefault="00C44155">
            <w:pPr>
              <w:pStyle w:val="Tabletext"/>
              <w:rPr>
                <w:highlight w:val="yellow"/>
              </w:rPr>
            </w:pPr>
            <w:r w:rsidRPr="0067507D">
              <w:t>M21 Advisory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580905DE" w14:textId="77777777" w:rsidR="00C44155" w:rsidRPr="0067507D" w:rsidRDefault="00C44155">
            <w:pPr>
              <w:pStyle w:val="Tabletext"/>
              <w:rPr>
                <w:highlight w:val="yellow"/>
              </w:rPr>
            </w:pPr>
            <w:r w:rsidRPr="0067507D">
              <w:t>Social Housing Growth Fund</w:t>
            </w:r>
          </w:p>
        </w:tc>
        <w:tc>
          <w:tcPr>
            <w:cnfStyle w:val="000001000000" w:firstRow="0" w:lastRow="0" w:firstColumn="0" w:lastColumn="0" w:oddVBand="0" w:evenVBand="1" w:oddHBand="0" w:evenHBand="0" w:firstRowFirstColumn="0" w:firstRowLastColumn="0" w:lastRowFirstColumn="0" w:lastRowLastColumn="0"/>
            <w:tcW w:w="1530" w:type="dxa"/>
            <w:noWrap/>
          </w:tcPr>
          <w:p w14:paraId="6D32F46E" w14:textId="77777777" w:rsidR="00C44155" w:rsidRPr="0067507D" w:rsidRDefault="00C44155">
            <w:pPr>
              <w:pStyle w:val="Tabletextright"/>
              <w:rPr>
                <w:highlight w:val="yellow"/>
              </w:rPr>
            </w:pPr>
            <w:r w:rsidRPr="0067507D">
              <w:t>72 220</w:t>
            </w:r>
          </w:p>
        </w:tc>
        <w:tc>
          <w:tcPr>
            <w:cnfStyle w:val="000010000000" w:firstRow="0" w:lastRow="0" w:firstColumn="0" w:lastColumn="0" w:oddVBand="1" w:evenVBand="0" w:oddHBand="0" w:evenHBand="0" w:firstRowFirstColumn="0" w:firstRowLastColumn="0" w:lastRowFirstColumn="0" w:lastRowLastColumn="0"/>
            <w:tcW w:w="1320" w:type="dxa"/>
            <w:noWrap/>
          </w:tcPr>
          <w:p w14:paraId="56D8178C" w14:textId="77777777" w:rsidR="00C44155" w:rsidRPr="0067507D" w:rsidRDefault="00C44155">
            <w:pPr>
              <w:pStyle w:val="Tabletextright"/>
              <w:rPr>
                <w:highlight w:val="yellow"/>
              </w:rPr>
            </w:pPr>
            <w:r w:rsidRPr="0067507D">
              <w:t>3 094</w:t>
            </w:r>
          </w:p>
        </w:tc>
        <w:tc>
          <w:tcPr>
            <w:cnfStyle w:val="000001000000" w:firstRow="0" w:lastRow="0" w:firstColumn="0" w:lastColumn="0" w:oddVBand="0" w:evenVBand="1" w:oddHBand="0" w:evenHBand="0" w:firstRowFirstColumn="0" w:firstRowLastColumn="0" w:lastRowFirstColumn="0" w:lastRowLastColumn="0"/>
            <w:tcW w:w="1320" w:type="dxa"/>
            <w:noWrap/>
          </w:tcPr>
          <w:p w14:paraId="3B0C2BCE" w14:textId="77777777" w:rsidR="00C44155" w:rsidRPr="0067507D" w:rsidRDefault="00C44155">
            <w:pPr>
              <w:pStyle w:val="Tabletextright"/>
              <w:rPr>
                <w:highlight w:val="yellow"/>
              </w:rPr>
            </w:pPr>
            <w:r w:rsidRPr="0067507D">
              <w:t>69 126</w:t>
            </w:r>
          </w:p>
        </w:tc>
      </w:tr>
      <w:tr w:rsidR="00C44155" w:rsidRPr="0067507D" w14:paraId="39FEF3D5"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0DCA51A" w14:textId="77777777" w:rsidR="00C44155" w:rsidRPr="0067507D" w:rsidRDefault="00C44155">
            <w:pPr>
              <w:pStyle w:val="Tabletext"/>
              <w:rPr>
                <w:highlight w:val="yellow"/>
              </w:rPr>
            </w:pPr>
            <w:r w:rsidRPr="0067507D">
              <w:t>MBMPL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0BB6B78E" w14:textId="77777777" w:rsidR="00C44155" w:rsidRPr="0067507D" w:rsidRDefault="00C44155">
            <w:pPr>
              <w:pStyle w:val="Tabletext"/>
              <w:rPr>
                <w:highlight w:val="yellow"/>
              </w:rPr>
            </w:pPr>
            <w:r w:rsidRPr="0067507D">
              <w:t>Assurance review</w:t>
            </w:r>
          </w:p>
        </w:tc>
        <w:tc>
          <w:tcPr>
            <w:cnfStyle w:val="000001000000" w:firstRow="0" w:lastRow="0" w:firstColumn="0" w:lastColumn="0" w:oddVBand="0" w:evenVBand="1" w:oddHBand="0" w:evenHBand="0" w:firstRowFirstColumn="0" w:firstRowLastColumn="0" w:lastRowFirstColumn="0" w:lastRowLastColumn="0"/>
            <w:tcW w:w="1530" w:type="dxa"/>
            <w:noWrap/>
          </w:tcPr>
          <w:p w14:paraId="7BAC85A5" w14:textId="77777777" w:rsidR="00C44155" w:rsidRPr="0067507D" w:rsidRDefault="00C44155">
            <w:pPr>
              <w:pStyle w:val="Tabletextright"/>
              <w:rPr>
                <w:highlight w:val="yellow"/>
              </w:rPr>
            </w:pPr>
            <w:r w:rsidRPr="0067507D">
              <w:t>76 360</w:t>
            </w:r>
          </w:p>
        </w:tc>
        <w:tc>
          <w:tcPr>
            <w:cnfStyle w:val="000010000000" w:firstRow="0" w:lastRow="0" w:firstColumn="0" w:lastColumn="0" w:oddVBand="1" w:evenVBand="0" w:oddHBand="0" w:evenHBand="0" w:firstRowFirstColumn="0" w:firstRowLastColumn="0" w:lastRowFirstColumn="0" w:lastRowLastColumn="0"/>
            <w:tcW w:w="1320" w:type="dxa"/>
            <w:noWrap/>
          </w:tcPr>
          <w:p w14:paraId="248FFA96" w14:textId="77777777" w:rsidR="00C44155" w:rsidRPr="0067507D" w:rsidRDefault="00C44155">
            <w:pPr>
              <w:pStyle w:val="Tabletextright"/>
              <w:rPr>
                <w:highlight w:val="yellow"/>
              </w:rPr>
            </w:pPr>
            <w:r w:rsidRPr="0067507D">
              <w:t>11 670</w:t>
            </w:r>
          </w:p>
        </w:tc>
        <w:tc>
          <w:tcPr>
            <w:cnfStyle w:val="000001000000" w:firstRow="0" w:lastRow="0" w:firstColumn="0" w:lastColumn="0" w:oddVBand="0" w:evenVBand="1" w:oddHBand="0" w:evenHBand="0" w:firstRowFirstColumn="0" w:firstRowLastColumn="0" w:lastRowFirstColumn="0" w:lastRowLastColumn="0"/>
            <w:tcW w:w="1320" w:type="dxa"/>
            <w:noWrap/>
          </w:tcPr>
          <w:p w14:paraId="428D18D8" w14:textId="77777777" w:rsidR="00C44155" w:rsidRPr="0067507D" w:rsidRDefault="00C44155">
            <w:pPr>
              <w:pStyle w:val="Tabletextright"/>
              <w:rPr>
                <w:highlight w:val="yellow"/>
              </w:rPr>
            </w:pPr>
            <w:r w:rsidRPr="0067507D">
              <w:t>64 689</w:t>
            </w:r>
          </w:p>
        </w:tc>
      </w:tr>
      <w:tr w:rsidR="00C44155" w:rsidRPr="0067507D" w14:paraId="5ED2F738" w14:textId="77777777" w:rsidTr="00C417D0">
        <w:trPr>
          <w:trHeight w:val="300"/>
        </w:trPr>
        <w:tc>
          <w:tcPr>
            <w:cnfStyle w:val="001000000000" w:firstRow="0" w:lastRow="0" w:firstColumn="1" w:lastColumn="0" w:oddVBand="0" w:evenVBand="0" w:oddHBand="0" w:evenHBand="0" w:firstRowFirstColumn="0" w:firstRowLastColumn="0" w:lastRowFirstColumn="0" w:lastRowLastColumn="0"/>
            <w:tcW w:w="2520" w:type="dxa"/>
            <w:shd w:val="clear" w:color="auto" w:fill="auto"/>
            <w:noWrap/>
          </w:tcPr>
          <w:p w14:paraId="04DCF24C" w14:textId="77777777" w:rsidR="00C44155" w:rsidRPr="0067507D" w:rsidRDefault="00C44155">
            <w:pPr>
              <w:pStyle w:val="Tabletext"/>
              <w:rPr>
                <w:highlight w:val="yellow"/>
              </w:rPr>
            </w:pPr>
            <w:r w:rsidRPr="0067507D">
              <w:t>Minter Ellison</w:t>
            </w:r>
          </w:p>
        </w:tc>
        <w:tc>
          <w:tcPr>
            <w:cnfStyle w:val="000010000000" w:firstRow="0" w:lastRow="0" w:firstColumn="0" w:lastColumn="0" w:oddVBand="1" w:evenVBand="0" w:oddHBand="0" w:evenHBand="0" w:firstRowFirstColumn="0" w:firstRowLastColumn="0" w:lastRowFirstColumn="0" w:lastRowLastColumn="0"/>
            <w:tcW w:w="2880" w:type="dxa"/>
            <w:noWrap/>
          </w:tcPr>
          <w:p w14:paraId="2B47FEC4" w14:textId="77777777" w:rsidR="00C44155" w:rsidRPr="0067507D" w:rsidRDefault="00C44155">
            <w:pPr>
              <w:pStyle w:val="Tabletext"/>
              <w:rPr>
                <w:highlight w:val="yellow"/>
              </w:rPr>
            </w:pPr>
            <w:r w:rsidRPr="0067507D">
              <w:t>Commercial and transaction advice</w:t>
            </w:r>
          </w:p>
        </w:tc>
        <w:tc>
          <w:tcPr>
            <w:cnfStyle w:val="000001000000" w:firstRow="0" w:lastRow="0" w:firstColumn="0" w:lastColumn="0" w:oddVBand="0" w:evenVBand="1" w:oddHBand="0" w:evenHBand="0" w:firstRowFirstColumn="0" w:firstRowLastColumn="0" w:lastRowFirstColumn="0" w:lastRowLastColumn="0"/>
            <w:tcW w:w="1530" w:type="dxa"/>
            <w:noWrap/>
          </w:tcPr>
          <w:p w14:paraId="04055EAD" w14:textId="77777777" w:rsidR="00C44155" w:rsidRPr="0067507D" w:rsidRDefault="00C44155">
            <w:pPr>
              <w:pStyle w:val="Tabletextright"/>
              <w:rPr>
                <w:highlight w:val="yellow"/>
              </w:rPr>
            </w:pPr>
            <w:r w:rsidRPr="0067507D">
              <w:t>826 000</w:t>
            </w:r>
          </w:p>
        </w:tc>
        <w:tc>
          <w:tcPr>
            <w:cnfStyle w:val="000010000000" w:firstRow="0" w:lastRow="0" w:firstColumn="0" w:lastColumn="0" w:oddVBand="1" w:evenVBand="0" w:oddHBand="0" w:evenHBand="0" w:firstRowFirstColumn="0" w:firstRowLastColumn="0" w:lastRowFirstColumn="0" w:lastRowLastColumn="0"/>
            <w:tcW w:w="1320" w:type="dxa"/>
            <w:noWrap/>
          </w:tcPr>
          <w:p w14:paraId="5D0DD289" w14:textId="77777777" w:rsidR="00C44155" w:rsidRPr="0067507D" w:rsidRDefault="00C44155">
            <w:pPr>
              <w:pStyle w:val="Tabletextright"/>
              <w:rPr>
                <w:highlight w:val="yellow"/>
              </w:rPr>
            </w:pPr>
            <w:r w:rsidRPr="0067507D">
              <w:t>507 807</w:t>
            </w:r>
          </w:p>
        </w:tc>
        <w:tc>
          <w:tcPr>
            <w:cnfStyle w:val="000001000000" w:firstRow="0" w:lastRow="0" w:firstColumn="0" w:lastColumn="0" w:oddVBand="0" w:evenVBand="1" w:oddHBand="0" w:evenHBand="0" w:firstRowFirstColumn="0" w:firstRowLastColumn="0" w:lastRowFirstColumn="0" w:lastRowLastColumn="0"/>
            <w:tcW w:w="1320" w:type="dxa"/>
            <w:noWrap/>
          </w:tcPr>
          <w:p w14:paraId="7652BABE" w14:textId="77777777" w:rsidR="00C44155" w:rsidRPr="0067507D" w:rsidRDefault="00C44155">
            <w:pPr>
              <w:pStyle w:val="Tabletextright"/>
              <w:rPr>
                <w:highlight w:val="yellow"/>
              </w:rPr>
            </w:pPr>
            <w:r w:rsidRPr="0067507D">
              <w:t>318 193</w:t>
            </w:r>
          </w:p>
        </w:tc>
      </w:tr>
      <w:tr w:rsidR="00C44155" w:rsidRPr="0067507D" w14:paraId="160BD7BF" w14:textId="77777777" w:rsidTr="00C417D0">
        <w:trPr>
          <w:trHeight w:val="300"/>
        </w:trPr>
        <w:tc>
          <w:tcPr>
            <w:cnfStyle w:val="001000000000" w:firstRow="0" w:lastRow="0" w:firstColumn="1" w:lastColumn="0" w:oddVBand="0" w:evenVBand="0" w:oddHBand="0" w:evenHBand="0" w:firstRowFirstColumn="0" w:firstRowLastColumn="0" w:lastRowFirstColumn="0" w:lastRowLastColumn="0"/>
            <w:tcW w:w="2520" w:type="dxa"/>
            <w:shd w:val="clear" w:color="auto" w:fill="auto"/>
            <w:noWrap/>
          </w:tcPr>
          <w:p w14:paraId="5E630445" w14:textId="77777777" w:rsidR="00C44155" w:rsidRPr="0067507D" w:rsidRDefault="00C44155">
            <w:pPr>
              <w:pStyle w:val="Tabletext"/>
              <w:rPr>
                <w:highlight w:val="yellow"/>
              </w:rPr>
            </w:pPr>
            <w:r w:rsidRPr="0067507D">
              <w:t>Minter Ellison</w:t>
            </w:r>
          </w:p>
        </w:tc>
        <w:tc>
          <w:tcPr>
            <w:cnfStyle w:val="000010000000" w:firstRow="0" w:lastRow="0" w:firstColumn="0" w:lastColumn="0" w:oddVBand="1" w:evenVBand="0" w:oddHBand="0" w:evenHBand="0" w:firstRowFirstColumn="0" w:firstRowLastColumn="0" w:lastRowFirstColumn="0" w:lastRowLastColumn="0"/>
            <w:tcW w:w="2880" w:type="dxa"/>
            <w:noWrap/>
          </w:tcPr>
          <w:p w14:paraId="17A7BE9C" w14:textId="77777777" w:rsidR="00C44155" w:rsidRPr="0067507D" w:rsidRDefault="00C44155">
            <w:pPr>
              <w:pStyle w:val="Tabletext"/>
              <w:rPr>
                <w:highlight w:val="yellow"/>
              </w:rPr>
            </w:pPr>
            <w:r w:rsidRPr="0067507D">
              <w:t>Commercial and transaction advice</w:t>
            </w:r>
          </w:p>
        </w:tc>
        <w:tc>
          <w:tcPr>
            <w:cnfStyle w:val="000001000000" w:firstRow="0" w:lastRow="0" w:firstColumn="0" w:lastColumn="0" w:oddVBand="0" w:evenVBand="1" w:oddHBand="0" w:evenHBand="0" w:firstRowFirstColumn="0" w:firstRowLastColumn="0" w:lastRowFirstColumn="0" w:lastRowLastColumn="0"/>
            <w:tcW w:w="1530" w:type="dxa"/>
            <w:noWrap/>
          </w:tcPr>
          <w:p w14:paraId="19481D99" w14:textId="77777777" w:rsidR="00C44155" w:rsidRPr="0067507D" w:rsidRDefault="00C44155">
            <w:pPr>
              <w:pStyle w:val="Tabletextright"/>
              <w:rPr>
                <w:highlight w:val="yellow"/>
              </w:rPr>
            </w:pPr>
            <w:r w:rsidRPr="0067507D">
              <w:t>30 000</w:t>
            </w:r>
          </w:p>
        </w:tc>
        <w:tc>
          <w:tcPr>
            <w:cnfStyle w:val="000010000000" w:firstRow="0" w:lastRow="0" w:firstColumn="0" w:lastColumn="0" w:oddVBand="1" w:evenVBand="0" w:oddHBand="0" w:evenHBand="0" w:firstRowFirstColumn="0" w:firstRowLastColumn="0" w:lastRowFirstColumn="0" w:lastRowLastColumn="0"/>
            <w:tcW w:w="1320" w:type="dxa"/>
            <w:noWrap/>
          </w:tcPr>
          <w:p w14:paraId="7EA42F86" w14:textId="77777777" w:rsidR="00C44155" w:rsidRPr="0067507D" w:rsidRDefault="00C44155">
            <w:pPr>
              <w:pStyle w:val="Tabletextright"/>
              <w:rPr>
                <w:highlight w:val="yellow"/>
              </w:rPr>
            </w:pPr>
            <w:r w:rsidRPr="0067507D">
              <w:t>29 207</w:t>
            </w:r>
          </w:p>
        </w:tc>
        <w:tc>
          <w:tcPr>
            <w:cnfStyle w:val="000001000000" w:firstRow="0" w:lastRow="0" w:firstColumn="0" w:lastColumn="0" w:oddVBand="0" w:evenVBand="1" w:oddHBand="0" w:evenHBand="0" w:firstRowFirstColumn="0" w:firstRowLastColumn="0" w:lastRowFirstColumn="0" w:lastRowLastColumn="0"/>
            <w:tcW w:w="1320" w:type="dxa"/>
            <w:noWrap/>
          </w:tcPr>
          <w:p w14:paraId="7BC029AD" w14:textId="77777777" w:rsidR="00C44155" w:rsidRPr="0067507D" w:rsidRDefault="00C44155">
            <w:pPr>
              <w:pStyle w:val="Tabletextright"/>
              <w:rPr>
                <w:highlight w:val="yellow"/>
              </w:rPr>
            </w:pPr>
            <w:r w:rsidRPr="0067507D">
              <w:t>793</w:t>
            </w:r>
          </w:p>
        </w:tc>
      </w:tr>
      <w:tr w:rsidR="00C44155" w:rsidRPr="0067507D" w14:paraId="3CF56A29"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5F6084A4" w14:textId="77777777" w:rsidR="00C44155" w:rsidRPr="0067507D" w:rsidRDefault="00C44155">
            <w:pPr>
              <w:pStyle w:val="Tabletext"/>
              <w:rPr>
                <w:highlight w:val="yellow"/>
              </w:rPr>
            </w:pPr>
            <w:r w:rsidRPr="0067507D">
              <w:lastRenderedPageBreak/>
              <w:t>Nous Group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14CD61A5" w14:textId="06D1C831" w:rsidR="00C44155" w:rsidRPr="0067507D" w:rsidRDefault="00C44155">
            <w:pPr>
              <w:pStyle w:val="Tabletext"/>
              <w:rPr>
                <w:highlight w:val="yellow"/>
              </w:rPr>
            </w:pPr>
            <w:r w:rsidRPr="0067507D">
              <w:t>Advice on Organisation Design and Workforce Cost Estimation</w:t>
            </w:r>
            <w:r w:rsidR="008033F5" w:rsidRPr="0067507D">
              <w:t xml:space="preserve"> – </w:t>
            </w:r>
            <w:r w:rsidRPr="0067507D">
              <w:t>National Labour Hire Regulator</w:t>
            </w:r>
          </w:p>
        </w:tc>
        <w:tc>
          <w:tcPr>
            <w:cnfStyle w:val="000001000000" w:firstRow="0" w:lastRow="0" w:firstColumn="0" w:lastColumn="0" w:oddVBand="0" w:evenVBand="1" w:oddHBand="0" w:evenHBand="0" w:firstRowFirstColumn="0" w:firstRowLastColumn="0" w:lastRowFirstColumn="0" w:lastRowLastColumn="0"/>
            <w:tcW w:w="1530" w:type="dxa"/>
            <w:noWrap/>
          </w:tcPr>
          <w:p w14:paraId="2627B728" w14:textId="77777777" w:rsidR="00C44155" w:rsidRPr="0067507D" w:rsidRDefault="00C44155">
            <w:pPr>
              <w:pStyle w:val="Tabletextright"/>
              <w:rPr>
                <w:highlight w:val="yellow"/>
              </w:rPr>
            </w:pPr>
            <w:r w:rsidRPr="0067507D">
              <w:t>209 000</w:t>
            </w:r>
          </w:p>
        </w:tc>
        <w:tc>
          <w:tcPr>
            <w:cnfStyle w:val="000010000000" w:firstRow="0" w:lastRow="0" w:firstColumn="0" w:lastColumn="0" w:oddVBand="1" w:evenVBand="0" w:oddHBand="0" w:evenHBand="0" w:firstRowFirstColumn="0" w:firstRowLastColumn="0" w:lastRowFirstColumn="0" w:lastRowLastColumn="0"/>
            <w:tcW w:w="1320" w:type="dxa"/>
            <w:noWrap/>
          </w:tcPr>
          <w:p w14:paraId="5CAA468E" w14:textId="77777777" w:rsidR="00C44155" w:rsidRPr="0067507D" w:rsidRDefault="00C44155">
            <w:pPr>
              <w:pStyle w:val="Tabletextright"/>
              <w:rPr>
                <w:highlight w:val="yellow"/>
              </w:rPr>
            </w:pPr>
            <w:r w:rsidRPr="0067507D">
              <w:t>125 400</w:t>
            </w:r>
          </w:p>
        </w:tc>
        <w:tc>
          <w:tcPr>
            <w:cnfStyle w:val="000001000000" w:firstRow="0" w:lastRow="0" w:firstColumn="0" w:lastColumn="0" w:oddVBand="0" w:evenVBand="1" w:oddHBand="0" w:evenHBand="0" w:firstRowFirstColumn="0" w:firstRowLastColumn="0" w:lastRowFirstColumn="0" w:lastRowLastColumn="0"/>
            <w:tcW w:w="1320" w:type="dxa"/>
            <w:noWrap/>
          </w:tcPr>
          <w:p w14:paraId="0B61AB4D" w14:textId="77777777" w:rsidR="00C44155" w:rsidRPr="0067507D" w:rsidRDefault="00C44155">
            <w:pPr>
              <w:pStyle w:val="Tabletextright"/>
              <w:rPr>
                <w:highlight w:val="yellow"/>
              </w:rPr>
            </w:pPr>
            <w:r w:rsidRPr="0067507D">
              <w:t>83 600</w:t>
            </w:r>
          </w:p>
        </w:tc>
      </w:tr>
      <w:tr w:rsidR="00C44155" w:rsidRPr="0067507D" w14:paraId="227ADBBE"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2DF681C9" w14:textId="77777777" w:rsidR="00C44155" w:rsidRPr="0067507D" w:rsidRDefault="00C44155">
            <w:pPr>
              <w:pStyle w:val="Tabletext"/>
              <w:rPr>
                <w:highlight w:val="yellow"/>
              </w:rPr>
            </w:pPr>
            <w:r w:rsidRPr="0067507D">
              <w:t>Nous Group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64DDBC28" w14:textId="77777777" w:rsidR="00C44155" w:rsidRPr="0067507D" w:rsidRDefault="00C44155">
            <w:pPr>
              <w:pStyle w:val="Tabletext"/>
              <w:rPr>
                <w:highlight w:val="yellow"/>
              </w:rPr>
            </w:pPr>
            <w:r w:rsidRPr="0067507D">
              <w:t>Digitally Ready Regulators</w:t>
            </w:r>
          </w:p>
        </w:tc>
        <w:tc>
          <w:tcPr>
            <w:cnfStyle w:val="000001000000" w:firstRow="0" w:lastRow="0" w:firstColumn="0" w:lastColumn="0" w:oddVBand="0" w:evenVBand="1" w:oddHBand="0" w:evenHBand="0" w:firstRowFirstColumn="0" w:firstRowLastColumn="0" w:lastRowFirstColumn="0" w:lastRowLastColumn="0"/>
            <w:tcW w:w="1530" w:type="dxa"/>
            <w:noWrap/>
          </w:tcPr>
          <w:p w14:paraId="298836F4" w14:textId="77777777" w:rsidR="00C44155" w:rsidRPr="0067507D" w:rsidRDefault="00C44155">
            <w:pPr>
              <w:pStyle w:val="Tabletextright"/>
              <w:rPr>
                <w:highlight w:val="yellow"/>
              </w:rPr>
            </w:pPr>
            <w:r w:rsidRPr="0067507D">
              <w:t>387 000</w:t>
            </w:r>
          </w:p>
        </w:tc>
        <w:tc>
          <w:tcPr>
            <w:cnfStyle w:val="000010000000" w:firstRow="0" w:lastRow="0" w:firstColumn="0" w:lastColumn="0" w:oddVBand="1" w:evenVBand="0" w:oddHBand="0" w:evenHBand="0" w:firstRowFirstColumn="0" w:firstRowLastColumn="0" w:lastRowFirstColumn="0" w:lastRowLastColumn="0"/>
            <w:tcW w:w="1320" w:type="dxa"/>
            <w:noWrap/>
          </w:tcPr>
          <w:p w14:paraId="69B1021C" w14:textId="77777777" w:rsidR="00C44155" w:rsidRPr="0067507D" w:rsidRDefault="00C44155">
            <w:pPr>
              <w:pStyle w:val="Tabletextright"/>
              <w:rPr>
                <w:highlight w:val="yellow"/>
              </w:rPr>
            </w:pPr>
            <w:r w:rsidRPr="0067507D">
              <w:t>68 818</w:t>
            </w:r>
          </w:p>
        </w:tc>
        <w:tc>
          <w:tcPr>
            <w:cnfStyle w:val="000001000000" w:firstRow="0" w:lastRow="0" w:firstColumn="0" w:lastColumn="0" w:oddVBand="0" w:evenVBand="1" w:oddHBand="0" w:evenHBand="0" w:firstRowFirstColumn="0" w:firstRowLastColumn="0" w:lastRowFirstColumn="0" w:lastRowLastColumn="0"/>
            <w:tcW w:w="1320" w:type="dxa"/>
            <w:noWrap/>
          </w:tcPr>
          <w:p w14:paraId="46AAD359" w14:textId="269667EA" w:rsidR="00C44155" w:rsidRPr="0067507D" w:rsidRDefault="00B37818">
            <w:pPr>
              <w:pStyle w:val="Tabletextright"/>
              <w:rPr>
                <w:highlight w:val="yellow"/>
              </w:rPr>
            </w:pPr>
            <w:r w:rsidRPr="0067507D">
              <w:t>–</w:t>
            </w:r>
          </w:p>
        </w:tc>
      </w:tr>
      <w:tr w:rsidR="00C44155" w:rsidRPr="0067507D" w14:paraId="067394F8"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5E4CDCC4" w14:textId="77777777" w:rsidR="00C44155" w:rsidRPr="0067507D" w:rsidRDefault="00C44155" w:rsidP="00D66459">
            <w:pPr>
              <w:pStyle w:val="Tabletext"/>
              <w:rPr>
                <w:highlight w:val="yellow"/>
              </w:rPr>
            </w:pPr>
            <w:r w:rsidRPr="0067507D">
              <w:t>Nous Group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45BE35C0" w14:textId="77777777" w:rsidR="00C44155" w:rsidRPr="0067507D" w:rsidRDefault="00C44155" w:rsidP="00D66459">
            <w:pPr>
              <w:pStyle w:val="Tabletext"/>
              <w:rPr>
                <w:highlight w:val="yellow"/>
              </w:rPr>
            </w:pPr>
            <w:r w:rsidRPr="0067507D">
              <w:t>Independent review of the modernisation of the WorkCover Scheme</w:t>
            </w:r>
          </w:p>
        </w:tc>
        <w:tc>
          <w:tcPr>
            <w:cnfStyle w:val="000001000000" w:firstRow="0" w:lastRow="0" w:firstColumn="0" w:lastColumn="0" w:oddVBand="0" w:evenVBand="1" w:oddHBand="0" w:evenHBand="0" w:firstRowFirstColumn="0" w:firstRowLastColumn="0" w:lastRowFirstColumn="0" w:lastRowLastColumn="0"/>
            <w:tcW w:w="1530" w:type="dxa"/>
            <w:noWrap/>
          </w:tcPr>
          <w:p w14:paraId="2D20EBD4" w14:textId="77777777" w:rsidR="00C44155" w:rsidRPr="0067507D" w:rsidRDefault="00C44155" w:rsidP="00D66459">
            <w:pPr>
              <w:pStyle w:val="Tabletextright"/>
              <w:rPr>
                <w:highlight w:val="yellow"/>
              </w:rPr>
            </w:pPr>
            <w:r w:rsidRPr="0067507D">
              <w:t>245 000</w:t>
            </w:r>
          </w:p>
        </w:tc>
        <w:tc>
          <w:tcPr>
            <w:cnfStyle w:val="000010000000" w:firstRow="0" w:lastRow="0" w:firstColumn="0" w:lastColumn="0" w:oddVBand="1" w:evenVBand="0" w:oddHBand="0" w:evenHBand="0" w:firstRowFirstColumn="0" w:firstRowLastColumn="0" w:lastRowFirstColumn="0" w:lastRowLastColumn="0"/>
            <w:tcW w:w="1320" w:type="dxa"/>
            <w:noWrap/>
          </w:tcPr>
          <w:p w14:paraId="6303FF20" w14:textId="77777777" w:rsidR="00C44155" w:rsidRPr="0067507D" w:rsidRDefault="00C44155" w:rsidP="00D66459">
            <w:pPr>
              <w:pStyle w:val="Tabletextright"/>
              <w:rPr>
                <w:highlight w:val="yellow"/>
              </w:rPr>
            </w:pPr>
            <w:r w:rsidRPr="0067507D">
              <w:t>245 000</w:t>
            </w:r>
          </w:p>
        </w:tc>
        <w:tc>
          <w:tcPr>
            <w:cnfStyle w:val="000001000000" w:firstRow="0" w:lastRow="0" w:firstColumn="0" w:lastColumn="0" w:oddVBand="0" w:evenVBand="1" w:oddHBand="0" w:evenHBand="0" w:firstRowFirstColumn="0" w:firstRowLastColumn="0" w:lastRowFirstColumn="0" w:lastRowLastColumn="0"/>
            <w:tcW w:w="1320" w:type="dxa"/>
            <w:noWrap/>
          </w:tcPr>
          <w:p w14:paraId="2B5F6A09" w14:textId="03C8BECC" w:rsidR="00C44155" w:rsidRPr="0067507D" w:rsidRDefault="00B37818" w:rsidP="00D66459">
            <w:pPr>
              <w:pStyle w:val="Tabletextright"/>
              <w:rPr>
                <w:highlight w:val="yellow"/>
              </w:rPr>
            </w:pPr>
            <w:r w:rsidRPr="0067507D">
              <w:t>–</w:t>
            </w:r>
          </w:p>
        </w:tc>
      </w:tr>
      <w:tr w:rsidR="008414DC" w:rsidRPr="0067507D" w14:paraId="03DB2016" w14:textId="77777777" w:rsidTr="001B0190">
        <w:trPr>
          <w:trHeight w:val="300"/>
        </w:trPr>
        <w:tc>
          <w:tcPr>
            <w:cnfStyle w:val="001000000000" w:firstRow="0" w:lastRow="0" w:firstColumn="1" w:lastColumn="0" w:oddVBand="0" w:evenVBand="0" w:oddHBand="0" w:evenHBand="0" w:firstRowFirstColumn="0" w:firstRowLastColumn="0" w:lastRowFirstColumn="0" w:lastRowLastColumn="0"/>
            <w:tcW w:w="2520" w:type="dxa"/>
            <w:noWrap/>
            <w:vAlign w:val="bottom"/>
          </w:tcPr>
          <w:p w14:paraId="36E4C300" w14:textId="18D3750E" w:rsidR="008414DC" w:rsidRPr="0067507D" w:rsidRDefault="008414DC" w:rsidP="001B0190">
            <w:pPr>
              <w:pStyle w:val="Tabletext"/>
            </w:pPr>
            <w:r w:rsidRPr="0067507D">
              <w:t>Nous Group Pty Ltd</w:t>
            </w:r>
          </w:p>
        </w:tc>
        <w:tc>
          <w:tcPr>
            <w:cnfStyle w:val="000010000000" w:firstRow="0" w:lastRow="0" w:firstColumn="0" w:lastColumn="0" w:oddVBand="1" w:evenVBand="0" w:oddHBand="0" w:evenHBand="0" w:firstRowFirstColumn="0" w:firstRowLastColumn="0" w:lastRowFirstColumn="0" w:lastRowLastColumn="0"/>
            <w:tcW w:w="2880" w:type="dxa"/>
            <w:noWrap/>
            <w:vAlign w:val="bottom"/>
          </w:tcPr>
          <w:p w14:paraId="0119B231" w14:textId="75EB424E" w:rsidR="008414DC" w:rsidRPr="0067507D" w:rsidRDefault="008414DC" w:rsidP="00F163B1">
            <w:pPr>
              <w:pStyle w:val="Tabletext"/>
            </w:pPr>
            <w:r w:rsidRPr="0067507D">
              <w:t xml:space="preserve">Support for the Independent </w:t>
            </w:r>
            <w:r w:rsidR="00455562" w:rsidRPr="0067507D">
              <w:t>R</w:t>
            </w:r>
            <w:r w:rsidRPr="0067507D">
              <w:t>eview into the Victorian Public Sector</w:t>
            </w:r>
          </w:p>
        </w:tc>
        <w:tc>
          <w:tcPr>
            <w:cnfStyle w:val="000001000000" w:firstRow="0" w:lastRow="0" w:firstColumn="0" w:lastColumn="0" w:oddVBand="0" w:evenVBand="1" w:oddHBand="0" w:evenHBand="0" w:firstRowFirstColumn="0" w:firstRowLastColumn="0" w:lastRowFirstColumn="0" w:lastRowLastColumn="0"/>
            <w:tcW w:w="1530" w:type="dxa"/>
            <w:noWrap/>
          </w:tcPr>
          <w:p w14:paraId="51D5B773" w14:textId="655C7631" w:rsidR="008414DC" w:rsidRPr="0067507D" w:rsidRDefault="008414DC" w:rsidP="008414DC">
            <w:pPr>
              <w:pStyle w:val="Tabletextright"/>
            </w:pPr>
            <w:r w:rsidRPr="0067507D">
              <w:t xml:space="preserve">289 000 </w:t>
            </w:r>
          </w:p>
        </w:tc>
        <w:tc>
          <w:tcPr>
            <w:cnfStyle w:val="000010000000" w:firstRow="0" w:lastRow="0" w:firstColumn="0" w:lastColumn="0" w:oddVBand="1" w:evenVBand="0" w:oddHBand="0" w:evenHBand="0" w:firstRowFirstColumn="0" w:firstRowLastColumn="0" w:lastRowFirstColumn="0" w:lastRowLastColumn="0"/>
            <w:tcW w:w="1320" w:type="dxa"/>
            <w:noWrap/>
          </w:tcPr>
          <w:p w14:paraId="0EEB92B8" w14:textId="572C3A6C" w:rsidR="008414DC" w:rsidRPr="0067507D" w:rsidRDefault="008414DC" w:rsidP="008414DC">
            <w:pPr>
              <w:pStyle w:val="Tabletextright"/>
            </w:pPr>
            <w:r w:rsidRPr="0067507D">
              <w:t xml:space="preserve">289 000 </w:t>
            </w:r>
          </w:p>
        </w:tc>
        <w:tc>
          <w:tcPr>
            <w:cnfStyle w:val="000001000000" w:firstRow="0" w:lastRow="0" w:firstColumn="0" w:lastColumn="0" w:oddVBand="0" w:evenVBand="1" w:oddHBand="0" w:evenHBand="0" w:firstRowFirstColumn="0" w:firstRowLastColumn="0" w:lastRowFirstColumn="0" w:lastRowLastColumn="0"/>
            <w:tcW w:w="1320" w:type="dxa"/>
            <w:noWrap/>
          </w:tcPr>
          <w:p w14:paraId="7E6856E9" w14:textId="0E83472D" w:rsidR="008414DC" w:rsidRPr="0067507D" w:rsidRDefault="008414DC" w:rsidP="008414DC">
            <w:pPr>
              <w:pStyle w:val="Tabletextright"/>
            </w:pPr>
            <w:r w:rsidRPr="0067507D">
              <w:t xml:space="preserve">–  </w:t>
            </w:r>
          </w:p>
        </w:tc>
      </w:tr>
      <w:tr w:rsidR="00C44155" w:rsidRPr="0067507D" w14:paraId="76123575"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1B269C54" w14:textId="77777777" w:rsidR="00C44155" w:rsidRPr="0067507D" w:rsidRDefault="00C44155">
            <w:pPr>
              <w:pStyle w:val="Tabletext"/>
              <w:rPr>
                <w:highlight w:val="yellow"/>
              </w:rPr>
            </w:pPr>
            <w:r w:rsidRPr="0067507D">
              <w:t>PricewaterhouseCoopers Securities Ltd</w:t>
            </w:r>
          </w:p>
        </w:tc>
        <w:tc>
          <w:tcPr>
            <w:cnfStyle w:val="000010000000" w:firstRow="0" w:lastRow="0" w:firstColumn="0" w:lastColumn="0" w:oddVBand="1" w:evenVBand="0" w:oddHBand="0" w:evenHBand="0" w:firstRowFirstColumn="0" w:firstRowLastColumn="0" w:lastRowFirstColumn="0" w:lastRowLastColumn="0"/>
            <w:tcW w:w="2880" w:type="dxa"/>
            <w:noWrap/>
          </w:tcPr>
          <w:p w14:paraId="3347F8C4" w14:textId="77777777" w:rsidR="00C44155" w:rsidRPr="0067507D" w:rsidRDefault="00C44155">
            <w:pPr>
              <w:pStyle w:val="Tabletext"/>
              <w:rPr>
                <w:highlight w:val="yellow"/>
              </w:rPr>
            </w:pPr>
            <w:r w:rsidRPr="0067507D">
              <w:t>Commercial and financial advisory services to support the Homes for Aboriginal Victorians Round of the Social Housing Growth Fund</w:t>
            </w:r>
          </w:p>
        </w:tc>
        <w:tc>
          <w:tcPr>
            <w:cnfStyle w:val="000001000000" w:firstRow="0" w:lastRow="0" w:firstColumn="0" w:lastColumn="0" w:oddVBand="0" w:evenVBand="1" w:oddHBand="0" w:evenHBand="0" w:firstRowFirstColumn="0" w:firstRowLastColumn="0" w:lastRowFirstColumn="0" w:lastRowLastColumn="0"/>
            <w:tcW w:w="1530" w:type="dxa"/>
            <w:noWrap/>
          </w:tcPr>
          <w:p w14:paraId="6B1F3E28" w14:textId="77777777" w:rsidR="00C44155" w:rsidRPr="0067507D" w:rsidRDefault="00C44155">
            <w:pPr>
              <w:pStyle w:val="Tabletextright"/>
              <w:rPr>
                <w:color w:val="000000"/>
                <w:highlight w:val="yellow"/>
              </w:rPr>
            </w:pPr>
            <w:r w:rsidRPr="0067507D">
              <w:t>87 759</w:t>
            </w:r>
          </w:p>
        </w:tc>
        <w:tc>
          <w:tcPr>
            <w:cnfStyle w:val="000010000000" w:firstRow="0" w:lastRow="0" w:firstColumn="0" w:lastColumn="0" w:oddVBand="1" w:evenVBand="0" w:oddHBand="0" w:evenHBand="0" w:firstRowFirstColumn="0" w:firstRowLastColumn="0" w:lastRowFirstColumn="0" w:lastRowLastColumn="0"/>
            <w:tcW w:w="1320" w:type="dxa"/>
            <w:noWrap/>
          </w:tcPr>
          <w:p w14:paraId="28A08543" w14:textId="77777777" w:rsidR="00C44155" w:rsidRPr="0067507D" w:rsidRDefault="00C44155">
            <w:pPr>
              <w:pStyle w:val="Tabletextright"/>
              <w:rPr>
                <w:color w:val="000000"/>
                <w:highlight w:val="yellow"/>
              </w:rPr>
            </w:pPr>
            <w:r w:rsidRPr="0067507D">
              <w:t>40 344</w:t>
            </w:r>
          </w:p>
        </w:tc>
        <w:tc>
          <w:tcPr>
            <w:cnfStyle w:val="000001000000" w:firstRow="0" w:lastRow="0" w:firstColumn="0" w:lastColumn="0" w:oddVBand="0" w:evenVBand="1" w:oddHBand="0" w:evenHBand="0" w:firstRowFirstColumn="0" w:firstRowLastColumn="0" w:lastRowFirstColumn="0" w:lastRowLastColumn="0"/>
            <w:tcW w:w="1320" w:type="dxa"/>
            <w:noWrap/>
          </w:tcPr>
          <w:p w14:paraId="31251137" w14:textId="77777777" w:rsidR="00C44155" w:rsidRPr="0067507D" w:rsidRDefault="00C44155">
            <w:pPr>
              <w:pStyle w:val="Tabletextright"/>
              <w:rPr>
                <w:color w:val="000000"/>
                <w:highlight w:val="yellow"/>
              </w:rPr>
            </w:pPr>
            <w:r w:rsidRPr="0067507D">
              <w:t>32 240</w:t>
            </w:r>
          </w:p>
        </w:tc>
      </w:tr>
      <w:tr w:rsidR="00C44155" w:rsidRPr="0067507D" w14:paraId="1BA35876"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3399B879" w14:textId="77777777" w:rsidR="00C44155" w:rsidRPr="0067507D" w:rsidRDefault="00C44155">
            <w:pPr>
              <w:pStyle w:val="Tabletext"/>
              <w:rPr>
                <w:highlight w:val="yellow"/>
              </w:rPr>
            </w:pPr>
            <w:r w:rsidRPr="0067507D">
              <w:t>Proximity Advisory Services</w:t>
            </w:r>
          </w:p>
        </w:tc>
        <w:tc>
          <w:tcPr>
            <w:cnfStyle w:val="000010000000" w:firstRow="0" w:lastRow="0" w:firstColumn="0" w:lastColumn="0" w:oddVBand="1" w:evenVBand="0" w:oddHBand="0" w:evenHBand="0" w:firstRowFirstColumn="0" w:firstRowLastColumn="0" w:lastRowFirstColumn="0" w:lastRowLastColumn="0"/>
            <w:tcW w:w="2880" w:type="dxa"/>
            <w:noWrap/>
          </w:tcPr>
          <w:p w14:paraId="2B46D43F" w14:textId="77777777" w:rsidR="00C44155" w:rsidRPr="0067507D" w:rsidRDefault="00C44155">
            <w:pPr>
              <w:pStyle w:val="Tabletext"/>
              <w:rPr>
                <w:highlight w:val="yellow"/>
              </w:rPr>
            </w:pPr>
            <w:r w:rsidRPr="0067507D">
              <w:t>Project planning services for the national labour hire project</w:t>
            </w:r>
          </w:p>
        </w:tc>
        <w:tc>
          <w:tcPr>
            <w:cnfStyle w:val="000001000000" w:firstRow="0" w:lastRow="0" w:firstColumn="0" w:lastColumn="0" w:oddVBand="0" w:evenVBand="1" w:oddHBand="0" w:evenHBand="0" w:firstRowFirstColumn="0" w:firstRowLastColumn="0" w:lastRowFirstColumn="0" w:lastRowLastColumn="0"/>
            <w:tcW w:w="1530" w:type="dxa"/>
            <w:noWrap/>
          </w:tcPr>
          <w:p w14:paraId="57494A01" w14:textId="77777777" w:rsidR="00C44155" w:rsidRPr="0067507D" w:rsidRDefault="00C44155">
            <w:pPr>
              <w:pStyle w:val="Tabletextright"/>
              <w:rPr>
                <w:highlight w:val="yellow"/>
              </w:rPr>
            </w:pPr>
            <w:r w:rsidRPr="0067507D">
              <w:t>156 848</w:t>
            </w:r>
          </w:p>
        </w:tc>
        <w:tc>
          <w:tcPr>
            <w:cnfStyle w:val="000010000000" w:firstRow="0" w:lastRow="0" w:firstColumn="0" w:lastColumn="0" w:oddVBand="1" w:evenVBand="0" w:oddHBand="0" w:evenHBand="0" w:firstRowFirstColumn="0" w:firstRowLastColumn="0" w:lastRowFirstColumn="0" w:lastRowLastColumn="0"/>
            <w:tcW w:w="1320" w:type="dxa"/>
            <w:noWrap/>
          </w:tcPr>
          <w:p w14:paraId="31A8EF64" w14:textId="77777777" w:rsidR="00C44155" w:rsidRPr="0067507D" w:rsidRDefault="00C44155">
            <w:pPr>
              <w:pStyle w:val="Tabletextright"/>
              <w:rPr>
                <w:highlight w:val="yellow"/>
              </w:rPr>
            </w:pPr>
            <w:r w:rsidRPr="0067507D">
              <w:t>66 544</w:t>
            </w:r>
          </w:p>
        </w:tc>
        <w:tc>
          <w:tcPr>
            <w:cnfStyle w:val="000001000000" w:firstRow="0" w:lastRow="0" w:firstColumn="0" w:lastColumn="0" w:oddVBand="0" w:evenVBand="1" w:oddHBand="0" w:evenHBand="0" w:firstRowFirstColumn="0" w:firstRowLastColumn="0" w:lastRowFirstColumn="0" w:lastRowLastColumn="0"/>
            <w:tcW w:w="1320" w:type="dxa"/>
            <w:noWrap/>
          </w:tcPr>
          <w:p w14:paraId="38F49FCD" w14:textId="77777777" w:rsidR="00C44155" w:rsidRPr="0067507D" w:rsidRDefault="00C44155">
            <w:pPr>
              <w:pStyle w:val="Tabletextright"/>
              <w:rPr>
                <w:highlight w:val="yellow"/>
              </w:rPr>
            </w:pPr>
            <w:r w:rsidRPr="0067507D">
              <w:t>90 304</w:t>
            </w:r>
          </w:p>
        </w:tc>
      </w:tr>
      <w:tr w:rsidR="00C44155" w:rsidRPr="0067507D" w14:paraId="349BB754"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4856A4D" w14:textId="77777777" w:rsidR="00C44155" w:rsidRPr="0067507D" w:rsidRDefault="00C44155">
            <w:pPr>
              <w:pStyle w:val="Tabletext"/>
            </w:pPr>
            <w:r w:rsidRPr="0067507D">
              <w:t>Right Lane Consulting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6D4BF817" w14:textId="77777777" w:rsidR="00C44155" w:rsidRPr="0067507D" w:rsidRDefault="00C44155">
            <w:pPr>
              <w:pStyle w:val="Tabletext"/>
              <w:rPr>
                <w:highlight w:val="yellow"/>
              </w:rPr>
            </w:pPr>
            <w:r w:rsidRPr="0067507D">
              <w:t>DTF wide improvement initiative</w:t>
            </w:r>
          </w:p>
        </w:tc>
        <w:tc>
          <w:tcPr>
            <w:cnfStyle w:val="000001000000" w:firstRow="0" w:lastRow="0" w:firstColumn="0" w:lastColumn="0" w:oddVBand="0" w:evenVBand="1" w:oddHBand="0" w:evenHBand="0" w:firstRowFirstColumn="0" w:firstRowLastColumn="0" w:lastRowFirstColumn="0" w:lastRowLastColumn="0"/>
            <w:tcW w:w="1530" w:type="dxa"/>
            <w:noWrap/>
          </w:tcPr>
          <w:p w14:paraId="16798EAF" w14:textId="77777777" w:rsidR="00C44155" w:rsidRPr="0067507D" w:rsidRDefault="00C44155">
            <w:pPr>
              <w:pStyle w:val="Tabletextright"/>
              <w:rPr>
                <w:highlight w:val="yellow"/>
              </w:rPr>
            </w:pPr>
            <w:r w:rsidRPr="0067507D">
              <w:t>607 793</w:t>
            </w:r>
          </w:p>
        </w:tc>
        <w:tc>
          <w:tcPr>
            <w:cnfStyle w:val="000010000000" w:firstRow="0" w:lastRow="0" w:firstColumn="0" w:lastColumn="0" w:oddVBand="1" w:evenVBand="0" w:oddHBand="0" w:evenHBand="0" w:firstRowFirstColumn="0" w:firstRowLastColumn="0" w:lastRowFirstColumn="0" w:lastRowLastColumn="0"/>
            <w:tcW w:w="1320" w:type="dxa"/>
            <w:noWrap/>
          </w:tcPr>
          <w:p w14:paraId="50637AA8" w14:textId="77777777" w:rsidR="00C44155" w:rsidRPr="0067507D" w:rsidRDefault="00C44155">
            <w:pPr>
              <w:pStyle w:val="Tabletextright"/>
              <w:rPr>
                <w:highlight w:val="yellow"/>
              </w:rPr>
            </w:pPr>
            <w:r w:rsidRPr="0067507D">
              <w:t>603 651</w:t>
            </w:r>
          </w:p>
        </w:tc>
        <w:tc>
          <w:tcPr>
            <w:cnfStyle w:val="000001000000" w:firstRow="0" w:lastRow="0" w:firstColumn="0" w:lastColumn="0" w:oddVBand="0" w:evenVBand="1" w:oddHBand="0" w:evenHBand="0" w:firstRowFirstColumn="0" w:firstRowLastColumn="0" w:lastRowFirstColumn="0" w:lastRowLastColumn="0"/>
            <w:tcW w:w="1320" w:type="dxa"/>
            <w:noWrap/>
          </w:tcPr>
          <w:p w14:paraId="136569E2" w14:textId="77777777" w:rsidR="00C44155" w:rsidRPr="0067507D" w:rsidRDefault="00C44155">
            <w:pPr>
              <w:pStyle w:val="Tabletextright"/>
              <w:rPr>
                <w:highlight w:val="yellow"/>
              </w:rPr>
            </w:pPr>
            <w:r w:rsidRPr="0067507D">
              <w:t>4 142</w:t>
            </w:r>
          </w:p>
        </w:tc>
      </w:tr>
      <w:tr w:rsidR="00C44155" w:rsidRPr="0067507D" w14:paraId="6D139E3E"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54D4DC25" w14:textId="77777777" w:rsidR="00C44155" w:rsidRPr="0067507D" w:rsidRDefault="00C44155">
            <w:pPr>
              <w:pStyle w:val="Tabletext"/>
            </w:pPr>
            <w:r w:rsidRPr="0067507D">
              <w:t>Right Lane Consulting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050E4DFD" w14:textId="77777777" w:rsidR="00C44155" w:rsidRPr="0067507D" w:rsidRDefault="00C44155">
            <w:pPr>
              <w:pStyle w:val="Tabletext"/>
              <w:rPr>
                <w:highlight w:val="yellow"/>
              </w:rPr>
            </w:pPr>
            <w:r w:rsidRPr="0067507D">
              <w:t>Organisational change and transition</w:t>
            </w:r>
          </w:p>
        </w:tc>
        <w:tc>
          <w:tcPr>
            <w:cnfStyle w:val="000001000000" w:firstRow="0" w:lastRow="0" w:firstColumn="0" w:lastColumn="0" w:oddVBand="0" w:evenVBand="1" w:oddHBand="0" w:evenHBand="0" w:firstRowFirstColumn="0" w:firstRowLastColumn="0" w:lastRowFirstColumn="0" w:lastRowLastColumn="0"/>
            <w:tcW w:w="1530" w:type="dxa"/>
            <w:noWrap/>
          </w:tcPr>
          <w:p w14:paraId="10D28E86" w14:textId="1CCAC23E" w:rsidR="00C44155" w:rsidRPr="0067507D" w:rsidRDefault="00C44155">
            <w:pPr>
              <w:pStyle w:val="Tabletextright"/>
              <w:rPr>
                <w:highlight w:val="yellow"/>
              </w:rPr>
            </w:pPr>
            <w:r w:rsidRPr="0067507D">
              <w:t>177 418</w:t>
            </w:r>
          </w:p>
        </w:tc>
        <w:tc>
          <w:tcPr>
            <w:cnfStyle w:val="000010000000" w:firstRow="0" w:lastRow="0" w:firstColumn="0" w:lastColumn="0" w:oddVBand="1" w:evenVBand="0" w:oddHBand="0" w:evenHBand="0" w:firstRowFirstColumn="0" w:firstRowLastColumn="0" w:lastRowFirstColumn="0" w:lastRowLastColumn="0"/>
            <w:tcW w:w="1320" w:type="dxa"/>
            <w:noWrap/>
          </w:tcPr>
          <w:p w14:paraId="78B25336" w14:textId="796C6948" w:rsidR="00C44155" w:rsidRPr="0067507D" w:rsidRDefault="00C44155">
            <w:pPr>
              <w:pStyle w:val="Tabletextright"/>
              <w:rPr>
                <w:highlight w:val="yellow"/>
              </w:rPr>
            </w:pPr>
            <w:r w:rsidRPr="0067507D">
              <w:t>177 414</w:t>
            </w:r>
          </w:p>
        </w:tc>
        <w:tc>
          <w:tcPr>
            <w:cnfStyle w:val="000001000000" w:firstRow="0" w:lastRow="0" w:firstColumn="0" w:lastColumn="0" w:oddVBand="0" w:evenVBand="1" w:oddHBand="0" w:evenHBand="0" w:firstRowFirstColumn="0" w:firstRowLastColumn="0" w:lastRowFirstColumn="0" w:lastRowLastColumn="0"/>
            <w:tcW w:w="1320" w:type="dxa"/>
            <w:noWrap/>
          </w:tcPr>
          <w:p w14:paraId="6C2F4915" w14:textId="29016B87" w:rsidR="00C44155" w:rsidRPr="0067507D" w:rsidRDefault="00B37818">
            <w:pPr>
              <w:pStyle w:val="Tabletextright"/>
              <w:rPr>
                <w:highlight w:val="yellow"/>
              </w:rPr>
            </w:pPr>
            <w:r w:rsidRPr="0067507D">
              <w:t>–</w:t>
            </w:r>
          </w:p>
        </w:tc>
      </w:tr>
      <w:tr w:rsidR="00C44155" w:rsidRPr="0067507D" w14:paraId="539DC75F"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24AA94DB" w14:textId="77777777" w:rsidR="00C44155" w:rsidRPr="0067507D" w:rsidRDefault="00C44155">
            <w:pPr>
              <w:pStyle w:val="Tabletext"/>
              <w:rPr>
                <w:highlight w:val="yellow"/>
              </w:rPr>
            </w:pPr>
            <w:r w:rsidRPr="0067507D">
              <w:t>Sapere Research Group Limited</w:t>
            </w:r>
          </w:p>
        </w:tc>
        <w:tc>
          <w:tcPr>
            <w:cnfStyle w:val="000010000000" w:firstRow="0" w:lastRow="0" w:firstColumn="0" w:lastColumn="0" w:oddVBand="1" w:evenVBand="0" w:oddHBand="0" w:evenHBand="0" w:firstRowFirstColumn="0" w:firstRowLastColumn="0" w:lastRowFirstColumn="0" w:lastRowLastColumn="0"/>
            <w:tcW w:w="2880" w:type="dxa"/>
            <w:noWrap/>
          </w:tcPr>
          <w:p w14:paraId="3F1D516D" w14:textId="77777777" w:rsidR="00C44155" w:rsidRPr="0067507D" w:rsidRDefault="00C44155">
            <w:pPr>
              <w:pStyle w:val="Tabletext"/>
              <w:rPr>
                <w:highlight w:val="yellow"/>
              </w:rPr>
            </w:pPr>
            <w:r w:rsidRPr="0067507D">
              <w:t xml:space="preserve">Business Acceleration Fund (BAF) oversight </w:t>
            </w:r>
          </w:p>
        </w:tc>
        <w:tc>
          <w:tcPr>
            <w:cnfStyle w:val="000001000000" w:firstRow="0" w:lastRow="0" w:firstColumn="0" w:lastColumn="0" w:oddVBand="0" w:evenVBand="1" w:oddHBand="0" w:evenHBand="0" w:firstRowFirstColumn="0" w:firstRowLastColumn="0" w:lastRowFirstColumn="0" w:lastRowLastColumn="0"/>
            <w:tcW w:w="1530" w:type="dxa"/>
            <w:noWrap/>
          </w:tcPr>
          <w:p w14:paraId="62C9A174" w14:textId="77777777" w:rsidR="00C44155" w:rsidRPr="0067507D" w:rsidRDefault="00C44155">
            <w:pPr>
              <w:pStyle w:val="Tabletextright"/>
              <w:rPr>
                <w:highlight w:val="yellow"/>
              </w:rPr>
            </w:pPr>
            <w:r w:rsidRPr="0067507D">
              <w:t>1 222 867</w:t>
            </w:r>
          </w:p>
        </w:tc>
        <w:tc>
          <w:tcPr>
            <w:cnfStyle w:val="000010000000" w:firstRow="0" w:lastRow="0" w:firstColumn="0" w:lastColumn="0" w:oddVBand="1" w:evenVBand="0" w:oddHBand="0" w:evenHBand="0" w:firstRowFirstColumn="0" w:firstRowLastColumn="0" w:lastRowFirstColumn="0" w:lastRowLastColumn="0"/>
            <w:tcW w:w="1320" w:type="dxa"/>
            <w:noWrap/>
          </w:tcPr>
          <w:p w14:paraId="6C43DDB1" w14:textId="77777777" w:rsidR="00C44155" w:rsidRPr="0067507D" w:rsidRDefault="00C44155">
            <w:pPr>
              <w:pStyle w:val="Tabletextright"/>
              <w:rPr>
                <w:highlight w:val="yellow"/>
              </w:rPr>
            </w:pPr>
            <w:r w:rsidRPr="0067507D">
              <w:t>277 178</w:t>
            </w:r>
          </w:p>
        </w:tc>
        <w:tc>
          <w:tcPr>
            <w:cnfStyle w:val="000001000000" w:firstRow="0" w:lastRow="0" w:firstColumn="0" w:lastColumn="0" w:oddVBand="0" w:evenVBand="1" w:oddHBand="0" w:evenHBand="0" w:firstRowFirstColumn="0" w:firstRowLastColumn="0" w:lastRowFirstColumn="0" w:lastRowLastColumn="0"/>
            <w:tcW w:w="1320" w:type="dxa"/>
            <w:noWrap/>
          </w:tcPr>
          <w:p w14:paraId="029CC77D" w14:textId="77777777" w:rsidR="00C44155" w:rsidRPr="0067507D" w:rsidRDefault="00C44155">
            <w:pPr>
              <w:pStyle w:val="Tabletextright"/>
              <w:rPr>
                <w:highlight w:val="yellow"/>
              </w:rPr>
            </w:pPr>
            <w:r w:rsidRPr="0067507D">
              <w:t>820 947</w:t>
            </w:r>
          </w:p>
        </w:tc>
      </w:tr>
      <w:tr w:rsidR="00C44155" w:rsidRPr="0067507D" w14:paraId="71AB017F"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6F673DC" w14:textId="77777777" w:rsidR="00C44155" w:rsidRPr="0067507D" w:rsidRDefault="00C44155" w:rsidP="009F45AF">
            <w:pPr>
              <w:pStyle w:val="Tabletext"/>
            </w:pPr>
            <w:r w:rsidRPr="0067507D">
              <w:t>Scyne Advisory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17C7A26E" w14:textId="77777777" w:rsidR="00C44155" w:rsidRPr="0067507D" w:rsidRDefault="00C44155" w:rsidP="009F45AF">
            <w:pPr>
              <w:pStyle w:val="Tabletext"/>
            </w:pPr>
            <w:r w:rsidRPr="0067507D">
              <w:t>Advice on Victorian Government Risk Management Framework</w:t>
            </w:r>
          </w:p>
        </w:tc>
        <w:tc>
          <w:tcPr>
            <w:cnfStyle w:val="000001000000" w:firstRow="0" w:lastRow="0" w:firstColumn="0" w:lastColumn="0" w:oddVBand="0" w:evenVBand="1" w:oddHBand="0" w:evenHBand="0" w:firstRowFirstColumn="0" w:firstRowLastColumn="0" w:lastRowFirstColumn="0" w:lastRowLastColumn="0"/>
            <w:tcW w:w="1530" w:type="dxa"/>
            <w:noWrap/>
          </w:tcPr>
          <w:p w14:paraId="60AF11D4" w14:textId="77777777" w:rsidR="00C44155" w:rsidRPr="0067507D" w:rsidRDefault="00C44155" w:rsidP="009F45AF">
            <w:pPr>
              <w:pStyle w:val="Tabletextright"/>
            </w:pPr>
            <w:r w:rsidRPr="0067507D">
              <w:t xml:space="preserve">119 000 </w:t>
            </w:r>
          </w:p>
        </w:tc>
        <w:tc>
          <w:tcPr>
            <w:cnfStyle w:val="000010000000" w:firstRow="0" w:lastRow="0" w:firstColumn="0" w:lastColumn="0" w:oddVBand="1" w:evenVBand="0" w:oddHBand="0" w:evenHBand="0" w:firstRowFirstColumn="0" w:firstRowLastColumn="0" w:lastRowFirstColumn="0" w:lastRowLastColumn="0"/>
            <w:tcW w:w="1320" w:type="dxa"/>
            <w:noWrap/>
          </w:tcPr>
          <w:p w14:paraId="374BD0E0" w14:textId="77777777" w:rsidR="00C44155" w:rsidRPr="0067507D" w:rsidRDefault="00C44155" w:rsidP="009F45AF">
            <w:pPr>
              <w:pStyle w:val="Tabletextright"/>
            </w:pPr>
            <w:r w:rsidRPr="0067507D">
              <w:t xml:space="preserve"> 30 500 </w:t>
            </w:r>
          </w:p>
        </w:tc>
        <w:tc>
          <w:tcPr>
            <w:cnfStyle w:val="000001000000" w:firstRow="0" w:lastRow="0" w:firstColumn="0" w:lastColumn="0" w:oddVBand="0" w:evenVBand="1" w:oddHBand="0" w:evenHBand="0" w:firstRowFirstColumn="0" w:firstRowLastColumn="0" w:lastRowFirstColumn="0" w:lastRowLastColumn="0"/>
            <w:tcW w:w="1320" w:type="dxa"/>
            <w:noWrap/>
          </w:tcPr>
          <w:p w14:paraId="7298F990" w14:textId="77777777" w:rsidR="00C44155" w:rsidRPr="0067507D" w:rsidRDefault="00C44155" w:rsidP="009F45AF">
            <w:pPr>
              <w:pStyle w:val="Tabletextright"/>
            </w:pPr>
            <w:r w:rsidRPr="0067507D">
              <w:t xml:space="preserve">88 500 </w:t>
            </w:r>
          </w:p>
        </w:tc>
      </w:tr>
      <w:tr w:rsidR="00C44155" w:rsidRPr="0067507D" w14:paraId="505790C2"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48654C76" w14:textId="77777777" w:rsidR="00C44155" w:rsidRPr="0067507D" w:rsidRDefault="00C44155">
            <w:pPr>
              <w:pStyle w:val="Tabletext"/>
              <w:rPr>
                <w:highlight w:val="yellow"/>
              </w:rPr>
            </w:pPr>
            <w:r w:rsidRPr="0067507D">
              <w:t>The Agenda Group</w:t>
            </w:r>
          </w:p>
        </w:tc>
        <w:tc>
          <w:tcPr>
            <w:cnfStyle w:val="000010000000" w:firstRow="0" w:lastRow="0" w:firstColumn="0" w:lastColumn="0" w:oddVBand="1" w:evenVBand="0" w:oddHBand="0" w:evenHBand="0" w:firstRowFirstColumn="0" w:firstRowLastColumn="0" w:lastRowFirstColumn="0" w:lastRowLastColumn="0"/>
            <w:tcW w:w="2880" w:type="dxa"/>
            <w:noWrap/>
          </w:tcPr>
          <w:p w14:paraId="71333749" w14:textId="77777777" w:rsidR="00C44155" w:rsidRPr="0067507D" w:rsidRDefault="00C44155">
            <w:pPr>
              <w:pStyle w:val="Tabletext"/>
              <w:rPr>
                <w:highlight w:val="yellow"/>
              </w:rPr>
            </w:pPr>
            <w:r w:rsidRPr="0067507D">
              <w:t xml:space="preserve">Supporting rollout of regulatory reforms with Victorian councils </w:t>
            </w:r>
          </w:p>
        </w:tc>
        <w:tc>
          <w:tcPr>
            <w:cnfStyle w:val="000001000000" w:firstRow="0" w:lastRow="0" w:firstColumn="0" w:lastColumn="0" w:oddVBand="0" w:evenVBand="1" w:oddHBand="0" w:evenHBand="0" w:firstRowFirstColumn="0" w:firstRowLastColumn="0" w:lastRowFirstColumn="0" w:lastRowLastColumn="0"/>
            <w:tcW w:w="1530" w:type="dxa"/>
            <w:noWrap/>
          </w:tcPr>
          <w:p w14:paraId="54DCE55A" w14:textId="77777777" w:rsidR="00C44155" w:rsidRPr="0067507D" w:rsidRDefault="00C44155">
            <w:pPr>
              <w:pStyle w:val="Tabletextright"/>
              <w:rPr>
                <w:highlight w:val="yellow"/>
              </w:rPr>
            </w:pPr>
            <w:r w:rsidRPr="0067507D">
              <w:t>169 391</w:t>
            </w:r>
          </w:p>
        </w:tc>
        <w:tc>
          <w:tcPr>
            <w:cnfStyle w:val="000010000000" w:firstRow="0" w:lastRow="0" w:firstColumn="0" w:lastColumn="0" w:oddVBand="1" w:evenVBand="0" w:oddHBand="0" w:evenHBand="0" w:firstRowFirstColumn="0" w:firstRowLastColumn="0" w:lastRowFirstColumn="0" w:lastRowLastColumn="0"/>
            <w:tcW w:w="1320" w:type="dxa"/>
            <w:noWrap/>
          </w:tcPr>
          <w:p w14:paraId="39579506" w14:textId="77777777" w:rsidR="00C44155" w:rsidRPr="0067507D" w:rsidRDefault="00C44155">
            <w:pPr>
              <w:pStyle w:val="Tabletextright"/>
              <w:rPr>
                <w:highlight w:val="yellow"/>
              </w:rPr>
            </w:pPr>
            <w:r w:rsidRPr="0067507D">
              <w:t>80 155</w:t>
            </w:r>
          </w:p>
        </w:tc>
        <w:tc>
          <w:tcPr>
            <w:cnfStyle w:val="000001000000" w:firstRow="0" w:lastRow="0" w:firstColumn="0" w:lastColumn="0" w:oddVBand="0" w:evenVBand="1" w:oddHBand="0" w:evenHBand="0" w:firstRowFirstColumn="0" w:firstRowLastColumn="0" w:lastRowFirstColumn="0" w:lastRowLastColumn="0"/>
            <w:tcW w:w="1320" w:type="dxa"/>
            <w:noWrap/>
          </w:tcPr>
          <w:p w14:paraId="6FFCCD29" w14:textId="77777777" w:rsidR="00C44155" w:rsidRPr="0067507D" w:rsidRDefault="00C44155">
            <w:pPr>
              <w:pStyle w:val="Tabletextright"/>
              <w:rPr>
                <w:highlight w:val="yellow"/>
              </w:rPr>
            </w:pPr>
            <w:r w:rsidRPr="0067507D">
              <w:t>89 236</w:t>
            </w:r>
          </w:p>
        </w:tc>
      </w:tr>
      <w:tr w:rsidR="00C44155" w:rsidRPr="0067507D" w14:paraId="77D12FD7"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4A594DD9" w14:textId="5D5BAB5C" w:rsidR="00C44155" w:rsidRPr="0067507D" w:rsidRDefault="00C44155">
            <w:pPr>
              <w:pStyle w:val="Tabletext"/>
              <w:rPr>
                <w:highlight w:val="yellow"/>
              </w:rPr>
            </w:pPr>
            <w:r w:rsidRPr="0067507D">
              <w:t xml:space="preserve">The University </w:t>
            </w:r>
            <w:r w:rsidR="008D08AB" w:rsidRPr="0067507D">
              <w:t>o</w:t>
            </w:r>
            <w:r w:rsidRPr="0067507D">
              <w:t>f Melbourne</w:t>
            </w:r>
          </w:p>
        </w:tc>
        <w:tc>
          <w:tcPr>
            <w:cnfStyle w:val="000010000000" w:firstRow="0" w:lastRow="0" w:firstColumn="0" w:lastColumn="0" w:oddVBand="1" w:evenVBand="0" w:oddHBand="0" w:evenHBand="0" w:firstRowFirstColumn="0" w:firstRowLastColumn="0" w:lastRowFirstColumn="0" w:lastRowLastColumn="0"/>
            <w:tcW w:w="2880" w:type="dxa"/>
            <w:noWrap/>
          </w:tcPr>
          <w:p w14:paraId="5F0C62D5" w14:textId="77777777" w:rsidR="00C44155" w:rsidRPr="0067507D" w:rsidRDefault="00C44155">
            <w:pPr>
              <w:pStyle w:val="Tabletext"/>
              <w:rPr>
                <w:highlight w:val="yellow"/>
              </w:rPr>
            </w:pPr>
            <w:r w:rsidRPr="0067507D">
              <w:t>Research into Health</w:t>
            </w:r>
          </w:p>
        </w:tc>
        <w:tc>
          <w:tcPr>
            <w:cnfStyle w:val="000001000000" w:firstRow="0" w:lastRow="0" w:firstColumn="0" w:lastColumn="0" w:oddVBand="0" w:evenVBand="1" w:oddHBand="0" w:evenHBand="0" w:firstRowFirstColumn="0" w:firstRowLastColumn="0" w:lastRowFirstColumn="0" w:lastRowLastColumn="0"/>
            <w:tcW w:w="1530" w:type="dxa"/>
            <w:noWrap/>
          </w:tcPr>
          <w:p w14:paraId="79387FE2" w14:textId="77777777" w:rsidR="00C44155" w:rsidRPr="0067507D" w:rsidRDefault="00C44155">
            <w:pPr>
              <w:pStyle w:val="Tabletextright"/>
              <w:rPr>
                <w:highlight w:val="yellow"/>
              </w:rPr>
            </w:pPr>
            <w:r w:rsidRPr="0067507D">
              <w:t>92 300</w:t>
            </w:r>
          </w:p>
        </w:tc>
        <w:tc>
          <w:tcPr>
            <w:cnfStyle w:val="000010000000" w:firstRow="0" w:lastRow="0" w:firstColumn="0" w:lastColumn="0" w:oddVBand="1" w:evenVBand="0" w:oddHBand="0" w:evenHBand="0" w:firstRowFirstColumn="0" w:firstRowLastColumn="0" w:lastRowFirstColumn="0" w:lastRowLastColumn="0"/>
            <w:tcW w:w="1320" w:type="dxa"/>
            <w:noWrap/>
          </w:tcPr>
          <w:p w14:paraId="078F00A2" w14:textId="77777777" w:rsidR="00C44155" w:rsidRPr="0067507D" w:rsidRDefault="00C44155">
            <w:pPr>
              <w:pStyle w:val="Tabletextright"/>
              <w:rPr>
                <w:highlight w:val="yellow"/>
              </w:rPr>
            </w:pPr>
            <w:r w:rsidRPr="0067507D">
              <w:t>72 300</w:t>
            </w:r>
          </w:p>
        </w:tc>
        <w:tc>
          <w:tcPr>
            <w:cnfStyle w:val="000001000000" w:firstRow="0" w:lastRow="0" w:firstColumn="0" w:lastColumn="0" w:oddVBand="0" w:evenVBand="1" w:oddHBand="0" w:evenHBand="0" w:firstRowFirstColumn="0" w:firstRowLastColumn="0" w:lastRowFirstColumn="0" w:lastRowLastColumn="0"/>
            <w:tcW w:w="1320" w:type="dxa"/>
            <w:noWrap/>
          </w:tcPr>
          <w:p w14:paraId="14180053" w14:textId="13FD19CB" w:rsidR="00C44155" w:rsidRPr="0067507D" w:rsidRDefault="00B37818">
            <w:pPr>
              <w:pStyle w:val="Tabletextright"/>
              <w:rPr>
                <w:highlight w:val="yellow"/>
              </w:rPr>
            </w:pPr>
            <w:r w:rsidRPr="0067507D">
              <w:t>–</w:t>
            </w:r>
          </w:p>
        </w:tc>
      </w:tr>
      <w:tr w:rsidR="00C44155" w:rsidRPr="0067507D" w14:paraId="7FAE8383"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2F253415" w14:textId="77777777" w:rsidR="00C44155" w:rsidRPr="0067507D" w:rsidRDefault="00C44155">
            <w:pPr>
              <w:pStyle w:val="Tabletext"/>
              <w:rPr>
                <w:highlight w:val="yellow"/>
              </w:rPr>
            </w:pPr>
            <w:r w:rsidRPr="0067507D">
              <w:t>Three Thirds Group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414BCF8A" w14:textId="0AA6DD71" w:rsidR="00C44155" w:rsidRPr="0067507D" w:rsidRDefault="00C44155">
            <w:pPr>
              <w:pStyle w:val="Tabletext"/>
              <w:rPr>
                <w:highlight w:val="yellow"/>
              </w:rPr>
            </w:pPr>
            <w:r w:rsidRPr="0067507D">
              <w:t>Provide expert planning and urban design services to support the Commonwealth Co</w:t>
            </w:r>
            <w:r w:rsidR="006A5485">
              <w:noBreakHyphen/>
            </w:r>
            <w:r w:rsidRPr="0067507D">
              <w:t>Investment Program and the Affordable Housing Partnership Program.</w:t>
            </w:r>
          </w:p>
        </w:tc>
        <w:tc>
          <w:tcPr>
            <w:cnfStyle w:val="000001000000" w:firstRow="0" w:lastRow="0" w:firstColumn="0" w:lastColumn="0" w:oddVBand="0" w:evenVBand="1" w:oddHBand="0" w:evenHBand="0" w:firstRowFirstColumn="0" w:firstRowLastColumn="0" w:lastRowFirstColumn="0" w:lastRowLastColumn="0"/>
            <w:tcW w:w="1530" w:type="dxa"/>
            <w:noWrap/>
          </w:tcPr>
          <w:p w14:paraId="1465A6AB" w14:textId="77777777" w:rsidR="00C44155" w:rsidRPr="0067507D" w:rsidRDefault="00C44155">
            <w:pPr>
              <w:pStyle w:val="Tabletextright"/>
              <w:rPr>
                <w:highlight w:val="yellow"/>
              </w:rPr>
            </w:pPr>
            <w:r w:rsidRPr="0067507D">
              <w:t>283 749</w:t>
            </w:r>
          </w:p>
        </w:tc>
        <w:tc>
          <w:tcPr>
            <w:cnfStyle w:val="000010000000" w:firstRow="0" w:lastRow="0" w:firstColumn="0" w:lastColumn="0" w:oddVBand="1" w:evenVBand="0" w:oddHBand="0" w:evenHBand="0" w:firstRowFirstColumn="0" w:firstRowLastColumn="0" w:lastRowFirstColumn="0" w:lastRowLastColumn="0"/>
            <w:tcW w:w="1320" w:type="dxa"/>
            <w:noWrap/>
          </w:tcPr>
          <w:p w14:paraId="1AB7B72E" w14:textId="77777777" w:rsidR="00C44155" w:rsidRPr="0067507D" w:rsidRDefault="00C44155">
            <w:pPr>
              <w:pStyle w:val="Tabletextright"/>
              <w:rPr>
                <w:highlight w:val="yellow"/>
              </w:rPr>
            </w:pPr>
            <w:r w:rsidRPr="0067507D">
              <w:t>165 000</w:t>
            </w:r>
          </w:p>
        </w:tc>
        <w:tc>
          <w:tcPr>
            <w:cnfStyle w:val="000001000000" w:firstRow="0" w:lastRow="0" w:firstColumn="0" w:lastColumn="0" w:oddVBand="0" w:evenVBand="1" w:oddHBand="0" w:evenHBand="0" w:firstRowFirstColumn="0" w:firstRowLastColumn="0" w:lastRowFirstColumn="0" w:lastRowLastColumn="0"/>
            <w:tcW w:w="1320" w:type="dxa"/>
            <w:noWrap/>
          </w:tcPr>
          <w:p w14:paraId="14FB1703" w14:textId="77777777" w:rsidR="00C44155" w:rsidRPr="0067507D" w:rsidRDefault="00C44155">
            <w:pPr>
              <w:pStyle w:val="Tabletextright"/>
              <w:rPr>
                <w:highlight w:val="yellow"/>
              </w:rPr>
            </w:pPr>
            <w:r w:rsidRPr="0067507D">
              <w:t>53 499</w:t>
            </w:r>
          </w:p>
        </w:tc>
      </w:tr>
      <w:tr w:rsidR="00C44155" w:rsidRPr="0067507D" w14:paraId="4994036C"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4F825FC" w14:textId="77777777" w:rsidR="00C44155" w:rsidRPr="0067507D" w:rsidRDefault="00C44155">
            <w:pPr>
              <w:pStyle w:val="Tabletext"/>
              <w:rPr>
                <w:highlight w:val="yellow"/>
              </w:rPr>
            </w:pPr>
            <w:r w:rsidRPr="0067507D">
              <w:t>Titanium Advisory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1ED615E2" w14:textId="77777777" w:rsidR="00C44155" w:rsidRPr="0067507D" w:rsidRDefault="00C44155">
            <w:pPr>
              <w:pStyle w:val="Tabletext"/>
              <w:rPr>
                <w:highlight w:val="yellow"/>
              </w:rPr>
            </w:pPr>
            <w:r w:rsidRPr="0067507D">
              <w:t>Credit rating advisory services</w:t>
            </w:r>
          </w:p>
        </w:tc>
        <w:tc>
          <w:tcPr>
            <w:cnfStyle w:val="000001000000" w:firstRow="0" w:lastRow="0" w:firstColumn="0" w:lastColumn="0" w:oddVBand="0" w:evenVBand="1" w:oddHBand="0" w:evenHBand="0" w:firstRowFirstColumn="0" w:firstRowLastColumn="0" w:lastRowFirstColumn="0" w:lastRowLastColumn="0"/>
            <w:tcW w:w="1530" w:type="dxa"/>
            <w:noWrap/>
          </w:tcPr>
          <w:p w14:paraId="161230B5" w14:textId="77777777" w:rsidR="00C44155" w:rsidRPr="0067507D" w:rsidRDefault="00C44155">
            <w:pPr>
              <w:pStyle w:val="Tabletextright"/>
              <w:rPr>
                <w:highlight w:val="yellow"/>
              </w:rPr>
            </w:pPr>
            <w:r w:rsidRPr="0067507D">
              <w:t>240 222</w:t>
            </w:r>
          </w:p>
        </w:tc>
        <w:tc>
          <w:tcPr>
            <w:cnfStyle w:val="000010000000" w:firstRow="0" w:lastRow="0" w:firstColumn="0" w:lastColumn="0" w:oddVBand="1" w:evenVBand="0" w:oddHBand="0" w:evenHBand="0" w:firstRowFirstColumn="0" w:firstRowLastColumn="0" w:lastRowFirstColumn="0" w:lastRowLastColumn="0"/>
            <w:tcW w:w="1320" w:type="dxa"/>
            <w:noWrap/>
          </w:tcPr>
          <w:p w14:paraId="52E34CAB" w14:textId="77777777" w:rsidR="00C44155" w:rsidRPr="0067507D" w:rsidRDefault="00C44155">
            <w:pPr>
              <w:pStyle w:val="Tabletextright"/>
              <w:rPr>
                <w:highlight w:val="yellow"/>
              </w:rPr>
            </w:pPr>
            <w:r w:rsidRPr="0067507D">
              <w:t>95 000</w:t>
            </w:r>
          </w:p>
        </w:tc>
        <w:tc>
          <w:tcPr>
            <w:cnfStyle w:val="000001000000" w:firstRow="0" w:lastRow="0" w:firstColumn="0" w:lastColumn="0" w:oddVBand="0" w:evenVBand="1" w:oddHBand="0" w:evenHBand="0" w:firstRowFirstColumn="0" w:firstRowLastColumn="0" w:lastRowFirstColumn="0" w:lastRowLastColumn="0"/>
            <w:tcW w:w="1320" w:type="dxa"/>
            <w:noWrap/>
          </w:tcPr>
          <w:p w14:paraId="75012FCF" w14:textId="77777777" w:rsidR="00C44155" w:rsidRPr="0067507D" w:rsidRDefault="00C44155">
            <w:pPr>
              <w:pStyle w:val="Tabletextright"/>
              <w:rPr>
                <w:highlight w:val="yellow"/>
              </w:rPr>
            </w:pPr>
            <w:r w:rsidRPr="0067507D">
              <w:t>95 000</w:t>
            </w:r>
          </w:p>
        </w:tc>
      </w:tr>
      <w:tr w:rsidR="00C44155" w:rsidRPr="0067507D" w14:paraId="1A54320A"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4E541D60" w14:textId="77777777" w:rsidR="00C44155" w:rsidRPr="0067507D" w:rsidRDefault="00C44155">
            <w:pPr>
              <w:pStyle w:val="Tabletext"/>
              <w:rPr>
                <w:highlight w:val="yellow"/>
              </w:rPr>
            </w:pPr>
            <w:r w:rsidRPr="0067507D">
              <w:t>Tract Consultants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0BF7CF3C" w14:textId="4F39A7E4" w:rsidR="00C44155" w:rsidRPr="0067507D" w:rsidRDefault="00C44155">
            <w:pPr>
              <w:pStyle w:val="Tabletext"/>
              <w:rPr>
                <w:highlight w:val="yellow"/>
              </w:rPr>
            </w:pPr>
            <w:r w:rsidRPr="0067507D">
              <w:t>Provide expert planning and urban design services to support the Commonwealth Co</w:t>
            </w:r>
            <w:r w:rsidR="006A5485">
              <w:noBreakHyphen/>
            </w:r>
            <w:r w:rsidRPr="0067507D">
              <w:t>Investment Program and the Affordable Housing Partnership Program.</w:t>
            </w:r>
          </w:p>
        </w:tc>
        <w:tc>
          <w:tcPr>
            <w:cnfStyle w:val="000001000000" w:firstRow="0" w:lastRow="0" w:firstColumn="0" w:lastColumn="0" w:oddVBand="0" w:evenVBand="1" w:oddHBand="0" w:evenHBand="0" w:firstRowFirstColumn="0" w:firstRowLastColumn="0" w:lastRowFirstColumn="0" w:lastRowLastColumn="0"/>
            <w:tcW w:w="1530" w:type="dxa"/>
            <w:noWrap/>
          </w:tcPr>
          <w:p w14:paraId="3CD5DEBA" w14:textId="77777777" w:rsidR="00C44155" w:rsidRPr="0067507D" w:rsidRDefault="00C44155">
            <w:pPr>
              <w:pStyle w:val="Tabletextright"/>
              <w:rPr>
                <w:highlight w:val="yellow"/>
              </w:rPr>
            </w:pPr>
            <w:r w:rsidRPr="0067507D">
              <w:t>322 049</w:t>
            </w:r>
          </w:p>
        </w:tc>
        <w:tc>
          <w:tcPr>
            <w:cnfStyle w:val="000010000000" w:firstRow="0" w:lastRow="0" w:firstColumn="0" w:lastColumn="0" w:oddVBand="1" w:evenVBand="0" w:oddHBand="0" w:evenHBand="0" w:firstRowFirstColumn="0" w:firstRowLastColumn="0" w:lastRowFirstColumn="0" w:lastRowLastColumn="0"/>
            <w:tcW w:w="1320" w:type="dxa"/>
            <w:noWrap/>
          </w:tcPr>
          <w:p w14:paraId="73CE6CAB" w14:textId="77777777" w:rsidR="00C44155" w:rsidRPr="0067507D" w:rsidRDefault="00C44155">
            <w:pPr>
              <w:pStyle w:val="Tabletextright"/>
              <w:rPr>
                <w:highlight w:val="yellow"/>
              </w:rPr>
            </w:pPr>
            <w:r w:rsidRPr="0067507D">
              <w:t>224 026</w:t>
            </w:r>
          </w:p>
        </w:tc>
        <w:tc>
          <w:tcPr>
            <w:cnfStyle w:val="000001000000" w:firstRow="0" w:lastRow="0" w:firstColumn="0" w:lastColumn="0" w:oddVBand="0" w:evenVBand="1" w:oddHBand="0" w:evenHBand="0" w:firstRowFirstColumn="0" w:firstRowLastColumn="0" w:lastRowFirstColumn="0" w:lastRowLastColumn="0"/>
            <w:tcW w:w="1320" w:type="dxa"/>
            <w:noWrap/>
          </w:tcPr>
          <w:p w14:paraId="512BD9ED" w14:textId="77777777" w:rsidR="00C44155" w:rsidRPr="0067507D" w:rsidRDefault="00C44155">
            <w:pPr>
              <w:pStyle w:val="Tabletextright"/>
              <w:rPr>
                <w:highlight w:val="yellow"/>
              </w:rPr>
            </w:pPr>
            <w:r w:rsidRPr="0067507D">
              <w:t>4 672</w:t>
            </w:r>
          </w:p>
        </w:tc>
      </w:tr>
      <w:tr w:rsidR="00C44155" w:rsidRPr="0067507D" w14:paraId="1925FFD5"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2B10746A" w14:textId="77777777" w:rsidR="00C44155" w:rsidRPr="0067507D" w:rsidRDefault="00C44155">
            <w:pPr>
              <w:pStyle w:val="Tabletext"/>
              <w:rPr>
                <w:highlight w:val="yellow"/>
              </w:rPr>
            </w:pPr>
            <w:r w:rsidRPr="0067507D">
              <w:t>Urbis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314EC4A0" w14:textId="77777777" w:rsidR="00C44155" w:rsidRPr="0067507D" w:rsidRDefault="00C44155">
            <w:pPr>
              <w:pStyle w:val="Tabletext"/>
              <w:rPr>
                <w:highlight w:val="yellow"/>
              </w:rPr>
            </w:pPr>
            <w:r w:rsidRPr="0067507D">
              <w:t>Evaluation of the Arc Partnership Addressing Disadvantage</w:t>
            </w:r>
          </w:p>
        </w:tc>
        <w:tc>
          <w:tcPr>
            <w:cnfStyle w:val="000001000000" w:firstRow="0" w:lastRow="0" w:firstColumn="0" w:lastColumn="0" w:oddVBand="0" w:evenVBand="1" w:oddHBand="0" w:evenHBand="0" w:firstRowFirstColumn="0" w:firstRowLastColumn="0" w:lastRowFirstColumn="0" w:lastRowLastColumn="0"/>
            <w:tcW w:w="1530" w:type="dxa"/>
            <w:noWrap/>
          </w:tcPr>
          <w:p w14:paraId="35D9F7DB" w14:textId="77777777" w:rsidR="00C44155" w:rsidRPr="0067507D" w:rsidRDefault="00C44155">
            <w:pPr>
              <w:pStyle w:val="Tabletextright"/>
              <w:rPr>
                <w:highlight w:val="yellow"/>
              </w:rPr>
            </w:pPr>
            <w:r w:rsidRPr="0067507D">
              <w:t>900 000</w:t>
            </w:r>
          </w:p>
        </w:tc>
        <w:tc>
          <w:tcPr>
            <w:cnfStyle w:val="000010000000" w:firstRow="0" w:lastRow="0" w:firstColumn="0" w:lastColumn="0" w:oddVBand="1" w:evenVBand="0" w:oddHBand="0" w:evenHBand="0" w:firstRowFirstColumn="0" w:firstRowLastColumn="0" w:lastRowFirstColumn="0" w:lastRowLastColumn="0"/>
            <w:tcW w:w="1320" w:type="dxa"/>
            <w:noWrap/>
          </w:tcPr>
          <w:p w14:paraId="06065C36" w14:textId="77777777" w:rsidR="00C44155" w:rsidRPr="0067507D" w:rsidRDefault="00C44155">
            <w:pPr>
              <w:pStyle w:val="Tabletextright"/>
              <w:rPr>
                <w:highlight w:val="yellow"/>
              </w:rPr>
            </w:pPr>
            <w:r w:rsidRPr="0067507D">
              <w:t>137 117</w:t>
            </w:r>
          </w:p>
        </w:tc>
        <w:tc>
          <w:tcPr>
            <w:cnfStyle w:val="000001000000" w:firstRow="0" w:lastRow="0" w:firstColumn="0" w:lastColumn="0" w:oddVBand="0" w:evenVBand="1" w:oddHBand="0" w:evenHBand="0" w:firstRowFirstColumn="0" w:firstRowLastColumn="0" w:lastRowFirstColumn="0" w:lastRowLastColumn="0"/>
            <w:tcW w:w="1320" w:type="dxa"/>
            <w:noWrap/>
          </w:tcPr>
          <w:p w14:paraId="3D0C3A51" w14:textId="77777777" w:rsidR="00C44155" w:rsidRPr="0067507D" w:rsidRDefault="00C44155">
            <w:pPr>
              <w:pStyle w:val="Tabletextright"/>
              <w:rPr>
                <w:highlight w:val="yellow"/>
              </w:rPr>
            </w:pPr>
            <w:r w:rsidRPr="0067507D">
              <w:t>762 883</w:t>
            </w:r>
          </w:p>
        </w:tc>
      </w:tr>
      <w:tr w:rsidR="00C44155" w:rsidRPr="0067507D" w14:paraId="20932612"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61D45004" w14:textId="77777777" w:rsidR="00C44155" w:rsidRPr="0067507D" w:rsidRDefault="00C44155">
            <w:pPr>
              <w:pStyle w:val="Tabletext"/>
              <w:rPr>
                <w:highlight w:val="yellow"/>
              </w:rPr>
            </w:pPr>
            <w:r w:rsidRPr="0067507D">
              <w:t>Urbis Pty Ltd</w:t>
            </w:r>
          </w:p>
        </w:tc>
        <w:tc>
          <w:tcPr>
            <w:cnfStyle w:val="000010000000" w:firstRow="0" w:lastRow="0" w:firstColumn="0" w:lastColumn="0" w:oddVBand="1" w:evenVBand="0" w:oddHBand="0" w:evenHBand="0" w:firstRowFirstColumn="0" w:firstRowLastColumn="0" w:lastRowFirstColumn="0" w:lastRowLastColumn="0"/>
            <w:tcW w:w="2880" w:type="dxa"/>
            <w:noWrap/>
          </w:tcPr>
          <w:p w14:paraId="290E87CA" w14:textId="77777777" w:rsidR="00C44155" w:rsidRPr="0067507D" w:rsidRDefault="00C44155">
            <w:pPr>
              <w:pStyle w:val="Tabletext"/>
              <w:rPr>
                <w:highlight w:val="yellow"/>
              </w:rPr>
            </w:pPr>
            <w:r w:rsidRPr="0067507D">
              <w:t>Independent evaluation for the COMPASS Social Impact Bond (COMPASS) Partnerships Addressing Disadvantage</w:t>
            </w:r>
          </w:p>
        </w:tc>
        <w:tc>
          <w:tcPr>
            <w:cnfStyle w:val="000001000000" w:firstRow="0" w:lastRow="0" w:firstColumn="0" w:lastColumn="0" w:oddVBand="0" w:evenVBand="1" w:oddHBand="0" w:evenHBand="0" w:firstRowFirstColumn="0" w:firstRowLastColumn="0" w:lastRowFirstColumn="0" w:lastRowLastColumn="0"/>
            <w:tcW w:w="1530" w:type="dxa"/>
            <w:noWrap/>
          </w:tcPr>
          <w:p w14:paraId="2D7C1E29" w14:textId="77777777" w:rsidR="00C44155" w:rsidRPr="0067507D" w:rsidRDefault="00C44155">
            <w:pPr>
              <w:pStyle w:val="Tabletextright"/>
              <w:rPr>
                <w:highlight w:val="yellow"/>
              </w:rPr>
            </w:pPr>
            <w:r w:rsidRPr="0067507D">
              <w:t>509 091</w:t>
            </w:r>
          </w:p>
        </w:tc>
        <w:tc>
          <w:tcPr>
            <w:cnfStyle w:val="000010000000" w:firstRow="0" w:lastRow="0" w:firstColumn="0" w:lastColumn="0" w:oddVBand="1" w:evenVBand="0" w:oddHBand="0" w:evenHBand="0" w:firstRowFirstColumn="0" w:firstRowLastColumn="0" w:lastRowFirstColumn="0" w:lastRowLastColumn="0"/>
            <w:tcW w:w="1320" w:type="dxa"/>
            <w:noWrap/>
          </w:tcPr>
          <w:p w14:paraId="0D9DD334" w14:textId="77777777" w:rsidR="00C44155" w:rsidRPr="0067507D" w:rsidRDefault="00C44155">
            <w:pPr>
              <w:pStyle w:val="Tabletextright"/>
              <w:rPr>
                <w:highlight w:val="yellow"/>
              </w:rPr>
            </w:pPr>
            <w:r w:rsidRPr="0067507D">
              <w:t>41 159</w:t>
            </w:r>
          </w:p>
        </w:tc>
        <w:tc>
          <w:tcPr>
            <w:cnfStyle w:val="000001000000" w:firstRow="0" w:lastRow="0" w:firstColumn="0" w:lastColumn="0" w:oddVBand="0" w:evenVBand="1" w:oddHBand="0" w:evenHBand="0" w:firstRowFirstColumn="0" w:firstRowLastColumn="0" w:lastRowFirstColumn="0" w:lastRowLastColumn="0"/>
            <w:tcW w:w="1320" w:type="dxa"/>
            <w:noWrap/>
          </w:tcPr>
          <w:p w14:paraId="7ABC303A" w14:textId="77777777" w:rsidR="00C44155" w:rsidRPr="0067507D" w:rsidRDefault="00C44155">
            <w:pPr>
              <w:pStyle w:val="Tabletextright"/>
              <w:rPr>
                <w:highlight w:val="yellow"/>
              </w:rPr>
            </w:pPr>
            <w:r w:rsidRPr="0067507D">
              <w:t>20 845</w:t>
            </w:r>
          </w:p>
        </w:tc>
      </w:tr>
      <w:tr w:rsidR="00C44155" w:rsidRPr="0067507D" w14:paraId="042E74F4"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482843E6" w14:textId="77777777" w:rsidR="00C44155" w:rsidRPr="0067507D" w:rsidRDefault="00C44155">
            <w:pPr>
              <w:pStyle w:val="Tabletext"/>
              <w:rPr>
                <w:highlight w:val="yellow"/>
              </w:rPr>
            </w:pPr>
            <w:r w:rsidRPr="0067507D">
              <w:t>Victoria University</w:t>
            </w:r>
          </w:p>
        </w:tc>
        <w:tc>
          <w:tcPr>
            <w:cnfStyle w:val="000010000000" w:firstRow="0" w:lastRow="0" w:firstColumn="0" w:lastColumn="0" w:oddVBand="1" w:evenVBand="0" w:oddHBand="0" w:evenHBand="0" w:firstRowFirstColumn="0" w:firstRowLastColumn="0" w:lastRowFirstColumn="0" w:lastRowLastColumn="0"/>
            <w:tcW w:w="2880" w:type="dxa"/>
            <w:noWrap/>
          </w:tcPr>
          <w:p w14:paraId="4BC1B3B5" w14:textId="77777777" w:rsidR="00C44155" w:rsidRPr="0067507D" w:rsidRDefault="00C44155">
            <w:pPr>
              <w:pStyle w:val="Tabletext"/>
              <w:rPr>
                <w:highlight w:val="yellow"/>
              </w:rPr>
            </w:pPr>
            <w:r w:rsidRPr="0067507D">
              <w:t>Budget sensitivity analysis economic modelling</w:t>
            </w:r>
          </w:p>
        </w:tc>
        <w:tc>
          <w:tcPr>
            <w:cnfStyle w:val="000001000000" w:firstRow="0" w:lastRow="0" w:firstColumn="0" w:lastColumn="0" w:oddVBand="0" w:evenVBand="1" w:oddHBand="0" w:evenHBand="0" w:firstRowFirstColumn="0" w:firstRowLastColumn="0" w:lastRowFirstColumn="0" w:lastRowLastColumn="0"/>
            <w:tcW w:w="1530" w:type="dxa"/>
            <w:noWrap/>
          </w:tcPr>
          <w:p w14:paraId="611808D5" w14:textId="77777777" w:rsidR="00C44155" w:rsidRPr="0067507D" w:rsidRDefault="00C44155">
            <w:pPr>
              <w:pStyle w:val="Tabletextright"/>
              <w:rPr>
                <w:highlight w:val="yellow"/>
              </w:rPr>
            </w:pPr>
            <w:r w:rsidRPr="0067507D">
              <w:t>223 636</w:t>
            </w:r>
          </w:p>
        </w:tc>
        <w:tc>
          <w:tcPr>
            <w:cnfStyle w:val="000010000000" w:firstRow="0" w:lastRow="0" w:firstColumn="0" w:lastColumn="0" w:oddVBand="1" w:evenVBand="0" w:oddHBand="0" w:evenHBand="0" w:firstRowFirstColumn="0" w:firstRowLastColumn="0" w:lastRowFirstColumn="0" w:lastRowLastColumn="0"/>
            <w:tcW w:w="1320" w:type="dxa"/>
            <w:noWrap/>
          </w:tcPr>
          <w:p w14:paraId="7217CAA9" w14:textId="77777777" w:rsidR="00C44155" w:rsidRPr="0067507D" w:rsidRDefault="00C44155">
            <w:pPr>
              <w:pStyle w:val="Tabletextright"/>
              <w:rPr>
                <w:highlight w:val="yellow"/>
              </w:rPr>
            </w:pPr>
            <w:r w:rsidRPr="0067507D">
              <w:t>50 000</w:t>
            </w:r>
          </w:p>
        </w:tc>
        <w:tc>
          <w:tcPr>
            <w:cnfStyle w:val="000001000000" w:firstRow="0" w:lastRow="0" w:firstColumn="0" w:lastColumn="0" w:oddVBand="0" w:evenVBand="1" w:oddHBand="0" w:evenHBand="0" w:firstRowFirstColumn="0" w:firstRowLastColumn="0" w:lastRowFirstColumn="0" w:lastRowLastColumn="0"/>
            <w:tcW w:w="1320" w:type="dxa"/>
            <w:noWrap/>
          </w:tcPr>
          <w:p w14:paraId="15C6BC32" w14:textId="255BD982" w:rsidR="00C44155" w:rsidRPr="0067507D" w:rsidRDefault="00B37818">
            <w:pPr>
              <w:pStyle w:val="Tabletextright"/>
              <w:rPr>
                <w:highlight w:val="yellow"/>
              </w:rPr>
            </w:pPr>
            <w:r w:rsidRPr="0067507D">
              <w:t>–</w:t>
            </w:r>
          </w:p>
        </w:tc>
      </w:tr>
      <w:tr w:rsidR="00C44155" w:rsidRPr="0067507D" w14:paraId="0B425B38"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05495D41" w14:textId="20C9E089" w:rsidR="00C44155" w:rsidRPr="0067507D" w:rsidRDefault="00C44155">
            <w:pPr>
              <w:pStyle w:val="Tabletext"/>
              <w:rPr>
                <w:highlight w:val="yellow"/>
              </w:rPr>
            </w:pPr>
            <w:r w:rsidRPr="0067507D">
              <w:t xml:space="preserve">Victorian Aboriginal Child </w:t>
            </w:r>
            <w:r w:rsidR="00455562" w:rsidRPr="0067507D">
              <w:t xml:space="preserve">&amp; </w:t>
            </w:r>
            <w:r w:rsidRPr="0067507D">
              <w:t>Community Agency Co Op Ltd</w:t>
            </w:r>
          </w:p>
        </w:tc>
        <w:tc>
          <w:tcPr>
            <w:cnfStyle w:val="000010000000" w:firstRow="0" w:lastRow="0" w:firstColumn="0" w:lastColumn="0" w:oddVBand="1" w:evenVBand="0" w:oddHBand="0" w:evenHBand="0" w:firstRowFirstColumn="0" w:firstRowLastColumn="0" w:lastRowFirstColumn="0" w:lastRowLastColumn="0"/>
            <w:tcW w:w="2880" w:type="dxa"/>
            <w:noWrap/>
          </w:tcPr>
          <w:p w14:paraId="6A8B4B52" w14:textId="77777777" w:rsidR="00C44155" w:rsidRPr="0067507D" w:rsidRDefault="00C44155">
            <w:pPr>
              <w:pStyle w:val="Tabletext"/>
              <w:rPr>
                <w:highlight w:val="yellow"/>
              </w:rPr>
            </w:pPr>
            <w:r w:rsidRPr="0067507D">
              <w:t>Services to enable a partnership between Victorian Aboriginal Child and Community Agency (VACCA) and DTF to develop an Early Intervention Investment Framework (EIIF) Cultural Safety Framework</w:t>
            </w:r>
          </w:p>
        </w:tc>
        <w:tc>
          <w:tcPr>
            <w:cnfStyle w:val="000001000000" w:firstRow="0" w:lastRow="0" w:firstColumn="0" w:lastColumn="0" w:oddVBand="0" w:evenVBand="1" w:oddHBand="0" w:evenHBand="0" w:firstRowFirstColumn="0" w:firstRowLastColumn="0" w:lastRowFirstColumn="0" w:lastRowLastColumn="0"/>
            <w:tcW w:w="1530" w:type="dxa"/>
            <w:noWrap/>
          </w:tcPr>
          <w:p w14:paraId="7CD57847" w14:textId="77777777" w:rsidR="00C44155" w:rsidRPr="0067507D" w:rsidRDefault="00C44155">
            <w:pPr>
              <w:pStyle w:val="Tabletextright"/>
              <w:rPr>
                <w:highlight w:val="yellow"/>
              </w:rPr>
            </w:pPr>
            <w:r w:rsidRPr="0067507D">
              <w:t>68 000</w:t>
            </w:r>
          </w:p>
        </w:tc>
        <w:tc>
          <w:tcPr>
            <w:cnfStyle w:val="000010000000" w:firstRow="0" w:lastRow="0" w:firstColumn="0" w:lastColumn="0" w:oddVBand="1" w:evenVBand="0" w:oddHBand="0" w:evenHBand="0" w:firstRowFirstColumn="0" w:firstRowLastColumn="0" w:lastRowFirstColumn="0" w:lastRowLastColumn="0"/>
            <w:tcW w:w="1320" w:type="dxa"/>
            <w:noWrap/>
          </w:tcPr>
          <w:p w14:paraId="247446C9" w14:textId="77777777" w:rsidR="00C44155" w:rsidRPr="0067507D" w:rsidRDefault="00C44155">
            <w:pPr>
              <w:pStyle w:val="Tabletextright"/>
              <w:rPr>
                <w:highlight w:val="yellow"/>
              </w:rPr>
            </w:pPr>
            <w:r w:rsidRPr="0067507D">
              <w:t>34 000</w:t>
            </w:r>
          </w:p>
        </w:tc>
        <w:tc>
          <w:tcPr>
            <w:cnfStyle w:val="000001000000" w:firstRow="0" w:lastRow="0" w:firstColumn="0" w:lastColumn="0" w:oddVBand="0" w:evenVBand="1" w:oddHBand="0" w:evenHBand="0" w:firstRowFirstColumn="0" w:firstRowLastColumn="0" w:lastRowFirstColumn="0" w:lastRowLastColumn="0"/>
            <w:tcW w:w="1320" w:type="dxa"/>
            <w:noWrap/>
          </w:tcPr>
          <w:p w14:paraId="1BCC64C3" w14:textId="1BE65522" w:rsidR="00C44155" w:rsidRPr="0067507D" w:rsidRDefault="00B37818">
            <w:pPr>
              <w:pStyle w:val="Tabletextright"/>
              <w:rPr>
                <w:highlight w:val="yellow"/>
              </w:rPr>
            </w:pPr>
            <w:r w:rsidRPr="0067507D">
              <w:t>–</w:t>
            </w:r>
          </w:p>
        </w:tc>
      </w:tr>
      <w:tr w:rsidR="00C44155" w:rsidRPr="0067507D" w14:paraId="29BB979C"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0BB226AC" w14:textId="77777777" w:rsidR="00C44155" w:rsidRPr="0067507D" w:rsidRDefault="00C44155">
            <w:pPr>
              <w:pStyle w:val="Tabletext"/>
              <w:rPr>
                <w:highlight w:val="yellow"/>
              </w:rPr>
            </w:pPr>
            <w:r w:rsidRPr="0067507D">
              <w:t xml:space="preserve">Yamagigu Consulting </w:t>
            </w:r>
          </w:p>
        </w:tc>
        <w:tc>
          <w:tcPr>
            <w:cnfStyle w:val="000010000000" w:firstRow="0" w:lastRow="0" w:firstColumn="0" w:lastColumn="0" w:oddVBand="1" w:evenVBand="0" w:oddHBand="0" w:evenHBand="0" w:firstRowFirstColumn="0" w:firstRowLastColumn="0" w:lastRowFirstColumn="0" w:lastRowLastColumn="0"/>
            <w:tcW w:w="2880" w:type="dxa"/>
            <w:noWrap/>
          </w:tcPr>
          <w:p w14:paraId="4C825838" w14:textId="5FB2AD34" w:rsidR="00C44155" w:rsidRPr="0067507D" w:rsidRDefault="00C44155">
            <w:pPr>
              <w:pStyle w:val="Tabletext"/>
              <w:rPr>
                <w:highlight w:val="yellow"/>
              </w:rPr>
            </w:pPr>
            <w:r w:rsidRPr="0067507D">
              <w:t>Better Regulation Victoria</w:t>
            </w:r>
            <w:r w:rsidR="008033F5" w:rsidRPr="0067507D">
              <w:t xml:space="preserve"> – </w:t>
            </w:r>
            <w:r w:rsidRPr="0067507D">
              <w:t>First Peoples and Regulation Project</w:t>
            </w:r>
          </w:p>
        </w:tc>
        <w:tc>
          <w:tcPr>
            <w:cnfStyle w:val="000001000000" w:firstRow="0" w:lastRow="0" w:firstColumn="0" w:lastColumn="0" w:oddVBand="0" w:evenVBand="1" w:oddHBand="0" w:evenHBand="0" w:firstRowFirstColumn="0" w:firstRowLastColumn="0" w:lastRowFirstColumn="0" w:lastRowLastColumn="0"/>
            <w:tcW w:w="1530" w:type="dxa"/>
            <w:noWrap/>
          </w:tcPr>
          <w:p w14:paraId="3F7F3DFA" w14:textId="77777777" w:rsidR="00C44155" w:rsidRPr="0067507D" w:rsidRDefault="00C44155">
            <w:pPr>
              <w:pStyle w:val="Tabletextright"/>
              <w:rPr>
                <w:highlight w:val="yellow"/>
              </w:rPr>
            </w:pPr>
            <w:r w:rsidRPr="0067507D">
              <w:t>170 263</w:t>
            </w:r>
          </w:p>
        </w:tc>
        <w:tc>
          <w:tcPr>
            <w:cnfStyle w:val="000010000000" w:firstRow="0" w:lastRow="0" w:firstColumn="0" w:lastColumn="0" w:oddVBand="1" w:evenVBand="0" w:oddHBand="0" w:evenHBand="0" w:firstRowFirstColumn="0" w:firstRowLastColumn="0" w:lastRowFirstColumn="0" w:lastRowLastColumn="0"/>
            <w:tcW w:w="1320" w:type="dxa"/>
            <w:noWrap/>
          </w:tcPr>
          <w:p w14:paraId="0F796D4D" w14:textId="77777777" w:rsidR="00C44155" w:rsidRPr="0067507D" w:rsidRDefault="00C44155">
            <w:pPr>
              <w:pStyle w:val="Tabletextright"/>
              <w:rPr>
                <w:highlight w:val="yellow"/>
              </w:rPr>
            </w:pPr>
            <w:r w:rsidRPr="0067507D">
              <w:t>60 000</w:t>
            </w:r>
          </w:p>
        </w:tc>
        <w:tc>
          <w:tcPr>
            <w:cnfStyle w:val="000001000000" w:firstRow="0" w:lastRow="0" w:firstColumn="0" w:lastColumn="0" w:oddVBand="0" w:evenVBand="1" w:oddHBand="0" w:evenHBand="0" w:firstRowFirstColumn="0" w:firstRowLastColumn="0" w:lastRowFirstColumn="0" w:lastRowLastColumn="0"/>
            <w:tcW w:w="1320" w:type="dxa"/>
            <w:noWrap/>
          </w:tcPr>
          <w:p w14:paraId="4062CF68" w14:textId="77777777" w:rsidR="00C44155" w:rsidRPr="0067507D" w:rsidRDefault="00C44155">
            <w:pPr>
              <w:pStyle w:val="Tabletextright"/>
              <w:rPr>
                <w:highlight w:val="yellow"/>
              </w:rPr>
            </w:pPr>
            <w:r w:rsidRPr="0067507D">
              <w:t>110 263</w:t>
            </w:r>
          </w:p>
        </w:tc>
      </w:tr>
      <w:tr w:rsidR="009D3E6E" w:rsidRPr="0067507D" w14:paraId="36F7C325" w14:textId="77777777" w:rsidTr="702E54E5">
        <w:trPr>
          <w:trHeight w:val="300"/>
        </w:trPr>
        <w:tc>
          <w:tcPr>
            <w:cnfStyle w:val="001000000000" w:firstRow="0" w:lastRow="0" w:firstColumn="1" w:lastColumn="0" w:oddVBand="0" w:evenVBand="0" w:oddHBand="0" w:evenHBand="0" w:firstRowFirstColumn="0" w:firstRowLastColumn="0" w:lastRowFirstColumn="0" w:lastRowLastColumn="0"/>
            <w:tcW w:w="2520" w:type="dxa"/>
            <w:noWrap/>
          </w:tcPr>
          <w:p w14:paraId="1CB3F272" w14:textId="7BB7A1C3" w:rsidR="009D3E6E" w:rsidRPr="0067507D" w:rsidRDefault="009D3E6E" w:rsidP="009D3E6E">
            <w:pPr>
              <w:pStyle w:val="Tabletext"/>
              <w:rPr>
                <w:highlight w:val="yellow"/>
              </w:rPr>
            </w:pPr>
            <w:r w:rsidRPr="0067507D">
              <w:rPr>
                <w:b/>
              </w:rPr>
              <w:t>Total: 62</w:t>
            </w:r>
          </w:p>
        </w:tc>
        <w:tc>
          <w:tcPr>
            <w:cnfStyle w:val="000010000000" w:firstRow="0" w:lastRow="0" w:firstColumn="0" w:lastColumn="0" w:oddVBand="1" w:evenVBand="0" w:oddHBand="0" w:evenHBand="0" w:firstRowFirstColumn="0" w:firstRowLastColumn="0" w:lastRowFirstColumn="0" w:lastRowLastColumn="0"/>
            <w:tcW w:w="2880" w:type="dxa"/>
            <w:noWrap/>
          </w:tcPr>
          <w:p w14:paraId="3E68D0C9" w14:textId="77777777" w:rsidR="009D3E6E" w:rsidRPr="0067507D" w:rsidRDefault="009D3E6E" w:rsidP="009D3E6E">
            <w:pPr>
              <w:pStyle w:val="Tabletext"/>
              <w:rPr>
                <w:highlight w:val="yellow"/>
              </w:rPr>
            </w:pPr>
          </w:p>
        </w:tc>
        <w:tc>
          <w:tcPr>
            <w:cnfStyle w:val="000001000000" w:firstRow="0" w:lastRow="0" w:firstColumn="0" w:lastColumn="0" w:oddVBand="0" w:evenVBand="1" w:oddHBand="0" w:evenHBand="0" w:firstRowFirstColumn="0" w:firstRowLastColumn="0" w:lastRowFirstColumn="0" w:lastRowLastColumn="0"/>
            <w:tcW w:w="1530" w:type="dxa"/>
            <w:noWrap/>
          </w:tcPr>
          <w:p w14:paraId="561E92E6" w14:textId="4EC5A64E" w:rsidR="009D3E6E" w:rsidRPr="0067507D" w:rsidRDefault="009D3E6E" w:rsidP="009D3E6E">
            <w:pPr>
              <w:pStyle w:val="Tabletextrightbold"/>
              <w:rPr>
                <w:highlight w:val="yellow"/>
              </w:rPr>
            </w:pPr>
            <w:r w:rsidRPr="0067507D">
              <w:t>22 958 261</w:t>
            </w:r>
          </w:p>
        </w:tc>
        <w:tc>
          <w:tcPr>
            <w:cnfStyle w:val="000010000000" w:firstRow="0" w:lastRow="0" w:firstColumn="0" w:lastColumn="0" w:oddVBand="1" w:evenVBand="0" w:oddHBand="0" w:evenHBand="0" w:firstRowFirstColumn="0" w:firstRowLastColumn="0" w:lastRowFirstColumn="0" w:lastRowLastColumn="0"/>
            <w:tcW w:w="1320" w:type="dxa"/>
            <w:noWrap/>
          </w:tcPr>
          <w:p w14:paraId="6DF66043" w14:textId="0F89F0E8" w:rsidR="009D3E6E" w:rsidRPr="0067507D" w:rsidRDefault="009D3E6E" w:rsidP="009D3E6E">
            <w:pPr>
              <w:pStyle w:val="Tabletextrightbold"/>
              <w:rPr>
                <w:highlight w:val="yellow"/>
              </w:rPr>
            </w:pPr>
            <w:r w:rsidRPr="0067507D">
              <w:t xml:space="preserve">11 </w:t>
            </w:r>
            <w:r w:rsidR="00C11C4F" w:rsidRPr="0067507D">
              <w:t>418</w:t>
            </w:r>
            <w:r w:rsidRPr="0067507D">
              <w:t xml:space="preserve"> </w:t>
            </w:r>
            <w:r w:rsidR="00C11C4F" w:rsidRPr="0067507D">
              <w:t>125</w:t>
            </w:r>
          </w:p>
        </w:tc>
        <w:tc>
          <w:tcPr>
            <w:cnfStyle w:val="000001000000" w:firstRow="0" w:lastRow="0" w:firstColumn="0" w:lastColumn="0" w:oddVBand="0" w:evenVBand="1" w:oddHBand="0" w:evenHBand="0" w:firstRowFirstColumn="0" w:firstRowLastColumn="0" w:lastRowFirstColumn="0" w:lastRowLastColumn="0"/>
            <w:tcW w:w="1320" w:type="dxa"/>
            <w:noWrap/>
          </w:tcPr>
          <w:p w14:paraId="1FD7DAF6" w14:textId="39EB9D58" w:rsidR="009D3E6E" w:rsidRPr="0067507D" w:rsidRDefault="009D3E6E" w:rsidP="009D3E6E">
            <w:pPr>
              <w:pStyle w:val="Tabletextrightbold"/>
              <w:rPr>
                <w:highlight w:val="yellow"/>
              </w:rPr>
            </w:pPr>
            <w:r w:rsidRPr="0067507D">
              <w:t>5 418 892</w:t>
            </w:r>
          </w:p>
        </w:tc>
      </w:tr>
    </w:tbl>
    <w:p w14:paraId="5A06299F" w14:textId="77777777" w:rsidR="00C44155" w:rsidRPr="0067507D" w:rsidRDefault="00C44155" w:rsidP="004E29AF"/>
    <w:p w14:paraId="3977A808" w14:textId="77777777" w:rsidR="00C44155" w:rsidRPr="0067507D" w:rsidRDefault="00C44155" w:rsidP="004E29AF">
      <w:pPr>
        <w:pStyle w:val="Heading2"/>
        <w:sectPr w:rsidR="00C44155" w:rsidRPr="0067507D" w:rsidSect="00C44155">
          <w:type w:val="continuous"/>
          <w:pgSz w:w="11909" w:h="16834" w:code="9"/>
          <w:pgMar w:top="1728" w:right="1152" w:bottom="1267" w:left="1152" w:header="720" w:footer="288" w:gutter="0"/>
          <w:cols w:space="720"/>
          <w:noEndnote/>
        </w:sectPr>
      </w:pPr>
      <w:bookmarkStart w:id="244" w:name="_Ref492630870"/>
    </w:p>
    <w:p w14:paraId="3E760AA1" w14:textId="77777777" w:rsidR="00C44155" w:rsidRPr="0067507D" w:rsidRDefault="00C44155" w:rsidP="003E14E9">
      <w:pPr>
        <w:pStyle w:val="Heading2"/>
      </w:pPr>
      <w:bookmarkStart w:id="245" w:name="ConsultanciesUnder"/>
      <w:r w:rsidRPr="0067507D">
        <w:lastRenderedPageBreak/>
        <w:t>Details of consultancies under $10</w:t>
      </w:r>
      <w:r w:rsidRPr="0067507D">
        <w:rPr>
          <w:rFonts w:ascii="Calibri" w:hAnsi="Calibri" w:cs="Calibri"/>
        </w:rPr>
        <w:t> </w:t>
      </w:r>
      <w:r w:rsidRPr="0067507D">
        <w:t>000</w:t>
      </w:r>
      <w:bookmarkEnd w:id="244"/>
      <w:bookmarkEnd w:id="245"/>
    </w:p>
    <w:p w14:paraId="5182A684" w14:textId="5106DD96" w:rsidR="00C44155" w:rsidRPr="0067507D" w:rsidRDefault="00C44155" w:rsidP="00ED474D">
      <w:r w:rsidRPr="0067507D">
        <w:t>In 2024</w:t>
      </w:r>
      <w:r w:rsidR="009164CC">
        <w:noBreakHyphen/>
      </w:r>
      <w:r w:rsidRPr="0067507D">
        <w:t>25 there was 1 consultancy engaged with a total approved value at less than $10</w:t>
      </w:r>
      <w:r w:rsidRPr="0067507D">
        <w:rPr>
          <w:rFonts w:ascii="Calibri" w:hAnsi="Calibri" w:cs="Calibri"/>
        </w:rPr>
        <w:t> </w:t>
      </w:r>
      <w:r w:rsidRPr="0067507D">
        <w:t>000. The total expenditure incurred during 2024</w:t>
      </w:r>
      <w:r w:rsidR="009164CC">
        <w:noBreakHyphen/>
      </w:r>
      <w:r w:rsidRPr="0067507D">
        <w:t>25 in relation to this consultancy was $5</w:t>
      </w:r>
      <w:r w:rsidRPr="0067507D">
        <w:rPr>
          <w:rFonts w:ascii="Calibri" w:hAnsi="Calibri" w:cs="Calibri"/>
        </w:rPr>
        <w:t> </w:t>
      </w:r>
      <w:r w:rsidRPr="0067507D">
        <w:t>000 (excluding GST).</w:t>
      </w:r>
    </w:p>
    <w:p w14:paraId="182A28CB" w14:textId="3C3E3D65" w:rsidR="00453A5A" w:rsidRPr="0067507D" w:rsidRDefault="00453A5A" w:rsidP="00453A5A">
      <w:pPr>
        <w:rPr>
          <w:shd w:val="clear" w:color="auto" w:fill="FFFFFF"/>
        </w:rPr>
      </w:pPr>
    </w:p>
    <w:p w14:paraId="6AD34D8A" w14:textId="0F5233C5" w:rsidR="003E14E9" w:rsidRPr="0067507D" w:rsidRDefault="005C7095" w:rsidP="003E14E9">
      <w:pPr>
        <w:pStyle w:val="Heading1b"/>
      </w:pPr>
      <w:r w:rsidRPr="0067507D">
        <w:br w:type="column"/>
      </w:r>
      <w:bookmarkStart w:id="246" w:name="Reviews_studies_start"/>
      <w:bookmarkStart w:id="247" w:name="_Toc210221147"/>
      <w:r w:rsidR="003E14E9" w:rsidRPr="0067507D">
        <w:t>Reviews and studies expenditure</w:t>
      </w:r>
      <w:bookmarkEnd w:id="246"/>
      <w:bookmarkEnd w:id="247"/>
      <w:r w:rsidR="003E14E9" w:rsidRPr="0067507D">
        <w:t xml:space="preserve"> </w:t>
      </w:r>
    </w:p>
    <w:p w14:paraId="47528D8F" w14:textId="4376E9ED" w:rsidR="003E14E9" w:rsidRPr="0067507D" w:rsidRDefault="003E14E9" w:rsidP="003E14E9">
      <w:pPr>
        <w:pStyle w:val="Heading2"/>
      </w:pPr>
      <w:r w:rsidRPr="0067507D">
        <w:t>Details of reviews and studies</w:t>
      </w:r>
    </w:p>
    <w:p w14:paraId="77D1C281" w14:textId="1EB8F726" w:rsidR="003E14E9" w:rsidRPr="0067507D" w:rsidRDefault="003E14E9" w:rsidP="0071778A">
      <w:pPr>
        <w:keepNext/>
      </w:pPr>
      <w:r w:rsidRPr="0067507D">
        <w:t>During 202</w:t>
      </w:r>
      <w:r w:rsidR="000F174D" w:rsidRPr="0067507D">
        <w:t>4</w:t>
      </w:r>
      <w:r w:rsidR="009164CC">
        <w:noBreakHyphen/>
      </w:r>
      <w:r w:rsidR="00695338" w:rsidRPr="0067507D">
        <w:t>2</w:t>
      </w:r>
      <w:r w:rsidR="000F174D" w:rsidRPr="0067507D">
        <w:t>5</w:t>
      </w:r>
      <w:r w:rsidRPr="0067507D">
        <w:t xml:space="preserve">, there were </w:t>
      </w:r>
      <w:r w:rsidR="009B4071" w:rsidRPr="0067507D">
        <w:t>1</w:t>
      </w:r>
      <w:r w:rsidR="00691930" w:rsidRPr="0067507D">
        <w:t>2</w:t>
      </w:r>
      <w:r w:rsidR="00695338" w:rsidRPr="0067507D">
        <w:t xml:space="preserve"> </w:t>
      </w:r>
      <w:r w:rsidRPr="0067507D">
        <w:t>reviews and studies undertaken</w:t>
      </w:r>
      <w:r w:rsidR="00261542" w:rsidRPr="0067507D">
        <w:t>. The</w:t>
      </w:r>
      <w:r w:rsidRPr="0067507D">
        <w:t xml:space="preserve"> total </w:t>
      </w:r>
      <w:r w:rsidR="00261542" w:rsidRPr="0067507D">
        <w:t xml:space="preserve">expenditure incurred during </w:t>
      </w:r>
      <w:r w:rsidR="00C30F42" w:rsidRPr="0067507D">
        <w:t>2024</w:t>
      </w:r>
      <w:r w:rsidR="006A5485">
        <w:noBreakHyphen/>
      </w:r>
      <w:r w:rsidR="00C30F42" w:rsidRPr="0067507D">
        <w:t>25</w:t>
      </w:r>
      <w:r w:rsidR="00261542" w:rsidRPr="0067507D">
        <w:t xml:space="preserve"> was $</w:t>
      </w:r>
      <w:r w:rsidR="001D3551" w:rsidRPr="0067507D">
        <w:t>907</w:t>
      </w:r>
      <w:r w:rsidR="00AA3EEC" w:rsidRPr="0067507D">
        <w:t xml:space="preserve"> </w:t>
      </w:r>
      <w:r w:rsidR="001D3551" w:rsidRPr="0067507D">
        <w:t>3</w:t>
      </w:r>
      <w:r w:rsidR="0058582E" w:rsidRPr="0067507D">
        <w:t>5</w:t>
      </w:r>
      <w:r w:rsidR="003F12BF" w:rsidRPr="0067507D">
        <w:t>7</w:t>
      </w:r>
      <w:r w:rsidR="00261542" w:rsidRPr="0067507D">
        <w:t xml:space="preserve"> (excluding GST).</w:t>
      </w:r>
      <w:r w:rsidRPr="0067507D">
        <w:t xml:space="preserve"> Details of individual reviews and studies are outlined below.</w:t>
      </w:r>
    </w:p>
    <w:p w14:paraId="50BA3857" w14:textId="77777777" w:rsidR="00695338" w:rsidRPr="0067507D" w:rsidRDefault="00695338" w:rsidP="003E14E9"/>
    <w:bookmarkEnd w:id="239"/>
    <w:p w14:paraId="2E0D48DC" w14:textId="77777777" w:rsidR="00B47729" w:rsidRPr="0067507D" w:rsidRDefault="00B47729" w:rsidP="00B47729">
      <w:pPr>
        <w:pStyle w:val="Heading2"/>
        <w:sectPr w:rsidR="00B47729" w:rsidRPr="0067507D" w:rsidSect="00B47729">
          <w:type w:val="continuous"/>
          <w:pgSz w:w="11909" w:h="16834" w:code="9"/>
          <w:pgMar w:top="1728" w:right="1152" w:bottom="1267" w:left="1152" w:header="720" w:footer="288" w:gutter="0"/>
          <w:cols w:num="2" w:space="720"/>
          <w:noEndnote/>
        </w:sectPr>
      </w:pPr>
    </w:p>
    <w:tbl>
      <w:tblPr>
        <w:tblStyle w:val="AnnualReportfinancialtable1"/>
        <w:tblW w:w="9990" w:type="dxa"/>
        <w:tblLayout w:type="fixed"/>
        <w:tblCellMar>
          <w:left w:w="43" w:type="dxa"/>
          <w:right w:w="43" w:type="dxa"/>
        </w:tblCellMar>
        <w:tblLook w:val="06A0" w:firstRow="1" w:lastRow="0" w:firstColumn="1" w:lastColumn="0" w:noHBand="1" w:noVBand="1"/>
      </w:tblPr>
      <w:tblGrid>
        <w:gridCol w:w="1620"/>
        <w:gridCol w:w="1620"/>
        <w:gridCol w:w="1710"/>
        <w:gridCol w:w="1530"/>
        <w:gridCol w:w="990"/>
        <w:gridCol w:w="990"/>
        <w:gridCol w:w="1530"/>
      </w:tblGrid>
      <w:tr w:rsidR="00A86107" w:rsidRPr="0067507D" w14:paraId="7E93E249" w14:textId="77777777" w:rsidTr="00D9036F">
        <w:trPr>
          <w:cnfStyle w:val="100000000000" w:firstRow="1" w:lastRow="0" w:firstColumn="0" w:lastColumn="0" w:oddVBand="0" w:evenVBand="0" w:oddHBand="0" w:evenHBand="0" w:firstRowFirstColumn="0" w:firstRowLastColumn="0" w:lastRowFirstColumn="0" w:lastRowLastColumn="0"/>
          <w:cantSplit w:val="0"/>
          <w:trHeight w:val="482"/>
          <w:tblHeader/>
        </w:trPr>
        <w:tc>
          <w:tcPr>
            <w:cnfStyle w:val="001000000000" w:firstRow="0" w:lastRow="0" w:firstColumn="1" w:lastColumn="0" w:oddVBand="0" w:evenVBand="0" w:oddHBand="0" w:evenHBand="0" w:firstRowFirstColumn="0" w:firstRowLastColumn="0" w:lastRowFirstColumn="0" w:lastRowLastColumn="0"/>
            <w:tcW w:w="1620" w:type="dxa"/>
            <w:vAlign w:val="bottom"/>
          </w:tcPr>
          <w:p w14:paraId="67F7D3DA" w14:textId="4CC8C63F" w:rsidR="00374A37" w:rsidRPr="0067507D" w:rsidRDefault="00374A37">
            <w:pPr>
              <w:pStyle w:val="Tableheader"/>
              <w:jc w:val="left"/>
              <w:rPr>
                <w:rFonts w:asciiTheme="majorHAnsi" w:hAnsiTheme="majorHAnsi"/>
              </w:rPr>
            </w:pPr>
            <w:r w:rsidRPr="0067507D">
              <w:rPr>
                <w:rFonts w:asciiTheme="majorHAnsi" w:hAnsiTheme="majorHAnsi"/>
              </w:rPr>
              <w:t>Name of the review (portfolio(s) and output(s)/agency responsible)</w:t>
            </w:r>
          </w:p>
        </w:tc>
        <w:tc>
          <w:tcPr>
            <w:tcW w:w="1620" w:type="dxa"/>
            <w:vAlign w:val="bottom"/>
          </w:tcPr>
          <w:p w14:paraId="298749B5" w14:textId="77777777" w:rsidR="00374A37" w:rsidRPr="0067507D" w:rsidRDefault="00374A37">
            <w:pPr>
              <w:pStyle w:val="Tableheader"/>
              <w:jc w:val="left"/>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67507D">
              <w:rPr>
                <w:rFonts w:asciiTheme="majorHAnsi" w:hAnsiTheme="majorHAnsi"/>
              </w:rPr>
              <w:t>Reasons for review/study</w:t>
            </w:r>
          </w:p>
        </w:tc>
        <w:tc>
          <w:tcPr>
            <w:tcW w:w="1710" w:type="dxa"/>
            <w:vAlign w:val="bottom"/>
          </w:tcPr>
          <w:p w14:paraId="462373BA" w14:textId="5D46D48A" w:rsidR="00374A37" w:rsidRPr="0067507D" w:rsidRDefault="00374A37">
            <w:pPr>
              <w:pStyle w:val="Tableheader"/>
              <w:jc w:val="left"/>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67507D">
              <w:rPr>
                <w:rFonts w:asciiTheme="majorHAnsi" w:hAnsiTheme="majorHAnsi"/>
              </w:rPr>
              <w:t>Terms of reference/</w:t>
            </w:r>
            <w:r w:rsidR="007D7EE6" w:rsidRPr="0067507D">
              <w:rPr>
                <w:rFonts w:asciiTheme="majorHAnsi" w:hAnsiTheme="majorHAnsi"/>
              </w:rPr>
              <w:t xml:space="preserve"> </w:t>
            </w:r>
            <w:r w:rsidRPr="0067507D">
              <w:rPr>
                <w:rFonts w:asciiTheme="majorHAnsi" w:hAnsiTheme="majorHAnsi"/>
              </w:rPr>
              <w:t>scope</w:t>
            </w:r>
          </w:p>
        </w:tc>
        <w:tc>
          <w:tcPr>
            <w:tcW w:w="1530" w:type="dxa"/>
            <w:vAlign w:val="bottom"/>
          </w:tcPr>
          <w:p w14:paraId="591B91A4" w14:textId="77777777" w:rsidR="00374A37" w:rsidRPr="0067507D" w:rsidRDefault="00374A37">
            <w:pPr>
              <w:pStyle w:val="Tableheader"/>
              <w:jc w:val="left"/>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67507D">
              <w:rPr>
                <w:rFonts w:asciiTheme="majorHAnsi" w:hAnsiTheme="majorHAnsi"/>
              </w:rPr>
              <w:t>Anticipated outcomes</w:t>
            </w:r>
          </w:p>
        </w:tc>
        <w:tc>
          <w:tcPr>
            <w:tcW w:w="990" w:type="dxa"/>
            <w:vAlign w:val="bottom"/>
          </w:tcPr>
          <w:p w14:paraId="11AF3013" w14:textId="33834257" w:rsidR="00374A37" w:rsidRPr="0067507D" w:rsidRDefault="00374A37">
            <w:pPr>
              <w:pStyle w:val="Tablehead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67507D">
              <w:rPr>
                <w:rFonts w:asciiTheme="majorHAnsi" w:hAnsiTheme="majorHAnsi"/>
              </w:rPr>
              <w:t xml:space="preserve">Estimated cost for </w:t>
            </w:r>
            <w:r w:rsidR="008B6536" w:rsidRPr="0067507D">
              <w:rPr>
                <w:rFonts w:asciiTheme="majorHAnsi" w:hAnsiTheme="majorHAnsi"/>
              </w:rPr>
              <w:br/>
            </w:r>
            <w:r w:rsidRPr="0067507D">
              <w:rPr>
                <w:rFonts w:asciiTheme="majorHAnsi" w:hAnsiTheme="majorHAnsi"/>
              </w:rPr>
              <w:t xml:space="preserve">the year </w:t>
            </w:r>
            <w:r w:rsidR="008B6536" w:rsidRPr="0067507D">
              <w:rPr>
                <w:rFonts w:asciiTheme="majorHAnsi" w:hAnsiTheme="majorHAnsi"/>
              </w:rPr>
              <w:br/>
            </w:r>
            <w:r w:rsidRPr="0067507D">
              <w:rPr>
                <w:rFonts w:asciiTheme="majorHAnsi" w:hAnsiTheme="majorHAnsi"/>
              </w:rPr>
              <w:t xml:space="preserve">(excl. GST) </w:t>
            </w:r>
            <w:r w:rsidRPr="0067507D">
              <w:rPr>
                <w:rFonts w:asciiTheme="majorHAnsi" w:hAnsiTheme="majorHAnsi"/>
              </w:rPr>
              <w:br/>
              <w:t>(</w:t>
            </w:r>
            <w:r w:rsidR="00824A61" w:rsidRPr="0067507D">
              <w:rPr>
                <w:rFonts w:asciiTheme="majorHAnsi" w:hAnsiTheme="majorHAnsi"/>
              </w:rPr>
              <w:t>$</w:t>
            </w:r>
            <w:r w:rsidRPr="0067507D">
              <w:rPr>
                <w:rFonts w:asciiTheme="majorHAnsi" w:hAnsiTheme="majorHAnsi"/>
              </w:rPr>
              <w:t>)</w:t>
            </w:r>
          </w:p>
        </w:tc>
        <w:tc>
          <w:tcPr>
            <w:tcW w:w="990" w:type="dxa"/>
            <w:vAlign w:val="bottom"/>
          </w:tcPr>
          <w:p w14:paraId="08D4072C" w14:textId="3268D0A6" w:rsidR="00374A37" w:rsidRPr="0067507D" w:rsidRDefault="00374A37">
            <w:pPr>
              <w:pStyle w:val="Tablehead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67507D">
              <w:rPr>
                <w:rFonts w:asciiTheme="majorHAnsi" w:hAnsiTheme="majorHAnsi"/>
              </w:rPr>
              <w:t>Final cost if completed (excl. GST)</w:t>
            </w:r>
            <w:r w:rsidRPr="0067507D">
              <w:rPr>
                <w:rFonts w:asciiTheme="majorHAnsi" w:hAnsiTheme="majorHAnsi"/>
              </w:rPr>
              <w:br/>
              <w:t>(</w:t>
            </w:r>
            <w:r w:rsidR="00824A61" w:rsidRPr="0067507D">
              <w:rPr>
                <w:rFonts w:asciiTheme="majorHAnsi" w:hAnsiTheme="majorHAnsi"/>
              </w:rPr>
              <w:t>$</w:t>
            </w:r>
            <w:r w:rsidRPr="0067507D">
              <w:rPr>
                <w:rFonts w:asciiTheme="majorHAnsi" w:hAnsiTheme="majorHAnsi"/>
              </w:rPr>
              <w:t>)</w:t>
            </w:r>
          </w:p>
        </w:tc>
        <w:tc>
          <w:tcPr>
            <w:tcW w:w="1530" w:type="dxa"/>
            <w:vAlign w:val="bottom"/>
          </w:tcPr>
          <w:p w14:paraId="4923D449" w14:textId="77777777" w:rsidR="00374A37" w:rsidRPr="0067507D" w:rsidRDefault="00374A37">
            <w:pPr>
              <w:pStyle w:val="Tableheader"/>
              <w:jc w:val="left"/>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67507D">
              <w:rPr>
                <w:rFonts w:asciiTheme="majorHAnsi" w:hAnsiTheme="majorHAnsi"/>
              </w:rPr>
              <w:t>Publicly available (Y/N) and URL</w:t>
            </w:r>
          </w:p>
        </w:tc>
      </w:tr>
      <w:tr w:rsidR="00A36CBB" w:rsidRPr="0067507D" w14:paraId="0E6D97F3" w14:textId="77777777" w:rsidTr="002477B1">
        <w:trPr>
          <w:cantSplit w:val="0"/>
        </w:trPr>
        <w:tc>
          <w:tcPr>
            <w:cnfStyle w:val="001000000000" w:firstRow="0" w:lastRow="0" w:firstColumn="1" w:lastColumn="0" w:oddVBand="0" w:evenVBand="0" w:oddHBand="0" w:evenHBand="0" w:firstRowFirstColumn="0" w:firstRowLastColumn="0" w:lastRowFirstColumn="0" w:lastRowLastColumn="0"/>
            <w:tcW w:w="0" w:type="dxa"/>
          </w:tcPr>
          <w:p w14:paraId="0A5D0EB2" w14:textId="1F971607" w:rsidR="00374A37" w:rsidRPr="0067507D" w:rsidRDefault="00AA47BF">
            <w:pPr>
              <w:pStyle w:val="Tabletext"/>
            </w:pPr>
            <w:r w:rsidRPr="0067507D">
              <w:t>Embedding culturally safety through the Early Intervention Investment Framework (EIIF)</w:t>
            </w:r>
          </w:p>
        </w:tc>
        <w:tc>
          <w:tcPr>
            <w:tcW w:w="0" w:type="dxa"/>
          </w:tcPr>
          <w:p w14:paraId="2F098607" w14:textId="607A6AF5"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To provide a framework that considers, recognises and incorporate cultural safety into the EIIF. </w:t>
            </w:r>
          </w:p>
        </w:tc>
        <w:tc>
          <w:tcPr>
            <w:tcW w:w="0" w:type="dxa"/>
          </w:tcPr>
          <w:p w14:paraId="1B677956" w14:textId="4C994AEA"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The Victorian Aboriginal Child and Community Agency led consultations with Aboriginal Community Controlled Organisations and service providers and work collaboratively with DTF to develop the Cultural Safety Framework.</w:t>
            </w:r>
          </w:p>
        </w:tc>
        <w:tc>
          <w:tcPr>
            <w:tcW w:w="0" w:type="dxa"/>
          </w:tcPr>
          <w:p w14:paraId="6BA693F5" w14:textId="39E70C5D"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Culturally safe partnerships.</w:t>
            </w:r>
          </w:p>
        </w:tc>
        <w:tc>
          <w:tcPr>
            <w:tcW w:w="0" w:type="dxa"/>
          </w:tcPr>
          <w:p w14:paraId="70871549" w14:textId="570AC494"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34 000</w:t>
            </w:r>
          </w:p>
        </w:tc>
        <w:tc>
          <w:tcPr>
            <w:tcW w:w="0" w:type="dxa"/>
          </w:tcPr>
          <w:p w14:paraId="09489852" w14:textId="5324512F"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68 000</w:t>
            </w:r>
          </w:p>
        </w:tc>
        <w:tc>
          <w:tcPr>
            <w:tcW w:w="0" w:type="dxa"/>
          </w:tcPr>
          <w:p w14:paraId="0D185811" w14:textId="762353B5" w:rsidR="00AA47BF" w:rsidRPr="0067507D" w:rsidRDefault="00AA47BF" w:rsidP="00AA47BF">
            <w:pPr>
              <w:pStyle w:val="Tabletext"/>
              <w:jc w:val="left"/>
              <w:cnfStyle w:val="000000000000" w:firstRow="0" w:lastRow="0" w:firstColumn="0" w:lastColumn="0" w:oddVBand="0" w:evenVBand="0" w:oddHBand="0" w:evenHBand="0" w:firstRowFirstColumn="0" w:firstRowLastColumn="0" w:lastRowFirstColumn="0" w:lastRowLastColumn="0"/>
            </w:pPr>
            <w:r w:rsidRPr="0067507D">
              <w:t>Yes</w:t>
            </w:r>
          </w:p>
          <w:p w14:paraId="71A2D260" w14:textId="19593ECE" w:rsidR="00374A37" w:rsidRPr="0067507D" w:rsidRDefault="001B700A">
            <w:pPr>
              <w:pStyle w:val="Tabletext"/>
              <w:jc w:val="left"/>
              <w:cnfStyle w:val="000000000000" w:firstRow="0" w:lastRow="0" w:firstColumn="0" w:lastColumn="0" w:oddVBand="0" w:evenVBand="0" w:oddHBand="0" w:evenHBand="0" w:firstRowFirstColumn="0" w:firstRowLastColumn="0" w:lastRowFirstColumn="0" w:lastRowLastColumn="0"/>
              <w:rPr>
                <w:rStyle w:val="Hyperlink"/>
                <w:highlight w:val="yellow"/>
              </w:rPr>
            </w:pPr>
            <w:hyperlink r:id="rId220" w:history="1">
              <w:r w:rsidRPr="0067507D">
                <w:rPr>
                  <w:rStyle w:val="Hyperlink"/>
                </w:rPr>
                <w:t>https://www.dtf.vic.gov.au/eiif</w:t>
              </w:r>
              <w:r w:rsidR="006A5485">
                <w:rPr>
                  <w:rStyle w:val="Hyperlink"/>
                </w:rPr>
                <w:noBreakHyphen/>
              </w:r>
              <w:r w:rsidRPr="0067507D">
                <w:rPr>
                  <w:rStyle w:val="Hyperlink"/>
                </w:rPr>
                <w:t>cultural</w:t>
              </w:r>
              <w:r w:rsidR="006A5485">
                <w:rPr>
                  <w:rStyle w:val="Hyperlink"/>
                </w:rPr>
                <w:noBreakHyphen/>
              </w:r>
              <w:r w:rsidRPr="0067507D">
                <w:rPr>
                  <w:rStyle w:val="Hyperlink"/>
                </w:rPr>
                <w:t>safety</w:t>
              </w:r>
              <w:r w:rsidR="006A5485">
                <w:rPr>
                  <w:rStyle w:val="Hyperlink"/>
                </w:rPr>
                <w:noBreakHyphen/>
              </w:r>
              <w:r w:rsidRPr="0067507D">
                <w:rPr>
                  <w:rStyle w:val="Hyperlink"/>
                </w:rPr>
                <w:t>framework</w:t>
              </w:r>
            </w:hyperlink>
            <w:r w:rsidRPr="0067507D">
              <w:t xml:space="preserve"> </w:t>
            </w:r>
          </w:p>
        </w:tc>
      </w:tr>
      <w:tr w:rsidR="00A36CBB" w:rsidRPr="0067507D" w14:paraId="23895F53" w14:textId="77777777" w:rsidTr="002477B1">
        <w:trPr>
          <w:cantSplit w:val="0"/>
        </w:trPr>
        <w:tc>
          <w:tcPr>
            <w:cnfStyle w:val="001000000000" w:firstRow="0" w:lastRow="0" w:firstColumn="1" w:lastColumn="0" w:oddVBand="0" w:evenVBand="0" w:oddHBand="0" w:evenHBand="0" w:firstRowFirstColumn="0" w:firstRowLastColumn="0" w:lastRowFirstColumn="0" w:lastRowLastColumn="0"/>
            <w:tcW w:w="0" w:type="dxa"/>
          </w:tcPr>
          <w:p w14:paraId="1D6B0E7C" w14:textId="03255116" w:rsidR="00374A37" w:rsidRPr="0067507D" w:rsidRDefault="00AA47BF">
            <w:pPr>
              <w:pStyle w:val="Tabletext"/>
            </w:pPr>
            <w:r w:rsidRPr="0067507D">
              <w:t>Evaluation of the Arc Partnership Addressing Disadvantage (PAD)</w:t>
            </w:r>
          </w:p>
        </w:tc>
        <w:tc>
          <w:tcPr>
            <w:tcW w:w="0" w:type="dxa"/>
          </w:tcPr>
          <w:p w14:paraId="2F177048" w14:textId="5AC74FCD"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To assess and evaluate the degree to which the Arc PAD has achieved its intended outcomes for participants and Government.</w:t>
            </w:r>
          </w:p>
        </w:tc>
        <w:tc>
          <w:tcPr>
            <w:tcW w:w="0" w:type="dxa"/>
          </w:tcPr>
          <w:p w14:paraId="313B4DB4" w14:textId="37DC8DB6"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Scope of evaluation includes assessing the program operations, extent of outcomes achievement, value for money and broader policy implications of the Arc PAD.</w:t>
            </w:r>
          </w:p>
        </w:tc>
        <w:tc>
          <w:tcPr>
            <w:tcW w:w="0" w:type="dxa"/>
          </w:tcPr>
          <w:p w14:paraId="4B20BA2C" w14:textId="010EBB28"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The evaluation will be used to inform an understanding of program impact and the PAD model.</w:t>
            </w:r>
          </w:p>
        </w:tc>
        <w:tc>
          <w:tcPr>
            <w:tcW w:w="0" w:type="dxa"/>
          </w:tcPr>
          <w:p w14:paraId="41930446" w14:textId="334B55BC"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137 117</w:t>
            </w:r>
          </w:p>
        </w:tc>
        <w:tc>
          <w:tcPr>
            <w:tcW w:w="0" w:type="dxa"/>
          </w:tcPr>
          <w:p w14:paraId="4017C68C" w14:textId="6C24E915"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900 000</w:t>
            </w:r>
          </w:p>
        </w:tc>
        <w:tc>
          <w:tcPr>
            <w:tcW w:w="0" w:type="dxa"/>
          </w:tcPr>
          <w:p w14:paraId="17BC07F1" w14:textId="302F1C17"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pPr>
            <w:r w:rsidRPr="0067507D">
              <w:t>No</w:t>
            </w:r>
          </w:p>
        </w:tc>
      </w:tr>
      <w:tr w:rsidR="00A36CBB" w:rsidRPr="0067507D" w14:paraId="7B5C2F52" w14:textId="77777777" w:rsidTr="002477B1">
        <w:trPr>
          <w:cantSplit w:val="0"/>
        </w:trPr>
        <w:tc>
          <w:tcPr>
            <w:cnfStyle w:val="001000000000" w:firstRow="0" w:lastRow="0" w:firstColumn="1" w:lastColumn="0" w:oddVBand="0" w:evenVBand="0" w:oddHBand="0" w:evenHBand="0" w:firstRowFirstColumn="0" w:firstRowLastColumn="0" w:lastRowFirstColumn="0" w:lastRowLastColumn="0"/>
            <w:tcW w:w="0" w:type="dxa"/>
          </w:tcPr>
          <w:p w14:paraId="681AC486" w14:textId="5EAA50E0" w:rsidR="00374A37" w:rsidRPr="0067507D" w:rsidRDefault="00AA47BF">
            <w:pPr>
              <w:pStyle w:val="Tabletext"/>
            </w:pPr>
            <w:r w:rsidRPr="0067507D">
              <w:t>Evaluation of the Side by Side Partnership Addressing Disadvantage</w:t>
            </w:r>
          </w:p>
        </w:tc>
        <w:tc>
          <w:tcPr>
            <w:tcW w:w="0" w:type="dxa"/>
          </w:tcPr>
          <w:p w14:paraId="65F22C8F" w14:textId="331CB5C8"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To evaluate the Side by Side program.</w:t>
            </w:r>
          </w:p>
        </w:tc>
        <w:tc>
          <w:tcPr>
            <w:tcW w:w="0" w:type="dxa"/>
          </w:tcPr>
          <w:p w14:paraId="16A448A9" w14:textId="6E9DE3DE"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To measure the success of the program in improving attendance and educational attainment for vulnerable and disadvantaged students and to evaluate the effectiveness of the PAD arrangement as a funding model and its effectiveness in supporting program delivery.</w:t>
            </w:r>
          </w:p>
        </w:tc>
        <w:tc>
          <w:tcPr>
            <w:tcW w:w="0" w:type="dxa"/>
          </w:tcPr>
          <w:p w14:paraId="4A36BBBA" w14:textId="723C3BED"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The evaluation will be used to inform an understanding of program impact and the PAD model.</w:t>
            </w:r>
          </w:p>
        </w:tc>
        <w:tc>
          <w:tcPr>
            <w:tcW w:w="0" w:type="dxa"/>
          </w:tcPr>
          <w:p w14:paraId="30CC9B99" w14:textId="5F0EB806"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46 496</w:t>
            </w:r>
          </w:p>
        </w:tc>
        <w:tc>
          <w:tcPr>
            <w:tcW w:w="0" w:type="dxa"/>
          </w:tcPr>
          <w:p w14:paraId="347A0BEF" w14:textId="52B69F83"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702 819</w:t>
            </w:r>
          </w:p>
        </w:tc>
        <w:tc>
          <w:tcPr>
            <w:tcW w:w="0" w:type="dxa"/>
          </w:tcPr>
          <w:p w14:paraId="344FFAFB" w14:textId="28E6D94F"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pPr>
            <w:r w:rsidRPr="0067507D">
              <w:t>No</w:t>
            </w:r>
          </w:p>
        </w:tc>
      </w:tr>
      <w:tr w:rsidR="00A36CBB" w:rsidRPr="0067507D" w14:paraId="7BB88D64" w14:textId="77777777" w:rsidTr="002477B1">
        <w:trPr>
          <w:cantSplit w:val="0"/>
        </w:trPr>
        <w:tc>
          <w:tcPr>
            <w:cnfStyle w:val="001000000000" w:firstRow="0" w:lastRow="0" w:firstColumn="1" w:lastColumn="0" w:oddVBand="0" w:evenVBand="0" w:oddHBand="0" w:evenHBand="0" w:firstRowFirstColumn="0" w:firstRowLastColumn="0" w:lastRowFirstColumn="0" w:lastRowLastColumn="0"/>
            <w:tcW w:w="0" w:type="dxa"/>
          </w:tcPr>
          <w:p w14:paraId="385D3B9A" w14:textId="7F4231C8" w:rsidR="00AA47BF" w:rsidRPr="0067507D" w:rsidRDefault="00AA47BF" w:rsidP="00AA47BF">
            <w:pPr>
              <w:pStyle w:val="Tabletext"/>
            </w:pPr>
            <w:r w:rsidRPr="0067507D">
              <w:lastRenderedPageBreak/>
              <w:t>Firm</w:t>
            </w:r>
            <w:r w:rsidR="006A5485">
              <w:noBreakHyphen/>
            </w:r>
            <w:r w:rsidRPr="0067507D">
              <w:t xml:space="preserve">level analysis of the gender pay gap in Victoria </w:t>
            </w:r>
            <w:r w:rsidR="00C84FB5" w:rsidRPr="0067507D">
              <w:t>b</w:t>
            </w:r>
            <w:r w:rsidRPr="0067507D">
              <w:t xml:space="preserve">y Impact Economics </w:t>
            </w:r>
            <w:r w:rsidR="6068C7C5" w:rsidRPr="0067507D">
              <w:t>and</w:t>
            </w:r>
            <w:r w:rsidR="00A44ED9" w:rsidRPr="0067507D">
              <w:t xml:space="preserve"> </w:t>
            </w:r>
            <w:r w:rsidRPr="0067507D">
              <w:t>Policy Pty Ltd</w:t>
            </w:r>
          </w:p>
          <w:p w14:paraId="1A904937" w14:textId="297476B9" w:rsidR="00374A37" w:rsidRPr="0067507D" w:rsidRDefault="00AA47BF">
            <w:pPr>
              <w:pStyle w:val="Tabletext"/>
              <w:rPr>
                <w:highlight w:val="yellow"/>
              </w:rPr>
            </w:pPr>
            <w:r w:rsidRPr="0067507D">
              <w:t>(Industrial Relations Victoria)</w:t>
            </w:r>
          </w:p>
        </w:tc>
        <w:tc>
          <w:tcPr>
            <w:tcW w:w="0" w:type="dxa"/>
          </w:tcPr>
          <w:p w14:paraId="2C55702A" w14:textId="08153AB5"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To undertake primary research on firm behaviour and gather insights from academic literature to inform policymaking and advocacy on matters relating to gender pay equity.</w:t>
            </w:r>
          </w:p>
        </w:tc>
        <w:tc>
          <w:tcPr>
            <w:tcW w:w="0" w:type="dxa"/>
          </w:tcPr>
          <w:p w14:paraId="64BCC30A" w14:textId="500A6DFF"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Investigate how business decision making responds to cultural norms and impacts firm level progress on pay equity and gender equality.</w:t>
            </w:r>
          </w:p>
        </w:tc>
        <w:tc>
          <w:tcPr>
            <w:tcW w:w="0" w:type="dxa"/>
          </w:tcPr>
          <w:p w14:paraId="091C6C3A" w14:textId="44AEC641"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More informed policy making and advocacy on matters relating to gender pay equity.</w:t>
            </w:r>
          </w:p>
        </w:tc>
        <w:tc>
          <w:tcPr>
            <w:tcW w:w="0" w:type="dxa"/>
          </w:tcPr>
          <w:p w14:paraId="2270972F" w14:textId="43123C8E"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207 800</w:t>
            </w:r>
          </w:p>
        </w:tc>
        <w:tc>
          <w:tcPr>
            <w:tcW w:w="0" w:type="dxa"/>
          </w:tcPr>
          <w:p w14:paraId="5464B3B1" w14:textId="2DA9F6DE"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273 700</w:t>
            </w:r>
          </w:p>
        </w:tc>
        <w:tc>
          <w:tcPr>
            <w:tcW w:w="0" w:type="dxa"/>
          </w:tcPr>
          <w:p w14:paraId="4D619F13" w14:textId="43F213B3" w:rsidR="00AA47BF" w:rsidRPr="0067507D" w:rsidRDefault="00AA47BF" w:rsidP="00AA47BF">
            <w:pPr>
              <w:pStyle w:val="Tabletext"/>
              <w:jc w:val="left"/>
              <w:cnfStyle w:val="000000000000" w:firstRow="0" w:lastRow="0" w:firstColumn="0" w:lastColumn="0" w:oddVBand="0" w:evenVBand="0" w:oddHBand="0" w:evenHBand="0" w:firstRowFirstColumn="0" w:firstRowLastColumn="0" w:lastRowFirstColumn="0" w:lastRowLastColumn="0"/>
            </w:pPr>
            <w:r w:rsidRPr="0067507D">
              <w:t>Yes</w:t>
            </w:r>
          </w:p>
          <w:p w14:paraId="77972021" w14:textId="1C901976" w:rsidR="00374A37" w:rsidRPr="0067507D" w:rsidRDefault="00FD58E6">
            <w:pPr>
              <w:pStyle w:val="Tabletext"/>
              <w:jc w:val="left"/>
              <w:cnfStyle w:val="000000000000" w:firstRow="0" w:lastRow="0" w:firstColumn="0" w:lastColumn="0" w:oddVBand="0" w:evenVBand="0" w:oddHBand="0" w:evenHBand="0" w:firstRowFirstColumn="0" w:firstRowLastColumn="0" w:lastRowFirstColumn="0" w:lastRowLastColumn="0"/>
            </w:pPr>
            <w:hyperlink r:id="rId221" w:anchor="motivating-action-closing-the-gender-pay-gap-in-victorian-businesses-2024" w:history="1">
              <w:r w:rsidRPr="0067507D">
                <w:rPr>
                  <w:rStyle w:val="Hyperlink"/>
                </w:rPr>
                <w:t>https://www.vic.gov.au/equal</w:t>
              </w:r>
              <w:r w:rsidR="006A5485">
                <w:rPr>
                  <w:rStyle w:val="Hyperlink"/>
                </w:rPr>
                <w:noBreakHyphen/>
              </w:r>
              <w:r w:rsidRPr="0067507D">
                <w:rPr>
                  <w:rStyle w:val="Hyperlink"/>
                </w:rPr>
                <w:t>workplaces</w:t>
              </w:r>
              <w:r w:rsidR="006A5485">
                <w:rPr>
                  <w:rStyle w:val="Hyperlink"/>
                </w:rPr>
                <w:noBreakHyphen/>
              </w:r>
              <w:r w:rsidRPr="0067507D">
                <w:rPr>
                  <w:rStyle w:val="Hyperlink"/>
                </w:rPr>
                <w:t>advisory</w:t>
              </w:r>
              <w:r w:rsidR="006A5485">
                <w:rPr>
                  <w:rStyle w:val="Hyperlink"/>
                </w:rPr>
                <w:noBreakHyphen/>
              </w:r>
              <w:r w:rsidRPr="0067507D">
                <w:rPr>
                  <w:rStyle w:val="Hyperlink"/>
                </w:rPr>
                <w:t>council#motivating</w:t>
              </w:r>
              <w:r w:rsidR="006A5485">
                <w:rPr>
                  <w:rStyle w:val="Hyperlink"/>
                </w:rPr>
                <w:noBreakHyphen/>
              </w:r>
              <w:r w:rsidRPr="0067507D">
                <w:rPr>
                  <w:rStyle w:val="Hyperlink"/>
                </w:rPr>
                <w:t>action</w:t>
              </w:r>
              <w:r w:rsidR="006A5485">
                <w:rPr>
                  <w:rStyle w:val="Hyperlink"/>
                </w:rPr>
                <w:noBreakHyphen/>
              </w:r>
              <w:r w:rsidRPr="0067507D">
                <w:rPr>
                  <w:rStyle w:val="Hyperlink"/>
                </w:rPr>
                <w:t>closing</w:t>
              </w:r>
              <w:r w:rsidR="006A5485">
                <w:rPr>
                  <w:rStyle w:val="Hyperlink"/>
                </w:rPr>
                <w:noBreakHyphen/>
              </w:r>
              <w:r w:rsidRPr="0067507D">
                <w:rPr>
                  <w:rStyle w:val="Hyperlink"/>
                </w:rPr>
                <w:t>the</w:t>
              </w:r>
              <w:r w:rsidR="006A5485">
                <w:rPr>
                  <w:rStyle w:val="Hyperlink"/>
                </w:rPr>
                <w:noBreakHyphen/>
              </w:r>
              <w:r w:rsidRPr="0067507D">
                <w:rPr>
                  <w:rStyle w:val="Hyperlink"/>
                </w:rPr>
                <w:t>gender</w:t>
              </w:r>
              <w:r w:rsidR="006A5485">
                <w:rPr>
                  <w:rStyle w:val="Hyperlink"/>
                </w:rPr>
                <w:noBreakHyphen/>
              </w:r>
              <w:r w:rsidRPr="0067507D">
                <w:rPr>
                  <w:rStyle w:val="Hyperlink"/>
                </w:rPr>
                <w:t>pay</w:t>
              </w:r>
              <w:r w:rsidR="006A5485">
                <w:rPr>
                  <w:rStyle w:val="Hyperlink"/>
                </w:rPr>
                <w:noBreakHyphen/>
              </w:r>
              <w:r w:rsidRPr="0067507D">
                <w:rPr>
                  <w:rStyle w:val="Hyperlink"/>
                </w:rPr>
                <w:t>gap</w:t>
              </w:r>
              <w:r w:rsidR="006A5485">
                <w:rPr>
                  <w:rStyle w:val="Hyperlink"/>
                </w:rPr>
                <w:noBreakHyphen/>
              </w:r>
              <w:r w:rsidRPr="0067507D">
                <w:rPr>
                  <w:rStyle w:val="Hyperlink"/>
                </w:rPr>
                <w:t>in</w:t>
              </w:r>
              <w:r w:rsidR="006A5485">
                <w:rPr>
                  <w:rStyle w:val="Hyperlink"/>
                </w:rPr>
                <w:noBreakHyphen/>
              </w:r>
              <w:r w:rsidRPr="0067507D">
                <w:rPr>
                  <w:rStyle w:val="Hyperlink"/>
                </w:rPr>
                <w:t>victorian</w:t>
              </w:r>
              <w:r w:rsidR="006A5485">
                <w:rPr>
                  <w:rStyle w:val="Hyperlink"/>
                </w:rPr>
                <w:noBreakHyphen/>
              </w:r>
              <w:r w:rsidRPr="0067507D">
                <w:rPr>
                  <w:rStyle w:val="Hyperlink"/>
                </w:rPr>
                <w:t>businesses</w:t>
              </w:r>
              <w:r w:rsidR="006A5485">
                <w:rPr>
                  <w:rStyle w:val="Hyperlink"/>
                </w:rPr>
                <w:noBreakHyphen/>
              </w:r>
              <w:r w:rsidRPr="0067507D">
                <w:rPr>
                  <w:rStyle w:val="Hyperlink"/>
                </w:rPr>
                <w:t>2024</w:t>
              </w:r>
            </w:hyperlink>
            <w:r w:rsidRPr="0067507D">
              <w:t xml:space="preserve"> </w:t>
            </w:r>
          </w:p>
        </w:tc>
      </w:tr>
      <w:tr w:rsidR="00AE55C7" w:rsidRPr="0067507D" w14:paraId="46094929" w14:textId="77777777" w:rsidTr="002477B1">
        <w:tc>
          <w:tcPr>
            <w:cnfStyle w:val="001000000000" w:firstRow="0" w:lastRow="0" w:firstColumn="1" w:lastColumn="0" w:oddVBand="0" w:evenVBand="0" w:oddHBand="0" w:evenHBand="0" w:firstRowFirstColumn="0" w:firstRowLastColumn="0" w:lastRowFirstColumn="0" w:lastRowLastColumn="0"/>
            <w:tcW w:w="0" w:type="dxa"/>
          </w:tcPr>
          <w:p w14:paraId="72153BD2" w14:textId="24A5FE9C" w:rsidR="00374A37" w:rsidRPr="0067507D" w:rsidRDefault="00AA47BF">
            <w:pPr>
              <w:pStyle w:val="Tabletext"/>
            </w:pPr>
            <w:r w:rsidRPr="0067507D">
              <w:t>First Peoples and Regulatory Practice: Looking Backward and Building Forward</w:t>
            </w:r>
          </w:p>
        </w:tc>
        <w:tc>
          <w:tcPr>
            <w:tcW w:w="0" w:type="dxa"/>
          </w:tcPr>
          <w:p w14:paraId="58969B6A" w14:textId="743CD7D5"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Aimed at helping Better Regulation Victoria understand the issues in regulatory practice which impact Aboriginal Victorians.</w:t>
            </w:r>
          </w:p>
        </w:tc>
        <w:tc>
          <w:tcPr>
            <w:tcW w:w="0" w:type="dxa"/>
          </w:tcPr>
          <w:p w14:paraId="5CABA27A" w14:textId="3B889099"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Recent regulatory practice issues which impact First Nations peoples in Victoria.</w:t>
            </w:r>
          </w:p>
        </w:tc>
        <w:tc>
          <w:tcPr>
            <w:tcW w:w="0" w:type="dxa"/>
          </w:tcPr>
          <w:p w14:paraId="3F851257" w14:textId="4C880984"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To improve regulatory practice in Victoria, reducing costs and disputes and leading to more efficient and effective regulation.</w:t>
            </w:r>
          </w:p>
        </w:tc>
        <w:tc>
          <w:tcPr>
            <w:tcW w:w="0" w:type="dxa"/>
          </w:tcPr>
          <w:p w14:paraId="6F1D5C49" w14:textId="6C706FF9"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30 000</w:t>
            </w:r>
          </w:p>
        </w:tc>
        <w:tc>
          <w:tcPr>
            <w:tcW w:w="0" w:type="dxa"/>
          </w:tcPr>
          <w:p w14:paraId="546A3DB3" w14:textId="30848EAE"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30 000</w:t>
            </w:r>
          </w:p>
        </w:tc>
        <w:tc>
          <w:tcPr>
            <w:tcW w:w="0" w:type="dxa"/>
          </w:tcPr>
          <w:p w14:paraId="18F69044" w14:textId="1F0DE619"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pPr>
            <w:r w:rsidRPr="0067507D">
              <w:t>No</w:t>
            </w:r>
          </w:p>
        </w:tc>
      </w:tr>
      <w:tr w:rsidR="00AE55C7" w:rsidRPr="0067507D" w14:paraId="7042306B" w14:textId="77777777" w:rsidTr="002477B1">
        <w:tc>
          <w:tcPr>
            <w:cnfStyle w:val="001000000000" w:firstRow="0" w:lastRow="0" w:firstColumn="1" w:lastColumn="0" w:oddVBand="0" w:evenVBand="0" w:oddHBand="0" w:evenHBand="0" w:firstRowFirstColumn="0" w:firstRowLastColumn="0" w:lastRowFirstColumn="0" w:lastRowLastColumn="0"/>
            <w:tcW w:w="0" w:type="dxa"/>
          </w:tcPr>
          <w:p w14:paraId="43ADE5F8" w14:textId="77D3F771" w:rsidR="00D1522E" w:rsidRPr="0067507D" w:rsidRDefault="00AA47BF">
            <w:pPr>
              <w:pStyle w:val="Tabletext"/>
            </w:pPr>
            <w:r w:rsidRPr="0067507D">
              <w:t>Independent evaluation for the COMPASS Social Impact Bond (COMPASS) Partnerships Addressing Disadvantage</w:t>
            </w:r>
          </w:p>
        </w:tc>
        <w:tc>
          <w:tcPr>
            <w:tcW w:w="0" w:type="dxa"/>
          </w:tcPr>
          <w:p w14:paraId="015C4366" w14:textId="59C95243" w:rsidR="00D1522E" w:rsidRPr="0067507D" w:rsidRDefault="00AA47BF"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To undertake independent evaluation of the COMPASS Partnerships Addressing Disadvantage and provide broader policy learnings.</w:t>
            </w:r>
          </w:p>
        </w:tc>
        <w:tc>
          <w:tcPr>
            <w:tcW w:w="0" w:type="dxa"/>
          </w:tcPr>
          <w:p w14:paraId="4B924D89" w14:textId="530D86AE" w:rsidR="00D1522E" w:rsidRPr="0067507D" w:rsidRDefault="00AA47BF" w:rsidP="00D1522E">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Urbis to prepare a series of evaluation reports.</w:t>
            </w:r>
          </w:p>
        </w:tc>
        <w:tc>
          <w:tcPr>
            <w:tcW w:w="0" w:type="dxa"/>
          </w:tcPr>
          <w:p w14:paraId="46B5646D" w14:textId="2AA9406A" w:rsidR="00D1522E" w:rsidRPr="0067507D" w:rsidRDefault="00AA47BF" w:rsidP="00B63B57">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Better program implementation and more robust evidence space for broader government policies.</w:t>
            </w:r>
          </w:p>
        </w:tc>
        <w:tc>
          <w:tcPr>
            <w:tcW w:w="0" w:type="dxa"/>
          </w:tcPr>
          <w:p w14:paraId="37DA7EDE" w14:textId="6862805A" w:rsidR="00D1522E"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41 159</w:t>
            </w:r>
          </w:p>
        </w:tc>
        <w:tc>
          <w:tcPr>
            <w:tcW w:w="0" w:type="dxa"/>
          </w:tcPr>
          <w:p w14:paraId="5441D93F" w14:textId="25E2E00D" w:rsidR="00D1522E"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509 091</w:t>
            </w:r>
          </w:p>
        </w:tc>
        <w:tc>
          <w:tcPr>
            <w:tcW w:w="0" w:type="dxa"/>
          </w:tcPr>
          <w:p w14:paraId="3734DBD9" w14:textId="6CE6CC38" w:rsidR="001609FE" w:rsidRPr="0067507D" w:rsidRDefault="00735D55" w:rsidP="001609FE">
            <w:pPr>
              <w:pStyle w:val="Tabletext"/>
              <w:jc w:val="left"/>
              <w:cnfStyle w:val="000000000000" w:firstRow="0" w:lastRow="0" w:firstColumn="0" w:lastColumn="0" w:oddVBand="0" w:evenVBand="0" w:oddHBand="0" w:evenHBand="0" w:firstRowFirstColumn="0" w:firstRowLastColumn="0" w:lastRowFirstColumn="0" w:lastRowLastColumn="0"/>
            </w:pPr>
            <w:r w:rsidRPr="0067507D">
              <w:t>No</w:t>
            </w:r>
            <w:r w:rsidR="001609FE" w:rsidRPr="0067507D">
              <w:t xml:space="preserve"> </w:t>
            </w:r>
          </w:p>
          <w:p w14:paraId="7D38347A" w14:textId="51D108E7" w:rsidR="00D1522E" w:rsidRPr="0067507D" w:rsidRDefault="00940204"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URL not currently available but</w:t>
            </w:r>
            <w:r w:rsidR="001609FE" w:rsidRPr="0067507D">
              <w:t xml:space="preserve"> intent is to make some of the research public in future.</w:t>
            </w:r>
          </w:p>
        </w:tc>
      </w:tr>
      <w:tr w:rsidR="00A36CBB" w:rsidRPr="0067507D" w14:paraId="61DAFFA7" w14:textId="77777777" w:rsidTr="002477B1">
        <w:trPr>
          <w:cantSplit w:val="0"/>
        </w:trPr>
        <w:tc>
          <w:tcPr>
            <w:cnfStyle w:val="001000000000" w:firstRow="0" w:lastRow="0" w:firstColumn="1" w:lastColumn="0" w:oddVBand="0" w:evenVBand="0" w:oddHBand="0" w:evenHBand="0" w:firstRowFirstColumn="0" w:firstRowLastColumn="0" w:lastRowFirstColumn="0" w:lastRowLastColumn="0"/>
            <w:tcW w:w="0" w:type="dxa"/>
          </w:tcPr>
          <w:p w14:paraId="155618A9" w14:textId="77777777" w:rsidR="00AA47BF" w:rsidRPr="0067507D" w:rsidRDefault="00AA47BF" w:rsidP="00AA47BF">
            <w:pPr>
              <w:pStyle w:val="Tabletext"/>
            </w:pPr>
            <w:r w:rsidRPr="0067507D">
              <w:t>Independent Review of Employee Representatives</w:t>
            </w:r>
          </w:p>
          <w:p w14:paraId="6D48762B" w14:textId="3CD9E9E4" w:rsidR="00374A37" w:rsidRPr="0067507D" w:rsidRDefault="00AA47BF">
            <w:pPr>
              <w:pStyle w:val="Tabletext"/>
              <w:rPr>
                <w:highlight w:val="yellow"/>
              </w:rPr>
            </w:pPr>
            <w:r w:rsidRPr="0067507D">
              <w:t xml:space="preserve">(WorkSafe </w:t>
            </w:r>
            <w:r w:rsidR="007B71F4" w:rsidRPr="0067507D">
              <w:t xml:space="preserve">and </w:t>
            </w:r>
            <w:r w:rsidRPr="0067507D">
              <w:t>TAC, DTF)</w:t>
            </w:r>
          </w:p>
        </w:tc>
        <w:tc>
          <w:tcPr>
            <w:tcW w:w="0" w:type="dxa"/>
          </w:tcPr>
          <w:p w14:paraId="0FEA4C61" w14:textId="627048DA"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Government approved independent review.</w:t>
            </w:r>
          </w:p>
        </w:tc>
        <w:tc>
          <w:tcPr>
            <w:tcW w:w="0" w:type="dxa"/>
          </w:tcPr>
          <w:p w14:paraId="2A80E95A" w14:textId="4C979CD8" w:rsidR="00374A37" w:rsidRPr="0067507D" w:rsidRDefault="007A02A0">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Independent reviewer to deliver </w:t>
            </w:r>
            <w:r w:rsidR="00AA47BF" w:rsidRPr="0067507D">
              <w:t>review investigat</w:t>
            </w:r>
            <w:r w:rsidR="00674773" w:rsidRPr="0067507D">
              <w:t>ing</w:t>
            </w:r>
            <w:r w:rsidR="00AA47BF" w:rsidRPr="0067507D">
              <w:t xml:space="preserve"> whether the powers, functions and support for Authorised Representatives of Registered Employee Organisations and Health and Safety Representatives remain fit for purpose.</w:t>
            </w:r>
          </w:p>
        </w:tc>
        <w:tc>
          <w:tcPr>
            <w:tcW w:w="0" w:type="dxa"/>
          </w:tcPr>
          <w:p w14:paraId="2E84D971" w14:textId="42026531"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Ensure arrangements for employee representation in occupational health and safety are fit for purpose and contemporary.</w:t>
            </w:r>
          </w:p>
        </w:tc>
        <w:tc>
          <w:tcPr>
            <w:tcW w:w="0" w:type="dxa"/>
          </w:tcPr>
          <w:p w14:paraId="3996A349" w14:textId="6F68F204"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26</w:t>
            </w:r>
            <w:r w:rsidR="00880978" w:rsidRPr="0067507D">
              <w:t xml:space="preserve"> </w:t>
            </w:r>
            <w:r w:rsidRPr="0067507D">
              <w:t>00</w:t>
            </w:r>
            <w:r w:rsidR="00880978" w:rsidRPr="0067507D">
              <w:t>0</w:t>
            </w:r>
          </w:p>
        </w:tc>
        <w:tc>
          <w:tcPr>
            <w:tcW w:w="0" w:type="dxa"/>
          </w:tcPr>
          <w:p w14:paraId="6302FC30" w14:textId="281984B5" w:rsidR="00374A37" w:rsidRPr="0067507D" w:rsidRDefault="00880978">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455 0</w:t>
            </w:r>
            <w:r w:rsidR="00AA47BF" w:rsidRPr="0067507D">
              <w:t>00</w:t>
            </w:r>
          </w:p>
        </w:tc>
        <w:tc>
          <w:tcPr>
            <w:tcW w:w="0" w:type="dxa"/>
          </w:tcPr>
          <w:p w14:paraId="73FF88A3" w14:textId="25A1AC26" w:rsidR="00374A37" w:rsidRPr="0067507D" w:rsidRDefault="00880978">
            <w:pPr>
              <w:pStyle w:val="Tabletext"/>
              <w:jc w:val="left"/>
              <w:cnfStyle w:val="000000000000" w:firstRow="0" w:lastRow="0" w:firstColumn="0" w:lastColumn="0" w:oddVBand="0" w:evenVBand="0" w:oddHBand="0" w:evenHBand="0" w:firstRowFirstColumn="0" w:firstRowLastColumn="0" w:lastRowFirstColumn="0" w:lastRowLastColumn="0"/>
            </w:pPr>
            <w:r w:rsidRPr="0067507D">
              <w:t>Yes</w:t>
            </w:r>
          </w:p>
          <w:p w14:paraId="0491A105" w14:textId="618C25BE" w:rsidR="00374A37" w:rsidRPr="0067507D" w:rsidRDefault="00F52E0B">
            <w:pPr>
              <w:pStyle w:val="Tabletext"/>
              <w:jc w:val="left"/>
              <w:cnfStyle w:val="000000000000" w:firstRow="0" w:lastRow="0" w:firstColumn="0" w:lastColumn="0" w:oddVBand="0" w:evenVBand="0" w:oddHBand="0" w:evenHBand="0" w:firstRowFirstColumn="0" w:firstRowLastColumn="0" w:lastRowFirstColumn="0" w:lastRowLastColumn="0"/>
            </w:pPr>
            <w:hyperlink r:id="rId222" w:history="1">
              <w:r w:rsidRPr="00FB4B4C">
                <w:rPr>
                  <w:rStyle w:val="Hyperlink"/>
                </w:rPr>
                <w:t>https://www.vic.gov.au/independent</w:t>
              </w:r>
              <w:r w:rsidRPr="00FB4B4C">
                <w:rPr>
                  <w:rStyle w:val="Hyperlink"/>
                </w:rPr>
                <w:noBreakHyphen/>
                <w:t>review</w:t>
              </w:r>
              <w:r w:rsidRPr="00FB4B4C">
                <w:rPr>
                  <w:rStyle w:val="Hyperlink"/>
                </w:rPr>
                <w:noBreakHyphen/>
                <w:t>employee</w:t>
              </w:r>
              <w:r w:rsidRPr="00FB4B4C">
                <w:rPr>
                  <w:rStyle w:val="Hyperlink"/>
                </w:rPr>
                <w:noBreakHyphen/>
                <w:t>representatives</w:t>
              </w:r>
            </w:hyperlink>
            <w:r>
              <w:t xml:space="preserve"> </w:t>
            </w:r>
          </w:p>
        </w:tc>
      </w:tr>
      <w:tr w:rsidR="00A36CBB" w:rsidRPr="0067507D" w14:paraId="742AAE66" w14:textId="77777777" w:rsidTr="002477B1">
        <w:trPr>
          <w:cantSplit w:val="0"/>
        </w:trPr>
        <w:tc>
          <w:tcPr>
            <w:cnfStyle w:val="001000000000" w:firstRow="0" w:lastRow="0" w:firstColumn="1" w:lastColumn="0" w:oddVBand="0" w:evenVBand="0" w:oddHBand="0" w:evenHBand="0" w:firstRowFirstColumn="0" w:firstRowLastColumn="0" w:lastRowFirstColumn="0" w:lastRowLastColumn="0"/>
            <w:tcW w:w="0" w:type="dxa"/>
          </w:tcPr>
          <w:p w14:paraId="298E8468" w14:textId="32449E1F" w:rsidR="00374A37" w:rsidRPr="0067507D" w:rsidRDefault="00AA47BF">
            <w:pPr>
              <w:pStyle w:val="Tabletext"/>
            </w:pPr>
            <w:r w:rsidRPr="0067507D">
              <w:t>Independent review of the modernisation of the WorkCover Scheme</w:t>
            </w:r>
          </w:p>
        </w:tc>
        <w:tc>
          <w:tcPr>
            <w:tcW w:w="0" w:type="dxa"/>
          </w:tcPr>
          <w:p w14:paraId="5B7A6258" w14:textId="22EF0AF7"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To obtain independent advice on recent reforms.</w:t>
            </w:r>
          </w:p>
        </w:tc>
        <w:tc>
          <w:tcPr>
            <w:tcW w:w="0" w:type="dxa"/>
          </w:tcPr>
          <w:p w14:paraId="011BBEA3" w14:textId="6DDFBC11"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Examine the WorkCover Scheme’s recent financial challenges and the expected efficacy of recent reforms.</w:t>
            </w:r>
          </w:p>
        </w:tc>
        <w:tc>
          <w:tcPr>
            <w:tcW w:w="0" w:type="dxa"/>
          </w:tcPr>
          <w:p w14:paraId="206D1F93" w14:textId="19BED758" w:rsidR="00374A37" w:rsidRPr="0067507D" w:rsidRDefault="001B74E4">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Advice on</w:t>
            </w:r>
            <w:r w:rsidR="00AA47BF" w:rsidRPr="0067507D">
              <w:t xml:space="preserve"> the </w:t>
            </w:r>
            <w:r w:rsidR="00147857" w:rsidRPr="0067507D">
              <w:t xml:space="preserve">need for and efficacy of the </w:t>
            </w:r>
            <w:r w:rsidR="00AA47BF" w:rsidRPr="0067507D">
              <w:t>Workplace Injury Rehabilitation and Compensation Amendment (WorkCover Scheme Modernisation) Act 2024.</w:t>
            </w:r>
          </w:p>
        </w:tc>
        <w:tc>
          <w:tcPr>
            <w:tcW w:w="0" w:type="dxa"/>
          </w:tcPr>
          <w:p w14:paraId="15611243" w14:textId="2CFD3E07"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245 000</w:t>
            </w:r>
          </w:p>
        </w:tc>
        <w:tc>
          <w:tcPr>
            <w:tcW w:w="0" w:type="dxa"/>
          </w:tcPr>
          <w:p w14:paraId="48065ABC" w14:textId="0A416B7D"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245 000</w:t>
            </w:r>
          </w:p>
        </w:tc>
        <w:tc>
          <w:tcPr>
            <w:tcW w:w="0" w:type="dxa"/>
          </w:tcPr>
          <w:p w14:paraId="50995379" w14:textId="54E9F3E3" w:rsidR="00AA47BF" w:rsidRPr="0067507D" w:rsidRDefault="00AA47BF" w:rsidP="00AA47BF">
            <w:pPr>
              <w:pStyle w:val="Tabletext"/>
              <w:jc w:val="left"/>
              <w:cnfStyle w:val="000000000000" w:firstRow="0" w:lastRow="0" w:firstColumn="0" w:lastColumn="0" w:oddVBand="0" w:evenVBand="0" w:oddHBand="0" w:evenHBand="0" w:firstRowFirstColumn="0" w:firstRowLastColumn="0" w:lastRowFirstColumn="0" w:lastRowLastColumn="0"/>
            </w:pPr>
            <w:r w:rsidRPr="0067507D">
              <w:t>Yes</w:t>
            </w:r>
          </w:p>
          <w:p w14:paraId="36D3BDF2" w14:textId="4964A1A5" w:rsidR="00374A37" w:rsidRPr="0067507D" w:rsidRDefault="00FD58E6">
            <w:pPr>
              <w:pStyle w:val="Tabletext"/>
              <w:jc w:val="left"/>
              <w:cnfStyle w:val="000000000000" w:firstRow="0" w:lastRow="0" w:firstColumn="0" w:lastColumn="0" w:oddVBand="0" w:evenVBand="0" w:oddHBand="0" w:evenHBand="0" w:firstRowFirstColumn="0" w:firstRowLastColumn="0" w:lastRowFirstColumn="0" w:lastRowLastColumn="0"/>
              <w:rPr>
                <w:szCs w:val="15"/>
              </w:rPr>
            </w:pPr>
            <w:hyperlink r:id="rId223" w:history="1">
              <w:r w:rsidRPr="0067507D">
                <w:rPr>
                  <w:rStyle w:val="Hyperlink"/>
                </w:rPr>
                <w:t>https://www.parliament.vic.gov.au/parliamentary</w:t>
              </w:r>
              <w:r w:rsidR="006A5485">
                <w:rPr>
                  <w:rStyle w:val="Hyperlink"/>
                </w:rPr>
                <w:noBreakHyphen/>
              </w:r>
              <w:r w:rsidRPr="0067507D">
                <w:rPr>
                  <w:rStyle w:val="Hyperlink"/>
                </w:rPr>
                <w:t>activity/tabled</w:t>
              </w:r>
              <w:r w:rsidR="006A5485">
                <w:rPr>
                  <w:rStyle w:val="Hyperlink"/>
                </w:rPr>
                <w:noBreakHyphen/>
              </w:r>
              <w:r w:rsidRPr="0067507D">
                <w:rPr>
                  <w:rStyle w:val="Hyperlink"/>
                </w:rPr>
                <w:t>documents</w:t>
              </w:r>
              <w:r w:rsidR="006A5485">
                <w:rPr>
                  <w:rStyle w:val="Hyperlink"/>
                </w:rPr>
                <w:noBreakHyphen/>
              </w:r>
              <w:r w:rsidRPr="0067507D">
                <w:rPr>
                  <w:rStyle w:val="Hyperlink"/>
                </w:rPr>
                <w:t>database/tabled</w:t>
              </w:r>
              <w:r w:rsidR="006A5485">
                <w:rPr>
                  <w:rStyle w:val="Hyperlink"/>
                </w:rPr>
                <w:noBreakHyphen/>
              </w:r>
              <w:r w:rsidRPr="0067507D">
                <w:rPr>
                  <w:rStyle w:val="Hyperlink"/>
                </w:rPr>
                <w:t>document</w:t>
              </w:r>
              <w:r w:rsidR="006A5485">
                <w:rPr>
                  <w:rStyle w:val="Hyperlink"/>
                </w:rPr>
                <w:noBreakHyphen/>
              </w:r>
              <w:r w:rsidRPr="0067507D">
                <w:rPr>
                  <w:rStyle w:val="Hyperlink"/>
                </w:rPr>
                <w:t>details/</w:t>
              </w:r>
              <w:r w:rsidRPr="0067507D">
                <w:rPr>
                  <w:rStyle w:val="Hyperlink"/>
                  <w:szCs w:val="15"/>
                </w:rPr>
                <w:t>9151</w:t>
              </w:r>
            </w:hyperlink>
            <w:r w:rsidRPr="0067507D">
              <w:rPr>
                <w:szCs w:val="15"/>
              </w:rPr>
              <w:t xml:space="preserve"> </w:t>
            </w:r>
          </w:p>
        </w:tc>
      </w:tr>
      <w:tr w:rsidR="00D6054A" w:rsidRPr="0067507D" w14:paraId="2F364EEB" w14:textId="77777777" w:rsidTr="00DD2403">
        <w:trPr>
          <w:cantSplit w:val="0"/>
        </w:trPr>
        <w:tc>
          <w:tcPr>
            <w:cnfStyle w:val="001000000000" w:firstRow="0" w:lastRow="0" w:firstColumn="1" w:lastColumn="0" w:oddVBand="0" w:evenVBand="0" w:oddHBand="0" w:evenHBand="0" w:firstRowFirstColumn="0" w:firstRowLastColumn="0" w:lastRowFirstColumn="0" w:lastRowLastColumn="0"/>
            <w:tcW w:w="1620" w:type="dxa"/>
          </w:tcPr>
          <w:p w14:paraId="4DF6EB01" w14:textId="5E8CB982" w:rsidR="00D6054A" w:rsidRPr="0067507D" w:rsidRDefault="00D6054A" w:rsidP="00D6054A">
            <w:pPr>
              <w:pStyle w:val="Tabletext"/>
            </w:pPr>
            <w:r w:rsidRPr="0067507D">
              <w:t>Victorian Government Risk Management Framework</w:t>
            </w:r>
          </w:p>
        </w:tc>
        <w:tc>
          <w:tcPr>
            <w:tcW w:w="1620" w:type="dxa"/>
          </w:tcPr>
          <w:p w14:paraId="14A25C95" w14:textId="2F587E4F" w:rsidR="00D6054A" w:rsidRPr="0067507D" w:rsidRDefault="00D6054A"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To benchmark best practice risk management frameworks.</w:t>
            </w:r>
          </w:p>
        </w:tc>
        <w:tc>
          <w:tcPr>
            <w:tcW w:w="1710" w:type="dxa"/>
          </w:tcPr>
          <w:p w14:paraId="33C68417" w14:textId="33B61069" w:rsidR="00D6054A" w:rsidRPr="0067507D" w:rsidRDefault="00D8568A"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P</w:t>
            </w:r>
            <w:r w:rsidR="00D6054A" w:rsidRPr="0067507D">
              <w:t>rovide expert advice on risk management at a whole of government level.</w:t>
            </w:r>
          </w:p>
        </w:tc>
        <w:tc>
          <w:tcPr>
            <w:tcW w:w="1530" w:type="dxa"/>
          </w:tcPr>
          <w:p w14:paraId="61C63687" w14:textId="208F3FBF" w:rsidR="00D6054A" w:rsidRPr="0067507D" w:rsidRDefault="00D6054A"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To improve current whole of government risk management policies.</w:t>
            </w:r>
          </w:p>
        </w:tc>
        <w:tc>
          <w:tcPr>
            <w:tcW w:w="990" w:type="dxa"/>
          </w:tcPr>
          <w:p w14:paraId="0C26C086" w14:textId="3D14344A" w:rsidR="00D6054A" w:rsidRPr="0067507D" w:rsidRDefault="00D6054A" w:rsidP="00D6054A">
            <w:pPr>
              <w:pStyle w:val="Tabletext"/>
              <w:cnfStyle w:val="000000000000" w:firstRow="0" w:lastRow="0" w:firstColumn="0" w:lastColumn="0" w:oddVBand="0" w:evenVBand="0" w:oddHBand="0" w:evenHBand="0" w:firstRowFirstColumn="0" w:firstRowLastColumn="0" w:lastRowFirstColumn="0" w:lastRowLastColumn="0"/>
            </w:pPr>
            <w:r w:rsidRPr="0067507D">
              <w:t>30 500</w:t>
            </w:r>
          </w:p>
        </w:tc>
        <w:tc>
          <w:tcPr>
            <w:tcW w:w="990" w:type="dxa"/>
          </w:tcPr>
          <w:p w14:paraId="45B4823C" w14:textId="5EAE45A4" w:rsidR="00D6054A" w:rsidRPr="0067507D" w:rsidRDefault="00D6054A" w:rsidP="00D6054A">
            <w:pPr>
              <w:pStyle w:val="Tabletext"/>
              <w:cnfStyle w:val="000000000000" w:firstRow="0" w:lastRow="0" w:firstColumn="0" w:lastColumn="0" w:oddVBand="0" w:evenVBand="0" w:oddHBand="0" w:evenHBand="0" w:firstRowFirstColumn="0" w:firstRowLastColumn="0" w:lastRowFirstColumn="0" w:lastRowLastColumn="0"/>
            </w:pPr>
            <w:r w:rsidRPr="0067507D">
              <w:t>119 000</w:t>
            </w:r>
          </w:p>
        </w:tc>
        <w:tc>
          <w:tcPr>
            <w:tcW w:w="1530" w:type="dxa"/>
          </w:tcPr>
          <w:p w14:paraId="38F5226C" w14:textId="150204DF" w:rsidR="00D6054A" w:rsidRPr="0067507D" w:rsidRDefault="001114F5"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No</w:t>
            </w:r>
          </w:p>
        </w:tc>
      </w:tr>
      <w:tr w:rsidR="00A311A7" w:rsidRPr="0067507D" w14:paraId="14F654C7" w14:textId="77777777" w:rsidTr="006B7AB7">
        <w:trPr>
          <w:cantSplit w:val="0"/>
        </w:trPr>
        <w:tc>
          <w:tcPr>
            <w:cnfStyle w:val="001000000000" w:firstRow="0" w:lastRow="0" w:firstColumn="1" w:lastColumn="0" w:oddVBand="0" w:evenVBand="0" w:oddHBand="0" w:evenHBand="0" w:firstRowFirstColumn="0" w:firstRowLastColumn="0" w:lastRowFirstColumn="0" w:lastRowLastColumn="0"/>
            <w:tcW w:w="1620" w:type="dxa"/>
          </w:tcPr>
          <w:p w14:paraId="0803D427" w14:textId="1054FF93" w:rsidR="00A311A7" w:rsidRPr="0067507D" w:rsidRDefault="00A311A7" w:rsidP="00A311A7">
            <w:pPr>
              <w:pStyle w:val="Tabletext"/>
            </w:pPr>
            <w:r w:rsidRPr="0067507D">
              <w:lastRenderedPageBreak/>
              <w:t>Residential occupancy insights from electricity data</w:t>
            </w:r>
            <w:r w:rsidR="00FD58E6" w:rsidRPr="0067507D">
              <w:rPr>
                <w:rFonts w:ascii="Calibri" w:hAnsi="Calibri" w:cs="Calibri"/>
              </w:rPr>
              <w:t> </w:t>
            </w:r>
            <w:r w:rsidRPr="0067507D">
              <w:t>– pilot research project</w:t>
            </w:r>
            <w:r w:rsidR="007B71F4" w:rsidRPr="0067507D">
              <w:t xml:space="preserve"> </w:t>
            </w:r>
          </w:p>
        </w:tc>
        <w:tc>
          <w:tcPr>
            <w:tcW w:w="1620" w:type="dxa"/>
          </w:tcPr>
          <w:p w14:paraId="15EE8A7A" w14:textId="56CCE868" w:rsidR="00A311A7" w:rsidRPr="0067507D" w:rsidRDefault="00A311A7"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To better understand characteristics of residential property occupancy.</w:t>
            </w:r>
          </w:p>
        </w:tc>
        <w:tc>
          <w:tcPr>
            <w:tcW w:w="1710" w:type="dxa"/>
          </w:tcPr>
          <w:p w14:paraId="7B432789" w14:textId="0DFCB4C7" w:rsidR="00A311A7" w:rsidRPr="0067507D" w:rsidRDefault="00A311A7"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To determine whether electricity meter data could identify different forms of property occupancy.</w:t>
            </w:r>
          </w:p>
        </w:tc>
        <w:tc>
          <w:tcPr>
            <w:tcW w:w="1530" w:type="dxa"/>
          </w:tcPr>
          <w:p w14:paraId="5A509BF8" w14:textId="5B90ED54" w:rsidR="00A311A7" w:rsidRPr="0067507D" w:rsidRDefault="00A311A7"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Stronger evidence base</w:t>
            </w:r>
            <w:r w:rsidR="00CC0353" w:rsidRPr="0067507D">
              <w:t>d</w:t>
            </w:r>
            <w:r w:rsidRPr="0067507D">
              <w:t xml:space="preserve"> on the characteristics of residential property usage in Victoria.</w:t>
            </w:r>
          </w:p>
        </w:tc>
        <w:tc>
          <w:tcPr>
            <w:tcW w:w="990" w:type="dxa"/>
          </w:tcPr>
          <w:p w14:paraId="617C53D5" w14:textId="5F4C9B38" w:rsidR="00A311A7" w:rsidRPr="0067507D" w:rsidRDefault="00A311A7" w:rsidP="00A311A7">
            <w:pPr>
              <w:pStyle w:val="Tabletext"/>
              <w:cnfStyle w:val="000000000000" w:firstRow="0" w:lastRow="0" w:firstColumn="0" w:lastColumn="0" w:oddVBand="0" w:evenVBand="0" w:oddHBand="0" w:evenHBand="0" w:firstRowFirstColumn="0" w:firstRowLastColumn="0" w:lastRowFirstColumn="0" w:lastRowLastColumn="0"/>
            </w:pPr>
            <w:r w:rsidRPr="0067507D">
              <w:t>22 273</w:t>
            </w:r>
          </w:p>
        </w:tc>
        <w:tc>
          <w:tcPr>
            <w:tcW w:w="990" w:type="dxa"/>
          </w:tcPr>
          <w:p w14:paraId="79A8EAF1" w14:textId="4A24C156" w:rsidR="00A311A7" w:rsidRPr="0067507D" w:rsidRDefault="00A311A7" w:rsidP="00A311A7">
            <w:pPr>
              <w:pStyle w:val="Tabletext"/>
              <w:cnfStyle w:val="000000000000" w:firstRow="0" w:lastRow="0" w:firstColumn="0" w:lastColumn="0" w:oddVBand="0" w:evenVBand="0" w:oddHBand="0" w:evenHBand="0" w:firstRowFirstColumn="0" w:firstRowLastColumn="0" w:lastRowFirstColumn="0" w:lastRowLastColumn="0"/>
            </w:pPr>
            <w:r w:rsidRPr="0067507D">
              <w:t>22 273</w:t>
            </w:r>
          </w:p>
        </w:tc>
        <w:tc>
          <w:tcPr>
            <w:tcW w:w="1530" w:type="dxa"/>
          </w:tcPr>
          <w:p w14:paraId="604A1436" w14:textId="11F07F1A" w:rsidR="00A311A7" w:rsidRPr="0067507D" w:rsidRDefault="00AA41AE" w:rsidP="00B63B57">
            <w:pPr>
              <w:pStyle w:val="Tabletext"/>
              <w:jc w:val="left"/>
              <w:cnfStyle w:val="000000000000" w:firstRow="0" w:lastRow="0" w:firstColumn="0" w:lastColumn="0" w:oddVBand="0" w:evenVBand="0" w:oddHBand="0" w:evenHBand="0" w:firstRowFirstColumn="0" w:firstRowLastColumn="0" w:lastRowFirstColumn="0" w:lastRowLastColumn="0"/>
            </w:pPr>
            <w:r w:rsidRPr="0067507D">
              <w:t>No</w:t>
            </w:r>
          </w:p>
        </w:tc>
      </w:tr>
      <w:tr w:rsidR="00A36CBB" w:rsidRPr="0067507D" w14:paraId="79EB8E99" w14:textId="77777777" w:rsidTr="006B7AB7">
        <w:trPr>
          <w:cantSplit w:val="0"/>
        </w:trPr>
        <w:tc>
          <w:tcPr>
            <w:cnfStyle w:val="001000000000" w:firstRow="0" w:lastRow="0" w:firstColumn="1" w:lastColumn="0" w:oddVBand="0" w:evenVBand="0" w:oddHBand="0" w:evenHBand="0" w:firstRowFirstColumn="0" w:firstRowLastColumn="0" w:lastRowFirstColumn="0" w:lastRowLastColumn="0"/>
            <w:tcW w:w="0" w:type="dxa"/>
          </w:tcPr>
          <w:p w14:paraId="3A5D0AF1" w14:textId="18D404CD" w:rsidR="00374A37" w:rsidRPr="0067507D" w:rsidRDefault="00AA47BF">
            <w:pPr>
              <w:pStyle w:val="Tabletext"/>
              <w:rPr>
                <w:highlight w:val="yellow"/>
              </w:rPr>
            </w:pPr>
            <w:r w:rsidRPr="0067507D">
              <w:t>University of Melbourne study into effectiveness of the community health program</w:t>
            </w:r>
          </w:p>
        </w:tc>
        <w:tc>
          <w:tcPr>
            <w:tcW w:w="0" w:type="dxa"/>
          </w:tcPr>
          <w:p w14:paraId="1E7987DC" w14:textId="574F46E6"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Build evidence base for community health outcomes.</w:t>
            </w:r>
          </w:p>
        </w:tc>
        <w:tc>
          <w:tcPr>
            <w:tcW w:w="0" w:type="dxa"/>
          </w:tcPr>
          <w:p w14:paraId="375DC143" w14:textId="6F23ECD2"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Use linked data to understand impact of community health on the population who use it.</w:t>
            </w:r>
          </w:p>
        </w:tc>
        <w:tc>
          <w:tcPr>
            <w:tcW w:w="0" w:type="dxa"/>
          </w:tcPr>
          <w:p w14:paraId="22CC05FA" w14:textId="50413876"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Research paper outlining any findings on whether community health results in improved health outcomes and reduces hospitalisations.</w:t>
            </w:r>
          </w:p>
        </w:tc>
        <w:tc>
          <w:tcPr>
            <w:tcW w:w="0" w:type="dxa"/>
          </w:tcPr>
          <w:p w14:paraId="080E0B1C" w14:textId="0AC53ED4"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72 300</w:t>
            </w:r>
          </w:p>
        </w:tc>
        <w:tc>
          <w:tcPr>
            <w:tcW w:w="0" w:type="dxa"/>
          </w:tcPr>
          <w:p w14:paraId="1DCCE8FF" w14:textId="4C080921"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92 300</w:t>
            </w:r>
          </w:p>
        </w:tc>
        <w:tc>
          <w:tcPr>
            <w:tcW w:w="0" w:type="dxa"/>
          </w:tcPr>
          <w:p w14:paraId="635A8459" w14:textId="77846CEB" w:rsidR="00940204" w:rsidRPr="0067507D" w:rsidRDefault="00F8454D" w:rsidP="00940204">
            <w:pPr>
              <w:pStyle w:val="Tabletext"/>
              <w:jc w:val="left"/>
              <w:cnfStyle w:val="000000000000" w:firstRow="0" w:lastRow="0" w:firstColumn="0" w:lastColumn="0" w:oddVBand="0" w:evenVBand="0" w:oddHBand="0" w:evenHBand="0" w:firstRowFirstColumn="0" w:firstRowLastColumn="0" w:lastRowFirstColumn="0" w:lastRowLastColumn="0"/>
            </w:pPr>
            <w:r w:rsidRPr="0067507D">
              <w:t>No</w:t>
            </w:r>
            <w:r w:rsidR="00940204" w:rsidRPr="0067507D">
              <w:t xml:space="preserve"> </w:t>
            </w:r>
          </w:p>
          <w:p w14:paraId="52509EDE" w14:textId="4ADA92B3" w:rsidR="00374A37" w:rsidRPr="0067507D" w:rsidRDefault="00F8454D">
            <w:pPr>
              <w:pStyle w:val="Tabletext"/>
              <w:jc w:val="left"/>
              <w:cnfStyle w:val="000000000000" w:firstRow="0" w:lastRow="0" w:firstColumn="0" w:lastColumn="0" w:oddVBand="0" w:evenVBand="0" w:oddHBand="0" w:evenHBand="0" w:firstRowFirstColumn="0" w:firstRowLastColumn="0" w:lastRowFirstColumn="0" w:lastRowLastColumn="0"/>
              <w:rPr>
                <w:rStyle w:val="Hyperlink"/>
                <w:color w:val="4D4D4D"/>
                <w:highlight w:val="yellow"/>
                <w:u w:val="none"/>
              </w:rPr>
            </w:pPr>
            <w:r w:rsidRPr="0067507D">
              <w:t xml:space="preserve">URL not currently </w:t>
            </w:r>
            <w:r w:rsidR="002362F0" w:rsidRPr="0067507D">
              <w:t xml:space="preserve">available but </w:t>
            </w:r>
            <w:r w:rsidR="00940204" w:rsidRPr="0067507D">
              <w:t>intent is to make some of the research public in future.</w:t>
            </w:r>
          </w:p>
        </w:tc>
      </w:tr>
      <w:tr w:rsidR="00A36CBB" w:rsidRPr="0067507D" w14:paraId="24DFBED1" w14:textId="77777777" w:rsidTr="000F0D8E">
        <w:trPr>
          <w:cantSplit w:val="0"/>
          <w:trHeight w:val="1866"/>
        </w:trPr>
        <w:tc>
          <w:tcPr>
            <w:cnfStyle w:val="001000000000" w:firstRow="0" w:lastRow="0" w:firstColumn="1" w:lastColumn="0" w:oddVBand="0" w:evenVBand="0" w:oddHBand="0" w:evenHBand="0" w:firstRowFirstColumn="0" w:firstRowLastColumn="0" w:lastRowFirstColumn="0" w:lastRowLastColumn="0"/>
            <w:tcW w:w="0" w:type="dxa"/>
          </w:tcPr>
          <w:p w14:paraId="7E3CAEE2" w14:textId="301CA882" w:rsidR="00AA47BF" w:rsidRPr="0067507D" w:rsidRDefault="005714E7" w:rsidP="00AA47BF">
            <w:pPr>
              <w:pStyle w:val="Tabletext"/>
            </w:pPr>
            <w:r w:rsidRPr="0067507D">
              <w:t>R</w:t>
            </w:r>
            <w:r w:rsidR="00AA47BF" w:rsidRPr="0067507D">
              <w:t>eport on Employee Value Proposition for public sector employers</w:t>
            </w:r>
          </w:p>
          <w:p w14:paraId="5CCA8F9F" w14:textId="2CD52A3A" w:rsidR="00374A37" w:rsidRPr="0067507D" w:rsidRDefault="00AA47BF">
            <w:pPr>
              <w:pStyle w:val="Tabletext"/>
              <w:rPr>
                <w:highlight w:val="yellow"/>
              </w:rPr>
            </w:pPr>
            <w:r w:rsidRPr="0067507D">
              <w:t>(Victorian Independent Remuneration Tribunal)</w:t>
            </w:r>
          </w:p>
        </w:tc>
        <w:tc>
          <w:tcPr>
            <w:tcW w:w="0" w:type="dxa"/>
          </w:tcPr>
          <w:p w14:paraId="61F4B355" w14:textId="65C01C8B"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To inform the performance of the Tribunal’s legislative functions. </w:t>
            </w:r>
          </w:p>
        </w:tc>
        <w:tc>
          <w:tcPr>
            <w:tcW w:w="0" w:type="dxa"/>
          </w:tcPr>
          <w:p w14:paraId="0390A54A" w14:textId="4AF7800F"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Review research and literature relevant to public sector Employee Value Proposition and survey current and prospective public sector executives. Host and distribute the survey and assist with analysis, which will inform the Tribunal’s report.</w:t>
            </w:r>
          </w:p>
        </w:tc>
        <w:tc>
          <w:tcPr>
            <w:tcW w:w="0" w:type="dxa"/>
          </w:tcPr>
          <w:p w14:paraId="5F21C074" w14:textId="27F2A9ED" w:rsidR="00374A37" w:rsidRPr="0067507D" w:rsidRDefault="00AA47BF">
            <w:pPr>
              <w:pStyle w:val="Tabletext"/>
              <w:jc w:val="left"/>
              <w:cnfStyle w:val="000000000000" w:firstRow="0" w:lastRow="0" w:firstColumn="0" w:lastColumn="0" w:oddVBand="0" w:evenVBand="0" w:oddHBand="0" w:evenHBand="0" w:firstRowFirstColumn="0" w:firstRowLastColumn="0" w:lastRowFirstColumn="0" w:lastRowLastColumn="0"/>
              <w:rPr>
                <w:highlight w:val="yellow"/>
              </w:rPr>
            </w:pPr>
            <w:r w:rsidRPr="0067507D">
              <w:t xml:space="preserve">Tribunal will have access to information and data relevant to its work. Public sector employers will be better placed to recruit and retain executive staff. </w:t>
            </w:r>
          </w:p>
        </w:tc>
        <w:tc>
          <w:tcPr>
            <w:tcW w:w="0" w:type="dxa"/>
          </w:tcPr>
          <w:p w14:paraId="2CE1014D" w14:textId="6B532714"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14 712</w:t>
            </w:r>
          </w:p>
        </w:tc>
        <w:tc>
          <w:tcPr>
            <w:tcW w:w="0" w:type="dxa"/>
          </w:tcPr>
          <w:p w14:paraId="4EFBB4AC" w14:textId="700F2046" w:rsidR="00374A37" w:rsidRPr="0067507D" w:rsidRDefault="00AA47BF">
            <w:pPr>
              <w:pStyle w:val="Tabletext"/>
              <w:cnfStyle w:val="000000000000" w:firstRow="0" w:lastRow="0" w:firstColumn="0" w:lastColumn="0" w:oddVBand="0" w:evenVBand="0" w:oddHBand="0" w:evenHBand="0" w:firstRowFirstColumn="0" w:firstRowLastColumn="0" w:lastRowFirstColumn="0" w:lastRowLastColumn="0"/>
              <w:rPr>
                <w:highlight w:val="yellow"/>
              </w:rPr>
            </w:pPr>
            <w:r w:rsidRPr="0067507D">
              <w:t>14 712</w:t>
            </w:r>
          </w:p>
        </w:tc>
        <w:tc>
          <w:tcPr>
            <w:tcW w:w="0" w:type="dxa"/>
          </w:tcPr>
          <w:p w14:paraId="37BDD4D0" w14:textId="7F52C6CD" w:rsidR="00374A37" w:rsidRPr="0067507D" w:rsidRDefault="007914B7">
            <w:pPr>
              <w:pStyle w:val="Tabletext"/>
              <w:jc w:val="left"/>
              <w:cnfStyle w:val="000000000000" w:firstRow="0" w:lastRow="0" w:firstColumn="0" w:lastColumn="0" w:oddVBand="0" w:evenVBand="0" w:oddHBand="0" w:evenHBand="0" w:firstRowFirstColumn="0" w:firstRowLastColumn="0" w:lastRowFirstColumn="0" w:lastRowLastColumn="0"/>
            </w:pPr>
            <w:r w:rsidRPr="0067507D">
              <w:t>Yes</w:t>
            </w:r>
          </w:p>
          <w:p w14:paraId="59797DE6" w14:textId="021D034F" w:rsidR="00374A37" w:rsidRPr="0067507D" w:rsidRDefault="002D3BB8">
            <w:pPr>
              <w:pStyle w:val="Tabletext"/>
              <w:jc w:val="left"/>
              <w:cnfStyle w:val="000000000000" w:firstRow="0" w:lastRow="0" w:firstColumn="0" w:lastColumn="0" w:oddVBand="0" w:evenVBand="0" w:oddHBand="0" w:evenHBand="0" w:firstRowFirstColumn="0" w:firstRowLastColumn="0" w:lastRowFirstColumn="0" w:lastRowLastColumn="0"/>
              <w:rPr>
                <w:rStyle w:val="Hyperlink"/>
                <w:highlight w:val="yellow"/>
              </w:rPr>
            </w:pPr>
            <w:r w:rsidRPr="0067507D">
              <w:rPr>
                <w:rStyle w:val="Hyperlink"/>
              </w:rPr>
              <w:t>https://www.remunerationtribunal.vic.gov.au/report</w:t>
            </w:r>
            <w:r w:rsidR="006A5485">
              <w:rPr>
                <w:rStyle w:val="Hyperlink"/>
              </w:rPr>
              <w:noBreakHyphen/>
            </w:r>
            <w:r w:rsidRPr="0067507D">
              <w:rPr>
                <w:rStyle w:val="Hyperlink"/>
              </w:rPr>
              <w:t>employee</w:t>
            </w:r>
            <w:r w:rsidR="006A5485">
              <w:rPr>
                <w:rStyle w:val="Hyperlink"/>
              </w:rPr>
              <w:noBreakHyphen/>
            </w:r>
            <w:r w:rsidRPr="0067507D">
              <w:rPr>
                <w:rStyle w:val="Hyperlink"/>
              </w:rPr>
              <w:t>value</w:t>
            </w:r>
            <w:r w:rsidR="006A5485">
              <w:rPr>
                <w:rStyle w:val="Hyperlink"/>
              </w:rPr>
              <w:noBreakHyphen/>
            </w:r>
            <w:r w:rsidRPr="0067507D">
              <w:rPr>
                <w:rStyle w:val="Hyperlink"/>
              </w:rPr>
              <w:t>proposition</w:t>
            </w:r>
          </w:p>
        </w:tc>
      </w:tr>
    </w:tbl>
    <w:p w14:paraId="2E1AF7AC" w14:textId="6DF321C6" w:rsidR="00B47729" w:rsidRPr="0067507D" w:rsidRDefault="00B47729" w:rsidP="00B47729">
      <w:pPr>
        <w:pStyle w:val="Heading2"/>
      </w:pPr>
      <w:bookmarkStart w:id="248" w:name="Reviews_studies_end"/>
      <w:bookmarkEnd w:id="248"/>
    </w:p>
    <w:p w14:paraId="16296AB1" w14:textId="77777777" w:rsidR="00C331C7" w:rsidRPr="0067507D" w:rsidRDefault="00C331C7" w:rsidP="00C331C7"/>
    <w:p w14:paraId="4EB0ECDF" w14:textId="17857C36" w:rsidR="00C331C7" w:rsidRPr="0067507D" w:rsidRDefault="00C331C7" w:rsidP="00C331C7">
      <w:pPr>
        <w:sectPr w:rsidR="00C331C7" w:rsidRPr="0067507D" w:rsidSect="00B47729">
          <w:type w:val="continuous"/>
          <w:pgSz w:w="11909" w:h="16834" w:code="9"/>
          <w:pgMar w:top="1728" w:right="1152" w:bottom="1267" w:left="1152" w:header="720" w:footer="288" w:gutter="0"/>
          <w:cols w:space="720"/>
          <w:noEndnote/>
        </w:sectPr>
      </w:pPr>
    </w:p>
    <w:p w14:paraId="5CABD2EA" w14:textId="01FCC227" w:rsidR="004E29AF" w:rsidRPr="0067507D" w:rsidRDefault="004E29AF" w:rsidP="004E29AF">
      <w:pPr>
        <w:pStyle w:val="Heading1b"/>
      </w:pPr>
      <w:bookmarkStart w:id="249" w:name="_Toc210221148"/>
      <w:bookmarkStart w:id="250" w:name="ICTExpend"/>
      <w:r w:rsidRPr="0067507D">
        <w:lastRenderedPageBreak/>
        <w:t>Information and communication technology expenditure</w:t>
      </w:r>
      <w:bookmarkEnd w:id="249"/>
      <w:bookmarkEnd w:id="250"/>
    </w:p>
    <w:p w14:paraId="46C74613" w14:textId="77777777" w:rsidR="004E29AF" w:rsidRPr="0067507D" w:rsidRDefault="004E29AF" w:rsidP="004E29AF">
      <w:pPr>
        <w:pStyle w:val="Heading2"/>
      </w:pPr>
      <w:bookmarkStart w:id="251" w:name="_Ref492631101"/>
      <w:r w:rsidRPr="0067507D">
        <w:t>Details of information and communication technology expenditure</w:t>
      </w:r>
      <w:bookmarkEnd w:id="251"/>
    </w:p>
    <w:p w14:paraId="65D82EC0" w14:textId="490D34C1" w:rsidR="004E29AF" w:rsidRPr="0067507D" w:rsidRDefault="004E29AF" w:rsidP="004E29AF">
      <w:r w:rsidRPr="0067507D">
        <w:t>ICT expenditure refers to the Department’s costs in providing business</w:t>
      </w:r>
      <w:r w:rsidRPr="0067507D">
        <w:noBreakHyphen/>
        <w:t>enabling ICT services within the current reporting period. It comprises business as usual (BAU) ICT expenditure and non</w:t>
      </w:r>
      <w:r w:rsidR="006A5485">
        <w:noBreakHyphen/>
      </w:r>
      <w:r w:rsidRPr="0067507D">
        <w:t>business as usual (non</w:t>
      </w:r>
      <w:r w:rsidR="006A5485">
        <w:noBreakHyphen/>
      </w:r>
      <w:r w:rsidRPr="0067507D">
        <w:t>BAU) ICT expenditure. Non</w:t>
      </w:r>
      <w:r w:rsidR="006A5485">
        <w:noBreakHyphen/>
      </w:r>
      <w:r w:rsidRPr="0067507D">
        <w:t>BAU ICT expenditure relates to extending or enhancing the Department’s current ICT capabilities. BAU ICT expenditure is all remaining ICT expenditure which primarily relates to ongoing activities to operate and maintain the current ICT capability.</w:t>
      </w:r>
    </w:p>
    <w:p w14:paraId="0C2D84C6" w14:textId="13D0C224" w:rsidR="00763DBF" w:rsidRPr="0067507D" w:rsidRDefault="00763DBF" w:rsidP="004E29AF">
      <w:r w:rsidRPr="0067507D">
        <w:t xml:space="preserve">For the </w:t>
      </w:r>
      <w:r w:rsidR="00C30F42" w:rsidRPr="0067507D">
        <w:t>2024</w:t>
      </w:r>
      <w:r w:rsidR="006A5485">
        <w:noBreakHyphen/>
      </w:r>
      <w:r w:rsidR="00C30F42" w:rsidRPr="0067507D">
        <w:t>25</w:t>
      </w:r>
      <w:r w:rsidRPr="0067507D">
        <w:t xml:space="preserve"> reporting period, the Department had a total ICT expenditure of $6</w:t>
      </w:r>
      <w:r w:rsidR="00F7534A" w:rsidRPr="0067507D">
        <w:t>2</w:t>
      </w:r>
      <w:r w:rsidR="000B644A" w:rsidRPr="0067507D">
        <w:rPr>
          <w:rFonts w:ascii="Calibri" w:hAnsi="Calibri" w:cs="Calibri"/>
        </w:rPr>
        <w:t> </w:t>
      </w:r>
      <w:r w:rsidRPr="0067507D">
        <w:t>3</w:t>
      </w:r>
      <w:r w:rsidR="00F7534A" w:rsidRPr="0067507D">
        <w:t>98</w:t>
      </w:r>
      <w:r w:rsidRPr="0067507D">
        <w:t xml:space="preserve"> million with the details shown below.</w:t>
      </w:r>
    </w:p>
    <w:p w14:paraId="31867283" w14:textId="1BA44BBF" w:rsidR="004E29AF" w:rsidRPr="0067507D" w:rsidRDefault="004E29AF" w:rsidP="004E29AF"/>
    <w:tbl>
      <w:tblPr>
        <w:tblStyle w:val="AnnualReporttexttable"/>
        <w:tblW w:w="0" w:type="auto"/>
        <w:tblLook w:val="00A0" w:firstRow="1" w:lastRow="0" w:firstColumn="1" w:lastColumn="0" w:noHBand="0" w:noVBand="0"/>
      </w:tblPr>
      <w:tblGrid>
        <w:gridCol w:w="3329"/>
        <w:gridCol w:w="1113"/>
      </w:tblGrid>
      <w:tr w:rsidR="004E29AF" w:rsidRPr="0067507D" w14:paraId="5930CDD1" w14:textId="77777777" w:rsidTr="004D70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9" w:type="dxa"/>
          </w:tcPr>
          <w:p w14:paraId="0DE3E19C" w14:textId="77777777" w:rsidR="004E29AF" w:rsidRPr="00F52E0B" w:rsidRDefault="004E29AF" w:rsidP="003E4E12">
            <w:pPr>
              <w:pStyle w:val="Tabletext"/>
              <w:rPr>
                <w:rFonts w:asciiTheme="majorHAnsi" w:hAnsiTheme="majorHAnsi"/>
                <w:b w:val="0"/>
                <w:bCs/>
              </w:rPr>
            </w:pPr>
          </w:p>
        </w:tc>
        <w:tc>
          <w:tcPr>
            <w:cnfStyle w:val="000010000000" w:firstRow="0" w:lastRow="0" w:firstColumn="0" w:lastColumn="0" w:oddVBand="1" w:evenVBand="0" w:oddHBand="0" w:evenHBand="0" w:firstRowFirstColumn="0" w:firstRowLastColumn="0" w:lastRowFirstColumn="0" w:lastRowLastColumn="0"/>
            <w:tcW w:w="1113" w:type="dxa"/>
            <w:shd w:val="clear" w:color="auto" w:fill="auto"/>
          </w:tcPr>
          <w:p w14:paraId="7A52E53A" w14:textId="77777777" w:rsidR="004E29AF" w:rsidRPr="00F52E0B" w:rsidRDefault="004E29AF" w:rsidP="003E4E12">
            <w:pPr>
              <w:pStyle w:val="Tabletextright"/>
              <w:rPr>
                <w:rFonts w:asciiTheme="majorHAnsi" w:hAnsiTheme="majorHAnsi"/>
                <w:b w:val="0"/>
                <w:bCs/>
              </w:rPr>
            </w:pPr>
            <w:r w:rsidRPr="00F52E0B">
              <w:rPr>
                <w:rFonts w:asciiTheme="majorHAnsi" w:hAnsiTheme="majorHAnsi"/>
                <w:b w:val="0"/>
                <w:bCs/>
                <w:lang w:eastAsia="en-US"/>
              </w:rPr>
              <w:t>$’000</w:t>
            </w:r>
          </w:p>
        </w:tc>
      </w:tr>
      <w:tr w:rsidR="006F44D6" w:rsidRPr="0067507D" w14:paraId="64C5A364" w14:textId="77777777" w:rsidTr="004D70AA">
        <w:tc>
          <w:tcPr>
            <w:cnfStyle w:val="001000000000" w:firstRow="0" w:lastRow="0" w:firstColumn="1" w:lastColumn="0" w:oddVBand="0" w:evenVBand="0" w:oddHBand="0" w:evenHBand="0" w:firstRowFirstColumn="0" w:firstRowLastColumn="0" w:lastRowFirstColumn="0" w:lastRowLastColumn="0"/>
            <w:tcW w:w="3329" w:type="dxa"/>
          </w:tcPr>
          <w:p w14:paraId="4054AC8F" w14:textId="77777777" w:rsidR="004E29AF" w:rsidRPr="0067507D" w:rsidRDefault="004E29AF" w:rsidP="003E4E12">
            <w:pPr>
              <w:pStyle w:val="Tabletext"/>
            </w:pPr>
            <w:r w:rsidRPr="0067507D">
              <w:t>Business as usual (BAU) ICT expenditure</w:t>
            </w:r>
          </w:p>
        </w:tc>
        <w:tc>
          <w:tcPr>
            <w:cnfStyle w:val="000010000000" w:firstRow="0" w:lastRow="0" w:firstColumn="0" w:lastColumn="0" w:oddVBand="1" w:evenVBand="0" w:oddHBand="0" w:evenHBand="0" w:firstRowFirstColumn="0" w:firstRowLastColumn="0" w:lastRowFirstColumn="0" w:lastRowLastColumn="0"/>
            <w:tcW w:w="1113" w:type="dxa"/>
          </w:tcPr>
          <w:p w14:paraId="0B6CB76E" w14:textId="3CE35836" w:rsidR="004E29AF" w:rsidRPr="0067507D" w:rsidRDefault="00CC0246" w:rsidP="003E4E12">
            <w:pPr>
              <w:pStyle w:val="Tabletextright"/>
            </w:pPr>
            <w:r w:rsidRPr="0067507D">
              <w:t>3</w:t>
            </w:r>
            <w:r w:rsidR="00AF084A" w:rsidRPr="0067507D">
              <w:t>8</w:t>
            </w:r>
            <w:r w:rsidRPr="0067507D">
              <w:t xml:space="preserve"> </w:t>
            </w:r>
            <w:r w:rsidR="00AF084A" w:rsidRPr="0067507D">
              <w:t>544</w:t>
            </w:r>
          </w:p>
        </w:tc>
      </w:tr>
      <w:tr w:rsidR="006F44D6" w:rsidRPr="0067507D" w14:paraId="3F7B9CBA" w14:textId="77777777" w:rsidTr="004D70AA">
        <w:tc>
          <w:tcPr>
            <w:cnfStyle w:val="001000000000" w:firstRow="0" w:lastRow="0" w:firstColumn="1" w:lastColumn="0" w:oddVBand="0" w:evenVBand="0" w:oddHBand="0" w:evenHBand="0" w:firstRowFirstColumn="0" w:firstRowLastColumn="0" w:lastRowFirstColumn="0" w:lastRowLastColumn="0"/>
            <w:tcW w:w="3329" w:type="dxa"/>
          </w:tcPr>
          <w:p w14:paraId="0D1A2885" w14:textId="60C3F027" w:rsidR="004E29AF" w:rsidRPr="0067507D" w:rsidRDefault="004E29AF" w:rsidP="003E4E12">
            <w:pPr>
              <w:pStyle w:val="Tabletext"/>
            </w:pPr>
            <w:r w:rsidRPr="0067507D">
              <w:t>Non</w:t>
            </w:r>
            <w:r w:rsidR="006A5485">
              <w:noBreakHyphen/>
            </w:r>
            <w:r w:rsidRPr="0067507D">
              <w:t>business as usual (non</w:t>
            </w:r>
            <w:r w:rsidRPr="0067507D">
              <w:noBreakHyphen/>
              <w:t>BAU) ICT expenditure consisting of:</w:t>
            </w:r>
          </w:p>
        </w:tc>
        <w:tc>
          <w:tcPr>
            <w:cnfStyle w:val="000010000000" w:firstRow="0" w:lastRow="0" w:firstColumn="0" w:lastColumn="0" w:oddVBand="1" w:evenVBand="0" w:oddHBand="0" w:evenHBand="0" w:firstRowFirstColumn="0" w:firstRowLastColumn="0" w:lastRowFirstColumn="0" w:lastRowLastColumn="0"/>
            <w:tcW w:w="1113" w:type="dxa"/>
          </w:tcPr>
          <w:p w14:paraId="3F912D17" w14:textId="5DCF69F7" w:rsidR="004E29AF" w:rsidRPr="0067507D" w:rsidRDefault="0017435B" w:rsidP="003E4E12">
            <w:pPr>
              <w:pStyle w:val="Tabletextright"/>
            </w:pPr>
            <w:r w:rsidRPr="0067507D">
              <w:t>23</w:t>
            </w:r>
            <w:r w:rsidR="00EA0C68" w:rsidRPr="0067507D">
              <w:t xml:space="preserve"> </w:t>
            </w:r>
            <w:r w:rsidRPr="0067507D">
              <w:t>854</w:t>
            </w:r>
          </w:p>
        </w:tc>
      </w:tr>
      <w:tr w:rsidR="006F44D6" w:rsidRPr="0067507D" w14:paraId="382D1EAA" w14:textId="77777777" w:rsidTr="004D70AA">
        <w:tc>
          <w:tcPr>
            <w:cnfStyle w:val="001000000000" w:firstRow="0" w:lastRow="0" w:firstColumn="1" w:lastColumn="0" w:oddVBand="0" w:evenVBand="0" w:oddHBand="0" w:evenHBand="0" w:firstRowFirstColumn="0" w:firstRowLastColumn="0" w:lastRowFirstColumn="0" w:lastRowLastColumn="0"/>
            <w:tcW w:w="3329" w:type="dxa"/>
          </w:tcPr>
          <w:p w14:paraId="04386F74" w14:textId="77777777" w:rsidR="004E29AF" w:rsidRPr="0067507D" w:rsidRDefault="004E29AF" w:rsidP="003E4E12">
            <w:pPr>
              <w:pStyle w:val="Tabletextindent"/>
            </w:pPr>
            <w:r w:rsidRPr="0067507D">
              <w:t>Operational expenditure</w:t>
            </w:r>
          </w:p>
        </w:tc>
        <w:tc>
          <w:tcPr>
            <w:cnfStyle w:val="000010000000" w:firstRow="0" w:lastRow="0" w:firstColumn="0" w:lastColumn="0" w:oddVBand="1" w:evenVBand="0" w:oddHBand="0" w:evenHBand="0" w:firstRowFirstColumn="0" w:firstRowLastColumn="0" w:lastRowFirstColumn="0" w:lastRowLastColumn="0"/>
            <w:tcW w:w="1113" w:type="dxa"/>
          </w:tcPr>
          <w:p w14:paraId="04186D7E" w14:textId="049453E2" w:rsidR="004E29AF" w:rsidRPr="0067507D" w:rsidRDefault="0017435B" w:rsidP="003E4E12">
            <w:pPr>
              <w:pStyle w:val="Tabletextright"/>
            </w:pPr>
            <w:r w:rsidRPr="0067507D">
              <w:t>17</w:t>
            </w:r>
            <w:r w:rsidR="00EA0C68" w:rsidRPr="0067507D">
              <w:t xml:space="preserve"> </w:t>
            </w:r>
            <w:r w:rsidR="000C463C" w:rsidRPr="0067507D">
              <w:t>390</w:t>
            </w:r>
          </w:p>
        </w:tc>
      </w:tr>
      <w:tr w:rsidR="006F44D6" w:rsidRPr="0067507D" w14:paraId="2BEFF8AD" w14:textId="77777777" w:rsidTr="004D70AA">
        <w:tc>
          <w:tcPr>
            <w:cnfStyle w:val="001000000000" w:firstRow="0" w:lastRow="0" w:firstColumn="1" w:lastColumn="0" w:oddVBand="0" w:evenVBand="0" w:oddHBand="0" w:evenHBand="0" w:firstRowFirstColumn="0" w:firstRowLastColumn="0" w:lastRowFirstColumn="0" w:lastRowLastColumn="0"/>
            <w:tcW w:w="3329" w:type="dxa"/>
          </w:tcPr>
          <w:p w14:paraId="35FE39D3" w14:textId="77777777" w:rsidR="004E29AF" w:rsidRPr="0067507D" w:rsidRDefault="004E29AF" w:rsidP="003E4E12">
            <w:pPr>
              <w:pStyle w:val="Tabletextindent"/>
            </w:pPr>
            <w:r w:rsidRPr="0067507D">
              <w:t>Capital expenditure</w:t>
            </w:r>
          </w:p>
        </w:tc>
        <w:tc>
          <w:tcPr>
            <w:cnfStyle w:val="000010000000" w:firstRow="0" w:lastRow="0" w:firstColumn="0" w:lastColumn="0" w:oddVBand="1" w:evenVBand="0" w:oddHBand="0" w:evenHBand="0" w:firstRowFirstColumn="0" w:firstRowLastColumn="0" w:lastRowFirstColumn="0" w:lastRowLastColumn="0"/>
            <w:tcW w:w="1113" w:type="dxa"/>
          </w:tcPr>
          <w:p w14:paraId="74FD13DD" w14:textId="6D6C3F1F" w:rsidR="004E29AF" w:rsidRPr="0067507D" w:rsidRDefault="000C463C" w:rsidP="003E4E12">
            <w:pPr>
              <w:pStyle w:val="Tabletextright"/>
            </w:pPr>
            <w:r w:rsidRPr="0067507D">
              <w:t>6</w:t>
            </w:r>
            <w:r w:rsidR="00EA0C68" w:rsidRPr="0067507D">
              <w:t xml:space="preserve"> </w:t>
            </w:r>
            <w:r w:rsidRPr="0067507D">
              <w:t>464</w:t>
            </w:r>
          </w:p>
        </w:tc>
      </w:tr>
    </w:tbl>
    <w:p w14:paraId="3023D433" w14:textId="77777777" w:rsidR="004E29AF" w:rsidRPr="0067507D" w:rsidRDefault="004E29AF" w:rsidP="004E29AF">
      <w:pPr>
        <w:pStyle w:val="Spacer"/>
      </w:pPr>
    </w:p>
    <w:p w14:paraId="699069B6" w14:textId="5657F08E" w:rsidR="004E29AF" w:rsidRPr="0067507D" w:rsidRDefault="004E29AF" w:rsidP="004E29AF">
      <w:pPr>
        <w:pStyle w:val="Heading1b"/>
      </w:pPr>
      <w:bookmarkStart w:id="252" w:name="MajorContracts"/>
      <w:r w:rsidRPr="0067507D">
        <w:br w:type="column"/>
      </w:r>
      <w:bookmarkStart w:id="253" w:name="_Toc210221149"/>
      <w:r w:rsidRPr="0067507D">
        <w:t>Disclosure of major contracts</w:t>
      </w:r>
      <w:bookmarkEnd w:id="252"/>
      <w:bookmarkEnd w:id="253"/>
    </w:p>
    <w:p w14:paraId="4CE8A12A" w14:textId="6664764F" w:rsidR="00B90872" w:rsidRPr="0067507D" w:rsidRDefault="00B439E0" w:rsidP="00B90872">
      <w:pPr>
        <w:rPr>
          <w:rFonts w:cs="Cambria Math"/>
        </w:rPr>
      </w:pPr>
      <w:r w:rsidRPr="0067507D">
        <w:rPr>
          <w:rFonts w:cs="Cambria Math"/>
        </w:rPr>
        <w:t>The</w:t>
      </w:r>
      <w:r w:rsidR="00B90872" w:rsidRPr="0067507D">
        <w:rPr>
          <w:rFonts w:cs="Cambria Math"/>
        </w:rPr>
        <w:t xml:space="preserve"> Department has disclosed, in accordance with the requirements of government policy and accompanying guidelines, all contracts greater than $10 million in value entered into during the financial year ended </w:t>
      </w:r>
      <w:r w:rsidR="00C30F42" w:rsidRPr="0067507D">
        <w:rPr>
          <w:rFonts w:cs="Cambria Math"/>
        </w:rPr>
        <w:t>30 June 2025</w:t>
      </w:r>
      <w:r w:rsidR="00B90872" w:rsidRPr="0067507D">
        <w:rPr>
          <w:rFonts w:cs="Cambria Math"/>
        </w:rPr>
        <w:t xml:space="preserve">. Details of contracts that have been disclosed in the Victorian Government Contracts Publishing System can be viewed at: </w:t>
      </w:r>
      <w:hyperlink r:id="rId224" w:history="1">
        <w:r w:rsidR="00B90872" w:rsidRPr="0067507D">
          <w:rPr>
            <w:rStyle w:val="Hyperlink"/>
            <w:rFonts w:cs="Cambria Math"/>
          </w:rPr>
          <w:t>www.tenders.vic.gov.au</w:t>
        </w:r>
      </w:hyperlink>
      <w:r w:rsidR="00B90872" w:rsidRPr="0067507D">
        <w:rPr>
          <w:rFonts w:cs="Cambria Math"/>
        </w:rPr>
        <w:t xml:space="preserve">. </w:t>
      </w:r>
    </w:p>
    <w:p w14:paraId="137BA493" w14:textId="77777777" w:rsidR="00B90872" w:rsidRPr="0067507D" w:rsidRDefault="00B90872" w:rsidP="00B90872">
      <w:pPr>
        <w:rPr>
          <w:rFonts w:cs="Cambria Math"/>
        </w:rPr>
      </w:pPr>
      <w:r w:rsidRPr="0067507D">
        <w:rPr>
          <w:rFonts w:cs="Cambria Math"/>
        </w:rPr>
        <w:t xml:space="preserve">Contractual details have not been disclosed for contracts where disclosure is exempted under the </w:t>
      </w:r>
      <w:r w:rsidRPr="0067507D">
        <w:rPr>
          <w:rFonts w:cs="Cambria Math"/>
          <w:i/>
          <w:iCs/>
        </w:rPr>
        <w:t>Freedom of Information Act 1982</w:t>
      </w:r>
      <w:r w:rsidRPr="0067507D">
        <w:rPr>
          <w:rFonts w:cs="Cambria Math"/>
        </w:rPr>
        <w:t xml:space="preserve"> (the Act) and/or government guidelines.</w:t>
      </w:r>
    </w:p>
    <w:p w14:paraId="0965467D" w14:textId="129D48B6" w:rsidR="00B90872" w:rsidRPr="0067507D" w:rsidRDefault="00B90872" w:rsidP="00B90872">
      <w:pPr>
        <w:rPr>
          <w:rFonts w:cs="Cambria Math"/>
        </w:rPr>
      </w:pPr>
      <w:r w:rsidRPr="0067507D">
        <w:rPr>
          <w:rFonts w:cs="Cambria Math"/>
        </w:rPr>
        <w:t xml:space="preserve">Specific contract information has not been disclosed for contracts where such information is withheld under the </w:t>
      </w:r>
      <w:r w:rsidRPr="0067507D">
        <w:rPr>
          <w:rFonts w:cs="Cambria Math"/>
          <w:i/>
          <w:iCs/>
        </w:rPr>
        <w:t>Freedom of Information Act 1982</w:t>
      </w:r>
      <w:r w:rsidRPr="0067507D">
        <w:rPr>
          <w:rFonts w:cs="Cambria Math"/>
        </w:rPr>
        <w:t xml:space="preserve"> (Vic) (FOI</w:t>
      </w:r>
      <w:r w:rsidR="006C4B54" w:rsidRPr="0067507D">
        <w:rPr>
          <w:rFonts w:ascii="Calibri" w:hAnsi="Calibri" w:cs="Calibri"/>
        </w:rPr>
        <w:t> </w:t>
      </w:r>
      <w:r w:rsidRPr="0067507D">
        <w:rPr>
          <w:rFonts w:cs="Cambria Math"/>
        </w:rPr>
        <w:t>Act) or other laws or government policies.</w:t>
      </w:r>
    </w:p>
    <w:p w14:paraId="6A4024B9" w14:textId="77777777" w:rsidR="004E29AF" w:rsidRPr="0067507D" w:rsidRDefault="004E29AF" w:rsidP="004E29AF">
      <w:pPr>
        <w:rPr>
          <w:rFonts w:cstheme="minorHAnsi"/>
        </w:rPr>
      </w:pPr>
    </w:p>
    <w:p w14:paraId="39CDC70B" w14:textId="32B86CC9" w:rsidR="004E29AF" w:rsidRPr="0067507D" w:rsidRDefault="004E29AF" w:rsidP="000D15E1">
      <w:pPr>
        <w:pStyle w:val="Heading1b"/>
        <w:pageBreakBefore/>
      </w:pPr>
      <w:bookmarkStart w:id="254" w:name="_Toc210221150"/>
      <w:bookmarkStart w:id="255" w:name="FOI"/>
      <w:r w:rsidRPr="0067507D">
        <w:lastRenderedPageBreak/>
        <w:t>Freedom of Information</w:t>
      </w:r>
      <w:bookmarkEnd w:id="254"/>
    </w:p>
    <w:bookmarkEnd w:id="255"/>
    <w:p w14:paraId="2659B1D0" w14:textId="77777777" w:rsidR="004E29AF" w:rsidRPr="0067507D" w:rsidRDefault="004E29AF" w:rsidP="004E29AF">
      <w:pPr>
        <w:sectPr w:rsidR="004E29AF" w:rsidRPr="0067507D" w:rsidSect="00173F71">
          <w:pgSz w:w="11909" w:h="16834" w:code="9"/>
          <w:pgMar w:top="1728" w:right="1152" w:bottom="1267" w:left="1152" w:header="720" w:footer="288" w:gutter="0"/>
          <w:cols w:num="2" w:space="720"/>
          <w:noEndnote/>
        </w:sectPr>
      </w:pPr>
    </w:p>
    <w:p w14:paraId="7B8A86F4" w14:textId="6A49282A" w:rsidR="007D7EE6" w:rsidRPr="0067507D" w:rsidRDefault="007D7EE6" w:rsidP="007D7EE6">
      <w:r w:rsidRPr="0067507D">
        <w:t xml:space="preserve">The </w:t>
      </w:r>
      <w:r w:rsidRPr="0067507D">
        <w:rPr>
          <w:i/>
        </w:rPr>
        <w:t>Freedom of Information Act 1982</w:t>
      </w:r>
      <w:r w:rsidRPr="0067507D">
        <w:t xml:space="preserve"> (Vic) (the Act) allows the public a right of access to documents held by the Department. The purpose of the Act is to extend as far as possible the right of the community to access information held by government departments, local councils, Ministers and other bodies subject to the Act.</w:t>
      </w:r>
    </w:p>
    <w:p w14:paraId="0C68321C" w14:textId="77777777" w:rsidR="007D7EE6" w:rsidRPr="0067507D" w:rsidRDefault="007D7EE6" w:rsidP="007D7EE6">
      <w:r w:rsidRPr="0067507D">
        <w:t>An applicant has a right to apply for access to documents held by a department. This comprises documents both created by the department or supplied to the department by an external organisation or individual, and may also include maps, films, microfiche, photographs, computer printouts, computer discs, tape recordings and videotapes. Information about the type of material produced by the Department is available on the Department’s website under its Part II Information Statement.</w:t>
      </w:r>
    </w:p>
    <w:p w14:paraId="14570C34" w14:textId="1BA5E6B5" w:rsidR="007D7EE6" w:rsidRPr="0067507D" w:rsidRDefault="007D7EE6" w:rsidP="0049767B">
      <w:pPr>
        <w:ind w:right="32"/>
      </w:pPr>
      <w:r w:rsidRPr="0067507D">
        <w:t>The Act allows a department to refuse access, either fully or partially, to certain documents or information. Examples of documents that may not be accessed include cabinet documents; some internal working documents; law enforcement documents; documents covered by legal professional privilege, such as legal advice; personal information about other people; information provided to a department in</w:t>
      </w:r>
      <w:r w:rsidR="00B90EF4" w:rsidRPr="0067507D">
        <w:t xml:space="preserve"> </w:t>
      </w:r>
      <w:r w:rsidRPr="0067507D">
        <w:t>confidence and information that is confidential under another Act.</w:t>
      </w:r>
    </w:p>
    <w:p w14:paraId="6A7BEAEC" w14:textId="77777777" w:rsidR="007D7EE6" w:rsidRPr="0067507D" w:rsidRDefault="007D7EE6" w:rsidP="007D7EE6">
      <w:r w:rsidRPr="0067507D">
        <w:t xml:space="preserve">Under the Act, the FOI processing time for requests received is 30 calendar days. However, when external consultation is required under ss29, 29A, 31, 31A, 33, 34 or 35, a 15 day automatic extension applies. Processing time may also be extended by periods of up to 30 days, in consultation with the applicant. With the applicant’s agreement this may occur any number of times. However, obtaining an applicant’s agreement for an extension cannot occur after the expiry of the timeframe for deciding a request. </w:t>
      </w:r>
    </w:p>
    <w:p w14:paraId="2EF05D3E" w14:textId="5A18861C" w:rsidR="007D7EE6" w:rsidRPr="0067507D" w:rsidRDefault="007D7EE6" w:rsidP="007D7EE6">
      <w:r w:rsidRPr="0067507D">
        <w:t>If an applicant is not satisfied by a decision made by the Department, under section 49A of the Act, they have the right to seek a review by the Office of the Victorian Information Commissioner (OVIC) within 28</w:t>
      </w:r>
      <w:r w:rsidR="0049767B" w:rsidRPr="0067507D">
        <w:rPr>
          <w:rFonts w:ascii="Calibri" w:hAnsi="Calibri" w:cs="Calibri"/>
        </w:rPr>
        <w:t> </w:t>
      </w:r>
      <w:r w:rsidRPr="0067507D">
        <w:t>days of receiving a decision letter.</w:t>
      </w:r>
    </w:p>
    <w:p w14:paraId="5635D084" w14:textId="77777777" w:rsidR="007D7EE6" w:rsidRPr="0067507D" w:rsidRDefault="007D7EE6" w:rsidP="007D7EE6">
      <w:pPr>
        <w:pStyle w:val="Heading3"/>
      </w:pPr>
      <w:r w:rsidRPr="0067507D">
        <w:t>Making a request</w:t>
      </w:r>
    </w:p>
    <w:p w14:paraId="698D2C3F" w14:textId="7376C42F" w:rsidR="007D7EE6" w:rsidRPr="0067507D" w:rsidRDefault="007D7EE6" w:rsidP="007D7EE6">
      <w:r w:rsidRPr="0067507D">
        <w:t xml:space="preserve">FOI requests can be lodged online at online.foi.vic.gov.au. An application fee of </w:t>
      </w:r>
      <w:r w:rsidRPr="0067507D">
        <w:rPr>
          <w:color w:val="232B39" w:themeColor="text1"/>
        </w:rPr>
        <w:t>$3</w:t>
      </w:r>
      <w:r w:rsidR="4BA111CD" w:rsidRPr="0067507D">
        <w:rPr>
          <w:color w:val="232B39" w:themeColor="text1"/>
        </w:rPr>
        <w:t>3</w:t>
      </w:r>
      <w:r w:rsidRPr="0067507D">
        <w:rPr>
          <w:color w:val="232B39" w:themeColor="text1"/>
        </w:rPr>
        <w:t>.</w:t>
      </w:r>
      <w:r w:rsidR="0A8B644E" w:rsidRPr="0067507D">
        <w:rPr>
          <w:color w:val="232B39" w:themeColor="text1"/>
        </w:rPr>
        <w:t>6</w:t>
      </w:r>
      <w:r w:rsidRPr="0067507D">
        <w:rPr>
          <w:color w:val="232B39" w:themeColor="text1"/>
        </w:rPr>
        <w:t xml:space="preserve">0 </w:t>
      </w:r>
      <w:r w:rsidRPr="0067507D">
        <w:t>applies. Access charges may also be payable if the document pool is large and the search for material time consuming.</w:t>
      </w:r>
    </w:p>
    <w:p w14:paraId="67E753FC" w14:textId="77777777" w:rsidR="007D7EE6" w:rsidRPr="0067507D" w:rsidRDefault="007D7EE6" w:rsidP="00D24A5B">
      <w:pPr>
        <w:keepNext/>
      </w:pPr>
      <w:r w:rsidRPr="0067507D">
        <w:t>When making an FOI request, applicants should ensure requests are in writing, clearly identify what types of material/documents are being sought and be accompanied by the application fee to be a valid request.</w:t>
      </w:r>
    </w:p>
    <w:p w14:paraId="308DE85A" w14:textId="405D2E43" w:rsidR="007D7EE6" w:rsidRPr="0067507D" w:rsidRDefault="007D7EE6" w:rsidP="007D7EE6">
      <w:r w:rsidRPr="0067507D">
        <w:t xml:space="preserve">If you are unable to make a request online, you can request documents in the possession of the Department of </w:t>
      </w:r>
      <w:r w:rsidR="655C7179" w:rsidRPr="0067507D">
        <w:t>Treasury and Finance</w:t>
      </w:r>
      <w:r w:rsidR="00664613" w:rsidRPr="0067507D">
        <w:t xml:space="preserve"> </w:t>
      </w:r>
      <w:r w:rsidRPr="0067507D">
        <w:t>by writing to:</w:t>
      </w:r>
    </w:p>
    <w:p w14:paraId="40828A2E" w14:textId="77777777" w:rsidR="007D7EE6" w:rsidRPr="0067507D" w:rsidRDefault="007D7EE6" w:rsidP="007D7EE6">
      <w:pPr>
        <w:pStyle w:val="NormalIndent"/>
        <w:keepLines w:val="0"/>
        <w:spacing w:before="0" w:after="0"/>
        <w:ind w:left="357"/>
      </w:pPr>
      <w:r w:rsidRPr="0067507D">
        <w:t xml:space="preserve">Freedom of Information Officer </w:t>
      </w:r>
    </w:p>
    <w:p w14:paraId="6AFBDF6C" w14:textId="77777777" w:rsidR="007D7EE6" w:rsidRPr="0067507D" w:rsidRDefault="007D7EE6" w:rsidP="007D7EE6">
      <w:pPr>
        <w:pStyle w:val="NormalIndent"/>
        <w:keepLines w:val="0"/>
        <w:spacing w:before="0" w:after="0"/>
        <w:ind w:left="357"/>
      </w:pPr>
      <w:r w:rsidRPr="0067507D">
        <w:t xml:space="preserve">Department of Treasury and Finance </w:t>
      </w:r>
    </w:p>
    <w:p w14:paraId="5BB734D5" w14:textId="77777777" w:rsidR="007D7EE6" w:rsidRPr="0067507D" w:rsidRDefault="007D7EE6" w:rsidP="007D7EE6">
      <w:pPr>
        <w:pStyle w:val="NormalIndent"/>
        <w:keepLines w:val="0"/>
        <w:spacing w:before="0" w:after="0"/>
        <w:ind w:left="357"/>
      </w:pPr>
      <w:r w:rsidRPr="0067507D">
        <w:t xml:space="preserve">GPO Box 4379 </w:t>
      </w:r>
    </w:p>
    <w:p w14:paraId="1E72C04C" w14:textId="77777777" w:rsidR="007D7EE6" w:rsidRPr="0067507D" w:rsidRDefault="007D7EE6" w:rsidP="007D7EE6">
      <w:pPr>
        <w:pStyle w:val="NormalIndent"/>
        <w:keepLines w:val="0"/>
        <w:spacing w:before="0" w:after="0"/>
        <w:ind w:left="357"/>
      </w:pPr>
      <w:r w:rsidRPr="0067507D">
        <w:t xml:space="preserve">Melbourne VIC 3001 </w:t>
      </w:r>
    </w:p>
    <w:p w14:paraId="5804611F" w14:textId="2D979818" w:rsidR="007D7EE6" w:rsidRPr="0067507D" w:rsidRDefault="007D7EE6" w:rsidP="007D7EE6">
      <w:r w:rsidRPr="0067507D">
        <w:t xml:space="preserve">Enquiries can be made to the Department’s FOI Unit via email at </w:t>
      </w:r>
      <w:hyperlink r:id="rId225" w:history="1">
        <w:r w:rsidR="00457A97" w:rsidRPr="0067507D">
          <w:rPr>
            <w:rStyle w:val="Hyperlink"/>
          </w:rPr>
          <w:t>foidtf@dtf.vic.gov.au</w:t>
        </w:r>
      </w:hyperlink>
      <w:r w:rsidR="00457A97" w:rsidRPr="0067507D">
        <w:t xml:space="preserve">. </w:t>
      </w:r>
    </w:p>
    <w:p w14:paraId="3B0ECADD" w14:textId="4E6A9E30" w:rsidR="007D7EE6" w:rsidRPr="0067507D" w:rsidRDefault="007D7EE6" w:rsidP="007D7EE6">
      <w:r w:rsidRPr="0067507D">
        <w:t>Requests for documents held by the Department’s portfolio statutory bodies that are subject to FOI</w:t>
      </w:r>
      <w:r w:rsidR="329F1D32" w:rsidRPr="0067507D">
        <w:t xml:space="preserve"> </w:t>
      </w:r>
      <w:r w:rsidRPr="0067507D">
        <w:t>should be sent directly to the relevant statutory body. A list of the Department’s statutory bodies that are subject to FOI can be found at</w:t>
      </w:r>
      <w:r w:rsidR="00457A97" w:rsidRPr="0067507D">
        <w:t xml:space="preserve"> </w:t>
      </w:r>
      <w:hyperlink r:id="rId226">
        <w:r w:rsidR="00457A97" w:rsidRPr="0067507D">
          <w:rPr>
            <w:rStyle w:val="Hyperlink"/>
          </w:rPr>
          <w:t>www.dtf.vic.gov.au/about</w:t>
        </w:r>
        <w:r w:rsidR="006A5485">
          <w:rPr>
            <w:rStyle w:val="Hyperlink"/>
          </w:rPr>
          <w:noBreakHyphen/>
        </w:r>
        <w:r w:rsidR="00457A97" w:rsidRPr="0067507D">
          <w:rPr>
            <w:rStyle w:val="Hyperlink"/>
          </w:rPr>
          <w:t>us/agencies</w:t>
        </w:r>
        <w:r w:rsidR="006A5485">
          <w:rPr>
            <w:rStyle w:val="Hyperlink"/>
          </w:rPr>
          <w:noBreakHyphen/>
        </w:r>
        <w:r w:rsidR="00457A97" w:rsidRPr="0067507D">
          <w:rPr>
            <w:rStyle w:val="Hyperlink"/>
          </w:rPr>
          <w:t>affiliates</w:t>
        </w:r>
        <w:r w:rsidR="006A5485">
          <w:rPr>
            <w:rStyle w:val="Hyperlink"/>
          </w:rPr>
          <w:noBreakHyphen/>
        </w:r>
        <w:r w:rsidR="00457A97" w:rsidRPr="0067507D">
          <w:rPr>
            <w:rStyle w:val="Hyperlink"/>
          </w:rPr>
          <w:t>and</w:t>
        </w:r>
        <w:r w:rsidR="006A5485">
          <w:rPr>
            <w:rStyle w:val="Hyperlink"/>
          </w:rPr>
          <w:noBreakHyphen/>
        </w:r>
        <w:r w:rsidR="00457A97" w:rsidRPr="0067507D">
          <w:rPr>
            <w:rStyle w:val="Hyperlink"/>
          </w:rPr>
          <w:t>entities</w:t>
        </w:r>
      </w:hyperlink>
    </w:p>
    <w:p w14:paraId="418949A4" w14:textId="77777777" w:rsidR="007D7EE6" w:rsidRPr="0067507D" w:rsidRDefault="007D7EE6" w:rsidP="007D7EE6">
      <w:pPr>
        <w:pStyle w:val="Heading3"/>
      </w:pPr>
      <w:r w:rsidRPr="0067507D">
        <w:t>FOI statistics/timeliness</w:t>
      </w:r>
    </w:p>
    <w:p w14:paraId="4ADAEBC0" w14:textId="14CDC8EF" w:rsidR="007D7EE6" w:rsidRPr="0067507D" w:rsidRDefault="007D7EE6" w:rsidP="007D7EE6">
      <w:r w:rsidRPr="0067507D">
        <w:t>During</w:t>
      </w:r>
      <w:r w:rsidR="1B23037A" w:rsidRPr="0067507D">
        <w:t xml:space="preserve"> 2024</w:t>
      </w:r>
      <w:r w:rsidR="006A5485">
        <w:noBreakHyphen/>
      </w:r>
      <w:r w:rsidR="1B23037A" w:rsidRPr="0067507D">
        <w:t>25</w:t>
      </w:r>
      <w:fldSimple w:instr="DOCPROPERTY  FinYearCurrent  \* MERGEFORMAT"/>
      <w:r w:rsidRPr="0067507D">
        <w:t xml:space="preserve">, the Department received </w:t>
      </w:r>
      <w:r w:rsidR="2A2FA0DD" w:rsidRPr="0067507D">
        <w:t>91</w:t>
      </w:r>
      <w:r w:rsidR="0049767B" w:rsidRPr="0067507D">
        <w:rPr>
          <w:rFonts w:ascii="Calibri" w:hAnsi="Calibri" w:cs="Calibri"/>
        </w:rPr>
        <w:t> </w:t>
      </w:r>
      <w:r w:rsidRPr="0067507D">
        <w:t xml:space="preserve">applications. Of these requests, </w:t>
      </w:r>
      <w:r w:rsidR="6BC52532" w:rsidRPr="0067507D">
        <w:t xml:space="preserve">49 </w:t>
      </w:r>
      <w:r w:rsidRPr="0067507D">
        <w:t>were from Members of Parliament, 1</w:t>
      </w:r>
      <w:r w:rsidR="5365D4C3" w:rsidRPr="0067507D">
        <w:t>5</w:t>
      </w:r>
      <w:r w:rsidRPr="0067507D">
        <w:t xml:space="preserve"> from the media, and the remainder from the general public. </w:t>
      </w:r>
      <w:r w:rsidR="2A6045DF" w:rsidRPr="0067507D">
        <w:t>16 of these requests were transferred to other agencies.</w:t>
      </w:r>
    </w:p>
    <w:p w14:paraId="4B92F00D" w14:textId="2081295C" w:rsidR="007D7EE6" w:rsidRPr="0067507D" w:rsidRDefault="007D7EE6" w:rsidP="007D7EE6">
      <w:r w:rsidRPr="0067507D">
        <w:t xml:space="preserve">The Department made </w:t>
      </w:r>
      <w:r w:rsidR="387D13E6" w:rsidRPr="0067507D">
        <w:t>63</w:t>
      </w:r>
      <w:r w:rsidRPr="0067507D">
        <w:t xml:space="preserve"> FOI decisions during the 12</w:t>
      </w:r>
      <w:r w:rsidR="0049767B" w:rsidRPr="0067507D">
        <w:rPr>
          <w:rFonts w:ascii="Calibri" w:hAnsi="Calibri" w:cs="Calibri"/>
        </w:rPr>
        <w:t> </w:t>
      </w:r>
      <w:r w:rsidRPr="0067507D">
        <w:t xml:space="preserve">months ended 30 June </w:t>
      </w:r>
      <w:r w:rsidR="70537B02" w:rsidRPr="0067507D">
        <w:t>2025</w:t>
      </w:r>
      <w:r w:rsidRPr="0067507D">
        <w:t xml:space="preserve">. </w:t>
      </w:r>
    </w:p>
    <w:p w14:paraId="5F10119D" w14:textId="1DF1FFDF" w:rsidR="007D7EE6" w:rsidRPr="0067507D" w:rsidRDefault="007D7EE6" w:rsidP="007D7EE6">
      <w:r w:rsidRPr="0067507D">
        <w:t xml:space="preserve">There were </w:t>
      </w:r>
      <w:r w:rsidR="24529BC0" w:rsidRPr="0067507D">
        <w:t>17</w:t>
      </w:r>
      <w:r w:rsidRPr="0067507D">
        <w:t xml:space="preserve"> decisions made within the statutory time periods. Of the decisions made outside time, </w:t>
      </w:r>
      <w:r w:rsidR="00590311" w:rsidRPr="0067507D">
        <w:t>24</w:t>
      </w:r>
      <w:r w:rsidR="0049767B" w:rsidRPr="0067507D">
        <w:rPr>
          <w:rFonts w:ascii="Calibri" w:hAnsi="Calibri" w:cs="Calibri"/>
        </w:rPr>
        <w:t> </w:t>
      </w:r>
      <w:r w:rsidRPr="0067507D">
        <w:t xml:space="preserve">were made within a further 45 days and </w:t>
      </w:r>
      <w:r w:rsidR="41E0E7C8" w:rsidRPr="0067507D">
        <w:t>22</w:t>
      </w:r>
      <w:r w:rsidR="0049767B" w:rsidRPr="0067507D">
        <w:rPr>
          <w:rFonts w:ascii="Calibri" w:hAnsi="Calibri" w:cs="Calibri"/>
        </w:rPr>
        <w:t> </w:t>
      </w:r>
      <w:r w:rsidRPr="0067507D">
        <w:t>decisions were made in greater than 45 days. Of</w:t>
      </w:r>
      <w:r w:rsidR="0049767B" w:rsidRPr="0067507D">
        <w:rPr>
          <w:rFonts w:ascii="Calibri" w:hAnsi="Calibri" w:cs="Calibri"/>
        </w:rPr>
        <w:t> </w:t>
      </w:r>
      <w:r w:rsidRPr="0067507D">
        <w:t xml:space="preserve">the total decisions made, </w:t>
      </w:r>
      <w:r w:rsidR="7D033E77" w:rsidRPr="0067507D">
        <w:t>10</w:t>
      </w:r>
      <w:r w:rsidR="3842A901" w:rsidRPr="0067507D">
        <w:t xml:space="preserve"> </w:t>
      </w:r>
      <w:r w:rsidRPr="0067507D">
        <w:t>granted access to</w:t>
      </w:r>
      <w:r w:rsidR="0049767B" w:rsidRPr="0067507D">
        <w:rPr>
          <w:rFonts w:ascii="Calibri" w:hAnsi="Calibri" w:cs="Calibri"/>
        </w:rPr>
        <w:t> </w:t>
      </w:r>
      <w:r w:rsidRPr="0067507D">
        <w:t xml:space="preserve">documents in full, </w:t>
      </w:r>
      <w:r w:rsidR="6FA19EFE" w:rsidRPr="0067507D">
        <w:t>41</w:t>
      </w:r>
      <w:r w:rsidRPr="0067507D">
        <w:t xml:space="preserve"> granted access in part and</w:t>
      </w:r>
      <w:r w:rsidR="00C81735" w:rsidRPr="0067507D">
        <w:t xml:space="preserve"> </w:t>
      </w:r>
      <w:r w:rsidR="055B28EB" w:rsidRPr="0067507D">
        <w:t>eight</w:t>
      </w:r>
      <w:r w:rsidR="52B15243" w:rsidRPr="0067507D">
        <w:t xml:space="preserve"> </w:t>
      </w:r>
      <w:r w:rsidRPr="0067507D">
        <w:t xml:space="preserve">denied access in full. </w:t>
      </w:r>
      <w:r w:rsidR="355F50B0" w:rsidRPr="0067507D">
        <w:t>No documents could be located in response to four requests.</w:t>
      </w:r>
      <w:r w:rsidRPr="0067507D">
        <w:t xml:space="preserve"> Of requests finalised, the average number of days over the statutory time (including extended timeframes) to decide the request was </w:t>
      </w:r>
      <w:r w:rsidR="2F1FAB9A" w:rsidRPr="0067507D">
        <w:t>50</w:t>
      </w:r>
      <w:r w:rsidRPr="0067507D">
        <w:t xml:space="preserve"> days.</w:t>
      </w:r>
    </w:p>
    <w:p w14:paraId="0680ADA6" w14:textId="2B9B3FDA" w:rsidR="007D7EE6" w:rsidRPr="0067507D" w:rsidRDefault="007D7EE6" w:rsidP="007D7EE6">
      <w:r w:rsidRPr="0067507D">
        <w:t xml:space="preserve">During </w:t>
      </w:r>
      <w:r w:rsidR="1CF2170A" w:rsidRPr="0067507D">
        <w:t>2024</w:t>
      </w:r>
      <w:r w:rsidR="006A5485">
        <w:noBreakHyphen/>
      </w:r>
      <w:r w:rsidR="1CF2170A" w:rsidRPr="0067507D">
        <w:t>25</w:t>
      </w:r>
      <w:fldSimple w:instr="DOCPROPERTY  FinYearCurrent  \* MERGEFORMAT"/>
      <w:r w:rsidRPr="0067507D">
        <w:t xml:space="preserve">, </w:t>
      </w:r>
      <w:r w:rsidR="4946AF12" w:rsidRPr="0067507D">
        <w:t xml:space="preserve">nine </w:t>
      </w:r>
      <w:r w:rsidRPr="0067507D">
        <w:t xml:space="preserve">requests were subject to internal review by OVIC. </w:t>
      </w:r>
      <w:r w:rsidR="10AA9873" w:rsidRPr="0067507D">
        <w:t>Seven</w:t>
      </w:r>
      <w:r w:rsidRPr="0067507D">
        <w:t xml:space="preserve"> requests progressed to the Victorian Civil and Administrative Tribunal (VCAT).</w:t>
      </w:r>
    </w:p>
    <w:p w14:paraId="11926537" w14:textId="77777777" w:rsidR="007D7EE6" w:rsidRPr="0067507D" w:rsidRDefault="007D7EE6" w:rsidP="007D7EE6">
      <w:pPr>
        <w:pStyle w:val="Heading3"/>
      </w:pPr>
      <w:r w:rsidRPr="0067507D">
        <w:t>Further information</w:t>
      </w:r>
    </w:p>
    <w:p w14:paraId="3841B364" w14:textId="236390DB" w:rsidR="007D7EE6" w:rsidRPr="0067507D" w:rsidRDefault="007D7EE6" w:rsidP="007D7EE6">
      <w:r w:rsidRPr="0067507D">
        <w:t xml:space="preserve">Further information regarding the operation and scope of FOI can be obtained from the Act, regulations made under the Act and </w:t>
      </w:r>
      <w:hyperlink r:id="rId227" w:history="1">
        <w:r w:rsidRPr="0067507D">
          <w:rPr>
            <w:rStyle w:val="Hyperlink"/>
          </w:rPr>
          <w:t>ovic.vic.gov.au</w:t>
        </w:r>
      </w:hyperlink>
      <w:r w:rsidRPr="0067507D">
        <w:t>.</w:t>
      </w:r>
    </w:p>
    <w:p w14:paraId="6D75E2F2" w14:textId="5070A4F1" w:rsidR="004E29AF" w:rsidRPr="0067507D" w:rsidRDefault="004E29AF" w:rsidP="004E29AF"/>
    <w:p w14:paraId="34B58DC6" w14:textId="7D6FC778" w:rsidR="004E29AF" w:rsidRPr="0067507D" w:rsidRDefault="004E29AF" w:rsidP="00B17DF1">
      <w:pPr>
        <w:pStyle w:val="Heading1b"/>
        <w:pageBreakBefore/>
      </w:pPr>
      <w:bookmarkStart w:id="256" w:name="_Toc17189967"/>
      <w:bookmarkStart w:id="257" w:name="_Toc210221151"/>
      <w:r w:rsidRPr="0067507D">
        <w:lastRenderedPageBreak/>
        <w:t>Community Support Fund</w:t>
      </w:r>
      <w:bookmarkEnd w:id="256"/>
      <w:bookmarkEnd w:id="257"/>
    </w:p>
    <w:p w14:paraId="5E9049F6" w14:textId="26BCD148" w:rsidR="004E29AF" w:rsidRPr="0067507D" w:rsidRDefault="004E29AF" w:rsidP="00B17DF1">
      <w:pPr>
        <w:pStyle w:val="Heading1b"/>
        <w:pageBreakBefore/>
        <w:sectPr w:rsidR="004E29AF" w:rsidRPr="0067507D" w:rsidSect="007E421B">
          <w:type w:val="continuous"/>
          <w:pgSz w:w="11909" w:h="16834" w:code="9"/>
          <w:pgMar w:top="1728" w:right="1152" w:bottom="1267" w:left="1152" w:header="720" w:footer="288" w:gutter="0"/>
          <w:cols w:num="2" w:space="720"/>
          <w:noEndnote/>
        </w:sectPr>
      </w:pPr>
    </w:p>
    <w:p w14:paraId="60723982" w14:textId="77777777" w:rsidR="004E29AF" w:rsidRPr="0067507D" w:rsidRDefault="004E29AF" w:rsidP="004E29AF">
      <w:pPr>
        <w:rPr>
          <w:rFonts w:ascii="Calibri" w:eastAsia="Calibri" w:hAnsi="Calibri" w:cs="Calibri"/>
          <w:szCs w:val="17"/>
        </w:rPr>
      </w:pPr>
      <w:r w:rsidRPr="0067507D">
        <w:rPr>
          <w:rFonts w:ascii="VIC" w:eastAsia="VIC" w:hAnsi="VIC" w:cs="VIC"/>
          <w:szCs w:val="17"/>
        </w:rPr>
        <w:t xml:space="preserve">The Community Support Fund (CSF) is a trust fund that directs a portion of gaming revenue back into the community. It was established in 1991 and is governed by the </w:t>
      </w:r>
      <w:r w:rsidRPr="0067507D">
        <w:rPr>
          <w:rFonts w:ascii="VIC" w:eastAsia="VIC" w:hAnsi="VIC" w:cs="VIC"/>
          <w:i/>
          <w:iCs/>
          <w:szCs w:val="17"/>
        </w:rPr>
        <w:t>Gambling Regulation Act 2003</w:t>
      </w:r>
      <w:r w:rsidRPr="0067507D">
        <w:rPr>
          <w:rFonts w:ascii="VIC" w:eastAsia="VIC" w:hAnsi="VIC" w:cs="VIC"/>
          <w:szCs w:val="17"/>
        </w:rPr>
        <w:t>.</w:t>
      </w:r>
      <w:r w:rsidRPr="0067507D">
        <w:rPr>
          <w:rFonts w:ascii="Calibri" w:eastAsia="Calibri" w:hAnsi="Calibri" w:cs="Calibri"/>
          <w:szCs w:val="17"/>
        </w:rPr>
        <w:t xml:space="preserve"> </w:t>
      </w:r>
    </w:p>
    <w:p w14:paraId="19151396" w14:textId="7A31B4BB" w:rsidR="004E29AF" w:rsidRPr="0067507D" w:rsidRDefault="004E29AF" w:rsidP="004E29AF">
      <w:pPr>
        <w:rPr>
          <w:rFonts w:eastAsia="Calibri"/>
        </w:rPr>
      </w:pPr>
      <w:r w:rsidRPr="0067507D">
        <w:rPr>
          <w:rFonts w:ascii="VIC" w:eastAsia="VIC" w:hAnsi="VIC" w:cs="VIC"/>
          <w:szCs w:val="17"/>
        </w:rPr>
        <w:t>As prescribed by the legislation, the CSF receives 8.33</w:t>
      </w:r>
      <w:r w:rsidR="005753BE" w:rsidRPr="0067507D">
        <w:rPr>
          <w:rFonts w:ascii="Calibri" w:eastAsia="Calibri" w:hAnsi="Calibri" w:cs="Calibri"/>
          <w:szCs w:val="17"/>
        </w:rPr>
        <w:t> </w:t>
      </w:r>
      <w:r w:rsidR="005753BE" w:rsidRPr="0067507D">
        <w:rPr>
          <w:rFonts w:eastAsia="Calibri" w:cs="Calibri"/>
          <w:szCs w:val="17"/>
        </w:rPr>
        <w:t>per</w:t>
      </w:r>
      <w:r w:rsidR="005753BE" w:rsidRPr="0067507D">
        <w:rPr>
          <w:rFonts w:ascii="Calibri" w:eastAsia="Calibri" w:hAnsi="Calibri" w:cs="Calibri"/>
          <w:szCs w:val="17"/>
        </w:rPr>
        <w:t> </w:t>
      </w:r>
      <w:r w:rsidR="005753BE" w:rsidRPr="0067507D">
        <w:rPr>
          <w:rFonts w:eastAsia="Calibri" w:cs="Calibri"/>
          <w:szCs w:val="17"/>
        </w:rPr>
        <w:t>cent</w:t>
      </w:r>
      <w:r w:rsidRPr="0067507D">
        <w:rPr>
          <w:rFonts w:ascii="VIC" w:eastAsia="VIC" w:hAnsi="VIC" w:cs="VIC"/>
          <w:szCs w:val="17"/>
        </w:rPr>
        <w:t xml:space="preserve"> of the revenue generated from electronic gaming machines in hotels. Any interest earned on the balance of the trust fund is retained by the CSF.</w:t>
      </w:r>
      <w:r w:rsidRPr="0067507D">
        <w:rPr>
          <w:rFonts w:ascii="Calibri" w:eastAsia="Calibri" w:hAnsi="Calibri" w:cs="Calibri"/>
          <w:szCs w:val="17"/>
        </w:rPr>
        <w:t xml:space="preserve"> </w:t>
      </w:r>
    </w:p>
    <w:p w14:paraId="589D0F6C" w14:textId="77777777" w:rsidR="004E29AF" w:rsidRPr="0067507D" w:rsidRDefault="004E29AF" w:rsidP="004E29AF">
      <w:pPr>
        <w:rPr>
          <w:rFonts w:eastAsia="Calibri"/>
        </w:rPr>
      </w:pPr>
      <w:r w:rsidRPr="0067507D">
        <w:rPr>
          <w:rFonts w:ascii="VIC" w:eastAsia="VIC" w:hAnsi="VIC" w:cs="VIC"/>
          <w:szCs w:val="17"/>
        </w:rPr>
        <w:t>The Government can allocate funding from the CSF to a range of initiatives, which are administered by departments. Funded initiatives must be consistent with the purposes of the legislation.</w:t>
      </w:r>
      <w:r w:rsidRPr="0067507D">
        <w:rPr>
          <w:rFonts w:eastAsia="Calibri"/>
        </w:rPr>
        <w:t xml:space="preserve"> </w:t>
      </w:r>
    </w:p>
    <w:p w14:paraId="1C658957" w14:textId="77777777" w:rsidR="004E29AF" w:rsidRPr="0067507D" w:rsidRDefault="004E29AF" w:rsidP="004E29AF">
      <w:pPr>
        <w:rPr>
          <w:rFonts w:eastAsia="Calibri"/>
        </w:rPr>
      </w:pPr>
      <w:r w:rsidRPr="0067507D">
        <w:rPr>
          <w:rFonts w:ascii="VIC" w:eastAsia="VIC" w:hAnsi="VIC" w:cs="VIC"/>
          <w:szCs w:val="17"/>
        </w:rPr>
        <w:t xml:space="preserve">Programs that tackle problem gambling are the first call on funds from the CSF. The </w:t>
      </w:r>
      <w:r w:rsidRPr="0067507D">
        <w:rPr>
          <w:rFonts w:ascii="VIC" w:eastAsia="VIC" w:hAnsi="VIC" w:cs="VIC"/>
          <w:i/>
          <w:iCs/>
          <w:szCs w:val="17"/>
        </w:rPr>
        <w:t>Victorian Responsible Gambling Foundation Act 2011</w:t>
      </w:r>
      <w:r w:rsidRPr="0067507D">
        <w:rPr>
          <w:rFonts w:ascii="VIC" w:eastAsia="VIC" w:hAnsi="VIC" w:cs="VIC"/>
          <w:szCs w:val="17"/>
        </w:rPr>
        <w:t xml:space="preserve"> gives effect to the Government’s problem gambling policy. This legislation provides the basis on which funds will be transferred from the CSF to the Responsible Gambling Fund to reduce the prevalence and severity of gambling related harm and foster responsible gambling behaviour.</w:t>
      </w:r>
      <w:r w:rsidRPr="0067507D">
        <w:rPr>
          <w:rFonts w:ascii="Calibri" w:eastAsia="Calibri" w:hAnsi="Calibri" w:cs="Calibri"/>
          <w:szCs w:val="17"/>
        </w:rPr>
        <w:t xml:space="preserve"> </w:t>
      </w:r>
    </w:p>
    <w:p w14:paraId="7E527FAE" w14:textId="71053E7B" w:rsidR="004E29AF" w:rsidRPr="0067507D" w:rsidRDefault="004E29AF" w:rsidP="196FA42F">
      <w:pPr>
        <w:spacing w:line="259" w:lineRule="auto"/>
      </w:pPr>
      <w:r w:rsidRPr="0067507D">
        <w:rPr>
          <w:rFonts w:eastAsia="VIC"/>
        </w:rPr>
        <w:t>The CSF can also fund:</w:t>
      </w:r>
      <w:r w:rsidRPr="0067507D">
        <w:rPr>
          <w:rFonts w:eastAsia="Calibri"/>
        </w:rPr>
        <w:t xml:space="preserve"> </w:t>
      </w:r>
    </w:p>
    <w:p w14:paraId="3DF93571" w14:textId="63168598" w:rsidR="004E29AF" w:rsidRPr="0067507D" w:rsidRDefault="004E29AF" w:rsidP="598828AE">
      <w:pPr>
        <w:pStyle w:val="Bullet"/>
        <w:spacing w:line="259" w:lineRule="auto"/>
        <w:rPr>
          <w:rFonts w:eastAsia="Calibri"/>
        </w:rPr>
      </w:pPr>
      <w:r w:rsidRPr="0067507D">
        <w:rPr>
          <w:rFonts w:eastAsia="Cambria Math"/>
        </w:rPr>
        <w:t>drug education, treatment, and rehabilitation</w:t>
      </w:r>
      <w:r w:rsidRPr="0067507D">
        <w:rPr>
          <w:rFonts w:eastAsia="Calibri"/>
        </w:rPr>
        <w:t xml:space="preserve"> </w:t>
      </w:r>
    </w:p>
    <w:p w14:paraId="1C83F403" w14:textId="3BF64B2A" w:rsidR="004E29AF" w:rsidRPr="0067507D" w:rsidRDefault="004E29AF" w:rsidP="598828AE">
      <w:pPr>
        <w:pStyle w:val="Bullet"/>
        <w:spacing w:line="259" w:lineRule="auto"/>
        <w:rPr>
          <w:rFonts w:eastAsia="Calibri"/>
        </w:rPr>
      </w:pPr>
      <w:r w:rsidRPr="0067507D">
        <w:rPr>
          <w:rFonts w:eastAsia="Cambria Math"/>
        </w:rPr>
        <w:t>financial counselling services or support and assistance for families in crisis</w:t>
      </w:r>
      <w:r w:rsidRPr="0067507D">
        <w:rPr>
          <w:rFonts w:eastAsia="Calibri"/>
        </w:rPr>
        <w:t xml:space="preserve"> </w:t>
      </w:r>
    </w:p>
    <w:p w14:paraId="0D34E744" w14:textId="431B0CA2" w:rsidR="004E29AF" w:rsidRPr="0067507D" w:rsidRDefault="004E29AF" w:rsidP="598828AE">
      <w:pPr>
        <w:pStyle w:val="Bullet"/>
        <w:spacing w:line="259" w:lineRule="auto"/>
        <w:rPr>
          <w:rFonts w:eastAsia="Calibri"/>
        </w:rPr>
      </w:pPr>
      <w:r w:rsidRPr="0067507D">
        <w:rPr>
          <w:rFonts w:eastAsia="Cambria Math"/>
        </w:rPr>
        <w:t>youth programs</w:t>
      </w:r>
      <w:r w:rsidRPr="0067507D">
        <w:rPr>
          <w:rFonts w:eastAsia="Calibri"/>
        </w:rPr>
        <w:t xml:space="preserve"> </w:t>
      </w:r>
    </w:p>
    <w:p w14:paraId="4198DCD1" w14:textId="10B9DAA7" w:rsidR="004E29AF" w:rsidRPr="0067507D" w:rsidRDefault="004E29AF" w:rsidP="598828AE">
      <w:pPr>
        <w:pStyle w:val="Bullet"/>
        <w:spacing w:line="259" w:lineRule="auto"/>
        <w:rPr>
          <w:rFonts w:eastAsia="Calibri"/>
        </w:rPr>
      </w:pPr>
      <w:r w:rsidRPr="0067507D">
        <w:rPr>
          <w:rFonts w:eastAsia="Cambria Math"/>
        </w:rPr>
        <w:t>sport and recreation</w:t>
      </w:r>
      <w:r w:rsidRPr="0067507D">
        <w:rPr>
          <w:rFonts w:eastAsia="Calibri"/>
        </w:rPr>
        <w:t xml:space="preserve"> </w:t>
      </w:r>
    </w:p>
    <w:p w14:paraId="205C11D9" w14:textId="03B7DE46" w:rsidR="004E29AF" w:rsidRPr="0067507D" w:rsidRDefault="004E29AF" w:rsidP="598828AE">
      <w:pPr>
        <w:pStyle w:val="Bullet"/>
        <w:spacing w:line="259" w:lineRule="auto"/>
        <w:rPr>
          <w:rFonts w:eastAsia="Calibri"/>
        </w:rPr>
      </w:pPr>
      <w:r w:rsidRPr="0067507D">
        <w:rPr>
          <w:rFonts w:eastAsia="Cambria Math"/>
        </w:rPr>
        <w:t>arts and tourism</w:t>
      </w:r>
      <w:r w:rsidRPr="0067507D">
        <w:rPr>
          <w:rFonts w:eastAsia="Calibri"/>
        </w:rPr>
        <w:t xml:space="preserve"> </w:t>
      </w:r>
    </w:p>
    <w:p w14:paraId="07257618" w14:textId="4A4B090C" w:rsidR="004E29AF" w:rsidRPr="0067507D" w:rsidRDefault="004E29AF" w:rsidP="598828AE">
      <w:pPr>
        <w:pStyle w:val="Bullet"/>
        <w:spacing w:line="259" w:lineRule="auto"/>
        <w:rPr>
          <w:rFonts w:eastAsia="Calibri"/>
        </w:rPr>
      </w:pPr>
      <w:r w:rsidRPr="0067507D">
        <w:rPr>
          <w:rFonts w:eastAsia="Cambria Math"/>
        </w:rPr>
        <w:t>community support or advancement</w:t>
      </w:r>
      <w:r w:rsidRPr="0067507D">
        <w:rPr>
          <w:rFonts w:eastAsia="Calibri"/>
        </w:rPr>
        <w:t xml:space="preserve"> </w:t>
      </w:r>
    </w:p>
    <w:p w14:paraId="43303C67" w14:textId="05236DDF" w:rsidR="004E29AF" w:rsidRPr="0067507D" w:rsidRDefault="004E29AF" w:rsidP="598828AE">
      <w:pPr>
        <w:pStyle w:val="Bullet"/>
        <w:spacing w:line="259" w:lineRule="auto"/>
        <w:rPr>
          <w:rFonts w:eastAsia="Calibri"/>
        </w:rPr>
      </w:pPr>
      <w:r w:rsidRPr="0067507D">
        <w:rPr>
          <w:rFonts w:eastAsia="Cambria Math"/>
        </w:rPr>
        <w:t>costs associated with administering the CSF.</w:t>
      </w:r>
      <w:r w:rsidRPr="0067507D">
        <w:rPr>
          <w:rFonts w:eastAsia="Calibri"/>
        </w:rPr>
        <w:t xml:space="preserve"> </w:t>
      </w:r>
    </w:p>
    <w:p w14:paraId="2C8A1269" w14:textId="1344E66B" w:rsidR="004E29AF" w:rsidRPr="0067507D" w:rsidRDefault="004E29AF" w:rsidP="196FA42F">
      <w:pPr>
        <w:spacing w:line="259" w:lineRule="auto"/>
        <w:rPr>
          <w:rFonts w:eastAsia="Calibri"/>
        </w:rPr>
      </w:pPr>
      <w:r w:rsidRPr="0067507D">
        <w:rPr>
          <w:rFonts w:eastAsia="Cambria Math"/>
        </w:rPr>
        <w:t>The funds are provided to departments for making grants to a wide range of community</w:t>
      </w:r>
      <w:r w:rsidR="006A5485">
        <w:rPr>
          <w:rFonts w:eastAsia="Cambria Math"/>
        </w:rPr>
        <w:noBreakHyphen/>
      </w:r>
      <w:r w:rsidRPr="0067507D">
        <w:rPr>
          <w:rFonts w:eastAsia="Cambria Math"/>
        </w:rPr>
        <w:t>based organisations and councils, supporting them to build strong and sustainable communities.</w:t>
      </w:r>
      <w:r w:rsidRPr="0067507D">
        <w:rPr>
          <w:rFonts w:eastAsia="Calibri"/>
        </w:rPr>
        <w:t xml:space="preserve"> </w:t>
      </w:r>
    </w:p>
    <w:p w14:paraId="6E563865" w14:textId="00BD640C" w:rsidR="004E29AF" w:rsidRPr="0067507D" w:rsidRDefault="007B71F4" w:rsidP="00B03391">
      <w:pPr>
        <w:rPr>
          <w:rFonts w:eastAsia="Cambria Math"/>
          <w:szCs w:val="17"/>
        </w:rPr>
      </w:pPr>
      <w:r w:rsidRPr="0067507D">
        <w:rPr>
          <w:rFonts w:eastAsia="Cambria Math"/>
        </w:rPr>
        <w:br w:type="column"/>
      </w:r>
      <w:r w:rsidR="004E29AF" w:rsidRPr="0067507D">
        <w:rPr>
          <w:rFonts w:eastAsia="Cambria Math"/>
        </w:rPr>
        <w:t>The legislation also provides for the payment of one</w:t>
      </w:r>
      <w:r w:rsidR="006A4FA7" w:rsidRPr="0067507D">
        <w:rPr>
          <w:rFonts w:ascii="Calibri" w:eastAsia="Cambria Math" w:hAnsi="Calibri" w:cs="Calibri"/>
        </w:rPr>
        <w:t> </w:t>
      </w:r>
      <w:r w:rsidR="004E29AF" w:rsidRPr="0067507D">
        <w:rPr>
          <w:rFonts w:eastAsia="Cambria Math"/>
        </w:rPr>
        <w:t>day’s revenue from the CSF to the Victorian Veterans Fund.</w:t>
      </w:r>
    </w:p>
    <w:p w14:paraId="257F5E2D" w14:textId="4FDD9B13" w:rsidR="0B6E6634" w:rsidRPr="0067507D" w:rsidRDefault="0B6E6634" w:rsidP="00B03391">
      <w:pPr>
        <w:rPr>
          <w:rFonts w:eastAsia="Cambria Math"/>
        </w:rPr>
      </w:pPr>
      <w:r w:rsidRPr="0067507D">
        <w:rPr>
          <w:rFonts w:eastAsia="Cambria Math"/>
        </w:rPr>
        <w:t xml:space="preserve">In </w:t>
      </w:r>
      <w:r w:rsidR="00C30F42" w:rsidRPr="0067507D">
        <w:rPr>
          <w:rFonts w:eastAsia="Cambria Math"/>
        </w:rPr>
        <w:t>2024</w:t>
      </w:r>
      <w:r w:rsidR="006A5485">
        <w:rPr>
          <w:rFonts w:eastAsia="Cambria Math"/>
        </w:rPr>
        <w:noBreakHyphen/>
      </w:r>
      <w:r w:rsidR="00C30F42" w:rsidRPr="0067507D">
        <w:rPr>
          <w:rFonts w:eastAsia="Cambria Math"/>
        </w:rPr>
        <w:t>25</w:t>
      </w:r>
      <w:r w:rsidRPr="0067507D">
        <w:rPr>
          <w:rFonts w:eastAsia="Cambria Math"/>
        </w:rPr>
        <w:t>, the CSF received $1</w:t>
      </w:r>
      <w:r w:rsidR="00830403" w:rsidRPr="0067507D">
        <w:rPr>
          <w:rFonts w:eastAsia="Cambria Math"/>
        </w:rPr>
        <w:t>68.7</w:t>
      </w:r>
      <w:r w:rsidRPr="0067507D">
        <w:rPr>
          <w:rFonts w:ascii="Calibri" w:eastAsia="Cambria Math" w:hAnsi="Calibri" w:cs="Calibri"/>
        </w:rPr>
        <w:t> </w:t>
      </w:r>
      <w:r w:rsidRPr="0067507D">
        <w:rPr>
          <w:rFonts w:eastAsia="Cambria Math"/>
        </w:rPr>
        <w:t xml:space="preserve">million in revenue. </w:t>
      </w:r>
    </w:p>
    <w:p w14:paraId="358D4E2F" w14:textId="3AADDC93" w:rsidR="004E29AF" w:rsidRPr="0067507D" w:rsidRDefault="004E29AF" w:rsidP="00B03391">
      <w:pPr>
        <w:rPr>
          <w:rFonts w:eastAsia="Cambria Math"/>
        </w:rPr>
      </w:pPr>
      <w:bookmarkStart w:id="258" w:name="_Hlk80277150"/>
      <w:r w:rsidRPr="0067507D">
        <w:rPr>
          <w:rFonts w:eastAsia="Cambria Math"/>
        </w:rPr>
        <w:t>A total of $</w:t>
      </w:r>
      <w:r w:rsidR="006D3213" w:rsidRPr="0067507D">
        <w:rPr>
          <w:rFonts w:eastAsia="Cambria Math"/>
        </w:rPr>
        <w:t>1</w:t>
      </w:r>
      <w:r w:rsidR="009D7417" w:rsidRPr="0067507D">
        <w:rPr>
          <w:rFonts w:eastAsia="Cambria Math"/>
        </w:rPr>
        <w:t>37</w:t>
      </w:r>
      <w:r w:rsidR="0B6E6634" w:rsidRPr="0067507D">
        <w:rPr>
          <w:rFonts w:eastAsia="Cambria Math"/>
        </w:rPr>
        <w:t>.</w:t>
      </w:r>
      <w:r w:rsidR="00D65926" w:rsidRPr="0067507D">
        <w:rPr>
          <w:rFonts w:eastAsia="Cambria Math"/>
        </w:rPr>
        <w:t>3</w:t>
      </w:r>
      <w:r w:rsidR="006D3213" w:rsidRPr="0067507D">
        <w:rPr>
          <w:rFonts w:eastAsia="Cambria Math"/>
        </w:rPr>
        <w:t xml:space="preserve"> </w:t>
      </w:r>
      <w:r w:rsidRPr="0067507D">
        <w:rPr>
          <w:rFonts w:eastAsia="Cambria Math"/>
        </w:rPr>
        <w:t xml:space="preserve">million in expenditure was incurred in </w:t>
      </w:r>
      <w:r w:rsidR="00C30F42" w:rsidRPr="0067507D">
        <w:rPr>
          <w:rFonts w:eastAsia="Cambria Math"/>
        </w:rPr>
        <w:t>2024</w:t>
      </w:r>
      <w:r w:rsidR="006A5485">
        <w:rPr>
          <w:rFonts w:eastAsia="Cambria Math"/>
        </w:rPr>
        <w:noBreakHyphen/>
      </w:r>
      <w:r w:rsidR="00C30F42" w:rsidRPr="0067507D">
        <w:rPr>
          <w:rFonts w:eastAsia="Cambria Math"/>
        </w:rPr>
        <w:t>25</w:t>
      </w:r>
      <w:r w:rsidRPr="0067507D">
        <w:rPr>
          <w:rFonts w:eastAsia="Cambria Math"/>
        </w:rPr>
        <w:t xml:space="preserve"> for projects approved within the current and the previous financial years</w:t>
      </w:r>
      <w:r w:rsidR="00B5056E" w:rsidRPr="0067507D">
        <w:rPr>
          <w:rFonts w:eastAsia="Cambria Math"/>
        </w:rPr>
        <w:t>, and the administration of the fund</w:t>
      </w:r>
      <w:r w:rsidRPr="0067507D">
        <w:rPr>
          <w:rFonts w:eastAsia="Cambria Math"/>
        </w:rPr>
        <w:t xml:space="preserve">. </w:t>
      </w:r>
    </w:p>
    <w:p w14:paraId="08FD3F90" w14:textId="34A5A5C0" w:rsidR="004E29AF" w:rsidRPr="0067507D" w:rsidRDefault="004E29AF" w:rsidP="00B03391">
      <w:pPr>
        <w:rPr>
          <w:rFonts w:eastAsia="Cambria Math"/>
        </w:rPr>
      </w:pPr>
      <w:r w:rsidRPr="0067507D">
        <w:rPr>
          <w:rFonts w:eastAsia="Cambria Math"/>
          <w:szCs w:val="17"/>
        </w:rPr>
        <w:t xml:space="preserve">There have been new grant approvals made for </w:t>
      </w:r>
      <w:r w:rsidR="00812457" w:rsidRPr="0067507D">
        <w:rPr>
          <w:rFonts w:eastAsia="Cambria Math"/>
          <w:szCs w:val="17"/>
        </w:rPr>
        <w:t>1</w:t>
      </w:r>
      <w:r w:rsidR="6CE13AB3" w:rsidRPr="0067507D">
        <w:rPr>
          <w:rFonts w:eastAsia="Cambria Math"/>
          <w:szCs w:val="17"/>
        </w:rPr>
        <w:t>3</w:t>
      </w:r>
      <w:r w:rsidR="00B17DF1" w:rsidRPr="0067507D">
        <w:rPr>
          <w:rFonts w:ascii="Calibri" w:eastAsia="Cambria Math" w:hAnsi="Calibri" w:cs="Calibri"/>
          <w:szCs w:val="17"/>
        </w:rPr>
        <w:t> </w:t>
      </w:r>
      <w:r w:rsidRPr="0067507D">
        <w:rPr>
          <w:rFonts w:eastAsia="Cambria Math"/>
          <w:szCs w:val="17"/>
        </w:rPr>
        <w:t xml:space="preserve">community projects during </w:t>
      </w:r>
      <w:r w:rsidR="00C30F42" w:rsidRPr="0067507D">
        <w:rPr>
          <w:rFonts w:eastAsia="Cambria Math"/>
          <w:szCs w:val="17"/>
        </w:rPr>
        <w:t>2024</w:t>
      </w:r>
      <w:r w:rsidR="006A5485">
        <w:rPr>
          <w:rFonts w:eastAsia="Cambria Math"/>
          <w:szCs w:val="17"/>
        </w:rPr>
        <w:noBreakHyphen/>
      </w:r>
      <w:r w:rsidR="00C30F42" w:rsidRPr="0067507D">
        <w:rPr>
          <w:rFonts w:eastAsia="Cambria Math"/>
          <w:szCs w:val="17"/>
        </w:rPr>
        <w:t>25</w:t>
      </w:r>
      <w:r w:rsidRPr="0067507D">
        <w:rPr>
          <w:rFonts w:eastAsia="Cambria Math"/>
          <w:szCs w:val="17"/>
        </w:rPr>
        <w:t xml:space="preserve"> (as</w:t>
      </w:r>
      <w:r w:rsidR="00B17DF1" w:rsidRPr="0067507D">
        <w:rPr>
          <w:rFonts w:eastAsia="Cambria Math"/>
          <w:szCs w:val="17"/>
        </w:rPr>
        <w:t xml:space="preserve"> </w:t>
      </w:r>
      <w:r w:rsidRPr="0067507D">
        <w:rPr>
          <w:rFonts w:eastAsia="Cambria Math"/>
          <w:szCs w:val="17"/>
        </w:rPr>
        <w:t>tabled on</w:t>
      </w:r>
      <w:r w:rsidR="006A4FA7" w:rsidRPr="0067507D">
        <w:rPr>
          <w:rFonts w:ascii="Calibri" w:eastAsia="Cambria Math" w:hAnsi="Calibri" w:cs="Calibri"/>
          <w:szCs w:val="17"/>
        </w:rPr>
        <w:t> </w:t>
      </w:r>
      <w:r w:rsidRPr="0067507D">
        <w:rPr>
          <w:rFonts w:eastAsia="Cambria Math"/>
          <w:szCs w:val="17"/>
        </w:rPr>
        <w:t xml:space="preserve">the following page). </w:t>
      </w:r>
    </w:p>
    <w:p w14:paraId="767C2CA9" w14:textId="62C66C86" w:rsidR="004E29AF" w:rsidRPr="0067507D" w:rsidRDefault="004E29AF" w:rsidP="00B03391">
      <w:pPr>
        <w:rPr>
          <w:rFonts w:eastAsia="Calibri"/>
        </w:rPr>
      </w:pPr>
      <w:r w:rsidRPr="0067507D">
        <w:rPr>
          <w:rFonts w:eastAsia="Cambria Math"/>
          <w:color w:val="232B39" w:themeColor="text1"/>
        </w:rPr>
        <w:t xml:space="preserve">For more information in relation to the CSF please refer to </w:t>
      </w:r>
      <w:hyperlink r:id="rId228">
        <w:r w:rsidR="00B03391">
          <w:rPr>
            <w:rStyle w:val="Hyperlink"/>
            <w:rFonts w:eastAsia="Cambria Math"/>
          </w:rPr>
          <w:t>www.dtf.vic.gov.au/funds programs and policies/community support fund</w:t>
        </w:r>
      </w:hyperlink>
      <w:r w:rsidRPr="0067507D">
        <w:rPr>
          <w:rFonts w:eastAsia="Cambria Math"/>
          <w:color w:val="232B39" w:themeColor="text1"/>
        </w:rPr>
        <w:t>.</w:t>
      </w:r>
    </w:p>
    <w:p w14:paraId="2C7F9ED2" w14:textId="77777777" w:rsidR="004E29AF" w:rsidRPr="0067507D" w:rsidRDefault="004E29AF" w:rsidP="004E29AF"/>
    <w:bookmarkEnd w:id="258"/>
    <w:p w14:paraId="36FC967C" w14:textId="77777777" w:rsidR="004E29AF" w:rsidRPr="0067507D" w:rsidRDefault="004E29AF" w:rsidP="004E29AF"/>
    <w:p w14:paraId="1325F5BB" w14:textId="77777777" w:rsidR="004E29AF" w:rsidRPr="0067507D" w:rsidRDefault="004E29AF" w:rsidP="004E29AF">
      <w:pPr>
        <w:pStyle w:val="Heading1b"/>
        <w:sectPr w:rsidR="004E29AF" w:rsidRPr="0067507D" w:rsidSect="009526AE">
          <w:headerReference w:type="even" r:id="rId229"/>
          <w:headerReference w:type="default" r:id="rId230"/>
          <w:footerReference w:type="even" r:id="rId231"/>
          <w:footerReference w:type="default" r:id="rId232"/>
          <w:headerReference w:type="first" r:id="rId233"/>
          <w:footerReference w:type="first" r:id="rId234"/>
          <w:type w:val="continuous"/>
          <w:pgSz w:w="11909" w:h="16834" w:code="9"/>
          <w:pgMar w:top="1728" w:right="1152" w:bottom="1267" w:left="1152" w:header="720" w:footer="288" w:gutter="0"/>
          <w:cols w:num="2" w:space="720"/>
          <w:noEndnote/>
        </w:sectPr>
      </w:pPr>
    </w:p>
    <w:p w14:paraId="3250C2E1" w14:textId="258FD894" w:rsidR="004E29AF" w:rsidRPr="0067507D" w:rsidRDefault="004E29AF" w:rsidP="004E29AF">
      <w:pPr>
        <w:pStyle w:val="Heading2"/>
      </w:pPr>
      <w:r w:rsidRPr="0067507D">
        <w:lastRenderedPageBreak/>
        <w:t xml:space="preserve">Projects approved from 1 July </w:t>
      </w:r>
      <w:r w:rsidR="6108B284" w:rsidRPr="0067507D">
        <w:t>202</w:t>
      </w:r>
      <w:r w:rsidR="7BAE6E9A" w:rsidRPr="0067507D">
        <w:t>4</w:t>
      </w:r>
      <w:r w:rsidRPr="0067507D">
        <w:t xml:space="preserve"> to </w:t>
      </w:r>
      <w:r w:rsidR="00C30F42" w:rsidRPr="0067507D">
        <w:t>30 June 2025</w:t>
      </w:r>
      <w:r w:rsidR="00E6026B" w:rsidRPr="0067507D">
        <w:t xml:space="preserve"> </w:t>
      </w:r>
      <w:r w:rsidR="00E6026B" w:rsidRPr="0067507D">
        <w:rPr>
          <w:vertAlign w:val="superscript"/>
        </w:rPr>
        <w:t>(a)</w:t>
      </w:r>
    </w:p>
    <w:tbl>
      <w:tblPr>
        <w:tblStyle w:val="AnnualReporttexttable"/>
        <w:tblW w:w="0" w:type="auto"/>
        <w:tblLayout w:type="fixed"/>
        <w:tblLook w:val="00A0" w:firstRow="1" w:lastRow="0" w:firstColumn="1" w:lastColumn="0" w:noHBand="0" w:noVBand="0"/>
      </w:tblPr>
      <w:tblGrid>
        <w:gridCol w:w="4500"/>
        <w:gridCol w:w="3780"/>
        <w:gridCol w:w="1260"/>
      </w:tblGrid>
      <w:tr w:rsidR="00114877" w:rsidRPr="0067507D" w14:paraId="30C15CE1" w14:textId="77777777" w:rsidTr="00F52E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0" w:type="dxa"/>
            <w:shd w:val="clear" w:color="auto" w:fill="auto"/>
          </w:tcPr>
          <w:p w14:paraId="54094B68" w14:textId="61CD9E93" w:rsidR="0D12D4EA" w:rsidRPr="0067507D" w:rsidRDefault="0D12D4EA" w:rsidP="002F611D">
            <w:pPr>
              <w:pStyle w:val="Tabletextheadingleft"/>
              <w:rPr>
                <w:b w:val="0"/>
              </w:rPr>
            </w:pPr>
            <w:r w:rsidRPr="0067507D">
              <w:rPr>
                <w:rFonts w:eastAsia="VIC SemiBold"/>
                <w:b w:val="0"/>
              </w:rPr>
              <w:t>Project name</w:t>
            </w:r>
            <w:r w:rsidRPr="0067507D">
              <w:rPr>
                <w:rFonts w:ascii="Calibri" w:eastAsia="Calibri" w:hAnsi="Calibri" w:cs="Calibri"/>
                <w:b w:val="0"/>
              </w:rPr>
              <w:t xml:space="preserve"> </w:t>
            </w:r>
          </w:p>
        </w:tc>
        <w:tc>
          <w:tcPr>
            <w:cnfStyle w:val="000010000000" w:firstRow="0" w:lastRow="0" w:firstColumn="0" w:lastColumn="0" w:oddVBand="1" w:evenVBand="0" w:oddHBand="0" w:evenHBand="0" w:firstRowFirstColumn="0" w:firstRowLastColumn="0" w:lastRowFirstColumn="0" w:lastRowLastColumn="0"/>
            <w:tcW w:w="3780" w:type="dxa"/>
            <w:shd w:val="clear" w:color="auto" w:fill="auto"/>
          </w:tcPr>
          <w:p w14:paraId="2E48F45E" w14:textId="3FC518F4" w:rsidR="0D12D4EA" w:rsidRPr="0067507D" w:rsidRDefault="0D12D4EA" w:rsidP="002F611D">
            <w:pPr>
              <w:pStyle w:val="Tabletextheadingleft"/>
              <w:rPr>
                <w:b w:val="0"/>
              </w:rPr>
            </w:pPr>
            <w:r w:rsidRPr="0067507D">
              <w:rPr>
                <w:rFonts w:eastAsia="VIC SemiBold"/>
                <w:b w:val="0"/>
              </w:rPr>
              <w:t>Responsible area</w:t>
            </w:r>
            <w:r w:rsidRPr="0067507D">
              <w:rPr>
                <w:rFonts w:ascii="Calibri" w:eastAsia="Calibri" w:hAnsi="Calibri" w:cs="Calibri"/>
                <w:b w:val="0"/>
              </w:rPr>
              <w:t xml:space="preserve"> </w:t>
            </w:r>
          </w:p>
        </w:tc>
        <w:tc>
          <w:tcPr>
            <w:cnfStyle w:val="000001000000" w:firstRow="0" w:lastRow="0" w:firstColumn="0" w:lastColumn="0" w:oddVBand="0" w:evenVBand="1" w:oddHBand="0" w:evenHBand="0" w:firstRowFirstColumn="0" w:firstRowLastColumn="0" w:lastRowFirstColumn="0" w:lastRowLastColumn="0"/>
            <w:tcW w:w="1260" w:type="dxa"/>
            <w:shd w:val="clear" w:color="auto" w:fill="auto"/>
          </w:tcPr>
          <w:p w14:paraId="2F491F3E" w14:textId="6E1BBBC8" w:rsidR="0D12D4EA" w:rsidRPr="0067507D" w:rsidRDefault="2A3CAD62" w:rsidP="002F611D">
            <w:pPr>
              <w:pStyle w:val="Tabletextheadingright"/>
              <w:rPr>
                <w:b w:val="0"/>
              </w:rPr>
            </w:pPr>
            <w:r w:rsidRPr="0067507D">
              <w:rPr>
                <w:rFonts w:eastAsia="VIC SemiBold"/>
                <w:b w:val="0"/>
              </w:rPr>
              <w:t>$</w:t>
            </w:r>
          </w:p>
        </w:tc>
      </w:tr>
      <w:tr w:rsidR="00114877" w:rsidRPr="0067507D" w14:paraId="7AF8A33F"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7D39A416" w14:textId="1EB9ABA7" w:rsidR="0D12D4EA" w:rsidRPr="0067507D" w:rsidRDefault="0D12D4EA" w:rsidP="006317CA">
            <w:pPr>
              <w:pStyle w:val="Tabletextbold"/>
            </w:pPr>
            <w:r w:rsidRPr="0067507D">
              <w:rPr>
                <w:rFonts w:eastAsia="VIC SemiBold"/>
              </w:rPr>
              <w:t>Department of Energy, Environment and Climate Action</w:t>
            </w:r>
            <w:r w:rsidRPr="0067507D">
              <w:rPr>
                <w:rFonts w:ascii="Calibri" w:eastAsia="Calibri" w:hAnsi="Calibri" w:cs="Calibri"/>
              </w:rPr>
              <w:t xml:space="preserve"> </w:t>
            </w:r>
          </w:p>
        </w:tc>
        <w:tc>
          <w:tcPr>
            <w:cnfStyle w:val="000010000000" w:firstRow="0" w:lastRow="0" w:firstColumn="0" w:lastColumn="0" w:oddVBand="1" w:evenVBand="0" w:oddHBand="0" w:evenHBand="0" w:firstRowFirstColumn="0" w:firstRowLastColumn="0" w:lastRowFirstColumn="0" w:lastRowLastColumn="0"/>
            <w:tcW w:w="3780" w:type="dxa"/>
          </w:tcPr>
          <w:p w14:paraId="0C0CBC1B" w14:textId="1381E581" w:rsidR="0D12D4EA" w:rsidRPr="0067507D" w:rsidRDefault="0D12D4EA" w:rsidP="00770ACD">
            <w:pPr>
              <w:pStyle w:val="Tabletext"/>
            </w:pPr>
            <w:r w:rsidRPr="0067507D">
              <w:rPr>
                <w:rFonts w:ascii="Calibri" w:eastAsia="Calibri" w:hAnsi="Calibri" w:cs="Calibri"/>
              </w:rPr>
              <w:t xml:space="preserve"> </w:t>
            </w:r>
          </w:p>
        </w:tc>
        <w:tc>
          <w:tcPr>
            <w:cnfStyle w:val="000001000000" w:firstRow="0" w:lastRow="0" w:firstColumn="0" w:lastColumn="0" w:oddVBand="0" w:evenVBand="1" w:oddHBand="0" w:evenHBand="0" w:firstRowFirstColumn="0" w:firstRowLastColumn="0" w:lastRowFirstColumn="0" w:lastRowLastColumn="0"/>
            <w:tcW w:w="1260" w:type="dxa"/>
          </w:tcPr>
          <w:p w14:paraId="251A94EA" w14:textId="61544600" w:rsidR="0D12D4EA" w:rsidRPr="0067507D" w:rsidRDefault="0D12D4EA" w:rsidP="006317CA">
            <w:pPr>
              <w:pStyle w:val="Tabletextright"/>
            </w:pPr>
            <w:r w:rsidRPr="0067507D">
              <w:rPr>
                <w:rFonts w:eastAsia="Calibri"/>
              </w:rPr>
              <w:t xml:space="preserve"> </w:t>
            </w:r>
          </w:p>
        </w:tc>
      </w:tr>
      <w:tr w:rsidR="00114877" w:rsidRPr="0067507D" w14:paraId="73FBAB73"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1BB01830" w14:textId="4099A974" w:rsidR="0D12D4EA" w:rsidRPr="0067507D" w:rsidRDefault="5CDFFBAE" w:rsidP="00770ACD">
            <w:pPr>
              <w:pStyle w:val="Tabletext"/>
            </w:pPr>
            <w:r w:rsidRPr="0067507D">
              <w:rPr>
                <w:rFonts w:ascii="VIC" w:eastAsia="VIC" w:hAnsi="VIC" w:cs="VIC"/>
              </w:rPr>
              <w:t>Skilled and healthy farming workforce initiative</w:t>
            </w:r>
          </w:p>
        </w:tc>
        <w:tc>
          <w:tcPr>
            <w:cnfStyle w:val="000010000000" w:firstRow="0" w:lastRow="0" w:firstColumn="0" w:lastColumn="0" w:oddVBand="1" w:evenVBand="0" w:oddHBand="0" w:evenHBand="0" w:firstRowFirstColumn="0" w:firstRowLastColumn="0" w:lastRowFirstColumn="0" w:lastRowLastColumn="0"/>
            <w:tcW w:w="3780" w:type="dxa"/>
          </w:tcPr>
          <w:p w14:paraId="1E2828B3" w14:textId="77E7842E" w:rsidR="0D12D4EA" w:rsidRPr="0067507D" w:rsidRDefault="0D12D4EA" w:rsidP="00770ACD">
            <w:pPr>
              <w:pStyle w:val="Tabletext"/>
            </w:pPr>
            <w:r w:rsidRPr="0067507D">
              <w:rPr>
                <w:rFonts w:ascii="VIC" w:eastAsia="VIC" w:hAnsi="VIC" w:cs="VIC"/>
              </w:rPr>
              <w:t>Agriculture Policy and Program</w:t>
            </w:r>
          </w:p>
        </w:tc>
        <w:tc>
          <w:tcPr>
            <w:cnfStyle w:val="000001000000" w:firstRow="0" w:lastRow="0" w:firstColumn="0" w:lastColumn="0" w:oddVBand="0" w:evenVBand="1" w:oddHBand="0" w:evenHBand="0" w:firstRowFirstColumn="0" w:firstRowLastColumn="0" w:lastRowFirstColumn="0" w:lastRowLastColumn="0"/>
            <w:tcW w:w="1260" w:type="dxa"/>
          </w:tcPr>
          <w:p w14:paraId="0522B399" w14:textId="34464440" w:rsidR="0D12D4EA" w:rsidRPr="0067507D" w:rsidRDefault="0D9FD793" w:rsidP="006317CA">
            <w:pPr>
              <w:pStyle w:val="Tabletextright"/>
            </w:pPr>
            <w:r w:rsidRPr="0067507D">
              <w:rPr>
                <w:rFonts w:ascii="VIC" w:eastAsia="VIC" w:hAnsi="VIC" w:cs="VIC"/>
              </w:rPr>
              <w:t>1</w:t>
            </w:r>
            <w:r w:rsidR="15D5D493" w:rsidRPr="0067507D">
              <w:rPr>
                <w:rFonts w:ascii="VIC" w:eastAsia="VIC" w:hAnsi="VIC" w:cs="VIC"/>
              </w:rPr>
              <w:t xml:space="preserve"> </w:t>
            </w:r>
            <w:r w:rsidR="406FBD4D" w:rsidRPr="0067507D">
              <w:rPr>
                <w:rFonts w:ascii="VIC" w:eastAsia="VIC" w:hAnsi="VIC" w:cs="VIC"/>
              </w:rPr>
              <w:t>150</w:t>
            </w:r>
            <w:r w:rsidR="002F611D" w:rsidRPr="0067507D">
              <w:rPr>
                <w:rFonts w:ascii="VIC" w:eastAsia="VIC" w:hAnsi="VIC" w:cs="VIC"/>
              </w:rPr>
              <w:t xml:space="preserve"> </w:t>
            </w:r>
            <w:r w:rsidR="0D12D4EA" w:rsidRPr="0067507D">
              <w:rPr>
                <w:rFonts w:ascii="VIC" w:eastAsia="VIC" w:hAnsi="VIC" w:cs="VIC"/>
              </w:rPr>
              <w:t>000</w:t>
            </w:r>
            <w:r w:rsidR="0D12D4EA" w:rsidRPr="0067507D">
              <w:rPr>
                <w:rFonts w:eastAsia="Calibri"/>
              </w:rPr>
              <w:t xml:space="preserve"> </w:t>
            </w:r>
          </w:p>
        </w:tc>
      </w:tr>
      <w:tr w:rsidR="00114877" w:rsidRPr="0067507D" w14:paraId="3BC9DE66"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7FBFDCA4" w14:textId="195B7CF6" w:rsidR="0D12D4EA" w:rsidRPr="0067507D" w:rsidRDefault="0D12D4EA" w:rsidP="00E12B20">
            <w:pPr>
              <w:pStyle w:val="Spacer"/>
              <w:rPr>
                <w:sz w:val="4"/>
              </w:rPr>
            </w:pPr>
          </w:p>
        </w:tc>
        <w:tc>
          <w:tcPr>
            <w:cnfStyle w:val="000010000000" w:firstRow="0" w:lastRow="0" w:firstColumn="0" w:lastColumn="0" w:oddVBand="1" w:evenVBand="0" w:oddHBand="0" w:evenHBand="0" w:firstRowFirstColumn="0" w:firstRowLastColumn="0" w:lastRowFirstColumn="0" w:lastRowLastColumn="0"/>
            <w:tcW w:w="3780" w:type="dxa"/>
          </w:tcPr>
          <w:p w14:paraId="4AC8F11F" w14:textId="32664B17" w:rsidR="0D12D4EA" w:rsidRPr="0067507D" w:rsidRDefault="0D12D4EA" w:rsidP="00E12B20">
            <w:pPr>
              <w:pStyle w:val="Spacer"/>
              <w:rPr>
                <w:sz w:val="4"/>
              </w:rPr>
            </w:pPr>
          </w:p>
        </w:tc>
        <w:tc>
          <w:tcPr>
            <w:cnfStyle w:val="000001000000" w:firstRow="0" w:lastRow="0" w:firstColumn="0" w:lastColumn="0" w:oddVBand="0" w:evenVBand="1" w:oddHBand="0" w:evenHBand="0" w:firstRowFirstColumn="0" w:firstRowLastColumn="0" w:lastRowFirstColumn="0" w:lastRowLastColumn="0"/>
            <w:tcW w:w="1260" w:type="dxa"/>
          </w:tcPr>
          <w:p w14:paraId="6D52F57D" w14:textId="385866A3" w:rsidR="0D12D4EA" w:rsidRPr="0067507D" w:rsidRDefault="0D12D4EA" w:rsidP="00E12B20">
            <w:pPr>
              <w:pStyle w:val="Spacer"/>
              <w:rPr>
                <w:sz w:val="4"/>
              </w:rPr>
            </w:pPr>
          </w:p>
        </w:tc>
      </w:tr>
      <w:tr w:rsidR="00114877" w:rsidRPr="0067507D" w14:paraId="06E1412E"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0AA843A2" w14:textId="141C6C13" w:rsidR="0D12D4EA" w:rsidRPr="0067507D" w:rsidRDefault="0D12D4EA" w:rsidP="006317CA">
            <w:pPr>
              <w:pStyle w:val="Tabletextbold"/>
            </w:pPr>
            <w:r w:rsidRPr="0067507D">
              <w:rPr>
                <w:rFonts w:eastAsia="VIC SemiBold"/>
              </w:rPr>
              <w:t>Department of Health</w:t>
            </w:r>
            <w:r w:rsidRPr="0067507D">
              <w:rPr>
                <w:rFonts w:ascii="Calibri" w:eastAsia="Calibri" w:hAnsi="Calibri" w:cs="Calibri"/>
              </w:rPr>
              <w:t xml:space="preserve"> </w:t>
            </w:r>
          </w:p>
        </w:tc>
        <w:tc>
          <w:tcPr>
            <w:cnfStyle w:val="000010000000" w:firstRow="0" w:lastRow="0" w:firstColumn="0" w:lastColumn="0" w:oddVBand="1" w:evenVBand="0" w:oddHBand="0" w:evenHBand="0" w:firstRowFirstColumn="0" w:firstRowLastColumn="0" w:lastRowFirstColumn="0" w:lastRowLastColumn="0"/>
            <w:tcW w:w="3780" w:type="dxa"/>
          </w:tcPr>
          <w:p w14:paraId="72A6917F" w14:textId="0E6D14E8" w:rsidR="0D12D4EA" w:rsidRPr="0067507D" w:rsidRDefault="0D12D4EA" w:rsidP="00770ACD">
            <w:pPr>
              <w:pStyle w:val="Tabletext"/>
            </w:pPr>
            <w:r w:rsidRPr="0067507D">
              <w:rPr>
                <w:rFonts w:ascii="Calibri" w:eastAsia="Calibri" w:hAnsi="Calibri" w:cs="Calibri"/>
                <w:sz w:val="12"/>
                <w:szCs w:val="12"/>
              </w:rPr>
              <w:t xml:space="preserve"> </w:t>
            </w:r>
          </w:p>
        </w:tc>
        <w:tc>
          <w:tcPr>
            <w:cnfStyle w:val="000001000000" w:firstRow="0" w:lastRow="0" w:firstColumn="0" w:lastColumn="0" w:oddVBand="0" w:evenVBand="1" w:oddHBand="0" w:evenHBand="0" w:firstRowFirstColumn="0" w:firstRowLastColumn="0" w:lastRowFirstColumn="0" w:lastRowLastColumn="0"/>
            <w:tcW w:w="1260" w:type="dxa"/>
          </w:tcPr>
          <w:p w14:paraId="5619827F" w14:textId="18EE2B10" w:rsidR="0D12D4EA" w:rsidRPr="0067507D" w:rsidRDefault="0D12D4EA" w:rsidP="006317CA">
            <w:pPr>
              <w:pStyle w:val="Tabletextright"/>
            </w:pPr>
            <w:r w:rsidRPr="0067507D">
              <w:rPr>
                <w:rFonts w:eastAsia="Calibri"/>
                <w:sz w:val="12"/>
                <w:szCs w:val="12"/>
              </w:rPr>
              <w:t xml:space="preserve"> </w:t>
            </w:r>
          </w:p>
        </w:tc>
      </w:tr>
      <w:tr w:rsidR="00114877" w:rsidRPr="0067507D" w14:paraId="098023CD"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4A65F53B" w14:textId="23A51E6C" w:rsidR="0D12D4EA" w:rsidRPr="0067507D" w:rsidRDefault="004152CF" w:rsidP="00770ACD">
            <w:pPr>
              <w:pStyle w:val="Tabletext"/>
            </w:pPr>
            <w:r w:rsidRPr="0067507D">
              <w:t xml:space="preserve">Epilepsy Foundation </w:t>
            </w:r>
            <w:r w:rsidR="002603F1" w:rsidRPr="0067507D">
              <w:t>and</w:t>
            </w:r>
            <w:r w:rsidRPr="0067507D">
              <w:t xml:space="preserve"> Fight Parkinson’s</w:t>
            </w:r>
          </w:p>
        </w:tc>
        <w:tc>
          <w:tcPr>
            <w:cnfStyle w:val="000010000000" w:firstRow="0" w:lastRow="0" w:firstColumn="0" w:lastColumn="0" w:oddVBand="1" w:evenVBand="0" w:oddHBand="0" w:evenHBand="0" w:firstRowFirstColumn="0" w:firstRowLastColumn="0" w:lastRowFirstColumn="0" w:lastRowLastColumn="0"/>
            <w:tcW w:w="3780" w:type="dxa"/>
          </w:tcPr>
          <w:p w14:paraId="7077994C" w14:textId="1097A2F2" w:rsidR="0D12D4EA" w:rsidRPr="0067507D" w:rsidRDefault="004152CF" w:rsidP="00770ACD">
            <w:pPr>
              <w:pStyle w:val="Tabletext"/>
            </w:pPr>
            <w:r w:rsidRPr="0067507D">
              <w:t xml:space="preserve">Hospitals and Health Services </w:t>
            </w:r>
          </w:p>
        </w:tc>
        <w:tc>
          <w:tcPr>
            <w:cnfStyle w:val="000001000000" w:firstRow="0" w:lastRow="0" w:firstColumn="0" w:lastColumn="0" w:oddVBand="0" w:evenVBand="1" w:oddHBand="0" w:evenHBand="0" w:firstRowFirstColumn="0" w:firstRowLastColumn="0" w:lastRowFirstColumn="0" w:lastRowLastColumn="0"/>
            <w:tcW w:w="1260" w:type="dxa"/>
          </w:tcPr>
          <w:p w14:paraId="0C18C1E1" w14:textId="2B95C46B" w:rsidR="0D12D4EA" w:rsidRPr="0067507D" w:rsidRDefault="004152CF" w:rsidP="006317CA">
            <w:pPr>
              <w:pStyle w:val="Tabletextright"/>
            </w:pPr>
            <w:r w:rsidRPr="0067507D">
              <w:t xml:space="preserve"> 1 300 000 </w:t>
            </w:r>
          </w:p>
        </w:tc>
      </w:tr>
      <w:tr w:rsidR="00114877" w:rsidRPr="0067507D" w14:paraId="7F6D3946" w14:textId="77777777" w:rsidTr="41B102D6">
        <w:tc>
          <w:tcPr>
            <w:cnfStyle w:val="001000000000" w:firstRow="0" w:lastRow="0" w:firstColumn="1" w:lastColumn="0" w:oddVBand="0" w:evenVBand="0" w:oddHBand="0" w:evenHBand="0" w:firstRowFirstColumn="0" w:firstRowLastColumn="0" w:lastRowFirstColumn="0" w:lastRowLastColumn="0"/>
            <w:tcW w:w="4500" w:type="dxa"/>
          </w:tcPr>
          <w:p w14:paraId="2748C24A" w14:textId="1C9E08B2" w:rsidR="004152CF" w:rsidRPr="0067507D" w:rsidRDefault="004152CF" w:rsidP="004152CF">
            <w:pPr>
              <w:pStyle w:val="Tabletext"/>
              <w:rPr>
                <w:rFonts w:ascii="VIC" w:eastAsia="VIC" w:hAnsi="VIC" w:cs="VIC"/>
              </w:rPr>
            </w:pPr>
            <w:r w:rsidRPr="0067507D">
              <w:t>Reclink Australia 2024</w:t>
            </w:r>
            <w:r w:rsidR="006A5485">
              <w:noBreakHyphen/>
            </w:r>
            <w:r w:rsidRPr="0067507D">
              <w:t>25</w:t>
            </w:r>
          </w:p>
        </w:tc>
        <w:tc>
          <w:tcPr>
            <w:cnfStyle w:val="000010000000" w:firstRow="0" w:lastRow="0" w:firstColumn="0" w:lastColumn="0" w:oddVBand="1" w:evenVBand="0" w:oddHBand="0" w:evenHBand="0" w:firstRowFirstColumn="0" w:firstRowLastColumn="0" w:lastRowFirstColumn="0" w:lastRowLastColumn="0"/>
            <w:tcW w:w="3780" w:type="dxa"/>
          </w:tcPr>
          <w:p w14:paraId="2D524DA4" w14:textId="28B71465" w:rsidR="004152CF" w:rsidRPr="0067507D" w:rsidRDefault="00A80290" w:rsidP="004152CF">
            <w:pPr>
              <w:pStyle w:val="Tabletext"/>
              <w:rPr>
                <w:rFonts w:ascii="VIC" w:eastAsia="VIC" w:hAnsi="VIC" w:cs="VIC"/>
              </w:rPr>
            </w:pPr>
            <w:r w:rsidRPr="0067507D">
              <w:t xml:space="preserve">Prevention, Policy and First Peoples, </w:t>
            </w:r>
            <w:r w:rsidR="004152CF" w:rsidRPr="0067507D">
              <w:t>Mental Health and Wellbeing</w:t>
            </w:r>
          </w:p>
        </w:tc>
        <w:tc>
          <w:tcPr>
            <w:cnfStyle w:val="000001000000" w:firstRow="0" w:lastRow="0" w:firstColumn="0" w:lastColumn="0" w:oddVBand="0" w:evenVBand="1" w:oddHBand="0" w:evenHBand="0" w:firstRowFirstColumn="0" w:firstRowLastColumn="0" w:lastRowFirstColumn="0" w:lastRowLastColumn="0"/>
            <w:tcW w:w="1260" w:type="dxa"/>
          </w:tcPr>
          <w:p w14:paraId="49796315" w14:textId="3B3E6B1F" w:rsidR="004152CF" w:rsidRPr="0067507D" w:rsidRDefault="004152CF" w:rsidP="004152CF">
            <w:pPr>
              <w:pStyle w:val="Tabletextright"/>
              <w:rPr>
                <w:rFonts w:ascii="VIC" w:eastAsia="VIC" w:hAnsi="VIC" w:cs="VIC"/>
              </w:rPr>
            </w:pPr>
            <w:r w:rsidRPr="0067507D">
              <w:t xml:space="preserve"> 995 000 </w:t>
            </w:r>
          </w:p>
        </w:tc>
      </w:tr>
      <w:tr w:rsidR="00114877" w:rsidRPr="0067507D" w14:paraId="6A0AB0CB"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176F6860" w14:textId="355B7E5E" w:rsidR="0D12D4EA" w:rsidRPr="0067507D" w:rsidRDefault="0D12D4EA" w:rsidP="00E12B20">
            <w:pPr>
              <w:pStyle w:val="Spacer"/>
              <w:rPr>
                <w:sz w:val="4"/>
              </w:rPr>
            </w:pPr>
            <w:r w:rsidRPr="0067507D">
              <w:rPr>
                <w:rFonts w:eastAsia="VIC"/>
                <w:sz w:val="4"/>
              </w:rPr>
              <w:t xml:space="preserve"> </w:t>
            </w:r>
          </w:p>
        </w:tc>
        <w:tc>
          <w:tcPr>
            <w:cnfStyle w:val="000010000000" w:firstRow="0" w:lastRow="0" w:firstColumn="0" w:lastColumn="0" w:oddVBand="1" w:evenVBand="0" w:oddHBand="0" w:evenHBand="0" w:firstRowFirstColumn="0" w:firstRowLastColumn="0" w:lastRowFirstColumn="0" w:lastRowLastColumn="0"/>
            <w:tcW w:w="3780" w:type="dxa"/>
          </w:tcPr>
          <w:p w14:paraId="14D1CB1D" w14:textId="4A984418" w:rsidR="0D12D4EA" w:rsidRPr="0067507D" w:rsidRDefault="0D12D4EA" w:rsidP="00E12B20">
            <w:pPr>
              <w:pStyle w:val="Spacer"/>
              <w:rPr>
                <w:sz w:val="4"/>
              </w:rPr>
            </w:pPr>
            <w:r w:rsidRPr="0067507D">
              <w:rPr>
                <w:rFonts w:eastAsia="VIC"/>
                <w:sz w:val="4"/>
              </w:rPr>
              <w:t xml:space="preserve"> </w:t>
            </w:r>
          </w:p>
        </w:tc>
        <w:tc>
          <w:tcPr>
            <w:cnfStyle w:val="000001000000" w:firstRow="0" w:lastRow="0" w:firstColumn="0" w:lastColumn="0" w:oddVBand="0" w:evenVBand="1" w:oddHBand="0" w:evenHBand="0" w:firstRowFirstColumn="0" w:firstRowLastColumn="0" w:lastRowFirstColumn="0" w:lastRowLastColumn="0"/>
            <w:tcW w:w="1260" w:type="dxa"/>
          </w:tcPr>
          <w:p w14:paraId="7879950B" w14:textId="6A79F573" w:rsidR="0D12D4EA" w:rsidRPr="0067507D" w:rsidRDefault="0D12D4EA" w:rsidP="00E12B20">
            <w:pPr>
              <w:pStyle w:val="Spacer"/>
              <w:rPr>
                <w:sz w:val="4"/>
              </w:rPr>
            </w:pPr>
            <w:r w:rsidRPr="0067507D">
              <w:rPr>
                <w:rFonts w:eastAsia="VIC"/>
                <w:sz w:val="4"/>
              </w:rPr>
              <w:t xml:space="preserve"> </w:t>
            </w:r>
          </w:p>
        </w:tc>
      </w:tr>
      <w:tr w:rsidR="00114877" w:rsidRPr="0067507D" w14:paraId="7D09513D"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3789B0DF" w14:textId="77B28B23" w:rsidR="0D12D4EA" w:rsidRPr="0067507D" w:rsidRDefault="0D12D4EA" w:rsidP="006317CA">
            <w:pPr>
              <w:pStyle w:val="Tabletextbold"/>
            </w:pPr>
            <w:r w:rsidRPr="0067507D">
              <w:rPr>
                <w:rFonts w:eastAsia="VIC SemiBold"/>
              </w:rPr>
              <w:t>Department of Jobs, Skills, Industry and Regions</w:t>
            </w:r>
            <w:r w:rsidRPr="0067507D">
              <w:rPr>
                <w:rFonts w:ascii="Calibri" w:eastAsia="Calibri" w:hAnsi="Calibri" w:cs="Calibri"/>
              </w:rPr>
              <w:t xml:space="preserve"> </w:t>
            </w:r>
          </w:p>
        </w:tc>
        <w:tc>
          <w:tcPr>
            <w:cnfStyle w:val="000010000000" w:firstRow="0" w:lastRow="0" w:firstColumn="0" w:lastColumn="0" w:oddVBand="1" w:evenVBand="0" w:oddHBand="0" w:evenHBand="0" w:firstRowFirstColumn="0" w:firstRowLastColumn="0" w:lastRowFirstColumn="0" w:lastRowLastColumn="0"/>
            <w:tcW w:w="3780" w:type="dxa"/>
          </w:tcPr>
          <w:p w14:paraId="497A4D21" w14:textId="50A0A988" w:rsidR="0D12D4EA" w:rsidRPr="0067507D" w:rsidRDefault="0D12D4EA" w:rsidP="00770ACD">
            <w:pPr>
              <w:pStyle w:val="Tabletext"/>
            </w:pPr>
            <w:r w:rsidRPr="0067507D">
              <w:rPr>
                <w:rFonts w:ascii="Calibri" w:eastAsia="Calibri" w:hAnsi="Calibri" w:cs="Calibri"/>
                <w:sz w:val="12"/>
                <w:szCs w:val="12"/>
              </w:rPr>
              <w:t xml:space="preserve"> </w:t>
            </w:r>
          </w:p>
        </w:tc>
        <w:tc>
          <w:tcPr>
            <w:cnfStyle w:val="000001000000" w:firstRow="0" w:lastRow="0" w:firstColumn="0" w:lastColumn="0" w:oddVBand="0" w:evenVBand="1" w:oddHBand="0" w:evenHBand="0" w:firstRowFirstColumn="0" w:firstRowLastColumn="0" w:lastRowFirstColumn="0" w:lastRowLastColumn="0"/>
            <w:tcW w:w="1260" w:type="dxa"/>
          </w:tcPr>
          <w:p w14:paraId="14EDD339" w14:textId="5D0D5841" w:rsidR="0D12D4EA" w:rsidRPr="0067507D" w:rsidRDefault="0D12D4EA" w:rsidP="006317CA">
            <w:pPr>
              <w:pStyle w:val="Tabletextright"/>
            </w:pPr>
            <w:r w:rsidRPr="0067507D">
              <w:rPr>
                <w:rFonts w:eastAsia="Calibri"/>
                <w:sz w:val="12"/>
                <w:szCs w:val="12"/>
              </w:rPr>
              <w:t xml:space="preserve"> </w:t>
            </w:r>
          </w:p>
        </w:tc>
      </w:tr>
      <w:tr w:rsidR="00114877" w:rsidRPr="0067507D" w14:paraId="08E740BF"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51BEDB90" w14:textId="12963166" w:rsidR="00E12B20" w:rsidRPr="0067507D" w:rsidRDefault="003654B3" w:rsidP="00770ACD">
            <w:pPr>
              <w:pStyle w:val="Tabletext"/>
            </w:pPr>
            <w:r w:rsidRPr="0067507D">
              <w:t xml:space="preserve">Creative State </w:t>
            </w:r>
          </w:p>
        </w:tc>
        <w:tc>
          <w:tcPr>
            <w:cnfStyle w:val="000010000000" w:firstRow="0" w:lastRow="0" w:firstColumn="0" w:lastColumn="0" w:oddVBand="1" w:evenVBand="0" w:oddHBand="0" w:evenHBand="0" w:firstRowFirstColumn="0" w:firstRowLastColumn="0" w:lastRowFirstColumn="0" w:lastRowLastColumn="0"/>
            <w:tcW w:w="3780" w:type="dxa"/>
          </w:tcPr>
          <w:p w14:paraId="21F9F98F" w14:textId="458814CE" w:rsidR="00E12B20" w:rsidRPr="0067507D" w:rsidRDefault="003654B3" w:rsidP="00770ACD">
            <w:pPr>
              <w:pStyle w:val="Tabletext"/>
            </w:pPr>
            <w:r w:rsidRPr="0067507D">
              <w:t>Creative Victoria</w:t>
            </w:r>
          </w:p>
        </w:tc>
        <w:tc>
          <w:tcPr>
            <w:cnfStyle w:val="000001000000" w:firstRow="0" w:lastRow="0" w:firstColumn="0" w:lastColumn="0" w:oddVBand="0" w:evenVBand="1" w:oddHBand="0" w:evenHBand="0" w:firstRowFirstColumn="0" w:firstRowLastColumn="0" w:lastRowFirstColumn="0" w:lastRowLastColumn="0"/>
            <w:tcW w:w="1260" w:type="dxa"/>
          </w:tcPr>
          <w:p w14:paraId="0DE7990D" w14:textId="413C28F4" w:rsidR="00E12B20" w:rsidRPr="0067507D" w:rsidRDefault="003654B3" w:rsidP="006317CA">
            <w:pPr>
              <w:pStyle w:val="Tabletextright"/>
            </w:pPr>
            <w:r w:rsidRPr="0067507D">
              <w:t xml:space="preserve"> 1 000 000 </w:t>
            </w:r>
          </w:p>
        </w:tc>
      </w:tr>
      <w:tr w:rsidR="00114877" w:rsidRPr="0067507D" w14:paraId="204B69A4"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2AAB9BA1" w14:textId="4AFF90F3" w:rsidR="00E12B20" w:rsidRPr="0067507D" w:rsidRDefault="003654B3" w:rsidP="00770ACD">
            <w:pPr>
              <w:pStyle w:val="Tabletext"/>
            </w:pPr>
            <w:r w:rsidRPr="0067507D">
              <w:t>Creative Workplaces</w:t>
            </w:r>
          </w:p>
        </w:tc>
        <w:tc>
          <w:tcPr>
            <w:cnfStyle w:val="000010000000" w:firstRow="0" w:lastRow="0" w:firstColumn="0" w:lastColumn="0" w:oddVBand="1" w:evenVBand="0" w:oddHBand="0" w:evenHBand="0" w:firstRowFirstColumn="0" w:firstRowLastColumn="0" w:lastRowFirstColumn="0" w:lastRowLastColumn="0"/>
            <w:tcW w:w="3780" w:type="dxa"/>
          </w:tcPr>
          <w:p w14:paraId="147E4AD4" w14:textId="4968A606" w:rsidR="00E12B20" w:rsidRPr="0067507D" w:rsidRDefault="003654B3" w:rsidP="00770ACD">
            <w:pPr>
              <w:pStyle w:val="Tabletext"/>
            </w:pPr>
            <w:r w:rsidRPr="0067507D">
              <w:rPr>
                <w:rFonts w:eastAsia="VIC"/>
              </w:rPr>
              <w:t>Creative Victoria</w:t>
            </w:r>
          </w:p>
        </w:tc>
        <w:tc>
          <w:tcPr>
            <w:cnfStyle w:val="000001000000" w:firstRow="0" w:lastRow="0" w:firstColumn="0" w:lastColumn="0" w:oddVBand="0" w:evenVBand="1" w:oddHBand="0" w:evenHBand="0" w:firstRowFirstColumn="0" w:firstRowLastColumn="0" w:lastRowFirstColumn="0" w:lastRowLastColumn="0"/>
            <w:tcW w:w="1260" w:type="dxa"/>
          </w:tcPr>
          <w:p w14:paraId="4C096A9A" w14:textId="35365E62" w:rsidR="00E12B20" w:rsidRPr="0067507D" w:rsidRDefault="003654B3" w:rsidP="006317CA">
            <w:pPr>
              <w:pStyle w:val="Tabletextright"/>
            </w:pPr>
            <w:r w:rsidRPr="0067507D">
              <w:t xml:space="preserve"> 180 000 </w:t>
            </w:r>
          </w:p>
        </w:tc>
      </w:tr>
      <w:tr w:rsidR="00114877" w:rsidRPr="0067507D" w14:paraId="6DFF7489"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08208E4D" w14:textId="26F1CD34" w:rsidR="00E12B20" w:rsidRPr="0067507D" w:rsidRDefault="003654B3" w:rsidP="00770ACD">
            <w:pPr>
              <w:pStyle w:val="Tabletext"/>
            </w:pPr>
            <w:r w:rsidRPr="0067507D">
              <w:t xml:space="preserve">Cystic Fibrosis Centre of Research Excellence </w:t>
            </w:r>
          </w:p>
        </w:tc>
        <w:tc>
          <w:tcPr>
            <w:cnfStyle w:val="000010000000" w:firstRow="0" w:lastRow="0" w:firstColumn="0" w:lastColumn="0" w:oddVBand="1" w:evenVBand="0" w:oddHBand="0" w:evenHBand="0" w:firstRowFirstColumn="0" w:firstRowLastColumn="0" w:lastRowFirstColumn="0" w:lastRowLastColumn="0"/>
            <w:tcW w:w="3780" w:type="dxa"/>
          </w:tcPr>
          <w:p w14:paraId="63FFCBA7" w14:textId="255A11BE" w:rsidR="00E12B20" w:rsidRPr="0067507D" w:rsidRDefault="00833BAB" w:rsidP="00770ACD">
            <w:pPr>
              <w:pStyle w:val="Tabletext"/>
            </w:pPr>
            <w:r w:rsidRPr="0067507D">
              <w:t xml:space="preserve">Medical Research, </w:t>
            </w:r>
            <w:r w:rsidR="003654B3" w:rsidRPr="0067507D">
              <w:t>Innovation and Technology</w:t>
            </w:r>
          </w:p>
        </w:tc>
        <w:tc>
          <w:tcPr>
            <w:cnfStyle w:val="000001000000" w:firstRow="0" w:lastRow="0" w:firstColumn="0" w:lastColumn="0" w:oddVBand="0" w:evenVBand="1" w:oddHBand="0" w:evenHBand="0" w:firstRowFirstColumn="0" w:firstRowLastColumn="0" w:lastRowFirstColumn="0" w:lastRowLastColumn="0"/>
            <w:tcW w:w="1260" w:type="dxa"/>
          </w:tcPr>
          <w:p w14:paraId="6734C1E6" w14:textId="6D8F6EC3" w:rsidR="00E12B20" w:rsidRPr="0067507D" w:rsidRDefault="003654B3" w:rsidP="006317CA">
            <w:pPr>
              <w:pStyle w:val="Tabletextright"/>
            </w:pPr>
            <w:r w:rsidRPr="0067507D">
              <w:t xml:space="preserve"> 650 000 </w:t>
            </w:r>
          </w:p>
        </w:tc>
      </w:tr>
      <w:tr w:rsidR="00114877" w:rsidRPr="0067507D" w14:paraId="49EFEE5C"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7C269FC1" w14:textId="6F17A22B" w:rsidR="00E12B20" w:rsidRPr="0067507D" w:rsidRDefault="003654B3" w:rsidP="00770ACD">
            <w:pPr>
              <w:pStyle w:val="Tabletext"/>
            </w:pPr>
            <w:r w:rsidRPr="0067507D">
              <w:t>Get Active Kids Voucher Program (2026</w:t>
            </w:r>
            <w:r w:rsidR="006A5485">
              <w:noBreakHyphen/>
            </w:r>
            <w:r w:rsidRPr="0067507D">
              <w:t>27)</w:t>
            </w:r>
          </w:p>
        </w:tc>
        <w:tc>
          <w:tcPr>
            <w:cnfStyle w:val="000010000000" w:firstRow="0" w:lastRow="0" w:firstColumn="0" w:lastColumn="0" w:oddVBand="1" w:evenVBand="0" w:oddHBand="0" w:evenHBand="0" w:firstRowFirstColumn="0" w:firstRowLastColumn="0" w:lastRowFirstColumn="0" w:lastRowLastColumn="0"/>
            <w:tcW w:w="3780" w:type="dxa"/>
          </w:tcPr>
          <w:p w14:paraId="70CBB635" w14:textId="3BA2801E" w:rsidR="00E12B20" w:rsidRPr="0067507D" w:rsidRDefault="003654B3" w:rsidP="00770ACD">
            <w:pPr>
              <w:pStyle w:val="Tabletext"/>
            </w:pPr>
            <w:r w:rsidRPr="0067507D">
              <w:rPr>
                <w:rFonts w:eastAsia="VIC"/>
              </w:rPr>
              <w:t>Sport and Recreation Victoria</w:t>
            </w:r>
          </w:p>
        </w:tc>
        <w:tc>
          <w:tcPr>
            <w:cnfStyle w:val="000001000000" w:firstRow="0" w:lastRow="0" w:firstColumn="0" w:lastColumn="0" w:oddVBand="0" w:evenVBand="1" w:oddHBand="0" w:evenHBand="0" w:firstRowFirstColumn="0" w:firstRowLastColumn="0" w:lastRowFirstColumn="0" w:lastRowLastColumn="0"/>
            <w:tcW w:w="1260" w:type="dxa"/>
          </w:tcPr>
          <w:p w14:paraId="5219FC46" w14:textId="010D72F1" w:rsidR="00E12B20" w:rsidRPr="0067507D" w:rsidRDefault="003654B3" w:rsidP="006317CA">
            <w:pPr>
              <w:pStyle w:val="Tabletextright"/>
            </w:pPr>
            <w:r w:rsidRPr="0067507D">
              <w:t xml:space="preserve"> 6 000 000 </w:t>
            </w:r>
          </w:p>
        </w:tc>
      </w:tr>
      <w:tr w:rsidR="00114877" w:rsidRPr="0067507D" w14:paraId="59BA1FA4"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14980C9A" w14:textId="59DAE10F" w:rsidR="00E12B20" w:rsidRPr="0067507D" w:rsidRDefault="008925F0" w:rsidP="00770ACD">
            <w:pPr>
              <w:pStyle w:val="Tabletext"/>
            </w:pPr>
            <w:r w:rsidRPr="0067507D">
              <w:t xml:space="preserve">Reclink </w:t>
            </w:r>
            <w:r w:rsidR="003654B3" w:rsidRPr="0067507D">
              <w:t>ActiVIC (2026</w:t>
            </w:r>
            <w:r w:rsidR="006A5485">
              <w:noBreakHyphen/>
            </w:r>
            <w:r w:rsidR="003654B3" w:rsidRPr="0067507D">
              <w:t>27)</w:t>
            </w:r>
          </w:p>
        </w:tc>
        <w:tc>
          <w:tcPr>
            <w:cnfStyle w:val="000010000000" w:firstRow="0" w:lastRow="0" w:firstColumn="0" w:lastColumn="0" w:oddVBand="1" w:evenVBand="0" w:oddHBand="0" w:evenHBand="0" w:firstRowFirstColumn="0" w:firstRowLastColumn="0" w:lastRowFirstColumn="0" w:lastRowLastColumn="0"/>
            <w:tcW w:w="3780" w:type="dxa"/>
          </w:tcPr>
          <w:p w14:paraId="282826DF" w14:textId="0E7BC5FA" w:rsidR="00E12B20" w:rsidRPr="0067507D" w:rsidRDefault="003654B3" w:rsidP="00770ACD">
            <w:pPr>
              <w:pStyle w:val="Tabletext"/>
            </w:pPr>
            <w:r w:rsidRPr="0067507D">
              <w:rPr>
                <w:rFonts w:eastAsia="VIC"/>
              </w:rPr>
              <w:t>Sport and Recreation Victoria</w:t>
            </w:r>
          </w:p>
        </w:tc>
        <w:tc>
          <w:tcPr>
            <w:cnfStyle w:val="000001000000" w:firstRow="0" w:lastRow="0" w:firstColumn="0" w:lastColumn="0" w:oddVBand="0" w:evenVBand="1" w:oddHBand="0" w:evenHBand="0" w:firstRowFirstColumn="0" w:firstRowLastColumn="0" w:lastRowFirstColumn="0" w:lastRowLastColumn="0"/>
            <w:tcW w:w="1260" w:type="dxa"/>
          </w:tcPr>
          <w:p w14:paraId="2767F1F6" w14:textId="18ADF050" w:rsidR="00E12B20" w:rsidRPr="0067507D" w:rsidRDefault="003654B3" w:rsidP="006317CA">
            <w:pPr>
              <w:pStyle w:val="Tabletextright"/>
            </w:pPr>
            <w:r w:rsidRPr="0067507D">
              <w:t xml:space="preserve"> 2 500 000 </w:t>
            </w:r>
          </w:p>
        </w:tc>
      </w:tr>
      <w:tr w:rsidR="00114877" w:rsidRPr="0067507D" w14:paraId="47619908"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44A64805" w14:textId="7866AF32" w:rsidR="0D12D4EA" w:rsidRPr="0067507D" w:rsidRDefault="0D12D4EA" w:rsidP="00E12B20">
            <w:pPr>
              <w:pStyle w:val="Spacer"/>
              <w:rPr>
                <w:sz w:val="4"/>
              </w:rPr>
            </w:pPr>
            <w:r w:rsidRPr="0067507D">
              <w:rPr>
                <w:rFonts w:eastAsia="VIC"/>
                <w:sz w:val="4"/>
              </w:rPr>
              <w:t xml:space="preserve"> </w:t>
            </w:r>
          </w:p>
        </w:tc>
        <w:tc>
          <w:tcPr>
            <w:cnfStyle w:val="000010000000" w:firstRow="0" w:lastRow="0" w:firstColumn="0" w:lastColumn="0" w:oddVBand="1" w:evenVBand="0" w:oddHBand="0" w:evenHBand="0" w:firstRowFirstColumn="0" w:firstRowLastColumn="0" w:lastRowFirstColumn="0" w:lastRowLastColumn="0"/>
            <w:tcW w:w="3780" w:type="dxa"/>
          </w:tcPr>
          <w:p w14:paraId="0396065B" w14:textId="4A629D97" w:rsidR="0D12D4EA" w:rsidRPr="0067507D" w:rsidRDefault="0D12D4EA" w:rsidP="00E12B20">
            <w:pPr>
              <w:pStyle w:val="Spacer"/>
              <w:rPr>
                <w:sz w:val="4"/>
              </w:rPr>
            </w:pPr>
            <w:r w:rsidRPr="0067507D">
              <w:rPr>
                <w:rFonts w:eastAsia="VIC"/>
                <w:sz w:val="4"/>
              </w:rPr>
              <w:t xml:space="preserve"> </w:t>
            </w:r>
          </w:p>
        </w:tc>
        <w:tc>
          <w:tcPr>
            <w:cnfStyle w:val="000001000000" w:firstRow="0" w:lastRow="0" w:firstColumn="0" w:lastColumn="0" w:oddVBand="0" w:evenVBand="1" w:oddHBand="0" w:evenHBand="0" w:firstRowFirstColumn="0" w:firstRowLastColumn="0" w:lastRowFirstColumn="0" w:lastRowLastColumn="0"/>
            <w:tcW w:w="1260" w:type="dxa"/>
          </w:tcPr>
          <w:p w14:paraId="218041EA" w14:textId="21DCF548" w:rsidR="0D12D4EA" w:rsidRPr="0067507D" w:rsidRDefault="0D12D4EA" w:rsidP="00E12B20">
            <w:pPr>
              <w:pStyle w:val="Spacer"/>
              <w:rPr>
                <w:sz w:val="4"/>
              </w:rPr>
            </w:pPr>
            <w:r w:rsidRPr="0067507D">
              <w:rPr>
                <w:rFonts w:eastAsia="VIC"/>
                <w:sz w:val="4"/>
              </w:rPr>
              <w:t xml:space="preserve"> </w:t>
            </w:r>
          </w:p>
        </w:tc>
      </w:tr>
      <w:tr w:rsidR="00114877" w:rsidRPr="0067507D" w14:paraId="09F7D3B0"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1F13F628" w14:textId="18FDC77B" w:rsidR="0D12D4EA" w:rsidRPr="0067507D" w:rsidRDefault="0D12D4EA" w:rsidP="006317CA">
            <w:pPr>
              <w:pStyle w:val="Tabletextbold"/>
            </w:pPr>
            <w:r w:rsidRPr="0067507D">
              <w:rPr>
                <w:rFonts w:eastAsia="VIC SemiBold"/>
              </w:rPr>
              <w:t>Department of Premier and Cabinet</w:t>
            </w:r>
            <w:r w:rsidRPr="0067507D">
              <w:rPr>
                <w:rFonts w:ascii="Calibri" w:eastAsia="Calibri" w:hAnsi="Calibri" w:cs="Calibri"/>
              </w:rPr>
              <w:t xml:space="preserve"> </w:t>
            </w:r>
          </w:p>
        </w:tc>
        <w:tc>
          <w:tcPr>
            <w:cnfStyle w:val="000010000000" w:firstRow="0" w:lastRow="0" w:firstColumn="0" w:lastColumn="0" w:oddVBand="1" w:evenVBand="0" w:oddHBand="0" w:evenHBand="0" w:firstRowFirstColumn="0" w:firstRowLastColumn="0" w:lastRowFirstColumn="0" w:lastRowLastColumn="0"/>
            <w:tcW w:w="3780" w:type="dxa"/>
          </w:tcPr>
          <w:p w14:paraId="2EC1D3D4" w14:textId="3B36D24D" w:rsidR="0D12D4EA" w:rsidRPr="0067507D" w:rsidRDefault="0D12D4EA" w:rsidP="00770ACD">
            <w:pPr>
              <w:pStyle w:val="Tabletext"/>
            </w:pPr>
            <w:r w:rsidRPr="0067507D">
              <w:rPr>
                <w:rFonts w:ascii="Calibri" w:eastAsia="Calibri" w:hAnsi="Calibri" w:cs="Calibri"/>
                <w:sz w:val="12"/>
                <w:szCs w:val="12"/>
              </w:rPr>
              <w:t xml:space="preserve"> </w:t>
            </w:r>
          </w:p>
        </w:tc>
        <w:tc>
          <w:tcPr>
            <w:cnfStyle w:val="000001000000" w:firstRow="0" w:lastRow="0" w:firstColumn="0" w:lastColumn="0" w:oddVBand="0" w:evenVBand="1" w:oddHBand="0" w:evenHBand="0" w:firstRowFirstColumn="0" w:firstRowLastColumn="0" w:lastRowFirstColumn="0" w:lastRowLastColumn="0"/>
            <w:tcW w:w="1260" w:type="dxa"/>
          </w:tcPr>
          <w:p w14:paraId="7501EB05" w14:textId="050DD776" w:rsidR="0D12D4EA" w:rsidRPr="0067507D" w:rsidRDefault="0D12D4EA" w:rsidP="006317CA">
            <w:pPr>
              <w:pStyle w:val="Tabletextright"/>
            </w:pPr>
            <w:r w:rsidRPr="0067507D">
              <w:rPr>
                <w:rFonts w:eastAsia="Calibri"/>
                <w:sz w:val="12"/>
                <w:szCs w:val="12"/>
              </w:rPr>
              <w:t xml:space="preserve"> </w:t>
            </w:r>
          </w:p>
        </w:tc>
      </w:tr>
      <w:tr w:rsidR="00114877" w:rsidRPr="0067507D" w14:paraId="25EE3CC9"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5E9B9904" w14:textId="6031DA61" w:rsidR="0D12D4EA" w:rsidRPr="0067507D" w:rsidRDefault="00BA7BAB" w:rsidP="00770ACD">
            <w:pPr>
              <w:pStyle w:val="Tabletext"/>
            </w:pPr>
            <w:r w:rsidRPr="0067507D">
              <w:t>Asylum Seeker Resource Centre</w:t>
            </w:r>
          </w:p>
        </w:tc>
        <w:tc>
          <w:tcPr>
            <w:cnfStyle w:val="000010000000" w:firstRow="0" w:lastRow="0" w:firstColumn="0" w:lastColumn="0" w:oddVBand="1" w:evenVBand="0" w:oddHBand="0" w:evenHBand="0" w:firstRowFirstColumn="0" w:firstRowLastColumn="0" w:lastRowFirstColumn="0" w:lastRowLastColumn="0"/>
            <w:tcW w:w="3780" w:type="dxa"/>
          </w:tcPr>
          <w:p w14:paraId="558D5DC2" w14:textId="37B0A382" w:rsidR="0D12D4EA" w:rsidRPr="0067507D" w:rsidRDefault="00BA7BAB" w:rsidP="00770ACD">
            <w:pPr>
              <w:pStyle w:val="Tabletext"/>
            </w:pPr>
            <w:r w:rsidRPr="0067507D">
              <w:t>Multicultural Affairs</w:t>
            </w:r>
          </w:p>
        </w:tc>
        <w:tc>
          <w:tcPr>
            <w:cnfStyle w:val="000001000000" w:firstRow="0" w:lastRow="0" w:firstColumn="0" w:lastColumn="0" w:oddVBand="0" w:evenVBand="1" w:oddHBand="0" w:evenHBand="0" w:firstRowFirstColumn="0" w:firstRowLastColumn="0" w:lastRowFirstColumn="0" w:lastRowLastColumn="0"/>
            <w:tcW w:w="1260" w:type="dxa"/>
          </w:tcPr>
          <w:p w14:paraId="558285CD" w14:textId="48B6A587" w:rsidR="0D12D4EA" w:rsidRPr="0067507D" w:rsidRDefault="00BA7BAB" w:rsidP="006317CA">
            <w:pPr>
              <w:pStyle w:val="Tabletextright"/>
            </w:pPr>
            <w:r w:rsidRPr="0067507D">
              <w:t xml:space="preserve"> 20</w:t>
            </w:r>
            <w:r w:rsidR="00D86473" w:rsidRPr="0067507D">
              <w:t xml:space="preserve"> </w:t>
            </w:r>
            <w:r w:rsidRPr="0067507D">
              <w:t xml:space="preserve">000 </w:t>
            </w:r>
          </w:p>
        </w:tc>
      </w:tr>
      <w:tr w:rsidR="00114877" w:rsidRPr="0067507D" w14:paraId="4B9358CF"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03AD8923" w14:textId="21F8FB65" w:rsidR="0D12D4EA" w:rsidRPr="0067507D" w:rsidRDefault="00BA7BAB" w:rsidP="00770ACD">
            <w:pPr>
              <w:pStyle w:val="Tabletext"/>
            </w:pPr>
            <w:r w:rsidRPr="0067507D">
              <w:t>Strategic Partnerships Program</w:t>
            </w:r>
          </w:p>
        </w:tc>
        <w:tc>
          <w:tcPr>
            <w:cnfStyle w:val="000010000000" w:firstRow="0" w:lastRow="0" w:firstColumn="0" w:lastColumn="0" w:oddVBand="1" w:evenVBand="0" w:oddHBand="0" w:evenHBand="0" w:firstRowFirstColumn="0" w:firstRowLastColumn="0" w:lastRowFirstColumn="0" w:lastRowLastColumn="0"/>
            <w:tcW w:w="3780" w:type="dxa"/>
          </w:tcPr>
          <w:p w14:paraId="31FE9596" w14:textId="67D112E0" w:rsidR="0D12D4EA" w:rsidRPr="0067507D" w:rsidRDefault="00BA7BAB" w:rsidP="00770ACD">
            <w:pPr>
              <w:pStyle w:val="Tabletext"/>
            </w:pPr>
            <w:r w:rsidRPr="0067507D">
              <w:t>Multicultural Affairs</w:t>
            </w:r>
          </w:p>
        </w:tc>
        <w:tc>
          <w:tcPr>
            <w:cnfStyle w:val="000001000000" w:firstRow="0" w:lastRow="0" w:firstColumn="0" w:lastColumn="0" w:oddVBand="0" w:evenVBand="1" w:oddHBand="0" w:evenHBand="0" w:firstRowFirstColumn="0" w:firstRowLastColumn="0" w:lastRowFirstColumn="0" w:lastRowLastColumn="0"/>
            <w:tcW w:w="1260" w:type="dxa"/>
          </w:tcPr>
          <w:p w14:paraId="44398D86" w14:textId="7AE7C854" w:rsidR="0D12D4EA" w:rsidRPr="0067507D" w:rsidRDefault="00BA7BAB" w:rsidP="006317CA">
            <w:pPr>
              <w:pStyle w:val="Tabletextright"/>
            </w:pPr>
            <w:r w:rsidRPr="0067507D">
              <w:t xml:space="preserve"> 1</w:t>
            </w:r>
            <w:r w:rsidR="00D86473" w:rsidRPr="0067507D">
              <w:t xml:space="preserve"> </w:t>
            </w:r>
            <w:r w:rsidRPr="0067507D">
              <w:t>600</w:t>
            </w:r>
            <w:r w:rsidR="00D86473" w:rsidRPr="0067507D">
              <w:t xml:space="preserve"> </w:t>
            </w:r>
            <w:r w:rsidRPr="0067507D">
              <w:t xml:space="preserve">000 </w:t>
            </w:r>
          </w:p>
        </w:tc>
      </w:tr>
      <w:tr w:rsidR="00114877" w:rsidRPr="0067507D" w14:paraId="5EB1905B" w14:textId="77777777" w:rsidTr="41B102D6">
        <w:tc>
          <w:tcPr>
            <w:cnfStyle w:val="001000000000" w:firstRow="0" w:lastRow="0" w:firstColumn="1" w:lastColumn="0" w:oddVBand="0" w:evenVBand="0" w:oddHBand="0" w:evenHBand="0" w:firstRowFirstColumn="0" w:firstRowLastColumn="0" w:lastRowFirstColumn="0" w:lastRowLastColumn="0"/>
            <w:tcW w:w="4500" w:type="dxa"/>
          </w:tcPr>
          <w:p w14:paraId="23BF8858" w14:textId="7A38A4FD" w:rsidR="00BA7BAB" w:rsidRPr="0067507D" w:rsidRDefault="00BA7BAB" w:rsidP="00BA7BAB">
            <w:pPr>
              <w:pStyle w:val="Tabletext"/>
              <w:rPr>
                <w:rFonts w:ascii="VIC" w:eastAsia="VIC" w:hAnsi="VIC" w:cs="VIC"/>
              </w:rPr>
            </w:pPr>
            <w:r w:rsidRPr="0067507D">
              <w:t>Supporting settlement outcomes in Victoria</w:t>
            </w:r>
          </w:p>
        </w:tc>
        <w:tc>
          <w:tcPr>
            <w:cnfStyle w:val="000010000000" w:firstRow="0" w:lastRow="0" w:firstColumn="0" w:lastColumn="0" w:oddVBand="1" w:evenVBand="0" w:oddHBand="0" w:evenHBand="0" w:firstRowFirstColumn="0" w:firstRowLastColumn="0" w:lastRowFirstColumn="0" w:lastRowLastColumn="0"/>
            <w:tcW w:w="3780" w:type="dxa"/>
          </w:tcPr>
          <w:p w14:paraId="05DE5257" w14:textId="353AE6AF" w:rsidR="00BA7BAB" w:rsidRPr="0067507D" w:rsidRDefault="00BA7BAB" w:rsidP="00BA7BAB">
            <w:pPr>
              <w:pStyle w:val="Tabletext"/>
              <w:rPr>
                <w:rFonts w:ascii="VIC" w:eastAsia="VIC" w:hAnsi="VIC" w:cs="VIC"/>
              </w:rPr>
            </w:pPr>
            <w:r w:rsidRPr="0067507D">
              <w:t>Multicultural Affairs</w:t>
            </w:r>
          </w:p>
        </w:tc>
        <w:tc>
          <w:tcPr>
            <w:cnfStyle w:val="000001000000" w:firstRow="0" w:lastRow="0" w:firstColumn="0" w:lastColumn="0" w:oddVBand="0" w:evenVBand="1" w:oddHBand="0" w:evenHBand="0" w:firstRowFirstColumn="0" w:firstRowLastColumn="0" w:lastRowFirstColumn="0" w:lastRowLastColumn="0"/>
            <w:tcW w:w="1260" w:type="dxa"/>
          </w:tcPr>
          <w:p w14:paraId="3D099A30" w14:textId="47C78001" w:rsidR="00BA7BAB" w:rsidRPr="0067507D" w:rsidRDefault="00BA7BAB" w:rsidP="00BA7BAB">
            <w:pPr>
              <w:pStyle w:val="Tabletextright"/>
              <w:rPr>
                <w:rFonts w:ascii="VIC" w:eastAsia="VIC" w:hAnsi="VIC" w:cs="VIC"/>
              </w:rPr>
            </w:pPr>
            <w:r w:rsidRPr="0067507D">
              <w:t xml:space="preserve"> 1</w:t>
            </w:r>
            <w:r w:rsidR="00D86473" w:rsidRPr="0067507D">
              <w:t xml:space="preserve"> </w:t>
            </w:r>
            <w:r w:rsidRPr="0067507D">
              <w:t>600</w:t>
            </w:r>
            <w:r w:rsidR="00D86473" w:rsidRPr="0067507D">
              <w:t xml:space="preserve"> </w:t>
            </w:r>
            <w:r w:rsidRPr="0067507D">
              <w:t xml:space="preserve">000 </w:t>
            </w:r>
          </w:p>
        </w:tc>
      </w:tr>
      <w:tr w:rsidR="00114877" w:rsidRPr="0067507D" w14:paraId="6F70A19F" w14:textId="77777777" w:rsidTr="41B102D6">
        <w:tc>
          <w:tcPr>
            <w:cnfStyle w:val="001000000000" w:firstRow="0" w:lastRow="0" w:firstColumn="1" w:lastColumn="0" w:oddVBand="0" w:evenVBand="0" w:oddHBand="0" w:evenHBand="0" w:firstRowFirstColumn="0" w:firstRowLastColumn="0" w:lastRowFirstColumn="0" w:lastRowLastColumn="0"/>
            <w:tcW w:w="4500" w:type="dxa"/>
          </w:tcPr>
          <w:p w14:paraId="2DD4C5F5" w14:textId="6A1E76C4" w:rsidR="00BA7BAB" w:rsidRPr="0067507D" w:rsidRDefault="00BA7BAB" w:rsidP="00BA7BAB">
            <w:pPr>
              <w:pStyle w:val="Tabletext"/>
              <w:rPr>
                <w:rFonts w:ascii="VIC" w:eastAsia="VIC" w:hAnsi="VIC" w:cs="VIC"/>
              </w:rPr>
            </w:pPr>
            <w:r w:rsidRPr="0067507D">
              <w:t>West Welcome Wagon</w:t>
            </w:r>
          </w:p>
        </w:tc>
        <w:tc>
          <w:tcPr>
            <w:cnfStyle w:val="000010000000" w:firstRow="0" w:lastRow="0" w:firstColumn="0" w:lastColumn="0" w:oddVBand="1" w:evenVBand="0" w:oddHBand="0" w:evenHBand="0" w:firstRowFirstColumn="0" w:firstRowLastColumn="0" w:lastRowFirstColumn="0" w:lastRowLastColumn="0"/>
            <w:tcW w:w="3780" w:type="dxa"/>
          </w:tcPr>
          <w:p w14:paraId="56BB0119" w14:textId="2FB09F51" w:rsidR="00BA7BAB" w:rsidRPr="0067507D" w:rsidRDefault="00BA7BAB" w:rsidP="00BA7BAB">
            <w:pPr>
              <w:pStyle w:val="Tabletext"/>
              <w:rPr>
                <w:rFonts w:ascii="VIC" w:eastAsia="VIC" w:hAnsi="VIC" w:cs="VIC"/>
              </w:rPr>
            </w:pPr>
            <w:r w:rsidRPr="0067507D">
              <w:t>Multicultural Affairs</w:t>
            </w:r>
          </w:p>
        </w:tc>
        <w:tc>
          <w:tcPr>
            <w:cnfStyle w:val="000001000000" w:firstRow="0" w:lastRow="0" w:firstColumn="0" w:lastColumn="0" w:oddVBand="0" w:evenVBand="1" w:oddHBand="0" w:evenHBand="0" w:firstRowFirstColumn="0" w:firstRowLastColumn="0" w:lastRowFirstColumn="0" w:lastRowLastColumn="0"/>
            <w:tcW w:w="1260" w:type="dxa"/>
          </w:tcPr>
          <w:p w14:paraId="5F2605A8" w14:textId="70CC6EDE" w:rsidR="00BA7BAB" w:rsidRPr="0067507D" w:rsidRDefault="00BA7BAB" w:rsidP="00BA7BAB">
            <w:pPr>
              <w:pStyle w:val="Tabletextright"/>
              <w:rPr>
                <w:rFonts w:ascii="VIC" w:eastAsia="VIC" w:hAnsi="VIC" w:cs="VIC"/>
              </w:rPr>
            </w:pPr>
            <w:r w:rsidRPr="0067507D">
              <w:t xml:space="preserve"> 50</w:t>
            </w:r>
            <w:r w:rsidR="00D86473" w:rsidRPr="0067507D">
              <w:t xml:space="preserve"> </w:t>
            </w:r>
            <w:r w:rsidRPr="0067507D">
              <w:t xml:space="preserve">000 </w:t>
            </w:r>
          </w:p>
        </w:tc>
      </w:tr>
      <w:tr w:rsidR="00114877" w:rsidRPr="0067507D" w14:paraId="4C7AC444"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5F91F90C" w14:textId="1DD24379" w:rsidR="0D12D4EA" w:rsidRPr="0067507D" w:rsidRDefault="0D12D4EA" w:rsidP="00E12B20">
            <w:pPr>
              <w:pStyle w:val="Spacer"/>
              <w:rPr>
                <w:sz w:val="4"/>
              </w:rPr>
            </w:pPr>
            <w:r w:rsidRPr="0067507D">
              <w:rPr>
                <w:rFonts w:eastAsia="VIC"/>
                <w:sz w:val="4"/>
              </w:rPr>
              <w:t xml:space="preserve"> </w:t>
            </w:r>
          </w:p>
        </w:tc>
        <w:tc>
          <w:tcPr>
            <w:cnfStyle w:val="000010000000" w:firstRow="0" w:lastRow="0" w:firstColumn="0" w:lastColumn="0" w:oddVBand="1" w:evenVBand="0" w:oddHBand="0" w:evenHBand="0" w:firstRowFirstColumn="0" w:firstRowLastColumn="0" w:lastRowFirstColumn="0" w:lastRowLastColumn="0"/>
            <w:tcW w:w="3780" w:type="dxa"/>
          </w:tcPr>
          <w:p w14:paraId="51F5F2A3" w14:textId="05322BDA" w:rsidR="0D12D4EA" w:rsidRPr="0067507D" w:rsidRDefault="0D12D4EA" w:rsidP="00E12B20">
            <w:pPr>
              <w:pStyle w:val="Spacer"/>
              <w:rPr>
                <w:sz w:val="4"/>
              </w:rPr>
            </w:pPr>
            <w:r w:rsidRPr="0067507D">
              <w:rPr>
                <w:rFonts w:eastAsia="VIC"/>
                <w:sz w:val="4"/>
              </w:rPr>
              <w:t xml:space="preserve"> </w:t>
            </w:r>
          </w:p>
        </w:tc>
        <w:tc>
          <w:tcPr>
            <w:cnfStyle w:val="000001000000" w:firstRow="0" w:lastRow="0" w:firstColumn="0" w:lastColumn="0" w:oddVBand="0" w:evenVBand="1" w:oddHBand="0" w:evenHBand="0" w:firstRowFirstColumn="0" w:firstRowLastColumn="0" w:lastRowFirstColumn="0" w:lastRowLastColumn="0"/>
            <w:tcW w:w="1260" w:type="dxa"/>
          </w:tcPr>
          <w:p w14:paraId="19D19675" w14:textId="2537F523" w:rsidR="0D12D4EA" w:rsidRPr="0067507D" w:rsidRDefault="0D12D4EA" w:rsidP="00E12B20">
            <w:pPr>
              <w:pStyle w:val="Spacer"/>
              <w:rPr>
                <w:sz w:val="4"/>
              </w:rPr>
            </w:pPr>
            <w:r w:rsidRPr="0067507D">
              <w:rPr>
                <w:rFonts w:eastAsia="VIC"/>
                <w:sz w:val="4"/>
              </w:rPr>
              <w:t xml:space="preserve"> </w:t>
            </w:r>
          </w:p>
        </w:tc>
      </w:tr>
      <w:tr w:rsidR="00114877" w:rsidRPr="0067507D" w14:paraId="0F5C356D"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688AC91A" w14:textId="4DBC21B6" w:rsidR="0D12D4EA" w:rsidRPr="0067507D" w:rsidRDefault="0D12D4EA" w:rsidP="006317CA">
            <w:pPr>
              <w:pStyle w:val="Tabletextbold"/>
            </w:pPr>
            <w:r w:rsidRPr="0067507D">
              <w:rPr>
                <w:rFonts w:eastAsia="VIC SemiBold"/>
              </w:rPr>
              <w:t>Department of Treasury and Finance</w:t>
            </w:r>
          </w:p>
        </w:tc>
        <w:tc>
          <w:tcPr>
            <w:cnfStyle w:val="000010000000" w:firstRow="0" w:lastRow="0" w:firstColumn="0" w:lastColumn="0" w:oddVBand="1" w:evenVBand="0" w:oddHBand="0" w:evenHBand="0" w:firstRowFirstColumn="0" w:firstRowLastColumn="0" w:lastRowFirstColumn="0" w:lastRowLastColumn="0"/>
            <w:tcW w:w="3780" w:type="dxa"/>
          </w:tcPr>
          <w:p w14:paraId="0DF608A1" w14:textId="3B6E47EF" w:rsidR="0D12D4EA" w:rsidRPr="0067507D" w:rsidRDefault="0D12D4EA" w:rsidP="00770ACD">
            <w:pPr>
              <w:pStyle w:val="Tabletext"/>
            </w:pPr>
            <w:r w:rsidRPr="0067507D">
              <w:rPr>
                <w:rFonts w:ascii="VIC" w:eastAsia="VIC" w:hAnsi="VIC" w:cs="VIC"/>
              </w:rPr>
              <w:t xml:space="preserve"> </w:t>
            </w:r>
          </w:p>
        </w:tc>
        <w:tc>
          <w:tcPr>
            <w:cnfStyle w:val="000001000000" w:firstRow="0" w:lastRow="0" w:firstColumn="0" w:lastColumn="0" w:oddVBand="0" w:evenVBand="1" w:oddHBand="0" w:evenHBand="0" w:firstRowFirstColumn="0" w:firstRowLastColumn="0" w:lastRowFirstColumn="0" w:lastRowLastColumn="0"/>
            <w:tcW w:w="1260" w:type="dxa"/>
          </w:tcPr>
          <w:p w14:paraId="76FB2B7D" w14:textId="5EEEA334" w:rsidR="0D12D4EA" w:rsidRPr="0067507D" w:rsidRDefault="0D12D4EA" w:rsidP="006317CA">
            <w:pPr>
              <w:pStyle w:val="Tabletextright"/>
            </w:pPr>
            <w:r w:rsidRPr="0067507D">
              <w:rPr>
                <w:rFonts w:ascii="VIC" w:eastAsia="VIC" w:hAnsi="VIC" w:cs="VIC"/>
              </w:rPr>
              <w:t xml:space="preserve"> </w:t>
            </w:r>
          </w:p>
        </w:tc>
      </w:tr>
      <w:tr w:rsidR="00114877" w:rsidRPr="0067507D" w14:paraId="78287BD8" w14:textId="77777777">
        <w:tc>
          <w:tcPr>
            <w:cnfStyle w:val="001000000000" w:firstRow="0" w:lastRow="0" w:firstColumn="1" w:lastColumn="0" w:oddVBand="0" w:evenVBand="0" w:oddHBand="0" w:evenHBand="0" w:firstRowFirstColumn="0" w:firstRowLastColumn="0" w:lastRowFirstColumn="0" w:lastRowLastColumn="0"/>
            <w:tcW w:w="4500" w:type="dxa"/>
          </w:tcPr>
          <w:p w14:paraId="299563E9" w14:textId="682A8D0C" w:rsidR="00E12B20" w:rsidRPr="0067507D" w:rsidRDefault="00FA7050">
            <w:pPr>
              <w:pStyle w:val="Tabletext"/>
            </w:pPr>
            <w:r w:rsidRPr="0067507D">
              <w:rPr>
                <w:rFonts w:ascii="VIC" w:eastAsia="VIC" w:hAnsi="VIC" w:cs="VIC"/>
              </w:rPr>
              <w:t>Rochester Primary School</w:t>
            </w:r>
            <w:r w:rsidR="008033F5" w:rsidRPr="0067507D">
              <w:rPr>
                <w:rFonts w:ascii="VIC" w:eastAsia="VIC" w:hAnsi="VIC" w:cs="VIC"/>
              </w:rPr>
              <w:t xml:space="preserve"> – </w:t>
            </w:r>
            <w:r w:rsidRPr="0067507D">
              <w:rPr>
                <w:rFonts w:ascii="VIC" w:eastAsia="VIC" w:hAnsi="VIC" w:cs="VIC"/>
              </w:rPr>
              <w:t>2025 Vic</w:t>
            </w:r>
            <w:r w:rsidR="00D2029B" w:rsidRPr="0067507D">
              <w:rPr>
                <w:rFonts w:ascii="VIC" w:eastAsia="VIC" w:hAnsi="VIC" w:cs="VIC"/>
              </w:rPr>
              <w:t>torian</w:t>
            </w:r>
            <w:r w:rsidRPr="0067507D">
              <w:rPr>
                <w:rFonts w:ascii="VIC" w:eastAsia="VIC" w:hAnsi="VIC" w:cs="VIC"/>
              </w:rPr>
              <w:t xml:space="preserve"> State School Spectacular Participation Costs</w:t>
            </w:r>
          </w:p>
        </w:tc>
        <w:tc>
          <w:tcPr>
            <w:cnfStyle w:val="000010000000" w:firstRow="0" w:lastRow="0" w:firstColumn="0" w:lastColumn="0" w:oddVBand="1" w:evenVBand="0" w:oddHBand="0" w:evenHBand="0" w:firstRowFirstColumn="0" w:firstRowLastColumn="0" w:lastRowFirstColumn="0" w:lastRowLastColumn="0"/>
            <w:tcW w:w="3780" w:type="dxa"/>
          </w:tcPr>
          <w:p w14:paraId="6326A680" w14:textId="6C034DE9" w:rsidR="00E12B20" w:rsidRPr="0067507D" w:rsidRDefault="4B60D723">
            <w:pPr>
              <w:pStyle w:val="Tabletext"/>
            </w:pPr>
            <w:r w:rsidRPr="0067507D">
              <w:rPr>
                <w:rFonts w:ascii="VIC" w:eastAsia="VIC" w:hAnsi="VIC" w:cs="VIC"/>
              </w:rPr>
              <w:t xml:space="preserve">CSF </w:t>
            </w:r>
            <w:r w:rsidR="2B5C4AC5" w:rsidRPr="0067507D">
              <w:rPr>
                <w:rFonts w:ascii="VIC" w:eastAsia="VIC" w:hAnsi="VIC" w:cs="VIC"/>
              </w:rPr>
              <w:t>Administration</w:t>
            </w:r>
          </w:p>
        </w:tc>
        <w:tc>
          <w:tcPr>
            <w:cnfStyle w:val="000001000000" w:firstRow="0" w:lastRow="0" w:firstColumn="0" w:lastColumn="0" w:oddVBand="0" w:evenVBand="1" w:oddHBand="0" w:evenHBand="0" w:firstRowFirstColumn="0" w:firstRowLastColumn="0" w:lastRowFirstColumn="0" w:lastRowLastColumn="0"/>
            <w:tcW w:w="1260" w:type="dxa"/>
          </w:tcPr>
          <w:p w14:paraId="5CCE79EE" w14:textId="5C4492E3" w:rsidR="00E12B20" w:rsidRPr="0067507D" w:rsidRDefault="00C863EE">
            <w:pPr>
              <w:pStyle w:val="Tabletextright"/>
            </w:pPr>
            <w:r w:rsidRPr="0067507D">
              <w:rPr>
                <w:rFonts w:ascii="VIC" w:eastAsia="VIC" w:hAnsi="VIC" w:cs="VIC"/>
              </w:rPr>
              <w:t>3 695</w:t>
            </w:r>
          </w:p>
        </w:tc>
      </w:tr>
      <w:tr w:rsidR="00114877" w:rsidRPr="0067507D" w14:paraId="35658B25" w14:textId="77777777" w:rsidTr="003E1AB9">
        <w:tc>
          <w:tcPr>
            <w:cnfStyle w:val="001000000000" w:firstRow="0" w:lastRow="0" w:firstColumn="1" w:lastColumn="0" w:oddVBand="0" w:evenVBand="0" w:oddHBand="0" w:evenHBand="0" w:firstRowFirstColumn="0" w:firstRowLastColumn="0" w:lastRowFirstColumn="0" w:lastRowLastColumn="0"/>
            <w:tcW w:w="4500" w:type="dxa"/>
          </w:tcPr>
          <w:p w14:paraId="22A019F8" w14:textId="659306D1" w:rsidR="0D12D4EA" w:rsidRPr="0067507D" w:rsidRDefault="0D12D4EA" w:rsidP="006317CA">
            <w:pPr>
              <w:pStyle w:val="Tabletextbold"/>
            </w:pPr>
            <w:r w:rsidRPr="0067507D">
              <w:rPr>
                <w:rFonts w:eastAsia="VIC SemiBold"/>
              </w:rPr>
              <w:t>Total grant approvals</w:t>
            </w:r>
            <w:r w:rsidRPr="0067507D">
              <w:rPr>
                <w:rFonts w:ascii="Calibri" w:eastAsia="Calibri" w:hAnsi="Calibri" w:cs="Calibri"/>
              </w:rPr>
              <w:t xml:space="preserve"> </w:t>
            </w:r>
          </w:p>
        </w:tc>
        <w:tc>
          <w:tcPr>
            <w:cnfStyle w:val="000010000000" w:firstRow="0" w:lastRow="0" w:firstColumn="0" w:lastColumn="0" w:oddVBand="1" w:evenVBand="0" w:oddHBand="0" w:evenHBand="0" w:firstRowFirstColumn="0" w:firstRowLastColumn="0" w:lastRowFirstColumn="0" w:lastRowLastColumn="0"/>
            <w:tcW w:w="3780" w:type="dxa"/>
          </w:tcPr>
          <w:p w14:paraId="40A53CE5" w14:textId="4E8C84D7" w:rsidR="0D12D4EA" w:rsidRPr="0067507D" w:rsidRDefault="0D12D4EA" w:rsidP="006317CA">
            <w:pPr>
              <w:pStyle w:val="Tabletextbold"/>
            </w:pPr>
            <w:r w:rsidRPr="0067507D">
              <w:rPr>
                <w:rFonts w:eastAsia="Calibri"/>
              </w:rPr>
              <w:t xml:space="preserve"> </w:t>
            </w:r>
          </w:p>
        </w:tc>
        <w:tc>
          <w:tcPr>
            <w:cnfStyle w:val="000001000000" w:firstRow="0" w:lastRow="0" w:firstColumn="0" w:lastColumn="0" w:oddVBand="0" w:evenVBand="1" w:oddHBand="0" w:evenHBand="0" w:firstRowFirstColumn="0" w:firstRowLastColumn="0" w:lastRowFirstColumn="0" w:lastRowLastColumn="0"/>
            <w:tcW w:w="1260" w:type="dxa"/>
          </w:tcPr>
          <w:p w14:paraId="3072F153" w14:textId="2E949AE8" w:rsidR="0D12D4EA" w:rsidRPr="0067507D" w:rsidRDefault="00C863EE" w:rsidP="006317CA">
            <w:pPr>
              <w:pStyle w:val="Tabletextrightbold"/>
            </w:pPr>
            <w:r w:rsidRPr="0067507D">
              <w:rPr>
                <w:rFonts w:eastAsia="VIC"/>
              </w:rPr>
              <w:t>17 048 695</w:t>
            </w:r>
          </w:p>
        </w:tc>
      </w:tr>
    </w:tbl>
    <w:p w14:paraId="6C51F0DF" w14:textId="67A17FA8" w:rsidR="004E29AF" w:rsidRPr="0067507D" w:rsidRDefault="004E29AF" w:rsidP="00010F40">
      <w:pPr>
        <w:pStyle w:val="Notes"/>
      </w:pPr>
      <w:r w:rsidRPr="0067507D">
        <w:rPr>
          <w:rFonts w:eastAsia="VIC"/>
        </w:rPr>
        <w:t>Note:</w:t>
      </w:r>
    </w:p>
    <w:p w14:paraId="21535527" w14:textId="13AD234F" w:rsidR="004C2640" w:rsidRPr="0067507D" w:rsidRDefault="00E6026B" w:rsidP="00010F40">
      <w:pPr>
        <w:pStyle w:val="Notes"/>
        <w:rPr>
          <w:rFonts w:ascii="Calibri" w:eastAsia="Calibri" w:hAnsi="Calibri" w:cs="Calibri"/>
        </w:rPr>
      </w:pPr>
      <w:r w:rsidRPr="0067507D">
        <w:rPr>
          <w:rFonts w:eastAsia="VIC"/>
        </w:rPr>
        <w:t xml:space="preserve">(a) </w:t>
      </w:r>
      <w:r w:rsidR="004E29AF" w:rsidRPr="0067507D">
        <w:rPr>
          <w:rFonts w:eastAsia="VIC"/>
        </w:rPr>
        <w:t xml:space="preserve">The list shows the CSF grants approved in the </w:t>
      </w:r>
      <w:r w:rsidR="00C30F42" w:rsidRPr="0067507D">
        <w:rPr>
          <w:rFonts w:ascii="VIC" w:eastAsia="VIC" w:hAnsi="VIC" w:cs="VIC"/>
          <w:szCs w:val="14"/>
        </w:rPr>
        <w:t>2024</w:t>
      </w:r>
      <w:r w:rsidR="006A5485">
        <w:rPr>
          <w:rFonts w:ascii="VIC" w:eastAsia="VIC" w:hAnsi="VIC" w:cs="VIC"/>
          <w:szCs w:val="14"/>
        </w:rPr>
        <w:noBreakHyphen/>
      </w:r>
      <w:r w:rsidR="00C30F42" w:rsidRPr="0067507D">
        <w:rPr>
          <w:rFonts w:ascii="VIC" w:eastAsia="VIC" w:hAnsi="VIC" w:cs="VIC"/>
          <w:szCs w:val="14"/>
        </w:rPr>
        <w:t>25</w:t>
      </w:r>
      <w:r w:rsidR="515E1792" w:rsidRPr="0067507D">
        <w:rPr>
          <w:rFonts w:ascii="VIC" w:eastAsia="VIC" w:hAnsi="VIC" w:cs="VIC"/>
          <w:szCs w:val="14"/>
        </w:rPr>
        <w:t xml:space="preserve"> financial year. Expenditure for these projects will continue from </w:t>
      </w:r>
      <w:r w:rsidR="00C30F42" w:rsidRPr="0067507D">
        <w:rPr>
          <w:rFonts w:ascii="VIC" w:eastAsia="VIC" w:hAnsi="VIC" w:cs="VIC"/>
          <w:szCs w:val="14"/>
        </w:rPr>
        <w:t>2024</w:t>
      </w:r>
      <w:r w:rsidR="006A5485">
        <w:rPr>
          <w:rFonts w:ascii="VIC" w:eastAsia="VIC" w:hAnsi="VIC" w:cs="VIC"/>
          <w:szCs w:val="14"/>
        </w:rPr>
        <w:noBreakHyphen/>
      </w:r>
      <w:r w:rsidR="00C30F42" w:rsidRPr="0067507D">
        <w:rPr>
          <w:rFonts w:ascii="VIC" w:eastAsia="VIC" w:hAnsi="VIC" w:cs="VIC"/>
          <w:szCs w:val="14"/>
        </w:rPr>
        <w:t>25</w:t>
      </w:r>
      <w:r w:rsidR="515E1792" w:rsidRPr="0067507D">
        <w:rPr>
          <w:rFonts w:ascii="VIC" w:eastAsia="VIC" w:hAnsi="VIC" w:cs="VIC"/>
          <w:szCs w:val="14"/>
        </w:rPr>
        <w:t xml:space="preserve"> up to the 2028</w:t>
      </w:r>
      <w:r w:rsidR="006A5485">
        <w:rPr>
          <w:rFonts w:ascii="VIC" w:eastAsia="VIC" w:hAnsi="VIC" w:cs="VIC"/>
          <w:szCs w:val="14"/>
        </w:rPr>
        <w:noBreakHyphen/>
      </w:r>
      <w:r w:rsidR="515E1792" w:rsidRPr="0067507D">
        <w:rPr>
          <w:rFonts w:ascii="VIC" w:eastAsia="VIC" w:hAnsi="VIC" w:cs="VIC"/>
          <w:szCs w:val="14"/>
        </w:rPr>
        <w:t>29</w:t>
      </w:r>
      <w:r w:rsidR="004E29AF" w:rsidRPr="0067507D">
        <w:rPr>
          <w:rFonts w:ascii="VIC" w:eastAsia="VIC" w:hAnsi="VIC" w:cs="VIC"/>
          <w:szCs w:val="14"/>
        </w:rPr>
        <w:t xml:space="preserve"> financial year.</w:t>
      </w:r>
    </w:p>
    <w:p w14:paraId="29DA308C" w14:textId="07F759EA" w:rsidR="004E29AF" w:rsidRPr="0067507D" w:rsidRDefault="004E29AF" w:rsidP="165D9F75">
      <w:pPr>
        <w:pStyle w:val="Notes"/>
        <w:spacing w:before="0" w:after="0"/>
        <w:rPr>
          <w:rFonts w:eastAsia="VIC"/>
        </w:rPr>
      </w:pPr>
      <w:bookmarkStart w:id="259" w:name="_Toc17189968"/>
    </w:p>
    <w:p w14:paraId="60BD79EE" w14:textId="78B09893" w:rsidR="00BF0AA5" w:rsidRPr="0067507D" w:rsidRDefault="00BF0AA5" w:rsidP="00994304">
      <w:pPr>
        <w:rPr>
          <w:rFonts w:eastAsia="Calibri"/>
        </w:rPr>
        <w:sectPr w:rsidR="00BF0AA5" w:rsidRPr="0067507D" w:rsidSect="005401F9">
          <w:pgSz w:w="11909" w:h="16834" w:code="9"/>
          <w:pgMar w:top="1728" w:right="1152" w:bottom="1267" w:left="1152" w:header="720" w:footer="288" w:gutter="0"/>
          <w:cols w:space="2327"/>
          <w:noEndnote/>
        </w:sectPr>
      </w:pPr>
    </w:p>
    <w:p w14:paraId="5A58D582" w14:textId="277310D6" w:rsidR="004E29AF" w:rsidRPr="0067507D" w:rsidRDefault="004E29AF" w:rsidP="00D86DE9">
      <w:pPr>
        <w:pStyle w:val="Heading1b"/>
        <w:pageBreakBefore/>
        <w:ind w:right="-252"/>
      </w:pPr>
      <w:bookmarkStart w:id="260" w:name="_Toc210221152"/>
      <w:bookmarkEnd w:id="259"/>
      <w:r w:rsidRPr="0067507D">
        <w:lastRenderedPageBreak/>
        <w:t>Reporting against competitive neutrality principles</w:t>
      </w:r>
      <w:bookmarkStart w:id="261" w:name="NatCompetitionPolicy1"/>
      <w:bookmarkEnd w:id="260"/>
    </w:p>
    <w:p w14:paraId="0C064A25" w14:textId="3AE8567D" w:rsidR="00306277" w:rsidRPr="0067507D" w:rsidRDefault="00306277" w:rsidP="00306277">
      <w:bookmarkStart w:id="262" w:name="NatCompetitionPolicy2"/>
      <w:bookmarkStart w:id="263" w:name="_Hlk48727625"/>
      <w:bookmarkEnd w:id="261"/>
      <w:bookmarkEnd w:id="262"/>
      <w:r w:rsidRPr="0067507D">
        <w:t>Competitive neutrality requires government businesses to ensure that where services compete, or potentially compete, with the private sector, any net advantage arising from government ownership is accounted for if it is not in the public interest. Government businesses</w:t>
      </w:r>
      <w:r w:rsidR="00C15AB2" w:rsidRPr="0067507D">
        <w:t xml:space="preserve"> that undertake significant business activities</w:t>
      </w:r>
      <w:r w:rsidRPr="0067507D">
        <w:t xml:space="preserve"> are required to </w:t>
      </w:r>
      <w:r w:rsidR="00EA41CF" w:rsidRPr="0067507D">
        <w:t xml:space="preserve">implement </w:t>
      </w:r>
      <w:r w:rsidRPr="0067507D">
        <w:t>competitive neutral</w:t>
      </w:r>
      <w:r w:rsidR="00EA41CF" w:rsidRPr="0067507D">
        <w:t xml:space="preserve">ity measures (such as setting competitively </w:t>
      </w:r>
      <w:r w:rsidRPr="0067507D">
        <w:t>neutral price</w:t>
      </w:r>
      <w:r w:rsidR="00EA41CF" w:rsidRPr="0067507D">
        <w:t>s)</w:t>
      </w:r>
      <w:r w:rsidRPr="0067507D">
        <w:t xml:space="preserve">, which accounts for any net advantage that comes from public ownership. Competitive neutrality policy supports fair competition between public and private businesses and provides government businesses with a tool to enhance decisions on resource allocation. This policy does not override other policy objectives of government and focuses on </w:t>
      </w:r>
      <w:r w:rsidR="00B30557" w:rsidRPr="0067507D">
        <w:t>removing resource allocation distortions</w:t>
      </w:r>
      <w:r w:rsidRPr="0067507D">
        <w:t>.</w:t>
      </w:r>
    </w:p>
    <w:p w14:paraId="685731C6" w14:textId="377951BE" w:rsidR="00306277" w:rsidRPr="0067507D" w:rsidRDefault="00306277" w:rsidP="0049767B">
      <w:pPr>
        <w:ind w:right="-72"/>
      </w:pPr>
      <w:r w:rsidRPr="0067507D">
        <w:t>The Department ensures Victoria fulfils its requirements on competitive neutrality reporting as required under the Competition Principles Agreement</w:t>
      </w:r>
      <w:r w:rsidR="004827AB" w:rsidRPr="0067507D">
        <w:t>,</w:t>
      </w:r>
      <w:r w:rsidRPr="0067507D">
        <w:t xml:space="preserve"> Competition and Infrastructure Reform Agreement</w:t>
      </w:r>
      <w:r w:rsidR="004827AB" w:rsidRPr="0067507D">
        <w:t xml:space="preserve"> and Schedule 4 to the Intergovernmental Agreement on National Competition Policy</w:t>
      </w:r>
      <w:r w:rsidRPr="0067507D">
        <w:t>.</w:t>
      </w:r>
    </w:p>
    <w:p w14:paraId="34386728" w14:textId="00104A7D" w:rsidR="004E29AF" w:rsidRPr="0067507D" w:rsidRDefault="004E29AF" w:rsidP="004E29AF">
      <w:pPr>
        <w:ind w:right="122"/>
        <w:rPr>
          <w:rFonts w:eastAsia="Consolas"/>
        </w:rPr>
      </w:pPr>
    </w:p>
    <w:p w14:paraId="39323260" w14:textId="4986475C" w:rsidR="004E29AF" w:rsidRPr="0067507D" w:rsidRDefault="00E27FE5" w:rsidP="004E29AF">
      <w:pPr>
        <w:pStyle w:val="Heading1b"/>
      </w:pPr>
      <w:r w:rsidRPr="0067507D">
        <w:br w:type="column"/>
      </w:r>
      <w:bookmarkStart w:id="264" w:name="ProtectedDisclosure"/>
      <w:bookmarkStart w:id="265" w:name="_Toc210221153"/>
      <w:bookmarkStart w:id="266" w:name="PubIntDisclosure"/>
      <w:bookmarkEnd w:id="263"/>
      <w:r w:rsidR="004E29AF" w:rsidRPr="0067507D">
        <w:t>Application of Public Interest Disclosures Act</w:t>
      </w:r>
    </w:p>
    <w:bookmarkEnd w:id="264"/>
    <w:bookmarkEnd w:id="265"/>
    <w:bookmarkEnd w:id="266"/>
    <w:p w14:paraId="55C3649D" w14:textId="77777777" w:rsidR="004E29AF" w:rsidRPr="0067507D" w:rsidRDefault="004E29AF" w:rsidP="004E29AF">
      <w:r w:rsidRPr="0067507D">
        <w:t xml:space="preserve">The following information is required to be included in the Annual Report pursuant to section 70 of the </w:t>
      </w:r>
      <w:r w:rsidRPr="0067507D">
        <w:rPr>
          <w:i/>
        </w:rPr>
        <w:t xml:space="preserve">Public Interest Disclosures Act 2012 </w:t>
      </w:r>
      <w:r w:rsidRPr="0067507D">
        <w:t>(the Act).</w:t>
      </w:r>
    </w:p>
    <w:p w14:paraId="43F7CFC6" w14:textId="77777777" w:rsidR="004E29AF" w:rsidRPr="0067507D" w:rsidRDefault="004E29AF" w:rsidP="004E29AF">
      <w:pPr>
        <w:pStyle w:val="Heading2"/>
      </w:pPr>
      <w:bookmarkStart w:id="267" w:name="_Ref492629117"/>
      <w:r w:rsidRPr="0067507D">
        <w:t>Message from the Secretary</w:t>
      </w:r>
      <w:bookmarkEnd w:id="267"/>
    </w:p>
    <w:p w14:paraId="14EAB89F" w14:textId="02609474" w:rsidR="004E29AF" w:rsidRPr="0067507D" w:rsidRDefault="004E29AF" w:rsidP="004E29AF">
      <w:r w:rsidRPr="0067507D">
        <w:t>The Department of Treasury and Finance is committed to the aims and objectives of the Act. It</w:t>
      </w:r>
      <w:r w:rsidRPr="0067507D">
        <w:rPr>
          <w:rFonts w:ascii="Calibri" w:hAnsi="Calibri" w:cs="Calibri"/>
        </w:rPr>
        <w:t> </w:t>
      </w:r>
      <w:r w:rsidRPr="0067507D">
        <w:t>does not tolerate improper conduct by its employees, officers or members. Nor does the Department tolerate reprisals against those who come forward to disclose such conduct, and it is dedicated to protecting the welfare of such persons.</w:t>
      </w:r>
    </w:p>
    <w:p w14:paraId="567009A3" w14:textId="060E3984" w:rsidR="00E14602" w:rsidRPr="0067507D" w:rsidRDefault="009C22C3" w:rsidP="00E14602">
      <w:r w:rsidRPr="00707A55">
        <w:rPr>
          <w:noProof/>
        </w:rPr>
        <w:drawing>
          <wp:inline distT="0" distB="0" distL="0" distR="0" wp14:anchorId="6AC11F31" wp14:editId="7BEB86BD">
            <wp:extent cx="1629335" cy="859536"/>
            <wp:effectExtent l="0" t="0" r="0" b="0"/>
            <wp:docPr id="1030232308" name="Picture 2" descr="Chris Barrett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32308" name="Picture 2" descr="Chris Barrett signa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9335" cy="859536"/>
                    </a:xfrm>
                    <a:prstGeom prst="rect">
                      <a:avLst/>
                    </a:prstGeom>
                    <a:noFill/>
                    <a:ln>
                      <a:noFill/>
                    </a:ln>
                  </pic:spPr>
                </pic:pic>
              </a:graphicData>
            </a:graphic>
          </wp:inline>
        </w:drawing>
      </w:r>
    </w:p>
    <w:p w14:paraId="232E8982" w14:textId="77777777" w:rsidR="00E14602" w:rsidRPr="0067507D" w:rsidRDefault="00E14602" w:rsidP="00E14602">
      <w:pPr>
        <w:spacing w:before="0"/>
        <w:rPr>
          <w:rFonts w:asciiTheme="majorHAnsi" w:hAnsiTheme="majorHAnsi" w:cstheme="minorHAnsi"/>
        </w:rPr>
      </w:pPr>
      <w:r w:rsidRPr="0067507D">
        <w:rPr>
          <w:rFonts w:asciiTheme="majorHAnsi" w:hAnsiTheme="majorHAnsi" w:cstheme="minorHAnsi"/>
        </w:rPr>
        <w:t>Chris Barrett</w:t>
      </w:r>
      <w:r w:rsidRPr="0067507D">
        <w:rPr>
          <w:rFonts w:asciiTheme="majorHAnsi" w:hAnsiTheme="majorHAnsi" w:cstheme="minorHAnsi"/>
        </w:rPr>
        <w:br/>
        <w:t xml:space="preserve">Secretary </w:t>
      </w:r>
    </w:p>
    <w:p w14:paraId="4B5E0B28" w14:textId="6785D6F0" w:rsidR="00E14602" w:rsidRPr="0067507D" w:rsidRDefault="00E14602" w:rsidP="00E14602">
      <w:r w:rsidRPr="00530B02">
        <w:t>1</w:t>
      </w:r>
      <w:r w:rsidR="005A5D94">
        <w:t>7</w:t>
      </w:r>
      <w:r w:rsidRPr="0067507D">
        <w:t xml:space="preserve"> October 2025</w:t>
      </w:r>
    </w:p>
    <w:p w14:paraId="0A2ABBCC" w14:textId="77777777" w:rsidR="004E29AF" w:rsidRPr="0067507D" w:rsidRDefault="004E29AF" w:rsidP="004E29AF">
      <w:pPr>
        <w:pStyle w:val="Spacer"/>
      </w:pPr>
    </w:p>
    <w:p w14:paraId="1C711B33" w14:textId="77777777" w:rsidR="001646B2" w:rsidRPr="0067507D" w:rsidRDefault="001646B2" w:rsidP="001646B2">
      <w:pPr>
        <w:pStyle w:val="Heading2"/>
        <w:rPr>
          <w:i/>
        </w:rPr>
      </w:pPr>
      <w:r w:rsidRPr="0067507D">
        <w:t xml:space="preserve">Compliance with the </w:t>
      </w:r>
      <w:r w:rsidRPr="0067507D">
        <w:rPr>
          <w:i/>
        </w:rPr>
        <w:t>Public Interest Disclosures Act 2012</w:t>
      </w:r>
    </w:p>
    <w:p w14:paraId="710EA32C" w14:textId="77777777" w:rsidR="004E29AF" w:rsidRPr="0067507D" w:rsidRDefault="004E29AF" w:rsidP="004E29AF">
      <w:r w:rsidRPr="0067507D">
        <w:t>The Act encourages and assists people in making disclosures of improper conduct by public officers and public bodies. The Act provides protection to people who make disclosures in accordance with the Act and establishes a system for the matters disclosed to be investigated and rectifying action to be taken.</w:t>
      </w:r>
    </w:p>
    <w:p w14:paraId="5996C6B8" w14:textId="77777777" w:rsidR="004E29AF" w:rsidRPr="0067507D" w:rsidRDefault="004E29AF" w:rsidP="004E29AF">
      <w:r w:rsidRPr="0067507D">
        <w:t>The Department does not tolerate improper conduct by employees, nor the taking of reprisals against those who come forward to disclose such conduct. It is committed to ensuring transparency and accountability in its administrative and management practices and supports the making of disclosures that reveal corrupt conduct, conduct involving a substantial mismanagement of public resources, or conduct involving a substantial risk to public health and safety or the environment.</w:t>
      </w:r>
    </w:p>
    <w:p w14:paraId="085264E0" w14:textId="77777777" w:rsidR="004E29AF" w:rsidRPr="0067507D" w:rsidRDefault="004E29AF" w:rsidP="004E29AF">
      <w:r w:rsidRPr="0067507D">
        <w:t>The Department will take all reasonable steps to protect people who make such disclosures from any detrimental action in reprisal for making the disclosure. It will also afford natural justice to the person who is the subject of the disclosure to the extent it is legally possible.</w:t>
      </w:r>
    </w:p>
    <w:p w14:paraId="5BF4ABA8" w14:textId="128DBC99" w:rsidR="004E29AF" w:rsidRPr="0067507D" w:rsidRDefault="004E29AF" w:rsidP="009B6049">
      <w:pPr>
        <w:pStyle w:val="Heading2"/>
      </w:pPr>
      <w:r w:rsidRPr="0067507D">
        <w:br w:type="column"/>
      </w:r>
      <w:r w:rsidRPr="0067507D">
        <w:lastRenderedPageBreak/>
        <w:t>Reporting procedures</w:t>
      </w:r>
    </w:p>
    <w:p w14:paraId="546A3468" w14:textId="542C6EA2" w:rsidR="004E29AF" w:rsidRPr="0067507D" w:rsidRDefault="004E29AF" w:rsidP="004E29AF">
      <w:r w:rsidRPr="0067507D">
        <w:t>Disclosures of improper conduct or detrimental action by the Department or any of its employees may be made to any of the following Department personnel:</w:t>
      </w:r>
    </w:p>
    <w:p w14:paraId="09695499" w14:textId="77777777" w:rsidR="004E29AF" w:rsidRPr="0067507D" w:rsidRDefault="004E29AF" w:rsidP="00655729">
      <w:pPr>
        <w:pStyle w:val="Bullet"/>
      </w:pPr>
      <w:r w:rsidRPr="0067507D">
        <w:t>Secretary of the Department</w:t>
      </w:r>
    </w:p>
    <w:p w14:paraId="28DF2AC1" w14:textId="448F5C6E" w:rsidR="004E29AF" w:rsidRPr="0067507D" w:rsidRDefault="004E29AF" w:rsidP="00655729">
      <w:pPr>
        <w:pStyle w:val="Bullet"/>
      </w:pPr>
      <w:r w:rsidRPr="0067507D">
        <w:t>Public Interest Disclosure Coordinator</w:t>
      </w:r>
      <w:r w:rsidR="00C81735" w:rsidRPr="0067507D">
        <w:t xml:space="preserve"> </w:t>
      </w:r>
      <w:hyperlink r:id="rId235" w:history="1">
        <w:r w:rsidR="0004069A" w:rsidRPr="0067507D">
          <w:rPr>
            <w:rStyle w:val="Hyperlink"/>
          </w:rPr>
          <w:t>public.interest.disclosure@dtf.vic.gov.au</w:t>
        </w:r>
      </w:hyperlink>
    </w:p>
    <w:p w14:paraId="1477F84C" w14:textId="0E90FFC9" w:rsidR="004E29AF" w:rsidRPr="0067507D" w:rsidRDefault="004E29AF" w:rsidP="00655729">
      <w:pPr>
        <w:pStyle w:val="Bullet"/>
      </w:pPr>
      <w:r w:rsidRPr="0067507D">
        <w:t xml:space="preserve">manager or supervisor of the </w:t>
      </w:r>
      <w:r w:rsidR="72916E71" w:rsidRPr="0067507D">
        <w:t>person making the</w:t>
      </w:r>
      <w:r w:rsidRPr="0067507D">
        <w:t xml:space="preserve"> disclosure</w:t>
      </w:r>
    </w:p>
    <w:p w14:paraId="597D2857" w14:textId="77777777" w:rsidR="004E29AF" w:rsidRPr="0067507D" w:rsidRDefault="004E29AF" w:rsidP="00655729">
      <w:pPr>
        <w:pStyle w:val="Bullet"/>
      </w:pPr>
      <w:r w:rsidRPr="0067507D">
        <w:t>manager or supervisor of the person who is the subject of the disclosure.</w:t>
      </w:r>
    </w:p>
    <w:p w14:paraId="31817C4E" w14:textId="619BCDB8" w:rsidR="004E29AF" w:rsidRPr="0067507D" w:rsidRDefault="004E29AF" w:rsidP="004E29AF">
      <w:r w:rsidRPr="0067507D">
        <w:t>Alternatively, disclosures may also be made directly to the Independent Broad</w:t>
      </w:r>
      <w:r w:rsidR="006A5485">
        <w:noBreakHyphen/>
      </w:r>
      <w:r w:rsidRPr="0067507D">
        <w:t>based Anti</w:t>
      </w:r>
      <w:r w:rsidR="006A5485">
        <w:noBreakHyphen/>
      </w:r>
      <w:r w:rsidRPr="0067507D">
        <w:t>corruption Commission:</w:t>
      </w:r>
    </w:p>
    <w:p w14:paraId="4F8A88FD" w14:textId="77777777" w:rsidR="004E29AF" w:rsidRPr="0067507D" w:rsidRDefault="004E29AF" w:rsidP="004E29AF">
      <w:pPr>
        <w:pStyle w:val="NormalIndent"/>
        <w:rPr>
          <w:rFonts w:cs="Cambria Math"/>
        </w:rPr>
      </w:pPr>
      <w:r w:rsidRPr="0067507D">
        <w:rPr>
          <w:rFonts w:cs="Cambria Math"/>
        </w:rPr>
        <w:t xml:space="preserve">Level 1, North Tower, 459 Collins Street </w:t>
      </w:r>
      <w:r w:rsidRPr="0067507D">
        <w:rPr>
          <w:rFonts w:cs="Cambria Math"/>
        </w:rPr>
        <w:br/>
        <w:t>Melbourne VIC 3000</w:t>
      </w:r>
    </w:p>
    <w:p w14:paraId="10B624C9" w14:textId="0DDF2A30" w:rsidR="004E29AF" w:rsidRPr="0067507D" w:rsidRDefault="004E29AF" w:rsidP="004E29AF">
      <w:pPr>
        <w:pStyle w:val="NormalIndent"/>
        <w:rPr>
          <w:rFonts w:cs="Cambria Math"/>
        </w:rPr>
      </w:pPr>
      <w:r w:rsidRPr="0067507D">
        <w:rPr>
          <w:rFonts w:cs="Cambria Math"/>
        </w:rPr>
        <w:t xml:space="preserve">Phone: 1300 735 135 </w:t>
      </w:r>
      <w:r w:rsidRPr="0067507D">
        <w:rPr>
          <w:rFonts w:cs="Cambria Math"/>
        </w:rPr>
        <w:br/>
        <w:t xml:space="preserve">Internet: </w:t>
      </w:r>
      <w:hyperlink r:id="rId236" w:history="1">
        <w:r w:rsidRPr="0067507D">
          <w:rPr>
            <w:rStyle w:val="Hyperlink"/>
          </w:rPr>
          <w:t>ibac.vic.gov.au</w:t>
        </w:r>
      </w:hyperlink>
      <w:r w:rsidRPr="0067507D">
        <w:rPr>
          <w:rFonts w:cs="Cambria Math"/>
          <w:color w:val="404040"/>
        </w:rPr>
        <w:br/>
      </w:r>
      <w:r w:rsidRPr="0067507D">
        <w:rPr>
          <w:rFonts w:cs="Cambria Math"/>
        </w:rPr>
        <w:t>Email: [see the website above for the secure email disclosure process, which also provides for anonymous disclosures.]</w:t>
      </w:r>
    </w:p>
    <w:p w14:paraId="23B61479" w14:textId="77777777" w:rsidR="004E29AF" w:rsidRPr="0067507D" w:rsidRDefault="004E29AF" w:rsidP="00101E75"/>
    <w:p w14:paraId="47D52ECB" w14:textId="6DD10965" w:rsidR="004E29AF" w:rsidRPr="0067507D" w:rsidRDefault="004E29AF" w:rsidP="004E29AF">
      <w:pPr>
        <w:pStyle w:val="Heading2"/>
      </w:pPr>
      <w:r w:rsidRPr="0067507D">
        <w:t>Further information</w:t>
      </w:r>
    </w:p>
    <w:p w14:paraId="5870F37E" w14:textId="77777777" w:rsidR="004E29AF" w:rsidRPr="0067507D" w:rsidRDefault="004E29AF" w:rsidP="004E29AF">
      <w:r w:rsidRPr="0067507D">
        <w:t>The Public Interest Disclosures Policy and Procedures, which outline the system for reporting disclosures of improper conduct or detrimental action by the Department or any of its employees and/or officers, are available on the Department’s website.</w:t>
      </w:r>
    </w:p>
    <w:p w14:paraId="003A0923" w14:textId="77777777" w:rsidR="004E29AF" w:rsidRPr="0067507D" w:rsidRDefault="004E29AF" w:rsidP="004E29AF">
      <w:pPr>
        <w:pStyle w:val="Tableheading"/>
      </w:pPr>
      <w:r w:rsidRPr="0067507D">
        <w:t xml:space="preserve">Disclosures under the </w:t>
      </w:r>
      <w:r w:rsidRPr="0067507D">
        <w:rPr>
          <w:i/>
          <w:iCs/>
        </w:rPr>
        <w:t>Public Interest Disclosures Act</w:t>
      </w:r>
      <w:r w:rsidRPr="0067507D">
        <w:rPr>
          <w:rFonts w:ascii="Calibri" w:hAnsi="Calibri" w:cs="Calibri"/>
          <w:i/>
          <w:iCs/>
        </w:rPr>
        <w:t> </w:t>
      </w:r>
      <w:r w:rsidRPr="0067507D">
        <w:rPr>
          <w:i/>
          <w:iCs/>
        </w:rPr>
        <w:t>2012</w:t>
      </w:r>
    </w:p>
    <w:tbl>
      <w:tblPr>
        <w:tblStyle w:val="AnnualReporttexttable"/>
        <w:tblW w:w="4410" w:type="dxa"/>
        <w:tblLayout w:type="fixed"/>
        <w:tblLook w:val="02A0" w:firstRow="1" w:lastRow="0" w:firstColumn="1" w:lastColumn="0" w:noHBand="1" w:noVBand="0"/>
      </w:tblPr>
      <w:tblGrid>
        <w:gridCol w:w="2520"/>
        <w:gridCol w:w="932"/>
        <w:gridCol w:w="958"/>
      </w:tblGrid>
      <w:tr w:rsidR="00114877" w:rsidRPr="0067507D" w14:paraId="43AEB425" w14:textId="77777777" w:rsidTr="00CC58C8">
        <w:trPr>
          <w:cnfStyle w:val="100000000000" w:firstRow="1" w:lastRow="0" w:firstColumn="0" w:lastColumn="0" w:oddVBand="0" w:evenVBand="0" w:oddHBand="0"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2520" w:type="dxa"/>
            <w:shd w:val="clear" w:color="auto" w:fill="auto"/>
          </w:tcPr>
          <w:p w14:paraId="4D7D2775" w14:textId="77777777" w:rsidR="004E29AF" w:rsidRPr="0067507D" w:rsidRDefault="004E29AF" w:rsidP="003E4E12">
            <w:pPr>
              <w:pStyle w:val="Tabletext"/>
            </w:pPr>
          </w:p>
        </w:tc>
        <w:tc>
          <w:tcPr>
            <w:cnfStyle w:val="000010000000" w:firstRow="0" w:lastRow="0" w:firstColumn="0" w:lastColumn="0" w:oddVBand="1" w:evenVBand="0" w:oddHBand="0" w:evenHBand="0" w:firstRowFirstColumn="0" w:firstRowLastColumn="0" w:lastRowFirstColumn="0" w:lastRowLastColumn="0"/>
            <w:tcW w:w="932" w:type="dxa"/>
            <w:shd w:val="clear" w:color="auto" w:fill="auto"/>
          </w:tcPr>
          <w:p w14:paraId="555F7FA2" w14:textId="1606D6B0" w:rsidR="004E29AF" w:rsidRPr="0067507D" w:rsidRDefault="00C30F42" w:rsidP="003E4E12">
            <w:pPr>
              <w:pStyle w:val="Tabletextright"/>
              <w:rPr>
                <w:rFonts w:asciiTheme="majorHAnsi" w:hAnsiTheme="majorHAnsi"/>
                <w:b w:val="0"/>
                <w:bCs/>
                <w:highlight w:val="yellow"/>
              </w:rPr>
            </w:pPr>
            <w:r w:rsidRPr="0067507D">
              <w:rPr>
                <w:rFonts w:asciiTheme="majorHAnsi" w:hAnsiTheme="majorHAnsi"/>
                <w:b w:val="0"/>
                <w:bCs/>
              </w:rPr>
              <w:t>2024</w:t>
            </w:r>
            <w:r w:rsidR="006A5485">
              <w:rPr>
                <w:rFonts w:asciiTheme="majorHAnsi" w:hAnsiTheme="majorHAnsi"/>
                <w:b w:val="0"/>
                <w:bCs/>
              </w:rPr>
              <w:noBreakHyphen/>
            </w:r>
            <w:r w:rsidRPr="0067507D">
              <w:rPr>
                <w:rFonts w:asciiTheme="majorHAnsi" w:hAnsiTheme="majorHAnsi"/>
                <w:b w:val="0"/>
                <w:bCs/>
              </w:rPr>
              <w:t>25</w:t>
            </w:r>
            <w:r w:rsidR="00F739C4" w:rsidRPr="0067507D">
              <w:rPr>
                <w:rFonts w:asciiTheme="majorHAnsi" w:hAnsiTheme="majorHAnsi"/>
                <w:b w:val="0"/>
                <w:bCs/>
              </w:rPr>
              <w:br/>
              <w:t>(number)</w:t>
            </w:r>
          </w:p>
        </w:tc>
        <w:tc>
          <w:tcPr>
            <w:cnfStyle w:val="000001000000" w:firstRow="0" w:lastRow="0" w:firstColumn="0" w:lastColumn="0" w:oddVBand="0" w:evenVBand="1" w:oddHBand="0" w:evenHBand="0" w:firstRowFirstColumn="0" w:firstRowLastColumn="0" w:lastRowFirstColumn="0" w:lastRowLastColumn="0"/>
            <w:tcW w:w="958" w:type="dxa"/>
            <w:shd w:val="clear" w:color="auto" w:fill="auto"/>
          </w:tcPr>
          <w:p w14:paraId="4BB040B1" w14:textId="489BE8BD" w:rsidR="004E29AF" w:rsidRPr="0067507D" w:rsidRDefault="00C30F42" w:rsidP="003E4E12">
            <w:pPr>
              <w:pStyle w:val="Tabletextright"/>
              <w:rPr>
                <w:rFonts w:asciiTheme="majorHAnsi" w:hAnsiTheme="majorHAnsi"/>
                <w:b w:val="0"/>
                <w:bCs/>
              </w:rPr>
            </w:pPr>
            <w:r w:rsidRPr="0067507D">
              <w:rPr>
                <w:rFonts w:asciiTheme="majorHAnsi" w:hAnsiTheme="majorHAnsi"/>
                <w:b w:val="0"/>
                <w:bCs/>
              </w:rPr>
              <w:t>2023</w:t>
            </w:r>
            <w:r w:rsidR="006A5485">
              <w:rPr>
                <w:rFonts w:asciiTheme="majorHAnsi" w:hAnsiTheme="majorHAnsi"/>
                <w:b w:val="0"/>
                <w:bCs/>
              </w:rPr>
              <w:noBreakHyphen/>
            </w:r>
            <w:r w:rsidRPr="0067507D">
              <w:rPr>
                <w:rFonts w:asciiTheme="majorHAnsi" w:hAnsiTheme="majorHAnsi"/>
                <w:b w:val="0"/>
                <w:bCs/>
              </w:rPr>
              <w:t>24</w:t>
            </w:r>
            <w:r w:rsidR="00F739C4" w:rsidRPr="0067507D">
              <w:rPr>
                <w:rFonts w:asciiTheme="majorHAnsi" w:hAnsiTheme="majorHAnsi"/>
                <w:b w:val="0"/>
                <w:bCs/>
              </w:rPr>
              <w:br/>
              <w:t>(number)</w:t>
            </w:r>
          </w:p>
        </w:tc>
      </w:tr>
      <w:tr w:rsidR="00114877" w:rsidRPr="0067507D" w14:paraId="0494279D" w14:textId="77777777" w:rsidTr="00101E75">
        <w:trPr>
          <w:trHeight w:val="499"/>
        </w:trPr>
        <w:tc>
          <w:tcPr>
            <w:cnfStyle w:val="001000000000" w:firstRow="0" w:lastRow="0" w:firstColumn="1" w:lastColumn="0" w:oddVBand="0" w:evenVBand="0" w:oddHBand="0" w:evenHBand="0" w:firstRowFirstColumn="0" w:firstRowLastColumn="0" w:lastRowFirstColumn="0" w:lastRowLastColumn="0"/>
            <w:tcW w:w="2520" w:type="dxa"/>
          </w:tcPr>
          <w:p w14:paraId="2041D439" w14:textId="4C620F89" w:rsidR="004E29AF" w:rsidRPr="0067507D" w:rsidRDefault="004E29AF" w:rsidP="003E4E12">
            <w:pPr>
              <w:pStyle w:val="Tabletext"/>
            </w:pPr>
            <w:r w:rsidRPr="0067507D">
              <w:t>The number of disclosures made by an individual to the Department and notified to the Independent Broad</w:t>
            </w:r>
            <w:r w:rsidR="00A359AB" w:rsidRPr="0067507D">
              <w:noBreakHyphen/>
            </w:r>
            <w:r w:rsidRPr="0067507D">
              <w:t>based Anti</w:t>
            </w:r>
            <w:r w:rsidR="00A359AB" w:rsidRPr="0067507D">
              <w:noBreakHyphen/>
            </w:r>
            <w:r w:rsidRPr="0067507D">
              <w:t>corruption Commission</w:t>
            </w:r>
          </w:p>
        </w:tc>
        <w:tc>
          <w:tcPr>
            <w:cnfStyle w:val="000010000000" w:firstRow="0" w:lastRow="0" w:firstColumn="0" w:lastColumn="0" w:oddVBand="1" w:evenVBand="0" w:oddHBand="0" w:evenHBand="0" w:firstRowFirstColumn="0" w:firstRowLastColumn="0" w:lastRowFirstColumn="0" w:lastRowLastColumn="0"/>
            <w:tcW w:w="932" w:type="dxa"/>
          </w:tcPr>
          <w:p w14:paraId="18774DF3" w14:textId="3FC5BA74" w:rsidR="004E29AF" w:rsidRPr="0067507D" w:rsidRDefault="66C2DDD6" w:rsidP="003E4E12">
            <w:pPr>
              <w:pStyle w:val="Tabletextright"/>
            </w:pPr>
            <w:r w:rsidRPr="0067507D">
              <w:t>1</w:t>
            </w:r>
          </w:p>
        </w:tc>
        <w:tc>
          <w:tcPr>
            <w:cnfStyle w:val="000001000000" w:firstRow="0" w:lastRow="0" w:firstColumn="0" w:lastColumn="0" w:oddVBand="0" w:evenVBand="1" w:oddHBand="0" w:evenHBand="0" w:firstRowFirstColumn="0" w:firstRowLastColumn="0" w:lastRowFirstColumn="0" w:lastRowLastColumn="0"/>
            <w:tcW w:w="958" w:type="dxa"/>
          </w:tcPr>
          <w:p w14:paraId="33F62271" w14:textId="77777777" w:rsidR="004E29AF" w:rsidRPr="0067507D" w:rsidRDefault="004E29AF" w:rsidP="003E4E12">
            <w:pPr>
              <w:pStyle w:val="Tabletextright"/>
            </w:pPr>
            <w:r w:rsidRPr="0067507D">
              <w:t>nil</w:t>
            </w:r>
          </w:p>
        </w:tc>
      </w:tr>
    </w:tbl>
    <w:p w14:paraId="42C06E5A" w14:textId="3136965A" w:rsidR="004E29AF" w:rsidRPr="0067507D" w:rsidRDefault="004E29AF" w:rsidP="00C04B35">
      <w:pPr>
        <w:rPr>
          <w:highlight w:val="yellow"/>
        </w:rPr>
      </w:pPr>
    </w:p>
    <w:p w14:paraId="3196B135" w14:textId="2816BF4D" w:rsidR="008E30D6" w:rsidRPr="0067507D" w:rsidRDefault="004E29AF" w:rsidP="003E169E">
      <w:pPr>
        <w:pStyle w:val="Heading1b"/>
      </w:pPr>
      <w:r w:rsidRPr="0067507D">
        <w:rPr>
          <w:highlight w:val="yellow"/>
        </w:rPr>
        <w:br w:type="column"/>
      </w:r>
      <w:bookmarkStart w:id="268" w:name="_Toc210221154"/>
      <w:r w:rsidR="003E169E" w:rsidRPr="0067507D">
        <w:t>Compliance with other legislation</w:t>
      </w:r>
      <w:bookmarkEnd w:id="268"/>
    </w:p>
    <w:p w14:paraId="17D7F7CA" w14:textId="07CBF7F8" w:rsidR="00380547" w:rsidRPr="0067507D" w:rsidRDefault="00380547" w:rsidP="00380547">
      <w:pPr>
        <w:pStyle w:val="Heading2"/>
      </w:pPr>
      <w:bookmarkStart w:id="269" w:name="EmergencyProcurement"/>
      <w:r w:rsidRPr="0067507D">
        <w:t>Disclosure of Emergency Procurement</w:t>
      </w:r>
    </w:p>
    <w:p w14:paraId="5349CC96" w14:textId="6F4BA4D6" w:rsidR="00380547" w:rsidRPr="0067507D" w:rsidRDefault="00380547" w:rsidP="00380547">
      <w:r w:rsidRPr="0067507D">
        <w:rPr>
          <w:rFonts w:eastAsia="Tahoma"/>
          <w:szCs w:val="17"/>
        </w:rPr>
        <w:t xml:space="preserve">Under the Governance Policy of the Victorian Government Purchasing Board, the Department is required </w:t>
      </w:r>
      <w:r w:rsidR="22E53753" w:rsidRPr="0067507D">
        <w:rPr>
          <w:rFonts w:eastAsia="Tahoma"/>
        </w:rPr>
        <w:t xml:space="preserve">to </w:t>
      </w:r>
      <w:r w:rsidRPr="0067507D">
        <w:rPr>
          <w:rFonts w:eastAsia="Tahoma"/>
        </w:rPr>
        <w:t>develop</w:t>
      </w:r>
      <w:r w:rsidRPr="0067507D">
        <w:rPr>
          <w:rFonts w:eastAsia="Tahoma"/>
          <w:szCs w:val="17"/>
        </w:rPr>
        <w:t xml:space="preserve"> an Emergency Procurement Plan and disclose information regarding and emergency procurements.</w:t>
      </w:r>
    </w:p>
    <w:p w14:paraId="513A65EA" w14:textId="4191BB91" w:rsidR="00380547" w:rsidRPr="0067507D" w:rsidRDefault="00380547" w:rsidP="00380547">
      <w:pPr>
        <w:rPr>
          <w:rFonts w:eastAsia="Tahoma"/>
        </w:rPr>
      </w:pPr>
      <w:r w:rsidRPr="0067507D">
        <w:rPr>
          <w:rFonts w:eastAsia="Tahoma"/>
        </w:rPr>
        <w:t xml:space="preserve">During </w:t>
      </w:r>
      <w:r w:rsidR="00C30F42" w:rsidRPr="0067507D">
        <w:rPr>
          <w:rFonts w:eastAsia="Tahoma"/>
        </w:rPr>
        <w:t>2024</w:t>
      </w:r>
      <w:r w:rsidR="006A5485">
        <w:rPr>
          <w:rFonts w:eastAsia="Tahoma"/>
        </w:rPr>
        <w:noBreakHyphen/>
      </w:r>
      <w:r w:rsidR="00C30F42" w:rsidRPr="0067507D">
        <w:rPr>
          <w:rFonts w:eastAsia="Tahoma"/>
        </w:rPr>
        <w:t>25</w:t>
      </w:r>
      <w:r w:rsidRPr="0067507D">
        <w:rPr>
          <w:rFonts w:eastAsia="Tahoma"/>
        </w:rPr>
        <w:t xml:space="preserve"> the Department did not activate its Emergency Procurement Plan and there was no expenditure on emergency procurement.</w:t>
      </w:r>
    </w:p>
    <w:p w14:paraId="07D5EAFD" w14:textId="51AF806C" w:rsidR="00233EF2" w:rsidRPr="0067507D" w:rsidRDefault="00233EF2" w:rsidP="00233EF2">
      <w:pPr>
        <w:pStyle w:val="Heading2"/>
      </w:pPr>
      <w:bookmarkStart w:id="270" w:name="Procurement_complaints"/>
      <w:bookmarkEnd w:id="269"/>
      <w:r w:rsidRPr="0067507D">
        <w:t>Disclosure of procurement complaints</w:t>
      </w:r>
    </w:p>
    <w:bookmarkEnd w:id="270"/>
    <w:p w14:paraId="34A4A6BB" w14:textId="1072C42A" w:rsidR="00CB5856" w:rsidRPr="0067507D" w:rsidRDefault="00CB5856" w:rsidP="00CB5856">
      <w:r w:rsidRPr="0067507D">
        <w:t xml:space="preserve">Under the Governance Policy of the Victorian Government Purchasing Board, the Department must disclose any formal complaints relating to the procurement of goods and services received through its procurement complaints management system. </w:t>
      </w:r>
    </w:p>
    <w:p w14:paraId="2B9D1DF7" w14:textId="405740EB" w:rsidR="009B6049" w:rsidRPr="0067507D" w:rsidRDefault="00CB5856" w:rsidP="00CB5856">
      <w:r w:rsidRPr="0067507D">
        <w:t xml:space="preserve">The Department received </w:t>
      </w:r>
      <w:r w:rsidR="7CE03015" w:rsidRPr="0067507D">
        <w:t>no</w:t>
      </w:r>
      <w:r w:rsidRPr="0067507D">
        <w:t xml:space="preserve"> formal complaint</w:t>
      </w:r>
      <w:r w:rsidR="2BFA97EF" w:rsidRPr="0067507D">
        <w:t>s</w:t>
      </w:r>
      <w:r w:rsidRPr="0067507D">
        <w:t xml:space="preserve"> through its procurement complaints management system in </w:t>
      </w:r>
      <w:r w:rsidR="00C30F42" w:rsidRPr="0067507D">
        <w:t>2024</w:t>
      </w:r>
      <w:r w:rsidR="006A5485">
        <w:noBreakHyphen/>
      </w:r>
      <w:r w:rsidR="00C30F42" w:rsidRPr="0067507D">
        <w:t>25</w:t>
      </w:r>
      <w:r w:rsidRPr="0067507D">
        <w:t>.</w:t>
      </w:r>
    </w:p>
    <w:p w14:paraId="459351E4" w14:textId="77777777" w:rsidR="00CB5856" w:rsidRPr="0067507D" w:rsidRDefault="00CB5856" w:rsidP="009B6049">
      <w:pPr>
        <w:rPr>
          <w:rFonts w:eastAsia="Tahoma"/>
        </w:rPr>
      </w:pPr>
    </w:p>
    <w:p w14:paraId="2FA92AA6" w14:textId="77777777" w:rsidR="004C1E21" w:rsidRPr="0067507D" w:rsidRDefault="004C1E21" w:rsidP="00380547">
      <w:pPr>
        <w:rPr>
          <w:rFonts w:eastAsia="Tahoma"/>
        </w:rPr>
      </w:pPr>
    </w:p>
    <w:p w14:paraId="0D43687C" w14:textId="77777777" w:rsidR="004C1E21" w:rsidRPr="0067507D" w:rsidRDefault="004C1E21" w:rsidP="00380547">
      <w:pPr>
        <w:rPr>
          <w:rFonts w:eastAsia="Tahoma"/>
        </w:rPr>
      </w:pPr>
    </w:p>
    <w:p w14:paraId="343DD521" w14:textId="77777777" w:rsidR="00F40C51" w:rsidRPr="0067507D" w:rsidRDefault="00F40C51" w:rsidP="00380547">
      <w:pPr>
        <w:rPr>
          <w:rFonts w:eastAsia="Tahoma"/>
        </w:rPr>
        <w:sectPr w:rsidR="00F40C51" w:rsidRPr="0067507D" w:rsidSect="001D35B4">
          <w:pgSz w:w="11909" w:h="16834" w:code="9"/>
          <w:pgMar w:top="1728" w:right="1152" w:bottom="1267" w:left="1152" w:header="720" w:footer="288" w:gutter="0"/>
          <w:cols w:num="2" w:space="929"/>
          <w:noEndnote/>
        </w:sectPr>
      </w:pPr>
    </w:p>
    <w:p w14:paraId="6B565500" w14:textId="5348F974" w:rsidR="004E29AF" w:rsidRPr="0067507D" w:rsidRDefault="004E29AF" w:rsidP="00233EF2">
      <w:pPr>
        <w:pStyle w:val="Heading1b"/>
        <w:pageBreakBefore/>
        <w:spacing w:before="0"/>
      </w:pPr>
      <w:bookmarkStart w:id="271" w:name="_Toc210221155"/>
      <w:r w:rsidRPr="0067507D">
        <w:lastRenderedPageBreak/>
        <w:t>Information available on</w:t>
      </w:r>
      <w:r w:rsidRPr="0067507D">
        <w:rPr>
          <w:rFonts w:ascii="Calibri" w:hAnsi="Calibri"/>
        </w:rPr>
        <w:t> </w:t>
      </w:r>
      <w:r w:rsidRPr="0067507D">
        <w:t>request</w:t>
      </w:r>
      <w:bookmarkStart w:id="272" w:name="InfoOnRequest"/>
      <w:bookmarkEnd w:id="271"/>
      <w:bookmarkEnd w:id="272"/>
    </w:p>
    <w:p w14:paraId="28F97D76" w14:textId="77777777" w:rsidR="00233EF2" w:rsidRPr="0067507D" w:rsidRDefault="00233EF2" w:rsidP="004E29AF">
      <w:pPr>
        <w:rPr>
          <w:rFonts w:cs="Cambria Math"/>
        </w:rPr>
        <w:sectPr w:rsidR="00233EF2" w:rsidRPr="0067507D" w:rsidSect="00F40C51">
          <w:type w:val="continuous"/>
          <w:pgSz w:w="11909" w:h="16834" w:code="9"/>
          <w:pgMar w:top="1728" w:right="1152" w:bottom="1267" w:left="1152" w:header="720" w:footer="288" w:gutter="0"/>
          <w:cols w:num="2" w:space="929"/>
          <w:noEndnote/>
        </w:sectPr>
      </w:pPr>
    </w:p>
    <w:p w14:paraId="6A07C6D3" w14:textId="77777777" w:rsidR="004E29AF" w:rsidRPr="0067507D" w:rsidRDefault="004E29AF" w:rsidP="004E29AF">
      <w:pPr>
        <w:rPr>
          <w:rFonts w:cs="Cambria Math"/>
        </w:rPr>
      </w:pPr>
      <w:r w:rsidRPr="0067507D">
        <w:rPr>
          <w:rFonts w:cs="Cambria Math"/>
        </w:rPr>
        <w:t xml:space="preserve">Financial Reporting Direction 22 provides for the information listed below to be retained by the Accountable Officer and to be made available on request subject to the provisions of the </w:t>
      </w:r>
      <w:r w:rsidRPr="0067507D">
        <w:rPr>
          <w:rFonts w:cs="Cambria Math"/>
          <w:i/>
        </w:rPr>
        <w:t>Freedom of Information Act</w:t>
      </w:r>
      <w:r w:rsidRPr="0067507D">
        <w:rPr>
          <w:rFonts w:ascii="Calibri" w:hAnsi="Calibri" w:cs="Calibri"/>
          <w:i/>
        </w:rPr>
        <w:t> </w:t>
      </w:r>
      <w:r w:rsidRPr="0067507D">
        <w:rPr>
          <w:rFonts w:cs="Cambria Math"/>
          <w:i/>
        </w:rPr>
        <w:t>1982</w:t>
      </w:r>
      <w:r w:rsidRPr="0067507D">
        <w:rPr>
          <w:rFonts w:cs="Cambria Math"/>
        </w:rPr>
        <w:t xml:space="preserve">. </w:t>
      </w:r>
    </w:p>
    <w:p w14:paraId="47638729" w14:textId="77777777" w:rsidR="004E29AF" w:rsidRPr="0067507D" w:rsidRDefault="004E29AF" w:rsidP="002832CC">
      <w:pPr>
        <w:rPr>
          <w:rFonts w:cs="Cambria Math"/>
        </w:rPr>
      </w:pPr>
      <w:r w:rsidRPr="0067507D">
        <w:rPr>
          <w:rFonts w:cs="Cambria Math"/>
        </w:rPr>
        <w:t xml:space="preserve">Information available on request: </w:t>
      </w:r>
    </w:p>
    <w:p w14:paraId="5045090F" w14:textId="77777777" w:rsidR="004E29AF" w:rsidRPr="0067507D" w:rsidRDefault="004E29AF" w:rsidP="00655729">
      <w:pPr>
        <w:pStyle w:val="Bullet"/>
      </w:pPr>
      <w:r w:rsidRPr="0067507D">
        <w:t>a statement that declarations of pecuniary interests have been duly completed by all relevant officers</w:t>
      </w:r>
    </w:p>
    <w:p w14:paraId="03796423" w14:textId="77777777" w:rsidR="004E29AF" w:rsidRPr="0067507D" w:rsidRDefault="004E29AF" w:rsidP="00655729">
      <w:pPr>
        <w:pStyle w:val="Bullet"/>
      </w:pPr>
      <w:r w:rsidRPr="0067507D">
        <w:t>details of shares held by a senior officer as nominee or held beneficially in a statutory authority or subsidiary</w:t>
      </w:r>
    </w:p>
    <w:p w14:paraId="63034477" w14:textId="77777777" w:rsidR="004E29AF" w:rsidRPr="0067507D" w:rsidRDefault="004E29AF" w:rsidP="00655729">
      <w:pPr>
        <w:pStyle w:val="Bullet"/>
      </w:pPr>
      <w:r w:rsidRPr="0067507D">
        <w:t>details of publications produced by the entity about itself, and how these can be obtained</w:t>
      </w:r>
    </w:p>
    <w:p w14:paraId="0F667A73" w14:textId="77777777" w:rsidR="004E29AF" w:rsidRPr="0067507D" w:rsidRDefault="004E29AF" w:rsidP="00655729">
      <w:pPr>
        <w:pStyle w:val="Bullet"/>
      </w:pPr>
      <w:r w:rsidRPr="0067507D">
        <w:t>details of changes in prices, fees, charges, rates and levies charged by the entity</w:t>
      </w:r>
    </w:p>
    <w:p w14:paraId="697452DC" w14:textId="77777777" w:rsidR="004E29AF" w:rsidRPr="0067507D" w:rsidRDefault="004E29AF" w:rsidP="00655729">
      <w:pPr>
        <w:pStyle w:val="Bullet"/>
      </w:pPr>
      <w:r w:rsidRPr="0067507D">
        <w:t>details of any major external reviews carried out on the entity</w:t>
      </w:r>
    </w:p>
    <w:p w14:paraId="2E9BADE5" w14:textId="77777777" w:rsidR="004E29AF" w:rsidRPr="0067507D" w:rsidRDefault="004E29AF" w:rsidP="00655729">
      <w:pPr>
        <w:pStyle w:val="Bullet"/>
      </w:pPr>
      <w:r w:rsidRPr="0067507D">
        <w:t>details of major research and development activities undertaken by the entity</w:t>
      </w:r>
    </w:p>
    <w:p w14:paraId="256AFA37" w14:textId="77777777" w:rsidR="004E29AF" w:rsidRPr="0067507D" w:rsidRDefault="004E29AF" w:rsidP="00655729">
      <w:pPr>
        <w:pStyle w:val="Bullet"/>
      </w:pPr>
      <w:r w:rsidRPr="0067507D">
        <w:t>details of overseas visits undertaken including a summary of the objectives and outcomes of each</w:t>
      </w:r>
      <w:r w:rsidRPr="0067507D">
        <w:rPr>
          <w:rFonts w:ascii="Calibri" w:hAnsi="Calibri" w:cs="Calibri"/>
        </w:rPr>
        <w:t> </w:t>
      </w:r>
      <w:r w:rsidRPr="0067507D">
        <w:t>visit</w:t>
      </w:r>
    </w:p>
    <w:p w14:paraId="140DE986" w14:textId="77777777" w:rsidR="004E29AF" w:rsidRPr="0067507D" w:rsidRDefault="004E29AF" w:rsidP="00655729">
      <w:pPr>
        <w:pStyle w:val="Bullet"/>
      </w:pPr>
      <w:r w:rsidRPr="0067507D">
        <w:t>details of major promotional, public relations and marketing activities undertaken by the entity to develop community awareness of the entity and its services</w:t>
      </w:r>
    </w:p>
    <w:p w14:paraId="74C46F7A" w14:textId="77777777" w:rsidR="004E29AF" w:rsidRPr="0067507D" w:rsidRDefault="004E29AF" w:rsidP="00655729">
      <w:pPr>
        <w:pStyle w:val="Bullet"/>
      </w:pPr>
      <w:r w:rsidRPr="0067507D">
        <w:t xml:space="preserve">details of assessments and measures undertaken to improve the occupational health and safety of employees </w:t>
      </w:r>
    </w:p>
    <w:p w14:paraId="2EF58532" w14:textId="77777777" w:rsidR="004E29AF" w:rsidRPr="0067507D" w:rsidRDefault="004E29AF" w:rsidP="00655729">
      <w:pPr>
        <w:pStyle w:val="Bullet"/>
      </w:pPr>
      <w:r w:rsidRPr="0067507D">
        <w:t>a general statement on industrial relations within the entity and details of time lost through industrial accidents and disputes</w:t>
      </w:r>
    </w:p>
    <w:p w14:paraId="1C039BF8" w14:textId="77777777" w:rsidR="004E29AF" w:rsidRPr="0067507D" w:rsidRDefault="004E29AF" w:rsidP="00655729">
      <w:pPr>
        <w:pStyle w:val="Bullet"/>
      </w:pPr>
      <w:r w:rsidRPr="0067507D">
        <w:t>a list of major committees sponsored by the entity, the purposes of each committee and the extent to which the purposes have been achieved</w:t>
      </w:r>
    </w:p>
    <w:p w14:paraId="51833389" w14:textId="77777777" w:rsidR="004E29AF" w:rsidRPr="0067507D" w:rsidRDefault="004E29AF" w:rsidP="00655729">
      <w:pPr>
        <w:pStyle w:val="Bullet"/>
      </w:pPr>
      <w:r w:rsidRPr="0067507D">
        <w:t>details of all consultancies and contractors including:</w:t>
      </w:r>
    </w:p>
    <w:p w14:paraId="315D02AF" w14:textId="77777777" w:rsidR="004E29AF" w:rsidRPr="0067507D" w:rsidRDefault="004E29AF" w:rsidP="00655729">
      <w:pPr>
        <w:pStyle w:val="Dash"/>
      </w:pPr>
      <w:r w:rsidRPr="0067507D">
        <w:t>consultants/contractors engaged</w:t>
      </w:r>
    </w:p>
    <w:p w14:paraId="583CCD56" w14:textId="77777777" w:rsidR="004E29AF" w:rsidRPr="0067507D" w:rsidRDefault="004E29AF" w:rsidP="00655729">
      <w:pPr>
        <w:pStyle w:val="Dash"/>
      </w:pPr>
      <w:r w:rsidRPr="0067507D">
        <w:t>services provided</w:t>
      </w:r>
    </w:p>
    <w:p w14:paraId="2F9E4D4F" w14:textId="77777777" w:rsidR="004E29AF" w:rsidRPr="0067507D" w:rsidRDefault="004E29AF" w:rsidP="00655729">
      <w:pPr>
        <w:pStyle w:val="Dash"/>
      </w:pPr>
      <w:r w:rsidRPr="0067507D">
        <w:t>expenditure committed to for each engagement.</w:t>
      </w:r>
    </w:p>
    <w:p w14:paraId="6708AD35" w14:textId="6FC8177D" w:rsidR="004E29AF" w:rsidRPr="0067507D" w:rsidRDefault="004E29AF" w:rsidP="004E29AF">
      <w:pPr>
        <w:rPr>
          <w:rFonts w:cs="Cambria Math"/>
        </w:rPr>
      </w:pPr>
      <w:r w:rsidRPr="0067507D">
        <w:rPr>
          <w:rFonts w:cs="Cambria Math"/>
        </w:rPr>
        <w:t>To ensure the Department is meeting its accountability and compliance requirements, some of the additional information has been included in this annual report where relevant.</w:t>
      </w:r>
    </w:p>
    <w:p w14:paraId="52E9BE78" w14:textId="77777777" w:rsidR="004E29AF" w:rsidRPr="0067507D" w:rsidRDefault="004E29AF" w:rsidP="00233EF2">
      <w:pPr>
        <w:keepNext/>
        <w:rPr>
          <w:rFonts w:cs="Cambria Math"/>
        </w:rPr>
      </w:pPr>
      <w:r w:rsidRPr="0067507D">
        <w:rPr>
          <w:rFonts w:cs="Cambria Math"/>
        </w:rPr>
        <w:t>This information is available on request from:</w:t>
      </w:r>
    </w:p>
    <w:p w14:paraId="6C3CD0DE" w14:textId="79BA88CD" w:rsidR="004E29AF" w:rsidRPr="0067507D" w:rsidRDefault="00E00E61" w:rsidP="004E29AF">
      <w:pPr>
        <w:pStyle w:val="NormalIndent"/>
      </w:pPr>
      <w:r w:rsidRPr="0067507D">
        <w:rPr>
          <w:rFonts w:cs="Cambria Math"/>
        </w:rPr>
        <w:t>Freedom of Information Officer</w:t>
      </w:r>
      <w:r w:rsidR="004E29AF" w:rsidRPr="0067507D">
        <w:rPr>
          <w:rFonts w:cs="Cambria Math"/>
        </w:rPr>
        <w:br/>
        <w:t>Department of Treasury and Finance</w:t>
      </w:r>
      <w:r w:rsidR="004E29AF" w:rsidRPr="0067507D">
        <w:rPr>
          <w:rFonts w:cs="Cambria Math"/>
        </w:rPr>
        <w:br/>
        <w:t>GPO Box 4379</w:t>
      </w:r>
      <w:r w:rsidR="004E29AF" w:rsidRPr="0067507D">
        <w:rPr>
          <w:rFonts w:cs="Cambria Math"/>
        </w:rPr>
        <w:br/>
        <w:t>Melbourne, Victoria, 3001</w:t>
      </w:r>
      <w:r w:rsidR="004E29AF" w:rsidRPr="0067507D">
        <w:rPr>
          <w:rFonts w:cs="Cambria Math"/>
        </w:rPr>
        <w:br/>
        <w:t>Email</w:t>
      </w:r>
      <w:r w:rsidR="001F6306" w:rsidRPr="0067507D">
        <w:rPr>
          <w:rFonts w:cs="Cambria Math"/>
        </w:rPr>
        <w:t xml:space="preserve"> </w:t>
      </w:r>
      <w:hyperlink r:id="rId237" w:history="1">
        <w:r w:rsidR="00DA3D07" w:rsidRPr="0067507D">
          <w:rPr>
            <w:rStyle w:val="Hyperlink"/>
            <w:rFonts w:cs="Cambria Math"/>
          </w:rPr>
          <w:t>foidtf@dtf.vic.gov.au</w:t>
        </w:r>
      </w:hyperlink>
      <w:r w:rsidR="004E29AF" w:rsidRPr="0067507D">
        <w:rPr>
          <w:rFonts w:cs="Cambria Math"/>
        </w:rPr>
        <w:t xml:space="preserve"> the attention of the </w:t>
      </w:r>
      <w:r w:rsidR="00DA3D07" w:rsidRPr="0067507D">
        <w:rPr>
          <w:rFonts w:cs="Cambria Math"/>
        </w:rPr>
        <w:t>FOI Officer</w:t>
      </w:r>
      <w:r w:rsidR="004E29AF" w:rsidRPr="0067507D">
        <w:rPr>
          <w:rFonts w:cs="Cambria Math"/>
        </w:rPr>
        <w:t>.</w:t>
      </w:r>
    </w:p>
    <w:p w14:paraId="7425B53A" w14:textId="77777777" w:rsidR="004E29AF" w:rsidRPr="0067507D" w:rsidRDefault="004E29AF" w:rsidP="004E29AF"/>
    <w:p w14:paraId="65A67784" w14:textId="064EE473" w:rsidR="004E29AF" w:rsidRPr="0067507D" w:rsidRDefault="004E29AF" w:rsidP="004E29AF">
      <w:pPr>
        <w:pStyle w:val="Heading1b"/>
      </w:pPr>
      <w:bookmarkStart w:id="273" w:name="AttestationSD3_7_1"/>
      <w:bookmarkStart w:id="274" w:name="_Toc493685449"/>
      <w:bookmarkStart w:id="275" w:name="_Toc210221156"/>
      <w:r w:rsidRPr="0067507D">
        <w:t>Attestation for financial management compliance with Ministerial Standing Direction 5.1.4</w:t>
      </w:r>
      <w:bookmarkEnd w:id="273"/>
      <w:bookmarkEnd w:id="274"/>
      <w:bookmarkEnd w:id="275"/>
    </w:p>
    <w:p w14:paraId="3E43F020" w14:textId="0C5C778C" w:rsidR="004E29AF" w:rsidRPr="0067507D" w:rsidRDefault="004E29AF" w:rsidP="004E29AF">
      <w:r w:rsidRPr="0067507D">
        <w:t xml:space="preserve">I, </w:t>
      </w:r>
      <w:r w:rsidR="00C149B0" w:rsidRPr="0067507D">
        <w:t>Chris Barrett</w:t>
      </w:r>
      <w:r w:rsidRPr="0067507D">
        <w:t xml:space="preserve">, certify that the Department of Treasury and Finance has no Material Compliance Deficiency with respect to the applicable Standing Directions under the </w:t>
      </w:r>
      <w:r w:rsidRPr="0067507D">
        <w:rPr>
          <w:i/>
        </w:rPr>
        <w:t>Financial Management Act</w:t>
      </w:r>
      <w:r w:rsidR="002832CC" w:rsidRPr="0067507D">
        <w:rPr>
          <w:rFonts w:ascii="Calibri" w:hAnsi="Calibri" w:cs="Calibri"/>
          <w:i/>
        </w:rPr>
        <w:t> </w:t>
      </w:r>
      <w:r w:rsidRPr="0067507D">
        <w:rPr>
          <w:i/>
        </w:rPr>
        <w:t>1994</w:t>
      </w:r>
      <w:r w:rsidRPr="0067507D">
        <w:t xml:space="preserve"> and Instructions.</w:t>
      </w:r>
    </w:p>
    <w:p w14:paraId="7F51D4D8" w14:textId="67D5654C" w:rsidR="00E14602" w:rsidRPr="0067507D" w:rsidRDefault="009C22C3" w:rsidP="00E14602">
      <w:r w:rsidRPr="00707A55">
        <w:rPr>
          <w:noProof/>
        </w:rPr>
        <w:drawing>
          <wp:inline distT="0" distB="0" distL="0" distR="0" wp14:anchorId="009BFA71" wp14:editId="4D86E191">
            <wp:extent cx="1629335" cy="859536"/>
            <wp:effectExtent l="0" t="0" r="0" b="0"/>
            <wp:docPr id="313239557" name="Picture 2" descr="Chris Barrett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39557" name="Picture 2" descr="Chris Barrett signa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9335" cy="859536"/>
                    </a:xfrm>
                    <a:prstGeom prst="rect">
                      <a:avLst/>
                    </a:prstGeom>
                    <a:noFill/>
                    <a:ln>
                      <a:noFill/>
                    </a:ln>
                  </pic:spPr>
                </pic:pic>
              </a:graphicData>
            </a:graphic>
          </wp:inline>
        </w:drawing>
      </w:r>
    </w:p>
    <w:p w14:paraId="015F64C6" w14:textId="77777777" w:rsidR="00E14602" w:rsidRPr="0067507D" w:rsidRDefault="00E14602" w:rsidP="00E14602">
      <w:pPr>
        <w:spacing w:before="0"/>
        <w:rPr>
          <w:rFonts w:asciiTheme="majorHAnsi" w:hAnsiTheme="majorHAnsi" w:cstheme="minorHAnsi"/>
        </w:rPr>
      </w:pPr>
      <w:r w:rsidRPr="0067507D">
        <w:rPr>
          <w:rFonts w:asciiTheme="majorHAnsi" w:hAnsiTheme="majorHAnsi" w:cstheme="minorHAnsi"/>
        </w:rPr>
        <w:t>Chris Barrett</w:t>
      </w:r>
      <w:r w:rsidRPr="0067507D">
        <w:rPr>
          <w:rFonts w:asciiTheme="majorHAnsi" w:hAnsiTheme="majorHAnsi" w:cstheme="minorHAnsi"/>
        </w:rPr>
        <w:br/>
        <w:t xml:space="preserve">Secretary </w:t>
      </w:r>
    </w:p>
    <w:p w14:paraId="43A9AE9C" w14:textId="0C8D2E78" w:rsidR="00E14602" w:rsidRPr="0067507D" w:rsidRDefault="00E14602" w:rsidP="00E14602">
      <w:r w:rsidRPr="00530B02">
        <w:t>1</w:t>
      </w:r>
      <w:r w:rsidR="003D3C1A">
        <w:t>7</w:t>
      </w:r>
      <w:r w:rsidRPr="0067507D">
        <w:t xml:space="preserve"> October 2025</w:t>
      </w:r>
    </w:p>
    <w:p w14:paraId="788A4AA0" w14:textId="77777777" w:rsidR="004E29AF" w:rsidRPr="0067507D" w:rsidRDefault="004E29AF" w:rsidP="00F77E52"/>
    <w:p w14:paraId="6C5DDECC" w14:textId="0E7AFE16" w:rsidR="004E29AF" w:rsidRPr="0067507D" w:rsidRDefault="004E29AF" w:rsidP="004E29AF">
      <w:pPr>
        <w:pStyle w:val="Heading1b"/>
      </w:pPr>
      <w:bookmarkStart w:id="276" w:name="_Toc112149428"/>
      <w:bookmarkStart w:id="277" w:name="_Toc210221157"/>
      <w:r w:rsidRPr="0067507D">
        <w:t>Compliance with DataVic Access Policy</w:t>
      </w:r>
      <w:bookmarkEnd w:id="276"/>
      <w:bookmarkEnd w:id="277"/>
    </w:p>
    <w:p w14:paraId="68392FEB" w14:textId="77777777" w:rsidR="004E29AF" w:rsidRPr="0067507D" w:rsidRDefault="004E29AF" w:rsidP="004E29AF">
      <w:r w:rsidRPr="0067507D">
        <w:t>In August 2012, the Victorian Government released the DataVic Access Policy, which enables the sharing of government data at no, or minimal, cost to users. Government data from all agencies will be progressively supplied in an electronic readable format that will minimise access costs and maximise use and reuse.</w:t>
      </w:r>
    </w:p>
    <w:p w14:paraId="74F0354A" w14:textId="4CB87774" w:rsidR="004E29AF" w:rsidRPr="0067507D" w:rsidRDefault="004E29AF" w:rsidP="004E29AF">
      <w:r w:rsidRPr="0067507D">
        <w:t>Consistent with the DataVic Access Policy issued by the Victorian Government in 2012, the Department of Treasury and Finance made</w:t>
      </w:r>
      <w:r w:rsidR="0087323B" w:rsidRPr="0067507D">
        <w:t xml:space="preserve"> </w:t>
      </w:r>
      <w:r w:rsidR="001D7255" w:rsidRPr="0067507D">
        <w:t xml:space="preserve">27 </w:t>
      </w:r>
      <w:r w:rsidRPr="0067507D">
        <w:t xml:space="preserve">data sets available on the DataVic website in </w:t>
      </w:r>
      <w:r w:rsidR="00C30F42" w:rsidRPr="0067507D">
        <w:t>2024</w:t>
      </w:r>
      <w:r w:rsidR="006A5485">
        <w:noBreakHyphen/>
      </w:r>
      <w:r w:rsidR="00C30F42" w:rsidRPr="0067507D">
        <w:t>25</w:t>
      </w:r>
      <w:r w:rsidRPr="0067507D">
        <w:t xml:space="preserve">. </w:t>
      </w:r>
    </w:p>
    <w:p w14:paraId="3E395FCE" w14:textId="627B852B" w:rsidR="004E29AF" w:rsidRPr="0067507D" w:rsidRDefault="004E29AF" w:rsidP="004E29AF">
      <w:r w:rsidRPr="0067507D">
        <w:t xml:space="preserve">Information included in this Annual Report will be available at </w:t>
      </w:r>
      <w:hyperlink r:id="rId238" w:history="1">
        <w:r w:rsidRPr="0067507D">
          <w:rPr>
            <w:rStyle w:val="Hyperlink"/>
            <w:rFonts w:eastAsiaTheme="majorEastAsia"/>
          </w:rPr>
          <w:t>www.data.vic.gov.au</w:t>
        </w:r>
      </w:hyperlink>
      <w:r w:rsidRPr="0067507D">
        <w:t xml:space="preserve"> in electronic readable format. </w:t>
      </w:r>
    </w:p>
    <w:p w14:paraId="6263EC46" w14:textId="77777777" w:rsidR="00EB7E6F" w:rsidRPr="0067507D" w:rsidRDefault="00EB7E6F" w:rsidP="004E29AF">
      <w:pPr>
        <w:sectPr w:rsidR="00EB7E6F" w:rsidRPr="0067507D" w:rsidSect="00F40C51">
          <w:type w:val="continuous"/>
          <w:pgSz w:w="11909" w:h="16834" w:code="9"/>
          <w:pgMar w:top="1728" w:right="1152" w:bottom="1267" w:left="1152" w:header="720" w:footer="288" w:gutter="0"/>
          <w:cols w:num="2" w:space="929"/>
          <w:noEndnote/>
        </w:sectPr>
      </w:pPr>
    </w:p>
    <w:p w14:paraId="0BA74EA1" w14:textId="77777777" w:rsidR="004E29AF" w:rsidRPr="0067507D" w:rsidRDefault="004E29AF" w:rsidP="004E29AF">
      <w:pPr>
        <w:pStyle w:val="Heading1App"/>
      </w:pPr>
      <w:bookmarkStart w:id="278" w:name="_Toc112149429"/>
      <w:bookmarkStart w:id="279" w:name="_Toc115251047"/>
      <w:bookmarkStart w:id="280" w:name="_Toc210221114"/>
      <w:bookmarkStart w:id="281" w:name="_Toc210221158"/>
      <w:bookmarkStart w:id="282" w:name="_Hlk15653425"/>
      <w:r w:rsidRPr="0067507D">
        <w:lastRenderedPageBreak/>
        <w:t>Appendix 5</w:t>
      </w:r>
      <w:r w:rsidRPr="0067507D">
        <w:tab/>
      </w:r>
      <w:bookmarkStart w:id="283" w:name="DisclosureIndex"/>
      <w:r w:rsidRPr="0067507D">
        <w:t>Disclosure index</w:t>
      </w:r>
      <w:bookmarkEnd w:id="278"/>
      <w:bookmarkEnd w:id="279"/>
      <w:bookmarkEnd w:id="280"/>
      <w:bookmarkEnd w:id="281"/>
      <w:bookmarkEnd w:id="283"/>
    </w:p>
    <w:p w14:paraId="2C803CB3" w14:textId="77777777" w:rsidR="004E29AF" w:rsidRPr="0067507D" w:rsidRDefault="004E29AF" w:rsidP="004E29AF">
      <w:pPr>
        <w:pStyle w:val="Heading2"/>
      </w:pPr>
      <w:r w:rsidRPr="0067507D">
        <w:t>Ministerial Directions and Financial Reporting Directions</w:t>
      </w:r>
    </w:p>
    <w:bookmarkEnd w:id="282"/>
    <w:p w14:paraId="4EA55A12" w14:textId="77777777" w:rsidR="004E29AF" w:rsidRPr="0067507D" w:rsidRDefault="004E29AF" w:rsidP="004E29AF">
      <w:pPr>
        <w:pStyle w:val="Heading3"/>
      </w:pPr>
      <w:r w:rsidRPr="0067507D">
        <w:t>Report of operations</w:t>
      </w:r>
    </w:p>
    <w:tbl>
      <w:tblPr>
        <w:tblW w:w="0" w:type="auto"/>
        <w:tblLayout w:type="fixed"/>
        <w:tblLook w:val="01E0" w:firstRow="1" w:lastRow="1" w:firstColumn="1" w:lastColumn="1" w:noHBand="0" w:noVBand="0"/>
      </w:tblPr>
      <w:tblGrid>
        <w:gridCol w:w="1458"/>
        <w:gridCol w:w="5760"/>
        <w:gridCol w:w="1170"/>
      </w:tblGrid>
      <w:tr w:rsidR="004E29AF" w:rsidRPr="0067507D" w14:paraId="1F938949" w14:textId="77777777" w:rsidTr="003E4E12">
        <w:tc>
          <w:tcPr>
            <w:tcW w:w="1458" w:type="dxa"/>
            <w:shd w:val="clear" w:color="auto" w:fill="DDDDDD"/>
          </w:tcPr>
          <w:p w14:paraId="387D4379" w14:textId="77777777" w:rsidR="004E29AF" w:rsidRPr="0067507D" w:rsidRDefault="004E29AF" w:rsidP="003E4E12">
            <w:pPr>
              <w:pStyle w:val="Tabletextheadingleft"/>
              <w:rPr>
                <w:rFonts w:cstheme="minorHAnsi"/>
                <w:sz w:val="17"/>
                <w:szCs w:val="17"/>
              </w:rPr>
            </w:pPr>
            <w:r w:rsidRPr="0067507D">
              <w:rPr>
                <w:rFonts w:cstheme="minorHAnsi"/>
                <w:sz w:val="17"/>
                <w:szCs w:val="17"/>
              </w:rPr>
              <w:t>Direction</w:t>
            </w:r>
          </w:p>
        </w:tc>
        <w:tc>
          <w:tcPr>
            <w:tcW w:w="5760" w:type="dxa"/>
            <w:shd w:val="clear" w:color="auto" w:fill="DDDDDD"/>
          </w:tcPr>
          <w:p w14:paraId="3892581E" w14:textId="77777777" w:rsidR="004E29AF" w:rsidRPr="0067507D" w:rsidRDefault="004E29AF" w:rsidP="007D56B5">
            <w:pPr>
              <w:pStyle w:val="Tabletextheadingleft"/>
            </w:pPr>
            <w:r w:rsidRPr="0067507D">
              <w:t>Requirement</w:t>
            </w:r>
          </w:p>
        </w:tc>
        <w:tc>
          <w:tcPr>
            <w:tcW w:w="1170" w:type="dxa"/>
            <w:shd w:val="clear" w:color="auto" w:fill="DDDDDD"/>
          </w:tcPr>
          <w:p w14:paraId="614B4499" w14:textId="77777777" w:rsidR="004E29AF" w:rsidRPr="0067507D" w:rsidRDefault="004E29AF" w:rsidP="007D56B5">
            <w:pPr>
              <w:pStyle w:val="Tabletextheadingleft"/>
            </w:pPr>
            <w:r w:rsidRPr="0067507D">
              <w:t>Page reference</w:t>
            </w:r>
          </w:p>
        </w:tc>
      </w:tr>
      <w:tr w:rsidR="004E29AF" w:rsidRPr="0067507D" w14:paraId="58A4FA5F" w14:textId="77777777" w:rsidTr="003E4E12">
        <w:tc>
          <w:tcPr>
            <w:tcW w:w="7218" w:type="dxa"/>
            <w:gridSpan w:val="2"/>
            <w:shd w:val="clear" w:color="auto" w:fill="E6E6E6"/>
          </w:tcPr>
          <w:p w14:paraId="7A0677FA" w14:textId="77777777" w:rsidR="004E29AF" w:rsidRPr="0067507D" w:rsidRDefault="004E29AF" w:rsidP="00D72684">
            <w:pPr>
              <w:pStyle w:val="Tabletextbold"/>
              <w:rPr>
                <w:rFonts w:cstheme="minorHAnsi"/>
                <w:szCs w:val="20"/>
              </w:rPr>
            </w:pPr>
            <w:r w:rsidRPr="0067507D">
              <w:t>Charter and purpose</w:t>
            </w:r>
          </w:p>
        </w:tc>
        <w:tc>
          <w:tcPr>
            <w:tcW w:w="1170" w:type="dxa"/>
            <w:shd w:val="clear" w:color="auto" w:fill="E6E6E6"/>
          </w:tcPr>
          <w:p w14:paraId="6535B671" w14:textId="77777777" w:rsidR="004E29AF" w:rsidRPr="0067507D" w:rsidRDefault="004E29AF" w:rsidP="003E4E12">
            <w:pPr>
              <w:pStyle w:val="Tabletext"/>
              <w:rPr>
                <w:b/>
              </w:rPr>
            </w:pPr>
          </w:p>
        </w:tc>
      </w:tr>
      <w:tr w:rsidR="004E29AF" w:rsidRPr="0067507D" w14:paraId="41B546C7" w14:textId="77777777" w:rsidTr="003E4E12">
        <w:tc>
          <w:tcPr>
            <w:tcW w:w="1458" w:type="dxa"/>
          </w:tcPr>
          <w:p w14:paraId="4C25E8E0"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6563B576" w14:textId="77777777" w:rsidR="004E29AF" w:rsidRPr="0067507D" w:rsidRDefault="004E29AF" w:rsidP="003E4E12">
            <w:pPr>
              <w:pStyle w:val="Tabletext"/>
            </w:pPr>
            <w:r w:rsidRPr="0067507D">
              <w:t>Manner of establishment and the relevant Ministers</w:t>
            </w:r>
          </w:p>
        </w:tc>
        <w:tc>
          <w:tcPr>
            <w:tcW w:w="1170" w:type="dxa"/>
          </w:tcPr>
          <w:p w14:paraId="3D3552C6" w14:textId="5A5C3868" w:rsidR="004E29AF" w:rsidRPr="0067507D" w:rsidRDefault="004E29AF" w:rsidP="003E4E12">
            <w:pPr>
              <w:pStyle w:val="Tabletext"/>
            </w:pPr>
            <w:r w:rsidRPr="0067507D">
              <w:fldChar w:fldCharType="begin"/>
            </w:r>
            <w:r w:rsidRPr="0067507D">
              <w:instrText xml:space="preserve"> PAGEREF _Ref489435740 \h </w:instrText>
            </w:r>
            <w:r w:rsidRPr="0067507D">
              <w:fldChar w:fldCharType="separate"/>
            </w:r>
            <w:r w:rsidR="008F4C0F">
              <w:rPr>
                <w:noProof/>
              </w:rPr>
              <w:t>1</w:t>
            </w:r>
            <w:r w:rsidRPr="0067507D">
              <w:fldChar w:fldCharType="end"/>
            </w:r>
          </w:p>
        </w:tc>
      </w:tr>
      <w:tr w:rsidR="004E29AF" w:rsidRPr="0067507D" w14:paraId="702DBD3F" w14:textId="77777777" w:rsidTr="003E4E12">
        <w:tc>
          <w:tcPr>
            <w:tcW w:w="1458" w:type="dxa"/>
          </w:tcPr>
          <w:p w14:paraId="626919C1"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750DFCAB" w14:textId="77777777" w:rsidR="004E29AF" w:rsidRPr="0067507D" w:rsidRDefault="004E29AF" w:rsidP="003E4E12">
            <w:pPr>
              <w:pStyle w:val="Tabletext"/>
            </w:pPr>
            <w:r w:rsidRPr="0067507D">
              <w:t xml:space="preserve">Purpose, functions, powers and duties </w:t>
            </w:r>
          </w:p>
        </w:tc>
        <w:tc>
          <w:tcPr>
            <w:tcW w:w="1170" w:type="dxa"/>
          </w:tcPr>
          <w:p w14:paraId="34A31A1E" w14:textId="61FDDF12" w:rsidR="004E29AF" w:rsidRPr="0067507D" w:rsidRDefault="004E29AF" w:rsidP="003E4E12">
            <w:pPr>
              <w:pStyle w:val="Tabletext"/>
            </w:pPr>
            <w:r w:rsidRPr="0067507D">
              <w:fldChar w:fldCharType="begin"/>
            </w:r>
            <w:r w:rsidRPr="0067507D">
              <w:instrText xml:space="preserve"> PAGEREF _Ref489435818 \h </w:instrText>
            </w:r>
            <w:r w:rsidRPr="0067507D">
              <w:fldChar w:fldCharType="separate"/>
            </w:r>
            <w:r w:rsidR="008F4C0F">
              <w:rPr>
                <w:noProof/>
              </w:rPr>
              <w:t>1</w:t>
            </w:r>
            <w:r w:rsidRPr="0067507D">
              <w:fldChar w:fldCharType="end"/>
            </w:r>
            <w:r w:rsidRPr="0067507D">
              <w:fldChar w:fldCharType="begin"/>
            </w:r>
            <w:r w:rsidRPr="0067507D">
              <w:instrText>PAGEREF Functions_services</w:instrText>
            </w:r>
            <w:r w:rsidRPr="0067507D">
              <w:fldChar w:fldCharType="separate"/>
            </w:r>
            <w:r w:rsidR="008F4C0F">
              <w:rPr>
                <w:noProof/>
              </w:rPr>
              <w:t>6</w:t>
            </w:r>
            <w:r w:rsidRPr="0067507D">
              <w:fldChar w:fldCharType="end"/>
            </w:r>
            <w:r w:rsidRPr="0067507D">
              <w:t>–</w:t>
            </w:r>
            <w:r w:rsidRPr="0067507D">
              <w:fldChar w:fldCharType="begin"/>
            </w:r>
            <w:r w:rsidRPr="0067507D">
              <w:instrText>PAGEREF Functions_services2</w:instrText>
            </w:r>
            <w:r w:rsidRPr="0067507D">
              <w:fldChar w:fldCharType="separate"/>
            </w:r>
            <w:r w:rsidR="008F4C0F">
              <w:rPr>
                <w:noProof/>
              </w:rPr>
              <w:t>10</w:t>
            </w:r>
            <w:r w:rsidRPr="0067507D">
              <w:fldChar w:fldCharType="end"/>
            </w:r>
          </w:p>
        </w:tc>
      </w:tr>
      <w:tr w:rsidR="004E29AF" w:rsidRPr="0067507D" w14:paraId="43DE435C" w14:textId="77777777" w:rsidTr="003E4E12">
        <w:tc>
          <w:tcPr>
            <w:tcW w:w="1458" w:type="dxa"/>
          </w:tcPr>
          <w:p w14:paraId="25C21D9D" w14:textId="77777777" w:rsidR="004E29AF" w:rsidRPr="0067507D" w:rsidRDefault="004E29AF" w:rsidP="003E4E12">
            <w:pPr>
              <w:pStyle w:val="Tabletext"/>
            </w:pPr>
            <w:r w:rsidRPr="0067507D">
              <w:t>FRD 8</w:t>
            </w:r>
          </w:p>
        </w:tc>
        <w:tc>
          <w:tcPr>
            <w:tcW w:w="5760" w:type="dxa"/>
          </w:tcPr>
          <w:p w14:paraId="22F6D01A" w14:textId="77777777" w:rsidR="004E29AF" w:rsidRPr="0067507D" w:rsidRDefault="004E29AF" w:rsidP="003E4E12">
            <w:pPr>
              <w:pStyle w:val="Tabletext"/>
            </w:pPr>
            <w:r w:rsidRPr="0067507D">
              <w:t>Departmental objectives, indicators and outputs</w:t>
            </w:r>
          </w:p>
        </w:tc>
        <w:tc>
          <w:tcPr>
            <w:tcW w:w="1170" w:type="dxa"/>
          </w:tcPr>
          <w:p w14:paraId="719A3488" w14:textId="0528E336" w:rsidR="004E29AF" w:rsidRPr="0067507D" w:rsidRDefault="004E29AF" w:rsidP="003E4E12">
            <w:pPr>
              <w:pStyle w:val="Tabletext"/>
            </w:pPr>
            <w:r w:rsidRPr="0067507D">
              <w:fldChar w:fldCharType="begin"/>
            </w:r>
            <w:r w:rsidRPr="0067507D">
              <w:instrText xml:space="preserve"> PAGEREF _Ref489438932 \h </w:instrText>
            </w:r>
            <w:r w:rsidRPr="0067507D">
              <w:fldChar w:fldCharType="separate"/>
            </w:r>
            <w:r w:rsidR="008F4C0F">
              <w:rPr>
                <w:noProof/>
              </w:rPr>
              <w:t>14</w:t>
            </w:r>
            <w:r w:rsidRPr="0067507D">
              <w:fldChar w:fldCharType="end"/>
            </w:r>
            <w:r w:rsidRPr="0067507D">
              <w:t>–</w:t>
            </w:r>
            <w:r w:rsidRPr="0067507D">
              <w:fldChar w:fldCharType="begin"/>
            </w:r>
            <w:r w:rsidRPr="0067507D">
              <w:instrText xml:space="preserve"> PAGEREF  PerfOutput_end \h </w:instrText>
            </w:r>
            <w:r w:rsidRPr="0067507D">
              <w:fldChar w:fldCharType="separate"/>
            </w:r>
            <w:r w:rsidR="008F4C0F">
              <w:rPr>
                <w:noProof/>
              </w:rPr>
              <w:t>22</w:t>
            </w:r>
            <w:r w:rsidRPr="0067507D">
              <w:fldChar w:fldCharType="end"/>
            </w:r>
          </w:p>
        </w:tc>
      </w:tr>
      <w:tr w:rsidR="004E29AF" w:rsidRPr="0067507D" w14:paraId="54BFFA30" w14:textId="77777777" w:rsidTr="003E4E12">
        <w:tc>
          <w:tcPr>
            <w:tcW w:w="1458" w:type="dxa"/>
          </w:tcPr>
          <w:p w14:paraId="40CB074C" w14:textId="77777777" w:rsidR="004E29AF" w:rsidRPr="0067507D" w:rsidRDefault="004E29AF" w:rsidP="003E4E12">
            <w:pPr>
              <w:pStyle w:val="Tabletext"/>
            </w:pPr>
            <w:r w:rsidRPr="0067507D">
              <w:t>FRD 22</w:t>
            </w:r>
          </w:p>
        </w:tc>
        <w:tc>
          <w:tcPr>
            <w:tcW w:w="5760" w:type="dxa"/>
          </w:tcPr>
          <w:p w14:paraId="47E3D782" w14:textId="77777777" w:rsidR="004E29AF" w:rsidRPr="0067507D" w:rsidRDefault="004E29AF" w:rsidP="003E4E12">
            <w:pPr>
              <w:pStyle w:val="Tabletext"/>
            </w:pPr>
            <w:r w:rsidRPr="0067507D">
              <w:t>Key initiatives and projects</w:t>
            </w:r>
          </w:p>
        </w:tc>
        <w:tc>
          <w:tcPr>
            <w:tcW w:w="1170" w:type="dxa"/>
          </w:tcPr>
          <w:p w14:paraId="0ACF7B75" w14:textId="6A33AA7E" w:rsidR="004E29AF" w:rsidRPr="0067507D" w:rsidRDefault="004E29AF" w:rsidP="003E4E12">
            <w:pPr>
              <w:pStyle w:val="Tabletext"/>
            </w:pPr>
            <w:r w:rsidRPr="0067507D">
              <w:fldChar w:fldCharType="begin"/>
            </w:r>
            <w:r w:rsidRPr="0067507D">
              <w:instrText xml:space="preserve"> PAGEREF _Ref489439172 \h </w:instrText>
            </w:r>
            <w:r w:rsidRPr="0067507D">
              <w:fldChar w:fldCharType="separate"/>
            </w:r>
            <w:r w:rsidR="008F4C0F">
              <w:rPr>
                <w:noProof/>
              </w:rPr>
              <w:t>16</w:t>
            </w:r>
            <w:r w:rsidRPr="0067507D">
              <w:fldChar w:fldCharType="end"/>
            </w:r>
            <w:r w:rsidRPr="0067507D">
              <w:t>–</w:t>
            </w:r>
            <w:r w:rsidRPr="0067507D">
              <w:fldChar w:fldCharType="begin"/>
            </w:r>
            <w:r w:rsidRPr="0067507D">
              <w:instrText xml:space="preserve"> PAGEREF  PerfOutput_end \h </w:instrText>
            </w:r>
            <w:r w:rsidRPr="0067507D">
              <w:fldChar w:fldCharType="separate"/>
            </w:r>
            <w:r w:rsidR="008F4C0F">
              <w:rPr>
                <w:noProof/>
              </w:rPr>
              <w:t>22</w:t>
            </w:r>
            <w:r w:rsidRPr="0067507D">
              <w:fldChar w:fldCharType="end"/>
            </w:r>
          </w:p>
        </w:tc>
      </w:tr>
      <w:tr w:rsidR="004E29AF" w:rsidRPr="0067507D" w14:paraId="2EF8EA86" w14:textId="77777777" w:rsidTr="003E4E12">
        <w:tc>
          <w:tcPr>
            <w:tcW w:w="1458" w:type="dxa"/>
          </w:tcPr>
          <w:p w14:paraId="63EDF69A"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3B1A52C1" w14:textId="77777777" w:rsidR="004E29AF" w:rsidRPr="0067507D" w:rsidRDefault="004E29AF" w:rsidP="003E4E12">
            <w:pPr>
              <w:pStyle w:val="Tabletext"/>
            </w:pPr>
            <w:r w:rsidRPr="0067507D">
              <w:t>Nature and range of services provided</w:t>
            </w:r>
          </w:p>
        </w:tc>
        <w:tc>
          <w:tcPr>
            <w:tcW w:w="1170" w:type="dxa"/>
          </w:tcPr>
          <w:p w14:paraId="7BE583A9" w14:textId="427E0833" w:rsidR="004E29AF" w:rsidRPr="0067507D" w:rsidRDefault="004E29AF" w:rsidP="003E4E12">
            <w:pPr>
              <w:pStyle w:val="Tabletext"/>
            </w:pPr>
            <w:r w:rsidRPr="0067507D">
              <w:fldChar w:fldCharType="begin"/>
            </w:r>
            <w:r w:rsidRPr="0067507D">
              <w:instrText xml:space="preserve"> PAGEREF _Ref489435818 \h </w:instrText>
            </w:r>
            <w:r w:rsidRPr="0067507D">
              <w:fldChar w:fldCharType="separate"/>
            </w:r>
            <w:r w:rsidR="008F4C0F">
              <w:rPr>
                <w:noProof/>
              </w:rPr>
              <w:t>1</w:t>
            </w:r>
            <w:r w:rsidRPr="0067507D">
              <w:fldChar w:fldCharType="end"/>
            </w:r>
            <w:r w:rsidRPr="0067507D">
              <w:fldChar w:fldCharType="begin"/>
            </w:r>
            <w:r w:rsidRPr="0067507D">
              <w:instrText>PAGEREF Functions_services</w:instrText>
            </w:r>
            <w:r w:rsidRPr="0067507D">
              <w:fldChar w:fldCharType="separate"/>
            </w:r>
            <w:r w:rsidR="008F4C0F">
              <w:rPr>
                <w:noProof/>
              </w:rPr>
              <w:t>6</w:t>
            </w:r>
            <w:r w:rsidRPr="0067507D">
              <w:fldChar w:fldCharType="end"/>
            </w:r>
            <w:r w:rsidRPr="0067507D">
              <w:t>–</w:t>
            </w:r>
            <w:r w:rsidRPr="0067507D">
              <w:fldChar w:fldCharType="begin"/>
            </w:r>
            <w:r w:rsidRPr="0067507D">
              <w:instrText>PAGEREF Functions_services2</w:instrText>
            </w:r>
            <w:r w:rsidRPr="0067507D">
              <w:fldChar w:fldCharType="separate"/>
            </w:r>
            <w:r w:rsidR="008F4C0F">
              <w:rPr>
                <w:noProof/>
              </w:rPr>
              <w:t>10</w:t>
            </w:r>
            <w:r w:rsidRPr="0067507D">
              <w:fldChar w:fldCharType="end"/>
            </w:r>
          </w:p>
        </w:tc>
      </w:tr>
      <w:tr w:rsidR="004E29AF" w:rsidRPr="0067507D" w14:paraId="19ACDC2B" w14:textId="77777777" w:rsidTr="003E4E12">
        <w:tc>
          <w:tcPr>
            <w:tcW w:w="7218" w:type="dxa"/>
            <w:gridSpan w:val="2"/>
            <w:shd w:val="clear" w:color="auto" w:fill="E6E6E6"/>
          </w:tcPr>
          <w:p w14:paraId="1E49E189" w14:textId="77777777" w:rsidR="004E29AF" w:rsidRPr="0067507D" w:rsidRDefault="004E29AF" w:rsidP="00D72684">
            <w:pPr>
              <w:pStyle w:val="Tabletextbold"/>
              <w:rPr>
                <w:rFonts w:cstheme="minorHAnsi"/>
                <w:szCs w:val="20"/>
              </w:rPr>
            </w:pPr>
            <w:r w:rsidRPr="0067507D">
              <w:t>Management and structure</w:t>
            </w:r>
          </w:p>
        </w:tc>
        <w:tc>
          <w:tcPr>
            <w:tcW w:w="1170" w:type="dxa"/>
            <w:shd w:val="clear" w:color="auto" w:fill="E6E6E6"/>
          </w:tcPr>
          <w:p w14:paraId="135E09DB" w14:textId="77777777" w:rsidR="004E29AF" w:rsidRPr="0067507D" w:rsidRDefault="004E29AF" w:rsidP="003E4E12">
            <w:pPr>
              <w:pStyle w:val="Tabletext"/>
            </w:pPr>
          </w:p>
        </w:tc>
      </w:tr>
      <w:tr w:rsidR="004E29AF" w:rsidRPr="0067507D" w14:paraId="7D5A7657" w14:textId="77777777" w:rsidTr="003E4E12">
        <w:tc>
          <w:tcPr>
            <w:tcW w:w="1458" w:type="dxa"/>
          </w:tcPr>
          <w:p w14:paraId="17872DA6"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37EEEC7B" w14:textId="77777777" w:rsidR="004E29AF" w:rsidRPr="0067507D" w:rsidRDefault="004E29AF" w:rsidP="003E4E12">
            <w:pPr>
              <w:pStyle w:val="Tabletext"/>
            </w:pPr>
            <w:r w:rsidRPr="0067507D">
              <w:t xml:space="preserve">Organisational structure </w:t>
            </w:r>
          </w:p>
        </w:tc>
        <w:tc>
          <w:tcPr>
            <w:tcW w:w="1170" w:type="dxa"/>
          </w:tcPr>
          <w:p w14:paraId="63F306D8" w14:textId="336249BD" w:rsidR="004E29AF" w:rsidRPr="0067507D" w:rsidRDefault="004E29AF" w:rsidP="003E4E12">
            <w:pPr>
              <w:pStyle w:val="Tabletext"/>
            </w:pPr>
            <w:r w:rsidRPr="0067507D">
              <w:fldChar w:fldCharType="begin"/>
            </w:r>
            <w:r w:rsidRPr="0067507D">
              <w:instrText xml:space="preserve"> PAGEREF _Ref489439292 \h </w:instrText>
            </w:r>
            <w:r w:rsidRPr="0067507D">
              <w:fldChar w:fldCharType="separate"/>
            </w:r>
            <w:r w:rsidR="008F4C0F">
              <w:rPr>
                <w:noProof/>
              </w:rPr>
              <w:t>5</w:t>
            </w:r>
            <w:r w:rsidRPr="0067507D">
              <w:fldChar w:fldCharType="end"/>
            </w:r>
          </w:p>
        </w:tc>
      </w:tr>
      <w:tr w:rsidR="004E29AF" w:rsidRPr="0067507D" w14:paraId="31C6FE89" w14:textId="77777777" w:rsidTr="003E4E12">
        <w:tc>
          <w:tcPr>
            <w:tcW w:w="7218" w:type="dxa"/>
            <w:gridSpan w:val="2"/>
            <w:shd w:val="clear" w:color="auto" w:fill="E6E6E6"/>
          </w:tcPr>
          <w:p w14:paraId="127ADAB3" w14:textId="77777777" w:rsidR="004E29AF" w:rsidRPr="0067507D" w:rsidRDefault="004E29AF" w:rsidP="00D72684">
            <w:pPr>
              <w:pStyle w:val="Tabletextbold"/>
              <w:rPr>
                <w:rFonts w:cstheme="minorHAnsi"/>
                <w:szCs w:val="20"/>
              </w:rPr>
            </w:pPr>
            <w:r w:rsidRPr="0067507D">
              <w:t>Financial and other information</w:t>
            </w:r>
          </w:p>
        </w:tc>
        <w:tc>
          <w:tcPr>
            <w:tcW w:w="1170" w:type="dxa"/>
            <w:shd w:val="clear" w:color="auto" w:fill="E6E6E6"/>
          </w:tcPr>
          <w:p w14:paraId="0E24B882" w14:textId="77777777" w:rsidR="004E29AF" w:rsidRPr="0067507D" w:rsidRDefault="004E29AF" w:rsidP="003E4E12">
            <w:pPr>
              <w:pStyle w:val="Tabletext"/>
            </w:pPr>
          </w:p>
        </w:tc>
      </w:tr>
      <w:tr w:rsidR="004E29AF" w:rsidRPr="0067507D" w14:paraId="15878082" w14:textId="77777777" w:rsidTr="003E4E12">
        <w:tc>
          <w:tcPr>
            <w:tcW w:w="1458" w:type="dxa"/>
          </w:tcPr>
          <w:p w14:paraId="3A1FA729" w14:textId="77777777" w:rsidR="004E29AF" w:rsidRPr="0067507D" w:rsidRDefault="004E29AF" w:rsidP="003E4E12">
            <w:pPr>
              <w:pStyle w:val="Tabletext"/>
            </w:pPr>
            <w:r w:rsidRPr="0067507D">
              <w:t>FRD 8</w:t>
            </w:r>
          </w:p>
        </w:tc>
        <w:tc>
          <w:tcPr>
            <w:tcW w:w="5760" w:type="dxa"/>
          </w:tcPr>
          <w:p w14:paraId="6B5C9E1E" w14:textId="77777777" w:rsidR="004E29AF" w:rsidRPr="0067507D" w:rsidRDefault="004E29AF" w:rsidP="003E4E12">
            <w:pPr>
              <w:pStyle w:val="Tabletext"/>
            </w:pPr>
            <w:r w:rsidRPr="0067507D">
              <w:t xml:space="preserve">Performance against output performance measures </w:t>
            </w:r>
          </w:p>
        </w:tc>
        <w:tc>
          <w:tcPr>
            <w:tcW w:w="1170" w:type="dxa"/>
          </w:tcPr>
          <w:p w14:paraId="5B2AD703" w14:textId="3D508283" w:rsidR="004E29AF" w:rsidRPr="0067507D" w:rsidRDefault="004E29AF" w:rsidP="003E4E12">
            <w:pPr>
              <w:pStyle w:val="Tabletext"/>
            </w:pPr>
            <w:r w:rsidRPr="0067507D">
              <w:fldChar w:fldCharType="begin"/>
            </w:r>
            <w:r w:rsidRPr="0067507D">
              <w:instrText xml:space="preserve"> PAGEREF PerfOutput_start \h </w:instrText>
            </w:r>
            <w:r w:rsidRPr="0067507D">
              <w:fldChar w:fldCharType="separate"/>
            </w:r>
            <w:r w:rsidR="008F4C0F">
              <w:rPr>
                <w:noProof/>
              </w:rPr>
              <w:t>21</w:t>
            </w:r>
            <w:r w:rsidRPr="0067507D">
              <w:fldChar w:fldCharType="end"/>
            </w:r>
            <w:r w:rsidRPr="0067507D">
              <w:t>–</w:t>
            </w:r>
            <w:r w:rsidRPr="0067507D">
              <w:fldChar w:fldCharType="begin"/>
            </w:r>
            <w:r w:rsidRPr="0067507D">
              <w:instrText xml:space="preserve"> PAGEREF PerfOutput_end \h </w:instrText>
            </w:r>
            <w:r w:rsidRPr="0067507D">
              <w:fldChar w:fldCharType="separate"/>
            </w:r>
            <w:r w:rsidR="008F4C0F">
              <w:rPr>
                <w:noProof/>
              </w:rPr>
              <w:t>22</w:t>
            </w:r>
            <w:r w:rsidRPr="0067507D">
              <w:fldChar w:fldCharType="end"/>
            </w:r>
          </w:p>
        </w:tc>
      </w:tr>
      <w:tr w:rsidR="004E29AF" w:rsidRPr="0067507D" w14:paraId="7184DB08" w14:textId="77777777" w:rsidTr="003E4E12">
        <w:tc>
          <w:tcPr>
            <w:tcW w:w="1458" w:type="dxa"/>
          </w:tcPr>
          <w:p w14:paraId="0A59BCB8" w14:textId="77777777" w:rsidR="004E29AF" w:rsidRPr="0067507D" w:rsidRDefault="004E29AF" w:rsidP="003E4E12">
            <w:pPr>
              <w:pStyle w:val="Tabletext"/>
            </w:pPr>
            <w:r w:rsidRPr="0067507D">
              <w:t>FRD 8</w:t>
            </w:r>
          </w:p>
        </w:tc>
        <w:tc>
          <w:tcPr>
            <w:tcW w:w="5760" w:type="dxa"/>
          </w:tcPr>
          <w:p w14:paraId="2FA988E1" w14:textId="77777777" w:rsidR="004E29AF" w:rsidRPr="0067507D" w:rsidRDefault="004E29AF" w:rsidP="003E4E12">
            <w:pPr>
              <w:pStyle w:val="Tabletext"/>
            </w:pPr>
            <w:r w:rsidRPr="0067507D">
              <w:t>Budget portfolio outcomes</w:t>
            </w:r>
          </w:p>
        </w:tc>
        <w:tc>
          <w:tcPr>
            <w:tcW w:w="1170" w:type="dxa"/>
          </w:tcPr>
          <w:p w14:paraId="15F4F5C2" w14:textId="5062F6BB" w:rsidR="004E29AF" w:rsidRPr="0067507D" w:rsidRDefault="003622B0" w:rsidP="003E4E12">
            <w:pPr>
              <w:pStyle w:val="Tabletext"/>
            </w:pPr>
            <w:r w:rsidRPr="0067507D">
              <w:fldChar w:fldCharType="begin"/>
            </w:r>
            <w:r w:rsidRPr="0067507D">
              <w:instrText xml:space="preserve"> PAGEREF BudgetPortfolioOutcomes_start \h </w:instrText>
            </w:r>
            <w:r w:rsidRPr="0067507D">
              <w:fldChar w:fldCharType="separate"/>
            </w:r>
            <w:r w:rsidR="008F4C0F">
              <w:rPr>
                <w:noProof/>
              </w:rPr>
              <w:t>39</w:t>
            </w:r>
            <w:r w:rsidRPr="0067507D">
              <w:fldChar w:fldCharType="end"/>
            </w:r>
            <w:r w:rsidR="00517C6B" w:rsidRPr="0067507D">
              <w:t>–</w:t>
            </w:r>
            <w:r w:rsidRPr="0067507D">
              <w:fldChar w:fldCharType="begin"/>
            </w:r>
            <w:r w:rsidRPr="0067507D">
              <w:instrText xml:space="preserve"> PAGEREF BudgetPortfolioOutcomes_end \h </w:instrText>
            </w:r>
            <w:r w:rsidRPr="0067507D">
              <w:fldChar w:fldCharType="separate"/>
            </w:r>
            <w:r w:rsidR="008F4C0F">
              <w:rPr>
                <w:noProof/>
              </w:rPr>
              <w:t>45</w:t>
            </w:r>
            <w:r w:rsidRPr="0067507D">
              <w:fldChar w:fldCharType="end"/>
            </w:r>
          </w:p>
        </w:tc>
      </w:tr>
      <w:tr w:rsidR="004E29AF" w:rsidRPr="0067507D" w14:paraId="3F353293" w14:textId="77777777" w:rsidTr="003E4E12">
        <w:tc>
          <w:tcPr>
            <w:tcW w:w="1458" w:type="dxa"/>
          </w:tcPr>
          <w:p w14:paraId="10D3ADA8" w14:textId="77777777" w:rsidR="004E29AF" w:rsidRPr="0067507D" w:rsidRDefault="004E29AF" w:rsidP="003E4E12">
            <w:pPr>
              <w:pStyle w:val="Tabletext"/>
            </w:pPr>
            <w:r w:rsidRPr="0067507D">
              <w:t>FRD</w:t>
            </w:r>
            <w:r w:rsidRPr="0067507D">
              <w:rPr>
                <w:rFonts w:ascii="VIC" w:hAnsi="VIC"/>
              </w:rPr>
              <w:t xml:space="preserve"> </w:t>
            </w:r>
            <w:r w:rsidRPr="0067507D">
              <w:t>10</w:t>
            </w:r>
          </w:p>
        </w:tc>
        <w:tc>
          <w:tcPr>
            <w:tcW w:w="5760" w:type="dxa"/>
          </w:tcPr>
          <w:p w14:paraId="23B9C14D" w14:textId="77777777" w:rsidR="004E29AF" w:rsidRPr="0067507D" w:rsidRDefault="004E29AF" w:rsidP="003E4E12">
            <w:pPr>
              <w:pStyle w:val="Tabletext"/>
            </w:pPr>
            <w:r w:rsidRPr="0067507D">
              <w:t>Disclosure index</w:t>
            </w:r>
          </w:p>
        </w:tc>
        <w:tc>
          <w:tcPr>
            <w:tcW w:w="1170" w:type="dxa"/>
          </w:tcPr>
          <w:p w14:paraId="28397473" w14:textId="40C50E3B" w:rsidR="004E29AF" w:rsidRPr="0067507D" w:rsidRDefault="00517C6B" w:rsidP="003E4E12">
            <w:pPr>
              <w:pStyle w:val="Tabletext"/>
            </w:pPr>
            <w:r w:rsidRPr="0067507D">
              <w:fldChar w:fldCharType="begin"/>
            </w:r>
            <w:r w:rsidRPr="0067507D">
              <w:instrText xml:space="preserve"> PAGEREF AAS_compliance \h </w:instrText>
            </w:r>
            <w:r w:rsidRPr="0067507D">
              <w:fldChar w:fldCharType="separate"/>
            </w:r>
            <w:r w:rsidR="008F4C0F">
              <w:rPr>
                <w:noProof/>
              </w:rPr>
              <w:t>58</w:t>
            </w:r>
            <w:r w:rsidRPr="0067507D">
              <w:fldChar w:fldCharType="end"/>
            </w:r>
          </w:p>
        </w:tc>
      </w:tr>
      <w:tr w:rsidR="004E29AF" w:rsidRPr="0067507D" w14:paraId="08AAB5E1" w14:textId="77777777" w:rsidTr="003E4E12">
        <w:tc>
          <w:tcPr>
            <w:tcW w:w="1458" w:type="dxa"/>
          </w:tcPr>
          <w:p w14:paraId="76E20039" w14:textId="77777777" w:rsidR="004E29AF" w:rsidRPr="0067507D" w:rsidRDefault="004E29AF" w:rsidP="003E4E12">
            <w:pPr>
              <w:pStyle w:val="Tabletext"/>
            </w:pPr>
            <w:r w:rsidRPr="0067507D">
              <w:t>FRD</w:t>
            </w:r>
            <w:r w:rsidRPr="0067507D">
              <w:rPr>
                <w:rFonts w:ascii="VIC" w:hAnsi="VIC"/>
              </w:rPr>
              <w:t xml:space="preserve"> </w:t>
            </w:r>
            <w:r w:rsidRPr="0067507D">
              <w:t>12</w:t>
            </w:r>
          </w:p>
        </w:tc>
        <w:tc>
          <w:tcPr>
            <w:tcW w:w="5760" w:type="dxa"/>
          </w:tcPr>
          <w:p w14:paraId="572F8E35" w14:textId="77777777" w:rsidR="004E29AF" w:rsidRPr="0067507D" w:rsidRDefault="004E29AF" w:rsidP="003E4E12">
            <w:pPr>
              <w:pStyle w:val="Tabletext"/>
            </w:pPr>
            <w:r w:rsidRPr="0067507D">
              <w:t>Disclosure of major contracts</w:t>
            </w:r>
          </w:p>
        </w:tc>
        <w:tc>
          <w:tcPr>
            <w:tcW w:w="1170" w:type="dxa"/>
          </w:tcPr>
          <w:p w14:paraId="566F58B3" w14:textId="742F845F" w:rsidR="004E29AF" w:rsidRPr="0067507D" w:rsidRDefault="004E29AF" w:rsidP="003E4E12">
            <w:pPr>
              <w:pStyle w:val="Tabletext"/>
            </w:pPr>
            <w:r w:rsidRPr="0067507D">
              <w:fldChar w:fldCharType="begin"/>
            </w:r>
            <w:r w:rsidRPr="0067507D">
              <w:instrText xml:space="preserve"> PAGEREF MajorContracts \h </w:instrText>
            </w:r>
            <w:r w:rsidRPr="0067507D">
              <w:fldChar w:fldCharType="separate"/>
            </w:r>
            <w:r w:rsidR="008F4C0F">
              <w:rPr>
                <w:noProof/>
              </w:rPr>
              <w:t>149</w:t>
            </w:r>
            <w:r w:rsidRPr="0067507D">
              <w:fldChar w:fldCharType="end"/>
            </w:r>
          </w:p>
        </w:tc>
      </w:tr>
      <w:tr w:rsidR="004E29AF" w:rsidRPr="0067507D" w14:paraId="175932B4" w14:textId="77777777" w:rsidTr="003E4E12">
        <w:tc>
          <w:tcPr>
            <w:tcW w:w="1458" w:type="dxa"/>
          </w:tcPr>
          <w:p w14:paraId="18102CF7" w14:textId="77777777" w:rsidR="004E29AF" w:rsidRPr="0067507D" w:rsidRDefault="004E29AF" w:rsidP="003E4E12">
            <w:pPr>
              <w:pStyle w:val="Tabletext"/>
            </w:pPr>
            <w:r w:rsidRPr="0067507D">
              <w:t>FRD</w:t>
            </w:r>
            <w:r w:rsidRPr="0067507D">
              <w:rPr>
                <w:rFonts w:ascii="VIC" w:hAnsi="VIC"/>
              </w:rPr>
              <w:t xml:space="preserve"> </w:t>
            </w:r>
            <w:r w:rsidRPr="0067507D">
              <w:t>15</w:t>
            </w:r>
          </w:p>
        </w:tc>
        <w:tc>
          <w:tcPr>
            <w:tcW w:w="5760" w:type="dxa"/>
          </w:tcPr>
          <w:p w14:paraId="3F99CA5C" w14:textId="77777777" w:rsidR="004E29AF" w:rsidRPr="0067507D" w:rsidRDefault="004E29AF" w:rsidP="003E4E12">
            <w:pPr>
              <w:pStyle w:val="Tabletext"/>
            </w:pPr>
            <w:r w:rsidRPr="0067507D">
              <w:t>Executive disclosures</w:t>
            </w:r>
          </w:p>
        </w:tc>
        <w:tc>
          <w:tcPr>
            <w:tcW w:w="1170" w:type="dxa"/>
          </w:tcPr>
          <w:p w14:paraId="09F501F8" w14:textId="48352AFB" w:rsidR="004E29AF" w:rsidRPr="0067507D" w:rsidRDefault="00305F9D" w:rsidP="003E4E12">
            <w:pPr>
              <w:pStyle w:val="Tabletext"/>
            </w:pPr>
            <w:r w:rsidRPr="0067507D">
              <w:fldChar w:fldCharType="begin"/>
            </w:r>
            <w:r w:rsidRPr="0067507D">
              <w:instrText xml:space="preserve"> PAGEREF ExecDataStart \h </w:instrText>
            </w:r>
            <w:r w:rsidRPr="0067507D">
              <w:fldChar w:fldCharType="separate"/>
            </w:r>
            <w:r w:rsidR="008F4C0F">
              <w:rPr>
                <w:noProof/>
              </w:rPr>
              <w:t>115</w:t>
            </w:r>
            <w:r w:rsidRPr="0067507D">
              <w:fldChar w:fldCharType="end"/>
            </w:r>
            <w:r w:rsidRPr="0067507D">
              <w:t>–</w:t>
            </w:r>
            <w:r w:rsidRPr="0067507D">
              <w:fldChar w:fldCharType="begin"/>
            </w:r>
            <w:r w:rsidRPr="0067507D">
              <w:instrText xml:space="preserve"> PAGEREF ExecDataEnd \h </w:instrText>
            </w:r>
            <w:r w:rsidRPr="0067507D">
              <w:fldChar w:fldCharType="separate"/>
            </w:r>
            <w:r w:rsidR="008F4C0F">
              <w:rPr>
                <w:noProof/>
              </w:rPr>
              <w:t>117</w:t>
            </w:r>
            <w:r w:rsidRPr="0067507D">
              <w:fldChar w:fldCharType="end"/>
            </w:r>
          </w:p>
        </w:tc>
      </w:tr>
      <w:tr w:rsidR="004E29AF" w:rsidRPr="0067507D" w14:paraId="2A058826" w14:textId="77777777" w:rsidTr="003E4E12">
        <w:tc>
          <w:tcPr>
            <w:tcW w:w="1458" w:type="dxa"/>
          </w:tcPr>
          <w:p w14:paraId="53FAF24A"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5D2DE4FC" w14:textId="77777777" w:rsidR="004E29AF" w:rsidRPr="0067507D" w:rsidRDefault="004E29AF" w:rsidP="003E4E12">
            <w:pPr>
              <w:pStyle w:val="Tabletext"/>
            </w:pPr>
            <w:r w:rsidRPr="0067507D">
              <w:t>Employment and conduct principles</w:t>
            </w:r>
          </w:p>
        </w:tc>
        <w:tc>
          <w:tcPr>
            <w:tcW w:w="1170" w:type="dxa"/>
          </w:tcPr>
          <w:p w14:paraId="44B68B29" w14:textId="44147299" w:rsidR="004E29AF" w:rsidRPr="0067507D" w:rsidRDefault="00BD4EF7" w:rsidP="003E4E12">
            <w:pPr>
              <w:pStyle w:val="Tabletext"/>
            </w:pPr>
            <w:r w:rsidRPr="0067507D">
              <w:fldChar w:fldCharType="begin"/>
            </w:r>
            <w:r w:rsidRPr="0067507D">
              <w:instrText xml:space="preserve"> PAGEREF _Ref210223376 \h </w:instrText>
            </w:r>
            <w:r w:rsidRPr="0067507D">
              <w:fldChar w:fldCharType="separate"/>
            </w:r>
            <w:r w:rsidR="008F4C0F">
              <w:rPr>
                <w:noProof/>
              </w:rPr>
              <w:t>104</w:t>
            </w:r>
            <w:r w:rsidRPr="0067507D">
              <w:fldChar w:fldCharType="end"/>
            </w:r>
          </w:p>
        </w:tc>
      </w:tr>
      <w:tr w:rsidR="004E29AF" w:rsidRPr="0067507D" w14:paraId="733B8978" w14:textId="77777777" w:rsidTr="003E4E12">
        <w:tc>
          <w:tcPr>
            <w:tcW w:w="1458" w:type="dxa"/>
          </w:tcPr>
          <w:p w14:paraId="3144F4FE"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3D779049" w14:textId="77777777" w:rsidR="004E29AF" w:rsidRPr="0067507D" w:rsidRDefault="004E29AF" w:rsidP="003E4E12">
            <w:pPr>
              <w:pStyle w:val="Tabletext"/>
            </w:pPr>
            <w:r w:rsidRPr="0067507D">
              <w:t>Occupational health and safety policy</w:t>
            </w:r>
          </w:p>
        </w:tc>
        <w:tc>
          <w:tcPr>
            <w:tcW w:w="1170" w:type="dxa"/>
          </w:tcPr>
          <w:p w14:paraId="2EE71C75" w14:textId="61E921E1" w:rsidR="004E29AF" w:rsidRPr="0067507D" w:rsidRDefault="004E29AF" w:rsidP="003E4E12">
            <w:pPr>
              <w:pStyle w:val="Tabletext"/>
            </w:pPr>
            <w:r w:rsidRPr="0067507D">
              <w:fldChar w:fldCharType="begin"/>
            </w:r>
            <w:r w:rsidRPr="0067507D">
              <w:instrText xml:space="preserve"> PAGEREF OHSPolicy_start \h </w:instrText>
            </w:r>
            <w:r w:rsidRPr="0067507D">
              <w:fldChar w:fldCharType="separate"/>
            </w:r>
            <w:r w:rsidR="008F4C0F">
              <w:rPr>
                <w:noProof/>
              </w:rPr>
              <w:t>119</w:t>
            </w:r>
            <w:r w:rsidRPr="0067507D">
              <w:fldChar w:fldCharType="end"/>
            </w:r>
          </w:p>
        </w:tc>
      </w:tr>
      <w:tr w:rsidR="004E29AF" w:rsidRPr="0067507D" w14:paraId="20A8A773" w14:textId="77777777" w:rsidTr="003E4E12">
        <w:tc>
          <w:tcPr>
            <w:tcW w:w="1458" w:type="dxa"/>
          </w:tcPr>
          <w:p w14:paraId="4E15C00C"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33756527" w14:textId="77777777" w:rsidR="004E29AF" w:rsidRPr="0067507D" w:rsidRDefault="004E29AF" w:rsidP="003E4E12">
            <w:pPr>
              <w:pStyle w:val="Tabletext"/>
            </w:pPr>
            <w:r w:rsidRPr="0067507D">
              <w:t xml:space="preserve">Summary of the financial results for the year </w:t>
            </w:r>
          </w:p>
        </w:tc>
        <w:tc>
          <w:tcPr>
            <w:tcW w:w="1170" w:type="dxa"/>
          </w:tcPr>
          <w:p w14:paraId="39B64603" w14:textId="00F8B592" w:rsidR="004E29AF" w:rsidRPr="0067507D" w:rsidRDefault="004A135F" w:rsidP="003E4E12">
            <w:pPr>
              <w:pStyle w:val="Tabletext"/>
            </w:pPr>
            <w:r w:rsidRPr="0067507D">
              <w:fldChar w:fldCharType="begin"/>
            </w:r>
            <w:r w:rsidRPr="0067507D">
              <w:instrText xml:space="preserve"> PAGEREF _Ref492626911 \h </w:instrText>
            </w:r>
            <w:r w:rsidRPr="0067507D">
              <w:fldChar w:fldCharType="separate"/>
            </w:r>
            <w:r w:rsidR="008F4C0F">
              <w:rPr>
                <w:noProof/>
              </w:rPr>
              <w:t>46</w:t>
            </w:r>
            <w:r w:rsidRPr="0067507D">
              <w:fldChar w:fldCharType="end"/>
            </w:r>
          </w:p>
        </w:tc>
      </w:tr>
      <w:tr w:rsidR="004E29AF" w:rsidRPr="0067507D" w14:paraId="16AFFC91" w14:textId="77777777" w:rsidTr="003E4E12">
        <w:tc>
          <w:tcPr>
            <w:tcW w:w="1458" w:type="dxa"/>
          </w:tcPr>
          <w:p w14:paraId="012CAFC3"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2A5F7C2C" w14:textId="77777777" w:rsidR="004E29AF" w:rsidRPr="0067507D" w:rsidRDefault="004E29AF" w:rsidP="003E4E12">
            <w:pPr>
              <w:pStyle w:val="Tabletext"/>
            </w:pPr>
            <w:r w:rsidRPr="0067507D">
              <w:t xml:space="preserve">Significant changes in financial position during the year </w:t>
            </w:r>
          </w:p>
        </w:tc>
        <w:tc>
          <w:tcPr>
            <w:tcW w:w="1170" w:type="dxa"/>
          </w:tcPr>
          <w:p w14:paraId="2C2B5D88" w14:textId="051C544B" w:rsidR="004E29AF" w:rsidRPr="0067507D" w:rsidRDefault="00961526" w:rsidP="003E4E12">
            <w:pPr>
              <w:pStyle w:val="Tabletext"/>
            </w:pPr>
            <w:r w:rsidRPr="0067507D">
              <w:fldChar w:fldCharType="begin"/>
            </w:r>
            <w:r w:rsidRPr="0067507D">
              <w:instrText xml:space="preserve"> PAGEREF _Ref492626953 \h </w:instrText>
            </w:r>
            <w:r w:rsidRPr="0067507D">
              <w:fldChar w:fldCharType="separate"/>
            </w:r>
            <w:r w:rsidR="008F4C0F">
              <w:rPr>
                <w:noProof/>
              </w:rPr>
              <w:t>46</w:t>
            </w:r>
            <w:r w:rsidRPr="0067507D">
              <w:fldChar w:fldCharType="end"/>
            </w:r>
          </w:p>
        </w:tc>
      </w:tr>
      <w:tr w:rsidR="004E29AF" w:rsidRPr="0067507D" w14:paraId="5FBB339D" w14:textId="77777777" w:rsidTr="003E4E12">
        <w:tc>
          <w:tcPr>
            <w:tcW w:w="1458" w:type="dxa"/>
          </w:tcPr>
          <w:p w14:paraId="787913D0"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57F9FF8B" w14:textId="77777777" w:rsidR="004E29AF" w:rsidRPr="0067507D" w:rsidRDefault="004E29AF" w:rsidP="003E4E12">
            <w:pPr>
              <w:pStyle w:val="Tabletext"/>
            </w:pPr>
            <w:r w:rsidRPr="0067507D">
              <w:t xml:space="preserve">Major changes or factors affecting performance </w:t>
            </w:r>
          </w:p>
        </w:tc>
        <w:tc>
          <w:tcPr>
            <w:tcW w:w="1170" w:type="dxa"/>
          </w:tcPr>
          <w:p w14:paraId="2CCD6C29" w14:textId="19DF2D54" w:rsidR="004E29AF" w:rsidRPr="0067507D" w:rsidRDefault="004E29AF" w:rsidP="003E4E12">
            <w:pPr>
              <w:pStyle w:val="Tabletext"/>
            </w:pPr>
            <w:r w:rsidRPr="0067507D">
              <w:fldChar w:fldCharType="begin"/>
            </w:r>
            <w:r w:rsidRPr="0067507D">
              <w:instrText xml:space="preserve"> PAGEREF _Ref492626993 \h </w:instrText>
            </w:r>
            <w:r w:rsidRPr="0067507D">
              <w:fldChar w:fldCharType="separate"/>
            </w:r>
            <w:r w:rsidR="008F4C0F">
              <w:rPr>
                <w:noProof/>
              </w:rPr>
              <w:t>16</w:t>
            </w:r>
            <w:r w:rsidRPr="0067507D">
              <w:fldChar w:fldCharType="end"/>
            </w:r>
          </w:p>
        </w:tc>
      </w:tr>
      <w:tr w:rsidR="004E29AF" w:rsidRPr="0067507D" w14:paraId="7CA0FA20" w14:textId="77777777" w:rsidTr="003E4E12">
        <w:tc>
          <w:tcPr>
            <w:tcW w:w="1458" w:type="dxa"/>
          </w:tcPr>
          <w:p w14:paraId="2BB7FC42"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4C552ADF" w14:textId="77777777" w:rsidR="004E29AF" w:rsidRPr="0067507D" w:rsidRDefault="004E29AF" w:rsidP="003E4E12">
            <w:pPr>
              <w:pStyle w:val="Tabletext"/>
            </w:pPr>
            <w:r w:rsidRPr="0067507D">
              <w:t>Subsequent events</w:t>
            </w:r>
          </w:p>
        </w:tc>
        <w:tc>
          <w:tcPr>
            <w:tcW w:w="1170" w:type="dxa"/>
          </w:tcPr>
          <w:p w14:paraId="7A5A7E02" w14:textId="5FB0CDA5" w:rsidR="004E29AF" w:rsidRPr="0067507D" w:rsidRDefault="008F4C0F" w:rsidP="003E4E12">
            <w:pPr>
              <w:pStyle w:val="Tabletext"/>
            </w:pPr>
            <w:fldSimple w:instr="PAGEREF  SubsequentEvents  \* MERGEFORMAT">
              <w:r>
                <w:rPr>
                  <w:noProof/>
                </w:rPr>
                <w:t>100</w:t>
              </w:r>
            </w:fldSimple>
          </w:p>
        </w:tc>
      </w:tr>
      <w:tr w:rsidR="004E29AF" w:rsidRPr="0067507D" w14:paraId="2F8277C2" w14:textId="77777777" w:rsidTr="003E4E12">
        <w:tc>
          <w:tcPr>
            <w:tcW w:w="1458" w:type="dxa"/>
          </w:tcPr>
          <w:p w14:paraId="46A890F1"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4BCD3602" w14:textId="77777777" w:rsidR="004E29AF" w:rsidRPr="0067507D" w:rsidRDefault="004E29AF" w:rsidP="003E4E12">
            <w:pPr>
              <w:pStyle w:val="Tabletext"/>
            </w:pPr>
            <w:r w:rsidRPr="0067507D">
              <w:t xml:space="preserve">Application and operation of </w:t>
            </w:r>
            <w:r w:rsidRPr="0067507D">
              <w:rPr>
                <w:i/>
              </w:rPr>
              <w:t>Freedom of Information Act 1982</w:t>
            </w:r>
            <w:r w:rsidRPr="0067507D">
              <w:t xml:space="preserve"> </w:t>
            </w:r>
          </w:p>
        </w:tc>
        <w:tc>
          <w:tcPr>
            <w:tcW w:w="1170" w:type="dxa"/>
          </w:tcPr>
          <w:p w14:paraId="1A9DB702" w14:textId="2ADB0327" w:rsidR="004E29AF" w:rsidRPr="0067507D" w:rsidRDefault="004E29AF" w:rsidP="003E4E12">
            <w:pPr>
              <w:pStyle w:val="Tabletext"/>
            </w:pPr>
            <w:r w:rsidRPr="0067507D">
              <w:fldChar w:fldCharType="begin"/>
            </w:r>
            <w:r w:rsidRPr="0067507D">
              <w:instrText xml:space="preserve"> PAGEREF FOI \h </w:instrText>
            </w:r>
            <w:r w:rsidRPr="0067507D">
              <w:fldChar w:fldCharType="separate"/>
            </w:r>
            <w:r w:rsidR="008F4C0F">
              <w:rPr>
                <w:noProof/>
              </w:rPr>
              <w:t>150</w:t>
            </w:r>
            <w:r w:rsidRPr="0067507D">
              <w:fldChar w:fldCharType="end"/>
            </w:r>
          </w:p>
        </w:tc>
      </w:tr>
      <w:tr w:rsidR="004E29AF" w:rsidRPr="0067507D" w14:paraId="19061D2E" w14:textId="77777777" w:rsidTr="003E4E12">
        <w:tc>
          <w:tcPr>
            <w:tcW w:w="1458" w:type="dxa"/>
          </w:tcPr>
          <w:p w14:paraId="3B391183"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1761A5BC" w14:textId="77777777" w:rsidR="004E29AF" w:rsidRPr="0067507D" w:rsidRDefault="004E29AF" w:rsidP="003E4E12">
            <w:pPr>
              <w:pStyle w:val="Tabletext"/>
            </w:pPr>
            <w:r w:rsidRPr="0067507D">
              <w:t xml:space="preserve">Compliance with building and maintenance provisions of </w:t>
            </w:r>
            <w:r w:rsidRPr="0067507D">
              <w:rPr>
                <w:i/>
              </w:rPr>
              <w:t>Building Act</w:t>
            </w:r>
            <w:r w:rsidRPr="0067507D">
              <w:rPr>
                <w:rFonts w:ascii="VIC" w:hAnsi="VIC"/>
                <w:i/>
              </w:rPr>
              <w:t xml:space="preserve"> </w:t>
            </w:r>
            <w:r w:rsidRPr="0067507D">
              <w:rPr>
                <w:i/>
              </w:rPr>
              <w:t>1993</w:t>
            </w:r>
          </w:p>
        </w:tc>
        <w:tc>
          <w:tcPr>
            <w:tcW w:w="1170" w:type="dxa"/>
          </w:tcPr>
          <w:p w14:paraId="181FDA4B" w14:textId="3E629E38" w:rsidR="004E29AF" w:rsidRPr="0067507D" w:rsidRDefault="0078549E" w:rsidP="003E4E12">
            <w:pPr>
              <w:pStyle w:val="Tabletext"/>
            </w:pPr>
            <w:r w:rsidRPr="0067507D">
              <w:t>n/a</w:t>
            </w:r>
          </w:p>
        </w:tc>
      </w:tr>
      <w:tr w:rsidR="004E29AF" w:rsidRPr="0067507D" w14:paraId="2770D56E" w14:textId="77777777" w:rsidTr="003E4E12">
        <w:tc>
          <w:tcPr>
            <w:tcW w:w="1458" w:type="dxa"/>
          </w:tcPr>
          <w:p w14:paraId="1A9A2E74"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27F4C938" w14:textId="77777777" w:rsidR="004E29AF" w:rsidRPr="0067507D" w:rsidRDefault="004E29AF" w:rsidP="003E4E12">
            <w:pPr>
              <w:pStyle w:val="Tabletext"/>
            </w:pPr>
            <w:r w:rsidRPr="0067507D">
              <w:t xml:space="preserve">Statement on National Competition Policy </w:t>
            </w:r>
          </w:p>
        </w:tc>
        <w:tc>
          <w:tcPr>
            <w:tcW w:w="1170" w:type="dxa"/>
          </w:tcPr>
          <w:p w14:paraId="74D84235" w14:textId="4A1CF2A9" w:rsidR="004E29AF" w:rsidRPr="0067507D" w:rsidRDefault="00B6748A" w:rsidP="003E4E12">
            <w:pPr>
              <w:pStyle w:val="Tabletext"/>
            </w:pPr>
            <w:r w:rsidRPr="0067507D">
              <w:fldChar w:fldCharType="begin"/>
            </w:r>
            <w:r w:rsidRPr="0067507D">
              <w:instrText xml:space="preserve"> PAGEREF NatCompetitionPolicy1 \h </w:instrText>
            </w:r>
            <w:r w:rsidRPr="0067507D">
              <w:fldChar w:fldCharType="separate"/>
            </w:r>
            <w:r w:rsidR="008F4C0F">
              <w:rPr>
                <w:noProof/>
              </w:rPr>
              <w:t>153</w:t>
            </w:r>
            <w:r w:rsidRPr="0067507D">
              <w:fldChar w:fldCharType="end"/>
            </w:r>
          </w:p>
        </w:tc>
      </w:tr>
      <w:tr w:rsidR="004E29AF" w:rsidRPr="0067507D" w14:paraId="49F59603" w14:textId="77777777" w:rsidTr="003E4E12">
        <w:tc>
          <w:tcPr>
            <w:tcW w:w="1458" w:type="dxa"/>
          </w:tcPr>
          <w:p w14:paraId="2EB89F46"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7BC310C0" w14:textId="77777777" w:rsidR="004E29AF" w:rsidRPr="0067507D" w:rsidRDefault="004E29AF" w:rsidP="003E4E12">
            <w:pPr>
              <w:pStyle w:val="Tabletext"/>
            </w:pPr>
            <w:r w:rsidRPr="0067507D">
              <w:t xml:space="preserve">Application and operation of the </w:t>
            </w:r>
            <w:r w:rsidRPr="0067507D">
              <w:rPr>
                <w:i/>
                <w:iCs/>
              </w:rPr>
              <w:t>Public Interest Disclosures Act 2012</w:t>
            </w:r>
          </w:p>
        </w:tc>
        <w:tc>
          <w:tcPr>
            <w:tcW w:w="1170" w:type="dxa"/>
          </w:tcPr>
          <w:p w14:paraId="05668B2B" w14:textId="3E17C0B7" w:rsidR="004E29AF" w:rsidRPr="0067507D" w:rsidRDefault="00B6412C" w:rsidP="003E4E12">
            <w:pPr>
              <w:pStyle w:val="Tabletext"/>
            </w:pPr>
            <w:r w:rsidRPr="0067507D">
              <w:fldChar w:fldCharType="begin"/>
            </w:r>
            <w:r w:rsidRPr="0067507D">
              <w:instrText xml:space="preserve"> PAGEREF PubIntDisclosure \h </w:instrText>
            </w:r>
            <w:r w:rsidRPr="0067507D">
              <w:fldChar w:fldCharType="separate"/>
            </w:r>
            <w:r w:rsidR="008F4C0F">
              <w:rPr>
                <w:noProof/>
              </w:rPr>
              <w:t>153</w:t>
            </w:r>
            <w:r w:rsidRPr="0067507D">
              <w:fldChar w:fldCharType="end"/>
            </w:r>
          </w:p>
        </w:tc>
      </w:tr>
      <w:tr w:rsidR="004E29AF" w:rsidRPr="0067507D" w14:paraId="606A0C9B" w14:textId="77777777" w:rsidTr="003E4E12">
        <w:tc>
          <w:tcPr>
            <w:tcW w:w="1458" w:type="dxa"/>
          </w:tcPr>
          <w:p w14:paraId="6D88BD11" w14:textId="77777777" w:rsidR="004E29AF" w:rsidRPr="0067507D" w:rsidDel="006648CC" w:rsidRDefault="004E29AF" w:rsidP="003E4E12">
            <w:pPr>
              <w:pStyle w:val="Tabletext"/>
            </w:pPr>
            <w:r w:rsidRPr="0067507D">
              <w:t>FRD</w:t>
            </w:r>
            <w:r w:rsidRPr="0067507D">
              <w:rPr>
                <w:rFonts w:ascii="VIC" w:hAnsi="VIC"/>
              </w:rPr>
              <w:t xml:space="preserve"> </w:t>
            </w:r>
            <w:r w:rsidRPr="0067507D">
              <w:t>22</w:t>
            </w:r>
          </w:p>
        </w:tc>
        <w:tc>
          <w:tcPr>
            <w:tcW w:w="5760" w:type="dxa"/>
          </w:tcPr>
          <w:p w14:paraId="31CA160F" w14:textId="77777777" w:rsidR="004E29AF" w:rsidRPr="0067507D" w:rsidRDefault="004E29AF" w:rsidP="003E4E12">
            <w:pPr>
              <w:pStyle w:val="Tabletext"/>
            </w:pPr>
            <w:r w:rsidRPr="0067507D">
              <w:t xml:space="preserve">Application and operation of the </w:t>
            </w:r>
            <w:r w:rsidRPr="0067507D">
              <w:rPr>
                <w:i/>
              </w:rPr>
              <w:t>Carers Recognition Act 2012</w:t>
            </w:r>
          </w:p>
        </w:tc>
        <w:tc>
          <w:tcPr>
            <w:tcW w:w="1170" w:type="dxa"/>
          </w:tcPr>
          <w:p w14:paraId="30BD120B" w14:textId="77777777" w:rsidR="004E29AF" w:rsidRPr="0067507D" w:rsidRDefault="004E29AF" w:rsidP="003E4E12">
            <w:pPr>
              <w:pStyle w:val="Tabletext"/>
            </w:pPr>
            <w:r w:rsidRPr="0067507D">
              <w:t>n/a</w:t>
            </w:r>
          </w:p>
        </w:tc>
      </w:tr>
      <w:tr w:rsidR="004E29AF" w:rsidRPr="0067507D" w14:paraId="2BDA9110" w14:textId="77777777" w:rsidTr="003E4E12">
        <w:tc>
          <w:tcPr>
            <w:tcW w:w="1458" w:type="dxa"/>
          </w:tcPr>
          <w:p w14:paraId="5F7283A1"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473091DA" w14:textId="77777777" w:rsidR="004E29AF" w:rsidRPr="0067507D" w:rsidRDefault="004E29AF" w:rsidP="003E4E12">
            <w:pPr>
              <w:pStyle w:val="Tabletext"/>
            </w:pPr>
            <w:r w:rsidRPr="0067507D">
              <w:t>Details of consultancies over $10</w:t>
            </w:r>
            <w:r w:rsidRPr="0067507D">
              <w:rPr>
                <w:rFonts w:ascii="VIC" w:hAnsi="VIC"/>
              </w:rPr>
              <w:t xml:space="preserve"> </w:t>
            </w:r>
            <w:r w:rsidRPr="0067507D">
              <w:t xml:space="preserve">000 </w:t>
            </w:r>
          </w:p>
        </w:tc>
        <w:tc>
          <w:tcPr>
            <w:tcW w:w="1170" w:type="dxa"/>
          </w:tcPr>
          <w:p w14:paraId="2D583449" w14:textId="7970ACE5" w:rsidR="004E29AF" w:rsidRPr="0067507D" w:rsidRDefault="00B6412C" w:rsidP="003E4E12">
            <w:pPr>
              <w:pStyle w:val="Tabletext"/>
            </w:pPr>
            <w:r w:rsidRPr="0067507D">
              <w:fldChar w:fldCharType="begin"/>
            </w:r>
            <w:r w:rsidRPr="0067507D">
              <w:instrText xml:space="preserve"> PAGEREF ConsultanciesOver \h </w:instrText>
            </w:r>
            <w:r w:rsidRPr="0067507D">
              <w:fldChar w:fldCharType="separate"/>
            </w:r>
            <w:r w:rsidR="008F4C0F">
              <w:rPr>
                <w:noProof/>
              </w:rPr>
              <w:t>143</w:t>
            </w:r>
            <w:r w:rsidRPr="0067507D">
              <w:fldChar w:fldCharType="end"/>
            </w:r>
          </w:p>
        </w:tc>
      </w:tr>
      <w:tr w:rsidR="004E29AF" w:rsidRPr="0067507D" w14:paraId="63E07A45" w14:textId="77777777" w:rsidTr="003E4E12">
        <w:tc>
          <w:tcPr>
            <w:tcW w:w="1458" w:type="dxa"/>
          </w:tcPr>
          <w:p w14:paraId="7AFBE3A8"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2C59A3DC" w14:textId="77777777" w:rsidR="004E29AF" w:rsidRPr="0067507D" w:rsidRDefault="004E29AF" w:rsidP="003E4E12">
            <w:pPr>
              <w:pStyle w:val="Tabletext"/>
            </w:pPr>
            <w:r w:rsidRPr="0067507D">
              <w:t>Details of consultancies under $10</w:t>
            </w:r>
            <w:r w:rsidRPr="0067507D">
              <w:rPr>
                <w:rFonts w:ascii="VIC" w:hAnsi="VIC"/>
              </w:rPr>
              <w:t xml:space="preserve"> </w:t>
            </w:r>
            <w:r w:rsidRPr="0067507D">
              <w:t xml:space="preserve">000 </w:t>
            </w:r>
          </w:p>
        </w:tc>
        <w:tc>
          <w:tcPr>
            <w:tcW w:w="1170" w:type="dxa"/>
          </w:tcPr>
          <w:p w14:paraId="05F00445" w14:textId="5A7293B8" w:rsidR="004E29AF" w:rsidRPr="0067507D" w:rsidRDefault="00B6412C" w:rsidP="003E4E12">
            <w:pPr>
              <w:pStyle w:val="Tabletext"/>
            </w:pPr>
            <w:r w:rsidRPr="0067507D">
              <w:fldChar w:fldCharType="begin"/>
            </w:r>
            <w:r w:rsidRPr="0067507D">
              <w:instrText xml:space="preserve"> PAGEREF ConsultanciesUnder \h </w:instrText>
            </w:r>
            <w:r w:rsidRPr="0067507D">
              <w:fldChar w:fldCharType="separate"/>
            </w:r>
            <w:r w:rsidR="008F4C0F">
              <w:rPr>
                <w:noProof/>
              </w:rPr>
              <w:t>146</w:t>
            </w:r>
            <w:r w:rsidRPr="0067507D">
              <w:fldChar w:fldCharType="end"/>
            </w:r>
          </w:p>
        </w:tc>
      </w:tr>
      <w:tr w:rsidR="004E29AF" w:rsidRPr="0067507D" w14:paraId="22959726" w14:textId="77777777" w:rsidTr="003E4E12">
        <w:tc>
          <w:tcPr>
            <w:tcW w:w="1458" w:type="dxa"/>
          </w:tcPr>
          <w:p w14:paraId="35BF938A" w14:textId="77777777" w:rsidR="004E29AF" w:rsidRPr="0067507D" w:rsidRDefault="004E29AF" w:rsidP="003E4E12">
            <w:pPr>
              <w:pStyle w:val="Tabletext"/>
            </w:pPr>
            <w:r w:rsidRPr="0067507D">
              <w:t>FRD 22</w:t>
            </w:r>
          </w:p>
        </w:tc>
        <w:tc>
          <w:tcPr>
            <w:tcW w:w="5760" w:type="dxa"/>
          </w:tcPr>
          <w:p w14:paraId="118BF33F" w14:textId="77777777" w:rsidR="004E29AF" w:rsidRPr="0067507D" w:rsidRDefault="004E29AF" w:rsidP="003E4E12">
            <w:pPr>
              <w:pStyle w:val="Tabletext"/>
            </w:pPr>
            <w:r w:rsidRPr="0067507D">
              <w:t>Disclosure of government advertising expenditure</w:t>
            </w:r>
          </w:p>
        </w:tc>
        <w:tc>
          <w:tcPr>
            <w:tcW w:w="1170" w:type="dxa"/>
          </w:tcPr>
          <w:p w14:paraId="40FF70C2" w14:textId="402CB451" w:rsidR="004E29AF" w:rsidRPr="0067507D" w:rsidRDefault="004E29AF" w:rsidP="003E4E12">
            <w:pPr>
              <w:pStyle w:val="Tabletext"/>
            </w:pPr>
            <w:r w:rsidRPr="0067507D">
              <w:fldChar w:fldCharType="begin"/>
            </w:r>
            <w:r w:rsidRPr="0067507D">
              <w:instrText xml:space="preserve"> PAGEREF GovernmentAdvertising \h </w:instrText>
            </w:r>
            <w:r w:rsidRPr="0067507D">
              <w:fldChar w:fldCharType="separate"/>
            </w:r>
            <w:r w:rsidR="008F4C0F">
              <w:rPr>
                <w:noProof/>
              </w:rPr>
              <w:t>142</w:t>
            </w:r>
            <w:r w:rsidRPr="0067507D">
              <w:fldChar w:fldCharType="end"/>
            </w:r>
          </w:p>
        </w:tc>
      </w:tr>
      <w:tr w:rsidR="004E29AF" w:rsidRPr="0067507D" w14:paraId="0FA37772" w14:textId="77777777" w:rsidTr="003E4E12">
        <w:tc>
          <w:tcPr>
            <w:tcW w:w="1458" w:type="dxa"/>
          </w:tcPr>
          <w:p w14:paraId="5FD44A05" w14:textId="77777777" w:rsidR="004E29AF" w:rsidRPr="0067507D" w:rsidRDefault="004E29AF" w:rsidP="003E4E12">
            <w:pPr>
              <w:pStyle w:val="Tabletext"/>
            </w:pPr>
            <w:r w:rsidRPr="0067507D">
              <w:t>FRD 22</w:t>
            </w:r>
          </w:p>
        </w:tc>
        <w:tc>
          <w:tcPr>
            <w:tcW w:w="5760" w:type="dxa"/>
          </w:tcPr>
          <w:p w14:paraId="6E288B03" w14:textId="77777777" w:rsidR="004E29AF" w:rsidRPr="0067507D" w:rsidRDefault="004E29AF" w:rsidP="003E4E12">
            <w:pPr>
              <w:pStyle w:val="Tabletext"/>
            </w:pPr>
            <w:r w:rsidRPr="0067507D">
              <w:t>Disclosure of ICT expenditure</w:t>
            </w:r>
          </w:p>
        </w:tc>
        <w:tc>
          <w:tcPr>
            <w:tcW w:w="1170" w:type="dxa"/>
          </w:tcPr>
          <w:p w14:paraId="2469F331" w14:textId="570CD284" w:rsidR="004E29AF" w:rsidRPr="0067507D" w:rsidRDefault="008C2DE9" w:rsidP="003E4E12">
            <w:pPr>
              <w:pStyle w:val="Tabletext"/>
            </w:pPr>
            <w:r w:rsidRPr="0067507D">
              <w:fldChar w:fldCharType="begin"/>
            </w:r>
            <w:r w:rsidRPr="0067507D">
              <w:instrText xml:space="preserve"> PAGEREF ICTExpend \h </w:instrText>
            </w:r>
            <w:r w:rsidRPr="0067507D">
              <w:fldChar w:fldCharType="separate"/>
            </w:r>
            <w:r w:rsidR="008F4C0F">
              <w:rPr>
                <w:noProof/>
              </w:rPr>
              <w:t>149</w:t>
            </w:r>
            <w:r w:rsidRPr="0067507D">
              <w:fldChar w:fldCharType="end"/>
            </w:r>
          </w:p>
        </w:tc>
      </w:tr>
      <w:tr w:rsidR="00EF3835" w:rsidRPr="0067507D" w14:paraId="63D92F6C" w14:textId="77777777" w:rsidTr="003E4E12">
        <w:tc>
          <w:tcPr>
            <w:tcW w:w="1458" w:type="dxa"/>
          </w:tcPr>
          <w:p w14:paraId="51CF0DBB" w14:textId="0D532FB1" w:rsidR="00EF3835" w:rsidRPr="0067507D" w:rsidRDefault="00EF3835" w:rsidP="00EF3835">
            <w:pPr>
              <w:pStyle w:val="Tabletext"/>
            </w:pPr>
            <w:r w:rsidRPr="0067507D">
              <w:t>FRD 22</w:t>
            </w:r>
          </w:p>
        </w:tc>
        <w:tc>
          <w:tcPr>
            <w:tcW w:w="5760" w:type="dxa"/>
          </w:tcPr>
          <w:p w14:paraId="0F4EAF54" w14:textId="4B59450F" w:rsidR="00EF3835" w:rsidRPr="0067507D" w:rsidRDefault="00EF3835" w:rsidP="00EF3835">
            <w:pPr>
              <w:pStyle w:val="Tabletext"/>
            </w:pPr>
            <w:r w:rsidRPr="0067507D">
              <w:t>Reviews and studies expenditure</w:t>
            </w:r>
          </w:p>
        </w:tc>
        <w:tc>
          <w:tcPr>
            <w:tcW w:w="1170" w:type="dxa"/>
          </w:tcPr>
          <w:p w14:paraId="58A8EEAC" w14:textId="753342CD" w:rsidR="00EF3835" w:rsidRPr="0067507D" w:rsidRDefault="00D42F29" w:rsidP="00EF3835">
            <w:pPr>
              <w:pStyle w:val="Tabletext"/>
            </w:pPr>
            <w:r w:rsidRPr="0067507D">
              <w:fldChar w:fldCharType="begin"/>
            </w:r>
            <w:r w:rsidRPr="0067507D">
              <w:instrText xml:space="preserve"> PAGEREF Reviews_studies</w:instrText>
            </w:r>
            <w:r w:rsidR="00C331C7" w:rsidRPr="0067507D">
              <w:instrText>_start</w:instrText>
            </w:r>
            <w:r w:rsidRPr="0067507D">
              <w:instrText xml:space="preserve"> \h </w:instrText>
            </w:r>
            <w:r w:rsidRPr="0067507D">
              <w:fldChar w:fldCharType="separate"/>
            </w:r>
            <w:r w:rsidR="008F4C0F">
              <w:rPr>
                <w:noProof/>
              </w:rPr>
              <w:t>146</w:t>
            </w:r>
            <w:r w:rsidRPr="0067507D">
              <w:fldChar w:fldCharType="end"/>
            </w:r>
            <w:r w:rsidR="00C331C7" w:rsidRPr="0067507D">
              <w:t>–</w:t>
            </w:r>
            <w:r w:rsidR="00C331C7" w:rsidRPr="0067507D">
              <w:fldChar w:fldCharType="begin"/>
            </w:r>
            <w:r w:rsidR="00C331C7" w:rsidRPr="0067507D">
              <w:instrText xml:space="preserve"> PAGEREF Reviews_studies_end \h </w:instrText>
            </w:r>
            <w:r w:rsidR="00C331C7" w:rsidRPr="0067507D">
              <w:fldChar w:fldCharType="separate"/>
            </w:r>
            <w:r w:rsidR="008F4C0F">
              <w:rPr>
                <w:noProof/>
              </w:rPr>
              <w:t>148</w:t>
            </w:r>
            <w:r w:rsidR="00C331C7" w:rsidRPr="0067507D">
              <w:fldChar w:fldCharType="end"/>
            </w:r>
          </w:p>
        </w:tc>
      </w:tr>
      <w:tr w:rsidR="004E29AF" w:rsidRPr="0067507D" w14:paraId="06C652B0" w14:textId="77777777" w:rsidTr="003E4E12">
        <w:tc>
          <w:tcPr>
            <w:tcW w:w="1458" w:type="dxa"/>
          </w:tcPr>
          <w:p w14:paraId="0D29FF53" w14:textId="77777777" w:rsidR="004E29AF" w:rsidRPr="0067507D" w:rsidRDefault="004E29AF" w:rsidP="003E4E12">
            <w:pPr>
              <w:pStyle w:val="Tabletext"/>
            </w:pPr>
            <w:r w:rsidRPr="0067507D">
              <w:t>FRD</w:t>
            </w:r>
            <w:r w:rsidRPr="0067507D">
              <w:rPr>
                <w:rFonts w:ascii="VIC" w:hAnsi="VIC"/>
              </w:rPr>
              <w:t xml:space="preserve"> </w:t>
            </w:r>
            <w:r w:rsidRPr="0067507D">
              <w:t>22</w:t>
            </w:r>
          </w:p>
        </w:tc>
        <w:tc>
          <w:tcPr>
            <w:tcW w:w="5760" w:type="dxa"/>
          </w:tcPr>
          <w:p w14:paraId="1F34BB64" w14:textId="77777777" w:rsidR="004E29AF" w:rsidRPr="0067507D" w:rsidRDefault="004E29AF" w:rsidP="003E4E12">
            <w:pPr>
              <w:pStyle w:val="Tabletext"/>
            </w:pPr>
            <w:r w:rsidRPr="0067507D">
              <w:t xml:space="preserve">Statement of availability of other information </w:t>
            </w:r>
          </w:p>
        </w:tc>
        <w:tc>
          <w:tcPr>
            <w:tcW w:w="1170" w:type="dxa"/>
          </w:tcPr>
          <w:p w14:paraId="4505B38F" w14:textId="12122B71" w:rsidR="004E29AF" w:rsidRPr="0067507D" w:rsidRDefault="004E29AF" w:rsidP="003E4E12">
            <w:pPr>
              <w:pStyle w:val="Tabletext"/>
            </w:pPr>
            <w:r w:rsidRPr="0067507D">
              <w:fldChar w:fldCharType="begin"/>
            </w:r>
            <w:r w:rsidRPr="0067507D">
              <w:instrText xml:space="preserve"> PAGEREF InfoOnRequest \h </w:instrText>
            </w:r>
            <w:r w:rsidRPr="0067507D">
              <w:fldChar w:fldCharType="separate"/>
            </w:r>
            <w:r w:rsidR="008F4C0F">
              <w:rPr>
                <w:noProof/>
              </w:rPr>
              <w:t>155</w:t>
            </w:r>
            <w:r w:rsidRPr="0067507D">
              <w:fldChar w:fldCharType="end"/>
            </w:r>
          </w:p>
        </w:tc>
      </w:tr>
      <w:tr w:rsidR="00262D34" w:rsidRPr="0067507D" w14:paraId="4559A4D0" w14:textId="77777777" w:rsidTr="003E4E12">
        <w:tc>
          <w:tcPr>
            <w:tcW w:w="1458" w:type="dxa"/>
          </w:tcPr>
          <w:p w14:paraId="273D6506" w14:textId="78623B62" w:rsidR="00262D34" w:rsidRPr="0067507D" w:rsidRDefault="00262D34" w:rsidP="00262D34">
            <w:pPr>
              <w:pStyle w:val="Tabletext"/>
            </w:pPr>
            <w:r w:rsidRPr="0067507D">
              <w:t>FRD</w:t>
            </w:r>
            <w:r w:rsidRPr="0067507D">
              <w:rPr>
                <w:rFonts w:ascii="VIC" w:hAnsi="VIC"/>
              </w:rPr>
              <w:t xml:space="preserve"> </w:t>
            </w:r>
            <w:r w:rsidRPr="0067507D">
              <w:t>22</w:t>
            </w:r>
          </w:p>
        </w:tc>
        <w:tc>
          <w:tcPr>
            <w:tcW w:w="5760" w:type="dxa"/>
          </w:tcPr>
          <w:p w14:paraId="79594C00" w14:textId="6AAFA437" w:rsidR="00262D34" w:rsidRPr="0067507D" w:rsidRDefault="003F3804" w:rsidP="00262D34">
            <w:pPr>
              <w:pStyle w:val="Tabletext"/>
            </w:pPr>
            <w:r w:rsidRPr="0067507D">
              <w:t>Asset Management Accountability Framework (AMAF) maturity assessment</w:t>
            </w:r>
          </w:p>
        </w:tc>
        <w:tc>
          <w:tcPr>
            <w:tcW w:w="1170" w:type="dxa"/>
          </w:tcPr>
          <w:p w14:paraId="71C59E5F" w14:textId="7B995FC0" w:rsidR="00262D34" w:rsidRPr="0067507D" w:rsidRDefault="00F769F4" w:rsidP="00262D34">
            <w:pPr>
              <w:pStyle w:val="Tabletext"/>
            </w:pPr>
            <w:r w:rsidRPr="0067507D">
              <w:t>n/a</w:t>
            </w:r>
          </w:p>
        </w:tc>
      </w:tr>
      <w:tr w:rsidR="0012421E" w:rsidRPr="0067507D" w14:paraId="01343A7E" w14:textId="77777777" w:rsidTr="003E4E12">
        <w:tc>
          <w:tcPr>
            <w:tcW w:w="1458" w:type="dxa"/>
          </w:tcPr>
          <w:p w14:paraId="3CEE8AE6" w14:textId="0D728A82" w:rsidR="0012421E" w:rsidRPr="0067507D" w:rsidRDefault="0012421E" w:rsidP="0012421E">
            <w:pPr>
              <w:pStyle w:val="Tabletext"/>
            </w:pPr>
            <w:r w:rsidRPr="0067507D">
              <w:t>FRD</w:t>
            </w:r>
            <w:r w:rsidRPr="0067507D">
              <w:rPr>
                <w:rFonts w:ascii="VIC" w:hAnsi="VIC"/>
              </w:rPr>
              <w:t xml:space="preserve"> </w:t>
            </w:r>
            <w:r w:rsidRPr="0067507D">
              <w:t>22</w:t>
            </w:r>
          </w:p>
        </w:tc>
        <w:tc>
          <w:tcPr>
            <w:tcW w:w="5760" w:type="dxa"/>
          </w:tcPr>
          <w:p w14:paraId="2653774B" w14:textId="6F8A371D" w:rsidR="00637873" w:rsidRPr="0067507D" w:rsidRDefault="00522AE2" w:rsidP="0012421E">
            <w:pPr>
              <w:pStyle w:val="Tabletext"/>
            </w:pPr>
            <w:r w:rsidRPr="0067507D">
              <w:t>Disclosure of emergency procurement</w:t>
            </w:r>
          </w:p>
        </w:tc>
        <w:tc>
          <w:tcPr>
            <w:tcW w:w="1170" w:type="dxa"/>
          </w:tcPr>
          <w:p w14:paraId="6B1434A3" w14:textId="0D04666A" w:rsidR="0012421E" w:rsidRPr="0067507D" w:rsidRDefault="00C16C2B" w:rsidP="0012421E">
            <w:pPr>
              <w:pStyle w:val="Tabletext"/>
            </w:pPr>
            <w:r w:rsidRPr="0067507D">
              <w:fldChar w:fldCharType="begin"/>
            </w:r>
            <w:r w:rsidRPr="0067507D">
              <w:instrText xml:space="preserve"> PAGEREF EmergencyProcurement \h </w:instrText>
            </w:r>
            <w:r w:rsidRPr="0067507D">
              <w:fldChar w:fldCharType="separate"/>
            </w:r>
            <w:r w:rsidR="008F4C0F">
              <w:rPr>
                <w:noProof/>
              </w:rPr>
              <w:t>154</w:t>
            </w:r>
            <w:r w:rsidRPr="0067507D">
              <w:fldChar w:fldCharType="end"/>
            </w:r>
          </w:p>
        </w:tc>
      </w:tr>
      <w:tr w:rsidR="007D4995" w:rsidRPr="0067507D" w14:paraId="725E647F" w14:textId="77777777" w:rsidTr="003E4E12">
        <w:tc>
          <w:tcPr>
            <w:tcW w:w="1458" w:type="dxa"/>
          </w:tcPr>
          <w:p w14:paraId="7D1FFE90" w14:textId="165C54BD" w:rsidR="007D4995" w:rsidRPr="0067507D" w:rsidRDefault="007D4995" w:rsidP="007D4995">
            <w:pPr>
              <w:pStyle w:val="Tabletext"/>
            </w:pPr>
            <w:r w:rsidRPr="0067507D">
              <w:t>FRD 22</w:t>
            </w:r>
          </w:p>
        </w:tc>
        <w:tc>
          <w:tcPr>
            <w:tcW w:w="5760" w:type="dxa"/>
          </w:tcPr>
          <w:p w14:paraId="4F75C323" w14:textId="6F2B9FDD" w:rsidR="007D4995" w:rsidRPr="0067507D" w:rsidRDefault="007D4995" w:rsidP="007D4995">
            <w:pPr>
              <w:pStyle w:val="Tabletext"/>
            </w:pPr>
            <w:r w:rsidRPr="0067507D">
              <w:t>Disclosure of procurement complaints</w:t>
            </w:r>
          </w:p>
        </w:tc>
        <w:tc>
          <w:tcPr>
            <w:tcW w:w="1170" w:type="dxa"/>
          </w:tcPr>
          <w:p w14:paraId="73CBF40C" w14:textId="42838298" w:rsidR="007D4995" w:rsidRPr="0067507D" w:rsidRDefault="00D42F29" w:rsidP="007D4995">
            <w:pPr>
              <w:pStyle w:val="Tabletext"/>
            </w:pPr>
            <w:r w:rsidRPr="0067507D">
              <w:fldChar w:fldCharType="begin"/>
            </w:r>
            <w:r w:rsidRPr="0067507D">
              <w:instrText xml:space="preserve"> PAGEREF Procurement_complaints \h </w:instrText>
            </w:r>
            <w:r w:rsidRPr="0067507D">
              <w:fldChar w:fldCharType="separate"/>
            </w:r>
            <w:r w:rsidR="008F4C0F">
              <w:rPr>
                <w:noProof/>
              </w:rPr>
              <w:t>154</w:t>
            </w:r>
            <w:r w:rsidRPr="0067507D">
              <w:fldChar w:fldCharType="end"/>
            </w:r>
          </w:p>
        </w:tc>
      </w:tr>
      <w:tr w:rsidR="0012421E" w:rsidRPr="0067507D" w14:paraId="78D9B24C" w14:textId="77777777" w:rsidTr="003E4E12">
        <w:tc>
          <w:tcPr>
            <w:tcW w:w="1458" w:type="dxa"/>
          </w:tcPr>
          <w:p w14:paraId="015EE655" w14:textId="77777777" w:rsidR="0012421E" w:rsidRPr="0067507D" w:rsidRDefault="0012421E" w:rsidP="0012421E">
            <w:pPr>
              <w:pStyle w:val="Tabletext"/>
            </w:pPr>
            <w:r w:rsidRPr="0067507D">
              <w:t>FRD</w:t>
            </w:r>
            <w:r w:rsidRPr="0067507D">
              <w:rPr>
                <w:rFonts w:ascii="VIC" w:hAnsi="VIC"/>
              </w:rPr>
              <w:t xml:space="preserve"> </w:t>
            </w:r>
            <w:r w:rsidRPr="0067507D">
              <w:t>24</w:t>
            </w:r>
          </w:p>
        </w:tc>
        <w:tc>
          <w:tcPr>
            <w:tcW w:w="5760" w:type="dxa"/>
          </w:tcPr>
          <w:p w14:paraId="30B70DCB" w14:textId="6AF94A0C" w:rsidR="0012421E" w:rsidRPr="0067507D" w:rsidRDefault="00971415" w:rsidP="0012421E">
            <w:pPr>
              <w:pStyle w:val="Tabletext"/>
            </w:pPr>
            <w:r w:rsidRPr="0067507D">
              <w:t>Environmental reporting</w:t>
            </w:r>
          </w:p>
        </w:tc>
        <w:tc>
          <w:tcPr>
            <w:tcW w:w="1170" w:type="dxa"/>
          </w:tcPr>
          <w:p w14:paraId="7998E016" w14:textId="4EBEEEB1" w:rsidR="0012421E" w:rsidRPr="0067507D" w:rsidRDefault="0012421E" w:rsidP="0012421E">
            <w:pPr>
              <w:pStyle w:val="Tabletext"/>
            </w:pPr>
            <w:r w:rsidRPr="0067507D">
              <w:fldChar w:fldCharType="begin"/>
            </w:r>
            <w:r w:rsidRPr="0067507D">
              <w:instrText xml:space="preserve"> PAGEREF Environmental_start \h </w:instrText>
            </w:r>
            <w:r w:rsidRPr="0067507D">
              <w:fldChar w:fldCharType="separate"/>
            </w:r>
            <w:r w:rsidR="008F4C0F">
              <w:rPr>
                <w:noProof/>
              </w:rPr>
              <w:t>126</w:t>
            </w:r>
            <w:r w:rsidRPr="0067507D">
              <w:fldChar w:fldCharType="end"/>
            </w:r>
            <w:r w:rsidRPr="0067507D">
              <w:t>–</w:t>
            </w:r>
            <w:r w:rsidRPr="0067507D">
              <w:fldChar w:fldCharType="begin"/>
            </w:r>
            <w:r w:rsidRPr="0067507D">
              <w:instrText xml:space="preserve"> PAGEREF Environmental_end \h </w:instrText>
            </w:r>
            <w:r w:rsidRPr="0067507D">
              <w:fldChar w:fldCharType="separate"/>
            </w:r>
            <w:r w:rsidR="008F4C0F">
              <w:rPr>
                <w:noProof/>
              </w:rPr>
              <w:t>134</w:t>
            </w:r>
            <w:r w:rsidRPr="0067507D">
              <w:fldChar w:fldCharType="end"/>
            </w:r>
          </w:p>
        </w:tc>
      </w:tr>
      <w:tr w:rsidR="0012421E" w:rsidRPr="0067507D" w14:paraId="7CFF746F" w14:textId="77777777" w:rsidTr="003E4E12">
        <w:tc>
          <w:tcPr>
            <w:tcW w:w="1458" w:type="dxa"/>
          </w:tcPr>
          <w:p w14:paraId="529A1168" w14:textId="77777777" w:rsidR="0012421E" w:rsidRPr="0067507D" w:rsidRDefault="0012421E" w:rsidP="0012421E">
            <w:pPr>
              <w:pStyle w:val="Tabletext"/>
            </w:pPr>
            <w:r w:rsidRPr="0067507D">
              <w:t>FRD</w:t>
            </w:r>
            <w:r w:rsidRPr="0067507D">
              <w:rPr>
                <w:rFonts w:ascii="VIC" w:hAnsi="VIC"/>
              </w:rPr>
              <w:t xml:space="preserve"> </w:t>
            </w:r>
            <w:r w:rsidRPr="0067507D">
              <w:t>25</w:t>
            </w:r>
          </w:p>
        </w:tc>
        <w:tc>
          <w:tcPr>
            <w:tcW w:w="5760" w:type="dxa"/>
          </w:tcPr>
          <w:p w14:paraId="7B9AB019" w14:textId="77777777" w:rsidR="0012421E" w:rsidRPr="0067507D" w:rsidRDefault="0012421E" w:rsidP="0012421E">
            <w:pPr>
              <w:pStyle w:val="Tabletext"/>
            </w:pPr>
            <w:r w:rsidRPr="0067507D">
              <w:t>Local Jobs First</w:t>
            </w:r>
          </w:p>
        </w:tc>
        <w:tc>
          <w:tcPr>
            <w:tcW w:w="1170" w:type="dxa"/>
          </w:tcPr>
          <w:p w14:paraId="7862AFCE" w14:textId="2A33CC4A" w:rsidR="0012421E" w:rsidRPr="0067507D" w:rsidRDefault="0012421E" w:rsidP="0012421E">
            <w:pPr>
              <w:pStyle w:val="Tabletext"/>
            </w:pPr>
            <w:r w:rsidRPr="0067507D">
              <w:fldChar w:fldCharType="begin"/>
            </w:r>
            <w:r w:rsidRPr="0067507D">
              <w:instrText xml:space="preserve"> PAGEREF LocalJobsFirst \h </w:instrText>
            </w:r>
            <w:r w:rsidRPr="0067507D">
              <w:fldChar w:fldCharType="separate"/>
            </w:r>
            <w:r w:rsidR="008F4C0F">
              <w:rPr>
                <w:noProof/>
              </w:rPr>
              <w:t>141</w:t>
            </w:r>
            <w:r w:rsidRPr="0067507D">
              <w:fldChar w:fldCharType="end"/>
            </w:r>
          </w:p>
        </w:tc>
      </w:tr>
      <w:tr w:rsidR="0012421E" w:rsidRPr="0067507D" w14:paraId="6FB2F4A2" w14:textId="77777777" w:rsidTr="003E4E12">
        <w:tc>
          <w:tcPr>
            <w:tcW w:w="1458" w:type="dxa"/>
          </w:tcPr>
          <w:p w14:paraId="6F22B73D" w14:textId="77777777" w:rsidR="0012421E" w:rsidRPr="0067507D" w:rsidRDefault="0012421E" w:rsidP="0012421E">
            <w:pPr>
              <w:pStyle w:val="Tabletext"/>
            </w:pPr>
            <w:r w:rsidRPr="0067507D">
              <w:t>FRD</w:t>
            </w:r>
            <w:r w:rsidRPr="0067507D">
              <w:rPr>
                <w:rFonts w:ascii="VIC" w:hAnsi="VIC"/>
              </w:rPr>
              <w:t xml:space="preserve"> </w:t>
            </w:r>
            <w:r w:rsidRPr="0067507D">
              <w:t>29</w:t>
            </w:r>
          </w:p>
        </w:tc>
        <w:tc>
          <w:tcPr>
            <w:tcW w:w="5760" w:type="dxa"/>
          </w:tcPr>
          <w:p w14:paraId="21DC952D" w14:textId="77777777" w:rsidR="0012421E" w:rsidRPr="0067507D" w:rsidRDefault="0012421E" w:rsidP="0012421E">
            <w:pPr>
              <w:pStyle w:val="Tabletext"/>
            </w:pPr>
            <w:r w:rsidRPr="0067507D">
              <w:t>Workforce data disclosures</w:t>
            </w:r>
          </w:p>
        </w:tc>
        <w:tc>
          <w:tcPr>
            <w:tcW w:w="1170" w:type="dxa"/>
          </w:tcPr>
          <w:p w14:paraId="2653961F" w14:textId="6734135C" w:rsidR="0012421E" w:rsidRPr="0067507D" w:rsidRDefault="0012421E" w:rsidP="0012421E">
            <w:pPr>
              <w:pStyle w:val="Tabletext"/>
            </w:pPr>
            <w:r w:rsidRPr="0067507D">
              <w:fldChar w:fldCharType="begin"/>
            </w:r>
            <w:r w:rsidRPr="0067507D">
              <w:instrText xml:space="preserve"> PAGEREF Workforce1 \h </w:instrText>
            </w:r>
            <w:r w:rsidRPr="0067507D">
              <w:fldChar w:fldCharType="separate"/>
            </w:r>
            <w:r w:rsidR="008F4C0F">
              <w:rPr>
                <w:noProof/>
              </w:rPr>
              <w:t>104</w:t>
            </w:r>
            <w:r w:rsidRPr="0067507D">
              <w:fldChar w:fldCharType="end"/>
            </w:r>
            <w:r w:rsidR="001313B5" w:rsidRPr="0067507D">
              <w:t>–</w:t>
            </w:r>
            <w:r w:rsidR="001313B5" w:rsidRPr="0067507D">
              <w:fldChar w:fldCharType="begin"/>
            </w:r>
            <w:r w:rsidR="001313B5" w:rsidRPr="0067507D">
              <w:instrText xml:space="preserve"> PAGEREF Workforce2 \h </w:instrText>
            </w:r>
            <w:r w:rsidR="001313B5" w:rsidRPr="0067507D">
              <w:fldChar w:fldCharType="separate"/>
            </w:r>
            <w:r w:rsidR="008F4C0F">
              <w:rPr>
                <w:noProof/>
              </w:rPr>
              <w:t>117</w:t>
            </w:r>
            <w:r w:rsidR="001313B5" w:rsidRPr="0067507D">
              <w:fldChar w:fldCharType="end"/>
            </w:r>
          </w:p>
        </w:tc>
      </w:tr>
      <w:tr w:rsidR="0012421E" w:rsidRPr="0067507D" w14:paraId="76D1C01E" w14:textId="77777777" w:rsidTr="003E4E12">
        <w:tc>
          <w:tcPr>
            <w:tcW w:w="1458" w:type="dxa"/>
          </w:tcPr>
          <w:p w14:paraId="3F5FCEBB" w14:textId="77777777" w:rsidR="0012421E" w:rsidRPr="0067507D" w:rsidRDefault="0012421E" w:rsidP="0012421E">
            <w:pPr>
              <w:pStyle w:val="Tabletext"/>
            </w:pPr>
            <w:r w:rsidRPr="0067507D">
              <w:t>SD 5.2</w:t>
            </w:r>
          </w:p>
        </w:tc>
        <w:tc>
          <w:tcPr>
            <w:tcW w:w="5760" w:type="dxa"/>
          </w:tcPr>
          <w:p w14:paraId="598ABAB7" w14:textId="77777777" w:rsidR="0012421E" w:rsidRPr="0067507D" w:rsidRDefault="0012421E" w:rsidP="0012421E">
            <w:pPr>
              <w:pStyle w:val="Tabletext"/>
            </w:pPr>
            <w:r w:rsidRPr="0067507D">
              <w:t>Specific requirements under Standing Direction 5.2</w:t>
            </w:r>
          </w:p>
        </w:tc>
        <w:tc>
          <w:tcPr>
            <w:tcW w:w="1170" w:type="dxa"/>
          </w:tcPr>
          <w:p w14:paraId="3A29F611" w14:textId="1094EA5B" w:rsidR="007503A4" w:rsidRPr="0067507D" w:rsidRDefault="000C1B00" w:rsidP="0012421E">
            <w:pPr>
              <w:pStyle w:val="Tabletext"/>
            </w:pPr>
            <w:r w:rsidRPr="0067507D">
              <w:fldChar w:fldCharType="begin"/>
            </w:r>
            <w:r w:rsidRPr="0067507D">
              <w:instrText xml:space="preserve"> PAGEREF SD5_2 \h </w:instrText>
            </w:r>
            <w:r w:rsidRPr="0067507D">
              <w:fldChar w:fldCharType="separate"/>
            </w:r>
            <w:r w:rsidR="008F4C0F">
              <w:rPr>
                <w:noProof/>
              </w:rPr>
              <w:t>48</w:t>
            </w:r>
            <w:r w:rsidRPr="0067507D">
              <w:fldChar w:fldCharType="end"/>
            </w:r>
          </w:p>
        </w:tc>
      </w:tr>
      <w:tr w:rsidR="0012421E" w:rsidRPr="0067507D" w14:paraId="1D3AA4E1" w14:textId="77777777" w:rsidTr="003E4E12">
        <w:tc>
          <w:tcPr>
            <w:tcW w:w="7218" w:type="dxa"/>
            <w:gridSpan w:val="2"/>
            <w:shd w:val="clear" w:color="auto" w:fill="E6E6E6"/>
          </w:tcPr>
          <w:p w14:paraId="67C425D9" w14:textId="77777777" w:rsidR="0012421E" w:rsidRPr="0067507D" w:rsidRDefault="0012421E" w:rsidP="00D72684">
            <w:pPr>
              <w:pStyle w:val="Tabletextbold"/>
              <w:rPr>
                <w:rFonts w:cstheme="minorHAnsi"/>
                <w:szCs w:val="20"/>
              </w:rPr>
            </w:pPr>
            <w:r w:rsidRPr="0067507D">
              <w:t>Compliance attestation and declaration</w:t>
            </w:r>
          </w:p>
        </w:tc>
        <w:tc>
          <w:tcPr>
            <w:tcW w:w="1170" w:type="dxa"/>
            <w:shd w:val="clear" w:color="auto" w:fill="E6E6E6"/>
          </w:tcPr>
          <w:p w14:paraId="6AECE5D9" w14:textId="77777777" w:rsidR="0012421E" w:rsidRPr="0067507D" w:rsidRDefault="0012421E" w:rsidP="0012421E">
            <w:pPr>
              <w:pStyle w:val="Tabletext"/>
              <w:rPr>
                <w:b/>
              </w:rPr>
            </w:pPr>
          </w:p>
        </w:tc>
      </w:tr>
      <w:tr w:rsidR="0012421E" w:rsidRPr="0067507D" w14:paraId="52DE43C4" w14:textId="77777777" w:rsidTr="003E4E12">
        <w:tc>
          <w:tcPr>
            <w:tcW w:w="1458" w:type="dxa"/>
          </w:tcPr>
          <w:p w14:paraId="6DD406B4" w14:textId="77777777" w:rsidR="0012421E" w:rsidRPr="0067507D" w:rsidRDefault="0012421E" w:rsidP="0012421E">
            <w:pPr>
              <w:pStyle w:val="Tabletext"/>
            </w:pPr>
            <w:r w:rsidRPr="0067507D">
              <w:t>SD 5.1.4</w:t>
            </w:r>
          </w:p>
        </w:tc>
        <w:tc>
          <w:tcPr>
            <w:tcW w:w="5760" w:type="dxa"/>
          </w:tcPr>
          <w:p w14:paraId="7A1225B7" w14:textId="77777777" w:rsidR="0012421E" w:rsidRPr="0067507D" w:rsidRDefault="0012421E" w:rsidP="0012421E">
            <w:pPr>
              <w:pStyle w:val="Tabletext"/>
            </w:pPr>
            <w:r w:rsidRPr="0067507D">
              <w:t>Attestation for compliance with Ministerial Standing Direction</w:t>
            </w:r>
          </w:p>
        </w:tc>
        <w:tc>
          <w:tcPr>
            <w:tcW w:w="1170" w:type="dxa"/>
          </w:tcPr>
          <w:p w14:paraId="253DE747" w14:textId="6BEFE5BA" w:rsidR="0012421E" w:rsidRPr="0067507D" w:rsidRDefault="0012421E" w:rsidP="0012421E">
            <w:pPr>
              <w:pStyle w:val="Tabletext"/>
            </w:pPr>
            <w:r w:rsidRPr="0067507D">
              <w:fldChar w:fldCharType="begin"/>
            </w:r>
            <w:r w:rsidRPr="0067507D">
              <w:instrText xml:space="preserve"> PAGEREF AttestationSD3_7_1 \h </w:instrText>
            </w:r>
            <w:r w:rsidRPr="0067507D">
              <w:fldChar w:fldCharType="separate"/>
            </w:r>
            <w:r w:rsidR="008F4C0F">
              <w:rPr>
                <w:noProof/>
              </w:rPr>
              <w:t>155</w:t>
            </w:r>
            <w:r w:rsidRPr="0067507D">
              <w:fldChar w:fldCharType="end"/>
            </w:r>
          </w:p>
        </w:tc>
      </w:tr>
      <w:tr w:rsidR="0012421E" w:rsidRPr="0067507D" w14:paraId="1C22FF6A" w14:textId="77777777" w:rsidTr="003E4E12">
        <w:tc>
          <w:tcPr>
            <w:tcW w:w="1458" w:type="dxa"/>
          </w:tcPr>
          <w:p w14:paraId="33DAA027" w14:textId="77777777" w:rsidR="0012421E" w:rsidRPr="0067507D" w:rsidRDefault="0012421E" w:rsidP="0012421E">
            <w:pPr>
              <w:pStyle w:val="Tabletext"/>
            </w:pPr>
            <w:r w:rsidRPr="0067507D">
              <w:t>SD 5.2.3</w:t>
            </w:r>
          </w:p>
        </w:tc>
        <w:tc>
          <w:tcPr>
            <w:tcW w:w="5760" w:type="dxa"/>
          </w:tcPr>
          <w:p w14:paraId="653ECBDC" w14:textId="77777777" w:rsidR="0012421E" w:rsidRPr="0067507D" w:rsidRDefault="0012421E" w:rsidP="0012421E">
            <w:pPr>
              <w:pStyle w:val="Tabletext"/>
            </w:pPr>
            <w:r w:rsidRPr="0067507D">
              <w:t>Declaration in report of operations</w:t>
            </w:r>
          </w:p>
        </w:tc>
        <w:tc>
          <w:tcPr>
            <w:tcW w:w="1170" w:type="dxa"/>
          </w:tcPr>
          <w:p w14:paraId="351FB301" w14:textId="77777777" w:rsidR="0012421E" w:rsidRPr="0067507D" w:rsidRDefault="0012421E" w:rsidP="0012421E">
            <w:pPr>
              <w:pStyle w:val="Tabletext"/>
            </w:pPr>
            <w:r w:rsidRPr="0067507D">
              <w:t>Contents page</w:t>
            </w:r>
          </w:p>
        </w:tc>
      </w:tr>
      <w:tr w:rsidR="0012421E" w:rsidRPr="0067507D" w14:paraId="60D79412" w14:textId="77777777" w:rsidTr="003E4E12">
        <w:tc>
          <w:tcPr>
            <w:tcW w:w="8388" w:type="dxa"/>
            <w:gridSpan w:val="3"/>
          </w:tcPr>
          <w:p w14:paraId="05AD3504" w14:textId="77777777" w:rsidR="0012421E" w:rsidRPr="0067507D" w:rsidRDefault="0012421E" w:rsidP="0012421E">
            <w:pPr>
              <w:pStyle w:val="Heading3"/>
              <w:pageBreakBefore/>
            </w:pPr>
            <w:r w:rsidRPr="0067507D">
              <w:lastRenderedPageBreak/>
              <w:t>Financial statements</w:t>
            </w:r>
          </w:p>
        </w:tc>
      </w:tr>
      <w:tr w:rsidR="0012421E" w:rsidRPr="0067507D" w14:paraId="0EAEEC43" w14:textId="77777777" w:rsidTr="003E4E12">
        <w:trPr>
          <w:tblHeader/>
        </w:trPr>
        <w:tc>
          <w:tcPr>
            <w:tcW w:w="1458" w:type="dxa"/>
            <w:shd w:val="clear" w:color="auto" w:fill="DDDDDD"/>
          </w:tcPr>
          <w:p w14:paraId="49586A87" w14:textId="77777777" w:rsidR="0012421E" w:rsidRPr="0067507D" w:rsidRDefault="0012421E" w:rsidP="0012421E">
            <w:pPr>
              <w:pStyle w:val="Tabletextheadingleft"/>
              <w:rPr>
                <w:rFonts w:cstheme="minorHAnsi"/>
                <w:sz w:val="17"/>
                <w:szCs w:val="17"/>
              </w:rPr>
            </w:pPr>
            <w:r w:rsidRPr="0067507D">
              <w:rPr>
                <w:rFonts w:cstheme="minorHAnsi"/>
                <w:sz w:val="17"/>
                <w:szCs w:val="17"/>
              </w:rPr>
              <w:t>Direction</w:t>
            </w:r>
          </w:p>
        </w:tc>
        <w:tc>
          <w:tcPr>
            <w:tcW w:w="5760" w:type="dxa"/>
            <w:shd w:val="clear" w:color="auto" w:fill="DDDDDD"/>
          </w:tcPr>
          <w:p w14:paraId="5FFB9DC6" w14:textId="77777777" w:rsidR="0012421E" w:rsidRPr="0067507D" w:rsidRDefault="0012421E" w:rsidP="0012421E">
            <w:pPr>
              <w:pStyle w:val="Tabletextheadingleft"/>
              <w:rPr>
                <w:rFonts w:cstheme="minorHAnsi"/>
                <w:sz w:val="17"/>
                <w:szCs w:val="17"/>
              </w:rPr>
            </w:pPr>
            <w:r w:rsidRPr="0067507D">
              <w:rPr>
                <w:rFonts w:cstheme="minorHAnsi"/>
                <w:sz w:val="17"/>
                <w:szCs w:val="17"/>
              </w:rPr>
              <w:t>Requirement</w:t>
            </w:r>
          </w:p>
        </w:tc>
        <w:tc>
          <w:tcPr>
            <w:tcW w:w="1170" w:type="dxa"/>
            <w:shd w:val="clear" w:color="auto" w:fill="DDDDDD"/>
          </w:tcPr>
          <w:p w14:paraId="52E0A1E0" w14:textId="77777777" w:rsidR="0012421E" w:rsidRPr="0067507D" w:rsidRDefault="0012421E" w:rsidP="00D72684">
            <w:pPr>
              <w:pStyle w:val="Tabletextheadingleft"/>
            </w:pPr>
            <w:r w:rsidRPr="0067507D">
              <w:t>Page reference</w:t>
            </w:r>
          </w:p>
        </w:tc>
      </w:tr>
      <w:tr w:rsidR="0012421E" w:rsidRPr="0067507D" w14:paraId="7070A79F" w14:textId="77777777" w:rsidTr="003E4E12">
        <w:tc>
          <w:tcPr>
            <w:tcW w:w="7218" w:type="dxa"/>
            <w:gridSpan w:val="2"/>
            <w:shd w:val="clear" w:color="auto" w:fill="E6E6E6"/>
          </w:tcPr>
          <w:p w14:paraId="67AA90AB" w14:textId="77777777" w:rsidR="0012421E" w:rsidRPr="0067507D" w:rsidRDefault="0012421E" w:rsidP="00D72684">
            <w:pPr>
              <w:pStyle w:val="Tabletextbold"/>
              <w:rPr>
                <w:rFonts w:cstheme="minorHAnsi"/>
                <w:szCs w:val="20"/>
              </w:rPr>
            </w:pPr>
            <w:r w:rsidRPr="0067507D">
              <w:t>Declaration</w:t>
            </w:r>
          </w:p>
        </w:tc>
        <w:tc>
          <w:tcPr>
            <w:tcW w:w="1170" w:type="dxa"/>
            <w:shd w:val="clear" w:color="auto" w:fill="E6E6E6"/>
          </w:tcPr>
          <w:p w14:paraId="157CD128" w14:textId="77777777" w:rsidR="0012421E" w:rsidRPr="0067507D" w:rsidRDefault="0012421E" w:rsidP="0012421E">
            <w:pPr>
              <w:pStyle w:val="Tabletext"/>
              <w:rPr>
                <w:b/>
              </w:rPr>
            </w:pPr>
          </w:p>
        </w:tc>
      </w:tr>
      <w:tr w:rsidR="0012421E" w:rsidRPr="0067507D" w14:paraId="360716A8" w14:textId="77777777" w:rsidTr="003E4E12">
        <w:tc>
          <w:tcPr>
            <w:tcW w:w="1458" w:type="dxa"/>
          </w:tcPr>
          <w:p w14:paraId="2CDB7287" w14:textId="77777777" w:rsidR="0012421E" w:rsidRPr="0067507D" w:rsidRDefault="0012421E" w:rsidP="0012421E">
            <w:pPr>
              <w:pStyle w:val="Tabletext"/>
            </w:pPr>
            <w:r w:rsidRPr="0067507D">
              <w:t>SD 5.2.2</w:t>
            </w:r>
          </w:p>
        </w:tc>
        <w:tc>
          <w:tcPr>
            <w:tcW w:w="5760" w:type="dxa"/>
          </w:tcPr>
          <w:p w14:paraId="79C570F1" w14:textId="77777777" w:rsidR="0012421E" w:rsidRPr="0067507D" w:rsidRDefault="0012421E" w:rsidP="0012421E">
            <w:pPr>
              <w:pStyle w:val="Tabletext"/>
            </w:pPr>
            <w:r w:rsidRPr="0067507D">
              <w:t>Declaration in financial statements</w:t>
            </w:r>
          </w:p>
        </w:tc>
        <w:tc>
          <w:tcPr>
            <w:tcW w:w="1170" w:type="dxa"/>
          </w:tcPr>
          <w:p w14:paraId="268ACDD4" w14:textId="3EB1E2E3" w:rsidR="0012421E" w:rsidRPr="0067507D" w:rsidRDefault="00691503" w:rsidP="0012421E">
            <w:pPr>
              <w:pStyle w:val="Tabletext"/>
            </w:pPr>
            <w:r w:rsidRPr="0067507D">
              <w:fldChar w:fldCharType="begin"/>
            </w:r>
            <w:r w:rsidRPr="0067507D">
              <w:instrText xml:space="preserve"> PAGEREF AttestationSD3_7_1 \h </w:instrText>
            </w:r>
            <w:r w:rsidRPr="0067507D">
              <w:fldChar w:fldCharType="separate"/>
            </w:r>
            <w:r w:rsidR="008F4C0F">
              <w:rPr>
                <w:noProof/>
              </w:rPr>
              <w:t>155</w:t>
            </w:r>
            <w:r w:rsidRPr="0067507D">
              <w:fldChar w:fldCharType="end"/>
            </w:r>
          </w:p>
        </w:tc>
      </w:tr>
      <w:tr w:rsidR="0012421E" w:rsidRPr="0067507D" w14:paraId="27AFC7A3" w14:textId="77777777" w:rsidTr="003E4E12">
        <w:tc>
          <w:tcPr>
            <w:tcW w:w="7218" w:type="dxa"/>
            <w:gridSpan w:val="2"/>
            <w:shd w:val="clear" w:color="auto" w:fill="E6E6E6"/>
          </w:tcPr>
          <w:p w14:paraId="48FD004D" w14:textId="77777777" w:rsidR="0012421E" w:rsidRPr="0067507D" w:rsidRDefault="0012421E" w:rsidP="00D72684">
            <w:pPr>
              <w:pStyle w:val="Tabletextbold"/>
              <w:rPr>
                <w:rFonts w:cstheme="minorHAnsi"/>
                <w:szCs w:val="20"/>
              </w:rPr>
            </w:pPr>
            <w:r w:rsidRPr="0067507D">
              <w:t>Other requirements under Standing Directions 5.2</w:t>
            </w:r>
          </w:p>
        </w:tc>
        <w:tc>
          <w:tcPr>
            <w:tcW w:w="1170" w:type="dxa"/>
            <w:shd w:val="clear" w:color="auto" w:fill="E6E6E6"/>
          </w:tcPr>
          <w:p w14:paraId="2D015893" w14:textId="77777777" w:rsidR="0012421E" w:rsidRPr="0067507D" w:rsidRDefault="0012421E" w:rsidP="0012421E">
            <w:pPr>
              <w:pStyle w:val="Tabletext"/>
              <w:rPr>
                <w:b/>
              </w:rPr>
            </w:pPr>
          </w:p>
        </w:tc>
      </w:tr>
      <w:tr w:rsidR="002D71D9" w:rsidRPr="0067507D" w14:paraId="4866E89A" w14:textId="77777777" w:rsidTr="003E4E12">
        <w:tc>
          <w:tcPr>
            <w:tcW w:w="1458" w:type="dxa"/>
          </w:tcPr>
          <w:p w14:paraId="1D8A6F97" w14:textId="77777777" w:rsidR="002D71D9" w:rsidRPr="0067507D" w:rsidRDefault="002D71D9" w:rsidP="002D71D9">
            <w:pPr>
              <w:pStyle w:val="Tabletext"/>
            </w:pPr>
            <w:r w:rsidRPr="0067507D">
              <w:t>SD 5.2.1(a)</w:t>
            </w:r>
          </w:p>
        </w:tc>
        <w:tc>
          <w:tcPr>
            <w:tcW w:w="5760" w:type="dxa"/>
          </w:tcPr>
          <w:p w14:paraId="62E7B03F" w14:textId="77777777" w:rsidR="002D71D9" w:rsidRPr="0067507D" w:rsidRDefault="002D71D9" w:rsidP="002D71D9">
            <w:pPr>
              <w:pStyle w:val="Tabletext"/>
            </w:pPr>
            <w:r w:rsidRPr="0067507D">
              <w:t>Compliance with Australian accounting standards and other authoritative pronouncements</w:t>
            </w:r>
          </w:p>
        </w:tc>
        <w:tc>
          <w:tcPr>
            <w:tcW w:w="1170" w:type="dxa"/>
          </w:tcPr>
          <w:p w14:paraId="6D614A29" w14:textId="7DC81F62" w:rsidR="002D71D9" w:rsidRPr="0067507D" w:rsidRDefault="0033595D" w:rsidP="002D71D9">
            <w:pPr>
              <w:pStyle w:val="Tabletext"/>
            </w:pPr>
            <w:r w:rsidRPr="0067507D">
              <w:t>58</w:t>
            </w:r>
          </w:p>
        </w:tc>
      </w:tr>
      <w:tr w:rsidR="001175A3" w:rsidRPr="0067507D" w14:paraId="6E35C1ED" w14:textId="77777777" w:rsidTr="003E4E12">
        <w:tc>
          <w:tcPr>
            <w:tcW w:w="1458" w:type="dxa"/>
          </w:tcPr>
          <w:p w14:paraId="2EF63064" w14:textId="77777777" w:rsidR="001175A3" w:rsidRPr="0067507D" w:rsidRDefault="001175A3" w:rsidP="001175A3">
            <w:pPr>
              <w:pStyle w:val="Tabletext"/>
            </w:pPr>
            <w:r w:rsidRPr="0067507D">
              <w:t>SD 5.2.1(a)</w:t>
            </w:r>
          </w:p>
        </w:tc>
        <w:tc>
          <w:tcPr>
            <w:tcW w:w="5760" w:type="dxa"/>
          </w:tcPr>
          <w:p w14:paraId="35AB3B01" w14:textId="77777777" w:rsidR="001175A3" w:rsidRPr="0067507D" w:rsidRDefault="001175A3" w:rsidP="001175A3">
            <w:pPr>
              <w:pStyle w:val="Tabletext"/>
            </w:pPr>
            <w:r w:rsidRPr="0067507D">
              <w:t>Compliance with Standing Directions</w:t>
            </w:r>
          </w:p>
        </w:tc>
        <w:tc>
          <w:tcPr>
            <w:tcW w:w="1170" w:type="dxa"/>
          </w:tcPr>
          <w:p w14:paraId="05036491" w14:textId="1A6127FA" w:rsidR="001175A3" w:rsidRPr="0067507D" w:rsidRDefault="008F4C0F" w:rsidP="001175A3">
            <w:pPr>
              <w:pStyle w:val="Tabletext"/>
            </w:pPr>
            <w:fldSimple w:instr="PAGEREF  SD5_2  \* MERGEFORMAT">
              <w:r>
                <w:rPr>
                  <w:noProof/>
                </w:rPr>
                <w:t>48</w:t>
              </w:r>
            </w:fldSimple>
          </w:p>
        </w:tc>
      </w:tr>
      <w:tr w:rsidR="001175A3" w:rsidRPr="0067507D" w14:paraId="16196553" w14:textId="77777777" w:rsidTr="003E4E12">
        <w:tc>
          <w:tcPr>
            <w:tcW w:w="1458" w:type="dxa"/>
          </w:tcPr>
          <w:p w14:paraId="1F5D843B" w14:textId="77777777" w:rsidR="001175A3" w:rsidRPr="0067507D" w:rsidRDefault="001175A3" w:rsidP="001175A3">
            <w:pPr>
              <w:pStyle w:val="Tabletext"/>
            </w:pPr>
            <w:r w:rsidRPr="0067507D">
              <w:t>SD 5.2.1(b)</w:t>
            </w:r>
          </w:p>
        </w:tc>
        <w:tc>
          <w:tcPr>
            <w:tcW w:w="5760" w:type="dxa"/>
          </w:tcPr>
          <w:p w14:paraId="61A68AE5" w14:textId="77777777" w:rsidR="001175A3" w:rsidRPr="0067507D" w:rsidRDefault="001175A3" w:rsidP="001175A3">
            <w:pPr>
              <w:pStyle w:val="Tabletext"/>
            </w:pPr>
            <w:r w:rsidRPr="0067507D">
              <w:t>Compliance with Model Financial Report</w:t>
            </w:r>
          </w:p>
        </w:tc>
        <w:tc>
          <w:tcPr>
            <w:tcW w:w="1170" w:type="dxa"/>
          </w:tcPr>
          <w:p w14:paraId="4D2B6DA0" w14:textId="7B042F39" w:rsidR="001175A3" w:rsidRPr="0067507D" w:rsidRDefault="008F4C0F" w:rsidP="001175A3">
            <w:pPr>
              <w:pStyle w:val="Tabletext"/>
            </w:pPr>
            <w:fldSimple w:instr="PAGEREF  SD5_2  \* MERGEFORMAT">
              <w:r>
                <w:rPr>
                  <w:noProof/>
                </w:rPr>
                <w:t>48</w:t>
              </w:r>
            </w:fldSimple>
          </w:p>
        </w:tc>
      </w:tr>
      <w:tr w:rsidR="0012421E" w:rsidRPr="0067507D" w14:paraId="34FA5FBE" w14:textId="77777777" w:rsidTr="003E4E12">
        <w:tc>
          <w:tcPr>
            <w:tcW w:w="7218" w:type="dxa"/>
            <w:gridSpan w:val="2"/>
            <w:shd w:val="clear" w:color="auto" w:fill="E6E6E6"/>
          </w:tcPr>
          <w:p w14:paraId="6750DE97" w14:textId="77777777" w:rsidR="0012421E" w:rsidRPr="0067507D" w:rsidRDefault="0012421E" w:rsidP="00D72684">
            <w:pPr>
              <w:pStyle w:val="Tabletextbold"/>
              <w:rPr>
                <w:rFonts w:cstheme="minorHAnsi"/>
                <w:szCs w:val="20"/>
              </w:rPr>
            </w:pPr>
            <w:r w:rsidRPr="0067507D">
              <w:t>Other disclosures as required by FRDs in notes to the financial statements</w:t>
            </w:r>
          </w:p>
        </w:tc>
        <w:tc>
          <w:tcPr>
            <w:tcW w:w="1170" w:type="dxa"/>
            <w:shd w:val="clear" w:color="auto" w:fill="E6E6E6"/>
          </w:tcPr>
          <w:p w14:paraId="247844F6" w14:textId="77777777" w:rsidR="0012421E" w:rsidRPr="0067507D" w:rsidRDefault="0012421E" w:rsidP="0012421E">
            <w:pPr>
              <w:pStyle w:val="Tabletext"/>
              <w:rPr>
                <w:b/>
              </w:rPr>
            </w:pPr>
          </w:p>
        </w:tc>
      </w:tr>
      <w:tr w:rsidR="00710D1B" w:rsidRPr="0067507D" w14:paraId="24E77097" w14:textId="77777777" w:rsidTr="003E4E12">
        <w:tc>
          <w:tcPr>
            <w:tcW w:w="1458" w:type="dxa"/>
          </w:tcPr>
          <w:p w14:paraId="0437D5B7" w14:textId="77777777" w:rsidR="00710D1B" w:rsidRPr="0067507D" w:rsidRDefault="00710D1B" w:rsidP="00710D1B">
            <w:pPr>
              <w:pStyle w:val="Tabletext"/>
            </w:pPr>
            <w:r w:rsidRPr="0067507D">
              <w:t>FRD</w:t>
            </w:r>
            <w:r w:rsidRPr="0067507D">
              <w:rPr>
                <w:rFonts w:ascii="VIC" w:hAnsi="VIC"/>
              </w:rPr>
              <w:t xml:space="preserve"> </w:t>
            </w:r>
            <w:r w:rsidRPr="0067507D">
              <w:t>9</w:t>
            </w:r>
          </w:p>
        </w:tc>
        <w:tc>
          <w:tcPr>
            <w:tcW w:w="5760" w:type="dxa"/>
          </w:tcPr>
          <w:p w14:paraId="6D0E9137" w14:textId="77777777" w:rsidR="00710D1B" w:rsidRPr="0067507D" w:rsidRDefault="00710D1B" w:rsidP="00710D1B">
            <w:pPr>
              <w:pStyle w:val="Tabletext"/>
            </w:pPr>
            <w:r w:rsidRPr="0067507D">
              <w:t>Departmental disclosure of administered assets and liabilities by activity</w:t>
            </w:r>
          </w:p>
        </w:tc>
        <w:tc>
          <w:tcPr>
            <w:tcW w:w="1170" w:type="dxa"/>
          </w:tcPr>
          <w:p w14:paraId="62E5CC9C" w14:textId="0A9B1401" w:rsidR="00710D1B" w:rsidRPr="0067507D" w:rsidRDefault="004F1240" w:rsidP="00710D1B">
            <w:pPr>
              <w:pStyle w:val="Tabletext"/>
            </w:pPr>
            <w:r w:rsidRPr="0067507D">
              <w:fldChar w:fldCharType="begin"/>
            </w:r>
            <w:r w:rsidRPr="0067507D">
              <w:instrText xml:space="preserve"> PAGEREF Administered_start \h </w:instrText>
            </w:r>
            <w:r w:rsidRPr="0067507D">
              <w:fldChar w:fldCharType="separate"/>
            </w:r>
            <w:r w:rsidR="008F4C0F">
              <w:rPr>
                <w:noProof/>
              </w:rPr>
              <w:t>71</w:t>
            </w:r>
            <w:r w:rsidRPr="0067507D">
              <w:fldChar w:fldCharType="end"/>
            </w:r>
            <w:r w:rsidRPr="0067507D">
              <w:t>–</w:t>
            </w:r>
            <w:r w:rsidRPr="0067507D">
              <w:fldChar w:fldCharType="begin"/>
            </w:r>
            <w:r w:rsidRPr="0067507D">
              <w:instrText xml:space="preserve"> PAGEREF Administered_end \h </w:instrText>
            </w:r>
            <w:r w:rsidRPr="0067507D">
              <w:fldChar w:fldCharType="separate"/>
            </w:r>
            <w:r w:rsidR="008F4C0F">
              <w:rPr>
                <w:noProof/>
              </w:rPr>
              <w:t>76</w:t>
            </w:r>
            <w:r w:rsidRPr="0067507D">
              <w:fldChar w:fldCharType="end"/>
            </w:r>
          </w:p>
        </w:tc>
      </w:tr>
      <w:tr w:rsidR="00710D1B" w:rsidRPr="0067507D" w14:paraId="3185690F" w14:textId="77777777" w:rsidTr="003E4E12">
        <w:tc>
          <w:tcPr>
            <w:tcW w:w="1458" w:type="dxa"/>
          </w:tcPr>
          <w:p w14:paraId="5DD70441" w14:textId="77777777" w:rsidR="00710D1B" w:rsidRPr="0067507D" w:rsidRDefault="00710D1B" w:rsidP="00710D1B">
            <w:pPr>
              <w:pStyle w:val="Tabletext"/>
            </w:pPr>
            <w:r w:rsidRPr="0067507D">
              <w:t>FRD</w:t>
            </w:r>
            <w:r w:rsidRPr="0067507D">
              <w:rPr>
                <w:rFonts w:ascii="VIC" w:hAnsi="VIC"/>
              </w:rPr>
              <w:t xml:space="preserve"> </w:t>
            </w:r>
            <w:r w:rsidRPr="0067507D">
              <w:t>11</w:t>
            </w:r>
          </w:p>
        </w:tc>
        <w:tc>
          <w:tcPr>
            <w:tcW w:w="5760" w:type="dxa"/>
          </w:tcPr>
          <w:p w14:paraId="1CCB22AF" w14:textId="77777777" w:rsidR="00710D1B" w:rsidRPr="0067507D" w:rsidRDefault="00710D1B" w:rsidP="00710D1B">
            <w:pPr>
              <w:pStyle w:val="Tabletext"/>
            </w:pPr>
            <w:r w:rsidRPr="0067507D">
              <w:t>Disclosure of ex gratia expenses</w:t>
            </w:r>
          </w:p>
        </w:tc>
        <w:tc>
          <w:tcPr>
            <w:tcW w:w="1170" w:type="dxa"/>
          </w:tcPr>
          <w:p w14:paraId="37FE4AB9" w14:textId="22EBAADF" w:rsidR="00710D1B" w:rsidRPr="0067507D" w:rsidRDefault="00710D1B" w:rsidP="00710D1B">
            <w:pPr>
              <w:pStyle w:val="Tabletext"/>
            </w:pPr>
            <w:r w:rsidRPr="0067507D">
              <w:t>n/a</w:t>
            </w:r>
          </w:p>
        </w:tc>
      </w:tr>
      <w:tr w:rsidR="00710D1B" w:rsidRPr="0067507D" w14:paraId="635A1674" w14:textId="77777777" w:rsidTr="003E4E12">
        <w:tc>
          <w:tcPr>
            <w:tcW w:w="1458" w:type="dxa"/>
          </w:tcPr>
          <w:p w14:paraId="661C33B9" w14:textId="77777777" w:rsidR="00710D1B" w:rsidRPr="0067507D" w:rsidRDefault="00710D1B" w:rsidP="00710D1B">
            <w:pPr>
              <w:pStyle w:val="Tabletext"/>
            </w:pPr>
            <w:r w:rsidRPr="0067507D">
              <w:t>FRD</w:t>
            </w:r>
            <w:r w:rsidRPr="0067507D">
              <w:rPr>
                <w:rFonts w:ascii="VIC" w:hAnsi="VIC"/>
              </w:rPr>
              <w:t xml:space="preserve"> </w:t>
            </w:r>
            <w:r w:rsidRPr="0067507D">
              <w:t>13</w:t>
            </w:r>
          </w:p>
        </w:tc>
        <w:tc>
          <w:tcPr>
            <w:tcW w:w="5760" w:type="dxa"/>
          </w:tcPr>
          <w:p w14:paraId="62F920CA" w14:textId="4A361DBB" w:rsidR="00CA25B8" w:rsidRPr="0067507D" w:rsidRDefault="00710D1B" w:rsidP="00710D1B">
            <w:pPr>
              <w:pStyle w:val="Tabletext"/>
            </w:pPr>
            <w:r w:rsidRPr="0067507D">
              <w:t>Disclosure of Parliamentary Appropriations</w:t>
            </w:r>
          </w:p>
        </w:tc>
        <w:tc>
          <w:tcPr>
            <w:tcW w:w="1170" w:type="dxa"/>
          </w:tcPr>
          <w:p w14:paraId="0A6BC465" w14:textId="143B76CA" w:rsidR="00710D1B" w:rsidRPr="0067507D" w:rsidRDefault="00651288" w:rsidP="00710D1B">
            <w:pPr>
              <w:pStyle w:val="Tabletext"/>
            </w:pPr>
            <w:r w:rsidRPr="0067507D">
              <w:fldChar w:fldCharType="begin"/>
            </w:r>
            <w:r w:rsidRPr="0067507D">
              <w:instrText xml:space="preserve"> PAGEREF ParlAppropriations \h </w:instrText>
            </w:r>
            <w:r w:rsidRPr="0067507D">
              <w:fldChar w:fldCharType="separate"/>
            </w:r>
            <w:r w:rsidR="008F4C0F">
              <w:rPr>
                <w:noProof/>
              </w:rPr>
              <w:t>59</w:t>
            </w:r>
            <w:r w:rsidRPr="0067507D">
              <w:fldChar w:fldCharType="end"/>
            </w:r>
          </w:p>
        </w:tc>
      </w:tr>
      <w:tr w:rsidR="00710D1B" w:rsidRPr="0067507D" w14:paraId="18D7E152" w14:textId="77777777" w:rsidTr="003E4E12">
        <w:tc>
          <w:tcPr>
            <w:tcW w:w="1458" w:type="dxa"/>
          </w:tcPr>
          <w:p w14:paraId="121C5016" w14:textId="77777777" w:rsidR="00710D1B" w:rsidRPr="0067507D" w:rsidRDefault="00710D1B" w:rsidP="00710D1B">
            <w:pPr>
              <w:pStyle w:val="Tabletext"/>
            </w:pPr>
            <w:r w:rsidRPr="0067507D">
              <w:t>FRD</w:t>
            </w:r>
            <w:r w:rsidRPr="0067507D">
              <w:rPr>
                <w:rFonts w:ascii="VIC" w:hAnsi="VIC"/>
              </w:rPr>
              <w:t xml:space="preserve"> </w:t>
            </w:r>
            <w:r w:rsidRPr="0067507D">
              <w:t>21</w:t>
            </w:r>
          </w:p>
        </w:tc>
        <w:tc>
          <w:tcPr>
            <w:tcW w:w="5760" w:type="dxa"/>
          </w:tcPr>
          <w:p w14:paraId="63391DB4" w14:textId="77777777" w:rsidR="00710D1B" w:rsidRPr="0067507D" w:rsidRDefault="00710D1B" w:rsidP="00710D1B">
            <w:pPr>
              <w:pStyle w:val="Tabletext"/>
            </w:pPr>
            <w:r w:rsidRPr="0067507D">
              <w:t>Disclosures of responsible persons, executive officers and other personnel (contractors with significant management responsibilities) in the financial report</w:t>
            </w:r>
          </w:p>
        </w:tc>
        <w:tc>
          <w:tcPr>
            <w:tcW w:w="1170" w:type="dxa"/>
          </w:tcPr>
          <w:p w14:paraId="213567B2" w14:textId="2F3EF263" w:rsidR="00710D1B" w:rsidRPr="0067507D" w:rsidRDefault="00651288" w:rsidP="00710D1B">
            <w:pPr>
              <w:pStyle w:val="Tabletext"/>
            </w:pPr>
            <w:r w:rsidRPr="0067507D">
              <w:fldChar w:fldCharType="begin"/>
            </w:r>
            <w:r w:rsidRPr="0067507D">
              <w:instrText xml:space="preserve"> PAGEREF Responsible_start \h </w:instrText>
            </w:r>
            <w:r w:rsidRPr="0067507D">
              <w:fldChar w:fldCharType="separate"/>
            </w:r>
            <w:r w:rsidR="008F4C0F">
              <w:rPr>
                <w:noProof/>
              </w:rPr>
              <w:t>96</w:t>
            </w:r>
            <w:r w:rsidRPr="0067507D">
              <w:fldChar w:fldCharType="end"/>
            </w:r>
          </w:p>
        </w:tc>
      </w:tr>
      <w:tr w:rsidR="00710D1B" w:rsidRPr="0067507D" w14:paraId="3BB5A850" w14:textId="77777777" w:rsidTr="003E4E12">
        <w:tc>
          <w:tcPr>
            <w:tcW w:w="1458" w:type="dxa"/>
          </w:tcPr>
          <w:p w14:paraId="2CEBCF79" w14:textId="77777777" w:rsidR="00710D1B" w:rsidRPr="0067507D" w:rsidRDefault="00710D1B" w:rsidP="00710D1B">
            <w:pPr>
              <w:pStyle w:val="Tabletext"/>
            </w:pPr>
            <w:r w:rsidRPr="0067507D">
              <w:t>FRD</w:t>
            </w:r>
            <w:r w:rsidRPr="0067507D">
              <w:rPr>
                <w:rFonts w:ascii="VIC" w:hAnsi="VIC"/>
              </w:rPr>
              <w:t xml:space="preserve"> </w:t>
            </w:r>
            <w:r w:rsidRPr="0067507D">
              <w:t>103</w:t>
            </w:r>
          </w:p>
        </w:tc>
        <w:tc>
          <w:tcPr>
            <w:tcW w:w="5760" w:type="dxa"/>
          </w:tcPr>
          <w:p w14:paraId="6D830FC6" w14:textId="77777777" w:rsidR="00710D1B" w:rsidRPr="0067507D" w:rsidRDefault="00710D1B" w:rsidP="00710D1B">
            <w:pPr>
              <w:pStyle w:val="Tabletext"/>
            </w:pPr>
            <w:r w:rsidRPr="0067507D">
              <w:t>Non</w:t>
            </w:r>
            <w:r w:rsidRPr="0067507D">
              <w:noBreakHyphen/>
              <w:t xml:space="preserve">financial physical assets </w:t>
            </w:r>
          </w:p>
        </w:tc>
        <w:tc>
          <w:tcPr>
            <w:tcW w:w="1170" w:type="dxa"/>
          </w:tcPr>
          <w:p w14:paraId="58010F52" w14:textId="0D9F4B56" w:rsidR="00710D1B" w:rsidRPr="0067507D" w:rsidRDefault="00651288" w:rsidP="00710D1B">
            <w:pPr>
              <w:pStyle w:val="Tabletext"/>
            </w:pPr>
            <w:r w:rsidRPr="0067507D">
              <w:fldChar w:fldCharType="begin"/>
            </w:r>
            <w:r w:rsidRPr="0067507D">
              <w:instrText xml:space="preserve"> PAGEREF Non_financial_physical_assets_start \h </w:instrText>
            </w:r>
            <w:r w:rsidRPr="0067507D">
              <w:fldChar w:fldCharType="separate"/>
            </w:r>
            <w:r w:rsidR="008F4C0F">
              <w:rPr>
                <w:noProof/>
              </w:rPr>
              <w:t>85</w:t>
            </w:r>
            <w:r w:rsidRPr="0067507D">
              <w:fldChar w:fldCharType="end"/>
            </w:r>
            <w:r w:rsidRPr="0067507D">
              <w:t>–</w:t>
            </w:r>
            <w:r w:rsidRPr="0067507D">
              <w:fldChar w:fldCharType="begin"/>
            </w:r>
            <w:r w:rsidRPr="0067507D">
              <w:instrText xml:space="preserve"> PAGEREF Non_financial_physical_assets_end \h </w:instrText>
            </w:r>
            <w:r w:rsidRPr="0067507D">
              <w:fldChar w:fldCharType="separate"/>
            </w:r>
            <w:r w:rsidR="008F4C0F">
              <w:rPr>
                <w:noProof/>
              </w:rPr>
              <w:t>90</w:t>
            </w:r>
            <w:r w:rsidRPr="0067507D">
              <w:fldChar w:fldCharType="end"/>
            </w:r>
          </w:p>
        </w:tc>
      </w:tr>
      <w:tr w:rsidR="00710D1B" w:rsidRPr="0067507D" w14:paraId="48159A39" w14:textId="77777777" w:rsidTr="003E4E12">
        <w:tc>
          <w:tcPr>
            <w:tcW w:w="1458" w:type="dxa"/>
          </w:tcPr>
          <w:p w14:paraId="4306D1A4" w14:textId="77777777" w:rsidR="00710D1B" w:rsidRPr="0067507D" w:rsidRDefault="00710D1B" w:rsidP="00710D1B">
            <w:pPr>
              <w:pStyle w:val="Tabletext"/>
            </w:pPr>
            <w:r w:rsidRPr="0067507D">
              <w:t>FRD</w:t>
            </w:r>
            <w:r w:rsidRPr="0067507D">
              <w:rPr>
                <w:rFonts w:ascii="VIC" w:hAnsi="VIC"/>
              </w:rPr>
              <w:t xml:space="preserve"> </w:t>
            </w:r>
            <w:r w:rsidRPr="0067507D">
              <w:t>110</w:t>
            </w:r>
          </w:p>
        </w:tc>
        <w:tc>
          <w:tcPr>
            <w:tcW w:w="5760" w:type="dxa"/>
          </w:tcPr>
          <w:p w14:paraId="77A54C7A" w14:textId="77777777" w:rsidR="00710D1B" w:rsidRPr="0067507D" w:rsidRDefault="00710D1B" w:rsidP="00710D1B">
            <w:pPr>
              <w:pStyle w:val="Tabletext"/>
            </w:pPr>
            <w:r w:rsidRPr="0067507D">
              <w:t>Cash flow statements</w:t>
            </w:r>
          </w:p>
        </w:tc>
        <w:tc>
          <w:tcPr>
            <w:tcW w:w="1170" w:type="dxa"/>
          </w:tcPr>
          <w:p w14:paraId="1B73E49A" w14:textId="024278D9" w:rsidR="00710D1B" w:rsidRPr="0067507D" w:rsidRDefault="00651288" w:rsidP="00710D1B">
            <w:pPr>
              <w:pStyle w:val="Tabletext"/>
            </w:pPr>
            <w:r w:rsidRPr="0067507D">
              <w:fldChar w:fldCharType="begin"/>
            </w:r>
            <w:r w:rsidRPr="0067507D">
              <w:instrText xml:space="preserve"> PAGEREF CashflowStatement \h </w:instrText>
            </w:r>
            <w:r w:rsidRPr="0067507D">
              <w:fldChar w:fldCharType="separate"/>
            </w:r>
            <w:r w:rsidR="008F4C0F">
              <w:rPr>
                <w:noProof/>
              </w:rPr>
              <w:t>56</w:t>
            </w:r>
            <w:r w:rsidRPr="0067507D">
              <w:fldChar w:fldCharType="end"/>
            </w:r>
          </w:p>
        </w:tc>
      </w:tr>
      <w:tr w:rsidR="00710D1B" w:rsidRPr="0067507D" w14:paraId="04F60FD7" w14:textId="77777777" w:rsidTr="003E4E12">
        <w:tc>
          <w:tcPr>
            <w:tcW w:w="1458" w:type="dxa"/>
          </w:tcPr>
          <w:p w14:paraId="7FCA51F9" w14:textId="77777777" w:rsidR="00710D1B" w:rsidRPr="0067507D" w:rsidRDefault="00710D1B" w:rsidP="00710D1B">
            <w:pPr>
              <w:pStyle w:val="Tabletext"/>
            </w:pPr>
            <w:r w:rsidRPr="0067507D">
              <w:t>FRD</w:t>
            </w:r>
            <w:r w:rsidRPr="0067507D">
              <w:rPr>
                <w:rFonts w:ascii="VIC" w:hAnsi="VIC"/>
              </w:rPr>
              <w:t xml:space="preserve"> </w:t>
            </w:r>
            <w:r w:rsidRPr="0067507D">
              <w:t>112</w:t>
            </w:r>
          </w:p>
        </w:tc>
        <w:tc>
          <w:tcPr>
            <w:tcW w:w="5760" w:type="dxa"/>
          </w:tcPr>
          <w:p w14:paraId="0FB7B26C" w14:textId="77777777" w:rsidR="00710D1B" w:rsidRPr="0067507D" w:rsidRDefault="00710D1B" w:rsidP="00710D1B">
            <w:pPr>
              <w:pStyle w:val="Tabletext"/>
            </w:pPr>
            <w:r w:rsidRPr="0067507D">
              <w:t>Defined benefit superannuation obligations</w:t>
            </w:r>
          </w:p>
        </w:tc>
        <w:tc>
          <w:tcPr>
            <w:tcW w:w="1170" w:type="dxa"/>
          </w:tcPr>
          <w:p w14:paraId="1544A18B" w14:textId="0E84DC12" w:rsidR="006E516A" w:rsidRPr="0067507D" w:rsidRDefault="00651288" w:rsidP="00710D1B">
            <w:pPr>
              <w:pStyle w:val="Tabletext"/>
            </w:pPr>
            <w:r w:rsidRPr="0067507D">
              <w:fldChar w:fldCharType="begin"/>
            </w:r>
            <w:r w:rsidRPr="0067507D">
              <w:instrText xml:space="preserve"> PAGEREF Defined_benefit \h </w:instrText>
            </w:r>
            <w:r w:rsidRPr="0067507D">
              <w:fldChar w:fldCharType="separate"/>
            </w:r>
            <w:r w:rsidR="008F4C0F">
              <w:rPr>
                <w:noProof/>
              </w:rPr>
              <w:t>64</w:t>
            </w:r>
            <w:r w:rsidRPr="0067507D">
              <w:fldChar w:fldCharType="end"/>
            </w:r>
          </w:p>
        </w:tc>
      </w:tr>
      <w:tr w:rsidR="00710D1B" w:rsidRPr="0067507D" w14:paraId="5DEE493A" w14:textId="77777777" w:rsidTr="003E4E12">
        <w:tc>
          <w:tcPr>
            <w:tcW w:w="1458" w:type="dxa"/>
          </w:tcPr>
          <w:p w14:paraId="6ECA6360" w14:textId="77777777" w:rsidR="00710D1B" w:rsidRPr="0067507D" w:rsidRDefault="00710D1B" w:rsidP="00710D1B">
            <w:pPr>
              <w:pStyle w:val="Tabletext"/>
            </w:pPr>
            <w:r w:rsidRPr="0067507D">
              <w:t>FRD 114</w:t>
            </w:r>
          </w:p>
        </w:tc>
        <w:tc>
          <w:tcPr>
            <w:tcW w:w="5760" w:type="dxa"/>
          </w:tcPr>
          <w:p w14:paraId="65534386" w14:textId="4505C456" w:rsidR="00710D1B" w:rsidRPr="0067507D" w:rsidRDefault="00710D1B" w:rsidP="00710D1B">
            <w:pPr>
              <w:pStyle w:val="Tabletext"/>
            </w:pPr>
            <w:r w:rsidRPr="0067507D">
              <w:t>Financial Instruments – general government entities and public non</w:t>
            </w:r>
            <w:r w:rsidRPr="0067507D">
              <w:noBreakHyphen/>
              <w:t>financial corporations</w:t>
            </w:r>
          </w:p>
        </w:tc>
        <w:tc>
          <w:tcPr>
            <w:tcW w:w="1170" w:type="dxa"/>
          </w:tcPr>
          <w:p w14:paraId="46524A04" w14:textId="5AE2057A" w:rsidR="00710D1B" w:rsidRPr="0067507D" w:rsidRDefault="008F4C0F" w:rsidP="00710D1B">
            <w:pPr>
              <w:pStyle w:val="Tabletext"/>
            </w:pPr>
            <w:fldSimple w:instr="PAGEREF  FinancialInstruments  \* MERGEFORMAT">
              <w:r>
                <w:rPr>
                  <w:noProof/>
                </w:rPr>
                <w:t>93</w:t>
              </w:r>
            </w:fldSimple>
          </w:p>
        </w:tc>
      </w:tr>
      <w:tr w:rsidR="00710D1B" w:rsidRPr="0067507D" w14:paraId="1C4A0D6C" w14:textId="77777777" w:rsidTr="003E4E12">
        <w:tc>
          <w:tcPr>
            <w:tcW w:w="7218" w:type="dxa"/>
            <w:gridSpan w:val="2"/>
            <w:shd w:val="clear" w:color="auto" w:fill="E6E6E6"/>
          </w:tcPr>
          <w:p w14:paraId="197C24BE" w14:textId="77777777" w:rsidR="00710D1B" w:rsidRPr="0067507D" w:rsidRDefault="00710D1B" w:rsidP="00710D1B">
            <w:pPr>
              <w:pStyle w:val="Tabletextheadingleft"/>
              <w:rPr>
                <w:rFonts w:cstheme="minorHAnsi"/>
              </w:rPr>
            </w:pPr>
            <w:r w:rsidRPr="0067507D">
              <w:rPr>
                <w:rFonts w:cstheme="minorHAnsi"/>
              </w:rPr>
              <w:t>Legislation</w:t>
            </w:r>
          </w:p>
        </w:tc>
        <w:tc>
          <w:tcPr>
            <w:tcW w:w="1170" w:type="dxa"/>
            <w:shd w:val="clear" w:color="auto" w:fill="E6E6E6"/>
          </w:tcPr>
          <w:p w14:paraId="4A9A4B5D" w14:textId="77777777" w:rsidR="00710D1B" w:rsidRPr="0067507D" w:rsidRDefault="00710D1B" w:rsidP="00D72684">
            <w:pPr>
              <w:pStyle w:val="Tabletextheadingleft"/>
            </w:pPr>
            <w:r w:rsidRPr="0067507D">
              <w:t>Page reference</w:t>
            </w:r>
          </w:p>
        </w:tc>
      </w:tr>
      <w:tr w:rsidR="003B6953" w:rsidRPr="0067507D" w14:paraId="295073B4" w14:textId="77777777" w:rsidTr="003E4E12">
        <w:tc>
          <w:tcPr>
            <w:tcW w:w="7218" w:type="dxa"/>
            <w:gridSpan w:val="2"/>
          </w:tcPr>
          <w:p w14:paraId="5FF1AB85" w14:textId="77777777" w:rsidR="003B6953" w:rsidRPr="0067507D" w:rsidRDefault="003B6953" w:rsidP="003B6953">
            <w:pPr>
              <w:pStyle w:val="Tabletext"/>
              <w:rPr>
                <w:i/>
              </w:rPr>
            </w:pPr>
            <w:r w:rsidRPr="0067507D">
              <w:rPr>
                <w:i/>
              </w:rPr>
              <w:t>Freedom of Information Act 1982</w:t>
            </w:r>
          </w:p>
        </w:tc>
        <w:tc>
          <w:tcPr>
            <w:tcW w:w="1170" w:type="dxa"/>
          </w:tcPr>
          <w:p w14:paraId="554DEB80" w14:textId="0886DE37" w:rsidR="003B6953" w:rsidRPr="0067507D" w:rsidRDefault="003B6953" w:rsidP="003B6953">
            <w:pPr>
              <w:pStyle w:val="Tabletext"/>
            </w:pPr>
            <w:r w:rsidRPr="0067507D">
              <w:fldChar w:fldCharType="begin"/>
            </w:r>
            <w:r w:rsidRPr="0067507D">
              <w:instrText xml:space="preserve"> PAGEREF FOI \h </w:instrText>
            </w:r>
            <w:r w:rsidRPr="0067507D">
              <w:fldChar w:fldCharType="separate"/>
            </w:r>
            <w:r w:rsidR="008F4C0F">
              <w:rPr>
                <w:noProof/>
              </w:rPr>
              <w:t>150</w:t>
            </w:r>
            <w:r w:rsidRPr="0067507D">
              <w:fldChar w:fldCharType="end"/>
            </w:r>
          </w:p>
        </w:tc>
      </w:tr>
      <w:tr w:rsidR="003B6953" w:rsidRPr="0067507D" w14:paraId="565FE9C1" w14:textId="77777777" w:rsidTr="003E4E12">
        <w:tc>
          <w:tcPr>
            <w:tcW w:w="7218" w:type="dxa"/>
            <w:gridSpan w:val="2"/>
          </w:tcPr>
          <w:p w14:paraId="0E7390F1" w14:textId="77777777" w:rsidR="003B6953" w:rsidRPr="0067507D" w:rsidRDefault="003B6953" w:rsidP="003B6953">
            <w:pPr>
              <w:pStyle w:val="Tabletext"/>
              <w:rPr>
                <w:i/>
              </w:rPr>
            </w:pPr>
            <w:r w:rsidRPr="0067507D">
              <w:rPr>
                <w:i/>
              </w:rPr>
              <w:t>Building Act 1993</w:t>
            </w:r>
          </w:p>
        </w:tc>
        <w:tc>
          <w:tcPr>
            <w:tcW w:w="1170" w:type="dxa"/>
          </w:tcPr>
          <w:p w14:paraId="028C2B25" w14:textId="52C69468" w:rsidR="003B6953" w:rsidRPr="0067507D" w:rsidRDefault="0060607E" w:rsidP="003B6953">
            <w:pPr>
              <w:pStyle w:val="Tabletext"/>
            </w:pPr>
            <w:r w:rsidRPr="0067507D">
              <w:t>n/a</w:t>
            </w:r>
          </w:p>
        </w:tc>
      </w:tr>
      <w:tr w:rsidR="003B6953" w:rsidRPr="0067507D" w14:paraId="64A92186" w14:textId="77777777" w:rsidTr="003E4E12">
        <w:tc>
          <w:tcPr>
            <w:tcW w:w="7218" w:type="dxa"/>
            <w:gridSpan w:val="2"/>
          </w:tcPr>
          <w:p w14:paraId="38977D9D" w14:textId="77777777" w:rsidR="003B6953" w:rsidRPr="0067507D" w:rsidRDefault="003B6953" w:rsidP="003B6953">
            <w:pPr>
              <w:pStyle w:val="Tabletext"/>
              <w:rPr>
                <w:i/>
              </w:rPr>
            </w:pPr>
            <w:r w:rsidRPr="0067507D">
              <w:rPr>
                <w:i/>
              </w:rPr>
              <w:t>Public Interest Disclosures Act 2012</w:t>
            </w:r>
          </w:p>
        </w:tc>
        <w:tc>
          <w:tcPr>
            <w:tcW w:w="1170" w:type="dxa"/>
          </w:tcPr>
          <w:p w14:paraId="26BABB1D" w14:textId="764F7262" w:rsidR="003B6953" w:rsidRPr="0067507D" w:rsidRDefault="003B6953" w:rsidP="003B6953">
            <w:pPr>
              <w:pStyle w:val="Tabletext"/>
            </w:pPr>
            <w:r w:rsidRPr="0067507D">
              <w:fldChar w:fldCharType="begin"/>
            </w:r>
            <w:r w:rsidRPr="0067507D">
              <w:instrText xml:space="preserve"> PAGEREF ProtectedDisclosure \h </w:instrText>
            </w:r>
            <w:r w:rsidRPr="0067507D">
              <w:fldChar w:fldCharType="separate"/>
            </w:r>
            <w:r w:rsidR="008F4C0F">
              <w:rPr>
                <w:noProof/>
              </w:rPr>
              <w:t>153</w:t>
            </w:r>
            <w:r w:rsidRPr="0067507D">
              <w:fldChar w:fldCharType="end"/>
            </w:r>
          </w:p>
        </w:tc>
      </w:tr>
      <w:tr w:rsidR="003B6953" w:rsidRPr="0067507D" w14:paraId="784682E1" w14:textId="77777777" w:rsidTr="003E4E12">
        <w:tc>
          <w:tcPr>
            <w:tcW w:w="7218" w:type="dxa"/>
            <w:gridSpan w:val="2"/>
          </w:tcPr>
          <w:p w14:paraId="4777F14A" w14:textId="77777777" w:rsidR="003B6953" w:rsidRPr="0067507D" w:rsidRDefault="003B6953" w:rsidP="003B6953">
            <w:pPr>
              <w:pStyle w:val="Tabletext"/>
              <w:rPr>
                <w:i/>
              </w:rPr>
            </w:pPr>
            <w:r w:rsidRPr="0067507D">
              <w:rPr>
                <w:i/>
              </w:rPr>
              <w:t>Carers Recognition Act 2012</w:t>
            </w:r>
          </w:p>
        </w:tc>
        <w:tc>
          <w:tcPr>
            <w:tcW w:w="1170" w:type="dxa"/>
          </w:tcPr>
          <w:p w14:paraId="5F707507" w14:textId="0163BEFF" w:rsidR="003B6953" w:rsidRPr="0067507D" w:rsidRDefault="003B6953" w:rsidP="003B6953">
            <w:pPr>
              <w:pStyle w:val="Tabletext"/>
            </w:pPr>
            <w:r w:rsidRPr="0067507D">
              <w:t>n/a</w:t>
            </w:r>
          </w:p>
        </w:tc>
      </w:tr>
      <w:tr w:rsidR="003B6953" w:rsidRPr="0067507D" w14:paraId="3881AACD" w14:textId="77777777" w:rsidTr="003E4E12">
        <w:tc>
          <w:tcPr>
            <w:tcW w:w="7218" w:type="dxa"/>
            <w:gridSpan w:val="2"/>
          </w:tcPr>
          <w:p w14:paraId="4417DCD0" w14:textId="77777777" w:rsidR="003B6953" w:rsidRPr="0067507D" w:rsidRDefault="003B6953" w:rsidP="003B6953">
            <w:pPr>
              <w:pStyle w:val="Tabletext"/>
              <w:rPr>
                <w:i/>
              </w:rPr>
            </w:pPr>
            <w:r w:rsidRPr="0067507D">
              <w:rPr>
                <w:i/>
              </w:rPr>
              <w:t>Disability Act 2006</w:t>
            </w:r>
          </w:p>
        </w:tc>
        <w:tc>
          <w:tcPr>
            <w:tcW w:w="1170" w:type="dxa"/>
          </w:tcPr>
          <w:p w14:paraId="627EE0C4" w14:textId="09B12564" w:rsidR="003B6953" w:rsidRPr="0067507D" w:rsidRDefault="003B6953" w:rsidP="003B6953">
            <w:pPr>
              <w:pStyle w:val="Tabletext"/>
            </w:pPr>
            <w:r w:rsidRPr="0067507D">
              <w:t>n/a</w:t>
            </w:r>
          </w:p>
        </w:tc>
      </w:tr>
      <w:tr w:rsidR="003B6953" w:rsidRPr="0067507D" w14:paraId="65FD10DE" w14:textId="77777777" w:rsidTr="003E4E12">
        <w:tc>
          <w:tcPr>
            <w:tcW w:w="7218" w:type="dxa"/>
            <w:gridSpan w:val="2"/>
          </w:tcPr>
          <w:p w14:paraId="61824E04" w14:textId="77777777" w:rsidR="003B6953" w:rsidRPr="0067507D" w:rsidRDefault="003B6953" w:rsidP="003B6953">
            <w:pPr>
              <w:pStyle w:val="Tabletext"/>
              <w:rPr>
                <w:i/>
              </w:rPr>
            </w:pPr>
            <w:r w:rsidRPr="0067507D">
              <w:rPr>
                <w:i/>
              </w:rPr>
              <w:t>Local Jobs First Act 2003</w:t>
            </w:r>
          </w:p>
        </w:tc>
        <w:tc>
          <w:tcPr>
            <w:tcW w:w="1170" w:type="dxa"/>
          </w:tcPr>
          <w:p w14:paraId="5EF7DD99" w14:textId="2A45DF95" w:rsidR="003B6953" w:rsidRPr="0067507D" w:rsidRDefault="003B6953" w:rsidP="003B6953">
            <w:pPr>
              <w:pStyle w:val="Tabletext"/>
            </w:pPr>
            <w:r w:rsidRPr="0067507D">
              <w:fldChar w:fldCharType="begin"/>
            </w:r>
            <w:r w:rsidRPr="0067507D">
              <w:instrText xml:space="preserve"> PAGEREF VIPP \h </w:instrText>
            </w:r>
            <w:r w:rsidRPr="0067507D">
              <w:fldChar w:fldCharType="separate"/>
            </w:r>
            <w:r w:rsidR="008F4C0F">
              <w:rPr>
                <w:noProof/>
              </w:rPr>
              <w:t>141</w:t>
            </w:r>
            <w:r w:rsidRPr="0067507D">
              <w:fldChar w:fldCharType="end"/>
            </w:r>
          </w:p>
        </w:tc>
      </w:tr>
      <w:tr w:rsidR="003B6953" w:rsidRPr="0067507D" w14:paraId="35C0CEED" w14:textId="77777777" w:rsidTr="003E4E12">
        <w:tc>
          <w:tcPr>
            <w:tcW w:w="7218" w:type="dxa"/>
            <w:gridSpan w:val="2"/>
          </w:tcPr>
          <w:p w14:paraId="387D1022" w14:textId="77777777" w:rsidR="003B6953" w:rsidRPr="0067507D" w:rsidRDefault="003B6953" w:rsidP="003B6953">
            <w:pPr>
              <w:pStyle w:val="Tabletext"/>
              <w:rPr>
                <w:i/>
              </w:rPr>
            </w:pPr>
            <w:r w:rsidRPr="0067507D">
              <w:rPr>
                <w:i/>
              </w:rPr>
              <w:t>Financial Management Act 1994</w:t>
            </w:r>
          </w:p>
        </w:tc>
        <w:tc>
          <w:tcPr>
            <w:tcW w:w="1170" w:type="dxa"/>
          </w:tcPr>
          <w:p w14:paraId="30E0A904" w14:textId="532439EF" w:rsidR="003B6953" w:rsidRPr="0067507D" w:rsidRDefault="00D61B14" w:rsidP="00241342">
            <w:pPr>
              <w:pStyle w:val="Tabletext"/>
              <w:rPr>
                <w:bCs/>
              </w:rPr>
            </w:pPr>
            <w:r w:rsidRPr="0067507D">
              <w:fldChar w:fldCharType="begin"/>
            </w:r>
            <w:r w:rsidRPr="0067507D">
              <w:instrText xml:space="preserve"> PAGEREF FMA \h </w:instrText>
            </w:r>
            <w:r w:rsidRPr="0067507D">
              <w:fldChar w:fldCharType="separate"/>
            </w:r>
            <w:r w:rsidR="008F4C0F">
              <w:rPr>
                <w:noProof/>
              </w:rPr>
              <w:t>48</w:t>
            </w:r>
            <w:r w:rsidRPr="0067507D">
              <w:fldChar w:fldCharType="end"/>
            </w:r>
          </w:p>
        </w:tc>
      </w:tr>
    </w:tbl>
    <w:p w14:paraId="67D4AA40" w14:textId="77777777" w:rsidR="00B55191" w:rsidRPr="00031E67" w:rsidRDefault="00B55191" w:rsidP="00B55191"/>
    <w:p w14:paraId="649458B3" w14:textId="77777777" w:rsidR="00B55191" w:rsidRDefault="00B55191" w:rsidP="00B55191">
      <w:pPr>
        <w:sectPr w:rsidR="00B55191" w:rsidSect="00B55191">
          <w:pgSz w:w="11909" w:h="16834" w:code="9"/>
          <w:pgMar w:top="1728" w:right="1152" w:bottom="1267" w:left="1152" w:header="720" w:footer="288" w:gutter="0"/>
          <w:cols w:space="720"/>
          <w:noEndnote/>
        </w:sectPr>
      </w:pPr>
    </w:p>
    <w:p w14:paraId="73A698B5" w14:textId="012D728A" w:rsidR="00B55191" w:rsidRPr="00976A31" w:rsidRDefault="00B55191" w:rsidP="00B55191">
      <w:pPr>
        <w:spacing w:before="160" w:line="192" w:lineRule="auto"/>
        <w:ind w:left="187"/>
        <w:rPr>
          <w:sz w:val="20"/>
        </w:rPr>
      </w:pPr>
      <w:r>
        <w:rPr>
          <w:noProof/>
        </w:rPr>
        <w:lastRenderedPageBreak/>
        <mc:AlternateContent>
          <mc:Choice Requires="wpg">
            <w:drawing>
              <wp:anchor distT="0" distB="0" distL="114300" distR="114300" simplePos="0" relativeHeight="251658242" behindDoc="1" locked="0" layoutInCell="1" allowOverlap="1" wp14:anchorId="593D5854" wp14:editId="195D3E70">
                <wp:simplePos x="0" y="0"/>
                <wp:positionH relativeFrom="margin">
                  <wp:align>center</wp:align>
                </wp:positionH>
                <wp:positionV relativeFrom="paragraph">
                  <wp:posOffset>-531386</wp:posOffset>
                </wp:positionV>
                <wp:extent cx="7595981" cy="6654008"/>
                <wp:effectExtent l="0" t="0" r="5080" b="0"/>
                <wp:wrapNone/>
                <wp:docPr id="510473122" name="Group 5104731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5981" cy="6654008"/>
                          <a:chOff x="0" y="0"/>
                          <a:chExt cx="7532812" cy="6598285"/>
                        </a:xfrm>
                      </wpg:grpSpPr>
                      <wps:wsp>
                        <wps:cNvPr id="1978806353" name="Rectangle 47"/>
                        <wps:cNvSpPr/>
                        <wps:spPr>
                          <a:xfrm>
                            <a:off x="0" y="0"/>
                            <a:ext cx="7526655" cy="6598285"/>
                          </a:xfrm>
                          <a:custGeom>
                            <a:avLst/>
                            <a:gdLst>
                              <a:gd name="connsiteX0" fmla="*/ 0 w 7506268"/>
                              <a:gd name="connsiteY0" fmla="*/ 0 h 6591868"/>
                              <a:gd name="connsiteX1" fmla="*/ 7506268 w 7506268"/>
                              <a:gd name="connsiteY1" fmla="*/ 0 h 6591868"/>
                              <a:gd name="connsiteX2" fmla="*/ 7506268 w 7506268"/>
                              <a:gd name="connsiteY2" fmla="*/ 6591868 h 6591868"/>
                              <a:gd name="connsiteX3" fmla="*/ 0 w 7506268"/>
                              <a:gd name="connsiteY3" fmla="*/ 6591868 h 6591868"/>
                              <a:gd name="connsiteX4" fmla="*/ 0 w 7506268"/>
                              <a:gd name="connsiteY4" fmla="*/ 0 h 6591868"/>
                              <a:gd name="connsiteX0" fmla="*/ 6824 w 7513092"/>
                              <a:gd name="connsiteY0" fmla="*/ 0 h 6591868"/>
                              <a:gd name="connsiteX1" fmla="*/ 7513092 w 7513092"/>
                              <a:gd name="connsiteY1" fmla="*/ 0 h 6591868"/>
                              <a:gd name="connsiteX2" fmla="*/ 7513092 w 7513092"/>
                              <a:gd name="connsiteY2" fmla="*/ 6591868 h 6591868"/>
                              <a:gd name="connsiteX3" fmla="*/ 6824 w 7513092"/>
                              <a:gd name="connsiteY3" fmla="*/ 6591868 h 6591868"/>
                              <a:gd name="connsiteX4" fmla="*/ 0 w 7513092"/>
                              <a:gd name="connsiteY4" fmla="*/ 1767385 h 6591868"/>
                              <a:gd name="connsiteX5" fmla="*/ 6824 w 7513092"/>
                              <a:gd name="connsiteY5" fmla="*/ 0 h 6591868"/>
                              <a:gd name="connsiteX0" fmla="*/ 6824 w 7513092"/>
                              <a:gd name="connsiteY0" fmla="*/ 0 h 6591868"/>
                              <a:gd name="connsiteX1" fmla="*/ 6571397 w 7513092"/>
                              <a:gd name="connsiteY1" fmla="*/ 0 h 6591868"/>
                              <a:gd name="connsiteX2" fmla="*/ 7513092 w 7513092"/>
                              <a:gd name="connsiteY2" fmla="*/ 0 h 6591868"/>
                              <a:gd name="connsiteX3" fmla="*/ 7513092 w 7513092"/>
                              <a:gd name="connsiteY3" fmla="*/ 6591868 h 6591868"/>
                              <a:gd name="connsiteX4" fmla="*/ 6824 w 7513092"/>
                              <a:gd name="connsiteY4" fmla="*/ 6591868 h 6591868"/>
                              <a:gd name="connsiteX5" fmla="*/ 0 w 7513092"/>
                              <a:gd name="connsiteY5" fmla="*/ 1767385 h 6591868"/>
                              <a:gd name="connsiteX6" fmla="*/ 6824 w 7513092"/>
                              <a:gd name="connsiteY6" fmla="*/ 0 h 6591868"/>
                              <a:gd name="connsiteX0" fmla="*/ 6824 w 7513092"/>
                              <a:gd name="connsiteY0" fmla="*/ 0 h 6591868"/>
                              <a:gd name="connsiteX1" fmla="*/ 7513092 w 7513092"/>
                              <a:gd name="connsiteY1" fmla="*/ 0 h 6591868"/>
                              <a:gd name="connsiteX2" fmla="*/ 7513092 w 7513092"/>
                              <a:gd name="connsiteY2" fmla="*/ 6591868 h 6591868"/>
                              <a:gd name="connsiteX3" fmla="*/ 6824 w 7513092"/>
                              <a:gd name="connsiteY3" fmla="*/ 6591868 h 6591868"/>
                              <a:gd name="connsiteX4" fmla="*/ 0 w 7513092"/>
                              <a:gd name="connsiteY4" fmla="*/ 1767385 h 6591868"/>
                              <a:gd name="connsiteX5" fmla="*/ 6824 w 7513092"/>
                              <a:gd name="connsiteY5" fmla="*/ 0 h 6591868"/>
                              <a:gd name="connsiteX0" fmla="*/ 6824 w 7513092"/>
                              <a:gd name="connsiteY0" fmla="*/ 6824 h 6598692"/>
                              <a:gd name="connsiteX1" fmla="*/ 6552670 w 7513092"/>
                              <a:gd name="connsiteY1" fmla="*/ 0 h 6598692"/>
                              <a:gd name="connsiteX2" fmla="*/ 7513092 w 7513092"/>
                              <a:gd name="connsiteY2" fmla="*/ 6824 h 6598692"/>
                              <a:gd name="connsiteX3" fmla="*/ 7513092 w 7513092"/>
                              <a:gd name="connsiteY3" fmla="*/ 6598692 h 6598692"/>
                              <a:gd name="connsiteX4" fmla="*/ 6824 w 7513092"/>
                              <a:gd name="connsiteY4" fmla="*/ 6598692 h 6598692"/>
                              <a:gd name="connsiteX5" fmla="*/ 0 w 7513092"/>
                              <a:gd name="connsiteY5" fmla="*/ 1774209 h 6598692"/>
                              <a:gd name="connsiteX6" fmla="*/ 6824 w 7513092"/>
                              <a:gd name="connsiteY6" fmla="*/ 6824 h 6598692"/>
                              <a:gd name="connsiteX0" fmla="*/ 6824 w 7513092"/>
                              <a:gd name="connsiteY0" fmla="*/ 6824 h 6598692"/>
                              <a:gd name="connsiteX1" fmla="*/ 6552670 w 7513092"/>
                              <a:gd name="connsiteY1" fmla="*/ 0 h 6598692"/>
                              <a:gd name="connsiteX2" fmla="*/ 7513092 w 7513092"/>
                              <a:gd name="connsiteY2" fmla="*/ 6824 h 6598692"/>
                              <a:gd name="connsiteX3" fmla="*/ 7506280 w 7513092"/>
                              <a:gd name="connsiteY3" fmla="*/ 2040340 h 6598692"/>
                              <a:gd name="connsiteX4" fmla="*/ 7513092 w 7513092"/>
                              <a:gd name="connsiteY4" fmla="*/ 6598692 h 6598692"/>
                              <a:gd name="connsiteX5" fmla="*/ 6824 w 7513092"/>
                              <a:gd name="connsiteY5" fmla="*/ 6598692 h 6598692"/>
                              <a:gd name="connsiteX6" fmla="*/ 0 w 7513092"/>
                              <a:gd name="connsiteY6" fmla="*/ 1774209 h 6598692"/>
                              <a:gd name="connsiteX7" fmla="*/ 6824 w 7513092"/>
                              <a:gd name="connsiteY7" fmla="*/ 6824 h 6598692"/>
                              <a:gd name="connsiteX0" fmla="*/ 6824 w 7513092"/>
                              <a:gd name="connsiteY0" fmla="*/ 6824 h 6598692"/>
                              <a:gd name="connsiteX1" fmla="*/ 6552670 w 7513092"/>
                              <a:gd name="connsiteY1" fmla="*/ 0 h 6598692"/>
                              <a:gd name="connsiteX2" fmla="*/ 7513092 w 7513092"/>
                              <a:gd name="connsiteY2" fmla="*/ 6824 h 6598692"/>
                              <a:gd name="connsiteX3" fmla="*/ 7506280 w 7513092"/>
                              <a:gd name="connsiteY3" fmla="*/ 2040340 h 6598692"/>
                              <a:gd name="connsiteX4" fmla="*/ 7513092 w 7513092"/>
                              <a:gd name="connsiteY4" fmla="*/ 6598692 h 6598692"/>
                              <a:gd name="connsiteX5" fmla="*/ 2275043 w 7513092"/>
                              <a:gd name="connsiteY5" fmla="*/ 6591869 h 6598692"/>
                              <a:gd name="connsiteX6" fmla="*/ 6824 w 7513092"/>
                              <a:gd name="connsiteY6" fmla="*/ 6598692 h 6598692"/>
                              <a:gd name="connsiteX7" fmla="*/ 0 w 7513092"/>
                              <a:gd name="connsiteY7" fmla="*/ 1774209 h 6598692"/>
                              <a:gd name="connsiteX8" fmla="*/ 6824 w 7513092"/>
                              <a:gd name="connsiteY8" fmla="*/ 6824 h 6598692"/>
                              <a:gd name="connsiteX0" fmla="*/ 6824 w 7513092"/>
                              <a:gd name="connsiteY0" fmla="*/ 6824 h 6598692"/>
                              <a:gd name="connsiteX1" fmla="*/ 6552670 w 7513092"/>
                              <a:gd name="connsiteY1" fmla="*/ 0 h 6598692"/>
                              <a:gd name="connsiteX2" fmla="*/ 7506280 w 7513092"/>
                              <a:gd name="connsiteY2" fmla="*/ 2040340 h 6598692"/>
                              <a:gd name="connsiteX3" fmla="*/ 7513092 w 7513092"/>
                              <a:gd name="connsiteY3" fmla="*/ 6598692 h 6598692"/>
                              <a:gd name="connsiteX4" fmla="*/ 2275043 w 7513092"/>
                              <a:gd name="connsiteY4" fmla="*/ 6591869 h 6598692"/>
                              <a:gd name="connsiteX5" fmla="*/ 6824 w 7513092"/>
                              <a:gd name="connsiteY5" fmla="*/ 6598692 h 6598692"/>
                              <a:gd name="connsiteX6" fmla="*/ 0 w 7513092"/>
                              <a:gd name="connsiteY6" fmla="*/ 1774209 h 6598692"/>
                              <a:gd name="connsiteX7" fmla="*/ 6824 w 7513092"/>
                              <a:gd name="connsiteY7" fmla="*/ 6824 h 6598692"/>
                              <a:gd name="connsiteX0" fmla="*/ 6824 w 7513092"/>
                              <a:gd name="connsiteY0" fmla="*/ 6824 h 6598692"/>
                              <a:gd name="connsiteX1" fmla="*/ 6552670 w 7513092"/>
                              <a:gd name="connsiteY1" fmla="*/ 0 h 6598692"/>
                              <a:gd name="connsiteX2" fmla="*/ 7506280 w 7513092"/>
                              <a:gd name="connsiteY2" fmla="*/ 2040340 h 6598692"/>
                              <a:gd name="connsiteX3" fmla="*/ 7513092 w 7513092"/>
                              <a:gd name="connsiteY3" fmla="*/ 6598692 h 6598692"/>
                              <a:gd name="connsiteX4" fmla="*/ 2275043 w 7513092"/>
                              <a:gd name="connsiteY4" fmla="*/ 6591869 h 6598692"/>
                              <a:gd name="connsiteX5" fmla="*/ 0 w 7513092"/>
                              <a:gd name="connsiteY5" fmla="*/ 1774209 h 6598692"/>
                              <a:gd name="connsiteX6" fmla="*/ 6824 w 7513092"/>
                              <a:gd name="connsiteY6" fmla="*/ 6824 h 65986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13092" h="6598692">
                                <a:moveTo>
                                  <a:pt x="6824" y="6824"/>
                                </a:moveTo>
                                <a:lnTo>
                                  <a:pt x="6552670" y="0"/>
                                </a:lnTo>
                                <a:lnTo>
                                  <a:pt x="7506280" y="2040340"/>
                                </a:lnTo>
                                <a:cubicBezTo>
                                  <a:pt x="7508551" y="3559791"/>
                                  <a:pt x="7510821" y="5079241"/>
                                  <a:pt x="7513092" y="6598692"/>
                                </a:cubicBezTo>
                                <a:lnTo>
                                  <a:pt x="2275043" y="6591869"/>
                                </a:lnTo>
                                <a:lnTo>
                                  <a:pt x="0" y="1774209"/>
                                </a:lnTo>
                                <a:cubicBezTo>
                                  <a:pt x="2275" y="1185081"/>
                                  <a:pt x="4549" y="595952"/>
                                  <a:pt x="6824" y="6824"/>
                                </a:cubicBezTo>
                                <a:close/>
                              </a:path>
                            </a:pathLst>
                          </a:custGeom>
                          <a:solidFill>
                            <a:srgbClr val="66CEF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385190" name="Rectangle 48"/>
                        <wps:cNvSpPr/>
                        <wps:spPr>
                          <a:xfrm>
                            <a:off x="6561734" y="0"/>
                            <a:ext cx="971078" cy="2073910"/>
                          </a:xfrm>
                          <a:custGeom>
                            <a:avLst/>
                            <a:gdLst>
                              <a:gd name="connsiteX0" fmla="*/ 0 w 962025"/>
                              <a:gd name="connsiteY0" fmla="*/ 0 h 2073910"/>
                              <a:gd name="connsiteX1" fmla="*/ 962025 w 962025"/>
                              <a:gd name="connsiteY1" fmla="*/ 0 h 2073910"/>
                              <a:gd name="connsiteX2" fmla="*/ 962025 w 962025"/>
                              <a:gd name="connsiteY2" fmla="*/ 2073910 h 2073910"/>
                              <a:gd name="connsiteX3" fmla="*/ 0 w 962025"/>
                              <a:gd name="connsiteY3" fmla="*/ 2073910 h 2073910"/>
                              <a:gd name="connsiteX4" fmla="*/ 0 w 962025"/>
                              <a:gd name="connsiteY4" fmla="*/ 0 h 2073910"/>
                              <a:gd name="connsiteX0" fmla="*/ 0 w 962025"/>
                              <a:gd name="connsiteY0" fmla="*/ 0 h 2073910"/>
                              <a:gd name="connsiteX1" fmla="*/ 962025 w 962025"/>
                              <a:gd name="connsiteY1" fmla="*/ 0 h 2073910"/>
                              <a:gd name="connsiteX2" fmla="*/ 962025 w 962025"/>
                              <a:gd name="connsiteY2" fmla="*/ 2073910 h 2073910"/>
                              <a:gd name="connsiteX3" fmla="*/ 0 w 962025"/>
                              <a:gd name="connsiteY3" fmla="*/ 0 h 2073910"/>
                              <a:gd name="connsiteX0" fmla="*/ 0 w 971078"/>
                              <a:gd name="connsiteY0" fmla="*/ 0 h 2073910"/>
                              <a:gd name="connsiteX1" fmla="*/ 971078 w 971078"/>
                              <a:gd name="connsiteY1" fmla="*/ 0 h 2073910"/>
                              <a:gd name="connsiteX2" fmla="*/ 971078 w 971078"/>
                              <a:gd name="connsiteY2" fmla="*/ 2073910 h 2073910"/>
                              <a:gd name="connsiteX3" fmla="*/ 0 w 971078"/>
                              <a:gd name="connsiteY3" fmla="*/ 0 h 2073910"/>
                            </a:gdLst>
                            <a:ahLst/>
                            <a:cxnLst>
                              <a:cxn ang="0">
                                <a:pos x="connsiteX0" y="connsiteY0"/>
                              </a:cxn>
                              <a:cxn ang="0">
                                <a:pos x="connsiteX1" y="connsiteY1"/>
                              </a:cxn>
                              <a:cxn ang="0">
                                <a:pos x="connsiteX2" y="connsiteY2"/>
                              </a:cxn>
                              <a:cxn ang="0">
                                <a:pos x="connsiteX3" y="connsiteY3"/>
                              </a:cxn>
                            </a:cxnLst>
                            <a:rect l="l" t="t" r="r" b="b"/>
                            <a:pathLst>
                              <a:path w="971078" h="2073910">
                                <a:moveTo>
                                  <a:pt x="0" y="0"/>
                                </a:moveTo>
                                <a:lnTo>
                                  <a:pt x="971078" y="0"/>
                                </a:lnTo>
                                <a:lnTo>
                                  <a:pt x="971078" y="2073910"/>
                                </a:lnTo>
                                <a:lnTo>
                                  <a:pt x="0" y="0"/>
                                </a:lnTo>
                                <a:close/>
                              </a:path>
                            </a:pathLst>
                          </a:custGeom>
                          <a:solidFill>
                            <a:srgbClr val="232B3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6345E0E" id="Group 510473122" o:spid="_x0000_s1026" alt="&quot;&quot;" style="position:absolute;margin-left:0;margin-top:-41.85pt;width:598.1pt;height:523.95pt;z-index:-251654144;mso-position-horizontal:center;mso-position-horizontal-relative:margin;mso-width-relative:margin;mso-height-relative:margin" coordsize="75328,65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">
                <v:shape id="Rectangle 47" o:spid="_x0000_s1027" style="position:absolute;width:75266;height:65982;visibility:visible;mso-wrap-style:square;v-text-anchor:middle" coordsize="7513092,6598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" path="m6824,6824l6552670,r953610,2040340c7508551,3559791,7510821,5079241,7513092,6598692r-5238049,-6823l,1774209c2275,1185081,4549,595952,6824,6824xe" fillcolor="#66cef6" stroked="f" strokeweight="2pt">
                  <v:path arrowok="t" o:connecttype="custom" o:connectlocs="6836,6824;6564499,0;7519831,2040214;7526655,6598285;2279150,6591462;0,1774100;6836,6824" o:connectangles="0,0,0,0,0,0,0"/>
                </v:shape>
                <v:shape id="Rectangle 48" o:spid="_x0000_s1028" style="position:absolute;left:65617;width:9711;height:20739;visibility:visible;mso-wrap-style:square;v-text-anchor:middle" coordsize="971078,2073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" path="m,l971078,r,2073910l,xe" fillcolor="#232b39" stroked="f" strokeweight="2pt">
                  <v:path arrowok="t" o:connecttype="custom" o:connectlocs="0,0;971078,0;971078,2073910;0,0" o:connectangles="0,0,0,0"/>
                </v:shape>
                <w10:wrap anchorx="margin"/>
              </v:group>
            </w:pict>
          </mc:Fallback>
        </mc:AlternateContent>
      </w:r>
      <w:r w:rsidRPr="00976A31">
        <w:rPr>
          <w:b/>
          <w:bCs/>
          <w:caps/>
          <w:spacing w:val="4"/>
          <w:sz w:val="20"/>
          <w:szCs w:val="20"/>
        </w:rPr>
        <w:t>202</w:t>
      </w:r>
      <w:r w:rsidR="00134620" w:rsidRPr="00976A31">
        <w:rPr>
          <w:b/>
          <w:bCs/>
          <w:caps/>
          <w:spacing w:val="4"/>
          <w:sz w:val="20"/>
          <w:szCs w:val="20"/>
        </w:rPr>
        <w:t>4</w:t>
      </w:r>
      <w:r w:rsidRPr="00976A31">
        <w:rPr>
          <w:b/>
          <w:bCs/>
          <w:caps/>
          <w:spacing w:val="4"/>
          <w:sz w:val="20"/>
          <w:szCs w:val="20"/>
        </w:rPr>
        <w:t>–2</w:t>
      </w:r>
      <w:r w:rsidR="00134620" w:rsidRPr="00976A31">
        <w:rPr>
          <w:b/>
          <w:bCs/>
          <w:caps/>
          <w:spacing w:val="4"/>
          <w:sz w:val="20"/>
          <w:szCs w:val="20"/>
        </w:rPr>
        <w:t>5</w:t>
      </w:r>
      <w:r w:rsidRPr="00976A31">
        <w:rPr>
          <w:b/>
          <w:bCs/>
          <w:caps/>
          <w:spacing w:val="4"/>
          <w:sz w:val="20"/>
          <w:szCs w:val="20"/>
        </w:rPr>
        <w:t xml:space="preserve"> Annual Report</w:t>
      </w:r>
      <w:r w:rsidRPr="00976A31">
        <w:rPr>
          <w:b/>
          <w:bCs/>
          <w:caps/>
          <w:sz w:val="20"/>
          <w:szCs w:val="20"/>
        </w:rPr>
        <w:br/>
      </w:r>
      <w:r w:rsidRPr="00976A31">
        <w:rPr>
          <w:sz w:val="20"/>
        </w:rPr>
        <w:t>dtf.vic.gov.au</w:t>
      </w:r>
    </w:p>
    <w:p w14:paraId="40CF3715" w14:textId="7CB0D06E" w:rsidR="003838F7" w:rsidRPr="0067507D" w:rsidRDefault="00F16771" w:rsidP="004E29AF">
      <w:r w:rsidRPr="00976DEE">
        <w:rPr>
          <w:noProof/>
        </w:rPr>
        <w:drawing>
          <wp:anchor distT="0" distB="0" distL="114300" distR="114300" simplePos="0" relativeHeight="251658243" behindDoc="0" locked="0" layoutInCell="1" allowOverlap="1" wp14:anchorId="2638F649" wp14:editId="6BDAFD4F">
            <wp:simplePos x="0" y="0"/>
            <wp:positionH relativeFrom="column">
              <wp:posOffset>4489450</wp:posOffset>
            </wp:positionH>
            <wp:positionV relativeFrom="page">
              <wp:posOffset>9747250</wp:posOffset>
            </wp:positionV>
            <wp:extent cx="1755648" cy="521208"/>
            <wp:effectExtent l="0" t="0" r="0" b="0"/>
            <wp:wrapNone/>
            <wp:docPr id="895389322" name="Picture 895389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55648" cy="521208"/>
                    </a:xfrm>
                    <a:prstGeom prst="rect">
                      <a:avLst/>
                    </a:prstGeom>
                  </pic:spPr>
                </pic:pic>
              </a:graphicData>
            </a:graphic>
            <wp14:sizeRelH relativeFrom="margin">
              <wp14:pctWidth>0</wp14:pctWidth>
            </wp14:sizeRelH>
            <wp14:sizeRelV relativeFrom="margin">
              <wp14:pctHeight>0</wp14:pctHeight>
            </wp14:sizeRelV>
          </wp:anchor>
        </w:drawing>
      </w:r>
    </w:p>
    <w:sectPr w:rsidR="003838F7" w:rsidRPr="0067507D" w:rsidSect="005E2D3D">
      <w:footerReference w:type="even" r:id="rId239"/>
      <w:headerReference w:type="first" r:id="rId240"/>
      <w:footerReference w:type="first" r:id="rId241"/>
      <w:pgSz w:w="11906" w:h="16838" w:code="9"/>
      <w:pgMar w:top="1728" w:right="1152" w:bottom="1267" w:left="1152" w:header="720" w:footer="288" w:gutter="0"/>
      <w:cols w:space="929"/>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CE564E" w14:textId="77777777" w:rsidR="00FB74A2" w:rsidRDefault="00FB74A2" w:rsidP="00035D40">
      <w:r>
        <w:separator/>
      </w:r>
    </w:p>
    <w:p w14:paraId="1CD1A317" w14:textId="77777777" w:rsidR="00FB74A2" w:rsidRDefault="00FB74A2"/>
    <w:p w14:paraId="316A5809" w14:textId="77777777" w:rsidR="00FB74A2" w:rsidRDefault="00FB74A2"/>
    <w:p w14:paraId="57C03154" w14:textId="77777777" w:rsidR="00FB74A2" w:rsidRDefault="00FB74A2"/>
    <w:p w14:paraId="0331381D" w14:textId="77777777" w:rsidR="00FB74A2" w:rsidRDefault="00FB74A2"/>
    <w:p w14:paraId="124266C9" w14:textId="77777777" w:rsidR="00FB74A2" w:rsidRDefault="00FB74A2"/>
  </w:endnote>
  <w:endnote w:type="continuationSeparator" w:id="0">
    <w:p w14:paraId="4D35AF30" w14:textId="77777777" w:rsidR="00FB74A2" w:rsidRDefault="00FB74A2" w:rsidP="00035D40">
      <w:r>
        <w:continuationSeparator/>
      </w:r>
    </w:p>
    <w:p w14:paraId="1F8E9776" w14:textId="77777777" w:rsidR="00FB74A2" w:rsidRDefault="00FB74A2"/>
    <w:p w14:paraId="3C55473C" w14:textId="77777777" w:rsidR="00FB74A2" w:rsidRDefault="00FB74A2"/>
    <w:p w14:paraId="2E9A9992" w14:textId="77777777" w:rsidR="00FB74A2" w:rsidRDefault="00FB74A2"/>
    <w:p w14:paraId="7C024888" w14:textId="77777777" w:rsidR="00FB74A2" w:rsidRDefault="00FB74A2"/>
    <w:p w14:paraId="7EA58915" w14:textId="77777777" w:rsidR="00FB74A2" w:rsidRDefault="00FB74A2"/>
  </w:endnote>
  <w:endnote w:type="continuationNotice" w:id="1">
    <w:p w14:paraId="2FDCDF33" w14:textId="77777777" w:rsidR="00FB74A2" w:rsidRDefault="00FB74A2">
      <w:pPr>
        <w:spacing w:before="0" w:after="0"/>
      </w:pPr>
    </w:p>
    <w:p w14:paraId="476B7A19" w14:textId="77777777" w:rsidR="00FB74A2" w:rsidRDefault="00FB74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FA5F569A-B59F-4DD2-B4E1-A963958E4D69}"/>
    <w:embedBold r:id="rId2" w:fontKey="{64ED05B5-3AED-4D15-8080-906A24AF12AB}"/>
    <w:embedItalic r:id="rId3" w:fontKey="{69F92F6B-0C26-4EE5-80EA-8688F88CE85F}"/>
  </w:font>
  <w:font w:name="Aptos">
    <w:charset w:val="00"/>
    <w:family w:val="swiss"/>
    <w:pitch w:val="variable"/>
    <w:sig w:usb0="20000287" w:usb1="00000003" w:usb2="00000000" w:usb3="00000000" w:csb0="0000019F" w:csb1="00000000"/>
    <w:embedRegular r:id="rId4" w:fontKey="{CA38755E-6DE9-436F-943A-6217E061DE2E}"/>
    <w:embedItalic r:id="rId5" w:fontKey="{6B67ADE2-A1C3-4B4E-BF15-759A054B69CB}"/>
  </w:font>
  <w:font w:name="VIC">
    <w:altName w:val="Cambria"/>
    <w:panose1 w:val="00000500000000000000"/>
    <w:charset w:val="00"/>
    <w:family w:val="modern"/>
    <w:notTrueType/>
    <w:pitch w:val="variable"/>
    <w:sig w:usb0="00000007" w:usb1="00000000" w:usb2="00000000" w:usb3="00000000" w:csb0="00000093" w:csb1="00000000"/>
  </w:font>
  <w:font w:name="VIC SemiBold">
    <w:altName w:val="Cambria"/>
    <w:panose1 w:val="00000700000000000000"/>
    <w:charset w:val="00"/>
    <w:family w:val="modern"/>
    <w:notTrueType/>
    <w:pitch w:val="variable"/>
    <w:sig w:usb0="00000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AGaramondPro-Regular">
    <w:altName w:val="HGPMinchoE"/>
    <w:charset w:val="4D"/>
    <w:family w:val="auto"/>
    <w:pitch w:val="default"/>
    <w:sig w:usb0="03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FAA7DF47-E7CA-4365-BFCF-447133E26F24}"/>
    <w:embedBold r:id="rId7" w:fontKey="{AAF9B8C7-704D-4A59-A2CB-C8230BF91716}"/>
  </w:font>
  <w:font w:name="Consolas">
    <w:panose1 w:val="020B0609020204030204"/>
    <w:charset w:val="00"/>
    <w:family w:val="modern"/>
    <w:pitch w:val="fixed"/>
    <w:sig w:usb0="E00006FF" w:usb1="0000FCFF" w:usb2="00000001" w:usb3="00000000" w:csb0="0000019F" w:csb1="00000000"/>
    <w:embedRegular r:id="rId8" w:fontKey="{3C1DAC15-BD65-4242-8CFD-73FAEAC40F38}"/>
  </w:font>
  <w:font w:name="VIC Medium">
    <w:panose1 w:val="00000600000000000000"/>
    <w:charset w:val="00"/>
    <w:family w:val="modern"/>
    <w:notTrueType/>
    <w:pitch w:val="variable"/>
    <w:sig w:usb0="00000007" w:usb1="00000000" w:usb2="00000000" w:usb3="00000000" w:csb0="00000093" w:csb1="00000000"/>
  </w:font>
  <w:font w:name="Helv">
    <w:panose1 w:val="020B0604020202030204"/>
    <w:charset w:val="00"/>
    <w:family w:val="swiss"/>
    <w:pitch w:val="variable"/>
    <w:sig w:usb0="00000003" w:usb1="00000000" w:usb2="00000000" w:usb3="00000000" w:csb0="00000001" w:csb1="00000000"/>
  </w:font>
  <w:font w:name="VIC Light">
    <w:panose1 w:val="00000400000000000000"/>
    <w:charset w:val="00"/>
    <w:family w:val="modern"/>
    <w:notTrueType/>
    <w:pitch w:val="variable"/>
    <w:sig w:usb0="00000007" w:usb1="00000000" w:usb2="00000000" w:usb3="00000000" w:csb0="00000093" w:csb1="00000000"/>
  </w:font>
  <w:font w:name="Times">
    <w:panose1 w:val="02020603050405020304"/>
    <w:charset w:val="00"/>
    <w:family w:val="roman"/>
    <w:pitch w:val="variable"/>
    <w:sig w:usb0="E0002EFF" w:usb1="C000785B" w:usb2="00000009" w:usb3="00000000" w:csb0="000001FF" w:csb1="00000000"/>
    <w:embedRegular r:id="rId9" w:fontKey="{8DBE6C84-9A71-4236-B8CC-9298C10D67B4}"/>
    <w:embedItalic r:id="rId10" w:fontKey="{7148AB3F-67B9-4C33-950C-6DE94E64C011}"/>
  </w:font>
  <w:font w:name="Tahoma">
    <w:panose1 w:val="020B0604030504040204"/>
    <w:charset w:val="00"/>
    <w:family w:val="swiss"/>
    <w:pitch w:val="variable"/>
    <w:sig w:usb0="E1002EFF" w:usb1="C000605B" w:usb2="00000029" w:usb3="00000000" w:csb0="000101FF" w:csb1="00000000"/>
    <w:embedRegular r:id="rId11" w:fontKey="{25AA407E-62C0-4CF7-904A-BCD31663DF71}"/>
    <w:embedItalic r:id="rId12" w:fontKey="{483527EE-1ECD-4831-ADB2-CB9E6C5ADCD9}"/>
  </w:font>
  <w:font w:name="Garamond">
    <w:panose1 w:val="02020404030301010803"/>
    <w:charset w:val="00"/>
    <w:family w:val="roman"/>
    <w:pitch w:val="variable"/>
    <w:sig w:usb0="00000287" w:usb1="00000000" w:usb2="00000000" w:usb3="00000000" w:csb0="0000009F" w:csb1="00000000"/>
    <w:embedRegular r:id="rId13" w:fontKey="{EB020827-7633-4807-914B-6822B480DBBC}"/>
  </w:font>
  <w:font w:name="Cambria Math">
    <w:panose1 w:val="02040503050406030204"/>
    <w:charset w:val="00"/>
    <w:family w:val="roman"/>
    <w:pitch w:val="variable"/>
    <w:sig w:usb0="E00006FF" w:usb1="420024FF" w:usb2="02000000" w:usb3="00000000" w:csb0="0000019F" w:csb1="00000000"/>
    <w:embedRegular r:id="rId14" w:fontKey="{5BBA4C03-FAF8-40C8-91D3-93C38958B5BA}"/>
    <w:embedItalic r:id="rId15" w:fontKey="{52D3130B-BBB9-423B-BF1F-E449324C8455}"/>
  </w:font>
  <w:font w:name="Cambria">
    <w:panose1 w:val="02040503050406030204"/>
    <w:charset w:val="00"/>
    <w:family w:val="roman"/>
    <w:pitch w:val="variable"/>
    <w:sig w:usb0="E00006FF" w:usb1="420024FF" w:usb2="02000000" w:usb3="00000000" w:csb0="0000019F" w:csb1="00000000"/>
    <w:embedRegular r:id="rId16" w:fontKey="{750FB313-88F7-41DC-9DD7-D9998A89BFE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4169D" w14:textId="77777777" w:rsidR="00F74356" w:rsidRPr="00211824" w:rsidRDefault="00F7435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5D16CD" w14:paraId="1D2D38DB" w14:textId="77777777" w:rsidTr="00606921">
      <w:trPr>
        <w:cantSplit/>
      </w:trPr>
      <w:tc>
        <w:tcPr>
          <w:tcW w:w="9220" w:type="dxa"/>
        </w:tcPr>
        <w:p w14:paraId="1EC7CE82" w14:textId="0140FE2C" w:rsidR="005D16CD" w:rsidRPr="001B4BD5" w:rsidRDefault="005D16CD" w:rsidP="005D16CD">
          <w:pPr>
            <w:pStyle w:val="Footer"/>
          </w:pPr>
          <w:r w:rsidRPr="001B4BD5">
            <w:t>Department of Treasury and Finance</w:t>
          </w:r>
          <w:r w:rsidRPr="001B4BD5">
            <w:br/>
          </w:r>
          <w:r w:rsidRPr="00734B39">
            <w:t>Annual</w:t>
          </w:r>
          <w:r>
            <w:t xml:space="preserve"> Report </w:t>
          </w:r>
          <w:r w:rsidR="00C30F42">
            <w:t>2024 | 25</w:t>
          </w:r>
        </w:p>
      </w:tc>
      <w:tc>
        <w:tcPr>
          <w:tcW w:w="810" w:type="dxa"/>
        </w:tcPr>
        <w:p w14:paraId="724A084C" w14:textId="77777777" w:rsidR="005D16CD" w:rsidRPr="00734B39" w:rsidRDefault="005D16CD" w:rsidP="005D16CD">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rPr>
            <w:t>5</w:t>
          </w:r>
          <w:r w:rsidRPr="00734B39">
            <w:rPr>
              <w:rStyle w:val="PageNumber"/>
            </w:rPr>
            <w:fldChar w:fldCharType="end"/>
          </w:r>
        </w:p>
      </w:tc>
    </w:tr>
  </w:tbl>
  <w:p w14:paraId="6AEAFD1A" w14:textId="77777777" w:rsidR="00277465" w:rsidRDefault="00277465" w:rsidP="00606921">
    <w:pPr>
      <w:pStyle w:val="Spac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92"/>
      <w:gridCol w:w="8815"/>
    </w:tblGrid>
    <w:tr w:rsidR="00F354CC" w14:paraId="0A5DF10C" w14:textId="77777777" w:rsidTr="00F610CA">
      <w:trPr>
        <w:cantSplit/>
      </w:trPr>
      <w:tc>
        <w:tcPr>
          <w:tcW w:w="800" w:type="dxa"/>
        </w:tcPr>
        <w:p w14:paraId="10C25A56" w14:textId="77777777" w:rsidR="00F354CC" w:rsidRDefault="00F354CC"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12</w:t>
          </w:r>
          <w:r w:rsidRPr="0018749C">
            <w:rPr>
              <w:rStyle w:val="PageNumber"/>
            </w:rPr>
            <w:fldChar w:fldCharType="end"/>
          </w:r>
        </w:p>
      </w:tc>
      <w:tc>
        <w:tcPr>
          <w:tcW w:w="8918" w:type="dxa"/>
        </w:tcPr>
        <w:p w14:paraId="0B104619" w14:textId="45BF4556" w:rsidR="00F354CC" w:rsidRDefault="00F354CC" w:rsidP="00325C78">
          <w:pPr>
            <w:pStyle w:val="FooterEven"/>
          </w:pPr>
          <w:r w:rsidRPr="009265C5">
            <w:t>Department of Treasur</w:t>
          </w:r>
          <w:r>
            <w:t>y and Finance</w:t>
          </w:r>
          <w:r>
            <w:br/>
          </w:r>
          <w:r w:rsidRPr="00734B39">
            <w:t>Annual</w:t>
          </w:r>
          <w:r>
            <w:t xml:space="preserve"> Report </w:t>
          </w:r>
          <w:r w:rsidR="00C30F42">
            <w:t>2024 | 25</w:t>
          </w:r>
        </w:p>
      </w:tc>
    </w:tr>
  </w:tbl>
  <w:p w14:paraId="50F5032B" w14:textId="77777777" w:rsidR="00F354CC" w:rsidRDefault="00F354CC" w:rsidP="00F610CA">
    <w:pPr>
      <w:pStyle w:val="Spac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F354CC" w14:paraId="4FEB419F" w14:textId="77777777" w:rsidTr="00F610CA">
      <w:trPr>
        <w:cantSplit/>
      </w:trPr>
      <w:tc>
        <w:tcPr>
          <w:tcW w:w="9327" w:type="dxa"/>
        </w:tcPr>
        <w:p w14:paraId="62877018" w14:textId="39E369CF" w:rsidR="00F354CC" w:rsidRPr="001B4BD5" w:rsidRDefault="00F354CC" w:rsidP="00325C78">
          <w:pPr>
            <w:pStyle w:val="Footer"/>
          </w:pPr>
          <w:r w:rsidRPr="001B4BD5">
            <w:t>Department of Treasury and Finance</w:t>
          </w:r>
          <w:r w:rsidRPr="001B4BD5">
            <w:br/>
          </w:r>
          <w:r w:rsidRPr="00734B39">
            <w:t>Annual</w:t>
          </w:r>
          <w:r>
            <w:t xml:space="preserve"> Report </w:t>
          </w:r>
          <w:r w:rsidR="00C30F42">
            <w:t>2024 | 25</w:t>
          </w:r>
        </w:p>
      </w:tc>
      <w:tc>
        <w:tcPr>
          <w:tcW w:w="818" w:type="dxa"/>
        </w:tcPr>
        <w:p w14:paraId="00E44302" w14:textId="77777777" w:rsidR="00F354CC" w:rsidRPr="00734B39" w:rsidRDefault="00F354CC"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11</w:t>
          </w:r>
          <w:r w:rsidRPr="00734B39">
            <w:rPr>
              <w:rStyle w:val="PageNumber"/>
            </w:rPr>
            <w:fldChar w:fldCharType="end"/>
          </w:r>
        </w:p>
      </w:tc>
    </w:tr>
  </w:tbl>
  <w:p w14:paraId="0F415CD0" w14:textId="77777777" w:rsidR="00F354CC" w:rsidRDefault="00F354CC" w:rsidP="00F610CA">
    <w:pPr>
      <w:pStyle w:val="Spac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66"/>
      <w:gridCol w:w="8841"/>
    </w:tblGrid>
    <w:tr w:rsidR="00BA383F" w14:paraId="3758A4DC" w14:textId="77777777">
      <w:trPr>
        <w:cantSplit/>
      </w:trPr>
      <w:tc>
        <w:tcPr>
          <w:tcW w:w="766" w:type="dxa"/>
        </w:tcPr>
        <w:p w14:paraId="6F87EB05" w14:textId="7D354778" w:rsidR="00BA383F" w:rsidRDefault="00BA383F" w:rsidP="00BA383F">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rPr>
            <w:t>2</w:t>
          </w:r>
          <w:r w:rsidRPr="0018749C">
            <w:rPr>
              <w:rStyle w:val="PageNumber"/>
            </w:rPr>
            <w:fldChar w:fldCharType="end"/>
          </w:r>
        </w:p>
      </w:tc>
      <w:tc>
        <w:tcPr>
          <w:tcW w:w="8841" w:type="dxa"/>
        </w:tcPr>
        <w:p w14:paraId="4C501594" w14:textId="2CAC1F7D" w:rsidR="00BA383F" w:rsidRDefault="00BA383F" w:rsidP="00BA383F">
          <w:pPr>
            <w:pStyle w:val="FooterEven"/>
          </w:pPr>
          <w:r w:rsidRPr="009265C5">
            <w:t>Department of Treasur</w:t>
          </w:r>
          <w:r>
            <w:t>y and Finance</w:t>
          </w:r>
          <w:r>
            <w:br/>
          </w:r>
          <w:r w:rsidRPr="00734B39">
            <w:t>Annual</w:t>
          </w:r>
          <w:r>
            <w:t xml:space="preserve"> Report </w:t>
          </w:r>
          <w:r w:rsidR="00C30F42">
            <w:t>2024 | 25</w:t>
          </w:r>
        </w:p>
      </w:tc>
    </w:tr>
  </w:tbl>
  <w:p w14:paraId="5EB95A72" w14:textId="77777777" w:rsidR="00F354CC" w:rsidRDefault="00F354CC" w:rsidP="00F610CA">
    <w:pPr>
      <w:pStyle w:val="Spac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D535FE" w14:paraId="64E87753" w14:textId="77777777">
      <w:trPr>
        <w:cantSplit/>
      </w:trPr>
      <w:tc>
        <w:tcPr>
          <w:tcW w:w="9327" w:type="dxa"/>
        </w:tcPr>
        <w:p w14:paraId="179B907A" w14:textId="67D838EB" w:rsidR="00D535FE" w:rsidRPr="001B4BD5" w:rsidRDefault="00D535FE" w:rsidP="00D535FE">
          <w:pPr>
            <w:pStyle w:val="Footer"/>
          </w:pPr>
          <w:r w:rsidRPr="001B4BD5">
            <w:t>Department of Treasury and Finance</w:t>
          </w:r>
          <w:r w:rsidRPr="001B4BD5">
            <w:br/>
          </w:r>
          <w:r w:rsidRPr="00734B39">
            <w:t>Annual</w:t>
          </w:r>
          <w:r>
            <w:t xml:space="preserve"> Report </w:t>
          </w:r>
          <w:r w:rsidR="00C30F42">
            <w:t>2024 | 25</w:t>
          </w:r>
        </w:p>
      </w:tc>
      <w:tc>
        <w:tcPr>
          <w:tcW w:w="818" w:type="dxa"/>
        </w:tcPr>
        <w:p w14:paraId="460264F9" w14:textId="77777777" w:rsidR="00D535FE" w:rsidRPr="00734B39" w:rsidRDefault="00D535FE" w:rsidP="00D535FE">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rPr>
            <w:t>3</w:t>
          </w:r>
          <w:r w:rsidRPr="00734B39">
            <w:rPr>
              <w:rStyle w:val="PageNumber"/>
            </w:rPr>
            <w:fldChar w:fldCharType="end"/>
          </w:r>
        </w:p>
      </w:tc>
    </w:tr>
  </w:tbl>
  <w:p w14:paraId="5A4164F2" w14:textId="77AB50D2" w:rsidR="00F354CC" w:rsidRDefault="00F354CC" w:rsidP="00F610CA">
    <w:pPr>
      <w:pStyle w:val="Spac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66"/>
      <w:gridCol w:w="8841"/>
    </w:tblGrid>
    <w:tr w:rsidR="000D2ADB" w14:paraId="6C613710" w14:textId="77777777">
      <w:trPr>
        <w:cantSplit/>
      </w:trPr>
      <w:tc>
        <w:tcPr>
          <w:tcW w:w="766" w:type="dxa"/>
        </w:tcPr>
        <w:p w14:paraId="2D78BAC8" w14:textId="77777777" w:rsidR="000D2ADB" w:rsidRDefault="000D2ADB" w:rsidP="000D2ADB">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rPr>
            <w:t>4</w:t>
          </w:r>
          <w:r w:rsidRPr="0018749C">
            <w:rPr>
              <w:rStyle w:val="PageNumber"/>
            </w:rPr>
            <w:fldChar w:fldCharType="end"/>
          </w:r>
        </w:p>
      </w:tc>
      <w:tc>
        <w:tcPr>
          <w:tcW w:w="8841" w:type="dxa"/>
        </w:tcPr>
        <w:p w14:paraId="0BA24C99" w14:textId="130FCD0E" w:rsidR="000D2ADB" w:rsidRDefault="000D2ADB" w:rsidP="000D2ADB">
          <w:pPr>
            <w:pStyle w:val="FooterEven"/>
          </w:pPr>
          <w:r w:rsidRPr="009265C5">
            <w:t>Department of Treasur</w:t>
          </w:r>
          <w:r>
            <w:t>y and Finance</w:t>
          </w:r>
          <w:r>
            <w:br/>
          </w:r>
          <w:r w:rsidRPr="00734B39">
            <w:t>Annual</w:t>
          </w:r>
          <w:r>
            <w:t xml:space="preserve"> Report </w:t>
          </w:r>
          <w:r w:rsidR="00C30F42">
            <w:t>2024 | 25</w:t>
          </w:r>
        </w:p>
      </w:tc>
    </w:tr>
  </w:tbl>
  <w:p w14:paraId="1323DE5A" w14:textId="2D6E63B7" w:rsidR="000D2ADB" w:rsidRDefault="000D2ADB" w:rsidP="000D2ADB">
    <w:pPr>
      <w:pStyle w:val="Spac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F354CC" w14:paraId="4824068C" w14:textId="77777777" w:rsidTr="00F610CA">
      <w:trPr>
        <w:cantSplit/>
      </w:trPr>
      <w:tc>
        <w:tcPr>
          <w:tcW w:w="9327" w:type="dxa"/>
        </w:tcPr>
        <w:p w14:paraId="204EBE62" w14:textId="38BEDDA3" w:rsidR="00F354CC" w:rsidRPr="001B4BD5" w:rsidRDefault="007B4E38" w:rsidP="00325C78">
          <w:pPr>
            <w:pStyle w:val="Footer"/>
          </w:pPr>
          <w:r>
            <w:rPr>
              <w:noProof/>
            </w:rPr>
            <mc:AlternateContent>
              <mc:Choice Requires="wps">
                <w:drawing>
                  <wp:anchor distT="0" distB="0" distL="114300" distR="114300" simplePos="0" relativeHeight="251658264" behindDoc="0" locked="0" layoutInCell="0" allowOverlap="1" wp14:anchorId="59251658" wp14:editId="675F058D">
                    <wp:simplePos x="0" y="9403953"/>
                    <wp:positionH relativeFrom="page">
                      <wp:align>left</wp:align>
                    </wp:positionH>
                    <wp:positionV relativeFrom="page">
                      <wp:align>bottom</wp:align>
                    </wp:positionV>
                    <wp:extent cx="7772400" cy="463550"/>
                    <wp:effectExtent l="0" t="0" r="0" b="12700"/>
                    <wp:wrapNone/>
                    <wp:docPr id="576" name="Text Box 576" descr="{&quot;HashCode&quot;:-1267603503,&quot;Height&quot;:9999999.0,&quot;Width&quot;:9999999.0,&quot;Placement&quot;:&quot;Footer&quot;,&quot;Index&quot;:&quot;Primary&quot;,&quot;Section&quot;:1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9CA69C4" w14:textId="55D1938B" w:rsidR="007B4E38" w:rsidRPr="007B4E38" w:rsidRDefault="007B4E38" w:rsidP="007B4E38">
                                <w:pPr>
                                  <w:spacing w:before="0" w:after="0"/>
                                  <w:rPr>
                                    <w:rFonts w:ascii="Calibri" w:hAnsi="Calibri" w:cs="Calibri"/>
                                    <w:color w:val="000000"/>
                                    <w:sz w:val="22"/>
                                  </w:rPr>
                                </w:pPr>
                                <w:r w:rsidRPr="007B4E38">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9251658" id="_x0000_t202" coordsize="21600,21600" o:spt="202" path="m,l,21600r21600,l21600,xe">
                    <v:stroke joinstyle="miter"/>
                    <v:path gradientshapeok="t" o:connecttype="rect"/>
                  </v:shapetype>
                  <v:shape id="Text Box 576" o:spid="_x0000_s1041" type="#_x0000_t202" alt="{&quot;HashCode&quot;:-1267603503,&quot;Height&quot;:9999999.0,&quot;Width&quot;:9999999.0,&quot;Placement&quot;:&quot;Footer&quot;,&quot;Index&quot;:&quot;Primary&quot;,&quot;Section&quot;:14,&quot;Top&quot;:0.0,&quot;Left&quot;:0.0}" style="position:absolute;left:0;text-align:left;margin-left:0;margin-top:0;width:612pt;height:36.5pt;z-index:251658264;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AqarvttAgAAQAUAAA4AAAAAAAAAAAAAAAAALgIA&#10;AGRycy9lMm9Eb2MueG1sUEsBAi0AFAAGAAgAAAAhAP71jZvaAAAABQEAAA8AAAAAAAAAAAAAAAAA&#10;xwQAAGRycy9kb3ducmV2LnhtbFBLBQYAAAAABAAEAPMAAADOBQAAAAA=&#10;" o:allowincell="f" filled="f" stroked="f" strokeweight=".5pt">
                    <v:textbox inset="20pt,0,,0">
                      <w:txbxContent>
                        <w:p w14:paraId="19CA69C4" w14:textId="55D1938B" w:rsidR="007B4E38" w:rsidRPr="007B4E38" w:rsidRDefault="007B4E38" w:rsidP="007B4E38">
                          <w:pPr>
                            <w:spacing w:before="0" w:after="0"/>
                            <w:rPr>
                              <w:rFonts w:ascii="Calibri" w:hAnsi="Calibri" w:cs="Calibri"/>
                              <w:color w:val="000000"/>
                              <w:sz w:val="22"/>
                            </w:rPr>
                          </w:pPr>
                          <w:r w:rsidRPr="007B4E38">
                            <w:rPr>
                              <w:rFonts w:ascii="Calibri" w:hAnsi="Calibri" w:cs="Calibri"/>
                              <w:color w:val="000000"/>
                              <w:sz w:val="22"/>
                            </w:rPr>
                            <w:t>OFFICIAL</w:t>
                          </w:r>
                        </w:p>
                      </w:txbxContent>
                    </v:textbox>
                    <w10:wrap anchorx="page" anchory="page"/>
                  </v:shape>
                </w:pict>
              </mc:Fallback>
            </mc:AlternateContent>
          </w:r>
          <w:r w:rsidR="003B30BA">
            <w:rPr>
              <w:noProof/>
            </w:rPr>
            <mc:AlternateContent>
              <mc:Choice Requires="wps">
                <w:drawing>
                  <wp:anchor distT="0" distB="0" distL="114300" distR="114300" simplePos="0" relativeHeight="251658260" behindDoc="0" locked="0" layoutInCell="0" allowOverlap="1" wp14:anchorId="4A4074A9" wp14:editId="166E4DF7">
                    <wp:simplePos x="0" y="9403953"/>
                    <wp:positionH relativeFrom="page">
                      <wp:align>left</wp:align>
                    </wp:positionH>
                    <wp:positionV relativeFrom="page">
                      <wp:align>bottom</wp:align>
                    </wp:positionV>
                    <wp:extent cx="7772400" cy="463550"/>
                    <wp:effectExtent l="0" t="0" r="0" b="12700"/>
                    <wp:wrapNone/>
                    <wp:docPr id="25" name="Text Box 25" descr="{&quot;HashCode&quot;:-1267603503,&quot;Height&quot;:9999999.0,&quot;Width&quot;:9999999.0,&quot;Placement&quot;:&quot;Footer&quot;,&quot;Index&quot;:&quot;Primary&quot;,&quot;Section&quot;:1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CD61924" w14:textId="4010DF41" w:rsidR="003B30BA" w:rsidRPr="003B30BA" w:rsidRDefault="003B30BA" w:rsidP="003B30BA">
                                <w:pPr>
                                  <w:spacing w:before="0" w:after="0"/>
                                  <w:rPr>
                                    <w:rFonts w:ascii="Calibri" w:hAnsi="Calibri" w:cs="Calibri"/>
                                    <w:color w:val="000000"/>
                                    <w:sz w:val="22"/>
                                  </w:rPr>
                                </w:pPr>
                                <w:r w:rsidRPr="003B30BA">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4A4074A9" id="Text Box 25" o:spid="_x0000_s1042" type="#_x0000_t202" alt="{&quot;HashCode&quot;:-1267603503,&quot;Height&quot;:9999999.0,&quot;Width&quot;:9999999.0,&quot;Placement&quot;:&quot;Footer&quot;,&quot;Index&quot;:&quot;Primary&quot;,&quot;Section&quot;:14,&quot;Top&quot;:0.0,&quot;Left&quot;:0.0}" style="position:absolute;left:0;text-align:left;margin-left:0;margin-top:0;width:612pt;height:36.5pt;z-index:251658260;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PVQf5VtAgAAQAUAAA4AAAAAAAAAAAAAAAAALgIA&#10;AGRycy9lMm9Eb2MueG1sUEsBAi0AFAAGAAgAAAAhAP71jZvaAAAABQEAAA8AAAAAAAAAAAAAAAAA&#10;xwQAAGRycy9kb3ducmV2LnhtbFBLBQYAAAAABAAEAPMAAADOBQAAAAA=&#10;" o:allowincell="f" filled="f" stroked="f" strokeweight=".5pt">
                    <v:textbox inset="20pt,0,,0">
                      <w:txbxContent>
                        <w:p w14:paraId="5CD61924" w14:textId="4010DF41" w:rsidR="003B30BA" w:rsidRPr="003B30BA" w:rsidRDefault="003B30BA" w:rsidP="003B30BA">
                          <w:pPr>
                            <w:spacing w:before="0" w:after="0"/>
                            <w:rPr>
                              <w:rFonts w:ascii="Calibri" w:hAnsi="Calibri" w:cs="Calibri"/>
                              <w:color w:val="000000"/>
                              <w:sz w:val="22"/>
                            </w:rPr>
                          </w:pPr>
                          <w:r w:rsidRPr="003B30BA">
                            <w:rPr>
                              <w:rFonts w:ascii="Calibri" w:hAnsi="Calibri" w:cs="Calibri"/>
                              <w:color w:val="000000"/>
                              <w:sz w:val="22"/>
                            </w:rPr>
                            <w:t>OFFICIAL</w:t>
                          </w:r>
                        </w:p>
                      </w:txbxContent>
                    </v:textbox>
                    <w10:wrap anchorx="page" anchory="page"/>
                  </v:shape>
                </w:pict>
              </mc:Fallback>
            </mc:AlternateContent>
          </w:r>
          <w:r w:rsidR="008E2AD5">
            <w:rPr>
              <w:noProof/>
            </w:rPr>
            <mc:AlternateContent>
              <mc:Choice Requires="wps">
                <w:drawing>
                  <wp:anchor distT="0" distB="0" distL="114300" distR="114300" simplePos="0" relativeHeight="251658254" behindDoc="0" locked="0" layoutInCell="0" allowOverlap="1" wp14:anchorId="48C15DEE" wp14:editId="24EAB534">
                    <wp:simplePos x="0" y="9403953"/>
                    <wp:positionH relativeFrom="page">
                      <wp:align>left</wp:align>
                    </wp:positionH>
                    <wp:positionV relativeFrom="page">
                      <wp:align>bottom</wp:align>
                    </wp:positionV>
                    <wp:extent cx="7772400" cy="463550"/>
                    <wp:effectExtent l="0" t="0" r="0" b="12700"/>
                    <wp:wrapNone/>
                    <wp:docPr id="21" name="Text Box 21" descr="{&quot;HashCode&quot;:-1267603503,&quot;Height&quot;:9999999.0,&quot;Width&quot;:9999999.0,&quot;Placement&quot;:&quot;Footer&quot;,&quot;Index&quot;:&quot;Primary&quot;,&quot;Section&quot;:1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6DA9D28" w14:textId="7B1E56F1" w:rsidR="008E2AD5" w:rsidRPr="00184306" w:rsidRDefault="008E2AD5" w:rsidP="00184306">
                                <w:pPr>
                                  <w:spacing w:before="0" w:after="0"/>
                                  <w:rPr>
                                    <w:rFonts w:ascii="Calibri" w:hAnsi="Calibri" w:cs="Calibri"/>
                                    <w:color w:val="000000"/>
                                    <w:sz w:val="22"/>
                                  </w:rPr>
                                </w:pPr>
                                <w:r w:rsidRPr="00184306">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48C15DEE" id="Text Box 21" o:spid="_x0000_s1043" type="#_x0000_t202" alt="{&quot;HashCode&quot;:-1267603503,&quot;Height&quot;:9999999.0,&quot;Width&quot;:9999999.0,&quot;Placement&quot;:&quot;Footer&quot;,&quot;Index&quot;:&quot;Primary&quot;,&quot;Section&quot;:13,&quot;Top&quot;:0.0,&quot;Left&quot;:0.0}" style="position:absolute;left:0;text-align:left;margin-left:0;margin-top:0;width:612pt;height:36.5pt;z-index:251658254;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J8UHwZtAgAAQAUAAA4AAAAAAAAAAAAAAAAALgIA&#10;AGRycy9lMm9Eb2MueG1sUEsBAi0AFAAGAAgAAAAhAP71jZvaAAAABQEAAA8AAAAAAAAAAAAAAAAA&#10;xwQAAGRycy9kb3ducmV2LnhtbFBLBQYAAAAABAAEAPMAAADOBQAAAAA=&#10;" o:allowincell="f" filled="f" stroked="f" strokeweight=".5pt">
                    <v:textbox inset="20pt,0,,0">
                      <w:txbxContent>
                        <w:p w14:paraId="46DA9D28" w14:textId="7B1E56F1" w:rsidR="008E2AD5" w:rsidRPr="00184306" w:rsidRDefault="008E2AD5" w:rsidP="00184306">
                          <w:pPr>
                            <w:spacing w:before="0" w:after="0"/>
                            <w:rPr>
                              <w:rFonts w:ascii="Calibri" w:hAnsi="Calibri" w:cs="Calibri"/>
                              <w:color w:val="000000"/>
                              <w:sz w:val="22"/>
                            </w:rPr>
                          </w:pPr>
                          <w:r w:rsidRPr="00184306">
                            <w:rPr>
                              <w:rFonts w:ascii="Calibri" w:hAnsi="Calibri" w:cs="Calibri"/>
                              <w:color w:val="000000"/>
                              <w:sz w:val="22"/>
                            </w:rPr>
                            <w:t>OFFICIAL</w:t>
                          </w:r>
                        </w:p>
                      </w:txbxContent>
                    </v:textbox>
                    <w10:wrap anchorx="page" anchory="page"/>
                  </v:shape>
                </w:pict>
              </mc:Fallback>
            </mc:AlternateContent>
          </w:r>
          <w:r w:rsidR="0009175A">
            <w:rPr>
              <w:noProof/>
            </w:rPr>
            <mc:AlternateContent>
              <mc:Choice Requires="wps">
                <w:drawing>
                  <wp:anchor distT="0" distB="0" distL="114300" distR="114300" simplePos="0" relativeHeight="251658250" behindDoc="0" locked="0" layoutInCell="0" allowOverlap="1" wp14:anchorId="746EC458" wp14:editId="2637CCD5">
                    <wp:simplePos x="0" y="9403953"/>
                    <wp:positionH relativeFrom="page">
                      <wp:align>left</wp:align>
                    </wp:positionH>
                    <wp:positionV relativeFrom="page">
                      <wp:align>bottom</wp:align>
                    </wp:positionV>
                    <wp:extent cx="7772400" cy="463550"/>
                    <wp:effectExtent l="0" t="0" r="0" b="12700"/>
                    <wp:wrapNone/>
                    <wp:docPr id="13" name="Text Box 13" descr="{&quot;HashCode&quot;:-1267603503,&quot;Height&quot;:9999999.0,&quot;Width&quot;:9999999.0,&quot;Placement&quot;:&quot;Footer&quot;,&quot;Index&quot;:&quot;Primary&quot;,&quot;Section&quot;:1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285F144C" w14:textId="110C298D" w:rsidR="0009175A" w:rsidRPr="00184306" w:rsidRDefault="0009175A" w:rsidP="00184306">
                                <w:pPr>
                                  <w:spacing w:before="0" w:after="0"/>
                                  <w:rPr>
                                    <w:rFonts w:ascii="Calibri" w:hAnsi="Calibri" w:cs="Calibri"/>
                                    <w:color w:val="000000"/>
                                    <w:sz w:val="22"/>
                                  </w:rPr>
                                </w:pPr>
                                <w:r w:rsidRPr="00184306">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746EC458" id="Text Box 13" o:spid="_x0000_s1044" type="#_x0000_t202" alt="{&quot;HashCode&quot;:-1267603503,&quot;Height&quot;:9999999.0,&quot;Width&quot;:9999999.0,&quot;Placement&quot;:&quot;Footer&quot;,&quot;Index&quot;:&quot;Primary&quot;,&quot;Section&quot;:13,&quot;Top&quot;:0.0,&quot;Left&quot;:0.0}" style="position:absolute;left:0;text-align:left;margin-left:0;margin-top:0;width:612pt;height:36.5pt;z-index:251658250;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" o:allowincell="f" filled="f" stroked="f" strokeweight=".5pt">
                    <v:textbox inset="20pt,0,,0">
                      <w:txbxContent>
                        <w:p w14:paraId="285F144C" w14:textId="110C298D" w:rsidR="0009175A" w:rsidRPr="00184306" w:rsidRDefault="0009175A" w:rsidP="00184306">
                          <w:pPr>
                            <w:spacing w:before="0" w:after="0"/>
                            <w:rPr>
                              <w:rFonts w:ascii="Calibri" w:hAnsi="Calibri" w:cs="Calibri"/>
                              <w:color w:val="000000"/>
                              <w:sz w:val="22"/>
                            </w:rPr>
                          </w:pPr>
                          <w:r w:rsidRPr="00184306">
                            <w:rPr>
                              <w:rFonts w:ascii="Calibri" w:hAnsi="Calibri" w:cs="Calibri"/>
                              <w:color w:val="000000"/>
                              <w:sz w:val="22"/>
                            </w:rPr>
                            <w:t>OFFICIAL</w:t>
                          </w:r>
                        </w:p>
                      </w:txbxContent>
                    </v:textbox>
                    <w10:wrap anchorx="page" anchory="page"/>
                  </v:shape>
                </w:pict>
              </mc:Fallback>
            </mc:AlternateContent>
          </w:r>
          <w:r w:rsidR="00D349B4">
            <w:rPr>
              <w:noProof/>
            </w:rPr>
            <mc:AlternateContent>
              <mc:Choice Requires="wps">
                <w:drawing>
                  <wp:anchor distT="0" distB="0" distL="114300" distR="114300" simplePos="0" relativeHeight="251658245" behindDoc="0" locked="0" layoutInCell="0" allowOverlap="1" wp14:anchorId="1E69C100" wp14:editId="19E9E111">
                    <wp:simplePos x="0" y="9403953"/>
                    <wp:positionH relativeFrom="page">
                      <wp:align>left</wp:align>
                    </wp:positionH>
                    <wp:positionV relativeFrom="page">
                      <wp:align>bottom</wp:align>
                    </wp:positionV>
                    <wp:extent cx="7772400" cy="463550"/>
                    <wp:effectExtent l="0" t="0" r="0" b="12700"/>
                    <wp:wrapNone/>
                    <wp:docPr id="11" name="Text Box 11" descr="{&quot;HashCode&quot;:-1267603503,&quot;Height&quot;:9999999.0,&quot;Width&quot;:9999999.0,&quot;Placement&quot;:&quot;Footer&quot;,&quot;Index&quot;:&quot;Primary&quot;,&quot;Section&quot;:1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27789F1" w14:textId="397701D6" w:rsidR="00D349B4" w:rsidRPr="00576DB4" w:rsidRDefault="00D349B4" w:rsidP="00576DB4">
                                <w:pPr>
                                  <w:spacing w:before="0" w:after="0"/>
                                  <w:rPr>
                                    <w:rFonts w:ascii="Calibri" w:hAnsi="Calibri" w:cs="Calibri"/>
                                    <w:color w:val="000000"/>
                                    <w:sz w:val="22"/>
                                  </w:rPr>
                                </w:pPr>
                                <w:r w:rsidRPr="00576DB4">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1E69C100" id="Text Box 11" o:spid="_x0000_s1045" type="#_x0000_t202" alt="{&quot;HashCode&quot;:-1267603503,&quot;Height&quot;:9999999.0,&quot;Width&quot;:9999999.0,&quot;Placement&quot;:&quot;Footer&quot;,&quot;Index&quot;:&quot;Primary&quot;,&quot;Section&quot;:13,&quot;Top&quot;:0.0,&quot;Left&quot;:0.0}" style="position:absolute;left:0;text-align:left;margin-left:0;margin-top:0;width:612pt;height:36.5pt;z-index:251658245;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Le3mJttAgAAQAUAAA4AAAAAAAAAAAAAAAAALgIA&#10;AGRycy9lMm9Eb2MueG1sUEsBAi0AFAAGAAgAAAAhAP71jZvaAAAABQEAAA8AAAAAAAAAAAAAAAAA&#10;xwQAAGRycy9kb3ducmV2LnhtbFBLBQYAAAAABAAEAPMAAADOBQAAAAA=&#10;" o:allowincell="f" filled="f" stroked="f" strokeweight=".5pt">
                    <v:textbox inset="20pt,0,,0">
                      <w:txbxContent>
                        <w:p w14:paraId="127789F1" w14:textId="397701D6" w:rsidR="00D349B4" w:rsidRPr="00576DB4" w:rsidRDefault="00D349B4" w:rsidP="00576DB4">
                          <w:pPr>
                            <w:spacing w:before="0" w:after="0"/>
                            <w:rPr>
                              <w:rFonts w:ascii="Calibri" w:hAnsi="Calibri" w:cs="Calibri"/>
                              <w:color w:val="000000"/>
                              <w:sz w:val="22"/>
                            </w:rPr>
                          </w:pPr>
                          <w:r w:rsidRPr="00576DB4">
                            <w:rPr>
                              <w:rFonts w:ascii="Calibri" w:hAnsi="Calibri" w:cs="Calibri"/>
                              <w:color w:val="000000"/>
                              <w:sz w:val="22"/>
                            </w:rPr>
                            <w:t>OFFICIAL</w:t>
                          </w:r>
                        </w:p>
                      </w:txbxContent>
                    </v:textbox>
                    <w10:wrap anchorx="page" anchory="page"/>
                  </v:shape>
                </w:pict>
              </mc:Fallback>
            </mc:AlternateContent>
          </w:r>
          <w:r w:rsidR="00F354CC" w:rsidRPr="001B4BD5">
            <w:t>Department of Treasury and Finance</w:t>
          </w:r>
          <w:r w:rsidR="00F354CC" w:rsidRPr="001B4BD5">
            <w:br/>
          </w:r>
          <w:r w:rsidR="004147BB">
            <w:t xml:space="preserve">Annual Report </w:t>
          </w:r>
          <w:r w:rsidR="00C30F42">
            <w:t>2024 | 25</w:t>
          </w:r>
        </w:p>
      </w:tc>
      <w:tc>
        <w:tcPr>
          <w:tcW w:w="818" w:type="dxa"/>
        </w:tcPr>
        <w:p w14:paraId="07EA71FF" w14:textId="77777777" w:rsidR="00F354CC" w:rsidRPr="00734B39" w:rsidRDefault="00F354CC"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11</w:t>
          </w:r>
          <w:r w:rsidRPr="00734B39">
            <w:rPr>
              <w:rStyle w:val="PageNumber"/>
            </w:rPr>
            <w:fldChar w:fldCharType="end"/>
          </w:r>
        </w:p>
      </w:tc>
    </w:tr>
  </w:tbl>
  <w:p w14:paraId="291C0A91" w14:textId="77777777" w:rsidR="00F354CC" w:rsidRDefault="00F354CC" w:rsidP="00F610CA">
    <w:pPr>
      <w:pStyle w:val="Spac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C673A" w14:textId="60AD442F" w:rsidR="00F354CC" w:rsidRDefault="008E2AD5">
    <w:pPr>
      <w:pStyle w:val="Footer"/>
    </w:pPr>
    <w:r>
      <w:rPr>
        <w:noProof/>
      </w:rPr>
      <mc:AlternateContent>
        <mc:Choice Requires="wps">
          <w:drawing>
            <wp:anchor distT="0" distB="0" distL="114300" distR="114300" simplePos="0" relativeHeight="251658255" behindDoc="0" locked="0" layoutInCell="0" allowOverlap="1" wp14:anchorId="28FE4647" wp14:editId="5F2AE571">
              <wp:simplePos x="0" y="9403953"/>
              <wp:positionH relativeFrom="page">
                <wp:align>left</wp:align>
              </wp:positionH>
              <wp:positionV relativeFrom="page">
                <wp:align>bottom</wp:align>
              </wp:positionV>
              <wp:extent cx="7772400" cy="463550"/>
              <wp:effectExtent l="0" t="0" r="0" b="12700"/>
              <wp:wrapNone/>
              <wp:docPr id="22" name="Text Box 22" descr="{&quot;HashCode&quot;:-1267603503,&quot;Height&quot;:9999999.0,&quot;Width&quot;:9999999.0,&quot;Placement&quot;:&quot;Footer&quot;,&quot;Index&quot;:&quot;FirstPage&quot;,&quot;Section&quot;:1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75C20FB" w14:textId="16E5461C" w:rsidR="008E2AD5" w:rsidRPr="00184306" w:rsidRDefault="008E2AD5" w:rsidP="00184306">
                          <w:pPr>
                            <w:spacing w:before="0" w:after="0"/>
                            <w:rPr>
                              <w:rFonts w:ascii="Calibri" w:hAnsi="Calibri" w:cs="Calibri"/>
                              <w:color w:val="000000"/>
                              <w:sz w:val="22"/>
                            </w:rPr>
                          </w:pPr>
                          <w:r w:rsidRPr="00184306">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28FE4647" id="_x0000_t202" coordsize="21600,21600" o:spt="202" path="m,l,21600r21600,l21600,xe">
              <v:stroke joinstyle="miter"/>
              <v:path gradientshapeok="t" o:connecttype="rect"/>
            </v:shapetype>
            <v:shape id="Text Box 22" o:spid="_x0000_s1046" type="#_x0000_t202" alt="{&quot;HashCode&quot;:-1267603503,&quot;Height&quot;:9999999.0,&quot;Width&quot;:9999999.0,&quot;Placement&quot;:&quot;Footer&quot;,&quot;Index&quot;:&quot;FirstPage&quot;,&quot;Section&quot;:13,&quot;Top&quot;:0.0,&quot;Left&quot;:0.0}" style="position:absolute;left:0;text-align:left;margin-left:0;margin-top:0;width:612pt;height:36.5pt;z-index:251658255;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" o:allowincell="f" filled="f" stroked="f" strokeweight=".5pt">
              <v:textbox inset="20pt,0,,0">
                <w:txbxContent>
                  <w:p w14:paraId="675C20FB" w14:textId="16E5461C" w:rsidR="008E2AD5" w:rsidRPr="00184306" w:rsidRDefault="008E2AD5" w:rsidP="00184306">
                    <w:pPr>
                      <w:spacing w:before="0" w:after="0"/>
                      <w:rPr>
                        <w:rFonts w:ascii="Calibri" w:hAnsi="Calibri" w:cs="Calibri"/>
                        <w:color w:val="000000"/>
                        <w:sz w:val="22"/>
                      </w:rPr>
                    </w:pPr>
                    <w:r w:rsidRPr="00184306">
                      <w:rPr>
                        <w:rFonts w:ascii="Calibri" w:hAnsi="Calibri" w:cs="Calibri"/>
                        <w:color w:val="000000"/>
                        <w:sz w:val="22"/>
                      </w:rPr>
                      <w:t>OFFICIAL</w:t>
                    </w:r>
                  </w:p>
                </w:txbxContent>
              </v:textbox>
              <w10:wrap anchorx="page" anchory="page"/>
            </v:shape>
          </w:pict>
        </mc:Fallback>
      </mc:AlternateContent>
    </w:r>
    <w:r w:rsidR="0009175A">
      <w:rPr>
        <w:noProof/>
      </w:rPr>
      <mc:AlternateContent>
        <mc:Choice Requires="wps">
          <w:drawing>
            <wp:anchor distT="0" distB="0" distL="114300" distR="114300" simplePos="0" relativeHeight="251658251" behindDoc="0" locked="0" layoutInCell="0" allowOverlap="1" wp14:anchorId="7F42A5F8" wp14:editId="30DBBA3D">
              <wp:simplePos x="0" y="9403953"/>
              <wp:positionH relativeFrom="page">
                <wp:align>left</wp:align>
              </wp:positionH>
              <wp:positionV relativeFrom="page">
                <wp:align>bottom</wp:align>
              </wp:positionV>
              <wp:extent cx="7772400" cy="463550"/>
              <wp:effectExtent l="0" t="0" r="0" b="12700"/>
              <wp:wrapNone/>
              <wp:docPr id="14" name="Text Box 14" descr="{&quot;HashCode&quot;:-1267603503,&quot;Height&quot;:9999999.0,&quot;Width&quot;:9999999.0,&quot;Placement&quot;:&quot;Footer&quot;,&quot;Index&quot;:&quot;FirstPage&quot;,&quot;Section&quot;:1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77F1088" w14:textId="2E019082" w:rsidR="0009175A" w:rsidRPr="00184306" w:rsidRDefault="0009175A" w:rsidP="00184306">
                          <w:pPr>
                            <w:spacing w:before="0" w:after="0"/>
                            <w:rPr>
                              <w:rFonts w:ascii="Calibri" w:hAnsi="Calibri" w:cs="Calibri"/>
                              <w:color w:val="000000"/>
                              <w:sz w:val="22"/>
                            </w:rPr>
                          </w:pPr>
                          <w:r w:rsidRPr="00184306">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7F42A5F8" id="Text Box 14" o:spid="_x0000_s1047" type="#_x0000_t202" alt="{&quot;HashCode&quot;:-1267603503,&quot;Height&quot;:9999999.0,&quot;Width&quot;:9999999.0,&quot;Placement&quot;:&quot;Footer&quot;,&quot;Index&quot;:&quot;FirstPage&quot;,&quot;Section&quot;:13,&quot;Top&quot;:0.0,&quot;Left&quot;:0.0}" style="position:absolute;left:0;text-align:left;margin-left:0;margin-top:0;width:612pt;height:36.5pt;z-index:251658251;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Ca/0PZtAgAAQAUAAA4AAAAAAAAAAAAAAAAALgIA&#10;AGRycy9lMm9Eb2MueG1sUEsBAi0AFAAGAAgAAAAhAP71jZvaAAAABQEAAA8AAAAAAAAAAAAAAAAA&#10;xwQAAGRycy9kb3ducmV2LnhtbFBLBQYAAAAABAAEAPMAAADOBQAAAAA=&#10;" o:allowincell="f" filled="f" stroked="f" strokeweight=".5pt">
              <v:textbox inset="20pt,0,,0">
                <w:txbxContent>
                  <w:p w14:paraId="677F1088" w14:textId="2E019082" w:rsidR="0009175A" w:rsidRPr="00184306" w:rsidRDefault="0009175A" w:rsidP="00184306">
                    <w:pPr>
                      <w:spacing w:before="0" w:after="0"/>
                      <w:rPr>
                        <w:rFonts w:ascii="Calibri" w:hAnsi="Calibri" w:cs="Calibri"/>
                        <w:color w:val="000000"/>
                        <w:sz w:val="22"/>
                      </w:rPr>
                    </w:pPr>
                    <w:r w:rsidRPr="00184306">
                      <w:rPr>
                        <w:rFonts w:ascii="Calibri" w:hAnsi="Calibri" w:cs="Calibri"/>
                        <w:color w:val="000000"/>
                        <w:sz w:val="22"/>
                      </w:rPr>
                      <w:t>OFFICIAL</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92"/>
      <w:gridCol w:w="8815"/>
    </w:tblGrid>
    <w:tr w:rsidR="005E6D06" w14:paraId="08F2C876" w14:textId="77777777" w:rsidTr="00F610CA">
      <w:trPr>
        <w:cantSplit/>
      </w:trPr>
      <w:tc>
        <w:tcPr>
          <w:tcW w:w="800" w:type="dxa"/>
        </w:tcPr>
        <w:p w14:paraId="2B75F11F" w14:textId="316B112D" w:rsidR="005E6D06" w:rsidRDefault="005E6D06"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12</w:t>
          </w:r>
          <w:r w:rsidRPr="0018749C">
            <w:rPr>
              <w:rStyle w:val="PageNumber"/>
            </w:rPr>
            <w:fldChar w:fldCharType="end"/>
          </w:r>
        </w:p>
      </w:tc>
      <w:tc>
        <w:tcPr>
          <w:tcW w:w="8918" w:type="dxa"/>
        </w:tcPr>
        <w:p w14:paraId="66AFFFBC" w14:textId="0A2FB726" w:rsidR="005E6D06" w:rsidRDefault="005E6D06" w:rsidP="00325C78">
          <w:pPr>
            <w:pStyle w:val="FooterEven"/>
          </w:pPr>
          <w:r w:rsidRPr="009265C5">
            <w:t>Department of Treasur</w:t>
          </w:r>
          <w:r>
            <w:t>y and Finance</w:t>
          </w:r>
          <w:r>
            <w:br/>
          </w:r>
          <w:r w:rsidRPr="00734B39">
            <w:t>Annual</w:t>
          </w:r>
          <w:r>
            <w:t xml:space="preserve"> Report </w:t>
          </w:r>
          <w:r w:rsidR="00C30F42">
            <w:t>2024 | 25</w:t>
          </w:r>
        </w:p>
      </w:tc>
    </w:tr>
  </w:tbl>
  <w:p w14:paraId="6500FF54" w14:textId="77777777" w:rsidR="005E6D06" w:rsidRDefault="005E6D06" w:rsidP="00F610CA">
    <w:pPr>
      <w:pStyle w:val="Spac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5E6D06" w14:paraId="6A013D0A" w14:textId="77777777" w:rsidTr="00F610CA">
      <w:trPr>
        <w:cantSplit/>
      </w:trPr>
      <w:tc>
        <w:tcPr>
          <w:tcW w:w="9327" w:type="dxa"/>
        </w:tcPr>
        <w:p w14:paraId="0581D60B" w14:textId="7158592B" w:rsidR="005E6D06" w:rsidRPr="001B4BD5" w:rsidRDefault="005E6D06" w:rsidP="00325C78">
          <w:pPr>
            <w:pStyle w:val="Footer"/>
          </w:pPr>
          <w:r w:rsidRPr="001B4BD5">
            <w:t>Department of Treasury and Finance</w:t>
          </w:r>
          <w:r w:rsidRPr="001B4BD5">
            <w:br/>
          </w:r>
          <w:r w:rsidRPr="00734B39">
            <w:t>Annual</w:t>
          </w:r>
          <w:r>
            <w:t xml:space="preserve"> Report </w:t>
          </w:r>
          <w:r w:rsidR="00C30F42">
            <w:t>2024 | 25</w:t>
          </w:r>
        </w:p>
      </w:tc>
      <w:tc>
        <w:tcPr>
          <w:tcW w:w="818" w:type="dxa"/>
        </w:tcPr>
        <w:p w14:paraId="60FD21A9" w14:textId="77777777" w:rsidR="005E6D06" w:rsidRPr="00734B39" w:rsidRDefault="005E6D06"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11</w:t>
          </w:r>
          <w:r w:rsidRPr="00734B39">
            <w:rPr>
              <w:rStyle w:val="PageNumber"/>
            </w:rPr>
            <w:fldChar w:fldCharType="end"/>
          </w:r>
        </w:p>
      </w:tc>
    </w:tr>
  </w:tbl>
  <w:p w14:paraId="4C8F9102" w14:textId="77777777" w:rsidR="005E6D06" w:rsidRDefault="005E6D06" w:rsidP="00F610CA">
    <w:pPr>
      <w:pStyle w:val="Spac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9B377" w14:textId="77777777" w:rsidR="00F74356" w:rsidRDefault="00F74356">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FB811" w14:textId="77777777" w:rsidR="005E6D06" w:rsidRDefault="005E6D06">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5E6D06" w14:paraId="493AC526" w14:textId="77777777" w:rsidTr="00F610CA">
      <w:trPr>
        <w:cantSplit/>
      </w:trPr>
      <w:tc>
        <w:tcPr>
          <w:tcW w:w="800" w:type="dxa"/>
        </w:tcPr>
        <w:p w14:paraId="6AA196DF" w14:textId="77777777" w:rsidR="005E6D06" w:rsidRDefault="005E6D06"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28</w:t>
          </w:r>
          <w:r w:rsidRPr="0018749C">
            <w:rPr>
              <w:rStyle w:val="PageNumber"/>
            </w:rPr>
            <w:fldChar w:fldCharType="end"/>
          </w:r>
        </w:p>
      </w:tc>
      <w:tc>
        <w:tcPr>
          <w:tcW w:w="8918" w:type="dxa"/>
        </w:tcPr>
        <w:p w14:paraId="5425CD1D" w14:textId="6E7AD36C" w:rsidR="005E6D06" w:rsidRDefault="005E6D06" w:rsidP="00325C78">
          <w:pPr>
            <w:pStyle w:val="FooterEven"/>
          </w:pPr>
          <w:r w:rsidRPr="001B4BD5">
            <w:t>Department of Treasury and Finance</w:t>
          </w:r>
          <w:r w:rsidRPr="001B4BD5">
            <w:br/>
          </w:r>
          <w:r w:rsidRPr="00734B39">
            <w:t>Annual</w:t>
          </w:r>
          <w:r>
            <w:t xml:space="preserve"> Report </w:t>
          </w:r>
          <w:r w:rsidR="00C30F42">
            <w:t>2024 | 25</w:t>
          </w:r>
        </w:p>
      </w:tc>
    </w:tr>
  </w:tbl>
  <w:p w14:paraId="6EAA270E" w14:textId="77777777" w:rsidR="005E6D06" w:rsidRDefault="005E6D06" w:rsidP="00F610CA">
    <w:pPr>
      <w:pStyle w:val="Spac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5E6D06" w14:paraId="08521EE2" w14:textId="77777777" w:rsidTr="00F610CA">
      <w:trPr>
        <w:cantSplit/>
      </w:trPr>
      <w:tc>
        <w:tcPr>
          <w:tcW w:w="9327" w:type="dxa"/>
        </w:tcPr>
        <w:p w14:paraId="10A945A4" w14:textId="1E61EC7B" w:rsidR="005E6D06" w:rsidRPr="001B4BD5" w:rsidRDefault="005E6D06" w:rsidP="00325C78">
          <w:pPr>
            <w:pStyle w:val="Footer"/>
          </w:pPr>
          <w:r w:rsidRPr="001B4BD5">
            <w:t>Department of Treasury and Finance</w:t>
          </w:r>
          <w:r w:rsidRPr="001B4BD5">
            <w:br/>
          </w:r>
          <w:r w:rsidRPr="00734B39">
            <w:t>Annual</w:t>
          </w:r>
          <w:r>
            <w:t xml:space="preserve"> Report </w:t>
          </w:r>
          <w:r w:rsidR="00C30F42">
            <w:t>2024 | 25</w:t>
          </w:r>
        </w:p>
      </w:tc>
      <w:tc>
        <w:tcPr>
          <w:tcW w:w="818" w:type="dxa"/>
        </w:tcPr>
        <w:p w14:paraId="48E15A4D" w14:textId="77777777" w:rsidR="005E6D06" w:rsidRPr="00734B39" w:rsidRDefault="005E6D06"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29</w:t>
          </w:r>
          <w:r w:rsidRPr="00734B39">
            <w:rPr>
              <w:rStyle w:val="PageNumber"/>
            </w:rPr>
            <w:fldChar w:fldCharType="end"/>
          </w:r>
        </w:p>
      </w:tc>
    </w:tr>
  </w:tbl>
  <w:p w14:paraId="51776E96" w14:textId="77777777" w:rsidR="005E6D06" w:rsidRDefault="005E6D06" w:rsidP="00F610CA">
    <w:pPr>
      <w:pStyle w:val="Spac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92"/>
      <w:gridCol w:w="8815"/>
    </w:tblGrid>
    <w:tr w:rsidR="00970A68" w14:paraId="51525FC9" w14:textId="77777777">
      <w:trPr>
        <w:cantSplit/>
      </w:trPr>
      <w:tc>
        <w:tcPr>
          <w:tcW w:w="800" w:type="dxa"/>
        </w:tcPr>
        <w:p w14:paraId="697D7C42" w14:textId="77777777" w:rsidR="00970A68" w:rsidRDefault="00970A68" w:rsidP="00970A68">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rPr>
            <w:t>14</w:t>
          </w:r>
          <w:r w:rsidRPr="0018749C">
            <w:rPr>
              <w:rStyle w:val="PageNumber"/>
            </w:rPr>
            <w:fldChar w:fldCharType="end"/>
          </w:r>
        </w:p>
      </w:tc>
      <w:tc>
        <w:tcPr>
          <w:tcW w:w="8918" w:type="dxa"/>
        </w:tcPr>
        <w:p w14:paraId="0E14DC41" w14:textId="502A89F1" w:rsidR="00970A68" w:rsidRDefault="00970A68" w:rsidP="00970A68">
          <w:pPr>
            <w:pStyle w:val="FooterEven"/>
          </w:pPr>
          <w:r w:rsidRPr="009265C5">
            <w:t>Department of Treasur</w:t>
          </w:r>
          <w:r>
            <w:t>y and Finance</w:t>
          </w:r>
          <w:r>
            <w:br/>
          </w:r>
          <w:r w:rsidRPr="00734B39">
            <w:t>Annual</w:t>
          </w:r>
          <w:r>
            <w:t xml:space="preserve"> Report </w:t>
          </w:r>
          <w:r w:rsidR="00C30F42">
            <w:t>2024 | 25</w:t>
          </w:r>
        </w:p>
      </w:tc>
    </w:tr>
  </w:tbl>
  <w:p w14:paraId="3517661E" w14:textId="52042ED9" w:rsidR="005E6D06" w:rsidRDefault="005E6D06" w:rsidP="00F610CA">
    <w:pPr>
      <w:pStyle w:val="Spac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970A68" w14:paraId="43B1CBCC" w14:textId="77777777">
      <w:trPr>
        <w:cantSplit/>
      </w:trPr>
      <w:tc>
        <w:tcPr>
          <w:tcW w:w="9327" w:type="dxa"/>
        </w:tcPr>
        <w:p w14:paraId="2AE107C4" w14:textId="5316B799" w:rsidR="00970A68" w:rsidRPr="001B4BD5" w:rsidRDefault="00970A68" w:rsidP="00970A68">
          <w:pPr>
            <w:pStyle w:val="Footer"/>
          </w:pPr>
          <w:r w:rsidRPr="001B4BD5">
            <w:t>Department of Treasury and Finance</w:t>
          </w:r>
          <w:r w:rsidRPr="001B4BD5">
            <w:br/>
          </w:r>
          <w:r w:rsidRPr="00734B39">
            <w:t>Annual</w:t>
          </w:r>
          <w:r>
            <w:t xml:space="preserve"> Report </w:t>
          </w:r>
          <w:r w:rsidR="00C30F42">
            <w:t>2024 | 25</w:t>
          </w:r>
        </w:p>
      </w:tc>
      <w:tc>
        <w:tcPr>
          <w:tcW w:w="818" w:type="dxa"/>
        </w:tcPr>
        <w:p w14:paraId="15F3C3F8" w14:textId="77777777" w:rsidR="00970A68" w:rsidRPr="00734B39" w:rsidRDefault="00970A68" w:rsidP="00970A68">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rPr>
            <w:t>13</w:t>
          </w:r>
          <w:r w:rsidRPr="00734B39">
            <w:rPr>
              <w:rStyle w:val="PageNumber"/>
            </w:rPr>
            <w:fldChar w:fldCharType="end"/>
          </w:r>
        </w:p>
      </w:tc>
    </w:tr>
  </w:tbl>
  <w:p w14:paraId="131C335F" w14:textId="058618CC" w:rsidR="005E6D06" w:rsidRDefault="005E6D06" w:rsidP="00F610CA">
    <w:pPr>
      <w:pStyle w:val="Spac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5E6D06" w14:paraId="78593F49" w14:textId="77777777" w:rsidTr="00F610CA">
      <w:trPr>
        <w:cantSplit/>
      </w:trPr>
      <w:tc>
        <w:tcPr>
          <w:tcW w:w="800" w:type="dxa"/>
        </w:tcPr>
        <w:p w14:paraId="7F3E6E2E" w14:textId="77777777" w:rsidR="005E6D06" w:rsidRDefault="005E6D06"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28</w:t>
          </w:r>
          <w:r w:rsidRPr="0018749C">
            <w:rPr>
              <w:rStyle w:val="PageNumber"/>
            </w:rPr>
            <w:fldChar w:fldCharType="end"/>
          </w:r>
        </w:p>
      </w:tc>
      <w:tc>
        <w:tcPr>
          <w:tcW w:w="8918" w:type="dxa"/>
        </w:tcPr>
        <w:p w14:paraId="1915E75B" w14:textId="53F85F7D" w:rsidR="005E6D06" w:rsidRDefault="005E6D06" w:rsidP="00325C78">
          <w:pPr>
            <w:pStyle w:val="FooterEven"/>
          </w:pPr>
          <w:r w:rsidRPr="001B4BD5">
            <w:t>Department of Treasury and Finance</w:t>
          </w:r>
          <w:r w:rsidRPr="001B4BD5">
            <w:br/>
          </w:r>
          <w:r w:rsidRPr="00734B39">
            <w:t>Annual</w:t>
          </w:r>
          <w:r>
            <w:t xml:space="preserve"> Report </w:t>
          </w:r>
          <w:r w:rsidR="00C30F42">
            <w:t>2024 | 25</w:t>
          </w:r>
        </w:p>
      </w:tc>
    </w:tr>
  </w:tbl>
  <w:p w14:paraId="12DDBA53" w14:textId="77777777" w:rsidR="005E6D06" w:rsidRDefault="005E6D06" w:rsidP="00F610CA">
    <w:pPr>
      <w:pStyle w:val="Spac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5E6D06" w14:paraId="2C4065B8" w14:textId="77777777" w:rsidTr="00F610CA">
      <w:trPr>
        <w:cantSplit/>
      </w:trPr>
      <w:tc>
        <w:tcPr>
          <w:tcW w:w="9327" w:type="dxa"/>
        </w:tcPr>
        <w:p w14:paraId="78182531" w14:textId="540F52B2" w:rsidR="005E6D06" w:rsidRPr="001B4BD5" w:rsidRDefault="005E6D06" w:rsidP="00325C78">
          <w:pPr>
            <w:pStyle w:val="Footer"/>
          </w:pPr>
          <w:r w:rsidRPr="001B4BD5">
            <w:t>Department of Treasury and Finance</w:t>
          </w:r>
          <w:r w:rsidRPr="001B4BD5">
            <w:br/>
          </w:r>
          <w:r w:rsidRPr="00734B39">
            <w:t>Annual</w:t>
          </w:r>
          <w:r>
            <w:t xml:space="preserve"> Report </w:t>
          </w:r>
          <w:r w:rsidR="00C30F42">
            <w:t>2024 | 25</w:t>
          </w:r>
        </w:p>
      </w:tc>
      <w:tc>
        <w:tcPr>
          <w:tcW w:w="818" w:type="dxa"/>
        </w:tcPr>
        <w:p w14:paraId="5157B17A" w14:textId="77777777" w:rsidR="005E6D06" w:rsidRPr="00734B39" w:rsidRDefault="005E6D06"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29</w:t>
          </w:r>
          <w:r w:rsidRPr="00734B39">
            <w:rPr>
              <w:rStyle w:val="PageNumber"/>
            </w:rPr>
            <w:fldChar w:fldCharType="end"/>
          </w:r>
        </w:p>
      </w:tc>
    </w:tr>
  </w:tbl>
  <w:p w14:paraId="3D8B19DD" w14:textId="77777777" w:rsidR="005E6D06" w:rsidRDefault="005E6D06" w:rsidP="007B2778">
    <w:pPr>
      <w:pStyle w:val="Spac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E94EAB" w14:paraId="4278CF8D" w14:textId="77777777" w:rsidTr="00F610CA">
      <w:trPr>
        <w:cantSplit/>
      </w:trPr>
      <w:tc>
        <w:tcPr>
          <w:tcW w:w="800" w:type="dxa"/>
        </w:tcPr>
        <w:p w14:paraId="4D487BF3" w14:textId="77777777" w:rsidR="00E94EAB" w:rsidRDefault="00E94EAB"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28</w:t>
          </w:r>
          <w:r w:rsidRPr="0018749C">
            <w:rPr>
              <w:rStyle w:val="PageNumber"/>
            </w:rPr>
            <w:fldChar w:fldCharType="end"/>
          </w:r>
        </w:p>
      </w:tc>
      <w:tc>
        <w:tcPr>
          <w:tcW w:w="8918" w:type="dxa"/>
        </w:tcPr>
        <w:p w14:paraId="70C7F7C2" w14:textId="54EE2B27" w:rsidR="00E94EAB" w:rsidRDefault="00E94EAB" w:rsidP="00325C78">
          <w:pPr>
            <w:pStyle w:val="FooterEven"/>
          </w:pPr>
          <w:r w:rsidRPr="001B4BD5">
            <w:t>Department of Treasury and Finance</w:t>
          </w:r>
          <w:r w:rsidRPr="001B4BD5">
            <w:br/>
          </w:r>
          <w:r w:rsidRPr="00734B39">
            <w:t>Annual</w:t>
          </w:r>
          <w:r>
            <w:t xml:space="preserve"> Report </w:t>
          </w:r>
          <w:r w:rsidR="00C30F42">
            <w:t>2024 | 25</w:t>
          </w:r>
        </w:p>
      </w:tc>
    </w:tr>
  </w:tbl>
  <w:p w14:paraId="2FBF3AA7" w14:textId="77777777" w:rsidR="00E94EAB" w:rsidRDefault="00E94EAB" w:rsidP="00F610CA">
    <w:pPr>
      <w:pStyle w:val="Spac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E94EAB" w14:paraId="2A7EAFC1" w14:textId="77777777" w:rsidTr="00F610CA">
      <w:trPr>
        <w:cantSplit/>
      </w:trPr>
      <w:tc>
        <w:tcPr>
          <w:tcW w:w="9327" w:type="dxa"/>
        </w:tcPr>
        <w:p w14:paraId="04170512" w14:textId="541BE7B4" w:rsidR="00E94EAB" w:rsidRPr="001B4BD5" w:rsidRDefault="00E94EAB" w:rsidP="00325C78">
          <w:pPr>
            <w:pStyle w:val="Footer"/>
          </w:pPr>
          <w:r w:rsidRPr="001B4BD5">
            <w:t>Department of Treasury and Finance</w:t>
          </w:r>
          <w:r w:rsidRPr="001B4BD5">
            <w:br/>
          </w:r>
          <w:r w:rsidRPr="00734B39">
            <w:t>Annual</w:t>
          </w:r>
          <w:r>
            <w:t xml:space="preserve"> Report </w:t>
          </w:r>
          <w:r w:rsidR="00C30F42">
            <w:t>2024 | 25</w:t>
          </w:r>
        </w:p>
      </w:tc>
      <w:tc>
        <w:tcPr>
          <w:tcW w:w="818" w:type="dxa"/>
        </w:tcPr>
        <w:p w14:paraId="022A43FB" w14:textId="77777777" w:rsidR="00E94EAB" w:rsidRPr="00734B39" w:rsidRDefault="00E94EAB"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29</w:t>
          </w:r>
          <w:r w:rsidRPr="00734B39">
            <w:rPr>
              <w:rStyle w:val="PageNumber"/>
            </w:rPr>
            <w:fldChar w:fldCharType="end"/>
          </w:r>
        </w:p>
      </w:tc>
    </w:tr>
  </w:tbl>
  <w:p w14:paraId="5929421A" w14:textId="77777777" w:rsidR="00E94EAB" w:rsidRDefault="00E94EAB" w:rsidP="00F610CA">
    <w:pPr>
      <w:pStyle w:val="Spac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5D2595" w14:paraId="3CD7125D" w14:textId="77777777" w:rsidTr="00F610CA">
      <w:trPr>
        <w:cantSplit/>
      </w:trPr>
      <w:tc>
        <w:tcPr>
          <w:tcW w:w="800" w:type="dxa"/>
        </w:tcPr>
        <w:p w14:paraId="37B91CE3" w14:textId="77777777" w:rsidR="005D2595" w:rsidRDefault="005D2595"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46</w:t>
          </w:r>
          <w:r w:rsidRPr="0018749C">
            <w:rPr>
              <w:rStyle w:val="PageNumber"/>
            </w:rPr>
            <w:fldChar w:fldCharType="end"/>
          </w:r>
        </w:p>
      </w:tc>
      <w:tc>
        <w:tcPr>
          <w:tcW w:w="8918" w:type="dxa"/>
        </w:tcPr>
        <w:p w14:paraId="539601FC" w14:textId="77777777" w:rsidR="005D2595" w:rsidRDefault="005D2595" w:rsidP="00B619A9">
          <w:pPr>
            <w:pStyle w:val="FooterEven"/>
          </w:pPr>
          <w:r w:rsidRPr="001B4BD5">
            <w:t>Department of Treasury and Finance</w:t>
          </w:r>
          <w:r w:rsidRPr="001B4BD5">
            <w:br/>
          </w:r>
          <w:r w:rsidRPr="00734B39">
            <w:t>Annual</w:t>
          </w:r>
          <w:r>
            <w:t xml:space="preserve"> Report 2024 | 25</w:t>
          </w:r>
        </w:p>
      </w:tc>
    </w:tr>
  </w:tbl>
  <w:p w14:paraId="21E85041" w14:textId="77777777" w:rsidR="005D2595" w:rsidRPr="00E1021A" w:rsidRDefault="005D2595" w:rsidP="00E1021A">
    <w:pPr>
      <w:pStyle w:val="Spac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92"/>
      <w:gridCol w:w="8815"/>
    </w:tblGrid>
    <w:tr w:rsidR="006F4A00" w14:paraId="7B7A9F35" w14:textId="77777777" w:rsidTr="00F610CA">
      <w:trPr>
        <w:cantSplit/>
      </w:trPr>
      <w:tc>
        <w:tcPr>
          <w:tcW w:w="800" w:type="dxa"/>
        </w:tcPr>
        <w:p w14:paraId="2DCC78D2" w14:textId="5A8AD7C6" w:rsidR="006F4A00" w:rsidRDefault="007B4E38" w:rsidP="00F610CA">
          <w:pPr>
            <w:pStyle w:val="PageNumberLeft"/>
          </w:pPr>
          <w:r>
            <w:rPr>
              <w:rFonts w:asciiTheme="minorHAnsi" w:hAnsiTheme="minorHAnsi"/>
              <w:b/>
              <w:noProof/>
              <w:color w:val="4C4C4C"/>
              <w:sz w:val="28"/>
            </w:rPr>
            <mc:AlternateContent>
              <mc:Choice Requires="wps">
                <w:drawing>
                  <wp:anchor distT="0" distB="0" distL="114300" distR="114300" simplePos="0" relativeHeight="251658261" behindDoc="0" locked="0" layoutInCell="0" allowOverlap="1" wp14:anchorId="1B84AA83" wp14:editId="21CC9A11">
                    <wp:simplePos x="0" y="9403953"/>
                    <wp:positionH relativeFrom="page">
                      <wp:align>left</wp:align>
                    </wp:positionH>
                    <wp:positionV relativeFrom="page">
                      <wp:align>bottom</wp:align>
                    </wp:positionV>
                    <wp:extent cx="7772400" cy="463550"/>
                    <wp:effectExtent l="0" t="0" r="0" b="12700"/>
                    <wp:wrapNone/>
                    <wp:docPr id="27" name="Text Box 27" descr="{&quot;HashCode&quot;:-1267603503,&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C097138" w14:textId="32117739" w:rsidR="007B4E38" w:rsidRPr="007B4E38" w:rsidRDefault="007B4E38" w:rsidP="007B4E38">
                                <w:pPr>
                                  <w:spacing w:before="0" w:after="0"/>
                                  <w:rPr>
                                    <w:rFonts w:ascii="Calibri" w:hAnsi="Calibri" w:cs="Calibri"/>
                                    <w:color w:val="000000"/>
                                    <w:sz w:val="22"/>
                                  </w:rPr>
                                </w:pPr>
                                <w:r w:rsidRPr="007B4E38">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1B84AA83" id="_x0000_t202" coordsize="21600,21600" o:spt="202" path="m,l,21600r21600,l21600,xe">
                    <v:stroke joinstyle="miter"/>
                    <v:path gradientshapeok="t" o:connecttype="rect"/>
                  </v:shapetype>
                  <v:shape id="Text Box 27" o:spid="_x0000_s1026" type="#_x0000_t202" alt="{&quot;HashCode&quot;:-1267603503,&quot;Height&quot;:9999999.0,&quot;Width&quot;:9999999.0,&quot;Placement&quot;:&quot;Footer&quot;,&quot;Index&quot;:&quot;OddAndEven&quot;,&quot;Section&quot;:1,&quot;Top&quot;:0.0,&quot;Left&quot;:0.0}" style="position:absolute;margin-left:0;margin-top:0;width:612pt;height:36.5pt;z-index:251658261;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" o:allowincell="f" filled="f" stroked="f" strokeweight=".5pt">
                    <v:textbox inset="20pt,0,,0">
                      <w:txbxContent>
                        <w:p w14:paraId="4C097138" w14:textId="32117739" w:rsidR="007B4E38" w:rsidRPr="007B4E38" w:rsidRDefault="007B4E38" w:rsidP="007B4E38">
                          <w:pPr>
                            <w:spacing w:before="0" w:after="0"/>
                            <w:rPr>
                              <w:rFonts w:ascii="Calibri" w:hAnsi="Calibri" w:cs="Calibri"/>
                              <w:color w:val="000000"/>
                              <w:sz w:val="22"/>
                            </w:rPr>
                          </w:pPr>
                          <w:r w:rsidRPr="007B4E38">
                            <w:rPr>
                              <w:rFonts w:ascii="Calibri" w:hAnsi="Calibri" w:cs="Calibri"/>
                              <w:color w:val="000000"/>
                              <w:sz w:val="22"/>
                            </w:rPr>
                            <w:t>OFFICIAL</w:t>
                          </w:r>
                        </w:p>
                      </w:txbxContent>
                    </v:textbox>
                    <w10:wrap anchorx="page" anchory="page"/>
                  </v:shape>
                </w:pict>
              </mc:Fallback>
            </mc:AlternateContent>
          </w:r>
          <w:r w:rsidR="003B30BA">
            <w:rPr>
              <w:rFonts w:asciiTheme="minorHAnsi" w:hAnsiTheme="minorHAnsi"/>
              <w:b/>
              <w:noProof/>
              <w:color w:val="4C4C4C"/>
              <w:sz w:val="28"/>
            </w:rPr>
            <mc:AlternateContent>
              <mc:Choice Requires="wps">
                <w:drawing>
                  <wp:anchor distT="0" distB="0" distL="114300" distR="114300" simplePos="0" relativeHeight="251658257" behindDoc="0" locked="0" layoutInCell="0" allowOverlap="1" wp14:anchorId="6E43C27C" wp14:editId="6C200377">
                    <wp:simplePos x="0" y="9403953"/>
                    <wp:positionH relativeFrom="page">
                      <wp:align>left</wp:align>
                    </wp:positionH>
                    <wp:positionV relativeFrom="page">
                      <wp:align>bottom</wp:align>
                    </wp:positionV>
                    <wp:extent cx="7772400" cy="463550"/>
                    <wp:effectExtent l="0" t="0" r="0" b="12700"/>
                    <wp:wrapNone/>
                    <wp:docPr id="4" name="Text Box 4" descr="{&quot;HashCode&quot;:-1267603503,&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459F9B4" w14:textId="304DAE9D" w:rsidR="003B30BA" w:rsidRPr="003B30BA" w:rsidRDefault="003B30BA" w:rsidP="003B30BA">
                                <w:pPr>
                                  <w:spacing w:before="0" w:after="0"/>
                                  <w:rPr>
                                    <w:rFonts w:ascii="Calibri" w:hAnsi="Calibri" w:cs="Calibri"/>
                                    <w:color w:val="000000"/>
                                    <w:sz w:val="22"/>
                                  </w:rPr>
                                </w:pPr>
                                <w:r w:rsidRPr="003B30BA">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6E43C27C" id="Text Box 4" o:spid="_x0000_s1027" type="#_x0000_t202" alt="{&quot;HashCode&quot;:-1267603503,&quot;Height&quot;:9999999.0,&quot;Width&quot;:9999999.0,&quot;Placement&quot;:&quot;Footer&quot;,&quot;Index&quot;:&quot;OddAndEven&quot;,&quot;Section&quot;:1,&quot;Top&quot;:0.0,&quot;Left&quot;:0.0}" style="position:absolute;margin-left:0;margin-top:0;width:612pt;height:36.5pt;z-index:251658257;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" o:allowincell="f" filled="f" stroked="f" strokeweight=".5pt">
                    <v:textbox inset="20pt,0,,0">
                      <w:txbxContent>
                        <w:p w14:paraId="1459F9B4" w14:textId="304DAE9D" w:rsidR="003B30BA" w:rsidRPr="003B30BA" w:rsidRDefault="003B30BA" w:rsidP="003B30BA">
                          <w:pPr>
                            <w:spacing w:before="0" w:after="0"/>
                            <w:rPr>
                              <w:rFonts w:ascii="Calibri" w:hAnsi="Calibri" w:cs="Calibri"/>
                              <w:color w:val="000000"/>
                              <w:sz w:val="22"/>
                            </w:rPr>
                          </w:pPr>
                          <w:r w:rsidRPr="003B30BA">
                            <w:rPr>
                              <w:rFonts w:ascii="Calibri" w:hAnsi="Calibri" w:cs="Calibri"/>
                              <w:color w:val="000000"/>
                              <w:sz w:val="22"/>
                            </w:rPr>
                            <w:t>OFFICIAL</w:t>
                          </w:r>
                        </w:p>
                      </w:txbxContent>
                    </v:textbox>
                    <w10:wrap anchorx="page" anchory="page"/>
                  </v:shape>
                </w:pict>
              </mc:Fallback>
            </mc:AlternateContent>
          </w:r>
          <w:r w:rsidR="008E2AD5">
            <w:rPr>
              <w:rFonts w:asciiTheme="minorHAnsi" w:hAnsiTheme="minorHAnsi"/>
              <w:b/>
              <w:noProof/>
              <w:color w:val="4C4C4C"/>
              <w:sz w:val="28"/>
            </w:rPr>
            <mc:AlternateContent>
              <mc:Choice Requires="wps">
                <w:drawing>
                  <wp:anchor distT="0" distB="0" distL="114300" distR="114300" simplePos="0" relativeHeight="251658253" behindDoc="0" locked="0" layoutInCell="0" allowOverlap="1" wp14:anchorId="03879DA5" wp14:editId="4FF29653">
                    <wp:simplePos x="0" y="9403953"/>
                    <wp:positionH relativeFrom="page">
                      <wp:align>left</wp:align>
                    </wp:positionH>
                    <wp:positionV relativeFrom="page">
                      <wp:align>bottom</wp:align>
                    </wp:positionV>
                    <wp:extent cx="7772400" cy="463550"/>
                    <wp:effectExtent l="0" t="0" r="0" b="12700"/>
                    <wp:wrapNone/>
                    <wp:docPr id="1" name="Text Box 1" descr="{&quot;HashCode&quot;:-1267603503,&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7D528F40" w14:textId="01D65B7D" w:rsidR="008E2AD5" w:rsidRPr="00184306" w:rsidRDefault="008E2AD5" w:rsidP="00184306">
                                <w:pPr>
                                  <w:spacing w:before="0" w:after="0"/>
                                  <w:rPr>
                                    <w:rFonts w:ascii="Calibri" w:hAnsi="Calibri" w:cs="Calibri"/>
                                    <w:color w:val="000000"/>
                                    <w:sz w:val="22"/>
                                  </w:rPr>
                                </w:pPr>
                                <w:r w:rsidRPr="008E2AD5">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03879DA5" id="Text Box 1" o:spid="_x0000_s1028" type="#_x0000_t202" alt="{&quot;HashCode&quot;:-1267603503,&quot;Height&quot;:9999999.0,&quot;Width&quot;:9999999.0,&quot;Placement&quot;:&quot;Footer&quot;,&quot;Index&quot;:&quot;OddAndEven&quot;,&quot;Section&quot;:1,&quot;Top&quot;:0.0,&quot;Left&quot;:0.0}" style="position:absolute;margin-left:0;margin-top:0;width:612pt;height:36.5pt;z-index:251658253;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PSrMFxtAgAAPwUAAA4AAAAAAAAAAAAAAAAALgIA&#10;AGRycy9lMm9Eb2MueG1sUEsBAi0AFAAGAAgAAAAhAP71jZvaAAAABQEAAA8AAAAAAAAAAAAAAAAA&#10;xwQAAGRycy9kb3ducmV2LnhtbFBLBQYAAAAABAAEAPMAAADOBQAAAAA=&#10;" o:allowincell="f" filled="f" stroked="f" strokeweight=".5pt">
                    <v:textbox inset="20pt,0,,0">
                      <w:txbxContent>
                        <w:p w14:paraId="7D528F40" w14:textId="01D65B7D" w:rsidR="008E2AD5" w:rsidRPr="00184306" w:rsidRDefault="008E2AD5" w:rsidP="00184306">
                          <w:pPr>
                            <w:spacing w:before="0" w:after="0"/>
                            <w:rPr>
                              <w:rFonts w:ascii="Calibri" w:hAnsi="Calibri" w:cs="Calibri"/>
                              <w:color w:val="000000"/>
                              <w:sz w:val="22"/>
                            </w:rPr>
                          </w:pPr>
                          <w:r w:rsidRPr="008E2AD5">
                            <w:rPr>
                              <w:rFonts w:ascii="Calibri" w:hAnsi="Calibri" w:cs="Calibri"/>
                              <w:color w:val="000000"/>
                              <w:sz w:val="22"/>
                            </w:rPr>
                            <w:t>OFFICIAL</w:t>
                          </w:r>
                        </w:p>
                      </w:txbxContent>
                    </v:textbox>
                    <w10:wrap anchorx="page" anchory="page"/>
                  </v:shape>
                </w:pict>
              </mc:Fallback>
            </mc:AlternateContent>
          </w:r>
          <w:r w:rsidR="0009175A">
            <w:rPr>
              <w:rFonts w:asciiTheme="minorHAnsi" w:hAnsiTheme="minorHAnsi"/>
              <w:b/>
              <w:noProof/>
              <w:color w:val="4C4C4C"/>
              <w:sz w:val="28"/>
            </w:rPr>
            <mc:AlternateContent>
              <mc:Choice Requires="wps">
                <w:drawing>
                  <wp:anchor distT="0" distB="0" distL="114300" distR="114300" simplePos="0" relativeHeight="251658249" behindDoc="0" locked="0" layoutInCell="0" allowOverlap="1" wp14:anchorId="467118FA" wp14:editId="43C5249B">
                    <wp:simplePos x="0" y="9403953"/>
                    <wp:positionH relativeFrom="page">
                      <wp:align>left</wp:align>
                    </wp:positionH>
                    <wp:positionV relativeFrom="page">
                      <wp:align>bottom</wp:align>
                    </wp:positionV>
                    <wp:extent cx="7772400" cy="463550"/>
                    <wp:effectExtent l="0" t="0" r="0" b="12700"/>
                    <wp:wrapNone/>
                    <wp:docPr id="7" name="Text Box 7" descr="{&quot;HashCode&quot;:-1267603503,&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CBB7D46" w14:textId="1D834FB3" w:rsidR="0009175A" w:rsidRPr="00184306" w:rsidRDefault="0009175A" w:rsidP="00184306">
                                <w:pPr>
                                  <w:spacing w:before="0" w:after="0"/>
                                  <w:rPr>
                                    <w:rFonts w:ascii="Calibri" w:hAnsi="Calibri" w:cs="Calibri"/>
                                    <w:color w:val="000000"/>
                                    <w:sz w:val="22"/>
                                  </w:rPr>
                                </w:pPr>
                                <w:r w:rsidRPr="00FC76A3">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467118FA" id="Text Box 7" o:spid="_x0000_s1029" type="#_x0000_t202" alt="{&quot;HashCode&quot;:-1267603503,&quot;Height&quot;:9999999.0,&quot;Width&quot;:9999999.0,&quot;Placement&quot;:&quot;Footer&quot;,&quot;Index&quot;:&quot;OddAndEven&quot;,&quot;Section&quot;:1,&quot;Top&quot;:0.0,&quot;Left&quot;:0.0}" style="position:absolute;margin-left:0;margin-top:0;width:612pt;height:36.5pt;z-index:251658249;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J7vUM9tAgAAPwUAAA4AAAAAAAAAAAAAAAAALgIA&#10;AGRycy9lMm9Eb2MueG1sUEsBAi0AFAAGAAgAAAAhAP71jZvaAAAABQEAAA8AAAAAAAAAAAAAAAAA&#10;xwQAAGRycy9kb3ducmV2LnhtbFBLBQYAAAAABAAEAPMAAADOBQAAAAA=&#10;" o:allowincell="f" filled="f" stroked="f" strokeweight=".5pt">
                    <v:textbox inset="20pt,0,,0">
                      <w:txbxContent>
                        <w:p w14:paraId="6CBB7D46" w14:textId="1D834FB3" w:rsidR="0009175A" w:rsidRPr="00184306" w:rsidRDefault="0009175A" w:rsidP="00184306">
                          <w:pPr>
                            <w:spacing w:before="0" w:after="0"/>
                            <w:rPr>
                              <w:rFonts w:ascii="Calibri" w:hAnsi="Calibri" w:cs="Calibri"/>
                              <w:color w:val="000000"/>
                              <w:sz w:val="22"/>
                            </w:rPr>
                          </w:pPr>
                          <w:r w:rsidRPr="00FC76A3">
                            <w:rPr>
                              <w:rFonts w:ascii="Calibri" w:hAnsi="Calibri" w:cs="Calibri"/>
                              <w:color w:val="000000"/>
                              <w:sz w:val="22"/>
                            </w:rPr>
                            <w:t>OFFICIAL</w:t>
                          </w:r>
                        </w:p>
                      </w:txbxContent>
                    </v:textbox>
                    <w10:wrap anchorx="page" anchory="page"/>
                  </v:shape>
                </w:pict>
              </mc:Fallback>
            </mc:AlternateContent>
          </w:r>
          <w:r w:rsidR="000E75A0">
            <w:rPr>
              <w:rFonts w:asciiTheme="minorHAnsi" w:hAnsiTheme="minorHAnsi"/>
              <w:b/>
              <w:noProof/>
              <w:color w:val="4C4C4C"/>
              <w:sz w:val="28"/>
            </w:rPr>
            <mc:AlternateContent>
              <mc:Choice Requires="wps">
                <w:drawing>
                  <wp:anchor distT="0" distB="0" distL="114300" distR="114300" simplePos="0" relativeHeight="251658246" behindDoc="0" locked="0" layoutInCell="0" allowOverlap="1" wp14:anchorId="22C7386F" wp14:editId="79AE4A80">
                    <wp:simplePos x="0" y="9403953"/>
                    <wp:positionH relativeFrom="page">
                      <wp:align>left</wp:align>
                    </wp:positionH>
                    <wp:positionV relativeFrom="page">
                      <wp:align>bottom</wp:align>
                    </wp:positionV>
                    <wp:extent cx="7772400" cy="463550"/>
                    <wp:effectExtent l="0" t="0" r="0" b="12700"/>
                    <wp:wrapNone/>
                    <wp:docPr id="26" name="Text Box 26" descr="{&quot;HashCode&quot;:-1267603503,&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7CDAC49F" w14:textId="06C2A573" w:rsidR="000E75A0" w:rsidRPr="000E75A0" w:rsidRDefault="000E75A0" w:rsidP="000E75A0">
                                <w:pPr>
                                  <w:spacing w:before="0" w:after="0"/>
                                  <w:rPr>
                                    <w:rFonts w:ascii="Calibri" w:hAnsi="Calibri" w:cs="Calibri"/>
                                    <w:color w:val="000000"/>
                                    <w:sz w:val="22"/>
                                  </w:rPr>
                                </w:pPr>
                                <w:r w:rsidRPr="000E75A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22C7386F" id="Text Box 26" o:spid="_x0000_s1030" type="#_x0000_t202" alt="{&quot;HashCode&quot;:-1267603503,&quot;Height&quot;:9999999.0,&quot;Width&quot;:9999999.0,&quot;Placement&quot;:&quot;Footer&quot;,&quot;Index&quot;:&quot;OddAndEven&quot;,&quot;Section&quot;:1,&quot;Top&quot;:0.0,&quot;Left&quot;:0.0}" style="position:absolute;margin-left:0;margin-top:0;width:612pt;height:36.5pt;z-index:251658246;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" o:allowincell="f" filled="f" stroked="f" strokeweight=".5pt">
                    <v:textbox inset="20pt,0,,0">
                      <w:txbxContent>
                        <w:p w14:paraId="7CDAC49F" w14:textId="06C2A573" w:rsidR="000E75A0" w:rsidRPr="000E75A0" w:rsidRDefault="000E75A0" w:rsidP="000E75A0">
                          <w:pPr>
                            <w:spacing w:before="0" w:after="0"/>
                            <w:rPr>
                              <w:rFonts w:ascii="Calibri" w:hAnsi="Calibri" w:cs="Calibri"/>
                              <w:color w:val="000000"/>
                              <w:sz w:val="22"/>
                            </w:rPr>
                          </w:pPr>
                          <w:r w:rsidRPr="000E75A0">
                            <w:rPr>
                              <w:rFonts w:ascii="Calibri" w:hAnsi="Calibri" w:cs="Calibri"/>
                              <w:color w:val="000000"/>
                              <w:sz w:val="22"/>
                            </w:rPr>
                            <w:t>OFFICIAL</w:t>
                          </w:r>
                        </w:p>
                      </w:txbxContent>
                    </v:textbox>
                    <w10:wrap anchorx="page" anchory="page"/>
                  </v:shape>
                </w:pict>
              </mc:Fallback>
            </mc:AlternateContent>
          </w:r>
          <w:r w:rsidR="00D349B4">
            <w:rPr>
              <w:rFonts w:asciiTheme="minorHAnsi" w:hAnsiTheme="minorHAnsi"/>
              <w:b/>
              <w:noProof/>
              <w:color w:val="4C4C4C"/>
              <w:sz w:val="28"/>
            </w:rPr>
            <mc:AlternateContent>
              <mc:Choice Requires="wps">
                <w:drawing>
                  <wp:anchor distT="0" distB="0" distL="114300" distR="114300" simplePos="0" relativeHeight="251658243" behindDoc="0" locked="0" layoutInCell="0" allowOverlap="1" wp14:anchorId="241F0ACD" wp14:editId="265D4C85">
                    <wp:simplePos x="0" y="9403953"/>
                    <wp:positionH relativeFrom="page">
                      <wp:align>left</wp:align>
                    </wp:positionH>
                    <wp:positionV relativeFrom="page">
                      <wp:align>bottom</wp:align>
                    </wp:positionV>
                    <wp:extent cx="7772400" cy="463550"/>
                    <wp:effectExtent l="0" t="0" r="0" b="12700"/>
                    <wp:wrapNone/>
                    <wp:docPr id="3" name="Text Box 3" descr="{&quot;HashCode&quot;:-1267603503,&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DF41ACD" w14:textId="20FF49D7" w:rsidR="00D349B4" w:rsidRPr="00576DB4" w:rsidRDefault="00D349B4" w:rsidP="00576DB4">
                                <w:pPr>
                                  <w:spacing w:before="0" w:after="0"/>
                                  <w:rPr>
                                    <w:rFonts w:ascii="Calibri" w:hAnsi="Calibri" w:cs="Calibri"/>
                                    <w:color w:val="000000"/>
                                    <w:sz w:val="22"/>
                                  </w:rPr>
                                </w:pPr>
                                <w:r w:rsidRPr="00576DB4">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241F0ACD" id="Text Box 3" o:spid="_x0000_s1031" type="#_x0000_t202" alt="{&quot;HashCode&quot;:-1267603503,&quot;Height&quot;:9999999.0,&quot;Width&quot;:9999999.0,&quot;Placement&quot;:&quot;Footer&quot;,&quot;Index&quot;:&quot;OddAndEven&quot;,&quot;Section&quot;:1,&quot;Top&quot;:0.0,&quot;Left&quot;:0.0}" style="position:absolute;margin-left:0;margin-top:0;width:612pt;height:36.5pt;z-index:251658243;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GB68xJtAgAAPwUAAA4AAAAAAAAAAAAAAAAALgIA&#10;AGRycy9lMm9Eb2MueG1sUEsBAi0AFAAGAAgAAAAhAP71jZvaAAAABQEAAA8AAAAAAAAAAAAAAAAA&#10;xwQAAGRycy9kb3ducmV2LnhtbFBLBQYAAAAABAAEAPMAAADOBQAAAAA=&#10;" o:allowincell="f" filled="f" stroked="f" strokeweight=".5pt">
                    <v:textbox inset="20pt,0,,0">
                      <w:txbxContent>
                        <w:p w14:paraId="6DF41ACD" w14:textId="20FF49D7" w:rsidR="00D349B4" w:rsidRPr="00576DB4" w:rsidRDefault="00D349B4" w:rsidP="00576DB4">
                          <w:pPr>
                            <w:spacing w:before="0" w:after="0"/>
                            <w:rPr>
                              <w:rFonts w:ascii="Calibri" w:hAnsi="Calibri" w:cs="Calibri"/>
                              <w:color w:val="000000"/>
                              <w:sz w:val="22"/>
                            </w:rPr>
                          </w:pPr>
                          <w:r w:rsidRPr="00576DB4">
                            <w:rPr>
                              <w:rFonts w:ascii="Calibri" w:hAnsi="Calibri" w:cs="Calibri"/>
                              <w:color w:val="000000"/>
                              <w:sz w:val="22"/>
                            </w:rPr>
                            <w:t>OFFICIAL</w:t>
                          </w:r>
                        </w:p>
                      </w:txbxContent>
                    </v:textbox>
                    <w10:wrap anchorx="page" anchory="page"/>
                  </v:shape>
                </w:pict>
              </mc:Fallback>
            </mc:AlternateContent>
          </w:r>
          <w:r w:rsidR="006F4A00" w:rsidRPr="0018749C">
            <w:rPr>
              <w:rStyle w:val="PageNumber"/>
            </w:rPr>
            <w:fldChar w:fldCharType="begin"/>
          </w:r>
          <w:r w:rsidR="006F4A00" w:rsidRPr="0018749C">
            <w:rPr>
              <w:rStyle w:val="PageNumber"/>
            </w:rPr>
            <w:instrText xml:space="preserve"> Page </w:instrText>
          </w:r>
          <w:r w:rsidR="006F4A00" w:rsidRPr="0018749C">
            <w:rPr>
              <w:rStyle w:val="PageNumber"/>
            </w:rPr>
            <w:fldChar w:fldCharType="separate"/>
          </w:r>
          <w:r w:rsidR="006F4A00">
            <w:rPr>
              <w:rStyle w:val="PageNumber"/>
              <w:noProof/>
            </w:rPr>
            <w:t>2</w:t>
          </w:r>
          <w:r w:rsidR="006F4A00" w:rsidRPr="0018749C">
            <w:rPr>
              <w:rStyle w:val="PageNumber"/>
            </w:rPr>
            <w:fldChar w:fldCharType="end"/>
          </w:r>
        </w:p>
      </w:tc>
      <w:tc>
        <w:tcPr>
          <w:tcW w:w="8918" w:type="dxa"/>
        </w:tcPr>
        <w:p w14:paraId="1843C8CA" w14:textId="308F95F0" w:rsidR="006F4A00" w:rsidRDefault="006F4A00" w:rsidP="00D16853">
          <w:pPr>
            <w:pStyle w:val="FooterEven"/>
          </w:pPr>
          <w:r w:rsidRPr="009265C5">
            <w:t>Department of Treasur</w:t>
          </w:r>
          <w:r>
            <w:t>y and Finance</w:t>
          </w:r>
          <w:r>
            <w:br/>
          </w:r>
          <w:r>
            <w:fldChar w:fldCharType="begin"/>
          </w:r>
          <w:r>
            <w:instrText xml:space="preserve"> StyleRef “ARTitle” </w:instrText>
          </w:r>
          <w:r>
            <w:fldChar w:fldCharType="separate"/>
          </w:r>
          <w:r w:rsidR="008F4C0F">
            <w:rPr>
              <w:b/>
              <w:bCs/>
              <w:noProof/>
              <w:lang w:val="en-US"/>
            </w:rPr>
            <w:t>Error! Use the Home tab to apply ARTitle to the text that you want to appear here.</w:t>
          </w:r>
          <w:r>
            <w:rPr>
              <w:noProof/>
            </w:rPr>
            <w:fldChar w:fldCharType="end"/>
          </w:r>
        </w:p>
      </w:tc>
    </w:tr>
  </w:tbl>
  <w:p w14:paraId="2A3AAC71" w14:textId="77777777" w:rsidR="006F4A00" w:rsidRDefault="006F4A00" w:rsidP="00F610CA">
    <w:pPr>
      <w:pStyle w:val="Spac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5D2595" w14:paraId="626018B7" w14:textId="77777777" w:rsidTr="00F610CA">
      <w:trPr>
        <w:cantSplit/>
      </w:trPr>
      <w:tc>
        <w:tcPr>
          <w:tcW w:w="9327" w:type="dxa"/>
        </w:tcPr>
        <w:p w14:paraId="1CFAB86C" w14:textId="77777777" w:rsidR="005D2595" w:rsidRPr="001B4BD5" w:rsidRDefault="005D2595" w:rsidP="00E42017">
          <w:pPr>
            <w:pStyle w:val="Footer"/>
          </w:pPr>
          <w:r w:rsidRPr="001B4BD5">
            <w:t>Department of Treasury and Finance</w:t>
          </w:r>
          <w:r w:rsidRPr="001B4BD5">
            <w:br/>
          </w:r>
          <w:r w:rsidRPr="00734B39">
            <w:t>Annual</w:t>
          </w:r>
          <w:r>
            <w:t xml:space="preserve"> Report 2024 | 25</w:t>
          </w:r>
        </w:p>
      </w:tc>
      <w:tc>
        <w:tcPr>
          <w:tcW w:w="818" w:type="dxa"/>
        </w:tcPr>
        <w:p w14:paraId="5981C499" w14:textId="77777777" w:rsidR="005D2595" w:rsidRPr="00734B39" w:rsidRDefault="005D2595"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47</w:t>
          </w:r>
          <w:r w:rsidRPr="00734B39">
            <w:rPr>
              <w:rStyle w:val="PageNumber"/>
            </w:rPr>
            <w:fldChar w:fldCharType="end"/>
          </w:r>
        </w:p>
      </w:tc>
    </w:tr>
  </w:tbl>
  <w:p w14:paraId="1BA11D58" w14:textId="77777777" w:rsidR="005D2595" w:rsidRDefault="005D2595" w:rsidP="00F610CA">
    <w:pPr>
      <w:pStyle w:val="Spac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5D2595" w14:paraId="50733868" w14:textId="77777777">
      <w:trPr>
        <w:cantSplit/>
      </w:trPr>
      <w:tc>
        <w:tcPr>
          <w:tcW w:w="9327" w:type="dxa"/>
        </w:tcPr>
        <w:p w14:paraId="120C03FF" w14:textId="77777777" w:rsidR="005D2595" w:rsidRPr="001B4BD5" w:rsidRDefault="005D2595" w:rsidP="00E1021A">
          <w:pPr>
            <w:pStyle w:val="Footer"/>
          </w:pPr>
          <w:r w:rsidRPr="001B4BD5">
            <w:t>Department of Treasury and Finance</w:t>
          </w:r>
          <w:r w:rsidRPr="001B4BD5">
            <w:br/>
          </w:r>
          <w:r>
            <w:t>Annual Report 2024 | 25</w:t>
          </w:r>
        </w:p>
      </w:tc>
      <w:tc>
        <w:tcPr>
          <w:tcW w:w="818" w:type="dxa"/>
        </w:tcPr>
        <w:p w14:paraId="7201F725" w14:textId="77777777" w:rsidR="005D2595" w:rsidRPr="00734B39" w:rsidRDefault="005D2595" w:rsidP="00E1021A">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47</w:t>
          </w:r>
          <w:r w:rsidRPr="00734B39">
            <w:rPr>
              <w:rStyle w:val="PageNumber"/>
            </w:rPr>
            <w:fldChar w:fldCharType="end"/>
          </w:r>
        </w:p>
      </w:tc>
    </w:tr>
  </w:tbl>
  <w:p w14:paraId="6F47D242" w14:textId="0378D807" w:rsidR="005D2595" w:rsidRDefault="005D2595" w:rsidP="00E1021A">
    <w:pPr>
      <w:pStyle w:val="Spac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9075B" w14:textId="77777777" w:rsidR="005D2595" w:rsidRDefault="005D2595" w:rsidP="00F43157">
    <w:pPr>
      <w:pStyle w:val="Footer"/>
    </w:pPr>
    <w:r>
      <w:rPr>
        <w:noProof/>
      </w:rPr>
      <mc:AlternateContent>
        <mc:Choice Requires="wps">
          <w:drawing>
            <wp:anchor distT="0" distB="0" distL="114300" distR="114300" simplePos="0" relativeHeight="251658271" behindDoc="0" locked="0" layoutInCell="1" allowOverlap="1" wp14:anchorId="6F83E2E1" wp14:editId="31A3C547">
              <wp:simplePos x="0" y="0"/>
              <wp:positionH relativeFrom="page">
                <wp:posOffset>-1508760</wp:posOffset>
              </wp:positionH>
              <wp:positionV relativeFrom="page">
                <wp:posOffset>2130425</wp:posOffset>
              </wp:positionV>
              <wp:extent cx="3968496" cy="530352"/>
              <wp:effectExtent l="4445" t="0" r="0" b="0"/>
              <wp:wrapNone/>
              <wp:docPr id="1644089444" name="Text Box 1644089444"/>
              <wp:cNvGraphicFramePr/>
              <a:graphic xmlns:a="http://schemas.openxmlformats.org/drawingml/2006/main">
                <a:graphicData uri="http://schemas.microsoft.com/office/word/2010/wordprocessingShape">
                  <wps:wsp>
                    <wps:cNvSpPr txBox="1"/>
                    <wps:spPr>
                      <a:xfrm rot="5400000">
                        <a:off x="0" y="0"/>
                        <a:ext cx="3968496" cy="5303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149" w:type="pct"/>
                            <w:tblLayout w:type="fixed"/>
                            <w:tblCellMar>
                              <w:left w:w="57" w:type="dxa"/>
                              <w:right w:w="57" w:type="dxa"/>
                            </w:tblCellMar>
                            <w:tblLook w:val="0600" w:firstRow="0" w:lastRow="0" w:firstColumn="0" w:lastColumn="0" w:noHBand="1" w:noVBand="1"/>
                          </w:tblPr>
                          <w:tblGrid>
                            <w:gridCol w:w="712"/>
                            <w:gridCol w:w="5432"/>
                          </w:tblGrid>
                          <w:tr w:rsidR="005D2595" w14:paraId="0FFFF1B5" w14:textId="77777777" w:rsidTr="00572502">
                            <w:trPr>
                              <w:cantSplit/>
                            </w:trPr>
                            <w:tc>
                              <w:tcPr>
                                <w:tcW w:w="724" w:type="dxa"/>
                              </w:tcPr>
                              <w:p w14:paraId="4028A537" w14:textId="77777777" w:rsidR="005D2595" w:rsidRDefault="005D2595" w:rsidP="001C102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106</w:t>
                                </w:r>
                                <w:r w:rsidRPr="0018749C">
                                  <w:rPr>
                                    <w:rStyle w:val="PageNumber"/>
                                  </w:rPr>
                                  <w:fldChar w:fldCharType="end"/>
                                </w:r>
                              </w:p>
                            </w:tc>
                            <w:tc>
                              <w:tcPr>
                                <w:tcW w:w="5537" w:type="dxa"/>
                              </w:tcPr>
                              <w:p w14:paraId="725708F7" w14:textId="77777777" w:rsidR="005D2595" w:rsidRDefault="005D2595" w:rsidP="001C1023">
                                <w:pPr>
                                  <w:pStyle w:val="FooterEven"/>
                                </w:pPr>
                                <w:r w:rsidRPr="001B4BD5">
                                  <w:t>Department of Treasury and Finance</w:t>
                                </w:r>
                                <w:r w:rsidRPr="00734B39">
                                  <w:t xml:space="preserve"> </w:t>
                                </w:r>
                                <w:r>
                                  <w:br/>
                                </w:r>
                                <w:r w:rsidRPr="00734B39">
                                  <w:t>Annual</w:t>
                                </w:r>
                                <w:r>
                                  <w:t xml:space="preserve"> Report 2023 | 24</w:t>
                                </w:r>
                              </w:p>
                            </w:tc>
                          </w:tr>
                        </w:tbl>
                        <w:p w14:paraId="68E85789" w14:textId="77777777" w:rsidR="005D2595" w:rsidRDefault="005D2595" w:rsidP="00555119"/>
                        <w:p w14:paraId="3473181C" w14:textId="77777777" w:rsidR="005D2595" w:rsidRDefault="005D2595" w:rsidP="00555119"/>
                        <w:tbl>
                          <w:tblPr>
                            <w:tblW w:w="5001" w:type="pct"/>
                            <w:tblLayout w:type="fixed"/>
                            <w:tblCellMar>
                              <w:left w:w="57" w:type="dxa"/>
                              <w:right w:w="57" w:type="dxa"/>
                            </w:tblCellMar>
                            <w:tblLook w:val="0600" w:firstRow="0" w:lastRow="0" w:firstColumn="0" w:lastColumn="0" w:noHBand="1" w:noVBand="1"/>
                          </w:tblPr>
                          <w:tblGrid>
                            <w:gridCol w:w="536"/>
                            <w:gridCol w:w="5431"/>
                          </w:tblGrid>
                          <w:tr w:rsidR="005D2595" w14:paraId="70C1050F" w14:textId="77777777" w:rsidTr="001C1023">
                            <w:trPr>
                              <w:cantSplit/>
                            </w:trPr>
                            <w:tc>
                              <w:tcPr>
                                <w:tcW w:w="800" w:type="dxa"/>
                              </w:tcPr>
                              <w:p w14:paraId="3E70AEE2" w14:textId="77777777" w:rsidR="005D2595" w:rsidRDefault="005D2595" w:rsidP="001C102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106</w:t>
                                </w:r>
                                <w:r w:rsidRPr="0018749C">
                                  <w:rPr>
                                    <w:rStyle w:val="PageNumber"/>
                                  </w:rPr>
                                  <w:fldChar w:fldCharType="end"/>
                                </w:r>
                              </w:p>
                            </w:tc>
                            <w:tc>
                              <w:tcPr>
                                <w:tcW w:w="8918" w:type="dxa"/>
                              </w:tcPr>
                              <w:p w14:paraId="03F1DD3C" w14:textId="77777777" w:rsidR="005D2595" w:rsidRDefault="005D2595" w:rsidP="001C1023">
                                <w:pPr>
                                  <w:pStyle w:val="FooterEven"/>
                                </w:pPr>
                                <w:r w:rsidRPr="001B4BD5">
                                  <w:t>Department of Treasury and Finance</w:t>
                                </w:r>
                                <w:r w:rsidRPr="001B4BD5">
                                  <w:br/>
                                </w:r>
                                <w:r w:rsidRPr="00734B39">
                                  <w:t>Annual</w:t>
                                </w:r>
                                <w:r>
                                  <w:t xml:space="preserve"> Report 2016 | 17</w:t>
                                </w:r>
                              </w:p>
                            </w:tc>
                          </w:tr>
                        </w:tbl>
                        <w:p w14:paraId="37EC0E7B" w14:textId="77777777" w:rsidR="005D2595" w:rsidRDefault="005D2595" w:rsidP="005551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83E2E1" id="_x0000_t202" coordsize="21600,21600" o:spt="202" path="m,l,21600r21600,l21600,xe">
              <v:stroke joinstyle="miter"/>
              <v:path gradientshapeok="t" o:connecttype="rect"/>
            </v:shapetype>
            <v:shape id="Text Box 1644089444" o:spid="_x0000_s1050" type="#_x0000_t202" style="position:absolute;left:0;text-align:left;margin-left:-118.8pt;margin-top:167.75pt;width:312.5pt;height:41.75pt;rotation:90;z-index:2516582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" filled="f" stroked="f" strokeweight=".5pt">
              <v:textbox>
                <w:txbxContent>
                  <w:tbl>
                    <w:tblPr>
                      <w:tblW w:w="5149" w:type="pct"/>
                      <w:tblLayout w:type="fixed"/>
                      <w:tblCellMar>
                        <w:left w:w="57" w:type="dxa"/>
                        <w:right w:w="57" w:type="dxa"/>
                      </w:tblCellMar>
                      <w:tblLook w:val="0600" w:firstRow="0" w:lastRow="0" w:firstColumn="0" w:lastColumn="0" w:noHBand="1" w:noVBand="1"/>
                    </w:tblPr>
                    <w:tblGrid>
                      <w:gridCol w:w="712"/>
                      <w:gridCol w:w="5432"/>
                    </w:tblGrid>
                    <w:tr w:rsidR="005D2595" w14:paraId="0FFFF1B5" w14:textId="77777777" w:rsidTr="00572502">
                      <w:trPr>
                        <w:cantSplit/>
                      </w:trPr>
                      <w:tc>
                        <w:tcPr>
                          <w:tcW w:w="724" w:type="dxa"/>
                        </w:tcPr>
                        <w:p w14:paraId="4028A537" w14:textId="77777777" w:rsidR="005D2595" w:rsidRDefault="005D2595" w:rsidP="001C102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106</w:t>
                          </w:r>
                          <w:r w:rsidRPr="0018749C">
                            <w:rPr>
                              <w:rStyle w:val="PageNumber"/>
                            </w:rPr>
                            <w:fldChar w:fldCharType="end"/>
                          </w:r>
                        </w:p>
                      </w:tc>
                      <w:tc>
                        <w:tcPr>
                          <w:tcW w:w="5537" w:type="dxa"/>
                        </w:tcPr>
                        <w:p w14:paraId="725708F7" w14:textId="77777777" w:rsidR="005D2595" w:rsidRDefault="005D2595" w:rsidP="001C1023">
                          <w:pPr>
                            <w:pStyle w:val="FooterEven"/>
                          </w:pPr>
                          <w:r w:rsidRPr="001B4BD5">
                            <w:t>Department of Treasury and Finance</w:t>
                          </w:r>
                          <w:r w:rsidRPr="00734B39">
                            <w:t xml:space="preserve"> </w:t>
                          </w:r>
                          <w:r>
                            <w:br/>
                          </w:r>
                          <w:r w:rsidRPr="00734B39">
                            <w:t>Annual</w:t>
                          </w:r>
                          <w:r>
                            <w:t xml:space="preserve"> Report 2023 | 24</w:t>
                          </w:r>
                        </w:p>
                      </w:tc>
                    </w:tr>
                  </w:tbl>
                  <w:p w14:paraId="68E85789" w14:textId="77777777" w:rsidR="005D2595" w:rsidRDefault="005D2595" w:rsidP="00555119"/>
                  <w:p w14:paraId="3473181C" w14:textId="77777777" w:rsidR="005D2595" w:rsidRDefault="005D2595" w:rsidP="00555119"/>
                  <w:tbl>
                    <w:tblPr>
                      <w:tblW w:w="5001" w:type="pct"/>
                      <w:tblLayout w:type="fixed"/>
                      <w:tblCellMar>
                        <w:left w:w="57" w:type="dxa"/>
                        <w:right w:w="57" w:type="dxa"/>
                      </w:tblCellMar>
                      <w:tblLook w:val="0600" w:firstRow="0" w:lastRow="0" w:firstColumn="0" w:lastColumn="0" w:noHBand="1" w:noVBand="1"/>
                    </w:tblPr>
                    <w:tblGrid>
                      <w:gridCol w:w="536"/>
                      <w:gridCol w:w="5431"/>
                    </w:tblGrid>
                    <w:tr w:rsidR="005D2595" w14:paraId="70C1050F" w14:textId="77777777" w:rsidTr="001C1023">
                      <w:trPr>
                        <w:cantSplit/>
                      </w:trPr>
                      <w:tc>
                        <w:tcPr>
                          <w:tcW w:w="800" w:type="dxa"/>
                        </w:tcPr>
                        <w:p w14:paraId="3E70AEE2" w14:textId="77777777" w:rsidR="005D2595" w:rsidRDefault="005D2595" w:rsidP="001C102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106</w:t>
                          </w:r>
                          <w:r w:rsidRPr="0018749C">
                            <w:rPr>
                              <w:rStyle w:val="PageNumber"/>
                            </w:rPr>
                            <w:fldChar w:fldCharType="end"/>
                          </w:r>
                        </w:p>
                      </w:tc>
                      <w:tc>
                        <w:tcPr>
                          <w:tcW w:w="8918" w:type="dxa"/>
                        </w:tcPr>
                        <w:p w14:paraId="03F1DD3C" w14:textId="77777777" w:rsidR="005D2595" w:rsidRDefault="005D2595" w:rsidP="001C1023">
                          <w:pPr>
                            <w:pStyle w:val="FooterEven"/>
                          </w:pPr>
                          <w:r w:rsidRPr="001B4BD5">
                            <w:t>Department of Treasury and Finance</w:t>
                          </w:r>
                          <w:r w:rsidRPr="001B4BD5">
                            <w:br/>
                          </w:r>
                          <w:r w:rsidRPr="00734B39">
                            <w:t>Annual</w:t>
                          </w:r>
                          <w:r>
                            <w:t xml:space="preserve"> Report 2016 | 17</w:t>
                          </w:r>
                        </w:p>
                      </w:tc>
                    </w:tr>
                  </w:tbl>
                  <w:p w14:paraId="37EC0E7B" w14:textId="77777777" w:rsidR="005D2595" w:rsidRDefault="005D2595" w:rsidP="00555119"/>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3D63E" w14:textId="77777777" w:rsidR="005D2595" w:rsidRPr="00824215" w:rsidRDefault="005D2595" w:rsidP="00824215">
    <w:pPr>
      <w:pStyle w:val="Footer"/>
    </w:pPr>
    <w:r>
      <w:rPr>
        <w:noProof/>
      </w:rPr>
      <mc:AlternateContent>
        <mc:Choice Requires="wps">
          <w:drawing>
            <wp:anchor distT="0" distB="0" distL="114300" distR="114300" simplePos="0" relativeHeight="251658272" behindDoc="0" locked="0" layoutInCell="0" allowOverlap="0" wp14:anchorId="72D4123A" wp14:editId="4CCC2851">
              <wp:simplePos x="0" y="0"/>
              <wp:positionH relativeFrom="page">
                <wp:posOffset>-1718945</wp:posOffset>
              </wp:positionH>
              <wp:positionV relativeFrom="page">
                <wp:posOffset>4681855</wp:posOffset>
              </wp:positionV>
              <wp:extent cx="4407408" cy="521208"/>
              <wp:effectExtent l="0" t="0" r="0" b="0"/>
              <wp:wrapNone/>
              <wp:docPr id="1524824331" name="Text Box 1524824331"/>
              <wp:cNvGraphicFramePr/>
              <a:graphic xmlns:a="http://schemas.openxmlformats.org/drawingml/2006/main">
                <a:graphicData uri="http://schemas.microsoft.com/office/word/2010/wordprocessingShape">
                  <wps:wsp>
                    <wps:cNvSpPr txBox="1"/>
                    <wps:spPr>
                      <a:xfrm rot="5400000">
                        <a:off x="0" y="0"/>
                        <a:ext cx="4407408" cy="521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5D2595" w:rsidRPr="001E38A8" w14:paraId="6558C4E9" w14:textId="77777777" w:rsidTr="00D90070">
                            <w:trPr>
                              <w:cantSplit/>
                            </w:trPr>
                            <w:tc>
                              <w:tcPr>
                                <w:tcW w:w="5997" w:type="dxa"/>
                              </w:tcPr>
                              <w:p w14:paraId="75F44C3D" w14:textId="77777777" w:rsidR="005D2595" w:rsidRPr="001E38A8" w:rsidRDefault="005D2595" w:rsidP="00D90070">
                                <w:pPr>
                                  <w:pStyle w:val="FooterEven"/>
                                  <w:jc w:val="right"/>
                                </w:pPr>
                                <w:r w:rsidRPr="001E38A8">
                                  <w:t>Department of Treasury and Finance</w:t>
                                </w:r>
                                <w:r w:rsidRPr="001E38A8">
                                  <w:br/>
                                </w:r>
                                <w:r>
                                  <w:t>Annual Report 2024 | 25</w:t>
                                </w:r>
                              </w:p>
                            </w:tc>
                            <w:tc>
                              <w:tcPr>
                                <w:tcW w:w="817" w:type="dxa"/>
                              </w:tcPr>
                              <w:p w14:paraId="381DABE8" w14:textId="77777777" w:rsidR="005D2595" w:rsidRPr="001E38A8" w:rsidRDefault="005D2595"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109</w:t>
                                </w:r>
                                <w:r w:rsidRPr="001E38A8">
                                  <w:rPr>
                                    <w:rStyle w:val="PageNumber"/>
                                  </w:rPr>
                                  <w:fldChar w:fldCharType="end"/>
                                </w:r>
                              </w:p>
                            </w:tc>
                          </w:tr>
                        </w:tbl>
                        <w:p w14:paraId="1987127D" w14:textId="77777777" w:rsidR="005D2595" w:rsidRPr="001E38A8" w:rsidRDefault="005D2595" w:rsidP="0062075E"/>
                        <w:p w14:paraId="6DDCF1D7" w14:textId="77777777" w:rsidR="005D2595" w:rsidRPr="001E38A8" w:rsidRDefault="005D2595" w:rsidP="0062075E"/>
                        <w:tbl>
                          <w:tblPr>
                            <w:tblW w:w="6814" w:type="dxa"/>
                            <w:tblLayout w:type="fixed"/>
                            <w:tblCellMar>
                              <w:left w:w="57" w:type="dxa"/>
                              <w:right w:w="57" w:type="dxa"/>
                            </w:tblCellMar>
                            <w:tblLook w:val="0600" w:firstRow="0" w:lastRow="0" w:firstColumn="0" w:lastColumn="0" w:noHBand="1" w:noVBand="1"/>
                          </w:tblPr>
                          <w:tblGrid>
                            <w:gridCol w:w="5997"/>
                            <w:gridCol w:w="817"/>
                          </w:tblGrid>
                          <w:tr w:rsidR="005D2595" w:rsidRPr="001E38A8" w14:paraId="2F02FCFA" w14:textId="77777777" w:rsidTr="00D90070">
                            <w:trPr>
                              <w:cantSplit/>
                            </w:trPr>
                            <w:tc>
                              <w:tcPr>
                                <w:tcW w:w="5997" w:type="dxa"/>
                              </w:tcPr>
                              <w:p w14:paraId="5036BA4B" w14:textId="77777777" w:rsidR="005D2595" w:rsidRPr="001E38A8" w:rsidRDefault="005D2595" w:rsidP="00D90070">
                                <w:pPr>
                                  <w:pStyle w:val="FooterEven"/>
                                  <w:jc w:val="right"/>
                                </w:pPr>
                                <w:r w:rsidRPr="001E38A8">
                                  <w:t>Department of Treasury and Finance</w:t>
                                </w:r>
                                <w:r w:rsidRPr="001E38A8">
                                  <w:br/>
                                  <w:t>Annual Report 2016 | 17</w:t>
                                </w:r>
                              </w:p>
                            </w:tc>
                            <w:tc>
                              <w:tcPr>
                                <w:tcW w:w="817" w:type="dxa"/>
                              </w:tcPr>
                              <w:p w14:paraId="5E95AC61" w14:textId="77777777" w:rsidR="005D2595" w:rsidRPr="001E38A8" w:rsidRDefault="005D2595"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109</w:t>
                                </w:r>
                                <w:r w:rsidRPr="001E38A8">
                                  <w:rPr>
                                    <w:rStyle w:val="PageNumber"/>
                                  </w:rPr>
                                  <w:fldChar w:fldCharType="end"/>
                                </w:r>
                              </w:p>
                            </w:tc>
                          </w:tr>
                        </w:tbl>
                        <w:p w14:paraId="20AFC057" w14:textId="77777777" w:rsidR="005D2595" w:rsidRPr="001E38A8" w:rsidRDefault="005D2595" w:rsidP="006207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D4123A" id="_x0000_t202" coordsize="21600,21600" o:spt="202" path="m,l,21600r21600,l21600,xe">
              <v:stroke joinstyle="miter"/>
              <v:path gradientshapeok="t" o:connecttype="rect"/>
            </v:shapetype>
            <v:shape id="Text Box 1524824331" o:spid="_x0000_s1051" type="#_x0000_t202" style="position:absolute;left:0;text-align:left;margin-left:-135.35pt;margin-top:368.65pt;width:347.05pt;height:41.05pt;rotation:90;z-index:25165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" o:allowincell="f" o:allowoverlap="f" filled="f" stroked="f" strokeweight=".5pt">
              <v:textbo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5D2595" w:rsidRPr="001E38A8" w14:paraId="6558C4E9" w14:textId="77777777" w:rsidTr="00D90070">
                      <w:trPr>
                        <w:cantSplit/>
                      </w:trPr>
                      <w:tc>
                        <w:tcPr>
                          <w:tcW w:w="5997" w:type="dxa"/>
                        </w:tcPr>
                        <w:p w14:paraId="75F44C3D" w14:textId="77777777" w:rsidR="005D2595" w:rsidRPr="001E38A8" w:rsidRDefault="005D2595" w:rsidP="00D90070">
                          <w:pPr>
                            <w:pStyle w:val="FooterEven"/>
                            <w:jc w:val="right"/>
                          </w:pPr>
                          <w:r w:rsidRPr="001E38A8">
                            <w:t>Department of Treasury and Finance</w:t>
                          </w:r>
                          <w:r w:rsidRPr="001E38A8">
                            <w:br/>
                          </w:r>
                          <w:r>
                            <w:t>Annual Report 2024 | 25</w:t>
                          </w:r>
                        </w:p>
                      </w:tc>
                      <w:tc>
                        <w:tcPr>
                          <w:tcW w:w="817" w:type="dxa"/>
                        </w:tcPr>
                        <w:p w14:paraId="381DABE8" w14:textId="77777777" w:rsidR="005D2595" w:rsidRPr="001E38A8" w:rsidRDefault="005D2595"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109</w:t>
                          </w:r>
                          <w:r w:rsidRPr="001E38A8">
                            <w:rPr>
                              <w:rStyle w:val="PageNumber"/>
                            </w:rPr>
                            <w:fldChar w:fldCharType="end"/>
                          </w:r>
                        </w:p>
                      </w:tc>
                    </w:tr>
                  </w:tbl>
                  <w:p w14:paraId="1987127D" w14:textId="77777777" w:rsidR="005D2595" w:rsidRPr="001E38A8" w:rsidRDefault="005D2595" w:rsidP="0062075E"/>
                  <w:p w14:paraId="6DDCF1D7" w14:textId="77777777" w:rsidR="005D2595" w:rsidRPr="001E38A8" w:rsidRDefault="005D2595" w:rsidP="0062075E"/>
                  <w:tbl>
                    <w:tblPr>
                      <w:tblW w:w="6814" w:type="dxa"/>
                      <w:tblLayout w:type="fixed"/>
                      <w:tblCellMar>
                        <w:left w:w="57" w:type="dxa"/>
                        <w:right w:w="57" w:type="dxa"/>
                      </w:tblCellMar>
                      <w:tblLook w:val="0600" w:firstRow="0" w:lastRow="0" w:firstColumn="0" w:lastColumn="0" w:noHBand="1" w:noVBand="1"/>
                    </w:tblPr>
                    <w:tblGrid>
                      <w:gridCol w:w="5997"/>
                      <w:gridCol w:w="817"/>
                    </w:tblGrid>
                    <w:tr w:rsidR="005D2595" w:rsidRPr="001E38A8" w14:paraId="2F02FCFA" w14:textId="77777777" w:rsidTr="00D90070">
                      <w:trPr>
                        <w:cantSplit/>
                      </w:trPr>
                      <w:tc>
                        <w:tcPr>
                          <w:tcW w:w="5997" w:type="dxa"/>
                        </w:tcPr>
                        <w:p w14:paraId="5036BA4B" w14:textId="77777777" w:rsidR="005D2595" w:rsidRPr="001E38A8" w:rsidRDefault="005D2595" w:rsidP="00D90070">
                          <w:pPr>
                            <w:pStyle w:val="FooterEven"/>
                            <w:jc w:val="right"/>
                          </w:pPr>
                          <w:r w:rsidRPr="001E38A8">
                            <w:t>Department of Treasury and Finance</w:t>
                          </w:r>
                          <w:r w:rsidRPr="001E38A8">
                            <w:br/>
                            <w:t>Annual Report 2016 | 17</w:t>
                          </w:r>
                        </w:p>
                      </w:tc>
                      <w:tc>
                        <w:tcPr>
                          <w:tcW w:w="817" w:type="dxa"/>
                        </w:tcPr>
                        <w:p w14:paraId="5E95AC61" w14:textId="77777777" w:rsidR="005D2595" w:rsidRPr="001E38A8" w:rsidRDefault="005D2595"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109</w:t>
                          </w:r>
                          <w:r w:rsidRPr="001E38A8">
                            <w:rPr>
                              <w:rStyle w:val="PageNumber"/>
                            </w:rPr>
                            <w:fldChar w:fldCharType="end"/>
                          </w:r>
                        </w:p>
                      </w:tc>
                    </w:tr>
                  </w:tbl>
                  <w:p w14:paraId="20AFC057" w14:textId="77777777" w:rsidR="005D2595" w:rsidRPr="001E38A8" w:rsidRDefault="005D2595" w:rsidP="0062075E"/>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5D2595" w14:paraId="69448ED1" w14:textId="77777777" w:rsidTr="0062075E">
      <w:trPr>
        <w:cantSplit/>
      </w:trPr>
      <w:tc>
        <w:tcPr>
          <w:tcW w:w="800" w:type="dxa"/>
        </w:tcPr>
        <w:p w14:paraId="3B42267F" w14:textId="77777777" w:rsidR="005D2595" w:rsidRDefault="005D2595" w:rsidP="00EF46A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rPr>
            <w:t>46</w:t>
          </w:r>
          <w:r w:rsidRPr="0018749C">
            <w:rPr>
              <w:rStyle w:val="PageNumber"/>
            </w:rPr>
            <w:fldChar w:fldCharType="end"/>
          </w:r>
        </w:p>
      </w:tc>
      <w:tc>
        <w:tcPr>
          <w:tcW w:w="8918" w:type="dxa"/>
        </w:tcPr>
        <w:p w14:paraId="73CBB751" w14:textId="73BB0321" w:rsidR="005D2595" w:rsidRDefault="005D2595" w:rsidP="00EF46A3">
          <w:pPr>
            <w:pStyle w:val="FooterEven"/>
          </w:pPr>
          <w:r w:rsidRPr="001B4BD5">
            <w:t>Department of Treasury and Finance</w:t>
          </w:r>
          <w:r w:rsidRPr="001B4BD5">
            <w:br/>
          </w:r>
          <w:r>
            <w:t xml:space="preserve">Annual Report </w:t>
          </w:r>
          <w:r w:rsidR="00652D55">
            <w:t>2024 | 25</w:t>
          </w:r>
        </w:p>
      </w:tc>
    </w:tr>
  </w:tbl>
  <w:p w14:paraId="0627D374" w14:textId="77777777" w:rsidR="005D2595" w:rsidRDefault="005D2595" w:rsidP="00EF46A3">
    <w:pPr>
      <w:pStyle w:val="Spac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5D2595" w14:paraId="3C85E6CC" w14:textId="77777777" w:rsidTr="003474E2">
      <w:trPr>
        <w:cantSplit/>
      </w:trPr>
      <w:tc>
        <w:tcPr>
          <w:tcW w:w="9327" w:type="dxa"/>
        </w:tcPr>
        <w:p w14:paraId="133F01F7" w14:textId="1F0556E0" w:rsidR="005D2595" w:rsidRPr="001B4BD5" w:rsidRDefault="005D2595" w:rsidP="006011C5">
          <w:pPr>
            <w:pStyle w:val="Footer"/>
          </w:pPr>
          <w:r w:rsidRPr="001B4BD5">
            <w:t>Department of Treasury and Finance</w:t>
          </w:r>
          <w:r w:rsidRPr="001B4BD5">
            <w:br/>
          </w:r>
          <w:r w:rsidRPr="00734B39">
            <w:t>Annual</w:t>
          </w:r>
          <w:r>
            <w:t xml:space="preserve"> Report 202</w:t>
          </w:r>
          <w:r w:rsidR="00652D55">
            <w:t>4</w:t>
          </w:r>
          <w:r>
            <w:t xml:space="preserve"> | 2</w:t>
          </w:r>
          <w:r w:rsidR="00652D55">
            <w:t>5</w:t>
          </w:r>
        </w:p>
      </w:tc>
      <w:tc>
        <w:tcPr>
          <w:tcW w:w="818" w:type="dxa"/>
        </w:tcPr>
        <w:p w14:paraId="733B1447" w14:textId="77777777" w:rsidR="005D2595" w:rsidRPr="00734B39" w:rsidRDefault="005D2595" w:rsidP="006011C5">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rPr>
            <w:t>55</w:t>
          </w:r>
          <w:r w:rsidRPr="00734B39">
            <w:rPr>
              <w:rStyle w:val="PageNumber"/>
            </w:rPr>
            <w:fldChar w:fldCharType="end"/>
          </w:r>
        </w:p>
      </w:tc>
    </w:tr>
  </w:tbl>
  <w:p w14:paraId="77F3F573" w14:textId="77777777" w:rsidR="005D2595" w:rsidRDefault="005D2595" w:rsidP="006011C5">
    <w:pPr>
      <w:pStyle w:val="Spac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5D2595" w14:paraId="515F8672" w14:textId="77777777" w:rsidTr="0062075E">
      <w:trPr>
        <w:cantSplit/>
      </w:trPr>
      <w:tc>
        <w:tcPr>
          <w:tcW w:w="800" w:type="dxa"/>
        </w:tcPr>
        <w:p w14:paraId="06CE7CBB" w14:textId="77777777" w:rsidR="005D2595" w:rsidRDefault="005D2595" w:rsidP="00EF46A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rPr>
            <w:t>46</w:t>
          </w:r>
          <w:r w:rsidRPr="0018749C">
            <w:rPr>
              <w:rStyle w:val="PageNumber"/>
            </w:rPr>
            <w:fldChar w:fldCharType="end"/>
          </w:r>
        </w:p>
      </w:tc>
      <w:tc>
        <w:tcPr>
          <w:tcW w:w="8918" w:type="dxa"/>
        </w:tcPr>
        <w:p w14:paraId="3A93C0FD" w14:textId="5C45E795" w:rsidR="005D2595" w:rsidRDefault="005D2595" w:rsidP="00EF46A3">
          <w:pPr>
            <w:pStyle w:val="FooterEven"/>
          </w:pPr>
          <w:r w:rsidRPr="001B4BD5">
            <w:t>Department of Treasury and Finance</w:t>
          </w:r>
          <w:r w:rsidRPr="001B4BD5">
            <w:br/>
          </w:r>
          <w:r>
            <w:t xml:space="preserve">Annual Report </w:t>
          </w:r>
          <w:r w:rsidR="00652D55">
            <w:t>2024 | 25</w:t>
          </w:r>
        </w:p>
      </w:tc>
    </w:tr>
  </w:tbl>
  <w:p w14:paraId="58B5A9C4" w14:textId="77777777" w:rsidR="005D2595" w:rsidRDefault="005D2595" w:rsidP="00EF46A3">
    <w:pPr>
      <w:pStyle w:val="Spac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5D2595" w14:paraId="526B5663" w14:textId="77777777" w:rsidTr="0062075E">
      <w:trPr>
        <w:cantSplit/>
      </w:trPr>
      <w:tc>
        <w:tcPr>
          <w:tcW w:w="9327" w:type="dxa"/>
        </w:tcPr>
        <w:p w14:paraId="19F415A7" w14:textId="77777777" w:rsidR="005D2595" w:rsidRPr="001B4BD5" w:rsidRDefault="005D2595" w:rsidP="00EF46A3">
          <w:pPr>
            <w:pStyle w:val="Footer"/>
          </w:pPr>
          <w:r w:rsidRPr="001B4BD5">
            <w:t>Department of Treasury and Finance</w:t>
          </w:r>
          <w:r w:rsidRPr="001B4BD5">
            <w:br/>
          </w:r>
          <w:r>
            <w:t>Annual Report 2024 | 25</w:t>
          </w:r>
        </w:p>
      </w:tc>
      <w:tc>
        <w:tcPr>
          <w:tcW w:w="818" w:type="dxa"/>
        </w:tcPr>
        <w:p w14:paraId="43EF67BB" w14:textId="77777777" w:rsidR="005D2595" w:rsidRPr="00734B39" w:rsidRDefault="005D2595" w:rsidP="00EF46A3">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rPr>
            <w:t>45</w:t>
          </w:r>
          <w:r w:rsidRPr="00734B39">
            <w:rPr>
              <w:rStyle w:val="PageNumber"/>
            </w:rPr>
            <w:fldChar w:fldCharType="end"/>
          </w:r>
        </w:p>
      </w:tc>
    </w:tr>
  </w:tbl>
  <w:p w14:paraId="7ADDEB8E" w14:textId="77777777" w:rsidR="005D2595" w:rsidRDefault="005D2595" w:rsidP="00EF46A3">
    <w:pPr>
      <w:pStyle w:val="Spac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92"/>
      <w:gridCol w:w="8815"/>
    </w:tblGrid>
    <w:tr w:rsidR="007D3301" w14:paraId="1AC41447" w14:textId="77777777">
      <w:trPr>
        <w:cantSplit/>
      </w:trPr>
      <w:tc>
        <w:tcPr>
          <w:tcW w:w="800" w:type="dxa"/>
        </w:tcPr>
        <w:p w14:paraId="6C574B39" w14:textId="77777777" w:rsidR="007D3301" w:rsidRDefault="007D3301" w:rsidP="007D3301">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rPr>
            <w:t>78</w:t>
          </w:r>
          <w:r w:rsidRPr="0018749C">
            <w:rPr>
              <w:rStyle w:val="PageNumber"/>
            </w:rPr>
            <w:fldChar w:fldCharType="end"/>
          </w:r>
        </w:p>
      </w:tc>
      <w:tc>
        <w:tcPr>
          <w:tcW w:w="8918" w:type="dxa"/>
        </w:tcPr>
        <w:p w14:paraId="6BEDBEF8" w14:textId="77777777" w:rsidR="007D3301" w:rsidRDefault="007D3301" w:rsidP="007D3301">
          <w:pPr>
            <w:pStyle w:val="FooterEven"/>
          </w:pPr>
          <w:r w:rsidRPr="001B4BD5">
            <w:t>Department of Treasury and Finance</w:t>
          </w:r>
          <w:r w:rsidRPr="001B4BD5">
            <w:br/>
          </w:r>
          <w:r>
            <w:t>Annual Report 2024 | 25</w:t>
          </w:r>
        </w:p>
      </w:tc>
    </w:tr>
  </w:tbl>
  <w:p w14:paraId="6F4A95B9" w14:textId="77777777" w:rsidR="007D3301" w:rsidRDefault="007D3301" w:rsidP="007D3301">
    <w:pPr>
      <w:pStyle w:val="Spac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5D2595" w14:paraId="73F8E36E" w14:textId="77777777" w:rsidTr="00607ED6">
      <w:trPr>
        <w:cantSplit/>
      </w:trPr>
      <w:tc>
        <w:tcPr>
          <w:tcW w:w="800" w:type="dxa"/>
        </w:tcPr>
        <w:p w14:paraId="00B8027A" w14:textId="77777777" w:rsidR="005D2595" w:rsidRDefault="005D2595" w:rsidP="00607ED6">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70</w:t>
          </w:r>
          <w:r w:rsidRPr="0018749C">
            <w:rPr>
              <w:rStyle w:val="PageNumber"/>
            </w:rPr>
            <w:fldChar w:fldCharType="end"/>
          </w:r>
        </w:p>
      </w:tc>
      <w:tc>
        <w:tcPr>
          <w:tcW w:w="8918" w:type="dxa"/>
        </w:tcPr>
        <w:p w14:paraId="2E43A40A" w14:textId="77777777" w:rsidR="005D2595" w:rsidRDefault="005D2595" w:rsidP="00607ED6">
          <w:pPr>
            <w:pStyle w:val="FooterEven"/>
          </w:pPr>
          <w:r w:rsidRPr="001B4BD5">
            <w:t>Department of Treasury and Finance</w:t>
          </w:r>
          <w:r w:rsidRPr="001B4BD5">
            <w:br/>
          </w:r>
          <w:r>
            <w:t>Annual Report 2024 | 25</w:t>
          </w:r>
        </w:p>
      </w:tc>
    </w:tr>
  </w:tbl>
  <w:p w14:paraId="2E39E976" w14:textId="77777777" w:rsidR="005D2595" w:rsidRDefault="005D2595" w:rsidP="00B8418B">
    <w:pPr>
      <w:pStyle w:val="Spac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2" w:type="pct"/>
      <w:tblLayout w:type="fixed"/>
      <w:tblCellMar>
        <w:left w:w="57" w:type="dxa"/>
        <w:right w:w="57" w:type="dxa"/>
      </w:tblCellMar>
      <w:tblLook w:val="0600" w:firstRow="0" w:lastRow="0" w:firstColumn="0" w:lastColumn="0" w:noHBand="1" w:noVBand="1"/>
    </w:tblPr>
    <w:tblGrid>
      <w:gridCol w:w="9221"/>
      <w:gridCol w:w="810"/>
    </w:tblGrid>
    <w:tr w:rsidR="006F4A00" w14:paraId="5810846B" w14:textId="77777777" w:rsidTr="00D16853">
      <w:trPr>
        <w:cantSplit/>
      </w:trPr>
      <w:tc>
        <w:tcPr>
          <w:tcW w:w="9332" w:type="dxa"/>
        </w:tcPr>
        <w:p w14:paraId="6AB7CAD6" w14:textId="2B629668" w:rsidR="006F4A00" w:rsidRPr="009265C5" w:rsidRDefault="006F4A00" w:rsidP="00325C78">
          <w:pPr>
            <w:pStyle w:val="Footer"/>
          </w:pPr>
          <w:r w:rsidRPr="001B4BD5">
            <w:t>Department of Treasury and Finance</w:t>
          </w:r>
          <w:r w:rsidRPr="001B4BD5">
            <w:br/>
          </w:r>
          <w:r w:rsidRPr="00734B39">
            <w:t>Annual</w:t>
          </w:r>
          <w:r>
            <w:t xml:space="preserve"> Report </w:t>
          </w:r>
          <w:r w:rsidR="00C30F42">
            <w:t>2024 | 25</w:t>
          </w:r>
        </w:p>
      </w:tc>
      <w:tc>
        <w:tcPr>
          <w:tcW w:w="818" w:type="dxa"/>
        </w:tcPr>
        <w:p w14:paraId="27ED5CDE" w14:textId="77777777" w:rsidR="006F4A00" w:rsidRPr="00AC5156" w:rsidRDefault="006F4A00" w:rsidP="00F610CA">
          <w:pPr>
            <w:pStyle w:val="Footer"/>
            <w:rPr>
              <w:rStyle w:val="PageNumber"/>
            </w:rPr>
          </w:pPr>
          <w:r w:rsidRPr="00AC5156">
            <w:rPr>
              <w:rStyle w:val="PageNumber"/>
            </w:rPr>
            <w:fldChar w:fldCharType="begin"/>
          </w:r>
          <w:r w:rsidRPr="00AC5156">
            <w:rPr>
              <w:rStyle w:val="PageNumber"/>
            </w:rPr>
            <w:instrText xml:space="preserve"> Page </w:instrText>
          </w:r>
          <w:r w:rsidRPr="00AC5156">
            <w:rPr>
              <w:rStyle w:val="PageNumber"/>
            </w:rPr>
            <w:fldChar w:fldCharType="separate"/>
          </w:r>
          <w:r>
            <w:rPr>
              <w:rStyle w:val="PageNumber"/>
              <w:noProof/>
            </w:rPr>
            <w:t>i</w:t>
          </w:r>
          <w:r w:rsidRPr="00AC5156">
            <w:rPr>
              <w:rStyle w:val="PageNumber"/>
            </w:rPr>
            <w:fldChar w:fldCharType="end"/>
          </w:r>
        </w:p>
      </w:tc>
    </w:tr>
  </w:tbl>
  <w:p w14:paraId="0CB4D990" w14:textId="77777777" w:rsidR="006F4A00" w:rsidRDefault="006F4A00" w:rsidP="00F610CA">
    <w:pPr>
      <w:pStyle w:val="Spac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695AB" w14:textId="77777777" w:rsidR="005D2595" w:rsidRDefault="005D2595" w:rsidP="00F43157">
    <w:pPr>
      <w:pStyle w:val="Footer"/>
    </w:pPr>
    <w:r>
      <w:rPr>
        <w:noProof/>
      </w:rPr>
      <mc:AlternateContent>
        <mc:Choice Requires="wps">
          <w:drawing>
            <wp:anchor distT="0" distB="0" distL="114300" distR="114300" simplePos="0" relativeHeight="251658275" behindDoc="0" locked="0" layoutInCell="1" allowOverlap="1" wp14:anchorId="01BBCC39" wp14:editId="1C9650D2">
              <wp:simplePos x="0" y="0"/>
              <wp:positionH relativeFrom="page">
                <wp:posOffset>-1508760</wp:posOffset>
              </wp:positionH>
              <wp:positionV relativeFrom="page">
                <wp:posOffset>2130425</wp:posOffset>
              </wp:positionV>
              <wp:extent cx="3968496" cy="530352"/>
              <wp:effectExtent l="4445" t="0" r="0" b="0"/>
              <wp:wrapNone/>
              <wp:docPr id="33584612" name="Text Box 33584612"/>
              <wp:cNvGraphicFramePr/>
              <a:graphic xmlns:a="http://schemas.openxmlformats.org/drawingml/2006/main">
                <a:graphicData uri="http://schemas.microsoft.com/office/word/2010/wordprocessingShape">
                  <wps:wsp>
                    <wps:cNvSpPr txBox="1"/>
                    <wps:spPr>
                      <a:xfrm rot="5400000">
                        <a:off x="0" y="0"/>
                        <a:ext cx="3968496" cy="5303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149" w:type="pct"/>
                            <w:tblLayout w:type="fixed"/>
                            <w:tblCellMar>
                              <w:left w:w="57" w:type="dxa"/>
                              <w:right w:w="57" w:type="dxa"/>
                            </w:tblCellMar>
                            <w:tblLook w:val="0600" w:firstRow="0" w:lastRow="0" w:firstColumn="0" w:lastColumn="0" w:noHBand="1" w:noVBand="1"/>
                          </w:tblPr>
                          <w:tblGrid>
                            <w:gridCol w:w="712"/>
                            <w:gridCol w:w="5432"/>
                          </w:tblGrid>
                          <w:tr w:rsidR="005D2595" w14:paraId="431C4E92" w14:textId="77777777" w:rsidTr="00572502">
                            <w:trPr>
                              <w:cantSplit/>
                            </w:trPr>
                            <w:tc>
                              <w:tcPr>
                                <w:tcW w:w="724" w:type="dxa"/>
                              </w:tcPr>
                              <w:p w14:paraId="4A9D2641" w14:textId="77777777" w:rsidR="005D2595" w:rsidRDefault="005D2595" w:rsidP="001C102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106</w:t>
                                </w:r>
                                <w:r w:rsidRPr="0018749C">
                                  <w:rPr>
                                    <w:rStyle w:val="PageNumber"/>
                                  </w:rPr>
                                  <w:fldChar w:fldCharType="end"/>
                                </w:r>
                              </w:p>
                            </w:tc>
                            <w:tc>
                              <w:tcPr>
                                <w:tcW w:w="5537" w:type="dxa"/>
                              </w:tcPr>
                              <w:p w14:paraId="09D17258" w14:textId="77777777" w:rsidR="005D2595" w:rsidRDefault="005D2595" w:rsidP="001C1023">
                                <w:pPr>
                                  <w:pStyle w:val="FooterEven"/>
                                </w:pPr>
                                <w:r w:rsidRPr="001B4BD5">
                                  <w:t>Department of Treasury and Finance</w:t>
                                </w:r>
                                <w:r w:rsidRPr="00734B39">
                                  <w:t xml:space="preserve"> </w:t>
                                </w:r>
                                <w:r>
                                  <w:br/>
                                  <w:t>Annual Report 2024 | 25</w:t>
                                </w:r>
                              </w:p>
                            </w:tc>
                          </w:tr>
                        </w:tbl>
                        <w:p w14:paraId="2FFEFE26" w14:textId="77777777" w:rsidR="005D2595" w:rsidRDefault="005D2595" w:rsidP="00F43157"/>
                        <w:p w14:paraId="6468B9BD" w14:textId="77777777" w:rsidR="005D2595" w:rsidRDefault="005D2595" w:rsidP="00F43157"/>
                        <w:tbl>
                          <w:tblPr>
                            <w:tblW w:w="5001" w:type="pct"/>
                            <w:tblLayout w:type="fixed"/>
                            <w:tblCellMar>
                              <w:left w:w="57" w:type="dxa"/>
                              <w:right w:w="57" w:type="dxa"/>
                            </w:tblCellMar>
                            <w:tblLook w:val="0600" w:firstRow="0" w:lastRow="0" w:firstColumn="0" w:lastColumn="0" w:noHBand="1" w:noVBand="1"/>
                          </w:tblPr>
                          <w:tblGrid>
                            <w:gridCol w:w="536"/>
                            <w:gridCol w:w="5431"/>
                          </w:tblGrid>
                          <w:tr w:rsidR="005D2595" w14:paraId="1AE94B25" w14:textId="77777777" w:rsidTr="001C1023">
                            <w:trPr>
                              <w:cantSplit/>
                            </w:trPr>
                            <w:tc>
                              <w:tcPr>
                                <w:tcW w:w="800" w:type="dxa"/>
                              </w:tcPr>
                              <w:p w14:paraId="20AA81DF" w14:textId="77777777" w:rsidR="005D2595" w:rsidRDefault="005D2595" w:rsidP="001C102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106</w:t>
                                </w:r>
                                <w:r w:rsidRPr="0018749C">
                                  <w:rPr>
                                    <w:rStyle w:val="PageNumber"/>
                                  </w:rPr>
                                  <w:fldChar w:fldCharType="end"/>
                                </w:r>
                              </w:p>
                            </w:tc>
                            <w:tc>
                              <w:tcPr>
                                <w:tcW w:w="8918" w:type="dxa"/>
                              </w:tcPr>
                              <w:p w14:paraId="4845054E" w14:textId="77777777" w:rsidR="005D2595" w:rsidRDefault="005D2595" w:rsidP="001C1023">
                                <w:pPr>
                                  <w:pStyle w:val="FooterEven"/>
                                </w:pPr>
                                <w:r w:rsidRPr="001B4BD5">
                                  <w:t>Department of Treasury and Finance</w:t>
                                </w:r>
                                <w:r w:rsidRPr="001B4BD5">
                                  <w:br/>
                                </w:r>
                                <w:r w:rsidRPr="00734B39">
                                  <w:t>Annual</w:t>
                                </w:r>
                                <w:r>
                                  <w:t xml:space="preserve"> Report 2016 | 17</w:t>
                                </w:r>
                              </w:p>
                            </w:tc>
                          </w:tr>
                        </w:tbl>
                        <w:p w14:paraId="02F47AB3" w14:textId="77777777" w:rsidR="005D2595" w:rsidRDefault="005D2595" w:rsidP="00F431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BBCC39" id="_x0000_t202" coordsize="21600,21600" o:spt="202" path="m,l,21600r21600,l21600,xe">
              <v:stroke joinstyle="miter"/>
              <v:path gradientshapeok="t" o:connecttype="rect"/>
            </v:shapetype>
            <v:shape id="Text Box 33584612" o:spid="_x0000_s1054" type="#_x0000_t202" style="position:absolute;left:0;text-align:left;margin-left:-118.8pt;margin-top:167.75pt;width:312.5pt;height:41.75pt;rotation:90;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" filled="f" stroked="f" strokeweight=".5pt">
              <v:textbox>
                <w:txbxContent>
                  <w:tbl>
                    <w:tblPr>
                      <w:tblW w:w="5149" w:type="pct"/>
                      <w:tblLayout w:type="fixed"/>
                      <w:tblCellMar>
                        <w:left w:w="57" w:type="dxa"/>
                        <w:right w:w="57" w:type="dxa"/>
                      </w:tblCellMar>
                      <w:tblLook w:val="0600" w:firstRow="0" w:lastRow="0" w:firstColumn="0" w:lastColumn="0" w:noHBand="1" w:noVBand="1"/>
                    </w:tblPr>
                    <w:tblGrid>
                      <w:gridCol w:w="712"/>
                      <w:gridCol w:w="5432"/>
                    </w:tblGrid>
                    <w:tr w:rsidR="005D2595" w14:paraId="431C4E92" w14:textId="77777777" w:rsidTr="00572502">
                      <w:trPr>
                        <w:cantSplit/>
                      </w:trPr>
                      <w:tc>
                        <w:tcPr>
                          <w:tcW w:w="724" w:type="dxa"/>
                        </w:tcPr>
                        <w:p w14:paraId="4A9D2641" w14:textId="77777777" w:rsidR="005D2595" w:rsidRDefault="005D2595" w:rsidP="001C102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106</w:t>
                          </w:r>
                          <w:r w:rsidRPr="0018749C">
                            <w:rPr>
                              <w:rStyle w:val="PageNumber"/>
                            </w:rPr>
                            <w:fldChar w:fldCharType="end"/>
                          </w:r>
                        </w:p>
                      </w:tc>
                      <w:tc>
                        <w:tcPr>
                          <w:tcW w:w="5537" w:type="dxa"/>
                        </w:tcPr>
                        <w:p w14:paraId="09D17258" w14:textId="77777777" w:rsidR="005D2595" w:rsidRDefault="005D2595" w:rsidP="001C1023">
                          <w:pPr>
                            <w:pStyle w:val="FooterEven"/>
                          </w:pPr>
                          <w:r w:rsidRPr="001B4BD5">
                            <w:t>Department of Treasury and Finance</w:t>
                          </w:r>
                          <w:r w:rsidRPr="00734B39">
                            <w:t xml:space="preserve"> </w:t>
                          </w:r>
                          <w:r>
                            <w:br/>
                            <w:t>Annual Report 2024 | 25</w:t>
                          </w:r>
                        </w:p>
                      </w:tc>
                    </w:tr>
                  </w:tbl>
                  <w:p w14:paraId="2FFEFE26" w14:textId="77777777" w:rsidR="005D2595" w:rsidRDefault="005D2595" w:rsidP="00F43157"/>
                  <w:p w14:paraId="6468B9BD" w14:textId="77777777" w:rsidR="005D2595" w:rsidRDefault="005D2595" w:rsidP="00F43157"/>
                  <w:tbl>
                    <w:tblPr>
                      <w:tblW w:w="5001" w:type="pct"/>
                      <w:tblLayout w:type="fixed"/>
                      <w:tblCellMar>
                        <w:left w:w="57" w:type="dxa"/>
                        <w:right w:w="57" w:type="dxa"/>
                      </w:tblCellMar>
                      <w:tblLook w:val="0600" w:firstRow="0" w:lastRow="0" w:firstColumn="0" w:lastColumn="0" w:noHBand="1" w:noVBand="1"/>
                    </w:tblPr>
                    <w:tblGrid>
                      <w:gridCol w:w="536"/>
                      <w:gridCol w:w="5431"/>
                    </w:tblGrid>
                    <w:tr w:rsidR="005D2595" w14:paraId="1AE94B25" w14:textId="77777777" w:rsidTr="001C1023">
                      <w:trPr>
                        <w:cantSplit/>
                      </w:trPr>
                      <w:tc>
                        <w:tcPr>
                          <w:tcW w:w="800" w:type="dxa"/>
                        </w:tcPr>
                        <w:p w14:paraId="20AA81DF" w14:textId="77777777" w:rsidR="005D2595" w:rsidRDefault="005D2595" w:rsidP="001C1023">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106</w:t>
                          </w:r>
                          <w:r w:rsidRPr="0018749C">
                            <w:rPr>
                              <w:rStyle w:val="PageNumber"/>
                            </w:rPr>
                            <w:fldChar w:fldCharType="end"/>
                          </w:r>
                        </w:p>
                      </w:tc>
                      <w:tc>
                        <w:tcPr>
                          <w:tcW w:w="8918" w:type="dxa"/>
                        </w:tcPr>
                        <w:p w14:paraId="4845054E" w14:textId="77777777" w:rsidR="005D2595" w:rsidRDefault="005D2595" w:rsidP="001C1023">
                          <w:pPr>
                            <w:pStyle w:val="FooterEven"/>
                          </w:pPr>
                          <w:r w:rsidRPr="001B4BD5">
                            <w:t>Department of Treasury and Finance</w:t>
                          </w:r>
                          <w:r w:rsidRPr="001B4BD5">
                            <w:br/>
                          </w:r>
                          <w:r w:rsidRPr="00734B39">
                            <w:t>Annual</w:t>
                          </w:r>
                          <w:r>
                            <w:t xml:space="preserve"> Report 2016 | 17</w:t>
                          </w:r>
                        </w:p>
                      </w:tc>
                    </w:tr>
                  </w:tbl>
                  <w:p w14:paraId="02F47AB3" w14:textId="77777777" w:rsidR="005D2595" w:rsidRDefault="005D2595" w:rsidP="00F43157"/>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01516" w14:textId="081B48F6" w:rsidR="005D2595" w:rsidRPr="00824215" w:rsidRDefault="005D2595" w:rsidP="00824215">
    <w:pPr>
      <w:pStyle w:val="Footer"/>
    </w:pPr>
    <w:r>
      <w:rPr>
        <w:noProof/>
      </w:rPr>
      <mc:AlternateContent>
        <mc:Choice Requires="wps">
          <w:drawing>
            <wp:anchor distT="0" distB="0" distL="114300" distR="114300" simplePos="0" relativeHeight="251658276" behindDoc="0" locked="0" layoutInCell="0" allowOverlap="0" wp14:anchorId="4DA73EEA" wp14:editId="19CAB240">
              <wp:simplePos x="0" y="0"/>
              <wp:positionH relativeFrom="page">
                <wp:posOffset>-1718945</wp:posOffset>
              </wp:positionH>
              <wp:positionV relativeFrom="page">
                <wp:posOffset>4681855</wp:posOffset>
              </wp:positionV>
              <wp:extent cx="4407408" cy="521208"/>
              <wp:effectExtent l="0" t="0" r="0" b="0"/>
              <wp:wrapNone/>
              <wp:docPr id="1853335491" name="Text Box 1853335491"/>
              <wp:cNvGraphicFramePr/>
              <a:graphic xmlns:a="http://schemas.openxmlformats.org/drawingml/2006/main">
                <a:graphicData uri="http://schemas.microsoft.com/office/word/2010/wordprocessingShape">
                  <wps:wsp>
                    <wps:cNvSpPr txBox="1"/>
                    <wps:spPr>
                      <a:xfrm rot="5400000">
                        <a:off x="0" y="0"/>
                        <a:ext cx="4407408" cy="521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5D2595" w:rsidRPr="001E38A8" w14:paraId="2632E78D" w14:textId="77777777" w:rsidTr="00D90070">
                            <w:trPr>
                              <w:cantSplit/>
                            </w:trPr>
                            <w:tc>
                              <w:tcPr>
                                <w:tcW w:w="5997" w:type="dxa"/>
                              </w:tcPr>
                              <w:p w14:paraId="7813D79A" w14:textId="77777777" w:rsidR="005D2595" w:rsidRPr="001E38A8" w:rsidRDefault="005D2595" w:rsidP="00D90070">
                                <w:pPr>
                                  <w:pStyle w:val="FooterEven"/>
                                  <w:jc w:val="right"/>
                                </w:pPr>
                                <w:r w:rsidRPr="001E38A8">
                                  <w:t>Department of Treasury and Finance</w:t>
                                </w:r>
                                <w:r w:rsidRPr="001E38A8">
                                  <w:br/>
                                  <w:t xml:space="preserve">Annual Report </w:t>
                                </w:r>
                                <w:r>
                                  <w:t>2024 | 25</w:t>
                                </w:r>
                              </w:p>
                            </w:tc>
                            <w:tc>
                              <w:tcPr>
                                <w:tcW w:w="817" w:type="dxa"/>
                              </w:tcPr>
                              <w:p w14:paraId="2C432017" w14:textId="77777777" w:rsidR="005D2595" w:rsidRPr="001E38A8" w:rsidRDefault="005D2595"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109</w:t>
                                </w:r>
                                <w:r w:rsidRPr="001E38A8">
                                  <w:rPr>
                                    <w:rStyle w:val="PageNumber"/>
                                  </w:rPr>
                                  <w:fldChar w:fldCharType="end"/>
                                </w:r>
                              </w:p>
                            </w:tc>
                          </w:tr>
                        </w:tbl>
                        <w:p w14:paraId="09E9D3DC" w14:textId="77777777" w:rsidR="005D2595" w:rsidRPr="001E38A8" w:rsidRDefault="005D2595" w:rsidP="007B74A0"/>
                        <w:p w14:paraId="6A7144E9" w14:textId="77777777" w:rsidR="005D2595" w:rsidRPr="001E38A8" w:rsidRDefault="005D2595" w:rsidP="007B74A0"/>
                        <w:tbl>
                          <w:tblPr>
                            <w:tblW w:w="6814" w:type="dxa"/>
                            <w:tblLayout w:type="fixed"/>
                            <w:tblCellMar>
                              <w:left w:w="57" w:type="dxa"/>
                              <w:right w:w="57" w:type="dxa"/>
                            </w:tblCellMar>
                            <w:tblLook w:val="0600" w:firstRow="0" w:lastRow="0" w:firstColumn="0" w:lastColumn="0" w:noHBand="1" w:noVBand="1"/>
                          </w:tblPr>
                          <w:tblGrid>
                            <w:gridCol w:w="5997"/>
                            <w:gridCol w:w="817"/>
                          </w:tblGrid>
                          <w:tr w:rsidR="005D2595" w:rsidRPr="001E38A8" w14:paraId="532D2318" w14:textId="77777777" w:rsidTr="00D90070">
                            <w:trPr>
                              <w:cantSplit/>
                            </w:trPr>
                            <w:tc>
                              <w:tcPr>
                                <w:tcW w:w="5997" w:type="dxa"/>
                              </w:tcPr>
                              <w:p w14:paraId="166D7C02" w14:textId="77777777" w:rsidR="005D2595" w:rsidRPr="001E38A8" w:rsidRDefault="005D2595" w:rsidP="00D90070">
                                <w:pPr>
                                  <w:pStyle w:val="FooterEven"/>
                                  <w:jc w:val="right"/>
                                </w:pPr>
                                <w:r w:rsidRPr="001E38A8">
                                  <w:t>Department of Treasury and Finance</w:t>
                                </w:r>
                                <w:r w:rsidRPr="001E38A8">
                                  <w:br/>
                                  <w:t>Annual Report 2016 | 17</w:t>
                                </w:r>
                              </w:p>
                            </w:tc>
                            <w:tc>
                              <w:tcPr>
                                <w:tcW w:w="817" w:type="dxa"/>
                              </w:tcPr>
                              <w:p w14:paraId="013B18A5" w14:textId="77777777" w:rsidR="005D2595" w:rsidRPr="001E38A8" w:rsidRDefault="005D2595"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109</w:t>
                                </w:r>
                                <w:r w:rsidRPr="001E38A8">
                                  <w:rPr>
                                    <w:rStyle w:val="PageNumber"/>
                                  </w:rPr>
                                  <w:fldChar w:fldCharType="end"/>
                                </w:r>
                              </w:p>
                            </w:tc>
                          </w:tr>
                        </w:tbl>
                        <w:p w14:paraId="05A82F8F" w14:textId="77777777" w:rsidR="005D2595" w:rsidRPr="001E38A8" w:rsidRDefault="005D2595" w:rsidP="007B74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A73EEA" id="_x0000_t202" coordsize="21600,21600" o:spt="202" path="m,l,21600r21600,l21600,xe">
              <v:stroke joinstyle="miter"/>
              <v:path gradientshapeok="t" o:connecttype="rect"/>
            </v:shapetype>
            <v:shape id="Text Box 1853335491" o:spid="_x0000_s1055" type="#_x0000_t202" style="position:absolute;left:0;text-align:left;margin-left:-135.35pt;margin-top:368.65pt;width:347.05pt;height:41.05pt;rotation:90;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" o:allowincell="f" o:allowoverlap="f" filled="f" stroked="f" strokeweight=".5pt">
              <v:textbo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5D2595" w:rsidRPr="001E38A8" w14:paraId="2632E78D" w14:textId="77777777" w:rsidTr="00D90070">
                      <w:trPr>
                        <w:cantSplit/>
                      </w:trPr>
                      <w:tc>
                        <w:tcPr>
                          <w:tcW w:w="5997" w:type="dxa"/>
                        </w:tcPr>
                        <w:p w14:paraId="7813D79A" w14:textId="77777777" w:rsidR="005D2595" w:rsidRPr="001E38A8" w:rsidRDefault="005D2595" w:rsidP="00D90070">
                          <w:pPr>
                            <w:pStyle w:val="FooterEven"/>
                            <w:jc w:val="right"/>
                          </w:pPr>
                          <w:r w:rsidRPr="001E38A8">
                            <w:t>Department of Treasury and Finance</w:t>
                          </w:r>
                          <w:r w:rsidRPr="001E38A8">
                            <w:br/>
                            <w:t xml:space="preserve">Annual Report </w:t>
                          </w:r>
                          <w:r>
                            <w:t>2024 | 25</w:t>
                          </w:r>
                        </w:p>
                      </w:tc>
                      <w:tc>
                        <w:tcPr>
                          <w:tcW w:w="817" w:type="dxa"/>
                        </w:tcPr>
                        <w:p w14:paraId="2C432017" w14:textId="77777777" w:rsidR="005D2595" w:rsidRPr="001E38A8" w:rsidRDefault="005D2595"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109</w:t>
                          </w:r>
                          <w:r w:rsidRPr="001E38A8">
                            <w:rPr>
                              <w:rStyle w:val="PageNumber"/>
                            </w:rPr>
                            <w:fldChar w:fldCharType="end"/>
                          </w:r>
                        </w:p>
                      </w:tc>
                    </w:tr>
                  </w:tbl>
                  <w:p w14:paraId="09E9D3DC" w14:textId="77777777" w:rsidR="005D2595" w:rsidRPr="001E38A8" w:rsidRDefault="005D2595" w:rsidP="007B74A0"/>
                  <w:p w14:paraId="6A7144E9" w14:textId="77777777" w:rsidR="005D2595" w:rsidRPr="001E38A8" w:rsidRDefault="005D2595" w:rsidP="007B74A0"/>
                  <w:tbl>
                    <w:tblPr>
                      <w:tblW w:w="6814" w:type="dxa"/>
                      <w:tblLayout w:type="fixed"/>
                      <w:tblCellMar>
                        <w:left w:w="57" w:type="dxa"/>
                        <w:right w:w="57" w:type="dxa"/>
                      </w:tblCellMar>
                      <w:tblLook w:val="0600" w:firstRow="0" w:lastRow="0" w:firstColumn="0" w:lastColumn="0" w:noHBand="1" w:noVBand="1"/>
                    </w:tblPr>
                    <w:tblGrid>
                      <w:gridCol w:w="5997"/>
                      <w:gridCol w:w="817"/>
                    </w:tblGrid>
                    <w:tr w:rsidR="005D2595" w:rsidRPr="001E38A8" w14:paraId="532D2318" w14:textId="77777777" w:rsidTr="00D90070">
                      <w:trPr>
                        <w:cantSplit/>
                      </w:trPr>
                      <w:tc>
                        <w:tcPr>
                          <w:tcW w:w="5997" w:type="dxa"/>
                        </w:tcPr>
                        <w:p w14:paraId="166D7C02" w14:textId="77777777" w:rsidR="005D2595" w:rsidRPr="001E38A8" w:rsidRDefault="005D2595" w:rsidP="00D90070">
                          <w:pPr>
                            <w:pStyle w:val="FooterEven"/>
                            <w:jc w:val="right"/>
                          </w:pPr>
                          <w:r w:rsidRPr="001E38A8">
                            <w:t>Department of Treasury and Finance</w:t>
                          </w:r>
                          <w:r w:rsidRPr="001E38A8">
                            <w:br/>
                            <w:t>Annual Report 2016 | 17</w:t>
                          </w:r>
                        </w:p>
                      </w:tc>
                      <w:tc>
                        <w:tcPr>
                          <w:tcW w:w="817" w:type="dxa"/>
                        </w:tcPr>
                        <w:p w14:paraId="013B18A5" w14:textId="77777777" w:rsidR="005D2595" w:rsidRPr="001E38A8" w:rsidRDefault="005D2595"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109</w:t>
                          </w:r>
                          <w:r w:rsidRPr="001E38A8">
                            <w:rPr>
                              <w:rStyle w:val="PageNumber"/>
                            </w:rPr>
                            <w:fldChar w:fldCharType="end"/>
                          </w:r>
                        </w:p>
                      </w:tc>
                    </w:tr>
                  </w:tbl>
                  <w:p w14:paraId="05A82F8F" w14:textId="77777777" w:rsidR="005D2595" w:rsidRPr="001E38A8" w:rsidRDefault="005D2595" w:rsidP="007B74A0"/>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5D2595" w14:paraId="55F51C47" w14:textId="77777777" w:rsidTr="00607ED6">
      <w:trPr>
        <w:cantSplit/>
      </w:trPr>
      <w:tc>
        <w:tcPr>
          <w:tcW w:w="800" w:type="dxa"/>
        </w:tcPr>
        <w:p w14:paraId="2361D5B6" w14:textId="77777777" w:rsidR="005D2595" w:rsidRDefault="005D2595" w:rsidP="00607ED6">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98</w:t>
          </w:r>
          <w:r w:rsidRPr="0018749C">
            <w:rPr>
              <w:rStyle w:val="PageNumber"/>
            </w:rPr>
            <w:fldChar w:fldCharType="end"/>
          </w:r>
        </w:p>
      </w:tc>
      <w:tc>
        <w:tcPr>
          <w:tcW w:w="8918" w:type="dxa"/>
        </w:tcPr>
        <w:p w14:paraId="7B50630E" w14:textId="77777777" w:rsidR="005D2595" w:rsidRDefault="005D2595" w:rsidP="00607ED6">
          <w:pPr>
            <w:pStyle w:val="FooterEven"/>
          </w:pPr>
          <w:r w:rsidRPr="001B4BD5">
            <w:t>Department of Treasury and Finance</w:t>
          </w:r>
          <w:r w:rsidRPr="001B4BD5">
            <w:br/>
          </w:r>
          <w:r>
            <w:t>Annual Report 2024 | 25</w:t>
          </w:r>
        </w:p>
      </w:tc>
    </w:tr>
  </w:tbl>
  <w:p w14:paraId="374AA3F0" w14:textId="77777777" w:rsidR="005D2595" w:rsidRDefault="005D2595" w:rsidP="00B8418B">
    <w:pPr>
      <w:pStyle w:val="Spac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5D2595" w14:paraId="0C0909EA" w14:textId="77777777" w:rsidTr="00E15D8C">
      <w:trPr>
        <w:cantSplit/>
      </w:trPr>
      <w:tc>
        <w:tcPr>
          <w:tcW w:w="9327" w:type="dxa"/>
        </w:tcPr>
        <w:p w14:paraId="5BA6E761" w14:textId="77777777" w:rsidR="005D2595" w:rsidRPr="001B4BD5" w:rsidRDefault="005D2595" w:rsidP="00E15D8C">
          <w:pPr>
            <w:pStyle w:val="Footer"/>
          </w:pPr>
          <w:r w:rsidRPr="001B4BD5">
            <w:t>Department of Treasury and Finance</w:t>
          </w:r>
          <w:r w:rsidRPr="001B4BD5">
            <w:br/>
          </w:r>
          <w:r>
            <w:t>Annual Report 2024 | 25</w:t>
          </w:r>
        </w:p>
      </w:tc>
      <w:tc>
        <w:tcPr>
          <w:tcW w:w="818" w:type="dxa"/>
        </w:tcPr>
        <w:p w14:paraId="2D074C5B" w14:textId="77777777" w:rsidR="005D2595" w:rsidRPr="00734B39" w:rsidRDefault="005D2595" w:rsidP="00E15D8C">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rPr>
            <w:t>91</w:t>
          </w:r>
          <w:r w:rsidRPr="00734B39">
            <w:rPr>
              <w:rStyle w:val="PageNumber"/>
            </w:rPr>
            <w:fldChar w:fldCharType="end"/>
          </w:r>
        </w:p>
      </w:tc>
    </w:tr>
  </w:tbl>
  <w:p w14:paraId="51CE1B17" w14:textId="77777777" w:rsidR="005D2595" w:rsidRDefault="005D2595" w:rsidP="00E15D8C">
    <w:pPr>
      <w:pStyle w:val="Spac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8660"/>
      <w:gridCol w:w="768"/>
    </w:tblGrid>
    <w:tr w:rsidR="00A76724" w14:paraId="0D49B3A6" w14:textId="77777777">
      <w:trPr>
        <w:cantSplit/>
      </w:trPr>
      <w:tc>
        <w:tcPr>
          <w:tcW w:w="9327" w:type="dxa"/>
        </w:tcPr>
        <w:p w14:paraId="5101D17E" w14:textId="77777777" w:rsidR="00A76724" w:rsidRPr="001B4BD5" w:rsidRDefault="00A76724" w:rsidP="00A76724">
          <w:pPr>
            <w:pStyle w:val="Footer"/>
          </w:pPr>
          <w:r w:rsidRPr="001B4BD5">
            <w:t>Department of Treasury and Finance</w:t>
          </w:r>
          <w:r w:rsidRPr="001B4BD5">
            <w:br/>
          </w:r>
          <w:r>
            <w:t>Annual Report 2024 | 25</w:t>
          </w:r>
        </w:p>
      </w:tc>
      <w:tc>
        <w:tcPr>
          <w:tcW w:w="818" w:type="dxa"/>
        </w:tcPr>
        <w:p w14:paraId="4DCEB02E" w14:textId="77777777" w:rsidR="00A76724" w:rsidRPr="00734B39" w:rsidRDefault="00A76724" w:rsidP="00A76724">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rPr>
            <w:t>89</w:t>
          </w:r>
          <w:r w:rsidRPr="00734B39">
            <w:rPr>
              <w:rStyle w:val="PageNumber"/>
            </w:rPr>
            <w:fldChar w:fldCharType="end"/>
          </w:r>
        </w:p>
      </w:tc>
    </w:tr>
  </w:tbl>
  <w:p w14:paraId="5F7DA019" w14:textId="77777777" w:rsidR="00A76724" w:rsidRDefault="00A76724" w:rsidP="00A76724">
    <w:pPr>
      <w:pStyle w:val="Spac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A76724" w14:paraId="7C4EEF26" w14:textId="77777777">
      <w:trPr>
        <w:cantSplit/>
      </w:trPr>
      <w:tc>
        <w:tcPr>
          <w:tcW w:w="800" w:type="dxa"/>
        </w:tcPr>
        <w:p w14:paraId="04EEA986" w14:textId="77777777" w:rsidR="00A76724" w:rsidRDefault="00A76724" w:rsidP="00A76724">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rPr>
            <w:t>94</w:t>
          </w:r>
          <w:r w:rsidRPr="0018749C">
            <w:rPr>
              <w:rStyle w:val="PageNumber"/>
            </w:rPr>
            <w:fldChar w:fldCharType="end"/>
          </w:r>
        </w:p>
      </w:tc>
      <w:tc>
        <w:tcPr>
          <w:tcW w:w="8918" w:type="dxa"/>
        </w:tcPr>
        <w:p w14:paraId="52EA29B5" w14:textId="77777777" w:rsidR="00A76724" w:rsidRDefault="00A76724" w:rsidP="00A76724">
          <w:pPr>
            <w:pStyle w:val="FooterEven"/>
          </w:pPr>
          <w:r w:rsidRPr="001B4BD5">
            <w:t>Department of Treasury and Finance</w:t>
          </w:r>
          <w:r w:rsidRPr="001B4BD5">
            <w:br/>
          </w:r>
          <w:r>
            <w:t>Annual Report 2024 | 25</w:t>
          </w:r>
        </w:p>
      </w:tc>
    </w:tr>
  </w:tbl>
  <w:p w14:paraId="7B39824E" w14:textId="77777777" w:rsidR="00A76724" w:rsidRDefault="00A76724" w:rsidP="00A76724">
    <w:pPr>
      <w:pStyle w:val="Spac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915EE8" w14:paraId="6D3ABFC7" w14:textId="77777777" w:rsidTr="00F610CA">
      <w:trPr>
        <w:cantSplit/>
      </w:trPr>
      <w:tc>
        <w:tcPr>
          <w:tcW w:w="800" w:type="dxa"/>
        </w:tcPr>
        <w:p w14:paraId="54E8C8D7" w14:textId="77777777" w:rsidR="00915EE8" w:rsidRDefault="00915EE8"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100</w:t>
          </w:r>
          <w:r w:rsidRPr="0018749C">
            <w:rPr>
              <w:rStyle w:val="PageNumber"/>
            </w:rPr>
            <w:fldChar w:fldCharType="end"/>
          </w:r>
        </w:p>
      </w:tc>
      <w:tc>
        <w:tcPr>
          <w:tcW w:w="8918" w:type="dxa"/>
        </w:tcPr>
        <w:p w14:paraId="016DD2C0" w14:textId="05867F30" w:rsidR="00915EE8" w:rsidRDefault="00915EE8" w:rsidP="00325C78">
          <w:pPr>
            <w:pStyle w:val="FooterEven"/>
          </w:pPr>
          <w:r w:rsidRPr="001B4BD5">
            <w:t>Department of Treasury and Finance</w:t>
          </w:r>
          <w:r w:rsidRPr="001B4BD5">
            <w:br/>
          </w:r>
          <w:r>
            <w:t xml:space="preserve">Annual Report </w:t>
          </w:r>
          <w:r w:rsidR="00C30F42">
            <w:t>2024 | 25</w:t>
          </w:r>
        </w:p>
      </w:tc>
    </w:tr>
  </w:tbl>
  <w:p w14:paraId="01DC1FB2" w14:textId="77777777" w:rsidR="00113E1C" w:rsidRDefault="00113E1C" w:rsidP="00F610CA">
    <w:pPr>
      <w:pStyle w:val="Spac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D8B59" w14:textId="77777777" w:rsidR="00113E1C" w:rsidRPr="00B530E4" w:rsidRDefault="00113E1C" w:rsidP="00B530E4">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9825A" w14:textId="77777777" w:rsidR="00113E1C" w:rsidRPr="00572502" w:rsidRDefault="00113E1C" w:rsidP="00D90070">
    <w:pPr>
      <w:pStyle w:val="Footer"/>
    </w:pPr>
    <w:r>
      <w:rPr>
        <w:noProof/>
      </w:rPr>
      <mc:AlternateContent>
        <mc:Choice Requires="wps">
          <w:drawing>
            <wp:anchor distT="0" distB="0" distL="114300" distR="114300" simplePos="0" relativeHeight="251658241" behindDoc="0" locked="0" layoutInCell="0" allowOverlap="0" wp14:anchorId="4EC80539" wp14:editId="6A7D4B93">
              <wp:simplePos x="0" y="0"/>
              <wp:positionH relativeFrom="page">
                <wp:posOffset>-1718945</wp:posOffset>
              </wp:positionH>
              <wp:positionV relativeFrom="page">
                <wp:posOffset>4681855</wp:posOffset>
              </wp:positionV>
              <wp:extent cx="4407535" cy="521335"/>
              <wp:effectExtent l="0" t="0" r="0" b="0"/>
              <wp:wrapNone/>
              <wp:docPr id="55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a:off x="0" y="0"/>
                        <a:ext cx="4407535" cy="521335"/>
                      </a:xfrm>
                      <a:prstGeom prst="rect">
                        <a:avLst/>
                      </a:prstGeom>
                      <a:noFill/>
                      <a:ln w="6350">
                        <a:noFill/>
                      </a:ln>
                      <a:effectLst/>
                    </wps:spPr>
                    <wps:txb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113E1C" w14:paraId="126D5DE1" w14:textId="77777777" w:rsidTr="00D90070">
                            <w:trPr>
                              <w:cantSplit/>
                            </w:trPr>
                            <w:tc>
                              <w:tcPr>
                                <w:tcW w:w="5997" w:type="dxa"/>
                              </w:tcPr>
                              <w:p w14:paraId="41E5A995" w14:textId="7CFFF494" w:rsidR="00113E1C" w:rsidRDefault="00113E1C" w:rsidP="00D90070">
                                <w:pPr>
                                  <w:pStyle w:val="FooterEven"/>
                                  <w:jc w:val="right"/>
                                </w:pPr>
                                <w:r w:rsidRPr="001B4BD5">
                                  <w:t>Department of Treasury and Finance</w:t>
                                </w:r>
                                <w:r w:rsidRPr="001B4BD5">
                                  <w:br/>
                                </w:r>
                                <w:r w:rsidRPr="00734B39">
                                  <w:t>Annual</w:t>
                                </w:r>
                                <w:r>
                                  <w:t xml:space="preserve"> Report </w:t>
                                </w:r>
                                <w:r w:rsidR="00C30F42">
                                  <w:t>2024 | 25</w:t>
                                </w:r>
                              </w:p>
                            </w:tc>
                            <w:tc>
                              <w:tcPr>
                                <w:tcW w:w="817" w:type="dxa"/>
                              </w:tcPr>
                              <w:p w14:paraId="22A7978A" w14:textId="77777777" w:rsidR="00113E1C" w:rsidRPr="001B4BD5" w:rsidRDefault="00113E1C" w:rsidP="00D90070">
                                <w:pPr>
                                  <w:pStyle w:val="FooterEven"/>
                                  <w:jc w:val="righ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105</w:t>
                                </w:r>
                                <w:r w:rsidRPr="0018749C">
                                  <w:rPr>
                                    <w:rStyle w:val="PageNumber"/>
                                  </w:rPr>
                                  <w:fldChar w:fldCharType="end"/>
                                </w:r>
                              </w:p>
                            </w:tc>
                          </w:tr>
                        </w:tbl>
                        <w:p w14:paraId="08B744ED" w14:textId="77777777" w:rsidR="00113E1C" w:rsidRDefault="00113E1C" w:rsidP="00D90070"/>
                        <w:p w14:paraId="79DBF6CF" w14:textId="77777777" w:rsidR="00113E1C" w:rsidRDefault="00113E1C" w:rsidP="00D90070"/>
                        <w:tbl>
                          <w:tblPr>
                            <w:tblW w:w="6814" w:type="dxa"/>
                            <w:tblLayout w:type="fixed"/>
                            <w:tblCellMar>
                              <w:left w:w="57" w:type="dxa"/>
                              <w:right w:w="57" w:type="dxa"/>
                            </w:tblCellMar>
                            <w:tblLook w:val="0600" w:firstRow="0" w:lastRow="0" w:firstColumn="0" w:lastColumn="0" w:noHBand="1" w:noVBand="1"/>
                          </w:tblPr>
                          <w:tblGrid>
                            <w:gridCol w:w="5997"/>
                            <w:gridCol w:w="817"/>
                          </w:tblGrid>
                          <w:tr w:rsidR="00113E1C" w14:paraId="0463ABE4" w14:textId="77777777" w:rsidTr="00D90070">
                            <w:trPr>
                              <w:cantSplit/>
                            </w:trPr>
                            <w:tc>
                              <w:tcPr>
                                <w:tcW w:w="5997" w:type="dxa"/>
                              </w:tcPr>
                              <w:p w14:paraId="069864AE" w14:textId="77777777" w:rsidR="00113E1C" w:rsidRDefault="00113E1C" w:rsidP="00D90070">
                                <w:pPr>
                                  <w:pStyle w:val="FooterEven"/>
                                  <w:jc w:val="right"/>
                                </w:pPr>
                                <w:r w:rsidRPr="001B4BD5">
                                  <w:t>Department of Treasury and Finance</w:t>
                                </w:r>
                                <w:r w:rsidRPr="001B4BD5">
                                  <w:br/>
                                </w:r>
                                <w:r w:rsidRPr="00734B39">
                                  <w:t>Annual</w:t>
                                </w:r>
                                <w:r>
                                  <w:t xml:space="preserve"> Report 2016 | 17</w:t>
                                </w:r>
                              </w:p>
                            </w:tc>
                            <w:tc>
                              <w:tcPr>
                                <w:tcW w:w="817" w:type="dxa"/>
                              </w:tcPr>
                              <w:p w14:paraId="1F5B15E5" w14:textId="77777777" w:rsidR="00113E1C" w:rsidRPr="001B4BD5" w:rsidRDefault="00113E1C" w:rsidP="00D90070">
                                <w:pPr>
                                  <w:pStyle w:val="FooterEven"/>
                                  <w:jc w:val="righ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105</w:t>
                                </w:r>
                                <w:r w:rsidRPr="0018749C">
                                  <w:rPr>
                                    <w:rStyle w:val="PageNumber"/>
                                  </w:rPr>
                                  <w:fldChar w:fldCharType="end"/>
                                </w:r>
                              </w:p>
                            </w:tc>
                          </w:tr>
                        </w:tbl>
                        <w:p w14:paraId="7EC5F80E" w14:textId="77777777" w:rsidR="00113E1C" w:rsidRDefault="00113E1C" w:rsidP="00D900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C80539" id="_x0000_t202" coordsize="21600,21600" o:spt="202" path="m,l,21600r21600,l21600,xe">
              <v:stroke joinstyle="miter"/>
              <v:path gradientshapeok="t" o:connecttype="rect"/>
            </v:shapetype>
            <v:shape id="Text Box 550" o:spid="_x0000_s1057" type="#_x0000_t202" style="position:absolute;left:0;text-align:left;margin-left:-135.35pt;margin-top:368.65pt;width:347.05pt;height:41.05pt;rotation:90;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" o:allowincell="f" o:allowoverlap="f" filled="f" stroked="f" strokeweight=".5pt">
              <v:textbo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113E1C" w14:paraId="126D5DE1" w14:textId="77777777" w:rsidTr="00D90070">
                      <w:trPr>
                        <w:cantSplit/>
                      </w:trPr>
                      <w:tc>
                        <w:tcPr>
                          <w:tcW w:w="5997" w:type="dxa"/>
                        </w:tcPr>
                        <w:p w14:paraId="41E5A995" w14:textId="7CFFF494" w:rsidR="00113E1C" w:rsidRDefault="00113E1C" w:rsidP="00D90070">
                          <w:pPr>
                            <w:pStyle w:val="FooterEven"/>
                            <w:jc w:val="right"/>
                          </w:pPr>
                          <w:r w:rsidRPr="001B4BD5">
                            <w:t>Department of Treasury and Finance</w:t>
                          </w:r>
                          <w:r w:rsidRPr="001B4BD5">
                            <w:br/>
                          </w:r>
                          <w:r w:rsidRPr="00734B39">
                            <w:t>Annual</w:t>
                          </w:r>
                          <w:r>
                            <w:t xml:space="preserve"> Report </w:t>
                          </w:r>
                          <w:r w:rsidR="00C30F42">
                            <w:t>2024 | 25</w:t>
                          </w:r>
                        </w:p>
                      </w:tc>
                      <w:tc>
                        <w:tcPr>
                          <w:tcW w:w="817" w:type="dxa"/>
                        </w:tcPr>
                        <w:p w14:paraId="22A7978A" w14:textId="77777777" w:rsidR="00113E1C" w:rsidRPr="001B4BD5" w:rsidRDefault="00113E1C" w:rsidP="00D90070">
                          <w:pPr>
                            <w:pStyle w:val="FooterEven"/>
                            <w:jc w:val="righ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105</w:t>
                          </w:r>
                          <w:r w:rsidRPr="0018749C">
                            <w:rPr>
                              <w:rStyle w:val="PageNumber"/>
                            </w:rPr>
                            <w:fldChar w:fldCharType="end"/>
                          </w:r>
                        </w:p>
                      </w:tc>
                    </w:tr>
                  </w:tbl>
                  <w:p w14:paraId="08B744ED" w14:textId="77777777" w:rsidR="00113E1C" w:rsidRDefault="00113E1C" w:rsidP="00D90070"/>
                  <w:p w14:paraId="79DBF6CF" w14:textId="77777777" w:rsidR="00113E1C" w:rsidRDefault="00113E1C" w:rsidP="00D90070"/>
                  <w:tbl>
                    <w:tblPr>
                      <w:tblW w:w="6814" w:type="dxa"/>
                      <w:tblLayout w:type="fixed"/>
                      <w:tblCellMar>
                        <w:left w:w="57" w:type="dxa"/>
                        <w:right w:w="57" w:type="dxa"/>
                      </w:tblCellMar>
                      <w:tblLook w:val="0600" w:firstRow="0" w:lastRow="0" w:firstColumn="0" w:lastColumn="0" w:noHBand="1" w:noVBand="1"/>
                    </w:tblPr>
                    <w:tblGrid>
                      <w:gridCol w:w="5997"/>
                      <w:gridCol w:w="817"/>
                    </w:tblGrid>
                    <w:tr w:rsidR="00113E1C" w14:paraId="0463ABE4" w14:textId="77777777" w:rsidTr="00D90070">
                      <w:trPr>
                        <w:cantSplit/>
                      </w:trPr>
                      <w:tc>
                        <w:tcPr>
                          <w:tcW w:w="5997" w:type="dxa"/>
                        </w:tcPr>
                        <w:p w14:paraId="069864AE" w14:textId="77777777" w:rsidR="00113E1C" w:rsidRDefault="00113E1C" w:rsidP="00D90070">
                          <w:pPr>
                            <w:pStyle w:val="FooterEven"/>
                            <w:jc w:val="right"/>
                          </w:pPr>
                          <w:r w:rsidRPr="001B4BD5">
                            <w:t>Department of Treasury and Finance</w:t>
                          </w:r>
                          <w:r w:rsidRPr="001B4BD5">
                            <w:br/>
                          </w:r>
                          <w:r w:rsidRPr="00734B39">
                            <w:t>Annual</w:t>
                          </w:r>
                          <w:r>
                            <w:t xml:space="preserve"> Report 2016 | 17</w:t>
                          </w:r>
                        </w:p>
                      </w:tc>
                      <w:tc>
                        <w:tcPr>
                          <w:tcW w:w="817" w:type="dxa"/>
                        </w:tcPr>
                        <w:p w14:paraId="1F5B15E5" w14:textId="77777777" w:rsidR="00113E1C" w:rsidRPr="001B4BD5" w:rsidRDefault="00113E1C" w:rsidP="00D90070">
                          <w:pPr>
                            <w:pStyle w:val="FooterEven"/>
                            <w:jc w:val="righ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105</w:t>
                          </w:r>
                          <w:r w:rsidRPr="0018749C">
                            <w:rPr>
                              <w:rStyle w:val="PageNumber"/>
                            </w:rPr>
                            <w:fldChar w:fldCharType="end"/>
                          </w:r>
                        </w:p>
                      </w:tc>
                    </w:tr>
                  </w:tbl>
                  <w:p w14:paraId="7EC5F80E" w14:textId="77777777" w:rsidR="00113E1C" w:rsidRDefault="00113E1C" w:rsidP="00D90070"/>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113E1C" w14:paraId="4A457585" w14:textId="77777777" w:rsidTr="00D90070">
      <w:trPr>
        <w:cantSplit/>
      </w:trPr>
      <w:tc>
        <w:tcPr>
          <w:tcW w:w="800" w:type="dxa"/>
        </w:tcPr>
        <w:p w14:paraId="59346927" w14:textId="77777777" w:rsidR="00113E1C" w:rsidRDefault="00113E1C"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106</w:t>
          </w:r>
          <w:r w:rsidRPr="0018749C">
            <w:rPr>
              <w:rStyle w:val="PageNumber"/>
            </w:rPr>
            <w:fldChar w:fldCharType="end"/>
          </w:r>
        </w:p>
      </w:tc>
      <w:tc>
        <w:tcPr>
          <w:tcW w:w="8918" w:type="dxa"/>
        </w:tcPr>
        <w:p w14:paraId="4AB2D941" w14:textId="463D0919" w:rsidR="00113E1C" w:rsidRDefault="00113E1C" w:rsidP="00D90070">
          <w:pPr>
            <w:pStyle w:val="FooterEven"/>
          </w:pPr>
          <w:r w:rsidRPr="001B4BD5">
            <w:t>Department of Treasury and Finance</w:t>
          </w:r>
          <w:r w:rsidRPr="001B4BD5">
            <w:br/>
          </w:r>
          <w:r w:rsidR="004147BB">
            <w:t xml:space="preserve">Annual Report </w:t>
          </w:r>
          <w:r w:rsidR="00C30F42">
            <w:t>2024 | 25</w:t>
          </w:r>
        </w:p>
      </w:tc>
    </w:tr>
  </w:tbl>
  <w:p w14:paraId="65BA4029" w14:textId="77777777" w:rsidR="00113E1C" w:rsidRDefault="00113E1C" w:rsidP="00D90070">
    <w:pPr>
      <w:pStyle w:val="Spac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B21C7" w14:textId="378BD11F" w:rsidR="00903D61" w:rsidRDefault="008E2AD5">
    <w:pPr>
      <w:pStyle w:val="Footer"/>
    </w:pPr>
    <w:r>
      <w:rPr>
        <w:noProof/>
      </w:rPr>
      <mc:AlternateContent>
        <mc:Choice Requires="wps">
          <w:drawing>
            <wp:anchor distT="0" distB="0" distL="114300" distR="114300" simplePos="0" relativeHeight="251658252" behindDoc="0" locked="0" layoutInCell="0" allowOverlap="1" wp14:anchorId="5194E4FE" wp14:editId="16046C9B">
              <wp:simplePos x="0" y="9403953"/>
              <wp:positionH relativeFrom="page">
                <wp:align>left</wp:align>
              </wp:positionH>
              <wp:positionV relativeFrom="page">
                <wp:align>bottom</wp:align>
              </wp:positionV>
              <wp:extent cx="7772400" cy="463550"/>
              <wp:effectExtent l="0" t="0" r="0" b="12700"/>
              <wp:wrapNone/>
              <wp:docPr id="16" name="Text Box 16" descr="{&quot;HashCode&quot;:-1267603503,&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499D30B" w14:textId="1E9EF3FF" w:rsidR="008E2AD5" w:rsidRPr="00184306" w:rsidRDefault="008E2AD5" w:rsidP="00184306">
                          <w:pPr>
                            <w:spacing w:before="0" w:after="0"/>
                            <w:rPr>
                              <w:rFonts w:ascii="Calibri" w:hAnsi="Calibri" w:cs="Calibri"/>
                              <w:color w:val="000000"/>
                              <w:sz w:val="22"/>
                            </w:rPr>
                          </w:pPr>
                          <w:r w:rsidRPr="008E2AD5">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194E4FE" id="_x0000_t202" coordsize="21600,21600" o:spt="202" path="m,l,21600r21600,l21600,xe">
              <v:stroke joinstyle="miter"/>
              <v:path gradientshapeok="t" o:connecttype="rect"/>
            </v:shapetype>
            <v:shape id="Text Box 16" o:spid="_x0000_s1032" type="#_x0000_t202" alt="{&quot;HashCode&quot;:-1267603503,&quot;Height&quot;:9999999.0,&quot;Width&quot;:9999999.0,&quot;Placement&quot;:&quot;Footer&quot;,&quot;Index&quot;:&quot;FirstPage&quot;,&quot;Section&quot;:1,&quot;Top&quot;:0.0,&quot;Left&quot;:0.0}" style="position:absolute;left:0;text-align:left;margin-left:0;margin-top:0;width:612pt;height:36.5pt;z-index:251658252;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J+wInxtAgAAPwUAAA4AAAAAAAAAAAAAAAAALgIA&#10;AGRycy9lMm9Eb2MueG1sUEsBAi0AFAAGAAgAAAAhAP71jZvaAAAABQEAAA8AAAAAAAAAAAAAAAAA&#10;xwQAAGRycy9kb3ducmV2LnhtbFBLBQYAAAAABAAEAPMAAADOBQAAAAA=&#10;" o:allowincell="f" filled="f" stroked="f" strokeweight=".5pt">
              <v:textbox inset="20pt,0,,0">
                <w:txbxContent>
                  <w:p w14:paraId="3499D30B" w14:textId="1E9EF3FF" w:rsidR="008E2AD5" w:rsidRPr="00184306" w:rsidRDefault="008E2AD5" w:rsidP="00184306">
                    <w:pPr>
                      <w:spacing w:before="0" w:after="0"/>
                      <w:rPr>
                        <w:rFonts w:ascii="Calibri" w:hAnsi="Calibri" w:cs="Calibri"/>
                        <w:color w:val="000000"/>
                        <w:sz w:val="22"/>
                      </w:rPr>
                    </w:pPr>
                    <w:r w:rsidRPr="008E2AD5">
                      <w:rPr>
                        <w:rFonts w:ascii="Calibri" w:hAnsi="Calibri" w:cs="Calibri"/>
                        <w:color w:val="000000"/>
                        <w:sz w:val="22"/>
                      </w:rPr>
                      <w:t>OFFICIAL</w:t>
                    </w:r>
                  </w:p>
                </w:txbxContent>
              </v:textbox>
              <w10:wrap anchorx="page" anchory="page"/>
            </v:shape>
          </w:pict>
        </mc:Fallback>
      </mc:AlternateContent>
    </w:r>
    <w:r w:rsidR="0009175A">
      <w:rPr>
        <w:noProof/>
      </w:rPr>
      <mc:AlternateContent>
        <mc:Choice Requires="wps">
          <w:drawing>
            <wp:anchor distT="0" distB="0" distL="114300" distR="114300" simplePos="0" relativeHeight="251658248" behindDoc="0" locked="0" layoutInCell="0" allowOverlap="1" wp14:anchorId="0B11B32E" wp14:editId="14A6C8CD">
              <wp:simplePos x="0" y="9403953"/>
              <wp:positionH relativeFrom="page">
                <wp:align>left</wp:align>
              </wp:positionH>
              <wp:positionV relativeFrom="page">
                <wp:align>bottom</wp:align>
              </wp:positionV>
              <wp:extent cx="7772400" cy="463550"/>
              <wp:effectExtent l="0" t="0" r="0" b="12700"/>
              <wp:wrapNone/>
              <wp:docPr id="6" name="Text Box 6" descr="{&quot;HashCode&quot;:-1267603503,&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078D670" w14:textId="0BD3DEE1" w:rsidR="0009175A" w:rsidRPr="00184306" w:rsidRDefault="0009175A" w:rsidP="00184306">
                          <w:pPr>
                            <w:spacing w:before="0" w:after="0"/>
                            <w:rPr>
                              <w:rFonts w:ascii="Calibri" w:hAnsi="Calibri" w:cs="Calibri"/>
                              <w:color w:val="000000"/>
                              <w:sz w:val="22"/>
                            </w:rPr>
                          </w:pPr>
                          <w:r w:rsidRPr="00FC76A3">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0B11B32E" id="Text Box 6" o:spid="_x0000_s1033" type="#_x0000_t202" alt="{&quot;HashCode&quot;:-1267603503,&quot;Height&quot;:9999999.0,&quot;Width&quot;:9999999.0,&quot;Placement&quot;:&quot;Footer&quot;,&quot;Index&quot;:&quot;FirstPage&quot;,&quot;Section&quot;:1,&quot;Top&quot;:0.0,&quot;Left&quot;:0.0}" style="position:absolute;left:0;text-align:left;margin-left:0;margin-top:0;width:612pt;height:36.5pt;z-index:251658248;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" o:allowincell="f" filled="f" stroked="f" strokeweight=".5pt">
              <v:textbox inset="20pt,0,,0">
                <w:txbxContent>
                  <w:p w14:paraId="3078D670" w14:textId="0BD3DEE1" w:rsidR="0009175A" w:rsidRPr="00184306" w:rsidRDefault="0009175A" w:rsidP="00184306">
                    <w:pPr>
                      <w:spacing w:before="0" w:after="0"/>
                      <w:rPr>
                        <w:rFonts w:ascii="Calibri" w:hAnsi="Calibri" w:cs="Calibri"/>
                        <w:color w:val="000000"/>
                        <w:sz w:val="22"/>
                      </w:rPr>
                    </w:pPr>
                    <w:r w:rsidRPr="00FC76A3">
                      <w:rPr>
                        <w:rFonts w:ascii="Calibri" w:hAnsi="Calibri" w:cs="Calibri"/>
                        <w:color w:val="000000"/>
                        <w:sz w:val="22"/>
                      </w:rPr>
                      <w:t>OFFICIAL</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113E1C" w14:paraId="7E742C12" w14:textId="77777777" w:rsidTr="00D90070">
      <w:trPr>
        <w:cantSplit/>
      </w:trPr>
      <w:tc>
        <w:tcPr>
          <w:tcW w:w="9327" w:type="dxa"/>
        </w:tcPr>
        <w:p w14:paraId="68F0E266" w14:textId="51F9C82F" w:rsidR="00113E1C" w:rsidRPr="001B4BD5" w:rsidRDefault="00113E1C" w:rsidP="00D90070">
          <w:pPr>
            <w:pStyle w:val="Footer"/>
          </w:pPr>
          <w:r w:rsidRPr="001B4BD5">
            <w:t>Department of Treasury and Finance</w:t>
          </w:r>
          <w:r w:rsidRPr="001B4BD5">
            <w:br/>
          </w:r>
          <w:r w:rsidR="004147BB">
            <w:t xml:space="preserve">Annual Report </w:t>
          </w:r>
          <w:r w:rsidR="00C30F42">
            <w:t>2024 | 25</w:t>
          </w:r>
        </w:p>
      </w:tc>
      <w:tc>
        <w:tcPr>
          <w:tcW w:w="818" w:type="dxa"/>
        </w:tcPr>
        <w:p w14:paraId="7C2A510C" w14:textId="77777777" w:rsidR="00113E1C" w:rsidRPr="00734B39" w:rsidRDefault="00113E1C" w:rsidP="00D90070">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105</w:t>
          </w:r>
          <w:r w:rsidRPr="00734B39">
            <w:rPr>
              <w:rStyle w:val="PageNumber"/>
            </w:rPr>
            <w:fldChar w:fldCharType="end"/>
          </w:r>
        </w:p>
      </w:tc>
    </w:tr>
  </w:tbl>
  <w:p w14:paraId="49CBB256" w14:textId="77777777" w:rsidR="00113E1C" w:rsidRDefault="00113E1C" w:rsidP="00D90070">
    <w:pPr>
      <w:pStyle w:val="Spac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1A5C8" w14:textId="3A0DE635" w:rsidR="00113E1C" w:rsidRPr="004F6CE6" w:rsidRDefault="00113E1C" w:rsidP="00D90070">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75175" w14:textId="77777777" w:rsidR="00113E1C" w:rsidRPr="00572502" w:rsidRDefault="00113E1C" w:rsidP="00D90070">
    <w:pPr>
      <w:pStyle w:val="Footer"/>
    </w:pPr>
    <w:r>
      <w:rPr>
        <w:noProof/>
      </w:rPr>
      <mc:AlternateContent>
        <mc:Choice Requires="wps">
          <w:drawing>
            <wp:anchor distT="0" distB="0" distL="114300" distR="114300" simplePos="0" relativeHeight="251658242" behindDoc="0" locked="0" layoutInCell="0" allowOverlap="0" wp14:anchorId="387CC2F3" wp14:editId="254FB07B">
              <wp:simplePos x="0" y="0"/>
              <wp:positionH relativeFrom="page">
                <wp:posOffset>-1718945</wp:posOffset>
              </wp:positionH>
              <wp:positionV relativeFrom="page">
                <wp:posOffset>4681855</wp:posOffset>
              </wp:positionV>
              <wp:extent cx="4407535" cy="521335"/>
              <wp:effectExtent l="0" t="0" r="0" b="0"/>
              <wp:wrapNone/>
              <wp:docPr id="54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a:off x="0" y="0"/>
                        <a:ext cx="4407535" cy="521335"/>
                      </a:xfrm>
                      <a:prstGeom prst="rect">
                        <a:avLst/>
                      </a:prstGeom>
                      <a:noFill/>
                      <a:ln w="6350">
                        <a:noFill/>
                      </a:ln>
                      <a:effectLst/>
                    </wps:spPr>
                    <wps:txb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113E1C" w:rsidRPr="001E38A8" w14:paraId="38212183" w14:textId="77777777" w:rsidTr="00D90070">
                            <w:trPr>
                              <w:cantSplit/>
                            </w:trPr>
                            <w:tc>
                              <w:tcPr>
                                <w:tcW w:w="5997" w:type="dxa"/>
                              </w:tcPr>
                              <w:p w14:paraId="430E21FD" w14:textId="762E043A" w:rsidR="00113E1C" w:rsidRPr="001E38A8" w:rsidRDefault="00113E1C" w:rsidP="00D90070">
                                <w:pPr>
                                  <w:pStyle w:val="FooterEven"/>
                                  <w:jc w:val="right"/>
                                </w:pPr>
                                <w:r w:rsidRPr="001E38A8">
                                  <w:t>Department of Treasury and Finance</w:t>
                                </w:r>
                                <w:r w:rsidRPr="001E38A8">
                                  <w:br/>
                                  <w:t xml:space="preserve">Annual Report </w:t>
                                </w:r>
                                <w:r w:rsidR="00C30F42">
                                  <w:t>2024 | 25</w:t>
                                </w:r>
                              </w:p>
                            </w:tc>
                            <w:tc>
                              <w:tcPr>
                                <w:tcW w:w="817" w:type="dxa"/>
                              </w:tcPr>
                              <w:p w14:paraId="103ABAE8" w14:textId="77777777" w:rsidR="00113E1C" w:rsidRPr="001E38A8" w:rsidRDefault="00113E1C"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107</w:t>
                                </w:r>
                                <w:r w:rsidRPr="001E38A8">
                                  <w:rPr>
                                    <w:rStyle w:val="PageNumber"/>
                                  </w:rPr>
                                  <w:fldChar w:fldCharType="end"/>
                                </w:r>
                              </w:p>
                            </w:tc>
                          </w:tr>
                        </w:tbl>
                        <w:p w14:paraId="6A0F6026" w14:textId="77777777" w:rsidR="00113E1C" w:rsidRPr="001E38A8" w:rsidRDefault="00113E1C" w:rsidP="00D90070"/>
                        <w:p w14:paraId="6AE88F88" w14:textId="77777777" w:rsidR="00113E1C" w:rsidRPr="001E38A8" w:rsidRDefault="00113E1C" w:rsidP="00D90070"/>
                        <w:tbl>
                          <w:tblPr>
                            <w:tblW w:w="6814" w:type="dxa"/>
                            <w:tblLayout w:type="fixed"/>
                            <w:tblCellMar>
                              <w:left w:w="57" w:type="dxa"/>
                              <w:right w:w="57" w:type="dxa"/>
                            </w:tblCellMar>
                            <w:tblLook w:val="0600" w:firstRow="0" w:lastRow="0" w:firstColumn="0" w:lastColumn="0" w:noHBand="1" w:noVBand="1"/>
                          </w:tblPr>
                          <w:tblGrid>
                            <w:gridCol w:w="5997"/>
                            <w:gridCol w:w="817"/>
                          </w:tblGrid>
                          <w:tr w:rsidR="00113E1C" w:rsidRPr="001E38A8" w14:paraId="219C2EE5" w14:textId="77777777" w:rsidTr="00D90070">
                            <w:trPr>
                              <w:cantSplit/>
                            </w:trPr>
                            <w:tc>
                              <w:tcPr>
                                <w:tcW w:w="5997" w:type="dxa"/>
                              </w:tcPr>
                              <w:p w14:paraId="76D74CAA" w14:textId="77777777" w:rsidR="00113E1C" w:rsidRPr="001E38A8" w:rsidRDefault="00113E1C" w:rsidP="00D90070">
                                <w:pPr>
                                  <w:pStyle w:val="FooterEven"/>
                                  <w:jc w:val="right"/>
                                </w:pPr>
                                <w:r w:rsidRPr="001E38A8">
                                  <w:t>Department of Treasury and Finance</w:t>
                                </w:r>
                                <w:r w:rsidRPr="001E38A8">
                                  <w:br/>
                                  <w:t>Annual Report 2016 | 17</w:t>
                                </w:r>
                              </w:p>
                            </w:tc>
                            <w:tc>
                              <w:tcPr>
                                <w:tcW w:w="817" w:type="dxa"/>
                              </w:tcPr>
                              <w:p w14:paraId="3CA50421" w14:textId="77777777" w:rsidR="00113E1C" w:rsidRPr="001E38A8" w:rsidRDefault="00113E1C"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107</w:t>
                                </w:r>
                                <w:r w:rsidRPr="001E38A8">
                                  <w:rPr>
                                    <w:rStyle w:val="PageNumber"/>
                                  </w:rPr>
                                  <w:fldChar w:fldCharType="end"/>
                                </w:r>
                              </w:p>
                            </w:tc>
                          </w:tr>
                        </w:tbl>
                        <w:p w14:paraId="7FBFD6E9" w14:textId="77777777" w:rsidR="00113E1C" w:rsidRPr="001E38A8" w:rsidRDefault="00113E1C" w:rsidP="00D900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7CC2F3" id="_x0000_t202" coordsize="21600,21600" o:spt="202" path="m,l,21600r21600,l21600,xe">
              <v:stroke joinstyle="miter"/>
              <v:path gradientshapeok="t" o:connecttype="rect"/>
            </v:shapetype>
            <v:shape id="Text Box 549" o:spid="_x0000_s1059" type="#_x0000_t202" style="position:absolute;left:0;text-align:left;margin-left:-135.35pt;margin-top:368.65pt;width:347.05pt;height:41.05pt;rotation:90;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" o:allowincell="f" o:allowoverlap="f" filled="f" stroked="f" strokeweight=".5pt">
              <v:textbo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113E1C" w:rsidRPr="001E38A8" w14:paraId="38212183" w14:textId="77777777" w:rsidTr="00D90070">
                      <w:trPr>
                        <w:cantSplit/>
                      </w:trPr>
                      <w:tc>
                        <w:tcPr>
                          <w:tcW w:w="5997" w:type="dxa"/>
                        </w:tcPr>
                        <w:p w14:paraId="430E21FD" w14:textId="762E043A" w:rsidR="00113E1C" w:rsidRPr="001E38A8" w:rsidRDefault="00113E1C" w:rsidP="00D90070">
                          <w:pPr>
                            <w:pStyle w:val="FooterEven"/>
                            <w:jc w:val="right"/>
                          </w:pPr>
                          <w:r w:rsidRPr="001E38A8">
                            <w:t>Department of Treasury and Finance</w:t>
                          </w:r>
                          <w:r w:rsidRPr="001E38A8">
                            <w:br/>
                            <w:t xml:space="preserve">Annual Report </w:t>
                          </w:r>
                          <w:r w:rsidR="00C30F42">
                            <w:t>2024 | 25</w:t>
                          </w:r>
                        </w:p>
                      </w:tc>
                      <w:tc>
                        <w:tcPr>
                          <w:tcW w:w="817" w:type="dxa"/>
                        </w:tcPr>
                        <w:p w14:paraId="103ABAE8" w14:textId="77777777" w:rsidR="00113E1C" w:rsidRPr="001E38A8" w:rsidRDefault="00113E1C"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107</w:t>
                          </w:r>
                          <w:r w:rsidRPr="001E38A8">
                            <w:rPr>
                              <w:rStyle w:val="PageNumber"/>
                            </w:rPr>
                            <w:fldChar w:fldCharType="end"/>
                          </w:r>
                        </w:p>
                      </w:tc>
                    </w:tr>
                  </w:tbl>
                  <w:p w14:paraId="6A0F6026" w14:textId="77777777" w:rsidR="00113E1C" w:rsidRPr="001E38A8" w:rsidRDefault="00113E1C" w:rsidP="00D90070"/>
                  <w:p w14:paraId="6AE88F88" w14:textId="77777777" w:rsidR="00113E1C" w:rsidRPr="001E38A8" w:rsidRDefault="00113E1C" w:rsidP="00D90070"/>
                  <w:tbl>
                    <w:tblPr>
                      <w:tblW w:w="6814" w:type="dxa"/>
                      <w:tblLayout w:type="fixed"/>
                      <w:tblCellMar>
                        <w:left w:w="57" w:type="dxa"/>
                        <w:right w:w="57" w:type="dxa"/>
                      </w:tblCellMar>
                      <w:tblLook w:val="0600" w:firstRow="0" w:lastRow="0" w:firstColumn="0" w:lastColumn="0" w:noHBand="1" w:noVBand="1"/>
                    </w:tblPr>
                    <w:tblGrid>
                      <w:gridCol w:w="5997"/>
                      <w:gridCol w:w="817"/>
                    </w:tblGrid>
                    <w:tr w:rsidR="00113E1C" w:rsidRPr="001E38A8" w14:paraId="219C2EE5" w14:textId="77777777" w:rsidTr="00D90070">
                      <w:trPr>
                        <w:cantSplit/>
                      </w:trPr>
                      <w:tc>
                        <w:tcPr>
                          <w:tcW w:w="5997" w:type="dxa"/>
                        </w:tcPr>
                        <w:p w14:paraId="76D74CAA" w14:textId="77777777" w:rsidR="00113E1C" w:rsidRPr="001E38A8" w:rsidRDefault="00113E1C" w:rsidP="00D90070">
                          <w:pPr>
                            <w:pStyle w:val="FooterEven"/>
                            <w:jc w:val="right"/>
                          </w:pPr>
                          <w:r w:rsidRPr="001E38A8">
                            <w:t>Department of Treasury and Finance</w:t>
                          </w:r>
                          <w:r w:rsidRPr="001E38A8">
                            <w:br/>
                            <w:t>Annual Report 2016 | 17</w:t>
                          </w:r>
                        </w:p>
                      </w:tc>
                      <w:tc>
                        <w:tcPr>
                          <w:tcW w:w="817" w:type="dxa"/>
                        </w:tcPr>
                        <w:p w14:paraId="3CA50421" w14:textId="77777777" w:rsidR="00113E1C" w:rsidRPr="001E38A8" w:rsidRDefault="00113E1C"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107</w:t>
                          </w:r>
                          <w:r w:rsidRPr="001E38A8">
                            <w:rPr>
                              <w:rStyle w:val="PageNumber"/>
                            </w:rPr>
                            <w:fldChar w:fldCharType="end"/>
                          </w:r>
                        </w:p>
                      </w:tc>
                    </w:tr>
                  </w:tbl>
                  <w:p w14:paraId="7FBFD6E9" w14:textId="77777777" w:rsidR="00113E1C" w:rsidRPr="001E38A8" w:rsidRDefault="00113E1C" w:rsidP="00D90070"/>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540" w:type="pct"/>
      <w:tblInd w:w="-393" w:type="dxa"/>
      <w:tblLayout w:type="fixed"/>
      <w:tblCellMar>
        <w:left w:w="57" w:type="dxa"/>
        <w:right w:w="57" w:type="dxa"/>
      </w:tblCellMar>
      <w:tblLook w:val="0600" w:firstRow="0" w:lastRow="0" w:firstColumn="0" w:lastColumn="0" w:noHBand="1" w:noVBand="1"/>
    </w:tblPr>
    <w:tblGrid>
      <w:gridCol w:w="693"/>
      <w:gridCol w:w="7505"/>
    </w:tblGrid>
    <w:tr w:rsidR="00741824" w14:paraId="5174C998" w14:textId="77777777" w:rsidTr="00322CE9">
      <w:trPr>
        <w:cantSplit/>
      </w:trPr>
      <w:tc>
        <w:tcPr>
          <w:tcW w:w="752" w:type="dxa"/>
        </w:tcPr>
        <w:p w14:paraId="412D6035" w14:textId="77777777" w:rsidR="00741824" w:rsidRDefault="00741824" w:rsidP="00741824">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rPr>
            <w:t>56</w:t>
          </w:r>
          <w:r w:rsidRPr="0018749C">
            <w:rPr>
              <w:rStyle w:val="PageNumber"/>
            </w:rPr>
            <w:fldChar w:fldCharType="end"/>
          </w:r>
        </w:p>
      </w:tc>
      <w:tc>
        <w:tcPr>
          <w:tcW w:w="8279" w:type="dxa"/>
        </w:tcPr>
        <w:p w14:paraId="04D09871" w14:textId="6391B878" w:rsidR="00741824" w:rsidRDefault="00741824" w:rsidP="00741824">
          <w:pPr>
            <w:pStyle w:val="FooterEven"/>
          </w:pPr>
          <w:r w:rsidRPr="001B4BD5">
            <w:t>Department of Treasury and Finance</w:t>
          </w:r>
          <w:r w:rsidRPr="001B4BD5">
            <w:br/>
          </w:r>
          <w:r>
            <w:t xml:space="preserve">Annual Report </w:t>
          </w:r>
          <w:r w:rsidR="00C30F42">
            <w:t>2024 | 25</w:t>
          </w:r>
        </w:p>
      </w:tc>
    </w:tr>
  </w:tbl>
  <w:p w14:paraId="08669BF2" w14:textId="77777777" w:rsidR="00741824" w:rsidRDefault="00741824" w:rsidP="00322CE9">
    <w:pPr>
      <w:pStyle w:val="Spac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549"/>
      <w:gridCol w:w="838"/>
    </w:tblGrid>
    <w:tr w:rsidR="00B436E8" w14:paraId="7B805720" w14:textId="77777777" w:rsidTr="00337EDA">
      <w:trPr>
        <w:cantSplit/>
      </w:trPr>
      <w:tc>
        <w:tcPr>
          <w:tcW w:w="9327" w:type="dxa"/>
        </w:tcPr>
        <w:p w14:paraId="40152A69" w14:textId="17FE95A6" w:rsidR="00B436E8" w:rsidRPr="001B4BD5" w:rsidRDefault="00B436E8" w:rsidP="00B436E8">
          <w:pPr>
            <w:pStyle w:val="Footer"/>
          </w:pPr>
          <w:r w:rsidRPr="001B4BD5">
            <w:t>Department of Treasury and Finance</w:t>
          </w:r>
          <w:r w:rsidRPr="001B4BD5">
            <w:br/>
          </w:r>
          <w:r>
            <w:t xml:space="preserve">Annual Report </w:t>
          </w:r>
          <w:r w:rsidR="00C30F42">
            <w:t>2024 | 25</w:t>
          </w:r>
        </w:p>
      </w:tc>
      <w:tc>
        <w:tcPr>
          <w:tcW w:w="818" w:type="dxa"/>
        </w:tcPr>
        <w:p w14:paraId="0708E686" w14:textId="77777777" w:rsidR="00B436E8" w:rsidRPr="00734B39" w:rsidRDefault="00B436E8" w:rsidP="00B436E8">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rPr>
            <w:t>55</w:t>
          </w:r>
          <w:r w:rsidRPr="00734B39">
            <w:rPr>
              <w:rStyle w:val="PageNumber"/>
            </w:rPr>
            <w:fldChar w:fldCharType="end"/>
          </w:r>
        </w:p>
      </w:tc>
    </w:tr>
  </w:tbl>
  <w:p w14:paraId="059B6C87" w14:textId="77777777" w:rsidR="00E4000E" w:rsidRDefault="00E4000E">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FA198" w14:textId="77777777" w:rsidR="00FE7D93" w:rsidRDefault="00FE7D93">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E6F50E" w14:textId="77777777" w:rsidR="00440360" w:rsidRDefault="00336A2E">
    <w:pPr>
      <w:pStyle w:val="Footer"/>
    </w:pPr>
    <w:r>
      <w:rPr>
        <w:noProof/>
      </w:rPr>
      <mc:AlternateContent>
        <mc:Choice Requires="wps">
          <w:drawing>
            <wp:anchor distT="0" distB="0" distL="114300" distR="114300" simplePos="0" relativeHeight="251658267" behindDoc="0" locked="0" layoutInCell="0" allowOverlap="0" wp14:anchorId="6D3BFB64" wp14:editId="31282A2F">
              <wp:simplePos x="0" y="0"/>
              <wp:positionH relativeFrom="page">
                <wp:posOffset>-1718945</wp:posOffset>
              </wp:positionH>
              <wp:positionV relativeFrom="page">
                <wp:posOffset>4681855</wp:posOffset>
              </wp:positionV>
              <wp:extent cx="4407535" cy="521335"/>
              <wp:effectExtent l="0" t="0" r="0" b="0"/>
              <wp:wrapNone/>
              <wp:docPr id="707651860" name="Text Box 707651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a:off x="0" y="0"/>
                        <a:ext cx="4407535" cy="521335"/>
                      </a:xfrm>
                      <a:prstGeom prst="rect">
                        <a:avLst/>
                      </a:prstGeom>
                      <a:noFill/>
                      <a:ln w="6350">
                        <a:noFill/>
                      </a:ln>
                      <a:effectLst/>
                    </wps:spPr>
                    <wps:txb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336A2E" w:rsidRPr="001E38A8" w14:paraId="0F4AEA18" w14:textId="77777777" w:rsidTr="00D90070">
                            <w:trPr>
                              <w:cantSplit/>
                            </w:trPr>
                            <w:tc>
                              <w:tcPr>
                                <w:tcW w:w="5997" w:type="dxa"/>
                              </w:tcPr>
                              <w:p w14:paraId="17AFB5C3" w14:textId="40E38AEB" w:rsidR="00336A2E" w:rsidRPr="001E38A8" w:rsidRDefault="00336A2E" w:rsidP="00D90070">
                                <w:pPr>
                                  <w:pStyle w:val="FooterEven"/>
                                  <w:jc w:val="right"/>
                                </w:pPr>
                                <w:r w:rsidRPr="001E38A8">
                                  <w:t>Department of Treasury and Finance</w:t>
                                </w:r>
                                <w:r w:rsidRPr="001E38A8">
                                  <w:br/>
                                  <w:t>Annual Report</w:t>
                                </w:r>
                                <w:r>
                                  <w:t xml:space="preserve"> </w:t>
                                </w:r>
                                <w:r w:rsidR="00C30F42">
                                  <w:t>2024 | 25</w:t>
                                </w:r>
                              </w:p>
                            </w:tc>
                            <w:tc>
                              <w:tcPr>
                                <w:tcW w:w="817" w:type="dxa"/>
                              </w:tcPr>
                              <w:p w14:paraId="4ADCAFA3" w14:textId="77777777" w:rsidR="00336A2E" w:rsidRPr="001E38A8" w:rsidRDefault="00336A2E"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107</w:t>
                                </w:r>
                                <w:r w:rsidRPr="001E38A8">
                                  <w:rPr>
                                    <w:rStyle w:val="PageNumber"/>
                                  </w:rPr>
                                  <w:fldChar w:fldCharType="end"/>
                                </w:r>
                              </w:p>
                            </w:tc>
                          </w:tr>
                        </w:tbl>
                        <w:p w14:paraId="48034115" w14:textId="77777777" w:rsidR="00336A2E" w:rsidRPr="001E38A8" w:rsidRDefault="00336A2E" w:rsidP="00656F8C"/>
                        <w:p w14:paraId="3FE49C78" w14:textId="77777777" w:rsidR="00336A2E" w:rsidRPr="001E38A8" w:rsidRDefault="00336A2E" w:rsidP="00656F8C"/>
                        <w:tbl>
                          <w:tblPr>
                            <w:tblW w:w="6814" w:type="dxa"/>
                            <w:tblLayout w:type="fixed"/>
                            <w:tblCellMar>
                              <w:left w:w="57" w:type="dxa"/>
                              <w:right w:w="57" w:type="dxa"/>
                            </w:tblCellMar>
                            <w:tblLook w:val="0600" w:firstRow="0" w:lastRow="0" w:firstColumn="0" w:lastColumn="0" w:noHBand="1" w:noVBand="1"/>
                          </w:tblPr>
                          <w:tblGrid>
                            <w:gridCol w:w="5997"/>
                            <w:gridCol w:w="817"/>
                          </w:tblGrid>
                          <w:tr w:rsidR="00336A2E" w:rsidRPr="001E38A8" w14:paraId="46CA09F2" w14:textId="77777777" w:rsidTr="00D90070">
                            <w:trPr>
                              <w:cantSplit/>
                            </w:trPr>
                            <w:tc>
                              <w:tcPr>
                                <w:tcW w:w="5997" w:type="dxa"/>
                              </w:tcPr>
                              <w:p w14:paraId="40537944" w14:textId="77777777" w:rsidR="00336A2E" w:rsidRPr="001E38A8" w:rsidRDefault="00336A2E" w:rsidP="00D90070">
                                <w:pPr>
                                  <w:pStyle w:val="FooterEven"/>
                                  <w:jc w:val="right"/>
                                </w:pPr>
                                <w:r w:rsidRPr="001E38A8">
                                  <w:t>Department of Treasury and Finance</w:t>
                                </w:r>
                                <w:r w:rsidRPr="001E38A8">
                                  <w:br/>
                                  <w:t>Annual Report 2016 | 17</w:t>
                                </w:r>
                              </w:p>
                            </w:tc>
                            <w:tc>
                              <w:tcPr>
                                <w:tcW w:w="817" w:type="dxa"/>
                              </w:tcPr>
                              <w:p w14:paraId="5D5FFF17" w14:textId="77777777" w:rsidR="00336A2E" w:rsidRPr="001E38A8" w:rsidRDefault="00336A2E"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107</w:t>
                                </w:r>
                                <w:r w:rsidRPr="001E38A8">
                                  <w:rPr>
                                    <w:rStyle w:val="PageNumber"/>
                                  </w:rPr>
                                  <w:fldChar w:fldCharType="end"/>
                                </w:r>
                              </w:p>
                            </w:tc>
                          </w:tr>
                        </w:tbl>
                        <w:p w14:paraId="4FEC54AA" w14:textId="77777777" w:rsidR="00336A2E" w:rsidRPr="001E38A8" w:rsidRDefault="00336A2E" w:rsidP="00656F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3BFB64" id="_x0000_t202" coordsize="21600,21600" o:spt="202" path="m,l,21600r21600,l21600,xe">
              <v:stroke joinstyle="miter"/>
              <v:path gradientshapeok="t" o:connecttype="rect"/>
            </v:shapetype>
            <v:shape id="Text Box 707651860" o:spid="_x0000_s1061" type="#_x0000_t202" style="position:absolute;left:0;text-align:left;margin-left:-135.35pt;margin-top:368.65pt;width:347.05pt;height:41.05pt;rotation:90;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" o:allowincell="f" o:allowoverlap="f" filled="f" stroked="f" strokeweight=".5pt">
              <v:textbox>
                <w:txbxContent>
                  <w:tbl>
                    <w:tblPr>
                      <w:tblW w:w="6814" w:type="dxa"/>
                      <w:tblLayout w:type="fixed"/>
                      <w:tblCellMar>
                        <w:left w:w="57" w:type="dxa"/>
                        <w:right w:w="57" w:type="dxa"/>
                      </w:tblCellMar>
                      <w:tblLook w:val="0600" w:firstRow="0" w:lastRow="0" w:firstColumn="0" w:lastColumn="0" w:noHBand="1" w:noVBand="1"/>
                    </w:tblPr>
                    <w:tblGrid>
                      <w:gridCol w:w="5997"/>
                      <w:gridCol w:w="817"/>
                    </w:tblGrid>
                    <w:tr w:rsidR="00336A2E" w:rsidRPr="001E38A8" w14:paraId="0F4AEA18" w14:textId="77777777" w:rsidTr="00D90070">
                      <w:trPr>
                        <w:cantSplit/>
                      </w:trPr>
                      <w:tc>
                        <w:tcPr>
                          <w:tcW w:w="5997" w:type="dxa"/>
                        </w:tcPr>
                        <w:p w14:paraId="17AFB5C3" w14:textId="40E38AEB" w:rsidR="00336A2E" w:rsidRPr="001E38A8" w:rsidRDefault="00336A2E" w:rsidP="00D90070">
                          <w:pPr>
                            <w:pStyle w:val="FooterEven"/>
                            <w:jc w:val="right"/>
                          </w:pPr>
                          <w:r w:rsidRPr="001E38A8">
                            <w:t>Department of Treasury and Finance</w:t>
                          </w:r>
                          <w:r w:rsidRPr="001E38A8">
                            <w:br/>
                            <w:t>Annual Report</w:t>
                          </w:r>
                          <w:r>
                            <w:t xml:space="preserve"> </w:t>
                          </w:r>
                          <w:r w:rsidR="00C30F42">
                            <w:t>2024 | 25</w:t>
                          </w:r>
                        </w:p>
                      </w:tc>
                      <w:tc>
                        <w:tcPr>
                          <w:tcW w:w="817" w:type="dxa"/>
                        </w:tcPr>
                        <w:p w14:paraId="4ADCAFA3" w14:textId="77777777" w:rsidR="00336A2E" w:rsidRPr="001E38A8" w:rsidRDefault="00336A2E"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107</w:t>
                          </w:r>
                          <w:r w:rsidRPr="001E38A8">
                            <w:rPr>
                              <w:rStyle w:val="PageNumber"/>
                            </w:rPr>
                            <w:fldChar w:fldCharType="end"/>
                          </w:r>
                        </w:p>
                      </w:tc>
                    </w:tr>
                  </w:tbl>
                  <w:p w14:paraId="48034115" w14:textId="77777777" w:rsidR="00336A2E" w:rsidRPr="001E38A8" w:rsidRDefault="00336A2E" w:rsidP="00656F8C"/>
                  <w:p w14:paraId="3FE49C78" w14:textId="77777777" w:rsidR="00336A2E" w:rsidRPr="001E38A8" w:rsidRDefault="00336A2E" w:rsidP="00656F8C"/>
                  <w:tbl>
                    <w:tblPr>
                      <w:tblW w:w="6814" w:type="dxa"/>
                      <w:tblLayout w:type="fixed"/>
                      <w:tblCellMar>
                        <w:left w:w="57" w:type="dxa"/>
                        <w:right w:w="57" w:type="dxa"/>
                      </w:tblCellMar>
                      <w:tblLook w:val="0600" w:firstRow="0" w:lastRow="0" w:firstColumn="0" w:lastColumn="0" w:noHBand="1" w:noVBand="1"/>
                    </w:tblPr>
                    <w:tblGrid>
                      <w:gridCol w:w="5997"/>
                      <w:gridCol w:w="817"/>
                    </w:tblGrid>
                    <w:tr w:rsidR="00336A2E" w:rsidRPr="001E38A8" w14:paraId="46CA09F2" w14:textId="77777777" w:rsidTr="00D90070">
                      <w:trPr>
                        <w:cantSplit/>
                      </w:trPr>
                      <w:tc>
                        <w:tcPr>
                          <w:tcW w:w="5997" w:type="dxa"/>
                        </w:tcPr>
                        <w:p w14:paraId="40537944" w14:textId="77777777" w:rsidR="00336A2E" w:rsidRPr="001E38A8" w:rsidRDefault="00336A2E" w:rsidP="00D90070">
                          <w:pPr>
                            <w:pStyle w:val="FooterEven"/>
                            <w:jc w:val="right"/>
                          </w:pPr>
                          <w:r w:rsidRPr="001E38A8">
                            <w:t>Department of Treasury and Finance</w:t>
                          </w:r>
                          <w:r w:rsidRPr="001E38A8">
                            <w:br/>
                            <w:t>Annual Report 2016 | 17</w:t>
                          </w:r>
                        </w:p>
                      </w:tc>
                      <w:tc>
                        <w:tcPr>
                          <w:tcW w:w="817" w:type="dxa"/>
                        </w:tcPr>
                        <w:p w14:paraId="5D5FFF17" w14:textId="77777777" w:rsidR="00336A2E" w:rsidRPr="001E38A8" w:rsidRDefault="00336A2E" w:rsidP="00D90070">
                          <w:pPr>
                            <w:pStyle w:val="FooterEven"/>
                            <w:jc w:val="right"/>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107</w:t>
                          </w:r>
                          <w:r w:rsidRPr="001E38A8">
                            <w:rPr>
                              <w:rStyle w:val="PageNumber"/>
                            </w:rPr>
                            <w:fldChar w:fldCharType="end"/>
                          </w:r>
                        </w:p>
                      </w:tc>
                    </w:tr>
                  </w:tbl>
                  <w:p w14:paraId="4FEC54AA" w14:textId="77777777" w:rsidR="00336A2E" w:rsidRPr="001E38A8" w:rsidRDefault="00336A2E" w:rsidP="00656F8C"/>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113E1C" w14:paraId="727709DA" w14:textId="77777777" w:rsidTr="00D90070">
      <w:trPr>
        <w:cantSplit/>
      </w:trPr>
      <w:tc>
        <w:tcPr>
          <w:tcW w:w="800" w:type="dxa"/>
        </w:tcPr>
        <w:p w14:paraId="551E3740" w14:textId="77777777" w:rsidR="00113E1C" w:rsidRDefault="00113E1C"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108</w:t>
          </w:r>
          <w:r w:rsidRPr="0018749C">
            <w:rPr>
              <w:rStyle w:val="PageNumber"/>
            </w:rPr>
            <w:fldChar w:fldCharType="end"/>
          </w:r>
        </w:p>
      </w:tc>
      <w:tc>
        <w:tcPr>
          <w:tcW w:w="8918" w:type="dxa"/>
        </w:tcPr>
        <w:p w14:paraId="033A6666" w14:textId="01986D8E" w:rsidR="00113E1C" w:rsidRDefault="00113E1C" w:rsidP="00D90070">
          <w:pPr>
            <w:pStyle w:val="FooterEven"/>
          </w:pPr>
          <w:r w:rsidRPr="001B4BD5">
            <w:t>Department of Treasury and Finance</w:t>
          </w:r>
          <w:r w:rsidRPr="001B4BD5">
            <w:br/>
          </w:r>
          <w:r w:rsidR="004147BB">
            <w:t xml:space="preserve">Annual Report </w:t>
          </w:r>
          <w:r w:rsidR="00C30F42">
            <w:t>2024 | 25</w:t>
          </w:r>
        </w:p>
      </w:tc>
    </w:tr>
  </w:tbl>
  <w:p w14:paraId="5BC1F63E" w14:textId="77777777" w:rsidR="00113E1C" w:rsidRDefault="00113E1C" w:rsidP="00D90070">
    <w:pPr>
      <w:pStyle w:val="Spac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113E1C" w14:paraId="5AA86900" w14:textId="77777777" w:rsidTr="00D90070">
      <w:trPr>
        <w:cantSplit/>
      </w:trPr>
      <w:tc>
        <w:tcPr>
          <w:tcW w:w="9327" w:type="dxa"/>
        </w:tcPr>
        <w:p w14:paraId="069656BB" w14:textId="1FC9E4BA" w:rsidR="00113E1C" w:rsidRPr="001B4BD5" w:rsidRDefault="00113E1C" w:rsidP="00D90070">
          <w:pPr>
            <w:pStyle w:val="Footer"/>
          </w:pPr>
          <w:r w:rsidRPr="001B4BD5">
            <w:t>Department of Treasury and Finance</w:t>
          </w:r>
          <w:r w:rsidRPr="001B4BD5">
            <w:br/>
          </w:r>
          <w:r w:rsidR="004147BB">
            <w:t xml:space="preserve">Annual Report </w:t>
          </w:r>
          <w:r w:rsidR="00C30F42">
            <w:t>2024 | 25</w:t>
          </w:r>
        </w:p>
      </w:tc>
      <w:tc>
        <w:tcPr>
          <w:tcW w:w="818" w:type="dxa"/>
        </w:tcPr>
        <w:p w14:paraId="508A09D7" w14:textId="77777777" w:rsidR="00113E1C" w:rsidRPr="00734B39" w:rsidRDefault="00113E1C" w:rsidP="00D90070">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107</w:t>
          </w:r>
          <w:r w:rsidRPr="00734B39">
            <w:rPr>
              <w:rStyle w:val="PageNumber"/>
            </w:rPr>
            <w:fldChar w:fldCharType="end"/>
          </w:r>
        </w:p>
      </w:tc>
    </w:tr>
  </w:tbl>
  <w:p w14:paraId="09D1146C" w14:textId="77777777" w:rsidR="00113E1C" w:rsidRDefault="00113E1C" w:rsidP="00D90070">
    <w:pPr>
      <w:pStyle w:val="Spac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113E1C" w:rsidRPr="001E38A8" w14:paraId="7BC1F769" w14:textId="77777777" w:rsidTr="00F610CA">
      <w:trPr>
        <w:cantSplit/>
      </w:trPr>
      <w:tc>
        <w:tcPr>
          <w:tcW w:w="800" w:type="dxa"/>
        </w:tcPr>
        <w:p w14:paraId="2155C7BA" w14:textId="77777777" w:rsidR="00113E1C" w:rsidRPr="001E38A8" w:rsidRDefault="00113E1C" w:rsidP="00F610CA">
          <w:pPr>
            <w:pStyle w:val="PageNumberLeft"/>
            <w:rPr>
              <w:rFonts w:asciiTheme="minorHAnsi" w:hAnsiTheme="minorHAnsi"/>
            </w:rPr>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116</w:t>
          </w:r>
          <w:r w:rsidRPr="001E38A8">
            <w:rPr>
              <w:rStyle w:val="PageNumber"/>
            </w:rPr>
            <w:fldChar w:fldCharType="end"/>
          </w:r>
        </w:p>
      </w:tc>
      <w:tc>
        <w:tcPr>
          <w:tcW w:w="8918" w:type="dxa"/>
        </w:tcPr>
        <w:p w14:paraId="72DBF7E5" w14:textId="1FA68FD1" w:rsidR="00113E1C" w:rsidRPr="001E38A8" w:rsidRDefault="00113E1C" w:rsidP="00D90070">
          <w:pPr>
            <w:pStyle w:val="FooterEven"/>
          </w:pPr>
          <w:r w:rsidRPr="001E38A8">
            <w:t>Department of Treasury and Finance</w:t>
          </w:r>
          <w:r w:rsidRPr="001E38A8">
            <w:br/>
          </w:r>
          <w:r w:rsidR="004147BB">
            <w:t xml:space="preserve">Annual Report </w:t>
          </w:r>
          <w:r w:rsidR="00C30F42">
            <w:t>2024 | 25</w:t>
          </w:r>
        </w:p>
      </w:tc>
    </w:tr>
  </w:tbl>
  <w:p w14:paraId="5B3D74A6" w14:textId="77777777" w:rsidR="00113E1C" w:rsidRDefault="00113E1C" w:rsidP="00F610CA">
    <w:pPr>
      <w:pStyle w:val="Spac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92"/>
      <w:gridCol w:w="8815"/>
    </w:tblGrid>
    <w:tr w:rsidR="00F354CC" w14:paraId="260B69A9" w14:textId="77777777" w:rsidTr="00F610CA">
      <w:trPr>
        <w:cantSplit/>
      </w:trPr>
      <w:tc>
        <w:tcPr>
          <w:tcW w:w="800" w:type="dxa"/>
        </w:tcPr>
        <w:p w14:paraId="3B5B0BE8" w14:textId="557D8A73" w:rsidR="002C4612" w:rsidRDefault="007B4E38" w:rsidP="00F610CA">
          <w:pPr>
            <w:pStyle w:val="PageNumberLeft"/>
            <w:rPr>
              <w:rStyle w:val="PageNumber"/>
            </w:rPr>
          </w:pPr>
          <w:r>
            <w:rPr>
              <w:rFonts w:asciiTheme="minorHAnsi" w:hAnsiTheme="minorHAnsi"/>
              <w:b/>
              <w:noProof/>
              <w:color w:val="4C4C4C"/>
              <w:sz w:val="28"/>
            </w:rPr>
            <mc:AlternateContent>
              <mc:Choice Requires="wps">
                <w:drawing>
                  <wp:anchor distT="0" distB="0" distL="114300" distR="114300" simplePos="0" relativeHeight="251658262" behindDoc="0" locked="0" layoutInCell="0" allowOverlap="1" wp14:anchorId="4C353538" wp14:editId="35159266">
                    <wp:simplePos x="0" y="9403953"/>
                    <wp:positionH relativeFrom="page">
                      <wp:align>left</wp:align>
                    </wp:positionH>
                    <wp:positionV relativeFrom="page">
                      <wp:align>bottom</wp:align>
                    </wp:positionV>
                    <wp:extent cx="7772400" cy="463550"/>
                    <wp:effectExtent l="0" t="0" r="0" b="12700"/>
                    <wp:wrapNone/>
                    <wp:docPr id="545" name="Text Box 545" descr="{&quot;HashCode&quot;:-1267603503,&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E141D45" w14:textId="3227F955" w:rsidR="007B4E38" w:rsidRPr="007B4E38" w:rsidRDefault="007B4E38" w:rsidP="007B4E38">
                                <w:pPr>
                                  <w:spacing w:before="0" w:after="0"/>
                                  <w:rPr>
                                    <w:rFonts w:ascii="Calibri" w:hAnsi="Calibri" w:cs="Calibri"/>
                                    <w:color w:val="000000"/>
                                    <w:sz w:val="22"/>
                                  </w:rPr>
                                </w:pPr>
                                <w:r w:rsidRPr="007B4E38">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4C353538" id="_x0000_t202" coordsize="21600,21600" o:spt="202" path="m,l,21600r21600,l21600,xe">
                    <v:stroke joinstyle="miter"/>
                    <v:path gradientshapeok="t" o:connecttype="rect"/>
                  </v:shapetype>
                  <v:shape id="Text Box 545" o:spid="_x0000_s1034" type="#_x0000_t202" alt="{&quot;HashCode&quot;:-1267603503,&quot;Height&quot;:9999999.0,&quot;Width&quot;:9999999.0,&quot;Placement&quot;:&quot;Footer&quot;,&quot;Index&quot;:&quot;OddAndEven&quot;,&quot;Section&quot;:2,&quot;Top&quot;:0.0,&quot;Left&quot;:0.0}" style="position:absolute;margin-left:0;margin-top:0;width:612pt;height:36.5pt;z-index:251658262;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LcTpeFtAgAAPwUAAA4AAAAAAAAAAAAAAAAALgIA&#10;AGRycy9lMm9Eb2MueG1sUEsBAi0AFAAGAAgAAAAhAP71jZvaAAAABQEAAA8AAAAAAAAAAAAAAAAA&#10;xwQAAGRycy9kb3ducmV2LnhtbFBLBQYAAAAABAAEAPMAAADOBQAAAAA=&#10;" o:allowincell="f" filled="f" stroked="f" strokeweight=".5pt">
                    <v:textbox inset="20pt,0,,0">
                      <w:txbxContent>
                        <w:p w14:paraId="5E141D45" w14:textId="3227F955" w:rsidR="007B4E38" w:rsidRPr="007B4E38" w:rsidRDefault="007B4E38" w:rsidP="007B4E38">
                          <w:pPr>
                            <w:spacing w:before="0" w:after="0"/>
                            <w:rPr>
                              <w:rFonts w:ascii="Calibri" w:hAnsi="Calibri" w:cs="Calibri"/>
                              <w:color w:val="000000"/>
                              <w:sz w:val="22"/>
                            </w:rPr>
                          </w:pPr>
                          <w:r w:rsidRPr="007B4E38">
                            <w:rPr>
                              <w:rFonts w:ascii="Calibri" w:hAnsi="Calibri" w:cs="Calibri"/>
                              <w:color w:val="000000"/>
                              <w:sz w:val="22"/>
                            </w:rPr>
                            <w:t>OFFICIAL</w:t>
                          </w:r>
                        </w:p>
                      </w:txbxContent>
                    </v:textbox>
                    <w10:wrap anchorx="page" anchory="page"/>
                  </v:shape>
                </w:pict>
              </mc:Fallback>
            </mc:AlternateContent>
          </w:r>
          <w:r w:rsidR="003B30BA">
            <w:rPr>
              <w:rFonts w:asciiTheme="minorHAnsi" w:hAnsiTheme="minorHAnsi"/>
              <w:b/>
              <w:noProof/>
              <w:color w:val="4C4C4C"/>
              <w:sz w:val="28"/>
            </w:rPr>
            <mc:AlternateContent>
              <mc:Choice Requires="wps">
                <w:drawing>
                  <wp:anchor distT="0" distB="0" distL="114300" distR="114300" simplePos="0" relativeHeight="251658258" behindDoc="0" locked="0" layoutInCell="0" allowOverlap="1" wp14:anchorId="51ED341C" wp14:editId="32C082A1">
                    <wp:simplePos x="0" y="9403953"/>
                    <wp:positionH relativeFrom="page">
                      <wp:align>left</wp:align>
                    </wp:positionH>
                    <wp:positionV relativeFrom="page">
                      <wp:align>bottom</wp:align>
                    </wp:positionV>
                    <wp:extent cx="7772400" cy="463550"/>
                    <wp:effectExtent l="0" t="0" r="0" b="12700"/>
                    <wp:wrapNone/>
                    <wp:docPr id="12" name="Text Box 12" descr="{&quot;HashCode&quot;:-1267603503,&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9509764" w14:textId="649A1271" w:rsidR="003B30BA" w:rsidRPr="003B30BA" w:rsidRDefault="003B30BA" w:rsidP="003B30BA">
                                <w:pPr>
                                  <w:spacing w:before="0" w:after="0"/>
                                  <w:rPr>
                                    <w:rFonts w:ascii="Calibri" w:hAnsi="Calibri" w:cs="Calibri"/>
                                    <w:color w:val="000000"/>
                                    <w:sz w:val="22"/>
                                  </w:rPr>
                                </w:pPr>
                                <w:r w:rsidRPr="003B30BA">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51ED341C" id="Text Box 12" o:spid="_x0000_s1035" type="#_x0000_t202" alt="{&quot;HashCode&quot;:-1267603503,&quot;Height&quot;:9999999.0,&quot;Width&quot;:9999999.0,&quot;Placement&quot;:&quot;Footer&quot;,&quot;Index&quot;:&quot;OddAndEven&quot;,&quot;Section&quot;:2,&quot;Top&quot;:0.0,&quot;Left&quot;:0.0}" style="position:absolute;margin-left:0;margin-top:0;width:612pt;height:36.5pt;z-index:251658258;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N1XxXJtAgAAPwUAAA4AAAAAAAAAAAAAAAAALgIA&#10;AGRycy9lMm9Eb2MueG1sUEsBAi0AFAAGAAgAAAAhAP71jZvaAAAABQEAAA8AAAAAAAAAAAAAAAAA&#10;xwQAAGRycy9kb3ducmV2LnhtbFBLBQYAAAAABAAEAPMAAADOBQAAAAA=&#10;" o:allowincell="f" filled="f" stroked="f" strokeweight=".5pt">
                    <v:textbox inset="20pt,0,,0">
                      <w:txbxContent>
                        <w:p w14:paraId="59509764" w14:textId="649A1271" w:rsidR="003B30BA" w:rsidRPr="003B30BA" w:rsidRDefault="003B30BA" w:rsidP="003B30BA">
                          <w:pPr>
                            <w:spacing w:before="0" w:after="0"/>
                            <w:rPr>
                              <w:rFonts w:ascii="Calibri" w:hAnsi="Calibri" w:cs="Calibri"/>
                              <w:color w:val="000000"/>
                              <w:sz w:val="22"/>
                            </w:rPr>
                          </w:pPr>
                          <w:r w:rsidRPr="003B30BA">
                            <w:rPr>
                              <w:rFonts w:ascii="Calibri" w:hAnsi="Calibri" w:cs="Calibri"/>
                              <w:color w:val="000000"/>
                              <w:sz w:val="22"/>
                            </w:rPr>
                            <w:t>OFFICIAL</w:t>
                          </w:r>
                        </w:p>
                      </w:txbxContent>
                    </v:textbox>
                    <w10:wrap anchorx="page" anchory="page"/>
                  </v:shape>
                </w:pict>
              </mc:Fallback>
            </mc:AlternateContent>
          </w:r>
        </w:p>
        <w:p w14:paraId="3A0CBCE2" w14:textId="128B1D00" w:rsidR="00F354CC" w:rsidRDefault="000E75A0" w:rsidP="00F610CA">
          <w:pPr>
            <w:pStyle w:val="PageNumberLeft"/>
          </w:pPr>
          <w:r>
            <w:rPr>
              <w:rFonts w:asciiTheme="minorHAnsi" w:hAnsiTheme="minorHAnsi"/>
              <w:b/>
              <w:noProof/>
              <w:color w:val="4C4C4C"/>
              <w:sz w:val="28"/>
            </w:rPr>
            <mc:AlternateContent>
              <mc:Choice Requires="wps">
                <w:drawing>
                  <wp:anchor distT="0" distB="0" distL="114300" distR="114300" simplePos="0" relativeHeight="251658247" behindDoc="0" locked="0" layoutInCell="0" allowOverlap="1" wp14:anchorId="7DE4343B" wp14:editId="572CE4C0">
                    <wp:simplePos x="0" y="9403953"/>
                    <wp:positionH relativeFrom="page">
                      <wp:align>left</wp:align>
                    </wp:positionH>
                    <wp:positionV relativeFrom="page">
                      <wp:align>bottom</wp:align>
                    </wp:positionV>
                    <wp:extent cx="7772400" cy="463550"/>
                    <wp:effectExtent l="0" t="0" r="0" b="12700"/>
                    <wp:wrapNone/>
                    <wp:docPr id="28" name="Text Box 28" descr="{&quot;HashCode&quot;:-1267603503,&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4D729AB0" w14:textId="266D7C75" w:rsidR="000E75A0" w:rsidRPr="000E75A0" w:rsidRDefault="000E75A0" w:rsidP="000E75A0">
                                <w:pPr>
                                  <w:spacing w:before="0" w:after="0"/>
                                  <w:rPr>
                                    <w:rFonts w:ascii="Calibri" w:hAnsi="Calibri" w:cs="Calibri"/>
                                    <w:color w:val="000000"/>
                                    <w:sz w:val="22"/>
                                  </w:rPr>
                                </w:pPr>
                                <w:r w:rsidRPr="000E75A0">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7DE4343B" id="Text Box 28" o:spid="_x0000_s1036" type="#_x0000_t202" alt="{&quot;HashCode&quot;:-1267603503,&quot;Height&quot;:9999999.0,&quot;Width&quot;:9999999.0,&quot;Placement&quot;:&quot;Footer&quot;,&quot;Index&quot;:&quot;OddAndEven&quot;,&quot;Section&quot;:2,&quot;Top&quot;:0.0,&quot;Left&quot;:0.0}" style="position:absolute;margin-left:0;margin-top:0;width:612pt;height:36.5pt;z-index:251658247;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AvF3EhtAgAAQAUAAA4AAAAAAAAAAAAAAAAALgIA&#10;AGRycy9lMm9Eb2MueG1sUEsBAi0AFAAGAAgAAAAhAP71jZvaAAAABQEAAA8AAAAAAAAAAAAAAAAA&#10;xwQAAGRycy9kb3ducmV2LnhtbFBLBQYAAAAABAAEAPMAAADOBQAAAAA=&#10;" o:allowincell="f" filled="f" stroked="f" strokeweight=".5pt">
                    <v:textbox inset="20pt,0,,0">
                      <w:txbxContent>
                        <w:p w14:paraId="4D729AB0" w14:textId="266D7C75" w:rsidR="000E75A0" w:rsidRPr="000E75A0" w:rsidRDefault="000E75A0" w:rsidP="000E75A0">
                          <w:pPr>
                            <w:spacing w:before="0" w:after="0"/>
                            <w:rPr>
                              <w:rFonts w:ascii="Calibri" w:hAnsi="Calibri" w:cs="Calibri"/>
                              <w:color w:val="000000"/>
                              <w:sz w:val="22"/>
                            </w:rPr>
                          </w:pPr>
                          <w:r w:rsidRPr="000E75A0">
                            <w:rPr>
                              <w:rFonts w:ascii="Calibri" w:hAnsi="Calibri" w:cs="Calibri"/>
                              <w:color w:val="000000"/>
                              <w:sz w:val="22"/>
                            </w:rPr>
                            <w:t>OFFICIAL</w:t>
                          </w:r>
                        </w:p>
                      </w:txbxContent>
                    </v:textbox>
                    <w10:wrap anchorx="page" anchory="page"/>
                  </v:shape>
                </w:pict>
              </mc:Fallback>
            </mc:AlternateContent>
          </w:r>
          <w:r w:rsidR="00D349B4">
            <w:rPr>
              <w:rFonts w:asciiTheme="minorHAnsi" w:hAnsiTheme="minorHAnsi"/>
              <w:b/>
              <w:noProof/>
              <w:color w:val="4C4C4C"/>
              <w:sz w:val="28"/>
            </w:rPr>
            <mc:AlternateContent>
              <mc:Choice Requires="wps">
                <w:drawing>
                  <wp:anchor distT="0" distB="0" distL="114300" distR="114300" simplePos="0" relativeHeight="251658244" behindDoc="0" locked="0" layoutInCell="0" allowOverlap="1" wp14:anchorId="4B81E7D1" wp14:editId="00C8F271">
                    <wp:simplePos x="0" y="9403953"/>
                    <wp:positionH relativeFrom="page">
                      <wp:align>left</wp:align>
                    </wp:positionH>
                    <wp:positionV relativeFrom="page">
                      <wp:align>bottom</wp:align>
                    </wp:positionV>
                    <wp:extent cx="7772400" cy="463550"/>
                    <wp:effectExtent l="0" t="0" r="0" b="12700"/>
                    <wp:wrapNone/>
                    <wp:docPr id="5" name="Text Box 5" descr="{&quot;HashCode&quot;:-1267603503,&quot;Height&quot;:9999999.0,&quot;Width&quot;:9999999.0,&quot;Placement&quot;:&quot;Footer&quot;,&quot;Index&quot;:&quot;OddAndEven&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62F07807" w14:textId="50AB7DEA" w:rsidR="00D349B4" w:rsidRPr="00576DB4" w:rsidRDefault="00D349B4" w:rsidP="00576DB4">
                                <w:pPr>
                                  <w:spacing w:before="0" w:after="0"/>
                                  <w:rPr>
                                    <w:rFonts w:ascii="Calibri" w:hAnsi="Calibri" w:cs="Calibri"/>
                                    <w:color w:val="000000"/>
                                    <w:sz w:val="22"/>
                                  </w:rPr>
                                </w:pPr>
                                <w:r w:rsidRPr="00576DB4">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4B81E7D1" id="Text Box 5" o:spid="_x0000_s1037" type="#_x0000_t202" alt="{&quot;HashCode&quot;:-1267603503,&quot;Height&quot;:9999999.0,&quot;Width&quot;:9999999.0,&quot;Placement&quot;:&quot;Footer&quot;,&quot;Index&quot;:&quot;OddAndEven&quot;,&quot;Section&quot;:2,&quot;Top&quot;:0.0,&quot;Left&quot;:0.0}" style="position:absolute;margin-left:0;margin-top:0;width:612pt;height:36.5pt;z-index:251658244;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GGBvNttAgAAQAUAAA4AAAAAAAAAAAAAAAAALgIA&#10;AGRycy9lMm9Eb2MueG1sUEsBAi0AFAAGAAgAAAAhAP71jZvaAAAABQEAAA8AAAAAAAAAAAAAAAAA&#10;xwQAAGRycy9kb3ducmV2LnhtbFBLBQYAAAAABAAEAPMAAADOBQAAAAA=&#10;" o:allowincell="f" filled="f" stroked="f" strokeweight=".5pt">
                    <v:textbox inset="20pt,0,,0">
                      <w:txbxContent>
                        <w:p w14:paraId="62F07807" w14:textId="50AB7DEA" w:rsidR="00D349B4" w:rsidRPr="00576DB4" w:rsidRDefault="00D349B4" w:rsidP="00576DB4">
                          <w:pPr>
                            <w:spacing w:before="0" w:after="0"/>
                            <w:rPr>
                              <w:rFonts w:ascii="Calibri" w:hAnsi="Calibri" w:cs="Calibri"/>
                              <w:color w:val="000000"/>
                              <w:sz w:val="22"/>
                            </w:rPr>
                          </w:pPr>
                          <w:r w:rsidRPr="00576DB4">
                            <w:rPr>
                              <w:rFonts w:ascii="Calibri" w:hAnsi="Calibri" w:cs="Calibri"/>
                              <w:color w:val="000000"/>
                              <w:sz w:val="22"/>
                            </w:rPr>
                            <w:t>OFFICIAL</w:t>
                          </w:r>
                        </w:p>
                      </w:txbxContent>
                    </v:textbox>
                    <w10:wrap anchorx="page" anchory="page"/>
                  </v:shape>
                </w:pict>
              </mc:Fallback>
            </mc:AlternateContent>
          </w:r>
          <w:r w:rsidR="00F354CC" w:rsidRPr="0018749C">
            <w:rPr>
              <w:rStyle w:val="PageNumber"/>
            </w:rPr>
            <w:fldChar w:fldCharType="begin"/>
          </w:r>
          <w:r w:rsidR="00F354CC" w:rsidRPr="0018749C">
            <w:rPr>
              <w:rStyle w:val="PageNumber"/>
            </w:rPr>
            <w:instrText xml:space="preserve"> Page </w:instrText>
          </w:r>
          <w:r w:rsidR="00F354CC" w:rsidRPr="0018749C">
            <w:rPr>
              <w:rStyle w:val="PageNumber"/>
            </w:rPr>
            <w:fldChar w:fldCharType="separate"/>
          </w:r>
          <w:r w:rsidR="00F354CC">
            <w:rPr>
              <w:rStyle w:val="PageNumber"/>
              <w:noProof/>
            </w:rPr>
            <w:t>2</w:t>
          </w:r>
          <w:r w:rsidR="00F354CC" w:rsidRPr="0018749C">
            <w:rPr>
              <w:rStyle w:val="PageNumber"/>
            </w:rPr>
            <w:fldChar w:fldCharType="end"/>
          </w:r>
        </w:p>
      </w:tc>
      <w:tc>
        <w:tcPr>
          <w:tcW w:w="8918" w:type="dxa"/>
        </w:tcPr>
        <w:p w14:paraId="15B6EF6A" w14:textId="4578374F" w:rsidR="00F354CC" w:rsidRDefault="00F354CC" w:rsidP="00D16853">
          <w:pPr>
            <w:pStyle w:val="FooterEven"/>
          </w:pPr>
          <w:r w:rsidRPr="009265C5">
            <w:t>Department of Treasur</w:t>
          </w:r>
          <w:r>
            <w:t>y and Finance</w:t>
          </w:r>
          <w:r>
            <w:br/>
          </w:r>
          <w:r>
            <w:fldChar w:fldCharType="begin"/>
          </w:r>
          <w:r>
            <w:instrText xml:space="preserve"> StyleRef “ARTitle” </w:instrText>
          </w:r>
          <w:r>
            <w:fldChar w:fldCharType="separate"/>
          </w:r>
          <w:r w:rsidR="008F4C0F">
            <w:rPr>
              <w:b/>
              <w:bCs/>
              <w:noProof/>
              <w:lang w:val="en-US"/>
            </w:rPr>
            <w:t>Error! Use the Home tab to apply ARTitle to the text that you want to appear here.</w:t>
          </w:r>
          <w:r>
            <w:rPr>
              <w:noProof/>
            </w:rPr>
            <w:fldChar w:fldCharType="end"/>
          </w:r>
        </w:p>
      </w:tc>
    </w:tr>
  </w:tbl>
  <w:p w14:paraId="1EE13C0F" w14:textId="77777777" w:rsidR="00F354CC" w:rsidRDefault="00F354CC" w:rsidP="00F610CA">
    <w:pPr>
      <w:pStyle w:val="Spac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113E1C" w:rsidRPr="001E38A8" w14:paraId="5CD59447" w14:textId="77777777" w:rsidTr="00F610CA">
      <w:trPr>
        <w:cantSplit/>
      </w:trPr>
      <w:tc>
        <w:tcPr>
          <w:tcW w:w="9327" w:type="dxa"/>
        </w:tcPr>
        <w:p w14:paraId="20B6F290" w14:textId="056DB661" w:rsidR="00113E1C" w:rsidRPr="001E38A8" w:rsidRDefault="00113E1C" w:rsidP="00D90070">
          <w:pPr>
            <w:pStyle w:val="Footer"/>
          </w:pPr>
          <w:r w:rsidRPr="001E38A8">
            <w:t>Department of Treasury and Finance</w:t>
          </w:r>
          <w:r w:rsidRPr="001E38A8">
            <w:br/>
          </w:r>
          <w:r w:rsidR="004147BB">
            <w:t xml:space="preserve">Annual Report </w:t>
          </w:r>
          <w:r w:rsidR="00C30F42">
            <w:t>2024 | 25</w:t>
          </w:r>
        </w:p>
      </w:tc>
      <w:tc>
        <w:tcPr>
          <w:tcW w:w="818" w:type="dxa"/>
        </w:tcPr>
        <w:p w14:paraId="25843AEE" w14:textId="77777777" w:rsidR="00113E1C" w:rsidRPr="001E38A8" w:rsidRDefault="00113E1C" w:rsidP="00734B39">
          <w:pPr>
            <w:pStyle w:val="Footer"/>
            <w:rPr>
              <w:rStyle w:val="PageNumber"/>
            </w:rPr>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117</w:t>
          </w:r>
          <w:r w:rsidRPr="001E38A8">
            <w:rPr>
              <w:rStyle w:val="PageNumber"/>
            </w:rPr>
            <w:fldChar w:fldCharType="end"/>
          </w:r>
        </w:p>
      </w:tc>
    </w:tr>
  </w:tbl>
  <w:p w14:paraId="08A63D24" w14:textId="77777777" w:rsidR="00113E1C" w:rsidRPr="001E38A8" w:rsidRDefault="00113E1C" w:rsidP="00F610CA">
    <w:pPr>
      <w:pStyle w:val="Spac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113E1C" w:rsidRPr="001E38A8" w14:paraId="27ED226C" w14:textId="77777777" w:rsidTr="00F610CA">
      <w:trPr>
        <w:cantSplit/>
      </w:trPr>
      <w:tc>
        <w:tcPr>
          <w:tcW w:w="800" w:type="dxa"/>
        </w:tcPr>
        <w:p w14:paraId="74FC5800" w14:textId="77777777" w:rsidR="00113E1C" w:rsidRPr="001E38A8" w:rsidRDefault="00113E1C" w:rsidP="00F610CA">
          <w:pPr>
            <w:pStyle w:val="PageNumberLeft"/>
            <w:rPr>
              <w:rFonts w:asciiTheme="minorHAnsi" w:hAnsiTheme="minorHAnsi"/>
            </w:rPr>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116</w:t>
          </w:r>
          <w:r w:rsidRPr="001E38A8">
            <w:rPr>
              <w:rStyle w:val="PageNumber"/>
            </w:rPr>
            <w:fldChar w:fldCharType="end"/>
          </w:r>
        </w:p>
      </w:tc>
      <w:tc>
        <w:tcPr>
          <w:tcW w:w="8918" w:type="dxa"/>
        </w:tcPr>
        <w:p w14:paraId="0FC8DDAE" w14:textId="09ED21E0" w:rsidR="00113E1C" w:rsidRPr="001E38A8" w:rsidRDefault="00113E1C" w:rsidP="00D90070">
          <w:pPr>
            <w:pStyle w:val="FooterEven"/>
          </w:pPr>
          <w:r w:rsidRPr="001E38A8">
            <w:t>Department of Treasury and Finance</w:t>
          </w:r>
          <w:r w:rsidRPr="001E38A8">
            <w:br/>
          </w:r>
          <w:r w:rsidR="004147BB">
            <w:t xml:space="preserve">Annual Report </w:t>
          </w:r>
          <w:r w:rsidR="00C30F42">
            <w:t>2024 | 25</w:t>
          </w:r>
        </w:p>
      </w:tc>
    </w:tr>
  </w:tbl>
  <w:p w14:paraId="4F4E4447" w14:textId="77777777" w:rsidR="00113E1C" w:rsidRDefault="00113E1C" w:rsidP="00F610CA">
    <w:pPr>
      <w:pStyle w:val="Spac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113E1C" w:rsidRPr="001E38A8" w14:paraId="78D6118D" w14:textId="77777777" w:rsidTr="00F610CA">
      <w:trPr>
        <w:cantSplit/>
      </w:trPr>
      <w:tc>
        <w:tcPr>
          <w:tcW w:w="9327" w:type="dxa"/>
        </w:tcPr>
        <w:p w14:paraId="38A65CBB" w14:textId="52EE0D65" w:rsidR="00113E1C" w:rsidRPr="001E38A8" w:rsidRDefault="00113E1C" w:rsidP="00D90070">
          <w:pPr>
            <w:pStyle w:val="Footer"/>
          </w:pPr>
          <w:r w:rsidRPr="001E38A8">
            <w:t>Department of Treasury and Fin</w:t>
          </w:r>
          <w:r>
            <w:t>a</w:t>
          </w:r>
          <w:r w:rsidRPr="001E38A8">
            <w:t>nce</w:t>
          </w:r>
          <w:r w:rsidRPr="001E38A8">
            <w:br/>
          </w:r>
          <w:r w:rsidR="004147BB">
            <w:t xml:space="preserve">Annual Report </w:t>
          </w:r>
          <w:r w:rsidR="00C30F42">
            <w:t>2024 | 25</w:t>
          </w:r>
        </w:p>
      </w:tc>
      <w:tc>
        <w:tcPr>
          <w:tcW w:w="818" w:type="dxa"/>
        </w:tcPr>
        <w:p w14:paraId="61403FA2" w14:textId="77777777" w:rsidR="00113E1C" w:rsidRPr="001E38A8" w:rsidRDefault="00113E1C" w:rsidP="00734B39">
          <w:pPr>
            <w:pStyle w:val="Footer"/>
            <w:rPr>
              <w:rStyle w:val="PageNumber"/>
            </w:rPr>
          </w:pPr>
          <w:r w:rsidRPr="001E38A8">
            <w:rPr>
              <w:rStyle w:val="PageNumber"/>
            </w:rPr>
            <w:fldChar w:fldCharType="begin"/>
          </w:r>
          <w:r w:rsidRPr="001E38A8">
            <w:rPr>
              <w:rStyle w:val="PageNumber"/>
            </w:rPr>
            <w:instrText xml:space="preserve"> Page </w:instrText>
          </w:r>
          <w:r w:rsidRPr="001E38A8">
            <w:rPr>
              <w:rStyle w:val="PageNumber"/>
            </w:rPr>
            <w:fldChar w:fldCharType="separate"/>
          </w:r>
          <w:r w:rsidRPr="001E38A8">
            <w:rPr>
              <w:rStyle w:val="PageNumber"/>
              <w:noProof/>
            </w:rPr>
            <w:t>117</w:t>
          </w:r>
          <w:r w:rsidRPr="001E38A8">
            <w:rPr>
              <w:rStyle w:val="PageNumber"/>
            </w:rPr>
            <w:fldChar w:fldCharType="end"/>
          </w:r>
        </w:p>
      </w:tc>
    </w:tr>
  </w:tbl>
  <w:p w14:paraId="476C370C" w14:textId="77777777" w:rsidR="00113E1C" w:rsidRPr="001E38A8" w:rsidRDefault="00113E1C" w:rsidP="00F610CA">
    <w:pPr>
      <w:pStyle w:val="Spac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113E1C" w14:paraId="0A81A76A" w14:textId="77777777" w:rsidTr="00F610CA">
      <w:trPr>
        <w:cantSplit/>
      </w:trPr>
      <w:tc>
        <w:tcPr>
          <w:tcW w:w="800" w:type="dxa"/>
        </w:tcPr>
        <w:p w14:paraId="06DC6A9D" w14:textId="77777777" w:rsidR="00113E1C" w:rsidRDefault="00113E1C"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116</w:t>
          </w:r>
          <w:r w:rsidRPr="0018749C">
            <w:rPr>
              <w:rStyle w:val="PageNumber"/>
            </w:rPr>
            <w:fldChar w:fldCharType="end"/>
          </w:r>
        </w:p>
      </w:tc>
      <w:tc>
        <w:tcPr>
          <w:tcW w:w="8918" w:type="dxa"/>
        </w:tcPr>
        <w:p w14:paraId="50F2B7CA" w14:textId="2C68863E" w:rsidR="00113E1C" w:rsidRDefault="00113E1C" w:rsidP="00416E9A">
          <w:pPr>
            <w:pStyle w:val="FooterEven"/>
          </w:pPr>
          <w:r w:rsidRPr="001B4BD5">
            <w:t>Department of Treasury and Finance</w:t>
          </w:r>
          <w:r w:rsidRPr="001B4BD5">
            <w:br/>
          </w:r>
          <w:r w:rsidR="004147BB">
            <w:t xml:space="preserve">Annual Report </w:t>
          </w:r>
          <w:r w:rsidR="00C30F42">
            <w:t>2024 | 25</w:t>
          </w:r>
        </w:p>
      </w:tc>
    </w:tr>
  </w:tbl>
  <w:p w14:paraId="2B00379E" w14:textId="77777777" w:rsidR="00113E1C" w:rsidRDefault="00113E1C" w:rsidP="00F610CA">
    <w:pPr>
      <w:pStyle w:val="Spac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2"/>
      <w:gridCol w:w="810"/>
    </w:tblGrid>
    <w:tr w:rsidR="00113E1C" w14:paraId="56A5974F" w14:textId="77777777" w:rsidTr="00F610CA">
      <w:trPr>
        <w:cantSplit/>
      </w:trPr>
      <w:tc>
        <w:tcPr>
          <w:tcW w:w="9327" w:type="dxa"/>
        </w:tcPr>
        <w:p w14:paraId="58A3EA66" w14:textId="3B948CF4" w:rsidR="00113E1C" w:rsidRPr="001B4BD5" w:rsidRDefault="00113E1C" w:rsidP="00416E9A">
          <w:pPr>
            <w:pStyle w:val="Footer"/>
          </w:pPr>
          <w:r w:rsidRPr="001B4BD5">
            <w:t>Department of Treasury and Finance</w:t>
          </w:r>
          <w:r w:rsidRPr="001B4BD5">
            <w:br/>
          </w:r>
          <w:r w:rsidR="004147BB">
            <w:t xml:space="preserve">Annual Report </w:t>
          </w:r>
          <w:r w:rsidR="00C30F42">
            <w:t>2024 | 25</w:t>
          </w:r>
        </w:p>
      </w:tc>
      <w:tc>
        <w:tcPr>
          <w:tcW w:w="818" w:type="dxa"/>
        </w:tcPr>
        <w:p w14:paraId="2364372E" w14:textId="77777777" w:rsidR="00113E1C" w:rsidRPr="00734B39" w:rsidRDefault="00113E1C"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117</w:t>
          </w:r>
          <w:r w:rsidRPr="00734B39">
            <w:rPr>
              <w:rStyle w:val="PageNumber"/>
            </w:rPr>
            <w:fldChar w:fldCharType="end"/>
          </w:r>
        </w:p>
      </w:tc>
    </w:tr>
  </w:tbl>
  <w:p w14:paraId="29AA8300" w14:textId="77777777" w:rsidR="00113E1C" w:rsidRDefault="00113E1C" w:rsidP="00F610CA">
    <w:pPr>
      <w:pStyle w:val="Spac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BD6B1" w14:textId="77777777" w:rsidR="00113E1C" w:rsidRDefault="00113E1C">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4D84B" w14:textId="77777777" w:rsidR="00113E1C" w:rsidRDefault="00113E1C">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92"/>
      <w:gridCol w:w="8815"/>
    </w:tblGrid>
    <w:tr w:rsidR="00113E1C" w14:paraId="1326F9BC" w14:textId="77777777" w:rsidTr="00F610CA">
      <w:trPr>
        <w:cantSplit/>
      </w:trPr>
      <w:tc>
        <w:tcPr>
          <w:tcW w:w="800" w:type="dxa"/>
        </w:tcPr>
        <w:p w14:paraId="3DA9B585" w14:textId="77777777" w:rsidR="00113E1C" w:rsidRDefault="00113E1C"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116</w:t>
          </w:r>
          <w:r w:rsidRPr="0018749C">
            <w:rPr>
              <w:rStyle w:val="PageNumber"/>
            </w:rPr>
            <w:fldChar w:fldCharType="end"/>
          </w:r>
        </w:p>
      </w:tc>
      <w:tc>
        <w:tcPr>
          <w:tcW w:w="8918" w:type="dxa"/>
        </w:tcPr>
        <w:p w14:paraId="32A58689" w14:textId="37B5DAE7" w:rsidR="00113E1C" w:rsidRDefault="00113E1C" w:rsidP="00416E9A">
          <w:pPr>
            <w:pStyle w:val="FooterEven"/>
          </w:pPr>
          <w:r w:rsidRPr="001B4BD5">
            <w:t>Department of Treasury and Finance</w:t>
          </w:r>
          <w:r w:rsidRPr="001B4BD5">
            <w:br/>
          </w:r>
          <w:r w:rsidR="004147BB">
            <w:t xml:space="preserve">Annual Report </w:t>
          </w:r>
          <w:r w:rsidR="00C30F42">
            <w:t>2024 | 25</w:t>
          </w:r>
        </w:p>
      </w:tc>
    </w:tr>
  </w:tbl>
  <w:p w14:paraId="59474B1B" w14:textId="77777777" w:rsidR="00113E1C" w:rsidRDefault="00113E1C" w:rsidP="00F610CA">
    <w:pPr>
      <w:pStyle w:val="Spac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113E1C" w14:paraId="6B5FA7BE" w14:textId="77777777" w:rsidTr="00F610CA">
      <w:trPr>
        <w:cantSplit/>
      </w:trPr>
      <w:tc>
        <w:tcPr>
          <w:tcW w:w="9327" w:type="dxa"/>
        </w:tcPr>
        <w:p w14:paraId="24AAEE71" w14:textId="29655056" w:rsidR="00113E1C" w:rsidRPr="001B4BD5" w:rsidRDefault="00113E1C" w:rsidP="00416E9A">
          <w:pPr>
            <w:pStyle w:val="Footer"/>
          </w:pPr>
          <w:r w:rsidRPr="001B4BD5">
            <w:t>Department of Treasury and Finance</w:t>
          </w:r>
          <w:r w:rsidRPr="001B4BD5">
            <w:br/>
          </w:r>
          <w:r w:rsidR="004147BB">
            <w:t xml:space="preserve">Annual Report </w:t>
          </w:r>
          <w:r w:rsidR="00C30F42">
            <w:t>2024 | 25</w:t>
          </w:r>
        </w:p>
      </w:tc>
      <w:tc>
        <w:tcPr>
          <w:tcW w:w="818" w:type="dxa"/>
        </w:tcPr>
        <w:p w14:paraId="4C8A294F" w14:textId="77777777" w:rsidR="00113E1C" w:rsidRPr="00734B39" w:rsidRDefault="00113E1C"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117</w:t>
          </w:r>
          <w:r w:rsidRPr="00734B39">
            <w:rPr>
              <w:rStyle w:val="PageNumber"/>
            </w:rPr>
            <w:fldChar w:fldCharType="end"/>
          </w:r>
        </w:p>
      </w:tc>
    </w:tr>
  </w:tbl>
  <w:p w14:paraId="4FB32161" w14:textId="77777777" w:rsidR="00113E1C" w:rsidRDefault="00113E1C" w:rsidP="00F610CA">
    <w:pPr>
      <w:pStyle w:val="Space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4904E" w14:textId="77777777" w:rsidR="00113E1C" w:rsidRDefault="00113E1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F354CC" w:rsidRPr="000C2DAE" w14:paraId="434803FA" w14:textId="77777777" w:rsidTr="00F610CA">
      <w:trPr>
        <w:cantSplit/>
      </w:trPr>
      <w:tc>
        <w:tcPr>
          <w:tcW w:w="9327" w:type="dxa"/>
        </w:tcPr>
        <w:p w14:paraId="73BBF04D" w14:textId="6BE2CEEE" w:rsidR="00F354CC" w:rsidRPr="000C2DAE" w:rsidRDefault="004672E4" w:rsidP="00325C78">
          <w:pPr>
            <w:pStyle w:val="Footer"/>
            <w:rPr>
              <w:rFonts w:asciiTheme="majorHAnsi" w:hAnsiTheme="majorHAnsi"/>
            </w:rPr>
          </w:pPr>
          <w:r w:rsidRPr="009265C5">
            <w:t>Department of Treasur</w:t>
          </w:r>
          <w:r>
            <w:t>y and Finance</w:t>
          </w:r>
          <w:r>
            <w:br/>
          </w:r>
          <w:r w:rsidRPr="00734B39">
            <w:t>Annual</w:t>
          </w:r>
          <w:r>
            <w:t xml:space="preserve"> Report 2024 | 25</w:t>
          </w:r>
        </w:p>
      </w:tc>
      <w:tc>
        <w:tcPr>
          <w:tcW w:w="818" w:type="dxa"/>
        </w:tcPr>
        <w:p w14:paraId="0BFEA68C" w14:textId="77777777" w:rsidR="00F354CC" w:rsidRPr="00AC5156" w:rsidRDefault="00F354CC" w:rsidP="00F610CA">
          <w:pPr>
            <w:pStyle w:val="Footer"/>
            <w:rPr>
              <w:rStyle w:val="PageNumber"/>
            </w:rPr>
          </w:pPr>
          <w:r w:rsidRPr="00AC5156">
            <w:rPr>
              <w:rStyle w:val="PageNumber"/>
            </w:rPr>
            <w:fldChar w:fldCharType="begin"/>
          </w:r>
          <w:r w:rsidRPr="00AC5156">
            <w:rPr>
              <w:rStyle w:val="PageNumber"/>
            </w:rPr>
            <w:instrText xml:space="preserve"> Page </w:instrText>
          </w:r>
          <w:r w:rsidRPr="00AC5156">
            <w:rPr>
              <w:rStyle w:val="PageNumber"/>
            </w:rPr>
            <w:fldChar w:fldCharType="separate"/>
          </w:r>
          <w:r w:rsidRPr="00A101E9">
            <w:rPr>
              <w:rStyle w:val="PageNumber"/>
            </w:rPr>
            <w:t>1</w:t>
          </w:r>
          <w:r w:rsidRPr="00AC5156">
            <w:rPr>
              <w:rStyle w:val="PageNumber"/>
            </w:rPr>
            <w:fldChar w:fldCharType="end"/>
          </w:r>
        </w:p>
      </w:tc>
    </w:tr>
  </w:tbl>
  <w:p w14:paraId="3CCD73B9" w14:textId="77777777" w:rsidR="00F354CC" w:rsidRDefault="00F354CC" w:rsidP="00F610CA">
    <w:pPr>
      <w:pStyle w:val="Spac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113E1C" w14:paraId="14EB3BD8" w14:textId="77777777" w:rsidTr="00F610CA">
      <w:trPr>
        <w:cantSplit/>
      </w:trPr>
      <w:tc>
        <w:tcPr>
          <w:tcW w:w="800" w:type="dxa"/>
        </w:tcPr>
        <w:p w14:paraId="5E446AE4" w14:textId="77777777" w:rsidR="00113E1C" w:rsidRDefault="00113E1C"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116</w:t>
          </w:r>
          <w:r w:rsidRPr="0018749C">
            <w:rPr>
              <w:rStyle w:val="PageNumber"/>
            </w:rPr>
            <w:fldChar w:fldCharType="end"/>
          </w:r>
        </w:p>
      </w:tc>
      <w:tc>
        <w:tcPr>
          <w:tcW w:w="8918" w:type="dxa"/>
        </w:tcPr>
        <w:p w14:paraId="01C59B80" w14:textId="3F6A2EF4" w:rsidR="00113E1C" w:rsidRDefault="00113E1C" w:rsidP="00416E9A">
          <w:pPr>
            <w:pStyle w:val="FooterEven"/>
          </w:pPr>
          <w:r w:rsidRPr="001B4BD5">
            <w:t>Department of Treasury and Finance</w:t>
          </w:r>
          <w:r w:rsidRPr="001B4BD5">
            <w:br/>
          </w:r>
          <w:r w:rsidR="004147BB">
            <w:t xml:space="preserve">Annual Report </w:t>
          </w:r>
          <w:r w:rsidR="00C30F42">
            <w:t>2024 | 25</w:t>
          </w:r>
        </w:p>
      </w:tc>
    </w:tr>
  </w:tbl>
  <w:p w14:paraId="1F6385BF" w14:textId="77777777" w:rsidR="00113E1C" w:rsidRDefault="00113E1C" w:rsidP="00F610CA">
    <w:pPr>
      <w:pStyle w:val="Spac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113E1C" w14:paraId="2D6BF836" w14:textId="77777777" w:rsidTr="00F610CA">
      <w:trPr>
        <w:cantSplit/>
      </w:trPr>
      <w:tc>
        <w:tcPr>
          <w:tcW w:w="9327" w:type="dxa"/>
        </w:tcPr>
        <w:p w14:paraId="74C2662E" w14:textId="4EF564F4" w:rsidR="00113E1C" w:rsidRPr="001B4BD5" w:rsidRDefault="00113E1C" w:rsidP="00416E9A">
          <w:pPr>
            <w:pStyle w:val="Footer"/>
          </w:pPr>
          <w:r w:rsidRPr="001B4BD5">
            <w:t>Department of Treasury and Finance</w:t>
          </w:r>
          <w:r w:rsidRPr="001B4BD5">
            <w:br/>
          </w:r>
          <w:r w:rsidR="004147BB">
            <w:t xml:space="preserve">Annual Report </w:t>
          </w:r>
          <w:r w:rsidR="00C30F42">
            <w:t>2024 | 25</w:t>
          </w:r>
        </w:p>
      </w:tc>
      <w:tc>
        <w:tcPr>
          <w:tcW w:w="818" w:type="dxa"/>
        </w:tcPr>
        <w:p w14:paraId="60D6D9BC" w14:textId="77777777" w:rsidR="00113E1C" w:rsidRPr="00734B39" w:rsidRDefault="00113E1C"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117</w:t>
          </w:r>
          <w:r w:rsidRPr="00734B39">
            <w:rPr>
              <w:rStyle w:val="PageNumber"/>
            </w:rPr>
            <w:fldChar w:fldCharType="end"/>
          </w:r>
        </w:p>
      </w:tc>
    </w:tr>
  </w:tbl>
  <w:p w14:paraId="221DED36" w14:textId="77777777" w:rsidR="00113E1C" w:rsidRDefault="00113E1C" w:rsidP="009C1629">
    <w:pPr>
      <w:pStyle w:val="Spacer"/>
      <w:jc w:val="right"/>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AF01B" w14:textId="5F99CB0D" w:rsidR="00113E1C" w:rsidRDefault="00113E1C">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92"/>
      <w:gridCol w:w="8815"/>
    </w:tblGrid>
    <w:tr w:rsidR="00B93BEE" w14:paraId="208F093B" w14:textId="77777777" w:rsidTr="00F610CA">
      <w:trPr>
        <w:cantSplit/>
      </w:trPr>
      <w:tc>
        <w:tcPr>
          <w:tcW w:w="800" w:type="dxa"/>
        </w:tcPr>
        <w:p w14:paraId="6A14F563" w14:textId="77777777" w:rsidR="00B93BEE" w:rsidRDefault="00B93BEE"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136</w:t>
          </w:r>
          <w:r w:rsidRPr="0018749C">
            <w:rPr>
              <w:rStyle w:val="PageNumber"/>
            </w:rPr>
            <w:fldChar w:fldCharType="end"/>
          </w:r>
        </w:p>
      </w:tc>
      <w:tc>
        <w:tcPr>
          <w:tcW w:w="8918" w:type="dxa"/>
        </w:tcPr>
        <w:p w14:paraId="4116BE4B" w14:textId="77777777" w:rsidR="00B93BEE" w:rsidRDefault="00B93BEE" w:rsidP="00416E9A">
          <w:pPr>
            <w:pStyle w:val="FooterEven"/>
          </w:pPr>
          <w:r w:rsidRPr="001B4BD5">
            <w:t>Department of Treasury and Finance</w:t>
          </w:r>
          <w:r w:rsidRPr="001B4BD5">
            <w:br/>
          </w:r>
          <w:r>
            <w:t>Annual Report 2024 | 25</w:t>
          </w:r>
        </w:p>
      </w:tc>
    </w:tr>
  </w:tbl>
  <w:p w14:paraId="2A61E8F0" w14:textId="77777777" w:rsidR="00B93BEE" w:rsidRDefault="00B93BEE" w:rsidP="00F610CA">
    <w:pPr>
      <w:pStyle w:val="Spac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B93BEE" w14:paraId="044EC82B" w14:textId="77777777" w:rsidTr="00F610CA">
      <w:trPr>
        <w:cantSplit/>
      </w:trPr>
      <w:tc>
        <w:tcPr>
          <w:tcW w:w="9327" w:type="dxa"/>
        </w:tcPr>
        <w:p w14:paraId="5ED4F74C" w14:textId="77777777" w:rsidR="00B93BEE" w:rsidRPr="001B4BD5" w:rsidRDefault="00B93BEE" w:rsidP="00416E9A">
          <w:pPr>
            <w:pStyle w:val="Footer"/>
          </w:pPr>
          <w:r w:rsidRPr="001B4BD5">
            <w:t>Department of Treasury and Finance</w:t>
          </w:r>
          <w:r w:rsidRPr="001B4BD5">
            <w:br/>
          </w:r>
          <w:r>
            <w:t>Annual Report 2024 | 25</w:t>
          </w:r>
        </w:p>
      </w:tc>
      <w:tc>
        <w:tcPr>
          <w:tcW w:w="818" w:type="dxa"/>
        </w:tcPr>
        <w:p w14:paraId="2B1FF6E0" w14:textId="77777777" w:rsidR="00B93BEE" w:rsidRPr="00734B39" w:rsidRDefault="00B93BEE"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137</w:t>
          </w:r>
          <w:r w:rsidRPr="00734B39">
            <w:rPr>
              <w:rStyle w:val="PageNumber"/>
            </w:rPr>
            <w:fldChar w:fldCharType="end"/>
          </w:r>
        </w:p>
      </w:tc>
    </w:tr>
  </w:tbl>
  <w:p w14:paraId="5D61D676" w14:textId="77777777" w:rsidR="00B93BEE" w:rsidRDefault="00B93BEE" w:rsidP="00F610CA">
    <w:pPr>
      <w:pStyle w:val="Spac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DD544B" w14:paraId="5073C985" w14:textId="77777777" w:rsidTr="00F610CA">
      <w:trPr>
        <w:cantSplit/>
      </w:trPr>
      <w:tc>
        <w:tcPr>
          <w:tcW w:w="800" w:type="dxa"/>
        </w:tcPr>
        <w:p w14:paraId="175E7E6A" w14:textId="77777777" w:rsidR="00DD544B" w:rsidRDefault="00DD544B"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136</w:t>
          </w:r>
          <w:r w:rsidRPr="0018749C">
            <w:rPr>
              <w:rStyle w:val="PageNumber"/>
            </w:rPr>
            <w:fldChar w:fldCharType="end"/>
          </w:r>
        </w:p>
      </w:tc>
      <w:tc>
        <w:tcPr>
          <w:tcW w:w="8918" w:type="dxa"/>
        </w:tcPr>
        <w:p w14:paraId="1F2458EA" w14:textId="419CA342" w:rsidR="00DD544B" w:rsidRDefault="00DD544B" w:rsidP="00416E9A">
          <w:pPr>
            <w:pStyle w:val="FooterEven"/>
          </w:pPr>
          <w:r w:rsidRPr="001B4BD5">
            <w:t>Department of Treasury and Finance</w:t>
          </w:r>
          <w:r w:rsidRPr="001B4BD5">
            <w:br/>
          </w:r>
          <w:r w:rsidR="004147BB">
            <w:t xml:space="preserve">Annual Report </w:t>
          </w:r>
          <w:r w:rsidR="00C30F42">
            <w:t>2024 | 25</w:t>
          </w:r>
        </w:p>
      </w:tc>
    </w:tr>
  </w:tbl>
  <w:p w14:paraId="0506DC38" w14:textId="77777777" w:rsidR="00860F32" w:rsidRDefault="00860F32" w:rsidP="00F610CA">
    <w:pPr>
      <w:pStyle w:val="Spac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DD544B" w14:paraId="24BBBD44" w14:textId="77777777" w:rsidTr="00F610CA">
      <w:trPr>
        <w:cantSplit/>
      </w:trPr>
      <w:tc>
        <w:tcPr>
          <w:tcW w:w="9327" w:type="dxa"/>
        </w:tcPr>
        <w:p w14:paraId="3BC34D4E" w14:textId="173D2E32" w:rsidR="00DD544B" w:rsidRPr="001B4BD5" w:rsidRDefault="00DD544B" w:rsidP="00416E9A">
          <w:pPr>
            <w:pStyle w:val="Footer"/>
          </w:pPr>
          <w:r w:rsidRPr="001B4BD5">
            <w:t>Department of Treasury and Finance</w:t>
          </w:r>
          <w:r w:rsidRPr="001B4BD5">
            <w:br/>
          </w:r>
          <w:r w:rsidR="004147BB">
            <w:t xml:space="preserve">Annual Report </w:t>
          </w:r>
          <w:r w:rsidR="00C30F42">
            <w:t>2024 | 25</w:t>
          </w:r>
        </w:p>
      </w:tc>
      <w:tc>
        <w:tcPr>
          <w:tcW w:w="818" w:type="dxa"/>
        </w:tcPr>
        <w:p w14:paraId="4E797649" w14:textId="77777777" w:rsidR="00DD544B" w:rsidRPr="00734B39" w:rsidRDefault="00DD544B"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137</w:t>
          </w:r>
          <w:r w:rsidRPr="00734B39">
            <w:rPr>
              <w:rStyle w:val="PageNumber"/>
            </w:rPr>
            <w:fldChar w:fldCharType="end"/>
          </w:r>
        </w:p>
      </w:tc>
    </w:tr>
  </w:tbl>
  <w:p w14:paraId="51589F03" w14:textId="77777777" w:rsidR="00860F32" w:rsidRDefault="00860F32" w:rsidP="00F610CA">
    <w:pPr>
      <w:pStyle w:val="Spac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92"/>
      <w:gridCol w:w="8815"/>
    </w:tblGrid>
    <w:tr w:rsidR="004E29AF" w14:paraId="3894FF3A" w14:textId="77777777" w:rsidTr="00F610CA">
      <w:trPr>
        <w:cantSplit/>
      </w:trPr>
      <w:tc>
        <w:tcPr>
          <w:tcW w:w="800" w:type="dxa"/>
        </w:tcPr>
        <w:p w14:paraId="7405C2D5" w14:textId="77777777" w:rsidR="004E29AF" w:rsidRDefault="004E29AF"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136</w:t>
          </w:r>
          <w:r w:rsidRPr="0018749C">
            <w:rPr>
              <w:rStyle w:val="PageNumber"/>
            </w:rPr>
            <w:fldChar w:fldCharType="end"/>
          </w:r>
        </w:p>
      </w:tc>
      <w:tc>
        <w:tcPr>
          <w:tcW w:w="8918" w:type="dxa"/>
        </w:tcPr>
        <w:p w14:paraId="1C104E35" w14:textId="2F6F5158" w:rsidR="004E29AF" w:rsidRDefault="004E29AF" w:rsidP="00416E9A">
          <w:pPr>
            <w:pStyle w:val="FooterEven"/>
          </w:pPr>
          <w:r w:rsidRPr="001B4BD5">
            <w:t>Department of Treasury and Finance</w:t>
          </w:r>
          <w:r w:rsidRPr="001B4BD5">
            <w:br/>
          </w:r>
          <w:r w:rsidR="004147BB">
            <w:t xml:space="preserve">Annual Report </w:t>
          </w:r>
          <w:r w:rsidR="00C30F42">
            <w:t>2024 | 25</w:t>
          </w:r>
        </w:p>
      </w:tc>
    </w:tr>
  </w:tbl>
  <w:p w14:paraId="471021D9" w14:textId="77777777" w:rsidR="004E29AF" w:rsidRDefault="004E29AF" w:rsidP="00F610CA">
    <w:pPr>
      <w:pStyle w:val="Space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4E29AF" w14:paraId="057B1684" w14:textId="77777777" w:rsidTr="00F610CA">
      <w:trPr>
        <w:cantSplit/>
      </w:trPr>
      <w:tc>
        <w:tcPr>
          <w:tcW w:w="9327" w:type="dxa"/>
        </w:tcPr>
        <w:p w14:paraId="06FC056C" w14:textId="2939C244" w:rsidR="004E29AF" w:rsidRPr="001B4BD5" w:rsidRDefault="004E29AF" w:rsidP="00416E9A">
          <w:pPr>
            <w:pStyle w:val="Footer"/>
          </w:pPr>
          <w:r w:rsidRPr="001B4BD5">
            <w:t>Department of Treasury and Finance</w:t>
          </w:r>
          <w:r w:rsidRPr="001B4BD5">
            <w:br/>
          </w:r>
          <w:r w:rsidR="004147BB">
            <w:t xml:space="preserve">Annual Report </w:t>
          </w:r>
          <w:r w:rsidR="00C30F42">
            <w:t>2024 | 25</w:t>
          </w:r>
        </w:p>
      </w:tc>
      <w:tc>
        <w:tcPr>
          <w:tcW w:w="818" w:type="dxa"/>
        </w:tcPr>
        <w:p w14:paraId="0D68B882" w14:textId="77777777" w:rsidR="004E29AF" w:rsidRPr="00734B39" w:rsidRDefault="004E29AF"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137</w:t>
          </w:r>
          <w:r w:rsidRPr="00734B39">
            <w:rPr>
              <w:rStyle w:val="PageNumber"/>
            </w:rPr>
            <w:fldChar w:fldCharType="end"/>
          </w:r>
        </w:p>
      </w:tc>
    </w:tr>
  </w:tbl>
  <w:p w14:paraId="5E1B7DC6" w14:textId="77777777" w:rsidR="004E29AF" w:rsidRDefault="004E29AF" w:rsidP="00F610CA">
    <w:pPr>
      <w:pStyle w:val="Spac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CE7EE8" w14:textId="77777777" w:rsidR="004E29AF" w:rsidRDefault="004E29A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66"/>
      <w:gridCol w:w="8841"/>
    </w:tblGrid>
    <w:tr w:rsidR="000729EF" w14:paraId="3E468267" w14:textId="77777777" w:rsidTr="00014395">
      <w:trPr>
        <w:cantSplit/>
      </w:trPr>
      <w:tc>
        <w:tcPr>
          <w:tcW w:w="766" w:type="dxa"/>
        </w:tcPr>
        <w:p w14:paraId="5EEB9C2E" w14:textId="1B895054" w:rsidR="000729EF" w:rsidRDefault="000729EF" w:rsidP="000729EF">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12</w:t>
          </w:r>
          <w:r w:rsidRPr="0018749C">
            <w:rPr>
              <w:rStyle w:val="PageNumber"/>
            </w:rPr>
            <w:fldChar w:fldCharType="end"/>
          </w:r>
        </w:p>
      </w:tc>
      <w:tc>
        <w:tcPr>
          <w:tcW w:w="8841" w:type="dxa"/>
        </w:tcPr>
        <w:p w14:paraId="0FD37545" w14:textId="0A09AA0F" w:rsidR="000729EF" w:rsidRDefault="000729EF" w:rsidP="000729EF">
          <w:pPr>
            <w:pStyle w:val="FooterEven"/>
          </w:pPr>
          <w:r w:rsidRPr="009265C5">
            <w:t>Department of Treasur</w:t>
          </w:r>
          <w:r>
            <w:t>y and Finance</w:t>
          </w:r>
          <w:r>
            <w:br/>
          </w:r>
          <w:r w:rsidRPr="00734B39">
            <w:t>Annual</w:t>
          </w:r>
          <w:r>
            <w:t xml:space="preserve"> Report </w:t>
          </w:r>
          <w:r w:rsidR="00C30F42">
            <w:t>2024 | 25</w:t>
          </w:r>
        </w:p>
      </w:tc>
    </w:tr>
  </w:tbl>
  <w:p w14:paraId="65D31C66" w14:textId="77777777" w:rsidR="00F354CC" w:rsidRDefault="00F354CC" w:rsidP="00606921">
    <w:pPr>
      <w:pStyle w:val="Space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C44155" w14:paraId="2E910D09" w14:textId="77777777" w:rsidTr="00F610CA">
      <w:trPr>
        <w:cantSplit/>
      </w:trPr>
      <w:tc>
        <w:tcPr>
          <w:tcW w:w="800" w:type="dxa"/>
        </w:tcPr>
        <w:p w14:paraId="761F2A4D" w14:textId="77777777" w:rsidR="00C44155" w:rsidRDefault="00C44155" w:rsidP="00F610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136</w:t>
          </w:r>
          <w:r w:rsidRPr="0018749C">
            <w:rPr>
              <w:rStyle w:val="PageNumber"/>
            </w:rPr>
            <w:fldChar w:fldCharType="end"/>
          </w:r>
        </w:p>
      </w:tc>
      <w:tc>
        <w:tcPr>
          <w:tcW w:w="8918" w:type="dxa"/>
        </w:tcPr>
        <w:p w14:paraId="24A6D047" w14:textId="77777777" w:rsidR="00C44155" w:rsidRDefault="00C44155" w:rsidP="00416E9A">
          <w:pPr>
            <w:pStyle w:val="FooterEven"/>
          </w:pPr>
          <w:r w:rsidRPr="001B4BD5">
            <w:t>Department of Treasury and Finance</w:t>
          </w:r>
          <w:r w:rsidRPr="001B4BD5">
            <w:br/>
          </w:r>
          <w:r>
            <w:t>Annual Report 2024 | 25</w:t>
          </w:r>
        </w:p>
      </w:tc>
    </w:tr>
  </w:tbl>
  <w:p w14:paraId="0DADD290" w14:textId="77777777" w:rsidR="00C44155" w:rsidRDefault="00C44155" w:rsidP="00F610CA">
    <w:pPr>
      <w:pStyle w:val="Space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C44155" w14:paraId="229274BB" w14:textId="77777777" w:rsidTr="00F610CA">
      <w:trPr>
        <w:cantSplit/>
      </w:trPr>
      <w:tc>
        <w:tcPr>
          <w:tcW w:w="9327" w:type="dxa"/>
        </w:tcPr>
        <w:p w14:paraId="4BCC8E24" w14:textId="77777777" w:rsidR="00C44155" w:rsidRPr="001B4BD5" w:rsidRDefault="00C44155" w:rsidP="00416E9A">
          <w:pPr>
            <w:pStyle w:val="Footer"/>
          </w:pPr>
          <w:r w:rsidRPr="001B4BD5">
            <w:t>Department of Treasury and Finance</w:t>
          </w:r>
          <w:r w:rsidRPr="001B4BD5">
            <w:br/>
          </w:r>
          <w:r>
            <w:t>Annual Report 2024 | 25</w:t>
          </w:r>
        </w:p>
      </w:tc>
      <w:tc>
        <w:tcPr>
          <w:tcW w:w="818" w:type="dxa"/>
        </w:tcPr>
        <w:p w14:paraId="0175E302" w14:textId="77777777" w:rsidR="00C44155" w:rsidRPr="00734B39" w:rsidRDefault="00C44155" w:rsidP="00734B39">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noProof/>
            </w:rPr>
            <w:t>137</w:t>
          </w:r>
          <w:r w:rsidRPr="00734B39">
            <w:rPr>
              <w:rStyle w:val="PageNumber"/>
            </w:rPr>
            <w:fldChar w:fldCharType="end"/>
          </w:r>
        </w:p>
      </w:tc>
    </w:tr>
  </w:tbl>
  <w:p w14:paraId="6794FBD4" w14:textId="77777777" w:rsidR="00C44155" w:rsidRDefault="00C44155" w:rsidP="00F610CA">
    <w:pPr>
      <w:pStyle w:val="Spac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6C269" w14:textId="77777777" w:rsidR="00C44155" w:rsidRDefault="00C44155">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1" w:type="pct"/>
      <w:tblInd w:w="-393" w:type="dxa"/>
      <w:tblLayout w:type="fixed"/>
      <w:tblCellMar>
        <w:left w:w="57" w:type="dxa"/>
        <w:right w:w="57" w:type="dxa"/>
      </w:tblCellMar>
      <w:tblLook w:val="0600" w:firstRow="0" w:lastRow="0" w:firstColumn="0" w:lastColumn="0" w:noHBand="1" w:noVBand="1"/>
    </w:tblPr>
    <w:tblGrid>
      <w:gridCol w:w="752"/>
      <w:gridCol w:w="8279"/>
    </w:tblGrid>
    <w:tr w:rsidR="004E29AF" w14:paraId="51364E2C" w14:textId="77777777" w:rsidTr="009626B7">
      <w:trPr>
        <w:cantSplit/>
      </w:trPr>
      <w:tc>
        <w:tcPr>
          <w:tcW w:w="800" w:type="dxa"/>
        </w:tcPr>
        <w:p w14:paraId="271DAD50" w14:textId="77777777" w:rsidR="004E29AF" w:rsidRDefault="004E29AF" w:rsidP="007A2BCA">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rPr>
            <w:t>154</w:t>
          </w:r>
          <w:r w:rsidRPr="0018749C">
            <w:rPr>
              <w:rStyle w:val="PageNumber"/>
            </w:rPr>
            <w:fldChar w:fldCharType="end"/>
          </w:r>
        </w:p>
      </w:tc>
      <w:tc>
        <w:tcPr>
          <w:tcW w:w="8918" w:type="dxa"/>
        </w:tcPr>
        <w:p w14:paraId="388E96A7" w14:textId="1CCC4E79" w:rsidR="004E29AF" w:rsidRDefault="004E29AF" w:rsidP="007A2BCA">
          <w:pPr>
            <w:pStyle w:val="FooterEven"/>
          </w:pPr>
          <w:r w:rsidRPr="001B4BD5">
            <w:t>Department of Treasury and Finance</w:t>
          </w:r>
          <w:r w:rsidRPr="001B4BD5">
            <w:br/>
          </w:r>
          <w:r w:rsidR="004147BB">
            <w:t xml:space="preserve">Annual Report </w:t>
          </w:r>
          <w:r w:rsidR="00C30F42">
            <w:t>2024 | 25</w:t>
          </w:r>
        </w:p>
      </w:tc>
    </w:tr>
  </w:tbl>
  <w:p w14:paraId="2B61CF18" w14:textId="77777777" w:rsidR="004E29AF" w:rsidRDefault="004E29AF" w:rsidP="007A2BCA">
    <w:pPr>
      <w:pStyle w:val="Space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21" w:type="pct"/>
      <w:tblLayout w:type="fixed"/>
      <w:tblCellMar>
        <w:left w:w="57" w:type="dxa"/>
        <w:right w:w="57" w:type="dxa"/>
      </w:tblCellMar>
      <w:tblLook w:val="0600" w:firstRow="0" w:lastRow="0" w:firstColumn="0" w:lastColumn="0" w:noHBand="1" w:noVBand="1"/>
    </w:tblPr>
    <w:tblGrid>
      <w:gridCol w:w="9220"/>
      <w:gridCol w:w="810"/>
    </w:tblGrid>
    <w:tr w:rsidR="004E29AF" w14:paraId="115FF1C1" w14:textId="77777777" w:rsidTr="009626B7">
      <w:trPr>
        <w:cantSplit/>
      </w:trPr>
      <w:tc>
        <w:tcPr>
          <w:tcW w:w="9327" w:type="dxa"/>
        </w:tcPr>
        <w:p w14:paraId="143C57F0" w14:textId="31D63A7B" w:rsidR="004E29AF" w:rsidRPr="001B4BD5" w:rsidRDefault="004E29AF" w:rsidP="007A2BCA">
          <w:pPr>
            <w:pStyle w:val="Footer"/>
          </w:pPr>
          <w:r w:rsidRPr="001B4BD5">
            <w:t>Department of Treasury and Finance</w:t>
          </w:r>
          <w:r w:rsidRPr="001B4BD5">
            <w:br/>
          </w:r>
          <w:r w:rsidR="004147BB">
            <w:t xml:space="preserve">Annual Report </w:t>
          </w:r>
          <w:r w:rsidR="00C30F42">
            <w:t>2024 | 25</w:t>
          </w:r>
        </w:p>
      </w:tc>
      <w:tc>
        <w:tcPr>
          <w:tcW w:w="818" w:type="dxa"/>
        </w:tcPr>
        <w:p w14:paraId="6A065E63" w14:textId="77777777" w:rsidR="004E29AF" w:rsidRPr="00734B39" w:rsidRDefault="004E29AF" w:rsidP="007A2BCA">
          <w:pPr>
            <w:pStyle w:val="Footer"/>
            <w:rPr>
              <w:rStyle w:val="PageNumber"/>
            </w:rPr>
          </w:pPr>
          <w:r w:rsidRPr="00734B39">
            <w:rPr>
              <w:rStyle w:val="PageNumber"/>
            </w:rPr>
            <w:fldChar w:fldCharType="begin"/>
          </w:r>
          <w:r w:rsidRPr="00734B39">
            <w:rPr>
              <w:rStyle w:val="PageNumber"/>
            </w:rPr>
            <w:instrText xml:space="preserve"> Page </w:instrText>
          </w:r>
          <w:r w:rsidRPr="00734B39">
            <w:rPr>
              <w:rStyle w:val="PageNumber"/>
            </w:rPr>
            <w:fldChar w:fldCharType="separate"/>
          </w:r>
          <w:r>
            <w:rPr>
              <w:rStyle w:val="PageNumber"/>
            </w:rPr>
            <w:t>155</w:t>
          </w:r>
          <w:r w:rsidRPr="00734B39">
            <w:rPr>
              <w:rStyle w:val="PageNumber"/>
            </w:rPr>
            <w:fldChar w:fldCharType="end"/>
          </w:r>
        </w:p>
      </w:tc>
    </w:tr>
  </w:tbl>
  <w:p w14:paraId="28CA4145" w14:textId="77777777" w:rsidR="004E29AF" w:rsidRDefault="004E29AF" w:rsidP="007A2BCA">
    <w:pPr>
      <w:pStyle w:val="Space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E88B0" w14:textId="77777777" w:rsidR="004E29AF" w:rsidRDefault="004E29AF">
    <w:pPr>
      <w:pStyle w:val="Foo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96C41" w14:textId="522F5100" w:rsidR="00F16771" w:rsidRPr="00F16771" w:rsidRDefault="00F16771" w:rsidP="00F16771">
    <w:pPr>
      <w:pStyle w:val="Foote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65ED8" w14:textId="35733E6F" w:rsidR="00582950" w:rsidRDefault="00C14D9A">
    <w:pPr>
      <w:pStyle w:val="Footer"/>
    </w:pPr>
    <w:r>
      <w:rPr>
        <w:noProof/>
      </w:rPr>
      <w:drawing>
        <wp:inline distT="0" distB="0" distL="0" distR="0" wp14:anchorId="79027FAE" wp14:editId="5A4C1E7C">
          <wp:extent cx="1228955" cy="365760"/>
          <wp:effectExtent l="0" t="0" r="9525" b="0"/>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228955" cy="365760"/>
                  </a:xfrm>
                  <a:prstGeom prst="rect">
                    <a:avLst/>
                  </a:prstGeom>
                </pic:spPr>
              </pic:pic>
            </a:graphicData>
          </a:graphic>
        </wp:inline>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A75CB" w14:textId="3CA11E41" w:rsidR="00F354CC" w:rsidRDefault="007B4E38">
    <w:pPr>
      <w:pStyle w:val="Footer"/>
    </w:pPr>
    <w:r>
      <w:rPr>
        <w:noProof/>
      </w:rPr>
      <mc:AlternateContent>
        <mc:Choice Requires="wps">
          <w:drawing>
            <wp:anchor distT="0" distB="0" distL="114300" distR="114300" simplePos="0" relativeHeight="251658263" behindDoc="0" locked="0" layoutInCell="0" allowOverlap="1" wp14:anchorId="47C607D7" wp14:editId="23ED62D1">
              <wp:simplePos x="0" y="9403953"/>
              <wp:positionH relativeFrom="page">
                <wp:align>left</wp:align>
              </wp:positionH>
              <wp:positionV relativeFrom="page">
                <wp:align>bottom</wp:align>
              </wp:positionV>
              <wp:extent cx="7772400" cy="463550"/>
              <wp:effectExtent l="0" t="0" r="0" b="12700"/>
              <wp:wrapNone/>
              <wp:docPr id="546" name="Text Box 546" descr="{&quot;HashCode&quot;:-1267603503,&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1444A96A" w14:textId="2C42C760" w:rsidR="007B4E38" w:rsidRPr="007B4E38" w:rsidRDefault="007B4E38" w:rsidP="007B4E38">
                          <w:pPr>
                            <w:spacing w:before="0" w:after="0"/>
                            <w:rPr>
                              <w:rFonts w:ascii="Calibri" w:hAnsi="Calibri" w:cs="Calibri"/>
                              <w:color w:val="000000"/>
                              <w:sz w:val="22"/>
                            </w:rPr>
                          </w:pPr>
                          <w:r w:rsidRPr="007B4E38">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47C607D7" id="_x0000_t202" coordsize="21600,21600" o:spt="202" path="m,l,21600r21600,l21600,xe">
              <v:stroke joinstyle="miter"/>
              <v:path gradientshapeok="t" o:connecttype="rect"/>
            </v:shapetype>
            <v:shape id="Text Box 546" o:spid="_x0000_s1038" type="#_x0000_t202" alt="{&quot;HashCode&quot;:-1267603503,&quot;Height&quot;:9999999.0,&quot;Width&quot;:9999999.0,&quot;Placement&quot;:&quot;Footer&quot;,&quot;Index&quot;:&quot;Primary&quot;,&quot;Section&quot;:3,&quot;Top&quot;:0.0,&quot;Left&quot;:0.0}" style="position:absolute;left:0;text-align:left;margin-left:0;margin-top:0;width:612pt;height:36.5pt;z-index:251658263;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J5LbbVtAgAAQAUAAA4AAAAAAAAAAAAAAAAALgIA&#10;AGRycy9lMm9Eb2MueG1sUEsBAi0AFAAGAAgAAAAhAP71jZvaAAAABQEAAA8AAAAAAAAAAAAAAAAA&#10;xwQAAGRycy9kb3ducmV2LnhtbFBLBQYAAAAABAAEAPMAAADOBQAAAAA=&#10;" o:allowincell="f" filled="f" stroked="f" strokeweight=".5pt">
              <v:textbox inset="20pt,0,,0">
                <w:txbxContent>
                  <w:p w14:paraId="1444A96A" w14:textId="2C42C760" w:rsidR="007B4E38" w:rsidRPr="007B4E38" w:rsidRDefault="007B4E38" w:rsidP="007B4E38">
                    <w:pPr>
                      <w:spacing w:before="0" w:after="0"/>
                      <w:rPr>
                        <w:rFonts w:ascii="Calibri" w:hAnsi="Calibri" w:cs="Calibri"/>
                        <w:color w:val="000000"/>
                        <w:sz w:val="22"/>
                      </w:rPr>
                    </w:pPr>
                    <w:r w:rsidRPr="007B4E38">
                      <w:rPr>
                        <w:rFonts w:ascii="Calibri" w:hAnsi="Calibri" w:cs="Calibri"/>
                        <w:color w:val="000000"/>
                        <w:sz w:val="22"/>
                      </w:rPr>
                      <w:t>OFFICIAL</w:t>
                    </w:r>
                  </w:p>
                </w:txbxContent>
              </v:textbox>
              <w10:wrap anchorx="page" anchory="page"/>
            </v:shape>
          </w:pict>
        </mc:Fallback>
      </mc:AlternateContent>
    </w:r>
    <w:r w:rsidR="003B30BA">
      <w:rPr>
        <w:noProof/>
      </w:rPr>
      <mc:AlternateContent>
        <mc:Choice Requires="wps">
          <w:drawing>
            <wp:anchor distT="0" distB="0" distL="114300" distR="114300" simplePos="0" relativeHeight="251658259" behindDoc="0" locked="0" layoutInCell="0" allowOverlap="1" wp14:anchorId="551BF28A" wp14:editId="514551E2">
              <wp:simplePos x="0" y="9403953"/>
              <wp:positionH relativeFrom="page">
                <wp:align>left</wp:align>
              </wp:positionH>
              <wp:positionV relativeFrom="page">
                <wp:align>bottom</wp:align>
              </wp:positionV>
              <wp:extent cx="7772400" cy="463550"/>
              <wp:effectExtent l="0" t="0" r="0" b="12700"/>
              <wp:wrapNone/>
              <wp:docPr id="15" name="Text Box 15" descr="{&quot;HashCode&quot;:-1267603503,&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6E87571" w14:textId="6522343F" w:rsidR="003B30BA" w:rsidRPr="003B30BA" w:rsidRDefault="003B30BA" w:rsidP="003B30BA">
                          <w:pPr>
                            <w:spacing w:before="0" w:after="0"/>
                            <w:rPr>
                              <w:rFonts w:ascii="Calibri" w:hAnsi="Calibri" w:cs="Calibri"/>
                              <w:color w:val="000000"/>
                              <w:sz w:val="22"/>
                            </w:rPr>
                          </w:pPr>
                          <w:r w:rsidRPr="003B30BA">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551BF28A" id="Text Box 15" o:spid="_x0000_s1039" type="#_x0000_t202" alt="{&quot;HashCode&quot;:-1267603503,&quot;Height&quot;:9999999.0,&quot;Width&quot;:9999999.0,&quot;Placement&quot;:&quot;Footer&quot;,&quot;Index&quot;:&quot;Primary&quot;,&quot;Section&quot;:3,&quot;Top&quot;:0.0,&quot;Left&quot;:0.0}" style="position:absolute;left:0;text-align:left;margin-left:0;margin-top:0;width:612pt;height:36.5pt;z-index:251658259;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PQPDSZtAgAAQAUAAA4AAAAAAAAAAAAAAAAALgIA&#10;AGRycy9lMm9Eb2MueG1sUEsBAi0AFAAGAAgAAAAhAP71jZvaAAAABQEAAA8AAAAAAAAAAAAAAAAA&#10;xwQAAGRycy9kb3ducmV2LnhtbFBLBQYAAAAABAAEAPMAAADOBQAAAAA=&#10;" o:allowincell="f" filled="f" stroked="f" strokeweight=".5pt">
              <v:textbox inset="20pt,0,,0">
                <w:txbxContent>
                  <w:p w14:paraId="36E87571" w14:textId="6522343F" w:rsidR="003B30BA" w:rsidRPr="003B30BA" w:rsidRDefault="003B30BA" w:rsidP="003B30BA">
                    <w:pPr>
                      <w:spacing w:before="0" w:after="0"/>
                      <w:rPr>
                        <w:rFonts w:ascii="Calibri" w:hAnsi="Calibri" w:cs="Calibri"/>
                        <w:color w:val="000000"/>
                        <w:sz w:val="22"/>
                      </w:rPr>
                    </w:pPr>
                    <w:r w:rsidRPr="003B30BA">
                      <w:rPr>
                        <w:rFonts w:ascii="Calibri" w:hAnsi="Calibri" w:cs="Calibri"/>
                        <w:color w:val="000000"/>
                        <w:sz w:val="22"/>
                      </w:rPr>
                      <w:t>OFFICIAL</w:t>
                    </w:r>
                  </w:p>
                </w:txbxContent>
              </v:textbox>
              <w10:wrap anchorx="page" anchory="page"/>
            </v:shape>
          </w:pict>
        </mc:Fallback>
      </mc:AlternateContent>
    </w:r>
    <w:r w:rsidR="00164069">
      <w:rPr>
        <w:noProof/>
      </w:rPr>
      <mc:AlternateContent>
        <mc:Choice Requires="wps">
          <w:drawing>
            <wp:anchor distT="0" distB="0" distL="114300" distR="114300" simplePos="0" relativeHeight="251658256" behindDoc="0" locked="0" layoutInCell="0" allowOverlap="1" wp14:anchorId="0C12707E" wp14:editId="3A725330">
              <wp:simplePos x="0" y="0"/>
              <wp:positionH relativeFrom="page">
                <wp:align>left</wp:align>
              </wp:positionH>
              <wp:positionV relativeFrom="page">
                <wp:align>bottom</wp:align>
              </wp:positionV>
              <wp:extent cx="7772400" cy="463550"/>
              <wp:effectExtent l="0" t="0" r="0" b="12700"/>
              <wp:wrapNone/>
              <wp:docPr id="30" name="Text Box 30" descr="{&quot;HashCode&quot;:-1267603503,&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56A2BFB3" w14:textId="1F8F2A3E" w:rsidR="00223CC8" w:rsidRPr="003B30BA" w:rsidRDefault="00164069" w:rsidP="003B30BA">
                          <w:r w:rsidRPr="00EB1A01">
                            <w:rPr>
                              <w:rFonts w:ascii="Calibri" w:hAnsi="Calibri" w:cs="Calibri"/>
                              <w:color w:val="000000"/>
                              <w:sz w:val="22"/>
                            </w:rPr>
                            <w:t>OFFICIAL</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 w14:anchorId="0C12707E" id="Text Box 30" o:spid="_x0000_s1040" type="#_x0000_t202" alt="{&quot;HashCode&quot;:-1267603503,&quot;Height&quot;:9999999.0,&quot;Width&quot;:9999999.0,&quot;Placement&quot;:&quot;Footer&quot;,&quot;Index&quot;:&quot;Primary&quot;,&quot;Section&quot;:3,&quot;Top&quot;:0.0,&quot;Left&quot;:0.0}" style="position:absolute;left:0;text-align:left;margin-left:0;margin-top:0;width:612pt;height:36.5pt;z-index:251658256;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" o:allowincell="f" filled="f" stroked="f" strokeweight=".5pt">
              <v:textbox inset="20pt,0,,0">
                <w:txbxContent>
                  <w:p w14:paraId="56A2BFB3" w14:textId="1F8F2A3E" w:rsidR="00223CC8" w:rsidRPr="003B30BA" w:rsidRDefault="00164069" w:rsidP="003B30BA">
                    <w:r w:rsidRPr="00EB1A01">
                      <w:rPr>
                        <w:rFonts w:ascii="Calibri" w:hAnsi="Calibri" w:cs="Calibri"/>
                        <w:color w:val="000000"/>
                        <w:sz w:val="22"/>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518178" w14:textId="77777777" w:rsidR="00FB74A2" w:rsidRDefault="00FB74A2">
      <w:r>
        <w:separator/>
      </w:r>
    </w:p>
    <w:p w14:paraId="1DE0A027" w14:textId="77777777" w:rsidR="00FB74A2" w:rsidRDefault="00FB74A2"/>
  </w:footnote>
  <w:footnote w:type="continuationSeparator" w:id="0">
    <w:p w14:paraId="5FB0ABB4" w14:textId="77777777" w:rsidR="00FB74A2" w:rsidRDefault="00FB74A2" w:rsidP="00035D40">
      <w:r>
        <w:continuationSeparator/>
      </w:r>
    </w:p>
    <w:p w14:paraId="17B7FE4C" w14:textId="77777777" w:rsidR="00FB74A2" w:rsidRDefault="00FB74A2"/>
    <w:p w14:paraId="08A35E4A" w14:textId="77777777" w:rsidR="00FB74A2" w:rsidRDefault="00FB74A2"/>
    <w:p w14:paraId="7E64E497" w14:textId="77777777" w:rsidR="00FB74A2" w:rsidRDefault="00FB74A2"/>
    <w:p w14:paraId="7FA27F65" w14:textId="77777777" w:rsidR="00FB74A2" w:rsidRDefault="00FB74A2"/>
    <w:p w14:paraId="17FE405A" w14:textId="77777777" w:rsidR="00FB74A2" w:rsidRDefault="00FB74A2"/>
  </w:footnote>
  <w:footnote w:type="continuationNotice" w:id="1">
    <w:p w14:paraId="2496C2A3" w14:textId="77777777" w:rsidR="00FB74A2" w:rsidRDefault="00FB74A2">
      <w:pPr>
        <w:spacing w:before="0" w:after="0"/>
      </w:pPr>
    </w:p>
    <w:p w14:paraId="46B5BBF5" w14:textId="77777777" w:rsidR="00FB74A2" w:rsidRDefault="00FB74A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4B197" w14:textId="77777777" w:rsidR="00F74356" w:rsidRDefault="00F74356">
    <w:pPr>
      <w:pStyle w:val="Header"/>
    </w:pPr>
  </w:p>
  <w:p w14:paraId="611DBD6D" w14:textId="77777777" w:rsidR="00F74356" w:rsidRDefault="00F7435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06830" w14:textId="1FB1E569" w:rsidR="005D2595" w:rsidRPr="000E2676" w:rsidRDefault="005D2595" w:rsidP="0067054D">
    <w:pPr>
      <w:pStyle w:val="Header"/>
      <w:ind w:left="-450"/>
      <w:rPr>
        <w:bCs/>
      </w:rPr>
    </w:pPr>
    <w:r w:rsidRPr="000E2676">
      <w:rPr>
        <w:bCs/>
      </w:rPr>
      <w:fldChar w:fldCharType="begin"/>
    </w:r>
    <w:r w:rsidRPr="000E2676">
      <w:rPr>
        <w:bCs/>
      </w:rPr>
      <w:instrText xml:space="preserve"> STYLEREF  "Heading 1 numbered" \N  \* MERGEFORMAT </w:instrText>
    </w:r>
    <w:r w:rsidRPr="000E2676">
      <w:rPr>
        <w:bCs/>
      </w:rPr>
      <w:fldChar w:fldCharType="separate"/>
    </w:r>
    <w:r w:rsidR="008F4C0F">
      <w:rPr>
        <w:bCs/>
        <w:noProof/>
      </w:rPr>
      <w:t>1</w:t>
    </w:r>
    <w:r w:rsidRPr="000E2676">
      <w:rPr>
        <w:bCs/>
        <w:noProof/>
      </w:rPr>
      <w:fldChar w:fldCharType="end"/>
    </w:r>
    <w:r w:rsidRPr="000E2676">
      <w:rPr>
        <w:bCs/>
        <w:noProof/>
      </w:rPr>
      <w:t xml:space="preserve">. </w:t>
    </w:r>
    <w:r w:rsidRPr="000E2676">
      <w:rPr>
        <w:bCs/>
      </w:rPr>
      <w:fldChar w:fldCharType="begin"/>
    </w:r>
    <w:r w:rsidRPr="000E2676">
      <w:rPr>
        <w:bCs/>
      </w:rPr>
      <w:instrText xml:space="preserve"> STYLEREF  "Heading 1 numbered"  \* MERGEFORMAT </w:instrText>
    </w:r>
    <w:r w:rsidRPr="000E2676">
      <w:rPr>
        <w:bCs/>
        <w:noProof/>
      </w:rPr>
      <w:fldChar w:fldCharType="end"/>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F371C" w14:textId="77777777" w:rsidR="00113E1C" w:rsidRPr="00E46487" w:rsidRDefault="00113E1C" w:rsidP="00E46487">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4A169" w14:textId="77777777" w:rsidR="00113E1C" w:rsidRPr="00E46487" w:rsidRDefault="00113E1C" w:rsidP="0028555D">
    <w:pPr>
      <w:pStyle w:val="Header"/>
      <w:jc w:val="right"/>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FF86F" w14:textId="77777777" w:rsidR="00113E1C" w:rsidRDefault="00113E1C">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AD8D5" w14:textId="77777777" w:rsidR="00113E1C" w:rsidRPr="00E46487" w:rsidRDefault="00113E1C" w:rsidP="00E46487">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5E4E1" w14:textId="77777777" w:rsidR="00113E1C" w:rsidRPr="00E46487" w:rsidRDefault="00113E1C" w:rsidP="0028555D">
    <w:pPr>
      <w:pStyle w:val="Header"/>
      <w:jc w:val="right"/>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E69F5" w14:textId="112B0A3C" w:rsidR="00113E1C" w:rsidRDefault="00113E1C">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E47A4" w14:textId="77777777" w:rsidR="00B93BEE" w:rsidRPr="00E46487" w:rsidRDefault="00B93BEE" w:rsidP="0028555D">
    <w:pPr>
      <w:pStyle w:val="Header"/>
      <w:jc w:val="right"/>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C7469" w14:textId="77777777" w:rsidR="00860F32" w:rsidRDefault="00860F32" w:rsidP="0028555D">
    <w:pPr>
      <w:pStyle w:val="Header"/>
      <w:jc w:val="right"/>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B6D99" w14:textId="77777777" w:rsidR="004E29AF" w:rsidRDefault="004E29AF">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F87C2" w14:textId="77777777" w:rsidR="004E29AF" w:rsidRPr="00E46487" w:rsidRDefault="004E29AF" w:rsidP="0028555D">
    <w:pPr>
      <w:pStyle w:val="Header"/>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6B6E8" w14:textId="40BD9C03" w:rsidR="005D2595" w:rsidRPr="00CC70AA" w:rsidRDefault="005D2595" w:rsidP="00754FD1">
    <w:pPr>
      <w:pStyle w:val="Header"/>
      <w:ind w:left="-450" w:right="-475"/>
      <w:jc w:val="right"/>
      <w:rPr>
        <w:bCs/>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317E6" w14:textId="77777777" w:rsidR="004E29AF" w:rsidRDefault="004E29AF">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D5FBC" w14:textId="77777777" w:rsidR="00C44155" w:rsidRDefault="00C44155">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8C19F" w14:textId="77777777" w:rsidR="00C44155" w:rsidRPr="00E46487" w:rsidRDefault="00C44155" w:rsidP="0028555D">
    <w:pPr>
      <w:pStyle w:val="Header"/>
      <w:jc w:val="right"/>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91509" w14:textId="77777777" w:rsidR="00C44155" w:rsidRDefault="00C44155">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4CCF2" w14:textId="77777777" w:rsidR="004E29AF" w:rsidRDefault="004E29AF">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102E0" w14:textId="77777777" w:rsidR="004E29AF" w:rsidRDefault="004E29AF">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03442" w14:textId="77777777" w:rsidR="004E29AF" w:rsidRDefault="004E29AF">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C40D2" w14:textId="77777777" w:rsidR="00582950" w:rsidRDefault="00C14D9A">
    <w:pPr>
      <w:pStyle w:val="Header"/>
    </w:pPr>
    <w:r>
      <w:rPr>
        <w:noProof/>
      </w:rPr>
      <mc:AlternateContent>
        <mc:Choice Requires="wpg">
          <w:drawing>
            <wp:anchor distT="0" distB="0" distL="114300" distR="114300" simplePos="0" relativeHeight="251658265" behindDoc="0" locked="0" layoutInCell="1" allowOverlap="1" wp14:anchorId="5714D56D" wp14:editId="29311054">
              <wp:simplePos x="0" y="0"/>
              <wp:positionH relativeFrom="page">
                <wp:posOffset>0</wp:posOffset>
              </wp:positionH>
              <wp:positionV relativeFrom="page">
                <wp:posOffset>0</wp:posOffset>
              </wp:positionV>
              <wp:extent cx="7598664" cy="978408"/>
              <wp:effectExtent l="0" t="0" r="2540" b="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914400" y="3467405"/>
                        <a:chExt cx="5668993" cy="733806"/>
                      </a:xfrm>
                    </wpg:grpSpPr>
                    <wps:wsp>
                      <wps:cNvPr id="50" name="Freeform: Shape 50"/>
                      <wps:cNvSpPr/>
                      <wps:spPr>
                        <a:xfrm>
                          <a:off x="914400" y="3467405"/>
                          <a:ext cx="5644106" cy="733806"/>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 name="Graphic 15"/>
                      <wpg:cNvGrpSpPr/>
                      <wpg:grpSpPr>
                        <a:xfrm>
                          <a:off x="4598955" y="3467405"/>
                          <a:ext cx="1984438" cy="733806"/>
                          <a:chOff x="4598955" y="3467405"/>
                          <a:chExt cx="1984438" cy="733806"/>
                        </a:xfrm>
                        <a:solidFill>
                          <a:schemeClr val="accent1"/>
                        </a:solidFill>
                      </wpg:grpSpPr>
                      <wps:wsp>
                        <wps:cNvPr id="52" name="Freeform: Shape 52"/>
                        <wps:cNvSpPr/>
                        <wps:spPr>
                          <a:xfrm>
                            <a:off x="5373814" y="3467405"/>
                            <a:ext cx="1209579" cy="733806"/>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Freeform: Shape 53"/>
                        <wps:cNvSpPr/>
                        <wps:spPr>
                          <a:xfrm>
                            <a:off x="4598955" y="3467405"/>
                            <a:ext cx="1121664" cy="733806"/>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reeform: Shape 54"/>
                        <wps:cNvSpPr/>
                        <wps:spPr>
                          <a:xfrm>
                            <a:off x="5720619" y="3467405"/>
                            <a:ext cx="862774" cy="73371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 name="Freeform: Shape 55"/>
                      <wps:cNvSpPr/>
                      <wps:spPr>
                        <a:xfrm>
                          <a:off x="4421314" y="3824683"/>
                          <a:ext cx="952500" cy="376237"/>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2BAA86DF" id="Group 49" o:spid="_x0000_s1026" alt="&quot;&quot;" style="position:absolute;margin-left:0;margin-top:0;width:598.3pt;height:77.05pt;z-index:251658265;mso-position-horizontal-relative:page;mso-position-vertical-relative:page;mso-width-relative:margin;mso-height-relative:margin" coordorigin="9144,34674" coordsize="56689,7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">
              <v:shape id="Freeform: Shape 50" o:spid="_x0000_s1027" style="position:absolute;left:9144;top:34674;width:56441;height:7338;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" path="m,l5670043,r,733806l,733806,,xe" fillcolor="#a6e7eb [3214]" stroked="f">
                <v:stroke joinstyle="miter"/>
                <v:path arrowok="t" o:connecttype="custom" o:connectlocs="0,0;5644107,0;5644107,733806;0,733806" o:connectangles="0,0,0,0"/>
              </v:shape>
              <v:group id="Graphic 15" o:spid="_x0000_s1028" style="position:absolute;left:45989;top:34674;width:19844;height:7338" coordorigin="45989,34674" coordsize="19844,7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Shape 52" o:spid="_x0000_s1029" style="position:absolute;left:53738;top:34674;width:12095;height:7338;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" path="m1209580,r,733806l,733806,346805,r862775,xe" fillcolor="#00bac7 [3204]" stroked="f">
                  <v:stroke joinstyle="miter"/>
                  <v:path arrowok="t" o:connecttype="custom" o:connectlocs="1209580,0;1209580,733806;0,733806;346805,0" o:connectangles="0,0,0,0"/>
                </v:shape>
                <v:shape id="Freeform: Shape 53" o:spid="_x0000_s1030" style="position:absolute;left:45989;top:34674;width:11217;height:7338;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" path="m,733806r774859,l1121664,,346805,,,733806xe" fillcolor="#71d9e0 [3205]" stroked="f">
                  <v:stroke joinstyle="miter"/>
                  <v:path arrowok="t" o:connecttype="custom" o:connectlocs="0,733806;774859,733806;1121664,0;346805,0" o:connectangles="0,0,0,0"/>
                </v:shape>
                <v:shape id="Freeform: Shape 54" o:spid="_x0000_s1031" style="position:absolute;left:57206;top:34674;width:8627;height:7337;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" path="m,l346805,733711r515969,l862774,,,xe" fillcolor="#232b39 [3213]" stroked="f">
                  <v:stroke joinstyle="miter"/>
                  <v:path arrowok="t" o:connecttype="custom" o:connectlocs="0,0;346805,733711;862774,733711;862774,0" o:connectangles="0,0,0,0"/>
                </v:shape>
              </v:group>
              <v:shape id="Freeform: Shape 55" o:spid="_x0000_s1032" style="position:absolute;left:44213;top:38246;width:9525;height:3763;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" path="m,l774573,,952500,376238r-774668,l,xe" stroked="f">
                <v:fill opacity="32896f"/>
                <v:stroke joinstyle="miter"/>
                <v:path arrowok="t" o:connecttype="custom" o:connectlocs="0,0;774573,0;952500,376238;177832,376238" o:connectangles="0,0,0,0"/>
              </v:shape>
              <w10:wrap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44CB6" w14:textId="0E95FDA3" w:rsidR="005D2595" w:rsidRPr="00CC70AA" w:rsidRDefault="005D2595" w:rsidP="0067054D">
    <w:pPr>
      <w:pStyle w:val="Header"/>
      <w:ind w:left="-450"/>
      <w:rPr>
        <w:bCs/>
      </w:rPr>
    </w:pPr>
    <w:r w:rsidRPr="00CC70AA">
      <w:rPr>
        <w:bCs/>
      </w:rPr>
      <w:fldChar w:fldCharType="begin"/>
    </w:r>
    <w:r w:rsidRPr="00CC70AA">
      <w:rPr>
        <w:bCs/>
      </w:rPr>
      <w:instrText xml:space="preserve"> STYLEREF  "Heading 1 numbered" \N  \* MERGEFORMAT </w:instrText>
    </w:r>
    <w:r w:rsidRPr="00CC70AA">
      <w:rPr>
        <w:bCs/>
      </w:rPr>
      <w:fldChar w:fldCharType="separate"/>
    </w:r>
    <w:r w:rsidR="0006307D">
      <w:rPr>
        <w:bCs/>
        <w:noProof/>
      </w:rPr>
      <w:t>1</w:t>
    </w:r>
    <w:r w:rsidRPr="00CC70AA">
      <w:rPr>
        <w:bCs/>
        <w:noProof/>
      </w:rPr>
      <w:fldChar w:fldCharType="end"/>
    </w:r>
    <w:r w:rsidRPr="00CC70AA">
      <w:rPr>
        <w:bCs/>
        <w:noProof/>
      </w:rPr>
      <w:t xml:space="preserve">. </w:t>
    </w:r>
    <w:r w:rsidRPr="00CC70AA">
      <w:rPr>
        <w:bCs/>
      </w:rPr>
      <w:fldChar w:fldCharType="begin"/>
    </w:r>
    <w:r w:rsidRPr="00CC70AA">
      <w:rPr>
        <w:bCs/>
      </w:rPr>
      <w:instrText xml:space="preserve"> STYLEREF  "Heading 1 numbered"  \* MERGEFORMAT </w:instrText>
    </w:r>
    <w:r w:rsidRPr="00CC70AA">
      <w:rPr>
        <w:bCs/>
      </w:rPr>
      <w:fldChar w:fldCharType="separate"/>
    </w:r>
    <w:r w:rsidR="0006307D">
      <w:rPr>
        <w:bCs/>
        <w:noProof/>
      </w:rPr>
      <w:t>About this report</w:t>
    </w:r>
    <w:r w:rsidRPr="00CC70AA">
      <w:rPr>
        <w:bCs/>
        <w:noProof/>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6BEEB7" w14:textId="640CD238" w:rsidR="005D2595" w:rsidRPr="0067054D" w:rsidRDefault="005D2595" w:rsidP="00754FD1">
    <w:pPr>
      <w:pStyle w:val="Header"/>
      <w:ind w:left="-450" w:right="-475"/>
      <w:jc w:val="right"/>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1</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About this report</w:t>
    </w:r>
    <w:r w:rsidRPr="0067054D">
      <w:rPr>
        <w:b/>
        <w:noProof/>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376ED" w14:textId="77777777" w:rsidR="005D2595" w:rsidRPr="000E2676" w:rsidRDefault="005D2595" w:rsidP="00FC3AF2">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4FECA" w14:textId="77777777" w:rsidR="005D2595" w:rsidRPr="006011C5" w:rsidRDefault="005D2595" w:rsidP="006011C5">
    <w:pPr>
      <w:pStyle w:val="Header"/>
    </w:pPr>
    <w:r>
      <w:rPr>
        <w:noProof/>
      </w:rPr>
      <mc:AlternateContent>
        <mc:Choice Requires="wps">
          <w:drawing>
            <wp:anchor distT="0" distB="0" distL="114300" distR="114300" simplePos="0" relativeHeight="251658269" behindDoc="0" locked="0" layoutInCell="0" allowOverlap="1" wp14:anchorId="6DB714C3" wp14:editId="23A46A89">
              <wp:simplePos x="0" y="0"/>
              <wp:positionH relativeFrom="rightMargin">
                <wp:posOffset>255905</wp:posOffset>
              </wp:positionH>
              <wp:positionV relativeFrom="margin">
                <wp:posOffset>-298450</wp:posOffset>
              </wp:positionV>
              <wp:extent cx="722376" cy="6327648"/>
              <wp:effectExtent l="0" t="0" r="0" b="0"/>
              <wp:wrapNone/>
              <wp:docPr id="766155959" name="Rectangle 766155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 cy="632764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F096C" w14:textId="77777777" w:rsidR="005D2595" w:rsidRPr="00755BAB" w:rsidRDefault="005D2595" w:rsidP="006011C5">
                          <w:pPr>
                            <w:rPr>
                              <w:bCs/>
                            </w:rPr>
                          </w:pPr>
                        </w:p>
                        <w:p w14:paraId="0EC92EC2" w14:textId="6D56FC1A" w:rsidR="005D2595" w:rsidRPr="00755BAB" w:rsidRDefault="003A5BD7" w:rsidP="006011C5">
                          <w:pPr>
                            <w:pStyle w:val="Header"/>
                            <w:ind w:left="0" w:right="0"/>
                            <w:rPr>
                              <w:bCs/>
                            </w:rPr>
                          </w:pPr>
                          <w:r w:rsidRPr="00755BAB">
                            <w:rPr>
                              <w:bCs/>
                            </w:rPr>
                            <w:fldChar w:fldCharType="begin"/>
                          </w:r>
                          <w:r w:rsidRPr="00755BAB">
                            <w:rPr>
                              <w:bCs/>
                            </w:rPr>
                            <w:instrText xml:space="preserve"> STYLEREF  "Heading 1 numbered" \N  \* MERGEFORMAT </w:instrText>
                          </w:r>
                          <w:r w:rsidRPr="00755BAB">
                            <w:rPr>
                              <w:bCs/>
                            </w:rPr>
                            <w:fldChar w:fldCharType="separate"/>
                          </w:r>
                          <w:r w:rsidR="0006307D">
                            <w:rPr>
                              <w:bCs/>
                              <w:noProof/>
                            </w:rPr>
                            <w:t>2</w:t>
                          </w:r>
                          <w:r w:rsidRPr="00755BAB">
                            <w:rPr>
                              <w:bCs/>
                            </w:rPr>
                            <w:fldChar w:fldCharType="end"/>
                          </w:r>
                          <w:r w:rsidR="005D2595" w:rsidRPr="00755BAB">
                            <w:rPr>
                              <w:bCs/>
                            </w:rPr>
                            <w:t xml:space="preserve">. </w:t>
                          </w:r>
                          <w:r w:rsidRPr="00755BAB">
                            <w:rPr>
                              <w:bCs/>
                            </w:rPr>
                            <w:fldChar w:fldCharType="begin"/>
                          </w:r>
                          <w:r w:rsidRPr="00755BAB">
                            <w:rPr>
                              <w:bCs/>
                            </w:rPr>
                            <w:instrText xml:space="preserve"> STYLEREF  "Heading 1 numbered"  \* MERGEFORMAT </w:instrText>
                          </w:r>
                          <w:r w:rsidRPr="00755BAB">
                            <w:rPr>
                              <w:bCs/>
                            </w:rPr>
                            <w:fldChar w:fldCharType="separate"/>
                          </w:r>
                          <w:r w:rsidR="0006307D">
                            <w:rPr>
                              <w:bCs/>
                              <w:noProof/>
                            </w:rPr>
                            <w:t>Funding delivery of services</w:t>
                          </w:r>
                          <w:r w:rsidRPr="00755BAB">
                            <w:rPr>
                              <w:bCs/>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DB714C3" id="Rectangle 766155959" o:spid="_x0000_s1048" style="position:absolute;left:0;text-align:left;margin-left:20.15pt;margin-top:-23.5pt;width:56.9pt;height:498.25pt;z-index:251658269;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" o:allowincell="f" filled="f" stroked="f">
              <v:textbox style="layout-flow:vertical;mso-fit-shape-to-text:t">
                <w:txbxContent>
                  <w:p w14:paraId="106F096C" w14:textId="77777777" w:rsidR="005D2595" w:rsidRPr="00755BAB" w:rsidRDefault="005D2595" w:rsidP="006011C5">
                    <w:pPr>
                      <w:rPr>
                        <w:bCs/>
                      </w:rPr>
                    </w:pPr>
                  </w:p>
                  <w:p w14:paraId="0EC92EC2" w14:textId="6D56FC1A" w:rsidR="005D2595" w:rsidRPr="00755BAB" w:rsidRDefault="003A5BD7" w:rsidP="006011C5">
                    <w:pPr>
                      <w:pStyle w:val="Header"/>
                      <w:ind w:left="0" w:right="0"/>
                      <w:rPr>
                        <w:bCs/>
                      </w:rPr>
                    </w:pPr>
                    <w:r w:rsidRPr="00755BAB">
                      <w:rPr>
                        <w:bCs/>
                      </w:rPr>
                      <w:fldChar w:fldCharType="begin"/>
                    </w:r>
                    <w:r w:rsidRPr="00755BAB">
                      <w:rPr>
                        <w:bCs/>
                      </w:rPr>
                      <w:instrText xml:space="preserve"> STYLEREF  "Heading 1 numbered" \N  \* MERGEFORMAT </w:instrText>
                    </w:r>
                    <w:r w:rsidRPr="00755BAB">
                      <w:rPr>
                        <w:bCs/>
                      </w:rPr>
                      <w:fldChar w:fldCharType="separate"/>
                    </w:r>
                    <w:r w:rsidR="0006307D">
                      <w:rPr>
                        <w:bCs/>
                        <w:noProof/>
                      </w:rPr>
                      <w:t>2</w:t>
                    </w:r>
                    <w:r w:rsidRPr="00755BAB">
                      <w:rPr>
                        <w:bCs/>
                      </w:rPr>
                      <w:fldChar w:fldCharType="end"/>
                    </w:r>
                    <w:r w:rsidR="005D2595" w:rsidRPr="00755BAB">
                      <w:rPr>
                        <w:bCs/>
                      </w:rPr>
                      <w:t xml:space="preserve">. </w:t>
                    </w:r>
                    <w:r w:rsidRPr="00755BAB">
                      <w:rPr>
                        <w:bCs/>
                      </w:rPr>
                      <w:fldChar w:fldCharType="begin"/>
                    </w:r>
                    <w:r w:rsidRPr="00755BAB">
                      <w:rPr>
                        <w:bCs/>
                      </w:rPr>
                      <w:instrText xml:space="preserve"> STYLEREF  "Heading 1 numbered"  \* MERGEFORMAT </w:instrText>
                    </w:r>
                    <w:r w:rsidRPr="00755BAB">
                      <w:rPr>
                        <w:bCs/>
                      </w:rPr>
                      <w:fldChar w:fldCharType="separate"/>
                    </w:r>
                    <w:r w:rsidR="0006307D">
                      <w:rPr>
                        <w:bCs/>
                        <w:noProof/>
                      </w:rPr>
                      <w:t>Funding delivery of services</w:t>
                    </w:r>
                    <w:r w:rsidRPr="00755BAB">
                      <w:rPr>
                        <w:bCs/>
                      </w:rPr>
                      <w:fldChar w:fldCharType="end"/>
                    </w:r>
                  </w:p>
                </w:txbxContent>
              </v:textbox>
              <w10:wrap anchorx="margin" anchory="margin"/>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59A41" w14:textId="77777777" w:rsidR="005D2595" w:rsidRPr="00ED0258" w:rsidRDefault="005D2595" w:rsidP="00ED0258">
    <w:pPr>
      <w:pStyle w:val="Header"/>
      <w:ind w:left="-450" w:right="-475"/>
      <w:jc w:val="right"/>
      <w:rPr>
        <w:b/>
      </w:rPr>
    </w:pPr>
    <w:r>
      <w:rPr>
        <w:noProof/>
      </w:rPr>
      <mc:AlternateContent>
        <mc:Choice Requires="wps">
          <w:drawing>
            <wp:anchor distT="0" distB="0" distL="114300" distR="114300" simplePos="0" relativeHeight="251658270" behindDoc="0" locked="0" layoutInCell="0" allowOverlap="1" wp14:anchorId="7597E09C" wp14:editId="5E90AE84">
              <wp:simplePos x="0" y="0"/>
              <wp:positionH relativeFrom="rightMargin">
                <wp:posOffset>255905</wp:posOffset>
              </wp:positionH>
              <wp:positionV relativeFrom="margin">
                <wp:posOffset>100330</wp:posOffset>
              </wp:positionV>
              <wp:extent cx="722376" cy="6327648"/>
              <wp:effectExtent l="0" t="0" r="0" b="0"/>
              <wp:wrapNone/>
              <wp:docPr id="396331188" name="Rectangle 396331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 cy="632764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376A2" w14:textId="77777777" w:rsidR="005D2595" w:rsidRDefault="005D2595" w:rsidP="0062075E"/>
                        <w:p w14:paraId="20BAFA7F" w14:textId="6D87DB25" w:rsidR="005D2595" w:rsidRPr="001263B9" w:rsidRDefault="005D2595" w:rsidP="0062075E">
                          <w:pPr>
                            <w:pStyle w:val="Header"/>
                            <w:ind w:right="0"/>
                            <w:jc w:val="right"/>
                            <w:rPr>
                              <w:bCs/>
                            </w:rPr>
                          </w:pPr>
                          <w:r w:rsidRPr="001263B9">
                            <w:rPr>
                              <w:bCs/>
                            </w:rPr>
                            <w:fldChar w:fldCharType="begin"/>
                          </w:r>
                          <w:r w:rsidRPr="001263B9">
                            <w:rPr>
                              <w:bCs/>
                            </w:rPr>
                            <w:instrText xml:space="preserve"> STYLEREF  "Heading 1 numbered" \N  \* MERGEFORMAT </w:instrText>
                          </w:r>
                          <w:r w:rsidRPr="001263B9">
                            <w:rPr>
                              <w:bCs/>
                            </w:rPr>
                            <w:fldChar w:fldCharType="separate"/>
                          </w:r>
                          <w:r w:rsidR="008F4C0F">
                            <w:rPr>
                              <w:bCs/>
                              <w:noProof/>
                            </w:rPr>
                            <w:t>2</w:t>
                          </w:r>
                          <w:r w:rsidRPr="001263B9">
                            <w:rPr>
                              <w:bCs/>
                              <w:noProof/>
                            </w:rPr>
                            <w:fldChar w:fldCharType="end"/>
                          </w:r>
                          <w:r w:rsidRPr="001263B9">
                            <w:rPr>
                              <w:bCs/>
                              <w:noProof/>
                            </w:rPr>
                            <w:t xml:space="preserve">. </w:t>
                          </w:r>
                          <w:r w:rsidRPr="001263B9">
                            <w:rPr>
                              <w:bCs/>
                            </w:rPr>
                            <w:fldChar w:fldCharType="begin"/>
                          </w:r>
                          <w:r w:rsidRPr="001263B9">
                            <w:rPr>
                              <w:bCs/>
                            </w:rPr>
                            <w:instrText xml:space="preserve"> STYLEREF  "Heading 1 numbered"  \* MERGEFORMAT </w:instrText>
                          </w:r>
                          <w:r w:rsidRPr="001263B9">
                            <w:rPr>
                              <w:bCs/>
                            </w:rPr>
                            <w:fldChar w:fldCharType="separate"/>
                          </w:r>
                          <w:r w:rsidR="008F4C0F">
                            <w:rPr>
                              <w:bCs/>
                              <w:noProof/>
                            </w:rPr>
                            <w:t>Funding delivery of services</w:t>
                          </w:r>
                          <w:r w:rsidRPr="001263B9">
                            <w:rPr>
                              <w:bCs/>
                              <w:noProof/>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597E09C" id="Rectangle 396331188" o:spid="_x0000_s1049" style="position:absolute;left:0;text-align:left;margin-left:20.15pt;margin-top:7.9pt;width:56.9pt;height:498.25pt;z-index:25165827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" o:allowincell="f" filled="f" stroked="f">
              <v:textbox style="layout-flow:vertical;mso-fit-shape-to-text:t">
                <w:txbxContent>
                  <w:p w14:paraId="571376A2" w14:textId="77777777" w:rsidR="005D2595" w:rsidRDefault="005D2595" w:rsidP="0062075E"/>
                  <w:p w14:paraId="20BAFA7F" w14:textId="6D87DB25" w:rsidR="005D2595" w:rsidRPr="001263B9" w:rsidRDefault="005D2595" w:rsidP="0062075E">
                    <w:pPr>
                      <w:pStyle w:val="Header"/>
                      <w:ind w:right="0"/>
                      <w:jc w:val="right"/>
                      <w:rPr>
                        <w:bCs/>
                      </w:rPr>
                    </w:pPr>
                    <w:r w:rsidRPr="001263B9">
                      <w:rPr>
                        <w:bCs/>
                      </w:rPr>
                      <w:fldChar w:fldCharType="begin"/>
                    </w:r>
                    <w:r w:rsidRPr="001263B9">
                      <w:rPr>
                        <w:bCs/>
                      </w:rPr>
                      <w:instrText xml:space="preserve"> STYLEREF  "Heading 1 numbered" \N  \* MERGEFORMAT </w:instrText>
                    </w:r>
                    <w:r w:rsidRPr="001263B9">
                      <w:rPr>
                        <w:bCs/>
                      </w:rPr>
                      <w:fldChar w:fldCharType="separate"/>
                    </w:r>
                    <w:r w:rsidR="008F4C0F">
                      <w:rPr>
                        <w:bCs/>
                        <w:noProof/>
                      </w:rPr>
                      <w:t>2</w:t>
                    </w:r>
                    <w:r w:rsidRPr="001263B9">
                      <w:rPr>
                        <w:bCs/>
                        <w:noProof/>
                      </w:rPr>
                      <w:fldChar w:fldCharType="end"/>
                    </w:r>
                    <w:r w:rsidRPr="001263B9">
                      <w:rPr>
                        <w:bCs/>
                        <w:noProof/>
                      </w:rPr>
                      <w:t xml:space="preserve">. </w:t>
                    </w:r>
                    <w:r w:rsidRPr="001263B9">
                      <w:rPr>
                        <w:bCs/>
                      </w:rPr>
                      <w:fldChar w:fldCharType="begin"/>
                    </w:r>
                    <w:r w:rsidRPr="001263B9">
                      <w:rPr>
                        <w:bCs/>
                      </w:rPr>
                      <w:instrText xml:space="preserve"> STYLEREF  "Heading 1 numbered"  \* MERGEFORMAT </w:instrText>
                    </w:r>
                    <w:r w:rsidRPr="001263B9">
                      <w:rPr>
                        <w:bCs/>
                      </w:rPr>
                      <w:fldChar w:fldCharType="separate"/>
                    </w:r>
                    <w:r w:rsidR="008F4C0F">
                      <w:rPr>
                        <w:bCs/>
                        <w:noProof/>
                      </w:rPr>
                      <w:t>Funding delivery of services</w:t>
                    </w:r>
                    <w:r w:rsidRPr="001263B9">
                      <w:rPr>
                        <w:bCs/>
                        <w:noProof/>
                      </w:rPr>
                      <w:fldChar w:fldCharType="end"/>
                    </w:r>
                  </w:p>
                </w:txbxContent>
              </v:textbox>
              <w10:wrap anchorx="margin" anchory="margin"/>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21AAB0" w14:textId="7FF7F078" w:rsidR="005D2595" w:rsidRPr="00CC70AA" w:rsidRDefault="005D2595" w:rsidP="005B0593">
    <w:pPr>
      <w:pStyle w:val="Header"/>
      <w:rPr>
        <w:bCs/>
      </w:rPr>
    </w:pPr>
    <w:r w:rsidRPr="00CC70AA">
      <w:rPr>
        <w:bCs/>
      </w:rPr>
      <w:fldChar w:fldCharType="begin"/>
    </w:r>
    <w:r w:rsidRPr="00CC70AA">
      <w:rPr>
        <w:bCs/>
      </w:rPr>
      <w:instrText xml:space="preserve"> STYLEREF  "Heading 1 numbered" \N  \* MERGEFORMAT </w:instrText>
    </w:r>
    <w:r w:rsidRPr="00CC70AA">
      <w:rPr>
        <w:bCs/>
      </w:rPr>
      <w:fldChar w:fldCharType="separate"/>
    </w:r>
    <w:r w:rsidR="0006307D">
      <w:rPr>
        <w:bCs/>
        <w:noProof/>
      </w:rPr>
      <w:t>2</w:t>
    </w:r>
    <w:r w:rsidRPr="00CC70AA">
      <w:rPr>
        <w:bCs/>
        <w:noProof/>
      </w:rPr>
      <w:fldChar w:fldCharType="end"/>
    </w:r>
    <w:r w:rsidRPr="00CC70AA">
      <w:rPr>
        <w:bCs/>
        <w:noProof/>
      </w:rPr>
      <w:t xml:space="preserve">. </w:t>
    </w:r>
    <w:r w:rsidRPr="00CC70AA">
      <w:rPr>
        <w:bCs/>
      </w:rPr>
      <w:fldChar w:fldCharType="begin"/>
    </w:r>
    <w:r w:rsidRPr="00CC70AA">
      <w:rPr>
        <w:bCs/>
      </w:rPr>
      <w:instrText xml:space="preserve"> STYLEREF  "Heading 1 numbered"  \* MERGEFORMAT </w:instrText>
    </w:r>
    <w:r w:rsidRPr="00CC70AA">
      <w:rPr>
        <w:bCs/>
      </w:rPr>
      <w:fldChar w:fldCharType="separate"/>
    </w:r>
    <w:r w:rsidR="0006307D">
      <w:rPr>
        <w:bCs/>
        <w:noProof/>
      </w:rPr>
      <w:t>Funding delivery of services</w:t>
    </w:r>
    <w:r w:rsidRPr="00CC70AA">
      <w:rPr>
        <w:bCs/>
        <w:noProof/>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4C548" w14:textId="1C915357" w:rsidR="005D2595" w:rsidRPr="00CC70AA" w:rsidRDefault="005D2595" w:rsidP="00B76FBA">
    <w:pPr>
      <w:pStyle w:val="Header"/>
      <w:ind w:left="-450"/>
      <w:jc w:val="right"/>
      <w:rPr>
        <w:bCs/>
      </w:rPr>
    </w:pPr>
    <w:r w:rsidRPr="00CC70AA">
      <w:rPr>
        <w:bCs/>
      </w:rPr>
      <w:fldChar w:fldCharType="begin"/>
    </w:r>
    <w:r w:rsidRPr="00CC70AA">
      <w:rPr>
        <w:bCs/>
      </w:rPr>
      <w:instrText xml:space="preserve"> STYLEREF  "Heading 1 numbered" \N  \* MERGEFORMAT </w:instrText>
    </w:r>
    <w:r w:rsidRPr="00CC70AA">
      <w:rPr>
        <w:bCs/>
      </w:rPr>
      <w:fldChar w:fldCharType="separate"/>
    </w:r>
    <w:r w:rsidR="0006307D">
      <w:rPr>
        <w:bCs/>
        <w:noProof/>
      </w:rPr>
      <w:t>2</w:t>
    </w:r>
    <w:r w:rsidRPr="00CC70AA">
      <w:rPr>
        <w:bCs/>
        <w:noProof/>
      </w:rPr>
      <w:fldChar w:fldCharType="end"/>
    </w:r>
    <w:r w:rsidRPr="00CC70AA">
      <w:rPr>
        <w:bCs/>
        <w:noProof/>
      </w:rPr>
      <w:t xml:space="preserve">. </w:t>
    </w:r>
    <w:r w:rsidRPr="00CC70AA">
      <w:rPr>
        <w:bCs/>
      </w:rPr>
      <w:fldChar w:fldCharType="begin"/>
    </w:r>
    <w:r w:rsidRPr="00CC70AA">
      <w:rPr>
        <w:bCs/>
      </w:rPr>
      <w:instrText xml:space="preserve"> STYLEREF  "Heading 1 numbered"  \* MERGEFORMAT </w:instrText>
    </w:r>
    <w:r w:rsidRPr="00CC70AA">
      <w:rPr>
        <w:bCs/>
      </w:rPr>
      <w:fldChar w:fldCharType="separate"/>
    </w:r>
    <w:r w:rsidR="0006307D">
      <w:rPr>
        <w:bCs/>
        <w:noProof/>
      </w:rPr>
      <w:t>Funding delivery of services</w:t>
    </w:r>
    <w:r w:rsidRPr="00CC70AA">
      <w:rPr>
        <w:bCs/>
        <w:noProof/>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6261" w14:textId="4BA4927F" w:rsidR="005D2595" w:rsidRPr="006A35E7" w:rsidRDefault="005D2595" w:rsidP="00B76FBA">
    <w:pPr>
      <w:pStyle w:val="Header"/>
      <w:ind w:left="-450"/>
      <w:jc w:val="right"/>
      <w:rPr>
        <w:bCs/>
      </w:rPr>
    </w:pPr>
    <w:r w:rsidRPr="006A35E7">
      <w:rPr>
        <w:bCs/>
      </w:rPr>
      <w:fldChar w:fldCharType="begin"/>
    </w:r>
    <w:r w:rsidRPr="006A35E7">
      <w:rPr>
        <w:bCs/>
      </w:rPr>
      <w:instrText xml:space="preserve"> STYLEREF  "Heading 1 numbered" \N  \* MERGEFORMAT </w:instrText>
    </w:r>
    <w:r w:rsidRPr="006A35E7">
      <w:rPr>
        <w:bCs/>
      </w:rPr>
      <w:fldChar w:fldCharType="separate"/>
    </w:r>
    <w:r w:rsidR="0006307D">
      <w:rPr>
        <w:bCs/>
        <w:noProof/>
      </w:rPr>
      <w:t>2</w:t>
    </w:r>
    <w:r w:rsidRPr="006A35E7">
      <w:rPr>
        <w:bCs/>
        <w:noProof/>
      </w:rPr>
      <w:fldChar w:fldCharType="end"/>
    </w:r>
    <w:r w:rsidRPr="006A35E7">
      <w:rPr>
        <w:bCs/>
        <w:noProof/>
      </w:rPr>
      <w:t xml:space="preserve">. </w:t>
    </w:r>
    <w:r w:rsidRPr="006A35E7">
      <w:rPr>
        <w:bCs/>
      </w:rPr>
      <w:fldChar w:fldCharType="begin"/>
    </w:r>
    <w:r w:rsidRPr="006A35E7">
      <w:rPr>
        <w:bCs/>
      </w:rPr>
      <w:instrText xml:space="preserve"> STYLEREF  "Heading 1 numbered"  \* MERGEFORMAT </w:instrText>
    </w:r>
    <w:r w:rsidRPr="006A35E7">
      <w:rPr>
        <w:bCs/>
      </w:rPr>
      <w:fldChar w:fldCharType="separate"/>
    </w:r>
    <w:r w:rsidR="0006307D">
      <w:rPr>
        <w:bCs/>
        <w:noProof/>
      </w:rPr>
      <w:t>Funding delivery of services</w:t>
    </w:r>
    <w:r w:rsidRPr="006A35E7">
      <w:rPr>
        <w:bCs/>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C6CD0" w14:textId="77777777" w:rsidR="00F354CC" w:rsidRDefault="00F354C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4AD302" w14:textId="353C01DA" w:rsidR="005D2595" w:rsidRPr="00246690" w:rsidRDefault="005D2595" w:rsidP="0067054D">
    <w:pPr>
      <w:pStyle w:val="Header"/>
      <w:ind w:left="-450"/>
      <w:rPr>
        <w:bCs/>
      </w:rPr>
    </w:pPr>
    <w:r w:rsidRPr="00246690">
      <w:rPr>
        <w:bCs/>
      </w:rPr>
      <w:fldChar w:fldCharType="begin"/>
    </w:r>
    <w:r w:rsidRPr="00246690">
      <w:rPr>
        <w:bCs/>
      </w:rPr>
      <w:instrText xml:space="preserve"> STYLEREF  "Heading 1 numbered" \N  \* MERGEFORMAT </w:instrText>
    </w:r>
    <w:r w:rsidRPr="00246690">
      <w:rPr>
        <w:bCs/>
      </w:rPr>
      <w:fldChar w:fldCharType="separate"/>
    </w:r>
    <w:r w:rsidR="008F4C0F">
      <w:rPr>
        <w:bCs/>
        <w:noProof/>
      </w:rPr>
      <w:t>2</w:t>
    </w:r>
    <w:r w:rsidRPr="00246690">
      <w:rPr>
        <w:bCs/>
        <w:noProof/>
      </w:rPr>
      <w:fldChar w:fldCharType="end"/>
    </w:r>
    <w:r w:rsidRPr="00246690">
      <w:rPr>
        <w:bCs/>
        <w:noProof/>
      </w:rPr>
      <w:t xml:space="preserve">. </w:t>
    </w:r>
    <w:r w:rsidRPr="00246690">
      <w:rPr>
        <w:bCs/>
      </w:rPr>
      <w:fldChar w:fldCharType="begin"/>
    </w:r>
    <w:r w:rsidRPr="00246690">
      <w:rPr>
        <w:bCs/>
      </w:rPr>
      <w:instrText xml:space="preserve"> STYLEREF  "Heading 1 numbered"  \* MERGEFORMAT </w:instrText>
    </w:r>
    <w:r w:rsidRPr="00246690">
      <w:rPr>
        <w:bCs/>
      </w:rPr>
      <w:fldChar w:fldCharType="separate"/>
    </w:r>
    <w:r w:rsidR="008F4C0F">
      <w:rPr>
        <w:bCs/>
        <w:noProof/>
      </w:rPr>
      <w:t>Funding delivery of services</w:t>
    </w:r>
    <w:r w:rsidRPr="00246690">
      <w:rPr>
        <w:bCs/>
        <w:noProof/>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3F08A" w14:textId="7F710A1F" w:rsidR="0082285A" w:rsidRPr="0067054D" w:rsidRDefault="00400DB2" w:rsidP="00754FD1">
    <w:pPr>
      <w:pStyle w:val="Header"/>
      <w:ind w:left="-450" w:right="-475"/>
      <w:jc w:val="right"/>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2</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Funding delivery of services</w:t>
    </w:r>
    <w:r w:rsidRPr="0067054D">
      <w:rPr>
        <w:b/>
        <w:noProof/>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5CC00" w14:textId="77777777" w:rsidR="005D2595" w:rsidRPr="00824215" w:rsidRDefault="005D2595" w:rsidP="00824215">
    <w:pPr>
      <w:pStyle w:val="Header"/>
      <w:ind w:left="-45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949B" w14:textId="77777777" w:rsidR="005D2595" w:rsidRPr="00ED0258" w:rsidRDefault="005D2595" w:rsidP="00ED0258">
    <w:pPr>
      <w:pStyle w:val="Header"/>
      <w:ind w:left="-450" w:right="-475"/>
      <w:jc w:val="right"/>
      <w:rPr>
        <w:b/>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A3163" w14:textId="31FAC06C" w:rsidR="005D2595" w:rsidRPr="0067054D" w:rsidRDefault="005D2595" w:rsidP="00F96836">
    <w:pPr>
      <w:pStyle w:val="Header"/>
      <w:ind w:left="-450"/>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3</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Cost of delivering services</w:t>
    </w:r>
    <w:r w:rsidRPr="0067054D">
      <w:rPr>
        <w:b/>
        <w:noProof/>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29429" w14:textId="198201F8" w:rsidR="005D2595" w:rsidRPr="0067054D" w:rsidRDefault="005D2595" w:rsidP="00824215">
    <w:pPr>
      <w:pStyle w:val="Header"/>
      <w:ind w:left="-450"/>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3</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Cost of delivering services</w:t>
    </w:r>
    <w:r w:rsidRPr="0067054D">
      <w:rPr>
        <w:b/>
        <w:noProof/>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B1AA2" w14:textId="17E608C9" w:rsidR="005D2595" w:rsidRPr="0067054D" w:rsidRDefault="005D2595" w:rsidP="00824215">
    <w:pPr>
      <w:pStyle w:val="Header"/>
      <w:ind w:right="-475"/>
      <w:jc w:val="right"/>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3</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Cost of delivering services</w:t>
    </w:r>
    <w:r w:rsidRPr="0067054D">
      <w:rPr>
        <w:b/>
        <w:noProof/>
        <w:szCs w:val="18"/>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5F2EE" w14:textId="6760D7E5" w:rsidR="005D2595" w:rsidRPr="0067054D" w:rsidRDefault="005D2595" w:rsidP="0067054D">
    <w:pPr>
      <w:pStyle w:val="Header"/>
      <w:ind w:left="-450"/>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3</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Cost of delivering services</w:t>
    </w:r>
    <w:r w:rsidRPr="0067054D">
      <w:rPr>
        <w:b/>
        <w:noProof/>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E4220" w14:textId="3A376B97" w:rsidR="005D2595" w:rsidRPr="00352E13" w:rsidRDefault="00CF0990" w:rsidP="00824215">
    <w:pPr>
      <w:pStyle w:val="Header"/>
      <w:ind w:left="-450" w:right="-475"/>
      <w:jc w:val="right"/>
      <w:rPr>
        <w:bCs/>
      </w:rPr>
    </w:pPr>
    <w:r w:rsidRPr="00CF0990">
      <w:rPr>
        <w:bCs/>
      </w:rPr>
      <w:t>3. Cost of delivering services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6E32D" w14:textId="02A44E1C" w:rsidR="005D2595" w:rsidRPr="00CC70AA" w:rsidRDefault="00CF0990" w:rsidP="00FC3AF2">
    <w:pPr>
      <w:pStyle w:val="Header"/>
      <w:ind w:left="-450"/>
      <w:rPr>
        <w:bCs/>
      </w:rPr>
    </w:pPr>
    <w:r w:rsidRPr="00CF0990">
      <w:rPr>
        <w:bCs/>
      </w:rPr>
      <w:t>3. Cost of delivering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46E04" w14:textId="77777777" w:rsidR="00F354CC" w:rsidRDefault="00F354CC">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703A0" w14:textId="599DAC46" w:rsidR="005D2595" w:rsidRPr="006721B4" w:rsidRDefault="00CF0990" w:rsidP="00824215">
    <w:pPr>
      <w:pStyle w:val="Header"/>
      <w:ind w:left="-450" w:right="-475"/>
      <w:jc w:val="right"/>
      <w:rPr>
        <w:bCs/>
      </w:rPr>
    </w:pPr>
    <w:r w:rsidRPr="00CF0990">
      <w:rPr>
        <w:bCs/>
      </w:rPr>
      <w:t>3. Cost of delivering services</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E4146" w14:textId="0079A457" w:rsidR="0082285A" w:rsidRPr="00CC70AA" w:rsidRDefault="00636BAB" w:rsidP="0067054D">
    <w:pPr>
      <w:pStyle w:val="Header"/>
      <w:ind w:left="-450"/>
      <w:rPr>
        <w:bCs/>
      </w:rPr>
    </w:pPr>
    <w:r w:rsidRPr="00CC70AA">
      <w:rPr>
        <w:bCs/>
      </w:rPr>
      <w:fldChar w:fldCharType="begin"/>
    </w:r>
    <w:r w:rsidRPr="00CC70AA">
      <w:rPr>
        <w:bCs/>
      </w:rPr>
      <w:instrText xml:space="preserve"> STYLEREF  "Heading 1 numbered" \N  \* MERGEFORMAT </w:instrText>
    </w:r>
    <w:r w:rsidRPr="00CC70AA">
      <w:rPr>
        <w:bCs/>
      </w:rPr>
      <w:fldChar w:fldCharType="separate"/>
    </w:r>
    <w:r w:rsidR="008F4C0F">
      <w:rPr>
        <w:bCs/>
        <w:noProof/>
      </w:rPr>
      <w:t>3</w:t>
    </w:r>
    <w:r w:rsidRPr="00CC70AA">
      <w:rPr>
        <w:bCs/>
        <w:noProof/>
      </w:rPr>
      <w:fldChar w:fldCharType="end"/>
    </w:r>
    <w:r w:rsidRPr="00CC70AA">
      <w:rPr>
        <w:bCs/>
        <w:noProof/>
      </w:rPr>
      <w:t xml:space="preserve">. </w:t>
    </w:r>
    <w:r w:rsidRPr="00CC70AA">
      <w:rPr>
        <w:bCs/>
      </w:rPr>
      <w:fldChar w:fldCharType="begin"/>
    </w:r>
    <w:r w:rsidRPr="00CC70AA">
      <w:rPr>
        <w:bCs/>
      </w:rPr>
      <w:instrText xml:space="preserve"> STYLEREF  "Heading 1 numbered"  \* MERGEFORMAT </w:instrText>
    </w:r>
    <w:r w:rsidRPr="00CC70AA">
      <w:rPr>
        <w:bCs/>
      </w:rPr>
      <w:fldChar w:fldCharType="separate"/>
    </w:r>
    <w:r w:rsidR="008F4C0F">
      <w:rPr>
        <w:bCs/>
        <w:noProof/>
      </w:rPr>
      <w:t>Cost of delivering services</w:t>
    </w:r>
    <w:r w:rsidRPr="00CC70AA">
      <w:rPr>
        <w:bCs/>
        <w:noProof/>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5EFDD" w14:textId="7BF90A20" w:rsidR="0082285A" w:rsidRPr="0067054D" w:rsidRDefault="00636BAB" w:rsidP="00754FD1">
    <w:pPr>
      <w:pStyle w:val="Header"/>
      <w:ind w:left="-450" w:right="-475"/>
      <w:jc w:val="right"/>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3</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Cost of delivering services</w:t>
    </w:r>
    <w:r w:rsidRPr="0067054D">
      <w:rPr>
        <w:b/>
        <w:noProof/>
      </w:rPr>
      <w:fldChar w:fldCharType="end"/>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80C2C" w14:textId="77777777" w:rsidR="005D2595" w:rsidRPr="0067054D" w:rsidRDefault="005D2595" w:rsidP="0067054D">
    <w:pPr>
      <w:pStyle w:val="Header"/>
      <w:ind w:left="-450"/>
      <w:rPr>
        <w:b/>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1F7B2" w14:textId="77777777" w:rsidR="005D2595" w:rsidRPr="0067054D" w:rsidRDefault="005D2595" w:rsidP="0067054D">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843DD8" w14:textId="5D960F99" w:rsidR="005D2595" w:rsidRPr="0067054D" w:rsidRDefault="005D2595" w:rsidP="0067054D">
    <w:pPr>
      <w:pStyle w:val="Header"/>
      <w:ind w:left="-450"/>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4</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Disaggregated financial information by output</w:t>
    </w:r>
    <w:r w:rsidRPr="0067054D">
      <w:rPr>
        <w:b/>
        <w:noProof/>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4140B" w14:textId="1386B2A1" w:rsidR="005D2595" w:rsidRPr="00352E13" w:rsidRDefault="00C2121B" w:rsidP="0067054D">
    <w:pPr>
      <w:pStyle w:val="Header"/>
      <w:ind w:right="-475"/>
      <w:jc w:val="right"/>
      <w:rPr>
        <w:bCs/>
        <w:szCs w:val="18"/>
      </w:rPr>
    </w:pPr>
    <w:r w:rsidRPr="00C2121B">
      <w:rPr>
        <w:bCs/>
        <w:szCs w:val="18"/>
      </w:rPr>
      <w:t>4. Disaggregated financial information by output</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CD551" w14:textId="1A6951AA" w:rsidR="005D2595" w:rsidRPr="00664567" w:rsidRDefault="00C2121B" w:rsidP="0067054D">
    <w:pPr>
      <w:pStyle w:val="Header"/>
      <w:ind w:left="-450"/>
      <w:rPr>
        <w:bCs/>
      </w:rPr>
    </w:pPr>
    <w:r w:rsidRPr="00C2121B">
      <w:rPr>
        <w:bCs/>
      </w:rPr>
      <w:t>4. Disaggregated financial information by output</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E31D8" w14:textId="5A1FDED1" w:rsidR="005D2595" w:rsidRPr="00664567" w:rsidRDefault="00C2121B" w:rsidP="0067054D">
    <w:pPr>
      <w:pStyle w:val="Header"/>
      <w:ind w:right="-475"/>
      <w:jc w:val="right"/>
      <w:rPr>
        <w:bCs/>
        <w:szCs w:val="18"/>
      </w:rPr>
    </w:pPr>
    <w:r w:rsidRPr="00C2121B">
      <w:rPr>
        <w:bCs/>
        <w:szCs w:val="18"/>
      </w:rPr>
      <w:t>4. Disaggregated financial information by output</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EB8A7" w14:textId="24E2A577" w:rsidR="005D2595" w:rsidRPr="0058361C" w:rsidRDefault="00C2121B" w:rsidP="0067054D">
    <w:pPr>
      <w:pStyle w:val="Header"/>
      <w:ind w:left="-450"/>
      <w:rPr>
        <w:bCs/>
      </w:rPr>
    </w:pPr>
    <w:r w:rsidRPr="00C2121B">
      <w:rPr>
        <w:bCs/>
      </w:rPr>
      <w:t>4. Disaggregated financial information by output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59165" w14:textId="0273E14D" w:rsidR="00F354CC" w:rsidRDefault="00F354CC">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925172" w14:textId="11666C92" w:rsidR="005D2595" w:rsidRPr="00647585" w:rsidRDefault="00C2121B" w:rsidP="0067054D">
    <w:pPr>
      <w:pStyle w:val="Header"/>
      <w:ind w:right="-475"/>
      <w:jc w:val="right"/>
      <w:rPr>
        <w:bCs/>
        <w:szCs w:val="18"/>
      </w:rPr>
    </w:pPr>
    <w:r w:rsidRPr="00C2121B">
      <w:rPr>
        <w:bCs/>
        <w:szCs w:val="18"/>
      </w:rPr>
      <w:t>4. Disaggregated financial information by output</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359F1" w14:textId="6F89CF2C" w:rsidR="005D2595" w:rsidRPr="007D2394" w:rsidRDefault="005D2595" w:rsidP="00716FAE">
    <w:pPr>
      <w:pStyle w:val="Header"/>
      <w:ind w:left="-450" w:right="-475"/>
      <w:jc w:val="right"/>
      <w:rPr>
        <w:bCs/>
      </w:rPr>
    </w:pPr>
    <w:r w:rsidRPr="007D2394">
      <w:rPr>
        <w:bCs/>
      </w:rPr>
      <w:fldChar w:fldCharType="begin"/>
    </w:r>
    <w:r w:rsidRPr="007D2394">
      <w:rPr>
        <w:bCs/>
      </w:rPr>
      <w:instrText xml:space="preserve"> STYLEREF  "Heading 1 numbered" \N  \* MERGEFORMAT </w:instrText>
    </w:r>
    <w:r w:rsidRPr="007D2394">
      <w:rPr>
        <w:bCs/>
      </w:rPr>
      <w:fldChar w:fldCharType="separate"/>
    </w:r>
    <w:r w:rsidR="008F4C0F">
      <w:rPr>
        <w:bCs/>
        <w:noProof/>
      </w:rPr>
      <w:t>4</w:t>
    </w:r>
    <w:r w:rsidRPr="007D2394">
      <w:rPr>
        <w:bCs/>
        <w:noProof/>
      </w:rPr>
      <w:fldChar w:fldCharType="end"/>
    </w:r>
    <w:r w:rsidRPr="007D2394">
      <w:rPr>
        <w:bCs/>
        <w:noProof/>
      </w:rPr>
      <w:t xml:space="preserve">. </w:t>
    </w:r>
    <w:r w:rsidRPr="007D2394">
      <w:rPr>
        <w:bCs/>
      </w:rPr>
      <w:fldChar w:fldCharType="begin"/>
    </w:r>
    <w:r w:rsidRPr="007D2394">
      <w:rPr>
        <w:bCs/>
      </w:rPr>
      <w:instrText xml:space="preserve"> STYLEREF  "Heading 1 numbered"  \* MERGEFORMAT </w:instrText>
    </w:r>
    <w:r w:rsidRPr="007D2394">
      <w:rPr>
        <w:bCs/>
      </w:rPr>
      <w:fldChar w:fldCharType="separate"/>
    </w:r>
    <w:r w:rsidR="008F4C0F" w:rsidRPr="008F4C0F">
      <w:rPr>
        <w:bCs/>
        <w:noProof/>
        <w:sz w:val="17"/>
      </w:rPr>
      <w:t>Disaggregated financial information by output</w:t>
    </w:r>
    <w:r w:rsidRPr="007D2394">
      <w:rPr>
        <w:bCs/>
        <w:noProof/>
      </w:rPr>
      <w:fldChar w:fldCharType="end"/>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8AF8D" w14:textId="77777777" w:rsidR="005D2595" w:rsidRPr="00AC3C2D" w:rsidRDefault="005D2595" w:rsidP="00AC3C2D">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AC7534" w14:textId="159BB933" w:rsidR="005D2595" w:rsidRPr="00AE5C76" w:rsidRDefault="005D2595" w:rsidP="00716FAE">
    <w:pPr>
      <w:pStyle w:val="Header"/>
      <w:ind w:left="-450" w:right="-475"/>
      <w:jc w:val="right"/>
      <w:rPr>
        <w:bCs/>
      </w:rPr>
    </w:pPr>
    <w:r w:rsidRPr="00AE5C76">
      <w:rPr>
        <w:bCs/>
      </w:rPr>
      <w:fldChar w:fldCharType="begin"/>
    </w:r>
    <w:r w:rsidRPr="00AE5C76">
      <w:rPr>
        <w:bCs/>
      </w:rPr>
      <w:instrText xml:space="preserve"> STYLEREF  "Heading 1 numbered" \N  \* MERGEFORMAT </w:instrText>
    </w:r>
    <w:r w:rsidRPr="00AE5C76">
      <w:rPr>
        <w:bCs/>
      </w:rPr>
      <w:fldChar w:fldCharType="separate"/>
    </w:r>
    <w:r w:rsidR="008F4C0F">
      <w:rPr>
        <w:bCs/>
        <w:noProof/>
      </w:rPr>
      <w:t>4</w:t>
    </w:r>
    <w:r w:rsidRPr="00AE5C76">
      <w:rPr>
        <w:bCs/>
        <w:noProof/>
      </w:rPr>
      <w:fldChar w:fldCharType="end"/>
    </w:r>
    <w:r w:rsidRPr="00AE5C76">
      <w:rPr>
        <w:bCs/>
        <w:noProof/>
      </w:rPr>
      <w:t xml:space="preserve">. </w:t>
    </w:r>
    <w:r w:rsidRPr="00AE5C76">
      <w:rPr>
        <w:bCs/>
      </w:rPr>
      <w:fldChar w:fldCharType="begin"/>
    </w:r>
    <w:r w:rsidRPr="00AE5C76">
      <w:rPr>
        <w:bCs/>
      </w:rPr>
      <w:instrText xml:space="preserve"> STYLEREF  "Heading 1 numbered"  \* MERGEFORMAT </w:instrText>
    </w:r>
    <w:r w:rsidRPr="00AE5C76">
      <w:rPr>
        <w:bCs/>
      </w:rPr>
      <w:fldChar w:fldCharType="separate"/>
    </w:r>
    <w:r w:rsidR="008F4C0F">
      <w:rPr>
        <w:bCs/>
        <w:noProof/>
      </w:rPr>
      <w:t>Disaggregated financial information by output</w:t>
    </w:r>
    <w:r w:rsidRPr="00AE5C76">
      <w:rPr>
        <w:bCs/>
        <w:noProof/>
      </w:rPr>
      <w:fldChar w:fldCharType="end"/>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367D5" w14:textId="55B6356A" w:rsidR="005D2595" w:rsidRPr="0067054D" w:rsidRDefault="005D2595" w:rsidP="00780AE7">
    <w:pPr>
      <w:pStyle w:val="Header"/>
      <w:ind w:right="-475"/>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5</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Key assets available to support output delivery</w:t>
    </w:r>
    <w:r w:rsidRPr="0067054D">
      <w:rPr>
        <w:b/>
        <w:noProof/>
        <w:szCs w:val="18"/>
      </w:rPr>
      <w:fldChar w:fldCharType="end"/>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40DA6" w14:textId="11687CD9" w:rsidR="005D2595" w:rsidRPr="0067054D" w:rsidRDefault="005D2595" w:rsidP="00AC3C2D">
    <w:pPr>
      <w:pStyle w:val="Header"/>
      <w:ind w:left="-450"/>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5</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Key assets available to support output delivery</w:t>
    </w:r>
    <w:r w:rsidRPr="0067054D">
      <w:rPr>
        <w:b/>
        <w:noProof/>
      </w:rPr>
      <w:fldChar w:fldCharType="end"/>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A70BB" w14:textId="7C09470A" w:rsidR="005D2595" w:rsidRPr="0067054D" w:rsidRDefault="005D2595" w:rsidP="00780AE7">
    <w:pPr>
      <w:pStyle w:val="Header"/>
      <w:ind w:right="-475"/>
      <w:jc w:val="right"/>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5</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Key assets available to support output delivery</w:t>
    </w:r>
    <w:r w:rsidRPr="0067054D">
      <w:rPr>
        <w:b/>
        <w:noProof/>
        <w:szCs w:val="18"/>
      </w:rPr>
      <w:fldChar w:fldCharType="end"/>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A2D3D" w14:textId="2D0F9B4D" w:rsidR="005D2595" w:rsidRPr="00D458A7" w:rsidRDefault="005D2595" w:rsidP="00AC3C2D">
    <w:pPr>
      <w:pStyle w:val="Header"/>
      <w:ind w:left="-450"/>
      <w:rPr>
        <w:bCs/>
      </w:rPr>
    </w:pPr>
    <w:r w:rsidRPr="00D458A7">
      <w:rPr>
        <w:bCs/>
      </w:rPr>
      <w:fldChar w:fldCharType="begin"/>
    </w:r>
    <w:r w:rsidRPr="00D458A7">
      <w:rPr>
        <w:bCs/>
      </w:rPr>
      <w:instrText xml:space="preserve"> STYLEREF  "Heading 1 numbered" \N  \* MERGEFORMAT </w:instrText>
    </w:r>
    <w:r w:rsidRPr="00D458A7">
      <w:rPr>
        <w:bCs/>
      </w:rPr>
      <w:fldChar w:fldCharType="separate"/>
    </w:r>
    <w:r w:rsidR="0006307D">
      <w:rPr>
        <w:bCs/>
        <w:noProof/>
      </w:rPr>
      <w:t>5</w:t>
    </w:r>
    <w:r w:rsidRPr="00D458A7">
      <w:rPr>
        <w:bCs/>
        <w:noProof/>
      </w:rPr>
      <w:fldChar w:fldCharType="end"/>
    </w:r>
    <w:r w:rsidRPr="00D458A7">
      <w:rPr>
        <w:bCs/>
        <w:noProof/>
      </w:rPr>
      <w:t xml:space="preserve">. </w:t>
    </w:r>
    <w:r w:rsidRPr="00D458A7">
      <w:rPr>
        <w:bCs/>
      </w:rPr>
      <w:fldChar w:fldCharType="begin"/>
    </w:r>
    <w:r w:rsidRPr="00D458A7">
      <w:rPr>
        <w:bCs/>
      </w:rPr>
      <w:instrText xml:space="preserve"> STYLEREF  "Heading 1 numbered"  \* MERGEFORMAT </w:instrText>
    </w:r>
    <w:r w:rsidRPr="00D458A7">
      <w:rPr>
        <w:bCs/>
      </w:rPr>
      <w:fldChar w:fldCharType="separate"/>
    </w:r>
    <w:r w:rsidR="0006307D">
      <w:rPr>
        <w:bCs/>
        <w:noProof/>
      </w:rPr>
      <w:t>Key assets available to support output delivery</w:t>
    </w:r>
    <w:r w:rsidRPr="00D458A7">
      <w:rPr>
        <w:bCs/>
        <w:noProof/>
      </w:rPr>
      <w:fldChar w:fldCharType="end"/>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3DFD1" w14:textId="529A076B" w:rsidR="005D2595" w:rsidRPr="0074784C" w:rsidRDefault="005D2595" w:rsidP="00780AE7">
    <w:pPr>
      <w:pStyle w:val="Header"/>
      <w:ind w:right="-475"/>
      <w:jc w:val="right"/>
      <w:rPr>
        <w:bCs/>
        <w:szCs w:val="18"/>
      </w:rPr>
    </w:pPr>
    <w:r w:rsidRPr="0074784C">
      <w:rPr>
        <w:bCs/>
        <w:szCs w:val="18"/>
      </w:rPr>
      <w:fldChar w:fldCharType="begin"/>
    </w:r>
    <w:r w:rsidRPr="0074784C">
      <w:rPr>
        <w:bCs/>
        <w:szCs w:val="18"/>
      </w:rPr>
      <w:instrText xml:space="preserve"> STYLEREF  "Heading 1 numbered" \N  \* MERGEFORMAT </w:instrText>
    </w:r>
    <w:r w:rsidRPr="0074784C">
      <w:rPr>
        <w:bCs/>
        <w:szCs w:val="18"/>
      </w:rPr>
      <w:fldChar w:fldCharType="separate"/>
    </w:r>
    <w:r w:rsidR="008F4C0F">
      <w:rPr>
        <w:bCs/>
        <w:noProof/>
        <w:szCs w:val="18"/>
      </w:rPr>
      <w:t>5</w:t>
    </w:r>
    <w:r w:rsidRPr="0074784C">
      <w:rPr>
        <w:bCs/>
        <w:noProof/>
        <w:szCs w:val="18"/>
      </w:rPr>
      <w:fldChar w:fldCharType="end"/>
    </w:r>
    <w:r w:rsidRPr="0074784C">
      <w:rPr>
        <w:bCs/>
        <w:noProof/>
        <w:szCs w:val="18"/>
      </w:rPr>
      <w:t xml:space="preserve">. </w:t>
    </w:r>
    <w:r w:rsidRPr="0074784C">
      <w:rPr>
        <w:bCs/>
        <w:szCs w:val="18"/>
      </w:rPr>
      <w:fldChar w:fldCharType="begin"/>
    </w:r>
    <w:r w:rsidRPr="0074784C">
      <w:rPr>
        <w:bCs/>
        <w:szCs w:val="18"/>
      </w:rPr>
      <w:instrText xml:space="preserve"> STYLEREF  "Heading 1 numbered"  \* MERGEFORMAT </w:instrText>
    </w:r>
    <w:r w:rsidRPr="0074784C">
      <w:rPr>
        <w:bCs/>
        <w:szCs w:val="18"/>
      </w:rPr>
      <w:fldChar w:fldCharType="separate"/>
    </w:r>
    <w:r w:rsidR="008F4C0F" w:rsidRPr="008F4C0F">
      <w:rPr>
        <w:bCs/>
        <w:noProof/>
        <w:sz w:val="17"/>
        <w:szCs w:val="18"/>
      </w:rPr>
      <w:t>Key assets available to support output delivery</w:t>
    </w:r>
    <w:r w:rsidRPr="0074784C">
      <w:rPr>
        <w:bCs/>
        <w:noProof/>
        <w:szCs w:val="18"/>
      </w:rPr>
      <w:fldChar w:fldCharType="end"/>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AACC5" w14:textId="67E9FCB9" w:rsidR="005D2595" w:rsidRPr="00AE5C76" w:rsidRDefault="005D2595" w:rsidP="00716FAE">
    <w:pPr>
      <w:pStyle w:val="Header"/>
      <w:ind w:left="-450" w:right="-475"/>
      <w:jc w:val="right"/>
      <w:rPr>
        <w:bCs/>
      </w:rPr>
    </w:pPr>
    <w:r w:rsidRPr="00AE5C76">
      <w:rPr>
        <w:bCs/>
      </w:rPr>
      <w:fldChar w:fldCharType="begin"/>
    </w:r>
    <w:r w:rsidRPr="00AE5C76">
      <w:rPr>
        <w:bCs/>
      </w:rPr>
      <w:instrText xml:space="preserve"> STYLEREF  "Heading 1 numbered" \N  \* MERGEFORMAT </w:instrText>
    </w:r>
    <w:r w:rsidRPr="00AE5C76">
      <w:rPr>
        <w:bCs/>
      </w:rPr>
      <w:fldChar w:fldCharType="separate"/>
    </w:r>
    <w:r w:rsidR="008F4C0F">
      <w:rPr>
        <w:bCs/>
        <w:noProof/>
      </w:rPr>
      <w:t>5</w:t>
    </w:r>
    <w:r w:rsidRPr="00AE5C76">
      <w:rPr>
        <w:bCs/>
        <w:noProof/>
      </w:rPr>
      <w:fldChar w:fldCharType="end"/>
    </w:r>
    <w:r w:rsidRPr="00AE5C76">
      <w:rPr>
        <w:bCs/>
        <w:noProof/>
      </w:rPr>
      <w:t xml:space="preserve">. </w:t>
    </w:r>
    <w:r w:rsidRPr="00AE5C76">
      <w:rPr>
        <w:bCs/>
      </w:rPr>
      <w:fldChar w:fldCharType="begin"/>
    </w:r>
    <w:r w:rsidRPr="00AE5C76">
      <w:rPr>
        <w:bCs/>
      </w:rPr>
      <w:instrText xml:space="preserve"> STYLEREF  "Heading 1 numbered"  \* MERGEFORMAT </w:instrText>
    </w:r>
    <w:r w:rsidRPr="00AE5C76">
      <w:rPr>
        <w:bCs/>
      </w:rPr>
      <w:fldChar w:fldCharType="separate"/>
    </w:r>
    <w:r w:rsidR="008F4C0F">
      <w:rPr>
        <w:bCs/>
        <w:noProof/>
      </w:rPr>
      <w:t>Key assets available to support output delivery</w:t>
    </w:r>
    <w:r w:rsidRPr="00AE5C76">
      <w:rPr>
        <w:bCs/>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263D8" w14:textId="77777777" w:rsidR="005E6D06" w:rsidRDefault="005E6D06">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17A05" w14:textId="77777777" w:rsidR="005D2595" w:rsidRPr="000E2676" w:rsidRDefault="005D2595" w:rsidP="00FC3AF2">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29CDF" w14:textId="03D73892" w:rsidR="005D2595" w:rsidRPr="0067054D" w:rsidRDefault="005D2595" w:rsidP="00AC3C2D">
    <w:pPr>
      <w:pStyle w:val="Header"/>
      <w:ind w:left="-450"/>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6</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Other assets and liabilities</w:t>
    </w:r>
    <w:r w:rsidRPr="0067054D">
      <w:rPr>
        <w:b/>
        <w:noProof/>
      </w:rPr>
      <w:fldChar w:fldCharType="end"/>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79504" w14:textId="41F00254" w:rsidR="005D2595" w:rsidRPr="0067054D" w:rsidRDefault="005D2595" w:rsidP="00780AE7">
    <w:pPr>
      <w:pStyle w:val="Header"/>
      <w:ind w:right="-475"/>
      <w:jc w:val="right"/>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6</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Other assets and liabilities</w:t>
    </w:r>
    <w:r w:rsidRPr="0067054D">
      <w:rPr>
        <w:b/>
        <w:noProof/>
        <w:szCs w:val="18"/>
      </w:rPr>
      <w:fldChar w:fldCharType="end"/>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D62F5" w14:textId="19BA51AA" w:rsidR="005D2595" w:rsidRPr="00D458A7" w:rsidRDefault="005D2595" w:rsidP="00AC3C2D">
    <w:pPr>
      <w:pStyle w:val="Header"/>
      <w:ind w:left="-450"/>
      <w:rPr>
        <w:bCs/>
      </w:rPr>
    </w:pPr>
    <w:r w:rsidRPr="00D458A7">
      <w:rPr>
        <w:bCs/>
      </w:rPr>
      <w:fldChar w:fldCharType="begin"/>
    </w:r>
    <w:r w:rsidRPr="00D458A7">
      <w:rPr>
        <w:bCs/>
      </w:rPr>
      <w:instrText xml:space="preserve"> STYLEREF  "Heading 1 numbered" \N  \* MERGEFORMAT </w:instrText>
    </w:r>
    <w:r w:rsidRPr="00D458A7">
      <w:rPr>
        <w:bCs/>
      </w:rPr>
      <w:fldChar w:fldCharType="separate"/>
    </w:r>
    <w:r w:rsidR="0006307D">
      <w:rPr>
        <w:bCs/>
        <w:noProof/>
      </w:rPr>
      <w:t>6</w:t>
    </w:r>
    <w:r w:rsidRPr="00D458A7">
      <w:rPr>
        <w:bCs/>
        <w:noProof/>
      </w:rPr>
      <w:fldChar w:fldCharType="end"/>
    </w:r>
    <w:r w:rsidRPr="00D458A7">
      <w:rPr>
        <w:bCs/>
        <w:noProof/>
      </w:rPr>
      <w:t xml:space="preserve">. </w:t>
    </w:r>
    <w:r w:rsidRPr="00D458A7">
      <w:rPr>
        <w:bCs/>
      </w:rPr>
      <w:fldChar w:fldCharType="begin"/>
    </w:r>
    <w:r w:rsidRPr="00D458A7">
      <w:rPr>
        <w:bCs/>
      </w:rPr>
      <w:instrText xml:space="preserve"> STYLEREF  "Heading 1 numbered"  \* MERGEFORMAT </w:instrText>
    </w:r>
    <w:r w:rsidRPr="00D458A7">
      <w:rPr>
        <w:bCs/>
      </w:rPr>
      <w:fldChar w:fldCharType="separate"/>
    </w:r>
    <w:r w:rsidR="0006307D" w:rsidRPr="0006307D">
      <w:rPr>
        <w:bCs/>
        <w:noProof/>
        <w:sz w:val="17"/>
      </w:rPr>
      <w:t>Other assets</w:t>
    </w:r>
    <w:r w:rsidR="0006307D">
      <w:rPr>
        <w:bCs/>
        <w:noProof/>
      </w:rPr>
      <w:t xml:space="preserve"> and liabilities</w:t>
    </w:r>
    <w:r w:rsidRPr="00D458A7">
      <w:rPr>
        <w:bCs/>
        <w:noProof/>
      </w:rPr>
      <w:fldChar w:fldCharType="end"/>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0DFED" w14:textId="55CDF352" w:rsidR="005D2595" w:rsidRPr="00D458A7" w:rsidRDefault="005D2595" w:rsidP="00780AE7">
    <w:pPr>
      <w:pStyle w:val="Header"/>
      <w:ind w:right="-475"/>
      <w:jc w:val="right"/>
      <w:rPr>
        <w:bCs/>
        <w:szCs w:val="18"/>
      </w:rPr>
    </w:pPr>
    <w:r w:rsidRPr="00D458A7">
      <w:rPr>
        <w:bCs/>
        <w:szCs w:val="18"/>
      </w:rPr>
      <w:fldChar w:fldCharType="begin"/>
    </w:r>
    <w:r w:rsidRPr="00D458A7">
      <w:rPr>
        <w:bCs/>
        <w:szCs w:val="18"/>
      </w:rPr>
      <w:instrText xml:space="preserve"> STYLEREF  "Heading 1 numbered" \N  \* MERGEFORMAT </w:instrText>
    </w:r>
    <w:r w:rsidRPr="00D458A7">
      <w:rPr>
        <w:bCs/>
        <w:szCs w:val="18"/>
      </w:rPr>
      <w:fldChar w:fldCharType="separate"/>
    </w:r>
    <w:r w:rsidR="008F4C0F">
      <w:rPr>
        <w:bCs/>
        <w:noProof/>
        <w:szCs w:val="18"/>
      </w:rPr>
      <w:t>6</w:t>
    </w:r>
    <w:r w:rsidRPr="00D458A7">
      <w:rPr>
        <w:bCs/>
        <w:noProof/>
        <w:szCs w:val="18"/>
      </w:rPr>
      <w:fldChar w:fldCharType="end"/>
    </w:r>
    <w:r w:rsidRPr="00D458A7">
      <w:rPr>
        <w:bCs/>
        <w:noProof/>
        <w:szCs w:val="18"/>
      </w:rPr>
      <w:t xml:space="preserve">. </w:t>
    </w:r>
    <w:r w:rsidRPr="00D458A7">
      <w:rPr>
        <w:bCs/>
        <w:szCs w:val="18"/>
      </w:rPr>
      <w:fldChar w:fldCharType="begin"/>
    </w:r>
    <w:r w:rsidRPr="00D458A7">
      <w:rPr>
        <w:bCs/>
        <w:szCs w:val="18"/>
      </w:rPr>
      <w:instrText xml:space="preserve"> STYLEREF  "Heading 1 numbered"  \* MERGEFORMAT </w:instrText>
    </w:r>
    <w:r w:rsidRPr="00D458A7">
      <w:rPr>
        <w:bCs/>
        <w:szCs w:val="18"/>
      </w:rPr>
      <w:fldChar w:fldCharType="separate"/>
    </w:r>
    <w:r w:rsidR="008F4C0F">
      <w:rPr>
        <w:bCs/>
        <w:noProof/>
        <w:szCs w:val="18"/>
      </w:rPr>
      <w:t>Other assets and liabilities</w:t>
    </w:r>
    <w:r w:rsidRPr="00D458A7">
      <w:rPr>
        <w:bCs/>
        <w:noProof/>
        <w:szCs w:val="18"/>
      </w:rPr>
      <w:fldChar w:fldCharType="end"/>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9EA0B" w14:textId="77777777" w:rsidR="005D2595" w:rsidRPr="000E2676" w:rsidRDefault="005D2595" w:rsidP="00FC3AF2">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3BA17" w14:textId="05F90CAD" w:rsidR="005D2595" w:rsidRPr="0067054D" w:rsidRDefault="005D2595" w:rsidP="00AC3C2D">
    <w:pPr>
      <w:pStyle w:val="Header"/>
      <w:ind w:left="-450"/>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7</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Financing operations</w:t>
    </w:r>
    <w:r w:rsidRPr="0067054D">
      <w:rPr>
        <w:b/>
        <w:noProof/>
      </w:rPr>
      <w:fldChar w:fldCharType="end"/>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13A6C" w14:textId="5E8FE4DA" w:rsidR="005D2595" w:rsidRPr="0067054D" w:rsidRDefault="005D2595" w:rsidP="00780AE7">
    <w:pPr>
      <w:pStyle w:val="Header"/>
      <w:ind w:right="-475"/>
      <w:jc w:val="right"/>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7</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Financing operations</w:t>
    </w:r>
    <w:r w:rsidRPr="0067054D">
      <w:rPr>
        <w:b/>
        <w:noProof/>
        <w:szCs w:val="18"/>
      </w:rPr>
      <w:fldChar w:fldCharType="end"/>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329BE" w14:textId="211948E8" w:rsidR="005D2595" w:rsidRPr="0067054D" w:rsidRDefault="005D2595" w:rsidP="00AC3C2D">
    <w:pPr>
      <w:pStyle w:val="Header"/>
      <w:ind w:left="-450"/>
      <w:rPr>
        <w:b/>
      </w:rPr>
    </w:pPr>
    <w:r w:rsidRPr="0067054D">
      <w:rPr>
        <w:b/>
      </w:rPr>
      <w:fldChar w:fldCharType="begin"/>
    </w:r>
    <w:r w:rsidRPr="0067054D">
      <w:rPr>
        <w:b/>
      </w:rPr>
      <w:instrText xml:space="preserve"> STYLEREF  "Heading 1 numbered" \N  \* MERGEFORMAT </w:instrText>
    </w:r>
    <w:r w:rsidRPr="0067054D">
      <w:rPr>
        <w:b/>
      </w:rPr>
      <w:fldChar w:fldCharType="separate"/>
    </w:r>
    <w:r w:rsidR="008F4C0F">
      <w:rPr>
        <w:b/>
        <w:noProof/>
      </w:rPr>
      <w:t>7</w:t>
    </w:r>
    <w:r w:rsidRPr="0067054D">
      <w:rPr>
        <w:b/>
        <w:noProof/>
      </w:rPr>
      <w:fldChar w:fldCharType="end"/>
    </w:r>
    <w:r w:rsidRPr="0067054D">
      <w:rPr>
        <w:b/>
        <w:noProof/>
      </w:rPr>
      <w:t>.</w:t>
    </w:r>
    <w:r>
      <w:rPr>
        <w:b/>
        <w:noProof/>
      </w:rPr>
      <w:t xml:space="preserve"> </w:t>
    </w:r>
    <w:r w:rsidRPr="0067054D">
      <w:rPr>
        <w:b/>
      </w:rPr>
      <w:fldChar w:fldCharType="begin"/>
    </w:r>
    <w:r w:rsidRPr="0067054D">
      <w:rPr>
        <w:b/>
      </w:rPr>
      <w:instrText xml:space="preserve"> STYLEREF  "Heading 1 numbered"  \* MERGEFORMAT </w:instrText>
    </w:r>
    <w:r w:rsidRPr="0067054D">
      <w:rPr>
        <w:b/>
      </w:rPr>
      <w:fldChar w:fldCharType="separate"/>
    </w:r>
    <w:r w:rsidR="008F4C0F">
      <w:rPr>
        <w:b/>
        <w:noProof/>
      </w:rPr>
      <w:t>Financing operations</w:t>
    </w:r>
    <w:r w:rsidRPr="0067054D">
      <w:rPr>
        <w:b/>
        <w:noProof/>
      </w:rPr>
      <w:fldChar w:fldCharType="end"/>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171A1" w14:textId="1F61A3FF" w:rsidR="005D2595" w:rsidRPr="0067054D" w:rsidRDefault="005D2595" w:rsidP="00780AE7">
    <w:pPr>
      <w:pStyle w:val="Header"/>
      <w:ind w:right="-475"/>
      <w:jc w:val="right"/>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7</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Financing operations</w:t>
    </w:r>
    <w:r w:rsidRPr="0067054D">
      <w:rPr>
        <w:b/>
        <w:noProof/>
        <w:szCs w:val="18"/>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4EF28" w14:textId="77777777" w:rsidR="005E6D06" w:rsidRDefault="005E6D06">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14E4A" w14:textId="19A29095" w:rsidR="005D2595" w:rsidRPr="0067054D" w:rsidRDefault="007E461B" w:rsidP="00871267">
    <w:pPr>
      <w:pStyle w:val="Header"/>
      <w:ind w:left="0"/>
      <w:rPr>
        <w:b/>
      </w:rPr>
    </w:pPr>
    <w:r>
      <w:rPr>
        <w:noProof/>
      </w:rPr>
      <mc:AlternateContent>
        <mc:Choice Requires="wps">
          <w:drawing>
            <wp:anchor distT="0" distB="0" distL="114300" distR="114300" simplePos="0" relativeHeight="251658273" behindDoc="0" locked="0" layoutInCell="0" allowOverlap="1" wp14:anchorId="4F337EF8" wp14:editId="4F53244A">
              <wp:simplePos x="0" y="0"/>
              <wp:positionH relativeFrom="rightMargin">
                <wp:posOffset>77470</wp:posOffset>
              </wp:positionH>
              <wp:positionV relativeFrom="margin">
                <wp:posOffset>-333680</wp:posOffset>
              </wp:positionV>
              <wp:extent cx="493395" cy="6327140"/>
              <wp:effectExtent l="0" t="0" r="0" b="0"/>
              <wp:wrapNone/>
              <wp:docPr id="1137123934" name="Rectangle 1137123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395" cy="632714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281F4" w14:textId="1FEFEDF7" w:rsidR="005D2595" w:rsidRPr="00C2028C" w:rsidRDefault="005D2595" w:rsidP="0062075E">
                          <w:pPr>
                            <w:pStyle w:val="Header"/>
                            <w:ind w:left="0" w:right="-448"/>
                            <w:rPr>
                              <w:bCs/>
                            </w:rPr>
                          </w:pPr>
                          <w:r w:rsidRPr="00C2028C">
                            <w:rPr>
                              <w:bCs/>
                            </w:rPr>
                            <w:fldChar w:fldCharType="begin"/>
                          </w:r>
                          <w:r w:rsidRPr="00C2028C">
                            <w:rPr>
                              <w:bCs/>
                            </w:rPr>
                            <w:instrText xml:space="preserve"> STYLEREF  "Heading 1 numbered" \N  \* MERGEFORMAT </w:instrText>
                          </w:r>
                          <w:r w:rsidRPr="00C2028C">
                            <w:rPr>
                              <w:bCs/>
                            </w:rPr>
                            <w:fldChar w:fldCharType="separate"/>
                          </w:r>
                          <w:r w:rsidR="0006307D">
                            <w:rPr>
                              <w:bCs/>
                              <w:noProof/>
                            </w:rPr>
                            <w:t>7</w:t>
                          </w:r>
                          <w:r w:rsidRPr="00C2028C">
                            <w:rPr>
                              <w:bCs/>
                              <w:noProof/>
                            </w:rPr>
                            <w:fldChar w:fldCharType="end"/>
                          </w:r>
                          <w:r w:rsidRPr="00C2028C">
                            <w:rPr>
                              <w:bCs/>
                              <w:noProof/>
                            </w:rPr>
                            <w:t xml:space="preserve">. </w:t>
                          </w:r>
                          <w:r w:rsidRPr="00C2028C">
                            <w:rPr>
                              <w:bCs/>
                            </w:rPr>
                            <w:fldChar w:fldCharType="begin"/>
                          </w:r>
                          <w:r w:rsidRPr="00C2028C">
                            <w:rPr>
                              <w:bCs/>
                            </w:rPr>
                            <w:instrText xml:space="preserve"> STYLEREF  "Heading 1 numbered"  \* MERGEFORMAT </w:instrText>
                          </w:r>
                          <w:r w:rsidRPr="00C2028C">
                            <w:rPr>
                              <w:bCs/>
                            </w:rPr>
                            <w:fldChar w:fldCharType="separate"/>
                          </w:r>
                          <w:r w:rsidR="0006307D">
                            <w:rPr>
                              <w:bCs/>
                              <w:noProof/>
                            </w:rPr>
                            <w:t>Financing operations</w:t>
                          </w:r>
                          <w:r w:rsidRPr="00C2028C">
                            <w:rPr>
                              <w:bCs/>
                              <w:noProof/>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F337EF8" id="Rectangle 1137123934" o:spid="_x0000_s1052" style="position:absolute;margin-left:6.1pt;margin-top:-26.25pt;width:38.85pt;height:498.2pt;z-index:25165827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" o:allowincell="f" filled="f" stroked="f">
              <v:textbox style="layout-flow:vertical;mso-fit-shape-to-text:t">
                <w:txbxContent>
                  <w:p w14:paraId="117281F4" w14:textId="1FEFEDF7" w:rsidR="005D2595" w:rsidRPr="00C2028C" w:rsidRDefault="005D2595" w:rsidP="0062075E">
                    <w:pPr>
                      <w:pStyle w:val="Header"/>
                      <w:ind w:left="0" w:right="-448"/>
                      <w:rPr>
                        <w:bCs/>
                      </w:rPr>
                    </w:pPr>
                    <w:r w:rsidRPr="00C2028C">
                      <w:rPr>
                        <w:bCs/>
                      </w:rPr>
                      <w:fldChar w:fldCharType="begin"/>
                    </w:r>
                    <w:r w:rsidRPr="00C2028C">
                      <w:rPr>
                        <w:bCs/>
                      </w:rPr>
                      <w:instrText xml:space="preserve"> STYLEREF  "Heading 1 numbered" \N  \* MERGEFORMAT </w:instrText>
                    </w:r>
                    <w:r w:rsidRPr="00C2028C">
                      <w:rPr>
                        <w:bCs/>
                      </w:rPr>
                      <w:fldChar w:fldCharType="separate"/>
                    </w:r>
                    <w:r w:rsidR="0006307D">
                      <w:rPr>
                        <w:bCs/>
                        <w:noProof/>
                      </w:rPr>
                      <w:t>7</w:t>
                    </w:r>
                    <w:r w:rsidRPr="00C2028C">
                      <w:rPr>
                        <w:bCs/>
                        <w:noProof/>
                      </w:rPr>
                      <w:fldChar w:fldCharType="end"/>
                    </w:r>
                    <w:r w:rsidRPr="00C2028C">
                      <w:rPr>
                        <w:bCs/>
                        <w:noProof/>
                      </w:rPr>
                      <w:t xml:space="preserve">. </w:t>
                    </w:r>
                    <w:r w:rsidRPr="00C2028C">
                      <w:rPr>
                        <w:bCs/>
                      </w:rPr>
                      <w:fldChar w:fldCharType="begin"/>
                    </w:r>
                    <w:r w:rsidRPr="00C2028C">
                      <w:rPr>
                        <w:bCs/>
                      </w:rPr>
                      <w:instrText xml:space="preserve"> STYLEREF  "Heading 1 numbered"  \* MERGEFORMAT </w:instrText>
                    </w:r>
                    <w:r w:rsidRPr="00C2028C">
                      <w:rPr>
                        <w:bCs/>
                      </w:rPr>
                      <w:fldChar w:fldCharType="separate"/>
                    </w:r>
                    <w:r w:rsidR="0006307D">
                      <w:rPr>
                        <w:bCs/>
                        <w:noProof/>
                      </w:rPr>
                      <w:t>Financing operations</w:t>
                    </w:r>
                    <w:r w:rsidRPr="00C2028C">
                      <w:rPr>
                        <w:bCs/>
                        <w:noProof/>
                      </w:rPr>
                      <w:fldChar w:fldCharType="end"/>
                    </w:r>
                  </w:p>
                </w:txbxContent>
              </v:textbox>
              <w10:wrap anchorx="margin" anchory="margin"/>
            </v:rect>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F4BF4" w14:textId="77777777" w:rsidR="005D2595" w:rsidRPr="003C33C4" w:rsidRDefault="005D2595" w:rsidP="00FC3AF2">
    <w:pPr>
      <w:pStyle w:val="Header"/>
    </w:pPr>
    <w:r>
      <w:rPr>
        <w:noProof/>
      </w:rPr>
      <mc:AlternateContent>
        <mc:Choice Requires="wps">
          <w:drawing>
            <wp:anchor distT="0" distB="0" distL="114300" distR="114300" simplePos="0" relativeHeight="251658274" behindDoc="0" locked="0" layoutInCell="0" allowOverlap="1" wp14:anchorId="214CA473" wp14:editId="79793E55">
              <wp:simplePos x="0" y="0"/>
              <wp:positionH relativeFrom="rightMargin">
                <wp:posOffset>35255</wp:posOffset>
              </wp:positionH>
              <wp:positionV relativeFrom="margin">
                <wp:posOffset>6350</wp:posOffset>
              </wp:positionV>
              <wp:extent cx="493776" cy="6327648"/>
              <wp:effectExtent l="0" t="0" r="0" b="0"/>
              <wp:wrapNone/>
              <wp:docPr id="1310458668" name="Rectangle 1310458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776" cy="632764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037E4" w14:textId="6B4FC56B" w:rsidR="005D2595" w:rsidRPr="00C2028C" w:rsidRDefault="005D2595" w:rsidP="00FC3AF2">
                          <w:pPr>
                            <w:pStyle w:val="Header"/>
                            <w:ind w:left="0" w:right="0"/>
                            <w:jc w:val="right"/>
                            <w:rPr>
                              <w:bCs/>
                            </w:rPr>
                          </w:pPr>
                          <w:r w:rsidRPr="00C2028C">
                            <w:rPr>
                              <w:bCs/>
                            </w:rPr>
                            <w:fldChar w:fldCharType="begin"/>
                          </w:r>
                          <w:r w:rsidRPr="00C2028C">
                            <w:rPr>
                              <w:bCs/>
                            </w:rPr>
                            <w:instrText xml:space="preserve"> STYLEREF  "Heading 1 numbered" \N  \* MERGEFORMAT </w:instrText>
                          </w:r>
                          <w:r w:rsidRPr="00C2028C">
                            <w:rPr>
                              <w:bCs/>
                            </w:rPr>
                            <w:fldChar w:fldCharType="separate"/>
                          </w:r>
                          <w:r w:rsidR="0006307D">
                            <w:rPr>
                              <w:bCs/>
                              <w:noProof/>
                            </w:rPr>
                            <w:t>7</w:t>
                          </w:r>
                          <w:r w:rsidRPr="00C2028C">
                            <w:rPr>
                              <w:bCs/>
                              <w:noProof/>
                            </w:rPr>
                            <w:fldChar w:fldCharType="end"/>
                          </w:r>
                          <w:r w:rsidRPr="00C2028C">
                            <w:rPr>
                              <w:bCs/>
                              <w:noProof/>
                            </w:rPr>
                            <w:t xml:space="preserve">. </w:t>
                          </w:r>
                          <w:r w:rsidRPr="00C2028C">
                            <w:rPr>
                              <w:bCs/>
                            </w:rPr>
                            <w:fldChar w:fldCharType="begin"/>
                          </w:r>
                          <w:r w:rsidRPr="00C2028C">
                            <w:rPr>
                              <w:bCs/>
                            </w:rPr>
                            <w:instrText xml:space="preserve"> STYLEREF  "Heading 1 numbered"  \* MERGEFORMAT </w:instrText>
                          </w:r>
                          <w:r w:rsidRPr="00C2028C">
                            <w:rPr>
                              <w:bCs/>
                            </w:rPr>
                            <w:fldChar w:fldCharType="separate"/>
                          </w:r>
                          <w:r w:rsidR="0006307D">
                            <w:rPr>
                              <w:bCs/>
                              <w:noProof/>
                            </w:rPr>
                            <w:t>Financing operations</w:t>
                          </w:r>
                          <w:r w:rsidRPr="00C2028C">
                            <w:rPr>
                              <w:bCs/>
                              <w:noProof/>
                            </w:rPr>
                            <w:fldChar w:fldCharType="end"/>
                          </w:r>
                        </w:p>
                      </w:txbxContent>
                    </wps:txbx>
                    <wps:bodyPr rot="0" vert="vert"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14CA473" id="Rectangle 1310458668" o:spid="_x0000_s1053" style="position:absolute;left:0;text-align:left;margin-left:2.8pt;margin-top:.5pt;width:38.9pt;height:498.25pt;z-index:25165827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" o:allowincell="f" filled="f" stroked="f">
              <v:textbox style="layout-flow:vertical;mso-fit-shape-to-text:t">
                <w:txbxContent>
                  <w:p w14:paraId="70F037E4" w14:textId="6B4FC56B" w:rsidR="005D2595" w:rsidRPr="00C2028C" w:rsidRDefault="005D2595" w:rsidP="00FC3AF2">
                    <w:pPr>
                      <w:pStyle w:val="Header"/>
                      <w:ind w:left="0" w:right="0"/>
                      <w:jc w:val="right"/>
                      <w:rPr>
                        <w:bCs/>
                      </w:rPr>
                    </w:pPr>
                    <w:r w:rsidRPr="00C2028C">
                      <w:rPr>
                        <w:bCs/>
                      </w:rPr>
                      <w:fldChar w:fldCharType="begin"/>
                    </w:r>
                    <w:r w:rsidRPr="00C2028C">
                      <w:rPr>
                        <w:bCs/>
                      </w:rPr>
                      <w:instrText xml:space="preserve"> STYLEREF  "Heading 1 numbered" \N  \* MERGEFORMAT </w:instrText>
                    </w:r>
                    <w:r w:rsidRPr="00C2028C">
                      <w:rPr>
                        <w:bCs/>
                      </w:rPr>
                      <w:fldChar w:fldCharType="separate"/>
                    </w:r>
                    <w:r w:rsidR="0006307D">
                      <w:rPr>
                        <w:bCs/>
                        <w:noProof/>
                      </w:rPr>
                      <w:t>7</w:t>
                    </w:r>
                    <w:r w:rsidRPr="00C2028C">
                      <w:rPr>
                        <w:bCs/>
                        <w:noProof/>
                      </w:rPr>
                      <w:fldChar w:fldCharType="end"/>
                    </w:r>
                    <w:r w:rsidRPr="00C2028C">
                      <w:rPr>
                        <w:bCs/>
                        <w:noProof/>
                      </w:rPr>
                      <w:t xml:space="preserve">. </w:t>
                    </w:r>
                    <w:r w:rsidRPr="00C2028C">
                      <w:rPr>
                        <w:bCs/>
                      </w:rPr>
                      <w:fldChar w:fldCharType="begin"/>
                    </w:r>
                    <w:r w:rsidRPr="00C2028C">
                      <w:rPr>
                        <w:bCs/>
                      </w:rPr>
                      <w:instrText xml:space="preserve"> STYLEREF  "Heading 1 numbered"  \* MERGEFORMAT </w:instrText>
                    </w:r>
                    <w:r w:rsidRPr="00C2028C">
                      <w:rPr>
                        <w:bCs/>
                      </w:rPr>
                      <w:fldChar w:fldCharType="separate"/>
                    </w:r>
                    <w:r w:rsidR="0006307D">
                      <w:rPr>
                        <w:bCs/>
                        <w:noProof/>
                      </w:rPr>
                      <w:t>Financing operations</w:t>
                    </w:r>
                    <w:r w:rsidRPr="00C2028C">
                      <w:rPr>
                        <w:bCs/>
                        <w:noProof/>
                      </w:rPr>
                      <w:fldChar w:fldCharType="end"/>
                    </w:r>
                  </w:p>
                </w:txbxContent>
              </v:textbox>
              <w10:wrap anchorx="margin" anchory="margin"/>
            </v:rect>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88C2DA" w14:textId="2B4795F0" w:rsidR="005D2595" w:rsidRPr="00D07556" w:rsidRDefault="005D2595" w:rsidP="00716FAE">
    <w:pPr>
      <w:pStyle w:val="Header"/>
      <w:ind w:left="-450"/>
      <w:rPr>
        <w:bCs/>
      </w:rPr>
    </w:pPr>
    <w:r w:rsidRPr="00D07556">
      <w:rPr>
        <w:bCs/>
      </w:rPr>
      <w:fldChar w:fldCharType="begin"/>
    </w:r>
    <w:r w:rsidRPr="00D07556">
      <w:rPr>
        <w:bCs/>
      </w:rPr>
      <w:instrText xml:space="preserve"> STYLEREF  "Heading 1 numbered" \N  \* MERGEFORMAT </w:instrText>
    </w:r>
    <w:r w:rsidRPr="00D07556">
      <w:rPr>
        <w:bCs/>
      </w:rPr>
      <w:fldChar w:fldCharType="separate"/>
    </w:r>
    <w:r w:rsidR="0006307D">
      <w:rPr>
        <w:bCs/>
        <w:noProof/>
      </w:rPr>
      <w:t>8</w:t>
    </w:r>
    <w:r w:rsidRPr="00D07556">
      <w:rPr>
        <w:bCs/>
        <w:noProof/>
      </w:rPr>
      <w:fldChar w:fldCharType="end"/>
    </w:r>
    <w:r w:rsidRPr="00D07556">
      <w:rPr>
        <w:bCs/>
        <w:noProof/>
      </w:rPr>
      <w:t xml:space="preserve">. </w:t>
    </w:r>
    <w:r w:rsidRPr="00D07556">
      <w:rPr>
        <w:bCs/>
      </w:rPr>
      <w:fldChar w:fldCharType="begin"/>
    </w:r>
    <w:r w:rsidRPr="00D07556">
      <w:rPr>
        <w:bCs/>
      </w:rPr>
      <w:instrText xml:space="preserve"> STYLEREF  "Heading 1 numbered"  \* MERGEFORMAT </w:instrText>
    </w:r>
    <w:r w:rsidRPr="00D07556">
      <w:rPr>
        <w:bCs/>
      </w:rPr>
      <w:fldChar w:fldCharType="separate"/>
    </w:r>
    <w:r w:rsidR="0006307D">
      <w:rPr>
        <w:bCs/>
        <w:noProof/>
      </w:rPr>
      <w:t>Risks and valuation judgements</w:t>
    </w:r>
    <w:r w:rsidRPr="00D07556">
      <w:rPr>
        <w:bCs/>
        <w:noProof/>
      </w:rPr>
      <w:fldChar w:fldCharType="end"/>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5E074" w14:textId="4264714B" w:rsidR="005D2595" w:rsidRPr="003A03F5" w:rsidRDefault="005D2595" w:rsidP="00FC3AF2">
    <w:pPr>
      <w:pStyle w:val="Header"/>
      <w:ind w:left="-450"/>
      <w:jc w:val="right"/>
      <w:rPr>
        <w:bCs/>
      </w:rPr>
    </w:pPr>
    <w:r w:rsidRPr="00D458A7">
      <w:rPr>
        <w:bCs/>
      </w:rPr>
      <w:fldChar w:fldCharType="begin"/>
    </w:r>
    <w:r w:rsidRPr="00D458A7">
      <w:rPr>
        <w:bCs/>
      </w:rPr>
      <w:instrText xml:space="preserve"> STYLEREF  "Heading 1 numbered" \N  \* MERGEFORMAT </w:instrText>
    </w:r>
    <w:r w:rsidRPr="00D458A7">
      <w:rPr>
        <w:bCs/>
      </w:rPr>
      <w:fldChar w:fldCharType="separate"/>
    </w:r>
    <w:r w:rsidR="008F4C0F">
      <w:rPr>
        <w:bCs/>
        <w:noProof/>
      </w:rPr>
      <w:t>7</w:t>
    </w:r>
    <w:r w:rsidRPr="00D458A7">
      <w:rPr>
        <w:bCs/>
        <w:noProof/>
      </w:rPr>
      <w:fldChar w:fldCharType="end"/>
    </w:r>
    <w:r w:rsidRPr="00D458A7">
      <w:rPr>
        <w:bCs/>
        <w:noProof/>
      </w:rPr>
      <w:t xml:space="preserve">. </w:t>
    </w:r>
    <w:r w:rsidRPr="00D458A7">
      <w:rPr>
        <w:bCs/>
      </w:rPr>
      <w:fldChar w:fldCharType="begin"/>
    </w:r>
    <w:r w:rsidRPr="00D458A7">
      <w:rPr>
        <w:bCs/>
      </w:rPr>
      <w:instrText xml:space="preserve"> STYLEREF  "Heading 1 numbered"  \* MERGEFORMAT </w:instrText>
    </w:r>
    <w:r w:rsidRPr="00D458A7">
      <w:rPr>
        <w:bCs/>
      </w:rPr>
      <w:fldChar w:fldCharType="separate"/>
    </w:r>
    <w:r w:rsidR="008F4C0F" w:rsidRPr="008F4C0F">
      <w:rPr>
        <w:bCs/>
        <w:noProof/>
        <w:sz w:val="17"/>
      </w:rPr>
      <w:t>Financing operations</w:t>
    </w:r>
    <w:r w:rsidRPr="00D458A7">
      <w:rPr>
        <w:bCs/>
        <w:noProof/>
      </w:rPr>
      <w:fldChar w:fldCharType="end"/>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1BF89" w14:textId="78305F41" w:rsidR="005D2595" w:rsidRDefault="005D2595" w:rsidP="00716FAE">
    <w:pPr>
      <w:pStyle w:val="Header"/>
      <w:ind w:right="-475"/>
      <w:jc w:val="right"/>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7</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Financing operations</w:t>
    </w:r>
    <w:r w:rsidRPr="0067054D">
      <w:rPr>
        <w:b/>
        <w:noProof/>
        <w:szCs w:val="18"/>
      </w:rPr>
      <w:fldChar w:fldCharType="end"/>
    </w:r>
  </w:p>
  <w:p w14:paraId="0EDDEAAD" w14:textId="77777777" w:rsidR="005D2595" w:rsidRPr="00780AE7" w:rsidRDefault="005D2595" w:rsidP="00780AE7">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3937D1" w14:textId="72443D21" w:rsidR="005D2595" w:rsidRDefault="005D2595" w:rsidP="00716FAE">
    <w:pPr>
      <w:pStyle w:val="Header"/>
      <w:ind w:right="-475"/>
      <w:jc w:val="right"/>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7</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Financing operations</w:t>
    </w:r>
    <w:r w:rsidRPr="0067054D">
      <w:rPr>
        <w:b/>
        <w:noProof/>
        <w:szCs w:val="18"/>
      </w:rPr>
      <w:fldChar w:fldCharType="end"/>
    </w:r>
  </w:p>
  <w:p w14:paraId="4A1F19BA" w14:textId="77777777" w:rsidR="005D2595" w:rsidRPr="00780AE7" w:rsidRDefault="005D2595" w:rsidP="00780AE7">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8B7CA" w14:textId="726A2457" w:rsidR="005D2595" w:rsidRDefault="005D2595" w:rsidP="00716FAE">
    <w:pPr>
      <w:pStyle w:val="Header"/>
      <w:ind w:right="-475"/>
      <w:jc w:val="right"/>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7</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Financing operations</w:t>
    </w:r>
    <w:r w:rsidRPr="0067054D">
      <w:rPr>
        <w:b/>
        <w:noProof/>
        <w:szCs w:val="18"/>
      </w:rPr>
      <w:fldChar w:fldCharType="end"/>
    </w:r>
  </w:p>
  <w:p w14:paraId="04BF9A27" w14:textId="77777777" w:rsidR="005D2595" w:rsidRPr="00780AE7" w:rsidRDefault="005D2595" w:rsidP="00780AE7">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14EBD" w14:textId="77777777" w:rsidR="005D2595" w:rsidRDefault="005D2595">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95AE09" w14:textId="12595C89" w:rsidR="005D2595" w:rsidRPr="0067054D" w:rsidRDefault="005D2595" w:rsidP="00780AE7">
    <w:pPr>
      <w:pStyle w:val="Header"/>
      <w:ind w:right="-475"/>
      <w:jc w:val="right"/>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8</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Risks and valuation judgements</w:t>
    </w:r>
    <w:r w:rsidRPr="0067054D">
      <w:rPr>
        <w:b/>
        <w:noProof/>
        <w:szCs w:val="18"/>
      </w:rPr>
      <w:fldChar w:fldCharType="end"/>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F42C7" w14:textId="04102F0B" w:rsidR="005D2595" w:rsidRPr="003C33C4" w:rsidRDefault="005D2595" w:rsidP="00716FAE">
    <w:pPr>
      <w:pStyle w:val="Header"/>
      <w:ind w:left="-450" w:right="-475"/>
      <w:jc w:val="right"/>
      <w:rPr>
        <w:bCs/>
      </w:rPr>
    </w:pPr>
    <w:r w:rsidRPr="003C33C4">
      <w:rPr>
        <w:bCs/>
      </w:rPr>
      <w:fldChar w:fldCharType="begin"/>
    </w:r>
    <w:r w:rsidRPr="003C33C4">
      <w:rPr>
        <w:bCs/>
      </w:rPr>
      <w:instrText xml:space="preserve"> STYLEREF  "Heading 1 numbered" \N  \* MERGEFORMAT </w:instrText>
    </w:r>
    <w:r w:rsidRPr="003C33C4">
      <w:rPr>
        <w:bCs/>
      </w:rPr>
      <w:fldChar w:fldCharType="separate"/>
    </w:r>
    <w:r w:rsidR="0006307D">
      <w:rPr>
        <w:bCs/>
        <w:noProof/>
      </w:rPr>
      <w:t>9</w:t>
    </w:r>
    <w:r w:rsidRPr="003C33C4">
      <w:rPr>
        <w:bCs/>
        <w:noProof/>
      </w:rPr>
      <w:fldChar w:fldCharType="end"/>
    </w:r>
    <w:r w:rsidRPr="003C33C4">
      <w:rPr>
        <w:bCs/>
        <w:noProof/>
      </w:rPr>
      <w:t xml:space="preserve">. </w:t>
    </w:r>
    <w:r w:rsidRPr="003C33C4">
      <w:rPr>
        <w:bCs/>
      </w:rPr>
      <w:fldChar w:fldCharType="begin"/>
    </w:r>
    <w:r w:rsidRPr="003C33C4">
      <w:rPr>
        <w:bCs/>
      </w:rPr>
      <w:instrText xml:space="preserve"> STYLEREF  "Heading 1 numbered"  \* MERGEFORMAT </w:instrText>
    </w:r>
    <w:r w:rsidRPr="003C33C4">
      <w:rPr>
        <w:bCs/>
      </w:rPr>
      <w:fldChar w:fldCharType="separate"/>
    </w:r>
    <w:r w:rsidR="0006307D">
      <w:rPr>
        <w:bCs/>
        <w:noProof/>
      </w:rPr>
      <w:t>Other disclosures</w:t>
    </w:r>
    <w:r w:rsidRPr="003C33C4">
      <w:rPr>
        <w:bCs/>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891AB" w14:textId="77777777" w:rsidR="005E6D06" w:rsidRDefault="005E6D06">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09E82" w14:textId="2D2AAA42" w:rsidR="005D2595" w:rsidRPr="00780AE7" w:rsidRDefault="005D2595" w:rsidP="00780AE7">
    <w:pPr>
      <w:pStyle w:val="Heade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8</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Risks and valuation judgements</w:t>
    </w:r>
    <w:r w:rsidRPr="0067054D">
      <w:rPr>
        <w:b/>
        <w:noProof/>
        <w:szCs w:val="18"/>
      </w:rPr>
      <w:fldChar w:fldCharType="end"/>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02768" w14:textId="602D05ED" w:rsidR="005D2595" w:rsidRPr="0074784C" w:rsidRDefault="005D2595" w:rsidP="00780AE7">
    <w:pPr>
      <w:pStyle w:val="Header"/>
      <w:rPr>
        <w:bCs/>
      </w:rPr>
    </w:pPr>
    <w:r w:rsidRPr="0074784C">
      <w:rPr>
        <w:bCs/>
        <w:szCs w:val="18"/>
      </w:rPr>
      <w:fldChar w:fldCharType="begin"/>
    </w:r>
    <w:r w:rsidRPr="0074784C">
      <w:rPr>
        <w:bCs/>
        <w:szCs w:val="18"/>
      </w:rPr>
      <w:instrText xml:space="preserve"> STYLEREF  "Heading 1 numbered" \N  \* MERGEFORMAT </w:instrText>
    </w:r>
    <w:r w:rsidRPr="0074784C">
      <w:rPr>
        <w:bCs/>
        <w:szCs w:val="18"/>
      </w:rPr>
      <w:fldChar w:fldCharType="separate"/>
    </w:r>
    <w:r w:rsidR="008F4C0F">
      <w:rPr>
        <w:bCs/>
        <w:noProof/>
        <w:szCs w:val="18"/>
      </w:rPr>
      <w:t>9</w:t>
    </w:r>
    <w:r w:rsidRPr="0074784C">
      <w:rPr>
        <w:bCs/>
        <w:noProof/>
        <w:szCs w:val="18"/>
      </w:rPr>
      <w:fldChar w:fldCharType="end"/>
    </w:r>
    <w:r w:rsidRPr="0074784C">
      <w:rPr>
        <w:bCs/>
        <w:noProof/>
        <w:szCs w:val="18"/>
      </w:rPr>
      <w:t xml:space="preserve">. </w:t>
    </w:r>
    <w:r w:rsidRPr="0074784C">
      <w:rPr>
        <w:bCs/>
        <w:szCs w:val="18"/>
      </w:rPr>
      <w:fldChar w:fldCharType="begin"/>
    </w:r>
    <w:r w:rsidRPr="0074784C">
      <w:rPr>
        <w:bCs/>
        <w:szCs w:val="18"/>
      </w:rPr>
      <w:instrText xml:space="preserve"> STYLEREF  "Heading 1 numbered"  \* MERGEFORMAT </w:instrText>
    </w:r>
    <w:r w:rsidRPr="0074784C">
      <w:rPr>
        <w:bCs/>
        <w:szCs w:val="18"/>
      </w:rPr>
      <w:fldChar w:fldCharType="separate"/>
    </w:r>
    <w:r w:rsidR="008F4C0F" w:rsidRPr="008F4C0F">
      <w:rPr>
        <w:bCs/>
        <w:noProof/>
        <w:sz w:val="17"/>
        <w:szCs w:val="18"/>
      </w:rPr>
      <w:t>Other disclosures</w:t>
    </w:r>
    <w:r w:rsidRPr="0074784C">
      <w:rPr>
        <w:bCs/>
        <w:noProof/>
        <w:szCs w:val="18"/>
      </w:rPr>
      <w:fldChar w:fldCharType="end"/>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9CC5E" w14:textId="2B20F752" w:rsidR="005D2595" w:rsidRPr="0067054D" w:rsidRDefault="005D2595" w:rsidP="00780AE7">
    <w:pPr>
      <w:pStyle w:val="Header"/>
      <w:ind w:right="-475"/>
      <w:rPr>
        <w:b/>
        <w:szCs w:val="18"/>
      </w:rPr>
    </w:pPr>
    <w:r w:rsidRPr="0067054D">
      <w:rPr>
        <w:b/>
        <w:szCs w:val="18"/>
      </w:rPr>
      <w:fldChar w:fldCharType="begin"/>
    </w:r>
    <w:r w:rsidRPr="0067054D">
      <w:rPr>
        <w:b/>
        <w:szCs w:val="18"/>
      </w:rPr>
      <w:instrText xml:space="preserve"> STYLEREF  "Heading 1 numbered" \N  \* MERGEFORMAT </w:instrText>
    </w:r>
    <w:r w:rsidRPr="0067054D">
      <w:rPr>
        <w:b/>
        <w:szCs w:val="18"/>
      </w:rPr>
      <w:fldChar w:fldCharType="separate"/>
    </w:r>
    <w:r w:rsidR="008F4C0F">
      <w:rPr>
        <w:b/>
        <w:noProof/>
        <w:szCs w:val="18"/>
      </w:rPr>
      <w:t>9</w:t>
    </w:r>
    <w:r w:rsidRPr="0067054D">
      <w:rPr>
        <w:b/>
        <w:noProof/>
        <w:szCs w:val="18"/>
      </w:rPr>
      <w:fldChar w:fldCharType="end"/>
    </w:r>
    <w:r w:rsidRPr="0067054D">
      <w:rPr>
        <w:b/>
        <w:noProof/>
        <w:szCs w:val="18"/>
      </w:rPr>
      <w:t>.</w:t>
    </w:r>
    <w:r>
      <w:rPr>
        <w:b/>
        <w:noProof/>
        <w:szCs w:val="18"/>
      </w:rPr>
      <w:t xml:space="preserve"> </w:t>
    </w:r>
    <w:r w:rsidRPr="0067054D">
      <w:rPr>
        <w:b/>
        <w:szCs w:val="18"/>
      </w:rPr>
      <w:fldChar w:fldCharType="begin"/>
    </w:r>
    <w:r w:rsidRPr="0067054D">
      <w:rPr>
        <w:b/>
        <w:szCs w:val="18"/>
      </w:rPr>
      <w:instrText xml:space="preserve"> STYLEREF  "Heading 1 numbered"  \* MERGEFORMAT </w:instrText>
    </w:r>
    <w:r w:rsidRPr="0067054D">
      <w:rPr>
        <w:b/>
        <w:szCs w:val="18"/>
      </w:rPr>
      <w:fldChar w:fldCharType="separate"/>
    </w:r>
    <w:r w:rsidR="008F4C0F">
      <w:rPr>
        <w:b/>
        <w:noProof/>
        <w:szCs w:val="18"/>
      </w:rPr>
      <w:t>Other disclosures</w:t>
    </w:r>
    <w:r w:rsidRPr="0067054D">
      <w:rPr>
        <w:b/>
        <w:noProof/>
        <w:szCs w:val="18"/>
      </w:rPr>
      <w:fldChar w:fldCharType="end"/>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1CC3B" w14:textId="3B003C3B" w:rsidR="005D2595" w:rsidRPr="003C33C4" w:rsidRDefault="005D2595" w:rsidP="00780AE7">
    <w:pPr>
      <w:pStyle w:val="Header"/>
      <w:ind w:right="-475"/>
      <w:rPr>
        <w:bCs/>
        <w:szCs w:val="18"/>
      </w:rPr>
    </w:pPr>
    <w:r w:rsidRPr="003C33C4">
      <w:rPr>
        <w:bCs/>
        <w:szCs w:val="18"/>
      </w:rPr>
      <w:fldChar w:fldCharType="begin"/>
    </w:r>
    <w:r w:rsidRPr="003C33C4">
      <w:rPr>
        <w:bCs/>
        <w:szCs w:val="18"/>
      </w:rPr>
      <w:instrText xml:space="preserve"> STYLEREF  "Heading 1 numbered" \N  \* MERGEFORMAT </w:instrText>
    </w:r>
    <w:r w:rsidRPr="003C33C4">
      <w:rPr>
        <w:bCs/>
        <w:szCs w:val="18"/>
      </w:rPr>
      <w:fldChar w:fldCharType="separate"/>
    </w:r>
    <w:r w:rsidR="0006307D">
      <w:rPr>
        <w:bCs/>
        <w:noProof/>
        <w:szCs w:val="18"/>
      </w:rPr>
      <w:t>9</w:t>
    </w:r>
    <w:r w:rsidRPr="003C33C4">
      <w:rPr>
        <w:bCs/>
        <w:noProof/>
        <w:szCs w:val="18"/>
      </w:rPr>
      <w:fldChar w:fldCharType="end"/>
    </w:r>
    <w:r w:rsidRPr="003C33C4">
      <w:rPr>
        <w:bCs/>
        <w:noProof/>
        <w:szCs w:val="18"/>
      </w:rPr>
      <w:t xml:space="preserve">. </w:t>
    </w:r>
    <w:r w:rsidRPr="003C33C4">
      <w:rPr>
        <w:bCs/>
        <w:szCs w:val="18"/>
      </w:rPr>
      <w:fldChar w:fldCharType="begin"/>
    </w:r>
    <w:r w:rsidRPr="003C33C4">
      <w:rPr>
        <w:bCs/>
        <w:szCs w:val="18"/>
      </w:rPr>
      <w:instrText xml:space="preserve"> STYLEREF  "Heading 1 numbered"  \* MERGEFORMAT </w:instrText>
    </w:r>
    <w:r w:rsidRPr="003C33C4">
      <w:rPr>
        <w:bCs/>
        <w:szCs w:val="18"/>
      </w:rPr>
      <w:fldChar w:fldCharType="separate"/>
    </w:r>
    <w:r w:rsidR="0006307D">
      <w:rPr>
        <w:bCs/>
        <w:noProof/>
        <w:szCs w:val="18"/>
      </w:rPr>
      <w:t>Other disclosures</w:t>
    </w:r>
    <w:r w:rsidRPr="003C33C4">
      <w:rPr>
        <w:bCs/>
        <w:noProof/>
        <w:szCs w:val="18"/>
      </w:rPr>
      <w:fldChar w:fldCharType="end"/>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5C5EB" w14:textId="032F1AB1" w:rsidR="005D2595" w:rsidRPr="0074784C" w:rsidRDefault="005D2595" w:rsidP="00780AE7">
    <w:pPr>
      <w:pStyle w:val="Header"/>
      <w:ind w:right="-475"/>
      <w:rPr>
        <w:bCs/>
        <w:szCs w:val="18"/>
      </w:rPr>
    </w:pPr>
    <w:r w:rsidRPr="0074784C">
      <w:rPr>
        <w:bCs/>
        <w:szCs w:val="18"/>
      </w:rPr>
      <w:fldChar w:fldCharType="begin"/>
    </w:r>
    <w:r w:rsidRPr="0074784C">
      <w:rPr>
        <w:bCs/>
        <w:szCs w:val="18"/>
      </w:rPr>
      <w:instrText xml:space="preserve"> STYLEREF  "Heading 1 numbered" \N  \* MERGEFORMAT </w:instrText>
    </w:r>
    <w:r w:rsidRPr="0074784C">
      <w:rPr>
        <w:bCs/>
        <w:szCs w:val="18"/>
      </w:rPr>
      <w:fldChar w:fldCharType="separate"/>
    </w:r>
    <w:r w:rsidR="008F4C0F">
      <w:rPr>
        <w:bCs/>
        <w:noProof/>
        <w:szCs w:val="18"/>
      </w:rPr>
      <w:t>9</w:t>
    </w:r>
    <w:r w:rsidRPr="0074784C">
      <w:rPr>
        <w:bCs/>
        <w:noProof/>
        <w:szCs w:val="18"/>
      </w:rPr>
      <w:fldChar w:fldCharType="end"/>
    </w:r>
    <w:r w:rsidRPr="0074784C">
      <w:rPr>
        <w:bCs/>
        <w:noProof/>
        <w:szCs w:val="18"/>
      </w:rPr>
      <w:t xml:space="preserve">. </w:t>
    </w:r>
    <w:r w:rsidRPr="0074784C">
      <w:rPr>
        <w:bCs/>
        <w:szCs w:val="18"/>
      </w:rPr>
      <w:fldChar w:fldCharType="begin"/>
    </w:r>
    <w:r w:rsidRPr="0074784C">
      <w:rPr>
        <w:bCs/>
        <w:szCs w:val="18"/>
      </w:rPr>
      <w:instrText xml:space="preserve"> STYLEREF  "Heading 1 numbered"  \* MERGEFORMAT </w:instrText>
    </w:r>
    <w:r w:rsidRPr="0074784C">
      <w:rPr>
        <w:bCs/>
        <w:szCs w:val="18"/>
      </w:rPr>
      <w:fldChar w:fldCharType="separate"/>
    </w:r>
    <w:r w:rsidR="008F4C0F" w:rsidRPr="008F4C0F">
      <w:rPr>
        <w:bCs/>
        <w:noProof/>
        <w:sz w:val="17"/>
        <w:szCs w:val="18"/>
      </w:rPr>
      <w:t>Other disclosures</w:t>
    </w:r>
    <w:r w:rsidRPr="0074784C">
      <w:rPr>
        <w:bCs/>
        <w:noProof/>
        <w:szCs w:val="18"/>
      </w:rPr>
      <w:fldChar w:fldCharType="end"/>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82D1F" w14:textId="03F5BBD5" w:rsidR="005D2595" w:rsidRPr="003C33C4" w:rsidRDefault="005D2595" w:rsidP="007B74A0">
    <w:pPr>
      <w:pStyle w:val="Header"/>
      <w:ind w:left="-450" w:right="-475"/>
      <w:rPr>
        <w:bCs/>
      </w:rPr>
    </w:pPr>
    <w:r w:rsidRPr="003C33C4">
      <w:rPr>
        <w:bCs/>
      </w:rPr>
      <w:fldChar w:fldCharType="begin"/>
    </w:r>
    <w:r w:rsidRPr="003C33C4">
      <w:rPr>
        <w:bCs/>
      </w:rPr>
      <w:instrText xml:space="preserve"> STYLEREF  "Heading 1 numbered" \N  \* MERGEFORMAT </w:instrText>
    </w:r>
    <w:r w:rsidRPr="003C33C4">
      <w:rPr>
        <w:bCs/>
      </w:rPr>
      <w:fldChar w:fldCharType="separate"/>
    </w:r>
    <w:r w:rsidR="0006307D">
      <w:rPr>
        <w:bCs/>
        <w:noProof/>
      </w:rPr>
      <w:t>9</w:t>
    </w:r>
    <w:r w:rsidRPr="003C33C4">
      <w:rPr>
        <w:bCs/>
        <w:noProof/>
      </w:rPr>
      <w:fldChar w:fldCharType="end"/>
    </w:r>
    <w:r w:rsidRPr="003C33C4">
      <w:rPr>
        <w:bCs/>
        <w:noProof/>
      </w:rPr>
      <w:t xml:space="preserve">. </w:t>
    </w:r>
    <w:r w:rsidRPr="003C33C4">
      <w:rPr>
        <w:bCs/>
      </w:rPr>
      <w:fldChar w:fldCharType="begin"/>
    </w:r>
    <w:r w:rsidRPr="003C33C4">
      <w:rPr>
        <w:bCs/>
      </w:rPr>
      <w:instrText xml:space="preserve"> STYLEREF  "Heading 1 numbered"  \* MERGEFORMAT </w:instrText>
    </w:r>
    <w:r w:rsidRPr="003C33C4">
      <w:rPr>
        <w:bCs/>
      </w:rPr>
      <w:fldChar w:fldCharType="separate"/>
    </w:r>
    <w:r w:rsidR="0006307D" w:rsidRPr="0006307D">
      <w:rPr>
        <w:bCs/>
        <w:noProof/>
        <w:lang w:val="en-US"/>
      </w:rPr>
      <w:t>Other disclosures</w:t>
    </w:r>
    <w:r w:rsidRPr="003C33C4">
      <w:rPr>
        <w:bCs/>
        <w:noProof/>
      </w:rPr>
      <w:fldChar w:fldCharType="end"/>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6E36C" w14:textId="767CDD92" w:rsidR="005D2595" w:rsidRPr="007B74A0" w:rsidRDefault="005D2595" w:rsidP="00AC3C2D">
    <w:pPr>
      <w:pStyle w:val="Header"/>
      <w:ind w:left="-450" w:right="-475"/>
      <w:jc w:val="right"/>
      <w:rPr>
        <w:b/>
      </w:rPr>
    </w:pPr>
    <w:r w:rsidRPr="007B74A0">
      <w:rPr>
        <w:b/>
      </w:rPr>
      <w:fldChar w:fldCharType="begin"/>
    </w:r>
    <w:r w:rsidRPr="007B74A0">
      <w:rPr>
        <w:b/>
      </w:rPr>
      <w:instrText xml:space="preserve"> STYLEREF  "Heading 1 numbered" \N  \* MERGEFORMAT </w:instrText>
    </w:r>
    <w:r w:rsidRPr="007B74A0">
      <w:rPr>
        <w:b/>
      </w:rPr>
      <w:fldChar w:fldCharType="separate"/>
    </w:r>
    <w:r w:rsidR="008F4C0F" w:rsidRPr="008F4C0F">
      <w:rPr>
        <w:b/>
        <w:noProof/>
        <w:lang w:val="en-US"/>
      </w:rPr>
      <w:t>9</w:t>
    </w:r>
    <w:r w:rsidRPr="007B74A0">
      <w:rPr>
        <w:b/>
        <w:noProof/>
      </w:rPr>
      <w:fldChar w:fldCharType="end"/>
    </w:r>
    <w:r w:rsidRPr="007B74A0">
      <w:rPr>
        <w:b/>
        <w:noProof/>
      </w:rPr>
      <w:t xml:space="preserve">. </w:t>
    </w:r>
    <w:r w:rsidRPr="007B74A0">
      <w:rPr>
        <w:b/>
      </w:rPr>
      <w:fldChar w:fldCharType="begin"/>
    </w:r>
    <w:r w:rsidRPr="007B74A0">
      <w:rPr>
        <w:b/>
      </w:rPr>
      <w:instrText xml:space="preserve"> STYLEREF  "Heading 1 numbered"  \* MERGEFORMAT </w:instrText>
    </w:r>
    <w:r w:rsidRPr="007B74A0">
      <w:rPr>
        <w:b/>
      </w:rPr>
      <w:fldChar w:fldCharType="separate"/>
    </w:r>
    <w:r w:rsidR="008F4C0F" w:rsidRPr="008F4C0F">
      <w:rPr>
        <w:b/>
        <w:noProof/>
        <w:lang w:val="en-US"/>
      </w:rPr>
      <w:t>Other disclosures</w:t>
    </w:r>
    <w:r w:rsidRPr="007B74A0">
      <w:rPr>
        <w:b/>
        <w:noProof/>
      </w:rPr>
      <w:fldChar w:fldCharType="end"/>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99446" w14:textId="0326E7B3" w:rsidR="00250469" w:rsidRPr="003C33C4" w:rsidRDefault="005D2595" w:rsidP="00AC3C2D">
    <w:pPr>
      <w:pStyle w:val="Header"/>
      <w:ind w:left="-450" w:right="-475"/>
      <w:jc w:val="right"/>
    </w:pPr>
    <w:r w:rsidRPr="003C33C4">
      <w:rPr>
        <w:bCs/>
      </w:rPr>
      <w:fldChar w:fldCharType="begin"/>
    </w:r>
    <w:r w:rsidRPr="003C33C4">
      <w:rPr>
        <w:bCs/>
      </w:rPr>
      <w:instrText xml:space="preserve"> STYLEREF  "Heading 1 numbered" \N  \* MERGEFORMAT </w:instrText>
    </w:r>
    <w:r w:rsidRPr="003C33C4">
      <w:rPr>
        <w:bCs/>
      </w:rPr>
      <w:fldChar w:fldCharType="separate"/>
    </w:r>
    <w:r w:rsidR="0006307D">
      <w:rPr>
        <w:bCs/>
        <w:noProof/>
      </w:rPr>
      <w:t>9</w:t>
    </w:r>
    <w:r w:rsidRPr="003C33C4">
      <w:rPr>
        <w:bCs/>
        <w:noProof/>
      </w:rPr>
      <w:fldChar w:fldCharType="end"/>
    </w:r>
    <w:r w:rsidRPr="003C33C4">
      <w:rPr>
        <w:bCs/>
        <w:noProof/>
      </w:rPr>
      <w:t xml:space="preserve">. </w:t>
    </w:r>
    <w:r w:rsidRPr="003C33C4">
      <w:rPr>
        <w:bCs/>
      </w:rPr>
      <w:fldChar w:fldCharType="begin"/>
    </w:r>
    <w:r w:rsidRPr="003C33C4">
      <w:rPr>
        <w:bCs/>
      </w:rPr>
      <w:instrText xml:space="preserve"> STYLEREF  "Heading 1 numbered"  \* MERGEFORMAT </w:instrText>
    </w:r>
    <w:r w:rsidRPr="003C33C4">
      <w:rPr>
        <w:bCs/>
      </w:rPr>
      <w:fldChar w:fldCharType="separate"/>
    </w:r>
    <w:r w:rsidR="0006307D" w:rsidRPr="0006307D">
      <w:rPr>
        <w:bCs/>
        <w:noProof/>
        <w:sz w:val="17"/>
        <w:lang w:val="en-US"/>
      </w:rPr>
      <w:t>Other disclosures</w:t>
    </w:r>
    <w:r w:rsidRPr="003C33C4">
      <w:rPr>
        <w:bCs/>
        <w:noProof/>
      </w:rPr>
      <w:fldChar w:fldCharType="end"/>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CA2E5" w14:textId="77777777" w:rsidR="00811961" w:rsidRPr="00595771" w:rsidRDefault="00811961" w:rsidP="00595771">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81A4B" w14:textId="77777777" w:rsidR="00811961" w:rsidRPr="00994304" w:rsidRDefault="00811961" w:rsidP="0099430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9AFA5" w14:textId="49D83993" w:rsidR="004147BB" w:rsidRPr="00881771" w:rsidRDefault="004147BB" w:rsidP="00881771">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06E5F" w14:textId="77777777" w:rsidR="004C4E46" w:rsidRPr="00595771" w:rsidRDefault="004C4E46" w:rsidP="00595771">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2A946" w14:textId="77777777" w:rsidR="004C4E46" w:rsidRPr="00595771" w:rsidRDefault="004C4E46" w:rsidP="00595771">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E3FCC" w14:textId="77777777" w:rsidR="00440360" w:rsidRDefault="00440360">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99A375" w14:textId="77777777" w:rsidR="00440360" w:rsidRDefault="00440360">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DEA28A" w14:textId="77777777" w:rsidR="00113E1C" w:rsidRPr="00572502" w:rsidRDefault="00113E1C" w:rsidP="00D90070">
    <w:pPr>
      <w:pStyle w:val="Header"/>
    </w:pPr>
    <w:r>
      <w:rPr>
        <w:noProof/>
      </w:rPr>
      <mc:AlternateContent>
        <mc:Choice Requires="wps">
          <w:drawing>
            <wp:anchor distT="0" distB="0" distL="114300" distR="114300" simplePos="0" relativeHeight="251658240" behindDoc="0" locked="0" layoutInCell="1" allowOverlap="1" wp14:anchorId="4CAB0A71" wp14:editId="58BC66FE">
              <wp:simplePos x="0" y="0"/>
              <wp:positionH relativeFrom="page">
                <wp:posOffset>-1508760</wp:posOffset>
              </wp:positionH>
              <wp:positionV relativeFrom="page">
                <wp:posOffset>2130425</wp:posOffset>
              </wp:positionV>
              <wp:extent cx="3968750" cy="530225"/>
              <wp:effectExtent l="4762"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a:off x="0" y="0"/>
                        <a:ext cx="3968750" cy="530225"/>
                      </a:xfrm>
                      <a:prstGeom prst="rect">
                        <a:avLst/>
                      </a:prstGeom>
                      <a:noFill/>
                      <a:ln w="6350">
                        <a:noFill/>
                      </a:ln>
                      <a:effectLst/>
                    </wps:spPr>
                    <wps:txbx>
                      <w:txbxContent>
                        <w:tbl>
                          <w:tblPr>
                            <w:tblW w:w="5149" w:type="pct"/>
                            <w:tblLayout w:type="fixed"/>
                            <w:tblCellMar>
                              <w:left w:w="57" w:type="dxa"/>
                              <w:right w:w="57" w:type="dxa"/>
                            </w:tblCellMar>
                            <w:tblLook w:val="0600" w:firstRow="0" w:lastRow="0" w:firstColumn="0" w:lastColumn="0" w:noHBand="1" w:noVBand="1"/>
                          </w:tblPr>
                          <w:tblGrid>
                            <w:gridCol w:w="713"/>
                            <w:gridCol w:w="5432"/>
                          </w:tblGrid>
                          <w:tr w:rsidR="00113E1C" w14:paraId="3129C16D" w14:textId="77777777" w:rsidTr="00D90070">
                            <w:trPr>
                              <w:cantSplit/>
                            </w:trPr>
                            <w:tc>
                              <w:tcPr>
                                <w:tcW w:w="724" w:type="dxa"/>
                              </w:tcPr>
                              <w:p w14:paraId="4DDF0EE2" w14:textId="77777777" w:rsidR="00113E1C" w:rsidRDefault="00113E1C"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5537" w:type="dxa"/>
                              </w:tcPr>
                              <w:p w14:paraId="014AE46C" w14:textId="5A649DEA" w:rsidR="00113E1C" w:rsidRPr="00234297" w:rsidRDefault="00113E1C" w:rsidP="00D90070">
                                <w:pPr>
                                  <w:pStyle w:val="FooterEven"/>
                                </w:pPr>
                                <w:r w:rsidRPr="00234297">
                                  <w:t>Department of Treasury and Finance</w:t>
                                </w:r>
                                <w:r w:rsidRPr="00234297">
                                  <w:br/>
                                </w:r>
                                <w:r w:rsidR="004147BB">
                                  <w:t xml:space="preserve">Annual Report </w:t>
                                </w:r>
                                <w:r w:rsidR="00C30F42">
                                  <w:t>2024 | 25</w:t>
                                </w:r>
                              </w:p>
                            </w:tc>
                          </w:tr>
                        </w:tbl>
                        <w:p w14:paraId="29EE434C" w14:textId="77777777" w:rsidR="00113E1C" w:rsidRDefault="00113E1C" w:rsidP="00D90070"/>
                        <w:p w14:paraId="349891A4" w14:textId="77777777" w:rsidR="00113E1C" w:rsidRDefault="00113E1C" w:rsidP="00D90070"/>
                        <w:tbl>
                          <w:tblPr>
                            <w:tblW w:w="5001" w:type="pct"/>
                            <w:tblLayout w:type="fixed"/>
                            <w:tblCellMar>
                              <w:left w:w="57" w:type="dxa"/>
                              <w:right w:w="57" w:type="dxa"/>
                            </w:tblCellMar>
                            <w:tblLook w:val="0600" w:firstRow="0" w:lastRow="0" w:firstColumn="0" w:lastColumn="0" w:noHBand="1" w:noVBand="1"/>
                          </w:tblPr>
                          <w:tblGrid>
                            <w:gridCol w:w="536"/>
                            <w:gridCol w:w="5432"/>
                          </w:tblGrid>
                          <w:tr w:rsidR="00113E1C" w14:paraId="143D3A35" w14:textId="77777777" w:rsidTr="00D90070">
                            <w:trPr>
                              <w:cantSplit/>
                            </w:trPr>
                            <w:tc>
                              <w:tcPr>
                                <w:tcW w:w="800" w:type="dxa"/>
                              </w:tcPr>
                              <w:p w14:paraId="5C18064C" w14:textId="77777777" w:rsidR="00113E1C" w:rsidRDefault="00113E1C"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8918" w:type="dxa"/>
                              </w:tcPr>
                              <w:p w14:paraId="20B67F45" w14:textId="77777777" w:rsidR="00113E1C" w:rsidRDefault="00113E1C" w:rsidP="00D90070">
                                <w:pPr>
                                  <w:pStyle w:val="FooterEven"/>
                                </w:pPr>
                                <w:r w:rsidRPr="001B4BD5">
                                  <w:t>Department of Treasury and Finance</w:t>
                                </w:r>
                                <w:r w:rsidRPr="001B4BD5">
                                  <w:br/>
                                </w:r>
                                <w:r w:rsidRPr="00734B39">
                                  <w:t>Annual</w:t>
                                </w:r>
                                <w:r>
                                  <w:t xml:space="preserve"> Report 2016 | 17</w:t>
                                </w:r>
                              </w:p>
                            </w:tc>
                          </w:tr>
                        </w:tbl>
                        <w:p w14:paraId="0BEEC951" w14:textId="77777777" w:rsidR="00113E1C" w:rsidRDefault="00113E1C" w:rsidP="00D9007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AB0A71" id="_x0000_t202" coordsize="21600,21600" o:spt="202" path="m,l,21600r21600,l21600,xe">
              <v:stroke joinstyle="miter"/>
              <v:path gradientshapeok="t" o:connecttype="rect"/>
            </v:shapetype>
            <v:shape id="Text Box 10" o:spid="_x0000_s1056" type="#_x0000_t202" style="position:absolute;left:0;text-align:left;margin-left:-118.8pt;margin-top:167.75pt;width:312.5pt;height:41.75pt;rotation:90;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" filled="f" stroked="f" strokeweight=".5pt">
              <v:textbox>
                <w:txbxContent>
                  <w:tbl>
                    <w:tblPr>
                      <w:tblW w:w="5149" w:type="pct"/>
                      <w:tblLayout w:type="fixed"/>
                      <w:tblCellMar>
                        <w:left w:w="57" w:type="dxa"/>
                        <w:right w:w="57" w:type="dxa"/>
                      </w:tblCellMar>
                      <w:tblLook w:val="0600" w:firstRow="0" w:lastRow="0" w:firstColumn="0" w:lastColumn="0" w:noHBand="1" w:noVBand="1"/>
                    </w:tblPr>
                    <w:tblGrid>
                      <w:gridCol w:w="713"/>
                      <w:gridCol w:w="5432"/>
                    </w:tblGrid>
                    <w:tr w:rsidR="00113E1C" w14:paraId="3129C16D" w14:textId="77777777" w:rsidTr="00D90070">
                      <w:trPr>
                        <w:cantSplit/>
                      </w:trPr>
                      <w:tc>
                        <w:tcPr>
                          <w:tcW w:w="724" w:type="dxa"/>
                        </w:tcPr>
                        <w:p w14:paraId="4DDF0EE2" w14:textId="77777777" w:rsidR="00113E1C" w:rsidRDefault="00113E1C"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5537" w:type="dxa"/>
                        </w:tcPr>
                        <w:p w14:paraId="014AE46C" w14:textId="5A649DEA" w:rsidR="00113E1C" w:rsidRPr="00234297" w:rsidRDefault="00113E1C" w:rsidP="00D90070">
                          <w:pPr>
                            <w:pStyle w:val="FooterEven"/>
                          </w:pPr>
                          <w:r w:rsidRPr="00234297">
                            <w:t>Department of Treasury and Finance</w:t>
                          </w:r>
                          <w:r w:rsidRPr="00234297">
                            <w:br/>
                          </w:r>
                          <w:r w:rsidR="004147BB">
                            <w:t xml:space="preserve">Annual Report </w:t>
                          </w:r>
                          <w:r w:rsidR="00C30F42">
                            <w:t>2024 | 25</w:t>
                          </w:r>
                        </w:p>
                      </w:tc>
                    </w:tr>
                  </w:tbl>
                  <w:p w14:paraId="29EE434C" w14:textId="77777777" w:rsidR="00113E1C" w:rsidRDefault="00113E1C" w:rsidP="00D90070"/>
                  <w:p w14:paraId="349891A4" w14:textId="77777777" w:rsidR="00113E1C" w:rsidRDefault="00113E1C" w:rsidP="00D90070"/>
                  <w:tbl>
                    <w:tblPr>
                      <w:tblW w:w="5001" w:type="pct"/>
                      <w:tblLayout w:type="fixed"/>
                      <w:tblCellMar>
                        <w:left w:w="57" w:type="dxa"/>
                        <w:right w:w="57" w:type="dxa"/>
                      </w:tblCellMar>
                      <w:tblLook w:val="0600" w:firstRow="0" w:lastRow="0" w:firstColumn="0" w:lastColumn="0" w:noHBand="1" w:noVBand="1"/>
                    </w:tblPr>
                    <w:tblGrid>
                      <w:gridCol w:w="536"/>
                      <w:gridCol w:w="5432"/>
                    </w:tblGrid>
                    <w:tr w:rsidR="00113E1C" w14:paraId="143D3A35" w14:textId="77777777" w:rsidTr="00D90070">
                      <w:trPr>
                        <w:cantSplit/>
                      </w:trPr>
                      <w:tc>
                        <w:tcPr>
                          <w:tcW w:w="800" w:type="dxa"/>
                        </w:tcPr>
                        <w:p w14:paraId="5C18064C" w14:textId="77777777" w:rsidR="00113E1C" w:rsidRDefault="00113E1C"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8918" w:type="dxa"/>
                        </w:tcPr>
                        <w:p w14:paraId="20B67F45" w14:textId="77777777" w:rsidR="00113E1C" w:rsidRDefault="00113E1C" w:rsidP="00D90070">
                          <w:pPr>
                            <w:pStyle w:val="FooterEven"/>
                          </w:pPr>
                          <w:r w:rsidRPr="001B4BD5">
                            <w:t>Department of Treasury and Finance</w:t>
                          </w:r>
                          <w:r w:rsidRPr="001B4BD5">
                            <w:br/>
                          </w:r>
                          <w:r w:rsidRPr="00734B39">
                            <w:t>Annual</w:t>
                          </w:r>
                          <w:r>
                            <w:t xml:space="preserve"> Report 2016 | 17</w:t>
                          </w:r>
                        </w:p>
                      </w:tc>
                    </w:tr>
                  </w:tbl>
                  <w:p w14:paraId="0BEEC951" w14:textId="77777777" w:rsidR="00113E1C" w:rsidRDefault="00113E1C" w:rsidP="00D90070"/>
                </w:txbxContent>
              </v:textbox>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C2976" w14:textId="77777777" w:rsidR="00113E1C" w:rsidRPr="00E46487" w:rsidRDefault="00113E1C" w:rsidP="00D90070">
    <w:pPr>
      <w:pStyle w:val="Header"/>
      <w:jc w:val="right"/>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43E8B" w14:textId="77777777" w:rsidR="00113E1C" w:rsidRPr="00572502" w:rsidRDefault="00113E1C" w:rsidP="00D90070">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99675" w14:textId="77777777" w:rsidR="00FE7D93" w:rsidRDefault="00424AF2">
    <w:pPr>
      <w:pStyle w:val="Header"/>
    </w:pPr>
    <w:r>
      <w:rPr>
        <w:noProof/>
      </w:rPr>
      <mc:AlternateContent>
        <mc:Choice Requires="wps">
          <w:drawing>
            <wp:anchor distT="0" distB="0" distL="114300" distR="114300" simplePos="0" relativeHeight="251658266" behindDoc="0" locked="0" layoutInCell="1" allowOverlap="1" wp14:anchorId="106DBA48" wp14:editId="5C902356">
              <wp:simplePos x="0" y="0"/>
              <wp:positionH relativeFrom="page">
                <wp:posOffset>-1508760</wp:posOffset>
              </wp:positionH>
              <wp:positionV relativeFrom="page">
                <wp:posOffset>2130425</wp:posOffset>
              </wp:positionV>
              <wp:extent cx="3968750" cy="530225"/>
              <wp:effectExtent l="4762" t="0" r="0" b="0"/>
              <wp:wrapNone/>
              <wp:docPr id="321152503" name="Text Box 321152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a:off x="0" y="0"/>
                        <a:ext cx="3968750" cy="530225"/>
                      </a:xfrm>
                      <a:prstGeom prst="rect">
                        <a:avLst/>
                      </a:prstGeom>
                      <a:noFill/>
                      <a:ln w="6350">
                        <a:noFill/>
                      </a:ln>
                      <a:effectLst/>
                    </wps:spPr>
                    <wps:txbx>
                      <w:txbxContent>
                        <w:tbl>
                          <w:tblPr>
                            <w:tblW w:w="5149" w:type="pct"/>
                            <w:tblLayout w:type="fixed"/>
                            <w:tblCellMar>
                              <w:left w:w="57" w:type="dxa"/>
                              <w:right w:w="57" w:type="dxa"/>
                            </w:tblCellMar>
                            <w:tblLook w:val="0600" w:firstRow="0" w:lastRow="0" w:firstColumn="0" w:lastColumn="0" w:noHBand="1" w:noVBand="1"/>
                          </w:tblPr>
                          <w:tblGrid>
                            <w:gridCol w:w="713"/>
                            <w:gridCol w:w="5432"/>
                          </w:tblGrid>
                          <w:tr w:rsidR="00424AF2" w14:paraId="10C633D4" w14:textId="77777777" w:rsidTr="00D90070">
                            <w:trPr>
                              <w:cantSplit/>
                            </w:trPr>
                            <w:tc>
                              <w:tcPr>
                                <w:tcW w:w="724" w:type="dxa"/>
                              </w:tcPr>
                              <w:p w14:paraId="1B3F5734" w14:textId="77777777" w:rsidR="00424AF2" w:rsidRDefault="00424AF2"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5537" w:type="dxa"/>
                              </w:tcPr>
                              <w:p w14:paraId="6801311E" w14:textId="555224FA" w:rsidR="00424AF2" w:rsidRPr="00234297" w:rsidRDefault="00424AF2" w:rsidP="00D90070">
                                <w:pPr>
                                  <w:pStyle w:val="FooterEven"/>
                                </w:pPr>
                                <w:r w:rsidRPr="00234297">
                                  <w:t>Department of Treasury and Finance</w:t>
                                </w:r>
                                <w:r w:rsidRPr="00234297">
                                  <w:br/>
                                </w:r>
                                <w:r>
                                  <w:t xml:space="preserve">Annual Report </w:t>
                                </w:r>
                                <w:r w:rsidR="00C30F42">
                                  <w:t>2024 | 25</w:t>
                                </w:r>
                              </w:p>
                            </w:tc>
                          </w:tr>
                        </w:tbl>
                        <w:p w14:paraId="1EBEFD05" w14:textId="77777777" w:rsidR="00424AF2" w:rsidRDefault="00424AF2" w:rsidP="00424AF2"/>
                        <w:p w14:paraId="1FFD7AB7" w14:textId="77777777" w:rsidR="00424AF2" w:rsidRDefault="00424AF2" w:rsidP="00424AF2"/>
                        <w:tbl>
                          <w:tblPr>
                            <w:tblW w:w="5001" w:type="pct"/>
                            <w:tblLayout w:type="fixed"/>
                            <w:tblCellMar>
                              <w:left w:w="57" w:type="dxa"/>
                              <w:right w:w="57" w:type="dxa"/>
                            </w:tblCellMar>
                            <w:tblLook w:val="0600" w:firstRow="0" w:lastRow="0" w:firstColumn="0" w:lastColumn="0" w:noHBand="1" w:noVBand="1"/>
                          </w:tblPr>
                          <w:tblGrid>
                            <w:gridCol w:w="536"/>
                            <w:gridCol w:w="5432"/>
                          </w:tblGrid>
                          <w:tr w:rsidR="00424AF2" w14:paraId="3712D364" w14:textId="77777777" w:rsidTr="00D90070">
                            <w:trPr>
                              <w:cantSplit/>
                            </w:trPr>
                            <w:tc>
                              <w:tcPr>
                                <w:tcW w:w="800" w:type="dxa"/>
                              </w:tcPr>
                              <w:p w14:paraId="5A598669" w14:textId="77777777" w:rsidR="00424AF2" w:rsidRDefault="00424AF2"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8918" w:type="dxa"/>
                              </w:tcPr>
                              <w:p w14:paraId="3786525F" w14:textId="77777777" w:rsidR="00424AF2" w:rsidRDefault="00424AF2" w:rsidP="00D90070">
                                <w:pPr>
                                  <w:pStyle w:val="FooterEven"/>
                                </w:pPr>
                                <w:r w:rsidRPr="001B4BD5">
                                  <w:t>Department of Treasury and Finance</w:t>
                                </w:r>
                                <w:r w:rsidRPr="001B4BD5">
                                  <w:br/>
                                </w:r>
                                <w:r w:rsidRPr="00734B39">
                                  <w:t>Annual</w:t>
                                </w:r>
                                <w:r>
                                  <w:t xml:space="preserve"> Report 2016 | 17</w:t>
                                </w:r>
                              </w:p>
                            </w:tc>
                          </w:tr>
                        </w:tbl>
                        <w:p w14:paraId="684464BD" w14:textId="77777777" w:rsidR="00424AF2" w:rsidRDefault="00424AF2" w:rsidP="00424A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6DBA48" id="_x0000_t202" coordsize="21600,21600" o:spt="202" path="m,l,21600r21600,l21600,xe">
              <v:stroke joinstyle="miter"/>
              <v:path gradientshapeok="t" o:connecttype="rect"/>
            </v:shapetype>
            <v:shape id="Text Box 321152503" o:spid="_x0000_s1058" type="#_x0000_t202" style="position:absolute;left:0;text-align:left;margin-left:-118.8pt;margin-top:167.75pt;width:312.5pt;height:41.75pt;rotation:90;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" filled="f" stroked="f" strokeweight=".5pt">
              <v:textbox>
                <w:txbxContent>
                  <w:tbl>
                    <w:tblPr>
                      <w:tblW w:w="5149" w:type="pct"/>
                      <w:tblLayout w:type="fixed"/>
                      <w:tblCellMar>
                        <w:left w:w="57" w:type="dxa"/>
                        <w:right w:w="57" w:type="dxa"/>
                      </w:tblCellMar>
                      <w:tblLook w:val="0600" w:firstRow="0" w:lastRow="0" w:firstColumn="0" w:lastColumn="0" w:noHBand="1" w:noVBand="1"/>
                    </w:tblPr>
                    <w:tblGrid>
                      <w:gridCol w:w="713"/>
                      <w:gridCol w:w="5432"/>
                    </w:tblGrid>
                    <w:tr w:rsidR="00424AF2" w14:paraId="10C633D4" w14:textId="77777777" w:rsidTr="00D90070">
                      <w:trPr>
                        <w:cantSplit/>
                      </w:trPr>
                      <w:tc>
                        <w:tcPr>
                          <w:tcW w:w="724" w:type="dxa"/>
                        </w:tcPr>
                        <w:p w14:paraId="1B3F5734" w14:textId="77777777" w:rsidR="00424AF2" w:rsidRDefault="00424AF2"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5537" w:type="dxa"/>
                        </w:tcPr>
                        <w:p w14:paraId="6801311E" w14:textId="555224FA" w:rsidR="00424AF2" w:rsidRPr="00234297" w:rsidRDefault="00424AF2" w:rsidP="00D90070">
                          <w:pPr>
                            <w:pStyle w:val="FooterEven"/>
                          </w:pPr>
                          <w:r w:rsidRPr="00234297">
                            <w:t>Department of Treasury and Finance</w:t>
                          </w:r>
                          <w:r w:rsidRPr="00234297">
                            <w:br/>
                          </w:r>
                          <w:r>
                            <w:t xml:space="preserve">Annual Report </w:t>
                          </w:r>
                          <w:r w:rsidR="00C30F42">
                            <w:t>2024 | 25</w:t>
                          </w:r>
                        </w:p>
                      </w:tc>
                    </w:tr>
                  </w:tbl>
                  <w:p w14:paraId="1EBEFD05" w14:textId="77777777" w:rsidR="00424AF2" w:rsidRDefault="00424AF2" w:rsidP="00424AF2"/>
                  <w:p w14:paraId="1FFD7AB7" w14:textId="77777777" w:rsidR="00424AF2" w:rsidRDefault="00424AF2" w:rsidP="00424AF2"/>
                  <w:tbl>
                    <w:tblPr>
                      <w:tblW w:w="5001" w:type="pct"/>
                      <w:tblLayout w:type="fixed"/>
                      <w:tblCellMar>
                        <w:left w:w="57" w:type="dxa"/>
                        <w:right w:w="57" w:type="dxa"/>
                      </w:tblCellMar>
                      <w:tblLook w:val="0600" w:firstRow="0" w:lastRow="0" w:firstColumn="0" w:lastColumn="0" w:noHBand="1" w:noVBand="1"/>
                    </w:tblPr>
                    <w:tblGrid>
                      <w:gridCol w:w="536"/>
                      <w:gridCol w:w="5432"/>
                    </w:tblGrid>
                    <w:tr w:rsidR="00424AF2" w14:paraId="3712D364" w14:textId="77777777" w:rsidTr="00D90070">
                      <w:trPr>
                        <w:cantSplit/>
                      </w:trPr>
                      <w:tc>
                        <w:tcPr>
                          <w:tcW w:w="800" w:type="dxa"/>
                        </w:tcPr>
                        <w:p w14:paraId="5A598669" w14:textId="77777777" w:rsidR="00424AF2" w:rsidRDefault="00424AF2"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8918" w:type="dxa"/>
                        </w:tcPr>
                        <w:p w14:paraId="3786525F" w14:textId="77777777" w:rsidR="00424AF2" w:rsidRDefault="00424AF2" w:rsidP="00D90070">
                          <w:pPr>
                            <w:pStyle w:val="FooterEven"/>
                          </w:pPr>
                          <w:r w:rsidRPr="001B4BD5">
                            <w:t>Department of Treasury and Finance</w:t>
                          </w:r>
                          <w:r w:rsidRPr="001B4BD5">
                            <w:br/>
                          </w:r>
                          <w:r w:rsidRPr="00734B39">
                            <w:t>Annual</w:t>
                          </w:r>
                          <w:r>
                            <w:t xml:space="preserve"> Report 2016 | 17</w:t>
                          </w:r>
                        </w:p>
                      </w:tc>
                    </w:tr>
                  </w:tbl>
                  <w:p w14:paraId="684464BD" w14:textId="77777777" w:rsidR="00424AF2" w:rsidRDefault="00424AF2" w:rsidP="00424AF2"/>
                </w:txbxContent>
              </v:textbox>
              <w10:wrap anchorx="page" anchory="page"/>
            </v:shape>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B88EF" w14:textId="3F63C688" w:rsidR="00113E1C" w:rsidRPr="00E46487" w:rsidRDefault="00113E1C" w:rsidP="00D90070">
    <w:pPr>
      <w:pStyle w:val="Header"/>
      <w:jc w:val="right"/>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8F019" w14:textId="77777777" w:rsidR="00741824" w:rsidRPr="00741824" w:rsidRDefault="00741824" w:rsidP="0074182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525BE" w14:textId="77777777" w:rsidR="005D2595" w:rsidRPr="0067054D" w:rsidRDefault="005D2595" w:rsidP="00754FD1">
    <w:pPr>
      <w:pStyle w:val="Header"/>
      <w:ind w:left="-450" w:right="-475"/>
      <w:jc w:val="right"/>
      <w:rPr>
        <w:b/>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A0B41" w14:textId="77777777" w:rsidR="00B436E8" w:rsidRPr="00E46487" w:rsidRDefault="00B436E8" w:rsidP="00D90070">
    <w:pPr>
      <w:pStyle w:val="Header"/>
    </w:pPr>
  </w:p>
  <w:p w14:paraId="6E8E6BE4" w14:textId="77777777" w:rsidR="00E4000E" w:rsidRDefault="00E4000E">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91CE4" w14:textId="77777777" w:rsidR="00FE7D93" w:rsidRDefault="00336A2E">
    <w:pPr>
      <w:pStyle w:val="Header"/>
    </w:pPr>
    <w:r>
      <w:rPr>
        <w:noProof/>
      </w:rPr>
      <mc:AlternateContent>
        <mc:Choice Requires="wps">
          <w:drawing>
            <wp:anchor distT="0" distB="0" distL="114300" distR="114300" simplePos="0" relativeHeight="251658268" behindDoc="0" locked="0" layoutInCell="1" allowOverlap="1" wp14:anchorId="138E8D24" wp14:editId="5EC957D9">
              <wp:simplePos x="0" y="0"/>
              <wp:positionH relativeFrom="page">
                <wp:posOffset>-1508760</wp:posOffset>
              </wp:positionH>
              <wp:positionV relativeFrom="page">
                <wp:posOffset>2130425</wp:posOffset>
              </wp:positionV>
              <wp:extent cx="3968750" cy="530225"/>
              <wp:effectExtent l="4762" t="0" r="0" b="0"/>
              <wp:wrapNone/>
              <wp:docPr id="1880363217" name="Text Box 1880363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0">
                        <a:off x="0" y="0"/>
                        <a:ext cx="3968750" cy="530225"/>
                      </a:xfrm>
                      <a:prstGeom prst="rect">
                        <a:avLst/>
                      </a:prstGeom>
                      <a:noFill/>
                      <a:ln w="6350">
                        <a:noFill/>
                      </a:ln>
                      <a:effectLst/>
                    </wps:spPr>
                    <wps:txbx>
                      <w:txbxContent>
                        <w:tbl>
                          <w:tblPr>
                            <w:tblW w:w="5149" w:type="pct"/>
                            <w:tblLayout w:type="fixed"/>
                            <w:tblCellMar>
                              <w:left w:w="57" w:type="dxa"/>
                              <w:right w:w="57" w:type="dxa"/>
                            </w:tblCellMar>
                            <w:tblLook w:val="0600" w:firstRow="0" w:lastRow="0" w:firstColumn="0" w:lastColumn="0" w:noHBand="1" w:noVBand="1"/>
                          </w:tblPr>
                          <w:tblGrid>
                            <w:gridCol w:w="713"/>
                            <w:gridCol w:w="5432"/>
                          </w:tblGrid>
                          <w:tr w:rsidR="00336A2E" w14:paraId="7E7D11C0" w14:textId="77777777" w:rsidTr="00D90070">
                            <w:trPr>
                              <w:cantSplit/>
                            </w:trPr>
                            <w:tc>
                              <w:tcPr>
                                <w:tcW w:w="724" w:type="dxa"/>
                              </w:tcPr>
                              <w:p w14:paraId="1C55A67E" w14:textId="77777777" w:rsidR="00336A2E" w:rsidRDefault="00336A2E"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5537" w:type="dxa"/>
                              </w:tcPr>
                              <w:p w14:paraId="1CE0FE00" w14:textId="65826C25" w:rsidR="00336A2E" w:rsidRPr="00234297" w:rsidRDefault="00336A2E" w:rsidP="00D90070">
                                <w:pPr>
                                  <w:pStyle w:val="FooterEven"/>
                                </w:pPr>
                                <w:r w:rsidRPr="00234297">
                                  <w:t>Department of Treasury and Finance</w:t>
                                </w:r>
                                <w:r w:rsidRPr="00234297">
                                  <w:br/>
                                </w:r>
                                <w:r>
                                  <w:t xml:space="preserve">Annual Report </w:t>
                                </w:r>
                                <w:r w:rsidR="00C30F42">
                                  <w:t>2024 | 25</w:t>
                                </w:r>
                              </w:p>
                            </w:tc>
                          </w:tr>
                        </w:tbl>
                        <w:p w14:paraId="1F1EE518" w14:textId="77777777" w:rsidR="00336A2E" w:rsidRDefault="00336A2E" w:rsidP="005F183A"/>
                        <w:p w14:paraId="7F478462" w14:textId="77777777" w:rsidR="00336A2E" w:rsidRDefault="00336A2E" w:rsidP="005F183A"/>
                        <w:tbl>
                          <w:tblPr>
                            <w:tblW w:w="5001" w:type="pct"/>
                            <w:tblLayout w:type="fixed"/>
                            <w:tblCellMar>
                              <w:left w:w="57" w:type="dxa"/>
                              <w:right w:w="57" w:type="dxa"/>
                            </w:tblCellMar>
                            <w:tblLook w:val="0600" w:firstRow="0" w:lastRow="0" w:firstColumn="0" w:lastColumn="0" w:noHBand="1" w:noVBand="1"/>
                          </w:tblPr>
                          <w:tblGrid>
                            <w:gridCol w:w="536"/>
                            <w:gridCol w:w="5432"/>
                          </w:tblGrid>
                          <w:tr w:rsidR="00336A2E" w14:paraId="713B90DB" w14:textId="77777777" w:rsidTr="00D90070">
                            <w:trPr>
                              <w:cantSplit/>
                            </w:trPr>
                            <w:tc>
                              <w:tcPr>
                                <w:tcW w:w="800" w:type="dxa"/>
                              </w:tcPr>
                              <w:p w14:paraId="75AEAC6B" w14:textId="77777777" w:rsidR="00336A2E" w:rsidRDefault="00336A2E"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8918" w:type="dxa"/>
                              </w:tcPr>
                              <w:p w14:paraId="491978C9" w14:textId="77777777" w:rsidR="00336A2E" w:rsidRDefault="00336A2E" w:rsidP="00D90070">
                                <w:pPr>
                                  <w:pStyle w:val="FooterEven"/>
                                </w:pPr>
                                <w:r w:rsidRPr="001B4BD5">
                                  <w:t>Department of Treasury and Finance</w:t>
                                </w:r>
                                <w:r w:rsidRPr="001B4BD5">
                                  <w:br/>
                                </w:r>
                                <w:r w:rsidRPr="00734B39">
                                  <w:t>Annual</w:t>
                                </w:r>
                                <w:r>
                                  <w:t xml:space="preserve"> Report 2016 | 17</w:t>
                                </w:r>
                              </w:p>
                            </w:tc>
                          </w:tr>
                        </w:tbl>
                        <w:p w14:paraId="15311999" w14:textId="77777777" w:rsidR="00336A2E" w:rsidRDefault="00336A2E" w:rsidP="005F18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8E8D24" id="_x0000_t202" coordsize="21600,21600" o:spt="202" path="m,l,21600r21600,l21600,xe">
              <v:stroke joinstyle="miter"/>
              <v:path gradientshapeok="t" o:connecttype="rect"/>
            </v:shapetype>
            <v:shape id="Text Box 1880363217" o:spid="_x0000_s1060" type="#_x0000_t202" style="position:absolute;left:0;text-align:left;margin-left:-118.8pt;margin-top:167.75pt;width:312.5pt;height:41.75pt;rotation:90;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" filled="f" stroked="f" strokeweight=".5pt">
              <v:textbox>
                <w:txbxContent>
                  <w:tbl>
                    <w:tblPr>
                      <w:tblW w:w="5149" w:type="pct"/>
                      <w:tblLayout w:type="fixed"/>
                      <w:tblCellMar>
                        <w:left w:w="57" w:type="dxa"/>
                        <w:right w:w="57" w:type="dxa"/>
                      </w:tblCellMar>
                      <w:tblLook w:val="0600" w:firstRow="0" w:lastRow="0" w:firstColumn="0" w:lastColumn="0" w:noHBand="1" w:noVBand="1"/>
                    </w:tblPr>
                    <w:tblGrid>
                      <w:gridCol w:w="713"/>
                      <w:gridCol w:w="5432"/>
                    </w:tblGrid>
                    <w:tr w:rsidR="00336A2E" w14:paraId="7E7D11C0" w14:textId="77777777" w:rsidTr="00D90070">
                      <w:trPr>
                        <w:cantSplit/>
                      </w:trPr>
                      <w:tc>
                        <w:tcPr>
                          <w:tcW w:w="724" w:type="dxa"/>
                        </w:tcPr>
                        <w:p w14:paraId="1C55A67E" w14:textId="77777777" w:rsidR="00336A2E" w:rsidRDefault="00336A2E"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5537" w:type="dxa"/>
                        </w:tcPr>
                        <w:p w14:paraId="1CE0FE00" w14:textId="65826C25" w:rsidR="00336A2E" w:rsidRPr="00234297" w:rsidRDefault="00336A2E" w:rsidP="00D90070">
                          <w:pPr>
                            <w:pStyle w:val="FooterEven"/>
                          </w:pPr>
                          <w:r w:rsidRPr="00234297">
                            <w:t>Department of Treasury and Finance</w:t>
                          </w:r>
                          <w:r w:rsidRPr="00234297">
                            <w:br/>
                          </w:r>
                          <w:r>
                            <w:t xml:space="preserve">Annual Report </w:t>
                          </w:r>
                          <w:r w:rsidR="00C30F42">
                            <w:t>2024 | 25</w:t>
                          </w:r>
                        </w:p>
                      </w:tc>
                    </w:tr>
                  </w:tbl>
                  <w:p w14:paraId="1F1EE518" w14:textId="77777777" w:rsidR="00336A2E" w:rsidRDefault="00336A2E" w:rsidP="005F183A"/>
                  <w:p w14:paraId="7F478462" w14:textId="77777777" w:rsidR="00336A2E" w:rsidRDefault="00336A2E" w:rsidP="005F183A"/>
                  <w:tbl>
                    <w:tblPr>
                      <w:tblW w:w="5001" w:type="pct"/>
                      <w:tblLayout w:type="fixed"/>
                      <w:tblCellMar>
                        <w:left w:w="57" w:type="dxa"/>
                        <w:right w:w="57" w:type="dxa"/>
                      </w:tblCellMar>
                      <w:tblLook w:val="0600" w:firstRow="0" w:lastRow="0" w:firstColumn="0" w:lastColumn="0" w:noHBand="1" w:noVBand="1"/>
                    </w:tblPr>
                    <w:tblGrid>
                      <w:gridCol w:w="536"/>
                      <w:gridCol w:w="5432"/>
                    </w:tblGrid>
                    <w:tr w:rsidR="00336A2E" w14:paraId="713B90DB" w14:textId="77777777" w:rsidTr="00D90070">
                      <w:trPr>
                        <w:cantSplit/>
                      </w:trPr>
                      <w:tc>
                        <w:tcPr>
                          <w:tcW w:w="800" w:type="dxa"/>
                        </w:tcPr>
                        <w:p w14:paraId="75AEAC6B" w14:textId="77777777" w:rsidR="00336A2E" w:rsidRDefault="00336A2E" w:rsidP="00D90070">
                          <w:pPr>
                            <w:pStyle w:val="PageNumberLeft"/>
                          </w:pPr>
                          <w:r w:rsidRPr="0018749C">
                            <w:rPr>
                              <w:rStyle w:val="PageNumber"/>
                            </w:rPr>
                            <w:fldChar w:fldCharType="begin"/>
                          </w:r>
                          <w:r w:rsidRPr="0018749C">
                            <w:rPr>
                              <w:rStyle w:val="PageNumber"/>
                            </w:rPr>
                            <w:instrText xml:space="preserve"> Page </w:instrText>
                          </w:r>
                          <w:r w:rsidRPr="0018749C">
                            <w:rPr>
                              <w:rStyle w:val="PageNumber"/>
                            </w:rPr>
                            <w:fldChar w:fldCharType="separate"/>
                          </w:r>
                          <w:r>
                            <w:rPr>
                              <w:rStyle w:val="PageNumber"/>
                              <w:noProof/>
                            </w:rPr>
                            <w:t>104</w:t>
                          </w:r>
                          <w:r w:rsidRPr="0018749C">
                            <w:rPr>
                              <w:rStyle w:val="PageNumber"/>
                            </w:rPr>
                            <w:fldChar w:fldCharType="end"/>
                          </w:r>
                        </w:p>
                      </w:tc>
                      <w:tc>
                        <w:tcPr>
                          <w:tcW w:w="8918" w:type="dxa"/>
                        </w:tcPr>
                        <w:p w14:paraId="491978C9" w14:textId="77777777" w:rsidR="00336A2E" w:rsidRDefault="00336A2E" w:rsidP="00D90070">
                          <w:pPr>
                            <w:pStyle w:val="FooterEven"/>
                          </w:pPr>
                          <w:r w:rsidRPr="001B4BD5">
                            <w:t>Department of Treasury and Finance</w:t>
                          </w:r>
                          <w:r w:rsidRPr="001B4BD5">
                            <w:br/>
                          </w:r>
                          <w:r w:rsidRPr="00734B39">
                            <w:t>Annual</w:t>
                          </w:r>
                          <w:r>
                            <w:t xml:space="preserve"> Report 2016 | 17</w:t>
                          </w:r>
                        </w:p>
                      </w:tc>
                    </w:tr>
                  </w:tbl>
                  <w:p w14:paraId="15311999" w14:textId="77777777" w:rsidR="00336A2E" w:rsidRDefault="00336A2E" w:rsidP="005F183A"/>
                </w:txbxContent>
              </v:textbox>
              <w10:wrap anchorx="page" anchory="page"/>
            </v:shape>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ECE05" w14:textId="77777777" w:rsidR="00440360" w:rsidRDefault="00440360">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9393F0" w14:textId="611F851C" w:rsidR="00113E1C" w:rsidRPr="00572502" w:rsidRDefault="00113E1C" w:rsidP="00D90070">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17F32" w14:textId="77777777" w:rsidR="00113E1C" w:rsidRPr="00E46487" w:rsidRDefault="00113E1C" w:rsidP="00D90070">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F2780" w14:textId="77777777" w:rsidR="00113E1C" w:rsidRPr="00E46487" w:rsidRDefault="00113E1C" w:rsidP="00D90070">
    <w:pPr>
      <w:pStyle w:val="Header"/>
      <w:jc w:val="right"/>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FDDA2" w14:textId="77777777" w:rsidR="00113E1C" w:rsidRPr="00E46487" w:rsidRDefault="00113E1C" w:rsidP="00D90070">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0877B0" w14:textId="77777777" w:rsidR="00113E1C" w:rsidRPr="00E46487" w:rsidRDefault="00113E1C" w:rsidP="00D90070">
    <w:pPr>
      <w:pStyle w:val="Header"/>
      <w:jc w:val="right"/>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96B71" w14:textId="77777777" w:rsidR="00113E1C" w:rsidRPr="00E46487" w:rsidRDefault="00113E1C" w:rsidP="00E46487">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405C3" w14:textId="77777777" w:rsidR="00113E1C" w:rsidRPr="00E46487" w:rsidRDefault="00113E1C" w:rsidP="0028555D">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9CA19B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4B2D3B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27424F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7B0D03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B461B0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D0A329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B2C084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2A7C38C2"/>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25A6CEC2"/>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18F6B3F"/>
    <w:multiLevelType w:val="hybridMultilevel"/>
    <w:tmpl w:val="232221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2E6551A"/>
    <w:multiLevelType w:val="multilevel"/>
    <w:tmpl w:val="318414D6"/>
    <w:lvl w:ilvl="0">
      <w:start w:val="1"/>
      <w:numFmt w:val="decimal"/>
      <w:lvlText w:val="%1."/>
      <w:lvlJc w:val="left"/>
      <w:pPr>
        <w:tabs>
          <w:tab w:val="num" w:pos="720"/>
        </w:tabs>
        <w:ind w:left="720" w:hanging="720"/>
      </w:pPr>
    </w:lvl>
    <w:lvl w:ilvl="1">
      <w:start w:val="1"/>
      <w:numFmt w:val="decimal"/>
      <w:pStyle w:val="Heading1Fin"/>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4415D10"/>
    <w:multiLevelType w:val="multilevel"/>
    <w:tmpl w:val="003EB5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6A767AF"/>
    <w:multiLevelType w:val="hybridMultilevel"/>
    <w:tmpl w:val="FFFFFFFF"/>
    <w:lvl w:ilvl="0" w:tplc="91304782">
      <w:start w:val="1"/>
      <w:numFmt w:val="bullet"/>
      <w:lvlText w:val=""/>
      <w:lvlJc w:val="left"/>
      <w:pPr>
        <w:ind w:left="720" w:hanging="360"/>
      </w:pPr>
      <w:rPr>
        <w:rFonts w:ascii="Symbol" w:hAnsi="Symbol" w:hint="default"/>
      </w:rPr>
    </w:lvl>
    <w:lvl w:ilvl="1" w:tplc="C45C9B02">
      <w:start w:val="1"/>
      <w:numFmt w:val="bullet"/>
      <w:lvlText w:val="o"/>
      <w:lvlJc w:val="left"/>
      <w:pPr>
        <w:ind w:left="1440" w:hanging="360"/>
      </w:pPr>
      <w:rPr>
        <w:rFonts w:ascii="Courier New" w:hAnsi="Courier New" w:hint="default"/>
      </w:rPr>
    </w:lvl>
    <w:lvl w:ilvl="2" w:tplc="1D3E4D50">
      <w:start w:val="1"/>
      <w:numFmt w:val="bullet"/>
      <w:lvlText w:val=""/>
      <w:lvlJc w:val="left"/>
      <w:pPr>
        <w:ind w:left="2160" w:hanging="360"/>
      </w:pPr>
      <w:rPr>
        <w:rFonts w:ascii="Wingdings" w:hAnsi="Wingdings" w:hint="default"/>
      </w:rPr>
    </w:lvl>
    <w:lvl w:ilvl="3" w:tplc="86DE660A">
      <w:start w:val="1"/>
      <w:numFmt w:val="bullet"/>
      <w:lvlText w:val=""/>
      <w:lvlJc w:val="left"/>
      <w:pPr>
        <w:ind w:left="2880" w:hanging="360"/>
      </w:pPr>
      <w:rPr>
        <w:rFonts w:ascii="Symbol" w:hAnsi="Symbol" w:hint="default"/>
      </w:rPr>
    </w:lvl>
    <w:lvl w:ilvl="4" w:tplc="27BA8808">
      <w:start w:val="1"/>
      <w:numFmt w:val="bullet"/>
      <w:lvlText w:val="o"/>
      <w:lvlJc w:val="left"/>
      <w:pPr>
        <w:ind w:left="3600" w:hanging="360"/>
      </w:pPr>
      <w:rPr>
        <w:rFonts w:ascii="Courier New" w:hAnsi="Courier New" w:hint="default"/>
      </w:rPr>
    </w:lvl>
    <w:lvl w:ilvl="5" w:tplc="0076E91E">
      <w:start w:val="1"/>
      <w:numFmt w:val="bullet"/>
      <w:lvlText w:val=""/>
      <w:lvlJc w:val="left"/>
      <w:pPr>
        <w:ind w:left="4320" w:hanging="360"/>
      </w:pPr>
      <w:rPr>
        <w:rFonts w:ascii="Wingdings" w:hAnsi="Wingdings" w:hint="default"/>
      </w:rPr>
    </w:lvl>
    <w:lvl w:ilvl="6" w:tplc="B5F8975E">
      <w:start w:val="1"/>
      <w:numFmt w:val="bullet"/>
      <w:lvlText w:val=""/>
      <w:lvlJc w:val="left"/>
      <w:pPr>
        <w:ind w:left="5040" w:hanging="360"/>
      </w:pPr>
      <w:rPr>
        <w:rFonts w:ascii="Symbol" w:hAnsi="Symbol" w:hint="default"/>
      </w:rPr>
    </w:lvl>
    <w:lvl w:ilvl="7" w:tplc="5E64B5CE">
      <w:start w:val="1"/>
      <w:numFmt w:val="bullet"/>
      <w:lvlText w:val="o"/>
      <w:lvlJc w:val="left"/>
      <w:pPr>
        <w:ind w:left="5760" w:hanging="360"/>
      </w:pPr>
      <w:rPr>
        <w:rFonts w:ascii="Courier New" w:hAnsi="Courier New" w:hint="default"/>
      </w:rPr>
    </w:lvl>
    <w:lvl w:ilvl="8" w:tplc="3A9E08D4">
      <w:start w:val="1"/>
      <w:numFmt w:val="bullet"/>
      <w:lvlText w:val=""/>
      <w:lvlJc w:val="left"/>
      <w:pPr>
        <w:ind w:left="6480" w:hanging="360"/>
      </w:pPr>
      <w:rPr>
        <w:rFonts w:ascii="Wingdings" w:hAnsi="Wingdings" w:hint="default"/>
      </w:rPr>
    </w:lvl>
  </w:abstractNum>
  <w:abstractNum w:abstractNumId="13" w15:restartNumberingAfterBreak="0">
    <w:nsid w:val="06EE77F9"/>
    <w:multiLevelType w:val="multilevel"/>
    <w:tmpl w:val="FED2554C"/>
    <w:lvl w:ilvl="0">
      <w:start w:val="1"/>
      <w:numFmt w:val="decimal"/>
      <w:lvlText w:val="%1."/>
      <w:lvlJc w:val="left"/>
      <w:pPr>
        <w:ind w:left="397" w:hanging="397"/>
      </w:pPr>
      <w:rPr>
        <w:rFonts w:hint="default"/>
      </w:rPr>
    </w:lvl>
    <w:lvl w:ilvl="1">
      <w:start w:val="1"/>
      <w:numFmt w:val="decimal"/>
      <w:lvlText w:val="%1.%2"/>
      <w:lvlJc w:val="left"/>
      <w:pPr>
        <w:ind w:left="908" w:hanging="624"/>
      </w:pPr>
      <w:rPr>
        <w:rFonts w:hint="default"/>
      </w:rPr>
    </w:lvl>
    <w:lvl w:ilvl="2">
      <w:start w:val="1"/>
      <w:numFmt w:val="decimal"/>
      <w:lvlText w:val="%1.%2.%3"/>
      <w:lvlJc w:val="left"/>
      <w:pPr>
        <w:ind w:left="851" w:hanging="851"/>
      </w:pPr>
    </w:lvl>
    <w:lvl w:ilvl="3">
      <w:start w:val="1"/>
      <w:numFmt w:val="decimal"/>
      <w:lvlText w:val="%1.%2.%3.%4"/>
      <w:lvlJc w:val="left"/>
      <w:pPr>
        <w:ind w:left="1247" w:hanging="1247"/>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06F45CEF"/>
    <w:multiLevelType w:val="multilevel"/>
    <w:tmpl w:val="1C565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706107E"/>
    <w:multiLevelType w:val="hybridMultilevel"/>
    <w:tmpl w:val="CFD81AA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08D4FBCD"/>
    <w:multiLevelType w:val="hybridMultilevel"/>
    <w:tmpl w:val="FFFFFFFF"/>
    <w:lvl w:ilvl="0" w:tplc="2B64F3BE">
      <w:start w:val="1"/>
      <w:numFmt w:val="bullet"/>
      <w:lvlText w:val=""/>
      <w:lvlJc w:val="left"/>
      <w:pPr>
        <w:ind w:left="720" w:hanging="360"/>
      </w:pPr>
      <w:rPr>
        <w:rFonts w:ascii="Symbol" w:hAnsi="Symbol" w:hint="default"/>
      </w:rPr>
    </w:lvl>
    <w:lvl w:ilvl="1" w:tplc="48BCDF02">
      <w:start w:val="1"/>
      <w:numFmt w:val="bullet"/>
      <w:lvlText w:val="o"/>
      <w:lvlJc w:val="left"/>
      <w:pPr>
        <w:ind w:left="1440" w:hanging="360"/>
      </w:pPr>
      <w:rPr>
        <w:rFonts w:ascii="Courier New" w:hAnsi="Courier New" w:hint="default"/>
      </w:rPr>
    </w:lvl>
    <w:lvl w:ilvl="2" w:tplc="ED3A8700">
      <w:start w:val="1"/>
      <w:numFmt w:val="bullet"/>
      <w:lvlText w:val=""/>
      <w:lvlJc w:val="left"/>
      <w:pPr>
        <w:ind w:left="2160" w:hanging="360"/>
      </w:pPr>
      <w:rPr>
        <w:rFonts w:ascii="Wingdings" w:hAnsi="Wingdings" w:hint="default"/>
      </w:rPr>
    </w:lvl>
    <w:lvl w:ilvl="3" w:tplc="73889828">
      <w:start w:val="1"/>
      <w:numFmt w:val="bullet"/>
      <w:lvlText w:val=""/>
      <w:lvlJc w:val="left"/>
      <w:pPr>
        <w:ind w:left="2880" w:hanging="360"/>
      </w:pPr>
      <w:rPr>
        <w:rFonts w:ascii="Symbol" w:hAnsi="Symbol" w:hint="default"/>
      </w:rPr>
    </w:lvl>
    <w:lvl w:ilvl="4" w:tplc="BA96AB4A">
      <w:start w:val="1"/>
      <w:numFmt w:val="bullet"/>
      <w:lvlText w:val="o"/>
      <w:lvlJc w:val="left"/>
      <w:pPr>
        <w:ind w:left="3600" w:hanging="360"/>
      </w:pPr>
      <w:rPr>
        <w:rFonts w:ascii="Courier New" w:hAnsi="Courier New" w:hint="default"/>
      </w:rPr>
    </w:lvl>
    <w:lvl w:ilvl="5" w:tplc="BAB8B36C">
      <w:start w:val="1"/>
      <w:numFmt w:val="bullet"/>
      <w:lvlText w:val=""/>
      <w:lvlJc w:val="left"/>
      <w:pPr>
        <w:ind w:left="4320" w:hanging="360"/>
      </w:pPr>
      <w:rPr>
        <w:rFonts w:ascii="Wingdings" w:hAnsi="Wingdings" w:hint="default"/>
      </w:rPr>
    </w:lvl>
    <w:lvl w:ilvl="6" w:tplc="E29ABE98">
      <w:start w:val="1"/>
      <w:numFmt w:val="bullet"/>
      <w:lvlText w:val=""/>
      <w:lvlJc w:val="left"/>
      <w:pPr>
        <w:ind w:left="5040" w:hanging="360"/>
      </w:pPr>
      <w:rPr>
        <w:rFonts w:ascii="Symbol" w:hAnsi="Symbol" w:hint="default"/>
      </w:rPr>
    </w:lvl>
    <w:lvl w:ilvl="7" w:tplc="8668DA06">
      <w:start w:val="1"/>
      <w:numFmt w:val="bullet"/>
      <w:lvlText w:val="o"/>
      <w:lvlJc w:val="left"/>
      <w:pPr>
        <w:ind w:left="5760" w:hanging="360"/>
      </w:pPr>
      <w:rPr>
        <w:rFonts w:ascii="Courier New" w:hAnsi="Courier New" w:hint="default"/>
      </w:rPr>
    </w:lvl>
    <w:lvl w:ilvl="8" w:tplc="990C0748">
      <w:start w:val="1"/>
      <w:numFmt w:val="bullet"/>
      <w:lvlText w:val=""/>
      <w:lvlJc w:val="left"/>
      <w:pPr>
        <w:ind w:left="6480" w:hanging="360"/>
      </w:pPr>
      <w:rPr>
        <w:rFonts w:ascii="Wingdings" w:hAnsi="Wingdings" w:hint="default"/>
      </w:rPr>
    </w:lvl>
  </w:abstractNum>
  <w:abstractNum w:abstractNumId="17" w15:restartNumberingAfterBreak="0">
    <w:nsid w:val="0B3DCC06"/>
    <w:multiLevelType w:val="hybridMultilevel"/>
    <w:tmpl w:val="FFFFFFFF"/>
    <w:lvl w:ilvl="0" w:tplc="EF145AD4">
      <w:start w:val="1"/>
      <w:numFmt w:val="bullet"/>
      <w:lvlText w:val=""/>
      <w:lvlJc w:val="left"/>
      <w:pPr>
        <w:ind w:left="720" w:hanging="360"/>
      </w:pPr>
      <w:rPr>
        <w:rFonts w:ascii="Symbol" w:hAnsi="Symbol" w:hint="default"/>
      </w:rPr>
    </w:lvl>
    <w:lvl w:ilvl="1" w:tplc="09A8E3AA">
      <w:start w:val="1"/>
      <w:numFmt w:val="bullet"/>
      <w:lvlText w:val="o"/>
      <w:lvlJc w:val="left"/>
      <w:pPr>
        <w:ind w:left="1440" w:hanging="360"/>
      </w:pPr>
      <w:rPr>
        <w:rFonts w:ascii="Courier New" w:hAnsi="Courier New" w:hint="default"/>
      </w:rPr>
    </w:lvl>
    <w:lvl w:ilvl="2" w:tplc="B57A87F0">
      <w:start w:val="1"/>
      <w:numFmt w:val="bullet"/>
      <w:lvlText w:val=""/>
      <w:lvlJc w:val="left"/>
      <w:pPr>
        <w:ind w:left="2160" w:hanging="360"/>
      </w:pPr>
      <w:rPr>
        <w:rFonts w:ascii="Wingdings" w:hAnsi="Wingdings" w:hint="default"/>
      </w:rPr>
    </w:lvl>
    <w:lvl w:ilvl="3" w:tplc="6D04B45C">
      <w:start w:val="1"/>
      <w:numFmt w:val="bullet"/>
      <w:lvlText w:val=""/>
      <w:lvlJc w:val="left"/>
      <w:pPr>
        <w:ind w:left="2880" w:hanging="360"/>
      </w:pPr>
      <w:rPr>
        <w:rFonts w:ascii="Symbol" w:hAnsi="Symbol" w:hint="default"/>
      </w:rPr>
    </w:lvl>
    <w:lvl w:ilvl="4" w:tplc="B350AC1C">
      <w:start w:val="1"/>
      <w:numFmt w:val="bullet"/>
      <w:lvlText w:val="o"/>
      <w:lvlJc w:val="left"/>
      <w:pPr>
        <w:ind w:left="3600" w:hanging="360"/>
      </w:pPr>
      <w:rPr>
        <w:rFonts w:ascii="Courier New" w:hAnsi="Courier New" w:hint="default"/>
      </w:rPr>
    </w:lvl>
    <w:lvl w:ilvl="5" w:tplc="37762128">
      <w:start w:val="1"/>
      <w:numFmt w:val="bullet"/>
      <w:lvlText w:val=""/>
      <w:lvlJc w:val="left"/>
      <w:pPr>
        <w:ind w:left="4320" w:hanging="360"/>
      </w:pPr>
      <w:rPr>
        <w:rFonts w:ascii="Wingdings" w:hAnsi="Wingdings" w:hint="default"/>
      </w:rPr>
    </w:lvl>
    <w:lvl w:ilvl="6" w:tplc="87CC43F2">
      <w:start w:val="1"/>
      <w:numFmt w:val="bullet"/>
      <w:lvlText w:val=""/>
      <w:lvlJc w:val="left"/>
      <w:pPr>
        <w:ind w:left="5040" w:hanging="360"/>
      </w:pPr>
      <w:rPr>
        <w:rFonts w:ascii="Symbol" w:hAnsi="Symbol" w:hint="default"/>
      </w:rPr>
    </w:lvl>
    <w:lvl w:ilvl="7" w:tplc="2D08F634">
      <w:start w:val="1"/>
      <w:numFmt w:val="bullet"/>
      <w:lvlText w:val="o"/>
      <w:lvlJc w:val="left"/>
      <w:pPr>
        <w:ind w:left="5760" w:hanging="360"/>
      </w:pPr>
      <w:rPr>
        <w:rFonts w:ascii="Courier New" w:hAnsi="Courier New" w:hint="default"/>
      </w:rPr>
    </w:lvl>
    <w:lvl w:ilvl="8" w:tplc="D53041B0">
      <w:start w:val="1"/>
      <w:numFmt w:val="bullet"/>
      <w:lvlText w:val=""/>
      <w:lvlJc w:val="left"/>
      <w:pPr>
        <w:ind w:left="6480" w:hanging="360"/>
      </w:pPr>
      <w:rPr>
        <w:rFonts w:ascii="Wingdings" w:hAnsi="Wingdings" w:hint="default"/>
      </w:rPr>
    </w:lvl>
  </w:abstractNum>
  <w:abstractNum w:abstractNumId="18" w15:restartNumberingAfterBreak="0">
    <w:nsid w:val="0BFB7CF7"/>
    <w:multiLevelType w:val="hybridMultilevel"/>
    <w:tmpl w:val="FFFFFFFF"/>
    <w:lvl w:ilvl="0" w:tplc="8DDCD350">
      <w:start w:val="1"/>
      <w:numFmt w:val="bullet"/>
      <w:lvlText w:val=""/>
      <w:lvlJc w:val="left"/>
      <w:pPr>
        <w:ind w:left="720" w:hanging="360"/>
      </w:pPr>
      <w:rPr>
        <w:rFonts w:ascii="Symbol" w:hAnsi="Symbol" w:hint="default"/>
      </w:rPr>
    </w:lvl>
    <w:lvl w:ilvl="1" w:tplc="25268B26">
      <w:start w:val="1"/>
      <w:numFmt w:val="bullet"/>
      <w:lvlText w:val="o"/>
      <w:lvlJc w:val="left"/>
      <w:pPr>
        <w:ind w:left="1440" w:hanging="360"/>
      </w:pPr>
      <w:rPr>
        <w:rFonts w:ascii="Courier New" w:hAnsi="Courier New" w:hint="default"/>
      </w:rPr>
    </w:lvl>
    <w:lvl w:ilvl="2" w:tplc="A0CAE332">
      <w:start w:val="1"/>
      <w:numFmt w:val="bullet"/>
      <w:lvlText w:val=""/>
      <w:lvlJc w:val="left"/>
      <w:pPr>
        <w:ind w:left="2160" w:hanging="360"/>
      </w:pPr>
      <w:rPr>
        <w:rFonts w:ascii="Wingdings" w:hAnsi="Wingdings" w:hint="default"/>
      </w:rPr>
    </w:lvl>
    <w:lvl w:ilvl="3" w:tplc="89446C08">
      <w:start w:val="1"/>
      <w:numFmt w:val="bullet"/>
      <w:lvlText w:val=""/>
      <w:lvlJc w:val="left"/>
      <w:pPr>
        <w:ind w:left="2880" w:hanging="360"/>
      </w:pPr>
      <w:rPr>
        <w:rFonts w:ascii="Symbol" w:hAnsi="Symbol" w:hint="default"/>
      </w:rPr>
    </w:lvl>
    <w:lvl w:ilvl="4" w:tplc="E78A5250">
      <w:start w:val="1"/>
      <w:numFmt w:val="bullet"/>
      <w:lvlText w:val="o"/>
      <w:lvlJc w:val="left"/>
      <w:pPr>
        <w:ind w:left="3600" w:hanging="360"/>
      </w:pPr>
      <w:rPr>
        <w:rFonts w:ascii="Courier New" w:hAnsi="Courier New" w:hint="default"/>
      </w:rPr>
    </w:lvl>
    <w:lvl w:ilvl="5" w:tplc="33DE1F24">
      <w:start w:val="1"/>
      <w:numFmt w:val="bullet"/>
      <w:lvlText w:val=""/>
      <w:lvlJc w:val="left"/>
      <w:pPr>
        <w:ind w:left="4320" w:hanging="360"/>
      </w:pPr>
      <w:rPr>
        <w:rFonts w:ascii="Wingdings" w:hAnsi="Wingdings" w:hint="default"/>
      </w:rPr>
    </w:lvl>
    <w:lvl w:ilvl="6" w:tplc="1A34BB58">
      <w:start w:val="1"/>
      <w:numFmt w:val="bullet"/>
      <w:lvlText w:val=""/>
      <w:lvlJc w:val="left"/>
      <w:pPr>
        <w:ind w:left="5040" w:hanging="360"/>
      </w:pPr>
      <w:rPr>
        <w:rFonts w:ascii="Symbol" w:hAnsi="Symbol" w:hint="default"/>
      </w:rPr>
    </w:lvl>
    <w:lvl w:ilvl="7" w:tplc="AE4E58E0">
      <w:start w:val="1"/>
      <w:numFmt w:val="bullet"/>
      <w:lvlText w:val="o"/>
      <w:lvlJc w:val="left"/>
      <w:pPr>
        <w:ind w:left="5760" w:hanging="360"/>
      </w:pPr>
      <w:rPr>
        <w:rFonts w:ascii="Courier New" w:hAnsi="Courier New" w:hint="default"/>
      </w:rPr>
    </w:lvl>
    <w:lvl w:ilvl="8" w:tplc="F4004DAC">
      <w:start w:val="1"/>
      <w:numFmt w:val="bullet"/>
      <w:lvlText w:val=""/>
      <w:lvlJc w:val="left"/>
      <w:pPr>
        <w:ind w:left="6480" w:hanging="360"/>
      </w:pPr>
      <w:rPr>
        <w:rFonts w:ascii="Wingdings" w:hAnsi="Wingdings" w:hint="default"/>
      </w:rPr>
    </w:lvl>
  </w:abstractNum>
  <w:abstractNum w:abstractNumId="19" w15:restartNumberingAfterBreak="0">
    <w:nsid w:val="0C7CB6A2"/>
    <w:multiLevelType w:val="hybridMultilevel"/>
    <w:tmpl w:val="FFFFFFFF"/>
    <w:lvl w:ilvl="0" w:tplc="ACE2EA94">
      <w:start w:val="1"/>
      <w:numFmt w:val="bullet"/>
      <w:lvlText w:val=""/>
      <w:lvlJc w:val="left"/>
      <w:pPr>
        <w:ind w:left="720" w:hanging="360"/>
      </w:pPr>
      <w:rPr>
        <w:rFonts w:ascii="Symbol" w:hAnsi="Symbol" w:hint="default"/>
      </w:rPr>
    </w:lvl>
    <w:lvl w:ilvl="1" w:tplc="CE02C88A">
      <w:start w:val="1"/>
      <w:numFmt w:val="bullet"/>
      <w:lvlText w:val="o"/>
      <w:lvlJc w:val="left"/>
      <w:pPr>
        <w:ind w:left="1440" w:hanging="360"/>
      </w:pPr>
      <w:rPr>
        <w:rFonts w:ascii="Courier New" w:hAnsi="Courier New" w:hint="default"/>
      </w:rPr>
    </w:lvl>
    <w:lvl w:ilvl="2" w:tplc="0F4072DE">
      <w:start w:val="1"/>
      <w:numFmt w:val="bullet"/>
      <w:lvlText w:val=""/>
      <w:lvlJc w:val="left"/>
      <w:pPr>
        <w:ind w:left="2160" w:hanging="360"/>
      </w:pPr>
      <w:rPr>
        <w:rFonts w:ascii="Wingdings" w:hAnsi="Wingdings" w:hint="default"/>
      </w:rPr>
    </w:lvl>
    <w:lvl w:ilvl="3" w:tplc="3DBCDDE4">
      <w:start w:val="1"/>
      <w:numFmt w:val="bullet"/>
      <w:lvlText w:val=""/>
      <w:lvlJc w:val="left"/>
      <w:pPr>
        <w:ind w:left="2880" w:hanging="360"/>
      </w:pPr>
      <w:rPr>
        <w:rFonts w:ascii="Symbol" w:hAnsi="Symbol" w:hint="default"/>
      </w:rPr>
    </w:lvl>
    <w:lvl w:ilvl="4" w:tplc="FA2048A8">
      <w:start w:val="1"/>
      <w:numFmt w:val="bullet"/>
      <w:lvlText w:val="o"/>
      <w:lvlJc w:val="left"/>
      <w:pPr>
        <w:ind w:left="3600" w:hanging="360"/>
      </w:pPr>
      <w:rPr>
        <w:rFonts w:ascii="Courier New" w:hAnsi="Courier New" w:hint="default"/>
      </w:rPr>
    </w:lvl>
    <w:lvl w:ilvl="5" w:tplc="C5E6A3DC">
      <w:start w:val="1"/>
      <w:numFmt w:val="bullet"/>
      <w:lvlText w:val=""/>
      <w:lvlJc w:val="left"/>
      <w:pPr>
        <w:ind w:left="4320" w:hanging="360"/>
      </w:pPr>
      <w:rPr>
        <w:rFonts w:ascii="Wingdings" w:hAnsi="Wingdings" w:hint="default"/>
      </w:rPr>
    </w:lvl>
    <w:lvl w:ilvl="6" w:tplc="AA040F8E">
      <w:start w:val="1"/>
      <w:numFmt w:val="bullet"/>
      <w:lvlText w:val=""/>
      <w:lvlJc w:val="left"/>
      <w:pPr>
        <w:ind w:left="5040" w:hanging="360"/>
      </w:pPr>
      <w:rPr>
        <w:rFonts w:ascii="Symbol" w:hAnsi="Symbol" w:hint="default"/>
      </w:rPr>
    </w:lvl>
    <w:lvl w:ilvl="7" w:tplc="2B48B798">
      <w:start w:val="1"/>
      <w:numFmt w:val="bullet"/>
      <w:lvlText w:val="o"/>
      <w:lvlJc w:val="left"/>
      <w:pPr>
        <w:ind w:left="5760" w:hanging="360"/>
      </w:pPr>
      <w:rPr>
        <w:rFonts w:ascii="Courier New" w:hAnsi="Courier New" w:hint="default"/>
      </w:rPr>
    </w:lvl>
    <w:lvl w:ilvl="8" w:tplc="CCBE0D5A">
      <w:start w:val="1"/>
      <w:numFmt w:val="bullet"/>
      <w:lvlText w:val=""/>
      <w:lvlJc w:val="left"/>
      <w:pPr>
        <w:ind w:left="6480" w:hanging="360"/>
      </w:pPr>
      <w:rPr>
        <w:rFonts w:ascii="Wingdings" w:hAnsi="Wingdings" w:hint="default"/>
      </w:rPr>
    </w:lvl>
  </w:abstractNum>
  <w:abstractNum w:abstractNumId="20" w15:restartNumberingAfterBreak="0">
    <w:nsid w:val="0F375EBA"/>
    <w:multiLevelType w:val="hybridMultilevel"/>
    <w:tmpl w:val="154ECA10"/>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15:restartNumberingAfterBreak="0">
    <w:nsid w:val="1098E4DB"/>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1315451F"/>
    <w:multiLevelType w:val="hybridMultilevel"/>
    <w:tmpl w:val="D0668C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5656B82"/>
    <w:multiLevelType w:val="hybridMultilevel"/>
    <w:tmpl w:val="63C4C2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16C94D16"/>
    <w:multiLevelType w:val="multilevel"/>
    <w:tmpl w:val="066A61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7721F95"/>
    <w:multiLevelType w:val="hybridMultilevel"/>
    <w:tmpl w:val="3C200E66"/>
    <w:lvl w:ilvl="0" w:tplc="C0C265FE">
      <w:start w:val="1"/>
      <w:numFmt w:val="bullet"/>
      <w:pStyle w:val="Tablebullet"/>
      <w:lvlText w:val=""/>
      <w:lvlJc w:val="left"/>
      <w:pPr>
        <w:tabs>
          <w:tab w:val="num" w:pos="360"/>
        </w:tabs>
        <w:ind w:left="360" w:hanging="360"/>
      </w:pPr>
      <w:rPr>
        <w:rFonts w:ascii="Symbol" w:hAnsi="Symbol" w:hint="default"/>
        <w:sz w:val="14"/>
        <w:szCs w:val="14"/>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1785041B"/>
    <w:multiLevelType w:val="hybridMultilevel"/>
    <w:tmpl w:val="CB4CAC88"/>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1A36386E"/>
    <w:multiLevelType w:val="multilevel"/>
    <w:tmpl w:val="4C8629F6"/>
    <w:lvl w:ilvl="0">
      <w:start w:val="1"/>
      <w:numFmt w:val="bullet"/>
      <w:lvlText w:val=""/>
      <w:lvlJc w:val="left"/>
      <w:pPr>
        <w:ind w:left="284" w:hanging="284"/>
      </w:pPr>
      <w:rPr>
        <w:rFonts w:ascii="Symbol" w:hAnsi="Symbol" w:hint="default"/>
      </w:rPr>
    </w:lvl>
    <w:lvl w:ilvl="1">
      <w:start w:val="1"/>
      <w:numFmt w:val="bullet"/>
      <w:lvlText w:val="–"/>
      <w:lvlJc w:val="left"/>
      <w:pPr>
        <w:ind w:left="568" w:hanging="284"/>
      </w:pPr>
      <w:rPr>
        <w:rFonts w:ascii="Arial" w:hAnsi="Arial" w:hint="default"/>
      </w:rPr>
    </w:lvl>
    <w:lvl w:ilvl="2">
      <w:start w:val="1"/>
      <w:numFmt w:val="bullet"/>
      <w:lvlText w:val=""/>
      <w:lvlJc w:val="left"/>
      <w:pPr>
        <w:ind w:left="852" w:hanging="284"/>
      </w:pPr>
      <w:rPr>
        <w:rFonts w:ascii="Symbol" w:hAnsi="Symbol"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8" w15:restartNumberingAfterBreak="0">
    <w:nsid w:val="1B94253C"/>
    <w:multiLevelType w:val="hybridMultilevel"/>
    <w:tmpl w:val="6BCCF1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C7428E2"/>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1DF86308"/>
    <w:multiLevelType w:val="hybridMultilevel"/>
    <w:tmpl w:val="3CBA245E"/>
    <w:lvl w:ilvl="0" w:tplc="FFFFFFFF">
      <w:start w:val="1"/>
      <w:numFmt w:val="lowerLetter"/>
      <w:lvlText w:val="(%1)"/>
      <w:lvlJc w:val="left"/>
      <w:pPr>
        <w:ind w:left="360" w:hanging="360"/>
      </w:pPr>
      <w:rPr>
        <w:rFonts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 w15:restartNumberingAfterBreak="0">
    <w:nsid w:val="1DFE4963"/>
    <w:multiLevelType w:val="hybridMultilevel"/>
    <w:tmpl w:val="3ECA5C58"/>
    <w:lvl w:ilvl="0" w:tplc="27E4D372">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F692B31"/>
    <w:multiLevelType w:val="multilevel"/>
    <w:tmpl w:val="707E30EE"/>
    <w:lvl w:ilvl="0">
      <w:start w:val="1"/>
      <w:numFmt w:val="decimal"/>
      <w:pStyle w:val="Heading1numbered"/>
      <w:lvlText w:val="%1"/>
      <w:lvlJc w:val="left"/>
      <w:pPr>
        <w:ind w:left="432" w:hanging="432"/>
      </w:pPr>
      <w:rPr>
        <w:rFonts w:hint="default"/>
      </w:rPr>
    </w:lvl>
    <w:lvl w:ilvl="1">
      <w:start w:val="1"/>
      <w:numFmt w:val="decimal"/>
      <w:pStyle w:val="Heading2numbered"/>
      <w:lvlText w:val="%1.%2"/>
      <w:lvlJc w:val="left"/>
      <w:pPr>
        <w:ind w:left="576" w:hanging="576"/>
      </w:pPr>
      <w:rPr>
        <w:rFonts w:hint="default"/>
      </w:rPr>
    </w:lvl>
    <w:lvl w:ilvl="2">
      <w:start w:val="1"/>
      <w:numFmt w:val="decimal"/>
      <w:pStyle w:val="Heading3numbered"/>
      <w:lvlText w:val="%1.%2.%3"/>
      <w:lvlJc w:val="left"/>
      <w:pPr>
        <w:ind w:left="720" w:hanging="720"/>
      </w:pPr>
      <w:rPr>
        <w:rFonts w:hint="default"/>
        <w:color w:val="4F4F4F"/>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216C63B4"/>
    <w:multiLevelType w:val="hybridMultilevel"/>
    <w:tmpl w:val="412A66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237904BE"/>
    <w:multiLevelType w:val="multilevel"/>
    <w:tmpl w:val="385C814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3855F66"/>
    <w:multiLevelType w:val="multilevel"/>
    <w:tmpl w:val="4F805C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A2A3C3D"/>
    <w:multiLevelType w:val="hybridMultilevel"/>
    <w:tmpl w:val="425064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AEF4156"/>
    <w:multiLevelType w:val="hybridMultilevel"/>
    <w:tmpl w:val="96C0BA5E"/>
    <w:lvl w:ilvl="0" w:tplc="47585F6E">
      <w:start w:val="1"/>
      <w:numFmt w:val="bullet"/>
      <w:pStyle w:val="TOC4"/>
      <w:lvlText w:val="-"/>
      <w:lvlJc w:val="left"/>
      <w:pPr>
        <w:ind w:left="2707" w:hanging="360"/>
      </w:pPr>
      <w:rPr>
        <w:rFonts w:ascii="Symbol" w:hAnsi="Symbol" w:hint="default"/>
      </w:rPr>
    </w:lvl>
    <w:lvl w:ilvl="1" w:tplc="0C090003" w:tentative="1">
      <w:start w:val="1"/>
      <w:numFmt w:val="bullet"/>
      <w:lvlText w:val="o"/>
      <w:lvlJc w:val="left"/>
      <w:pPr>
        <w:ind w:left="3427" w:hanging="360"/>
      </w:pPr>
      <w:rPr>
        <w:rFonts w:ascii="Courier New" w:hAnsi="Courier New" w:cs="Courier New" w:hint="default"/>
      </w:rPr>
    </w:lvl>
    <w:lvl w:ilvl="2" w:tplc="0C090005" w:tentative="1">
      <w:start w:val="1"/>
      <w:numFmt w:val="bullet"/>
      <w:lvlText w:val=""/>
      <w:lvlJc w:val="left"/>
      <w:pPr>
        <w:ind w:left="4147" w:hanging="360"/>
      </w:pPr>
      <w:rPr>
        <w:rFonts w:ascii="Wingdings" w:hAnsi="Wingdings" w:hint="default"/>
      </w:rPr>
    </w:lvl>
    <w:lvl w:ilvl="3" w:tplc="0C090001" w:tentative="1">
      <w:start w:val="1"/>
      <w:numFmt w:val="bullet"/>
      <w:lvlText w:val=""/>
      <w:lvlJc w:val="left"/>
      <w:pPr>
        <w:ind w:left="4867" w:hanging="360"/>
      </w:pPr>
      <w:rPr>
        <w:rFonts w:ascii="Symbol" w:hAnsi="Symbol" w:hint="default"/>
      </w:rPr>
    </w:lvl>
    <w:lvl w:ilvl="4" w:tplc="0C090003" w:tentative="1">
      <w:start w:val="1"/>
      <w:numFmt w:val="bullet"/>
      <w:lvlText w:val="o"/>
      <w:lvlJc w:val="left"/>
      <w:pPr>
        <w:ind w:left="5587" w:hanging="360"/>
      </w:pPr>
      <w:rPr>
        <w:rFonts w:ascii="Courier New" w:hAnsi="Courier New" w:cs="Courier New" w:hint="default"/>
      </w:rPr>
    </w:lvl>
    <w:lvl w:ilvl="5" w:tplc="0C090005" w:tentative="1">
      <w:start w:val="1"/>
      <w:numFmt w:val="bullet"/>
      <w:lvlText w:val=""/>
      <w:lvlJc w:val="left"/>
      <w:pPr>
        <w:ind w:left="6307" w:hanging="360"/>
      </w:pPr>
      <w:rPr>
        <w:rFonts w:ascii="Wingdings" w:hAnsi="Wingdings" w:hint="default"/>
      </w:rPr>
    </w:lvl>
    <w:lvl w:ilvl="6" w:tplc="0C090001" w:tentative="1">
      <w:start w:val="1"/>
      <w:numFmt w:val="bullet"/>
      <w:lvlText w:val=""/>
      <w:lvlJc w:val="left"/>
      <w:pPr>
        <w:ind w:left="7027" w:hanging="360"/>
      </w:pPr>
      <w:rPr>
        <w:rFonts w:ascii="Symbol" w:hAnsi="Symbol" w:hint="default"/>
      </w:rPr>
    </w:lvl>
    <w:lvl w:ilvl="7" w:tplc="0C090003" w:tentative="1">
      <w:start w:val="1"/>
      <w:numFmt w:val="bullet"/>
      <w:lvlText w:val="o"/>
      <w:lvlJc w:val="left"/>
      <w:pPr>
        <w:ind w:left="7747" w:hanging="360"/>
      </w:pPr>
      <w:rPr>
        <w:rFonts w:ascii="Courier New" w:hAnsi="Courier New" w:cs="Courier New" w:hint="default"/>
      </w:rPr>
    </w:lvl>
    <w:lvl w:ilvl="8" w:tplc="0C090005" w:tentative="1">
      <w:start w:val="1"/>
      <w:numFmt w:val="bullet"/>
      <w:lvlText w:val=""/>
      <w:lvlJc w:val="left"/>
      <w:pPr>
        <w:ind w:left="8467" w:hanging="360"/>
      </w:pPr>
      <w:rPr>
        <w:rFonts w:ascii="Wingdings" w:hAnsi="Wingdings" w:hint="default"/>
      </w:rPr>
    </w:lvl>
  </w:abstractNum>
  <w:abstractNum w:abstractNumId="38" w15:restartNumberingAfterBreak="0">
    <w:nsid w:val="2BAD4418"/>
    <w:multiLevelType w:val="hybridMultilevel"/>
    <w:tmpl w:val="061E29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2C6E3048"/>
    <w:multiLevelType w:val="hybridMultilevel"/>
    <w:tmpl w:val="E488B2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2CEF19D7"/>
    <w:multiLevelType w:val="hybridMultilevel"/>
    <w:tmpl w:val="FC945C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2D071207"/>
    <w:multiLevelType w:val="multilevel"/>
    <w:tmpl w:val="A740E8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0798B5F"/>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32C440E8"/>
    <w:multiLevelType w:val="hybridMultilevel"/>
    <w:tmpl w:val="E6C01926"/>
    <w:lvl w:ilvl="0" w:tplc="6EAE83BA">
      <w:start w:val="1"/>
      <w:numFmt w:val="lowerLetter"/>
      <w:lvlText w:val="(%1)"/>
      <w:lvlJc w:val="left"/>
      <w:pPr>
        <w:ind w:left="1080" w:hanging="360"/>
      </w:pPr>
      <w:rPr>
        <w:rFonts w:hint="default"/>
        <w:i w:val="0"/>
        <w:sz w:val="14"/>
        <w:szCs w:val="14"/>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4" w15:restartNumberingAfterBreak="0">
    <w:nsid w:val="3408E26D"/>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34304923"/>
    <w:multiLevelType w:val="multilevel"/>
    <w:tmpl w:val="FED2554C"/>
    <w:lvl w:ilvl="0">
      <w:start w:val="1"/>
      <w:numFmt w:val="decimal"/>
      <w:lvlText w:val="%1."/>
      <w:lvlJc w:val="left"/>
      <w:pPr>
        <w:ind w:left="397" w:hanging="397"/>
      </w:pPr>
      <w:rPr>
        <w:rFonts w:hint="default"/>
      </w:rPr>
    </w:lvl>
    <w:lvl w:ilvl="1">
      <w:start w:val="1"/>
      <w:numFmt w:val="decimal"/>
      <w:lvlText w:val="%1.%2"/>
      <w:lvlJc w:val="left"/>
      <w:pPr>
        <w:ind w:left="908" w:hanging="624"/>
      </w:pPr>
      <w:rPr>
        <w:rFonts w:hint="default"/>
      </w:rPr>
    </w:lvl>
    <w:lvl w:ilvl="2">
      <w:start w:val="1"/>
      <w:numFmt w:val="decimal"/>
      <w:lvlText w:val="%1.%2.%3"/>
      <w:lvlJc w:val="left"/>
      <w:pPr>
        <w:ind w:left="851" w:hanging="851"/>
      </w:pPr>
    </w:lvl>
    <w:lvl w:ilvl="3">
      <w:start w:val="1"/>
      <w:numFmt w:val="decimal"/>
      <w:lvlText w:val="%1.%2.%3.%4"/>
      <w:lvlJc w:val="left"/>
      <w:pPr>
        <w:ind w:left="1247" w:hanging="1247"/>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6" w15:restartNumberingAfterBreak="0">
    <w:nsid w:val="343357C0"/>
    <w:multiLevelType w:val="hybridMultilevel"/>
    <w:tmpl w:val="36885FFC"/>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4BF3D91"/>
    <w:multiLevelType w:val="hybridMultilevel"/>
    <w:tmpl w:val="A4945690"/>
    <w:lvl w:ilvl="0" w:tplc="0C09000D">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8" w15:restartNumberingAfterBreak="0">
    <w:nsid w:val="36E47BAD"/>
    <w:multiLevelType w:val="multilevel"/>
    <w:tmpl w:val="E94EEBAC"/>
    <w:lvl w:ilvl="0">
      <w:start w:val="1"/>
      <w:numFmt w:val="bullet"/>
      <w:pStyle w:val="TargetMet"/>
      <w:suff w:val="nothing"/>
      <w:lvlText w:val=""/>
      <w:lvlJc w:val="left"/>
      <w:pPr>
        <w:ind w:left="360" w:hanging="360"/>
      </w:pPr>
      <w:rPr>
        <w:rFonts w:ascii="Wingdings" w:hAnsi="Wingdings" w:hint="default"/>
      </w:rPr>
    </w:lvl>
    <w:lvl w:ilvl="1">
      <w:start w:val="1"/>
      <w:numFmt w:val="bullet"/>
      <w:pStyle w:val="TargetNotMet5"/>
      <w:suff w:val="nothing"/>
      <w:lvlText w:val=""/>
      <w:lvlJc w:val="left"/>
      <w:pPr>
        <w:ind w:left="360" w:hanging="360"/>
      </w:pPr>
      <w:rPr>
        <w:rFonts w:ascii="Wingdings" w:hAnsi="Wingdings" w:hint="default"/>
      </w:rPr>
    </w:lvl>
    <w:lvl w:ilvl="2">
      <w:start w:val="1"/>
      <w:numFmt w:val="bullet"/>
      <w:pStyle w:val="TargetNotMet50"/>
      <w:suff w:val="nothing"/>
      <w:lvlText w:val=""/>
      <w:lvlJc w:val="left"/>
      <w:pPr>
        <w:ind w:left="360" w:hanging="360"/>
      </w:pPr>
      <w:rPr>
        <w:rFonts w:ascii="Wingdings" w:hAnsi="Wingdings" w:hint="default"/>
        <w:sz w:val="16"/>
        <w:szCs w:val="16"/>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37FE42FC"/>
    <w:multiLevelType w:val="hybridMultilevel"/>
    <w:tmpl w:val="52BC75BC"/>
    <w:lvl w:ilvl="0" w:tplc="4F7CA586">
      <w:start w:val="1"/>
      <w:numFmt w:val="bullet"/>
      <w:lvlText w:val="–"/>
      <w:lvlJc w:val="left"/>
      <w:pPr>
        <w:ind w:left="965" w:hanging="360"/>
      </w:pPr>
      <w:rPr>
        <w:rFonts w:ascii="Arial" w:hAnsi="Arial" w:hint="default"/>
      </w:rPr>
    </w:lvl>
    <w:lvl w:ilvl="1" w:tplc="0C090003" w:tentative="1">
      <w:start w:val="1"/>
      <w:numFmt w:val="bullet"/>
      <w:lvlText w:val="o"/>
      <w:lvlJc w:val="left"/>
      <w:pPr>
        <w:ind w:left="1685" w:hanging="360"/>
      </w:pPr>
      <w:rPr>
        <w:rFonts w:ascii="Courier New" w:hAnsi="Courier New" w:cs="Courier New" w:hint="default"/>
      </w:rPr>
    </w:lvl>
    <w:lvl w:ilvl="2" w:tplc="0C090005" w:tentative="1">
      <w:start w:val="1"/>
      <w:numFmt w:val="bullet"/>
      <w:lvlText w:val=""/>
      <w:lvlJc w:val="left"/>
      <w:pPr>
        <w:ind w:left="2405" w:hanging="360"/>
      </w:pPr>
      <w:rPr>
        <w:rFonts w:ascii="Wingdings" w:hAnsi="Wingdings" w:hint="default"/>
      </w:rPr>
    </w:lvl>
    <w:lvl w:ilvl="3" w:tplc="0C090001" w:tentative="1">
      <w:start w:val="1"/>
      <w:numFmt w:val="bullet"/>
      <w:lvlText w:val=""/>
      <w:lvlJc w:val="left"/>
      <w:pPr>
        <w:ind w:left="3125" w:hanging="360"/>
      </w:pPr>
      <w:rPr>
        <w:rFonts w:ascii="Symbol" w:hAnsi="Symbol" w:hint="default"/>
      </w:rPr>
    </w:lvl>
    <w:lvl w:ilvl="4" w:tplc="0C090003" w:tentative="1">
      <w:start w:val="1"/>
      <w:numFmt w:val="bullet"/>
      <w:lvlText w:val="o"/>
      <w:lvlJc w:val="left"/>
      <w:pPr>
        <w:ind w:left="3845" w:hanging="360"/>
      </w:pPr>
      <w:rPr>
        <w:rFonts w:ascii="Courier New" w:hAnsi="Courier New" w:cs="Courier New" w:hint="default"/>
      </w:rPr>
    </w:lvl>
    <w:lvl w:ilvl="5" w:tplc="0C090005" w:tentative="1">
      <w:start w:val="1"/>
      <w:numFmt w:val="bullet"/>
      <w:lvlText w:val=""/>
      <w:lvlJc w:val="left"/>
      <w:pPr>
        <w:ind w:left="4565" w:hanging="360"/>
      </w:pPr>
      <w:rPr>
        <w:rFonts w:ascii="Wingdings" w:hAnsi="Wingdings" w:hint="default"/>
      </w:rPr>
    </w:lvl>
    <w:lvl w:ilvl="6" w:tplc="0C090001" w:tentative="1">
      <w:start w:val="1"/>
      <w:numFmt w:val="bullet"/>
      <w:lvlText w:val=""/>
      <w:lvlJc w:val="left"/>
      <w:pPr>
        <w:ind w:left="5285" w:hanging="360"/>
      </w:pPr>
      <w:rPr>
        <w:rFonts w:ascii="Symbol" w:hAnsi="Symbol" w:hint="default"/>
      </w:rPr>
    </w:lvl>
    <w:lvl w:ilvl="7" w:tplc="0C090003" w:tentative="1">
      <w:start w:val="1"/>
      <w:numFmt w:val="bullet"/>
      <w:lvlText w:val="o"/>
      <w:lvlJc w:val="left"/>
      <w:pPr>
        <w:ind w:left="6005" w:hanging="360"/>
      </w:pPr>
      <w:rPr>
        <w:rFonts w:ascii="Courier New" w:hAnsi="Courier New" w:cs="Courier New" w:hint="default"/>
      </w:rPr>
    </w:lvl>
    <w:lvl w:ilvl="8" w:tplc="0C090005" w:tentative="1">
      <w:start w:val="1"/>
      <w:numFmt w:val="bullet"/>
      <w:lvlText w:val=""/>
      <w:lvlJc w:val="left"/>
      <w:pPr>
        <w:ind w:left="6725" w:hanging="360"/>
      </w:pPr>
      <w:rPr>
        <w:rFonts w:ascii="Wingdings" w:hAnsi="Wingdings" w:hint="default"/>
      </w:rPr>
    </w:lvl>
  </w:abstractNum>
  <w:abstractNum w:abstractNumId="50" w15:restartNumberingAfterBreak="0">
    <w:nsid w:val="388AEB8C"/>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3BCE0ADC"/>
    <w:multiLevelType w:val="hybridMultilevel"/>
    <w:tmpl w:val="FFFFFFFF"/>
    <w:lvl w:ilvl="0" w:tplc="BD06092E">
      <w:start w:val="1"/>
      <w:numFmt w:val="bullet"/>
      <w:lvlText w:val=""/>
      <w:lvlJc w:val="left"/>
      <w:pPr>
        <w:ind w:left="720" w:hanging="360"/>
      </w:pPr>
      <w:rPr>
        <w:rFonts w:ascii="Symbol" w:hAnsi="Symbol" w:hint="default"/>
      </w:rPr>
    </w:lvl>
    <w:lvl w:ilvl="1" w:tplc="75023498">
      <w:start w:val="1"/>
      <w:numFmt w:val="bullet"/>
      <w:lvlText w:val="o"/>
      <w:lvlJc w:val="left"/>
      <w:pPr>
        <w:ind w:left="1440" w:hanging="360"/>
      </w:pPr>
      <w:rPr>
        <w:rFonts w:ascii="Courier New" w:hAnsi="Courier New" w:hint="default"/>
      </w:rPr>
    </w:lvl>
    <w:lvl w:ilvl="2" w:tplc="38D0FB64">
      <w:start w:val="1"/>
      <w:numFmt w:val="bullet"/>
      <w:lvlText w:val=""/>
      <w:lvlJc w:val="left"/>
      <w:pPr>
        <w:ind w:left="2160" w:hanging="360"/>
      </w:pPr>
      <w:rPr>
        <w:rFonts w:ascii="Wingdings" w:hAnsi="Wingdings" w:hint="default"/>
      </w:rPr>
    </w:lvl>
    <w:lvl w:ilvl="3" w:tplc="E4D0A77C">
      <w:start w:val="1"/>
      <w:numFmt w:val="bullet"/>
      <w:lvlText w:val=""/>
      <w:lvlJc w:val="left"/>
      <w:pPr>
        <w:ind w:left="2880" w:hanging="360"/>
      </w:pPr>
      <w:rPr>
        <w:rFonts w:ascii="Symbol" w:hAnsi="Symbol" w:hint="default"/>
      </w:rPr>
    </w:lvl>
    <w:lvl w:ilvl="4" w:tplc="AEDE2888">
      <w:start w:val="1"/>
      <w:numFmt w:val="bullet"/>
      <w:lvlText w:val="o"/>
      <w:lvlJc w:val="left"/>
      <w:pPr>
        <w:ind w:left="3600" w:hanging="360"/>
      </w:pPr>
      <w:rPr>
        <w:rFonts w:ascii="Courier New" w:hAnsi="Courier New" w:hint="default"/>
      </w:rPr>
    </w:lvl>
    <w:lvl w:ilvl="5" w:tplc="67CA5202">
      <w:start w:val="1"/>
      <w:numFmt w:val="bullet"/>
      <w:lvlText w:val=""/>
      <w:lvlJc w:val="left"/>
      <w:pPr>
        <w:ind w:left="4320" w:hanging="360"/>
      </w:pPr>
      <w:rPr>
        <w:rFonts w:ascii="Wingdings" w:hAnsi="Wingdings" w:hint="default"/>
      </w:rPr>
    </w:lvl>
    <w:lvl w:ilvl="6" w:tplc="89122168">
      <w:start w:val="1"/>
      <w:numFmt w:val="bullet"/>
      <w:lvlText w:val=""/>
      <w:lvlJc w:val="left"/>
      <w:pPr>
        <w:ind w:left="5040" w:hanging="360"/>
      </w:pPr>
      <w:rPr>
        <w:rFonts w:ascii="Symbol" w:hAnsi="Symbol" w:hint="default"/>
      </w:rPr>
    </w:lvl>
    <w:lvl w:ilvl="7" w:tplc="1DF0F1CE">
      <w:start w:val="1"/>
      <w:numFmt w:val="bullet"/>
      <w:lvlText w:val="o"/>
      <w:lvlJc w:val="left"/>
      <w:pPr>
        <w:ind w:left="5760" w:hanging="360"/>
      </w:pPr>
      <w:rPr>
        <w:rFonts w:ascii="Courier New" w:hAnsi="Courier New" w:hint="default"/>
      </w:rPr>
    </w:lvl>
    <w:lvl w:ilvl="8" w:tplc="0A801A0A">
      <w:start w:val="1"/>
      <w:numFmt w:val="bullet"/>
      <w:lvlText w:val=""/>
      <w:lvlJc w:val="left"/>
      <w:pPr>
        <w:ind w:left="6480" w:hanging="360"/>
      </w:pPr>
      <w:rPr>
        <w:rFonts w:ascii="Wingdings" w:hAnsi="Wingdings" w:hint="default"/>
      </w:rPr>
    </w:lvl>
  </w:abstractNum>
  <w:abstractNum w:abstractNumId="52" w15:restartNumberingAfterBreak="0">
    <w:nsid w:val="3DAAD0F1"/>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40D331F5"/>
    <w:multiLevelType w:val="hybridMultilevel"/>
    <w:tmpl w:val="81F2A5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4222644D"/>
    <w:multiLevelType w:val="hybridMultilevel"/>
    <w:tmpl w:val="412A66D8"/>
    <w:styleLink w:val="ListStyle-Number"/>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426E33D3"/>
    <w:multiLevelType w:val="multilevel"/>
    <w:tmpl w:val="CE3A3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40400DF"/>
    <w:multiLevelType w:val="hybridMultilevel"/>
    <w:tmpl w:val="0DF8332E"/>
    <w:lvl w:ilvl="0" w:tplc="BF96767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446D3A6A"/>
    <w:multiLevelType w:val="multilevel"/>
    <w:tmpl w:val="5D9EE514"/>
    <w:lvl w:ilvl="0">
      <w:start w:val="1"/>
      <w:numFmt w:val="bullet"/>
      <w:lvlText w:val=""/>
      <w:lvlJc w:val="left"/>
      <w:pPr>
        <w:tabs>
          <w:tab w:val="num" w:pos="360"/>
        </w:tabs>
        <w:ind w:left="360" w:hanging="360"/>
      </w:pPr>
      <w:rPr>
        <w:rFonts w:ascii="Symbol" w:hAnsi="Symbol" w:hint="default"/>
        <w:b w:val="0"/>
        <w:i w:val="0"/>
        <w:vanish w:val="0"/>
        <w:color w:val="auto"/>
        <w:sz w:val="22"/>
      </w:rPr>
    </w:lvl>
    <w:lvl w:ilvl="1">
      <w:start w:val="1"/>
      <w:numFmt w:val="bullet"/>
      <w:lvlText w:val="–"/>
      <w:lvlJc w:val="left"/>
      <w:pPr>
        <w:tabs>
          <w:tab w:val="num" w:pos="720"/>
        </w:tabs>
        <w:ind w:left="720" w:hanging="360"/>
      </w:pPr>
      <w:rPr>
        <w:rFonts w:ascii="Calibri" w:hAnsi="Calibri" w:hint="default"/>
        <w:b w:val="0"/>
        <w:i w:val="0"/>
        <w:vanish w:val="0"/>
        <w:color w:val="auto"/>
        <w:sz w:val="22"/>
      </w:rPr>
    </w:lvl>
    <w:lvl w:ilvl="2">
      <w:start w:val="1"/>
      <w:numFmt w:val="bullet"/>
      <w:lvlText w:val=""/>
      <w:lvlJc w:val="left"/>
      <w:pPr>
        <w:tabs>
          <w:tab w:val="num" w:pos="1152"/>
        </w:tabs>
        <w:ind w:left="1152" w:hanging="360"/>
      </w:pPr>
      <w:rPr>
        <w:rFonts w:ascii="Symbol" w:hAnsi="Symbol" w:hint="default"/>
        <w:b w:val="0"/>
        <w:i w:val="0"/>
        <w:vanish w:val="0"/>
        <w:color w:val="auto"/>
        <w:sz w:val="22"/>
      </w:rPr>
    </w:lvl>
    <w:lvl w:ilvl="3">
      <w:start w:val="1"/>
      <w:numFmt w:val="bullet"/>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58" w15:restartNumberingAfterBreak="0">
    <w:nsid w:val="4500467F"/>
    <w:multiLevelType w:val="multilevel"/>
    <w:tmpl w:val="0FAC8B36"/>
    <w:lvl w:ilvl="0">
      <w:start w:val="1"/>
      <w:numFmt w:val="bullet"/>
      <w:pStyle w:val="Bullet"/>
      <w:lvlText w:val=""/>
      <w:lvlJc w:val="left"/>
      <w:pPr>
        <w:tabs>
          <w:tab w:val="num" w:pos="360"/>
        </w:tabs>
        <w:ind w:left="360" w:hanging="360"/>
      </w:pPr>
      <w:rPr>
        <w:rFonts w:ascii="Symbol" w:hAnsi="Symbol" w:hint="default"/>
        <w:b w:val="0"/>
        <w:i w:val="0"/>
        <w:sz w:val="18"/>
      </w:rPr>
    </w:lvl>
    <w:lvl w:ilvl="1">
      <w:start w:val="1"/>
      <w:numFmt w:val="bullet"/>
      <w:pStyle w:val="Dash"/>
      <w:lvlText w:val=""/>
      <w:lvlJc w:val="left"/>
      <w:pPr>
        <w:tabs>
          <w:tab w:val="num" w:pos="720"/>
        </w:tabs>
        <w:ind w:left="720" w:hanging="360"/>
      </w:pPr>
      <w:rPr>
        <w:rFonts w:ascii="Symbol" w:hAnsi="Symbol" w:hint="default"/>
        <w:b w:val="0"/>
        <w:i w:val="0"/>
      </w:rPr>
    </w:lvl>
    <w:lvl w:ilvl="2">
      <w:start w:val="1"/>
      <w:numFmt w:val="decimal"/>
      <w:lvlText w:val="%1.%2.%3"/>
      <w:lvlJc w:val="left"/>
      <w:pPr>
        <w:tabs>
          <w:tab w:val="num" w:pos="1586"/>
        </w:tabs>
        <w:ind w:left="1586" w:hanging="794"/>
      </w:pPr>
      <w:rPr>
        <w:b/>
        <w:i w:val="0"/>
        <w:color w:val="4D4D4D"/>
        <w:sz w:val="26"/>
      </w:rPr>
    </w:lvl>
    <w:lvl w:ilvl="3">
      <w:start w:val="1"/>
      <w:numFmt w:val="decimal"/>
      <w:suff w:val="nothing"/>
      <w:lvlText w:val=""/>
      <w:lvlJc w:val="left"/>
      <w:pPr>
        <w:ind w:left="1586" w:firstLine="0"/>
      </w:pPr>
      <w:rPr>
        <w:b/>
        <w:i w:val="0"/>
        <w:color w:val="4D4D4D"/>
        <w:sz w:val="22"/>
      </w:rPr>
    </w:lvl>
    <w:lvl w:ilvl="4">
      <w:start w:val="1"/>
      <w:numFmt w:val="decimal"/>
      <w:suff w:val="nothing"/>
      <w:lvlText w:val=""/>
      <w:lvlJc w:val="left"/>
      <w:pPr>
        <w:ind w:left="1586" w:firstLine="0"/>
      </w:pPr>
      <w:rPr>
        <w:b/>
        <w:i/>
        <w:color w:val="404040"/>
        <w:sz w:val="22"/>
      </w:rPr>
    </w:lvl>
    <w:lvl w:ilvl="5">
      <w:start w:val="1"/>
      <w:numFmt w:val="decimal"/>
      <w:suff w:val="nothing"/>
      <w:lvlText w:val=""/>
      <w:lvlJc w:val="left"/>
      <w:pPr>
        <w:ind w:left="1586" w:firstLine="0"/>
      </w:pPr>
      <w:rPr>
        <w:b/>
        <w:i/>
        <w:color w:val="404040"/>
        <w:sz w:val="22"/>
      </w:rPr>
    </w:lvl>
    <w:lvl w:ilvl="6">
      <w:start w:val="1"/>
      <w:numFmt w:val="decimal"/>
      <w:suff w:val="nothing"/>
      <w:lvlText w:val=""/>
      <w:lvlJc w:val="left"/>
      <w:pPr>
        <w:ind w:left="1586" w:firstLine="0"/>
      </w:pPr>
      <w:rPr>
        <w:b/>
        <w:i w:val="0"/>
        <w:color w:val="404040"/>
        <w:sz w:val="22"/>
      </w:rPr>
    </w:lvl>
    <w:lvl w:ilvl="7">
      <w:start w:val="1"/>
      <w:numFmt w:val="decimal"/>
      <w:suff w:val="nothing"/>
      <w:lvlText w:val=""/>
      <w:lvlJc w:val="left"/>
      <w:pPr>
        <w:ind w:left="1586" w:firstLine="0"/>
      </w:pPr>
      <w:rPr>
        <w:b w:val="0"/>
        <w:i w:val="0"/>
        <w:color w:val="404040"/>
        <w:sz w:val="22"/>
      </w:rPr>
    </w:lvl>
    <w:lvl w:ilvl="8">
      <w:start w:val="1"/>
      <w:numFmt w:val="decimal"/>
      <w:suff w:val="nothing"/>
      <w:lvlText w:val=""/>
      <w:lvlJc w:val="left"/>
      <w:pPr>
        <w:ind w:left="1586" w:firstLine="0"/>
      </w:pPr>
      <w:rPr>
        <w:b w:val="0"/>
        <w:i w:val="0"/>
        <w:color w:val="404040"/>
        <w:sz w:val="22"/>
      </w:rPr>
    </w:lvl>
  </w:abstractNum>
  <w:abstractNum w:abstractNumId="59" w15:restartNumberingAfterBreak="0">
    <w:nsid w:val="469D33F0"/>
    <w:multiLevelType w:val="hybridMultilevel"/>
    <w:tmpl w:val="F6325E52"/>
    <w:lvl w:ilvl="0" w:tplc="E6840668">
      <w:start w:val="1"/>
      <w:numFmt w:val="bullet"/>
      <w:pStyle w:val="NotesDash"/>
      <w:lvlText w:val="–"/>
      <w:lvlJc w:val="left"/>
      <w:pPr>
        <w:ind w:left="576" w:hanging="302"/>
      </w:pPr>
      <w:rPr>
        <w:rFonts w:ascii="Arial" w:hAnsi="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60" w15:restartNumberingAfterBreak="0">
    <w:nsid w:val="47152C83"/>
    <w:multiLevelType w:val="hybridMultilevel"/>
    <w:tmpl w:val="A97C9992"/>
    <w:lvl w:ilvl="0" w:tplc="EE2A779C">
      <w:start w:val="1"/>
      <w:numFmt w:val="bullet"/>
      <w:pStyle w:val="Notes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AC43EAA"/>
    <w:multiLevelType w:val="hybridMultilevel"/>
    <w:tmpl w:val="FFFFFFFF"/>
    <w:lvl w:ilvl="0" w:tplc="4D6EE81E">
      <w:start w:val="1"/>
      <w:numFmt w:val="bullet"/>
      <w:lvlText w:val=""/>
      <w:lvlJc w:val="left"/>
      <w:pPr>
        <w:ind w:left="1080" w:hanging="360"/>
      </w:pPr>
      <w:rPr>
        <w:rFonts w:ascii="Symbol" w:hAnsi="Symbol" w:hint="default"/>
      </w:rPr>
    </w:lvl>
    <w:lvl w:ilvl="1" w:tplc="75EC60B8">
      <w:start w:val="1"/>
      <w:numFmt w:val="bullet"/>
      <w:lvlText w:val="o"/>
      <w:lvlJc w:val="left"/>
      <w:pPr>
        <w:ind w:left="1800" w:hanging="360"/>
      </w:pPr>
      <w:rPr>
        <w:rFonts w:ascii="Courier New" w:hAnsi="Courier New" w:hint="default"/>
      </w:rPr>
    </w:lvl>
    <w:lvl w:ilvl="2" w:tplc="0E9E0B64">
      <w:start w:val="1"/>
      <w:numFmt w:val="bullet"/>
      <w:lvlText w:val=""/>
      <w:lvlJc w:val="left"/>
      <w:pPr>
        <w:ind w:left="2520" w:hanging="360"/>
      </w:pPr>
      <w:rPr>
        <w:rFonts w:ascii="Wingdings" w:hAnsi="Wingdings" w:hint="default"/>
      </w:rPr>
    </w:lvl>
    <w:lvl w:ilvl="3" w:tplc="43406BE6">
      <w:start w:val="1"/>
      <w:numFmt w:val="bullet"/>
      <w:lvlText w:val=""/>
      <w:lvlJc w:val="left"/>
      <w:pPr>
        <w:ind w:left="3240" w:hanging="360"/>
      </w:pPr>
      <w:rPr>
        <w:rFonts w:ascii="Symbol" w:hAnsi="Symbol" w:hint="default"/>
      </w:rPr>
    </w:lvl>
    <w:lvl w:ilvl="4" w:tplc="D0642FAC">
      <w:start w:val="1"/>
      <w:numFmt w:val="bullet"/>
      <w:lvlText w:val="o"/>
      <w:lvlJc w:val="left"/>
      <w:pPr>
        <w:ind w:left="3960" w:hanging="360"/>
      </w:pPr>
      <w:rPr>
        <w:rFonts w:ascii="Courier New" w:hAnsi="Courier New" w:hint="default"/>
      </w:rPr>
    </w:lvl>
    <w:lvl w:ilvl="5" w:tplc="2E586ECC">
      <w:start w:val="1"/>
      <w:numFmt w:val="bullet"/>
      <w:lvlText w:val=""/>
      <w:lvlJc w:val="left"/>
      <w:pPr>
        <w:ind w:left="4680" w:hanging="360"/>
      </w:pPr>
      <w:rPr>
        <w:rFonts w:ascii="Wingdings" w:hAnsi="Wingdings" w:hint="default"/>
      </w:rPr>
    </w:lvl>
    <w:lvl w:ilvl="6" w:tplc="01FA0BC4">
      <w:start w:val="1"/>
      <w:numFmt w:val="bullet"/>
      <w:lvlText w:val=""/>
      <w:lvlJc w:val="left"/>
      <w:pPr>
        <w:ind w:left="5400" w:hanging="360"/>
      </w:pPr>
      <w:rPr>
        <w:rFonts w:ascii="Symbol" w:hAnsi="Symbol" w:hint="default"/>
      </w:rPr>
    </w:lvl>
    <w:lvl w:ilvl="7" w:tplc="B3FC3F30">
      <w:start w:val="1"/>
      <w:numFmt w:val="bullet"/>
      <w:lvlText w:val="o"/>
      <w:lvlJc w:val="left"/>
      <w:pPr>
        <w:ind w:left="6120" w:hanging="360"/>
      </w:pPr>
      <w:rPr>
        <w:rFonts w:ascii="Courier New" w:hAnsi="Courier New" w:hint="default"/>
      </w:rPr>
    </w:lvl>
    <w:lvl w:ilvl="8" w:tplc="A7BC5E76">
      <w:start w:val="1"/>
      <w:numFmt w:val="bullet"/>
      <w:lvlText w:val=""/>
      <w:lvlJc w:val="left"/>
      <w:pPr>
        <w:ind w:left="6840" w:hanging="360"/>
      </w:pPr>
      <w:rPr>
        <w:rFonts w:ascii="Wingdings" w:hAnsi="Wingdings" w:hint="default"/>
      </w:rPr>
    </w:lvl>
  </w:abstractNum>
  <w:abstractNum w:abstractNumId="62" w15:restartNumberingAfterBreak="0">
    <w:nsid w:val="4B6367C4"/>
    <w:multiLevelType w:val="hybridMultilevel"/>
    <w:tmpl w:val="3A5E8A9C"/>
    <w:lvl w:ilvl="0" w:tplc="D52C8DEE">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4CE366AD"/>
    <w:multiLevelType w:val="multilevel"/>
    <w:tmpl w:val="99584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0702E3F"/>
    <w:multiLevelType w:val="multilevel"/>
    <w:tmpl w:val="AC64210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13D33E9"/>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534E2AA1"/>
    <w:multiLevelType w:val="hybridMultilevel"/>
    <w:tmpl w:val="4B7887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3D130C0"/>
    <w:multiLevelType w:val="hybridMultilevel"/>
    <w:tmpl w:val="5830B494"/>
    <w:lvl w:ilvl="0" w:tplc="0C090001">
      <w:start w:val="1"/>
      <w:numFmt w:val="bullet"/>
      <w:lvlText w:val=""/>
      <w:lvlJc w:val="left"/>
      <w:pPr>
        <w:ind w:left="1080" w:hanging="72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8743FDB"/>
    <w:multiLevelType w:val="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63712782"/>
    <w:multiLevelType w:val="hybridMultilevel"/>
    <w:tmpl w:val="7EC84E4E"/>
    <w:lvl w:ilvl="0" w:tplc="8454F180">
      <w:start w:val="1"/>
      <w:numFmt w:val="bullet"/>
      <w:pStyle w:val="Tabletextnotesbullet"/>
      <w:lvlText w:val=""/>
      <w:lvlJc w:val="left"/>
      <w:pPr>
        <w:ind w:left="864" w:hanging="360"/>
      </w:pPr>
      <w:rPr>
        <w:rFonts w:ascii="Symbol" w:hAnsi="Symbol" w:hint="default"/>
      </w:rPr>
    </w:lvl>
    <w:lvl w:ilvl="1" w:tplc="0C090003" w:tentative="1">
      <w:start w:val="1"/>
      <w:numFmt w:val="bullet"/>
      <w:lvlText w:val="o"/>
      <w:lvlJc w:val="left"/>
      <w:pPr>
        <w:ind w:left="1584" w:hanging="360"/>
      </w:pPr>
      <w:rPr>
        <w:rFonts w:ascii="Courier New" w:hAnsi="Courier New" w:cs="Courier New" w:hint="default"/>
      </w:rPr>
    </w:lvl>
    <w:lvl w:ilvl="2" w:tplc="0C090005" w:tentative="1">
      <w:start w:val="1"/>
      <w:numFmt w:val="bullet"/>
      <w:lvlText w:val=""/>
      <w:lvlJc w:val="left"/>
      <w:pPr>
        <w:ind w:left="2304" w:hanging="360"/>
      </w:pPr>
      <w:rPr>
        <w:rFonts w:ascii="Wingdings" w:hAnsi="Wingdings" w:hint="default"/>
      </w:rPr>
    </w:lvl>
    <w:lvl w:ilvl="3" w:tplc="0C090001" w:tentative="1">
      <w:start w:val="1"/>
      <w:numFmt w:val="bullet"/>
      <w:lvlText w:val=""/>
      <w:lvlJc w:val="left"/>
      <w:pPr>
        <w:ind w:left="3024" w:hanging="360"/>
      </w:pPr>
      <w:rPr>
        <w:rFonts w:ascii="Symbol" w:hAnsi="Symbol" w:hint="default"/>
      </w:rPr>
    </w:lvl>
    <w:lvl w:ilvl="4" w:tplc="0C090003" w:tentative="1">
      <w:start w:val="1"/>
      <w:numFmt w:val="bullet"/>
      <w:lvlText w:val="o"/>
      <w:lvlJc w:val="left"/>
      <w:pPr>
        <w:ind w:left="3744" w:hanging="360"/>
      </w:pPr>
      <w:rPr>
        <w:rFonts w:ascii="Courier New" w:hAnsi="Courier New" w:cs="Courier New" w:hint="default"/>
      </w:rPr>
    </w:lvl>
    <w:lvl w:ilvl="5" w:tplc="0C090005" w:tentative="1">
      <w:start w:val="1"/>
      <w:numFmt w:val="bullet"/>
      <w:lvlText w:val=""/>
      <w:lvlJc w:val="left"/>
      <w:pPr>
        <w:ind w:left="4464" w:hanging="360"/>
      </w:pPr>
      <w:rPr>
        <w:rFonts w:ascii="Wingdings" w:hAnsi="Wingdings" w:hint="default"/>
      </w:rPr>
    </w:lvl>
    <w:lvl w:ilvl="6" w:tplc="0C090001" w:tentative="1">
      <w:start w:val="1"/>
      <w:numFmt w:val="bullet"/>
      <w:lvlText w:val=""/>
      <w:lvlJc w:val="left"/>
      <w:pPr>
        <w:ind w:left="5184" w:hanging="360"/>
      </w:pPr>
      <w:rPr>
        <w:rFonts w:ascii="Symbol" w:hAnsi="Symbol" w:hint="default"/>
      </w:rPr>
    </w:lvl>
    <w:lvl w:ilvl="7" w:tplc="0C090003" w:tentative="1">
      <w:start w:val="1"/>
      <w:numFmt w:val="bullet"/>
      <w:lvlText w:val="o"/>
      <w:lvlJc w:val="left"/>
      <w:pPr>
        <w:ind w:left="5904" w:hanging="360"/>
      </w:pPr>
      <w:rPr>
        <w:rFonts w:ascii="Courier New" w:hAnsi="Courier New" w:cs="Courier New" w:hint="default"/>
      </w:rPr>
    </w:lvl>
    <w:lvl w:ilvl="8" w:tplc="0C090005" w:tentative="1">
      <w:start w:val="1"/>
      <w:numFmt w:val="bullet"/>
      <w:lvlText w:val=""/>
      <w:lvlJc w:val="left"/>
      <w:pPr>
        <w:ind w:left="6624" w:hanging="360"/>
      </w:pPr>
      <w:rPr>
        <w:rFonts w:ascii="Wingdings" w:hAnsi="Wingdings" w:hint="default"/>
      </w:rPr>
    </w:lvl>
  </w:abstractNum>
  <w:abstractNum w:abstractNumId="70" w15:restartNumberingAfterBreak="0">
    <w:nsid w:val="64A725E0"/>
    <w:multiLevelType w:val="hybridMultilevel"/>
    <w:tmpl w:val="076CF6F6"/>
    <w:lvl w:ilvl="0" w:tplc="F42CCD6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1" w15:restartNumberingAfterBreak="0">
    <w:nsid w:val="68E1187F"/>
    <w:multiLevelType w:val="hybridMultilevel"/>
    <w:tmpl w:val="FFFFFFFF"/>
    <w:lvl w:ilvl="0" w:tplc="C94E318C">
      <w:start w:val="1"/>
      <w:numFmt w:val="bullet"/>
      <w:lvlText w:val=""/>
      <w:lvlJc w:val="left"/>
      <w:pPr>
        <w:ind w:left="720" w:hanging="360"/>
      </w:pPr>
      <w:rPr>
        <w:rFonts w:ascii="Symbol" w:hAnsi="Symbol" w:hint="default"/>
      </w:rPr>
    </w:lvl>
    <w:lvl w:ilvl="1" w:tplc="3EEE7F10">
      <w:start w:val="1"/>
      <w:numFmt w:val="bullet"/>
      <w:lvlText w:val="o"/>
      <w:lvlJc w:val="left"/>
      <w:pPr>
        <w:ind w:left="1440" w:hanging="360"/>
      </w:pPr>
      <w:rPr>
        <w:rFonts w:ascii="Courier New" w:hAnsi="Courier New" w:hint="default"/>
      </w:rPr>
    </w:lvl>
    <w:lvl w:ilvl="2" w:tplc="E9D88096">
      <w:start w:val="1"/>
      <w:numFmt w:val="bullet"/>
      <w:lvlText w:val=""/>
      <w:lvlJc w:val="left"/>
      <w:pPr>
        <w:ind w:left="2160" w:hanging="360"/>
      </w:pPr>
      <w:rPr>
        <w:rFonts w:ascii="Wingdings" w:hAnsi="Wingdings" w:hint="default"/>
      </w:rPr>
    </w:lvl>
    <w:lvl w:ilvl="3" w:tplc="9404D328">
      <w:start w:val="1"/>
      <w:numFmt w:val="bullet"/>
      <w:lvlText w:val=""/>
      <w:lvlJc w:val="left"/>
      <w:pPr>
        <w:ind w:left="2880" w:hanging="360"/>
      </w:pPr>
      <w:rPr>
        <w:rFonts w:ascii="Symbol" w:hAnsi="Symbol" w:hint="default"/>
      </w:rPr>
    </w:lvl>
    <w:lvl w:ilvl="4" w:tplc="483C92E4">
      <w:start w:val="1"/>
      <w:numFmt w:val="bullet"/>
      <w:lvlText w:val="o"/>
      <w:lvlJc w:val="left"/>
      <w:pPr>
        <w:ind w:left="3600" w:hanging="360"/>
      </w:pPr>
      <w:rPr>
        <w:rFonts w:ascii="Courier New" w:hAnsi="Courier New" w:hint="default"/>
      </w:rPr>
    </w:lvl>
    <w:lvl w:ilvl="5" w:tplc="CFCA2FF8">
      <w:start w:val="1"/>
      <w:numFmt w:val="bullet"/>
      <w:lvlText w:val=""/>
      <w:lvlJc w:val="left"/>
      <w:pPr>
        <w:ind w:left="4320" w:hanging="360"/>
      </w:pPr>
      <w:rPr>
        <w:rFonts w:ascii="Wingdings" w:hAnsi="Wingdings" w:hint="default"/>
      </w:rPr>
    </w:lvl>
    <w:lvl w:ilvl="6" w:tplc="B470A5D2">
      <w:start w:val="1"/>
      <w:numFmt w:val="bullet"/>
      <w:lvlText w:val=""/>
      <w:lvlJc w:val="left"/>
      <w:pPr>
        <w:ind w:left="5040" w:hanging="360"/>
      </w:pPr>
      <w:rPr>
        <w:rFonts w:ascii="Symbol" w:hAnsi="Symbol" w:hint="default"/>
      </w:rPr>
    </w:lvl>
    <w:lvl w:ilvl="7" w:tplc="DE24A3DC">
      <w:start w:val="1"/>
      <w:numFmt w:val="bullet"/>
      <w:lvlText w:val="o"/>
      <w:lvlJc w:val="left"/>
      <w:pPr>
        <w:ind w:left="5760" w:hanging="360"/>
      </w:pPr>
      <w:rPr>
        <w:rFonts w:ascii="Courier New" w:hAnsi="Courier New" w:hint="default"/>
      </w:rPr>
    </w:lvl>
    <w:lvl w:ilvl="8" w:tplc="D426341C">
      <w:start w:val="1"/>
      <w:numFmt w:val="bullet"/>
      <w:lvlText w:val=""/>
      <w:lvlJc w:val="left"/>
      <w:pPr>
        <w:ind w:left="6480" w:hanging="360"/>
      </w:pPr>
      <w:rPr>
        <w:rFonts w:ascii="Wingdings" w:hAnsi="Wingdings" w:hint="default"/>
      </w:rPr>
    </w:lvl>
  </w:abstractNum>
  <w:abstractNum w:abstractNumId="72" w15:restartNumberingAfterBreak="0">
    <w:nsid w:val="6B6F5DF6"/>
    <w:multiLevelType w:val="hybridMultilevel"/>
    <w:tmpl w:val="ED00A6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C070474"/>
    <w:multiLevelType w:val="multilevel"/>
    <w:tmpl w:val="314221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6C46173A"/>
    <w:multiLevelType w:val="multilevel"/>
    <w:tmpl w:val="8E2E0E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6D7F6B92"/>
    <w:multiLevelType w:val="multilevel"/>
    <w:tmpl w:val="04CAF1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6F87598C"/>
    <w:multiLevelType w:val="hybridMultilevel"/>
    <w:tmpl w:val="7806F6AC"/>
    <w:lvl w:ilvl="0" w:tplc="D974E9F2">
      <w:start w:val="1"/>
      <w:numFmt w:val="bullet"/>
      <w:lvlText w:val=""/>
      <w:lvlJc w:val="left"/>
      <w:pPr>
        <w:ind w:left="720" w:hanging="360"/>
      </w:pPr>
      <w:rPr>
        <w:rFonts w:ascii="Symbol" w:hAnsi="Symbol" w:hint="default"/>
        <w:sz w:val="14"/>
        <w:szCs w:val="1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319BE7E"/>
    <w:multiLevelType w:val="hybridMultilevel"/>
    <w:tmpl w:val="FFFFFFFF"/>
    <w:lvl w:ilvl="0" w:tplc="B35A297E">
      <w:start w:val="1"/>
      <w:numFmt w:val="bullet"/>
      <w:lvlText w:val="-"/>
      <w:lvlJc w:val="left"/>
      <w:pPr>
        <w:ind w:left="720" w:hanging="360"/>
      </w:pPr>
      <w:rPr>
        <w:rFonts w:ascii="Aptos" w:hAnsi="Aptos" w:hint="default"/>
      </w:rPr>
    </w:lvl>
    <w:lvl w:ilvl="1" w:tplc="4AEA55E0">
      <w:start w:val="1"/>
      <w:numFmt w:val="bullet"/>
      <w:lvlText w:val="o"/>
      <w:lvlJc w:val="left"/>
      <w:pPr>
        <w:ind w:left="1440" w:hanging="360"/>
      </w:pPr>
      <w:rPr>
        <w:rFonts w:ascii="Courier New" w:hAnsi="Courier New" w:hint="default"/>
      </w:rPr>
    </w:lvl>
    <w:lvl w:ilvl="2" w:tplc="FFD09048">
      <w:start w:val="1"/>
      <w:numFmt w:val="bullet"/>
      <w:lvlText w:val=""/>
      <w:lvlJc w:val="left"/>
      <w:pPr>
        <w:ind w:left="2160" w:hanging="360"/>
      </w:pPr>
      <w:rPr>
        <w:rFonts w:ascii="Wingdings" w:hAnsi="Wingdings" w:hint="default"/>
      </w:rPr>
    </w:lvl>
    <w:lvl w:ilvl="3" w:tplc="8F32E560">
      <w:start w:val="1"/>
      <w:numFmt w:val="bullet"/>
      <w:lvlText w:val=""/>
      <w:lvlJc w:val="left"/>
      <w:pPr>
        <w:ind w:left="2880" w:hanging="360"/>
      </w:pPr>
      <w:rPr>
        <w:rFonts w:ascii="Symbol" w:hAnsi="Symbol" w:hint="default"/>
      </w:rPr>
    </w:lvl>
    <w:lvl w:ilvl="4" w:tplc="4484F0D6">
      <w:start w:val="1"/>
      <w:numFmt w:val="bullet"/>
      <w:lvlText w:val="o"/>
      <w:lvlJc w:val="left"/>
      <w:pPr>
        <w:ind w:left="3600" w:hanging="360"/>
      </w:pPr>
      <w:rPr>
        <w:rFonts w:ascii="Courier New" w:hAnsi="Courier New" w:hint="default"/>
      </w:rPr>
    </w:lvl>
    <w:lvl w:ilvl="5" w:tplc="FB581FA4">
      <w:start w:val="1"/>
      <w:numFmt w:val="bullet"/>
      <w:lvlText w:val=""/>
      <w:lvlJc w:val="left"/>
      <w:pPr>
        <w:ind w:left="4320" w:hanging="360"/>
      </w:pPr>
      <w:rPr>
        <w:rFonts w:ascii="Wingdings" w:hAnsi="Wingdings" w:hint="default"/>
      </w:rPr>
    </w:lvl>
    <w:lvl w:ilvl="6" w:tplc="2CB47198">
      <w:start w:val="1"/>
      <w:numFmt w:val="bullet"/>
      <w:lvlText w:val=""/>
      <w:lvlJc w:val="left"/>
      <w:pPr>
        <w:ind w:left="5040" w:hanging="360"/>
      </w:pPr>
      <w:rPr>
        <w:rFonts w:ascii="Symbol" w:hAnsi="Symbol" w:hint="default"/>
      </w:rPr>
    </w:lvl>
    <w:lvl w:ilvl="7" w:tplc="3E90ACFA">
      <w:start w:val="1"/>
      <w:numFmt w:val="bullet"/>
      <w:lvlText w:val="o"/>
      <w:lvlJc w:val="left"/>
      <w:pPr>
        <w:ind w:left="5760" w:hanging="360"/>
      </w:pPr>
      <w:rPr>
        <w:rFonts w:ascii="Courier New" w:hAnsi="Courier New" w:hint="default"/>
      </w:rPr>
    </w:lvl>
    <w:lvl w:ilvl="8" w:tplc="79762D18">
      <w:start w:val="1"/>
      <w:numFmt w:val="bullet"/>
      <w:lvlText w:val=""/>
      <w:lvlJc w:val="left"/>
      <w:pPr>
        <w:ind w:left="6480" w:hanging="360"/>
      </w:pPr>
      <w:rPr>
        <w:rFonts w:ascii="Wingdings" w:hAnsi="Wingdings" w:hint="default"/>
      </w:rPr>
    </w:lvl>
  </w:abstractNum>
  <w:abstractNum w:abstractNumId="78" w15:restartNumberingAfterBreak="0">
    <w:nsid w:val="7A7E12E5"/>
    <w:multiLevelType w:val="multilevel"/>
    <w:tmpl w:val="FFFFFFFF"/>
    <w:styleLink w:val="NumberedHeadings"/>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7C830FB1"/>
    <w:multiLevelType w:val="hybridMultilevel"/>
    <w:tmpl w:val="2E2CC18A"/>
    <w:lvl w:ilvl="0" w:tplc="33745084">
      <w:start w:val="1"/>
      <w:numFmt w:val="bullet"/>
      <w:pStyle w:val="Tabledash"/>
      <w:lvlText w:val="–"/>
      <w:lvlJc w:val="left"/>
      <w:pPr>
        <w:ind w:left="965" w:hanging="360"/>
      </w:pPr>
      <w:rPr>
        <w:rFonts w:ascii="Arial" w:hAnsi="Arial" w:hint="default"/>
      </w:rPr>
    </w:lvl>
    <w:lvl w:ilvl="1" w:tplc="0C090003" w:tentative="1">
      <w:start w:val="1"/>
      <w:numFmt w:val="bullet"/>
      <w:lvlText w:val="o"/>
      <w:lvlJc w:val="left"/>
      <w:pPr>
        <w:ind w:left="1685" w:hanging="360"/>
      </w:pPr>
      <w:rPr>
        <w:rFonts w:ascii="Courier New" w:hAnsi="Courier New" w:cs="Courier New" w:hint="default"/>
      </w:rPr>
    </w:lvl>
    <w:lvl w:ilvl="2" w:tplc="0C090005" w:tentative="1">
      <w:start w:val="1"/>
      <w:numFmt w:val="bullet"/>
      <w:lvlText w:val=""/>
      <w:lvlJc w:val="left"/>
      <w:pPr>
        <w:ind w:left="2405" w:hanging="360"/>
      </w:pPr>
      <w:rPr>
        <w:rFonts w:ascii="Wingdings" w:hAnsi="Wingdings" w:hint="default"/>
      </w:rPr>
    </w:lvl>
    <w:lvl w:ilvl="3" w:tplc="0C090001" w:tentative="1">
      <w:start w:val="1"/>
      <w:numFmt w:val="bullet"/>
      <w:lvlText w:val=""/>
      <w:lvlJc w:val="left"/>
      <w:pPr>
        <w:ind w:left="3125" w:hanging="360"/>
      </w:pPr>
      <w:rPr>
        <w:rFonts w:ascii="Symbol" w:hAnsi="Symbol" w:hint="default"/>
      </w:rPr>
    </w:lvl>
    <w:lvl w:ilvl="4" w:tplc="0C090003" w:tentative="1">
      <w:start w:val="1"/>
      <w:numFmt w:val="bullet"/>
      <w:lvlText w:val="o"/>
      <w:lvlJc w:val="left"/>
      <w:pPr>
        <w:ind w:left="3845" w:hanging="360"/>
      </w:pPr>
      <w:rPr>
        <w:rFonts w:ascii="Courier New" w:hAnsi="Courier New" w:cs="Courier New" w:hint="default"/>
      </w:rPr>
    </w:lvl>
    <w:lvl w:ilvl="5" w:tplc="0C090005" w:tentative="1">
      <w:start w:val="1"/>
      <w:numFmt w:val="bullet"/>
      <w:lvlText w:val=""/>
      <w:lvlJc w:val="left"/>
      <w:pPr>
        <w:ind w:left="4565" w:hanging="360"/>
      </w:pPr>
      <w:rPr>
        <w:rFonts w:ascii="Wingdings" w:hAnsi="Wingdings" w:hint="default"/>
      </w:rPr>
    </w:lvl>
    <w:lvl w:ilvl="6" w:tplc="0C090001" w:tentative="1">
      <w:start w:val="1"/>
      <w:numFmt w:val="bullet"/>
      <w:lvlText w:val=""/>
      <w:lvlJc w:val="left"/>
      <w:pPr>
        <w:ind w:left="5285" w:hanging="360"/>
      </w:pPr>
      <w:rPr>
        <w:rFonts w:ascii="Symbol" w:hAnsi="Symbol" w:hint="default"/>
      </w:rPr>
    </w:lvl>
    <w:lvl w:ilvl="7" w:tplc="0C090003" w:tentative="1">
      <w:start w:val="1"/>
      <w:numFmt w:val="bullet"/>
      <w:lvlText w:val="o"/>
      <w:lvlJc w:val="left"/>
      <w:pPr>
        <w:ind w:left="6005" w:hanging="360"/>
      </w:pPr>
      <w:rPr>
        <w:rFonts w:ascii="Courier New" w:hAnsi="Courier New" w:cs="Courier New" w:hint="default"/>
      </w:rPr>
    </w:lvl>
    <w:lvl w:ilvl="8" w:tplc="0C090005" w:tentative="1">
      <w:start w:val="1"/>
      <w:numFmt w:val="bullet"/>
      <w:lvlText w:val=""/>
      <w:lvlJc w:val="left"/>
      <w:pPr>
        <w:ind w:left="6725" w:hanging="360"/>
      </w:pPr>
      <w:rPr>
        <w:rFonts w:ascii="Wingdings" w:hAnsi="Wingdings" w:hint="default"/>
      </w:rPr>
    </w:lvl>
  </w:abstractNum>
  <w:num w:numId="1" w16cid:durableId="1782263439">
    <w:abstractNumId w:val="42"/>
  </w:num>
  <w:num w:numId="2" w16cid:durableId="1776629811">
    <w:abstractNumId w:val="50"/>
  </w:num>
  <w:num w:numId="3" w16cid:durableId="967473119">
    <w:abstractNumId w:val="44"/>
  </w:num>
  <w:num w:numId="4" w16cid:durableId="1473909380">
    <w:abstractNumId w:val="68"/>
  </w:num>
  <w:num w:numId="5" w16cid:durableId="2107385366">
    <w:abstractNumId w:val="65"/>
  </w:num>
  <w:num w:numId="6" w16cid:durableId="700015835">
    <w:abstractNumId w:val="29"/>
  </w:num>
  <w:num w:numId="7" w16cid:durableId="1624339371">
    <w:abstractNumId w:val="21"/>
  </w:num>
  <w:num w:numId="8" w16cid:durableId="329522601">
    <w:abstractNumId w:val="52"/>
  </w:num>
  <w:num w:numId="9" w16cid:durableId="582109876">
    <w:abstractNumId w:val="25"/>
  </w:num>
  <w:num w:numId="10" w16cid:durableId="631328304">
    <w:abstractNumId w:val="48"/>
  </w:num>
  <w:num w:numId="11" w16cid:durableId="1349793148">
    <w:abstractNumId w:val="32"/>
  </w:num>
  <w:num w:numId="12" w16cid:durableId="615142044">
    <w:abstractNumId w:val="37"/>
  </w:num>
  <w:num w:numId="13" w16cid:durableId="873078743">
    <w:abstractNumId w:val="69"/>
  </w:num>
  <w:num w:numId="14" w16cid:durableId="880633137">
    <w:abstractNumId w:val="62"/>
  </w:num>
  <w:num w:numId="15" w16cid:durableId="302731699">
    <w:abstractNumId w:val="3"/>
  </w:num>
  <w:num w:numId="16" w16cid:durableId="505678953">
    <w:abstractNumId w:val="2"/>
  </w:num>
  <w:num w:numId="17" w16cid:durableId="972756714">
    <w:abstractNumId w:val="1"/>
  </w:num>
  <w:num w:numId="18" w16cid:durableId="390274587">
    <w:abstractNumId w:val="0"/>
  </w:num>
  <w:num w:numId="19" w16cid:durableId="1586257505">
    <w:abstractNumId w:val="10"/>
  </w:num>
  <w:num w:numId="20" w16cid:durableId="47915708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07789628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76809815">
    <w:abstractNumId w:val="58"/>
  </w:num>
  <w:num w:numId="23" w16cid:durableId="1032847416">
    <w:abstractNumId w:val="57"/>
  </w:num>
  <w:num w:numId="24" w16cid:durableId="1131511378">
    <w:abstractNumId w:val="76"/>
  </w:num>
  <w:num w:numId="25" w16cid:durableId="1794254403">
    <w:abstractNumId w:val="15"/>
  </w:num>
  <w:num w:numId="26" w16cid:durableId="680855107">
    <w:abstractNumId w:val="31"/>
  </w:num>
  <w:num w:numId="27" w16cid:durableId="123622483">
    <w:abstractNumId w:val="27"/>
  </w:num>
  <w:num w:numId="28" w16cid:durableId="1033843186">
    <w:abstractNumId w:val="78"/>
  </w:num>
  <w:num w:numId="29" w16cid:durableId="2065714690">
    <w:abstractNumId w:val="72"/>
  </w:num>
  <w:num w:numId="30" w16cid:durableId="420953900">
    <w:abstractNumId w:val="4"/>
  </w:num>
  <w:num w:numId="31" w16cid:durableId="1337880674">
    <w:abstractNumId w:val="58"/>
  </w:num>
  <w:num w:numId="32" w16cid:durableId="1370668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84568264">
    <w:abstractNumId w:val="49"/>
  </w:num>
  <w:num w:numId="34" w16cid:durableId="193156734">
    <w:abstractNumId w:val="43"/>
  </w:num>
  <w:num w:numId="35" w16cid:durableId="985822052">
    <w:abstractNumId w:val="26"/>
  </w:num>
  <w:num w:numId="36" w16cid:durableId="1566793688">
    <w:abstractNumId w:val="30"/>
  </w:num>
  <w:num w:numId="37" w16cid:durableId="2139255375">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27080165">
    <w:abstractNumId w:val="70"/>
  </w:num>
  <w:num w:numId="39" w16cid:durableId="910769361">
    <w:abstractNumId w:val="47"/>
  </w:num>
  <w:num w:numId="40" w16cid:durableId="1628244457">
    <w:abstractNumId w:val="38"/>
  </w:num>
  <w:num w:numId="41" w16cid:durableId="861020004">
    <w:abstractNumId w:val="79"/>
  </w:num>
  <w:num w:numId="42" w16cid:durableId="462701617">
    <w:abstractNumId w:val="60"/>
  </w:num>
  <w:num w:numId="43" w16cid:durableId="768090162">
    <w:abstractNumId w:val="40"/>
  </w:num>
  <w:num w:numId="44" w16cid:durableId="492990074">
    <w:abstractNumId w:val="54"/>
  </w:num>
  <w:num w:numId="45" w16cid:durableId="535578682">
    <w:abstractNumId w:val="39"/>
  </w:num>
  <w:num w:numId="46" w16cid:durableId="1183318805">
    <w:abstractNumId w:val="23"/>
  </w:num>
  <w:num w:numId="47" w16cid:durableId="464617165">
    <w:abstractNumId w:val="53"/>
  </w:num>
  <w:num w:numId="48" w16cid:durableId="1865903470">
    <w:abstractNumId w:val="33"/>
  </w:num>
  <w:num w:numId="49" w16cid:durableId="1717508350">
    <w:abstractNumId w:val="20"/>
  </w:num>
  <w:num w:numId="50" w16cid:durableId="2098745415">
    <w:abstractNumId w:val="45"/>
  </w:num>
  <w:num w:numId="51" w16cid:durableId="1891459134">
    <w:abstractNumId w:val="67"/>
  </w:num>
  <w:num w:numId="52" w16cid:durableId="916788305">
    <w:abstractNumId w:val="61"/>
  </w:num>
  <w:num w:numId="53" w16cid:durableId="1885486751">
    <w:abstractNumId w:val="36"/>
  </w:num>
  <w:num w:numId="54" w16cid:durableId="559902797">
    <w:abstractNumId w:val="14"/>
  </w:num>
  <w:num w:numId="55" w16cid:durableId="32854675">
    <w:abstractNumId w:val="63"/>
  </w:num>
  <w:num w:numId="56" w16cid:durableId="1642493058">
    <w:abstractNumId w:val="19"/>
  </w:num>
  <w:num w:numId="57" w16cid:durableId="524438468">
    <w:abstractNumId w:val="16"/>
  </w:num>
  <w:num w:numId="58" w16cid:durableId="1858300856">
    <w:abstractNumId w:val="18"/>
  </w:num>
  <w:num w:numId="59" w16cid:durableId="266888193">
    <w:abstractNumId w:val="17"/>
  </w:num>
  <w:num w:numId="60" w16cid:durableId="545800021">
    <w:abstractNumId w:val="51"/>
  </w:num>
  <w:num w:numId="61" w16cid:durableId="1914388771">
    <w:abstractNumId w:val="12"/>
  </w:num>
  <w:num w:numId="62" w16cid:durableId="1487043459">
    <w:abstractNumId w:val="71"/>
  </w:num>
  <w:num w:numId="63" w16cid:durableId="1190072064">
    <w:abstractNumId w:val="46"/>
  </w:num>
  <w:num w:numId="64" w16cid:durableId="1794203459">
    <w:abstractNumId w:val="66"/>
  </w:num>
  <w:num w:numId="65" w16cid:durableId="737247090">
    <w:abstractNumId w:val="9"/>
  </w:num>
  <w:num w:numId="66" w16cid:durableId="1998880411">
    <w:abstractNumId w:val="24"/>
  </w:num>
  <w:num w:numId="67" w16cid:durableId="1193882378">
    <w:abstractNumId w:val="34"/>
  </w:num>
  <w:num w:numId="68" w16cid:durableId="201133150">
    <w:abstractNumId w:val="11"/>
  </w:num>
  <w:num w:numId="69" w16cid:durableId="1755325078">
    <w:abstractNumId w:val="41"/>
  </w:num>
  <w:num w:numId="70" w16cid:durableId="1062605044">
    <w:abstractNumId w:val="73"/>
  </w:num>
  <w:num w:numId="71" w16cid:durableId="1599175967">
    <w:abstractNumId w:val="75"/>
  </w:num>
  <w:num w:numId="72" w16cid:durableId="1218472203">
    <w:abstractNumId w:val="35"/>
  </w:num>
  <w:num w:numId="73" w16cid:durableId="898857119">
    <w:abstractNumId w:val="64"/>
  </w:num>
  <w:num w:numId="74" w16cid:durableId="1364793553">
    <w:abstractNumId w:val="74"/>
  </w:num>
  <w:num w:numId="75" w16cid:durableId="1689598683">
    <w:abstractNumId w:val="22"/>
  </w:num>
  <w:num w:numId="76" w16cid:durableId="1332567420">
    <w:abstractNumId w:val="28"/>
  </w:num>
  <w:num w:numId="77" w16cid:durableId="599022977">
    <w:abstractNumId w:val="5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382167541">
    <w:abstractNumId w:val="77"/>
  </w:num>
  <w:num w:numId="79" w16cid:durableId="1506820610">
    <w:abstractNumId w:val="55"/>
  </w:num>
  <w:num w:numId="80" w16cid:durableId="1368141273">
    <w:abstractNumId w:val="8"/>
  </w:num>
  <w:num w:numId="81" w16cid:durableId="1513371266">
    <w:abstractNumId w:val="6"/>
  </w:num>
  <w:num w:numId="82" w16cid:durableId="2047900428">
    <w:abstractNumId w:val="5"/>
  </w:num>
  <w:num w:numId="83" w16cid:durableId="1227765231">
    <w:abstractNumId w:val="5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245263709">
    <w:abstractNumId w:val="5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534344226">
    <w:abstractNumId w:val="5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528950247">
    <w:abstractNumId w:val="7"/>
  </w:num>
  <w:num w:numId="87" w16cid:durableId="118304743">
    <w:abstractNumId w:val="5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420492972">
    <w:abstractNumId w:val="79"/>
  </w:num>
  <w:num w:numId="89" w16cid:durableId="1246644677">
    <w:abstractNumId w:val="56"/>
  </w:num>
  <w:num w:numId="90" w16cid:durableId="1071733243">
    <w:abstractNumId w:val="59"/>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stylePaneFormatFilter w:val="1801" w:allStyles="1" w:customStyles="0" w:latentStyles="0" w:stylesInUse="0" w:headingStyles="0" w:numberingStyles="0" w:tableStyles="0" w:directFormattingOnRuns="0" w:directFormattingOnParagraphs="0" w:directFormattingOnNumbering="0" w:directFormattingOnTables="1" w:clearFormatting="1" w:top3HeadingStyles="0" w:visibleStyles="0" w:alternateStyleNames="0"/>
  <w:trackRevisions/>
  <w:documentProtection w:edit="trackedChanges" w:enforcement="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Q2NzEwNzE3NTY0MzFX0lEKTi0uzszPAykwrAUAgJvfzywAAAA="/>
  </w:docVars>
  <w:rsids>
    <w:rsidRoot w:val="003A27FC"/>
    <w:rsid w:val="00000005"/>
    <w:rsid w:val="00000073"/>
    <w:rsid w:val="0000008C"/>
    <w:rsid w:val="000000DE"/>
    <w:rsid w:val="000000F0"/>
    <w:rsid w:val="00000256"/>
    <w:rsid w:val="00000268"/>
    <w:rsid w:val="0000027B"/>
    <w:rsid w:val="000002E2"/>
    <w:rsid w:val="0000031D"/>
    <w:rsid w:val="00000339"/>
    <w:rsid w:val="00000356"/>
    <w:rsid w:val="0000036A"/>
    <w:rsid w:val="00000405"/>
    <w:rsid w:val="000004CA"/>
    <w:rsid w:val="000004E0"/>
    <w:rsid w:val="0000054B"/>
    <w:rsid w:val="00000579"/>
    <w:rsid w:val="000005E6"/>
    <w:rsid w:val="000005F2"/>
    <w:rsid w:val="000006A5"/>
    <w:rsid w:val="000006D5"/>
    <w:rsid w:val="000006FE"/>
    <w:rsid w:val="00000795"/>
    <w:rsid w:val="000008C6"/>
    <w:rsid w:val="00000A05"/>
    <w:rsid w:val="00000B50"/>
    <w:rsid w:val="00000B52"/>
    <w:rsid w:val="00000B5F"/>
    <w:rsid w:val="00000CA7"/>
    <w:rsid w:val="00000D4D"/>
    <w:rsid w:val="00000DA2"/>
    <w:rsid w:val="00000DF9"/>
    <w:rsid w:val="00000E4B"/>
    <w:rsid w:val="00000F1D"/>
    <w:rsid w:val="00000F53"/>
    <w:rsid w:val="00000FB9"/>
    <w:rsid w:val="0000104B"/>
    <w:rsid w:val="00001197"/>
    <w:rsid w:val="000011E3"/>
    <w:rsid w:val="0000121B"/>
    <w:rsid w:val="00001231"/>
    <w:rsid w:val="000012B2"/>
    <w:rsid w:val="000013ED"/>
    <w:rsid w:val="00001410"/>
    <w:rsid w:val="00001435"/>
    <w:rsid w:val="00001451"/>
    <w:rsid w:val="0000152D"/>
    <w:rsid w:val="00001615"/>
    <w:rsid w:val="00001716"/>
    <w:rsid w:val="00001735"/>
    <w:rsid w:val="00001747"/>
    <w:rsid w:val="00001749"/>
    <w:rsid w:val="00001755"/>
    <w:rsid w:val="000017E9"/>
    <w:rsid w:val="00001812"/>
    <w:rsid w:val="0000191C"/>
    <w:rsid w:val="0000192A"/>
    <w:rsid w:val="0000193A"/>
    <w:rsid w:val="000019FC"/>
    <w:rsid w:val="00001A64"/>
    <w:rsid w:val="00001A73"/>
    <w:rsid w:val="00001AD1"/>
    <w:rsid w:val="00001BD0"/>
    <w:rsid w:val="00001D39"/>
    <w:rsid w:val="00001D40"/>
    <w:rsid w:val="00001DE4"/>
    <w:rsid w:val="00001E39"/>
    <w:rsid w:val="00001E83"/>
    <w:rsid w:val="00001F4A"/>
    <w:rsid w:val="00001FB5"/>
    <w:rsid w:val="00001FB7"/>
    <w:rsid w:val="00001FFF"/>
    <w:rsid w:val="00002020"/>
    <w:rsid w:val="00002029"/>
    <w:rsid w:val="0000206C"/>
    <w:rsid w:val="000020AE"/>
    <w:rsid w:val="0000210A"/>
    <w:rsid w:val="00002150"/>
    <w:rsid w:val="0000215E"/>
    <w:rsid w:val="00002170"/>
    <w:rsid w:val="000021EF"/>
    <w:rsid w:val="0000228F"/>
    <w:rsid w:val="00002327"/>
    <w:rsid w:val="0000236F"/>
    <w:rsid w:val="00002416"/>
    <w:rsid w:val="00002433"/>
    <w:rsid w:val="000024C8"/>
    <w:rsid w:val="00002564"/>
    <w:rsid w:val="000025D3"/>
    <w:rsid w:val="00002631"/>
    <w:rsid w:val="000026C0"/>
    <w:rsid w:val="0000273C"/>
    <w:rsid w:val="0000279B"/>
    <w:rsid w:val="000027CF"/>
    <w:rsid w:val="0000282B"/>
    <w:rsid w:val="000028B1"/>
    <w:rsid w:val="000028DC"/>
    <w:rsid w:val="000029C3"/>
    <w:rsid w:val="000029C6"/>
    <w:rsid w:val="00002A53"/>
    <w:rsid w:val="00002B65"/>
    <w:rsid w:val="00002B97"/>
    <w:rsid w:val="00002BDD"/>
    <w:rsid w:val="00002C36"/>
    <w:rsid w:val="00002D07"/>
    <w:rsid w:val="00002DFA"/>
    <w:rsid w:val="00002E4E"/>
    <w:rsid w:val="00002ED7"/>
    <w:rsid w:val="00002F0B"/>
    <w:rsid w:val="00002F4B"/>
    <w:rsid w:val="00002F9C"/>
    <w:rsid w:val="00002FE3"/>
    <w:rsid w:val="000030A6"/>
    <w:rsid w:val="0000319F"/>
    <w:rsid w:val="000031F9"/>
    <w:rsid w:val="00003222"/>
    <w:rsid w:val="000032E6"/>
    <w:rsid w:val="00003426"/>
    <w:rsid w:val="0000342F"/>
    <w:rsid w:val="00003480"/>
    <w:rsid w:val="00003501"/>
    <w:rsid w:val="0000356D"/>
    <w:rsid w:val="000035A3"/>
    <w:rsid w:val="0000365E"/>
    <w:rsid w:val="0000367C"/>
    <w:rsid w:val="00003769"/>
    <w:rsid w:val="00003814"/>
    <w:rsid w:val="00003926"/>
    <w:rsid w:val="0000397F"/>
    <w:rsid w:val="00003B26"/>
    <w:rsid w:val="00003BE7"/>
    <w:rsid w:val="00003C63"/>
    <w:rsid w:val="00003C80"/>
    <w:rsid w:val="00003D26"/>
    <w:rsid w:val="00003D6C"/>
    <w:rsid w:val="00004058"/>
    <w:rsid w:val="00004163"/>
    <w:rsid w:val="0000420F"/>
    <w:rsid w:val="000042DB"/>
    <w:rsid w:val="0000436A"/>
    <w:rsid w:val="000043BD"/>
    <w:rsid w:val="00004412"/>
    <w:rsid w:val="0000442D"/>
    <w:rsid w:val="00004477"/>
    <w:rsid w:val="0000456A"/>
    <w:rsid w:val="0000458F"/>
    <w:rsid w:val="000045F7"/>
    <w:rsid w:val="0000462D"/>
    <w:rsid w:val="0000465D"/>
    <w:rsid w:val="00004770"/>
    <w:rsid w:val="000047AF"/>
    <w:rsid w:val="00004852"/>
    <w:rsid w:val="000048A2"/>
    <w:rsid w:val="0000499A"/>
    <w:rsid w:val="000049D9"/>
    <w:rsid w:val="000049DB"/>
    <w:rsid w:val="00004C19"/>
    <w:rsid w:val="00004CC9"/>
    <w:rsid w:val="00004D91"/>
    <w:rsid w:val="00004DA9"/>
    <w:rsid w:val="00004E46"/>
    <w:rsid w:val="00004ECB"/>
    <w:rsid w:val="000050C8"/>
    <w:rsid w:val="0000514A"/>
    <w:rsid w:val="000052AC"/>
    <w:rsid w:val="00005416"/>
    <w:rsid w:val="00005417"/>
    <w:rsid w:val="00005425"/>
    <w:rsid w:val="00005597"/>
    <w:rsid w:val="000055B6"/>
    <w:rsid w:val="000055BD"/>
    <w:rsid w:val="000055C1"/>
    <w:rsid w:val="00005643"/>
    <w:rsid w:val="0000569F"/>
    <w:rsid w:val="000056B1"/>
    <w:rsid w:val="000056D1"/>
    <w:rsid w:val="0000572C"/>
    <w:rsid w:val="00005777"/>
    <w:rsid w:val="000057B9"/>
    <w:rsid w:val="0000580A"/>
    <w:rsid w:val="00005810"/>
    <w:rsid w:val="000058C2"/>
    <w:rsid w:val="00005904"/>
    <w:rsid w:val="00005988"/>
    <w:rsid w:val="00005A04"/>
    <w:rsid w:val="00005B85"/>
    <w:rsid w:val="00005BC1"/>
    <w:rsid w:val="00005C06"/>
    <w:rsid w:val="00005CD4"/>
    <w:rsid w:val="00005D94"/>
    <w:rsid w:val="00005DBD"/>
    <w:rsid w:val="00005DC6"/>
    <w:rsid w:val="00005E01"/>
    <w:rsid w:val="00005EDB"/>
    <w:rsid w:val="00005F7A"/>
    <w:rsid w:val="00005FDF"/>
    <w:rsid w:val="00006087"/>
    <w:rsid w:val="000060B5"/>
    <w:rsid w:val="000060F5"/>
    <w:rsid w:val="00006105"/>
    <w:rsid w:val="00006257"/>
    <w:rsid w:val="000063F4"/>
    <w:rsid w:val="00006409"/>
    <w:rsid w:val="0000640F"/>
    <w:rsid w:val="00006427"/>
    <w:rsid w:val="0000643A"/>
    <w:rsid w:val="000064B6"/>
    <w:rsid w:val="00006568"/>
    <w:rsid w:val="000065CB"/>
    <w:rsid w:val="000065D6"/>
    <w:rsid w:val="000065FF"/>
    <w:rsid w:val="00006646"/>
    <w:rsid w:val="00006654"/>
    <w:rsid w:val="00006690"/>
    <w:rsid w:val="00006761"/>
    <w:rsid w:val="000067C5"/>
    <w:rsid w:val="000067FB"/>
    <w:rsid w:val="00006819"/>
    <w:rsid w:val="00006824"/>
    <w:rsid w:val="00006835"/>
    <w:rsid w:val="000068B9"/>
    <w:rsid w:val="000068CC"/>
    <w:rsid w:val="00006957"/>
    <w:rsid w:val="00006B37"/>
    <w:rsid w:val="00006B3E"/>
    <w:rsid w:val="00006D0F"/>
    <w:rsid w:val="00006D9D"/>
    <w:rsid w:val="00006DF0"/>
    <w:rsid w:val="00006DF3"/>
    <w:rsid w:val="00006E8B"/>
    <w:rsid w:val="00006FA2"/>
    <w:rsid w:val="00007066"/>
    <w:rsid w:val="0000711C"/>
    <w:rsid w:val="00007139"/>
    <w:rsid w:val="000071A4"/>
    <w:rsid w:val="00007281"/>
    <w:rsid w:val="000072FA"/>
    <w:rsid w:val="00007315"/>
    <w:rsid w:val="000073F8"/>
    <w:rsid w:val="000074BC"/>
    <w:rsid w:val="0000756A"/>
    <w:rsid w:val="000075C5"/>
    <w:rsid w:val="000076F1"/>
    <w:rsid w:val="000077A3"/>
    <w:rsid w:val="000077BA"/>
    <w:rsid w:val="000077DB"/>
    <w:rsid w:val="00007832"/>
    <w:rsid w:val="0000796B"/>
    <w:rsid w:val="00007991"/>
    <w:rsid w:val="000079AF"/>
    <w:rsid w:val="00007A3F"/>
    <w:rsid w:val="00007A92"/>
    <w:rsid w:val="00007B57"/>
    <w:rsid w:val="00007BD8"/>
    <w:rsid w:val="00007BDB"/>
    <w:rsid w:val="00007C89"/>
    <w:rsid w:val="00007D61"/>
    <w:rsid w:val="00007D90"/>
    <w:rsid w:val="00007E55"/>
    <w:rsid w:val="00007E6D"/>
    <w:rsid w:val="00007EA3"/>
    <w:rsid w:val="00007EA7"/>
    <w:rsid w:val="00007EB6"/>
    <w:rsid w:val="00007EBC"/>
    <w:rsid w:val="00007F21"/>
    <w:rsid w:val="00007F79"/>
    <w:rsid w:val="00007F9E"/>
    <w:rsid w:val="00007FA7"/>
    <w:rsid w:val="00007FC2"/>
    <w:rsid w:val="00007FFD"/>
    <w:rsid w:val="0001007F"/>
    <w:rsid w:val="000101E2"/>
    <w:rsid w:val="0001021A"/>
    <w:rsid w:val="00010388"/>
    <w:rsid w:val="0001048E"/>
    <w:rsid w:val="000104DF"/>
    <w:rsid w:val="000104FF"/>
    <w:rsid w:val="000105AC"/>
    <w:rsid w:val="000105D5"/>
    <w:rsid w:val="0001061E"/>
    <w:rsid w:val="000106AA"/>
    <w:rsid w:val="00010878"/>
    <w:rsid w:val="000108A7"/>
    <w:rsid w:val="000108FD"/>
    <w:rsid w:val="00010933"/>
    <w:rsid w:val="0001093F"/>
    <w:rsid w:val="00010A2A"/>
    <w:rsid w:val="00010AA4"/>
    <w:rsid w:val="00010BB8"/>
    <w:rsid w:val="00010CD9"/>
    <w:rsid w:val="00010E22"/>
    <w:rsid w:val="00010E28"/>
    <w:rsid w:val="00010EB2"/>
    <w:rsid w:val="00010EF5"/>
    <w:rsid w:val="00010F3A"/>
    <w:rsid w:val="00010F40"/>
    <w:rsid w:val="00010FC3"/>
    <w:rsid w:val="00011152"/>
    <w:rsid w:val="0001116B"/>
    <w:rsid w:val="000111BC"/>
    <w:rsid w:val="000111E3"/>
    <w:rsid w:val="00011231"/>
    <w:rsid w:val="0001123F"/>
    <w:rsid w:val="0001127D"/>
    <w:rsid w:val="000113D7"/>
    <w:rsid w:val="000113ED"/>
    <w:rsid w:val="00011417"/>
    <w:rsid w:val="000114BA"/>
    <w:rsid w:val="000114F6"/>
    <w:rsid w:val="00011560"/>
    <w:rsid w:val="000115CA"/>
    <w:rsid w:val="000115DD"/>
    <w:rsid w:val="00011611"/>
    <w:rsid w:val="0001162B"/>
    <w:rsid w:val="00011741"/>
    <w:rsid w:val="0001180F"/>
    <w:rsid w:val="00011840"/>
    <w:rsid w:val="00011864"/>
    <w:rsid w:val="000119E0"/>
    <w:rsid w:val="000119E5"/>
    <w:rsid w:val="00011A1C"/>
    <w:rsid w:val="00011A22"/>
    <w:rsid w:val="00011A3A"/>
    <w:rsid w:val="00011A44"/>
    <w:rsid w:val="00011A6D"/>
    <w:rsid w:val="00011ADC"/>
    <w:rsid w:val="00011C19"/>
    <w:rsid w:val="00011D1F"/>
    <w:rsid w:val="00011D8D"/>
    <w:rsid w:val="00011E14"/>
    <w:rsid w:val="00011E26"/>
    <w:rsid w:val="00011E6A"/>
    <w:rsid w:val="00011F3C"/>
    <w:rsid w:val="00011F83"/>
    <w:rsid w:val="00012017"/>
    <w:rsid w:val="00012095"/>
    <w:rsid w:val="000120BA"/>
    <w:rsid w:val="00012114"/>
    <w:rsid w:val="0001217A"/>
    <w:rsid w:val="0001219D"/>
    <w:rsid w:val="0001219E"/>
    <w:rsid w:val="000123F7"/>
    <w:rsid w:val="0001243B"/>
    <w:rsid w:val="000124B6"/>
    <w:rsid w:val="000124D5"/>
    <w:rsid w:val="000125D5"/>
    <w:rsid w:val="000126AC"/>
    <w:rsid w:val="000126C8"/>
    <w:rsid w:val="000126DF"/>
    <w:rsid w:val="00012712"/>
    <w:rsid w:val="00012733"/>
    <w:rsid w:val="000127D6"/>
    <w:rsid w:val="0001284B"/>
    <w:rsid w:val="0001289D"/>
    <w:rsid w:val="000129BA"/>
    <w:rsid w:val="00012AA7"/>
    <w:rsid w:val="00012AF9"/>
    <w:rsid w:val="00012B3B"/>
    <w:rsid w:val="00012CD4"/>
    <w:rsid w:val="00012CFC"/>
    <w:rsid w:val="00012E28"/>
    <w:rsid w:val="00012E55"/>
    <w:rsid w:val="00012E5B"/>
    <w:rsid w:val="00012E7F"/>
    <w:rsid w:val="00012F0A"/>
    <w:rsid w:val="00012F14"/>
    <w:rsid w:val="00012F8C"/>
    <w:rsid w:val="00012FC7"/>
    <w:rsid w:val="00012FE4"/>
    <w:rsid w:val="00012FE9"/>
    <w:rsid w:val="000130C9"/>
    <w:rsid w:val="000130DA"/>
    <w:rsid w:val="00013104"/>
    <w:rsid w:val="00013116"/>
    <w:rsid w:val="0001311E"/>
    <w:rsid w:val="000131B0"/>
    <w:rsid w:val="000131DE"/>
    <w:rsid w:val="0001327C"/>
    <w:rsid w:val="00013340"/>
    <w:rsid w:val="00013363"/>
    <w:rsid w:val="000133D5"/>
    <w:rsid w:val="00013462"/>
    <w:rsid w:val="0001354F"/>
    <w:rsid w:val="000135A3"/>
    <w:rsid w:val="00013600"/>
    <w:rsid w:val="00013630"/>
    <w:rsid w:val="00013640"/>
    <w:rsid w:val="000136AE"/>
    <w:rsid w:val="00013735"/>
    <w:rsid w:val="0001374D"/>
    <w:rsid w:val="0001375C"/>
    <w:rsid w:val="00013762"/>
    <w:rsid w:val="000137F6"/>
    <w:rsid w:val="00013806"/>
    <w:rsid w:val="00013819"/>
    <w:rsid w:val="00013A60"/>
    <w:rsid w:val="00013A68"/>
    <w:rsid w:val="00013B2B"/>
    <w:rsid w:val="00013BDF"/>
    <w:rsid w:val="00013C96"/>
    <w:rsid w:val="00013E0D"/>
    <w:rsid w:val="00013EC6"/>
    <w:rsid w:val="00013F80"/>
    <w:rsid w:val="00013FA4"/>
    <w:rsid w:val="00014046"/>
    <w:rsid w:val="000140B1"/>
    <w:rsid w:val="000140C8"/>
    <w:rsid w:val="0001411E"/>
    <w:rsid w:val="00014208"/>
    <w:rsid w:val="00014240"/>
    <w:rsid w:val="0001429A"/>
    <w:rsid w:val="000142BC"/>
    <w:rsid w:val="00014395"/>
    <w:rsid w:val="0001447D"/>
    <w:rsid w:val="0001448A"/>
    <w:rsid w:val="000144A3"/>
    <w:rsid w:val="00014539"/>
    <w:rsid w:val="000145E4"/>
    <w:rsid w:val="000145FE"/>
    <w:rsid w:val="00014631"/>
    <w:rsid w:val="0001477A"/>
    <w:rsid w:val="000148E0"/>
    <w:rsid w:val="0001494E"/>
    <w:rsid w:val="0001494F"/>
    <w:rsid w:val="00014A46"/>
    <w:rsid w:val="00014A80"/>
    <w:rsid w:val="00014B5A"/>
    <w:rsid w:val="00014B60"/>
    <w:rsid w:val="00014BCE"/>
    <w:rsid w:val="00014BF9"/>
    <w:rsid w:val="00014C0D"/>
    <w:rsid w:val="00014D54"/>
    <w:rsid w:val="00014DC3"/>
    <w:rsid w:val="00014DDF"/>
    <w:rsid w:val="00014EA5"/>
    <w:rsid w:val="00014F37"/>
    <w:rsid w:val="00014F41"/>
    <w:rsid w:val="00014F45"/>
    <w:rsid w:val="00014F79"/>
    <w:rsid w:val="00014F97"/>
    <w:rsid w:val="0001501D"/>
    <w:rsid w:val="000150AF"/>
    <w:rsid w:val="00015190"/>
    <w:rsid w:val="000151D4"/>
    <w:rsid w:val="00015222"/>
    <w:rsid w:val="0001522B"/>
    <w:rsid w:val="00015323"/>
    <w:rsid w:val="00015410"/>
    <w:rsid w:val="0001543A"/>
    <w:rsid w:val="00015446"/>
    <w:rsid w:val="00015490"/>
    <w:rsid w:val="00015631"/>
    <w:rsid w:val="00015683"/>
    <w:rsid w:val="0001569F"/>
    <w:rsid w:val="000156F7"/>
    <w:rsid w:val="000157BF"/>
    <w:rsid w:val="0001581B"/>
    <w:rsid w:val="0001585A"/>
    <w:rsid w:val="00015886"/>
    <w:rsid w:val="000158DC"/>
    <w:rsid w:val="000158F8"/>
    <w:rsid w:val="000159BC"/>
    <w:rsid w:val="000159C6"/>
    <w:rsid w:val="00015A09"/>
    <w:rsid w:val="00015ACB"/>
    <w:rsid w:val="00015AE7"/>
    <w:rsid w:val="00015B59"/>
    <w:rsid w:val="00015B85"/>
    <w:rsid w:val="00015B89"/>
    <w:rsid w:val="00015BA6"/>
    <w:rsid w:val="00015BA7"/>
    <w:rsid w:val="00015BAB"/>
    <w:rsid w:val="00015BE2"/>
    <w:rsid w:val="00015CA4"/>
    <w:rsid w:val="00015D1D"/>
    <w:rsid w:val="00015D40"/>
    <w:rsid w:val="00015D78"/>
    <w:rsid w:val="00015E50"/>
    <w:rsid w:val="00015E52"/>
    <w:rsid w:val="00015F57"/>
    <w:rsid w:val="00015F88"/>
    <w:rsid w:val="00015F8F"/>
    <w:rsid w:val="0001605D"/>
    <w:rsid w:val="00016084"/>
    <w:rsid w:val="00016087"/>
    <w:rsid w:val="00016148"/>
    <w:rsid w:val="0001614E"/>
    <w:rsid w:val="00016191"/>
    <w:rsid w:val="000161C7"/>
    <w:rsid w:val="00016301"/>
    <w:rsid w:val="0001633E"/>
    <w:rsid w:val="00016356"/>
    <w:rsid w:val="0001637D"/>
    <w:rsid w:val="0001639C"/>
    <w:rsid w:val="00016414"/>
    <w:rsid w:val="00016428"/>
    <w:rsid w:val="00016484"/>
    <w:rsid w:val="000164BA"/>
    <w:rsid w:val="000165D9"/>
    <w:rsid w:val="000165E8"/>
    <w:rsid w:val="00016629"/>
    <w:rsid w:val="0001665F"/>
    <w:rsid w:val="000166CB"/>
    <w:rsid w:val="000166D0"/>
    <w:rsid w:val="000167AD"/>
    <w:rsid w:val="00016824"/>
    <w:rsid w:val="00016900"/>
    <w:rsid w:val="00016913"/>
    <w:rsid w:val="00016ADA"/>
    <w:rsid w:val="00016ADD"/>
    <w:rsid w:val="00016B35"/>
    <w:rsid w:val="00016C80"/>
    <w:rsid w:val="00016D92"/>
    <w:rsid w:val="00016DF5"/>
    <w:rsid w:val="00016E73"/>
    <w:rsid w:val="00016EFD"/>
    <w:rsid w:val="00016FD9"/>
    <w:rsid w:val="00016FEA"/>
    <w:rsid w:val="00017171"/>
    <w:rsid w:val="00017237"/>
    <w:rsid w:val="00017277"/>
    <w:rsid w:val="000172AA"/>
    <w:rsid w:val="000172B6"/>
    <w:rsid w:val="00017316"/>
    <w:rsid w:val="00017394"/>
    <w:rsid w:val="000173D2"/>
    <w:rsid w:val="00017414"/>
    <w:rsid w:val="000174BF"/>
    <w:rsid w:val="000174C4"/>
    <w:rsid w:val="00017644"/>
    <w:rsid w:val="000177FA"/>
    <w:rsid w:val="00017829"/>
    <w:rsid w:val="0001798F"/>
    <w:rsid w:val="00017A17"/>
    <w:rsid w:val="00017A90"/>
    <w:rsid w:val="00017B6C"/>
    <w:rsid w:val="00017DEF"/>
    <w:rsid w:val="00017E44"/>
    <w:rsid w:val="00017E5E"/>
    <w:rsid w:val="00017E68"/>
    <w:rsid w:val="00017EA2"/>
    <w:rsid w:val="00017EC9"/>
    <w:rsid w:val="00020067"/>
    <w:rsid w:val="000200C6"/>
    <w:rsid w:val="00020117"/>
    <w:rsid w:val="0002016F"/>
    <w:rsid w:val="00020257"/>
    <w:rsid w:val="00020379"/>
    <w:rsid w:val="000203C9"/>
    <w:rsid w:val="000204C7"/>
    <w:rsid w:val="0002051C"/>
    <w:rsid w:val="00020598"/>
    <w:rsid w:val="000205AA"/>
    <w:rsid w:val="000205E7"/>
    <w:rsid w:val="000207D2"/>
    <w:rsid w:val="000208D9"/>
    <w:rsid w:val="000208F5"/>
    <w:rsid w:val="0002090F"/>
    <w:rsid w:val="00020A15"/>
    <w:rsid w:val="00020A40"/>
    <w:rsid w:val="00020A60"/>
    <w:rsid w:val="00020AC0"/>
    <w:rsid w:val="00020BD3"/>
    <w:rsid w:val="00020C53"/>
    <w:rsid w:val="00020CFC"/>
    <w:rsid w:val="00020EAE"/>
    <w:rsid w:val="00020F4E"/>
    <w:rsid w:val="00020F90"/>
    <w:rsid w:val="00021090"/>
    <w:rsid w:val="000210D2"/>
    <w:rsid w:val="00021182"/>
    <w:rsid w:val="00021255"/>
    <w:rsid w:val="0002127A"/>
    <w:rsid w:val="00021338"/>
    <w:rsid w:val="00021399"/>
    <w:rsid w:val="0002157A"/>
    <w:rsid w:val="000215C2"/>
    <w:rsid w:val="00021646"/>
    <w:rsid w:val="0002172B"/>
    <w:rsid w:val="0002175A"/>
    <w:rsid w:val="000217DA"/>
    <w:rsid w:val="00021901"/>
    <w:rsid w:val="000219D4"/>
    <w:rsid w:val="000219F0"/>
    <w:rsid w:val="00021B10"/>
    <w:rsid w:val="00021B44"/>
    <w:rsid w:val="00021CDE"/>
    <w:rsid w:val="00021DE6"/>
    <w:rsid w:val="00021DED"/>
    <w:rsid w:val="00021DF6"/>
    <w:rsid w:val="0002213B"/>
    <w:rsid w:val="000221DB"/>
    <w:rsid w:val="0002220C"/>
    <w:rsid w:val="0002227A"/>
    <w:rsid w:val="0002229B"/>
    <w:rsid w:val="00022391"/>
    <w:rsid w:val="00022473"/>
    <w:rsid w:val="00022625"/>
    <w:rsid w:val="00022688"/>
    <w:rsid w:val="00022705"/>
    <w:rsid w:val="000227E4"/>
    <w:rsid w:val="00022827"/>
    <w:rsid w:val="000228FC"/>
    <w:rsid w:val="0002291E"/>
    <w:rsid w:val="000229B6"/>
    <w:rsid w:val="000229CE"/>
    <w:rsid w:val="000229F1"/>
    <w:rsid w:val="00022A7E"/>
    <w:rsid w:val="00022AD0"/>
    <w:rsid w:val="00022C0D"/>
    <w:rsid w:val="00022C12"/>
    <w:rsid w:val="00022C20"/>
    <w:rsid w:val="00022C33"/>
    <w:rsid w:val="00022C6B"/>
    <w:rsid w:val="00022C94"/>
    <w:rsid w:val="00022D05"/>
    <w:rsid w:val="00022EBA"/>
    <w:rsid w:val="00022F75"/>
    <w:rsid w:val="00023053"/>
    <w:rsid w:val="0002306E"/>
    <w:rsid w:val="00023174"/>
    <w:rsid w:val="00023188"/>
    <w:rsid w:val="00023214"/>
    <w:rsid w:val="000232A8"/>
    <w:rsid w:val="000232C6"/>
    <w:rsid w:val="0002334D"/>
    <w:rsid w:val="0002335A"/>
    <w:rsid w:val="000233A6"/>
    <w:rsid w:val="00023429"/>
    <w:rsid w:val="000234C0"/>
    <w:rsid w:val="00023527"/>
    <w:rsid w:val="0002357B"/>
    <w:rsid w:val="000235EC"/>
    <w:rsid w:val="0002362F"/>
    <w:rsid w:val="00023734"/>
    <w:rsid w:val="000237A1"/>
    <w:rsid w:val="0002386C"/>
    <w:rsid w:val="000238C3"/>
    <w:rsid w:val="000239AB"/>
    <w:rsid w:val="00023A04"/>
    <w:rsid w:val="00023A0E"/>
    <w:rsid w:val="00023B78"/>
    <w:rsid w:val="00023CF6"/>
    <w:rsid w:val="00023DAC"/>
    <w:rsid w:val="000240F2"/>
    <w:rsid w:val="000240F9"/>
    <w:rsid w:val="0002418C"/>
    <w:rsid w:val="0002419C"/>
    <w:rsid w:val="000241EB"/>
    <w:rsid w:val="00024295"/>
    <w:rsid w:val="0002445F"/>
    <w:rsid w:val="00024524"/>
    <w:rsid w:val="00024552"/>
    <w:rsid w:val="00024580"/>
    <w:rsid w:val="0002464F"/>
    <w:rsid w:val="00024717"/>
    <w:rsid w:val="0002473C"/>
    <w:rsid w:val="000247C6"/>
    <w:rsid w:val="000247FB"/>
    <w:rsid w:val="00024863"/>
    <w:rsid w:val="000248DF"/>
    <w:rsid w:val="00024A76"/>
    <w:rsid w:val="00024BB6"/>
    <w:rsid w:val="00024C2D"/>
    <w:rsid w:val="00024C44"/>
    <w:rsid w:val="00024D32"/>
    <w:rsid w:val="00024D3C"/>
    <w:rsid w:val="00024DCD"/>
    <w:rsid w:val="00024EDA"/>
    <w:rsid w:val="00024F4B"/>
    <w:rsid w:val="0002503F"/>
    <w:rsid w:val="0002509C"/>
    <w:rsid w:val="00025154"/>
    <w:rsid w:val="0002516A"/>
    <w:rsid w:val="0002518A"/>
    <w:rsid w:val="000251E2"/>
    <w:rsid w:val="0002527D"/>
    <w:rsid w:val="00025307"/>
    <w:rsid w:val="00025309"/>
    <w:rsid w:val="00025346"/>
    <w:rsid w:val="000253BE"/>
    <w:rsid w:val="000253C7"/>
    <w:rsid w:val="0002545F"/>
    <w:rsid w:val="00025486"/>
    <w:rsid w:val="000254E6"/>
    <w:rsid w:val="00025534"/>
    <w:rsid w:val="00025679"/>
    <w:rsid w:val="00025696"/>
    <w:rsid w:val="00025707"/>
    <w:rsid w:val="0002581D"/>
    <w:rsid w:val="0002582F"/>
    <w:rsid w:val="00025840"/>
    <w:rsid w:val="00025851"/>
    <w:rsid w:val="00025877"/>
    <w:rsid w:val="000258B1"/>
    <w:rsid w:val="00025900"/>
    <w:rsid w:val="00025A7F"/>
    <w:rsid w:val="00025C88"/>
    <w:rsid w:val="00025CBB"/>
    <w:rsid w:val="00025CED"/>
    <w:rsid w:val="00025D36"/>
    <w:rsid w:val="00025D71"/>
    <w:rsid w:val="00025D85"/>
    <w:rsid w:val="00025DBA"/>
    <w:rsid w:val="00025DC4"/>
    <w:rsid w:val="00025DFA"/>
    <w:rsid w:val="00025E99"/>
    <w:rsid w:val="00025ED3"/>
    <w:rsid w:val="00025F00"/>
    <w:rsid w:val="000260AB"/>
    <w:rsid w:val="000260BF"/>
    <w:rsid w:val="000260E0"/>
    <w:rsid w:val="00026101"/>
    <w:rsid w:val="00026182"/>
    <w:rsid w:val="000261BB"/>
    <w:rsid w:val="0002620D"/>
    <w:rsid w:val="000262E6"/>
    <w:rsid w:val="00026349"/>
    <w:rsid w:val="000263FC"/>
    <w:rsid w:val="00026484"/>
    <w:rsid w:val="000264E7"/>
    <w:rsid w:val="000264EA"/>
    <w:rsid w:val="0002651F"/>
    <w:rsid w:val="0002653B"/>
    <w:rsid w:val="0002662B"/>
    <w:rsid w:val="000266BC"/>
    <w:rsid w:val="000266E6"/>
    <w:rsid w:val="00026751"/>
    <w:rsid w:val="000268B0"/>
    <w:rsid w:val="00026944"/>
    <w:rsid w:val="0002698A"/>
    <w:rsid w:val="00026AA0"/>
    <w:rsid w:val="00026AAB"/>
    <w:rsid w:val="00026C2F"/>
    <w:rsid w:val="00026CA0"/>
    <w:rsid w:val="00026CFF"/>
    <w:rsid w:val="00026E05"/>
    <w:rsid w:val="00026E1C"/>
    <w:rsid w:val="00026E3D"/>
    <w:rsid w:val="00026E54"/>
    <w:rsid w:val="00026E73"/>
    <w:rsid w:val="00026EB2"/>
    <w:rsid w:val="00026ED6"/>
    <w:rsid w:val="00026F45"/>
    <w:rsid w:val="00026F64"/>
    <w:rsid w:val="00026F65"/>
    <w:rsid w:val="00026F80"/>
    <w:rsid w:val="00027067"/>
    <w:rsid w:val="0002706D"/>
    <w:rsid w:val="0002711D"/>
    <w:rsid w:val="0002713B"/>
    <w:rsid w:val="00027144"/>
    <w:rsid w:val="00027183"/>
    <w:rsid w:val="000271C9"/>
    <w:rsid w:val="000271CE"/>
    <w:rsid w:val="000271E0"/>
    <w:rsid w:val="0002723E"/>
    <w:rsid w:val="0002725F"/>
    <w:rsid w:val="000272D6"/>
    <w:rsid w:val="0002738D"/>
    <w:rsid w:val="000273B5"/>
    <w:rsid w:val="0002740E"/>
    <w:rsid w:val="0002748E"/>
    <w:rsid w:val="000275B5"/>
    <w:rsid w:val="0002761F"/>
    <w:rsid w:val="00027632"/>
    <w:rsid w:val="000277DC"/>
    <w:rsid w:val="000278EF"/>
    <w:rsid w:val="000279F5"/>
    <w:rsid w:val="00027A12"/>
    <w:rsid w:val="00027A39"/>
    <w:rsid w:val="00027A5C"/>
    <w:rsid w:val="00027A77"/>
    <w:rsid w:val="00027AB4"/>
    <w:rsid w:val="00027ABF"/>
    <w:rsid w:val="00027AD3"/>
    <w:rsid w:val="00027B92"/>
    <w:rsid w:val="00027BCD"/>
    <w:rsid w:val="00027C47"/>
    <w:rsid w:val="00027C55"/>
    <w:rsid w:val="00027CC2"/>
    <w:rsid w:val="00027D2E"/>
    <w:rsid w:val="00027E3E"/>
    <w:rsid w:val="00027E49"/>
    <w:rsid w:val="00027EF9"/>
    <w:rsid w:val="00027FFB"/>
    <w:rsid w:val="000302E9"/>
    <w:rsid w:val="00030321"/>
    <w:rsid w:val="00030322"/>
    <w:rsid w:val="0003032C"/>
    <w:rsid w:val="00030352"/>
    <w:rsid w:val="00030393"/>
    <w:rsid w:val="000303F1"/>
    <w:rsid w:val="000304A4"/>
    <w:rsid w:val="0003056D"/>
    <w:rsid w:val="0003057E"/>
    <w:rsid w:val="000305B9"/>
    <w:rsid w:val="0003060B"/>
    <w:rsid w:val="00030673"/>
    <w:rsid w:val="000306EB"/>
    <w:rsid w:val="00030736"/>
    <w:rsid w:val="00030847"/>
    <w:rsid w:val="000308F5"/>
    <w:rsid w:val="0003093F"/>
    <w:rsid w:val="000309A0"/>
    <w:rsid w:val="000309BE"/>
    <w:rsid w:val="000309C5"/>
    <w:rsid w:val="00030A95"/>
    <w:rsid w:val="00030B26"/>
    <w:rsid w:val="00030CEA"/>
    <w:rsid w:val="00030D12"/>
    <w:rsid w:val="00030D21"/>
    <w:rsid w:val="00030D93"/>
    <w:rsid w:val="00030DDB"/>
    <w:rsid w:val="00030F18"/>
    <w:rsid w:val="00030F71"/>
    <w:rsid w:val="00030FBD"/>
    <w:rsid w:val="00031065"/>
    <w:rsid w:val="0003109E"/>
    <w:rsid w:val="000310B4"/>
    <w:rsid w:val="00031118"/>
    <w:rsid w:val="000311A5"/>
    <w:rsid w:val="000311D1"/>
    <w:rsid w:val="00031217"/>
    <w:rsid w:val="000312F8"/>
    <w:rsid w:val="000312FA"/>
    <w:rsid w:val="00031345"/>
    <w:rsid w:val="00031431"/>
    <w:rsid w:val="00031439"/>
    <w:rsid w:val="00031444"/>
    <w:rsid w:val="0003146F"/>
    <w:rsid w:val="0003148C"/>
    <w:rsid w:val="00031518"/>
    <w:rsid w:val="00031613"/>
    <w:rsid w:val="00031702"/>
    <w:rsid w:val="00031708"/>
    <w:rsid w:val="0003175C"/>
    <w:rsid w:val="00031822"/>
    <w:rsid w:val="000318E7"/>
    <w:rsid w:val="00031AEB"/>
    <w:rsid w:val="00031C14"/>
    <w:rsid w:val="00031D2B"/>
    <w:rsid w:val="00031D83"/>
    <w:rsid w:val="00031D96"/>
    <w:rsid w:val="00031DAA"/>
    <w:rsid w:val="00031E2C"/>
    <w:rsid w:val="00031E67"/>
    <w:rsid w:val="00031EA2"/>
    <w:rsid w:val="00031EA9"/>
    <w:rsid w:val="00031F08"/>
    <w:rsid w:val="00031F45"/>
    <w:rsid w:val="00031F78"/>
    <w:rsid w:val="00032018"/>
    <w:rsid w:val="00032045"/>
    <w:rsid w:val="000321C3"/>
    <w:rsid w:val="00032213"/>
    <w:rsid w:val="00032360"/>
    <w:rsid w:val="0003238A"/>
    <w:rsid w:val="00032392"/>
    <w:rsid w:val="000324B2"/>
    <w:rsid w:val="000324D3"/>
    <w:rsid w:val="00032502"/>
    <w:rsid w:val="0003255B"/>
    <w:rsid w:val="000325B8"/>
    <w:rsid w:val="00032672"/>
    <w:rsid w:val="000326FE"/>
    <w:rsid w:val="00032747"/>
    <w:rsid w:val="00032939"/>
    <w:rsid w:val="00032957"/>
    <w:rsid w:val="00032961"/>
    <w:rsid w:val="00032971"/>
    <w:rsid w:val="00032A07"/>
    <w:rsid w:val="00032A38"/>
    <w:rsid w:val="00032A44"/>
    <w:rsid w:val="00032A91"/>
    <w:rsid w:val="00032ABA"/>
    <w:rsid w:val="00032ACC"/>
    <w:rsid w:val="00032BD8"/>
    <w:rsid w:val="00032BFD"/>
    <w:rsid w:val="00032C99"/>
    <w:rsid w:val="00032D64"/>
    <w:rsid w:val="00032DD0"/>
    <w:rsid w:val="00032DE8"/>
    <w:rsid w:val="00032E6F"/>
    <w:rsid w:val="00032ED8"/>
    <w:rsid w:val="00032EE3"/>
    <w:rsid w:val="00032EE4"/>
    <w:rsid w:val="00032F39"/>
    <w:rsid w:val="00032F3F"/>
    <w:rsid w:val="00032F68"/>
    <w:rsid w:val="00032F76"/>
    <w:rsid w:val="00033175"/>
    <w:rsid w:val="000331A7"/>
    <w:rsid w:val="00033310"/>
    <w:rsid w:val="0003345C"/>
    <w:rsid w:val="00033544"/>
    <w:rsid w:val="0003359A"/>
    <w:rsid w:val="0003362A"/>
    <w:rsid w:val="0003366D"/>
    <w:rsid w:val="00033675"/>
    <w:rsid w:val="00033679"/>
    <w:rsid w:val="000336C0"/>
    <w:rsid w:val="000336D1"/>
    <w:rsid w:val="00033705"/>
    <w:rsid w:val="00033825"/>
    <w:rsid w:val="0003387F"/>
    <w:rsid w:val="0003389E"/>
    <w:rsid w:val="00033928"/>
    <w:rsid w:val="0003393C"/>
    <w:rsid w:val="00033942"/>
    <w:rsid w:val="0003394D"/>
    <w:rsid w:val="000339E0"/>
    <w:rsid w:val="00033A19"/>
    <w:rsid w:val="00033C9E"/>
    <w:rsid w:val="00033E6F"/>
    <w:rsid w:val="00033F07"/>
    <w:rsid w:val="00033F31"/>
    <w:rsid w:val="00033F33"/>
    <w:rsid w:val="00033F71"/>
    <w:rsid w:val="0003405D"/>
    <w:rsid w:val="00034065"/>
    <w:rsid w:val="00034079"/>
    <w:rsid w:val="000340FC"/>
    <w:rsid w:val="0003412F"/>
    <w:rsid w:val="00034149"/>
    <w:rsid w:val="0003418B"/>
    <w:rsid w:val="0003422F"/>
    <w:rsid w:val="0003423E"/>
    <w:rsid w:val="00034275"/>
    <w:rsid w:val="000342BC"/>
    <w:rsid w:val="000342ED"/>
    <w:rsid w:val="0003431D"/>
    <w:rsid w:val="000343BB"/>
    <w:rsid w:val="000343C0"/>
    <w:rsid w:val="00034482"/>
    <w:rsid w:val="00034496"/>
    <w:rsid w:val="000344BF"/>
    <w:rsid w:val="00034557"/>
    <w:rsid w:val="00034663"/>
    <w:rsid w:val="000347E9"/>
    <w:rsid w:val="0003486A"/>
    <w:rsid w:val="00034919"/>
    <w:rsid w:val="00034952"/>
    <w:rsid w:val="00034A86"/>
    <w:rsid w:val="00034A8D"/>
    <w:rsid w:val="00034ACF"/>
    <w:rsid w:val="00034D78"/>
    <w:rsid w:val="00034E9E"/>
    <w:rsid w:val="00034F87"/>
    <w:rsid w:val="00035128"/>
    <w:rsid w:val="000351B5"/>
    <w:rsid w:val="000351C0"/>
    <w:rsid w:val="000351E4"/>
    <w:rsid w:val="0003524F"/>
    <w:rsid w:val="000352E5"/>
    <w:rsid w:val="0003531F"/>
    <w:rsid w:val="00035356"/>
    <w:rsid w:val="00035373"/>
    <w:rsid w:val="000353A2"/>
    <w:rsid w:val="000353D3"/>
    <w:rsid w:val="000353E0"/>
    <w:rsid w:val="00035422"/>
    <w:rsid w:val="0003549D"/>
    <w:rsid w:val="000354D6"/>
    <w:rsid w:val="0003558B"/>
    <w:rsid w:val="0003559D"/>
    <w:rsid w:val="000355B8"/>
    <w:rsid w:val="0003560E"/>
    <w:rsid w:val="000356A9"/>
    <w:rsid w:val="000356B9"/>
    <w:rsid w:val="00035716"/>
    <w:rsid w:val="0003571E"/>
    <w:rsid w:val="00035747"/>
    <w:rsid w:val="00035754"/>
    <w:rsid w:val="000357A5"/>
    <w:rsid w:val="0003583F"/>
    <w:rsid w:val="00035894"/>
    <w:rsid w:val="00035ADA"/>
    <w:rsid w:val="00035B37"/>
    <w:rsid w:val="00035B51"/>
    <w:rsid w:val="00035C86"/>
    <w:rsid w:val="00035D40"/>
    <w:rsid w:val="00035DA0"/>
    <w:rsid w:val="00035DB9"/>
    <w:rsid w:val="00035DC2"/>
    <w:rsid w:val="00035DF6"/>
    <w:rsid w:val="00035E00"/>
    <w:rsid w:val="00035EBC"/>
    <w:rsid w:val="00035F62"/>
    <w:rsid w:val="00035FA4"/>
    <w:rsid w:val="00035FAB"/>
    <w:rsid w:val="00036042"/>
    <w:rsid w:val="00036053"/>
    <w:rsid w:val="00036062"/>
    <w:rsid w:val="00036063"/>
    <w:rsid w:val="000360B4"/>
    <w:rsid w:val="00036104"/>
    <w:rsid w:val="0003613C"/>
    <w:rsid w:val="00036203"/>
    <w:rsid w:val="0003627C"/>
    <w:rsid w:val="00036322"/>
    <w:rsid w:val="00036359"/>
    <w:rsid w:val="00036360"/>
    <w:rsid w:val="00036449"/>
    <w:rsid w:val="00036560"/>
    <w:rsid w:val="00036573"/>
    <w:rsid w:val="00036697"/>
    <w:rsid w:val="000366B4"/>
    <w:rsid w:val="000366C1"/>
    <w:rsid w:val="000366DC"/>
    <w:rsid w:val="000366ED"/>
    <w:rsid w:val="00036712"/>
    <w:rsid w:val="000368A8"/>
    <w:rsid w:val="00036948"/>
    <w:rsid w:val="000369C4"/>
    <w:rsid w:val="000369C9"/>
    <w:rsid w:val="000369E2"/>
    <w:rsid w:val="000369E4"/>
    <w:rsid w:val="000369E8"/>
    <w:rsid w:val="000369EC"/>
    <w:rsid w:val="00036A41"/>
    <w:rsid w:val="00036A6E"/>
    <w:rsid w:val="00036BAD"/>
    <w:rsid w:val="00036BE5"/>
    <w:rsid w:val="00036C99"/>
    <w:rsid w:val="00036CE1"/>
    <w:rsid w:val="00036D23"/>
    <w:rsid w:val="00036D81"/>
    <w:rsid w:val="00036DBD"/>
    <w:rsid w:val="00036F63"/>
    <w:rsid w:val="00036F8E"/>
    <w:rsid w:val="00037085"/>
    <w:rsid w:val="0003709F"/>
    <w:rsid w:val="000370CA"/>
    <w:rsid w:val="00037137"/>
    <w:rsid w:val="000371B1"/>
    <w:rsid w:val="0003722A"/>
    <w:rsid w:val="00037295"/>
    <w:rsid w:val="000372C3"/>
    <w:rsid w:val="0003738E"/>
    <w:rsid w:val="000373A8"/>
    <w:rsid w:val="00037434"/>
    <w:rsid w:val="00037450"/>
    <w:rsid w:val="0003749C"/>
    <w:rsid w:val="000374C3"/>
    <w:rsid w:val="0003754F"/>
    <w:rsid w:val="00037561"/>
    <w:rsid w:val="000375CD"/>
    <w:rsid w:val="000375DD"/>
    <w:rsid w:val="0003762C"/>
    <w:rsid w:val="000376EF"/>
    <w:rsid w:val="00037711"/>
    <w:rsid w:val="00037712"/>
    <w:rsid w:val="00037776"/>
    <w:rsid w:val="000377B3"/>
    <w:rsid w:val="0003782B"/>
    <w:rsid w:val="0003789A"/>
    <w:rsid w:val="00037924"/>
    <w:rsid w:val="00037A42"/>
    <w:rsid w:val="00037AB8"/>
    <w:rsid w:val="00037C5E"/>
    <w:rsid w:val="00037D20"/>
    <w:rsid w:val="00037D83"/>
    <w:rsid w:val="00037DBF"/>
    <w:rsid w:val="00037DCB"/>
    <w:rsid w:val="00037DEE"/>
    <w:rsid w:val="00037EF2"/>
    <w:rsid w:val="00037F76"/>
    <w:rsid w:val="00037FDE"/>
    <w:rsid w:val="00040017"/>
    <w:rsid w:val="00040058"/>
    <w:rsid w:val="00040086"/>
    <w:rsid w:val="000400EE"/>
    <w:rsid w:val="000400F3"/>
    <w:rsid w:val="00040159"/>
    <w:rsid w:val="00040189"/>
    <w:rsid w:val="00040276"/>
    <w:rsid w:val="00040392"/>
    <w:rsid w:val="000403C4"/>
    <w:rsid w:val="0004040E"/>
    <w:rsid w:val="00040435"/>
    <w:rsid w:val="00040493"/>
    <w:rsid w:val="0004049F"/>
    <w:rsid w:val="0004058B"/>
    <w:rsid w:val="000405C9"/>
    <w:rsid w:val="00040650"/>
    <w:rsid w:val="0004066A"/>
    <w:rsid w:val="0004069A"/>
    <w:rsid w:val="000406B3"/>
    <w:rsid w:val="00040730"/>
    <w:rsid w:val="00040763"/>
    <w:rsid w:val="00040776"/>
    <w:rsid w:val="00040782"/>
    <w:rsid w:val="000407F1"/>
    <w:rsid w:val="00040916"/>
    <w:rsid w:val="0004091C"/>
    <w:rsid w:val="00040A23"/>
    <w:rsid w:val="00040A8D"/>
    <w:rsid w:val="00040B31"/>
    <w:rsid w:val="00040B78"/>
    <w:rsid w:val="00040BCC"/>
    <w:rsid w:val="00040C2F"/>
    <w:rsid w:val="00040C7F"/>
    <w:rsid w:val="00040D5E"/>
    <w:rsid w:val="00040D83"/>
    <w:rsid w:val="00040D88"/>
    <w:rsid w:val="00040E2B"/>
    <w:rsid w:val="00040E8D"/>
    <w:rsid w:val="00040F8A"/>
    <w:rsid w:val="00040FDB"/>
    <w:rsid w:val="0004115E"/>
    <w:rsid w:val="000411D9"/>
    <w:rsid w:val="000411DB"/>
    <w:rsid w:val="000411E3"/>
    <w:rsid w:val="000412D2"/>
    <w:rsid w:val="000413BE"/>
    <w:rsid w:val="0004142F"/>
    <w:rsid w:val="00041508"/>
    <w:rsid w:val="00041522"/>
    <w:rsid w:val="00041663"/>
    <w:rsid w:val="000416A9"/>
    <w:rsid w:val="0004179C"/>
    <w:rsid w:val="00041867"/>
    <w:rsid w:val="0004186B"/>
    <w:rsid w:val="000418C1"/>
    <w:rsid w:val="000418C8"/>
    <w:rsid w:val="000418F0"/>
    <w:rsid w:val="00041908"/>
    <w:rsid w:val="00041A3E"/>
    <w:rsid w:val="00041A93"/>
    <w:rsid w:val="00041A99"/>
    <w:rsid w:val="00041D15"/>
    <w:rsid w:val="00041D18"/>
    <w:rsid w:val="00041D27"/>
    <w:rsid w:val="00041DBA"/>
    <w:rsid w:val="00041DCC"/>
    <w:rsid w:val="00041EB4"/>
    <w:rsid w:val="00041F3E"/>
    <w:rsid w:val="00042120"/>
    <w:rsid w:val="00042144"/>
    <w:rsid w:val="0004216E"/>
    <w:rsid w:val="00042228"/>
    <w:rsid w:val="00042366"/>
    <w:rsid w:val="000423F1"/>
    <w:rsid w:val="0004242E"/>
    <w:rsid w:val="00042445"/>
    <w:rsid w:val="0004244A"/>
    <w:rsid w:val="0004245F"/>
    <w:rsid w:val="0004254D"/>
    <w:rsid w:val="00042563"/>
    <w:rsid w:val="0004258F"/>
    <w:rsid w:val="0004268A"/>
    <w:rsid w:val="000426DA"/>
    <w:rsid w:val="0004289F"/>
    <w:rsid w:val="000428D6"/>
    <w:rsid w:val="0004290B"/>
    <w:rsid w:val="0004293F"/>
    <w:rsid w:val="00042B36"/>
    <w:rsid w:val="00042B3E"/>
    <w:rsid w:val="00042B45"/>
    <w:rsid w:val="00042B4C"/>
    <w:rsid w:val="00042C4E"/>
    <w:rsid w:val="00042CA7"/>
    <w:rsid w:val="00042CAC"/>
    <w:rsid w:val="00042D6B"/>
    <w:rsid w:val="00042DB1"/>
    <w:rsid w:val="00042DB4"/>
    <w:rsid w:val="00042E13"/>
    <w:rsid w:val="00042E5B"/>
    <w:rsid w:val="00042F3E"/>
    <w:rsid w:val="000431D0"/>
    <w:rsid w:val="00043200"/>
    <w:rsid w:val="00043258"/>
    <w:rsid w:val="000432AC"/>
    <w:rsid w:val="000432E8"/>
    <w:rsid w:val="0004346E"/>
    <w:rsid w:val="000434BF"/>
    <w:rsid w:val="00043507"/>
    <w:rsid w:val="00043545"/>
    <w:rsid w:val="00043699"/>
    <w:rsid w:val="000436C6"/>
    <w:rsid w:val="00043732"/>
    <w:rsid w:val="000438D1"/>
    <w:rsid w:val="000438D8"/>
    <w:rsid w:val="000438EC"/>
    <w:rsid w:val="00043922"/>
    <w:rsid w:val="0004397A"/>
    <w:rsid w:val="000439AA"/>
    <w:rsid w:val="000439AD"/>
    <w:rsid w:val="000439BE"/>
    <w:rsid w:val="000439C6"/>
    <w:rsid w:val="00043A2B"/>
    <w:rsid w:val="00043A95"/>
    <w:rsid w:val="00043ADE"/>
    <w:rsid w:val="00043B83"/>
    <w:rsid w:val="00043BA4"/>
    <w:rsid w:val="00043BED"/>
    <w:rsid w:val="00043BFF"/>
    <w:rsid w:val="00043D3F"/>
    <w:rsid w:val="00043D8F"/>
    <w:rsid w:val="00043D91"/>
    <w:rsid w:val="00043DC3"/>
    <w:rsid w:val="00043E26"/>
    <w:rsid w:val="00043E9B"/>
    <w:rsid w:val="00043EBC"/>
    <w:rsid w:val="00043EE3"/>
    <w:rsid w:val="00043EF0"/>
    <w:rsid w:val="0004404D"/>
    <w:rsid w:val="000440CA"/>
    <w:rsid w:val="000440E0"/>
    <w:rsid w:val="00044136"/>
    <w:rsid w:val="00044274"/>
    <w:rsid w:val="000442F1"/>
    <w:rsid w:val="00044438"/>
    <w:rsid w:val="000444C5"/>
    <w:rsid w:val="00044588"/>
    <w:rsid w:val="000445ED"/>
    <w:rsid w:val="00044757"/>
    <w:rsid w:val="000448A0"/>
    <w:rsid w:val="00044969"/>
    <w:rsid w:val="00044A1C"/>
    <w:rsid w:val="00044A5B"/>
    <w:rsid w:val="00044A72"/>
    <w:rsid w:val="00044B9F"/>
    <w:rsid w:val="00044BA2"/>
    <w:rsid w:val="00044CF9"/>
    <w:rsid w:val="00044EA0"/>
    <w:rsid w:val="00044EB8"/>
    <w:rsid w:val="00044F3F"/>
    <w:rsid w:val="00044F56"/>
    <w:rsid w:val="0004504B"/>
    <w:rsid w:val="0004505A"/>
    <w:rsid w:val="00045174"/>
    <w:rsid w:val="000451B1"/>
    <w:rsid w:val="000451F8"/>
    <w:rsid w:val="0004522D"/>
    <w:rsid w:val="0004526E"/>
    <w:rsid w:val="0004536A"/>
    <w:rsid w:val="000453D0"/>
    <w:rsid w:val="000453D3"/>
    <w:rsid w:val="00045403"/>
    <w:rsid w:val="0004547E"/>
    <w:rsid w:val="000454D5"/>
    <w:rsid w:val="000454FE"/>
    <w:rsid w:val="00045541"/>
    <w:rsid w:val="00045566"/>
    <w:rsid w:val="0004568E"/>
    <w:rsid w:val="0004572C"/>
    <w:rsid w:val="0004574B"/>
    <w:rsid w:val="0004583B"/>
    <w:rsid w:val="00045858"/>
    <w:rsid w:val="000458CE"/>
    <w:rsid w:val="0004590F"/>
    <w:rsid w:val="0004596F"/>
    <w:rsid w:val="000459F5"/>
    <w:rsid w:val="00045A41"/>
    <w:rsid w:val="00045A69"/>
    <w:rsid w:val="00045AB1"/>
    <w:rsid w:val="00045AEF"/>
    <w:rsid w:val="00045AF2"/>
    <w:rsid w:val="00045B17"/>
    <w:rsid w:val="00045BDE"/>
    <w:rsid w:val="00045C28"/>
    <w:rsid w:val="00045C89"/>
    <w:rsid w:val="00045CF0"/>
    <w:rsid w:val="00045D30"/>
    <w:rsid w:val="00045D3A"/>
    <w:rsid w:val="00045D66"/>
    <w:rsid w:val="00045D7A"/>
    <w:rsid w:val="00045DAF"/>
    <w:rsid w:val="00045DE6"/>
    <w:rsid w:val="00045E81"/>
    <w:rsid w:val="00045F0F"/>
    <w:rsid w:val="00045F91"/>
    <w:rsid w:val="000460D6"/>
    <w:rsid w:val="00046148"/>
    <w:rsid w:val="000461E0"/>
    <w:rsid w:val="00046296"/>
    <w:rsid w:val="0004634F"/>
    <w:rsid w:val="00046421"/>
    <w:rsid w:val="0004642A"/>
    <w:rsid w:val="000464DD"/>
    <w:rsid w:val="00046526"/>
    <w:rsid w:val="0004658D"/>
    <w:rsid w:val="000465ED"/>
    <w:rsid w:val="0004688B"/>
    <w:rsid w:val="0004688C"/>
    <w:rsid w:val="0004698A"/>
    <w:rsid w:val="00046992"/>
    <w:rsid w:val="000469E6"/>
    <w:rsid w:val="00046A78"/>
    <w:rsid w:val="00046A85"/>
    <w:rsid w:val="00046B6D"/>
    <w:rsid w:val="00046B7A"/>
    <w:rsid w:val="00046BDE"/>
    <w:rsid w:val="00046C56"/>
    <w:rsid w:val="00046CB8"/>
    <w:rsid w:val="00046D51"/>
    <w:rsid w:val="00046DC3"/>
    <w:rsid w:val="00046E22"/>
    <w:rsid w:val="00046E6E"/>
    <w:rsid w:val="00046EA8"/>
    <w:rsid w:val="00046EA9"/>
    <w:rsid w:val="00047231"/>
    <w:rsid w:val="0004742D"/>
    <w:rsid w:val="0004744B"/>
    <w:rsid w:val="0004746B"/>
    <w:rsid w:val="00047550"/>
    <w:rsid w:val="0004765B"/>
    <w:rsid w:val="000476D0"/>
    <w:rsid w:val="000478C5"/>
    <w:rsid w:val="00047942"/>
    <w:rsid w:val="00047990"/>
    <w:rsid w:val="000479B4"/>
    <w:rsid w:val="000479EA"/>
    <w:rsid w:val="00047B69"/>
    <w:rsid w:val="00047BF3"/>
    <w:rsid w:val="00047C68"/>
    <w:rsid w:val="00047CA2"/>
    <w:rsid w:val="00047DCE"/>
    <w:rsid w:val="000500D9"/>
    <w:rsid w:val="00050295"/>
    <w:rsid w:val="000502A5"/>
    <w:rsid w:val="000502B2"/>
    <w:rsid w:val="000502CC"/>
    <w:rsid w:val="000503AA"/>
    <w:rsid w:val="0005045A"/>
    <w:rsid w:val="00050686"/>
    <w:rsid w:val="000506B1"/>
    <w:rsid w:val="0005072B"/>
    <w:rsid w:val="000507B3"/>
    <w:rsid w:val="000507C2"/>
    <w:rsid w:val="000507E7"/>
    <w:rsid w:val="00050816"/>
    <w:rsid w:val="00050846"/>
    <w:rsid w:val="00050875"/>
    <w:rsid w:val="000508F9"/>
    <w:rsid w:val="0005090E"/>
    <w:rsid w:val="00050912"/>
    <w:rsid w:val="0005099B"/>
    <w:rsid w:val="000509BA"/>
    <w:rsid w:val="000509F1"/>
    <w:rsid w:val="00050A11"/>
    <w:rsid w:val="00050A90"/>
    <w:rsid w:val="00050BB8"/>
    <w:rsid w:val="00050C3B"/>
    <w:rsid w:val="00050C75"/>
    <w:rsid w:val="00050D0F"/>
    <w:rsid w:val="00050E54"/>
    <w:rsid w:val="00050EF5"/>
    <w:rsid w:val="00050F1D"/>
    <w:rsid w:val="00050F7C"/>
    <w:rsid w:val="00050F83"/>
    <w:rsid w:val="0005104B"/>
    <w:rsid w:val="000510C0"/>
    <w:rsid w:val="0005111C"/>
    <w:rsid w:val="0005115B"/>
    <w:rsid w:val="0005125F"/>
    <w:rsid w:val="000512BA"/>
    <w:rsid w:val="000512C7"/>
    <w:rsid w:val="000512F6"/>
    <w:rsid w:val="00051403"/>
    <w:rsid w:val="00051444"/>
    <w:rsid w:val="00051499"/>
    <w:rsid w:val="0005156B"/>
    <w:rsid w:val="000515E8"/>
    <w:rsid w:val="000516D5"/>
    <w:rsid w:val="00051758"/>
    <w:rsid w:val="00051764"/>
    <w:rsid w:val="00051821"/>
    <w:rsid w:val="00051A25"/>
    <w:rsid w:val="00051AAA"/>
    <w:rsid w:val="00051B53"/>
    <w:rsid w:val="00051B80"/>
    <w:rsid w:val="00051C18"/>
    <w:rsid w:val="00051C25"/>
    <w:rsid w:val="00051D19"/>
    <w:rsid w:val="00051D39"/>
    <w:rsid w:val="00051D7A"/>
    <w:rsid w:val="00051EE1"/>
    <w:rsid w:val="00051F0C"/>
    <w:rsid w:val="0005200A"/>
    <w:rsid w:val="00052095"/>
    <w:rsid w:val="000520C0"/>
    <w:rsid w:val="000520D9"/>
    <w:rsid w:val="0005213F"/>
    <w:rsid w:val="000521F2"/>
    <w:rsid w:val="00052247"/>
    <w:rsid w:val="0005227E"/>
    <w:rsid w:val="0005231D"/>
    <w:rsid w:val="0005233D"/>
    <w:rsid w:val="000523BA"/>
    <w:rsid w:val="00052545"/>
    <w:rsid w:val="000525DB"/>
    <w:rsid w:val="000525F3"/>
    <w:rsid w:val="00052600"/>
    <w:rsid w:val="0005264D"/>
    <w:rsid w:val="000526AF"/>
    <w:rsid w:val="0005277A"/>
    <w:rsid w:val="0005277D"/>
    <w:rsid w:val="000527DE"/>
    <w:rsid w:val="00052855"/>
    <w:rsid w:val="00052908"/>
    <w:rsid w:val="00052A2A"/>
    <w:rsid w:val="00052A47"/>
    <w:rsid w:val="00052AA8"/>
    <w:rsid w:val="00052AAB"/>
    <w:rsid w:val="00052AD2"/>
    <w:rsid w:val="00052AED"/>
    <w:rsid w:val="00052CA1"/>
    <w:rsid w:val="00052CA8"/>
    <w:rsid w:val="00052D29"/>
    <w:rsid w:val="00052E19"/>
    <w:rsid w:val="00052E4D"/>
    <w:rsid w:val="00052E59"/>
    <w:rsid w:val="00052EC0"/>
    <w:rsid w:val="00052F4E"/>
    <w:rsid w:val="00052FA8"/>
    <w:rsid w:val="000530EA"/>
    <w:rsid w:val="00053177"/>
    <w:rsid w:val="00053179"/>
    <w:rsid w:val="000531A6"/>
    <w:rsid w:val="00053213"/>
    <w:rsid w:val="00053372"/>
    <w:rsid w:val="00053381"/>
    <w:rsid w:val="00053385"/>
    <w:rsid w:val="00053417"/>
    <w:rsid w:val="0005341F"/>
    <w:rsid w:val="0005345F"/>
    <w:rsid w:val="000534D9"/>
    <w:rsid w:val="000534FE"/>
    <w:rsid w:val="00053502"/>
    <w:rsid w:val="00053518"/>
    <w:rsid w:val="0005355B"/>
    <w:rsid w:val="00053593"/>
    <w:rsid w:val="00053634"/>
    <w:rsid w:val="000536F6"/>
    <w:rsid w:val="000536F8"/>
    <w:rsid w:val="0005375A"/>
    <w:rsid w:val="000537C8"/>
    <w:rsid w:val="000538DF"/>
    <w:rsid w:val="0005392C"/>
    <w:rsid w:val="00053951"/>
    <w:rsid w:val="00053958"/>
    <w:rsid w:val="00053973"/>
    <w:rsid w:val="000539D5"/>
    <w:rsid w:val="00053A40"/>
    <w:rsid w:val="00053C89"/>
    <w:rsid w:val="00053C96"/>
    <w:rsid w:val="00053CA6"/>
    <w:rsid w:val="00053D5E"/>
    <w:rsid w:val="00053D68"/>
    <w:rsid w:val="00053D6A"/>
    <w:rsid w:val="00053DFE"/>
    <w:rsid w:val="00053E51"/>
    <w:rsid w:val="00053E72"/>
    <w:rsid w:val="00053F20"/>
    <w:rsid w:val="00053F5C"/>
    <w:rsid w:val="00053FA9"/>
    <w:rsid w:val="00054001"/>
    <w:rsid w:val="00054097"/>
    <w:rsid w:val="0005409C"/>
    <w:rsid w:val="0005417C"/>
    <w:rsid w:val="0005427D"/>
    <w:rsid w:val="000542FF"/>
    <w:rsid w:val="00054316"/>
    <w:rsid w:val="0005433B"/>
    <w:rsid w:val="0005444C"/>
    <w:rsid w:val="000545A5"/>
    <w:rsid w:val="000547DF"/>
    <w:rsid w:val="0005480C"/>
    <w:rsid w:val="00054855"/>
    <w:rsid w:val="000549AC"/>
    <w:rsid w:val="000549B2"/>
    <w:rsid w:val="000549D1"/>
    <w:rsid w:val="00054A0C"/>
    <w:rsid w:val="00054A32"/>
    <w:rsid w:val="00054A3F"/>
    <w:rsid w:val="00054AC1"/>
    <w:rsid w:val="00054BEC"/>
    <w:rsid w:val="00054E70"/>
    <w:rsid w:val="00054F25"/>
    <w:rsid w:val="00054FAB"/>
    <w:rsid w:val="00054FDA"/>
    <w:rsid w:val="00055004"/>
    <w:rsid w:val="0005502E"/>
    <w:rsid w:val="0005503B"/>
    <w:rsid w:val="00055060"/>
    <w:rsid w:val="000550A8"/>
    <w:rsid w:val="00055114"/>
    <w:rsid w:val="0005518A"/>
    <w:rsid w:val="0005524C"/>
    <w:rsid w:val="000552FF"/>
    <w:rsid w:val="00055359"/>
    <w:rsid w:val="0005556A"/>
    <w:rsid w:val="000555C4"/>
    <w:rsid w:val="000555DD"/>
    <w:rsid w:val="000555FC"/>
    <w:rsid w:val="00055629"/>
    <w:rsid w:val="000556B1"/>
    <w:rsid w:val="00055750"/>
    <w:rsid w:val="00055758"/>
    <w:rsid w:val="00055958"/>
    <w:rsid w:val="000559D7"/>
    <w:rsid w:val="00055A6A"/>
    <w:rsid w:val="00055B7F"/>
    <w:rsid w:val="00055BFA"/>
    <w:rsid w:val="00055CA4"/>
    <w:rsid w:val="00055CCC"/>
    <w:rsid w:val="00055D33"/>
    <w:rsid w:val="00055DBC"/>
    <w:rsid w:val="00055E64"/>
    <w:rsid w:val="00055EAE"/>
    <w:rsid w:val="00055FBE"/>
    <w:rsid w:val="00056031"/>
    <w:rsid w:val="00056091"/>
    <w:rsid w:val="000560BB"/>
    <w:rsid w:val="0005626C"/>
    <w:rsid w:val="00056340"/>
    <w:rsid w:val="00056391"/>
    <w:rsid w:val="00056393"/>
    <w:rsid w:val="000564A1"/>
    <w:rsid w:val="000565FE"/>
    <w:rsid w:val="00056639"/>
    <w:rsid w:val="00056795"/>
    <w:rsid w:val="000567BD"/>
    <w:rsid w:val="000567EA"/>
    <w:rsid w:val="0005688C"/>
    <w:rsid w:val="00056903"/>
    <w:rsid w:val="0005695E"/>
    <w:rsid w:val="00056982"/>
    <w:rsid w:val="00056A12"/>
    <w:rsid w:val="00056AD0"/>
    <w:rsid w:val="00056B0F"/>
    <w:rsid w:val="00056B90"/>
    <w:rsid w:val="00056BD1"/>
    <w:rsid w:val="00056BF1"/>
    <w:rsid w:val="00056CA7"/>
    <w:rsid w:val="00056CAA"/>
    <w:rsid w:val="00056CC3"/>
    <w:rsid w:val="00056D9B"/>
    <w:rsid w:val="00056DDC"/>
    <w:rsid w:val="00056E69"/>
    <w:rsid w:val="00056F10"/>
    <w:rsid w:val="00056FC5"/>
    <w:rsid w:val="0005700C"/>
    <w:rsid w:val="00057012"/>
    <w:rsid w:val="00057145"/>
    <w:rsid w:val="00057181"/>
    <w:rsid w:val="00057251"/>
    <w:rsid w:val="000572F7"/>
    <w:rsid w:val="000573D7"/>
    <w:rsid w:val="0005742B"/>
    <w:rsid w:val="000574E8"/>
    <w:rsid w:val="000575B4"/>
    <w:rsid w:val="000575F1"/>
    <w:rsid w:val="0005785D"/>
    <w:rsid w:val="0005787A"/>
    <w:rsid w:val="00057975"/>
    <w:rsid w:val="000579A9"/>
    <w:rsid w:val="000579D3"/>
    <w:rsid w:val="00057A54"/>
    <w:rsid w:val="00057AD1"/>
    <w:rsid w:val="00057AE2"/>
    <w:rsid w:val="00057B2F"/>
    <w:rsid w:val="00057CE9"/>
    <w:rsid w:val="00057D17"/>
    <w:rsid w:val="00057E3E"/>
    <w:rsid w:val="00057EEA"/>
    <w:rsid w:val="00057EFD"/>
    <w:rsid w:val="00057F22"/>
    <w:rsid w:val="00057F6A"/>
    <w:rsid w:val="0006000F"/>
    <w:rsid w:val="00060014"/>
    <w:rsid w:val="0006001B"/>
    <w:rsid w:val="0006007B"/>
    <w:rsid w:val="0006012A"/>
    <w:rsid w:val="000601EC"/>
    <w:rsid w:val="000602F0"/>
    <w:rsid w:val="00060301"/>
    <w:rsid w:val="00060302"/>
    <w:rsid w:val="00060316"/>
    <w:rsid w:val="0006041E"/>
    <w:rsid w:val="00060447"/>
    <w:rsid w:val="00060464"/>
    <w:rsid w:val="00060484"/>
    <w:rsid w:val="00060499"/>
    <w:rsid w:val="000604AE"/>
    <w:rsid w:val="000604CB"/>
    <w:rsid w:val="000604F4"/>
    <w:rsid w:val="00060583"/>
    <w:rsid w:val="000605ED"/>
    <w:rsid w:val="0006061C"/>
    <w:rsid w:val="0006062F"/>
    <w:rsid w:val="00060655"/>
    <w:rsid w:val="00060694"/>
    <w:rsid w:val="00060782"/>
    <w:rsid w:val="000607C9"/>
    <w:rsid w:val="00060814"/>
    <w:rsid w:val="000608EB"/>
    <w:rsid w:val="0006090B"/>
    <w:rsid w:val="00060917"/>
    <w:rsid w:val="0006092B"/>
    <w:rsid w:val="0006095C"/>
    <w:rsid w:val="00060A95"/>
    <w:rsid w:val="00060B14"/>
    <w:rsid w:val="00060C09"/>
    <w:rsid w:val="00060D19"/>
    <w:rsid w:val="00060D33"/>
    <w:rsid w:val="00060EA6"/>
    <w:rsid w:val="00060F2F"/>
    <w:rsid w:val="00060F7E"/>
    <w:rsid w:val="00060FC1"/>
    <w:rsid w:val="00061060"/>
    <w:rsid w:val="000610C8"/>
    <w:rsid w:val="000610DE"/>
    <w:rsid w:val="000610EC"/>
    <w:rsid w:val="0006110A"/>
    <w:rsid w:val="00061220"/>
    <w:rsid w:val="0006123B"/>
    <w:rsid w:val="00061256"/>
    <w:rsid w:val="00061294"/>
    <w:rsid w:val="000612B6"/>
    <w:rsid w:val="0006147E"/>
    <w:rsid w:val="000614E2"/>
    <w:rsid w:val="00061518"/>
    <w:rsid w:val="000615CB"/>
    <w:rsid w:val="00061600"/>
    <w:rsid w:val="00061667"/>
    <w:rsid w:val="000616A3"/>
    <w:rsid w:val="000616E3"/>
    <w:rsid w:val="000616EA"/>
    <w:rsid w:val="00061796"/>
    <w:rsid w:val="000617CB"/>
    <w:rsid w:val="0006181C"/>
    <w:rsid w:val="0006194A"/>
    <w:rsid w:val="00061ACF"/>
    <w:rsid w:val="00061B3C"/>
    <w:rsid w:val="00061C4A"/>
    <w:rsid w:val="00061C62"/>
    <w:rsid w:val="00061C6B"/>
    <w:rsid w:val="00061CB5"/>
    <w:rsid w:val="00061D5F"/>
    <w:rsid w:val="00061D6A"/>
    <w:rsid w:val="00061DB3"/>
    <w:rsid w:val="00061EA4"/>
    <w:rsid w:val="00061EC7"/>
    <w:rsid w:val="00062014"/>
    <w:rsid w:val="00062078"/>
    <w:rsid w:val="0006207B"/>
    <w:rsid w:val="00062088"/>
    <w:rsid w:val="00062167"/>
    <w:rsid w:val="000621F3"/>
    <w:rsid w:val="00062231"/>
    <w:rsid w:val="00062537"/>
    <w:rsid w:val="000625DF"/>
    <w:rsid w:val="000625FC"/>
    <w:rsid w:val="00062650"/>
    <w:rsid w:val="000626B4"/>
    <w:rsid w:val="0006276E"/>
    <w:rsid w:val="0006284D"/>
    <w:rsid w:val="00062901"/>
    <w:rsid w:val="0006295A"/>
    <w:rsid w:val="00062A00"/>
    <w:rsid w:val="00062A82"/>
    <w:rsid w:val="00062B16"/>
    <w:rsid w:val="00062B1A"/>
    <w:rsid w:val="00062C65"/>
    <w:rsid w:val="00062CA7"/>
    <w:rsid w:val="00062CBE"/>
    <w:rsid w:val="00062D5E"/>
    <w:rsid w:val="00062DA9"/>
    <w:rsid w:val="00062E46"/>
    <w:rsid w:val="00062E8F"/>
    <w:rsid w:val="00062F1E"/>
    <w:rsid w:val="0006307D"/>
    <w:rsid w:val="00063117"/>
    <w:rsid w:val="00063164"/>
    <w:rsid w:val="000631AD"/>
    <w:rsid w:val="000631E2"/>
    <w:rsid w:val="000633A7"/>
    <w:rsid w:val="000633CD"/>
    <w:rsid w:val="0006341F"/>
    <w:rsid w:val="000634B4"/>
    <w:rsid w:val="00063680"/>
    <w:rsid w:val="00063689"/>
    <w:rsid w:val="0006368D"/>
    <w:rsid w:val="0006368F"/>
    <w:rsid w:val="0006372C"/>
    <w:rsid w:val="00063740"/>
    <w:rsid w:val="000637DE"/>
    <w:rsid w:val="00063865"/>
    <w:rsid w:val="000638FA"/>
    <w:rsid w:val="0006390D"/>
    <w:rsid w:val="00063AF1"/>
    <w:rsid w:val="00063B8F"/>
    <w:rsid w:val="00063C70"/>
    <w:rsid w:val="00063C97"/>
    <w:rsid w:val="00063CF8"/>
    <w:rsid w:val="00063CFB"/>
    <w:rsid w:val="00063D21"/>
    <w:rsid w:val="00063D71"/>
    <w:rsid w:val="00063E65"/>
    <w:rsid w:val="00063E68"/>
    <w:rsid w:val="00063EC1"/>
    <w:rsid w:val="00063FE0"/>
    <w:rsid w:val="00063FED"/>
    <w:rsid w:val="00063FF3"/>
    <w:rsid w:val="000640A7"/>
    <w:rsid w:val="000641E2"/>
    <w:rsid w:val="0006422D"/>
    <w:rsid w:val="00064279"/>
    <w:rsid w:val="000642C5"/>
    <w:rsid w:val="0006432E"/>
    <w:rsid w:val="00064475"/>
    <w:rsid w:val="00064594"/>
    <w:rsid w:val="000645CB"/>
    <w:rsid w:val="00064635"/>
    <w:rsid w:val="000646F6"/>
    <w:rsid w:val="00064744"/>
    <w:rsid w:val="00064801"/>
    <w:rsid w:val="000648B9"/>
    <w:rsid w:val="000648C5"/>
    <w:rsid w:val="00064903"/>
    <w:rsid w:val="0006497B"/>
    <w:rsid w:val="00064998"/>
    <w:rsid w:val="000649F2"/>
    <w:rsid w:val="00064AC1"/>
    <w:rsid w:val="00064AD9"/>
    <w:rsid w:val="00064B46"/>
    <w:rsid w:val="00064BB4"/>
    <w:rsid w:val="00064BB5"/>
    <w:rsid w:val="00064BE0"/>
    <w:rsid w:val="00064BED"/>
    <w:rsid w:val="00064D91"/>
    <w:rsid w:val="00064DE1"/>
    <w:rsid w:val="00064F1F"/>
    <w:rsid w:val="00064F2C"/>
    <w:rsid w:val="00064F67"/>
    <w:rsid w:val="00064F68"/>
    <w:rsid w:val="00064FF4"/>
    <w:rsid w:val="00065051"/>
    <w:rsid w:val="00065075"/>
    <w:rsid w:val="0006509A"/>
    <w:rsid w:val="00065104"/>
    <w:rsid w:val="000651F1"/>
    <w:rsid w:val="00065249"/>
    <w:rsid w:val="000652D3"/>
    <w:rsid w:val="000652D6"/>
    <w:rsid w:val="000652F2"/>
    <w:rsid w:val="00065376"/>
    <w:rsid w:val="000653B9"/>
    <w:rsid w:val="000654A4"/>
    <w:rsid w:val="00065508"/>
    <w:rsid w:val="0006551C"/>
    <w:rsid w:val="00065558"/>
    <w:rsid w:val="00065583"/>
    <w:rsid w:val="0006561B"/>
    <w:rsid w:val="00065742"/>
    <w:rsid w:val="000657B1"/>
    <w:rsid w:val="000657C1"/>
    <w:rsid w:val="00065824"/>
    <w:rsid w:val="00065874"/>
    <w:rsid w:val="00065983"/>
    <w:rsid w:val="0006599A"/>
    <w:rsid w:val="000659A2"/>
    <w:rsid w:val="000659A7"/>
    <w:rsid w:val="000659E7"/>
    <w:rsid w:val="00065A99"/>
    <w:rsid w:val="00065BA9"/>
    <w:rsid w:val="00065C2E"/>
    <w:rsid w:val="00065D8D"/>
    <w:rsid w:val="00065E1E"/>
    <w:rsid w:val="00065E84"/>
    <w:rsid w:val="000660C9"/>
    <w:rsid w:val="00066197"/>
    <w:rsid w:val="000661FE"/>
    <w:rsid w:val="000662B2"/>
    <w:rsid w:val="000664E1"/>
    <w:rsid w:val="0006652E"/>
    <w:rsid w:val="000665BB"/>
    <w:rsid w:val="000665F4"/>
    <w:rsid w:val="000666AB"/>
    <w:rsid w:val="0006683C"/>
    <w:rsid w:val="000668EF"/>
    <w:rsid w:val="0006697C"/>
    <w:rsid w:val="000669E4"/>
    <w:rsid w:val="00066AB4"/>
    <w:rsid w:val="00066AC7"/>
    <w:rsid w:val="00066B9F"/>
    <w:rsid w:val="00066C4D"/>
    <w:rsid w:val="00066CBA"/>
    <w:rsid w:val="00066CCA"/>
    <w:rsid w:val="00066CDD"/>
    <w:rsid w:val="00066D40"/>
    <w:rsid w:val="00066D61"/>
    <w:rsid w:val="00066D94"/>
    <w:rsid w:val="00066DFA"/>
    <w:rsid w:val="00066E25"/>
    <w:rsid w:val="00066E70"/>
    <w:rsid w:val="00066E98"/>
    <w:rsid w:val="00066EA5"/>
    <w:rsid w:val="00066EF1"/>
    <w:rsid w:val="00066F2F"/>
    <w:rsid w:val="00066FA7"/>
    <w:rsid w:val="00066FEB"/>
    <w:rsid w:val="00067117"/>
    <w:rsid w:val="000671C7"/>
    <w:rsid w:val="000671E2"/>
    <w:rsid w:val="00067233"/>
    <w:rsid w:val="00067299"/>
    <w:rsid w:val="000672B7"/>
    <w:rsid w:val="00067312"/>
    <w:rsid w:val="0006732D"/>
    <w:rsid w:val="0006739A"/>
    <w:rsid w:val="000673BB"/>
    <w:rsid w:val="000673C3"/>
    <w:rsid w:val="000673EF"/>
    <w:rsid w:val="0006744B"/>
    <w:rsid w:val="00067452"/>
    <w:rsid w:val="00067527"/>
    <w:rsid w:val="000675A4"/>
    <w:rsid w:val="000675B5"/>
    <w:rsid w:val="0006775C"/>
    <w:rsid w:val="000677A3"/>
    <w:rsid w:val="000677D7"/>
    <w:rsid w:val="00067800"/>
    <w:rsid w:val="000678FF"/>
    <w:rsid w:val="00067924"/>
    <w:rsid w:val="000679C1"/>
    <w:rsid w:val="000679D0"/>
    <w:rsid w:val="00067A42"/>
    <w:rsid w:val="00067A60"/>
    <w:rsid w:val="00067AB3"/>
    <w:rsid w:val="00067B1D"/>
    <w:rsid w:val="00067C34"/>
    <w:rsid w:val="00067C93"/>
    <w:rsid w:val="00067CDB"/>
    <w:rsid w:val="00067CEF"/>
    <w:rsid w:val="00067D70"/>
    <w:rsid w:val="00067D7E"/>
    <w:rsid w:val="00067D83"/>
    <w:rsid w:val="00067DFC"/>
    <w:rsid w:val="00067E6E"/>
    <w:rsid w:val="00067FF5"/>
    <w:rsid w:val="00070037"/>
    <w:rsid w:val="0007004F"/>
    <w:rsid w:val="00070109"/>
    <w:rsid w:val="0007011B"/>
    <w:rsid w:val="000701BA"/>
    <w:rsid w:val="000701D5"/>
    <w:rsid w:val="0007022D"/>
    <w:rsid w:val="00070244"/>
    <w:rsid w:val="0007030C"/>
    <w:rsid w:val="000703C5"/>
    <w:rsid w:val="000703DA"/>
    <w:rsid w:val="000703EB"/>
    <w:rsid w:val="00070491"/>
    <w:rsid w:val="00070548"/>
    <w:rsid w:val="00070664"/>
    <w:rsid w:val="0007069E"/>
    <w:rsid w:val="00070750"/>
    <w:rsid w:val="000707A3"/>
    <w:rsid w:val="00070833"/>
    <w:rsid w:val="00070A49"/>
    <w:rsid w:val="00070ACE"/>
    <w:rsid w:val="00070AD8"/>
    <w:rsid w:val="00070BC1"/>
    <w:rsid w:val="00070BCE"/>
    <w:rsid w:val="00070CD8"/>
    <w:rsid w:val="00070CE6"/>
    <w:rsid w:val="00070DE1"/>
    <w:rsid w:val="00070E83"/>
    <w:rsid w:val="00070EAD"/>
    <w:rsid w:val="00070ED9"/>
    <w:rsid w:val="00070F0B"/>
    <w:rsid w:val="00070F0D"/>
    <w:rsid w:val="000710E4"/>
    <w:rsid w:val="00071110"/>
    <w:rsid w:val="00071124"/>
    <w:rsid w:val="00071131"/>
    <w:rsid w:val="00071215"/>
    <w:rsid w:val="00071294"/>
    <w:rsid w:val="00071560"/>
    <w:rsid w:val="00071696"/>
    <w:rsid w:val="00071795"/>
    <w:rsid w:val="0007179B"/>
    <w:rsid w:val="00071A02"/>
    <w:rsid w:val="00071AA7"/>
    <w:rsid w:val="00071AF7"/>
    <w:rsid w:val="00071B18"/>
    <w:rsid w:val="00071B59"/>
    <w:rsid w:val="00071B69"/>
    <w:rsid w:val="00071BD6"/>
    <w:rsid w:val="00071C5B"/>
    <w:rsid w:val="00071D08"/>
    <w:rsid w:val="00071D12"/>
    <w:rsid w:val="00071D6B"/>
    <w:rsid w:val="00071F12"/>
    <w:rsid w:val="00071F8B"/>
    <w:rsid w:val="00072058"/>
    <w:rsid w:val="000720DB"/>
    <w:rsid w:val="000720FC"/>
    <w:rsid w:val="00072149"/>
    <w:rsid w:val="000721A9"/>
    <w:rsid w:val="000721CE"/>
    <w:rsid w:val="000721D1"/>
    <w:rsid w:val="000721EC"/>
    <w:rsid w:val="000722A6"/>
    <w:rsid w:val="0007232C"/>
    <w:rsid w:val="0007247F"/>
    <w:rsid w:val="0007254E"/>
    <w:rsid w:val="0007257A"/>
    <w:rsid w:val="0007259B"/>
    <w:rsid w:val="000725C2"/>
    <w:rsid w:val="00072775"/>
    <w:rsid w:val="000727AC"/>
    <w:rsid w:val="00072820"/>
    <w:rsid w:val="000728C2"/>
    <w:rsid w:val="000728FC"/>
    <w:rsid w:val="0007290E"/>
    <w:rsid w:val="0007291E"/>
    <w:rsid w:val="000729EF"/>
    <w:rsid w:val="00072ADC"/>
    <w:rsid w:val="00072B21"/>
    <w:rsid w:val="00072B3C"/>
    <w:rsid w:val="00072CBD"/>
    <w:rsid w:val="00072D1B"/>
    <w:rsid w:val="00072E0A"/>
    <w:rsid w:val="00072E59"/>
    <w:rsid w:val="00072F0F"/>
    <w:rsid w:val="00073033"/>
    <w:rsid w:val="0007303F"/>
    <w:rsid w:val="0007309E"/>
    <w:rsid w:val="000730D5"/>
    <w:rsid w:val="00073106"/>
    <w:rsid w:val="000731A5"/>
    <w:rsid w:val="00073254"/>
    <w:rsid w:val="00073316"/>
    <w:rsid w:val="000733A4"/>
    <w:rsid w:val="00073519"/>
    <w:rsid w:val="00073584"/>
    <w:rsid w:val="00073611"/>
    <w:rsid w:val="0007362E"/>
    <w:rsid w:val="00073641"/>
    <w:rsid w:val="00073713"/>
    <w:rsid w:val="0007374B"/>
    <w:rsid w:val="000737B9"/>
    <w:rsid w:val="0007382A"/>
    <w:rsid w:val="00073908"/>
    <w:rsid w:val="000739EB"/>
    <w:rsid w:val="000739EC"/>
    <w:rsid w:val="00073ACC"/>
    <w:rsid w:val="00073AF1"/>
    <w:rsid w:val="00073B12"/>
    <w:rsid w:val="00073B40"/>
    <w:rsid w:val="00073C11"/>
    <w:rsid w:val="00073C75"/>
    <w:rsid w:val="00073C81"/>
    <w:rsid w:val="00073CA5"/>
    <w:rsid w:val="00073D6A"/>
    <w:rsid w:val="00073D8B"/>
    <w:rsid w:val="00073DEC"/>
    <w:rsid w:val="00073E43"/>
    <w:rsid w:val="00073EC0"/>
    <w:rsid w:val="00073F4A"/>
    <w:rsid w:val="00073F67"/>
    <w:rsid w:val="00073F79"/>
    <w:rsid w:val="00073FC2"/>
    <w:rsid w:val="00074040"/>
    <w:rsid w:val="0007413C"/>
    <w:rsid w:val="00074188"/>
    <w:rsid w:val="000741B3"/>
    <w:rsid w:val="000741D0"/>
    <w:rsid w:val="00074210"/>
    <w:rsid w:val="00074288"/>
    <w:rsid w:val="000742BD"/>
    <w:rsid w:val="00074331"/>
    <w:rsid w:val="000743ED"/>
    <w:rsid w:val="000743EF"/>
    <w:rsid w:val="00074428"/>
    <w:rsid w:val="00074470"/>
    <w:rsid w:val="0007452D"/>
    <w:rsid w:val="00074580"/>
    <w:rsid w:val="000745F8"/>
    <w:rsid w:val="000746CB"/>
    <w:rsid w:val="000746EC"/>
    <w:rsid w:val="00074717"/>
    <w:rsid w:val="00074742"/>
    <w:rsid w:val="0007484C"/>
    <w:rsid w:val="000748C6"/>
    <w:rsid w:val="0007492B"/>
    <w:rsid w:val="00074AAE"/>
    <w:rsid w:val="00074AB6"/>
    <w:rsid w:val="00074AE3"/>
    <w:rsid w:val="00074AF7"/>
    <w:rsid w:val="00074B0D"/>
    <w:rsid w:val="00074B37"/>
    <w:rsid w:val="00074BF8"/>
    <w:rsid w:val="00074D14"/>
    <w:rsid w:val="00074D3A"/>
    <w:rsid w:val="00074D45"/>
    <w:rsid w:val="00074D4B"/>
    <w:rsid w:val="00074D8B"/>
    <w:rsid w:val="00074E23"/>
    <w:rsid w:val="00074E37"/>
    <w:rsid w:val="00074EAF"/>
    <w:rsid w:val="00074EBA"/>
    <w:rsid w:val="00074EC8"/>
    <w:rsid w:val="00074F25"/>
    <w:rsid w:val="00074FC7"/>
    <w:rsid w:val="00074FCA"/>
    <w:rsid w:val="000750E9"/>
    <w:rsid w:val="00075260"/>
    <w:rsid w:val="00075391"/>
    <w:rsid w:val="000753A5"/>
    <w:rsid w:val="000753F0"/>
    <w:rsid w:val="000753F2"/>
    <w:rsid w:val="000754FC"/>
    <w:rsid w:val="00075530"/>
    <w:rsid w:val="000755AE"/>
    <w:rsid w:val="000755B2"/>
    <w:rsid w:val="000755EC"/>
    <w:rsid w:val="0007568A"/>
    <w:rsid w:val="000756A3"/>
    <w:rsid w:val="000756B2"/>
    <w:rsid w:val="000756DA"/>
    <w:rsid w:val="000757A5"/>
    <w:rsid w:val="000757BF"/>
    <w:rsid w:val="0007580B"/>
    <w:rsid w:val="00075830"/>
    <w:rsid w:val="000758A3"/>
    <w:rsid w:val="000758E5"/>
    <w:rsid w:val="00075984"/>
    <w:rsid w:val="000759A5"/>
    <w:rsid w:val="00075A08"/>
    <w:rsid w:val="00075A2A"/>
    <w:rsid w:val="00075A79"/>
    <w:rsid w:val="00075AE3"/>
    <w:rsid w:val="00075AE8"/>
    <w:rsid w:val="00075BCA"/>
    <w:rsid w:val="00075BD3"/>
    <w:rsid w:val="00075BED"/>
    <w:rsid w:val="00075BEE"/>
    <w:rsid w:val="00075D5D"/>
    <w:rsid w:val="00075D7C"/>
    <w:rsid w:val="00075DF6"/>
    <w:rsid w:val="00075F30"/>
    <w:rsid w:val="00076082"/>
    <w:rsid w:val="000760CF"/>
    <w:rsid w:val="000760F2"/>
    <w:rsid w:val="00076281"/>
    <w:rsid w:val="000762AB"/>
    <w:rsid w:val="000762B5"/>
    <w:rsid w:val="00076326"/>
    <w:rsid w:val="00076357"/>
    <w:rsid w:val="000763D1"/>
    <w:rsid w:val="00076484"/>
    <w:rsid w:val="000764E1"/>
    <w:rsid w:val="00076561"/>
    <w:rsid w:val="0007677B"/>
    <w:rsid w:val="00076797"/>
    <w:rsid w:val="0007679C"/>
    <w:rsid w:val="000767E0"/>
    <w:rsid w:val="0007681D"/>
    <w:rsid w:val="000769D1"/>
    <w:rsid w:val="00076A03"/>
    <w:rsid w:val="00076AF9"/>
    <w:rsid w:val="00076B27"/>
    <w:rsid w:val="00076BEB"/>
    <w:rsid w:val="00076BEC"/>
    <w:rsid w:val="00076C6A"/>
    <w:rsid w:val="00076CE0"/>
    <w:rsid w:val="00076D0C"/>
    <w:rsid w:val="00076E1E"/>
    <w:rsid w:val="00076F7D"/>
    <w:rsid w:val="00076FEC"/>
    <w:rsid w:val="000770CB"/>
    <w:rsid w:val="00077112"/>
    <w:rsid w:val="0007713C"/>
    <w:rsid w:val="00077149"/>
    <w:rsid w:val="000771B2"/>
    <w:rsid w:val="00077232"/>
    <w:rsid w:val="0007729D"/>
    <w:rsid w:val="000772C2"/>
    <w:rsid w:val="00077385"/>
    <w:rsid w:val="000775D5"/>
    <w:rsid w:val="0007769D"/>
    <w:rsid w:val="000776CA"/>
    <w:rsid w:val="000776F3"/>
    <w:rsid w:val="000777D9"/>
    <w:rsid w:val="00077852"/>
    <w:rsid w:val="00077940"/>
    <w:rsid w:val="00077961"/>
    <w:rsid w:val="00077A89"/>
    <w:rsid w:val="00077AB4"/>
    <w:rsid w:val="00077ACF"/>
    <w:rsid w:val="00077B12"/>
    <w:rsid w:val="00077C56"/>
    <w:rsid w:val="00077D15"/>
    <w:rsid w:val="00077DBA"/>
    <w:rsid w:val="00077ED4"/>
    <w:rsid w:val="00077F13"/>
    <w:rsid w:val="00077F31"/>
    <w:rsid w:val="00077F81"/>
    <w:rsid w:val="0008002B"/>
    <w:rsid w:val="000800AB"/>
    <w:rsid w:val="000800D5"/>
    <w:rsid w:val="000801AC"/>
    <w:rsid w:val="000802CC"/>
    <w:rsid w:val="000802DB"/>
    <w:rsid w:val="00080362"/>
    <w:rsid w:val="000803DC"/>
    <w:rsid w:val="000803E0"/>
    <w:rsid w:val="000803F8"/>
    <w:rsid w:val="000804EE"/>
    <w:rsid w:val="000805BE"/>
    <w:rsid w:val="000805F4"/>
    <w:rsid w:val="00080663"/>
    <w:rsid w:val="000806FB"/>
    <w:rsid w:val="00080753"/>
    <w:rsid w:val="00080759"/>
    <w:rsid w:val="0008077F"/>
    <w:rsid w:val="000807FF"/>
    <w:rsid w:val="00080861"/>
    <w:rsid w:val="0008090C"/>
    <w:rsid w:val="000809A2"/>
    <w:rsid w:val="000809C7"/>
    <w:rsid w:val="000809CA"/>
    <w:rsid w:val="00080ABC"/>
    <w:rsid w:val="00080AFD"/>
    <w:rsid w:val="00080B1E"/>
    <w:rsid w:val="00080B94"/>
    <w:rsid w:val="00080BD2"/>
    <w:rsid w:val="00080BE1"/>
    <w:rsid w:val="00080C23"/>
    <w:rsid w:val="00080C87"/>
    <w:rsid w:val="00080CF0"/>
    <w:rsid w:val="00080D50"/>
    <w:rsid w:val="00080E60"/>
    <w:rsid w:val="00080F2C"/>
    <w:rsid w:val="00080F6B"/>
    <w:rsid w:val="0008102E"/>
    <w:rsid w:val="00081093"/>
    <w:rsid w:val="000810BD"/>
    <w:rsid w:val="000811AA"/>
    <w:rsid w:val="000812E0"/>
    <w:rsid w:val="00081364"/>
    <w:rsid w:val="000813B5"/>
    <w:rsid w:val="00081411"/>
    <w:rsid w:val="000814B3"/>
    <w:rsid w:val="0008157F"/>
    <w:rsid w:val="00081597"/>
    <w:rsid w:val="000815B9"/>
    <w:rsid w:val="000815C3"/>
    <w:rsid w:val="00081639"/>
    <w:rsid w:val="00081689"/>
    <w:rsid w:val="00081763"/>
    <w:rsid w:val="00081768"/>
    <w:rsid w:val="000817B2"/>
    <w:rsid w:val="000817C6"/>
    <w:rsid w:val="000817FD"/>
    <w:rsid w:val="00081A53"/>
    <w:rsid w:val="00081B2D"/>
    <w:rsid w:val="00081CA9"/>
    <w:rsid w:val="00081CDF"/>
    <w:rsid w:val="00081D38"/>
    <w:rsid w:val="00081DFC"/>
    <w:rsid w:val="00081ED4"/>
    <w:rsid w:val="00081F12"/>
    <w:rsid w:val="00081F43"/>
    <w:rsid w:val="000820DC"/>
    <w:rsid w:val="0008210E"/>
    <w:rsid w:val="00082115"/>
    <w:rsid w:val="00082180"/>
    <w:rsid w:val="00082182"/>
    <w:rsid w:val="00082184"/>
    <w:rsid w:val="00082208"/>
    <w:rsid w:val="00082246"/>
    <w:rsid w:val="0008224B"/>
    <w:rsid w:val="000823A1"/>
    <w:rsid w:val="000823AF"/>
    <w:rsid w:val="00082405"/>
    <w:rsid w:val="00082492"/>
    <w:rsid w:val="000824F0"/>
    <w:rsid w:val="000824FC"/>
    <w:rsid w:val="0008255F"/>
    <w:rsid w:val="0008256D"/>
    <w:rsid w:val="00082612"/>
    <w:rsid w:val="0008261E"/>
    <w:rsid w:val="000826A3"/>
    <w:rsid w:val="000826A8"/>
    <w:rsid w:val="000826E1"/>
    <w:rsid w:val="000826E5"/>
    <w:rsid w:val="00082842"/>
    <w:rsid w:val="0008286E"/>
    <w:rsid w:val="00082927"/>
    <w:rsid w:val="0008297E"/>
    <w:rsid w:val="000829FA"/>
    <w:rsid w:val="00082A22"/>
    <w:rsid w:val="00082AFF"/>
    <w:rsid w:val="00082B33"/>
    <w:rsid w:val="00082B68"/>
    <w:rsid w:val="00082C4C"/>
    <w:rsid w:val="00082C59"/>
    <w:rsid w:val="00082CAF"/>
    <w:rsid w:val="00082D9E"/>
    <w:rsid w:val="00082E06"/>
    <w:rsid w:val="00082EAC"/>
    <w:rsid w:val="00082ED5"/>
    <w:rsid w:val="00082F62"/>
    <w:rsid w:val="00083105"/>
    <w:rsid w:val="00083133"/>
    <w:rsid w:val="00083176"/>
    <w:rsid w:val="000831C1"/>
    <w:rsid w:val="00083353"/>
    <w:rsid w:val="00083381"/>
    <w:rsid w:val="0008339D"/>
    <w:rsid w:val="000833BC"/>
    <w:rsid w:val="00083444"/>
    <w:rsid w:val="00083530"/>
    <w:rsid w:val="000835C5"/>
    <w:rsid w:val="000836B1"/>
    <w:rsid w:val="000836F3"/>
    <w:rsid w:val="00083705"/>
    <w:rsid w:val="0008370B"/>
    <w:rsid w:val="000837C0"/>
    <w:rsid w:val="0008382E"/>
    <w:rsid w:val="00083842"/>
    <w:rsid w:val="00083872"/>
    <w:rsid w:val="000838C0"/>
    <w:rsid w:val="000838F5"/>
    <w:rsid w:val="00083965"/>
    <w:rsid w:val="000839BF"/>
    <w:rsid w:val="000839D5"/>
    <w:rsid w:val="000839ED"/>
    <w:rsid w:val="00083A13"/>
    <w:rsid w:val="00083A7E"/>
    <w:rsid w:val="00083A98"/>
    <w:rsid w:val="00083AAD"/>
    <w:rsid w:val="00083B0D"/>
    <w:rsid w:val="00083B4B"/>
    <w:rsid w:val="00083B56"/>
    <w:rsid w:val="00083BF6"/>
    <w:rsid w:val="00083C39"/>
    <w:rsid w:val="00083CED"/>
    <w:rsid w:val="00083D3A"/>
    <w:rsid w:val="00083D84"/>
    <w:rsid w:val="00083E0C"/>
    <w:rsid w:val="00083EFF"/>
    <w:rsid w:val="00084033"/>
    <w:rsid w:val="0008408B"/>
    <w:rsid w:val="00084090"/>
    <w:rsid w:val="00084186"/>
    <w:rsid w:val="000841D5"/>
    <w:rsid w:val="000841E6"/>
    <w:rsid w:val="00084230"/>
    <w:rsid w:val="00084253"/>
    <w:rsid w:val="00084322"/>
    <w:rsid w:val="00084354"/>
    <w:rsid w:val="00084356"/>
    <w:rsid w:val="000843A5"/>
    <w:rsid w:val="00084415"/>
    <w:rsid w:val="00084483"/>
    <w:rsid w:val="0008450A"/>
    <w:rsid w:val="0008459E"/>
    <w:rsid w:val="0008461E"/>
    <w:rsid w:val="000846BE"/>
    <w:rsid w:val="0008479C"/>
    <w:rsid w:val="00084897"/>
    <w:rsid w:val="0008493B"/>
    <w:rsid w:val="0008494E"/>
    <w:rsid w:val="0008499A"/>
    <w:rsid w:val="000849DA"/>
    <w:rsid w:val="000849E1"/>
    <w:rsid w:val="00084AE0"/>
    <w:rsid w:val="00084B26"/>
    <w:rsid w:val="00084BCC"/>
    <w:rsid w:val="00084BD5"/>
    <w:rsid w:val="00084D05"/>
    <w:rsid w:val="00084F2C"/>
    <w:rsid w:val="00084F64"/>
    <w:rsid w:val="00085029"/>
    <w:rsid w:val="00085038"/>
    <w:rsid w:val="0008504A"/>
    <w:rsid w:val="000850DD"/>
    <w:rsid w:val="00085192"/>
    <w:rsid w:val="000851B7"/>
    <w:rsid w:val="000851BD"/>
    <w:rsid w:val="000851D0"/>
    <w:rsid w:val="00085204"/>
    <w:rsid w:val="00085214"/>
    <w:rsid w:val="000852FC"/>
    <w:rsid w:val="000853A6"/>
    <w:rsid w:val="0008540A"/>
    <w:rsid w:val="000854A9"/>
    <w:rsid w:val="00085540"/>
    <w:rsid w:val="00085619"/>
    <w:rsid w:val="0008561D"/>
    <w:rsid w:val="0008567F"/>
    <w:rsid w:val="000856DE"/>
    <w:rsid w:val="000859BE"/>
    <w:rsid w:val="00085A8C"/>
    <w:rsid w:val="00085B12"/>
    <w:rsid w:val="00085B33"/>
    <w:rsid w:val="00085B63"/>
    <w:rsid w:val="00085B6B"/>
    <w:rsid w:val="00085B99"/>
    <w:rsid w:val="00085C70"/>
    <w:rsid w:val="00085D70"/>
    <w:rsid w:val="00085DB7"/>
    <w:rsid w:val="00085DBA"/>
    <w:rsid w:val="00085E05"/>
    <w:rsid w:val="00085E42"/>
    <w:rsid w:val="00085E4E"/>
    <w:rsid w:val="00085EBA"/>
    <w:rsid w:val="00085FCD"/>
    <w:rsid w:val="00086022"/>
    <w:rsid w:val="00086053"/>
    <w:rsid w:val="000860CD"/>
    <w:rsid w:val="000860D1"/>
    <w:rsid w:val="000860E0"/>
    <w:rsid w:val="00086192"/>
    <w:rsid w:val="000861A9"/>
    <w:rsid w:val="0008621C"/>
    <w:rsid w:val="00086270"/>
    <w:rsid w:val="00086333"/>
    <w:rsid w:val="00086393"/>
    <w:rsid w:val="000863FF"/>
    <w:rsid w:val="00086498"/>
    <w:rsid w:val="00086523"/>
    <w:rsid w:val="000865A5"/>
    <w:rsid w:val="000865EB"/>
    <w:rsid w:val="000865FE"/>
    <w:rsid w:val="0008660A"/>
    <w:rsid w:val="00086624"/>
    <w:rsid w:val="000868B1"/>
    <w:rsid w:val="00086A37"/>
    <w:rsid w:val="00086A8D"/>
    <w:rsid w:val="00086B63"/>
    <w:rsid w:val="00086C26"/>
    <w:rsid w:val="00086C90"/>
    <w:rsid w:val="00086CB7"/>
    <w:rsid w:val="00086D29"/>
    <w:rsid w:val="00086DAC"/>
    <w:rsid w:val="00086DC9"/>
    <w:rsid w:val="00086DD0"/>
    <w:rsid w:val="00086E1E"/>
    <w:rsid w:val="00086E48"/>
    <w:rsid w:val="00086E7D"/>
    <w:rsid w:val="00086F4F"/>
    <w:rsid w:val="00086FF7"/>
    <w:rsid w:val="00087166"/>
    <w:rsid w:val="00087287"/>
    <w:rsid w:val="00087320"/>
    <w:rsid w:val="000873E9"/>
    <w:rsid w:val="00087435"/>
    <w:rsid w:val="000874B1"/>
    <w:rsid w:val="00087522"/>
    <w:rsid w:val="0008752C"/>
    <w:rsid w:val="0008761B"/>
    <w:rsid w:val="000876F6"/>
    <w:rsid w:val="000877E6"/>
    <w:rsid w:val="00087868"/>
    <w:rsid w:val="00087931"/>
    <w:rsid w:val="0008795B"/>
    <w:rsid w:val="000879AB"/>
    <w:rsid w:val="000879B9"/>
    <w:rsid w:val="000879BD"/>
    <w:rsid w:val="00087A83"/>
    <w:rsid w:val="00087A85"/>
    <w:rsid w:val="00087B46"/>
    <w:rsid w:val="00087B4B"/>
    <w:rsid w:val="00087B86"/>
    <w:rsid w:val="00087BAB"/>
    <w:rsid w:val="00087BE4"/>
    <w:rsid w:val="00087CD6"/>
    <w:rsid w:val="00087CFD"/>
    <w:rsid w:val="00087DBD"/>
    <w:rsid w:val="00087DE4"/>
    <w:rsid w:val="00087E14"/>
    <w:rsid w:val="00087E4E"/>
    <w:rsid w:val="00087F3A"/>
    <w:rsid w:val="00087F6C"/>
    <w:rsid w:val="00087F74"/>
    <w:rsid w:val="00090072"/>
    <w:rsid w:val="00090173"/>
    <w:rsid w:val="00090266"/>
    <w:rsid w:val="000902B5"/>
    <w:rsid w:val="00090389"/>
    <w:rsid w:val="00090447"/>
    <w:rsid w:val="00090558"/>
    <w:rsid w:val="00090593"/>
    <w:rsid w:val="000905BD"/>
    <w:rsid w:val="00090681"/>
    <w:rsid w:val="000906F9"/>
    <w:rsid w:val="00090775"/>
    <w:rsid w:val="00090799"/>
    <w:rsid w:val="0009085C"/>
    <w:rsid w:val="000908C9"/>
    <w:rsid w:val="00090942"/>
    <w:rsid w:val="00090962"/>
    <w:rsid w:val="00090991"/>
    <w:rsid w:val="000909A8"/>
    <w:rsid w:val="00090A1B"/>
    <w:rsid w:val="00090AE8"/>
    <w:rsid w:val="00090B08"/>
    <w:rsid w:val="00090B37"/>
    <w:rsid w:val="00090C36"/>
    <w:rsid w:val="00090C3A"/>
    <w:rsid w:val="00090C7F"/>
    <w:rsid w:val="00090CF4"/>
    <w:rsid w:val="00090D77"/>
    <w:rsid w:val="00090DA0"/>
    <w:rsid w:val="00090DB2"/>
    <w:rsid w:val="00090E12"/>
    <w:rsid w:val="00090E4D"/>
    <w:rsid w:val="00090EE4"/>
    <w:rsid w:val="00090F15"/>
    <w:rsid w:val="00090F21"/>
    <w:rsid w:val="00090F23"/>
    <w:rsid w:val="00090FA3"/>
    <w:rsid w:val="00090FBF"/>
    <w:rsid w:val="00091083"/>
    <w:rsid w:val="00091097"/>
    <w:rsid w:val="00091184"/>
    <w:rsid w:val="0009125C"/>
    <w:rsid w:val="0009129D"/>
    <w:rsid w:val="0009130E"/>
    <w:rsid w:val="000913CB"/>
    <w:rsid w:val="0009141C"/>
    <w:rsid w:val="000914E7"/>
    <w:rsid w:val="0009152A"/>
    <w:rsid w:val="00091556"/>
    <w:rsid w:val="00091560"/>
    <w:rsid w:val="00091562"/>
    <w:rsid w:val="00091662"/>
    <w:rsid w:val="00091677"/>
    <w:rsid w:val="00091695"/>
    <w:rsid w:val="000916E9"/>
    <w:rsid w:val="00091717"/>
    <w:rsid w:val="00091744"/>
    <w:rsid w:val="0009175A"/>
    <w:rsid w:val="000917A0"/>
    <w:rsid w:val="00091960"/>
    <w:rsid w:val="000919AC"/>
    <w:rsid w:val="000919BB"/>
    <w:rsid w:val="000919C4"/>
    <w:rsid w:val="00091A39"/>
    <w:rsid w:val="00091A9A"/>
    <w:rsid w:val="00091AAC"/>
    <w:rsid w:val="00091ADD"/>
    <w:rsid w:val="00091C86"/>
    <w:rsid w:val="00091D4B"/>
    <w:rsid w:val="00091DA5"/>
    <w:rsid w:val="00091E90"/>
    <w:rsid w:val="00091F10"/>
    <w:rsid w:val="00091F29"/>
    <w:rsid w:val="00091F3A"/>
    <w:rsid w:val="00091F8C"/>
    <w:rsid w:val="00091FCF"/>
    <w:rsid w:val="0009208A"/>
    <w:rsid w:val="000921F9"/>
    <w:rsid w:val="0009227D"/>
    <w:rsid w:val="0009228D"/>
    <w:rsid w:val="00092354"/>
    <w:rsid w:val="00092359"/>
    <w:rsid w:val="0009236D"/>
    <w:rsid w:val="00092486"/>
    <w:rsid w:val="000925A9"/>
    <w:rsid w:val="00092604"/>
    <w:rsid w:val="00092608"/>
    <w:rsid w:val="00092664"/>
    <w:rsid w:val="00092689"/>
    <w:rsid w:val="000926AC"/>
    <w:rsid w:val="00092729"/>
    <w:rsid w:val="00092790"/>
    <w:rsid w:val="00092860"/>
    <w:rsid w:val="0009287F"/>
    <w:rsid w:val="0009288D"/>
    <w:rsid w:val="000928CA"/>
    <w:rsid w:val="0009299D"/>
    <w:rsid w:val="000929C2"/>
    <w:rsid w:val="000929C6"/>
    <w:rsid w:val="00092A50"/>
    <w:rsid w:val="00092BDA"/>
    <w:rsid w:val="00092BE0"/>
    <w:rsid w:val="00092E2C"/>
    <w:rsid w:val="00092EA2"/>
    <w:rsid w:val="00092EC8"/>
    <w:rsid w:val="00093019"/>
    <w:rsid w:val="00093065"/>
    <w:rsid w:val="000930C9"/>
    <w:rsid w:val="00093112"/>
    <w:rsid w:val="00093152"/>
    <w:rsid w:val="00093262"/>
    <w:rsid w:val="00093378"/>
    <w:rsid w:val="00093379"/>
    <w:rsid w:val="00093385"/>
    <w:rsid w:val="0009342C"/>
    <w:rsid w:val="000934B6"/>
    <w:rsid w:val="00093513"/>
    <w:rsid w:val="0009360E"/>
    <w:rsid w:val="000936A4"/>
    <w:rsid w:val="000936EC"/>
    <w:rsid w:val="000936F0"/>
    <w:rsid w:val="000936F1"/>
    <w:rsid w:val="0009374F"/>
    <w:rsid w:val="000937FB"/>
    <w:rsid w:val="000938F6"/>
    <w:rsid w:val="00093984"/>
    <w:rsid w:val="00093991"/>
    <w:rsid w:val="00093AE6"/>
    <w:rsid w:val="00093BA5"/>
    <w:rsid w:val="00093C39"/>
    <w:rsid w:val="00093E3C"/>
    <w:rsid w:val="00093E6A"/>
    <w:rsid w:val="00094072"/>
    <w:rsid w:val="00094101"/>
    <w:rsid w:val="000941AF"/>
    <w:rsid w:val="000941EC"/>
    <w:rsid w:val="0009442E"/>
    <w:rsid w:val="00094442"/>
    <w:rsid w:val="0009444A"/>
    <w:rsid w:val="00094512"/>
    <w:rsid w:val="000945A5"/>
    <w:rsid w:val="000945BF"/>
    <w:rsid w:val="000945F3"/>
    <w:rsid w:val="00094647"/>
    <w:rsid w:val="000946D2"/>
    <w:rsid w:val="00094726"/>
    <w:rsid w:val="0009472F"/>
    <w:rsid w:val="0009473F"/>
    <w:rsid w:val="00094758"/>
    <w:rsid w:val="0009477E"/>
    <w:rsid w:val="0009483D"/>
    <w:rsid w:val="000948DA"/>
    <w:rsid w:val="0009491C"/>
    <w:rsid w:val="00094A42"/>
    <w:rsid w:val="00094A9C"/>
    <w:rsid w:val="00094AF6"/>
    <w:rsid w:val="00094B8C"/>
    <w:rsid w:val="00094BF9"/>
    <w:rsid w:val="00094CE8"/>
    <w:rsid w:val="00094CEC"/>
    <w:rsid w:val="00094DCC"/>
    <w:rsid w:val="00094E71"/>
    <w:rsid w:val="00094E9D"/>
    <w:rsid w:val="00094F49"/>
    <w:rsid w:val="00094F69"/>
    <w:rsid w:val="00094F83"/>
    <w:rsid w:val="00094FF3"/>
    <w:rsid w:val="0009505C"/>
    <w:rsid w:val="000950D8"/>
    <w:rsid w:val="0009520D"/>
    <w:rsid w:val="00095212"/>
    <w:rsid w:val="0009529C"/>
    <w:rsid w:val="000952AA"/>
    <w:rsid w:val="000952B9"/>
    <w:rsid w:val="000952D2"/>
    <w:rsid w:val="00095320"/>
    <w:rsid w:val="00095333"/>
    <w:rsid w:val="00095356"/>
    <w:rsid w:val="00095385"/>
    <w:rsid w:val="00095426"/>
    <w:rsid w:val="00095480"/>
    <w:rsid w:val="000955A2"/>
    <w:rsid w:val="00095630"/>
    <w:rsid w:val="0009568E"/>
    <w:rsid w:val="000956B5"/>
    <w:rsid w:val="000956C3"/>
    <w:rsid w:val="000956C6"/>
    <w:rsid w:val="000956C9"/>
    <w:rsid w:val="000956CE"/>
    <w:rsid w:val="00095741"/>
    <w:rsid w:val="00095784"/>
    <w:rsid w:val="000957C5"/>
    <w:rsid w:val="000958E4"/>
    <w:rsid w:val="00095903"/>
    <w:rsid w:val="0009591B"/>
    <w:rsid w:val="00095974"/>
    <w:rsid w:val="00095998"/>
    <w:rsid w:val="000959CD"/>
    <w:rsid w:val="00095A85"/>
    <w:rsid w:val="00095AE9"/>
    <w:rsid w:val="00095AF0"/>
    <w:rsid w:val="00095AF4"/>
    <w:rsid w:val="00095AF9"/>
    <w:rsid w:val="00095B5E"/>
    <w:rsid w:val="00095B6C"/>
    <w:rsid w:val="00095BA5"/>
    <w:rsid w:val="00095C5E"/>
    <w:rsid w:val="00095C6B"/>
    <w:rsid w:val="00095D3E"/>
    <w:rsid w:val="00095D57"/>
    <w:rsid w:val="00095D5D"/>
    <w:rsid w:val="00095D60"/>
    <w:rsid w:val="00095D72"/>
    <w:rsid w:val="00095E77"/>
    <w:rsid w:val="00095EC1"/>
    <w:rsid w:val="00095F40"/>
    <w:rsid w:val="00095F84"/>
    <w:rsid w:val="00095FE2"/>
    <w:rsid w:val="00096099"/>
    <w:rsid w:val="000960A1"/>
    <w:rsid w:val="0009615E"/>
    <w:rsid w:val="000961DE"/>
    <w:rsid w:val="000961F3"/>
    <w:rsid w:val="0009624C"/>
    <w:rsid w:val="000962DD"/>
    <w:rsid w:val="000962F0"/>
    <w:rsid w:val="000962F6"/>
    <w:rsid w:val="00096321"/>
    <w:rsid w:val="000963B7"/>
    <w:rsid w:val="0009646C"/>
    <w:rsid w:val="000964A1"/>
    <w:rsid w:val="00096500"/>
    <w:rsid w:val="0009653A"/>
    <w:rsid w:val="0009654C"/>
    <w:rsid w:val="00096583"/>
    <w:rsid w:val="00096593"/>
    <w:rsid w:val="0009684E"/>
    <w:rsid w:val="000968CC"/>
    <w:rsid w:val="00096969"/>
    <w:rsid w:val="00096A0F"/>
    <w:rsid w:val="00096B21"/>
    <w:rsid w:val="00096B34"/>
    <w:rsid w:val="00096C8B"/>
    <w:rsid w:val="00096CBD"/>
    <w:rsid w:val="00096D5D"/>
    <w:rsid w:val="00096DCA"/>
    <w:rsid w:val="00096DCB"/>
    <w:rsid w:val="00096DE1"/>
    <w:rsid w:val="00096EC8"/>
    <w:rsid w:val="00096F17"/>
    <w:rsid w:val="00096F5C"/>
    <w:rsid w:val="00096FAB"/>
    <w:rsid w:val="00097009"/>
    <w:rsid w:val="000970EB"/>
    <w:rsid w:val="00097150"/>
    <w:rsid w:val="000971A3"/>
    <w:rsid w:val="000971CD"/>
    <w:rsid w:val="0009725A"/>
    <w:rsid w:val="000972B8"/>
    <w:rsid w:val="0009737A"/>
    <w:rsid w:val="0009738D"/>
    <w:rsid w:val="000973BA"/>
    <w:rsid w:val="000973DE"/>
    <w:rsid w:val="00097405"/>
    <w:rsid w:val="00097455"/>
    <w:rsid w:val="00097457"/>
    <w:rsid w:val="00097644"/>
    <w:rsid w:val="00097666"/>
    <w:rsid w:val="000976D8"/>
    <w:rsid w:val="00097768"/>
    <w:rsid w:val="000978E8"/>
    <w:rsid w:val="00097953"/>
    <w:rsid w:val="00097A1F"/>
    <w:rsid w:val="00097ABE"/>
    <w:rsid w:val="00097AF2"/>
    <w:rsid w:val="00097B20"/>
    <w:rsid w:val="00097C09"/>
    <w:rsid w:val="00097C0C"/>
    <w:rsid w:val="00097C38"/>
    <w:rsid w:val="00097C59"/>
    <w:rsid w:val="00097C79"/>
    <w:rsid w:val="00097CA5"/>
    <w:rsid w:val="00097D0C"/>
    <w:rsid w:val="00097D11"/>
    <w:rsid w:val="00097E53"/>
    <w:rsid w:val="00097E63"/>
    <w:rsid w:val="00097F75"/>
    <w:rsid w:val="00097FFA"/>
    <w:rsid w:val="000A002D"/>
    <w:rsid w:val="000A0091"/>
    <w:rsid w:val="000A01AB"/>
    <w:rsid w:val="000A021D"/>
    <w:rsid w:val="000A037C"/>
    <w:rsid w:val="000A037E"/>
    <w:rsid w:val="000A03D9"/>
    <w:rsid w:val="000A042B"/>
    <w:rsid w:val="000A0454"/>
    <w:rsid w:val="000A04C9"/>
    <w:rsid w:val="000A0508"/>
    <w:rsid w:val="000A0534"/>
    <w:rsid w:val="000A061A"/>
    <w:rsid w:val="000A0636"/>
    <w:rsid w:val="000A07BB"/>
    <w:rsid w:val="000A07C4"/>
    <w:rsid w:val="000A07E0"/>
    <w:rsid w:val="000A0944"/>
    <w:rsid w:val="000A09D6"/>
    <w:rsid w:val="000A09DC"/>
    <w:rsid w:val="000A0A30"/>
    <w:rsid w:val="000A0A95"/>
    <w:rsid w:val="000A0AF1"/>
    <w:rsid w:val="000A0B11"/>
    <w:rsid w:val="000A0B34"/>
    <w:rsid w:val="000A0BD9"/>
    <w:rsid w:val="000A0D97"/>
    <w:rsid w:val="000A0F03"/>
    <w:rsid w:val="000A1009"/>
    <w:rsid w:val="000A1070"/>
    <w:rsid w:val="000A1125"/>
    <w:rsid w:val="000A11C5"/>
    <w:rsid w:val="000A11CB"/>
    <w:rsid w:val="000A1220"/>
    <w:rsid w:val="000A1252"/>
    <w:rsid w:val="000A132F"/>
    <w:rsid w:val="000A133D"/>
    <w:rsid w:val="000A1344"/>
    <w:rsid w:val="000A1393"/>
    <w:rsid w:val="000A1399"/>
    <w:rsid w:val="000A13A1"/>
    <w:rsid w:val="000A13B4"/>
    <w:rsid w:val="000A13C9"/>
    <w:rsid w:val="000A13F2"/>
    <w:rsid w:val="000A1573"/>
    <w:rsid w:val="000A16E7"/>
    <w:rsid w:val="000A1887"/>
    <w:rsid w:val="000A189B"/>
    <w:rsid w:val="000A18AE"/>
    <w:rsid w:val="000A190D"/>
    <w:rsid w:val="000A194B"/>
    <w:rsid w:val="000A1B00"/>
    <w:rsid w:val="000A1B21"/>
    <w:rsid w:val="000A1B42"/>
    <w:rsid w:val="000A1B79"/>
    <w:rsid w:val="000A1B85"/>
    <w:rsid w:val="000A1CD3"/>
    <w:rsid w:val="000A1CDE"/>
    <w:rsid w:val="000A1CF1"/>
    <w:rsid w:val="000A1D9B"/>
    <w:rsid w:val="000A1DA1"/>
    <w:rsid w:val="000A1DA7"/>
    <w:rsid w:val="000A1E57"/>
    <w:rsid w:val="000A1E90"/>
    <w:rsid w:val="000A1FE7"/>
    <w:rsid w:val="000A2005"/>
    <w:rsid w:val="000A207A"/>
    <w:rsid w:val="000A20BC"/>
    <w:rsid w:val="000A21E4"/>
    <w:rsid w:val="000A21FC"/>
    <w:rsid w:val="000A2245"/>
    <w:rsid w:val="000A22AF"/>
    <w:rsid w:val="000A2315"/>
    <w:rsid w:val="000A234B"/>
    <w:rsid w:val="000A248F"/>
    <w:rsid w:val="000A2581"/>
    <w:rsid w:val="000A2582"/>
    <w:rsid w:val="000A262E"/>
    <w:rsid w:val="000A2649"/>
    <w:rsid w:val="000A271E"/>
    <w:rsid w:val="000A2807"/>
    <w:rsid w:val="000A29EC"/>
    <w:rsid w:val="000A2B48"/>
    <w:rsid w:val="000A2BB0"/>
    <w:rsid w:val="000A2C35"/>
    <w:rsid w:val="000A2C45"/>
    <w:rsid w:val="000A2C4B"/>
    <w:rsid w:val="000A2C57"/>
    <w:rsid w:val="000A2D01"/>
    <w:rsid w:val="000A2D88"/>
    <w:rsid w:val="000A2DC3"/>
    <w:rsid w:val="000A2DC5"/>
    <w:rsid w:val="000A2DEA"/>
    <w:rsid w:val="000A2E5B"/>
    <w:rsid w:val="000A2E9A"/>
    <w:rsid w:val="000A2EB5"/>
    <w:rsid w:val="000A2F38"/>
    <w:rsid w:val="000A30E4"/>
    <w:rsid w:val="000A317B"/>
    <w:rsid w:val="000A321C"/>
    <w:rsid w:val="000A329F"/>
    <w:rsid w:val="000A3364"/>
    <w:rsid w:val="000A33DE"/>
    <w:rsid w:val="000A33FF"/>
    <w:rsid w:val="000A3444"/>
    <w:rsid w:val="000A34D9"/>
    <w:rsid w:val="000A3530"/>
    <w:rsid w:val="000A3536"/>
    <w:rsid w:val="000A358D"/>
    <w:rsid w:val="000A35AA"/>
    <w:rsid w:val="000A3693"/>
    <w:rsid w:val="000A36DF"/>
    <w:rsid w:val="000A37A2"/>
    <w:rsid w:val="000A3841"/>
    <w:rsid w:val="000A38FC"/>
    <w:rsid w:val="000A3925"/>
    <w:rsid w:val="000A3A2F"/>
    <w:rsid w:val="000A3A3B"/>
    <w:rsid w:val="000A3A92"/>
    <w:rsid w:val="000A3AD3"/>
    <w:rsid w:val="000A3B74"/>
    <w:rsid w:val="000A3B76"/>
    <w:rsid w:val="000A3C5E"/>
    <w:rsid w:val="000A3D48"/>
    <w:rsid w:val="000A3F48"/>
    <w:rsid w:val="000A4070"/>
    <w:rsid w:val="000A412B"/>
    <w:rsid w:val="000A412C"/>
    <w:rsid w:val="000A4226"/>
    <w:rsid w:val="000A422E"/>
    <w:rsid w:val="000A4257"/>
    <w:rsid w:val="000A4283"/>
    <w:rsid w:val="000A42CE"/>
    <w:rsid w:val="000A42D6"/>
    <w:rsid w:val="000A442D"/>
    <w:rsid w:val="000A4497"/>
    <w:rsid w:val="000A44A6"/>
    <w:rsid w:val="000A44AE"/>
    <w:rsid w:val="000A4524"/>
    <w:rsid w:val="000A45D1"/>
    <w:rsid w:val="000A460A"/>
    <w:rsid w:val="000A46EC"/>
    <w:rsid w:val="000A4884"/>
    <w:rsid w:val="000A48A0"/>
    <w:rsid w:val="000A4926"/>
    <w:rsid w:val="000A49B5"/>
    <w:rsid w:val="000A49E6"/>
    <w:rsid w:val="000A4C7D"/>
    <w:rsid w:val="000A4C95"/>
    <w:rsid w:val="000A4CC0"/>
    <w:rsid w:val="000A4D16"/>
    <w:rsid w:val="000A4E06"/>
    <w:rsid w:val="000A4E1D"/>
    <w:rsid w:val="000A4E35"/>
    <w:rsid w:val="000A4E6E"/>
    <w:rsid w:val="000A4E81"/>
    <w:rsid w:val="000A4EBA"/>
    <w:rsid w:val="000A4EF1"/>
    <w:rsid w:val="000A4F04"/>
    <w:rsid w:val="000A4F1C"/>
    <w:rsid w:val="000A4F3B"/>
    <w:rsid w:val="000A4F4F"/>
    <w:rsid w:val="000A5109"/>
    <w:rsid w:val="000A5129"/>
    <w:rsid w:val="000A517B"/>
    <w:rsid w:val="000A523F"/>
    <w:rsid w:val="000A52B7"/>
    <w:rsid w:val="000A5424"/>
    <w:rsid w:val="000A5539"/>
    <w:rsid w:val="000A55B5"/>
    <w:rsid w:val="000A55F2"/>
    <w:rsid w:val="000A560D"/>
    <w:rsid w:val="000A5675"/>
    <w:rsid w:val="000A5678"/>
    <w:rsid w:val="000A56F8"/>
    <w:rsid w:val="000A5719"/>
    <w:rsid w:val="000A578D"/>
    <w:rsid w:val="000A578E"/>
    <w:rsid w:val="000A5839"/>
    <w:rsid w:val="000A5892"/>
    <w:rsid w:val="000A5937"/>
    <w:rsid w:val="000A59E7"/>
    <w:rsid w:val="000A5B0E"/>
    <w:rsid w:val="000A5BB2"/>
    <w:rsid w:val="000A5C92"/>
    <w:rsid w:val="000A5D36"/>
    <w:rsid w:val="000A5EED"/>
    <w:rsid w:val="000A5F6D"/>
    <w:rsid w:val="000A60C5"/>
    <w:rsid w:val="000A61A7"/>
    <w:rsid w:val="000A61B9"/>
    <w:rsid w:val="000A621C"/>
    <w:rsid w:val="000A6257"/>
    <w:rsid w:val="000A62C0"/>
    <w:rsid w:val="000A62F4"/>
    <w:rsid w:val="000A631E"/>
    <w:rsid w:val="000A6348"/>
    <w:rsid w:val="000A6353"/>
    <w:rsid w:val="000A63BE"/>
    <w:rsid w:val="000A6416"/>
    <w:rsid w:val="000A648F"/>
    <w:rsid w:val="000A65FF"/>
    <w:rsid w:val="000A666E"/>
    <w:rsid w:val="000A6671"/>
    <w:rsid w:val="000A6842"/>
    <w:rsid w:val="000A686B"/>
    <w:rsid w:val="000A6899"/>
    <w:rsid w:val="000A68CA"/>
    <w:rsid w:val="000A68CD"/>
    <w:rsid w:val="000A694B"/>
    <w:rsid w:val="000A6962"/>
    <w:rsid w:val="000A6970"/>
    <w:rsid w:val="000A6993"/>
    <w:rsid w:val="000A6B15"/>
    <w:rsid w:val="000A6BD8"/>
    <w:rsid w:val="000A6C79"/>
    <w:rsid w:val="000A6CEA"/>
    <w:rsid w:val="000A6D7E"/>
    <w:rsid w:val="000A6DFE"/>
    <w:rsid w:val="000A7054"/>
    <w:rsid w:val="000A70E5"/>
    <w:rsid w:val="000A713B"/>
    <w:rsid w:val="000A716A"/>
    <w:rsid w:val="000A71A9"/>
    <w:rsid w:val="000A71C4"/>
    <w:rsid w:val="000A71EA"/>
    <w:rsid w:val="000A727C"/>
    <w:rsid w:val="000A72C2"/>
    <w:rsid w:val="000A72F5"/>
    <w:rsid w:val="000A7348"/>
    <w:rsid w:val="000A74E3"/>
    <w:rsid w:val="000A7567"/>
    <w:rsid w:val="000A75A6"/>
    <w:rsid w:val="000A7639"/>
    <w:rsid w:val="000A765A"/>
    <w:rsid w:val="000A768C"/>
    <w:rsid w:val="000A76EC"/>
    <w:rsid w:val="000A7731"/>
    <w:rsid w:val="000A781C"/>
    <w:rsid w:val="000A7871"/>
    <w:rsid w:val="000A78A5"/>
    <w:rsid w:val="000A78CC"/>
    <w:rsid w:val="000A794B"/>
    <w:rsid w:val="000A7996"/>
    <w:rsid w:val="000A79E1"/>
    <w:rsid w:val="000A7A94"/>
    <w:rsid w:val="000A7AB6"/>
    <w:rsid w:val="000A7B02"/>
    <w:rsid w:val="000A7B25"/>
    <w:rsid w:val="000A7C96"/>
    <w:rsid w:val="000A7CE4"/>
    <w:rsid w:val="000A7CF7"/>
    <w:rsid w:val="000A7D56"/>
    <w:rsid w:val="000A7DEF"/>
    <w:rsid w:val="000A7E8A"/>
    <w:rsid w:val="000A7EB7"/>
    <w:rsid w:val="000A7F3E"/>
    <w:rsid w:val="000A7F7C"/>
    <w:rsid w:val="000A7F93"/>
    <w:rsid w:val="000A7FAE"/>
    <w:rsid w:val="000B0184"/>
    <w:rsid w:val="000B01F5"/>
    <w:rsid w:val="000B025A"/>
    <w:rsid w:val="000B027C"/>
    <w:rsid w:val="000B051C"/>
    <w:rsid w:val="000B0543"/>
    <w:rsid w:val="000B05C0"/>
    <w:rsid w:val="000B05EC"/>
    <w:rsid w:val="000B0609"/>
    <w:rsid w:val="000B0617"/>
    <w:rsid w:val="000B0696"/>
    <w:rsid w:val="000B08CD"/>
    <w:rsid w:val="000B0972"/>
    <w:rsid w:val="000B0A6D"/>
    <w:rsid w:val="000B0AA8"/>
    <w:rsid w:val="000B0AD3"/>
    <w:rsid w:val="000B0B10"/>
    <w:rsid w:val="000B0B8F"/>
    <w:rsid w:val="000B0BEC"/>
    <w:rsid w:val="000B0CFC"/>
    <w:rsid w:val="000B0DD8"/>
    <w:rsid w:val="000B0E02"/>
    <w:rsid w:val="000B0E0F"/>
    <w:rsid w:val="000B0E83"/>
    <w:rsid w:val="000B0EAF"/>
    <w:rsid w:val="000B0F84"/>
    <w:rsid w:val="000B0F8F"/>
    <w:rsid w:val="000B0FAA"/>
    <w:rsid w:val="000B101D"/>
    <w:rsid w:val="000B109E"/>
    <w:rsid w:val="000B10BC"/>
    <w:rsid w:val="000B10D1"/>
    <w:rsid w:val="000B1171"/>
    <w:rsid w:val="000B11D8"/>
    <w:rsid w:val="000B133D"/>
    <w:rsid w:val="000B1371"/>
    <w:rsid w:val="000B147D"/>
    <w:rsid w:val="000B14C3"/>
    <w:rsid w:val="000B14E2"/>
    <w:rsid w:val="000B1551"/>
    <w:rsid w:val="000B15A7"/>
    <w:rsid w:val="000B16A6"/>
    <w:rsid w:val="000B171B"/>
    <w:rsid w:val="000B17B4"/>
    <w:rsid w:val="000B17ED"/>
    <w:rsid w:val="000B17F3"/>
    <w:rsid w:val="000B182B"/>
    <w:rsid w:val="000B182F"/>
    <w:rsid w:val="000B18D0"/>
    <w:rsid w:val="000B18D3"/>
    <w:rsid w:val="000B1913"/>
    <w:rsid w:val="000B1A9C"/>
    <w:rsid w:val="000B1A9E"/>
    <w:rsid w:val="000B1ACB"/>
    <w:rsid w:val="000B1BA5"/>
    <w:rsid w:val="000B1C06"/>
    <w:rsid w:val="000B1CA8"/>
    <w:rsid w:val="000B1E46"/>
    <w:rsid w:val="000B1E90"/>
    <w:rsid w:val="000B1E94"/>
    <w:rsid w:val="000B1EE3"/>
    <w:rsid w:val="000B1F8E"/>
    <w:rsid w:val="000B206F"/>
    <w:rsid w:val="000B2098"/>
    <w:rsid w:val="000B20C9"/>
    <w:rsid w:val="000B20CC"/>
    <w:rsid w:val="000B215C"/>
    <w:rsid w:val="000B2177"/>
    <w:rsid w:val="000B2194"/>
    <w:rsid w:val="000B21B2"/>
    <w:rsid w:val="000B21B9"/>
    <w:rsid w:val="000B21E5"/>
    <w:rsid w:val="000B227B"/>
    <w:rsid w:val="000B22E7"/>
    <w:rsid w:val="000B22FB"/>
    <w:rsid w:val="000B232C"/>
    <w:rsid w:val="000B2339"/>
    <w:rsid w:val="000B23CD"/>
    <w:rsid w:val="000B23FA"/>
    <w:rsid w:val="000B2425"/>
    <w:rsid w:val="000B2439"/>
    <w:rsid w:val="000B24FB"/>
    <w:rsid w:val="000B24FF"/>
    <w:rsid w:val="000B2510"/>
    <w:rsid w:val="000B251E"/>
    <w:rsid w:val="000B25F3"/>
    <w:rsid w:val="000B2652"/>
    <w:rsid w:val="000B266F"/>
    <w:rsid w:val="000B268C"/>
    <w:rsid w:val="000B268D"/>
    <w:rsid w:val="000B2747"/>
    <w:rsid w:val="000B27F9"/>
    <w:rsid w:val="000B2998"/>
    <w:rsid w:val="000B2A3D"/>
    <w:rsid w:val="000B2AF5"/>
    <w:rsid w:val="000B2B28"/>
    <w:rsid w:val="000B2B58"/>
    <w:rsid w:val="000B2B76"/>
    <w:rsid w:val="000B2BAF"/>
    <w:rsid w:val="000B2CF2"/>
    <w:rsid w:val="000B2D8C"/>
    <w:rsid w:val="000B2E14"/>
    <w:rsid w:val="000B2E6E"/>
    <w:rsid w:val="000B2E9B"/>
    <w:rsid w:val="000B2F72"/>
    <w:rsid w:val="000B2FB1"/>
    <w:rsid w:val="000B2FBD"/>
    <w:rsid w:val="000B30B5"/>
    <w:rsid w:val="000B3120"/>
    <w:rsid w:val="000B31C3"/>
    <w:rsid w:val="000B31F7"/>
    <w:rsid w:val="000B325B"/>
    <w:rsid w:val="000B327B"/>
    <w:rsid w:val="000B3414"/>
    <w:rsid w:val="000B348C"/>
    <w:rsid w:val="000B3509"/>
    <w:rsid w:val="000B358F"/>
    <w:rsid w:val="000B35CC"/>
    <w:rsid w:val="000B35F8"/>
    <w:rsid w:val="000B3631"/>
    <w:rsid w:val="000B365B"/>
    <w:rsid w:val="000B366F"/>
    <w:rsid w:val="000B36C6"/>
    <w:rsid w:val="000B36E6"/>
    <w:rsid w:val="000B36F1"/>
    <w:rsid w:val="000B3731"/>
    <w:rsid w:val="000B3762"/>
    <w:rsid w:val="000B388A"/>
    <w:rsid w:val="000B38AD"/>
    <w:rsid w:val="000B38BA"/>
    <w:rsid w:val="000B397E"/>
    <w:rsid w:val="000B39CF"/>
    <w:rsid w:val="000B39D7"/>
    <w:rsid w:val="000B3A3F"/>
    <w:rsid w:val="000B3A72"/>
    <w:rsid w:val="000B3B59"/>
    <w:rsid w:val="000B3BE1"/>
    <w:rsid w:val="000B3C85"/>
    <w:rsid w:val="000B3D30"/>
    <w:rsid w:val="000B3D64"/>
    <w:rsid w:val="000B3D68"/>
    <w:rsid w:val="000B3DAC"/>
    <w:rsid w:val="000B3DDF"/>
    <w:rsid w:val="000B3DED"/>
    <w:rsid w:val="000B3FA4"/>
    <w:rsid w:val="000B3FFD"/>
    <w:rsid w:val="000B408F"/>
    <w:rsid w:val="000B41BA"/>
    <w:rsid w:val="000B41C4"/>
    <w:rsid w:val="000B41CF"/>
    <w:rsid w:val="000B4231"/>
    <w:rsid w:val="000B4232"/>
    <w:rsid w:val="000B4263"/>
    <w:rsid w:val="000B42A0"/>
    <w:rsid w:val="000B4359"/>
    <w:rsid w:val="000B43B1"/>
    <w:rsid w:val="000B45FC"/>
    <w:rsid w:val="000B4602"/>
    <w:rsid w:val="000B46E9"/>
    <w:rsid w:val="000B4703"/>
    <w:rsid w:val="000B480E"/>
    <w:rsid w:val="000B4831"/>
    <w:rsid w:val="000B4851"/>
    <w:rsid w:val="000B4A6F"/>
    <w:rsid w:val="000B4B58"/>
    <w:rsid w:val="000B4B87"/>
    <w:rsid w:val="000B4BD9"/>
    <w:rsid w:val="000B4C15"/>
    <w:rsid w:val="000B4C6B"/>
    <w:rsid w:val="000B4C7C"/>
    <w:rsid w:val="000B4CB4"/>
    <w:rsid w:val="000B4CD1"/>
    <w:rsid w:val="000B4CD7"/>
    <w:rsid w:val="000B4D33"/>
    <w:rsid w:val="000B4D5A"/>
    <w:rsid w:val="000B4DCD"/>
    <w:rsid w:val="000B4E1C"/>
    <w:rsid w:val="000B4E3F"/>
    <w:rsid w:val="000B4E8F"/>
    <w:rsid w:val="000B4EFA"/>
    <w:rsid w:val="000B4FA3"/>
    <w:rsid w:val="000B4FB8"/>
    <w:rsid w:val="000B4FE7"/>
    <w:rsid w:val="000B50B7"/>
    <w:rsid w:val="000B50CB"/>
    <w:rsid w:val="000B50D1"/>
    <w:rsid w:val="000B50E6"/>
    <w:rsid w:val="000B50FE"/>
    <w:rsid w:val="000B513B"/>
    <w:rsid w:val="000B51BC"/>
    <w:rsid w:val="000B51DA"/>
    <w:rsid w:val="000B52CA"/>
    <w:rsid w:val="000B52E4"/>
    <w:rsid w:val="000B531A"/>
    <w:rsid w:val="000B5381"/>
    <w:rsid w:val="000B53C1"/>
    <w:rsid w:val="000B5575"/>
    <w:rsid w:val="000B5738"/>
    <w:rsid w:val="000B5799"/>
    <w:rsid w:val="000B57D3"/>
    <w:rsid w:val="000B5864"/>
    <w:rsid w:val="000B5877"/>
    <w:rsid w:val="000B5883"/>
    <w:rsid w:val="000B5978"/>
    <w:rsid w:val="000B5984"/>
    <w:rsid w:val="000B5B01"/>
    <w:rsid w:val="000B5B49"/>
    <w:rsid w:val="000B5B55"/>
    <w:rsid w:val="000B5B93"/>
    <w:rsid w:val="000B5B9A"/>
    <w:rsid w:val="000B5BA9"/>
    <w:rsid w:val="000B5BFC"/>
    <w:rsid w:val="000B5CE1"/>
    <w:rsid w:val="000B5D0D"/>
    <w:rsid w:val="000B5DCF"/>
    <w:rsid w:val="000B5E42"/>
    <w:rsid w:val="000B5EC3"/>
    <w:rsid w:val="000B5EF0"/>
    <w:rsid w:val="000B5F23"/>
    <w:rsid w:val="000B5F95"/>
    <w:rsid w:val="000B6022"/>
    <w:rsid w:val="000B605E"/>
    <w:rsid w:val="000B606A"/>
    <w:rsid w:val="000B606F"/>
    <w:rsid w:val="000B60BC"/>
    <w:rsid w:val="000B6152"/>
    <w:rsid w:val="000B6177"/>
    <w:rsid w:val="000B61B3"/>
    <w:rsid w:val="000B61E5"/>
    <w:rsid w:val="000B62FE"/>
    <w:rsid w:val="000B6325"/>
    <w:rsid w:val="000B63A2"/>
    <w:rsid w:val="000B644A"/>
    <w:rsid w:val="000B6478"/>
    <w:rsid w:val="000B64C0"/>
    <w:rsid w:val="000B64E8"/>
    <w:rsid w:val="000B653D"/>
    <w:rsid w:val="000B6663"/>
    <w:rsid w:val="000B679B"/>
    <w:rsid w:val="000B67B0"/>
    <w:rsid w:val="000B699E"/>
    <w:rsid w:val="000B699F"/>
    <w:rsid w:val="000B69FD"/>
    <w:rsid w:val="000B6A09"/>
    <w:rsid w:val="000B6A20"/>
    <w:rsid w:val="000B6B5E"/>
    <w:rsid w:val="000B6B71"/>
    <w:rsid w:val="000B6CD9"/>
    <w:rsid w:val="000B6D0D"/>
    <w:rsid w:val="000B6D22"/>
    <w:rsid w:val="000B6D23"/>
    <w:rsid w:val="000B6D42"/>
    <w:rsid w:val="000B6D9A"/>
    <w:rsid w:val="000B6D9C"/>
    <w:rsid w:val="000B6E77"/>
    <w:rsid w:val="000B6EC1"/>
    <w:rsid w:val="000B6EF4"/>
    <w:rsid w:val="000B6FC8"/>
    <w:rsid w:val="000B6FF7"/>
    <w:rsid w:val="000B710B"/>
    <w:rsid w:val="000B7127"/>
    <w:rsid w:val="000B7130"/>
    <w:rsid w:val="000B71F2"/>
    <w:rsid w:val="000B7237"/>
    <w:rsid w:val="000B7311"/>
    <w:rsid w:val="000B738F"/>
    <w:rsid w:val="000B73EC"/>
    <w:rsid w:val="000B75BD"/>
    <w:rsid w:val="000B75CC"/>
    <w:rsid w:val="000B75E0"/>
    <w:rsid w:val="000B7618"/>
    <w:rsid w:val="000B7625"/>
    <w:rsid w:val="000B76BF"/>
    <w:rsid w:val="000B76F6"/>
    <w:rsid w:val="000B7795"/>
    <w:rsid w:val="000B7852"/>
    <w:rsid w:val="000B786A"/>
    <w:rsid w:val="000B7870"/>
    <w:rsid w:val="000B788D"/>
    <w:rsid w:val="000B78CB"/>
    <w:rsid w:val="000B79B9"/>
    <w:rsid w:val="000B7A8A"/>
    <w:rsid w:val="000B7B2D"/>
    <w:rsid w:val="000B7D04"/>
    <w:rsid w:val="000B7D0A"/>
    <w:rsid w:val="000B7D68"/>
    <w:rsid w:val="000B7E76"/>
    <w:rsid w:val="000B7F72"/>
    <w:rsid w:val="000B7FDF"/>
    <w:rsid w:val="000C0030"/>
    <w:rsid w:val="000C0042"/>
    <w:rsid w:val="000C009A"/>
    <w:rsid w:val="000C00ED"/>
    <w:rsid w:val="000C0199"/>
    <w:rsid w:val="000C02D1"/>
    <w:rsid w:val="000C033B"/>
    <w:rsid w:val="000C03C3"/>
    <w:rsid w:val="000C0427"/>
    <w:rsid w:val="000C0462"/>
    <w:rsid w:val="000C0479"/>
    <w:rsid w:val="000C0633"/>
    <w:rsid w:val="000C0674"/>
    <w:rsid w:val="000C0713"/>
    <w:rsid w:val="000C073B"/>
    <w:rsid w:val="000C0877"/>
    <w:rsid w:val="000C096E"/>
    <w:rsid w:val="000C0A73"/>
    <w:rsid w:val="000C0A85"/>
    <w:rsid w:val="000C0AB0"/>
    <w:rsid w:val="000C0AE5"/>
    <w:rsid w:val="000C0B1A"/>
    <w:rsid w:val="000C0B2E"/>
    <w:rsid w:val="000C0B4E"/>
    <w:rsid w:val="000C0B61"/>
    <w:rsid w:val="000C0C13"/>
    <w:rsid w:val="000C0C1B"/>
    <w:rsid w:val="000C0C1E"/>
    <w:rsid w:val="000C0C78"/>
    <w:rsid w:val="000C0D34"/>
    <w:rsid w:val="000C0D6A"/>
    <w:rsid w:val="000C0EC4"/>
    <w:rsid w:val="000C0EC8"/>
    <w:rsid w:val="000C0F19"/>
    <w:rsid w:val="000C104C"/>
    <w:rsid w:val="000C106A"/>
    <w:rsid w:val="000C1073"/>
    <w:rsid w:val="000C1086"/>
    <w:rsid w:val="000C10BA"/>
    <w:rsid w:val="000C112F"/>
    <w:rsid w:val="000C1196"/>
    <w:rsid w:val="000C11CB"/>
    <w:rsid w:val="000C123A"/>
    <w:rsid w:val="000C1244"/>
    <w:rsid w:val="000C1396"/>
    <w:rsid w:val="000C1444"/>
    <w:rsid w:val="000C144A"/>
    <w:rsid w:val="000C144B"/>
    <w:rsid w:val="000C1515"/>
    <w:rsid w:val="000C16DB"/>
    <w:rsid w:val="000C1758"/>
    <w:rsid w:val="000C175E"/>
    <w:rsid w:val="000C176D"/>
    <w:rsid w:val="000C17BB"/>
    <w:rsid w:val="000C188B"/>
    <w:rsid w:val="000C1A0E"/>
    <w:rsid w:val="000C1A24"/>
    <w:rsid w:val="000C1B00"/>
    <w:rsid w:val="000C1CA2"/>
    <w:rsid w:val="000C1CEA"/>
    <w:rsid w:val="000C1D14"/>
    <w:rsid w:val="000C1D58"/>
    <w:rsid w:val="000C1DBB"/>
    <w:rsid w:val="000C1E50"/>
    <w:rsid w:val="000C1FA2"/>
    <w:rsid w:val="000C1FE3"/>
    <w:rsid w:val="000C204D"/>
    <w:rsid w:val="000C2156"/>
    <w:rsid w:val="000C216F"/>
    <w:rsid w:val="000C21B6"/>
    <w:rsid w:val="000C21D2"/>
    <w:rsid w:val="000C2254"/>
    <w:rsid w:val="000C2256"/>
    <w:rsid w:val="000C2280"/>
    <w:rsid w:val="000C2319"/>
    <w:rsid w:val="000C2360"/>
    <w:rsid w:val="000C2550"/>
    <w:rsid w:val="000C2598"/>
    <w:rsid w:val="000C266A"/>
    <w:rsid w:val="000C26AF"/>
    <w:rsid w:val="000C2707"/>
    <w:rsid w:val="000C2826"/>
    <w:rsid w:val="000C284F"/>
    <w:rsid w:val="000C2883"/>
    <w:rsid w:val="000C2964"/>
    <w:rsid w:val="000C29AC"/>
    <w:rsid w:val="000C2A0B"/>
    <w:rsid w:val="000C2B79"/>
    <w:rsid w:val="000C2BFC"/>
    <w:rsid w:val="000C2BFF"/>
    <w:rsid w:val="000C2CAC"/>
    <w:rsid w:val="000C2CF0"/>
    <w:rsid w:val="000C2D20"/>
    <w:rsid w:val="000C2DAE"/>
    <w:rsid w:val="000C2DBC"/>
    <w:rsid w:val="000C2DF3"/>
    <w:rsid w:val="000C2E79"/>
    <w:rsid w:val="000C2E90"/>
    <w:rsid w:val="000C2F8C"/>
    <w:rsid w:val="000C2F97"/>
    <w:rsid w:val="000C2FA7"/>
    <w:rsid w:val="000C3108"/>
    <w:rsid w:val="000C31AE"/>
    <w:rsid w:val="000C31C0"/>
    <w:rsid w:val="000C31CF"/>
    <w:rsid w:val="000C3236"/>
    <w:rsid w:val="000C330A"/>
    <w:rsid w:val="000C3353"/>
    <w:rsid w:val="000C3478"/>
    <w:rsid w:val="000C34B3"/>
    <w:rsid w:val="000C3515"/>
    <w:rsid w:val="000C357A"/>
    <w:rsid w:val="000C35E6"/>
    <w:rsid w:val="000C3637"/>
    <w:rsid w:val="000C3658"/>
    <w:rsid w:val="000C3689"/>
    <w:rsid w:val="000C37D5"/>
    <w:rsid w:val="000C3853"/>
    <w:rsid w:val="000C3881"/>
    <w:rsid w:val="000C391C"/>
    <w:rsid w:val="000C39E0"/>
    <w:rsid w:val="000C3A16"/>
    <w:rsid w:val="000C3A27"/>
    <w:rsid w:val="000C3A6C"/>
    <w:rsid w:val="000C3ABF"/>
    <w:rsid w:val="000C3ADF"/>
    <w:rsid w:val="000C3B20"/>
    <w:rsid w:val="000C3B34"/>
    <w:rsid w:val="000C3CA3"/>
    <w:rsid w:val="000C3CEB"/>
    <w:rsid w:val="000C3D02"/>
    <w:rsid w:val="000C3D47"/>
    <w:rsid w:val="000C3D4B"/>
    <w:rsid w:val="000C3D52"/>
    <w:rsid w:val="000C3F09"/>
    <w:rsid w:val="000C3F68"/>
    <w:rsid w:val="000C3FAA"/>
    <w:rsid w:val="000C3FAE"/>
    <w:rsid w:val="000C3FF8"/>
    <w:rsid w:val="000C40C7"/>
    <w:rsid w:val="000C40DC"/>
    <w:rsid w:val="000C411D"/>
    <w:rsid w:val="000C4160"/>
    <w:rsid w:val="000C416B"/>
    <w:rsid w:val="000C41A3"/>
    <w:rsid w:val="000C42D8"/>
    <w:rsid w:val="000C4323"/>
    <w:rsid w:val="000C432A"/>
    <w:rsid w:val="000C441D"/>
    <w:rsid w:val="000C4481"/>
    <w:rsid w:val="000C463C"/>
    <w:rsid w:val="000C4667"/>
    <w:rsid w:val="000C4712"/>
    <w:rsid w:val="000C47D9"/>
    <w:rsid w:val="000C4837"/>
    <w:rsid w:val="000C49C3"/>
    <w:rsid w:val="000C49D1"/>
    <w:rsid w:val="000C4B1D"/>
    <w:rsid w:val="000C4B7C"/>
    <w:rsid w:val="000C4BB4"/>
    <w:rsid w:val="000C4EE7"/>
    <w:rsid w:val="000C50AC"/>
    <w:rsid w:val="000C51BF"/>
    <w:rsid w:val="000C5220"/>
    <w:rsid w:val="000C522F"/>
    <w:rsid w:val="000C528B"/>
    <w:rsid w:val="000C52D5"/>
    <w:rsid w:val="000C532C"/>
    <w:rsid w:val="000C5331"/>
    <w:rsid w:val="000C538E"/>
    <w:rsid w:val="000C53A0"/>
    <w:rsid w:val="000C562F"/>
    <w:rsid w:val="000C5640"/>
    <w:rsid w:val="000C569B"/>
    <w:rsid w:val="000C56C8"/>
    <w:rsid w:val="000C581B"/>
    <w:rsid w:val="000C5821"/>
    <w:rsid w:val="000C5867"/>
    <w:rsid w:val="000C58B4"/>
    <w:rsid w:val="000C590D"/>
    <w:rsid w:val="000C5944"/>
    <w:rsid w:val="000C5990"/>
    <w:rsid w:val="000C5A83"/>
    <w:rsid w:val="000C5B85"/>
    <w:rsid w:val="000C5B95"/>
    <w:rsid w:val="000C5BDF"/>
    <w:rsid w:val="000C5BE2"/>
    <w:rsid w:val="000C5C6F"/>
    <w:rsid w:val="000C5CA8"/>
    <w:rsid w:val="000C5D35"/>
    <w:rsid w:val="000C5DD4"/>
    <w:rsid w:val="000C5E4D"/>
    <w:rsid w:val="000C5E86"/>
    <w:rsid w:val="000C5F21"/>
    <w:rsid w:val="000C5F73"/>
    <w:rsid w:val="000C605F"/>
    <w:rsid w:val="000C608B"/>
    <w:rsid w:val="000C61FE"/>
    <w:rsid w:val="000C636F"/>
    <w:rsid w:val="000C6481"/>
    <w:rsid w:val="000C64BE"/>
    <w:rsid w:val="000C6589"/>
    <w:rsid w:val="000C65C8"/>
    <w:rsid w:val="000C661E"/>
    <w:rsid w:val="000C6621"/>
    <w:rsid w:val="000C66A3"/>
    <w:rsid w:val="000C66CF"/>
    <w:rsid w:val="000C66EF"/>
    <w:rsid w:val="000C6722"/>
    <w:rsid w:val="000C675A"/>
    <w:rsid w:val="000C6865"/>
    <w:rsid w:val="000C68E5"/>
    <w:rsid w:val="000C692C"/>
    <w:rsid w:val="000C69A4"/>
    <w:rsid w:val="000C6A95"/>
    <w:rsid w:val="000C6B1F"/>
    <w:rsid w:val="000C6BC7"/>
    <w:rsid w:val="000C6C0D"/>
    <w:rsid w:val="000C6C50"/>
    <w:rsid w:val="000C6CAB"/>
    <w:rsid w:val="000C6D64"/>
    <w:rsid w:val="000C6DDA"/>
    <w:rsid w:val="000C6E3E"/>
    <w:rsid w:val="000C6E40"/>
    <w:rsid w:val="000C702D"/>
    <w:rsid w:val="000C7131"/>
    <w:rsid w:val="000C7197"/>
    <w:rsid w:val="000C7270"/>
    <w:rsid w:val="000C72C6"/>
    <w:rsid w:val="000C7422"/>
    <w:rsid w:val="000C7437"/>
    <w:rsid w:val="000C7483"/>
    <w:rsid w:val="000C74B6"/>
    <w:rsid w:val="000C74CF"/>
    <w:rsid w:val="000C7536"/>
    <w:rsid w:val="000C759D"/>
    <w:rsid w:val="000C75C1"/>
    <w:rsid w:val="000C7662"/>
    <w:rsid w:val="000C7679"/>
    <w:rsid w:val="000C76F4"/>
    <w:rsid w:val="000C775D"/>
    <w:rsid w:val="000C7815"/>
    <w:rsid w:val="000C7836"/>
    <w:rsid w:val="000C78D1"/>
    <w:rsid w:val="000C79CE"/>
    <w:rsid w:val="000C79FE"/>
    <w:rsid w:val="000C7AB3"/>
    <w:rsid w:val="000C7BEE"/>
    <w:rsid w:val="000C7C50"/>
    <w:rsid w:val="000C7CCD"/>
    <w:rsid w:val="000C7D36"/>
    <w:rsid w:val="000C7DB2"/>
    <w:rsid w:val="000C7E28"/>
    <w:rsid w:val="000C7E49"/>
    <w:rsid w:val="000C7EAA"/>
    <w:rsid w:val="000C7ED4"/>
    <w:rsid w:val="000C7F5F"/>
    <w:rsid w:val="000C7FEE"/>
    <w:rsid w:val="000D00AD"/>
    <w:rsid w:val="000D00C8"/>
    <w:rsid w:val="000D00ED"/>
    <w:rsid w:val="000D0168"/>
    <w:rsid w:val="000D0182"/>
    <w:rsid w:val="000D0283"/>
    <w:rsid w:val="000D02C5"/>
    <w:rsid w:val="000D035F"/>
    <w:rsid w:val="000D047B"/>
    <w:rsid w:val="000D05D2"/>
    <w:rsid w:val="000D0636"/>
    <w:rsid w:val="000D0692"/>
    <w:rsid w:val="000D06DE"/>
    <w:rsid w:val="000D07E6"/>
    <w:rsid w:val="000D0836"/>
    <w:rsid w:val="000D08C4"/>
    <w:rsid w:val="000D0900"/>
    <w:rsid w:val="000D0929"/>
    <w:rsid w:val="000D0961"/>
    <w:rsid w:val="000D0A03"/>
    <w:rsid w:val="000D0A27"/>
    <w:rsid w:val="000D0A53"/>
    <w:rsid w:val="000D0B1F"/>
    <w:rsid w:val="000D0B96"/>
    <w:rsid w:val="000D0CFA"/>
    <w:rsid w:val="000D0D10"/>
    <w:rsid w:val="000D0D70"/>
    <w:rsid w:val="000D0E22"/>
    <w:rsid w:val="000D0E4E"/>
    <w:rsid w:val="000D0E5A"/>
    <w:rsid w:val="000D0E6F"/>
    <w:rsid w:val="000D0EF2"/>
    <w:rsid w:val="000D0FC9"/>
    <w:rsid w:val="000D1008"/>
    <w:rsid w:val="000D105D"/>
    <w:rsid w:val="000D11FB"/>
    <w:rsid w:val="000D120B"/>
    <w:rsid w:val="000D1211"/>
    <w:rsid w:val="000D1226"/>
    <w:rsid w:val="000D137B"/>
    <w:rsid w:val="000D142D"/>
    <w:rsid w:val="000D14BE"/>
    <w:rsid w:val="000D1598"/>
    <w:rsid w:val="000D15AC"/>
    <w:rsid w:val="000D15B5"/>
    <w:rsid w:val="000D15DC"/>
    <w:rsid w:val="000D15DD"/>
    <w:rsid w:val="000D15E1"/>
    <w:rsid w:val="000D165E"/>
    <w:rsid w:val="000D16EF"/>
    <w:rsid w:val="000D170A"/>
    <w:rsid w:val="000D1799"/>
    <w:rsid w:val="000D17CF"/>
    <w:rsid w:val="000D1826"/>
    <w:rsid w:val="000D19F2"/>
    <w:rsid w:val="000D19F8"/>
    <w:rsid w:val="000D19FF"/>
    <w:rsid w:val="000D1AE1"/>
    <w:rsid w:val="000D1AE8"/>
    <w:rsid w:val="000D1BA2"/>
    <w:rsid w:val="000D1BA8"/>
    <w:rsid w:val="000D1BBB"/>
    <w:rsid w:val="000D1D19"/>
    <w:rsid w:val="000D1D52"/>
    <w:rsid w:val="000D1D8B"/>
    <w:rsid w:val="000D1E1A"/>
    <w:rsid w:val="000D1E9F"/>
    <w:rsid w:val="000D1EED"/>
    <w:rsid w:val="000D1F95"/>
    <w:rsid w:val="000D1FB3"/>
    <w:rsid w:val="000D1FC7"/>
    <w:rsid w:val="000D1FCD"/>
    <w:rsid w:val="000D1FEF"/>
    <w:rsid w:val="000D20A5"/>
    <w:rsid w:val="000D2179"/>
    <w:rsid w:val="000D2185"/>
    <w:rsid w:val="000D218A"/>
    <w:rsid w:val="000D21C6"/>
    <w:rsid w:val="000D2226"/>
    <w:rsid w:val="000D228B"/>
    <w:rsid w:val="000D228F"/>
    <w:rsid w:val="000D22C4"/>
    <w:rsid w:val="000D2375"/>
    <w:rsid w:val="000D2376"/>
    <w:rsid w:val="000D249A"/>
    <w:rsid w:val="000D24B4"/>
    <w:rsid w:val="000D2502"/>
    <w:rsid w:val="000D2544"/>
    <w:rsid w:val="000D259D"/>
    <w:rsid w:val="000D2680"/>
    <w:rsid w:val="000D2691"/>
    <w:rsid w:val="000D2701"/>
    <w:rsid w:val="000D2729"/>
    <w:rsid w:val="000D285C"/>
    <w:rsid w:val="000D2986"/>
    <w:rsid w:val="000D29C3"/>
    <w:rsid w:val="000D29CD"/>
    <w:rsid w:val="000D2A23"/>
    <w:rsid w:val="000D2AB4"/>
    <w:rsid w:val="000D2ADB"/>
    <w:rsid w:val="000D2B08"/>
    <w:rsid w:val="000D2B0E"/>
    <w:rsid w:val="000D2B6E"/>
    <w:rsid w:val="000D2BD3"/>
    <w:rsid w:val="000D2C36"/>
    <w:rsid w:val="000D2CA3"/>
    <w:rsid w:val="000D2CB3"/>
    <w:rsid w:val="000D2D0B"/>
    <w:rsid w:val="000D2DB3"/>
    <w:rsid w:val="000D2E34"/>
    <w:rsid w:val="000D2E4C"/>
    <w:rsid w:val="000D2E5B"/>
    <w:rsid w:val="000D2E91"/>
    <w:rsid w:val="000D2F7B"/>
    <w:rsid w:val="000D3009"/>
    <w:rsid w:val="000D3084"/>
    <w:rsid w:val="000D30C8"/>
    <w:rsid w:val="000D31A4"/>
    <w:rsid w:val="000D3264"/>
    <w:rsid w:val="000D32BA"/>
    <w:rsid w:val="000D32DC"/>
    <w:rsid w:val="000D32F7"/>
    <w:rsid w:val="000D3346"/>
    <w:rsid w:val="000D338A"/>
    <w:rsid w:val="000D33AB"/>
    <w:rsid w:val="000D33B6"/>
    <w:rsid w:val="000D33FE"/>
    <w:rsid w:val="000D348F"/>
    <w:rsid w:val="000D34B9"/>
    <w:rsid w:val="000D34DC"/>
    <w:rsid w:val="000D34FC"/>
    <w:rsid w:val="000D35FE"/>
    <w:rsid w:val="000D36EA"/>
    <w:rsid w:val="000D370B"/>
    <w:rsid w:val="000D3731"/>
    <w:rsid w:val="000D3733"/>
    <w:rsid w:val="000D3772"/>
    <w:rsid w:val="000D3859"/>
    <w:rsid w:val="000D38BF"/>
    <w:rsid w:val="000D38D5"/>
    <w:rsid w:val="000D38DD"/>
    <w:rsid w:val="000D392E"/>
    <w:rsid w:val="000D3947"/>
    <w:rsid w:val="000D394A"/>
    <w:rsid w:val="000D3B09"/>
    <w:rsid w:val="000D3B90"/>
    <w:rsid w:val="000D3C5D"/>
    <w:rsid w:val="000D3CEC"/>
    <w:rsid w:val="000D3D0F"/>
    <w:rsid w:val="000D3D8F"/>
    <w:rsid w:val="000D3DAD"/>
    <w:rsid w:val="000D3DEC"/>
    <w:rsid w:val="000D3F2C"/>
    <w:rsid w:val="000D40A8"/>
    <w:rsid w:val="000D4158"/>
    <w:rsid w:val="000D419D"/>
    <w:rsid w:val="000D41CE"/>
    <w:rsid w:val="000D421E"/>
    <w:rsid w:val="000D436C"/>
    <w:rsid w:val="000D438D"/>
    <w:rsid w:val="000D43AA"/>
    <w:rsid w:val="000D43BA"/>
    <w:rsid w:val="000D4425"/>
    <w:rsid w:val="000D44FE"/>
    <w:rsid w:val="000D44FF"/>
    <w:rsid w:val="000D4558"/>
    <w:rsid w:val="000D4560"/>
    <w:rsid w:val="000D45A5"/>
    <w:rsid w:val="000D461D"/>
    <w:rsid w:val="000D464A"/>
    <w:rsid w:val="000D46B2"/>
    <w:rsid w:val="000D46D4"/>
    <w:rsid w:val="000D46DF"/>
    <w:rsid w:val="000D4882"/>
    <w:rsid w:val="000D48A7"/>
    <w:rsid w:val="000D48F9"/>
    <w:rsid w:val="000D4A04"/>
    <w:rsid w:val="000D4A24"/>
    <w:rsid w:val="000D4BBF"/>
    <w:rsid w:val="000D4C59"/>
    <w:rsid w:val="000D4CE5"/>
    <w:rsid w:val="000D4D69"/>
    <w:rsid w:val="000D4DD8"/>
    <w:rsid w:val="000D4E94"/>
    <w:rsid w:val="000D4F59"/>
    <w:rsid w:val="000D4F88"/>
    <w:rsid w:val="000D4FF9"/>
    <w:rsid w:val="000D501B"/>
    <w:rsid w:val="000D5033"/>
    <w:rsid w:val="000D5174"/>
    <w:rsid w:val="000D52A4"/>
    <w:rsid w:val="000D52FF"/>
    <w:rsid w:val="000D53CB"/>
    <w:rsid w:val="000D547B"/>
    <w:rsid w:val="000D54FA"/>
    <w:rsid w:val="000D557D"/>
    <w:rsid w:val="000D55BB"/>
    <w:rsid w:val="000D560F"/>
    <w:rsid w:val="000D561C"/>
    <w:rsid w:val="000D5622"/>
    <w:rsid w:val="000D573C"/>
    <w:rsid w:val="000D5827"/>
    <w:rsid w:val="000D5918"/>
    <w:rsid w:val="000D5950"/>
    <w:rsid w:val="000D596A"/>
    <w:rsid w:val="000D59B1"/>
    <w:rsid w:val="000D5A3F"/>
    <w:rsid w:val="000D5B49"/>
    <w:rsid w:val="000D5B52"/>
    <w:rsid w:val="000D5B62"/>
    <w:rsid w:val="000D5B65"/>
    <w:rsid w:val="000D5C3B"/>
    <w:rsid w:val="000D5C4F"/>
    <w:rsid w:val="000D5C81"/>
    <w:rsid w:val="000D5D40"/>
    <w:rsid w:val="000D5E83"/>
    <w:rsid w:val="000D5EEB"/>
    <w:rsid w:val="000D5F4D"/>
    <w:rsid w:val="000D5F54"/>
    <w:rsid w:val="000D5F5B"/>
    <w:rsid w:val="000D5FA8"/>
    <w:rsid w:val="000D6113"/>
    <w:rsid w:val="000D61DA"/>
    <w:rsid w:val="000D6232"/>
    <w:rsid w:val="000D62B3"/>
    <w:rsid w:val="000D62F9"/>
    <w:rsid w:val="000D6388"/>
    <w:rsid w:val="000D6406"/>
    <w:rsid w:val="000D642C"/>
    <w:rsid w:val="000D650F"/>
    <w:rsid w:val="000D6588"/>
    <w:rsid w:val="000D662E"/>
    <w:rsid w:val="000D66EF"/>
    <w:rsid w:val="000D675E"/>
    <w:rsid w:val="000D6784"/>
    <w:rsid w:val="000D6886"/>
    <w:rsid w:val="000D68BB"/>
    <w:rsid w:val="000D69C9"/>
    <w:rsid w:val="000D6A19"/>
    <w:rsid w:val="000D6A92"/>
    <w:rsid w:val="000D6AD4"/>
    <w:rsid w:val="000D6ADA"/>
    <w:rsid w:val="000D6BF3"/>
    <w:rsid w:val="000D6D48"/>
    <w:rsid w:val="000D6D8C"/>
    <w:rsid w:val="000D6DB9"/>
    <w:rsid w:val="000D6F03"/>
    <w:rsid w:val="000D6F1D"/>
    <w:rsid w:val="000D702A"/>
    <w:rsid w:val="000D7300"/>
    <w:rsid w:val="000D7328"/>
    <w:rsid w:val="000D7378"/>
    <w:rsid w:val="000D7383"/>
    <w:rsid w:val="000D739F"/>
    <w:rsid w:val="000D73B1"/>
    <w:rsid w:val="000D749A"/>
    <w:rsid w:val="000D74CA"/>
    <w:rsid w:val="000D74E3"/>
    <w:rsid w:val="000D7506"/>
    <w:rsid w:val="000D75A7"/>
    <w:rsid w:val="000D76C7"/>
    <w:rsid w:val="000D7705"/>
    <w:rsid w:val="000D7741"/>
    <w:rsid w:val="000D7749"/>
    <w:rsid w:val="000D77A6"/>
    <w:rsid w:val="000D7837"/>
    <w:rsid w:val="000D78B2"/>
    <w:rsid w:val="000D795F"/>
    <w:rsid w:val="000D79B0"/>
    <w:rsid w:val="000D79FB"/>
    <w:rsid w:val="000D7A32"/>
    <w:rsid w:val="000D7A94"/>
    <w:rsid w:val="000D7ACE"/>
    <w:rsid w:val="000D7ADA"/>
    <w:rsid w:val="000D7B37"/>
    <w:rsid w:val="000D7D32"/>
    <w:rsid w:val="000D7DCD"/>
    <w:rsid w:val="000D7E20"/>
    <w:rsid w:val="000D7E87"/>
    <w:rsid w:val="000D7F31"/>
    <w:rsid w:val="000DFCB4"/>
    <w:rsid w:val="000E00D8"/>
    <w:rsid w:val="000E0208"/>
    <w:rsid w:val="000E0212"/>
    <w:rsid w:val="000E02E8"/>
    <w:rsid w:val="000E0377"/>
    <w:rsid w:val="000E0393"/>
    <w:rsid w:val="000E03DD"/>
    <w:rsid w:val="000E03E7"/>
    <w:rsid w:val="000E0419"/>
    <w:rsid w:val="000E04A2"/>
    <w:rsid w:val="000E04E4"/>
    <w:rsid w:val="000E069A"/>
    <w:rsid w:val="000E071B"/>
    <w:rsid w:val="000E075C"/>
    <w:rsid w:val="000E0780"/>
    <w:rsid w:val="000E07DE"/>
    <w:rsid w:val="000E081B"/>
    <w:rsid w:val="000E08AB"/>
    <w:rsid w:val="000E090D"/>
    <w:rsid w:val="000E09B2"/>
    <w:rsid w:val="000E0A37"/>
    <w:rsid w:val="000E0A50"/>
    <w:rsid w:val="000E0C0B"/>
    <w:rsid w:val="000E0C2C"/>
    <w:rsid w:val="000E0C9F"/>
    <w:rsid w:val="000E0D82"/>
    <w:rsid w:val="000E0D9B"/>
    <w:rsid w:val="000E0DAA"/>
    <w:rsid w:val="000E0EF3"/>
    <w:rsid w:val="000E0FB0"/>
    <w:rsid w:val="000E10C2"/>
    <w:rsid w:val="000E1183"/>
    <w:rsid w:val="000E119B"/>
    <w:rsid w:val="000E11DB"/>
    <w:rsid w:val="000E1219"/>
    <w:rsid w:val="000E121D"/>
    <w:rsid w:val="000E1373"/>
    <w:rsid w:val="000E13FA"/>
    <w:rsid w:val="000E1476"/>
    <w:rsid w:val="000E150D"/>
    <w:rsid w:val="000E1663"/>
    <w:rsid w:val="000E168B"/>
    <w:rsid w:val="000E1797"/>
    <w:rsid w:val="000E182A"/>
    <w:rsid w:val="000E1837"/>
    <w:rsid w:val="000E187D"/>
    <w:rsid w:val="000E189D"/>
    <w:rsid w:val="000E1974"/>
    <w:rsid w:val="000E19A4"/>
    <w:rsid w:val="000E19D0"/>
    <w:rsid w:val="000E1A72"/>
    <w:rsid w:val="000E1C4E"/>
    <w:rsid w:val="000E1C6B"/>
    <w:rsid w:val="000E1C82"/>
    <w:rsid w:val="000E1CAD"/>
    <w:rsid w:val="000E1D3D"/>
    <w:rsid w:val="000E1D78"/>
    <w:rsid w:val="000E1ECC"/>
    <w:rsid w:val="000E1ECE"/>
    <w:rsid w:val="000E2019"/>
    <w:rsid w:val="000E201E"/>
    <w:rsid w:val="000E2074"/>
    <w:rsid w:val="000E20C9"/>
    <w:rsid w:val="000E2199"/>
    <w:rsid w:val="000E21F6"/>
    <w:rsid w:val="000E2206"/>
    <w:rsid w:val="000E221A"/>
    <w:rsid w:val="000E224F"/>
    <w:rsid w:val="000E23E7"/>
    <w:rsid w:val="000E23ED"/>
    <w:rsid w:val="000E25CE"/>
    <w:rsid w:val="000E262E"/>
    <w:rsid w:val="000E271C"/>
    <w:rsid w:val="000E277D"/>
    <w:rsid w:val="000E2804"/>
    <w:rsid w:val="000E285C"/>
    <w:rsid w:val="000E286E"/>
    <w:rsid w:val="000E2889"/>
    <w:rsid w:val="000E28A6"/>
    <w:rsid w:val="000E28AB"/>
    <w:rsid w:val="000E28B3"/>
    <w:rsid w:val="000E2905"/>
    <w:rsid w:val="000E2936"/>
    <w:rsid w:val="000E2996"/>
    <w:rsid w:val="000E2B02"/>
    <w:rsid w:val="000E2BCC"/>
    <w:rsid w:val="000E2C15"/>
    <w:rsid w:val="000E2C64"/>
    <w:rsid w:val="000E2C96"/>
    <w:rsid w:val="000E2CD9"/>
    <w:rsid w:val="000E2D4E"/>
    <w:rsid w:val="000E2D58"/>
    <w:rsid w:val="000E2DD7"/>
    <w:rsid w:val="000E2E93"/>
    <w:rsid w:val="000E2EF7"/>
    <w:rsid w:val="000E2EFC"/>
    <w:rsid w:val="000E3018"/>
    <w:rsid w:val="000E3046"/>
    <w:rsid w:val="000E3083"/>
    <w:rsid w:val="000E30B7"/>
    <w:rsid w:val="000E30B9"/>
    <w:rsid w:val="000E3100"/>
    <w:rsid w:val="000E3114"/>
    <w:rsid w:val="000E3237"/>
    <w:rsid w:val="000E3420"/>
    <w:rsid w:val="000E346D"/>
    <w:rsid w:val="000E3593"/>
    <w:rsid w:val="000E35F6"/>
    <w:rsid w:val="000E3679"/>
    <w:rsid w:val="000E368B"/>
    <w:rsid w:val="000E369F"/>
    <w:rsid w:val="000E37A1"/>
    <w:rsid w:val="000E37FF"/>
    <w:rsid w:val="000E390D"/>
    <w:rsid w:val="000E3925"/>
    <w:rsid w:val="000E39A5"/>
    <w:rsid w:val="000E39DB"/>
    <w:rsid w:val="000E3A51"/>
    <w:rsid w:val="000E3AF5"/>
    <w:rsid w:val="000E3B28"/>
    <w:rsid w:val="000E3B6E"/>
    <w:rsid w:val="000E3B76"/>
    <w:rsid w:val="000E3B78"/>
    <w:rsid w:val="000E3BDA"/>
    <w:rsid w:val="000E3C88"/>
    <w:rsid w:val="000E3F8D"/>
    <w:rsid w:val="000E400A"/>
    <w:rsid w:val="000E40DF"/>
    <w:rsid w:val="000E40E3"/>
    <w:rsid w:val="000E4113"/>
    <w:rsid w:val="000E4121"/>
    <w:rsid w:val="000E413B"/>
    <w:rsid w:val="000E413E"/>
    <w:rsid w:val="000E4152"/>
    <w:rsid w:val="000E424C"/>
    <w:rsid w:val="000E4263"/>
    <w:rsid w:val="000E42DB"/>
    <w:rsid w:val="000E4366"/>
    <w:rsid w:val="000E4373"/>
    <w:rsid w:val="000E4376"/>
    <w:rsid w:val="000E43C9"/>
    <w:rsid w:val="000E44ED"/>
    <w:rsid w:val="000E4622"/>
    <w:rsid w:val="000E4637"/>
    <w:rsid w:val="000E4680"/>
    <w:rsid w:val="000E46C1"/>
    <w:rsid w:val="000E474D"/>
    <w:rsid w:val="000E477A"/>
    <w:rsid w:val="000E4807"/>
    <w:rsid w:val="000E4814"/>
    <w:rsid w:val="000E4815"/>
    <w:rsid w:val="000E48DF"/>
    <w:rsid w:val="000E48E3"/>
    <w:rsid w:val="000E4978"/>
    <w:rsid w:val="000E4997"/>
    <w:rsid w:val="000E4B7F"/>
    <w:rsid w:val="000E4BC0"/>
    <w:rsid w:val="000E4BD5"/>
    <w:rsid w:val="000E4C76"/>
    <w:rsid w:val="000E4CFB"/>
    <w:rsid w:val="000E4D41"/>
    <w:rsid w:val="000E4DC4"/>
    <w:rsid w:val="000E4DC5"/>
    <w:rsid w:val="000E4E0F"/>
    <w:rsid w:val="000E4E9A"/>
    <w:rsid w:val="000E4EF8"/>
    <w:rsid w:val="000E4F49"/>
    <w:rsid w:val="000E4F6F"/>
    <w:rsid w:val="000E4FB3"/>
    <w:rsid w:val="000E4FD3"/>
    <w:rsid w:val="000E4FE4"/>
    <w:rsid w:val="000E5073"/>
    <w:rsid w:val="000E50A5"/>
    <w:rsid w:val="000E52A4"/>
    <w:rsid w:val="000E5316"/>
    <w:rsid w:val="000E54FD"/>
    <w:rsid w:val="000E5746"/>
    <w:rsid w:val="000E574A"/>
    <w:rsid w:val="000E5811"/>
    <w:rsid w:val="000E5818"/>
    <w:rsid w:val="000E583D"/>
    <w:rsid w:val="000E58FD"/>
    <w:rsid w:val="000E5973"/>
    <w:rsid w:val="000E59AE"/>
    <w:rsid w:val="000E5A56"/>
    <w:rsid w:val="000E5A8E"/>
    <w:rsid w:val="000E5ABF"/>
    <w:rsid w:val="000E5AD6"/>
    <w:rsid w:val="000E5AEA"/>
    <w:rsid w:val="000E5B5F"/>
    <w:rsid w:val="000E5B7E"/>
    <w:rsid w:val="000E5B98"/>
    <w:rsid w:val="000E5C33"/>
    <w:rsid w:val="000E5C7D"/>
    <w:rsid w:val="000E5CD2"/>
    <w:rsid w:val="000E5DC9"/>
    <w:rsid w:val="000E5DD2"/>
    <w:rsid w:val="000E5DE4"/>
    <w:rsid w:val="000E5E3D"/>
    <w:rsid w:val="000E5E7C"/>
    <w:rsid w:val="000E5EDD"/>
    <w:rsid w:val="000E5F30"/>
    <w:rsid w:val="000E60B2"/>
    <w:rsid w:val="000E60F9"/>
    <w:rsid w:val="000E610F"/>
    <w:rsid w:val="000E6158"/>
    <w:rsid w:val="000E621B"/>
    <w:rsid w:val="000E630F"/>
    <w:rsid w:val="000E646E"/>
    <w:rsid w:val="000E658E"/>
    <w:rsid w:val="000E663C"/>
    <w:rsid w:val="000E669D"/>
    <w:rsid w:val="000E66C2"/>
    <w:rsid w:val="000E671A"/>
    <w:rsid w:val="000E676E"/>
    <w:rsid w:val="000E67DB"/>
    <w:rsid w:val="000E6851"/>
    <w:rsid w:val="000E6861"/>
    <w:rsid w:val="000E6890"/>
    <w:rsid w:val="000E689D"/>
    <w:rsid w:val="000E68D8"/>
    <w:rsid w:val="000E6917"/>
    <w:rsid w:val="000E698C"/>
    <w:rsid w:val="000E69DC"/>
    <w:rsid w:val="000E6A20"/>
    <w:rsid w:val="000E6A95"/>
    <w:rsid w:val="000E6AC7"/>
    <w:rsid w:val="000E6B32"/>
    <w:rsid w:val="000E6B44"/>
    <w:rsid w:val="000E6C19"/>
    <w:rsid w:val="000E6C1E"/>
    <w:rsid w:val="000E6C9A"/>
    <w:rsid w:val="000E6CD5"/>
    <w:rsid w:val="000E6D5D"/>
    <w:rsid w:val="000E6D64"/>
    <w:rsid w:val="000E6E45"/>
    <w:rsid w:val="000E6EE7"/>
    <w:rsid w:val="000E701D"/>
    <w:rsid w:val="000E70B3"/>
    <w:rsid w:val="000E714D"/>
    <w:rsid w:val="000E71D9"/>
    <w:rsid w:val="000E723B"/>
    <w:rsid w:val="000E725B"/>
    <w:rsid w:val="000E7309"/>
    <w:rsid w:val="000E7341"/>
    <w:rsid w:val="000E736C"/>
    <w:rsid w:val="000E7375"/>
    <w:rsid w:val="000E73B4"/>
    <w:rsid w:val="000E7573"/>
    <w:rsid w:val="000E75A0"/>
    <w:rsid w:val="000E773A"/>
    <w:rsid w:val="000E7741"/>
    <w:rsid w:val="000E784C"/>
    <w:rsid w:val="000E7870"/>
    <w:rsid w:val="000E7883"/>
    <w:rsid w:val="000E7926"/>
    <w:rsid w:val="000E7929"/>
    <w:rsid w:val="000E7982"/>
    <w:rsid w:val="000E79AB"/>
    <w:rsid w:val="000E7A3E"/>
    <w:rsid w:val="000E7A9F"/>
    <w:rsid w:val="000E7B27"/>
    <w:rsid w:val="000E7B37"/>
    <w:rsid w:val="000E7C60"/>
    <w:rsid w:val="000E7CC6"/>
    <w:rsid w:val="000E7D85"/>
    <w:rsid w:val="000E7E22"/>
    <w:rsid w:val="000E7F3A"/>
    <w:rsid w:val="000E7F91"/>
    <w:rsid w:val="000E7FB4"/>
    <w:rsid w:val="000E7FB5"/>
    <w:rsid w:val="000E7FD8"/>
    <w:rsid w:val="000F00A2"/>
    <w:rsid w:val="000F00F0"/>
    <w:rsid w:val="000F00F3"/>
    <w:rsid w:val="000F00FC"/>
    <w:rsid w:val="000F01EE"/>
    <w:rsid w:val="000F022B"/>
    <w:rsid w:val="000F02B2"/>
    <w:rsid w:val="000F02DB"/>
    <w:rsid w:val="000F036A"/>
    <w:rsid w:val="000F0465"/>
    <w:rsid w:val="000F04BB"/>
    <w:rsid w:val="000F04FB"/>
    <w:rsid w:val="000F052C"/>
    <w:rsid w:val="000F054D"/>
    <w:rsid w:val="000F05D3"/>
    <w:rsid w:val="000F05DB"/>
    <w:rsid w:val="000F05E8"/>
    <w:rsid w:val="000F05FC"/>
    <w:rsid w:val="000F0627"/>
    <w:rsid w:val="000F074A"/>
    <w:rsid w:val="000F0785"/>
    <w:rsid w:val="000F082E"/>
    <w:rsid w:val="000F095F"/>
    <w:rsid w:val="000F097F"/>
    <w:rsid w:val="000F09B8"/>
    <w:rsid w:val="000F09F1"/>
    <w:rsid w:val="000F0A24"/>
    <w:rsid w:val="000F0A69"/>
    <w:rsid w:val="000F0A73"/>
    <w:rsid w:val="000F0A83"/>
    <w:rsid w:val="000F0AB7"/>
    <w:rsid w:val="000F0AF7"/>
    <w:rsid w:val="000F0B30"/>
    <w:rsid w:val="000F0BCA"/>
    <w:rsid w:val="000F0D3F"/>
    <w:rsid w:val="000F0D8E"/>
    <w:rsid w:val="000F0DC0"/>
    <w:rsid w:val="000F0E39"/>
    <w:rsid w:val="000F0E56"/>
    <w:rsid w:val="000F0EDB"/>
    <w:rsid w:val="000F0EF5"/>
    <w:rsid w:val="000F1015"/>
    <w:rsid w:val="000F106B"/>
    <w:rsid w:val="000F108A"/>
    <w:rsid w:val="000F10AD"/>
    <w:rsid w:val="000F1119"/>
    <w:rsid w:val="000F1147"/>
    <w:rsid w:val="000F1150"/>
    <w:rsid w:val="000F11CB"/>
    <w:rsid w:val="000F11E1"/>
    <w:rsid w:val="000F1425"/>
    <w:rsid w:val="000F1443"/>
    <w:rsid w:val="000F1480"/>
    <w:rsid w:val="000F1492"/>
    <w:rsid w:val="000F14C2"/>
    <w:rsid w:val="000F1511"/>
    <w:rsid w:val="000F15B7"/>
    <w:rsid w:val="000F1630"/>
    <w:rsid w:val="000F163F"/>
    <w:rsid w:val="000F164A"/>
    <w:rsid w:val="000F1678"/>
    <w:rsid w:val="000F16C6"/>
    <w:rsid w:val="000F16E0"/>
    <w:rsid w:val="000F170C"/>
    <w:rsid w:val="000F173E"/>
    <w:rsid w:val="000F174D"/>
    <w:rsid w:val="000F17E9"/>
    <w:rsid w:val="000F17EB"/>
    <w:rsid w:val="000F183B"/>
    <w:rsid w:val="000F1854"/>
    <w:rsid w:val="000F18B0"/>
    <w:rsid w:val="000F18D2"/>
    <w:rsid w:val="000F1912"/>
    <w:rsid w:val="000F1923"/>
    <w:rsid w:val="000F192A"/>
    <w:rsid w:val="000F1953"/>
    <w:rsid w:val="000F1A4C"/>
    <w:rsid w:val="000F1AB9"/>
    <w:rsid w:val="000F1ADB"/>
    <w:rsid w:val="000F1C19"/>
    <w:rsid w:val="000F1C1E"/>
    <w:rsid w:val="000F1C29"/>
    <w:rsid w:val="000F1C40"/>
    <w:rsid w:val="000F1CC8"/>
    <w:rsid w:val="000F1CD6"/>
    <w:rsid w:val="000F1DCF"/>
    <w:rsid w:val="000F1DF1"/>
    <w:rsid w:val="000F1F02"/>
    <w:rsid w:val="000F1F9B"/>
    <w:rsid w:val="000F1FC7"/>
    <w:rsid w:val="000F2008"/>
    <w:rsid w:val="000F214B"/>
    <w:rsid w:val="000F2247"/>
    <w:rsid w:val="000F243B"/>
    <w:rsid w:val="000F24DF"/>
    <w:rsid w:val="000F260E"/>
    <w:rsid w:val="000F2658"/>
    <w:rsid w:val="000F266D"/>
    <w:rsid w:val="000F2672"/>
    <w:rsid w:val="000F26B2"/>
    <w:rsid w:val="000F26D1"/>
    <w:rsid w:val="000F26E7"/>
    <w:rsid w:val="000F271A"/>
    <w:rsid w:val="000F27BB"/>
    <w:rsid w:val="000F27D2"/>
    <w:rsid w:val="000F27E0"/>
    <w:rsid w:val="000F27E2"/>
    <w:rsid w:val="000F2889"/>
    <w:rsid w:val="000F2901"/>
    <w:rsid w:val="000F299E"/>
    <w:rsid w:val="000F29A7"/>
    <w:rsid w:val="000F29D0"/>
    <w:rsid w:val="000F29FB"/>
    <w:rsid w:val="000F2AF2"/>
    <w:rsid w:val="000F2AF9"/>
    <w:rsid w:val="000F2B24"/>
    <w:rsid w:val="000F2B44"/>
    <w:rsid w:val="000F2B47"/>
    <w:rsid w:val="000F2BAE"/>
    <w:rsid w:val="000F2BC0"/>
    <w:rsid w:val="000F2C73"/>
    <w:rsid w:val="000F2CC2"/>
    <w:rsid w:val="000F2D7C"/>
    <w:rsid w:val="000F2D85"/>
    <w:rsid w:val="000F2D87"/>
    <w:rsid w:val="000F2DA3"/>
    <w:rsid w:val="000F2E03"/>
    <w:rsid w:val="000F2E39"/>
    <w:rsid w:val="000F2FFD"/>
    <w:rsid w:val="000F3096"/>
    <w:rsid w:val="000F3122"/>
    <w:rsid w:val="000F3192"/>
    <w:rsid w:val="000F3292"/>
    <w:rsid w:val="000F3300"/>
    <w:rsid w:val="000F3396"/>
    <w:rsid w:val="000F3451"/>
    <w:rsid w:val="000F346B"/>
    <w:rsid w:val="000F3530"/>
    <w:rsid w:val="000F3580"/>
    <w:rsid w:val="000F36B9"/>
    <w:rsid w:val="000F373A"/>
    <w:rsid w:val="000F376A"/>
    <w:rsid w:val="000F377A"/>
    <w:rsid w:val="000F385B"/>
    <w:rsid w:val="000F388A"/>
    <w:rsid w:val="000F38B4"/>
    <w:rsid w:val="000F38B7"/>
    <w:rsid w:val="000F38CE"/>
    <w:rsid w:val="000F3AA0"/>
    <w:rsid w:val="000F3AC0"/>
    <w:rsid w:val="000F3AD2"/>
    <w:rsid w:val="000F3BF2"/>
    <w:rsid w:val="000F3C2C"/>
    <w:rsid w:val="000F3C4B"/>
    <w:rsid w:val="000F3CE0"/>
    <w:rsid w:val="000F3D09"/>
    <w:rsid w:val="000F3EC7"/>
    <w:rsid w:val="000F3F12"/>
    <w:rsid w:val="000F3F1A"/>
    <w:rsid w:val="000F4034"/>
    <w:rsid w:val="000F40F6"/>
    <w:rsid w:val="000F4108"/>
    <w:rsid w:val="000F4112"/>
    <w:rsid w:val="000F4127"/>
    <w:rsid w:val="000F4181"/>
    <w:rsid w:val="000F41E5"/>
    <w:rsid w:val="000F4205"/>
    <w:rsid w:val="000F421F"/>
    <w:rsid w:val="000F4267"/>
    <w:rsid w:val="000F4286"/>
    <w:rsid w:val="000F42CF"/>
    <w:rsid w:val="000F43DD"/>
    <w:rsid w:val="000F454C"/>
    <w:rsid w:val="000F45B1"/>
    <w:rsid w:val="000F45C7"/>
    <w:rsid w:val="000F46BA"/>
    <w:rsid w:val="000F4837"/>
    <w:rsid w:val="000F4840"/>
    <w:rsid w:val="000F48F6"/>
    <w:rsid w:val="000F48F8"/>
    <w:rsid w:val="000F491D"/>
    <w:rsid w:val="000F49F6"/>
    <w:rsid w:val="000F4A43"/>
    <w:rsid w:val="000F4ACE"/>
    <w:rsid w:val="000F4ADB"/>
    <w:rsid w:val="000F4AF2"/>
    <w:rsid w:val="000F4B23"/>
    <w:rsid w:val="000F4B87"/>
    <w:rsid w:val="000F4C30"/>
    <w:rsid w:val="000F4D7D"/>
    <w:rsid w:val="000F4E0B"/>
    <w:rsid w:val="000F4EEF"/>
    <w:rsid w:val="000F4F91"/>
    <w:rsid w:val="000F4FA4"/>
    <w:rsid w:val="000F4FD6"/>
    <w:rsid w:val="000F4FED"/>
    <w:rsid w:val="000F5140"/>
    <w:rsid w:val="000F5165"/>
    <w:rsid w:val="000F519D"/>
    <w:rsid w:val="000F51B5"/>
    <w:rsid w:val="000F5220"/>
    <w:rsid w:val="000F5236"/>
    <w:rsid w:val="000F532C"/>
    <w:rsid w:val="000F5342"/>
    <w:rsid w:val="000F547F"/>
    <w:rsid w:val="000F5532"/>
    <w:rsid w:val="000F556A"/>
    <w:rsid w:val="000F559B"/>
    <w:rsid w:val="000F55A7"/>
    <w:rsid w:val="000F55D2"/>
    <w:rsid w:val="000F5621"/>
    <w:rsid w:val="000F5685"/>
    <w:rsid w:val="000F569E"/>
    <w:rsid w:val="000F5725"/>
    <w:rsid w:val="000F57A3"/>
    <w:rsid w:val="000F57C9"/>
    <w:rsid w:val="000F57D4"/>
    <w:rsid w:val="000F5878"/>
    <w:rsid w:val="000F5912"/>
    <w:rsid w:val="000F59B3"/>
    <w:rsid w:val="000F5A82"/>
    <w:rsid w:val="000F5ABA"/>
    <w:rsid w:val="000F5AE2"/>
    <w:rsid w:val="000F5C71"/>
    <w:rsid w:val="000F5C75"/>
    <w:rsid w:val="000F5DA0"/>
    <w:rsid w:val="000F5DE2"/>
    <w:rsid w:val="000F5EF1"/>
    <w:rsid w:val="000F5FB7"/>
    <w:rsid w:val="000F6074"/>
    <w:rsid w:val="000F609E"/>
    <w:rsid w:val="000F60F9"/>
    <w:rsid w:val="000F611B"/>
    <w:rsid w:val="000F61B5"/>
    <w:rsid w:val="000F61C7"/>
    <w:rsid w:val="000F61CB"/>
    <w:rsid w:val="000F61DA"/>
    <w:rsid w:val="000F62BB"/>
    <w:rsid w:val="000F633F"/>
    <w:rsid w:val="000F6375"/>
    <w:rsid w:val="000F640E"/>
    <w:rsid w:val="000F645E"/>
    <w:rsid w:val="000F64AF"/>
    <w:rsid w:val="000F658F"/>
    <w:rsid w:val="000F6641"/>
    <w:rsid w:val="000F665D"/>
    <w:rsid w:val="000F6756"/>
    <w:rsid w:val="000F676C"/>
    <w:rsid w:val="000F67BE"/>
    <w:rsid w:val="000F6807"/>
    <w:rsid w:val="000F6891"/>
    <w:rsid w:val="000F6899"/>
    <w:rsid w:val="000F68EF"/>
    <w:rsid w:val="000F69FD"/>
    <w:rsid w:val="000F6A09"/>
    <w:rsid w:val="000F6A95"/>
    <w:rsid w:val="000F6AD5"/>
    <w:rsid w:val="000F6C91"/>
    <w:rsid w:val="000F6DDE"/>
    <w:rsid w:val="000F6E3F"/>
    <w:rsid w:val="000F6ECB"/>
    <w:rsid w:val="000F6ED3"/>
    <w:rsid w:val="000F6F77"/>
    <w:rsid w:val="000F6FEB"/>
    <w:rsid w:val="000F702B"/>
    <w:rsid w:val="000F70C6"/>
    <w:rsid w:val="000F71B7"/>
    <w:rsid w:val="000F72F9"/>
    <w:rsid w:val="000F73C1"/>
    <w:rsid w:val="000F742D"/>
    <w:rsid w:val="000F74FD"/>
    <w:rsid w:val="000F750D"/>
    <w:rsid w:val="000F7543"/>
    <w:rsid w:val="000F7786"/>
    <w:rsid w:val="000F77E5"/>
    <w:rsid w:val="000F79B6"/>
    <w:rsid w:val="000F7BB2"/>
    <w:rsid w:val="000F7BD4"/>
    <w:rsid w:val="000F7BFE"/>
    <w:rsid w:val="000F7C9E"/>
    <w:rsid w:val="000F7CCF"/>
    <w:rsid w:val="000F7D15"/>
    <w:rsid w:val="000F7DFA"/>
    <w:rsid w:val="000F7EBC"/>
    <w:rsid w:val="000F7F0A"/>
    <w:rsid w:val="000F7F34"/>
    <w:rsid w:val="000F7F72"/>
    <w:rsid w:val="000F7F9D"/>
    <w:rsid w:val="000F7FA2"/>
    <w:rsid w:val="00100010"/>
    <w:rsid w:val="00100021"/>
    <w:rsid w:val="00100096"/>
    <w:rsid w:val="00100196"/>
    <w:rsid w:val="001001A3"/>
    <w:rsid w:val="001001EB"/>
    <w:rsid w:val="001001F2"/>
    <w:rsid w:val="0010021D"/>
    <w:rsid w:val="001002A8"/>
    <w:rsid w:val="00100302"/>
    <w:rsid w:val="0010046F"/>
    <w:rsid w:val="001004FF"/>
    <w:rsid w:val="001005DD"/>
    <w:rsid w:val="00100758"/>
    <w:rsid w:val="001007FC"/>
    <w:rsid w:val="00100877"/>
    <w:rsid w:val="00100968"/>
    <w:rsid w:val="001009EE"/>
    <w:rsid w:val="00100B4A"/>
    <w:rsid w:val="00100B53"/>
    <w:rsid w:val="00100BE8"/>
    <w:rsid w:val="00100C28"/>
    <w:rsid w:val="00100CE7"/>
    <w:rsid w:val="00100CED"/>
    <w:rsid w:val="00100D88"/>
    <w:rsid w:val="00100DBB"/>
    <w:rsid w:val="00100DD6"/>
    <w:rsid w:val="00100E0B"/>
    <w:rsid w:val="00100E68"/>
    <w:rsid w:val="00100E6D"/>
    <w:rsid w:val="00100EAC"/>
    <w:rsid w:val="00100EFE"/>
    <w:rsid w:val="00100FA0"/>
    <w:rsid w:val="0010101F"/>
    <w:rsid w:val="00101089"/>
    <w:rsid w:val="00101147"/>
    <w:rsid w:val="00101153"/>
    <w:rsid w:val="0010130E"/>
    <w:rsid w:val="00101350"/>
    <w:rsid w:val="00101390"/>
    <w:rsid w:val="00101398"/>
    <w:rsid w:val="001013EB"/>
    <w:rsid w:val="00101480"/>
    <w:rsid w:val="001014D3"/>
    <w:rsid w:val="001014FF"/>
    <w:rsid w:val="001016C5"/>
    <w:rsid w:val="001016F9"/>
    <w:rsid w:val="0010170C"/>
    <w:rsid w:val="001019C2"/>
    <w:rsid w:val="001019F2"/>
    <w:rsid w:val="00101A0E"/>
    <w:rsid w:val="00101B2C"/>
    <w:rsid w:val="00101BCA"/>
    <w:rsid w:val="00101D24"/>
    <w:rsid w:val="00101DAD"/>
    <w:rsid w:val="00101E02"/>
    <w:rsid w:val="00101E0B"/>
    <w:rsid w:val="00101E75"/>
    <w:rsid w:val="00101EA4"/>
    <w:rsid w:val="00101FBC"/>
    <w:rsid w:val="00101FC7"/>
    <w:rsid w:val="00101FD0"/>
    <w:rsid w:val="00101FF7"/>
    <w:rsid w:val="0010200C"/>
    <w:rsid w:val="0010226D"/>
    <w:rsid w:val="00102271"/>
    <w:rsid w:val="001022A9"/>
    <w:rsid w:val="001022E5"/>
    <w:rsid w:val="00102311"/>
    <w:rsid w:val="00102427"/>
    <w:rsid w:val="0010243A"/>
    <w:rsid w:val="00102515"/>
    <w:rsid w:val="001025F7"/>
    <w:rsid w:val="00102693"/>
    <w:rsid w:val="001026E7"/>
    <w:rsid w:val="001026FC"/>
    <w:rsid w:val="00102793"/>
    <w:rsid w:val="001027C6"/>
    <w:rsid w:val="001027FC"/>
    <w:rsid w:val="0010280C"/>
    <w:rsid w:val="00102908"/>
    <w:rsid w:val="00102B75"/>
    <w:rsid w:val="00102B8B"/>
    <w:rsid w:val="00102BD1"/>
    <w:rsid w:val="00102C00"/>
    <w:rsid w:val="00102C2E"/>
    <w:rsid w:val="00102C4F"/>
    <w:rsid w:val="00102CA7"/>
    <w:rsid w:val="00102CBF"/>
    <w:rsid w:val="00102CD5"/>
    <w:rsid w:val="00102D02"/>
    <w:rsid w:val="00102F49"/>
    <w:rsid w:val="00102F7B"/>
    <w:rsid w:val="00102FD7"/>
    <w:rsid w:val="00103039"/>
    <w:rsid w:val="00103049"/>
    <w:rsid w:val="00103099"/>
    <w:rsid w:val="001030B6"/>
    <w:rsid w:val="00103207"/>
    <w:rsid w:val="0010320F"/>
    <w:rsid w:val="00103213"/>
    <w:rsid w:val="00103251"/>
    <w:rsid w:val="001032BA"/>
    <w:rsid w:val="00103382"/>
    <w:rsid w:val="00103398"/>
    <w:rsid w:val="001033F7"/>
    <w:rsid w:val="001034B3"/>
    <w:rsid w:val="00103549"/>
    <w:rsid w:val="001035CC"/>
    <w:rsid w:val="001035E4"/>
    <w:rsid w:val="00103645"/>
    <w:rsid w:val="0010369B"/>
    <w:rsid w:val="00103765"/>
    <w:rsid w:val="0010379A"/>
    <w:rsid w:val="001038A3"/>
    <w:rsid w:val="0010395C"/>
    <w:rsid w:val="00103AE0"/>
    <w:rsid w:val="00103BCC"/>
    <w:rsid w:val="00103BEC"/>
    <w:rsid w:val="00103C2B"/>
    <w:rsid w:val="00103C80"/>
    <w:rsid w:val="00103C98"/>
    <w:rsid w:val="00103CD9"/>
    <w:rsid w:val="00103D07"/>
    <w:rsid w:val="00103D4B"/>
    <w:rsid w:val="00103D98"/>
    <w:rsid w:val="00103DBD"/>
    <w:rsid w:val="00103DE1"/>
    <w:rsid w:val="00103E36"/>
    <w:rsid w:val="00103E42"/>
    <w:rsid w:val="00103E84"/>
    <w:rsid w:val="00103EB2"/>
    <w:rsid w:val="00103EF1"/>
    <w:rsid w:val="00103FC2"/>
    <w:rsid w:val="00104004"/>
    <w:rsid w:val="0010406C"/>
    <w:rsid w:val="00104079"/>
    <w:rsid w:val="0010410E"/>
    <w:rsid w:val="0010414F"/>
    <w:rsid w:val="0010429E"/>
    <w:rsid w:val="001043FA"/>
    <w:rsid w:val="00104463"/>
    <w:rsid w:val="001044F0"/>
    <w:rsid w:val="001045C6"/>
    <w:rsid w:val="001045CF"/>
    <w:rsid w:val="001047AB"/>
    <w:rsid w:val="0010480A"/>
    <w:rsid w:val="0010484D"/>
    <w:rsid w:val="00104876"/>
    <w:rsid w:val="0010487E"/>
    <w:rsid w:val="001048FC"/>
    <w:rsid w:val="0010495B"/>
    <w:rsid w:val="0010497B"/>
    <w:rsid w:val="00104A99"/>
    <w:rsid w:val="00104B1C"/>
    <w:rsid w:val="00104B40"/>
    <w:rsid w:val="00104BA1"/>
    <w:rsid w:val="00104BD8"/>
    <w:rsid w:val="00104C4B"/>
    <w:rsid w:val="00104C88"/>
    <w:rsid w:val="00104CD8"/>
    <w:rsid w:val="00104D00"/>
    <w:rsid w:val="00104D89"/>
    <w:rsid w:val="00104DD8"/>
    <w:rsid w:val="00104DDA"/>
    <w:rsid w:val="00104E2E"/>
    <w:rsid w:val="00104F0B"/>
    <w:rsid w:val="00104FEC"/>
    <w:rsid w:val="00104FFC"/>
    <w:rsid w:val="0010500B"/>
    <w:rsid w:val="00105061"/>
    <w:rsid w:val="001050C1"/>
    <w:rsid w:val="0010518C"/>
    <w:rsid w:val="00105193"/>
    <w:rsid w:val="00105195"/>
    <w:rsid w:val="00105231"/>
    <w:rsid w:val="00105234"/>
    <w:rsid w:val="00105299"/>
    <w:rsid w:val="001052BB"/>
    <w:rsid w:val="001052D1"/>
    <w:rsid w:val="00105372"/>
    <w:rsid w:val="001053DB"/>
    <w:rsid w:val="001053E2"/>
    <w:rsid w:val="0010548F"/>
    <w:rsid w:val="0010554C"/>
    <w:rsid w:val="00105621"/>
    <w:rsid w:val="00105666"/>
    <w:rsid w:val="001056B4"/>
    <w:rsid w:val="001056EC"/>
    <w:rsid w:val="00105796"/>
    <w:rsid w:val="001057F3"/>
    <w:rsid w:val="0010591A"/>
    <w:rsid w:val="00105930"/>
    <w:rsid w:val="0010593A"/>
    <w:rsid w:val="00105A1F"/>
    <w:rsid w:val="00105B93"/>
    <w:rsid w:val="00105BCD"/>
    <w:rsid w:val="00105BD7"/>
    <w:rsid w:val="00105BF8"/>
    <w:rsid w:val="00105C08"/>
    <w:rsid w:val="00105C62"/>
    <w:rsid w:val="00105D54"/>
    <w:rsid w:val="00105D69"/>
    <w:rsid w:val="00105DD4"/>
    <w:rsid w:val="00105E17"/>
    <w:rsid w:val="00105FB0"/>
    <w:rsid w:val="001061CF"/>
    <w:rsid w:val="001061E8"/>
    <w:rsid w:val="00106288"/>
    <w:rsid w:val="00106316"/>
    <w:rsid w:val="0010634A"/>
    <w:rsid w:val="001063CC"/>
    <w:rsid w:val="001063E5"/>
    <w:rsid w:val="00106461"/>
    <w:rsid w:val="001064A5"/>
    <w:rsid w:val="001064EB"/>
    <w:rsid w:val="00106655"/>
    <w:rsid w:val="0010669D"/>
    <w:rsid w:val="00106786"/>
    <w:rsid w:val="001067CE"/>
    <w:rsid w:val="00106837"/>
    <w:rsid w:val="00106871"/>
    <w:rsid w:val="0010688E"/>
    <w:rsid w:val="00106A01"/>
    <w:rsid w:val="00106C08"/>
    <w:rsid w:val="00106C2E"/>
    <w:rsid w:val="00106CCB"/>
    <w:rsid w:val="00106D25"/>
    <w:rsid w:val="00106D8C"/>
    <w:rsid w:val="00106F21"/>
    <w:rsid w:val="00107005"/>
    <w:rsid w:val="00107034"/>
    <w:rsid w:val="0010715B"/>
    <w:rsid w:val="001071BA"/>
    <w:rsid w:val="0010721A"/>
    <w:rsid w:val="0010724A"/>
    <w:rsid w:val="00107286"/>
    <w:rsid w:val="001072C9"/>
    <w:rsid w:val="001072CE"/>
    <w:rsid w:val="001072EC"/>
    <w:rsid w:val="00107323"/>
    <w:rsid w:val="0010734D"/>
    <w:rsid w:val="0010738E"/>
    <w:rsid w:val="001073BD"/>
    <w:rsid w:val="001073DD"/>
    <w:rsid w:val="001074C2"/>
    <w:rsid w:val="001074EB"/>
    <w:rsid w:val="001074F0"/>
    <w:rsid w:val="00107519"/>
    <w:rsid w:val="0010752D"/>
    <w:rsid w:val="00107547"/>
    <w:rsid w:val="00107601"/>
    <w:rsid w:val="00107644"/>
    <w:rsid w:val="001076C0"/>
    <w:rsid w:val="001076D9"/>
    <w:rsid w:val="0010776A"/>
    <w:rsid w:val="00107819"/>
    <w:rsid w:val="001078CD"/>
    <w:rsid w:val="00107904"/>
    <w:rsid w:val="001079B7"/>
    <w:rsid w:val="001079B9"/>
    <w:rsid w:val="00107AA0"/>
    <w:rsid w:val="00107ADA"/>
    <w:rsid w:val="00107AF7"/>
    <w:rsid w:val="00107B40"/>
    <w:rsid w:val="00107C17"/>
    <w:rsid w:val="00107C9D"/>
    <w:rsid w:val="00107CAD"/>
    <w:rsid w:val="00107EE4"/>
    <w:rsid w:val="00107EE6"/>
    <w:rsid w:val="00107F22"/>
    <w:rsid w:val="0011002D"/>
    <w:rsid w:val="001101AA"/>
    <w:rsid w:val="00110205"/>
    <w:rsid w:val="00110271"/>
    <w:rsid w:val="00110294"/>
    <w:rsid w:val="001102CA"/>
    <w:rsid w:val="00110322"/>
    <w:rsid w:val="0011032F"/>
    <w:rsid w:val="00110368"/>
    <w:rsid w:val="0011037E"/>
    <w:rsid w:val="00110397"/>
    <w:rsid w:val="001103D5"/>
    <w:rsid w:val="00110402"/>
    <w:rsid w:val="00110450"/>
    <w:rsid w:val="00110464"/>
    <w:rsid w:val="0011059A"/>
    <w:rsid w:val="001105A7"/>
    <w:rsid w:val="001105AC"/>
    <w:rsid w:val="001106B5"/>
    <w:rsid w:val="00110779"/>
    <w:rsid w:val="001107BC"/>
    <w:rsid w:val="00110811"/>
    <w:rsid w:val="00110963"/>
    <w:rsid w:val="00110986"/>
    <w:rsid w:val="0011098D"/>
    <w:rsid w:val="00110A11"/>
    <w:rsid w:val="00110B47"/>
    <w:rsid w:val="00110C19"/>
    <w:rsid w:val="00110D1E"/>
    <w:rsid w:val="00110E19"/>
    <w:rsid w:val="00110F75"/>
    <w:rsid w:val="00111002"/>
    <w:rsid w:val="0011102C"/>
    <w:rsid w:val="001110B6"/>
    <w:rsid w:val="001110DF"/>
    <w:rsid w:val="001110FF"/>
    <w:rsid w:val="00111106"/>
    <w:rsid w:val="001111F2"/>
    <w:rsid w:val="00111212"/>
    <w:rsid w:val="00111225"/>
    <w:rsid w:val="00111235"/>
    <w:rsid w:val="0011129B"/>
    <w:rsid w:val="00111316"/>
    <w:rsid w:val="00111320"/>
    <w:rsid w:val="00111334"/>
    <w:rsid w:val="00111448"/>
    <w:rsid w:val="00111453"/>
    <w:rsid w:val="00111455"/>
    <w:rsid w:val="001114BA"/>
    <w:rsid w:val="001114F5"/>
    <w:rsid w:val="00111519"/>
    <w:rsid w:val="0011155C"/>
    <w:rsid w:val="001115B8"/>
    <w:rsid w:val="00111696"/>
    <w:rsid w:val="001116E9"/>
    <w:rsid w:val="00111746"/>
    <w:rsid w:val="0011177C"/>
    <w:rsid w:val="001117CB"/>
    <w:rsid w:val="001118B8"/>
    <w:rsid w:val="001118CC"/>
    <w:rsid w:val="001118E3"/>
    <w:rsid w:val="00111925"/>
    <w:rsid w:val="0011196F"/>
    <w:rsid w:val="001119A3"/>
    <w:rsid w:val="00111A8F"/>
    <w:rsid w:val="00111AF6"/>
    <w:rsid w:val="00111B5E"/>
    <w:rsid w:val="00111BE3"/>
    <w:rsid w:val="00111D25"/>
    <w:rsid w:val="00111D37"/>
    <w:rsid w:val="00111DC1"/>
    <w:rsid w:val="00111E4E"/>
    <w:rsid w:val="00111E78"/>
    <w:rsid w:val="00111E87"/>
    <w:rsid w:val="00111EEF"/>
    <w:rsid w:val="00111F4E"/>
    <w:rsid w:val="00111FEF"/>
    <w:rsid w:val="00112040"/>
    <w:rsid w:val="0011213E"/>
    <w:rsid w:val="0011216D"/>
    <w:rsid w:val="001121DC"/>
    <w:rsid w:val="0011220F"/>
    <w:rsid w:val="00112268"/>
    <w:rsid w:val="001123B5"/>
    <w:rsid w:val="00112403"/>
    <w:rsid w:val="001124BC"/>
    <w:rsid w:val="001124D4"/>
    <w:rsid w:val="001125C9"/>
    <w:rsid w:val="0011260C"/>
    <w:rsid w:val="0011265A"/>
    <w:rsid w:val="00112693"/>
    <w:rsid w:val="0011272A"/>
    <w:rsid w:val="001127C1"/>
    <w:rsid w:val="001127DD"/>
    <w:rsid w:val="001127DF"/>
    <w:rsid w:val="001127E9"/>
    <w:rsid w:val="00112810"/>
    <w:rsid w:val="0011285F"/>
    <w:rsid w:val="00112896"/>
    <w:rsid w:val="001129A0"/>
    <w:rsid w:val="001129B2"/>
    <w:rsid w:val="00112AC9"/>
    <w:rsid w:val="00112AD4"/>
    <w:rsid w:val="00112BA1"/>
    <w:rsid w:val="00112E3A"/>
    <w:rsid w:val="00112E48"/>
    <w:rsid w:val="00112E5F"/>
    <w:rsid w:val="00112E95"/>
    <w:rsid w:val="00112F7A"/>
    <w:rsid w:val="00112F8F"/>
    <w:rsid w:val="00112FB4"/>
    <w:rsid w:val="00113125"/>
    <w:rsid w:val="00113186"/>
    <w:rsid w:val="001131A2"/>
    <w:rsid w:val="001131F4"/>
    <w:rsid w:val="001131F5"/>
    <w:rsid w:val="00113209"/>
    <w:rsid w:val="00113217"/>
    <w:rsid w:val="00113219"/>
    <w:rsid w:val="00113250"/>
    <w:rsid w:val="00113317"/>
    <w:rsid w:val="00113343"/>
    <w:rsid w:val="00113358"/>
    <w:rsid w:val="001134ED"/>
    <w:rsid w:val="001134FB"/>
    <w:rsid w:val="0011354B"/>
    <w:rsid w:val="001135A6"/>
    <w:rsid w:val="001135EB"/>
    <w:rsid w:val="0011371F"/>
    <w:rsid w:val="00113922"/>
    <w:rsid w:val="001139CA"/>
    <w:rsid w:val="00113B33"/>
    <w:rsid w:val="00113B51"/>
    <w:rsid w:val="00113BEC"/>
    <w:rsid w:val="00113C36"/>
    <w:rsid w:val="00113CF9"/>
    <w:rsid w:val="00113E1C"/>
    <w:rsid w:val="00113EC0"/>
    <w:rsid w:val="00114022"/>
    <w:rsid w:val="0011404D"/>
    <w:rsid w:val="001140A0"/>
    <w:rsid w:val="001140C6"/>
    <w:rsid w:val="001140F0"/>
    <w:rsid w:val="001140F1"/>
    <w:rsid w:val="00114257"/>
    <w:rsid w:val="00114259"/>
    <w:rsid w:val="00114291"/>
    <w:rsid w:val="001142A0"/>
    <w:rsid w:val="00114324"/>
    <w:rsid w:val="001143B2"/>
    <w:rsid w:val="001143F2"/>
    <w:rsid w:val="0011452F"/>
    <w:rsid w:val="0011455B"/>
    <w:rsid w:val="00114593"/>
    <w:rsid w:val="00114726"/>
    <w:rsid w:val="00114750"/>
    <w:rsid w:val="001147B5"/>
    <w:rsid w:val="00114803"/>
    <w:rsid w:val="00114835"/>
    <w:rsid w:val="00114877"/>
    <w:rsid w:val="001148D5"/>
    <w:rsid w:val="00114997"/>
    <w:rsid w:val="00114ADD"/>
    <w:rsid w:val="00114B8F"/>
    <w:rsid w:val="00114C42"/>
    <w:rsid w:val="00114C83"/>
    <w:rsid w:val="00114CA1"/>
    <w:rsid w:val="00114D01"/>
    <w:rsid w:val="00114D0C"/>
    <w:rsid w:val="00114DDD"/>
    <w:rsid w:val="00114E13"/>
    <w:rsid w:val="00114E15"/>
    <w:rsid w:val="00114E27"/>
    <w:rsid w:val="00114E2B"/>
    <w:rsid w:val="001150E7"/>
    <w:rsid w:val="00115139"/>
    <w:rsid w:val="00115164"/>
    <w:rsid w:val="0011517F"/>
    <w:rsid w:val="0011524B"/>
    <w:rsid w:val="0011524D"/>
    <w:rsid w:val="0011525F"/>
    <w:rsid w:val="001152F1"/>
    <w:rsid w:val="00115345"/>
    <w:rsid w:val="00115370"/>
    <w:rsid w:val="001153FD"/>
    <w:rsid w:val="00115430"/>
    <w:rsid w:val="00115463"/>
    <w:rsid w:val="00115479"/>
    <w:rsid w:val="00115510"/>
    <w:rsid w:val="00115592"/>
    <w:rsid w:val="0011559C"/>
    <w:rsid w:val="0011567F"/>
    <w:rsid w:val="0011568A"/>
    <w:rsid w:val="001156DB"/>
    <w:rsid w:val="00115836"/>
    <w:rsid w:val="0011585F"/>
    <w:rsid w:val="0011589B"/>
    <w:rsid w:val="001158F5"/>
    <w:rsid w:val="00115958"/>
    <w:rsid w:val="00115988"/>
    <w:rsid w:val="001159A1"/>
    <w:rsid w:val="00115AF4"/>
    <w:rsid w:val="00115B57"/>
    <w:rsid w:val="00115C3A"/>
    <w:rsid w:val="00115C9A"/>
    <w:rsid w:val="00115CBF"/>
    <w:rsid w:val="00115EA6"/>
    <w:rsid w:val="00115EBD"/>
    <w:rsid w:val="00115EFD"/>
    <w:rsid w:val="00115F7A"/>
    <w:rsid w:val="0011602A"/>
    <w:rsid w:val="001160DB"/>
    <w:rsid w:val="00116154"/>
    <w:rsid w:val="00116204"/>
    <w:rsid w:val="00116225"/>
    <w:rsid w:val="001162A2"/>
    <w:rsid w:val="001162D5"/>
    <w:rsid w:val="00116412"/>
    <w:rsid w:val="001164F1"/>
    <w:rsid w:val="00116575"/>
    <w:rsid w:val="00116593"/>
    <w:rsid w:val="00116625"/>
    <w:rsid w:val="00116668"/>
    <w:rsid w:val="0011669B"/>
    <w:rsid w:val="0011674A"/>
    <w:rsid w:val="00116934"/>
    <w:rsid w:val="00116948"/>
    <w:rsid w:val="00116A9D"/>
    <w:rsid w:val="00116B2E"/>
    <w:rsid w:val="00116B46"/>
    <w:rsid w:val="00116C42"/>
    <w:rsid w:val="00116D0D"/>
    <w:rsid w:val="00116E97"/>
    <w:rsid w:val="00116EDE"/>
    <w:rsid w:val="00116EE8"/>
    <w:rsid w:val="00116FEE"/>
    <w:rsid w:val="00116FF8"/>
    <w:rsid w:val="0011709A"/>
    <w:rsid w:val="0011715A"/>
    <w:rsid w:val="001171AB"/>
    <w:rsid w:val="0011731C"/>
    <w:rsid w:val="0011738E"/>
    <w:rsid w:val="001173A8"/>
    <w:rsid w:val="001173AB"/>
    <w:rsid w:val="001173EB"/>
    <w:rsid w:val="00117417"/>
    <w:rsid w:val="0011743F"/>
    <w:rsid w:val="001174DE"/>
    <w:rsid w:val="001174E6"/>
    <w:rsid w:val="001175A3"/>
    <w:rsid w:val="00117630"/>
    <w:rsid w:val="0011767B"/>
    <w:rsid w:val="0011772D"/>
    <w:rsid w:val="00117804"/>
    <w:rsid w:val="00117927"/>
    <w:rsid w:val="00117951"/>
    <w:rsid w:val="0011796E"/>
    <w:rsid w:val="00117A3C"/>
    <w:rsid w:val="00117A57"/>
    <w:rsid w:val="00117ACF"/>
    <w:rsid w:val="00117B2B"/>
    <w:rsid w:val="00117C34"/>
    <w:rsid w:val="00117C75"/>
    <w:rsid w:val="00117D08"/>
    <w:rsid w:val="00117E3B"/>
    <w:rsid w:val="00117E7C"/>
    <w:rsid w:val="00117ECE"/>
    <w:rsid w:val="00117EFE"/>
    <w:rsid w:val="00117F16"/>
    <w:rsid w:val="0012000A"/>
    <w:rsid w:val="00120164"/>
    <w:rsid w:val="001201BF"/>
    <w:rsid w:val="001201DE"/>
    <w:rsid w:val="00120261"/>
    <w:rsid w:val="00120294"/>
    <w:rsid w:val="001202F1"/>
    <w:rsid w:val="00120360"/>
    <w:rsid w:val="00120442"/>
    <w:rsid w:val="0012047F"/>
    <w:rsid w:val="001204B0"/>
    <w:rsid w:val="001204E2"/>
    <w:rsid w:val="00120514"/>
    <w:rsid w:val="0012054F"/>
    <w:rsid w:val="00120686"/>
    <w:rsid w:val="001206C6"/>
    <w:rsid w:val="00120871"/>
    <w:rsid w:val="0012088B"/>
    <w:rsid w:val="001208D3"/>
    <w:rsid w:val="001208EB"/>
    <w:rsid w:val="0012094F"/>
    <w:rsid w:val="0012096D"/>
    <w:rsid w:val="001209CB"/>
    <w:rsid w:val="00120A61"/>
    <w:rsid w:val="00120A8D"/>
    <w:rsid w:val="00120B91"/>
    <w:rsid w:val="00120C98"/>
    <w:rsid w:val="00120D58"/>
    <w:rsid w:val="00120E2A"/>
    <w:rsid w:val="00120EF9"/>
    <w:rsid w:val="00120F4E"/>
    <w:rsid w:val="00120F94"/>
    <w:rsid w:val="00120FA7"/>
    <w:rsid w:val="00120FCC"/>
    <w:rsid w:val="00121018"/>
    <w:rsid w:val="00121019"/>
    <w:rsid w:val="0012107C"/>
    <w:rsid w:val="001210BE"/>
    <w:rsid w:val="001210BF"/>
    <w:rsid w:val="001211D4"/>
    <w:rsid w:val="001212CC"/>
    <w:rsid w:val="001212DA"/>
    <w:rsid w:val="0012134B"/>
    <w:rsid w:val="00121493"/>
    <w:rsid w:val="001214B3"/>
    <w:rsid w:val="0012156C"/>
    <w:rsid w:val="001215BD"/>
    <w:rsid w:val="001215D4"/>
    <w:rsid w:val="00121624"/>
    <w:rsid w:val="00121659"/>
    <w:rsid w:val="001217F8"/>
    <w:rsid w:val="00121833"/>
    <w:rsid w:val="0012183C"/>
    <w:rsid w:val="001219AC"/>
    <w:rsid w:val="001219ED"/>
    <w:rsid w:val="00121AFE"/>
    <w:rsid w:val="00121B19"/>
    <w:rsid w:val="00121B32"/>
    <w:rsid w:val="00121B3B"/>
    <w:rsid w:val="00121D52"/>
    <w:rsid w:val="00121E8C"/>
    <w:rsid w:val="00121E97"/>
    <w:rsid w:val="00121EAC"/>
    <w:rsid w:val="00121F41"/>
    <w:rsid w:val="00121F89"/>
    <w:rsid w:val="00122002"/>
    <w:rsid w:val="00122043"/>
    <w:rsid w:val="001220A2"/>
    <w:rsid w:val="001220BA"/>
    <w:rsid w:val="001220E9"/>
    <w:rsid w:val="00122147"/>
    <w:rsid w:val="0012243B"/>
    <w:rsid w:val="00122442"/>
    <w:rsid w:val="00122485"/>
    <w:rsid w:val="001224E2"/>
    <w:rsid w:val="0012255E"/>
    <w:rsid w:val="001225C5"/>
    <w:rsid w:val="0012263E"/>
    <w:rsid w:val="00122696"/>
    <w:rsid w:val="001226AF"/>
    <w:rsid w:val="001226CA"/>
    <w:rsid w:val="001226DA"/>
    <w:rsid w:val="00122858"/>
    <w:rsid w:val="00122885"/>
    <w:rsid w:val="001228A0"/>
    <w:rsid w:val="001228E4"/>
    <w:rsid w:val="0012295B"/>
    <w:rsid w:val="00122A53"/>
    <w:rsid w:val="00122AB3"/>
    <w:rsid w:val="00122ACB"/>
    <w:rsid w:val="00122B8B"/>
    <w:rsid w:val="00122BF3"/>
    <w:rsid w:val="00122C14"/>
    <w:rsid w:val="00122C85"/>
    <w:rsid w:val="00122D0A"/>
    <w:rsid w:val="00122D23"/>
    <w:rsid w:val="00122D55"/>
    <w:rsid w:val="00122D6C"/>
    <w:rsid w:val="00122D86"/>
    <w:rsid w:val="00122E18"/>
    <w:rsid w:val="00122F10"/>
    <w:rsid w:val="0012302A"/>
    <w:rsid w:val="00123050"/>
    <w:rsid w:val="001230AC"/>
    <w:rsid w:val="001230BE"/>
    <w:rsid w:val="001231C2"/>
    <w:rsid w:val="00123213"/>
    <w:rsid w:val="0012321D"/>
    <w:rsid w:val="001232C6"/>
    <w:rsid w:val="001232D4"/>
    <w:rsid w:val="001232FD"/>
    <w:rsid w:val="001233AB"/>
    <w:rsid w:val="001233C3"/>
    <w:rsid w:val="00123488"/>
    <w:rsid w:val="00123547"/>
    <w:rsid w:val="0012358F"/>
    <w:rsid w:val="0012369C"/>
    <w:rsid w:val="001237B0"/>
    <w:rsid w:val="001237B3"/>
    <w:rsid w:val="0012383A"/>
    <w:rsid w:val="0012390C"/>
    <w:rsid w:val="0012398A"/>
    <w:rsid w:val="00123B41"/>
    <w:rsid w:val="00123B53"/>
    <w:rsid w:val="00123B67"/>
    <w:rsid w:val="00123BA3"/>
    <w:rsid w:val="00123CAC"/>
    <w:rsid w:val="00123D5E"/>
    <w:rsid w:val="00123DCB"/>
    <w:rsid w:val="00123E73"/>
    <w:rsid w:val="00123F2B"/>
    <w:rsid w:val="00124004"/>
    <w:rsid w:val="0012417B"/>
    <w:rsid w:val="001241F1"/>
    <w:rsid w:val="00124202"/>
    <w:rsid w:val="0012421E"/>
    <w:rsid w:val="00124222"/>
    <w:rsid w:val="00124299"/>
    <w:rsid w:val="00124328"/>
    <w:rsid w:val="00124393"/>
    <w:rsid w:val="001243FC"/>
    <w:rsid w:val="00124439"/>
    <w:rsid w:val="0012446C"/>
    <w:rsid w:val="0012446E"/>
    <w:rsid w:val="00124494"/>
    <w:rsid w:val="001246A7"/>
    <w:rsid w:val="00124786"/>
    <w:rsid w:val="001247CE"/>
    <w:rsid w:val="00124835"/>
    <w:rsid w:val="001248B7"/>
    <w:rsid w:val="00124952"/>
    <w:rsid w:val="001249E1"/>
    <w:rsid w:val="00124A31"/>
    <w:rsid w:val="00124B3E"/>
    <w:rsid w:val="00124B4D"/>
    <w:rsid w:val="00124BCC"/>
    <w:rsid w:val="00124CB4"/>
    <w:rsid w:val="00124CD5"/>
    <w:rsid w:val="00124D17"/>
    <w:rsid w:val="00124D62"/>
    <w:rsid w:val="00124DA2"/>
    <w:rsid w:val="00124DE8"/>
    <w:rsid w:val="00124E02"/>
    <w:rsid w:val="00124E37"/>
    <w:rsid w:val="00124EF7"/>
    <w:rsid w:val="00124F24"/>
    <w:rsid w:val="00124F64"/>
    <w:rsid w:val="00124F83"/>
    <w:rsid w:val="00124FCE"/>
    <w:rsid w:val="00125049"/>
    <w:rsid w:val="00125095"/>
    <w:rsid w:val="001250AC"/>
    <w:rsid w:val="001250BC"/>
    <w:rsid w:val="001250DA"/>
    <w:rsid w:val="00125179"/>
    <w:rsid w:val="001251D3"/>
    <w:rsid w:val="0012528E"/>
    <w:rsid w:val="001252A4"/>
    <w:rsid w:val="00125311"/>
    <w:rsid w:val="00125359"/>
    <w:rsid w:val="00125369"/>
    <w:rsid w:val="00125376"/>
    <w:rsid w:val="001253F8"/>
    <w:rsid w:val="001255D8"/>
    <w:rsid w:val="001255E1"/>
    <w:rsid w:val="00125713"/>
    <w:rsid w:val="0012584C"/>
    <w:rsid w:val="001258FE"/>
    <w:rsid w:val="0012592D"/>
    <w:rsid w:val="00125A1B"/>
    <w:rsid w:val="00125A4F"/>
    <w:rsid w:val="00125B73"/>
    <w:rsid w:val="00125C35"/>
    <w:rsid w:val="00125C5A"/>
    <w:rsid w:val="00125D17"/>
    <w:rsid w:val="00125D1D"/>
    <w:rsid w:val="00125DD0"/>
    <w:rsid w:val="00125DE0"/>
    <w:rsid w:val="00125FE7"/>
    <w:rsid w:val="00126036"/>
    <w:rsid w:val="001260A2"/>
    <w:rsid w:val="00126122"/>
    <w:rsid w:val="001261FB"/>
    <w:rsid w:val="00126245"/>
    <w:rsid w:val="001263AD"/>
    <w:rsid w:val="001265BF"/>
    <w:rsid w:val="00126605"/>
    <w:rsid w:val="00126693"/>
    <w:rsid w:val="001266B9"/>
    <w:rsid w:val="001266DD"/>
    <w:rsid w:val="0012686E"/>
    <w:rsid w:val="00126881"/>
    <w:rsid w:val="001268EF"/>
    <w:rsid w:val="00126914"/>
    <w:rsid w:val="0012696C"/>
    <w:rsid w:val="001269A3"/>
    <w:rsid w:val="001269FA"/>
    <w:rsid w:val="00126A43"/>
    <w:rsid w:val="00126A58"/>
    <w:rsid w:val="00126A71"/>
    <w:rsid w:val="00126A9A"/>
    <w:rsid w:val="00126AB0"/>
    <w:rsid w:val="00126ADE"/>
    <w:rsid w:val="00126B09"/>
    <w:rsid w:val="00126BF3"/>
    <w:rsid w:val="00126C60"/>
    <w:rsid w:val="00126E27"/>
    <w:rsid w:val="00126E3C"/>
    <w:rsid w:val="00126E54"/>
    <w:rsid w:val="00126EF7"/>
    <w:rsid w:val="00126EFE"/>
    <w:rsid w:val="00127011"/>
    <w:rsid w:val="0012701E"/>
    <w:rsid w:val="0012703A"/>
    <w:rsid w:val="0012704B"/>
    <w:rsid w:val="00127053"/>
    <w:rsid w:val="001271A5"/>
    <w:rsid w:val="00127224"/>
    <w:rsid w:val="00127243"/>
    <w:rsid w:val="0012726F"/>
    <w:rsid w:val="001272BB"/>
    <w:rsid w:val="00127322"/>
    <w:rsid w:val="00127532"/>
    <w:rsid w:val="001275F3"/>
    <w:rsid w:val="00127682"/>
    <w:rsid w:val="00127737"/>
    <w:rsid w:val="00127769"/>
    <w:rsid w:val="00127821"/>
    <w:rsid w:val="00127968"/>
    <w:rsid w:val="00127985"/>
    <w:rsid w:val="001279BF"/>
    <w:rsid w:val="00127A4E"/>
    <w:rsid w:val="00127A54"/>
    <w:rsid w:val="00127A7E"/>
    <w:rsid w:val="00127AAD"/>
    <w:rsid w:val="00127D42"/>
    <w:rsid w:val="00127E76"/>
    <w:rsid w:val="00127F06"/>
    <w:rsid w:val="00127FBB"/>
    <w:rsid w:val="00130021"/>
    <w:rsid w:val="00130054"/>
    <w:rsid w:val="00130069"/>
    <w:rsid w:val="001300DD"/>
    <w:rsid w:val="00130114"/>
    <w:rsid w:val="0013017E"/>
    <w:rsid w:val="001301A0"/>
    <w:rsid w:val="001301D3"/>
    <w:rsid w:val="00130331"/>
    <w:rsid w:val="00130372"/>
    <w:rsid w:val="00130378"/>
    <w:rsid w:val="001303A3"/>
    <w:rsid w:val="001303CB"/>
    <w:rsid w:val="001307BE"/>
    <w:rsid w:val="00130878"/>
    <w:rsid w:val="00130892"/>
    <w:rsid w:val="001308A8"/>
    <w:rsid w:val="00130901"/>
    <w:rsid w:val="0013091E"/>
    <w:rsid w:val="00130956"/>
    <w:rsid w:val="0013097D"/>
    <w:rsid w:val="00130A35"/>
    <w:rsid w:val="00130AE6"/>
    <w:rsid w:val="00130AF4"/>
    <w:rsid w:val="00130BA6"/>
    <w:rsid w:val="00130BFA"/>
    <w:rsid w:val="00130C50"/>
    <w:rsid w:val="00130D48"/>
    <w:rsid w:val="00130DC3"/>
    <w:rsid w:val="00130DD0"/>
    <w:rsid w:val="00130DF3"/>
    <w:rsid w:val="00130E06"/>
    <w:rsid w:val="00130E5C"/>
    <w:rsid w:val="00130E5E"/>
    <w:rsid w:val="00130EA0"/>
    <w:rsid w:val="00130EB1"/>
    <w:rsid w:val="00130F2E"/>
    <w:rsid w:val="00130F31"/>
    <w:rsid w:val="00130F77"/>
    <w:rsid w:val="0013103C"/>
    <w:rsid w:val="00131044"/>
    <w:rsid w:val="00131068"/>
    <w:rsid w:val="0013115E"/>
    <w:rsid w:val="001311AC"/>
    <w:rsid w:val="001311B9"/>
    <w:rsid w:val="0013125A"/>
    <w:rsid w:val="00131262"/>
    <w:rsid w:val="0013127E"/>
    <w:rsid w:val="001312AA"/>
    <w:rsid w:val="001312C4"/>
    <w:rsid w:val="00131318"/>
    <w:rsid w:val="00131392"/>
    <w:rsid w:val="001313B5"/>
    <w:rsid w:val="001313BF"/>
    <w:rsid w:val="001313E1"/>
    <w:rsid w:val="00131485"/>
    <w:rsid w:val="0013148E"/>
    <w:rsid w:val="001314F7"/>
    <w:rsid w:val="00131564"/>
    <w:rsid w:val="00131577"/>
    <w:rsid w:val="001315B0"/>
    <w:rsid w:val="00131611"/>
    <w:rsid w:val="0013164B"/>
    <w:rsid w:val="00131758"/>
    <w:rsid w:val="001317BC"/>
    <w:rsid w:val="0013185F"/>
    <w:rsid w:val="001318A9"/>
    <w:rsid w:val="001318B9"/>
    <w:rsid w:val="001318DD"/>
    <w:rsid w:val="0013190E"/>
    <w:rsid w:val="00131934"/>
    <w:rsid w:val="00131972"/>
    <w:rsid w:val="00131996"/>
    <w:rsid w:val="001319A8"/>
    <w:rsid w:val="00131A00"/>
    <w:rsid w:val="00131A0B"/>
    <w:rsid w:val="00131A6D"/>
    <w:rsid w:val="00131A94"/>
    <w:rsid w:val="00131BB9"/>
    <w:rsid w:val="00131BC9"/>
    <w:rsid w:val="00131CC0"/>
    <w:rsid w:val="00131CD6"/>
    <w:rsid w:val="00131E70"/>
    <w:rsid w:val="00131EC2"/>
    <w:rsid w:val="00131EC6"/>
    <w:rsid w:val="00131F37"/>
    <w:rsid w:val="00132064"/>
    <w:rsid w:val="001322D7"/>
    <w:rsid w:val="001324E4"/>
    <w:rsid w:val="00132564"/>
    <w:rsid w:val="0013256F"/>
    <w:rsid w:val="001325BB"/>
    <w:rsid w:val="001325DA"/>
    <w:rsid w:val="00132680"/>
    <w:rsid w:val="0013269D"/>
    <w:rsid w:val="001326A7"/>
    <w:rsid w:val="001326BD"/>
    <w:rsid w:val="00132707"/>
    <w:rsid w:val="00132726"/>
    <w:rsid w:val="00132796"/>
    <w:rsid w:val="0013282B"/>
    <w:rsid w:val="00132896"/>
    <w:rsid w:val="0013291C"/>
    <w:rsid w:val="00132979"/>
    <w:rsid w:val="0013299E"/>
    <w:rsid w:val="001329B7"/>
    <w:rsid w:val="001329D2"/>
    <w:rsid w:val="001329DD"/>
    <w:rsid w:val="00132A22"/>
    <w:rsid w:val="00132A57"/>
    <w:rsid w:val="00132AEF"/>
    <w:rsid w:val="00132B2B"/>
    <w:rsid w:val="00132BA5"/>
    <w:rsid w:val="00132C66"/>
    <w:rsid w:val="00132C9C"/>
    <w:rsid w:val="00132CBA"/>
    <w:rsid w:val="00132E32"/>
    <w:rsid w:val="00132EAE"/>
    <w:rsid w:val="00132F13"/>
    <w:rsid w:val="00132F61"/>
    <w:rsid w:val="00132FE1"/>
    <w:rsid w:val="00133011"/>
    <w:rsid w:val="00133187"/>
    <w:rsid w:val="00133193"/>
    <w:rsid w:val="001331D3"/>
    <w:rsid w:val="00133236"/>
    <w:rsid w:val="00133259"/>
    <w:rsid w:val="001332AA"/>
    <w:rsid w:val="00133446"/>
    <w:rsid w:val="00133482"/>
    <w:rsid w:val="0013348C"/>
    <w:rsid w:val="00133537"/>
    <w:rsid w:val="001335F2"/>
    <w:rsid w:val="0013360C"/>
    <w:rsid w:val="00133630"/>
    <w:rsid w:val="00133769"/>
    <w:rsid w:val="0013377F"/>
    <w:rsid w:val="00133816"/>
    <w:rsid w:val="00133820"/>
    <w:rsid w:val="001338EA"/>
    <w:rsid w:val="00133904"/>
    <w:rsid w:val="00133908"/>
    <w:rsid w:val="00133983"/>
    <w:rsid w:val="00133AC1"/>
    <w:rsid w:val="00133B82"/>
    <w:rsid w:val="00133B85"/>
    <w:rsid w:val="00133C47"/>
    <w:rsid w:val="00133C53"/>
    <w:rsid w:val="00133CBB"/>
    <w:rsid w:val="00133D70"/>
    <w:rsid w:val="00133E37"/>
    <w:rsid w:val="00133EA0"/>
    <w:rsid w:val="00133F88"/>
    <w:rsid w:val="00133FE2"/>
    <w:rsid w:val="001340E3"/>
    <w:rsid w:val="001340EA"/>
    <w:rsid w:val="00134167"/>
    <w:rsid w:val="0013417A"/>
    <w:rsid w:val="001343DA"/>
    <w:rsid w:val="001343FE"/>
    <w:rsid w:val="00134447"/>
    <w:rsid w:val="001344B3"/>
    <w:rsid w:val="001344CA"/>
    <w:rsid w:val="00134521"/>
    <w:rsid w:val="0013456F"/>
    <w:rsid w:val="001345A5"/>
    <w:rsid w:val="00134620"/>
    <w:rsid w:val="0013463C"/>
    <w:rsid w:val="00134658"/>
    <w:rsid w:val="00134695"/>
    <w:rsid w:val="00134717"/>
    <w:rsid w:val="00134760"/>
    <w:rsid w:val="00134797"/>
    <w:rsid w:val="001347A2"/>
    <w:rsid w:val="001347DA"/>
    <w:rsid w:val="001347F1"/>
    <w:rsid w:val="00134861"/>
    <w:rsid w:val="00134897"/>
    <w:rsid w:val="001349C5"/>
    <w:rsid w:val="00134A41"/>
    <w:rsid w:val="00134A56"/>
    <w:rsid w:val="00134A95"/>
    <w:rsid w:val="00134AE2"/>
    <w:rsid w:val="00134B08"/>
    <w:rsid w:val="00134BD5"/>
    <w:rsid w:val="00134C51"/>
    <w:rsid w:val="00134C5B"/>
    <w:rsid w:val="00134C67"/>
    <w:rsid w:val="00134C6F"/>
    <w:rsid w:val="00134DB8"/>
    <w:rsid w:val="00134DDE"/>
    <w:rsid w:val="00134EAC"/>
    <w:rsid w:val="00134F69"/>
    <w:rsid w:val="00134FAF"/>
    <w:rsid w:val="00134FCB"/>
    <w:rsid w:val="0013500F"/>
    <w:rsid w:val="00135119"/>
    <w:rsid w:val="00135136"/>
    <w:rsid w:val="00135199"/>
    <w:rsid w:val="00135237"/>
    <w:rsid w:val="001352B9"/>
    <w:rsid w:val="001353C1"/>
    <w:rsid w:val="001353F4"/>
    <w:rsid w:val="00135409"/>
    <w:rsid w:val="001354B9"/>
    <w:rsid w:val="001356CB"/>
    <w:rsid w:val="001357CB"/>
    <w:rsid w:val="001357D5"/>
    <w:rsid w:val="0013583C"/>
    <w:rsid w:val="00135853"/>
    <w:rsid w:val="0013588B"/>
    <w:rsid w:val="00135961"/>
    <w:rsid w:val="00135987"/>
    <w:rsid w:val="00135B2F"/>
    <w:rsid w:val="00135B58"/>
    <w:rsid w:val="00135BD2"/>
    <w:rsid w:val="00135BDE"/>
    <w:rsid w:val="00135C0D"/>
    <w:rsid w:val="00135C72"/>
    <w:rsid w:val="00135DD5"/>
    <w:rsid w:val="00135EB0"/>
    <w:rsid w:val="00135F2E"/>
    <w:rsid w:val="00135FF2"/>
    <w:rsid w:val="00135FFB"/>
    <w:rsid w:val="00136003"/>
    <w:rsid w:val="00136019"/>
    <w:rsid w:val="00136021"/>
    <w:rsid w:val="00136062"/>
    <w:rsid w:val="001360D7"/>
    <w:rsid w:val="00136117"/>
    <w:rsid w:val="00136124"/>
    <w:rsid w:val="001361EF"/>
    <w:rsid w:val="001361F1"/>
    <w:rsid w:val="00136282"/>
    <w:rsid w:val="00136390"/>
    <w:rsid w:val="00136391"/>
    <w:rsid w:val="001363BC"/>
    <w:rsid w:val="0013643C"/>
    <w:rsid w:val="001364A4"/>
    <w:rsid w:val="001364FE"/>
    <w:rsid w:val="00136545"/>
    <w:rsid w:val="00136632"/>
    <w:rsid w:val="00136656"/>
    <w:rsid w:val="0013665F"/>
    <w:rsid w:val="001366ED"/>
    <w:rsid w:val="0013670A"/>
    <w:rsid w:val="0013697D"/>
    <w:rsid w:val="001369BF"/>
    <w:rsid w:val="00136B39"/>
    <w:rsid w:val="00136B42"/>
    <w:rsid w:val="00136B6D"/>
    <w:rsid w:val="00136B94"/>
    <w:rsid w:val="00136BB1"/>
    <w:rsid w:val="00136CF8"/>
    <w:rsid w:val="00136D4E"/>
    <w:rsid w:val="00136E02"/>
    <w:rsid w:val="00136E0C"/>
    <w:rsid w:val="00136E26"/>
    <w:rsid w:val="00136E93"/>
    <w:rsid w:val="00136F46"/>
    <w:rsid w:val="00136F49"/>
    <w:rsid w:val="00136F92"/>
    <w:rsid w:val="00136FB6"/>
    <w:rsid w:val="0013708F"/>
    <w:rsid w:val="001370EE"/>
    <w:rsid w:val="00137135"/>
    <w:rsid w:val="001371C3"/>
    <w:rsid w:val="00137230"/>
    <w:rsid w:val="00137242"/>
    <w:rsid w:val="0013731B"/>
    <w:rsid w:val="00137322"/>
    <w:rsid w:val="00137405"/>
    <w:rsid w:val="00137416"/>
    <w:rsid w:val="00137526"/>
    <w:rsid w:val="00137550"/>
    <w:rsid w:val="0013757C"/>
    <w:rsid w:val="001375B6"/>
    <w:rsid w:val="00137611"/>
    <w:rsid w:val="00137654"/>
    <w:rsid w:val="001376D4"/>
    <w:rsid w:val="001376DD"/>
    <w:rsid w:val="0013784B"/>
    <w:rsid w:val="0013786C"/>
    <w:rsid w:val="00137911"/>
    <w:rsid w:val="00137915"/>
    <w:rsid w:val="001379B3"/>
    <w:rsid w:val="001379BA"/>
    <w:rsid w:val="001379CA"/>
    <w:rsid w:val="00137A20"/>
    <w:rsid w:val="00137A81"/>
    <w:rsid w:val="00137A82"/>
    <w:rsid w:val="00137B3A"/>
    <w:rsid w:val="00137B9E"/>
    <w:rsid w:val="00137BA1"/>
    <w:rsid w:val="00137BB2"/>
    <w:rsid w:val="00137C70"/>
    <w:rsid w:val="00137CE7"/>
    <w:rsid w:val="00137CFB"/>
    <w:rsid w:val="00137D2B"/>
    <w:rsid w:val="00137D30"/>
    <w:rsid w:val="00137E03"/>
    <w:rsid w:val="00137F3F"/>
    <w:rsid w:val="00137FBB"/>
    <w:rsid w:val="00137FD3"/>
    <w:rsid w:val="001400EE"/>
    <w:rsid w:val="001400F7"/>
    <w:rsid w:val="00140178"/>
    <w:rsid w:val="001401DB"/>
    <w:rsid w:val="001402EB"/>
    <w:rsid w:val="00140329"/>
    <w:rsid w:val="0014037D"/>
    <w:rsid w:val="001403A2"/>
    <w:rsid w:val="001403C8"/>
    <w:rsid w:val="001404F8"/>
    <w:rsid w:val="0014053E"/>
    <w:rsid w:val="0014058D"/>
    <w:rsid w:val="0014067F"/>
    <w:rsid w:val="00140729"/>
    <w:rsid w:val="0014082D"/>
    <w:rsid w:val="0014089A"/>
    <w:rsid w:val="001408B4"/>
    <w:rsid w:val="00140913"/>
    <w:rsid w:val="00140984"/>
    <w:rsid w:val="00140993"/>
    <w:rsid w:val="00140A34"/>
    <w:rsid w:val="00140A40"/>
    <w:rsid w:val="00140B7C"/>
    <w:rsid w:val="00140BB9"/>
    <w:rsid w:val="00140BD3"/>
    <w:rsid w:val="00140BFD"/>
    <w:rsid w:val="00140C34"/>
    <w:rsid w:val="00140C77"/>
    <w:rsid w:val="00140DCD"/>
    <w:rsid w:val="00140E17"/>
    <w:rsid w:val="0014102E"/>
    <w:rsid w:val="00141171"/>
    <w:rsid w:val="00141176"/>
    <w:rsid w:val="001411A2"/>
    <w:rsid w:val="001411D0"/>
    <w:rsid w:val="001412F4"/>
    <w:rsid w:val="001413F7"/>
    <w:rsid w:val="0014146B"/>
    <w:rsid w:val="00141472"/>
    <w:rsid w:val="0014149D"/>
    <w:rsid w:val="001414F1"/>
    <w:rsid w:val="001415A2"/>
    <w:rsid w:val="001415D7"/>
    <w:rsid w:val="001415F9"/>
    <w:rsid w:val="00141675"/>
    <w:rsid w:val="00141683"/>
    <w:rsid w:val="0014174E"/>
    <w:rsid w:val="00141787"/>
    <w:rsid w:val="00141823"/>
    <w:rsid w:val="0014184D"/>
    <w:rsid w:val="00141856"/>
    <w:rsid w:val="001418BD"/>
    <w:rsid w:val="001418E1"/>
    <w:rsid w:val="0014192C"/>
    <w:rsid w:val="0014195C"/>
    <w:rsid w:val="00141A8A"/>
    <w:rsid w:val="00141CCE"/>
    <w:rsid w:val="00141CEA"/>
    <w:rsid w:val="00141CEE"/>
    <w:rsid w:val="00141D0F"/>
    <w:rsid w:val="00141D46"/>
    <w:rsid w:val="00141EE7"/>
    <w:rsid w:val="00141EFD"/>
    <w:rsid w:val="001420D3"/>
    <w:rsid w:val="00142101"/>
    <w:rsid w:val="0014215E"/>
    <w:rsid w:val="00142215"/>
    <w:rsid w:val="00142223"/>
    <w:rsid w:val="0014222C"/>
    <w:rsid w:val="00142276"/>
    <w:rsid w:val="00142295"/>
    <w:rsid w:val="001422C0"/>
    <w:rsid w:val="001422D5"/>
    <w:rsid w:val="001424B5"/>
    <w:rsid w:val="001424E7"/>
    <w:rsid w:val="00142555"/>
    <w:rsid w:val="001425DA"/>
    <w:rsid w:val="00142678"/>
    <w:rsid w:val="00142787"/>
    <w:rsid w:val="001427C2"/>
    <w:rsid w:val="00142803"/>
    <w:rsid w:val="0014291C"/>
    <w:rsid w:val="0014298A"/>
    <w:rsid w:val="001429F0"/>
    <w:rsid w:val="00142A1F"/>
    <w:rsid w:val="00142B26"/>
    <w:rsid w:val="00142C94"/>
    <w:rsid w:val="00142CD1"/>
    <w:rsid w:val="00142E6F"/>
    <w:rsid w:val="00142E91"/>
    <w:rsid w:val="00142F2A"/>
    <w:rsid w:val="00142F2E"/>
    <w:rsid w:val="00142FAD"/>
    <w:rsid w:val="0014303C"/>
    <w:rsid w:val="001430D6"/>
    <w:rsid w:val="00143195"/>
    <w:rsid w:val="001431C3"/>
    <w:rsid w:val="00143260"/>
    <w:rsid w:val="0014328F"/>
    <w:rsid w:val="00143311"/>
    <w:rsid w:val="0014331A"/>
    <w:rsid w:val="001433AB"/>
    <w:rsid w:val="001433F5"/>
    <w:rsid w:val="00143430"/>
    <w:rsid w:val="001434A5"/>
    <w:rsid w:val="001434CE"/>
    <w:rsid w:val="0014359F"/>
    <w:rsid w:val="0014367D"/>
    <w:rsid w:val="001436CB"/>
    <w:rsid w:val="001436CD"/>
    <w:rsid w:val="00143788"/>
    <w:rsid w:val="0014379A"/>
    <w:rsid w:val="0014379F"/>
    <w:rsid w:val="00143867"/>
    <w:rsid w:val="0014388C"/>
    <w:rsid w:val="001438AB"/>
    <w:rsid w:val="001438B4"/>
    <w:rsid w:val="001439C3"/>
    <w:rsid w:val="00143A29"/>
    <w:rsid w:val="00143A3C"/>
    <w:rsid w:val="00143A60"/>
    <w:rsid w:val="00143BFE"/>
    <w:rsid w:val="00143C5A"/>
    <w:rsid w:val="00143D49"/>
    <w:rsid w:val="00143D98"/>
    <w:rsid w:val="00143E7C"/>
    <w:rsid w:val="00143EEA"/>
    <w:rsid w:val="00143F48"/>
    <w:rsid w:val="00143F52"/>
    <w:rsid w:val="00143F73"/>
    <w:rsid w:val="0014404A"/>
    <w:rsid w:val="00144069"/>
    <w:rsid w:val="001440B9"/>
    <w:rsid w:val="001441DF"/>
    <w:rsid w:val="00144271"/>
    <w:rsid w:val="001443D4"/>
    <w:rsid w:val="001444B6"/>
    <w:rsid w:val="00144565"/>
    <w:rsid w:val="00144574"/>
    <w:rsid w:val="00144586"/>
    <w:rsid w:val="001445AF"/>
    <w:rsid w:val="0014462C"/>
    <w:rsid w:val="00144697"/>
    <w:rsid w:val="001446AA"/>
    <w:rsid w:val="001447A4"/>
    <w:rsid w:val="00144848"/>
    <w:rsid w:val="0014484B"/>
    <w:rsid w:val="001448B8"/>
    <w:rsid w:val="0014498F"/>
    <w:rsid w:val="001449FD"/>
    <w:rsid w:val="00144A6F"/>
    <w:rsid w:val="00144B2C"/>
    <w:rsid w:val="00144BC6"/>
    <w:rsid w:val="00144C9D"/>
    <w:rsid w:val="00144CB0"/>
    <w:rsid w:val="00144D48"/>
    <w:rsid w:val="00144DAA"/>
    <w:rsid w:val="00144DEF"/>
    <w:rsid w:val="00144EE8"/>
    <w:rsid w:val="00144F26"/>
    <w:rsid w:val="0014504C"/>
    <w:rsid w:val="0014505D"/>
    <w:rsid w:val="0014506B"/>
    <w:rsid w:val="00145133"/>
    <w:rsid w:val="00145138"/>
    <w:rsid w:val="0014514A"/>
    <w:rsid w:val="00145290"/>
    <w:rsid w:val="001452A7"/>
    <w:rsid w:val="0014536B"/>
    <w:rsid w:val="0014545D"/>
    <w:rsid w:val="00145482"/>
    <w:rsid w:val="001454BD"/>
    <w:rsid w:val="00145509"/>
    <w:rsid w:val="0014552D"/>
    <w:rsid w:val="00145553"/>
    <w:rsid w:val="00145609"/>
    <w:rsid w:val="0014570C"/>
    <w:rsid w:val="0014572B"/>
    <w:rsid w:val="001457AB"/>
    <w:rsid w:val="0014587A"/>
    <w:rsid w:val="0014589F"/>
    <w:rsid w:val="001458AD"/>
    <w:rsid w:val="00145910"/>
    <w:rsid w:val="00145A80"/>
    <w:rsid w:val="00145AFD"/>
    <w:rsid w:val="00145B19"/>
    <w:rsid w:val="00145BA4"/>
    <w:rsid w:val="00145BBA"/>
    <w:rsid w:val="00145C3F"/>
    <w:rsid w:val="00145C47"/>
    <w:rsid w:val="00145CC4"/>
    <w:rsid w:val="00145D18"/>
    <w:rsid w:val="00145D5B"/>
    <w:rsid w:val="00145D76"/>
    <w:rsid w:val="00145EC8"/>
    <w:rsid w:val="00145F73"/>
    <w:rsid w:val="00146129"/>
    <w:rsid w:val="00146143"/>
    <w:rsid w:val="00146178"/>
    <w:rsid w:val="001461B8"/>
    <w:rsid w:val="00146314"/>
    <w:rsid w:val="0014633B"/>
    <w:rsid w:val="00146358"/>
    <w:rsid w:val="001463E8"/>
    <w:rsid w:val="001463F3"/>
    <w:rsid w:val="00146441"/>
    <w:rsid w:val="0014646F"/>
    <w:rsid w:val="00146550"/>
    <w:rsid w:val="001466CD"/>
    <w:rsid w:val="00146741"/>
    <w:rsid w:val="00146869"/>
    <w:rsid w:val="0014688C"/>
    <w:rsid w:val="0014699E"/>
    <w:rsid w:val="001469CE"/>
    <w:rsid w:val="00146A5A"/>
    <w:rsid w:val="00146A66"/>
    <w:rsid w:val="00146B8F"/>
    <w:rsid w:val="00146BF6"/>
    <w:rsid w:val="00146C3B"/>
    <w:rsid w:val="00146CD2"/>
    <w:rsid w:val="00146CF1"/>
    <w:rsid w:val="00146CFD"/>
    <w:rsid w:val="00146E52"/>
    <w:rsid w:val="00146E66"/>
    <w:rsid w:val="00146E6C"/>
    <w:rsid w:val="00146E90"/>
    <w:rsid w:val="00146E9F"/>
    <w:rsid w:val="00146ED8"/>
    <w:rsid w:val="00146F4D"/>
    <w:rsid w:val="00146FF9"/>
    <w:rsid w:val="00147036"/>
    <w:rsid w:val="00147056"/>
    <w:rsid w:val="0014712F"/>
    <w:rsid w:val="00147152"/>
    <w:rsid w:val="00147154"/>
    <w:rsid w:val="00147240"/>
    <w:rsid w:val="00147253"/>
    <w:rsid w:val="0014734A"/>
    <w:rsid w:val="00147366"/>
    <w:rsid w:val="00147471"/>
    <w:rsid w:val="00147505"/>
    <w:rsid w:val="00147531"/>
    <w:rsid w:val="00147537"/>
    <w:rsid w:val="00147640"/>
    <w:rsid w:val="00147713"/>
    <w:rsid w:val="0014775C"/>
    <w:rsid w:val="00147848"/>
    <w:rsid w:val="00147857"/>
    <w:rsid w:val="00147A82"/>
    <w:rsid w:val="00147A9C"/>
    <w:rsid w:val="00147ADF"/>
    <w:rsid w:val="00147AE7"/>
    <w:rsid w:val="00147AF2"/>
    <w:rsid w:val="00147B11"/>
    <w:rsid w:val="00147C0F"/>
    <w:rsid w:val="00147C51"/>
    <w:rsid w:val="00147C6C"/>
    <w:rsid w:val="00147C9A"/>
    <w:rsid w:val="00147DC6"/>
    <w:rsid w:val="00147DED"/>
    <w:rsid w:val="00147E56"/>
    <w:rsid w:val="00147E75"/>
    <w:rsid w:val="00147F6D"/>
    <w:rsid w:val="00147FD1"/>
    <w:rsid w:val="00150047"/>
    <w:rsid w:val="0015015D"/>
    <w:rsid w:val="0015015E"/>
    <w:rsid w:val="0015021A"/>
    <w:rsid w:val="00150223"/>
    <w:rsid w:val="001502A2"/>
    <w:rsid w:val="00150380"/>
    <w:rsid w:val="00150383"/>
    <w:rsid w:val="001503D4"/>
    <w:rsid w:val="00150466"/>
    <w:rsid w:val="00150473"/>
    <w:rsid w:val="0015049B"/>
    <w:rsid w:val="0015055D"/>
    <w:rsid w:val="001506B2"/>
    <w:rsid w:val="001506EE"/>
    <w:rsid w:val="0015081D"/>
    <w:rsid w:val="0015088A"/>
    <w:rsid w:val="001508E6"/>
    <w:rsid w:val="00150967"/>
    <w:rsid w:val="00150A28"/>
    <w:rsid w:val="00150A98"/>
    <w:rsid w:val="00150AE9"/>
    <w:rsid w:val="00150B41"/>
    <w:rsid w:val="00150BBF"/>
    <w:rsid w:val="00150BFD"/>
    <w:rsid w:val="00150DF6"/>
    <w:rsid w:val="001510E1"/>
    <w:rsid w:val="00151116"/>
    <w:rsid w:val="0015118D"/>
    <w:rsid w:val="001511D7"/>
    <w:rsid w:val="001512D2"/>
    <w:rsid w:val="0015132E"/>
    <w:rsid w:val="00151397"/>
    <w:rsid w:val="0015148B"/>
    <w:rsid w:val="001514C3"/>
    <w:rsid w:val="001515F5"/>
    <w:rsid w:val="00151641"/>
    <w:rsid w:val="0015175D"/>
    <w:rsid w:val="00151789"/>
    <w:rsid w:val="0015180F"/>
    <w:rsid w:val="00151826"/>
    <w:rsid w:val="0015184A"/>
    <w:rsid w:val="00151935"/>
    <w:rsid w:val="00151946"/>
    <w:rsid w:val="001519BD"/>
    <w:rsid w:val="001519D6"/>
    <w:rsid w:val="00151A3E"/>
    <w:rsid w:val="00151CCA"/>
    <w:rsid w:val="00151CF4"/>
    <w:rsid w:val="00151D04"/>
    <w:rsid w:val="00151DFF"/>
    <w:rsid w:val="00151E85"/>
    <w:rsid w:val="00151EE4"/>
    <w:rsid w:val="00151F32"/>
    <w:rsid w:val="0015207D"/>
    <w:rsid w:val="00152090"/>
    <w:rsid w:val="001520F1"/>
    <w:rsid w:val="0015210B"/>
    <w:rsid w:val="0015213A"/>
    <w:rsid w:val="00152228"/>
    <w:rsid w:val="00152243"/>
    <w:rsid w:val="001522E0"/>
    <w:rsid w:val="0015239A"/>
    <w:rsid w:val="001523B2"/>
    <w:rsid w:val="0015241D"/>
    <w:rsid w:val="001525CF"/>
    <w:rsid w:val="001525E7"/>
    <w:rsid w:val="001526F5"/>
    <w:rsid w:val="00152716"/>
    <w:rsid w:val="00152766"/>
    <w:rsid w:val="00152802"/>
    <w:rsid w:val="0015280B"/>
    <w:rsid w:val="0015281D"/>
    <w:rsid w:val="00152853"/>
    <w:rsid w:val="001528F0"/>
    <w:rsid w:val="001528F8"/>
    <w:rsid w:val="00152A21"/>
    <w:rsid w:val="00152A2B"/>
    <w:rsid w:val="00152A3A"/>
    <w:rsid w:val="00152A45"/>
    <w:rsid w:val="00152A4B"/>
    <w:rsid w:val="00152A8B"/>
    <w:rsid w:val="00152AD5"/>
    <w:rsid w:val="00152ADA"/>
    <w:rsid w:val="00152AE9"/>
    <w:rsid w:val="00152B29"/>
    <w:rsid w:val="00152D25"/>
    <w:rsid w:val="00152D4C"/>
    <w:rsid w:val="00152DAC"/>
    <w:rsid w:val="00153037"/>
    <w:rsid w:val="00153047"/>
    <w:rsid w:val="0015308E"/>
    <w:rsid w:val="00153098"/>
    <w:rsid w:val="0015318B"/>
    <w:rsid w:val="001531A8"/>
    <w:rsid w:val="001531D6"/>
    <w:rsid w:val="001533AF"/>
    <w:rsid w:val="001533CB"/>
    <w:rsid w:val="0015347D"/>
    <w:rsid w:val="001534F0"/>
    <w:rsid w:val="00153542"/>
    <w:rsid w:val="00153841"/>
    <w:rsid w:val="0015384E"/>
    <w:rsid w:val="00153951"/>
    <w:rsid w:val="001539E0"/>
    <w:rsid w:val="00153A32"/>
    <w:rsid w:val="00153A39"/>
    <w:rsid w:val="00153AD0"/>
    <w:rsid w:val="00153BEB"/>
    <w:rsid w:val="00153C44"/>
    <w:rsid w:val="00153C58"/>
    <w:rsid w:val="00153CAE"/>
    <w:rsid w:val="00153D6B"/>
    <w:rsid w:val="00153F3E"/>
    <w:rsid w:val="0015401C"/>
    <w:rsid w:val="0015402C"/>
    <w:rsid w:val="00154058"/>
    <w:rsid w:val="00154090"/>
    <w:rsid w:val="0015409B"/>
    <w:rsid w:val="001540A8"/>
    <w:rsid w:val="00154221"/>
    <w:rsid w:val="0015425D"/>
    <w:rsid w:val="00154380"/>
    <w:rsid w:val="001543B3"/>
    <w:rsid w:val="001543F7"/>
    <w:rsid w:val="0015441F"/>
    <w:rsid w:val="00154482"/>
    <w:rsid w:val="001544FB"/>
    <w:rsid w:val="0015451D"/>
    <w:rsid w:val="0015455E"/>
    <w:rsid w:val="00154591"/>
    <w:rsid w:val="00154594"/>
    <w:rsid w:val="001545E1"/>
    <w:rsid w:val="001546CE"/>
    <w:rsid w:val="00154714"/>
    <w:rsid w:val="001547B7"/>
    <w:rsid w:val="001547E8"/>
    <w:rsid w:val="00154893"/>
    <w:rsid w:val="001548A8"/>
    <w:rsid w:val="001548B3"/>
    <w:rsid w:val="00154901"/>
    <w:rsid w:val="0015495C"/>
    <w:rsid w:val="001549F0"/>
    <w:rsid w:val="00154B0D"/>
    <w:rsid w:val="00154B2B"/>
    <w:rsid w:val="00154B97"/>
    <w:rsid w:val="00154CC7"/>
    <w:rsid w:val="00154CD1"/>
    <w:rsid w:val="00154DC2"/>
    <w:rsid w:val="00154E75"/>
    <w:rsid w:val="00154EB1"/>
    <w:rsid w:val="00154EF6"/>
    <w:rsid w:val="00154F18"/>
    <w:rsid w:val="00154F3A"/>
    <w:rsid w:val="00154FB6"/>
    <w:rsid w:val="00155022"/>
    <w:rsid w:val="00155082"/>
    <w:rsid w:val="00155087"/>
    <w:rsid w:val="001550D5"/>
    <w:rsid w:val="00155161"/>
    <w:rsid w:val="00155186"/>
    <w:rsid w:val="001551A1"/>
    <w:rsid w:val="001551B2"/>
    <w:rsid w:val="001551BD"/>
    <w:rsid w:val="0015521A"/>
    <w:rsid w:val="00155248"/>
    <w:rsid w:val="001553B1"/>
    <w:rsid w:val="001553B3"/>
    <w:rsid w:val="00155541"/>
    <w:rsid w:val="0015559A"/>
    <w:rsid w:val="001555E9"/>
    <w:rsid w:val="00155669"/>
    <w:rsid w:val="0015567B"/>
    <w:rsid w:val="001556CF"/>
    <w:rsid w:val="00155741"/>
    <w:rsid w:val="0015575C"/>
    <w:rsid w:val="00155785"/>
    <w:rsid w:val="001557ED"/>
    <w:rsid w:val="001557F3"/>
    <w:rsid w:val="00155804"/>
    <w:rsid w:val="00155819"/>
    <w:rsid w:val="00155830"/>
    <w:rsid w:val="0015584A"/>
    <w:rsid w:val="0015594F"/>
    <w:rsid w:val="00155959"/>
    <w:rsid w:val="001559DD"/>
    <w:rsid w:val="00155A33"/>
    <w:rsid w:val="00155A3B"/>
    <w:rsid w:val="00155A57"/>
    <w:rsid w:val="00155A86"/>
    <w:rsid w:val="00155AA2"/>
    <w:rsid w:val="00155B3F"/>
    <w:rsid w:val="00155BB1"/>
    <w:rsid w:val="00155BBD"/>
    <w:rsid w:val="00155C6F"/>
    <w:rsid w:val="00155CAF"/>
    <w:rsid w:val="00155D0E"/>
    <w:rsid w:val="00155D6C"/>
    <w:rsid w:val="00155DEA"/>
    <w:rsid w:val="00155E2B"/>
    <w:rsid w:val="00155E4D"/>
    <w:rsid w:val="00155E77"/>
    <w:rsid w:val="00155EF0"/>
    <w:rsid w:val="00155F59"/>
    <w:rsid w:val="00155FB3"/>
    <w:rsid w:val="00156098"/>
    <w:rsid w:val="001560D4"/>
    <w:rsid w:val="00156127"/>
    <w:rsid w:val="00156150"/>
    <w:rsid w:val="00156158"/>
    <w:rsid w:val="0015616A"/>
    <w:rsid w:val="0015619E"/>
    <w:rsid w:val="001561C0"/>
    <w:rsid w:val="001561DB"/>
    <w:rsid w:val="00156226"/>
    <w:rsid w:val="0015625A"/>
    <w:rsid w:val="001562F1"/>
    <w:rsid w:val="00156313"/>
    <w:rsid w:val="00156351"/>
    <w:rsid w:val="00156385"/>
    <w:rsid w:val="0015641F"/>
    <w:rsid w:val="00156514"/>
    <w:rsid w:val="00156524"/>
    <w:rsid w:val="00156649"/>
    <w:rsid w:val="00156672"/>
    <w:rsid w:val="001566EE"/>
    <w:rsid w:val="001566FB"/>
    <w:rsid w:val="0015673A"/>
    <w:rsid w:val="00156790"/>
    <w:rsid w:val="001567BE"/>
    <w:rsid w:val="0015688E"/>
    <w:rsid w:val="001568F4"/>
    <w:rsid w:val="0015694A"/>
    <w:rsid w:val="0015696C"/>
    <w:rsid w:val="00156AC5"/>
    <w:rsid w:val="00156B0E"/>
    <w:rsid w:val="00156B84"/>
    <w:rsid w:val="00156BBD"/>
    <w:rsid w:val="00156C80"/>
    <w:rsid w:val="00156CC3"/>
    <w:rsid w:val="00156CED"/>
    <w:rsid w:val="00156CF3"/>
    <w:rsid w:val="00156CFD"/>
    <w:rsid w:val="00156D46"/>
    <w:rsid w:val="00156D4B"/>
    <w:rsid w:val="00156D4C"/>
    <w:rsid w:val="00156D9E"/>
    <w:rsid w:val="00156DEF"/>
    <w:rsid w:val="00156E44"/>
    <w:rsid w:val="00156ECE"/>
    <w:rsid w:val="00156F0D"/>
    <w:rsid w:val="00157015"/>
    <w:rsid w:val="0015702E"/>
    <w:rsid w:val="001570F7"/>
    <w:rsid w:val="001572A1"/>
    <w:rsid w:val="001573A9"/>
    <w:rsid w:val="001573AE"/>
    <w:rsid w:val="001573CE"/>
    <w:rsid w:val="001573EC"/>
    <w:rsid w:val="00157489"/>
    <w:rsid w:val="001576A0"/>
    <w:rsid w:val="001576C3"/>
    <w:rsid w:val="001577A3"/>
    <w:rsid w:val="001577EE"/>
    <w:rsid w:val="001577F7"/>
    <w:rsid w:val="00157996"/>
    <w:rsid w:val="00157A65"/>
    <w:rsid w:val="00157A87"/>
    <w:rsid w:val="00157AB3"/>
    <w:rsid w:val="00157C5F"/>
    <w:rsid w:val="00157C79"/>
    <w:rsid w:val="00157CB3"/>
    <w:rsid w:val="00157D1D"/>
    <w:rsid w:val="00157D2E"/>
    <w:rsid w:val="00157DAE"/>
    <w:rsid w:val="00157DB4"/>
    <w:rsid w:val="00157DDE"/>
    <w:rsid w:val="00157E8A"/>
    <w:rsid w:val="001600AB"/>
    <w:rsid w:val="001600D3"/>
    <w:rsid w:val="00160168"/>
    <w:rsid w:val="001601C9"/>
    <w:rsid w:val="0016023F"/>
    <w:rsid w:val="001602F5"/>
    <w:rsid w:val="00160383"/>
    <w:rsid w:val="001603A7"/>
    <w:rsid w:val="001603E9"/>
    <w:rsid w:val="00160461"/>
    <w:rsid w:val="0016047E"/>
    <w:rsid w:val="001604A2"/>
    <w:rsid w:val="00160600"/>
    <w:rsid w:val="0016060C"/>
    <w:rsid w:val="0016063A"/>
    <w:rsid w:val="0016063D"/>
    <w:rsid w:val="001606AB"/>
    <w:rsid w:val="001606DE"/>
    <w:rsid w:val="001607D5"/>
    <w:rsid w:val="001607EE"/>
    <w:rsid w:val="00160848"/>
    <w:rsid w:val="00160927"/>
    <w:rsid w:val="001609AE"/>
    <w:rsid w:val="001609FE"/>
    <w:rsid w:val="00160C56"/>
    <w:rsid w:val="00160D57"/>
    <w:rsid w:val="00160D71"/>
    <w:rsid w:val="00160DA2"/>
    <w:rsid w:val="00160E0C"/>
    <w:rsid w:val="00160E26"/>
    <w:rsid w:val="00160E92"/>
    <w:rsid w:val="00160F48"/>
    <w:rsid w:val="00161031"/>
    <w:rsid w:val="00161079"/>
    <w:rsid w:val="00161119"/>
    <w:rsid w:val="0016120D"/>
    <w:rsid w:val="001612BC"/>
    <w:rsid w:val="001612CF"/>
    <w:rsid w:val="00161352"/>
    <w:rsid w:val="00161391"/>
    <w:rsid w:val="00161411"/>
    <w:rsid w:val="00161453"/>
    <w:rsid w:val="00161496"/>
    <w:rsid w:val="001614D4"/>
    <w:rsid w:val="00161502"/>
    <w:rsid w:val="00161587"/>
    <w:rsid w:val="00161641"/>
    <w:rsid w:val="00161678"/>
    <w:rsid w:val="00161713"/>
    <w:rsid w:val="0016175F"/>
    <w:rsid w:val="00161847"/>
    <w:rsid w:val="0016189E"/>
    <w:rsid w:val="00161900"/>
    <w:rsid w:val="0016196E"/>
    <w:rsid w:val="001619C8"/>
    <w:rsid w:val="00161A0B"/>
    <w:rsid w:val="00161A3C"/>
    <w:rsid w:val="00161A79"/>
    <w:rsid w:val="00161AA8"/>
    <w:rsid w:val="00161B73"/>
    <w:rsid w:val="00161BC3"/>
    <w:rsid w:val="00161C5F"/>
    <w:rsid w:val="00161DD7"/>
    <w:rsid w:val="00161F4A"/>
    <w:rsid w:val="00161F99"/>
    <w:rsid w:val="0016200D"/>
    <w:rsid w:val="00162081"/>
    <w:rsid w:val="001620E9"/>
    <w:rsid w:val="0016223B"/>
    <w:rsid w:val="00162296"/>
    <w:rsid w:val="001622FB"/>
    <w:rsid w:val="00162386"/>
    <w:rsid w:val="001623FE"/>
    <w:rsid w:val="0016241C"/>
    <w:rsid w:val="0016243B"/>
    <w:rsid w:val="00162497"/>
    <w:rsid w:val="00162765"/>
    <w:rsid w:val="00162769"/>
    <w:rsid w:val="001627F2"/>
    <w:rsid w:val="00162882"/>
    <w:rsid w:val="00162883"/>
    <w:rsid w:val="00162937"/>
    <w:rsid w:val="001629E5"/>
    <w:rsid w:val="001629FD"/>
    <w:rsid w:val="00162AF0"/>
    <w:rsid w:val="00162B63"/>
    <w:rsid w:val="00162B96"/>
    <w:rsid w:val="00162C8B"/>
    <w:rsid w:val="00162C92"/>
    <w:rsid w:val="00162D01"/>
    <w:rsid w:val="00162E02"/>
    <w:rsid w:val="00162ED2"/>
    <w:rsid w:val="00163061"/>
    <w:rsid w:val="001630F8"/>
    <w:rsid w:val="0016314E"/>
    <w:rsid w:val="0016320C"/>
    <w:rsid w:val="0016320D"/>
    <w:rsid w:val="00163312"/>
    <w:rsid w:val="00163411"/>
    <w:rsid w:val="00163483"/>
    <w:rsid w:val="001634EB"/>
    <w:rsid w:val="001634F4"/>
    <w:rsid w:val="00163502"/>
    <w:rsid w:val="00163558"/>
    <w:rsid w:val="00163564"/>
    <w:rsid w:val="0016357D"/>
    <w:rsid w:val="00163701"/>
    <w:rsid w:val="00163829"/>
    <w:rsid w:val="001638A8"/>
    <w:rsid w:val="001638FD"/>
    <w:rsid w:val="0016391D"/>
    <w:rsid w:val="001639B5"/>
    <w:rsid w:val="001639BB"/>
    <w:rsid w:val="001639C0"/>
    <w:rsid w:val="001639F4"/>
    <w:rsid w:val="001639F6"/>
    <w:rsid w:val="00163A4B"/>
    <w:rsid w:val="00163A63"/>
    <w:rsid w:val="00163AE6"/>
    <w:rsid w:val="00163B96"/>
    <w:rsid w:val="00163BC0"/>
    <w:rsid w:val="00163BFE"/>
    <w:rsid w:val="00163C0C"/>
    <w:rsid w:val="00163C44"/>
    <w:rsid w:val="00163C93"/>
    <w:rsid w:val="00163C99"/>
    <w:rsid w:val="00163CF5"/>
    <w:rsid w:val="00163D71"/>
    <w:rsid w:val="00163D77"/>
    <w:rsid w:val="00163E17"/>
    <w:rsid w:val="00163E86"/>
    <w:rsid w:val="00163EA0"/>
    <w:rsid w:val="00163F24"/>
    <w:rsid w:val="00163F7D"/>
    <w:rsid w:val="00164069"/>
    <w:rsid w:val="001640DD"/>
    <w:rsid w:val="0016410F"/>
    <w:rsid w:val="0016416F"/>
    <w:rsid w:val="00164205"/>
    <w:rsid w:val="0016421F"/>
    <w:rsid w:val="001642F2"/>
    <w:rsid w:val="00164464"/>
    <w:rsid w:val="0016446B"/>
    <w:rsid w:val="00164508"/>
    <w:rsid w:val="0016462B"/>
    <w:rsid w:val="001646AD"/>
    <w:rsid w:val="001646B2"/>
    <w:rsid w:val="001648DB"/>
    <w:rsid w:val="00164A2C"/>
    <w:rsid w:val="00164AE2"/>
    <w:rsid w:val="00164AE5"/>
    <w:rsid w:val="00164B2B"/>
    <w:rsid w:val="00164BD9"/>
    <w:rsid w:val="00164C79"/>
    <w:rsid w:val="00164CBB"/>
    <w:rsid w:val="00164CDE"/>
    <w:rsid w:val="00164D3B"/>
    <w:rsid w:val="00164D61"/>
    <w:rsid w:val="00164DEB"/>
    <w:rsid w:val="00164DED"/>
    <w:rsid w:val="00164E83"/>
    <w:rsid w:val="00164EB5"/>
    <w:rsid w:val="00165170"/>
    <w:rsid w:val="0016518E"/>
    <w:rsid w:val="001651DA"/>
    <w:rsid w:val="001652D2"/>
    <w:rsid w:val="00165380"/>
    <w:rsid w:val="001653C7"/>
    <w:rsid w:val="001654E6"/>
    <w:rsid w:val="001654FC"/>
    <w:rsid w:val="00165512"/>
    <w:rsid w:val="00165525"/>
    <w:rsid w:val="00165529"/>
    <w:rsid w:val="00165552"/>
    <w:rsid w:val="00165572"/>
    <w:rsid w:val="00165662"/>
    <w:rsid w:val="001656AB"/>
    <w:rsid w:val="001656B4"/>
    <w:rsid w:val="001656E6"/>
    <w:rsid w:val="0016572F"/>
    <w:rsid w:val="001657A4"/>
    <w:rsid w:val="001657EB"/>
    <w:rsid w:val="00165807"/>
    <w:rsid w:val="00165881"/>
    <w:rsid w:val="00165967"/>
    <w:rsid w:val="00165B7C"/>
    <w:rsid w:val="00165B7D"/>
    <w:rsid w:val="00165BF3"/>
    <w:rsid w:val="00165C3D"/>
    <w:rsid w:val="00165C82"/>
    <w:rsid w:val="00165C8D"/>
    <w:rsid w:val="00165D2F"/>
    <w:rsid w:val="00165DC9"/>
    <w:rsid w:val="00165DDF"/>
    <w:rsid w:val="00165E7D"/>
    <w:rsid w:val="00165ED7"/>
    <w:rsid w:val="00165F1A"/>
    <w:rsid w:val="00165F38"/>
    <w:rsid w:val="00165F8E"/>
    <w:rsid w:val="00165FD4"/>
    <w:rsid w:val="00166063"/>
    <w:rsid w:val="00166133"/>
    <w:rsid w:val="00166151"/>
    <w:rsid w:val="001661E8"/>
    <w:rsid w:val="001662D8"/>
    <w:rsid w:val="001662EF"/>
    <w:rsid w:val="0016633D"/>
    <w:rsid w:val="001663F9"/>
    <w:rsid w:val="0016641D"/>
    <w:rsid w:val="00166568"/>
    <w:rsid w:val="001665B4"/>
    <w:rsid w:val="001665DB"/>
    <w:rsid w:val="001665E4"/>
    <w:rsid w:val="001665EF"/>
    <w:rsid w:val="001666CA"/>
    <w:rsid w:val="001666D9"/>
    <w:rsid w:val="001666E5"/>
    <w:rsid w:val="00166880"/>
    <w:rsid w:val="00166957"/>
    <w:rsid w:val="00166973"/>
    <w:rsid w:val="001669A3"/>
    <w:rsid w:val="00166A02"/>
    <w:rsid w:val="00166AF2"/>
    <w:rsid w:val="00166B1E"/>
    <w:rsid w:val="00166B4A"/>
    <w:rsid w:val="00166B7D"/>
    <w:rsid w:val="00166C7E"/>
    <w:rsid w:val="00166FC8"/>
    <w:rsid w:val="0016710A"/>
    <w:rsid w:val="0016711E"/>
    <w:rsid w:val="00167129"/>
    <w:rsid w:val="00167194"/>
    <w:rsid w:val="00167241"/>
    <w:rsid w:val="0016729A"/>
    <w:rsid w:val="0016739E"/>
    <w:rsid w:val="00167405"/>
    <w:rsid w:val="00167414"/>
    <w:rsid w:val="00167475"/>
    <w:rsid w:val="00167667"/>
    <w:rsid w:val="0016767A"/>
    <w:rsid w:val="0016768F"/>
    <w:rsid w:val="001676EA"/>
    <w:rsid w:val="00167745"/>
    <w:rsid w:val="00167764"/>
    <w:rsid w:val="001677FF"/>
    <w:rsid w:val="0016780F"/>
    <w:rsid w:val="00167825"/>
    <w:rsid w:val="001678C2"/>
    <w:rsid w:val="001678D7"/>
    <w:rsid w:val="00167925"/>
    <w:rsid w:val="001679D3"/>
    <w:rsid w:val="00167ABB"/>
    <w:rsid w:val="00167B06"/>
    <w:rsid w:val="00167B17"/>
    <w:rsid w:val="00167B2E"/>
    <w:rsid w:val="00167BD8"/>
    <w:rsid w:val="00167BEA"/>
    <w:rsid w:val="00167CC5"/>
    <w:rsid w:val="00167D32"/>
    <w:rsid w:val="00167E39"/>
    <w:rsid w:val="00167E91"/>
    <w:rsid w:val="00167FC6"/>
    <w:rsid w:val="00167FCA"/>
    <w:rsid w:val="00167FDB"/>
    <w:rsid w:val="00167FE9"/>
    <w:rsid w:val="0017002A"/>
    <w:rsid w:val="001702BE"/>
    <w:rsid w:val="0017030F"/>
    <w:rsid w:val="00170426"/>
    <w:rsid w:val="001704E4"/>
    <w:rsid w:val="001704F2"/>
    <w:rsid w:val="001704FF"/>
    <w:rsid w:val="001705EE"/>
    <w:rsid w:val="001705F2"/>
    <w:rsid w:val="00170667"/>
    <w:rsid w:val="00170701"/>
    <w:rsid w:val="0017070D"/>
    <w:rsid w:val="00170781"/>
    <w:rsid w:val="001707B4"/>
    <w:rsid w:val="001707F6"/>
    <w:rsid w:val="001708AB"/>
    <w:rsid w:val="00170909"/>
    <w:rsid w:val="00170A16"/>
    <w:rsid w:val="00170A62"/>
    <w:rsid w:val="00170A97"/>
    <w:rsid w:val="00170B34"/>
    <w:rsid w:val="00170BE2"/>
    <w:rsid w:val="00170C5E"/>
    <w:rsid w:val="00170C85"/>
    <w:rsid w:val="00170DA5"/>
    <w:rsid w:val="00170DE7"/>
    <w:rsid w:val="00170E21"/>
    <w:rsid w:val="00170E59"/>
    <w:rsid w:val="00170F30"/>
    <w:rsid w:val="00170F5C"/>
    <w:rsid w:val="00170F65"/>
    <w:rsid w:val="00171025"/>
    <w:rsid w:val="00171050"/>
    <w:rsid w:val="00171112"/>
    <w:rsid w:val="0017113D"/>
    <w:rsid w:val="00171170"/>
    <w:rsid w:val="00171256"/>
    <w:rsid w:val="0017135C"/>
    <w:rsid w:val="0017141F"/>
    <w:rsid w:val="00171427"/>
    <w:rsid w:val="00171487"/>
    <w:rsid w:val="00171544"/>
    <w:rsid w:val="001715AB"/>
    <w:rsid w:val="00171632"/>
    <w:rsid w:val="0017171B"/>
    <w:rsid w:val="00171752"/>
    <w:rsid w:val="00171803"/>
    <w:rsid w:val="00171846"/>
    <w:rsid w:val="001718B8"/>
    <w:rsid w:val="001718DC"/>
    <w:rsid w:val="00171917"/>
    <w:rsid w:val="00171A3E"/>
    <w:rsid w:val="00171A89"/>
    <w:rsid w:val="00171AFF"/>
    <w:rsid w:val="00171B23"/>
    <w:rsid w:val="00171B54"/>
    <w:rsid w:val="00171BE7"/>
    <w:rsid w:val="00171BF8"/>
    <w:rsid w:val="00171D0D"/>
    <w:rsid w:val="00171D70"/>
    <w:rsid w:val="00171D8B"/>
    <w:rsid w:val="00171DA2"/>
    <w:rsid w:val="00171DB1"/>
    <w:rsid w:val="00171E11"/>
    <w:rsid w:val="00171E52"/>
    <w:rsid w:val="00171ED3"/>
    <w:rsid w:val="00171F2C"/>
    <w:rsid w:val="0017202B"/>
    <w:rsid w:val="0017205E"/>
    <w:rsid w:val="0017206D"/>
    <w:rsid w:val="001720A3"/>
    <w:rsid w:val="00172114"/>
    <w:rsid w:val="0017212B"/>
    <w:rsid w:val="0017233F"/>
    <w:rsid w:val="001726E2"/>
    <w:rsid w:val="001727BD"/>
    <w:rsid w:val="001727FB"/>
    <w:rsid w:val="00172806"/>
    <w:rsid w:val="00172826"/>
    <w:rsid w:val="001728D8"/>
    <w:rsid w:val="001728FD"/>
    <w:rsid w:val="00172A0E"/>
    <w:rsid w:val="00172B49"/>
    <w:rsid w:val="00172B55"/>
    <w:rsid w:val="00172BC9"/>
    <w:rsid w:val="00172BF9"/>
    <w:rsid w:val="00172C43"/>
    <w:rsid w:val="00172CE3"/>
    <w:rsid w:val="00172D76"/>
    <w:rsid w:val="00172DEE"/>
    <w:rsid w:val="00172E8B"/>
    <w:rsid w:val="00172F58"/>
    <w:rsid w:val="00172F99"/>
    <w:rsid w:val="00172FDA"/>
    <w:rsid w:val="00172FDD"/>
    <w:rsid w:val="0017300E"/>
    <w:rsid w:val="00173020"/>
    <w:rsid w:val="0017305F"/>
    <w:rsid w:val="0017307A"/>
    <w:rsid w:val="001731C6"/>
    <w:rsid w:val="00173220"/>
    <w:rsid w:val="00173275"/>
    <w:rsid w:val="001732F0"/>
    <w:rsid w:val="0017333B"/>
    <w:rsid w:val="00173558"/>
    <w:rsid w:val="0017356F"/>
    <w:rsid w:val="001735B9"/>
    <w:rsid w:val="0017362C"/>
    <w:rsid w:val="00173698"/>
    <w:rsid w:val="001736D1"/>
    <w:rsid w:val="001736DC"/>
    <w:rsid w:val="00173774"/>
    <w:rsid w:val="001737E1"/>
    <w:rsid w:val="00173804"/>
    <w:rsid w:val="00173866"/>
    <w:rsid w:val="001738BA"/>
    <w:rsid w:val="001739DD"/>
    <w:rsid w:val="001739E8"/>
    <w:rsid w:val="00173A67"/>
    <w:rsid w:val="00173B5D"/>
    <w:rsid w:val="00173BF2"/>
    <w:rsid w:val="00173C50"/>
    <w:rsid w:val="00173C6E"/>
    <w:rsid w:val="00173C73"/>
    <w:rsid w:val="00173D3F"/>
    <w:rsid w:val="00173DBF"/>
    <w:rsid w:val="00173DDB"/>
    <w:rsid w:val="00173DEE"/>
    <w:rsid w:val="00173E30"/>
    <w:rsid w:val="00173EA0"/>
    <w:rsid w:val="00173F71"/>
    <w:rsid w:val="00173F8C"/>
    <w:rsid w:val="00173F8D"/>
    <w:rsid w:val="00174049"/>
    <w:rsid w:val="00174050"/>
    <w:rsid w:val="00174179"/>
    <w:rsid w:val="00174260"/>
    <w:rsid w:val="0017433D"/>
    <w:rsid w:val="0017435B"/>
    <w:rsid w:val="00174383"/>
    <w:rsid w:val="001743E7"/>
    <w:rsid w:val="00174464"/>
    <w:rsid w:val="001744CB"/>
    <w:rsid w:val="00174533"/>
    <w:rsid w:val="0017456C"/>
    <w:rsid w:val="00174581"/>
    <w:rsid w:val="00174619"/>
    <w:rsid w:val="0017473D"/>
    <w:rsid w:val="001747CC"/>
    <w:rsid w:val="00174807"/>
    <w:rsid w:val="0017480B"/>
    <w:rsid w:val="001748D8"/>
    <w:rsid w:val="00174AEA"/>
    <w:rsid w:val="00174BBC"/>
    <w:rsid w:val="00174C26"/>
    <w:rsid w:val="00174C28"/>
    <w:rsid w:val="00174CD3"/>
    <w:rsid w:val="00174D64"/>
    <w:rsid w:val="00174D79"/>
    <w:rsid w:val="00174E16"/>
    <w:rsid w:val="00174E54"/>
    <w:rsid w:val="00174EFD"/>
    <w:rsid w:val="00174F5A"/>
    <w:rsid w:val="0017508D"/>
    <w:rsid w:val="00175103"/>
    <w:rsid w:val="00175143"/>
    <w:rsid w:val="00175230"/>
    <w:rsid w:val="001753C6"/>
    <w:rsid w:val="001755C2"/>
    <w:rsid w:val="001755E1"/>
    <w:rsid w:val="0017562C"/>
    <w:rsid w:val="00175673"/>
    <w:rsid w:val="00175688"/>
    <w:rsid w:val="001756CE"/>
    <w:rsid w:val="00175787"/>
    <w:rsid w:val="00175831"/>
    <w:rsid w:val="001758C4"/>
    <w:rsid w:val="00175923"/>
    <w:rsid w:val="00175A45"/>
    <w:rsid w:val="00175AC5"/>
    <w:rsid w:val="00175CAE"/>
    <w:rsid w:val="00175CCD"/>
    <w:rsid w:val="00175D46"/>
    <w:rsid w:val="00175D73"/>
    <w:rsid w:val="00175DDD"/>
    <w:rsid w:val="00175EB5"/>
    <w:rsid w:val="00175ECD"/>
    <w:rsid w:val="00175FED"/>
    <w:rsid w:val="00176007"/>
    <w:rsid w:val="00176015"/>
    <w:rsid w:val="001760DA"/>
    <w:rsid w:val="0017611F"/>
    <w:rsid w:val="0017622B"/>
    <w:rsid w:val="001762E6"/>
    <w:rsid w:val="00176308"/>
    <w:rsid w:val="001764B9"/>
    <w:rsid w:val="00176630"/>
    <w:rsid w:val="00176657"/>
    <w:rsid w:val="001766E2"/>
    <w:rsid w:val="0017678D"/>
    <w:rsid w:val="001767A6"/>
    <w:rsid w:val="0017682D"/>
    <w:rsid w:val="00176846"/>
    <w:rsid w:val="001768CF"/>
    <w:rsid w:val="0017692E"/>
    <w:rsid w:val="00176A0C"/>
    <w:rsid w:val="00176AA5"/>
    <w:rsid w:val="00176B69"/>
    <w:rsid w:val="00176BE7"/>
    <w:rsid w:val="00176C2C"/>
    <w:rsid w:val="00176C55"/>
    <w:rsid w:val="00176CC2"/>
    <w:rsid w:val="00176CE8"/>
    <w:rsid w:val="00176D03"/>
    <w:rsid w:val="00176DA2"/>
    <w:rsid w:val="00176DE8"/>
    <w:rsid w:val="00176E2F"/>
    <w:rsid w:val="00176E52"/>
    <w:rsid w:val="00176EB8"/>
    <w:rsid w:val="00176ED5"/>
    <w:rsid w:val="00176F25"/>
    <w:rsid w:val="00176F36"/>
    <w:rsid w:val="00176F47"/>
    <w:rsid w:val="00176F5D"/>
    <w:rsid w:val="00176FA3"/>
    <w:rsid w:val="00176FFF"/>
    <w:rsid w:val="00177049"/>
    <w:rsid w:val="0017713F"/>
    <w:rsid w:val="00177140"/>
    <w:rsid w:val="001771AA"/>
    <w:rsid w:val="001771CD"/>
    <w:rsid w:val="001771E6"/>
    <w:rsid w:val="001771F9"/>
    <w:rsid w:val="001771FF"/>
    <w:rsid w:val="00177209"/>
    <w:rsid w:val="001772E1"/>
    <w:rsid w:val="00177367"/>
    <w:rsid w:val="0017739C"/>
    <w:rsid w:val="0017742C"/>
    <w:rsid w:val="0017750A"/>
    <w:rsid w:val="00177570"/>
    <w:rsid w:val="001776B2"/>
    <w:rsid w:val="00177745"/>
    <w:rsid w:val="001777AC"/>
    <w:rsid w:val="001777E3"/>
    <w:rsid w:val="0017784E"/>
    <w:rsid w:val="001778F5"/>
    <w:rsid w:val="00177945"/>
    <w:rsid w:val="001779CB"/>
    <w:rsid w:val="00177A0A"/>
    <w:rsid w:val="00177A51"/>
    <w:rsid w:val="00177B50"/>
    <w:rsid w:val="00177C41"/>
    <w:rsid w:val="00177DC2"/>
    <w:rsid w:val="00177DD6"/>
    <w:rsid w:val="00177DDA"/>
    <w:rsid w:val="00177E2B"/>
    <w:rsid w:val="00177E83"/>
    <w:rsid w:val="00177EA9"/>
    <w:rsid w:val="00177EC1"/>
    <w:rsid w:val="00177FF7"/>
    <w:rsid w:val="00180193"/>
    <w:rsid w:val="001801B9"/>
    <w:rsid w:val="001801CB"/>
    <w:rsid w:val="0018025E"/>
    <w:rsid w:val="001802EA"/>
    <w:rsid w:val="001802F6"/>
    <w:rsid w:val="00180334"/>
    <w:rsid w:val="001803AF"/>
    <w:rsid w:val="00180505"/>
    <w:rsid w:val="00180534"/>
    <w:rsid w:val="00180549"/>
    <w:rsid w:val="00180887"/>
    <w:rsid w:val="001808BB"/>
    <w:rsid w:val="001809D3"/>
    <w:rsid w:val="00180A02"/>
    <w:rsid w:val="00180A61"/>
    <w:rsid w:val="00180AC4"/>
    <w:rsid w:val="00180B5D"/>
    <w:rsid w:val="00180BD4"/>
    <w:rsid w:val="00180BDC"/>
    <w:rsid w:val="00180C17"/>
    <w:rsid w:val="00180D0A"/>
    <w:rsid w:val="00180DED"/>
    <w:rsid w:val="00180E15"/>
    <w:rsid w:val="00180EC3"/>
    <w:rsid w:val="00180F29"/>
    <w:rsid w:val="00180FDC"/>
    <w:rsid w:val="00180FDD"/>
    <w:rsid w:val="0018101D"/>
    <w:rsid w:val="001810B4"/>
    <w:rsid w:val="001810F2"/>
    <w:rsid w:val="001811BF"/>
    <w:rsid w:val="001811F9"/>
    <w:rsid w:val="00181211"/>
    <w:rsid w:val="00181455"/>
    <w:rsid w:val="001814F8"/>
    <w:rsid w:val="001815D6"/>
    <w:rsid w:val="00181661"/>
    <w:rsid w:val="00181708"/>
    <w:rsid w:val="00181727"/>
    <w:rsid w:val="0018175B"/>
    <w:rsid w:val="001817CD"/>
    <w:rsid w:val="00181810"/>
    <w:rsid w:val="00181927"/>
    <w:rsid w:val="0018198E"/>
    <w:rsid w:val="001819C3"/>
    <w:rsid w:val="001819D1"/>
    <w:rsid w:val="00181A56"/>
    <w:rsid w:val="00181A85"/>
    <w:rsid w:val="00181B6B"/>
    <w:rsid w:val="00181B7F"/>
    <w:rsid w:val="00181C0E"/>
    <w:rsid w:val="00181C15"/>
    <w:rsid w:val="00181E2A"/>
    <w:rsid w:val="00181EE9"/>
    <w:rsid w:val="00181F6D"/>
    <w:rsid w:val="00181F85"/>
    <w:rsid w:val="00181FE5"/>
    <w:rsid w:val="00181FEA"/>
    <w:rsid w:val="00182083"/>
    <w:rsid w:val="001820ED"/>
    <w:rsid w:val="00182117"/>
    <w:rsid w:val="0018212A"/>
    <w:rsid w:val="00182264"/>
    <w:rsid w:val="001822F1"/>
    <w:rsid w:val="00182321"/>
    <w:rsid w:val="0018236C"/>
    <w:rsid w:val="00182378"/>
    <w:rsid w:val="001823A9"/>
    <w:rsid w:val="001823B0"/>
    <w:rsid w:val="00182449"/>
    <w:rsid w:val="001824D1"/>
    <w:rsid w:val="00182617"/>
    <w:rsid w:val="001826D2"/>
    <w:rsid w:val="0018276C"/>
    <w:rsid w:val="00182788"/>
    <w:rsid w:val="0018290F"/>
    <w:rsid w:val="0018291F"/>
    <w:rsid w:val="00182931"/>
    <w:rsid w:val="00182944"/>
    <w:rsid w:val="00182947"/>
    <w:rsid w:val="0018295C"/>
    <w:rsid w:val="001829FC"/>
    <w:rsid w:val="00182B46"/>
    <w:rsid w:val="00182C5D"/>
    <w:rsid w:val="00182C97"/>
    <w:rsid w:val="00182D44"/>
    <w:rsid w:val="00182D61"/>
    <w:rsid w:val="00182D85"/>
    <w:rsid w:val="00182EB7"/>
    <w:rsid w:val="00182F06"/>
    <w:rsid w:val="00182F54"/>
    <w:rsid w:val="00182FA8"/>
    <w:rsid w:val="00182FDF"/>
    <w:rsid w:val="001830DE"/>
    <w:rsid w:val="001830FB"/>
    <w:rsid w:val="00183149"/>
    <w:rsid w:val="001831BD"/>
    <w:rsid w:val="001831CB"/>
    <w:rsid w:val="001832FA"/>
    <w:rsid w:val="00183357"/>
    <w:rsid w:val="001833BC"/>
    <w:rsid w:val="001833DD"/>
    <w:rsid w:val="0018349D"/>
    <w:rsid w:val="00183537"/>
    <w:rsid w:val="00183556"/>
    <w:rsid w:val="0018356E"/>
    <w:rsid w:val="001835A1"/>
    <w:rsid w:val="0018368B"/>
    <w:rsid w:val="001837EB"/>
    <w:rsid w:val="0018383B"/>
    <w:rsid w:val="0018384B"/>
    <w:rsid w:val="001838B3"/>
    <w:rsid w:val="00183A95"/>
    <w:rsid w:val="00183AC3"/>
    <w:rsid w:val="00183AD4"/>
    <w:rsid w:val="00183BCB"/>
    <w:rsid w:val="00183C60"/>
    <w:rsid w:val="00183C99"/>
    <w:rsid w:val="00183D05"/>
    <w:rsid w:val="00183FB3"/>
    <w:rsid w:val="0018404D"/>
    <w:rsid w:val="001840F5"/>
    <w:rsid w:val="00184263"/>
    <w:rsid w:val="0018428B"/>
    <w:rsid w:val="00184306"/>
    <w:rsid w:val="00184461"/>
    <w:rsid w:val="00184462"/>
    <w:rsid w:val="00184464"/>
    <w:rsid w:val="00184510"/>
    <w:rsid w:val="00184565"/>
    <w:rsid w:val="001845DD"/>
    <w:rsid w:val="0018460E"/>
    <w:rsid w:val="00184647"/>
    <w:rsid w:val="0018468A"/>
    <w:rsid w:val="001847D9"/>
    <w:rsid w:val="001847F5"/>
    <w:rsid w:val="0018487A"/>
    <w:rsid w:val="001848BF"/>
    <w:rsid w:val="0018493C"/>
    <w:rsid w:val="001849BA"/>
    <w:rsid w:val="00184A2F"/>
    <w:rsid w:val="00184ACD"/>
    <w:rsid w:val="00184B24"/>
    <w:rsid w:val="00184CFF"/>
    <w:rsid w:val="00184D3D"/>
    <w:rsid w:val="00184D77"/>
    <w:rsid w:val="00184EAF"/>
    <w:rsid w:val="00184EF4"/>
    <w:rsid w:val="00184FC5"/>
    <w:rsid w:val="00185020"/>
    <w:rsid w:val="0018502B"/>
    <w:rsid w:val="00185076"/>
    <w:rsid w:val="001850B9"/>
    <w:rsid w:val="0018514D"/>
    <w:rsid w:val="00185150"/>
    <w:rsid w:val="001851A2"/>
    <w:rsid w:val="0018520E"/>
    <w:rsid w:val="00185334"/>
    <w:rsid w:val="00185343"/>
    <w:rsid w:val="0018545F"/>
    <w:rsid w:val="0018550E"/>
    <w:rsid w:val="00185569"/>
    <w:rsid w:val="00185573"/>
    <w:rsid w:val="0018559E"/>
    <w:rsid w:val="001855B9"/>
    <w:rsid w:val="00185656"/>
    <w:rsid w:val="00185786"/>
    <w:rsid w:val="001857CC"/>
    <w:rsid w:val="001857D6"/>
    <w:rsid w:val="00185866"/>
    <w:rsid w:val="0018587D"/>
    <w:rsid w:val="001858D6"/>
    <w:rsid w:val="00185914"/>
    <w:rsid w:val="001859AB"/>
    <w:rsid w:val="00185AA6"/>
    <w:rsid w:val="00185AE2"/>
    <w:rsid w:val="00185AF5"/>
    <w:rsid w:val="00185C1E"/>
    <w:rsid w:val="00185CCA"/>
    <w:rsid w:val="00185DE0"/>
    <w:rsid w:val="00185EB9"/>
    <w:rsid w:val="00185F4A"/>
    <w:rsid w:val="0018607B"/>
    <w:rsid w:val="00186162"/>
    <w:rsid w:val="0018620F"/>
    <w:rsid w:val="00186257"/>
    <w:rsid w:val="001862BE"/>
    <w:rsid w:val="001862E2"/>
    <w:rsid w:val="00186320"/>
    <w:rsid w:val="00186368"/>
    <w:rsid w:val="00186406"/>
    <w:rsid w:val="00186473"/>
    <w:rsid w:val="001864EF"/>
    <w:rsid w:val="001865A0"/>
    <w:rsid w:val="001865BD"/>
    <w:rsid w:val="001865D2"/>
    <w:rsid w:val="00186632"/>
    <w:rsid w:val="001866A2"/>
    <w:rsid w:val="001866E8"/>
    <w:rsid w:val="00186747"/>
    <w:rsid w:val="00186773"/>
    <w:rsid w:val="001868B1"/>
    <w:rsid w:val="001868DD"/>
    <w:rsid w:val="00186913"/>
    <w:rsid w:val="00186A31"/>
    <w:rsid w:val="00186C62"/>
    <w:rsid w:val="00186D9A"/>
    <w:rsid w:val="00186DBD"/>
    <w:rsid w:val="00186E93"/>
    <w:rsid w:val="00186EF5"/>
    <w:rsid w:val="00186F11"/>
    <w:rsid w:val="0018718C"/>
    <w:rsid w:val="0018725D"/>
    <w:rsid w:val="00187381"/>
    <w:rsid w:val="00187399"/>
    <w:rsid w:val="00187434"/>
    <w:rsid w:val="0018744F"/>
    <w:rsid w:val="0018750A"/>
    <w:rsid w:val="001875D5"/>
    <w:rsid w:val="00187663"/>
    <w:rsid w:val="001876D6"/>
    <w:rsid w:val="00187736"/>
    <w:rsid w:val="00187876"/>
    <w:rsid w:val="001878CE"/>
    <w:rsid w:val="0018792D"/>
    <w:rsid w:val="001879A7"/>
    <w:rsid w:val="001879CD"/>
    <w:rsid w:val="00187AC5"/>
    <w:rsid w:val="00187B2E"/>
    <w:rsid w:val="00187B9C"/>
    <w:rsid w:val="00187C0A"/>
    <w:rsid w:val="00187D66"/>
    <w:rsid w:val="00187D6E"/>
    <w:rsid w:val="00187DDE"/>
    <w:rsid w:val="00187DF8"/>
    <w:rsid w:val="00187F11"/>
    <w:rsid w:val="00187F73"/>
    <w:rsid w:val="00187FCF"/>
    <w:rsid w:val="00187FF3"/>
    <w:rsid w:val="001900E1"/>
    <w:rsid w:val="001901C0"/>
    <w:rsid w:val="001901E3"/>
    <w:rsid w:val="00190253"/>
    <w:rsid w:val="00190256"/>
    <w:rsid w:val="001903B1"/>
    <w:rsid w:val="0019048B"/>
    <w:rsid w:val="0019049F"/>
    <w:rsid w:val="001904E4"/>
    <w:rsid w:val="00190608"/>
    <w:rsid w:val="00190680"/>
    <w:rsid w:val="00190793"/>
    <w:rsid w:val="001907A0"/>
    <w:rsid w:val="001907A8"/>
    <w:rsid w:val="0019089E"/>
    <w:rsid w:val="00190988"/>
    <w:rsid w:val="00190991"/>
    <w:rsid w:val="00190995"/>
    <w:rsid w:val="00190A1B"/>
    <w:rsid w:val="00190B05"/>
    <w:rsid w:val="00190BC3"/>
    <w:rsid w:val="00190BCA"/>
    <w:rsid w:val="00190C09"/>
    <w:rsid w:val="00190C3C"/>
    <w:rsid w:val="00190C83"/>
    <w:rsid w:val="00190CE0"/>
    <w:rsid w:val="00190CF3"/>
    <w:rsid w:val="00190D7A"/>
    <w:rsid w:val="00190D80"/>
    <w:rsid w:val="00190D82"/>
    <w:rsid w:val="00190D99"/>
    <w:rsid w:val="00190E08"/>
    <w:rsid w:val="00190EE2"/>
    <w:rsid w:val="00190EE5"/>
    <w:rsid w:val="00190F12"/>
    <w:rsid w:val="00190F81"/>
    <w:rsid w:val="0019104D"/>
    <w:rsid w:val="001910B8"/>
    <w:rsid w:val="00191124"/>
    <w:rsid w:val="00191177"/>
    <w:rsid w:val="0019118E"/>
    <w:rsid w:val="00191197"/>
    <w:rsid w:val="001911AB"/>
    <w:rsid w:val="00191266"/>
    <w:rsid w:val="001912B4"/>
    <w:rsid w:val="00191402"/>
    <w:rsid w:val="0019144D"/>
    <w:rsid w:val="00191478"/>
    <w:rsid w:val="001914E1"/>
    <w:rsid w:val="0019153A"/>
    <w:rsid w:val="00191541"/>
    <w:rsid w:val="001915CC"/>
    <w:rsid w:val="00191633"/>
    <w:rsid w:val="001916A9"/>
    <w:rsid w:val="001917EA"/>
    <w:rsid w:val="0019184B"/>
    <w:rsid w:val="00191855"/>
    <w:rsid w:val="001918C8"/>
    <w:rsid w:val="00191912"/>
    <w:rsid w:val="001919BF"/>
    <w:rsid w:val="00191ADA"/>
    <w:rsid w:val="00191B79"/>
    <w:rsid w:val="00191CAA"/>
    <w:rsid w:val="00191D15"/>
    <w:rsid w:val="00191D47"/>
    <w:rsid w:val="00191E61"/>
    <w:rsid w:val="00191E95"/>
    <w:rsid w:val="001920F0"/>
    <w:rsid w:val="0019213B"/>
    <w:rsid w:val="0019223B"/>
    <w:rsid w:val="00192324"/>
    <w:rsid w:val="0019249F"/>
    <w:rsid w:val="0019254C"/>
    <w:rsid w:val="00192668"/>
    <w:rsid w:val="0019266F"/>
    <w:rsid w:val="00192699"/>
    <w:rsid w:val="0019272C"/>
    <w:rsid w:val="001927B4"/>
    <w:rsid w:val="00192856"/>
    <w:rsid w:val="00192872"/>
    <w:rsid w:val="00192961"/>
    <w:rsid w:val="001929E3"/>
    <w:rsid w:val="00192B02"/>
    <w:rsid w:val="00192B6E"/>
    <w:rsid w:val="00192C18"/>
    <w:rsid w:val="00192C3C"/>
    <w:rsid w:val="00192C8A"/>
    <w:rsid w:val="00192CE1"/>
    <w:rsid w:val="00192DAB"/>
    <w:rsid w:val="00192E38"/>
    <w:rsid w:val="00192E9D"/>
    <w:rsid w:val="00192EB6"/>
    <w:rsid w:val="00192F51"/>
    <w:rsid w:val="00192F52"/>
    <w:rsid w:val="00192F6C"/>
    <w:rsid w:val="00193069"/>
    <w:rsid w:val="00193107"/>
    <w:rsid w:val="0019312B"/>
    <w:rsid w:val="0019324D"/>
    <w:rsid w:val="001932D2"/>
    <w:rsid w:val="001932E8"/>
    <w:rsid w:val="00193357"/>
    <w:rsid w:val="00193491"/>
    <w:rsid w:val="001934B3"/>
    <w:rsid w:val="001934F0"/>
    <w:rsid w:val="001935DF"/>
    <w:rsid w:val="00193626"/>
    <w:rsid w:val="001936C3"/>
    <w:rsid w:val="00193742"/>
    <w:rsid w:val="0019381A"/>
    <w:rsid w:val="001938C2"/>
    <w:rsid w:val="001938DE"/>
    <w:rsid w:val="0019393D"/>
    <w:rsid w:val="001939C2"/>
    <w:rsid w:val="00193AA4"/>
    <w:rsid w:val="00193AB7"/>
    <w:rsid w:val="00193B35"/>
    <w:rsid w:val="00193B6D"/>
    <w:rsid w:val="00193CC3"/>
    <w:rsid w:val="00193D3A"/>
    <w:rsid w:val="00193DE9"/>
    <w:rsid w:val="00193DF5"/>
    <w:rsid w:val="00193E1D"/>
    <w:rsid w:val="00193E21"/>
    <w:rsid w:val="00193E6C"/>
    <w:rsid w:val="00193EA3"/>
    <w:rsid w:val="00193F13"/>
    <w:rsid w:val="00193F31"/>
    <w:rsid w:val="00193F53"/>
    <w:rsid w:val="001940AA"/>
    <w:rsid w:val="001940BB"/>
    <w:rsid w:val="0019412C"/>
    <w:rsid w:val="00194177"/>
    <w:rsid w:val="0019427D"/>
    <w:rsid w:val="001942DC"/>
    <w:rsid w:val="0019477C"/>
    <w:rsid w:val="00194A41"/>
    <w:rsid w:val="00194AE7"/>
    <w:rsid w:val="00194B84"/>
    <w:rsid w:val="00194BB1"/>
    <w:rsid w:val="00194BFC"/>
    <w:rsid w:val="00194BFE"/>
    <w:rsid w:val="00194C1F"/>
    <w:rsid w:val="00194C2B"/>
    <w:rsid w:val="00194C2F"/>
    <w:rsid w:val="00194C53"/>
    <w:rsid w:val="00194CE8"/>
    <w:rsid w:val="00194CF8"/>
    <w:rsid w:val="00194DBF"/>
    <w:rsid w:val="00194DF1"/>
    <w:rsid w:val="00194E82"/>
    <w:rsid w:val="00194EFB"/>
    <w:rsid w:val="00194F81"/>
    <w:rsid w:val="00194FD7"/>
    <w:rsid w:val="0019502D"/>
    <w:rsid w:val="0019507B"/>
    <w:rsid w:val="0019508C"/>
    <w:rsid w:val="0019518C"/>
    <w:rsid w:val="001951B4"/>
    <w:rsid w:val="00195210"/>
    <w:rsid w:val="0019529A"/>
    <w:rsid w:val="00195347"/>
    <w:rsid w:val="0019534B"/>
    <w:rsid w:val="00195368"/>
    <w:rsid w:val="0019544D"/>
    <w:rsid w:val="0019544F"/>
    <w:rsid w:val="001955E2"/>
    <w:rsid w:val="001955FB"/>
    <w:rsid w:val="00195730"/>
    <w:rsid w:val="00195759"/>
    <w:rsid w:val="00195805"/>
    <w:rsid w:val="00195847"/>
    <w:rsid w:val="0019585B"/>
    <w:rsid w:val="00195884"/>
    <w:rsid w:val="00195937"/>
    <w:rsid w:val="00195A71"/>
    <w:rsid w:val="00195AD4"/>
    <w:rsid w:val="00195AE9"/>
    <w:rsid w:val="00195B36"/>
    <w:rsid w:val="00195B5D"/>
    <w:rsid w:val="00195B5E"/>
    <w:rsid w:val="00195B5F"/>
    <w:rsid w:val="00195BCC"/>
    <w:rsid w:val="00195CE8"/>
    <w:rsid w:val="00195D02"/>
    <w:rsid w:val="00195D12"/>
    <w:rsid w:val="00195DF1"/>
    <w:rsid w:val="00195E9A"/>
    <w:rsid w:val="00195ECC"/>
    <w:rsid w:val="00195ED2"/>
    <w:rsid w:val="00195F10"/>
    <w:rsid w:val="00195F63"/>
    <w:rsid w:val="00195F85"/>
    <w:rsid w:val="00195FFF"/>
    <w:rsid w:val="0019600B"/>
    <w:rsid w:val="001960F6"/>
    <w:rsid w:val="0019624D"/>
    <w:rsid w:val="00196301"/>
    <w:rsid w:val="00196305"/>
    <w:rsid w:val="0019633E"/>
    <w:rsid w:val="00196412"/>
    <w:rsid w:val="00196521"/>
    <w:rsid w:val="00196522"/>
    <w:rsid w:val="0019684C"/>
    <w:rsid w:val="001968DA"/>
    <w:rsid w:val="0019695D"/>
    <w:rsid w:val="00196AAF"/>
    <w:rsid w:val="00196AB5"/>
    <w:rsid w:val="00196AE2"/>
    <w:rsid w:val="00196BCD"/>
    <w:rsid w:val="00196CDA"/>
    <w:rsid w:val="00196E09"/>
    <w:rsid w:val="00196E8D"/>
    <w:rsid w:val="00197024"/>
    <w:rsid w:val="00197029"/>
    <w:rsid w:val="001970F9"/>
    <w:rsid w:val="001971F0"/>
    <w:rsid w:val="0019720A"/>
    <w:rsid w:val="00197231"/>
    <w:rsid w:val="001974BA"/>
    <w:rsid w:val="001974E1"/>
    <w:rsid w:val="0019756D"/>
    <w:rsid w:val="001975B9"/>
    <w:rsid w:val="00197607"/>
    <w:rsid w:val="0019764C"/>
    <w:rsid w:val="0019769D"/>
    <w:rsid w:val="0019776F"/>
    <w:rsid w:val="0019780D"/>
    <w:rsid w:val="0019796C"/>
    <w:rsid w:val="0019798F"/>
    <w:rsid w:val="00197AAC"/>
    <w:rsid w:val="00197AC3"/>
    <w:rsid w:val="00197BE0"/>
    <w:rsid w:val="00197BE9"/>
    <w:rsid w:val="00197C7B"/>
    <w:rsid w:val="00197CC0"/>
    <w:rsid w:val="00197D7D"/>
    <w:rsid w:val="00197DC7"/>
    <w:rsid w:val="00197E68"/>
    <w:rsid w:val="00197FAB"/>
    <w:rsid w:val="00197FC3"/>
    <w:rsid w:val="001A0032"/>
    <w:rsid w:val="001A0072"/>
    <w:rsid w:val="001A0168"/>
    <w:rsid w:val="001A0198"/>
    <w:rsid w:val="001A01C8"/>
    <w:rsid w:val="001A0219"/>
    <w:rsid w:val="001A02F2"/>
    <w:rsid w:val="001A0331"/>
    <w:rsid w:val="001A03AD"/>
    <w:rsid w:val="001A04BB"/>
    <w:rsid w:val="001A072F"/>
    <w:rsid w:val="001A07F7"/>
    <w:rsid w:val="001A08F9"/>
    <w:rsid w:val="001A094A"/>
    <w:rsid w:val="001A097A"/>
    <w:rsid w:val="001A0992"/>
    <w:rsid w:val="001A0B9C"/>
    <w:rsid w:val="001A0BF9"/>
    <w:rsid w:val="001A0C74"/>
    <w:rsid w:val="001A0CC4"/>
    <w:rsid w:val="001A0D6D"/>
    <w:rsid w:val="001A0D88"/>
    <w:rsid w:val="001A0D91"/>
    <w:rsid w:val="001A0E0E"/>
    <w:rsid w:val="001A0F22"/>
    <w:rsid w:val="001A10CF"/>
    <w:rsid w:val="001A1146"/>
    <w:rsid w:val="001A1157"/>
    <w:rsid w:val="001A11AF"/>
    <w:rsid w:val="001A11B4"/>
    <w:rsid w:val="001A1241"/>
    <w:rsid w:val="001A1259"/>
    <w:rsid w:val="001A1261"/>
    <w:rsid w:val="001A12B7"/>
    <w:rsid w:val="001A1333"/>
    <w:rsid w:val="001A13A2"/>
    <w:rsid w:val="001A13A7"/>
    <w:rsid w:val="001A13F7"/>
    <w:rsid w:val="001A143C"/>
    <w:rsid w:val="001A146C"/>
    <w:rsid w:val="001A14A5"/>
    <w:rsid w:val="001A14DE"/>
    <w:rsid w:val="001A15EA"/>
    <w:rsid w:val="001A164E"/>
    <w:rsid w:val="001A1696"/>
    <w:rsid w:val="001A16A4"/>
    <w:rsid w:val="001A17FA"/>
    <w:rsid w:val="001A1801"/>
    <w:rsid w:val="001A1822"/>
    <w:rsid w:val="001A183A"/>
    <w:rsid w:val="001A187F"/>
    <w:rsid w:val="001A18B8"/>
    <w:rsid w:val="001A19F6"/>
    <w:rsid w:val="001A1A26"/>
    <w:rsid w:val="001A1ADC"/>
    <w:rsid w:val="001A1AE9"/>
    <w:rsid w:val="001A1B3B"/>
    <w:rsid w:val="001A1BE7"/>
    <w:rsid w:val="001A1C35"/>
    <w:rsid w:val="001A1CF3"/>
    <w:rsid w:val="001A1D1F"/>
    <w:rsid w:val="001A1D2C"/>
    <w:rsid w:val="001A1DEB"/>
    <w:rsid w:val="001A1E09"/>
    <w:rsid w:val="001A1E82"/>
    <w:rsid w:val="001A1E90"/>
    <w:rsid w:val="001A1EC1"/>
    <w:rsid w:val="001A1F7B"/>
    <w:rsid w:val="001A2045"/>
    <w:rsid w:val="001A20B8"/>
    <w:rsid w:val="001A20C0"/>
    <w:rsid w:val="001A20FC"/>
    <w:rsid w:val="001A214F"/>
    <w:rsid w:val="001A21DA"/>
    <w:rsid w:val="001A21F2"/>
    <w:rsid w:val="001A2205"/>
    <w:rsid w:val="001A2218"/>
    <w:rsid w:val="001A224B"/>
    <w:rsid w:val="001A2275"/>
    <w:rsid w:val="001A22BB"/>
    <w:rsid w:val="001A22FE"/>
    <w:rsid w:val="001A2423"/>
    <w:rsid w:val="001A24D9"/>
    <w:rsid w:val="001A25A2"/>
    <w:rsid w:val="001A2649"/>
    <w:rsid w:val="001A2659"/>
    <w:rsid w:val="001A269B"/>
    <w:rsid w:val="001A26D1"/>
    <w:rsid w:val="001A27E6"/>
    <w:rsid w:val="001A2819"/>
    <w:rsid w:val="001A289B"/>
    <w:rsid w:val="001A28F6"/>
    <w:rsid w:val="001A298A"/>
    <w:rsid w:val="001A2A09"/>
    <w:rsid w:val="001A2AAB"/>
    <w:rsid w:val="001A2ACC"/>
    <w:rsid w:val="001A2B3B"/>
    <w:rsid w:val="001A2B45"/>
    <w:rsid w:val="001A2B5A"/>
    <w:rsid w:val="001A2B5D"/>
    <w:rsid w:val="001A2B89"/>
    <w:rsid w:val="001A2BB2"/>
    <w:rsid w:val="001A2BCD"/>
    <w:rsid w:val="001A2C2F"/>
    <w:rsid w:val="001A2C3E"/>
    <w:rsid w:val="001A2C47"/>
    <w:rsid w:val="001A2C9A"/>
    <w:rsid w:val="001A2DBF"/>
    <w:rsid w:val="001A2E0F"/>
    <w:rsid w:val="001A2E16"/>
    <w:rsid w:val="001A2F1C"/>
    <w:rsid w:val="001A2F1D"/>
    <w:rsid w:val="001A2F3B"/>
    <w:rsid w:val="001A2FB4"/>
    <w:rsid w:val="001A2FF4"/>
    <w:rsid w:val="001A3005"/>
    <w:rsid w:val="001A3008"/>
    <w:rsid w:val="001A3050"/>
    <w:rsid w:val="001A3076"/>
    <w:rsid w:val="001A30CB"/>
    <w:rsid w:val="001A30CD"/>
    <w:rsid w:val="001A31DB"/>
    <w:rsid w:val="001A325A"/>
    <w:rsid w:val="001A325C"/>
    <w:rsid w:val="001A32C2"/>
    <w:rsid w:val="001A32DF"/>
    <w:rsid w:val="001A3322"/>
    <w:rsid w:val="001A339E"/>
    <w:rsid w:val="001A34C8"/>
    <w:rsid w:val="001A3520"/>
    <w:rsid w:val="001A3576"/>
    <w:rsid w:val="001A35FB"/>
    <w:rsid w:val="001A3687"/>
    <w:rsid w:val="001A375F"/>
    <w:rsid w:val="001A37C6"/>
    <w:rsid w:val="001A38B0"/>
    <w:rsid w:val="001A38BB"/>
    <w:rsid w:val="001A3985"/>
    <w:rsid w:val="001A39A2"/>
    <w:rsid w:val="001A39B7"/>
    <w:rsid w:val="001A39E0"/>
    <w:rsid w:val="001A3A39"/>
    <w:rsid w:val="001A3B16"/>
    <w:rsid w:val="001A3C88"/>
    <w:rsid w:val="001A3EA9"/>
    <w:rsid w:val="001A3F4A"/>
    <w:rsid w:val="001A3FB8"/>
    <w:rsid w:val="001A4084"/>
    <w:rsid w:val="001A4358"/>
    <w:rsid w:val="001A43AC"/>
    <w:rsid w:val="001A43BD"/>
    <w:rsid w:val="001A43E4"/>
    <w:rsid w:val="001A4431"/>
    <w:rsid w:val="001A4439"/>
    <w:rsid w:val="001A444D"/>
    <w:rsid w:val="001A4462"/>
    <w:rsid w:val="001A44A3"/>
    <w:rsid w:val="001A4564"/>
    <w:rsid w:val="001A4599"/>
    <w:rsid w:val="001A4628"/>
    <w:rsid w:val="001A4696"/>
    <w:rsid w:val="001A46BC"/>
    <w:rsid w:val="001A475C"/>
    <w:rsid w:val="001A47A5"/>
    <w:rsid w:val="001A47F5"/>
    <w:rsid w:val="001A4862"/>
    <w:rsid w:val="001A4965"/>
    <w:rsid w:val="001A49ED"/>
    <w:rsid w:val="001A4A0C"/>
    <w:rsid w:val="001A4A6A"/>
    <w:rsid w:val="001A4B12"/>
    <w:rsid w:val="001A4BAE"/>
    <w:rsid w:val="001A4BB0"/>
    <w:rsid w:val="001A4C2C"/>
    <w:rsid w:val="001A4C5D"/>
    <w:rsid w:val="001A4D1F"/>
    <w:rsid w:val="001A4D6B"/>
    <w:rsid w:val="001A4E49"/>
    <w:rsid w:val="001A4ED7"/>
    <w:rsid w:val="001A4EDA"/>
    <w:rsid w:val="001A50AF"/>
    <w:rsid w:val="001A511F"/>
    <w:rsid w:val="001A5157"/>
    <w:rsid w:val="001A5278"/>
    <w:rsid w:val="001A52A0"/>
    <w:rsid w:val="001A5349"/>
    <w:rsid w:val="001A5388"/>
    <w:rsid w:val="001A54A0"/>
    <w:rsid w:val="001A54E9"/>
    <w:rsid w:val="001A54FD"/>
    <w:rsid w:val="001A557D"/>
    <w:rsid w:val="001A5584"/>
    <w:rsid w:val="001A563E"/>
    <w:rsid w:val="001A5656"/>
    <w:rsid w:val="001A5665"/>
    <w:rsid w:val="001A56B3"/>
    <w:rsid w:val="001A5784"/>
    <w:rsid w:val="001A57D2"/>
    <w:rsid w:val="001A581B"/>
    <w:rsid w:val="001A590F"/>
    <w:rsid w:val="001A5947"/>
    <w:rsid w:val="001A595C"/>
    <w:rsid w:val="001A59D9"/>
    <w:rsid w:val="001A59E2"/>
    <w:rsid w:val="001A5A6B"/>
    <w:rsid w:val="001A5AB3"/>
    <w:rsid w:val="001A5B4C"/>
    <w:rsid w:val="001A5B60"/>
    <w:rsid w:val="001A5BEC"/>
    <w:rsid w:val="001A5C10"/>
    <w:rsid w:val="001A5C1A"/>
    <w:rsid w:val="001A5C41"/>
    <w:rsid w:val="001A5D5F"/>
    <w:rsid w:val="001A5DCC"/>
    <w:rsid w:val="001A5DE9"/>
    <w:rsid w:val="001A5E21"/>
    <w:rsid w:val="001A5EB8"/>
    <w:rsid w:val="001A5F4B"/>
    <w:rsid w:val="001A5FB6"/>
    <w:rsid w:val="001A6015"/>
    <w:rsid w:val="001A6062"/>
    <w:rsid w:val="001A60B4"/>
    <w:rsid w:val="001A6118"/>
    <w:rsid w:val="001A6179"/>
    <w:rsid w:val="001A61DB"/>
    <w:rsid w:val="001A6268"/>
    <w:rsid w:val="001A6270"/>
    <w:rsid w:val="001A62BA"/>
    <w:rsid w:val="001A6376"/>
    <w:rsid w:val="001A643B"/>
    <w:rsid w:val="001A64E3"/>
    <w:rsid w:val="001A6561"/>
    <w:rsid w:val="001A6563"/>
    <w:rsid w:val="001A65C0"/>
    <w:rsid w:val="001A66C2"/>
    <w:rsid w:val="001A67B7"/>
    <w:rsid w:val="001A6877"/>
    <w:rsid w:val="001A6897"/>
    <w:rsid w:val="001A68F5"/>
    <w:rsid w:val="001A6994"/>
    <w:rsid w:val="001A6B18"/>
    <w:rsid w:val="001A6C5D"/>
    <w:rsid w:val="001A6C9E"/>
    <w:rsid w:val="001A6D0C"/>
    <w:rsid w:val="001A6E32"/>
    <w:rsid w:val="001A6EA5"/>
    <w:rsid w:val="001A7045"/>
    <w:rsid w:val="001A7053"/>
    <w:rsid w:val="001A7070"/>
    <w:rsid w:val="001A707B"/>
    <w:rsid w:val="001A70E2"/>
    <w:rsid w:val="001A719E"/>
    <w:rsid w:val="001A71E4"/>
    <w:rsid w:val="001A7209"/>
    <w:rsid w:val="001A7232"/>
    <w:rsid w:val="001A728A"/>
    <w:rsid w:val="001A7309"/>
    <w:rsid w:val="001A735D"/>
    <w:rsid w:val="001A747F"/>
    <w:rsid w:val="001A74BD"/>
    <w:rsid w:val="001A7594"/>
    <w:rsid w:val="001A7666"/>
    <w:rsid w:val="001A769E"/>
    <w:rsid w:val="001A76CB"/>
    <w:rsid w:val="001A7761"/>
    <w:rsid w:val="001A77B0"/>
    <w:rsid w:val="001A77C5"/>
    <w:rsid w:val="001A7996"/>
    <w:rsid w:val="001A7B26"/>
    <w:rsid w:val="001A7BB6"/>
    <w:rsid w:val="001A7BF0"/>
    <w:rsid w:val="001A7C37"/>
    <w:rsid w:val="001A7C7C"/>
    <w:rsid w:val="001A7DB6"/>
    <w:rsid w:val="001A7DEC"/>
    <w:rsid w:val="001A7E58"/>
    <w:rsid w:val="001A7F2A"/>
    <w:rsid w:val="001A7F6D"/>
    <w:rsid w:val="001A7FA0"/>
    <w:rsid w:val="001A7FDD"/>
    <w:rsid w:val="001B0022"/>
    <w:rsid w:val="001B007B"/>
    <w:rsid w:val="001B0095"/>
    <w:rsid w:val="001B00A4"/>
    <w:rsid w:val="001B00D3"/>
    <w:rsid w:val="001B0119"/>
    <w:rsid w:val="001B0190"/>
    <w:rsid w:val="001B01CF"/>
    <w:rsid w:val="001B0237"/>
    <w:rsid w:val="001B0288"/>
    <w:rsid w:val="001B04C8"/>
    <w:rsid w:val="001B0500"/>
    <w:rsid w:val="001B0533"/>
    <w:rsid w:val="001B05A1"/>
    <w:rsid w:val="001B072C"/>
    <w:rsid w:val="001B0801"/>
    <w:rsid w:val="001B08D8"/>
    <w:rsid w:val="001B0A9F"/>
    <w:rsid w:val="001B0B2C"/>
    <w:rsid w:val="001B0B34"/>
    <w:rsid w:val="001B0C01"/>
    <w:rsid w:val="001B0D88"/>
    <w:rsid w:val="001B0E31"/>
    <w:rsid w:val="001B0F0F"/>
    <w:rsid w:val="001B0FAD"/>
    <w:rsid w:val="001B100D"/>
    <w:rsid w:val="001B1029"/>
    <w:rsid w:val="001B1047"/>
    <w:rsid w:val="001B10E7"/>
    <w:rsid w:val="001B112D"/>
    <w:rsid w:val="001B113F"/>
    <w:rsid w:val="001B118D"/>
    <w:rsid w:val="001B11BE"/>
    <w:rsid w:val="001B11C2"/>
    <w:rsid w:val="001B1221"/>
    <w:rsid w:val="001B12D6"/>
    <w:rsid w:val="001B12EB"/>
    <w:rsid w:val="001B13BC"/>
    <w:rsid w:val="001B1447"/>
    <w:rsid w:val="001B152B"/>
    <w:rsid w:val="001B1607"/>
    <w:rsid w:val="001B1751"/>
    <w:rsid w:val="001B182D"/>
    <w:rsid w:val="001B18EF"/>
    <w:rsid w:val="001B1999"/>
    <w:rsid w:val="001B1A19"/>
    <w:rsid w:val="001B1A9A"/>
    <w:rsid w:val="001B1B01"/>
    <w:rsid w:val="001B1C65"/>
    <w:rsid w:val="001B1C6C"/>
    <w:rsid w:val="001B1CC1"/>
    <w:rsid w:val="001B2004"/>
    <w:rsid w:val="001B2078"/>
    <w:rsid w:val="001B208C"/>
    <w:rsid w:val="001B20EF"/>
    <w:rsid w:val="001B20F0"/>
    <w:rsid w:val="001B21ED"/>
    <w:rsid w:val="001B2207"/>
    <w:rsid w:val="001B2286"/>
    <w:rsid w:val="001B22C0"/>
    <w:rsid w:val="001B24A6"/>
    <w:rsid w:val="001B24DE"/>
    <w:rsid w:val="001B261B"/>
    <w:rsid w:val="001B26A8"/>
    <w:rsid w:val="001B27BC"/>
    <w:rsid w:val="001B2950"/>
    <w:rsid w:val="001B2A71"/>
    <w:rsid w:val="001B2AAF"/>
    <w:rsid w:val="001B2ABB"/>
    <w:rsid w:val="001B2ADA"/>
    <w:rsid w:val="001B2C89"/>
    <w:rsid w:val="001B2D30"/>
    <w:rsid w:val="001B2DC9"/>
    <w:rsid w:val="001B2FAE"/>
    <w:rsid w:val="001B2FD1"/>
    <w:rsid w:val="001B2FF4"/>
    <w:rsid w:val="001B301C"/>
    <w:rsid w:val="001B309A"/>
    <w:rsid w:val="001B30A0"/>
    <w:rsid w:val="001B30BA"/>
    <w:rsid w:val="001B31B5"/>
    <w:rsid w:val="001B32CD"/>
    <w:rsid w:val="001B3308"/>
    <w:rsid w:val="001B340D"/>
    <w:rsid w:val="001B3539"/>
    <w:rsid w:val="001B3626"/>
    <w:rsid w:val="001B36A9"/>
    <w:rsid w:val="001B370C"/>
    <w:rsid w:val="001B377A"/>
    <w:rsid w:val="001B37C8"/>
    <w:rsid w:val="001B3851"/>
    <w:rsid w:val="001B387A"/>
    <w:rsid w:val="001B3893"/>
    <w:rsid w:val="001B39E4"/>
    <w:rsid w:val="001B3AEB"/>
    <w:rsid w:val="001B3BDC"/>
    <w:rsid w:val="001B3C90"/>
    <w:rsid w:val="001B3C9B"/>
    <w:rsid w:val="001B3CD1"/>
    <w:rsid w:val="001B3DD9"/>
    <w:rsid w:val="001B3E14"/>
    <w:rsid w:val="001B3E43"/>
    <w:rsid w:val="001B3F18"/>
    <w:rsid w:val="001B3F7C"/>
    <w:rsid w:val="001B3F95"/>
    <w:rsid w:val="001B3FAC"/>
    <w:rsid w:val="001B3FB2"/>
    <w:rsid w:val="001B3FC3"/>
    <w:rsid w:val="001B40FB"/>
    <w:rsid w:val="001B4162"/>
    <w:rsid w:val="001B41C8"/>
    <w:rsid w:val="001B4254"/>
    <w:rsid w:val="001B4282"/>
    <w:rsid w:val="001B42A7"/>
    <w:rsid w:val="001B431F"/>
    <w:rsid w:val="001B435C"/>
    <w:rsid w:val="001B4379"/>
    <w:rsid w:val="001B4407"/>
    <w:rsid w:val="001B4461"/>
    <w:rsid w:val="001B448C"/>
    <w:rsid w:val="001B4535"/>
    <w:rsid w:val="001B45D5"/>
    <w:rsid w:val="001B4621"/>
    <w:rsid w:val="001B4632"/>
    <w:rsid w:val="001B464F"/>
    <w:rsid w:val="001B4658"/>
    <w:rsid w:val="001B47E9"/>
    <w:rsid w:val="001B4867"/>
    <w:rsid w:val="001B49A2"/>
    <w:rsid w:val="001B4A2E"/>
    <w:rsid w:val="001B4B79"/>
    <w:rsid w:val="001B4BD5"/>
    <w:rsid w:val="001B4BE6"/>
    <w:rsid w:val="001B4BE7"/>
    <w:rsid w:val="001B4BF8"/>
    <w:rsid w:val="001B4CB1"/>
    <w:rsid w:val="001B4DC8"/>
    <w:rsid w:val="001B4E67"/>
    <w:rsid w:val="001B4EE5"/>
    <w:rsid w:val="001B4F74"/>
    <w:rsid w:val="001B502B"/>
    <w:rsid w:val="001B50CC"/>
    <w:rsid w:val="001B50D7"/>
    <w:rsid w:val="001B515D"/>
    <w:rsid w:val="001B5377"/>
    <w:rsid w:val="001B53C3"/>
    <w:rsid w:val="001B5483"/>
    <w:rsid w:val="001B54BF"/>
    <w:rsid w:val="001B551A"/>
    <w:rsid w:val="001B557E"/>
    <w:rsid w:val="001B55A3"/>
    <w:rsid w:val="001B55A9"/>
    <w:rsid w:val="001B57A7"/>
    <w:rsid w:val="001B582A"/>
    <w:rsid w:val="001B593B"/>
    <w:rsid w:val="001B59EB"/>
    <w:rsid w:val="001B59FD"/>
    <w:rsid w:val="001B5A6B"/>
    <w:rsid w:val="001B5AA0"/>
    <w:rsid w:val="001B5B3F"/>
    <w:rsid w:val="001B5BB8"/>
    <w:rsid w:val="001B5C44"/>
    <w:rsid w:val="001B610F"/>
    <w:rsid w:val="001B6136"/>
    <w:rsid w:val="001B6160"/>
    <w:rsid w:val="001B61E1"/>
    <w:rsid w:val="001B6272"/>
    <w:rsid w:val="001B62A3"/>
    <w:rsid w:val="001B6345"/>
    <w:rsid w:val="001B63C0"/>
    <w:rsid w:val="001B63C1"/>
    <w:rsid w:val="001B63C2"/>
    <w:rsid w:val="001B648C"/>
    <w:rsid w:val="001B64D9"/>
    <w:rsid w:val="001B653D"/>
    <w:rsid w:val="001B658C"/>
    <w:rsid w:val="001B6612"/>
    <w:rsid w:val="001B662E"/>
    <w:rsid w:val="001B6652"/>
    <w:rsid w:val="001B66A8"/>
    <w:rsid w:val="001B679C"/>
    <w:rsid w:val="001B693B"/>
    <w:rsid w:val="001B6A4B"/>
    <w:rsid w:val="001B6A6C"/>
    <w:rsid w:val="001B6BCF"/>
    <w:rsid w:val="001B6C20"/>
    <w:rsid w:val="001B6DE6"/>
    <w:rsid w:val="001B6EA2"/>
    <w:rsid w:val="001B6EF5"/>
    <w:rsid w:val="001B700A"/>
    <w:rsid w:val="001B7180"/>
    <w:rsid w:val="001B71F6"/>
    <w:rsid w:val="001B7211"/>
    <w:rsid w:val="001B724A"/>
    <w:rsid w:val="001B729A"/>
    <w:rsid w:val="001B72B5"/>
    <w:rsid w:val="001B72B8"/>
    <w:rsid w:val="001B7318"/>
    <w:rsid w:val="001B7450"/>
    <w:rsid w:val="001B7457"/>
    <w:rsid w:val="001B7486"/>
    <w:rsid w:val="001B7491"/>
    <w:rsid w:val="001B74E4"/>
    <w:rsid w:val="001B74E7"/>
    <w:rsid w:val="001B754A"/>
    <w:rsid w:val="001B759E"/>
    <w:rsid w:val="001B75EC"/>
    <w:rsid w:val="001B7611"/>
    <w:rsid w:val="001B7790"/>
    <w:rsid w:val="001B7879"/>
    <w:rsid w:val="001B7901"/>
    <w:rsid w:val="001B7951"/>
    <w:rsid w:val="001B7AB5"/>
    <w:rsid w:val="001B7BFB"/>
    <w:rsid w:val="001B7C0E"/>
    <w:rsid w:val="001B7C31"/>
    <w:rsid w:val="001B7C92"/>
    <w:rsid w:val="001B7C98"/>
    <w:rsid w:val="001B7D0E"/>
    <w:rsid w:val="001B7D87"/>
    <w:rsid w:val="001B7E3D"/>
    <w:rsid w:val="001B7E5B"/>
    <w:rsid w:val="001B7E67"/>
    <w:rsid w:val="001B7E95"/>
    <w:rsid w:val="001B7EC6"/>
    <w:rsid w:val="001C00A1"/>
    <w:rsid w:val="001C02F9"/>
    <w:rsid w:val="001C0342"/>
    <w:rsid w:val="001C05B1"/>
    <w:rsid w:val="001C05E5"/>
    <w:rsid w:val="001C06B9"/>
    <w:rsid w:val="001C06FC"/>
    <w:rsid w:val="001C077F"/>
    <w:rsid w:val="001C0890"/>
    <w:rsid w:val="001C08E0"/>
    <w:rsid w:val="001C0937"/>
    <w:rsid w:val="001C0994"/>
    <w:rsid w:val="001C09B0"/>
    <w:rsid w:val="001C0A14"/>
    <w:rsid w:val="001C0A16"/>
    <w:rsid w:val="001C0AC4"/>
    <w:rsid w:val="001C0B3F"/>
    <w:rsid w:val="001C0B54"/>
    <w:rsid w:val="001C0C9C"/>
    <w:rsid w:val="001C0C9E"/>
    <w:rsid w:val="001C0CB7"/>
    <w:rsid w:val="001C0E5B"/>
    <w:rsid w:val="001C0EBE"/>
    <w:rsid w:val="001C0EFD"/>
    <w:rsid w:val="001C0F22"/>
    <w:rsid w:val="001C0F58"/>
    <w:rsid w:val="001C0FB5"/>
    <w:rsid w:val="001C0FC7"/>
    <w:rsid w:val="001C100A"/>
    <w:rsid w:val="001C1023"/>
    <w:rsid w:val="001C1030"/>
    <w:rsid w:val="001C105E"/>
    <w:rsid w:val="001C1089"/>
    <w:rsid w:val="001C10E3"/>
    <w:rsid w:val="001C110C"/>
    <w:rsid w:val="001C11BE"/>
    <w:rsid w:val="001C125A"/>
    <w:rsid w:val="001C12F5"/>
    <w:rsid w:val="001C1372"/>
    <w:rsid w:val="001C13F0"/>
    <w:rsid w:val="001C13FB"/>
    <w:rsid w:val="001C1401"/>
    <w:rsid w:val="001C1508"/>
    <w:rsid w:val="001C1591"/>
    <w:rsid w:val="001C1609"/>
    <w:rsid w:val="001C16C4"/>
    <w:rsid w:val="001C170E"/>
    <w:rsid w:val="001C1750"/>
    <w:rsid w:val="001C177E"/>
    <w:rsid w:val="001C17AB"/>
    <w:rsid w:val="001C17C3"/>
    <w:rsid w:val="001C1803"/>
    <w:rsid w:val="001C184C"/>
    <w:rsid w:val="001C18B8"/>
    <w:rsid w:val="001C18F9"/>
    <w:rsid w:val="001C18FA"/>
    <w:rsid w:val="001C190D"/>
    <w:rsid w:val="001C1922"/>
    <w:rsid w:val="001C19D0"/>
    <w:rsid w:val="001C1A4E"/>
    <w:rsid w:val="001C1B91"/>
    <w:rsid w:val="001C1C43"/>
    <w:rsid w:val="001C1C69"/>
    <w:rsid w:val="001C1C81"/>
    <w:rsid w:val="001C1C9A"/>
    <w:rsid w:val="001C1CAF"/>
    <w:rsid w:val="001C1D88"/>
    <w:rsid w:val="001C1D9E"/>
    <w:rsid w:val="001C1F56"/>
    <w:rsid w:val="001C2052"/>
    <w:rsid w:val="001C20A3"/>
    <w:rsid w:val="001C20C5"/>
    <w:rsid w:val="001C20FD"/>
    <w:rsid w:val="001C21D6"/>
    <w:rsid w:val="001C21DB"/>
    <w:rsid w:val="001C2203"/>
    <w:rsid w:val="001C2249"/>
    <w:rsid w:val="001C2275"/>
    <w:rsid w:val="001C22A3"/>
    <w:rsid w:val="001C22E0"/>
    <w:rsid w:val="001C2386"/>
    <w:rsid w:val="001C2418"/>
    <w:rsid w:val="001C26B5"/>
    <w:rsid w:val="001C2706"/>
    <w:rsid w:val="001C2767"/>
    <w:rsid w:val="001C279F"/>
    <w:rsid w:val="001C2916"/>
    <w:rsid w:val="001C293A"/>
    <w:rsid w:val="001C29B5"/>
    <w:rsid w:val="001C29E1"/>
    <w:rsid w:val="001C2A0F"/>
    <w:rsid w:val="001C2B98"/>
    <w:rsid w:val="001C2B9C"/>
    <w:rsid w:val="001C2BBE"/>
    <w:rsid w:val="001C2D18"/>
    <w:rsid w:val="001C2DA5"/>
    <w:rsid w:val="001C2DFD"/>
    <w:rsid w:val="001C2E31"/>
    <w:rsid w:val="001C2F22"/>
    <w:rsid w:val="001C2F64"/>
    <w:rsid w:val="001C2F6C"/>
    <w:rsid w:val="001C3011"/>
    <w:rsid w:val="001C305F"/>
    <w:rsid w:val="001C308A"/>
    <w:rsid w:val="001C3152"/>
    <w:rsid w:val="001C31BB"/>
    <w:rsid w:val="001C31CB"/>
    <w:rsid w:val="001C31D2"/>
    <w:rsid w:val="001C31F7"/>
    <w:rsid w:val="001C325A"/>
    <w:rsid w:val="001C32A9"/>
    <w:rsid w:val="001C32F7"/>
    <w:rsid w:val="001C335A"/>
    <w:rsid w:val="001C33CB"/>
    <w:rsid w:val="001C3450"/>
    <w:rsid w:val="001C3485"/>
    <w:rsid w:val="001C34DD"/>
    <w:rsid w:val="001C34F0"/>
    <w:rsid w:val="001C3503"/>
    <w:rsid w:val="001C357E"/>
    <w:rsid w:val="001C3595"/>
    <w:rsid w:val="001C36A0"/>
    <w:rsid w:val="001C36AE"/>
    <w:rsid w:val="001C36F6"/>
    <w:rsid w:val="001C3706"/>
    <w:rsid w:val="001C380E"/>
    <w:rsid w:val="001C386A"/>
    <w:rsid w:val="001C38D3"/>
    <w:rsid w:val="001C396E"/>
    <w:rsid w:val="001C3B0D"/>
    <w:rsid w:val="001C3B42"/>
    <w:rsid w:val="001C3CF3"/>
    <w:rsid w:val="001C3D60"/>
    <w:rsid w:val="001C3D84"/>
    <w:rsid w:val="001C3DAB"/>
    <w:rsid w:val="001C3DBD"/>
    <w:rsid w:val="001C3DC7"/>
    <w:rsid w:val="001C3E15"/>
    <w:rsid w:val="001C3E73"/>
    <w:rsid w:val="001C3F1D"/>
    <w:rsid w:val="001C3F24"/>
    <w:rsid w:val="001C405E"/>
    <w:rsid w:val="001C41AC"/>
    <w:rsid w:val="001C421D"/>
    <w:rsid w:val="001C4255"/>
    <w:rsid w:val="001C42DF"/>
    <w:rsid w:val="001C43D5"/>
    <w:rsid w:val="001C43FB"/>
    <w:rsid w:val="001C4406"/>
    <w:rsid w:val="001C4436"/>
    <w:rsid w:val="001C4473"/>
    <w:rsid w:val="001C44CF"/>
    <w:rsid w:val="001C4525"/>
    <w:rsid w:val="001C4568"/>
    <w:rsid w:val="001C457D"/>
    <w:rsid w:val="001C4790"/>
    <w:rsid w:val="001C479D"/>
    <w:rsid w:val="001C47AE"/>
    <w:rsid w:val="001C47CE"/>
    <w:rsid w:val="001C4857"/>
    <w:rsid w:val="001C49A8"/>
    <w:rsid w:val="001C4A21"/>
    <w:rsid w:val="001C4AB2"/>
    <w:rsid w:val="001C4B9B"/>
    <w:rsid w:val="001C4D32"/>
    <w:rsid w:val="001C4D66"/>
    <w:rsid w:val="001C4D7D"/>
    <w:rsid w:val="001C4ED0"/>
    <w:rsid w:val="001C508D"/>
    <w:rsid w:val="001C5133"/>
    <w:rsid w:val="001C5152"/>
    <w:rsid w:val="001C518C"/>
    <w:rsid w:val="001C5258"/>
    <w:rsid w:val="001C5267"/>
    <w:rsid w:val="001C5450"/>
    <w:rsid w:val="001C546E"/>
    <w:rsid w:val="001C54ED"/>
    <w:rsid w:val="001C54F2"/>
    <w:rsid w:val="001C55B7"/>
    <w:rsid w:val="001C55FE"/>
    <w:rsid w:val="001C5606"/>
    <w:rsid w:val="001C5955"/>
    <w:rsid w:val="001C5962"/>
    <w:rsid w:val="001C5A0D"/>
    <w:rsid w:val="001C5A22"/>
    <w:rsid w:val="001C5A52"/>
    <w:rsid w:val="001C5B47"/>
    <w:rsid w:val="001C5CFC"/>
    <w:rsid w:val="001C5E0E"/>
    <w:rsid w:val="001C5E1A"/>
    <w:rsid w:val="001C5E2D"/>
    <w:rsid w:val="001C5EB6"/>
    <w:rsid w:val="001C5F22"/>
    <w:rsid w:val="001C5F64"/>
    <w:rsid w:val="001C5FAB"/>
    <w:rsid w:val="001C6095"/>
    <w:rsid w:val="001C61D7"/>
    <w:rsid w:val="001C61E9"/>
    <w:rsid w:val="001C62CC"/>
    <w:rsid w:val="001C633D"/>
    <w:rsid w:val="001C648D"/>
    <w:rsid w:val="001C652A"/>
    <w:rsid w:val="001C65EF"/>
    <w:rsid w:val="001C664E"/>
    <w:rsid w:val="001C666C"/>
    <w:rsid w:val="001C6674"/>
    <w:rsid w:val="001C66A2"/>
    <w:rsid w:val="001C66AB"/>
    <w:rsid w:val="001C66B8"/>
    <w:rsid w:val="001C6771"/>
    <w:rsid w:val="001C67AE"/>
    <w:rsid w:val="001C6809"/>
    <w:rsid w:val="001C6895"/>
    <w:rsid w:val="001C691A"/>
    <w:rsid w:val="001C6957"/>
    <w:rsid w:val="001C696B"/>
    <w:rsid w:val="001C698B"/>
    <w:rsid w:val="001C6A40"/>
    <w:rsid w:val="001C6A75"/>
    <w:rsid w:val="001C6A8C"/>
    <w:rsid w:val="001C6A93"/>
    <w:rsid w:val="001C6AA1"/>
    <w:rsid w:val="001C6AD8"/>
    <w:rsid w:val="001C6B92"/>
    <w:rsid w:val="001C6CD3"/>
    <w:rsid w:val="001C6CED"/>
    <w:rsid w:val="001C6D07"/>
    <w:rsid w:val="001C6EBC"/>
    <w:rsid w:val="001C6F04"/>
    <w:rsid w:val="001C7011"/>
    <w:rsid w:val="001C7037"/>
    <w:rsid w:val="001C715A"/>
    <w:rsid w:val="001C7245"/>
    <w:rsid w:val="001C7292"/>
    <w:rsid w:val="001C72D7"/>
    <w:rsid w:val="001C7377"/>
    <w:rsid w:val="001C73CD"/>
    <w:rsid w:val="001C7468"/>
    <w:rsid w:val="001C7647"/>
    <w:rsid w:val="001C767D"/>
    <w:rsid w:val="001C7691"/>
    <w:rsid w:val="001C7700"/>
    <w:rsid w:val="001C7747"/>
    <w:rsid w:val="001C7797"/>
    <w:rsid w:val="001C77AB"/>
    <w:rsid w:val="001C7925"/>
    <w:rsid w:val="001C7954"/>
    <w:rsid w:val="001C7996"/>
    <w:rsid w:val="001C79BB"/>
    <w:rsid w:val="001C7A0D"/>
    <w:rsid w:val="001C7B36"/>
    <w:rsid w:val="001C7B3A"/>
    <w:rsid w:val="001C7B67"/>
    <w:rsid w:val="001C7C77"/>
    <w:rsid w:val="001C7C9D"/>
    <w:rsid w:val="001C7CC8"/>
    <w:rsid w:val="001C7D0C"/>
    <w:rsid w:val="001C7E02"/>
    <w:rsid w:val="001C7E30"/>
    <w:rsid w:val="001C7E70"/>
    <w:rsid w:val="001C7F2F"/>
    <w:rsid w:val="001C7F53"/>
    <w:rsid w:val="001C7FE4"/>
    <w:rsid w:val="001D004E"/>
    <w:rsid w:val="001D0060"/>
    <w:rsid w:val="001D0090"/>
    <w:rsid w:val="001D0097"/>
    <w:rsid w:val="001D01C3"/>
    <w:rsid w:val="001D02AD"/>
    <w:rsid w:val="001D02E6"/>
    <w:rsid w:val="001D032D"/>
    <w:rsid w:val="001D0387"/>
    <w:rsid w:val="001D03E3"/>
    <w:rsid w:val="001D03EA"/>
    <w:rsid w:val="001D0413"/>
    <w:rsid w:val="001D0416"/>
    <w:rsid w:val="001D042D"/>
    <w:rsid w:val="001D04AD"/>
    <w:rsid w:val="001D04E8"/>
    <w:rsid w:val="001D0616"/>
    <w:rsid w:val="001D06A3"/>
    <w:rsid w:val="001D07C2"/>
    <w:rsid w:val="001D07CC"/>
    <w:rsid w:val="001D0828"/>
    <w:rsid w:val="001D082D"/>
    <w:rsid w:val="001D084D"/>
    <w:rsid w:val="001D090B"/>
    <w:rsid w:val="001D0912"/>
    <w:rsid w:val="001D096B"/>
    <w:rsid w:val="001D0977"/>
    <w:rsid w:val="001D09BC"/>
    <w:rsid w:val="001D09F1"/>
    <w:rsid w:val="001D0A7A"/>
    <w:rsid w:val="001D0A7F"/>
    <w:rsid w:val="001D0A99"/>
    <w:rsid w:val="001D0AA3"/>
    <w:rsid w:val="001D0AB0"/>
    <w:rsid w:val="001D0AC5"/>
    <w:rsid w:val="001D0AF6"/>
    <w:rsid w:val="001D0B56"/>
    <w:rsid w:val="001D0B66"/>
    <w:rsid w:val="001D0BB9"/>
    <w:rsid w:val="001D0BEC"/>
    <w:rsid w:val="001D0CD0"/>
    <w:rsid w:val="001D0CE5"/>
    <w:rsid w:val="001D0D47"/>
    <w:rsid w:val="001D0D7F"/>
    <w:rsid w:val="001D0DF3"/>
    <w:rsid w:val="001D0F10"/>
    <w:rsid w:val="001D0F23"/>
    <w:rsid w:val="001D0F5C"/>
    <w:rsid w:val="001D0F65"/>
    <w:rsid w:val="001D0FBB"/>
    <w:rsid w:val="001D0FFB"/>
    <w:rsid w:val="001D1013"/>
    <w:rsid w:val="001D10FB"/>
    <w:rsid w:val="001D114C"/>
    <w:rsid w:val="001D12DB"/>
    <w:rsid w:val="001D12FC"/>
    <w:rsid w:val="001D138E"/>
    <w:rsid w:val="001D13F1"/>
    <w:rsid w:val="001D1508"/>
    <w:rsid w:val="001D15DA"/>
    <w:rsid w:val="001D15E3"/>
    <w:rsid w:val="001D169E"/>
    <w:rsid w:val="001D16EF"/>
    <w:rsid w:val="001D16FA"/>
    <w:rsid w:val="001D1767"/>
    <w:rsid w:val="001D17DB"/>
    <w:rsid w:val="001D1851"/>
    <w:rsid w:val="001D1918"/>
    <w:rsid w:val="001D1945"/>
    <w:rsid w:val="001D1964"/>
    <w:rsid w:val="001D1AF4"/>
    <w:rsid w:val="001D1B2F"/>
    <w:rsid w:val="001D1BFE"/>
    <w:rsid w:val="001D1D0F"/>
    <w:rsid w:val="001D1D15"/>
    <w:rsid w:val="001D1D64"/>
    <w:rsid w:val="001D1DDC"/>
    <w:rsid w:val="001D1F4A"/>
    <w:rsid w:val="001D1FC5"/>
    <w:rsid w:val="001D1FD5"/>
    <w:rsid w:val="001D2013"/>
    <w:rsid w:val="001D20E7"/>
    <w:rsid w:val="001D20F2"/>
    <w:rsid w:val="001D2141"/>
    <w:rsid w:val="001D217A"/>
    <w:rsid w:val="001D219E"/>
    <w:rsid w:val="001D21B4"/>
    <w:rsid w:val="001D21C3"/>
    <w:rsid w:val="001D21C5"/>
    <w:rsid w:val="001D2384"/>
    <w:rsid w:val="001D23C7"/>
    <w:rsid w:val="001D23D7"/>
    <w:rsid w:val="001D2417"/>
    <w:rsid w:val="001D244E"/>
    <w:rsid w:val="001D2475"/>
    <w:rsid w:val="001D2527"/>
    <w:rsid w:val="001D2530"/>
    <w:rsid w:val="001D259B"/>
    <w:rsid w:val="001D2688"/>
    <w:rsid w:val="001D26B4"/>
    <w:rsid w:val="001D27F2"/>
    <w:rsid w:val="001D280A"/>
    <w:rsid w:val="001D290F"/>
    <w:rsid w:val="001D2A05"/>
    <w:rsid w:val="001D2A10"/>
    <w:rsid w:val="001D2A14"/>
    <w:rsid w:val="001D2B25"/>
    <w:rsid w:val="001D2B93"/>
    <w:rsid w:val="001D2CE0"/>
    <w:rsid w:val="001D2CF0"/>
    <w:rsid w:val="001D2E67"/>
    <w:rsid w:val="001D2E8A"/>
    <w:rsid w:val="001D2F15"/>
    <w:rsid w:val="001D2F2A"/>
    <w:rsid w:val="001D2F74"/>
    <w:rsid w:val="001D2FF9"/>
    <w:rsid w:val="001D3008"/>
    <w:rsid w:val="001D3020"/>
    <w:rsid w:val="001D3028"/>
    <w:rsid w:val="001D30E4"/>
    <w:rsid w:val="001D31DB"/>
    <w:rsid w:val="001D3225"/>
    <w:rsid w:val="001D32EA"/>
    <w:rsid w:val="001D3333"/>
    <w:rsid w:val="001D33C3"/>
    <w:rsid w:val="001D33ED"/>
    <w:rsid w:val="001D34D9"/>
    <w:rsid w:val="001D3511"/>
    <w:rsid w:val="001D3551"/>
    <w:rsid w:val="001D35A0"/>
    <w:rsid w:val="001D35B4"/>
    <w:rsid w:val="001D35B9"/>
    <w:rsid w:val="001D361A"/>
    <w:rsid w:val="001D3633"/>
    <w:rsid w:val="001D3661"/>
    <w:rsid w:val="001D36EE"/>
    <w:rsid w:val="001D38AB"/>
    <w:rsid w:val="001D38EC"/>
    <w:rsid w:val="001D3A95"/>
    <w:rsid w:val="001D3BA4"/>
    <w:rsid w:val="001D3BF0"/>
    <w:rsid w:val="001D3CA6"/>
    <w:rsid w:val="001D3CB0"/>
    <w:rsid w:val="001D3CB4"/>
    <w:rsid w:val="001D3D5C"/>
    <w:rsid w:val="001D3FB1"/>
    <w:rsid w:val="001D4018"/>
    <w:rsid w:val="001D40CE"/>
    <w:rsid w:val="001D40DB"/>
    <w:rsid w:val="001D4111"/>
    <w:rsid w:val="001D411E"/>
    <w:rsid w:val="001D4133"/>
    <w:rsid w:val="001D413D"/>
    <w:rsid w:val="001D418A"/>
    <w:rsid w:val="001D42ED"/>
    <w:rsid w:val="001D43AA"/>
    <w:rsid w:val="001D4489"/>
    <w:rsid w:val="001D4564"/>
    <w:rsid w:val="001D457F"/>
    <w:rsid w:val="001D4605"/>
    <w:rsid w:val="001D4654"/>
    <w:rsid w:val="001D482B"/>
    <w:rsid w:val="001D499E"/>
    <w:rsid w:val="001D49D6"/>
    <w:rsid w:val="001D4AA0"/>
    <w:rsid w:val="001D4B2C"/>
    <w:rsid w:val="001D4BBE"/>
    <w:rsid w:val="001D4CBA"/>
    <w:rsid w:val="001D4E3D"/>
    <w:rsid w:val="001D4E6B"/>
    <w:rsid w:val="001D4EFD"/>
    <w:rsid w:val="001D4F53"/>
    <w:rsid w:val="001D509A"/>
    <w:rsid w:val="001D5120"/>
    <w:rsid w:val="001D5127"/>
    <w:rsid w:val="001D51C9"/>
    <w:rsid w:val="001D51D1"/>
    <w:rsid w:val="001D51FB"/>
    <w:rsid w:val="001D524B"/>
    <w:rsid w:val="001D52F1"/>
    <w:rsid w:val="001D5318"/>
    <w:rsid w:val="001D53C0"/>
    <w:rsid w:val="001D53CA"/>
    <w:rsid w:val="001D53DA"/>
    <w:rsid w:val="001D543F"/>
    <w:rsid w:val="001D544C"/>
    <w:rsid w:val="001D5497"/>
    <w:rsid w:val="001D554D"/>
    <w:rsid w:val="001D5560"/>
    <w:rsid w:val="001D558B"/>
    <w:rsid w:val="001D5595"/>
    <w:rsid w:val="001D559A"/>
    <w:rsid w:val="001D55B6"/>
    <w:rsid w:val="001D56AC"/>
    <w:rsid w:val="001D5733"/>
    <w:rsid w:val="001D5765"/>
    <w:rsid w:val="001D57D0"/>
    <w:rsid w:val="001D5837"/>
    <w:rsid w:val="001D5856"/>
    <w:rsid w:val="001D585E"/>
    <w:rsid w:val="001D58AD"/>
    <w:rsid w:val="001D5A0B"/>
    <w:rsid w:val="001D5B25"/>
    <w:rsid w:val="001D5B6E"/>
    <w:rsid w:val="001D5EC2"/>
    <w:rsid w:val="001D5F52"/>
    <w:rsid w:val="001D600D"/>
    <w:rsid w:val="001D6039"/>
    <w:rsid w:val="001D6150"/>
    <w:rsid w:val="001D61AD"/>
    <w:rsid w:val="001D61BA"/>
    <w:rsid w:val="001D6261"/>
    <w:rsid w:val="001D6295"/>
    <w:rsid w:val="001D6388"/>
    <w:rsid w:val="001D63F0"/>
    <w:rsid w:val="001D6469"/>
    <w:rsid w:val="001D648E"/>
    <w:rsid w:val="001D64DA"/>
    <w:rsid w:val="001D652F"/>
    <w:rsid w:val="001D657B"/>
    <w:rsid w:val="001D65B3"/>
    <w:rsid w:val="001D6600"/>
    <w:rsid w:val="001D6699"/>
    <w:rsid w:val="001D66BE"/>
    <w:rsid w:val="001D6728"/>
    <w:rsid w:val="001D676A"/>
    <w:rsid w:val="001D67A5"/>
    <w:rsid w:val="001D67F1"/>
    <w:rsid w:val="001D6859"/>
    <w:rsid w:val="001D6931"/>
    <w:rsid w:val="001D6936"/>
    <w:rsid w:val="001D699F"/>
    <w:rsid w:val="001D6A18"/>
    <w:rsid w:val="001D6ACD"/>
    <w:rsid w:val="001D6B0D"/>
    <w:rsid w:val="001D6B17"/>
    <w:rsid w:val="001D6B6A"/>
    <w:rsid w:val="001D6C63"/>
    <w:rsid w:val="001D6E2F"/>
    <w:rsid w:val="001D6E81"/>
    <w:rsid w:val="001D6F35"/>
    <w:rsid w:val="001D6F3D"/>
    <w:rsid w:val="001D6F90"/>
    <w:rsid w:val="001D7086"/>
    <w:rsid w:val="001D7102"/>
    <w:rsid w:val="001D710F"/>
    <w:rsid w:val="001D71D4"/>
    <w:rsid w:val="001D7207"/>
    <w:rsid w:val="001D7255"/>
    <w:rsid w:val="001D728F"/>
    <w:rsid w:val="001D72A6"/>
    <w:rsid w:val="001D72FD"/>
    <w:rsid w:val="001D732B"/>
    <w:rsid w:val="001D734C"/>
    <w:rsid w:val="001D7354"/>
    <w:rsid w:val="001D7398"/>
    <w:rsid w:val="001D7408"/>
    <w:rsid w:val="001D7428"/>
    <w:rsid w:val="001D74C9"/>
    <w:rsid w:val="001D74F1"/>
    <w:rsid w:val="001D752C"/>
    <w:rsid w:val="001D7539"/>
    <w:rsid w:val="001D755C"/>
    <w:rsid w:val="001D768E"/>
    <w:rsid w:val="001D76C0"/>
    <w:rsid w:val="001D76C6"/>
    <w:rsid w:val="001D772B"/>
    <w:rsid w:val="001D775C"/>
    <w:rsid w:val="001D77A6"/>
    <w:rsid w:val="001D7803"/>
    <w:rsid w:val="001D7806"/>
    <w:rsid w:val="001D7858"/>
    <w:rsid w:val="001D78BE"/>
    <w:rsid w:val="001D790E"/>
    <w:rsid w:val="001D793A"/>
    <w:rsid w:val="001D795B"/>
    <w:rsid w:val="001D7A49"/>
    <w:rsid w:val="001D7ADA"/>
    <w:rsid w:val="001D7B27"/>
    <w:rsid w:val="001D7B8B"/>
    <w:rsid w:val="001D7BB3"/>
    <w:rsid w:val="001D7BE7"/>
    <w:rsid w:val="001D7BF2"/>
    <w:rsid w:val="001D7C7C"/>
    <w:rsid w:val="001D7C8A"/>
    <w:rsid w:val="001D7C92"/>
    <w:rsid w:val="001D7CCC"/>
    <w:rsid w:val="001D7E26"/>
    <w:rsid w:val="001D7EA0"/>
    <w:rsid w:val="001D7ED6"/>
    <w:rsid w:val="001D7EFF"/>
    <w:rsid w:val="001D7FC9"/>
    <w:rsid w:val="001D7FD2"/>
    <w:rsid w:val="001E0016"/>
    <w:rsid w:val="001E012F"/>
    <w:rsid w:val="001E013C"/>
    <w:rsid w:val="001E01B7"/>
    <w:rsid w:val="001E026F"/>
    <w:rsid w:val="001E0356"/>
    <w:rsid w:val="001E038C"/>
    <w:rsid w:val="001E03A9"/>
    <w:rsid w:val="001E0445"/>
    <w:rsid w:val="001E0556"/>
    <w:rsid w:val="001E0595"/>
    <w:rsid w:val="001E05CE"/>
    <w:rsid w:val="001E0694"/>
    <w:rsid w:val="001E0708"/>
    <w:rsid w:val="001E075F"/>
    <w:rsid w:val="001E076E"/>
    <w:rsid w:val="001E07F4"/>
    <w:rsid w:val="001E0836"/>
    <w:rsid w:val="001E0938"/>
    <w:rsid w:val="001E0971"/>
    <w:rsid w:val="001E0A4A"/>
    <w:rsid w:val="001E0ABB"/>
    <w:rsid w:val="001E0B21"/>
    <w:rsid w:val="001E0B41"/>
    <w:rsid w:val="001E0B8F"/>
    <w:rsid w:val="001E0BF7"/>
    <w:rsid w:val="001E0C82"/>
    <w:rsid w:val="001E0C8B"/>
    <w:rsid w:val="001E0D0D"/>
    <w:rsid w:val="001E0E87"/>
    <w:rsid w:val="001E0EDF"/>
    <w:rsid w:val="001E0EF3"/>
    <w:rsid w:val="001E1011"/>
    <w:rsid w:val="001E10CB"/>
    <w:rsid w:val="001E1101"/>
    <w:rsid w:val="001E1159"/>
    <w:rsid w:val="001E11A1"/>
    <w:rsid w:val="001E1200"/>
    <w:rsid w:val="001E1274"/>
    <w:rsid w:val="001E130D"/>
    <w:rsid w:val="001E1382"/>
    <w:rsid w:val="001E13BF"/>
    <w:rsid w:val="001E13E3"/>
    <w:rsid w:val="001E146A"/>
    <w:rsid w:val="001E14A4"/>
    <w:rsid w:val="001E14C4"/>
    <w:rsid w:val="001E14EA"/>
    <w:rsid w:val="001E1571"/>
    <w:rsid w:val="001E16CB"/>
    <w:rsid w:val="001E1710"/>
    <w:rsid w:val="001E1762"/>
    <w:rsid w:val="001E17FD"/>
    <w:rsid w:val="001E1884"/>
    <w:rsid w:val="001E18B3"/>
    <w:rsid w:val="001E1937"/>
    <w:rsid w:val="001E1A55"/>
    <w:rsid w:val="001E1A82"/>
    <w:rsid w:val="001E1AC7"/>
    <w:rsid w:val="001E1C70"/>
    <w:rsid w:val="001E1C81"/>
    <w:rsid w:val="001E1D11"/>
    <w:rsid w:val="001E1D9E"/>
    <w:rsid w:val="001E1DBA"/>
    <w:rsid w:val="001E1DBC"/>
    <w:rsid w:val="001E1DDC"/>
    <w:rsid w:val="001E1DE2"/>
    <w:rsid w:val="001E1E64"/>
    <w:rsid w:val="001E1F65"/>
    <w:rsid w:val="001E1F8D"/>
    <w:rsid w:val="001E1FB0"/>
    <w:rsid w:val="001E1FDE"/>
    <w:rsid w:val="001E208E"/>
    <w:rsid w:val="001E20E2"/>
    <w:rsid w:val="001E217A"/>
    <w:rsid w:val="001E2193"/>
    <w:rsid w:val="001E21DE"/>
    <w:rsid w:val="001E224D"/>
    <w:rsid w:val="001E225F"/>
    <w:rsid w:val="001E2284"/>
    <w:rsid w:val="001E2324"/>
    <w:rsid w:val="001E25F7"/>
    <w:rsid w:val="001E2617"/>
    <w:rsid w:val="001E266C"/>
    <w:rsid w:val="001E26A6"/>
    <w:rsid w:val="001E273C"/>
    <w:rsid w:val="001E2742"/>
    <w:rsid w:val="001E27C0"/>
    <w:rsid w:val="001E27F4"/>
    <w:rsid w:val="001E2812"/>
    <w:rsid w:val="001E2819"/>
    <w:rsid w:val="001E28B2"/>
    <w:rsid w:val="001E28F2"/>
    <w:rsid w:val="001E297E"/>
    <w:rsid w:val="001E2A40"/>
    <w:rsid w:val="001E2A49"/>
    <w:rsid w:val="001E2A90"/>
    <w:rsid w:val="001E2AD9"/>
    <w:rsid w:val="001E2AEF"/>
    <w:rsid w:val="001E2BFF"/>
    <w:rsid w:val="001E2CA6"/>
    <w:rsid w:val="001E2CEF"/>
    <w:rsid w:val="001E2D56"/>
    <w:rsid w:val="001E2E7A"/>
    <w:rsid w:val="001E2EBE"/>
    <w:rsid w:val="001E2ED3"/>
    <w:rsid w:val="001E2EDD"/>
    <w:rsid w:val="001E2EE0"/>
    <w:rsid w:val="001E2EFE"/>
    <w:rsid w:val="001E2F0D"/>
    <w:rsid w:val="001E2F5B"/>
    <w:rsid w:val="001E2F64"/>
    <w:rsid w:val="001E2FC3"/>
    <w:rsid w:val="001E2FCE"/>
    <w:rsid w:val="001E300B"/>
    <w:rsid w:val="001E3042"/>
    <w:rsid w:val="001E3213"/>
    <w:rsid w:val="001E322B"/>
    <w:rsid w:val="001E32E1"/>
    <w:rsid w:val="001E33A2"/>
    <w:rsid w:val="001E33B4"/>
    <w:rsid w:val="001E33E4"/>
    <w:rsid w:val="001E3490"/>
    <w:rsid w:val="001E34CA"/>
    <w:rsid w:val="001E350F"/>
    <w:rsid w:val="001E3682"/>
    <w:rsid w:val="001E3702"/>
    <w:rsid w:val="001E37A4"/>
    <w:rsid w:val="001E37C3"/>
    <w:rsid w:val="001E38BD"/>
    <w:rsid w:val="001E38BE"/>
    <w:rsid w:val="001E3928"/>
    <w:rsid w:val="001E394D"/>
    <w:rsid w:val="001E39B1"/>
    <w:rsid w:val="001E3A9E"/>
    <w:rsid w:val="001E3AEE"/>
    <w:rsid w:val="001E3BAA"/>
    <w:rsid w:val="001E3C4B"/>
    <w:rsid w:val="001E3C51"/>
    <w:rsid w:val="001E3C52"/>
    <w:rsid w:val="001E3C59"/>
    <w:rsid w:val="001E3C5A"/>
    <w:rsid w:val="001E3C6A"/>
    <w:rsid w:val="001E3CEA"/>
    <w:rsid w:val="001E3D02"/>
    <w:rsid w:val="001E3D8B"/>
    <w:rsid w:val="001E3E37"/>
    <w:rsid w:val="001E3E3C"/>
    <w:rsid w:val="001E3EF5"/>
    <w:rsid w:val="001E3F31"/>
    <w:rsid w:val="001E3FF8"/>
    <w:rsid w:val="001E404D"/>
    <w:rsid w:val="001E4083"/>
    <w:rsid w:val="001E40DE"/>
    <w:rsid w:val="001E428A"/>
    <w:rsid w:val="001E42EA"/>
    <w:rsid w:val="001E43A0"/>
    <w:rsid w:val="001E4401"/>
    <w:rsid w:val="001E449E"/>
    <w:rsid w:val="001E4522"/>
    <w:rsid w:val="001E453A"/>
    <w:rsid w:val="001E4551"/>
    <w:rsid w:val="001E4593"/>
    <w:rsid w:val="001E459A"/>
    <w:rsid w:val="001E45AF"/>
    <w:rsid w:val="001E465D"/>
    <w:rsid w:val="001E4681"/>
    <w:rsid w:val="001E46DE"/>
    <w:rsid w:val="001E4722"/>
    <w:rsid w:val="001E4780"/>
    <w:rsid w:val="001E4788"/>
    <w:rsid w:val="001E47DE"/>
    <w:rsid w:val="001E485E"/>
    <w:rsid w:val="001E4872"/>
    <w:rsid w:val="001E4A11"/>
    <w:rsid w:val="001E4A48"/>
    <w:rsid w:val="001E4AAE"/>
    <w:rsid w:val="001E4C11"/>
    <w:rsid w:val="001E4C18"/>
    <w:rsid w:val="001E4C75"/>
    <w:rsid w:val="001E4CA9"/>
    <w:rsid w:val="001E4CCB"/>
    <w:rsid w:val="001E4DDA"/>
    <w:rsid w:val="001E4E05"/>
    <w:rsid w:val="001E4E99"/>
    <w:rsid w:val="001E4EB9"/>
    <w:rsid w:val="001E4EDB"/>
    <w:rsid w:val="001E4EE2"/>
    <w:rsid w:val="001E4F3B"/>
    <w:rsid w:val="001E5078"/>
    <w:rsid w:val="001E523B"/>
    <w:rsid w:val="001E532F"/>
    <w:rsid w:val="001E55BC"/>
    <w:rsid w:val="001E5603"/>
    <w:rsid w:val="001E5626"/>
    <w:rsid w:val="001E5674"/>
    <w:rsid w:val="001E568B"/>
    <w:rsid w:val="001E56B4"/>
    <w:rsid w:val="001E5778"/>
    <w:rsid w:val="001E57E8"/>
    <w:rsid w:val="001E587D"/>
    <w:rsid w:val="001E59CD"/>
    <w:rsid w:val="001E5A02"/>
    <w:rsid w:val="001E5A14"/>
    <w:rsid w:val="001E5A19"/>
    <w:rsid w:val="001E5A3A"/>
    <w:rsid w:val="001E5B1D"/>
    <w:rsid w:val="001E5B23"/>
    <w:rsid w:val="001E5BE4"/>
    <w:rsid w:val="001E5BEC"/>
    <w:rsid w:val="001E5C81"/>
    <w:rsid w:val="001E5C8D"/>
    <w:rsid w:val="001E5DC1"/>
    <w:rsid w:val="001E5E0E"/>
    <w:rsid w:val="001E5E4D"/>
    <w:rsid w:val="001E5FC3"/>
    <w:rsid w:val="001E606E"/>
    <w:rsid w:val="001E60E5"/>
    <w:rsid w:val="001E6138"/>
    <w:rsid w:val="001E6142"/>
    <w:rsid w:val="001E6208"/>
    <w:rsid w:val="001E628D"/>
    <w:rsid w:val="001E633B"/>
    <w:rsid w:val="001E6388"/>
    <w:rsid w:val="001E63F1"/>
    <w:rsid w:val="001E647D"/>
    <w:rsid w:val="001E64CB"/>
    <w:rsid w:val="001E64F8"/>
    <w:rsid w:val="001E652A"/>
    <w:rsid w:val="001E652E"/>
    <w:rsid w:val="001E660D"/>
    <w:rsid w:val="001E668A"/>
    <w:rsid w:val="001E66C1"/>
    <w:rsid w:val="001E66C6"/>
    <w:rsid w:val="001E66E8"/>
    <w:rsid w:val="001E6705"/>
    <w:rsid w:val="001E6745"/>
    <w:rsid w:val="001E67D3"/>
    <w:rsid w:val="001E6818"/>
    <w:rsid w:val="001E6867"/>
    <w:rsid w:val="001E68E0"/>
    <w:rsid w:val="001E68F0"/>
    <w:rsid w:val="001E690E"/>
    <w:rsid w:val="001E69AC"/>
    <w:rsid w:val="001E69DD"/>
    <w:rsid w:val="001E6A32"/>
    <w:rsid w:val="001E6AB2"/>
    <w:rsid w:val="001E6AC4"/>
    <w:rsid w:val="001E6B15"/>
    <w:rsid w:val="001E6BEB"/>
    <w:rsid w:val="001E6C1C"/>
    <w:rsid w:val="001E6C76"/>
    <w:rsid w:val="001E6CF0"/>
    <w:rsid w:val="001E6D4B"/>
    <w:rsid w:val="001E6E0C"/>
    <w:rsid w:val="001E6E35"/>
    <w:rsid w:val="001E6F72"/>
    <w:rsid w:val="001E6FAB"/>
    <w:rsid w:val="001E71F4"/>
    <w:rsid w:val="001E724D"/>
    <w:rsid w:val="001E7271"/>
    <w:rsid w:val="001E7285"/>
    <w:rsid w:val="001E72C7"/>
    <w:rsid w:val="001E73C9"/>
    <w:rsid w:val="001E74CC"/>
    <w:rsid w:val="001E758D"/>
    <w:rsid w:val="001E75A6"/>
    <w:rsid w:val="001E75E9"/>
    <w:rsid w:val="001E75F0"/>
    <w:rsid w:val="001E7658"/>
    <w:rsid w:val="001E76A8"/>
    <w:rsid w:val="001E7708"/>
    <w:rsid w:val="001E78CE"/>
    <w:rsid w:val="001E7908"/>
    <w:rsid w:val="001E7975"/>
    <w:rsid w:val="001E7A5A"/>
    <w:rsid w:val="001E7B04"/>
    <w:rsid w:val="001E7C5A"/>
    <w:rsid w:val="001E7D22"/>
    <w:rsid w:val="001E7D2A"/>
    <w:rsid w:val="001E7D93"/>
    <w:rsid w:val="001E7DE3"/>
    <w:rsid w:val="001E7E7F"/>
    <w:rsid w:val="001E7F27"/>
    <w:rsid w:val="001E7F7A"/>
    <w:rsid w:val="001E7FFC"/>
    <w:rsid w:val="001F0191"/>
    <w:rsid w:val="001F02BB"/>
    <w:rsid w:val="001F0321"/>
    <w:rsid w:val="001F03A7"/>
    <w:rsid w:val="001F03B0"/>
    <w:rsid w:val="001F03B3"/>
    <w:rsid w:val="001F0508"/>
    <w:rsid w:val="001F057E"/>
    <w:rsid w:val="001F0663"/>
    <w:rsid w:val="001F06C9"/>
    <w:rsid w:val="001F0731"/>
    <w:rsid w:val="001F091C"/>
    <w:rsid w:val="001F096B"/>
    <w:rsid w:val="001F097B"/>
    <w:rsid w:val="001F0AE4"/>
    <w:rsid w:val="001F0B95"/>
    <w:rsid w:val="001F0BF5"/>
    <w:rsid w:val="001F0C23"/>
    <w:rsid w:val="001F0D46"/>
    <w:rsid w:val="001F0DC5"/>
    <w:rsid w:val="001F0E9F"/>
    <w:rsid w:val="001F107C"/>
    <w:rsid w:val="001F10A4"/>
    <w:rsid w:val="001F1104"/>
    <w:rsid w:val="001F1117"/>
    <w:rsid w:val="001F1179"/>
    <w:rsid w:val="001F11DB"/>
    <w:rsid w:val="001F1281"/>
    <w:rsid w:val="001F12CE"/>
    <w:rsid w:val="001F135D"/>
    <w:rsid w:val="001F13C3"/>
    <w:rsid w:val="001F13CE"/>
    <w:rsid w:val="001F1454"/>
    <w:rsid w:val="001F1475"/>
    <w:rsid w:val="001F14FD"/>
    <w:rsid w:val="001F1578"/>
    <w:rsid w:val="001F15BA"/>
    <w:rsid w:val="001F16B5"/>
    <w:rsid w:val="001F1735"/>
    <w:rsid w:val="001F1774"/>
    <w:rsid w:val="001F18F3"/>
    <w:rsid w:val="001F1938"/>
    <w:rsid w:val="001F1957"/>
    <w:rsid w:val="001F1BBE"/>
    <w:rsid w:val="001F1BD8"/>
    <w:rsid w:val="001F1CAC"/>
    <w:rsid w:val="001F1D12"/>
    <w:rsid w:val="001F1D47"/>
    <w:rsid w:val="001F1ED0"/>
    <w:rsid w:val="001F1F28"/>
    <w:rsid w:val="001F2033"/>
    <w:rsid w:val="001F2064"/>
    <w:rsid w:val="001F20CD"/>
    <w:rsid w:val="001F2132"/>
    <w:rsid w:val="001F2142"/>
    <w:rsid w:val="001F2212"/>
    <w:rsid w:val="001F2345"/>
    <w:rsid w:val="001F23BA"/>
    <w:rsid w:val="001F2429"/>
    <w:rsid w:val="001F2575"/>
    <w:rsid w:val="001F25B6"/>
    <w:rsid w:val="001F25DE"/>
    <w:rsid w:val="001F25FC"/>
    <w:rsid w:val="001F2627"/>
    <w:rsid w:val="001F271C"/>
    <w:rsid w:val="001F284B"/>
    <w:rsid w:val="001F2881"/>
    <w:rsid w:val="001F29F0"/>
    <w:rsid w:val="001F2A89"/>
    <w:rsid w:val="001F2B32"/>
    <w:rsid w:val="001F2BA6"/>
    <w:rsid w:val="001F2BC7"/>
    <w:rsid w:val="001F2CCE"/>
    <w:rsid w:val="001F2D6A"/>
    <w:rsid w:val="001F2D72"/>
    <w:rsid w:val="001F2D8B"/>
    <w:rsid w:val="001F2D95"/>
    <w:rsid w:val="001F2DD9"/>
    <w:rsid w:val="001F2E36"/>
    <w:rsid w:val="001F2EE3"/>
    <w:rsid w:val="001F2F2C"/>
    <w:rsid w:val="001F2FDF"/>
    <w:rsid w:val="001F3039"/>
    <w:rsid w:val="001F3084"/>
    <w:rsid w:val="001F31B3"/>
    <w:rsid w:val="001F321C"/>
    <w:rsid w:val="001F32BF"/>
    <w:rsid w:val="001F33C3"/>
    <w:rsid w:val="001F3462"/>
    <w:rsid w:val="001F351B"/>
    <w:rsid w:val="001F36B8"/>
    <w:rsid w:val="001F36DA"/>
    <w:rsid w:val="001F375A"/>
    <w:rsid w:val="001F3805"/>
    <w:rsid w:val="001F3917"/>
    <w:rsid w:val="001F39E1"/>
    <w:rsid w:val="001F3A43"/>
    <w:rsid w:val="001F3AA0"/>
    <w:rsid w:val="001F3AC3"/>
    <w:rsid w:val="001F3ADB"/>
    <w:rsid w:val="001F3BD9"/>
    <w:rsid w:val="001F3C17"/>
    <w:rsid w:val="001F3C3D"/>
    <w:rsid w:val="001F3C7C"/>
    <w:rsid w:val="001F3D91"/>
    <w:rsid w:val="001F3DB5"/>
    <w:rsid w:val="001F3E01"/>
    <w:rsid w:val="001F431F"/>
    <w:rsid w:val="001F4345"/>
    <w:rsid w:val="001F43B7"/>
    <w:rsid w:val="001F43E7"/>
    <w:rsid w:val="001F4400"/>
    <w:rsid w:val="001F443E"/>
    <w:rsid w:val="001F446F"/>
    <w:rsid w:val="001F4496"/>
    <w:rsid w:val="001F45AE"/>
    <w:rsid w:val="001F45B1"/>
    <w:rsid w:val="001F4609"/>
    <w:rsid w:val="001F460D"/>
    <w:rsid w:val="001F4616"/>
    <w:rsid w:val="001F4623"/>
    <w:rsid w:val="001F46A0"/>
    <w:rsid w:val="001F482B"/>
    <w:rsid w:val="001F4879"/>
    <w:rsid w:val="001F48D3"/>
    <w:rsid w:val="001F48E4"/>
    <w:rsid w:val="001F48F9"/>
    <w:rsid w:val="001F4981"/>
    <w:rsid w:val="001F4A4C"/>
    <w:rsid w:val="001F4A73"/>
    <w:rsid w:val="001F4AE5"/>
    <w:rsid w:val="001F4AF9"/>
    <w:rsid w:val="001F4B19"/>
    <w:rsid w:val="001F4B2A"/>
    <w:rsid w:val="001F4B31"/>
    <w:rsid w:val="001F4BCF"/>
    <w:rsid w:val="001F4BFD"/>
    <w:rsid w:val="001F4CBE"/>
    <w:rsid w:val="001F4CC5"/>
    <w:rsid w:val="001F4CF9"/>
    <w:rsid w:val="001F4D96"/>
    <w:rsid w:val="001F4E87"/>
    <w:rsid w:val="001F4E93"/>
    <w:rsid w:val="001F4EB3"/>
    <w:rsid w:val="001F4EF3"/>
    <w:rsid w:val="001F4F3A"/>
    <w:rsid w:val="001F4F8B"/>
    <w:rsid w:val="001F4FFA"/>
    <w:rsid w:val="001F5029"/>
    <w:rsid w:val="001F5040"/>
    <w:rsid w:val="001F5071"/>
    <w:rsid w:val="001F50E9"/>
    <w:rsid w:val="001F51C2"/>
    <w:rsid w:val="001F5217"/>
    <w:rsid w:val="001F521A"/>
    <w:rsid w:val="001F5298"/>
    <w:rsid w:val="001F52EA"/>
    <w:rsid w:val="001F53EF"/>
    <w:rsid w:val="001F544C"/>
    <w:rsid w:val="001F5529"/>
    <w:rsid w:val="001F555E"/>
    <w:rsid w:val="001F5694"/>
    <w:rsid w:val="001F57C8"/>
    <w:rsid w:val="001F57FF"/>
    <w:rsid w:val="001F5853"/>
    <w:rsid w:val="001F586B"/>
    <w:rsid w:val="001F5876"/>
    <w:rsid w:val="001F58B7"/>
    <w:rsid w:val="001F5A76"/>
    <w:rsid w:val="001F5AFA"/>
    <w:rsid w:val="001F5B05"/>
    <w:rsid w:val="001F5B8A"/>
    <w:rsid w:val="001F5BCE"/>
    <w:rsid w:val="001F5BE4"/>
    <w:rsid w:val="001F5C30"/>
    <w:rsid w:val="001F5C7B"/>
    <w:rsid w:val="001F5C9E"/>
    <w:rsid w:val="001F5D66"/>
    <w:rsid w:val="001F5DAC"/>
    <w:rsid w:val="001F5DB9"/>
    <w:rsid w:val="001F5DDF"/>
    <w:rsid w:val="001F5E44"/>
    <w:rsid w:val="001F5EB9"/>
    <w:rsid w:val="001F5FF2"/>
    <w:rsid w:val="001F618B"/>
    <w:rsid w:val="001F619E"/>
    <w:rsid w:val="001F61F5"/>
    <w:rsid w:val="001F624B"/>
    <w:rsid w:val="001F6306"/>
    <w:rsid w:val="001F640E"/>
    <w:rsid w:val="001F6426"/>
    <w:rsid w:val="001F6490"/>
    <w:rsid w:val="001F6500"/>
    <w:rsid w:val="001F65EE"/>
    <w:rsid w:val="001F663A"/>
    <w:rsid w:val="001F666C"/>
    <w:rsid w:val="001F6695"/>
    <w:rsid w:val="001F66B2"/>
    <w:rsid w:val="001F66EE"/>
    <w:rsid w:val="001F66FC"/>
    <w:rsid w:val="001F671C"/>
    <w:rsid w:val="001F6796"/>
    <w:rsid w:val="001F68AD"/>
    <w:rsid w:val="001F68B7"/>
    <w:rsid w:val="001F68F6"/>
    <w:rsid w:val="001F694D"/>
    <w:rsid w:val="001F699A"/>
    <w:rsid w:val="001F6A13"/>
    <w:rsid w:val="001F6A3E"/>
    <w:rsid w:val="001F6A81"/>
    <w:rsid w:val="001F6AC8"/>
    <w:rsid w:val="001F6D13"/>
    <w:rsid w:val="001F6D1D"/>
    <w:rsid w:val="001F6D52"/>
    <w:rsid w:val="001F6D54"/>
    <w:rsid w:val="001F6EBC"/>
    <w:rsid w:val="001F6EE2"/>
    <w:rsid w:val="001F6F18"/>
    <w:rsid w:val="001F6F2B"/>
    <w:rsid w:val="001F700E"/>
    <w:rsid w:val="001F701C"/>
    <w:rsid w:val="001F707E"/>
    <w:rsid w:val="001F70BF"/>
    <w:rsid w:val="001F712F"/>
    <w:rsid w:val="001F717E"/>
    <w:rsid w:val="001F71A9"/>
    <w:rsid w:val="001F7214"/>
    <w:rsid w:val="001F7313"/>
    <w:rsid w:val="001F7368"/>
    <w:rsid w:val="001F74C8"/>
    <w:rsid w:val="001F74CE"/>
    <w:rsid w:val="001F75E7"/>
    <w:rsid w:val="001F760C"/>
    <w:rsid w:val="001F76EE"/>
    <w:rsid w:val="001F771B"/>
    <w:rsid w:val="001F772A"/>
    <w:rsid w:val="001F778F"/>
    <w:rsid w:val="001F7799"/>
    <w:rsid w:val="001F77B3"/>
    <w:rsid w:val="001F782A"/>
    <w:rsid w:val="001F7940"/>
    <w:rsid w:val="001F797E"/>
    <w:rsid w:val="001F79C6"/>
    <w:rsid w:val="001F79E9"/>
    <w:rsid w:val="001F79F5"/>
    <w:rsid w:val="001F7AFD"/>
    <w:rsid w:val="001F7C1C"/>
    <w:rsid w:val="001F7D71"/>
    <w:rsid w:val="001F7DB1"/>
    <w:rsid w:val="001F7E66"/>
    <w:rsid w:val="001F7F2F"/>
    <w:rsid w:val="0020000D"/>
    <w:rsid w:val="00200096"/>
    <w:rsid w:val="002000A4"/>
    <w:rsid w:val="002000C4"/>
    <w:rsid w:val="00200198"/>
    <w:rsid w:val="0020020C"/>
    <w:rsid w:val="00200220"/>
    <w:rsid w:val="00200239"/>
    <w:rsid w:val="00200264"/>
    <w:rsid w:val="0020027C"/>
    <w:rsid w:val="002002BB"/>
    <w:rsid w:val="002003B6"/>
    <w:rsid w:val="00200417"/>
    <w:rsid w:val="00200529"/>
    <w:rsid w:val="00200591"/>
    <w:rsid w:val="002005F3"/>
    <w:rsid w:val="0020069D"/>
    <w:rsid w:val="002006AF"/>
    <w:rsid w:val="00200789"/>
    <w:rsid w:val="002007B1"/>
    <w:rsid w:val="002007E3"/>
    <w:rsid w:val="00200918"/>
    <w:rsid w:val="00200932"/>
    <w:rsid w:val="00200998"/>
    <w:rsid w:val="002009DB"/>
    <w:rsid w:val="002009E7"/>
    <w:rsid w:val="00200A2B"/>
    <w:rsid w:val="00200A5D"/>
    <w:rsid w:val="00200AAE"/>
    <w:rsid w:val="00200BA2"/>
    <w:rsid w:val="00200C50"/>
    <w:rsid w:val="00200C5F"/>
    <w:rsid w:val="00200C9B"/>
    <w:rsid w:val="00200D81"/>
    <w:rsid w:val="00200D9F"/>
    <w:rsid w:val="00200E11"/>
    <w:rsid w:val="00200E92"/>
    <w:rsid w:val="00200EAB"/>
    <w:rsid w:val="00200F75"/>
    <w:rsid w:val="00201013"/>
    <w:rsid w:val="00201227"/>
    <w:rsid w:val="002012E6"/>
    <w:rsid w:val="002012F2"/>
    <w:rsid w:val="0020135F"/>
    <w:rsid w:val="002013DF"/>
    <w:rsid w:val="00201510"/>
    <w:rsid w:val="0020152A"/>
    <w:rsid w:val="0020153A"/>
    <w:rsid w:val="00201581"/>
    <w:rsid w:val="002015CB"/>
    <w:rsid w:val="002017B1"/>
    <w:rsid w:val="002017BD"/>
    <w:rsid w:val="002017F2"/>
    <w:rsid w:val="002018FC"/>
    <w:rsid w:val="00201A16"/>
    <w:rsid w:val="00201A50"/>
    <w:rsid w:val="00201A57"/>
    <w:rsid w:val="00201AB0"/>
    <w:rsid w:val="00201BD6"/>
    <w:rsid w:val="00201C90"/>
    <w:rsid w:val="00201CAC"/>
    <w:rsid w:val="00201CE9"/>
    <w:rsid w:val="00201DBF"/>
    <w:rsid w:val="00201E6E"/>
    <w:rsid w:val="00201E70"/>
    <w:rsid w:val="00201ED9"/>
    <w:rsid w:val="00201EDE"/>
    <w:rsid w:val="00202068"/>
    <w:rsid w:val="0020207F"/>
    <w:rsid w:val="002020A7"/>
    <w:rsid w:val="00202151"/>
    <w:rsid w:val="002021E2"/>
    <w:rsid w:val="00202280"/>
    <w:rsid w:val="00202346"/>
    <w:rsid w:val="0020237C"/>
    <w:rsid w:val="00202443"/>
    <w:rsid w:val="002024B0"/>
    <w:rsid w:val="002024FE"/>
    <w:rsid w:val="0020256C"/>
    <w:rsid w:val="0020260E"/>
    <w:rsid w:val="0020266A"/>
    <w:rsid w:val="00202727"/>
    <w:rsid w:val="002027EE"/>
    <w:rsid w:val="0020281E"/>
    <w:rsid w:val="0020287D"/>
    <w:rsid w:val="0020290C"/>
    <w:rsid w:val="00202972"/>
    <w:rsid w:val="00202C02"/>
    <w:rsid w:val="00202CD4"/>
    <w:rsid w:val="00202D05"/>
    <w:rsid w:val="00202D77"/>
    <w:rsid w:val="00202DAE"/>
    <w:rsid w:val="00202DB6"/>
    <w:rsid w:val="00202E8D"/>
    <w:rsid w:val="00202F6F"/>
    <w:rsid w:val="00203151"/>
    <w:rsid w:val="0020316A"/>
    <w:rsid w:val="00203172"/>
    <w:rsid w:val="0020319D"/>
    <w:rsid w:val="002031BB"/>
    <w:rsid w:val="002031C1"/>
    <w:rsid w:val="002031E0"/>
    <w:rsid w:val="00203220"/>
    <w:rsid w:val="00203282"/>
    <w:rsid w:val="002032AC"/>
    <w:rsid w:val="002032E3"/>
    <w:rsid w:val="002032F1"/>
    <w:rsid w:val="00203340"/>
    <w:rsid w:val="00203386"/>
    <w:rsid w:val="0020346B"/>
    <w:rsid w:val="0020355F"/>
    <w:rsid w:val="0020356B"/>
    <w:rsid w:val="0020362F"/>
    <w:rsid w:val="0020367B"/>
    <w:rsid w:val="0020369A"/>
    <w:rsid w:val="0020373B"/>
    <w:rsid w:val="002037A8"/>
    <w:rsid w:val="0020380B"/>
    <w:rsid w:val="002038CB"/>
    <w:rsid w:val="002038E4"/>
    <w:rsid w:val="0020398A"/>
    <w:rsid w:val="00203A98"/>
    <w:rsid w:val="00203BED"/>
    <w:rsid w:val="00203C34"/>
    <w:rsid w:val="00203C91"/>
    <w:rsid w:val="00203D10"/>
    <w:rsid w:val="00203D2E"/>
    <w:rsid w:val="00203DAD"/>
    <w:rsid w:val="00203E4C"/>
    <w:rsid w:val="00203E9A"/>
    <w:rsid w:val="00203F1C"/>
    <w:rsid w:val="00203F98"/>
    <w:rsid w:val="00203FD0"/>
    <w:rsid w:val="002040F8"/>
    <w:rsid w:val="002041AC"/>
    <w:rsid w:val="00204215"/>
    <w:rsid w:val="00204246"/>
    <w:rsid w:val="002042D9"/>
    <w:rsid w:val="0020430A"/>
    <w:rsid w:val="0020434E"/>
    <w:rsid w:val="00204381"/>
    <w:rsid w:val="002043AA"/>
    <w:rsid w:val="0020442B"/>
    <w:rsid w:val="002044D9"/>
    <w:rsid w:val="00204511"/>
    <w:rsid w:val="0020454E"/>
    <w:rsid w:val="00204550"/>
    <w:rsid w:val="002045D1"/>
    <w:rsid w:val="00204619"/>
    <w:rsid w:val="0020462E"/>
    <w:rsid w:val="0020466E"/>
    <w:rsid w:val="00204882"/>
    <w:rsid w:val="00204AAC"/>
    <w:rsid w:val="00204B9E"/>
    <w:rsid w:val="00204BF1"/>
    <w:rsid w:val="00204BF7"/>
    <w:rsid w:val="00204D49"/>
    <w:rsid w:val="00204E2A"/>
    <w:rsid w:val="00204E46"/>
    <w:rsid w:val="00204ED9"/>
    <w:rsid w:val="00204F61"/>
    <w:rsid w:val="00204FF8"/>
    <w:rsid w:val="0020505D"/>
    <w:rsid w:val="0020507F"/>
    <w:rsid w:val="00205124"/>
    <w:rsid w:val="002051B9"/>
    <w:rsid w:val="002052F7"/>
    <w:rsid w:val="0020537C"/>
    <w:rsid w:val="00205510"/>
    <w:rsid w:val="0020555F"/>
    <w:rsid w:val="0020557D"/>
    <w:rsid w:val="002056FB"/>
    <w:rsid w:val="00205752"/>
    <w:rsid w:val="002058BA"/>
    <w:rsid w:val="002058CF"/>
    <w:rsid w:val="0020592B"/>
    <w:rsid w:val="00205955"/>
    <w:rsid w:val="0020597C"/>
    <w:rsid w:val="002059B2"/>
    <w:rsid w:val="00205A47"/>
    <w:rsid w:val="00205A69"/>
    <w:rsid w:val="00205A75"/>
    <w:rsid w:val="00205A7C"/>
    <w:rsid w:val="00205AD8"/>
    <w:rsid w:val="00205ADE"/>
    <w:rsid w:val="00205B15"/>
    <w:rsid w:val="00205B18"/>
    <w:rsid w:val="00205B4C"/>
    <w:rsid w:val="00205B93"/>
    <w:rsid w:val="00205B97"/>
    <w:rsid w:val="00205BCE"/>
    <w:rsid w:val="00205C06"/>
    <w:rsid w:val="00205CE8"/>
    <w:rsid w:val="00205DF3"/>
    <w:rsid w:val="00205E22"/>
    <w:rsid w:val="00205F64"/>
    <w:rsid w:val="00206090"/>
    <w:rsid w:val="00206158"/>
    <w:rsid w:val="00206161"/>
    <w:rsid w:val="002061D4"/>
    <w:rsid w:val="00206206"/>
    <w:rsid w:val="002062A9"/>
    <w:rsid w:val="002062B1"/>
    <w:rsid w:val="00206362"/>
    <w:rsid w:val="00206461"/>
    <w:rsid w:val="00206465"/>
    <w:rsid w:val="002064D3"/>
    <w:rsid w:val="002066D2"/>
    <w:rsid w:val="002066E4"/>
    <w:rsid w:val="002067E4"/>
    <w:rsid w:val="0020682D"/>
    <w:rsid w:val="002068AE"/>
    <w:rsid w:val="00206957"/>
    <w:rsid w:val="00206993"/>
    <w:rsid w:val="00206A07"/>
    <w:rsid w:val="00206A21"/>
    <w:rsid w:val="00206A45"/>
    <w:rsid w:val="00206AB6"/>
    <w:rsid w:val="00206AEB"/>
    <w:rsid w:val="00206AFB"/>
    <w:rsid w:val="00206B86"/>
    <w:rsid w:val="00206CE0"/>
    <w:rsid w:val="00206CEB"/>
    <w:rsid w:val="00206DBD"/>
    <w:rsid w:val="00206DC8"/>
    <w:rsid w:val="00206E13"/>
    <w:rsid w:val="00206EAF"/>
    <w:rsid w:val="00206EB7"/>
    <w:rsid w:val="00206EE7"/>
    <w:rsid w:val="00206F72"/>
    <w:rsid w:val="00206FB9"/>
    <w:rsid w:val="002070DC"/>
    <w:rsid w:val="00207116"/>
    <w:rsid w:val="002071AA"/>
    <w:rsid w:val="00207334"/>
    <w:rsid w:val="00207337"/>
    <w:rsid w:val="00207461"/>
    <w:rsid w:val="002076A2"/>
    <w:rsid w:val="002076BD"/>
    <w:rsid w:val="0020770C"/>
    <w:rsid w:val="002077B4"/>
    <w:rsid w:val="002077CB"/>
    <w:rsid w:val="00207850"/>
    <w:rsid w:val="002078CB"/>
    <w:rsid w:val="00207959"/>
    <w:rsid w:val="00207984"/>
    <w:rsid w:val="00207A18"/>
    <w:rsid w:val="00207A36"/>
    <w:rsid w:val="00207A60"/>
    <w:rsid w:val="00207BBA"/>
    <w:rsid w:val="00207C8D"/>
    <w:rsid w:val="00207DD4"/>
    <w:rsid w:val="00207F56"/>
    <w:rsid w:val="0021009B"/>
    <w:rsid w:val="002100C2"/>
    <w:rsid w:val="002100C8"/>
    <w:rsid w:val="00210118"/>
    <w:rsid w:val="002101BF"/>
    <w:rsid w:val="0021029E"/>
    <w:rsid w:val="00210333"/>
    <w:rsid w:val="00210367"/>
    <w:rsid w:val="002103A0"/>
    <w:rsid w:val="0021045D"/>
    <w:rsid w:val="00210484"/>
    <w:rsid w:val="0021048F"/>
    <w:rsid w:val="0021051D"/>
    <w:rsid w:val="0021054E"/>
    <w:rsid w:val="00210550"/>
    <w:rsid w:val="00210569"/>
    <w:rsid w:val="0021065B"/>
    <w:rsid w:val="00210691"/>
    <w:rsid w:val="002106BE"/>
    <w:rsid w:val="002108A1"/>
    <w:rsid w:val="00210975"/>
    <w:rsid w:val="00210A38"/>
    <w:rsid w:val="00210A61"/>
    <w:rsid w:val="00210AE0"/>
    <w:rsid w:val="00210C1F"/>
    <w:rsid w:val="00210DAD"/>
    <w:rsid w:val="00210E71"/>
    <w:rsid w:val="00210E7D"/>
    <w:rsid w:val="00210EA3"/>
    <w:rsid w:val="00210FB1"/>
    <w:rsid w:val="00210FBD"/>
    <w:rsid w:val="0021100C"/>
    <w:rsid w:val="0021118D"/>
    <w:rsid w:val="002112F2"/>
    <w:rsid w:val="00211348"/>
    <w:rsid w:val="0021136D"/>
    <w:rsid w:val="002114A0"/>
    <w:rsid w:val="0021150B"/>
    <w:rsid w:val="0021153E"/>
    <w:rsid w:val="00211580"/>
    <w:rsid w:val="00211598"/>
    <w:rsid w:val="0021162E"/>
    <w:rsid w:val="002116A3"/>
    <w:rsid w:val="00211790"/>
    <w:rsid w:val="0021185E"/>
    <w:rsid w:val="00211881"/>
    <w:rsid w:val="002118E1"/>
    <w:rsid w:val="00211A9A"/>
    <w:rsid w:val="00211AB1"/>
    <w:rsid w:val="00211B89"/>
    <w:rsid w:val="00211BFC"/>
    <w:rsid w:val="00211C0A"/>
    <w:rsid w:val="00211C3A"/>
    <w:rsid w:val="00211D54"/>
    <w:rsid w:val="00211E67"/>
    <w:rsid w:val="00211E93"/>
    <w:rsid w:val="00211F01"/>
    <w:rsid w:val="00211F8D"/>
    <w:rsid w:val="002120C7"/>
    <w:rsid w:val="002120FB"/>
    <w:rsid w:val="00212173"/>
    <w:rsid w:val="002122E3"/>
    <w:rsid w:val="002122E4"/>
    <w:rsid w:val="0021233A"/>
    <w:rsid w:val="002123AD"/>
    <w:rsid w:val="002123B2"/>
    <w:rsid w:val="0021241E"/>
    <w:rsid w:val="00212423"/>
    <w:rsid w:val="002124D7"/>
    <w:rsid w:val="002124E6"/>
    <w:rsid w:val="002124EA"/>
    <w:rsid w:val="002125BB"/>
    <w:rsid w:val="00212637"/>
    <w:rsid w:val="00212645"/>
    <w:rsid w:val="002126E1"/>
    <w:rsid w:val="002127D6"/>
    <w:rsid w:val="002127EA"/>
    <w:rsid w:val="002127F3"/>
    <w:rsid w:val="0021281D"/>
    <w:rsid w:val="00212A40"/>
    <w:rsid w:val="00212AD7"/>
    <w:rsid w:val="00212B99"/>
    <w:rsid w:val="00212BAF"/>
    <w:rsid w:val="00212BB2"/>
    <w:rsid w:val="00212CA9"/>
    <w:rsid w:val="00212D3F"/>
    <w:rsid w:val="00212DB0"/>
    <w:rsid w:val="00212E1A"/>
    <w:rsid w:val="00212F39"/>
    <w:rsid w:val="0021308E"/>
    <w:rsid w:val="002130B7"/>
    <w:rsid w:val="00213126"/>
    <w:rsid w:val="0021323A"/>
    <w:rsid w:val="00213348"/>
    <w:rsid w:val="00213398"/>
    <w:rsid w:val="00213576"/>
    <w:rsid w:val="0021358D"/>
    <w:rsid w:val="00213624"/>
    <w:rsid w:val="00213638"/>
    <w:rsid w:val="002136D5"/>
    <w:rsid w:val="00213737"/>
    <w:rsid w:val="002137FA"/>
    <w:rsid w:val="0021386B"/>
    <w:rsid w:val="00213905"/>
    <w:rsid w:val="0021392A"/>
    <w:rsid w:val="002139ED"/>
    <w:rsid w:val="00213A60"/>
    <w:rsid w:val="00213AB3"/>
    <w:rsid w:val="00213B23"/>
    <w:rsid w:val="00213B6F"/>
    <w:rsid w:val="00213BB9"/>
    <w:rsid w:val="00213C21"/>
    <w:rsid w:val="00213C7C"/>
    <w:rsid w:val="00213CA4"/>
    <w:rsid w:val="00213CD4"/>
    <w:rsid w:val="00213D4B"/>
    <w:rsid w:val="00213D85"/>
    <w:rsid w:val="00213DCB"/>
    <w:rsid w:val="00213DEE"/>
    <w:rsid w:val="00213E0E"/>
    <w:rsid w:val="00213EA8"/>
    <w:rsid w:val="00213F85"/>
    <w:rsid w:val="00213FE5"/>
    <w:rsid w:val="00214076"/>
    <w:rsid w:val="002140DF"/>
    <w:rsid w:val="00214141"/>
    <w:rsid w:val="0021417E"/>
    <w:rsid w:val="002142AF"/>
    <w:rsid w:val="0021438B"/>
    <w:rsid w:val="002143BA"/>
    <w:rsid w:val="002143CC"/>
    <w:rsid w:val="0021440D"/>
    <w:rsid w:val="00214419"/>
    <w:rsid w:val="00214486"/>
    <w:rsid w:val="0021449E"/>
    <w:rsid w:val="002144CC"/>
    <w:rsid w:val="002144D8"/>
    <w:rsid w:val="002144F2"/>
    <w:rsid w:val="0021456B"/>
    <w:rsid w:val="00214642"/>
    <w:rsid w:val="00214753"/>
    <w:rsid w:val="002147BA"/>
    <w:rsid w:val="002147D0"/>
    <w:rsid w:val="00214911"/>
    <w:rsid w:val="00214945"/>
    <w:rsid w:val="00214A24"/>
    <w:rsid w:val="00214ACD"/>
    <w:rsid w:val="00214AFA"/>
    <w:rsid w:val="00214B0A"/>
    <w:rsid w:val="00214B1B"/>
    <w:rsid w:val="00214B4E"/>
    <w:rsid w:val="00214B97"/>
    <w:rsid w:val="00214BB6"/>
    <w:rsid w:val="00214BD0"/>
    <w:rsid w:val="00214BDD"/>
    <w:rsid w:val="00214C2D"/>
    <w:rsid w:val="00214E89"/>
    <w:rsid w:val="00214E9C"/>
    <w:rsid w:val="00214EC9"/>
    <w:rsid w:val="00214EE0"/>
    <w:rsid w:val="00214F3E"/>
    <w:rsid w:val="00214F69"/>
    <w:rsid w:val="00214FDE"/>
    <w:rsid w:val="00214FF5"/>
    <w:rsid w:val="00215096"/>
    <w:rsid w:val="00215176"/>
    <w:rsid w:val="00215217"/>
    <w:rsid w:val="00215320"/>
    <w:rsid w:val="002153F5"/>
    <w:rsid w:val="002153FF"/>
    <w:rsid w:val="002154AE"/>
    <w:rsid w:val="002154BD"/>
    <w:rsid w:val="00215511"/>
    <w:rsid w:val="0021551E"/>
    <w:rsid w:val="002155C2"/>
    <w:rsid w:val="002155E8"/>
    <w:rsid w:val="0021567A"/>
    <w:rsid w:val="002156D7"/>
    <w:rsid w:val="00215700"/>
    <w:rsid w:val="0021574B"/>
    <w:rsid w:val="002157DF"/>
    <w:rsid w:val="00215865"/>
    <w:rsid w:val="002158C6"/>
    <w:rsid w:val="0021592B"/>
    <w:rsid w:val="00215A1F"/>
    <w:rsid w:val="00215A6C"/>
    <w:rsid w:val="00215A7C"/>
    <w:rsid w:val="00215AA5"/>
    <w:rsid w:val="00215B0B"/>
    <w:rsid w:val="00215B13"/>
    <w:rsid w:val="00215C7D"/>
    <w:rsid w:val="00215CE4"/>
    <w:rsid w:val="00215D0B"/>
    <w:rsid w:val="00215DE0"/>
    <w:rsid w:val="00215E0C"/>
    <w:rsid w:val="00215E33"/>
    <w:rsid w:val="00215E43"/>
    <w:rsid w:val="00215E84"/>
    <w:rsid w:val="00215F64"/>
    <w:rsid w:val="00215FC7"/>
    <w:rsid w:val="0021600C"/>
    <w:rsid w:val="002160E7"/>
    <w:rsid w:val="00216116"/>
    <w:rsid w:val="002161CF"/>
    <w:rsid w:val="00216219"/>
    <w:rsid w:val="002162AF"/>
    <w:rsid w:val="00216301"/>
    <w:rsid w:val="00216336"/>
    <w:rsid w:val="00216388"/>
    <w:rsid w:val="00216487"/>
    <w:rsid w:val="00216491"/>
    <w:rsid w:val="0021653B"/>
    <w:rsid w:val="00216546"/>
    <w:rsid w:val="00216625"/>
    <w:rsid w:val="002166FC"/>
    <w:rsid w:val="0021671F"/>
    <w:rsid w:val="00216724"/>
    <w:rsid w:val="00216841"/>
    <w:rsid w:val="0021685E"/>
    <w:rsid w:val="0021691C"/>
    <w:rsid w:val="00216987"/>
    <w:rsid w:val="002169CD"/>
    <w:rsid w:val="002169F6"/>
    <w:rsid w:val="00216ACF"/>
    <w:rsid w:val="00216B35"/>
    <w:rsid w:val="00216BFB"/>
    <w:rsid w:val="00216C21"/>
    <w:rsid w:val="00216C8D"/>
    <w:rsid w:val="00216CDA"/>
    <w:rsid w:val="00216D3C"/>
    <w:rsid w:val="00216D72"/>
    <w:rsid w:val="00216D77"/>
    <w:rsid w:val="00216E05"/>
    <w:rsid w:val="00216E8E"/>
    <w:rsid w:val="00216E98"/>
    <w:rsid w:val="00216EDC"/>
    <w:rsid w:val="00216F59"/>
    <w:rsid w:val="00216F5D"/>
    <w:rsid w:val="00217140"/>
    <w:rsid w:val="002171D4"/>
    <w:rsid w:val="002171F2"/>
    <w:rsid w:val="00217215"/>
    <w:rsid w:val="0021729F"/>
    <w:rsid w:val="0021738A"/>
    <w:rsid w:val="0021739B"/>
    <w:rsid w:val="0021744F"/>
    <w:rsid w:val="002174B7"/>
    <w:rsid w:val="0021751F"/>
    <w:rsid w:val="00217522"/>
    <w:rsid w:val="002175A1"/>
    <w:rsid w:val="002175A9"/>
    <w:rsid w:val="002175D4"/>
    <w:rsid w:val="00217602"/>
    <w:rsid w:val="0021768C"/>
    <w:rsid w:val="00217694"/>
    <w:rsid w:val="00217748"/>
    <w:rsid w:val="002177A0"/>
    <w:rsid w:val="002177BD"/>
    <w:rsid w:val="002177CF"/>
    <w:rsid w:val="00217824"/>
    <w:rsid w:val="00217876"/>
    <w:rsid w:val="00217883"/>
    <w:rsid w:val="002178E8"/>
    <w:rsid w:val="002179D8"/>
    <w:rsid w:val="002179EF"/>
    <w:rsid w:val="00217AE8"/>
    <w:rsid w:val="00217AED"/>
    <w:rsid w:val="00217AF5"/>
    <w:rsid w:val="00217B91"/>
    <w:rsid w:val="00217BB2"/>
    <w:rsid w:val="00217C81"/>
    <w:rsid w:val="00217D8D"/>
    <w:rsid w:val="00217DE6"/>
    <w:rsid w:val="00217E8E"/>
    <w:rsid w:val="00217EC5"/>
    <w:rsid w:val="00217F53"/>
    <w:rsid w:val="00217F55"/>
    <w:rsid w:val="00217F85"/>
    <w:rsid w:val="0022016A"/>
    <w:rsid w:val="002201B0"/>
    <w:rsid w:val="002201BD"/>
    <w:rsid w:val="002201DB"/>
    <w:rsid w:val="0022025E"/>
    <w:rsid w:val="0022029F"/>
    <w:rsid w:val="002202E6"/>
    <w:rsid w:val="00220354"/>
    <w:rsid w:val="00220358"/>
    <w:rsid w:val="00220362"/>
    <w:rsid w:val="00220520"/>
    <w:rsid w:val="00220523"/>
    <w:rsid w:val="002205E9"/>
    <w:rsid w:val="0022064E"/>
    <w:rsid w:val="0022067B"/>
    <w:rsid w:val="00220700"/>
    <w:rsid w:val="00220757"/>
    <w:rsid w:val="00220777"/>
    <w:rsid w:val="0022077D"/>
    <w:rsid w:val="0022086E"/>
    <w:rsid w:val="002208CC"/>
    <w:rsid w:val="002208E1"/>
    <w:rsid w:val="0022096B"/>
    <w:rsid w:val="00220A5F"/>
    <w:rsid w:val="00220B8F"/>
    <w:rsid w:val="00220BED"/>
    <w:rsid w:val="00220C2B"/>
    <w:rsid w:val="00220CA9"/>
    <w:rsid w:val="00220DAE"/>
    <w:rsid w:val="00220DF5"/>
    <w:rsid w:val="00220E3A"/>
    <w:rsid w:val="00220EEE"/>
    <w:rsid w:val="00220F40"/>
    <w:rsid w:val="00220F9F"/>
    <w:rsid w:val="00220FB4"/>
    <w:rsid w:val="00220FC9"/>
    <w:rsid w:val="00220FDA"/>
    <w:rsid w:val="0022104A"/>
    <w:rsid w:val="0022117E"/>
    <w:rsid w:val="00221182"/>
    <w:rsid w:val="002211CD"/>
    <w:rsid w:val="002211D2"/>
    <w:rsid w:val="002212B5"/>
    <w:rsid w:val="002212C0"/>
    <w:rsid w:val="002212D3"/>
    <w:rsid w:val="0022138D"/>
    <w:rsid w:val="002213E3"/>
    <w:rsid w:val="00221455"/>
    <w:rsid w:val="00221542"/>
    <w:rsid w:val="00221543"/>
    <w:rsid w:val="0022168D"/>
    <w:rsid w:val="00221696"/>
    <w:rsid w:val="002216FA"/>
    <w:rsid w:val="002217B3"/>
    <w:rsid w:val="002217F9"/>
    <w:rsid w:val="0022180A"/>
    <w:rsid w:val="0022189C"/>
    <w:rsid w:val="002218C0"/>
    <w:rsid w:val="0022190B"/>
    <w:rsid w:val="00221A06"/>
    <w:rsid w:val="00221A54"/>
    <w:rsid w:val="00221A81"/>
    <w:rsid w:val="00221AC0"/>
    <w:rsid w:val="00221B1D"/>
    <w:rsid w:val="00221BC7"/>
    <w:rsid w:val="00221C4E"/>
    <w:rsid w:val="00221C4F"/>
    <w:rsid w:val="00221C8E"/>
    <w:rsid w:val="00221D1A"/>
    <w:rsid w:val="00221F28"/>
    <w:rsid w:val="00221F2E"/>
    <w:rsid w:val="00221F9C"/>
    <w:rsid w:val="0022205D"/>
    <w:rsid w:val="0022247A"/>
    <w:rsid w:val="002224B2"/>
    <w:rsid w:val="002225E8"/>
    <w:rsid w:val="00222668"/>
    <w:rsid w:val="00222734"/>
    <w:rsid w:val="0022276E"/>
    <w:rsid w:val="00222780"/>
    <w:rsid w:val="0022284E"/>
    <w:rsid w:val="0022288E"/>
    <w:rsid w:val="0022294A"/>
    <w:rsid w:val="0022298C"/>
    <w:rsid w:val="002229F5"/>
    <w:rsid w:val="00222A2A"/>
    <w:rsid w:val="00222AF7"/>
    <w:rsid w:val="00222B80"/>
    <w:rsid w:val="00222BD6"/>
    <w:rsid w:val="00222BE9"/>
    <w:rsid w:val="00222C00"/>
    <w:rsid w:val="00222C06"/>
    <w:rsid w:val="00222CD6"/>
    <w:rsid w:val="00222E3D"/>
    <w:rsid w:val="00222E86"/>
    <w:rsid w:val="00222E9E"/>
    <w:rsid w:val="00222EAE"/>
    <w:rsid w:val="00222EF9"/>
    <w:rsid w:val="00222F72"/>
    <w:rsid w:val="00223169"/>
    <w:rsid w:val="002233B0"/>
    <w:rsid w:val="002233DB"/>
    <w:rsid w:val="002233F8"/>
    <w:rsid w:val="002233F9"/>
    <w:rsid w:val="00223635"/>
    <w:rsid w:val="002236E7"/>
    <w:rsid w:val="002237C5"/>
    <w:rsid w:val="00223895"/>
    <w:rsid w:val="002238BC"/>
    <w:rsid w:val="002238D1"/>
    <w:rsid w:val="002238D9"/>
    <w:rsid w:val="00223940"/>
    <w:rsid w:val="002239A1"/>
    <w:rsid w:val="00223A06"/>
    <w:rsid w:val="00223B42"/>
    <w:rsid w:val="00223B7F"/>
    <w:rsid w:val="00223B96"/>
    <w:rsid w:val="00223BA9"/>
    <w:rsid w:val="00223BAB"/>
    <w:rsid w:val="00223BB3"/>
    <w:rsid w:val="00223BF2"/>
    <w:rsid w:val="00223BF3"/>
    <w:rsid w:val="00223C1F"/>
    <w:rsid w:val="00223CC8"/>
    <w:rsid w:val="00223E49"/>
    <w:rsid w:val="00223E62"/>
    <w:rsid w:val="00223E6D"/>
    <w:rsid w:val="00223F45"/>
    <w:rsid w:val="00223FE3"/>
    <w:rsid w:val="00223FE9"/>
    <w:rsid w:val="002240D6"/>
    <w:rsid w:val="00224164"/>
    <w:rsid w:val="00224417"/>
    <w:rsid w:val="0022441F"/>
    <w:rsid w:val="002244E1"/>
    <w:rsid w:val="0022450C"/>
    <w:rsid w:val="00224543"/>
    <w:rsid w:val="002245DF"/>
    <w:rsid w:val="00224631"/>
    <w:rsid w:val="0022467C"/>
    <w:rsid w:val="0022478D"/>
    <w:rsid w:val="002247CC"/>
    <w:rsid w:val="0022486F"/>
    <w:rsid w:val="002248FD"/>
    <w:rsid w:val="002249A8"/>
    <w:rsid w:val="002249AE"/>
    <w:rsid w:val="00224A2F"/>
    <w:rsid w:val="00224A54"/>
    <w:rsid w:val="00224AC1"/>
    <w:rsid w:val="00224B7E"/>
    <w:rsid w:val="00224B9F"/>
    <w:rsid w:val="00224BB3"/>
    <w:rsid w:val="00224C9C"/>
    <w:rsid w:val="00224D28"/>
    <w:rsid w:val="00224D58"/>
    <w:rsid w:val="00224D5B"/>
    <w:rsid w:val="00224E40"/>
    <w:rsid w:val="00224F24"/>
    <w:rsid w:val="00224F6F"/>
    <w:rsid w:val="00224FFF"/>
    <w:rsid w:val="00225023"/>
    <w:rsid w:val="00225115"/>
    <w:rsid w:val="0022516E"/>
    <w:rsid w:val="0022529E"/>
    <w:rsid w:val="002252B3"/>
    <w:rsid w:val="00225327"/>
    <w:rsid w:val="0022553C"/>
    <w:rsid w:val="00225619"/>
    <w:rsid w:val="002256E6"/>
    <w:rsid w:val="002256EF"/>
    <w:rsid w:val="0022585C"/>
    <w:rsid w:val="00225862"/>
    <w:rsid w:val="002259CF"/>
    <w:rsid w:val="002259EC"/>
    <w:rsid w:val="00225A69"/>
    <w:rsid w:val="00225A6F"/>
    <w:rsid w:val="00225A95"/>
    <w:rsid w:val="00225A97"/>
    <w:rsid w:val="00225B0F"/>
    <w:rsid w:val="00225BFF"/>
    <w:rsid w:val="00225C1C"/>
    <w:rsid w:val="00225CFA"/>
    <w:rsid w:val="00225D63"/>
    <w:rsid w:val="00225DA8"/>
    <w:rsid w:val="00225F85"/>
    <w:rsid w:val="0022600D"/>
    <w:rsid w:val="00226028"/>
    <w:rsid w:val="002262AF"/>
    <w:rsid w:val="0022642F"/>
    <w:rsid w:val="00226433"/>
    <w:rsid w:val="00226441"/>
    <w:rsid w:val="0022651D"/>
    <w:rsid w:val="00226540"/>
    <w:rsid w:val="002266BF"/>
    <w:rsid w:val="00226712"/>
    <w:rsid w:val="00226736"/>
    <w:rsid w:val="0022673E"/>
    <w:rsid w:val="002267D2"/>
    <w:rsid w:val="002267F4"/>
    <w:rsid w:val="0022695C"/>
    <w:rsid w:val="00226972"/>
    <w:rsid w:val="0022698D"/>
    <w:rsid w:val="0022699A"/>
    <w:rsid w:val="0022699F"/>
    <w:rsid w:val="00226A04"/>
    <w:rsid w:val="00226A44"/>
    <w:rsid w:val="00226A87"/>
    <w:rsid w:val="00226AFE"/>
    <w:rsid w:val="00226C3A"/>
    <w:rsid w:val="00226D04"/>
    <w:rsid w:val="00226D0A"/>
    <w:rsid w:val="00226DD2"/>
    <w:rsid w:val="00226F20"/>
    <w:rsid w:val="00226F3B"/>
    <w:rsid w:val="00226F76"/>
    <w:rsid w:val="00226FC8"/>
    <w:rsid w:val="0022709B"/>
    <w:rsid w:val="0022713B"/>
    <w:rsid w:val="00227140"/>
    <w:rsid w:val="0022726E"/>
    <w:rsid w:val="00227341"/>
    <w:rsid w:val="00227387"/>
    <w:rsid w:val="00227392"/>
    <w:rsid w:val="002273A3"/>
    <w:rsid w:val="00227408"/>
    <w:rsid w:val="002274AD"/>
    <w:rsid w:val="00227633"/>
    <w:rsid w:val="00227722"/>
    <w:rsid w:val="00227762"/>
    <w:rsid w:val="00227927"/>
    <w:rsid w:val="002279B0"/>
    <w:rsid w:val="00227A8F"/>
    <w:rsid w:val="00227AB6"/>
    <w:rsid w:val="00227ACC"/>
    <w:rsid w:val="00227D03"/>
    <w:rsid w:val="00227D3C"/>
    <w:rsid w:val="00227D91"/>
    <w:rsid w:val="00227EE5"/>
    <w:rsid w:val="00230060"/>
    <w:rsid w:val="0023010E"/>
    <w:rsid w:val="0023012C"/>
    <w:rsid w:val="00230151"/>
    <w:rsid w:val="002301B3"/>
    <w:rsid w:val="002301F3"/>
    <w:rsid w:val="0023025E"/>
    <w:rsid w:val="00230481"/>
    <w:rsid w:val="002304BA"/>
    <w:rsid w:val="0023052D"/>
    <w:rsid w:val="002305ED"/>
    <w:rsid w:val="00230626"/>
    <w:rsid w:val="00230679"/>
    <w:rsid w:val="002306E1"/>
    <w:rsid w:val="00230701"/>
    <w:rsid w:val="00230835"/>
    <w:rsid w:val="00230844"/>
    <w:rsid w:val="002308A0"/>
    <w:rsid w:val="00230991"/>
    <w:rsid w:val="00230AA4"/>
    <w:rsid w:val="00230ACF"/>
    <w:rsid w:val="00230B2B"/>
    <w:rsid w:val="00230C0B"/>
    <w:rsid w:val="00230C32"/>
    <w:rsid w:val="00230C61"/>
    <w:rsid w:val="00230C91"/>
    <w:rsid w:val="00230CF4"/>
    <w:rsid w:val="00230DA0"/>
    <w:rsid w:val="00230DD9"/>
    <w:rsid w:val="00230E39"/>
    <w:rsid w:val="00230EE1"/>
    <w:rsid w:val="00230F05"/>
    <w:rsid w:val="00230F2A"/>
    <w:rsid w:val="00230F6A"/>
    <w:rsid w:val="0023104F"/>
    <w:rsid w:val="00231051"/>
    <w:rsid w:val="00231065"/>
    <w:rsid w:val="00231082"/>
    <w:rsid w:val="00231106"/>
    <w:rsid w:val="00231131"/>
    <w:rsid w:val="00231187"/>
    <w:rsid w:val="00231197"/>
    <w:rsid w:val="002311C3"/>
    <w:rsid w:val="0023123D"/>
    <w:rsid w:val="00231243"/>
    <w:rsid w:val="002312A2"/>
    <w:rsid w:val="002312BD"/>
    <w:rsid w:val="002312F4"/>
    <w:rsid w:val="00231316"/>
    <w:rsid w:val="00231338"/>
    <w:rsid w:val="00231353"/>
    <w:rsid w:val="00231372"/>
    <w:rsid w:val="0023140E"/>
    <w:rsid w:val="00231439"/>
    <w:rsid w:val="0023147E"/>
    <w:rsid w:val="002314A7"/>
    <w:rsid w:val="002315A5"/>
    <w:rsid w:val="002315D1"/>
    <w:rsid w:val="002315D4"/>
    <w:rsid w:val="002315F7"/>
    <w:rsid w:val="0023162D"/>
    <w:rsid w:val="00231652"/>
    <w:rsid w:val="002317D8"/>
    <w:rsid w:val="00231810"/>
    <w:rsid w:val="0023185C"/>
    <w:rsid w:val="002318E9"/>
    <w:rsid w:val="0023195E"/>
    <w:rsid w:val="00231B63"/>
    <w:rsid w:val="00231C25"/>
    <w:rsid w:val="00231D63"/>
    <w:rsid w:val="00231E40"/>
    <w:rsid w:val="00231ED1"/>
    <w:rsid w:val="00231FD0"/>
    <w:rsid w:val="00232004"/>
    <w:rsid w:val="00232041"/>
    <w:rsid w:val="00232062"/>
    <w:rsid w:val="002320BC"/>
    <w:rsid w:val="00232234"/>
    <w:rsid w:val="002323D3"/>
    <w:rsid w:val="0023251A"/>
    <w:rsid w:val="0023257E"/>
    <w:rsid w:val="0023263C"/>
    <w:rsid w:val="002328A8"/>
    <w:rsid w:val="002328CA"/>
    <w:rsid w:val="002328EC"/>
    <w:rsid w:val="00232928"/>
    <w:rsid w:val="00232A51"/>
    <w:rsid w:val="00232B08"/>
    <w:rsid w:val="00232B84"/>
    <w:rsid w:val="00232BBA"/>
    <w:rsid w:val="00232C48"/>
    <w:rsid w:val="00232C4C"/>
    <w:rsid w:val="00232C66"/>
    <w:rsid w:val="00232D31"/>
    <w:rsid w:val="00232D33"/>
    <w:rsid w:val="00232D5A"/>
    <w:rsid w:val="00232D6E"/>
    <w:rsid w:val="00232DCC"/>
    <w:rsid w:val="00232E12"/>
    <w:rsid w:val="00232E59"/>
    <w:rsid w:val="00232E71"/>
    <w:rsid w:val="00232E81"/>
    <w:rsid w:val="00232ED1"/>
    <w:rsid w:val="00232FAE"/>
    <w:rsid w:val="00232FD0"/>
    <w:rsid w:val="002330C2"/>
    <w:rsid w:val="002330CD"/>
    <w:rsid w:val="002330D4"/>
    <w:rsid w:val="00233149"/>
    <w:rsid w:val="002331E1"/>
    <w:rsid w:val="002331F6"/>
    <w:rsid w:val="0023320E"/>
    <w:rsid w:val="0023323C"/>
    <w:rsid w:val="002332D9"/>
    <w:rsid w:val="00233326"/>
    <w:rsid w:val="00233341"/>
    <w:rsid w:val="0023334F"/>
    <w:rsid w:val="0023337C"/>
    <w:rsid w:val="00233400"/>
    <w:rsid w:val="00233445"/>
    <w:rsid w:val="00233457"/>
    <w:rsid w:val="00233476"/>
    <w:rsid w:val="00233682"/>
    <w:rsid w:val="00233686"/>
    <w:rsid w:val="00233700"/>
    <w:rsid w:val="0023373B"/>
    <w:rsid w:val="0023375B"/>
    <w:rsid w:val="00233790"/>
    <w:rsid w:val="00233899"/>
    <w:rsid w:val="002338F1"/>
    <w:rsid w:val="002338FC"/>
    <w:rsid w:val="00233A22"/>
    <w:rsid w:val="00233A34"/>
    <w:rsid w:val="00233A37"/>
    <w:rsid w:val="00233A5C"/>
    <w:rsid w:val="00233B51"/>
    <w:rsid w:val="00233C26"/>
    <w:rsid w:val="00233C4C"/>
    <w:rsid w:val="00233E1E"/>
    <w:rsid w:val="00233E64"/>
    <w:rsid w:val="00233EAC"/>
    <w:rsid w:val="00233EF2"/>
    <w:rsid w:val="00233FD3"/>
    <w:rsid w:val="00233FF2"/>
    <w:rsid w:val="00234005"/>
    <w:rsid w:val="00234017"/>
    <w:rsid w:val="0023404E"/>
    <w:rsid w:val="0023415A"/>
    <w:rsid w:val="00234167"/>
    <w:rsid w:val="002341D3"/>
    <w:rsid w:val="002341D6"/>
    <w:rsid w:val="002341D8"/>
    <w:rsid w:val="0023420C"/>
    <w:rsid w:val="00234251"/>
    <w:rsid w:val="002342A3"/>
    <w:rsid w:val="002342B2"/>
    <w:rsid w:val="0023448B"/>
    <w:rsid w:val="0023448F"/>
    <w:rsid w:val="00234574"/>
    <w:rsid w:val="002345AA"/>
    <w:rsid w:val="002345C6"/>
    <w:rsid w:val="00234624"/>
    <w:rsid w:val="0023462D"/>
    <w:rsid w:val="0023466F"/>
    <w:rsid w:val="002346E8"/>
    <w:rsid w:val="0023470F"/>
    <w:rsid w:val="0023471A"/>
    <w:rsid w:val="0023472E"/>
    <w:rsid w:val="0023481D"/>
    <w:rsid w:val="00234833"/>
    <w:rsid w:val="00234856"/>
    <w:rsid w:val="0023489F"/>
    <w:rsid w:val="002348A7"/>
    <w:rsid w:val="0023490D"/>
    <w:rsid w:val="0023491E"/>
    <w:rsid w:val="0023493F"/>
    <w:rsid w:val="00234A04"/>
    <w:rsid w:val="00234B56"/>
    <w:rsid w:val="00234BA6"/>
    <w:rsid w:val="00234BAF"/>
    <w:rsid w:val="00234D32"/>
    <w:rsid w:val="00234D74"/>
    <w:rsid w:val="00234EF2"/>
    <w:rsid w:val="00234F91"/>
    <w:rsid w:val="00234FCB"/>
    <w:rsid w:val="0023510E"/>
    <w:rsid w:val="002351E5"/>
    <w:rsid w:val="002352C5"/>
    <w:rsid w:val="00235381"/>
    <w:rsid w:val="002353E3"/>
    <w:rsid w:val="002353EB"/>
    <w:rsid w:val="002353F5"/>
    <w:rsid w:val="00235410"/>
    <w:rsid w:val="00235542"/>
    <w:rsid w:val="002355F9"/>
    <w:rsid w:val="0023563F"/>
    <w:rsid w:val="002356D7"/>
    <w:rsid w:val="00235707"/>
    <w:rsid w:val="0023572D"/>
    <w:rsid w:val="002357B6"/>
    <w:rsid w:val="002357E8"/>
    <w:rsid w:val="00235984"/>
    <w:rsid w:val="002359C3"/>
    <w:rsid w:val="002359E8"/>
    <w:rsid w:val="00235A3C"/>
    <w:rsid w:val="00235A63"/>
    <w:rsid w:val="00235AE7"/>
    <w:rsid w:val="00235BAC"/>
    <w:rsid w:val="00235BCC"/>
    <w:rsid w:val="00235BE2"/>
    <w:rsid w:val="00235C38"/>
    <w:rsid w:val="00235C5C"/>
    <w:rsid w:val="00235CEA"/>
    <w:rsid w:val="00235D12"/>
    <w:rsid w:val="00235E2A"/>
    <w:rsid w:val="00235F18"/>
    <w:rsid w:val="00235F38"/>
    <w:rsid w:val="00235FC0"/>
    <w:rsid w:val="002360A8"/>
    <w:rsid w:val="002360F7"/>
    <w:rsid w:val="00236208"/>
    <w:rsid w:val="00236273"/>
    <w:rsid w:val="002362F0"/>
    <w:rsid w:val="0023638A"/>
    <w:rsid w:val="00236393"/>
    <w:rsid w:val="002363E7"/>
    <w:rsid w:val="002363ED"/>
    <w:rsid w:val="00236406"/>
    <w:rsid w:val="0023642E"/>
    <w:rsid w:val="00236486"/>
    <w:rsid w:val="002364D5"/>
    <w:rsid w:val="002365B9"/>
    <w:rsid w:val="002365E4"/>
    <w:rsid w:val="002365E6"/>
    <w:rsid w:val="00236673"/>
    <w:rsid w:val="00236692"/>
    <w:rsid w:val="002366D1"/>
    <w:rsid w:val="0023674D"/>
    <w:rsid w:val="002367CA"/>
    <w:rsid w:val="00236825"/>
    <w:rsid w:val="0023686C"/>
    <w:rsid w:val="00236947"/>
    <w:rsid w:val="00236A52"/>
    <w:rsid w:val="00236A6E"/>
    <w:rsid w:val="00236A98"/>
    <w:rsid w:val="00236C94"/>
    <w:rsid w:val="00236CA9"/>
    <w:rsid w:val="00236CB2"/>
    <w:rsid w:val="00236D83"/>
    <w:rsid w:val="00236E4F"/>
    <w:rsid w:val="00236E85"/>
    <w:rsid w:val="00236F5A"/>
    <w:rsid w:val="00237076"/>
    <w:rsid w:val="0023707A"/>
    <w:rsid w:val="00237096"/>
    <w:rsid w:val="0023713E"/>
    <w:rsid w:val="00237157"/>
    <w:rsid w:val="002371A3"/>
    <w:rsid w:val="0023723C"/>
    <w:rsid w:val="00237351"/>
    <w:rsid w:val="0023737F"/>
    <w:rsid w:val="00237439"/>
    <w:rsid w:val="0023753A"/>
    <w:rsid w:val="00237689"/>
    <w:rsid w:val="002376C5"/>
    <w:rsid w:val="00237733"/>
    <w:rsid w:val="002377CE"/>
    <w:rsid w:val="002378BF"/>
    <w:rsid w:val="00237A02"/>
    <w:rsid w:val="00237AE2"/>
    <w:rsid w:val="00237CD4"/>
    <w:rsid w:val="00237D2B"/>
    <w:rsid w:val="00237DFA"/>
    <w:rsid w:val="00237E2E"/>
    <w:rsid w:val="00237E50"/>
    <w:rsid w:val="00237F23"/>
    <w:rsid w:val="00237FF5"/>
    <w:rsid w:val="0024001A"/>
    <w:rsid w:val="00240103"/>
    <w:rsid w:val="00240123"/>
    <w:rsid w:val="00240148"/>
    <w:rsid w:val="0024017D"/>
    <w:rsid w:val="002402FA"/>
    <w:rsid w:val="002403EC"/>
    <w:rsid w:val="0024047B"/>
    <w:rsid w:val="002404DB"/>
    <w:rsid w:val="00240517"/>
    <w:rsid w:val="00240539"/>
    <w:rsid w:val="002405D9"/>
    <w:rsid w:val="00240639"/>
    <w:rsid w:val="002406CF"/>
    <w:rsid w:val="002406DA"/>
    <w:rsid w:val="002406F6"/>
    <w:rsid w:val="002406F9"/>
    <w:rsid w:val="002407C1"/>
    <w:rsid w:val="002408DC"/>
    <w:rsid w:val="002409CC"/>
    <w:rsid w:val="00240A90"/>
    <w:rsid w:val="00240ACF"/>
    <w:rsid w:val="00240ADC"/>
    <w:rsid w:val="00240B8C"/>
    <w:rsid w:val="00240BE7"/>
    <w:rsid w:val="00240C9C"/>
    <w:rsid w:val="00240D30"/>
    <w:rsid w:val="00240D3A"/>
    <w:rsid w:val="00240D40"/>
    <w:rsid w:val="00240D6C"/>
    <w:rsid w:val="00240DCA"/>
    <w:rsid w:val="00240E37"/>
    <w:rsid w:val="00240E4E"/>
    <w:rsid w:val="00240EAD"/>
    <w:rsid w:val="00240F01"/>
    <w:rsid w:val="00240FC1"/>
    <w:rsid w:val="00240FEB"/>
    <w:rsid w:val="00241056"/>
    <w:rsid w:val="002410B2"/>
    <w:rsid w:val="0024121E"/>
    <w:rsid w:val="00241270"/>
    <w:rsid w:val="00241327"/>
    <w:rsid w:val="00241342"/>
    <w:rsid w:val="00241455"/>
    <w:rsid w:val="0024145B"/>
    <w:rsid w:val="002414B4"/>
    <w:rsid w:val="00241534"/>
    <w:rsid w:val="0024154D"/>
    <w:rsid w:val="002416DD"/>
    <w:rsid w:val="00241779"/>
    <w:rsid w:val="0024177F"/>
    <w:rsid w:val="002417FA"/>
    <w:rsid w:val="00241863"/>
    <w:rsid w:val="00241912"/>
    <w:rsid w:val="00241924"/>
    <w:rsid w:val="0024196D"/>
    <w:rsid w:val="002419C5"/>
    <w:rsid w:val="00241A4B"/>
    <w:rsid w:val="00241AB2"/>
    <w:rsid w:val="00241ABB"/>
    <w:rsid w:val="00241AD4"/>
    <w:rsid w:val="00241C58"/>
    <w:rsid w:val="00241DE1"/>
    <w:rsid w:val="00241DF2"/>
    <w:rsid w:val="00241E34"/>
    <w:rsid w:val="00241E71"/>
    <w:rsid w:val="00241EFE"/>
    <w:rsid w:val="00241F5B"/>
    <w:rsid w:val="00241F7F"/>
    <w:rsid w:val="00241FC2"/>
    <w:rsid w:val="00242016"/>
    <w:rsid w:val="0024202B"/>
    <w:rsid w:val="0024203E"/>
    <w:rsid w:val="00242098"/>
    <w:rsid w:val="00242109"/>
    <w:rsid w:val="00242151"/>
    <w:rsid w:val="002421DB"/>
    <w:rsid w:val="00242221"/>
    <w:rsid w:val="00242298"/>
    <w:rsid w:val="002422FA"/>
    <w:rsid w:val="00242374"/>
    <w:rsid w:val="002423B9"/>
    <w:rsid w:val="002423DA"/>
    <w:rsid w:val="002423FB"/>
    <w:rsid w:val="00242447"/>
    <w:rsid w:val="00242497"/>
    <w:rsid w:val="002424E6"/>
    <w:rsid w:val="00242626"/>
    <w:rsid w:val="0024266D"/>
    <w:rsid w:val="00242677"/>
    <w:rsid w:val="00242691"/>
    <w:rsid w:val="002426D7"/>
    <w:rsid w:val="002427EB"/>
    <w:rsid w:val="0024297D"/>
    <w:rsid w:val="00242A2C"/>
    <w:rsid w:val="00242AD1"/>
    <w:rsid w:val="00242CA1"/>
    <w:rsid w:val="00242CC4"/>
    <w:rsid w:val="00242CF1"/>
    <w:rsid w:val="00242D45"/>
    <w:rsid w:val="00242DE5"/>
    <w:rsid w:val="00242DFC"/>
    <w:rsid w:val="00242E52"/>
    <w:rsid w:val="00242F6F"/>
    <w:rsid w:val="00243043"/>
    <w:rsid w:val="002430D3"/>
    <w:rsid w:val="00243165"/>
    <w:rsid w:val="00243166"/>
    <w:rsid w:val="002431FB"/>
    <w:rsid w:val="00243284"/>
    <w:rsid w:val="00243288"/>
    <w:rsid w:val="00243322"/>
    <w:rsid w:val="0024347C"/>
    <w:rsid w:val="0024349F"/>
    <w:rsid w:val="002434CA"/>
    <w:rsid w:val="00243519"/>
    <w:rsid w:val="002435C2"/>
    <w:rsid w:val="00243640"/>
    <w:rsid w:val="00243772"/>
    <w:rsid w:val="002437C1"/>
    <w:rsid w:val="002437E3"/>
    <w:rsid w:val="00243803"/>
    <w:rsid w:val="00243895"/>
    <w:rsid w:val="002438AC"/>
    <w:rsid w:val="00243A01"/>
    <w:rsid w:val="00243B12"/>
    <w:rsid w:val="00243BE4"/>
    <w:rsid w:val="00243C1C"/>
    <w:rsid w:val="00243D3C"/>
    <w:rsid w:val="00243D72"/>
    <w:rsid w:val="00243D75"/>
    <w:rsid w:val="00243D7D"/>
    <w:rsid w:val="00243DEF"/>
    <w:rsid w:val="00243E9B"/>
    <w:rsid w:val="00243EC9"/>
    <w:rsid w:val="00243FD9"/>
    <w:rsid w:val="00244040"/>
    <w:rsid w:val="00244067"/>
    <w:rsid w:val="0024414B"/>
    <w:rsid w:val="00244210"/>
    <w:rsid w:val="00244225"/>
    <w:rsid w:val="0024425F"/>
    <w:rsid w:val="00244270"/>
    <w:rsid w:val="0024428F"/>
    <w:rsid w:val="002442CA"/>
    <w:rsid w:val="0024432C"/>
    <w:rsid w:val="00244459"/>
    <w:rsid w:val="00244500"/>
    <w:rsid w:val="0024452D"/>
    <w:rsid w:val="00244531"/>
    <w:rsid w:val="0024453A"/>
    <w:rsid w:val="002445F5"/>
    <w:rsid w:val="002446AF"/>
    <w:rsid w:val="00244728"/>
    <w:rsid w:val="002447E9"/>
    <w:rsid w:val="002447FD"/>
    <w:rsid w:val="00244858"/>
    <w:rsid w:val="0024490F"/>
    <w:rsid w:val="00244A34"/>
    <w:rsid w:val="00244AB7"/>
    <w:rsid w:val="00244ABC"/>
    <w:rsid w:val="00244BF6"/>
    <w:rsid w:val="00244C8E"/>
    <w:rsid w:val="00244D33"/>
    <w:rsid w:val="00244DC6"/>
    <w:rsid w:val="00244E4A"/>
    <w:rsid w:val="00244E5D"/>
    <w:rsid w:val="00244EC1"/>
    <w:rsid w:val="00244EFC"/>
    <w:rsid w:val="00244FB7"/>
    <w:rsid w:val="00244FC5"/>
    <w:rsid w:val="00244FFB"/>
    <w:rsid w:val="00245068"/>
    <w:rsid w:val="00245128"/>
    <w:rsid w:val="0024512D"/>
    <w:rsid w:val="0024515A"/>
    <w:rsid w:val="00245243"/>
    <w:rsid w:val="0024538C"/>
    <w:rsid w:val="002453A6"/>
    <w:rsid w:val="002453E6"/>
    <w:rsid w:val="002455E4"/>
    <w:rsid w:val="00245692"/>
    <w:rsid w:val="002456A7"/>
    <w:rsid w:val="00245713"/>
    <w:rsid w:val="002457BD"/>
    <w:rsid w:val="002457C9"/>
    <w:rsid w:val="002457F9"/>
    <w:rsid w:val="00245925"/>
    <w:rsid w:val="00245929"/>
    <w:rsid w:val="00245938"/>
    <w:rsid w:val="0024593A"/>
    <w:rsid w:val="002459B6"/>
    <w:rsid w:val="002459C8"/>
    <w:rsid w:val="002459E0"/>
    <w:rsid w:val="00245AD4"/>
    <w:rsid w:val="00245B30"/>
    <w:rsid w:val="00245B6B"/>
    <w:rsid w:val="00245BAA"/>
    <w:rsid w:val="00245BBA"/>
    <w:rsid w:val="00245C69"/>
    <w:rsid w:val="00245CA7"/>
    <w:rsid w:val="00245CAD"/>
    <w:rsid w:val="00245D4A"/>
    <w:rsid w:val="00245D6C"/>
    <w:rsid w:val="00245DFD"/>
    <w:rsid w:val="00245E64"/>
    <w:rsid w:val="00245EB2"/>
    <w:rsid w:val="0024601A"/>
    <w:rsid w:val="00246034"/>
    <w:rsid w:val="00246045"/>
    <w:rsid w:val="00246096"/>
    <w:rsid w:val="002460D0"/>
    <w:rsid w:val="00246158"/>
    <w:rsid w:val="00246208"/>
    <w:rsid w:val="00246220"/>
    <w:rsid w:val="0024622E"/>
    <w:rsid w:val="00246284"/>
    <w:rsid w:val="00246371"/>
    <w:rsid w:val="002463BE"/>
    <w:rsid w:val="00246578"/>
    <w:rsid w:val="00246727"/>
    <w:rsid w:val="002467CD"/>
    <w:rsid w:val="002467D5"/>
    <w:rsid w:val="002468A4"/>
    <w:rsid w:val="002468CC"/>
    <w:rsid w:val="00246953"/>
    <w:rsid w:val="002469A8"/>
    <w:rsid w:val="002469F5"/>
    <w:rsid w:val="00246ADD"/>
    <w:rsid w:val="00246B6D"/>
    <w:rsid w:val="00246D1C"/>
    <w:rsid w:val="00246D9A"/>
    <w:rsid w:val="00246EA4"/>
    <w:rsid w:val="00246EBD"/>
    <w:rsid w:val="00246FED"/>
    <w:rsid w:val="00247100"/>
    <w:rsid w:val="002471D1"/>
    <w:rsid w:val="0024724B"/>
    <w:rsid w:val="0024725F"/>
    <w:rsid w:val="002472B5"/>
    <w:rsid w:val="00247328"/>
    <w:rsid w:val="0024732B"/>
    <w:rsid w:val="00247335"/>
    <w:rsid w:val="00247347"/>
    <w:rsid w:val="00247380"/>
    <w:rsid w:val="002473CA"/>
    <w:rsid w:val="002473D5"/>
    <w:rsid w:val="00247426"/>
    <w:rsid w:val="00247480"/>
    <w:rsid w:val="0024749F"/>
    <w:rsid w:val="002475A2"/>
    <w:rsid w:val="00247626"/>
    <w:rsid w:val="002477B1"/>
    <w:rsid w:val="002477F0"/>
    <w:rsid w:val="00247831"/>
    <w:rsid w:val="00247A3D"/>
    <w:rsid w:val="00247A72"/>
    <w:rsid w:val="00247A7F"/>
    <w:rsid w:val="00247AC5"/>
    <w:rsid w:val="00247C4E"/>
    <w:rsid w:val="00247DD2"/>
    <w:rsid w:val="00247E7E"/>
    <w:rsid w:val="00247F16"/>
    <w:rsid w:val="00247F69"/>
    <w:rsid w:val="00247FE5"/>
    <w:rsid w:val="00247FF9"/>
    <w:rsid w:val="00247FFC"/>
    <w:rsid w:val="00250063"/>
    <w:rsid w:val="002500DF"/>
    <w:rsid w:val="002500FA"/>
    <w:rsid w:val="002501BD"/>
    <w:rsid w:val="0025032D"/>
    <w:rsid w:val="002503AF"/>
    <w:rsid w:val="002503EF"/>
    <w:rsid w:val="0025042E"/>
    <w:rsid w:val="00250469"/>
    <w:rsid w:val="00250488"/>
    <w:rsid w:val="002504A1"/>
    <w:rsid w:val="00250535"/>
    <w:rsid w:val="00250558"/>
    <w:rsid w:val="002505B8"/>
    <w:rsid w:val="002505B9"/>
    <w:rsid w:val="002505EF"/>
    <w:rsid w:val="00250627"/>
    <w:rsid w:val="00250630"/>
    <w:rsid w:val="00250712"/>
    <w:rsid w:val="00250763"/>
    <w:rsid w:val="002508EE"/>
    <w:rsid w:val="00250A85"/>
    <w:rsid w:val="00250B26"/>
    <w:rsid w:val="00250B92"/>
    <w:rsid w:val="00250BD0"/>
    <w:rsid w:val="00250C05"/>
    <w:rsid w:val="00250CDC"/>
    <w:rsid w:val="00250D08"/>
    <w:rsid w:val="00250E11"/>
    <w:rsid w:val="00250E37"/>
    <w:rsid w:val="00250E57"/>
    <w:rsid w:val="00250EAA"/>
    <w:rsid w:val="00250EB9"/>
    <w:rsid w:val="00250F4F"/>
    <w:rsid w:val="00251035"/>
    <w:rsid w:val="002512F1"/>
    <w:rsid w:val="00251399"/>
    <w:rsid w:val="00251400"/>
    <w:rsid w:val="00251464"/>
    <w:rsid w:val="00251581"/>
    <w:rsid w:val="002515A7"/>
    <w:rsid w:val="00251631"/>
    <w:rsid w:val="00251851"/>
    <w:rsid w:val="00251936"/>
    <w:rsid w:val="0025195D"/>
    <w:rsid w:val="002519C5"/>
    <w:rsid w:val="00251A03"/>
    <w:rsid w:val="00251A12"/>
    <w:rsid w:val="00251A1C"/>
    <w:rsid w:val="00251A31"/>
    <w:rsid w:val="00251A7C"/>
    <w:rsid w:val="00251B87"/>
    <w:rsid w:val="00251CEF"/>
    <w:rsid w:val="00251DCE"/>
    <w:rsid w:val="00251E0E"/>
    <w:rsid w:val="00251F52"/>
    <w:rsid w:val="00252028"/>
    <w:rsid w:val="002521CB"/>
    <w:rsid w:val="0025229B"/>
    <w:rsid w:val="00252473"/>
    <w:rsid w:val="002524CA"/>
    <w:rsid w:val="00252567"/>
    <w:rsid w:val="00252580"/>
    <w:rsid w:val="0025272A"/>
    <w:rsid w:val="00252833"/>
    <w:rsid w:val="00252960"/>
    <w:rsid w:val="002529CD"/>
    <w:rsid w:val="00252A37"/>
    <w:rsid w:val="00252A3D"/>
    <w:rsid w:val="00252A6C"/>
    <w:rsid w:val="00252AAB"/>
    <w:rsid w:val="00252AF1"/>
    <w:rsid w:val="00252BCD"/>
    <w:rsid w:val="00252C16"/>
    <w:rsid w:val="00252C38"/>
    <w:rsid w:val="00252D8B"/>
    <w:rsid w:val="00252DC6"/>
    <w:rsid w:val="00252E05"/>
    <w:rsid w:val="00252E17"/>
    <w:rsid w:val="00252E43"/>
    <w:rsid w:val="00252E50"/>
    <w:rsid w:val="00252E52"/>
    <w:rsid w:val="00252EB4"/>
    <w:rsid w:val="00252F28"/>
    <w:rsid w:val="0025304D"/>
    <w:rsid w:val="00253170"/>
    <w:rsid w:val="0025317A"/>
    <w:rsid w:val="002531C7"/>
    <w:rsid w:val="00253255"/>
    <w:rsid w:val="002532CD"/>
    <w:rsid w:val="002532E8"/>
    <w:rsid w:val="00253319"/>
    <w:rsid w:val="00253334"/>
    <w:rsid w:val="002533C0"/>
    <w:rsid w:val="002533F9"/>
    <w:rsid w:val="0025340A"/>
    <w:rsid w:val="0025344C"/>
    <w:rsid w:val="00253475"/>
    <w:rsid w:val="002534AC"/>
    <w:rsid w:val="002534FC"/>
    <w:rsid w:val="00253521"/>
    <w:rsid w:val="0025352D"/>
    <w:rsid w:val="002538EB"/>
    <w:rsid w:val="00253A04"/>
    <w:rsid w:val="00253A60"/>
    <w:rsid w:val="00253B37"/>
    <w:rsid w:val="00253BFB"/>
    <w:rsid w:val="00253C05"/>
    <w:rsid w:val="00253C2F"/>
    <w:rsid w:val="00253C73"/>
    <w:rsid w:val="00253CA9"/>
    <w:rsid w:val="00253CAB"/>
    <w:rsid w:val="00253CF2"/>
    <w:rsid w:val="00253D61"/>
    <w:rsid w:val="00253DB1"/>
    <w:rsid w:val="00253E25"/>
    <w:rsid w:val="00253E90"/>
    <w:rsid w:val="00253EE9"/>
    <w:rsid w:val="00253F3E"/>
    <w:rsid w:val="00253FBD"/>
    <w:rsid w:val="00254000"/>
    <w:rsid w:val="0025410B"/>
    <w:rsid w:val="002541E4"/>
    <w:rsid w:val="00254318"/>
    <w:rsid w:val="00254337"/>
    <w:rsid w:val="0025437E"/>
    <w:rsid w:val="00254415"/>
    <w:rsid w:val="00254495"/>
    <w:rsid w:val="00254553"/>
    <w:rsid w:val="002545E1"/>
    <w:rsid w:val="002545EA"/>
    <w:rsid w:val="0025465D"/>
    <w:rsid w:val="00254676"/>
    <w:rsid w:val="00254736"/>
    <w:rsid w:val="0025474D"/>
    <w:rsid w:val="0025475F"/>
    <w:rsid w:val="002547E0"/>
    <w:rsid w:val="00254801"/>
    <w:rsid w:val="0025484A"/>
    <w:rsid w:val="002549E4"/>
    <w:rsid w:val="00254A67"/>
    <w:rsid w:val="00254B49"/>
    <w:rsid w:val="00254C98"/>
    <w:rsid w:val="00254D7C"/>
    <w:rsid w:val="00254ED3"/>
    <w:rsid w:val="0025501E"/>
    <w:rsid w:val="00255061"/>
    <w:rsid w:val="002550DE"/>
    <w:rsid w:val="0025514D"/>
    <w:rsid w:val="0025519F"/>
    <w:rsid w:val="00255294"/>
    <w:rsid w:val="002552A0"/>
    <w:rsid w:val="002552CB"/>
    <w:rsid w:val="0025531A"/>
    <w:rsid w:val="0025534B"/>
    <w:rsid w:val="002553D5"/>
    <w:rsid w:val="002553EA"/>
    <w:rsid w:val="0025544E"/>
    <w:rsid w:val="0025549C"/>
    <w:rsid w:val="002554E6"/>
    <w:rsid w:val="002554EF"/>
    <w:rsid w:val="00255516"/>
    <w:rsid w:val="002555EE"/>
    <w:rsid w:val="002557C0"/>
    <w:rsid w:val="002557D2"/>
    <w:rsid w:val="002557DF"/>
    <w:rsid w:val="00255826"/>
    <w:rsid w:val="0025586C"/>
    <w:rsid w:val="0025586F"/>
    <w:rsid w:val="0025589B"/>
    <w:rsid w:val="002558A6"/>
    <w:rsid w:val="002558B2"/>
    <w:rsid w:val="002558C0"/>
    <w:rsid w:val="002558C2"/>
    <w:rsid w:val="002559BC"/>
    <w:rsid w:val="00255C76"/>
    <w:rsid w:val="00255CAF"/>
    <w:rsid w:val="00255D23"/>
    <w:rsid w:val="00255D65"/>
    <w:rsid w:val="00255DC0"/>
    <w:rsid w:val="00255DC3"/>
    <w:rsid w:val="00255ED2"/>
    <w:rsid w:val="00255F35"/>
    <w:rsid w:val="00255F38"/>
    <w:rsid w:val="00255F42"/>
    <w:rsid w:val="00255F81"/>
    <w:rsid w:val="002560B7"/>
    <w:rsid w:val="002560D9"/>
    <w:rsid w:val="00256115"/>
    <w:rsid w:val="00256190"/>
    <w:rsid w:val="00256233"/>
    <w:rsid w:val="002562C0"/>
    <w:rsid w:val="0025640F"/>
    <w:rsid w:val="00256424"/>
    <w:rsid w:val="00256427"/>
    <w:rsid w:val="0025645C"/>
    <w:rsid w:val="0025656B"/>
    <w:rsid w:val="002565CF"/>
    <w:rsid w:val="0025669B"/>
    <w:rsid w:val="002566A8"/>
    <w:rsid w:val="0025678B"/>
    <w:rsid w:val="00256813"/>
    <w:rsid w:val="00256823"/>
    <w:rsid w:val="00256893"/>
    <w:rsid w:val="002568F4"/>
    <w:rsid w:val="00256911"/>
    <w:rsid w:val="0025691D"/>
    <w:rsid w:val="00256932"/>
    <w:rsid w:val="002569E7"/>
    <w:rsid w:val="00256ACB"/>
    <w:rsid w:val="00256AFE"/>
    <w:rsid w:val="00256B60"/>
    <w:rsid w:val="00256BAC"/>
    <w:rsid w:val="00256CBD"/>
    <w:rsid w:val="00256D29"/>
    <w:rsid w:val="00256D8C"/>
    <w:rsid w:val="00256DD3"/>
    <w:rsid w:val="00256DE6"/>
    <w:rsid w:val="00256E82"/>
    <w:rsid w:val="00256F93"/>
    <w:rsid w:val="00256FC2"/>
    <w:rsid w:val="00257019"/>
    <w:rsid w:val="00257023"/>
    <w:rsid w:val="00257031"/>
    <w:rsid w:val="0025708D"/>
    <w:rsid w:val="00257101"/>
    <w:rsid w:val="00257163"/>
    <w:rsid w:val="002571D2"/>
    <w:rsid w:val="002571D8"/>
    <w:rsid w:val="002571E5"/>
    <w:rsid w:val="002571E6"/>
    <w:rsid w:val="002572C4"/>
    <w:rsid w:val="002572F9"/>
    <w:rsid w:val="00257343"/>
    <w:rsid w:val="00257367"/>
    <w:rsid w:val="00257380"/>
    <w:rsid w:val="00257488"/>
    <w:rsid w:val="002574DA"/>
    <w:rsid w:val="00257569"/>
    <w:rsid w:val="00257570"/>
    <w:rsid w:val="0025757A"/>
    <w:rsid w:val="0025761A"/>
    <w:rsid w:val="0025763E"/>
    <w:rsid w:val="002576B7"/>
    <w:rsid w:val="002576DC"/>
    <w:rsid w:val="0025770D"/>
    <w:rsid w:val="00257767"/>
    <w:rsid w:val="0025776D"/>
    <w:rsid w:val="00257877"/>
    <w:rsid w:val="00257893"/>
    <w:rsid w:val="0025789E"/>
    <w:rsid w:val="00257A74"/>
    <w:rsid w:val="00257C4B"/>
    <w:rsid w:val="00257CE0"/>
    <w:rsid w:val="00257DD8"/>
    <w:rsid w:val="00257E99"/>
    <w:rsid w:val="00257EE1"/>
    <w:rsid w:val="00257F53"/>
    <w:rsid w:val="002602C8"/>
    <w:rsid w:val="002602CA"/>
    <w:rsid w:val="0026031D"/>
    <w:rsid w:val="00260337"/>
    <w:rsid w:val="00260369"/>
    <w:rsid w:val="00260389"/>
    <w:rsid w:val="002603D3"/>
    <w:rsid w:val="002603F1"/>
    <w:rsid w:val="00260445"/>
    <w:rsid w:val="002604D3"/>
    <w:rsid w:val="0026052B"/>
    <w:rsid w:val="002605ED"/>
    <w:rsid w:val="00260605"/>
    <w:rsid w:val="0026065D"/>
    <w:rsid w:val="002606B5"/>
    <w:rsid w:val="002606EA"/>
    <w:rsid w:val="002607A3"/>
    <w:rsid w:val="002607AC"/>
    <w:rsid w:val="002608C5"/>
    <w:rsid w:val="0026090D"/>
    <w:rsid w:val="0026090E"/>
    <w:rsid w:val="002609A1"/>
    <w:rsid w:val="00260A05"/>
    <w:rsid w:val="00260A41"/>
    <w:rsid w:val="00260BE7"/>
    <w:rsid w:val="00260C13"/>
    <w:rsid w:val="00260C2B"/>
    <w:rsid w:val="00260C3F"/>
    <w:rsid w:val="00260D26"/>
    <w:rsid w:val="00260DAD"/>
    <w:rsid w:val="00260E0B"/>
    <w:rsid w:val="00260EC4"/>
    <w:rsid w:val="00260EDE"/>
    <w:rsid w:val="00261017"/>
    <w:rsid w:val="00261027"/>
    <w:rsid w:val="00261038"/>
    <w:rsid w:val="0026109B"/>
    <w:rsid w:val="00261124"/>
    <w:rsid w:val="00261150"/>
    <w:rsid w:val="0026116C"/>
    <w:rsid w:val="0026117D"/>
    <w:rsid w:val="002611B8"/>
    <w:rsid w:val="002611D6"/>
    <w:rsid w:val="00261258"/>
    <w:rsid w:val="0026131C"/>
    <w:rsid w:val="00261369"/>
    <w:rsid w:val="002613CF"/>
    <w:rsid w:val="00261442"/>
    <w:rsid w:val="00261542"/>
    <w:rsid w:val="0026158C"/>
    <w:rsid w:val="00261635"/>
    <w:rsid w:val="002616FF"/>
    <w:rsid w:val="0026177D"/>
    <w:rsid w:val="0026179E"/>
    <w:rsid w:val="002617BB"/>
    <w:rsid w:val="002617E7"/>
    <w:rsid w:val="00261892"/>
    <w:rsid w:val="002618E6"/>
    <w:rsid w:val="0026192E"/>
    <w:rsid w:val="00261B9E"/>
    <w:rsid w:val="00261C62"/>
    <w:rsid w:val="00261D55"/>
    <w:rsid w:val="00261D76"/>
    <w:rsid w:val="00261D90"/>
    <w:rsid w:val="00261E09"/>
    <w:rsid w:val="00261EBA"/>
    <w:rsid w:val="00261FBC"/>
    <w:rsid w:val="00262046"/>
    <w:rsid w:val="002620B9"/>
    <w:rsid w:val="00262210"/>
    <w:rsid w:val="0026228F"/>
    <w:rsid w:val="00262304"/>
    <w:rsid w:val="0026239D"/>
    <w:rsid w:val="002623EE"/>
    <w:rsid w:val="00262401"/>
    <w:rsid w:val="00262433"/>
    <w:rsid w:val="002624D3"/>
    <w:rsid w:val="0026262B"/>
    <w:rsid w:val="00262635"/>
    <w:rsid w:val="00262645"/>
    <w:rsid w:val="002627F6"/>
    <w:rsid w:val="00262967"/>
    <w:rsid w:val="00262A5C"/>
    <w:rsid w:val="00262AC4"/>
    <w:rsid w:val="00262BB9"/>
    <w:rsid w:val="00262C70"/>
    <w:rsid w:val="00262D34"/>
    <w:rsid w:val="00262D93"/>
    <w:rsid w:val="00262E03"/>
    <w:rsid w:val="00262E51"/>
    <w:rsid w:val="00262F71"/>
    <w:rsid w:val="00263087"/>
    <w:rsid w:val="002630AD"/>
    <w:rsid w:val="00263134"/>
    <w:rsid w:val="0026314D"/>
    <w:rsid w:val="00263174"/>
    <w:rsid w:val="00263215"/>
    <w:rsid w:val="00263394"/>
    <w:rsid w:val="0026344D"/>
    <w:rsid w:val="00263469"/>
    <w:rsid w:val="002634CF"/>
    <w:rsid w:val="002635AB"/>
    <w:rsid w:val="00263679"/>
    <w:rsid w:val="00263696"/>
    <w:rsid w:val="00263719"/>
    <w:rsid w:val="002638BF"/>
    <w:rsid w:val="00263906"/>
    <w:rsid w:val="00263930"/>
    <w:rsid w:val="00263946"/>
    <w:rsid w:val="002639DA"/>
    <w:rsid w:val="002639FA"/>
    <w:rsid w:val="002639FD"/>
    <w:rsid w:val="00263A83"/>
    <w:rsid w:val="00263C86"/>
    <w:rsid w:val="00263E1C"/>
    <w:rsid w:val="0026406C"/>
    <w:rsid w:val="00264169"/>
    <w:rsid w:val="002641D8"/>
    <w:rsid w:val="00264219"/>
    <w:rsid w:val="00264230"/>
    <w:rsid w:val="00264362"/>
    <w:rsid w:val="002643AC"/>
    <w:rsid w:val="00264413"/>
    <w:rsid w:val="00264426"/>
    <w:rsid w:val="00264429"/>
    <w:rsid w:val="00264431"/>
    <w:rsid w:val="002644B1"/>
    <w:rsid w:val="002644F9"/>
    <w:rsid w:val="0026451A"/>
    <w:rsid w:val="00264578"/>
    <w:rsid w:val="00264641"/>
    <w:rsid w:val="00264692"/>
    <w:rsid w:val="00264758"/>
    <w:rsid w:val="0026479A"/>
    <w:rsid w:val="002647F7"/>
    <w:rsid w:val="0026480D"/>
    <w:rsid w:val="002648D7"/>
    <w:rsid w:val="002648FB"/>
    <w:rsid w:val="00264921"/>
    <w:rsid w:val="00264BF0"/>
    <w:rsid w:val="00264DA4"/>
    <w:rsid w:val="00264DE8"/>
    <w:rsid w:val="00264E09"/>
    <w:rsid w:val="00264E41"/>
    <w:rsid w:val="00264E62"/>
    <w:rsid w:val="00264EE1"/>
    <w:rsid w:val="00264EFA"/>
    <w:rsid w:val="00264F6B"/>
    <w:rsid w:val="00264F6C"/>
    <w:rsid w:val="00264FFA"/>
    <w:rsid w:val="002650FF"/>
    <w:rsid w:val="00265173"/>
    <w:rsid w:val="00265190"/>
    <w:rsid w:val="002651EA"/>
    <w:rsid w:val="00265236"/>
    <w:rsid w:val="00265245"/>
    <w:rsid w:val="00265354"/>
    <w:rsid w:val="002653C1"/>
    <w:rsid w:val="002653D9"/>
    <w:rsid w:val="0026542F"/>
    <w:rsid w:val="002654A9"/>
    <w:rsid w:val="002654BA"/>
    <w:rsid w:val="00265685"/>
    <w:rsid w:val="002656C2"/>
    <w:rsid w:val="002657A5"/>
    <w:rsid w:val="002657AC"/>
    <w:rsid w:val="002657C9"/>
    <w:rsid w:val="00265979"/>
    <w:rsid w:val="002659DD"/>
    <w:rsid w:val="002659F9"/>
    <w:rsid w:val="00265A15"/>
    <w:rsid w:val="00265A1C"/>
    <w:rsid w:val="00265A3C"/>
    <w:rsid w:val="00265A6F"/>
    <w:rsid w:val="00265A9D"/>
    <w:rsid w:val="00265ADE"/>
    <w:rsid w:val="00265B0D"/>
    <w:rsid w:val="00265B14"/>
    <w:rsid w:val="00265B36"/>
    <w:rsid w:val="00265B50"/>
    <w:rsid w:val="00265B76"/>
    <w:rsid w:val="00265E46"/>
    <w:rsid w:val="00265F30"/>
    <w:rsid w:val="00266030"/>
    <w:rsid w:val="00266061"/>
    <w:rsid w:val="0026611D"/>
    <w:rsid w:val="00266135"/>
    <w:rsid w:val="00266180"/>
    <w:rsid w:val="002661A2"/>
    <w:rsid w:val="002661E3"/>
    <w:rsid w:val="00266254"/>
    <w:rsid w:val="0026625A"/>
    <w:rsid w:val="0026630C"/>
    <w:rsid w:val="00266394"/>
    <w:rsid w:val="00266568"/>
    <w:rsid w:val="002665C1"/>
    <w:rsid w:val="002665DF"/>
    <w:rsid w:val="002665FC"/>
    <w:rsid w:val="00266624"/>
    <w:rsid w:val="002666CC"/>
    <w:rsid w:val="0026673C"/>
    <w:rsid w:val="0026675B"/>
    <w:rsid w:val="00266890"/>
    <w:rsid w:val="0026689C"/>
    <w:rsid w:val="002668BB"/>
    <w:rsid w:val="002668DD"/>
    <w:rsid w:val="00266944"/>
    <w:rsid w:val="00266996"/>
    <w:rsid w:val="00266AEA"/>
    <w:rsid w:val="00266B1E"/>
    <w:rsid w:val="00266B42"/>
    <w:rsid w:val="00266B48"/>
    <w:rsid w:val="00266BC7"/>
    <w:rsid w:val="00266BD5"/>
    <w:rsid w:val="00266C1F"/>
    <w:rsid w:val="00266CA4"/>
    <w:rsid w:val="00266D66"/>
    <w:rsid w:val="00266D9A"/>
    <w:rsid w:val="00266E2D"/>
    <w:rsid w:val="00266EDA"/>
    <w:rsid w:val="0026701E"/>
    <w:rsid w:val="00267036"/>
    <w:rsid w:val="0026703E"/>
    <w:rsid w:val="0026707B"/>
    <w:rsid w:val="0026708B"/>
    <w:rsid w:val="00267099"/>
    <w:rsid w:val="002671F5"/>
    <w:rsid w:val="00267222"/>
    <w:rsid w:val="002673BE"/>
    <w:rsid w:val="00267498"/>
    <w:rsid w:val="002674B7"/>
    <w:rsid w:val="002674C2"/>
    <w:rsid w:val="002674E7"/>
    <w:rsid w:val="0026752A"/>
    <w:rsid w:val="00267657"/>
    <w:rsid w:val="0026767F"/>
    <w:rsid w:val="00267716"/>
    <w:rsid w:val="0026776B"/>
    <w:rsid w:val="002677B8"/>
    <w:rsid w:val="00267809"/>
    <w:rsid w:val="002678A0"/>
    <w:rsid w:val="00267974"/>
    <w:rsid w:val="00267A48"/>
    <w:rsid w:val="00267AA8"/>
    <w:rsid w:val="00267B4C"/>
    <w:rsid w:val="00267B79"/>
    <w:rsid w:val="00267BF0"/>
    <w:rsid w:val="00267C5B"/>
    <w:rsid w:val="00267CE5"/>
    <w:rsid w:val="00267EB8"/>
    <w:rsid w:val="00267F0A"/>
    <w:rsid w:val="00267F2C"/>
    <w:rsid w:val="00267F6C"/>
    <w:rsid w:val="00270084"/>
    <w:rsid w:val="002700E8"/>
    <w:rsid w:val="00270114"/>
    <w:rsid w:val="00270120"/>
    <w:rsid w:val="00270123"/>
    <w:rsid w:val="0027017F"/>
    <w:rsid w:val="00270248"/>
    <w:rsid w:val="0027033B"/>
    <w:rsid w:val="002703B2"/>
    <w:rsid w:val="00270497"/>
    <w:rsid w:val="00270502"/>
    <w:rsid w:val="002705FF"/>
    <w:rsid w:val="00270681"/>
    <w:rsid w:val="002706B7"/>
    <w:rsid w:val="002706DC"/>
    <w:rsid w:val="00270722"/>
    <w:rsid w:val="0027078C"/>
    <w:rsid w:val="002707AC"/>
    <w:rsid w:val="002707D2"/>
    <w:rsid w:val="002707EE"/>
    <w:rsid w:val="00270823"/>
    <w:rsid w:val="00270859"/>
    <w:rsid w:val="0027091C"/>
    <w:rsid w:val="0027098F"/>
    <w:rsid w:val="002709F4"/>
    <w:rsid w:val="00270A70"/>
    <w:rsid w:val="00270B07"/>
    <w:rsid w:val="00270B29"/>
    <w:rsid w:val="00270B38"/>
    <w:rsid w:val="00270D6A"/>
    <w:rsid w:val="00270E3E"/>
    <w:rsid w:val="00270EC1"/>
    <w:rsid w:val="00270F12"/>
    <w:rsid w:val="00270F6B"/>
    <w:rsid w:val="00270F8B"/>
    <w:rsid w:val="00270FBC"/>
    <w:rsid w:val="0027106D"/>
    <w:rsid w:val="0027110F"/>
    <w:rsid w:val="00271246"/>
    <w:rsid w:val="002712F2"/>
    <w:rsid w:val="00271435"/>
    <w:rsid w:val="002714BD"/>
    <w:rsid w:val="002714F7"/>
    <w:rsid w:val="00271574"/>
    <w:rsid w:val="002715C1"/>
    <w:rsid w:val="002715DF"/>
    <w:rsid w:val="002715FF"/>
    <w:rsid w:val="0027173C"/>
    <w:rsid w:val="00271769"/>
    <w:rsid w:val="002717E4"/>
    <w:rsid w:val="00271827"/>
    <w:rsid w:val="0027182A"/>
    <w:rsid w:val="0027183E"/>
    <w:rsid w:val="00271985"/>
    <w:rsid w:val="00271A3B"/>
    <w:rsid w:val="00271AA9"/>
    <w:rsid w:val="00271ADA"/>
    <w:rsid w:val="00271AF2"/>
    <w:rsid w:val="00271B8F"/>
    <w:rsid w:val="00271C22"/>
    <w:rsid w:val="00271C51"/>
    <w:rsid w:val="00271CFA"/>
    <w:rsid w:val="00271D57"/>
    <w:rsid w:val="00271D92"/>
    <w:rsid w:val="00271DA1"/>
    <w:rsid w:val="00271DC6"/>
    <w:rsid w:val="00271DE3"/>
    <w:rsid w:val="00271EA2"/>
    <w:rsid w:val="00271EF7"/>
    <w:rsid w:val="00271F20"/>
    <w:rsid w:val="002720FF"/>
    <w:rsid w:val="0027218D"/>
    <w:rsid w:val="00272237"/>
    <w:rsid w:val="002722D2"/>
    <w:rsid w:val="002723D5"/>
    <w:rsid w:val="00272418"/>
    <w:rsid w:val="00272443"/>
    <w:rsid w:val="00272445"/>
    <w:rsid w:val="00272533"/>
    <w:rsid w:val="002725B4"/>
    <w:rsid w:val="0027263D"/>
    <w:rsid w:val="002727B0"/>
    <w:rsid w:val="00272823"/>
    <w:rsid w:val="0027288D"/>
    <w:rsid w:val="002729DF"/>
    <w:rsid w:val="00272A1B"/>
    <w:rsid w:val="00272CA0"/>
    <w:rsid w:val="00272E8F"/>
    <w:rsid w:val="00272F16"/>
    <w:rsid w:val="00272FB4"/>
    <w:rsid w:val="00272FC3"/>
    <w:rsid w:val="00272FFE"/>
    <w:rsid w:val="002730BF"/>
    <w:rsid w:val="002730D6"/>
    <w:rsid w:val="00273190"/>
    <w:rsid w:val="00273214"/>
    <w:rsid w:val="0027339E"/>
    <w:rsid w:val="00273442"/>
    <w:rsid w:val="00273531"/>
    <w:rsid w:val="002735B2"/>
    <w:rsid w:val="00273748"/>
    <w:rsid w:val="002737B2"/>
    <w:rsid w:val="002737FA"/>
    <w:rsid w:val="002738E1"/>
    <w:rsid w:val="0027390B"/>
    <w:rsid w:val="00273943"/>
    <w:rsid w:val="00273949"/>
    <w:rsid w:val="00273973"/>
    <w:rsid w:val="002739CC"/>
    <w:rsid w:val="00273A9B"/>
    <w:rsid w:val="00273AB1"/>
    <w:rsid w:val="00273B38"/>
    <w:rsid w:val="00273B89"/>
    <w:rsid w:val="00273C47"/>
    <w:rsid w:val="00273C4C"/>
    <w:rsid w:val="00273C72"/>
    <w:rsid w:val="00273C73"/>
    <w:rsid w:val="00273CC1"/>
    <w:rsid w:val="00273D75"/>
    <w:rsid w:val="00273E4E"/>
    <w:rsid w:val="00273E7E"/>
    <w:rsid w:val="00273E84"/>
    <w:rsid w:val="00273E85"/>
    <w:rsid w:val="00273EE9"/>
    <w:rsid w:val="00273F74"/>
    <w:rsid w:val="00273F90"/>
    <w:rsid w:val="00274060"/>
    <w:rsid w:val="00274089"/>
    <w:rsid w:val="0027409A"/>
    <w:rsid w:val="002740EE"/>
    <w:rsid w:val="00274125"/>
    <w:rsid w:val="0027423C"/>
    <w:rsid w:val="00274270"/>
    <w:rsid w:val="002742A0"/>
    <w:rsid w:val="002743E9"/>
    <w:rsid w:val="00274446"/>
    <w:rsid w:val="00274582"/>
    <w:rsid w:val="00274595"/>
    <w:rsid w:val="002745E8"/>
    <w:rsid w:val="00274653"/>
    <w:rsid w:val="002746D4"/>
    <w:rsid w:val="002746F5"/>
    <w:rsid w:val="0027473A"/>
    <w:rsid w:val="00274740"/>
    <w:rsid w:val="0027479A"/>
    <w:rsid w:val="00274804"/>
    <w:rsid w:val="002748A7"/>
    <w:rsid w:val="002748B8"/>
    <w:rsid w:val="002748DB"/>
    <w:rsid w:val="00274921"/>
    <w:rsid w:val="0027492E"/>
    <w:rsid w:val="00274986"/>
    <w:rsid w:val="00274A2A"/>
    <w:rsid w:val="00274ABA"/>
    <w:rsid w:val="00274B20"/>
    <w:rsid w:val="00274B2D"/>
    <w:rsid w:val="00274B36"/>
    <w:rsid w:val="00274BD6"/>
    <w:rsid w:val="00274C0B"/>
    <w:rsid w:val="00274CC5"/>
    <w:rsid w:val="00274D68"/>
    <w:rsid w:val="00274E8F"/>
    <w:rsid w:val="00274F09"/>
    <w:rsid w:val="00274F14"/>
    <w:rsid w:val="00275002"/>
    <w:rsid w:val="0027511F"/>
    <w:rsid w:val="00275186"/>
    <w:rsid w:val="002751A0"/>
    <w:rsid w:val="002751B7"/>
    <w:rsid w:val="002751E4"/>
    <w:rsid w:val="002752CC"/>
    <w:rsid w:val="0027530D"/>
    <w:rsid w:val="0027531A"/>
    <w:rsid w:val="002753B0"/>
    <w:rsid w:val="002753E8"/>
    <w:rsid w:val="0027540A"/>
    <w:rsid w:val="0027540D"/>
    <w:rsid w:val="002754D4"/>
    <w:rsid w:val="002754E3"/>
    <w:rsid w:val="0027552D"/>
    <w:rsid w:val="0027555D"/>
    <w:rsid w:val="0027557B"/>
    <w:rsid w:val="002755AB"/>
    <w:rsid w:val="002755D4"/>
    <w:rsid w:val="00275631"/>
    <w:rsid w:val="002756F9"/>
    <w:rsid w:val="00275803"/>
    <w:rsid w:val="00275826"/>
    <w:rsid w:val="00275892"/>
    <w:rsid w:val="0027593E"/>
    <w:rsid w:val="002759A2"/>
    <w:rsid w:val="002759D5"/>
    <w:rsid w:val="002759DC"/>
    <w:rsid w:val="00275A0C"/>
    <w:rsid w:val="00275AEC"/>
    <w:rsid w:val="00275B1D"/>
    <w:rsid w:val="00275B98"/>
    <w:rsid w:val="00275B99"/>
    <w:rsid w:val="00275BF3"/>
    <w:rsid w:val="00275BF9"/>
    <w:rsid w:val="00275C11"/>
    <w:rsid w:val="00275C77"/>
    <w:rsid w:val="00275C92"/>
    <w:rsid w:val="00275F72"/>
    <w:rsid w:val="00275F78"/>
    <w:rsid w:val="00276044"/>
    <w:rsid w:val="00276082"/>
    <w:rsid w:val="002760DE"/>
    <w:rsid w:val="002760FE"/>
    <w:rsid w:val="00276234"/>
    <w:rsid w:val="00276237"/>
    <w:rsid w:val="00276258"/>
    <w:rsid w:val="002762DB"/>
    <w:rsid w:val="00276325"/>
    <w:rsid w:val="002763EB"/>
    <w:rsid w:val="00276458"/>
    <w:rsid w:val="00276479"/>
    <w:rsid w:val="002764C8"/>
    <w:rsid w:val="0027651E"/>
    <w:rsid w:val="0027660C"/>
    <w:rsid w:val="00276659"/>
    <w:rsid w:val="002766E1"/>
    <w:rsid w:val="00276733"/>
    <w:rsid w:val="002767D6"/>
    <w:rsid w:val="002767F2"/>
    <w:rsid w:val="00276832"/>
    <w:rsid w:val="0027686B"/>
    <w:rsid w:val="00276870"/>
    <w:rsid w:val="00276899"/>
    <w:rsid w:val="002768AB"/>
    <w:rsid w:val="002769FD"/>
    <w:rsid w:val="00276A26"/>
    <w:rsid w:val="00276AAB"/>
    <w:rsid w:val="00276AAE"/>
    <w:rsid w:val="00276AF3"/>
    <w:rsid w:val="00276C0B"/>
    <w:rsid w:val="00276C35"/>
    <w:rsid w:val="00276D83"/>
    <w:rsid w:val="00276E31"/>
    <w:rsid w:val="00276F51"/>
    <w:rsid w:val="00276F5F"/>
    <w:rsid w:val="00277201"/>
    <w:rsid w:val="00277266"/>
    <w:rsid w:val="002773B7"/>
    <w:rsid w:val="00277465"/>
    <w:rsid w:val="00277478"/>
    <w:rsid w:val="0027749A"/>
    <w:rsid w:val="002774AA"/>
    <w:rsid w:val="0027757F"/>
    <w:rsid w:val="00277726"/>
    <w:rsid w:val="00277808"/>
    <w:rsid w:val="00277868"/>
    <w:rsid w:val="00277986"/>
    <w:rsid w:val="00277A4E"/>
    <w:rsid w:val="00277ADE"/>
    <w:rsid w:val="00277B3E"/>
    <w:rsid w:val="00277B6B"/>
    <w:rsid w:val="00277B6D"/>
    <w:rsid w:val="00277B86"/>
    <w:rsid w:val="00277BA4"/>
    <w:rsid w:val="00277BD9"/>
    <w:rsid w:val="00277C23"/>
    <w:rsid w:val="00277C41"/>
    <w:rsid w:val="00277C82"/>
    <w:rsid w:val="00277CD2"/>
    <w:rsid w:val="00277D37"/>
    <w:rsid w:val="00277D42"/>
    <w:rsid w:val="00277DB4"/>
    <w:rsid w:val="00277E21"/>
    <w:rsid w:val="00277F6E"/>
    <w:rsid w:val="00277F70"/>
    <w:rsid w:val="00280040"/>
    <w:rsid w:val="00280100"/>
    <w:rsid w:val="0028010B"/>
    <w:rsid w:val="00280114"/>
    <w:rsid w:val="0028012D"/>
    <w:rsid w:val="002803D4"/>
    <w:rsid w:val="0028040A"/>
    <w:rsid w:val="002804B9"/>
    <w:rsid w:val="002804F7"/>
    <w:rsid w:val="00280512"/>
    <w:rsid w:val="00280535"/>
    <w:rsid w:val="002805BF"/>
    <w:rsid w:val="0028064C"/>
    <w:rsid w:val="002806CE"/>
    <w:rsid w:val="00280721"/>
    <w:rsid w:val="002807A2"/>
    <w:rsid w:val="002807E3"/>
    <w:rsid w:val="00280887"/>
    <w:rsid w:val="002808DA"/>
    <w:rsid w:val="0028094F"/>
    <w:rsid w:val="0028097C"/>
    <w:rsid w:val="002809B0"/>
    <w:rsid w:val="002809D6"/>
    <w:rsid w:val="002809F6"/>
    <w:rsid w:val="00280B5A"/>
    <w:rsid w:val="00280C98"/>
    <w:rsid w:val="00280EB7"/>
    <w:rsid w:val="00280EC7"/>
    <w:rsid w:val="00280F49"/>
    <w:rsid w:val="00280F62"/>
    <w:rsid w:val="00280F8B"/>
    <w:rsid w:val="00280FFA"/>
    <w:rsid w:val="00281039"/>
    <w:rsid w:val="0028103C"/>
    <w:rsid w:val="002810D1"/>
    <w:rsid w:val="00281105"/>
    <w:rsid w:val="0028115B"/>
    <w:rsid w:val="002812CC"/>
    <w:rsid w:val="00281329"/>
    <w:rsid w:val="002813A9"/>
    <w:rsid w:val="002813DF"/>
    <w:rsid w:val="00281402"/>
    <w:rsid w:val="0028141B"/>
    <w:rsid w:val="002814ED"/>
    <w:rsid w:val="00281504"/>
    <w:rsid w:val="0028155D"/>
    <w:rsid w:val="002815E9"/>
    <w:rsid w:val="00281610"/>
    <w:rsid w:val="00281628"/>
    <w:rsid w:val="0028163A"/>
    <w:rsid w:val="00281811"/>
    <w:rsid w:val="00281878"/>
    <w:rsid w:val="00281896"/>
    <w:rsid w:val="00281993"/>
    <w:rsid w:val="00281999"/>
    <w:rsid w:val="00281A59"/>
    <w:rsid w:val="00281AB1"/>
    <w:rsid w:val="00281B40"/>
    <w:rsid w:val="00281CB2"/>
    <w:rsid w:val="00281CB3"/>
    <w:rsid w:val="00281D2D"/>
    <w:rsid w:val="00281E93"/>
    <w:rsid w:val="00281FB9"/>
    <w:rsid w:val="00281FBE"/>
    <w:rsid w:val="00281FD0"/>
    <w:rsid w:val="00282081"/>
    <w:rsid w:val="00282093"/>
    <w:rsid w:val="002820E5"/>
    <w:rsid w:val="002820FF"/>
    <w:rsid w:val="00282291"/>
    <w:rsid w:val="002822CD"/>
    <w:rsid w:val="0028230E"/>
    <w:rsid w:val="00282334"/>
    <w:rsid w:val="0028233E"/>
    <w:rsid w:val="00282439"/>
    <w:rsid w:val="002825D5"/>
    <w:rsid w:val="0028260C"/>
    <w:rsid w:val="00282661"/>
    <w:rsid w:val="002826AF"/>
    <w:rsid w:val="002827F6"/>
    <w:rsid w:val="0028284D"/>
    <w:rsid w:val="0028288C"/>
    <w:rsid w:val="00282952"/>
    <w:rsid w:val="002829AA"/>
    <w:rsid w:val="00282A25"/>
    <w:rsid w:val="00282A99"/>
    <w:rsid w:val="00282B89"/>
    <w:rsid w:val="00282C72"/>
    <w:rsid w:val="00282C74"/>
    <w:rsid w:val="00282C8F"/>
    <w:rsid w:val="00282CB1"/>
    <w:rsid w:val="00282CD2"/>
    <w:rsid w:val="00282CDB"/>
    <w:rsid w:val="00282DA7"/>
    <w:rsid w:val="00282E19"/>
    <w:rsid w:val="00282E73"/>
    <w:rsid w:val="00282E84"/>
    <w:rsid w:val="00282E91"/>
    <w:rsid w:val="00282F2C"/>
    <w:rsid w:val="00282F37"/>
    <w:rsid w:val="00282F4C"/>
    <w:rsid w:val="00282F78"/>
    <w:rsid w:val="00282F92"/>
    <w:rsid w:val="00282FE6"/>
    <w:rsid w:val="00283015"/>
    <w:rsid w:val="002830F8"/>
    <w:rsid w:val="00283215"/>
    <w:rsid w:val="002832CC"/>
    <w:rsid w:val="002832E8"/>
    <w:rsid w:val="002833A3"/>
    <w:rsid w:val="002833F5"/>
    <w:rsid w:val="00283411"/>
    <w:rsid w:val="00283553"/>
    <w:rsid w:val="00283655"/>
    <w:rsid w:val="0028369E"/>
    <w:rsid w:val="002836B3"/>
    <w:rsid w:val="002836FE"/>
    <w:rsid w:val="002837B9"/>
    <w:rsid w:val="002837FE"/>
    <w:rsid w:val="0028386F"/>
    <w:rsid w:val="00283932"/>
    <w:rsid w:val="0028396B"/>
    <w:rsid w:val="002839FC"/>
    <w:rsid w:val="00283A68"/>
    <w:rsid w:val="00283C0C"/>
    <w:rsid w:val="00283D12"/>
    <w:rsid w:val="00283D54"/>
    <w:rsid w:val="00283DFE"/>
    <w:rsid w:val="00283E3F"/>
    <w:rsid w:val="00283F44"/>
    <w:rsid w:val="0028403C"/>
    <w:rsid w:val="00284040"/>
    <w:rsid w:val="0028407C"/>
    <w:rsid w:val="002840E8"/>
    <w:rsid w:val="002840F5"/>
    <w:rsid w:val="00284105"/>
    <w:rsid w:val="0028420C"/>
    <w:rsid w:val="002842DA"/>
    <w:rsid w:val="002842F7"/>
    <w:rsid w:val="0028432C"/>
    <w:rsid w:val="00284382"/>
    <w:rsid w:val="002843B9"/>
    <w:rsid w:val="002843D5"/>
    <w:rsid w:val="00284413"/>
    <w:rsid w:val="00284417"/>
    <w:rsid w:val="002844A0"/>
    <w:rsid w:val="0028458B"/>
    <w:rsid w:val="002846E1"/>
    <w:rsid w:val="002847B2"/>
    <w:rsid w:val="002848C3"/>
    <w:rsid w:val="00284A10"/>
    <w:rsid w:val="00284A1D"/>
    <w:rsid w:val="00284A2A"/>
    <w:rsid w:val="00284AA0"/>
    <w:rsid w:val="00284B9F"/>
    <w:rsid w:val="00284C40"/>
    <w:rsid w:val="00284C4F"/>
    <w:rsid w:val="00284C5F"/>
    <w:rsid w:val="00284C96"/>
    <w:rsid w:val="00284CC1"/>
    <w:rsid w:val="00284D91"/>
    <w:rsid w:val="00284DAB"/>
    <w:rsid w:val="00284DBB"/>
    <w:rsid w:val="00284E94"/>
    <w:rsid w:val="00284EB6"/>
    <w:rsid w:val="00284F19"/>
    <w:rsid w:val="00285004"/>
    <w:rsid w:val="0028500A"/>
    <w:rsid w:val="00285168"/>
    <w:rsid w:val="002851B5"/>
    <w:rsid w:val="00285245"/>
    <w:rsid w:val="00285280"/>
    <w:rsid w:val="002852E1"/>
    <w:rsid w:val="00285316"/>
    <w:rsid w:val="002853DC"/>
    <w:rsid w:val="002853FC"/>
    <w:rsid w:val="0028540D"/>
    <w:rsid w:val="0028541E"/>
    <w:rsid w:val="002854D7"/>
    <w:rsid w:val="00285535"/>
    <w:rsid w:val="0028555D"/>
    <w:rsid w:val="0028558F"/>
    <w:rsid w:val="002855D0"/>
    <w:rsid w:val="002855D4"/>
    <w:rsid w:val="002856F5"/>
    <w:rsid w:val="002856FD"/>
    <w:rsid w:val="00285759"/>
    <w:rsid w:val="00285761"/>
    <w:rsid w:val="0028576B"/>
    <w:rsid w:val="00285798"/>
    <w:rsid w:val="002857BC"/>
    <w:rsid w:val="00285800"/>
    <w:rsid w:val="00285881"/>
    <w:rsid w:val="002859E7"/>
    <w:rsid w:val="00285AE3"/>
    <w:rsid w:val="00285BC4"/>
    <w:rsid w:val="00285C58"/>
    <w:rsid w:val="00285CDC"/>
    <w:rsid w:val="00285D00"/>
    <w:rsid w:val="00285D3D"/>
    <w:rsid w:val="00285D82"/>
    <w:rsid w:val="00285E08"/>
    <w:rsid w:val="00285E71"/>
    <w:rsid w:val="00285F57"/>
    <w:rsid w:val="00285F6B"/>
    <w:rsid w:val="00285F7D"/>
    <w:rsid w:val="00285FD6"/>
    <w:rsid w:val="00285FF6"/>
    <w:rsid w:val="00286028"/>
    <w:rsid w:val="0028604E"/>
    <w:rsid w:val="00286108"/>
    <w:rsid w:val="002861BA"/>
    <w:rsid w:val="002862A8"/>
    <w:rsid w:val="002862D7"/>
    <w:rsid w:val="002862F9"/>
    <w:rsid w:val="002863A2"/>
    <w:rsid w:val="0028641B"/>
    <w:rsid w:val="00286485"/>
    <w:rsid w:val="002864AC"/>
    <w:rsid w:val="002865BD"/>
    <w:rsid w:val="00286662"/>
    <w:rsid w:val="002867BD"/>
    <w:rsid w:val="00286897"/>
    <w:rsid w:val="002868BB"/>
    <w:rsid w:val="002869E3"/>
    <w:rsid w:val="00286A3E"/>
    <w:rsid w:val="00286A50"/>
    <w:rsid w:val="00286AF1"/>
    <w:rsid w:val="00286B54"/>
    <w:rsid w:val="00286CD2"/>
    <w:rsid w:val="00286D4A"/>
    <w:rsid w:val="00286DA8"/>
    <w:rsid w:val="00286DDE"/>
    <w:rsid w:val="00286DE0"/>
    <w:rsid w:val="00286E2F"/>
    <w:rsid w:val="00286FB4"/>
    <w:rsid w:val="0028703B"/>
    <w:rsid w:val="00287062"/>
    <w:rsid w:val="0028710B"/>
    <w:rsid w:val="0028710E"/>
    <w:rsid w:val="0028718A"/>
    <w:rsid w:val="0028727C"/>
    <w:rsid w:val="0028728B"/>
    <w:rsid w:val="002872F9"/>
    <w:rsid w:val="00287373"/>
    <w:rsid w:val="002873C9"/>
    <w:rsid w:val="002873CF"/>
    <w:rsid w:val="002873D7"/>
    <w:rsid w:val="0028740E"/>
    <w:rsid w:val="0028746D"/>
    <w:rsid w:val="00287487"/>
    <w:rsid w:val="002875EE"/>
    <w:rsid w:val="00287684"/>
    <w:rsid w:val="00287721"/>
    <w:rsid w:val="00287728"/>
    <w:rsid w:val="0028774D"/>
    <w:rsid w:val="00287752"/>
    <w:rsid w:val="0028779D"/>
    <w:rsid w:val="0028780D"/>
    <w:rsid w:val="0028790C"/>
    <w:rsid w:val="00287994"/>
    <w:rsid w:val="00287A67"/>
    <w:rsid w:val="00287A85"/>
    <w:rsid w:val="00287AAF"/>
    <w:rsid w:val="00287ACA"/>
    <w:rsid w:val="00287B53"/>
    <w:rsid w:val="00287B8C"/>
    <w:rsid w:val="00287B94"/>
    <w:rsid w:val="00287BC3"/>
    <w:rsid w:val="00287C02"/>
    <w:rsid w:val="00287C8C"/>
    <w:rsid w:val="00287DEE"/>
    <w:rsid w:val="00287E10"/>
    <w:rsid w:val="00287E12"/>
    <w:rsid w:val="00287E44"/>
    <w:rsid w:val="00287E7C"/>
    <w:rsid w:val="00287EF9"/>
    <w:rsid w:val="0028DE93"/>
    <w:rsid w:val="002900B3"/>
    <w:rsid w:val="002900CB"/>
    <w:rsid w:val="002900F5"/>
    <w:rsid w:val="0029014A"/>
    <w:rsid w:val="00290233"/>
    <w:rsid w:val="00290248"/>
    <w:rsid w:val="00290261"/>
    <w:rsid w:val="002902C4"/>
    <w:rsid w:val="00290340"/>
    <w:rsid w:val="00290368"/>
    <w:rsid w:val="002903F3"/>
    <w:rsid w:val="0029040D"/>
    <w:rsid w:val="0029046B"/>
    <w:rsid w:val="00290498"/>
    <w:rsid w:val="002904F5"/>
    <w:rsid w:val="00290554"/>
    <w:rsid w:val="00290582"/>
    <w:rsid w:val="002905FA"/>
    <w:rsid w:val="00290719"/>
    <w:rsid w:val="00290741"/>
    <w:rsid w:val="00290784"/>
    <w:rsid w:val="002907C0"/>
    <w:rsid w:val="002907D5"/>
    <w:rsid w:val="00290836"/>
    <w:rsid w:val="002908F5"/>
    <w:rsid w:val="0029093C"/>
    <w:rsid w:val="0029094F"/>
    <w:rsid w:val="00290964"/>
    <w:rsid w:val="002909CC"/>
    <w:rsid w:val="002909FC"/>
    <w:rsid w:val="00290A6E"/>
    <w:rsid w:val="00290AB4"/>
    <w:rsid w:val="00290AB5"/>
    <w:rsid w:val="00290ADF"/>
    <w:rsid w:val="00290C76"/>
    <w:rsid w:val="00290CDF"/>
    <w:rsid w:val="00290DA1"/>
    <w:rsid w:val="00290DAA"/>
    <w:rsid w:val="0029101C"/>
    <w:rsid w:val="002910CA"/>
    <w:rsid w:val="002910E1"/>
    <w:rsid w:val="002910FD"/>
    <w:rsid w:val="00291135"/>
    <w:rsid w:val="00291159"/>
    <w:rsid w:val="0029129E"/>
    <w:rsid w:val="0029135B"/>
    <w:rsid w:val="002913B1"/>
    <w:rsid w:val="002913EC"/>
    <w:rsid w:val="00291415"/>
    <w:rsid w:val="00291486"/>
    <w:rsid w:val="0029149F"/>
    <w:rsid w:val="002914A9"/>
    <w:rsid w:val="002914F5"/>
    <w:rsid w:val="0029150B"/>
    <w:rsid w:val="00291520"/>
    <w:rsid w:val="0029152E"/>
    <w:rsid w:val="00291599"/>
    <w:rsid w:val="00291661"/>
    <w:rsid w:val="00291759"/>
    <w:rsid w:val="0029177A"/>
    <w:rsid w:val="00291794"/>
    <w:rsid w:val="00291805"/>
    <w:rsid w:val="00291873"/>
    <w:rsid w:val="002918F2"/>
    <w:rsid w:val="00291AB2"/>
    <w:rsid w:val="00291ABC"/>
    <w:rsid w:val="00291B14"/>
    <w:rsid w:val="00291CA8"/>
    <w:rsid w:val="00291CC4"/>
    <w:rsid w:val="00291DD5"/>
    <w:rsid w:val="00291EA3"/>
    <w:rsid w:val="00291EEC"/>
    <w:rsid w:val="00291F5A"/>
    <w:rsid w:val="00292093"/>
    <w:rsid w:val="0029232C"/>
    <w:rsid w:val="00292335"/>
    <w:rsid w:val="002923A9"/>
    <w:rsid w:val="002923AF"/>
    <w:rsid w:val="00292423"/>
    <w:rsid w:val="0029245D"/>
    <w:rsid w:val="00292472"/>
    <w:rsid w:val="002924E4"/>
    <w:rsid w:val="00292645"/>
    <w:rsid w:val="00292693"/>
    <w:rsid w:val="002926A0"/>
    <w:rsid w:val="002926B4"/>
    <w:rsid w:val="0029273B"/>
    <w:rsid w:val="00292762"/>
    <w:rsid w:val="00292843"/>
    <w:rsid w:val="00292848"/>
    <w:rsid w:val="002928CC"/>
    <w:rsid w:val="00292973"/>
    <w:rsid w:val="00292ACA"/>
    <w:rsid w:val="00292BB7"/>
    <w:rsid w:val="00292BC4"/>
    <w:rsid w:val="00292BEB"/>
    <w:rsid w:val="00292CA2"/>
    <w:rsid w:val="00292CFE"/>
    <w:rsid w:val="00292D5E"/>
    <w:rsid w:val="00292DA5"/>
    <w:rsid w:val="00292E27"/>
    <w:rsid w:val="00292E55"/>
    <w:rsid w:val="00292F8E"/>
    <w:rsid w:val="00292F94"/>
    <w:rsid w:val="0029303D"/>
    <w:rsid w:val="0029304E"/>
    <w:rsid w:val="0029305F"/>
    <w:rsid w:val="0029325E"/>
    <w:rsid w:val="002932F1"/>
    <w:rsid w:val="002932F6"/>
    <w:rsid w:val="00293326"/>
    <w:rsid w:val="0029341A"/>
    <w:rsid w:val="00293447"/>
    <w:rsid w:val="00293598"/>
    <w:rsid w:val="002936B9"/>
    <w:rsid w:val="002936D7"/>
    <w:rsid w:val="002936F2"/>
    <w:rsid w:val="002937B0"/>
    <w:rsid w:val="002937FB"/>
    <w:rsid w:val="00293899"/>
    <w:rsid w:val="002939C6"/>
    <w:rsid w:val="00293A4B"/>
    <w:rsid w:val="00293A5C"/>
    <w:rsid w:val="00293A9C"/>
    <w:rsid w:val="00293BB1"/>
    <w:rsid w:val="00293BC8"/>
    <w:rsid w:val="00293C3C"/>
    <w:rsid w:val="00293D6A"/>
    <w:rsid w:val="00293DAA"/>
    <w:rsid w:val="00293DB6"/>
    <w:rsid w:val="00293E93"/>
    <w:rsid w:val="00293F5D"/>
    <w:rsid w:val="00293F93"/>
    <w:rsid w:val="00293FAA"/>
    <w:rsid w:val="00293FCF"/>
    <w:rsid w:val="00293FF7"/>
    <w:rsid w:val="00294001"/>
    <w:rsid w:val="00294069"/>
    <w:rsid w:val="0029407E"/>
    <w:rsid w:val="00294127"/>
    <w:rsid w:val="0029415A"/>
    <w:rsid w:val="00294186"/>
    <w:rsid w:val="00294188"/>
    <w:rsid w:val="002941CB"/>
    <w:rsid w:val="00294278"/>
    <w:rsid w:val="002942AD"/>
    <w:rsid w:val="002943E4"/>
    <w:rsid w:val="00294496"/>
    <w:rsid w:val="0029452E"/>
    <w:rsid w:val="00294608"/>
    <w:rsid w:val="0029464F"/>
    <w:rsid w:val="00294815"/>
    <w:rsid w:val="00294961"/>
    <w:rsid w:val="002949A9"/>
    <w:rsid w:val="00294A10"/>
    <w:rsid w:val="00294A63"/>
    <w:rsid w:val="00294A75"/>
    <w:rsid w:val="00294AEB"/>
    <w:rsid w:val="00294B80"/>
    <w:rsid w:val="00294B8B"/>
    <w:rsid w:val="00294C2E"/>
    <w:rsid w:val="00294CB1"/>
    <w:rsid w:val="00294E16"/>
    <w:rsid w:val="00294E77"/>
    <w:rsid w:val="00294F31"/>
    <w:rsid w:val="002950E9"/>
    <w:rsid w:val="0029513A"/>
    <w:rsid w:val="0029513B"/>
    <w:rsid w:val="002951D2"/>
    <w:rsid w:val="00295254"/>
    <w:rsid w:val="00295270"/>
    <w:rsid w:val="00295371"/>
    <w:rsid w:val="0029537D"/>
    <w:rsid w:val="002953B0"/>
    <w:rsid w:val="0029543E"/>
    <w:rsid w:val="00295613"/>
    <w:rsid w:val="002956BD"/>
    <w:rsid w:val="002957C7"/>
    <w:rsid w:val="002957F0"/>
    <w:rsid w:val="002957FE"/>
    <w:rsid w:val="0029582F"/>
    <w:rsid w:val="0029588E"/>
    <w:rsid w:val="0029592C"/>
    <w:rsid w:val="0029595D"/>
    <w:rsid w:val="002959E2"/>
    <w:rsid w:val="00295B12"/>
    <w:rsid w:val="00295C57"/>
    <w:rsid w:val="00295C91"/>
    <w:rsid w:val="00295D60"/>
    <w:rsid w:val="00295DDF"/>
    <w:rsid w:val="00295E82"/>
    <w:rsid w:val="00295EF5"/>
    <w:rsid w:val="00295F1A"/>
    <w:rsid w:val="00295F31"/>
    <w:rsid w:val="00295F50"/>
    <w:rsid w:val="00295FAD"/>
    <w:rsid w:val="00295FB1"/>
    <w:rsid w:val="0029604A"/>
    <w:rsid w:val="0029608F"/>
    <w:rsid w:val="00296092"/>
    <w:rsid w:val="0029609D"/>
    <w:rsid w:val="002960CA"/>
    <w:rsid w:val="00296108"/>
    <w:rsid w:val="00296145"/>
    <w:rsid w:val="002961BB"/>
    <w:rsid w:val="00296246"/>
    <w:rsid w:val="00296274"/>
    <w:rsid w:val="002962D0"/>
    <w:rsid w:val="002963E7"/>
    <w:rsid w:val="00296427"/>
    <w:rsid w:val="00296451"/>
    <w:rsid w:val="00296477"/>
    <w:rsid w:val="002964F0"/>
    <w:rsid w:val="00296532"/>
    <w:rsid w:val="002966B9"/>
    <w:rsid w:val="002966DA"/>
    <w:rsid w:val="002967F7"/>
    <w:rsid w:val="00296962"/>
    <w:rsid w:val="002969E8"/>
    <w:rsid w:val="00296A77"/>
    <w:rsid w:val="00296C39"/>
    <w:rsid w:val="00296C66"/>
    <w:rsid w:val="00296C7D"/>
    <w:rsid w:val="00296C8E"/>
    <w:rsid w:val="00296E0A"/>
    <w:rsid w:val="00296E1D"/>
    <w:rsid w:val="00296E33"/>
    <w:rsid w:val="00296EF2"/>
    <w:rsid w:val="00296FFF"/>
    <w:rsid w:val="0029700E"/>
    <w:rsid w:val="00297020"/>
    <w:rsid w:val="002972C6"/>
    <w:rsid w:val="002973BA"/>
    <w:rsid w:val="00297476"/>
    <w:rsid w:val="002974CC"/>
    <w:rsid w:val="002975AC"/>
    <w:rsid w:val="002975C4"/>
    <w:rsid w:val="002979FF"/>
    <w:rsid w:val="00297B55"/>
    <w:rsid w:val="00297BD8"/>
    <w:rsid w:val="00297BEE"/>
    <w:rsid w:val="00297C53"/>
    <w:rsid w:val="00297CFF"/>
    <w:rsid w:val="00297D26"/>
    <w:rsid w:val="00297DB5"/>
    <w:rsid w:val="00297F38"/>
    <w:rsid w:val="00297FBB"/>
    <w:rsid w:val="0029E785"/>
    <w:rsid w:val="002A0078"/>
    <w:rsid w:val="002A00C9"/>
    <w:rsid w:val="002A00E2"/>
    <w:rsid w:val="002A00E7"/>
    <w:rsid w:val="002A00F9"/>
    <w:rsid w:val="002A0106"/>
    <w:rsid w:val="002A0295"/>
    <w:rsid w:val="002A030F"/>
    <w:rsid w:val="002A0339"/>
    <w:rsid w:val="002A03D1"/>
    <w:rsid w:val="002A0410"/>
    <w:rsid w:val="002A0411"/>
    <w:rsid w:val="002A046C"/>
    <w:rsid w:val="002A053F"/>
    <w:rsid w:val="002A057F"/>
    <w:rsid w:val="002A05AF"/>
    <w:rsid w:val="002A0628"/>
    <w:rsid w:val="002A0667"/>
    <w:rsid w:val="002A0742"/>
    <w:rsid w:val="002A0756"/>
    <w:rsid w:val="002A0829"/>
    <w:rsid w:val="002A09AE"/>
    <w:rsid w:val="002A09D6"/>
    <w:rsid w:val="002A0A07"/>
    <w:rsid w:val="002A0AF3"/>
    <w:rsid w:val="002A0B49"/>
    <w:rsid w:val="002A0BCA"/>
    <w:rsid w:val="002A0C84"/>
    <w:rsid w:val="002A0CB7"/>
    <w:rsid w:val="002A0D0F"/>
    <w:rsid w:val="002A0D77"/>
    <w:rsid w:val="002A0E51"/>
    <w:rsid w:val="002A0E54"/>
    <w:rsid w:val="002A0E5B"/>
    <w:rsid w:val="002A0EF7"/>
    <w:rsid w:val="002A1053"/>
    <w:rsid w:val="002A1131"/>
    <w:rsid w:val="002A114A"/>
    <w:rsid w:val="002A114E"/>
    <w:rsid w:val="002A11B8"/>
    <w:rsid w:val="002A11F1"/>
    <w:rsid w:val="002A120D"/>
    <w:rsid w:val="002A12BA"/>
    <w:rsid w:val="002A133D"/>
    <w:rsid w:val="002A135B"/>
    <w:rsid w:val="002A137A"/>
    <w:rsid w:val="002A13DA"/>
    <w:rsid w:val="002A143A"/>
    <w:rsid w:val="002A14FF"/>
    <w:rsid w:val="002A150F"/>
    <w:rsid w:val="002A1615"/>
    <w:rsid w:val="002A16AD"/>
    <w:rsid w:val="002A173D"/>
    <w:rsid w:val="002A1828"/>
    <w:rsid w:val="002A1858"/>
    <w:rsid w:val="002A1870"/>
    <w:rsid w:val="002A18B2"/>
    <w:rsid w:val="002A1A81"/>
    <w:rsid w:val="002A1AB8"/>
    <w:rsid w:val="002A1B3B"/>
    <w:rsid w:val="002A1C0A"/>
    <w:rsid w:val="002A1D18"/>
    <w:rsid w:val="002A1D5C"/>
    <w:rsid w:val="002A1D98"/>
    <w:rsid w:val="002A1DF6"/>
    <w:rsid w:val="002A1E0A"/>
    <w:rsid w:val="002A2058"/>
    <w:rsid w:val="002A2076"/>
    <w:rsid w:val="002A212B"/>
    <w:rsid w:val="002A215A"/>
    <w:rsid w:val="002A234C"/>
    <w:rsid w:val="002A2361"/>
    <w:rsid w:val="002A2435"/>
    <w:rsid w:val="002A2442"/>
    <w:rsid w:val="002A2474"/>
    <w:rsid w:val="002A249D"/>
    <w:rsid w:val="002A24D2"/>
    <w:rsid w:val="002A2505"/>
    <w:rsid w:val="002A2508"/>
    <w:rsid w:val="002A25A1"/>
    <w:rsid w:val="002A25AF"/>
    <w:rsid w:val="002A25BB"/>
    <w:rsid w:val="002A25C8"/>
    <w:rsid w:val="002A25CB"/>
    <w:rsid w:val="002A26CE"/>
    <w:rsid w:val="002A26DA"/>
    <w:rsid w:val="002A27A5"/>
    <w:rsid w:val="002A2882"/>
    <w:rsid w:val="002A28A1"/>
    <w:rsid w:val="002A28B8"/>
    <w:rsid w:val="002A28E4"/>
    <w:rsid w:val="002A295E"/>
    <w:rsid w:val="002A29C9"/>
    <w:rsid w:val="002A2AA5"/>
    <w:rsid w:val="002A2B47"/>
    <w:rsid w:val="002A2B74"/>
    <w:rsid w:val="002A2BB2"/>
    <w:rsid w:val="002A2D02"/>
    <w:rsid w:val="002A2D72"/>
    <w:rsid w:val="002A2D8E"/>
    <w:rsid w:val="002A2E38"/>
    <w:rsid w:val="002A2E7C"/>
    <w:rsid w:val="002A2E9E"/>
    <w:rsid w:val="002A2EB9"/>
    <w:rsid w:val="002A2EE7"/>
    <w:rsid w:val="002A2F0C"/>
    <w:rsid w:val="002A2F57"/>
    <w:rsid w:val="002A308D"/>
    <w:rsid w:val="002A30CE"/>
    <w:rsid w:val="002A311A"/>
    <w:rsid w:val="002A311F"/>
    <w:rsid w:val="002A317F"/>
    <w:rsid w:val="002A31A7"/>
    <w:rsid w:val="002A3350"/>
    <w:rsid w:val="002A3471"/>
    <w:rsid w:val="002A3495"/>
    <w:rsid w:val="002A3497"/>
    <w:rsid w:val="002A35B5"/>
    <w:rsid w:val="002A360E"/>
    <w:rsid w:val="002A3648"/>
    <w:rsid w:val="002A3727"/>
    <w:rsid w:val="002A37F9"/>
    <w:rsid w:val="002A382A"/>
    <w:rsid w:val="002A382E"/>
    <w:rsid w:val="002A3848"/>
    <w:rsid w:val="002A3874"/>
    <w:rsid w:val="002A3919"/>
    <w:rsid w:val="002A392B"/>
    <w:rsid w:val="002A3971"/>
    <w:rsid w:val="002A39DE"/>
    <w:rsid w:val="002A3A8B"/>
    <w:rsid w:val="002A3AFC"/>
    <w:rsid w:val="002A3B05"/>
    <w:rsid w:val="002A3BBA"/>
    <w:rsid w:val="002A3C47"/>
    <w:rsid w:val="002A3D51"/>
    <w:rsid w:val="002A3E04"/>
    <w:rsid w:val="002A3EB3"/>
    <w:rsid w:val="002A3F02"/>
    <w:rsid w:val="002A3F3C"/>
    <w:rsid w:val="002A3FA5"/>
    <w:rsid w:val="002A40DC"/>
    <w:rsid w:val="002A4138"/>
    <w:rsid w:val="002A428F"/>
    <w:rsid w:val="002A43EB"/>
    <w:rsid w:val="002A4470"/>
    <w:rsid w:val="002A454D"/>
    <w:rsid w:val="002A459C"/>
    <w:rsid w:val="002A466F"/>
    <w:rsid w:val="002A46F3"/>
    <w:rsid w:val="002A4744"/>
    <w:rsid w:val="002A47A8"/>
    <w:rsid w:val="002A4857"/>
    <w:rsid w:val="002A491C"/>
    <w:rsid w:val="002A4B8F"/>
    <w:rsid w:val="002A4D39"/>
    <w:rsid w:val="002A4DB9"/>
    <w:rsid w:val="002A4DFF"/>
    <w:rsid w:val="002A4E2A"/>
    <w:rsid w:val="002A4E88"/>
    <w:rsid w:val="002A4F52"/>
    <w:rsid w:val="002A511C"/>
    <w:rsid w:val="002A5262"/>
    <w:rsid w:val="002A5291"/>
    <w:rsid w:val="002A5329"/>
    <w:rsid w:val="002A5330"/>
    <w:rsid w:val="002A5335"/>
    <w:rsid w:val="002A54AF"/>
    <w:rsid w:val="002A5516"/>
    <w:rsid w:val="002A5557"/>
    <w:rsid w:val="002A556E"/>
    <w:rsid w:val="002A5624"/>
    <w:rsid w:val="002A5674"/>
    <w:rsid w:val="002A572F"/>
    <w:rsid w:val="002A57A7"/>
    <w:rsid w:val="002A57AE"/>
    <w:rsid w:val="002A596F"/>
    <w:rsid w:val="002A5980"/>
    <w:rsid w:val="002A5A1C"/>
    <w:rsid w:val="002A5A5B"/>
    <w:rsid w:val="002A5BFA"/>
    <w:rsid w:val="002A5E78"/>
    <w:rsid w:val="002A5EAD"/>
    <w:rsid w:val="002A5FA5"/>
    <w:rsid w:val="002A5FE9"/>
    <w:rsid w:val="002A60DB"/>
    <w:rsid w:val="002A6122"/>
    <w:rsid w:val="002A616E"/>
    <w:rsid w:val="002A627E"/>
    <w:rsid w:val="002A632D"/>
    <w:rsid w:val="002A6336"/>
    <w:rsid w:val="002A6389"/>
    <w:rsid w:val="002A63BD"/>
    <w:rsid w:val="002A64DD"/>
    <w:rsid w:val="002A651F"/>
    <w:rsid w:val="002A655A"/>
    <w:rsid w:val="002A6568"/>
    <w:rsid w:val="002A6574"/>
    <w:rsid w:val="002A6593"/>
    <w:rsid w:val="002A6689"/>
    <w:rsid w:val="002A669B"/>
    <w:rsid w:val="002A677F"/>
    <w:rsid w:val="002A68FF"/>
    <w:rsid w:val="002A6994"/>
    <w:rsid w:val="002A6A35"/>
    <w:rsid w:val="002A6A77"/>
    <w:rsid w:val="002A6ACA"/>
    <w:rsid w:val="002A6B46"/>
    <w:rsid w:val="002A6B81"/>
    <w:rsid w:val="002A6C06"/>
    <w:rsid w:val="002A6C3D"/>
    <w:rsid w:val="002A6CC0"/>
    <w:rsid w:val="002A6D92"/>
    <w:rsid w:val="002A6EAE"/>
    <w:rsid w:val="002A6F8C"/>
    <w:rsid w:val="002A70B8"/>
    <w:rsid w:val="002A70CE"/>
    <w:rsid w:val="002A7118"/>
    <w:rsid w:val="002A7133"/>
    <w:rsid w:val="002A715E"/>
    <w:rsid w:val="002A71B5"/>
    <w:rsid w:val="002A7239"/>
    <w:rsid w:val="002A723B"/>
    <w:rsid w:val="002A7386"/>
    <w:rsid w:val="002A745A"/>
    <w:rsid w:val="002A7488"/>
    <w:rsid w:val="002A75C5"/>
    <w:rsid w:val="002A75DD"/>
    <w:rsid w:val="002A76AE"/>
    <w:rsid w:val="002A76BD"/>
    <w:rsid w:val="002A76C1"/>
    <w:rsid w:val="002A77B1"/>
    <w:rsid w:val="002A79E3"/>
    <w:rsid w:val="002A7A00"/>
    <w:rsid w:val="002A7A07"/>
    <w:rsid w:val="002A7B1A"/>
    <w:rsid w:val="002A7B1F"/>
    <w:rsid w:val="002A7C21"/>
    <w:rsid w:val="002A7D75"/>
    <w:rsid w:val="002A7DE6"/>
    <w:rsid w:val="002A7DE9"/>
    <w:rsid w:val="002A7DEF"/>
    <w:rsid w:val="002A7E50"/>
    <w:rsid w:val="002A7EDC"/>
    <w:rsid w:val="002A7F8C"/>
    <w:rsid w:val="002A7FB0"/>
    <w:rsid w:val="002A7FD5"/>
    <w:rsid w:val="002A7FED"/>
    <w:rsid w:val="002AA4D5"/>
    <w:rsid w:val="002B006E"/>
    <w:rsid w:val="002B009A"/>
    <w:rsid w:val="002B01F1"/>
    <w:rsid w:val="002B02C1"/>
    <w:rsid w:val="002B02F2"/>
    <w:rsid w:val="002B037D"/>
    <w:rsid w:val="002B03A9"/>
    <w:rsid w:val="002B03C6"/>
    <w:rsid w:val="002B03C9"/>
    <w:rsid w:val="002B03DD"/>
    <w:rsid w:val="002B0467"/>
    <w:rsid w:val="002B04C1"/>
    <w:rsid w:val="002B04DF"/>
    <w:rsid w:val="002B05C8"/>
    <w:rsid w:val="002B0683"/>
    <w:rsid w:val="002B069A"/>
    <w:rsid w:val="002B06B7"/>
    <w:rsid w:val="002B06E6"/>
    <w:rsid w:val="002B06F2"/>
    <w:rsid w:val="002B071A"/>
    <w:rsid w:val="002B078F"/>
    <w:rsid w:val="002B0808"/>
    <w:rsid w:val="002B088A"/>
    <w:rsid w:val="002B08BD"/>
    <w:rsid w:val="002B096F"/>
    <w:rsid w:val="002B0973"/>
    <w:rsid w:val="002B09FE"/>
    <w:rsid w:val="002B0A50"/>
    <w:rsid w:val="002B0A64"/>
    <w:rsid w:val="002B0B93"/>
    <w:rsid w:val="002B0C14"/>
    <w:rsid w:val="002B0C26"/>
    <w:rsid w:val="002B0C30"/>
    <w:rsid w:val="002B0C71"/>
    <w:rsid w:val="002B0CC4"/>
    <w:rsid w:val="002B0CDC"/>
    <w:rsid w:val="002B0D50"/>
    <w:rsid w:val="002B0DD8"/>
    <w:rsid w:val="002B0E02"/>
    <w:rsid w:val="002B0E30"/>
    <w:rsid w:val="002B0E31"/>
    <w:rsid w:val="002B0E76"/>
    <w:rsid w:val="002B0EA5"/>
    <w:rsid w:val="002B0EAB"/>
    <w:rsid w:val="002B0F3D"/>
    <w:rsid w:val="002B0FED"/>
    <w:rsid w:val="002B0FF7"/>
    <w:rsid w:val="002B1016"/>
    <w:rsid w:val="002B10C0"/>
    <w:rsid w:val="002B1276"/>
    <w:rsid w:val="002B135F"/>
    <w:rsid w:val="002B138D"/>
    <w:rsid w:val="002B1404"/>
    <w:rsid w:val="002B147E"/>
    <w:rsid w:val="002B1531"/>
    <w:rsid w:val="002B1543"/>
    <w:rsid w:val="002B1554"/>
    <w:rsid w:val="002B160C"/>
    <w:rsid w:val="002B163B"/>
    <w:rsid w:val="002B173B"/>
    <w:rsid w:val="002B178A"/>
    <w:rsid w:val="002B189A"/>
    <w:rsid w:val="002B18EA"/>
    <w:rsid w:val="002B18EE"/>
    <w:rsid w:val="002B193F"/>
    <w:rsid w:val="002B1ACE"/>
    <w:rsid w:val="002B1B12"/>
    <w:rsid w:val="002B1B95"/>
    <w:rsid w:val="002B1CAC"/>
    <w:rsid w:val="002B1D31"/>
    <w:rsid w:val="002B1D52"/>
    <w:rsid w:val="002B1D7C"/>
    <w:rsid w:val="002B1E35"/>
    <w:rsid w:val="002B1E83"/>
    <w:rsid w:val="002B1E8E"/>
    <w:rsid w:val="002B1F32"/>
    <w:rsid w:val="002B2020"/>
    <w:rsid w:val="002B20C5"/>
    <w:rsid w:val="002B2101"/>
    <w:rsid w:val="002B2133"/>
    <w:rsid w:val="002B227D"/>
    <w:rsid w:val="002B2294"/>
    <w:rsid w:val="002B2316"/>
    <w:rsid w:val="002B23DA"/>
    <w:rsid w:val="002B2419"/>
    <w:rsid w:val="002B2458"/>
    <w:rsid w:val="002B2584"/>
    <w:rsid w:val="002B25D7"/>
    <w:rsid w:val="002B25E5"/>
    <w:rsid w:val="002B25FA"/>
    <w:rsid w:val="002B2744"/>
    <w:rsid w:val="002B2774"/>
    <w:rsid w:val="002B28DA"/>
    <w:rsid w:val="002B28EF"/>
    <w:rsid w:val="002B2933"/>
    <w:rsid w:val="002B2984"/>
    <w:rsid w:val="002B29D0"/>
    <w:rsid w:val="002B2A0A"/>
    <w:rsid w:val="002B2A11"/>
    <w:rsid w:val="002B2B6E"/>
    <w:rsid w:val="002B2BD7"/>
    <w:rsid w:val="002B2CA9"/>
    <w:rsid w:val="002B2D0F"/>
    <w:rsid w:val="002B2D4B"/>
    <w:rsid w:val="002B2D77"/>
    <w:rsid w:val="002B2E14"/>
    <w:rsid w:val="002B2E2A"/>
    <w:rsid w:val="002B2E50"/>
    <w:rsid w:val="002B2E62"/>
    <w:rsid w:val="002B2EAD"/>
    <w:rsid w:val="002B2F3E"/>
    <w:rsid w:val="002B2FB5"/>
    <w:rsid w:val="002B3046"/>
    <w:rsid w:val="002B314F"/>
    <w:rsid w:val="002B3192"/>
    <w:rsid w:val="002B32D1"/>
    <w:rsid w:val="002B32E4"/>
    <w:rsid w:val="002B334F"/>
    <w:rsid w:val="002B33C1"/>
    <w:rsid w:val="002B340E"/>
    <w:rsid w:val="002B349E"/>
    <w:rsid w:val="002B3772"/>
    <w:rsid w:val="002B37A0"/>
    <w:rsid w:val="002B37A7"/>
    <w:rsid w:val="002B37F3"/>
    <w:rsid w:val="002B3906"/>
    <w:rsid w:val="002B3AA9"/>
    <w:rsid w:val="002B3BAA"/>
    <w:rsid w:val="002B3BB6"/>
    <w:rsid w:val="002B3C27"/>
    <w:rsid w:val="002B3C7D"/>
    <w:rsid w:val="002B3CF4"/>
    <w:rsid w:val="002B3D25"/>
    <w:rsid w:val="002B3D8E"/>
    <w:rsid w:val="002B3DE2"/>
    <w:rsid w:val="002B3E1F"/>
    <w:rsid w:val="002B3E33"/>
    <w:rsid w:val="002B3F2F"/>
    <w:rsid w:val="002B4047"/>
    <w:rsid w:val="002B4142"/>
    <w:rsid w:val="002B41DC"/>
    <w:rsid w:val="002B423B"/>
    <w:rsid w:val="002B423E"/>
    <w:rsid w:val="002B4267"/>
    <w:rsid w:val="002B43DA"/>
    <w:rsid w:val="002B4486"/>
    <w:rsid w:val="002B44B4"/>
    <w:rsid w:val="002B450D"/>
    <w:rsid w:val="002B454F"/>
    <w:rsid w:val="002B4576"/>
    <w:rsid w:val="002B45A4"/>
    <w:rsid w:val="002B45D0"/>
    <w:rsid w:val="002B461A"/>
    <w:rsid w:val="002B461D"/>
    <w:rsid w:val="002B474C"/>
    <w:rsid w:val="002B4802"/>
    <w:rsid w:val="002B4863"/>
    <w:rsid w:val="002B48AD"/>
    <w:rsid w:val="002B4999"/>
    <w:rsid w:val="002B49A3"/>
    <w:rsid w:val="002B4B13"/>
    <w:rsid w:val="002B4B9B"/>
    <w:rsid w:val="002B4E0C"/>
    <w:rsid w:val="002B4E2A"/>
    <w:rsid w:val="002B4E9F"/>
    <w:rsid w:val="002B4EE3"/>
    <w:rsid w:val="002B4EED"/>
    <w:rsid w:val="002B4F1D"/>
    <w:rsid w:val="002B4FA8"/>
    <w:rsid w:val="002B5094"/>
    <w:rsid w:val="002B50CA"/>
    <w:rsid w:val="002B50FC"/>
    <w:rsid w:val="002B5142"/>
    <w:rsid w:val="002B5243"/>
    <w:rsid w:val="002B530F"/>
    <w:rsid w:val="002B5377"/>
    <w:rsid w:val="002B53EE"/>
    <w:rsid w:val="002B53F8"/>
    <w:rsid w:val="002B543B"/>
    <w:rsid w:val="002B545B"/>
    <w:rsid w:val="002B547F"/>
    <w:rsid w:val="002B5525"/>
    <w:rsid w:val="002B556A"/>
    <w:rsid w:val="002B55D9"/>
    <w:rsid w:val="002B5605"/>
    <w:rsid w:val="002B5673"/>
    <w:rsid w:val="002B56C3"/>
    <w:rsid w:val="002B56F9"/>
    <w:rsid w:val="002B570E"/>
    <w:rsid w:val="002B5754"/>
    <w:rsid w:val="002B5809"/>
    <w:rsid w:val="002B5834"/>
    <w:rsid w:val="002B58CD"/>
    <w:rsid w:val="002B5980"/>
    <w:rsid w:val="002B5A4F"/>
    <w:rsid w:val="002B5B6F"/>
    <w:rsid w:val="002B5B7E"/>
    <w:rsid w:val="002B5CF4"/>
    <w:rsid w:val="002B5D68"/>
    <w:rsid w:val="002B5DAD"/>
    <w:rsid w:val="002B5E08"/>
    <w:rsid w:val="002B5E23"/>
    <w:rsid w:val="002B5E48"/>
    <w:rsid w:val="002B5F71"/>
    <w:rsid w:val="002B5FAB"/>
    <w:rsid w:val="002B5FF9"/>
    <w:rsid w:val="002B602A"/>
    <w:rsid w:val="002B609F"/>
    <w:rsid w:val="002B60EB"/>
    <w:rsid w:val="002B6113"/>
    <w:rsid w:val="002B62AD"/>
    <w:rsid w:val="002B6354"/>
    <w:rsid w:val="002B63A7"/>
    <w:rsid w:val="002B63CB"/>
    <w:rsid w:val="002B6469"/>
    <w:rsid w:val="002B6592"/>
    <w:rsid w:val="002B660B"/>
    <w:rsid w:val="002B6652"/>
    <w:rsid w:val="002B66F6"/>
    <w:rsid w:val="002B67B3"/>
    <w:rsid w:val="002B6812"/>
    <w:rsid w:val="002B6824"/>
    <w:rsid w:val="002B6826"/>
    <w:rsid w:val="002B6887"/>
    <w:rsid w:val="002B68FC"/>
    <w:rsid w:val="002B6971"/>
    <w:rsid w:val="002B69C3"/>
    <w:rsid w:val="002B6ACB"/>
    <w:rsid w:val="002B6AED"/>
    <w:rsid w:val="002B6B9E"/>
    <w:rsid w:val="002B6C9E"/>
    <w:rsid w:val="002B6DC6"/>
    <w:rsid w:val="002B6DF8"/>
    <w:rsid w:val="002B6E4E"/>
    <w:rsid w:val="002B6F5C"/>
    <w:rsid w:val="002B6F86"/>
    <w:rsid w:val="002B6FC2"/>
    <w:rsid w:val="002B70D9"/>
    <w:rsid w:val="002B70DE"/>
    <w:rsid w:val="002B712A"/>
    <w:rsid w:val="002B71B1"/>
    <w:rsid w:val="002B71DC"/>
    <w:rsid w:val="002B7249"/>
    <w:rsid w:val="002B72BF"/>
    <w:rsid w:val="002B731B"/>
    <w:rsid w:val="002B7440"/>
    <w:rsid w:val="002B75B0"/>
    <w:rsid w:val="002B75DA"/>
    <w:rsid w:val="002B75EE"/>
    <w:rsid w:val="002B7617"/>
    <w:rsid w:val="002B7671"/>
    <w:rsid w:val="002B774A"/>
    <w:rsid w:val="002B7956"/>
    <w:rsid w:val="002B79BF"/>
    <w:rsid w:val="002B79C6"/>
    <w:rsid w:val="002B7A20"/>
    <w:rsid w:val="002B7A80"/>
    <w:rsid w:val="002B7B36"/>
    <w:rsid w:val="002B7C19"/>
    <w:rsid w:val="002B7D0B"/>
    <w:rsid w:val="002B7D14"/>
    <w:rsid w:val="002B7D5F"/>
    <w:rsid w:val="002B7DBF"/>
    <w:rsid w:val="002B7E2D"/>
    <w:rsid w:val="002B7EB5"/>
    <w:rsid w:val="002B7F55"/>
    <w:rsid w:val="002C0045"/>
    <w:rsid w:val="002C015D"/>
    <w:rsid w:val="002C01B6"/>
    <w:rsid w:val="002C026C"/>
    <w:rsid w:val="002C02E2"/>
    <w:rsid w:val="002C02F8"/>
    <w:rsid w:val="002C0311"/>
    <w:rsid w:val="002C0373"/>
    <w:rsid w:val="002C0381"/>
    <w:rsid w:val="002C03E1"/>
    <w:rsid w:val="002C0470"/>
    <w:rsid w:val="002C04E9"/>
    <w:rsid w:val="002C0530"/>
    <w:rsid w:val="002C057A"/>
    <w:rsid w:val="002C05C8"/>
    <w:rsid w:val="002C05E8"/>
    <w:rsid w:val="002C05F7"/>
    <w:rsid w:val="002C0660"/>
    <w:rsid w:val="002C06C9"/>
    <w:rsid w:val="002C06DA"/>
    <w:rsid w:val="002C06F7"/>
    <w:rsid w:val="002C0765"/>
    <w:rsid w:val="002C081D"/>
    <w:rsid w:val="002C08B8"/>
    <w:rsid w:val="002C08D0"/>
    <w:rsid w:val="002C0911"/>
    <w:rsid w:val="002C096F"/>
    <w:rsid w:val="002C097A"/>
    <w:rsid w:val="002C098D"/>
    <w:rsid w:val="002C0997"/>
    <w:rsid w:val="002C0A0A"/>
    <w:rsid w:val="002C0A11"/>
    <w:rsid w:val="002C0AE3"/>
    <w:rsid w:val="002C0B6C"/>
    <w:rsid w:val="002C0BC8"/>
    <w:rsid w:val="002C0C08"/>
    <w:rsid w:val="002C0C98"/>
    <w:rsid w:val="002C0CAD"/>
    <w:rsid w:val="002C0D1F"/>
    <w:rsid w:val="002C0D72"/>
    <w:rsid w:val="002C0D9D"/>
    <w:rsid w:val="002C0DFE"/>
    <w:rsid w:val="002C1033"/>
    <w:rsid w:val="002C110B"/>
    <w:rsid w:val="002C1113"/>
    <w:rsid w:val="002C1141"/>
    <w:rsid w:val="002C124B"/>
    <w:rsid w:val="002C12E8"/>
    <w:rsid w:val="002C1309"/>
    <w:rsid w:val="002C145B"/>
    <w:rsid w:val="002C149B"/>
    <w:rsid w:val="002C15FD"/>
    <w:rsid w:val="002C16CB"/>
    <w:rsid w:val="002C175B"/>
    <w:rsid w:val="002C177D"/>
    <w:rsid w:val="002C17CD"/>
    <w:rsid w:val="002C17EB"/>
    <w:rsid w:val="002C1811"/>
    <w:rsid w:val="002C188F"/>
    <w:rsid w:val="002C18CA"/>
    <w:rsid w:val="002C194B"/>
    <w:rsid w:val="002C198A"/>
    <w:rsid w:val="002C1991"/>
    <w:rsid w:val="002C199E"/>
    <w:rsid w:val="002C1A58"/>
    <w:rsid w:val="002C1AEF"/>
    <w:rsid w:val="002C1B5E"/>
    <w:rsid w:val="002C1B86"/>
    <w:rsid w:val="002C1BA2"/>
    <w:rsid w:val="002C1C39"/>
    <w:rsid w:val="002C1D27"/>
    <w:rsid w:val="002C1E12"/>
    <w:rsid w:val="002C1E66"/>
    <w:rsid w:val="002C1E8E"/>
    <w:rsid w:val="002C1E96"/>
    <w:rsid w:val="002C1FD5"/>
    <w:rsid w:val="002C1FD7"/>
    <w:rsid w:val="002C20B9"/>
    <w:rsid w:val="002C20DB"/>
    <w:rsid w:val="002C20EB"/>
    <w:rsid w:val="002C20EE"/>
    <w:rsid w:val="002C2125"/>
    <w:rsid w:val="002C214E"/>
    <w:rsid w:val="002C214F"/>
    <w:rsid w:val="002C21F9"/>
    <w:rsid w:val="002C227A"/>
    <w:rsid w:val="002C23C5"/>
    <w:rsid w:val="002C23ED"/>
    <w:rsid w:val="002C244D"/>
    <w:rsid w:val="002C2549"/>
    <w:rsid w:val="002C258D"/>
    <w:rsid w:val="002C25A1"/>
    <w:rsid w:val="002C263B"/>
    <w:rsid w:val="002C2782"/>
    <w:rsid w:val="002C27F8"/>
    <w:rsid w:val="002C283D"/>
    <w:rsid w:val="002C2943"/>
    <w:rsid w:val="002C29AD"/>
    <w:rsid w:val="002C29BF"/>
    <w:rsid w:val="002C29D1"/>
    <w:rsid w:val="002C2A14"/>
    <w:rsid w:val="002C2A3F"/>
    <w:rsid w:val="002C2AAB"/>
    <w:rsid w:val="002C2B48"/>
    <w:rsid w:val="002C2BCA"/>
    <w:rsid w:val="002C2BEA"/>
    <w:rsid w:val="002C2C3D"/>
    <w:rsid w:val="002C2D21"/>
    <w:rsid w:val="002C2DA0"/>
    <w:rsid w:val="002C2DCF"/>
    <w:rsid w:val="002C2EC2"/>
    <w:rsid w:val="002C2F28"/>
    <w:rsid w:val="002C30C1"/>
    <w:rsid w:val="002C30D9"/>
    <w:rsid w:val="002C30DD"/>
    <w:rsid w:val="002C3137"/>
    <w:rsid w:val="002C319D"/>
    <w:rsid w:val="002C3231"/>
    <w:rsid w:val="002C32EB"/>
    <w:rsid w:val="002C3331"/>
    <w:rsid w:val="002C3431"/>
    <w:rsid w:val="002C3491"/>
    <w:rsid w:val="002C3494"/>
    <w:rsid w:val="002C34C9"/>
    <w:rsid w:val="002C35BA"/>
    <w:rsid w:val="002C3616"/>
    <w:rsid w:val="002C374D"/>
    <w:rsid w:val="002C37AE"/>
    <w:rsid w:val="002C387C"/>
    <w:rsid w:val="002C391E"/>
    <w:rsid w:val="002C3992"/>
    <w:rsid w:val="002C3A0F"/>
    <w:rsid w:val="002C3A5E"/>
    <w:rsid w:val="002C3AB0"/>
    <w:rsid w:val="002C3B80"/>
    <w:rsid w:val="002C3CCB"/>
    <w:rsid w:val="002C3D4D"/>
    <w:rsid w:val="002C3D60"/>
    <w:rsid w:val="002C3E04"/>
    <w:rsid w:val="002C3E26"/>
    <w:rsid w:val="002C3F41"/>
    <w:rsid w:val="002C3F93"/>
    <w:rsid w:val="002C3FB1"/>
    <w:rsid w:val="002C4001"/>
    <w:rsid w:val="002C4015"/>
    <w:rsid w:val="002C4072"/>
    <w:rsid w:val="002C414E"/>
    <w:rsid w:val="002C426F"/>
    <w:rsid w:val="002C443C"/>
    <w:rsid w:val="002C44AA"/>
    <w:rsid w:val="002C4578"/>
    <w:rsid w:val="002C4606"/>
    <w:rsid w:val="002C4612"/>
    <w:rsid w:val="002C461F"/>
    <w:rsid w:val="002C4627"/>
    <w:rsid w:val="002C462C"/>
    <w:rsid w:val="002C465A"/>
    <w:rsid w:val="002C470F"/>
    <w:rsid w:val="002C4776"/>
    <w:rsid w:val="002C4945"/>
    <w:rsid w:val="002C499D"/>
    <w:rsid w:val="002C4A3E"/>
    <w:rsid w:val="002C4BF6"/>
    <w:rsid w:val="002C4C38"/>
    <w:rsid w:val="002C4C47"/>
    <w:rsid w:val="002C4CBF"/>
    <w:rsid w:val="002C4E90"/>
    <w:rsid w:val="002C4EDC"/>
    <w:rsid w:val="002C4FE2"/>
    <w:rsid w:val="002C50D2"/>
    <w:rsid w:val="002C515C"/>
    <w:rsid w:val="002C51B3"/>
    <w:rsid w:val="002C51C5"/>
    <w:rsid w:val="002C51D0"/>
    <w:rsid w:val="002C525D"/>
    <w:rsid w:val="002C5274"/>
    <w:rsid w:val="002C5282"/>
    <w:rsid w:val="002C52B2"/>
    <w:rsid w:val="002C5307"/>
    <w:rsid w:val="002C5382"/>
    <w:rsid w:val="002C5414"/>
    <w:rsid w:val="002C546C"/>
    <w:rsid w:val="002C5485"/>
    <w:rsid w:val="002C54C0"/>
    <w:rsid w:val="002C54E8"/>
    <w:rsid w:val="002C54EA"/>
    <w:rsid w:val="002C559D"/>
    <w:rsid w:val="002C55A2"/>
    <w:rsid w:val="002C5656"/>
    <w:rsid w:val="002C5681"/>
    <w:rsid w:val="002C572D"/>
    <w:rsid w:val="002C586C"/>
    <w:rsid w:val="002C58B1"/>
    <w:rsid w:val="002C5A76"/>
    <w:rsid w:val="002C5ACF"/>
    <w:rsid w:val="002C5AFF"/>
    <w:rsid w:val="002C5C39"/>
    <w:rsid w:val="002C5CBF"/>
    <w:rsid w:val="002C5E38"/>
    <w:rsid w:val="002C5E8F"/>
    <w:rsid w:val="002C5F29"/>
    <w:rsid w:val="002C5F45"/>
    <w:rsid w:val="002C6008"/>
    <w:rsid w:val="002C6049"/>
    <w:rsid w:val="002C60F4"/>
    <w:rsid w:val="002C6109"/>
    <w:rsid w:val="002C615F"/>
    <w:rsid w:val="002C6175"/>
    <w:rsid w:val="002C619B"/>
    <w:rsid w:val="002C6226"/>
    <w:rsid w:val="002C624C"/>
    <w:rsid w:val="002C626D"/>
    <w:rsid w:val="002C62E4"/>
    <w:rsid w:val="002C6312"/>
    <w:rsid w:val="002C6541"/>
    <w:rsid w:val="002C65BE"/>
    <w:rsid w:val="002C6716"/>
    <w:rsid w:val="002C6A29"/>
    <w:rsid w:val="002C6A2F"/>
    <w:rsid w:val="002C6A44"/>
    <w:rsid w:val="002C6B9E"/>
    <w:rsid w:val="002C6BED"/>
    <w:rsid w:val="002C6CEC"/>
    <w:rsid w:val="002C6ECA"/>
    <w:rsid w:val="002C6F00"/>
    <w:rsid w:val="002C6F68"/>
    <w:rsid w:val="002C6FAF"/>
    <w:rsid w:val="002C706A"/>
    <w:rsid w:val="002C70C3"/>
    <w:rsid w:val="002C70FA"/>
    <w:rsid w:val="002C713F"/>
    <w:rsid w:val="002C720D"/>
    <w:rsid w:val="002C721D"/>
    <w:rsid w:val="002C72F3"/>
    <w:rsid w:val="002C734E"/>
    <w:rsid w:val="002C7350"/>
    <w:rsid w:val="002C73CB"/>
    <w:rsid w:val="002C74D6"/>
    <w:rsid w:val="002C74E0"/>
    <w:rsid w:val="002C751B"/>
    <w:rsid w:val="002C75F0"/>
    <w:rsid w:val="002C7760"/>
    <w:rsid w:val="002C77CC"/>
    <w:rsid w:val="002C77EA"/>
    <w:rsid w:val="002C7816"/>
    <w:rsid w:val="002C782D"/>
    <w:rsid w:val="002C79CD"/>
    <w:rsid w:val="002C7A5F"/>
    <w:rsid w:val="002C7B03"/>
    <w:rsid w:val="002C7B0F"/>
    <w:rsid w:val="002C7B6E"/>
    <w:rsid w:val="002C7CB1"/>
    <w:rsid w:val="002C7CDE"/>
    <w:rsid w:val="002C7CE4"/>
    <w:rsid w:val="002C7CEA"/>
    <w:rsid w:val="002C7DE7"/>
    <w:rsid w:val="002C7E13"/>
    <w:rsid w:val="002C7E42"/>
    <w:rsid w:val="002C7EAC"/>
    <w:rsid w:val="002C7F08"/>
    <w:rsid w:val="002C7F30"/>
    <w:rsid w:val="002C7FC8"/>
    <w:rsid w:val="002D005E"/>
    <w:rsid w:val="002D00EE"/>
    <w:rsid w:val="002D0126"/>
    <w:rsid w:val="002D0172"/>
    <w:rsid w:val="002D0212"/>
    <w:rsid w:val="002D0237"/>
    <w:rsid w:val="002D0344"/>
    <w:rsid w:val="002D03E7"/>
    <w:rsid w:val="002D03F9"/>
    <w:rsid w:val="002D04D2"/>
    <w:rsid w:val="002D057E"/>
    <w:rsid w:val="002D05A0"/>
    <w:rsid w:val="002D05C8"/>
    <w:rsid w:val="002D0666"/>
    <w:rsid w:val="002D067D"/>
    <w:rsid w:val="002D07D1"/>
    <w:rsid w:val="002D08B1"/>
    <w:rsid w:val="002D08C7"/>
    <w:rsid w:val="002D0A3D"/>
    <w:rsid w:val="002D0A5B"/>
    <w:rsid w:val="002D0A8C"/>
    <w:rsid w:val="002D0AAB"/>
    <w:rsid w:val="002D0B44"/>
    <w:rsid w:val="002D0C3C"/>
    <w:rsid w:val="002D0CA6"/>
    <w:rsid w:val="002D0D3E"/>
    <w:rsid w:val="002D0E79"/>
    <w:rsid w:val="002D11C7"/>
    <w:rsid w:val="002D11DA"/>
    <w:rsid w:val="002D127A"/>
    <w:rsid w:val="002D12A8"/>
    <w:rsid w:val="002D130B"/>
    <w:rsid w:val="002D1489"/>
    <w:rsid w:val="002D14DD"/>
    <w:rsid w:val="002D1508"/>
    <w:rsid w:val="002D15EA"/>
    <w:rsid w:val="002D1619"/>
    <w:rsid w:val="002D1637"/>
    <w:rsid w:val="002D16D8"/>
    <w:rsid w:val="002D16F1"/>
    <w:rsid w:val="002D16FD"/>
    <w:rsid w:val="002D174E"/>
    <w:rsid w:val="002D1771"/>
    <w:rsid w:val="002D179F"/>
    <w:rsid w:val="002D17A4"/>
    <w:rsid w:val="002D1A33"/>
    <w:rsid w:val="002D1A4A"/>
    <w:rsid w:val="002D1B69"/>
    <w:rsid w:val="002D1B6B"/>
    <w:rsid w:val="002D1BFA"/>
    <w:rsid w:val="002D1C4B"/>
    <w:rsid w:val="002D1C6A"/>
    <w:rsid w:val="002D1C7C"/>
    <w:rsid w:val="002D1C88"/>
    <w:rsid w:val="002D1CFD"/>
    <w:rsid w:val="002D1D13"/>
    <w:rsid w:val="002D1D98"/>
    <w:rsid w:val="002D1E31"/>
    <w:rsid w:val="002D1E69"/>
    <w:rsid w:val="002D1E9B"/>
    <w:rsid w:val="002D1FF5"/>
    <w:rsid w:val="002D2041"/>
    <w:rsid w:val="002D2067"/>
    <w:rsid w:val="002D20AF"/>
    <w:rsid w:val="002D221F"/>
    <w:rsid w:val="002D223C"/>
    <w:rsid w:val="002D22CF"/>
    <w:rsid w:val="002D2303"/>
    <w:rsid w:val="002D2314"/>
    <w:rsid w:val="002D231D"/>
    <w:rsid w:val="002D26FB"/>
    <w:rsid w:val="002D286D"/>
    <w:rsid w:val="002D2882"/>
    <w:rsid w:val="002D289B"/>
    <w:rsid w:val="002D28DE"/>
    <w:rsid w:val="002D292C"/>
    <w:rsid w:val="002D2A20"/>
    <w:rsid w:val="002D2ABF"/>
    <w:rsid w:val="002D2AC4"/>
    <w:rsid w:val="002D2AC5"/>
    <w:rsid w:val="002D2B0A"/>
    <w:rsid w:val="002D2B8D"/>
    <w:rsid w:val="002D2BE6"/>
    <w:rsid w:val="002D2C39"/>
    <w:rsid w:val="002D2C49"/>
    <w:rsid w:val="002D2C68"/>
    <w:rsid w:val="002D2CEB"/>
    <w:rsid w:val="002D2CF9"/>
    <w:rsid w:val="002D2D0F"/>
    <w:rsid w:val="002D2D66"/>
    <w:rsid w:val="002D2E29"/>
    <w:rsid w:val="002D2F6A"/>
    <w:rsid w:val="002D3055"/>
    <w:rsid w:val="002D30EE"/>
    <w:rsid w:val="002D3108"/>
    <w:rsid w:val="002D3168"/>
    <w:rsid w:val="002D31F9"/>
    <w:rsid w:val="002D32D1"/>
    <w:rsid w:val="002D336B"/>
    <w:rsid w:val="002D33A9"/>
    <w:rsid w:val="002D342A"/>
    <w:rsid w:val="002D3435"/>
    <w:rsid w:val="002D34AA"/>
    <w:rsid w:val="002D34E0"/>
    <w:rsid w:val="002D3532"/>
    <w:rsid w:val="002D35C9"/>
    <w:rsid w:val="002D35D3"/>
    <w:rsid w:val="002D3601"/>
    <w:rsid w:val="002D36B2"/>
    <w:rsid w:val="002D3705"/>
    <w:rsid w:val="002D37CB"/>
    <w:rsid w:val="002D3815"/>
    <w:rsid w:val="002D38A2"/>
    <w:rsid w:val="002D38A6"/>
    <w:rsid w:val="002D38EA"/>
    <w:rsid w:val="002D39C3"/>
    <w:rsid w:val="002D39DA"/>
    <w:rsid w:val="002D3AC7"/>
    <w:rsid w:val="002D3B35"/>
    <w:rsid w:val="002D3B52"/>
    <w:rsid w:val="002D3BB8"/>
    <w:rsid w:val="002D3C5B"/>
    <w:rsid w:val="002D3D5D"/>
    <w:rsid w:val="002D3E14"/>
    <w:rsid w:val="002D3F03"/>
    <w:rsid w:val="002D3F1C"/>
    <w:rsid w:val="002D3FF2"/>
    <w:rsid w:val="002D4090"/>
    <w:rsid w:val="002D40BE"/>
    <w:rsid w:val="002D40FD"/>
    <w:rsid w:val="002D42E6"/>
    <w:rsid w:val="002D4310"/>
    <w:rsid w:val="002D4483"/>
    <w:rsid w:val="002D45FE"/>
    <w:rsid w:val="002D46FB"/>
    <w:rsid w:val="002D470E"/>
    <w:rsid w:val="002D491C"/>
    <w:rsid w:val="002D4960"/>
    <w:rsid w:val="002D49D0"/>
    <w:rsid w:val="002D4A2D"/>
    <w:rsid w:val="002D4A38"/>
    <w:rsid w:val="002D4A7A"/>
    <w:rsid w:val="002D4A8F"/>
    <w:rsid w:val="002D4AA1"/>
    <w:rsid w:val="002D4BDD"/>
    <w:rsid w:val="002D4C23"/>
    <w:rsid w:val="002D4CD6"/>
    <w:rsid w:val="002D4D30"/>
    <w:rsid w:val="002D4D6D"/>
    <w:rsid w:val="002D4DAE"/>
    <w:rsid w:val="002D4DC4"/>
    <w:rsid w:val="002D4E62"/>
    <w:rsid w:val="002D4E87"/>
    <w:rsid w:val="002D4E90"/>
    <w:rsid w:val="002D50A1"/>
    <w:rsid w:val="002D5171"/>
    <w:rsid w:val="002D5209"/>
    <w:rsid w:val="002D5219"/>
    <w:rsid w:val="002D5237"/>
    <w:rsid w:val="002D525C"/>
    <w:rsid w:val="002D52CC"/>
    <w:rsid w:val="002D52F1"/>
    <w:rsid w:val="002D5309"/>
    <w:rsid w:val="002D536E"/>
    <w:rsid w:val="002D5380"/>
    <w:rsid w:val="002D53C1"/>
    <w:rsid w:val="002D53F2"/>
    <w:rsid w:val="002D54E6"/>
    <w:rsid w:val="002D54ED"/>
    <w:rsid w:val="002D54F4"/>
    <w:rsid w:val="002D551E"/>
    <w:rsid w:val="002D552F"/>
    <w:rsid w:val="002D5570"/>
    <w:rsid w:val="002D55CB"/>
    <w:rsid w:val="002D5647"/>
    <w:rsid w:val="002D567B"/>
    <w:rsid w:val="002D571E"/>
    <w:rsid w:val="002D5722"/>
    <w:rsid w:val="002D5753"/>
    <w:rsid w:val="002D57A0"/>
    <w:rsid w:val="002D57D9"/>
    <w:rsid w:val="002D58B0"/>
    <w:rsid w:val="002D58D3"/>
    <w:rsid w:val="002D595D"/>
    <w:rsid w:val="002D5A0E"/>
    <w:rsid w:val="002D5A5A"/>
    <w:rsid w:val="002D5AB2"/>
    <w:rsid w:val="002D5B8F"/>
    <w:rsid w:val="002D5B98"/>
    <w:rsid w:val="002D5C1F"/>
    <w:rsid w:val="002D5C2D"/>
    <w:rsid w:val="002D5D6E"/>
    <w:rsid w:val="002D5D9A"/>
    <w:rsid w:val="002D5DDF"/>
    <w:rsid w:val="002D5F0F"/>
    <w:rsid w:val="002D6054"/>
    <w:rsid w:val="002D611B"/>
    <w:rsid w:val="002D61CA"/>
    <w:rsid w:val="002D62E4"/>
    <w:rsid w:val="002D62E5"/>
    <w:rsid w:val="002D634C"/>
    <w:rsid w:val="002D63C9"/>
    <w:rsid w:val="002D6483"/>
    <w:rsid w:val="002D6517"/>
    <w:rsid w:val="002D6648"/>
    <w:rsid w:val="002D665C"/>
    <w:rsid w:val="002D67C0"/>
    <w:rsid w:val="002D67C7"/>
    <w:rsid w:val="002D67E4"/>
    <w:rsid w:val="002D6853"/>
    <w:rsid w:val="002D6909"/>
    <w:rsid w:val="002D699B"/>
    <w:rsid w:val="002D69AB"/>
    <w:rsid w:val="002D69DF"/>
    <w:rsid w:val="002D6A26"/>
    <w:rsid w:val="002D6A4D"/>
    <w:rsid w:val="002D6A73"/>
    <w:rsid w:val="002D6ADB"/>
    <w:rsid w:val="002D6C80"/>
    <w:rsid w:val="002D6D4B"/>
    <w:rsid w:val="002D6E40"/>
    <w:rsid w:val="002D6E4F"/>
    <w:rsid w:val="002D6EA0"/>
    <w:rsid w:val="002D6EEB"/>
    <w:rsid w:val="002D6F3D"/>
    <w:rsid w:val="002D6FCA"/>
    <w:rsid w:val="002D6FF8"/>
    <w:rsid w:val="002D701F"/>
    <w:rsid w:val="002D70CF"/>
    <w:rsid w:val="002D7186"/>
    <w:rsid w:val="002D71D9"/>
    <w:rsid w:val="002D71FA"/>
    <w:rsid w:val="002D7204"/>
    <w:rsid w:val="002D73BC"/>
    <w:rsid w:val="002D7532"/>
    <w:rsid w:val="002D75E6"/>
    <w:rsid w:val="002D7643"/>
    <w:rsid w:val="002D76A1"/>
    <w:rsid w:val="002D76F2"/>
    <w:rsid w:val="002D77DA"/>
    <w:rsid w:val="002D77F3"/>
    <w:rsid w:val="002D77FA"/>
    <w:rsid w:val="002D7842"/>
    <w:rsid w:val="002D78AD"/>
    <w:rsid w:val="002D7901"/>
    <w:rsid w:val="002D7929"/>
    <w:rsid w:val="002D79DB"/>
    <w:rsid w:val="002D7B28"/>
    <w:rsid w:val="002D7B75"/>
    <w:rsid w:val="002D7B87"/>
    <w:rsid w:val="002D7BA7"/>
    <w:rsid w:val="002D7C06"/>
    <w:rsid w:val="002D7C9F"/>
    <w:rsid w:val="002D7CA7"/>
    <w:rsid w:val="002D7CF6"/>
    <w:rsid w:val="002D7D81"/>
    <w:rsid w:val="002D7DB9"/>
    <w:rsid w:val="002D7DD7"/>
    <w:rsid w:val="002D7DED"/>
    <w:rsid w:val="002D7E29"/>
    <w:rsid w:val="002D7EDB"/>
    <w:rsid w:val="002D7EF3"/>
    <w:rsid w:val="002D7F57"/>
    <w:rsid w:val="002D7F7B"/>
    <w:rsid w:val="002D7F8B"/>
    <w:rsid w:val="002E0179"/>
    <w:rsid w:val="002E017B"/>
    <w:rsid w:val="002E0203"/>
    <w:rsid w:val="002E0260"/>
    <w:rsid w:val="002E026D"/>
    <w:rsid w:val="002E0293"/>
    <w:rsid w:val="002E02F5"/>
    <w:rsid w:val="002E030C"/>
    <w:rsid w:val="002E03EA"/>
    <w:rsid w:val="002E05B0"/>
    <w:rsid w:val="002E0760"/>
    <w:rsid w:val="002E0799"/>
    <w:rsid w:val="002E07B2"/>
    <w:rsid w:val="002E0872"/>
    <w:rsid w:val="002E090D"/>
    <w:rsid w:val="002E096E"/>
    <w:rsid w:val="002E09C0"/>
    <w:rsid w:val="002E09ED"/>
    <w:rsid w:val="002E09FA"/>
    <w:rsid w:val="002E0ADF"/>
    <w:rsid w:val="002E0B2B"/>
    <w:rsid w:val="002E0BDA"/>
    <w:rsid w:val="002E0C96"/>
    <w:rsid w:val="002E0CA2"/>
    <w:rsid w:val="002E0D03"/>
    <w:rsid w:val="002E0D41"/>
    <w:rsid w:val="002E0D5A"/>
    <w:rsid w:val="002E0DC8"/>
    <w:rsid w:val="002E0E49"/>
    <w:rsid w:val="002E0F0E"/>
    <w:rsid w:val="002E0F40"/>
    <w:rsid w:val="002E0F6C"/>
    <w:rsid w:val="002E0FFE"/>
    <w:rsid w:val="002E1047"/>
    <w:rsid w:val="002E1156"/>
    <w:rsid w:val="002E11B1"/>
    <w:rsid w:val="002E11CC"/>
    <w:rsid w:val="002E11E5"/>
    <w:rsid w:val="002E1232"/>
    <w:rsid w:val="002E123F"/>
    <w:rsid w:val="002E1294"/>
    <w:rsid w:val="002E1321"/>
    <w:rsid w:val="002E1378"/>
    <w:rsid w:val="002E13F0"/>
    <w:rsid w:val="002E144A"/>
    <w:rsid w:val="002E144C"/>
    <w:rsid w:val="002E1575"/>
    <w:rsid w:val="002E1576"/>
    <w:rsid w:val="002E15AD"/>
    <w:rsid w:val="002E166C"/>
    <w:rsid w:val="002E1682"/>
    <w:rsid w:val="002E170C"/>
    <w:rsid w:val="002E1719"/>
    <w:rsid w:val="002E1779"/>
    <w:rsid w:val="002E17A2"/>
    <w:rsid w:val="002E18E4"/>
    <w:rsid w:val="002E1934"/>
    <w:rsid w:val="002E19B5"/>
    <w:rsid w:val="002E1A26"/>
    <w:rsid w:val="002E1B99"/>
    <w:rsid w:val="002E1BC1"/>
    <w:rsid w:val="002E1C7E"/>
    <w:rsid w:val="002E1C8F"/>
    <w:rsid w:val="002E1C9B"/>
    <w:rsid w:val="002E1CA5"/>
    <w:rsid w:val="002E1D81"/>
    <w:rsid w:val="002E1E40"/>
    <w:rsid w:val="002E1FA3"/>
    <w:rsid w:val="002E1FB7"/>
    <w:rsid w:val="002E2061"/>
    <w:rsid w:val="002E2097"/>
    <w:rsid w:val="002E20A1"/>
    <w:rsid w:val="002E20AB"/>
    <w:rsid w:val="002E2332"/>
    <w:rsid w:val="002E2345"/>
    <w:rsid w:val="002E23BE"/>
    <w:rsid w:val="002E248B"/>
    <w:rsid w:val="002E24BE"/>
    <w:rsid w:val="002E24FD"/>
    <w:rsid w:val="002E2531"/>
    <w:rsid w:val="002E25FF"/>
    <w:rsid w:val="002E267E"/>
    <w:rsid w:val="002E2718"/>
    <w:rsid w:val="002E275E"/>
    <w:rsid w:val="002E27DB"/>
    <w:rsid w:val="002E2858"/>
    <w:rsid w:val="002E2953"/>
    <w:rsid w:val="002E2B1B"/>
    <w:rsid w:val="002E2B95"/>
    <w:rsid w:val="002E2BE0"/>
    <w:rsid w:val="002E2BF1"/>
    <w:rsid w:val="002E2C2D"/>
    <w:rsid w:val="002E2C36"/>
    <w:rsid w:val="002E2C7E"/>
    <w:rsid w:val="002E2E5D"/>
    <w:rsid w:val="002E2F48"/>
    <w:rsid w:val="002E2F70"/>
    <w:rsid w:val="002E3070"/>
    <w:rsid w:val="002E31BE"/>
    <w:rsid w:val="002E31C0"/>
    <w:rsid w:val="002E31C5"/>
    <w:rsid w:val="002E3206"/>
    <w:rsid w:val="002E3284"/>
    <w:rsid w:val="002E32AB"/>
    <w:rsid w:val="002E3322"/>
    <w:rsid w:val="002E342C"/>
    <w:rsid w:val="002E3484"/>
    <w:rsid w:val="002E35A2"/>
    <w:rsid w:val="002E36E8"/>
    <w:rsid w:val="002E3742"/>
    <w:rsid w:val="002E3766"/>
    <w:rsid w:val="002E37F2"/>
    <w:rsid w:val="002E385C"/>
    <w:rsid w:val="002E38A4"/>
    <w:rsid w:val="002E38B5"/>
    <w:rsid w:val="002E3A30"/>
    <w:rsid w:val="002E3BB6"/>
    <w:rsid w:val="002E3C2C"/>
    <w:rsid w:val="002E3C35"/>
    <w:rsid w:val="002E3C58"/>
    <w:rsid w:val="002E3EB6"/>
    <w:rsid w:val="002E3F3F"/>
    <w:rsid w:val="002E40F3"/>
    <w:rsid w:val="002E4157"/>
    <w:rsid w:val="002E4199"/>
    <w:rsid w:val="002E425A"/>
    <w:rsid w:val="002E434E"/>
    <w:rsid w:val="002E4454"/>
    <w:rsid w:val="002E44D2"/>
    <w:rsid w:val="002E44E9"/>
    <w:rsid w:val="002E4506"/>
    <w:rsid w:val="002E468D"/>
    <w:rsid w:val="002E46B0"/>
    <w:rsid w:val="002E46E9"/>
    <w:rsid w:val="002E47AF"/>
    <w:rsid w:val="002E47E1"/>
    <w:rsid w:val="002E47ED"/>
    <w:rsid w:val="002E47FB"/>
    <w:rsid w:val="002E49CA"/>
    <w:rsid w:val="002E4A57"/>
    <w:rsid w:val="002E4B15"/>
    <w:rsid w:val="002E4B5B"/>
    <w:rsid w:val="002E4BEC"/>
    <w:rsid w:val="002E4C05"/>
    <w:rsid w:val="002E4C81"/>
    <w:rsid w:val="002E4CB3"/>
    <w:rsid w:val="002E4D5F"/>
    <w:rsid w:val="002E4D75"/>
    <w:rsid w:val="002E4DC8"/>
    <w:rsid w:val="002E4EC5"/>
    <w:rsid w:val="002E4FA9"/>
    <w:rsid w:val="002E5076"/>
    <w:rsid w:val="002E50B8"/>
    <w:rsid w:val="002E512D"/>
    <w:rsid w:val="002E516C"/>
    <w:rsid w:val="002E5187"/>
    <w:rsid w:val="002E51F9"/>
    <w:rsid w:val="002E523C"/>
    <w:rsid w:val="002E538E"/>
    <w:rsid w:val="002E53D2"/>
    <w:rsid w:val="002E543A"/>
    <w:rsid w:val="002E5509"/>
    <w:rsid w:val="002E556A"/>
    <w:rsid w:val="002E5597"/>
    <w:rsid w:val="002E55E3"/>
    <w:rsid w:val="002E563A"/>
    <w:rsid w:val="002E5667"/>
    <w:rsid w:val="002E56CB"/>
    <w:rsid w:val="002E56ED"/>
    <w:rsid w:val="002E57A0"/>
    <w:rsid w:val="002E582A"/>
    <w:rsid w:val="002E5850"/>
    <w:rsid w:val="002E5872"/>
    <w:rsid w:val="002E5881"/>
    <w:rsid w:val="002E5889"/>
    <w:rsid w:val="002E58BA"/>
    <w:rsid w:val="002E58CD"/>
    <w:rsid w:val="002E58CF"/>
    <w:rsid w:val="002E5950"/>
    <w:rsid w:val="002E59E5"/>
    <w:rsid w:val="002E59F4"/>
    <w:rsid w:val="002E5A35"/>
    <w:rsid w:val="002E5A98"/>
    <w:rsid w:val="002E5AAB"/>
    <w:rsid w:val="002E5C2E"/>
    <w:rsid w:val="002E5E22"/>
    <w:rsid w:val="002E5F1E"/>
    <w:rsid w:val="002E5F37"/>
    <w:rsid w:val="002E5F9D"/>
    <w:rsid w:val="002E60AF"/>
    <w:rsid w:val="002E6291"/>
    <w:rsid w:val="002E6334"/>
    <w:rsid w:val="002E6369"/>
    <w:rsid w:val="002E6385"/>
    <w:rsid w:val="002E63A6"/>
    <w:rsid w:val="002E64EA"/>
    <w:rsid w:val="002E64EF"/>
    <w:rsid w:val="002E6595"/>
    <w:rsid w:val="002E663F"/>
    <w:rsid w:val="002E6640"/>
    <w:rsid w:val="002E6683"/>
    <w:rsid w:val="002E66C5"/>
    <w:rsid w:val="002E6779"/>
    <w:rsid w:val="002E6848"/>
    <w:rsid w:val="002E686B"/>
    <w:rsid w:val="002E6882"/>
    <w:rsid w:val="002E69CE"/>
    <w:rsid w:val="002E6A90"/>
    <w:rsid w:val="002E6AC7"/>
    <w:rsid w:val="002E6B51"/>
    <w:rsid w:val="002E6BC5"/>
    <w:rsid w:val="002E6BD1"/>
    <w:rsid w:val="002E6C43"/>
    <w:rsid w:val="002E6CD7"/>
    <w:rsid w:val="002E6CF5"/>
    <w:rsid w:val="002E6CFA"/>
    <w:rsid w:val="002E6E06"/>
    <w:rsid w:val="002E6E30"/>
    <w:rsid w:val="002E7097"/>
    <w:rsid w:val="002E7115"/>
    <w:rsid w:val="002E717C"/>
    <w:rsid w:val="002E718F"/>
    <w:rsid w:val="002E71FA"/>
    <w:rsid w:val="002E7258"/>
    <w:rsid w:val="002E72AF"/>
    <w:rsid w:val="002E72E0"/>
    <w:rsid w:val="002E7346"/>
    <w:rsid w:val="002E7398"/>
    <w:rsid w:val="002E740C"/>
    <w:rsid w:val="002E75A6"/>
    <w:rsid w:val="002E75BB"/>
    <w:rsid w:val="002E75DA"/>
    <w:rsid w:val="002E76BF"/>
    <w:rsid w:val="002E77AD"/>
    <w:rsid w:val="002E7928"/>
    <w:rsid w:val="002E797A"/>
    <w:rsid w:val="002E7BC3"/>
    <w:rsid w:val="002E7C79"/>
    <w:rsid w:val="002E7CA4"/>
    <w:rsid w:val="002E7CBB"/>
    <w:rsid w:val="002E7CDD"/>
    <w:rsid w:val="002E7D83"/>
    <w:rsid w:val="002E7DE0"/>
    <w:rsid w:val="002E7E0D"/>
    <w:rsid w:val="002E7E20"/>
    <w:rsid w:val="002E7E7A"/>
    <w:rsid w:val="002E7F0F"/>
    <w:rsid w:val="002E7F9E"/>
    <w:rsid w:val="002E7FD9"/>
    <w:rsid w:val="002F0200"/>
    <w:rsid w:val="002F0252"/>
    <w:rsid w:val="002F02A5"/>
    <w:rsid w:val="002F02A7"/>
    <w:rsid w:val="002F02D6"/>
    <w:rsid w:val="002F0301"/>
    <w:rsid w:val="002F0369"/>
    <w:rsid w:val="002F038E"/>
    <w:rsid w:val="002F0398"/>
    <w:rsid w:val="002F041E"/>
    <w:rsid w:val="002F0437"/>
    <w:rsid w:val="002F05EA"/>
    <w:rsid w:val="002F05F0"/>
    <w:rsid w:val="002F061A"/>
    <w:rsid w:val="002F06AF"/>
    <w:rsid w:val="002F071E"/>
    <w:rsid w:val="002F074D"/>
    <w:rsid w:val="002F0763"/>
    <w:rsid w:val="002F082B"/>
    <w:rsid w:val="002F0837"/>
    <w:rsid w:val="002F086B"/>
    <w:rsid w:val="002F0878"/>
    <w:rsid w:val="002F0AC2"/>
    <w:rsid w:val="002F0BE5"/>
    <w:rsid w:val="002F0BF6"/>
    <w:rsid w:val="002F0C16"/>
    <w:rsid w:val="002F0C1F"/>
    <w:rsid w:val="002F0C96"/>
    <w:rsid w:val="002F0CB6"/>
    <w:rsid w:val="002F0E0A"/>
    <w:rsid w:val="002F0E5D"/>
    <w:rsid w:val="002F0E97"/>
    <w:rsid w:val="002F0EAE"/>
    <w:rsid w:val="002F0ED0"/>
    <w:rsid w:val="002F0F6A"/>
    <w:rsid w:val="002F0FCC"/>
    <w:rsid w:val="002F0FD8"/>
    <w:rsid w:val="002F1061"/>
    <w:rsid w:val="002F116C"/>
    <w:rsid w:val="002F131D"/>
    <w:rsid w:val="002F13B9"/>
    <w:rsid w:val="002F1410"/>
    <w:rsid w:val="002F1479"/>
    <w:rsid w:val="002F150A"/>
    <w:rsid w:val="002F15F0"/>
    <w:rsid w:val="002F1668"/>
    <w:rsid w:val="002F1679"/>
    <w:rsid w:val="002F16E5"/>
    <w:rsid w:val="002F18AB"/>
    <w:rsid w:val="002F1986"/>
    <w:rsid w:val="002F19E0"/>
    <w:rsid w:val="002F1A3F"/>
    <w:rsid w:val="002F1A43"/>
    <w:rsid w:val="002F1B05"/>
    <w:rsid w:val="002F1B21"/>
    <w:rsid w:val="002F1BBD"/>
    <w:rsid w:val="002F1BC3"/>
    <w:rsid w:val="002F1EDD"/>
    <w:rsid w:val="002F1FF7"/>
    <w:rsid w:val="002F2023"/>
    <w:rsid w:val="002F203D"/>
    <w:rsid w:val="002F206D"/>
    <w:rsid w:val="002F2130"/>
    <w:rsid w:val="002F2144"/>
    <w:rsid w:val="002F221A"/>
    <w:rsid w:val="002F2270"/>
    <w:rsid w:val="002F22C0"/>
    <w:rsid w:val="002F2322"/>
    <w:rsid w:val="002F2359"/>
    <w:rsid w:val="002F236C"/>
    <w:rsid w:val="002F23CF"/>
    <w:rsid w:val="002F23E3"/>
    <w:rsid w:val="002F2475"/>
    <w:rsid w:val="002F249C"/>
    <w:rsid w:val="002F2557"/>
    <w:rsid w:val="002F2629"/>
    <w:rsid w:val="002F26F2"/>
    <w:rsid w:val="002F27CA"/>
    <w:rsid w:val="002F2860"/>
    <w:rsid w:val="002F28C8"/>
    <w:rsid w:val="002F28D2"/>
    <w:rsid w:val="002F29C1"/>
    <w:rsid w:val="002F2A98"/>
    <w:rsid w:val="002F2BEA"/>
    <w:rsid w:val="002F2C5E"/>
    <w:rsid w:val="002F2C78"/>
    <w:rsid w:val="002F2D53"/>
    <w:rsid w:val="002F2DBA"/>
    <w:rsid w:val="002F2DD7"/>
    <w:rsid w:val="002F2DDC"/>
    <w:rsid w:val="002F2DE0"/>
    <w:rsid w:val="002F2E14"/>
    <w:rsid w:val="002F2E70"/>
    <w:rsid w:val="002F2ED6"/>
    <w:rsid w:val="002F3020"/>
    <w:rsid w:val="002F3174"/>
    <w:rsid w:val="002F31A5"/>
    <w:rsid w:val="002F31C7"/>
    <w:rsid w:val="002F323D"/>
    <w:rsid w:val="002F3252"/>
    <w:rsid w:val="002F32B6"/>
    <w:rsid w:val="002F3309"/>
    <w:rsid w:val="002F333E"/>
    <w:rsid w:val="002F357F"/>
    <w:rsid w:val="002F35C9"/>
    <w:rsid w:val="002F3631"/>
    <w:rsid w:val="002F364B"/>
    <w:rsid w:val="002F3669"/>
    <w:rsid w:val="002F3698"/>
    <w:rsid w:val="002F36D5"/>
    <w:rsid w:val="002F36ED"/>
    <w:rsid w:val="002F3813"/>
    <w:rsid w:val="002F381C"/>
    <w:rsid w:val="002F3828"/>
    <w:rsid w:val="002F3848"/>
    <w:rsid w:val="002F39DF"/>
    <w:rsid w:val="002F3A5D"/>
    <w:rsid w:val="002F3AC4"/>
    <w:rsid w:val="002F3AD6"/>
    <w:rsid w:val="002F3AE3"/>
    <w:rsid w:val="002F3B38"/>
    <w:rsid w:val="002F3BBC"/>
    <w:rsid w:val="002F3C02"/>
    <w:rsid w:val="002F3C31"/>
    <w:rsid w:val="002F3C3A"/>
    <w:rsid w:val="002F3DC1"/>
    <w:rsid w:val="002F3DC5"/>
    <w:rsid w:val="002F3EA0"/>
    <w:rsid w:val="002F3F5D"/>
    <w:rsid w:val="002F3F92"/>
    <w:rsid w:val="002F3FA2"/>
    <w:rsid w:val="002F40EB"/>
    <w:rsid w:val="002F410A"/>
    <w:rsid w:val="002F411C"/>
    <w:rsid w:val="002F417F"/>
    <w:rsid w:val="002F418F"/>
    <w:rsid w:val="002F424A"/>
    <w:rsid w:val="002F427B"/>
    <w:rsid w:val="002F42BF"/>
    <w:rsid w:val="002F4317"/>
    <w:rsid w:val="002F4447"/>
    <w:rsid w:val="002F4459"/>
    <w:rsid w:val="002F4492"/>
    <w:rsid w:val="002F4550"/>
    <w:rsid w:val="002F462E"/>
    <w:rsid w:val="002F475A"/>
    <w:rsid w:val="002F4765"/>
    <w:rsid w:val="002F4781"/>
    <w:rsid w:val="002F4788"/>
    <w:rsid w:val="002F479F"/>
    <w:rsid w:val="002F47C5"/>
    <w:rsid w:val="002F47CD"/>
    <w:rsid w:val="002F4830"/>
    <w:rsid w:val="002F4869"/>
    <w:rsid w:val="002F487C"/>
    <w:rsid w:val="002F489F"/>
    <w:rsid w:val="002F48ED"/>
    <w:rsid w:val="002F4919"/>
    <w:rsid w:val="002F492B"/>
    <w:rsid w:val="002F4949"/>
    <w:rsid w:val="002F4998"/>
    <w:rsid w:val="002F4A66"/>
    <w:rsid w:val="002F4A84"/>
    <w:rsid w:val="002F4A8C"/>
    <w:rsid w:val="002F4AF7"/>
    <w:rsid w:val="002F4B4A"/>
    <w:rsid w:val="002F4B4F"/>
    <w:rsid w:val="002F4B5A"/>
    <w:rsid w:val="002F4B93"/>
    <w:rsid w:val="002F4C1A"/>
    <w:rsid w:val="002F4C56"/>
    <w:rsid w:val="002F4C93"/>
    <w:rsid w:val="002F4E6C"/>
    <w:rsid w:val="002F4E8E"/>
    <w:rsid w:val="002F4F7C"/>
    <w:rsid w:val="002F50D1"/>
    <w:rsid w:val="002F50F7"/>
    <w:rsid w:val="002F5121"/>
    <w:rsid w:val="002F51C5"/>
    <w:rsid w:val="002F5287"/>
    <w:rsid w:val="002F529B"/>
    <w:rsid w:val="002F530E"/>
    <w:rsid w:val="002F54D1"/>
    <w:rsid w:val="002F550B"/>
    <w:rsid w:val="002F557C"/>
    <w:rsid w:val="002F5631"/>
    <w:rsid w:val="002F56BC"/>
    <w:rsid w:val="002F57DC"/>
    <w:rsid w:val="002F5862"/>
    <w:rsid w:val="002F5868"/>
    <w:rsid w:val="002F5873"/>
    <w:rsid w:val="002F588E"/>
    <w:rsid w:val="002F58B5"/>
    <w:rsid w:val="002F58E4"/>
    <w:rsid w:val="002F58F0"/>
    <w:rsid w:val="002F5933"/>
    <w:rsid w:val="002F59AC"/>
    <w:rsid w:val="002F59B2"/>
    <w:rsid w:val="002F59FD"/>
    <w:rsid w:val="002F5AC8"/>
    <w:rsid w:val="002F5BB2"/>
    <w:rsid w:val="002F5C33"/>
    <w:rsid w:val="002F5C3B"/>
    <w:rsid w:val="002F5C61"/>
    <w:rsid w:val="002F5E5D"/>
    <w:rsid w:val="002F5F17"/>
    <w:rsid w:val="002F5F30"/>
    <w:rsid w:val="002F5F59"/>
    <w:rsid w:val="002F5FCE"/>
    <w:rsid w:val="002F60AA"/>
    <w:rsid w:val="002F611D"/>
    <w:rsid w:val="002F614B"/>
    <w:rsid w:val="002F6184"/>
    <w:rsid w:val="002F61A9"/>
    <w:rsid w:val="002F6206"/>
    <w:rsid w:val="002F6249"/>
    <w:rsid w:val="002F62BA"/>
    <w:rsid w:val="002F62C1"/>
    <w:rsid w:val="002F62D0"/>
    <w:rsid w:val="002F63B4"/>
    <w:rsid w:val="002F6467"/>
    <w:rsid w:val="002F6583"/>
    <w:rsid w:val="002F65CC"/>
    <w:rsid w:val="002F6718"/>
    <w:rsid w:val="002F671D"/>
    <w:rsid w:val="002F6778"/>
    <w:rsid w:val="002F6822"/>
    <w:rsid w:val="002F682D"/>
    <w:rsid w:val="002F68B7"/>
    <w:rsid w:val="002F692E"/>
    <w:rsid w:val="002F6964"/>
    <w:rsid w:val="002F6A35"/>
    <w:rsid w:val="002F6A3E"/>
    <w:rsid w:val="002F6AC7"/>
    <w:rsid w:val="002F6ACE"/>
    <w:rsid w:val="002F6B8B"/>
    <w:rsid w:val="002F6BF3"/>
    <w:rsid w:val="002F6CA2"/>
    <w:rsid w:val="002F6D0B"/>
    <w:rsid w:val="002F6F42"/>
    <w:rsid w:val="002F6F90"/>
    <w:rsid w:val="002F6FE5"/>
    <w:rsid w:val="002F7069"/>
    <w:rsid w:val="002F71E1"/>
    <w:rsid w:val="002F7278"/>
    <w:rsid w:val="002F7404"/>
    <w:rsid w:val="002F7489"/>
    <w:rsid w:val="002F74BF"/>
    <w:rsid w:val="002F7598"/>
    <w:rsid w:val="002F7638"/>
    <w:rsid w:val="002F767E"/>
    <w:rsid w:val="002F7696"/>
    <w:rsid w:val="002F7791"/>
    <w:rsid w:val="002F78AE"/>
    <w:rsid w:val="002F78BF"/>
    <w:rsid w:val="002F78FF"/>
    <w:rsid w:val="002F7906"/>
    <w:rsid w:val="002F7A08"/>
    <w:rsid w:val="002F7A7A"/>
    <w:rsid w:val="002F7A8A"/>
    <w:rsid w:val="002F7ABA"/>
    <w:rsid w:val="002F7B06"/>
    <w:rsid w:val="002F7B47"/>
    <w:rsid w:val="002F7CD4"/>
    <w:rsid w:val="002F7DAB"/>
    <w:rsid w:val="002F7DC1"/>
    <w:rsid w:val="002F7E8F"/>
    <w:rsid w:val="002F7EC2"/>
    <w:rsid w:val="002F7EE9"/>
    <w:rsid w:val="002F7F41"/>
    <w:rsid w:val="002F7FB7"/>
    <w:rsid w:val="0030000E"/>
    <w:rsid w:val="00300173"/>
    <w:rsid w:val="003001D7"/>
    <w:rsid w:val="0030026F"/>
    <w:rsid w:val="003002B4"/>
    <w:rsid w:val="0030032F"/>
    <w:rsid w:val="0030037C"/>
    <w:rsid w:val="00300553"/>
    <w:rsid w:val="003005FC"/>
    <w:rsid w:val="003006A8"/>
    <w:rsid w:val="003006D4"/>
    <w:rsid w:val="0030071E"/>
    <w:rsid w:val="00300789"/>
    <w:rsid w:val="003007C5"/>
    <w:rsid w:val="003007DF"/>
    <w:rsid w:val="00300892"/>
    <w:rsid w:val="003008A5"/>
    <w:rsid w:val="0030090B"/>
    <w:rsid w:val="00300922"/>
    <w:rsid w:val="003009A6"/>
    <w:rsid w:val="003009CC"/>
    <w:rsid w:val="00300A30"/>
    <w:rsid w:val="00300AAB"/>
    <w:rsid w:val="00300ABC"/>
    <w:rsid w:val="00300AC6"/>
    <w:rsid w:val="00300B9A"/>
    <w:rsid w:val="00300C34"/>
    <w:rsid w:val="00300C56"/>
    <w:rsid w:val="00300C5F"/>
    <w:rsid w:val="00300C6B"/>
    <w:rsid w:val="00300D03"/>
    <w:rsid w:val="00300D60"/>
    <w:rsid w:val="00300D8F"/>
    <w:rsid w:val="00300F48"/>
    <w:rsid w:val="0030102F"/>
    <w:rsid w:val="00301064"/>
    <w:rsid w:val="0030122B"/>
    <w:rsid w:val="0030133C"/>
    <w:rsid w:val="00301352"/>
    <w:rsid w:val="00301396"/>
    <w:rsid w:val="00301476"/>
    <w:rsid w:val="003014B8"/>
    <w:rsid w:val="00301523"/>
    <w:rsid w:val="00301539"/>
    <w:rsid w:val="00301560"/>
    <w:rsid w:val="00301643"/>
    <w:rsid w:val="00301673"/>
    <w:rsid w:val="003016AC"/>
    <w:rsid w:val="003016BF"/>
    <w:rsid w:val="003017E6"/>
    <w:rsid w:val="00301857"/>
    <w:rsid w:val="00301864"/>
    <w:rsid w:val="0030186D"/>
    <w:rsid w:val="00301879"/>
    <w:rsid w:val="003018D3"/>
    <w:rsid w:val="00301999"/>
    <w:rsid w:val="003019B2"/>
    <w:rsid w:val="00301A64"/>
    <w:rsid w:val="00301AD0"/>
    <w:rsid w:val="00301BAC"/>
    <w:rsid w:val="00301BF8"/>
    <w:rsid w:val="00301C11"/>
    <w:rsid w:val="00301CB6"/>
    <w:rsid w:val="00301CBC"/>
    <w:rsid w:val="00301CFF"/>
    <w:rsid w:val="00301E7D"/>
    <w:rsid w:val="00301F33"/>
    <w:rsid w:val="00301F53"/>
    <w:rsid w:val="00301F81"/>
    <w:rsid w:val="0030205B"/>
    <w:rsid w:val="0030206F"/>
    <w:rsid w:val="00302152"/>
    <w:rsid w:val="003022D2"/>
    <w:rsid w:val="00302398"/>
    <w:rsid w:val="00302550"/>
    <w:rsid w:val="0030261B"/>
    <w:rsid w:val="0030277C"/>
    <w:rsid w:val="003029A5"/>
    <w:rsid w:val="00302A39"/>
    <w:rsid w:val="00302A5D"/>
    <w:rsid w:val="00302AF4"/>
    <w:rsid w:val="00302C6A"/>
    <w:rsid w:val="00302C7B"/>
    <w:rsid w:val="00302C9D"/>
    <w:rsid w:val="00302CC9"/>
    <w:rsid w:val="00302D16"/>
    <w:rsid w:val="00302D81"/>
    <w:rsid w:val="00302DA9"/>
    <w:rsid w:val="00302DAA"/>
    <w:rsid w:val="00302EB8"/>
    <w:rsid w:val="00302F36"/>
    <w:rsid w:val="00302F56"/>
    <w:rsid w:val="00302FE8"/>
    <w:rsid w:val="00303093"/>
    <w:rsid w:val="003030CF"/>
    <w:rsid w:val="003031D2"/>
    <w:rsid w:val="00303248"/>
    <w:rsid w:val="003032F0"/>
    <w:rsid w:val="00303370"/>
    <w:rsid w:val="003033A0"/>
    <w:rsid w:val="0030353D"/>
    <w:rsid w:val="0030355B"/>
    <w:rsid w:val="0030359D"/>
    <w:rsid w:val="0030362E"/>
    <w:rsid w:val="003036BF"/>
    <w:rsid w:val="00303879"/>
    <w:rsid w:val="003039BE"/>
    <w:rsid w:val="00303ABD"/>
    <w:rsid w:val="00303B83"/>
    <w:rsid w:val="00303B9A"/>
    <w:rsid w:val="00303BC4"/>
    <w:rsid w:val="00303C28"/>
    <w:rsid w:val="00303C30"/>
    <w:rsid w:val="00303C34"/>
    <w:rsid w:val="00303C3C"/>
    <w:rsid w:val="00303CE1"/>
    <w:rsid w:val="00303CED"/>
    <w:rsid w:val="00303DA0"/>
    <w:rsid w:val="00303EAF"/>
    <w:rsid w:val="00303FE3"/>
    <w:rsid w:val="00303FF0"/>
    <w:rsid w:val="00304099"/>
    <w:rsid w:val="003040AB"/>
    <w:rsid w:val="003040FB"/>
    <w:rsid w:val="0030413F"/>
    <w:rsid w:val="003041A7"/>
    <w:rsid w:val="00304201"/>
    <w:rsid w:val="00304204"/>
    <w:rsid w:val="00304213"/>
    <w:rsid w:val="003042A9"/>
    <w:rsid w:val="00304620"/>
    <w:rsid w:val="0030463D"/>
    <w:rsid w:val="003046F0"/>
    <w:rsid w:val="003047CA"/>
    <w:rsid w:val="003047D5"/>
    <w:rsid w:val="003047F2"/>
    <w:rsid w:val="003048FA"/>
    <w:rsid w:val="00304927"/>
    <w:rsid w:val="00304A74"/>
    <w:rsid w:val="00304B2D"/>
    <w:rsid w:val="00304B8D"/>
    <w:rsid w:val="00304B9A"/>
    <w:rsid w:val="00304BCF"/>
    <w:rsid w:val="00304D04"/>
    <w:rsid w:val="00304ED4"/>
    <w:rsid w:val="00304F5A"/>
    <w:rsid w:val="00304FBB"/>
    <w:rsid w:val="00305058"/>
    <w:rsid w:val="00305117"/>
    <w:rsid w:val="0030511E"/>
    <w:rsid w:val="0030518A"/>
    <w:rsid w:val="003052E5"/>
    <w:rsid w:val="00305348"/>
    <w:rsid w:val="00305359"/>
    <w:rsid w:val="00305363"/>
    <w:rsid w:val="003053D7"/>
    <w:rsid w:val="003053DB"/>
    <w:rsid w:val="003054B5"/>
    <w:rsid w:val="003054DB"/>
    <w:rsid w:val="003054EE"/>
    <w:rsid w:val="0030550B"/>
    <w:rsid w:val="003055CD"/>
    <w:rsid w:val="003055E3"/>
    <w:rsid w:val="003056DC"/>
    <w:rsid w:val="0030571B"/>
    <w:rsid w:val="00305721"/>
    <w:rsid w:val="0030574A"/>
    <w:rsid w:val="00305752"/>
    <w:rsid w:val="00305822"/>
    <w:rsid w:val="003058CA"/>
    <w:rsid w:val="003058FB"/>
    <w:rsid w:val="003059B2"/>
    <w:rsid w:val="003059C5"/>
    <w:rsid w:val="00305A75"/>
    <w:rsid w:val="00305A90"/>
    <w:rsid w:val="00305B47"/>
    <w:rsid w:val="00305BD1"/>
    <w:rsid w:val="00305C17"/>
    <w:rsid w:val="00305C22"/>
    <w:rsid w:val="00305D25"/>
    <w:rsid w:val="00305D86"/>
    <w:rsid w:val="00305F4A"/>
    <w:rsid w:val="00305F96"/>
    <w:rsid w:val="00305F9D"/>
    <w:rsid w:val="003060BD"/>
    <w:rsid w:val="003060C3"/>
    <w:rsid w:val="003061E0"/>
    <w:rsid w:val="00306277"/>
    <w:rsid w:val="0030646F"/>
    <w:rsid w:val="0030648D"/>
    <w:rsid w:val="003064BD"/>
    <w:rsid w:val="00306542"/>
    <w:rsid w:val="003065DC"/>
    <w:rsid w:val="00306633"/>
    <w:rsid w:val="003066CB"/>
    <w:rsid w:val="00306719"/>
    <w:rsid w:val="003067EB"/>
    <w:rsid w:val="003068DC"/>
    <w:rsid w:val="00306939"/>
    <w:rsid w:val="00306967"/>
    <w:rsid w:val="003069D0"/>
    <w:rsid w:val="00306A12"/>
    <w:rsid w:val="00306A5E"/>
    <w:rsid w:val="00306A75"/>
    <w:rsid w:val="00306B04"/>
    <w:rsid w:val="00306B05"/>
    <w:rsid w:val="00306B7F"/>
    <w:rsid w:val="00306B85"/>
    <w:rsid w:val="00306CF5"/>
    <w:rsid w:val="00306D52"/>
    <w:rsid w:val="00306DC4"/>
    <w:rsid w:val="00306E2B"/>
    <w:rsid w:val="00306E88"/>
    <w:rsid w:val="00306EE8"/>
    <w:rsid w:val="00306F0B"/>
    <w:rsid w:val="00306F27"/>
    <w:rsid w:val="00306FEF"/>
    <w:rsid w:val="0030708E"/>
    <w:rsid w:val="003070A5"/>
    <w:rsid w:val="0030716A"/>
    <w:rsid w:val="00307176"/>
    <w:rsid w:val="00307193"/>
    <w:rsid w:val="003071CA"/>
    <w:rsid w:val="003071E4"/>
    <w:rsid w:val="0030721F"/>
    <w:rsid w:val="0030722E"/>
    <w:rsid w:val="003072BB"/>
    <w:rsid w:val="003072E3"/>
    <w:rsid w:val="00307307"/>
    <w:rsid w:val="003074B5"/>
    <w:rsid w:val="003074F1"/>
    <w:rsid w:val="003075A5"/>
    <w:rsid w:val="00307610"/>
    <w:rsid w:val="003076A1"/>
    <w:rsid w:val="0030771F"/>
    <w:rsid w:val="00307847"/>
    <w:rsid w:val="0030787F"/>
    <w:rsid w:val="00307880"/>
    <w:rsid w:val="003078CD"/>
    <w:rsid w:val="003078FA"/>
    <w:rsid w:val="0030795D"/>
    <w:rsid w:val="00307A2C"/>
    <w:rsid w:val="00307A5F"/>
    <w:rsid w:val="00307ACD"/>
    <w:rsid w:val="00307AED"/>
    <w:rsid w:val="00307C2A"/>
    <w:rsid w:val="00307C30"/>
    <w:rsid w:val="00307C48"/>
    <w:rsid w:val="00307C7B"/>
    <w:rsid w:val="00307D16"/>
    <w:rsid w:val="00307D21"/>
    <w:rsid w:val="00307D44"/>
    <w:rsid w:val="00307DF4"/>
    <w:rsid w:val="00307F73"/>
    <w:rsid w:val="00307FBA"/>
    <w:rsid w:val="00307FDE"/>
    <w:rsid w:val="00307FFD"/>
    <w:rsid w:val="00310098"/>
    <w:rsid w:val="003100C4"/>
    <w:rsid w:val="00310137"/>
    <w:rsid w:val="00310148"/>
    <w:rsid w:val="0031034E"/>
    <w:rsid w:val="00310385"/>
    <w:rsid w:val="003103C7"/>
    <w:rsid w:val="003103F5"/>
    <w:rsid w:val="003104E3"/>
    <w:rsid w:val="00310565"/>
    <w:rsid w:val="0031066C"/>
    <w:rsid w:val="0031069D"/>
    <w:rsid w:val="0031071E"/>
    <w:rsid w:val="00310738"/>
    <w:rsid w:val="0031075E"/>
    <w:rsid w:val="00310795"/>
    <w:rsid w:val="0031088A"/>
    <w:rsid w:val="003109A0"/>
    <w:rsid w:val="00310A01"/>
    <w:rsid w:val="00310A3D"/>
    <w:rsid w:val="00310C52"/>
    <w:rsid w:val="00310D3B"/>
    <w:rsid w:val="00310D58"/>
    <w:rsid w:val="00310DAC"/>
    <w:rsid w:val="00310E30"/>
    <w:rsid w:val="00310EA0"/>
    <w:rsid w:val="00310EA3"/>
    <w:rsid w:val="00311042"/>
    <w:rsid w:val="003112D0"/>
    <w:rsid w:val="003113A1"/>
    <w:rsid w:val="003113CE"/>
    <w:rsid w:val="003113D1"/>
    <w:rsid w:val="003114A4"/>
    <w:rsid w:val="003114DF"/>
    <w:rsid w:val="00311580"/>
    <w:rsid w:val="003115F1"/>
    <w:rsid w:val="00311625"/>
    <w:rsid w:val="00311643"/>
    <w:rsid w:val="00311774"/>
    <w:rsid w:val="00311830"/>
    <w:rsid w:val="0031186F"/>
    <w:rsid w:val="0031189A"/>
    <w:rsid w:val="003118F2"/>
    <w:rsid w:val="003118F3"/>
    <w:rsid w:val="00311936"/>
    <w:rsid w:val="00311937"/>
    <w:rsid w:val="00311940"/>
    <w:rsid w:val="003119BD"/>
    <w:rsid w:val="00311A77"/>
    <w:rsid w:val="00311A87"/>
    <w:rsid w:val="00311AC1"/>
    <w:rsid w:val="00311ADA"/>
    <w:rsid w:val="00311CA0"/>
    <w:rsid w:val="00311E0A"/>
    <w:rsid w:val="00312005"/>
    <w:rsid w:val="003120B5"/>
    <w:rsid w:val="003120E3"/>
    <w:rsid w:val="0031211A"/>
    <w:rsid w:val="003121A6"/>
    <w:rsid w:val="003121ED"/>
    <w:rsid w:val="003121FE"/>
    <w:rsid w:val="00312264"/>
    <w:rsid w:val="003122FD"/>
    <w:rsid w:val="003123AE"/>
    <w:rsid w:val="003123F9"/>
    <w:rsid w:val="00312475"/>
    <w:rsid w:val="0031247C"/>
    <w:rsid w:val="003124D4"/>
    <w:rsid w:val="003124F3"/>
    <w:rsid w:val="00312524"/>
    <w:rsid w:val="0031273B"/>
    <w:rsid w:val="0031274F"/>
    <w:rsid w:val="003127F3"/>
    <w:rsid w:val="00312808"/>
    <w:rsid w:val="00312850"/>
    <w:rsid w:val="00312873"/>
    <w:rsid w:val="003128F1"/>
    <w:rsid w:val="0031299C"/>
    <w:rsid w:val="003129FA"/>
    <w:rsid w:val="00312A82"/>
    <w:rsid w:val="00312A95"/>
    <w:rsid w:val="00312AE6"/>
    <w:rsid w:val="00312B66"/>
    <w:rsid w:val="00312C5D"/>
    <w:rsid w:val="00312D68"/>
    <w:rsid w:val="00312E5F"/>
    <w:rsid w:val="00312EFB"/>
    <w:rsid w:val="00312F3A"/>
    <w:rsid w:val="00313059"/>
    <w:rsid w:val="0031307B"/>
    <w:rsid w:val="00313088"/>
    <w:rsid w:val="003130CA"/>
    <w:rsid w:val="003130D3"/>
    <w:rsid w:val="00313257"/>
    <w:rsid w:val="003132A6"/>
    <w:rsid w:val="0031331A"/>
    <w:rsid w:val="00313328"/>
    <w:rsid w:val="00313339"/>
    <w:rsid w:val="00313405"/>
    <w:rsid w:val="00313429"/>
    <w:rsid w:val="003134FF"/>
    <w:rsid w:val="00313518"/>
    <w:rsid w:val="0031351D"/>
    <w:rsid w:val="003136FD"/>
    <w:rsid w:val="003137CA"/>
    <w:rsid w:val="00313827"/>
    <w:rsid w:val="00313866"/>
    <w:rsid w:val="003139D3"/>
    <w:rsid w:val="003139E1"/>
    <w:rsid w:val="00313A06"/>
    <w:rsid w:val="00313B7B"/>
    <w:rsid w:val="00313BAB"/>
    <w:rsid w:val="00313BB9"/>
    <w:rsid w:val="00313BC2"/>
    <w:rsid w:val="00313C02"/>
    <w:rsid w:val="00313C15"/>
    <w:rsid w:val="00313C4C"/>
    <w:rsid w:val="00313C56"/>
    <w:rsid w:val="00313C69"/>
    <w:rsid w:val="00313C92"/>
    <w:rsid w:val="00313CF4"/>
    <w:rsid w:val="00313D86"/>
    <w:rsid w:val="00313DC6"/>
    <w:rsid w:val="00313E3D"/>
    <w:rsid w:val="00313EA7"/>
    <w:rsid w:val="00313EF7"/>
    <w:rsid w:val="00314014"/>
    <w:rsid w:val="00314033"/>
    <w:rsid w:val="003140F9"/>
    <w:rsid w:val="00314192"/>
    <w:rsid w:val="003141B0"/>
    <w:rsid w:val="003141C1"/>
    <w:rsid w:val="0031421E"/>
    <w:rsid w:val="003142C9"/>
    <w:rsid w:val="00314449"/>
    <w:rsid w:val="00314513"/>
    <w:rsid w:val="0031457D"/>
    <w:rsid w:val="00314598"/>
    <w:rsid w:val="00314730"/>
    <w:rsid w:val="003148B7"/>
    <w:rsid w:val="003148BC"/>
    <w:rsid w:val="003148DF"/>
    <w:rsid w:val="0031491E"/>
    <w:rsid w:val="003149B0"/>
    <w:rsid w:val="003149ED"/>
    <w:rsid w:val="00314A6B"/>
    <w:rsid w:val="00314ACD"/>
    <w:rsid w:val="00314AF0"/>
    <w:rsid w:val="00314B66"/>
    <w:rsid w:val="00314B6A"/>
    <w:rsid w:val="00314B84"/>
    <w:rsid w:val="00314BDA"/>
    <w:rsid w:val="00314C2D"/>
    <w:rsid w:val="00314C9D"/>
    <w:rsid w:val="00314CA8"/>
    <w:rsid w:val="00314E1E"/>
    <w:rsid w:val="00314F09"/>
    <w:rsid w:val="0031517D"/>
    <w:rsid w:val="0031526D"/>
    <w:rsid w:val="003152F5"/>
    <w:rsid w:val="003152FC"/>
    <w:rsid w:val="00315340"/>
    <w:rsid w:val="0031538A"/>
    <w:rsid w:val="0031542F"/>
    <w:rsid w:val="0031543F"/>
    <w:rsid w:val="003154A8"/>
    <w:rsid w:val="003154C9"/>
    <w:rsid w:val="0031550A"/>
    <w:rsid w:val="00315528"/>
    <w:rsid w:val="003155AE"/>
    <w:rsid w:val="0031564F"/>
    <w:rsid w:val="0031569B"/>
    <w:rsid w:val="00315747"/>
    <w:rsid w:val="0031577B"/>
    <w:rsid w:val="003157BD"/>
    <w:rsid w:val="0031584A"/>
    <w:rsid w:val="0031587C"/>
    <w:rsid w:val="00315928"/>
    <w:rsid w:val="00315954"/>
    <w:rsid w:val="003159B4"/>
    <w:rsid w:val="00315A61"/>
    <w:rsid w:val="00315A6A"/>
    <w:rsid w:val="00315A77"/>
    <w:rsid w:val="00315A8A"/>
    <w:rsid w:val="00315A9C"/>
    <w:rsid w:val="00315B4D"/>
    <w:rsid w:val="00315BCF"/>
    <w:rsid w:val="00315BDF"/>
    <w:rsid w:val="00315CF7"/>
    <w:rsid w:val="00315D0C"/>
    <w:rsid w:val="00315D9E"/>
    <w:rsid w:val="00315EAE"/>
    <w:rsid w:val="00315ED1"/>
    <w:rsid w:val="00315F82"/>
    <w:rsid w:val="00315FE5"/>
    <w:rsid w:val="00316070"/>
    <w:rsid w:val="003160DC"/>
    <w:rsid w:val="0031612D"/>
    <w:rsid w:val="00316183"/>
    <w:rsid w:val="0031624E"/>
    <w:rsid w:val="0031627D"/>
    <w:rsid w:val="00316298"/>
    <w:rsid w:val="003162E9"/>
    <w:rsid w:val="00316424"/>
    <w:rsid w:val="0031642F"/>
    <w:rsid w:val="00316437"/>
    <w:rsid w:val="00316482"/>
    <w:rsid w:val="003164B7"/>
    <w:rsid w:val="003164DC"/>
    <w:rsid w:val="003164E9"/>
    <w:rsid w:val="00316570"/>
    <w:rsid w:val="0031664E"/>
    <w:rsid w:val="0031671E"/>
    <w:rsid w:val="003168B2"/>
    <w:rsid w:val="00316993"/>
    <w:rsid w:val="003169EA"/>
    <w:rsid w:val="00316A77"/>
    <w:rsid w:val="00316AA6"/>
    <w:rsid w:val="00316C1C"/>
    <w:rsid w:val="00316D00"/>
    <w:rsid w:val="00316D73"/>
    <w:rsid w:val="00316D94"/>
    <w:rsid w:val="00316DED"/>
    <w:rsid w:val="00316DFE"/>
    <w:rsid w:val="00316E45"/>
    <w:rsid w:val="00316E76"/>
    <w:rsid w:val="00316E93"/>
    <w:rsid w:val="00316E99"/>
    <w:rsid w:val="00316EAA"/>
    <w:rsid w:val="00316F64"/>
    <w:rsid w:val="00316FC3"/>
    <w:rsid w:val="00317006"/>
    <w:rsid w:val="0031706C"/>
    <w:rsid w:val="00317093"/>
    <w:rsid w:val="00317145"/>
    <w:rsid w:val="0031719C"/>
    <w:rsid w:val="003171A4"/>
    <w:rsid w:val="003171B8"/>
    <w:rsid w:val="0031722C"/>
    <w:rsid w:val="003172A3"/>
    <w:rsid w:val="003173E7"/>
    <w:rsid w:val="003173EB"/>
    <w:rsid w:val="003173F9"/>
    <w:rsid w:val="00317411"/>
    <w:rsid w:val="00317500"/>
    <w:rsid w:val="0031776F"/>
    <w:rsid w:val="003177A6"/>
    <w:rsid w:val="0031781D"/>
    <w:rsid w:val="00317878"/>
    <w:rsid w:val="00317909"/>
    <w:rsid w:val="00317914"/>
    <w:rsid w:val="00317920"/>
    <w:rsid w:val="00317937"/>
    <w:rsid w:val="003179D6"/>
    <w:rsid w:val="00317AA5"/>
    <w:rsid w:val="00317C06"/>
    <w:rsid w:val="00317C1E"/>
    <w:rsid w:val="00317C5D"/>
    <w:rsid w:val="00317CA2"/>
    <w:rsid w:val="00317D1A"/>
    <w:rsid w:val="00317D3F"/>
    <w:rsid w:val="00317D94"/>
    <w:rsid w:val="00317E7D"/>
    <w:rsid w:val="00317F48"/>
    <w:rsid w:val="00320135"/>
    <w:rsid w:val="00320190"/>
    <w:rsid w:val="003201BD"/>
    <w:rsid w:val="003201E3"/>
    <w:rsid w:val="0032023B"/>
    <w:rsid w:val="00320251"/>
    <w:rsid w:val="003202F0"/>
    <w:rsid w:val="00320393"/>
    <w:rsid w:val="003203BF"/>
    <w:rsid w:val="00320444"/>
    <w:rsid w:val="0032045F"/>
    <w:rsid w:val="00320462"/>
    <w:rsid w:val="00320498"/>
    <w:rsid w:val="00320547"/>
    <w:rsid w:val="003206B5"/>
    <w:rsid w:val="0032079D"/>
    <w:rsid w:val="00320890"/>
    <w:rsid w:val="003208E6"/>
    <w:rsid w:val="00320927"/>
    <w:rsid w:val="00320985"/>
    <w:rsid w:val="00320A05"/>
    <w:rsid w:val="00320A4A"/>
    <w:rsid w:val="00320CB2"/>
    <w:rsid w:val="00320D28"/>
    <w:rsid w:val="00320E5F"/>
    <w:rsid w:val="00320F13"/>
    <w:rsid w:val="00320F8E"/>
    <w:rsid w:val="00320FA4"/>
    <w:rsid w:val="00321029"/>
    <w:rsid w:val="00321055"/>
    <w:rsid w:val="003210B8"/>
    <w:rsid w:val="00321134"/>
    <w:rsid w:val="0032114C"/>
    <w:rsid w:val="00321170"/>
    <w:rsid w:val="0032119E"/>
    <w:rsid w:val="00321280"/>
    <w:rsid w:val="003212A9"/>
    <w:rsid w:val="003212DF"/>
    <w:rsid w:val="003212E1"/>
    <w:rsid w:val="003212EF"/>
    <w:rsid w:val="003213A8"/>
    <w:rsid w:val="003213B3"/>
    <w:rsid w:val="003214EE"/>
    <w:rsid w:val="00321597"/>
    <w:rsid w:val="003215A4"/>
    <w:rsid w:val="003215E3"/>
    <w:rsid w:val="00321638"/>
    <w:rsid w:val="00321644"/>
    <w:rsid w:val="0032164E"/>
    <w:rsid w:val="003216A4"/>
    <w:rsid w:val="003216C0"/>
    <w:rsid w:val="003216C4"/>
    <w:rsid w:val="003217EC"/>
    <w:rsid w:val="00321926"/>
    <w:rsid w:val="00321977"/>
    <w:rsid w:val="00321979"/>
    <w:rsid w:val="003219B5"/>
    <w:rsid w:val="003219D3"/>
    <w:rsid w:val="00321A4C"/>
    <w:rsid w:val="00321A7C"/>
    <w:rsid w:val="00321A86"/>
    <w:rsid w:val="00321B5C"/>
    <w:rsid w:val="00321BBA"/>
    <w:rsid w:val="00321D29"/>
    <w:rsid w:val="00321DB4"/>
    <w:rsid w:val="00321DF5"/>
    <w:rsid w:val="00321E9B"/>
    <w:rsid w:val="00321F6D"/>
    <w:rsid w:val="00321FB2"/>
    <w:rsid w:val="00322007"/>
    <w:rsid w:val="00322151"/>
    <w:rsid w:val="0032218C"/>
    <w:rsid w:val="0032231F"/>
    <w:rsid w:val="003223AA"/>
    <w:rsid w:val="00322467"/>
    <w:rsid w:val="0032246E"/>
    <w:rsid w:val="003224C3"/>
    <w:rsid w:val="0032261D"/>
    <w:rsid w:val="00322761"/>
    <w:rsid w:val="00322776"/>
    <w:rsid w:val="00322849"/>
    <w:rsid w:val="003228AA"/>
    <w:rsid w:val="003228C1"/>
    <w:rsid w:val="003228C9"/>
    <w:rsid w:val="003228E4"/>
    <w:rsid w:val="00322A16"/>
    <w:rsid w:val="00322A30"/>
    <w:rsid w:val="00322B59"/>
    <w:rsid w:val="00322C44"/>
    <w:rsid w:val="00322CE9"/>
    <w:rsid w:val="00322EDC"/>
    <w:rsid w:val="00322F39"/>
    <w:rsid w:val="0032305B"/>
    <w:rsid w:val="003231DC"/>
    <w:rsid w:val="0032344E"/>
    <w:rsid w:val="0032344F"/>
    <w:rsid w:val="003234BD"/>
    <w:rsid w:val="0032351F"/>
    <w:rsid w:val="00323554"/>
    <w:rsid w:val="00323693"/>
    <w:rsid w:val="003236A5"/>
    <w:rsid w:val="0032378B"/>
    <w:rsid w:val="003237D5"/>
    <w:rsid w:val="00323861"/>
    <w:rsid w:val="0032387E"/>
    <w:rsid w:val="0032392D"/>
    <w:rsid w:val="00323960"/>
    <w:rsid w:val="003239E2"/>
    <w:rsid w:val="00323A0F"/>
    <w:rsid w:val="00323A2F"/>
    <w:rsid w:val="00323A43"/>
    <w:rsid w:val="00323A56"/>
    <w:rsid w:val="00323A8D"/>
    <w:rsid w:val="00323AB9"/>
    <w:rsid w:val="00323ABE"/>
    <w:rsid w:val="00323E09"/>
    <w:rsid w:val="00323E66"/>
    <w:rsid w:val="00323F28"/>
    <w:rsid w:val="00323F7E"/>
    <w:rsid w:val="00323FED"/>
    <w:rsid w:val="0032400B"/>
    <w:rsid w:val="0032400D"/>
    <w:rsid w:val="00324080"/>
    <w:rsid w:val="003240B1"/>
    <w:rsid w:val="003240DF"/>
    <w:rsid w:val="00324176"/>
    <w:rsid w:val="003241FE"/>
    <w:rsid w:val="0032426E"/>
    <w:rsid w:val="003243E1"/>
    <w:rsid w:val="00324439"/>
    <w:rsid w:val="00324493"/>
    <w:rsid w:val="00324605"/>
    <w:rsid w:val="00324650"/>
    <w:rsid w:val="003247C9"/>
    <w:rsid w:val="003247E3"/>
    <w:rsid w:val="00324839"/>
    <w:rsid w:val="003248A4"/>
    <w:rsid w:val="003248F6"/>
    <w:rsid w:val="003249F7"/>
    <w:rsid w:val="00324A21"/>
    <w:rsid w:val="00324A29"/>
    <w:rsid w:val="00324A78"/>
    <w:rsid w:val="00324B3D"/>
    <w:rsid w:val="00324B73"/>
    <w:rsid w:val="00324C46"/>
    <w:rsid w:val="00324CA5"/>
    <w:rsid w:val="00324CDB"/>
    <w:rsid w:val="00324D18"/>
    <w:rsid w:val="00324EC2"/>
    <w:rsid w:val="00324FD6"/>
    <w:rsid w:val="003250C8"/>
    <w:rsid w:val="003250E3"/>
    <w:rsid w:val="0032516C"/>
    <w:rsid w:val="0032524F"/>
    <w:rsid w:val="003252E3"/>
    <w:rsid w:val="00325306"/>
    <w:rsid w:val="0032531A"/>
    <w:rsid w:val="003253D0"/>
    <w:rsid w:val="00325404"/>
    <w:rsid w:val="0032546E"/>
    <w:rsid w:val="003254E8"/>
    <w:rsid w:val="003255FC"/>
    <w:rsid w:val="0032561D"/>
    <w:rsid w:val="003256FC"/>
    <w:rsid w:val="00325852"/>
    <w:rsid w:val="003258E9"/>
    <w:rsid w:val="0032591B"/>
    <w:rsid w:val="00325A34"/>
    <w:rsid w:val="00325A57"/>
    <w:rsid w:val="00325C61"/>
    <w:rsid w:val="00325C78"/>
    <w:rsid w:val="00325C79"/>
    <w:rsid w:val="00325C7B"/>
    <w:rsid w:val="00325C94"/>
    <w:rsid w:val="00325CF9"/>
    <w:rsid w:val="00325D75"/>
    <w:rsid w:val="00325DA3"/>
    <w:rsid w:val="00325DC5"/>
    <w:rsid w:val="00325E31"/>
    <w:rsid w:val="00325E78"/>
    <w:rsid w:val="00325F6C"/>
    <w:rsid w:val="00325FEB"/>
    <w:rsid w:val="00326082"/>
    <w:rsid w:val="003260E6"/>
    <w:rsid w:val="0032615D"/>
    <w:rsid w:val="00326257"/>
    <w:rsid w:val="0032629E"/>
    <w:rsid w:val="003262A8"/>
    <w:rsid w:val="003262F5"/>
    <w:rsid w:val="00326431"/>
    <w:rsid w:val="003264EC"/>
    <w:rsid w:val="003264F5"/>
    <w:rsid w:val="0032651F"/>
    <w:rsid w:val="003265C3"/>
    <w:rsid w:val="00326633"/>
    <w:rsid w:val="003266F3"/>
    <w:rsid w:val="00326761"/>
    <w:rsid w:val="00326797"/>
    <w:rsid w:val="0032682F"/>
    <w:rsid w:val="003268BF"/>
    <w:rsid w:val="00326917"/>
    <w:rsid w:val="00326A46"/>
    <w:rsid w:val="00326AAB"/>
    <w:rsid w:val="00326AEC"/>
    <w:rsid w:val="00326B1D"/>
    <w:rsid w:val="00326B24"/>
    <w:rsid w:val="00326B8F"/>
    <w:rsid w:val="00326BBE"/>
    <w:rsid w:val="00326C19"/>
    <w:rsid w:val="00326C54"/>
    <w:rsid w:val="00326C78"/>
    <w:rsid w:val="00326CDC"/>
    <w:rsid w:val="00326CE3"/>
    <w:rsid w:val="00326CFE"/>
    <w:rsid w:val="00326D25"/>
    <w:rsid w:val="00326D6C"/>
    <w:rsid w:val="00326DC8"/>
    <w:rsid w:val="00326DE7"/>
    <w:rsid w:val="00326EAF"/>
    <w:rsid w:val="00326EF7"/>
    <w:rsid w:val="00326F2C"/>
    <w:rsid w:val="00326F3B"/>
    <w:rsid w:val="00326F82"/>
    <w:rsid w:val="00327002"/>
    <w:rsid w:val="00327289"/>
    <w:rsid w:val="00327295"/>
    <w:rsid w:val="00327429"/>
    <w:rsid w:val="00327473"/>
    <w:rsid w:val="00327525"/>
    <w:rsid w:val="0032759B"/>
    <w:rsid w:val="00327604"/>
    <w:rsid w:val="003276F1"/>
    <w:rsid w:val="003276F2"/>
    <w:rsid w:val="00327772"/>
    <w:rsid w:val="00327776"/>
    <w:rsid w:val="00327807"/>
    <w:rsid w:val="003278F3"/>
    <w:rsid w:val="003279C2"/>
    <w:rsid w:val="00327A17"/>
    <w:rsid w:val="00327A73"/>
    <w:rsid w:val="00327A76"/>
    <w:rsid w:val="00327AF5"/>
    <w:rsid w:val="00327B27"/>
    <w:rsid w:val="00327B8B"/>
    <w:rsid w:val="00327BC9"/>
    <w:rsid w:val="00327BF3"/>
    <w:rsid w:val="00327D1C"/>
    <w:rsid w:val="00327D2F"/>
    <w:rsid w:val="00327D39"/>
    <w:rsid w:val="00327D9B"/>
    <w:rsid w:val="00327E03"/>
    <w:rsid w:val="00327E7D"/>
    <w:rsid w:val="00327F6D"/>
    <w:rsid w:val="00327F8A"/>
    <w:rsid w:val="0032824A"/>
    <w:rsid w:val="003300C2"/>
    <w:rsid w:val="003301A1"/>
    <w:rsid w:val="003301DC"/>
    <w:rsid w:val="0033020A"/>
    <w:rsid w:val="003302B5"/>
    <w:rsid w:val="003302E7"/>
    <w:rsid w:val="0033031C"/>
    <w:rsid w:val="0033034C"/>
    <w:rsid w:val="0033035C"/>
    <w:rsid w:val="003303D8"/>
    <w:rsid w:val="0033041A"/>
    <w:rsid w:val="0033049C"/>
    <w:rsid w:val="003305AC"/>
    <w:rsid w:val="00330756"/>
    <w:rsid w:val="003307B3"/>
    <w:rsid w:val="00330988"/>
    <w:rsid w:val="00330A25"/>
    <w:rsid w:val="00330A3A"/>
    <w:rsid w:val="00330AD2"/>
    <w:rsid w:val="00330B77"/>
    <w:rsid w:val="00330BC4"/>
    <w:rsid w:val="00330CDC"/>
    <w:rsid w:val="00330CEF"/>
    <w:rsid w:val="00330D8D"/>
    <w:rsid w:val="00330E55"/>
    <w:rsid w:val="00330EE1"/>
    <w:rsid w:val="00330F11"/>
    <w:rsid w:val="00330F85"/>
    <w:rsid w:val="00330FD0"/>
    <w:rsid w:val="00330FF9"/>
    <w:rsid w:val="00331063"/>
    <w:rsid w:val="0033116C"/>
    <w:rsid w:val="00331230"/>
    <w:rsid w:val="00331299"/>
    <w:rsid w:val="0033131A"/>
    <w:rsid w:val="0033141C"/>
    <w:rsid w:val="0033149E"/>
    <w:rsid w:val="00331511"/>
    <w:rsid w:val="00331560"/>
    <w:rsid w:val="003315A9"/>
    <w:rsid w:val="003315CB"/>
    <w:rsid w:val="003316F0"/>
    <w:rsid w:val="0033176A"/>
    <w:rsid w:val="003317E2"/>
    <w:rsid w:val="003317E6"/>
    <w:rsid w:val="003318DC"/>
    <w:rsid w:val="003319CC"/>
    <w:rsid w:val="00331A01"/>
    <w:rsid w:val="00331A2E"/>
    <w:rsid w:val="00331AFF"/>
    <w:rsid w:val="00331B44"/>
    <w:rsid w:val="00331C2E"/>
    <w:rsid w:val="00331CA1"/>
    <w:rsid w:val="00331D27"/>
    <w:rsid w:val="00331E05"/>
    <w:rsid w:val="00331EA2"/>
    <w:rsid w:val="00331F80"/>
    <w:rsid w:val="00331FB1"/>
    <w:rsid w:val="00331FFB"/>
    <w:rsid w:val="00332027"/>
    <w:rsid w:val="00332099"/>
    <w:rsid w:val="003320F2"/>
    <w:rsid w:val="00332228"/>
    <w:rsid w:val="0033222D"/>
    <w:rsid w:val="00332290"/>
    <w:rsid w:val="003322B4"/>
    <w:rsid w:val="0033230A"/>
    <w:rsid w:val="003323E2"/>
    <w:rsid w:val="003324D5"/>
    <w:rsid w:val="0033251E"/>
    <w:rsid w:val="0033256E"/>
    <w:rsid w:val="003325C2"/>
    <w:rsid w:val="0033272C"/>
    <w:rsid w:val="00332865"/>
    <w:rsid w:val="0033286A"/>
    <w:rsid w:val="003328C2"/>
    <w:rsid w:val="00332963"/>
    <w:rsid w:val="00332978"/>
    <w:rsid w:val="00332A40"/>
    <w:rsid w:val="00332A52"/>
    <w:rsid w:val="00332ABB"/>
    <w:rsid w:val="00332BAA"/>
    <w:rsid w:val="00332CAA"/>
    <w:rsid w:val="00332CFE"/>
    <w:rsid w:val="00332D53"/>
    <w:rsid w:val="00332DD9"/>
    <w:rsid w:val="00332E18"/>
    <w:rsid w:val="00332E70"/>
    <w:rsid w:val="00332E9F"/>
    <w:rsid w:val="00332EBE"/>
    <w:rsid w:val="00332EC2"/>
    <w:rsid w:val="00332FC9"/>
    <w:rsid w:val="00332FF5"/>
    <w:rsid w:val="00333023"/>
    <w:rsid w:val="00333059"/>
    <w:rsid w:val="003330B1"/>
    <w:rsid w:val="003331B0"/>
    <w:rsid w:val="003331C3"/>
    <w:rsid w:val="00333244"/>
    <w:rsid w:val="00333260"/>
    <w:rsid w:val="00333323"/>
    <w:rsid w:val="00333478"/>
    <w:rsid w:val="003334E3"/>
    <w:rsid w:val="003334FD"/>
    <w:rsid w:val="003335B9"/>
    <w:rsid w:val="003335CF"/>
    <w:rsid w:val="00333603"/>
    <w:rsid w:val="003336BC"/>
    <w:rsid w:val="0033375D"/>
    <w:rsid w:val="003339EE"/>
    <w:rsid w:val="00333B06"/>
    <w:rsid w:val="00333B70"/>
    <w:rsid w:val="00333C14"/>
    <w:rsid w:val="00333C2D"/>
    <w:rsid w:val="00333C6D"/>
    <w:rsid w:val="00333CA7"/>
    <w:rsid w:val="00333CE6"/>
    <w:rsid w:val="00333DB4"/>
    <w:rsid w:val="00333DE5"/>
    <w:rsid w:val="00334049"/>
    <w:rsid w:val="0033404A"/>
    <w:rsid w:val="00334065"/>
    <w:rsid w:val="003340AF"/>
    <w:rsid w:val="003340B6"/>
    <w:rsid w:val="003340E8"/>
    <w:rsid w:val="0033414E"/>
    <w:rsid w:val="003341B0"/>
    <w:rsid w:val="003341DB"/>
    <w:rsid w:val="00334221"/>
    <w:rsid w:val="0033426F"/>
    <w:rsid w:val="003342AF"/>
    <w:rsid w:val="003342CE"/>
    <w:rsid w:val="0033436C"/>
    <w:rsid w:val="003343BD"/>
    <w:rsid w:val="003343F4"/>
    <w:rsid w:val="0033455D"/>
    <w:rsid w:val="003346CA"/>
    <w:rsid w:val="003346EE"/>
    <w:rsid w:val="00334715"/>
    <w:rsid w:val="00334751"/>
    <w:rsid w:val="00334762"/>
    <w:rsid w:val="00334932"/>
    <w:rsid w:val="003349C9"/>
    <w:rsid w:val="00334A48"/>
    <w:rsid w:val="00334A81"/>
    <w:rsid w:val="00334AC6"/>
    <w:rsid w:val="00334AF4"/>
    <w:rsid w:val="00334B67"/>
    <w:rsid w:val="00334BC8"/>
    <w:rsid w:val="00334BEA"/>
    <w:rsid w:val="00334CB0"/>
    <w:rsid w:val="00334CE0"/>
    <w:rsid w:val="00334D68"/>
    <w:rsid w:val="00334DFE"/>
    <w:rsid w:val="00334E9F"/>
    <w:rsid w:val="00334ECC"/>
    <w:rsid w:val="00334F07"/>
    <w:rsid w:val="00334F4F"/>
    <w:rsid w:val="00334FC1"/>
    <w:rsid w:val="0033509F"/>
    <w:rsid w:val="003350EA"/>
    <w:rsid w:val="00335226"/>
    <w:rsid w:val="00335267"/>
    <w:rsid w:val="003352AF"/>
    <w:rsid w:val="00335306"/>
    <w:rsid w:val="00335346"/>
    <w:rsid w:val="0033534D"/>
    <w:rsid w:val="0033546E"/>
    <w:rsid w:val="003354C7"/>
    <w:rsid w:val="003354E4"/>
    <w:rsid w:val="0033557D"/>
    <w:rsid w:val="0033558B"/>
    <w:rsid w:val="00335641"/>
    <w:rsid w:val="00335683"/>
    <w:rsid w:val="0033570F"/>
    <w:rsid w:val="00335749"/>
    <w:rsid w:val="0033579D"/>
    <w:rsid w:val="00335899"/>
    <w:rsid w:val="003358F6"/>
    <w:rsid w:val="00335907"/>
    <w:rsid w:val="00335935"/>
    <w:rsid w:val="0033595D"/>
    <w:rsid w:val="00335B3D"/>
    <w:rsid w:val="00335C28"/>
    <w:rsid w:val="00335C96"/>
    <w:rsid w:val="00335CCB"/>
    <w:rsid w:val="00335CD3"/>
    <w:rsid w:val="00335EA4"/>
    <w:rsid w:val="00335F7E"/>
    <w:rsid w:val="00336000"/>
    <w:rsid w:val="00336068"/>
    <w:rsid w:val="0033609F"/>
    <w:rsid w:val="003360D9"/>
    <w:rsid w:val="0033612B"/>
    <w:rsid w:val="0033613E"/>
    <w:rsid w:val="00336195"/>
    <w:rsid w:val="0033619D"/>
    <w:rsid w:val="0033628B"/>
    <w:rsid w:val="003362AE"/>
    <w:rsid w:val="003362B6"/>
    <w:rsid w:val="003362C9"/>
    <w:rsid w:val="003363B4"/>
    <w:rsid w:val="003363D4"/>
    <w:rsid w:val="003363D9"/>
    <w:rsid w:val="00336473"/>
    <w:rsid w:val="003365FD"/>
    <w:rsid w:val="003366DC"/>
    <w:rsid w:val="00336792"/>
    <w:rsid w:val="003367B0"/>
    <w:rsid w:val="00336872"/>
    <w:rsid w:val="003368C7"/>
    <w:rsid w:val="0033694D"/>
    <w:rsid w:val="0033699B"/>
    <w:rsid w:val="003369C2"/>
    <w:rsid w:val="00336A2E"/>
    <w:rsid w:val="00336A38"/>
    <w:rsid w:val="00336A5F"/>
    <w:rsid w:val="00336A87"/>
    <w:rsid w:val="00336B2F"/>
    <w:rsid w:val="00336BE9"/>
    <w:rsid w:val="00336BF4"/>
    <w:rsid w:val="00336C49"/>
    <w:rsid w:val="00336D32"/>
    <w:rsid w:val="00336DCB"/>
    <w:rsid w:val="00336F0C"/>
    <w:rsid w:val="00336F46"/>
    <w:rsid w:val="00336F69"/>
    <w:rsid w:val="0033704B"/>
    <w:rsid w:val="00337053"/>
    <w:rsid w:val="003370A4"/>
    <w:rsid w:val="0033718B"/>
    <w:rsid w:val="003371E4"/>
    <w:rsid w:val="0033731F"/>
    <w:rsid w:val="0033732B"/>
    <w:rsid w:val="003373C0"/>
    <w:rsid w:val="0033740C"/>
    <w:rsid w:val="00337436"/>
    <w:rsid w:val="00337464"/>
    <w:rsid w:val="003375E8"/>
    <w:rsid w:val="00337653"/>
    <w:rsid w:val="003376A7"/>
    <w:rsid w:val="003376DF"/>
    <w:rsid w:val="0033778F"/>
    <w:rsid w:val="00337853"/>
    <w:rsid w:val="003378BF"/>
    <w:rsid w:val="003378C6"/>
    <w:rsid w:val="003379D9"/>
    <w:rsid w:val="00337A4A"/>
    <w:rsid w:val="00337B25"/>
    <w:rsid w:val="00337C0A"/>
    <w:rsid w:val="00337C87"/>
    <w:rsid w:val="00337D01"/>
    <w:rsid w:val="00337E37"/>
    <w:rsid w:val="00337EDA"/>
    <w:rsid w:val="00337F35"/>
    <w:rsid w:val="00337F58"/>
    <w:rsid w:val="00337F89"/>
    <w:rsid w:val="003400FC"/>
    <w:rsid w:val="003401A0"/>
    <w:rsid w:val="003401C0"/>
    <w:rsid w:val="003402F4"/>
    <w:rsid w:val="00340312"/>
    <w:rsid w:val="0034035D"/>
    <w:rsid w:val="00340484"/>
    <w:rsid w:val="003404DA"/>
    <w:rsid w:val="00340570"/>
    <w:rsid w:val="003406D2"/>
    <w:rsid w:val="00340718"/>
    <w:rsid w:val="00340727"/>
    <w:rsid w:val="0034076A"/>
    <w:rsid w:val="00340880"/>
    <w:rsid w:val="003408EF"/>
    <w:rsid w:val="00340B8F"/>
    <w:rsid w:val="00340C22"/>
    <w:rsid w:val="00340C3B"/>
    <w:rsid w:val="00340CB0"/>
    <w:rsid w:val="00340D2B"/>
    <w:rsid w:val="00340DDF"/>
    <w:rsid w:val="00340E41"/>
    <w:rsid w:val="00340E9D"/>
    <w:rsid w:val="00340F49"/>
    <w:rsid w:val="00340F94"/>
    <w:rsid w:val="00341013"/>
    <w:rsid w:val="003410A1"/>
    <w:rsid w:val="003410B6"/>
    <w:rsid w:val="003410BB"/>
    <w:rsid w:val="00341122"/>
    <w:rsid w:val="003411E9"/>
    <w:rsid w:val="00341200"/>
    <w:rsid w:val="00341272"/>
    <w:rsid w:val="00341276"/>
    <w:rsid w:val="003413E6"/>
    <w:rsid w:val="0034141C"/>
    <w:rsid w:val="003414DD"/>
    <w:rsid w:val="003414E8"/>
    <w:rsid w:val="00341540"/>
    <w:rsid w:val="0034156F"/>
    <w:rsid w:val="00341579"/>
    <w:rsid w:val="00341646"/>
    <w:rsid w:val="00341661"/>
    <w:rsid w:val="00341668"/>
    <w:rsid w:val="00341687"/>
    <w:rsid w:val="003416CB"/>
    <w:rsid w:val="0034173A"/>
    <w:rsid w:val="0034179B"/>
    <w:rsid w:val="003417A8"/>
    <w:rsid w:val="0034186D"/>
    <w:rsid w:val="003418D1"/>
    <w:rsid w:val="0034196C"/>
    <w:rsid w:val="00341AD6"/>
    <w:rsid w:val="00341BB7"/>
    <w:rsid w:val="00341BC1"/>
    <w:rsid w:val="00341C3F"/>
    <w:rsid w:val="00341CD3"/>
    <w:rsid w:val="00341CD5"/>
    <w:rsid w:val="00341D3E"/>
    <w:rsid w:val="00341D5B"/>
    <w:rsid w:val="00341DDB"/>
    <w:rsid w:val="00341F1E"/>
    <w:rsid w:val="00341F70"/>
    <w:rsid w:val="003420B4"/>
    <w:rsid w:val="003420CB"/>
    <w:rsid w:val="00342142"/>
    <w:rsid w:val="00342250"/>
    <w:rsid w:val="00342273"/>
    <w:rsid w:val="0034258E"/>
    <w:rsid w:val="00342621"/>
    <w:rsid w:val="0034276A"/>
    <w:rsid w:val="003427F6"/>
    <w:rsid w:val="00342844"/>
    <w:rsid w:val="00342900"/>
    <w:rsid w:val="00342932"/>
    <w:rsid w:val="00342947"/>
    <w:rsid w:val="00342964"/>
    <w:rsid w:val="00342A17"/>
    <w:rsid w:val="00342AA7"/>
    <w:rsid w:val="00342AD1"/>
    <w:rsid w:val="00342BD9"/>
    <w:rsid w:val="00342C1A"/>
    <w:rsid w:val="00342C26"/>
    <w:rsid w:val="00342C68"/>
    <w:rsid w:val="00342C98"/>
    <w:rsid w:val="00342CEC"/>
    <w:rsid w:val="00342D88"/>
    <w:rsid w:val="00342DA5"/>
    <w:rsid w:val="00342DB6"/>
    <w:rsid w:val="00342DE8"/>
    <w:rsid w:val="00342DFC"/>
    <w:rsid w:val="00342ECE"/>
    <w:rsid w:val="00342ED4"/>
    <w:rsid w:val="00342FBD"/>
    <w:rsid w:val="0034301A"/>
    <w:rsid w:val="00343080"/>
    <w:rsid w:val="003431F7"/>
    <w:rsid w:val="00343238"/>
    <w:rsid w:val="003432A9"/>
    <w:rsid w:val="003432FF"/>
    <w:rsid w:val="00343396"/>
    <w:rsid w:val="003434D4"/>
    <w:rsid w:val="003435B6"/>
    <w:rsid w:val="00343623"/>
    <w:rsid w:val="00343686"/>
    <w:rsid w:val="00343699"/>
    <w:rsid w:val="003436A0"/>
    <w:rsid w:val="00343768"/>
    <w:rsid w:val="0034377A"/>
    <w:rsid w:val="0034378F"/>
    <w:rsid w:val="00343813"/>
    <w:rsid w:val="0034395E"/>
    <w:rsid w:val="00343A36"/>
    <w:rsid w:val="00343A8B"/>
    <w:rsid w:val="00343B02"/>
    <w:rsid w:val="00343B81"/>
    <w:rsid w:val="00343B95"/>
    <w:rsid w:val="00343CC1"/>
    <w:rsid w:val="00343D37"/>
    <w:rsid w:val="00343DD8"/>
    <w:rsid w:val="00343E04"/>
    <w:rsid w:val="00343E55"/>
    <w:rsid w:val="00343E7C"/>
    <w:rsid w:val="00343F41"/>
    <w:rsid w:val="00343F57"/>
    <w:rsid w:val="00343FB2"/>
    <w:rsid w:val="003440E3"/>
    <w:rsid w:val="00344199"/>
    <w:rsid w:val="003441A9"/>
    <w:rsid w:val="003441BD"/>
    <w:rsid w:val="00344204"/>
    <w:rsid w:val="00344210"/>
    <w:rsid w:val="0034427F"/>
    <w:rsid w:val="00344380"/>
    <w:rsid w:val="0034438B"/>
    <w:rsid w:val="00344512"/>
    <w:rsid w:val="00344549"/>
    <w:rsid w:val="00344580"/>
    <w:rsid w:val="00344613"/>
    <w:rsid w:val="003446C6"/>
    <w:rsid w:val="00344879"/>
    <w:rsid w:val="003449FF"/>
    <w:rsid w:val="00344A00"/>
    <w:rsid w:val="00344A2E"/>
    <w:rsid w:val="00344B30"/>
    <w:rsid w:val="00344B31"/>
    <w:rsid w:val="00344B39"/>
    <w:rsid w:val="00344B6A"/>
    <w:rsid w:val="00344B6F"/>
    <w:rsid w:val="00344BD7"/>
    <w:rsid w:val="00344C7D"/>
    <w:rsid w:val="00344CD7"/>
    <w:rsid w:val="00344CE8"/>
    <w:rsid w:val="00344DCA"/>
    <w:rsid w:val="00344EF3"/>
    <w:rsid w:val="00344F46"/>
    <w:rsid w:val="00344FA7"/>
    <w:rsid w:val="00344FB7"/>
    <w:rsid w:val="00344FBF"/>
    <w:rsid w:val="0034503D"/>
    <w:rsid w:val="0034507F"/>
    <w:rsid w:val="00345137"/>
    <w:rsid w:val="0034522A"/>
    <w:rsid w:val="003453B0"/>
    <w:rsid w:val="003453EF"/>
    <w:rsid w:val="0034540A"/>
    <w:rsid w:val="0034541D"/>
    <w:rsid w:val="00345486"/>
    <w:rsid w:val="00345547"/>
    <w:rsid w:val="0034557A"/>
    <w:rsid w:val="00345593"/>
    <w:rsid w:val="0034560F"/>
    <w:rsid w:val="00345658"/>
    <w:rsid w:val="00345784"/>
    <w:rsid w:val="003457A1"/>
    <w:rsid w:val="003457AB"/>
    <w:rsid w:val="00345B11"/>
    <w:rsid w:val="00345B7D"/>
    <w:rsid w:val="00345BBC"/>
    <w:rsid w:val="00345C95"/>
    <w:rsid w:val="00345D01"/>
    <w:rsid w:val="00345DC6"/>
    <w:rsid w:val="00345DE9"/>
    <w:rsid w:val="00345EF1"/>
    <w:rsid w:val="00345F33"/>
    <w:rsid w:val="003460A1"/>
    <w:rsid w:val="003460EF"/>
    <w:rsid w:val="0034615E"/>
    <w:rsid w:val="0034619A"/>
    <w:rsid w:val="00346379"/>
    <w:rsid w:val="0034645C"/>
    <w:rsid w:val="00346567"/>
    <w:rsid w:val="0034657C"/>
    <w:rsid w:val="003466CA"/>
    <w:rsid w:val="0034678E"/>
    <w:rsid w:val="003467AE"/>
    <w:rsid w:val="0034686D"/>
    <w:rsid w:val="0034687F"/>
    <w:rsid w:val="00346913"/>
    <w:rsid w:val="00346967"/>
    <w:rsid w:val="00346A2C"/>
    <w:rsid w:val="00346A51"/>
    <w:rsid w:val="00346A64"/>
    <w:rsid w:val="00346B20"/>
    <w:rsid w:val="00346B65"/>
    <w:rsid w:val="00346C92"/>
    <w:rsid w:val="00346DD0"/>
    <w:rsid w:val="00346E58"/>
    <w:rsid w:val="00346EA9"/>
    <w:rsid w:val="00346FC2"/>
    <w:rsid w:val="00346FE3"/>
    <w:rsid w:val="00347009"/>
    <w:rsid w:val="0034704C"/>
    <w:rsid w:val="003471FA"/>
    <w:rsid w:val="00347286"/>
    <w:rsid w:val="00347337"/>
    <w:rsid w:val="003473BF"/>
    <w:rsid w:val="0034740E"/>
    <w:rsid w:val="003474E2"/>
    <w:rsid w:val="00347541"/>
    <w:rsid w:val="00347624"/>
    <w:rsid w:val="0034762C"/>
    <w:rsid w:val="00347753"/>
    <w:rsid w:val="003477BF"/>
    <w:rsid w:val="00347801"/>
    <w:rsid w:val="003479D3"/>
    <w:rsid w:val="003479E2"/>
    <w:rsid w:val="00347A5C"/>
    <w:rsid w:val="00347B64"/>
    <w:rsid w:val="00347BA1"/>
    <w:rsid w:val="00347CCC"/>
    <w:rsid w:val="00347D55"/>
    <w:rsid w:val="00347E02"/>
    <w:rsid w:val="00347E36"/>
    <w:rsid w:val="00347E3D"/>
    <w:rsid w:val="00347E49"/>
    <w:rsid w:val="00347E70"/>
    <w:rsid w:val="00347FA0"/>
    <w:rsid w:val="00347FC4"/>
    <w:rsid w:val="00347FE0"/>
    <w:rsid w:val="0035000E"/>
    <w:rsid w:val="0035005F"/>
    <w:rsid w:val="00350093"/>
    <w:rsid w:val="00350151"/>
    <w:rsid w:val="00350222"/>
    <w:rsid w:val="0035028E"/>
    <w:rsid w:val="003502DA"/>
    <w:rsid w:val="003502DC"/>
    <w:rsid w:val="0035040E"/>
    <w:rsid w:val="0035042B"/>
    <w:rsid w:val="00350443"/>
    <w:rsid w:val="00350448"/>
    <w:rsid w:val="00350495"/>
    <w:rsid w:val="003505F3"/>
    <w:rsid w:val="0035062B"/>
    <w:rsid w:val="0035068E"/>
    <w:rsid w:val="003506ED"/>
    <w:rsid w:val="0035091E"/>
    <w:rsid w:val="003509C0"/>
    <w:rsid w:val="00350A36"/>
    <w:rsid w:val="00350A40"/>
    <w:rsid w:val="00350A6F"/>
    <w:rsid w:val="00350A7E"/>
    <w:rsid w:val="00350B90"/>
    <w:rsid w:val="00350BE8"/>
    <w:rsid w:val="00350C37"/>
    <w:rsid w:val="00350C3E"/>
    <w:rsid w:val="00350C75"/>
    <w:rsid w:val="00350CE4"/>
    <w:rsid w:val="00350CFB"/>
    <w:rsid w:val="00350D14"/>
    <w:rsid w:val="00350D17"/>
    <w:rsid w:val="00350D62"/>
    <w:rsid w:val="00350D6D"/>
    <w:rsid w:val="00350DDE"/>
    <w:rsid w:val="00350F86"/>
    <w:rsid w:val="00350FE1"/>
    <w:rsid w:val="003510A2"/>
    <w:rsid w:val="003510CD"/>
    <w:rsid w:val="003510CF"/>
    <w:rsid w:val="003510E0"/>
    <w:rsid w:val="00351132"/>
    <w:rsid w:val="0035114D"/>
    <w:rsid w:val="003511E8"/>
    <w:rsid w:val="003513ED"/>
    <w:rsid w:val="0035148E"/>
    <w:rsid w:val="0035159E"/>
    <w:rsid w:val="003515BA"/>
    <w:rsid w:val="003515C1"/>
    <w:rsid w:val="00351673"/>
    <w:rsid w:val="0035168C"/>
    <w:rsid w:val="0035170B"/>
    <w:rsid w:val="00351745"/>
    <w:rsid w:val="00351796"/>
    <w:rsid w:val="003517BD"/>
    <w:rsid w:val="00351860"/>
    <w:rsid w:val="003518D6"/>
    <w:rsid w:val="0035196C"/>
    <w:rsid w:val="003519BE"/>
    <w:rsid w:val="00351A02"/>
    <w:rsid w:val="00351A53"/>
    <w:rsid w:val="00351A90"/>
    <w:rsid w:val="00351ABE"/>
    <w:rsid w:val="00351AD6"/>
    <w:rsid w:val="00351B65"/>
    <w:rsid w:val="00351BB0"/>
    <w:rsid w:val="00351BB1"/>
    <w:rsid w:val="00351CDC"/>
    <w:rsid w:val="00351CFC"/>
    <w:rsid w:val="00351DE1"/>
    <w:rsid w:val="00351E07"/>
    <w:rsid w:val="00351E5D"/>
    <w:rsid w:val="00351EC5"/>
    <w:rsid w:val="00351F27"/>
    <w:rsid w:val="00351F62"/>
    <w:rsid w:val="00351FA1"/>
    <w:rsid w:val="00352128"/>
    <w:rsid w:val="00352135"/>
    <w:rsid w:val="00352157"/>
    <w:rsid w:val="0035218D"/>
    <w:rsid w:val="0035223C"/>
    <w:rsid w:val="00352283"/>
    <w:rsid w:val="00352285"/>
    <w:rsid w:val="0035228E"/>
    <w:rsid w:val="003522F8"/>
    <w:rsid w:val="003523A8"/>
    <w:rsid w:val="0035242E"/>
    <w:rsid w:val="00352553"/>
    <w:rsid w:val="00352601"/>
    <w:rsid w:val="00352604"/>
    <w:rsid w:val="00352775"/>
    <w:rsid w:val="0035277D"/>
    <w:rsid w:val="003527A9"/>
    <w:rsid w:val="003527AD"/>
    <w:rsid w:val="00352806"/>
    <w:rsid w:val="00352879"/>
    <w:rsid w:val="00352896"/>
    <w:rsid w:val="0035290B"/>
    <w:rsid w:val="00352A03"/>
    <w:rsid w:val="00352A4C"/>
    <w:rsid w:val="00352A50"/>
    <w:rsid w:val="00352A54"/>
    <w:rsid w:val="00352A9E"/>
    <w:rsid w:val="00352AB4"/>
    <w:rsid w:val="00352ABF"/>
    <w:rsid w:val="00352AEE"/>
    <w:rsid w:val="00352C00"/>
    <w:rsid w:val="00352C71"/>
    <w:rsid w:val="00352C75"/>
    <w:rsid w:val="00352CA2"/>
    <w:rsid w:val="00352CD6"/>
    <w:rsid w:val="00352D21"/>
    <w:rsid w:val="00352E13"/>
    <w:rsid w:val="00352E28"/>
    <w:rsid w:val="00352EAB"/>
    <w:rsid w:val="00352F2C"/>
    <w:rsid w:val="00352F94"/>
    <w:rsid w:val="00352FAB"/>
    <w:rsid w:val="00352FC9"/>
    <w:rsid w:val="00353010"/>
    <w:rsid w:val="00353101"/>
    <w:rsid w:val="0035311F"/>
    <w:rsid w:val="00353144"/>
    <w:rsid w:val="00353151"/>
    <w:rsid w:val="003532B2"/>
    <w:rsid w:val="00353460"/>
    <w:rsid w:val="0035348D"/>
    <w:rsid w:val="003534BD"/>
    <w:rsid w:val="003534F5"/>
    <w:rsid w:val="003534F6"/>
    <w:rsid w:val="00353555"/>
    <w:rsid w:val="00353575"/>
    <w:rsid w:val="003536F8"/>
    <w:rsid w:val="00353703"/>
    <w:rsid w:val="003537A8"/>
    <w:rsid w:val="003537BA"/>
    <w:rsid w:val="003538AA"/>
    <w:rsid w:val="0035391B"/>
    <w:rsid w:val="0035395F"/>
    <w:rsid w:val="003539CA"/>
    <w:rsid w:val="00353A4F"/>
    <w:rsid w:val="00353A96"/>
    <w:rsid w:val="00353ADB"/>
    <w:rsid w:val="00353AE8"/>
    <w:rsid w:val="00353AFA"/>
    <w:rsid w:val="00353B57"/>
    <w:rsid w:val="00353BD4"/>
    <w:rsid w:val="00353BDE"/>
    <w:rsid w:val="00353BDF"/>
    <w:rsid w:val="00353CFC"/>
    <w:rsid w:val="00353D09"/>
    <w:rsid w:val="00353D63"/>
    <w:rsid w:val="00353E9C"/>
    <w:rsid w:val="00353ED9"/>
    <w:rsid w:val="00353F07"/>
    <w:rsid w:val="00353F1D"/>
    <w:rsid w:val="00353F45"/>
    <w:rsid w:val="00353F9A"/>
    <w:rsid w:val="00353FDF"/>
    <w:rsid w:val="00354080"/>
    <w:rsid w:val="0035412D"/>
    <w:rsid w:val="003541AC"/>
    <w:rsid w:val="003542A2"/>
    <w:rsid w:val="00354380"/>
    <w:rsid w:val="0035445D"/>
    <w:rsid w:val="00354489"/>
    <w:rsid w:val="0035448E"/>
    <w:rsid w:val="003546A4"/>
    <w:rsid w:val="0035474E"/>
    <w:rsid w:val="0035475F"/>
    <w:rsid w:val="003547FF"/>
    <w:rsid w:val="00354946"/>
    <w:rsid w:val="00354AB8"/>
    <w:rsid w:val="00354AD6"/>
    <w:rsid w:val="00354B87"/>
    <w:rsid w:val="00354C3E"/>
    <w:rsid w:val="00354C59"/>
    <w:rsid w:val="00354C80"/>
    <w:rsid w:val="00354CB5"/>
    <w:rsid w:val="00354CFA"/>
    <w:rsid w:val="00354E45"/>
    <w:rsid w:val="00354E4F"/>
    <w:rsid w:val="00354E6B"/>
    <w:rsid w:val="0035502E"/>
    <w:rsid w:val="00355063"/>
    <w:rsid w:val="00355086"/>
    <w:rsid w:val="00355112"/>
    <w:rsid w:val="003551E3"/>
    <w:rsid w:val="0035520A"/>
    <w:rsid w:val="003552B4"/>
    <w:rsid w:val="00355346"/>
    <w:rsid w:val="00355368"/>
    <w:rsid w:val="003553AE"/>
    <w:rsid w:val="003553CE"/>
    <w:rsid w:val="003553F6"/>
    <w:rsid w:val="00355444"/>
    <w:rsid w:val="00355514"/>
    <w:rsid w:val="0035551C"/>
    <w:rsid w:val="0035553A"/>
    <w:rsid w:val="00355584"/>
    <w:rsid w:val="0035563D"/>
    <w:rsid w:val="00355699"/>
    <w:rsid w:val="003556E0"/>
    <w:rsid w:val="00355718"/>
    <w:rsid w:val="0035572A"/>
    <w:rsid w:val="00355893"/>
    <w:rsid w:val="00355986"/>
    <w:rsid w:val="003559D1"/>
    <w:rsid w:val="00355A9F"/>
    <w:rsid w:val="00355ADD"/>
    <w:rsid w:val="00355AE0"/>
    <w:rsid w:val="00355B12"/>
    <w:rsid w:val="00355B1B"/>
    <w:rsid w:val="00355BB8"/>
    <w:rsid w:val="00355BCF"/>
    <w:rsid w:val="00355BD5"/>
    <w:rsid w:val="00355BF2"/>
    <w:rsid w:val="00355C84"/>
    <w:rsid w:val="00355CA4"/>
    <w:rsid w:val="00355D19"/>
    <w:rsid w:val="00355D37"/>
    <w:rsid w:val="00355D40"/>
    <w:rsid w:val="00355DD2"/>
    <w:rsid w:val="00355F7B"/>
    <w:rsid w:val="00356086"/>
    <w:rsid w:val="00356267"/>
    <w:rsid w:val="00356310"/>
    <w:rsid w:val="00356424"/>
    <w:rsid w:val="00356489"/>
    <w:rsid w:val="003564CA"/>
    <w:rsid w:val="00356536"/>
    <w:rsid w:val="003565A5"/>
    <w:rsid w:val="003565C6"/>
    <w:rsid w:val="0035661B"/>
    <w:rsid w:val="003566F7"/>
    <w:rsid w:val="00356770"/>
    <w:rsid w:val="003567CA"/>
    <w:rsid w:val="00356A13"/>
    <w:rsid w:val="00356A31"/>
    <w:rsid w:val="00356AD3"/>
    <w:rsid w:val="00356B50"/>
    <w:rsid w:val="00356BC4"/>
    <w:rsid w:val="00356BF9"/>
    <w:rsid w:val="00356C1E"/>
    <w:rsid w:val="00356C79"/>
    <w:rsid w:val="00356D8C"/>
    <w:rsid w:val="00356DA2"/>
    <w:rsid w:val="00356DEE"/>
    <w:rsid w:val="00356E51"/>
    <w:rsid w:val="00356ED6"/>
    <w:rsid w:val="00356F00"/>
    <w:rsid w:val="00357016"/>
    <w:rsid w:val="0035703E"/>
    <w:rsid w:val="003570C8"/>
    <w:rsid w:val="0035710F"/>
    <w:rsid w:val="00357139"/>
    <w:rsid w:val="00357191"/>
    <w:rsid w:val="0035728D"/>
    <w:rsid w:val="003572DD"/>
    <w:rsid w:val="00357335"/>
    <w:rsid w:val="0035733D"/>
    <w:rsid w:val="0035737C"/>
    <w:rsid w:val="00357429"/>
    <w:rsid w:val="00357565"/>
    <w:rsid w:val="003576BE"/>
    <w:rsid w:val="003576CB"/>
    <w:rsid w:val="00357714"/>
    <w:rsid w:val="00357727"/>
    <w:rsid w:val="003577A0"/>
    <w:rsid w:val="003577E3"/>
    <w:rsid w:val="00357883"/>
    <w:rsid w:val="003578DB"/>
    <w:rsid w:val="00357932"/>
    <w:rsid w:val="00357A8A"/>
    <w:rsid w:val="00357BF2"/>
    <w:rsid w:val="00357CBB"/>
    <w:rsid w:val="00357CFD"/>
    <w:rsid w:val="00357D3C"/>
    <w:rsid w:val="00357DEA"/>
    <w:rsid w:val="00357ECD"/>
    <w:rsid w:val="00357EE1"/>
    <w:rsid w:val="00357F10"/>
    <w:rsid w:val="0036004E"/>
    <w:rsid w:val="003600F0"/>
    <w:rsid w:val="0036013A"/>
    <w:rsid w:val="00360225"/>
    <w:rsid w:val="0036023D"/>
    <w:rsid w:val="0036027A"/>
    <w:rsid w:val="0036028C"/>
    <w:rsid w:val="003602D9"/>
    <w:rsid w:val="0036035D"/>
    <w:rsid w:val="00360371"/>
    <w:rsid w:val="00360390"/>
    <w:rsid w:val="003604B4"/>
    <w:rsid w:val="003604BB"/>
    <w:rsid w:val="003604FA"/>
    <w:rsid w:val="00360506"/>
    <w:rsid w:val="003605F2"/>
    <w:rsid w:val="0036063A"/>
    <w:rsid w:val="00360658"/>
    <w:rsid w:val="003606C6"/>
    <w:rsid w:val="00360855"/>
    <w:rsid w:val="003609D2"/>
    <w:rsid w:val="003609E4"/>
    <w:rsid w:val="00360A14"/>
    <w:rsid w:val="00360AE9"/>
    <w:rsid w:val="00360B0C"/>
    <w:rsid w:val="00360B64"/>
    <w:rsid w:val="00360B86"/>
    <w:rsid w:val="00360C4B"/>
    <w:rsid w:val="00360D6A"/>
    <w:rsid w:val="00360DD7"/>
    <w:rsid w:val="00360E26"/>
    <w:rsid w:val="00360E79"/>
    <w:rsid w:val="00360F11"/>
    <w:rsid w:val="00360F34"/>
    <w:rsid w:val="00360FEB"/>
    <w:rsid w:val="0036101F"/>
    <w:rsid w:val="00361027"/>
    <w:rsid w:val="0036103D"/>
    <w:rsid w:val="00361185"/>
    <w:rsid w:val="003611CC"/>
    <w:rsid w:val="00361202"/>
    <w:rsid w:val="00361231"/>
    <w:rsid w:val="0036126E"/>
    <w:rsid w:val="00361274"/>
    <w:rsid w:val="0036129A"/>
    <w:rsid w:val="0036129F"/>
    <w:rsid w:val="003612B4"/>
    <w:rsid w:val="00361327"/>
    <w:rsid w:val="0036133F"/>
    <w:rsid w:val="00361428"/>
    <w:rsid w:val="00361470"/>
    <w:rsid w:val="0036150A"/>
    <w:rsid w:val="00361713"/>
    <w:rsid w:val="00361741"/>
    <w:rsid w:val="00361770"/>
    <w:rsid w:val="003617BE"/>
    <w:rsid w:val="003618E7"/>
    <w:rsid w:val="0036192A"/>
    <w:rsid w:val="00361942"/>
    <w:rsid w:val="003619BC"/>
    <w:rsid w:val="00361ADF"/>
    <w:rsid w:val="00361B42"/>
    <w:rsid w:val="00361BB0"/>
    <w:rsid w:val="00361C2E"/>
    <w:rsid w:val="00361C57"/>
    <w:rsid w:val="00361D14"/>
    <w:rsid w:val="00361E10"/>
    <w:rsid w:val="00361E48"/>
    <w:rsid w:val="00361ED6"/>
    <w:rsid w:val="00361FDC"/>
    <w:rsid w:val="00361FDD"/>
    <w:rsid w:val="00362026"/>
    <w:rsid w:val="003620B8"/>
    <w:rsid w:val="003622B0"/>
    <w:rsid w:val="00362332"/>
    <w:rsid w:val="00362346"/>
    <w:rsid w:val="00362385"/>
    <w:rsid w:val="003623A1"/>
    <w:rsid w:val="003623B1"/>
    <w:rsid w:val="003623EF"/>
    <w:rsid w:val="00362416"/>
    <w:rsid w:val="003624D7"/>
    <w:rsid w:val="003625DD"/>
    <w:rsid w:val="003625E0"/>
    <w:rsid w:val="0036272F"/>
    <w:rsid w:val="00362764"/>
    <w:rsid w:val="0036286E"/>
    <w:rsid w:val="003628DB"/>
    <w:rsid w:val="00362926"/>
    <w:rsid w:val="0036293E"/>
    <w:rsid w:val="0036297F"/>
    <w:rsid w:val="003629FA"/>
    <w:rsid w:val="00362AA7"/>
    <w:rsid w:val="00362B40"/>
    <w:rsid w:val="00362BA5"/>
    <w:rsid w:val="00362BEA"/>
    <w:rsid w:val="00362C76"/>
    <w:rsid w:val="00362CF0"/>
    <w:rsid w:val="00362DE6"/>
    <w:rsid w:val="00362E2B"/>
    <w:rsid w:val="00362E3C"/>
    <w:rsid w:val="00362EC6"/>
    <w:rsid w:val="00362ECA"/>
    <w:rsid w:val="00362ED6"/>
    <w:rsid w:val="00362F9A"/>
    <w:rsid w:val="00362FF2"/>
    <w:rsid w:val="0036305B"/>
    <w:rsid w:val="00363099"/>
    <w:rsid w:val="003630AF"/>
    <w:rsid w:val="003630B9"/>
    <w:rsid w:val="00363118"/>
    <w:rsid w:val="0036320D"/>
    <w:rsid w:val="0036323A"/>
    <w:rsid w:val="0036325C"/>
    <w:rsid w:val="0036325E"/>
    <w:rsid w:val="0036326E"/>
    <w:rsid w:val="003632C3"/>
    <w:rsid w:val="00363390"/>
    <w:rsid w:val="00363499"/>
    <w:rsid w:val="003634A1"/>
    <w:rsid w:val="0036350E"/>
    <w:rsid w:val="003635E7"/>
    <w:rsid w:val="00363639"/>
    <w:rsid w:val="0036364A"/>
    <w:rsid w:val="003636E5"/>
    <w:rsid w:val="003637A4"/>
    <w:rsid w:val="003637E5"/>
    <w:rsid w:val="00363977"/>
    <w:rsid w:val="003639FB"/>
    <w:rsid w:val="00363A3E"/>
    <w:rsid w:val="00363A9B"/>
    <w:rsid w:val="00363BC5"/>
    <w:rsid w:val="00363C72"/>
    <w:rsid w:val="00363CD4"/>
    <w:rsid w:val="00363DAD"/>
    <w:rsid w:val="00363DEC"/>
    <w:rsid w:val="00363E7A"/>
    <w:rsid w:val="00363F50"/>
    <w:rsid w:val="00363F70"/>
    <w:rsid w:val="00363F76"/>
    <w:rsid w:val="00363FA0"/>
    <w:rsid w:val="00363FB7"/>
    <w:rsid w:val="0036408D"/>
    <w:rsid w:val="0036408F"/>
    <w:rsid w:val="00364138"/>
    <w:rsid w:val="00364184"/>
    <w:rsid w:val="003641F3"/>
    <w:rsid w:val="0036421E"/>
    <w:rsid w:val="00364330"/>
    <w:rsid w:val="00364341"/>
    <w:rsid w:val="003643E7"/>
    <w:rsid w:val="0036456E"/>
    <w:rsid w:val="0036460A"/>
    <w:rsid w:val="003646C7"/>
    <w:rsid w:val="003647CF"/>
    <w:rsid w:val="003648A4"/>
    <w:rsid w:val="003648D7"/>
    <w:rsid w:val="00364AC5"/>
    <w:rsid w:val="00364ACD"/>
    <w:rsid w:val="00364B9C"/>
    <w:rsid w:val="00364BBC"/>
    <w:rsid w:val="00364C76"/>
    <w:rsid w:val="00364D11"/>
    <w:rsid w:val="00364D40"/>
    <w:rsid w:val="00364D59"/>
    <w:rsid w:val="00364E1F"/>
    <w:rsid w:val="00364E32"/>
    <w:rsid w:val="00364EB4"/>
    <w:rsid w:val="00364F10"/>
    <w:rsid w:val="00364F62"/>
    <w:rsid w:val="00364FCF"/>
    <w:rsid w:val="00365093"/>
    <w:rsid w:val="0036509F"/>
    <w:rsid w:val="003650BF"/>
    <w:rsid w:val="003650CF"/>
    <w:rsid w:val="00365152"/>
    <w:rsid w:val="003651F1"/>
    <w:rsid w:val="003652A1"/>
    <w:rsid w:val="0036535E"/>
    <w:rsid w:val="003653E0"/>
    <w:rsid w:val="0036540C"/>
    <w:rsid w:val="00365412"/>
    <w:rsid w:val="0036546A"/>
    <w:rsid w:val="003654B3"/>
    <w:rsid w:val="00365568"/>
    <w:rsid w:val="0036558D"/>
    <w:rsid w:val="003655C5"/>
    <w:rsid w:val="003655E6"/>
    <w:rsid w:val="003656C7"/>
    <w:rsid w:val="003657D0"/>
    <w:rsid w:val="00365947"/>
    <w:rsid w:val="003659BB"/>
    <w:rsid w:val="003659D0"/>
    <w:rsid w:val="00365A7B"/>
    <w:rsid w:val="00365AA5"/>
    <w:rsid w:val="00365BBD"/>
    <w:rsid w:val="00365C85"/>
    <w:rsid w:val="00365DA5"/>
    <w:rsid w:val="00365DD1"/>
    <w:rsid w:val="00365E16"/>
    <w:rsid w:val="00365F23"/>
    <w:rsid w:val="003661D5"/>
    <w:rsid w:val="003661E3"/>
    <w:rsid w:val="003662DB"/>
    <w:rsid w:val="003662E6"/>
    <w:rsid w:val="00366348"/>
    <w:rsid w:val="003664A3"/>
    <w:rsid w:val="003665C8"/>
    <w:rsid w:val="003665D4"/>
    <w:rsid w:val="003665E9"/>
    <w:rsid w:val="00366703"/>
    <w:rsid w:val="00366796"/>
    <w:rsid w:val="0036684D"/>
    <w:rsid w:val="0036685C"/>
    <w:rsid w:val="00366914"/>
    <w:rsid w:val="00366925"/>
    <w:rsid w:val="003669B2"/>
    <w:rsid w:val="00366AAA"/>
    <w:rsid w:val="00366AB9"/>
    <w:rsid w:val="00366AF0"/>
    <w:rsid w:val="00366B2D"/>
    <w:rsid w:val="00366B4E"/>
    <w:rsid w:val="00366C6E"/>
    <w:rsid w:val="00366CB3"/>
    <w:rsid w:val="00366D06"/>
    <w:rsid w:val="00366D32"/>
    <w:rsid w:val="00366E1F"/>
    <w:rsid w:val="00366F65"/>
    <w:rsid w:val="00366FA1"/>
    <w:rsid w:val="00367066"/>
    <w:rsid w:val="00367068"/>
    <w:rsid w:val="003670F3"/>
    <w:rsid w:val="003670F6"/>
    <w:rsid w:val="00367173"/>
    <w:rsid w:val="003672B0"/>
    <w:rsid w:val="003672EB"/>
    <w:rsid w:val="00367323"/>
    <w:rsid w:val="003673AE"/>
    <w:rsid w:val="00367446"/>
    <w:rsid w:val="0036747F"/>
    <w:rsid w:val="003674A7"/>
    <w:rsid w:val="00367662"/>
    <w:rsid w:val="0036777E"/>
    <w:rsid w:val="00367899"/>
    <w:rsid w:val="003678C4"/>
    <w:rsid w:val="003678D1"/>
    <w:rsid w:val="00367927"/>
    <w:rsid w:val="00367975"/>
    <w:rsid w:val="003679FB"/>
    <w:rsid w:val="00367A50"/>
    <w:rsid w:val="00367B36"/>
    <w:rsid w:val="00367B46"/>
    <w:rsid w:val="00367BDA"/>
    <w:rsid w:val="00367BFA"/>
    <w:rsid w:val="00367C12"/>
    <w:rsid w:val="00367C1A"/>
    <w:rsid w:val="00367D21"/>
    <w:rsid w:val="00367DCE"/>
    <w:rsid w:val="00367EBD"/>
    <w:rsid w:val="00367F75"/>
    <w:rsid w:val="00367F8F"/>
    <w:rsid w:val="00367FDF"/>
    <w:rsid w:val="00370063"/>
    <w:rsid w:val="003701C1"/>
    <w:rsid w:val="003701EB"/>
    <w:rsid w:val="00370236"/>
    <w:rsid w:val="00370268"/>
    <w:rsid w:val="00370289"/>
    <w:rsid w:val="0037029D"/>
    <w:rsid w:val="003702C6"/>
    <w:rsid w:val="00370324"/>
    <w:rsid w:val="0037035D"/>
    <w:rsid w:val="00370540"/>
    <w:rsid w:val="0037056F"/>
    <w:rsid w:val="003705B7"/>
    <w:rsid w:val="003705BF"/>
    <w:rsid w:val="003705D1"/>
    <w:rsid w:val="003705F3"/>
    <w:rsid w:val="00370634"/>
    <w:rsid w:val="003707F6"/>
    <w:rsid w:val="003708BF"/>
    <w:rsid w:val="00370908"/>
    <w:rsid w:val="00370969"/>
    <w:rsid w:val="00370A7B"/>
    <w:rsid w:val="00370BA7"/>
    <w:rsid w:val="00370C45"/>
    <w:rsid w:val="00370C4D"/>
    <w:rsid w:val="00370E7F"/>
    <w:rsid w:val="00370F1E"/>
    <w:rsid w:val="00370F6C"/>
    <w:rsid w:val="003711F6"/>
    <w:rsid w:val="00371480"/>
    <w:rsid w:val="0037163A"/>
    <w:rsid w:val="003716EB"/>
    <w:rsid w:val="00371710"/>
    <w:rsid w:val="003718A7"/>
    <w:rsid w:val="003718EC"/>
    <w:rsid w:val="00371940"/>
    <w:rsid w:val="00371999"/>
    <w:rsid w:val="003719B1"/>
    <w:rsid w:val="00371A1D"/>
    <w:rsid w:val="00371B01"/>
    <w:rsid w:val="00371B03"/>
    <w:rsid w:val="00371B66"/>
    <w:rsid w:val="00371B70"/>
    <w:rsid w:val="00371B9D"/>
    <w:rsid w:val="00371BA0"/>
    <w:rsid w:val="00371BC8"/>
    <w:rsid w:val="00371C25"/>
    <w:rsid w:val="00371D54"/>
    <w:rsid w:val="00371DEB"/>
    <w:rsid w:val="00371F03"/>
    <w:rsid w:val="00371F61"/>
    <w:rsid w:val="00371FA8"/>
    <w:rsid w:val="0037209D"/>
    <w:rsid w:val="003721E9"/>
    <w:rsid w:val="003722AD"/>
    <w:rsid w:val="003722EC"/>
    <w:rsid w:val="00372399"/>
    <w:rsid w:val="003723CC"/>
    <w:rsid w:val="00372472"/>
    <w:rsid w:val="003724CE"/>
    <w:rsid w:val="0037251B"/>
    <w:rsid w:val="0037259E"/>
    <w:rsid w:val="003725C4"/>
    <w:rsid w:val="003726FB"/>
    <w:rsid w:val="0037277B"/>
    <w:rsid w:val="00372825"/>
    <w:rsid w:val="00372932"/>
    <w:rsid w:val="0037294E"/>
    <w:rsid w:val="003729A4"/>
    <w:rsid w:val="00372A37"/>
    <w:rsid w:val="00372AFF"/>
    <w:rsid w:val="00372B13"/>
    <w:rsid w:val="00372B21"/>
    <w:rsid w:val="00372BC4"/>
    <w:rsid w:val="00372BC7"/>
    <w:rsid w:val="00372C6F"/>
    <w:rsid w:val="00372E24"/>
    <w:rsid w:val="00372E3E"/>
    <w:rsid w:val="00372ED3"/>
    <w:rsid w:val="00372F24"/>
    <w:rsid w:val="00372F5B"/>
    <w:rsid w:val="00372F92"/>
    <w:rsid w:val="00372FF3"/>
    <w:rsid w:val="00373061"/>
    <w:rsid w:val="0037309C"/>
    <w:rsid w:val="003730E6"/>
    <w:rsid w:val="00373102"/>
    <w:rsid w:val="0037311E"/>
    <w:rsid w:val="00373126"/>
    <w:rsid w:val="00373203"/>
    <w:rsid w:val="00373281"/>
    <w:rsid w:val="003732FF"/>
    <w:rsid w:val="00373319"/>
    <w:rsid w:val="00373331"/>
    <w:rsid w:val="0037338F"/>
    <w:rsid w:val="003734A6"/>
    <w:rsid w:val="003734E0"/>
    <w:rsid w:val="0037353B"/>
    <w:rsid w:val="003735C6"/>
    <w:rsid w:val="003735CD"/>
    <w:rsid w:val="0037360C"/>
    <w:rsid w:val="003736C2"/>
    <w:rsid w:val="00373709"/>
    <w:rsid w:val="00373794"/>
    <w:rsid w:val="003738A4"/>
    <w:rsid w:val="003739B1"/>
    <w:rsid w:val="003739BD"/>
    <w:rsid w:val="003739FE"/>
    <w:rsid w:val="00373A13"/>
    <w:rsid w:val="00373CB0"/>
    <w:rsid w:val="00373CFF"/>
    <w:rsid w:val="00373DE3"/>
    <w:rsid w:val="00373EF3"/>
    <w:rsid w:val="00373FE3"/>
    <w:rsid w:val="00374074"/>
    <w:rsid w:val="00374118"/>
    <w:rsid w:val="00374169"/>
    <w:rsid w:val="0037417C"/>
    <w:rsid w:val="0037418A"/>
    <w:rsid w:val="00374216"/>
    <w:rsid w:val="0037422A"/>
    <w:rsid w:val="00374252"/>
    <w:rsid w:val="0037426F"/>
    <w:rsid w:val="00374360"/>
    <w:rsid w:val="003743DB"/>
    <w:rsid w:val="0037447B"/>
    <w:rsid w:val="00374486"/>
    <w:rsid w:val="003744DF"/>
    <w:rsid w:val="0037457B"/>
    <w:rsid w:val="003745C1"/>
    <w:rsid w:val="003745F1"/>
    <w:rsid w:val="00374604"/>
    <w:rsid w:val="00374704"/>
    <w:rsid w:val="00374731"/>
    <w:rsid w:val="0037473B"/>
    <w:rsid w:val="0037473E"/>
    <w:rsid w:val="003747E7"/>
    <w:rsid w:val="00374802"/>
    <w:rsid w:val="003748C2"/>
    <w:rsid w:val="003748C6"/>
    <w:rsid w:val="0037493C"/>
    <w:rsid w:val="00374A37"/>
    <w:rsid w:val="00374A67"/>
    <w:rsid w:val="00374B5E"/>
    <w:rsid w:val="00374B7F"/>
    <w:rsid w:val="00374BB4"/>
    <w:rsid w:val="00374BCB"/>
    <w:rsid w:val="00374C09"/>
    <w:rsid w:val="00374DC8"/>
    <w:rsid w:val="00374F59"/>
    <w:rsid w:val="00374F5E"/>
    <w:rsid w:val="00374FF1"/>
    <w:rsid w:val="00374FFB"/>
    <w:rsid w:val="00375025"/>
    <w:rsid w:val="003750C4"/>
    <w:rsid w:val="00375129"/>
    <w:rsid w:val="0037513E"/>
    <w:rsid w:val="00375161"/>
    <w:rsid w:val="0037517E"/>
    <w:rsid w:val="00375185"/>
    <w:rsid w:val="003751B3"/>
    <w:rsid w:val="003751D7"/>
    <w:rsid w:val="00375274"/>
    <w:rsid w:val="0037530E"/>
    <w:rsid w:val="00375384"/>
    <w:rsid w:val="00375393"/>
    <w:rsid w:val="003753FB"/>
    <w:rsid w:val="00375403"/>
    <w:rsid w:val="00375474"/>
    <w:rsid w:val="0037549D"/>
    <w:rsid w:val="003754D7"/>
    <w:rsid w:val="003754F0"/>
    <w:rsid w:val="0037552B"/>
    <w:rsid w:val="00375540"/>
    <w:rsid w:val="00375567"/>
    <w:rsid w:val="003755E6"/>
    <w:rsid w:val="0037561A"/>
    <w:rsid w:val="00375626"/>
    <w:rsid w:val="003756F8"/>
    <w:rsid w:val="00375747"/>
    <w:rsid w:val="00375769"/>
    <w:rsid w:val="003757EB"/>
    <w:rsid w:val="00375886"/>
    <w:rsid w:val="0037597D"/>
    <w:rsid w:val="003759FE"/>
    <w:rsid w:val="00375A07"/>
    <w:rsid w:val="00375A67"/>
    <w:rsid w:val="00375B6C"/>
    <w:rsid w:val="00375B79"/>
    <w:rsid w:val="00375B87"/>
    <w:rsid w:val="00375BF7"/>
    <w:rsid w:val="00375CE1"/>
    <w:rsid w:val="00375DD0"/>
    <w:rsid w:val="00375E1C"/>
    <w:rsid w:val="00375E4C"/>
    <w:rsid w:val="00375ECD"/>
    <w:rsid w:val="00375F0D"/>
    <w:rsid w:val="00375F3B"/>
    <w:rsid w:val="00375F3D"/>
    <w:rsid w:val="00375F9A"/>
    <w:rsid w:val="00375FB8"/>
    <w:rsid w:val="00375FDA"/>
    <w:rsid w:val="003761FD"/>
    <w:rsid w:val="0037629F"/>
    <w:rsid w:val="003762A8"/>
    <w:rsid w:val="003762B1"/>
    <w:rsid w:val="003762D6"/>
    <w:rsid w:val="003762F8"/>
    <w:rsid w:val="003762F9"/>
    <w:rsid w:val="003763C0"/>
    <w:rsid w:val="003763C4"/>
    <w:rsid w:val="00376429"/>
    <w:rsid w:val="00376673"/>
    <w:rsid w:val="00376755"/>
    <w:rsid w:val="00376767"/>
    <w:rsid w:val="00376A7B"/>
    <w:rsid w:val="00376AE5"/>
    <w:rsid w:val="00376B61"/>
    <w:rsid w:val="00376CA9"/>
    <w:rsid w:val="00376CDD"/>
    <w:rsid w:val="00376D1C"/>
    <w:rsid w:val="00376DC7"/>
    <w:rsid w:val="00376EE9"/>
    <w:rsid w:val="00376EFE"/>
    <w:rsid w:val="00377078"/>
    <w:rsid w:val="0037709E"/>
    <w:rsid w:val="003770BC"/>
    <w:rsid w:val="003770ED"/>
    <w:rsid w:val="0037713A"/>
    <w:rsid w:val="0037721E"/>
    <w:rsid w:val="00377314"/>
    <w:rsid w:val="00377342"/>
    <w:rsid w:val="00377352"/>
    <w:rsid w:val="003773D8"/>
    <w:rsid w:val="00377470"/>
    <w:rsid w:val="003774B6"/>
    <w:rsid w:val="003775B3"/>
    <w:rsid w:val="0037765A"/>
    <w:rsid w:val="003776DD"/>
    <w:rsid w:val="00377719"/>
    <w:rsid w:val="0037776B"/>
    <w:rsid w:val="003777BB"/>
    <w:rsid w:val="003777E1"/>
    <w:rsid w:val="003778D8"/>
    <w:rsid w:val="00377959"/>
    <w:rsid w:val="00377A71"/>
    <w:rsid w:val="00377AB4"/>
    <w:rsid w:val="00377B50"/>
    <w:rsid w:val="00377BBD"/>
    <w:rsid w:val="00377C67"/>
    <w:rsid w:val="00377C93"/>
    <w:rsid w:val="00377CC6"/>
    <w:rsid w:val="00377D25"/>
    <w:rsid w:val="00377F86"/>
    <w:rsid w:val="00377FAA"/>
    <w:rsid w:val="00377FDA"/>
    <w:rsid w:val="00380050"/>
    <w:rsid w:val="00380053"/>
    <w:rsid w:val="0038010E"/>
    <w:rsid w:val="00380156"/>
    <w:rsid w:val="003802E7"/>
    <w:rsid w:val="00380399"/>
    <w:rsid w:val="00380502"/>
    <w:rsid w:val="00380547"/>
    <w:rsid w:val="00380572"/>
    <w:rsid w:val="0038065E"/>
    <w:rsid w:val="003807CA"/>
    <w:rsid w:val="00380836"/>
    <w:rsid w:val="0038083B"/>
    <w:rsid w:val="00380893"/>
    <w:rsid w:val="003808D4"/>
    <w:rsid w:val="00380928"/>
    <w:rsid w:val="0038096F"/>
    <w:rsid w:val="003809AD"/>
    <w:rsid w:val="003809C3"/>
    <w:rsid w:val="00380A23"/>
    <w:rsid w:val="00380A72"/>
    <w:rsid w:val="00380A73"/>
    <w:rsid w:val="00380A7B"/>
    <w:rsid w:val="00380AE5"/>
    <w:rsid w:val="00380C27"/>
    <w:rsid w:val="00380D60"/>
    <w:rsid w:val="00380D83"/>
    <w:rsid w:val="00380DDD"/>
    <w:rsid w:val="00380E7B"/>
    <w:rsid w:val="00380F22"/>
    <w:rsid w:val="00380FD3"/>
    <w:rsid w:val="003810D0"/>
    <w:rsid w:val="0038117C"/>
    <w:rsid w:val="00381249"/>
    <w:rsid w:val="003812A2"/>
    <w:rsid w:val="003812CC"/>
    <w:rsid w:val="00381360"/>
    <w:rsid w:val="0038138D"/>
    <w:rsid w:val="003813C9"/>
    <w:rsid w:val="00381408"/>
    <w:rsid w:val="003814F4"/>
    <w:rsid w:val="00381540"/>
    <w:rsid w:val="0038155C"/>
    <w:rsid w:val="0038158C"/>
    <w:rsid w:val="00381596"/>
    <w:rsid w:val="00381687"/>
    <w:rsid w:val="003816AC"/>
    <w:rsid w:val="003816C2"/>
    <w:rsid w:val="003816E8"/>
    <w:rsid w:val="00381708"/>
    <w:rsid w:val="0038175C"/>
    <w:rsid w:val="003818AD"/>
    <w:rsid w:val="003818C3"/>
    <w:rsid w:val="003818DA"/>
    <w:rsid w:val="003819BD"/>
    <w:rsid w:val="003819C3"/>
    <w:rsid w:val="003819D8"/>
    <w:rsid w:val="00381A12"/>
    <w:rsid w:val="00381A7B"/>
    <w:rsid w:val="00381AAD"/>
    <w:rsid w:val="00381B2A"/>
    <w:rsid w:val="00381B51"/>
    <w:rsid w:val="00381BA9"/>
    <w:rsid w:val="00381D41"/>
    <w:rsid w:val="00381DF3"/>
    <w:rsid w:val="00381E61"/>
    <w:rsid w:val="00381E84"/>
    <w:rsid w:val="00381EAD"/>
    <w:rsid w:val="00381F55"/>
    <w:rsid w:val="00382080"/>
    <w:rsid w:val="0038211A"/>
    <w:rsid w:val="003821B3"/>
    <w:rsid w:val="0038233D"/>
    <w:rsid w:val="00382360"/>
    <w:rsid w:val="00382474"/>
    <w:rsid w:val="00382494"/>
    <w:rsid w:val="003824E3"/>
    <w:rsid w:val="00382549"/>
    <w:rsid w:val="0038264C"/>
    <w:rsid w:val="00382736"/>
    <w:rsid w:val="00382760"/>
    <w:rsid w:val="0038278B"/>
    <w:rsid w:val="003827B2"/>
    <w:rsid w:val="0038288C"/>
    <w:rsid w:val="00382950"/>
    <w:rsid w:val="00382A3F"/>
    <w:rsid w:val="00382AFE"/>
    <w:rsid w:val="00382B00"/>
    <w:rsid w:val="00382B08"/>
    <w:rsid w:val="00382B79"/>
    <w:rsid w:val="00382C60"/>
    <w:rsid w:val="00382D08"/>
    <w:rsid w:val="00382DD2"/>
    <w:rsid w:val="00382DFC"/>
    <w:rsid w:val="00382E2E"/>
    <w:rsid w:val="00382EB8"/>
    <w:rsid w:val="0038300A"/>
    <w:rsid w:val="0038316A"/>
    <w:rsid w:val="003831BD"/>
    <w:rsid w:val="003831F9"/>
    <w:rsid w:val="0038325D"/>
    <w:rsid w:val="00383275"/>
    <w:rsid w:val="00383297"/>
    <w:rsid w:val="003832E1"/>
    <w:rsid w:val="00383342"/>
    <w:rsid w:val="0038334C"/>
    <w:rsid w:val="0038334D"/>
    <w:rsid w:val="003833AD"/>
    <w:rsid w:val="00383411"/>
    <w:rsid w:val="0038348C"/>
    <w:rsid w:val="0038356C"/>
    <w:rsid w:val="0038360D"/>
    <w:rsid w:val="00383622"/>
    <w:rsid w:val="0038371A"/>
    <w:rsid w:val="00383789"/>
    <w:rsid w:val="003837F8"/>
    <w:rsid w:val="003838C3"/>
    <w:rsid w:val="003838C8"/>
    <w:rsid w:val="003838F7"/>
    <w:rsid w:val="00383989"/>
    <w:rsid w:val="00383AA3"/>
    <w:rsid w:val="00383AF6"/>
    <w:rsid w:val="00383B6F"/>
    <w:rsid w:val="00383B79"/>
    <w:rsid w:val="00383B9F"/>
    <w:rsid w:val="00383CA0"/>
    <w:rsid w:val="00383CC4"/>
    <w:rsid w:val="00383D34"/>
    <w:rsid w:val="00383D49"/>
    <w:rsid w:val="00383D6D"/>
    <w:rsid w:val="00383E7E"/>
    <w:rsid w:val="00383E91"/>
    <w:rsid w:val="00383EDC"/>
    <w:rsid w:val="00383FAA"/>
    <w:rsid w:val="0038407D"/>
    <w:rsid w:val="003840A6"/>
    <w:rsid w:val="00384133"/>
    <w:rsid w:val="00384169"/>
    <w:rsid w:val="00384197"/>
    <w:rsid w:val="003841A6"/>
    <w:rsid w:val="003841EA"/>
    <w:rsid w:val="00384218"/>
    <w:rsid w:val="0038451E"/>
    <w:rsid w:val="0038452E"/>
    <w:rsid w:val="00384593"/>
    <w:rsid w:val="003845CD"/>
    <w:rsid w:val="00384644"/>
    <w:rsid w:val="00384648"/>
    <w:rsid w:val="003846BA"/>
    <w:rsid w:val="00384730"/>
    <w:rsid w:val="0038478A"/>
    <w:rsid w:val="00384813"/>
    <w:rsid w:val="0038487C"/>
    <w:rsid w:val="003848F5"/>
    <w:rsid w:val="00384A29"/>
    <w:rsid w:val="00384A75"/>
    <w:rsid w:val="00384AA0"/>
    <w:rsid w:val="00384B33"/>
    <w:rsid w:val="00384C06"/>
    <w:rsid w:val="00384C32"/>
    <w:rsid w:val="00384C3C"/>
    <w:rsid w:val="00384CD9"/>
    <w:rsid w:val="00384E49"/>
    <w:rsid w:val="00384EF9"/>
    <w:rsid w:val="00384F7C"/>
    <w:rsid w:val="00385002"/>
    <w:rsid w:val="0038505A"/>
    <w:rsid w:val="00385129"/>
    <w:rsid w:val="00385272"/>
    <w:rsid w:val="003852FB"/>
    <w:rsid w:val="00385308"/>
    <w:rsid w:val="0038533A"/>
    <w:rsid w:val="00385427"/>
    <w:rsid w:val="0038543B"/>
    <w:rsid w:val="00385458"/>
    <w:rsid w:val="003854DF"/>
    <w:rsid w:val="003854E5"/>
    <w:rsid w:val="003854FF"/>
    <w:rsid w:val="00385608"/>
    <w:rsid w:val="00385658"/>
    <w:rsid w:val="00385757"/>
    <w:rsid w:val="0038576A"/>
    <w:rsid w:val="003857D3"/>
    <w:rsid w:val="003857E2"/>
    <w:rsid w:val="00385812"/>
    <w:rsid w:val="00385817"/>
    <w:rsid w:val="00385834"/>
    <w:rsid w:val="003858A8"/>
    <w:rsid w:val="0038592D"/>
    <w:rsid w:val="003859B4"/>
    <w:rsid w:val="00385A89"/>
    <w:rsid w:val="00385AFE"/>
    <w:rsid w:val="00385BF3"/>
    <w:rsid w:val="00385BF6"/>
    <w:rsid w:val="00385C56"/>
    <w:rsid w:val="00385CD7"/>
    <w:rsid w:val="00385D11"/>
    <w:rsid w:val="00385D43"/>
    <w:rsid w:val="00385D75"/>
    <w:rsid w:val="00385E13"/>
    <w:rsid w:val="00385E67"/>
    <w:rsid w:val="00385E7D"/>
    <w:rsid w:val="00385F4D"/>
    <w:rsid w:val="00385F52"/>
    <w:rsid w:val="00385FEA"/>
    <w:rsid w:val="003861FD"/>
    <w:rsid w:val="0038623C"/>
    <w:rsid w:val="0038624C"/>
    <w:rsid w:val="003862AF"/>
    <w:rsid w:val="003862CD"/>
    <w:rsid w:val="003862DA"/>
    <w:rsid w:val="00386513"/>
    <w:rsid w:val="0038651B"/>
    <w:rsid w:val="00386607"/>
    <w:rsid w:val="00386646"/>
    <w:rsid w:val="00386651"/>
    <w:rsid w:val="00386671"/>
    <w:rsid w:val="00386699"/>
    <w:rsid w:val="0038672C"/>
    <w:rsid w:val="0038674A"/>
    <w:rsid w:val="00386A2C"/>
    <w:rsid w:val="00386A65"/>
    <w:rsid w:val="00386A96"/>
    <w:rsid w:val="00386A98"/>
    <w:rsid w:val="00386AC4"/>
    <w:rsid w:val="00386B30"/>
    <w:rsid w:val="00386B46"/>
    <w:rsid w:val="00386B4F"/>
    <w:rsid w:val="00386BEC"/>
    <w:rsid w:val="00386CAE"/>
    <w:rsid w:val="00386CE0"/>
    <w:rsid w:val="00386D4B"/>
    <w:rsid w:val="00386DDA"/>
    <w:rsid w:val="00386DFC"/>
    <w:rsid w:val="00386E23"/>
    <w:rsid w:val="00386E8E"/>
    <w:rsid w:val="003870C4"/>
    <w:rsid w:val="003870EC"/>
    <w:rsid w:val="0038710D"/>
    <w:rsid w:val="0038714C"/>
    <w:rsid w:val="0038718E"/>
    <w:rsid w:val="00387234"/>
    <w:rsid w:val="003872FF"/>
    <w:rsid w:val="0038746D"/>
    <w:rsid w:val="0038748C"/>
    <w:rsid w:val="003874DB"/>
    <w:rsid w:val="003874E1"/>
    <w:rsid w:val="00387553"/>
    <w:rsid w:val="00387697"/>
    <w:rsid w:val="0038769F"/>
    <w:rsid w:val="00387788"/>
    <w:rsid w:val="003879C2"/>
    <w:rsid w:val="00387A6F"/>
    <w:rsid w:val="00387A8D"/>
    <w:rsid w:val="00387B71"/>
    <w:rsid w:val="00387BD7"/>
    <w:rsid w:val="00387C30"/>
    <w:rsid w:val="00387C43"/>
    <w:rsid w:val="00387C8B"/>
    <w:rsid w:val="00387CA7"/>
    <w:rsid w:val="00387DF2"/>
    <w:rsid w:val="00387E82"/>
    <w:rsid w:val="00387F08"/>
    <w:rsid w:val="00387F13"/>
    <w:rsid w:val="00387F88"/>
    <w:rsid w:val="00390021"/>
    <w:rsid w:val="00390051"/>
    <w:rsid w:val="003900C4"/>
    <w:rsid w:val="00390112"/>
    <w:rsid w:val="00390192"/>
    <w:rsid w:val="00390242"/>
    <w:rsid w:val="00390420"/>
    <w:rsid w:val="0039043C"/>
    <w:rsid w:val="00390489"/>
    <w:rsid w:val="0039059E"/>
    <w:rsid w:val="003905DA"/>
    <w:rsid w:val="003906C9"/>
    <w:rsid w:val="0039075F"/>
    <w:rsid w:val="00390775"/>
    <w:rsid w:val="003908BF"/>
    <w:rsid w:val="003908DF"/>
    <w:rsid w:val="003908EA"/>
    <w:rsid w:val="0039091A"/>
    <w:rsid w:val="00390938"/>
    <w:rsid w:val="00390948"/>
    <w:rsid w:val="003909EB"/>
    <w:rsid w:val="003909FA"/>
    <w:rsid w:val="00390AFF"/>
    <w:rsid w:val="00390BC4"/>
    <w:rsid w:val="00390BD2"/>
    <w:rsid w:val="00390C3F"/>
    <w:rsid w:val="00390DAA"/>
    <w:rsid w:val="00390E0E"/>
    <w:rsid w:val="00390E20"/>
    <w:rsid w:val="00390E38"/>
    <w:rsid w:val="00390F08"/>
    <w:rsid w:val="00390F0A"/>
    <w:rsid w:val="00390FEF"/>
    <w:rsid w:val="00391002"/>
    <w:rsid w:val="0039101C"/>
    <w:rsid w:val="0039104B"/>
    <w:rsid w:val="0039106B"/>
    <w:rsid w:val="00391087"/>
    <w:rsid w:val="003910C7"/>
    <w:rsid w:val="003912F3"/>
    <w:rsid w:val="00391425"/>
    <w:rsid w:val="00391696"/>
    <w:rsid w:val="00391751"/>
    <w:rsid w:val="0039175D"/>
    <w:rsid w:val="003917A7"/>
    <w:rsid w:val="003917DE"/>
    <w:rsid w:val="00391874"/>
    <w:rsid w:val="003918DF"/>
    <w:rsid w:val="00391954"/>
    <w:rsid w:val="003919A3"/>
    <w:rsid w:val="00391A45"/>
    <w:rsid w:val="00391AA6"/>
    <w:rsid w:val="00391ACE"/>
    <w:rsid w:val="00391BBE"/>
    <w:rsid w:val="00391BE8"/>
    <w:rsid w:val="00391BF8"/>
    <w:rsid w:val="00391C78"/>
    <w:rsid w:val="00391C83"/>
    <w:rsid w:val="00391D57"/>
    <w:rsid w:val="00391D91"/>
    <w:rsid w:val="00391E5F"/>
    <w:rsid w:val="00391F3F"/>
    <w:rsid w:val="00391F45"/>
    <w:rsid w:val="00391F6E"/>
    <w:rsid w:val="0039200B"/>
    <w:rsid w:val="0039211B"/>
    <w:rsid w:val="0039217A"/>
    <w:rsid w:val="00392190"/>
    <w:rsid w:val="00392298"/>
    <w:rsid w:val="003923A2"/>
    <w:rsid w:val="003923EC"/>
    <w:rsid w:val="003923F4"/>
    <w:rsid w:val="0039244C"/>
    <w:rsid w:val="00392488"/>
    <w:rsid w:val="00392498"/>
    <w:rsid w:val="00392508"/>
    <w:rsid w:val="0039263A"/>
    <w:rsid w:val="00392641"/>
    <w:rsid w:val="0039267E"/>
    <w:rsid w:val="003926C5"/>
    <w:rsid w:val="003926EF"/>
    <w:rsid w:val="003928A3"/>
    <w:rsid w:val="00392998"/>
    <w:rsid w:val="00392A08"/>
    <w:rsid w:val="00392AC2"/>
    <w:rsid w:val="00392AFA"/>
    <w:rsid w:val="00392B99"/>
    <w:rsid w:val="00392BFE"/>
    <w:rsid w:val="00392CB9"/>
    <w:rsid w:val="00392D56"/>
    <w:rsid w:val="00392D97"/>
    <w:rsid w:val="00392E7B"/>
    <w:rsid w:val="00392F46"/>
    <w:rsid w:val="00392F82"/>
    <w:rsid w:val="00392F84"/>
    <w:rsid w:val="00392F88"/>
    <w:rsid w:val="00392FF4"/>
    <w:rsid w:val="00393062"/>
    <w:rsid w:val="00393144"/>
    <w:rsid w:val="003932AC"/>
    <w:rsid w:val="003932D0"/>
    <w:rsid w:val="00393360"/>
    <w:rsid w:val="003933E3"/>
    <w:rsid w:val="0039341C"/>
    <w:rsid w:val="00393505"/>
    <w:rsid w:val="00393511"/>
    <w:rsid w:val="00393529"/>
    <w:rsid w:val="0039353E"/>
    <w:rsid w:val="003935C1"/>
    <w:rsid w:val="0039361A"/>
    <w:rsid w:val="00393787"/>
    <w:rsid w:val="003937F4"/>
    <w:rsid w:val="003938AB"/>
    <w:rsid w:val="00393AD9"/>
    <w:rsid w:val="00393B9E"/>
    <w:rsid w:val="00393BE3"/>
    <w:rsid w:val="00393C59"/>
    <w:rsid w:val="00393CC0"/>
    <w:rsid w:val="00393CE0"/>
    <w:rsid w:val="00393D3A"/>
    <w:rsid w:val="00393D77"/>
    <w:rsid w:val="00393D7A"/>
    <w:rsid w:val="00393E0E"/>
    <w:rsid w:val="00393F2D"/>
    <w:rsid w:val="003940BA"/>
    <w:rsid w:val="0039410E"/>
    <w:rsid w:val="00394322"/>
    <w:rsid w:val="00394324"/>
    <w:rsid w:val="00394379"/>
    <w:rsid w:val="003943C3"/>
    <w:rsid w:val="003943EE"/>
    <w:rsid w:val="003944B0"/>
    <w:rsid w:val="00394526"/>
    <w:rsid w:val="0039458E"/>
    <w:rsid w:val="0039462E"/>
    <w:rsid w:val="0039466F"/>
    <w:rsid w:val="003946B6"/>
    <w:rsid w:val="0039473D"/>
    <w:rsid w:val="00394759"/>
    <w:rsid w:val="003947B6"/>
    <w:rsid w:val="003947D8"/>
    <w:rsid w:val="00394923"/>
    <w:rsid w:val="0039494E"/>
    <w:rsid w:val="00394A08"/>
    <w:rsid w:val="00394A10"/>
    <w:rsid w:val="00394A4A"/>
    <w:rsid w:val="00394A82"/>
    <w:rsid w:val="00394AC5"/>
    <w:rsid w:val="00394AD1"/>
    <w:rsid w:val="00394B14"/>
    <w:rsid w:val="00394B29"/>
    <w:rsid w:val="00394C9C"/>
    <w:rsid w:val="00394E38"/>
    <w:rsid w:val="00394E67"/>
    <w:rsid w:val="00394F30"/>
    <w:rsid w:val="00394FA2"/>
    <w:rsid w:val="00394FE9"/>
    <w:rsid w:val="003950A0"/>
    <w:rsid w:val="0039513F"/>
    <w:rsid w:val="00395163"/>
    <w:rsid w:val="00395171"/>
    <w:rsid w:val="003952CE"/>
    <w:rsid w:val="003953EE"/>
    <w:rsid w:val="003954B2"/>
    <w:rsid w:val="0039550C"/>
    <w:rsid w:val="00395549"/>
    <w:rsid w:val="0039569E"/>
    <w:rsid w:val="00395810"/>
    <w:rsid w:val="0039582E"/>
    <w:rsid w:val="00395836"/>
    <w:rsid w:val="0039588F"/>
    <w:rsid w:val="003958D6"/>
    <w:rsid w:val="00395927"/>
    <w:rsid w:val="003959D6"/>
    <w:rsid w:val="00395A14"/>
    <w:rsid w:val="00395B8D"/>
    <w:rsid w:val="00395BF1"/>
    <w:rsid w:val="00395CF7"/>
    <w:rsid w:val="00395D1D"/>
    <w:rsid w:val="00395E68"/>
    <w:rsid w:val="00395EE8"/>
    <w:rsid w:val="00395EF3"/>
    <w:rsid w:val="00395EF5"/>
    <w:rsid w:val="00395F5C"/>
    <w:rsid w:val="00395FCD"/>
    <w:rsid w:val="00396034"/>
    <w:rsid w:val="00396035"/>
    <w:rsid w:val="0039603E"/>
    <w:rsid w:val="003960AB"/>
    <w:rsid w:val="003961FE"/>
    <w:rsid w:val="00396239"/>
    <w:rsid w:val="00396416"/>
    <w:rsid w:val="00396472"/>
    <w:rsid w:val="0039647B"/>
    <w:rsid w:val="00396512"/>
    <w:rsid w:val="00396551"/>
    <w:rsid w:val="00396555"/>
    <w:rsid w:val="003965DB"/>
    <w:rsid w:val="003965F7"/>
    <w:rsid w:val="00396662"/>
    <w:rsid w:val="0039666C"/>
    <w:rsid w:val="00396699"/>
    <w:rsid w:val="00396797"/>
    <w:rsid w:val="0039680C"/>
    <w:rsid w:val="00396861"/>
    <w:rsid w:val="003968A6"/>
    <w:rsid w:val="003968B7"/>
    <w:rsid w:val="003968F7"/>
    <w:rsid w:val="00396995"/>
    <w:rsid w:val="003969B3"/>
    <w:rsid w:val="00396A13"/>
    <w:rsid w:val="00396A88"/>
    <w:rsid w:val="00396AF1"/>
    <w:rsid w:val="00396C00"/>
    <w:rsid w:val="00396C6C"/>
    <w:rsid w:val="00396DC1"/>
    <w:rsid w:val="00396DDA"/>
    <w:rsid w:val="00396DE0"/>
    <w:rsid w:val="00396DF6"/>
    <w:rsid w:val="00396FE0"/>
    <w:rsid w:val="003970A9"/>
    <w:rsid w:val="0039711F"/>
    <w:rsid w:val="00397144"/>
    <w:rsid w:val="00397210"/>
    <w:rsid w:val="00397364"/>
    <w:rsid w:val="003973EA"/>
    <w:rsid w:val="00397483"/>
    <w:rsid w:val="0039750E"/>
    <w:rsid w:val="003975AA"/>
    <w:rsid w:val="003975DF"/>
    <w:rsid w:val="003976C1"/>
    <w:rsid w:val="003976C6"/>
    <w:rsid w:val="00397911"/>
    <w:rsid w:val="0039794F"/>
    <w:rsid w:val="0039799F"/>
    <w:rsid w:val="003979C2"/>
    <w:rsid w:val="003979E1"/>
    <w:rsid w:val="003979E3"/>
    <w:rsid w:val="00397A55"/>
    <w:rsid w:val="00397B3B"/>
    <w:rsid w:val="00397C8C"/>
    <w:rsid w:val="00397CC4"/>
    <w:rsid w:val="00397DA3"/>
    <w:rsid w:val="00397EC7"/>
    <w:rsid w:val="00397EF3"/>
    <w:rsid w:val="003A005A"/>
    <w:rsid w:val="003A00FC"/>
    <w:rsid w:val="003A011D"/>
    <w:rsid w:val="003A018E"/>
    <w:rsid w:val="003A01B2"/>
    <w:rsid w:val="003A02DD"/>
    <w:rsid w:val="003A03BE"/>
    <w:rsid w:val="003A03D4"/>
    <w:rsid w:val="003A0427"/>
    <w:rsid w:val="003A0439"/>
    <w:rsid w:val="003A0599"/>
    <w:rsid w:val="003A05A8"/>
    <w:rsid w:val="003A05D6"/>
    <w:rsid w:val="003A0732"/>
    <w:rsid w:val="003A0814"/>
    <w:rsid w:val="003A0829"/>
    <w:rsid w:val="003A082C"/>
    <w:rsid w:val="003A08B3"/>
    <w:rsid w:val="003A0933"/>
    <w:rsid w:val="003A0998"/>
    <w:rsid w:val="003A0A07"/>
    <w:rsid w:val="003A0A3F"/>
    <w:rsid w:val="003A0A6A"/>
    <w:rsid w:val="003A0A9E"/>
    <w:rsid w:val="003A0B79"/>
    <w:rsid w:val="003A0BB4"/>
    <w:rsid w:val="003A0C09"/>
    <w:rsid w:val="003A0C54"/>
    <w:rsid w:val="003A0CB7"/>
    <w:rsid w:val="003A0CE3"/>
    <w:rsid w:val="003A0CEF"/>
    <w:rsid w:val="003A0D5E"/>
    <w:rsid w:val="003A0D68"/>
    <w:rsid w:val="003A11F3"/>
    <w:rsid w:val="003A13C7"/>
    <w:rsid w:val="003A1437"/>
    <w:rsid w:val="003A1463"/>
    <w:rsid w:val="003A14AE"/>
    <w:rsid w:val="003A1540"/>
    <w:rsid w:val="003A1569"/>
    <w:rsid w:val="003A16B9"/>
    <w:rsid w:val="003A1712"/>
    <w:rsid w:val="003A1724"/>
    <w:rsid w:val="003A17F0"/>
    <w:rsid w:val="003A1831"/>
    <w:rsid w:val="003A183E"/>
    <w:rsid w:val="003A1853"/>
    <w:rsid w:val="003A1954"/>
    <w:rsid w:val="003A19BC"/>
    <w:rsid w:val="003A1A92"/>
    <w:rsid w:val="003A1AB1"/>
    <w:rsid w:val="003A1BA8"/>
    <w:rsid w:val="003A1BB3"/>
    <w:rsid w:val="003A1CB2"/>
    <w:rsid w:val="003A1CBB"/>
    <w:rsid w:val="003A1D34"/>
    <w:rsid w:val="003A1D36"/>
    <w:rsid w:val="003A1D50"/>
    <w:rsid w:val="003A1E02"/>
    <w:rsid w:val="003A1E2D"/>
    <w:rsid w:val="003A1E41"/>
    <w:rsid w:val="003A1EB9"/>
    <w:rsid w:val="003A1FED"/>
    <w:rsid w:val="003A2026"/>
    <w:rsid w:val="003A203E"/>
    <w:rsid w:val="003A209D"/>
    <w:rsid w:val="003A211B"/>
    <w:rsid w:val="003A2121"/>
    <w:rsid w:val="003A2140"/>
    <w:rsid w:val="003A2160"/>
    <w:rsid w:val="003A21A5"/>
    <w:rsid w:val="003A227E"/>
    <w:rsid w:val="003A233C"/>
    <w:rsid w:val="003A2397"/>
    <w:rsid w:val="003A23C8"/>
    <w:rsid w:val="003A23F8"/>
    <w:rsid w:val="003A2485"/>
    <w:rsid w:val="003A2535"/>
    <w:rsid w:val="003A262A"/>
    <w:rsid w:val="003A26E6"/>
    <w:rsid w:val="003A26E7"/>
    <w:rsid w:val="003A2757"/>
    <w:rsid w:val="003A278F"/>
    <w:rsid w:val="003A27FC"/>
    <w:rsid w:val="003A2844"/>
    <w:rsid w:val="003A2857"/>
    <w:rsid w:val="003A28B1"/>
    <w:rsid w:val="003A28C7"/>
    <w:rsid w:val="003A28E3"/>
    <w:rsid w:val="003A2900"/>
    <w:rsid w:val="003A29ED"/>
    <w:rsid w:val="003A2A77"/>
    <w:rsid w:val="003A2B45"/>
    <w:rsid w:val="003A2B79"/>
    <w:rsid w:val="003A2BA7"/>
    <w:rsid w:val="003A2C14"/>
    <w:rsid w:val="003A2CE3"/>
    <w:rsid w:val="003A2D05"/>
    <w:rsid w:val="003A2D0B"/>
    <w:rsid w:val="003A2D26"/>
    <w:rsid w:val="003A2D51"/>
    <w:rsid w:val="003A2DC6"/>
    <w:rsid w:val="003A2E6C"/>
    <w:rsid w:val="003A2EA6"/>
    <w:rsid w:val="003A2F29"/>
    <w:rsid w:val="003A2FB9"/>
    <w:rsid w:val="003A3055"/>
    <w:rsid w:val="003A3069"/>
    <w:rsid w:val="003A312D"/>
    <w:rsid w:val="003A315D"/>
    <w:rsid w:val="003A3193"/>
    <w:rsid w:val="003A31D5"/>
    <w:rsid w:val="003A33F0"/>
    <w:rsid w:val="003A3438"/>
    <w:rsid w:val="003A3547"/>
    <w:rsid w:val="003A35B9"/>
    <w:rsid w:val="003A35EA"/>
    <w:rsid w:val="003A365A"/>
    <w:rsid w:val="003A36B2"/>
    <w:rsid w:val="003A36C9"/>
    <w:rsid w:val="003A3797"/>
    <w:rsid w:val="003A3809"/>
    <w:rsid w:val="003A38B0"/>
    <w:rsid w:val="003A38C1"/>
    <w:rsid w:val="003A3950"/>
    <w:rsid w:val="003A3969"/>
    <w:rsid w:val="003A398C"/>
    <w:rsid w:val="003A3A7B"/>
    <w:rsid w:val="003A3AB3"/>
    <w:rsid w:val="003A3E1E"/>
    <w:rsid w:val="003A3E2F"/>
    <w:rsid w:val="003A3E38"/>
    <w:rsid w:val="003A3F6D"/>
    <w:rsid w:val="003A3F91"/>
    <w:rsid w:val="003A3F92"/>
    <w:rsid w:val="003A4013"/>
    <w:rsid w:val="003A4017"/>
    <w:rsid w:val="003A407A"/>
    <w:rsid w:val="003A407D"/>
    <w:rsid w:val="003A4115"/>
    <w:rsid w:val="003A41F2"/>
    <w:rsid w:val="003A4231"/>
    <w:rsid w:val="003A4236"/>
    <w:rsid w:val="003A4296"/>
    <w:rsid w:val="003A42AD"/>
    <w:rsid w:val="003A434D"/>
    <w:rsid w:val="003A43CE"/>
    <w:rsid w:val="003A4405"/>
    <w:rsid w:val="003A4469"/>
    <w:rsid w:val="003A4489"/>
    <w:rsid w:val="003A454C"/>
    <w:rsid w:val="003A4576"/>
    <w:rsid w:val="003A4604"/>
    <w:rsid w:val="003A472C"/>
    <w:rsid w:val="003A474A"/>
    <w:rsid w:val="003A47E7"/>
    <w:rsid w:val="003A481F"/>
    <w:rsid w:val="003A482F"/>
    <w:rsid w:val="003A48D4"/>
    <w:rsid w:val="003A48F2"/>
    <w:rsid w:val="003A4AC4"/>
    <w:rsid w:val="003A4B5F"/>
    <w:rsid w:val="003A4CA3"/>
    <w:rsid w:val="003A4D19"/>
    <w:rsid w:val="003A4D41"/>
    <w:rsid w:val="003A4D98"/>
    <w:rsid w:val="003A4DB0"/>
    <w:rsid w:val="003A4F79"/>
    <w:rsid w:val="003A4FDC"/>
    <w:rsid w:val="003A4FF9"/>
    <w:rsid w:val="003A5046"/>
    <w:rsid w:val="003A5078"/>
    <w:rsid w:val="003A507D"/>
    <w:rsid w:val="003A5421"/>
    <w:rsid w:val="003A5507"/>
    <w:rsid w:val="003A557B"/>
    <w:rsid w:val="003A5592"/>
    <w:rsid w:val="003A55D8"/>
    <w:rsid w:val="003A55F9"/>
    <w:rsid w:val="003A55FD"/>
    <w:rsid w:val="003A5664"/>
    <w:rsid w:val="003A5686"/>
    <w:rsid w:val="003A5748"/>
    <w:rsid w:val="003A57B4"/>
    <w:rsid w:val="003A57F0"/>
    <w:rsid w:val="003A5982"/>
    <w:rsid w:val="003A5A0D"/>
    <w:rsid w:val="003A5A63"/>
    <w:rsid w:val="003A5A73"/>
    <w:rsid w:val="003A5BBC"/>
    <w:rsid w:val="003A5BD7"/>
    <w:rsid w:val="003A5C16"/>
    <w:rsid w:val="003A5C44"/>
    <w:rsid w:val="003A5C64"/>
    <w:rsid w:val="003A5CC0"/>
    <w:rsid w:val="003A5D08"/>
    <w:rsid w:val="003A5D3B"/>
    <w:rsid w:val="003A5D92"/>
    <w:rsid w:val="003A5DED"/>
    <w:rsid w:val="003A5F34"/>
    <w:rsid w:val="003A5F46"/>
    <w:rsid w:val="003A5F8E"/>
    <w:rsid w:val="003A5FC1"/>
    <w:rsid w:val="003A6039"/>
    <w:rsid w:val="003A618A"/>
    <w:rsid w:val="003A61B0"/>
    <w:rsid w:val="003A6250"/>
    <w:rsid w:val="003A6254"/>
    <w:rsid w:val="003A62AE"/>
    <w:rsid w:val="003A62B5"/>
    <w:rsid w:val="003A62DB"/>
    <w:rsid w:val="003A648E"/>
    <w:rsid w:val="003A64BC"/>
    <w:rsid w:val="003A64D9"/>
    <w:rsid w:val="003A650F"/>
    <w:rsid w:val="003A6540"/>
    <w:rsid w:val="003A65B0"/>
    <w:rsid w:val="003A6627"/>
    <w:rsid w:val="003A6656"/>
    <w:rsid w:val="003A666A"/>
    <w:rsid w:val="003A6679"/>
    <w:rsid w:val="003A687C"/>
    <w:rsid w:val="003A69D3"/>
    <w:rsid w:val="003A6B07"/>
    <w:rsid w:val="003A6B50"/>
    <w:rsid w:val="003A6C10"/>
    <w:rsid w:val="003A6C59"/>
    <w:rsid w:val="003A6E2A"/>
    <w:rsid w:val="003A6E46"/>
    <w:rsid w:val="003A6E50"/>
    <w:rsid w:val="003A6EDE"/>
    <w:rsid w:val="003A6EE7"/>
    <w:rsid w:val="003A6F3D"/>
    <w:rsid w:val="003A6F70"/>
    <w:rsid w:val="003A70DC"/>
    <w:rsid w:val="003A7187"/>
    <w:rsid w:val="003A71D7"/>
    <w:rsid w:val="003A72BA"/>
    <w:rsid w:val="003A72D1"/>
    <w:rsid w:val="003A7306"/>
    <w:rsid w:val="003A7384"/>
    <w:rsid w:val="003A7389"/>
    <w:rsid w:val="003A74B6"/>
    <w:rsid w:val="003A74E8"/>
    <w:rsid w:val="003A756D"/>
    <w:rsid w:val="003A759B"/>
    <w:rsid w:val="003A764F"/>
    <w:rsid w:val="003A768D"/>
    <w:rsid w:val="003A76E5"/>
    <w:rsid w:val="003A7743"/>
    <w:rsid w:val="003A7795"/>
    <w:rsid w:val="003A787A"/>
    <w:rsid w:val="003A78A7"/>
    <w:rsid w:val="003A79AC"/>
    <w:rsid w:val="003A7B17"/>
    <w:rsid w:val="003A7B9F"/>
    <w:rsid w:val="003A7BDE"/>
    <w:rsid w:val="003A7C04"/>
    <w:rsid w:val="003A7CBC"/>
    <w:rsid w:val="003A7D11"/>
    <w:rsid w:val="003A7D31"/>
    <w:rsid w:val="003A7D95"/>
    <w:rsid w:val="003A7E02"/>
    <w:rsid w:val="003A7E68"/>
    <w:rsid w:val="003A7F74"/>
    <w:rsid w:val="003A7F90"/>
    <w:rsid w:val="003A7FE4"/>
    <w:rsid w:val="003A7FF6"/>
    <w:rsid w:val="003AC6B1"/>
    <w:rsid w:val="003B0069"/>
    <w:rsid w:val="003B00C6"/>
    <w:rsid w:val="003B013E"/>
    <w:rsid w:val="003B01AC"/>
    <w:rsid w:val="003B01F4"/>
    <w:rsid w:val="003B0222"/>
    <w:rsid w:val="003B0235"/>
    <w:rsid w:val="003B02D5"/>
    <w:rsid w:val="003B031A"/>
    <w:rsid w:val="003B033D"/>
    <w:rsid w:val="003B047C"/>
    <w:rsid w:val="003B049E"/>
    <w:rsid w:val="003B04C2"/>
    <w:rsid w:val="003B0562"/>
    <w:rsid w:val="003B05F8"/>
    <w:rsid w:val="003B061A"/>
    <w:rsid w:val="003B063A"/>
    <w:rsid w:val="003B063C"/>
    <w:rsid w:val="003B0645"/>
    <w:rsid w:val="003B0646"/>
    <w:rsid w:val="003B0710"/>
    <w:rsid w:val="003B0769"/>
    <w:rsid w:val="003B08DF"/>
    <w:rsid w:val="003B09BA"/>
    <w:rsid w:val="003B0A07"/>
    <w:rsid w:val="003B0B2F"/>
    <w:rsid w:val="003B0B6A"/>
    <w:rsid w:val="003B0B7F"/>
    <w:rsid w:val="003B0D48"/>
    <w:rsid w:val="003B0DAB"/>
    <w:rsid w:val="003B0EBE"/>
    <w:rsid w:val="003B0F20"/>
    <w:rsid w:val="003B1096"/>
    <w:rsid w:val="003B11FF"/>
    <w:rsid w:val="003B1236"/>
    <w:rsid w:val="003B1250"/>
    <w:rsid w:val="003B128A"/>
    <w:rsid w:val="003B12F8"/>
    <w:rsid w:val="003B134F"/>
    <w:rsid w:val="003B137A"/>
    <w:rsid w:val="003B137E"/>
    <w:rsid w:val="003B1384"/>
    <w:rsid w:val="003B1477"/>
    <w:rsid w:val="003B14B9"/>
    <w:rsid w:val="003B14C1"/>
    <w:rsid w:val="003B153B"/>
    <w:rsid w:val="003B1568"/>
    <w:rsid w:val="003B1591"/>
    <w:rsid w:val="003B15A3"/>
    <w:rsid w:val="003B1629"/>
    <w:rsid w:val="003B16A6"/>
    <w:rsid w:val="003B177B"/>
    <w:rsid w:val="003B17B5"/>
    <w:rsid w:val="003B17ED"/>
    <w:rsid w:val="003B18A7"/>
    <w:rsid w:val="003B1929"/>
    <w:rsid w:val="003B1A1C"/>
    <w:rsid w:val="003B1A24"/>
    <w:rsid w:val="003B1A4C"/>
    <w:rsid w:val="003B1AEA"/>
    <w:rsid w:val="003B1B65"/>
    <w:rsid w:val="003B1BCA"/>
    <w:rsid w:val="003B1CD1"/>
    <w:rsid w:val="003B1D0B"/>
    <w:rsid w:val="003B1D31"/>
    <w:rsid w:val="003B1D7C"/>
    <w:rsid w:val="003B1E67"/>
    <w:rsid w:val="003B1E6E"/>
    <w:rsid w:val="003B1FE9"/>
    <w:rsid w:val="003B1FF0"/>
    <w:rsid w:val="003B200D"/>
    <w:rsid w:val="003B211A"/>
    <w:rsid w:val="003B2184"/>
    <w:rsid w:val="003B218B"/>
    <w:rsid w:val="003B21D5"/>
    <w:rsid w:val="003B21D9"/>
    <w:rsid w:val="003B21EB"/>
    <w:rsid w:val="003B22CF"/>
    <w:rsid w:val="003B2344"/>
    <w:rsid w:val="003B2477"/>
    <w:rsid w:val="003B2940"/>
    <w:rsid w:val="003B2AD6"/>
    <w:rsid w:val="003B2B0D"/>
    <w:rsid w:val="003B2BCA"/>
    <w:rsid w:val="003B2C46"/>
    <w:rsid w:val="003B2CD6"/>
    <w:rsid w:val="003B2D1E"/>
    <w:rsid w:val="003B2D24"/>
    <w:rsid w:val="003B2DC2"/>
    <w:rsid w:val="003B2DF8"/>
    <w:rsid w:val="003B2E32"/>
    <w:rsid w:val="003B2EB3"/>
    <w:rsid w:val="003B2F93"/>
    <w:rsid w:val="003B2FB0"/>
    <w:rsid w:val="003B3079"/>
    <w:rsid w:val="003B30BA"/>
    <w:rsid w:val="003B30BB"/>
    <w:rsid w:val="003B30D6"/>
    <w:rsid w:val="003B31B0"/>
    <w:rsid w:val="003B3305"/>
    <w:rsid w:val="003B3311"/>
    <w:rsid w:val="003B334B"/>
    <w:rsid w:val="003B3399"/>
    <w:rsid w:val="003B3443"/>
    <w:rsid w:val="003B3449"/>
    <w:rsid w:val="003B344F"/>
    <w:rsid w:val="003B34C8"/>
    <w:rsid w:val="003B367D"/>
    <w:rsid w:val="003B36F9"/>
    <w:rsid w:val="003B3790"/>
    <w:rsid w:val="003B3A1E"/>
    <w:rsid w:val="003B3BE2"/>
    <w:rsid w:val="003B3C9D"/>
    <w:rsid w:val="003B3CE8"/>
    <w:rsid w:val="003B3D8B"/>
    <w:rsid w:val="003B3DD0"/>
    <w:rsid w:val="003B3DF5"/>
    <w:rsid w:val="003B3E16"/>
    <w:rsid w:val="003B3E3D"/>
    <w:rsid w:val="003B3E3F"/>
    <w:rsid w:val="003B3E6D"/>
    <w:rsid w:val="003B3E8D"/>
    <w:rsid w:val="003B3EBA"/>
    <w:rsid w:val="003B3EC4"/>
    <w:rsid w:val="003B3FF1"/>
    <w:rsid w:val="003B4127"/>
    <w:rsid w:val="003B416B"/>
    <w:rsid w:val="003B423B"/>
    <w:rsid w:val="003B4247"/>
    <w:rsid w:val="003B4289"/>
    <w:rsid w:val="003B428D"/>
    <w:rsid w:val="003B42D0"/>
    <w:rsid w:val="003B4308"/>
    <w:rsid w:val="003B43C5"/>
    <w:rsid w:val="003B4468"/>
    <w:rsid w:val="003B452C"/>
    <w:rsid w:val="003B455E"/>
    <w:rsid w:val="003B4580"/>
    <w:rsid w:val="003B45AA"/>
    <w:rsid w:val="003B45F3"/>
    <w:rsid w:val="003B4612"/>
    <w:rsid w:val="003B47C6"/>
    <w:rsid w:val="003B4807"/>
    <w:rsid w:val="003B48BB"/>
    <w:rsid w:val="003B48E5"/>
    <w:rsid w:val="003B490A"/>
    <w:rsid w:val="003B497F"/>
    <w:rsid w:val="003B4A9D"/>
    <w:rsid w:val="003B4B37"/>
    <w:rsid w:val="003B4BD1"/>
    <w:rsid w:val="003B4BDB"/>
    <w:rsid w:val="003B4BF7"/>
    <w:rsid w:val="003B4C0D"/>
    <w:rsid w:val="003B4C3E"/>
    <w:rsid w:val="003B4CAD"/>
    <w:rsid w:val="003B4CB6"/>
    <w:rsid w:val="003B4D68"/>
    <w:rsid w:val="003B4E5E"/>
    <w:rsid w:val="003B4F7E"/>
    <w:rsid w:val="003B4FAC"/>
    <w:rsid w:val="003B4FC8"/>
    <w:rsid w:val="003B4FF6"/>
    <w:rsid w:val="003B5033"/>
    <w:rsid w:val="003B50B3"/>
    <w:rsid w:val="003B52AD"/>
    <w:rsid w:val="003B52D1"/>
    <w:rsid w:val="003B5300"/>
    <w:rsid w:val="003B534B"/>
    <w:rsid w:val="003B536C"/>
    <w:rsid w:val="003B5408"/>
    <w:rsid w:val="003B5427"/>
    <w:rsid w:val="003B54C4"/>
    <w:rsid w:val="003B5618"/>
    <w:rsid w:val="003B5747"/>
    <w:rsid w:val="003B57F1"/>
    <w:rsid w:val="003B57FA"/>
    <w:rsid w:val="003B5879"/>
    <w:rsid w:val="003B58A1"/>
    <w:rsid w:val="003B5994"/>
    <w:rsid w:val="003B5A14"/>
    <w:rsid w:val="003B5C02"/>
    <w:rsid w:val="003B5CA1"/>
    <w:rsid w:val="003B5D34"/>
    <w:rsid w:val="003B5F6E"/>
    <w:rsid w:val="003B5F8E"/>
    <w:rsid w:val="003B5FAC"/>
    <w:rsid w:val="003B602C"/>
    <w:rsid w:val="003B604A"/>
    <w:rsid w:val="003B60AB"/>
    <w:rsid w:val="003B60BA"/>
    <w:rsid w:val="003B61BB"/>
    <w:rsid w:val="003B61C7"/>
    <w:rsid w:val="003B6224"/>
    <w:rsid w:val="003B6245"/>
    <w:rsid w:val="003B62B0"/>
    <w:rsid w:val="003B63E4"/>
    <w:rsid w:val="003B6437"/>
    <w:rsid w:val="003B6477"/>
    <w:rsid w:val="003B6791"/>
    <w:rsid w:val="003B68BB"/>
    <w:rsid w:val="003B6953"/>
    <w:rsid w:val="003B69D8"/>
    <w:rsid w:val="003B6A0E"/>
    <w:rsid w:val="003B6A86"/>
    <w:rsid w:val="003B6AF1"/>
    <w:rsid w:val="003B6B04"/>
    <w:rsid w:val="003B6B12"/>
    <w:rsid w:val="003B6B18"/>
    <w:rsid w:val="003B6B6C"/>
    <w:rsid w:val="003B6B75"/>
    <w:rsid w:val="003B6C50"/>
    <w:rsid w:val="003B6C59"/>
    <w:rsid w:val="003B6C5A"/>
    <w:rsid w:val="003B6CAD"/>
    <w:rsid w:val="003B6D07"/>
    <w:rsid w:val="003B6D81"/>
    <w:rsid w:val="003B6D93"/>
    <w:rsid w:val="003B6DA7"/>
    <w:rsid w:val="003B6E81"/>
    <w:rsid w:val="003B6EB2"/>
    <w:rsid w:val="003B6EF0"/>
    <w:rsid w:val="003B6F47"/>
    <w:rsid w:val="003B6F73"/>
    <w:rsid w:val="003B6FAD"/>
    <w:rsid w:val="003B6FD1"/>
    <w:rsid w:val="003B708E"/>
    <w:rsid w:val="003B70E4"/>
    <w:rsid w:val="003B7107"/>
    <w:rsid w:val="003B7115"/>
    <w:rsid w:val="003B7120"/>
    <w:rsid w:val="003B728B"/>
    <w:rsid w:val="003B7311"/>
    <w:rsid w:val="003B7405"/>
    <w:rsid w:val="003B742E"/>
    <w:rsid w:val="003B7498"/>
    <w:rsid w:val="003B74F9"/>
    <w:rsid w:val="003B7549"/>
    <w:rsid w:val="003B759D"/>
    <w:rsid w:val="003B75A9"/>
    <w:rsid w:val="003B75B2"/>
    <w:rsid w:val="003B7660"/>
    <w:rsid w:val="003B779C"/>
    <w:rsid w:val="003B77B5"/>
    <w:rsid w:val="003B78EE"/>
    <w:rsid w:val="003B79F6"/>
    <w:rsid w:val="003B79FB"/>
    <w:rsid w:val="003B7A63"/>
    <w:rsid w:val="003B7ACA"/>
    <w:rsid w:val="003B7AF6"/>
    <w:rsid w:val="003B7AF7"/>
    <w:rsid w:val="003B7AFE"/>
    <w:rsid w:val="003B7B03"/>
    <w:rsid w:val="003B7B3D"/>
    <w:rsid w:val="003B7B66"/>
    <w:rsid w:val="003B7B67"/>
    <w:rsid w:val="003B7B9E"/>
    <w:rsid w:val="003B7C7B"/>
    <w:rsid w:val="003B7D10"/>
    <w:rsid w:val="003B7D72"/>
    <w:rsid w:val="003B7DC7"/>
    <w:rsid w:val="003B7E45"/>
    <w:rsid w:val="003B7FB3"/>
    <w:rsid w:val="003B7FBA"/>
    <w:rsid w:val="003B7FED"/>
    <w:rsid w:val="003C0004"/>
    <w:rsid w:val="003C006A"/>
    <w:rsid w:val="003C007C"/>
    <w:rsid w:val="003C00A8"/>
    <w:rsid w:val="003C0197"/>
    <w:rsid w:val="003C0248"/>
    <w:rsid w:val="003C0289"/>
    <w:rsid w:val="003C02A5"/>
    <w:rsid w:val="003C0390"/>
    <w:rsid w:val="003C03BD"/>
    <w:rsid w:val="003C03DB"/>
    <w:rsid w:val="003C049F"/>
    <w:rsid w:val="003C0556"/>
    <w:rsid w:val="003C060D"/>
    <w:rsid w:val="003C0610"/>
    <w:rsid w:val="003C061E"/>
    <w:rsid w:val="003C0657"/>
    <w:rsid w:val="003C070C"/>
    <w:rsid w:val="003C071D"/>
    <w:rsid w:val="003C07A3"/>
    <w:rsid w:val="003C07DB"/>
    <w:rsid w:val="003C0841"/>
    <w:rsid w:val="003C0940"/>
    <w:rsid w:val="003C0961"/>
    <w:rsid w:val="003C0A77"/>
    <w:rsid w:val="003C0A98"/>
    <w:rsid w:val="003C0B98"/>
    <w:rsid w:val="003C0CA2"/>
    <w:rsid w:val="003C0D0E"/>
    <w:rsid w:val="003C0DA3"/>
    <w:rsid w:val="003C0EFC"/>
    <w:rsid w:val="003C0F62"/>
    <w:rsid w:val="003C0F84"/>
    <w:rsid w:val="003C0F90"/>
    <w:rsid w:val="003C1040"/>
    <w:rsid w:val="003C106B"/>
    <w:rsid w:val="003C10D4"/>
    <w:rsid w:val="003C1141"/>
    <w:rsid w:val="003C1224"/>
    <w:rsid w:val="003C12D4"/>
    <w:rsid w:val="003C130B"/>
    <w:rsid w:val="003C13AC"/>
    <w:rsid w:val="003C14B5"/>
    <w:rsid w:val="003C14B7"/>
    <w:rsid w:val="003C1547"/>
    <w:rsid w:val="003C1576"/>
    <w:rsid w:val="003C15D2"/>
    <w:rsid w:val="003C161F"/>
    <w:rsid w:val="003C16ED"/>
    <w:rsid w:val="003C1718"/>
    <w:rsid w:val="003C1726"/>
    <w:rsid w:val="003C18FB"/>
    <w:rsid w:val="003C194A"/>
    <w:rsid w:val="003C19FB"/>
    <w:rsid w:val="003C1AFD"/>
    <w:rsid w:val="003C1B52"/>
    <w:rsid w:val="003C1B92"/>
    <w:rsid w:val="003C1BD4"/>
    <w:rsid w:val="003C1BE1"/>
    <w:rsid w:val="003C1C33"/>
    <w:rsid w:val="003C1DF9"/>
    <w:rsid w:val="003C1E89"/>
    <w:rsid w:val="003C1E91"/>
    <w:rsid w:val="003C1EC8"/>
    <w:rsid w:val="003C1F14"/>
    <w:rsid w:val="003C1FD2"/>
    <w:rsid w:val="003C1FD5"/>
    <w:rsid w:val="003C1FF0"/>
    <w:rsid w:val="003C2049"/>
    <w:rsid w:val="003C20C5"/>
    <w:rsid w:val="003C20DA"/>
    <w:rsid w:val="003C2366"/>
    <w:rsid w:val="003C23F1"/>
    <w:rsid w:val="003C242F"/>
    <w:rsid w:val="003C24B4"/>
    <w:rsid w:val="003C250D"/>
    <w:rsid w:val="003C2581"/>
    <w:rsid w:val="003C25F9"/>
    <w:rsid w:val="003C2644"/>
    <w:rsid w:val="003C2703"/>
    <w:rsid w:val="003C2711"/>
    <w:rsid w:val="003C2725"/>
    <w:rsid w:val="003C2730"/>
    <w:rsid w:val="003C27C7"/>
    <w:rsid w:val="003C27E2"/>
    <w:rsid w:val="003C288C"/>
    <w:rsid w:val="003C2891"/>
    <w:rsid w:val="003C28D7"/>
    <w:rsid w:val="003C28EA"/>
    <w:rsid w:val="003C2A3F"/>
    <w:rsid w:val="003C2A7B"/>
    <w:rsid w:val="003C2A95"/>
    <w:rsid w:val="003C2A98"/>
    <w:rsid w:val="003C2AA5"/>
    <w:rsid w:val="003C2AB6"/>
    <w:rsid w:val="003C2B28"/>
    <w:rsid w:val="003C2B34"/>
    <w:rsid w:val="003C2B4F"/>
    <w:rsid w:val="003C2B81"/>
    <w:rsid w:val="003C2CC7"/>
    <w:rsid w:val="003C2D25"/>
    <w:rsid w:val="003C2D75"/>
    <w:rsid w:val="003C2DB4"/>
    <w:rsid w:val="003C2DBD"/>
    <w:rsid w:val="003C2E79"/>
    <w:rsid w:val="003C2EA3"/>
    <w:rsid w:val="003C2EB4"/>
    <w:rsid w:val="003C2EF9"/>
    <w:rsid w:val="003C2FD9"/>
    <w:rsid w:val="003C3024"/>
    <w:rsid w:val="003C3082"/>
    <w:rsid w:val="003C313D"/>
    <w:rsid w:val="003C3189"/>
    <w:rsid w:val="003C3193"/>
    <w:rsid w:val="003C31E6"/>
    <w:rsid w:val="003C3250"/>
    <w:rsid w:val="003C326A"/>
    <w:rsid w:val="003C328F"/>
    <w:rsid w:val="003C32C1"/>
    <w:rsid w:val="003C32E9"/>
    <w:rsid w:val="003C3400"/>
    <w:rsid w:val="003C34A1"/>
    <w:rsid w:val="003C34B7"/>
    <w:rsid w:val="003C35A5"/>
    <w:rsid w:val="003C3670"/>
    <w:rsid w:val="003C36A3"/>
    <w:rsid w:val="003C3750"/>
    <w:rsid w:val="003C37FC"/>
    <w:rsid w:val="003C3971"/>
    <w:rsid w:val="003C397D"/>
    <w:rsid w:val="003C39A7"/>
    <w:rsid w:val="003C3A25"/>
    <w:rsid w:val="003C3AC7"/>
    <w:rsid w:val="003C3AD8"/>
    <w:rsid w:val="003C3B11"/>
    <w:rsid w:val="003C3B36"/>
    <w:rsid w:val="003C3BEC"/>
    <w:rsid w:val="003C3CA4"/>
    <w:rsid w:val="003C3CDD"/>
    <w:rsid w:val="003C3D9A"/>
    <w:rsid w:val="003C3DC7"/>
    <w:rsid w:val="003C3DEF"/>
    <w:rsid w:val="003C3E08"/>
    <w:rsid w:val="003C3E21"/>
    <w:rsid w:val="003C3E4E"/>
    <w:rsid w:val="003C3F16"/>
    <w:rsid w:val="003C3F5D"/>
    <w:rsid w:val="003C3FAC"/>
    <w:rsid w:val="003C4001"/>
    <w:rsid w:val="003C405E"/>
    <w:rsid w:val="003C40A6"/>
    <w:rsid w:val="003C4118"/>
    <w:rsid w:val="003C414A"/>
    <w:rsid w:val="003C41C7"/>
    <w:rsid w:val="003C42B0"/>
    <w:rsid w:val="003C42B2"/>
    <w:rsid w:val="003C4314"/>
    <w:rsid w:val="003C431B"/>
    <w:rsid w:val="003C432F"/>
    <w:rsid w:val="003C4367"/>
    <w:rsid w:val="003C438F"/>
    <w:rsid w:val="003C43A9"/>
    <w:rsid w:val="003C43B8"/>
    <w:rsid w:val="003C4407"/>
    <w:rsid w:val="003C44C2"/>
    <w:rsid w:val="003C44F0"/>
    <w:rsid w:val="003C456F"/>
    <w:rsid w:val="003C45E4"/>
    <w:rsid w:val="003C45FA"/>
    <w:rsid w:val="003C4694"/>
    <w:rsid w:val="003C4727"/>
    <w:rsid w:val="003C491C"/>
    <w:rsid w:val="003C4928"/>
    <w:rsid w:val="003C494A"/>
    <w:rsid w:val="003C49D5"/>
    <w:rsid w:val="003C4A2A"/>
    <w:rsid w:val="003C4BA6"/>
    <w:rsid w:val="003C4BC5"/>
    <w:rsid w:val="003C4BF0"/>
    <w:rsid w:val="003C4C42"/>
    <w:rsid w:val="003C4D7B"/>
    <w:rsid w:val="003C4E36"/>
    <w:rsid w:val="003C4FA0"/>
    <w:rsid w:val="003C4FFC"/>
    <w:rsid w:val="003C5028"/>
    <w:rsid w:val="003C502B"/>
    <w:rsid w:val="003C509B"/>
    <w:rsid w:val="003C5166"/>
    <w:rsid w:val="003C5178"/>
    <w:rsid w:val="003C51FA"/>
    <w:rsid w:val="003C5212"/>
    <w:rsid w:val="003C521B"/>
    <w:rsid w:val="003C5392"/>
    <w:rsid w:val="003C53CE"/>
    <w:rsid w:val="003C542A"/>
    <w:rsid w:val="003C5439"/>
    <w:rsid w:val="003C5497"/>
    <w:rsid w:val="003C557D"/>
    <w:rsid w:val="003C55E3"/>
    <w:rsid w:val="003C563E"/>
    <w:rsid w:val="003C56DA"/>
    <w:rsid w:val="003C5945"/>
    <w:rsid w:val="003C59BC"/>
    <w:rsid w:val="003C59D6"/>
    <w:rsid w:val="003C5B58"/>
    <w:rsid w:val="003C5B9D"/>
    <w:rsid w:val="003C5BD8"/>
    <w:rsid w:val="003C5BE6"/>
    <w:rsid w:val="003C5CA6"/>
    <w:rsid w:val="003C5CB5"/>
    <w:rsid w:val="003C5D1A"/>
    <w:rsid w:val="003C5D78"/>
    <w:rsid w:val="003C5E56"/>
    <w:rsid w:val="003C5EEA"/>
    <w:rsid w:val="003C5EFB"/>
    <w:rsid w:val="003C5F70"/>
    <w:rsid w:val="003C5F7A"/>
    <w:rsid w:val="003C6091"/>
    <w:rsid w:val="003C60A8"/>
    <w:rsid w:val="003C60D5"/>
    <w:rsid w:val="003C61C8"/>
    <w:rsid w:val="003C62A5"/>
    <w:rsid w:val="003C62BF"/>
    <w:rsid w:val="003C62FB"/>
    <w:rsid w:val="003C6318"/>
    <w:rsid w:val="003C6377"/>
    <w:rsid w:val="003C6388"/>
    <w:rsid w:val="003C63F7"/>
    <w:rsid w:val="003C65CA"/>
    <w:rsid w:val="003C663C"/>
    <w:rsid w:val="003C6677"/>
    <w:rsid w:val="003C67F2"/>
    <w:rsid w:val="003C68B5"/>
    <w:rsid w:val="003C6A3E"/>
    <w:rsid w:val="003C6B0E"/>
    <w:rsid w:val="003C6BC2"/>
    <w:rsid w:val="003C6C2D"/>
    <w:rsid w:val="003C6C6C"/>
    <w:rsid w:val="003C6CB1"/>
    <w:rsid w:val="003C6CB5"/>
    <w:rsid w:val="003C6DB5"/>
    <w:rsid w:val="003C6E02"/>
    <w:rsid w:val="003C6E98"/>
    <w:rsid w:val="003C6EF6"/>
    <w:rsid w:val="003C6F8C"/>
    <w:rsid w:val="003C6FBF"/>
    <w:rsid w:val="003C6FF5"/>
    <w:rsid w:val="003C709E"/>
    <w:rsid w:val="003C71F2"/>
    <w:rsid w:val="003C7208"/>
    <w:rsid w:val="003C7225"/>
    <w:rsid w:val="003C725D"/>
    <w:rsid w:val="003C72F4"/>
    <w:rsid w:val="003C7305"/>
    <w:rsid w:val="003C7462"/>
    <w:rsid w:val="003C74B5"/>
    <w:rsid w:val="003C74C9"/>
    <w:rsid w:val="003C7515"/>
    <w:rsid w:val="003C751C"/>
    <w:rsid w:val="003C755E"/>
    <w:rsid w:val="003C761F"/>
    <w:rsid w:val="003C76E5"/>
    <w:rsid w:val="003C76F8"/>
    <w:rsid w:val="003C7761"/>
    <w:rsid w:val="003C777B"/>
    <w:rsid w:val="003C7854"/>
    <w:rsid w:val="003C78C4"/>
    <w:rsid w:val="003C78D4"/>
    <w:rsid w:val="003C79C1"/>
    <w:rsid w:val="003C7A29"/>
    <w:rsid w:val="003C7A34"/>
    <w:rsid w:val="003C7A4E"/>
    <w:rsid w:val="003C7A81"/>
    <w:rsid w:val="003C7ABA"/>
    <w:rsid w:val="003C7AC1"/>
    <w:rsid w:val="003C7C64"/>
    <w:rsid w:val="003C7C6E"/>
    <w:rsid w:val="003C7CDC"/>
    <w:rsid w:val="003C7D2F"/>
    <w:rsid w:val="003C7DAD"/>
    <w:rsid w:val="003C7E34"/>
    <w:rsid w:val="003C7E60"/>
    <w:rsid w:val="003C7E89"/>
    <w:rsid w:val="003C7FB7"/>
    <w:rsid w:val="003C7FC8"/>
    <w:rsid w:val="003C7FD4"/>
    <w:rsid w:val="003D0011"/>
    <w:rsid w:val="003D001E"/>
    <w:rsid w:val="003D0082"/>
    <w:rsid w:val="003D02BB"/>
    <w:rsid w:val="003D02DA"/>
    <w:rsid w:val="003D0418"/>
    <w:rsid w:val="003D0476"/>
    <w:rsid w:val="003D0559"/>
    <w:rsid w:val="003D05FC"/>
    <w:rsid w:val="003D087C"/>
    <w:rsid w:val="003D08B0"/>
    <w:rsid w:val="003D090A"/>
    <w:rsid w:val="003D0993"/>
    <w:rsid w:val="003D0A04"/>
    <w:rsid w:val="003D0A1E"/>
    <w:rsid w:val="003D0A20"/>
    <w:rsid w:val="003D0B0C"/>
    <w:rsid w:val="003D0B56"/>
    <w:rsid w:val="003D0C1F"/>
    <w:rsid w:val="003D0C48"/>
    <w:rsid w:val="003D0C90"/>
    <w:rsid w:val="003D0CF7"/>
    <w:rsid w:val="003D0D34"/>
    <w:rsid w:val="003D0D7E"/>
    <w:rsid w:val="003D0DBE"/>
    <w:rsid w:val="003D0DE1"/>
    <w:rsid w:val="003D0E40"/>
    <w:rsid w:val="003D0E84"/>
    <w:rsid w:val="003D0EAA"/>
    <w:rsid w:val="003D0F54"/>
    <w:rsid w:val="003D0F7E"/>
    <w:rsid w:val="003D0FA3"/>
    <w:rsid w:val="003D1134"/>
    <w:rsid w:val="003D11ED"/>
    <w:rsid w:val="003D1247"/>
    <w:rsid w:val="003D1250"/>
    <w:rsid w:val="003D1277"/>
    <w:rsid w:val="003D1308"/>
    <w:rsid w:val="003D1314"/>
    <w:rsid w:val="003D1467"/>
    <w:rsid w:val="003D148F"/>
    <w:rsid w:val="003D14DA"/>
    <w:rsid w:val="003D155B"/>
    <w:rsid w:val="003D15E3"/>
    <w:rsid w:val="003D1642"/>
    <w:rsid w:val="003D171E"/>
    <w:rsid w:val="003D1814"/>
    <w:rsid w:val="003D1840"/>
    <w:rsid w:val="003D18DD"/>
    <w:rsid w:val="003D1923"/>
    <w:rsid w:val="003D196C"/>
    <w:rsid w:val="003D1993"/>
    <w:rsid w:val="003D1A2C"/>
    <w:rsid w:val="003D1A55"/>
    <w:rsid w:val="003D1A62"/>
    <w:rsid w:val="003D1B4B"/>
    <w:rsid w:val="003D1B5B"/>
    <w:rsid w:val="003D1B64"/>
    <w:rsid w:val="003D1B9B"/>
    <w:rsid w:val="003D1BC3"/>
    <w:rsid w:val="003D1BE1"/>
    <w:rsid w:val="003D1CE7"/>
    <w:rsid w:val="003D1D96"/>
    <w:rsid w:val="003D1ECA"/>
    <w:rsid w:val="003D1F37"/>
    <w:rsid w:val="003D1FD8"/>
    <w:rsid w:val="003D1FFE"/>
    <w:rsid w:val="003D20BA"/>
    <w:rsid w:val="003D219F"/>
    <w:rsid w:val="003D21EA"/>
    <w:rsid w:val="003D2228"/>
    <w:rsid w:val="003D22B5"/>
    <w:rsid w:val="003D2332"/>
    <w:rsid w:val="003D238D"/>
    <w:rsid w:val="003D2446"/>
    <w:rsid w:val="003D25B0"/>
    <w:rsid w:val="003D261F"/>
    <w:rsid w:val="003D2649"/>
    <w:rsid w:val="003D2694"/>
    <w:rsid w:val="003D26D0"/>
    <w:rsid w:val="003D2778"/>
    <w:rsid w:val="003D2782"/>
    <w:rsid w:val="003D28A9"/>
    <w:rsid w:val="003D28DB"/>
    <w:rsid w:val="003D29D8"/>
    <w:rsid w:val="003D2A60"/>
    <w:rsid w:val="003D2AD8"/>
    <w:rsid w:val="003D2ADA"/>
    <w:rsid w:val="003D2C3A"/>
    <w:rsid w:val="003D2C42"/>
    <w:rsid w:val="003D2D38"/>
    <w:rsid w:val="003D2DA6"/>
    <w:rsid w:val="003D2E00"/>
    <w:rsid w:val="003D2F1E"/>
    <w:rsid w:val="003D2F9E"/>
    <w:rsid w:val="003D2F9F"/>
    <w:rsid w:val="003D30A9"/>
    <w:rsid w:val="003D30DC"/>
    <w:rsid w:val="003D318F"/>
    <w:rsid w:val="003D321E"/>
    <w:rsid w:val="003D3240"/>
    <w:rsid w:val="003D3252"/>
    <w:rsid w:val="003D3267"/>
    <w:rsid w:val="003D33E6"/>
    <w:rsid w:val="003D33F4"/>
    <w:rsid w:val="003D34D6"/>
    <w:rsid w:val="003D350F"/>
    <w:rsid w:val="003D3682"/>
    <w:rsid w:val="003D36B0"/>
    <w:rsid w:val="003D36F8"/>
    <w:rsid w:val="003D37AA"/>
    <w:rsid w:val="003D37BD"/>
    <w:rsid w:val="003D380E"/>
    <w:rsid w:val="003D39D2"/>
    <w:rsid w:val="003D3A9E"/>
    <w:rsid w:val="003D3B43"/>
    <w:rsid w:val="003D3BFD"/>
    <w:rsid w:val="003D3C12"/>
    <w:rsid w:val="003D3C1A"/>
    <w:rsid w:val="003D3C2B"/>
    <w:rsid w:val="003D3CD6"/>
    <w:rsid w:val="003D3E0C"/>
    <w:rsid w:val="003D3E19"/>
    <w:rsid w:val="003D3ECA"/>
    <w:rsid w:val="003D3F12"/>
    <w:rsid w:val="003D3FF3"/>
    <w:rsid w:val="003D401E"/>
    <w:rsid w:val="003D4098"/>
    <w:rsid w:val="003D417F"/>
    <w:rsid w:val="003D4232"/>
    <w:rsid w:val="003D4293"/>
    <w:rsid w:val="003D42BD"/>
    <w:rsid w:val="003D4308"/>
    <w:rsid w:val="003D4478"/>
    <w:rsid w:val="003D448D"/>
    <w:rsid w:val="003D4528"/>
    <w:rsid w:val="003D45EB"/>
    <w:rsid w:val="003D471D"/>
    <w:rsid w:val="003D4727"/>
    <w:rsid w:val="003D4747"/>
    <w:rsid w:val="003D47E9"/>
    <w:rsid w:val="003D480D"/>
    <w:rsid w:val="003D4844"/>
    <w:rsid w:val="003D4903"/>
    <w:rsid w:val="003D4AD9"/>
    <w:rsid w:val="003D4B75"/>
    <w:rsid w:val="003D4CA2"/>
    <w:rsid w:val="003D4D64"/>
    <w:rsid w:val="003D4E2F"/>
    <w:rsid w:val="003D4E7E"/>
    <w:rsid w:val="003D4EB3"/>
    <w:rsid w:val="003D4F32"/>
    <w:rsid w:val="003D4FDA"/>
    <w:rsid w:val="003D5153"/>
    <w:rsid w:val="003D5170"/>
    <w:rsid w:val="003D5179"/>
    <w:rsid w:val="003D5282"/>
    <w:rsid w:val="003D52DC"/>
    <w:rsid w:val="003D53D6"/>
    <w:rsid w:val="003D54B4"/>
    <w:rsid w:val="003D54E6"/>
    <w:rsid w:val="003D5506"/>
    <w:rsid w:val="003D555A"/>
    <w:rsid w:val="003D55AF"/>
    <w:rsid w:val="003D5613"/>
    <w:rsid w:val="003D5779"/>
    <w:rsid w:val="003D57CD"/>
    <w:rsid w:val="003D5825"/>
    <w:rsid w:val="003D58A0"/>
    <w:rsid w:val="003D58E1"/>
    <w:rsid w:val="003D5900"/>
    <w:rsid w:val="003D5944"/>
    <w:rsid w:val="003D5B00"/>
    <w:rsid w:val="003D5C3B"/>
    <w:rsid w:val="003D5C68"/>
    <w:rsid w:val="003D5CD7"/>
    <w:rsid w:val="003D5D38"/>
    <w:rsid w:val="003D5DBB"/>
    <w:rsid w:val="003D5E4A"/>
    <w:rsid w:val="003D5E8E"/>
    <w:rsid w:val="003D5EA9"/>
    <w:rsid w:val="003D5F3F"/>
    <w:rsid w:val="003D600A"/>
    <w:rsid w:val="003D60E7"/>
    <w:rsid w:val="003D61E2"/>
    <w:rsid w:val="003D625F"/>
    <w:rsid w:val="003D62AC"/>
    <w:rsid w:val="003D62C7"/>
    <w:rsid w:val="003D62FA"/>
    <w:rsid w:val="003D637C"/>
    <w:rsid w:val="003D6382"/>
    <w:rsid w:val="003D6448"/>
    <w:rsid w:val="003D65B3"/>
    <w:rsid w:val="003D6668"/>
    <w:rsid w:val="003D67AC"/>
    <w:rsid w:val="003D67BF"/>
    <w:rsid w:val="003D6831"/>
    <w:rsid w:val="003D68DB"/>
    <w:rsid w:val="003D694E"/>
    <w:rsid w:val="003D6982"/>
    <w:rsid w:val="003D699D"/>
    <w:rsid w:val="003D69E2"/>
    <w:rsid w:val="003D6A17"/>
    <w:rsid w:val="003D6A56"/>
    <w:rsid w:val="003D6A99"/>
    <w:rsid w:val="003D6B43"/>
    <w:rsid w:val="003D6EEE"/>
    <w:rsid w:val="003D6F34"/>
    <w:rsid w:val="003D6F8A"/>
    <w:rsid w:val="003D6FB6"/>
    <w:rsid w:val="003D704F"/>
    <w:rsid w:val="003D7064"/>
    <w:rsid w:val="003D71C3"/>
    <w:rsid w:val="003D71C4"/>
    <w:rsid w:val="003D71E7"/>
    <w:rsid w:val="003D7203"/>
    <w:rsid w:val="003D7412"/>
    <w:rsid w:val="003D743E"/>
    <w:rsid w:val="003D7444"/>
    <w:rsid w:val="003D7513"/>
    <w:rsid w:val="003D7542"/>
    <w:rsid w:val="003D7546"/>
    <w:rsid w:val="003D7667"/>
    <w:rsid w:val="003D77B3"/>
    <w:rsid w:val="003D77F4"/>
    <w:rsid w:val="003D7850"/>
    <w:rsid w:val="003D7884"/>
    <w:rsid w:val="003D78A5"/>
    <w:rsid w:val="003D78A7"/>
    <w:rsid w:val="003D78E8"/>
    <w:rsid w:val="003D7909"/>
    <w:rsid w:val="003D7A22"/>
    <w:rsid w:val="003D7ADA"/>
    <w:rsid w:val="003D7B57"/>
    <w:rsid w:val="003D7B5E"/>
    <w:rsid w:val="003D7BF8"/>
    <w:rsid w:val="003D7D09"/>
    <w:rsid w:val="003D7D95"/>
    <w:rsid w:val="003D7DE5"/>
    <w:rsid w:val="003D7DF0"/>
    <w:rsid w:val="003D7E64"/>
    <w:rsid w:val="003D7EEA"/>
    <w:rsid w:val="003D7F7A"/>
    <w:rsid w:val="003D7FE2"/>
    <w:rsid w:val="003E002A"/>
    <w:rsid w:val="003E007B"/>
    <w:rsid w:val="003E00F5"/>
    <w:rsid w:val="003E010D"/>
    <w:rsid w:val="003E0237"/>
    <w:rsid w:val="003E0288"/>
    <w:rsid w:val="003E02AE"/>
    <w:rsid w:val="003E03FD"/>
    <w:rsid w:val="003E0493"/>
    <w:rsid w:val="003E052F"/>
    <w:rsid w:val="003E0758"/>
    <w:rsid w:val="003E081D"/>
    <w:rsid w:val="003E0915"/>
    <w:rsid w:val="003E0938"/>
    <w:rsid w:val="003E0992"/>
    <w:rsid w:val="003E0A28"/>
    <w:rsid w:val="003E0A3B"/>
    <w:rsid w:val="003E0AE7"/>
    <w:rsid w:val="003E0B47"/>
    <w:rsid w:val="003E0B87"/>
    <w:rsid w:val="003E0C0F"/>
    <w:rsid w:val="003E0CD0"/>
    <w:rsid w:val="003E0D25"/>
    <w:rsid w:val="003E0D74"/>
    <w:rsid w:val="003E0E75"/>
    <w:rsid w:val="003E0E89"/>
    <w:rsid w:val="003E1042"/>
    <w:rsid w:val="003E1077"/>
    <w:rsid w:val="003E120C"/>
    <w:rsid w:val="003E1270"/>
    <w:rsid w:val="003E12BC"/>
    <w:rsid w:val="003E12D5"/>
    <w:rsid w:val="003E1328"/>
    <w:rsid w:val="003E13AA"/>
    <w:rsid w:val="003E1489"/>
    <w:rsid w:val="003E14E9"/>
    <w:rsid w:val="003E14FF"/>
    <w:rsid w:val="003E15DA"/>
    <w:rsid w:val="003E15EA"/>
    <w:rsid w:val="003E169E"/>
    <w:rsid w:val="003E16B3"/>
    <w:rsid w:val="003E16BF"/>
    <w:rsid w:val="003E177A"/>
    <w:rsid w:val="003E17DF"/>
    <w:rsid w:val="003E1809"/>
    <w:rsid w:val="003E1832"/>
    <w:rsid w:val="003E18C0"/>
    <w:rsid w:val="003E18F1"/>
    <w:rsid w:val="003E192F"/>
    <w:rsid w:val="003E194F"/>
    <w:rsid w:val="003E1961"/>
    <w:rsid w:val="003E1A13"/>
    <w:rsid w:val="003E1A7B"/>
    <w:rsid w:val="003E1AB6"/>
    <w:rsid w:val="003E1AB9"/>
    <w:rsid w:val="003E1AE1"/>
    <w:rsid w:val="003E1B5D"/>
    <w:rsid w:val="003E1BBE"/>
    <w:rsid w:val="003E1BFA"/>
    <w:rsid w:val="003E1C0B"/>
    <w:rsid w:val="003E1D97"/>
    <w:rsid w:val="003E1D98"/>
    <w:rsid w:val="003E1DB1"/>
    <w:rsid w:val="003E1DE3"/>
    <w:rsid w:val="003E1E66"/>
    <w:rsid w:val="003E1EFD"/>
    <w:rsid w:val="003E2021"/>
    <w:rsid w:val="003E2029"/>
    <w:rsid w:val="003E202C"/>
    <w:rsid w:val="003E2082"/>
    <w:rsid w:val="003E20AA"/>
    <w:rsid w:val="003E20FC"/>
    <w:rsid w:val="003E2227"/>
    <w:rsid w:val="003E2254"/>
    <w:rsid w:val="003E22D0"/>
    <w:rsid w:val="003E231A"/>
    <w:rsid w:val="003E2357"/>
    <w:rsid w:val="003E2392"/>
    <w:rsid w:val="003E23C0"/>
    <w:rsid w:val="003E2414"/>
    <w:rsid w:val="003E2424"/>
    <w:rsid w:val="003E2451"/>
    <w:rsid w:val="003E255E"/>
    <w:rsid w:val="003E256C"/>
    <w:rsid w:val="003E257F"/>
    <w:rsid w:val="003E25F1"/>
    <w:rsid w:val="003E2698"/>
    <w:rsid w:val="003E2699"/>
    <w:rsid w:val="003E269D"/>
    <w:rsid w:val="003E26EF"/>
    <w:rsid w:val="003E277B"/>
    <w:rsid w:val="003E277D"/>
    <w:rsid w:val="003E2818"/>
    <w:rsid w:val="003E2839"/>
    <w:rsid w:val="003E2848"/>
    <w:rsid w:val="003E2B89"/>
    <w:rsid w:val="003E2D37"/>
    <w:rsid w:val="003E2D54"/>
    <w:rsid w:val="003E2EB1"/>
    <w:rsid w:val="003E2F25"/>
    <w:rsid w:val="003E3186"/>
    <w:rsid w:val="003E31A7"/>
    <w:rsid w:val="003E31AB"/>
    <w:rsid w:val="003E31FE"/>
    <w:rsid w:val="003E3237"/>
    <w:rsid w:val="003E328D"/>
    <w:rsid w:val="003E334A"/>
    <w:rsid w:val="003E3359"/>
    <w:rsid w:val="003E3364"/>
    <w:rsid w:val="003E3392"/>
    <w:rsid w:val="003E33E2"/>
    <w:rsid w:val="003E33FC"/>
    <w:rsid w:val="003E3434"/>
    <w:rsid w:val="003E3503"/>
    <w:rsid w:val="003E35CD"/>
    <w:rsid w:val="003E35E8"/>
    <w:rsid w:val="003E361D"/>
    <w:rsid w:val="003E36D0"/>
    <w:rsid w:val="003E36D8"/>
    <w:rsid w:val="003E371C"/>
    <w:rsid w:val="003E3755"/>
    <w:rsid w:val="003E37EE"/>
    <w:rsid w:val="003E38A1"/>
    <w:rsid w:val="003E38B3"/>
    <w:rsid w:val="003E38F7"/>
    <w:rsid w:val="003E39C6"/>
    <w:rsid w:val="003E39DA"/>
    <w:rsid w:val="003E39E7"/>
    <w:rsid w:val="003E3A6F"/>
    <w:rsid w:val="003E3A73"/>
    <w:rsid w:val="003E3AB0"/>
    <w:rsid w:val="003E3AC4"/>
    <w:rsid w:val="003E3B4D"/>
    <w:rsid w:val="003E3BEA"/>
    <w:rsid w:val="003E3D2C"/>
    <w:rsid w:val="003E3D8E"/>
    <w:rsid w:val="003E3DA6"/>
    <w:rsid w:val="003E3DDD"/>
    <w:rsid w:val="003E3DE0"/>
    <w:rsid w:val="003E3EEC"/>
    <w:rsid w:val="003E3EFF"/>
    <w:rsid w:val="003E3F94"/>
    <w:rsid w:val="003E415E"/>
    <w:rsid w:val="003E4185"/>
    <w:rsid w:val="003E4235"/>
    <w:rsid w:val="003E424B"/>
    <w:rsid w:val="003E431C"/>
    <w:rsid w:val="003E4345"/>
    <w:rsid w:val="003E4491"/>
    <w:rsid w:val="003E4499"/>
    <w:rsid w:val="003E44CA"/>
    <w:rsid w:val="003E455E"/>
    <w:rsid w:val="003E456C"/>
    <w:rsid w:val="003E456D"/>
    <w:rsid w:val="003E456E"/>
    <w:rsid w:val="003E45E8"/>
    <w:rsid w:val="003E4632"/>
    <w:rsid w:val="003E4677"/>
    <w:rsid w:val="003E4758"/>
    <w:rsid w:val="003E4847"/>
    <w:rsid w:val="003E4857"/>
    <w:rsid w:val="003E48D9"/>
    <w:rsid w:val="003E4BD4"/>
    <w:rsid w:val="003E4C1E"/>
    <w:rsid w:val="003E4C25"/>
    <w:rsid w:val="003E4C68"/>
    <w:rsid w:val="003E4CA2"/>
    <w:rsid w:val="003E4CD1"/>
    <w:rsid w:val="003E4D2D"/>
    <w:rsid w:val="003E4D40"/>
    <w:rsid w:val="003E4D88"/>
    <w:rsid w:val="003E4E12"/>
    <w:rsid w:val="003E4ECF"/>
    <w:rsid w:val="003E4F0F"/>
    <w:rsid w:val="003E4FD3"/>
    <w:rsid w:val="003E5011"/>
    <w:rsid w:val="003E502B"/>
    <w:rsid w:val="003E5043"/>
    <w:rsid w:val="003E5183"/>
    <w:rsid w:val="003E51DB"/>
    <w:rsid w:val="003E5384"/>
    <w:rsid w:val="003E53A4"/>
    <w:rsid w:val="003E53E1"/>
    <w:rsid w:val="003E549B"/>
    <w:rsid w:val="003E55B1"/>
    <w:rsid w:val="003E55C8"/>
    <w:rsid w:val="003E5627"/>
    <w:rsid w:val="003E563F"/>
    <w:rsid w:val="003E5669"/>
    <w:rsid w:val="003E570E"/>
    <w:rsid w:val="003E5737"/>
    <w:rsid w:val="003E575A"/>
    <w:rsid w:val="003E57AC"/>
    <w:rsid w:val="003E5800"/>
    <w:rsid w:val="003E5849"/>
    <w:rsid w:val="003E58EA"/>
    <w:rsid w:val="003E58FB"/>
    <w:rsid w:val="003E59CF"/>
    <w:rsid w:val="003E59D5"/>
    <w:rsid w:val="003E5A0A"/>
    <w:rsid w:val="003E5A6A"/>
    <w:rsid w:val="003E5A85"/>
    <w:rsid w:val="003E5A96"/>
    <w:rsid w:val="003E5ACD"/>
    <w:rsid w:val="003E5B73"/>
    <w:rsid w:val="003E5B99"/>
    <w:rsid w:val="003E5BAA"/>
    <w:rsid w:val="003E5C0B"/>
    <w:rsid w:val="003E5C58"/>
    <w:rsid w:val="003E5C68"/>
    <w:rsid w:val="003E5C80"/>
    <w:rsid w:val="003E5CB5"/>
    <w:rsid w:val="003E5CC4"/>
    <w:rsid w:val="003E5CCF"/>
    <w:rsid w:val="003E5CE9"/>
    <w:rsid w:val="003E5D0E"/>
    <w:rsid w:val="003E5D16"/>
    <w:rsid w:val="003E5D5C"/>
    <w:rsid w:val="003E5E5A"/>
    <w:rsid w:val="003E5EC9"/>
    <w:rsid w:val="003E5FD6"/>
    <w:rsid w:val="003E604C"/>
    <w:rsid w:val="003E61B7"/>
    <w:rsid w:val="003E61C7"/>
    <w:rsid w:val="003E6203"/>
    <w:rsid w:val="003E6274"/>
    <w:rsid w:val="003E6279"/>
    <w:rsid w:val="003E62B2"/>
    <w:rsid w:val="003E62E2"/>
    <w:rsid w:val="003E6344"/>
    <w:rsid w:val="003E646D"/>
    <w:rsid w:val="003E654C"/>
    <w:rsid w:val="003E65C8"/>
    <w:rsid w:val="003E65FA"/>
    <w:rsid w:val="003E670A"/>
    <w:rsid w:val="003E67DD"/>
    <w:rsid w:val="003E6804"/>
    <w:rsid w:val="003E68C0"/>
    <w:rsid w:val="003E6B30"/>
    <w:rsid w:val="003E6BF3"/>
    <w:rsid w:val="003E6BF8"/>
    <w:rsid w:val="003E6C25"/>
    <w:rsid w:val="003E6D8C"/>
    <w:rsid w:val="003E6DC1"/>
    <w:rsid w:val="003E6EC4"/>
    <w:rsid w:val="003E6EF7"/>
    <w:rsid w:val="003E6F29"/>
    <w:rsid w:val="003E6F8F"/>
    <w:rsid w:val="003E704D"/>
    <w:rsid w:val="003E7087"/>
    <w:rsid w:val="003E7198"/>
    <w:rsid w:val="003E7256"/>
    <w:rsid w:val="003E72F1"/>
    <w:rsid w:val="003E73B5"/>
    <w:rsid w:val="003E73CE"/>
    <w:rsid w:val="003E7408"/>
    <w:rsid w:val="003E7423"/>
    <w:rsid w:val="003E74C6"/>
    <w:rsid w:val="003E74D1"/>
    <w:rsid w:val="003E75B6"/>
    <w:rsid w:val="003E75DA"/>
    <w:rsid w:val="003E769F"/>
    <w:rsid w:val="003E776E"/>
    <w:rsid w:val="003E778C"/>
    <w:rsid w:val="003E78C1"/>
    <w:rsid w:val="003E7910"/>
    <w:rsid w:val="003E79A5"/>
    <w:rsid w:val="003E7A12"/>
    <w:rsid w:val="003E7B1D"/>
    <w:rsid w:val="003E7B41"/>
    <w:rsid w:val="003E7BB6"/>
    <w:rsid w:val="003E7BCC"/>
    <w:rsid w:val="003E7C75"/>
    <w:rsid w:val="003E7C83"/>
    <w:rsid w:val="003E7C90"/>
    <w:rsid w:val="003E7CA6"/>
    <w:rsid w:val="003E7CC1"/>
    <w:rsid w:val="003E7CEF"/>
    <w:rsid w:val="003E7D99"/>
    <w:rsid w:val="003E7DF6"/>
    <w:rsid w:val="003E7E75"/>
    <w:rsid w:val="003E7F90"/>
    <w:rsid w:val="003F0137"/>
    <w:rsid w:val="003F015F"/>
    <w:rsid w:val="003F0222"/>
    <w:rsid w:val="003F02F8"/>
    <w:rsid w:val="003F0377"/>
    <w:rsid w:val="003F0380"/>
    <w:rsid w:val="003F0387"/>
    <w:rsid w:val="003F038B"/>
    <w:rsid w:val="003F0422"/>
    <w:rsid w:val="003F04D8"/>
    <w:rsid w:val="003F0689"/>
    <w:rsid w:val="003F06C5"/>
    <w:rsid w:val="003F07BB"/>
    <w:rsid w:val="003F07FD"/>
    <w:rsid w:val="003F0843"/>
    <w:rsid w:val="003F089F"/>
    <w:rsid w:val="003F0A1F"/>
    <w:rsid w:val="003F0A2C"/>
    <w:rsid w:val="003F0A31"/>
    <w:rsid w:val="003F0A50"/>
    <w:rsid w:val="003F0AD8"/>
    <w:rsid w:val="003F0B1E"/>
    <w:rsid w:val="003F0BDA"/>
    <w:rsid w:val="003F0BF6"/>
    <w:rsid w:val="003F0D49"/>
    <w:rsid w:val="003F0DD5"/>
    <w:rsid w:val="003F0EC7"/>
    <w:rsid w:val="003F0FF2"/>
    <w:rsid w:val="003F1062"/>
    <w:rsid w:val="003F10B6"/>
    <w:rsid w:val="003F118A"/>
    <w:rsid w:val="003F1249"/>
    <w:rsid w:val="003F12B5"/>
    <w:rsid w:val="003F12BF"/>
    <w:rsid w:val="003F1345"/>
    <w:rsid w:val="003F13FF"/>
    <w:rsid w:val="003F14FD"/>
    <w:rsid w:val="003F1526"/>
    <w:rsid w:val="003F1693"/>
    <w:rsid w:val="003F1773"/>
    <w:rsid w:val="003F17A8"/>
    <w:rsid w:val="003F17E5"/>
    <w:rsid w:val="003F188E"/>
    <w:rsid w:val="003F196E"/>
    <w:rsid w:val="003F1A76"/>
    <w:rsid w:val="003F1B21"/>
    <w:rsid w:val="003F1B82"/>
    <w:rsid w:val="003F1BAE"/>
    <w:rsid w:val="003F1C3A"/>
    <w:rsid w:val="003F1D07"/>
    <w:rsid w:val="003F1DDD"/>
    <w:rsid w:val="003F1DFD"/>
    <w:rsid w:val="003F1E5C"/>
    <w:rsid w:val="003F1EDB"/>
    <w:rsid w:val="003F1EDD"/>
    <w:rsid w:val="003F1F9B"/>
    <w:rsid w:val="003F204A"/>
    <w:rsid w:val="003F21CA"/>
    <w:rsid w:val="003F223B"/>
    <w:rsid w:val="003F229B"/>
    <w:rsid w:val="003F22CE"/>
    <w:rsid w:val="003F22D0"/>
    <w:rsid w:val="003F2428"/>
    <w:rsid w:val="003F24D8"/>
    <w:rsid w:val="003F24F0"/>
    <w:rsid w:val="003F2539"/>
    <w:rsid w:val="003F2618"/>
    <w:rsid w:val="003F26BF"/>
    <w:rsid w:val="003F2706"/>
    <w:rsid w:val="003F2735"/>
    <w:rsid w:val="003F2744"/>
    <w:rsid w:val="003F27C4"/>
    <w:rsid w:val="003F2819"/>
    <w:rsid w:val="003F289B"/>
    <w:rsid w:val="003F2A5C"/>
    <w:rsid w:val="003F2ABA"/>
    <w:rsid w:val="003F2B95"/>
    <w:rsid w:val="003F2BCB"/>
    <w:rsid w:val="003F2E1D"/>
    <w:rsid w:val="003F2EB5"/>
    <w:rsid w:val="003F2EFC"/>
    <w:rsid w:val="003F2FE2"/>
    <w:rsid w:val="003F3083"/>
    <w:rsid w:val="003F3098"/>
    <w:rsid w:val="003F31D2"/>
    <w:rsid w:val="003F31DC"/>
    <w:rsid w:val="003F3225"/>
    <w:rsid w:val="003F32D5"/>
    <w:rsid w:val="003F3345"/>
    <w:rsid w:val="003F3404"/>
    <w:rsid w:val="003F340D"/>
    <w:rsid w:val="003F3417"/>
    <w:rsid w:val="003F3441"/>
    <w:rsid w:val="003F34F2"/>
    <w:rsid w:val="003F3509"/>
    <w:rsid w:val="003F367A"/>
    <w:rsid w:val="003F37CB"/>
    <w:rsid w:val="003F3804"/>
    <w:rsid w:val="003F3858"/>
    <w:rsid w:val="003F3871"/>
    <w:rsid w:val="003F39AD"/>
    <w:rsid w:val="003F39B9"/>
    <w:rsid w:val="003F3A56"/>
    <w:rsid w:val="003F3A5B"/>
    <w:rsid w:val="003F3A5C"/>
    <w:rsid w:val="003F3B3C"/>
    <w:rsid w:val="003F3C38"/>
    <w:rsid w:val="003F3CBC"/>
    <w:rsid w:val="003F3D94"/>
    <w:rsid w:val="003F3E21"/>
    <w:rsid w:val="003F3F3E"/>
    <w:rsid w:val="003F3F4B"/>
    <w:rsid w:val="003F3F65"/>
    <w:rsid w:val="003F400C"/>
    <w:rsid w:val="003F404B"/>
    <w:rsid w:val="003F40DA"/>
    <w:rsid w:val="003F411D"/>
    <w:rsid w:val="003F4121"/>
    <w:rsid w:val="003F41B2"/>
    <w:rsid w:val="003F4236"/>
    <w:rsid w:val="003F423F"/>
    <w:rsid w:val="003F42EF"/>
    <w:rsid w:val="003F43F7"/>
    <w:rsid w:val="003F44D2"/>
    <w:rsid w:val="003F455A"/>
    <w:rsid w:val="003F4648"/>
    <w:rsid w:val="003F466C"/>
    <w:rsid w:val="003F481D"/>
    <w:rsid w:val="003F4822"/>
    <w:rsid w:val="003F483B"/>
    <w:rsid w:val="003F4843"/>
    <w:rsid w:val="003F48D1"/>
    <w:rsid w:val="003F4908"/>
    <w:rsid w:val="003F49CC"/>
    <w:rsid w:val="003F49D7"/>
    <w:rsid w:val="003F4A23"/>
    <w:rsid w:val="003F4AEF"/>
    <w:rsid w:val="003F4B7A"/>
    <w:rsid w:val="003F4CB9"/>
    <w:rsid w:val="003F4DA7"/>
    <w:rsid w:val="003F4E11"/>
    <w:rsid w:val="003F4E77"/>
    <w:rsid w:val="003F4FE4"/>
    <w:rsid w:val="003F4FE7"/>
    <w:rsid w:val="003F5089"/>
    <w:rsid w:val="003F50C5"/>
    <w:rsid w:val="003F5143"/>
    <w:rsid w:val="003F5145"/>
    <w:rsid w:val="003F515E"/>
    <w:rsid w:val="003F51CB"/>
    <w:rsid w:val="003F51E9"/>
    <w:rsid w:val="003F52CD"/>
    <w:rsid w:val="003F5321"/>
    <w:rsid w:val="003F5325"/>
    <w:rsid w:val="003F5347"/>
    <w:rsid w:val="003F53EC"/>
    <w:rsid w:val="003F5404"/>
    <w:rsid w:val="003F546B"/>
    <w:rsid w:val="003F54C1"/>
    <w:rsid w:val="003F54EB"/>
    <w:rsid w:val="003F54F5"/>
    <w:rsid w:val="003F5518"/>
    <w:rsid w:val="003F56DC"/>
    <w:rsid w:val="003F5700"/>
    <w:rsid w:val="003F5706"/>
    <w:rsid w:val="003F57F9"/>
    <w:rsid w:val="003F5869"/>
    <w:rsid w:val="003F592A"/>
    <w:rsid w:val="003F5995"/>
    <w:rsid w:val="003F5A26"/>
    <w:rsid w:val="003F5AB2"/>
    <w:rsid w:val="003F5ADF"/>
    <w:rsid w:val="003F5B51"/>
    <w:rsid w:val="003F5BA3"/>
    <w:rsid w:val="003F5D7F"/>
    <w:rsid w:val="003F5EB8"/>
    <w:rsid w:val="003F5ED8"/>
    <w:rsid w:val="003F5F53"/>
    <w:rsid w:val="003F603E"/>
    <w:rsid w:val="003F60BF"/>
    <w:rsid w:val="003F60F9"/>
    <w:rsid w:val="003F6183"/>
    <w:rsid w:val="003F621B"/>
    <w:rsid w:val="003F626F"/>
    <w:rsid w:val="003F6285"/>
    <w:rsid w:val="003F62F3"/>
    <w:rsid w:val="003F6320"/>
    <w:rsid w:val="003F63D7"/>
    <w:rsid w:val="003F65A2"/>
    <w:rsid w:val="003F65A9"/>
    <w:rsid w:val="003F6628"/>
    <w:rsid w:val="003F664A"/>
    <w:rsid w:val="003F66BC"/>
    <w:rsid w:val="003F6718"/>
    <w:rsid w:val="003F6884"/>
    <w:rsid w:val="003F68CE"/>
    <w:rsid w:val="003F6A65"/>
    <w:rsid w:val="003F6AA1"/>
    <w:rsid w:val="003F6AF3"/>
    <w:rsid w:val="003F6B32"/>
    <w:rsid w:val="003F6B52"/>
    <w:rsid w:val="003F6B54"/>
    <w:rsid w:val="003F6B62"/>
    <w:rsid w:val="003F6CB8"/>
    <w:rsid w:val="003F6CF0"/>
    <w:rsid w:val="003F6D3F"/>
    <w:rsid w:val="003F6D6F"/>
    <w:rsid w:val="003F6E98"/>
    <w:rsid w:val="003F6FF4"/>
    <w:rsid w:val="003F714D"/>
    <w:rsid w:val="003F71F6"/>
    <w:rsid w:val="003F72CE"/>
    <w:rsid w:val="003F734A"/>
    <w:rsid w:val="003F7432"/>
    <w:rsid w:val="003F7448"/>
    <w:rsid w:val="003F74CB"/>
    <w:rsid w:val="003F754E"/>
    <w:rsid w:val="003F7576"/>
    <w:rsid w:val="003F7630"/>
    <w:rsid w:val="003F763E"/>
    <w:rsid w:val="003F7649"/>
    <w:rsid w:val="003F76FE"/>
    <w:rsid w:val="003F7717"/>
    <w:rsid w:val="003F772C"/>
    <w:rsid w:val="003F773D"/>
    <w:rsid w:val="003F774A"/>
    <w:rsid w:val="003F7793"/>
    <w:rsid w:val="003F77F9"/>
    <w:rsid w:val="003F7806"/>
    <w:rsid w:val="003F781E"/>
    <w:rsid w:val="003F787D"/>
    <w:rsid w:val="003F7882"/>
    <w:rsid w:val="003F789B"/>
    <w:rsid w:val="003F7A2A"/>
    <w:rsid w:val="003F7A51"/>
    <w:rsid w:val="003F7AED"/>
    <w:rsid w:val="003F7B33"/>
    <w:rsid w:val="003F7B6B"/>
    <w:rsid w:val="003F7BD5"/>
    <w:rsid w:val="003F7C8A"/>
    <w:rsid w:val="003F7E60"/>
    <w:rsid w:val="003F7E8F"/>
    <w:rsid w:val="00400008"/>
    <w:rsid w:val="0040015E"/>
    <w:rsid w:val="00400169"/>
    <w:rsid w:val="0040018D"/>
    <w:rsid w:val="004002E6"/>
    <w:rsid w:val="00400431"/>
    <w:rsid w:val="00400463"/>
    <w:rsid w:val="00400466"/>
    <w:rsid w:val="004004A0"/>
    <w:rsid w:val="004004BB"/>
    <w:rsid w:val="0040070D"/>
    <w:rsid w:val="00400775"/>
    <w:rsid w:val="004007D2"/>
    <w:rsid w:val="004008CB"/>
    <w:rsid w:val="004009BA"/>
    <w:rsid w:val="004009BB"/>
    <w:rsid w:val="004009C4"/>
    <w:rsid w:val="004009D9"/>
    <w:rsid w:val="00400A4B"/>
    <w:rsid w:val="00400ACA"/>
    <w:rsid w:val="00400B23"/>
    <w:rsid w:val="00400B28"/>
    <w:rsid w:val="00400C24"/>
    <w:rsid w:val="00400C7F"/>
    <w:rsid w:val="00400C8C"/>
    <w:rsid w:val="00400D12"/>
    <w:rsid w:val="00400DB2"/>
    <w:rsid w:val="00400DB8"/>
    <w:rsid w:val="00400E20"/>
    <w:rsid w:val="00400E8F"/>
    <w:rsid w:val="00400EA5"/>
    <w:rsid w:val="00400EE3"/>
    <w:rsid w:val="00400F9D"/>
    <w:rsid w:val="00401035"/>
    <w:rsid w:val="0040114F"/>
    <w:rsid w:val="00401185"/>
    <w:rsid w:val="004011C6"/>
    <w:rsid w:val="00401215"/>
    <w:rsid w:val="0040132D"/>
    <w:rsid w:val="00401384"/>
    <w:rsid w:val="004013CA"/>
    <w:rsid w:val="004013F4"/>
    <w:rsid w:val="0040141D"/>
    <w:rsid w:val="00401460"/>
    <w:rsid w:val="00401478"/>
    <w:rsid w:val="004015D8"/>
    <w:rsid w:val="004016C6"/>
    <w:rsid w:val="004017BF"/>
    <w:rsid w:val="00401818"/>
    <w:rsid w:val="0040186D"/>
    <w:rsid w:val="00401964"/>
    <w:rsid w:val="0040196C"/>
    <w:rsid w:val="0040197A"/>
    <w:rsid w:val="004019BC"/>
    <w:rsid w:val="004019FB"/>
    <w:rsid w:val="00401B54"/>
    <w:rsid w:val="00401C35"/>
    <w:rsid w:val="00401C59"/>
    <w:rsid w:val="00401D91"/>
    <w:rsid w:val="00401E76"/>
    <w:rsid w:val="00401E8A"/>
    <w:rsid w:val="00401EBC"/>
    <w:rsid w:val="00401EE2"/>
    <w:rsid w:val="00401FB5"/>
    <w:rsid w:val="00402043"/>
    <w:rsid w:val="00402074"/>
    <w:rsid w:val="00402078"/>
    <w:rsid w:val="00402091"/>
    <w:rsid w:val="0040209C"/>
    <w:rsid w:val="004020E3"/>
    <w:rsid w:val="00402149"/>
    <w:rsid w:val="00402173"/>
    <w:rsid w:val="00402301"/>
    <w:rsid w:val="004023FF"/>
    <w:rsid w:val="0040241A"/>
    <w:rsid w:val="00402471"/>
    <w:rsid w:val="004024FB"/>
    <w:rsid w:val="00402573"/>
    <w:rsid w:val="0040258D"/>
    <w:rsid w:val="004025B8"/>
    <w:rsid w:val="00402607"/>
    <w:rsid w:val="0040284A"/>
    <w:rsid w:val="00402854"/>
    <w:rsid w:val="004028C1"/>
    <w:rsid w:val="004028C2"/>
    <w:rsid w:val="004028DD"/>
    <w:rsid w:val="004029AD"/>
    <w:rsid w:val="004029DC"/>
    <w:rsid w:val="004029FE"/>
    <w:rsid w:val="00402A5B"/>
    <w:rsid w:val="00402A7F"/>
    <w:rsid w:val="00402AA0"/>
    <w:rsid w:val="00402B0A"/>
    <w:rsid w:val="00402C75"/>
    <w:rsid w:val="00402D23"/>
    <w:rsid w:val="00402DA3"/>
    <w:rsid w:val="00402DDA"/>
    <w:rsid w:val="00402DF5"/>
    <w:rsid w:val="00402E13"/>
    <w:rsid w:val="00402E6D"/>
    <w:rsid w:val="00402F08"/>
    <w:rsid w:val="00402F0B"/>
    <w:rsid w:val="00402F45"/>
    <w:rsid w:val="00403033"/>
    <w:rsid w:val="004030B9"/>
    <w:rsid w:val="004030BD"/>
    <w:rsid w:val="004030CB"/>
    <w:rsid w:val="0040312F"/>
    <w:rsid w:val="004031A7"/>
    <w:rsid w:val="00403201"/>
    <w:rsid w:val="0040324B"/>
    <w:rsid w:val="00403257"/>
    <w:rsid w:val="004032FD"/>
    <w:rsid w:val="00403304"/>
    <w:rsid w:val="00403313"/>
    <w:rsid w:val="00403322"/>
    <w:rsid w:val="0040335F"/>
    <w:rsid w:val="004033C3"/>
    <w:rsid w:val="004033FA"/>
    <w:rsid w:val="004033FD"/>
    <w:rsid w:val="0040343E"/>
    <w:rsid w:val="00403461"/>
    <w:rsid w:val="004034BA"/>
    <w:rsid w:val="00403571"/>
    <w:rsid w:val="0040359B"/>
    <w:rsid w:val="0040364A"/>
    <w:rsid w:val="0040368D"/>
    <w:rsid w:val="00403795"/>
    <w:rsid w:val="0040389F"/>
    <w:rsid w:val="0040398E"/>
    <w:rsid w:val="004039A6"/>
    <w:rsid w:val="004039AB"/>
    <w:rsid w:val="00403AD2"/>
    <w:rsid w:val="00403EDF"/>
    <w:rsid w:val="00403EF1"/>
    <w:rsid w:val="00404020"/>
    <w:rsid w:val="0040407C"/>
    <w:rsid w:val="00404126"/>
    <w:rsid w:val="0040414D"/>
    <w:rsid w:val="00404181"/>
    <w:rsid w:val="00404294"/>
    <w:rsid w:val="004042E0"/>
    <w:rsid w:val="0040436D"/>
    <w:rsid w:val="00404373"/>
    <w:rsid w:val="0040449F"/>
    <w:rsid w:val="004044E5"/>
    <w:rsid w:val="004044F9"/>
    <w:rsid w:val="00404570"/>
    <w:rsid w:val="00404651"/>
    <w:rsid w:val="004046DA"/>
    <w:rsid w:val="00404752"/>
    <w:rsid w:val="00404755"/>
    <w:rsid w:val="00404763"/>
    <w:rsid w:val="0040479E"/>
    <w:rsid w:val="004047B3"/>
    <w:rsid w:val="00404800"/>
    <w:rsid w:val="00404814"/>
    <w:rsid w:val="00404903"/>
    <w:rsid w:val="004049B3"/>
    <w:rsid w:val="00404A21"/>
    <w:rsid w:val="00404AA3"/>
    <w:rsid w:val="00404AC2"/>
    <w:rsid w:val="00404ADE"/>
    <w:rsid w:val="00404B0D"/>
    <w:rsid w:val="00404B12"/>
    <w:rsid w:val="00404B32"/>
    <w:rsid w:val="00404B8B"/>
    <w:rsid w:val="00404BF0"/>
    <w:rsid w:val="00404C26"/>
    <w:rsid w:val="00404C2E"/>
    <w:rsid w:val="00404D33"/>
    <w:rsid w:val="00404D52"/>
    <w:rsid w:val="00404DFF"/>
    <w:rsid w:val="00404E96"/>
    <w:rsid w:val="0040502E"/>
    <w:rsid w:val="0040508E"/>
    <w:rsid w:val="00405209"/>
    <w:rsid w:val="00405399"/>
    <w:rsid w:val="004053D4"/>
    <w:rsid w:val="0040545D"/>
    <w:rsid w:val="004054C3"/>
    <w:rsid w:val="004054D2"/>
    <w:rsid w:val="0040552F"/>
    <w:rsid w:val="004056B3"/>
    <w:rsid w:val="004056DD"/>
    <w:rsid w:val="00405700"/>
    <w:rsid w:val="00405801"/>
    <w:rsid w:val="00405845"/>
    <w:rsid w:val="00405856"/>
    <w:rsid w:val="004058C2"/>
    <w:rsid w:val="00405936"/>
    <w:rsid w:val="00405AA4"/>
    <w:rsid w:val="00405BCE"/>
    <w:rsid w:val="00405CB4"/>
    <w:rsid w:val="00405D89"/>
    <w:rsid w:val="00405DDF"/>
    <w:rsid w:val="00405DEC"/>
    <w:rsid w:val="00405E15"/>
    <w:rsid w:val="00405E41"/>
    <w:rsid w:val="00405EF9"/>
    <w:rsid w:val="00405F86"/>
    <w:rsid w:val="00405F96"/>
    <w:rsid w:val="00405FCB"/>
    <w:rsid w:val="00406018"/>
    <w:rsid w:val="0040601A"/>
    <w:rsid w:val="0040607F"/>
    <w:rsid w:val="00406093"/>
    <w:rsid w:val="004060A6"/>
    <w:rsid w:val="004060A7"/>
    <w:rsid w:val="004060F0"/>
    <w:rsid w:val="004061F2"/>
    <w:rsid w:val="004061F9"/>
    <w:rsid w:val="00406226"/>
    <w:rsid w:val="004062E1"/>
    <w:rsid w:val="00406398"/>
    <w:rsid w:val="004063C6"/>
    <w:rsid w:val="004063CC"/>
    <w:rsid w:val="004063F8"/>
    <w:rsid w:val="004064A9"/>
    <w:rsid w:val="00406605"/>
    <w:rsid w:val="0040661E"/>
    <w:rsid w:val="0040671E"/>
    <w:rsid w:val="00406732"/>
    <w:rsid w:val="00406757"/>
    <w:rsid w:val="00406760"/>
    <w:rsid w:val="00406787"/>
    <w:rsid w:val="004068FB"/>
    <w:rsid w:val="00406A41"/>
    <w:rsid w:val="00406BB8"/>
    <w:rsid w:val="00406C77"/>
    <w:rsid w:val="00406DD8"/>
    <w:rsid w:val="00407027"/>
    <w:rsid w:val="004070CC"/>
    <w:rsid w:val="004070DB"/>
    <w:rsid w:val="00407120"/>
    <w:rsid w:val="0040721E"/>
    <w:rsid w:val="004072E4"/>
    <w:rsid w:val="0040749C"/>
    <w:rsid w:val="00407598"/>
    <w:rsid w:val="004075C7"/>
    <w:rsid w:val="0040764D"/>
    <w:rsid w:val="0040766E"/>
    <w:rsid w:val="00407697"/>
    <w:rsid w:val="00407699"/>
    <w:rsid w:val="004077A9"/>
    <w:rsid w:val="00407885"/>
    <w:rsid w:val="0040791A"/>
    <w:rsid w:val="00407979"/>
    <w:rsid w:val="0040799E"/>
    <w:rsid w:val="00407C18"/>
    <w:rsid w:val="00407C93"/>
    <w:rsid w:val="00407C9D"/>
    <w:rsid w:val="00407CE9"/>
    <w:rsid w:val="00407D0E"/>
    <w:rsid w:val="00407D71"/>
    <w:rsid w:val="00407DA3"/>
    <w:rsid w:val="00407E0C"/>
    <w:rsid w:val="00407E39"/>
    <w:rsid w:val="00407E5C"/>
    <w:rsid w:val="00410100"/>
    <w:rsid w:val="00410124"/>
    <w:rsid w:val="0041022C"/>
    <w:rsid w:val="00410271"/>
    <w:rsid w:val="004102CD"/>
    <w:rsid w:val="004103EB"/>
    <w:rsid w:val="00410432"/>
    <w:rsid w:val="0041049D"/>
    <w:rsid w:val="00410531"/>
    <w:rsid w:val="00410580"/>
    <w:rsid w:val="00410609"/>
    <w:rsid w:val="00410620"/>
    <w:rsid w:val="00410660"/>
    <w:rsid w:val="00410711"/>
    <w:rsid w:val="00410718"/>
    <w:rsid w:val="004107DC"/>
    <w:rsid w:val="00410886"/>
    <w:rsid w:val="004108A9"/>
    <w:rsid w:val="004108B6"/>
    <w:rsid w:val="00410992"/>
    <w:rsid w:val="004109E6"/>
    <w:rsid w:val="00410AD4"/>
    <w:rsid w:val="00410BD3"/>
    <w:rsid w:val="00410C6E"/>
    <w:rsid w:val="00410C84"/>
    <w:rsid w:val="00410D47"/>
    <w:rsid w:val="00410D80"/>
    <w:rsid w:val="00410DDC"/>
    <w:rsid w:val="00410DDD"/>
    <w:rsid w:val="00410DE2"/>
    <w:rsid w:val="00410E67"/>
    <w:rsid w:val="00410EFA"/>
    <w:rsid w:val="00410F1E"/>
    <w:rsid w:val="00410F1F"/>
    <w:rsid w:val="00410F59"/>
    <w:rsid w:val="00410F62"/>
    <w:rsid w:val="00410F6D"/>
    <w:rsid w:val="00410FCB"/>
    <w:rsid w:val="00411035"/>
    <w:rsid w:val="004110B5"/>
    <w:rsid w:val="0041112A"/>
    <w:rsid w:val="004111B1"/>
    <w:rsid w:val="0041122A"/>
    <w:rsid w:val="00411297"/>
    <w:rsid w:val="004112B3"/>
    <w:rsid w:val="004112DF"/>
    <w:rsid w:val="00411345"/>
    <w:rsid w:val="004114B3"/>
    <w:rsid w:val="004114FB"/>
    <w:rsid w:val="0041152C"/>
    <w:rsid w:val="00411530"/>
    <w:rsid w:val="0041156B"/>
    <w:rsid w:val="0041156D"/>
    <w:rsid w:val="00411573"/>
    <w:rsid w:val="004115DB"/>
    <w:rsid w:val="0041168D"/>
    <w:rsid w:val="004116AE"/>
    <w:rsid w:val="004116ED"/>
    <w:rsid w:val="004117B6"/>
    <w:rsid w:val="00411908"/>
    <w:rsid w:val="00411A46"/>
    <w:rsid w:val="00411A52"/>
    <w:rsid w:val="00411A76"/>
    <w:rsid w:val="00411BA8"/>
    <w:rsid w:val="00411BE8"/>
    <w:rsid w:val="00411C14"/>
    <w:rsid w:val="00411C2B"/>
    <w:rsid w:val="00411C36"/>
    <w:rsid w:val="00411CAB"/>
    <w:rsid w:val="00411CE3"/>
    <w:rsid w:val="00411D21"/>
    <w:rsid w:val="00411EC7"/>
    <w:rsid w:val="00411ED1"/>
    <w:rsid w:val="00411EE0"/>
    <w:rsid w:val="00411F9A"/>
    <w:rsid w:val="00411FF7"/>
    <w:rsid w:val="00412048"/>
    <w:rsid w:val="004120BE"/>
    <w:rsid w:val="00412113"/>
    <w:rsid w:val="004121A7"/>
    <w:rsid w:val="004121E7"/>
    <w:rsid w:val="0041222A"/>
    <w:rsid w:val="0041229A"/>
    <w:rsid w:val="004122D6"/>
    <w:rsid w:val="00412328"/>
    <w:rsid w:val="004123B8"/>
    <w:rsid w:val="004123F7"/>
    <w:rsid w:val="004124DA"/>
    <w:rsid w:val="0041250F"/>
    <w:rsid w:val="00412576"/>
    <w:rsid w:val="004125E6"/>
    <w:rsid w:val="00412709"/>
    <w:rsid w:val="0041272B"/>
    <w:rsid w:val="00412733"/>
    <w:rsid w:val="00412738"/>
    <w:rsid w:val="004127CD"/>
    <w:rsid w:val="004128C7"/>
    <w:rsid w:val="004128C8"/>
    <w:rsid w:val="00412942"/>
    <w:rsid w:val="00412A95"/>
    <w:rsid w:val="00412CE5"/>
    <w:rsid w:val="00412DB8"/>
    <w:rsid w:val="00412DE6"/>
    <w:rsid w:val="00412E5F"/>
    <w:rsid w:val="00412FA2"/>
    <w:rsid w:val="00413105"/>
    <w:rsid w:val="004131EE"/>
    <w:rsid w:val="00413219"/>
    <w:rsid w:val="0041321F"/>
    <w:rsid w:val="00413388"/>
    <w:rsid w:val="004133DD"/>
    <w:rsid w:val="004133E7"/>
    <w:rsid w:val="0041345E"/>
    <w:rsid w:val="00413460"/>
    <w:rsid w:val="004134CF"/>
    <w:rsid w:val="004134E1"/>
    <w:rsid w:val="00413554"/>
    <w:rsid w:val="00413589"/>
    <w:rsid w:val="00413594"/>
    <w:rsid w:val="004135A7"/>
    <w:rsid w:val="004135AA"/>
    <w:rsid w:val="00413605"/>
    <w:rsid w:val="0041370A"/>
    <w:rsid w:val="0041371A"/>
    <w:rsid w:val="00413738"/>
    <w:rsid w:val="004137C2"/>
    <w:rsid w:val="00413803"/>
    <w:rsid w:val="00413837"/>
    <w:rsid w:val="004138C2"/>
    <w:rsid w:val="00413989"/>
    <w:rsid w:val="004139DD"/>
    <w:rsid w:val="00413A69"/>
    <w:rsid w:val="00413ABE"/>
    <w:rsid w:val="00413ACC"/>
    <w:rsid w:val="00413BD4"/>
    <w:rsid w:val="00413BE4"/>
    <w:rsid w:val="00413BF3"/>
    <w:rsid w:val="00413C04"/>
    <w:rsid w:val="00413C2E"/>
    <w:rsid w:val="00413D13"/>
    <w:rsid w:val="00413D21"/>
    <w:rsid w:val="00413D98"/>
    <w:rsid w:val="00413EE5"/>
    <w:rsid w:val="00413F34"/>
    <w:rsid w:val="00413F50"/>
    <w:rsid w:val="00413F5C"/>
    <w:rsid w:val="004140B8"/>
    <w:rsid w:val="0041410A"/>
    <w:rsid w:val="00414209"/>
    <w:rsid w:val="00414272"/>
    <w:rsid w:val="004142C2"/>
    <w:rsid w:val="004142E0"/>
    <w:rsid w:val="004142FA"/>
    <w:rsid w:val="0041431C"/>
    <w:rsid w:val="0041441F"/>
    <w:rsid w:val="00414420"/>
    <w:rsid w:val="004144F3"/>
    <w:rsid w:val="00414504"/>
    <w:rsid w:val="0041454D"/>
    <w:rsid w:val="004145DE"/>
    <w:rsid w:val="00414726"/>
    <w:rsid w:val="004147BB"/>
    <w:rsid w:val="004147E6"/>
    <w:rsid w:val="00414811"/>
    <w:rsid w:val="00414888"/>
    <w:rsid w:val="004148B4"/>
    <w:rsid w:val="0041493C"/>
    <w:rsid w:val="00414960"/>
    <w:rsid w:val="004149CB"/>
    <w:rsid w:val="00414A9B"/>
    <w:rsid w:val="00414B59"/>
    <w:rsid w:val="00414B7A"/>
    <w:rsid w:val="00414C78"/>
    <w:rsid w:val="00414CEE"/>
    <w:rsid w:val="00414D64"/>
    <w:rsid w:val="00414D82"/>
    <w:rsid w:val="00414DA9"/>
    <w:rsid w:val="00414EEE"/>
    <w:rsid w:val="0041501F"/>
    <w:rsid w:val="00415075"/>
    <w:rsid w:val="004150DE"/>
    <w:rsid w:val="0041512D"/>
    <w:rsid w:val="00415134"/>
    <w:rsid w:val="004152AE"/>
    <w:rsid w:val="004152CF"/>
    <w:rsid w:val="0041535A"/>
    <w:rsid w:val="00415396"/>
    <w:rsid w:val="00415470"/>
    <w:rsid w:val="00415478"/>
    <w:rsid w:val="00415501"/>
    <w:rsid w:val="004155A0"/>
    <w:rsid w:val="004155E7"/>
    <w:rsid w:val="00415617"/>
    <w:rsid w:val="004156EA"/>
    <w:rsid w:val="0041574C"/>
    <w:rsid w:val="0041578E"/>
    <w:rsid w:val="004157EB"/>
    <w:rsid w:val="00415902"/>
    <w:rsid w:val="004159BD"/>
    <w:rsid w:val="004159C0"/>
    <w:rsid w:val="00415A53"/>
    <w:rsid w:val="00415A7B"/>
    <w:rsid w:val="00415B4C"/>
    <w:rsid w:val="00415B99"/>
    <w:rsid w:val="00415BA6"/>
    <w:rsid w:val="00415D87"/>
    <w:rsid w:val="00415E36"/>
    <w:rsid w:val="00415E93"/>
    <w:rsid w:val="00415ED0"/>
    <w:rsid w:val="00415F1E"/>
    <w:rsid w:val="00415F25"/>
    <w:rsid w:val="00415F61"/>
    <w:rsid w:val="00415FA5"/>
    <w:rsid w:val="00415FC9"/>
    <w:rsid w:val="00416084"/>
    <w:rsid w:val="004160BE"/>
    <w:rsid w:val="0041610A"/>
    <w:rsid w:val="0041617A"/>
    <w:rsid w:val="00416194"/>
    <w:rsid w:val="00416273"/>
    <w:rsid w:val="00416502"/>
    <w:rsid w:val="00416519"/>
    <w:rsid w:val="00416521"/>
    <w:rsid w:val="00416567"/>
    <w:rsid w:val="004166D4"/>
    <w:rsid w:val="004166EC"/>
    <w:rsid w:val="0041679A"/>
    <w:rsid w:val="004167CF"/>
    <w:rsid w:val="00416855"/>
    <w:rsid w:val="0041688E"/>
    <w:rsid w:val="0041699E"/>
    <w:rsid w:val="00416AA1"/>
    <w:rsid w:val="00416ABD"/>
    <w:rsid w:val="00416B89"/>
    <w:rsid w:val="00416C2B"/>
    <w:rsid w:val="00416C55"/>
    <w:rsid w:val="00416DB3"/>
    <w:rsid w:val="00416E05"/>
    <w:rsid w:val="00416E9A"/>
    <w:rsid w:val="00416EB1"/>
    <w:rsid w:val="00416ED7"/>
    <w:rsid w:val="00416F31"/>
    <w:rsid w:val="00416F4C"/>
    <w:rsid w:val="00416F58"/>
    <w:rsid w:val="00416F87"/>
    <w:rsid w:val="00416FD4"/>
    <w:rsid w:val="00417005"/>
    <w:rsid w:val="004170FC"/>
    <w:rsid w:val="00417124"/>
    <w:rsid w:val="0041713A"/>
    <w:rsid w:val="004171B0"/>
    <w:rsid w:val="004171EC"/>
    <w:rsid w:val="00417294"/>
    <w:rsid w:val="004172F1"/>
    <w:rsid w:val="00417304"/>
    <w:rsid w:val="00417313"/>
    <w:rsid w:val="0041732B"/>
    <w:rsid w:val="0041736D"/>
    <w:rsid w:val="004173D4"/>
    <w:rsid w:val="004174B7"/>
    <w:rsid w:val="004174BC"/>
    <w:rsid w:val="004174CF"/>
    <w:rsid w:val="004175D7"/>
    <w:rsid w:val="004175F6"/>
    <w:rsid w:val="00417773"/>
    <w:rsid w:val="004177AC"/>
    <w:rsid w:val="004177F4"/>
    <w:rsid w:val="0041783F"/>
    <w:rsid w:val="004178DF"/>
    <w:rsid w:val="00417927"/>
    <w:rsid w:val="004179A1"/>
    <w:rsid w:val="00417A8A"/>
    <w:rsid w:val="00417AAC"/>
    <w:rsid w:val="00417ABD"/>
    <w:rsid w:val="00417ACC"/>
    <w:rsid w:val="00417AD6"/>
    <w:rsid w:val="00417B4D"/>
    <w:rsid w:val="00417B77"/>
    <w:rsid w:val="00417B79"/>
    <w:rsid w:val="00417B95"/>
    <w:rsid w:val="00417C36"/>
    <w:rsid w:val="00417CC8"/>
    <w:rsid w:val="00417D05"/>
    <w:rsid w:val="00417D6D"/>
    <w:rsid w:val="00417D8C"/>
    <w:rsid w:val="00417E76"/>
    <w:rsid w:val="00417E8C"/>
    <w:rsid w:val="00417EC2"/>
    <w:rsid w:val="00417FC6"/>
    <w:rsid w:val="00420035"/>
    <w:rsid w:val="00420056"/>
    <w:rsid w:val="004200D8"/>
    <w:rsid w:val="004200E0"/>
    <w:rsid w:val="0042010B"/>
    <w:rsid w:val="004201BD"/>
    <w:rsid w:val="00420212"/>
    <w:rsid w:val="0042022D"/>
    <w:rsid w:val="0042030D"/>
    <w:rsid w:val="00420327"/>
    <w:rsid w:val="00420342"/>
    <w:rsid w:val="004203D0"/>
    <w:rsid w:val="004203DE"/>
    <w:rsid w:val="00420470"/>
    <w:rsid w:val="00420481"/>
    <w:rsid w:val="0042049F"/>
    <w:rsid w:val="004204B8"/>
    <w:rsid w:val="00420548"/>
    <w:rsid w:val="00420565"/>
    <w:rsid w:val="00420659"/>
    <w:rsid w:val="00420682"/>
    <w:rsid w:val="004206ED"/>
    <w:rsid w:val="00420797"/>
    <w:rsid w:val="0042082D"/>
    <w:rsid w:val="0042085F"/>
    <w:rsid w:val="004208D6"/>
    <w:rsid w:val="00420983"/>
    <w:rsid w:val="0042098E"/>
    <w:rsid w:val="004209F9"/>
    <w:rsid w:val="00420A4B"/>
    <w:rsid w:val="00420A9F"/>
    <w:rsid w:val="00420ACA"/>
    <w:rsid w:val="00420BAC"/>
    <w:rsid w:val="00420C40"/>
    <w:rsid w:val="00420C4A"/>
    <w:rsid w:val="00420CA6"/>
    <w:rsid w:val="00420CC9"/>
    <w:rsid w:val="00420CCA"/>
    <w:rsid w:val="00420D09"/>
    <w:rsid w:val="00420D83"/>
    <w:rsid w:val="00420E23"/>
    <w:rsid w:val="00420EC3"/>
    <w:rsid w:val="00420EF5"/>
    <w:rsid w:val="00420F4A"/>
    <w:rsid w:val="00420FD1"/>
    <w:rsid w:val="00421074"/>
    <w:rsid w:val="0042107B"/>
    <w:rsid w:val="00421083"/>
    <w:rsid w:val="004210DD"/>
    <w:rsid w:val="0042112D"/>
    <w:rsid w:val="00421153"/>
    <w:rsid w:val="004211FF"/>
    <w:rsid w:val="00421255"/>
    <w:rsid w:val="00421279"/>
    <w:rsid w:val="004212A1"/>
    <w:rsid w:val="0042132B"/>
    <w:rsid w:val="0042133F"/>
    <w:rsid w:val="0042138F"/>
    <w:rsid w:val="0042139A"/>
    <w:rsid w:val="00421446"/>
    <w:rsid w:val="0042156D"/>
    <w:rsid w:val="0042160A"/>
    <w:rsid w:val="0042165C"/>
    <w:rsid w:val="0042167D"/>
    <w:rsid w:val="004216A2"/>
    <w:rsid w:val="0042174E"/>
    <w:rsid w:val="00421871"/>
    <w:rsid w:val="00421883"/>
    <w:rsid w:val="004218AA"/>
    <w:rsid w:val="004218FC"/>
    <w:rsid w:val="0042196B"/>
    <w:rsid w:val="00421A17"/>
    <w:rsid w:val="00421AA8"/>
    <w:rsid w:val="00421AB7"/>
    <w:rsid w:val="00421AE0"/>
    <w:rsid w:val="00421B70"/>
    <w:rsid w:val="00421B97"/>
    <w:rsid w:val="00421BF8"/>
    <w:rsid w:val="00421C5E"/>
    <w:rsid w:val="00421DBD"/>
    <w:rsid w:val="00421E02"/>
    <w:rsid w:val="00421EF0"/>
    <w:rsid w:val="00421F01"/>
    <w:rsid w:val="00421FC7"/>
    <w:rsid w:val="00421FD3"/>
    <w:rsid w:val="0042200C"/>
    <w:rsid w:val="00422046"/>
    <w:rsid w:val="00422062"/>
    <w:rsid w:val="0042208B"/>
    <w:rsid w:val="00422172"/>
    <w:rsid w:val="004221B9"/>
    <w:rsid w:val="004221D2"/>
    <w:rsid w:val="00422263"/>
    <w:rsid w:val="004222DE"/>
    <w:rsid w:val="00422351"/>
    <w:rsid w:val="0042236D"/>
    <w:rsid w:val="004223AB"/>
    <w:rsid w:val="00422435"/>
    <w:rsid w:val="00422436"/>
    <w:rsid w:val="00422491"/>
    <w:rsid w:val="004224C7"/>
    <w:rsid w:val="0042250C"/>
    <w:rsid w:val="00422540"/>
    <w:rsid w:val="0042255B"/>
    <w:rsid w:val="00422633"/>
    <w:rsid w:val="0042265B"/>
    <w:rsid w:val="00422688"/>
    <w:rsid w:val="004226C7"/>
    <w:rsid w:val="0042272A"/>
    <w:rsid w:val="0042272F"/>
    <w:rsid w:val="0042274F"/>
    <w:rsid w:val="00422750"/>
    <w:rsid w:val="004228ED"/>
    <w:rsid w:val="0042298B"/>
    <w:rsid w:val="004229CA"/>
    <w:rsid w:val="004229E6"/>
    <w:rsid w:val="00422A11"/>
    <w:rsid w:val="00422A27"/>
    <w:rsid w:val="00422B9B"/>
    <w:rsid w:val="00422CEF"/>
    <w:rsid w:val="00422D1F"/>
    <w:rsid w:val="00422F1F"/>
    <w:rsid w:val="00422F26"/>
    <w:rsid w:val="00422FA8"/>
    <w:rsid w:val="00422FD2"/>
    <w:rsid w:val="0042307A"/>
    <w:rsid w:val="0042307D"/>
    <w:rsid w:val="0042308D"/>
    <w:rsid w:val="004230C7"/>
    <w:rsid w:val="004230FB"/>
    <w:rsid w:val="00423131"/>
    <w:rsid w:val="00423258"/>
    <w:rsid w:val="00423340"/>
    <w:rsid w:val="004233AE"/>
    <w:rsid w:val="004233F2"/>
    <w:rsid w:val="00423436"/>
    <w:rsid w:val="004234AB"/>
    <w:rsid w:val="0042354D"/>
    <w:rsid w:val="004235C7"/>
    <w:rsid w:val="004236D3"/>
    <w:rsid w:val="004236D9"/>
    <w:rsid w:val="00423793"/>
    <w:rsid w:val="004237EA"/>
    <w:rsid w:val="00423878"/>
    <w:rsid w:val="004239FB"/>
    <w:rsid w:val="00423A67"/>
    <w:rsid w:val="00423AED"/>
    <w:rsid w:val="00423B7B"/>
    <w:rsid w:val="00423BCD"/>
    <w:rsid w:val="00423DF3"/>
    <w:rsid w:val="00423E88"/>
    <w:rsid w:val="00423EA8"/>
    <w:rsid w:val="00423EC3"/>
    <w:rsid w:val="00423F72"/>
    <w:rsid w:val="00423F9A"/>
    <w:rsid w:val="00424007"/>
    <w:rsid w:val="0042400D"/>
    <w:rsid w:val="00424048"/>
    <w:rsid w:val="0042419D"/>
    <w:rsid w:val="004241DE"/>
    <w:rsid w:val="004241FD"/>
    <w:rsid w:val="004242A1"/>
    <w:rsid w:val="004242CD"/>
    <w:rsid w:val="00424426"/>
    <w:rsid w:val="00424463"/>
    <w:rsid w:val="00424575"/>
    <w:rsid w:val="004245AA"/>
    <w:rsid w:val="004245DE"/>
    <w:rsid w:val="004245E0"/>
    <w:rsid w:val="0042461B"/>
    <w:rsid w:val="00424645"/>
    <w:rsid w:val="004246DF"/>
    <w:rsid w:val="004248B9"/>
    <w:rsid w:val="00424984"/>
    <w:rsid w:val="00424A3D"/>
    <w:rsid w:val="00424A65"/>
    <w:rsid w:val="00424AD9"/>
    <w:rsid w:val="00424AE1"/>
    <w:rsid w:val="00424AF2"/>
    <w:rsid w:val="00424BC5"/>
    <w:rsid w:val="00424C0B"/>
    <w:rsid w:val="00424CEE"/>
    <w:rsid w:val="00424D19"/>
    <w:rsid w:val="00424D23"/>
    <w:rsid w:val="00424D47"/>
    <w:rsid w:val="00424D4E"/>
    <w:rsid w:val="00424D6A"/>
    <w:rsid w:val="00424EAB"/>
    <w:rsid w:val="00424F39"/>
    <w:rsid w:val="00424FDC"/>
    <w:rsid w:val="0042500E"/>
    <w:rsid w:val="00425082"/>
    <w:rsid w:val="0042509C"/>
    <w:rsid w:val="0042511D"/>
    <w:rsid w:val="00425140"/>
    <w:rsid w:val="0042516D"/>
    <w:rsid w:val="0042517A"/>
    <w:rsid w:val="004251B4"/>
    <w:rsid w:val="004251C2"/>
    <w:rsid w:val="004251D9"/>
    <w:rsid w:val="00425273"/>
    <w:rsid w:val="0042532D"/>
    <w:rsid w:val="0042539D"/>
    <w:rsid w:val="004253E4"/>
    <w:rsid w:val="00425487"/>
    <w:rsid w:val="0042559D"/>
    <w:rsid w:val="004255C4"/>
    <w:rsid w:val="0042577D"/>
    <w:rsid w:val="0042587E"/>
    <w:rsid w:val="00425A29"/>
    <w:rsid w:val="00425ACD"/>
    <w:rsid w:val="00425AD4"/>
    <w:rsid w:val="00425BB1"/>
    <w:rsid w:val="00425BB8"/>
    <w:rsid w:val="00425BCD"/>
    <w:rsid w:val="00425BD4"/>
    <w:rsid w:val="00425BFF"/>
    <w:rsid w:val="00425C32"/>
    <w:rsid w:val="00425C48"/>
    <w:rsid w:val="00425D4A"/>
    <w:rsid w:val="00425D64"/>
    <w:rsid w:val="00425DA1"/>
    <w:rsid w:val="00425DFB"/>
    <w:rsid w:val="00425E4A"/>
    <w:rsid w:val="00425EB1"/>
    <w:rsid w:val="00426013"/>
    <w:rsid w:val="00426025"/>
    <w:rsid w:val="004260D6"/>
    <w:rsid w:val="00426162"/>
    <w:rsid w:val="00426167"/>
    <w:rsid w:val="004261E1"/>
    <w:rsid w:val="004261F2"/>
    <w:rsid w:val="004263C8"/>
    <w:rsid w:val="004264F1"/>
    <w:rsid w:val="004264F6"/>
    <w:rsid w:val="0042658E"/>
    <w:rsid w:val="004265C9"/>
    <w:rsid w:val="00426718"/>
    <w:rsid w:val="00426743"/>
    <w:rsid w:val="00426983"/>
    <w:rsid w:val="004269DA"/>
    <w:rsid w:val="004269E7"/>
    <w:rsid w:val="004269EB"/>
    <w:rsid w:val="00426A08"/>
    <w:rsid w:val="00426A1B"/>
    <w:rsid w:val="00426AAC"/>
    <w:rsid w:val="00426AAF"/>
    <w:rsid w:val="00426B88"/>
    <w:rsid w:val="00426BDD"/>
    <w:rsid w:val="00426C19"/>
    <w:rsid w:val="00426C50"/>
    <w:rsid w:val="00426CDC"/>
    <w:rsid w:val="00426D00"/>
    <w:rsid w:val="00426D1B"/>
    <w:rsid w:val="00426D71"/>
    <w:rsid w:val="00426D9C"/>
    <w:rsid w:val="00426DB9"/>
    <w:rsid w:val="00426E0B"/>
    <w:rsid w:val="00426E3F"/>
    <w:rsid w:val="00426FC0"/>
    <w:rsid w:val="00427019"/>
    <w:rsid w:val="00427107"/>
    <w:rsid w:val="0042714E"/>
    <w:rsid w:val="0042718B"/>
    <w:rsid w:val="004271B0"/>
    <w:rsid w:val="0042727C"/>
    <w:rsid w:val="00427292"/>
    <w:rsid w:val="00427378"/>
    <w:rsid w:val="0042737C"/>
    <w:rsid w:val="00427565"/>
    <w:rsid w:val="004275B1"/>
    <w:rsid w:val="004276CA"/>
    <w:rsid w:val="004277FC"/>
    <w:rsid w:val="0042782D"/>
    <w:rsid w:val="004278A9"/>
    <w:rsid w:val="0042794E"/>
    <w:rsid w:val="0042795F"/>
    <w:rsid w:val="00427A0A"/>
    <w:rsid w:val="00427A6B"/>
    <w:rsid w:val="00427A9E"/>
    <w:rsid w:val="00427B46"/>
    <w:rsid w:val="00427B72"/>
    <w:rsid w:val="00427B95"/>
    <w:rsid w:val="00427BE3"/>
    <w:rsid w:val="00427C01"/>
    <w:rsid w:val="00427C67"/>
    <w:rsid w:val="00427C7D"/>
    <w:rsid w:val="00427CAD"/>
    <w:rsid w:val="00427CDF"/>
    <w:rsid w:val="00427D20"/>
    <w:rsid w:val="00427D6D"/>
    <w:rsid w:val="00427E1F"/>
    <w:rsid w:val="00427F31"/>
    <w:rsid w:val="004300F4"/>
    <w:rsid w:val="004300FB"/>
    <w:rsid w:val="0043016A"/>
    <w:rsid w:val="004301FE"/>
    <w:rsid w:val="0043020A"/>
    <w:rsid w:val="004302FE"/>
    <w:rsid w:val="00430305"/>
    <w:rsid w:val="004303D4"/>
    <w:rsid w:val="00430477"/>
    <w:rsid w:val="004304EC"/>
    <w:rsid w:val="0043058F"/>
    <w:rsid w:val="004305B9"/>
    <w:rsid w:val="0043062D"/>
    <w:rsid w:val="00430630"/>
    <w:rsid w:val="00430697"/>
    <w:rsid w:val="004307CC"/>
    <w:rsid w:val="0043085C"/>
    <w:rsid w:val="00430889"/>
    <w:rsid w:val="0043090C"/>
    <w:rsid w:val="0043093C"/>
    <w:rsid w:val="004309C9"/>
    <w:rsid w:val="00430A22"/>
    <w:rsid w:val="00430A78"/>
    <w:rsid w:val="00430B63"/>
    <w:rsid w:val="00430C14"/>
    <w:rsid w:val="00430C89"/>
    <w:rsid w:val="00430CF7"/>
    <w:rsid w:val="00430D73"/>
    <w:rsid w:val="00430D8B"/>
    <w:rsid w:val="00430DF8"/>
    <w:rsid w:val="00430EAC"/>
    <w:rsid w:val="00430EC9"/>
    <w:rsid w:val="00430F63"/>
    <w:rsid w:val="00430F6C"/>
    <w:rsid w:val="00430FB0"/>
    <w:rsid w:val="00430FDF"/>
    <w:rsid w:val="00431104"/>
    <w:rsid w:val="0043117E"/>
    <w:rsid w:val="004311CE"/>
    <w:rsid w:val="004312BE"/>
    <w:rsid w:val="0043130E"/>
    <w:rsid w:val="0043137A"/>
    <w:rsid w:val="00431382"/>
    <w:rsid w:val="00431409"/>
    <w:rsid w:val="004314EC"/>
    <w:rsid w:val="00431557"/>
    <w:rsid w:val="0043156E"/>
    <w:rsid w:val="004315A7"/>
    <w:rsid w:val="0043160A"/>
    <w:rsid w:val="00431622"/>
    <w:rsid w:val="00431626"/>
    <w:rsid w:val="004316DA"/>
    <w:rsid w:val="0043180C"/>
    <w:rsid w:val="00431856"/>
    <w:rsid w:val="00431867"/>
    <w:rsid w:val="0043196F"/>
    <w:rsid w:val="00431993"/>
    <w:rsid w:val="004319A0"/>
    <w:rsid w:val="004319EA"/>
    <w:rsid w:val="00431AF6"/>
    <w:rsid w:val="00431BFD"/>
    <w:rsid w:val="00431C1B"/>
    <w:rsid w:val="00431C31"/>
    <w:rsid w:val="00431D2A"/>
    <w:rsid w:val="00431D35"/>
    <w:rsid w:val="00431D3B"/>
    <w:rsid w:val="00431D83"/>
    <w:rsid w:val="00431DCC"/>
    <w:rsid w:val="00431DE6"/>
    <w:rsid w:val="00431E05"/>
    <w:rsid w:val="00431E1D"/>
    <w:rsid w:val="00431E46"/>
    <w:rsid w:val="00431EC0"/>
    <w:rsid w:val="00431F0F"/>
    <w:rsid w:val="0043208C"/>
    <w:rsid w:val="00432099"/>
    <w:rsid w:val="004320D9"/>
    <w:rsid w:val="0043210D"/>
    <w:rsid w:val="00432208"/>
    <w:rsid w:val="00432251"/>
    <w:rsid w:val="0043247C"/>
    <w:rsid w:val="004324FB"/>
    <w:rsid w:val="0043254F"/>
    <w:rsid w:val="004325FB"/>
    <w:rsid w:val="0043261C"/>
    <w:rsid w:val="0043263E"/>
    <w:rsid w:val="00432676"/>
    <w:rsid w:val="0043268E"/>
    <w:rsid w:val="00432758"/>
    <w:rsid w:val="004328B5"/>
    <w:rsid w:val="00432914"/>
    <w:rsid w:val="00432A1E"/>
    <w:rsid w:val="00432A4E"/>
    <w:rsid w:val="00432B17"/>
    <w:rsid w:val="00432B2B"/>
    <w:rsid w:val="00432CE7"/>
    <w:rsid w:val="00432CFA"/>
    <w:rsid w:val="00432CFB"/>
    <w:rsid w:val="00432D36"/>
    <w:rsid w:val="00432D77"/>
    <w:rsid w:val="00432DA6"/>
    <w:rsid w:val="00432DB1"/>
    <w:rsid w:val="00432E20"/>
    <w:rsid w:val="00432E77"/>
    <w:rsid w:val="00432ED7"/>
    <w:rsid w:val="0043305B"/>
    <w:rsid w:val="004330BB"/>
    <w:rsid w:val="004330FD"/>
    <w:rsid w:val="004331DC"/>
    <w:rsid w:val="004331F1"/>
    <w:rsid w:val="0043320F"/>
    <w:rsid w:val="004332A0"/>
    <w:rsid w:val="004332B3"/>
    <w:rsid w:val="00433320"/>
    <w:rsid w:val="004333BB"/>
    <w:rsid w:val="00433444"/>
    <w:rsid w:val="0043361D"/>
    <w:rsid w:val="00433659"/>
    <w:rsid w:val="00433685"/>
    <w:rsid w:val="004336E7"/>
    <w:rsid w:val="004338EB"/>
    <w:rsid w:val="0043395D"/>
    <w:rsid w:val="004339F1"/>
    <w:rsid w:val="00433A30"/>
    <w:rsid w:val="00433A63"/>
    <w:rsid w:val="00433BFC"/>
    <w:rsid w:val="00433C9F"/>
    <w:rsid w:val="00433D3A"/>
    <w:rsid w:val="00433DF8"/>
    <w:rsid w:val="00433E2E"/>
    <w:rsid w:val="00433E95"/>
    <w:rsid w:val="00433ECD"/>
    <w:rsid w:val="00433EFC"/>
    <w:rsid w:val="00433F08"/>
    <w:rsid w:val="00433F10"/>
    <w:rsid w:val="00433F16"/>
    <w:rsid w:val="00433F1D"/>
    <w:rsid w:val="00433F4F"/>
    <w:rsid w:val="00434070"/>
    <w:rsid w:val="00434281"/>
    <w:rsid w:val="004342F0"/>
    <w:rsid w:val="0043431C"/>
    <w:rsid w:val="0043442D"/>
    <w:rsid w:val="00434444"/>
    <w:rsid w:val="004344F8"/>
    <w:rsid w:val="00434516"/>
    <w:rsid w:val="00434561"/>
    <w:rsid w:val="00434625"/>
    <w:rsid w:val="00434627"/>
    <w:rsid w:val="004346D8"/>
    <w:rsid w:val="004346D9"/>
    <w:rsid w:val="0043473A"/>
    <w:rsid w:val="0043481C"/>
    <w:rsid w:val="0043483A"/>
    <w:rsid w:val="00434861"/>
    <w:rsid w:val="00434955"/>
    <w:rsid w:val="00434ACB"/>
    <w:rsid w:val="00434BDF"/>
    <w:rsid w:val="00434CCC"/>
    <w:rsid w:val="00434D04"/>
    <w:rsid w:val="00434D3C"/>
    <w:rsid w:val="00434D5B"/>
    <w:rsid w:val="00434E6A"/>
    <w:rsid w:val="00434EFA"/>
    <w:rsid w:val="00434F11"/>
    <w:rsid w:val="00434FD0"/>
    <w:rsid w:val="00434FD5"/>
    <w:rsid w:val="004350D6"/>
    <w:rsid w:val="004350F4"/>
    <w:rsid w:val="004352A0"/>
    <w:rsid w:val="0043530F"/>
    <w:rsid w:val="00435346"/>
    <w:rsid w:val="004353DF"/>
    <w:rsid w:val="0043546E"/>
    <w:rsid w:val="00435470"/>
    <w:rsid w:val="00435480"/>
    <w:rsid w:val="004354A3"/>
    <w:rsid w:val="004354EF"/>
    <w:rsid w:val="00435568"/>
    <w:rsid w:val="0043564A"/>
    <w:rsid w:val="00435714"/>
    <w:rsid w:val="00435797"/>
    <w:rsid w:val="00435811"/>
    <w:rsid w:val="004358F9"/>
    <w:rsid w:val="00435947"/>
    <w:rsid w:val="0043594B"/>
    <w:rsid w:val="00435961"/>
    <w:rsid w:val="00435A5F"/>
    <w:rsid w:val="00435A80"/>
    <w:rsid w:val="00435C59"/>
    <w:rsid w:val="00435C7D"/>
    <w:rsid w:val="00435CEE"/>
    <w:rsid w:val="00435D42"/>
    <w:rsid w:val="00435D8A"/>
    <w:rsid w:val="00435D94"/>
    <w:rsid w:val="00435F5B"/>
    <w:rsid w:val="00435F9E"/>
    <w:rsid w:val="00435FF4"/>
    <w:rsid w:val="00436052"/>
    <w:rsid w:val="0043606B"/>
    <w:rsid w:val="004360ED"/>
    <w:rsid w:val="00436139"/>
    <w:rsid w:val="0043617E"/>
    <w:rsid w:val="00436240"/>
    <w:rsid w:val="004364A1"/>
    <w:rsid w:val="00436538"/>
    <w:rsid w:val="0043671C"/>
    <w:rsid w:val="00436779"/>
    <w:rsid w:val="00436796"/>
    <w:rsid w:val="0043685D"/>
    <w:rsid w:val="00436890"/>
    <w:rsid w:val="004368CC"/>
    <w:rsid w:val="004368F9"/>
    <w:rsid w:val="0043699D"/>
    <w:rsid w:val="004369DE"/>
    <w:rsid w:val="00436A3A"/>
    <w:rsid w:val="00436BFB"/>
    <w:rsid w:val="00436C42"/>
    <w:rsid w:val="00436DFC"/>
    <w:rsid w:val="00436DFE"/>
    <w:rsid w:val="00436E3C"/>
    <w:rsid w:val="00436E5A"/>
    <w:rsid w:val="00436E97"/>
    <w:rsid w:val="00436ECC"/>
    <w:rsid w:val="00436FCC"/>
    <w:rsid w:val="004370D8"/>
    <w:rsid w:val="00437126"/>
    <w:rsid w:val="0043721E"/>
    <w:rsid w:val="004372A9"/>
    <w:rsid w:val="004372C2"/>
    <w:rsid w:val="004372D0"/>
    <w:rsid w:val="00437404"/>
    <w:rsid w:val="0043744B"/>
    <w:rsid w:val="004374F1"/>
    <w:rsid w:val="00437588"/>
    <w:rsid w:val="004375AD"/>
    <w:rsid w:val="004376F4"/>
    <w:rsid w:val="0043775E"/>
    <w:rsid w:val="00437764"/>
    <w:rsid w:val="004377F9"/>
    <w:rsid w:val="00437848"/>
    <w:rsid w:val="0043784F"/>
    <w:rsid w:val="00437A20"/>
    <w:rsid w:val="00437AB0"/>
    <w:rsid w:val="00437C2E"/>
    <w:rsid w:val="00437E2A"/>
    <w:rsid w:val="00440046"/>
    <w:rsid w:val="00440067"/>
    <w:rsid w:val="00440078"/>
    <w:rsid w:val="00440091"/>
    <w:rsid w:val="004400A9"/>
    <w:rsid w:val="004400C0"/>
    <w:rsid w:val="004401D7"/>
    <w:rsid w:val="00440221"/>
    <w:rsid w:val="00440326"/>
    <w:rsid w:val="0044034E"/>
    <w:rsid w:val="00440360"/>
    <w:rsid w:val="004403DE"/>
    <w:rsid w:val="0044045B"/>
    <w:rsid w:val="00440479"/>
    <w:rsid w:val="0044051F"/>
    <w:rsid w:val="004405B7"/>
    <w:rsid w:val="0044065A"/>
    <w:rsid w:val="004406FF"/>
    <w:rsid w:val="004407A1"/>
    <w:rsid w:val="004407FB"/>
    <w:rsid w:val="00440889"/>
    <w:rsid w:val="004408C7"/>
    <w:rsid w:val="0044092F"/>
    <w:rsid w:val="00440941"/>
    <w:rsid w:val="00440A3E"/>
    <w:rsid w:val="00440A76"/>
    <w:rsid w:val="00440AF7"/>
    <w:rsid w:val="00440BB4"/>
    <w:rsid w:val="00440C9D"/>
    <w:rsid w:val="00440CF5"/>
    <w:rsid w:val="00440DB7"/>
    <w:rsid w:val="00440E1D"/>
    <w:rsid w:val="00440E24"/>
    <w:rsid w:val="00440E39"/>
    <w:rsid w:val="00440E3A"/>
    <w:rsid w:val="00440F3C"/>
    <w:rsid w:val="00440FCC"/>
    <w:rsid w:val="0044111B"/>
    <w:rsid w:val="00441134"/>
    <w:rsid w:val="00441150"/>
    <w:rsid w:val="004411AE"/>
    <w:rsid w:val="004411E6"/>
    <w:rsid w:val="00441253"/>
    <w:rsid w:val="0044130D"/>
    <w:rsid w:val="004413BF"/>
    <w:rsid w:val="0044147F"/>
    <w:rsid w:val="004414D9"/>
    <w:rsid w:val="0044152E"/>
    <w:rsid w:val="0044158B"/>
    <w:rsid w:val="0044161C"/>
    <w:rsid w:val="00441711"/>
    <w:rsid w:val="004417D2"/>
    <w:rsid w:val="0044182E"/>
    <w:rsid w:val="00441831"/>
    <w:rsid w:val="0044187B"/>
    <w:rsid w:val="0044198E"/>
    <w:rsid w:val="004419BC"/>
    <w:rsid w:val="00441C65"/>
    <w:rsid w:val="00441C66"/>
    <w:rsid w:val="00441D38"/>
    <w:rsid w:val="00441E16"/>
    <w:rsid w:val="00441E1D"/>
    <w:rsid w:val="00441EFD"/>
    <w:rsid w:val="00441F40"/>
    <w:rsid w:val="00441FBD"/>
    <w:rsid w:val="0044201C"/>
    <w:rsid w:val="00442036"/>
    <w:rsid w:val="00442096"/>
    <w:rsid w:val="00442121"/>
    <w:rsid w:val="0044220A"/>
    <w:rsid w:val="0044231C"/>
    <w:rsid w:val="00442327"/>
    <w:rsid w:val="0044232A"/>
    <w:rsid w:val="004423A4"/>
    <w:rsid w:val="0044258D"/>
    <w:rsid w:val="00442612"/>
    <w:rsid w:val="00442692"/>
    <w:rsid w:val="004426B3"/>
    <w:rsid w:val="004426E4"/>
    <w:rsid w:val="00442703"/>
    <w:rsid w:val="00442724"/>
    <w:rsid w:val="004427C9"/>
    <w:rsid w:val="004427CB"/>
    <w:rsid w:val="004427FB"/>
    <w:rsid w:val="0044288C"/>
    <w:rsid w:val="004428C3"/>
    <w:rsid w:val="00442901"/>
    <w:rsid w:val="00442A59"/>
    <w:rsid w:val="00442BE9"/>
    <w:rsid w:val="00442C08"/>
    <w:rsid w:val="00442C58"/>
    <w:rsid w:val="00442C76"/>
    <w:rsid w:val="00442C87"/>
    <w:rsid w:val="00442E1D"/>
    <w:rsid w:val="004430E4"/>
    <w:rsid w:val="004432B2"/>
    <w:rsid w:val="004432E8"/>
    <w:rsid w:val="00443373"/>
    <w:rsid w:val="0044338F"/>
    <w:rsid w:val="004433CF"/>
    <w:rsid w:val="00443409"/>
    <w:rsid w:val="0044345C"/>
    <w:rsid w:val="00443486"/>
    <w:rsid w:val="004434A5"/>
    <w:rsid w:val="00443517"/>
    <w:rsid w:val="00443632"/>
    <w:rsid w:val="004436C7"/>
    <w:rsid w:val="004437BB"/>
    <w:rsid w:val="0044380D"/>
    <w:rsid w:val="0044385E"/>
    <w:rsid w:val="0044389A"/>
    <w:rsid w:val="004438C4"/>
    <w:rsid w:val="004438CE"/>
    <w:rsid w:val="004438DC"/>
    <w:rsid w:val="004438FD"/>
    <w:rsid w:val="00443A14"/>
    <w:rsid w:val="00443B76"/>
    <w:rsid w:val="00443BD7"/>
    <w:rsid w:val="00443D03"/>
    <w:rsid w:val="00443DA6"/>
    <w:rsid w:val="00443FB4"/>
    <w:rsid w:val="00444006"/>
    <w:rsid w:val="004440F7"/>
    <w:rsid w:val="00444139"/>
    <w:rsid w:val="0044419B"/>
    <w:rsid w:val="00444204"/>
    <w:rsid w:val="00444229"/>
    <w:rsid w:val="00444254"/>
    <w:rsid w:val="00444329"/>
    <w:rsid w:val="004443B8"/>
    <w:rsid w:val="00444472"/>
    <w:rsid w:val="00444499"/>
    <w:rsid w:val="004444C2"/>
    <w:rsid w:val="00444534"/>
    <w:rsid w:val="0044454C"/>
    <w:rsid w:val="0044460B"/>
    <w:rsid w:val="00444677"/>
    <w:rsid w:val="0044471E"/>
    <w:rsid w:val="00444797"/>
    <w:rsid w:val="004447B1"/>
    <w:rsid w:val="004447E0"/>
    <w:rsid w:val="00444908"/>
    <w:rsid w:val="004449BB"/>
    <w:rsid w:val="00444A68"/>
    <w:rsid w:val="00444A8D"/>
    <w:rsid w:val="00444AF6"/>
    <w:rsid w:val="00444BB8"/>
    <w:rsid w:val="00444C00"/>
    <w:rsid w:val="00444C5C"/>
    <w:rsid w:val="00444C69"/>
    <w:rsid w:val="00444C80"/>
    <w:rsid w:val="00444D60"/>
    <w:rsid w:val="00444D7C"/>
    <w:rsid w:val="00444E21"/>
    <w:rsid w:val="00444E36"/>
    <w:rsid w:val="00444E4C"/>
    <w:rsid w:val="00444ECD"/>
    <w:rsid w:val="00444F16"/>
    <w:rsid w:val="00445043"/>
    <w:rsid w:val="00445088"/>
    <w:rsid w:val="00445095"/>
    <w:rsid w:val="0044514C"/>
    <w:rsid w:val="0044515D"/>
    <w:rsid w:val="004451F4"/>
    <w:rsid w:val="0044522F"/>
    <w:rsid w:val="004452A4"/>
    <w:rsid w:val="00445335"/>
    <w:rsid w:val="0044545C"/>
    <w:rsid w:val="00445515"/>
    <w:rsid w:val="00445624"/>
    <w:rsid w:val="00445675"/>
    <w:rsid w:val="004456FE"/>
    <w:rsid w:val="00445702"/>
    <w:rsid w:val="0044580E"/>
    <w:rsid w:val="00445850"/>
    <w:rsid w:val="004458AD"/>
    <w:rsid w:val="00445900"/>
    <w:rsid w:val="0044598C"/>
    <w:rsid w:val="004459D6"/>
    <w:rsid w:val="00445A1F"/>
    <w:rsid w:val="00445A60"/>
    <w:rsid w:val="00445B33"/>
    <w:rsid w:val="00445B9A"/>
    <w:rsid w:val="00445BB9"/>
    <w:rsid w:val="00445C1D"/>
    <w:rsid w:val="00445C82"/>
    <w:rsid w:val="00445E17"/>
    <w:rsid w:val="00445E1F"/>
    <w:rsid w:val="00445E92"/>
    <w:rsid w:val="00445EB6"/>
    <w:rsid w:val="00445FD1"/>
    <w:rsid w:val="00446042"/>
    <w:rsid w:val="0044606D"/>
    <w:rsid w:val="00446174"/>
    <w:rsid w:val="0044648E"/>
    <w:rsid w:val="004464E7"/>
    <w:rsid w:val="00446527"/>
    <w:rsid w:val="00446679"/>
    <w:rsid w:val="004466E8"/>
    <w:rsid w:val="00446940"/>
    <w:rsid w:val="00446ADD"/>
    <w:rsid w:val="00446B26"/>
    <w:rsid w:val="00446B63"/>
    <w:rsid w:val="00446BD1"/>
    <w:rsid w:val="00446BF8"/>
    <w:rsid w:val="00446CBF"/>
    <w:rsid w:val="00446D55"/>
    <w:rsid w:val="00446D6E"/>
    <w:rsid w:val="00446DB6"/>
    <w:rsid w:val="00446DD3"/>
    <w:rsid w:val="00446DE8"/>
    <w:rsid w:val="00446E40"/>
    <w:rsid w:val="00446E71"/>
    <w:rsid w:val="00446F3B"/>
    <w:rsid w:val="00446F5E"/>
    <w:rsid w:val="00446F65"/>
    <w:rsid w:val="00446F8C"/>
    <w:rsid w:val="00446F91"/>
    <w:rsid w:val="00447013"/>
    <w:rsid w:val="00447107"/>
    <w:rsid w:val="00447182"/>
    <w:rsid w:val="004471ED"/>
    <w:rsid w:val="004472E7"/>
    <w:rsid w:val="004472F3"/>
    <w:rsid w:val="004472F9"/>
    <w:rsid w:val="00447390"/>
    <w:rsid w:val="004473A1"/>
    <w:rsid w:val="004473DA"/>
    <w:rsid w:val="00447441"/>
    <w:rsid w:val="00447500"/>
    <w:rsid w:val="0044759C"/>
    <w:rsid w:val="004475D3"/>
    <w:rsid w:val="00447684"/>
    <w:rsid w:val="004476C0"/>
    <w:rsid w:val="004476D4"/>
    <w:rsid w:val="0044770A"/>
    <w:rsid w:val="0044770B"/>
    <w:rsid w:val="0044776B"/>
    <w:rsid w:val="0044779D"/>
    <w:rsid w:val="004477D0"/>
    <w:rsid w:val="004477E4"/>
    <w:rsid w:val="00447837"/>
    <w:rsid w:val="0044789C"/>
    <w:rsid w:val="004478C9"/>
    <w:rsid w:val="00447951"/>
    <w:rsid w:val="00447A65"/>
    <w:rsid w:val="00447B90"/>
    <w:rsid w:val="00447B96"/>
    <w:rsid w:val="00447CAC"/>
    <w:rsid w:val="00447CE2"/>
    <w:rsid w:val="00447D91"/>
    <w:rsid w:val="00447E07"/>
    <w:rsid w:val="00447E45"/>
    <w:rsid w:val="00447E48"/>
    <w:rsid w:val="00447E57"/>
    <w:rsid w:val="00447E5B"/>
    <w:rsid w:val="00447EC9"/>
    <w:rsid w:val="00447EDF"/>
    <w:rsid w:val="00447F1F"/>
    <w:rsid w:val="00447FDE"/>
    <w:rsid w:val="00450004"/>
    <w:rsid w:val="00450211"/>
    <w:rsid w:val="0045024A"/>
    <w:rsid w:val="0045026C"/>
    <w:rsid w:val="004502F5"/>
    <w:rsid w:val="00450336"/>
    <w:rsid w:val="004503E5"/>
    <w:rsid w:val="0045046E"/>
    <w:rsid w:val="0045047B"/>
    <w:rsid w:val="00450624"/>
    <w:rsid w:val="0045076D"/>
    <w:rsid w:val="00450776"/>
    <w:rsid w:val="004507A0"/>
    <w:rsid w:val="004507B2"/>
    <w:rsid w:val="0045086E"/>
    <w:rsid w:val="0045092C"/>
    <w:rsid w:val="00450932"/>
    <w:rsid w:val="00450965"/>
    <w:rsid w:val="00450973"/>
    <w:rsid w:val="0045097C"/>
    <w:rsid w:val="00450A0D"/>
    <w:rsid w:val="00450A59"/>
    <w:rsid w:val="00450AC4"/>
    <w:rsid w:val="00450AF3"/>
    <w:rsid w:val="00450B85"/>
    <w:rsid w:val="00450BBF"/>
    <w:rsid w:val="00450DAC"/>
    <w:rsid w:val="00450E19"/>
    <w:rsid w:val="00450E26"/>
    <w:rsid w:val="00450E93"/>
    <w:rsid w:val="00450F25"/>
    <w:rsid w:val="00450F67"/>
    <w:rsid w:val="00450FD7"/>
    <w:rsid w:val="00450FF0"/>
    <w:rsid w:val="00451096"/>
    <w:rsid w:val="004510A6"/>
    <w:rsid w:val="00451180"/>
    <w:rsid w:val="0045147F"/>
    <w:rsid w:val="00451519"/>
    <w:rsid w:val="00451563"/>
    <w:rsid w:val="004515A0"/>
    <w:rsid w:val="00451683"/>
    <w:rsid w:val="004516D2"/>
    <w:rsid w:val="00451730"/>
    <w:rsid w:val="00451891"/>
    <w:rsid w:val="0045190A"/>
    <w:rsid w:val="00451918"/>
    <w:rsid w:val="004519D6"/>
    <w:rsid w:val="00451A42"/>
    <w:rsid w:val="00451A92"/>
    <w:rsid w:val="00451ACE"/>
    <w:rsid w:val="00451BA2"/>
    <w:rsid w:val="00451C34"/>
    <w:rsid w:val="00451C4D"/>
    <w:rsid w:val="00451D21"/>
    <w:rsid w:val="00451D39"/>
    <w:rsid w:val="00451EC9"/>
    <w:rsid w:val="00451F12"/>
    <w:rsid w:val="00451F7C"/>
    <w:rsid w:val="0045200D"/>
    <w:rsid w:val="00452196"/>
    <w:rsid w:val="004522B0"/>
    <w:rsid w:val="0045232B"/>
    <w:rsid w:val="004524B0"/>
    <w:rsid w:val="0045251D"/>
    <w:rsid w:val="0045255E"/>
    <w:rsid w:val="0045259F"/>
    <w:rsid w:val="00452632"/>
    <w:rsid w:val="00452681"/>
    <w:rsid w:val="00452719"/>
    <w:rsid w:val="0045275E"/>
    <w:rsid w:val="004527CB"/>
    <w:rsid w:val="004528BF"/>
    <w:rsid w:val="0045294D"/>
    <w:rsid w:val="004529CA"/>
    <w:rsid w:val="00452A23"/>
    <w:rsid w:val="00452A24"/>
    <w:rsid w:val="00452A3E"/>
    <w:rsid w:val="00452AA8"/>
    <w:rsid w:val="00452B1C"/>
    <w:rsid w:val="00452B5F"/>
    <w:rsid w:val="00452BBF"/>
    <w:rsid w:val="00452D20"/>
    <w:rsid w:val="00452DAC"/>
    <w:rsid w:val="00452E01"/>
    <w:rsid w:val="00452E6F"/>
    <w:rsid w:val="00452EA7"/>
    <w:rsid w:val="00452EE9"/>
    <w:rsid w:val="00452F42"/>
    <w:rsid w:val="00453009"/>
    <w:rsid w:val="004530BF"/>
    <w:rsid w:val="004531ED"/>
    <w:rsid w:val="004532D3"/>
    <w:rsid w:val="004532E8"/>
    <w:rsid w:val="0045330F"/>
    <w:rsid w:val="004533F3"/>
    <w:rsid w:val="00453418"/>
    <w:rsid w:val="00453433"/>
    <w:rsid w:val="00453484"/>
    <w:rsid w:val="0045348A"/>
    <w:rsid w:val="004534D0"/>
    <w:rsid w:val="00453538"/>
    <w:rsid w:val="0045354E"/>
    <w:rsid w:val="00453573"/>
    <w:rsid w:val="004535CF"/>
    <w:rsid w:val="004535E4"/>
    <w:rsid w:val="004535E7"/>
    <w:rsid w:val="0045378B"/>
    <w:rsid w:val="0045380F"/>
    <w:rsid w:val="00453833"/>
    <w:rsid w:val="00453847"/>
    <w:rsid w:val="004538B4"/>
    <w:rsid w:val="0045396C"/>
    <w:rsid w:val="0045397E"/>
    <w:rsid w:val="0045398B"/>
    <w:rsid w:val="00453A0E"/>
    <w:rsid w:val="00453A1E"/>
    <w:rsid w:val="00453A5A"/>
    <w:rsid w:val="00453ADC"/>
    <w:rsid w:val="00453B80"/>
    <w:rsid w:val="00453BC7"/>
    <w:rsid w:val="00453C91"/>
    <w:rsid w:val="00453EFA"/>
    <w:rsid w:val="00453F26"/>
    <w:rsid w:val="00453F71"/>
    <w:rsid w:val="00453F76"/>
    <w:rsid w:val="00454018"/>
    <w:rsid w:val="00454089"/>
    <w:rsid w:val="00454111"/>
    <w:rsid w:val="0045413D"/>
    <w:rsid w:val="0045417F"/>
    <w:rsid w:val="004541AF"/>
    <w:rsid w:val="00454238"/>
    <w:rsid w:val="0045439D"/>
    <w:rsid w:val="004543AE"/>
    <w:rsid w:val="004544B0"/>
    <w:rsid w:val="004545B2"/>
    <w:rsid w:val="004546E9"/>
    <w:rsid w:val="00454762"/>
    <w:rsid w:val="00454792"/>
    <w:rsid w:val="00454859"/>
    <w:rsid w:val="00454896"/>
    <w:rsid w:val="004548AA"/>
    <w:rsid w:val="004548CE"/>
    <w:rsid w:val="004548E5"/>
    <w:rsid w:val="004548E9"/>
    <w:rsid w:val="0045490F"/>
    <w:rsid w:val="00454AB9"/>
    <w:rsid w:val="00454AC9"/>
    <w:rsid w:val="00454B4E"/>
    <w:rsid w:val="00454C16"/>
    <w:rsid w:val="00454C65"/>
    <w:rsid w:val="00454CAB"/>
    <w:rsid w:val="00454D0C"/>
    <w:rsid w:val="00454D10"/>
    <w:rsid w:val="00454D5A"/>
    <w:rsid w:val="00454DD2"/>
    <w:rsid w:val="00454EC1"/>
    <w:rsid w:val="00455016"/>
    <w:rsid w:val="00455103"/>
    <w:rsid w:val="00455127"/>
    <w:rsid w:val="00455169"/>
    <w:rsid w:val="0045527E"/>
    <w:rsid w:val="004553A7"/>
    <w:rsid w:val="00455488"/>
    <w:rsid w:val="004554E0"/>
    <w:rsid w:val="00455514"/>
    <w:rsid w:val="00455562"/>
    <w:rsid w:val="00455637"/>
    <w:rsid w:val="00455686"/>
    <w:rsid w:val="004556A1"/>
    <w:rsid w:val="0045571C"/>
    <w:rsid w:val="00455754"/>
    <w:rsid w:val="00455952"/>
    <w:rsid w:val="00455965"/>
    <w:rsid w:val="00455DB7"/>
    <w:rsid w:val="00455E40"/>
    <w:rsid w:val="00455F37"/>
    <w:rsid w:val="00455F50"/>
    <w:rsid w:val="00455F77"/>
    <w:rsid w:val="00456093"/>
    <w:rsid w:val="004560F4"/>
    <w:rsid w:val="00456454"/>
    <w:rsid w:val="004566BC"/>
    <w:rsid w:val="00456738"/>
    <w:rsid w:val="004567FB"/>
    <w:rsid w:val="00456840"/>
    <w:rsid w:val="00456882"/>
    <w:rsid w:val="00456931"/>
    <w:rsid w:val="00456967"/>
    <w:rsid w:val="004569BF"/>
    <w:rsid w:val="00456A2B"/>
    <w:rsid w:val="00456A36"/>
    <w:rsid w:val="00456A3E"/>
    <w:rsid w:val="00456A52"/>
    <w:rsid w:val="00456AC0"/>
    <w:rsid w:val="00456AEF"/>
    <w:rsid w:val="00456B1F"/>
    <w:rsid w:val="00456B53"/>
    <w:rsid w:val="00456B5D"/>
    <w:rsid w:val="00456B85"/>
    <w:rsid w:val="00456BF5"/>
    <w:rsid w:val="00456CAE"/>
    <w:rsid w:val="00456DF6"/>
    <w:rsid w:val="00456EB8"/>
    <w:rsid w:val="00456FEE"/>
    <w:rsid w:val="0045703D"/>
    <w:rsid w:val="00457083"/>
    <w:rsid w:val="00457177"/>
    <w:rsid w:val="004571C8"/>
    <w:rsid w:val="004571E7"/>
    <w:rsid w:val="004571EB"/>
    <w:rsid w:val="0045726B"/>
    <w:rsid w:val="00457305"/>
    <w:rsid w:val="00457315"/>
    <w:rsid w:val="004573F5"/>
    <w:rsid w:val="00457426"/>
    <w:rsid w:val="00457431"/>
    <w:rsid w:val="00457434"/>
    <w:rsid w:val="0045744F"/>
    <w:rsid w:val="00457452"/>
    <w:rsid w:val="00457499"/>
    <w:rsid w:val="004574DD"/>
    <w:rsid w:val="0045767C"/>
    <w:rsid w:val="00457778"/>
    <w:rsid w:val="004577CF"/>
    <w:rsid w:val="004577D2"/>
    <w:rsid w:val="004578A6"/>
    <w:rsid w:val="0045792C"/>
    <w:rsid w:val="00457942"/>
    <w:rsid w:val="0045796F"/>
    <w:rsid w:val="00457984"/>
    <w:rsid w:val="00457A97"/>
    <w:rsid w:val="00457AB4"/>
    <w:rsid w:val="00457B09"/>
    <w:rsid w:val="00457B99"/>
    <w:rsid w:val="00457C15"/>
    <w:rsid w:val="00457C28"/>
    <w:rsid w:val="00457C68"/>
    <w:rsid w:val="00457C7A"/>
    <w:rsid w:val="00457D03"/>
    <w:rsid w:val="00457D88"/>
    <w:rsid w:val="00457DF7"/>
    <w:rsid w:val="00457DF8"/>
    <w:rsid w:val="00457E49"/>
    <w:rsid w:val="00457EA7"/>
    <w:rsid w:val="00457EFA"/>
    <w:rsid w:val="00457F94"/>
    <w:rsid w:val="00457FDC"/>
    <w:rsid w:val="00457FFA"/>
    <w:rsid w:val="00460069"/>
    <w:rsid w:val="004600F9"/>
    <w:rsid w:val="004601FF"/>
    <w:rsid w:val="00460220"/>
    <w:rsid w:val="004602AF"/>
    <w:rsid w:val="004602BB"/>
    <w:rsid w:val="00460404"/>
    <w:rsid w:val="00460555"/>
    <w:rsid w:val="0046055E"/>
    <w:rsid w:val="004605CB"/>
    <w:rsid w:val="004606C6"/>
    <w:rsid w:val="00460751"/>
    <w:rsid w:val="0046076F"/>
    <w:rsid w:val="00460807"/>
    <w:rsid w:val="00460949"/>
    <w:rsid w:val="0046095E"/>
    <w:rsid w:val="00460A6E"/>
    <w:rsid w:val="00460A73"/>
    <w:rsid w:val="00460B46"/>
    <w:rsid w:val="00460C3F"/>
    <w:rsid w:val="00460D81"/>
    <w:rsid w:val="00460EA9"/>
    <w:rsid w:val="00460EB6"/>
    <w:rsid w:val="00460EE6"/>
    <w:rsid w:val="0046101C"/>
    <w:rsid w:val="00461059"/>
    <w:rsid w:val="004610F6"/>
    <w:rsid w:val="00461130"/>
    <w:rsid w:val="00461214"/>
    <w:rsid w:val="00461232"/>
    <w:rsid w:val="0046127C"/>
    <w:rsid w:val="004612E0"/>
    <w:rsid w:val="004612E7"/>
    <w:rsid w:val="00461317"/>
    <w:rsid w:val="0046134F"/>
    <w:rsid w:val="00461596"/>
    <w:rsid w:val="004615E2"/>
    <w:rsid w:val="00461619"/>
    <w:rsid w:val="0046174B"/>
    <w:rsid w:val="0046175A"/>
    <w:rsid w:val="00461782"/>
    <w:rsid w:val="004617AA"/>
    <w:rsid w:val="00461819"/>
    <w:rsid w:val="00461848"/>
    <w:rsid w:val="004618F2"/>
    <w:rsid w:val="004619D0"/>
    <w:rsid w:val="004619E5"/>
    <w:rsid w:val="00461A60"/>
    <w:rsid w:val="00461A85"/>
    <w:rsid w:val="00461AC7"/>
    <w:rsid w:val="00461AF1"/>
    <w:rsid w:val="00461B30"/>
    <w:rsid w:val="00461B5F"/>
    <w:rsid w:val="00461C66"/>
    <w:rsid w:val="00461CEA"/>
    <w:rsid w:val="00461E06"/>
    <w:rsid w:val="00461E69"/>
    <w:rsid w:val="00461F16"/>
    <w:rsid w:val="00462018"/>
    <w:rsid w:val="00462028"/>
    <w:rsid w:val="0046209B"/>
    <w:rsid w:val="004620DB"/>
    <w:rsid w:val="0046228B"/>
    <w:rsid w:val="004622CA"/>
    <w:rsid w:val="00462314"/>
    <w:rsid w:val="00462318"/>
    <w:rsid w:val="00462368"/>
    <w:rsid w:val="004623E1"/>
    <w:rsid w:val="004623E3"/>
    <w:rsid w:val="004623F2"/>
    <w:rsid w:val="00462445"/>
    <w:rsid w:val="0046248E"/>
    <w:rsid w:val="004624C6"/>
    <w:rsid w:val="004624FC"/>
    <w:rsid w:val="00462515"/>
    <w:rsid w:val="004625E5"/>
    <w:rsid w:val="004626EB"/>
    <w:rsid w:val="004626EE"/>
    <w:rsid w:val="0046274A"/>
    <w:rsid w:val="0046274D"/>
    <w:rsid w:val="004627F7"/>
    <w:rsid w:val="004628B3"/>
    <w:rsid w:val="00462901"/>
    <w:rsid w:val="004629B9"/>
    <w:rsid w:val="00462A33"/>
    <w:rsid w:val="00462A84"/>
    <w:rsid w:val="00462AC3"/>
    <w:rsid w:val="00462AC9"/>
    <w:rsid w:val="00462D8F"/>
    <w:rsid w:val="00462DCF"/>
    <w:rsid w:val="00462F9F"/>
    <w:rsid w:val="00463047"/>
    <w:rsid w:val="00463061"/>
    <w:rsid w:val="00463068"/>
    <w:rsid w:val="004630EB"/>
    <w:rsid w:val="0046319C"/>
    <w:rsid w:val="0046329D"/>
    <w:rsid w:val="004632CE"/>
    <w:rsid w:val="004633EA"/>
    <w:rsid w:val="00463496"/>
    <w:rsid w:val="00463523"/>
    <w:rsid w:val="0046352E"/>
    <w:rsid w:val="00463601"/>
    <w:rsid w:val="0046362F"/>
    <w:rsid w:val="0046366E"/>
    <w:rsid w:val="004636F4"/>
    <w:rsid w:val="004636F9"/>
    <w:rsid w:val="0046373F"/>
    <w:rsid w:val="00463741"/>
    <w:rsid w:val="00463784"/>
    <w:rsid w:val="004637F5"/>
    <w:rsid w:val="004638F7"/>
    <w:rsid w:val="00463960"/>
    <w:rsid w:val="004639F6"/>
    <w:rsid w:val="00463A91"/>
    <w:rsid w:val="00463AAA"/>
    <w:rsid w:val="00463BE7"/>
    <w:rsid w:val="00463C79"/>
    <w:rsid w:val="00463CF7"/>
    <w:rsid w:val="00463D49"/>
    <w:rsid w:val="00463E2F"/>
    <w:rsid w:val="00463E58"/>
    <w:rsid w:val="00463E97"/>
    <w:rsid w:val="00463ED0"/>
    <w:rsid w:val="00463F17"/>
    <w:rsid w:val="00463F99"/>
    <w:rsid w:val="00463FC1"/>
    <w:rsid w:val="004640CD"/>
    <w:rsid w:val="004642BA"/>
    <w:rsid w:val="0046430F"/>
    <w:rsid w:val="004643D8"/>
    <w:rsid w:val="00464437"/>
    <w:rsid w:val="00464526"/>
    <w:rsid w:val="00464533"/>
    <w:rsid w:val="004645B7"/>
    <w:rsid w:val="004646AC"/>
    <w:rsid w:val="004646BE"/>
    <w:rsid w:val="004646E3"/>
    <w:rsid w:val="004646EC"/>
    <w:rsid w:val="00464706"/>
    <w:rsid w:val="0046475A"/>
    <w:rsid w:val="00464789"/>
    <w:rsid w:val="004647E4"/>
    <w:rsid w:val="0046481B"/>
    <w:rsid w:val="0046483C"/>
    <w:rsid w:val="0046486D"/>
    <w:rsid w:val="00464955"/>
    <w:rsid w:val="004649EA"/>
    <w:rsid w:val="00464A66"/>
    <w:rsid w:val="00464B21"/>
    <w:rsid w:val="00464B76"/>
    <w:rsid w:val="00464BAE"/>
    <w:rsid w:val="00464CD4"/>
    <w:rsid w:val="00464CE5"/>
    <w:rsid w:val="00464D07"/>
    <w:rsid w:val="00464D6C"/>
    <w:rsid w:val="00464E2D"/>
    <w:rsid w:val="00464EEC"/>
    <w:rsid w:val="00464FFE"/>
    <w:rsid w:val="0046501A"/>
    <w:rsid w:val="004650BA"/>
    <w:rsid w:val="004650D8"/>
    <w:rsid w:val="004650E9"/>
    <w:rsid w:val="0046512D"/>
    <w:rsid w:val="00465141"/>
    <w:rsid w:val="004651EC"/>
    <w:rsid w:val="00465222"/>
    <w:rsid w:val="004652B1"/>
    <w:rsid w:val="0046531C"/>
    <w:rsid w:val="00465341"/>
    <w:rsid w:val="00465369"/>
    <w:rsid w:val="0046542B"/>
    <w:rsid w:val="0046544A"/>
    <w:rsid w:val="00465497"/>
    <w:rsid w:val="004654A2"/>
    <w:rsid w:val="004654FE"/>
    <w:rsid w:val="004656AA"/>
    <w:rsid w:val="0046571B"/>
    <w:rsid w:val="00465742"/>
    <w:rsid w:val="00465A0A"/>
    <w:rsid w:val="00465A35"/>
    <w:rsid w:val="00465A6D"/>
    <w:rsid w:val="00465AC6"/>
    <w:rsid w:val="00465ADB"/>
    <w:rsid w:val="00465B53"/>
    <w:rsid w:val="00465BFD"/>
    <w:rsid w:val="00465CD9"/>
    <w:rsid w:val="00465E2E"/>
    <w:rsid w:val="00465F5E"/>
    <w:rsid w:val="00465F73"/>
    <w:rsid w:val="00466019"/>
    <w:rsid w:val="0046602E"/>
    <w:rsid w:val="004660C2"/>
    <w:rsid w:val="0046612D"/>
    <w:rsid w:val="00466149"/>
    <w:rsid w:val="0046620D"/>
    <w:rsid w:val="0046624C"/>
    <w:rsid w:val="00466258"/>
    <w:rsid w:val="00466284"/>
    <w:rsid w:val="0046634B"/>
    <w:rsid w:val="00466394"/>
    <w:rsid w:val="004663C1"/>
    <w:rsid w:val="0046641B"/>
    <w:rsid w:val="004664B0"/>
    <w:rsid w:val="004664BB"/>
    <w:rsid w:val="004664FB"/>
    <w:rsid w:val="0046659B"/>
    <w:rsid w:val="004665E5"/>
    <w:rsid w:val="0046665C"/>
    <w:rsid w:val="0046666A"/>
    <w:rsid w:val="0046668F"/>
    <w:rsid w:val="00466782"/>
    <w:rsid w:val="0046682E"/>
    <w:rsid w:val="00466960"/>
    <w:rsid w:val="00466A04"/>
    <w:rsid w:val="00466A21"/>
    <w:rsid w:val="00466AB3"/>
    <w:rsid w:val="00466AFF"/>
    <w:rsid w:val="00466C09"/>
    <w:rsid w:val="00466C31"/>
    <w:rsid w:val="00466C34"/>
    <w:rsid w:val="00466E84"/>
    <w:rsid w:val="00466E96"/>
    <w:rsid w:val="00466E9B"/>
    <w:rsid w:val="00466E9D"/>
    <w:rsid w:val="00466EA6"/>
    <w:rsid w:val="00466FB9"/>
    <w:rsid w:val="00467093"/>
    <w:rsid w:val="004671DF"/>
    <w:rsid w:val="004672E4"/>
    <w:rsid w:val="004673AC"/>
    <w:rsid w:val="00467467"/>
    <w:rsid w:val="004674FF"/>
    <w:rsid w:val="004675B6"/>
    <w:rsid w:val="004676BD"/>
    <w:rsid w:val="0046776D"/>
    <w:rsid w:val="00467782"/>
    <w:rsid w:val="004677D5"/>
    <w:rsid w:val="004677FD"/>
    <w:rsid w:val="004678E9"/>
    <w:rsid w:val="00467950"/>
    <w:rsid w:val="0046798A"/>
    <w:rsid w:val="004679B2"/>
    <w:rsid w:val="00467AD7"/>
    <w:rsid w:val="00467B2D"/>
    <w:rsid w:val="00467C27"/>
    <w:rsid w:val="00467CA0"/>
    <w:rsid w:val="00467DBE"/>
    <w:rsid w:val="00467DE2"/>
    <w:rsid w:val="00467F11"/>
    <w:rsid w:val="00467F5C"/>
    <w:rsid w:val="00467FF4"/>
    <w:rsid w:val="00470011"/>
    <w:rsid w:val="0047001A"/>
    <w:rsid w:val="00470030"/>
    <w:rsid w:val="00470063"/>
    <w:rsid w:val="004700F8"/>
    <w:rsid w:val="00470204"/>
    <w:rsid w:val="00470229"/>
    <w:rsid w:val="00470391"/>
    <w:rsid w:val="004703BB"/>
    <w:rsid w:val="004704F3"/>
    <w:rsid w:val="004704F8"/>
    <w:rsid w:val="0047050B"/>
    <w:rsid w:val="00470517"/>
    <w:rsid w:val="004705AD"/>
    <w:rsid w:val="004705EA"/>
    <w:rsid w:val="0047072B"/>
    <w:rsid w:val="004707E0"/>
    <w:rsid w:val="0047084B"/>
    <w:rsid w:val="004708DB"/>
    <w:rsid w:val="004709DA"/>
    <w:rsid w:val="004709DB"/>
    <w:rsid w:val="00470A59"/>
    <w:rsid w:val="00470AFE"/>
    <w:rsid w:val="00470B7A"/>
    <w:rsid w:val="00470BAE"/>
    <w:rsid w:val="00470CA0"/>
    <w:rsid w:val="00470D0B"/>
    <w:rsid w:val="00470D12"/>
    <w:rsid w:val="00470F43"/>
    <w:rsid w:val="00470FCE"/>
    <w:rsid w:val="00471078"/>
    <w:rsid w:val="004710E2"/>
    <w:rsid w:val="004710EA"/>
    <w:rsid w:val="004713F8"/>
    <w:rsid w:val="0047143F"/>
    <w:rsid w:val="00471450"/>
    <w:rsid w:val="004714C9"/>
    <w:rsid w:val="00471552"/>
    <w:rsid w:val="00471586"/>
    <w:rsid w:val="00471609"/>
    <w:rsid w:val="0047160A"/>
    <w:rsid w:val="004716C0"/>
    <w:rsid w:val="00471731"/>
    <w:rsid w:val="00471740"/>
    <w:rsid w:val="00471845"/>
    <w:rsid w:val="0047184C"/>
    <w:rsid w:val="00471881"/>
    <w:rsid w:val="0047191C"/>
    <w:rsid w:val="00471938"/>
    <w:rsid w:val="00471978"/>
    <w:rsid w:val="004719B8"/>
    <w:rsid w:val="00471A07"/>
    <w:rsid w:val="00471A0C"/>
    <w:rsid w:val="00471A6A"/>
    <w:rsid w:val="00471A9A"/>
    <w:rsid w:val="00471AAC"/>
    <w:rsid w:val="00471AD5"/>
    <w:rsid w:val="00471B0E"/>
    <w:rsid w:val="00471BD4"/>
    <w:rsid w:val="00471C15"/>
    <w:rsid w:val="00471CD2"/>
    <w:rsid w:val="00471D9C"/>
    <w:rsid w:val="00471DB3"/>
    <w:rsid w:val="00471DC7"/>
    <w:rsid w:val="00471E40"/>
    <w:rsid w:val="00471E70"/>
    <w:rsid w:val="00471E94"/>
    <w:rsid w:val="00471EE8"/>
    <w:rsid w:val="00472009"/>
    <w:rsid w:val="00472030"/>
    <w:rsid w:val="004720CD"/>
    <w:rsid w:val="00472136"/>
    <w:rsid w:val="004721B7"/>
    <w:rsid w:val="004721C0"/>
    <w:rsid w:val="004721D6"/>
    <w:rsid w:val="004721EC"/>
    <w:rsid w:val="004721FF"/>
    <w:rsid w:val="00472268"/>
    <w:rsid w:val="00472276"/>
    <w:rsid w:val="004722E7"/>
    <w:rsid w:val="00472389"/>
    <w:rsid w:val="004724A9"/>
    <w:rsid w:val="0047251C"/>
    <w:rsid w:val="00472602"/>
    <w:rsid w:val="00472688"/>
    <w:rsid w:val="004726F6"/>
    <w:rsid w:val="004727EF"/>
    <w:rsid w:val="0047283C"/>
    <w:rsid w:val="004728AB"/>
    <w:rsid w:val="004729C3"/>
    <w:rsid w:val="00472A16"/>
    <w:rsid w:val="00472BF1"/>
    <w:rsid w:val="00472C42"/>
    <w:rsid w:val="00472CA1"/>
    <w:rsid w:val="00472D1C"/>
    <w:rsid w:val="00472E21"/>
    <w:rsid w:val="00472E42"/>
    <w:rsid w:val="00472ED0"/>
    <w:rsid w:val="00472EF9"/>
    <w:rsid w:val="00473187"/>
    <w:rsid w:val="004731B4"/>
    <w:rsid w:val="004731EF"/>
    <w:rsid w:val="0047321D"/>
    <w:rsid w:val="0047327F"/>
    <w:rsid w:val="004732CF"/>
    <w:rsid w:val="004732F6"/>
    <w:rsid w:val="0047333A"/>
    <w:rsid w:val="00473387"/>
    <w:rsid w:val="0047343B"/>
    <w:rsid w:val="00473519"/>
    <w:rsid w:val="00473745"/>
    <w:rsid w:val="00473B22"/>
    <w:rsid w:val="00473B23"/>
    <w:rsid w:val="00473B55"/>
    <w:rsid w:val="00473C4C"/>
    <w:rsid w:val="00473C8A"/>
    <w:rsid w:val="00473CBA"/>
    <w:rsid w:val="00473CBF"/>
    <w:rsid w:val="00473D9E"/>
    <w:rsid w:val="00473DA9"/>
    <w:rsid w:val="00473E8B"/>
    <w:rsid w:val="00473EAD"/>
    <w:rsid w:val="00473EC3"/>
    <w:rsid w:val="00473EDE"/>
    <w:rsid w:val="00473F82"/>
    <w:rsid w:val="00473FA0"/>
    <w:rsid w:val="00473FCC"/>
    <w:rsid w:val="0047405A"/>
    <w:rsid w:val="004740B4"/>
    <w:rsid w:val="0047411C"/>
    <w:rsid w:val="0047416E"/>
    <w:rsid w:val="004741E5"/>
    <w:rsid w:val="00474250"/>
    <w:rsid w:val="004742C0"/>
    <w:rsid w:val="004742E0"/>
    <w:rsid w:val="004742F9"/>
    <w:rsid w:val="004743C0"/>
    <w:rsid w:val="00474416"/>
    <w:rsid w:val="004744B9"/>
    <w:rsid w:val="00474513"/>
    <w:rsid w:val="0047458E"/>
    <w:rsid w:val="004745A2"/>
    <w:rsid w:val="004745D4"/>
    <w:rsid w:val="004745DD"/>
    <w:rsid w:val="004746A7"/>
    <w:rsid w:val="004746FC"/>
    <w:rsid w:val="00474784"/>
    <w:rsid w:val="00474862"/>
    <w:rsid w:val="0047487B"/>
    <w:rsid w:val="00474A09"/>
    <w:rsid w:val="00474B78"/>
    <w:rsid w:val="00474B82"/>
    <w:rsid w:val="00474C43"/>
    <w:rsid w:val="00474D47"/>
    <w:rsid w:val="00474E22"/>
    <w:rsid w:val="00474F0A"/>
    <w:rsid w:val="00474F6F"/>
    <w:rsid w:val="0047504F"/>
    <w:rsid w:val="0047506B"/>
    <w:rsid w:val="00475111"/>
    <w:rsid w:val="00475184"/>
    <w:rsid w:val="004751E9"/>
    <w:rsid w:val="00475231"/>
    <w:rsid w:val="004752AF"/>
    <w:rsid w:val="004752BE"/>
    <w:rsid w:val="004752EE"/>
    <w:rsid w:val="00475373"/>
    <w:rsid w:val="0047539A"/>
    <w:rsid w:val="004753FC"/>
    <w:rsid w:val="0047545F"/>
    <w:rsid w:val="0047562A"/>
    <w:rsid w:val="0047568B"/>
    <w:rsid w:val="00475705"/>
    <w:rsid w:val="0047570A"/>
    <w:rsid w:val="0047571B"/>
    <w:rsid w:val="0047580F"/>
    <w:rsid w:val="00475873"/>
    <w:rsid w:val="00475899"/>
    <w:rsid w:val="004758A4"/>
    <w:rsid w:val="004758F7"/>
    <w:rsid w:val="00475937"/>
    <w:rsid w:val="00475A67"/>
    <w:rsid w:val="00475A82"/>
    <w:rsid w:val="00475A90"/>
    <w:rsid w:val="00475ABE"/>
    <w:rsid w:val="00475B38"/>
    <w:rsid w:val="00475BEC"/>
    <w:rsid w:val="00475BF0"/>
    <w:rsid w:val="00475D5A"/>
    <w:rsid w:val="00475DC9"/>
    <w:rsid w:val="00475E85"/>
    <w:rsid w:val="00475ECA"/>
    <w:rsid w:val="00475EFE"/>
    <w:rsid w:val="00475FBE"/>
    <w:rsid w:val="00476027"/>
    <w:rsid w:val="00476029"/>
    <w:rsid w:val="0047602A"/>
    <w:rsid w:val="004760CD"/>
    <w:rsid w:val="004760FC"/>
    <w:rsid w:val="00476119"/>
    <w:rsid w:val="00476128"/>
    <w:rsid w:val="00476180"/>
    <w:rsid w:val="00476392"/>
    <w:rsid w:val="004763AD"/>
    <w:rsid w:val="00476429"/>
    <w:rsid w:val="004764A9"/>
    <w:rsid w:val="004764FA"/>
    <w:rsid w:val="00476515"/>
    <w:rsid w:val="00476563"/>
    <w:rsid w:val="004766B6"/>
    <w:rsid w:val="00476735"/>
    <w:rsid w:val="00476744"/>
    <w:rsid w:val="0047674E"/>
    <w:rsid w:val="00476784"/>
    <w:rsid w:val="00476822"/>
    <w:rsid w:val="0047682C"/>
    <w:rsid w:val="0047687C"/>
    <w:rsid w:val="004768B4"/>
    <w:rsid w:val="00476A16"/>
    <w:rsid w:val="00476A3B"/>
    <w:rsid w:val="00476A72"/>
    <w:rsid w:val="00476A74"/>
    <w:rsid w:val="00476B41"/>
    <w:rsid w:val="00476C73"/>
    <w:rsid w:val="00476CE9"/>
    <w:rsid w:val="00476D4F"/>
    <w:rsid w:val="00476EBA"/>
    <w:rsid w:val="00476FB8"/>
    <w:rsid w:val="00477049"/>
    <w:rsid w:val="004770BB"/>
    <w:rsid w:val="004770D7"/>
    <w:rsid w:val="004771A7"/>
    <w:rsid w:val="004771DC"/>
    <w:rsid w:val="00477218"/>
    <w:rsid w:val="00477224"/>
    <w:rsid w:val="0047723D"/>
    <w:rsid w:val="0047726D"/>
    <w:rsid w:val="00477344"/>
    <w:rsid w:val="0047734C"/>
    <w:rsid w:val="00477411"/>
    <w:rsid w:val="004774D0"/>
    <w:rsid w:val="00477520"/>
    <w:rsid w:val="00477527"/>
    <w:rsid w:val="004775FD"/>
    <w:rsid w:val="0047772D"/>
    <w:rsid w:val="004778BA"/>
    <w:rsid w:val="004778E2"/>
    <w:rsid w:val="004779BF"/>
    <w:rsid w:val="00477A19"/>
    <w:rsid w:val="00477A59"/>
    <w:rsid w:val="00477AC4"/>
    <w:rsid w:val="00477C42"/>
    <w:rsid w:val="00477CA4"/>
    <w:rsid w:val="00477CAE"/>
    <w:rsid w:val="00477CD1"/>
    <w:rsid w:val="00477DAA"/>
    <w:rsid w:val="00477DB6"/>
    <w:rsid w:val="00477E11"/>
    <w:rsid w:val="00477E4E"/>
    <w:rsid w:val="00477EA4"/>
    <w:rsid w:val="00477EF5"/>
    <w:rsid w:val="00477FCB"/>
    <w:rsid w:val="00480127"/>
    <w:rsid w:val="004801BD"/>
    <w:rsid w:val="004801E0"/>
    <w:rsid w:val="004801F5"/>
    <w:rsid w:val="00480232"/>
    <w:rsid w:val="0048037C"/>
    <w:rsid w:val="00480427"/>
    <w:rsid w:val="00480468"/>
    <w:rsid w:val="004804A3"/>
    <w:rsid w:val="004804B8"/>
    <w:rsid w:val="00480561"/>
    <w:rsid w:val="00480593"/>
    <w:rsid w:val="0048063B"/>
    <w:rsid w:val="00480666"/>
    <w:rsid w:val="00480698"/>
    <w:rsid w:val="004806B3"/>
    <w:rsid w:val="00480734"/>
    <w:rsid w:val="0048073A"/>
    <w:rsid w:val="0048078B"/>
    <w:rsid w:val="004807AE"/>
    <w:rsid w:val="004807E8"/>
    <w:rsid w:val="0048089C"/>
    <w:rsid w:val="004808AD"/>
    <w:rsid w:val="00480997"/>
    <w:rsid w:val="004809C2"/>
    <w:rsid w:val="004809DE"/>
    <w:rsid w:val="00480A2B"/>
    <w:rsid w:val="00480AD1"/>
    <w:rsid w:val="00480B60"/>
    <w:rsid w:val="00480B6C"/>
    <w:rsid w:val="00480C7C"/>
    <w:rsid w:val="00480C88"/>
    <w:rsid w:val="00480C8B"/>
    <w:rsid w:val="00480CD6"/>
    <w:rsid w:val="00480D11"/>
    <w:rsid w:val="00480D5A"/>
    <w:rsid w:val="00480DB4"/>
    <w:rsid w:val="00480EE6"/>
    <w:rsid w:val="00480F50"/>
    <w:rsid w:val="00480FB2"/>
    <w:rsid w:val="00481089"/>
    <w:rsid w:val="0048111A"/>
    <w:rsid w:val="0048113A"/>
    <w:rsid w:val="00481181"/>
    <w:rsid w:val="00481193"/>
    <w:rsid w:val="0048126E"/>
    <w:rsid w:val="004812FA"/>
    <w:rsid w:val="00481362"/>
    <w:rsid w:val="004813C2"/>
    <w:rsid w:val="004813E8"/>
    <w:rsid w:val="00481404"/>
    <w:rsid w:val="004814A9"/>
    <w:rsid w:val="0048154D"/>
    <w:rsid w:val="00481573"/>
    <w:rsid w:val="00481711"/>
    <w:rsid w:val="004818A7"/>
    <w:rsid w:val="0048194F"/>
    <w:rsid w:val="00481958"/>
    <w:rsid w:val="004819D3"/>
    <w:rsid w:val="00481A02"/>
    <w:rsid w:val="00481A6E"/>
    <w:rsid w:val="00481B75"/>
    <w:rsid w:val="00481C16"/>
    <w:rsid w:val="00481C66"/>
    <w:rsid w:val="00481CD7"/>
    <w:rsid w:val="00481DA6"/>
    <w:rsid w:val="00481E5A"/>
    <w:rsid w:val="00481EC2"/>
    <w:rsid w:val="00481F0E"/>
    <w:rsid w:val="00481F21"/>
    <w:rsid w:val="00481F5A"/>
    <w:rsid w:val="00481FD4"/>
    <w:rsid w:val="0048204F"/>
    <w:rsid w:val="00482099"/>
    <w:rsid w:val="00482105"/>
    <w:rsid w:val="004821E8"/>
    <w:rsid w:val="004821EB"/>
    <w:rsid w:val="00482243"/>
    <w:rsid w:val="004822A2"/>
    <w:rsid w:val="004822C7"/>
    <w:rsid w:val="004823A1"/>
    <w:rsid w:val="004823FC"/>
    <w:rsid w:val="0048243F"/>
    <w:rsid w:val="00482448"/>
    <w:rsid w:val="00482476"/>
    <w:rsid w:val="004825A2"/>
    <w:rsid w:val="004825D9"/>
    <w:rsid w:val="00482619"/>
    <w:rsid w:val="004826FD"/>
    <w:rsid w:val="00482777"/>
    <w:rsid w:val="004827AB"/>
    <w:rsid w:val="00482874"/>
    <w:rsid w:val="00482934"/>
    <w:rsid w:val="0048296A"/>
    <w:rsid w:val="004829AD"/>
    <w:rsid w:val="004829C3"/>
    <w:rsid w:val="00482A12"/>
    <w:rsid w:val="00482BB2"/>
    <w:rsid w:val="00482C1E"/>
    <w:rsid w:val="00482D7F"/>
    <w:rsid w:val="00482DCC"/>
    <w:rsid w:val="00482E0B"/>
    <w:rsid w:val="00482E1C"/>
    <w:rsid w:val="00482E4C"/>
    <w:rsid w:val="00482EA4"/>
    <w:rsid w:val="00482EBC"/>
    <w:rsid w:val="00482ED8"/>
    <w:rsid w:val="00482F36"/>
    <w:rsid w:val="00482FEE"/>
    <w:rsid w:val="00483018"/>
    <w:rsid w:val="00483092"/>
    <w:rsid w:val="004830DE"/>
    <w:rsid w:val="00483267"/>
    <w:rsid w:val="0048326C"/>
    <w:rsid w:val="00483298"/>
    <w:rsid w:val="004832AA"/>
    <w:rsid w:val="004832BE"/>
    <w:rsid w:val="004832D9"/>
    <w:rsid w:val="00483366"/>
    <w:rsid w:val="0048336C"/>
    <w:rsid w:val="004833AE"/>
    <w:rsid w:val="00483471"/>
    <w:rsid w:val="004834D0"/>
    <w:rsid w:val="00483540"/>
    <w:rsid w:val="00483580"/>
    <w:rsid w:val="004835BE"/>
    <w:rsid w:val="00483616"/>
    <w:rsid w:val="00483720"/>
    <w:rsid w:val="00483736"/>
    <w:rsid w:val="004837DE"/>
    <w:rsid w:val="0048383C"/>
    <w:rsid w:val="00483A37"/>
    <w:rsid w:val="00483CB1"/>
    <w:rsid w:val="00483D79"/>
    <w:rsid w:val="00483E56"/>
    <w:rsid w:val="00483F31"/>
    <w:rsid w:val="00483F40"/>
    <w:rsid w:val="00483F87"/>
    <w:rsid w:val="00484090"/>
    <w:rsid w:val="004841A1"/>
    <w:rsid w:val="004841AA"/>
    <w:rsid w:val="004841F3"/>
    <w:rsid w:val="004842A4"/>
    <w:rsid w:val="004842A6"/>
    <w:rsid w:val="00484363"/>
    <w:rsid w:val="00484389"/>
    <w:rsid w:val="0048445D"/>
    <w:rsid w:val="00484722"/>
    <w:rsid w:val="004847A8"/>
    <w:rsid w:val="004847D5"/>
    <w:rsid w:val="00484871"/>
    <w:rsid w:val="00484963"/>
    <w:rsid w:val="00484A51"/>
    <w:rsid w:val="00484A73"/>
    <w:rsid w:val="00484A88"/>
    <w:rsid w:val="00484A99"/>
    <w:rsid w:val="00484AC5"/>
    <w:rsid w:val="00484B11"/>
    <w:rsid w:val="00484BE5"/>
    <w:rsid w:val="00484C45"/>
    <w:rsid w:val="00484C50"/>
    <w:rsid w:val="00484E5C"/>
    <w:rsid w:val="00484F4F"/>
    <w:rsid w:val="00484FC2"/>
    <w:rsid w:val="0048504D"/>
    <w:rsid w:val="004850B5"/>
    <w:rsid w:val="004850D1"/>
    <w:rsid w:val="004850FD"/>
    <w:rsid w:val="00485181"/>
    <w:rsid w:val="0048524A"/>
    <w:rsid w:val="0048527B"/>
    <w:rsid w:val="004852BF"/>
    <w:rsid w:val="004852ED"/>
    <w:rsid w:val="0048532E"/>
    <w:rsid w:val="0048536E"/>
    <w:rsid w:val="00485433"/>
    <w:rsid w:val="0048544A"/>
    <w:rsid w:val="0048548C"/>
    <w:rsid w:val="004854BC"/>
    <w:rsid w:val="00485514"/>
    <w:rsid w:val="0048553D"/>
    <w:rsid w:val="004855D2"/>
    <w:rsid w:val="00485697"/>
    <w:rsid w:val="0048572C"/>
    <w:rsid w:val="00485864"/>
    <w:rsid w:val="00485890"/>
    <w:rsid w:val="004858AB"/>
    <w:rsid w:val="00485A02"/>
    <w:rsid w:val="00485AC3"/>
    <w:rsid w:val="00485B29"/>
    <w:rsid w:val="00485BA5"/>
    <w:rsid w:val="00485BE5"/>
    <w:rsid w:val="00485C74"/>
    <w:rsid w:val="00485C8A"/>
    <w:rsid w:val="00485CF8"/>
    <w:rsid w:val="00485D1C"/>
    <w:rsid w:val="00485D3B"/>
    <w:rsid w:val="00485D60"/>
    <w:rsid w:val="00485E2C"/>
    <w:rsid w:val="00485F71"/>
    <w:rsid w:val="00485F8D"/>
    <w:rsid w:val="00485FB0"/>
    <w:rsid w:val="00486010"/>
    <w:rsid w:val="0048607F"/>
    <w:rsid w:val="004861A0"/>
    <w:rsid w:val="004861A9"/>
    <w:rsid w:val="004861EA"/>
    <w:rsid w:val="00486243"/>
    <w:rsid w:val="00486260"/>
    <w:rsid w:val="0048629C"/>
    <w:rsid w:val="0048637C"/>
    <w:rsid w:val="004863D6"/>
    <w:rsid w:val="00486413"/>
    <w:rsid w:val="0048643E"/>
    <w:rsid w:val="004864C9"/>
    <w:rsid w:val="00486551"/>
    <w:rsid w:val="00486564"/>
    <w:rsid w:val="004865A0"/>
    <w:rsid w:val="004865C9"/>
    <w:rsid w:val="0048660B"/>
    <w:rsid w:val="00486671"/>
    <w:rsid w:val="004866C9"/>
    <w:rsid w:val="00486742"/>
    <w:rsid w:val="00486773"/>
    <w:rsid w:val="004867A5"/>
    <w:rsid w:val="004867C1"/>
    <w:rsid w:val="004867F7"/>
    <w:rsid w:val="00486841"/>
    <w:rsid w:val="004868CA"/>
    <w:rsid w:val="0048693C"/>
    <w:rsid w:val="004869B2"/>
    <w:rsid w:val="004869EA"/>
    <w:rsid w:val="004869F7"/>
    <w:rsid w:val="00486B45"/>
    <w:rsid w:val="00486BBB"/>
    <w:rsid w:val="00486C58"/>
    <w:rsid w:val="00486CAB"/>
    <w:rsid w:val="00486CD5"/>
    <w:rsid w:val="00486D10"/>
    <w:rsid w:val="00486D68"/>
    <w:rsid w:val="00486D7D"/>
    <w:rsid w:val="00486DB5"/>
    <w:rsid w:val="00486DD2"/>
    <w:rsid w:val="00486DF0"/>
    <w:rsid w:val="00486EBE"/>
    <w:rsid w:val="00486ED2"/>
    <w:rsid w:val="00486EDD"/>
    <w:rsid w:val="00486EED"/>
    <w:rsid w:val="00486F18"/>
    <w:rsid w:val="00486FAF"/>
    <w:rsid w:val="0048706C"/>
    <w:rsid w:val="00487089"/>
    <w:rsid w:val="004870A1"/>
    <w:rsid w:val="004871FC"/>
    <w:rsid w:val="004873B4"/>
    <w:rsid w:val="004873CE"/>
    <w:rsid w:val="0048740B"/>
    <w:rsid w:val="00487549"/>
    <w:rsid w:val="00487558"/>
    <w:rsid w:val="00487598"/>
    <w:rsid w:val="0048760B"/>
    <w:rsid w:val="00487617"/>
    <w:rsid w:val="00487704"/>
    <w:rsid w:val="0048776B"/>
    <w:rsid w:val="004877F3"/>
    <w:rsid w:val="0048783D"/>
    <w:rsid w:val="0048786C"/>
    <w:rsid w:val="004878E6"/>
    <w:rsid w:val="0048790D"/>
    <w:rsid w:val="0048795F"/>
    <w:rsid w:val="004879B7"/>
    <w:rsid w:val="00487AEC"/>
    <w:rsid w:val="00487B1E"/>
    <w:rsid w:val="00487BD0"/>
    <w:rsid w:val="00487CAE"/>
    <w:rsid w:val="00487CC1"/>
    <w:rsid w:val="00487E5C"/>
    <w:rsid w:val="00487E8E"/>
    <w:rsid w:val="00487F01"/>
    <w:rsid w:val="00487F82"/>
    <w:rsid w:val="00487F9F"/>
    <w:rsid w:val="0049002C"/>
    <w:rsid w:val="00490031"/>
    <w:rsid w:val="00490043"/>
    <w:rsid w:val="004900BB"/>
    <w:rsid w:val="00490208"/>
    <w:rsid w:val="00490229"/>
    <w:rsid w:val="00490233"/>
    <w:rsid w:val="00490240"/>
    <w:rsid w:val="0049025F"/>
    <w:rsid w:val="0049027D"/>
    <w:rsid w:val="004902DE"/>
    <w:rsid w:val="00490302"/>
    <w:rsid w:val="0049034C"/>
    <w:rsid w:val="00490389"/>
    <w:rsid w:val="00490390"/>
    <w:rsid w:val="004903B7"/>
    <w:rsid w:val="00490555"/>
    <w:rsid w:val="004906AE"/>
    <w:rsid w:val="004906D1"/>
    <w:rsid w:val="0049070E"/>
    <w:rsid w:val="00490896"/>
    <w:rsid w:val="004908C5"/>
    <w:rsid w:val="00490953"/>
    <w:rsid w:val="0049096A"/>
    <w:rsid w:val="00490AC2"/>
    <w:rsid w:val="00490BE6"/>
    <w:rsid w:val="00490C5C"/>
    <w:rsid w:val="00490C9A"/>
    <w:rsid w:val="00490D22"/>
    <w:rsid w:val="00490D4A"/>
    <w:rsid w:val="00490D74"/>
    <w:rsid w:val="00490EBF"/>
    <w:rsid w:val="00490FF4"/>
    <w:rsid w:val="0049100A"/>
    <w:rsid w:val="004911D2"/>
    <w:rsid w:val="004911DB"/>
    <w:rsid w:val="004911DC"/>
    <w:rsid w:val="004912D9"/>
    <w:rsid w:val="00491368"/>
    <w:rsid w:val="004913C6"/>
    <w:rsid w:val="00491406"/>
    <w:rsid w:val="00491438"/>
    <w:rsid w:val="0049144E"/>
    <w:rsid w:val="004916CD"/>
    <w:rsid w:val="0049196A"/>
    <w:rsid w:val="00491A05"/>
    <w:rsid w:val="00491A97"/>
    <w:rsid w:val="00491BB3"/>
    <w:rsid w:val="00491CA1"/>
    <w:rsid w:val="00491CF9"/>
    <w:rsid w:val="00491D13"/>
    <w:rsid w:val="00491D6B"/>
    <w:rsid w:val="00491EFB"/>
    <w:rsid w:val="00491F11"/>
    <w:rsid w:val="00491F1E"/>
    <w:rsid w:val="004920CC"/>
    <w:rsid w:val="0049212B"/>
    <w:rsid w:val="00492257"/>
    <w:rsid w:val="004922FD"/>
    <w:rsid w:val="00492528"/>
    <w:rsid w:val="00492550"/>
    <w:rsid w:val="0049257C"/>
    <w:rsid w:val="00492617"/>
    <w:rsid w:val="00492695"/>
    <w:rsid w:val="004926BE"/>
    <w:rsid w:val="004926C8"/>
    <w:rsid w:val="00492711"/>
    <w:rsid w:val="00492733"/>
    <w:rsid w:val="00492748"/>
    <w:rsid w:val="0049276C"/>
    <w:rsid w:val="00492794"/>
    <w:rsid w:val="0049279A"/>
    <w:rsid w:val="004927A0"/>
    <w:rsid w:val="004929FA"/>
    <w:rsid w:val="00492A9A"/>
    <w:rsid w:val="00492ABF"/>
    <w:rsid w:val="00492AD6"/>
    <w:rsid w:val="00492B0B"/>
    <w:rsid w:val="00492D73"/>
    <w:rsid w:val="00492DE5"/>
    <w:rsid w:val="00492E59"/>
    <w:rsid w:val="00492EBE"/>
    <w:rsid w:val="00492F9A"/>
    <w:rsid w:val="0049303C"/>
    <w:rsid w:val="00493086"/>
    <w:rsid w:val="00493107"/>
    <w:rsid w:val="00493123"/>
    <w:rsid w:val="00493230"/>
    <w:rsid w:val="00493256"/>
    <w:rsid w:val="004932C1"/>
    <w:rsid w:val="00493325"/>
    <w:rsid w:val="00493364"/>
    <w:rsid w:val="00493366"/>
    <w:rsid w:val="004933AF"/>
    <w:rsid w:val="004933B2"/>
    <w:rsid w:val="004933DF"/>
    <w:rsid w:val="004934D7"/>
    <w:rsid w:val="004934F4"/>
    <w:rsid w:val="00493585"/>
    <w:rsid w:val="004935B4"/>
    <w:rsid w:val="004935DA"/>
    <w:rsid w:val="0049361C"/>
    <w:rsid w:val="00493642"/>
    <w:rsid w:val="00493721"/>
    <w:rsid w:val="0049375D"/>
    <w:rsid w:val="004937B3"/>
    <w:rsid w:val="00493A45"/>
    <w:rsid w:val="00493A57"/>
    <w:rsid w:val="00493A5E"/>
    <w:rsid w:val="00493A74"/>
    <w:rsid w:val="00493A79"/>
    <w:rsid w:val="00493AC1"/>
    <w:rsid w:val="00493C19"/>
    <w:rsid w:val="00493CE5"/>
    <w:rsid w:val="00493D84"/>
    <w:rsid w:val="00493E36"/>
    <w:rsid w:val="00493E95"/>
    <w:rsid w:val="00493EA0"/>
    <w:rsid w:val="00493EB1"/>
    <w:rsid w:val="00493EE9"/>
    <w:rsid w:val="00493F06"/>
    <w:rsid w:val="00493F31"/>
    <w:rsid w:val="00493FC8"/>
    <w:rsid w:val="00493FE3"/>
    <w:rsid w:val="004940CE"/>
    <w:rsid w:val="00494104"/>
    <w:rsid w:val="00494155"/>
    <w:rsid w:val="0049417A"/>
    <w:rsid w:val="0049435B"/>
    <w:rsid w:val="004943AA"/>
    <w:rsid w:val="004943E6"/>
    <w:rsid w:val="00494474"/>
    <w:rsid w:val="00494490"/>
    <w:rsid w:val="00494498"/>
    <w:rsid w:val="004944D9"/>
    <w:rsid w:val="004944E1"/>
    <w:rsid w:val="00494596"/>
    <w:rsid w:val="0049462F"/>
    <w:rsid w:val="0049465B"/>
    <w:rsid w:val="004946DF"/>
    <w:rsid w:val="00494743"/>
    <w:rsid w:val="00494801"/>
    <w:rsid w:val="00494842"/>
    <w:rsid w:val="00494872"/>
    <w:rsid w:val="004948A5"/>
    <w:rsid w:val="00494960"/>
    <w:rsid w:val="004949BA"/>
    <w:rsid w:val="00494A81"/>
    <w:rsid w:val="00494A9E"/>
    <w:rsid w:val="00494ACC"/>
    <w:rsid w:val="00494B1B"/>
    <w:rsid w:val="00494E65"/>
    <w:rsid w:val="00494F1F"/>
    <w:rsid w:val="00494FFE"/>
    <w:rsid w:val="00495068"/>
    <w:rsid w:val="00495142"/>
    <w:rsid w:val="0049514E"/>
    <w:rsid w:val="0049515A"/>
    <w:rsid w:val="00495163"/>
    <w:rsid w:val="00495244"/>
    <w:rsid w:val="004952B3"/>
    <w:rsid w:val="004952D5"/>
    <w:rsid w:val="004953A4"/>
    <w:rsid w:val="0049546C"/>
    <w:rsid w:val="004954DC"/>
    <w:rsid w:val="0049554A"/>
    <w:rsid w:val="004955B5"/>
    <w:rsid w:val="0049563D"/>
    <w:rsid w:val="00495653"/>
    <w:rsid w:val="00495657"/>
    <w:rsid w:val="004956BB"/>
    <w:rsid w:val="004956C8"/>
    <w:rsid w:val="00495719"/>
    <w:rsid w:val="00495774"/>
    <w:rsid w:val="004957AC"/>
    <w:rsid w:val="004957FA"/>
    <w:rsid w:val="00495A1A"/>
    <w:rsid w:val="00495ABA"/>
    <w:rsid w:val="00495C37"/>
    <w:rsid w:val="00495C4D"/>
    <w:rsid w:val="00495C82"/>
    <w:rsid w:val="00495D13"/>
    <w:rsid w:val="00495D79"/>
    <w:rsid w:val="00495D83"/>
    <w:rsid w:val="00495DED"/>
    <w:rsid w:val="00495E29"/>
    <w:rsid w:val="00495EC7"/>
    <w:rsid w:val="00495F16"/>
    <w:rsid w:val="00495F50"/>
    <w:rsid w:val="00495FB2"/>
    <w:rsid w:val="00495FD7"/>
    <w:rsid w:val="00496002"/>
    <w:rsid w:val="00496030"/>
    <w:rsid w:val="0049604D"/>
    <w:rsid w:val="00496056"/>
    <w:rsid w:val="004960F6"/>
    <w:rsid w:val="00496120"/>
    <w:rsid w:val="0049615E"/>
    <w:rsid w:val="00496164"/>
    <w:rsid w:val="004961B0"/>
    <w:rsid w:val="004961B2"/>
    <w:rsid w:val="004961EF"/>
    <w:rsid w:val="004962C4"/>
    <w:rsid w:val="00496303"/>
    <w:rsid w:val="004963B8"/>
    <w:rsid w:val="004963FB"/>
    <w:rsid w:val="00496491"/>
    <w:rsid w:val="004964B4"/>
    <w:rsid w:val="00496504"/>
    <w:rsid w:val="00496507"/>
    <w:rsid w:val="004965F8"/>
    <w:rsid w:val="0049674F"/>
    <w:rsid w:val="00496811"/>
    <w:rsid w:val="0049685D"/>
    <w:rsid w:val="00496925"/>
    <w:rsid w:val="00496999"/>
    <w:rsid w:val="004969C6"/>
    <w:rsid w:val="00496A4B"/>
    <w:rsid w:val="00496A70"/>
    <w:rsid w:val="00496A99"/>
    <w:rsid w:val="00496B80"/>
    <w:rsid w:val="00496BB7"/>
    <w:rsid w:val="00496C11"/>
    <w:rsid w:val="00496C45"/>
    <w:rsid w:val="00496CF7"/>
    <w:rsid w:val="00496D8B"/>
    <w:rsid w:val="00496ED0"/>
    <w:rsid w:val="00496F40"/>
    <w:rsid w:val="00496F41"/>
    <w:rsid w:val="00496F7B"/>
    <w:rsid w:val="00496FDD"/>
    <w:rsid w:val="0049710A"/>
    <w:rsid w:val="00497113"/>
    <w:rsid w:val="00497195"/>
    <w:rsid w:val="00497233"/>
    <w:rsid w:val="00497332"/>
    <w:rsid w:val="00497356"/>
    <w:rsid w:val="0049739F"/>
    <w:rsid w:val="004973D7"/>
    <w:rsid w:val="00497406"/>
    <w:rsid w:val="0049755E"/>
    <w:rsid w:val="00497580"/>
    <w:rsid w:val="0049763C"/>
    <w:rsid w:val="0049767B"/>
    <w:rsid w:val="0049771E"/>
    <w:rsid w:val="00497740"/>
    <w:rsid w:val="00497828"/>
    <w:rsid w:val="00497854"/>
    <w:rsid w:val="00497879"/>
    <w:rsid w:val="00497893"/>
    <w:rsid w:val="00497912"/>
    <w:rsid w:val="00497953"/>
    <w:rsid w:val="004979A1"/>
    <w:rsid w:val="004979B2"/>
    <w:rsid w:val="004979EF"/>
    <w:rsid w:val="00497A7A"/>
    <w:rsid w:val="00497C64"/>
    <w:rsid w:val="00497C73"/>
    <w:rsid w:val="00497C94"/>
    <w:rsid w:val="00497D47"/>
    <w:rsid w:val="00497E42"/>
    <w:rsid w:val="00497F70"/>
    <w:rsid w:val="00497F94"/>
    <w:rsid w:val="00497FDC"/>
    <w:rsid w:val="004A0056"/>
    <w:rsid w:val="004A0093"/>
    <w:rsid w:val="004A011E"/>
    <w:rsid w:val="004A0158"/>
    <w:rsid w:val="004A025B"/>
    <w:rsid w:val="004A02F5"/>
    <w:rsid w:val="004A0348"/>
    <w:rsid w:val="004A039C"/>
    <w:rsid w:val="004A03A3"/>
    <w:rsid w:val="004A0462"/>
    <w:rsid w:val="004A04A0"/>
    <w:rsid w:val="004A04CB"/>
    <w:rsid w:val="004A052C"/>
    <w:rsid w:val="004A053C"/>
    <w:rsid w:val="004A066A"/>
    <w:rsid w:val="004A0712"/>
    <w:rsid w:val="004A07B1"/>
    <w:rsid w:val="004A0996"/>
    <w:rsid w:val="004A09DA"/>
    <w:rsid w:val="004A09E6"/>
    <w:rsid w:val="004A0A02"/>
    <w:rsid w:val="004A0AA7"/>
    <w:rsid w:val="004A0BCC"/>
    <w:rsid w:val="004A0BF6"/>
    <w:rsid w:val="004A0D19"/>
    <w:rsid w:val="004A0DAF"/>
    <w:rsid w:val="004A0DF2"/>
    <w:rsid w:val="004A0E93"/>
    <w:rsid w:val="004A0EB2"/>
    <w:rsid w:val="004A0ECD"/>
    <w:rsid w:val="004A0F33"/>
    <w:rsid w:val="004A0F6D"/>
    <w:rsid w:val="004A101E"/>
    <w:rsid w:val="004A103E"/>
    <w:rsid w:val="004A1093"/>
    <w:rsid w:val="004A1107"/>
    <w:rsid w:val="004A1167"/>
    <w:rsid w:val="004A116C"/>
    <w:rsid w:val="004A11BD"/>
    <w:rsid w:val="004A11DB"/>
    <w:rsid w:val="004A12A0"/>
    <w:rsid w:val="004A12C5"/>
    <w:rsid w:val="004A12C7"/>
    <w:rsid w:val="004A12D9"/>
    <w:rsid w:val="004A135F"/>
    <w:rsid w:val="004A13ED"/>
    <w:rsid w:val="004A1483"/>
    <w:rsid w:val="004A1567"/>
    <w:rsid w:val="004A1579"/>
    <w:rsid w:val="004A15B6"/>
    <w:rsid w:val="004A160E"/>
    <w:rsid w:val="004A16B3"/>
    <w:rsid w:val="004A16B4"/>
    <w:rsid w:val="004A1780"/>
    <w:rsid w:val="004A1A2D"/>
    <w:rsid w:val="004A1B2B"/>
    <w:rsid w:val="004A1C07"/>
    <w:rsid w:val="004A1D23"/>
    <w:rsid w:val="004A1ECE"/>
    <w:rsid w:val="004A2186"/>
    <w:rsid w:val="004A21F0"/>
    <w:rsid w:val="004A21FE"/>
    <w:rsid w:val="004A2284"/>
    <w:rsid w:val="004A235D"/>
    <w:rsid w:val="004A236B"/>
    <w:rsid w:val="004A23DB"/>
    <w:rsid w:val="004A240F"/>
    <w:rsid w:val="004A2482"/>
    <w:rsid w:val="004A24EC"/>
    <w:rsid w:val="004A252C"/>
    <w:rsid w:val="004A2567"/>
    <w:rsid w:val="004A25AE"/>
    <w:rsid w:val="004A25B3"/>
    <w:rsid w:val="004A2610"/>
    <w:rsid w:val="004A26E5"/>
    <w:rsid w:val="004A26F5"/>
    <w:rsid w:val="004A2781"/>
    <w:rsid w:val="004A2786"/>
    <w:rsid w:val="004A2802"/>
    <w:rsid w:val="004A2873"/>
    <w:rsid w:val="004A29BC"/>
    <w:rsid w:val="004A29FB"/>
    <w:rsid w:val="004A2B2D"/>
    <w:rsid w:val="004A2B9F"/>
    <w:rsid w:val="004A2C23"/>
    <w:rsid w:val="004A2C52"/>
    <w:rsid w:val="004A2C61"/>
    <w:rsid w:val="004A2CAE"/>
    <w:rsid w:val="004A2CD4"/>
    <w:rsid w:val="004A2DCD"/>
    <w:rsid w:val="004A305D"/>
    <w:rsid w:val="004A3065"/>
    <w:rsid w:val="004A306A"/>
    <w:rsid w:val="004A30CF"/>
    <w:rsid w:val="004A3129"/>
    <w:rsid w:val="004A319D"/>
    <w:rsid w:val="004A31B2"/>
    <w:rsid w:val="004A3203"/>
    <w:rsid w:val="004A327A"/>
    <w:rsid w:val="004A3340"/>
    <w:rsid w:val="004A338E"/>
    <w:rsid w:val="004A33BD"/>
    <w:rsid w:val="004A3502"/>
    <w:rsid w:val="004A359E"/>
    <w:rsid w:val="004A35F3"/>
    <w:rsid w:val="004A363C"/>
    <w:rsid w:val="004A3649"/>
    <w:rsid w:val="004A3664"/>
    <w:rsid w:val="004A366F"/>
    <w:rsid w:val="004A36D6"/>
    <w:rsid w:val="004A3756"/>
    <w:rsid w:val="004A37F6"/>
    <w:rsid w:val="004A38F7"/>
    <w:rsid w:val="004A390C"/>
    <w:rsid w:val="004A3939"/>
    <w:rsid w:val="004A395B"/>
    <w:rsid w:val="004A39C0"/>
    <w:rsid w:val="004A39EF"/>
    <w:rsid w:val="004A3A0C"/>
    <w:rsid w:val="004A3A10"/>
    <w:rsid w:val="004A3A35"/>
    <w:rsid w:val="004A3A90"/>
    <w:rsid w:val="004A3AB2"/>
    <w:rsid w:val="004A3C2E"/>
    <w:rsid w:val="004A3C99"/>
    <w:rsid w:val="004A3DA9"/>
    <w:rsid w:val="004A3E4B"/>
    <w:rsid w:val="004A3E4D"/>
    <w:rsid w:val="004A3EFC"/>
    <w:rsid w:val="004A3FE8"/>
    <w:rsid w:val="004A3FFA"/>
    <w:rsid w:val="004A408C"/>
    <w:rsid w:val="004A40AB"/>
    <w:rsid w:val="004A40F8"/>
    <w:rsid w:val="004A41C4"/>
    <w:rsid w:val="004A420C"/>
    <w:rsid w:val="004A44E6"/>
    <w:rsid w:val="004A45B7"/>
    <w:rsid w:val="004A461F"/>
    <w:rsid w:val="004A462C"/>
    <w:rsid w:val="004A4817"/>
    <w:rsid w:val="004A4910"/>
    <w:rsid w:val="004A4921"/>
    <w:rsid w:val="004A4988"/>
    <w:rsid w:val="004A49FD"/>
    <w:rsid w:val="004A4A06"/>
    <w:rsid w:val="004A4AE1"/>
    <w:rsid w:val="004A4B0B"/>
    <w:rsid w:val="004A4B95"/>
    <w:rsid w:val="004A4BA7"/>
    <w:rsid w:val="004A4C04"/>
    <w:rsid w:val="004A4C2B"/>
    <w:rsid w:val="004A4CB8"/>
    <w:rsid w:val="004A4E35"/>
    <w:rsid w:val="004A4EDF"/>
    <w:rsid w:val="004A4F1B"/>
    <w:rsid w:val="004A5041"/>
    <w:rsid w:val="004A5051"/>
    <w:rsid w:val="004A50A3"/>
    <w:rsid w:val="004A510D"/>
    <w:rsid w:val="004A5126"/>
    <w:rsid w:val="004A5159"/>
    <w:rsid w:val="004A518A"/>
    <w:rsid w:val="004A51B4"/>
    <w:rsid w:val="004A51CF"/>
    <w:rsid w:val="004A521D"/>
    <w:rsid w:val="004A5232"/>
    <w:rsid w:val="004A523B"/>
    <w:rsid w:val="004A538B"/>
    <w:rsid w:val="004A54A9"/>
    <w:rsid w:val="004A5511"/>
    <w:rsid w:val="004A552D"/>
    <w:rsid w:val="004A5530"/>
    <w:rsid w:val="004A55A2"/>
    <w:rsid w:val="004A562C"/>
    <w:rsid w:val="004A563B"/>
    <w:rsid w:val="004A5972"/>
    <w:rsid w:val="004A59F3"/>
    <w:rsid w:val="004A5A30"/>
    <w:rsid w:val="004A5A89"/>
    <w:rsid w:val="004A5BFC"/>
    <w:rsid w:val="004A5C6D"/>
    <w:rsid w:val="004A5CA0"/>
    <w:rsid w:val="004A5CF2"/>
    <w:rsid w:val="004A5DCF"/>
    <w:rsid w:val="004A5EFE"/>
    <w:rsid w:val="004A5FAF"/>
    <w:rsid w:val="004A5FD3"/>
    <w:rsid w:val="004A6107"/>
    <w:rsid w:val="004A61D7"/>
    <w:rsid w:val="004A61DB"/>
    <w:rsid w:val="004A6410"/>
    <w:rsid w:val="004A6456"/>
    <w:rsid w:val="004A6485"/>
    <w:rsid w:val="004A6496"/>
    <w:rsid w:val="004A64F9"/>
    <w:rsid w:val="004A6519"/>
    <w:rsid w:val="004A65AE"/>
    <w:rsid w:val="004A65D7"/>
    <w:rsid w:val="004A6612"/>
    <w:rsid w:val="004A6796"/>
    <w:rsid w:val="004A6859"/>
    <w:rsid w:val="004A68AB"/>
    <w:rsid w:val="004A68DA"/>
    <w:rsid w:val="004A68EA"/>
    <w:rsid w:val="004A6A7C"/>
    <w:rsid w:val="004A6A7D"/>
    <w:rsid w:val="004A6AB9"/>
    <w:rsid w:val="004A6B8E"/>
    <w:rsid w:val="004A6BBC"/>
    <w:rsid w:val="004A6BF9"/>
    <w:rsid w:val="004A6C98"/>
    <w:rsid w:val="004A6D6A"/>
    <w:rsid w:val="004A6EC9"/>
    <w:rsid w:val="004A6F44"/>
    <w:rsid w:val="004A7034"/>
    <w:rsid w:val="004A70AD"/>
    <w:rsid w:val="004A70DB"/>
    <w:rsid w:val="004A70EB"/>
    <w:rsid w:val="004A7133"/>
    <w:rsid w:val="004A7142"/>
    <w:rsid w:val="004A714C"/>
    <w:rsid w:val="004A719D"/>
    <w:rsid w:val="004A71D9"/>
    <w:rsid w:val="004A72AA"/>
    <w:rsid w:val="004A74BF"/>
    <w:rsid w:val="004A74DF"/>
    <w:rsid w:val="004A74FC"/>
    <w:rsid w:val="004A7520"/>
    <w:rsid w:val="004A7553"/>
    <w:rsid w:val="004A7563"/>
    <w:rsid w:val="004A758A"/>
    <w:rsid w:val="004A7595"/>
    <w:rsid w:val="004A7714"/>
    <w:rsid w:val="004A773C"/>
    <w:rsid w:val="004A77DC"/>
    <w:rsid w:val="004A7854"/>
    <w:rsid w:val="004A797F"/>
    <w:rsid w:val="004A79F2"/>
    <w:rsid w:val="004A7A3F"/>
    <w:rsid w:val="004A7A41"/>
    <w:rsid w:val="004A7A61"/>
    <w:rsid w:val="004A7A73"/>
    <w:rsid w:val="004A7B46"/>
    <w:rsid w:val="004A7BBB"/>
    <w:rsid w:val="004A7BE4"/>
    <w:rsid w:val="004A7C5D"/>
    <w:rsid w:val="004A7CE9"/>
    <w:rsid w:val="004A7D72"/>
    <w:rsid w:val="004A7DDD"/>
    <w:rsid w:val="004A7E19"/>
    <w:rsid w:val="004A7F5F"/>
    <w:rsid w:val="004A7F75"/>
    <w:rsid w:val="004A7FEB"/>
    <w:rsid w:val="004B00AD"/>
    <w:rsid w:val="004B00F1"/>
    <w:rsid w:val="004B0108"/>
    <w:rsid w:val="004B01F3"/>
    <w:rsid w:val="004B0235"/>
    <w:rsid w:val="004B0249"/>
    <w:rsid w:val="004B02CE"/>
    <w:rsid w:val="004B03EC"/>
    <w:rsid w:val="004B0451"/>
    <w:rsid w:val="004B0509"/>
    <w:rsid w:val="004B05DF"/>
    <w:rsid w:val="004B05F6"/>
    <w:rsid w:val="004B0603"/>
    <w:rsid w:val="004B06A3"/>
    <w:rsid w:val="004B06A5"/>
    <w:rsid w:val="004B077F"/>
    <w:rsid w:val="004B0813"/>
    <w:rsid w:val="004B084F"/>
    <w:rsid w:val="004B0909"/>
    <w:rsid w:val="004B090F"/>
    <w:rsid w:val="004B09F3"/>
    <w:rsid w:val="004B0A44"/>
    <w:rsid w:val="004B0A7D"/>
    <w:rsid w:val="004B0AC8"/>
    <w:rsid w:val="004B0C2A"/>
    <w:rsid w:val="004B0CD2"/>
    <w:rsid w:val="004B0CF0"/>
    <w:rsid w:val="004B0DA6"/>
    <w:rsid w:val="004B0DDD"/>
    <w:rsid w:val="004B0E63"/>
    <w:rsid w:val="004B0EB5"/>
    <w:rsid w:val="004B0EC9"/>
    <w:rsid w:val="004B0EE0"/>
    <w:rsid w:val="004B0FC6"/>
    <w:rsid w:val="004B10C3"/>
    <w:rsid w:val="004B116E"/>
    <w:rsid w:val="004B11EF"/>
    <w:rsid w:val="004B1277"/>
    <w:rsid w:val="004B12B9"/>
    <w:rsid w:val="004B12C4"/>
    <w:rsid w:val="004B1318"/>
    <w:rsid w:val="004B1352"/>
    <w:rsid w:val="004B13B2"/>
    <w:rsid w:val="004B15D4"/>
    <w:rsid w:val="004B1725"/>
    <w:rsid w:val="004B1800"/>
    <w:rsid w:val="004B199D"/>
    <w:rsid w:val="004B19FD"/>
    <w:rsid w:val="004B1A87"/>
    <w:rsid w:val="004B1AB0"/>
    <w:rsid w:val="004B1AB2"/>
    <w:rsid w:val="004B1BC7"/>
    <w:rsid w:val="004B1CBB"/>
    <w:rsid w:val="004B1CE0"/>
    <w:rsid w:val="004B1D2E"/>
    <w:rsid w:val="004B1DDE"/>
    <w:rsid w:val="004B1E05"/>
    <w:rsid w:val="004B1E9A"/>
    <w:rsid w:val="004B1EFD"/>
    <w:rsid w:val="004B1F33"/>
    <w:rsid w:val="004B200A"/>
    <w:rsid w:val="004B2035"/>
    <w:rsid w:val="004B211D"/>
    <w:rsid w:val="004B21BB"/>
    <w:rsid w:val="004B21E0"/>
    <w:rsid w:val="004B2276"/>
    <w:rsid w:val="004B22B6"/>
    <w:rsid w:val="004B22FE"/>
    <w:rsid w:val="004B2309"/>
    <w:rsid w:val="004B23D1"/>
    <w:rsid w:val="004B24ED"/>
    <w:rsid w:val="004B24F2"/>
    <w:rsid w:val="004B25AC"/>
    <w:rsid w:val="004B2771"/>
    <w:rsid w:val="004B27A4"/>
    <w:rsid w:val="004B27C9"/>
    <w:rsid w:val="004B2878"/>
    <w:rsid w:val="004B28ED"/>
    <w:rsid w:val="004B29A5"/>
    <w:rsid w:val="004B29BE"/>
    <w:rsid w:val="004B29F1"/>
    <w:rsid w:val="004B2CAD"/>
    <w:rsid w:val="004B2D57"/>
    <w:rsid w:val="004B2EB0"/>
    <w:rsid w:val="004B2EE9"/>
    <w:rsid w:val="004B2FFC"/>
    <w:rsid w:val="004B3019"/>
    <w:rsid w:val="004B30A9"/>
    <w:rsid w:val="004B310B"/>
    <w:rsid w:val="004B3170"/>
    <w:rsid w:val="004B3187"/>
    <w:rsid w:val="004B321F"/>
    <w:rsid w:val="004B3220"/>
    <w:rsid w:val="004B3247"/>
    <w:rsid w:val="004B32A0"/>
    <w:rsid w:val="004B32B6"/>
    <w:rsid w:val="004B32BF"/>
    <w:rsid w:val="004B32DA"/>
    <w:rsid w:val="004B3379"/>
    <w:rsid w:val="004B348B"/>
    <w:rsid w:val="004B3534"/>
    <w:rsid w:val="004B3598"/>
    <w:rsid w:val="004B3678"/>
    <w:rsid w:val="004B36C4"/>
    <w:rsid w:val="004B3744"/>
    <w:rsid w:val="004B3748"/>
    <w:rsid w:val="004B3765"/>
    <w:rsid w:val="004B376F"/>
    <w:rsid w:val="004B377D"/>
    <w:rsid w:val="004B3803"/>
    <w:rsid w:val="004B3998"/>
    <w:rsid w:val="004B39D6"/>
    <w:rsid w:val="004B39E8"/>
    <w:rsid w:val="004B3A92"/>
    <w:rsid w:val="004B3AB5"/>
    <w:rsid w:val="004B3AE0"/>
    <w:rsid w:val="004B3D06"/>
    <w:rsid w:val="004B3D5B"/>
    <w:rsid w:val="004B3D96"/>
    <w:rsid w:val="004B3DAA"/>
    <w:rsid w:val="004B3E8B"/>
    <w:rsid w:val="004B4007"/>
    <w:rsid w:val="004B406B"/>
    <w:rsid w:val="004B40C9"/>
    <w:rsid w:val="004B412E"/>
    <w:rsid w:val="004B413C"/>
    <w:rsid w:val="004B41C8"/>
    <w:rsid w:val="004B4232"/>
    <w:rsid w:val="004B4397"/>
    <w:rsid w:val="004B43BF"/>
    <w:rsid w:val="004B43CF"/>
    <w:rsid w:val="004B44B2"/>
    <w:rsid w:val="004B44E6"/>
    <w:rsid w:val="004B4597"/>
    <w:rsid w:val="004B47EB"/>
    <w:rsid w:val="004B4897"/>
    <w:rsid w:val="004B48C8"/>
    <w:rsid w:val="004B49B2"/>
    <w:rsid w:val="004B4A11"/>
    <w:rsid w:val="004B4A32"/>
    <w:rsid w:val="004B4AE3"/>
    <w:rsid w:val="004B4B77"/>
    <w:rsid w:val="004B4B78"/>
    <w:rsid w:val="004B4B9F"/>
    <w:rsid w:val="004B4BD6"/>
    <w:rsid w:val="004B4BEC"/>
    <w:rsid w:val="004B4C92"/>
    <w:rsid w:val="004B4D8D"/>
    <w:rsid w:val="004B4DAA"/>
    <w:rsid w:val="004B4E11"/>
    <w:rsid w:val="004B4E24"/>
    <w:rsid w:val="004B4E38"/>
    <w:rsid w:val="004B4F50"/>
    <w:rsid w:val="004B4F89"/>
    <w:rsid w:val="004B4FBB"/>
    <w:rsid w:val="004B513B"/>
    <w:rsid w:val="004B520C"/>
    <w:rsid w:val="004B525C"/>
    <w:rsid w:val="004B5291"/>
    <w:rsid w:val="004B52DC"/>
    <w:rsid w:val="004B53F0"/>
    <w:rsid w:val="004B540E"/>
    <w:rsid w:val="004B5457"/>
    <w:rsid w:val="004B5567"/>
    <w:rsid w:val="004B5624"/>
    <w:rsid w:val="004B5664"/>
    <w:rsid w:val="004B57B1"/>
    <w:rsid w:val="004B580F"/>
    <w:rsid w:val="004B587E"/>
    <w:rsid w:val="004B58AC"/>
    <w:rsid w:val="004B5955"/>
    <w:rsid w:val="004B5A18"/>
    <w:rsid w:val="004B5A6E"/>
    <w:rsid w:val="004B5C24"/>
    <w:rsid w:val="004B5D19"/>
    <w:rsid w:val="004B5DA7"/>
    <w:rsid w:val="004B5E60"/>
    <w:rsid w:val="004B5F9B"/>
    <w:rsid w:val="004B603E"/>
    <w:rsid w:val="004B6248"/>
    <w:rsid w:val="004B626A"/>
    <w:rsid w:val="004B6308"/>
    <w:rsid w:val="004B630D"/>
    <w:rsid w:val="004B6327"/>
    <w:rsid w:val="004B64D6"/>
    <w:rsid w:val="004B64E6"/>
    <w:rsid w:val="004B64EB"/>
    <w:rsid w:val="004B64F8"/>
    <w:rsid w:val="004B6512"/>
    <w:rsid w:val="004B66E2"/>
    <w:rsid w:val="004B6733"/>
    <w:rsid w:val="004B675C"/>
    <w:rsid w:val="004B678D"/>
    <w:rsid w:val="004B67F8"/>
    <w:rsid w:val="004B67FB"/>
    <w:rsid w:val="004B6854"/>
    <w:rsid w:val="004B69AA"/>
    <w:rsid w:val="004B6A44"/>
    <w:rsid w:val="004B6A94"/>
    <w:rsid w:val="004B6AAA"/>
    <w:rsid w:val="004B6B56"/>
    <w:rsid w:val="004B6C5D"/>
    <w:rsid w:val="004B6C69"/>
    <w:rsid w:val="004B6CB8"/>
    <w:rsid w:val="004B6D19"/>
    <w:rsid w:val="004B6D60"/>
    <w:rsid w:val="004B6D88"/>
    <w:rsid w:val="004B6E01"/>
    <w:rsid w:val="004B6E89"/>
    <w:rsid w:val="004B6E91"/>
    <w:rsid w:val="004B6EB7"/>
    <w:rsid w:val="004B6F95"/>
    <w:rsid w:val="004B6F9A"/>
    <w:rsid w:val="004B70EB"/>
    <w:rsid w:val="004B71C3"/>
    <w:rsid w:val="004B71CE"/>
    <w:rsid w:val="004B7229"/>
    <w:rsid w:val="004B72E1"/>
    <w:rsid w:val="004B73A9"/>
    <w:rsid w:val="004B748E"/>
    <w:rsid w:val="004B74BA"/>
    <w:rsid w:val="004B7510"/>
    <w:rsid w:val="004B7674"/>
    <w:rsid w:val="004B76AC"/>
    <w:rsid w:val="004B76D0"/>
    <w:rsid w:val="004B76EC"/>
    <w:rsid w:val="004B78BA"/>
    <w:rsid w:val="004B78EC"/>
    <w:rsid w:val="004B78F7"/>
    <w:rsid w:val="004B7998"/>
    <w:rsid w:val="004B7A66"/>
    <w:rsid w:val="004B7A91"/>
    <w:rsid w:val="004B7AD2"/>
    <w:rsid w:val="004B7B1A"/>
    <w:rsid w:val="004B7B69"/>
    <w:rsid w:val="004B7B8D"/>
    <w:rsid w:val="004B7BCE"/>
    <w:rsid w:val="004B7BEB"/>
    <w:rsid w:val="004B7C24"/>
    <w:rsid w:val="004B7C34"/>
    <w:rsid w:val="004B7C4F"/>
    <w:rsid w:val="004B7CA8"/>
    <w:rsid w:val="004B7D4A"/>
    <w:rsid w:val="004B7E3D"/>
    <w:rsid w:val="004B7E96"/>
    <w:rsid w:val="004B7F39"/>
    <w:rsid w:val="004B7F7A"/>
    <w:rsid w:val="004B7F9F"/>
    <w:rsid w:val="004B7FC9"/>
    <w:rsid w:val="004C0018"/>
    <w:rsid w:val="004C002D"/>
    <w:rsid w:val="004C003A"/>
    <w:rsid w:val="004C0066"/>
    <w:rsid w:val="004C0071"/>
    <w:rsid w:val="004C0253"/>
    <w:rsid w:val="004C0267"/>
    <w:rsid w:val="004C0317"/>
    <w:rsid w:val="004C0328"/>
    <w:rsid w:val="004C0379"/>
    <w:rsid w:val="004C0387"/>
    <w:rsid w:val="004C03A7"/>
    <w:rsid w:val="004C065F"/>
    <w:rsid w:val="004C06FC"/>
    <w:rsid w:val="004C0720"/>
    <w:rsid w:val="004C07A9"/>
    <w:rsid w:val="004C080C"/>
    <w:rsid w:val="004C0838"/>
    <w:rsid w:val="004C0A2B"/>
    <w:rsid w:val="004C0A42"/>
    <w:rsid w:val="004C0ABE"/>
    <w:rsid w:val="004C0AC5"/>
    <w:rsid w:val="004C0B11"/>
    <w:rsid w:val="004C0E1F"/>
    <w:rsid w:val="004C0EB4"/>
    <w:rsid w:val="004C0F63"/>
    <w:rsid w:val="004C0FB6"/>
    <w:rsid w:val="004C0FB8"/>
    <w:rsid w:val="004C0FF5"/>
    <w:rsid w:val="004C1052"/>
    <w:rsid w:val="004C1070"/>
    <w:rsid w:val="004C10EC"/>
    <w:rsid w:val="004C1112"/>
    <w:rsid w:val="004C1164"/>
    <w:rsid w:val="004C1185"/>
    <w:rsid w:val="004C1207"/>
    <w:rsid w:val="004C1384"/>
    <w:rsid w:val="004C138B"/>
    <w:rsid w:val="004C13D8"/>
    <w:rsid w:val="004C1443"/>
    <w:rsid w:val="004C147E"/>
    <w:rsid w:val="004C149E"/>
    <w:rsid w:val="004C14C2"/>
    <w:rsid w:val="004C153D"/>
    <w:rsid w:val="004C15D1"/>
    <w:rsid w:val="004C15D6"/>
    <w:rsid w:val="004C15E5"/>
    <w:rsid w:val="004C16A1"/>
    <w:rsid w:val="004C17B9"/>
    <w:rsid w:val="004C1851"/>
    <w:rsid w:val="004C1874"/>
    <w:rsid w:val="004C18A3"/>
    <w:rsid w:val="004C199C"/>
    <w:rsid w:val="004C19A5"/>
    <w:rsid w:val="004C19B9"/>
    <w:rsid w:val="004C19EC"/>
    <w:rsid w:val="004C1A57"/>
    <w:rsid w:val="004C1B6A"/>
    <w:rsid w:val="004C1BEB"/>
    <w:rsid w:val="004C1CCD"/>
    <w:rsid w:val="004C1DDF"/>
    <w:rsid w:val="004C1E21"/>
    <w:rsid w:val="004C1E24"/>
    <w:rsid w:val="004C1EFF"/>
    <w:rsid w:val="004C1F25"/>
    <w:rsid w:val="004C1FBC"/>
    <w:rsid w:val="004C2051"/>
    <w:rsid w:val="004C2061"/>
    <w:rsid w:val="004C2123"/>
    <w:rsid w:val="004C21B4"/>
    <w:rsid w:val="004C21B6"/>
    <w:rsid w:val="004C2207"/>
    <w:rsid w:val="004C2226"/>
    <w:rsid w:val="004C2359"/>
    <w:rsid w:val="004C236B"/>
    <w:rsid w:val="004C2399"/>
    <w:rsid w:val="004C2615"/>
    <w:rsid w:val="004C2640"/>
    <w:rsid w:val="004C2681"/>
    <w:rsid w:val="004C26F4"/>
    <w:rsid w:val="004C26FE"/>
    <w:rsid w:val="004C2861"/>
    <w:rsid w:val="004C28CB"/>
    <w:rsid w:val="004C2A13"/>
    <w:rsid w:val="004C2A72"/>
    <w:rsid w:val="004C2A78"/>
    <w:rsid w:val="004C2ABA"/>
    <w:rsid w:val="004C2BAC"/>
    <w:rsid w:val="004C2C29"/>
    <w:rsid w:val="004C2C62"/>
    <w:rsid w:val="004C2C6D"/>
    <w:rsid w:val="004C2CA1"/>
    <w:rsid w:val="004C2CE2"/>
    <w:rsid w:val="004C2F7E"/>
    <w:rsid w:val="004C2FE4"/>
    <w:rsid w:val="004C3054"/>
    <w:rsid w:val="004C30FA"/>
    <w:rsid w:val="004C30FD"/>
    <w:rsid w:val="004C310B"/>
    <w:rsid w:val="004C311F"/>
    <w:rsid w:val="004C3179"/>
    <w:rsid w:val="004C31AF"/>
    <w:rsid w:val="004C31EE"/>
    <w:rsid w:val="004C32CD"/>
    <w:rsid w:val="004C333A"/>
    <w:rsid w:val="004C3419"/>
    <w:rsid w:val="004C34C6"/>
    <w:rsid w:val="004C354D"/>
    <w:rsid w:val="004C358E"/>
    <w:rsid w:val="004C35E7"/>
    <w:rsid w:val="004C378B"/>
    <w:rsid w:val="004C37F8"/>
    <w:rsid w:val="004C38F3"/>
    <w:rsid w:val="004C3925"/>
    <w:rsid w:val="004C3953"/>
    <w:rsid w:val="004C39D0"/>
    <w:rsid w:val="004C39FE"/>
    <w:rsid w:val="004C3A14"/>
    <w:rsid w:val="004C3A1E"/>
    <w:rsid w:val="004C3A29"/>
    <w:rsid w:val="004C3A5A"/>
    <w:rsid w:val="004C3AAE"/>
    <w:rsid w:val="004C3C58"/>
    <w:rsid w:val="004C3C92"/>
    <w:rsid w:val="004C3CA5"/>
    <w:rsid w:val="004C3E0A"/>
    <w:rsid w:val="004C3E35"/>
    <w:rsid w:val="004C3EE1"/>
    <w:rsid w:val="004C3F2D"/>
    <w:rsid w:val="004C3F37"/>
    <w:rsid w:val="004C3F60"/>
    <w:rsid w:val="004C3F9F"/>
    <w:rsid w:val="004C40F3"/>
    <w:rsid w:val="004C40FA"/>
    <w:rsid w:val="004C4100"/>
    <w:rsid w:val="004C4167"/>
    <w:rsid w:val="004C4178"/>
    <w:rsid w:val="004C425E"/>
    <w:rsid w:val="004C438C"/>
    <w:rsid w:val="004C43D9"/>
    <w:rsid w:val="004C440E"/>
    <w:rsid w:val="004C4414"/>
    <w:rsid w:val="004C4431"/>
    <w:rsid w:val="004C44CC"/>
    <w:rsid w:val="004C4514"/>
    <w:rsid w:val="004C453A"/>
    <w:rsid w:val="004C4550"/>
    <w:rsid w:val="004C457B"/>
    <w:rsid w:val="004C45D1"/>
    <w:rsid w:val="004C4608"/>
    <w:rsid w:val="004C4636"/>
    <w:rsid w:val="004C46B5"/>
    <w:rsid w:val="004C4777"/>
    <w:rsid w:val="004C48F0"/>
    <w:rsid w:val="004C4983"/>
    <w:rsid w:val="004C49E0"/>
    <w:rsid w:val="004C49E8"/>
    <w:rsid w:val="004C4A06"/>
    <w:rsid w:val="004C4A21"/>
    <w:rsid w:val="004C4A89"/>
    <w:rsid w:val="004C4A9F"/>
    <w:rsid w:val="004C4AC7"/>
    <w:rsid w:val="004C4B8B"/>
    <w:rsid w:val="004C4C55"/>
    <w:rsid w:val="004C4CF9"/>
    <w:rsid w:val="004C4E46"/>
    <w:rsid w:val="004C4F03"/>
    <w:rsid w:val="004C4FA5"/>
    <w:rsid w:val="004C4FCF"/>
    <w:rsid w:val="004C51FD"/>
    <w:rsid w:val="004C521C"/>
    <w:rsid w:val="004C5263"/>
    <w:rsid w:val="004C5285"/>
    <w:rsid w:val="004C52CC"/>
    <w:rsid w:val="004C52ED"/>
    <w:rsid w:val="004C531F"/>
    <w:rsid w:val="004C537C"/>
    <w:rsid w:val="004C539F"/>
    <w:rsid w:val="004C5489"/>
    <w:rsid w:val="004C551A"/>
    <w:rsid w:val="004C5787"/>
    <w:rsid w:val="004C58D3"/>
    <w:rsid w:val="004C59B2"/>
    <w:rsid w:val="004C59CA"/>
    <w:rsid w:val="004C5A08"/>
    <w:rsid w:val="004C5A77"/>
    <w:rsid w:val="004C5AFE"/>
    <w:rsid w:val="004C5B95"/>
    <w:rsid w:val="004C5D8F"/>
    <w:rsid w:val="004C5DB4"/>
    <w:rsid w:val="004C5E03"/>
    <w:rsid w:val="004C5E04"/>
    <w:rsid w:val="004C5E6A"/>
    <w:rsid w:val="004C5E71"/>
    <w:rsid w:val="004C5ECE"/>
    <w:rsid w:val="004C5F37"/>
    <w:rsid w:val="004C5FD9"/>
    <w:rsid w:val="004C600E"/>
    <w:rsid w:val="004C602F"/>
    <w:rsid w:val="004C6034"/>
    <w:rsid w:val="004C6061"/>
    <w:rsid w:val="004C606C"/>
    <w:rsid w:val="004C6072"/>
    <w:rsid w:val="004C612E"/>
    <w:rsid w:val="004C6134"/>
    <w:rsid w:val="004C6199"/>
    <w:rsid w:val="004C61AF"/>
    <w:rsid w:val="004C61BB"/>
    <w:rsid w:val="004C644A"/>
    <w:rsid w:val="004C646D"/>
    <w:rsid w:val="004C660C"/>
    <w:rsid w:val="004C6691"/>
    <w:rsid w:val="004C66D3"/>
    <w:rsid w:val="004C67DD"/>
    <w:rsid w:val="004C6888"/>
    <w:rsid w:val="004C68AD"/>
    <w:rsid w:val="004C68F3"/>
    <w:rsid w:val="004C6945"/>
    <w:rsid w:val="004C6986"/>
    <w:rsid w:val="004C69F1"/>
    <w:rsid w:val="004C6B0A"/>
    <w:rsid w:val="004C6C0F"/>
    <w:rsid w:val="004C6CC7"/>
    <w:rsid w:val="004C6D1A"/>
    <w:rsid w:val="004C6EAE"/>
    <w:rsid w:val="004C6F4A"/>
    <w:rsid w:val="004C6F79"/>
    <w:rsid w:val="004C6FA6"/>
    <w:rsid w:val="004C7037"/>
    <w:rsid w:val="004C71F1"/>
    <w:rsid w:val="004C7264"/>
    <w:rsid w:val="004C7273"/>
    <w:rsid w:val="004C72C7"/>
    <w:rsid w:val="004C73C2"/>
    <w:rsid w:val="004C748D"/>
    <w:rsid w:val="004C7530"/>
    <w:rsid w:val="004C7551"/>
    <w:rsid w:val="004C75E6"/>
    <w:rsid w:val="004C76A6"/>
    <w:rsid w:val="004C77F5"/>
    <w:rsid w:val="004C7812"/>
    <w:rsid w:val="004C7864"/>
    <w:rsid w:val="004C787C"/>
    <w:rsid w:val="004C799F"/>
    <w:rsid w:val="004C7A29"/>
    <w:rsid w:val="004C7A41"/>
    <w:rsid w:val="004C7A60"/>
    <w:rsid w:val="004C7AD5"/>
    <w:rsid w:val="004C7C2B"/>
    <w:rsid w:val="004C7CFB"/>
    <w:rsid w:val="004C7D05"/>
    <w:rsid w:val="004C7E85"/>
    <w:rsid w:val="004C7F10"/>
    <w:rsid w:val="004C7F3A"/>
    <w:rsid w:val="004C7FE5"/>
    <w:rsid w:val="004C7FED"/>
    <w:rsid w:val="004D0091"/>
    <w:rsid w:val="004D00E8"/>
    <w:rsid w:val="004D015F"/>
    <w:rsid w:val="004D0244"/>
    <w:rsid w:val="004D0267"/>
    <w:rsid w:val="004D02D8"/>
    <w:rsid w:val="004D0330"/>
    <w:rsid w:val="004D03FC"/>
    <w:rsid w:val="004D0457"/>
    <w:rsid w:val="004D059C"/>
    <w:rsid w:val="004D05C6"/>
    <w:rsid w:val="004D05E3"/>
    <w:rsid w:val="004D0634"/>
    <w:rsid w:val="004D068D"/>
    <w:rsid w:val="004D0700"/>
    <w:rsid w:val="004D0705"/>
    <w:rsid w:val="004D099E"/>
    <w:rsid w:val="004D0ACE"/>
    <w:rsid w:val="004D0B09"/>
    <w:rsid w:val="004D0B97"/>
    <w:rsid w:val="004D0C73"/>
    <w:rsid w:val="004D0C9F"/>
    <w:rsid w:val="004D0EA5"/>
    <w:rsid w:val="004D0EE4"/>
    <w:rsid w:val="004D0F5D"/>
    <w:rsid w:val="004D0F7B"/>
    <w:rsid w:val="004D1018"/>
    <w:rsid w:val="004D106E"/>
    <w:rsid w:val="004D1078"/>
    <w:rsid w:val="004D1093"/>
    <w:rsid w:val="004D10D0"/>
    <w:rsid w:val="004D1198"/>
    <w:rsid w:val="004D11A8"/>
    <w:rsid w:val="004D11B8"/>
    <w:rsid w:val="004D1277"/>
    <w:rsid w:val="004D1315"/>
    <w:rsid w:val="004D1365"/>
    <w:rsid w:val="004D137D"/>
    <w:rsid w:val="004D13B4"/>
    <w:rsid w:val="004D13E4"/>
    <w:rsid w:val="004D13E8"/>
    <w:rsid w:val="004D143F"/>
    <w:rsid w:val="004D1491"/>
    <w:rsid w:val="004D1632"/>
    <w:rsid w:val="004D1645"/>
    <w:rsid w:val="004D167C"/>
    <w:rsid w:val="004D1694"/>
    <w:rsid w:val="004D1711"/>
    <w:rsid w:val="004D173D"/>
    <w:rsid w:val="004D1755"/>
    <w:rsid w:val="004D1853"/>
    <w:rsid w:val="004D1860"/>
    <w:rsid w:val="004D1932"/>
    <w:rsid w:val="004D19A9"/>
    <w:rsid w:val="004D1BA1"/>
    <w:rsid w:val="004D1BED"/>
    <w:rsid w:val="004D1BF3"/>
    <w:rsid w:val="004D1CA0"/>
    <w:rsid w:val="004D1CAD"/>
    <w:rsid w:val="004D1CBC"/>
    <w:rsid w:val="004D1E1E"/>
    <w:rsid w:val="004D1EDE"/>
    <w:rsid w:val="004D1EEB"/>
    <w:rsid w:val="004D1F01"/>
    <w:rsid w:val="004D2096"/>
    <w:rsid w:val="004D21E6"/>
    <w:rsid w:val="004D2296"/>
    <w:rsid w:val="004D22B1"/>
    <w:rsid w:val="004D22FC"/>
    <w:rsid w:val="004D230F"/>
    <w:rsid w:val="004D232C"/>
    <w:rsid w:val="004D23BC"/>
    <w:rsid w:val="004D2495"/>
    <w:rsid w:val="004D2551"/>
    <w:rsid w:val="004D25E8"/>
    <w:rsid w:val="004D2621"/>
    <w:rsid w:val="004D27A9"/>
    <w:rsid w:val="004D27D8"/>
    <w:rsid w:val="004D2851"/>
    <w:rsid w:val="004D2868"/>
    <w:rsid w:val="004D290C"/>
    <w:rsid w:val="004D2A02"/>
    <w:rsid w:val="004D2A5F"/>
    <w:rsid w:val="004D2BBD"/>
    <w:rsid w:val="004D2BC0"/>
    <w:rsid w:val="004D2C1B"/>
    <w:rsid w:val="004D2C9E"/>
    <w:rsid w:val="004D2CAB"/>
    <w:rsid w:val="004D2CFA"/>
    <w:rsid w:val="004D2D3E"/>
    <w:rsid w:val="004D2D85"/>
    <w:rsid w:val="004D2EAF"/>
    <w:rsid w:val="004D2EE3"/>
    <w:rsid w:val="004D2F4D"/>
    <w:rsid w:val="004D2F66"/>
    <w:rsid w:val="004D2FAE"/>
    <w:rsid w:val="004D300E"/>
    <w:rsid w:val="004D3025"/>
    <w:rsid w:val="004D314D"/>
    <w:rsid w:val="004D315E"/>
    <w:rsid w:val="004D3185"/>
    <w:rsid w:val="004D3237"/>
    <w:rsid w:val="004D324C"/>
    <w:rsid w:val="004D32D3"/>
    <w:rsid w:val="004D3344"/>
    <w:rsid w:val="004D3389"/>
    <w:rsid w:val="004D33AB"/>
    <w:rsid w:val="004D3422"/>
    <w:rsid w:val="004D3463"/>
    <w:rsid w:val="004D35C1"/>
    <w:rsid w:val="004D3671"/>
    <w:rsid w:val="004D3697"/>
    <w:rsid w:val="004D36C9"/>
    <w:rsid w:val="004D37B7"/>
    <w:rsid w:val="004D3859"/>
    <w:rsid w:val="004D393E"/>
    <w:rsid w:val="004D3969"/>
    <w:rsid w:val="004D39B7"/>
    <w:rsid w:val="004D3A82"/>
    <w:rsid w:val="004D3AB0"/>
    <w:rsid w:val="004D3B76"/>
    <w:rsid w:val="004D3CED"/>
    <w:rsid w:val="004D3CF7"/>
    <w:rsid w:val="004D3D28"/>
    <w:rsid w:val="004D3D55"/>
    <w:rsid w:val="004D3DCA"/>
    <w:rsid w:val="004D3DE0"/>
    <w:rsid w:val="004D3E00"/>
    <w:rsid w:val="004D4061"/>
    <w:rsid w:val="004D4180"/>
    <w:rsid w:val="004D41CC"/>
    <w:rsid w:val="004D4223"/>
    <w:rsid w:val="004D43FC"/>
    <w:rsid w:val="004D455A"/>
    <w:rsid w:val="004D456F"/>
    <w:rsid w:val="004D4589"/>
    <w:rsid w:val="004D4681"/>
    <w:rsid w:val="004D46AE"/>
    <w:rsid w:val="004D4723"/>
    <w:rsid w:val="004D4730"/>
    <w:rsid w:val="004D4780"/>
    <w:rsid w:val="004D486C"/>
    <w:rsid w:val="004D4889"/>
    <w:rsid w:val="004D48A4"/>
    <w:rsid w:val="004D4912"/>
    <w:rsid w:val="004D49EF"/>
    <w:rsid w:val="004D4A45"/>
    <w:rsid w:val="004D4A9A"/>
    <w:rsid w:val="004D4B0B"/>
    <w:rsid w:val="004D4D12"/>
    <w:rsid w:val="004D4D25"/>
    <w:rsid w:val="004D4DC5"/>
    <w:rsid w:val="004D4E4A"/>
    <w:rsid w:val="004D4F38"/>
    <w:rsid w:val="004D4FA7"/>
    <w:rsid w:val="004D5125"/>
    <w:rsid w:val="004D51AB"/>
    <w:rsid w:val="004D51CC"/>
    <w:rsid w:val="004D5224"/>
    <w:rsid w:val="004D524F"/>
    <w:rsid w:val="004D5257"/>
    <w:rsid w:val="004D5297"/>
    <w:rsid w:val="004D52B5"/>
    <w:rsid w:val="004D540B"/>
    <w:rsid w:val="004D5480"/>
    <w:rsid w:val="004D54B3"/>
    <w:rsid w:val="004D55A6"/>
    <w:rsid w:val="004D55BA"/>
    <w:rsid w:val="004D55CE"/>
    <w:rsid w:val="004D55F1"/>
    <w:rsid w:val="004D5613"/>
    <w:rsid w:val="004D565E"/>
    <w:rsid w:val="004D5749"/>
    <w:rsid w:val="004D5855"/>
    <w:rsid w:val="004D5866"/>
    <w:rsid w:val="004D5899"/>
    <w:rsid w:val="004D593B"/>
    <w:rsid w:val="004D5966"/>
    <w:rsid w:val="004D5991"/>
    <w:rsid w:val="004D5A1E"/>
    <w:rsid w:val="004D5A88"/>
    <w:rsid w:val="004D5AD2"/>
    <w:rsid w:val="004D5B1A"/>
    <w:rsid w:val="004D5B21"/>
    <w:rsid w:val="004D5BA1"/>
    <w:rsid w:val="004D5C32"/>
    <w:rsid w:val="004D5C79"/>
    <w:rsid w:val="004D5D16"/>
    <w:rsid w:val="004D5E93"/>
    <w:rsid w:val="004D5EF2"/>
    <w:rsid w:val="004D5F61"/>
    <w:rsid w:val="004D5F72"/>
    <w:rsid w:val="004D5FFB"/>
    <w:rsid w:val="004D6075"/>
    <w:rsid w:val="004D6092"/>
    <w:rsid w:val="004D60E7"/>
    <w:rsid w:val="004D613B"/>
    <w:rsid w:val="004D61D7"/>
    <w:rsid w:val="004D63C6"/>
    <w:rsid w:val="004D64B3"/>
    <w:rsid w:val="004D64BC"/>
    <w:rsid w:val="004D650F"/>
    <w:rsid w:val="004D65D8"/>
    <w:rsid w:val="004D65DD"/>
    <w:rsid w:val="004D6614"/>
    <w:rsid w:val="004D6770"/>
    <w:rsid w:val="004D6790"/>
    <w:rsid w:val="004D6889"/>
    <w:rsid w:val="004D68C8"/>
    <w:rsid w:val="004D695D"/>
    <w:rsid w:val="004D6C9E"/>
    <w:rsid w:val="004D6CCD"/>
    <w:rsid w:val="004D6DBC"/>
    <w:rsid w:val="004D6EA4"/>
    <w:rsid w:val="004D6F3F"/>
    <w:rsid w:val="004D6F7B"/>
    <w:rsid w:val="004D6FFC"/>
    <w:rsid w:val="004D7004"/>
    <w:rsid w:val="004D7031"/>
    <w:rsid w:val="004D70AA"/>
    <w:rsid w:val="004D71B5"/>
    <w:rsid w:val="004D7247"/>
    <w:rsid w:val="004D7267"/>
    <w:rsid w:val="004D73CA"/>
    <w:rsid w:val="004D7439"/>
    <w:rsid w:val="004D744B"/>
    <w:rsid w:val="004D761A"/>
    <w:rsid w:val="004D761E"/>
    <w:rsid w:val="004D762D"/>
    <w:rsid w:val="004D76E1"/>
    <w:rsid w:val="004D776E"/>
    <w:rsid w:val="004D77F4"/>
    <w:rsid w:val="004D78AA"/>
    <w:rsid w:val="004D78C1"/>
    <w:rsid w:val="004D7967"/>
    <w:rsid w:val="004D797E"/>
    <w:rsid w:val="004D7983"/>
    <w:rsid w:val="004D79AC"/>
    <w:rsid w:val="004D79AE"/>
    <w:rsid w:val="004D79E4"/>
    <w:rsid w:val="004D7A71"/>
    <w:rsid w:val="004D7A8C"/>
    <w:rsid w:val="004D7ABE"/>
    <w:rsid w:val="004D7B2E"/>
    <w:rsid w:val="004D7B41"/>
    <w:rsid w:val="004D7B42"/>
    <w:rsid w:val="004D7B50"/>
    <w:rsid w:val="004D7B96"/>
    <w:rsid w:val="004D7C7E"/>
    <w:rsid w:val="004D7C9F"/>
    <w:rsid w:val="004D7D20"/>
    <w:rsid w:val="004D7D29"/>
    <w:rsid w:val="004D7D98"/>
    <w:rsid w:val="004D7E12"/>
    <w:rsid w:val="004D7E1D"/>
    <w:rsid w:val="004D7E24"/>
    <w:rsid w:val="004D7FD6"/>
    <w:rsid w:val="004E0001"/>
    <w:rsid w:val="004E00D3"/>
    <w:rsid w:val="004E00EE"/>
    <w:rsid w:val="004E0154"/>
    <w:rsid w:val="004E0160"/>
    <w:rsid w:val="004E017B"/>
    <w:rsid w:val="004E018A"/>
    <w:rsid w:val="004E01F2"/>
    <w:rsid w:val="004E0286"/>
    <w:rsid w:val="004E0291"/>
    <w:rsid w:val="004E0449"/>
    <w:rsid w:val="004E0452"/>
    <w:rsid w:val="004E0554"/>
    <w:rsid w:val="004E05C0"/>
    <w:rsid w:val="004E06A7"/>
    <w:rsid w:val="004E06BA"/>
    <w:rsid w:val="004E0756"/>
    <w:rsid w:val="004E0768"/>
    <w:rsid w:val="004E07D0"/>
    <w:rsid w:val="004E086B"/>
    <w:rsid w:val="004E0877"/>
    <w:rsid w:val="004E087D"/>
    <w:rsid w:val="004E0888"/>
    <w:rsid w:val="004E0974"/>
    <w:rsid w:val="004E0A4C"/>
    <w:rsid w:val="004E0D2D"/>
    <w:rsid w:val="004E0DA5"/>
    <w:rsid w:val="004E0DBE"/>
    <w:rsid w:val="004E0E1A"/>
    <w:rsid w:val="004E1236"/>
    <w:rsid w:val="004E128B"/>
    <w:rsid w:val="004E128D"/>
    <w:rsid w:val="004E12E6"/>
    <w:rsid w:val="004E1334"/>
    <w:rsid w:val="004E13B8"/>
    <w:rsid w:val="004E1430"/>
    <w:rsid w:val="004E145A"/>
    <w:rsid w:val="004E1470"/>
    <w:rsid w:val="004E1490"/>
    <w:rsid w:val="004E1587"/>
    <w:rsid w:val="004E1591"/>
    <w:rsid w:val="004E15A0"/>
    <w:rsid w:val="004E15EC"/>
    <w:rsid w:val="004E163E"/>
    <w:rsid w:val="004E1842"/>
    <w:rsid w:val="004E188D"/>
    <w:rsid w:val="004E1895"/>
    <w:rsid w:val="004E18A3"/>
    <w:rsid w:val="004E18AE"/>
    <w:rsid w:val="004E18B1"/>
    <w:rsid w:val="004E1A09"/>
    <w:rsid w:val="004E1AB3"/>
    <w:rsid w:val="004E1B10"/>
    <w:rsid w:val="004E1B22"/>
    <w:rsid w:val="004E1BB0"/>
    <w:rsid w:val="004E1CBF"/>
    <w:rsid w:val="004E1EB8"/>
    <w:rsid w:val="004E1F8E"/>
    <w:rsid w:val="004E201F"/>
    <w:rsid w:val="004E2026"/>
    <w:rsid w:val="004E2091"/>
    <w:rsid w:val="004E21A5"/>
    <w:rsid w:val="004E21E1"/>
    <w:rsid w:val="004E225F"/>
    <w:rsid w:val="004E23E4"/>
    <w:rsid w:val="004E2446"/>
    <w:rsid w:val="004E24BA"/>
    <w:rsid w:val="004E24F3"/>
    <w:rsid w:val="004E258C"/>
    <w:rsid w:val="004E25B3"/>
    <w:rsid w:val="004E25E1"/>
    <w:rsid w:val="004E274D"/>
    <w:rsid w:val="004E2768"/>
    <w:rsid w:val="004E276B"/>
    <w:rsid w:val="004E2786"/>
    <w:rsid w:val="004E27AF"/>
    <w:rsid w:val="004E27BC"/>
    <w:rsid w:val="004E2850"/>
    <w:rsid w:val="004E29AF"/>
    <w:rsid w:val="004E29B9"/>
    <w:rsid w:val="004E29BC"/>
    <w:rsid w:val="004E29C4"/>
    <w:rsid w:val="004E29CD"/>
    <w:rsid w:val="004E2AF1"/>
    <w:rsid w:val="004E2BC3"/>
    <w:rsid w:val="004E2BE7"/>
    <w:rsid w:val="004E2BFC"/>
    <w:rsid w:val="004E2C17"/>
    <w:rsid w:val="004E2C45"/>
    <w:rsid w:val="004E2C7C"/>
    <w:rsid w:val="004E2C91"/>
    <w:rsid w:val="004E2CFC"/>
    <w:rsid w:val="004E2D20"/>
    <w:rsid w:val="004E2D3E"/>
    <w:rsid w:val="004E2DF4"/>
    <w:rsid w:val="004E2E19"/>
    <w:rsid w:val="004E2E92"/>
    <w:rsid w:val="004E2EAB"/>
    <w:rsid w:val="004E2F08"/>
    <w:rsid w:val="004E2F52"/>
    <w:rsid w:val="004E2FC5"/>
    <w:rsid w:val="004E3038"/>
    <w:rsid w:val="004E3078"/>
    <w:rsid w:val="004E31BA"/>
    <w:rsid w:val="004E31FA"/>
    <w:rsid w:val="004E31FB"/>
    <w:rsid w:val="004E325C"/>
    <w:rsid w:val="004E32B3"/>
    <w:rsid w:val="004E33AE"/>
    <w:rsid w:val="004E33E8"/>
    <w:rsid w:val="004E3415"/>
    <w:rsid w:val="004E3489"/>
    <w:rsid w:val="004E3576"/>
    <w:rsid w:val="004E35FF"/>
    <w:rsid w:val="004E3629"/>
    <w:rsid w:val="004E3649"/>
    <w:rsid w:val="004E36F1"/>
    <w:rsid w:val="004E374E"/>
    <w:rsid w:val="004E37F1"/>
    <w:rsid w:val="004E38AE"/>
    <w:rsid w:val="004E39BD"/>
    <w:rsid w:val="004E39F1"/>
    <w:rsid w:val="004E3B1D"/>
    <w:rsid w:val="004E3B3C"/>
    <w:rsid w:val="004E3BDD"/>
    <w:rsid w:val="004E3BF2"/>
    <w:rsid w:val="004E3C16"/>
    <w:rsid w:val="004E3C3A"/>
    <w:rsid w:val="004E3D56"/>
    <w:rsid w:val="004E3D78"/>
    <w:rsid w:val="004E3DE8"/>
    <w:rsid w:val="004E3EA3"/>
    <w:rsid w:val="004E3EAC"/>
    <w:rsid w:val="004E3F50"/>
    <w:rsid w:val="004E4004"/>
    <w:rsid w:val="004E401E"/>
    <w:rsid w:val="004E40B7"/>
    <w:rsid w:val="004E40E9"/>
    <w:rsid w:val="004E41C9"/>
    <w:rsid w:val="004E4214"/>
    <w:rsid w:val="004E4287"/>
    <w:rsid w:val="004E437A"/>
    <w:rsid w:val="004E438D"/>
    <w:rsid w:val="004E43D9"/>
    <w:rsid w:val="004E4435"/>
    <w:rsid w:val="004E4482"/>
    <w:rsid w:val="004E44CC"/>
    <w:rsid w:val="004E44FC"/>
    <w:rsid w:val="004E4512"/>
    <w:rsid w:val="004E4534"/>
    <w:rsid w:val="004E4535"/>
    <w:rsid w:val="004E4550"/>
    <w:rsid w:val="004E45A3"/>
    <w:rsid w:val="004E46E5"/>
    <w:rsid w:val="004E4701"/>
    <w:rsid w:val="004E473B"/>
    <w:rsid w:val="004E479B"/>
    <w:rsid w:val="004E4800"/>
    <w:rsid w:val="004E480B"/>
    <w:rsid w:val="004E4831"/>
    <w:rsid w:val="004E491A"/>
    <w:rsid w:val="004E49A4"/>
    <w:rsid w:val="004E4A36"/>
    <w:rsid w:val="004E4A66"/>
    <w:rsid w:val="004E4AF8"/>
    <w:rsid w:val="004E4B28"/>
    <w:rsid w:val="004E4B5A"/>
    <w:rsid w:val="004E4B71"/>
    <w:rsid w:val="004E4C8F"/>
    <w:rsid w:val="004E4C9C"/>
    <w:rsid w:val="004E4CB8"/>
    <w:rsid w:val="004E4D14"/>
    <w:rsid w:val="004E4D58"/>
    <w:rsid w:val="004E4DC9"/>
    <w:rsid w:val="004E4DFC"/>
    <w:rsid w:val="004E4E3E"/>
    <w:rsid w:val="004E4E8B"/>
    <w:rsid w:val="004E4EF5"/>
    <w:rsid w:val="004E4F8C"/>
    <w:rsid w:val="004E4FA1"/>
    <w:rsid w:val="004E50E6"/>
    <w:rsid w:val="004E51DC"/>
    <w:rsid w:val="004E522F"/>
    <w:rsid w:val="004E52E9"/>
    <w:rsid w:val="004E5325"/>
    <w:rsid w:val="004E5327"/>
    <w:rsid w:val="004E5357"/>
    <w:rsid w:val="004E542F"/>
    <w:rsid w:val="004E54C4"/>
    <w:rsid w:val="004E5508"/>
    <w:rsid w:val="004E5547"/>
    <w:rsid w:val="004E554C"/>
    <w:rsid w:val="004E5560"/>
    <w:rsid w:val="004E556E"/>
    <w:rsid w:val="004E5581"/>
    <w:rsid w:val="004E5603"/>
    <w:rsid w:val="004E5685"/>
    <w:rsid w:val="004E56B0"/>
    <w:rsid w:val="004E5721"/>
    <w:rsid w:val="004E5772"/>
    <w:rsid w:val="004E5775"/>
    <w:rsid w:val="004E583B"/>
    <w:rsid w:val="004E58ED"/>
    <w:rsid w:val="004E59BC"/>
    <w:rsid w:val="004E59C7"/>
    <w:rsid w:val="004E5A3F"/>
    <w:rsid w:val="004E5AA6"/>
    <w:rsid w:val="004E5C3B"/>
    <w:rsid w:val="004E5CEC"/>
    <w:rsid w:val="004E5CED"/>
    <w:rsid w:val="004E5CFB"/>
    <w:rsid w:val="004E5D3C"/>
    <w:rsid w:val="004E5D81"/>
    <w:rsid w:val="004E5E43"/>
    <w:rsid w:val="004E5EBA"/>
    <w:rsid w:val="004E5F10"/>
    <w:rsid w:val="004E5FE8"/>
    <w:rsid w:val="004E6053"/>
    <w:rsid w:val="004E60AE"/>
    <w:rsid w:val="004E60EA"/>
    <w:rsid w:val="004E61F2"/>
    <w:rsid w:val="004E6221"/>
    <w:rsid w:val="004E63D1"/>
    <w:rsid w:val="004E6405"/>
    <w:rsid w:val="004E6489"/>
    <w:rsid w:val="004E6555"/>
    <w:rsid w:val="004E6593"/>
    <w:rsid w:val="004E666E"/>
    <w:rsid w:val="004E666F"/>
    <w:rsid w:val="004E671A"/>
    <w:rsid w:val="004E6751"/>
    <w:rsid w:val="004E677D"/>
    <w:rsid w:val="004E68C5"/>
    <w:rsid w:val="004E68DE"/>
    <w:rsid w:val="004E6909"/>
    <w:rsid w:val="004E6959"/>
    <w:rsid w:val="004E695D"/>
    <w:rsid w:val="004E6971"/>
    <w:rsid w:val="004E6A4C"/>
    <w:rsid w:val="004E6AFF"/>
    <w:rsid w:val="004E6C0A"/>
    <w:rsid w:val="004E6C9B"/>
    <w:rsid w:val="004E6CD0"/>
    <w:rsid w:val="004E6CDD"/>
    <w:rsid w:val="004E6D11"/>
    <w:rsid w:val="004E6E7C"/>
    <w:rsid w:val="004E6FEA"/>
    <w:rsid w:val="004E7081"/>
    <w:rsid w:val="004E709A"/>
    <w:rsid w:val="004E70C6"/>
    <w:rsid w:val="004E70E2"/>
    <w:rsid w:val="004E7147"/>
    <w:rsid w:val="004E7164"/>
    <w:rsid w:val="004E7272"/>
    <w:rsid w:val="004E72B9"/>
    <w:rsid w:val="004E72ED"/>
    <w:rsid w:val="004E7322"/>
    <w:rsid w:val="004E7333"/>
    <w:rsid w:val="004E7385"/>
    <w:rsid w:val="004E73F1"/>
    <w:rsid w:val="004E7553"/>
    <w:rsid w:val="004E758E"/>
    <w:rsid w:val="004E7615"/>
    <w:rsid w:val="004E7650"/>
    <w:rsid w:val="004E7677"/>
    <w:rsid w:val="004E795E"/>
    <w:rsid w:val="004E796C"/>
    <w:rsid w:val="004E797A"/>
    <w:rsid w:val="004E79C3"/>
    <w:rsid w:val="004E79C5"/>
    <w:rsid w:val="004E7AA6"/>
    <w:rsid w:val="004E7BDE"/>
    <w:rsid w:val="004E7C15"/>
    <w:rsid w:val="004E7C7E"/>
    <w:rsid w:val="004E7DEC"/>
    <w:rsid w:val="004E7E01"/>
    <w:rsid w:val="004F00CC"/>
    <w:rsid w:val="004F0169"/>
    <w:rsid w:val="004F01D1"/>
    <w:rsid w:val="004F0203"/>
    <w:rsid w:val="004F030F"/>
    <w:rsid w:val="004F040F"/>
    <w:rsid w:val="004F0456"/>
    <w:rsid w:val="004F04D7"/>
    <w:rsid w:val="004F0711"/>
    <w:rsid w:val="004F0756"/>
    <w:rsid w:val="004F0811"/>
    <w:rsid w:val="004F083C"/>
    <w:rsid w:val="004F08DD"/>
    <w:rsid w:val="004F0912"/>
    <w:rsid w:val="004F094D"/>
    <w:rsid w:val="004F09F0"/>
    <w:rsid w:val="004F0AB0"/>
    <w:rsid w:val="004F0AB4"/>
    <w:rsid w:val="004F0B0F"/>
    <w:rsid w:val="004F0B18"/>
    <w:rsid w:val="004F0BC7"/>
    <w:rsid w:val="004F0C2F"/>
    <w:rsid w:val="004F0C37"/>
    <w:rsid w:val="004F0C49"/>
    <w:rsid w:val="004F0CC3"/>
    <w:rsid w:val="004F0D19"/>
    <w:rsid w:val="004F0D3D"/>
    <w:rsid w:val="004F0DCC"/>
    <w:rsid w:val="004F0DDC"/>
    <w:rsid w:val="004F0E60"/>
    <w:rsid w:val="004F0EB2"/>
    <w:rsid w:val="004F0EB6"/>
    <w:rsid w:val="004F0EC0"/>
    <w:rsid w:val="004F0F32"/>
    <w:rsid w:val="004F0FA6"/>
    <w:rsid w:val="004F1093"/>
    <w:rsid w:val="004F11F1"/>
    <w:rsid w:val="004F11F2"/>
    <w:rsid w:val="004F1240"/>
    <w:rsid w:val="004F1241"/>
    <w:rsid w:val="004F1296"/>
    <w:rsid w:val="004F13E4"/>
    <w:rsid w:val="004F13EB"/>
    <w:rsid w:val="004F1432"/>
    <w:rsid w:val="004F1603"/>
    <w:rsid w:val="004F16DD"/>
    <w:rsid w:val="004F1718"/>
    <w:rsid w:val="004F1740"/>
    <w:rsid w:val="004F174D"/>
    <w:rsid w:val="004F181A"/>
    <w:rsid w:val="004F18A3"/>
    <w:rsid w:val="004F1975"/>
    <w:rsid w:val="004F19DB"/>
    <w:rsid w:val="004F1AAD"/>
    <w:rsid w:val="004F1AE3"/>
    <w:rsid w:val="004F1BEE"/>
    <w:rsid w:val="004F1C00"/>
    <w:rsid w:val="004F1C37"/>
    <w:rsid w:val="004F1F43"/>
    <w:rsid w:val="004F1F45"/>
    <w:rsid w:val="004F1F62"/>
    <w:rsid w:val="004F1FB9"/>
    <w:rsid w:val="004F1FD3"/>
    <w:rsid w:val="004F1FE4"/>
    <w:rsid w:val="004F2062"/>
    <w:rsid w:val="004F20E5"/>
    <w:rsid w:val="004F20EE"/>
    <w:rsid w:val="004F2155"/>
    <w:rsid w:val="004F21BB"/>
    <w:rsid w:val="004F21CA"/>
    <w:rsid w:val="004F22CE"/>
    <w:rsid w:val="004F22D6"/>
    <w:rsid w:val="004F2308"/>
    <w:rsid w:val="004F233F"/>
    <w:rsid w:val="004F23F1"/>
    <w:rsid w:val="004F244F"/>
    <w:rsid w:val="004F2501"/>
    <w:rsid w:val="004F251E"/>
    <w:rsid w:val="004F259C"/>
    <w:rsid w:val="004F2652"/>
    <w:rsid w:val="004F268C"/>
    <w:rsid w:val="004F26D8"/>
    <w:rsid w:val="004F26FD"/>
    <w:rsid w:val="004F276E"/>
    <w:rsid w:val="004F2870"/>
    <w:rsid w:val="004F290E"/>
    <w:rsid w:val="004F2926"/>
    <w:rsid w:val="004F2966"/>
    <w:rsid w:val="004F29F2"/>
    <w:rsid w:val="004F29F6"/>
    <w:rsid w:val="004F2A01"/>
    <w:rsid w:val="004F2A03"/>
    <w:rsid w:val="004F2AF1"/>
    <w:rsid w:val="004F2B10"/>
    <w:rsid w:val="004F2C57"/>
    <w:rsid w:val="004F2D28"/>
    <w:rsid w:val="004F2D3A"/>
    <w:rsid w:val="004F2FCA"/>
    <w:rsid w:val="004F30F5"/>
    <w:rsid w:val="004F30FE"/>
    <w:rsid w:val="004F3155"/>
    <w:rsid w:val="004F322A"/>
    <w:rsid w:val="004F329B"/>
    <w:rsid w:val="004F32F8"/>
    <w:rsid w:val="004F3389"/>
    <w:rsid w:val="004F3493"/>
    <w:rsid w:val="004F34AD"/>
    <w:rsid w:val="004F3507"/>
    <w:rsid w:val="004F3585"/>
    <w:rsid w:val="004F3587"/>
    <w:rsid w:val="004F3629"/>
    <w:rsid w:val="004F36F6"/>
    <w:rsid w:val="004F3824"/>
    <w:rsid w:val="004F382E"/>
    <w:rsid w:val="004F3947"/>
    <w:rsid w:val="004F39F5"/>
    <w:rsid w:val="004F3B10"/>
    <w:rsid w:val="004F3BCC"/>
    <w:rsid w:val="004F3BDA"/>
    <w:rsid w:val="004F3CC8"/>
    <w:rsid w:val="004F3CD7"/>
    <w:rsid w:val="004F3CFB"/>
    <w:rsid w:val="004F3D98"/>
    <w:rsid w:val="004F3E3D"/>
    <w:rsid w:val="004F3F09"/>
    <w:rsid w:val="004F3FB0"/>
    <w:rsid w:val="004F408B"/>
    <w:rsid w:val="004F4217"/>
    <w:rsid w:val="004F4235"/>
    <w:rsid w:val="004F42A1"/>
    <w:rsid w:val="004F42B4"/>
    <w:rsid w:val="004F4311"/>
    <w:rsid w:val="004F431E"/>
    <w:rsid w:val="004F4338"/>
    <w:rsid w:val="004F4368"/>
    <w:rsid w:val="004F4373"/>
    <w:rsid w:val="004F4383"/>
    <w:rsid w:val="004F4428"/>
    <w:rsid w:val="004F4470"/>
    <w:rsid w:val="004F4476"/>
    <w:rsid w:val="004F459B"/>
    <w:rsid w:val="004F469B"/>
    <w:rsid w:val="004F46B0"/>
    <w:rsid w:val="004F4727"/>
    <w:rsid w:val="004F4747"/>
    <w:rsid w:val="004F4795"/>
    <w:rsid w:val="004F4867"/>
    <w:rsid w:val="004F48BF"/>
    <w:rsid w:val="004F48E4"/>
    <w:rsid w:val="004F4946"/>
    <w:rsid w:val="004F4953"/>
    <w:rsid w:val="004F49B3"/>
    <w:rsid w:val="004F49E8"/>
    <w:rsid w:val="004F4A84"/>
    <w:rsid w:val="004F4A93"/>
    <w:rsid w:val="004F4ABF"/>
    <w:rsid w:val="004F4B21"/>
    <w:rsid w:val="004F4B27"/>
    <w:rsid w:val="004F4B29"/>
    <w:rsid w:val="004F4B8B"/>
    <w:rsid w:val="004F4BBA"/>
    <w:rsid w:val="004F4C44"/>
    <w:rsid w:val="004F4D52"/>
    <w:rsid w:val="004F4DAD"/>
    <w:rsid w:val="004F4DB9"/>
    <w:rsid w:val="004F4DEC"/>
    <w:rsid w:val="004F4DF0"/>
    <w:rsid w:val="004F5005"/>
    <w:rsid w:val="004F502E"/>
    <w:rsid w:val="004F5107"/>
    <w:rsid w:val="004F512C"/>
    <w:rsid w:val="004F5144"/>
    <w:rsid w:val="004F5286"/>
    <w:rsid w:val="004F52B5"/>
    <w:rsid w:val="004F52BF"/>
    <w:rsid w:val="004F52EE"/>
    <w:rsid w:val="004F5362"/>
    <w:rsid w:val="004F5380"/>
    <w:rsid w:val="004F53C4"/>
    <w:rsid w:val="004F53D9"/>
    <w:rsid w:val="004F5445"/>
    <w:rsid w:val="004F5533"/>
    <w:rsid w:val="004F557A"/>
    <w:rsid w:val="004F5697"/>
    <w:rsid w:val="004F56A6"/>
    <w:rsid w:val="004F56C1"/>
    <w:rsid w:val="004F56F8"/>
    <w:rsid w:val="004F581B"/>
    <w:rsid w:val="004F5931"/>
    <w:rsid w:val="004F5A52"/>
    <w:rsid w:val="004F5A58"/>
    <w:rsid w:val="004F5B7F"/>
    <w:rsid w:val="004F5B81"/>
    <w:rsid w:val="004F5BEA"/>
    <w:rsid w:val="004F5BFA"/>
    <w:rsid w:val="004F5CE3"/>
    <w:rsid w:val="004F5D75"/>
    <w:rsid w:val="004F5EB9"/>
    <w:rsid w:val="004F5ECE"/>
    <w:rsid w:val="004F5F23"/>
    <w:rsid w:val="004F5FB1"/>
    <w:rsid w:val="004F5FFA"/>
    <w:rsid w:val="004F6001"/>
    <w:rsid w:val="004F600E"/>
    <w:rsid w:val="004F619F"/>
    <w:rsid w:val="004F61D1"/>
    <w:rsid w:val="004F61EF"/>
    <w:rsid w:val="004F623E"/>
    <w:rsid w:val="004F6314"/>
    <w:rsid w:val="004F63C8"/>
    <w:rsid w:val="004F644F"/>
    <w:rsid w:val="004F6550"/>
    <w:rsid w:val="004F65E9"/>
    <w:rsid w:val="004F6673"/>
    <w:rsid w:val="004F6686"/>
    <w:rsid w:val="004F66E1"/>
    <w:rsid w:val="004F66E6"/>
    <w:rsid w:val="004F679E"/>
    <w:rsid w:val="004F67FB"/>
    <w:rsid w:val="004F698B"/>
    <w:rsid w:val="004F69E0"/>
    <w:rsid w:val="004F69F2"/>
    <w:rsid w:val="004F6A13"/>
    <w:rsid w:val="004F6A1E"/>
    <w:rsid w:val="004F6A4F"/>
    <w:rsid w:val="004F6C52"/>
    <w:rsid w:val="004F6C9A"/>
    <w:rsid w:val="004F6CE6"/>
    <w:rsid w:val="004F6D06"/>
    <w:rsid w:val="004F6D1E"/>
    <w:rsid w:val="004F6E46"/>
    <w:rsid w:val="004F6EEF"/>
    <w:rsid w:val="004F6FA7"/>
    <w:rsid w:val="004F6FB4"/>
    <w:rsid w:val="004F7045"/>
    <w:rsid w:val="004F7109"/>
    <w:rsid w:val="004F7165"/>
    <w:rsid w:val="004F71E2"/>
    <w:rsid w:val="004F7256"/>
    <w:rsid w:val="004F727A"/>
    <w:rsid w:val="004F7303"/>
    <w:rsid w:val="004F730C"/>
    <w:rsid w:val="004F7339"/>
    <w:rsid w:val="004F735D"/>
    <w:rsid w:val="004F7495"/>
    <w:rsid w:val="004F74CE"/>
    <w:rsid w:val="004F7537"/>
    <w:rsid w:val="004F75E3"/>
    <w:rsid w:val="004F7614"/>
    <w:rsid w:val="004F7639"/>
    <w:rsid w:val="004F7644"/>
    <w:rsid w:val="004F764C"/>
    <w:rsid w:val="004F765A"/>
    <w:rsid w:val="004F76A5"/>
    <w:rsid w:val="004F76D1"/>
    <w:rsid w:val="004F7747"/>
    <w:rsid w:val="004F7756"/>
    <w:rsid w:val="004F77AE"/>
    <w:rsid w:val="004F77E6"/>
    <w:rsid w:val="004F7820"/>
    <w:rsid w:val="004F7928"/>
    <w:rsid w:val="004F7967"/>
    <w:rsid w:val="004F7A27"/>
    <w:rsid w:val="004F7A68"/>
    <w:rsid w:val="004F7A6E"/>
    <w:rsid w:val="004F7B39"/>
    <w:rsid w:val="004F7BB5"/>
    <w:rsid w:val="004F7C10"/>
    <w:rsid w:val="004F7C40"/>
    <w:rsid w:val="004F7C49"/>
    <w:rsid w:val="004F7CE6"/>
    <w:rsid w:val="004F7DCE"/>
    <w:rsid w:val="004F7E34"/>
    <w:rsid w:val="004F7EAB"/>
    <w:rsid w:val="004F7EBD"/>
    <w:rsid w:val="004F7FE7"/>
    <w:rsid w:val="0050002D"/>
    <w:rsid w:val="00500038"/>
    <w:rsid w:val="00500282"/>
    <w:rsid w:val="0050036E"/>
    <w:rsid w:val="00500387"/>
    <w:rsid w:val="00500575"/>
    <w:rsid w:val="00500576"/>
    <w:rsid w:val="005005AF"/>
    <w:rsid w:val="005005B1"/>
    <w:rsid w:val="0050062A"/>
    <w:rsid w:val="005006E6"/>
    <w:rsid w:val="00500714"/>
    <w:rsid w:val="0050071B"/>
    <w:rsid w:val="00500744"/>
    <w:rsid w:val="0050080E"/>
    <w:rsid w:val="00500885"/>
    <w:rsid w:val="005008F5"/>
    <w:rsid w:val="00500916"/>
    <w:rsid w:val="00500924"/>
    <w:rsid w:val="00500947"/>
    <w:rsid w:val="0050094B"/>
    <w:rsid w:val="00500961"/>
    <w:rsid w:val="00500988"/>
    <w:rsid w:val="005009E7"/>
    <w:rsid w:val="00500A7F"/>
    <w:rsid w:val="00500A8F"/>
    <w:rsid w:val="00500AE6"/>
    <w:rsid w:val="00500B05"/>
    <w:rsid w:val="00500B38"/>
    <w:rsid w:val="00500BC2"/>
    <w:rsid w:val="00500C0E"/>
    <w:rsid w:val="00500C8B"/>
    <w:rsid w:val="00500D77"/>
    <w:rsid w:val="00500E43"/>
    <w:rsid w:val="00500E5E"/>
    <w:rsid w:val="00500E70"/>
    <w:rsid w:val="00500EAE"/>
    <w:rsid w:val="00500FA4"/>
    <w:rsid w:val="00501011"/>
    <w:rsid w:val="00501012"/>
    <w:rsid w:val="00501013"/>
    <w:rsid w:val="0050101D"/>
    <w:rsid w:val="0050103E"/>
    <w:rsid w:val="00501050"/>
    <w:rsid w:val="00501064"/>
    <w:rsid w:val="00501068"/>
    <w:rsid w:val="005010AA"/>
    <w:rsid w:val="005010B1"/>
    <w:rsid w:val="005010C7"/>
    <w:rsid w:val="005010F1"/>
    <w:rsid w:val="00501101"/>
    <w:rsid w:val="00501113"/>
    <w:rsid w:val="00501164"/>
    <w:rsid w:val="005011FC"/>
    <w:rsid w:val="00501356"/>
    <w:rsid w:val="005013C8"/>
    <w:rsid w:val="0050144A"/>
    <w:rsid w:val="00501468"/>
    <w:rsid w:val="0050148C"/>
    <w:rsid w:val="005015B5"/>
    <w:rsid w:val="005015D3"/>
    <w:rsid w:val="00501676"/>
    <w:rsid w:val="0050169A"/>
    <w:rsid w:val="0050173F"/>
    <w:rsid w:val="005017B0"/>
    <w:rsid w:val="00501816"/>
    <w:rsid w:val="005018D2"/>
    <w:rsid w:val="005018E6"/>
    <w:rsid w:val="00501934"/>
    <w:rsid w:val="00501998"/>
    <w:rsid w:val="0050199E"/>
    <w:rsid w:val="005019F1"/>
    <w:rsid w:val="00501A6F"/>
    <w:rsid w:val="00501A77"/>
    <w:rsid w:val="00501B24"/>
    <w:rsid w:val="00501B60"/>
    <w:rsid w:val="00501B70"/>
    <w:rsid w:val="00501C01"/>
    <w:rsid w:val="00501C39"/>
    <w:rsid w:val="00501EE4"/>
    <w:rsid w:val="00501F1E"/>
    <w:rsid w:val="00501FCC"/>
    <w:rsid w:val="00501FF1"/>
    <w:rsid w:val="0050202D"/>
    <w:rsid w:val="00502037"/>
    <w:rsid w:val="0050207C"/>
    <w:rsid w:val="005020B0"/>
    <w:rsid w:val="00502156"/>
    <w:rsid w:val="0050218B"/>
    <w:rsid w:val="0050220F"/>
    <w:rsid w:val="0050224D"/>
    <w:rsid w:val="005023A9"/>
    <w:rsid w:val="00502490"/>
    <w:rsid w:val="005025F9"/>
    <w:rsid w:val="00502670"/>
    <w:rsid w:val="00502677"/>
    <w:rsid w:val="00502791"/>
    <w:rsid w:val="005027CB"/>
    <w:rsid w:val="005027D0"/>
    <w:rsid w:val="005028BD"/>
    <w:rsid w:val="00502921"/>
    <w:rsid w:val="00502942"/>
    <w:rsid w:val="005029E2"/>
    <w:rsid w:val="00502A08"/>
    <w:rsid w:val="00502A8B"/>
    <w:rsid w:val="00502AA3"/>
    <w:rsid w:val="00502AB3"/>
    <w:rsid w:val="00502AE7"/>
    <w:rsid w:val="00502B0D"/>
    <w:rsid w:val="00502B62"/>
    <w:rsid w:val="00502B88"/>
    <w:rsid w:val="00502C5B"/>
    <w:rsid w:val="00502EA6"/>
    <w:rsid w:val="00502F1E"/>
    <w:rsid w:val="00502F3E"/>
    <w:rsid w:val="00502FC4"/>
    <w:rsid w:val="00503028"/>
    <w:rsid w:val="0050304C"/>
    <w:rsid w:val="005030E4"/>
    <w:rsid w:val="005031A0"/>
    <w:rsid w:val="005031F2"/>
    <w:rsid w:val="00503367"/>
    <w:rsid w:val="005033A2"/>
    <w:rsid w:val="00503448"/>
    <w:rsid w:val="00503457"/>
    <w:rsid w:val="00503466"/>
    <w:rsid w:val="00503474"/>
    <w:rsid w:val="005034F5"/>
    <w:rsid w:val="005034FE"/>
    <w:rsid w:val="0050350D"/>
    <w:rsid w:val="005036FF"/>
    <w:rsid w:val="00503702"/>
    <w:rsid w:val="00503716"/>
    <w:rsid w:val="00503730"/>
    <w:rsid w:val="00503863"/>
    <w:rsid w:val="00503939"/>
    <w:rsid w:val="005039AB"/>
    <w:rsid w:val="005039C3"/>
    <w:rsid w:val="00503A3A"/>
    <w:rsid w:val="00503A3F"/>
    <w:rsid w:val="00503ABD"/>
    <w:rsid w:val="00503BAE"/>
    <w:rsid w:val="00503C1E"/>
    <w:rsid w:val="00503D38"/>
    <w:rsid w:val="00503DC4"/>
    <w:rsid w:val="00503EEE"/>
    <w:rsid w:val="00503F69"/>
    <w:rsid w:val="00503F97"/>
    <w:rsid w:val="00504178"/>
    <w:rsid w:val="005041FF"/>
    <w:rsid w:val="005043F4"/>
    <w:rsid w:val="00504453"/>
    <w:rsid w:val="00504459"/>
    <w:rsid w:val="0050445D"/>
    <w:rsid w:val="0050453F"/>
    <w:rsid w:val="0050469C"/>
    <w:rsid w:val="005046A3"/>
    <w:rsid w:val="00504756"/>
    <w:rsid w:val="0050478B"/>
    <w:rsid w:val="005047FF"/>
    <w:rsid w:val="00504800"/>
    <w:rsid w:val="00504A5B"/>
    <w:rsid w:val="00504B64"/>
    <w:rsid w:val="00504B82"/>
    <w:rsid w:val="00504D01"/>
    <w:rsid w:val="00504EFF"/>
    <w:rsid w:val="00504F46"/>
    <w:rsid w:val="00504F80"/>
    <w:rsid w:val="00505026"/>
    <w:rsid w:val="0050503F"/>
    <w:rsid w:val="00505209"/>
    <w:rsid w:val="005052B1"/>
    <w:rsid w:val="005052E5"/>
    <w:rsid w:val="00505304"/>
    <w:rsid w:val="005053D4"/>
    <w:rsid w:val="00505432"/>
    <w:rsid w:val="00505468"/>
    <w:rsid w:val="0050553E"/>
    <w:rsid w:val="005055B6"/>
    <w:rsid w:val="005055FE"/>
    <w:rsid w:val="0050567D"/>
    <w:rsid w:val="00505699"/>
    <w:rsid w:val="005056A2"/>
    <w:rsid w:val="00505748"/>
    <w:rsid w:val="005058B1"/>
    <w:rsid w:val="0050590F"/>
    <w:rsid w:val="0050598E"/>
    <w:rsid w:val="005059FA"/>
    <w:rsid w:val="00505A40"/>
    <w:rsid w:val="00505AE4"/>
    <w:rsid w:val="00505B27"/>
    <w:rsid w:val="00505B48"/>
    <w:rsid w:val="00505B51"/>
    <w:rsid w:val="00505C40"/>
    <w:rsid w:val="00505C65"/>
    <w:rsid w:val="00505C8A"/>
    <w:rsid w:val="00505CAA"/>
    <w:rsid w:val="00505D39"/>
    <w:rsid w:val="00505D61"/>
    <w:rsid w:val="00505D84"/>
    <w:rsid w:val="00505DAA"/>
    <w:rsid w:val="00505DB7"/>
    <w:rsid w:val="00505E9F"/>
    <w:rsid w:val="00505F73"/>
    <w:rsid w:val="00506014"/>
    <w:rsid w:val="0050605D"/>
    <w:rsid w:val="005060C0"/>
    <w:rsid w:val="0050618B"/>
    <w:rsid w:val="005061E4"/>
    <w:rsid w:val="00506211"/>
    <w:rsid w:val="0050632B"/>
    <w:rsid w:val="00506467"/>
    <w:rsid w:val="00506496"/>
    <w:rsid w:val="005064E8"/>
    <w:rsid w:val="00506523"/>
    <w:rsid w:val="0050655B"/>
    <w:rsid w:val="0050658D"/>
    <w:rsid w:val="0050661E"/>
    <w:rsid w:val="00506706"/>
    <w:rsid w:val="005067A5"/>
    <w:rsid w:val="005067F4"/>
    <w:rsid w:val="00506885"/>
    <w:rsid w:val="00506887"/>
    <w:rsid w:val="005068AF"/>
    <w:rsid w:val="00506906"/>
    <w:rsid w:val="00506916"/>
    <w:rsid w:val="00506C13"/>
    <w:rsid w:val="00506C19"/>
    <w:rsid w:val="00506C24"/>
    <w:rsid w:val="00506C2C"/>
    <w:rsid w:val="00506C73"/>
    <w:rsid w:val="00506CE9"/>
    <w:rsid w:val="00506D09"/>
    <w:rsid w:val="00506D2B"/>
    <w:rsid w:val="00506DA8"/>
    <w:rsid w:val="00506E5F"/>
    <w:rsid w:val="00506E89"/>
    <w:rsid w:val="00506F3E"/>
    <w:rsid w:val="00506F54"/>
    <w:rsid w:val="00507158"/>
    <w:rsid w:val="0050715E"/>
    <w:rsid w:val="005071B0"/>
    <w:rsid w:val="005071B9"/>
    <w:rsid w:val="00507231"/>
    <w:rsid w:val="00507251"/>
    <w:rsid w:val="00507343"/>
    <w:rsid w:val="005073D0"/>
    <w:rsid w:val="005074AB"/>
    <w:rsid w:val="005074BD"/>
    <w:rsid w:val="005074EC"/>
    <w:rsid w:val="00507513"/>
    <w:rsid w:val="0050752F"/>
    <w:rsid w:val="00507578"/>
    <w:rsid w:val="00507590"/>
    <w:rsid w:val="00507623"/>
    <w:rsid w:val="005076A8"/>
    <w:rsid w:val="0050773B"/>
    <w:rsid w:val="00507781"/>
    <w:rsid w:val="005077E0"/>
    <w:rsid w:val="00507840"/>
    <w:rsid w:val="0050785A"/>
    <w:rsid w:val="00507868"/>
    <w:rsid w:val="0050787B"/>
    <w:rsid w:val="00507A7D"/>
    <w:rsid w:val="00507A85"/>
    <w:rsid w:val="00507B37"/>
    <w:rsid w:val="00507B70"/>
    <w:rsid w:val="00507B7B"/>
    <w:rsid w:val="00507BDA"/>
    <w:rsid w:val="00507BDD"/>
    <w:rsid w:val="00507D4D"/>
    <w:rsid w:val="00507E40"/>
    <w:rsid w:val="00507ED6"/>
    <w:rsid w:val="00507F6C"/>
    <w:rsid w:val="00507F8A"/>
    <w:rsid w:val="00510024"/>
    <w:rsid w:val="005100C4"/>
    <w:rsid w:val="0051011C"/>
    <w:rsid w:val="00510160"/>
    <w:rsid w:val="005102EE"/>
    <w:rsid w:val="00510301"/>
    <w:rsid w:val="00510456"/>
    <w:rsid w:val="005104C9"/>
    <w:rsid w:val="00510644"/>
    <w:rsid w:val="005106CA"/>
    <w:rsid w:val="005106CC"/>
    <w:rsid w:val="00510705"/>
    <w:rsid w:val="005107F7"/>
    <w:rsid w:val="00510807"/>
    <w:rsid w:val="00510812"/>
    <w:rsid w:val="00510829"/>
    <w:rsid w:val="005108C6"/>
    <w:rsid w:val="00510952"/>
    <w:rsid w:val="00510991"/>
    <w:rsid w:val="005109BB"/>
    <w:rsid w:val="005109C8"/>
    <w:rsid w:val="00510A41"/>
    <w:rsid w:val="00510A71"/>
    <w:rsid w:val="00510A91"/>
    <w:rsid w:val="00510A94"/>
    <w:rsid w:val="00510B18"/>
    <w:rsid w:val="00510B62"/>
    <w:rsid w:val="00510B91"/>
    <w:rsid w:val="00510C1C"/>
    <w:rsid w:val="00510CA7"/>
    <w:rsid w:val="00510CDF"/>
    <w:rsid w:val="00510D0E"/>
    <w:rsid w:val="00510D10"/>
    <w:rsid w:val="00510DC4"/>
    <w:rsid w:val="00510E2D"/>
    <w:rsid w:val="00510E31"/>
    <w:rsid w:val="00510F1C"/>
    <w:rsid w:val="00510F39"/>
    <w:rsid w:val="00510F97"/>
    <w:rsid w:val="00510F9A"/>
    <w:rsid w:val="0051102A"/>
    <w:rsid w:val="00511095"/>
    <w:rsid w:val="00511162"/>
    <w:rsid w:val="005111D6"/>
    <w:rsid w:val="00511284"/>
    <w:rsid w:val="005112B7"/>
    <w:rsid w:val="00511307"/>
    <w:rsid w:val="00511373"/>
    <w:rsid w:val="005113AA"/>
    <w:rsid w:val="00511402"/>
    <w:rsid w:val="00511435"/>
    <w:rsid w:val="005114A7"/>
    <w:rsid w:val="005114BF"/>
    <w:rsid w:val="005114D8"/>
    <w:rsid w:val="00511521"/>
    <w:rsid w:val="005116E0"/>
    <w:rsid w:val="00511730"/>
    <w:rsid w:val="00511801"/>
    <w:rsid w:val="00511834"/>
    <w:rsid w:val="00511938"/>
    <w:rsid w:val="00511B45"/>
    <w:rsid w:val="00511B6C"/>
    <w:rsid w:val="00511BD7"/>
    <w:rsid w:val="00511C2C"/>
    <w:rsid w:val="00511CAD"/>
    <w:rsid w:val="00511CCE"/>
    <w:rsid w:val="00511DA1"/>
    <w:rsid w:val="00511E51"/>
    <w:rsid w:val="00511E54"/>
    <w:rsid w:val="00511E74"/>
    <w:rsid w:val="00511EA6"/>
    <w:rsid w:val="00511EB5"/>
    <w:rsid w:val="00511F51"/>
    <w:rsid w:val="00511F78"/>
    <w:rsid w:val="00511F7C"/>
    <w:rsid w:val="00511FAB"/>
    <w:rsid w:val="0051201E"/>
    <w:rsid w:val="00512201"/>
    <w:rsid w:val="005122EB"/>
    <w:rsid w:val="00512307"/>
    <w:rsid w:val="00512333"/>
    <w:rsid w:val="00512336"/>
    <w:rsid w:val="005123BF"/>
    <w:rsid w:val="00512450"/>
    <w:rsid w:val="005124BA"/>
    <w:rsid w:val="005124C3"/>
    <w:rsid w:val="005124F8"/>
    <w:rsid w:val="00512508"/>
    <w:rsid w:val="00512515"/>
    <w:rsid w:val="0051254B"/>
    <w:rsid w:val="005125A5"/>
    <w:rsid w:val="005125E0"/>
    <w:rsid w:val="00512605"/>
    <w:rsid w:val="005126D0"/>
    <w:rsid w:val="00512774"/>
    <w:rsid w:val="005128B4"/>
    <w:rsid w:val="0051298F"/>
    <w:rsid w:val="00512A22"/>
    <w:rsid w:val="00512ACF"/>
    <w:rsid w:val="00512BE3"/>
    <w:rsid w:val="00512C7B"/>
    <w:rsid w:val="00512C84"/>
    <w:rsid w:val="00512CA6"/>
    <w:rsid w:val="00512D39"/>
    <w:rsid w:val="00512D94"/>
    <w:rsid w:val="00512DB4"/>
    <w:rsid w:val="00512E64"/>
    <w:rsid w:val="00512EF5"/>
    <w:rsid w:val="00512F4B"/>
    <w:rsid w:val="00512F6A"/>
    <w:rsid w:val="00512F6D"/>
    <w:rsid w:val="00512FD4"/>
    <w:rsid w:val="005130B0"/>
    <w:rsid w:val="00513236"/>
    <w:rsid w:val="0051324B"/>
    <w:rsid w:val="0051342B"/>
    <w:rsid w:val="0051348A"/>
    <w:rsid w:val="0051358F"/>
    <w:rsid w:val="005135E1"/>
    <w:rsid w:val="005136AF"/>
    <w:rsid w:val="005136C5"/>
    <w:rsid w:val="00513709"/>
    <w:rsid w:val="0051371B"/>
    <w:rsid w:val="005137C0"/>
    <w:rsid w:val="005137E3"/>
    <w:rsid w:val="0051386C"/>
    <w:rsid w:val="005138D8"/>
    <w:rsid w:val="00513916"/>
    <w:rsid w:val="00513934"/>
    <w:rsid w:val="00513A04"/>
    <w:rsid w:val="00513A07"/>
    <w:rsid w:val="00513ACC"/>
    <w:rsid w:val="00513BA3"/>
    <w:rsid w:val="00513C0C"/>
    <w:rsid w:val="00513C62"/>
    <w:rsid w:val="00513CE6"/>
    <w:rsid w:val="00513D06"/>
    <w:rsid w:val="00513D65"/>
    <w:rsid w:val="00513D6F"/>
    <w:rsid w:val="00513D92"/>
    <w:rsid w:val="00513DE5"/>
    <w:rsid w:val="00513E21"/>
    <w:rsid w:val="00513E75"/>
    <w:rsid w:val="00513EFD"/>
    <w:rsid w:val="00513F45"/>
    <w:rsid w:val="00513F53"/>
    <w:rsid w:val="00513F6D"/>
    <w:rsid w:val="00514083"/>
    <w:rsid w:val="005140CC"/>
    <w:rsid w:val="005140F4"/>
    <w:rsid w:val="0051418D"/>
    <w:rsid w:val="00514204"/>
    <w:rsid w:val="005142E3"/>
    <w:rsid w:val="00514315"/>
    <w:rsid w:val="00514365"/>
    <w:rsid w:val="00514396"/>
    <w:rsid w:val="005143C1"/>
    <w:rsid w:val="00514447"/>
    <w:rsid w:val="00514456"/>
    <w:rsid w:val="00514463"/>
    <w:rsid w:val="005146B9"/>
    <w:rsid w:val="00514956"/>
    <w:rsid w:val="00514A96"/>
    <w:rsid w:val="00514B5B"/>
    <w:rsid w:val="00514B9D"/>
    <w:rsid w:val="00514BE7"/>
    <w:rsid w:val="00514C7B"/>
    <w:rsid w:val="00514C85"/>
    <w:rsid w:val="00514D09"/>
    <w:rsid w:val="00514D0D"/>
    <w:rsid w:val="00514D37"/>
    <w:rsid w:val="00514DA0"/>
    <w:rsid w:val="00514DD8"/>
    <w:rsid w:val="00514DE7"/>
    <w:rsid w:val="00514E64"/>
    <w:rsid w:val="00514EC7"/>
    <w:rsid w:val="00514F0C"/>
    <w:rsid w:val="00514F19"/>
    <w:rsid w:val="00514F42"/>
    <w:rsid w:val="00514F9E"/>
    <w:rsid w:val="00514FBD"/>
    <w:rsid w:val="005150B2"/>
    <w:rsid w:val="005151AF"/>
    <w:rsid w:val="005151F2"/>
    <w:rsid w:val="00515204"/>
    <w:rsid w:val="00515229"/>
    <w:rsid w:val="0051528A"/>
    <w:rsid w:val="00515347"/>
    <w:rsid w:val="0051534F"/>
    <w:rsid w:val="00515356"/>
    <w:rsid w:val="00515384"/>
    <w:rsid w:val="00515397"/>
    <w:rsid w:val="00515443"/>
    <w:rsid w:val="0051557A"/>
    <w:rsid w:val="005155AD"/>
    <w:rsid w:val="005155E5"/>
    <w:rsid w:val="0051562A"/>
    <w:rsid w:val="005156E1"/>
    <w:rsid w:val="005157AA"/>
    <w:rsid w:val="005157F4"/>
    <w:rsid w:val="00515906"/>
    <w:rsid w:val="0051598C"/>
    <w:rsid w:val="005159B1"/>
    <w:rsid w:val="005159ED"/>
    <w:rsid w:val="00515A81"/>
    <w:rsid w:val="00515AE7"/>
    <w:rsid w:val="00515AEB"/>
    <w:rsid w:val="00515CAD"/>
    <w:rsid w:val="00515DEF"/>
    <w:rsid w:val="00515E19"/>
    <w:rsid w:val="00515E97"/>
    <w:rsid w:val="00515E99"/>
    <w:rsid w:val="00515F2F"/>
    <w:rsid w:val="00515FFA"/>
    <w:rsid w:val="0051604A"/>
    <w:rsid w:val="00516067"/>
    <w:rsid w:val="00516115"/>
    <w:rsid w:val="00516227"/>
    <w:rsid w:val="00516237"/>
    <w:rsid w:val="0051625C"/>
    <w:rsid w:val="0051626C"/>
    <w:rsid w:val="00516387"/>
    <w:rsid w:val="005163BE"/>
    <w:rsid w:val="005163E8"/>
    <w:rsid w:val="0051648C"/>
    <w:rsid w:val="00516497"/>
    <w:rsid w:val="005164BA"/>
    <w:rsid w:val="00516529"/>
    <w:rsid w:val="00516569"/>
    <w:rsid w:val="005165B6"/>
    <w:rsid w:val="005166A6"/>
    <w:rsid w:val="005166A8"/>
    <w:rsid w:val="0051674C"/>
    <w:rsid w:val="005167A4"/>
    <w:rsid w:val="005167B2"/>
    <w:rsid w:val="005167F1"/>
    <w:rsid w:val="005169FE"/>
    <w:rsid w:val="00516A46"/>
    <w:rsid w:val="00516B24"/>
    <w:rsid w:val="00516B52"/>
    <w:rsid w:val="00516B6D"/>
    <w:rsid w:val="00516B7C"/>
    <w:rsid w:val="00516BF5"/>
    <w:rsid w:val="00516C00"/>
    <w:rsid w:val="00516C0B"/>
    <w:rsid w:val="00516CA8"/>
    <w:rsid w:val="00516CE8"/>
    <w:rsid w:val="00516D0A"/>
    <w:rsid w:val="00516D20"/>
    <w:rsid w:val="00516D26"/>
    <w:rsid w:val="00516D28"/>
    <w:rsid w:val="00516D42"/>
    <w:rsid w:val="00516E3B"/>
    <w:rsid w:val="00516EEB"/>
    <w:rsid w:val="00516F73"/>
    <w:rsid w:val="00516FB8"/>
    <w:rsid w:val="00516FF3"/>
    <w:rsid w:val="00517012"/>
    <w:rsid w:val="00517116"/>
    <w:rsid w:val="00517140"/>
    <w:rsid w:val="00517141"/>
    <w:rsid w:val="00517167"/>
    <w:rsid w:val="0051733C"/>
    <w:rsid w:val="00517368"/>
    <w:rsid w:val="00517395"/>
    <w:rsid w:val="00517409"/>
    <w:rsid w:val="00517455"/>
    <w:rsid w:val="005174E9"/>
    <w:rsid w:val="00517530"/>
    <w:rsid w:val="005175C6"/>
    <w:rsid w:val="00517770"/>
    <w:rsid w:val="005177D5"/>
    <w:rsid w:val="00517825"/>
    <w:rsid w:val="00517855"/>
    <w:rsid w:val="005178B7"/>
    <w:rsid w:val="005179DB"/>
    <w:rsid w:val="00517AAC"/>
    <w:rsid w:val="00517AE3"/>
    <w:rsid w:val="00517BA8"/>
    <w:rsid w:val="00517BE4"/>
    <w:rsid w:val="00517C6B"/>
    <w:rsid w:val="00517CFF"/>
    <w:rsid w:val="00517D61"/>
    <w:rsid w:val="00517DA5"/>
    <w:rsid w:val="00517E14"/>
    <w:rsid w:val="00517E8A"/>
    <w:rsid w:val="00517F36"/>
    <w:rsid w:val="00517F8E"/>
    <w:rsid w:val="00517FEE"/>
    <w:rsid w:val="00517FF2"/>
    <w:rsid w:val="00520000"/>
    <w:rsid w:val="00520029"/>
    <w:rsid w:val="0052006B"/>
    <w:rsid w:val="0052015C"/>
    <w:rsid w:val="00520175"/>
    <w:rsid w:val="00520228"/>
    <w:rsid w:val="005202D7"/>
    <w:rsid w:val="005202EB"/>
    <w:rsid w:val="005202F0"/>
    <w:rsid w:val="00520324"/>
    <w:rsid w:val="0052034E"/>
    <w:rsid w:val="00520389"/>
    <w:rsid w:val="005203DB"/>
    <w:rsid w:val="0052043D"/>
    <w:rsid w:val="00520467"/>
    <w:rsid w:val="005204DC"/>
    <w:rsid w:val="005204FB"/>
    <w:rsid w:val="00520514"/>
    <w:rsid w:val="0052068B"/>
    <w:rsid w:val="00520726"/>
    <w:rsid w:val="005207B5"/>
    <w:rsid w:val="0052087C"/>
    <w:rsid w:val="005208C5"/>
    <w:rsid w:val="005209CD"/>
    <w:rsid w:val="00520A0F"/>
    <w:rsid w:val="00520A79"/>
    <w:rsid w:val="00520AB8"/>
    <w:rsid w:val="00520AF7"/>
    <w:rsid w:val="00520BF2"/>
    <w:rsid w:val="00520CCD"/>
    <w:rsid w:val="00520CD9"/>
    <w:rsid w:val="00520D3A"/>
    <w:rsid w:val="00520E15"/>
    <w:rsid w:val="00520E7A"/>
    <w:rsid w:val="00520F78"/>
    <w:rsid w:val="0052103C"/>
    <w:rsid w:val="00521067"/>
    <w:rsid w:val="005210CE"/>
    <w:rsid w:val="0052110C"/>
    <w:rsid w:val="00521165"/>
    <w:rsid w:val="0052118C"/>
    <w:rsid w:val="00521190"/>
    <w:rsid w:val="005211A6"/>
    <w:rsid w:val="005212AF"/>
    <w:rsid w:val="005212B4"/>
    <w:rsid w:val="00521350"/>
    <w:rsid w:val="0052137A"/>
    <w:rsid w:val="005213A4"/>
    <w:rsid w:val="005213E7"/>
    <w:rsid w:val="00521452"/>
    <w:rsid w:val="00521523"/>
    <w:rsid w:val="0052155A"/>
    <w:rsid w:val="0052159D"/>
    <w:rsid w:val="005215A0"/>
    <w:rsid w:val="005215D2"/>
    <w:rsid w:val="005215FA"/>
    <w:rsid w:val="005216A5"/>
    <w:rsid w:val="005216AB"/>
    <w:rsid w:val="005216C1"/>
    <w:rsid w:val="005217F6"/>
    <w:rsid w:val="0052182B"/>
    <w:rsid w:val="0052189B"/>
    <w:rsid w:val="00521A13"/>
    <w:rsid w:val="00521B0C"/>
    <w:rsid w:val="00521B0E"/>
    <w:rsid w:val="00521B76"/>
    <w:rsid w:val="00521BA7"/>
    <w:rsid w:val="00521C49"/>
    <w:rsid w:val="00521C74"/>
    <w:rsid w:val="00521DDD"/>
    <w:rsid w:val="00521E30"/>
    <w:rsid w:val="00521E55"/>
    <w:rsid w:val="00522061"/>
    <w:rsid w:val="005220E1"/>
    <w:rsid w:val="005220EE"/>
    <w:rsid w:val="00522145"/>
    <w:rsid w:val="00522162"/>
    <w:rsid w:val="0052219B"/>
    <w:rsid w:val="00522230"/>
    <w:rsid w:val="0052227E"/>
    <w:rsid w:val="005222B2"/>
    <w:rsid w:val="005222DA"/>
    <w:rsid w:val="00522379"/>
    <w:rsid w:val="00522451"/>
    <w:rsid w:val="00522485"/>
    <w:rsid w:val="005224BD"/>
    <w:rsid w:val="005224CB"/>
    <w:rsid w:val="0052252A"/>
    <w:rsid w:val="0052253D"/>
    <w:rsid w:val="0052254A"/>
    <w:rsid w:val="0052254C"/>
    <w:rsid w:val="0052263E"/>
    <w:rsid w:val="005226E5"/>
    <w:rsid w:val="005226EA"/>
    <w:rsid w:val="005226F0"/>
    <w:rsid w:val="005227E1"/>
    <w:rsid w:val="005227F1"/>
    <w:rsid w:val="0052284B"/>
    <w:rsid w:val="00522870"/>
    <w:rsid w:val="0052288D"/>
    <w:rsid w:val="005228A9"/>
    <w:rsid w:val="00522961"/>
    <w:rsid w:val="00522966"/>
    <w:rsid w:val="00522977"/>
    <w:rsid w:val="005229F6"/>
    <w:rsid w:val="00522A5F"/>
    <w:rsid w:val="00522A65"/>
    <w:rsid w:val="00522A93"/>
    <w:rsid w:val="00522AE2"/>
    <w:rsid w:val="00522B2D"/>
    <w:rsid w:val="00522BB7"/>
    <w:rsid w:val="00522BC2"/>
    <w:rsid w:val="00522C87"/>
    <w:rsid w:val="00522CCA"/>
    <w:rsid w:val="00522D67"/>
    <w:rsid w:val="00522E50"/>
    <w:rsid w:val="00522F01"/>
    <w:rsid w:val="00522F12"/>
    <w:rsid w:val="00522FE5"/>
    <w:rsid w:val="005230A6"/>
    <w:rsid w:val="00523175"/>
    <w:rsid w:val="005231C4"/>
    <w:rsid w:val="005231C9"/>
    <w:rsid w:val="0052320F"/>
    <w:rsid w:val="00523245"/>
    <w:rsid w:val="005232BB"/>
    <w:rsid w:val="005232C7"/>
    <w:rsid w:val="005232F1"/>
    <w:rsid w:val="00523349"/>
    <w:rsid w:val="00523352"/>
    <w:rsid w:val="0052341B"/>
    <w:rsid w:val="00523448"/>
    <w:rsid w:val="0052344F"/>
    <w:rsid w:val="00523538"/>
    <w:rsid w:val="005235C5"/>
    <w:rsid w:val="005235C7"/>
    <w:rsid w:val="00523625"/>
    <w:rsid w:val="00523662"/>
    <w:rsid w:val="00523722"/>
    <w:rsid w:val="005238E5"/>
    <w:rsid w:val="00523948"/>
    <w:rsid w:val="0052395C"/>
    <w:rsid w:val="00523961"/>
    <w:rsid w:val="005239A0"/>
    <w:rsid w:val="00523A03"/>
    <w:rsid w:val="00523A68"/>
    <w:rsid w:val="00523B00"/>
    <w:rsid w:val="00523B1C"/>
    <w:rsid w:val="00523B81"/>
    <w:rsid w:val="00523BCD"/>
    <w:rsid w:val="00523BD2"/>
    <w:rsid w:val="00523C16"/>
    <w:rsid w:val="00523C1A"/>
    <w:rsid w:val="00523C5E"/>
    <w:rsid w:val="00523CFA"/>
    <w:rsid w:val="00523D1F"/>
    <w:rsid w:val="00523D42"/>
    <w:rsid w:val="00523DBA"/>
    <w:rsid w:val="00523E0C"/>
    <w:rsid w:val="00523E34"/>
    <w:rsid w:val="00523E77"/>
    <w:rsid w:val="00523E81"/>
    <w:rsid w:val="005240E8"/>
    <w:rsid w:val="005240F9"/>
    <w:rsid w:val="00524125"/>
    <w:rsid w:val="005241FD"/>
    <w:rsid w:val="00524387"/>
    <w:rsid w:val="005243CB"/>
    <w:rsid w:val="00524522"/>
    <w:rsid w:val="0052453C"/>
    <w:rsid w:val="0052455C"/>
    <w:rsid w:val="005245B4"/>
    <w:rsid w:val="005246F7"/>
    <w:rsid w:val="0052478D"/>
    <w:rsid w:val="005247BD"/>
    <w:rsid w:val="005248B8"/>
    <w:rsid w:val="005249BA"/>
    <w:rsid w:val="005249BB"/>
    <w:rsid w:val="005249FE"/>
    <w:rsid w:val="00524AA5"/>
    <w:rsid w:val="00524ABF"/>
    <w:rsid w:val="00524AC3"/>
    <w:rsid w:val="00524B19"/>
    <w:rsid w:val="00524B48"/>
    <w:rsid w:val="00524C47"/>
    <w:rsid w:val="00524C60"/>
    <w:rsid w:val="00524CBE"/>
    <w:rsid w:val="00524CC5"/>
    <w:rsid w:val="00524D05"/>
    <w:rsid w:val="00524F29"/>
    <w:rsid w:val="00524F3E"/>
    <w:rsid w:val="00524F46"/>
    <w:rsid w:val="00525133"/>
    <w:rsid w:val="0052513B"/>
    <w:rsid w:val="0052516B"/>
    <w:rsid w:val="005251CB"/>
    <w:rsid w:val="005251DA"/>
    <w:rsid w:val="00525295"/>
    <w:rsid w:val="005252E2"/>
    <w:rsid w:val="0052542B"/>
    <w:rsid w:val="0052545D"/>
    <w:rsid w:val="005254DA"/>
    <w:rsid w:val="005255E1"/>
    <w:rsid w:val="005256DB"/>
    <w:rsid w:val="00525707"/>
    <w:rsid w:val="00525725"/>
    <w:rsid w:val="0052572E"/>
    <w:rsid w:val="00525778"/>
    <w:rsid w:val="00525967"/>
    <w:rsid w:val="00525974"/>
    <w:rsid w:val="0052599A"/>
    <w:rsid w:val="005259C3"/>
    <w:rsid w:val="00525A0B"/>
    <w:rsid w:val="00525A1A"/>
    <w:rsid w:val="00525A56"/>
    <w:rsid w:val="00525A7F"/>
    <w:rsid w:val="00525A94"/>
    <w:rsid w:val="00525B9A"/>
    <w:rsid w:val="00525B9F"/>
    <w:rsid w:val="00525BC6"/>
    <w:rsid w:val="00525C95"/>
    <w:rsid w:val="00525CA5"/>
    <w:rsid w:val="00525CCE"/>
    <w:rsid w:val="00525D84"/>
    <w:rsid w:val="00525DB2"/>
    <w:rsid w:val="00525DC1"/>
    <w:rsid w:val="00525E85"/>
    <w:rsid w:val="00525EA9"/>
    <w:rsid w:val="00525EDE"/>
    <w:rsid w:val="00525F96"/>
    <w:rsid w:val="00526064"/>
    <w:rsid w:val="005260EC"/>
    <w:rsid w:val="005260F5"/>
    <w:rsid w:val="005261B1"/>
    <w:rsid w:val="00526302"/>
    <w:rsid w:val="005263EF"/>
    <w:rsid w:val="00526549"/>
    <w:rsid w:val="00526552"/>
    <w:rsid w:val="005266FE"/>
    <w:rsid w:val="005267B2"/>
    <w:rsid w:val="005267F0"/>
    <w:rsid w:val="005267FD"/>
    <w:rsid w:val="00526860"/>
    <w:rsid w:val="0052696C"/>
    <w:rsid w:val="005269A1"/>
    <w:rsid w:val="00526A1F"/>
    <w:rsid w:val="00526A45"/>
    <w:rsid w:val="00526A4B"/>
    <w:rsid w:val="00526A7F"/>
    <w:rsid w:val="00526AD4"/>
    <w:rsid w:val="00526AE9"/>
    <w:rsid w:val="00526B16"/>
    <w:rsid w:val="00526B86"/>
    <w:rsid w:val="00526C95"/>
    <w:rsid w:val="00526CF6"/>
    <w:rsid w:val="00526D7C"/>
    <w:rsid w:val="00526DED"/>
    <w:rsid w:val="00526E7E"/>
    <w:rsid w:val="00526F07"/>
    <w:rsid w:val="00526F99"/>
    <w:rsid w:val="00526FCC"/>
    <w:rsid w:val="00526FD9"/>
    <w:rsid w:val="00526FF5"/>
    <w:rsid w:val="00527059"/>
    <w:rsid w:val="0052708B"/>
    <w:rsid w:val="005270C4"/>
    <w:rsid w:val="0052722E"/>
    <w:rsid w:val="00527245"/>
    <w:rsid w:val="00527298"/>
    <w:rsid w:val="005272C5"/>
    <w:rsid w:val="0052735F"/>
    <w:rsid w:val="0052737A"/>
    <w:rsid w:val="005273C6"/>
    <w:rsid w:val="005273F4"/>
    <w:rsid w:val="00527440"/>
    <w:rsid w:val="00527484"/>
    <w:rsid w:val="005274F4"/>
    <w:rsid w:val="00527506"/>
    <w:rsid w:val="005275A9"/>
    <w:rsid w:val="005275B2"/>
    <w:rsid w:val="005275DA"/>
    <w:rsid w:val="005275F2"/>
    <w:rsid w:val="005275F3"/>
    <w:rsid w:val="00527610"/>
    <w:rsid w:val="00527639"/>
    <w:rsid w:val="00527734"/>
    <w:rsid w:val="00527800"/>
    <w:rsid w:val="0052782C"/>
    <w:rsid w:val="0052796A"/>
    <w:rsid w:val="00527998"/>
    <w:rsid w:val="00527A16"/>
    <w:rsid w:val="00527B12"/>
    <w:rsid w:val="00527B14"/>
    <w:rsid w:val="00527B22"/>
    <w:rsid w:val="00527B3C"/>
    <w:rsid w:val="00527BC3"/>
    <w:rsid w:val="00527C02"/>
    <w:rsid w:val="00527C44"/>
    <w:rsid w:val="00527D76"/>
    <w:rsid w:val="00527DD7"/>
    <w:rsid w:val="00527DE0"/>
    <w:rsid w:val="00527F3E"/>
    <w:rsid w:val="005300E5"/>
    <w:rsid w:val="0053015E"/>
    <w:rsid w:val="005301F4"/>
    <w:rsid w:val="00530217"/>
    <w:rsid w:val="0053023C"/>
    <w:rsid w:val="0053025F"/>
    <w:rsid w:val="00530334"/>
    <w:rsid w:val="00530553"/>
    <w:rsid w:val="005305F1"/>
    <w:rsid w:val="0053063E"/>
    <w:rsid w:val="0053064A"/>
    <w:rsid w:val="00530688"/>
    <w:rsid w:val="00530693"/>
    <w:rsid w:val="0053069D"/>
    <w:rsid w:val="00530702"/>
    <w:rsid w:val="00530717"/>
    <w:rsid w:val="00530726"/>
    <w:rsid w:val="00530754"/>
    <w:rsid w:val="005307D2"/>
    <w:rsid w:val="005309D1"/>
    <w:rsid w:val="005309DB"/>
    <w:rsid w:val="00530ADE"/>
    <w:rsid w:val="00530B02"/>
    <w:rsid w:val="00530C04"/>
    <w:rsid w:val="00530C19"/>
    <w:rsid w:val="00530C21"/>
    <w:rsid w:val="00530C6D"/>
    <w:rsid w:val="00530CA3"/>
    <w:rsid w:val="00530D16"/>
    <w:rsid w:val="00530E93"/>
    <w:rsid w:val="00530F4F"/>
    <w:rsid w:val="00530FAD"/>
    <w:rsid w:val="00530FF4"/>
    <w:rsid w:val="005310D5"/>
    <w:rsid w:val="00531141"/>
    <w:rsid w:val="00531143"/>
    <w:rsid w:val="005311ED"/>
    <w:rsid w:val="005313DB"/>
    <w:rsid w:val="005314CD"/>
    <w:rsid w:val="00531571"/>
    <w:rsid w:val="005315ED"/>
    <w:rsid w:val="005316F4"/>
    <w:rsid w:val="0053174F"/>
    <w:rsid w:val="0053177E"/>
    <w:rsid w:val="00531901"/>
    <w:rsid w:val="00531952"/>
    <w:rsid w:val="00531A4F"/>
    <w:rsid w:val="00531B14"/>
    <w:rsid w:val="00531C7F"/>
    <w:rsid w:val="00531C8A"/>
    <w:rsid w:val="00531D34"/>
    <w:rsid w:val="00531D81"/>
    <w:rsid w:val="00531DA1"/>
    <w:rsid w:val="00531E47"/>
    <w:rsid w:val="00531E4C"/>
    <w:rsid w:val="00531EC2"/>
    <w:rsid w:val="00531EFF"/>
    <w:rsid w:val="00531FF0"/>
    <w:rsid w:val="00532048"/>
    <w:rsid w:val="00532057"/>
    <w:rsid w:val="0053232A"/>
    <w:rsid w:val="00532349"/>
    <w:rsid w:val="00532387"/>
    <w:rsid w:val="00532391"/>
    <w:rsid w:val="005323D6"/>
    <w:rsid w:val="0053241A"/>
    <w:rsid w:val="00532508"/>
    <w:rsid w:val="00532552"/>
    <w:rsid w:val="00532573"/>
    <w:rsid w:val="00532605"/>
    <w:rsid w:val="00532838"/>
    <w:rsid w:val="0053284B"/>
    <w:rsid w:val="005328C6"/>
    <w:rsid w:val="005328F5"/>
    <w:rsid w:val="005329F9"/>
    <w:rsid w:val="00532A2B"/>
    <w:rsid w:val="00532A87"/>
    <w:rsid w:val="00532AD6"/>
    <w:rsid w:val="00532B66"/>
    <w:rsid w:val="00532CA3"/>
    <w:rsid w:val="00532DA1"/>
    <w:rsid w:val="00532E4D"/>
    <w:rsid w:val="00532E5F"/>
    <w:rsid w:val="00533005"/>
    <w:rsid w:val="0053303E"/>
    <w:rsid w:val="0053312D"/>
    <w:rsid w:val="00533139"/>
    <w:rsid w:val="0053315D"/>
    <w:rsid w:val="005331D5"/>
    <w:rsid w:val="00533313"/>
    <w:rsid w:val="00533368"/>
    <w:rsid w:val="005333CA"/>
    <w:rsid w:val="005333CE"/>
    <w:rsid w:val="00533471"/>
    <w:rsid w:val="005334BF"/>
    <w:rsid w:val="00533552"/>
    <w:rsid w:val="0053357A"/>
    <w:rsid w:val="005335CB"/>
    <w:rsid w:val="005335E2"/>
    <w:rsid w:val="00533624"/>
    <w:rsid w:val="0053364B"/>
    <w:rsid w:val="0053377D"/>
    <w:rsid w:val="0053387B"/>
    <w:rsid w:val="00533A3F"/>
    <w:rsid w:val="00533A41"/>
    <w:rsid w:val="00533ADD"/>
    <w:rsid w:val="00533BD0"/>
    <w:rsid w:val="00533E33"/>
    <w:rsid w:val="00533F16"/>
    <w:rsid w:val="00533FD8"/>
    <w:rsid w:val="0053409D"/>
    <w:rsid w:val="005340E1"/>
    <w:rsid w:val="0053412A"/>
    <w:rsid w:val="005341BB"/>
    <w:rsid w:val="005341D5"/>
    <w:rsid w:val="005342E3"/>
    <w:rsid w:val="00534374"/>
    <w:rsid w:val="0053440B"/>
    <w:rsid w:val="0053448E"/>
    <w:rsid w:val="005344D1"/>
    <w:rsid w:val="005346D6"/>
    <w:rsid w:val="0053471F"/>
    <w:rsid w:val="0053476A"/>
    <w:rsid w:val="00534799"/>
    <w:rsid w:val="005347AA"/>
    <w:rsid w:val="00534814"/>
    <w:rsid w:val="00534850"/>
    <w:rsid w:val="00534864"/>
    <w:rsid w:val="0053486C"/>
    <w:rsid w:val="005348CD"/>
    <w:rsid w:val="005349B6"/>
    <w:rsid w:val="00534AAE"/>
    <w:rsid w:val="00534BBD"/>
    <w:rsid w:val="00534C92"/>
    <w:rsid w:val="00534CCF"/>
    <w:rsid w:val="00534D09"/>
    <w:rsid w:val="00534E0A"/>
    <w:rsid w:val="00534E71"/>
    <w:rsid w:val="00534F01"/>
    <w:rsid w:val="00534F25"/>
    <w:rsid w:val="00534F6D"/>
    <w:rsid w:val="005350FA"/>
    <w:rsid w:val="005351DF"/>
    <w:rsid w:val="005351F2"/>
    <w:rsid w:val="00535227"/>
    <w:rsid w:val="0053528B"/>
    <w:rsid w:val="005352DE"/>
    <w:rsid w:val="005352E8"/>
    <w:rsid w:val="00535369"/>
    <w:rsid w:val="00535411"/>
    <w:rsid w:val="005354DD"/>
    <w:rsid w:val="005355CA"/>
    <w:rsid w:val="005355FB"/>
    <w:rsid w:val="00535614"/>
    <w:rsid w:val="00535624"/>
    <w:rsid w:val="00535640"/>
    <w:rsid w:val="005357D4"/>
    <w:rsid w:val="0053584A"/>
    <w:rsid w:val="0053597A"/>
    <w:rsid w:val="00535A81"/>
    <w:rsid w:val="00535B19"/>
    <w:rsid w:val="00535C2C"/>
    <w:rsid w:val="00535CD6"/>
    <w:rsid w:val="00535D2C"/>
    <w:rsid w:val="00535D3F"/>
    <w:rsid w:val="00535DC5"/>
    <w:rsid w:val="00535E45"/>
    <w:rsid w:val="00535F1C"/>
    <w:rsid w:val="00535F3A"/>
    <w:rsid w:val="00535F83"/>
    <w:rsid w:val="00535FA4"/>
    <w:rsid w:val="00536023"/>
    <w:rsid w:val="00536069"/>
    <w:rsid w:val="00536103"/>
    <w:rsid w:val="00536150"/>
    <w:rsid w:val="0053628B"/>
    <w:rsid w:val="005362BF"/>
    <w:rsid w:val="00536772"/>
    <w:rsid w:val="00536849"/>
    <w:rsid w:val="0053692F"/>
    <w:rsid w:val="00536A2D"/>
    <w:rsid w:val="00536A79"/>
    <w:rsid w:val="00536A91"/>
    <w:rsid w:val="00536AFA"/>
    <w:rsid w:val="00536B99"/>
    <w:rsid w:val="00536BA7"/>
    <w:rsid w:val="00536BF8"/>
    <w:rsid w:val="00536C14"/>
    <w:rsid w:val="00536C18"/>
    <w:rsid w:val="00536C4D"/>
    <w:rsid w:val="00536C96"/>
    <w:rsid w:val="00536C9E"/>
    <w:rsid w:val="00536CA3"/>
    <w:rsid w:val="00536D63"/>
    <w:rsid w:val="00536DF8"/>
    <w:rsid w:val="00536E53"/>
    <w:rsid w:val="00536F23"/>
    <w:rsid w:val="00536F7B"/>
    <w:rsid w:val="0053704B"/>
    <w:rsid w:val="00537079"/>
    <w:rsid w:val="005370A4"/>
    <w:rsid w:val="005370AD"/>
    <w:rsid w:val="0053711D"/>
    <w:rsid w:val="005371A8"/>
    <w:rsid w:val="00537274"/>
    <w:rsid w:val="00537359"/>
    <w:rsid w:val="0053736E"/>
    <w:rsid w:val="00537402"/>
    <w:rsid w:val="00537441"/>
    <w:rsid w:val="005374C0"/>
    <w:rsid w:val="00537519"/>
    <w:rsid w:val="005375A7"/>
    <w:rsid w:val="005375CC"/>
    <w:rsid w:val="005375E8"/>
    <w:rsid w:val="005375FE"/>
    <w:rsid w:val="00537739"/>
    <w:rsid w:val="005377A2"/>
    <w:rsid w:val="00537899"/>
    <w:rsid w:val="005378B1"/>
    <w:rsid w:val="005379F9"/>
    <w:rsid w:val="00537AEF"/>
    <w:rsid w:val="00537AF8"/>
    <w:rsid w:val="00537B3F"/>
    <w:rsid w:val="00537B4C"/>
    <w:rsid w:val="00537B5D"/>
    <w:rsid w:val="00537C50"/>
    <w:rsid w:val="00537CBE"/>
    <w:rsid w:val="00537CC9"/>
    <w:rsid w:val="00537D2C"/>
    <w:rsid w:val="00537D51"/>
    <w:rsid w:val="00537DBA"/>
    <w:rsid w:val="00537E2E"/>
    <w:rsid w:val="00537E87"/>
    <w:rsid w:val="00537E9B"/>
    <w:rsid w:val="00537F36"/>
    <w:rsid w:val="0054008D"/>
    <w:rsid w:val="005401F9"/>
    <w:rsid w:val="00540258"/>
    <w:rsid w:val="0054031A"/>
    <w:rsid w:val="005403D1"/>
    <w:rsid w:val="005403DC"/>
    <w:rsid w:val="00540437"/>
    <w:rsid w:val="0054065D"/>
    <w:rsid w:val="005406A1"/>
    <w:rsid w:val="005406C5"/>
    <w:rsid w:val="0054074C"/>
    <w:rsid w:val="00540797"/>
    <w:rsid w:val="0054079E"/>
    <w:rsid w:val="005407C3"/>
    <w:rsid w:val="00540862"/>
    <w:rsid w:val="00540893"/>
    <w:rsid w:val="005408C5"/>
    <w:rsid w:val="0054092F"/>
    <w:rsid w:val="0054095F"/>
    <w:rsid w:val="0054098F"/>
    <w:rsid w:val="005409DF"/>
    <w:rsid w:val="00540A5A"/>
    <w:rsid w:val="00540B6A"/>
    <w:rsid w:val="00540BD4"/>
    <w:rsid w:val="00540BE5"/>
    <w:rsid w:val="00540C1C"/>
    <w:rsid w:val="00540C98"/>
    <w:rsid w:val="00540CDA"/>
    <w:rsid w:val="00540CF9"/>
    <w:rsid w:val="00540D92"/>
    <w:rsid w:val="00540DF2"/>
    <w:rsid w:val="00540E38"/>
    <w:rsid w:val="00540E58"/>
    <w:rsid w:val="00540E5C"/>
    <w:rsid w:val="00540E8A"/>
    <w:rsid w:val="00540EA0"/>
    <w:rsid w:val="00540EE6"/>
    <w:rsid w:val="00540FE2"/>
    <w:rsid w:val="00540FF4"/>
    <w:rsid w:val="0054100B"/>
    <w:rsid w:val="00541152"/>
    <w:rsid w:val="0054117B"/>
    <w:rsid w:val="0054118E"/>
    <w:rsid w:val="005411B3"/>
    <w:rsid w:val="00541269"/>
    <w:rsid w:val="005412E5"/>
    <w:rsid w:val="0054133A"/>
    <w:rsid w:val="0054136E"/>
    <w:rsid w:val="00541488"/>
    <w:rsid w:val="00541544"/>
    <w:rsid w:val="00541565"/>
    <w:rsid w:val="005415B2"/>
    <w:rsid w:val="005415F0"/>
    <w:rsid w:val="005416DA"/>
    <w:rsid w:val="00541707"/>
    <w:rsid w:val="00541738"/>
    <w:rsid w:val="005417FC"/>
    <w:rsid w:val="00541831"/>
    <w:rsid w:val="005418E8"/>
    <w:rsid w:val="00541912"/>
    <w:rsid w:val="00541A1D"/>
    <w:rsid w:val="00541AE3"/>
    <w:rsid w:val="00541B2A"/>
    <w:rsid w:val="00541C2B"/>
    <w:rsid w:val="00541C39"/>
    <w:rsid w:val="00541CBB"/>
    <w:rsid w:val="00541CE7"/>
    <w:rsid w:val="00541CEA"/>
    <w:rsid w:val="00541D04"/>
    <w:rsid w:val="00541DCD"/>
    <w:rsid w:val="00541DD2"/>
    <w:rsid w:val="00541E10"/>
    <w:rsid w:val="00541EBD"/>
    <w:rsid w:val="00541F52"/>
    <w:rsid w:val="00541F77"/>
    <w:rsid w:val="0054202E"/>
    <w:rsid w:val="0054204D"/>
    <w:rsid w:val="005420FF"/>
    <w:rsid w:val="00542151"/>
    <w:rsid w:val="00542195"/>
    <w:rsid w:val="005421B4"/>
    <w:rsid w:val="00542208"/>
    <w:rsid w:val="005422AF"/>
    <w:rsid w:val="005422CC"/>
    <w:rsid w:val="005422E0"/>
    <w:rsid w:val="0054231C"/>
    <w:rsid w:val="005424B2"/>
    <w:rsid w:val="005424D9"/>
    <w:rsid w:val="0054255F"/>
    <w:rsid w:val="005425E8"/>
    <w:rsid w:val="005425F7"/>
    <w:rsid w:val="0054263D"/>
    <w:rsid w:val="0054266C"/>
    <w:rsid w:val="005426A3"/>
    <w:rsid w:val="005427E7"/>
    <w:rsid w:val="00542804"/>
    <w:rsid w:val="00542819"/>
    <w:rsid w:val="0054289F"/>
    <w:rsid w:val="005428F7"/>
    <w:rsid w:val="00542A41"/>
    <w:rsid w:val="00542AB4"/>
    <w:rsid w:val="00542AF8"/>
    <w:rsid w:val="00542B80"/>
    <w:rsid w:val="00542B90"/>
    <w:rsid w:val="00542C32"/>
    <w:rsid w:val="00542C72"/>
    <w:rsid w:val="00542CD2"/>
    <w:rsid w:val="00542CFA"/>
    <w:rsid w:val="00542D7C"/>
    <w:rsid w:val="00542EA7"/>
    <w:rsid w:val="00542EDF"/>
    <w:rsid w:val="00542EED"/>
    <w:rsid w:val="005430B7"/>
    <w:rsid w:val="00543114"/>
    <w:rsid w:val="0054321E"/>
    <w:rsid w:val="00543254"/>
    <w:rsid w:val="0054339E"/>
    <w:rsid w:val="00543479"/>
    <w:rsid w:val="0054350B"/>
    <w:rsid w:val="0054351E"/>
    <w:rsid w:val="00543583"/>
    <w:rsid w:val="005435A4"/>
    <w:rsid w:val="005435E7"/>
    <w:rsid w:val="00543678"/>
    <w:rsid w:val="005436AC"/>
    <w:rsid w:val="005436F4"/>
    <w:rsid w:val="00543701"/>
    <w:rsid w:val="0054370B"/>
    <w:rsid w:val="005437D3"/>
    <w:rsid w:val="005437F0"/>
    <w:rsid w:val="0054387D"/>
    <w:rsid w:val="0054398E"/>
    <w:rsid w:val="00543A2C"/>
    <w:rsid w:val="00543A77"/>
    <w:rsid w:val="00543AB4"/>
    <w:rsid w:val="00543AE5"/>
    <w:rsid w:val="00543AF3"/>
    <w:rsid w:val="00543B19"/>
    <w:rsid w:val="00543D8A"/>
    <w:rsid w:val="00543DD4"/>
    <w:rsid w:val="00543E44"/>
    <w:rsid w:val="00543EA9"/>
    <w:rsid w:val="00543FA8"/>
    <w:rsid w:val="00544029"/>
    <w:rsid w:val="0054411E"/>
    <w:rsid w:val="00544156"/>
    <w:rsid w:val="00544185"/>
    <w:rsid w:val="005441FA"/>
    <w:rsid w:val="0054429F"/>
    <w:rsid w:val="005442DA"/>
    <w:rsid w:val="005442F4"/>
    <w:rsid w:val="005442F9"/>
    <w:rsid w:val="00544322"/>
    <w:rsid w:val="0054433F"/>
    <w:rsid w:val="00544444"/>
    <w:rsid w:val="005444B9"/>
    <w:rsid w:val="005444C1"/>
    <w:rsid w:val="00544511"/>
    <w:rsid w:val="005445B0"/>
    <w:rsid w:val="005445F6"/>
    <w:rsid w:val="00544725"/>
    <w:rsid w:val="00544892"/>
    <w:rsid w:val="005448F2"/>
    <w:rsid w:val="0054491F"/>
    <w:rsid w:val="00544A46"/>
    <w:rsid w:val="00544A64"/>
    <w:rsid w:val="00544A88"/>
    <w:rsid w:val="00544AAB"/>
    <w:rsid w:val="00544B7C"/>
    <w:rsid w:val="00544C06"/>
    <w:rsid w:val="00544C4E"/>
    <w:rsid w:val="00544C9B"/>
    <w:rsid w:val="00544CCA"/>
    <w:rsid w:val="00544CDD"/>
    <w:rsid w:val="00544D49"/>
    <w:rsid w:val="00544D61"/>
    <w:rsid w:val="00544D77"/>
    <w:rsid w:val="00544DA8"/>
    <w:rsid w:val="00544DC8"/>
    <w:rsid w:val="00544DEB"/>
    <w:rsid w:val="00544ED4"/>
    <w:rsid w:val="00544F2B"/>
    <w:rsid w:val="0054511C"/>
    <w:rsid w:val="00545123"/>
    <w:rsid w:val="00545135"/>
    <w:rsid w:val="005451B0"/>
    <w:rsid w:val="005451FB"/>
    <w:rsid w:val="005452B9"/>
    <w:rsid w:val="005452C4"/>
    <w:rsid w:val="00545302"/>
    <w:rsid w:val="00545359"/>
    <w:rsid w:val="0054540E"/>
    <w:rsid w:val="00545410"/>
    <w:rsid w:val="00545441"/>
    <w:rsid w:val="00545482"/>
    <w:rsid w:val="00545542"/>
    <w:rsid w:val="0054554B"/>
    <w:rsid w:val="0054560B"/>
    <w:rsid w:val="005456D8"/>
    <w:rsid w:val="00545770"/>
    <w:rsid w:val="005457DE"/>
    <w:rsid w:val="005457E7"/>
    <w:rsid w:val="005457FB"/>
    <w:rsid w:val="00545820"/>
    <w:rsid w:val="005458CF"/>
    <w:rsid w:val="005458D4"/>
    <w:rsid w:val="0054595B"/>
    <w:rsid w:val="0054598D"/>
    <w:rsid w:val="00545AAE"/>
    <w:rsid w:val="00545B01"/>
    <w:rsid w:val="00545CED"/>
    <w:rsid w:val="00545D80"/>
    <w:rsid w:val="00545F19"/>
    <w:rsid w:val="0054601B"/>
    <w:rsid w:val="005460B6"/>
    <w:rsid w:val="005460CC"/>
    <w:rsid w:val="00546116"/>
    <w:rsid w:val="00546123"/>
    <w:rsid w:val="0054613B"/>
    <w:rsid w:val="0054617F"/>
    <w:rsid w:val="0054627B"/>
    <w:rsid w:val="00546352"/>
    <w:rsid w:val="00546397"/>
    <w:rsid w:val="0054639C"/>
    <w:rsid w:val="00546498"/>
    <w:rsid w:val="0054650A"/>
    <w:rsid w:val="00546539"/>
    <w:rsid w:val="0054670B"/>
    <w:rsid w:val="00546722"/>
    <w:rsid w:val="0054677B"/>
    <w:rsid w:val="00546784"/>
    <w:rsid w:val="00546886"/>
    <w:rsid w:val="0054689F"/>
    <w:rsid w:val="005468AA"/>
    <w:rsid w:val="005468DD"/>
    <w:rsid w:val="005468F8"/>
    <w:rsid w:val="00546901"/>
    <w:rsid w:val="005469CE"/>
    <w:rsid w:val="005469F6"/>
    <w:rsid w:val="005469FC"/>
    <w:rsid w:val="00546BF5"/>
    <w:rsid w:val="00546C5C"/>
    <w:rsid w:val="00546C6B"/>
    <w:rsid w:val="00546CFA"/>
    <w:rsid w:val="00546D39"/>
    <w:rsid w:val="00546D74"/>
    <w:rsid w:val="00546DFB"/>
    <w:rsid w:val="00546EEE"/>
    <w:rsid w:val="00546F5C"/>
    <w:rsid w:val="00546F98"/>
    <w:rsid w:val="00546FA8"/>
    <w:rsid w:val="0054700B"/>
    <w:rsid w:val="00547035"/>
    <w:rsid w:val="005471CC"/>
    <w:rsid w:val="00547255"/>
    <w:rsid w:val="00547310"/>
    <w:rsid w:val="00547335"/>
    <w:rsid w:val="005474F0"/>
    <w:rsid w:val="00547592"/>
    <w:rsid w:val="00547755"/>
    <w:rsid w:val="0054777B"/>
    <w:rsid w:val="0054787D"/>
    <w:rsid w:val="005478DD"/>
    <w:rsid w:val="005479CA"/>
    <w:rsid w:val="00547A6A"/>
    <w:rsid w:val="00547B72"/>
    <w:rsid w:val="00547BAE"/>
    <w:rsid w:val="00547C24"/>
    <w:rsid w:val="00547EA3"/>
    <w:rsid w:val="00547F19"/>
    <w:rsid w:val="00547F2E"/>
    <w:rsid w:val="00550007"/>
    <w:rsid w:val="00550161"/>
    <w:rsid w:val="0055033D"/>
    <w:rsid w:val="005503E9"/>
    <w:rsid w:val="005503FB"/>
    <w:rsid w:val="00550473"/>
    <w:rsid w:val="005504E6"/>
    <w:rsid w:val="00550505"/>
    <w:rsid w:val="00550578"/>
    <w:rsid w:val="00550612"/>
    <w:rsid w:val="0055068E"/>
    <w:rsid w:val="005506D9"/>
    <w:rsid w:val="00550842"/>
    <w:rsid w:val="0055091B"/>
    <w:rsid w:val="00550A43"/>
    <w:rsid w:val="00550A68"/>
    <w:rsid w:val="00550B12"/>
    <w:rsid w:val="00550BC0"/>
    <w:rsid w:val="00550BF2"/>
    <w:rsid w:val="00550C74"/>
    <w:rsid w:val="00550C93"/>
    <w:rsid w:val="00550CFE"/>
    <w:rsid w:val="00550D3B"/>
    <w:rsid w:val="00550DA1"/>
    <w:rsid w:val="00550DD4"/>
    <w:rsid w:val="00550DEA"/>
    <w:rsid w:val="00550E17"/>
    <w:rsid w:val="00550E4D"/>
    <w:rsid w:val="00550E6E"/>
    <w:rsid w:val="00550F04"/>
    <w:rsid w:val="00550F65"/>
    <w:rsid w:val="00550FA6"/>
    <w:rsid w:val="0055104E"/>
    <w:rsid w:val="005510E3"/>
    <w:rsid w:val="0055114C"/>
    <w:rsid w:val="005511A4"/>
    <w:rsid w:val="005511DC"/>
    <w:rsid w:val="0055138E"/>
    <w:rsid w:val="0055145E"/>
    <w:rsid w:val="00551474"/>
    <w:rsid w:val="00551613"/>
    <w:rsid w:val="0055163D"/>
    <w:rsid w:val="005516C6"/>
    <w:rsid w:val="005516D3"/>
    <w:rsid w:val="00551706"/>
    <w:rsid w:val="00551763"/>
    <w:rsid w:val="005517AA"/>
    <w:rsid w:val="005517DC"/>
    <w:rsid w:val="0055188B"/>
    <w:rsid w:val="00551A82"/>
    <w:rsid w:val="00551B39"/>
    <w:rsid w:val="00551B97"/>
    <w:rsid w:val="00551C19"/>
    <w:rsid w:val="00551D0F"/>
    <w:rsid w:val="00551D19"/>
    <w:rsid w:val="00551EBF"/>
    <w:rsid w:val="00551ECC"/>
    <w:rsid w:val="00551F22"/>
    <w:rsid w:val="00552007"/>
    <w:rsid w:val="00552070"/>
    <w:rsid w:val="005520F9"/>
    <w:rsid w:val="005521C5"/>
    <w:rsid w:val="0055225C"/>
    <w:rsid w:val="00552296"/>
    <w:rsid w:val="005522C6"/>
    <w:rsid w:val="005522E9"/>
    <w:rsid w:val="005522F3"/>
    <w:rsid w:val="00552360"/>
    <w:rsid w:val="005523A9"/>
    <w:rsid w:val="0055246A"/>
    <w:rsid w:val="005524EA"/>
    <w:rsid w:val="005525D0"/>
    <w:rsid w:val="0055264F"/>
    <w:rsid w:val="00552724"/>
    <w:rsid w:val="00552728"/>
    <w:rsid w:val="0055273D"/>
    <w:rsid w:val="00552848"/>
    <w:rsid w:val="0055293A"/>
    <w:rsid w:val="00552984"/>
    <w:rsid w:val="005529EB"/>
    <w:rsid w:val="00552A87"/>
    <w:rsid w:val="00552B0F"/>
    <w:rsid w:val="00552B18"/>
    <w:rsid w:val="00552D0F"/>
    <w:rsid w:val="00552D49"/>
    <w:rsid w:val="00552D98"/>
    <w:rsid w:val="00552E0B"/>
    <w:rsid w:val="00552F3A"/>
    <w:rsid w:val="00552F91"/>
    <w:rsid w:val="00552FB2"/>
    <w:rsid w:val="00553099"/>
    <w:rsid w:val="005532B3"/>
    <w:rsid w:val="005532FC"/>
    <w:rsid w:val="00553310"/>
    <w:rsid w:val="0055333A"/>
    <w:rsid w:val="005534CE"/>
    <w:rsid w:val="005534EC"/>
    <w:rsid w:val="00553518"/>
    <w:rsid w:val="00553538"/>
    <w:rsid w:val="005535D4"/>
    <w:rsid w:val="00553607"/>
    <w:rsid w:val="00553746"/>
    <w:rsid w:val="005537E3"/>
    <w:rsid w:val="005538D7"/>
    <w:rsid w:val="005538FD"/>
    <w:rsid w:val="00553913"/>
    <w:rsid w:val="00553927"/>
    <w:rsid w:val="00553B91"/>
    <w:rsid w:val="00553C84"/>
    <w:rsid w:val="00553CC4"/>
    <w:rsid w:val="00553CD1"/>
    <w:rsid w:val="00553CED"/>
    <w:rsid w:val="00553D04"/>
    <w:rsid w:val="00553DF8"/>
    <w:rsid w:val="00553E22"/>
    <w:rsid w:val="00553E38"/>
    <w:rsid w:val="00553FC9"/>
    <w:rsid w:val="005540CE"/>
    <w:rsid w:val="005541E7"/>
    <w:rsid w:val="00554213"/>
    <w:rsid w:val="00554219"/>
    <w:rsid w:val="00554221"/>
    <w:rsid w:val="00554290"/>
    <w:rsid w:val="005542BA"/>
    <w:rsid w:val="00554353"/>
    <w:rsid w:val="005543FA"/>
    <w:rsid w:val="00554416"/>
    <w:rsid w:val="00554553"/>
    <w:rsid w:val="005546DE"/>
    <w:rsid w:val="00554712"/>
    <w:rsid w:val="00554799"/>
    <w:rsid w:val="00554834"/>
    <w:rsid w:val="00554855"/>
    <w:rsid w:val="005548CB"/>
    <w:rsid w:val="005548E1"/>
    <w:rsid w:val="0055496B"/>
    <w:rsid w:val="0055496F"/>
    <w:rsid w:val="00554992"/>
    <w:rsid w:val="005549B8"/>
    <w:rsid w:val="00554AE5"/>
    <w:rsid w:val="00554AEF"/>
    <w:rsid w:val="00554C63"/>
    <w:rsid w:val="00554D58"/>
    <w:rsid w:val="00554DDC"/>
    <w:rsid w:val="00554E02"/>
    <w:rsid w:val="00554E3A"/>
    <w:rsid w:val="00554E3C"/>
    <w:rsid w:val="00554E50"/>
    <w:rsid w:val="00555005"/>
    <w:rsid w:val="00555010"/>
    <w:rsid w:val="00555012"/>
    <w:rsid w:val="0055504D"/>
    <w:rsid w:val="0055509D"/>
    <w:rsid w:val="005550BB"/>
    <w:rsid w:val="005550C8"/>
    <w:rsid w:val="00555119"/>
    <w:rsid w:val="0055521C"/>
    <w:rsid w:val="005552CE"/>
    <w:rsid w:val="005552ED"/>
    <w:rsid w:val="00555348"/>
    <w:rsid w:val="005553CD"/>
    <w:rsid w:val="005553E6"/>
    <w:rsid w:val="0055543F"/>
    <w:rsid w:val="00555459"/>
    <w:rsid w:val="005554D7"/>
    <w:rsid w:val="0055550B"/>
    <w:rsid w:val="0055559A"/>
    <w:rsid w:val="005556C4"/>
    <w:rsid w:val="005556FC"/>
    <w:rsid w:val="005557F1"/>
    <w:rsid w:val="0055590C"/>
    <w:rsid w:val="00555923"/>
    <w:rsid w:val="0055597E"/>
    <w:rsid w:val="00555998"/>
    <w:rsid w:val="00555A84"/>
    <w:rsid w:val="00555AA3"/>
    <w:rsid w:val="00555AE9"/>
    <w:rsid w:val="00555B4F"/>
    <w:rsid w:val="00555BFB"/>
    <w:rsid w:val="00555D0E"/>
    <w:rsid w:val="00555D4B"/>
    <w:rsid w:val="00555E69"/>
    <w:rsid w:val="00555EB2"/>
    <w:rsid w:val="00555EBC"/>
    <w:rsid w:val="00555ED7"/>
    <w:rsid w:val="00555F78"/>
    <w:rsid w:val="00555FAE"/>
    <w:rsid w:val="0055611C"/>
    <w:rsid w:val="00556175"/>
    <w:rsid w:val="0055629B"/>
    <w:rsid w:val="0055629C"/>
    <w:rsid w:val="005562ED"/>
    <w:rsid w:val="005563DD"/>
    <w:rsid w:val="00556461"/>
    <w:rsid w:val="0055647D"/>
    <w:rsid w:val="0055654B"/>
    <w:rsid w:val="00556663"/>
    <w:rsid w:val="0055666B"/>
    <w:rsid w:val="00556744"/>
    <w:rsid w:val="005567C0"/>
    <w:rsid w:val="005568A5"/>
    <w:rsid w:val="005568DA"/>
    <w:rsid w:val="00556924"/>
    <w:rsid w:val="00556976"/>
    <w:rsid w:val="005569CE"/>
    <w:rsid w:val="005569FA"/>
    <w:rsid w:val="00556ACC"/>
    <w:rsid w:val="00556AF6"/>
    <w:rsid w:val="00556B8D"/>
    <w:rsid w:val="00556BAA"/>
    <w:rsid w:val="00556BF1"/>
    <w:rsid w:val="00556C47"/>
    <w:rsid w:val="00556CA8"/>
    <w:rsid w:val="00556D60"/>
    <w:rsid w:val="00556EB8"/>
    <w:rsid w:val="00556F0B"/>
    <w:rsid w:val="00556FA1"/>
    <w:rsid w:val="00556FF7"/>
    <w:rsid w:val="00557081"/>
    <w:rsid w:val="0055708C"/>
    <w:rsid w:val="005570A2"/>
    <w:rsid w:val="005570FA"/>
    <w:rsid w:val="00557141"/>
    <w:rsid w:val="00557233"/>
    <w:rsid w:val="00557280"/>
    <w:rsid w:val="00557329"/>
    <w:rsid w:val="005573E1"/>
    <w:rsid w:val="005573E9"/>
    <w:rsid w:val="005574E1"/>
    <w:rsid w:val="00557568"/>
    <w:rsid w:val="00557577"/>
    <w:rsid w:val="00557631"/>
    <w:rsid w:val="00557634"/>
    <w:rsid w:val="00557672"/>
    <w:rsid w:val="005576AF"/>
    <w:rsid w:val="005577C3"/>
    <w:rsid w:val="005577DE"/>
    <w:rsid w:val="00557873"/>
    <w:rsid w:val="005578BA"/>
    <w:rsid w:val="00557A5B"/>
    <w:rsid w:val="00557B93"/>
    <w:rsid w:val="00557BA6"/>
    <w:rsid w:val="00557BB9"/>
    <w:rsid w:val="00557CD3"/>
    <w:rsid w:val="00557CFB"/>
    <w:rsid w:val="00557D03"/>
    <w:rsid w:val="00557D0D"/>
    <w:rsid w:val="00557D33"/>
    <w:rsid w:val="00557DA6"/>
    <w:rsid w:val="00557E34"/>
    <w:rsid w:val="00557E6C"/>
    <w:rsid w:val="00560004"/>
    <w:rsid w:val="00560027"/>
    <w:rsid w:val="0056008B"/>
    <w:rsid w:val="005600CE"/>
    <w:rsid w:val="005601CF"/>
    <w:rsid w:val="005601E9"/>
    <w:rsid w:val="0056022E"/>
    <w:rsid w:val="00560270"/>
    <w:rsid w:val="005602B2"/>
    <w:rsid w:val="005602B3"/>
    <w:rsid w:val="00560338"/>
    <w:rsid w:val="0056033F"/>
    <w:rsid w:val="00560522"/>
    <w:rsid w:val="005605B9"/>
    <w:rsid w:val="005605DC"/>
    <w:rsid w:val="005605F2"/>
    <w:rsid w:val="00560603"/>
    <w:rsid w:val="0056060B"/>
    <w:rsid w:val="0056061F"/>
    <w:rsid w:val="00560649"/>
    <w:rsid w:val="005607EF"/>
    <w:rsid w:val="005608EF"/>
    <w:rsid w:val="005608FA"/>
    <w:rsid w:val="005609C7"/>
    <w:rsid w:val="005609F2"/>
    <w:rsid w:val="00560A42"/>
    <w:rsid w:val="00560B4A"/>
    <w:rsid w:val="00560BDD"/>
    <w:rsid w:val="00560C50"/>
    <w:rsid w:val="00560CA0"/>
    <w:rsid w:val="00560CC4"/>
    <w:rsid w:val="00560DD4"/>
    <w:rsid w:val="00560E1F"/>
    <w:rsid w:val="00560E8F"/>
    <w:rsid w:val="00560ECB"/>
    <w:rsid w:val="00560ED9"/>
    <w:rsid w:val="00560F44"/>
    <w:rsid w:val="00560FA6"/>
    <w:rsid w:val="00561048"/>
    <w:rsid w:val="00561075"/>
    <w:rsid w:val="00561084"/>
    <w:rsid w:val="005610BA"/>
    <w:rsid w:val="00561124"/>
    <w:rsid w:val="00561176"/>
    <w:rsid w:val="005612DA"/>
    <w:rsid w:val="00561402"/>
    <w:rsid w:val="00561410"/>
    <w:rsid w:val="00561489"/>
    <w:rsid w:val="0056154F"/>
    <w:rsid w:val="005615D0"/>
    <w:rsid w:val="0056168B"/>
    <w:rsid w:val="005616A9"/>
    <w:rsid w:val="00561796"/>
    <w:rsid w:val="005618A2"/>
    <w:rsid w:val="00561900"/>
    <w:rsid w:val="0056196B"/>
    <w:rsid w:val="005619AF"/>
    <w:rsid w:val="00561A6A"/>
    <w:rsid w:val="00561ADA"/>
    <w:rsid w:val="00561B18"/>
    <w:rsid w:val="00561B61"/>
    <w:rsid w:val="00561B6F"/>
    <w:rsid w:val="00561B96"/>
    <w:rsid w:val="00561BE7"/>
    <w:rsid w:val="00561CDD"/>
    <w:rsid w:val="00561CF4"/>
    <w:rsid w:val="00561D58"/>
    <w:rsid w:val="00561D9D"/>
    <w:rsid w:val="00561DCF"/>
    <w:rsid w:val="00561E90"/>
    <w:rsid w:val="00561EDE"/>
    <w:rsid w:val="00561F7C"/>
    <w:rsid w:val="0056202A"/>
    <w:rsid w:val="0056212E"/>
    <w:rsid w:val="00562245"/>
    <w:rsid w:val="005622C8"/>
    <w:rsid w:val="0056239E"/>
    <w:rsid w:val="0056249E"/>
    <w:rsid w:val="005624A3"/>
    <w:rsid w:val="00562627"/>
    <w:rsid w:val="005626EF"/>
    <w:rsid w:val="005627E9"/>
    <w:rsid w:val="00562893"/>
    <w:rsid w:val="005628D9"/>
    <w:rsid w:val="005629F7"/>
    <w:rsid w:val="00562A96"/>
    <w:rsid w:val="00562AC8"/>
    <w:rsid w:val="00562AD4"/>
    <w:rsid w:val="00562BAF"/>
    <w:rsid w:val="00562C93"/>
    <w:rsid w:val="00562D77"/>
    <w:rsid w:val="00562DA2"/>
    <w:rsid w:val="00562DA6"/>
    <w:rsid w:val="00562E9C"/>
    <w:rsid w:val="00562EB9"/>
    <w:rsid w:val="00562FE3"/>
    <w:rsid w:val="005630BC"/>
    <w:rsid w:val="00563121"/>
    <w:rsid w:val="0056314B"/>
    <w:rsid w:val="005631D8"/>
    <w:rsid w:val="005631D9"/>
    <w:rsid w:val="0056326A"/>
    <w:rsid w:val="005632A4"/>
    <w:rsid w:val="005632AE"/>
    <w:rsid w:val="0056333C"/>
    <w:rsid w:val="0056337B"/>
    <w:rsid w:val="005633B9"/>
    <w:rsid w:val="005633FA"/>
    <w:rsid w:val="00563444"/>
    <w:rsid w:val="00563480"/>
    <w:rsid w:val="00563549"/>
    <w:rsid w:val="0056355F"/>
    <w:rsid w:val="005635AB"/>
    <w:rsid w:val="0056363F"/>
    <w:rsid w:val="005636D3"/>
    <w:rsid w:val="00563720"/>
    <w:rsid w:val="0056373B"/>
    <w:rsid w:val="005637E5"/>
    <w:rsid w:val="00563843"/>
    <w:rsid w:val="005638FF"/>
    <w:rsid w:val="005639B4"/>
    <w:rsid w:val="00563DAE"/>
    <w:rsid w:val="00563EFD"/>
    <w:rsid w:val="00563F1E"/>
    <w:rsid w:val="00563F64"/>
    <w:rsid w:val="00563F66"/>
    <w:rsid w:val="00563FAD"/>
    <w:rsid w:val="0056403B"/>
    <w:rsid w:val="00564107"/>
    <w:rsid w:val="0056412F"/>
    <w:rsid w:val="0056414B"/>
    <w:rsid w:val="00564268"/>
    <w:rsid w:val="00564326"/>
    <w:rsid w:val="00564339"/>
    <w:rsid w:val="00564341"/>
    <w:rsid w:val="005643BB"/>
    <w:rsid w:val="005643D2"/>
    <w:rsid w:val="005644DF"/>
    <w:rsid w:val="00564605"/>
    <w:rsid w:val="00564651"/>
    <w:rsid w:val="00564678"/>
    <w:rsid w:val="0056474E"/>
    <w:rsid w:val="005647A7"/>
    <w:rsid w:val="0056483D"/>
    <w:rsid w:val="005648D8"/>
    <w:rsid w:val="00564989"/>
    <w:rsid w:val="00564997"/>
    <w:rsid w:val="00564B3D"/>
    <w:rsid w:val="00564BBB"/>
    <w:rsid w:val="00564C1B"/>
    <w:rsid w:val="00564C73"/>
    <w:rsid w:val="00564C7D"/>
    <w:rsid w:val="00564C85"/>
    <w:rsid w:val="00564C98"/>
    <w:rsid w:val="00564CD3"/>
    <w:rsid w:val="00564D58"/>
    <w:rsid w:val="00564D69"/>
    <w:rsid w:val="00564EBC"/>
    <w:rsid w:val="00564EC4"/>
    <w:rsid w:val="00564EE8"/>
    <w:rsid w:val="00564F6B"/>
    <w:rsid w:val="00565091"/>
    <w:rsid w:val="005650C0"/>
    <w:rsid w:val="00565102"/>
    <w:rsid w:val="00565143"/>
    <w:rsid w:val="00565208"/>
    <w:rsid w:val="00565263"/>
    <w:rsid w:val="005652AF"/>
    <w:rsid w:val="005652C0"/>
    <w:rsid w:val="0056536A"/>
    <w:rsid w:val="005653B8"/>
    <w:rsid w:val="0056550C"/>
    <w:rsid w:val="00565542"/>
    <w:rsid w:val="00565561"/>
    <w:rsid w:val="00565621"/>
    <w:rsid w:val="00565654"/>
    <w:rsid w:val="00565669"/>
    <w:rsid w:val="00565699"/>
    <w:rsid w:val="005656BC"/>
    <w:rsid w:val="005656D5"/>
    <w:rsid w:val="005658C9"/>
    <w:rsid w:val="005658F2"/>
    <w:rsid w:val="005659C3"/>
    <w:rsid w:val="005659E0"/>
    <w:rsid w:val="005659E9"/>
    <w:rsid w:val="00565D21"/>
    <w:rsid w:val="00565DE1"/>
    <w:rsid w:val="00565E30"/>
    <w:rsid w:val="00565E36"/>
    <w:rsid w:val="00565EE1"/>
    <w:rsid w:val="00565FAD"/>
    <w:rsid w:val="0056603D"/>
    <w:rsid w:val="00566067"/>
    <w:rsid w:val="005660DD"/>
    <w:rsid w:val="005661EF"/>
    <w:rsid w:val="0056623D"/>
    <w:rsid w:val="0056625E"/>
    <w:rsid w:val="0056630E"/>
    <w:rsid w:val="0056637C"/>
    <w:rsid w:val="0056638C"/>
    <w:rsid w:val="005663EA"/>
    <w:rsid w:val="005664C3"/>
    <w:rsid w:val="00566551"/>
    <w:rsid w:val="00566566"/>
    <w:rsid w:val="0056659B"/>
    <w:rsid w:val="005665AF"/>
    <w:rsid w:val="005666DD"/>
    <w:rsid w:val="00566769"/>
    <w:rsid w:val="0056676A"/>
    <w:rsid w:val="005667B4"/>
    <w:rsid w:val="0056686C"/>
    <w:rsid w:val="00566909"/>
    <w:rsid w:val="0056696C"/>
    <w:rsid w:val="005669FF"/>
    <w:rsid w:val="00566A55"/>
    <w:rsid w:val="00566A7B"/>
    <w:rsid w:val="00566B42"/>
    <w:rsid w:val="00566B77"/>
    <w:rsid w:val="00566C52"/>
    <w:rsid w:val="00566CA1"/>
    <w:rsid w:val="00566CED"/>
    <w:rsid w:val="00566D86"/>
    <w:rsid w:val="00566D93"/>
    <w:rsid w:val="00566DA3"/>
    <w:rsid w:val="00566E14"/>
    <w:rsid w:val="00566E6F"/>
    <w:rsid w:val="00566EDA"/>
    <w:rsid w:val="00567051"/>
    <w:rsid w:val="0056705F"/>
    <w:rsid w:val="00567078"/>
    <w:rsid w:val="0056707E"/>
    <w:rsid w:val="00567085"/>
    <w:rsid w:val="005670D7"/>
    <w:rsid w:val="00567122"/>
    <w:rsid w:val="0056712D"/>
    <w:rsid w:val="00567186"/>
    <w:rsid w:val="0056723B"/>
    <w:rsid w:val="005672A3"/>
    <w:rsid w:val="005672BF"/>
    <w:rsid w:val="0056736B"/>
    <w:rsid w:val="00567406"/>
    <w:rsid w:val="0056746E"/>
    <w:rsid w:val="00567513"/>
    <w:rsid w:val="00567618"/>
    <w:rsid w:val="0056768A"/>
    <w:rsid w:val="0056775D"/>
    <w:rsid w:val="0056776F"/>
    <w:rsid w:val="0056784E"/>
    <w:rsid w:val="00567A37"/>
    <w:rsid w:val="00567A49"/>
    <w:rsid w:val="00567B12"/>
    <w:rsid w:val="00567B1C"/>
    <w:rsid w:val="00567BA5"/>
    <w:rsid w:val="00567BAC"/>
    <w:rsid w:val="00567CD1"/>
    <w:rsid w:val="00567D55"/>
    <w:rsid w:val="00567DEA"/>
    <w:rsid w:val="00567DF3"/>
    <w:rsid w:val="00567E45"/>
    <w:rsid w:val="00567E92"/>
    <w:rsid w:val="00567ECC"/>
    <w:rsid w:val="00567F4B"/>
    <w:rsid w:val="00567FEC"/>
    <w:rsid w:val="0057007F"/>
    <w:rsid w:val="005701CA"/>
    <w:rsid w:val="0057022A"/>
    <w:rsid w:val="00570468"/>
    <w:rsid w:val="00570524"/>
    <w:rsid w:val="005705A8"/>
    <w:rsid w:val="0057064A"/>
    <w:rsid w:val="00570870"/>
    <w:rsid w:val="005708AB"/>
    <w:rsid w:val="005708AF"/>
    <w:rsid w:val="00570948"/>
    <w:rsid w:val="00570952"/>
    <w:rsid w:val="00570981"/>
    <w:rsid w:val="005709F4"/>
    <w:rsid w:val="00570AAB"/>
    <w:rsid w:val="00570AD1"/>
    <w:rsid w:val="00570C24"/>
    <w:rsid w:val="00570D87"/>
    <w:rsid w:val="00570DE1"/>
    <w:rsid w:val="00570F31"/>
    <w:rsid w:val="00570FE2"/>
    <w:rsid w:val="0057124B"/>
    <w:rsid w:val="005712D1"/>
    <w:rsid w:val="005712EB"/>
    <w:rsid w:val="0057133E"/>
    <w:rsid w:val="00571389"/>
    <w:rsid w:val="005714B3"/>
    <w:rsid w:val="005714E7"/>
    <w:rsid w:val="00571518"/>
    <w:rsid w:val="005715D7"/>
    <w:rsid w:val="00571711"/>
    <w:rsid w:val="0057173B"/>
    <w:rsid w:val="00571746"/>
    <w:rsid w:val="005717EA"/>
    <w:rsid w:val="0057187F"/>
    <w:rsid w:val="005718E8"/>
    <w:rsid w:val="005719C6"/>
    <w:rsid w:val="00571A2C"/>
    <w:rsid w:val="00571A54"/>
    <w:rsid w:val="00571A93"/>
    <w:rsid w:val="00571CC8"/>
    <w:rsid w:val="00571E2D"/>
    <w:rsid w:val="00571E6B"/>
    <w:rsid w:val="00571F59"/>
    <w:rsid w:val="00571FDE"/>
    <w:rsid w:val="00571FFE"/>
    <w:rsid w:val="00572079"/>
    <w:rsid w:val="00572153"/>
    <w:rsid w:val="00572250"/>
    <w:rsid w:val="005723A5"/>
    <w:rsid w:val="00572502"/>
    <w:rsid w:val="0057251A"/>
    <w:rsid w:val="0057254E"/>
    <w:rsid w:val="0057256F"/>
    <w:rsid w:val="00572620"/>
    <w:rsid w:val="00572634"/>
    <w:rsid w:val="00572637"/>
    <w:rsid w:val="00572744"/>
    <w:rsid w:val="005727AC"/>
    <w:rsid w:val="005727AF"/>
    <w:rsid w:val="0057282C"/>
    <w:rsid w:val="0057290F"/>
    <w:rsid w:val="0057297B"/>
    <w:rsid w:val="00572AFC"/>
    <w:rsid w:val="00572C42"/>
    <w:rsid w:val="00572C56"/>
    <w:rsid w:val="00572CD9"/>
    <w:rsid w:val="00572CDC"/>
    <w:rsid w:val="00572E07"/>
    <w:rsid w:val="00572E43"/>
    <w:rsid w:val="00572EB2"/>
    <w:rsid w:val="00572ED7"/>
    <w:rsid w:val="00572EFC"/>
    <w:rsid w:val="00572F1F"/>
    <w:rsid w:val="00572F72"/>
    <w:rsid w:val="00572FF1"/>
    <w:rsid w:val="00572FFE"/>
    <w:rsid w:val="0057306A"/>
    <w:rsid w:val="00573093"/>
    <w:rsid w:val="005730A1"/>
    <w:rsid w:val="005730B8"/>
    <w:rsid w:val="00573117"/>
    <w:rsid w:val="00573119"/>
    <w:rsid w:val="0057317E"/>
    <w:rsid w:val="00573198"/>
    <w:rsid w:val="005732A1"/>
    <w:rsid w:val="00573302"/>
    <w:rsid w:val="00573339"/>
    <w:rsid w:val="00573357"/>
    <w:rsid w:val="005734EA"/>
    <w:rsid w:val="005736A1"/>
    <w:rsid w:val="005736C2"/>
    <w:rsid w:val="005736ED"/>
    <w:rsid w:val="005736F5"/>
    <w:rsid w:val="005736F7"/>
    <w:rsid w:val="0057384B"/>
    <w:rsid w:val="005738B0"/>
    <w:rsid w:val="005738C4"/>
    <w:rsid w:val="00573AA6"/>
    <w:rsid w:val="00573AD5"/>
    <w:rsid w:val="00573B59"/>
    <w:rsid w:val="00573B9D"/>
    <w:rsid w:val="00573C1E"/>
    <w:rsid w:val="00573D06"/>
    <w:rsid w:val="00573DB3"/>
    <w:rsid w:val="00573E0D"/>
    <w:rsid w:val="00573EAC"/>
    <w:rsid w:val="00573F01"/>
    <w:rsid w:val="00573F0A"/>
    <w:rsid w:val="00573F8C"/>
    <w:rsid w:val="00573FA9"/>
    <w:rsid w:val="0057405F"/>
    <w:rsid w:val="00574188"/>
    <w:rsid w:val="005742DA"/>
    <w:rsid w:val="005743AA"/>
    <w:rsid w:val="005743F8"/>
    <w:rsid w:val="00574583"/>
    <w:rsid w:val="005745C3"/>
    <w:rsid w:val="00574736"/>
    <w:rsid w:val="0057486F"/>
    <w:rsid w:val="005748AE"/>
    <w:rsid w:val="0057491C"/>
    <w:rsid w:val="00574A64"/>
    <w:rsid w:val="00574A7F"/>
    <w:rsid w:val="00574B00"/>
    <w:rsid w:val="00574B05"/>
    <w:rsid w:val="00574BA2"/>
    <w:rsid w:val="00574BBF"/>
    <w:rsid w:val="00574BC8"/>
    <w:rsid w:val="00574BD7"/>
    <w:rsid w:val="00574CD4"/>
    <w:rsid w:val="00574CE0"/>
    <w:rsid w:val="00574D04"/>
    <w:rsid w:val="00574DF4"/>
    <w:rsid w:val="00574E0F"/>
    <w:rsid w:val="00574EC3"/>
    <w:rsid w:val="005750D5"/>
    <w:rsid w:val="005751DF"/>
    <w:rsid w:val="005751E5"/>
    <w:rsid w:val="0057523D"/>
    <w:rsid w:val="00575279"/>
    <w:rsid w:val="005752A9"/>
    <w:rsid w:val="00575347"/>
    <w:rsid w:val="00575379"/>
    <w:rsid w:val="005753BE"/>
    <w:rsid w:val="0057545F"/>
    <w:rsid w:val="0057566C"/>
    <w:rsid w:val="00575714"/>
    <w:rsid w:val="00575734"/>
    <w:rsid w:val="00575761"/>
    <w:rsid w:val="0057576A"/>
    <w:rsid w:val="005757E1"/>
    <w:rsid w:val="005757F5"/>
    <w:rsid w:val="0057580D"/>
    <w:rsid w:val="0057582C"/>
    <w:rsid w:val="005758A5"/>
    <w:rsid w:val="005758FC"/>
    <w:rsid w:val="00575944"/>
    <w:rsid w:val="005759FC"/>
    <w:rsid w:val="00575B49"/>
    <w:rsid w:val="00575B7C"/>
    <w:rsid w:val="00575B7D"/>
    <w:rsid w:val="00575BC1"/>
    <w:rsid w:val="00575BDD"/>
    <w:rsid w:val="00575BFE"/>
    <w:rsid w:val="00575C32"/>
    <w:rsid w:val="00575C76"/>
    <w:rsid w:val="00575C7F"/>
    <w:rsid w:val="00575CD3"/>
    <w:rsid w:val="00575E1A"/>
    <w:rsid w:val="00575E4F"/>
    <w:rsid w:val="00575EA0"/>
    <w:rsid w:val="00575F66"/>
    <w:rsid w:val="00575FA8"/>
    <w:rsid w:val="00575FEA"/>
    <w:rsid w:val="0057603B"/>
    <w:rsid w:val="005760AD"/>
    <w:rsid w:val="005760C1"/>
    <w:rsid w:val="005761E3"/>
    <w:rsid w:val="00576217"/>
    <w:rsid w:val="005762B7"/>
    <w:rsid w:val="00576328"/>
    <w:rsid w:val="00576470"/>
    <w:rsid w:val="0057648E"/>
    <w:rsid w:val="005764DA"/>
    <w:rsid w:val="00576562"/>
    <w:rsid w:val="0057659F"/>
    <w:rsid w:val="00576614"/>
    <w:rsid w:val="0057664F"/>
    <w:rsid w:val="00576675"/>
    <w:rsid w:val="005766E4"/>
    <w:rsid w:val="005767BA"/>
    <w:rsid w:val="005767C3"/>
    <w:rsid w:val="005768EA"/>
    <w:rsid w:val="005769C5"/>
    <w:rsid w:val="005769E6"/>
    <w:rsid w:val="00576A70"/>
    <w:rsid w:val="00576ABB"/>
    <w:rsid w:val="00576CA1"/>
    <w:rsid w:val="00576CEC"/>
    <w:rsid w:val="00576CED"/>
    <w:rsid w:val="00576DB4"/>
    <w:rsid w:val="00576DB9"/>
    <w:rsid w:val="00576DC8"/>
    <w:rsid w:val="00576DF1"/>
    <w:rsid w:val="00576DF6"/>
    <w:rsid w:val="00576E09"/>
    <w:rsid w:val="00576E77"/>
    <w:rsid w:val="00576F19"/>
    <w:rsid w:val="00576F84"/>
    <w:rsid w:val="00576FA0"/>
    <w:rsid w:val="00576FBD"/>
    <w:rsid w:val="00576FE3"/>
    <w:rsid w:val="00576FFB"/>
    <w:rsid w:val="00577007"/>
    <w:rsid w:val="005770D7"/>
    <w:rsid w:val="005771E9"/>
    <w:rsid w:val="0057723D"/>
    <w:rsid w:val="00577254"/>
    <w:rsid w:val="0057728D"/>
    <w:rsid w:val="005772B2"/>
    <w:rsid w:val="005772DA"/>
    <w:rsid w:val="005772DE"/>
    <w:rsid w:val="00577360"/>
    <w:rsid w:val="005773B5"/>
    <w:rsid w:val="005773E2"/>
    <w:rsid w:val="0057740D"/>
    <w:rsid w:val="00577414"/>
    <w:rsid w:val="005774B8"/>
    <w:rsid w:val="0057759D"/>
    <w:rsid w:val="005775F5"/>
    <w:rsid w:val="00577765"/>
    <w:rsid w:val="005778C5"/>
    <w:rsid w:val="005778E6"/>
    <w:rsid w:val="00577907"/>
    <w:rsid w:val="00577919"/>
    <w:rsid w:val="00577964"/>
    <w:rsid w:val="005779D8"/>
    <w:rsid w:val="005779F1"/>
    <w:rsid w:val="00577A1C"/>
    <w:rsid w:val="00577B23"/>
    <w:rsid w:val="00577B73"/>
    <w:rsid w:val="00577B99"/>
    <w:rsid w:val="00577C43"/>
    <w:rsid w:val="00577C4F"/>
    <w:rsid w:val="00577C99"/>
    <w:rsid w:val="00577CB4"/>
    <w:rsid w:val="00577DB6"/>
    <w:rsid w:val="00577DE7"/>
    <w:rsid w:val="00577DEA"/>
    <w:rsid w:val="00577DED"/>
    <w:rsid w:val="00577E13"/>
    <w:rsid w:val="00577F44"/>
    <w:rsid w:val="00577FBF"/>
    <w:rsid w:val="0058001C"/>
    <w:rsid w:val="0058009E"/>
    <w:rsid w:val="00580120"/>
    <w:rsid w:val="00580179"/>
    <w:rsid w:val="00580247"/>
    <w:rsid w:val="0058026F"/>
    <w:rsid w:val="005802E8"/>
    <w:rsid w:val="00580313"/>
    <w:rsid w:val="00580323"/>
    <w:rsid w:val="005803C7"/>
    <w:rsid w:val="005803D2"/>
    <w:rsid w:val="005803DE"/>
    <w:rsid w:val="005803F7"/>
    <w:rsid w:val="0058044A"/>
    <w:rsid w:val="00580548"/>
    <w:rsid w:val="0058060D"/>
    <w:rsid w:val="00580711"/>
    <w:rsid w:val="00580789"/>
    <w:rsid w:val="005807B9"/>
    <w:rsid w:val="005807C7"/>
    <w:rsid w:val="005807E4"/>
    <w:rsid w:val="0058086E"/>
    <w:rsid w:val="00580884"/>
    <w:rsid w:val="00580930"/>
    <w:rsid w:val="00580967"/>
    <w:rsid w:val="00580990"/>
    <w:rsid w:val="005809DA"/>
    <w:rsid w:val="005809E1"/>
    <w:rsid w:val="00580A54"/>
    <w:rsid w:val="00580A63"/>
    <w:rsid w:val="00580AB3"/>
    <w:rsid w:val="00580B35"/>
    <w:rsid w:val="00580B44"/>
    <w:rsid w:val="00580B52"/>
    <w:rsid w:val="00580B9A"/>
    <w:rsid w:val="00580C46"/>
    <w:rsid w:val="00580CBE"/>
    <w:rsid w:val="00580D0A"/>
    <w:rsid w:val="00580D49"/>
    <w:rsid w:val="00580DD3"/>
    <w:rsid w:val="00580EB1"/>
    <w:rsid w:val="00580FBD"/>
    <w:rsid w:val="00580FE8"/>
    <w:rsid w:val="0058105D"/>
    <w:rsid w:val="005810A3"/>
    <w:rsid w:val="005810C7"/>
    <w:rsid w:val="005810D0"/>
    <w:rsid w:val="0058110A"/>
    <w:rsid w:val="00581186"/>
    <w:rsid w:val="005811F0"/>
    <w:rsid w:val="0058125C"/>
    <w:rsid w:val="00581277"/>
    <w:rsid w:val="00581414"/>
    <w:rsid w:val="0058145D"/>
    <w:rsid w:val="005814AF"/>
    <w:rsid w:val="005814B4"/>
    <w:rsid w:val="0058152A"/>
    <w:rsid w:val="00581538"/>
    <w:rsid w:val="005815E6"/>
    <w:rsid w:val="0058161B"/>
    <w:rsid w:val="005816F6"/>
    <w:rsid w:val="0058172D"/>
    <w:rsid w:val="005817FB"/>
    <w:rsid w:val="00581804"/>
    <w:rsid w:val="0058183B"/>
    <w:rsid w:val="0058183E"/>
    <w:rsid w:val="00581882"/>
    <w:rsid w:val="005819DF"/>
    <w:rsid w:val="00581ACD"/>
    <w:rsid w:val="00581AFA"/>
    <w:rsid w:val="00581B0A"/>
    <w:rsid w:val="00581B16"/>
    <w:rsid w:val="00581D25"/>
    <w:rsid w:val="00581D59"/>
    <w:rsid w:val="00581D62"/>
    <w:rsid w:val="00581DB3"/>
    <w:rsid w:val="00581DF5"/>
    <w:rsid w:val="00581E03"/>
    <w:rsid w:val="00581E81"/>
    <w:rsid w:val="00581F3C"/>
    <w:rsid w:val="00581F5C"/>
    <w:rsid w:val="00581FFD"/>
    <w:rsid w:val="005820A7"/>
    <w:rsid w:val="005820C2"/>
    <w:rsid w:val="005820F9"/>
    <w:rsid w:val="00582152"/>
    <w:rsid w:val="0058215A"/>
    <w:rsid w:val="00582185"/>
    <w:rsid w:val="005821B5"/>
    <w:rsid w:val="005821E9"/>
    <w:rsid w:val="0058222E"/>
    <w:rsid w:val="005823F7"/>
    <w:rsid w:val="00582456"/>
    <w:rsid w:val="005824C9"/>
    <w:rsid w:val="005825CC"/>
    <w:rsid w:val="005826C9"/>
    <w:rsid w:val="00582727"/>
    <w:rsid w:val="00582766"/>
    <w:rsid w:val="005827EF"/>
    <w:rsid w:val="005828B5"/>
    <w:rsid w:val="00582950"/>
    <w:rsid w:val="00582964"/>
    <w:rsid w:val="005829AF"/>
    <w:rsid w:val="005829D6"/>
    <w:rsid w:val="00582A3C"/>
    <w:rsid w:val="00582A96"/>
    <w:rsid w:val="00582ABF"/>
    <w:rsid w:val="00582ADA"/>
    <w:rsid w:val="00582B39"/>
    <w:rsid w:val="00582B78"/>
    <w:rsid w:val="00582BFE"/>
    <w:rsid w:val="00582CC1"/>
    <w:rsid w:val="00582FAB"/>
    <w:rsid w:val="0058302F"/>
    <w:rsid w:val="0058303C"/>
    <w:rsid w:val="0058303D"/>
    <w:rsid w:val="00583164"/>
    <w:rsid w:val="005831F3"/>
    <w:rsid w:val="00583232"/>
    <w:rsid w:val="00583243"/>
    <w:rsid w:val="00583281"/>
    <w:rsid w:val="00583336"/>
    <w:rsid w:val="005833BA"/>
    <w:rsid w:val="005833C6"/>
    <w:rsid w:val="00583425"/>
    <w:rsid w:val="00583446"/>
    <w:rsid w:val="0058351D"/>
    <w:rsid w:val="00583537"/>
    <w:rsid w:val="00583635"/>
    <w:rsid w:val="0058368D"/>
    <w:rsid w:val="005836F2"/>
    <w:rsid w:val="0058376B"/>
    <w:rsid w:val="0058379A"/>
    <w:rsid w:val="00583852"/>
    <w:rsid w:val="0058386D"/>
    <w:rsid w:val="005838FF"/>
    <w:rsid w:val="0058393A"/>
    <w:rsid w:val="00583A53"/>
    <w:rsid w:val="00583A83"/>
    <w:rsid w:val="00583A90"/>
    <w:rsid w:val="00583B2C"/>
    <w:rsid w:val="00583B4A"/>
    <w:rsid w:val="00583B4C"/>
    <w:rsid w:val="00583C45"/>
    <w:rsid w:val="00583E96"/>
    <w:rsid w:val="0058405F"/>
    <w:rsid w:val="00584066"/>
    <w:rsid w:val="005840E9"/>
    <w:rsid w:val="0058416B"/>
    <w:rsid w:val="00584176"/>
    <w:rsid w:val="0058424C"/>
    <w:rsid w:val="005842FE"/>
    <w:rsid w:val="0058430B"/>
    <w:rsid w:val="005843B5"/>
    <w:rsid w:val="005843EB"/>
    <w:rsid w:val="00584428"/>
    <w:rsid w:val="0058445A"/>
    <w:rsid w:val="005844CA"/>
    <w:rsid w:val="0058451B"/>
    <w:rsid w:val="005845CA"/>
    <w:rsid w:val="00584646"/>
    <w:rsid w:val="00584665"/>
    <w:rsid w:val="0058468B"/>
    <w:rsid w:val="00584850"/>
    <w:rsid w:val="0058488D"/>
    <w:rsid w:val="0058497D"/>
    <w:rsid w:val="00584A2B"/>
    <w:rsid w:val="00584A6D"/>
    <w:rsid w:val="00584AA1"/>
    <w:rsid w:val="00584BBA"/>
    <w:rsid w:val="00584EA6"/>
    <w:rsid w:val="00584ECB"/>
    <w:rsid w:val="00584F18"/>
    <w:rsid w:val="00584F4C"/>
    <w:rsid w:val="00585034"/>
    <w:rsid w:val="005850F4"/>
    <w:rsid w:val="0058520A"/>
    <w:rsid w:val="00585223"/>
    <w:rsid w:val="0058527F"/>
    <w:rsid w:val="0058532A"/>
    <w:rsid w:val="0058536F"/>
    <w:rsid w:val="0058543B"/>
    <w:rsid w:val="0058547E"/>
    <w:rsid w:val="005854E1"/>
    <w:rsid w:val="00585537"/>
    <w:rsid w:val="0058558E"/>
    <w:rsid w:val="0058559C"/>
    <w:rsid w:val="00585674"/>
    <w:rsid w:val="005857A8"/>
    <w:rsid w:val="0058582E"/>
    <w:rsid w:val="0058589B"/>
    <w:rsid w:val="005858D1"/>
    <w:rsid w:val="0058590F"/>
    <w:rsid w:val="00585A2B"/>
    <w:rsid w:val="00585A4F"/>
    <w:rsid w:val="00585A50"/>
    <w:rsid w:val="00585B2F"/>
    <w:rsid w:val="00585BDE"/>
    <w:rsid w:val="00585BE9"/>
    <w:rsid w:val="00585D0B"/>
    <w:rsid w:val="00585D76"/>
    <w:rsid w:val="00585D85"/>
    <w:rsid w:val="00585DE3"/>
    <w:rsid w:val="0058611D"/>
    <w:rsid w:val="0058612E"/>
    <w:rsid w:val="0058619C"/>
    <w:rsid w:val="0058620B"/>
    <w:rsid w:val="00586229"/>
    <w:rsid w:val="00586264"/>
    <w:rsid w:val="00586283"/>
    <w:rsid w:val="00586356"/>
    <w:rsid w:val="0058639F"/>
    <w:rsid w:val="005863B0"/>
    <w:rsid w:val="005863BE"/>
    <w:rsid w:val="005863E4"/>
    <w:rsid w:val="00586427"/>
    <w:rsid w:val="0058645C"/>
    <w:rsid w:val="0058645D"/>
    <w:rsid w:val="005866E1"/>
    <w:rsid w:val="00586721"/>
    <w:rsid w:val="00586756"/>
    <w:rsid w:val="00586771"/>
    <w:rsid w:val="005867B8"/>
    <w:rsid w:val="005867F1"/>
    <w:rsid w:val="00586838"/>
    <w:rsid w:val="0058685C"/>
    <w:rsid w:val="005868EA"/>
    <w:rsid w:val="00586ADD"/>
    <w:rsid w:val="00586AFC"/>
    <w:rsid w:val="00586C5A"/>
    <w:rsid w:val="00586C88"/>
    <w:rsid w:val="00586D36"/>
    <w:rsid w:val="00586D5B"/>
    <w:rsid w:val="00586EA7"/>
    <w:rsid w:val="00586F6B"/>
    <w:rsid w:val="00586F79"/>
    <w:rsid w:val="0058702F"/>
    <w:rsid w:val="005870F2"/>
    <w:rsid w:val="0058715A"/>
    <w:rsid w:val="00587166"/>
    <w:rsid w:val="005871F8"/>
    <w:rsid w:val="0058721C"/>
    <w:rsid w:val="005872B4"/>
    <w:rsid w:val="0058735E"/>
    <w:rsid w:val="00587362"/>
    <w:rsid w:val="005873AD"/>
    <w:rsid w:val="005874C7"/>
    <w:rsid w:val="00587547"/>
    <w:rsid w:val="0058758D"/>
    <w:rsid w:val="00587899"/>
    <w:rsid w:val="005878D3"/>
    <w:rsid w:val="005878DD"/>
    <w:rsid w:val="00587956"/>
    <w:rsid w:val="00587959"/>
    <w:rsid w:val="00587AB2"/>
    <w:rsid w:val="00587ADB"/>
    <w:rsid w:val="00587B2B"/>
    <w:rsid w:val="00587B76"/>
    <w:rsid w:val="00587C11"/>
    <w:rsid w:val="00587C9F"/>
    <w:rsid w:val="00587CE2"/>
    <w:rsid w:val="00587CE6"/>
    <w:rsid w:val="00587D90"/>
    <w:rsid w:val="00587E5B"/>
    <w:rsid w:val="00587E5C"/>
    <w:rsid w:val="00587F69"/>
    <w:rsid w:val="00587F87"/>
    <w:rsid w:val="00587FED"/>
    <w:rsid w:val="00590035"/>
    <w:rsid w:val="005900A4"/>
    <w:rsid w:val="00590153"/>
    <w:rsid w:val="00590284"/>
    <w:rsid w:val="005902EA"/>
    <w:rsid w:val="00590311"/>
    <w:rsid w:val="0059036A"/>
    <w:rsid w:val="0059036C"/>
    <w:rsid w:val="00590411"/>
    <w:rsid w:val="0059045E"/>
    <w:rsid w:val="005905AB"/>
    <w:rsid w:val="0059061F"/>
    <w:rsid w:val="00590668"/>
    <w:rsid w:val="005906DD"/>
    <w:rsid w:val="00590755"/>
    <w:rsid w:val="005907C6"/>
    <w:rsid w:val="005907D5"/>
    <w:rsid w:val="0059081A"/>
    <w:rsid w:val="0059082E"/>
    <w:rsid w:val="005908A0"/>
    <w:rsid w:val="005908E2"/>
    <w:rsid w:val="005908EA"/>
    <w:rsid w:val="005908EE"/>
    <w:rsid w:val="005909B2"/>
    <w:rsid w:val="00590A5B"/>
    <w:rsid w:val="00590AC1"/>
    <w:rsid w:val="00590AEE"/>
    <w:rsid w:val="00590B13"/>
    <w:rsid w:val="00590B25"/>
    <w:rsid w:val="00590B8F"/>
    <w:rsid w:val="00590CBD"/>
    <w:rsid w:val="00590D29"/>
    <w:rsid w:val="00590D88"/>
    <w:rsid w:val="00590D91"/>
    <w:rsid w:val="00590DC5"/>
    <w:rsid w:val="00590E28"/>
    <w:rsid w:val="00590EBB"/>
    <w:rsid w:val="00590F0F"/>
    <w:rsid w:val="00590F24"/>
    <w:rsid w:val="00590F43"/>
    <w:rsid w:val="00590F96"/>
    <w:rsid w:val="00590FC5"/>
    <w:rsid w:val="00590FED"/>
    <w:rsid w:val="00590FF0"/>
    <w:rsid w:val="005910CD"/>
    <w:rsid w:val="0059117C"/>
    <w:rsid w:val="005911BC"/>
    <w:rsid w:val="005911C7"/>
    <w:rsid w:val="00591282"/>
    <w:rsid w:val="00591354"/>
    <w:rsid w:val="00591431"/>
    <w:rsid w:val="00591473"/>
    <w:rsid w:val="0059151C"/>
    <w:rsid w:val="005915B0"/>
    <w:rsid w:val="0059166F"/>
    <w:rsid w:val="00591744"/>
    <w:rsid w:val="0059175F"/>
    <w:rsid w:val="0059177C"/>
    <w:rsid w:val="0059178C"/>
    <w:rsid w:val="005917A1"/>
    <w:rsid w:val="005918D4"/>
    <w:rsid w:val="005918DE"/>
    <w:rsid w:val="005919DF"/>
    <w:rsid w:val="005919FD"/>
    <w:rsid w:val="00591B93"/>
    <w:rsid w:val="00591BB7"/>
    <w:rsid w:val="00591BF7"/>
    <w:rsid w:val="00591C74"/>
    <w:rsid w:val="00591D29"/>
    <w:rsid w:val="00591D72"/>
    <w:rsid w:val="00591E64"/>
    <w:rsid w:val="00592078"/>
    <w:rsid w:val="0059210A"/>
    <w:rsid w:val="00592116"/>
    <w:rsid w:val="0059213C"/>
    <w:rsid w:val="005923FD"/>
    <w:rsid w:val="005924BD"/>
    <w:rsid w:val="005925FD"/>
    <w:rsid w:val="005926E8"/>
    <w:rsid w:val="0059277F"/>
    <w:rsid w:val="005927C9"/>
    <w:rsid w:val="0059282B"/>
    <w:rsid w:val="0059283A"/>
    <w:rsid w:val="00592867"/>
    <w:rsid w:val="005929DB"/>
    <w:rsid w:val="005929E4"/>
    <w:rsid w:val="00592A75"/>
    <w:rsid w:val="00592AE3"/>
    <w:rsid w:val="00592AEB"/>
    <w:rsid w:val="00592B14"/>
    <w:rsid w:val="00592B19"/>
    <w:rsid w:val="00592B81"/>
    <w:rsid w:val="00592BEC"/>
    <w:rsid w:val="00592C80"/>
    <w:rsid w:val="00592CB0"/>
    <w:rsid w:val="00592E57"/>
    <w:rsid w:val="00592E95"/>
    <w:rsid w:val="00592F22"/>
    <w:rsid w:val="00592F48"/>
    <w:rsid w:val="00592F79"/>
    <w:rsid w:val="00592F8A"/>
    <w:rsid w:val="00593003"/>
    <w:rsid w:val="00593055"/>
    <w:rsid w:val="0059305B"/>
    <w:rsid w:val="00593080"/>
    <w:rsid w:val="00593183"/>
    <w:rsid w:val="005931C0"/>
    <w:rsid w:val="0059322E"/>
    <w:rsid w:val="005932A0"/>
    <w:rsid w:val="00593367"/>
    <w:rsid w:val="0059337F"/>
    <w:rsid w:val="00593388"/>
    <w:rsid w:val="0059346F"/>
    <w:rsid w:val="00593470"/>
    <w:rsid w:val="00593473"/>
    <w:rsid w:val="0059347A"/>
    <w:rsid w:val="0059348F"/>
    <w:rsid w:val="00593523"/>
    <w:rsid w:val="00593592"/>
    <w:rsid w:val="0059368B"/>
    <w:rsid w:val="0059374F"/>
    <w:rsid w:val="00593866"/>
    <w:rsid w:val="00593878"/>
    <w:rsid w:val="0059389A"/>
    <w:rsid w:val="005939A1"/>
    <w:rsid w:val="005939A5"/>
    <w:rsid w:val="005939E3"/>
    <w:rsid w:val="00593A73"/>
    <w:rsid w:val="00593A96"/>
    <w:rsid w:val="00593A99"/>
    <w:rsid w:val="00593B3E"/>
    <w:rsid w:val="00593B7B"/>
    <w:rsid w:val="00593C33"/>
    <w:rsid w:val="00593CF1"/>
    <w:rsid w:val="00593D49"/>
    <w:rsid w:val="00593D88"/>
    <w:rsid w:val="00593F97"/>
    <w:rsid w:val="00593FDC"/>
    <w:rsid w:val="00594019"/>
    <w:rsid w:val="00594054"/>
    <w:rsid w:val="005940BF"/>
    <w:rsid w:val="00594132"/>
    <w:rsid w:val="005941C1"/>
    <w:rsid w:val="005941EC"/>
    <w:rsid w:val="00594252"/>
    <w:rsid w:val="00594256"/>
    <w:rsid w:val="0059425B"/>
    <w:rsid w:val="00594270"/>
    <w:rsid w:val="005942C9"/>
    <w:rsid w:val="005942CE"/>
    <w:rsid w:val="00594493"/>
    <w:rsid w:val="00594496"/>
    <w:rsid w:val="005944FE"/>
    <w:rsid w:val="00594524"/>
    <w:rsid w:val="00594694"/>
    <w:rsid w:val="00594703"/>
    <w:rsid w:val="005947D7"/>
    <w:rsid w:val="005947F4"/>
    <w:rsid w:val="0059490C"/>
    <w:rsid w:val="005949CB"/>
    <w:rsid w:val="00594A21"/>
    <w:rsid w:val="00594A66"/>
    <w:rsid w:val="00594A6A"/>
    <w:rsid w:val="00594A7A"/>
    <w:rsid w:val="00594B0B"/>
    <w:rsid w:val="00594B35"/>
    <w:rsid w:val="00594B41"/>
    <w:rsid w:val="00594C3E"/>
    <w:rsid w:val="00594C99"/>
    <w:rsid w:val="00594CE4"/>
    <w:rsid w:val="00594CED"/>
    <w:rsid w:val="00594E72"/>
    <w:rsid w:val="00594EA9"/>
    <w:rsid w:val="00594EE4"/>
    <w:rsid w:val="00594F3E"/>
    <w:rsid w:val="00594FC3"/>
    <w:rsid w:val="00594FF5"/>
    <w:rsid w:val="00595032"/>
    <w:rsid w:val="00595040"/>
    <w:rsid w:val="00595099"/>
    <w:rsid w:val="005950DD"/>
    <w:rsid w:val="0059517C"/>
    <w:rsid w:val="005951DA"/>
    <w:rsid w:val="00595251"/>
    <w:rsid w:val="005952EF"/>
    <w:rsid w:val="005953E1"/>
    <w:rsid w:val="0059546C"/>
    <w:rsid w:val="0059554B"/>
    <w:rsid w:val="0059559B"/>
    <w:rsid w:val="005955A1"/>
    <w:rsid w:val="005955AB"/>
    <w:rsid w:val="005955E8"/>
    <w:rsid w:val="00595625"/>
    <w:rsid w:val="0059566A"/>
    <w:rsid w:val="00595771"/>
    <w:rsid w:val="0059582C"/>
    <w:rsid w:val="00595891"/>
    <w:rsid w:val="005958C9"/>
    <w:rsid w:val="0059592A"/>
    <w:rsid w:val="00595A37"/>
    <w:rsid w:val="00595DB6"/>
    <w:rsid w:val="00595DF4"/>
    <w:rsid w:val="00595E16"/>
    <w:rsid w:val="00595E40"/>
    <w:rsid w:val="00595F26"/>
    <w:rsid w:val="00595F41"/>
    <w:rsid w:val="00595F8A"/>
    <w:rsid w:val="00596014"/>
    <w:rsid w:val="00596038"/>
    <w:rsid w:val="005960C6"/>
    <w:rsid w:val="00596144"/>
    <w:rsid w:val="005961AF"/>
    <w:rsid w:val="005962EC"/>
    <w:rsid w:val="005962F3"/>
    <w:rsid w:val="0059630E"/>
    <w:rsid w:val="00596417"/>
    <w:rsid w:val="0059643A"/>
    <w:rsid w:val="005964A5"/>
    <w:rsid w:val="005964F8"/>
    <w:rsid w:val="0059658F"/>
    <w:rsid w:val="005965B7"/>
    <w:rsid w:val="005966B3"/>
    <w:rsid w:val="0059670A"/>
    <w:rsid w:val="005967F9"/>
    <w:rsid w:val="0059684A"/>
    <w:rsid w:val="005968B0"/>
    <w:rsid w:val="005968B3"/>
    <w:rsid w:val="00596916"/>
    <w:rsid w:val="0059691A"/>
    <w:rsid w:val="00596928"/>
    <w:rsid w:val="00596946"/>
    <w:rsid w:val="005969D6"/>
    <w:rsid w:val="005969F7"/>
    <w:rsid w:val="00596A02"/>
    <w:rsid w:val="00596A2A"/>
    <w:rsid w:val="00596ADA"/>
    <w:rsid w:val="00596C22"/>
    <w:rsid w:val="00596D0F"/>
    <w:rsid w:val="00596DA6"/>
    <w:rsid w:val="00596DE1"/>
    <w:rsid w:val="00596E9B"/>
    <w:rsid w:val="00596F7E"/>
    <w:rsid w:val="00596FC8"/>
    <w:rsid w:val="00597024"/>
    <w:rsid w:val="005970F2"/>
    <w:rsid w:val="00597294"/>
    <w:rsid w:val="005972EA"/>
    <w:rsid w:val="0059730C"/>
    <w:rsid w:val="00597339"/>
    <w:rsid w:val="0059733E"/>
    <w:rsid w:val="00597353"/>
    <w:rsid w:val="0059739D"/>
    <w:rsid w:val="0059743C"/>
    <w:rsid w:val="00597488"/>
    <w:rsid w:val="00597513"/>
    <w:rsid w:val="00597588"/>
    <w:rsid w:val="005976BF"/>
    <w:rsid w:val="0059772F"/>
    <w:rsid w:val="0059774E"/>
    <w:rsid w:val="005977E2"/>
    <w:rsid w:val="005977ED"/>
    <w:rsid w:val="00597900"/>
    <w:rsid w:val="0059790B"/>
    <w:rsid w:val="00597923"/>
    <w:rsid w:val="005979BF"/>
    <w:rsid w:val="00597A2E"/>
    <w:rsid w:val="00597B4F"/>
    <w:rsid w:val="00597BC3"/>
    <w:rsid w:val="00597CB2"/>
    <w:rsid w:val="00597D0A"/>
    <w:rsid w:val="00597D60"/>
    <w:rsid w:val="00597D83"/>
    <w:rsid w:val="00597DEF"/>
    <w:rsid w:val="00597E17"/>
    <w:rsid w:val="00597E52"/>
    <w:rsid w:val="00597F5F"/>
    <w:rsid w:val="00597F8C"/>
    <w:rsid w:val="005A0008"/>
    <w:rsid w:val="005A0039"/>
    <w:rsid w:val="005A0226"/>
    <w:rsid w:val="005A0263"/>
    <w:rsid w:val="005A02DD"/>
    <w:rsid w:val="005A0372"/>
    <w:rsid w:val="005A03DE"/>
    <w:rsid w:val="005A041C"/>
    <w:rsid w:val="005A04BD"/>
    <w:rsid w:val="005A054C"/>
    <w:rsid w:val="005A05A5"/>
    <w:rsid w:val="005A06CC"/>
    <w:rsid w:val="005A0789"/>
    <w:rsid w:val="005A0890"/>
    <w:rsid w:val="005A08D0"/>
    <w:rsid w:val="005A094F"/>
    <w:rsid w:val="005A09D4"/>
    <w:rsid w:val="005A09DB"/>
    <w:rsid w:val="005A0B7A"/>
    <w:rsid w:val="005A0BFC"/>
    <w:rsid w:val="005A0D39"/>
    <w:rsid w:val="005A0D91"/>
    <w:rsid w:val="005A0DFF"/>
    <w:rsid w:val="005A0E50"/>
    <w:rsid w:val="005A0EAC"/>
    <w:rsid w:val="005A0EB4"/>
    <w:rsid w:val="005A0F6B"/>
    <w:rsid w:val="005A115F"/>
    <w:rsid w:val="005A1181"/>
    <w:rsid w:val="005A11D4"/>
    <w:rsid w:val="005A11F9"/>
    <w:rsid w:val="005A120B"/>
    <w:rsid w:val="005A120C"/>
    <w:rsid w:val="005A134C"/>
    <w:rsid w:val="005A138D"/>
    <w:rsid w:val="005A140C"/>
    <w:rsid w:val="005A1457"/>
    <w:rsid w:val="005A145C"/>
    <w:rsid w:val="005A14C6"/>
    <w:rsid w:val="005A14E9"/>
    <w:rsid w:val="005A14F6"/>
    <w:rsid w:val="005A1537"/>
    <w:rsid w:val="005A1562"/>
    <w:rsid w:val="005A1577"/>
    <w:rsid w:val="005A158A"/>
    <w:rsid w:val="005A165E"/>
    <w:rsid w:val="005A171A"/>
    <w:rsid w:val="005A173A"/>
    <w:rsid w:val="005A17E5"/>
    <w:rsid w:val="005A1802"/>
    <w:rsid w:val="005A1855"/>
    <w:rsid w:val="005A18D1"/>
    <w:rsid w:val="005A1966"/>
    <w:rsid w:val="005A19E3"/>
    <w:rsid w:val="005A19FB"/>
    <w:rsid w:val="005A1A06"/>
    <w:rsid w:val="005A1A0D"/>
    <w:rsid w:val="005A1A24"/>
    <w:rsid w:val="005A1A40"/>
    <w:rsid w:val="005A1A78"/>
    <w:rsid w:val="005A1AB9"/>
    <w:rsid w:val="005A1AC4"/>
    <w:rsid w:val="005A1B9D"/>
    <w:rsid w:val="005A1BC5"/>
    <w:rsid w:val="005A1CF4"/>
    <w:rsid w:val="005A1E0C"/>
    <w:rsid w:val="005A1EE5"/>
    <w:rsid w:val="005A1FB9"/>
    <w:rsid w:val="005A216B"/>
    <w:rsid w:val="005A21D3"/>
    <w:rsid w:val="005A21FF"/>
    <w:rsid w:val="005A2219"/>
    <w:rsid w:val="005A222E"/>
    <w:rsid w:val="005A22D7"/>
    <w:rsid w:val="005A22F5"/>
    <w:rsid w:val="005A2314"/>
    <w:rsid w:val="005A2558"/>
    <w:rsid w:val="005A25C9"/>
    <w:rsid w:val="005A26AE"/>
    <w:rsid w:val="005A26FF"/>
    <w:rsid w:val="005A2756"/>
    <w:rsid w:val="005A27C9"/>
    <w:rsid w:val="005A2867"/>
    <w:rsid w:val="005A28F9"/>
    <w:rsid w:val="005A2907"/>
    <w:rsid w:val="005A291A"/>
    <w:rsid w:val="005A2A0A"/>
    <w:rsid w:val="005A2A0D"/>
    <w:rsid w:val="005A2A56"/>
    <w:rsid w:val="005A2A74"/>
    <w:rsid w:val="005A2A80"/>
    <w:rsid w:val="005A2AD4"/>
    <w:rsid w:val="005A2B29"/>
    <w:rsid w:val="005A2B56"/>
    <w:rsid w:val="005A2C4C"/>
    <w:rsid w:val="005A2C82"/>
    <w:rsid w:val="005A2C90"/>
    <w:rsid w:val="005A2CC1"/>
    <w:rsid w:val="005A2D23"/>
    <w:rsid w:val="005A2D56"/>
    <w:rsid w:val="005A2DB4"/>
    <w:rsid w:val="005A2DC7"/>
    <w:rsid w:val="005A2E56"/>
    <w:rsid w:val="005A2E6F"/>
    <w:rsid w:val="005A2F16"/>
    <w:rsid w:val="005A2F38"/>
    <w:rsid w:val="005A30C8"/>
    <w:rsid w:val="005A30E4"/>
    <w:rsid w:val="005A312B"/>
    <w:rsid w:val="005A322C"/>
    <w:rsid w:val="005A3261"/>
    <w:rsid w:val="005A3299"/>
    <w:rsid w:val="005A32B5"/>
    <w:rsid w:val="005A32CA"/>
    <w:rsid w:val="005A3363"/>
    <w:rsid w:val="005A33CB"/>
    <w:rsid w:val="005A344F"/>
    <w:rsid w:val="005A34BA"/>
    <w:rsid w:val="005A34F5"/>
    <w:rsid w:val="005A3545"/>
    <w:rsid w:val="005A359B"/>
    <w:rsid w:val="005A35E7"/>
    <w:rsid w:val="005A35EE"/>
    <w:rsid w:val="005A3645"/>
    <w:rsid w:val="005A36F0"/>
    <w:rsid w:val="005A37C6"/>
    <w:rsid w:val="005A3811"/>
    <w:rsid w:val="005A397B"/>
    <w:rsid w:val="005A3B05"/>
    <w:rsid w:val="005A3B11"/>
    <w:rsid w:val="005A3B9E"/>
    <w:rsid w:val="005A3C30"/>
    <w:rsid w:val="005A3CD0"/>
    <w:rsid w:val="005A3CE4"/>
    <w:rsid w:val="005A3DE4"/>
    <w:rsid w:val="005A3DEC"/>
    <w:rsid w:val="005A3E18"/>
    <w:rsid w:val="005A3F72"/>
    <w:rsid w:val="005A4070"/>
    <w:rsid w:val="005A40A0"/>
    <w:rsid w:val="005A41F7"/>
    <w:rsid w:val="005A41FE"/>
    <w:rsid w:val="005A4208"/>
    <w:rsid w:val="005A4277"/>
    <w:rsid w:val="005A4297"/>
    <w:rsid w:val="005A42B8"/>
    <w:rsid w:val="005A42E3"/>
    <w:rsid w:val="005A4319"/>
    <w:rsid w:val="005A43B6"/>
    <w:rsid w:val="005A43E2"/>
    <w:rsid w:val="005A450E"/>
    <w:rsid w:val="005A4549"/>
    <w:rsid w:val="005A461A"/>
    <w:rsid w:val="005A4649"/>
    <w:rsid w:val="005A46EC"/>
    <w:rsid w:val="005A4811"/>
    <w:rsid w:val="005A4845"/>
    <w:rsid w:val="005A4860"/>
    <w:rsid w:val="005A4889"/>
    <w:rsid w:val="005A48AC"/>
    <w:rsid w:val="005A48F1"/>
    <w:rsid w:val="005A492B"/>
    <w:rsid w:val="005A4A8F"/>
    <w:rsid w:val="005A4AE2"/>
    <w:rsid w:val="005A4AE6"/>
    <w:rsid w:val="005A4C04"/>
    <w:rsid w:val="005A4CBB"/>
    <w:rsid w:val="005A4CE3"/>
    <w:rsid w:val="005A4D23"/>
    <w:rsid w:val="005A4DEA"/>
    <w:rsid w:val="005A4E43"/>
    <w:rsid w:val="005A4F4A"/>
    <w:rsid w:val="005A4FA2"/>
    <w:rsid w:val="005A5035"/>
    <w:rsid w:val="005A5054"/>
    <w:rsid w:val="005A508E"/>
    <w:rsid w:val="005A5095"/>
    <w:rsid w:val="005A5096"/>
    <w:rsid w:val="005A5104"/>
    <w:rsid w:val="005A5195"/>
    <w:rsid w:val="005A524A"/>
    <w:rsid w:val="005A5274"/>
    <w:rsid w:val="005A528E"/>
    <w:rsid w:val="005A52FF"/>
    <w:rsid w:val="005A53E8"/>
    <w:rsid w:val="005A5552"/>
    <w:rsid w:val="005A5576"/>
    <w:rsid w:val="005A55A8"/>
    <w:rsid w:val="005A55D9"/>
    <w:rsid w:val="005A5730"/>
    <w:rsid w:val="005A578B"/>
    <w:rsid w:val="005A593D"/>
    <w:rsid w:val="005A5A19"/>
    <w:rsid w:val="005A5A5A"/>
    <w:rsid w:val="005A5A67"/>
    <w:rsid w:val="005A5AAD"/>
    <w:rsid w:val="005A5B44"/>
    <w:rsid w:val="005A5D5B"/>
    <w:rsid w:val="005A5D94"/>
    <w:rsid w:val="005A5DA3"/>
    <w:rsid w:val="005A5DFB"/>
    <w:rsid w:val="005A5E25"/>
    <w:rsid w:val="005A5ECC"/>
    <w:rsid w:val="005A6082"/>
    <w:rsid w:val="005A60CB"/>
    <w:rsid w:val="005A6107"/>
    <w:rsid w:val="005A6248"/>
    <w:rsid w:val="005A625E"/>
    <w:rsid w:val="005A6269"/>
    <w:rsid w:val="005A628B"/>
    <w:rsid w:val="005A62A2"/>
    <w:rsid w:val="005A62F4"/>
    <w:rsid w:val="005A631C"/>
    <w:rsid w:val="005A634F"/>
    <w:rsid w:val="005A63FA"/>
    <w:rsid w:val="005A6401"/>
    <w:rsid w:val="005A6434"/>
    <w:rsid w:val="005A6437"/>
    <w:rsid w:val="005A64A2"/>
    <w:rsid w:val="005A64C6"/>
    <w:rsid w:val="005A64F7"/>
    <w:rsid w:val="005A6586"/>
    <w:rsid w:val="005A6661"/>
    <w:rsid w:val="005A66B7"/>
    <w:rsid w:val="005A66EF"/>
    <w:rsid w:val="005A6797"/>
    <w:rsid w:val="005A682E"/>
    <w:rsid w:val="005A6856"/>
    <w:rsid w:val="005A686C"/>
    <w:rsid w:val="005A6911"/>
    <w:rsid w:val="005A6B1A"/>
    <w:rsid w:val="005A6B36"/>
    <w:rsid w:val="005A6BC7"/>
    <w:rsid w:val="005A6C33"/>
    <w:rsid w:val="005A6C75"/>
    <w:rsid w:val="005A6E77"/>
    <w:rsid w:val="005A6F0B"/>
    <w:rsid w:val="005A6F50"/>
    <w:rsid w:val="005A6F5B"/>
    <w:rsid w:val="005A6F7F"/>
    <w:rsid w:val="005A7054"/>
    <w:rsid w:val="005A718A"/>
    <w:rsid w:val="005A7238"/>
    <w:rsid w:val="005A723D"/>
    <w:rsid w:val="005A7345"/>
    <w:rsid w:val="005A7364"/>
    <w:rsid w:val="005A73A3"/>
    <w:rsid w:val="005A73AA"/>
    <w:rsid w:val="005A7577"/>
    <w:rsid w:val="005A76E0"/>
    <w:rsid w:val="005A76FA"/>
    <w:rsid w:val="005A779D"/>
    <w:rsid w:val="005A77CB"/>
    <w:rsid w:val="005A780E"/>
    <w:rsid w:val="005A782B"/>
    <w:rsid w:val="005A78AF"/>
    <w:rsid w:val="005A78D7"/>
    <w:rsid w:val="005A79A9"/>
    <w:rsid w:val="005A79D0"/>
    <w:rsid w:val="005A7A4B"/>
    <w:rsid w:val="005A7A82"/>
    <w:rsid w:val="005A7AEE"/>
    <w:rsid w:val="005A7B35"/>
    <w:rsid w:val="005A7BA1"/>
    <w:rsid w:val="005A7BAB"/>
    <w:rsid w:val="005A7BDE"/>
    <w:rsid w:val="005A7BE3"/>
    <w:rsid w:val="005A7C09"/>
    <w:rsid w:val="005A7C0A"/>
    <w:rsid w:val="005A7C3D"/>
    <w:rsid w:val="005A7D0C"/>
    <w:rsid w:val="005A7D86"/>
    <w:rsid w:val="005A7DB7"/>
    <w:rsid w:val="005A7DDF"/>
    <w:rsid w:val="005A7E06"/>
    <w:rsid w:val="005A7EE1"/>
    <w:rsid w:val="005A7F40"/>
    <w:rsid w:val="005A7F43"/>
    <w:rsid w:val="005A7F96"/>
    <w:rsid w:val="005A7F99"/>
    <w:rsid w:val="005A7FC9"/>
    <w:rsid w:val="005B000E"/>
    <w:rsid w:val="005B0177"/>
    <w:rsid w:val="005B01EC"/>
    <w:rsid w:val="005B02A6"/>
    <w:rsid w:val="005B02C9"/>
    <w:rsid w:val="005B02D8"/>
    <w:rsid w:val="005B0402"/>
    <w:rsid w:val="005B04F5"/>
    <w:rsid w:val="005B0556"/>
    <w:rsid w:val="005B0593"/>
    <w:rsid w:val="005B05DA"/>
    <w:rsid w:val="005B05DD"/>
    <w:rsid w:val="005B0692"/>
    <w:rsid w:val="005B069D"/>
    <w:rsid w:val="005B06AB"/>
    <w:rsid w:val="005B070C"/>
    <w:rsid w:val="005B071D"/>
    <w:rsid w:val="005B087B"/>
    <w:rsid w:val="005B09A1"/>
    <w:rsid w:val="005B0BB1"/>
    <w:rsid w:val="005B0BEE"/>
    <w:rsid w:val="005B0C9B"/>
    <w:rsid w:val="005B0DDB"/>
    <w:rsid w:val="005B0E19"/>
    <w:rsid w:val="005B0E88"/>
    <w:rsid w:val="005B0E9F"/>
    <w:rsid w:val="005B0EA2"/>
    <w:rsid w:val="005B0F6F"/>
    <w:rsid w:val="005B1096"/>
    <w:rsid w:val="005B1101"/>
    <w:rsid w:val="005B1143"/>
    <w:rsid w:val="005B1197"/>
    <w:rsid w:val="005B119A"/>
    <w:rsid w:val="005B11AF"/>
    <w:rsid w:val="005B11BD"/>
    <w:rsid w:val="005B11C8"/>
    <w:rsid w:val="005B12DA"/>
    <w:rsid w:val="005B1328"/>
    <w:rsid w:val="005B1381"/>
    <w:rsid w:val="005B144C"/>
    <w:rsid w:val="005B146B"/>
    <w:rsid w:val="005B1509"/>
    <w:rsid w:val="005B15C1"/>
    <w:rsid w:val="005B1661"/>
    <w:rsid w:val="005B1787"/>
    <w:rsid w:val="005B188B"/>
    <w:rsid w:val="005B1A3E"/>
    <w:rsid w:val="005B1A94"/>
    <w:rsid w:val="005B1CB8"/>
    <w:rsid w:val="005B1D1C"/>
    <w:rsid w:val="005B1D6D"/>
    <w:rsid w:val="005B1DE3"/>
    <w:rsid w:val="005B1E0E"/>
    <w:rsid w:val="005B1F8A"/>
    <w:rsid w:val="005B2026"/>
    <w:rsid w:val="005B207D"/>
    <w:rsid w:val="005B20EE"/>
    <w:rsid w:val="005B2188"/>
    <w:rsid w:val="005B21CF"/>
    <w:rsid w:val="005B2201"/>
    <w:rsid w:val="005B229E"/>
    <w:rsid w:val="005B2333"/>
    <w:rsid w:val="005B24AE"/>
    <w:rsid w:val="005B24B5"/>
    <w:rsid w:val="005B2533"/>
    <w:rsid w:val="005B2535"/>
    <w:rsid w:val="005B255C"/>
    <w:rsid w:val="005B259A"/>
    <w:rsid w:val="005B2604"/>
    <w:rsid w:val="005B261D"/>
    <w:rsid w:val="005B261E"/>
    <w:rsid w:val="005B26AB"/>
    <w:rsid w:val="005B278A"/>
    <w:rsid w:val="005B2869"/>
    <w:rsid w:val="005B28C7"/>
    <w:rsid w:val="005B29B0"/>
    <w:rsid w:val="005B2A0A"/>
    <w:rsid w:val="005B2AFD"/>
    <w:rsid w:val="005B2B3A"/>
    <w:rsid w:val="005B2E98"/>
    <w:rsid w:val="005B2EB5"/>
    <w:rsid w:val="005B2F5A"/>
    <w:rsid w:val="005B2FA4"/>
    <w:rsid w:val="005B2FD9"/>
    <w:rsid w:val="005B311E"/>
    <w:rsid w:val="005B3157"/>
    <w:rsid w:val="005B321D"/>
    <w:rsid w:val="005B32E9"/>
    <w:rsid w:val="005B33A7"/>
    <w:rsid w:val="005B33EA"/>
    <w:rsid w:val="005B3417"/>
    <w:rsid w:val="005B367C"/>
    <w:rsid w:val="005B36A7"/>
    <w:rsid w:val="005B36E6"/>
    <w:rsid w:val="005B3765"/>
    <w:rsid w:val="005B378D"/>
    <w:rsid w:val="005B37DB"/>
    <w:rsid w:val="005B3885"/>
    <w:rsid w:val="005B3927"/>
    <w:rsid w:val="005B39E2"/>
    <w:rsid w:val="005B3A15"/>
    <w:rsid w:val="005B3AB6"/>
    <w:rsid w:val="005B3AEF"/>
    <w:rsid w:val="005B3B33"/>
    <w:rsid w:val="005B3CD5"/>
    <w:rsid w:val="005B3D20"/>
    <w:rsid w:val="005B3D93"/>
    <w:rsid w:val="005B3DA7"/>
    <w:rsid w:val="005B3DB6"/>
    <w:rsid w:val="005B3DFE"/>
    <w:rsid w:val="005B3E1E"/>
    <w:rsid w:val="005B3F3B"/>
    <w:rsid w:val="005B3F52"/>
    <w:rsid w:val="005B3FA7"/>
    <w:rsid w:val="005B410C"/>
    <w:rsid w:val="005B413D"/>
    <w:rsid w:val="005B419F"/>
    <w:rsid w:val="005B420F"/>
    <w:rsid w:val="005B42E2"/>
    <w:rsid w:val="005B42FD"/>
    <w:rsid w:val="005B4341"/>
    <w:rsid w:val="005B4447"/>
    <w:rsid w:val="005B44B2"/>
    <w:rsid w:val="005B44BF"/>
    <w:rsid w:val="005B4509"/>
    <w:rsid w:val="005B4533"/>
    <w:rsid w:val="005B45B4"/>
    <w:rsid w:val="005B4713"/>
    <w:rsid w:val="005B477A"/>
    <w:rsid w:val="005B47F0"/>
    <w:rsid w:val="005B4809"/>
    <w:rsid w:val="005B483A"/>
    <w:rsid w:val="005B488C"/>
    <w:rsid w:val="005B48A4"/>
    <w:rsid w:val="005B48D0"/>
    <w:rsid w:val="005B48E9"/>
    <w:rsid w:val="005B499D"/>
    <w:rsid w:val="005B49EB"/>
    <w:rsid w:val="005B4AAC"/>
    <w:rsid w:val="005B4AC5"/>
    <w:rsid w:val="005B4AF1"/>
    <w:rsid w:val="005B4B20"/>
    <w:rsid w:val="005B4BFD"/>
    <w:rsid w:val="005B4C00"/>
    <w:rsid w:val="005B4C41"/>
    <w:rsid w:val="005B4C44"/>
    <w:rsid w:val="005B4C45"/>
    <w:rsid w:val="005B4C5B"/>
    <w:rsid w:val="005B4CC9"/>
    <w:rsid w:val="005B4D29"/>
    <w:rsid w:val="005B4D93"/>
    <w:rsid w:val="005B4E95"/>
    <w:rsid w:val="005B4E9E"/>
    <w:rsid w:val="005B4EB3"/>
    <w:rsid w:val="005B4F66"/>
    <w:rsid w:val="005B4FA1"/>
    <w:rsid w:val="005B4FAA"/>
    <w:rsid w:val="005B5068"/>
    <w:rsid w:val="005B50B1"/>
    <w:rsid w:val="005B5118"/>
    <w:rsid w:val="005B51CB"/>
    <w:rsid w:val="005B5388"/>
    <w:rsid w:val="005B552C"/>
    <w:rsid w:val="005B55C6"/>
    <w:rsid w:val="005B5607"/>
    <w:rsid w:val="005B569E"/>
    <w:rsid w:val="005B5719"/>
    <w:rsid w:val="005B5765"/>
    <w:rsid w:val="005B576A"/>
    <w:rsid w:val="005B582E"/>
    <w:rsid w:val="005B599D"/>
    <w:rsid w:val="005B59D7"/>
    <w:rsid w:val="005B5A29"/>
    <w:rsid w:val="005B5A4C"/>
    <w:rsid w:val="005B5AFF"/>
    <w:rsid w:val="005B5B27"/>
    <w:rsid w:val="005B5B90"/>
    <w:rsid w:val="005B5B92"/>
    <w:rsid w:val="005B5B9F"/>
    <w:rsid w:val="005B5C22"/>
    <w:rsid w:val="005B5D26"/>
    <w:rsid w:val="005B5D49"/>
    <w:rsid w:val="005B5DF5"/>
    <w:rsid w:val="005B5E31"/>
    <w:rsid w:val="005B5EDA"/>
    <w:rsid w:val="005B5FD9"/>
    <w:rsid w:val="005B60FA"/>
    <w:rsid w:val="005B6157"/>
    <w:rsid w:val="005B618C"/>
    <w:rsid w:val="005B61CD"/>
    <w:rsid w:val="005B621D"/>
    <w:rsid w:val="005B6435"/>
    <w:rsid w:val="005B64C6"/>
    <w:rsid w:val="005B6551"/>
    <w:rsid w:val="005B6555"/>
    <w:rsid w:val="005B6560"/>
    <w:rsid w:val="005B659E"/>
    <w:rsid w:val="005B65CA"/>
    <w:rsid w:val="005B6606"/>
    <w:rsid w:val="005B668E"/>
    <w:rsid w:val="005B66E7"/>
    <w:rsid w:val="005B66F1"/>
    <w:rsid w:val="005B6714"/>
    <w:rsid w:val="005B67D2"/>
    <w:rsid w:val="005B681F"/>
    <w:rsid w:val="005B68D8"/>
    <w:rsid w:val="005B6B67"/>
    <w:rsid w:val="005B6B8A"/>
    <w:rsid w:val="005B6B9C"/>
    <w:rsid w:val="005B6BA3"/>
    <w:rsid w:val="005B6BD7"/>
    <w:rsid w:val="005B6C32"/>
    <w:rsid w:val="005B6CCD"/>
    <w:rsid w:val="005B6CEB"/>
    <w:rsid w:val="005B6CF6"/>
    <w:rsid w:val="005B6DF2"/>
    <w:rsid w:val="005B6DF5"/>
    <w:rsid w:val="005B6EF5"/>
    <w:rsid w:val="005B6F44"/>
    <w:rsid w:val="005B6F4D"/>
    <w:rsid w:val="005B6F58"/>
    <w:rsid w:val="005B6F70"/>
    <w:rsid w:val="005B6FF3"/>
    <w:rsid w:val="005B7021"/>
    <w:rsid w:val="005B7025"/>
    <w:rsid w:val="005B706E"/>
    <w:rsid w:val="005B70E5"/>
    <w:rsid w:val="005B71A3"/>
    <w:rsid w:val="005B71D9"/>
    <w:rsid w:val="005B7229"/>
    <w:rsid w:val="005B731F"/>
    <w:rsid w:val="005B73C4"/>
    <w:rsid w:val="005B73E9"/>
    <w:rsid w:val="005B7467"/>
    <w:rsid w:val="005B759F"/>
    <w:rsid w:val="005B75B5"/>
    <w:rsid w:val="005B75C3"/>
    <w:rsid w:val="005B76EF"/>
    <w:rsid w:val="005B770A"/>
    <w:rsid w:val="005B7725"/>
    <w:rsid w:val="005B778A"/>
    <w:rsid w:val="005B7A22"/>
    <w:rsid w:val="005B7A4C"/>
    <w:rsid w:val="005B7A50"/>
    <w:rsid w:val="005B7B54"/>
    <w:rsid w:val="005B7B78"/>
    <w:rsid w:val="005B7D4E"/>
    <w:rsid w:val="005B7DDA"/>
    <w:rsid w:val="005B7E08"/>
    <w:rsid w:val="005B7E10"/>
    <w:rsid w:val="005B7E41"/>
    <w:rsid w:val="005C0024"/>
    <w:rsid w:val="005C0050"/>
    <w:rsid w:val="005C0067"/>
    <w:rsid w:val="005C007C"/>
    <w:rsid w:val="005C0128"/>
    <w:rsid w:val="005C0148"/>
    <w:rsid w:val="005C0320"/>
    <w:rsid w:val="005C0370"/>
    <w:rsid w:val="005C0478"/>
    <w:rsid w:val="005C0497"/>
    <w:rsid w:val="005C05C7"/>
    <w:rsid w:val="005C05E9"/>
    <w:rsid w:val="005C0653"/>
    <w:rsid w:val="005C0746"/>
    <w:rsid w:val="005C07E7"/>
    <w:rsid w:val="005C083D"/>
    <w:rsid w:val="005C0893"/>
    <w:rsid w:val="005C089A"/>
    <w:rsid w:val="005C08A8"/>
    <w:rsid w:val="005C08EE"/>
    <w:rsid w:val="005C0996"/>
    <w:rsid w:val="005C09ED"/>
    <w:rsid w:val="005C0A0B"/>
    <w:rsid w:val="005C0B37"/>
    <w:rsid w:val="005C0C4F"/>
    <w:rsid w:val="005C0C50"/>
    <w:rsid w:val="005C0C5A"/>
    <w:rsid w:val="005C0C7D"/>
    <w:rsid w:val="005C0D51"/>
    <w:rsid w:val="005C0D7B"/>
    <w:rsid w:val="005C0DED"/>
    <w:rsid w:val="005C0E20"/>
    <w:rsid w:val="005C0E47"/>
    <w:rsid w:val="005C0E9D"/>
    <w:rsid w:val="005C0F6D"/>
    <w:rsid w:val="005C10F2"/>
    <w:rsid w:val="005C1113"/>
    <w:rsid w:val="005C1155"/>
    <w:rsid w:val="005C116B"/>
    <w:rsid w:val="005C1171"/>
    <w:rsid w:val="005C127D"/>
    <w:rsid w:val="005C129A"/>
    <w:rsid w:val="005C12A4"/>
    <w:rsid w:val="005C12F8"/>
    <w:rsid w:val="005C1300"/>
    <w:rsid w:val="005C137C"/>
    <w:rsid w:val="005C13BF"/>
    <w:rsid w:val="005C13F4"/>
    <w:rsid w:val="005C148E"/>
    <w:rsid w:val="005C14AD"/>
    <w:rsid w:val="005C1508"/>
    <w:rsid w:val="005C155A"/>
    <w:rsid w:val="005C1648"/>
    <w:rsid w:val="005C16FB"/>
    <w:rsid w:val="005C17A9"/>
    <w:rsid w:val="005C17BA"/>
    <w:rsid w:val="005C1956"/>
    <w:rsid w:val="005C1974"/>
    <w:rsid w:val="005C1976"/>
    <w:rsid w:val="005C199E"/>
    <w:rsid w:val="005C19DD"/>
    <w:rsid w:val="005C19FB"/>
    <w:rsid w:val="005C1A08"/>
    <w:rsid w:val="005C1A12"/>
    <w:rsid w:val="005C1A28"/>
    <w:rsid w:val="005C1A3A"/>
    <w:rsid w:val="005C1A7B"/>
    <w:rsid w:val="005C1A8E"/>
    <w:rsid w:val="005C1B3D"/>
    <w:rsid w:val="005C1C50"/>
    <w:rsid w:val="005C1C5E"/>
    <w:rsid w:val="005C1F4F"/>
    <w:rsid w:val="005C1F76"/>
    <w:rsid w:val="005C1FFA"/>
    <w:rsid w:val="005C2064"/>
    <w:rsid w:val="005C207F"/>
    <w:rsid w:val="005C212B"/>
    <w:rsid w:val="005C214A"/>
    <w:rsid w:val="005C217D"/>
    <w:rsid w:val="005C21CC"/>
    <w:rsid w:val="005C2278"/>
    <w:rsid w:val="005C228B"/>
    <w:rsid w:val="005C22B3"/>
    <w:rsid w:val="005C23E5"/>
    <w:rsid w:val="005C244F"/>
    <w:rsid w:val="005C2455"/>
    <w:rsid w:val="005C2466"/>
    <w:rsid w:val="005C2497"/>
    <w:rsid w:val="005C2499"/>
    <w:rsid w:val="005C249D"/>
    <w:rsid w:val="005C24D4"/>
    <w:rsid w:val="005C24D7"/>
    <w:rsid w:val="005C2521"/>
    <w:rsid w:val="005C2527"/>
    <w:rsid w:val="005C2607"/>
    <w:rsid w:val="005C2621"/>
    <w:rsid w:val="005C26CA"/>
    <w:rsid w:val="005C26E8"/>
    <w:rsid w:val="005C2714"/>
    <w:rsid w:val="005C275F"/>
    <w:rsid w:val="005C2786"/>
    <w:rsid w:val="005C278F"/>
    <w:rsid w:val="005C27EA"/>
    <w:rsid w:val="005C280B"/>
    <w:rsid w:val="005C2817"/>
    <w:rsid w:val="005C290E"/>
    <w:rsid w:val="005C29C8"/>
    <w:rsid w:val="005C2A79"/>
    <w:rsid w:val="005C2B4F"/>
    <w:rsid w:val="005C2B84"/>
    <w:rsid w:val="005C2B86"/>
    <w:rsid w:val="005C2C3F"/>
    <w:rsid w:val="005C2C90"/>
    <w:rsid w:val="005C2CA2"/>
    <w:rsid w:val="005C2D23"/>
    <w:rsid w:val="005C2D4D"/>
    <w:rsid w:val="005C2F87"/>
    <w:rsid w:val="005C2FC5"/>
    <w:rsid w:val="005C30B6"/>
    <w:rsid w:val="005C30D4"/>
    <w:rsid w:val="005C3102"/>
    <w:rsid w:val="005C3140"/>
    <w:rsid w:val="005C31C1"/>
    <w:rsid w:val="005C32C8"/>
    <w:rsid w:val="005C32EB"/>
    <w:rsid w:val="005C3424"/>
    <w:rsid w:val="005C3557"/>
    <w:rsid w:val="005C356D"/>
    <w:rsid w:val="005C35A8"/>
    <w:rsid w:val="005C365C"/>
    <w:rsid w:val="005C3686"/>
    <w:rsid w:val="005C37F2"/>
    <w:rsid w:val="005C3800"/>
    <w:rsid w:val="005C3815"/>
    <w:rsid w:val="005C388F"/>
    <w:rsid w:val="005C394D"/>
    <w:rsid w:val="005C39CB"/>
    <w:rsid w:val="005C39DF"/>
    <w:rsid w:val="005C3B0C"/>
    <w:rsid w:val="005C3B28"/>
    <w:rsid w:val="005C3B32"/>
    <w:rsid w:val="005C3BA3"/>
    <w:rsid w:val="005C3BFC"/>
    <w:rsid w:val="005C3C18"/>
    <w:rsid w:val="005C3C8D"/>
    <w:rsid w:val="005C3C97"/>
    <w:rsid w:val="005C3D22"/>
    <w:rsid w:val="005C3D2D"/>
    <w:rsid w:val="005C3D37"/>
    <w:rsid w:val="005C3D3D"/>
    <w:rsid w:val="005C3D6A"/>
    <w:rsid w:val="005C3E4B"/>
    <w:rsid w:val="005C3F2F"/>
    <w:rsid w:val="005C40A2"/>
    <w:rsid w:val="005C40DC"/>
    <w:rsid w:val="005C410C"/>
    <w:rsid w:val="005C423E"/>
    <w:rsid w:val="005C425D"/>
    <w:rsid w:val="005C42C1"/>
    <w:rsid w:val="005C42E9"/>
    <w:rsid w:val="005C42F0"/>
    <w:rsid w:val="005C4383"/>
    <w:rsid w:val="005C4394"/>
    <w:rsid w:val="005C43B6"/>
    <w:rsid w:val="005C453B"/>
    <w:rsid w:val="005C4589"/>
    <w:rsid w:val="005C45F3"/>
    <w:rsid w:val="005C462B"/>
    <w:rsid w:val="005C4636"/>
    <w:rsid w:val="005C46AE"/>
    <w:rsid w:val="005C46D3"/>
    <w:rsid w:val="005C4769"/>
    <w:rsid w:val="005C479E"/>
    <w:rsid w:val="005C47A6"/>
    <w:rsid w:val="005C47CB"/>
    <w:rsid w:val="005C47DB"/>
    <w:rsid w:val="005C47F2"/>
    <w:rsid w:val="005C4808"/>
    <w:rsid w:val="005C4841"/>
    <w:rsid w:val="005C48D9"/>
    <w:rsid w:val="005C494C"/>
    <w:rsid w:val="005C49AC"/>
    <w:rsid w:val="005C4A17"/>
    <w:rsid w:val="005C4A94"/>
    <w:rsid w:val="005C4B08"/>
    <w:rsid w:val="005C4BA7"/>
    <w:rsid w:val="005C4BDF"/>
    <w:rsid w:val="005C4BEE"/>
    <w:rsid w:val="005C4C17"/>
    <w:rsid w:val="005C4C34"/>
    <w:rsid w:val="005C4D0A"/>
    <w:rsid w:val="005C4D54"/>
    <w:rsid w:val="005C4F80"/>
    <w:rsid w:val="005C4FD5"/>
    <w:rsid w:val="005C4FE1"/>
    <w:rsid w:val="005C4FFD"/>
    <w:rsid w:val="005C5040"/>
    <w:rsid w:val="005C51A3"/>
    <w:rsid w:val="005C51C2"/>
    <w:rsid w:val="005C51E9"/>
    <w:rsid w:val="005C524E"/>
    <w:rsid w:val="005C54EF"/>
    <w:rsid w:val="005C552C"/>
    <w:rsid w:val="005C55AC"/>
    <w:rsid w:val="005C55F2"/>
    <w:rsid w:val="005C568F"/>
    <w:rsid w:val="005C587C"/>
    <w:rsid w:val="005C58B0"/>
    <w:rsid w:val="005C59AE"/>
    <w:rsid w:val="005C59FA"/>
    <w:rsid w:val="005C5B2B"/>
    <w:rsid w:val="005C5B2D"/>
    <w:rsid w:val="005C5B5D"/>
    <w:rsid w:val="005C5B9F"/>
    <w:rsid w:val="005C5C03"/>
    <w:rsid w:val="005C5C39"/>
    <w:rsid w:val="005C5D71"/>
    <w:rsid w:val="005C5DDD"/>
    <w:rsid w:val="005C5E89"/>
    <w:rsid w:val="005C5FEE"/>
    <w:rsid w:val="005C6053"/>
    <w:rsid w:val="005C611F"/>
    <w:rsid w:val="005C615A"/>
    <w:rsid w:val="005C628C"/>
    <w:rsid w:val="005C62C0"/>
    <w:rsid w:val="005C635B"/>
    <w:rsid w:val="005C63A7"/>
    <w:rsid w:val="005C63C5"/>
    <w:rsid w:val="005C641E"/>
    <w:rsid w:val="005C6490"/>
    <w:rsid w:val="005C64BC"/>
    <w:rsid w:val="005C6521"/>
    <w:rsid w:val="005C6547"/>
    <w:rsid w:val="005C6561"/>
    <w:rsid w:val="005C6573"/>
    <w:rsid w:val="005C6588"/>
    <w:rsid w:val="005C65DD"/>
    <w:rsid w:val="005C6663"/>
    <w:rsid w:val="005C66B5"/>
    <w:rsid w:val="005C68C2"/>
    <w:rsid w:val="005C6946"/>
    <w:rsid w:val="005C6971"/>
    <w:rsid w:val="005C6A00"/>
    <w:rsid w:val="005C6B03"/>
    <w:rsid w:val="005C6B6E"/>
    <w:rsid w:val="005C6C94"/>
    <w:rsid w:val="005C6CA6"/>
    <w:rsid w:val="005C6D2D"/>
    <w:rsid w:val="005C6D91"/>
    <w:rsid w:val="005C6E4A"/>
    <w:rsid w:val="005C6E78"/>
    <w:rsid w:val="005C6E97"/>
    <w:rsid w:val="005C6EB9"/>
    <w:rsid w:val="005C6EDD"/>
    <w:rsid w:val="005C6EF2"/>
    <w:rsid w:val="005C6F19"/>
    <w:rsid w:val="005C6F58"/>
    <w:rsid w:val="005C6F8C"/>
    <w:rsid w:val="005C700D"/>
    <w:rsid w:val="005C7095"/>
    <w:rsid w:val="005C70E4"/>
    <w:rsid w:val="005C719F"/>
    <w:rsid w:val="005C7333"/>
    <w:rsid w:val="005C7363"/>
    <w:rsid w:val="005C7364"/>
    <w:rsid w:val="005C738B"/>
    <w:rsid w:val="005C7446"/>
    <w:rsid w:val="005C751A"/>
    <w:rsid w:val="005C758E"/>
    <w:rsid w:val="005C759F"/>
    <w:rsid w:val="005C75B4"/>
    <w:rsid w:val="005C7650"/>
    <w:rsid w:val="005C7680"/>
    <w:rsid w:val="005C7689"/>
    <w:rsid w:val="005C76EF"/>
    <w:rsid w:val="005C7801"/>
    <w:rsid w:val="005C78A5"/>
    <w:rsid w:val="005C797E"/>
    <w:rsid w:val="005C79A1"/>
    <w:rsid w:val="005C7A51"/>
    <w:rsid w:val="005C7AAA"/>
    <w:rsid w:val="005C7B2E"/>
    <w:rsid w:val="005C7B55"/>
    <w:rsid w:val="005C7BA5"/>
    <w:rsid w:val="005C7BC9"/>
    <w:rsid w:val="005C7C9A"/>
    <w:rsid w:val="005C7D42"/>
    <w:rsid w:val="005C7D73"/>
    <w:rsid w:val="005C7D92"/>
    <w:rsid w:val="005C7DA0"/>
    <w:rsid w:val="005C7DA2"/>
    <w:rsid w:val="005C7E14"/>
    <w:rsid w:val="005C7E28"/>
    <w:rsid w:val="005C7E6C"/>
    <w:rsid w:val="005C7F02"/>
    <w:rsid w:val="005C7F47"/>
    <w:rsid w:val="005C7F4D"/>
    <w:rsid w:val="005C7F6B"/>
    <w:rsid w:val="005C7F84"/>
    <w:rsid w:val="005C7F9E"/>
    <w:rsid w:val="005C7FC8"/>
    <w:rsid w:val="005C7FD2"/>
    <w:rsid w:val="005C7FEF"/>
    <w:rsid w:val="005D0034"/>
    <w:rsid w:val="005D0086"/>
    <w:rsid w:val="005D00B9"/>
    <w:rsid w:val="005D00D1"/>
    <w:rsid w:val="005D0114"/>
    <w:rsid w:val="005D021B"/>
    <w:rsid w:val="005D0242"/>
    <w:rsid w:val="005D028E"/>
    <w:rsid w:val="005D0293"/>
    <w:rsid w:val="005D02A5"/>
    <w:rsid w:val="005D02CA"/>
    <w:rsid w:val="005D02D8"/>
    <w:rsid w:val="005D033D"/>
    <w:rsid w:val="005D0393"/>
    <w:rsid w:val="005D03FF"/>
    <w:rsid w:val="005D0402"/>
    <w:rsid w:val="005D0567"/>
    <w:rsid w:val="005D05B2"/>
    <w:rsid w:val="005D062B"/>
    <w:rsid w:val="005D0632"/>
    <w:rsid w:val="005D06CE"/>
    <w:rsid w:val="005D0786"/>
    <w:rsid w:val="005D07A5"/>
    <w:rsid w:val="005D07D3"/>
    <w:rsid w:val="005D085F"/>
    <w:rsid w:val="005D08B1"/>
    <w:rsid w:val="005D08B4"/>
    <w:rsid w:val="005D093B"/>
    <w:rsid w:val="005D0BB5"/>
    <w:rsid w:val="005D0C13"/>
    <w:rsid w:val="005D0CA3"/>
    <w:rsid w:val="005D0CEB"/>
    <w:rsid w:val="005D0D12"/>
    <w:rsid w:val="005D0DA4"/>
    <w:rsid w:val="005D0DAD"/>
    <w:rsid w:val="005D0DB7"/>
    <w:rsid w:val="005D0DCE"/>
    <w:rsid w:val="005D0DE7"/>
    <w:rsid w:val="005D0DF0"/>
    <w:rsid w:val="005D0E1F"/>
    <w:rsid w:val="005D0E84"/>
    <w:rsid w:val="005D0EA4"/>
    <w:rsid w:val="005D0F14"/>
    <w:rsid w:val="005D0F8C"/>
    <w:rsid w:val="005D0FC9"/>
    <w:rsid w:val="005D0FE2"/>
    <w:rsid w:val="005D1013"/>
    <w:rsid w:val="005D102F"/>
    <w:rsid w:val="005D1113"/>
    <w:rsid w:val="005D1158"/>
    <w:rsid w:val="005D116C"/>
    <w:rsid w:val="005D118A"/>
    <w:rsid w:val="005D11A1"/>
    <w:rsid w:val="005D11A2"/>
    <w:rsid w:val="005D12AE"/>
    <w:rsid w:val="005D12EB"/>
    <w:rsid w:val="005D1315"/>
    <w:rsid w:val="005D1330"/>
    <w:rsid w:val="005D135C"/>
    <w:rsid w:val="005D1447"/>
    <w:rsid w:val="005D1460"/>
    <w:rsid w:val="005D151E"/>
    <w:rsid w:val="005D154C"/>
    <w:rsid w:val="005D15C5"/>
    <w:rsid w:val="005D165F"/>
    <w:rsid w:val="005D16B8"/>
    <w:rsid w:val="005D16CD"/>
    <w:rsid w:val="005D16FD"/>
    <w:rsid w:val="005D175A"/>
    <w:rsid w:val="005D1801"/>
    <w:rsid w:val="005D1803"/>
    <w:rsid w:val="005D180B"/>
    <w:rsid w:val="005D191E"/>
    <w:rsid w:val="005D199C"/>
    <w:rsid w:val="005D1A1C"/>
    <w:rsid w:val="005D1A65"/>
    <w:rsid w:val="005D1A6D"/>
    <w:rsid w:val="005D1A9B"/>
    <w:rsid w:val="005D1B44"/>
    <w:rsid w:val="005D1BC6"/>
    <w:rsid w:val="005D1C6D"/>
    <w:rsid w:val="005D1CB9"/>
    <w:rsid w:val="005D1D5E"/>
    <w:rsid w:val="005D1DB2"/>
    <w:rsid w:val="005D1DD8"/>
    <w:rsid w:val="005D1DF1"/>
    <w:rsid w:val="005D1E19"/>
    <w:rsid w:val="005D1E26"/>
    <w:rsid w:val="005D1ED9"/>
    <w:rsid w:val="005D1F92"/>
    <w:rsid w:val="005D1FC1"/>
    <w:rsid w:val="005D1FC8"/>
    <w:rsid w:val="005D2024"/>
    <w:rsid w:val="005D204B"/>
    <w:rsid w:val="005D2143"/>
    <w:rsid w:val="005D2169"/>
    <w:rsid w:val="005D2191"/>
    <w:rsid w:val="005D223A"/>
    <w:rsid w:val="005D224C"/>
    <w:rsid w:val="005D228E"/>
    <w:rsid w:val="005D23BB"/>
    <w:rsid w:val="005D2499"/>
    <w:rsid w:val="005D2595"/>
    <w:rsid w:val="005D25D1"/>
    <w:rsid w:val="005D2614"/>
    <w:rsid w:val="005D26AA"/>
    <w:rsid w:val="005D283D"/>
    <w:rsid w:val="005D2899"/>
    <w:rsid w:val="005D28CB"/>
    <w:rsid w:val="005D290D"/>
    <w:rsid w:val="005D2923"/>
    <w:rsid w:val="005D2963"/>
    <w:rsid w:val="005D2985"/>
    <w:rsid w:val="005D2A74"/>
    <w:rsid w:val="005D2A8C"/>
    <w:rsid w:val="005D2C33"/>
    <w:rsid w:val="005D2CBE"/>
    <w:rsid w:val="005D2D40"/>
    <w:rsid w:val="005D2DDE"/>
    <w:rsid w:val="005D2DFA"/>
    <w:rsid w:val="005D2EC1"/>
    <w:rsid w:val="005D3107"/>
    <w:rsid w:val="005D312C"/>
    <w:rsid w:val="005D31FD"/>
    <w:rsid w:val="005D3321"/>
    <w:rsid w:val="005D33CF"/>
    <w:rsid w:val="005D33D5"/>
    <w:rsid w:val="005D34C8"/>
    <w:rsid w:val="005D3535"/>
    <w:rsid w:val="005D358A"/>
    <w:rsid w:val="005D35A5"/>
    <w:rsid w:val="005D35E0"/>
    <w:rsid w:val="005D36DE"/>
    <w:rsid w:val="005D370C"/>
    <w:rsid w:val="005D37BC"/>
    <w:rsid w:val="005D3865"/>
    <w:rsid w:val="005D3969"/>
    <w:rsid w:val="005D397D"/>
    <w:rsid w:val="005D3BD4"/>
    <w:rsid w:val="005D3C33"/>
    <w:rsid w:val="005D3C5E"/>
    <w:rsid w:val="005D3CF7"/>
    <w:rsid w:val="005D3E42"/>
    <w:rsid w:val="005D3E5E"/>
    <w:rsid w:val="005D3E6F"/>
    <w:rsid w:val="005D3E93"/>
    <w:rsid w:val="005D3ECB"/>
    <w:rsid w:val="005D3F75"/>
    <w:rsid w:val="005D4028"/>
    <w:rsid w:val="005D407A"/>
    <w:rsid w:val="005D413E"/>
    <w:rsid w:val="005D41CC"/>
    <w:rsid w:val="005D41FB"/>
    <w:rsid w:val="005D44A3"/>
    <w:rsid w:val="005D46B1"/>
    <w:rsid w:val="005D4729"/>
    <w:rsid w:val="005D483B"/>
    <w:rsid w:val="005D489C"/>
    <w:rsid w:val="005D48AB"/>
    <w:rsid w:val="005D48EA"/>
    <w:rsid w:val="005D49EC"/>
    <w:rsid w:val="005D4A4A"/>
    <w:rsid w:val="005D4BF9"/>
    <w:rsid w:val="005D4CBB"/>
    <w:rsid w:val="005D4D31"/>
    <w:rsid w:val="005D4E78"/>
    <w:rsid w:val="005D5060"/>
    <w:rsid w:val="005D5072"/>
    <w:rsid w:val="005D5191"/>
    <w:rsid w:val="005D51EA"/>
    <w:rsid w:val="005D5200"/>
    <w:rsid w:val="005D536E"/>
    <w:rsid w:val="005D547E"/>
    <w:rsid w:val="005D5566"/>
    <w:rsid w:val="005D56AA"/>
    <w:rsid w:val="005D56E0"/>
    <w:rsid w:val="005D56FC"/>
    <w:rsid w:val="005D57EB"/>
    <w:rsid w:val="005D5829"/>
    <w:rsid w:val="005D5861"/>
    <w:rsid w:val="005D587B"/>
    <w:rsid w:val="005D58BA"/>
    <w:rsid w:val="005D59A7"/>
    <w:rsid w:val="005D5A2F"/>
    <w:rsid w:val="005D5B82"/>
    <w:rsid w:val="005D5C3B"/>
    <w:rsid w:val="005D5CCE"/>
    <w:rsid w:val="005D5E2B"/>
    <w:rsid w:val="005D5ECA"/>
    <w:rsid w:val="005D5F2F"/>
    <w:rsid w:val="005D5FB6"/>
    <w:rsid w:val="005D5FDF"/>
    <w:rsid w:val="005D615A"/>
    <w:rsid w:val="005D6260"/>
    <w:rsid w:val="005D6290"/>
    <w:rsid w:val="005D62E2"/>
    <w:rsid w:val="005D634D"/>
    <w:rsid w:val="005D63A8"/>
    <w:rsid w:val="005D63CF"/>
    <w:rsid w:val="005D63F2"/>
    <w:rsid w:val="005D6417"/>
    <w:rsid w:val="005D646B"/>
    <w:rsid w:val="005D64B4"/>
    <w:rsid w:val="005D6565"/>
    <w:rsid w:val="005D65B2"/>
    <w:rsid w:val="005D65CD"/>
    <w:rsid w:val="005D6626"/>
    <w:rsid w:val="005D66DE"/>
    <w:rsid w:val="005D66E6"/>
    <w:rsid w:val="005D66F9"/>
    <w:rsid w:val="005D671E"/>
    <w:rsid w:val="005D67C8"/>
    <w:rsid w:val="005D684E"/>
    <w:rsid w:val="005D6982"/>
    <w:rsid w:val="005D6A30"/>
    <w:rsid w:val="005D6BBB"/>
    <w:rsid w:val="005D6C86"/>
    <w:rsid w:val="005D6C87"/>
    <w:rsid w:val="005D6D92"/>
    <w:rsid w:val="005D6F08"/>
    <w:rsid w:val="005D6F4D"/>
    <w:rsid w:val="005D7063"/>
    <w:rsid w:val="005D7074"/>
    <w:rsid w:val="005D70A6"/>
    <w:rsid w:val="005D70C7"/>
    <w:rsid w:val="005D72F9"/>
    <w:rsid w:val="005D732C"/>
    <w:rsid w:val="005D7473"/>
    <w:rsid w:val="005D74B2"/>
    <w:rsid w:val="005D74FD"/>
    <w:rsid w:val="005D7532"/>
    <w:rsid w:val="005D763A"/>
    <w:rsid w:val="005D7693"/>
    <w:rsid w:val="005D76B3"/>
    <w:rsid w:val="005D773C"/>
    <w:rsid w:val="005D773F"/>
    <w:rsid w:val="005D774D"/>
    <w:rsid w:val="005D777F"/>
    <w:rsid w:val="005D7784"/>
    <w:rsid w:val="005D7812"/>
    <w:rsid w:val="005D783E"/>
    <w:rsid w:val="005D7882"/>
    <w:rsid w:val="005D78E7"/>
    <w:rsid w:val="005D793E"/>
    <w:rsid w:val="005D7947"/>
    <w:rsid w:val="005D7A6B"/>
    <w:rsid w:val="005D7AEF"/>
    <w:rsid w:val="005D7B1F"/>
    <w:rsid w:val="005D7B44"/>
    <w:rsid w:val="005D7B53"/>
    <w:rsid w:val="005D7B86"/>
    <w:rsid w:val="005D7D22"/>
    <w:rsid w:val="005D7E58"/>
    <w:rsid w:val="005D7EA1"/>
    <w:rsid w:val="005D7EF4"/>
    <w:rsid w:val="005D7F02"/>
    <w:rsid w:val="005D7FF7"/>
    <w:rsid w:val="005E0006"/>
    <w:rsid w:val="005E0107"/>
    <w:rsid w:val="005E0282"/>
    <w:rsid w:val="005E0387"/>
    <w:rsid w:val="005E03FC"/>
    <w:rsid w:val="005E041E"/>
    <w:rsid w:val="005E0462"/>
    <w:rsid w:val="005E05AF"/>
    <w:rsid w:val="005E064F"/>
    <w:rsid w:val="005E065B"/>
    <w:rsid w:val="005E065D"/>
    <w:rsid w:val="005E06F6"/>
    <w:rsid w:val="005E071D"/>
    <w:rsid w:val="005E07F7"/>
    <w:rsid w:val="005E0860"/>
    <w:rsid w:val="005E0886"/>
    <w:rsid w:val="005E0940"/>
    <w:rsid w:val="005E099E"/>
    <w:rsid w:val="005E09A3"/>
    <w:rsid w:val="005E09EB"/>
    <w:rsid w:val="005E0A01"/>
    <w:rsid w:val="005E0A93"/>
    <w:rsid w:val="005E0A96"/>
    <w:rsid w:val="005E0AF2"/>
    <w:rsid w:val="005E0B3C"/>
    <w:rsid w:val="005E0B6C"/>
    <w:rsid w:val="005E0BA9"/>
    <w:rsid w:val="005E0BEE"/>
    <w:rsid w:val="005E0D7C"/>
    <w:rsid w:val="005E0DB2"/>
    <w:rsid w:val="005E0EA3"/>
    <w:rsid w:val="005E0EC5"/>
    <w:rsid w:val="005E0ED4"/>
    <w:rsid w:val="005E0F50"/>
    <w:rsid w:val="005E0F8F"/>
    <w:rsid w:val="005E0FC2"/>
    <w:rsid w:val="005E10E5"/>
    <w:rsid w:val="005E10F0"/>
    <w:rsid w:val="005E11D0"/>
    <w:rsid w:val="005E132B"/>
    <w:rsid w:val="005E1332"/>
    <w:rsid w:val="005E13BF"/>
    <w:rsid w:val="005E13FB"/>
    <w:rsid w:val="005E1450"/>
    <w:rsid w:val="005E148C"/>
    <w:rsid w:val="005E14B7"/>
    <w:rsid w:val="005E1509"/>
    <w:rsid w:val="005E155D"/>
    <w:rsid w:val="005E1597"/>
    <w:rsid w:val="005E15B6"/>
    <w:rsid w:val="005E15D1"/>
    <w:rsid w:val="005E15DD"/>
    <w:rsid w:val="005E15FC"/>
    <w:rsid w:val="005E161E"/>
    <w:rsid w:val="005E1646"/>
    <w:rsid w:val="005E168A"/>
    <w:rsid w:val="005E16EF"/>
    <w:rsid w:val="005E17A2"/>
    <w:rsid w:val="005E1830"/>
    <w:rsid w:val="005E188F"/>
    <w:rsid w:val="005E18DE"/>
    <w:rsid w:val="005E191F"/>
    <w:rsid w:val="005E1994"/>
    <w:rsid w:val="005E19DB"/>
    <w:rsid w:val="005E1B04"/>
    <w:rsid w:val="005E1B23"/>
    <w:rsid w:val="005E1BAB"/>
    <w:rsid w:val="005E1BE5"/>
    <w:rsid w:val="005E1C31"/>
    <w:rsid w:val="005E1C79"/>
    <w:rsid w:val="005E1C95"/>
    <w:rsid w:val="005E1D63"/>
    <w:rsid w:val="005E1D6A"/>
    <w:rsid w:val="005E1DFE"/>
    <w:rsid w:val="005E1E0A"/>
    <w:rsid w:val="005E1E6C"/>
    <w:rsid w:val="005E1E71"/>
    <w:rsid w:val="005E20D1"/>
    <w:rsid w:val="005E21A0"/>
    <w:rsid w:val="005E21C9"/>
    <w:rsid w:val="005E21E4"/>
    <w:rsid w:val="005E21F5"/>
    <w:rsid w:val="005E2227"/>
    <w:rsid w:val="005E2281"/>
    <w:rsid w:val="005E22A6"/>
    <w:rsid w:val="005E23F8"/>
    <w:rsid w:val="005E2491"/>
    <w:rsid w:val="005E24B0"/>
    <w:rsid w:val="005E250C"/>
    <w:rsid w:val="005E2587"/>
    <w:rsid w:val="005E25E3"/>
    <w:rsid w:val="005E2616"/>
    <w:rsid w:val="005E2662"/>
    <w:rsid w:val="005E26A3"/>
    <w:rsid w:val="005E26F3"/>
    <w:rsid w:val="005E2734"/>
    <w:rsid w:val="005E275B"/>
    <w:rsid w:val="005E275E"/>
    <w:rsid w:val="005E2824"/>
    <w:rsid w:val="005E28A5"/>
    <w:rsid w:val="005E28B4"/>
    <w:rsid w:val="005E28BB"/>
    <w:rsid w:val="005E28E7"/>
    <w:rsid w:val="005E295C"/>
    <w:rsid w:val="005E298F"/>
    <w:rsid w:val="005E29EE"/>
    <w:rsid w:val="005E2A88"/>
    <w:rsid w:val="005E2B98"/>
    <w:rsid w:val="005E2C2E"/>
    <w:rsid w:val="005E2CA6"/>
    <w:rsid w:val="005E2D3D"/>
    <w:rsid w:val="005E2D4B"/>
    <w:rsid w:val="005E2E08"/>
    <w:rsid w:val="005E2E46"/>
    <w:rsid w:val="005E2E63"/>
    <w:rsid w:val="005E2F01"/>
    <w:rsid w:val="005E2F8A"/>
    <w:rsid w:val="005E3015"/>
    <w:rsid w:val="005E304F"/>
    <w:rsid w:val="005E3057"/>
    <w:rsid w:val="005E3089"/>
    <w:rsid w:val="005E30B8"/>
    <w:rsid w:val="005E30DA"/>
    <w:rsid w:val="005E30F8"/>
    <w:rsid w:val="005E3180"/>
    <w:rsid w:val="005E3243"/>
    <w:rsid w:val="005E3250"/>
    <w:rsid w:val="005E325E"/>
    <w:rsid w:val="005E332A"/>
    <w:rsid w:val="005E338D"/>
    <w:rsid w:val="005E3551"/>
    <w:rsid w:val="005E35C9"/>
    <w:rsid w:val="005E3623"/>
    <w:rsid w:val="005E3677"/>
    <w:rsid w:val="005E36E5"/>
    <w:rsid w:val="005E37B0"/>
    <w:rsid w:val="005E3834"/>
    <w:rsid w:val="005E3857"/>
    <w:rsid w:val="005E3906"/>
    <w:rsid w:val="005E392F"/>
    <w:rsid w:val="005E3974"/>
    <w:rsid w:val="005E398F"/>
    <w:rsid w:val="005E39AB"/>
    <w:rsid w:val="005E3A66"/>
    <w:rsid w:val="005E3B1F"/>
    <w:rsid w:val="005E3C9F"/>
    <w:rsid w:val="005E3CD8"/>
    <w:rsid w:val="005E3D05"/>
    <w:rsid w:val="005E3D78"/>
    <w:rsid w:val="005E3DBA"/>
    <w:rsid w:val="005E3DC1"/>
    <w:rsid w:val="005E3DCE"/>
    <w:rsid w:val="005E3EE2"/>
    <w:rsid w:val="005E3F2B"/>
    <w:rsid w:val="005E3FBF"/>
    <w:rsid w:val="005E3FF6"/>
    <w:rsid w:val="005E4017"/>
    <w:rsid w:val="005E41D1"/>
    <w:rsid w:val="005E4237"/>
    <w:rsid w:val="005E4325"/>
    <w:rsid w:val="005E43C6"/>
    <w:rsid w:val="005E45D5"/>
    <w:rsid w:val="005E46A9"/>
    <w:rsid w:val="005E46CE"/>
    <w:rsid w:val="005E47C8"/>
    <w:rsid w:val="005E486C"/>
    <w:rsid w:val="005E48BF"/>
    <w:rsid w:val="005E48D1"/>
    <w:rsid w:val="005E4908"/>
    <w:rsid w:val="005E4931"/>
    <w:rsid w:val="005E4966"/>
    <w:rsid w:val="005E498C"/>
    <w:rsid w:val="005E49C3"/>
    <w:rsid w:val="005E4A26"/>
    <w:rsid w:val="005E4B5D"/>
    <w:rsid w:val="005E4C36"/>
    <w:rsid w:val="005E4C9D"/>
    <w:rsid w:val="005E4D04"/>
    <w:rsid w:val="005E4D59"/>
    <w:rsid w:val="005E4D70"/>
    <w:rsid w:val="005E4ED8"/>
    <w:rsid w:val="005E4F63"/>
    <w:rsid w:val="005E4F81"/>
    <w:rsid w:val="005E4F84"/>
    <w:rsid w:val="005E516F"/>
    <w:rsid w:val="005E5199"/>
    <w:rsid w:val="005E51A2"/>
    <w:rsid w:val="005E5214"/>
    <w:rsid w:val="005E5288"/>
    <w:rsid w:val="005E52F5"/>
    <w:rsid w:val="005E539A"/>
    <w:rsid w:val="005E53E9"/>
    <w:rsid w:val="005E5477"/>
    <w:rsid w:val="005E5496"/>
    <w:rsid w:val="005E55B3"/>
    <w:rsid w:val="005E56D8"/>
    <w:rsid w:val="005E56F5"/>
    <w:rsid w:val="005E5719"/>
    <w:rsid w:val="005E5744"/>
    <w:rsid w:val="005E57F4"/>
    <w:rsid w:val="005E57FA"/>
    <w:rsid w:val="005E5801"/>
    <w:rsid w:val="005E580E"/>
    <w:rsid w:val="005E58D4"/>
    <w:rsid w:val="005E59BE"/>
    <w:rsid w:val="005E5C94"/>
    <w:rsid w:val="005E5CF8"/>
    <w:rsid w:val="005E5D24"/>
    <w:rsid w:val="005E5DA4"/>
    <w:rsid w:val="005E5E42"/>
    <w:rsid w:val="005E6023"/>
    <w:rsid w:val="005E606A"/>
    <w:rsid w:val="005E60D9"/>
    <w:rsid w:val="005E60E7"/>
    <w:rsid w:val="005E6103"/>
    <w:rsid w:val="005E615F"/>
    <w:rsid w:val="005E61BA"/>
    <w:rsid w:val="005E627C"/>
    <w:rsid w:val="005E62A8"/>
    <w:rsid w:val="005E6336"/>
    <w:rsid w:val="005E638E"/>
    <w:rsid w:val="005E63A1"/>
    <w:rsid w:val="005E63A6"/>
    <w:rsid w:val="005E63F8"/>
    <w:rsid w:val="005E640C"/>
    <w:rsid w:val="005E6458"/>
    <w:rsid w:val="005E66AD"/>
    <w:rsid w:val="005E6720"/>
    <w:rsid w:val="005E67CB"/>
    <w:rsid w:val="005E67D2"/>
    <w:rsid w:val="005E6825"/>
    <w:rsid w:val="005E682A"/>
    <w:rsid w:val="005E684E"/>
    <w:rsid w:val="005E684F"/>
    <w:rsid w:val="005E696C"/>
    <w:rsid w:val="005E6A0C"/>
    <w:rsid w:val="005E6A11"/>
    <w:rsid w:val="005E6A24"/>
    <w:rsid w:val="005E6A2A"/>
    <w:rsid w:val="005E6A55"/>
    <w:rsid w:val="005E6A88"/>
    <w:rsid w:val="005E6B51"/>
    <w:rsid w:val="005E6B6D"/>
    <w:rsid w:val="005E6B74"/>
    <w:rsid w:val="005E6C53"/>
    <w:rsid w:val="005E6D06"/>
    <w:rsid w:val="005E6EA4"/>
    <w:rsid w:val="005E6F43"/>
    <w:rsid w:val="005E6F5E"/>
    <w:rsid w:val="005E6F77"/>
    <w:rsid w:val="005E712F"/>
    <w:rsid w:val="005E71C8"/>
    <w:rsid w:val="005E72E8"/>
    <w:rsid w:val="005E73EA"/>
    <w:rsid w:val="005E7413"/>
    <w:rsid w:val="005E7552"/>
    <w:rsid w:val="005E7560"/>
    <w:rsid w:val="005E75AD"/>
    <w:rsid w:val="005E7667"/>
    <w:rsid w:val="005E7784"/>
    <w:rsid w:val="005E7851"/>
    <w:rsid w:val="005E7874"/>
    <w:rsid w:val="005E7883"/>
    <w:rsid w:val="005E789E"/>
    <w:rsid w:val="005E7978"/>
    <w:rsid w:val="005E7B3A"/>
    <w:rsid w:val="005E7B9C"/>
    <w:rsid w:val="005E7BBE"/>
    <w:rsid w:val="005E7C51"/>
    <w:rsid w:val="005E7C9F"/>
    <w:rsid w:val="005E7D68"/>
    <w:rsid w:val="005E7D96"/>
    <w:rsid w:val="005E7DD7"/>
    <w:rsid w:val="005E7E13"/>
    <w:rsid w:val="005E7EB9"/>
    <w:rsid w:val="005E7F24"/>
    <w:rsid w:val="005E7FC0"/>
    <w:rsid w:val="005E7FCB"/>
    <w:rsid w:val="005F0002"/>
    <w:rsid w:val="005F001E"/>
    <w:rsid w:val="005F00D5"/>
    <w:rsid w:val="005F00F4"/>
    <w:rsid w:val="005F019B"/>
    <w:rsid w:val="005F023E"/>
    <w:rsid w:val="005F025F"/>
    <w:rsid w:val="005F02B0"/>
    <w:rsid w:val="005F0382"/>
    <w:rsid w:val="005F03B3"/>
    <w:rsid w:val="005F03EE"/>
    <w:rsid w:val="005F0426"/>
    <w:rsid w:val="005F0477"/>
    <w:rsid w:val="005F048A"/>
    <w:rsid w:val="005F04B9"/>
    <w:rsid w:val="005F04EE"/>
    <w:rsid w:val="005F0619"/>
    <w:rsid w:val="005F064B"/>
    <w:rsid w:val="005F0653"/>
    <w:rsid w:val="005F0654"/>
    <w:rsid w:val="005F06DD"/>
    <w:rsid w:val="005F0706"/>
    <w:rsid w:val="005F07DD"/>
    <w:rsid w:val="005F081E"/>
    <w:rsid w:val="005F0855"/>
    <w:rsid w:val="005F085A"/>
    <w:rsid w:val="005F0868"/>
    <w:rsid w:val="005F094A"/>
    <w:rsid w:val="005F09C2"/>
    <w:rsid w:val="005F09CA"/>
    <w:rsid w:val="005F09FF"/>
    <w:rsid w:val="005F0A00"/>
    <w:rsid w:val="005F0AAD"/>
    <w:rsid w:val="005F0AD3"/>
    <w:rsid w:val="005F0ADE"/>
    <w:rsid w:val="005F0B13"/>
    <w:rsid w:val="005F0B28"/>
    <w:rsid w:val="005F0B96"/>
    <w:rsid w:val="005F0BF1"/>
    <w:rsid w:val="005F0C0B"/>
    <w:rsid w:val="005F0C38"/>
    <w:rsid w:val="005F0C3B"/>
    <w:rsid w:val="005F0C81"/>
    <w:rsid w:val="005F0D08"/>
    <w:rsid w:val="005F0D2B"/>
    <w:rsid w:val="005F0DB0"/>
    <w:rsid w:val="005F0DF1"/>
    <w:rsid w:val="005F0E04"/>
    <w:rsid w:val="005F0E2F"/>
    <w:rsid w:val="005F0FE9"/>
    <w:rsid w:val="005F1072"/>
    <w:rsid w:val="005F113A"/>
    <w:rsid w:val="005F1175"/>
    <w:rsid w:val="005F11A7"/>
    <w:rsid w:val="005F11C8"/>
    <w:rsid w:val="005F11F5"/>
    <w:rsid w:val="005F11FE"/>
    <w:rsid w:val="005F1207"/>
    <w:rsid w:val="005F122C"/>
    <w:rsid w:val="005F1327"/>
    <w:rsid w:val="005F1377"/>
    <w:rsid w:val="005F1495"/>
    <w:rsid w:val="005F1543"/>
    <w:rsid w:val="005F1551"/>
    <w:rsid w:val="005F1574"/>
    <w:rsid w:val="005F157A"/>
    <w:rsid w:val="005F1585"/>
    <w:rsid w:val="005F15CC"/>
    <w:rsid w:val="005F162F"/>
    <w:rsid w:val="005F1668"/>
    <w:rsid w:val="005F169F"/>
    <w:rsid w:val="005F181D"/>
    <w:rsid w:val="005F183A"/>
    <w:rsid w:val="005F1874"/>
    <w:rsid w:val="005F1888"/>
    <w:rsid w:val="005F18EF"/>
    <w:rsid w:val="005F1977"/>
    <w:rsid w:val="005F19E5"/>
    <w:rsid w:val="005F1A1E"/>
    <w:rsid w:val="005F1A98"/>
    <w:rsid w:val="005F1B06"/>
    <w:rsid w:val="005F1B20"/>
    <w:rsid w:val="005F1C9B"/>
    <w:rsid w:val="005F1D67"/>
    <w:rsid w:val="005F1E62"/>
    <w:rsid w:val="005F1E7C"/>
    <w:rsid w:val="005F1F26"/>
    <w:rsid w:val="005F1FBD"/>
    <w:rsid w:val="005F1FD5"/>
    <w:rsid w:val="005F201A"/>
    <w:rsid w:val="005F208E"/>
    <w:rsid w:val="005F20E4"/>
    <w:rsid w:val="005F20EE"/>
    <w:rsid w:val="005F210A"/>
    <w:rsid w:val="005F21CA"/>
    <w:rsid w:val="005F235A"/>
    <w:rsid w:val="005F24AD"/>
    <w:rsid w:val="005F2539"/>
    <w:rsid w:val="005F25C4"/>
    <w:rsid w:val="005F25D5"/>
    <w:rsid w:val="005F267A"/>
    <w:rsid w:val="005F273E"/>
    <w:rsid w:val="005F279E"/>
    <w:rsid w:val="005F294A"/>
    <w:rsid w:val="005F294E"/>
    <w:rsid w:val="005F29B1"/>
    <w:rsid w:val="005F29E6"/>
    <w:rsid w:val="005F2A22"/>
    <w:rsid w:val="005F2A36"/>
    <w:rsid w:val="005F2A5F"/>
    <w:rsid w:val="005F2ABA"/>
    <w:rsid w:val="005F2AD9"/>
    <w:rsid w:val="005F2AEA"/>
    <w:rsid w:val="005F2B57"/>
    <w:rsid w:val="005F2D22"/>
    <w:rsid w:val="005F2D7B"/>
    <w:rsid w:val="005F2DBC"/>
    <w:rsid w:val="005F2DFE"/>
    <w:rsid w:val="005F2EC3"/>
    <w:rsid w:val="005F2F5B"/>
    <w:rsid w:val="005F2F9E"/>
    <w:rsid w:val="005F30A0"/>
    <w:rsid w:val="005F3183"/>
    <w:rsid w:val="005F31A5"/>
    <w:rsid w:val="005F31A7"/>
    <w:rsid w:val="005F31C4"/>
    <w:rsid w:val="005F3200"/>
    <w:rsid w:val="005F320E"/>
    <w:rsid w:val="005F326B"/>
    <w:rsid w:val="005F32FC"/>
    <w:rsid w:val="005F3300"/>
    <w:rsid w:val="005F33D1"/>
    <w:rsid w:val="005F3416"/>
    <w:rsid w:val="005F34F2"/>
    <w:rsid w:val="005F352A"/>
    <w:rsid w:val="005F3536"/>
    <w:rsid w:val="005F3556"/>
    <w:rsid w:val="005F3613"/>
    <w:rsid w:val="005F3710"/>
    <w:rsid w:val="005F37E2"/>
    <w:rsid w:val="005F37EC"/>
    <w:rsid w:val="005F3920"/>
    <w:rsid w:val="005F3934"/>
    <w:rsid w:val="005F3999"/>
    <w:rsid w:val="005F3A66"/>
    <w:rsid w:val="005F3AC8"/>
    <w:rsid w:val="005F3B08"/>
    <w:rsid w:val="005F3B66"/>
    <w:rsid w:val="005F3B71"/>
    <w:rsid w:val="005F3C17"/>
    <w:rsid w:val="005F3C8F"/>
    <w:rsid w:val="005F3CF4"/>
    <w:rsid w:val="005F3D17"/>
    <w:rsid w:val="005F3D56"/>
    <w:rsid w:val="005F3DB2"/>
    <w:rsid w:val="005F3DC0"/>
    <w:rsid w:val="005F3DEF"/>
    <w:rsid w:val="005F3DF5"/>
    <w:rsid w:val="005F3E45"/>
    <w:rsid w:val="005F3E63"/>
    <w:rsid w:val="005F4135"/>
    <w:rsid w:val="005F4139"/>
    <w:rsid w:val="005F41F4"/>
    <w:rsid w:val="005F439B"/>
    <w:rsid w:val="005F43AB"/>
    <w:rsid w:val="005F4402"/>
    <w:rsid w:val="005F442C"/>
    <w:rsid w:val="005F446A"/>
    <w:rsid w:val="005F447B"/>
    <w:rsid w:val="005F449B"/>
    <w:rsid w:val="005F44BA"/>
    <w:rsid w:val="005F44EF"/>
    <w:rsid w:val="005F459A"/>
    <w:rsid w:val="005F4696"/>
    <w:rsid w:val="005F469C"/>
    <w:rsid w:val="005F46E8"/>
    <w:rsid w:val="005F476E"/>
    <w:rsid w:val="005F493E"/>
    <w:rsid w:val="005F49A1"/>
    <w:rsid w:val="005F4A0F"/>
    <w:rsid w:val="005F4A2A"/>
    <w:rsid w:val="005F4A52"/>
    <w:rsid w:val="005F4B49"/>
    <w:rsid w:val="005F4B5D"/>
    <w:rsid w:val="005F4C4D"/>
    <w:rsid w:val="005F4CFF"/>
    <w:rsid w:val="005F4D2B"/>
    <w:rsid w:val="005F4DCA"/>
    <w:rsid w:val="005F4E35"/>
    <w:rsid w:val="005F4EBB"/>
    <w:rsid w:val="005F4EC0"/>
    <w:rsid w:val="005F4F43"/>
    <w:rsid w:val="005F4F63"/>
    <w:rsid w:val="005F4F87"/>
    <w:rsid w:val="005F4F96"/>
    <w:rsid w:val="005F4FBD"/>
    <w:rsid w:val="005F5074"/>
    <w:rsid w:val="005F509A"/>
    <w:rsid w:val="005F519F"/>
    <w:rsid w:val="005F5278"/>
    <w:rsid w:val="005F535D"/>
    <w:rsid w:val="005F537D"/>
    <w:rsid w:val="005F53E1"/>
    <w:rsid w:val="005F5448"/>
    <w:rsid w:val="005F556D"/>
    <w:rsid w:val="005F55B5"/>
    <w:rsid w:val="005F55DF"/>
    <w:rsid w:val="005F56E2"/>
    <w:rsid w:val="005F5716"/>
    <w:rsid w:val="005F57EF"/>
    <w:rsid w:val="005F5829"/>
    <w:rsid w:val="005F5848"/>
    <w:rsid w:val="005F5871"/>
    <w:rsid w:val="005F5883"/>
    <w:rsid w:val="005F5956"/>
    <w:rsid w:val="005F59C4"/>
    <w:rsid w:val="005F5A73"/>
    <w:rsid w:val="005F5AB7"/>
    <w:rsid w:val="005F5AEB"/>
    <w:rsid w:val="005F5B1B"/>
    <w:rsid w:val="005F5D56"/>
    <w:rsid w:val="005F5D59"/>
    <w:rsid w:val="005F5D94"/>
    <w:rsid w:val="005F5DE6"/>
    <w:rsid w:val="005F5DED"/>
    <w:rsid w:val="005F5FD0"/>
    <w:rsid w:val="005F5FE8"/>
    <w:rsid w:val="005F60AF"/>
    <w:rsid w:val="005F60F9"/>
    <w:rsid w:val="005F6125"/>
    <w:rsid w:val="005F6185"/>
    <w:rsid w:val="005F61E5"/>
    <w:rsid w:val="005F6221"/>
    <w:rsid w:val="005F6259"/>
    <w:rsid w:val="005F625A"/>
    <w:rsid w:val="005F62FC"/>
    <w:rsid w:val="005F63E7"/>
    <w:rsid w:val="005F6423"/>
    <w:rsid w:val="005F6473"/>
    <w:rsid w:val="005F648F"/>
    <w:rsid w:val="005F6565"/>
    <w:rsid w:val="005F65C2"/>
    <w:rsid w:val="005F6636"/>
    <w:rsid w:val="005F6659"/>
    <w:rsid w:val="005F6738"/>
    <w:rsid w:val="005F67E0"/>
    <w:rsid w:val="005F6801"/>
    <w:rsid w:val="005F6864"/>
    <w:rsid w:val="005F68B3"/>
    <w:rsid w:val="005F68C8"/>
    <w:rsid w:val="005F69BC"/>
    <w:rsid w:val="005F6A58"/>
    <w:rsid w:val="005F6A63"/>
    <w:rsid w:val="005F6ACD"/>
    <w:rsid w:val="005F6C9B"/>
    <w:rsid w:val="005F6D80"/>
    <w:rsid w:val="005F6DD6"/>
    <w:rsid w:val="005F6DF3"/>
    <w:rsid w:val="005F6E56"/>
    <w:rsid w:val="005F6E6D"/>
    <w:rsid w:val="005F6ED7"/>
    <w:rsid w:val="005F6EEE"/>
    <w:rsid w:val="005F6F29"/>
    <w:rsid w:val="005F6FD2"/>
    <w:rsid w:val="005F7026"/>
    <w:rsid w:val="005F70B2"/>
    <w:rsid w:val="005F70DB"/>
    <w:rsid w:val="005F7147"/>
    <w:rsid w:val="005F7177"/>
    <w:rsid w:val="005F7192"/>
    <w:rsid w:val="005F7273"/>
    <w:rsid w:val="005F7391"/>
    <w:rsid w:val="005F73DC"/>
    <w:rsid w:val="005F7423"/>
    <w:rsid w:val="005F7542"/>
    <w:rsid w:val="005F75F9"/>
    <w:rsid w:val="005F7637"/>
    <w:rsid w:val="005F7711"/>
    <w:rsid w:val="005F7748"/>
    <w:rsid w:val="005F7755"/>
    <w:rsid w:val="005F77F4"/>
    <w:rsid w:val="005F785D"/>
    <w:rsid w:val="005F78F7"/>
    <w:rsid w:val="005F78FA"/>
    <w:rsid w:val="005F790F"/>
    <w:rsid w:val="005F7951"/>
    <w:rsid w:val="005F79A7"/>
    <w:rsid w:val="005F7AB3"/>
    <w:rsid w:val="005F7B37"/>
    <w:rsid w:val="005F7B8C"/>
    <w:rsid w:val="005F7C9F"/>
    <w:rsid w:val="005F7D48"/>
    <w:rsid w:val="005F7DD1"/>
    <w:rsid w:val="00600006"/>
    <w:rsid w:val="00600038"/>
    <w:rsid w:val="0060006F"/>
    <w:rsid w:val="00600129"/>
    <w:rsid w:val="006004B3"/>
    <w:rsid w:val="006005AB"/>
    <w:rsid w:val="006005E0"/>
    <w:rsid w:val="0060068E"/>
    <w:rsid w:val="0060075C"/>
    <w:rsid w:val="00600798"/>
    <w:rsid w:val="0060079F"/>
    <w:rsid w:val="0060087D"/>
    <w:rsid w:val="00600904"/>
    <w:rsid w:val="006009F3"/>
    <w:rsid w:val="00600A47"/>
    <w:rsid w:val="00600A4F"/>
    <w:rsid w:val="00600AB9"/>
    <w:rsid w:val="00600AFB"/>
    <w:rsid w:val="00600B28"/>
    <w:rsid w:val="00600B4E"/>
    <w:rsid w:val="00600B6F"/>
    <w:rsid w:val="00600B77"/>
    <w:rsid w:val="00600B87"/>
    <w:rsid w:val="00600B9D"/>
    <w:rsid w:val="00600BF1"/>
    <w:rsid w:val="00600C9B"/>
    <w:rsid w:val="00600CA8"/>
    <w:rsid w:val="00600CAF"/>
    <w:rsid w:val="00600CFE"/>
    <w:rsid w:val="00600D33"/>
    <w:rsid w:val="00600D6B"/>
    <w:rsid w:val="00600D6C"/>
    <w:rsid w:val="00600DC5"/>
    <w:rsid w:val="00600DD5"/>
    <w:rsid w:val="00600EAE"/>
    <w:rsid w:val="00601059"/>
    <w:rsid w:val="00601103"/>
    <w:rsid w:val="00601143"/>
    <w:rsid w:val="00601195"/>
    <w:rsid w:val="006011C5"/>
    <w:rsid w:val="006011D5"/>
    <w:rsid w:val="0060120C"/>
    <w:rsid w:val="006012DA"/>
    <w:rsid w:val="0060134F"/>
    <w:rsid w:val="00601378"/>
    <w:rsid w:val="006013B2"/>
    <w:rsid w:val="006013BE"/>
    <w:rsid w:val="006013E7"/>
    <w:rsid w:val="00601460"/>
    <w:rsid w:val="006014E3"/>
    <w:rsid w:val="00601507"/>
    <w:rsid w:val="00601537"/>
    <w:rsid w:val="006015BC"/>
    <w:rsid w:val="006016DF"/>
    <w:rsid w:val="00601715"/>
    <w:rsid w:val="0060171E"/>
    <w:rsid w:val="0060175D"/>
    <w:rsid w:val="00601771"/>
    <w:rsid w:val="006018EC"/>
    <w:rsid w:val="0060190B"/>
    <w:rsid w:val="00601969"/>
    <w:rsid w:val="006019B0"/>
    <w:rsid w:val="00601A11"/>
    <w:rsid w:val="00601A7E"/>
    <w:rsid w:val="00601B23"/>
    <w:rsid w:val="00601B5C"/>
    <w:rsid w:val="00601BA5"/>
    <w:rsid w:val="00601BED"/>
    <w:rsid w:val="00601C03"/>
    <w:rsid w:val="00601CAA"/>
    <w:rsid w:val="00601D6E"/>
    <w:rsid w:val="00601E42"/>
    <w:rsid w:val="00601F04"/>
    <w:rsid w:val="00601F35"/>
    <w:rsid w:val="00602075"/>
    <w:rsid w:val="00602087"/>
    <w:rsid w:val="00602175"/>
    <w:rsid w:val="006021C1"/>
    <w:rsid w:val="00602203"/>
    <w:rsid w:val="00602226"/>
    <w:rsid w:val="00602266"/>
    <w:rsid w:val="00602312"/>
    <w:rsid w:val="0060231A"/>
    <w:rsid w:val="006023A7"/>
    <w:rsid w:val="006024E1"/>
    <w:rsid w:val="0060253D"/>
    <w:rsid w:val="00602572"/>
    <w:rsid w:val="0060261E"/>
    <w:rsid w:val="0060262F"/>
    <w:rsid w:val="006026BF"/>
    <w:rsid w:val="00602706"/>
    <w:rsid w:val="0060273B"/>
    <w:rsid w:val="00602792"/>
    <w:rsid w:val="006027EF"/>
    <w:rsid w:val="00602803"/>
    <w:rsid w:val="006028AD"/>
    <w:rsid w:val="006028E9"/>
    <w:rsid w:val="00602964"/>
    <w:rsid w:val="0060298F"/>
    <w:rsid w:val="00602990"/>
    <w:rsid w:val="006029BC"/>
    <w:rsid w:val="00602A41"/>
    <w:rsid w:val="00602ABD"/>
    <w:rsid w:val="00602AC2"/>
    <w:rsid w:val="00602B2E"/>
    <w:rsid w:val="00602B91"/>
    <w:rsid w:val="00602CD0"/>
    <w:rsid w:val="00602D42"/>
    <w:rsid w:val="00602DD2"/>
    <w:rsid w:val="00602E1D"/>
    <w:rsid w:val="00602EFA"/>
    <w:rsid w:val="00602F19"/>
    <w:rsid w:val="00602FD5"/>
    <w:rsid w:val="00602FDA"/>
    <w:rsid w:val="00602FE4"/>
    <w:rsid w:val="0060301A"/>
    <w:rsid w:val="006030B6"/>
    <w:rsid w:val="006031DD"/>
    <w:rsid w:val="00603286"/>
    <w:rsid w:val="006032B6"/>
    <w:rsid w:val="006032D6"/>
    <w:rsid w:val="006033DE"/>
    <w:rsid w:val="006034A2"/>
    <w:rsid w:val="00603671"/>
    <w:rsid w:val="006036B0"/>
    <w:rsid w:val="006037A0"/>
    <w:rsid w:val="006037D7"/>
    <w:rsid w:val="006037FE"/>
    <w:rsid w:val="0060384A"/>
    <w:rsid w:val="0060387F"/>
    <w:rsid w:val="00603945"/>
    <w:rsid w:val="006039A5"/>
    <w:rsid w:val="00603A9A"/>
    <w:rsid w:val="00603BD0"/>
    <w:rsid w:val="00603CC7"/>
    <w:rsid w:val="00603D4D"/>
    <w:rsid w:val="00603DB9"/>
    <w:rsid w:val="00603EAE"/>
    <w:rsid w:val="0060400E"/>
    <w:rsid w:val="0060408A"/>
    <w:rsid w:val="00604273"/>
    <w:rsid w:val="0060427A"/>
    <w:rsid w:val="00604300"/>
    <w:rsid w:val="0060430A"/>
    <w:rsid w:val="00604415"/>
    <w:rsid w:val="00604497"/>
    <w:rsid w:val="006044D9"/>
    <w:rsid w:val="00604520"/>
    <w:rsid w:val="00604526"/>
    <w:rsid w:val="006046FB"/>
    <w:rsid w:val="00604783"/>
    <w:rsid w:val="006047F7"/>
    <w:rsid w:val="0060483F"/>
    <w:rsid w:val="0060486E"/>
    <w:rsid w:val="006048F2"/>
    <w:rsid w:val="0060492E"/>
    <w:rsid w:val="00604985"/>
    <w:rsid w:val="006049CC"/>
    <w:rsid w:val="00604A5F"/>
    <w:rsid w:val="00604A81"/>
    <w:rsid w:val="00604ADD"/>
    <w:rsid w:val="00604B38"/>
    <w:rsid w:val="00604B7F"/>
    <w:rsid w:val="00604BF1"/>
    <w:rsid w:val="00604DA7"/>
    <w:rsid w:val="00604EA7"/>
    <w:rsid w:val="00604F2F"/>
    <w:rsid w:val="00604F30"/>
    <w:rsid w:val="00604FFF"/>
    <w:rsid w:val="006050B1"/>
    <w:rsid w:val="006050C4"/>
    <w:rsid w:val="006050D2"/>
    <w:rsid w:val="00605153"/>
    <w:rsid w:val="0060522A"/>
    <w:rsid w:val="00605339"/>
    <w:rsid w:val="00605351"/>
    <w:rsid w:val="0060540A"/>
    <w:rsid w:val="006055CC"/>
    <w:rsid w:val="00605651"/>
    <w:rsid w:val="00605658"/>
    <w:rsid w:val="006056DA"/>
    <w:rsid w:val="0060571A"/>
    <w:rsid w:val="006057D1"/>
    <w:rsid w:val="0060595B"/>
    <w:rsid w:val="006059BA"/>
    <w:rsid w:val="00605A67"/>
    <w:rsid w:val="00605A8D"/>
    <w:rsid w:val="00605BAB"/>
    <w:rsid w:val="00605BC8"/>
    <w:rsid w:val="00605C14"/>
    <w:rsid w:val="00605D80"/>
    <w:rsid w:val="00605DFE"/>
    <w:rsid w:val="00605E20"/>
    <w:rsid w:val="00605EA1"/>
    <w:rsid w:val="00605EA6"/>
    <w:rsid w:val="00605EC4"/>
    <w:rsid w:val="00605F31"/>
    <w:rsid w:val="00605FA0"/>
    <w:rsid w:val="0060600D"/>
    <w:rsid w:val="0060601D"/>
    <w:rsid w:val="00606075"/>
    <w:rsid w:val="0060607E"/>
    <w:rsid w:val="0060618C"/>
    <w:rsid w:val="006061DA"/>
    <w:rsid w:val="0060621C"/>
    <w:rsid w:val="006062B1"/>
    <w:rsid w:val="006062CA"/>
    <w:rsid w:val="006063B1"/>
    <w:rsid w:val="006063EC"/>
    <w:rsid w:val="00606415"/>
    <w:rsid w:val="006064D8"/>
    <w:rsid w:val="006065FC"/>
    <w:rsid w:val="00606691"/>
    <w:rsid w:val="00606746"/>
    <w:rsid w:val="00606761"/>
    <w:rsid w:val="006067AC"/>
    <w:rsid w:val="006067AF"/>
    <w:rsid w:val="00606811"/>
    <w:rsid w:val="0060682A"/>
    <w:rsid w:val="0060686B"/>
    <w:rsid w:val="006068A9"/>
    <w:rsid w:val="006068BD"/>
    <w:rsid w:val="006068BF"/>
    <w:rsid w:val="00606921"/>
    <w:rsid w:val="00606928"/>
    <w:rsid w:val="0060698B"/>
    <w:rsid w:val="006069E1"/>
    <w:rsid w:val="00606A70"/>
    <w:rsid w:val="00606AE2"/>
    <w:rsid w:val="00606BB8"/>
    <w:rsid w:val="00606BD4"/>
    <w:rsid w:val="00606C3E"/>
    <w:rsid w:val="00606CFE"/>
    <w:rsid w:val="00606DD6"/>
    <w:rsid w:val="00606ED0"/>
    <w:rsid w:val="00606F24"/>
    <w:rsid w:val="00606F48"/>
    <w:rsid w:val="00607056"/>
    <w:rsid w:val="00607096"/>
    <w:rsid w:val="006071AE"/>
    <w:rsid w:val="00607204"/>
    <w:rsid w:val="006072F3"/>
    <w:rsid w:val="0060735C"/>
    <w:rsid w:val="00607469"/>
    <w:rsid w:val="006074CC"/>
    <w:rsid w:val="0060757C"/>
    <w:rsid w:val="0060759D"/>
    <w:rsid w:val="006075C6"/>
    <w:rsid w:val="0060760A"/>
    <w:rsid w:val="00607658"/>
    <w:rsid w:val="0060768B"/>
    <w:rsid w:val="006077A2"/>
    <w:rsid w:val="006077C7"/>
    <w:rsid w:val="0060784B"/>
    <w:rsid w:val="00607860"/>
    <w:rsid w:val="006078A3"/>
    <w:rsid w:val="006078D8"/>
    <w:rsid w:val="00607A9B"/>
    <w:rsid w:val="00607ABA"/>
    <w:rsid w:val="00607B17"/>
    <w:rsid w:val="00607B9E"/>
    <w:rsid w:val="00607E11"/>
    <w:rsid w:val="00607ED6"/>
    <w:rsid w:val="00610111"/>
    <w:rsid w:val="0061012D"/>
    <w:rsid w:val="00610187"/>
    <w:rsid w:val="00610209"/>
    <w:rsid w:val="0061020E"/>
    <w:rsid w:val="006102C9"/>
    <w:rsid w:val="006102D5"/>
    <w:rsid w:val="00610301"/>
    <w:rsid w:val="00610360"/>
    <w:rsid w:val="0061038D"/>
    <w:rsid w:val="006103D6"/>
    <w:rsid w:val="00610467"/>
    <w:rsid w:val="006104B0"/>
    <w:rsid w:val="00610544"/>
    <w:rsid w:val="006105A6"/>
    <w:rsid w:val="0061064C"/>
    <w:rsid w:val="00610659"/>
    <w:rsid w:val="006106AC"/>
    <w:rsid w:val="0061074F"/>
    <w:rsid w:val="0061075C"/>
    <w:rsid w:val="006107BD"/>
    <w:rsid w:val="00610836"/>
    <w:rsid w:val="00610848"/>
    <w:rsid w:val="0061084E"/>
    <w:rsid w:val="006108C3"/>
    <w:rsid w:val="006109F3"/>
    <w:rsid w:val="00610A7F"/>
    <w:rsid w:val="00610A92"/>
    <w:rsid w:val="00610AC8"/>
    <w:rsid w:val="00610B34"/>
    <w:rsid w:val="00610BBD"/>
    <w:rsid w:val="00610BC7"/>
    <w:rsid w:val="00610BEB"/>
    <w:rsid w:val="00610CEC"/>
    <w:rsid w:val="00610D9D"/>
    <w:rsid w:val="00610E09"/>
    <w:rsid w:val="00610E0E"/>
    <w:rsid w:val="00610E78"/>
    <w:rsid w:val="00610F43"/>
    <w:rsid w:val="00610FE4"/>
    <w:rsid w:val="0061130F"/>
    <w:rsid w:val="00611320"/>
    <w:rsid w:val="0061134F"/>
    <w:rsid w:val="00611398"/>
    <w:rsid w:val="006113F5"/>
    <w:rsid w:val="00611429"/>
    <w:rsid w:val="00611495"/>
    <w:rsid w:val="006114A3"/>
    <w:rsid w:val="006114D6"/>
    <w:rsid w:val="006114D8"/>
    <w:rsid w:val="006114DE"/>
    <w:rsid w:val="00611583"/>
    <w:rsid w:val="00611654"/>
    <w:rsid w:val="00611662"/>
    <w:rsid w:val="00611676"/>
    <w:rsid w:val="006116B6"/>
    <w:rsid w:val="006116ED"/>
    <w:rsid w:val="0061175A"/>
    <w:rsid w:val="006117D5"/>
    <w:rsid w:val="00611944"/>
    <w:rsid w:val="006119CD"/>
    <w:rsid w:val="00611B7E"/>
    <w:rsid w:val="00611C44"/>
    <w:rsid w:val="00611C4A"/>
    <w:rsid w:val="00611D2E"/>
    <w:rsid w:val="00611D54"/>
    <w:rsid w:val="00611D64"/>
    <w:rsid w:val="00611FC3"/>
    <w:rsid w:val="00611FEB"/>
    <w:rsid w:val="00612073"/>
    <w:rsid w:val="0061211F"/>
    <w:rsid w:val="00612184"/>
    <w:rsid w:val="006121CB"/>
    <w:rsid w:val="0061224A"/>
    <w:rsid w:val="0061229B"/>
    <w:rsid w:val="006122FE"/>
    <w:rsid w:val="00612310"/>
    <w:rsid w:val="0061237B"/>
    <w:rsid w:val="00612454"/>
    <w:rsid w:val="00612466"/>
    <w:rsid w:val="006124EA"/>
    <w:rsid w:val="00612564"/>
    <w:rsid w:val="0061256B"/>
    <w:rsid w:val="006125A6"/>
    <w:rsid w:val="006125A7"/>
    <w:rsid w:val="006125C5"/>
    <w:rsid w:val="006125DC"/>
    <w:rsid w:val="0061260B"/>
    <w:rsid w:val="0061266A"/>
    <w:rsid w:val="0061282D"/>
    <w:rsid w:val="0061282E"/>
    <w:rsid w:val="00612860"/>
    <w:rsid w:val="00612926"/>
    <w:rsid w:val="00612969"/>
    <w:rsid w:val="006129F4"/>
    <w:rsid w:val="00612B10"/>
    <w:rsid w:val="00612B40"/>
    <w:rsid w:val="00612D0E"/>
    <w:rsid w:val="00612DB9"/>
    <w:rsid w:val="00612E04"/>
    <w:rsid w:val="00612E27"/>
    <w:rsid w:val="00612F42"/>
    <w:rsid w:val="00613028"/>
    <w:rsid w:val="006130AA"/>
    <w:rsid w:val="006130E8"/>
    <w:rsid w:val="0061310F"/>
    <w:rsid w:val="00613137"/>
    <w:rsid w:val="00613147"/>
    <w:rsid w:val="0061328D"/>
    <w:rsid w:val="006132CC"/>
    <w:rsid w:val="00613306"/>
    <w:rsid w:val="00613385"/>
    <w:rsid w:val="006133BA"/>
    <w:rsid w:val="006133D6"/>
    <w:rsid w:val="00613491"/>
    <w:rsid w:val="006134C5"/>
    <w:rsid w:val="006134FD"/>
    <w:rsid w:val="00613530"/>
    <w:rsid w:val="0061354F"/>
    <w:rsid w:val="00613556"/>
    <w:rsid w:val="00613566"/>
    <w:rsid w:val="00613720"/>
    <w:rsid w:val="006137A3"/>
    <w:rsid w:val="006137CD"/>
    <w:rsid w:val="00613934"/>
    <w:rsid w:val="006139AD"/>
    <w:rsid w:val="00613A18"/>
    <w:rsid w:val="00613B96"/>
    <w:rsid w:val="00613CD9"/>
    <w:rsid w:val="00613CFC"/>
    <w:rsid w:val="00613E32"/>
    <w:rsid w:val="00613E6E"/>
    <w:rsid w:val="00613EB0"/>
    <w:rsid w:val="00613EE9"/>
    <w:rsid w:val="00613FC4"/>
    <w:rsid w:val="00614091"/>
    <w:rsid w:val="006140CF"/>
    <w:rsid w:val="00614138"/>
    <w:rsid w:val="006141DC"/>
    <w:rsid w:val="006141E1"/>
    <w:rsid w:val="0061443E"/>
    <w:rsid w:val="00614557"/>
    <w:rsid w:val="0061463E"/>
    <w:rsid w:val="006146C4"/>
    <w:rsid w:val="006146CF"/>
    <w:rsid w:val="006146D9"/>
    <w:rsid w:val="0061471A"/>
    <w:rsid w:val="006147D5"/>
    <w:rsid w:val="0061481E"/>
    <w:rsid w:val="006148A6"/>
    <w:rsid w:val="00614913"/>
    <w:rsid w:val="00614B3E"/>
    <w:rsid w:val="00614BA7"/>
    <w:rsid w:val="00614BC6"/>
    <w:rsid w:val="00614C8D"/>
    <w:rsid w:val="00614E11"/>
    <w:rsid w:val="00614E3C"/>
    <w:rsid w:val="00614E4A"/>
    <w:rsid w:val="00614EFE"/>
    <w:rsid w:val="00614F4E"/>
    <w:rsid w:val="00615071"/>
    <w:rsid w:val="00615130"/>
    <w:rsid w:val="0061514C"/>
    <w:rsid w:val="0061529A"/>
    <w:rsid w:val="0061540E"/>
    <w:rsid w:val="00615496"/>
    <w:rsid w:val="006155FF"/>
    <w:rsid w:val="0061560B"/>
    <w:rsid w:val="006157B9"/>
    <w:rsid w:val="0061583F"/>
    <w:rsid w:val="00615843"/>
    <w:rsid w:val="00615A62"/>
    <w:rsid w:val="00615BA5"/>
    <w:rsid w:val="00615C0A"/>
    <w:rsid w:val="00615C43"/>
    <w:rsid w:val="00615C72"/>
    <w:rsid w:val="00615CC2"/>
    <w:rsid w:val="00615CE6"/>
    <w:rsid w:val="00615CE7"/>
    <w:rsid w:val="00615D4A"/>
    <w:rsid w:val="00615E8D"/>
    <w:rsid w:val="00615EC1"/>
    <w:rsid w:val="00615F38"/>
    <w:rsid w:val="00615F46"/>
    <w:rsid w:val="006160C5"/>
    <w:rsid w:val="006160EF"/>
    <w:rsid w:val="006160F2"/>
    <w:rsid w:val="00616182"/>
    <w:rsid w:val="006161A4"/>
    <w:rsid w:val="00616293"/>
    <w:rsid w:val="00616334"/>
    <w:rsid w:val="00616337"/>
    <w:rsid w:val="00616358"/>
    <w:rsid w:val="0061646F"/>
    <w:rsid w:val="006164CA"/>
    <w:rsid w:val="0061659A"/>
    <w:rsid w:val="00616661"/>
    <w:rsid w:val="00616758"/>
    <w:rsid w:val="00616783"/>
    <w:rsid w:val="00616787"/>
    <w:rsid w:val="006167B2"/>
    <w:rsid w:val="00616878"/>
    <w:rsid w:val="00616938"/>
    <w:rsid w:val="00616A1E"/>
    <w:rsid w:val="00616A42"/>
    <w:rsid w:val="00616AE6"/>
    <w:rsid w:val="00616D15"/>
    <w:rsid w:val="00616D34"/>
    <w:rsid w:val="00616D4E"/>
    <w:rsid w:val="00616D6C"/>
    <w:rsid w:val="00616F9A"/>
    <w:rsid w:val="00616FB4"/>
    <w:rsid w:val="0061708D"/>
    <w:rsid w:val="006171AC"/>
    <w:rsid w:val="00617211"/>
    <w:rsid w:val="00617285"/>
    <w:rsid w:val="00617365"/>
    <w:rsid w:val="0061736A"/>
    <w:rsid w:val="00617408"/>
    <w:rsid w:val="00617435"/>
    <w:rsid w:val="006174C9"/>
    <w:rsid w:val="006174DF"/>
    <w:rsid w:val="006174F8"/>
    <w:rsid w:val="00617596"/>
    <w:rsid w:val="006175F5"/>
    <w:rsid w:val="0061763E"/>
    <w:rsid w:val="00617664"/>
    <w:rsid w:val="0061769A"/>
    <w:rsid w:val="0061780B"/>
    <w:rsid w:val="00617889"/>
    <w:rsid w:val="006178A1"/>
    <w:rsid w:val="006178A3"/>
    <w:rsid w:val="006178F0"/>
    <w:rsid w:val="00617941"/>
    <w:rsid w:val="00617974"/>
    <w:rsid w:val="0061797F"/>
    <w:rsid w:val="0061798B"/>
    <w:rsid w:val="006179F2"/>
    <w:rsid w:val="00617AB9"/>
    <w:rsid w:val="00617ADD"/>
    <w:rsid w:val="00617C59"/>
    <w:rsid w:val="00617C64"/>
    <w:rsid w:val="00617C6D"/>
    <w:rsid w:val="00617D08"/>
    <w:rsid w:val="00617D7D"/>
    <w:rsid w:val="00617EFC"/>
    <w:rsid w:val="00617F88"/>
    <w:rsid w:val="00617FE1"/>
    <w:rsid w:val="006200C9"/>
    <w:rsid w:val="0062015B"/>
    <w:rsid w:val="0062021D"/>
    <w:rsid w:val="00620233"/>
    <w:rsid w:val="00620239"/>
    <w:rsid w:val="00620268"/>
    <w:rsid w:val="006202F5"/>
    <w:rsid w:val="0062035B"/>
    <w:rsid w:val="006204B2"/>
    <w:rsid w:val="00620519"/>
    <w:rsid w:val="006205EF"/>
    <w:rsid w:val="0062067E"/>
    <w:rsid w:val="006206E3"/>
    <w:rsid w:val="0062075E"/>
    <w:rsid w:val="006207DD"/>
    <w:rsid w:val="006207F3"/>
    <w:rsid w:val="00620938"/>
    <w:rsid w:val="0062094C"/>
    <w:rsid w:val="00620962"/>
    <w:rsid w:val="006209DF"/>
    <w:rsid w:val="00620AF9"/>
    <w:rsid w:val="00620B11"/>
    <w:rsid w:val="00620BC9"/>
    <w:rsid w:val="00620BCA"/>
    <w:rsid w:val="00620C96"/>
    <w:rsid w:val="00620CE0"/>
    <w:rsid w:val="00620D2E"/>
    <w:rsid w:val="00620D5D"/>
    <w:rsid w:val="00620DC6"/>
    <w:rsid w:val="00620E4E"/>
    <w:rsid w:val="00620E5F"/>
    <w:rsid w:val="00620F89"/>
    <w:rsid w:val="00620FC6"/>
    <w:rsid w:val="00621025"/>
    <w:rsid w:val="00621043"/>
    <w:rsid w:val="00621077"/>
    <w:rsid w:val="0062117D"/>
    <w:rsid w:val="006211CD"/>
    <w:rsid w:val="00621313"/>
    <w:rsid w:val="00621317"/>
    <w:rsid w:val="0062131F"/>
    <w:rsid w:val="00621398"/>
    <w:rsid w:val="0062141B"/>
    <w:rsid w:val="006214B4"/>
    <w:rsid w:val="00621566"/>
    <w:rsid w:val="006215B9"/>
    <w:rsid w:val="00621653"/>
    <w:rsid w:val="00621654"/>
    <w:rsid w:val="0062168A"/>
    <w:rsid w:val="006216B1"/>
    <w:rsid w:val="006217C9"/>
    <w:rsid w:val="00621806"/>
    <w:rsid w:val="006218C6"/>
    <w:rsid w:val="0062192D"/>
    <w:rsid w:val="0062193C"/>
    <w:rsid w:val="00621978"/>
    <w:rsid w:val="00621ADB"/>
    <w:rsid w:val="00621B15"/>
    <w:rsid w:val="00621B50"/>
    <w:rsid w:val="00621C68"/>
    <w:rsid w:val="00621D02"/>
    <w:rsid w:val="00621DA4"/>
    <w:rsid w:val="00621E1D"/>
    <w:rsid w:val="00621E73"/>
    <w:rsid w:val="00621FCA"/>
    <w:rsid w:val="006220E7"/>
    <w:rsid w:val="0062214A"/>
    <w:rsid w:val="006221DA"/>
    <w:rsid w:val="00622211"/>
    <w:rsid w:val="00622277"/>
    <w:rsid w:val="0062229B"/>
    <w:rsid w:val="0062232D"/>
    <w:rsid w:val="00622383"/>
    <w:rsid w:val="006224EB"/>
    <w:rsid w:val="00622513"/>
    <w:rsid w:val="00622562"/>
    <w:rsid w:val="00622607"/>
    <w:rsid w:val="00622653"/>
    <w:rsid w:val="00622698"/>
    <w:rsid w:val="006226AF"/>
    <w:rsid w:val="00622778"/>
    <w:rsid w:val="006227CD"/>
    <w:rsid w:val="006227D4"/>
    <w:rsid w:val="006228E2"/>
    <w:rsid w:val="00622900"/>
    <w:rsid w:val="0062298A"/>
    <w:rsid w:val="006229D1"/>
    <w:rsid w:val="00622A20"/>
    <w:rsid w:val="00622A21"/>
    <w:rsid w:val="00622A7D"/>
    <w:rsid w:val="00622A9B"/>
    <w:rsid w:val="00622AD5"/>
    <w:rsid w:val="00622B9A"/>
    <w:rsid w:val="00622BAD"/>
    <w:rsid w:val="00622C41"/>
    <w:rsid w:val="00622C63"/>
    <w:rsid w:val="00622C67"/>
    <w:rsid w:val="00622C71"/>
    <w:rsid w:val="00622C85"/>
    <w:rsid w:val="00622E41"/>
    <w:rsid w:val="00622E65"/>
    <w:rsid w:val="00622E73"/>
    <w:rsid w:val="0062302D"/>
    <w:rsid w:val="006230BC"/>
    <w:rsid w:val="00623126"/>
    <w:rsid w:val="0062313D"/>
    <w:rsid w:val="0062316D"/>
    <w:rsid w:val="00623215"/>
    <w:rsid w:val="0062330B"/>
    <w:rsid w:val="00623355"/>
    <w:rsid w:val="006233E9"/>
    <w:rsid w:val="00623434"/>
    <w:rsid w:val="006234D4"/>
    <w:rsid w:val="00623508"/>
    <w:rsid w:val="00623512"/>
    <w:rsid w:val="006235DF"/>
    <w:rsid w:val="00623654"/>
    <w:rsid w:val="00623677"/>
    <w:rsid w:val="00623686"/>
    <w:rsid w:val="00623708"/>
    <w:rsid w:val="00623820"/>
    <w:rsid w:val="0062388D"/>
    <w:rsid w:val="00623979"/>
    <w:rsid w:val="006239DC"/>
    <w:rsid w:val="00623AB2"/>
    <w:rsid w:val="00623B93"/>
    <w:rsid w:val="00623C2B"/>
    <w:rsid w:val="00623C75"/>
    <w:rsid w:val="00623D3F"/>
    <w:rsid w:val="00623DEE"/>
    <w:rsid w:val="00624028"/>
    <w:rsid w:val="0062402B"/>
    <w:rsid w:val="006240A9"/>
    <w:rsid w:val="00624114"/>
    <w:rsid w:val="00624167"/>
    <w:rsid w:val="00624169"/>
    <w:rsid w:val="006241C8"/>
    <w:rsid w:val="00624259"/>
    <w:rsid w:val="006242B7"/>
    <w:rsid w:val="006242DE"/>
    <w:rsid w:val="00624317"/>
    <w:rsid w:val="006243A5"/>
    <w:rsid w:val="006244B0"/>
    <w:rsid w:val="00624502"/>
    <w:rsid w:val="00624551"/>
    <w:rsid w:val="00624575"/>
    <w:rsid w:val="006245D2"/>
    <w:rsid w:val="00624670"/>
    <w:rsid w:val="006246B3"/>
    <w:rsid w:val="0062483B"/>
    <w:rsid w:val="006248A1"/>
    <w:rsid w:val="0062490A"/>
    <w:rsid w:val="00624920"/>
    <w:rsid w:val="0062494C"/>
    <w:rsid w:val="00624A12"/>
    <w:rsid w:val="00624B3D"/>
    <w:rsid w:val="00624BEC"/>
    <w:rsid w:val="00624C15"/>
    <w:rsid w:val="00624D3B"/>
    <w:rsid w:val="00624D91"/>
    <w:rsid w:val="00624E26"/>
    <w:rsid w:val="00624E4E"/>
    <w:rsid w:val="00624F31"/>
    <w:rsid w:val="00624F8E"/>
    <w:rsid w:val="00624FEA"/>
    <w:rsid w:val="00625007"/>
    <w:rsid w:val="00625069"/>
    <w:rsid w:val="006250E2"/>
    <w:rsid w:val="0062514A"/>
    <w:rsid w:val="006251A8"/>
    <w:rsid w:val="006251EF"/>
    <w:rsid w:val="00625228"/>
    <w:rsid w:val="00625258"/>
    <w:rsid w:val="006252C8"/>
    <w:rsid w:val="006252F5"/>
    <w:rsid w:val="00625374"/>
    <w:rsid w:val="006254E3"/>
    <w:rsid w:val="006254FD"/>
    <w:rsid w:val="00625502"/>
    <w:rsid w:val="0062551B"/>
    <w:rsid w:val="0062553A"/>
    <w:rsid w:val="0062559A"/>
    <w:rsid w:val="006255E0"/>
    <w:rsid w:val="0062561A"/>
    <w:rsid w:val="00625689"/>
    <w:rsid w:val="006256DF"/>
    <w:rsid w:val="00625715"/>
    <w:rsid w:val="00625749"/>
    <w:rsid w:val="006257C8"/>
    <w:rsid w:val="0062585D"/>
    <w:rsid w:val="006258F5"/>
    <w:rsid w:val="00625913"/>
    <w:rsid w:val="00625964"/>
    <w:rsid w:val="00625B3F"/>
    <w:rsid w:val="00625B53"/>
    <w:rsid w:val="00625B5F"/>
    <w:rsid w:val="00625C0D"/>
    <w:rsid w:val="00625CD1"/>
    <w:rsid w:val="00625CE9"/>
    <w:rsid w:val="00625DF7"/>
    <w:rsid w:val="00625E89"/>
    <w:rsid w:val="00625EDE"/>
    <w:rsid w:val="00625FE8"/>
    <w:rsid w:val="00625FFF"/>
    <w:rsid w:val="00626079"/>
    <w:rsid w:val="006260E5"/>
    <w:rsid w:val="00626154"/>
    <w:rsid w:val="0062617D"/>
    <w:rsid w:val="006262A2"/>
    <w:rsid w:val="0062630B"/>
    <w:rsid w:val="006264DC"/>
    <w:rsid w:val="006264E7"/>
    <w:rsid w:val="006265D8"/>
    <w:rsid w:val="006266A7"/>
    <w:rsid w:val="0062675E"/>
    <w:rsid w:val="0062686C"/>
    <w:rsid w:val="0062689F"/>
    <w:rsid w:val="00626985"/>
    <w:rsid w:val="00626A17"/>
    <w:rsid w:val="00626BA3"/>
    <w:rsid w:val="00626BB4"/>
    <w:rsid w:val="00626BE4"/>
    <w:rsid w:val="00626CB3"/>
    <w:rsid w:val="00626D14"/>
    <w:rsid w:val="00626D34"/>
    <w:rsid w:val="00626D57"/>
    <w:rsid w:val="00626DDD"/>
    <w:rsid w:val="00626E19"/>
    <w:rsid w:val="00626E20"/>
    <w:rsid w:val="00626F11"/>
    <w:rsid w:val="00626FCD"/>
    <w:rsid w:val="00627013"/>
    <w:rsid w:val="00627067"/>
    <w:rsid w:val="006273F6"/>
    <w:rsid w:val="00627444"/>
    <w:rsid w:val="00627460"/>
    <w:rsid w:val="00627505"/>
    <w:rsid w:val="0062766C"/>
    <w:rsid w:val="006276AE"/>
    <w:rsid w:val="00627719"/>
    <w:rsid w:val="00627721"/>
    <w:rsid w:val="00627776"/>
    <w:rsid w:val="0062778F"/>
    <w:rsid w:val="00627890"/>
    <w:rsid w:val="006278F5"/>
    <w:rsid w:val="0062799C"/>
    <w:rsid w:val="006279B7"/>
    <w:rsid w:val="006279C2"/>
    <w:rsid w:val="00627AC1"/>
    <w:rsid w:val="00627AFD"/>
    <w:rsid w:val="00627B2A"/>
    <w:rsid w:val="00627BE9"/>
    <w:rsid w:val="00627C3D"/>
    <w:rsid w:val="00627C69"/>
    <w:rsid w:val="00627C95"/>
    <w:rsid w:val="00627CA6"/>
    <w:rsid w:val="00627DB5"/>
    <w:rsid w:val="0063009C"/>
    <w:rsid w:val="006300DF"/>
    <w:rsid w:val="006300EB"/>
    <w:rsid w:val="00630128"/>
    <w:rsid w:val="00630143"/>
    <w:rsid w:val="00630191"/>
    <w:rsid w:val="006301C4"/>
    <w:rsid w:val="006301DB"/>
    <w:rsid w:val="006301E8"/>
    <w:rsid w:val="00630218"/>
    <w:rsid w:val="0063025E"/>
    <w:rsid w:val="006302A8"/>
    <w:rsid w:val="006302F3"/>
    <w:rsid w:val="006302FE"/>
    <w:rsid w:val="006304AC"/>
    <w:rsid w:val="006304FD"/>
    <w:rsid w:val="0063058C"/>
    <w:rsid w:val="006305AD"/>
    <w:rsid w:val="006305B1"/>
    <w:rsid w:val="0063062F"/>
    <w:rsid w:val="006306D7"/>
    <w:rsid w:val="0063078F"/>
    <w:rsid w:val="006307F3"/>
    <w:rsid w:val="00630857"/>
    <w:rsid w:val="006308F5"/>
    <w:rsid w:val="006309AD"/>
    <w:rsid w:val="006309CC"/>
    <w:rsid w:val="00630A9B"/>
    <w:rsid w:val="00630ACE"/>
    <w:rsid w:val="00630B3A"/>
    <w:rsid w:val="00630B48"/>
    <w:rsid w:val="00630BE9"/>
    <w:rsid w:val="00630DE9"/>
    <w:rsid w:val="00630E7A"/>
    <w:rsid w:val="00630EC1"/>
    <w:rsid w:val="00630EF8"/>
    <w:rsid w:val="00630F33"/>
    <w:rsid w:val="00631020"/>
    <w:rsid w:val="00631099"/>
    <w:rsid w:val="00631112"/>
    <w:rsid w:val="00631140"/>
    <w:rsid w:val="006311FB"/>
    <w:rsid w:val="0063122C"/>
    <w:rsid w:val="006313D0"/>
    <w:rsid w:val="006313E0"/>
    <w:rsid w:val="006313E2"/>
    <w:rsid w:val="0063146A"/>
    <w:rsid w:val="006315C2"/>
    <w:rsid w:val="006315D4"/>
    <w:rsid w:val="006316C0"/>
    <w:rsid w:val="00631727"/>
    <w:rsid w:val="0063172D"/>
    <w:rsid w:val="006317CA"/>
    <w:rsid w:val="006317F4"/>
    <w:rsid w:val="0063180B"/>
    <w:rsid w:val="0063181B"/>
    <w:rsid w:val="00631851"/>
    <w:rsid w:val="006318D1"/>
    <w:rsid w:val="0063190E"/>
    <w:rsid w:val="006319C9"/>
    <w:rsid w:val="006319E1"/>
    <w:rsid w:val="00631A53"/>
    <w:rsid w:val="00631AAC"/>
    <w:rsid w:val="00631AD7"/>
    <w:rsid w:val="00631AE1"/>
    <w:rsid w:val="00631BB4"/>
    <w:rsid w:val="00631C0E"/>
    <w:rsid w:val="00631C80"/>
    <w:rsid w:val="00631CD2"/>
    <w:rsid w:val="00631CEC"/>
    <w:rsid w:val="00631DA0"/>
    <w:rsid w:val="00631DDD"/>
    <w:rsid w:val="00631E02"/>
    <w:rsid w:val="00631E55"/>
    <w:rsid w:val="00631EE2"/>
    <w:rsid w:val="00631F1C"/>
    <w:rsid w:val="00631F74"/>
    <w:rsid w:val="00631FDC"/>
    <w:rsid w:val="00632069"/>
    <w:rsid w:val="0063215D"/>
    <w:rsid w:val="006321B2"/>
    <w:rsid w:val="006321EA"/>
    <w:rsid w:val="00632215"/>
    <w:rsid w:val="0063229F"/>
    <w:rsid w:val="006322A4"/>
    <w:rsid w:val="006322C9"/>
    <w:rsid w:val="006323F2"/>
    <w:rsid w:val="00632505"/>
    <w:rsid w:val="006325C1"/>
    <w:rsid w:val="00632667"/>
    <w:rsid w:val="00632677"/>
    <w:rsid w:val="006326B2"/>
    <w:rsid w:val="00632747"/>
    <w:rsid w:val="0063282E"/>
    <w:rsid w:val="0063284C"/>
    <w:rsid w:val="0063285C"/>
    <w:rsid w:val="006328C4"/>
    <w:rsid w:val="006328CE"/>
    <w:rsid w:val="00632904"/>
    <w:rsid w:val="00632932"/>
    <w:rsid w:val="0063295D"/>
    <w:rsid w:val="00632960"/>
    <w:rsid w:val="00632A6A"/>
    <w:rsid w:val="00632A8C"/>
    <w:rsid w:val="00632C08"/>
    <w:rsid w:val="00632C5C"/>
    <w:rsid w:val="00632C60"/>
    <w:rsid w:val="00632CA3"/>
    <w:rsid w:val="00632D16"/>
    <w:rsid w:val="00632D29"/>
    <w:rsid w:val="00632D3D"/>
    <w:rsid w:val="00632D4D"/>
    <w:rsid w:val="00632D64"/>
    <w:rsid w:val="00632E0A"/>
    <w:rsid w:val="00632E42"/>
    <w:rsid w:val="00632EB1"/>
    <w:rsid w:val="00632EBB"/>
    <w:rsid w:val="00632F49"/>
    <w:rsid w:val="00633012"/>
    <w:rsid w:val="00633087"/>
    <w:rsid w:val="006330E6"/>
    <w:rsid w:val="0063311A"/>
    <w:rsid w:val="00633163"/>
    <w:rsid w:val="006331D6"/>
    <w:rsid w:val="006331EA"/>
    <w:rsid w:val="00633282"/>
    <w:rsid w:val="006333EB"/>
    <w:rsid w:val="00633481"/>
    <w:rsid w:val="006334C5"/>
    <w:rsid w:val="00633527"/>
    <w:rsid w:val="006336AC"/>
    <w:rsid w:val="006336C3"/>
    <w:rsid w:val="00633738"/>
    <w:rsid w:val="0063381B"/>
    <w:rsid w:val="0063391F"/>
    <w:rsid w:val="00633938"/>
    <w:rsid w:val="0063393D"/>
    <w:rsid w:val="00633964"/>
    <w:rsid w:val="00633985"/>
    <w:rsid w:val="00633A27"/>
    <w:rsid w:val="00633A2D"/>
    <w:rsid w:val="00633B65"/>
    <w:rsid w:val="00633CFC"/>
    <w:rsid w:val="00633D5B"/>
    <w:rsid w:val="00633DA1"/>
    <w:rsid w:val="00633DE6"/>
    <w:rsid w:val="00633EC6"/>
    <w:rsid w:val="00633F29"/>
    <w:rsid w:val="00633FBC"/>
    <w:rsid w:val="00634075"/>
    <w:rsid w:val="006340FA"/>
    <w:rsid w:val="006343EE"/>
    <w:rsid w:val="006343F7"/>
    <w:rsid w:val="00634424"/>
    <w:rsid w:val="00634437"/>
    <w:rsid w:val="0063446A"/>
    <w:rsid w:val="006344AF"/>
    <w:rsid w:val="00634536"/>
    <w:rsid w:val="0063454C"/>
    <w:rsid w:val="00634577"/>
    <w:rsid w:val="0063458A"/>
    <w:rsid w:val="006345EA"/>
    <w:rsid w:val="006345F6"/>
    <w:rsid w:val="006346FB"/>
    <w:rsid w:val="0063477C"/>
    <w:rsid w:val="006348C4"/>
    <w:rsid w:val="006349D2"/>
    <w:rsid w:val="00634AEC"/>
    <w:rsid w:val="00634B52"/>
    <w:rsid w:val="00634C94"/>
    <w:rsid w:val="00634CA6"/>
    <w:rsid w:val="00634CCE"/>
    <w:rsid w:val="00634CE4"/>
    <w:rsid w:val="00634D16"/>
    <w:rsid w:val="00634D3B"/>
    <w:rsid w:val="00634DBA"/>
    <w:rsid w:val="00634E6A"/>
    <w:rsid w:val="00634E7C"/>
    <w:rsid w:val="00635003"/>
    <w:rsid w:val="0063508A"/>
    <w:rsid w:val="006350DF"/>
    <w:rsid w:val="00635128"/>
    <w:rsid w:val="00635150"/>
    <w:rsid w:val="00635187"/>
    <w:rsid w:val="006351B4"/>
    <w:rsid w:val="00635241"/>
    <w:rsid w:val="00635343"/>
    <w:rsid w:val="00635523"/>
    <w:rsid w:val="0063554D"/>
    <w:rsid w:val="006357D7"/>
    <w:rsid w:val="00635888"/>
    <w:rsid w:val="006358F2"/>
    <w:rsid w:val="00635996"/>
    <w:rsid w:val="006359D5"/>
    <w:rsid w:val="00635A2F"/>
    <w:rsid w:val="00635B49"/>
    <w:rsid w:val="00635C35"/>
    <w:rsid w:val="00635C97"/>
    <w:rsid w:val="00635CA2"/>
    <w:rsid w:val="00635CB4"/>
    <w:rsid w:val="00635DA4"/>
    <w:rsid w:val="00635DD7"/>
    <w:rsid w:val="00635E0E"/>
    <w:rsid w:val="00635EB5"/>
    <w:rsid w:val="00635EEE"/>
    <w:rsid w:val="00635F6A"/>
    <w:rsid w:val="00635FA3"/>
    <w:rsid w:val="00635FE8"/>
    <w:rsid w:val="006360A2"/>
    <w:rsid w:val="00636114"/>
    <w:rsid w:val="006361C5"/>
    <w:rsid w:val="006361DE"/>
    <w:rsid w:val="0063620D"/>
    <w:rsid w:val="00636218"/>
    <w:rsid w:val="0063626F"/>
    <w:rsid w:val="00636287"/>
    <w:rsid w:val="006362C4"/>
    <w:rsid w:val="0063638B"/>
    <w:rsid w:val="00636396"/>
    <w:rsid w:val="006364D0"/>
    <w:rsid w:val="00636582"/>
    <w:rsid w:val="006365DD"/>
    <w:rsid w:val="00636648"/>
    <w:rsid w:val="0063673B"/>
    <w:rsid w:val="00636763"/>
    <w:rsid w:val="00636764"/>
    <w:rsid w:val="00636782"/>
    <w:rsid w:val="006367AA"/>
    <w:rsid w:val="006367BF"/>
    <w:rsid w:val="00636852"/>
    <w:rsid w:val="0063685D"/>
    <w:rsid w:val="00636A2F"/>
    <w:rsid w:val="00636A62"/>
    <w:rsid w:val="00636B65"/>
    <w:rsid w:val="00636B77"/>
    <w:rsid w:val="00636BAB"/>
    <w:rsid w:val="00636BF9"/>
    <w:rsid w:val="00636C93"/>
    <w:rsid w:val="00636C9E"/>
    <w:rsid w:val="00636D38"/>
    <w:rsid w:val="00636E7F"/>
    <w:rsid w:val="00636ECE"/>
    <w:rsid w:val="00636EE2"/>
    <w:rsid w:val="00636F3B"/>
    <w:rsid w:val="00636FA7"/>
    <w:rsid w:val="00637006"/>
    <w:rsid w:val="0063707E"/>
    <w:rsid w:val="00637094"/>
    <w:rsid w:val="006370DA"/>
    <w:rsid w:val="0063716C"/>
    <w:rsid w:val="0063717F"/>
    <w:rsid w:val="006371BC"/>
    <w:rsid w:val="006371DF"/>
    <w:rsid w:val="00637208"/>
    <w:rsid w:val="00637252"/>
    <w:rsid w:val="006373AC"/>
    <w:rsid w:val="00637427"/>
    <w:rsid w:val="00637605"/>
    <w:rsid w:val="0063766F"/>
    <w:rsid w:val="00637672"/>
    <w:rsid w:val="00637678"/>
    <w:rsid w:val="006377BF"/>
    <w:rsid w:val="006377FC"/>
    <w:rsid w:val="00637873"/>
    <w:rsid w:val="006378AE"/>
    <w:rsid w:val="00637A30"/>
    <w:rsid w:val="00637AD5"/>
    <w:rsid w:val="00637B54"/>
    <w:rsid w:val="00637C6E"/>
    <w:rsid w:val="00637DF1"/>
    <w:rsid w:val="00637ED0"/>
    <w:rsid w:val="00637EE4"/>
    <w:rsid w:val="00637F7C"/>
    <w:rsid w:val="00637F94"/>
    <w:rsid w:val="00637F99"/>
    <w:rsid w:val="00637FF1"/>
    <w:rsid w:val="0064003B"/>
    <w:rsid w:val="006400F7"/>
    <w:rsid w:val="006401C6"/>
    <w:rsid w:val="006401CC"/>
    <w:rsid w:val="00640336"/>
    <w:rsid w:val="006403AE"/>
    <w:rsid w:val="006403E1"/>
    <w:rsid w:val="006404CB"/>
    <w:rsid w:val="006405CE"/>
    <w:rsid w:val="006405DD"/>
    <w:rsid w:val="0064060A"/>
    <w:rsid w:val="006406DD"/>
    <w:rsid w:val="006406DE"/>
    <w:rsid w:val="006407F9"/>
    <w:rsid w:val="0064085B"/>
    <w:rsid w:val="006408AF"/>
    <w:rsid w:val="006408CA"/>
    <w:rsid w:val="006408EA"/>
    <w:rsid w:val="0064091C"/>
    <w:rsid w:val="0064093D"/>
    <w:rsid w:val="0064093F"/>
    <w:rsid w:val="006409C6"/>
    <w:rsid w:val="00640A15"/>
    <w:rsid w:val="00640A8E"/>
    <w:rsid w:val="00640B80"/>
    <w:rsid w:val="00640C33"/>
    <w:rsid w:val="00640C3D"/>
    <w:rsid w:val="00640C3F"/>
    <w:rsid w:val="00640DE7"/>
    <w:rsid w:val="00640E85"/>
    <w:rsid w:val="00640EE6"/>
    <w:rsid w:val="00640F7A"/>
    <w:rsid w:val="0064117B"/>
    <w:rsid w:val="0064120B"/>
    <w:rsid w:val="00641251"/>
    <w:rsid w:val="00641254"/>
    <w:rsid w:val="00641300"/>
    <w:rsid w:val="00641345"/>
    <w:rsid w:val="006413B2"/>
    <w:rsid w:val="006413B9"/>
    <w:rsid w:val="006413BB"/>
    <w:rsid w:val="0064151D"/>
    <w:rsid w:val="00641601"/>
    <w:rsid w:val="00641612"/>
    <w:rsid w:val="00641644"/>
    <w:rsid w:val="00641661"/>
    <w:rsid w:val="006416A3"/>
    <w:rsid w:val="006416A8"/>
    <w:rsid w:val="006416C8"/>
    <w:rsid w:val="00641704"/>
    <w:rsid w:val="006417E9"/>
    <w:rsid w:val="006418B3"/>
    <w:rsid w:val="00641902"/>
    <w:rsid w:val="006419B2"/>
    <w:rsid w:val="00641A3B"/>
    <w:rsid w:val="00641A40"/>
    <w:rsid w:val="00641A79"/>
    <w:rsid w:val="00641AA2"/>
    <w:rsid w:val="00641B11"/>
    <w:rsid w:val="00641B1C"/>
    <w:rsid w:val="00641B22"/>
    <w:rsid w:val="00641BAF"/>
    <w:rsid w:val="00641C52"/>
    <w:rsid w:val="00641CE2"/>
    <w:rsid w:val="00641D20"/>
    <w:rsid w:val="00641DE2"/>
    <w:rsid w:val="00641E44"/>
    <w:rsid w:val="00641FD2"/>
    <w:rsid w:val="00642180"/>
    <w:rsid w:val="00642232"/>
    <w:rsid w:val="00642264"/>
    <w:rsid w:val="006422F0"/>
    <w:rsid w:val="00642463"/>
    <w:rsid w:val="006424BD"/>
    <w:rsid w:val="006424CF"/>
    <w:rsid w:val="006424E4"/>
    <w:rsid w:val="0064252B"/>
    <w:rsid w:val="0064254A"/>
    <w:rsid w:val="00642640"/>
    <w:rsid w:val="00642672"/>
    <w:rsid w:val="006426A4"/>
    <w:rsid w:val="006426A7"/>
    <w:rsid w:val="006426AB"/>
    <w:rsid w:val="006426F0"/>
    <w:rsid w:val="006426F7"/>
    <w:rsid w:val="00642756"/>
    <w:rsid w:val="006427E7"/>
    <w:rsid w:val="00642806"/>
    <w:rsid w:val="00642851"/>
    <w:rsid w:val="0064294F"/>
    <w:rsid w:val="00642961"/>
    <w:rsid w:val="00642969"/>
    <w:rsid w:val="006429C7"/>
    <w:rsid w:val="00642A11"/>
    <w:rsid w:val="00642A16"/>
    <w:rsid w:val="00642A25"/>
    <w:rsid w:val="00642A31"/>
    <w:rsid w:val="00642B29"/>
    <w:rsid w:val="00642BD9"/>
    <w:rsid w:val="00642C02"/>
    <w:rsid w:val="00642C3A"/>
    <w:rsid w:val="00642C4D"/>
    <w:rsid w:val="00642CAF"/>
    <w:rsid w:val="00642D84"/>
    <w:rsid w:val="00642DC6"/>
    <w:rsid w:val="00642E10"/>
    <w:rsid w:val="00642E58"/>
    <w:rsid w:val="00642E59"/>
    <w:rsid w:val="00642F55"/>
    <w:rsid w:val="00643003"/>
    <w:rsid w:val="00643018"/>
    <w:rsid w:val="00643230"/>
    <w:rsid w:val="0064325E"/>
    <w:rsid w:val="00643276"/>
    <w:rsid w:val="006432D8"/>
    <w:rsid w:val="006432DA"/>
    <w:rsid w:val="006432E6"/>
    <w:rsid w:val="006432F7"/>
    <w:rsid w:val="0064339E"/>
    <w:rsid w:val="006433D4"/>
    <w:rsid w:val="0064340A"/>
    <w:rsid w:val="0064344E"/>
    <w:rsid w:val="006434D2"/>
    <w:rsid w:val="00643538"/>
    <w:rsid w:val="00643580"/>
    <w:rsid w:val="0064360E"/>
    <w:rsid w:val="00643637"/>
    <w:rsid w:val="0064370D"/>
    <w:rsid w:val="00643723"/>
    <w:rsid w:val="006437DB"/>
    <w:rsid w:val="006437F5"/>
    <w:rsid w:val="006438D3"/>
    <w:rsid w:val="006439B7"/>
    <w:rsid w:val="006439F0"/>
    <w:rsid w:val="00643A12"/>
    <w:rsid w:val="00643A6A"/>
    <w:rsid w:val="00643B6B"/>
    <w:rsid w:val="00643BE7"/>
    <w:rsid w:val="00643C93"/>
    <w:rsid w:val="00643CCB"/>
    <w:rsid w:val="00643D1A"/>
    <w:rsid w:val="00643D42"/>
    <w:rsid w:val="00643D53"/>
    <w:rsid w:val="00643DD7"/>
    <w:rsid w:val="00643E03"/>
    <w:rsid w:val="00643E86"/>
    <w:rsid w:val="00643EF5"/>
    <w:rsid w:val="00643EFE"/>
    <w:rsid w:val="00643F4A"/>
    <w:rsid w:val="0064412E"/>
    <w:rsid w:val="00644145"/>
    <w:rsid w:val="00644182"/>
    <w:rsid w:val="00644244"/>
    <w:rsid w:val="00644299"/>
    <w:rsid w:val="006442BE"/>
    <w:rsid w:val="00644304"/>
    <w:rsid w:val="00644351"/>
    <w:rsid w:val="00644377"/>
    <w:rsid w:val="006443A9"/>
    <w:rsid w:val="006443BC"/>
    <w:rsid w:val="006443DF"/>
    <w:rsid w:val="00644525"/>
    <w:rsid w:val="006445AB"/>
    <w:rsid w:val="006445CE"/>
    <w:rsid w:val="00644621"/>
    <w:rsid w:val="0064467F"/>
    <w:rsid w:val="0064474B"/>
    <w:rsid w:val="00644837"/>
    <w:rsid w:val="0064488A"/>
    <w:rsid w:val="006448BC"/>
    <w:rsid w:val="006448FB"/>
    <w:rsid w:val="00644B2D"/>
    <w:rsid w:val="00644C62"/>
    <w:rsid w:val="00644CDF"/>
    <w:rsid w:val="00644D19"/>
    <w:rsid w:val="00644DB3"/>
    <w:rsid w:val="00644E8A"/>
    <w:rsid w:val="00644ECB"/>
    <w:rsid w:val="00644F02"/>
    <w:rsid w:val="00644F9B"/>
    <w:rsid w:val="00644FD2"/>
    <w:rsid w:val="0064500D"/>
    <w:rsid w:val="00645121"/>
    <w:rsid w:val="0064513E"/>
    <w:rsid w:val="006451BA"/>
    <w:rsid w:val="006452AE"/>
    <w:rsid w:val="00645386"/>
    <w:rsid w:val="006453F8"/>
    <w:rsid w:val="00645455"/>
    <w:rsid w:val="006454AC"/>
    <w:rsid w:val="006454F6"/>
    <w:rsid w:val="00645718"/>
    <w:rsid w:val="00645725"/>
    <w:rsid w:val="00645762"/>
    <w:rsid w:val="0064582B"/>
    <w:rsid w:val="00645839"/>
    <w:rsid w:val="0064586C"/>
    <w:rsid w:val="00645890"/>
    <w:rsid w:val="00645897"/>
    <w:rsid w:val="00645899"/>
    <w:rsid w:val="006458B1"/>
    <w:rsid w:val="006459D1"/>
    <w:rsid w:val="00645A17"/>
    <w:rsid w:val="00645C38"/>
    <w:rsid w:val="00645D36"/>
    <w:rsid w:val="00645D63"/>
    <w:rsid w:val="00645DD6"/>
    <w:rsid w:val="00645E2B"/>
    <w:rsid w:val="00645E36"/>
    <w:rsid w:val="00645E59"/>
    <w:rsid w:val="00645EB9"/>
    <w:rsid w:val="00645F34"/>
    <w:rsid w:val="00645F8A"/>
    <w:rsid w:val="00645F91"/>
    <w:rsid w:val="00646068"/>
    <w:rsid w:val="006460E8"/>
    <w:rsid w:val="006461F8"/>
    <w:rsid w:val="006462AC"/>
    <w:rsid w:val="00646305"/>
    <w:rsid w:val="0064632D"/>
    <w:rsid w:val="006463CC"/>
    <w:rsid w:val="00646401"/>
    <w:rsid w:val="00646450"/>
    <w:rsid w:val="006464AE"/>
    <w:rsid w:val="00646517"/>
    <w:rsid w:val="00646591"/>
    <w:rsid w:val="006466AE"/>
    <w:rsid w:val="00646727"/>
    <w:rsid w:val="00646745"/>
    <w:rsid w:val="0064674C"/>
    <w:rsid w:val="006467F7"/>
    <w:rsid w:val="00646896"/>
    <w:rsid w:val="0064689F"/>
    <w:rsid w:val="006468D0"/>
    <w:rsid w:val="006468E2"/>
    <w:rsid w:val="0064695A"/>
    <w:rsid w:val="006469C4"/>
    <w:rsid w:val="00646A6F"/>
    <w:rsid w:val="00646B2C"/>
    <w:rsid w:val="00646B2F"/>
    <w:rsid w:val="00646B6D"/>
    <w:rsid w:val="00646B84"/>
    <w:rsid w:val="00646CB1"/>
    <w:rsid w:val="00646CEE"/>
    <w:rsid w:val="00646D39"/>
    <w:rsid w:val="00646D60"/>
    <w:rsid w:val="00646DB7"/>
    <w:rsid w:val="00646E00"/>
    <w:rsid w:val="00646E0F"/>
    <w:rsid w:val="00646F50"/>
    <w:rsid w:val="00646FC1"/>
    <w:rsid w:val="00647016"/>
    <w:rsid w:val="0064701D"/>
    <w:rsid w:val="00647071"/>
    <w:rsid w:val="00647077"/>
    <w:rsid w:val="00647101"/>
    <w:rsid w:val="00647157"/>
    <w:rsid w:val="0064717B"/>
    <w:rsid w:val="006471D3"/>
    <w:rsid w:val="0064721E"/>
    <w:rsid w:val="006472B9"/>
    <w:rsid w:val="006474C4"/>
    <w:rsid w:val="0064751C"/>
    <w:rsid w:val="0064754E"/>
    <w:rsid w:val="00647634"/>
    <w:rsid w:val="00647682"/>
    <w:rsid w:val="006476AA"/>
    <w:rsid w:val="006476E3"/>
    <w:rsid w:val="0064782B"/>
    <w:rsid w:val="006478CC"/>
    <w:rsid w:val="00647905"/>
    <w:rsid w:val="006479F2"/>
    <w:rsid w:val="00647A0A"/>
    <w:rsid w:val="00647AB2"/>
    <w:rsid w:val="00647ABB"/>
    <w:rsid w:val="00647AE4"/>
    <w:rsid w:val="00647B32"/>
    <w:rsid w:val="00647BA6"/>
    <w:rsid w:val="00647BBC"/>
    <w:rsid w:val="00647BC5"/>
    <w:rsid w:val="00647CD4"/>
    <w:rsid w:val="00647CF3"/>
    <w:rsid w:val="00647D21"/>
    <w:rsid w:val="00647DFB"/>
    <w:rsid w:val="00647E00"/>
    <w:rsid w:val="00647E67"/>
    <w:rsid w:val="00647EA0"/>
    <w:rsid w:val="00647EE0"/>
    <w:rsid w:val="00647F3D"/>
    <w:rsid w:val="00647F5C"/>
    <w:rsid w:val="00647FCE"/>
    <w:rsid w:val="006500BE"/>
    <w:rsid w:val="006501FF"/>
    <w:rsid w:val="00650231"/>
    <w:rsid w:val="0065029B"/>
    <w:rsid w:val="006502CB"/>
    <w:rsid w:val="0065043A"/>
    <w:rsid w:val="0065045E"/>
    <w:rsid w:val="006504F0"/>
    <w:rsid w:val="006504FC"/>
    <w:rsid w:val="00650631"/>
    <w:rsid w:val="00650632"/>
    <w:rsid w:val="006506D1"/>
    <w:rsid w:val="00650870"/>
    <w:rsid w:val="00650A19"/>
    <w:rsid w:val="00650A1C"/>
    <w:rsid w:val="00650AB6"/>
    <w:rsid w:val="00650C04"/>
    <w:rsid w:val="00650CB9"/>
    <w:rsid w:val="00650CC1"/>
    <w:rsid w:val="00650D15"/>
    <w:rsid w:val="00650D1E"/>
    <w:rsid w:val="00650DAE"/>
    <w:rsid w:val="00650DB2"/>
    <w:rsid w:val="00650E1F"/>
    <w:rsid w:val="00650E53"/>
    <w:rsid w:val="00650E61"/>
    <w:rsid w:val="00650F5E"/>
    <w:rsid w:val="00650F76"/>
    <w:rsid w:val="0065103E"/>
    <w:rsid w:val="006510C0"/>
    <w:rsid w:val="00651189"/>
    <w:rsid w:val="0065125F"/>
    <w:rsid w:val="00651265"/>
    <w:rsid w:val="00651288"/>
    <w:rsid w:val="006512C2"/>
    <w:rsid w:val="006512E5"/>
    <w:rsid w:val="0065139C"/>
    <w:rsid w:val="0065139F"/>
    <w:rsid w:val="006513D7"/>
    <w:rsid w:val="0065144B"/>
    <w:rsid w:val="00651473"/>
    <w:rsid w:val="006514A8"/>
    <w:rsid w:val="006514BB"/>
    <w:rsid w:val="006515E2"/>
    <w:rsid w:val="0065164D"/>
    <w:rsid w:val="00651664"/>
    <w:rsid w:val="00651684"/>
    <w:rsid w:val="00651688"/>
    <w:rsid w:val="006516DD"/>
    <w:rsid w:val="00651711"/>
    <w:rsid w:val="0065189B"/>
    <w:rsid w:val="006518EA"/>
    <w:rsid w:val="0065193F"/>
    <w:rsid w:val="0065198E"/>
    <w:rsid w:val="00651A03"/>
    <w:rsid w:val="00651BA0"/>
    <w:rsid w:val="00651D05"/>
    <w:rsid w:val="00651D81"/>
    <w:rsid w:val="00651DCC"/>
    <w:rsid w:val="00651E16"/>
    <w:rsid w:val="00651EC5"/>
    <w:rsid w:val="00651F04"/>
    <w:rsid w:val="00651F19"/>
    <w:rsid w:val="00651F7C"/>
    <w:rsid w:val="00651F80"/>
    <w:rsid w:val="00652078"/>
    <w:rsid w:val="0065213F"/>
    <w:rsid w:val="00652208"/>
    <w:rsid w:val="006522F0"/>
    <w:rsid w:val="00652367"/>
    <w:rsid w:val="00652390"/>
    <w:rsid w:val="006523AE"/>
    <w:rsid w:val="00652453"/>
    <w:rsid w:val="00652462"/>
    <w:rsid w:val="0065254D"/>
    <w:rsid w:val="00652562"/>
    <w:rsid w:val="00652565"/>
    <w:rsid w:val="006525A0"/>
    <w:rsid w:val="006525EC"/>
    <w:rsid w:val="006525F4"/>
    <w:rsid w:val="006526D9"/>
    <w:rsid w:val="00652730"/>
    <w:rsid w:val="006527DE"/>
    <w:rsid w:val="006528A3"/>
    <w:rsid w:val="006528ED"/>
    <w:rsid w:val="0065290B"/>
    <w:rsid w:val="00652984"/>
    <w:rsid w:val="006529AF"/>
    <w:rsid w:val="006529DC"/>
    <w:rsid w:val="00652B29"/>
    <w:rsid w:val="00652B67"/>
    <w:rsid w:val="00652CCA"/>
    <w:rsid w:val="00652CD0"/>
    <w:rsid w:val="00652CFA"/>
    <w:rsid w:val="00652D44"/>
    <w:rsid w:val="00652D55"/>
    <w:rsid w:val="00652DC8"/>
    <w:rsid w:val="00652DF0"/>
    <w:rsid w:val="00652F25"/>
    <w:rsid w:val="00652F89"/>
    <w:rsid w:val="00652F94"/>
    <w:rsid w:val="00653065"/>
    <w:rsid w:val="00653432"/>
    <w:rsid w:val="00653486"/>
    <w:rsid w:val="0065351A"/>
    <w:rsid w:val="0065359B"/>
    <w:rsid w:val="006535DE"/>
    <w:rsid w:val="0065368F"/>
    <w:rsid w:val="006536FF"/>
    <w:rsid w:val="006538A9"/>
    <w:rsid w:val="0065391D"/>
    <w:rsid w:val="00653958"/>
    <w:rsid w:val="00653961"/>
    <w:rsid w:val="00653A2E"/>
    <w:rsid w:val="00653A77"/>
    <w:rsid w:val="00653A7D"/>
    <w:rsid w:val="00653A92"/>
    <w:rsid w:val="00653AF1"/>
    <w:rsid w:val="00653AF2"/>
    <w:rsid w:val="00653BDB"/>
    <w:rsid w:val="00653BF1"/>
    <w:rsid w:val="00653C10"/>
    <w:rsid w:val="00653C4B"/>
    <w:rsid w:val="00653D1B"/>
    <w:rsid w:val="00653E4C"/>
    <w:rsid w:val="00653F42"/>
    <w:rsid w:val="00654019"/>
    <w:rsid w:val="0065402F"/>
    <w:rsid w:val="006540B9"/>
    <w:rsid w:val="0065415F"/>
    <w:rsid w:val="006541F7"/>
    <w:rsid w:val="0065420E"/>
    <w:rsid w:val="00654308"/>
    <w:rsid w:val="0065432E"/>
    <w:rsid w:val="00654396"/>
    <w:rsid w:val="006543D9"/>
    <w:rsid w:val="006543DF"/>
    <w:rsid w:val="00654566"/>
    <w:rsid w:val="0065456A"/>
    <w:rsid w:val="00654593"/>
    <w:rsid w:val="0065462D"/>
    <w:rsid w:val="00654658"/>
    <w:rsid w:val="0065475B"/>
    <w:rsid w:val="006547F3"/>
    <w:rsid w:val="0065481A"/>
    <w:rsid w:val="0065482B"/>
    <w:rsid w:val="0065489A"/>
    <w:rsid w:val="00654915"/>
    <w:rsid w:val="0065491A"/>
    <w:rsid w:val="006549A1"/>
    <w:rsid w:val="00654AB5"/>
    <w:rsid w:val="00654B3F"/>
    <w:rsid w:val="00654B4E"/>
    <w:rsid w:val="00654B9F"/>
    <w:rsid w:val="00654C68"/>
    <w:rsid w:val="00654C85"/>
    <w:rsid w:val="00654E01"/>
    <w:rsid w:val="00654E5A"/>
    <w:rsid w:val="00654E67"/>
    <w:rsid w:val="00654E68"/>
    <w:rsid w:val="00654EBF"/>
    <w:rsid w:val="00654ECE"/>
    <w:rsid w:val="00654EFF"/>
    <w:rsid w:val="00654F2F"/>
    <w:rsid w:val="00654F4C"/>
    <w:rsid w:val="00655017"/>
    <w:rsid w:val="00655043"/>
    <w:rsid w:val="00655176"/>
    <w:rsid w:val="006551A2"/>
    <w:rsid w:val="006551F0"/>
    <w:rsid w:val="00655294"/>
    <w:rsid w:val="006552A3"/>
    <w:rsid w:val="0065531E"/>
    <w:rsid w:val="00655336"/>
    <w:rsid w:val="0065541B"/>
    <w:rsid w:val="00655465"/>
    <w:rsid w:val="006554C1"/>
    <w:rsid w:val="006554C4"/>
    <w:rsid w:val="00655539"/>
    <w:rsid w:val="00655551"/>
    <w:rsid w:val="00655699"/>
    <w:rsid w:val="006556A6"/>
    <w:rsid w:val="00655729"/>
    <w:rsid w:val="00655767"/>
    <w:rsid w:val="00655771"/>
    <w:rsid w:val="00655796"/>
    <w:rsid w:val="0065587B"/>
    <w:rsid w:val="00655894"/>
    <w:rsid w:val="006558B8"/>
    <w:rsid w:val="00655934"/>
    <w:rsid w:val="00655A80"/>
    <w:rsid w:val="00655C14"/>
    <w:rsid w:val="00655C39"/>
    <w:rsid w:val="00655D21"/>
    <w:rsid w:val="00655DC2"/>
    <w:rsid w:val="00655E48"/>
    <w:rsid w:val="00655E97"/>
    <w:rsid w:val="00655EE9"/>
    <w:rsid w:val="00655EED"/>
    <w:rsid w:val="00655FE3"/>
    <w:rsid w:val="00655FF7"/>
    <w:rsid w:val="006560C3"/>
    <w:rsid w:val="006560EA"/>
    <w:rsid w:val="00656133"/>
    <w:rsid w:val="0065616E"/>
    <w:rsid w:val="006561A3"/>
    <w:rsid w:val="00656202"/>
    <w:rsid w:val="0065623E"/>
    <w:rsid w:val="0065626E"/>
    <w:rsid w:val="00656397"/>
    <w:rsid w:val="006563EE"/>
    <w:rsid w:val="006564F3"/>
    <w:rsid w:val="00656500"/>
    <w:rsid w:val="006565CD"/>
    <w:rsid w:val="00656610"/>
    <w:rsid w:val="00656676"/>
    <w:rsid w:val="006566A9"/>
    <w:rsid w:val="0065670D"/>
    <w:rsid w:val="00656765"/>
    <w:rsid w:val="006567F4"/>
    <w:rsid w:val="00656811"/>
    <w:rsid w:val="00656814"/>
    <w:rsid w:val="0065690F"/>
    <w:rsid w:val="00656991"/>
    <w:rsid w:val="006569A0"/>
    <w:rsid w:val="00656B3B"/>
    <w:rsid w:val="00656B7A"/>
    <w:rsid w:val="00656C8B"/>
    <w:rsid w:val="00656CBF"/>
    <w:rsid w:val="00656E29"/>
    <w:rsid w:val="00656EA3"/>
    <w:rsid w:val="00656ECE"/>
    <w:rsid w:val="00656F0E"/>
    <w:rsid w:val="00656F8C"/>
    <w:rsid w:val="00656FF2"/>
    <w:rsid w:val="00657008"/>
    <w:rsid w:val="00657176"/>
    <w:rsid w:val="00657184"/>
    <w:rsid w:val="00657223"/>
    <w:rsid w:val="0065724D"/>
    <w:rsid w:val="00657274"/>
    <w:rsid w:val="006572D6"/>
    <w:rsid w:val="006573F5"/>
    <w:rsid w:val="0065760F"/>
    <w:rsid w:val="00657611"/>
    <w:rsid w:val="00657705"/>
    <w:rsid w:val="00657806"/>
    <w:rsid w:val="00657884"/>
    <w:rsid w:val="006578C8"/>
    <w:rsid w:val="006578CE"/>
    <w:rsid w:val="0065790B"/>
    <w:rsid w:val="00657920"/>
    <w:rsid w:val="0065794B"/>
    <w:rsid w:val="0065795D"/>
    <w:rsid w:val="006579BF"/>
    <w:rsid w:val="00657A3D"/>
    <w:rsid w:val="00657AAE"/>
    <w:rsid w:val="00657AC1"/>
    <w:rsid w:val="00657AED"/>
    <w:rsid w:val="00657B6C"/>
    <w:rsid w:val="00657BD1"/>
    <w:rsid w:val="00657C42"/>
    <w:rsid w:val="00657C49"/>
    <w:rsid w:val="00657CFE"/>
    <w:rsid w:val="00657EC2"/>
    <w:rsid w:val="00657F1D"/>
    <w:rsid w:val="00657F85"/>
    <w:rsid w:val="00660066"/>
    <w:rsid w:val="006600D8"/>
    <w:rsid w:val="006600EF"/>
    <w:rsid w:val="0066037B"/>
    <w:rsid w:val="006604C6"/>
    <w:rsid w:val="006604CB"/>
    <w:rsid w:val="006604F4"/>
    <w:rsid w:val="0066056B"/>
    <w:rsid w:val="0066056D"/>
    <w:rsid w:val="00660571"/>
    <w:rsid w:val="006605C7"/>
    <w:rsid w:val="006605F2"/>
    <w:rsid w:val="0066062F"/>
    <w:rsid w:val="006606D4"/>
    <w:rsid w:val="00660755"/>
    <w:rsid w:val="0066084D"/>
    <w:rsid w:val="006608BC"/>
    <w:rsid w:val="00660932"/>
    <w:rsid w:val="00660A5A"/>
    <w:rsid w:val="00660A5B"/>
    <w:rsid w:val="00660AD0"/>
    <w:rsid w:val="00660AE2"/>
    <w:rsid w:val="00660B1E"/>
    <w:rsid w:val="00660C13"/>
    <w:rsid w:val="00660E32"/>
    <w:rsid w:val="00660F54"/>
    <w:rsid w:val="00660F69"/>
    <w:rsid w:val="00660F73"/>
    <w:rsid w:val="00660FC6"/>
    <w:rsid w:val="00660FCF"/>
    <w:rsid w:val="00660FDA"/>
    <w:rsid w:val="00660FF0"/>
    <w:rsid w:val="006610BA"/>
    <w:rsid w:val="00661162"/>
    <w:rsid w:val="006611BD"/>
    <w:rsid w:val="00661210"/>
    <w:rsid w:val="00661262"/>
    <w:rsid w:val="00661298"/>
    <w:rsid w:val="00661345"/>
    <w:rsid w:val="006613E6"/>
    <w:rsid w:val="0066141F"/>
    <w:rsid w:val="00661484"/>
    <w:rsid w:val="00661521"/>
    <w:rsid w:val="00661674"/>
    <w:rsid w:val="00661682"/>
    <w:rsid w:val="00661686"/>
    <w:rsid w:val="006616A4"/>
    <w:rsid w:val="006616FE"/>
    <w:rsid w:val="00661704"/>
    <w:rsid w:val="00661713"/>
    <w:rsid w:val="00661796"/>
    <w:rsid w:val="006617A4"/>
    <w:rsid w:val="006617D4"/>
    <w:rsid w:val="006618FF"/>
    <w:rsid w:val="00661901"/>
    <w:rsid w:val="00661911"/>
    <w:rsid w:val="00661971"/>
    <w:rsid w:val="00661A4F"/>
    <w:rsid w:val="00661A51"/>
    <w:rsid w:val="00661A69"/>
    <w:rsid w:val="00661A7A"/>
    <w:rsid w:val="00661BD2"/>
    <w:rsid w:val="00661BF4"/>
    <w:rsid w:val="00661C17"/>
    <w:rsid w:val="00661C38"/>
    <w:rsid w:val="00661D06"/>
    <w:rsid w:val="00661DDC"/>
    <w:rsid w:val="00661E2C"/>
    <w:rsid w:val="00661FD2"/>
    <w:rsid w:val="00661FD3"/>
    <w:rsid w:val="006620E4"/>
    <w:rsid w:val="006620F4"/>
    <w:rsid w:val="006621E9"/>
    <w:rsid w:val="0066228C"/>
    <w:rsid w:val="0066234F"/>
    <w:rsid w:val="00662365"/>
    <w:rsid w:val="00662388"/>
    <w:rsid w:val="006623CF"/>
    <w:rsid w:val="0066245F"/>
    <w:rsid w:val="00662527"/>
    <w:rsid w:val="00662537"/>
    <w:rsid w:val="006626DA"/>
    <w:rsid w:val="006626FA"/>
    <w:rsid w:val="0066274D"/>
    <w:rsid w:val="006628D3"/>
    <w:rsid w:val="006628E7"/>
    <w:rsid w:val="00662B24"/>
    <w:rsid w:val="00662BCD"/>
    <w:rsid w:val="00662C65"/>
    <w:rsid w:val="00662CEC"/>
    <w:rsid w:val="00662DC5"/>
    <w:rsid w:val="00662FD3"/>
    <w:rsid w:val="00663058"/>
    <w:rsid w:val="0066305D"/>
    <w:rsid w:val="00663099"/>
    <w:rsid w:val="006630BF"/>
    <w:rsid w:val="006630C4"/>
    <w:rsid w:val="006631BF"/>
    <w:rsid w:val="00663314"/>
    <w:rsid w:val="00663374"/>
    <w:rsid w:val="00663599"/>
    <w:rsid w:val="006635CD"/>
    <w:rsid w:val="00663772"/>
    <w:rsid w:val="006637B2"/>
    <w:rsid w:val="006637BB"/>
    <w:rsid w:val="006637C0"/>
    <w:rsid w:val="006637CC"/>
    <w:rsid w:val="006637D4"/>
    <w:rsid w:val="006637EC"/>
    <w:rsid w:val="00663877"/>
    <w:rsid w:val="006638A9"/>
    <w:rsid w:val="006638DB"/>
    <w:rsid w:val="00663953"/>
    <w:rsid w:val="0066398B"/>
    <w:rsid w:val="00663997"/>
    <w:rsid w:val="006639EB"/>
    <w:rsid w:val="00663A09"/>
    <w:rsid w:val="00663A9E"/>
    <w:rsid w:val="00663A9F"/>
    <w:rsid w:val="00663B49"/>
    <w:rsid w:val="00663B4A"/>
    <w:rsid w:val="00663BD0"/>
    <w:rsid w:val="00663BDE"/>
    <w:rsid w:val="00663C0E"/>
    <w:rsid w:val="00663C28"/>
    <w:rsid w:val="00663C80"/>
    <w:rsid w:val="00663CA1"/>
    <w:rsid w:val="00663D1C"/>
    <w:rsid w:val="00663D3B"/>
    <w:rsid w:val="00663D46"/>
    <w:rsid w:val="00663EF2"/>
    <w:rsid w:val="00663FBF"/>
    <w:rsid w:val="00664014"/>
    <w:rsid w:val="0066403D"/>
    <w:rsid w:val="006640C8"/>
    <w:rsid w:val="0066414C"/>
    <w:rsid w:val="0066422A"/>
    <w:rsid w:val="0066426C"/>
    <w:rsid w:val="006642AE"/>
    <w:rsid w:val="006642B9"/>
    <w:rsid w:val="006642F1"/>
    <w:rsid w:val="00664365"/>
    <w:rsid w:val="0066437C"/>
    <w:rsid w:val="006644DF"/>
    <w:rsid w:val="006644F3"/>
    <w:rsid w:val="006645E6"/>
    <w:rsid w:val="00664613"/>
    <w:rsid w:val="006646FC"/>
    <w:rsid w:val="0066474D"/>
    <w:rsid w:val="006647A6"/>
    <w:rsid w:val="006647DA"/>
    <w:rsid w:val="006647F2"/>
    <w:rsid w:val="00664856"/>
    <w:rsid w:val="00664908"/>
    <w:rsid w:val="00664AF1"/>
    <w:rsid w:val="00664B41"/>
    <w:rsid w:val="00664BBD"/>
    <w:rsid w:val="00664BDC"/>
    <w:rsid w:val="00664CE9"/>
    <w:rsid w:val="00664EAD"/>
    <w:rsid w:val="00664F0D"/>
    <w:rsid w:val="00664F9C"/>
    <w:rsid w:val="00664FB5"/>
    <w:rsid w:val="00664FE8"/>
    <w:rsid w:val="00665081"/>
    <w:rsid w:val="006650B0"/>
    <w:rsid w:val="00665152"/>
    <w:rsid w:val="00665245"/>
    <w:rsid w:val="006652BF"/>
    <w:rsid w:val="0066549D"/>
    <w:rsid w:val="006654DE"/>
    <w:rsid w:val="006654F7"/>
    <w:rsid w:val="006654FB"/>
    <w:rsid w:val="00665719"/>
    <w:rsid w:val="006657A0"/>
    <w:rsid w:val="006657AF"/>
    <w:rsid w:val="006657B5"/>
    <w:rsid w:val="006657E0"/>
    <w:rsid w:val="00665851"/>
    <w:rsid w:val="00665855"/>
    <w:rsid w:val="00665A52"/>
    <w:rsid w:val="00665A97"/>
    <w:rsid w:val="00665ABF"/>
    <w:rsid w:val="00665AEA"/>
    <w:rsid w:val="00665B78"/>
    <w:rsid w:val="00665BE8"/>
    <w:rsid w:val="00665BF3"/>
    <w:rsid w:val="00665E3E"/>
    <w:rsid w:val="00665F9E"/>
    <w:rsid w:val="00665FA6"/>
    <w:rsid w:val="00666031"/>
    <w:rsid w:val="0066604F"/>
    <w:rsid w:val="0066605E"/>
    <w:rsid w:val="00666154"/>
    <w:rsid w:val="00666263"/>
    <w:rsid w:val="006662D5"/>
    <w:rsid w:val="006662EE"/>
    <w:rsid w:val="00666376"/>
    <w:rsid w:val="00666394"/>
    <w:rsid w:val="006663B4"/>
    <w:rsid w:val="0066644D"/>
    <w:rsid w:val="00666508"/>
    <w:rsid w:val="00666525"/>
    <w:rsid w:val="00666570"/>
    <w:rsid w:val="00666589"/>
    <w:rsid w:val="006665C0"/>
    <w:rsid w:val="00666742"/>
    <w:rsid w:val="006667C4"/>
    <w:rsid w:val="00666850"/>
    <w:rsid w:val="00666935"/>
    <w:rsid w:val="0066693B"/>
    <w:rsid w:val="0066694B"/>
    <w:rsid w:val="00666956"/>
    <w:rsid w:val="00666959"/>
    <w:rsid w:val="006669AC"/>
    <w:rsid w:val="006669E5"/>
    <w:rsid w:val="00666B64"/>
    <w:rsid w:val="00666BB2"/>
    <w:rsid w:val="00666BE9"/>
    <w:rsid w:val="00666C80"/>
    <w:rsid w:val="00666C97"/>
    <w:rsid w:val="00666CB4"/>
    <w:rsid w:val="00666CE5"/>
    <w:rsid w:val="00666D3E"/>
    <w:rsid w:val="00666DCE"/>
    <w:rsid w:val="00666DDE"/>
    <w:rsid w:val="00666E06"/>
    <w:rsid w:val="00666E30"/>
    <w:rsid w:val="00666F0F"/>
    <w:rsid w:val="00666F2A"/>
    <w:rsid w:val="00666F3E"/>
    <w:rsid w:val="00666F60"/>
    <w:rsid w:val="00666FA6"/>
    <w:rsid w:val="00666FD1"/>
    <w:rsid w:val="00667014"/>
    <w:rsid w:val="0066706A"/>
    <w:rsid w:val="006670EA"/>
    <w:rsid w:val="0066717E"/>
    <w:rsid w:val="00667277"/>
    <w:rsid w:val="006672F5"/>
    <w:rsid w:val="0066735F"/>
    <w:rsid w:val="00667456"/>
    <w:rsid w:val="006674A7"/>
    <w:rsid w:val="006674AE"/>
    <w:rsid w:val="006674BC"/>
    <w:rsid w:val="006674D9"/>
    <w:rsid w:val="0066766F"/>
    <w:rsid w:val="00667724"/>
    <w:rsid w:val="00667775"/>
    <w:rsid w:val="00667790"/>
    <w:rsid w:val="00667850"/>
    <w:rsid w:val="0066788F"/>
    <w:rsid w:val="006678A8"/>
    <w:rsid w:val="00667E73"/>
    <w:rsid w:val="00667E9D"/>
    <w:rsid w:val="00667F20"/>
    <w:rsid w:val="00667F95"/>
    <w:rsid w:val="00667FA4"/>
    <w:rsid w:val="00670010"/>
    <w:rsid w:val="0067004B"/>
    <w:rsid w:val="00670127"/>
    <w:rsid w:val="00670184"/>
    <w:rsid w:val="00670190"/>
    <w:rsid w:val="006701DA"/>
    <w:rsid w:val="0067040B"/>
    <w:rsid w:val="0067041E"/>
    <w:rsid w:val="00670455"/>
    <w:rsid w:val="0067054D"/>
    <w:rsid w:val="00670656"/>
    <w:rsid w:val="0067069F"/>
    <w:rsid w:val="00670770"/>
    <w:rsid w:val="00670776"/>
    <w:rsid w:val="006707EB"/>
    <w:rsid w:val="006709D8"/>
    <w:rsid w:val="00670A59"/>
    <w:rsid w:val="00670AFE"/>
    <w:rsid w:val="00670B8B"/>
    <w:rsid w:val="00670D21"/>
    <w:rsid w:val="00670D35"/>
    <w:rsid w:val="00670DDB"/>
    <w:rsid w:val="00670E10"/>
    <w:rsid w:val="00670E63"/>
    <w:rsid w:val="00670EA9"/>
    <w:rsid w:val="00670FAC"/>
    <w:rsid w:val="00670FAE"/>
    <w:rsid w:val="00671006"/>
    <w:rsid w:val="00671169"/>
    <w:rsid w:val="006711FB"/>
    <w:rsid w:val="0067123C"/>
    <w:rsid w:val="006713B3"/>
    <w:rsid w:val="006713E6"/>
    <w:rsid w:val="00671428"/>
    <w:rsid w:val="00671466"/>
    <w:rsid w:val="006714DB"/>
    <w:rsid w:val="006714F8"/>
    <w:rsid w:val="00671599"/>
    <w:rsid w:val="0067161E"/>
    <w:rsid w:val="00671728"/>
    <w:rsid w:val="0067182F"/>
    <w:rsid w:val="0067185B"/>
    <w:rsid w:val="006718EC"/>
    <w:rsid w:val="00671926"/>
    <w:rsid w:val="006719D8"/>
    <w:rsid w:val="00671AAA"/>
    <w:rsid w:val="00671B08"/>
    <w:rsid w:val="00671B22"/>
    <w:rsid w:val="00671C21"/>
    <w:rsid w:val="00671D4B"/>
    <w:rsid w:val="00671D78"/>
    <w:rsid w:val="00671E4A"/>
    <w:rsid w:val="00671EC5"/>
    <w:rsid w:val="00671F71"/>
    <w:rsid w:val="00671F99"/>
    <w:rsid w:val="00672061"/>
    <w:rsid w:val="006720AC"/>
    <w:rsid w:val="00672132"/>
    <w:rsid w:val="006721BE"/>
    <w:rsid w:val="00672209"/>
    <w:rsid w:val="0067221B"/>
    <w:rsid w:val="00672273"/>
    <w:rsid w:val="006722B5"/>
    <w:rsid w:val="00672344"/>
    <w:rsid w:val="00672406"/>
    <w:rsid w:val="00672435"/>
    <w:rsid w:val="006724B6"/>
    <w:rsid w:val="006724FB"/>
    <w:rsid w:val="00672534"/>
    <w:rsid w:val="00672732"/>
    <w:rsid w:val="00672792"/>
    <w:rsid w:val="006727E8"/>
    <w:rsid w:val="00672804"/>
    <w:rsid w:val="00672830"/>
    <w:rsid w:val="0067286E"/>
    <w:rsid w:val="0067287C"/>
    <w:rsid w:val="00672880"/>
    <w:rsid w:val="00672945"/>
    <w:rsid w:val="006729D1"/>
    <w:rsid w:val="006729DB"/>
    <w:rsid w:val="006729E6"/>
    <w:rsid w:val="00672A0F"/>
    <w:rsid w:val="00672A2A"/>
    <w:rsid w:val="00672A34"/>
    <w:rsid w:val="00672A81"/>
    <w:rsid w:val="00672A8C"/>
    <w:rsid w:val="00672ADF"/>
    <w:rsid w:val="00672AFF"/>
    <w:rsid w:val="00672B77"/>
    <w:rsid w:val="00672C39"/>
    <w:rsid w:val="00672C3B"/>
    <w:rsid w:val="00672D07"/>
    <w:rsid w:val="00672DDB"/>
    <w:rsid w:val="00672EFB"/>
    <w:rsid w:val="00672F4D"/>
    <w:rsid w:val="00672F59"/>
    <w:rsid w:val="00673034"/>
    <w:rsid w:val="006730AD"/>
    <w:rsid w:val="00673156"/>
    <w:rsid w:val="0067318F"/>
    <w:rsid w:val="00673194"/>
    <w:rsid w:val="006732EB"/>
    <w:rsid w:val="00673651"/>
    <w:rsid w:val="0067366B"/>
    <w:rsid w:val="00673732"/>
    <w:rsid w:val="0067381C"/>
    <w:rsid w:val="00673849"/>
    <w:rsid w:val="00673863"/>
    <w:rsid w:val="0067389B"/>
    <w:rsid w:val="006738ED"/>
    <w:rsid w:val="0067391E"/>
    <w:rsid w:val="00673943"/>
    <w:rsid w:val="00673A0E"/>
    <w:rsid w:val="00673BA2"/>
    <w:rsid w:val="00673BAB"/>
    <w:rsid w:val="00673BD0"/>
    <w:rsid w:val="00673C85"/>
    <w:rsid w:val="00673E5A"/>
    <w:rsid w:val="00673F07"/>
    <w:rsid w:val="00673F11"/>
    <w:rsid w:val="00673FC7"/>
    <w:rsid w:val="00674045"/>
    <w:rsid w:val="0067407E"/>
    <w:rsid w:val="006740CC"/>
    <w:rsid w:val="0067426C"/>
    <w:rsid w:val="00674349"/>
    <w:rsid w:val="006743BF"/>
    <w:rsid w:val="006744CD"/>
    <w:rsid w:val="00674500"/>
    <w:rsid w:val="00674526"/>
    <w:rsid w:val="006745DB"/>
    <w:rsid w:val="0067463D"/>
    <w:rsid w:val="00674668"/>
    <w:rsid w:val="0067476D"/>
    <w:rsid w:val="00674773"/>
    <w:rsid w:val="00674804"/>
    <w:rsid w:val="00674854"/>
    <w:rsid w:val="006748BC"/>
    <w:rsid w:val="0067490A"/>
    <w:rsid w:val="0067495D"/>
    <w:rsid w:val="00674982"/>
    <w:rsid w:val="006749BA"/>
    <w:rsid w:val="00674A75"/>
    <w:rsid w:val="00674A81"/>
    <w:rsid w:val="00674AE3"/>
    <w:rsid w:val="00674B4A"/>
    <w:rsid w:val="00674B4D"/>
    <w:rsid w:val="00674B50"/>
    <w:rsid w:val="00674BC2"/>
    <w:rsid w:val="00674C18"/>
    <w:rsid w:val="00674C83"/>
    <w:rsid w:val="00674D09"/>
    <w:rsid w:val="00674E75"/>
    <w:rsid w:val="00674EEE"/>
    <w:rsid w:val="00674F1E"/>
    <w:rsid w:val="00674F76"/>
    <w:rsid w:val="00674FC9"/>
    <w:rsid w:val="00675016"/>
    <w:rsid w:val="00675067"/>
    <w:rsid w:val="0067507D"/>
    <w:rsid w:val="006750E3"/>
    <w:rsid w:val="0067515A"/>
    <w:rsid w:val="0067521E"/>
    <w:rsid w:val="0067526C"/>
    <w:rsid w:val="006752CB"/>
    <w:rsid w:val="006752EA"/>
    <w:rsid w:val="00675324"/>
    <w:rsid w:val="00675488"/>
    <w:rsid w:val="006754A1"/>
    <w:rsid w:val="006754BE"/>
    <w:rsid w:val="00675529"/>
    <w:rsid w:val="006755A3"/>
    <w:rsid w:val="00675609"/>
    <w:rsid w:val="0067566C"/>
    <w:rsid w:val="00675755"/>
    <w:rsid w:val="0067578E"/>
    <w:rsid w:val="0067585D"/>
    <w:rsid w:val="0067587B"/>
    <w:rsid w:val="00675889"/>
    <w:rsid w:val="00675999"/>
    <w:rsid w:val="006759BD"/>
    <w:rsid w:val="00675B3C"/>
    <w:rsid w:val="00675B6D"/>
    <w:rsid w:val="00675BED"/>
    <w:rsid w:val="00675BFE"/>
    <w:rsid w:val="00675D39"/>
    <w:rsid w:val="00675E25"/>
    <w:rsid w:val="00675E8A"/>
    <w:rsid w:val="00675EE3"/>
    <w:rsid w:val="00675F7D"/>
    <w:rsid w:val="00675FAD"/>
    <w:rsid w:val="00676022"/>
    <w:rsid w:val="00676034"/>
    <w:rsid w:val="0067606D"/>
    <w:rsid w:val="006761A5"/>
    <w:rsid w:val="006761B8"/>
    <w:rsid w:val="00676279"/>
    <w:rsid w:val="006762AF"/>
    <w:rsid w:val="006763F1"/>
    <w:rsid w:val="006763FB"/>
    <w:rsid w:val="0067642D"/>
    <w:rsid w:val="00676433"/>
    <w:rsid w:val="00676453"/>
    <w:rsid w:val="0067646E"/>
    <w:rsid w:val="006764A3"/>
    <w:rsid w:val="006764E0"/>
    <w:rsid w:val="0067657A"/>
    <w:rsid w:val="0067660E"/>
    <w:rsid w:val="00676696"/>
    <w:rsid w:val="006766F6"/>
    <w:rsid w:val="0067679F"/>
    <w:rsid w:val="006767A7"/>
    <w:rsid w:val="006767F5"/>
    <w:rsid w:val="00676854"/>
    <w:rsid w:val="00676A1A"/>
    <w:rsid w:val="00676A52"/>
    <w:rsid w:val="00676A99"/>
    <w:rsid w:val="00676B41"/>
    <w:rsid w:val="00676B8B"/>
    <w:rsid w:val="00676C65"/>
    <w:rsid w:val="00676CA6"/>
    <w:rsid w:val="00676CBA"/>
    <w:rsid w:val="00676D37"/>
    <w:rsid w:val="00676DCC"/>
    <w:rsid w:val="00676DDE"/>
    <w:rsid w:val="00676E87"/>
    <w:rsid w:val="00676F34"/>
    <w:rsid w:val="00676F45"/>
    <w:rsid w:val="00676FE0"/>
    <w:rsid w:val="00677122"/>
    <w:rsid w:val="006771BC"/>
    <w:rsid w:val="00677261"/>
    <w:rsid w:val="00677328"/>
    <w:rsid w:val="0067748A"/>
    <w:rsid w:val="00677494"/>
    <w:rsid w:val="006774C5"/>
    <w:rsid w:val="006774D9"/>
    <w:rsid w:val="006775CA"/>
    <w:rsid w:val="00677645"/>
    <w:rsid w:val="00677651"/>
    <w:rsid w:val="006776EA"/>
    <w:rsid w:val="0067776C"/>
    <w:rsid w:val="00677837"/>
    <w:rsid w:val="006778B8"/>
    <w:rsid w:val="006778F7"/>
    <w:rsid w:val="0067797A"/>
    <w:rsid w:val="00677A81"/>
    <w:rsid w:val="00677B24"/>
    <w:rsid w:val="00677BF0"/>
    <w:rsid w:val="00677C03"/>
    <w:rsid w:val="00677C63"/>
    <w:rsid w:val="00677D0E"/>
    <w:rsid w:val="00677E2C"/>
    <w:rsid w:val="00677E70"/>
    <w:rsid w:val="00677EEF"/>
    <w:rsid w:val="00677EFE"/>
    <w:rsid w:val="00677F5D"/>
    <w:rsid w:val="00680076"/>
    <w:rsid w:val="0068008F"/>
    <w:rsid w:val="006800A9"/>
    <w:rsid w:val="006800EC"/>
    <w:rsid w:val="006801FD"/>
    <w:rsid w:val="00680209"/>
    <w:rsid w:val="006802AF"/>
    <w:rsid w:val="0068033D"/>
    <w:rsid w:val="0068036E"/>
    <w:rsid w:val="006803FC"/>
    <w:rsid w:val="00680506"/>
    <w:rsid w:val="0068050C"/>
    <w:rsid w:val="006805EB"/>
    <w:rsid w:val="00680673"/>
    <w:rsid w:val="0068068B"/>
    <w:rsid w:val="006806BA"/>
    <w:rsid w:val="006806CA"/>
    <w:rsid w:val="006807C3"/>
    <w:rsid w:val="006807FD"/>
    <w:rsid w:val="00680813"/>
    <w:rsid w:val="0068081B"/>
    <w:rsid w:val="00680900"/>
    <w:rsid w:val="00680908"/>
    <w:rsid w:val="0068092E"/>
    <w:rsid w:val="00680969"/>
    <w:rsid w:val="00680998"/>
    <w:rsid w:val="006809AF"/>
    <w:rsid w:val="00680A7A"/>
    <w:rsid w:val="00680AC4"/>
    <w:rsid w:val="00680ADD"/>
    <w:rsid w:val="00680B82"/>
    <w:rsid w:val="00680C0A"/>
    <w:rsid w:val="00680E98"/>
    <w:rsid w:val="00680ECD"/>
    <w:rsid w:val="00680F68"/>
    <w:rsid w:val="00680FCF"/>
    <w:rsid w:val="0068104D"/>
    <w:rsid w:val="0068107F"/>
    <w:rsid w:val="00681116"/>
    <w:rsid w:val="00681254"/>
    <w:rsid w:val="0068127F"/>
    <w:rsid w:val="006812AB"/>
    <w:rsid w:val="006812D9"/>
    <w:rsid w:val="006812EF"/>
    <w:rsid w:val="00681316"/>
    <w:rsid w:val="00681320"/>
    <w:rsid w:val="00681325"/>
    <w:rsid w:val="00681346"/>
    <w:rsid w:val="00681361"/>
    <w:rsid w:val="006813D0"/>
    <w:rsid w:val="006813D7"/>
    <w:rsid w:val="00681407"/>
    <w:rsid w:val="006814AD"/>
    <w:rsid w:val="006814BB"/>
    <w:rsid w:val="006814CA"/>
    <w:rsid w:val="00681535"/>
    <w:rsid w:val="00681586"/>
    <w:rsid w:val="006815A1"/>
    <w:rsid w:val="0068178D"/>
    <w:rsid w:val="006817D5"/>
    <w:rsid w:val="00681824"/>
    <w:rsid w:val="00681925"/>
    <w:rsid w:val="00681953"/>
    <w:rsid w:val="0068197E"/>
    <w:rsid w:val="006819D4"/>
    <w:rsid w:val="00681A5C"/>
    <w:rsid w:val="00681B1F"/>
    <w:rsid w:val="00681C91"/>
    <w:rsid w:val="00681D79"/>
    <w:rsid w:val="00681DB0"/>
    <w:rsid w:val="00681F52"/>
    <w:rsid w:val="00681F5B"/>
    <w:rsid w:val="00681FEC"/>
    <w:rsid w:val="00682008"/>
    <w:rsid w:val="0068208C"/>
    <w:rsid w:val="006820E2"/>
    <w:rsid w:val="006820E3"/>
    <w:rsid w:val="006820EA"/>
    <w:rsid w:val="00682103"/>
    <w:rsid w:val="00682155"/>
    <w:rsid w:val="006821A3"/>
    <w:rsid w:val="006821D5"/>
    <w:rsid w:val="0068223C"/>
    <w:rsid w:val="0068226B"/>
    <w:rsid w:val="006822B2"/>
    <w:rsid w:val="00682362"/>
    <w:rsid w:val="00682376"/>
    <w:rsid w:val="00682430"/>
    <w:rsid w:val="0068253F"/>
    <w:rsid w:val="006825BE"/>
    <w:rsid w:val="006826BE"/>
    <w:rsid w:val="006826D8"/>
    <w:rsid w:val="00682793"/>
    <w:rsid w:val="00682823"/>
    <w:rsid w:val="0068282A"/>
    <w:rsid w:val="00682900"/>
    <w:rsid w:val="0068297E"/>
    <w:rsid w:val="0068299D"/>
    <w:rsid w:val="00682A1F"/>
    <w:rsid w:val="00682A87"/>
    <w:rsid w:val="00682B52"/>
    <w:rsid w:val="00682BD9"/>
    <w:rsid w:val="00682C7D"/>
    <w:rsid w:val="00682CA9"/>
    <w:rsid w:val="00682DB8"/>
    <w:rsid w:val="00682DCC"/>
    <w:rsid w:val="00682E32"/>
    <w:rsid w:val="00682E62"/>
    <w:rsid w:val="00682E81"/>
    <w:rsid w:val="00682ECE"/>
    <w:rsid w:val="00682FD6"/>
    <w:rsid w:val="00682FDD"/>
    <w:rsid w:val="00683109"/>
    <w:rsid w:val="0068315E"/>
    <w:rsid w:val="006831DD"/>
    <w:rsid w:val="006831F8"/>
    <w:rsid w:val="0068321F"/>
    <w:rsid w:val="00683270"/>
    <w:rsid w:val="006832A9"/>
    <w:rsid w:val="006832CD"/>
    <w:rsid w:val="00683301"/>
    <w:rsid w:val="00683341"/>
    <w:rsid w:val="0068336A"/>
    <w:rsid w:val="0068340C"/>
    <w:rsid w:val="00683442"/>
    <w:rsid w:val="00683549"/>
    <w:rsid w:val="006835D5"/>
    <w:rsid w:val="006835E3"/>
    <w:rsid w:val="00683603"/>
    <w:rsid w:val="00683642"/>
    <w:rsid w:val="006836E4"/>
    <w:rsid w:val="00683718"/>
    <w:rsid w:val="00683728"/>
    <w:rsid w:val="00683811"/>
    <w:rsid w:val="00683846"/>
    <w:rsid w:val="00683848"/>
    <w:rsid w:val="0068384F"/>
    <w:rsid w:val="00683955"/>
    <w:rsid w:val="006839A6"/>
    <w:rsid w:val="006839C2"/>
    <w:rsid w:val="00683A30"/>
    <w:rsid w:val="00683A85"/>
    <w:rsid w:val="00683AC5"/>
    <w:rsid w:val="00683ADE"/>
    <w:rsid w:val="00683C4F"/>
    <w:rsid w:val="00683CD2"/>
    <w:rsid w:val="00683D0C"/>
    <w:rsid w:val="00683DC8"/>
    <w:rsid w:val="0068400B"/>
    <w:rsid w:val="0068403D"/>
    <w:rsid w:val="00684263"/>
    <w:rsid w:val="0068437B"/>
    <w:rsid w:val="006843BC"/>
    <w:rsid w:val="006843C2"/>
    <w:rsid w:val="006843EE"/>
    <w:rsid w:val="006844D2"/>
    <w:rsid w:val="0068457D"/>
    <w:rsid w:val="0068459F"/>
    <w:rsid w:val="0068472B"/>
    <w:rsid w:val="00684743"/>
    <w:rsid w:val="00684868"/>
    <w:rsid w:val="006848EE"/>
    <w:rsid w:val="00684964"/>
    <w:rsid w:val="0068497B"/>
    <w:rsid w:val="006849F3"/>
    <w:rsid w:val="006849F5"/>
    <w:rsid w:val="00684A24"/>
    <w:rsid w:val="00684A3C"/>
    <w:rsid w:val="00684BCA"/>
    <w:rsid w:val="00684C06"/>
    <w:rsid w:val="00684C1F"/>
    <w:rsid w:val="00684CE9"/>
    <w:rsid w:val="00684DB3"/>
    <w:rsid w:val="00684E70"/>
    <w:rsid w:val="00684E8E"/>
    <w:rsid w:val="00684EA1"/>
    <w:rsid w:val="00684F22"/>
    <w:rsid w:val="0068501F"/>
    <w:rsid w:val="00685052"/>
    <w:rsid w:val="0068506F"/>
    <w:rsid w:val="006850A0"/>
    <w:rsid w:val="00685156"/>
    <w:rsid w:val="00685191"/>
    <w:rsid w:val="006851B3"/>
    <w:rsid w:val="0068522D"/>
    <w:rsid w:val="0068523A"/>
    <w:rsid w:val="0068524E"/>
    <w:rsid w:val="006852E3"/>
    <w:rsid w:val="006852ED"/>
    <w:rsid w:val="0068536B"/>
    <w:rsid w:val="006853B0"/>
    <w:rsid w:val="00685415"/>
    <w:rsid w:val="0068545C"/>
    <w:rsid w:val="0068549D"/>
    <w:rsid w:val="00685542"/>
    <w:rsid w:val="0068558A"/>
    <w:rsid w:val="0068560D"/>
    <w:rsid w:val="0068562A"/>
    <w:rsid w:val="006856BA"/>
    <w:rsid w:val="00685738"/>
    <w:rsid w:val="00685753"/>
    <w:rsid w:val="00685770"/>
    <w:rsid w:val="00685868"/>
    <w:rsid w:val="00685896"/>
    <w:rsid w:val="00685998"/>
    <w:rsid w:val="00685A44"/>
    <w:rsid w:val="00685B29"/>
    <w:rsid w:val="00685B7E"/>
    <w:rsid w:val="00685BEC"/>
    <w:rsid w:val="00685C31"/>
    <w:rsid w:val="00685CF1"/>
    <w:rsid w:val="00685D35"/>
    <w:rsid w:val="00685D42"/>
    <w:rsid w:val="00685E47"/>
    <w:rsid w:val="00685E5D"/>
    <w:rsid w:val="00685ED7"/>
    <w:rsid w:val="00685F2E"/>
    <w:rsid w:val="00686128"/>
    <w:rsid w:val="0068615D"/>
    <w:rsid w:val="006861CC"/>
    <w:rsid w:val="00686256"/>
    <w:rsid w:val="00686266"/>
    <w:rsid w:val="00686311"/>
    <w:rsid w:val="006863BE"/>
    <w:rsid w:val="006863ED"/>
    <w:rsid w:val="00686458"/>
    <w:rsid w:val="0068646D"/>
    <w:rsid w:val="00686478"/>
    <w:rsid w:val="006864B8"/>
    <w:rsid w:val="006865A9"/>
    <w:rsid w:val="00686602"/>
    <w:rsid w:val="0068661A"/>
    <w:rsid w:val="0068668B"/>
    <w:rsid w:val="00686774"/>
    <w:rsid w:val="006867D8"/>
    <w:rsid w:val="006867E6"/>
    <w:rsid w:val="00686887"/>
    <w:rsid w:val="00686928"/>
    <w:rsid w:val="00686AE5"/>
    <w:rsid w:val="00686B6F"/>
    <w:rsid w:val="00686BA8"/>
    <w:rsid w:val="00686C60"/>
    <w:rsid w:val="00686C6F"/>
    <w:rsid w:val="00686CC1"/>
    <w:rsid w:val="00686CD9"/>
    <w:rsid w:val="00686D0D"/>
    <w:rsid w:val="00686E0B"/>
    <w:rsid w:val="00686EBC"/>
    <w:rsid w:val="00686F7F"/>
    <w:rsid w:val="00686FF1"/>
    <w:rsid w:val="00687027"/>
    <w:rsid w:val="0068708E"/>
    <w:rsid w:val="00687137"/>
    <w:rsid w:val="00687188"/>
    <w:rsid w:val="006872EE"/>
    <w:rsid w:val="0068731B"/>
    <w:rsid w:val="00687355"/>
    <w:rsid w:val="0068736A"/>
    <w:rsid w:val="006875A8"/>
    <w:rsid w:val="006875BB"/>
    <w:rsid w:val="006875D7"/>
    <w:rsid w:val="006875E3"/>
    <w:rsid w:val="006875F0"/>
    <w:rsid w:val="00687657"/>
    <w:rsid w:val="00687667"/>
    <w:rsid w:val="0068767A"/>
    <w:rsid w:val="0068773F"/>
    <w:rsid w:val="00687875"/>
    <w:rsid w:val="00687890"/>
    <w:rsid w:val="00687A1C"/>
    <w:rsid w:val="00687A32"/>
    <w:rsid w:val="00687A54"/>
    <w:rsid w:val="00687AB0"/>
    <w:rsid w:val="00687C09"/>
    <w:rsid w:val="00687E2C"/>
    <w:rsid w:val="00687EF1"/>
    <w:rsid w:val="00687FCE"/>
    <w:rsid w:val="006900B0"/>
    <w:rsid w:val="006900D3"/>
    <w:rsid w:val="006900F0"/>
    <w:rsid w:val="00690159"/>
    <w:rsid w:val="006901A7"/>
    <w:rsid w:val="0069025C"/>
    <w:rsid w:val="0069027C"/>
    <w:rsid w:val="006902C7"/>
    <w:rsid w:val="00690438"/>
    <w:rsid w:val="00690499"/>
    <w:rsid w:val="006904C7"/>
    <w:rsid w:val="0069050D"/>
    <w:rsid w:val="00690620"/>
    <w:rsid w:val="00690671"/>
    <w:rsid w:val="0069068A"/>
    <w:rsid w:val="006907BB"/>
    <w:rsid w:val="006907FD"/>
    <w:rsid w:val="00690833"/>
    <w:rsid w:val="0069092B"/>
    <w:rsid w:val="0069092F"/>
    <w:rsid w:val="0069094C"/>
    <w:rsid w:val="00690989"/>
    <w:rsid w:val="006909CB"/>
    <w:rsid w:val="006909D5"/>
    <w:rsid w:val="00690ADF"/>
    <w:rsid w:val="00690AFD"/>
    <w:rsid w:val="00690B2F"/>
    <w:rsid w:val="00690B57"/>
    <w:rsid w:val="00690CC0"/>
    <w:rsid w:val="00690D6F"/>
    <w:rsid w:val="00690D85"/>
    <w:rsid w:val="00690DA4"/>
    <w:rsid w:val="00690E06"/>
    <w:rsid w:val="00690ED0"/>
    <w:rsid w:val="00690F41"/>
    <w:rsid w:val="00690F82"/>
    <w:rsid w:val="00690FB3"/>
    <w:rsid w:val="00691044"/>
    <w:rsid w:val="006910D7"/>
    <w:rsid w:val="00691117"/>
    <w:rsid w:val="0069125B"/>
    <w:rsid w:val="0069128C"/>
    <w:rsid w:val="00691305"/>
    <w:rsid w:val="006913C2"/>
    <w:rsid w:val="00691503"/>
    <w:rsid w:val="00691508"/>
    <w:rsid w:val="006915A6"/>
    <w:rsid w:val="006915F5"/>
    <w:rsid w:val="0069176C"/>
    <w:rsid w:val="00691795"/>
    <w:rsid w:val="0069182A"/>
    <w:rsid w:val="006918CA"/>
    <w:rsid w:val="00691930"/>
    <w:rsid w:val="00691A01"/>
    <w:rsid w:val="00691A73"/>
    <w:rsid w:val="00691B0F"/>
    <w:rsid w:val="00691BC6"/>
    <w:rsid w:val="00691BFE"/>
    <w:rsid w:val="00691C4D"/>
    <w:rsid w:val="00691CD2"/>
    <w:rsid w:val="00691D6B"/>
    <w:rsid w:val="00691DC1"/>
    <w:rsid w:val="00691E26"/>
    <w:rsid w:val="00691E57"/>
    <w:rsid w:val="00691F38"/>
    <w:rsid w:val="00691FC4"/>
    <w:rsid w:val="00691FCC"/>
    <w:rsid w:val="00691FFF"/>
    <w:rsid w:val="00692014"/>
    <w:rsid w:val="006921AB"/>
    <w:rsid w:val="00692265"/>
    <w:rsid w:val="006922C3"/>
    <w:rsid w:val="006922C6"/>
    <w:rsid w:val="006924A9"/>
    <w:rsid w:val="0069253E"/>
    <w:rsid w:val="0069259C"/>
    <w:rsid w:val="006925D4"/>
    <w:rsid w:val="0069265A"/>
    <w:rsid w:val="00692706"/>
    <w:rsid w:val="00692762"/>
    <w:rsid w:val="00692844"/>
    <w:rsid w:val="00692894"/>
    <w:rsid w:val="006928DE"/>
    <w:rsid w:val="006928ED"/>
    <w:rsid w:val="00692A26"/>
    <w:rsid w:val="00692A2C"/>
    <w:rsid w:val="00692A89"/>
    <w:rsid w:val="00692B15"/>
    <w:rsid w:val="00692B5A"/>
    <w:rsid w:val="00692B83"/>
    <w:rsid w:val="00692C30"/>
    <w:rsid w:val="00692C4D"/>
    <w:rsid w:val="00692C63"/>
    <w:rsid w:val="00692D21"/>
    <w:rsid w:val="00692D22"/>
    <w:rsid w:val="00692DBD"/>
    <w:rsid w:val="00692E80"/>
    <w:rsid w:val="00692EF0"/>
    <w:rsid w:val="00692F15"/>
    <w:rsid w:val="00692FFC"/>
    <w:rsid w:val="006930E7"/>
    <w:rsid w:val="006930EF"/>
    <w:rsid w:val="00693160"/>
    <w:rsid w:val="00693161"/>
    <w:rsid w:val="00693292"/>
    <w:rsid w:val="0069329A"/>
    <w:rsid w:val="006932AA"/>
    <w:rsid w:val="006934B3"/>
    <w:rsid w:val="0069351B"/>
    <w:rsid w:val="00693544"/>
    <w:rsid w:val="006935AB"/>
    <w:rsid w:val="00693663"/>
    <w:rsid w:val="006936D6"/>
    <w:rsid w:val="00693702"/>
    <w:rsid w:val="0069371B"/>
    <w:rsid w:val="00693830"/>
    <w:rsid w:val="00693864"/>
    <w:rsid w:val="00693875"/>
    <w:rsid w:val="00693972"/>
    <w:rsid w:val="006939A5"/>
    <w:rsid w:val="00693A2E"/>
    <w:rsid w:val="00693AA0"/>
    <w:rsid w:val="00693BB6"/>
    <w:rsid w:val="00693BF8"/>
    <w:rsid w:val="00693C64"/>
    <w:rsid w:val="00693D34"/>
    <w:rsid w:val="00693DB8"/>
    <w:rsid w:val="00693E79"/>
    <w:rsid w:val="00693F9E"/>
    <w:rsid w:val="0069405C"/>
    <w:rsid w:val="006941B3"/>
    <w:rsid w:val="00694342"/>
    <w:rsid w:val="00694437"/>
    <w:rsid w:val="0069454D"/>
    <w:rsid w:val="0069460B"/>
    <w:rsid w:val="006946B2"/>
    <w:rsid w:val="006946EF"/>
    <w:rsid w:val="00694728"/>
    <w:rsid w:val="006947C8"/>
    <w:rsid w:val="00694811"/>
    <w:rsid w:val="00694877"/>
    <w:rsid w:val="006948ED"/>
    <w:rsid w:val="0069492E"/>
    <w:rsid w:val="0069494E"/>
    <w:rsid w:val="00694A3B"/>
    <w:rsid w:val="00694CA2"/>
    <w:rsid w:val="00694CA5"/>
    <w:rsid w:val="00694D26"/>
    <w:rsid w:val="00694D39"/>
    <w:rsid w:val="00694D81"/>
    <w:rsid w:val="00694DD4"/>
    <w:rsid w:val="00694E0A"/>
    <w:rsid w:val="00694EFF"/>
    <w:rsid w:val="00694F17"/>
    <w:rsid w:val="00694F6D"/>
    <w:rsid w:val="0069507D"/>
    <w:rsid w:val="006950D0"/>
    <w:rsid w:val="00695198"/>
    <w:rsid w:val="0069525E"/>
    <w:rsid w:val="00695338"/>
    <w:rsid w:val="00695349"/>
    <w:rsid w:val="0069539C"/>
    <w:rsid w:val="0069543B"/>
    <w:rsid w:val="00695509"/>
    <w:rsid w:val="00695514"/>
    <w:rsid w:val="00695747"/>
    <w:rsid w:val="00695784"/>
    <w:rsid w:val="00695799"/>
    <w:rsid w:val="00695857"/>
    <w:rsid w:val="0069585C"/>
    <w:rsid w:val="00695893"/>
    <w:rsid w:val="006958B4"/>
    <w:rsid w:val="006958CE"/>
    <w:rsid w:val="006959C0"/>
    <w:rsid w:val="006959F9"/>
    <w:rsid w:val="00695A0C"/>
    <w:rsid w:val="00695AC8"/>
    <w:rsid w:val="00695ADE"/>
    <w:rsid w:val="00695B76"/>
    <w:rsid w:val="00695BEA"/>
    <w:rsid w:val="00695C88"/>
    <w:rsid w:val="00695D4D"/>
    <w:rsid w:val="00695DBE"/>
    <w:rsid w:val="00695E09"/>
    <w:rsid w:val="00695EE1"/>
    <w:rsid w:val="00695F73"/>
    <w:rsid w:val="00695FF4"/>
    <w:rsid w:val="00696041"/>
    <w:rsid w:val="00696082"/>
    <w:rsid w:val="00696270"/>
    <w:rsid w:val="006962DA"/>
    <w:rsid w:val="00696304"/>
    <w:rsid w:val="0069636F"/>
    <w:rsid w:val="006963E4"/>
    <w:rsid w:val="00696493"/>
    <w:rsid w:val="00696622"/>
    <w:rsid w:val="0069663E"/>
    <w:rsid w:val="0069664D"/>
    <w:rsid w:val="00696670"/>
    <w:rsid w:val="006966A5"/>
    <w:rsid w:val="006966AD"/>
    <w:rsid w:val="00696775"/>
    <w:rsid w:val="006967B3"/>
    <w:rsid w:val="00696846"/>
    <w:rsid w:val="00696A43"/>
    <w:rsid w:val="00696AB6"/>
    <w:rsid w:val="00696AD1"/>
    <w:rsid w:val="00696C14"/>
    <w:rsid w:val="00696C45"/>
    <w:rsid w:val="00696D3C"/>
    <w:rsid w:val="00696E22"/>
    <w:rsid w:val="00696E96"/>
    <w:rsid w:val="00696EFC"/>
    <w:rsid w:val="00696F07"/>
    <w:rsid w:val="00696FC7"/>
    <w:rsid w:val="00697001"/>
    <w:rsid w:val="006970F7"/>
    <w:rsid w:val="00697122"/>
    <w:rsid w:val="00697134"/>
    <w:rsid w:val="0069719F"/>
    <w:rsid w:val="006971A0"/>
    <w:rsid w:val="00697247"/>
    <w:rsid w:val="0069728D"/>
    <w:rsid w:val="006972E2"/>
    <w:rsid w:val="0069731F"/>
    <w:rsid w:val="00697353"/>
    <w:rsid w:val="00697367"/>
    <w:rsid w:val="006973A3"/>
    <w:rsid w:val="00697554"/>
    <w:rsid w:val="0069758F"/>
    <w:rsid w:val="0069766B"/>
    <w:rsid w:val="0069775C"/>
    <w:rsid w:val="00697796"/>
    <w:rsid w:val="006977DC"/>
    <w:rsid w:val="00697877"/>
    <w:rsid w:val="006978B6"/>
    <w:rsid w:val="006978BE"/>
    <w:rsid w:val="006979C0"/>
    <w:rsid w:val="00697A3C"/>
    <w:rsid w:val="00697AF6"/>
    <w:rsid w:val="00697BBC"/>
    <w:rsid w:val="00697BF8"/>
    <w:rsid w:val="00697C26"/>
    <w:rsid w:val="00697C2B"/>
    <w:rsid w:val="00697C77"/>
    <w:rsid w:val="00697CDB"/>
    <w:rsid w:val="00697D0F"/>
    <w:rsid w:val="00697D9D"/>
    <w:rsid w:val="00697DCF"/>
    <w:rsid w:val="00697ED3"/>
    <w:rsid w:val="00697FA4"/>
    <w:rsid w:val="006A0154"/>
    <w:rsid w:val="006A01A4"/>
    <w:rsid w:val="006A033D"/>
    <w:rsid w:val="006A034C"/>
    <w:rsid w:val="006A03C1"/>
    <w:rsid w:val="006A03D0"/>
    <w:rsid w:val="006A03E1"/>
    <w:rsid w:val="006A044C"/>
    <w:rsid w:val="006A0572"/>
    <w:rsid w:val="006A0641"/>
    <w:rsid w:val="006A0667"/>
    <w:rsid w:val="006A0686"/>
    <w:rsid w:val="006A06E8"/>
    <w:rsid w:val="006A0741"/>
    <w:rsid w:val="006A0768"/>
    <w:rsid w:val="006A07E5"/>
    <w:rsid w:val="006A086B"/>
    <w:rsid w:val="006A08B3"/>
    <w:rsid w:val="006A08C4"/>
    <w:rsid w:val="006A0954"/>
    <w:rsid w:val="006A09D5"/>
    <w:rsid w:val="006A0A53"/>
    <w:rsid w:val="006A0A8A"/>
    <w:rsid w:val="006A0BB1"/>
    <w:rsid w:val="006A0C31"/>
    <w:rsid w:val="006A0C37"/>
    <w:rsid w:val="006A0C3A"/>
    <w:rsid w:val="006A0CC6"/>
    <w:rsid w:val="006A0CF3"/>
    <w:rsid w:val="006A0D8D"/>
    <w:rsid w:val="006A0DC4"/>
    <w:rsid w:val="006A0FB7"/>
    <w:rsid w:val="006A0FC9"/>
    <w:rsid w:val="006A0FF3"/>
    <w:rsid w:val="006A1157"/>
    <w:rsid w:val="006A1264"/>
    <w:rsid w:val="006A12AC"/>
    <w:rsid w:val="006A12E7"/>
    <w:rsid w:val="006A12FF"/>
    <w:rsid w:val="006A1304"/>
    <w:rsid w:val="006A13F4"/>
    <w:rsid w:val="006A1406"/>
    <w:rsid w:val="006A14F3"/>
    <w:rsid w:val="006A1549"/>
    <w:rsid w:val="006A1669"/>
    <w:rsid w:val="006A16C1"/>
    <w:rsid w:val="006A17D0"/>
    <w:rsid w:val="006A17DC"/>
    <w:rsid w:val="006A18AE"/>
    <w:rsid w:val="006A18C3"/>
    <w:rsid w:val="006A198A"/>
    <w:rsid w:val="006A1A13"/>
    <w:rsid w:val="006A1AD4"/>
    <w:rsid w:val="006A1B33"/>
    <w:rsid w:val="006A1CF4"/>
    <w:rsid w:val="006A1DBB"/>
    <w:rsid w:val="006A1E08"/>
    <w:rsid w:val="006A1E3F"/>
    <w:rsid w:val="006A1EC2"/>
    <w:rsid w:val="006A1F15"/>
    <w:rsid w:val="006A1F19"/>
    <w:rsid w:val="006A1FCD"/>
    <w:rsid w:val="006A2027"/>
    <w:rsid w:val="006A2059"/>
    <w:rsid w:val="006A20D9"/>
    <w:rsid w:val="006A20EB"/>
    <w:rsid w:val="006A2181"/>
    <w:rsid w:val="006A2221"/>
    <w:rsid w:val="006A2230"/>
    <w:rsid w:val="006A225D"/>
    <w:rsid w:val="006A2280"/>
    <w:rsid w:val="006A22CB"/>
    <w:rsid w:val="006A2374"/>
    <w:rsid w:val="006A23DE"/>
    <w:rsid w:val="006A2418"/>
    <w:rsid w:val="006A249C"/>
    <w:rsid w:val="006A24F8"/>
    <w:rsid w:val="006A2526"/>
    <w:rsid w:val="006A261A"/>
    <w:rsid w:val="006A2699"/>
    <w:rsid w:val="006A26B9"/>
    <w:rsid w:val="006A2711"/>
    <w:rsid w:val="006A2714"/>
    <w:rsid w:val="006A273C"/>
    <w:rsid w:val="006A2781"/>
    <w:rsid w:val="006A27CC"/>
    <w:rsid w:val="006A27FD"/>
    <w:rsid w:val="006A28C8"/>
    <w:rsid w:val="006A28D0"/>
    <w:rsid w:val="006A297C"/>
    <w:rsid w:val="006A29AA"/>
    <w:rsid w:val="006A29B7"/>
    <w:rsid w:val="006A29C5"/>
    <w:rsid w:val="006A2A4B"/>
    <w:rsid w:val="006A2A85"/>
    <w:rsid w:val="006A2ADC"/>
    <w:rsid w:val="006A2BAD"/>
    <w:rsid w:val="006A2C15"/>
    <w:rsid w:val="006A2CD9"/>
    <w:rsid w:val="006A2DED"/>
    <w:rsid w:val="006A2E3E"/>
    <w:rsid w:val="006A2E88"/>
    <w:rsid w:val="006A2EF2"/>
    <w:rsid w:val="006A2F51"/>
    <w:rsid w:val="006A2F6B"/>
    <w:rsid w:val="006A31CD"/>
    <w:rsid w:val="006A31EB"/>
    <w:rsid w:val="006A321E"/>
    <w:rsid w:val="006A3347"/>
    <w:rsid w:val="006A3372"/>
    <w:rsid w:val="006A3381"/>
    <w:rsid w:val="006A346E"/>
    <w:rsid w:val="006A34B7"/>
    <w:rsid w:val="006A34E4"/>
    <w:rsid w:val="006A3532"/>
    <w:rsid w:val="006A359D"/>
    <w:rsid w:val="006A35E7"/>
    <w:rsid w:val="006A35F2"/>
    <w:rsid w:val="006A36DB"/>
    <w:rsid w:val="006A371C"/>
    <w:rsid w:val="006A373F"/>
    <w:rsid w:val="006A3896"/>
    <w:rsid w:val="006A38E4"/>
    <w:rsid w:val="006A395E"/>
    <w:rsid w:val="006A3989"/>
    <w:rsid w:val="006A3B2E"/>
    <w:rsid w:val="006A3B3B"/>
    <w:rsid w:val="006A3BCB"/>
    <w:rsid w:val="006A3C2B"/>
    <w:rsid w:val="006A3C60"/>
    <w:rsid w:val="006A3CBB"/>
    <w:rsid w:val="006A3D87"/>
    <w:rsid w:val="006A3D8F"/>
    <w:rsid w:val="006A3E11"/>
    <w:rsid w:val="006A3E18"/>
    <w:rsid w:val="006A3F07"/>
    <w:rsid w:val="006A3F2F"/>
    <w:rsid w:val="006A3F77"/>
    <w:rsid w:val="006A3FFE"/>
    <w:rsid w:val="006A4010"/>
    <w:rsid w:val="006A40B9"/>
    <w:rsid w:val="006A40BF"/>
    <w:rsid w:val="006A4121"/>
    <w:rsid w:val="006A4158"/>
    <w:rsid w:val="006A4159"/>
    <w:rsid w:val="006A41D5"/>
    <w:rsid w:val="006A41FE"/>
    <w:rsid w:val="006A42B2"/>
    <w:rsid w:val="006A4364"/>
    <w:rsid w:val="006A4421"/>
    <w:rsid w:val="006A44E0"/>
    <w:rsid w:val="006A44E2"/>
    <w:rsid w:val="006A45A8"/>
    <w:rsid w:val="006A45B1"/>
    <w:rsid w:val="006A45D3"/>
    <w:rsid w:val="006A46F9"/>
    <w:rsid w:val="006A47C7"/>
    <w:rsid w:val="006A4831"/>
    <w:rsid w:val="006A4882"/>
    <w:rsid w:val="006A48D5"/>
    <w:rsid w:val="006A491C"/>
    <w:rsid w:val="006A4A2B"/>
    <w:rsid w:val="006A4A4B"/>
    <w:rsid w:val="006A4B5C"/>
    <w:rsid w:val="006A4B69"/>
    <w:rsid w:val="006A4B76"/>
    <w:rsid w:val="006A4BCD"/>
    <w:rsid w:val="006A4BEE"/>
    <w:rsid w:val="006A4C25"/>
    <w:rsid w:val="006A4CD0"/>
    <w:rsid w:val="006A4D84"/>
    <w:rsid w:val="006A4E01"/>
    <w:rsid w:val="006A4E09"/>
    <w:rsid w:val="006A4EA4"/>
    <w:rsid w:val="006A4F17"/>
    <w:rsid w:val="006A4F94"/>
    <w:rsid w:val="006A4FA7"/>
    <w:rsid w:val="006A4FA8"/>
    <w:rsid w:val="006A504F"/>
    <w:rsid w:val="006A5206"/>
    <w:rsid w:val="006A528E"/>
    <w:rsid w:val="006A52B7"/>
    <w:rsid w:val="006A537D"/>
    <w:rsid w:val="006A53C0"/>
    <w:rsid w:val="006A543C"/>
    <w:rsid w:val="006A5485"/>
    <w:rsid w:val="006A54DD"/>
    <w:rsid w:val="006A5509"/>
    <w:rsid w:val="006A554F"/>
    <w:rsid w:val="006A55B6"/>
    <w:rsid w:val="006A5699"/>
    <w:rsid w:val="006A57FB"/>
    <w:rsid w:val="006A58E1"/>
    <w:rsid w:val="006A59A9"/>
    <w:rsid w:val="006A5A29"/>
    <w:rsid w:val="006A5A79"/>
    <w:rsid w:val="006A5AE6"/>
    <w:rsid w:val="006A5B27"/>
    <w:rsid w:val="006A5B36"/>
    <w:rsid w:val="006A5B39"/>
    <w:rsid w:val="006A5B50"/>
    <w:rsid w:val="006A5B65"/>
    <w:rsid w:val="006A5B6C"/>
    <w:rsid w:val="006A5CE5"/>
    <w:rsid w:val="006A5DB5"/>
    <w:rsid w:val="006A5E70"/>
    <w:rsid w:val="006A5E90"/>
    <w:rsid w:val="006A5EBB"/>
    <w:rsid w:val="006A5ECB"/>
    <w:rsid w:val="006A5EEC"/>
    <w:rsid w:val="006A5F1E"/>
    <w:rsid w:val="006A5F3C"/>
    <w:rsid w:val="006A5F3E"/>
    <w:rsid w:val="006A5FB6"/>
    <w:rsid w:val="006A6017"/>
    <w:rsid w:val="006A6094"/>
    <w:rsid w:val="006A610B"/>
    <w:rsid w:val="006A6142"/>
    <w:rsid w:val="006A61AB"/>
    <w:rsid w:val="006A61C1"/>
    <w:rsid w:val="006A61F7"/>
    <w:rsid w:val="006A6223"/>
    <w:rsid w:val="006A6229"/>
    <w:rsid w:val="006A62B7"/>
    <w:rsid w:val="006A6332"/>
    <w:rsid w:val="006A6335"/>
    <w:rsid w:val="006A6351"/>
    <w:rsid w:val="006A645A"/>
    <w:rsid w:val="006A64DF"/>
    <w:rsid w:val="006A657A"/>
    <w:rsid w:val="006A65EF"/>
    <w:rsid w:val="006A65FE"/>
    <w:rsid w:val="006A66C5"/>
    <w:rsid w:val="006A66D7"/>
    <w:rsid w:val="006A6830"/>
    <w:rsid w:val="006A6870"/>
    <w:rsid w:val="006A68F8"/>
    <w:rsid w:val="006A6989"/>
    <w:rsid w:val="006A6A13"/>
    <w:rsid w:val="006A6A43"/>
    <w:rsid w:val="006A6A7A"/>
    <w:rsid w:val="006A6AEB"/>
    <w:rsid w:val="006A6B01"/>
    <w:rsid w:val="006A6BCB"/>
    <w:rsid w:val="006A6C9B"/>
    <w:rsid w:val="006A6D4C"/>
    <w:rsid w:val="006A6D87"/>
    <w:rsid w:val="006A6DE2"/>
    <w:rsid w:val="006A6E61"/>
    <w:rsid w:val="006A6E7F"/>
    <w:rsid w:val="006A6EF0"/>
    <w:rsid w:val="006A6F95"/>
    <w:rsid w:val="006A7054"/>
    <w:rsid w:val="006A711F"/>
    <w:rsid w:val="006A7187"/>
    <w:rsid w:val="006A71B0"/>
    <w:rsid w:val="006A7217"/>
    <w:rsid w:val="006A72B8"/>
    <w:rsid w:val="006A72BD"/>
    <w:rsid w:val="006A7337"/>
    <w:rsid w:val="006A7478"/>
    <w:rsid w:val="006A74B8"/>
    <w:rsid w:val="006A750D"/>
    <w:rsid w:val="006A7690"/>
    <w:rsid w:val="006A7712"/>
    <w:rsid w:val="006A7784"/>
    <w:rsid w:val="006A781E"/>
    <w:rsid w:val="006A784B"/>
    <w:rsid w:val="006A7890"/>
    <w:rsid w:val="006A792B"/>
    <w:rsid w:val="006A7934"/>
    <w:rsid w:val="006A79FA"/>
    <w:rsid w:val="006A7BA0"/>
    <w:rsid w:val="006A7D5C"/>
    <w:rsid w:val="006A7D92"/>
    <w:rsid w:val="006A7DE2"/>
    <w:rsid w:val="006A7EC3"/>
    <w:rsid w:val="006A7ECC"/>
    <w:rsid w:val="006A7F15"/>
    <w:rsid w:val="006A7F66"/>
    <w:rsid w:val="006A7F6E"/>
    <w:rsid w:val="006A7FC0"/>
    <w:rsid w:val="006B002B"/>
    <w:rsid w:val="006B0033"/>
    <w:rsid w:val="006B00A9"/>
    <w:rsid w:val="006B00C2"/>
    <w:rsid w:val="006B0273"/>
    <w:rsid w:val="006B02F8"/>
    <w:rsid w:val="006B0314"/>
    <w:rsid w:val="006B03B7"/>
    <w:rsid w:val="006B03D5"/>
    <w:rsid w:val="006B03DE"/>
    <w:rsid w:val="006B0409"/>
    <w:rsid w:val="006B043F"/>
    <w:rsid w:val="006B045C"/>
    <w:rsid w:val="006B052E"/>
    <w:rsid w:val="006B065C"/>
    <w:rsid w:val="006B06C1"/>
    <w:rsid w:val="006B06C3"/>
    <w:rsid w:val="006B0859"/>
    <w:rsid w:val="006B08FC"/>
    <w:rsid w:val="006B0950"/>
    <w:rsid w:val="006B0972"/>
    <w:rsid w:val="006B0994"/>
    <w:rsid w:val="006B0A0B"/>
    <w:rsid w:val="006B0A74"/>
    <w:rsid w:val="006B0AFB"/>
    <w:rsid w:val="006B0B27"/>
    <w:rsid w:val="006B0B5D"/>
    <w:rsid w:val="006B0C52"/>
    <w:rsid w:val="006B0D6E"/>
    <w:rsid w:val="006B0DEF"/>
    <w:rsid w:val="006B0E43"/>
    <w:rsid w:val="006B0F0C"/>
    <w:rsid w:val="006B10D7"/>
    <w:rsid w:val="006B116F"/>
    <w:rsid w:val="006B1199"/>
    <w:rsid w:val="006B11CC"/>
    <w:rsid w:val="006B1231"/>
    <w:rsid w:val="006B12B1"/>
    <w:rsid w:val="006B1438"/>
    <w:rsid w:val="006B14D8"/>
    <w:rsid w:val="006B14D9"/>
    <w:rsid w:val="006B1546"/>
    <w:rsid w:val="006B1557"/>
    <w:rsid w:val="006B1592"/>
    <w:rsid w:val="006B15A8"/>
    <w:rsid w:val="006B1649"/>
    <w:rsid w:val="006B169D"/>
    <w:rsid w:val="006B16C7"/>
    <w:rsid w:val="006B16D9"/>
    <w:rsid w:val="006B194F"/>
    <w:rsid w:val="006B1993"/>
    <w:rsid w:val="006B19B1"/>
    <w:rsid w:val="006B19EC"/>
    <w:rsid w:val="006B1AA6"/>
    <w:rsid w:val="006B1ABD"/>
    <w:rsid w:val="006B1B59"/>
    <w:rsid w:val="006B1C0E"/>
    <w:rsid w:val="006B1D35"/>
    <w:rsid w:val="006B1D85"/>
    <w:rsid w:val="006B1DF0"/>
    <w:rsid w:val="006B1EBD"/>
    <w:rsid w:val="006B1F09"/>
    <w:rsid w:val="006B1FFA"/>
    <w:rsid w:val="006B203A"/>
    <w:rsid w:val="006B207B"/>
    <w:rsid w:val="006B207E"/>
    <w:rsid w:val="006B224C"/>
    <w:rsid w:val="006B227B"/>
    <w:rsid w:val="006B22D5"/>
    <w:rsid w:val="006B2380"/>
    <w:rsid w:val="006B238A"/>
    <w:rsid w:val="006B248E"/>
    <w:rsid w:val="006B24A1"/>
    <w:rsid w:val="006B24BF"/>
    <w:rsid w:val="006B26CE"/>
    <w:rsid w:val="006B26D9"/>
    <w:rsid w:val="006B26FD"/>
    <w:rsid w:val="006B2728"/>
    <w:rsid w:val="006B2758"/>
    <w:rsid w:val="006B27EB"/>
    <w:rsid w:val="006B282B"/>
    <w:rsid w:val="006B2898"/>
    <w:rsid w:val="006B291C"/>
    <w:rsid w:val="006B2975"/>
    <w:rsid w:val="006B2AE0"/>
    <w:rsid w:val="006B2C59"/>
    <w:rsid w:val="006B2CC5"/>
    <w:rsid w:val="006B2D07"/>
    <w:rsid w:val="006B2D11"/>
    <w:rsid w:val="006B2D4D"/>
    <w:rsid w:val="006B2DE8"/>
    <w:rsid w:val="006B2E0E"/>
    <w:rsid w:val="006B2E3C"/>
    <w:rsid w:val="006B30C5"/>
    <w:rsid w:val="006B31FA"/>
    <w:rsid w:val="006B323E"/>
    <w:rsid w:val="006B3285"/>
    <w:rsid w:val="006B32EA"/>
    <w:rsid w:val="006B330F"/>
    <w:rsid w:val="006B3361"/>
    <w:rsid w:val="006B336B"/>
    <w:rsid w:val="006B3404"/>
    <w:rsid w:val="006B3412"/>
    <w:rsid w:val="006B343E"/>
    <w:rsid w:val="006B3483"/>
    <w:rsid w:val="006B34BE"/>
    <w:rsid w:val="006B34E1"/>
    <w:rsid w:val="006B34F3"/>
    <w:rsid w:val="006B352E"/>
    <w:rsid w:val="006B361E"/>
    <w:rsid w:val="006B36B6"/>
    <w:rsid w:val="006B36EC"/>
    <w:rsid w:val="006B3759"/>
    <w:rsid w:val="006B3767"/>
    <w:rsid w:val="006B37D3"/>
    <w:rsid w:val="006B38A0"/>
    <w:rsid w:val="006B3AAF"/>
    <w:rsid w:val="006B3AE4"/>
    <w:rsid w:val="006B3AE5"/>
    <w:rsid w:val="006B3AED"/>
    <w:rsid w:val="006B3AF7"/>
    <w:rsid w:val="006B3B00"/>
    <w:rsid w:val="006B3B46"/>
    <w:rsid w:val="006B3B6D"/>
    <w:rsid w:val="006B3B97"/>
    <w:rsid w:val="006B3C84"/>
    <w:rsid w:val="006B3DB5"/>
    <w:rsid w:val="006B3E7F"/>
    <w:rsid w:val="006B3F1B"/>
    <w:rsid w:val="006B3F40"/>
    <w:rsid w:val="006B3FAB"/>
    <w:rsid w:val="006B40C7"/>
    <w:rsid w:val="006B41D5"/>
    <w:rsid w:val="006B4204"/>
    <w:rsid w:val="006B4275"/>
    <w:rsid w:val="006B4306"/>
    <w:rsid w:val="006B431F"/>
    <w:rsid w:val="006B4321"/>
    <w:rsid w:val="006B43C0"/>
    <w:rsid w:val="006B449A"/>
    <w:rsid w:val="006B4530"/>
    <w:rsid w:val="006B4630"/>
    <w:rsid w:val="006B4743"/>
    <w:rsid w:val="006B4855"/>
    <w:rsid w:val="006B4894"/>
    <w:rsid w:val="006B4904"/>
    <w:rsid w:val="006B4909"/>
    <w:rsid w:val="006B4A44"/>
    <w:rsid w:val="006B4A65"/>
    <w:rsid w:val="006B4A92"/>
    <w:rsid w:val="006B4B1A"/>
    <w:rsid w:val="006B4B53"/>
    <w:rsid w:val="006B4B5E"/>
    <w:rsid w:val="006B4C47"/>
    <w:rsid w:val="006B4C53"/>
    <w:rsid w:val="006B4D83"/>
    <w:rsid w:val="006B4ED9"/>
    <w:rsid w:val="006B4EF1"/>
    <w:rsid w:val="006B4F88"/>
    <w:rsid w:val="006B4FA2"/>
    <w:rsid w:val="006B500C"/>
    <w:rsid w:val="006B5077"/>
    <w:rsid w:val="006B5189"/>
    <w:rsid w:val="006B51E3"/>
    <w:rsid w:val="006B5281"/>
    <w:rsid w:val="006B5296"/>
    <w:rsid w:val="006B52DE"/>
    <w:rsid w:val="006B533F"/>
    <w:rsid w:val="006B5393"/>
    <w:rsid w:val="006B53FA"/>
    <w:rsid w:val="006B5497"/>
    <w:rsid w:val="006B5572"/>
    <w:rsid w:val="006B559C"/>
    <w:rsid w:val="006B56D9"/>
    <w:rsid w:val="006B5728"/>
    <w:rsid w:val="006B574C"/>
    <w:rsid w:val="006B5785"/>
    <w:rsid w:val="006B57C2"/>
    <w:rsid w:val="006B588A"/>
    <w:rsid w:val="006B58E8"/>
    <w:rsid w:val="006B5920"/>
    <w:rsid w:val="006B5999"/>
    <w:rsid w:val="006B59A4"/>
    <w:rsid w:val="006B5A16"/>
    <w:rsid w:val="006B5B61"/>
    <w:rsid w:val="006B5BC0"/>
    <w:rsid w:val="006B5C8B"/>
    <w:rsid w:val="006B5CD2"/>
    <w:rsid w:val="006B5CDE"/>
    <w:rsid w:val="006B5D45"/>
    <w:rsid w:val="006B5D60"/>
    <w:rsid w:val="006B5DA1"/>
    <w:rsid w:val="006B5DD5"/>
    <w:rsid w:val="006B5DEB"/>
    <w:rsid w:val="006B6007"/>
    <w:rsid w:val="006B6050"/>
    <w:rsid w:val="006B6095"/>
    <w:rsid w:val="006B60C4"/>
    <w:rsid w:val="006B611A"/>
    <w:rsid w:val="006B617B"/>
    <w:rsid w:val="006B623D"/>
    <w:rsid w:val="006B6241"/>
    <w:rsid w:val="006B62E6"/>
    <w:rsid w:val="006B64D2"/>
    <w:rsid w:val="006B64DD"/>
    <w:rsid w:val="006B6507"/>
    <w:rsid w:val="006B6510"/>
    <w:rsid w:val="006B6512"/>
    <w:rsid w:val="006B6577"/>
    <w:rsid w:val="006B6598"/>
    <w:rsid w:val="006B661F"/>
    <w:rsid w:val="006B6648"/>
    <w:rsid w:val="006B6692"/>
    <w:rsid w:val="006B66F2"/>
    <w:rsid w:val="006B672A"/>
    <w:rsid w:val="006B6896"/>
    <w:rsid w:val="006B6897"/>
    <w:rsid w:val="006B68BF"/>
    <w:rsid w:val="006B68F2"/>
    <w:rsid w:val="006B6916"/>
    <w:rsid w:val="006B6983"/>
    <w:rsid w:val="006B69BB"/>
    <w:rsid w:val="006B6A6F"/>
    <w:rsid w:val="006B6B0E"/>
    <w:rsid w:val="006B6B15"/>
    <w:rsid w:val="006B6B67"/>
    <w:rsid w:val="006B6B92"/>
    <w:rsid w:val="006B6BBB"/>
    <w:rsid w:val="006B6BDC"/>
    <w:rsid w:val="006B6C15"/>
    <w:rsid w:val="006B6C81"/>
    <w:rsid w:val="006B6DBE"/>
    <w:rsid w:val="006B6E51"/>
    <w:rsid w:val="006B6E80"/>
    <w:rsid w:val="006B6FA2"/>
    <w:rsid w:val="006B7014"/>
    <w:rsid w:val="006B7037"/>
    <w:rsid w:val="006B7071"/>
    <w:rsid w:val="006B718B"/>
    <w:rsid w:val="006B719B"/>
    <w:rsid w:val="006B7285"/>
    <w:rsid w:val="006B7330"/>
    <w:rsid w:val="006B745F"/>
    <w:rsid w:val="006B74A9"/>
    <w:rsid w:val="006B74C5"/>
    <w:rsid w:val="006B75EE"/>
    <w:rsid w:val="006B766D"/>
    <w:rsid w:val="006B768C"/>
    <w:rsid w:val="006B7773"/>
    <w:rsid w:val="006B77B4"/>
    <w:rsid w:val="006B7805"/>
    <w:rsid w:val="006B7841"/>
    <w:rsid w:val="006B785A"/>
    <w:rsid w:val="006B78DC"/>
    <w:rsid w:val="006B7900"/>
    <w:rsid w:val="006B7939"/>
    <w:rsid w:val="006B7A91"/>
    <w:rsid w:val="006B7AB7"/>
    <w:rsid w:val="006B7C19"/>
    <w:rsid w:val="006B7C22"/>
    <w:rsid w:val="006B7C74"/>
    <w:rsid w:val="006B7D7B"/>
    <w:rsid w:val="006B7DC6"/>
    <w:rsid w:val="006B7DF9"/>
    <w:rsid w:val="006B7ED6"/>
    <w:rsid w:val="006B7EF7"/>
    <w:rsid w:val="006B7F18"/>
    <w:rsid w:val="006B7F22"/>
    <w:rsid w:val="006B7F8B"/>
    <w:rsid w:val="006B7FBB"/>
    <w:rsid w:val="006C01B0"/>
    <w:rsid w:val="006C01FE"/>
    <w:rsid w:val="006C0226"/>
    <w:rsid w:val="006C026D"/>
    <w:rsid w:val="006C0287"/>
    <w:rsid w:val="006C028F"/>
    <w:rsid w:val="006C029F"/>
    <w:rsid w:val="006C0340"/>
    <w:rsid w:val="006C048E"/>
    <w:rsid w:val="006C04F7"/>
    <w:rsid w:val="006C0573"/>
    <w:rsid w:val="006C05C4"/>
    <w:rsid w:val="006C05D3"/>
    <w:rsid w:val="006C066C"/>
    <w:rsid w:val="006C06A7"/>
    <w:rsid w:val="006C06AF"/>
    <w:rsid w:val="006C0838"/>
    <w:rsid w:val="006C083D"/>
    <w:rsid w:val="006C0882"/>
    <w:rsid w:val="006C0894"/>
    <w:rsid w:val="006C089B"/>
    <w:rsid w:val="006C089C"/>
    <w:rsid w:val="006C08B7"/>
    <w:rsid w:val="006C08FD"/>
    <w:rsid w:val="006C0A80"/>
    <w:rsid w:val="006C0B96"/>
    <w:rsid w:val="006C0C01"/>
    <w:rsid w:val="006C0C07"/>
    <w:rsid w:val="006C0C30"/>
    <w:rsid w:val="006C0C39"/>
    <w:rsid w:val="006C0CB6"/>
    <w:rsid w:val="006C0DE8"/>
    <w:rsid w:val="006C0E1F"/>
    <w:rsid w:val="006C0E72"/>
    <w:rsid w:val="006C0EA1"/>
    <w:rsid w:val="006C0EF1"/>
    <w:rsid w:val="006C0F04"/>
    <w:rsid w:val="006C0F4E"/>
    <w:rsid w:val="006C0F5C"/>
    <w:rsid w:val="006C0FAF"/>
    <w:rsid w:val="006C1030"/>
    <w:rsid w:val="006C1219"/>
    <w:rsid w:val="006C1223"/>
    <w:rsid w:val="006C125A"/>
    <w:rsid w:val="006C12F5"/>
    <w:rsid w:val="006C1354"/>
    <w:rsid w:val="006C144C"/>
    <w:rsid w:val="006C1534"/>
    <w:rsid w:val="006C156D"/>
    <w:rsid w:val="006C1597"/>
    <w:rsid w:val="006C15C2"/>
    <w:rsid w:val="006C1607"/>
    <w:rsid w:val="006C1685"/>
    <w:rsid w:val="006C173C"/>
    <w:rsid w:val="006C1830"/>
    <w:rsid w:val="006C184E"/>
    <w:rsid w:val="006C18B0"/>
    <w:rsid w:val="006C18D1"/>
    <w:rsid w:val="006C1977"/>
    <w:rsid w:val="006C1A5B"/>
    <w:rsid w:val="006C1AB7"/>
    <w:rsid w:val="006C1ABF"/>
    <w:rsid w:val="006C1D8D"/>
    <w:rsid w:val="006C1DEF"/>
    <w:rsid w:val="006C1DFF"/>
    <w:rsid w:val="006C1E8F"/>
    <w:rsid w:val="006C1EA0"/>
    <w:rsid w:val="006C1EF4"/>
    <w:rsid w:val="006C1F73"/>
    <w:rsid w:val="006C1FA2"/>
    <w:rsid w:val="006C1FFF"/>
    <w:rsid w:val="006C202F"/>
    <w:rsid w:val="006C209B"/>
    <w:rsid w:val="006C209F"/>
    <w:rsid w:val="006C212C"/>
    <w:rsid w:val="006C2173"/>
    <w:rsid w:val="006C2237"/>
    <w:rsid w:val="006C2273"/>
    <w:rsid w:val="006C22A5"/>
    <w:rsid w:val="006C22DC"/>
    <w:rsid w:val="006C2340"/>
    <w:rsid w:val="006C2457"/>
    <w:rsid w:val="006C2524"/>
    <w:rsid w:val="006C25EB"/>
    <w:rsid w:val="006C26BD"/>
    <w:rsid w:val="006C26F7"/>
    <w:rsid w:val="006C2707"/>
    <w:rsid w:val="006C2715"/>
    <w:rsid w:val="006C2794"/>
    <w:rsid w:val="006C2797"/>
    <w:rsid w:val="006C27D4"/>
    <w:rsid w:val="006C2878"/>
    <w:rsid w:val="006C2927"/>
    <w:rsid w:val="006C2940"/>
    <w:rsid w:val="006C296F"/>
    <w:rsid w:val="006C2985"/>
    <w:rsid w:val="006C2989"/>
    <w:rsid w:val="006C29AC"/>
    <w:rsid w:val="006C2A2F"/>
    <w:rsid w:val="006C2A82"/>
    <w:rsid w:val="006C2A87"/>
    <w:rsid w:val="006C2ABA"/>
    <w:rsid w:val="006C2B8B"/>
    <w:rsid w:val="006C2BC3"/>
    <w:rsid w:val="006C2C97"/>
    <w:rsid w:val="006C2CF7"/>
    <w:rsid w:val="006C2CFB"/>
    <w:rsid w:val="006C2E1A"/>
    <w:rsid w:val="006C2E69"/>
    <w:rsid w:val="006C2F1C"/>
    <w:rsid w:val="006C2F85"/>
    <w:rsid w:val="006C311A"/>
    <w:rsid w:val="006C31F5"/>
    <w:rsid w:val="006C32FF"/>
    <w:rsid w:val="006C3314"/>
    <w:rsid w:val="006C35D8"/>
    <w:rsid w:val="006C35F4"/>
    <w:rsid w:val="006C3650"/>
    <w:rsid w:val="006C3778"/>
    <w:rsid w:val="006C380D"/>
    <w:rsid w:val="006C382C"/>
    <w:rsid w:val="006C38E7"/>
    <w:rsid w:val="006C3979"/>
    <w:rsid w:val="006C3ADF"/>
    <w:rsid w:val="006C3C6D"/>
    <w:rsid w:val="006C3CB3"/>
    <w:rsid w:val="006C3CD7"/>
    <w:rsid w:val="006C3D04"/>
    <w:rsid w:val="006C3D28"/>
    <w:rsid w:val="006C3D5A"/>
    <w:rsid w:val="006C3DA5"/>
    <w:rsid w:val="006C3DC6"/>
    <w:rsid w:val="006C3EF5"/>
    <w:rsid w:val="006C3F35"/>
    <w:rsid w:val="006C3FB2"/>
    <w:rsid w:val="006C403B"/>
    <w:rsid w:val="006C4056"/>
    <w:rsid w:val="006C414C"/>
    <w:rsid w:val="006C41B2"/>
    <w:rsid w:val="006C41C3"/>
    <w:rsid w:val="006C41CE"/>
    <w:rsid w:val="006C4285"/>
    <w:rsid w:val="006C451B"/>
    <w:rsid w:val="006C4634"/>
    <w:rsid w:val="006C4637"/>
    <w:rsid w:val="006C4698"/>
    <w:rsid w:val="006C46F5"/>
    <w:rsid w:val="006C4711"/>
    <w:rsid w:val="006C4716"/>
    <w:rsid w:val="006C47E0"/>
    <w:rsid w:val="006C482A"/>
    <w:rsid w:val="006C496A"/>
    <w:rsid w:val="006C49C3"/>
    <w:rsid w:val="006C4AA7"/>
    <w:rsid w:val="006C4ACB"/>
    <w:rsid w:val="006C4B4F"/>
    <w:rsid w:val="006C4B54"/>
    <w:rsid w:val="006C4BB6"/>
    <w:rsid w:val="006C4BEB"/>
    <w:rsid w:val="006C4C54"/>
    <w:rsid w:val="006C4C62"/>
    <w:rsid w:val="006C4CA5"/>
    <w:rsid w:val="006C4CAC"/>
    <w:rsid w:val="006C4D3D"/>
    <w:rsid w:val="006C4ECA"/>
    <w:rsid w:val="006C4F05"/>
    <w:rsid w:val="006C4F06"/>
    <w:rsid w:val="006C4F59"/>
    <w:rsid w:val="006C50EC"/>
    <w:rsid w:val="006C51F8"/>
    <w:rsid w:val="006C51FA"/>
    <w:rsid w:val="006C524B"/>
    <w:rsid w:val="006C52BA"/>
    <w:rsid w:val="006C5335"/>
    <w:rsid w:val="006C533F"/>
    <w:rsid w:val="006C534E"/>
    <w:rsid w:val="006C53B7"/>
    <w:rsid w:val="006C53E2"/>
    <w:rsid w:val="006C53E4"/>
    <w:rsid w:val="006C5542"/>
    <w:rsid w:val="006C5653"/>
    <w:rsid w:val="006C56F9"/>
    <w:rsid w:val="006C57A6"/>
    <w:rsid w:val="006C57CA"/>
    <w:rsid w:val="006C57CD"/>
    <w:rsid w:val="006C582F"/>
    <w:rsid w:val="006C58B5"/>
    <w:rsid w:val="006C593D"/>
    <w:rsid w:val="006C5982"/>
    <w:rsid w:val="006C5A55"/>
    <w:rsid w:val="006C5A6E"/>
    <w:rsid w:val="006C5A8D"/>
    <w:rsid w:val="006C5A92"/>
    <w:rsid w:val="006C5AA1"/>
    <w:rsid w:val="006C5AD2"/>
    <w:rsid w:val="006C5AF8"/>
    <w:rsid w:val="006C5B6E"/>
    <w:rsid w:val="006C5C12"/>
    <w:rsid w:val="006C5C60"/>
    <w:rsid w:val="006C5C8B"/>
    <w:rsid w:val="006C5CC0"/>
    <w:rsid w:val="006C5D1C"/>
    <w:rsid w:val="006C5DDE"/>
    <w:rsid w:val="006C5EC8"/>
    <w:rsid w:val="006C5F3B"/>
    <w:rsid w:val="006C5FA0"/>
    <w:rsid w:val="006C5FD0"/>
    <w:rsid w:val="006C6002"/>
    <w:rsid w:val="006C60A2"/>
    <w:rsid w:val="006C60C4"/>
    <w:rsid w:val="006C6109"/>
    <w:rsid w:val="006C61D0"/>
    <w:rsid w:val="006C621D"/>
    <w:rsid w:val="006C62F4"/>
    <w:rsid w:val="006C633F"/>
    <w:rsid w:val="006C640A"/>
    <w:rsid w:val="006C6491"/>
    <w:rsid w:val="006C64F8"/>
    <w:rsid w:val="006C65A4"/>
    <w:rsid w:val="006C65CD"/>
    <w:rsid w:val="006C65E9"/>
    <w:rsid w:val="006C6742"/>
    <w:rsid w:val="006C6785"/>
    <w:rsid w:val="006C678A"/>
    <w:rsid w:val="006C678B"/>
    <w:rsid w:val="006C679A"/>
    <w:rsid w:val="006C67C4"/>
    <w:rsid w:val="006C67F4"/>
    <w:rsid w:val="006C6801"/>
    <w:rsid w:val="006C685A"/>
    <w:rsid w:val="006C6880"/>
    <w:rsid w:val="006C6ACE"/>
    <w:rsid w:val="006C6ADA"/>
    <w:rsid w:val="006C6DA0"/>
    <w:rsid w:val="006C6DAC"/>
    <w:rsid w:val="006C6F6A"/>
    <w:rsid w:val="006C6FBA"/>
    <w:rsid w:val="006C70E0"/>
    <w:rsid w:val="006C71FD"/>
    <w:rsid w:val="006C727C"/>
    <w:rsid w:val="006C7292"/>
    <w:rsid w:val="006C72AE"/>
    <w:rsid w:val="006C72FC"/>
    <w:rsid w:val="006C734F"/>
    <w:rsid w:val="006C7512"/>
    <w:rsid w:val="006C7536"/>
    <w:rsid w:val="006C75B3"/>
    <w:rsid w:val="006C75DD"/>
    <w:rsid w:val="006C767F"/>
    <w:rsid w:val="006C76FA"/>
    <w:rsid w:val="006C7725"/>
    <w:rsid w:val="006C7772"/>
    <w:rsid w:val="006C779E"/>
    <w:rsid w:val="006C787F"/>
    <w:rsid w:val="006C7A7B"/>
    <w:rsid w:val="006C7AD4"/>
    <w:rsid w:val="006C7B69"/>
    <w:rsid w:val="006C7BF6"/>
    <w:rsid w:val="006C7C6C"/>
    <w:rsid w:val="006C7C79"/>
    <w:rsid w:val="006C7C93"/>
    <w:rsid w:val="006C7CDC"/>
    <w:rsid w:val="006C7DDF"/>
    <w:rsid w:val="006C7E31"/>
    <w:rsid w:val="006C7EEF"/>
    <w:rsid w:val="006C7F6F"/>
    <w:rsid w:val="006C7F72"/>
    <w:rsid w:val="006C7F8D"/>
    <w:rsid w:val="006C7FED"/>
    <w:rsid w:val="006D0006"/>
    <w:rsid w:val="006D0062"/>
    <w:rsid w:val="006D00B8"/>
    <w:rsid w:val="006D01F0"/>
    <w:rsid w:val="006D022E"/>
    <w:rsid w:val="006D0233"/>
    <w:rsid w:val="006D033E"/>
    <w:rsid w:val="006D045F"/>
    <w:rsid w:val="006D04A0"/>
    <w:rsid w:val="006D04D5"/>
    <w:rsid w:val="006D0517"/>
    <w:rsid w:val="006D05E3"/>
    <w:rsid w:val="006D069F"/>
    <w:rsid w:val="006D06B0"/>
    <w:rsid w:val="006D07D4"/>
    <w:rsid w:val="006D07F7"/>
    <w:rsid w:val="006D0933"/>
    <w:rsid w:val="006D0A30"/>
    <w:rsid w:val="006D0B9D"/>
    <w:rsid w:val="006D0BA2"/>
    <w:rsid w:val="006D0C1F"/>
    <w:rsid w:val="006D0C2C"/>
    <w:rsid w:val="006D0C6D"/>
    <w:rsid w:val="006D0CA3"/>
    <w:rsid w:val="006D0CCB"/>
    <w:rsid w:val="006D0D35"/>
    <w:rsid w:val="006D0D6A"/>
    <w:rsid w:val="006D0D7D"/>
    <w:rsid w:val="006D0DBD"/>
    <w:rsid w:val="006D0E0B"/>
    <w:rsid w:val="006D0E78"/>
    <w:rsid w:val="006D0ED9"/>
    <w:rsid w:val="006D0EF1"/>
    <w:rsid w:val="006D0FEA"/>
    <w:rsid w:val="006D0FF4"/>
    <w:rsid w:val="006D1001"/>
    <w:rsid w:val="006D1031"/>
    <w:rsid w:val="006D103C"/>
    <w:rsid w:val="006D1064"/>
    <w:rsid w:val="006D10B3"/>
    <w:rsid w:val="006D115D"/>
    <w:rsid w:val="006D115E"/>
    <w:rsid w:val="006D117F"/>
    <w:rsid w:val="006D1195"/>
    <w:rsid w:val="006D12BF"/>
    <w:rsid w:val="006D12CD"/>
    <w:rsid w:val="006D12F2"/>
    <w:rsid w:val="006D1395"/>
    <w:rsid w:val="006D13AF"/>
    <w:rsid w:val="006D1519"/>
    <w:rsid w:val="006D1590"/>
    <w:rsid w:val="006D1596"/>
    <w:rsid w:val="006D16A2"/>
    <w:rsid w:val="006D17BF"/>
    <w:rsid w:val="006D17C7"/>
    <w:rsid w:val="006D191B"/>
    <w:rsid w:val="006D193C"/>
    <w:rsid w:val="006D194D"/>
    <w:rsid w:val="006D196E"/>
    <w:rsid w:val="006D197C"/>
    <w:rsid w:val="006D1994"/>
    <w:rsid w:val="006D19C9"/>
    <w:rsid w:val="006D19DF"/>
    <w:rsid w:val="006D1A0D"/>
    <w:rsid w:val="006D1A52"/>
    <w:rsid w:val="006D1A97"/>
    <w:rsid w:val="006D1B3C"/>
    <w:rsid w:val="006D1B5F"/>
    <w:rsid w:val="006D1C0C"/>
    <w:rsid w:val="006D1D34"/>
    <w:rsid w:val="006D1D4E"/>
    <w:rsid w:val="006D1D5A"/>
    <w:rsid w:val="006D1E2F"/>
    <w:rsid w:val="006D1E3A"/>
    <w:rsid w:val="006D1E9C"/>
    <w:rsid w:val="006D1F43"/>
    <w:rsid w:val="006D1F5F"/>
    <w:rsid w:val="006D201E"/>
    <w:rsid w:val="006D2026"/>
    <w:rsid w:val="006D2133"/>
    <w:rsid w:val="006D2140"/>
    <w:rsid w:val="006D21A3"/>
    <w:rsid w:val="006D21CA"/>
    <w:rsid w:val="006D221D"/>
    <w:rsid w:val="006D224C"/>
    <w:rsid w:val="006D2269"/>
    <w:rsid w:val="006D22CB"/>
    <w:rsid w:val="006D23B3"/>
    <w:rsid w:val="006D23C7"/>
    <w:rsid w:val="006D249E"/>
    <w:rsid w:val="006D2532"/>
    <w:rsid w:val="006D2586"/>
    <w:rsid w:val="006D25E5"/>
    <w:rsid w:val="006D2686"/>
    <w:rsid w:val="006D272F"/>
    <w:rsid w:val="006D2755"/>
    <w:rsid w:val="006D2778"/>
    <w:rsid w:val="006D2892"/>
    <w:rsid w:val="006D28AC"/>
    <w:rsid w:val="006D28EA"/>
    <w:rsid w:val="006D290F"/>
    <w:rsid w:val="006D2912"/>
    <w:rsid w:val="006D298F"/>
    <w:rsid w:val="006D299E"/>
    <w:rsid w:val="006D29E5"/>
    <w:rsid w:val="006D2A4D"/>
    <w:rsid w:val="006D2A56"/>
    <w:rsid w:val="006D2A80"/>
    <w:rsid w:val="006D2AAB"/>
    <w:rsid w:val="006D2ABF"/>
    <w:rsid w:val="006D2AD5"/>
    <w:rsid w:val="006D2B19"/>
    <w:rsid w:val="006D2BFF"/>
    <w:rsid w:val="006D2C0A"/>
    <w:rsid w:val="006D2CC4"/>
    <w:rsid w:val="006D2CD8"/>
    <w:rsid w:val="006D2D17"/>
    <w:rsid w:val="006D2F5B"/>
    <w:rsid w:val="006D2FE1"/>
    <w:rsid w:val="006D308D"/>
    <w:rsid w:val="006D3213"/>
    <w:rsid w:val="006D32EB"/>
    <w:rsid w:val="006D3369"/>
    <w:rsid w:val="006D3398"/>
    <w:rsid w:val="006D33B6"/>
    <w:rsid w:val="006D356E"/>
    <w:rsid w:val="006D359F"/>
    <w:rsid w:val="006D35A3"/>
    <w:rsid w:val="006D35C2"/>
    <w:rsid w:val="006D36AD"/>
    <w:rsid w:val="006D3709"/>
    <w:rsid w:val="006D3762"/>
    <w:rsid w:val="006D37E2"/>
    <w:rsid w:val="006D3824"/>
    <w:rsid w:val="006D383E"/>
    <w:rsid w:val="006D38B6"/>
    <w:rsid w:val="006D38B9"/>
    <w:rsid w:val="006D38BB"/>
    <w:rsid w:val="006D38CE"/>
    <w:rsid w:val="006D38F5"/>
    <w:rsid w:val="006D38FD"/>
    <w:rsid w:val="006D3994"/>
    <w:rsid w:val="006D3A48"/>
    <w:rsid w:val="006D3AED"/>
    <w:rsid w:val="006D3B22"/>
    <w:rsid w:val="006D3B7B"/>
    <w:rsid w:val="006D3BC5"/>
    <w:rsid w:val="006D3C86"/>
    <w:rsid w:val="006D3CFA"/>
    <w:rsid w:val="006D3D15"/>
    <w:rsid w:val="006D3E7A"/>
    <w:rsid w:val="006D3EEA"/>
    <w:rsid w:val="006D3F92"/>
    <w:rsid w:val="006D418A"/>
    <w:rsid w:val="006D42F2"/>
    <w:rsid w:val="006D43BE"/>
    <w:rsid w:val="006D43CC"/>
    <w:rsid w:val="006D43EC"/>
    <w:rsid w:val="006D4481"/>
    <w:rsid w:val="006D44AD"/>
    <w:rsid w:val="006D44CC"/>
    <w:rsid w:val="006D44FE"/>
    <w:rsid w:val="006D451C"/>
    <w:rsid w:val="006D4589"/>
    <w:rsid w:val="006D45CE"/>
    <w:rsid w:val="006D46E3"/>
    <w:rsid w:val="006D4728"/>
    <w:rsid w:val="006D473E"/>
    <w:rsid w:val="006D4758"/>
    <w:rsid w:val="006D48E5"/>
    <w:rsid w:val="006D4903"/>
    <w:rsid w:val="006D499C"/>
    <w:rsid w:val="006D4C4E"/>
    <w:rsid w:val="006D4D2D"/>
    <w:rsid w:val="006D4E9E"/>
    <w:rsid w:val="006D4EBD"/>
    <w:rsid w:val="006D4F2E"/>
    <w:rsid w:val="006D4F3C"/>
    <w:rsid w:val="006D5033"/>
    <w:rsid w:val="006D506A"/>
    <w:rsid w:val="006D50C0"/>
    <w:rsid w:val="006D50FC"/>
    <w:rsid w:val="006D513F"/>
    <w:rsid w:val="006D517B"/>
    <w:rsid w:val="006D523D"/>
    <w:rsid w:val="006D5243"/>
    <w:rsid w:val="006D5269"/>
    <w:rsid w:val="006D52FE"/>
    <w:rsid w:val="006D5402"/>
    <w:rsid w:val="006D5489"/>
    <w:rsid w:val="006D54B3"/>
    <w:rsid w:val="006D54BF"/>
    <w:rsid w:val="006D54D7"/>
    <w:rsid w:val="006D54DB"/>
    <w:rsid w:val="006D5523"/>
    <w:rsid w:val="006D562F"/>
    <w:rsid w:val="006D56CD"/>
    <w:rsid w:val="006D56F6"/>
    <w:rsid w:val="006D57AD"/>
    <w:rsid w:val="006D57FB"/>
    <w:rsid w:val="006D59C9"/>
    <w:rsid w:val="006D59CA"/>
    <w:rsid w:val="006D5A18"/>
    <w:rsid w:val="006D5A6E"/>
    <w:rsid w:val="006D5A9B"/>
    <w:rsid w:val="006D5C08"/>
    <w:rsid w:val="006D5C85"/>
    <w:rsid w:val="006D5E78"/>
    <w:rsid w:val="006D5F43"/>
    <w:rsid w:val="006D5F4B"/>
    <w:rsid w:val="006D5FBD"/>
    <w:rsid w:val="006D5FCA"/>
    <w:rsid w:val="006D60FA"/>
    <w:rsid w:val="006D6198"/>
    <w:rsid w:val="006D6221"/>
    <w:rsid w:val="006D6293"/>
    <w:rsid w:val="006D62AB"/>
    <w:rsid w:val="006D631C"/>
    <w:rsid w:val="006D6320"/>
    <w:rsid w:val="006D634E"/>
    <w:rsid w:val="006D63BB"/>
    <w:rsid w:val="006D63C7"/>
    <w:rsid w:val="006D646E"/>
    <w:rsid w:val="006D6618"/>
    <w:rsid w:val="006D668C"/>
    <w:rsid w:val="006D6738"/>
    <w:rsid w:val="006D688B"/>
    <w:rsid w:val="006D68B4"/>
    <w:rsid w:val="006D691A"/>
    <w:rsid w:val="006D6956"/>
    <w:rsid w:val="006D69BD"/>
    <w:rsid w:val="006D6A87"/>
    <w:rsid w:val="006D6B03"/>
    <w:rsid w:val="006D6B5A"/>
    <w:rsid w:val="006D6C02"/>
    <w:rsid w:val="006D6C0B"/>
    <w:rsid w:val="006D6C1F"/>
    <w:rsid w:val="006D6CF2"/>
    <w:rsid w:val="006D6CF9"/>
    <w:rsid w:val="006D6DA0"/>
    <w:rsid w:val="006D6DC8"/>
    <w:rsid w:val="006D6E40"/>
    <w:rsid w:val="006D6EEA"/>
    <w:rsid w:val="006D6FE8"/>
    <w:rsid w:val="006D6FFC"/>
    <w:rsid w:val="006D700D"/>
    <w:rsid w:val="006D7065"/>
    <w:rsid w:val="006D7074"/>
    <w:rsid w:val="006D70E3"/>
    <w:rsid w:val="006D710B"/>
    <w:rsid w:val="006D7291"/>
    <w:rsid w:val="006D7344"/>
    <w:rsid w:val="006D73E6"/>
    <w:rsid w:val="006D7400"/>
    <w:rsid w:val="006D742E"/>
    <w:rsid w:val="006D7488"/>
    <w:rsid w:val="006D752B"/>
    <w:rsid w:val="006D7531"/>
    <w:rsid w:val="006D7563"/>
    <w:rsid w:val="006D756C"/>
    <w:rsid w:val="006D761B"/>
    <w:rsid w:val="006D7668"/>
    <w:rsid w:val="006D76C9"/>
    <w:rsid w:val="006D76D4"/>
    <w:rsid w:val="006D76E7"/>
    <w:rsid w:val="006D76E9"/>
    <w:rsid w:val="006D771B"/>
    <w:rsid w:val="006D77D6"/>
    <w:rsid w:val="006D7809"/>
    <w:rsid w:val="006D7878"/>
    <w:rsid w:val="006D7999"/>
    <w:rsid w:val="006D7A56"/>
    <w:rsid w:val="006D7A92"/>
    <w:rsid w:val="006D7B38"/>
    <w:rsid w:val="006D7B40"/>
    <w:rsid w:val="006D7B86"/>
    <w:rsid w:val="006D7BAC"/>
    <w:rsid w:val="006D7CEA"/>
    <w:rsid w:val="006D7D2C"/>
    <w:rsid w:val="006D7D7E"/>
    <w:rsid w:val="006D7E03"/>
    <w:rsid w:val="006D7E5A"/>
    <w:rsid w:val="006D7E77"/>
    <w:rsid w:val="006D7F22"/>
    <w:rsid w:val="006D7F32"/>
    <w:rsid w:val="006D7F44"/>
    <w:rsid w:val="006D7F6B"/>
    <w:rsid w:val="006E002C"/>
    <w:rsid w:val="006E00DD"/>
    <w:rsid w:val="006E00E4"/>
    <w:rsid w:val="006E013B"/>
    <w:rsid w:val="006E01F8"/>
    <w:rsid w:val="006E02A7"/>
    <w:rsid w:val="006E02E7"/>
    <w:rsid w:val="006E0300"/>
    <w:rsid w:val="006E0386"/>
    <w:rsid w:val="006E041B"/>
    <w:rsid w:val="006E042E"/>
    <w:rsid w:val="006E0449"/>
    <w:rsid w:val="006E04F1"/>
    <w:rsid w:val="006E05C8"/>
    <w:rsid w:val="006E0673"/>
    <w:rsid w:val="006E06AD"/>
    <w:rsid w:val="006E06F1"/>
    <w:rsid w:val="006E078C"/>
    <w:rsid w:val="006E07DA"/>
    <w:rsid w:val="006E0850"/>
    <w:rsid w:val="006E08C5"/>
    <w:rsid w:val="006E08DB"/>
    <w:rsid w:val="006E08E9"/>
    <w:rsid w:val="006E092E"/>
    <w:rsid w:val="006E0931"/>
    <w:rsid w:val="006E09D4"/>
    <w:rsid w:val="006E0A79"/>
    <w:rsid w:val="006E0B74"/>
    <w:rsid w:val="006E0B84"/>
    <w:rsid w:val="006E0B86"/>
    <w:rsid w:val="006E0BE0"/>
    <w:rsid w:val="006E0CBC"/>
    <w:rsid w:val="006E0D27"/>
    <w:rsid w:val="006E0D63"/>
    <w:rsid w:val="006E0EE8"/>
    <w:rsid w:val="006E0FB7"/>
    <w:rsid w:val="006E1012"/>
    <w:rsid w:val="006E1021"/>
    <w:rsid w:val="006E1028"/>
    <w:rsid w:val="006E1171"/>
    <w:rsid w:val="006E1189"/>
    <w:rsid w:val="006E11A0"/>
    <w:rsid w:val="006E1231"/>
    <w:rsid w:val="006E127B"/>
    <w:rsid w:val="006E135F"/>
    <w:rsid w:val="006E1482"/>
    <w:rsid w:val="006E153B"/>
    <w:rsid w:val="006E1557"/>
    <w:rsid w:val="006E15E2"/>
    <w:rsid w:val="006E16AF"/>
    <w:rsid w:val="006E16D4"/>
    <w:rsid w:val="006E16EE"/>
    <w:rsid w:val="006E1709"/>
    <w:rsid w:val="006E1756"/>
    <w:rsid w:val="006E1769"/>
    <w:rsid w:val="006E1789"/>
    <w:rsid w:val="006E17BF"/>
    <w:rsid w:val="006E1803"/>
    <w:rsid w:val="006E1876"/>
    <w:rsid w:val="006E1927"/>
    <w:rsid w:val="006E1985"/>
    <w:rsid w:val="006E1986"/>
    <w:rsid w:val="006E19BE"/>
    <w:rsid w:val="006E1ABD"/>
    <w:rsid w:val="006E1AC2"/>
    <w:rsid w:val="006E1AF6"/>
    <w:rsid w:val="006E1C04"/>
    <w:rsid w:val="006E1C28"/>
    <w:rsid w:val="006E1C35"/>
    <w:rsid w:val="006E1C4C"/>
    <w:rsid w:val="006E1C99"/>
    <w:rsid w:val="006E1E22"/>
    <w:rsid w:val="006E1F29"/>
    <w:rsid w:val="006E1F2E"/>
    <w:rsid w:val="006E213F"/>
    <w:rsid w:val="006E2146"/>
    <w:rsid w:val="006E214D"/>
    <w:rsid w:val="006E2181"/>
    <w:rsid w:val="006E231D"/>
    <w:rsid w:val="006E2355"/>
    <w:rsid w:val="006E2426"/>
    <w:rsid w:val="006E25E7"/>
    <w:rsid w:val="006E2601"/>
    <w:rsid w:val="006E2675"/>
    <w:rsid w:val="006E2688"/>
    <w:rsid w:val="006E268A"/>
    <w:rsid w:val="006E268B"/>
    <w:rsid w:val="006E2691"/>
    <w:rsid w:val="006E27E8"/>
    <w:rsid w:val="006E2864"/>
    <w:rsid w:val="006E288A"/>
    <w:rsid w:val="006E28FA"/>
    <w:rsid w:val="006E2967"/>
    <w:rsid w:val="006E2979"/>
    <w:rsid w:val="006E2994"/>
    <w:rsid w:val="006E29B0"/>
    <w:rsid w:val="006E2AB3"/>
    <w:rsid w:val="006E2B0E"/>
    <w:rsid w:val="006E2B32"/>
    <w:rsid w:val="006E2BAE"/>
    <w:rsid w:val="006E2BC6"/>
    <w:rsid w:val="006E2BE0"/>
    <w:rsid w:val="006E2C57"/>
    <w:rsid w:val="006E2CA7"/>
    <w:rsid w:val="006E2CE5"/>
    <w:rsid w:val="006E2D10"/>
    <w:rsid w:val="006E2D80"/>
    <w:rsid w:val="006E2E15"/>
    <w:rsid w:val="006E2E1D"/>
    <w:rsid w:val="006E2EFA"/>
    <w:rsid w:val="006E2FA3"/>
    <w:rsid w:val="006E2FAC"/>
    <w:rsid w:val="006E2FDC"/>
    <w:rsid w:val="006E3010"/>
    <w:rsid w:val="006E3135"/>
    <w:rsid w:val="006E31B1"/>
    <w:rsid w:val="006E325F"/>
    <w:rsid w:val="006E32BF"/>
    <w:rsid w:val="006E32EB"/>
    <w:rsid w:val="006E3308"/>
    <w:rsid w:val="006E3365"/>
    <w:rsid w:val="006E3386"/>
    <w:rsid w:val="006E33D3"/>
    <w:rsid w:val="006E342B"/>
    <w:rsid w:val="006E3432"/>
    <w:rsid w:val="006E344A"/>
    <w:rsid w:val="006E3519"/>
    <w:rsid w:val="006E353B"/>
    <w:rsid w:val="006E35D0"/>
    <w:rsid w:val="006E3707"/>
    <w:rsid w:val="006E370C"/>
    <w:rsid w:val="006E378A"/>
    <w:rsid w:val="006E37D7"/>
    <w:rsid w:val="006E3819"/>
    <w:rsid w:val="006E3883"/>
    <w:rsid w:val="006E3898"/>
    <w:rsid w:val="006E38D3"/>
    <w:rsid w:val="006E3992"/>
    <w:rsid w:val="006E39FA"/>
    <w:rsid w:val="006E3A07"/>
    <w:rsid w:val="006E3A2C"/>
    <w:rsid w:val="006E3A73"/>
    <w:rsid w:val="006E3AAB"/>
    <w:rsid w:val="006E3C30"/>
    <w:rsid w:val="006E3CC8"/>
    <w:rsid w:val="006E3D4C"/>
    <w:rsid w:val="006E3D72"/>
    <w:rsid w:val="006E3D79"/>
    <w:rsid w:val="006E3D7E"/>
    <w:rsid w:val="006E3E15"/>
    <w:rsid w:val="006E3E8B"/>
    <w:rsid w:val="006E3EAD"/>
    <w:rsid w:val="006E40A9"/>
    <w:rsid w:val="006E40B0"/>
    <w:rsid w:val="006E40DF"/>
    <w:rsid w:val="006E4193"/>
    <w:rsid w:val="006E41AC"/>
    <w:rsid w:val="006E41B0"/>
    <w:rsid w:val="006E42B9"/>
    <w:rsid w:val="006E42BB"/>
    <w:rsid w:val="006E4439"/>
    <w:rsid w:val="006E4540"/>
    <w:rsid w:val="006E4568"/>
    <w:rsid w:val="006E45A7"/>
    <w:rsid w:val="006E45F3"/>
    <w:rsid w:val="006E45FF"/>
    <w:rsid w:val="006E4668"/>
    <w:rsid w:val="006E4696"/>
    <w:rsid w:val="006E46DA"/>
    <w:rsid w:val="006E46F9"/>
    <w:rsid w:val="006E4812"/>
    <w:rsid w:val="006E48BE"/>
    <w:rsid w:val="006E48C3"/>
    <w:rsid w:val="006E4966"/>
    <w:rsid w:val="006E49F2"/>
    <w:rsid w:val="006E49F8"/>
    <w:rsid w:val="006E4AA8"/>
    <w:rsid w:val="006E4AF2"/>
    <w:rsid w:val="006E4B2C"/>
    <w:rsid w:val="006E4B7B"/>
    <w:rsid w:val="006E4CB5"/>
    <w:rsid w:val="006E4E97"/>
    <w:rsid w:val="006E4ED9"/>
    <w:rsid w:val="006E4F2D"/>
    <w:rsid w:val="006E5009"/>
    <w:rsid w:val="006E503B"/>
    <w:rsid w:val="006E505E"/>
    <w:rsid w:val="006E5066"/>
    <w:rsid w:val="006E516A"/>
    <w:rsid w:val="006E5210"/>
    <w:rsid w:val="006E5264"/>
    <w:rsid w:val="006E52AB"/>
    <w:rsid w:val="006E52AF"/>
    <w:rsid w:val="006E5311"/>
    <w:rsid w:val="006E53DB"/>
    <w:rsid w:val="006E543F"/>
    <w:rsid w:val="006E546B"/>
    <w:rsid w:val="006E54D5"/>
    <w:rsid w:val="006E55DC"/>
    <w:rsid w:val="006E5649"/>
    <w:rsid w:val="006E5763"/>
    <w:rsid w:val="006E577F"/>
    <w:rsid w:val="006E586C"/>
    <w:rsid w:val="006E5910"/>
    <w:rsid w:val="006E59CE"/>
    <w:rsid w:val="006E59F9"/>
    <w:rsid w:val="006E5B62"/>
    <w:rsid w:val="006E5CAF"/>
    <w:rsid w:val="006E5D28"/>
    <w:rsid w:val="006E5E1C"/>
    <w:rsid w:val="006E5E20"/>
    <w:rsid w:val="006E5E25"/>
    <w:rsid w:val="006E5E7E"/>
    <w:rsid w:val="006E5F28"/>
    <w:rsid w:val="006E5F61"/>
    <w:rsid w:val="006E5FA1"/>
    <w:rsid w:val="006E6018"/>
    <w:rsid w:val="006E60C1"/>
    <w:rsid w:val="006E60D8"/>
    <w:rsid w:val="006E60E4"/>
    <w:rsid w:val="006E6157"/>
    <w:rsid w:val="006E61E0"/>
    <w:rsid w:val="006E6288"/>
    <w:rsid w:val="006E6290"/>
    <w:rsid w:val="006E62AD"/>
    <w:rsid w:val="006E632A"/>
    <w:rsid w:val="006E63C1"/>
    <w:rsid w:val="006E64FC"/>
    <w:rsid w:val="006E651D"/>
    <w:rsid w:val="006E663F"/>
    <w:rsid w:val="006E6721"/>
    <w:rsid w:val="006E680A"/>
    <w:rsid w:val="006E6815"/>
    <w:rsid w:val="006E6825"/>
    <w:rsid w:val="006E6829"/>
    <w:rsid w:val="006E6869"/>
    <w:rsid w:val="006E6882"/>
    <w:rsid w:val="006E68D6"/>
    <w:rsid w:val="006E6918"/>
    <w:rsid w:val="006E6A56"/>
    <w:rsid w:val="006E6B8E"/>
    <w:rsid w:val="006E6BDA"/>
    <w:rsid w:val="006E6C02"/>
    <w:rsid w:val="006E6C4A"/>
    <w:rsid w:val="006E6CBC"/>
    <w:rsid w:val="006E6CFD"/>
    <w:rsid w:val="006E6D24"/>
    <w:rsid w:val="006E6D2B"/>
    <w:rsid w:val="006E6DC4"/>
    <w:rsid w:val="006E6E33"/>
    <w:rsid w:val="006E6EE3"/>
    <w:rsid w:val="006E704E"/>
    <w:rsid w:val="006E70CD"/>
    <w:rsid w:val="006E70D0"/>
    <w:rsid w:val="006E7197"/>
    <w:rsid w:val="006E71AE"/>
    <w:rsid w:val="006E71B9"/>
    <w:rsid w:val="006E7218"/>
    <w:rsid w:val="006E7294"/>
    <w:rsid w:val="006E72C5"/>
    <w:rsid w:val="006E739B"/>
    <w:rsid w:val="006E740D"/>
    <w:rsid w:val="006E7416"/>
    <w:rsid w:val="006E753F"/>
    <w:rsid w:val="006E7574"/>
    <w:rsid w:val="006E75C3"/>
    <w:rsid w:val="006E763C"/>
    <w:rsid w:val="006E7676"/>
    <w:rsid w:val="006E767D"/>
    <w:rsid w:val="006E7726"/>
    <w:rsid w:val="006E7834"/>
    <w:rsid w:val="006E78CF"/>
    <w:rsid w:val="006E7968"/>
    <w:rsid w:val="006E79F1"/>
    <w:rsid w:val="006E7AD5"/>
    <w:rsid w:val="006E7AE5"/>
    <w:rsid w:val="006E7B48"/>
    <w:rsid w:val="006E7B99"/>
    <w:rsid w:val="006E7BB1"/>
    <w:rsid w:val="006E7C2C"/>
    <w:rsid w:val="006E7C40"/>
    <w:rsid w:val="006E7C8F"/>
    <w:rsid w:val="006E7CD5"/>
    <w:rsid w:val="006E7D48"/>
    <w:rsid w:val="006E7F05"/>
    <w:rsid w:val="006E7F88"/>
    <w:rsid w:val="006E7FCE"/>
    <w:rsid w:val="006E7FDC"/>
    <w:rsid w:val="006F0036"/>
    <w:rsid w:val="006F0072"/>
    <w:rsid w:val="006F0109"/>
    <w:rsid w:val="006F012B"/>
    <w:rsid w:val="006F0171"/>
    <w:rsid w:val="006F02F1"/>
    <w:rsid w:val="006F03A8"/>
    <w:rsid w:val="006F03FD"/>
    <w:rsid w:val="006F057D"/>
    <w:rsid w:val="006F05B1"/>
    <w:rsid w:val="006F0628"/>
    <w:rsid w:val="006F069A"/>
    <w:rsid w:val="006F06CB"/>
    <w:rsid w:val="006F06FC"/>
    <w:rsid w:val="006F0718"/>
    <w:rsid w:val="006F0752"/>
    <w:rsid w:val="006F0776"/>
    <w:rsid w:val="006F07B4"/>
    <w:rsid w:val="006F07D3"/>
    <w:rsid w:val="006F07E6"/>
    <w:rsid w:val="006F07F2"/>
    <w:rsid w:val="006F08C7"/>
    <w:rsid w:val="006F08FE"/>
    <w:rsid w:val="006F099D"/>
    <w:rsid w:val="006F0A06"/>
    <w:rsid w:val="006F0A91"/>
    <w:rsid w:val="006F0B50"/>
    <w:rsid w:val="006F0BE9"/>
    <w:rsid w:val="006F0C05"/>
    <w:rsid w:val="006F0C1E"/>
    <w:rsid w:val="006F0D30"/>
    <w:rsid w:val="006F0E46"/>
    <w:rsid w:val="006F0E66"/>
    <w:rsid w:val="006F0EFD"/>
    <w:rsid w:val="006F0F89"/>
    <w:rsid w:val="006F0FB3"/>
    <w:rsid w:val="006F0FFA"/>
    <w:rsid w:val="006F102F"/>
    <w:rsid w:val="006F106F"/>
    <w:rsid w:val="006F108D"/>
    <w:rsid w:val="006F1095"/>
    <w:rsid w:val="006F10EC"/>
    <w:rsid w:val="006F10F3"/>
    <w:rsid w:val="006F1169"/>
    <w:rsid w:val="006F11EF"/>
    <w:rsid w:val="006F12AA"/>
    <w:rsid w:val="006F1492"/>
    <w:rsid w:val="006F14DB"/>
    <w:rsid w:val="006F1540"/>
    <w:rsid w:val="006F15FB"/>
    <w:rsid w:val="006F1637"/>
    <w:rsid w:val="006F16C0"/>
    <w:rsid w:val="006F1939"/>
    <w:rsid w:val="006F1960"/>
    <w:rsid w:val="006F1975"/>
    <w:rsid w:val="006F1A0F"/>
    <w:rsid w:val="006F1A16"/>
    <w:rsid w:val="006F1A88"/>
    <w:rsid w:val="006F1AC0"/>
    <w:rsid w:val="006F1BD3"/>
    <w:rsid w:val="006F1CE3"/>
    <w:rsid w:val="006F1DE2"/>
    <w:rsid w:val="006F1DE4"/>
    <w:rsid w:val="006F1E6B"/>
    <w:rsid w:val="006F1E9C"/>
    <w:rsid w:val="006F1EFE"/>
    <w:rsid w:val="006F1F47"/>
    <w:rsid w:val="006F20B8"/>
    <w:rsid w:val="006F20E0"/>
    <w:rsid w:val="006F2137"/>
    <w:rsid w:val="006F21E5"/>
    <w:rsid w:val="006F22AB"/>
    <w:rsid w:val="006F2350"/>
    <w:rsid w:val="006F2395"/>
    <w:rsid w:val="006F23E8"/>
    <w:rsid w:val="006F2411"/>
    <w:rsid w:val="006F2423"/>
    <w:rsid w:val="006F2611"/>
    <w:rsid w:val="006F271B"/>
    <w:rsid w:val="006F2765"/>
    <w:rsid w:val="006F29E2"/>
    <w:rsid w:val="006F29FE"/>
    <w:rsid w:val="006F2A2B"/>
    <w:rsid w:val="006F2A51"/>
    <w:rsid w:val="006F2A6E"/>
    <w:rsid w:val="006F2AA8"/>
    <w:rsid w:val="006F2ABA"/>
    <w:rsid w:val="006F2B5B"/>
    <w:rsid w:val="006F2C8F"/>
    <w:rsid w:val="006F2CF4"/>
    <w:rsid w:val="006F2D70"/>
    <w:rsid w:val="006F2DB3"/>
    <w:rsid w:val="006F2DDE"/>
    <w:rsid w:val="006F2E25"/>
    <w:rsid w:val="006F2E40"/>
    <w:rsid w:val="006F2FD5"/>
    <w:rsid w:val="006F3042"/>
    <w:rsid w:val="006F304C"/>
    <w:rsid w:val="006F3063"/>
    <w:rsid w:val="006F3066"/>
    <w:rsid w:val="006F30EE"/>
    <w:rsid w:val="006F312C"/>
    <w:rsid w:val="006F3133"/>
    <w:rsid w:val="006F3138"/>
    <w:rsid w:val="006F3196"/>
    <w:rsid w:val="006F325E"/>
    <w:rsid w:val="006F329D"/>
    <w:rsid w:val="006F32B8"/>
    <w:rsid w:val="006F3346"/>
    <w:rsid w:val="006F343B"/>
    <w:rsid w:val="006F344B"/>
    <w:rsid w:val="006F345B"/>
    <w:rsid w:val="006F3486"/>
    <w:rsid w:val="006F34A8"/>
    <w:rsid w:val="006F3525"/>
    <w:rsid w:val="006F3595"/>
    <w:rsid w:val="006F359C"/>
    <w:rsid w:val="006F360F"/>
    <w:rsid w:val="006F3704"/>
    <w:rsid w:val="006F37D0"/>
    <w:rsid w:val="006F390A"/>
    <w:rsid w:val="006F3953"/>
    <w:rsid w:val="006F39C3"/>
    <w:rsid w:val="006F3D5E"/>
    <w:rsid w:val="006F3D72"/>
    <w:rsid w:val="006F3DB2"/>
    <w:rsid w:val="006F3DE5"/>
    <w:rsid w:val="006F3E10"/>
    <w:rsid w:val="006F3EB9"/>
    <w:rsid w:val="006F403F"/>
    <w:rsid w:val="006F40AD"/>
    <w:rsid w:val="006F4133"/>
    <w:rsid w:val="006F417D"/>
    <w:rsid w:val="006F429D"/>
    <w:rsid w:val="006F42AE"/>
    <w:rsid w:val="006F436B"/>
    <w:rsid w:val="006F43CB"/>
    <w:rsid w:val="006F4443"/>
    <w:rsid w:val="006F44D6"/>
    <w:rsid w:val="006F46C8"/>
    <w:rsid w:val="006F46D8"/>
    <w:rsid w:val="006F4722"/>
    <w:rsid w:val="006F47C5"/>
    <w:rsid w:val="006F47C6"/>
    <w:rsid w:val="006F4858"/>
    <w:rsid w:val="006F4870"/>
    <w:rsid w:val="006F48CB"/>
    <w:rsid w:val="006F4A00"/>
    <w:rsid w:val="006F4A21"/>
    <w:rsid w:val="006F4A2E"/>
    <w:rsid w:val="006F4A5D"/>
    <w:rsid w:val="006F4BA8"/>
    <w:rsid w:val="006F4BD1"/>
    <w:rsid w:val="006F4C3D"/>
    <w:rsid w:val="006F4C90"/>
    <w:rsid w:val="006F4CC0"/>
    <w:rsid w:val="006F4D8E"/>
    <w:rsid w:val="006F4F0A"/>
    <w:rsid w:val="006F4F58"/>
    <w:rsid w:val="006F5005"/>
    <w:rsid w:val="006F503E"/>
    <w:rsid w:val="006F5042"/>
    <w:rsid w:val="006F5249"/>
    <w:rsid w:val="006F5270"/>
    <w:rsid w:val="006F532B"/>
    <w:rsid w:val="006F53F0"/>
    <w:rsid w:val="006F54C8"/>
    <w:rsid w:val="006F54CC"/>
    <w:rsid w:val="006F5589"/>
    <w:rsid w:val="006F55BD"/>
    <w:rsid w:val="006F55C1"/>
    <w:rsid w:val="006F561C"/>
    <w:rsid w:val="006F5625"/>
    <w:rsid w:val="006F5649"/>
    <w:rsid w:val="006F5675"/>
    <w:rsid w:val="006F56F3"/>
    <w:rsid w:val="006F5727"/>
    <w:rsid w:val="006F57B7"/>
    <w:rsid w:val="006F57DD"/>
    <w:rsid w:val="006F57FC"/>
    <w:rsid w:val="006F581A"/>
    <w:rsid w:val="006F586C"/>
    <w:rsid w:val="006F58B1"/>
    <w:rsid w:val="006F5907"/>
    <w:rsid w:val="006F590D"/>
    <w:rsid w:val="006F5948"/>
    <w:rsid w:val="006F5A4A"/>
    <w:rsid w:val="006F5BB3"/>
    <w:rsid w:val="006F5BC7"/>
    <w:rsid w:val="006F5BD1"/>
    <w:rsid w:val="006F5C68"/>
    <w:rsid w:val="006F5CC3"/>
    <w:rsid w:val="006F5D6C"/>
    <w:rsid w:val="006F5D9A"/>
    <w:rsid w:val="006F5DD2"/>
    <w:rsid w:val="006F5E2C"/>
    <w:rsid w:val="006F5F51"/>
    <w:rsid w:val="006F5FF3"/>
    <w:rsid w:val="006F6049"/>
    <w:rsid w:val="006F61A9"/>
    <w:rsid w:val="006F61B8"/>
    <w:rsid w:val="006F61F5"/>
    <w:rsid w:val="006F620F"/>
    <w:rsid w:val="006F6216"/>
    <w:rsid w:val="006F62AD"/>
    <w:rsid w:val="006F638A"/>
    <w:rsid w:val="006F63F1"/>
    <w:rsid w:val="006F64D0"/>
    <w:rsid w:val="006F65B1"/>
    <w:rsid w:val="006F65E2"/>
    <w:rsid w:val="006F6631"/>
    <w:rsid w:val="006F6666"/>
    <w:rsid w:val="006F6740"/>
    <w:rsid w:val="006F67B7"/>
    <w:rsid w:val="006F6855"/>
    <w:rsid w:val="006F6959"/>
    <w:rsid w:val="006F69A6"/>
    <w:rsid w:val="006F6A24"/>
    <w:rsid w:val="006F6A48"/>
    <w:rsid w:val="006F6B6E"/>
    <w:rsid w:val="006F6C23"/>
    <w:rsid w:val="006F6C48"/>
    <w:rsid w:val="006F6D0D"/>
    <w:rsid w:val="006F6D63"/>
    <w:rsid w:val="006F6D6F"/>
    <w:rsid w:val="006F6D95"/>
    <w:rsid w:val="006F6DE1"/>
    <w:rsid w:val="006F6EA7"/>
    <w:rsid w:val="006F6ED7"/>
    <w:rsid w:val="006F6EF6"/>
    <w:rsid w:val="006F6F45"/>
    <w:rsid w:val="006F6FC3"/>
    <w:rsid w:val="006F6FE8"/>
    <w:rsid w:val="006F7063"/>
    <w:rsid w:val="006F706C"/>
    <w:rsid w:val="006F706D"/>
    <w:rsid w:val="006F71DE"/>
    <w:rsid w:val="006F72A3"/>
    <w:rsid w:val="006F73C9"/>
    <w:rsid w:val="006F7538"/>
    <w:rsid w:val="006F7539"/>
    <w:rsid w:val="006F75D6"/>
    <w:rsid w:val="006F75D7"/>
    <w:rsid w:val="006F76CA"/>
    <w:rsid w:val="006F76DE"/>
    <w:rsid w:val="006F771C"/>
    <w:rsid w:val="006F784F"/>
    <w:rsid w:val="006F786F"/>
    <w:rsid w:val="006F795D"/>
    <w:rsid w:val="006F79B3"/>
    <w:rsid w:val="006F7A3B"/>
    <w:rsid w:val="006F7A61"/>
    <w:rsid w:val="006F7AB6"/>
    <w:rsid w:val="006F7AC9"/>
    <w:rsid w:val="006F7AD2"/>
    <w:rsid w:val="006F7BA6"/>
    <w:rsid w:val="006F7C41"/>
    <w:rsid w:val="006F7C4D"/>
    <w:rsid w:val="006F7C85"/>
    <w:rsid w:val="006F7D01"/>
    <w:rsid w:val="006F7D0E"/>
    <w:rsid w:val="006F7D1D"/>
    <w:rsid w:val="006F7D86"/>
    <w:rsid w:val="006F7E48"/>
    <w:rsid w:val="006F7ED7"/>
    <w:rsid w:val="006F7F72"/>
    <w:rsid w:val="006F7FFA"/>
    <w:rsid w:val="00700012"/>
    <w:rsid w:val="00700064"/>
    <w:rsid w:val="007001ED"/>
    <w:rsid w:val="00700231"/>
    <w:rsid w:val="0070025C"/>
    <w:rsid w:val="007002B8"/>
    <w:rsid w:val="007002C8"/>
    <w:rsid w:val="007002CB"/>
    <w:rsid w:val="007002FB"/>
    <w:rsid w:val="0070036F"/>
    <w:rsid w:val="007003F5"/>
    <w:rsid w:val="007003FC"/>
    <w:rsid w:val="00700513"/>
    <w:rsid w:val="007006F6"/>
    <w:rsid w:val="007006F8"/>
    <w:rsid w:val="0070072F"/>
    <w:rsid w:val="00700733"/>
    <w:rsid w:val="007007C5"/>
    <w:rsid w:val="007007EA"/>
    <w:rsid w:val="00700921"/>
    <w:rsid w:val="0070093D"/>
    <w:rsid w:val="00700AE8"/>
    <w:rsid w:val="00700B4A"/>
    <w:rsid w:val="00700B74"/>
    <w:rsid w:val="00700CAD"/>
    <w:rsid w:val="00700D10"/>
    <w:rsid w:val="00700D9D"/>
    <w:rsid w:val="00700DA0"/>
    <w:rsid w:val="00700E33"/>
    <w:rsid w:val="00700F5E"/>
    <w:rsid w:val="00701018"/>
    <w:rsid w:val="0070108F"/>
    <w:rsid w:val="007010AE"/>
    <w:rsid w:val="0070110D"/>
    <w:rsid w:val="00701145"/>
    <w:rsid w:val="00701171"/>
    <w:rsid w:val="0070120E"/>
    <w:rsid w:val="0070135C"/>
    <w:rsid w:val="007014B6"/>
    <w:rsid w:val="007014CD"/>
    <w:rsid w:val="00701582"/>
    <w:rsid w:val="0070167E"/>
    <w:rsid w:val="007016C0"/>
    <w:rsid w:val="007016C4"/>
    <w:rsid w:val="00701798"/>
    <w:rsid w:val="0070185A"/>
    <w:rsid w:val="0070187A"/>
    <w:rsid w:val="007018B3"/>
    <w:rsid w:val="007018D8"/>
    <w:rsid w:val="00701A02"/>
    <w:rsid w:val="00701B10"/>
    <w:rsid w:val="00701B26"/>
    <w:rsid w:val="00701B8C"/>
    <w:rsid w:val="00701C03"/>
    <w:rsid w:val="00701C18"/>
    <w:rsid w:val="00701C69"/>
    <w:rsid w:val="00701CDD"/>
    <w:rsid w:val="00701E5D"/>
    <w:rsid w:val="00701EEE"/>
    <w:rsid w:val="00701F5C"/>
    <w:rsid w:val="00702002"/>
    <w:rsid w:val="00702028"/>
    <w:rsid w:val="00702079"/>
    <w:rsid w:val="00702092"/>
    <w:rsid w:val="00702119"/>
    <w:rsid w:val="00702298"/>
    <w:rsid w:val="007022C9"/>
    <w:rsid w:val="0070231A"/>
    <w:rsid w:val="00702326"/>
    <w:rsid w:val="00702446"/>
    <w:rsid w:val="00702615"/>
    <w:rsid w:val="00702694"/>
    <w:rsid w:val="007026BF"/>
    <w:rsid w:val="007027B4"/>
    <w:rsid w:val="007027FD"/>
    <w:rsid w:val="00702844"/>
    <w:rsid w:val="007028A0"/>
    <w:rsid w:val="00702964"/>
    <w:rsid w:val="0070298C"/>
    <w:rsid w:val="007029B8"/>
    <w:rsid w:val="007029BA"/>
    <w:rsid w:val="00702A80"/>
    <w:rsid w:val="00702B90"/>
    <w:rsid w:val="00702BE9"/>
    <w:rsid w:val="00702C31"/>
    <w:rsid w:val="00702C8D"/>
    <w:rsid w:val="00702D0C"/>
    <w:rsid w:val="00702D89"/>
    <w:rsid w:val="00702DA7"/>
    <w:rsid w:val="00702F79"/>
    <w:rsid w:val="00702F85"/>
    <w:rsid w:val="0070302C"/>
    <w:rsid w:val="0070304F"/>
    <w:rsid w:val="00703072"/>
    <w:rsid w:val="0070308B"/>
    <w:rsid w:val="00703130"/>
    <w:rsid w:val="0070318E"/>
    <w:rsid w:val="007031C6"/>
    <w:rsid w:val="00703280"/>
    <w:rsid w:val="00703293"/>
    <w:rsid w:val="00703297"/>
    <w:rsid w:val="0070330E"/>
    <w:rsid w:val="007033F8"/>
    <w:rsid w:val="0070340B"/>
    <w:rsid w:val="00703539"/>
    <w:rsid w:val="00703619"/>
    <w:rsid w:val="00703795"/>
    <w:rsid w:val="00703872"/>
    <w:rsid w:val="00703989"/>
    <w:rsid w:val="007039E2"/>
    <w:rsid w:val="007039FB"/>
    <w:rsid w:val="00703A40"/>
    <w:rsid w:val="00703A61"/>
    <w:rsid w:val="00703AF8"/>
    <w:rsid w:val="00703BED"/>
    <w:rsid w:val="00703C1D"/>
    <w:rsid w:val="00703D49"/>
    <w:rsid w:val="00703D4B"/>
    <w:rsid w:val="00703F51"/>
    <w:rsid w:val="00703FF3"/>
    <w:rsid w:val="007040FD"/>
    <w:rsid w:val="007041B0"/>
    <w:rsid w:val="007041FA"/>
    <w:rsid w:val="0070421F"/>
    <w:rsid w:val="00704228"/>
    <w:rsid w:val="00704237"/>
    <w:rsid w:val="00704282"/>
    <w:rsid w:val="007042C7"/>
    <w:rsid w:val="007042E8"/>
    <w:rsid w:val="00704317"/>
    <w:rsid w:val="0070438A"/>
    <w:rsid w:val="00704443"/>
    <w:rsid w:val="00704455"/>
    <w:rsid w:val="0070445C"/>
    <w:rsid w:val="0070455F"/>
    <w:rsid w:val="00704567"/>
    <w:rsid w:val="00704585"/>
    <w:rsid w:val="00704634"/>
    <w:rsid w:val="007046CE"/>
    <w:rsid w:val="00704837"/>
    <w:rsid w:val="007048A7"/>
    <w:rsid w:val="0070497E"/>
    <w:rsid w:val="007049C0"/>
    <w:rsid w:val="00704A4D"/>
    <w:rsid w:val="00704A9F"/>
    <w:rsid w:val="00704B43"/>
    <w:rsid w:val="00704BDD"/>
    <w:rsid w:val="00704BFB"/>
    <w:rsid w:val="00704C05"/>
    <w:rsid w:val="00704C63"/>
    <w:rsid w:val="00704E20"/>
    <w:rsid w:val="00704ED9"/>
    <w:rsid w:val="00704F44"/>
    <w:rsid w:val="00704F4F"/>
    <w:rsid w:val="00704F7D"/>
    <w:rsid w:val="00704F94"/>
    <w:rsid w:val="00704FD1"/>
    <w:rsid w:val="00705014"/>
    <w:rsid w:val="00705034"/>
    <w:rsid w:val="00705048"/>
    <w:rsid w:val="0070508A"/>
    <w:rsid w:val="0070511B"/>
    <w:rsid w:val="00705184"/>
    <w:rsid w:val="007051C2"/>
    <w:rsid w:val="007051CD"/>
    <w:rsid w:val="0070535A"/>
    <w:rsid w:val="007053EA"/>
    <w:rsid w:val="007053F2"/>
    <w:rsid w:val="00705431"/>
    <w:rsid w:val="0070543F"/>
    <w:rsid w:val="0070544D"/>
    <w:rsid w:val="0070558E"/>
    <w:rsid w:val="007055DB"/>
    <w:rsid w:val="0070566C"/>
    <w:rsid w:val="0070566D"/>
    <w:rsid w:val="00705680"/>
    <w:rsid w:val="007056F8"/>
    <w:rsid w:val="00705713"/>
    <w:rsid w:val="0070579F"/>
    <w:rsid w:val="0070589E"/>
    <w:rsid w:val="00705943"/>
    <w:rsid w:val="007059E4"/>
    <w:rsid w:val="00705A06"/>
    <w:rsid w:val="00705A25"/>
    <w:rsid w:val="00705AE3"/>
    <w:rsid w:val="00705AEB"/>
    <w:rsid w:val="00705B84"/>
    <w:rsid w:val="00705C24"/>
    <w:rsid w:val="00705C2F"/>
    <w:rsid w:val="00705C56"/>
    <w:rsid w:val="00705E73"/>
    <w:rsid w:val="00705E8B"/>
    <w:rsid w:val="00705EE6"/>
    <w:rsid w:val="00705FAA"/>
    <w:rsid w:val="00705FDB"/>
    <w:rsid w:val="00705FF7"/>
    <w:rsid w:val="00706042"/>
    <w:rsid w:val="007060BF"/>
    <w:rsid w:val="00706117"/>
    <w:rsid w:val="00706151"/>
    <w:rsid w:val="00706157"/>
    <w:rsid w:val="0070615E"/>
    <w:rsid w:val="00706223"/>
    <w:rsid w:val="00706255"/>
    <w:rsid w:val="007062CB"/>
    <w:rsid w:val="00706313"/>
    <w:rsid w:val="00706388"/>
    <w:rsid w:val="007064DC"/>
    <w:rsid w:val="007064DE"/>
    <w:rsid w:val="007064E0"/>
    <w:rsid w:val="0070652F"/>
    <w:rsid w:val="007065D7"/>
    <w:rsid w:val="0070662E"/>
    <w:rsid w:val="00706777"/>
    <w:rsid w:val="0070681B"/>
    <w:rsid w:val="0070687B"/>
    <w:rsid w:val="007068D1"/>
    <w:rsid w:val="0070693F"/>
    <w:rsid w:val="007069A0"/>
    <w:rsid w:val="00706A29"/>
    <w:rsid w:val="00706A34"/>
    <w:rsid w:val="00706A52"/>
    <w:rsid w:val="00706ABE"/>
    <w:rsid w:val="00706ACD"/>
    <w:rsid w:val="00706AE4"/>
    <w:rsid w:val="00706B05"/>
    <w:rsid w:val="00706C57"/>
    <w:rsid w:val="00706D52"/>
    <w:rsid w:val="00706E7E"/>
    <w:rsid w:val="00706EE9"/>
    <w:rsid w:val="00706F38"/>
    <w:rsid w:val="00706F58"/>
    <w:rsid w:val="00707060"/>
    <w:rsid w:val="00707165"/>
    <w:rsid w:val="00707179"/>
    <w:rsid w:val="0070720B"/>
    <w:rsid w:val="007072F4"/>
    <w:rsid w:val="00707382"/>
    <w:rsid w:val="00707504"/>
    <w:rsid w:val="00707577"/>
    <w:rsid w:val="00707617"/>
    <w:rsid w:val="00707714"/>
    <w:rsid w:val="00707776"/>
    <w:rsid w:val="007077C5"/>
    <w:rsid w:val="0070783B"/>
    <w:rsid w:val="0070787C"/>
    <w:rsid w:val="0070788A"/>
    <w:rsid w:val="007078CA"/>
    <w:rsid w:val="007078F5"/>
    <w:rsid w:val="00707933"/>
    <w:rsid w:val="007079A0"/>
    <w:rsid w:val="00707A1A"/>
    <w:rsid w:val="00707A39"/>
    <w:rsid w:val="00707A55"/>
    <w:rsid w:val="00707A6B"/>
    <w:rsid w:val="00707B20"/>
    <w:rsid w:val="00707B28"/>
    <w:rsid w:val="00707BC6"/>
    <w:rsid w:val="00707BD0"/>
    <w:rsid w:val="00707BD1"/>
    <w:rsid w:val="00707CD9"/>
    <w:rsid w:val="00707CF2"/>
    <w:rsid w:val="00707E90"/>
    <w:rsid w:val="00707F40"/>
    <w:rsid w:val="00710098"/>
    <w:rsid w:val="0071009E"/>
    <w:rsid w:val="007100D5"/>
    <w:rsid w:val="0071012E"/>
    <w:rsid w:val="007101D3"/>
    <w:rsid w:val="00710224"/>
    <w:rsid w:val="00710250"/>
    <w:rsid w:val="00710271"/>
    <w:rsid w:val="007102DD"/>
    <w:rsid w:val="007103B3"/>
    <w:rsid w:val="00710410"/>
    <w:rsid w:val="00710425"/>
    <w:rsid w:val="00710467"/>
    <w:rsid w:val="0071053D"/>
    <w:rsid w:val="00710551"/>
    <w:rsid w:val="00710579"/>
    <w:rsid w:val="007105E5"/>
    <w:rsid w:val="00710616"/>
    <w:rsid w:val="0071064E"/>
    <w:rsid w:val="007106CD"/>
    <w:rsid w:val="00710717"/>
    <w:rsid w:val="00710777"/>
    <w:rsid w:val="00710780"/>
    <w:rsid w:val="0071088B"/>
    <w:rsid w:val="007108A3"/>
    <w:rsid w:val="00710921"/>
    <w:rsid w:val="0071093E"/>
    <w:rsid w:val="0071094F"/>
    <w:rsid w:val="0071097E"/>
    <w:rsid w:val="00710A10"/>
    <w:rsid w:val="00710A40"/>
    <w:rsid w:val="00710A74"/>
    <w:rsid w:val="00710B32"/>
    <w:rsid w:val="00710BA9"/>
    <w:rsid w:val="00710BB2"/>
    <w:rsid w:val="00710BBD"/>
    <w:rsid w:val="00710BCF"/>
    <w:rsid w:val="00710C61"/>
    <w:rsid w:val="00710CCC"/>
    <w:rsid w:val="00710CE1"/>
    <w:rsid w:val="00710D1B"/>
    <w:rsid w:val="00710D72"/>
    <w:rsid w:val="00710D93"/>
    <w:rsid w:val="00710E78"/>
    <w:rsid w:val="00710ED7"/>
    <w:rsid w:val="00710F1F"/>
    <w:rsid w:val="00710F4F"/>
    <w:rsid w:val="00711052"/>
    <w:rsid w:val="007110E3"/>
    <w:rsid w:val="0071110A"/>
    <w:rsid w:val="00711151"/>
    <w:rsid w:val="0071115D"/>
    <w:rsid w:val="00711162"/>
    <w:rsid w:val="007111D1"/>
    <w:rsid w:val="00711229"/>
    <w:rsid w:val="007112A0"/>
    <w:rsid w:val="007112C2"/>
    <w:rsid w:val="007113FF"/>
    <w:rsid w:val="00711468"/>
    <w:rsid w:val="0071147F"/>
    <w:rsid w:val="00711502"/>
    <w:rsid w:val="00711596"/>
    <w:rsid w:val="007115A4"/>
    <w:rsid w:val="007115BC"/>
    <w:rsid w:val="007115FE"/>
    <w:rsid w:val="00711631"/>
    <w:rsid w:val="007116A2"/>
    <w:rsid w:val="007116CE"/>
    <w:rsid w:val="007116D9"/>
    <w:rsid w:val="00711761"/>
    <w:rsid w:val="00711798"/>
    <w:rsid w:val="007117AB"/>
    <w:rsid w:val="00711867"/>
    <w:rsid w:val="007118C1"/>
    <w:rsid w:val="00711919"/>
    <w:rsid w:val="007119FD"/>
    <w:rsid w:val="00711B23"/>
    <w:rsid w:val="00711B8B"/>
    <w:rsid w:val="00711BE1"/>
    <w:rsid w:val="00711C8D"/>
    <w:rsid w:val="00711CA1"/>
    <w:rsid w:val="00711CA4"/>
    <w:rsid w:val="00711CD8"/>
    <w:rsid w:val="00711D0A"/>
    <w:rsid w:val="00711D0D"/>
    <w:rsid w:val="00711DE5"/>
    <w:rsid w:val="00711E20"/>
    <w:rsid w:val="00711E70"/>
    <w:rsid w:val="00711E88"/>
    <w:rsid w:val="00711EBA"/>
    <w:rsid w:val="00711EEE"/>
    <w:rsid w:val="00711F38"/>
    <w:rsid w:val="00711FAC"/>
    <w:rsid w:val="00711FCA"/>
    <w:rsid w:val="00712003"/>
    <w:rsid w:val="007120D6"/>
    <w:rsid w:val="0071212E"/>
    <w:rsid w:val="00712164"/>
    <w:rsid w:val="0071218D"/>
    <w:rsid w:val="007121B2"/>
    <w:rsid w:val="007121DE"/>
    <w:rsid w:val="0071225D"/>
    <w:rsid w:val="00712263"/>
    <w:rsid w:val="0071232B"/>
    <w:rsid w:val="00712363"/>
    <w:rsid w:val="0071251A"/>
    <w:rsid w:val="00712572"/>
    <w:rsid w:val="007125DC"/>
    <w:rsid w:val="0071260D"/>
    <w:rsid w:val="00712627"/>
    <w:rsid w:val="00712630"/>
    <w:rsid w:val="007126D8"/>
    <w:rsid w:val="00712723"/>
    <w:rsid w:val="00712758"/>
    <w:rsid w:val="0071278B"/>
    <w:rsid w:val="007127AF"/>
    <w:rsid w:val="00712818"/>
    <w:rsid w:val="00712850"/>
    <w:rsid w:val="00712869"/>
    <w:rsid w:val="00712899"/>
    <w:rsid w:val="0071289D"/>
    <w:rsid w:val="00712911"/>
    <w:rsid w:val="00712956"/>
    <w:rsid w:val="0071295C"/>
    <w:rsid w:val="0071297A"/>
    <w:rsid w:val="00712981"/>
    <w:rsid w:val="0071299D"/>
    <w:rsid w:val="00712AC3"/>
    <w:rsid w:val="00712B5D"/>
    <w:rsid w:val="00712BEE"/>
    <w:rsid w:val="00712D4A"/>
    <w:rsid w:val="00712DCB"/>
    <w:rsid w:val="00712DF0"/>
    <w:rsid w:val="00712E34"/>
    <w:rsid w:val="00712E36"/>
    <w:rsid w:val="00712ED8"/>
    <w:rsid w:val="00713048"/>
    <w:rsid w:val="00713054"/>
    <w:rsid w:val="007130FD"/>
    <w:rsid w:val="00713313"/>
    <w:rsid w:val="00713335"/>
    <w:rsid w:val="007133E9"/>
    <w:rsid w:val="007134F9"/>
    <w:rsid w:val="00713619"/>
    <w:rsid w:val="007136F5"/>
    <w:rsid w:val="0071372D"/>
    <w:rsid w:val="007137CD"/>
    <w:rsid w:val="007137FE"/>
    <w:rsid w:val="00713807"/>
    <w:rsid w:val="00713857"/>
    <w:rsid w:val="00713925"/>
    <w:rsid w:val="00713940"/>
    <w:rsid w:val="00713A0E"/>
    <w:rsid w:val="00713A98"/>
    <w:rsid w:val="00713AB6"/>
    <w:rsid w:val="00713B0B"/>
    <w:rsid w:val="00713BFC"/>
    <w:rsid w:val="00713C00"/>
    <w:rsid w:val="00713C13"/>
    <w:rsid w:val="00713CBD"/>
    <w:rsid w:val="00713D25"/>
    <w:rsid w:val="00713D38"/>
    <w:rsid w:val="00713D90"/>
    <w:rsid w:val="00713EDE"/>
    <w:rsid w:val="00713F8E"/>
    <w:rsid w:val="00713FBA"/>
    <w:rsid w:val="0071402E"/>
    <w:rsid w:val="00714151"/>
    <w:rsid w:val="007141EE"/>
    <w:rsid w:val="00714200"/>
    <w:rsid w:val="00714327"/>
    <w:rsid w:val="00714370"/>
    <w:rsid w:val="00714380"/>
    <w:rsid w:val="0071446C"/>
    <w:rsid w:val="00714470"/>
    <w:rsid w:val="007144A4"/>
    <w:rsid w:val="007144E7"/>
    <w:rsid w:val="00714573"/>
    <w:rsid w:val="007145BA"/>
    <w:rsid w:val="0071460A"/>
    <w:rsid w:val="00714621"/>
    <w:rsid w:val="0071464F"/>
    <w:rsid w:val="0071481A"/>
    <w:rsid w:val="00714830"/>
    <w:rsid w:val="00714953"/>
    <w:rsid w:val="00714A19"/>
    <w:rsid w:val="00714A1A"/>
    <w:rsid w:val="00714A5D"/>
    <w:rsid w:val="00714B15"/>
    <w:rsid w:val="00714BEE"/>
    <w:rsid w:val="00714C3D"/>
    <w:rsid w:val="00714C9E"/>
    <w:rsid w:val="00714CAE"/>
    <w:rsid w:val="00714D86"/>
    <w:rsid w:val="00714E32"/>
    <w:rsid w:val="00714F04"/>
    <w:rsid w:val="00714F32"/>
    <w:rsid w:val="00715009"/>
    <w:rsid w:val="0071501C"/>
    <w:rsid w:val="00715058"/>
    <w:rsid w:val="00715139"/>
    <w:rsid w:val="00715174"/>
    <w:rsid w:val="007151B1"/>
    <w:rsid w:val="007151CF"/>
    <w:rsid w:val="0071521C"/>
    <w:rsid w:val="0071524D"/>
    <w:rsid w:val="007153CE"/>
    <w:rsid w:val="007153EA"/>
    <w:rsid w:val="00715405"/>
    <w:rsid w:val="00715515"/>
    <w:rsid w:val="00715557"/>
    <w:rsid w:val="00715653"/>
    <w:rsid w:val="00715682"/>
    <w:rsid w:val="00715684"/>
    <w:rsid w:val="007156B4"/>
    <w:rsid w:val="00715776"/>
    <w:rsid w:val="007157EE"/>
    <w:rsid w:val="00715834"/>
    <w:rsid w:val="0071587D"/>
    <w:rsid w:val="007158D1"/>
    <w:rsid w:val="007158E7"/>
    <w:rsid w:val="00715956"/>
    <w:rsid w:val="00715A0E"/>
    <w:rsid w:val="00715ADA"/>
    <w:rsid w:val="00715B5A"/>
    <w:rsid w:val="00715BC3"/>
    <w:rsid w:val="00715CCF"/>
    <w:rsid w:val="00715DE4"/>
    <w:rsid w:val="00715DF9"/>
    <w:rsid w:val="0071608C"/>
    <w:rsid w:val="0071613F"/>
    <w:rsid w:val="0071615F"/>
    <w:rsid w:val="00716182"/>
    <w:rsid w:val="007161F7"/>
    <w:rsid w:val="00716310"/>
    <w:rsid w:val="007163CC"/>
    <w:rsid w:val="007163DF"/>
    <w:rsid w:val="00716529"/>
    <w:rsid w:val="007165D2"/>
    <w:rsid w:val="007167A2"/>
    <w:rsid w:val="0071680A"/>
    <w:rsid w:val="0071681B"/>
    <w:rsid w:val="0071684A"/>
    <w:rsid w:val="0071689A"/>
    <w:rsid w:val="00716908"/>
    <w:rsid w:val="00716977"/>
    <w:rsid w:val="0071698D"/>
    <w:rsid w:val="00716A1B"/>
    <w:rsid w:val="00716B1B"/>
    <w:rsid w:val="00716B33"/>
    <w:rsid w:val="00716BFE"/>
    <w:rsid w:val="00716D4B"/>
    <w:rsid w:val="00716DBC"/>
    <w:rsid w:val="00716EB6"/>
    <w:rsid w:val="00716EC6"/>
    <w:rsid w:val="00716F6A"/>
    <w:rsid w:val="00716F81"/>
    <w:rsid w:val="00716FAE"/>
    <w:rsid w:val="0071702F"/>
    <w:rsid w:val="00717100"/>
    <w:rsid w:val="007171C5"/>
    <w:rsid w:val="007171DA"/>
    <w:rsid w:val="0071721C"/>
    <w:rsid w:val="00717225"/>
    <w:rsid w:val="00717244"/>
    <w:rsid w:val="00717286"/>
    <w:rsid w:val="0071738E"/>
    <w:rsid w:val="007173D4"/>
    <w:rsid w:val="007173D6"/>
    <w:rsid w:val="00717447"/>
    <w:rsid w:val="0071744C"/>
    <w:rsid w:val="00717470"/>
    <w:rsid w:val="00717509"/>
    <w:rsid w:val="00717582"/>
    <w:rsid w:val="00717690"/>
    <w:rsid w:val="0071778A"/>
    <w:rsid w:val="00717837"/>
    <w:rsid w:val="007178B7"/>
    <w:rsid w:val="007178F0"/>
    <w:rsid w:val="00717992"/>
    <w:rsid w:val="007179F5"/>
    <w:rsid w:val="00717A14"/>
    <w:rsid w:val="00717A1A"/>
    <w:rsid w:val="00717B45"/>
    <w:rsid w:val="00717B5F"/>
    <w:rsid w:val="00717B7F"/>
    <w:rsid w:val="00717BCB"/>
    <w:rsid w:val="00717BD3"/>
    <w:rsid w:val="00717C41"/>
    <w:rsid w:val="00717C53"/>
    <w:rsid w:val="00717C71"/>
    <w:rsid w:val="00717C7B"/>
    <w:rsid w:val="00717C8B"/>
    <w:rsid w:val="00717D6F"/>
    <w:rsid w:val="00717DE5"/>
    <w:rsid w:val="00717E5C"/>
    <w:rsid w:val="00720004"/>
    <w:rsid w:val="00720032"/>
    <w:rsid w:val="0072008F"/>
    <w:rsid w:val="007200F1"/>
    <w:rsid w:val="007200FC"/>
    <w:rsid w:val="00720181"/>
    <w:rsid w:val="00720182"/>
    <w:rsid w:val="0072018B"/>
    <w:rsid w:val="007201B0"/>
    <w:rsid w:val="007202B5"/>
    <w:rsid w:val="007202D9"/>
    <w:rsid w:val="0072032F"/>
    <w:rsid w:val="00720340"/>
    <w:rsid w:val="00720432"/>
    <w:rsid w:val="00720436"/>
    <w:rsid w:val="00720449"/>
    <w:rsid w:val="00720463"/>
    <w:rsid w:val="007204C6"/>
    <w:rsid w:val="007204EB"/>
    <w:rsid w:val="00720528"/>
    <w:rsid w:val="0072058B"/>
    <w:rsid w:val="007205B5"/>
    <w:rsid w:val="007205C0"/>
    <w:rsid w:val="0072080A"/>
    <w:rsid w:val="007208B6"/>
    <w:rsid w:val="00720947"/>
    <w:rsid w:val="00720958"/>
    <w:rsid w:val="007209EC"/>
    <w:rsid w:val="00720A05"/>
    <w:rsid w:val="00720AA1"/>
    <w:rsid w:val="00720AD2"/>
    <w:rsid w:val="00720AE0"/>
    <w:rsid w:val="00720BA3"/>
    <w:rsid w:val="00720C29"/>
    <w:rsid w:val="00720C3D"/>
    <w:rsid w:val="00720C42"/>
    <w:rsid w:val="00720C48"/>
    <w:rsid w:val="00720E4B"/>
    <w:rsid w:val="00720E63"/>
    <w:rsid w:val="00720F83"/>
    <w:rsid w:val="00720FC5"/>
    <w:rsid w:val="00720FF3"/>
    <w:rsid w:val="00720FF5"/>
    <w:rsid w:val="00721179"/>
    <w:rsid w:val="00721218"/>
    <w:rsid w:val="007212AF"/>
    <w:rsid w:val="007212D5"/>
    <w:rsid w:val="007212F8"/>
    <w:rsid w:val="007214FD"/>
    <w:rsid w:val="007215E6"/>
    <w:rsid w:val="00721674"/>
    <w:rsid w:val="007216FB"/>
    <w:rsid w:val="0072174E"/>
    <w:rsid w:val="0072177D"/>
    <w:rsid w:val="007217FE"/>
    <w:rsid w:val="00721863"/>
    <w:rsid w:val="007218B8"/>
    <w:rsid w:val="00721AA0"/>
    <w:rsid w:val="00721AC8"/>
    <w:rsid w:val="00721B92"/>
    <w:rsid w:val="00721BF1"/>
    <w:rsid w:val="00721C65"/>
    <w:rsid w:val="00721D03"/>
    <w:rsid w:val="00721D14"/>
    <w:rsid w:val="00721D15"/>
    <w:rsid w:val="00721E61"/>
    <w:rsid w:val="00721EBA"/>
    <w:rsid w:val="00721EF0"/>
    <w:rsid w:val="00722078"/>
    <w:rsid w:val="00722242"/>
    <w:rsid w:val="0072234B"/>
    <w:rsid w:val="0072239E"/>
    <w:rsid w:val="00722447"/>
    <w:rsid w:val="0072249E"/>
    <w:rsid w:val="007224AA"/>
    <w:rsid w:val="007224C4"/>
    <w:rsid w:val="007224FF"/>
    <w:rsid w:val="0072251B"/>
    <w:rsid w:val="00722550"/>
    <w:rsid w:val="007225DC"/>
    <w:rsid w:val="00722642"/>
    <w:rsid w:val="007226C4"/>
    <w:rsid w:val="00722788"/>
    <w:rsid w:val="00722795"/>
    <w:rsid w:val="007227ED"/>
    <w:rsid w:val="007227F1"/>
    <w:rsid w:val="007228A8"/>
    <w:rsid w:val="007228E3"/>
    <w:rsid w:val="007229AC"/>
    <w:rsid w:val="007229EF"/>
    <w:rsid w:val="00722A5E"/>
    <w:rsid w:val="00722B36"/>
    <w:rsid w:val="00722BBD"/>
    <w:rsid w:val="00722C4C"/>
    <w:rsid w:val="00722D42"/>
    <w:rsid w:val="00722D80"/>
    <w:rsid w:val="00722DD6"/>
    <w:rsid w:val="00722DED"/>
    <w:rsid w:val="00722E5C"/>
    <w:rsid w:val="00722E69"/>
    <w:rsid w:val="00722E78"/>
    <w:rsid w:val="00722E7A"/>
    <w:rsid w:val="00722EA0"/>
    <w:rsid w:val="00722EC8"/>
    <w:rsid w:val="00722F6F"/>
    <w:rsid w:val="00722FAB"/>
    <w:rsid w:val="0072300E"/>
    <w:rsid w:val="00723017"/>
    <w:rsid w:val="007230BB"/>
    <w:rsid w:val="00723120"/>
    <w:rsid w:val="007232CA"/>
    <w:rsid w:val="007232DA"/>
    <w:rsid w:val="007234A0"/>
    <w:rsid w:val="00723583"/>
    <w:rsid w:val="0072358B"/>
    <w:rsid w:val="007235AA"/>
    <w:rsid w:val="0072363D"/>
    <w:rsid w:val="00723647"/>
    <w:rsid w:val="00723686"/>
    <w:rsid w:val="00723695"/>
    <w:rsid w:val="00723794"/>
    <w:rsid w:val="0072391B"/>
    <w:rsid w:val="00723AC2"/>
    <w:rsid w:val="00723BBB"/>
    <w:rsid w:val="00723C6E"/>
    <w:rsid w:val="00723C87"/>
    <w:rsid w:val="00723D25"/>
    <w:rsid w:val="00723D94"/>
    <w:rsid w:val="00723DC9"/>
    <w:rsid w:val="00723E5E"/>
    <w:rsid w:val="00723EE2"/>
    <w:rsid w:val="00723EE8"/>
    <w:rsid w:val="00723EF4"/>
    <w:rsid w:val="00724017"/>
    <w:rsid w:val="0072408D"/>
    <w:rsid w:val="007240A7"/>
    <w:rsid w:val="00724114"/>
    <w:rsid w:val="007241D7"/>
    <w:rsid w:val="00724263"/>
    <w:rsid w:val="0072428C"/>
    <w:rsid w:val="0072435E"/>
    <w:rsid w:val="00724377"/>
    <w:rsid w:val="007243B6"/>
    <w:rsid w:val="007243CC"/>
    <w:rsid w:val="00724474"/>
    <w:rsid w:val="00724485"/>
    <w:rsid w:val="007244AC"/>
    <w:rsid w:val="00724530"/>
    <w:rsid w:val="007245DC"/>
    <w:rsid w:val="007245F2"/>
    <w:rsid w:val="0072468E"/>
    <w:rsid w:val="007246EA"/>
    <w:rsid w:val="007246EC"/>
    <w:rsid w:val="007246F8"/>
    <w:rsid w:val="00724731"/>
    <w:rsid w:val="007247AD"/>
    <w:rsid w:val="00724937"/>
    <w:rsid w:val="0072494B"/>
    <w:rsid w:val="00724A21"/>
    <w:rsid w:val="00724A53"/>
    <w:rsid w:val="00724A59"/>
    <w:rsid w:val="00724BC7"/>
    <w:rsid w:val="00724C23"/>
    <w:rsid w:val="00724C5A"/>
    <w:rsid w:val="00724D08"/>
    <w:rsid w:val="00724D93"/>
    <w:rsid w:val="00724DB6"/>
    <w:rsid w:val="00724EA8"/>
    <w:rsid w:val="00724EAD"/>
    <w:rsid w:val="00724F2E"/>
    <w:rsid w:val="00725053"/>
    <w:rsid w:val="0072505C"/>
    <w:rsid w:val="0072508D"/>
    <w:rsid w:val="00725108"/>
    <w:rsid w:val="007251F2"/>
    <w:rsid w:val="00725277"/>
    <w:rsid w:val="007252DF"/>
    <w:rsid w:val="00725302"/>
    <w:rsid w:val="00725303"/>
    <w:rsid w:val="007253A5"/>
    <w:rsid w:val="00725422"/>
    <w:rsid w:val="00725561"/>
    <w:rsid w:val="0072562C"/>
    <w:rsid w:val="0072566A"/>
    <w:rsid w:val="007257AF"/>
    <w:rsid w:val="0072584E"/>
    <w:rsid w:val="00725920"/>
    <w:rsid w:val="007259FB"/>
    <w:rsid w:val="00725A63"/>
    <w:rsid w:val="00725A72"/>
    <w:rsid w:val="00725A8C"/>
    <w:rsid w:val="00725AC7"/>
    <w:rsid w:val="00725B24"/>
    <w:rsid w:val="00725B4C"/>
    <w:rsid w:val="00725C45"/>
    <w:rsid w:val="00725C5A"/>
    <w:rsid w:val="00725C98"/>
    <w:rsid w:val="00725CD9"/>
    <w:rsid w:val="00725E9B"/>
    <w:rsid w:val="00725FE7"/>
    <w:rsid w:val="00725FEF"/>
    <w:rsid w:val="00726078"/>
    <w:rsid w:val="0072610B"/>
    <w:rsid w:val="00726146"/>
    <w:rsid w:val="00726209"/>
    <w:rsid w:val="00726295"/>
    <w:rsid w:val="007262AA"/>
    <w:rsid w:val="00726343"/>
    <w:rsid w:val="0072643B"/>
    <w:rsid w:val="00726448"/>
    <w:rsid w:val="00726481"/>
    <w:rsid w:val="00726536"/>
    <w:rsid w:val="00726639"/>
    <w:rsid w:val="007266B0"/>
    <w:rsid w:val="007267FA"/>
    <w:rsid w:val="007268FC"/>
    <w:rsid w:val="0072690F"/>
    <w:rsid w:val="00726927"/>
    <w:rsid w:val="0072698E"/>
    <w:rsid w:val="00726A52"/>
    <w:rsid w:val="00726A67"/>
    <w:rsid w:val="00726A87"/>
    <w:rsid w:val="00726AD5"/>
    <w:rsid w:val="00726AD6"/>
    <w:rsid w:val="00726B13"/>
    <w:rsid w:val="00726B98"/>
    <w:rsid w:val="00726C2F"/>
    <w:rsid w:val="00726C3A"/>
    <w:rsid w:val="00726D34"/>
    <w:rsid w:val="00726D41"/>
    <w:rsid w:val="00726D44"/>
    <w:rsid w:val="00726EE5"/>
    <w:rsid w:val="00726EEB"/>
    <w:rsid w:val="007270A0"/>
    <w:rsid w:val="00727184"/>
    <w:rsid w:val="007271E4"/>
    <w:rsid w:val="007271E5"/>
    <w:rsid w:val="00727208"/>
    <w:rsid w:val="0072727D"/>
    <w:rsid w:val="00727339"/>
    <w:rsid w:val="0072736E"/>
    <w:rsid w:val="007273A7"/>
    <w:rsid w:val="00727573"/>
    <w:rsid w:val="0072768B"/>
    <w:rsid w:val="00727866"/>
    <w:rsid w:val="007278A0"/>
    <w:rsid w:val="007278F9"/>
    <w:rsid w:val="00727911"/>
    <w:rsid w:val="00727943"/>
    <w:rsid w:val="00727983"/>
    <w:rsid w:val="00727A8A"/>
    <w:rsid w:val="00727B47"/>
    <w:rsid w:val="00727B56"/>
    <w:rsid w:val="00727BAD"/>
    <w:rsid w:val="00727D86"/>
    <w:rsid w:val="00727DD8"/>
    <w:rsid w:val="00727EBF"/>
    <w:rsid w:val="00727F3B"/>
    <w:rsid w:val="00727FB2"/>
    <w:rsid w:val="0073004D"/>
    <w:rsid w:val="00730061"/>
    <w:rsid w:val="00730066"/>
    <w:rsid w:val="007300CE"/>
    <w:rsid w:val="0073014D"/>
    <w:rsid w:val="00730187"/>
    <w:rsid w:val="007301FE"/>
    <w:rsid w:val="007302AF"/>
    <w:rsid w:val="00730362"/>
    <w:rsid w:val="007303F4"/>
    <w:rsid w:val="0073041A"/>
    <w:rsid w:val="00730508"/>
    <w:rsid w:val="00730580"/>
    <w:rsid w:val="0073066D"/>
    <w:rsid w:val="00730683"/>
    <w:rsid w:val="007307AC"/>
    <w:rsid w:val="00730981"/>
    <w:rsid w:val="007309FA"/>
    <w:rsid w:val="00730B54"/>
    <w:rsid w:val="00730B60"/>
    <w:rsid w:val="00730CC7"/>
    <w:rsid w:val="00730D0E"/>
    <w:rsid w:val="00730EE1"/>
    <w:rsid w:val="00730FD9"/>
    <w:rsid w:val="0073104A"/>
    <w:rsid w:val="0073107E"/>
    <w:rsid w:val="00731094"/>
    <w:rsid w:val="007310DB"/>
    <w:rsid w:val="00731143"/>
    <w:rsid w:val="007311AA"/>
    <w:rsid w:val="007311E2"/>
    <w:rsid w:val="0073136A"/>
    <w:rsid w:val="007313FD"/>
    <w:rsid w:val="0073155B"/>
    <w:rsid w:val="0073162F"/>
    <w:rsid w:val="00731693"/>
    <w:rsid w:val="007316B3"/>
    <w:rsid w:val="00731773"/>
    <w:rsid w:val="007317AC"/>
    <w:rsid w:val="007317CD"/>
    <w:rsid w:val="0073180A"/>
    <w:rsid w:val="00731821"/>
    <w:rsid w:val="00731842"/>
    <w:rsid w:val="00731897"/>
    <w:rsid w:val="007318A6"/>
    <w:rsid w:val="007319BE"/>
    <w:rsid w:val="00731A74"/>
    <w:rsid w:val="00731B4B"/>
    <w:rsid w:val="00731BF3"/>
    <w:rsid w:val="00731C6D"/>
    <w:rsid w:val="00731C6F"/>
    <w:rsid w:val="00731D0C"/>
    <w:rsid w:val="00731D16"/>
    <w:rsid w:val="00731D2C"/>
    <w:rsid w:val="00731D89"/>
    <w:rsid w:val="00731DD3"/>
    <w:rsid w:val="00731E6B"/>
    <w:rsid w:val="00731E6F"/>
    <w:rsid w:val="00731EBB"/>
    <w:rsid w:val="00731EE8"/>
    <w:rsid w:val="00731F49"/>
    <w:rsid w:val="00731FA1"/>
    <w:rsid w:val="00732063"/>
    <w:rsid w:val="007320BC"/>
    <w:rsid w:val="007320DF"/>
    <w:rsid w:val="00732265"/>
    <w:rsid w:val="0073226E"/>
    <w:rsid w:val="00732278"/>
    <w:rsid w:val="0073239E"/>
    <w:rsid w:val="007323DF"/>
    <w:rsid w:val="007324C1"/>
    <w:rsid w:val="0073257C"/>
    <w:rsid w:val="00732607"/>
    <w:rsid w:val="00732646"/>
    <w:rsid w:val="0073269A"/>
    <w:rsid w:val="007326AF"/>
    <w:rsid w:val="007327CA"/>
    <w:rsid w:val="007327D1"/>
    <w:rsid w:val="00732A5F"/>
    <w:rsid w:val="00732A71"/>
    <w:rsid w:val="00732AAD"/>
    <w:rsid w:val="00732BC3"/>
    <w:rsid w:val="00732C12"/>
    <w:rsid w:val="00732C44"/>
    <w:rsid w:val="00732C5B"/>
    <w:rsid w:val="00732DEB"/>
    <w:rsid w:val="00732E80"/>
    <w:rsid w:val="00732EC3"/>
    <w:rsid w:val="00732F42"/>
    <w:rsid w:val="00732F43"/>
    <w:rsid w:val="00732F4B"/>
    <w:rsid w:val="00732FA0"/>
    <w:rsid w:val="00732FCE"/>
    <w:rsid w:val="00732FDD"/>
    <w:rsid w:val="00732FE9"/>
    <w:rsid w:val="00732FEB"/>
    <w:rsid w:val="00733067"/>
    <w:rsid w:val="0073309F"/>
    <w:rsid w:val="007330E4"/>
    <w:rsid w:val="007331B0"/>
    <w:rsid w:val="007331C4"/>
    <w:rsid w:val="00733243"/>
    <w:rsid w:val="007332BE"/>
    <w:rsid w:val="007334C6"/>
    <w:rsid w:val="007335FE"/>
    <w:rsid w:val="00733632"/>
    <w:rsid w:val="00733636"/>
    <w:rsid w:val="0073368A"/>
    <w:rsid w:val="007336DB"/>
    <w:rsid w:val="007336EA"/>
    <w:rsid w:val="00733734"/>
    <w:rsid w:val="0073373F"/>
    <w:rsid w:val="00733A7D"/>
    <w:rsid w:val="00733B0E"/>
    <w:rsid w:val="00733B4C"/>
    <w:rsid w:val="00733BBB"/>
    <w:rsid w:val="00733CF0"/>
    <w:rsid w:val="00733CFE"/>
    <w:rsid w:val="00733D13"/>
    <w:rsid w:val="00733DC4"/>
    <w:rsid w:val="00733E1C"/>
    <w:rsid w:val="00733EA7"/>
    <w:rsid w:val="00733F25"/>
    <w:rsid w:val="00734027"/>
    <w:rsid w:val="00734071"/>
    <w:rsid w:val="0073407E"/>
    <w:rsid w:val="007340A1"/>
    <w:rsid w:val="007340F7"/>
    <w:rsid w:val="0073429A"/>
    <w:rsid w:val="00734383"/>
    <w:rsid w:val="00734397"/>
    <w:rsid w:val="007343F6"/>
    <w:rsid w:val="007344F2"/>
    <w:rsid w:val="00734581"/>
    <w:rsid w:val="00734593"/>
    <w:rsid w:val="007345D1"/>
    <w:rsid w:val="00734646"/>
    <w:rsid w:val="00734660"/>
    <w:rsid w:val="0073469B"/>
    <w:rsid w:val="007346E8"/>
    <w:rsid w:val="007346FC"/>
    <w:rsid w:val="00734773"/>
    <w:rsid w:val="007347FA"/>
    <w:rsid w:val="0073480C"/>
    <w:rsid w:val="0073484B"/>
    <w:rsid w:val="00734855"/>
    <w:rsid w:val="007348FD"/>
    <w:rsid w:val="007349BF"/>
    <w:rsid w:val="00734A42"/>
    <w:rsid w:val="00734A82"/>
    <w:rsid w:val="00734B39"/>
    <w:rsid w:val="00734B65"/>
    <w:rsid w:val="00734BC3"/>
    <w:rsid w:val="00734BF6"/>
    <w:rsid w:val="00734CA3"/>
    <w:rsid w:val="00734D57"/>
    <w:rsid w:val="00734D62"/>
    <w:rsid w:val="00734D71"/>
    <w:rsid w:val="00734EB5"/>
    <w:rsid w:val="0073501F"/>
    <w:rsid w:val="007350BE"/>
    <w:rsid w:val="0073514F"/>
    <w:rsid w:val="0073519E"/>
    <w:rsid w:val="007351D9"/>
    <w:rsid w:val="00735309"/>
    <w:rsid w:val="007354A9"/>
    <w:rsid w:val="007354BE"/>
    <w:rsid w:val="007354E0"/>
    <w:rsid w:val="007354E8"/>
    <w:rsid w:val="007354FE"/>
    <w:rsid w:val="00735539"/>
    <w:rsid w:val="0073558D"/>
    <w:rsid w:val="00735672"/>
    <w:rsid w:val="007356B6"/>
    <w:rsid w:val="007356D2"/>
    <w:rsid w:val="0073587E"/>
    <w:rsid w:val="00735A2A"/>
    <w:rsid w:val="00735A4D"/>
    <w:rsid w:val="00735BE2"/>
    <w:rsid w:val="00735C3B"/>
    <w:rsid w:val="00735CAE"/>
    <w:rsid w:val="00735CBA"/>
    <w:rsid w:val="00735CDC"/>
    <w:rsid w:val="00735CFC"/>
    <w:rsid w:val="00735D14"/>
    <w:rsid w:val="00735D41"/>
    <w:rsid w:val="00735D55"/>
    <w:rsid w:val="00735DB4"/>
    <w:rsid w:val="00735EB3"/>
    <w:rsid w:val="00735EF6"/>
    <w:rsid w:val="00735F66"/>
    <w:rsid w:val="00735F75"/>
    <w:rsid w:val="00735FD1"/>
    <w:rsid w:val="00736020"/>
    <w:rsid w:val="0073609B"/>
    <w:rsid w:val="00736181"/>
    <w:rsid w:val="007361C5"/>
    <w:rsid w:val="00736313"/>
    <w:rsid w:val="00736319"/>
    <w:rsid w:val="0073638D"/>
    <w:rsid w:val="0073643D"/>
    <w:rsid w:val="0073643F"/>
    <w:rsid w:val="00736441"/>
    <w:rsid w:val="0073645E"/>
    <w:rsid w:val="00736606"/>
    <w:rsid w:val="007366BF"/>
    <w:rsid w:val="00736735"/>
    <w:rsid w:val="007368E5"/>
    <w:rsid w:val="0073696B"/>
    <w:rsid w:val="00736A24"/>
    <w:rsid w:val="00736AC8"/>
    <w:rsid w:val="00736BC3"/>
    <w:rsid w:val="00736E2A"/>
    <w:rsid w:val="00736E5D"/>
    <w:rsid w:val="00736E72"/>
    <w:rsid w:val="00736E7E"/>
    <w:rsid w:val="00736F1F"/>
    <w:rsid w:val="00736F41"/>
    <w:rsid w:val="00736F85"/>
    <w:rsid w:val="0073701A"/>
    <w:rsid w:val="0073706F"/>
    <w:rsid w:val="007371C1"/>
    <w:rsid w:val="00737211"/>
    <w:rsid w:val="007373B6"/>
    <w:rsid w:val="007373E9"/>
    <w:rsid w:val="0073746C"/>
    <w:rsid w:val="007374A2"/>
    <w:rsid w:val="007374C0"/>
    <w:rsid w:val="007374CC"/>
    <w:rsid w:val="007374F3"/>
    <w:rsid w:val="0073755A"/>
    <w:rsid w:val="007376F0"/>
    <w:rsid w:val="00737776"/>
    <w:rsid w:val="007377A2"/>
    <w:rsid w:val="007377A7"/>
    <w:rsid w:val="00737820"/>
    <w:rsid w:val="007379AC"/>
    <w:rsid w:val="00737A57"/>
    <w:rsid w:val="00737BAB"/>
    <w:rsid w:val="00737C94"/>
    <w:rsid w:val="00737CAB"/>
    <w:rsid w:val="00737D60"/>
    <w:rsid w:val="00737DD5"/>
    <w:rsid w:val="00737DD7"/>
    <w:rsid w:val="00737F00"/>
    <w:rsid w:val="00740005"/>
    <w:rsid w:val="00740056"/>
    <w:rsid w:val="007400DC"/>
    <w:rsid w:val="007400FC"/>
    <w:rsid w:val="007404F1"/>
    <w:rsid w:val="00740517"/>
    <w:rsid w:val="0074052C"/>
    <w:rsid w:val="0074055E"/>
    <w:rsid w:val="007405B9"/>
    <w:rsid w:val="00740625"/>
    <w:rsid w:val="00740706"/>
    <w:rsid w:val="00740714"/>
    <w:rsid w:val="00740761"/>
    <w:rsid w:val="00740767"/>
    <w:rsid w:val="00740791"/>
    <w:rsid w:val="007407A2"/>
    <w:rsid w:val="007407E0"/>
    <w:rsid w:val="00740890"/>
    <w:rsid w:val="00740929"/>
    <w:rsid w:val="00740975"/>
    <w:rsid w:val="007409C4"/>
    <w:rsid w:val="007409E9"/>
    <w:rsid w:val="00740ADB"/>
    <w:rsid w:val="00740BAA"/>
    <w:rsid w:val="00740C3C"/>
    <w:rsid w:val="00740CEB"/>
    <w:rsid w:val="00740D0A"/>
    <w:rsid w:val="00740D45"/>
    <w:rsid w:val="00740D6C"/>
    <w:rsid w:val="00740E92"/>
    <w:rsid w:val="00740F3B"/>
    <w:rsid w:val="00740F56"/>
    <w:rsid w:val="00740F94"/>
    <w:rsid w:val="0074101B"/>
    <w:rsid w:val="0074101C"/>
    <w:rsid w:val="00741034"/>
    <w:rsid w:val="00741074"/>
    <w:rsid w:val="00741093"/>
    <w:rsid w:val="007410EE"/>
    <w:rsid w:val="00741171"/>
    <w:rsid w:val="007411B3"/>
    <w:rsid w:val="007411F6"/>
    <w:rsid w:val="007413BA"/>
    <w:rsid w:val="007414C6"/>
    <w:rsid w:val="007414DB"/>
    <w:rsid w:val="007414E9"/>
    <w:rsid w:val="00741517"/>
    <w:rsid w:val="0074157D"/>
    <w:rsid w:val="007415C8"/>
    <w:rsid w:val="007415F4"/>
    <w:rsid w:val="00741763"/>
    <w:rsid w:val="00741824"/>
    <w:rsid w:val="00741830"/>
    <w:rsid w:val="0074186D"/>
    <w:rsid w:val="0074188B"/>
    <w:rsid w:val="007419BD"/>
    <w:rsid w:val="007419C5"/>
    <w:rsid w:val="00741A44"/>
    <w:rsid w:val="00741A5C"/>
    <w:rsid w:val="00741B0A"/>
    <w:rsid w:val="00741B5A"/>
    <w:rsid w:val="00741B60"/>
    <w:rsid w:val="00741BCE"/>
    <w:rsid w:val="00741E94"/>
    <w:rsid w:val="00741F0A"/>
    <w:rsid w:val="00741F51"/>
    <w:rsid w:val="00741F9B"/>
    <w:rsid w:val="0074205B"/>
    <w:rsid w:val="007420CB"/>
    <w:rsid w:val="007421FC"/>
    <w:rsid w:val="00742241"/>
    <w:rsid w:val="00742274"/>
    <w:rsid w:val="00742300"/>
    <w:rsid w:val="00742309"/>
    <w:rsid w:val="0074233E"/>
    <w:rsid w:val="007423B8"/>
    <w:rsid w:val="007423C4"/>
    <w:rsid w:val="007423F8"/>
    <w:rsid w:val="0074240F"/>
    <w:rsid w:val="007424BF"/>
    <w:rsid w:val="00742536"/>
    <w:rsid w:val="0074254A"/>
    <w:rsid w:val="00742639"/>
    <w:rsid w:val="0074275E"/>
    <w:rsid w:val="0074278A"/>
    <w:rsid w:val="007428C9"/>
    <w:rsid w:val="00742906"/>
    <w:rsid w:val="00742937"/>
    <w:rsid w:val="00742A29"/>
    <w:rsid w:val="00742D66"/>
    <w:rsid w:val="00742D6F"/>
    <w:rsid w:val="00742DE7"/>
    <w:rsid w:val="00742DF5"/>
    <w:rsid w:val="00742DFA"/>
    <w:rsid w:val="00742E50"/>
    <w:rsid w:val="00742ED8"/>
    <w:rsid w:val="00742EE4"/>
    <w:rsid w:val="00742F57"/>
    <w:rsid w:val="00742FA0"/>
    <w:rsid w:val="00743055"/>
    <w:rsid w:val="007430C2"/>
    <w:rsid w:val="00743366"/>
    <w:rsid w:val="007434B8"/>
    <w:rsid w:val="007434C2"/>
    <w:rsid w:val="007434ED"/>
    <w:rsid w:val="00743511"/>
    <w:rsid w:val="00743521"/>
    <w:rsid w:val="00743543"/>
    <w:rsid w:val="0074354A"/>
    <w:rsid w:val="00743553"/>
    <w:rsid w:val="00743649"/>
    <w:rsid w:val="0074367D"/>
    <w:rsid w:val="007436EE"/>
    <w:rsid w:val="00743737"/>
    <w:rsid w:val="00743744"/>
    <w:rsid w:val="00743746"/>
    <w:rsid w:val="0074383F"/>
    <w:rsid w:val="007438B6"/>
    <w:rsid w:val="007439E6"/>
    <w:rsid w:val="00743B13"/>
    <w:rsid w:val="00743B16"/>
    <w:rsid w:val="00743B29"/>
    <w:rsid w:val="00743B9A"/>
    <w:rsid w:val="00743C4D"/>
    <w:rsid w:val="00743C7C"/>
    <w:rsid w:val="00743CAD"/>
    <w:rsid w:val="00743CE2"/>
    <w:rsid w:val="00743E0F"/>
    <w:rsid w:val="00743E9D"/>
    <w:rsid w:val="00743F2A"/>
    <w:rsid w:val="00743F94"/>
    <w:rsid w:val="00744032"/>
    <w:rsid w:val="007440B8"/>
    <w:rsid w:val="007440D1"/>
    <w:rsid w:val="00744123"/>
    <w:rsid w:val="0074412B"/>
    <w:rsid w:val="00744160"/>
    <w:rsid w:val="0074419D"/>
    <w:rsid w:val="00744231"/>
    <w:rsid w:val="0074426C"/>
    <w:rsid w:val="00744293"/>
    <w:rsid w:val="0074430C"/>
    <w:rsid w:val="007443A9"/>
    <w:rsid w:val="007443FE"/>
    <w:rsid w:val="0074459E"/>
    <w:rsid w:val="00744695"/>
    <w:rsid w:val="007446B3"/>
    <w:rsid w:val="00744710"/>
    <w:rsid w:val="00744846"/>
    <w:rsid w:val="00744973"/>
    <w:rsid w:val="00744A0B"/>
    <w:rsid w:val="00744AC6"/>
    <w:rsid w:val="00744BF5"/>
    <w:rsid w:val="00744BF9"/>
    <w:rsid w:val="00744CE5"/>
    <w:rsid w:val="00744D17"/>
    <w:rsid w:val="00744DC4"/>
    <w:rsid w:val="00744E12"/>
    <w:rsid w:val="00744EE3"/>
    <w:rsid w:val="00744EFF"/>
    <w:rsid w:val="00744F31"/>
    <w:rsid w:val="00744F3D"/>
    <w:rsid w:val="00744FFE"/>
    <w:rsid w:val="0074500B"/>
    <w:rsid w:val="0074502C"/>
    <w:rsid w:val="0074507F"/>
    <w:rsid w:val="0074512D"/>
    <w:rsid w:val="0074517D"/>
    <w:rsid w:val="007451B2"/>
    <w:rsid w:val="0074520D"/>
    <w:rsid w:val="00745273"/>
    <w:rsid w:val="00745336"/>
    <w:rsid w:val="00745368"/>
    <w:rsid w:val="00745375"/>
    <w:rsid w:val="007454EC"/>
    <w:rsid w:val="00745513"/>
    <w:rsid w:val="007455AC"/>
    <w:rsid w:val="00745670"/>
    <w:rsid w:val="0074568C"/>
    <w:rsid w:val="00745728"/>
    <w:rsid w:val="007457E1"/>
    <w:rsid w:val="0074588A"/>
    <w:rsid w:val="007458E0"/>
    <w:rsid w:val="00745982"/>
    <w:rsid w:val="007459D6"/>
    <w:rsid w:val="007459E1"/>
    <w:rsid w:val="007459E6"/>
    <w:rsid w:val="00745A54"/>
    <w:rsid w:val="00745B36"/>
    <w:rsid w:val="00745B5C"/>
    <w:rsid w:val="00745B5D"/>
    <w:rsid w:val="00745B96"/>
    <w:rsid w:val="00745BE0"/>
    <w:rsid w:val="00745D12"/>
    <w:rsid w:val="00745D87"/>
    <w:rsid w:val="00745E1C"/>
    <w:rsid w:val="00745FFC"/>
    <w:rsid w:val="0074600C"/>
    <w:rsid w:val="0074600F"/>
    <w:rsid w:val="00746039"/>
    <w:rsid w:val="0074608C"/>
    <w:rsid w:val="00746154"/>
    <w:rsid w:val="007461D2"/>
    <w:rsid w:val="0074623C"/>
    <w:rsid w:val="00746257"/>
    <w:rsid w:val="007462B4"/>
    <w:rsid w:val="007462DA"/>
    <w:rsid w:val="00746314"/>
    <w:rsid w:val="00746480"/>
    <w:rsid w:val="00746516"/>
    <w:rsid w:val="0074653F"/>
    <w:rsid w:val="007465DD"/>
    <w:rsid w:val="0074664A"/>
    <w:rsid w:val="00746675"/>
    <w:rsid w:val="0074675E"/>
    <w:rsid w:val="00746767"/>
    <w:rsid w:val="0074678D"/>
    <w:rsid w:val="007468EF"/>
    <w:rsid w:val="00746928"/>
    <w:rsid w:val="007469C2"/>
    <w:rsid w:val="00746B93"/>
    <w:rsid w:val="00746D38"/>
    <w:rsid w:val="00746E45"/>
    <w:rsid w:val="00746F18"/>
    <w:rsid w:val="00746FC7"/>
    <w:rsid w:val="00746FE7"/>
    <w:rsid w:val="00747016"/>
    <w:rsid w:val="007470DA"/>
    <w:rsid w:val="0074720E"/>
    <w:rsid w:val="007472EF"/>
    <w:rsid w:val="00747424"/>
    <w:rsid w:val="0074742D"/>
    <w:rsid w:val="00747441"/>
    <w:rsid w:val="0074752D"/>
    <w:rsid w:val="007475F2"/>
    <w:rsid w:val="0074763F"/>
    <w:rsid w:val="007476A6"/>
    <w:rsid w:val="007476D2"/>
    <w:rsid w:val="00747701"/>
    <w:rsid w:val="0074770A"/>
    <w:rsid w:val="007477C9"/>
    <w:rsid w:val="007477E3"/>
    <w:rsid w:val="00747809"/>
    <w:rsid w:val="007478A0"/>
    <w:rsid w:val="0074791B"/>
    <w:rsid w:val="00747A27"/>
    <w:rsid w:val="00747A58"/>
    <w:rsid w:val="00747A5F"/>
    <w:rsid w:val="00747ACC"/>
    <w:rsid w:val="00747AE2"/>
    <w:rsid w:val="00747C7A"/>
    <w:rsid w:val="00747CD3"/>
    <w:rsid w:val="00747D30"/>
    <w:rsid w:val="00747DB5"/>
    <w:rsid w:val="00747E43"/>
    <w:rsid w:val="00747E84"/>
    <w:rsid w:val="00747EAA"/>
    <w:rsid w:val="00747F78"/>
    <w:rsid w:val="00747FD2"/>
    <w:rsid w:val="00747FE0"/>
    <w:rsid w:val="00748CED"/>
    <w:rsid w:val="00750068"/>
    <w:rsid w:val="0075006B"/>
    <w:rsid w:val="007501FE"/>
    <w:rsid w:val="00750288"/>
    <w:rsid w:val="00750309"/>
    <w:rsid w:val="00750376"/>
    <w:rsid w:val="00750385"/>
    <w:rsid w:val="007503A4"/>
    <w:rsid w:val="0075040E"/>
    <w:rsid w:val="007504A5"/>
    <w:rsid w:val="007504A8"/>
    <w:rsid w:val="0075050A"/>
    <w:rsid w:val="0075052E"/>
    <w:rsid w:val="0075054D"/>
    <w:rsid w:val="00750555"/>
    <w:rsid w:val="007505B8"/>
    <w:rsid w:val="007506D5"/>
    <w:rsid w:val="007507F2"/>
    <w:rsid w:val="00750883"/>
    <w:rsid w:val="0075095E"/>
    <w:rsid w:val="00750A59"/>
    <w:rsid w:val="00750ADA"/>
    <w:rsid w:val="00750AFE"/>
    <w:rsid w:val="00750B84"/>
    <w:rsid w:val="00750BBB"/>
    <w:rsid w:val="00750BDE"/>
    <w:rsid w:val="00750C2E"/>
    <w:rsid w:val="00750C60"/>
    <w:rsid w:val="00750D61"/>
    <w:rsid w:val="00750E45"/>
    <w:rsid w:val="00750E4D"/>
    <w:rsid w:val="00750E63"/>
    <w:rsid w:val="00750E68"/>
    <w:rsid w:val="00750E81"/>
    <w:rsid w:val="00750F78"/>
    <w:rsid w:val="00750F8E"/>
    <w:rsid w:val="00750FF8"/>
    <w:rsid w:val="00750FF9"/>
    <w:rsid w:val="00750FFA"/>
    <w:rsid w:val="0075126B"/>
    <w:rsid w:val="007512BD"/>
    <w:rsid w:val="00751361"/>
    <w:rsid w:val="00751423"/>
    <w:rsid w:val="0075145B"/>
    <w:rsid w:val="0075163D"/>
    <w:rsid w:val="00751648"/>
    <w:rsid w:val="0075164C"/>
    <w:rsid w:val="007516AC"/>
    <w:rsid w:val="00751750"/>
    <w:rsid w:val="007517D4"/>
    <w:rsid w:val="00751A70"/>
    <w:rsid w:val="00751AD8"/>
    <w:rsid w:val="00751B5D"/>
    <w:rsid w:val="00751BD9"/>
    <w:rsid w:val="00751C11"/>
    <w:rsid w:val="00751C61"/>
    <w:rsid w:val="00751DAC"/>
    <w:rsid w:val="00751DFB"/>
    <w:rsid w:val="00751E69"/>
    <w:rsid w:val="00751F24"/>
    <w:rsid w:val="00751FFF"/>
    <w:rsid w:val="0075208F"/>
    <w:rsid w:val="00752095"/>
    <w:rsid w:val="007520C3"/>
    <w:rsid w:val="00752156"/>
    <w:rsid w:val="00752196"/>
    <w:rsid w:val="00752277"/>
    <w:rsid w:val="00752278"/>
    <w:rsid w:val="007522D2"/>
    <w:rsid w:val="0075232D"/>
    <w:rsid w:val="007523F6"/>
    <w:rsid w:val="00752475"/>
    <w:rsid w:val="00752549"/>
    <w:rsid w:val="00752594"/>
    <w:rsid w:val="007525E0"/>
    <w:rsid w:val="007526A1"/>
    <w:rsid w:val="007527BC"/>
    <w:rsid w:val="007527C4"/>
    <w:rsid w:val="00752883"/>
    <w:rsid w:val="007528A4"/>
    <w:rsid w:val="00752943"/>
    <w:rsid w:val="00752A73"/>
    <w:rsid w:val="00752B07"/>
    <w:rsid w:val="00752CC5"/>
    <w:rsid w:val="00752CE7"/>
    <w:rsid w:val="00752CEC"/>
    <w:rsid w:val="00752D12"/>
    <w:rsid w:val="00752DC3"/>
    <w:rsid w:val="00752DD7"/>
    <w:rsid w:val="00752DF9"/>
    <w:rsid w:val="00752E9A"/>
    <w:rsid w:val="00752EB3"/>
    <w:rsid w:val="00752EB9"/>
    <w:rsid w:val="00753057"/>
    <w:rsid w:val="0075306B"/>
    <w:rsid w:val="00753090"/>
    <w:rsid w:val="0075311B"/>
    <w:rsid w:val="0075319A"/>
    <w:rsid w:val="007531B3"/>
    <w:rsid w:val="007531D1"/>
    <w:rsid w:val="007531FB"/>
    <w:rsid w:val="0075335F"/>
    <w:rsid w:val="007533C0"/>
    <w:rsid w:val="007533F6"/>
    <w:rsid w:val="00753422"/>
    <w:rsid w:val="0075342D"/>
    <w:rsid w:val="007534D7"/>
    <w:rsid w:val="007534EC"/>
    <w:rsid w:val="00753522"/>
    <w:rsid w:val="00753528"/>
    <w:rsid w:val="0075355D"/>
    <w:rsid w:val="00753614"/>
    <w:rsid w:val="00753616"/>
    <w:rsid w:val="007536B5"/>
    <w:rsid w:val="0075378D"/>
    <w:rsid w:val="007537A7"/>
    <w:rsid w:val="00753828"/>
    <w:rsid w:val="00753831"/>
    <w:rsid w:val="0075383A"/>
    <w:rsid w:val="00753890"/>
    <w:rsid w:val="0075392A"/>
    <w:rsid w:val="00753996"/>
    <w:rsid w:val="0075399E"/>
    <w:rsid w:val="00753AA4"/>
    <w:rsid w:val="00753B4D"/>
    <w:rsid w:val="00753B5C"/>
    <w:rsid w:val="00753B93"/>
    <w:rsid w:val="00753BBA"/>
    <w:rsid w:val="00753C33"/>
    <w:rsid w:val="00753CAB"/>
    <w:rsid w:val="00753D3C"/>
    <w:rsid w:val="00753DCE"/>
    <w:rsid w:val="00753E9A"/>
    <w:rsid w:val="00753EE1"/>
    <w:rsid w:val="00753F09"/>
    <w:rsid w:val="00753F62"/>
    <w:rsid w:val="00753F74"/>
    <w:rsid w:val="00753FB8"/>
    <w:rsid w:val="00753FD1"/>
    <w:rsid w:val="00754181"/>
    <w:rsid w:val="00754194"/>
    <w:rsid w:val="007541A1"/>
    <w:rsid w:val="00754289"/>
    <w:rsid w:val="007542C1"/>
    <w:rsid w:val="007542D6"/>
    <w:rsid w:val="007542F1"/>
    <w:rsid w:val="007542F5"/>
    <w:rsid w:val="00754421"/>
    <w:rsid w:val="007544F6"/>
    <w:rsid w:val="00754656"/>
    <w:rsid w:val="00754671"/>
    <w:rsid w:val="007548BE"/>
    <w:rsid w:val="00754A18"/>
    <w:rsid w:val="00754A95"/>
    <w:rsid w:val="00754AC4"/>
    <w:rsid w:val="00754BA5"/>
    <w:rsid w:val="00754C15"/>
    <w:rsid w:val="00754C1F"/>
    <w:rsid w:val="00754C2E"/>
    <w:rsid w:val="00754CB5"/>
    <w:rsid w:val="00754D05"/>
    <w:rsid w:val="00754D35"/>
    <w:rsid w:val="00754D88"/>
    <w:rsid w:val="00754DA8"/>
    <w:rsid w:val="00754E85"/>
    <w:rsid w:val="00754E9E"/>
    <w:rsid w:val="00754EAD"/>
    <w:rsid w:val="00754F48"/>
    <w:rsid w:val="00754FD1"/>
    <w:rsid w:val="00754FF5"/>
    <w:rsid w:val="00755029"/>
    <w:rsid w:val="00755074"/>
    <w:rsid w:val="00755186"/>
    <w:rsid w:val="0075528B"/>
    <w:rsid w:val="007552E2"/>
    <w:rsid w:val="0075542B"/>
    <w:rsid w:val="00755485"/>
    <w:rsid w:val="0075551E"/>
    <w:rsid w:val="00755542"/>
    <w:rsid w:val="0075554C"/>
    <w:rsid w:val="007555B4"/>
    <w:rsid w:val="007555B8"/>
    <w:rsid w:val="00755698"/>
    <w:rsid w:val="0075571F"/>
    <w:rsid w:val="007557A6"/>
    <w:rsid w:val="007558D1"/>
    <w:rsid w:val="007558F3"/>
    <w:rsid w:val="00755937"/>
    <w:rsid w:val="00755942"/>
    <w:rsid w:val="00755947"/>
    <w:rsid w:val="00755A53"/>
    <w:rsid w:val="00755A7F"/>
    <w:rsid w:val="00755ABF"/>
    <w:rsid w:val="00755AD5"/>
    <w:rsid w:val="00755B0F"/>
    <w:rsid w:val="00755B10"/>
    <w:rsid w:val="00755B4A"/>
    <w:rsid w:val="00755BAB"/>
    <w:rsid w:val="00755CAE"/>
    <w:rsid w:val="00755CAF"/>
    <w:rsid w:val="00755DA1"/>
    <w:rsid w:val="00755DD2"/>
    <w:rsid w:val="00755DFA"/>
    <w:rsid w:val="00755E94"/>
    <w:rsid w:val="00755EF9"/>
    <w:rsid w:val="00755F25"/>
    <w:rsid w:val="00755F45"/>
    <w:rsid w:val="00755FD7"/>
    <w:rsid w:val="00755FDE"/>
    <w:rsid w:val="00756015"/>
    <w:rsid w:val="0075602F"/>
    <w:rsid w:val="0075607B"/>
    <w:rsid w:val="00756221"/>
    <w:rsid w:val="00756284"/>
    <w:rsid w:val="007562B4"/>
    <w:rsid w:val="007562C3"/>
    <w:rsid w:val="0075639E"/>
    <w:rsid w:val="0075649B"/>
    <w:rsid w:val="00756525"/>
    <w:rsid w:val="007566B7"/>
    <w:rsid w:val="00756767"/>
    <w:rsid w:val="007567C8"/>
    <w:rsid w:val="00756890"/>
    <w:rsid w:val="00756951"/>
    <w:rsid w:val="007569EE"/>
    <w:rsid w:val="00756A9F"/>
    <w:rsid w:val="00756B54"/>
    <w:rsid w:val="00756B74"/>
    <w:rsid w:val="00756BF7"/>
    <w:rsid w:val="00756C88"/>
    <w:rsid w:val="00756C93"/>
    <w:rsid w:val="00756CB5"/>
    <w:rsid w:val="00756D0C"/>
    <w:rsid w:val="00756E3A"/>
    <w:rsid w:val="00756EFB"/>
    <w:rsid w:val="00756F4E"/>
    <w:rsid w:val="00756F8B"/>
    <w:rsid w:val="0075706A"/>
    <w:rsid w:val="00757161"/>
    <w:rsid w:val="00757220"/>
    <w:rsid w:val="0075727B"/>
    <w:rsid w:val="00757284"/>
    <w:rsid w:val="0075729A"/>
    <w:rsid w:val="007572EE"/>
    <w:rsid w:val="0075741C"/>
    <w:rsid w:val="00757425"/>
    <w:rsid w:val="00757466"/>
    <w:rsid w:val="0075752B"/>
    <w:rsid w:val="007575E8"/>
    <w:rsid w:val="007575F0"/>
    <w:rsid w:val="007576B2"/>
    <w:rsid w:val="007576BC"/>
    <w:rsid w:val="00757809"/>
    <w:rsid w:val="0075787B"/>
    <w:rsid w:val="00757A0E"/>
    <w:rsid w:val="00757A24"/>
    <w:rsid w:val="00757A6B"/>
    <w:rsid w:val="00757AC9"/>
    <w:rsid w:val="00757BB2"/>
    <w:rsid w:val="00757BB9"/>
    <w:rsid w:val="00757C09"/>
    <w:rsid w:val="00757C42"/>
    <w:rsid w:val="00757C4B"/>
    <w:rsid w:val="00757CF2"/>
    <w:rsid w:val="00757D73"/>
    <w:rsid w:val="00757DBA"/>
    <w:rsid w:val="00757DFF"/>
    <w:rsid w:val="00757F74"/>
    <w:rsid w:val="00760179"/>
    <w:rsid w:val="007601D2"/>
    <w:rsid w:val="007601E6"/>
    <w:rsid w:val="007602B0"/>
    <w:rsid w:val="00760314"/>
    <w:rsid w:val="00760379"/>
    <w:rsid w:val="007603D9"/>
    <w:rsid w:val="007604A8"/>
    <w:rsid w:val="007604DC"/>
    <w:rsid w:val="00760566"/>
    <w:rsid w:val="007605A7"/>
    <w:rsid w:val="0076068B"/>
    <w:rsid w:val="007606A3"/>
    <w:rsid w:val="007606C1"/>
    <w:rsid w:val="007608A2"/>
    <w:rsid w:val="00760933"/>
    <w:rsid w:val="007609AB"/>
    <w:rsid w:val="00760A03"/>
    <w:rsid w:val="00760AC1"/>
    <w:rsid w:val="00760AD8"/>
    <w:rsid w:val="00760B06"/>
    <w:rsid w:val="00760B2D"/>
    <w:rsid w:val="00760B6E"/>
    <w:rsid w:val="00760B8A"/>
    <w:rsid w:val="00760BF8"/>
    <w:rsid w:val="00760C8E"/>
    <w:rsid w:val="00760CC1"/>
    <w:rsid w:val="00760CD2"/>
    <w:rsid w:val="00760D62"/>
    <w:rsid w:val="00760DD0"/>
    <w:rsid w:val="00760DDC"/>
    <w:rsid w:val="00760E39"/>
    <w:rsid w:val="00760E72"/>
    <w:rsid w:val="00760EA1"/>
    <w:rsid w:val="00760F1E"/>
    <w:rsid w:val="00760F47"/>
    <w:rsid w:val="00760F65"/>
    <w:rsid w:val="00760F75"/>
    <w:rsid w:val="00760F9D"/>
    <w:rsid w:val="0076114E"/>
    <w:rsid w:val="007611E7"/>
    <w:rsid w:val="007613CE"/>
    <w:rsid w:val="00761416"/>
    <w:rsid w:val="00761426"/>
    <w:rsid w:val="00761499"/>
    <w:rsid w:val="007615AA"/>
    <w:rsid w:val="007616E3"/>
    <w:rsid w:val="00761790"/>
    <w:rsid w:val="0076198B"/>
    <w:rsid w:val="007619E8"/>
    <w:rsid w:val="00761BBB"/>
    <w:rsid w:val="00761BBE"/>
    <w:rsid w:val="00761BC0"/>
    <w:rsid w:val="00761BFC"/>
    <w:rsid w:val="00761C1C"/>
    <w:rsid w:val="00761C66"/>
    <w:rsid w:val="00761C74"/>
    <w:rsid w:val="00761CA6"/>
    <w:rsid w:val="00761CF9"/>
    <w:rsid w:val="00761D53"/>
    <w:rsid w:val="00761D75"/>
    <w:rsid w:val="00761D7A"/>
    <w:rsid w:val="00762021"/>
    <w:rsid w:val="007620B1"/>
    <w:rsid w:val="007620F9"/>
    <w:rsid w:val="0076214C"/>
    <w:rsid w:val="00762228"/>
    <w:rsid w:val="007624DA"/>
    <w:rsid w:val="00762543"/>
    <w:rsid w:val="007625B8"/>
    <w:rsid w:val="00762684"/>
    <w:rsid w:val="007626AA"/>
    <w:rsid w:val="00762728"/>
    <w:rsid w:val="00762749"/>
    <w:rsid w:val="007628BD"/>
    <w:rsid w:val="00762906"/>
    <w:rsid w:val="0076297D"/>
    <w:rsid w:val="00762980"/>
    <w:rsid w:val="0076298E"/>
    <w:rsid w:val="007629BD"/>
    <w:rsid w:val="007629E0"/>
    <w:rsid w:val="00762E5E"/>
    <w:rsid w:val="00762E60"/>
    <w:rsid w:val="00762EDB"/>
    <w:rsid w:val="00762F49"/>
    <w:rsid w:val="00762F4B"/>
    <w:rsid w:val="00762F8A"/>
    <w:rsid w:val="00763001"/>
    <w:rsid w:val="0076310F"/>
    <w:rsid w:val="0076312E"/>
    <w:rsid w:val="00763266"/>
    <w:rsid w:val="007633D3"/>
    <w:rsid w:val="007633E8"/>
    <w:rsid w:val="00763418"/>
    <w:rsid w:val="0076342F"/>
    <w:rsid w:val="0076349B"/>
    <w:rsid w:val="007634E5"/>
    <w:rsid w:val="007634F7"/>
    <w:rsid w:val="0076359D"/>
    <w:rsid w:val="007635C1"/>
    <w:rsid w:val="0076362D"/>
    <w:rsid w:val="00763686"/>
    <w:rsid w:val="0076372E"/>
    <w:rsid w:val="00763742"/>
    <w:rsid w:val="007637B6"/>
    <w:rsid w:val="00763889"/>
    <w:rsid w:val="0076390B"/>
    <w:rsid w:val="00763A08"/>
    <w:rsid w:val="00763A5E"/>
    <w:rsid w:val="00763A8C"/>
    <w:rsid w:val="00763AB0"/>
    <w:rsid w:val="00763ABB"/>
    <w:rsid w:val="00763CAA"/>
    <w:rsid w:val="00763D09"/>
    <w:rsid w:val="00763D52"/>
    <w:rsid w:val="00763DA2"/>
    <w:rsid w:val="00763DB7"/>
    <w:rsid w:val="00763DBA"/>
    <w:rsid w:val="00763DBF"/>
    <w:rsid w:val="00763DC1"/>
    <w:rsid w:val="00763E5C"/>
    <w:rsid w:val="00763EDD"/>
    <w:rsid w:val="00763EDF"/>
    <w:rsid w:val="00763EEF"/>
    <w:rsid w:val="00763FC1"/>
    <w:rsid w:val="00764012"/>
    <w:rsid w:val="0076403E"/>
    <w:rsid w:val="0076408B"/>
    <w:rsid w:val="00764127"/>
    <w:rsid w:val="0076412D"/>
    <w:rsid w:val="00764165"/>
    <w:rsid w:val="00764168"/>
    <w:rsid w:val="00764200"/>
    <w:rsid w:val="0076429D"/>
    <w:rsid w:val="00764345"/>
    <w:rsid w:val="0076435A"/>
    <w:rsid w:val="00764365"/>
    <w:rsid w:val="0076438B"/>
    <w:rsid w:val="007643E3"/>
    <w:rsid w:val="007643F4"/>
    <w:rsid w:val="007643F7"/>
    <w:rsid w:val="00764496"/>
    <w:rsid w:val="007644A8"/>
    <w:rsid w:val="00764580"/>
    <w:rsid w:val="007645EA"/>
    <w:rsid w:val="00764618"/>
    <w:rsid w:val="0076469F"/>
    <w:rsid w:val="007646E2"/>
    <w:rsid w:val="00764733"/>
    <w:rsid w:val="0076478B"/>
    <w:rsid w:val="00764889"/>
    <w:rsid w:val="007649CC"/>
    <w:rsid w:val="007649EF"/>
    <w:rsid w:val="00764A50"/>
    <w:rsid w:val="00764A73"/>
    <w:rsid w:val="00764A88"/>
    <w:rsid w:val="00764AB0"/>
    <w:rsid w:val="00764AB8"/>
    <w:rsid w:val="00764AC9"/>
    <w:rsid w:val="00764B32"/>
    <w:rsid w:val="00764B58"/>
    <w:rsid w:val="00764B65"/>
    <w:rsid w:val="00764BDE"/>
    <w:rsid w:val="00764C73"/>
    <w:rsid w:val="00764D74"/>
    <w:rsid w:val="00764D95"/>
    <w:rsid w:val="00764E94"/>
    <w:rsid w:val="00764F43"/>
    <w:rsid w:val="00764F4A"/>
    <w:rsid w:val="00764FAA"/>
    <w:rsid w:val="007651CA"/>
    <w:rsid w:val="007651D3"/>
    <w:rsid w:val="00765219"/>
    <w:rsid w:val="00765279"/>
    <w:rsid w:val="00765373"/>
    <w:rsid w:val="00765404"/>
    <w:rsid w:val="0076547B"/>
    <w:rsid w:val="007654A1"/>
    <w:rsid w:val="007654AA"/>
    <w:rsid w:val="00765500"/>
    <w:rsid w:val="00765502"/>
    <w:rsid w:val="0076557B"/>
    <w:rsid w:val="00765647"/>
    <w:rsid w:val="0076565C"/>
    <w:rsid w:val="007656BA"/>
    <w:rsid w:val="007657E5"/>
    <w:rsid w:val="0076588C"/>
    <w:rsid w:val="007658C2"/>
    <w:rsid w:val="00765A19"/>
    <w:rsid w:val="00765BAC"/>
    <w:rsid w:val="00765BAE"/>
    <w:rsid w:val="00765BD5"/>
    <w:rsid w:val="00765C3E"/>
    <w:rsid w:val="00765C66"/>
    <w:rsid w:val="00765DD6"/>
    <w:rsid w:val="00765E96"/>
    <w:rsid w:val="00765EB5"/>
    <w:rsid w:val="00765F68"/>
    <w:rsid w:val="00765F77"/>
    <w:rsid w:val="00766040"/>
    <w:rsid w:val="007660C3"/>
    <w:rsid w:val="00766209"/>
    <w:rsid w:val="007662AE"/>
    <w:rsid w:val="0076632E"/>
    <w:rsid w:val="00766359"/>
    <w:rsid w:val="007663F5"/>
    <w:rsid w:val="00766434"/>
    <w:rsid w:val="007664DA"/>
    <w:rsid w:val="007665A6"/>
    <w:rsid w:val="007665C9"/>
    <w:rsid w:val="007665EB"/>
    <w:rsid w:val="0076666A"/>
    <w:rsid w:val="0076666D"/>
    <w:rsid w:val="007666B5"/>
    <w:rsid w:val="0076670E"/>
    <w:rsid w:val="00766741"/>
    <w:rsid w:val="0076676D"/>
    <w:rsid w:val="00766854"/>
    <w:rsid w:val="00766898"/>
    <w:rsid w:val="00766956"/>
    <w:rsid w:val="0076697B"/>
    <w:rsid w:val="007669D7"/>
    <w:rsid w:val="00766A2E"/>
    <w:rsid w:val="00766AB5"/>
    <w:rsid w:val="00766ADD"/>
    <w:rsid w:val="00766AE2"/>
    <w:rsid w:val="00766DCF"/>
    <w:rsid w:val="00766DD6"/>
    <w:rsid w:val="00766DF1"/>
    <w:rsid w:val="00766DFA"/>
    <w:rsid w:val="00766E35"/>
    <w:rsid w:val="00766EE1"/>
    <w:rsid w:val="00766EE4"/>
    <w:rsid w:val="00766F78"/>
    <w:rsid w:val="00766FAC"/>
    <w:rsid w:val="0076701D"/>
    <w:rsid w:val="00767062"/>
    <w:rsid w:val="0076708F"/>
    <w:rsid w:val="00767152"/>
    <w:rsid w:val="0076719E"/>
    <w:rsid w:val="007672A6"/>
    <w:rsid w:val="007673D3"/>
    <w:rsid w:val="007673D5"/>
    <w:rsid w:val="00767406"/>
    <w:rsid w:val="00767500"/>
    <w:rsid w:val="0076756D"/>
    <w:rsid w:val="007675FA"/>
    <w:rsid w:val="007676D2"/>
    <w:rsid w:val="007676E5"/>
    <w:rsid w:val="00767745"/>
    <w:rsid w:val="00767831"/>
    <w:rsid w:val="007678B8"/>
    <w:rsid w:val="007678F8"/>
    <w:rsid w:val="00767924"/>
    <w:rsid w:val="00767994"/>
    <w:rsid w:val="00767995"/>
    <w:rsid w:val="00767A00"/>
    <w:rsid w:val="00767A41"/>
    <w:rsid w:val="00767A81"/>
    <w:rsid w:val="00767C37"/>
    <w:rsid w:val="00767C76"/>
    <w:rsid w:val="00767CC9"/>
    <w:rsid w:val="00767CD6"/>
    <w:rsid w:val="00767CF7"/>
    <w:rsid w:val="00767DA0"/>
    <w:rsid w:val="00767E5A"/>
    <w:rsid w:val="00767E7E"/>
    <w:rsid w:val="00767EB8"/>
    <w:rsid w:val="00770029"/>
    <w:rsid w:val="007700B7"/>
    <w:rsid w:val="00770119"/>
    <w:rsid w:val="007701E2"/>
    <w:rsid w:val="007701E9"/>
    <w:rsid w:val="007702B4"/>
    <w:rsid w:val="007702C8"/>
    <w:rsid w:val="00770304"/>
    <w:rsid w:val="00770316"/>
    <w:rsid w:val="00770366"/>
    <w:rsid w:val="00770393"/>
    <w:rsid w:val="007703D0"/>
    <w:rsid w:val="007704DA"/>
    <w:rsid w:val="007705A5"/>
    <w:rsid w:val="0077067B"/>
    <w:rsid w:val="00770729"/>
    <w:rsid w:val="007708B1"/>
    <w:rsid w:val="00770954"/>
    <w:rsid w:val="00770A6D"/>
    <w:rsid w:val="00770ABA"/>
    <w:rsid w:val="00770ACD"/>
    <w:rsid w:val="00770AE6"/>
    <w:rsid w:val="00770B4A"/>
    <w:rsid w:val="00770B7E"/>
    <w:rsid w:val="00770BB9"/>
    <w:rsid w:val="00770BFE"/>
    <w:rsid w:val="00770C13"/>
    <w:rsid w:val="00770C1C"/>
    <w:rsid w:val="00770C5B"/>
    <w:rsid w:val="00770E25"/>
    <w:rsid w:val="00770EBF"/>
    <w:rsid w:val="00770F31"/>
    <w:rsid w:val="00770F42"/>
    <w:rsid w:val="00770F60"/>
    <w:rsid w:val="00770F95"/>
    <w:rsid w:val="00770FB5"/>
    <w:rsid w:val="00770FC4"/>
    <w:rsid w:val="0077105A"/>
    <w:rsid w:val="007711F4"/>
    <w:rsid w:val="00771351"/>
    <w:rsid w:val="007713B5"/>
    <w:rsid w:val="007713C1"/>
    <w:rsid w:val="00771472"/>
    <w:rsid w:val="007715D6"/>
    <w:rsid w:val="00771692"/>
    <w:rsid w:val="007716CA"/>
    <w:rsid w:val="007716DB"/>
    <w:rsid w:val="00771713"/>
    <w:rsid w:val="00771745"/>
    <w:rsid w:val="0077176B"/>
    <w:rsid w:val="0077176C"/>
    <w:rsid w:val="00771834"/>
    <w:rsid w:val="00771851"/>
    <w:rsid w:val="007719A4"/>
    <w:rsid w:val="00771AB5"/>
    <w:rsid w:val="00771AB9"/>
    <w:rsid w:val="00771ADD"/>
    <w:rsid w:val="00771B00"/>
    <w:rsid w:val="00771B8A"/>
    <w:rsid w:val="00771BE8"/>
    <w:rsid w:val="00771DBE"/>
    <w:rsid w:val="00771E31"/>
    <w:rsid w:val="00771E54"/>
    <w:rsid w:val="00771E55"/>
    <w:rsid w:val="00771EAC"/>
    <w:rsid w:val="00771EC0"/>
    <w:rsid w:val="00771EEA"/>
    <w:rsid w:val="00771F21"/>
    <w:rsid w:val="00771F2C"/>
    <w:rsid w:val="00771F6C"/>
    <w:rsid w:val="00771FB7"/>
    <w:rsid w:val="0077201F"/>
    <w:rsid w:val="007722D8"/>
    <w:rsid w:val="00772315"/>
    <w:rsid w:val="00772349"/>
    <w:rsid w:val="00772350"/>
    <w:rsid w:val="0077240C"/>
    <w:rsid w:val="00772423"/>
    <w:rsid w:val="00772480"/>
    <w:rsid w:val="007724AA"/>
    <w:rsid w:val="007724CC"/>
    <w:rsid w:val="00772539"/>
    <w:rsid w:val="007725F0"/>
    <w:rsid w:val="00772648"/>
    <w:rsid w:val="007726CB"/>
    <w:rsid w:val="007726DC"/>
    <w:rsid w:val="007726EA"/>
    <w:rsid w:val="007726FE"/>
    <w:rsid w:val="00772741"/>
    <w:rsid w:val="00772784"/>
    <w:rsid w:val="00772843"/>
    <w:rsid w:val="00772856"/>
    <w:rsid w:val="00772857"/>
    <w:rsid w:val="00772869"/>
    <w:rsid w:val="007728D4"/>
    <w:rsid w:val="00772949"/>
    <w:rsid w:val="00772996"/>
    <w:rsid w:val="00772A0D"/>
    <w:rsid w:val="00772B06"/>
    <w:rsid w:val="00772B1F"/>
    <w:rsid w:val="00772B28"/>
    <w:rsid w:val="00772BCE"/>
    <w:rsid w:val="00772C47"/>
    <w:rsid w:val="00772C59"/>
    <w:rsid w:val="00772D22"/>
    <w:rsid w:val="00772D26"/>
    <w:rsid w:val="00772D51"/>
    <w:rsid w:val="00772F70"/>
    <w:rsid w:val="00772FED"/>
    <w:rsid w:val="00773066"/>
    <w:rsid w:val="007732F7"/>
    <w:rsid w:val="00773327"/>
    <w:rsid w:val="00773461"/>
    <w:rsid w:val="00773527"/>
    <w:rsid w:val="007735CA"/>
    <w:rsid w:val="00773641"/>
    <w:rsid w:val="007736A6"/>
    <w:rsid w:val="007736E6"/>
    <w:rsid w:val="00773777"/>
    <w:rsid w:val="007737AE"/>
    <w:rsid w:val="0077392C"/>
    <w:rsid w:val="007739F9"/>
    <w:rsid w:val="00773B5F"/>
    <w:rsid w:val="00773B9A"/>
    <w:rsid w:val="00773BA1"/>
    <w:rsid w:val="00773BB9"/>
    <w:rsid w:val="00773BC4"/>
    <w:rsid w:val="00773C64"/>
    <w:rsid w:val="00773C80"/>
    <w:rsid w:val="00773CC7"/>
    <w:rsid w:val="00773D49"/>
    <w:rsid w:val="00773D75"/>
    <w:rsid w:val="00773DCB"/>
    <w:rsid w:val="00773E7E"/>
    <w:rsid w:val="00773F0A"/>
    <w:rsid w:val="00774044"/>
    <w:rsid w:val="0077406C"/>
    <w:rsid w:val="007740A4"/>
    <w:rsid w:val="0077418D"/>
    <w:rsid w:val="007741D6"/>
    <w:rsid w:val="00774243"/>
    <w:rsid w:val="00774277"/>
    <w:rsid w:val="0077429A"/>
    <w:rsid w:val="0077433D"/>
    <w:rsid w:val="00774342"/>
    <w:rsid w:val="0077449D"/>
    <w:rsid w:val="0077454F"/>
    <w:rsid w:val="00774559"/>
    <w:rsid w:val="00774570"/>
    <w:rsid w:val="00774586"/>
    <w:rsid w:val="007745C5"/>
    <w:rsid w:val="00774640"/>
    <w:rsid w:val="00774890"/>
    <w:rsid w:val="0077490B"/>
    <w:rsid w:val="00774955"/>
    <w:rsid w:val="007749CC"/>
    <w:rsid w:val="00774A4E"/>
    <w:rsid w:val="00774CB2"/>
    <w:rsid w:val="00774CDA"/>
    <w:rsid w:val="00774CF2"/>
    <w:rsid w:val="00774DBB"/>
    <w:rsid w:val="00774DBD"/>
    <w:rsid w:val="00774E3F"/>
    <w:rsid w:val="00774E8F"/>
    <w:rsid w:val="00774E9C"/>
    <w:rsid w:val="00774F16"/>
    <w:rsid w:val="007750A8"/>
    <w:rsid w:val="007750BD"/>
    <w:rsid w:val="007750FD"/>
    <w:rsid w:val="00775135"/>
    <w:rsid w:val="00775152"/>
    <w:rsid w:val="00775252"/>
    <w:rsid w:val="007752BE"/>
    <w:rsid w:val="00775360"/>
    <w:rsid w:val="007753D9"/>
    <w:rsid w:val="0077550B"/>
    <w:rsid w:val="007755A9"/>
    <w:rsid w:val="00775662"/>
    <w:rsid w:val="00775679"/>
    <w:rsid w:val="00775737"/>
    <w:rsid w:val="0077579B"/>
    <w:rsid w:val="0077582E"/>
    <w:rsid w:val="007759AD"/>
    <w:rsid w:val="007759CE"/>
    <w:rsid w:val="00775A07"/>
    <w:rsid w:val="00775A36"/>
    <w:rsid w:val="00775A4E"/>
    <w:rsid w:val="00775A5F"/>
    <w:rsid w:val="00775AB1"/>
    <w:rsid w:val="00775AB9"/>
    <w:rsid w:val="00775C83"/>
    <w:rsid w:val="00775CC7"/>
    <w:rsid w:val="00775CD7"/>
    <w:rsid w:val="00775DB0"/>
    <w:rsid w:val="00775DEE"/>
    <w:rsid w:val="00775EDE"/>
    <w:rsid w:val="00776192"/>
    <w:rsid w:val="007761C5"/>
    <w:rsid w:val="007762F6"/>
    <w:rsid w:val="0077632C"/>
    <w:rsid w:val="00776441"/>
    <w:rsid w:val="007764B3"/>
    <w:rsid w:val="00776551"/>
    <w:rsid w:val="00776580"/>
    <w:rsid w:val="007765C3"/>
    <w:rsid w:val="00776666"/>
    <w:rsid w:val="0077668C"/>
    <w:rsid w:val="007766F8"/>
    <w:rsid w:val="00776727"/>
    <w:rsid w:val="0077672C"/>
    <w:rsid w:val="0077672E"/>
    <w:rsid w:val="00776822"/>
    <w:rsid w:val="0077685F"/>
    <w:rsid w:val="007768C5"/>
    <w:rsid w:val="00776906"/>
    <w:rsid w:val="00776A30"/>
    <w:rsid w:val="00776B0B"/>
    <w:rsid w:val="00776B1A"/>
    <w:rsid w:val="00776B2D"/>
    <w:rsid w:val="00776BB5"/>
    <w:rsid w:val="00776BC8"/>
    <w:rsid w:val="00776D2F"/>
    <w:rsid w:val="00776D8E"/>
    <w:rsid w:val="00776E48"/>
    <w:rsid w:val="00776F1C"/>
    <w:rsid w:val="00776F52"/>
    <w:rsid w:val="00776FC0"/>
    <w:rsid w:val="0077703E"/>
    <w:rsid w:val="007770A5"/>
    <w:rsid w:val="0077715F"/>
    <w:rsid w:val="00777190"/>
    <w:rsid w:val="00777248"/>
    <w:rsid w:val="00777282"/>
    <w:rsid w:val="00777367"/>
    <w:rsid w:val="0077752F"/>
    <w:rsid w:val="0077763D"/>
    <w:rsid w:val="007776A9"/>
    <w:rsid w:val="007776E6"/>
    <w:rsid w:val="007776FF"/>
    <w:rsid w:val="00777728"/>
    <w:rsid w:val="00777749"/>
    <w:rsid w:val="0077778C"/>
    <w:rsid w:val="007778DC"/>
    <w:rsid w:val="007778DF"/>
    <w:rsid w:val="0077791B"/>
    <w:rsid w:val="007779BA"/>
    <w:rsid w:val="00777A63"/>
    <w:rsid w:val="00777AE8"/>
    <w:rsid w:val="00777B30"/>
    <w:rsid w:val="00777BD2"/>
    <w:rsid w:val="00777CE9"/>
    <w:rsid w:val="00777DD1"/>
    <w:rsid w:val="00777E65"/>
    <w:rsid w:val="00777ED9"/>
    <w:rsid w:val="00777EE5"/>
    <w:rsid w:val="00777FC2"/>
    <w:rsid w:val="00780089"/>
    <w:rsid w:val="0078009C"/>
    <w:rsid w:val="00780136"/>
    <w:rsid w:val="00780161"/>
    <w:rsid w:val="007801B5"/>
    <w:rsid w:val="0078021B"/>
    <w:rsid w:val="007802D9"/>
    <w:rsid w:val="0078032A"/>
    <w:rsid w:val="00780339"/>
    <w:rsid w:val="007803C7"/>
    <w:rsid w:val="0078044C"/>
    <w:rsid w:val="0078048F"/>
    <w:rsid w:val="0078052F"/>
    <w:rsid w:val="007805D6"/>
    <w:rsid w:val="0078060B"/>
    <w:rsid w:val="0078062B"/>
    <w:rsid w:val="00780656"/>
    <w:rsid w:val="007806BB"/>
    <w:rsid w:val="00780786"/>
    <w:rsid w:val="007807F7"/>
    <w:rsid w:val="0078085D"/>
    <w:rsid w:val="00780865"/>
    <w:rsid w:val="00780875"/>
    <w:rsid w:val="007808E5"/>
    <w:rsid w:val="0078096E"/>
    <w:rsid w:val="007809B1"/>
    <w:rsid w:val="007809B2"/>
    <w:rsid w:val="00780A83"/>
    <w:rsid w:val="00780AE7"/>
    <w:rsid w:val="00780B3D"/>
    <w:rsid w:val="00780C33"/>
    <w:rsid w:val="00780C90"/>
    <w:rsid w:val="00780CEB"/>
    <w:rsid w:val="00780CEE"/>
    <w:rsid w:val="00780CFF"/>
    <w:rsid w:val="00780D3C"/>
    <w:rsid w:val="00780DBC"/>
    <w:rsid w:val="00780E4F"/>
    <w:rsid w:val="00780EFD"/>
    <w:rsid w:val="00780F23"/>
    <w:rsid w:val="00780F57"/>
    <w:rsid w:val="00780F5B"/>
    <w:rsid w:val="00780FCC"/>
    <w:rsid w:val="00780FD8"/>
    <w:rsid w:val="00780FE7"/>
    <w:rsid w:val="0078100F"/>
    <w:rsid w:val="007810BE"/>
    <w:rsid w:val="0078110F"/>
    <w:rsid w:val="00781170"/>
    <w:rsid w:val="00781193"/>
    <w:rsid w:val="0078120C"/>
    <w:rsid w:val="00781253"/>
    <w:rsid w:val="007812F0"/>
    <w:rsid w:val="00781323"/>
    <w:rsid w:val="00781336"/>
    <w:rsid w:val="00781442"/>
    <w:rsid w:val="007814A7"/>
    <w:rsid w:val="007814E5"/>
    <w:rsid w:val="007814E8"/>
    <w:rsid w:val="00781513"/>
    <w:rsid w:val="0078158D"/>
    <w:rsid w:val="007815A5"/>
    <w:rsid w:val="00781663"/>
    <w:rsid w:val="007816CE"/>
    <w:rsid w:val="00781710"/>
    <w:rsid w:val="00781716"/>
    <w:rsid w:val="007817FB"/>
    <w:rsid w:val="00781806"/>
    <w:rsid w:val="00781888"/>
    <w:rsid w:val="007818E1"/>
    <w:rsid w:val="007819FF"/>
    <w:rsid w:val="00781A5B"/>
    <w:rsid w:val="00781C4F"/>
    <w:rsid w:val="00781F77"/>
    <w:rsid w:val="00781F82"/>
    <w:rsid w:val="00781FB9"/>
    <w:rsid w:val="00781FDA"/>
    <w:rsid w:val="007820BA"/>
    <w:rsid w:val="00782107"/>
    <w:rsid w:val="00782110"/>
    <w:rsid w:val="007821C8"/>
    <w:rsid w:val="007821DD"/>
    <w:rsid w:val="0078222C"/>
    <w:rsid w:val="00782268"/>
    <w:rsid w:val="0078228F"/>
    <w:rsid w:val="007822FD"/>
    <w:rsid w:val="00782307"/>
    <w:rsid w:val="007823C3"/>
    <w:rsid w:val="00782438"/>
    <w:rsid w:val="007824E8"/>
    <w:rsid w:val="00782577"/>
    <w:rsid w:val="00782698"/>
    <w:rsid w:val="0078276A"/>
    <w:rsid w:val="00782821"/>
    <w:rsid w:val="00782826"/>
    <w:rsid w:val="007828C1"/>
    <w:rsid w:val="00782914"/>
    <w:rsid w:val="00782AA3"/>
    <w:rsid w:val="00782B6C"/>
    <w:rsid w:val="00782C33"/>
    <w:rsid w:val="00782CA5"/>
    <w:rsid w:val="00782D02"/>
    <w:rsid w:val="00782D23"/>
    <w:rsid w:val="00782D33"/>
    <w:rsid w:val="00782DEE"/>
    <w:rsid w:val="00782E1F"/>
    <w:rsid w:val="00782E41"/>
    <w:rsid w:val="00782E6F"/>
    <w:rsid w:val="00782EC3"/>
    <w:rsid w:val="00782F2D"/>
    <w:rsid w:val="00782F39"/>
    <w:rsid w:val="00782F64"/>
    <w:rsid w:val="00782F9E"/>
    <w:rsid w:val="00783043"/>
    <w:rsid w:val="007830C6"/>
    <w:rsid w:val="00783120"/>
    <w:rsid w:val="0078317E"/>
    <w:rsid w:val="007831E3"/>
    <w:rsid w:val="0078320F"/>
    <w:rsid w:val="007833B5"/>
    <w:rsid w:val="007833F1"/>
    <w:rsid w:val="0078349A"/>
    <w:rsid w:val="00783564"/>
    <w:rsid w:val="007835CE"/>
    <w:rsid w:val="00783676"/>
    <w:rsid w:val="007837D4"/>
    <w:rsid w:val="00783856"/>
    <w:rsid w:val="007838E0"/>
    <w:rsid w:val="007838F7"/>
    <w:rsid w:val="00783927"/>
    <w:rsid w:val="0078399B"/>
    <w:rsid w:val="007839AE"/>
    <w:rsid w:val="007839EF"/>
    <w:rsid w:val="00783AAF"/>
    <w:rsid w:val="00783AB3"/>
    <w:rsid w:val="00783AC1"/>
    <w:rsid w:val="00783B55"/>
    <w:rsid w:val="00783BB4"/>
    <w:rsid w:val="00783BC4"/>
    <w:rsid w:val="00783BCD"/>
    <w:rsid w:val="00783C70"/>
    <w:rsid w:val="00783C89"/>
    <w:rsid w:val="00783D61"/>
    <w:rsid w:val="00783DEF"/>
    <w:rsid w:val="00783E0C"/>
    <w:rsid w:val="00783EF6"/>
    <w:rsid w:val="00783EFC"/>
    <w:rsid w:val="00783FB4"/>
    <w:rsid w:val="00783FDD"/>
    <w:rsid w:val="00784043"/>
    <w:rsid w:val="0078404D"/>
    <w:rsid w:val="0078409C"/>
    <w:rsid w:val="0078416A"/>
    <w:rsid w:val="007841D5"/>
    <w:rsid w:val="007842DD"/>
    <w:rsid w:val="007842E3"/>
    <w:rsid w:val="007842E4"/>
    <w:rsid w:val="007842F0"/>
    <w:rsid w:val="0078433C"/>
    <w:rsid w:val="00784396"/>
    <w:rsid w:val="007843B1"/>
    <w:rsid w:val="0078442F"/>
    <w:rsid w:val="00784464"/>
    <w:rsid w:val="0078449E"/>
    <w:rsid w:val="0078453E"/>
    <w:rsid w:val="0078456F"/>
    <w:rsid w:val="007845DB"/>
    <w:rsid w:val="007845F4"/>
    <w:rsid w:val="0078467D"/>
    <w:rsid w:val="007846D5"/>
    <w:rsid w:val="007846F8"/>
    <w:rsid w:val="0078474C"/>
    <w:rsid w:val="0078474E"/>
    <w:rsid w:val="00784800"/>
    <w:rsid w:val="00784825"/>
    <w:rsid w:val="00784880"/>
    <w:rsid w:val="0078499A"/>
    <w:rsid w:val="00784A08"/>
    <w:rsid w:val="00784A6D"/>
    <w:rsid w:val="00784B83"/>
    <w:rsid w:val="00784B97"/>
    <w:rsid w:val="00784CCD"/>
    <w:rsid w:val="00784CF5"/>
    <w:rsid w:val="00784D1D"/>
    <w:rsid w:val="00784E17"/>
    <w:rsid w:val="00784E1C"/>
    <w:rsid w:val="00784E3A"/>
    <w:rsid w:val="00784EBB"/>
    <w:rsid w:val="00784F96"/>
    <w:rsid w:val="00784FB6"/>
    <w:rsid w:val="0078500C"/>
    <w:rsid w:val="0078501F"/>
    <w:rsid w:val="00785108"/>
    <w:rsid w:val="007851A7"/>
    <w:rsid w:val="00785218"/>
    <w:rsid w:val="007852C3"/>
    <w:rsid w:val="00785392"/>
    <w:rsid w:val="007853C6"/>
    <w:rsid w:val="007853DE"/>
    <w:rsid w:val="0078545E"/>
    <w:rsid w:val="0078549E"/>
    <w:rsid w:val="007854DE"/>
    <w:rsid w:val="00785527"/>
    <w:rsid w:val="00785572"/>
    <w:rsid w:val="00785591"/>
    <w:rsid w:val="007855E5"/>
    <w:rsid w:val="00785690"/>
    <w:rsid w:val="00785749"/>
    <w:rsid w:val="00785768"/>
    <w:rsid w:val="00785846"/>
    <w:rsid w:val="00785882"/>
    <w:rsid w:val="007858CF"/>
    <w:rsid w:val="0078592B"/>
    <w:rsid w:val="00785A1C"/>
    <w:rsid w:val="00785A82"/>
    <w:rsid w:val="00785A85"/>
    <w:rsid w:val="00785A8A"/>
    <w:rsid w:val="00785B2B"/>
    <w:rsid w:val="00785B33"/>
    <w:rsid w:val="00785B84"/>
    <w:rsid w:val="00785C6D"/>
    <w:rsid w:val="00785C84"/>
    <w:rsid w:val="00785CA3"/>
    <w:rsid w:val="00785CC0"/>
    <w:rsid w:val="00785CF6"/>
    <w:rsid w:val="00785E83"/>
    <w:rsid w:val="00785EEA"/>
    <w:rsid w:val="00786026"/>
    <w:rsid w:val="007860CC"/>
    <w:rsid w:val="007860E6"/>
    <w:rsid w:val="00786218"/>
    <w:rsid w:val="00786243"/>
    <w:rsid w:val="0078624E"/>
    <w:rsid w:val="00786261"/>
    <w:rsid w:val="00786314"/>
    <w:rsid w:val="00786324"/>
    <w:rsid w:val="007863BD"/>
    <w:rsid w:val="00786418"/>
    <w:rsid w:val="0078647C"/>
    <w:rsid w:val="007864B8"/>
    <w:rsid w:val="0078650A"/>
    <w:rsid w:val="00786510"/>
    <w:rsid w:val="00786528"/>
    <w:rsid w:val="007866A9"/>
    <w:rsid w:val="007866F7"/>
    <w:rsid w:val="00786766"/>
    <w:rsid w:val="00786803"/>
    <w:rsid w:val="0078684A"/>
    <w:rsid w:val="00786944"/>
    <w:rsid w:val="00786975"/>
    <w:rsid w:val="00786A8E"/>
    <w:rsid w:val="00786B1D"/>
    <w:rsid w:val="00786BFB"/>
    <w:rsid w:val="00786C81"/>
    <w:rsid w:val="00786CE8"/>
    <w:rsid w:val="00786D16"/>
    <w:rsid w:val="00786DBF"/>
    <w:rsid w:val="00786EBC"/>
    <w:rsid w:val="00786EC0"/>
    <w:rsid w:val="00786EFC"/>
    <w:rsid w:val="00786F3E"/>
    <w:rsid w:val="00786F54"/>
    <w:rsid w:val="00786F75"/>
    <w:rsid w:val="00787034"/>
    <w:rsid w:val="0078707C"/>
    <w:rsid w:val="00787105"/>
    <w:rsid w:val="0078715A"/>
    <w:rsid w:val="0078716A"/>
    <w:rsid w:val="007871FF"/>
    <w:rsid w:val="0078720F"/>
    <w:rsid w:val="007872A5"/>
    <w:rsid w:val="007872E7"/>
    <w:rsid w:val="00787344"/>
    <w:rsid w:val="007873DB"/>
    <w:rsid w:val="00787475"/>
    <w:rsid w:val="00787486"/>
    <w:rsid w:val="0078752D"/>
    <w:rsid w:val="00787538"/>
    <w:rsid w:val="00787539"/>
    <w:rsid w:val="007875EF"/>
    <w:rsid w:val="00787666"/>
    <w:rsid w:val="00787764"/>
    <w:rsid w:val="007877DF"/>
    <w:rsid w:val="00787809"/>
    <w:rsid w:val="0078786B"/>
    <w:rsid w:val="00787914"/>
    <w:rsid w:val="00787973"/>
    <w:rsid w:val="00787A7D"/>
    <w:rsid w:val="00787B07"/>
    <w:rsid w:val="00787B15"/>
    <w:rsid w:val="00787BD2"/>
    <w:rsid w:val="00787BF8"/>
    <w:rsid w:val="00787C0A"/>
    <w:rsid w:val="00787CF4"/>
    <w:rsid w:val="00787D54"/>
    <w:rsid w:val="00787F49"/>
    <w:rsid w:val="00790037"/>
    <w:rsid w:val="00790091"/>
    <w:rsid w:val="007900A7"/>
    <w:rsid w:val="007901A2"/>
    <w:rsid w:val="007901EB"/>
    <w:rsid w:val="007902B0"/>
    <w:rsid w:val="007903BA"/>
    <w:rsid w:val="00790420"/>
    <w:rsid w:val="0079042C"/>
    <w:rsid w:val="0079049A"/>
    <w:rsid w:val="007904DD"/>
    <w:rsid w:val="007904E6"/>
    <w:rsid w:val="007904EC"/>
    <w:rsid w:val="00790549"/>
    <w:rsid w:val="0079054E"/>
    <w:rsid w:val="007905FB"/>
    <w:rsid w:val="00790612"/>
    <w:rsid w:val="0079070C"/>
    <w:rsid w:val="00790743"/>
    <w:rsid w:val="00790789"/>
    <w:rsid w:val="007907E8"/>
    <w:rsid w:val="00790849"/>
    <w:rsid w:val="00790856"/>
    <w:rsid w:val="00790928"/>
    <w:rsid w:val="00790950"/>
    <w:rsid w:val="00790A72"/>
    <w:rsid w:val="00790A8E"/>
    <w:rsid w:val="00790AB4"/>
    <w:rsid w:val="00790BBD"/>
    <w:rsid w:val="00790BC2"/>
    <w:rsid w:val="00790C5F"/>
    <w:rsid w:val="00790C84"/>
    <w:rsid w:val="00790C95"/>
    <w:rsid w:val="00790CE1"/>
    <w:rsid w:val="00790CEA"/>
    <w:rsid w:val="00790D22"/>
    <w:rsid w:val="00790D35"/>
    <w:rsid w:val="00790D8B"/>
    <w:rsid w:val="00790DAE"/>
    <w:rsid w:val="00790E11"/>
    <w:rsid w:val="00790E4D"/>
    <w:rsid w:val="00790EBD"/>
    <w:rsid w:val="00790F37"/>
    <w:rsid w:val="00790F38"/>
    <w:rsid w:val="00790F47"/>
    <w:rsid w:val="00790F66"/>
    <w:rsid w:val="00790FBA"/>
    <w:rsid w:val="00790FFE"/>
    <w:rsid w:val="00791005"/>
    <w:rsid w:val="00791024"/>
    <w:rsid w:val="0079109E"/>
    <w:rsid w:val="00791113"/>
    <w:rsid w:val="00791135"/>
    <w:rsid w:val="007911F0"/>
    <w:rsid w:val="00791313"/>
    <w:rsid w:val="00791437"/>
    <w:rsid w:val="00791489"/>
    <w:rsid w:val="007914B7"/>
    <w:rsid w:val="00791570"/>
    <w:rsid w:val="007915A6"/>
    <w:rsid w:val="00791638"/>
    <w:rsid w:val="0079163C"/>
    <w:rsid w:val="00791658"/>
    <w:rsid w:val="0079165B"/>
    <w:rsid w:val="0079167F"/>
    <w:rsid w:val="0079169F"/>
    <w:rsid w:val="00791741"/>
    <w:rsid w:val="00791749"/>
    <w:rsid w:val="007918D8"/>
    <w:rsid w:val="007918FF"/>
    <w:rsid w:val="007919F9"/>
    <w:rsid w:val="00791A36"/>
    <w:rsid w:val="00791B62"/>
    <w:rsid w:val="00791BA0"/>
    <w:rsid w:val="00791BE6"/>
    <w:rsid w:val="00791D54"/>
    <w:rsid w:val="00791DBC"/>
    <w:rsid w:val="00791E7E"/>
    <w:rsid w:val="00791EBB"/>
    <w:rsid w:val="00791F00"/>
    <w:rsid w:val="00791F8C"/>
    <w:rsid w:val="00791FAF"/>
    <w:rsid w:val="00791FDC"/>
    <w:rsid w:val="007920A1"/>
    <w:rsid w:val="007920F2"/>
    <w:rsid w:val="007921F9"/>
    <w:rsid w:val="00792237"/>
    <w:rsid w:val="0079223C"/>
    <w:rsid w:val="007922E6"/>
    <w:rsid w:val="007923A6"/>
    <w:rsid w:val="007923DE"/>
    <w:rsid w:val="00792477"/>
    <w:rsid w:val="00792525"/>
    <w:rsid w:val="007925AA"/>
    <w:rsid w:val="007925F0"/>
    <w:rsid w:val="007925F3"/>
    <w:rsid w:val="00792603"/>
    <w:rsid w:val="00792636"/>
    <w:rsid w:val="0079265E"/>
    <w:rsid w:val="0079269A"/>
    <w:rsid w:val="00792794"/>
    <w:rsid w:val="00792797"/>
    <w:rsid w:val="007927AE"/>
    <w:rsid w:val="007927B2"/>
    <w:rsid w:val="007927ED"/>
    <w:rsid w:val="0079285E"/>
    <w:rsid w:val="007928C3"/>
    <w:rsid w:val="007928D4"/>
    <w:rsid w:val="00792A11"/>
    <w:rsid w:val="00792A51"/>
    <w:rsid w:val="00792AAA"/>
    <w:rsid w:val="00792AAE"/>
    <w:rsid w:val="00792AF7"/>
    <w:rsid w:val="00792B56"/>
    <w:rsid w:val="00792EB0"/>
    <w:rsid w:val="00792F23"/>
    <w:rsid w:val="00792FCB"/>
    <w:rsid w:val="00792FE4"/>
    <w:rsid w:val="007930B6"/>
    <w:rsid w:val="007930F4"/>
    <w:rsid w:val="0079313E"/>
    <w:rsid w:val="007931E1"/>
    <w:rsid w:val="007931E7"/>
    <w:rsid w:val="00793243"/>
    <w:rsid w:val="007932A2"/>
    <w:rsid w:val="007932B0"/>
    <w:rsid w:val="0079334B"/>
    <w:rsid w:val="0079334E"/>
    <w:rsid w:val="00793357"/>
    <w:rsid w:val="00793368"/>
    <w:rsid w:val="007933E7"/>
    <w:rsid w:val="007933FF"/>
    <w:rsid w:val="00793540"/>
    <w:rsid w:val="00793579"/>
    <w:rsid w:val="007935BF"/>
    <w:rsid w:val="007935EA"/>
    <w:rsid w:val="007935EB"/>
    <w:rsid w:val="007936B8"/>
    <w:rsid w:val="0079372F"/>
    <w:rsid w:val="00793789"/>
    <w:rsid w:val="007937A3"/>
    <w:rsid w:val="0079384A"/>
    <w:rsid w:val="0079384D"/>
    <w:rsid w:val="00793977"/>
    <w:rsid w:val="007939B8"/>
    <w:rsid w:val="00793A17"/>
    <w:rsid w:val="00793BC3"/>
    <w:rsid w:val="00793C08"/>
    <w:rsid w:val="00793C19"/>
    <w:rsid w:val="00793C63"/>
    <w:rsid w:val="00793C73"/>
    <w:rsid w:val="00793CA5"/>
    <w:rsid w:val="00793D79"/>
    <w:rsid w:val="00793D7B"/>
    <w:rsid w:val="00793E33"/>
    <w:rsid w:val="00793E37"/>
    <w:rsid w:val="00793F2C"/>
    <w:rsid w:val="00793F5F"/>
    <w:rsid w:val="00793F60"/>
    <w:rsid w:val="007940B9"/>
    <w:rsid w:val="007940F4"/>
    <w:rsid w:val="00794125"/>
    <w:rsid w:val="0079429E"/>
    <w:rsid w:val="00794339"/>
    <w:rsid w:val="00794377"/>
    <w:rsid w:val="00794489"/>
    <w:rsid w:val="00794495"/>
    <w:rsid w:val="0079460D"/>
    <w:rsid w:val="00794668"/>
    <w:rsid w:val="0079469D"/>
    <w:rsid w:val="007946A7"/>
    <w:rsid w:val="007946DF"/>
    <w:rsid w:val="00794801"/>
    <w:rsid w:val="0079480A"/>
    <w:rsid w:val="0079497E"/>
    <w:rsid w:val="00794A10"/>
    <w:rsid w:val="00794A28"/>
    <w:rsid w:val="00794A96"/>
    <w:rsid w:val="00794AF0"/>
    <w:rsid w:val="00794B9A"/>
    <w:rsid w:val="00794C6A"/>
    <w:rsid w:val="00794C75"/>
    <w:rsid w:val="00794EB1"/>
    <w:rsid w:val="00794F96"/>
    <w:rsid w:val="00794FCC"/>
    <w:rsid w:val="0079504E"/>
    <w:rsid w:val="00795076"/>
    <w:rsid w:val="00795096"/>
    <w:rsid w:val="007950C5"/>
    <w:rsid w:val="007950C9"/>
    <w:rsid w:val="00795129"/>
    <w:rsid w:val="0079513C"/>
    <w:rsid w:val="0079513E"/>
    <w:rsid w:val="007951DF"/>
    <w:rsid w:val="0079520A"/>
    <w:rsid w:val="00795246"/>
    <w:rsid w:val="00795247"/>
    <w:rsid w:val="00795273"/>
    <w:rsid w:val="00795356"/>
    <w:rsid w:val="0079537C"/>
    <w:rsid w:val="007953D0"/>
    <w:rsid w:val="00795419"/>
    <w:rsid w:val="00795498"/>
    <w:rsid w:val="00795512"/>
    <w:rsid w:val="00795577"/>
    <w:rsid w:val="00795606"/>
    <w:rsid w:val="00795634"/>
    <w:rsid w:val="0079563D"/>
    <w:rsid w:val="007957CE"/>
    <w:rsid w:val="007957D3"/>
    <w:rsid w:val="007957D9"/>
    <w:rsid w:val="007957DF"/>
    <w:rsid w:val="0079587F"/>
    <w:rsid w:val="007958B2"/>
    <w:rsid w:val="00795938"/>
    <w:rsid w:val="007959DA"/>
    <w:rsid w:val="00795A24"/>
    <w:rsid w:val="00795A6E"/>
    <w:rsid w:val="00795A8A"/>
    <w:rsid w:val="00795AC3"/>
    <w:rsid w:val="00795B29"/>
    <w:rsid w:val="00795BDA"/>
    <w:rsid w:val="00795C39"/>
    <w:rsid w:val="00795CA6"/>
    <w:rsid w:val="00795D14"/>
    <w:rsid w:val="00795D28"/>
    <w:rsid w:val="00795D88"/>
    <w:rsid w:val="00795DF8"/>
    <w:rsid w:val="00795E88"/>
    <w:rsid w:val="00795F08"/>
    <w:rsid w:val="00795F50"/>
    <w:rsid w:val="00796092"/>
    <w:rsid w:val="00796149"/>
    <w:rsid w:val="00796190"/>
    <w:rsid w:val="00796201"/>
    <w:rsid w:val="0079630D"/>
    <w:rsid w:val="0079630F"/>
    <w:rsid w:val="007963B8"/>
    <w:rsid w:val="007963D9"/>
    <w:rsid w:val="007963FF"/>
    <w:rsid w:val="0079644D"/>
    <w:rsid w:val="007964AA"/>
    <w:rsid w:val="007964F7"/>
    <w:rsid w:val="0079653B"/>
    <w:rsid w:val="00796580"/>
    <w:rsid w:val="00796641"/>
    <w:rsid w:val="00796680"/>
    <w:rsid w:val="0079678D"/>
    <w:rsid w:val="007968ED"/>
    <w:rsid w:val="00796953"/>
    <w:rsid w:val="00796988"/>
    <w:rsid w:val="0079699B"/>
    <w:rsid w:val="007969A0"/>
    <w:rsid w:val="00796B10"/>
    <w:rsid w:val="00796BD8"/>
    <w:rsid w:val="00796CB2"/>
    <w:rsid w:val="00796CD7"/>
    <w:rsid w:val="00796CE4"/>
    <w:rsid w:val="00796CEA"/>
    <w:rsid w:val="00796D3F"/>
    <w:rsid w:val="00796DB8"/>
    <w:rsid w:val="00796DDC"/>
    <w:rsid w:val="00796DE9"/>
    <w:rsid w:val="00796E7C"/>
    <w:rsid w:val="00796F52"/>
    <w:rsid w:val="0079700B"/>
    <w:rsid w:val="007970D3"/>
    <w:rsid w:val="007970D5"/>
    <w:rsid w:val="0079710C"/>
    <w:rsid w:val="0079716F"/>
    <w:rsid w:val="00797310"/>
    <w:rsid w:val="00797319"/>
    <w:rsid w:val="0079739D"/>
    <w:rsid w:val="007973D5"/>
    <w:rsid w:val="00797419"/>
    <w:rsid w:val="00797465"/>
    <w:rsid w:val="00797483"/>
    <w:rsid w:val="007974D1"/>
    <w:rsid w:val="007974E8"/>
    <w:rsid w:val="0079762F"/>
    <w:rsid w:val="00797656"/>
    <w:rsid w:val="00797697"/>
    <w:rsid w:val="00797737"/>
    <w:rsid w:val="0079774D"/>
    <w:rsid w:val="00797757"/>
    <w:rsid w:val="007977EF"/>
    <w:rsid w:val="0079787D"/>
    <w:rsid w:val="007978C8"/>
    <w:rsid w:val="00797AE5"/>
    <w:rsid w:val="00797AFF"/>
    <w:rsid w:val="00797B7C"/>
    <w:rsid w:val="00797C05"/>
    <w:rsid w:val="00797CB5"/>
    <w:rsid w:val="00797D70"/>
    <w:rsid w:val="00797D8C"/>
    <w:rsid w:val="00797DA9"/>
    <w:rsid w:val="00797DF4"/>
    <w:rsid w:val="00797E14"/>
    <w:rsid w:val="00797E65"/>
    <w:rsid w:val="00797EB6"/>
    <w:rsid w:val="00797ECF"/>
    <w:rsid w:val="00797F63"/>
    <w:rsid w:val="007A0054"/>
    <w:rsid w:val="007A00D8"/>
    <w:rsid w:val="007A014A"/>
    <w:rsid w:val="007A0159"/>
    <w:rsid w:val="007A01C1"/>
    <w:rsid w:val="007A0241"/>
    <w:rsid w:val="007A02A0"/>
    <w:rsid w:val="007A02B5"/>
    <w:rsid w:val="007A0414"/>
    <w:rsid w:val="007A05B3"/>
    <w:rsid w:val="007A05EB"/>
    <w:rsid w:val="007A0ADD"/>
    <w:rsid w:val="007A0AF1"/>
    <w:rsid w:val="007A0B3B"/>
    <w:rsid w:val="007A0B82"/>
    <w:rsid w:val="007A0C4F"/>
    <w:rsid w:val="007A0D56"/>
    <w:rsid w:val="007A0D87"/>
    <w:rsid w:val="007A0E05"/>
    <w:rsid w:val="007A0E2A"/>
    <w:rsid w:val="007A0E30"/>
    <w:rsid w:val="007A0F73"/>
    <w:rsid w:val="007A0FCA"/>
    <w:rsid w:val="007A0FE0"/>
    <w:rsid w:val="007A1053"/>
    <w:rsid w:val="007A10F7"/>
    <w:rsid w:val="007A1201"/>
    <w:rsid w:val="007A12F3"/>
    <w:rsid w:val="007A13A4"/>
    <w:rsid w:val="007A151D"/>
    <w:rsid w:val="007A151E"/>
    <w:rsid w:val="007A15E0"/>
    <w:rsid w:val="007A15E1"/>
    <w:rsid w:val="007A1618"/>
    <w:rsid w:val="007A1641"/>
    <w:rsid w:val="007A1649"/>
    <w:rsid w:val="007A169B"/>
    <w:rsid w:val="007A1709"/>
    <w:rsid w:val="007A1724"/>
    <w:rsid w:val="007A1768"/>
    <w:rsid w:val="007A17AA"/>
    <w:rsid w:val="007A17BD"/>
    <w:rsid w:val="007A17D1"/>
    <w:rsid w:val="007A17DE"/>
    <w:rsid w:val="007A1828"/>
    <w:rsid w:val="007A18C5"/>
    <w:rsid w:val="007A1916"/>
    <w:rsid w:val="007A19EF"/>
    <w:rsid w:val="007A1A06"/>
    <w:rsid w:val="007A1BB6"/>
    <w:rsid w:val="007A1BCB"/>
    <w:rsid w:val="007A1CD9"/>
    <w:rsid w:val="007A1CE9"/>
    <w:rsid w:val="007A1CF5"/>
    <w:rsid w:val="007A1D13"/>
    <w:rsid w:val="007A1D89"/>
    <w:rsid w:val="007A1D8B"/>
    <w:rsid w:val="007A1D90"/>
    <w:rsid w:val="007A1DAD"/>
    <w:rsid w:val="007A1EF6"/>
    <w:rsid w:val="007A1F3D"/>
    <w:rsid w:val="007A1F61"/>
    <w:rsid w:val="007A2036"/>
    <w:rsid w:val="007A216A"/>
    <w:rsid w:val="007A2266"/>
    <w:rsid w:val="007A22A7"/>
    <w:rsid w:val="007A2351"/>
    <w:rsid w:val="007A238C"/>
    <w:rsid w:val="007A23CC"/>
    <w:rsid w:val="007A241C"/>
    <w:rsid w:val="007A24BE"/>
    <w:rsid w:val="007A25E2"/>
    <w:rsid w:val="007A2622"/>
    <w:rsid w:val="007A2682"/>
    <w:rsid w:val="007A26CF"/>
    <w:rsid w:val="007A271A"/>
    <w:rsid w:val="007A273E"/>
    <w:rsid w:val="007A27A3"/>
    <w:rsid w:val="007A27E0"/>
    <w:rsid w:val="007A27FF"/>
    <w:rsid w:val="007A285F"/>
    <w:rsid w:val="007A28D5"/>
    <w:rsid w:val="007A28E3"/>
    <w:rsid w:val="007A2912"/>
    <w:rsid w:val="007A2928"/>
    <w:rsid w:val="007A295C"/>
    <w:rsid w:val="007A2A1B"/>
    <w:rsid w:val="007A2A25"/>
    <w:rsid w:val="007A2B33"/>
    <w:rsid w:val="007A2B50"/>
    <w:rsid w:val="007A2B6D"/>
    <w:rsid w:val="007A2BCA"/>
    <w:rsid w:val="007A2C98"/>
    <w:rsid w:val="007A2CB4"/>
    <w:rsid w:val="007A2D1F"/>
    <w:rsid w:val="007A2E21"/>
    <w:rsid w:val="007A2E88"/>
    <w:rsid w:val="007A2EE1"/>
    <w:rsid w:val="007A2F71"/>
    <w:rsid w:val="007A2FA9"/>
    <w:rsid w:val="007A2FE3"/>
    <w:rsid w:val="007A3101"/>
    <w:rsid w:val="007A311D"/>
    <w:rsid w:val="007A3132"/>
    <w:rsid w:val="007A31E1"/>
    <w:rsid w:val="007A3238"/>
    <w:rsid w:val="007A336B"/>
    <w:rsid w:val="007A3370"/>
    <w:rsid w:val="007A344F"/>
    <w:rsid w:val="007A3565"/>
    <w:rsid w:val="007A3581"/>
    <w:rsid w:val="007A35E8"/>
    <w:rsid w:val="007A371E"/>
    <w:rsid w:val="007A3739"/>
    <w:rsid w:val="007A37A4"/>
    <w:rsid w:val="007A37C4"/>
    <w:rsid w:val="007A37DD"/>
    <w:rsid w:val="007A38E6"/>
    <w:rsid w:val="007A3978"/>
    <w:rsid w:val="007A3998"/>
    <w:rsid w:val="007A39E0"/>
    <w:rsid w:val="007A3B1C"/>
    <w:rsid w:val="007A3C7B"/>
    <w:rsid w:val="007A3D7D"/>
    <w:rsid w:val="007A3DC2"/>
    <w:rsid w:val="007A3DF3"/>
    <w:rsid w:val="007A3F01"/>
    <w:rsid w:val="007A3F35"/>
    <w:rsid w:val="007A3FD4"/>
    <w:rsid w:val="007A4024"/>
    <w:rsid w:val="007A41CA"/>
    <w:rsid w:val="007A42B8"/>
    <w:rsid w:val="007A42BA"/>
    <w:rsid w:val="007A42C0"/>
    <w:rsid w:val="007A42FD"/>
    <w:rsid w:val="007A432C"/>
    <w:rsid w:val="007A4440"/>
    <w:rsid w:val="007A4474"/>
    <w:rsid w:val="007A44FA"/>
    <w:rsid w:val="007A45BB"/>
    <w:rsid w:val="007A45DD"/>
    <w:rsid w:val="007A464E"/>
    <w:rsid w:val="007A46EF"/>
    <w:rsid w:val="007A46F6"/>
    <w:rsid w:val="007A48EE"/>
    <w:rsid w:val="007A4A5D"/>
    <w:rsid w:val="007A4A64"/>
    <w:rsid w:val="007A4AC2"/>
    <w:rsid w:val="007A4BF9"/>
    <w:rsid w:val="007A4C23"/>
    <w:rsid w:val="007A4E75"/>
    <w:rsid w:val="007A4FB3"/>
    <w:rsid w:val="007A5075"/>
    <w:rsid w:val="007A50AC"/>
    <w:rsid w:val="007A50B2"/>
    <w:rsid w:val="007A50F3"/>
    <w:rsid w:val="007A50F8"/>
    <w:rsid w:val="007A5147"/>
    <w:rsid w:val="007A517D"/>
    <w:rsid w:val="007A5197"/>
    <w:rsid w:val="007A528D"/>
    <w:rsid w:val="007A5294"/>
    <w:rsid w:val="007A52B0"/>
    <w:rsid w:val="007A5373"/>
    <w:rsid w:val="007A54BE"/>
    <w:rsid w:val="007A5558"/>
    <w:rsid w:val="007A555A"/>
    <w:rsid w:val="007A560D"/>
    <w:rsid w:val="007A5764"/>
    <w:rsid w:val="007A5860"/>
    <w:rsid w:val="007A58DF"/>
    <w:rsid w:val="007A595F"/>
    <w:rsid w:val="007A596C"/>
    <w:rsid w:val="007A59D6"/>
    <w:rsid w:val="007A59DE"/>
    <w:rsid w:val="007A5A96"/>
    <w:rsid w:val="007A5B53"/>
    <w:rsid w:val="007A5B8A"/>
    <w:rsid w:val="007A5B95"/>
    <w:rsid w:val="007A5BC7"/>
    <w:rsid w:val="007A5C11"/>
    <w:rsid w:val="007A5CA8"/>
    <w:rsid w:val="007A5CC8"/>
    <w:rsid w:val="007A5CD7"/>
    <w:rsid w:val="007A5DCB"/>
    <w:rsid w:val="007A5E02"/>
    <w:rsid w:val="007A5EF1"/>
    <w:rsid w:val="007A5F08"/>
    <w:rsid w:val="007A5F4C"/>
    <w:rsid w:val="007A5F5F"/>
    <w:rsid w:val="007A6038"/>
    <w:rsid w:val="007A6066"/>
    <w:rsid w:val="007A60F2"/>
    <w:rsid w:val="007A6194"/>
    <w:rsid w:val="007A61DB"/>
    <w:rsid w:val="007A6458"/>
    <w:rsid w:val="007A64BB"/>
    <w:rsid w:val="007A6520"/>
    <w:rsid w:val="007A6554"/>
    <w:rsid w:val="007A65E4"/>
    <w:rsid w:val="007A6619"/>
    <w:rsid w:val="007A6657"/>
    <w:rsid w:val="007A66FA"/>
    <w:rsid w:val="007A6726"/>
    <w:rsid w:val="007A676B"/>
    <w:rsid w:val="007A6776"/>
    <w:rsid w:val="007A6793"/>
    <w:rsid w:val="007A67B5"/>
    <w:rsid w:val="007A681C"/>
    <w:rsid w:val="007A68D4"/>
    <w:rsid w:val="007A6956"/>
    <w:rsid w:val="007A6976"/>
    <w:rsid w:val="007A6991"/>
    <w:rsid w:val="007A69EF"/>
    <w:rsid w:val="007A6B01"/>
    <w:rsid w:val="007A6BF0"/>
    <w:rsid w:val="007A6C2C"/>
    <w:rsid w:val="007A6C4D"/>
    <w:rsid w:val="007A6C5F"/>
    <w:rsid w:val="007A6C78"/>
    <w:rsid w:val="007A6C8E"/>
    <w:rsid w:val="007A6CEC"/>
    <w:rsid w:val="007A6CFE"/>
    <w:rsid w:val="007A6D5E"/>
    <w:rsid w:val="007A6D98"/>
    <w:rsid w:val="007A6EBA"/>
    <w:rsid w:val="007A6F1F"/>
    <w:rsid w:val="007A6FDA"/>
    <w:rsid w:val="007A706A"/>
    <w:rsid w:val="007A70E1"/>
    <w:rsid w:val="007A7143"/>
    <w:rsid w:val="007A7160"/>
    <w:rsid w:val="007A7199"/>
    <w:rsid w:val="007A7202"/>
    <w:rsid w:val="007A7207"/>
    <w:rsid w:val="007A7220"/>
    <w:rsid w:val="007A7239"/>
    <w:rsid w:val="007A7386"/>
    <w:rsid w:val="007A73BA"/>
    <w:rsid w:val="007A7408"/>
    <w:rsid w:val="007A7484"/>
    <w:rsid w:val="007A791E"/>
    <w:rsid w:val="007A79F6"/>
    <w:rsid w:val="007A7A80"/>
    <w:rsid w:val="007A7B93"/>
    <w:rsid w:val="007A7C2A"/>
    <w:rsid w:val="007A7CA4"/>
    <w:rsid w:val="007A7CC8"/>
    <w:rsid w:val="007A7DE4"/>
    <w:rsid w:val="007A7E32"/>
    <w:rsid w:val="007A7E68"/>
    <w:rsid w:val="007A7E81"/>
    <w:rsid w:val="007A7FB6"/>
    <w:rsid w:val="007A7FC8"/>
    <w:rsid w:val="007B0033"/>
    <w:rsid w:val="007B00D5"/>
    <w:rsid w:val="007B013E"/>
    <w:rsid w:val="007B019C"/>
    <w:rsid w:val="007B01B7"/>
    <w:rsid w:val="007B01D9"/>
    <w:rsid w:val="007B01ED"/>
    <w:rsid w:val="007B01FC"/>
    <w:rsid w:val="007B0302"/>
    <w:rsid w:val="007B0367"/>
    <w:rsid w:val="007B04FB"/>
    <w:rsid w:val="007B0632"/>
    <w:rsid w:val="007B06E8"/>
    <w:rsid w:val="007B0711"/>
    <w:rsid w:val="007B0758"/>
    <w:rsid w:val="007B0797"/>
    <w:rsid w:val="007B0830"/>
    <w:rsid w:val="007B0832"/>
    <w:rsid w:val="007B0931"/>
    <w:rsid w:val="007B0A76"/>
    <w:rsid w:val="007B0AE6"/>
    <w:rsid w:val="007B0B4E"/>
    <w:rsid w:val="007B0C5E"/>
    <w:rsid w:val="007B0CEF"/>
    <w:rsid w:val="007B0CF0"/>
    <w:rsid w:val="007B0D18"/>
    <w:rsid w:val="007B0D48"/>
    <w:rsid w:val="007B0D5B"/>
    <w:rsid w:val="007B0E00"/>
    <w:rsid w:val="007B0E33"/>
    <w:rsid w:val="007B0EF4"/>
    <w:rsid w:val="007B0F3F"/>
    <w:rsid w:val="007B10AC"/>
    <w:rsid w:val="007B11F9"/>
    <w:rsid w:val="007B11FE"/>
    <w:rsid w:val="007B1307"/>
    <w:rsid w:val="007B1359"/>
    <w:rsid w:val="007B137A"/>
    <w:rsid w:val="007B143D"/>
    <w:rsid w:val="007B1468"/>
    <w:rsid w:val="007B158A"/>
    <w:rsid w:val="007B1590"/>
    <w:rsid w:val="007B1614"/>
    <w:rsid w:val="007B1629"/>
    <w:rsid w:val="007B1631"/>
    <w:rsid w:val="007B167E"/>
    <w:rsid w:val="007B1740"/>
    <w:rsid w:val="007B1882"/>
    <w:rsid w:val="007B18B3"/>
    <w:rsid w:val="007B19FF"/>
    <w:rsid w:val="007B1A78"/>
    <w:rsid w:val="007B1A98"/>
    <w:rsid w:val="007B1AD6"/>
    <w:rsid w:val="007B1B2E"/>
    <w:rsid w:val="007B1B98"/>
    <w:rsid w:val="007B1CB6"/>
    <w:rsid w:val="007B1D61"/>
    <w:rsid w:val="007B1D8E"/>
    <w:rsid w:val="007B1EDA"/>
    <w:rsid w:val="007B1F20"/>
    <w:rsid w:val="007B1F6E"/>
    <w:rsid w:val="007B1FA4"/>
    <w:rsid w:val="007B1FB8"/>
    <w:rsid w:val="007B208D"/>
    <w:rsid w:val="007B2183"/>
    <w:rsid w:val="007B2279"/>
    <w:rsid w:val="007B22AA"/>
    <w:rsid w:val="007B245C"/>
    <w:rsid w:val="007B2778"/>
    <w:rsid w:val="007B2830"/>
    <w:rsid w:val="007B2868"/>
    <w:rsid w:val="007B2999"/>
    <w:rsid w:val="007B299E"/>
    <w:rsid w:val="007B29C4"/>
    <w:rsid w:val="007B29DA"/>
    <w:rsid w:val="007B2A00"/>
    <w:rsid w:val="007B2AC5"/>
    <w:rsid w:val="007B2AF6"/>
    <w:rsid w:val="007B2B15"/>
    <w:rsid w:val="007B2B22"/>
    <w:rsid w:val="007B2C45"/>
    <w:rsid w:val="007B2CA5"/>
    <w:rsid w:val="007B2CC0"/>
    <w:rsid w:val="007B2DA0"/>
    <w:rsid w:val="007B2DC9"/>
    <w:rsid w:val="007B300C"/>
    <w:rsid w:val="007B30C6"/>
    <w:rsid w:val="007B30ED"/>
    <w:rsid w:val="007B31B0"/>
    <w:rsid w:val="007B325F"/>
    <w:rsid w:val="007B32B6"/>
    <w:rsid w:val="007B3338"/>
    <w:rsid w:val="007B33C9"/>
    <w:rsid w:val="007B3414"/>
    <w:rsid w:val="007B352E"/>
    <w:rsid w:val="007B3540"/>
    <w:rsid w:val="007B35D4"/>
    <w:rsid w:val="007B36D0"/>
    <w:rsid w:val="007B3777"/>
    <w:rsid w:val="007B37DB"/>
    <w:rsid w:val="007B37DF"/>
    <w:rsid w:val="007B393B"/>
    <w:rsid w:val="007B39C1"/>
    <w:rsid w:val="007B39C2"/>
    <w:rsid w:val="007B39E7"/>
    <w:rsid w:val="007B39E8"/>
    <w:rsid w:val="007B3A9C"/>
    <w:rsid w:val="007B3AB0"/>
    <w:rsid w:val="007B3B9F"/>
    <w:rsid w:val="007B3BCD"/>
    <w:rsid w:val="007B3D74"/>
    <w:rsid w:val="007B3F00"/>
    <w:rsid w:val="007B3F73"/>
    <w:rsid w:val="007B4020"/>
    <w:rsid w:val="007B4096"/>
    <w:rsid w:val="007B40B2"/>
    <w:rsid w:val="007B4223"/>
    <w:rsid w:val="007B4262"/>
    <w:rsid w:val="007B426F"/>
    <w:rsid w:val="007B42D4"/>
    <w:rsid w:val="007B431E"/>
    <w:rsid w:val="007B4339"/>
    <w:rsid w:val="007B43AA"/>
    <w:rsid w:val="007B43B9"/>
    <w:rsid w:val="007B44C2"/>
    <w:rsid w:val="007B458D"/>
    <w:rsid w:val="007B4636"/>
    <w:rsid w:val="007B4712"/>
    <w:rsid w:val="007B478A"/>
    <w:rsid w:val="007B4835"/>
    <w:rsid w:val="007B484F"/>
    <w:rsid w:val="007B4971"/>
    <w:rsid w:val="007B49BF"/>
    <w:rsid w:val="007B4A20"/>
    <w:rsid w:val="007B4B4A"/>
    <w:rsid w:val="007B4DAD"/>
    <w:rsid w:val="007B4E38"/>
    <w:rsid w:val="007B4FB8"/>
    <w:rsid w:val="007B4FD6"/>
    <w:rsid w:val="007B5023"/>
    <w:rsid w:val="007B50A2"/>
    <w:rsid w:val="007B5152"/>
    <w:rsid w:val="007B518A"/>
    <w:rsid w:val="007B5296"/>
    <w:rsid w:val="007B52DF"/>
    <w:rsid w:val="007B549F"/>
    <w:rsid w:val="007B556B"/>
    <w:rsid w:val="007B55A5"/>
    <w:rsid w:val="007B55CA"/>
    <w:rsid w:val="007B562B"/>
    <w:rsid w:val="007B5691"/>
    <w:rsid w:val="007B5734"/>
    <w:rsid w:val="007B5781"/>
    <w:rsid w:val="007B588B"/>
    <w:rsid w:val="007B58CD"/>
    <w:rsid w:val="007B5A1A"/>
    <w:rsid w:val="007B5B55"/>
    <w:rsid w:val="007B5BC7"/>
    <w:rsid w:val="007B5BCE"/>
    <w:rsid w:val="007B5C08"/>
    <w:rsid w:val="007B5C90"/>
    <w:rsid w:val="007B5CBE"/>
    <w:rsid w:val="007B5D11"/>
    <w:rsid w:val="007B5D3C"/>
    <w:rsid w:val="007B5DC7"/>
    <w:rsid w:val="007B5DE5"/>
    <w:rsid w:val="007B5EDA"/>
    <w:rsid w:val="007B5EDF"/>
    <w:rsid w:val="007B5F5D"/>
    <w:rsid w:val="007B5F89"/>
    <w:rsid w:val="007B6006"/>
    <w:rsid w:val="007B6119"/>
    <w:rsid w:val="007B6164"/>
    <w:rsid w:val="007B61A2"/>
    <w:rsid w:val="007B61B2"/>
    <w:rsid w:val="007B623C"/>
    <w:rsid w:val="007B627F"/>
    <w:rsid w:val="007B63FC"/>
    <w:rsid w:val="007B643A"/>
    <w:rsid w:val="007B644F"/>
    <w:rsid w:val="007B647E"/>
    <w:rsid w:val="007B64EC"/>
    <w:rsid w:val="007B669A"/>
    <w:rsid w:val="007B673F"/>
    <w:rsid w:val="007B6793"/>
    <w:rsid w:val="007B67B1"/>
    <w:rsid w:val="007B67B2"/>
    <w:rsid w:val="007B6844"/>
    <w:rsid w:val="007B6945"/>
    <w:rsid w:val="007B695E"/>
    <w:rsid w:val="007B6967"/>
    <w:rsid w:val="007B69EB"/>
    <w:rsid w:val="007B6A6D"/>
    <w:rsid w:val="007B6A88"/>
    <w:rsid w:val="007B6A92"/>
    <w:rsid w:val="007B6ABE"/>
    <w:rsid w:val="007B6B9F"/>
    <w:rsid w:val="007B6BD2"/>
    <w:rsid w:val="007B6BE7"/>
    <w:rsid w:val="007B6C76"/>
    <w:rsid w:val="007B6D29"/>
    <w:rsid w:val="007B6D42"/>
    <w:rsid w:val="007B6D9E"/>
    <w:rsid w:val="007B6DCA"/>
    <w:rsid w:val="007B6DE9"/>
    <w:rsid w:val="007B6E55"/>
    <w:rsid w:val="007B6ED1"/>
    <w:rsid w:val="007B6F9E"/>
    <w:rsid w:val="007B6FBB"/>
    <w:rsid w:val="007B700F"/>
    <w:rsid w:val="007B7064"/>
    <w:rsid w:val="007B70AB"/>
    <w:rsid w:val="007B7147"/>
    <w:rsid w:val="007B714F"/>
    <w:rsid w:val="007B7182"/>
    <w:rsid w:val="007B71F4"/>
    <w:rsid w:val="007B721A"/>
    <w:rsid w:val="007B7231"/>
    <w:rsid w:val="007B7295"/>
    <w:rsid w:val="007B72C4"/>
    <w:rsid w:val="007B72C8"/>
    <w:rsid w:val="007B72F9"/>
    <w:rsid w:val="007B72FD"/>
    <w:rsid w:val="007B7365"/>
    <w:rsid w:val="007B7390"/>
    <w:rsid w:val="007B73FD"/>
    <w:rsid w:val="007B7408"/>
    <w:rsid w:val="007B741D"/>
    <w:rsid w:val="007B7481"/>
    <w:rsid w:val="007B74A0"/>
    <w:rsid w:val="007B7556"/>
    <w:rsid w:val="007B75C3"/>
    <w:rsid w:val="007B75E3"/>
    <w:rsid w:val="007B765B"/>
    <w:rsid w:val="007B778A"/>
    <w:rsid w:val="007B77A5"/>
    <w:rsid w:val="007B783E"/>
    <w:rsid w:val="007B78BA"/>
    <w:rsid w:val="007B78C9"/>
    <w:rsid w:val="007B798B"/>
    <w:rsid w:val="007B7A18"/>
    <w:rsid w:val="007B7A25"/>
    <w:rsid w:val="007B7AE1"/>
    <w:rsid w:val="007B7B14"/>
    <w:rsid w:val="007B7B2E"/>
    <w:rsid w:val="007B7B5F"/>
    <w:rsid w:val="007B7B96"/>
    <w:rsid w:val="007B7BC4"/>
    <w:rsid w:val="007B7BCB"/>
    <w:rsid w:val="007B7C1F"/>
    <w:rsid w:val="007B7CE5"/>
    <w:rsid w:val="007B7D09"/>
    <w:rsid w:val="007B7D8D"/>
    <w:rsid w:val="007B7E71"/>
    <w:rsid w:val="007B7EA1"/>
    <w:rsid w:val="007B7F26"/>
    <w:rsid w:val="007B7FCB"/>
    <w:rsid w:val="007B7FE8"/>
    <w:rsid w:val="007C0005"/>
    <w:rsid w:val="007C0052"/>
    <w:rsid w:val="007C017D"/>
    <w:rsid w:val="007C02D0"/>
    <w:rsid w:val="007C04D7"/>
    <w:rsid w:val="007C065F"/>
    <w:rsid w:val="007C06DC"/>
    <w:rsid w:val="007C06F1"/>
    <w:rsid w:val="007C06FC"/>
    <w:rsid w:val="007C0851"/>
    <w:rsid w:val="007C08F2"/>
    <w:rsid w:val="007C09EA"/>
    <w:rsid w:val="007C09EE"/>
    <w:rsid w:val="007C0A03"/>
    <w:rsid w:val="007C0AB8"/>
    <w:rsid w:val="007C0B2C"/>
    <w:rsid w:val="007C0B6D"/>
    <w:rsid w:val="007C0BBF"/>
    <w:rsid w:val="007C0BD6"/>
    <w:rsid w:val="007C0C48"/>
    <w:rsid w:val="007C0C5F"/>
    <w:rsid w:val="007C0C69"/>
    <w:rsid w:val="007C0C99"/>
    <w:rsid w:val="007C0CB0"/>
    <w:rsid w:val="007C0CDE"/>
    <w:rsid w:val="007C0D41"/>
    <w:rsid w:val="007C0ED1"/>
    <w:rsid w:val="007C0EE3"/>
    <w:rsid w:val="007C0FE6"/>
    <w:rsid w:val="007C1017"/>
    <w:rsid w:val="007C1030"/>
    <w:rsid w:val="007C10C4"/>
    <w:rsid w:val="007C10D2"/>
    <w:rsid w:val="007C1111"/>
    <w:rsid w:val="007C11DA"/>
    <w:rsid w:val="007C1200"/>
    <w:rsid w:val="007C124D"/>
    <w:rsid w:val="007C1283"/>
    <w:rsid w:val="007C136F"/>
    <w:rsid w:val="007C1402"/>
    <w:rsid w:val="007C1487"/>
    <w:rsid w:val="007C15BA"/>
    <w:rsid w:val="007C15EA"/>
    <w:rsid w:val="007C162B"/>
    <w:rsid w:val="007C1630"/>
    <w:rsid w:val="007C1700"/>
    <w:rsid w:val="007C184C"/>
    <w:rsid w:val="007C185F"/>
    <w:rsid w:val="007C187C"/>
    <w:rsid w:val="007C18A1"/>
    <w:rsid w:val="007C19D5"/>
    <w:rsid w:val="007C1A42"/>
    <w:rsid w:val="007C1B68"/>
    <w:rsid w:val="007C1BC9"/>
    <w:rsid w:val="007C1BED"/>
    <w:rsid w:val="007C1C44"/>
    <w:rsid w:val="007C1CB3"/>
    <w:rsid w:val="007C1DFB"/>
    <w:rsid w:val="007C1E2B"/>
    <w:rsid w:val="007C1E4C"/>
    <w:rsid w:val="007C1E50"/>
    <w:rsid w:val="007C1E54"/>
    <w:rsid w:val="007C1EEC"/>
    <w:rsid w:val="007C1F5C"/>
    <w:rsid w:val="007C1F81"/>
    <w:rsid w:val="007C1F89"/>
    <w:rsid w:val="007C1FA7"/>
    <w:rsid w:val="007C1FEA"/>
    <w:rsid w:val="007C2027"/>
    <w:rsid w:val="007C202F"/>
    <w:rsid w:val="007C20BD"/>
    <w:rsid w:val="007C20E8"/>
    <w:rsid w:val="007C2225"/>
    <w:rsid w:val="007C22D4"/>
    <w:rsid w:val="007C22E1"/>
    <w:rsid w:val="007C22F9"/>
    <w:rsid w:val="007C23E7"/>
    <w:rsid w:val="007C2498"/>
    <w:rsid w:val="007C24AC"/>
    <w:rsid w:val="007C24C2"/>
    <w:rsid w:val="007C2551"/>
    <w:rsid w:val="007C2556"/>
    <w:rsid w:val="007C255D"/>
    <w:rsid w:val="007C2563"/>
    <w:rsid w:val="007C257A"/>
    <w:rsid w:val="007C2583"/>
    <w:rsid w:val="007C25A0"/>
    <w:rsid w:val="007C25A2"/>
    <w:rsid w:val="007C2602"/>
    <w:rsid w:val="007C2648"/>
    <w:rsid w:val="007C26B7"/>
    <w:rsid w:val="007C27A5"/>
    <w:rsid w:val="007C28DA"/>
    <w:rsid w:val="007C29BC"/>
    <w:rsid w:val="007C29D6"/>
    <w:rsid w:val="007C2B04"/>
    <w:rsid w:val="007C2C20"/>
    <w:rsid w:val="007C2C48"/>
    <w:rsid w:val="007C2C9E"/>
    <w:rsid w:val="007C2CA8"/>
    <w:rsid w:val="007C2D02"/>
    <w:rsid w:val="007C2DC2"/>
    <w:rsid w:val="007C2E16"/>
    <w:rsid w:val="007C2EBA"/>
    <w:rsid w:val="007C2F59"/>
    <w:rsid w:val="007C2F69"/>
    <w:rsid w:val="007C2FF8"/>
    <w:rsid w:val="007C302C"/>
    <w:rsid w:val="007C30A6"/>
    <w:rsid w:val="007C31D3"/>
    <w:rsid w:val="007C31D9"/>
    <w:rsid w:val="007C3206"/>
    <w:rsid w:val="007C322C"/>
    <w:rsid w:val="007C32A5"/>
    <w:rsid w:val="007C33F2"/>
    <w:rsid w:val="007C3404"/>
    <w:rsid w:val="007C34B3"/>
    <w:rsid w:val="007C3584"/>
    <w:rsid w:val="007C3602"/>
    <w:rsid w:val="007C366F"/>
    <w:rsid w:val="007C37B1"/>
    <w:rsid w:val="007C3823"/>
    <w:rsid w:val="007C383F"/>
    <w:rsid w:val="007C3921"/>
    <w:rsid w:val="007C3A15"/>
    <w:rsid w:val="007C3B8C"/>
    <w:rsid w:val="007C3BE5"/>
    <w:rsid w:val="007C3DF5"/>
    <w:rsid w:val="007C3E09"/>
    <w:rsid w:val="007C3F2E"/>
    <w:rsid w:val="007C3F48"/>
    <w:rsid w:val="007C3F8B"/>
    <w:rsid w:val="007C3F9F"/>
    <w:rsid w:val="007C3FC1"/>
    <w:rsid w:val="007C4004"/>
    <w:rsid w:val="007C4035"/>
    <w:rsid w:val="007C4058"/>
    <w:rsid w:val="007C40AF"/>
    <w:rsid w:val="007C419E"/>
    <w:rsid w:val="007C4201"/>
    <w:rsid w:val="007C424D"/>
    <w:rsid w:val="007C425F"/>
    <w:rsid w:val="007C426D"/>
    <w:rsid w:val="007C42C1"/>
    <w:rsid w:val="007C42FB"/>
    <w:rsid w:val="007C440B"/>
    <w:rsid w:val="007C4418"/>
    <w:rsid w:val="007C44F5"/>
    <w:rsid w:val="007C44FA"/>
    <w:rsid w:val="007C45CB"/>
    <w:rsid w:val="007C45D5"/>
    <w:rsid w:val="007C4610"/>
    <w:rsid w:val="007C4674"/>
    <w:rsid w:val="007C4675"/>
    <w:rsid w:val="007C46F6"/>
    <w:rsid w:val="007C47CB"/>
    <w:rsid w:val="007C481A"/>
    <w:rsid w:val="007C4862"/>
    <w:rsid w:val="007C4935"/>
    <w:rsid w:val="007C4970"/>
    <w:rsid w:val="007C49CA"/>
    <w:rsid w:val="007C4AF7"/>
    <w:rsid w:val="007C4BDF"/>
    <w:rsid w:val="007C4BE2"/>
    <w:rsid w:val="007C4BFB"/>
    <w:rsid w:val="007C4C15"/>
    <w:rsid w:val="007C4D34"/>
    <w:rsid w:val="007C4DD6"/>
    <w:rsid w:val="007C4EAE"/>
    <w:rsid w:val="007C4F12"/>
    <w:rsid w:val="007C4FCA"/>
    <w:rsid w:val="007C5078"/>
    <w:rsid w:val="007C5129"/>
    <w:rsid w:val="007C523A"/>
    <w:rsid w:val="007C5358"/>
    <w:rsid w:val="007C5380"/>
    <w:rsid w:val="007C5585"/>
    <w:rsid w:val="007C55D9"/>
    <w:rsid w:val="007C560B"/>
    <w:rsid w:val="007C569A"/>
    <w:rsid w:val="007C56DE"/>
    <w:rsid w:val="007C580B"/>
    <w:rsid w:val="007C58F8"/>
    <w:rsid w:val="007C5A14"/>
    <w:rsid w:val="007C5AB2"/>
    <w:rsid w:val="007C5AEA"/>
    <w:rsid w:val="007C5B57"/>
    <w:rsid w:val="007C5C24"/>
    <w:rsid w:val="007C5C26"/>
    <w:rsid w:val="007C5C36"/>
    <w:rsid w:val="007C5CBB"/>
    <w:rsid w:val="007C5CDA"/>
    <w:rsid w:val="007C5CEC"/>
    <w:rsid w:val="007C5D85"/>
    <w:rsid w:val="007C5E30"/>
    <w:rsid w:val="007C5E8F"/>
    <w:rsid w:val="007C5F21"/>
    <w:rsid w:val="007C5FBA"/>
    <w:rsid w:val="007C5FD2"/>
    <w:rsid w:val="007C6013"/>
    <w:rsid w:val="007C60AE"/>
    <w:rsid w:val="007C60D2"/>
    <w:rsid w:val="007C6119"/>
    <w:rsid w:val="007C626D"/>
    <w:rsid w:val="007C6412"/>
    <w:rsid w:val="007C64F2"/>
    <w:rsid w:val="007C659B"/>
    <w:rsid w:val="007C6670"/>
    <w:rsid w:val="007C66E1"/>
    <w:rsid w:val="007C6796"/>
    <w:rsid w:val="007C6838"/>
    <w:rsid w:val="007C688B"/>
    <w:rsid w:val="007C688E"/>
    <w:rsid w:val="007C68F0"/>
    <w:rsid w:val="007C695E"/>
    <w:rsid w:val="007C69CD"/>
    <w:rsid w:val="007C6A34"/>
    <w:rsid w:val="007C6D28"/>
    <w:rsid w:val="007C6E52"/>
    <w:rsid w:val="007C6E53"/>
    <w:rsid w:val="007C6F0F"/>
    <w:rsid w:val="007C6F3D"/>
    <w:rsid w:val="007C6FA1"/>
    <w:rsid w:val="007C706B"/>
    <w:rsid w:val="007C707D"/>
    <w:rsid w:val="007C709A"/>
    <w:rsid w:val="007C711A"/>
    <w:rsid w:val="007C7165"/>
    <w:rsid w:val="007C71F8"/>
    <w:rsid w:val="007C7232"/>
    <w:rsid w:val="007C7241"/>
    <w:rsid w:val="007C7267"/>
    <w:rsid w:val="007C7360"/>
    <w:rsid w:val="007C7507"/>
    <w:rsid w:val="007C752B"/>
    <w:rsid w:val="007C7550"/>
    <w:rsid w:val="007C7606"/>
    <w:rsid w:val="007C763B"/>
    <w:rsid w:val="007C7678"/>
    <w:rsid w:val="007C77A4"/>
    <w:rsid w:val="007C7986"/>
    <w:rsid w:val="007C7990"/>
    <w:rsid w:val="007C79F8"/>
    <w:rsid w:val="007C7A10"/>
    <w:rsid w:val="007C7A3F"/>
    <w:rsid w:val="007C7AD6"/>
    <w:rsid w:val="007C7B15"/>
    <w:rsid w:val="007C7C63"/>
    <w:rsid w:val="007C7CBD"/>
    <w:rsid w:val="007C7CC6"/>
    <w:rsid w:val="007C7D80"/>
    <w:rsid w:val="007C7DBF"/>
    <w:rsid w:val="007C7E71"/>
    <w:rsid w:val="007C7EB4"/>
    <w:rsid w:val="007C7EED"/>
    <w:rsid w:val="007C7F04"/>
    <w:rsid w:val="007C7F11"/>
    <w:rsid w:val="007C7F6C"/>
    <w:rsid w:val="007C7F8B"/>
    <w:rsid w:val="007C7FC6"/>
    <w:rsid w:val="007D0035"/>
    <w:rsid w:val="007D007B"/>
    <w:rsid w:val="007D010A"/>
    <w:rsid w:val="007D0208"/>
    <w:rsid w:val="007D0216"/>
    <w:rsid w:val="007D0245"/>
    <w:rsid w:val="007D0268"/>
    <w:rsid w:val="007D029B"/>
    <w:rsid w:val="007D02E5"/>
    <w:rsid w:val="007D032C"/>
    <w:rsid w:val="007D0349"/>
    <w:rsid w:val="007D0455"/>
    <w:rsid w:val="007D058E"/>
    <w:rsid w:val="007D0657"/>
    <w:rsid w:val="007D065D"/>
    <w:rsid w:val="007D06A5"/>
    <w:rsid w:val="007D06F4"/>
    <w:rsid w:val="007D0745"/>
    <w:rsid w:val="007D074C"/>
    <w:rsid w:val="007D075D"/>
    <w:rsid w:val="007D076C"/>
    <w:rsid w:val="007D07C6"/>
    <w:rsid w:val="007D0991"/>
    <w:rsid w:val="007D09E5"/>
    <w:rsid w:val="007D09F1"/>
    <w:rsid w:val="007D0A50"/>
    <w:rsid w:val="007D0A6B"/>
    <w:rsid w:val="007D0AB7"/>
    <w:rsid w:val="007D0AC3"/>
    <w:rsid w:val="007D0C00"/>
    <w:rsid w:val="007D0C19"/>
    <w:rsid w:val="007D0C23"/>
    <w:rsid w:val="007D0C81"/>
    <w:rsid w:val="007D0DBD"/>
    <w:rsid w:val="007D0DBE"/>
    <w:rsid w:val="007D0DE3"/>
    <w:rsid w:val="007D0DEF"/>
    <w:rsid w:val="007D1155"/>
    <w:rsid w:val="007D11EB"/>
    <w:rsid w:val="007D124C"/>
    <w:rsid w:val="007D1308"/>
    <w:rsid w:val="007D133D"/>
    <w:rsid w:val="007D1375"/>
    <w:rsid w:val="007D1378"/>
    <w:rsid w:val="007D13D9"/>
    <w:rsid w:val="007D13F2"/>
    <w:rsid w:val="007D1407"/>
    <w:rsid w:val="007D1446"/>
    <w:rsid w:val="007D1467"/>
    <w:rsid w:val="007D14FD"/>
    <w:rsid w:val="007D1503"/>
    <w:rsid w:val="007D15BC"/>
    <w:rsid w:val="007D16BA"/>
    <w:rsid w:val="007D1707"/>
    <w:rsid w:val="007D1A49"/>
    <w:rsid w:val="007D1AF4"/>
    <w:rsid w:val="007D1B10"/>
    <w:rsid w:val="007D1C4E"/>
    <w:rsid w:val="007D1CB9"/>
    <w:rsid w:val="007D1D2B"/>
    <w:rsid w:val="007D1F98"/>
    <w:rsid w:val="007D1FAE"/>
    <w:rsid w:val="007D2042"/>
    <w:rsid w:val="007D215E"/>
    <w:rsid w:val="007D217B"/>
    <w:rsid w:val="007D217D"/>
    <w:rsid w:val="007D22C0"/>
    <w:rsid w:val="007D22E4"/>
    <w:rsid w:val="007D247A"/>
    <w:rsid w:val="007D2499"/>
    <w:rsid w:val="007D25ED"/>
    <w:rsid w:val="007D26F4"/>
    <w:rsid w:val="007D2716"/>
    <w:rsid w:val="007D2717"/>
    <w:rsid w:val="007D273D"/>
    <w:rsid w:val="007D275A"/>
    <w:rsid w:val="007D279B"/>
    <w:rsid w:val="007D27AE"/>
    <w:rsid w:val="007D27DB"/>
    <w:rsid w:val="007D282F"/>
    <w:rsid w:val="007D28BC"/>
    <w:rsid w:val="007D28D9"/>
    <w:rsid w:val="007D2908"/>
    <w:rsid w:val="007D2920"/>
    <w:rsid w:val="007D2AE1"/>
    <w:rsid w:val="007D2AFB"/>
    <w:rsid w:val="007D2B01"/>
    <w:rsid w:val="007D2BC6"/>
    <w:rsid w:val="007D2C87"/>
    <w:rsid w:val="007D2DFC"/>
    <w:rsid w:val="007D2EDA"/>
    <w:rsid w:val="007D2FAE"/>
    <w:rsid w:val="007D2FBC"/>
    <w:rsid w:val="007D3001"/>
    <w:rsid w:val="007D3053"/>
    <w:rsid w:val="007D3141"/>
    <w:rsid w:val="007D3153"/>
    <w:rsid w:val="007D3272"/>
    <w:rsid w:val="007D3301"/>
    <w:rsid w:val="007D332E"/>
    <w:rsid w:val="007D3382"/>
    <w:rsid w:val="007D34C0"/>
    <w:rsid w:val="007D3514"/>
    <w:rsid w:val="007D35CD"/>
    <w:rsid w:val="007D366F"/>
    <w:rsid w:val="007D36A0"/>
    <w:rsid w:val="007D36AC"/>
    <w:rsid w:val="007D380A"/>
    <w:rsid w:val="007D386F"/>
    <w:rsid w:val="007D38F3"/>
    <w:rsid w:val="007D39FD"/>
    <w:rsid w:val="007D3AB6"/>
    <w:rsid w:val="007D3B62"/>
    <w:rsid w:val="007D3B7E"/>
    <w:rsid w:val="007D3C73"/>
    <w:rsid w:val="007D3CBB"/>
    <w:rsid w:val="007D3D17"/>
    <w:rsid w:val="007D3D81"/>
    <w:rsid w:val="007D3DF9"/>
    <w:rsid w:val="007D3E86"/>
    <w:rsid w:val="007D3E8D"/>
    <w:rsid w:val="007D3EDE"/>
    <w:rsid w:val="007D3F5C"/>
    <w:rsid w:val="007D3F69"/>
    <w:rsid w:val="007D3FB1"/>
    <w:rsid w:val="007D3FEF"/>
    <w:rsid w:val="007D4023"/>
    <w:rsid w:val="007D4042"/>
    <w:rsid w:val="007D4080"/>
    <w:rsid w:val="007D40A1"/>
    <w:rsid w:val="007D40A3"/>
    <w:rsid w:val="007D40FD"/>
    <w:rsid w:val="007D4115"/>
    <w:rsid w:val="007D4238"/>
    <w:rsid w:val="007D4277"/>
    <w:rsid w:val="007D42B3"/>
    <w:rsid w:val="007D4307"/>
    <w:rsid w:val="007D4340"/>
    <w:rsid w:val="007D43D3"/>
    <w:rsid w:val="007D43EB"/>
    <w:rsid w:val="007D43F0"/>
    <w:rsid w:val="007D4459"/>
    <w:rsid w:val="007D44A5"/>
    <w:rsid w:val="007D44B0"/>
    <w:rsid w:val="007D44E2"/>
    <w:rsid w:val="007D4519"/>
    <w:rsid w:val="007D45FA"/>
    <w:rsid w:val="007D468A"/>
    <w:rsid w:val="007D4824"/>
    <w:rsid w:val="007D482C"/>
    <w:rsid w:val="007D4915"/>
    <w:rsid w:val="007D4974"/>
    <w:rsid w:val="007D4995"/>
    <w:rsid w:val="007D499F"/>
    <w:rsid w:val="007D4B33"/>
    <w:rsid w:val="007D4B34"/>
    <w:rsid w:val="007D4BC3"/>
    <w:rsid w:val="007D4BD0"/>
    <w:rsid w:val="007D4C08"/>
    <w:rsid w:val="007D4C1B"/>
    <w:rsid w:val="007D4CF5"/>
    <w:rsid w:val="007D4D15"/>
    <w:rsid w:val="007D4D7C"/>
    <w:rsid w:val="007D4EB3"/>
    <w:rsid w:val="007D4EC7"/>
    <w:rsid w:val="007D4EDC"/>
    <w:rsid w:val="007D4FC2"/>
    <w:rsid w:val="007D5013"/>
    <w:rsid w:val="007D50E7"/>
    <w:rsid w:val="007D5131"/>
    <w:rsid w:val="007D5251"/>
    <w:rsid w:val="007D52AE"/>
    <w:rsid w:val="007D52B0"/>
    <w:rsid w:val="007D52C0"/>
    <w:rsid w:val="007D537E"/>
    <w:rsid w:val="007D53FE"/>
    <w:rsid w:val="007D5444"/>
    <w:rsid w:val="007D5496"/>
    <w:rsid w:val="007D54DA"/>
    <w:rsid w:val="007D5532"/>
    <w:rsid w:val="007D5534"/>
    <w:rsid w:val="007D55AF"/>
    <w:rsid w:val="007D55CC"/>
    <w:rsid w:val="007D55EC"/>
    <w:rsid w:val="007D5624"/>
    <w:rsid w:val="007D5651"/>
    <w:rsid w:val="007D56B5"/>
    <w:rsid w:val="007D56C5"/>
    <w:rsid w:val="007D56E4"/>
    <w:rsid w:val="007D57F3"/>
    <w:rsid w:val="007D58F0"/>
    <w:rsid w:val="007D5942"/>
    <w:rsid w:val="007D59D6"/>
    <w:rsid w:val="007D59FE"/>
    <w:rsid w:val="007D5A6C"/>
    <w:rsid w:val="007D5AB1"/>
    <w:rsid w:val="007D5AE3"/>
    <w:rsid w:val="007D5AE4"/>
    <w:rsid w:val="007D5BEF"/>
    <w:rsid w:val="007D5C83"/>
    <w:rsid w:val="007D5D73"/>
    <w:rsid w:val="007D5DDE"/>
    <w:rsid w:val="007D5DE4"/>
    <w:rsid w:val="007D5E1B"/>
    <w:rsid w:val="007D5E95"/>
    <w:rsid w:val="007D5EEF"/>
    <w:rsid w:val="007D5F58"/>
    <w:rsid w:val="007D603C"/>
    <w:rsid w:val="007D61E4"/>
    <w:rsid w:val="007D622B"/>
    <w:rsid w:val="007D6232"/>
    <w:rsid w:val="007D628B"/>
    <w:rsid w:val="007D6338"/>
    <w:rsid w:val="007D6389"/>
    <w:rsid w:val="007D641B"/>
    <w:rsid w:val="007D641F"/>
    <w:rsid w:val="007D6438"/>
    <w:rsid w:val="007D643A"/>
    <w:rsid w:val="007D645C"/>
    <w:rsid w:val="007D648A"/>
    <w:rsid w:val="007D6518"/>
    <w:rsid w:val="007D652D"/>
    <w:rsid w:val="007D65EC"/>
    <w:rsid w:val="007D6630"/>
    <w:rsid w:val="007D6681"/>
    <w:rsid w:val="007D66CE"/>
    <w:rsid w:val="007D68BC"/>
    <w:rsid w:val="007D68D9"/>
    <w:rsid w:val="007D691C"/>
    <w:rsid w:val="007D696B"/>
    <w:rsid w:val="007D696C"/>
    <w:rsid w:val="007D6C3F"/>
    <w:rsid w:val="007D6CCA"/>
    <w:rsid w:val="007D6D7B"/>
    <w:rsid w:val="007D6DAB"/>
    <w:rsid w:val="007D6E56"/>
    <w:rsid w:val="007D7061"/>
    <w:rsid w:val="007D710B"/>
    <w:rsid w:val="007D7164"/>
    <w:rsid w:val="007D716F"/>
    <w:rsid w:val="007D722C"/>
    <w:rsid w:val="007D72B3"/>
    <w:rsid w:val="007D72D2"/>
    <w:rsid w:val="007D72D5"/>
    <w:rsid w:val="007D7396"/>
    <w:rsid w:val="007D73B1"/>
    <w:rsid w:val="007D742A"/>
    <w:rsid w:val="007D747E"/>
    <w:rsid w:val="007D74C6"/>
    <w:rsid w:val="007D7584"/>
    <w:rsid w:val="007D75D8"/>
    <w:rsid w:val="007D76B3"/>
    <w:rsid w:val="007D7730"/>
    <w:rsid w:val="007D7857"/>
    <w:rsid w:val="007D78B1"/>
    <w:rsid w:val="007D78B7"/>
    <w:rsid w:val="007D78C9"/>
    <w:rsid w:val="007D7991"/>
    <w:rsid w:val="007D79FB"/>
    <w:rsid w:val="007D7A58"/>
    <w:rsid w:val="007D7A9E"/>
    <w:rsid w:val="007D7AED"/>
    <w:rsid w:val="007D7B44"/>
    <w:rsid w:val="007D7B57"/>
    <w:rsid w:val="007D7B7D"/>
    <w:rsid w:val="007D7D31"/>
    <w:rsid w:val="007D7E22"/>
    <w:rsid w:val="007D7EE6"/>
    <w:rsid w:val="007D7F2B"/>
    <w:rsid w:val="007D7F39"/>
    <w:rsid w:val="007E004E"/>
    <w:rsid w:val="007E005D"/>
    <w:rsid w:val="007E00F6"/>
    <w:rsid w:val="007E0101"/>
    <w:rsid w:val="007E016B"/>
    <w:rsid w:val="007E01E0"/>
    <w:rsid w:val="007E022D"/>
    <w:rsid w:val="007E022E"/>
    <w:rsid w:val="007E0243"/>
    <w:rsid w:val="007E0317"/>
    <w:rsid w:val="007E044B"/>
    <w:rsid w:val="007E0530"/>
    <w:rsid w:val="007E0535"/>
    <w:rsid w:val="007E05D5"/>
    <w:rsid w:val="007E06C2"/>
    <w:rsid w:val="007E06E7"/>
    <w:rsid w:val="007E06F5"/>
    <w:rsid w:val="007E0732"/>
    <w:rsid w:val="007E07BB"/>
    <w:rsid w:val="007E0948"/>
    <w:rsid w:val="007E09B1"/>
    <w:rsid w:val="007E0AD1"/>
    <w:rsid w:val="007E0B62"/>
    <w:rsid w:val="007E0B78"/>
    <w:rsid w:val="007E0C3F"/>
    <w:rsid w:val="007E0D61"/>
    <w:rsid w:val="007E0DF7"/>
    <w:rsid w:val="007E0E1D"/>
    <w:rsid w:val="007E0E56"/>
    <w:rsid w:val="007E0EDE"/>
    <w:rsid w:val="007E0F42"/>
    <w:rsid w:val="007E0F79"/>
    <w:rsid w:val="007E1011"/>
    <w:rsid w:val="007E1017"/>
    <w:rsid w:val="007E1027"/>
    <w:rsid w:val="007E104B"/>
    <w:rsid w:val="007E115E"/>
    <w:rsid w:val="007E119C"/>
    <w:rsid w:val="007E12A4"/>
    <w:rsid w:val="007E12F2"/>
    <w:rsid w:val="007E131A"/>
    <w:rsid w:val="007E1333"/>
    <w:rsid w:val="007E133A"/>
    <w:rsid w:val="007E138B"/>
    <w:rsid w:val="007E13D1"/>
    <w:rsid w:val="007E14FC"/>
    <w:rsid w:val="007E1525"/>
    <w:rsid w:val="007E1586"/>
    <w:rsid w:val="007E159E"/>
    <w:rsid w:val="007E15E6"/>
    <w:rsid w:val="007E1600"/>
    <w:rsid w:val="007E160C"/>
    <w:rsid w:val="007E17A5"/>
    <w:rsid w:val="007E1805"/>
    <w:rsid w:val="007E18B4"/>
    <w:rsid w:val="007E190C"/>
    <w:rsid w:val="007E1917"/>
    <w:rsid w:val="007E1921"/>
    <w:rsid w:val="007E198A"/>
    <w:rsid w:val="007E19E2"/>
    <w:rsid w:val="007E1A04"/>
    <w:rsid w:val="007E1A89"/>
    <w:rsid w:val="007E1BAD"/>
    <w:rsid w:val="007E1C22"/>
    <w:rsid w:val="007E1CA5"/>
    <w:rsid w:val="007E1D16"/>
    <w:rsid w:val="007E1D52"/>
    <w:rsid w:val="007E1DFF"/>
    <w:rsid w:val="007E1E0F"/>
    <w:rsid w:val="007E1E46"/>
    <w:rsid w:val="007E1F41"/>
    <w:rsid w:val="007E1F42"/>
    <w:rsid w:val="007E1F53"/>
    <w:rsid w:val="007E1F85"/>
    <w:rsid w:val="007E2012"/>
    <w:rsid w:val="007E204D"/>
    <w:rsid w:val="007E2054"/>
    <w:rsid w:val="007E2087"/>
    <w:rsid w:val="007E2098"/>
    <w:rsid w:val="007E20AB"/>
    <w:rsid w:val="007E2116"/>
    <w:rsid w:val="007E2135"/>
    <w:rsid w:val="007E2153"/>
    <w:rsid w:val="007E2178"/>
    <w:rsid w:val="007E223B"/>
    <w:rsid w:val="007E22ED"/>
    <w:rsid w:val="007E234D"/>
    <w:rsid w:val="007E2366"/>
    <w:rsid w:val="007E243A"/>
    <w:rsid w:val="007E24D4"/>
    <w:rsid w:val="007E252E"/>
    <w:rsid w:val="007E2536"/>
    <w:rsid w:val="007E2559"/>
    <w:rsid w:val="007E258D"/>
    <w:rsid w:val="007E2632"/>
    <w:rsid w:val="007E26E6"/>
    <w:rsid w:val="007E2787"/>
    <w:rsid w:val="007E2836"/>
    <w:rsid w:val="007E2899"/>
    <w:rsid w:val="007E28EC"/>
    <w:rsid w:val="007E2A83"/>
    <w:rsid w:val="007E2AFE"/>
    <w:rsid w:val="007E2C15"/>
    <w:rsid w:val="007E2ECA"/>
    <w:rsid w:val="007E2F3A"/>
    <w:rsid w:val="007E2F96"/>
    <w:rsid w:val="007E2FD6"/>
    <w:rsid w:val="007E3076"/>
    <w:rsid w:val="007E30F0"/>
    <w:rsid w:val="007E3158"/>
    <w:rsid w:val="007E31B6"/>
    <w:rsid w:val="007E31BF"/>
    <w:rsid w:val="007E31D3"/>
    <w:rsid w:val="007E31E3"/>
    <w:rsid w:val="007E32FB"/>
    <w:rsid w:val="007E33B1"/>
    <w:rsid w:val="007E33FD"/>
    <w:rsid w:val="007E34D1"/>
    <w:rsid w:val="007E34FA"/>
    <w:rsid w:val="007E3561"/>
    <w:rsid w:val="007E356F"/>
    <w:rsid w:val="007E35AD"/>
    <w:rsid w:val="007E35CB"/>
    <w:rsid w:val="007E35FD"/>
    <w:rsid w:val="007E361B"/>
    <w:rsid w:val="007E3835"/>
    <w:rsid w:val="007E3840"/>
    <w:rsid w:val="007E39C0"/>
    <w:rsid w:val="007E3A9E"/>
    <w:rsid w:val="007E3ABE"/>
    <w:rsid w:val="007E3B8C"/>
    <w:rsid w:val="007E3C56"/>
    <w:rsid w:val="007E3D2D"/>
    <w:rsid w:val="007E3D30"/>
    <w:rsid w:val="007E3DD3"/>
    <w:rsid w:val="007E3E73"/>
    <w:rsid w:val="007E3EA6"/>
    <w:rsid w:val="007E3F0D"/>
    <w:rsid w:val="007E3F1F"/>
    <w:rsid w:val="007E3F4C"/>
    <w:rsid w:val="007E40DD"/>
    <w:rsid w:val="007E412D"/>
    <w:rsid w:val="007E415A"/>
    <w:rsid w:val="007E4185"/>
    <w:rsid w:val="007E41DB"/>
    <w:rsid w:val="007E421B"/>
    <w:rsid w:val="007E4256"/>
    <w:rsid w:val="007E425D"/>
    <w:rsid w:val="007E426A"/>
    <w:rsid w:val="007E42D9"/>
    <w:rsid w:val="007E4316"/>
    <w:rsid w:val="007E4343"/>
    <w:rsid w:val="007E43D6"/>
    <w:rsid w:val="007E4404"/>
    <w:rsid w:val="007E4541"/>
    <w:rsid w:val="007E4563"/>
    <w:rsid w:val="007E4601"/>
    <w:rsid w:val="007E461B"/>
    <w:rsid w:val="007E467D"/>
    <w:rsid w:val="007E474E"/>
    <w:rsid w:val="007E4814"/>
    <w:rsid w:val="007E4A31"/>
    <w:rsid w:val="007E4A76"/>
    <w:rsid w:val="007E4ACF"/>
    <w:rsid w:val="007E4B46"/>
    <w:rsid w:val="007E4B69"/>
    <w:rsid w:val="007E4C36"/>
    <w:rsid w:val="007E4DBD"/>
    <w:rsid w:val="007E4DCC"/>
    <w:rsid w:val="007E4DEE"/>
    <w:rsid w:val="007E4F97"/>
    <w:rsid w:val="007E4FFC"/>
    <w:rsid w:val="007E5085"/>
    <w:rsid w:val="007E514B"/>
    <w:rsid w:val="007E51DD"/>
    <w:rsid w:val="007E529F"/>
    <w:rsid w:val="007E5324"/>
    <w:rsid w:val="007E535D"/>
    <w:rsid w:val="007E537E"/>
    <w:rsid w:val="007E53E6"/>
    <w:rsid w:val="007E548C"/>
    <w:rsid w:val="007E549A"/>
    <w:rsid w:val="007E54E8"/>
    <w:rsid w:val="007E555D"/>
    <w:rsid w:val="007E56B9"/>
    <w:rsid w:val="007E5799"/>
    <w:rsid w:val="007E5872"/>
    <w:rsid w:val="007E5902"/>
    <w:rsid w:val="007E596E"/>
    <w:rsid w:val="007E59D5"/>
    <w:rsid w:val="007E5AA8"/>
    <w:rsid w:val="007E5B12"/>
    <w:rsid w:val="007E5B79"/>
    <w:rsid w:val="007E5C02"/>
    <w:rsid w:val="007E5C1F"/>
    <w:rsid w:val="007E5CA6"/>
    <w:rsid w:val="007E5CED"/>
    <w:rsid w:val="007E5D7B"/>
    <w:rsid w:val="007E5E18"/>
    <w:rsid w:val="007E5E23"/>
    <w:rsid w:val="007E5F58"/>
    <w:rsid w:val="007E5FD1"/>
    <w:rsid w:val="007E61E3"/>
    <w:rsid w:val="007E6206"/>
    <w:rsid w:val="007E6298"/>
    <w:rsid w:val="007E6299"/>
    <w:rsid w:val="007E62E0"/>
    <w:rsid w:val="007E62F5"/>
    <w:rsid w:val="007E6307"/>
    <w:rsid w:val="007E6324"/>
    <w:rsid w:val="007E637E"/>
    <w:rsid w:val="007E6422"/>
    <w:rsid w:val="007E6478"/>
    <w:rsid w:val="007E64B3"/>
    <w:rsid w:val="007E65CD"/>
    <w:rsid w:val="007E661F"/>
    <w:rsid w:val="007E6705"/>
    <w:rsid w:val="007E6747"/>
    <w:rsid w:val="007E6878"/>
    <w:rsid w:val="007E6882"/>
    <w:rsid w:val="007E688E"/>
    <w:rsid w:val="007E6890"/>
    <w:rsid w:val="007E689F"/>
    <w:rsid w:val="007E68A2"/>
    <w:rsid w:val="007E68AA"/>
    <w:rsid w:val="007E68B3"/>
    <w:rsid w:val="007E6910"/>
    <w:rsid w:val="007E69AF"/>
    <w:rsid w:val="007E69E3"/>
    <w:rsid w:val="007E6A5B"/>
    <w:rsid w:val="007E6BA4"/>
    <w:rsid w:val="007E6BB4"/>
    <w:rsid w:val="007E6BFE"/>
    <w:rsid w:val="007E6C0A"/>
    <w:rsid w:val="007E6C25"/>
    <w:rsid w:val="007E6C37"/>
    <w:rsid w:val="007E6C5A"/>
    <w:rsid w:val="007E6C7D"/>
    <w:rsid w:val="007E6CA4"/>
    <w:rsid w:val="007E6CCB"/>
    <w:rsid w:val="007E6E0B"/>
    <w:rsid w:val="007E6E92"/>
    <w:rsid w:val="007E6EBE"/>
    <w:rsid w:val="007E6F40"/>
    <w:rsid w:val="007E6F5B"/>
    <w:rsid w:val="007E714F"/>
    <w:rsid w:val="007E718E"/>
    <w:rsid w:val="007E71C7"/>
    <w:rsid w:val="007E71D1"/>
    <w:rsid w:val="007E71D7"/>
    <w:rsid w:val="007E7230"/>
    <w:rsid w:val="007E725D"/>
    <w:rsid w:val="007E7292"/>
    <w:rsid w:val="007E7328"/>
    <w:rsid w:val="007E7422"/>
    <w:rsid w:val="007E745A"/>
    <w:rsid w:val="007E74BB"/>
    <w:rsid w:val="007E7588"/>
    <w:rsid w:val="007E75A2"/>
    <w:rsid w:val="007E764F"/>
    <w:rsid w:val="007E7801"/>
    <w:rsid w:val="007E7879"/>
    <w:rsid w:val="007E7894"/>
    <w:rsid w:val="007E7973"/>
    <w:rsid w:val="007E79DB"/>
    <w:rsid w:val="007E7BD4"/>
    <w:rsid w:val="007E7BD8"/>
    <w:rsid w:val="007E7CA6"/>
    <w:rsid w:val="007E7CCE"/>
    <w:rsid w:val="007E7DC3"/>
    <w:rsid w:val="007E7E82"/>
    <w:rsid w:val="007E7F04"/>
    <w:rsid w:val="007F002F"/>
    <w:rsid w:val="007F003C"/>
    <w:rsid w:val="007F006E"/>
    <w:rsid w:val="007F00DF"/>
    <w:rsid w:val="007F0119"/>
    <w:rsid w:val="007F017F"/>
    <w:rsid w:val="007F018A"/>
    <w:rsid w:val="007F01CD"/>
    <w:rsid w:val="007F0288"/>
    <w:rsid w:val="007F0323"/>
    <w:rsid w:val="007F047A"/>
    <w:rsid w:val="007F0627"/>
    <w:rsid w:val="007F076C"/>
    <w:rsid w:val="007F0814"/>
    <w:rsid w:val="007F0820"/>
    <w:rsid w:val="007F08C4"/>
    <w:rsid w:val="007F0A88"/>
    <w:rsid w:val="007F0A89"/>
    <w:rsid w:val="007F0AAC"/>
    <w:rsid w:val="007F0AB1"/>
    <w:rsid w:val="007F0AB5"/>
    <w:rsid w:val="007F0B42"/>
    <w:rsid w:val="007F0B75"/>
    <w:rsid w:val="007F0CC7"/>
    <w:rsid w:val="007F0CEC"/>
    <w:rsid w:val="007F0F5A"/>
    <w:rsid w:val="007F0F93"/>
    <w:rsid w:val="007F0FD0"/>
    <w:rsid w:val="007F119A"/>
    <w:rsid w:val="007F11CC"/>
    <w:rsid w:val="007F1306"/>
    <w:rsid w:val="007F134E"/>
    <w:rsid w:val="007F139E"/>
    <w:rsid w:val="007F13C3"/>
    <w:rsid w:val="007F13C5"/>
    <w:rsid w:val="007F13E1"/>
    <w:rsid w:val="007F1470"/>
    <w:rsid w:val="007F147A"/>
    <w:rsid w:val="007F149F"/>
    <w:rsid w:val="007F1533"/>
    <w:rsid w:val="007F154A"/>
    <w:rsid w:val="007F165F"/>
    <w:rsid w:val="007F1687"/>
    <w:rsid w:val="007F1688"/>
    <w:rsid w:val="007F171C"/>
    <w:rsid w:val="007F1864"/>
    <w:rsid w:val="007F1955"/>
    <w:rsid w:val="007F19F3"/>
    <w:rsid w:val="007F19F6"/>
    <w:rsid w:val="007F1AB3"/>
    <w:rsid w:val="007F1ACE"/>
    <w:rsid w:val="007F1ADA"/>
    <w:rsid w:val="007F1BCB"/>
    <w:rsid w:val="007F1C40"/>
    <w:rsid w:val="007F1C53"/>
    <w:rsid w:val="007F1D06"/>
    <w:rsid w:val="007F1E4B"/>
    <w:rsid w:val="007F1E84"/>
    <w:rsid w:val="007F1FF0"/>
    <w:rsid w:val="007F222A"/>
    <w:rsid w:val="007F222D"/>
    <w:rsid w:val="007F22A9"/>
    <w:rsid w:val="007F2363"/>
    <w:rsid w:val="007F2368"/>
    <w:rsid w:val="007F2446"/>
    <w:rsid w:val="007F24A5"/>
    <w:rsid w:val="007F24BE"/>
    <w:rsid w:val="007F24F5"/>
    <w:rsid w:val="007F250F"/>
    <w:rsid w:val="007F2579"/>
    <w:rsid w:val="007F2673"/>
    <w:rsid w:val="007F270F"/>
    <w:rsid w:val="007F2754"/>
    <w:rsid w:val="007F2795"/>
    <w:rsid w:val="007F2827"/>
    <w:rsid w:val="007F284D"/>
    <w:rsid w:val="007F29B0"/>
    <w:rsid w:val="007F29C8"/>
    <w:rsid w:val="007F2A16"/>
    <w:rsid w:val="007F2A89"/>
    <w:rsid w:val="007F2A9D"/>
    <w:rsid w:val="007F2B08"/>
    <w:rsid w:val="007F2B0F"/>
    <w:rsid w:val="007F2B8F"/>
    <w:rsid w:val="007F2CD3"/>
    <w:rsid w:val="007F2D47"/>
    <w:rsid w:val="007F2DD0"/>
    <w:rsid w:val="007F2DFF"/>
    <w:rsid w:val="007F2E40"/>
    <w:rsid w:val="007F2E53"/>
    <w:rsid w:val="007F2E91"/>
    <w:rsid w:val="007F2EC1"/>
    <w:rsid w:val="007F2EFB"/>
    <w:rsid w:val="007F2F83"/>
    <w:rsid w:val="007F2FA9"/>
    <w:rsid w:val="007F3081"/>
    <w:rsid w:val="007F30D1"/>
    <w:rsid w:val="007F322B"/>
    <w:rsid w:val="007F3281"/>
    <w:rsid w:val="007F32A5"/>
    <w:rsid w:val="007F32F5"/>
    <w:rsid w:val="007F331C"/>
    <w:rsid w:val="007F3353"/>
    <w:rsid w:val="007F33C5"/>
    <w:rsid w:val="007F340A"/>
    <w:rsid w:val="007F343E"/>
    <w:rsid w:val="007F3545"/>
    <w:rsid w:val="007F35A8"/>
    <w:rsid w:val="007F35D6"/>
    <w:rsid w:val="007F35E0"/>
    <w:rsid w:val="007F363C"/>
    <w:rsid w:val="007F363D"/>
    <w:rsid w:val="007F3705"/>
    <w:rsid w:val="007F37B4"/>
    <w:rsid w:val="007F37FC"/>
    <w:rsid w:val="007F38D4"/>
    <w:rsid w:val="007F39C1"/>
    <w:rsid w:val="007F3A40"/>
    <w:rsid w:val="007F3A6A"/>
    <w:rsid w:val="007F3AC2"/>
    <w:rsid w:val="007F3AEE"/>
    <w:rsid w:val="007F3BA9"/>
    <w:rsid w:val="007F3C32"/>
    <w:rsid w:val="007F3DD9"/>
    <w:rsid w:val="007F3DFC"/>
    <w:rsid w:val="007F3E87"/>
    <w:rsid w:val="007F3EC4"/>
    <w:rsid w:val="007F3F9D"/>
    <w:rsid w:val="007F3FA7"/>
    <w:rsid w:val="007F4002"/>
    <w:rsid w:val="007F408F"/>
    <w:rsid w:val="007F409E"/>
    <w:rsid w:val="007F40AE"/>
    <w:rsid w:val="007F419B"/>
    <w:rsid w:val="007F41DF"/>
    <w:rsid w:val="007F4202"/>
    <w:rsid w:val="007F421B"/>
    <w:rsid w:val="007F4220"/>
    <w:rsid w:val="007F424B"/>
    <w:rsid w:val="007F430B"/>
    <w:rsid w:val="007F435D"/>
    <w:rsid w:val="007F447D"/>
    <w:rsid w:val="007F44CE"/>
    <w:rsid w:val="007F4510"/>
    <w:rsid w:val="007F4522"/>
    <w:rsid w:val="007F454F"/>
    <w:rsid w:val="007F45A4"/>
    <w:rsid w:val="007F45EC"/>
    <w:rsid w:val="007F46D4"/>
    <w:rsid w:val="007F4786"/>
    <w:rsid w:val="007F479C"/>
    <w:rsid w:val="007F47C3"/>
    <w:rsid w:val="007F47C9"/>
    <w:rsid w:val="007F48FD"/>
    <w:rsid w:val="007F49FC"/>
    <w:rsid w:val="007F4B21"/>
    <w:rsid w:val="007F4B4D"/>
    <w:rsid w:val="007F4B61"/>
    <w:rsid w:val="007F4B6E"/>
    <w:rsid w:val="007F4C4E"/>
    <w:rsid w:val="007F4C9F"/>
    <w:rsid w:val="007F4CA2"/>
    <w:rsid w:val="007F4D14"/>
    <w:rsid w:val="007F4DA4"/>
    <w:rsid w:val="007F4DCD"/>
    <w:rsid w:val="007F4E06"/>
    <w:rsid w:val="007F4E29"/>
    <w:rsid w:val="007F4E8A"/>
    <w:rsid w:val="007F4F01"/>
    <w:rsid w:val="007F4F3C"/>
    <w:rsid w:val="007F4FB4"/>
    <w:rsid w:val="007F500D"/>
    <w:rsid w:val="007F503C"/>
    <w:rsid w:val="007F50B5"/>
    <w:rsid w:val="007F5111"/>
    <w:rsid w:val="007F51CE"/>
    <w:rsid w:val="007F51ED"/>
    <w:rsid w:val="007F523E"/>
    <w:rsid w:val="007F52D2"/>
    <w:rsid w:val="007F53E0"/>
    <w:rsid w:val="007F5473"/>
    <w:rsid w:val="007F547C"/>
    <w:rsid w:val="007F54E9"/>
    <w:rsid w:val="007F5552"/>
    <w:rsid w:val="007F5578"/>
    <w:rsid w:val="007F5625"/>
    <w:rsid w:val="007F57A3"/>
    <w:rsid w:val="007F57DC"/>
    <w:rsid w:val="007F5845"/>
    <w:rsid w:val="007F58AD"/>
    <w:rsid w:val="007F5919"/>
    <w:rsid w:val="007F591A"/>
    <w:rsid w:val="007F597C"/>
    <w:rsid w:val="007F5982"/>
    <w:rsid w:val="007F59B7"/>
    <w:rsid w:val="007F5A71"/>
    <w:rsid w:val="007F5A78"/>
    <w:rsid w:val="007F5AF1"/>
    <w:rsid w:val="007F5B41"/>
    <w:rsid w:val="007F5B99"/>
    <w:rsid w:val="007F5BA8"/>
    <w:rsid w:val="007F5BAF"/>
    <w:rsid w:val="007F5BDA"/>
    <w:rsid w:val="007F5C60"/>
    <w:rsid w:val="007F5D57"/>
    <w:rsid w:val="007F5D9E"/>
    <w:rsid w:val="007F5E36"/>
    <w:rsid w:val="007F5E4B"/>
    <w:rsid w:val="007F5E5D"/>
    <w:rsid w:val="007F5FA6"/>
    <w:rsid w:val="007F5FCB"/>
    <w:rsid w:val="007F6027"/>
    <w:rsid w:val="007F606D"/>
    <w:rsid w:val="007F6080"/>
    <w:rsid w:val="007F6094"/>
    <w:rsid w:val="007F609D"/>
    <w:rsid w:val="007F60E1"/>
    <w:rsid w:val="007F6275"/>
    <w:rsid w:val="007F62E2"/>
    <w:rsid w:val="007F62E5"/>
    <w:rsid w:val="007F6367"/>
    <w:rsid w:val="007F6388"/>
    <w:rsid w:val="007F63BF"/>
    <w:rsid w:val="007F63C1"/>
    <w:rsid w:val="007F63E9"/>
    <w:rsid w:val="007F6410"/>
    <w:rsid w:val="007F6430"/>
    <w:rsid w:val="007F64AF"/>
    <w:rsid w:val="007F654A"/>
    <w:rsid w:val="007F6565"/>
    <w:rsid w:val="007F65CA"/>
    <w:rsid w:val="007F665C"/>
    <w:rsid w:val="007F6699"/>
    <w:rsid w:val="007F683F"/>
    <w:rsid w:val="007F6930"/>
    <w:rsid w:val="007F6941"/>
    <w:rsid w:val="007F6972"/>
    <w:rsid w:val="007F6A18"/>
    <w:rsid w:val="007F6AF3"/>
    <w:rsid w:val="007F6B20"/>
    <w:rsid w:val="007F6BAB"/>
    <w:rsid w:val="007F6BDC"/>
    <w:rsid w:val="007F6BF2"/>
    <w:rsid w:val="007F6C13"/>
    <w:rsid w:val="007F6C53"/>
    <w:rsid w:val="007F6CE8"/>
    <w:rsid w:val="007F6D4C"/>
    <w:rsid w:val="007F6D91"/>
    <w:rsid w:val="007F6E20"/>
    <w:rsid w:val="007F6E33"/>
    <w:rsid w:val="007F6E3F"/>
    <w:rsid w:val="007F6E8D"/>
    <w:rsid w:val="007F6EA5"/>
    <w:rsid w:val="007F6EDA"/>
    <w:rsid w:val="007F6F82"/>
    <w:rsid w:val="007F6FBF"/>
    <w:rsid w:val="007F7023"/>
    <w:rsid w:val="007F7094"/>
    <w:rsid w:val="007F70BC"/>
    <w:rsid w:val="007F70F8"/>
    <w:rsid w:val="007F7129"/>
    <w:rsid w:val="007F722B"/>
    <w:rsid w:val="007F7230"/>
    <w:rsid w:val="007F7296"/>
    <w:rsid w:val="007F72C1"/>
    <w:rsid w:val="007F7331"/>
    <w:rsid w:val="007F7359"/>
    <w:rsid w:val="007F7377"/>
    <w:rsid w:val="007F739E"/>
    <w:rsid w:val="007F73DA"/>
    <w:rsid w:val="007F74FB"/>
    <w:rsid w:val="007F7527"/>
    <w:rsid w:val="007F7556"/>
    <w:rsid w:val="007F759C"/>
    <w:rsid w:val="007F75CC"/>
    <w:rsid w:val="007F7674"/>
    <w:rsid w:val="007F767D"/>
    <w:rsid w:val="007F769B"/>
    <w:rsid w:val="007F76E8"/>
    <w:rsid w:val="007F76FB"/>
    <w:rsid w:val="007F773E"/>
    <w:rsid w:val="007F77D6"/>
    <w:rsid w:val="007F77E3"/>
    <w:rsid w:val="007F7875"/>
    <w:rsid w:val="007F78CE"/>
    <w:rsid w:val="007F7A02"/>
    <w:rsid w:val="007F7A2C"/>
    <w:rsid w:val="007F7A39"/>
    <w:rsid w:val="007F7B30"/>
    <w:rsid w:val="007F7B8A"/>
    <w:rsid w:val="007F7BDB"/>
    <w:rsid w:val="007F7BF9"/>
    <w:rsid w:val="007F7C3A"/>
    <w:rsid w:val="007F7CDA"/>
    <w:rsid w:val="007F7D4F"/>
    <w:rsid w:val="007F7E3A"/>
    <w:rsid w:val="007F7EF5"/>
    <w:rsid w:val="007F7F0A"/>
    <w:rsid w:val="007F7F38"/>
    <w:rsid w:val="007F7F6F"/>
    <w:rsid w:val="007F7F87"/>
    <w:rsid w:val="00800014"/>
    <w:rsid w:val="008000E1"/>
    <w:rsid w:val="008002DB"/>
    <w:rsid w:val="00800364"/>
    <w:rsid w:val="00800399"/>
    <w:rsid w:val="008003A8"/>
    <w:rsid w:val="008003AA"/>
    <w:rsid w:val="008003B2"/>
    <w:rsid w:val="0080040C"/>
    <w:rsid w:val="00800418"/>
    <w:rsid w:val="0080042D"/>
    <w:rsid w:val="00800441"/>
    <w:rsid w:val="00800461"/>
    <w:rsid w:val="0080048F"/>
    <w:rsid w:val="008004A2"/>
    <w:rsid w:val="008004AB"/>
    <w:rsid w:val="0080053A"/>
    <w:rsid w:val="0080069B"/>
    <w:rsid w:val="00800833"/>
    <w:rsid w:val="0080085B"/>
    <w:rsid w:val="008008A5"/>
    <w:rsid w:val="008008FF"/>
    <w:rsid w:val="00800970"/>
    <w:rsid w:val="00800981"/>
    <w:rsid w:val="008009A2"/>
    <w:rsid w:val="008009A6"/>
    <w:rsid w:val="008009DB"/>
    <w:rsid w:val="00800A9C"/>
    <w:rsid w:val="00800ABF"/>
    <w:rsid w:val="00800AD0"/>
    <w:rsid w:val="00800C01"/>
    <w:rsid w:val="00800C61"/>
    <w:rsid w:val="00800C8E"/>
    <w:rsid w:val="00800CFF"/>
    <w:rsid w:val="00800D0B"/>
    <w:rsid w:val="00800D33"/>
    <w:rsid w:val="00800DBB"/>
    <w:rsid w:val="00800EF5"/>
    <w:rsid w:val="00800F18"/>
    <w:rsid w:val="00800F7C"/>
    <w:rsid w:val="00800FA2"/>
    <w:rsid w:val="00801049"/>
    <w:rsid w:val="0080109D"/>
    <w:rsid w:val="008010B9"/>
    <w:rsid w:val="00801218"/>
    <w:rsid w:val="00801245"/>
    <w:rsid w:val="00801370"/>
    <w:rsid w:val="00801404"/>
    <w:rsid w:val="0080140D"/>
    <w:rsid w:val="0080142C"/>
    <w:rsid w:val="008014D3"/>
    <w:rsid w:val="0080150D"/>
    <w:rsid w:val="00801536"/>
    <w:rsid w:val="00801678"/>
    <w:rsid w:val="00801679"/>
    <w:rsid w:val="0080167B"/>
    <w:rsid w:val="0080169A"/>
    <w:rsid w:val="008016BB"/>
    <w:rsid w:val="00801713"/>
    <w:rsid w:val="0080172E"/>
    <w:rsid w:val="00801891"/>
    <w:rsid w:val="008018B0"/>
    <w:rsid w:val="00801905"/>
    <w:rsid w:val="00801A38"/>
    <w:rsid w:val="00801A48"/>
    <w:rsid w:val="00801D75"/>
    <w:rsid w:val="00801D97"/>
    <w:rsid w:val="00801E6C"/>
    <w:rsid w:val="00801F33"/>
    <w:rsid w:val="00802109"/>
    <w:rsid w:val="0080211E"/>
    <w:rsid w:val="0080215C"/>
    <w:rsid w:val="00802164"/>
    <w:rsid w:val="008021BC"/>
    <w:rsid w:val="0080228D"/>
    <w:rsid w:val="00802467"/>
    <w:rsid w:val="00802498"/>
    <w:rsid w:val="008024B5"/>
    <w:rsid w:val="00802545"/>
    <w:rsid w:val="008025AF"/>
    <w:rsid w:val="00802668"/>
    <w:rsid w:val="0080269D"/>
    <w:rsid w:val="008026B1"/>
    <w:rsid w:val="0080281E"/>
    <w:rsid w:val="0080283E"/>
    <w:rsid w:val="0080286E"/>
    <w:rsid w:val="008028C8"/>
    <w:rsid w:val="008028F6"/>
    <w:rsid w:val="00802906"/>
    <w:rsid w:val="0080290C"/>
    <w:rsid w:val="00802911"/>
    <w:rsid w:val="00802A23"/>
    <w:rsid w:val="00802E4D"/>
    <w:rsid w:val="00802ED0"/>
    <w:rsid w:val="00802F4A"/>
    <w:rsid w:val="00802F65"/>
    <w:rsid w:val="00802F73"/>
    <w:rsid w:val="00802FAB"/>
    <w:rsid w:val="00803023"/>
    <w:rsid w:val="0080303F"/>
    <w:rsid w:val="00803141"/>
    <w:rsid w:val="00803233"/>
    <w:rsid w:val="00803314"/>
    <w:rsid w:val="0080333C"/>
    <w:rsid w:val="00803344"/>
    <w:rsid w:val="00803375"/>
    <w:rsid w:val="008033DD"/>
    <w:rsid w:val="008033EB"/>
    <w:rsid w:val="008033F5"/>
    <w:rsid w:val="00803422"/>
    <w:rsid w:val="008034A0"/>
    <w:rsid w:val="00803551"/>
    <w:rsid w:val="0080359A"/>
    <w:rsid w:val="0080360E"/>
    <w:rsid w:val="00803642"/>
    <w:rsid w:val="0080365B"/>
    <w:rsid w:val="00803797"/>
    <w:rsid w:val="00803855"/>
    <w:rsid w:val="008039D7"/>
    <w:rsid w:val="00803A44"/>
    <w:rsid w:val="00803A54"/>
    <w:rsid w:val="00803A58"/>
    <w:rsid w:val="00803B20"/>
    <w:rsid w:val="00803B5A"/>
    <w:rsid w:val="00803B69"/>
    <w:rsid w:val="00803BDF"/>
    <w:rsid w:val="00803C19"/>
    <w:rsid w:val="00803D20"/>
    <w:rsid w:val="00803D29"/>
    <w:rsid w:val="00803D3D"/>
    <w:rsid w:val="00803DEC"/>
    <w:rsid w:val="00803F02"/>
    <w:rsid w:val="00803F23"/>
    <w:rsid w:val="00803F2F"/>
    <w:rsid w:val="00803F47"/>
    <w:rsid w:val="00803F51"/>
    <w:rsid w:val="0080403D"/>
    <w:rsid w:val="0080404D"/>
    <w:rsid w:val="0080405E"/>
    <w:rsid w:val="00804093"/>
    <w:rsid w:val="008040A1"/>
    <w:rsid w:val="008041B0"/>
    <w:rsid w:val="00804228"/>
    <w:rsid w:val="008043D3"/>
    <w:rsid w:val="008044A1"/>
    <w:rsid w:val="00804508"/>
    <w:rsid w:val="0080450C"/>
    <w:rsid w:val="0080457E"/>
    <w:rsid w:val="008045C2"/>
    <w:rsid w:val="008045C3"/>
    <w:rsid w:val="008045FA"/>
    <w:rsid w:val="00804626"/>
    <w:rsid w:val="00804717"/>
    <w:rsid w:val="00804740"/>
    <w:rsid w:val="00804756"/>
    <w:rsid w:val="00804771"/>
    <w:rsid w:val="008047AC"/>
    <w:rsid w:val="00804852"/>
    <w:rsid w:val="00804876"/>
    <w:rsid w:val="00804895"/>
    <w:rsid w:val="00804896"/>
    <w:rsid w:val="008048CE"/>
    <w:rsid w:val="008048E0"/>
    <w:rsid w:val="008049F0"/>
    <w:rsid w:val="00804A18"/>
    <w:rsid w:val="00804A3C"/>
    <w:rsid w:val="00804A67"/>
    <w:rsid w:val="00804AD0"/>
    <w:rsid w:val="00804B65"/>
    <w:rsid w:val="00804BCC"/>
    <w:rsid w:val="00804CDE"/>
    <w:rsid w:val="00804D36"/>
    <w:rsid w:val="00804E49"/>
    <w:rsid w:val="00804E59"/>
    <w:rsid w:val="00805119"/>
    <w:rsid w:val="0080512C"/>
    <w:rsid w:val="0080514A"/>
    <w:rsid w:val="00805151"/>
    <w:rsid w:val="00805234"/>
    <w:rsid w:val="008052D6"/>
    <w:rsid w:val="00805408"/>
    <w:rsid w:val="00805416"/>
    <w:rsid w:val="00805517"/>
    <w:rsid w:val="0080555E"/>
    <w:rsid w:val="008055B1"/>
    <w:rsid w:val="00805604"/>
    <w:rsid w:val="00805667"/>
    <w:rsid w:val="008057DB"/>
    <w:rsid w:val="0080583B"/>
    <w:rsid w:val="0080584F"/>
    <w:rsid w:val="008058A7"/>
    <w:rsid w:val="008058D0"/>
    <w:rsid w:val="00805954"/>
    <w:rsid w:val="008059AC"/>
    <w:rsid w:val="008059AD"/>
    <w:rsid w:val="008059EC"/>
    <w:rsid w:val="00805A1F"/>
    <w:rsid w:val="00805A69"/>
    <w:rsid w:val="00805D0B"/>
    <w:rsid w:val="00805E93"/>
    <w:rsid w:val="00805F91"/>
    <w:rsid w:val="00806031"/>
    <w:rsid w:val="00806084"/>
    <w:rsid w:val="008060D9"/>
    <w:rsid w:val="00806128"/>
    <w:rsid w:val="00806137"/>
    <w:rsid w:val="00806152"/>
    <w:rsid w:val="00806289"/>
    <w:rsid w:val="008062A0"/>
    <w:rsid w:val="008062C0"/>
    <w:rsid w:val="00806318"/>
    <w:rsid w:val="00806323"/>
    <w:rsid w:val="0080642B"/>
    <w:rsid w:val="0080645B"/>
    <w:rsid w:val="008064DF"/>
    <w:rsid w:val="00806637"/>
    <w:rsid w:val="00806638"/>
    <w:rsid w:val="008066C1"/>
    <w:rsid w:val="0080680D"/>
    <w:rsid w:val="008068C3"/>
    <w:rsid w:val="008068DE"/>
    <w:rsid w:val="0080690A"/>
    <w:rsid w:val="00806924"/>
    <w:rsid w:val="00806988"/>
    <w:rsid w:val="008069BD"/>
    <w:rsid w:val="00806A07"/>
    <w:rsid w:val="00806A8E"/>
    <w:rsid w:val="00806AF0"/>
    <w:rsid w:val="00806B63"/>
    <w:rsid w:val="00806BD6"/>
    <w:rsid w:val="00806C15"/>
    <w:rsid w:val="00806C16"/>
    <w:rsid w:val="00806C26"/>
    <w:rsid w:val="00806C96"/>
    <w:rsid w:val="00806CE4"/>
    <w:rsid w:val="00806D18"/>
    <w:rsid w:val="00806D3C"/>
    <w:rsid w:val="00806DC3"/>
    <w:rsid w:val="00806DFE"/>
    <w:rsid w:val="00806E4F"/>
    <w:rsid w:val="00806E93"/>
    <w:rsid w:val="00806FA9"/>
    <w:rsid w:val="00807048"/>
    <w:rsid w:val="0080704D"/>
    <w:rsid w:val="008070A2"/>
    <w:rsid w:val="008070A3"/>
    <w:rsid w:val="008070A4"/>
    <w:rsid w:val="00807119"/>
    <w:rsid w:val="008072FF"/>
    <w:rsid w:val="00807309"/>
    <w:rsid w:val="00807341"/>
    <w:rsid w:val="00807483"/>
    <w:rsid w:val="008074F9"/>
    <w:rsid w:val="00807527"/>
    <w:rsid w:val="00807538"/>
    <w:rsid w:val="008075D4"/>
    <w:rsid w:val="00807601"/>
    <w:rsid w:val="008076AF"/>
    <w:rsid w:val="00807717"/>
    <w:rsid w:val="00807734"/>
    <w:rsid w:val="008077E5"/>
    <w:rsid w:val="0080785F"/>
    <w:rsid w:val="0080787B"/>
    <w:rsid w:val="0080788F"/>
    <w:rsid w:val="008078AB"/>
    <w:rsid w:val="008078BC"/>
    <w:rsid w:val="008078FC"/>
    <w:rsid w:val="00807921"/>
    <w:rsid w:val="00807A00"/>
    <w:rsid w:val="00807BEB"/>
    <w:rsid w:val="00807BF5"/>
    <w:rsid w:val="00807DF7"/>
    <w:rsid w:val="00807E4C"/>
    <w:rsid w:val="00807F7B"/>
    <w:rsid w:val="00807F90"/>
    <w:rsid w:val="00810049"/>
    <w:rsid w:val="008100D2"/>
    <w:rsid w:val="00810220"/>
    <w:rsid w:val="0081031B"/>
    <w:rsid w:val="00810324"/>
    <w:rsid w:val="00810351"/>
    <w:rsid w:val="008103CC"/>
    <w:rsid w:val="008103DD"/>
    <w:rsid w:val="00810497"/>
    <w:rsid w:val="008104D3"/>
    <w:rsid w:val="008104FE"/>
    <w:rsid w:val="00810574"/>
    <w:rsid w:val="00810639"/>
    <w:rsid w:val="0081067F"/>
    <w:rsid w:val="008106B8"/>
    <w:rsid w:val="0081078E"/>
    <w:rsid w:val="008108C1"/>
    <w:rsid w:val="008108DF"/>
    <w:rsid w:val="0081092A"/>
    <w:rsid w:val="00810991"/>
    <w:rsid w:val="008109C0"/>
    <w:rsid w:val="00810A2F"/>
    <w:rsid w:val="00810A61"/>
    <w:rsid w:val="00810A63"/>
    <w:rsid w:val="00810A76"/>
    <w:rsid w:val="00810AFD"/>
    <w:rsid w:val="00810B66"/>
    <w:rsid w:val="00810CC0"/>
    <w:rsid w:val="00810CD1"/>
    <w:rsid w:val="00810CDA"/>
    <w:rsid w:val="00810D00"/>
    <w:rsid w:val="00810D31"/>
    <w:rsid w:val="00810D7A"/>
    <w:rsid w:val="00810DEF"/>
    <w:rsid w:val="00810DFD"/>
    <w:rsid w:val="00810EAD"/>
    <w:rsid w:val="00810F0E"/>
    <w:rsid w:val="00810F79"/>
    <w:rsid w:val="00811090"/>
    <w:rsid w:val="0081109D"/>
    <w:rsid w:val="008110B1"/>
    <w:rsid w:val="008111EB"/>
    <w:rsid w:val="00811270"/>
    <w:rsid w:val="00811299"/>
    <w:rsid w:val="00811359"/>
    <w:rsid w:val="008113F1"/>
    <w:rsid w:val="00811428"/>
    <w:rsid w:val="00811451"/>
    <w:rsid w:val="0081162B"/>
    <w:rsid w:val="00811646"/>
    <w:rsid w:val="00811688"/>
    <w:rsid w:val="008116A7"/>
    <w:rsid w:val="008116CC"/>
    <w:rsid w:val="00811731"/>
    <w:rsid w:val="00811766"/>
    <w:rsid w:val="008117A1"/>
    <w:rsid w:val="00811826"/>
    <w:rsid w:val="00811961"/>
    <w:rsid w:val="00811A79"/>
    <w:rsid w:val="00811A9E"/>
    <w:rsid w:val="00811A9F"/>
    <w:rsid w:val="00811AB7"/>
    <w:rsid w:val="00811AFA"/>
    <w:rsid w:val="00811BA4"/>
    <w:rsid w:val="00811C2B"/>
    <w:rsid w:val="00811D8A"/>
    <w:rsid w:val="00811D8F"/>
    <w:rsid w:val="00811DE1"/>
    <w:rsid w:val="00811DE3"/>
    <w:rsid w:val="00811E6F"/>
    <w:rsid w:val="00811F75"/>
    <w:rsid w:val="00811FE4"/>
    <w:rsid w:val="00812064"/>
    <w:rsid w:val="008120CE"/>
    <w:rsid w:val="0081212A"/>
    <w:rsid w:val="0081215A"/>
    <w:rsid w:val="0081217E"/>
    <w:rsid w:val="008121B2"/>
    <w:rsid w:val="008122BC"/>
    <w:rsid w:val="008122E4"/>
    <w:rsid w:val="008122EE"/>
    <w:rsid w:val="0081231F"/>
    <w:rsid w:val="0081233D"/>
    <w:rsid w:val="00812457"/>
    <w:rsid w:val="00812467"/>
    <w:rsid w:val="008124A9"/>
    <w:rsid w:val="0081260C"/>
    <w:rsid w:val="00812661"/>
    <w:rsid w:val="0081268D"/>
    <w:rsid w:val="008126C2"/>
    <w:rsid w:val="008126C3"/>
    <w:rsid w:val="008126EA"/>
    <w:rsid w:val="0081274B"/>
    <w:rsid w:val="008128BB"/>
    <w:rsid w:val="00812985"/>
    <w:rsid w:val="00812993"/>
    <w:rsid w:val="00812A95"/>
    <w:rsid w:val="00812B23"/>
    <w:rsid w:val="00812B6B"/>
    <w:rsid w:val="00812B7B"/>
    <w:rsid w:val="00812C0B"/>
    <w:rsid w:val="00812D00"/>
    <w:rsid w:val="00812D93"/>
    <w:rsid w:val="00812DCB"/>
    <w:rsid w:val="00812E2E"/>
    <w:rsid w:val="00812E98"/>
    <w:rsid w:val="00812EA5"/>
    <w:rsid w:val="00812EAF"/>
    <w:rsid w:val="00812F91"/>
    <w:rsid w:val="0081300F"/>
    <w:rsid w:val="0081301C"/>
    <w:rsid w:val="00813041"/>
    <w:rsid w:val="0081307A"/>
    <w:rsid w:val="008130D5"/>
    <w:rsid w:val="00813140"/>
    <w:rsid w:val="00813153"/>
    <w:rsid w:val="00813263"/>
    <w:rsid w:val="00813279"/>
    <w:rsid w:val="008132E2"/>
    <w:rsid w:val="008132FB"/>
    <w:rsid w:val="0081335C"/>
    <w:rsid w:val="008133E2"/>
    <w:rsid w:val="008134C1"/>
    <w:rsid w:val="00813596"/>
    <w:rsid w:val="008135ED"/>
    <w:rsid w:val="00813624"/>
    <w:rsid w:val="0081362D"/>
    <w:rsid w:val="008137D8"/>
    <w:rsid w:val="008137F6"/>
    <w:rsid w:val="00813801"/>
    <w:rsid w:val="00813820"/>
    <w:rsid w:val="0081388E"/>
    <w:rsid w:val="0081396C"/>
    <w:rsid w:val="00813A01"/>
    <w:rsid w:val="00813B24"/>
    <w:rsid w:val="00813B8D"/>
    <w:rsid w:val="00813BB4"/>
    <w:rsid w:val="00813BD8"/>
    <w:rsid w:val="00813C35"/>
    <w:rsid w:val="00813D1F"/>
    <w:rsid w:val="00813DBF"/>
    <w:rsid w:val="00813E50"/>
    <w:rsid w:val="0081409F"/>
    <w:rsid w:val="0081411A"/>
    <w:rsid w:val="008141FC"/>
    <w:rsid w:val="00814284"/>
    <w:rsid w:val="00814296"/>
    <w:rsid w:val="00814305"/>
    <w:rsid w:val="00814348"/>
    <w:rsid w:val="0081434E"/>
    <w:rsid w:val="00814410"/>
    <w:rsid w:val="0081445F"/>
    <w:rsid w:val="008144AF"/>
    <w:rsid w:val="008145A7"/>
    <w:rsid w:val="008145C0"/>
    <w:rsid w:val="008145E2"/>
    <w:rsid w:val="00814658"/>
    <w:rsid w:val="008146A4"/>
    <w:rsid w:val="00814712"/>
    <w:rsid w:val="008147F7"/>
    <w:rsid w:val="00814842"/>
    <w:rsid w:val="008148C5"/>
    <w:rsid w:val="008148D3"/>
    <w:rsid w:val="00814909"/>
    <w:rsid w:val="00814920"/>
    <w:rsid w:val="0081494E"/>
    <w:rsid w:val="0081498B"/>
    <w:rsid w:val="00814A05"/>
    <w:rsid w:val="00814A0D"/>
    <w:rsid w:val="00814B01"/>
    <w:rsid w:val="00814C8D"/>
    <w:rsid w:val="00814CDF"/>
    <w:rsid w:val="00814D19"/>
    <w:rsid w:val="00814D81"/>
    <w:rsid w:val="00814D9F"/>
    <w:rsid w:val="00814ED6"/>
    <w:rsid w:val="00815069"/>
    <w:rsid w:val="008150CE"/>
    <w:rsid w:val="0081512B"/>
    <w:rsid w:val="00815134"/>
    <w:rsid w:val="00815184"/>
    <w:rsid w:val="0081538A"/>
    <w:rsid w:val="0081547C"/>
    <w:rsid w:val="008154EE"/>
    <w:rsid w:val="00815536"/>
    <w:rsid w:val="00815543"/>
    <w:rsid w:val="00815548"/>
    <w:rsid w:val="008156B9"/>
    <w:rsid w:val="008156F0"/>
    <w:rsid w:val="00815704"/>
    <w:rsid w:val="0081571E"/>
    <w:rsid w:val="00815755"/>
    <w:rsid w:val="00815767"/>
    <w:rsid w:val="0081576A"/>
    <w:rsid w:val="008157C2"/>
    <w:rsid w:val="00815801"/>
    <w:rsid w:val="00815955"/>
    <w:rsid w:val="00815B38"/>
    <w:rsid w:val="00815CF7"/>
    <w:rsid w:val="00815D16"/>
    <w:rsid w:val="00815D2C"/>
    <w:rsid w:val="00815D2E"/>
    <w:rsid w:val="00815D8F"/>
    <w:rsid w:val="00815DD4"/>
    <w:rsid w:val="00815E05"/>
    <w:rsid w:val="00815F36"/>
    <w:rsid w:val="00815FD6"/>
    <w:rsid w:val="008160D6"/>
    <w:rsid w:val="008160FC"/>
    <w:rsid w:val="008161B0"/>
    <w:rsid w:val="008161D4"/>
    <w:rsid w:val="00816239"/>
    <w:rsid w:val="008162B0"/>
    <w:rsid w:val="00816303"/>
    <w:rsid w:val="00816325"/>
    <w:rsid w:val="00816356"/>
    <w:rsid w:val="00816360"/>
    <w:rsid w:val="00816365"/>
    <w:rsid w:val="00816377"/>
    <w:rsid w:val="008163B3"/>
    <w:rsid w:val="008163B5"/>
    <w:rsid w:val="0081646A"/>
    <w:rsid w:val="00816491"/>
    <w:rsid w:val="00816514"/>
    <w:rsid w:val="0081653F"/>
    <w:rsid w:val="0081668B"/>
    <w:rsid w:val="008166AC"/>
    <w:rsid w:val="0081674F"/>
    <w:rsid w:val="0081679F"/>
    <w:rsid w:val="00816841"/>
    <w:rsid w:val="00816865"/>
    <w:rsid w:val="008168B3"/>
    <w:rsid w:val="00816A4F"/>
    <w:rsid w:val="00816A97"/>
    <w:rsid w:val="00816BB5"/>
    <w:rsid w:val="00816BFB"/>
    <w:rsid w:val="00816C42"/>
    <w:rsid w:val="00816C57"/>
    <w:rsid w:val="00816D7A"/>
    <w:rsid w:val="00816DE2"/>
    <w:rsid w:val="00816E1F"/>
    <w:rsid w:val="0081702F"/>
    <w:rsid w:val="008171D3"/>
    <w:rsid w:val="00817295"/>
    <w:rsid w:val="008173CA"/>
    <w:rsid w:val="00817451"/>
    <w:rsid w:val="00817485"/>
    <w:rsid w:val="00817634"/>
    <w:rsid w:val="008176D6"/>
    <w:rsid w:val="008176FE"/>
    <w:rsid w:val="00817898"/>
    <w:rsid w:val="0081794F"/>
    <w:rsid w:val="00817A0B"/>
    <w:rsid w:val="00817A16"/>
    <w:rsid w:val="00817AEF"/>
    <w:rsid w:val="00817B30"/>
    <w:rsid w:val="00817BD6"/>
    <w:rsid w:val="00817C2A"/>
    <w:rsid w:val="00817C64"/>
    <w:rsid w:val="00817C96"/>
    <w:rsid w:val="00817CCD"/>
    <w:rsid w:val="00817CD5"/>
    <w:rsid w:val="00817E11"/>
    <w:rsid w:val="00817E38"/>
    <w:rsid w:val="00817E4A"/>
    <w:rsid w:val="00817EE6"/>
    <w:rsid w:val="00817EEE"/>
    <w:rsid w:val="00817FA0"/>
    <w:rsid w:val="00817FCD"/>
    <w:rsid w:val="008200CF"/>
    <w:rsid w:val="008200D6"/>
    <w:rsid w:val="00820112"/>
    <w:rsid w:val="00820174"/>
    <w:rsid w:val="00820187"/>
    <w:rsid w:val="00820188"/>
    <w:rsid w:val="008201C6"/>
    <w:rsid w:val="0082026E"/>
    <w:rsid w:val="00820293"/>
    <w:rsid w:val="00820296"/>
    <w:rsid w:val="0082029C"/>
    <w:rsid w:val="008202F1"/>
    <w:rsid w:val="0082033E"/>
    <w:rsid w:val="008203ED"/>
    <w:rsid w:val="00820478"/>
    <w:rsid w:val="008204B4"/>
    <w:rsid w:val="0082050A"/>
    <w:rsid w:val="0082051F"/>
    <w:rsid w:val="00820543"/>
    <w:rsid w:val="0082056F"/>
    <w:rsid w:val="008205F1"/>
    <w:rsid w:val="00820616"/>
    <w:rsid w:val="008206D0"/>
    <w:rsid w:val="0082070F"/>
    <w:rsid w:val="00820736"/>
    <w:rsid w:val="00820769"/>
    <w:rsid w:val="00820781"/>
    <w:rsid w:val="00820788"/>
    <w:rsid w:val="008207C4"/>
    <w:rsid w:val="0082091A"/>
    <w:rsid w:val="0082095A"/>
    <w:rsid w:val="008209DC"/>
    <w:rsid w:val="008209DD"/>
    <w:rsid w:val="008209FB"/>
    <w:rsid w:val="00820A14"/>
    <w:rsid w:val="00820A19"/>
    <w:rsid w:val="00820AF1"/>
    <w:rsid w:val="00820B73"/>
    <w:rsid w:val="00820BE9"/>
    <w:rsid w:val="00820C0D"/>
    <w:rsid w:val="00820CC2"/>
    <w:rsid w:val="00820EB4"/>
    <w:rsid w:val="00820F43"/>
    <w:rsid w:val="00820FD1"/>
    <w:rsid w:val="00821017"/>
    <w:rsid w:val="008210BA"/>
    <w:rsid w:val="008210C4"/>
    <w:rsid w:val="0082114E"/>
    <w:rsid w:val="008212AB"/>
    <w:rsid w:val="008212B0"/>
    <w:rsid w:val="0082130E"/>
    <w:rsid w:val="00821547"/>
    <w:rsid w:val="0082155D"/>
    <w:rsid w:val="0082166D"/>
    <w:rsid w:val="0082170A"/>
    <w:rsid w:val="0082171F"/>
    <w:rsid w:val="008217A1"/>
    <w:rsid w:val="008217C9"/>
    <w:rsid w:val="008217D3"/>
    <w:rsid w:val="008218C9"/>
    <w:rsid w:val="00821AA5"/>
    <w:rsid w:val="00821AF7"/>
    <w:rsid w:val="00821AFD"/>
    <w:rsid w:val="00821B89"/>
    <w:rsid w:val="00821C7B"/>
    <w:rsid w:val="00821C87"/>
    <w:rsid w:val="00821E43"/>
    <w:rsid w:val="00821EEB"/>
    <w:rsid w:val="00821F05"/>
    <w:rsid w:val="00821F31"/>
    <w:rsid w:val="00821F47"/>
    <w:rsid w:val="00821F80"/>
    <w:rsid w:val="00821FE0"/>
    <w:rsid w:val="00821FF3"/>
    <w:rsid w:val="0082204E"/>
    <w:rsid w:val="00822063"/>
    <w:rsid w:val="008221F9"/>
    <w:rsid w:val="008222B5"/>
    <w:rsid w:val="0082230B"/>
    <w:rsid w:val="00822338"/>
    <w:rsid w:val="008223A3"/>
    <w:rsid w:val="0082245E"/>
    <w:rsid w:val="008224E8"/>
    <w:rsid w:val="00822590"/>
    <w:rsid w:val="0082265F"/>
    <w:rsid w:val="008226AF"/>
    <w:rsid w:val="008226BD"/>
    <w:rsid w:val="0082285A"/>
    <w:rsid w:val="00822A12"/>
    <w:rsid w:val="00822BC9"/>
    <w:rsid w:val="00822C31"/>
    <w:rsid w:val="00822C72"/>
    <w:rsid w:val="00822C82"/>
    <w:rsid w:val="00822D7C"/>
    <w:rsid w:val="00822E55"/>
    <w:rsid w:val="00822E76"/>
    <w:rsid w:val="00822EC5"/>
    <w:rsid w:val="00822EDB"/>
    <w:rsid w:val="00822F52"/>
    <w:rsid w:val="00823065"/>
    <w:rsid w:val="008230E7"/>
    <w:rsid w:val="008230FC"/>
    <w:rsid w:val="00823144"/>
    <w:rsid w:val="00823194"/>
    <w:rsid w:val="008231B8"/>
    <w:rsid w:val="008231CC"/>
    <w:rsid w:val="008231E7"/>
    <w:rsid w:val="00823388"/>
    <w:rsid w:val="008233F4"/>
    <w:rsid w:val="00823561"/>
    <w:rsid w:val="00823594"/>
    <w:rsid w:val="008235B0"/>
    <w:rsid w:val="0082364C"/>
    <w:rsid w:val="00823737"/>
    <w:rsid w:val="0082375C"/>
    <w:rsid w:val="008237B2"/>
    <w:rsid w:val="008237C7"/>
    <w:rsid w:val="008237E4"/>
    <w:rsid w:val="008237FB"/>
    <w:rsid w:val="0082386B"/>
    <w:rsid w:val="00823871"/>
    <w:rsid w:val="008238EA"/>
    <w:rsid w:val="00823985"/>
    <w:rsid w:val="00823A2A"/>
    <w:rsid w:val="00823ADC"/>
    <w:rsid w:val="00823B2F"/>
    <w:rsid w:val="00823C1A"/>
    <w:rsid w:val="00823E60"/>
    <w:rsid w:val="00823E8C"/>
    <w:rsid w:val="00823EF7"/>
    <w:rsid w:val="00823F9B"/>
    <w:rsid w:val="00823FC2"/>
    <w:rsid w:val="00823FE7"/>
    <w:rsid w:val="00823FFB"/>
    <w:rsid w:val="00824049"/>
    <w:rsid w:val="008240DD"/>
    <w:rsid w:val="008240E5"/>
    <w:rsid w:val="00824101"/>
    <w:rsid w:val="00824139"/>
    <w:rsid w:val="00824151"/>
    <w:rsid w:val="008241A7"/>
    <w:rsid w:val="00824215"/>
    <w:rsid w:val="00824313"/>
    <w:rsid w:val="00824358"/>
    <w:rsid w:val="008243D1"/>
    <w:rsid w:val="008243DD"/>
    <w:rsid w:val="00824442"/>
    <w:rsid w:val="008245EE"/>
    <w:rsid w:val="008246B8"/>
    <w:rsid w:val="0082473F"/>
    <w:rsid w:val="00824784"/>
    <w:rsid w:val="0082483E"/>
    <w:rsid w:val="0082487B"/>
    <w:rsid w:val="00824A61"/>
    <w:rsid w:val="00824AD2"/>
    <w:rsid w:val="00824B70"/>
    <w:rsid w:val="00824C2F"/>
    <w:rsid w:val="00824C37"/>
    <w:rsid w:val="00824D03"/>
    <w:rsid w:val="00824DFB"/>
    <w:rsid w:val="00824E9A"/>
    <w:rsid w:val="00824F08"/>
    <w:rsid w:val="00824F7C"/>
    <w:rsid w:val="00824F7F"/>
    <w:rsid w:val="0082501F"/>
    <w:rsid w:val="00825038"/>
    <w:rsid w:val="0082508E"/>
    <w:rsid w:val="008250CB"/>
    <w:rsid w:val="00825106"/>
    <w:rsid w:val="00825123"/>
    <w:rsid w:val="0082521F"/>
    <w:rsid w:val="008252A6"/>
    <w:rsid w:val="0082533F"/>
    <w:rsid w:val="0082539A"/>
    <w:rsid w:val="00825432"/>
    <w:rsid w:val="0082545C"/>
    <w:rsid w:val="008254F6"/>
    <w:rsid w:val="00825605"/>
    <w:rsid w:val="008256E5"/>
    <w:rsid w:val="0082576C"/>
    <w:rsid w:val="00825813"/>
    <w:rsid w:val="008258D1"/>
    <w:rsid w:val="00825934"/>
    <w:rsid w:val="00825944"/>
    <w:rsid w:val="008259CA"/>
    <w:rsid w:val="00825AB1"/>
    <w:rsid w:val="00825AC2"/>
    <w:rsid w:val="00825C14"/>
    <w:rsid w:val="00825CCF"/>
    <w:rsid w:val="00825CF6"/>
    <w:rsid w:val="00825D3E"/>
    <w:rsid w:val="00825DA3"/>
    <w:rsid w:val="00825E07"/>
    <w:rsid w:val="00825E57"/>
    <w:rsid w:val="00825E8F"/>
    <w:rsid w:val="00825F1E"/>
    <w:rsid w:val="0082601A"/>
    <w:rsid w:val="00826077"/>
    <w:rsid w:val="00826220"/>
    <w:rsid w:val="0082632A"/>
    <w:rsid w:val="0082636B"/>
    <w:rsid w:val="00826370"/>
    <w:rsid w:val="008263DA"/>
    <w:rsid w:val="00826481"/>
    <w:rsid w:val="008264C1"/>
    <w:rsid w:val="008264DC"/>
    <w:rsid w:val="00826529"/>
    <w:rsid w:val="00826533"/>
    <w:rsid w:val="008265FF"/>
    <w:rsid w:val="00826617"/>
    <w:rsid w:val="00826666"/>
    <w:rsid w:val="008267F9"/>
    <w:rsid w:val="008268A5"/>
    <w:rsid w:val="00826AB5"/>
    <w:rsid w:val="00826C19"/>
    <w:rsid w:val="00826C5C"/>
    <w:rsid w:val="00826CBF"/>
    <w:rsid w:val="00826D39"/>
    <w:rsid w:val="00826D53"/>
    <w:rsid w:val="00826DC5"/>
    <w:rsid w:val="00826E9D"/>
    <w:rsid w:val="00826E9E"/>
    <w:rsid w:val="00826EA9"/>
    <w:rsid w:val="00826F1A"/>
    <w:rsid w:val="00826F1C"/>
    <w:rsid w:val="00826F67"/>
    <w:rsid w:val="00827014"/>
    <w:rsid w:val="008270D2"/>
    <w:rsid w:val="00827128"/>
    <w:rsid w:val="00827133"/>
    <w:rsid w:val="008271A4"/>
    <w:rsid w:val="008271D2"/>
    <w:rsid w:val="00827360"/>
    <w:rsid w:val="0082736A"/>
    <w:rsid w:val="00827397"/>
    <w:rsid w:val="008273B7"/>
    <w:rsid w:val="00827481"/>
    <w:rsid w:val="008274B8"/>
    <w:rsid w:val="0082750C"/>
    <w:rsid w:val="00827571"/>
    <w:rsid w:val="00827632"/>
    <w:rsid w:val="00827789"/>
    <w:rsid w:val="008277EC"/>
    <w:rsid w:val="008277F6"/>
    <w:rsid w:val="0082785E"/>
    <w:rsid w:val="00827920"/>
    <w:rsid w:val="0082799E"/>
    <w:rsid w:val="008279EB"/>
    <w:rsid w:val="008279F9"/>
    <w:rsid w:val="00827A81"/>
    <w:rsid w:val="00827B04"/>
    <w:rsid w:val="00827B3A"/>
    <w:rsid w:val="00827BA7"/>
    <w:rsid w:val="00827C77"/>
    <w:rsid w:val="00827CAB"/>
    <w:rsid w:val="00827D92"/>
    <w:rsid w:val="00827DCB"/>
    <w:rsid w:val="00827DFC"/>
    <w:rsid w:val="00827E5E"/>
    <w:rsid w:val="00827F22"/>
    <w:rsid w:val="00827F79"/>
    <w:rsid w:val="00827F93"/>
    <w:rsid w:val="00827F9A"/>
    <w:rsid w:val="00830026"/>
    <w:rsid w:val="0083003A"/>
    <w:rsid w:val="008300A9"/>
    <w:rsid w:val="008300F4"/>
    <w:rsid w:val="00830101"/>
    <w:rsid w:val="00830149"/>
    <w:rsid w:val="00830186"/>
    <w:rsid w:val="008301A8"/>
    <w:rsid w:val="0083023B"/>
    <w:rsid w:val="0083030C"/>
    <w:rsid w:val="00830361"/>
    <w:rsid w:val="008303A5"/>
    <w:rsid w:val="00830403"/>
    <w:rsid w:val="0083040A"/>
    <w:rsid w:val="00830427"/>
    <w:rsid w:val="0083048B"/>
    <w:rsid w:val="008304A9"/>
    <w:rsid w:val="00830661"/>
    <w:rsid w:val="00830687"/>
    <w:rsid w:val="008306B2"/>
    <w:rsid w:val="008306C0"/>
    <w:rsid w:val="008306C2"/>
    <w:rsid w:val="00830714"/>
    <w:rsid w:val="00830721"/>
    <w:rsid w:val="00830773"/>
    <w:rsid w:val="00830881"/>
    <w:rsid w:val="0083090D"/>
    <w:rsid w:val="00830982"/>
    <w:rsid w:val="008309BF"/>
    <w:rsid w:val="00830A7D"/>
    <w:rsid w:val="00830ABE"/>
    <w:rsid w:val="00830B1C"/>
    <w:rsid w:val="00830CBC"/>
    <w:rsid w:val="00830D31"/>
    <w:rsid w:val="00830D40"/>
    <w:rsid w:val="00830D5E"/>
    <w:rsid w:val="00830D93"/>
    <w:rsid w:val="00830DFD"/>
    <w:rsid w:val="00830FA4"/>
    <w:rsid w:val="008311B8"/>
    <w:rsid w:val="00831206"/>
    <w:rsid w:val="00831212"/>
    <w:rsid w:val="0083125A"/>
    <w:rsid w:val="00831315"/>
    <w:rsid w:val="00831448"/>
    <w:rsid w:val="00831469"/>
    <w:rsid w:val="00831487"/>
    <w:rsid w:val="00831501"/>
    <w:rsid w:val="00831595"/>
    <w:rsid w:val="008315BE"/>
    <w:rsid w:val="0083163E"/>
    <w:rsid w:val="008316B0"/>
    <w:rsid w:val="0083173F"/>
    <w:rsid w:val="00831772"/>
    <w:rsid w:val="00831803"/>
    <w:rsid w:val="0083181F"/>
    <w:rsid w:val="008318F1"/>
    <w:rsid w:val="0083192C"/>
    <w:rsid w:val="00831A09"/>
    <w:rsid w:val="00831A19"/>
    <w:rsid w:val="00831A96"/>
    <w:rsid w:val="00831C00"/>
    <w:rsid w:val="00831C51"/>
    <w:rsid w:val="00831C7A"/>
    <w:rsid w:val="00831C85"/>
    <w:rsid w:val="00831DE9"/>
    <w:rsid w:val="00831E37"/>
    <w:rsid w:val="00831F87"/>
    <w:rsid w:val="00831FCD"/>
    <w:rsid w:val="0083225B"/>
    <w:rsid w:val="008322C1"/>
    <w:rsid w:val="008323CE"/>
    <w:rsid w:val="008324B4"/>
    <w:rsid w:val="00832534"/>
    <w:rsid w:val="00832538"/>
    <w:rsid w:val="0083259F"/>
    <w:rsid w:val="008325E1"/>
    <w:rsid w:val="008326B7"/>
    <w:rsid w:val="008326E8"/>
    <w:rsid w:val="00832773"/>
    <w:rsid w:val="0083278D"/>
    <w:rsid w:val="00832820"/>
    <w:rsid w:val="0083289F"/>
    <w:rsid w:val="0083291F"/>
    <w:rsid w:val="00832971"/>
    <w:rsid w:val="008329A8"/>
    <w:rsid w:val="008329B0"/>
    <w:rsid w:val="008329DA"/>
    <w:rsid w:val="00832A7F"/>
    <w:rsid w:val="00832AAB"/>
    <w:rsid w:val="00832AAF"/>
    <w:rsid w:val="00832BB9"/>
    <w:rsid w:val="00832C0D"/>
    <w:rsid w:val="00832C21"/>
    <w:rsid w:val="00832C9D"/>
    <w:rsid w:val="00832CBB"/>
    <w:rsid w:val="00832CD8"/>
    <w:rsid w:val="00832DB4"/>
    <w:rsid w:val="00832E07"/>
    <w:rsid w:val="00832F05"/>
    <w:rsid w:val="00832F4A"/>
    <w:rsid w:val="00832F73"/>
    <w:rsid w:val="00832F8B"/>
    <w:rsid w:val="00832F9A"/>
    <w:rsid w:val="00832FA6"/>
    <w:rsid w:val="00833024"/>
    <w:rsid w:val="008330BE"/>
    <w:rsid w:val="00833104"/>
    <w:rsid w:val="008332C9"/>
    <w:rsid w:val="0083340F"/>
    <w:rsid w:val="00833449"/>
    <w:rsid w:val="0083345A"/>
    <w:rsid w:val="008334AE"/>
    <w:rsid w:val="008334AF"/>
    <w:rsid w:val="008334F7"/>
    <w:rsid w:val="0083354A"/>
    <w:rsid w:val="008335BC"/>
    <w:rsid w:val="008335E4"/>
    <w:rsid w:val="008335FA"/>
    <w:rsid w:val="00833634"/>
    <w:rsid w:val="0083363C"/>
    <w:rsid w:val="008336E2"/>
    <w:rsid w:val="00833782"/>
    <w:rsid w:val="008337C3"/>
    <w:rsid w:val="00833815"/>
    <w:rsid w:val="0083382F"/>
    <w:rsid w:val="0083383A"/>
    <w:rsid w:val="008338A3"/>
    <w:rsid w:val="008338B5"/>
    <w:rsid w:val="008338B7"/>
    <w:rsid w:val="008339DC"/>
    <w:rsid w:val="008339ED"/>
    <w:rsid w:val="00833A55"/>
    <w:rsid w:val="00833AE2"/>
    <w:rsid w:val="00833B53"/>
    <w:rsid w:val="00833BAB"/>
    <w:rsid w:val="00833C29"/>
    <w:rsid w:val="00833C3E"/>
    <w:rsid w:val="00833CB9"/>
    <w:rsid w:val="00833D04"/>
    <w:rsid w:val="00833D2E"/>
    <w:rsid w:val="00833D36"/>
    <w:rsid w:val="00833DF4"/>
    <w:rsid w:val="00833E78"/>
    <w:rsid w:val="00833ED4"/>
    <w:rsid w:val="00833ED5"/>
    <w:rsid w:val="00833F0B"/>
    <w:rsid w:val="00833F61"/>
    <w:rsid w:val="00833F66"/>
    <w:rsid w:val="00834013"/>
    <w:rsid w:val="0083404B"/>
    <w:rsid w:val="008340A1"/>
    <w:rsid w:val="0083419E"/>
    <w:rsid w:val="008341B1"/>
    <w:rsid w:val="0083438B"/>
    <w:rsid w:val="00834400"/>
    <w:rsid w:val="008344E8"/>
    <w:rsid w:val="0083454D"/>
    <w:rsid w:val="0083455D"/>
    <w:rsid w:val="008346AC"/>
    <w:rsid w:val="0083472F"/>
    <w:rsid w:val="008347B2"/>
    <w:rsid w:val="00834858"/>
    <w:rsid w:val="008348BC"/>
    <w:rsid w:val="00834A43"/>
    <w:rsid w:val="00834A5F"/>
    <w:rsid w:val="00834AB9"/>
    <w:rsid w:val="00834B32"/>
    <w:rsid w:val="00834B45"/>
    <w:rsid w:val="00834B69"/>
    <w:rsid w:val="00834C26"/>
    <w:rsid w:val="00834CD4"/>
    <w:rsid w:val="00834D04"/>
    <w:rsid w:val="00834D08"/>
    <w:rsid w:val="00834D20"/>
    <w:rsid w:val="00834D63"/>
    <w:rsid w:val="00834D8F"/>
    <w:rsid w:val="00834D97"/>
    <w:rsid w:val="00834FAC"/>
    <w:rsid w:val="00835073"/>
    <w:rsid w:val="008350FD"/>
    <w:rsid w:val="00835117"/>
    <w:rsid w:val="00835160"/>
    <w:rsid w:val="008351BA"/>
    <w:rsid w:val="008351C0"/>
    <w:rsid w:val="00835246"/>
    <w:rsid w:val="0083526E"/>
    <w:rsid w:val="008352DE"/>
    <w:rsid w:val="00835362"/>
    <w:rsid w:val="00835549"/>
    <w:rsid w:val="00835608"/>
    <w:rsid w:val="0083563F"/>
    <w:rsid w:val="00835793"/>
    <w:rsid w:val="00835810"/>
    <w:rsid w:val="0083587C"/>
    <w:rsid w:val="008358EF"/>
    <w:rsid w:val="008359C4"/>
    <w:rsid w:val="008359D5"/>
    <w:rsid w:val="008359E7"/>
    <w:rsid w:val="008359F8"/>
    <w:rsid w:val="008359FD"/>
    <w:rsid w:val="00835B45"/>
    <w:rsid w:val="00835B4A"/>
    <w:rsid w:val="00835B60"/>
    <w:rsid w:val="00835B77"/>
    <w:rsid w:val="00835B89"/>
    <w:rsid w:val="00835BA0"/>
    <w:rsid w:val="00835E22"/>
    <w:rsid w:val="0083602D"/>
    <w:rsid w:val="00836120"/>
    <w:rsid w:val="0083622F"/>
    <w:rsid w:val="008363A0"/>
    <w:rsid w:val="00836445"/>
    <w:rsid w:val="0083645E"/>
    <w:rsid w:val="0083645F"/>
    <w:rsid w:val="0083647B"/>
    <w:rsid w:val="008364A8"/>
    <w:rsid w:val="008364BB"/>
    <w:rsid w:val="008364D3"/>
    <w:rsid w:val="008364D5"/>
    <w:rsid w:val="00836519"/>
    <w:rsid w:val="008366D9"/>
    <w:rsid w:val="00836792"/>
    <w:rsid w:val="00836821"/>
    <w:rsid w:val="0083689B"/>
    <w:rsid w:val="008368EE"/>
    <w:rsid w:val="00836993"/>
    <w:rsid w:val="008369C8"/>
    <w:rsid w:val="00836A08"/>
    <w:rsid w:val="00836ADE"/>
    <w:rsid w:val="00836C00"/>
    <w:rsid w:val="00836C22"/>
    <w:rsid w:val="00836D19"/>
    <w:rsid w:val="00836D21"/>
    <w:rsid w:val="00836D6F"/>
    <w:rsid w:val="00836DDE"/>
    <w:rsid w:val="00836E77"/>
    <w:rsid w:val="00836F07"/>
    <w:rsid w:val="00836F0A"/>
    <w:rsid w:val="00836F56"/>
    <w:rsid w:val="00836FE6"/>
    <w:rsid w:val="0083701E"/>
    <w:rsid w:val="0083730A"/>
    <w:rsid w:val="00837442"/>
    <w:rsid w:val="008374D7"/>
    <w:rsid w:val="008374E5"/>
    <w:rsid w:val="00837523"/>
    <w:rsid w:val="0083758B"/>
    <w:rsid w:val="008375C8"/>
    <w:rsid w:val="008376A7"/>
    <w:rsid w:val="008376B7"/>
    <w:rsid w:val="00837777"/>
    <w:rsid w:val="0083778E"/>
    <w:rsid w:val="00837838"/>
    <w:rsid w:val="00837A21"/>
    <w:rsid w:val="00837AB7"/>
    <w:rsid w:val="00837ACC"/>
    <w:rsid w:val="00837BC9"/>
    <w:rsid w:val="00837DAE"/>
    <w:rsid w:val="00837DB9"/>
    <w:rsid w:val="00837DE2"/>
    <w:rsid w:val="00837E64"/>
    <w:rsid w:val="00840164"/>
    <w:rsid w:val="00840177"/>
    <w:rsid w:val="00840188"/>
    <w:rsid w:val="008402C6"/>
    <w:rsid w:val="00840380"/>
    <w:rsid w:val="008403B8"/>
    <w:rsid w:val="00840493"/>
    <w:rsid w:val="00840499"/>
    <w:rsid w:val="0084049D"/>
    <w:rsid w:val="008404A8"/>
    <w:rsid w:val="0084054A"/>
    <w:rsid w:val="0084054B"/>
    <w:rsid w:val="008405AB"/>
    <w:rsid w:val="008405BF"/>
    <w:rsid w:val="008405D5"/>
    <w:rsid w:val="00840710"/>
    <w:rsid w:val="00840797"/>
    <w:rsid w:val="008407C1"/>
    <w:rsid w:val="008407E5"/>
    <w:rsid w:val="00840823"/>
    <w:rsid w:val="00840A64"/>
    <w:rsid w:val="00840A7A"/>
    <w:rsid w:val="00840A8F"/>
    <w:rsid w:val="00840ADD"/>
    <w:rsid w:val="00840B1F"/>
    <w:rsid w:val="00840B3D"/>
    <w:rsid w:val="00840BE4"/>
    <w:rsid w:val="00840C32"/>
    <w:rsid w:val="00840D65"/>
    <w:rsid w:val="00840D79"/>
    <w:rsid w:val="00840DCC"/>
    <w:rsid w:val="00840E87"/>
    <w:rsid w:val="00840F46"/>
    <w:rsid w:val="00840FCD"/>
    <w:rsid w:val="008410CD"/>
    <w:rsid w:val="008410D4"/>
    <w:rsid w:val="0084110D"/>
    <w:rsid w:val="0084117D"/>
    <w:rsid w:val="008411BA"/>
    <w:rsid w:val="00841263"/>
    <w:rsid w:val="008412A3"/>
    <w:rsid w:val="0084132C"/>
    <w:rsid w:val="00841351"/>
    <w:rsid w:val="008413CA"/>
    <w:rsid w:val="008413E6"/>
    <w:rsid w:val="00841433"/>
    <w:rsid w:val="008414DC"/>
    <w:rsid w:val="00841527"/>
    <w:rsid w:val="0084156F"/>
    <w:rsid w:val="008415A1"/>
    <w:rsid w:val="00841616"/>
    <w:rsid w:val="0084164B"/>
    <w:rsid w:val="0084174B"/>
    <w:rsid w:val="00841887"/>
    <w:rsid w:val="008419A4"/>
    <w:rsid w:val="00841A35"/>
    <w:rsid w:val="00841A71"/>
    <w:rsid w:val="00841BDB"/>
    <w:rsid w:val="00841C93"/>
    <w:rsid w:val="00841DE8"/>
    <w:rsid w:val="00841DF2"/>
    <w:rsid w:val="00841E18"/>
    <w:rsid w:val="00841E58"/>
    <w:rsid w:val="00841E64"/>
    <w:rsid w:val="00841E80"/>
    <w:rsid w:val="00841EF4"/>
    <w:rsid w:val="00841FA9"/>
    <w:rsid w:val="00842008"/>
    <w:rsid w:val="008420BE"/>
    <w:rsid w:val="008420FA"/>
    <w:rsid w:val="008421AB"/>
    <w:rsid w:val="008421F3"/>
    <w:rsid w:val="0084221C"/>
    <w:rsid w:val="00842305"/>
    <w:rsid w:val="00842391"/>
    <w:rsid w:val="008423B4"/>
    <w:rsid w:val="008423B8"/>
    <w:rsid w:val="0084241E"/>
    <w:rsid w:val="0084245F"/>
    <w:rsid w:val="008424B3"/>
    <w:rsid w:val="008424F1"/>
    <w:rsid w:val="00842599"/>
    <w:rsid w:val="00842775"/>
    <w:rsid w:val="0084284E"/>
    <w:rsid w:val="00842863"/>
    <w:rsid w:val="00842A15"/>
    <w:rsid w:val="00842A34"/>
    <w:rsid w:val="00842B49"/>
    <w:rsid w:val="00842B55"/>
    <w:rsid w:val="00842BB0"/>
    <w:rsid w:val="00842BBD"/>
    <w:rsid w:val="00842C0A"/>
    <w:rsid w:val="00842C7B"/>
    <w:rsid w:val="00842D4A"/>
    <w:rsid w:val="00842D4C"/>
    <w:rsid w:val="00842D5D"/>
    <w:rsid w:val="00842D8E"/>
    <w:rsid w:val="00842EE7"/>
    <w:rsid w:val="00842EF7"/>
    <w:rsid w:val="00842F0A"/>
    <w:rsid w:val="00842F49"/>
    <w:rsid w:val="008430BE"/>
    <w:rsid w:val="00843138"/>
    <w:rsid w:val="0084321B"/>
    <w:rsid w:val="0084323B"/>
    <w:rsid w:val="0084327B"/>
    <w:rsid w:val="00843282"/>
    <w:rsid w:val="00843314"/>
    <w:rsid w:val="0084331D"/>
    <w:rsid w:val="008433D1"/>
    <w:rsid w:val="008433F5"/>
    <w:rsid w:val="00843438"/>
    <w:rsid w:val="0084348B"/>
    <w:rsid w:val="0084349A"/>
    <w:rsid w:val="00843548"/>
    <w:rsid w:val="0084354C"/>
    <w:rsid w:val="00843599"/>
    <w:rsid w:val="008435DB"/>
    <w:rsid w:val="0084364E"/>
    <w:rsid w:val="00843653"/>
    <w:rsid w:val="00843696"/>
    <w:rsid w:val="008436F2"/>
    <w:rsid w:val="008437E4"/>
    <w:rsid w:val="00843855"/>
    <w:rsid w:val="00843857"/>
    <w:rsid w:val="0084390B"/>
    <w:rsid w:val="00843A1A"/>
    <w:rsid w:val="00843B79"/>
    <w:rsid w:val="00843C25"/>
    <w:rsid w:val="00843E61"/>
    <w:rsid w:val="00843E78"/>
    <w:rsid w:val="00843F1E"/>
    <w:rsid w:val="00843F7E"/>
    <w:rsid w:val="0084404D"/>
    <w:rsid w:val="0084433C"/>
    <w:rsid w:val="00844365"/>
    <w:rsid w:val="00844368"/>
    <w:rsid w:val="00844447"/>
    <w:rsid w:val="008444AD"/>
    <w:rsid w:val="00844563"/>
    <w:rsid w:val="008445CA"/>
    <w:rsid w:val="008445D9"/>
    <w:rsid w:val="008446A8"/>
    <w:rsid w:val="008447C3"/>
    <w:rsid w:val="00844835"/>
    <w:rsid w:val="00844935"/>
    <w:rsid w:val="0084496B"/>
    <w:rsid w:val="0084498F"/>
    <w:rsid w:val="00844A14"/>
    <w:rsid w:val="00844A3F"/>
    <w:rsid w:val="00844C7B"/>
    <w:rsid w:val="00844CB1"/>
    <w:rsid w:val="00844CCB"/>
    <w:rsid w:val="00844D25"/>
    <w:rsid w:val="00844D83"/>
    <w:rsid w:val="00844E0B"/>
    <w:rsid w:val="00844E20"/>
    <w:rsid w:val="00844E96"/>
    <w:rsid w:val="00844F24"/>
    <w:rsid w:val="00844FB8"/>
    <w:rsid w:val="0084508D"/>
    <w:rsid w:val="0084509B"/>
    <w:rsid w:val="008450C5"/>
    <w:rsid w:val="00845151"/>
    <w:rsid w:val="00845278"/>
    <w:rsid w:val="008452B6"/>
    <w:rsid w:val="008452ED"/>
    <w:rsid w:val="00845353"/>
    <w:rsid w:val="0084535D"/>
    <w:rsid w:val="008453C4"/>
    <w:rsid w:val="00845420"/>
    <w:rsid w:val="00845429"/>
    <w:rsid w:val="00845440"/>
    <w:rsid w:val="00845443"/>
    <w:rsid w:val="008454BC"/>
    <w:rsid w:val="00845504"/>
    <w:rsid w:val="00845541"/>
    <w:rsid w:val="008456BB"/>
    <w:rsid w:val="00845815"/>
    <w:rsid w:val="00845862"/>
    <w:rsid w:val="0084589C"/>
    <w:rsid w:val="008458A9"/>
    <w:rsid w:val="0084590D"/>
    <w:rsid w:val="00845946"/>
    <w:rsid w:val="0084595F"/>
    <w:rsid w:val="00845990"/>
    <w:rsid w:val="008459EF"/>
    <w:rsid w:val="00845A09"/>
    <w:rsid w:val="00845A67"/>
    <w:rsid w:val="00845AC9"/>
    <w:rsid w:val="00845B0F"/>
    <w:rsid w:val="00845B46"/>
    <w:rsid w:val="00845C2F"/>
    <w:rsid w:val="00845C48"/>
    <w:rsid w:val="00845D13"/>
    <w:rsid w:val="00845EAF"/>
    <w:rsid w:val="00845EB5"/>
    <w:rsid w:val="00845FA1"/>
    <w:rsid w:val="0084602E"/>
    <w:rsid w:val="00846050"/>
    <w:rsid w:val="008460FC"/>
    <w:rsid w:val="00846164"/>
    <w:rsid w:val="008461DE"/>
    <w:rsid w:val="008461F3"/>
    <w:rsid w:val="008461FC"/>
    <w:rsid w:val="00846236"/>
    <w:rsid w:val="0084625A"/>
    <w:rsid w:val="00846277"/>
    <w:rsid w:val="00846284"/>
    <w:rsid w:val="008462A3"/>
    <w:rsid w:val="008462FC"/>
    <w:rsid w:val="008463DE"/>
    <w:rsid w:val="008463FB"/>
    <w:rsid w:val="00846426"/>
    <w:rsid w:val="00846482"/>
    <w:rsid w:val="008464F6"/>
    <w:rsid w:val="008465A9"/>
    <w:rsid w:val="00846656"/>
    <w:rsid w:val="008466AB"/>
    <w:rsid w:val="00846703"/>
    <w:rsid w:val="0084672E"/>
    <w:rsid w:val="00846739"/>
    <w:rsid w:val="00846899"/>
    <w:rsid w:val="0084691D"/>
    <w:rsid w:val="0084694F"/>
    <w:rsid w:val="00846953"/>
    <w:rsid w:val="00846978"/>
    <w:rsid w:val="00846A5C"/>
    <w:rsid w:val="00846A6E"/>
    <w:rsid w:val="00846B38"/>
    <w:rsid w:val="00846B7B"/>
    <w:rsid w:val="00846BA0"/>
    <w:rsid w:val="00846EE5"/>
    <w:rsid w:val="00846EFD"/>
    <w:rsid w:val="00846F66"/>
    <w:rsid w:val="00846FAE"/>
    <w:rsid w:val="008470B3"/>
    <w:rsid w:val="008470BB"/>
    <w:rsid w:val="00847278"/>
    <w:rsid w:val="008472A1"/>
    <w:rsid w:val="008472A3"/>
    <w:rsid w:val="008472AD"/>
    <w:rsid w:val="00847345"/>
    <w:rsid w:val="0084750E"/>
    <w:rsid w:val="0084750F"/>
    <w:rsid w:val="00847571"/>
    <w:rsid w:val="00847619"/>
    <w:rsid w:val="0084764C"/>
    <w:rsid w:val="0084769D"/>
    <w:rsid w:val="008476A9"/>
    <w:rsid w:val="008477EE"/>
    <w:rsid w:val="008477F7"/>
    <w:rsid w:val="00847894"/>
    <w:rsid w:val="00847A75"/>
    <w:rsid w:val="00847A99"/>
    <w:rsid w:val="00847ABF"/>
    <w:rsid w:val="00847AEB"/>
    <w:rsid w:val="00847CF6"/>
    <w:rsid w:val="00847D6D"/>
    <w:rsid w:val="00847E7E"/>
    <w:rsid w:val="00847EA7"/>
    <w:rsid w:val="00850057"/>
    <w:rsid w:val="00850160"/>
    <w:rsid w:val="00850165"/>
    <w:rsid w:val="0085016B"/>
    <w:rsid w:val="00850269"/>
    <w:rsid w:val="0085034A"/>
    <w:rsid w:val="008503EE"/>
    <w:rsid w:val="00850544"/>
    <w:rsid w:val="0085054D"/>
    <w:rsid w:val="00850602"/>
    <w:rsid w:val="0085067A"/>
    <w:rsid w:val="0085077B"/>
    <w:rsid w:val="00850791"/>
    <w:rsid w:val="008507EA"/>
    <w:rsid w:val="00850821"/>
    <w:rsid w:val="008508B9"/>
    <w:rsid w:val="008508D5"/>
    <w:rsid w:val="00850A28"/>
    <w:rsid w:val="00850B32"/>
    <w:rsid w:val="00850BD4"/>
    <w:rsid w:val="00850C28"/>
    <w:rsid w:val="00850D57"/>
    <w:rsid w:val="00850D73"/>
    <w:rsid w:val="00850DC3"/>
    <w:rsid w:val="00850E18"/>
    <w:rsid w:val="00850ED8"/>
    <w:rsid w:val="00850FEA"/>
    <w:rsid w:val="00851130"/>
    <w:rsid w:val="00851212"/>
    <w:rsid w:val="00851236"/>
    <w:rsid w:val="0085126A"/>
    <w:rsid w:val="00851389"/>
    <w:rsid w:val="0085138A"/>
    <w:rsid w:val="008513CD"/>
    <w:rsid w:val="00851440"/>
    <w:rsid w:val="008514D7"/>
    <w:rsid w:val="00851553"/>
    <w:rsid w:val="0085155F"/>
    <w:rsid w:val="00851632"/>
    <w:rsid w:val="00851729"/>
    <w:rsid w:val="0085175B"/>
    <w:rsid w:val="00851800"/>
    <w:rsid w:val="00851824"/>
    <w:rsid w:val="008518B0"/>
    <w:rsid w:val="008518EB"/>
    <w:rsid w:val="00851922"/>
    <w:rsid w:val="0085198A"/>
    <w:rsid w:val="00851994"/>
    <w:rsid w:val="00851A24"/>
    <w:rsid w:val="00851A2F"/>
    <w:rsid w:val="00851A76"/>
    <w:rsid w:val="00851A99"/>
    <w:rsid w:val="00851BCC"/>
    <w:rsid w:val="00851C4B"/>
    <w:rsid w:val="00851CF6"/>
    <w:rsid w:val="00851D1E"/>
    <w:rsid w:val="00851D39"/>
    <w:rsid w:val="00851D4C"/>
    <w:rsid w:val="00851DB9"/>
    <w:rsid w:val="00851EC5"/>
    <w:rsid w:val="00851EEF"/>
    <w:rsid w:val="00851EFF"/>
    <w:rsid w:val="00852011"/>
    <w:rsid w:val="0085202D"/>
    <w:rsid w:val="008521B2"/>
    <w:rsid w:val="00852217"/>
    <w:rsid w:val="00852225"/>
    <w:rsid w:val="008522D7"/>
    <w:rsid w:val="00852376"/>
    <w:rsid w:val="0085237D"/>
    <w:rsid w:val="0085241E"/>
    <w:rsid w:val="0085241F"/>
    <w:rsid w:val="00852423"/>
    <w:rsid w:val="0085247F"/>
    <w:rsid w:val="0085248A"/>
    <w:rsid w:val="008524EB"/>
    <w:rsid w:val="008525C9"/>
    <w:rsid w:val="0085278E"/>
    <w:rsid w:val="0085284E"/>
    <w:rsid w:val="00852944"/>
    <w:rsid w:val="00852AA3"/>
    <w:rsid w:val="00852AB8"/>
    <w:rsid w:val="00852AC2"/>
    <w:rsid w:val="00852C67"/>
    <w:rsid w:val="00852D07"/>
    <w:rsid w:val="00852D58"/>
    <w:rsid w:val="00852D5B"/>
    <w:rsid w:val="00852D8D"/>
    <w:rsid w:val="00852E7C"/>
    <w:rsid w:val="00852ED3"/>
    <w:rsid w:val="00852EE4"/>
    <w:rsid w:val="00852F05"/>
    <w:rsid w:val="00852F07"/>
    <w:rsid w:val="00852F1E"/>
    <w:rsid w:val="00852F99"/>
    <w:rsid w:val="00852FB1"/>
    <w:rsid w:val="008530EC"/>
    <w:rsid w:val="008530FE"/>
    <w:rsid w:val="0085317E"/>
    <w:rsid w:val="008531E1"/>
    <w:rsid w:val="00853246"/>
    <w:rsid w:val="0085324F"/>
    <w:rsid w:val="00853317"/>
    <w:rsid w:val="0085342B"/>
    <w:rsid w:val="0085363E"/>
    <w:rsid w:val="00853650"/>
    <w:rsid w:val="00853682"/>
    <w:rsid w:val="008536B9"/>
    <w:rsid w:val="008536D4"/>
    <w:rsid w:val="0085375F"/>
    <w:rsid w:val="0085381B"/>
    <w:rsid w:val="008538BB"/>
    <w:rsid w:val="008539A8"/>
    <w:rsid w:val="00853A04"/>
    <w:rsid w:val="00853A8B"/>
    <w:rsid w:val="00853ADC"/>
    <w:rsid w:val="00853AFC"/>
    <w:rsid w:val="00853B3F"/>
    <w:rsid w:val="00853B7D"/>
    <w:rsid w:val="00853B9E"/>
    <w:rsid w:val="00853C90"/>
    <w:rsid w:val="00853C9D"/>
    <w:rsid w:val="00853D6E"/>
    <w:rsid w:val="00853E24"/>
    <w:rsid w:val="00853F28"/>
    <w:rsid w:val="00853FC3"/>
    <w:rsid w:val="0085402A"/>
    <w:rsid w:val="00854181"/>
    <w:rsid w:val="00854192"/>
    <w:rsid w:val="008541EF"/>
    <w:rsid w:val="00854203"/>
    <w:rsid w:val="00854240"/>
    <w:rsid w:val="00854319"/>
    <w:rsid w:val="0085431B"/>
    <w:rsid w:val="00854369"/>
    <w:rsid w:val="0085439A"/>
    <w:rsid w:val="00854427"/>
    <w:rsid w:val="00854506"/>
    <w:rsid w:val="00854519"/>
    <w:rsid w:val="0085461C"/>
    <w:rsid w:val="00854698"/>
    <w:rsid w:val="00854714"/>
    <w:rsid w:val="0085472B"/>
    <w:rsid w:val="0085483B"/>
    <w:rsid w:val="00854845"/>
    <w:rsid w:val="008548FB"/>
    <w:rsid w:val="0085491A"/>
    <w:rsid w:val="0085499B"/>
    <w:rsid w:val="008549DF"/>
    <w:rsid w:val="008549E0"/>
    <w:rsid w:val="008549E2"/>
    <w:rsid w:val="00854A71"/>
    <w:rsid w:val="00854B6A"/>
    <w:rsid w:val="00854B6C"/>
    <w:rsid w:val="00854DEC"/>
    <w:rsid w:val="00854E6B"/>
    <w:rsid w:val="00854E99"/>
    <w:rsid w:val="00854EE3"/>
    <w:rsid w:val="00854FA0"/>
    <w:rsid w:val="00855045"/>
    <w:rsid w:val="008550C8"/>
    <w:rsid w:val="00855118"/>
    <w:rsid w:val="0085520B"/>
    <w:rsid w:val="00855278"/>
    <w:rsid w:val="00855300"/>
    <w:rsid w:val="008553B5"/>
    <w:rsid w:val="008554B0"/>
    <w:rsid w:val="008554EB"/>
    <w:rsid w:val="00855523"/>
    <w:rsid w:val="00855550"/>
    <w:rsid w:val="00855585"/>
    <w:rsid w:val="008555CC"/>
    <w:rsid w:val="008555E3"/>
    <w:rsid w:val="00855610"/>
    <w:rsid w:val="00855661"/>
    <w:rsid w:val="0085572D"/>
    <w:rsid w:val="00855745"/>
    <w:rsid w:val="00855816"/>
    <w:rsid w:val="008558D0"/>
    <w:rsid w:val="008559CD"/>
    <w:rsid w:val="00855AB9"/>
    <w:rsid w:val="00855AD8"/>
    <w:rsid w:val="00855AF2"/>
    <w:rsid w:val="00855C23"/>
    <w:rsid w:val="00855D38"/>
    <w:rsid w:val="00855D6C"/>
    <w:rsid w:val="00855DAB"/>
    <w:rsid w:val="00855DB6"/>
    <w:rsid w:val="00855DB9"/>
    <w:rsid w:val="00855E19"/>
    <w:rsid w:val="00855EC3"/>
    <w:rsid w:val="00856016"/>
    <w:rsid w:val="008560AB"/>
    <w:rsid w:val="008560B1"/>
    <w:rsid w:val="008560B8"/>
    <w:rsid w:val="0085612D"/>
    <w:rsid w:val="0085614C"/>
    <w:rsid w:val="0085617C"/>
    <w:rsid w:val="00856208"/>
    <w:rsid w:val="00856233"/>
    <w:rsid w:val="0085634E"/>
    <w:rsid w:val="00856540"/>
    <w:rsid w:val="008565C5"/>
    <w:rsid w:val="008565CB"/>
    <w:rsid w:val="0085663A"/>
    <w:rsid w:val="00856669"/>
    <w:rsid w:val="00856747"/>
    <w:rsid w:val="00856748"/>
    <w:rsid w:val="0085675E"/>
    <w:rsid w:val="008567D6"/>
    <w:rsid w:val="008569B7"/>
    <w:rsid w:val="008569D7"/>
    <w:rsid w:val="00856A26"/>
    <w:rsid w:val="00856AA5"/>
    <w:rsid w:val="00856B1B"/>
    <w:rsid w:val="00856B5F"/>
    <w:rsid w:val="00856B7C"/>
    <w:rsid w:val="00856BC7"/>
    <w:rsid w:val="00856D05"/>
    <w:rsid w:val="00856D0C"/>
    <w:rsid w:val="00856D7F"/>
    <w:rsid w:val="00856DF7"/>
    <w:rsid w:val="00856F36"/>
    <w:rsid w:val="00856FCE"/>
    <w:rsid w:val="00856FFF"/>
    <w:rsid w:val="00857016"/>
    <w:rsid w:val="0085701D"/>
    <w:rsid w:val="008570A3"/>
    <w:rsid w:val="0085713C"/>
    <w:rsid w:val="00857146"/>
    <w:rsid w:val="00857157"/>
    <w:rsid w:val="00857158"/>
    <w:rsid w:val="0085715A"/>
    <w:rsid w:val="0085722A"/>
    <w:rsid w:val="00857282"/>
    <w:rsid w:val="008572E0"/>
    <w:rsid w:val="00857334"/>
    <w:rsid w:val="0085737A"/>
    <w:rsid w:val="00857400"/>
    <w:rsid w:val="00857509"/>
    <w:rsid w:val="0085757D"/>
    <w:rsid w:val="00857587"/>
    <w:rsid w:val="00857594"/>
    <w:rsid w:val="0085759F"/>
    <w:rsid w:val="008575B4"/>
    <w:rsid w:val="00857657"/>
    <w:rsid w:val="0085772C"/>
    <w:rsid w:val="00857784"/>
    <w:rsid w:val="008577CF"/>
    <w:rsid w:val="0085781B"/>
    <w:rsid w:val="0085798D"/>
    <w:rsid w:val="008579B1"/>
    <w:rsid w:val="00857A38"/>
    <w:rsid w:val="00857AA1"/>
    <w:rsid w:val="00857AB0"/>
    <w:rsid w:val="00857ABB"/>
    <w:rsid w:val="00857AFC"/>
    <w:rsid w:val="00857B54"/>
    <w:rsid w:val="00857B63"/>
    <w:rsid w:val="00857B67"/>
    <w:rsid w:val="00857BB1"/>
    <w:rsid w:val="00857C0B"/>
    <w:rsid w:val="00857CD9"/>
    <w:rsid w:val="00857D77"/>
    <w:rsid w:val="00857D78"/>
    <w:rsid w:val="00857D8C"/>
    <w:rsid w:val="00857D97"/>
    <w:rsid w:val="00857E1D"/>
    <w:rsid w:val="00857E2E"/>
    <w:rsid w:val="00857EF7"/>
    <w:rsid w:val="0086003B"/>
    <w:rsid w:val="00860074"/>
    <w:rsid w:val="00860092"/>
    <w:rsid w:val="008600B3"/>
    <w:rsid w:val="008600D8"/>
    <w:rsid w:val="008601EB"/>
    <w:rsid w:val="0086020F"/>
    <w:rsid w:val="00860218"/>
    <w:rsid w:val="00860382"/>
    <w:rsid w:val="008603BF"/>
    <w:rsid w:val="008603EE"/>
    <w:rsid w:val="00860424"/>
    <w:rsid w:val="0086043E"/>
    <w:rsid w:val="008604FE"/>
    <w:rsid w:val="00860664"/>
    <w:rsid w:val="008606AF"/>
    <w:rsid w:val="008606BA"/>
    <w:rsid w:val="008606C8"/>
    <w:rsid w:val="0086084C"/>
    <w:rsid w:val="00860854"/>
    <w:rsid w:val="00860867"/>
    <w:rsid w:val="00860874"/>
    <w:rsid w:val="008608B6"/>
    <w:rsid w:val="008609B3"/>
    <w:rsid w:val="00860A0C"/>
    <w:rsid w:val="00860A90"/>
    <w:rsid w:val="00860B03"/>
    <w:rsid w:val="00860BE2"/>
    <w:rsid w:val="00860BF6"/>
    <w:rsid w:val="00860D38"/>
    <w:rsid w:val="00860D3C"/>
    <w:rsid w:val="00860F32"/>
    <w:rsid w:val="00860F50"/>
    <w:rsid w:val="00860F7F"/>
    <w:rsid w:val="00860FAA"/>
    <w:rsid w:val="00860FB3"/>
    <w:rsid w:val="0086103F"/>
    <w:rsid w:val="0086106F"/>
    <w:rsid w:val="008610A9"/>
    <w:rsid w:val="008610B5"/>
    <w:rsid w:val="00861157"/>
    <w:rsid w:val="00861210"/>
    <w:rsid w:val="00861251"/>
    <w:rsid w:val="00861286"/>
    <w:rsid w:val="00861386"/>
    <w:rsid w:val="008613AD"/>
    <w:rsid w:val="008613D1"/>
    <w:rsid w:val="00861437"/>
    <w:rsid w:val="00861466"/>
    <w:rsid w:val="008614BF"/>
    <w:rsid w:val="008614F1"/>
    <w:rsid w:val="00861601"/>
    <w:rsid w:val="008616F7"/>
    <w:rsid w:val="00861729"/>
    <w:rsid w:val="00861777"/>
    <w:rsid w:val="008617CA"/>
    <w:rsid w:val="008617F7"/>
    <w:rsid w:val="0086187E"/>
    <w:rsid w:val="00861954"/>
    <w:rsid w:val="00861B03"/>
    <w:rsid w:val="00861B35"/>
    <w:rsid w:val="00861BF6"/>
    <w:rsid w:val="00861C78"/>
    <w:rsid w:val="00861C79"/>
    <w:rsid w:val="00861D70"/>
    <w:rsid w:val="00861DA9"/>
    <w:rsid w:val="00861F67"/>
    <w:rsid w:val="00861F84"/>
    <w:rsid w:val="00862007"/>
    <w:rsid w:val="00862094"/>
    <w:rsid w:val="008620A6"/>
    <w:rsid w:val="008620E8"/>
    <w:rsid w:val="00862125"/>
    <w:rsid w:val="0086219F"/>
    <w:rsid w:val="00862208"/>
    <w:rsid w:val="008622A0"/>
    <w:rsid w:val="00862335"/>
    <w:rsid w:val="00862394"/>
    <w:rsid w:val="00862544"/>
    <w:rsid w:val="0086261D"/>
    <w:rsid w:val="00862648"/>
    <w:rsid w:val="008626CE"/>
    <w:rsid w:val="008626DA"/>
    <w:rsid w:val="008626E0"/>
    <w:rsid w:val="00862738"/>
    <w:rsid w:val="00862745"/>
    <w:rsid w:val="0086278D"/>
    <w:rsid w:val="00862920"/>
    <w:rsid w:val="00862983"/>
    <w:rsid w:val="0086299B"/>
    <w:rsid w:val="008629CE"/>
    <w:rsid w:val="008629D5"/>
    <w:rsid w:val="00862C5C"/>
    <w:rsid w:val="00862DA0"/>
    <w:rsid w:val="00862DE3"/>
    <w:rsid w:val="00862DFD"/>
    <w:rsid w:val="00862EB5"/>
    <w:rsid w:val="00862F48"/>
    <w:rsid w:val="00862F50"/>
    <w:rsid w:val="00862FBA"/>
    <w:rsid w:val="00863042"/>
    <w:rsid w:val="008630D7"/>
    <w:rsid w:val="00863135"/>
    <w:rsid w:val="00863149"/>
    <w:rsid w:val="008631C0"/>
    <w:rsid w:val="0086324B"/>
    <w:rsid w:val="008632A1"/>
    <w:rsid w:val="008632F9"/>
    <w:rsid w:val="0086336A"/>
    <w:rsid w:val="008633DC"/>
    <w:rsid w:val="00863417"/>
    <w:rsid w:val="0086347A"/>
    <w:rsid w:val="0086349F"/>
    <w:rsid w:val="008634B1"/>
    <w:rsid w:val="0086350F"/>
    <w:rsid w:val="0086353D"/>
    <w:rsid w:val="00863546"/>
    <w:rsid w:val="0086354C"/>
    <w:rsid w:val="0086356D"/>
    <w:rsid w:val="00863607"/>
    <w:rsid w:val="0086372D"/>
    <w:rsid w:val="00863768"/>
    <w:rsid w:val="008637E6"/>
    <w:rsid w:val="008637F1"/>
    <w:rsid w:val="00863912"/>
    <w:rsid w:val="00863935"/>
    <w:rsid w:val="00863992"/>
    <w:rsid w:val="008639AA"/>
    <w:rsid w:val="008639D5"/>
    <w:rsid w:val="008639FC"/>
    <w:rsid w:val="00863A00"/>
    <w:rsid w:val="00863AEC"/>
    <w:rsid w:val="00863AF2"/>
    <w:rsid w:val="00863C40"/>
    <w:rsid w:val="00863C9E"/>
    <w:rsid w:val="00863DEF"/>
    <w:rsid w:val="00863E68"/>
    <w:rsid w:val="00863EE1"/>
    <w:rsid w:val="00863EFF"/>
    <w:rsid w:val="00863FA4"/>
    <w:rsid w:val="00863FD2"/>
    <w:rsid w:val="00863FE8"/>
    <w:rsid w:val="00864096"/>
    <w:rsid w:val="0086409B"/>
    <w:rsid w:val="008640F2"/>
    <w:rsid w:val="008641A2"/>
    <w:rsid w:val="008641EC"/>
    <w:rsid w:val="00864221"/>
    <w:rsid w:val="0086432B"/>
    <w:rsid w:val="00864452"/>
    <w:rsid w:val="0086462E"/>
    <w:rsid w:val="00864805"/>
    <w:rsid w:val="00864850"/>
    <w:rsid w:val="00864857"/>
    <w:rsid w:val="008648D8"/>
    <w:rsid w:val="00864900"/>
    <w:rsid w:val="008649BE"/>
    <w:rsid w:val="008649FA"/>
    <w:rsid w:val="008649FB"/>
    <w:rsid w:val="00864A03"/>
    <w:rsid w:val="00864AB1"/>
    <w:rsid w:val="00864BA3"/>
    <w:rsid w:val="00864BD0"/>
    <w:rsid w:val="00864CBF"/>
    <w:rsid w:val="00864D17"/>
    <w:rsid w:val="00864D9A"/>
    <w:rsid w:val="00864DCF"/>
    <w:rsid w:val="00864E85"/>
    <w:rsid w:val="00864EC5"/>
    <w:rsid w:val="00864F0A"/>
    <w:rsid w:val="00864F3C"/>
    <w:rsid w:val="00864F68"/>
    <w:rsid w:val="00864FEC"/>
    <w:rsid w:val="00864FFF"/>
    <w:rsid w:val="0086507B"/>
    <w:rsid w:val="00865094"/>
    <w:rsid w:val="0086520D"/>
    <w:rsid w:val="00865372"/>
    <w:rsid w:val="008653B5"/>
    <w:rsid w:val="00865491"/>
    <w:rsid w:val="008654AA"/>
    <w:rsid w:val="008654D1"/>
    <w:rsid w:val="008655E7"/>
    <w:rsid w:val="0086571E"/>
    <w:rsid w:val="00865742"/>
    <w:rsid w:val="00865775"/>
    <w:rsid w:val="008657B5"/>
    <w:rsid w:val="008657F1"/>
    <w:rsid w:val="008657F8"/>
    <w:rsid w:val="008658D5"/>
    <w:rsid w:val="008659EC"/>
    <w:rsid w:val="00865A5C"/>
    <w:rsid w:val="00865A71"/>
    <w:rsid w:val="00865A91"/>
    <w:rsid w:val="00865AC2"/>
    <w:rsid w:val="00865BF8"/>
    <w:rsid w:val="00865C9D"/>
    <w:rsid w:val="00865CC2"/>
    <w:rsid w:val="00865D14"/>
    <w:rsid w:val="00865D96"/>
    <w:rsid w:val="00865E1E"/>
    <w:rsid w:val="00865EB1"/>
    <w:rsid w:val="00865F8B"/>
    <w:rsid w:val="00866165"/>
    <w:rsid w:val="00866241"/>
    <w:rsid w:val="00866295"/>
    <w:rsid w:val="008662B3"/>
    <w:rsid w:val="00866394"/>
    <w:rsid w:val="008663DE"/>
    <w:rsid w:val="00866474"/>
    <w:rsid w:val="00866486"/>
    <w:rsid w:val="008664E2"/>
    <w:rsid w:val="00866630"/>
    <w:rsid w:val="0086664D"/>
    <w:rsid w:val="008666C1"/>
    <w:rsid w:val="008667BB"/>
    <w:rsid w:val="008667C1"/>
    <w:rsid w:val="00866866"/>
    <w:rsid w:val="0086689D"/>
    <w:rsid w:val="008668C3"/>
    <w:rsid w:val="008668D5"/>
    <w:rsid w:val="0086695A"/>
    <w:rsid w:val="00866997"/>
    <w:rsid w:val="00866AFD"/>
    <w:rsid w:val="00866B48"/>
    <w:rsid w:val="00866B9C"/>
    <w:rsid w:val="00866CE6"/>
    <w:rsid w:val="00866D20"/>
    <w:rsid w:val="00866EA6"/>
    <w:rsid w:val="00867008"/>
    <w:rsid w:val="008670B0"/>
    <w:rsid w:val="00867133"/>
    <w:rsid w:val="008671A1"/>
    <w:rsid w:val="00867221"/>
    <w:rsid w:val="0086726E"/>
    <w:rsid w:val="00867374"/>
    <w:rsid w:val="008673EE"/>
    <w:rsid w:val="00867457"/>
    <w:rsid w:val="0086747B"/>
    <w:rsid w:val="00867528"/>
    <w:rsid w:val="008675D6"/>
    <w:rsid w:val="00867640"/>
    <w:rsid w:val="0086774A"/>
    <w:rsid w:val="00867770"/>
    <w:rsid w:val="008677F5"/>
    <w:rsid w:val="00867841"/>
    <w:rsid w:val="00867857"/>
    <w:rsid w:val="00867888"/>
    <w:rsid w:val="008678F5"/>
    <w:rsid w:val="00867A7D"/>
    <w:rsid w:val="00867B20"/>
    <w:rsid w:val="00867B47"/>
    <w:rsid w:val="00867BAE"/>
    <w:rsid w:val="00867BF6"/>
    <w:rsid w:val="00867DC1"/>
    <w:rsid w:val="00867F43"/>
    <w:rsid w:val="0087001A"/>
    <w:rsid w:val="0087007D"/>
    <w:rsid w:val="00870202"/>
    <w:rsid w:val="0087022F"/>
    <w:rsid w:val="00870230"/>
    <w:rsid w:val="008703E6"/>
    <w:rsid w:val="008703F4"/>
    <w:rsid w:val="00870443"/>
    <w:rsid w:val="00870493"/>
    <w:rsid w:val="00870521"/>
    <w:rsid w:val="00870597"/>
    <w:rsid w:val="00870626"/>
    <w:rsid w:val="00870661"/>
    <w:rsid w:val="00870673"/>
    <w:rsid w:val="0087067E"/>
    <w:rsid w:val="00870680"/>
    <w:rsid w:val="00870704"/>
    <w:rsid w:val="00870764"/>
    <w:rsid w:val="008707AA"/>
    <w:rsid w:val="00870910"/>
    <w:rsid w:val="00870982"/>
    <w:rsid w:val="0087098D"/>
    <w:rsid w:val="008709A3"/>
    <w:rsid w:val="00870C5A"/>
    <w:rsid w:val="00870D46"/>
    <w:rsid w:val="00870E16"/>
    <w:rsid w:val="00870E81"/>
    <w:rsid w:val="00870E84"/>
    <w:rsid w:val="00870EA3"/>
    <w:rsid w:val="00870EFE"/>
    <w:rsid w:val="008710CD"/>
    <w:rsid w:val="008710F0"/>
    <w:rsid w:val="00871126"/>
    <w:rsid w:val="0087112F"/>
    <w:rsid w:val="00871169"/>
    <w:rsid w:val="008711E8"/>
    <w:rsid w:val="008711F3"/>
    <w:rsid w:val="00871267"/>
    <w:rsid w:val="008712E2"/>
    <w:rsid w:val="00871354"/>
    <w:rsid w:val="00871385"/>
    <w:rsid w:val="00871394"/>
    <w:rsid w:val="00871423"/>
    <w:rsid w:val="0087148B"/>
    <w:rsid w:val="008714F4"/>
    <w:rsid w:val="0087151F"/>
    <w:rsid w:val="00871578"/>
    <w:rsid w:val="00871588"/>
    <w:rsid w:val="008715DD"/>
    <w:rsid w:val="008715E2"/>
    <w:rsid w:val="008716BF"/>
    <w:rsid w:val="0087172D"/>
    <w:rsid w:val="0087175B"/>
    <w:rsid w:val="00871815"/>
    <w:rsid w:val="00871858"/>
    <w:rsid w:val="0087189B"/>
    <w:rsid w:val="008719BF"/>
    <w:rsid w:val="008719C6"/>
    <w:rsid w:val="008719CD"/>
    <w:rsid w:val="008719E3"/>
    <w:rsid w:val="00871A4F"/>
    <w:rsid w:val="00871AA0"/>
    <w:rsid w:val="00871B36"/>
    <w:rsid w:val="00871B99"/>
    <w:rsid w:val="00871BD9"/>
    <w:rsid w:val="00871BDD"/>
    <w:rsid w:val="00871D3B"/>
    <w:rsid w:val="00871DB1"/>
    <w:rsid w:val="00871DBD"/>
    <w:rsid w:val="00871E99"/>
    <w:rsid w:val="00871EEF"/>
    <w:rsid w:val="0087212C"/>
    <w:rsid w:val="00872319"/>
    <w:rsid w:val="00872458"/>
    <w:rsid w:val="00872486"/>
    <w:rsid w:val="0087249C"/>
    <w:rsid w:val="00872686"/>
    <w:rsid w:val="008726C4"/>
    <w:rsid w:val="008727BB"/>
    <w:rsid w:val="008728AA"/>
    <w:rsid w:val="008728D9"/>
    <w:rsid w:val="0087290C"/>
    <w:rsid w:val="00872970"/>
    <w:rsid w:val="00872A4A"/>
    <w:rsid w:val="00872A60"/>
    <w:rsid w:val="00872B15"/>
    <w:rsid w:val="00872B2D"/>
    <w:rsid w:val="00872B94"/>
    <w:rsid w:val="00872C5A"/>
    <w:rsid w:val="00872CA7"/>
    <w:rsid w:val="00872CE0"/>
    <w:rsid w:val="00872CE3"/>
    <w:rsid w:val="00872CE9"/>
    <w:rsid w:val="00872D0A"/>
    <w:rsid w:val="00872E47"/>
    <w:rsid w:val="00872E4C"/>
    <w:rsid w:val="00872E64"/>
    <w:rsid w:val="00872E8D"/>
    <w:rsid w:val="00872EFD"/>
    <w:rsid w:val="00873065"/>
    <w:rsid w:val="008730A5"/>
    <w:rsid w:val="008731D8"/>
    <w:rsid w:val="0087323B"/>
    <w:rsid w:val="00873272"/>
    <w:rsid w:val="00873276"/>
    <w:rsid w:val="0087331F"/>
    <w:rsid w:val="00873374"/>
    <w:rsid w:val="008733BD"/>
    <w:rsid w:val="008733E2"/>
    <w:rsid w:val="008734A4"/>
    <w:rsid w:val="0087351C"/>
    <w:rsid w:val="00873522"/>
    <w:rsid w:val="00873560"/>
    <w:rsid w:val="00873578"/>
    <w:rsid w:val="0087359D"/>
    <w:rsid w:val="0087364E"/>
    <w:rsid w:val="00873670"/>
    <w:rsid w:val="008736F1"/>
    <w:rsid w:val="00873782"/>
    <w:rsid w:val="008737BB"/>
    <w:rsid w:val="008737D6"/>
    <w:rsid w:val="0087387A"/>
    <w:rsid w:val="008738B2"/>
    <w:rsid w:val="0087390A"/>
    <w:rsid w:val="00873A33"/>
    <w:rsid w:val="00873A7E"/>
    <w:rsid w:val="00873A92"/>
    <w:rsid w:val="00873AC7"/>
    <w:rsid w:val="00873B01"/>
    <w:rsid w:val="00873CAD"/>
    <w:rsid w:val="00873D0F"/>
    <w:rsid w:val="00873D26"/>
    <w:rsid w:val="00873DD2"/>
    <w:rsid w:val="00873DD6"/>
    <w:rsid w:val="00873E2B"/>
    <w:rsid w:val="00873EB9"/>
    <w:rsid w:val="00873F37"/>
    <w:rsid w:val="00873F4E"/>
    <w:rsid w:val="00873F6A"/>
    <w:rsid w:val="0087400A"/>
    <w:rsid w:val="008741A0"/>
    <w:rsid w:val="008741A7"/>
    <w:rsid w:val="008741AA"/>
    <w:rsid w:val="008741DC"/>
    <w:rsid w:val="008741EB"/>
    <w:rsid w:val="00874203"/>
    <w:rsid w:val="00874285"/>
    <w:rsid w:val="008742B6"/>
    <w:rsid w:val="00874541"/>
    <w:rsid w:val="008745B1"/>
    <w:rsid w:val="008746F4"/>
    <w:rsid w:val="00874763"/>
    <w:rsid w:val="0087484F"/>
    <w:rsid w:val="00874885"/>
    <w:rsid w:val="00874895"/>
    <w:rsid w:val="008748C7"/>
    <w:rsid w:val="008748C9"/>
    <w:rsid w:val="008748CB"/>
    <w:rsid w:val="00874918"/>
    <w:rsid w:val="00874A0B"/>
    <w:rsid w:val="00874A39"/>
    <w:rsid w:val="00874B1F"/>
    <w:rsid w:val="00874B46"/>
    <w:rsid w:val="00874B85"/>
    <w:rsid w:val="00874BAF"/>
    <w:rsid w:val="00874BEF"/>
    <w:rsid w:val="00874C35"/>
    <w:rsid w:val="00874D43"/>
    <w:rsid w:val="00874D4F"/>
    <w:rsid w:val="00874E80"/>
    <w:rsid w:val="00874F38"/>
    <w:rsid w:val="00875019"/>
    <w:rsid w:val="0087504B"/>
    <w:rsid w:val="008750AC"/>
    <w:rsid w:val="00875107"/>
    <w:rsid w:val="00875190"/>
    <w:rsid w:val="0087526B"/>
    <w:rsid w:val="00875299"/>
    <w:rsid w:val="008752A2"/>
    <w:rsid w:val="0087533E"/>
    <w:rsid w:val="00875353"/>
    <w:rsid w:val="008753DD"/>
    <w:rsid w:val="008754CC"/>
    <w:rsid w:val="00875599"/>
    <w:rsid w:val="008755E8"/>
    <w:rsid w:val="00875674"/>
    <w:rsid w:val="008756BB"/>
    <w:rsid w:val="00875727"/>
    <w:rsid w:val="0087588D"/>
    <w:rsid w:val="00875968"/>
    <w:rsid w:val="008759A2"/>
    <w:rsid w:val="00875A1A"/>
    <w:rsid w:val="00875AC1"/>
    <w:rsid w:val="00875B3E"/>
    <w:rsid w:val="00875B82"/>
    <w:rsid w:val="00875BCB"/>
    <w:rsid w:val="00875C12"/>
    <w:rsid w:val="00875C2F"/>
    <w:rsid w:val="00875C80"/>
    <w:rsid w:val="00875DF3"/>
    <w:rsid w:val="00875E28"/>
    <w:rsid w:val="00875E43"/>
    <w:rsid w:val="00875FA5"/>
    <w:rsid w:val="00876055"/>
    <w:rsid w:val="008760F1"/>
    <w:rsid w:val="00876179"/>
    <w:rsid w:val="008761C3"/>
    <w:rsid w:val="008761D7"/>
    <w:rsid w:val="00876218"/>
    <w:rsid w:val="00876221"/>
    <w:rsid w:val="00876233"/>
    <w:rsid w:val="0087628B"/>
    <w:rsid w:val="00876371"/>
    <w:rsid w:val="008763C5"/>
    <w:rsid w:val="00876452"/>
    <w:rsid w:val="00876468"/>
    <w:rsid w:val="008764E5"/>
    <w:rsid w:val="008765C4"/>
    <w:rsid w:val="008765FB"/>
    <w:rsid w:val="0087664A"/>
    <w:rsid w:val="008766F2"/>
    <w:rsid w:val="0087672E"/>
    <w:rsid w:val="00876751"/>
    <w:rsid w:val="00876792"/>
    <w:rsid w:val="0087688A"/>
    <w:rsid w:val="00876972"/>
    <w:rsid w:val="008769D2"/>
    <w:rsid w:val="00876A08"/>
    <w:rsid w:val="00876ADC"/>
    <w:rsid w:val="00876B69"/>
    <w:rsid w:val="00876B77"/>
    <w:rsid w:val="00876BF4"/>
    <w:rsid w:val="00876C08"/>
    <w:rsid w:val="00876C46"/>
    <w:rsid w:val="00876C8F"/>
    <w:rsid w:val="00876CB7"/>
    <w:rsid w:val="00876CDC"/>
    <w:rsid w:val="00876D44"/>
    <w:rsid w:val="00876DD1"/>
    <w:rsid w:val="00876DE2"/>
    <w:rsid w:val="00876EB0"/>
    <w:rsid w:val="00876EC2"/>
    <w:rsid w:val="00876FC4"/>
    <w:rsid w:val="00877005"/>
    <w:rsid w:val="00877006"/>
    <w:rsid w:val="008771D3"/>
    <w:rsid w:val="0087725F"/>
    <w:rsid w:val="008772BB"/>
    <w:rsid w:val="0087745A"/>
    <w:rsid w:val="0087749D"/>
    <w:rsid w:val="008774C4"/>
    <w:rsid w:val="0087759C"/>
    <w:rsid w:val="008775BE"/>
    <w:rsid w:val="008775C8"/>
    <w:rsid w:val="008775DF"/>
    <w:rsid w:val="00877670"/>
    <w:rsid w:val="008776DF"/>
    <w:rsid w:val="008776FA"/>
    <w:rsid w:val="008777FD"/>
    <w:rsid w:val="00877815"/>
    <w:rsid w:val="00877884"/>
    <w:rsid w:val="0087790F"/>
    <w:rsid w:val="00877960"/>
    <w:rsid w:val="0087798A"/>
    <w:rsid w:val="00877A2D"/>
    <w:rsid w:val="00877AFF"/>
    <w:rsid w:val="00877B68"/>
    <w:rsid w:val="00877BFF"/>
    <w:rsid w:val="00877C0A"/>
    <w:rsid w:val="00877C72"/>
    <w:rsid w:val="00877CBF"/>
    <w:rsid w:val="00877CED"/>
    <w:rsid w:val="00877E01"/>
    <w:rsid w:val="00877E45"/>
    <w:rsid w:val="00877E92"/>
    <w:rsid w:val="00877EC8"/>
    <w:rsid w:val="00877EE9"/>
    <w:rsid w:val="00877FF8"/>
    <w:rsid w:val="0088000A"/>
    <w:rsid w:val="00880184"/>
    <w:rsid w:val="0088022E"/>
    <w:rsid w:val="00880284"/>
    <w:rsid w:val="008802B5"/>
    <w:rsid w:val="008802EA"/>
    <w:rsid w:val="008804C9"/>
    <w:rsid w:val="008804EB"/>
    <w:rsid w:val="00880502"/>
    <w:rsid w:val="0088052B"/>
    <w:rsid w:val="00880580"/>
    <w:rsid w:val="00880659"/>
    <w:rsid w:val="0088065A"/>
    <w:rsid w:val="00880660"/>
    <w:rsid w:val="008806B6"/>
    <w:rsid w:val="00880767"/>
    <w:rsid w:val="00880851"/>
    <w:rsid w:val="00880856"/>
    <w:rsid w:val="00880978"/>
    <w:rsid w:val="008809D3"/>
    <w:rsid w:val="00880AA9"/>
    <w:rsid w:val="00880AD0"/>
    <w:rsid w:val="00880B96"/>
    <w:rsid w:val="00880BAA"/>
    <w:rsid w:val="00880CBE"/>
    <w:rsid w:val="00880D3F"/>
    <w:rsid w:val="00880D7E"/>
    <w:rsid w:val="00880DDF"/>
    <w:rsid w:val="00880DE4"/>
    <w:rsid w:val="00880E3E"/>
    <w:rsid w:val="00880E61"/>
    <w:rsid w:val="00880E66"/>
    <w:rsid w:val="00880EAA"/>
    <w:rsid w:val="00880F0D"/>
    <w:rsid w:val="00880F27"/>
    <w:rsid w:val="00880FA2"/>
    <w:rsid w:val="00881064"/>
    <w:rsid w:val="00881070"/>
    <w:rsid w:val="008810B1"/>
    <w:rsid w:val="008811E4"/>
    <w:rsid w:val="0088120F"/>
    <w:rsid w:val="00881299"/>
    <w:rsid w:val="00881354"/>
    <w:rsid w:val="00881373"/>
    <w:rsid w:val="0088138C"/>
    <w:rsid w:val="00881458"/>
    <w:rsid w:val="00881459"/>
    <w:rsid w:val="00881496"/>
    <w:rsid w:val="008814B5"/>
    <w:rsid w:val="008814D7"/>
    <w:rsid w:val="00881565"/>
    <w:rsid w:val="0088156B"/>
    <w:rsid w:val="0088158F"/>
    <w:rsid w:val="0088167A"/>
    <w:rsid w:val="00881683"/>
    <w:rsid w:val="00881719"/>
    <w:rsid w:val="00881771"/>
    <w:rsid w:val="008817ED"/>
    <w:rsid w:val="00881882"/>
    <w:rsid w:val="008818DE"/>
    <w:rsid w:val="00881984"/>
    <w:rsid w:val="00881A27"/>
    <w:rsid w:val="00881A94"/>
    <w:rsid w:val="00881AB1"/>
    <w:rsid w:val="00881ABA"/>
    <w:rsid w:val="00881AD0"/>
    <w:rsid w:val="00881AD4"/>
    <w:rsid w:val="00881BB9"/>
    <w:rsid w:val="00881BCF"/>
    <w:rsid w:val="00881C74"/>
    <w:rsid w:val="00881C7A"/>
    <w:rsid w:val="00881CAA"/>
    <w:rsid w:val="00881D0D"/>
    <w:rsid w:val="00881D0F"/>
    <w:rsid w:val="00881D93"/>
    <w:rsid w:val="00881E02"/>
    <w:rsid w:val="00881E28"/>
    <w:rsid w:val="00881E5D"/>
    <w:rsid w:val="00881E84"/>
    <w:rsid w:val="00881F5D"/>
    <w:rsid w:val="00881FFA"/>
    <w:rsid w:val="00882027"/>
    <w:rsid w:val="00882060"/>
    <w:rsid w:val="008820F7"/>
    <w:rsid w:val="0088211F"/>
    <w:rsid w:val="00882133"/>
    <w:rsid w:val="0088218A"/>
    <w:rsid w:val="008821F9"/>
    <w:rsid w:val="00882334"/>
    <w:rsid w:val="00882349"/>
    <w:rsid w:val="008823EE"/>
    <w:rsid w:val="00882416"/>
    <w:rsid w:val="00882456"/>
    <w:rsid w:val="00882479"/>
    <w:rsid w:val="00882518"/>
    <w:rsid w:val="008827A6"/>
    <w:rsid w:val="00882846"/>
    <w:rsid w:val="00882863"/>
    <w:rsid w:val="00882864"/>
    <w:rsid w:val="00882994"/>
    <w:rsid w:val="008829F3"/>
    <w:rsid w:val="00882A38"/>
    <w:rsid w:val="00882A79"/>
    <w:rsid w:val="00882E9A"/>
    <w:rsid w:val="00882FA2"/>
    <w:rsid w:val="00882FCC"/>
    <w:rsid w:val="00882FEC"/>
    <w:rsid w:val="008830A7"/>
    <w:rsid w:val="00883102"/>
    <w:rsid w:val="00883254"/>
    <w:rsid w:val="00883282"/>
    <w:rsid w:val="008833CC"/>
    <w:rsid w:val="00883456"/>
    <w:rsid w:val="00883517"/>
    <w:rsid w:val="0088359B"/>
    <w:rsid w:val="00883635"/>
    <w:rsid w:val="0088363F"/>
    <w:rsid w:val="0088369B"/>
    <w:rsid w:val="0088378E"/>
    <w:rsid w:val="0088379D"/>
    <w:rsid w:val="00883836"/>
    <w:rsid w:val="00883863"/>
    <w:rsid w:val="0088386A"/>
    <w:rsid w:val="008838AE"/>
    <w:rsid w:val="008838E3"/>
    <w:rsid w:val="008838EF"/>
    <w:rsid w:val="00883903"/>
    <w:rsid w:val="00883AA9"/>
    <w:rsid w:val="00883AD0"/>
    <w:rsid w:val="00883C65"/>
    <w:rsid w:val="00883D50"/>
    <w:rsid w:val="00883DD1"/>
    <w:rsid w:val="00883F13"/>
    <w:rsid w:val="00883F26"/>
    <w:rsid w:val="00883F7A"/>
    <w:rsid w:val="00883F9A"/>
    <w:rsid w:val="00884039"/>
    <w:rsid w:val="00884083"/>
    <w:rsid w:val="0088413C"/>
    <w:rsid w:val="0088414C"/>
    <w:rsid w:val="0088418A"/>
    <w:rsid w:val="008842F3"/>
    <w:rsid w:val="0088439B"/>
    <w:rsid w:val="008843AA"/>
    <w:rsid w:val="008843EF"/>
    <w:rsid w:val="00884441"/>
    <w:rsid w:val="008844DE"/>
    <w:rsid w:val="008845AF"/>
    <w:rsid w:val="008845EA"/>
    <w:rsid w:val="0088461F"/>
    <w:rsid w:val="0088469E"/>
    <w:rsid w:val="008847ED"/>
    <w:rsid w:val="0088481F"/>
    <w:rsid w:val="00884A71"/>
    <w:rsid w:val="00884ABE"/>
    <w:rsid w:val="00884DE9"/>
    <w:rsid w:val="00884E29"/>
    <w:rsid w:val="00884F30"/>
    <w:rsid w:val="00884F33"/>
    <w:rsid w:val="00884F9F"/>
    <w:rsid w:val="00884FE9"/>
    <w:rsid w:val="00884FF1"/>
    <w:rsid w:val="008850AC"/>
    <w:rsid w:val="00885130"/>
    <w:rsid w:val="0088525F"/>
    <w:rsid w:val="00885262"/>
    <w:rsid w:val="0088526E"/>
    <w:rsid w:val="00885286"/>
    <w:rsid w:val="008854C2"/>
    <w:rsid w:val="00885507"/>
    <w:rsid w:val="0088552E"/>
    <w:rsid w:val="008855BF"/>
    <w:rsid w:val="0088560D"/>
    <w:rsid w:val="00885636"/>
    <w:rsid w:val="008856A4"/>
    <w:rsid w:val="008856C9"/>
    <w:rsid w:val="00885759"/>
    <w:rsid w:val="008857D0"/>
    <w:rsid w:val="008858C5"/>
    <w:rsid w:val="008858E6"/>
    <w:rsid w:val="00885920"/>
    <w:rsid w:val="00885924"/>
    <w:rsid w:val="0088593A"/>
    <w:rsid w:val="00885A71"/>
    <w:rsid w:val="00885ACE"/>
    <w:rsid w:val="00885B0D"/>
    <w:rsid w:val="00885C6F"/>
    <w:rsid w:val="00885C99"/>
    <w:rsid w:val="00885CA8"/>
    <w:rsid w:val="00885CEF"/>
    <w:rsid w:val="00885D27"/>
    <w:rsid w:val="00885E27"/>
    <w:rsid w:val="00885E58"/>
    <w:rsid w:val="00885EF1"/>
    <w:rsid w:val="00885FD4"/>
    <w:rsid w:val="008861B3"/>
    <w:rsid w:val="0088620B"/>
    <w:rsid w:val="0088630A"/>
    <w:rsid w:val="00886329"/>
    <w:rsid w:val="00886387"/>
    <w:rsid w:val="0088639A"/>
    <w:rsid w:val="008863E2"/>
    <w:rsid w:val="00886581"/>
    <w:rsid w:val="008865AE"/>
    <w:rsid w:val="008865E2"/>
    <w:rsid w:val="00886617"/>
    <w:rsid w:val="008866B2"/>
    <w:rsid w:val="008866C8"/>
    <w:rsid w:val="008867C0"/>
    <w:rsid w:val="008867C5"/>
    <w:rsid w:val="008867FA"/>
    <w:rsid w:val="0088684D"/>
    <w:rsid w:val="00886893"/>
    <w:rsid w:val="00886950"/>
    <w:rsid w:val="0088698C"/>
    <w:rsid w:val="008869DC"/>
    <w:rsid w:val="00886AD4"/>
    <w:rsid w:val="00886AE3"/>
    <w:rsid w:val="00886B53"/>
    <w:rsid w:val="00886B95"/>
    <w:rsid w:val="00886BA6"/>
    <w:rsid w:val="00886CCE"/>
    <w:rsid w:val="00886D2C"/>
    <w:rsid w:val="00886D46"/>
    <w:rsid w:val="00886D5B"/>
    <w:rsid w:val="00886D8E"/>
    <w:rsid w:val="00886E22"/>
    <w:rsid w:val="00886EA3"/>
    <w:rsid w:val="00886ED7"/>
    <w:rsid w:val="00886EFF"/>
    <w:rsid w:val="00886FF6"/>
    <w:rsid w:val="00886FF8"/>
    <w:rsid w:val="00887011"/>
    <w:rsid w:val="0088712F"/>
    <w:rsid w:val="00887249"/>
    <w:rsid w:val="0088733D"/>
    <w:rsid w:val="008874AA"/>
    <w:rsid w:val="00887569"/>
    <w:rsid w:val="0088756D"/>
    <w:rsid w:val="00887573"/>
    <w:rsid w:val="0088758B"/>
    <w:rsid w:val="008875EB"/>
    <w:rsid w:val="00887632"/>
    <w:rsid w:val="00887680"/>
    <w:rsid w:val="00887700"/>
    <w:rsid w:val="00887705"/>
    <w:rsid w:val="0088781B"/>
    <w:rsid w:val="0088786D"/>
    <w:rsid w:val="008878B3"/>
    <w:rsid w:val="008878DF"/>
    <w:rsid w:val="008878FE"/>
    <w:rsid w:val="0088794D"/>
    <w:rsid w:val="0088796C"/>
    <w:rsid w:val="00887A03"/>
    <w:rsid w:val="00887A4F"/>
    <w:rsid w:val="00887A5F"/>
    <w:rsid w:val="00887B10"/>
    <w:rsid w:val="00887B7E"/>
    <w:rsid w:val="00887D21"/>
    <w:rsid w:val="00887DEB"/>
    <w:rsid w:val="00887EA0"/>
    <w:rsid w:val="00887EC1"/>
    <w:rsid w:val="00887EC4"/>
    <w:rsid w:val="00887FA4"/>
    <w:rsid w:val="00887FB7"/>
    <w:rsid w:val="00887FCD"/>
    <w:rsid w:val="0089007E"/>
    <w:rsid w:val="00890099"/>
    <w:rsid w:val="008900DC"/>
    <w:rsid w:val="00890115"/>
    <w:rsid w:val="0089019E"/>
    <w:rsid w:val="008901BB"/>
    <w:rsid w:val="008901C3"/>
    <w:rsid w:val="00890260"/>
    <w:rsid w:val="00890269"/>
    <w:rsid w:val="00890304"/>
    <w:rsid w:val="00890394"/>
    <w:rsid w:val="008903DC"/>
    <w:rsid w:val="008904C5"/>
    <w:rsid w:val="008904F3"/>
    <w:rsid w:val="008905BF"/>
    <w:rsid w:val="008905F7"/>
    <w:rsid w:val="00890629"/>
    <w:rsid w:val="008906A0"/>
    <w:rsid w:val="008906FD"/>
    <w:rsid w:val="0089073B"/>
    <w:rsid w:val="00890751"/>
    <w:rsid w:val="008907BF"/>
    <w:rsid w:val="00890887"/>
    <w:rsid w:val="00890963"/>
    <w:rsid w:val="0089099A"/>
    <w:rsid w:val="0089099D"/>
    <w:rsid w:val="00890B1D"/>
    <w:rsid w:val="00890C11"/>
    <w:rsid w:val="00890C3C"/>
    <w:rsid w:val="00890C73"/>
    <w:rsid w:val="00890C95"/>
    <w:rsid w:val="00890CBA"/>
    <w:rsid w:val="00890D9E"/>
    <w:rsid w:val="00890E75"/>
    <w:rsid w:val="00890EE5"/>
    <w:rsid w:val="00890F4E"/>
    <w:rsid w:val="00891137"/>
    <w:rsid w:val="008911D1"/>
    <w:rsid w:val="008911FB"/>
    <w:rsid w:val="0089124D"/>
    <w:rsid w:val="00891374"/>
    <w:rsid w:val="008913E7"/>
    <w:rsid w:val="0089146E"/>
    <w:rsid w:val="008914C0"/>
    <w:rsid w:val="00891507"/>
    <w:rsid w:val="0089151B"/>
    <w:rsid w:val="00891558"/>
    <w:rsid w:val="0089155E"/>
    <w:rsid w:val="00891614"/>
    <w:rsid w:val="0089162E"/>
    <w:rsid w:val="00891678"/>
    <w:rsid w:val="0089167F"/>
    <w:rsid w:val="0089168B"/>
    <w:rsid w:val="0089174F"/>
    <w:rsid w:val="00891837"/>
    <w:rsid w:val="008919D6"/>
    <w:rsid w:val="008919DC"/>
    <w:rsid w:val="00891A05"/>
    <w:rsid w:val="00891A94"/>
    <w:rsid w:val="00891B41"/>
    <w:rsid w:val="00891C8C"/>
    <w:rsid w:val="00891CC4"/>
    <w:rsid w:val="00891CF1"/>
    <w:rsid w:val="00891CFD"/>
    <w:rsid w:val="00891D3E"/>
    <w:rsid w:val="00891E0E"/>
    <w:rsid w:val="00891E20"/>
    <w:rsid w:val="00891E8F"/>
    <w:rsid w:val="00891F05"/>
    <w:rsid w:val="00891FC7"/>
    <w:rsid w:val="00891FE0"/>
    <w:rsid w:val="00891FEC"/>
    <w:rsid w:val="00891FEF"/>
    <w:rsid w:val="0089206E"/>
    <w:rsid w:val="00892080"/>
    <w:rsid w:val="0089216A"/>
    <w:rsid w:val="0089220C"/>
    <w:rsid w:val="00892217"/>
    <w:rsid w:val="0089222C"/>
    <w:rsid w:val="00892246"/>
    <w:rsid w:val="00892341"/>
    <w:rsid w:val="0089237E"/>
    <w:rsid w:val="00892386"/>
    <w:rsid w:val="008924DA"/>
    <w:rsid w:val="008924E1"/>
    <w:rsid w:val="008924F7"/>
    <w:rsid w:val="008925F0"/>
    <w:rsid w:val="00892623"/>
    <w:rsid w:val="008926C4"/>
    <w:rsid w:val="0089271F"/>
    <w:rsid w:val="008927C7"/>
    <w:rsid w:val="00892913"/>
    <w:rsid w:val="0089299D"/>
    <w:rsid w:val="008929AD"/>
    <w:rsid w:val="008929F6"/>
    <w:rsid w:val="00892D78"/>
    <w:rsid w:val="00892DC1"/>
    <w:rsid w:val="00892E77"/>
    <w:rsid w:val="00892F98"/>
    <w:rsid w:val="00892FA6"/>
    <w:rsid w:val="00892FDA"/>
    <w:rsid w:val="00892FFC"/>
    <w:rsid w:val="00893178"/>
    <w:rsid w:val="008932A3"/>
    <w:rsid w:val="00893309"/>
    <w:rsid w:val="00893436"/>
    <w:rsid w:val="00893567"/>
    <w:rsid w:val="00893647"/>
    <w:rsid w:val="00893678"/>
    <w:rsid w:val="00893724"/>
    <w:rsid w:val="008937FB"/>
    <w:rsid w:val="00893963"/>
    <w:rsid w:val="00893B2F"/>
    <w:rsid w:val="00893B9E"/>
    <w:rsid w:val="00893BAE"/>
    <w:rsid w:val="00893BD6"/>
    <w:rsid w:val="00893BF7"/>
    <w:rsid w:val="00893C6E"/>
    <w:rsid w:val="00893C89"/>
    <w:rsid w:val="00893CF1"/>
    <w:rsid w:val="00893D02"/>
    <w:rsid w:val="00893F17"/>
    <w:rsid w:val="00893F57"/>
    <w:rsid w:val="00893FA4"/>
    <w:rsid w:val="00893FF3"/>
    <w:rsid w:val="008940C0"/>
    <w:rsid w:val="008940DA"/>
    <w:rsid w:val="008940EE"/>
    <w:rsid w:val="0089410E"/>
    <w:rsid w:val="00894118"/>
    <w:rsid w:val="00894219"/>
    <w:rsid w:val="00894276"/>
    <w:rsid w:val="00894295"/>
    <w:rsid w:val="008943A2"/>
    <w:rsid w:val="008943B9"/>
    <w:rsid w:val="008944AB"/>
    <w:rsid w:val="00894509"/>
    <w:rsid w:val="0089454B"/>
    <w:rsid w:val="00894591"/>
    <w:rsid w:val="008945F4"/>
    <w:rsid w:val="00894614"/>
    <w:rsid w:val="0089461D"/>
    <w:rsid w:val="008946A6"/>
    <w:rsid w:val="008946C3"/>
    <w:rsid w:val="00894746"/>
    <w:rsid w:val="0089474E"/>
    <w:rsid w:val="00894762"/>
    <w:rsid w:val="00894774"/>
    <w:rsid w:val="008948E0"/>
    <w:rsid w:val="00894930"/>
    <w:rsid w:val="00894965"/>
    <w:rsid w:val="008949F4"/>
    <w:rsid w:val="00894A1D"/>
    <w:rsid w:val="00894A90"/>
    <w:rsid w:val="00894B77"/>
    <w:rsid w:val="00894B92"/>
    <w:rsid w:val="00894C58"/>
    <w:rsid w:val="00894C5F"/>
    <w:rsid w:val="00894CA4"/>
    <w:rsid w:val="00894CA8"/>
    <w:rsid w:val="00894D31"/>
    <w:rsid w:val="00894D98"/>
    <w:rsid w:val="00894E0D"/>
    <w:rsid w:val="00894F26"/>
    <w:rsid w:val="00894F4D"/>
    <w:rsid w:val="0089503D"/>
    <w:rsid w:val="008950A9"/>
    <w:rsid w:val="008950DB"/>
    <w:rsid w:val="00895106"/>
    <w:rsid w:val="00895127"/>
    <w:rsid w:val="00895242"/>
    <w:rsid w:val="00895253"/>
    <w:rsid w:val="00895313"/>
    <w:rsid w:val="0089545B"/>
    <w:rsid w:val="0089546C"/>
    <w:rsid w:val="008954A8"/>
    <w:rsid w:val="0089552F"/>
    <w:rsid w:val="00895533"/>
    <w:rsid w:val="008955D6"/>
    <w:rsid w:val="008956EB"/>
    <w:rsid w:val="00895784"/>
    <w:rsid w:val="008957E6"/>
    <w:rsid w:val="00895857"/>
    <w:rsid w:val="008958EA"/>
    <w:rsid w:val="00895933"/>
    <w:rsid w:val="0089597B"/>
    <w:rsid w:val="008959DF"/>
    <w:rsid w:val="00895AA8"/>
    <w:rsid w:val="00895B38"/>
    <w:rsid w:val="00895B4D"/>
    <w:rsid w:val="00895C45"/>
    <w:rsid w:val="00895C85"/>
    <w:rsid w:val="00895CF0"/>
    <w:rsid w:val="00895DC7"/>
    <w:rsid w:val="00895DE6"/>
    <w:rsid w:val="00895E42"/>
    <w:rsid w:val="00895F50"/>
    <w:rsid w:val="00895F5D"/>
    <w:rsid w:val="008960AD"/>
    <w:rsid w:val="00896129"/>
    <w:rsid w:val="008961DF"/>
    <w:rsid w:val="008962E8"/>
    <w:rsid w:val="0089630E"/>
    <w:rsid w:val="0089632A"/>
    <w:rsid w:val="008963F1"/>
    <w:rsid w:val="0089646A"/>
    <w:rsid w:val="008964D8"/>
    <w:rsid w:val="008965FF"/>
    <w:rsid w:val="008966EE"/>
    <w:rsid w:val="0089676C"/>
    <w:rsid w:val="00896865"/>
    <w:rsid w:val="008968D4"/>
    <w:rsid w:val="00896999"/>
    <w:rsid w:val="00896B42"/>
    <w:rsid w:val="00896BB2"/>
    <w:rsid w:val="00896BB6"/>
    <w:rsid w:val="00896C68"/>
    <w:rsid w:val="00896CC9"/>
    <w:rsid w:val="00896D2D"/>
    <w:rsid w:val="00896E30"/>
    <w:rsid w:val="00896EEA"/>
    <w:rsid w:val="00896EEF"/>
    <w:rsid w:val="00896F47"/>
    <w:rsid w:val="00896F97"/>
    <w:rsid w:val="00896FC1"/>
    <w:rsid w:val="00896FEE"/>
    <w:rsid w:val="00897000"/>
    <w:rsid w:val="008970CB"/>
    <w:rsid w:val="00897131"/>
    <w:rsid w:val="0089716F"/>
    <w:rsid w:val="00897191"/>
    <w:rsid w:val="008971AD"/>
    <w:rsid w:val="008972D0"/>
    <w:rsid w:val="008972E1"/>
    <w:rsid w:val="00897361"/>
    <w:rsid w:val="0089738B"/>
    <w:rsid w:val="0089740B"/>
    <w:rsid w:val="00897422"/>
    <w:rsid w:val="0089753B"/>
    <w:rsid w:val="008975EB"/>
    <w:rsid w:val="00897603"/>
    <w:rsid w:val="0089760D"/>
    <w:rsid w:val="00897619"/>
    <w:rsid w:val="0089761D"/>
    <w:rsid w:val="00897636"/>
    <w:rsid w:val="00897685"/>
    <w:rsid w:val="00897688"/>
    <w:rsid w:val="00897691"/>
    <w:rsid w:val="008976DF"/>
    <w:rsid w:val="008977FA"/>
    <w:rsid w:val="00897834"/>
    <w:rsid w:val="00897842"/>
    <w:rsid w:val="008978FB"/>
    <w:rsid w:val="00897A44"/>
    <w:rsid w:val="00897AA5"/>
    <w:rsid w:val="00897ABC"/>
    <w:rsid w:val="00897B43"/>
    <w:rsid w:val="00897BB6"/>
    <w:rsid w:val="00897BD6"/>
    <w:rsid w:val="00897C77"/>
    <w:rsid w:val="00897CAD"/>
    <w:rsid w:val="00897D16"/>
    <w:rsid w:val="00897DB3"/>
    <w:rsid w:val="00897DF7"/>
    <w:rsid w:val="00897EA1"/>
    <w:rsid w:val="00897EB2"/>
    <w:rsid w:val="00897EDA"/>
    <w:rsid w:val="00897F0A"/>
    <w:rsid w:val="00897F18"/>
    <w:rsid w:val="008A002D"/>
    <w:rsid w:val="008A0038"/>
    <w:rsid w:val="008A005D"/>
    <w:rsid w:val="008A0063"/>
    <w:rsid w:val="008A0096"/>
    <w:rsid w:val="008A015F"/>
    <w:rsid w:val="008A019A"/>
    <w:rsid w:val="008A022E"/>
    <w:rsid w:val="008A0375"/>
    <w:rsid w:val="008A037C"/>
    <w:rsid w:val="008A0461"/>
    <w:rsid w:val="008A04A4"/>
    <w:rsid w:val="008A06DC"/>
    <w:rsid w:val="008A07FF"/>
    <w:rsid w:val="008A0884"/>
    <w:rsid w:val="008A0889"/>
    <w:rsid w:val="008A08C5"/>
    <w:rsid w:val="008A0933"/>
    <w:rsid w:val="008A0A43"/>
    <w:rsid w:val="008A0AB2"/>
    <w:rsid w:val="008A0AE4"/>
    <w:rsid w:val="008A0B01"/>
    <w:rsid w:val="008A0B85"/>
    <w:rsid w:val="008A0C07"/>
    <w:rsid w:val="008A0C29"/>
    <w:rsid w:val="008A0CE4"/>
    <w:rsid w:val="008A0CEA"/>
    <w:rsid w:val="008A0D4B"/>
    <w:rsid w:val="008A0DB7"/>
    <w:rsid w:val="008A0F68"/>
    <w:rsid w:val="008A0F6B"/>
    <w:rsid w:val="008A0FDC"/>
    <w:rsid w:val="008A0FE5"/>
    <w:rsid w:val="008A10A0"/>
    <w:rsid w:val="008A1138"/>
    <w:rsid w:val="008A11BE"/>
    <w:rsid w:val="008A11D3"/>
    <w:rsid w:val="008A125B"/>
    <w:rsid w:val="008A1291"/>
    <w:rsid w:val="008A12E9"/>
    <w:rsid w:val="008A13B2"/>
    <w:rsid w:val="008A14CB"/>
    <w:rsid w:val="008A150E"/>
    <w:rsid w:val="008A15B9"/>
    <w:rsid w:val="008A162D"/>
    <w:rsid w:val="008A175C"/>
    <w:rsid w:val="008A17DE"/>
    <w:rsid w:val="008A1813"/>
    <w:rsid w:val="008A183A"/>
    <w:rsid w:val="008A1859"/>
    <w:rsid w:val="008A18B3"/>
    <w:rsid w:val="008A19CF"/>
    <w:rsid w:val="008A1A17"/>
    <w:rsid w:val="008A1C74"/>
    <w:rsid w:val="008A1CA7"/>
    <w:rsid w:val="008A1D1E"/>
    <w:rsid w:val="008A1DCC"/>
    <w:rsid w:val="008A1DCE"/>
    <w:rsid w:val="008A1EB4"/>
    <w:rsid w:val="008A1F1C"/>
    <w:rsid w:val="008A1F9F"/>
    <w:rsid w:val="008A1FFB"/>
    <w:rsid w:val="008A20F9"/>
    <w:rsid w:val="008A214A"/>
    <w:rsid w:val="008A21F3"/>
    <w:rsid w:val="008A22C0"/>
    <w:rsid w:val="008A22E9"/>
    <w:rsid w:val="008A233C"/>
    <w:rsid w:val="008A242D"/>
    <w:rsid w:val="008A2467"/>
    <w:rsid w:val="008A249E"/>
    <w:rsid w:val="008A2509"/>
    <w:rsid w:val="008A2569"/>
    <w:rsid w:val="008A2645"/>
    <w:rsid w:val="008A2665"/>
    <w:rsid w:val="008A279E"/>
    <w:rsid w:val="008A27CF"/>
    <w:rsid w:val="008A2819"/>
    <w:rsid w:val="008A28CD"/>
    <w:rsid w:val="008A2AF7"/>
    <w:rsid w:val="008A2B19"/>
    <w:rsid w:val="008A2B67"/>
    <w:rsid w:val="008A2C69"/>
    <w:rsid w:val="008A2C9E"/>
    <w:rsid w:val="008A2E8D"/>
    <w:rsid w:val="008A2F09"/>
    <w:rsid w:val="008A30FA"/>
    <w:rsid w:val="008A3128"/>
    <w:rsid w:val="008A312D"/>
    <w:rsid w:val="008A3186"/>
    <w:rsid w:val="008A3205"/>
    <w:rsid w:val="008A329A"/>
    <w:rsid w:val="008A3368"/>
    <w:rsid w:val="008A3403"/>
    <w:rsid w:val="008A344C"/>
    <w:rsid w:val="008A353D"/>
    <w:rsid w:val="008A366A"/>
    <w:rsid w:val="008A376B"/>
    <w:rsid w:val="008A37BA"/>
    <w:rsid w:val="008A37F6"/>
    <w:rsid w:val="008A37FF"/>
    <w:rsid w:val="008A3892"/>
    <w:rsid w:val="008A391F"/>
    <w:rsid w:val="008A395F"/>
    <w:rsid w:val="008A3976"/>
    <w:rsid w:val="008A3A6C"/>
    <w:rsid w:val="008A3A92"/>
    <w:rsid w:val="008A3AD5"/>
    <w:rsid w:val="008A3C3D"/>
    <w:rsid w:val="008A3D3B"/>
    <w:rsid w:val="008A3E1F"/>
    <w:rsid w:val="008A3F55"/>
    <w:rsid w:val="008A40C4"/>
    <w:rsid w:val="008A40E8"/>
    <w:rsid w:val="008A40FE"/>
    <w:rsid w:val="008A4232"/>
    <w:rsid w:val="008A4252"/>
    <w:rsid w:val="008A42EA"/>
    <w:rsid w:val="008A42FB"/>
    <w:rsid w:val="008A430C"/>
    <w:rsid w:val="008A4367"/>
    <w:rsid w:val="008A43A4"/>
    <w:rsid w:val="008A4421"/>
    <w:rsid w:val="008A444E"/>
    <w:rsid w:val="008A446D"/>
    <w:rsid w:val="008A4472"/>
    <w:rsid w:val="008A44A9"/>
    <w:rsid w:val="008A44ED"/>
    <w:rsid w:val="008A4517"/>
    <w:rsid w:val="008A4529"/>
    <w:rsid w:val="008A4565"/>
    <w:rsid w:val="008A459B"/>
    <w:rsid w:val="008A462C"/>
    <w:rsid w:val="008A4764"/>
    <w:rsid w:val="008A4767"/>
    <w:rsid w:val="008A47E7"/>
    <w:rsid w:val="008A4874"/>
    <w:rsid w:val="008A48C8"/>
    <w:rsid w:val="008A4AB3"/>
    <w:rsid w:val="008A4AD1"/>
    <w:rsid w:val="008A4B20"/>
    <w:rsid w:val="008A4BBE"/>
    <w:rsid w:val="008A4BC6"/>
    <w:rsid w:val="008A4BFA"/>
    <w:rsid w:val="008A4C10"/>
    <w:rsid w:val="008A4C75"/>
    <w:rsid w:val="008A4D17"/>
    <w:rsid w:val="008A4E32"/>
    <w:rsid w:val="008A4EC2"/>
    <w:rsid w:val="008A5018"/>
    <w:rsid w:val="008A502C"/>
    <w:rsid w:val="008A50CE"/>
    <w:rsid w:val="008A5109"/>
    <w:rsid w:val="008A51CA"/>
    <w:rsid w:val="008A5359"/>
    <w:rsid w:val="008A55A8"/>
    <w:rsid w:val="008A571D"/>
    <w:rsid w:val="008A572B"/>
    <w:rsid w:val="008A57D1"/>
    <w:rsid w:val="008A581F"/>
    <w:rsid w:val="008A5894"/>
    <w:rsid w:val="008A58AC"/>
    <w:rsid w:val="008A58BA"/>
    <w:rsid w:val="008A5904"/>
    <w:rsid w:val="008A5CF2"/>
    <w:rsid w:val="008A5CFE"/>
    <w:rsid w:val="008A5D0E"/>
    <w:rsid w:val="008A5E5F"/>
    <w:rsid w:val="008A5F9D"/>
    <w:rsid w:val="008A5FB8"/>
    <w:rsid w:val="008A600F"/>
    <w:rsid w:val="008A6085"/>
    <w:rsid w:val="008A609E"/>
    <w:rsid w:val="008A618A"/>
    <w:rsid w:val="008A6237"/>
    <w:rsid w:val="008A6287"/>
    <w:rsid w:val="008A635B"/>
    <w:rsid w:val="008A63A3"/>
    <w:rsid w:val="008A63A5"/>
    <w:rsid w:val="008A63C7"/>
    <w:rsid w:val="008A642C"/>
    <w:rsid w:val="008A65AD"/>
    <w:rsid w:val="008A65F2"/>
    <w:rsid w:val="008A6652"/>
    <w:rsid w:val="008A6687"/>
    <w:rsid w:val="008A66AB"/>
    <w:rsid w:val="008A67E2"/>
    <w:rsid w:val="008A690B"/>
    <w:rsid w:val="008A691F"/>
    <w:rsid w:val="008A6985"/>
    <w:rsid w:val="008A69D2"/>
    <w:rsid w:val="008A6A13"/>
    <w:rsid w:val="008A6A37"/>
    <w:rsid w:val="008A6AC4"/>
    <w:rsid w:val="008A6AC8"/>
    <w:rsid w:val="008A6B49"/>
    <w:rsid w:val="008A6B78"/>
    <w:rsid w:val="008A6B9F"/>
    <w:rsid w:val="008A6C0A"/>
    <w:rsid w:val="008A6C3C"/>
    <w:rsid w:val="008A6C8F"/>
    <w:rsid w:val="008A6E0E"/>
    <w:rsid w:val="008A6EC8"/>
    <w:rsid w:val="008A6EDA"/>
    <w:rsid w:val="008A7072"/>
    <w:rsid w:val="008A718E"/>
    <w:rsid w:val="008A7344"/>
    <w:rsid w:val="008A735C"/>
    <w:rsid w:val="008A7385"/>
    <w:rsid w:val="008A748D"/>
    <w:rsid w:val="008A75CB"/>
    <w:rsid w:val="008A7646"/>
    <w:rsid w:val="008A766A"/>
    <w:rsid w:val="008A76BA"/>
    <w:rsid w:val="008A76BE"/>
    <w:rsid w:val="008A7792"/>
    <w:rsid w:val="008A783A"/>
    <w:rsid w:val="008A7925"/>
    <w:rsid w:val="008A7A6F"/>
    <w:rsid w:val="008A7B68"/>
    <w:rsid w:val="008A7BC5"/>
    <w:rsid w:val="008A7C1F"/>
    <w:rsid w:val="008A7C86"/>
    <w:rsid w:val="008A7D28"/>
    <w:rsid w:val="008A7D2D"/>
    <w:rsid w:val="008A7D98"/>
    <w:rsid w:val="008A7DA0"/>
    <w:rsid w:val="008A7E8F"/>
    <w:rsid w:val="008A7F0C"/>
    <w:rsid w:val="008A7F6F"/>
    <w:rsid w:val="008A7F71"/>
    <w:rsid w:val="008A7F7A"/>
    <w:rsid w:val="008B0026"/>
    <w:rsid w:val="008B01AF"/>
    <w:rsid w:val="008B01EF"/>
    <w:rsid w:val="008B0201"/>
    <w:rsid w:val="008B0267"/>
    <w:rsid w:val="008B0288"/>
    <w:rsid w:val="008B0295"/>
    <w:rsid w:val="008B03CA"/>
    <w:rsid w:val="008B03D5"/>
    <w:rsid w:val="008B0416"/>
    <w:rsid w:val="008B051E"/>
    <w:rsid w:val="008B067E"/>
    <w:rsid w:val="008B0785"/>
    <w:rsid w:val="008B079A"/>
    <w:rsid w:val="008B081F"/>
    <w:rsid w:val="008B0841"/>
    <w:rsid w:val="008B0889"/>
    <w:rsid w:val="008B08A6"/>
    <w:rsid w:val="008B08B2"/>
    <w:rsid w:val="008B090F"/>
    <w:rsid w:val="008B09B7"/>
    <w:rsid w:val="008B09D9"/>
    <w:rsid w:val="008B0A2D"/>
    <w:rsid w:val="008B0A50"/>
    <w:rsid w:val="008B0A7D"/>
    <w:rsid w:val="008B0AB3"/>
    <w:rsid w:val="008B0AEC"/>
    <w:rsid w:val="008B0B8E"/>
    <w:rsid w:val="008B0C93"/>
    <w:rsid w:val="008B0D12"/>
    <w:rsid w:val="008B0DC6"/>
    <w:rsid w:val="008B0DD7"/>
    <w:rsid w:val="008B0EEB"/>
    <w:rsid w:val="008B0FBF"/>
    <w:rsid w:val="008B1006"/>
    <w:rsid w:val="008B10D3"/>
    <w:rsid w:val="008B114F"/>
    <w:rsid w:val="008B116F"/>
    <w:rsid w:val="008B1208"/>
    <w:rsid w:val="008B1281"/>
    <w:rsid w:val="008B12EC"/>
    <w:rsid w:val="008B13D3"/>
    <w:rsid w:val="008B13EF"/>
    <w:rsid w:val="008B141B"/>
    <w:rsid w:val="008B1479"/>
    <w:rsid w:val="008B149D"/>
    <w:rsid w:val="008B152C"/>
    <w:rsid w:val="008B177C"/>
    <w:rsid w:val="008B1838"/>
    <w:rsid w:val="008B18B1"/>
    <w:rsid w:val="008B1967"/>
    <w:rsid w:val="008B19D5"/>
    <w:rsid w:val="008B1A5C"/>
    <w:rsid w:val="008B1AA0"/>
    <w:rsid w:val="008B1AE0"/>
    <w:rsid w:val="008B1BE5"/>
    <w:rsid w:val="008B1C1C"/>
    <w:rsid w:val="008B1C54"/>
    <w:rsid w:val="008B1D14"/>
    <w:rsid w:val="008B1D32"/>
    <w:rsid w:val="008B1E98"/>
    <w:rsid w:val="008B1EBF"/>
    <w:rsid w:val="008B1ED5"/>
    <w:rsid w:val="008B1F10"/>
    <w:rsid w:val="008B1F5F"/>
    <w:rsid w:val="008B2000"/>
    <w:rsid w:val="008B2077"/>
    <w:rsid w:val="008B2124"/>
    <w:rsid w:val="008B2171"/>
    <w:rsid w:val="008B21BF"/>
    <w:rsid w:val="008B21E2"/>
    <w:rsid w:val="008B2238"/>
    <w:rsid w:val="008B22BE"/>
    <w:rsid w:val="008B232C"/>
    <w:rsid w:val="008B232F"/>
    <w:rsid w:val="008B2350"/>
    <w:rsid w:val="008B244C"/>
    <w:rsid w:val="008B259B"/>
    <w:rsid w:val="008B2695"/>
    <w:rsid w:val="008B28BB"/>
    <w:rsid w:val="008B290E"/>
    <w:rsid w:val="008B291C"/>
    <w:rsid w:val="008B29CB"/>
    <w:rsid w:val="008B2B35"/>
    <w:rsid w:val="008B2B5C"/>
    <w:rsid w:val="008B2BDE"/>
    <w:rsid w:val="008B2C11"/>
    <w:rsid w:val="008B2C39"/>
    <w:rsid w:val="008B2C59"/>
    <w:rsid w:val="008B2C73"/>
    <w:rsid w:val="008B2C7D"/>
    <w:rsid w:val="008B2D85"/>
    <w:rsid w:val="008B2E1B"/>
    <w:rsid w:val="008B2F57"/>
    <w:rsid w:val="008B2F81"/>
    <w:rsid w:val="008B3236"/>
    <w:rsid w:val="008B326A"/>
    <w:rsid w:val="008B330B"/>
    <w:rsid w:val="008B3356"/>
    <w:rsid w:val="008B335E"/>
    <w:rsid w:val="008B3375"/>
    <w:rsid w:val="008B348C"/>
    <w:rsid w:val="008B34BA"/>
    <w:rsid w:val="008B3681"/>
    <w:rsid w:val="008B381E"/>
    <w:rsid w:val="008B38C4"/>
    <w:rsid w:val="008B38EE"/>
    <w:rsid w:val="008B396A"/>
    <w:rsid w:val="008B39A8"/>
    <w:rsid w:val="008B39A9"/>
    <w:rsid w:val="008B39AA"/>
    <w:rsid w:val="008B3A48"/>
    <w:rsid w:val="008B3A4F"/>
    <w:rsid w:val="008B3A52"/>
    <w:rsid w:val="008B3A9D"/>
    <w:rsid w:val="008B3AC2"/>
    <w:rsid w:val="008B3ACF"/>
    <w:rsid w:val="008B3AD6"/>
    <w:rsid w:val="008B3AF1"/>
    <w:rsid w:val="008B3B03"/>
    <w:rsid w:val="008B3B07"/>
    <w:rsid w:val="008B3C76"/>
    <w:rsid w:val="008B3CFF"/>
    <w:rsid w:val="008B3D85"/>
    <w:rsid w:val="008B3E03"/>
    <w:rsid w:val="008B3F45"/>
    <w:rsid w:val="008B3F61"/>
    <w:rsid w:val="008B3F82"/>
    <w:rsid w:val="008B3F92"/>
    <w:rsid w:val="008B3FB6"/>
    <w:rsid w:val="008B3FDF"/>
    <w:rsid w:val="008B3FE8"/>
    <w:rsid w:val="008B4159"/>
    <w:rsid w:val="008B41A5"/>
    <w:rsid w:val="008B4220"/>
    <w:rsid w:val="008B427F"/>
    <w:rsid w:val="008B42CE"/>
    <w:rsid w:val="008B42E5"/>
    <w:rsid w:val="008B4393"/>
    <w:rsid w:val="008B4413"/>
    <w:rsid w:val="008B4480"/>
    <w:rsid w:val="008B4508"/>
    <w:rsid w:val="008B4554"/>
    <w:rsid w:val="008B45BD"/>
    <w:rsid w:val="008B45CA"/>
    <w:rsid w:val="008B4649"/>
    <w:rsid w:val="008B465D"/>
    <w:rsid w:val="008B4672"/>
    <w:rsid w:val="008B467B"/>
    <w:rsid w:val="008B46BF"/>
    <w:rsid w:val="008B4743"/>
    <w:rsid w:val="008B475B"/>
    <w:rsid w:val="008B47EA"/>
    <w:rsid w:val="008B487D"/>
    <w:rsid w:val="008B48B7"/>
    <w:rsid w:val="008B497F"/>
    <w:rsid w:val="008B499A"/>
    <w:rsid w:val="008B4A0D"/>
    <w:rsid w:val="008B4A9C"/>
    <w:rsid w:val="008B4AAD"/>
    <w:rsid w:val="008B4AB9"/>
    <w:rsid w:val="008B4B88"/>
    <w:rsid w:val="008B4BC7"/>
    <w:rsid w:val="008B4C14"/>
    <w:rsid w:val="008B4C72"/>
    <w:rsid w:val="008B4CB9"/>
    <w:rsid w:val="008B4D26"/>
    <w:rsid w:val="008B4D31"/>
    <w:rsid w:val="008B4DC5"/>
    <w:rsid w:val="008B4DC9"/>
    <w:rsid w:val="008B4EB6"/>
    <w:rsid w:val="008B5032"/>
    <w:rsid w:val="008B5050"/>
    <w:rsid w:val="008B50B9"/>
    <w:rsid w:val="008B50D6"/>
    <w:rsid w:val="008B51F9"/>
    <w:rsid w:val="008B5219"/>
    <w:rsid w:val="008B52ED"/>
    <w:rsid w:val="008B5305"/>
    <w:rsid w:val="008B5312"/>
    <w:rsid w:val="008B5367"/>
    <w:rsid w:val="008B53B6"/>
    <w:rsid w:val="008B53DE"/>
    <w:rsid w:val="008B53E7"/>
    <w:rsid w:val="008B5441"/>
    <w:rsid w:val="008B54ED"/>
    <w:rsid w:val="008B55D6"/>
    <w:rsid w:val="008B5624"/>
    <w:rsid w:val="008B5635"/>
    <w:rsid w:val="008B5671"/>
    <w:rsid w:val="008B589A"/>
    <w:rsid w:val="008B58F8"/>
    <w:rsid w:val="008B5A34"/>
    <w:rsid w:val="008B5ADB"/>
    <w:rsid w:val="008B5AED"/>
    <w:rsid w:val="008B5B6E"/>
    <w:rsid w:val="008B5B85"/>
    <w:rsid w:val="008B5B91"/>
    <w:rsid w:val="008B5C62"/>
    <w:rsid w:val="008B5C8B"/>
    <w:rsid w:val="008B5CAC"/>
    <w:rsid w:val="008B5D64"/>
    <w:rsid w:val="008B5DE1"/>
    <w:rsid w:val="008B5DE3"/>
    <w:rsid w:val="008B5E13"/>
    <w:rsid w:val="008B5E87"/>
    <w:rsid w:val="008B5F69"/>
    <w:rsid w:val="008B60A6"/>
    <w:rsid w:val="008B60C5"/>
    <w:rsid w:val="008B6162"/>
    <w:rsid w:val="008B619D"/>
    <w:rsid w:val="008B61C8"/>
    <w:rsid w:val="008B62AA"/>
    <w:rsid w:val="008B6300"/>
    <w:rsid w:val="008B630C"/>
    <w:rsid w:val="008B6400"/>
    <w:rsid w:val="008B647D"/>
    <w:rsid w:val="008B6516"/>
    <w:rsid w:val="008B6536"/>
    <w:rsid w:val="008B6636"/>
    <w:rsid w:val="008B6648"/>
    <w:rsid w:val="008B6724"/>
    <w:rsid w:val="008B6767"/>
    <w:rsid w:val="008B67D2"/>
    <w:rsid w:val="008B67E0"/>
    <w:rsid w:val="008B67F8"/>
    <w:rsid w:val="008B6843"/>
    <w:rsid w:val="008B6850"/>
    <w:rsid w:val="008B6925"/>
    <w:rsid w:val="008B694F"/>
    <w:rsid w:val="008B69B9"/>
    <w:rsid w:val="008B6A33"/>
    <w:rsid w:val="008B6B17"/>
    <w:rsid w:val="008B6B55"/>
    <w:rsid w:val="008B6B5D"/>
    <w:rsid w:val="008B6B6C"/>
    <w:rsid w:val="008B6C5A"/>
    <w:rsid w:val="008B6CB1"/>
    <w:rsid w:val="008B6E5C"/>
    <w:rsid w:val="008B6EE4"/>
    <w:rsid w:val="008B6F01"/>
    <w:rsid w:val="008B6F7A"/>
    <w:rsid w:val="008B7025"/>
    <w:rsid w:val="008B70B8"/>
    <w:rsid w:val="008B7190"/>
    <w:rsid w:val="008B71D4"/>
    <w:rsid w:val="008B71EE"/>
    <w:rsid w:val="008B722A"/>
    <w:rsid w:val="008B7260"/>
    <w:rsid w:val="008B737D"/>
    <w:rsid w:val="008B7478"/>
    <w:rsid w:val="008B74AE"/>
    <w:rsid w:val="008B74EF"/>
    <w:rsid w:val="008B752B"/>
    <w:rsid w:val="008B76A2"/>
    <w:rsid w:val="008B76C6"/>
    <w:rsid w:val="008B7724"/>
    <w:rsid w:val="008B7750"/>
    <w:rsid w:val="008B777E"/>
    <w:rsid w:val="008B77F2"/>
    <w:rsid w:val="008B786A"/>
    <w:rsid w:val="008B7995"/>
    <w:rsid w:val="008B79D4"/>
    <w:rsid w:val="008B7A32"/>
    <w:rsid w:val="008B7AD4"/>
    <w:rsid w:val="008B7AFD"/>
    <w:rsid w:val="008B7D62"/>
    <w:rsid w:val="008B7D8A"/>
    <w:rsid w:val="008B7F68"/>
    <w:rsid w:val="008C0137"/>
    <w:rsid w:val="008C01AC"/>
    <w:rsid w:val="008C01BF"/>
    <w:rsid w:val="008C01C9"/>
    <w:rsid w:val="008C021E"/>
    <w:rsid w:val="008C022F"/>
    <w:rsid w:val="008C0232"/>
    <w:rsid w:val="008C02D0"/>
    <w:rsid w:val="008C0304"/>
    <w:rsid w:val="008C03DC"/>
    <w:rsid w:val="008C044F"/>
    <w:rsid w:val="008C0453"/>
    <w:rsid w:val="008C0465"/>
    <w:rsid w:val="008C0469"/>
    <w:rsid w:val="008C059D"/>
    <w:rsid w:val="008C05FA"/>
    <w:rsid w:val="008C061B"/>
    <w:rsid w:val="008C0726"/>
    <w:rsid w:val="008C072A"/>
    <w:rsid w:val="008C0805"/>
    <w:rsid w:val="008C093B"/>
    <w:rsid w:val="008C0A9E"/>
    <w:rsid w:val="008C0AF8"/>
    <w:rsid w:val="008C0BBE"/>
    <w:rsid w:val="008C0C51"/>
    <w:rsid w:val="008C0CBE"/>
    <w:rsid w:val="008C0D02"/>
    <w:rsid w:val="008C0D37"/>
    <w:rsid w:val="008C0E64"/>
    <w:rsid w:val="008C0E7B"/>
    <w:rsid w:val="008C0F2D"/>
    <w:rsid w:val="008C103B"/>
    <w:rsid w:val="008C103F"/>
    <w:rsid w:val="008C1131"/>
    <w:rsid w:val="008C115C"/>
    <w:rsid w:val="008C11BA"/>
    <w:rsid w:val="008C1212"/>
    <w:rsid w:val="008C1219"/>
    <w:rsid w:val="008C123D"/>
    <w:rsid w:val="008C12B8"/>
    <w:rsid w:val="008C1493"/>
    <w:rsid w:val="008C1585"/>
    <w:rsid w:val="008C15EA"/>
    <w:rsid w:val="008C1730"/>
    <w:rsid w:val="008C17E0"/>
    <w:rsid w:val="008C17E5"/>
    <w:rsid w:val="008C182B"/>
    <w:rsid w:val="008C197F"/>
    <w:rsid w:val="008C1995"/>
    <w:rsid w:val="008C1A15"/>
    <w:rsid w:val="008C1AA2"/>
    <w:rsid w:val="008C1C86"/>
    <w:rsid w:val="008C1CD0"/>
    <w:rsid w:val="008C1D31"/>
    <w:rsid w:val="008C1DD3"/>
    <w:rsid w:val="008C1E1B"/>
    <w:rsid w:val="008C1F08"/>
    <w:rsid w:val="008C1FB6"/>
    <w:rsid w:val="008C2051"/>
    <w:rsid w:val="008C2053"/>
    <w:rsid w:val="008C20B9"/>
    <w:rsid w:val="008C21AD"/>
    <w:rsid w:val="008C2239"/>
    <w:rsid w:val="008C2290"/>
    <w:rsid w:val="008C22DB"/>
    <w:rsid w:val="008C2329"/>
    <w:rsid w:val="008C23E4"/>
    <w:rsid w:val="008C23F4"/>
    <w:rsid w:val="008C249A"/>
    <w:rsid w:val="008C24F0"/>
    <w:rsid w:val="008C2549"/>
    <w:rsid w:val="008C2653"/>
    <w:rsid w:val="008C2654"/>
    <w:rsid w:val="008C26DF"/>
    <w:rsid w:val="008C26E9"/>
    <w:rsid w:val="008C276A"/>
    <w:rsid w:val="008C2840"/>
    <w:rsid w:val="008C2846"/>
    <w:rsid w:val="008C2878"/>
    <w:rsid w:val="008C28D2"/>
    <w:rsid w:val="008C28E1"/>
    <w:rsid w:val="008C29BA"/>
    <w:rsid w:val="008C29F5"/>
    <w:rsid w:val="008C2A19"/>
    <w:rsid w:val="008C2A84"/>
    <w:rsid w:val="008C2A86"/>
    <w:rsid w:val="008C2AA8"/>
    <w:rsid w:val="008C2D21"/>
    <w:rsid w:val="008C2D6C"/>
    <w:rsid w:val="008C2DBC"/>
    <w:rsid w:val="008C2DE9"/>
    <w:rsid w:val="008C2E97"/>
    <w:rsid w:val="008C2F9C"/>
    <w:rsid w:val="008C2FC9"/>
    <w:rsid w:val="008C2FD2"/>
    <w:rsid w:val="008C2FD9"/>
    <w:rsid w:val="008C2FE7"/>
    <w:rsid w:val="008C300A"/>
    <w:rsid w:val="008C3154"/>
    <w:rsid w:val="008C319E"/>
    <w:rsid w:val="008C31E8"/>
    <w:rsid w:val="008C3233"/>
    <w:rsid w:val="008C3365"/>
    <w:rsid w:val="008C3372"/>
    <w:rsid w:val="008C3382"/>
    <w:rsid w:val="008C33A7"/>
    <w:rsid w:val="008C33CC"/>
    <w:rsid w:val="008C3501"/>
    <w:rsid w:val="008C3517"/>
    <w:rsid w:val="008C3626"/>
    <w:rsid w:val="008C367D"/>
    <w:rsid w:val="008C36CF"/>
    <w:rsid w:val="008C3772"/>
    <w:rsid w:val="008C3837"/>
    <w:rsid w:val="008C38F5"/>
    <w:rsid w:val="008C39E5"/>
    <w:rsid w:val="008C3A33"/>
    <w:rsid w:val="008C3A39"/>
    <w:rsid w:val="008C3A58"/>
    <w:rsid w:val="008C3AE3"/>
    <w:rsid w:val="008C3B2A"/>
    <w:rsid w:val="008C3BE8"/>
    <w:rsid w:val="008C3C9C"/>
    <w:rsid w:val="008C3D55"/>
    <w:rsid w:val="008C3E6E"/>
    <w:rsid w:val="008C3E88"/>
    <w:rsid w:val="008C3FC8"/>
    <w:rsid w:val="008C3FCA"/>
    <w:rsid w:val="008C4037"/>
    <w:rsid w:val="008C40C5"/>
    <w:rsid w:val="008C4104"/>
    <w:rsid w:val="008C41BF"/>
    <w:rsid w:val="008C4258"/>
    <w:rsid w:val="008C42A1"/>
    <w:rsid w:val="008C42FC"/>
    <w:rsid w:val="008C4369"/>
    <w:rsid w:val="008C4420"/>
    <w:rsid w:val="008C4494"/>
    <w:rsid w:val="008C44EE"/>
    <w:rsid w:val="008C4545"/>
    <w:rsid w:val="008C45FB"/>
    <w:rsid w:val="008C4607"/>
    <w:rsid w:val="008C462E"/>
    <w:rsid w:val="008C468D"/>
    <w:rsid w:val="008C472E"/>
    <w:rsid w:val="008C473B"/>
    <w:rsid w:val="008C4A34"/>
    <w:rsid w:val="008C4A7D"/>
    <w:rsid w:val="008C4A86"/>
    <w:rsid w:val="008C4BB6"/>
    <w:rsid w:val="008C4BD3"/>
    <w:rsid w:val="008C4CD2"/>
    <w:rsid w:val="008C4EE2"/>
    <w:rsid w:val="008C4EF0"/>
    <w:rsid w:val="008C4FA5"/>
    <w:rsid w:val="008C4FBB"/>
    <w:rsid w:val="008C5069"/>
    <w:rsid w:val="008C50C2"/>
    <w:rsid w:val="008C50D0"/>
    <w:rsid w:val="008C5158"/>
    <w:rsid w:val="008C51E8"/>
    <w:rsid w:val="008C526B"/>
    <w:rsid w:val="008C5270"/>
    <w:rsid w:val="008C5336"/>
    <w:rsid w:val="008C5341"/>
    <w:rsid w:val="008C534C"/>
    <w:rsid w:val="008C5407"/>
    <w:rsid w:val="008C5478"/>
    <w:rsid w:val="008C54F0"/>
    <w:rsid w:val="008C553E"/>
    <w:rsid w:val="008C5668"/>
    <w:rsid w:val="008C56DA"/>
    <w:rsid w:val="008C56E6"/>
    <w:rsid w:val="008C586E"/>
    <w:rsid w:val="008C5924"/>
    <w:rsid w:val="008C593B"/>
    <w:rsid w:val="008C59DD"/>
    <w:rsid w:val="008C5AC9"/>
    <w:rsid w:val="008C5AF2"/>
    <w:rsid w:val="008C5AFB"/>
    <w:rsid w:val="008C5B4C"/>
    <w:rsid w:val="008C5B7B"/>
    <w:rsid w:val="008C5BD1"/>
    <w:rsid w:val="008C5BF9"/>
    <w:rsid w:val="008C5C67"/>
    <w:rsid w:val="008C5D0D"/>
    <w:rsid w:val="008C5E32"/>
    <w:rsid w:val="008C5F1A"/>
    <w:rsid w:val="008C5F81"/>
    <w:rsid w:val="008C5FDE"/>
    <w:rsid w:val="008C5FEA"/>
    <w:rsid w:val="008C6047"/>
    <w:rsid w:val="008C6082"/>
    <w:rsid w:val="008C6169"/>
    <w:rsid w:val="008C618E"/>
    <w:rsid w:val="008C61ED"/>
    <w:rsid w:val="008C625A"/>
    <w:rsid w:val="008C6392"/>
    <w:rsid w:val="008C639C"/>
    <w:rsid w:val="008C6652"/>
    <w:rsid w:val="008C66AE"/>
    <w:rsid w:val="008C675E"/>
    <w:rsid w:val="008C67CD"/>
    <w:rsid w:val="008C68C0"/>
    <w:rsid w:val="008C68DD"/>
    <w:rsid w:val="008C68F7"/>
    <w:rsid w:val="008C697D"/>
    <w:rsid w:val="008C6997"/>
    <w:rsid w:val="008C69AB"/>
    <w:rsid w:val="008C6A49"/>
    <w:rsid w:val="008C6AAF"/>
    <w:rsid w:val="008C6AB1"/>
    <w:rsid w:val="008C6B47"/>
    <w:rsid w:val="008C6BDA"/>
    <w:rsid w:val="008C6C36"/>
    <w:rsid w:val="008C6C45"/>
    <w:rsid w:val="008C6CAC"/>
    <w:rsid w:val="008C6CAF"/>
    <w:rsid w:val="008C6D30"/>
    <w:rsid w:val="008C6D89"/>
    <w:rsid w:val="008C6E5A"/>
    <w:rsid w:val="008C6FA6"/>
    <w:rsid w:val="008C7043"/>
    <w:rsid w:val="008C7044"/>
    <w:rsid w:val="008C710A"/>
    <w:rsid w:val="008C7156"/>
    <w:rsid w:val="008C71A0"/>
    <w:rsid w:val="008C71F7"/>
    <w:rsid w:val="008C71F8"/>
    <w:rsid w:val="008C72C2"/>
    <w:rsid w:val="008C7359"/>
    <w:rsid w:val="008C738A"/>
    <w:rsid w:val="008C73AD"/>
    <w:rsid w:val="008C73F7"/>
    <w:rsid w:val="008C7513"/>
    <w:rsid w:val="008C7556"/>
    <w:rsid w:val="008C756E"/>
    <w:rsid w:val="008C75DF"/>
    <w:rsid w:val="008C763C"/>
    <w:rsid w:val="008C771A"/>
    <w:rsid w:val="008C7797"/>
    <w:rsid w:val="008C78D9"/>
    <w:rsid w:val="008C78E7"/>
    <w:rsid w:val="008C793F"/>
    <w:rsid w:val="008C7943"/>
    <w:rsid w:val="008C7971"/>
    <w:rsid w:val="008C79AA"/>
    <w:rsid w:val="008C79C1"/>
    <w:rsid w:val="008C7A7C"/>
    <w:rsid w:val="008C7B11"/>
    <w:rsid w:val="008C7CDF"/>
    <w:rsid w:val="008C7CF0"/>
    <w:rsid w:val="008C7D01"/>
    <w:rsid w:val="008C7D1C"/>
    <w:rsid w:val="008C7DDF"/>
    <w:rsid w:val="008C7E65"/>
    <w:rsid w:val="008C7EE3"/>
    <w:rsid w:val="008C7FE2"/>
    <w:rsid w:val="008D0037"/>
    <w:rsid w:val="008D0229"/>
    <w:rsid w:val="008D0234"/>
    <w:rsid w:val="008D02AD"/>
    <w:rsid w:val="008D02D9"/>
    <w:rsid w:val="008D02DA"/>
    <w:rsid w:val="008D03C6"/>
    <w:rsid w:val="008D045E"/>
    <w:rsid w:val="008D04AC"/>
    <w:rsid w:val="008D04C8"/>
    <w:rsid w:val="008D04ED"/>
    <w:rsid w:val="008D052B"/>
    <w:rsid w:val="008D052F"/>
    <w:rsid w:val="008D05A8"/>
    <w:rsid w:val="008D066C"/>
    <w:rsid w:val="008D06A5"/>
    <w:rsid w:val="008D0714"/>
    <w:rsid w:val="008D073F"/>
    <w:rsid w:val="008D07B5"/>
    <w:rsid w:val="008D08AB"/>
    <w:rsid w:val="008D08CB"/>
    <w:rsid w:val="008D094F"/>
    <w:rsid w:val="008D097C"/>
    <w:rsid w:val="008D0A9C"/>
    <w:rsid w:val="008D0AEC"/>
    <w:rsid w:val="008D0BB6"/>
    <w:rsid w:val="008D0C06"/>
    <w:rsid w:val="008D0C58"/>
    <w:rsid w:val="008D0C63"/>
    <w:rsid w:val="008D0DA9"/>
    <w:rsid w:val="008D0EBD"/>
    <w:rsid w:val="008D0F1F"/>
    <w:rsid w:val="008D0FE6"/>
    <w:rsid w:val="008D1071"/>
    <w:rsid w:val="008D1096"/>
    <w:rsid w:val="008D10E9"/>
    <w:rsid w:val="008D1110"/>
    <w:rsid w:val="008D1152"/>
    <w:rsid w:val="008D12AE"/>
    <w:rsid w:val="008D1347"/>
    <w:rsid w:val="008D1357"/>
    <w:rsid w:val="008D13BE"/>
    <w:rsid w:val="008D14B9"/>
    <w:rsid w:val="008D1631"/>
    <w:rsid w:val="008D1695"/>
    <w:rsid w:val="008D16A4"/>
    <w:rsid w:val="008D16AF"/>
    <w:rsid w:val="008D1783"/>
    <w:rsid w:val="008D1793"/>
    <w:rsid w:val="008D18DE"/>
    <w:rsid w:val="008D1982"/>
    <w:rsid w:val="008D1A58"/>
    <w:rsid w:val="008D1A78"/>
    <w:rsid w:val="008D1A8A"/>
    <w:rsid w:val="008D1AA9"/>
    <w:rsid w:val="008D1BBB"/>
    <w:rsid w:val="008D1CAB"/>
    <w:rsid w:val="008D1D49"/>
    <w:rsid w:val="008D1DCC"/>
    <w:rsid w:val="008D1E43"/>
    <w:rsid w:val="008D1F06"/>
    <w:rsid w:val="008D1F52"/>
    <w:rsid w:val="008D1FB8"/>
    <w:rsid w:val="008D2073"/>
    <w:rsid w:val="008D214E"/>
    <w:rsid w:val="008D21DF"/>
    <w:rsid w:val="008D222A"/>
    <w:rsid w:val="008D224D"/>
    <w:rsid w:val="008D259E"/>
    <w:rsid w:val="008D25C6"/>
    <w:rsid w:val="008D260A"/>
    <w:rsid w:val="008D2662"/>
    <w:rsid w:val="008D2744"/>
    <w:rsid w:val="008D2754"/>
    <w:rsid w:val="008D2788"/>
    <w:rsid w:val="008D280E"/>
    <w:rsid w:val="008D2854"/>
    <w:rsid w:val="008D28B2"/>
    <w:rsid w:val="008D29F7"/>
    <w:rsid w:val="008D2AC0"/>
    <w:rsid w:val="008D2B14"/>
    <w:rsid w:val="008D2B5A"/>
    <w:rsid w:val="008D2B7F"/>
    <w:rsid w:val="008D2C05"/>
    <w:rsid w:val="008D2C7A"/>
    <w:rsid w:val="008D2D89"/>
    <w:rsid w:val="008D2DC1"/>
    <w:rsid w:val="008D2DF4"/>
    <w:rsid w:val="008D2E17"/>
    <w:rsid w:val="008D2E50"/>
    <w:rsid w:val="008D2EDB"/>
    <w:rsid w:val="008D2F9A"/>
    <w:rsid w:val="008D2FA9"/>
    <w:rsid w:val="008D2FD5"/>
    <w:rsid w:val="008D2FDC"/>
    <w:rsid w:val="008D3051"/>
    <w:rsid w:val="008D3058"/>
    <w:rsid w:val="008D3096"/>
    <w:rsid w:val="008D30A7"/>
    <w:rsid w:val="008D3119"/>
    <w:rsid w:val="008D312D"/>
    <w:rsid w:val="008D349C"/>
    <w:rsid w:val="008D34E8"/>
    <w:rsid w:val="008D361D"/>
    <w:rsid w:val="008D3668"/>
    <w:rsid w:val="008D36E9"/>
    <w:rsid w:val="008D3803"/>
    <w:rsid w:val="008D3893"/>
    <w:rsid w:val="008D38B1"/>
    <w:rsid w:val="008D38DD"/>
    <w:rsid w:val="008D398F"/>
    <w:rsid w:val="008D39C7"/>
    <w:rsid w:val="008D3A71"/>
    <w:rsid w:val="008D3AE8"/>
    <w:rsid w:val="008D3B74"/>
    <w:rsid w:val="008D3CF7"/>
    <w:rsid w:val="008D3D08"/>
    <w:rsid w:val="008D3E2B"/>
    <w:rsid w:val="008D3E32"/>
    <w:rsid w:val="008D3EB4"/>
    <w:rsid w:val="008D3EF2"/>
    <w:rsid w:val="008D4059"/>
    <w:rsid w:val="008D40DC"/>
    <w:rsid w:val="008D4187"/>
    <w:rsid w:val="008D4270"/>
    <w:rsid w:val="008D42E2"/>
    <w:rsid w:val="008D4325"/>
    <w:rsid w:val="008D4342"/>
    <w:rsid w:val="008D4430"/>
    <w:rsid w:val="008D4472"/>
    <w:rsid w:val="008D44D3"/>
    <w:rsid w:val="008D459D"/>
    <w:rsid w:val="008D4614"/>
    <w:rsid w:val="008D4636"/>
    <w:rsid w:val="008D469C"/>
    <w:rsid w:val="008D469E"/>
    <w:rsid w:val="008D472B"/>
    <w:rsid w:val="008D47CB"/>
    <w:rsid w:val="008D4821"/>
    <w:rsid w:val="008D4853"/>
    <w:rsid w:val="008D4884"/>
    <w:rsid w:val="008D49CD"/>
    <w:rsid w:val="008D49EC"/>
    <w:rsid w:val="008D4A0A"/>
    <w:rsid w:val="008D4A27"/>
    <w:rsid w:val="008D4AA5"/>
    <w:rsid w:val="008D4AB1"/>
    <w:rsid w:val="008D4AF5"/>
    <w:rsid w:val="008D4B3C"/>
    <w:rsid w:val="008D4BBC"/>
    <w:rsid w:val="008D4D72"/>
    <w:rsid w:val="008D4E91"/>
    <w:rsid w:val="008D4EFB"/>
    <w:rsid w:val="008D50EB"/>
    <w:rsid w:val="008D511B"/>
    <w:rsid w:val="008D5138"/>
    <w:rsid w:val="008D516B"/>
    <w:rsid w:val="008D51B8"/>
    <w:rsid w:val="008D5204"/>
    <w:rsid w:val="008D5244"/>
    <w:rsid w:val="008D5290"/>
    <w:rsid w:val="008D532F"/>
    <w:rsid w:val="008D5408"/>
    <w:rsid w:val="008D540B"/>
    <w:rsid w:val="008D545C"/>
    <w:rsid w:val="008D54B8"/>
    <w:rsid w:val="008D54D7"/>
    <w:rsid w:val="008D55C1"/>
    <w:rsid w:val="008D5717"/>
    <w:rsid w:val="008D5782"/>
    <w:rsid w:val="008D5784"/>
    <w:rsid w:val="008D5832"/>
    <w:rsid w:val="008D58CF"/>
    <w:rsid w:val="008D58D0"/>
    <w:rsid w:val="008D58F8"/>
    <w:rsid w:val="008D5A87"/>
    <w:rsid w:val="008D5B46"/>
    <w:rsid w:val="008D5C02"/>
    <w:rsid w:val="008D5C7E"/>
    <w:rsid w:val="008D5D25"/>
    <w:rsid w:val="008D5D70"/>
    <w:rsid w:val="008D5DB7"/>
    <w:rsid w:val="008D5DBC"/>
    <w:rsid w:val="008D5E28"/>
    <w:rsid w:val="008D5EE5"/>
    <w:rsid w:val="008D603E"/>
    <w:rsid w:val="008D604D"/>
    <w:rsid w:val="008D6055"/>
    <w:rsid w:val="008D61A2"/>
    <w:rsid w:val="008D624B"/>
    <w:rsid w:val="008D626B"/>
    <w:rsid w:val="008D6280"/>
    <w:rsid w:val="008D6325"/>
    <w:rsid w:val="008D63AE"/>
    <w:rsid w:val="008D6502"/>
    <w:rsid w:val="008D6554"/>
    <w:rsid w:val="008D659E"/>
    <w:rsid w:val="008D6626"/>
    <w:rsid w:val="008D67EA"/>
    <w:rsid w:val="008D6865"/>
    <w:rsid w:val="008D68DD"/>
    <w:rsid w:val="008D6938"/>
    <w:rsid w:val="008D6960"/>
    <w:rsid w:val="008D698D"/>
    <w:rsid w:val="008D69D6"/>
    <w:rsid w:val="008D69D8"/>
    <w:rsid w:val="008D6BD1"/>
    <w:rsid w:val="008D6BD5"/>
    <w:rsid w:val="008D6C26"/>
    <w:rsid w:val="008D6C35"/>
    <w:rsid w:val="008D6C87"/>
    <w:rsid w:val="008D6CC5"/>
    <w:rsid w:val="008D6D4F"/>
    <w:rsid w:val="008D6E11"/>
    <w:rsid w:val="008D6EDD"/>
    <w:rsid w:val="008D6EF2"/>
    <w:rsid w:val="008D6F10"/>
    <w:rsid w:val="008D6F15"/>
    <w:rsid w:val="008D6FF9"/>
    <w:rsid w:val="008D7039"/>
    <w:rsid w:val="008D71F5"/>
    <w:rsid w:val="008D721B"/>
    <w:rsid w:val="008D7274"/>
    <w:rsid w:val="008D72A2"/>
    <w:rsid w:val="008D72C8"/>
    <w:rsid w:val="008D72F0"/>
    <w:rsid w:val="008D7344"/>
    <w:rsid w:val="008D7416"/>
    <w:rsid w:val="008D7444"/>
    <w:rsid w:val="008D7486"/>
    <w:rsid w:val="008D7589"/>
    <w:rsid w:val="008D75B6"/>
    <w:rsid w:val="008D76A6"/>
    <w:rsid w:val="008D76B6"/>
    <w:rsid w:val="008D76D7"/>
    <w:rsid w:val="008D7752"/>
    <w:rsid w:val="008D77BF"/>
    <w:rsid w:val="008D783A"/>
    <w:rsid w:val="008D79D3"/>
    <w:rsid w:val="008D7A12"/>
    <w:rsid w:val="008D7B86"/>
    <w:rsid w:val="008D7BF0"/>
    <w:rsid w:val="008D7E5C"/>
    <w:rsid w:val="008D7EAC"/>
    <w:rsid w:val="008D7F23"/>
    <w:rsid w:val="008D7F7A"/>
    <w:rsid w:val="008E0050"/>
    <w:rsid w:val="008E0090"/>
    <w:rsid w:val="008E009B"/>
    <w:rsid w:val="008E00CB"/>
    <w:rsid w:val="008E01A5"/>
    <w:rsid w:val="008E027E"/>
    <w:rsid w:val="008E02D6"/>
    <w:rsid w:val="008E02E7"/>
    <w:rsid w:val="008E02F2"/>
    <w:rsid w:val="008E0301"/>
    <w:rsid w:val="008E034C"/>
    <w:rsid w:val="008E0368"/>
    <w:rsid w:val="008E0392"/>
    <w:rsid w:val="008E0467"/>
    <w:rsid w:val="008E0475"/>
    <w:rsid w:val="008E0595"/>
    <w:rsid w:val="008E0616"/>
    <w:rsid w:val="008E068F"/>
    <w:rsid w:val="008E072E"/>
    <w:rsid w:val="008E075D"/>
    <w:rsid w:val="008E07B0"/>
    <w:rsid w:val="008E07FF"/>
    <w:rsid w:val="008E080C"/>
    <w:rsid w:val="008E0878"/>
    <w:rsid w:val="008E0907"/>
    <w:rsid w:val="008E0961"/>
    <w:rsid w:val="008E09BC"/>
    <w:rsid w:val="008E09F0"/>
    <w:rsid w:val="008E0A16"/>
    <w:rsid w:val="008E0A24"/>
    <w:rsid w:val="008E0A2B"/>
    <w:rsid w:val="008E0BCC"/>
    <w:rsid w:val="008E0C83"/>
    <w:rsid w:val="008E0D73"/>
    <w:rsid w:val="008E0D8E"/>
    <w:rsid w:val="008E0DA9"/>
    <w:rsid w:val="008E0DCB"/>
    <w:rsid w:val="008E0DD3"/>
    <w:rsid w:val="008E0E02"/>
    <w:rsid w:val="008E0EA2"/>
    <w:rsid w:val="008E1008"/>
    <w:rsid w:val="008E10F3"/>
    <w:rsid w:val="008E1166"/>
    <w:rsid w:val="008E12B4"/>
    <w:rsid w:val="008E1302"/>
    <w:rsid w:val="008E134C"/>
    <w:rsid w:val="008E13BE"/>
    <w:rsid w:val="008E144B"/>
    <w:rsid w:val="008E16DF"/>
    <w:rsid w:val="008E176C"/>
    <w:rsid w:val="008E17AB"/>
    <w:rsid w:val="008E17C8"/>
    <w:rsid w:val="008E17DA"/>
    <w:rsid w:val="008E17DB"/>
    <w:rsid w:val="008E1834"/>
    <w:rsid w:val="008E1896"/>
    <w:rsid w:val="008E18C9"/>
    <w:rsid w:val="008E195E"/>
    <w:rsid w:val="008E1AA3"/>
    <w:rsid w:val="008E1ACA"/>
    <w:rsid w:val="008E1BCA"/>
    <w:rsid w:val="008E1BE1"/>
    <w:rsid w:val="008E1C57"/>
    <w:rsid w:val="008E1C81"/>
    <w:rsid w:val="008E1CCD"/>
    <w:rsid w:val="008E1DF6"/>
    <w:rsid w:val="008E1E10"/>
    <w:rsid w:val="008E1E12"/>
    <w:rsid w:val="008E1E16"/>
    <w:rsid w:val="008E1E24"/>
    <w:rsid w:val="008E1E9C"/>
    <w:rsid w:val="008E1EAE"/>
    <w:rsid w:val="008E1F35"/>
    <w:rsid w:val="008E20A0"/>
    <w:rsid w:val="008E20F9"/>
    <w:rsid w:val="008E2103"/>
    <w:rsid w:val="008E215B"/>
    <w:rsid w:val="008E2167"/>
    <w:rsid w:val="008E21A3"/>
    <w:rsid w:val="008E22F3"/>
    <w:rsid w:val="008E23D1"/>
    <w:rsid w:val="008E23E6"/>
    <w:rsid w:val="008E2445"/>
    <w:rsid w:val="008E24A8"/>
    <w:rsid w:val="008E2541"/>
    <w:rsid w:val="008E279D"/>
    <w:rsid w:val="008E27BD"/>
    <w:rsid w:val="008E27D9"/>
    <w:rsid w:val="008E27E8"/>
    <w:rsid w:val="008E2856"/>
    <w:rsid w:val="008E2869"/>
    <w:rsid w:val="008E2885"/>
    <w:rsid w:val="008E298E"/>
    <w:rsid w:val="008E29E6"/>
    <w:rsid w:val="008E29FD"/>
    <w:rsid w:val="008E2AD5"/>
    <w:rsid w:val="008E2AF4"/>
    <w:rsid w:val="008E2B59"/>
    <w:rsid w:val="008E2BBB"/>
    <w:rsid w:val="008E2C11"/>
    <w:rsid w:val="008E2C23"/>
    <w:rsid w:val="008E2CFD"/>
    <w:rsid w:val="008E2D67"/>
    <w:rsid w:val="008E2F00"/>
    <w:rsid w:val="008E2FA5"/>
    <w:rsid w:val="008E2FB0"/>
    <w:rsid w:val="008E30D6"/>
    <w:rsid w:val="008E31F7"/>
    <w:rsid w:val="008E32B7"/>
    <w:rsid w:val="008E34C8"/>
    <w:rsid w:val="008E3586"/>
    <w:rsid w:val="008E35C3"/>
    <w:rsid w:val="008E35EC"/>
    <w:rsid w:val="008E35F3"/>
    <w:rsid w:val="008E363F"/>
    <w:rsid w:val="008E3648"/>
    <w:rsid w:val="008E367B"/>
    <w:rsid w:val="008E378A"/>
    <w:rsid w:val="008E37BD"/>
    <w:rsid w:val="008E386E"/>
    <w:rsid w:val="008E3926"/>
    <w:rsid w:val="008E3928"/>
    <w:rsid w:val="008E3937"/>
    <w:rsid w:val="008E397B"/>
    <w:rsid w:val="008E39EA"/>
    <w:rsid w:val="008E3AA9"/>
    <w:rsid w:val="008E3AAB"/>
    <w:rsid w:val="008E3AB8"/>
    <w:rsid w:val="008E3B93"/>
    <w:rsid w:val="008E3D1B"/>
    <w:rsid w:val="008E3D22"/>
    <w:rsid w:val="008E3DDE"/>
    <w:rsid w:val="008E3E16"/>
    <w:rsid w:val="008E3ED2"/>
    <w:rsid w:val="008E3EDF"/>
    <w:rsid w:val="008E3F9F"/>
    <w:rsid w:val="008E3FD8"/>
    <w:rsid w:val="008E3FFE"/>
    <w:rsid w:val="008E40C7"/>
    <w:rsid w:val="008E40D6"/>
    <w:rsid w:val="008E423F"/>
    <w:rsid w:val="008E4263"/>
    <w:rsid w:val="008E4289"/>
    <w:rsid w:val="008E42A4"/>
    <w:rsid w:val="008E430D"/>
    <w:rsid w:val="008E434A"/>
    <w:rsid w:val="008E4428"/>
    <w:rsid w:val="008E4695"/>
    <w:rsid w:val="008E46A9"/>
    <w:rsid w:val="008E46B0"/>
    <w:rsid w:val="008E473F"/>
    <w:rsid w:val="008E4744"/>
    <w:rsid w:val="008E47A4"/>
    <w:rsid w:val="008E4814"/>
    <w:rsid w:val="008E4891"/>
    <w:rsid w:val="008E48F3"/>
    <w:rsid w:val="008E4996"/>
    <w:rsid w:val="008E4A27"/>
    <w:rsid w:val="008E4A80"/>
    <w:rsid w:val="008E4B1E"/>
    <w:rsid w:val="008E4BAA"/>
    <w:rsid w:val="008E4BDB"/>
    <w:rsid w:val="008E4BE9"/>
    <w:rsid w:val="008E4CD7"/>
    <w:rsid w:val="008E4CF5"/>
    <w:rsid w:val="008E4E0F"/>
    <w:rsid w:val="008E4E77"/>
    <w:rsid w:val="008E4E9F"/>
    <w:rsid w:val="008E4F50"/>
    <w:rsid w:val="008E4F6A"/>
    <w:rsid w:val="008E4FC6"/>
    <w:rsid w:val="008E4FFB"/>
    <w:rsid w:val="008E502D"/>
    <w:rsid w:val="008E5032"/>
    <w:rsid w:val="008E5036"/>
    <w:rsid w:val="008E509D"/>
    <w:rsid w:val="008E511C"/>
    <w:rsid w:val="008E5131"/>
    <w:rsid w:val="008E5148"/>
    <w:rsid w:val="008E51B4"/>
    <w:rsid w:val="008E52CD"/>
    <w:rsid w:val="008E52D7"/>
    <w:rsid w:val="008E53DE"/>
    <w:rsid w:val="008E5437"/>
    <w:rsid w:val="008E5464"/>
    <w:rsid w:val="008E549C"/>
    <w:rsid w:val="008E54E2"/>
    <w:rsid w:val="008E5530"/>
    <w:rsid w:val="008E5618"/>
    <w:rsid w:val="008E56DD"/>
    <w:rsid w:val="008E573C"/>
    <w:rsid w:val="008E58C7"/>
    <w:rsid w:val="008E58EE"/>
    <w:rsid w:val="008E5945"/>
    <w:rsid w:val="008E5985"/>
    <w:rsid w:val="008E59E4"/>
    <w:rsid w:val="008E5C0C"/>
    <w:rsid w:val="008E5C14"/>
    <w:rsid w:val="008E5C35"/>
    <w:rsid w:val="008E5C59"/>
    <w:rsid w:val="008E5C8E"/>
    <w:rsid w:val="008E5D53"/>
    <w:rsid w:val="008E5E1D"/>
    <w:rsid w:val="008E5E61"/>
    <w:rsid w:val="008E5E65"/>
    <w:rsid w:val="008E5F71"/>
    <w:rsid w:val="008E5FD4"/>
    <w:rsid w:val="008E60B4"/>
    <w:rsid w:val="008E611E"/>
    <w:rsid w:val="008E61CF"/>
    <w:rsid w:val="008E625C"/>
    <w:rsid w:val="008E6355"/>
    <w:rsid w:val="008E6465"/>
    <w:rsid w:val="008E6471"/>
    <w:rsid w:val="008E65C5"/>
    <w:rsid w:val="008E663A"/>
    <w:rsid w:val="008E6654"/>
    <w:rsid w:val="008E6677"/>
    <w:rsid w:val="008E667D"/>
    <w:rsid w:val="008E6718"/>
    <w:rsid w:val="008E6897"/>
    <w:rsid w:val="008E689C"/>
    <w:rsid w:val="008E693B"/>
    <w:rsid w:val="008E6942"/>
    <w:rsid w:val="008E6969"/>
    <w:rsid w:val="008E69C1"/>
    <w:rsid w:val="008E69DD"/>
    <w:rsid w:val="008E69F8"/>
    <w:rsid w:val="008E6B5E"/>
    <w:rsid w:val="008E6BF0"/>
    <w:rsid w:val="008E6C65"/>
    <w:rsid w:val="008E6CC8"/>
    <w:rsid w:val="008E6CDD"/>
    <w:rsid w:val="008E6CE6"/>
    <w:rsid w:val="008E6CF9"/>
    <w:rsid w:val="008E6D80"/>
    <w:rsid w:val="008E6DAE"/>
    <w:rsid w:val="008E6E3B"/>
    <w:rsid w:val="008E6E90"/>
    <w:rsid w:val="008E6EDC"/>
    <w:rsid w:val="008E6F03"/>
    <w:rsid w:val="008E702F"/>
    <w:rsid w:val="008E7054"/>
    <w:rsid w:val="008E7098"/>
    <w:rsid w:val="008E71BD"/>
    <w:rsid w:val="008E7280"/>
    <w:rsid w:val="008E7363"/>
    <w:rsid w:val="008E736A"/>
    <w:rsid w:val="008E7379"/>
    <w:rsid w:val="008E738E"/>
    <w:rsid w:val="008E75B1"/>
    <w:rsid w:val="008E75E4"/>
    <w:rsid w:val="008E761D"/>
    <w:rsid w:val="008E768A"/>
    <w:rsid w:val="008E769B"/>
    <w:rsid w:val="008E76A0"/>
    <w:rsid w:val="008E76AE"/>
    <w:rsid w:val="008E7793"/>
    <w:rsid w:val="008E7887"/>
    <w:rsid w:val="008E7A36"/>
    <w:rsid w:val="008E7AA8"/>
    <w:rsid w:val="008E7B54"/>
    <w:rsid w:val="008E7B86"/>
    <w:rsid w:val="008E7BC7"/>
    <w:rsid w:val="008E7CDE"/>
    <w:rsid w:val="008E7D02"/>
    <w:rsid w:val="008E7EDC"/>
    <w:rsid w:val="008E7F78"/>
    <w:rsid w:val="008E7FB2"/>
    <w:rsid w:val="008E7FF1"/>
    <w:rsid w:val="008F0088"/>
    <w:rsid w:val="008F00A1"/>
    <w:rsid w:val="008F00DF"/>
    <w:rsid w:val="008F0145"/>
    <w:rsid w:val="008F018C"/>
    <w:rsid w:val="008F01DC"/>
    <w:rsid w:val="008F0269"/>
    <w:rsid w:val="008F02A8"/>
    <w:rsid w:val="008F02C6"/>
    <w:rsid w:val="008F02C9"/>
    <w:rsid w:val="008F0308"/>
    <w:rsid w:val="008F0330"/>
    <w:rsid w:val="008F037E"/>
    <w:rsid w:val="008F0446"/>
    <w:rsid w:val="008F04CA"/>
    <w:rsid w:val="008F0557"/>
    <w:rsid w:val="008F05DB"/>
    <w:rsid w:val="008F05E7"/>
    <w:rsid w:val="008F0601"/>
    <w:rsid w:val="008F06FC"/>
    <w:rsid w:val="008F0847"/>
    <w:rsid w:val="008F08BC"/>
    <w:rsid w:val="008F094F"/>
    <w:rsid w:val="008F098A"/>
    <w:rsid w:val="008F09A5"/>
    <w:rsid w:val="008F0A08"/>
    <w:rsid w:val="008F0A81"/>
    <w:rsid w:val="008F0BA6"/>
    <w:rsid w:val="008F0BBA"/>
    <w:rsid w:val="008F0BF5"/>
    <w:rsid w:val="008F0C42"/>
    <w:rsid w:val="008F0DB7"/>
    <w:rsid w:val="008F0E02"/>
    <w:rsid w:val="008F0E7D"/>
    <w:rsid w:val="008F0EA0"/>
    <w:rsid w:val="008F0EBF"/>
    <w:rsid w:val="008F0F0A"/>
    <w:rsid w:val="008F0FBF"/>
    <w:rsid w:val="008F0FFD"/>
    <w:rsid w:val="008F1017"/>
    <w:rsid w:val="008F10B0"/>
    <w:rsid w:val="008F1125"/>
    <w:rsid w:val="008F11F2"/>
    <w:rsid w:val="008F12CA"/>
    <w:rsid w:val="008F12EB"/>
    <w:rsid w:val="008F13DD"/>
    <w:rsid w:val="008F13E4"/>
    <w:rsid w:val="008F1461"/>
    <w:rsid w:val="008F1481"/>
    <w:rsid w:val="008F151F"/>
    <w:rsid w:val="008F1557"/>
    <w:rsid w:val="008F1578"/>
    <w:rsid w:val="008F158B"/>
    <w:rsid w:val="008F15B1"/>
    <w:rsid w:val="008F1668"/>
    <w:rsid w:val="008F1721"/>
    <w:rsid w:val="008F1739"/>
    <w:rsid w:val="008F17D2"/>
    <w:rsid w:val="008F183F"/>
    <w:rsid w:val="008F188C"/>
    <w:rsid w:val="008F18DB"/>
    <w:rsid w:val="008F1940"/>
    <w:rsid w:val="008F195F"/>
    <w:rsid w:val="008F19C6"/>
    <w:rsid w:val="008F1A22"/>
    <w:rsid w:val="008F1AEA"/>
    <w:rsid w:val="008F1B1E"/>
    <w:rsid w:val="008F1B70"/>
    <w:rsid w:val="008F1BBA"/>
    <w:rsid w:val="008F1C00"/>
    <w:rsid w:val="008F1DD6"/>
    <w:rsid w:val="008F1DF0"/>
    <w:rsid w:val="008F1EF9"/>
    <w:rsid w:val="008F1F9C"/>
    <w:rsid w:val="008F1FAC"/>
    <w:rsid w:val="008F1FC5"/>
    <w:rsid w:val="008F20BD"/>
    <w:rsid w:val="008F20EC"/>
    <w:rsid w:val="008F2158"/>
    <w:rsid w:val="008F216A"/>
    <w:rsid w:val="008F216B"/>
    <w:rsid w:val="008F21AB"/>
    <w:rsid w:val="008F2210"/>
    <w:rsid w:val="008F224C"/>
    <w:rsid w:val="008F231D"/>
    <w:rsid w:val="008F237C"/>
    <w:rsid w:val="008F23C6"/>
    <w:rsid w:val="008F23E4"/>
    <w:rsid w:val="008F23F0"/>
    <w:rsid w:val="008F25E6"/>
    <w:rsid w:val="008F26EA"/>
    <w:rsid w:val="008F26EB"/>
    <w:rsid w:val="008F272A"/>
    <w:rsid w:val="008F2748"/>
    <w:rsid w:val="008F27FD"/>
    <w:rsid w:val="008F2820"/>
    <w:rsid w:val="008F289D"/>
    <w:rsid w:val="008F29B1"/>
    <w:rsid w:val="008F2A02"/>
    <w:rsid w:val="008F2A85"/>
    <w:rsid w:val="008F2ACD"/>
    <w:rsid w:val="008F2B0A"/>
    <w:rsid w:val="008F2B32"/>
    <w:rsid w:val="008F2BF7"/>
    <w:rsid w:val="008F2CD3"/>
    <w:rsid w:val="008F2CE3"/>
    <w:rsid w:val="008F2CE5"/>
    <w:rsid w:val="008F2E0B"/>
    <w:rsid w:val="008F2E3A"/>
    <w:rsid w:val="008F2E58"/>
    <w:rsid w:val="008F2E8B"/>
    <w:rsid w:val="008F2F77"/>
    <w:rsid w:val="008F2FB1"/>
    <w:rsid w:val="008F300B"/>
    <w:rsid w:val="008F3236"/>
    <w:rsid w:val="008F3264"/>
    <w:rsid w:val="008F3294"/>
    <w:rsid w:val="008F32B9"/>
    <w:rsid w:val="008F3356"/>
    <w:rsid w:val="008F33ED"/>
    <w:rsid w:val="008F34B6"/>
    <w:rsid w:val="008F34DA"/>
    <w:rsid w:val="008F34F9"/>
    <w:rsid w:val="008F3555"/>
    <w:rsid w:val="008F356A"/>
    <w:rsid w:val="008F3598"/>
    <w:rsid w:val="008F35CF"/>
    <w:rsid w:val="008F3610"/>
    <w:rsid w:val="008F361A"/>
    <w:rsid w:val="008F368E"/>
    <w:rsid w:val="008F36F9"/>
    <w:rsid w:val="008F3749"/>
    <w:rsid w:val="008F3853"/>
    <w:rsid w:val="008F3866"/>
    <w:rsid w:val="008F38E7"/>
    <w:rsid w:val="008F395B"/>
    <w:rsid w:val="008F39B3"/>
    <w:rsid w:val="008F39B6"/>
    <w:rsid w:val="008F3A94"/>
    <w:rsid w:val="008F3AAA"/>
    <w:rsid w:val="008F3AC1"/>
    <w:rsid w:val="008F3AFE"/>
    <w:rsid w:val="008F3C3A"/>
    <w:rsid w:val="008F3C5A"/>
    <w:rsid w:val="008F3C77"/>
    <w:rsid w:val="008F3D27"/>
    <w:rsid w:val="008F3DEC"/>
    <w:rsid w:val="008F3DEF"/>
    <w:rsid w:val="008F3EA1"/>
    <w:rsid w:val="008F4039"/>
    <w:rsid w:val="008F40F4"/>
    <w:rsid w:val="008F4321"/>
    <w:rsid w:val="008F438C"/>
    <w:rsid w:val="008F4403"/>
    <w:rsid w:val="008F4404"/>
    <w:rsid w:val="008F4407"/>
    <w:rsid w:val="008F453B"/>
    <w:rsid w:val="008F456C"/>
    <w:rsid w:val="008F45AB"/>
    <w:rsid w:val="008F4685"/>
    <w:rsid w:val="008F46E1"/>
    <w:rsid w:val="008F4739"/>
    <w:rsid w:val="008F477D"/>
    <w:rsid w:val="008F47A0"/>
    <w:rsid w:val="008F48BC"/>
    <w:rsid w:val="008F48E0"/>
    <w:rsid w:val="008F4952"/>
    <w:rsid w:val="008F496C"/>
    <w:rsid w:val="008F496F"/>
    <w:rsid w:val="008F49DA"/>
    <w:rsid w:val="008F4A22"/>
    <w:rsid w:val="008F4A91"/>
    <w:rsid w:val="008F4BCD"/>
    <w:rsid w:val="008F4C0F"/>
    <w:rsid w:val="008F4C19"/>
    <w:rsid w:val="008F4D57"/>
    <w:rsid w:val="008F4D58"/>
    <w:rsid w:val="008F4D5C"/>
    <w:rsid w:val="008F4DA1"/>
    <w:rsid w:val="008F4DB5"/>
    <w:rsid w:val="008F4EAD"/>
    <w:rsid w:val="008F4EC1"/>
    <w:rsid w:val="008F4ECC"/>
    <w:rsid w:val="008F4F10"/>
    <w:rsid w:val="008F4F34"/>
    <w:rsid w:val="008F4F78"/>
    <w:rsid w:val="008F5102"/>
    <w:rsid w:val="008F5133"/>
    <w:rsid w:val="008F517F"/>
    <w:rsid w:val="008F51DC"/>
    <w:rsid w:val="008F5208"/>
    <w:rsid w:val="008F524C"/>
    <w:rsid w:val="008F5290"/>
    <w:rsid w:val="008F52FD"/>
    <w:rsid w:val="008F531E"/>
    <w:rsid w:val="008F53EB"/>
    <w:rsid w:val="008F5472"/>
    <w:rsid w:val="008F54D8"/>
    <w:rsid w:val="008F55A0"/>
    <w:rsid w:val="008F55F6"/>
    <w:rsid w:val="008F5606"/>
    <w:rsid w:val="008F56F7"/>
    <w:rsid w:val="008F5725"/>
    <w:rsid w:val="008F582E"/>
    <w:rsid w:val="008F59DA"/>
    <w:rsid w:val="008F5A11"/>
    <w:rsid w:val="008F5A20"/>
    <w:rsid w:val="008F5A40"/>
    <w:rsid w:val="008F5E54"/>
    <w:rsid w:val="008F5ED2"/>
    <w:rsid w:val="008F5EE0"/>
    <w:rsid w:val="008F5F12"/>
    <w:rsid w:val="008F5FDB"/>
    <w:rsid w:val="008F604D"/>
    <w:rsid w:val="008F6069"/>
    <w:rsid w:val="008F61F9"/>
    <w:rsid w:val="008F622B"/>
    <w:rsid w:val="008F6261"/>
    <w:rsid w:val="008F62CA"/>
    <w:rsid w:val="008F62CE"/>
    <w:rsid w:val="008F62F9"/>
    <w:rsid w:val="008F6308"/>
    <w:rsid w:val="008F632E"/>
    <w:rsid w:val="008F636D"/>
    <w:rsid w:val="008F63D8"/>
    <w:rsid w:val="008F645F"/>
    <w:rsid w:val="008F64DC"/>
    <w:rsid w:val="008F64ED"/>
    <w:rsid w:val="008F6510"/>
    <w:rsid w:val="008F6572"/>
    <w:rsid w:val="008F65D6"/>
    <w:rsid w:val="008F6636"/>
    <w:rsid w:val="008F6654"/>
    <w:rsid w:val="008F668F"/>
    <w:rsid w:val="008F67C8"/>
    <w:rsid w:val="008F67DE"/>
    <w:rsid w:val="008F698B"/>
    <w:rsid w:val="008F699E"/>
    <w:rsid w:val="008F6A5B"/>
    <w:rsid w:val="008F6AE3"/>
    <w:rsid w:val="008F6B0D"/>
    <w:rsid w:val="008F6B15"/>
    <w:rsid w:val="008F6B2A"/>
    <w:rsid w:val="008F6B2E"/>
    <w:rsid w:val="008F6B85"/>
    <w:rsid w:val="008F6BC0"/>
    <w:rsid w:val="008F6BC2"/>
    <w:rsid w:val="008F6C1B"/>
    <w:rsid w:val="008F6C99"/>
    <w:rsid w:val="008F6D26"/>
    <w:rsid w:val="008F6DA7"/>
    <w:rsid w:val="008F6E3C"/>
    <w:rsid w:val="008F6F32"/>
    <w:rsid w:val="008F6F59"/>
    <w:rsid w:val="008F709A"/>
    <w:rsid w:val="008F711F"/>
    <w:rsid w:val="008F719A"/>
    <w:rsid w:val="008F720B"/>
    <w:rsid w:val="008F728B"/>
    <w:rsid w:val="008F72D7"/>
    <w:rsid w:val="008F7354"/>
    <w:rsid w:val="008F73CB"/>
    <w:rsid w:val="008F73E6"/>
    <w:rsid w:val="008F740D"/>
    <w:rsid w:val="008F749C"/>
    <w:rsid w:val="008F74D3"/>
    <w:rsid w:val="008F74FC"/>
    <w:rsid w:val="008F7504"/>
    <w:rsid w:val="008F75AE"/>
    <w:rsid w:val="008F76FA"/>
    <w:rsid w:val="008F7759"/>
    <w:rsid w:val="008F7945"/>
    <w:rsid w:val="008F79A6"/>
    <w:rsid w:val="008F79CC"/>
    <w:rsid w:val="008F7A6F"/>
    <w:rsid w:val="008F7BDD"/>
    <w:rsid w:val="008F7CD8"/>
    <w:rsid w:val="008F7CE8"/>
    <w:rsid w:val="008F7D34"/>
    <w:rsid w:val="008F7DD6"/>
    <w:rsid w:val="008F7F02"/>
    <w:rsid w:val="00900054"/>
    <w:rsid w:val="00900088"/>
    <w:rsid w:val="009000C2"/>
    <w:rsid w:val="00900184"/>
    <w:rsid w:val="009001FE"/>
    <w:rsid w:val="00900204"/>
    <w:rsid w:val="00900242"/>
    <w:rsid w:val="00900271"/>
    <w:rsid w:val="009002A7"/>
    <w:rsid w:val="00900335"/>
    <w:rsid w:val="00900366"/>
    <w:rsid w:val="0090039A"/>
    <w:rsid w:val="0090039D"/>
    <w:rsid w:val="0090039F"/>
    <w:rsid w:val="009003D1"/>
    <w:rsid w:val="00900549"/>
    <w:rsid w:val="00900597"/>
    <w:rsid w:val="009005B0"/>
    <w:rsid w:val="009005DA"/>
    <w:rsid w:val="0090060E"/>
    <w:rsid w:val="00900673"/>
    <w:rsid w:val="009006CD"/>
    <w:rsid w:val="00900787"/>
    <w:rsid w:val="00900812"/>
    <w:rsid w:val="009008B7"/>
    <w:rsid w:val="009008BF"/>
    <w:rsid w:val="009008E1"/>
    <w:rsid w:val="00900910"/>
    <w:rsid w:val="00900952"/>
    <w:rsid w:val="00900961"/>
    <w:rsid w:val="009009E2"/>
    <w:rsid w:val="00900ABA"/>
    <w:rsid w:val="00900AD2"/>
    <w:rsid w:val="00900B4F"/>
    <w:rsid w:val="00900CB1"/>
    <w:rsid w:val="00900D11"/>
    <w:rsid w:val="00900D71"/>
    <w:rsid w:val="00900E17"/>
    <w:rsid w:val="00900E1B"/>
    <w:rsid w:val="00900E36"/>
    <w:rsid w:val="00900EF2"/>
    <w:rsid w:val="00900F08"/>
    <w:rsid w:val="00900FF8"/>
    <w:rsid w:val="00901149"/>
    <w:rsid w:val="009011C7"/>
    <w:rsid w:val="009012AB"/>
    <w:rsid w:val="00901390"/>
    <w:rsid w:val="009013BD"/>
    <w:rsid w:val="00901403"/>
    <w:rsid w:val="00901435"/>
    <w:rsid w:val="0090149E"/>
    <w:rsid w:val="009015A1"/>
    <w:rsid w:val="009015A9"/>
    <w:rsid w:val="0090164E"/>
    <w:rsid w:val="00901651"/>
    <w:rsid w:val="009016B7"/>
    <w:rsid w:val="00901745"/>
    <w:rsid w:val="009017EA"/>
    <w:rsid w:val="0090189F"/>
    <w:rsid w:val="009018DA"/>
    <w:rsid w:val="0090199E"/>
    <w:rsid w:val="009019DF"/>
    <w:rsid w:val="00901B82"/>
    <w:rsid w:val="00901BBA"/>
    <w:rsid w:val="00901BF5"/>
    <w:rsid w:val="00901C44"/>
    <w:rsid w:val="00901C71"/>
    <w:rsid w:val="00901C9F"/>
    <w:rsid w:val="00901CC1"/>
    <w:rsid w:val="00901CE8"/>
    <w:rsid w:val="00901D5B"/>
    <w:rsid w:val="00901E71"/>
    <w:rsid w:val="00901EFD"/>
    <w:rsid w:val="00901F45"/>
    <w:rsid w:val="00902008"/>
    <w:rsid w:val="00902037"/>
    <w:rsid w:val="009020D8"/>
    <w:rsid w:val="009020FC"/>
    <w:rsid w:val="00902191"/>
    <w:rsid w:val="009021A5"/>
    <w:rsid w:val="009022B7"/>
    <w:rsid w:val="009022DE"/>
    <w:rsid w:val="009022F1"/>
    <w:rsid w:val="00902307"/>
    <w:rsid w:val="009023D2"/>
    <w:rsid w:val="00902414"/>
    <w:rsid w:val="00902491"/>
    <w:rsid w:val="009024CA"/>
    <w:rsid w:val="009024DD"/>
    <w:rsid w:val="0090253F"/>
    <w:rsid w:val="0090259B"/>
    <w:rsid w:val="009027F2"/>
    <w:rsid w:val="009028F2"/>
    <w:rsid w:val="009029F8"/>
    <w:rsid w:val="00902A52"/>
    <w:rsid w:val="00902B4D"/>
    <w:rsid w:val="00902BEA"/>
    <w:rsid w:val="00902C42"/>
    <w:rsid w:val="00902CA1"/>
    <w:rsid w:val="00902D31"/>
    <w:rsid w:val="00902D70"/>
    <w:rsid w:val="00902D8A"/>
    <w:rsid w:val="00902E2E"/>
    <w:rsid w:val="00902E56"/>
    <w:rsid w:val="00902E80"/>
    <w:rsid w:val="00902ECF"/>
    <w:rsid w:val="00902EE2"/>
    <w:rsid w:val="00902F61"/>
    <w:rsid w:val="00903025"/>
    <w:rsid w:val="009030BC"/>
    <w:rsid w:val="009030E7"/>
    <w:rsid w:val="00903121"/>
    <w:rsid w:val="0090316E"/>
    <w:rsid w:val="009031D3"/>
    <w:rsid w:val="0090326B"/>
    <w:rsid w:val="00903292"/>
    <w:rsid w:val="0090330B"/>
    <w:rsid w:val="00903396"/>
    <w:rsid w:val="0090344F"/>
    <w:rsid w:val="009034D4"/>
    <w:rsid w:val="0090351D"/>
    <w:rsid w:val="00903541"/>
    <w:rsid w:val="009035D1"/>
    <w:rsid w:val="00903672"/>
    <w:rsid w:val="009036D4"/>
    <w:rsid w:val="009036EA"/>
    <w:rsid w:val="00903703"/>
    <w:rsid w:val="009037BB"/>
    <w:rsid w:val="009037DC"/>
    <w:rsid w:val="0090387F"/>
    <w:rsid w:val="0090395A"/>
    <w:rsid w:val="009039BB"/>
    <w:rsid w:val="00903AF7"/>
    <w:rsid w:val="00903AF8"/>
    <w:rsid w:val="00903B35"/>
    <w:rsid w:val="00903B3B"/>
    <w:rsid w:val="00903BD5"/>
    <w:rsid w:val="00903C77"/>
    <w:rsid w:val="00903D4D"/>
    <w:rsid w:val="00903D61"/>
    <w:rsid w:val="00903DA2"/>
    <w:rsid w:val="00903DE0"/>
    <w:rsid w:val="00903E7E"/>
    <w:rsid w:val="00903EB4"/>
    <w:rsid w:val="00903F2E"/>
    <w:rsid w:val="00904060"/>
    <w:rsid w:val="009040DD"/>
    <w:rsid w:val="00904203"/>
    <w:rsid w:val="009042F8"/>
    <w:rsid w:val="00904343"/>
    <w:rsid w:val="0090439A"/>
    <w:rsid w:val="0090448C"/>
    <w:rsid w:val="009044C8"/>
    <w:rsid w:val="009044E3"/>
    <w:rsid w:val="009045BC"/>
    <w:rsid w:val="00904624"/>
    <w:rsid w:val="009046AB"/>
    <w:rsid w:val="00904734"/>
    <w:rsid w:val="00904747"/>
    <w:rsid w:val="009047E3"/>
    <w:rsid w:val="00904A0F"/>
    <w:rsid w:val="00904A29"/>
    <w:rsid w:val="00904AD8"/>
    <w:rsid w:val="00904CC1"/>
    <w:rsid w:val="00904CFA"/>
    <w:rsid w:val="00904D24"/>
    <w:rsid w:val="00904D37"/>
    <w:rsid w:val="00904DD4"/>
    <w:rsid w:val="00904EB8"/>
    <w:rsid w:val="00904FCC"/>
    <w:rsid w:val="009050BF"/>
    <w:rsid w:val="009051EF"/>
    <w:rsid w:val="00905217"/>
    <w:rsid w:val="00905297"/>
    <w:rsid w:val="009052AB"/>
    <w:rsid w:val="009052C4"/>
    <w:rsid w:val="009052E5"/>
    <w:rsid w:val="00905307"/>
    <w:rsid w:val="00905464"/>
    <w:rsid w:val="009054A2"/>
    <w:rsid w:val="009054D8"/>
    <w:rsid w:val="009054F6"/>
    <w:rsid w:val="00905507"/>
    <w:rsid w:val="00905765"/>
    <w:rsid w:val="0090579B"/>
    <w:rsid w:val="009057A7"/>
    <w:rsid w:val="009057C3"/>
    <w:rsid w:val="009057D3"/>
    <w:rsid w:val="0090586A"/>
    <w:rsid w:val="00905952"/>
    <w:rsid w:val="009059B0"/>
    <w:rsid w:val="009059D2"/>
    <w:rsid w:val="00905A25"/>
    <w:rsid w:val="00905A34"/>
    <w:rsid w:val="00905B1B"/>
    <w:rsid w:val="00905B55"/>
    <w:rsid w:val="00905B64"/>
    <w:rsid w:val="00905C1F"/>
    <w:rsid w:val="00905D8E"/>
    <w:rsid w:val="00905DBC"/>
    <w:rsid w:val="00905E09"/>
    <w:rsid w:val="00905E3B"/>
    <w:rsid w:val="00906062"/>
    <w:rsid w:val="009061CA"/>
    <w:rsid w:val="009061D5"/>
    <w:rsid w:val="0090620B"/>
    <w:rsid w:val="009062C1"/>
    <w:rsid w:val="009062DE"/>
    <w:rsid w:val="009063A4"/>
    <w:rsid w:val="009063A8"/>
    <w:rsid w:val="00906408"/>
    <w:rsid w:val="00906486"/>
    <w:rsid w:val="00906533"/>
    <w:rsid w:val="00906538"/>
    <w:rsid w:val="009065FF"/>
    <w:rsid w:val="00906628"/>
    <w:rsid w:val="0090663A"/>
    <w:rsid w:val="00906708"/>
    <w:rsid w:val="0090680B"/>
    <w:rsid w:val="0090687C"/>
    <w:rsid w:val="009068E2"/>
    <w:rsid w:val="00906940"/>
    <w:rsid w:val="009069B4"/>
    <w:rsid w:val="009069EC"/>
    <w:rsid w:val="00906A67"/>
    <w:rsid w:val="00906A97"/>
    <w:rsid w:val="00906AC8"/>
    <w:rsid w:val="00906B2C"/>
    <w:rsid w:val="00906BF0"/>
    <w:rsid w:val="00906C71"/>
    <w:rsid w:val="00906CEF"/>
    <w:rsid w:val="00906D0A"/>
    <w:rsid w:val="00906D41"/>
    <w:rsid w:val="00906D9F"/>
    <w:rsid w:val="00906EBE"/>
    <w:rsid w:val="00907183"/>
    <w:rsid w:val="0090727A"/>
    <w:rsid w:val="009072A4"/>
    <w:rsid w:val="009072AF"/>
    <w:rsid w:val="00907324"/>
    <w:rsid w:val="0090737A"/>
    <w:rsid w:val="009073AF"/>
    <w:rsid w:val="0090743C"/>
    <w:rsid w:val="0090744C"/>
    <w:rsid w:val="009074B5"/>
    <w:rsid w:val="00907561"/>
    <w:rsid w:val="0090776A"/>
    <w:rsid w:val="00907795"/>
    <w:rsid w:val="00907887"/>
    <w:rsid w:val="009078A9"/>
    <w:rsid w:val="0090791C"/>
    <w:rsid w:val="0090798E"/>
    <w:rsid w:val="0090799D"/>
    <w:rsid w:val="009079A5"/>
    <w:rsid w:val="009079FF"/>
    <w:rsid w:val="00907A94"/>
    <w:rsid w:val="00907A9E"/>
    <w:rsid w:val="00907AE3"/>
    <w:rsid w:val="00907B20"/>
    <w:rsid w:val="00907BA1"/>
    <w:rsid w:val="00907C3A"/>
    <w:rsid w:val="00907CBA"/>
    <w:rsid w:val="00907EAA"/>
    <w:rsid w:val="00907ED4"/>
    <w:rsid w:val="00907EEF"/>
    <w:rsid w:val="00907F34"/>
    <w:rsid w:val="00907FAE"/>
    <w:rsid w:val="0091003B"/>
    <w:rsid w:val="00910083"/>
    <w:rsid w:val="00910113"/>
    <w:rsid w:val="009102CC"/>
    <w:rsid w:val="0091039B"/>
    <w:rsid w:val="009103B2"/>
    <w:rsid w:val="0091040E"/>
    <w:rsid w:val="00910452"/>
    <w:rsid w:val="0091046F"/>
    <w:rsid w:val="0091052B"/>
    <w:rsid w:val="00910590"/>
    <w:rsid w:val="009105DA"/>
    <w:rsid w:val="009105EE"/>
    <w:rsid w:val="0091064A"/>
    <w:rsid w:val="009106A2"/>
    <w:rsid w:val="00910750"/>
    <w:rsid w:val="00910777"/>
    <w:rsid w:val="009107BA"/>
    <w:rsid w:val="009108FC"/>
    <w:rsid w:val="00910914"/>
    <w:rsid w:val="00910916"/>
    <w:rsid w:val="009109CC"/>
    <w:rsid w:val="00910A96"/>
    <w:rsid w:val="00910AB5"/>
    <w:rsid w:val="00910B2B"/>
    <w:rsid w:val="00910BAD"/>
    <w:rsid w:val="00910C41"/>
    <w:rsid w:val="00910C9C"/>
    <w:rsid w:val="00910D1E"/>
    <w:rsid w:val="00910D7C"/>
    <w:rsid w:val="00910F6B"/>
    <w:rsid w:val="00910FCB"/>
    <w:rsid w:val="00911007"/>
    <w:rsid w:val="00911046"/>
    <w:rsid w:val="00911087"/>
    <w:rsid w:val="00911093"/>
    <w:rsid w:val="009110AA"/>
    <w:rsid w:val="009110C4"/>
    <w:rsid w:val="00911135"/>
    <w:rsid w:val="0091117F"/>
    <w:rsid w:val="009111C7"/>
    <w:rsid w:val="00911253"/>
    <w:rsid w:val="00911272"/>
    <w:rsid w:val="00911298"/>
    <w:rsid w:val="009112CC"/>
    <w:rsid w:val="009112D1"/>
    <w:rsid w:val="009112DE"/>
    <w:rsid w:val="009113AB"/>
    <w:rsid w:val="00911455"/>
    <w:rsid w:val="0091147F"/>
    <w:rsid w:val="009114B3"/>
    <w:rsid w:val="00911556"/>
    <w:rsid w:val="009115E9"/>
    <w:rsid w:val="009115F2"/>
    <w:rsid w:val="00911602"/>
    <w:rsid w:val="00911619"/>
    <w:rsid w:val="009117BC"/>
    <w:rsid w:val="0091180B"/>
    <w:rsid w:val="0091182A"/>
    <w:rsid w:val="00911861"/>
    <w:rsid w:val="00911A34"/>
    <w:rsid w:val="00911B2C"/>
    <w:rsid w:val="00911B32"/>
    <w:rsid w:val="00911B9D"/>
    <w:rsid w:val="00911C2E"/>
    <w:rsid w:val="00911C8D"/>
    <w:rsid w:val="00911CF6"/>
    <w:rsid w:val="00911E43"/>
    <w:rsid w:val="00911E67"/>
    <w:rsid w:val="00911EA0"/>
    <w:rsid w:val="00911ED0"/>
    <w:rsid w:val="00911ED8"/>
    <w:rsid w:val="00911EF2"/>
    <w:rsid w:val="00911F78"/>
    <w:rsid w:val="00912114"/>
    <w:rsid w:val="00912141"/>
    <w:rsid w:val="009121B7"/>
    <w:rsid w:val="009122B1"/>
    <w:rsid w:val="00912319"/>
    <w:rsid w:val="0091238E"/>
    <w:rsid w:val="00912435"/>
    <w:rsid w:val="0091246E"/>
    <w:rsid w:val="00912520"/>
    <w:rsid w:val="00912530"/>
    <w:rsid w:val="0091255B"/>
    <w:rsid w:val="009125DB"/>
    <w:rsid w:val="009125EA"/>
    <w:rsid w:val="00912686"/>
    <w:rsid w:val="00912706"/>
    <w:rsid w:val="009127CC"/>
    <w:rsid w:val="00912801"/>
    <w:rsid w:val="00912819"/>
    <w:rsid w:val="00912836"/>
    <w:rsid w:val="0091287F"/>
    <w:rsid w:val="009128C0"/>
    <w:rsid w:val="009128C9"/>
    <w:rsid w:val="0091292C"/>
    <w:rsid w:val="00912937"/>
    <w:rsid w:val="00912A5F"/>
    <w:rsid w:val="00912ABB"/>
    <w:rsid w:val="00912AEC"/>
    <w:rsid w:val="00912B3B"/>
    <w:rsid w:val="00912B82"/>
    <w:rsid w:val="00912C06"/>
    <w:rsid w:val="00912C0A"/>
    <w:rsid w:val="00912C11"/>
    <w:rsid w:val="00912C2B"/>
    <w:rsid w:val="00912C3B"/>
    <w:rsid w:val="00912CFF"/>
    <w:rsid w:val="00912D44"/>
    <w:rsid w:val="00912D52"/>
    <w:rsid w:val="00912DA4"/>
    <w:rsid w:val="00912DEA"/>
    <w:rsid w:val="00912DEC"/>
    <w:rsid w:val="00912E48"/>
    <w:rsid w:val="00912EA0"/>
    <w:rsid w:val="00912F1E"/>
    <w:rsid w:val="0091303B"/>
    <w:rsid w:val="0091309E"/>
    <w:rsid w:val="009131A2"/>
    <w:rsid w:val="009131F3"/>
    <w:rsid w:val="00913261"/>
    <w:rsid w:val="00913337"/>
    <w:rsid w:val="0091338B"/>
    <w:rsid w:val="0091341D"/>
    <w:rsid w:val="009134A8"/>
    <w:rsid w:val="00913625"/>
    <w:rsid w:val="0091366D"/>
    <w:rsid w:val="009137E4"/>
    <w:rsid w:val="009139BD"/>
    <w:rsid w:val="00913A8C"/>
    <w:rsid w:val="00913C39"/>
    <w:rsid w:val="00913C6D"/>
    <w:rsid w:val="00913C73"/>
    <w:rsid w:val="00913C79"/>
    <w:rsid w:val="00913CC8"/>
    <w:rsid w:val="00913D4B"/>
    <w:rsid w:val="00913DFF"/>
    <w:rsid w:val="00913E9B"/>
    <w:rsid w:val="00913EEA"/>
    <w:rsid w:val="00913F37"/>
    <w:rsid w:val="00913F88"/>
    <w:rsid w:val="00913F8C"/>
    <w:rsid w:val="009140B5"/>
    <w:rsid w:val="00914232"/>
    <w:rsid w:val="00914238"/>
    <w:rsid w:val="009142EB"/>
    <w:rsid w:val="00914395"/>
    <w:rsid w:val="00914427"/>
    <w:rsid w:val="0091447B"/>
    <w:rsid w:val="009145A2"/>
    <w:rsid w:val="009145AE"/>
    <w:rsid w:val="009145D1"/>
    <w:rsid w:val="009145F5"/>
    <w:rsid w:val="00914622"/>
    <w:rsid w:val="00914628"/>
    <w:rsid w:val="00914691"/>
    <w:rsid w:val="009147D5"/>
    <w:rsid w:val="00914816"/>
    <w:rsid w:val="009148BE"/>
    <w:rsid w:val="009148D2"/>
    <w:rsid w:val="009149D1"/>
    <w:rsid w:val="00914A27"/>
    <w:rsid w:val="00914A40"/>
    <w:rsid w:val="00914AF5"/>
    <w:rsid w:val="00914C18"/>
    <w:rsid w:val="00914CCE"/>
    <w:rsid w:val="00914CDE"/>
    <w:rsid w:val="00914E4A"/>
    <w:rsid w:val="00914E5D"/>
    <w:rsid w:val="00914E63"/>
    <w:rsid w:val="00914F16"/>
    <w:rsid w:val="00914F53"/>
    <w:rsid w:val="00914F6D"/>
    <w:rsid w:val="00914F77"/>
    <w:rsid w:val="00914FB2"/>
    <w:rsid w:val="00915078"/>
    <w:rsid w:val="00915342"/>
    <w:rsid w:val="009154A8"/>
    <w:rsid w:val="0091550E"/>
    <w:rsid w:val="009155D0"/>
    <w:rsid w:val="009155FE"/>
    <w:rsid w:val="009156AB"/>
    <w:rsid w:val="009156B1"/>
    <w:rsid w:val="009157EA"/>
    <w:rsid w:val="0091593F"/>
    <w:rsid w:val="00915965"/>
    <w:rsid w:val="00915979"/>
    <w:rsid w:val="009159AC"/>
    <w:rsid w:val="009159EE"/>
    <w:rsid w:val="00915A5C"/>
    <w:rsid w:val="00915B68"/>
    <w:rsid w:val="00915C8F"/>
    <w:rsid w:val="00915CBF"/>
    <w:rsid w:val="00915CC6"/>
    <w:rsid w:val="00915CD1"/>
    <w:rsid w:val="00915D06"/>
    <w:rsid w:val="00915DDF"/>
    <w:rsid w:val="00915E93"/>
    <w:rsid w:val="00915EE8"/>
    <w:rsid w:val="00915EED"/>
    <w:rsid w:val="00915FF2"/>
    <w:rsid w:val="00916023"/>
    <w:rsid w:val="009160D9"/>
    <w:rsid w:val="009161A1"/>
    <w:rsid w:val="0091624C"/>
    <w:rsid w:val="009162E2"/>
    <w:rsid w:val="009162FD"/>
    <w:rsid w:val="0091630C"/>
    <w:rsid w:val="009164CC"/>
    <w:rsid w:val="00916586"/>
    <w:rsid w:val="009165B2"/>
    <w:rsid w:val="009165D7"/>
    <w:rsid w:val="0091666D"/>
    <w:rsid w:val="009166C7"/>
    <w:rsid w:val="00916716"/>
    <w:rsid w:val="00916839"/>
    <w:rsid w:val="009168A3"/>
    <w:rsid w:val="009168AA"/>
    <w:rsid w:val="009168F1"/>
    <w:rsid w:val="00916A24"/>
    <w:rsid w:val="00916A2F"/>
    <w:rsid w:val="00916B6F"/>
    <w:rsid w:val="00916BB5"/>
    <w:rsid w:val="00916D27"/>
    <w:rsid w:val="00916D3F"/>
    <w:rsid w:val="00916D5E"/>
    <w:rsid w:val="00916E73"/>
    <w:rsid w:val="00916E99"/>
    <w:rsid w:val="00916F7B"/>
    <w:rsid w:val="00916FA1"/>
    <w:rsid w:val="00916FED"/>
    <w:rsid w:val="00917005"/>
    <w:rsid w:val="009170C8"/>
    <w:rsid w:val="0091716B"/>
    <w:rsid w:val="00917186"/>
    <w:rsid w:val="0091719C"/>
    <w:rsid w:val="0091725A"/>
    <w:rsid w:val="0091729A"/>
    <w:rsid w:val="009172B1"/>
    <w:rsid w:val="00917360"/>
    <w:rsid w:val="009173DE"/>
    <w:rsid w:val="009174D7"/>
    <w:rsid w:val="00917537"/>
    <w:rsid w:val="009175D7"/>
    <w:rsid w:val="009176BD"/>
    <w:rsid w:val="009176E0"/>
    <w:rsid w:val="00917766"/>
    <w:rsid w:val="0091778A"/>
    <w:rsid w:val="009177E2"/>
    <w:rsid w:val="009177EA"/>
    <w:rsid w:val="009178BC"/>
    <w:rsid w:val="009178C2"/>
    <w:rsid w:val="009178D3"/>
    <w:rsid w:val="0091796D"/>
    <w:rsid w:val="00917AAD"/>
    <w:rsid w:val="00917AC8"/>
    <w:rsid w:val="00917B09"/>
    <w:rsid w:val="00917B77"/>
    <w:rsid w:val="00917B95"/>
    <w:rsid w:val="00917C8A"/>
    <w:rsid w:val="00917D27"/>
    <w:rsid w:val="00917D4D"/>
    <w:rsid w:val="00917D55"/>
    <w:rsid w:val="00917D94"/>
    <w:rsid w:val="00917DFC"/>
    <w:rsid w:val="00917F31"/>
    <w:rsid w:val="00917F83"/>
    <w:rsid w:val="0092001C"/>
    <w:rsid w:val="009200AE"/>
    <w:rsid w:val="00920118"/>
    <w:rsid w:val="009201C6"/>
    <w:rsid w:val="009201DC"/>
    <w:rsid w:val="009201EC"/>
    <w:rsid w:val="0092028D"/>
    <w:rsid w:val="00920297"/>
    <w:rsid w:val="009202A8"/>
    <w:rsid w:val="00920327"/>
    <w:rsid w:val="0092033A"/>
    <w:rsid w:val="0092039C"/>
    <w:rsid w:val="009203D8"/>
    <w:rsid w:val="009203F8"/>
    <w:rsid w:val="00920436"/>
    <w:rsid w:val="009204A2"/>
    <w:rsid w:val="009204D3"/>
    <w:rsid w:val="009204FC"/>
    <w:rsid w:val="00920566"/>
    <w:rsid w:val="009206AD"/>
    <w:rsid w:val="009206D1"/>
    <w:rsid w:val="009206DC"/>
    <w:rsid w:val="009206F2"/>
    <w:rsid w:val="0092078A"/>
    <w:rsid w:val="009207A6"/>
    <w:rsid w:val="009207AA"/>
    <w:rsid w:val="0092093A"/>
    <w:rsid w:val="0092097B"/>
    <w:rsid w:val="00920993"/>
    <w:rsid w:val="009209A0"/>
    <w:rsid w:val="009209E4"/>
    <w:rsid w:val="00920A8E"/>
    <w:rsid w:val="00920C56"/>
    <w:rsid w:val="00920D03"/>
    <w:rsid w:val="00920FAD"/>
    <w:rsid w:val="0092103F"/>
    <w:rsid w:val="0092109E"/>
    <w:rsid w:val="00921125"/>
    <w:rsid w:val="00921171"/>
    <w:rsid w:val="0092120D"/>
    <w:rsid w:val="0092124C"/>
    <w:rsid w:val="0092132B"/>
    <w:rsid w:val="0092135F"/>
    <w:rsid w:val="009213E9"/>
    <w:rsid w:val="009214A0"/>
    <w:rsid w:val="0092158E"/>
    <w:rsid w:val="0092161E"/>
    <w:rsid w:val="009216A0"/>
    <w:rsid w:val="00921712"/>
    <w:rsid w:val="00921722"/>
    <w:rsid w:val="00921835"/>
    <w:rsid w:val="0092193D"/>
    <w:rsid w:val="0092196C"/>
    <w:rsid w:val="0092197B"/>
    <w:rsid w:val="00921992"/>
    <w:rsid w:val="009219DA"/>
    <w:rsid w:val="00921AA0"/>
    <w:rsid w:val="00921AE8"/>
    <w:rsid w:val="00921B05"/>
    <w:rsid w:val="00921B17"/>
    <w:rsid w:val="00921B96"/>
    <w:rsid w:val="00921BC7"/>
    <w:rsid w:val="00921BE4"/>
    <w:rsid w:val="00921C18"/>
    <w:rsid w:val="00921CE8"/>
    <w:rsid w:val="00921D3E"/>
    <w:rsid w:val="00921D6F"/>
    <w:rsid w:val="00921EA7"/>
    <w:rsid w:val="00921F81"/>
    <w:rsid w:val="00922018"/>
    <w:rsid w:val="00922040"/>
    <w:rsid w:val="009220AD"/>
    <w:rsid w:val="0092210E"/>
    <w:rsid w:val="00922130"/>
    <w:rsid w:val="00922147"/>
    <w:rsid w:val="00922159"/>
    <w:rsid w:val="0092218D"/>
    <w:rsid w:val="009222E8"/>
    <w:rsid w:val="009222FE"/>
    <w:rsid w:val="00922382"/>
    <w:rsid w:val="009223A1"/>
    <w:rsid w:val="00922546"/>
    <w:rsid w:val="00922715"/>
    <w:rsid w:val="0092273D"/>
    <w:rsid w:val="00922769"/>
    <w:rsid w:val="009227F1"/>
    <w:rsid w:val="00922ABB"/>
    <w:rsid w:val="00922BB0"/>
    <w:rsid w:val="00922CDA"/>
    <w:rsid w:val="00922D34"/>
    <w:rsid w:val="00922D80"/>
    <w:rsid w:val="00922D81"/>
    <w:rsid w:val="00922DAE"/>
    <w:rsid w:val="00922EF9"/>
    <w:rsid w:val="00922F63"/>
    <w:rsid w:val="00922F82"/>
    <w:rsid w:val="00922F8B"/>
    <w:rsid w:val="00922FBD"/>
    <w:rsid w:val="00922FC1"/>
    <w:rsid w:val="00923026"/>
    <w:rsid w:val="00923051"/>
    <w:rsid w:val="00923074"/>
    <w:rsid w:val="0092316C"/>
    <w:rsid w:val="00923192"/>
    <w:rsid w:val="009231CE"/>
    <w:rsid w:val="009232A8"/>
    <w:rsid w:val="009232D2"/>
    <w:rsid w:val="009233F8"/>
    <w:rsid w:val="00923447"/>
    <w:rsid w:val="0092346D"/>
    <w:rsid w:val="00923485"/>
    <w:rsid w:val="009234A3"/>
    <w:rsid w:val="009234BD"/>
    <w:rsid w:val="00923549"/>
    <w:rsid w:val="00923622"/>
    <w:rsid w:val="009236C1"/>
    <w:rsid w:val="009236E6"/>
    <w:rsid w:val="00923734"/>
    <w:rsid w:val="0092383A"/>
    <w:rsid w:val="0092393B"/>
    <w:rsid w:val="00923948"/>
    <w:rsid w:val="0092394F"/>
    <w:rsid w:val="009239A1"/>
    <w:rsid w:val="009239BC"/>
    <w:rsid w:val="009239F3"/>
    <w:rsid w:val="00923A31"/>
    <w:rsid w:val="00923AE2"/>
    <w:rsid w:val="00923B65"/>
    <w:rsid w:val="00923B66"/>
    <w:rsid w:val="00923C47"/>
    <w:rsid w:val="00923C73"/>
    <w:rsid w:val="00923CBB"/>
    <w:rsid w:val="00923D22"/>
    <w:rsid w:val="00923D45"/>
    <w:rsid w:val="00923D77"/>
    <w:rsid w:val="00923DE9"/>
    <w:rsid w:val="00923E3B"/>
    <w:rsid w:val="00923F06"/>
    <w:rsid w:val="00923F57"/>
    <w:rsid w:val="00923FA6"/>
    <w:rsid w:val="00923FF8"/>
    <w:rsid w:val="00924009"/>
    <w:rsid w:val="0092408B"/>
    <w:rsid w:val="0092409B"/>
    <w:rsid w:val="0092419B"/>
    <w:rsid w:val="009241FD"/>
    <w:rsid w:val="0092420E"/>
    <w:rsid w:val="00924400"/>
    <w:rsid w:val="009244ED"/>
    <w:rsid w:val="00924525"/>
    <w:rsid w:val="00924555"/>
    <w:rsid w:val="009245AE"/>
    <w:rsid w:val="00924612"/>
    <w:rsid w:val="0092469C"/>
    <w:rsid w:val="009246A7"/>
    <w:rsid w:val="0092474E"/>
    <w:rsid w:val="0092474F"/>
    <w:rsid w:val="0092480E"/>
    <w:rsid w:val="00924818"/>
    <w:rsid w:val="009248E4"/>
    <w:rsid w:val="00924983"/>
    <w:rsid w:val="00924A45"/>
    <w:rsid w:val="00924A73"/>
    <w:rsid w:val="00924BE9"/>
    <w:rsid w:val="00924E31"/>
    <w:rsid w:val="00924E83"/>
    <w:rsid w:val="00924E9C"/>
    <w:rsid w:val="00924E9D"/>
    <w:rsid w:val="00924EC3"/>
    <w:rsid w:val="00924F99"/>
    <w:rsid w:val="00925008"/>
    <w:rsid w:val="00925024"/>
    <w:rsid w:val="00925056"/>
    <w:rsid w:val="009250E4"/>
    <w:rsid w:val="00925108"/>
    <w:rsid w:val="009251CE"/>
    <w:rsid w:val="00925228"/>
    <w:rsid w:val="0092523D"/>
    <w:rsid w:val="0092523E"/>
    <w:rsid w:val="0092528F"/>
    <w:rsid w:val="009253DC"/>
    <w:rsid w:val="009253F0"/>
    <w:rsid w:val="00925417"/>
    <w:rsid w:val="00925478"/>
    <w:rsid w:val="00925496"/>
    <w:rsid w:val="0092556E"/>
    <w:rsid w:val="009255A8"/>
    <w:rsid w:val="00925604"/>
    <w:rsid w:val="00925651"/>
    <w:rsid w:val="0092569A"/>
    <w:rsid w:val="009256AC"/>
    <w:rsid w:val="009256CC"/>
    <w:rsid w:val="009258CD"/>
    <w:rsid w:val="00925979"/>
    <w:rsid w:val="00925992"/>
    <w:rsid w:val="0092599D"/>
    <w:rsid w:val="009259EA"/>
    <w:rsid w:val="00925AD1"/>
    <w:rsid w:val="00925C35"/>
    <w:rsid w:val="00925CCC"/>
    <w:rsid w:val="00925D76"/>
    <w:rsid w:val="00925D83"/>
    <w:rsid w:val="00925E22"/>
    <w:rsid w:val="00925E76"/>
    <w:rsid w:val="00925FBE"/>
    <w:rsid w:val="009260BC"/>
    <w:rsid w:val="00926127"/>
    <w:rsid w:val="0092618C"/>
    <w:rsid w:val="009261AB"/>
    <w:rsid w:val="009261C2"/>
    <w:rsid w:val="009261CB"/>
    <w:rsid w:val="00926209"/>
    <w:rsid w:val="0092620C"/>
    <w:rsid w:val="009262A5"/>
    <w:rsid w:val="00926466"/>
    <w:rsid w:val="00926499"/>
    <w:rsid w:val="0092649F"/>
    <w:rsid w:val="009264DC"/>
    <w:rsid w:val="00926511"/>
    <w:rsid w:val="0092654B"/>
    <w:rsid w:val="00926572"/>
    <w:rsid w:val="0092660E"/>
    <w:rsid w:val="009266A6"/>
    <w:rsid w:val="009266EF"/>
    <w:rsid w:val="0092674E"/>
    <w:rsid w:val="009267DA"/>
    <w:rsid w:val="00926808"/>
    <w:rsid w:val="00926882"/>
    <w:rsid w:val="009268E5"/>
    <w:rsid w:val="00926961"/>
    <w:rsid w:val="00926989"/>
    <w:rsid w:val="00926A1E"/>
    <w:rsid w:val="00926B73"/>
    <w:rsid w:val="00926B90"/>
    <w:rsid w:val="00926C0A"/>
    <w:rsid w:val="00926D4D"/>
    <w:rsid w:val="00926D72"/>
    <w:rsid w:val="00926F16"/>
    <w:rsid w:val="00926F26"/>
    <w:rsid w:val="00926F99"/>
    <w:rsid w:val="00926FC4"/>
    <w:rsid w:val="00926FE2"/>
    <w:rsid w:val="009270BB"/>
    <w:rsid w:val="0092710A"/>
    <w:rsid w:val="00927188"/>
    <w:rsid w:val="009271F5"/>
    <w:rsid w:val="009272F1"/>
    <w:rsid w:val="009275D8"/>
    <w:rsid w:val="00927603"/>
    <w:rsid w:val="00927733"/>
    <w:rsid w:val="009277AB"/>
    <w:rsid w:val="0092786B"/>
    <w:rsid w:val="00927982"/>
    <w:rsid w:val="009279CA"/>
    <w:rsid w:val="009279CB"/>
    <w:rsid w:val="009279DC"/>
    <w:rsid w:val="00927A0C"/>
    <w:rsid w:val="00927A6C"/>
    <w:rsid w:val="00927A77"/>
    <w:rsid w:val="00927ADC"/>
    <w:rsid w:val="00927B0D"/>
    <w:rsid w:val="00927B22"/>
    <w:rsid w:val="00927C6A"/>
    <w:rsid w:val="00927C77"/>
    <w:rsid w:val="00927D1B"/>
    <w:rsid w:val="00927D3E"/>
    <w:rsid w:val="00927DB3"/>
    <w:rsid w:val="00927E5E"/>
    <w:rsid w:val="00927E92"/>
    <w:rsid w:val="00927EDA"/>
    <w:rsid w:val="00927EE3"/>
    <w:rsid w:val="00927F8B"/>
    <w:rsid w:val="00927FB1"/>
    <w:rsid w:val="00930012"/>
    <w:rsid w:val="00930172"/>
    <w:rsid w:val="00930201"/>
    <w:rsid w:val="00930391"/>
    <w:rsid w:val="009303F4"/>
    <w:rsid w:val="00930436"/>
    <w:rsid w:val="00930473"/>
    <w:rsid w:val="00930527"/>
    <w:rsid w:val="0093055D"/>
    <w:rsid w:val="009305C2"/>
    <w:rsid w:val="009305F7"/>
    <w:rsid w:val="009305FB"/>
    <w:rsid w:val="00930650"/>
    <w:rsid w:val="0093065D"/>
    <w:rsid w:val="009308E0"/>
    <w:rsid w:val="00930922"/>
    <w:rsid w:val="0093096F"/>
    <w:rsid w:val="009309CA"/>
    <w:rsid w:val="009309E2"/>
    <w:rsid w:val="00930A8E"/>
    <w:rsid w:val="00930B50"/>
    <w:rsid w:val="00930C24"/>
    <w:rsid w:val="00930C57"/>
    <w:rsid w:val="00930CB3"/>
    <w:rsid w:val="00930D3D"/>
    <w:rsid w:val="00930DFA"/>
    <w:rsid w:val="00930E3F"/>
    <w:rsid w:val="00930E46"/>
    <w:rsid w:val="00930E5D"/>
    <w:rsid w:val="00930E63"/>
    <w:rsid w:val="00930F88"/>
    <w:rsid w:val="00930FA4"/>
    <w:rsid w:val="00931061"/>
    <w:rsid w:val="009310C6"/>
    <w:rsid w:val="009310FE"/>
    <w:rsid w:val="00931112"/>
    <w:rsid w:val="0093125E"/>
    <w:rsid w:val="009312D3"/>
    <w:rsid w:val="009312DA"/>
    <w:rsid w:val="00931386"/>
    <w:rsid w:val="009313C5"/>
    <w:rsid w:val="00931429"/>
    <w:rsid w:val="00931432"/>
    <w:rsid w:val="00931465"/>
    <w:rsid w:val="0093146F"/>
    <w:rsid w:val="009315BA"/>
    <w:rsid w:val="009315C5"/>
    <w:rsid w:val="009315C9"/>
    <w:rsid w:val="009316A1"/>
    <w:rsid w:val="009316F2"/>
    <w:rsid w:val="00931800"/>
    <w:rsid w:val="0093182A"/>
    <w:rsid w:val="0093185F"/>
    <w:rsid w:val="009318BB"/>
    <w:rsid w:val="00931924"/>
    <w:rsid w:val="0093198A"/>
    <w:rsid w:val="009319C9"/>
    <w:rsid w:val="009319F4"/>
    <w:rsid w:val="00931A09"/>
    <w:rsid w:val="00931AA0"/>
    <w:rsid w:val="00931AB2"/>
    <w:rsid w:val="00931B15"/>
    <w:rsid w:val="00931BB8"/>
    <w:rsid w:val="00931BCD"/>
    <w:rsid w:val="00931BEA"/>
    <w:rsid w:val="00931CCF"/>
    <w:rsid w:val="00931D6E"/>
    <w:rsid w:val="00931E25"/>
    <w:rsid w:val="00931E39"/>
    <w:rsid w:val="00931E86"/>
    <w:rsid w:val="00931E8B"/>
    <w:rsid w:val="00931F65"/>
    <w:rsid w:val="009320E5"/>
    <w:rsid w:val="009320FB"/>
    <w:rsid w:val="00932187"/>
    <w:rsid w:val="00932385"/>
    <w:rsid w:val="009323A7"/>
    <w:rsid w:val="00932449"/>
    <w:rsid w:val="009324D3"/>
    <w:rsid w:val="00932588"/>
    <w:rsid w:val="009325DE"/>
    <w:rsid w:val="009326D1"/>
    <w:rsid w:val="0093275D"/>
    <w:rsid w:val="009327E8"/>
    <w:rsid w:val="009327F2"/>
    <w:rsid w:val="00932801"/>
    <w:rsid w:val="00932903"/>
    <w:rsid w:val="009329C7"/>
    <w:rsid w:val="00932A2E"/>
    <w:rsid w:val="00932B35"/>
    <w:rsid w:val="00932BCA"/>
    <w:rsid w:val="00932C03"/>
    <w:rsid w:val="00932DA7"/>
    <w:rsid w:val="00932DFB"/>
    <w:rsid w:val="00932EB6"/>
    <w:rsid w:val="00932EDC"/>
    <w:rsid w:val="00932EF4"/>
    <w:rsid w:val="00932F69"/>
    <w:rsid w:val="00932FBF"/>
    <w:rsid w:val="0093304C"/>
    <w:rsid w:val="00933054"/>
    <w:rsid w:val="0093307E"/>
    <w:rsid w:val="009331AF"/>
    <w:rsid w:val="0093327E"/>
    <w:rsid w:val="009332D4"/>
    <w:rsid w:val="0093330B"/>
    <w:rsid w:val="00933388"/>
    <w:rsid w:val="0093338F"/>
    <w:rsid w:val="00933399"/>
    <w:rsid w:val="009333AD"/>
    <w:rsid w:val="009333C3"/>
    <w:rsid w:val="009333F0"/>
    <w:rsid w:val="009334B9"/>
    <w:rsid w:val="00933684"/>
    <w:rsid w:val="009336B3"/>
    <w:rsid w:val="0093376D"/>
    <w:rsid w:val="00933910"/>
    <w:rsid w:val="00933947"/>
    <w:rsid w:val="00933965"/>
    <w:rsid w:val="009339EF"/>
    <w:rsid w:val="00933AC3"/>
    <w:rsid w:val="00933B65"/>
    <w:rsid w:val="00933BA2"/>
    <w:rsid w:val="00933BA8"/>
    <w:rsid w:val="00933BB1"/>
    <w:rsid w:val="00933E79"/>
    <w:rsid w:val="00933E82"/>
    <w:rsid w:val="00933ED7"/>
    <w:rsid w:val="00933EDC"/>
    <w:rsid w:val="00933F82"/>
    <w:rsid w:val="00933FC9"/>
    <w:rsid w:val="00933FCF"/>
    <w:rsid w:val="00934077"/>
    <w:rsid w:val="00934098"/>
    <w:rsid w:val="00934327"/>
    <w:rsid w:val="00934405"/>
    <w:rsid w:val="00934429"/>
    <w:rsid w:val="00934500"/>
    <w:rsid w:val="0093451F"/>
    <w:rsid w:val="009345A5"/>
    <w:rsid w:val="009345E1"/>
    <w:rsid w:val="00934603"/>
    <w:rsid w:val="009346F6"/>
    <w:rsid w:val="00934717"/>
    <w:rsid w:val="0093471E"/>
    <w:rsid w:val="009347FA"/>
    <w:rsid w:val="0093483D"/>
    <w:rsid w:val="0093490F"/>
    <w:rsid w:val="00934924"/>
    <w:rsid w:val="00934947"/>
    <w:rsid w:val="0093496A"/>
    <w:rsid w:val="00934996"/>
    <w:rsid w:val="00934A6F"/>
    <w:rsid w:val="00934AE3"/>
    <w:rsid w:val="00934B22"/>
    <w:rsid w:val="00934B53"/>
    <w:rsid w:val="00934BBC"/>
    <w:rsid w:val="00934BE9"/>
    <w:rsid w:val="00934C29"/>
    <w:rsid w:val="00934CA6"/>
    <w:rsid w:val="00934CB6"/>
    <w:rsid w:val="00934D4E"/>
    <w:rsid w:val="00934D7E"/>
    <w:rsid w:val="00934D96"/>
    <w:rsid w:val="00934E4F"/>
    <w:rsid w:val="00934E5F"/>
    <w:rsid w:val="00934E8C"/>
    <w:rsid w:val="00934E8D"/>
    <w:rsid w:val="00934E98"/>
    <w:rsid w:val="00934F56"/>
    <w:rsid w:val="00934FA2"/>
    <w:rsid w:val="00934FF3"/>
    <w:rsid w:val="0093501E"/>
    <w:rsid w:val="00935054"/>
    <w:rsid w:val="009350E4"/>
    <w:rsid w:val="0093515C"/>
    <w:rsid w:val="00935180"/>
    <w:rsid w:val="00935223"/>
    <w:rsid w:val="00935224"/>
    <w:rsid w:val="00935324"/>
    <w:rsid w:val="009353C0"/>
    <w:rsid w:val="009354AD"/>
    <w:rsid w:val="00935514"/>
    <w:rsid w:val="009355CD"/>
    <w:rsid w:val="0093563F"/>
    <w:rsid w:val="00935673"/>
    <w:rsid w:val="00935991"/>
    <w:rsid w:val="009359CB"/>
    <w:rsid w:val="00935ABF"/>
    <w:rsid w:val="00935D45"/>
    <w:rsid w:val="00935D91"/>
    <w:rsid w:val="00935E86"/>
    <w:rsid w:val="00935EE3"/>
    <w:rsid w:val="00935F2E"/>
    <w:rsid w:val="00935FF0"/>
    <w:rsid w:val="00936062"/>
    <w:rsid w:val="00936171"/>
    <w:rsid w:val="009361E2"/>
    <w:rsid w:val="0093632F"/>
    <w:rsid w:val="00936352"/>
    <w:rsid w:val="00936435"/>
    <w:rsid w:val="00936469"/>
    <w:rsid w:val="00936483"/>
    <w:rsid w:val="0093649F"/>
    <w:rsid w:val="009364D7"/>
    <w:rsid w:val="0093652C"/>
    <w:rsid w:val="00936539"/>
    <w:rsid w:val="0093661D"/>
    <w:rsid w:val="00936631"/>
    <w:rsid w:val="00936864"/>
    <w:rsid w:val="00936884"/>
    <w:rsid w:val="00936937"/>
    <w:rsid w:val="009369ED"/>
    <w:rsid w:val="00936C7D"/>
    <w:rsid w:val="00936D08"/>
    <w:rsid w:val="00936DE4"/>
    <w:rsid w:val="00936EF0"/>
    <w:rsid w:val="00936F30"/>
    <w:rsid w:val="00936F3C"/>
    <w:rsid w:val="00936FB0"/>
    <w:rsid w:val="009370A4"/>
    <w:rsid w:val="009371A6"/>
    <w:rsid w:val="0093724B"/>
    <w:rsid w:val="0093728F"/>
    <w:rsid w:val="009372F4"/>
    <w:rsid w:val="0093731B"/>
    <w:rsid w:val="0093744E"/>
    <w:rsid w:val="00937459"/>
    <w:rsid w:val="00937514"/>
    <w:rsid w:val="00937526"/>
    <w:rsid w:val="00937562"/>
    <w:rsid w:val="009375AC"/>
    <w:rsid w:val="009377E4"/>
    <w:rsid w:val="00937874"/>
    <w:rsid w:val="009378C7"/>
    <w:rsid w:val="0093790E"/>
    <w:rsid w:val="00937A93"/>
    <w:rsid w:val="00937A9F"/>
    <w:rsid w:val="00937AFD"/>
    <w:rsid w:val="00937B24"/>
    <w:rsid w:val="00937BFD"/>
    <w:rsid w:val="00937C18"/>
    <w:rsid w:val="00937C62"/>
    <w:rsid w:val="00937CA6"/>
    <w:rsid w:val="00937CDD"/>
    <w:rsid w:val="00937D26"/>
    <w:rsid w:val="00937D99"/>
    <w:rsid w:val="00937DE2"/>
    <w:rsid w:val="00937F8E"/>
    <w:rsid w:val="00940024"/>
    <w:rsid w:val="00940096"/>
    <w:rsid w:val="0094015F"/>
    <w:rsid w:val="0094019C"/>
    <w:rsid w:val="009401C0"/>
    <w:rsid w:val="00940204"/>
    <w:rsid w:val="009402C4"/>
    <w:rsid w:val="009402EE"/>
    <w:rsid w:val="009403AB"/>
    <w:rsid w:val="009403C6"/>
    <w:rsid w:val="009403F1"/>
    <w:rsid w:val="009404F2"/>
    <w:rsid w:val="00940569"/>
    <w:rsid w:val="009405D4"/>
    <w:rsid w:val="0094061B"/>
    <w:rsid w:val="0094069D"/>
    <w:rsid w:val="0094069F"/>
    <w:rsid w:val="009406BD"/>
    <w:rsid w:val="0094071E"/>
    <w:rsid w:val="00940740"/>
    <w:rsid w:val="0094076C"/>
    <w:rsid w:val="00940847"/>
    <w:rsid w:val="00940861"/>
    <w:rsid w:val="009408E0"/>
    <w:rsid w:val="009409C1"/>
    <w:rsid w:val="00940A0C"/>
    <w:rsid w:val="00940AD1"/>
    <w:rsid w:val="00940B2D"/>
    <w:rsid w:val="00940BA5"/>
    <w:rsid w:val="00940BE8"/>
    <w:rsid w:val="00940BF0"/>
    <w:rsid w:val="00940C7D"/>
    <w:rsid w:val="00940C89"/>
    <w:rsid w:val="00940D76"/>
    <w:rsid w:val="00940DC0"/>
    <w:rsid w:val="00940DF7"/>
    <w:rsid w:val="00940E66"/>
    <w:rsid w:val="00940EAB"/>
    <w:rsid w:val="00940ED9"/>
    <w:rsid w:val="00940F42"/>
    <w:rsid w:val="009410DD"/>
    <w:rsid w:val="009410ED"/>
    <w:rsid w:val="00941126"/>
    <w:rsid w:val="009411E5"/>
    <w:rsid w:val="0094131B"/>
    <w:rsid w:val="00941462"/>
    <w:rsid w:val="00941467"/>
    <w:rsid w:val="009414EB"/>
    <w:rsid w:val="00941503"/>
    <w:rsid w:val="0094158D"/>
    <w:rsid w:val="0094161B"/>
    <w:rsid w:val="0094164D"/>
    <w:rsid w:val="00941671"/>
    <w:rsid w:val="00941677"/>
    <w:rsid w:val="0094170F"/>
    <w:rsid w:val="00941746"/>
    <w:rsid w:val="00941753"/>
    <w:rsid w:val="00941772"/>
    <w:rsid w:val="0094186B"/>
    <w:rsid w:val="0094189C"/>
    <w:rsid w:val="009418AF"/>
    <w:rsid w:val="009418E2"/>
    <w:rsid w:val="009418EA"/>
    <w:rsid w:val="0094191F"/>
    <w:rsid w:val="00941A31"/>
    <w:rsid w:val="00941A5B"/>
    <w:rsid w:val="00941A68"/>
    <w:rsid w:val="00941B15"/>
    <w:rsid w:val="00941BFF"/>
    <w:rsid w:val="00941CD2"/>
    <w:rsid w:val="00941CFC"/>
    <w:rsid w:val="00941D0A"/>
    <w:rsid w:val="00941D13"/>
    <w:rsid w:val="00941D44"/>
    <w:rsid w:val="00941DA8"/>
    <w:rsid w:val="00941EC1"/>
    <w:rsid w:val="00941EE5"/>
    <w:rsid w:val="00941EFF"/>
    <w:rsid w:val="00941F24"/>
    <w:rsid w:val="0094200A"/>
    <w:rsid w:val="009420AA"/>
    <w:rsid w:val="009420B6"/>
    <w:rsid w:val="009420DE"/>
    <w:rsid w:val="00942123"/>
    <w:rsid w:val="00942154"/>
    <w:rsid w:val="009421D5"/>
    <w:rsid w:val="00942205"/>
    <w:rsid w:val="009422C7"/>
    <w:rsid w:val="0094233D"/>
    <w:rsid w:val="00942345"/>
    <w:rsid w:val="0094237C"/>
    <w:rsid w:val="0094238D"/>
    <w:rsid w:val="009423F0"/>
    <w:rsid w:val="009424F3"/>
    <w:rsid w:val="00942542"/>
    <w:rsid w:val="00942571"/>
    <w:rsid w:val="00942619"/>
    <w:rsid w:val="00942706"/>
    <w:rsid w:val="0094278E"/>
    <w:rsid w:val="00942796"/>
    <w:rsid w:val="009427B2"/>
    <w:rsid w:val="009427C1"/>
    <w:rsid w:val="009427DB"/>
    <w:rsid w:val="00942819"/>
    <w:rsid w:val="0094285A"/>
    <w:rsid w:val="009428D7"/>
    <w:rsid w:val="00942967"/>
    <w:rsid w:val="009429F2"/>
    <w:rsid w:val="00942A5C"/>
    <w:rsid w:val="00942AC0"/>
    <w:rsid w:val="00942BA9"/>
    <w:rsid w:val="00942CBC"/>
    <w:rsid w:val="00942D25"/>
    <w:rsid w:val="00942DF6"/>
    <w:rsid w:val="00942FEF"/>
    <w:rsid w:val="009430F6"/>
    <w:rsid w:val="009430FE"/>
    <w:rsid w:val="00943145"/>
    <w:rsid w:val="0094315D"/>
    <w:rsid w:val="00943185"/>
    <w:rsid w:val="00943198"/>
    <w:rsid w:val="009431A1"/>
    <w:rsid w:val="009432BA"/>
    <w:rsid w:val="009432E4"/>
    <w:rsid w:val="009433AC"/>
    <w:rsid w:val="009433EF"/>
    <w:rsid w:val="00943453"/>
    <w:rsid w:val="00943454"/>
    <w:rsid w:val="00943501"/>
    <w:rsid w:val="00943553"/>
    <w:rsid w:val="00943668"/>
    <w:rsid w:val="00943681"/>
    <w:rsid w:val="00943685"/>
    <w:rsid w:val="0094368C"/>
    <w:rsid w:val="00943693"/>
    <w:rsid w:val="009436D9"/>
    <w:rsid w:val="00943797"/>
    <w:rsid w:val="00943818"/>
    <w:rsid w:val="0094382C"/>
    <w:rsid w:val="00943848"/>
    <w:rsid w:val="0094398B"/>
    <w:rsid w:val="00943A05"/>
    <w:rsid w:val="00943A0E"/>
    <w:rsid w:val="00943A7F"/>
    <w:rsid w:val="00943ABE"/>
    <w:rsid w:val="00943ADF"/>
    <w:rsid w:val="00943AE1"/>
    <w:rsid w:val="00943B12"/>
    <w:rsid w:val="00943CDE"/>
    <w:rsid w:val="00943D06"/>
    <w:rsid w:val="00943E47"/>
    <w:rsid w:val="00943ECF"/>
    <w:rsid w:val="00943F3E"/>
    <w:rsid w:val="00943F44"/>
    <w:rsid w:val="00943F6E"/>
    <w:rsid w:val="00943F97"/>
    <w:rsid w:val="00943FA1"/>
    <w:rsid w:val="00944073"/>
    <w:rsid w:val="009440A0"/>
    <w:rsid w:val="00944136"/>
    <w:rsid w:val="009441A4"/>
    <w:rsid w:val="0094421D"/>
    <w:rsid w:val="00944251"/>
    <w:rsid w:val="009442A2"/>
    <w:rsid w:val="009442C7"/>
    <w:rsid w:val="00944337"/>
    <w:rsid w:val="009444CB"/>
    <w:rsid w:val="00944532"/>
    <w:rsid w:val="00944541"/>
    <w:rsid w:val="0094461B"/>
    <w:rsid w:val="00944755"/>
    <w:rsid w:val="00944799"/>
    <w:rsid w:val="009447DC"/>
    <w:rsid w:val="009448CE"/>
    <w:rsid w:val="00944922"/>
    <w:rsid w:val="00944A23"/>
    <w:rsid w:val="00944A94"/>
    <w:rsid w:val="00944C5B"/>
    <w:rsid w:val="00944CA4"/>
    <w:rsid w:val="00944CCF"/>
    <w:rsid w:val="00944CDE"/>
    <w:rsid w:val="00944CDF"/>
    <w:rsid w:val="00944D35"/>
    <w:rsid w:val="00944D4E"/>
    <w:rsid w:val="00944D75"/>
    <w:rsid w:val="00944D8C"/>
    <w:rsid w:val="00944EB4"/>
    <w:rsid w:val="00944EE7"/>
    <w:rsid w:val="00944F04"/>
    <w:rsid w:val="00944F5C"/>
    <w:rsid w:val="00944FA7"/>
    <w:rsid w:val="00944FCD"/>
    <w:rsid w:val="00944FDC"/>
    <w:rsid w:val="00944FE3"/>
    <w:rsid w:val="009450DE"/>
    <w:rsid w:val="009450FA"/>
    <w:rsid w:val="0094510E"/>
    <w:rsid w:val="009451F5"/>
    <w:rsid w:val="00945368"/>
    <w:rsid w:val="0094539C"/>
    <w:rsid w:val="009454D5"/>
    <w:rsid w:val="009454E0"/>
    <w:rsid w:val="0094552F"/>
    <w:rsid w:val="0094555D"/>
    <w:rsid w:val="0094563F"/>
    <w:rsid w:val="0094564A"/>
    <w:rsid w:val="009456DE"/>
    <w:rsid w:val="00945707"/>
    <w:rsid w:val="009457B9"/>
    <w:rsid w:val="009457F1"/>
    <w:rsid w:val="0094585E"/>
    <w:rsid w:val="00945A29"/>
    <w:rsid w:val="00945AEB"/>
    <w:rsid w:val="00945B38"/>
    <w:rsid w:val="00945BA8"/>
    <w:rsid w:val="00945C02"/>
    <w:rsid w:val="00945C81"/>
    <w:rsid w:val="00945CC7"/>
    <w:rsid w:val="00945CDB"/>
    <w:rsid w:val="00945D22"/>
    <w:rsid w:val="00945D61"/>
    <w:rsid w:val="00945DFB"/>
    <w:rsid w:val="00945E03"/>
    <w:rsid w:val="00945E0F"/>
    <w:rsid w:val="00945F4C"/>
    <w:rsid w:val="00945FCA"/>
    <w:rsid w:val="00946030"/>
    <w:rsid w:val="0094617D"/>
    <w:rsid w:val="0094625E"/>
    <w:rsid w:val="009462B6"/>
    <w:rsid w:val="009462CB"/>
    <w:rsid w:val="009462D1"/>
    <w:rsid w:val="009462DF"/>
    <w:rsid w:val="009463A4"/>
    <w:rsid w:val="009463E1"/>
    <w:rsid w:val="009463E8"/>
    <w:rsid w:val="00946491"/>
    <w:rsid w:val="009464BE"/>
    <w:rsid w:val="009464D6"/>
    <w:rsid w:val="009464F9"/>
    <w:rsid w:val="009464FA"/>
    <w:rsid w:val="00946656"/>
    <w:rsid w:val="00946709"/>
    <w:rsid w:val="009467D4"/>
    <w:rsid w:val="00946804"/>
    <w:rsid w:val="00946826"/>
    <w:rsid w:val="0094693B"/>
    <w:rsid w:val="0094695B"/>
    <w:rsid w:val="00946963"/>
    <w:rsid w:val="00946985"/>
    <w:rsid w:val="009469ED"/>
    <w:rsid w:val="009469FE"/>
    <w:rsid w:val="00946A02"/>
    <w:rsid w:val="00946A2C"/>
    <w:rsid w:val="00946AA9"/>
    <w:rsid w:val="00946ABB"/>
    <w:rsid w:val="00946B4E"/>
    <w:rsid w:val="00946BC9"/>
    <w:rsid w:val="00946BFD"/>
    <w:rsid w:val="00946C64"/>
    <w:rsid w:val="00946C67"/>
    <w:rsid w:val="00946C7F"/>
    <w:rsid w:val="00946E7D"/>
    <w:rsid w:val="00946E85"/>
    <w:rsid w:val="00946EA1"/>
    <w:rsid w:val="009470BF"/>
    <w:rsid w:val="00947328"/>
    <w:rsid w:val="009474DA"/>
    <w:rsid w:val="00947550"/>
    <w:rsid w:val="00947560"/>
    <w:rsid w:val="009475D7"/>
    <w:rsid w:val="0094762C"/>
    <w:rsid w:val="009476CD"/>
    <w:rsid w:val="009476DF"/>
    <w:rsid w:val="00947712"/>
    <w:rsid w:val="009477D1"/>
    <w:rsid w:val="009477E4"/>
    <w:rsid w:val="0094791F"/>
    <w:rsid w:val="00947A0A"/>
    <w:rsid w:val="00947A47"/>
    <w:rsid w:val="00947A7C"/>
    <w:rsid w:val="00947A90"/>
    <w:rsid w:val="00947A94"/>
    <w:rsid w:val="00947A9E"/>
    <w:rsid w:val="00947B1D"/>
    <w:rsid w:val="00947B2A"/>
    <w:rsid w:val="00947BA5"/>
    <w:rsid w:val="00947D22"/>
    <w:rsid w:val="00947E15"/>
    <w:rsid w:val="00947EFD"/>
    <w:rsid w:val="00947F16"/>
    <w:rsid w:val="00947FBB"/>
    <w:rsid w:val="0094A1B8"/>
    <w:rsid w:val="00950014"/>
    <w:rsid w:val="0095002C"/>
    <w:rsid w:val="0095004B"/>
    <w:rsid w:val="0095017F"/>
    <w:rsid w:val="009501CD"/>
    <w:rsid w:val="009504B2"/>
    <w:rsid w:val="009504CA"/>
    <w:rsid w:val="00950536"/>
    <w:rsid w:val="009505DE"/>
    <w:rsid w:val="00950612"/>
    <w:rsid w:val="00950652"/>
    <w:rsid w:val="00950778"/>
    <w:rsid w:val="0095081E"/>
    <w:rsid w:val="00950882"/>
    <w:rsid w:val="00950894"/>
    <w:rsid w:val="009508EE"/>
    <w:rsid w:val="009509C6"/>
    <w:rsid w:val="00950B13"/>
    <w:rsid w:val="00950CCC"/>
    <w:rsid w:val="00950CD8"/>
    <w:rsid w:val="00950D65"/>
    <w:rsid w:val="00950D76"/>
    <w:rsid w:val="00950DE8"/>
    <w:rsid w:val="00950EBA"/>
    <w:rsid w:val="00950F22"/>
    <w:rsid w:val="0095103D"/>
    <w:rsid w:val="0095109F"/>
    <w:rsid w:val="009510D9"/>
    <w:rsid w:val="009510FE"/>
    <w:rsid w:val="0095114D"/>
    <w:rsid w:val="00951281"/>
    <w:rsid w:val="009512B0"/>
    <w:rsid w:val="009512C4"/>
    <w:rsid w:val="009512E2"/>
    <w:rsid w:val="00951378"/>
    <w:rsid w:val="009513CB"/>
    <w:rsid w:val="00951443"/>
    <w:rsid w:val="009515B6"/>
    <w:rsid w:val="009515ED"/>
    <w:rsid w:val="00951770"/>
    <w:rsid w:val="009518B8"/>
    <w:rsid w:val="0095192D"/>
    <w:rsid w:val="009519AF"/>
    <w:rsid w:val="009519D0"/>
    <w:rsid w:val="00951A23"/>
    <w:rsid w:val="00951A33"/>
    <w:rsid w:val="00951AE3"/>
    <w:rsid w:val="00951BC1"/>
    <w:rsid w:val="00951C26"/>
    <w:rsid w:val="00951C6B"/>
    <w:rsid w:val="00951CA0"/>
    <w:rsid w:val="00951D19"/>
    <w:rsid w:val="00951EBC"/>
    <w:rsid w:val="00952024"/>
    <w:rsid w:val="00952088"/>
    <w:rsid w:val="009520E1"/>
    <w:rsid w:val="0095215D"/>
    <w:rsid w:val="009521BF"/>
    <w:rsid w:val="00952344"/>
    <w:rsid w:val="00952364"/>
    <w:rsid w:val="0095241D"/>
    <w:rsid w:val="00952485"/>
    <w:rsid w:val="009524A3"/>
    <w:rsid w:val="0095251E"/>
    <w:rsid w:val="0095258D"/>
    <w:rsid w:val="009526AE"/>
    <w:rsid w:val="009526C0"/>
    <w:rsid w:val="009526DF"/>
    <w:rsid w:val="009526F5"/>
    <w:rsid w:val="00952774"/>
    <w:rsid w:val="009528D4"/>
    <w:rsid w:val="00952932"/>
    <w:rsid w:val="00952967"/>
    <w:rsid w:val="009529DF"/>
    <w:rsid w:val="00952A74"/>
    <w:rsid w:val="00952AD5"/>
    <w:rsid w:val="00952B4A"/>
    <w:rsid w:val="00952B50"/>
    <w:rsid w:val="00952B92"/>
    <w:rsid w:val="00952BF2"/>
    <w:rsid w:val="00952BF6"/>
    <w:rsid w:val="00952C86"/>
    <w:rsid w:val="00952CE8"/>
    <w:rsid w:val="00952DDE"/>
    <w:rsid w:val="00952DEF"/>
    <w:rsid w:val="00952EA7"/>
    <w:rsid w:val="00952EC5"/>
    <w:rsid w:val="00952EE8"/>
    <w:rsid w:val="0095310E"/>
    <w:rsid w:val="0095319C"/>
    <w:rsid w:val="0095321A"/>
    <w:rsid w:val="00953349"/>
    <w:rsid w:val="0095339C"/>
    <w:rsid w:val="009533C1"/>
    <w:rsid w:val="0095347A"/>
    <w:rsid w:val="0095347F"/>
    <w:rsid w:val="009534A8"/>
    <w:rsid w:val="009534D1"/>
    <w:rsid w:val="009534F9"/>
    <w:rsid w:val="00953723"/>
    <w:rsid w:val="00953833"/>
    <w:rsid w:val="009538D2"/>
    <w:rsid w:val="0095391E"/>
    <w:rsid w:val="0095393B"/>
    <w:rsid w:val="0095393C"/>
    <w:rsid w:val="009539FA"/>
    <w:rsid w:val="00953A3B"/>
    <w:rsid w:val="00953AA0"/>
    <w:rsid w:val="00953D0A"/>
    <w:rsid w:val="00953D22"/>
    <w:rsid w:val="00953D99"/>
    <w:rsid w:val="00953E2E"/>
    <w:rsid w:val="00953E71"/>
    <w:rsid w:val="00953E7B"/>
    <w:rsid w:val="00953E92"/>
    <w:rsid w:val="00953EBC"/>
    <w:rsid w:val="00953ED2"/>
    <w:rsid w:val="00953EE0"/>
    <w:rsid w:val="00953F39"/>
    <w:rsid w:val="00953FB6"/>
    <w:rsid w:val="00953FC6"/>
    <w:rsid w:val="00953FD8"/>
    <w:rsid w:val="00953FEB"/>
    <w:rsid w:val="00954086"/>
    <w:rsid w:val="009540C1"/>
    <w:rsid w:val="009541B4"/>
    <w:rsid w:val="0095428B"/>
    <w:rsid w:val="009542A8"/>
    <w:rsid w:val="00954358"/>
    <w:rsid w:val="00954415"/>
    <w:rsid w:val="00954479"/>
    <w:rsid w:val="0095448D"/>
    <w:rsid w:val="0095448F"/>
    <w:rsid w:val="00954515"/>
    <w:rsid w:val="00954748"/>
    <w:rsid w:val="0095486E"/>
    <w:rsid w:val="009548B5"/>
    <w:rsid w:val="0095490A"/>
    <w:rsid w:val="00954911"/>
    <w:rsid w:val="0095491F"/>
    <w:rsid w:val="00954959"/>
    <w:rsid w:val="0095496F"/>
    <w:rsid w:val="00954974"/>
    <w:rsid w:val="009549B3"/>
    <w:rsid w:val="009549CC"/>
    <w:rsid w:val="00954A39"/>
    <w:rsid w:val="00954A63"/>
    <w:rsid w:val="00954A73"/>
    <w:rsid w:val="00954AE5"/>
    <w:rsid w:val="00954B24"/>
    <w:rsid w:val="00954B2D"/>
    <w:rsid w:val="00954B99"/>
    <w:rsid w:val="00954C2B"/>
    <w:rsid w:val="00954CB7"/>
    <w:rsid w:val="00954CFD"/>
    <w:rsid w:val="00954D4D"/>
    <w:rsid w:val="00954E3B"/>
    <w:rsid w:val="00954EDA"/>
    <w:rsid w:val="00954F21"/>
    <w:rsid w:val="00954F8F"/>
    <w:rsid w:val="00954FA9"/>
    <w:rsid w:val="00955082"/>
    <w:rsid w:val="00955097"/>
    <w:rsid w:val="009550EA"/>
    <w:rsid w:val="00955147"/>
    <w:rsid w:val="00955323"/>
    <w:rsid w:val="00955387"/>
    <w:rsid w:val="009553ED"/>
    <w:rsid w:val="00955419"/>
    <w:rsid w:val="0095549A"/>
    <w:rsid w:val="00955535"/>
    <w:rsid w:val="0095555B"/>
    <w:rsid w:val="00955577"/>
    <w:rsid w:val="0095568B"/>
    <w:rsid w:val="009556E7"/>
    <w:rsid w:val="00955968"/>
    <w:rsid w:val="009559A6"/>
    <w:rsid w:val="009559C0"/>
    <w:rsid w:val="00955AA5"/>
    <w:rsid w:val="00955AEE"/>
    <w:rsid w:val="00955B37"/>
    <w:rsid w:val="00955BCB"/>
    <w:rsid w:val="00955C31"/>
    <w:rsid w:val="00955C3F"/>
    <w:rsid w:val="00955C45"/>
    <w:rsid w:val="00955C4E"/>
    <w:rsid w:val="00955CDC"/>
    <w:rsid w:val="00955ED1"/>
    <w:rsid w:val="00955EDA"/>
    <w:rsid w:val="00955EF1"/>
    <w:rsid w:val="00955F94"/>
    <w:rsid w:val="00955FAB"/>
    <w:rsid w:val="00955FB5"/>
    <w:rsid w:val="0095607E"/>
    <w:rsid w:val="00956233"/>
    <w:rsid w:val="00956235"/>
    <w:rsid w:val="00956341"/>
    <w:rsid w:val="00956415"/>
    <w:rsid w:val="00956427"/>
    <w:rsid w:val="00956492"/>
    <w:rsid w:val="0095655B"/>
    <w:rsid w:val="0095655F"/>
    <w:rsid w:val="00956613"/>
    <w:rsid w:val="00956632"/>
    <w:rsid w:val="00956663"/>
    <w:rsid w:val="009567BA"/>
    <w:rsid w:val="00956865"/>
    <w:rsid w:val="00956979"/>
    <w:rsid w:val="009569FC"/>
    <w:rsid w:val="00956A47"/>
    <w:rsid w:val="00956A92"/>
    <w:rsid w:val="00956B17"/>
    <w:rsid w:val="00956C43"/>
    <w:rsid w:val="00956EE1"/>
    <w:rsid w:val="00956F54"/>
    <w:rsid w:val="00957277"/>
    <w:rsid w:val="00957331"/>
    <w:rsid w:val="00957338"/>
    <w:rsid w:val="00957415"/>
    <w:rsid w:val="00957478"/>
    <w:rsid w:val="0095747D"/>
    <w:rsid w:val="00957559"/>
    <w:rsid w:val="009575DA"/>
    <w:rsid w:val="009575E5"/>
    <w:rsid w:val="00957607"/>
    <w:rsid w:val="0095769D"/>
    <w:rsid w:val="00957747"/>
    <w:rsid w:val="009577CA"/>
    <w:rsid w:val="00957802"/>
    <w:rsid w:val="0095782B"/>
    <w:rsid w:val="0095783B"/>
    <w:rsid w:val="00957840"/>
    <w:rsid w:val="009578A9"/>
    <w:rsid w:val="009578EA"/>
    <w:rsid w:val="0095790C"/>
    <w:rsid w:val="009579B3"/>
    <w:rsid w:val="009579B4"/>
    <w:rsid w:val="009579DC"/>
    <w:rsid w:val="009579EB"/>
    <w:rsid w:val="00957A67"/>
    <w:rsid w:val="00957B41"/>
    <w:rsid w:val="00957C71"/>
    <w:rsid w:val="00957CB0"/>
    <w:rsid w:val="00957D80"/>
    <w:rsid w:val="00957D9B"/>
    <w:rsid w:val="00957DAE"/>
    <w:rsid w:val="00957DB2"/>
    <w:rsid w:val="00957E09"/>
    <w:rsid w:val="00957E19"/>
    <w:rsid w:val="00957EA2"/>
    <w:rsid w:val="00957EC4"/>
    <w:rsid w:val="00960062"/>
    <w:rsid w:val="009600EE"/>
    <w:rsid w:val="0096018D"/>
    <w:rsid w:val="00960335"/>
    <w:rsid w:val="009603C9"/>
    <w:rsid w:val="00960459"/>
    <w:rsid w:val="009604C2"/>
    <w:rsid w:val="009605A5"/>
    <w:rsid w:val="009605D6"/>
    <w:rsid w:val="0096076B"/>
    <w:rsid w:val="009607AC"/>
    <w:rsid w:val="00960910"/>
    <w:rsid w:val="009609CA"/>
    <w:rsid w:val="00960A76"/>
    <w:rsid w:val="00960ADC"/>
    <w:rsid w:val="00960AF4"/>
    <w:rsid w:val="00960B03"/>
    <w:rsid w:val="00960B16"/>
    <w:rsid w:val="00960B43"/>
    <w:rsid w:val="00960C80"/>
    <w:rsid w:val="00960D91"/>
    <w:rsid w:val="00960DED"/>
    <w:rsid w:val="00960E74"/>
    <w:rsid w:val="00960EC5"/>
    <w:rsid w:val="00960EC7"/>
    <w:rsid w:val="00960EF5"/>
    <w:rsid w:val="00960F77"/>
    <w:rsid w:val="00960F8B"/>
    <w:rsid w:val="00960FAE"/>
    <w:rsid w:val="00961020"/>
    <w:rsid w:val="00961028"/>
    <w:rsid w:val="00961052"/>
    <w:rsid w:val="00961082"/>
    <w:rsid w:val="0096108E"/>
    <w:rsid w:val="009610CB"/>
    <w:rsid w:val="00961173"/>
    <w:rsid w:val="0096118E"/>
    <w:rsid w:val="009611EA"/>
    <w:rsid w:val="009611FB"/>
    <w:rsid w:val="00961264"/>
    <w:rsid w:val="00961291"/>
    <w:rsid w:val="00961298"/>
    <w:rsid w:val="009612D7"/>
    <w:rsid w:val="00961339"/>
    <w:rsid w:val="00961352"/>
    <w:rsid w:val="00961362"/>
    <w:rsid w:val="0096137F"/>
    <w:rsid w:val="009613CD"/>
    <w:rsid w:val="009614D2"/>
    <w:rsid w:val="009614F1"/>
    <w:rsid w:val="009614F3"/>
    <w:rsid w:val="00961526"/>
    <w:rsid w:val="0096158F"/>
    <w:rsid w:val="009615AC"/>
    <w:rsid w:val="009615B1"/>
    <w:rsid w:val="00961635"/>
    <w:rsid w:val="00961790"/>
    <w:rsid w:val="00961831"/>
    <w:rsid w:val="00961881"/>
    <w:rsid w:val="009618F4"/>
    <w:rsid w:val="00961905"/>
    <w:rsid w:val="0096193A"/>
    <w:rsid w:val="0096197E"/>
    <w:rsid w:val="00961986"/>
    <w:rsid w:val="00961A6A"/>
    <w:rsid w:val="00961AA6"/>
    <w:rsid w:val="00961BED"/>
    <w:rsid w:val="00961C60"/>
    <w:rsid w:val="00961CCB"/>
    <w:rsid w:val="00961D99"/>
    <w:rsid w:val="00961E98"/>
    <w:rsid w:val="00961EAF"/>
    <w:rsid w:val="00961F7B"/>
    <w:rsid w:val="00961FE4"/>
    <w:rsid w:val="00962058"/>
    <w:rsid w:val="0096207D"/>
    <w:rsid w:val="0096209E"/>
    <w:rsid w:val="009621E2"/>
    <w:rsid w:val="00962220"/>
    <w:rsid w:val="009622C8"/>
    <w:rsid w:val="00962302"/>
    <w:rsid w:val="0096244F"/>
    <w:rsid w:val="0096249B"/>
    <w:rsid w:val="0096257F"/>
    <w:rsid w:val="009625A3"/>
    <w:rsid w:val="0096261F"/>
    <w:rsid w:val="00962674"/>
    <w:rsid w:val="009626B7"/>
    <w:rsid w:val="009627EC"/>
    <w:rsid w:val="009627F8"/>
    <w:rsid w:val="0096282E"/>
    <w:rsid w:val="0096284F"/>
    <w:rsid w:val="0096285A"/>
    <w:rsid w:val="009628DD"/>
    <w:rsid w:val="0096298B"/>
    <w:rsid w:val="00962A17"/>
    <w:rsid w:val="00962A1F"/>
    <w:rsid w:val="00962AA2"/>
    <w:rsid w:val="00962AE8"/>
    <w:rsid w:val="00962B2E"/>
    <w:rsid w:val="00962B57"/>
    <w:rsid w:val="00962B8F"/>
    <w:rsid w:val="00962B91"/>
    <w:rsid w:val="00962BC8"/>
    <w:rsid w:val="00962BD9"/>
    <w:rsid w:val="00962CA5"/>
    <w:rsid w:val="00962CD3"/>
    <w:rsid w:val="00962CE3"/>
    <w:rsid w:val="00962D35"/>
    <w:rsid w:val="00962D9C"/>
    <w:rsid w:val="00962DB6"/>
    <w:rsid w:val="00962E59"/>
    <w:rsid w:val="00962E96"/>
    <w:rsid w:val="00962EC8"/>
    <w:rsid w:val="00962FF6"/>
    <w:rsid w:val="0096304E"/>
    <w:rsid w:val="009630EB"/>
    <w:rsid w:val="009630EE"/>
    <w:rsid w:val="0096311F"/>
    <w:rsid w:val="009632A4"/>
    <w:rsid w:val="00963396"/>
    <w:rsid w:val="0096342E"/>
    <w:rsid w:val="009634D4"/>
    <w:rsid w:val="00963550"/>
    <w:rsid w:val="0096357C"/>
    <w:rsid w:val="009635E9"/>
    <w:rsid w:val="009636F6"/>
    <w:rsid w:val="009636FA"/>
    <w:rsid w:val="00963786"/>
    <w:rsid w:val="0096382D"/>
    <w:rsid w:val="0096384D"/>
    <w:rsid w:val="009638C4"/>
    <w:rsid w:val="009638F2"/>
    <w:rsid w:val="009639C7"/>
    <w:rsid w:val="00963A6E"/>
    <w:rsid w:val="00963AAE"/>
    <w:rsid w:val="00963BB8"/>
    <w:rsid w:val="00963C8D"/>
    <w:rsid w:val="00963CB3"/>
    <w:rsid w:val="00963CBC"/>
    <w:rsid w:val="00963CC5"/>
    <w:rsid w:val="00963CEF"/>
    <w:rsid w:val="00963D2C"/>
    <w:rsid w:val="00963D35"/>
    <w:rsid w:val="00963D90"/>
    <w:rsid w:val="00963DAC"/>
    <w:rsid w:val="00963DBF"/>
    <w:rsid w:val="00963E06"/>
    <w:rsid w:val="00963E34"/>
    <w:rsid w:val="00963E84"/>
    <w:rsid w:val="00963E92"/>
    <w:rsid w:val="00963FE7"/>
    <w:rsid w:val="00964024"/>
    <w:rsid w:val="0096409B"/>
    <w:rsid w:val="00964134"/>
    <w:rsid w:val="00964145"/>
    <w:rsid w:val="00964148"/>
    <w:rsid w:val="009641DA"/>
    <w:rsid w:val="0096420B"/>
    <w:rsid w:val="009642FC"/>
    <w:rsid w:val="00964388"/>
    <w:rsid w:val="009644F0"/>
    <w:rsid w:val="00964521"/>
    <w:rsid w:val="00964595"/>
    <w:rsid w:val="009645D6"/>
    <w:rsid w:val="0096466A"/>
    <w:rsid w:val="009646AE"/>
    <w:rsid w:val="009646E9"/>
    <w:rsid w:val="009646FE"/>
    <w:rsid w:val="0096470C"/>
    <w:rsid w:val="0096473B"/>
    <w:rsid w:val="009647A5"/>
    <w:rsid w:val="00964838"/>
    <w:rsid w:val="009649A9"/>
    <w:rsid w:val="00964A71"/>
    <w:rsid w:val="00964A9E"/>
    <w:rsid w:val="00964B12"/>
    <w:rsid w:val="00964B60"/>
    <w:rsid w:val="00964B8E"/>
    <w:rsid w:val="00964BE3"/>
    <w:rsid w:val="00964E43"/>
    <w:rsid w:val="00964E51"/>
    <w:rsid w:val="00964E74"/>
    <w:rsid w:val="00964EB7"/>
    <w:rsid w:val="0096500B"/>
    <w:rsid w:val="00965019"/>
    <w:rsid w:val="00965034"/>
    <w:rsid w:val="00965064"/>
    <w:rsid w:val="009650AF"/>
    <w:rsid w:val="0096512B"/>
    <w:rsid w:val="0096512E"/>
    <w:rsid w:val="00965157"/>
    <w:rsid w:val="0096517D"/>
    <w:rsid w:val="009651BD"/>
    <w:rsid w:val="009651E8"/>
    <w:rsid w:val="0096520A"/>
    <w:rsid w:val="00965249"/>
    <w:rsid w:val="009652A1"/>
    <w:rsid w:val="009652F8"/>
    <w:rsid w:val="00965422"/>
    <w:rsid w:val="0096543A"/>
    <w:rsid w:val="00965457"/>
    <w:rsid w:val="0096563B"/>
    <w:rsid w:val="009656AE"/>
    <w:rsid w:val="009656D4"/>
    <w:rsid w:val="00965928"/>
    <w:rsid w:val="00965929"/>
    <w:rsid w:val="009659A1"/>
    <w:rsid w:val="009659C6"/>
    <w:rsid w:val="00965A8B"/>
    <w:rsid w:val="00965B64"/>
    <w:rsid w:val="00965C3A"/>
    <w:rsid w:val="00965C44"/>
    <w:rsid w:val="00965D0E"/>
    <w:rsid w:val="00965EBD"/>
    <w:rsid w:val="00965EDA"/>
    <w:rsid w:val="00965EF3"/>
    <w:rsid w:val="00965F38"/>
    <w:rsid w:val="00965F5A"/>
    <w:rsid w:val="00965FFF"/>
    <w:rsid w:val="0096605F"/>
    <w:rsid w:val="00966077"/>
    <w:rsid w:val="00966158"/>
    <w:rsid w:val="009661D5"/>
    <w:rsid w:val="009661E0"/>
    <w:rsid w:val="0096624D"/>
    <w:rsid w:val="00966346"/>
    <w:rsid w:val="00966394"/>
    <w:rsid w:val="00966695"/>
    <w:rsid w:val="009666C8"/>
    <w:rsid w:val="009666D6"/>
    <w:rsid w:val="009667E7"/>
    <w:rsid w:val="00966826"/>
    <w:rsid w:val="0096682A"/>
    <w:rsid w:val="009668E6"/>
    <w:rsid w:val="00966937"/>
    <w:rsid w:val="00966AB3"/>
    <w:rsid w:val="00966AB9"/>
    <w:rsid w:val="00966AD3"/>
    <w:rsid w:val="00966B19"/>
    <w:rsid w:val="00966B4C"/>
    <w:rsid w:val="00966CA0"/>
    <w:rsid w:val="00966CFA"/>
    <w:rsid w:val="00966D0C"/>
    <w:rsid w:val="00966EAB"/>
    <w:rsid w:val="00966FFF"/>
    <w:rsid w:val="00967029"/>
    <w:rsid w:val="00967050"/>
    <w:rsid w:val="0096709C"/>
    <w:rsid w:val="009671CE"/>
    <w:rsid w:val="00967262"/>
    <w:rsid w:val="00967274"/>
    <w:rsid w:val="009672C3"/>
    <w:rsid w:val="0096731F"/>
    <w:rsid w:val="00967330"/>
    <w:rsid w:val="009673C4"/>
    <w:rsid w:val="009673FA"/>
    <w:rsid w:val="0096744A"/>
    <w:rsid w:val="0096744F"/>
    <w:rsid w:val="00967465"/>
    <w:rsid w:val="0096747D"/>
    <w:rsid w:val="0096756E"/>
    <w:rsid w:val="009675CC"/>
    <w:rsid w:val="00967647"/>
    <w:rsid w:val="009676E9"/>
    <w:rsid w:val="00967786"/>
    <w:rsid w:val="0096779E"/>
    <w:rsid w:val="009677B1"/>
    <w:rsid w:val="00967837"/>
    <w:rsid w:val="00967843"/>
    <w:rsid w:val="0096789D"/>
    <w:rsid w:val="009678F3"/>
    <w:rsid w:val="00967A31"/>
    <w:rsid w:val="00967A56"/>
    <w:rsid w:val="00967BD2"/>
    <w:rsid w:val="00967BFF"/>
    <w:rsid w:val="00967C2A"/>
    <w:rsid w:val="00967C6B"/>
    <w:rsid w:val="00967CD0"/>
    <w:rsid w:val="00967CE6"/>
    <w:rsid w:val="00967D41"/>
    <w:rsid w:val="00967D79"/>
    <w:rsid w:val="00967D7C"/>
    <w:rsid w:val="00967F17"/>
    <w:rsid w:val="00967F6D"/>
    <w:rsid w:val="00967F85"/>
    <w:rsid w:val="0097008D"/>
    <w:rsid w:val="009700E3"/>
    <w:rsid w:val="00970122"/>
    <w:rsid w:val="0097015B"/>
    <w:rsid w:val="00970205"/>
    <w:rsid w:val="0097022D"/>
    <w:rsid w:val="0097026E"/>
    <w:rsid w:val="0097029A"/>
    <w:rsid w:val="009703FF"/>
    <w:rsid w:val="00970404"/>
    <w:rsid w:val="0097041C"/>
    <w:rsid w:val="00970424"/>
    <w:rsid w:val="00970447"/>
    <w:rsid w:val="0097058C"/>
    <w:rsid w:val="00970633"/>
    <w:rsid w:val="00970737"/>
    <w:rsid w:val="00970756"/>
    <w:rsid w:val="00970812"/>
    <w:rsid w:val="0097085A"/>
    <w:rsid w:val="009708AB"/>
    <w:rsid w:val="009708FA"/>
    <w:rsid w:val="00970960"/>
    <w:rsid w:val="009709AB"/>
    <w:rsid w:val="009709B0"/>
    <w:rsid w:val="00970A68"/>
    <w:rsid w:val="00970A73"/>
    <w:rsid w:val="00970BCD"/>
    <w:rsid w:val="00970D21"/>
    <w:rsid w:val="00970D30"/>
    <w:rsid w:val="00970E33"/>
    <w:rsid w:val="00970E37"/>
    <w:rsid w:val="00970E69"/>
    <w:rsid w:val="00970F1A"/>
    <w:rsid w:val="00970F5F"/>
    <w:rsid w:val="00970FE0"/>
    <w:rsid w:val="0097106B"/>
    <w:rsid w:val="0097106F"/>
    <w:rsid w:val="00971141"/>
    <w:rsid w:val="00971169"/>
    <w:rsid w:val="00971187"/>
    <w:rsid w:val="009711FD"/>
    <w:rsid w:val="00971264"/>
    <w:rsid w:val="00971288"/>
    <w:rsid w:val="0097128F"/>
    <w:rsid w:val="00971291"/>
    <w:rsid w:val="009712A7"/>
    <w:rsid w:val="009712E4"/>
    <w:rsid w:val="0097133F"/>
    <w:rsid w:val="00971373"/>
    <w:rsid w:val="00971415"/>
    <w:rsid w:val="009714E6"/>
    <w:rsid w:val="0097152B"/>
    <w:rsid w:val="00971599"/>
    <w:rsid w:val="0097163E"/>
    <w:rsid w:val="00971774"/>
    <w:rsid w:val="00971780"/>
    <w:rsid w:val="009717A2"/>
    <w:rsid w:val="009717FB"/>
    <w:rsid w:val="00971817"/>
    <w:rsid w:val="0097186F"/>
    <w:rsid w:val="0097189C"/>
    <w:rsid w:val="0097193A"/>
    <w:rsid w:val="009719D4"/>
    <w:rsid w:val="009719F9"/>
    <w:rsid w:val="00971A2F"/>
    <w:rsid w:val="00971A7D"/>
    <w:rsid w:val="00971CBE"/>
    <w:rsid w:val="00971D8D"/>
    <w:rsid w:val="00971E9A"/>
    <w:rsid w:val="0097205C"/>
    <w:rsid w:val="0097207C"/>
    <w:rsid w:val="009720F8"/>
    <w:rsid w:val="00972129"/>
    <w:rsid w:val="009721E8"/>
    <w:rsid w:val="00972208"/>
    <w:rsid w:val="00972228"/>
    <w:rsid w:val="0097225A"/>
    <w:rsid w:val="0097225D"/>
    <w:rsid w:val="009722A6"/>
    <w:rsid w:val="0097230F"/>
    <w:rsid w:val="0097242D"/>
    <w:rsid w:val="0097246F"/>
    <w:rsid w:val="009724A2"/>
    <w:rsid w:val="00972555"/>
    <w:rsid w:val="00972655"/>
    <w:rsid w:val="0097272A"/>
    <w:rsid w:val="00972743"/>
    <w:rsid w:val="00972770"/>
    <w:rsid w:val="009727AF"/>
    <w:rsid w:val="009728E2"/>
    <w:rsid w:val="009728E5"/>
    <w:rsid w:val="00972965"/>
    <w:rsid w:val="009729FE"/>
    <w:rsid w:val="009729FF"/>
    <w:rsid w:val="00972A43"/>
    <w:rsid w:val="00972B98"/>
    <w:rsid w:val="00972C77"/>
    <w:rsid w:val="00972CCD"/>
    <w:rsid w:val="00972DA9"/>
    <w:rsid w:val="00972F06"/>
    <w:rsid w:val="00972F84"/>
    <w:rsid w:val="00973161"/>
    <w:rsid w:val="009731DF"/>
    <w:rsid w:val="00973227"/>
    <w:rsid w:val="0097333D"/>
    <w:rsid w:val="0097335C"/>
    <w:rsid w:val="00973417"/>
    <w:rsid w:val="009734B8"/>
    <w:rsid w:val="00973508"/>
    <w:rsid w:val="0097355F"/>
    <w:rsid w:val="00973653"/>
    <w:rsid w:val="0097367C"/>
    <w:rsid w:val="0097368B"/>
    <w:rsid w:val="0097369F"/>
    <w:rsid w:val="0097376F"/>
    <w:rsid w:val="0097377C"/>
    <w:rsid w:val="00973818"/>
    <w:rsid w:val="00973A28"/>
    <w:rsid w:val="00973B5C"/>
    <w:rsid w:val="00973BA0"/>
    <w:rsid w:val="00973BF7"/>
    <w:rsid w:val="00973C2F"/>
    <w:rsid w:val="00973C34"/>
    <w:rsid w:val="00973CBD"/>
    <w:rsid w:val="00973CD5"/>
    <w:rsid w:val="00973DA0"/>
    <w:rsid w:val="00973DA4"/>
    <w:rsid w:val="00973E35"/>
    <w:rsid w:val="00973E9A"/>
    <w:rsid w:val="00973EA7"/>
    <w:rsid w:val="00973EAD"/>
    <w:rsid w:val="00973EFF"/>
    <w:rsid w:val="00973F52"/>
    <w:rsid w:val="00973F5F"/>
    <w:rsid w:val="00973FC3"/>
    <w:rsid w:val="0097404C"/>
    <w:rsid w:val="009740A2"/>
    <w:rsid w:val="00974116"/>
    <w:rsid w:val="00974164"/>
    <w:rsid w:val="00974183"/>
    <w:rsid w:val="00974279"/>
    <w:rsid w:val="009742AF"/>
    <w:rsid w:val="009742B2"/>
    <w:rsid w:val="009742E5"/>
    <w:rsid w:val="00974353"/>
    <w:rsid w:val="009743A5"/>
    <w:rsid w:val="009743E8"/>
    <w:rsid w:val="0097444E"/>
    <w:rsid w:val="009744F2"/>
    <w:rsid w:val="0097457B"/>
    <w:rsid w:val="00974666"/>
    <w:rsid w:val="009746D0"/>
    <w:rsid w:val="009746F4"/>
    <w:rsid w:val="0097470B"/>
    <w:rsid w:val="0097489F"/>
    <w:rsid w:val="009748BE"/>
    <w:rsid w:val="009748CB"/>
    <w:rsid w:val="009748ED"/>
    <w:rsid w:val="009748F9"/>
    <w:rsid w:val="00974942"/>
    <w:rsid w:val="009749D2"/>
    <w:rsid w:val="00974B3E"/>
    <w:rsid w:val="00974B6F"/>
    <w:rsid w:val="00974BE2"/>
    <w:rsid w:val="00974BED"/>
    <w:rsid w:val="00974BF6"/>
    <w:rsid w:val="00974C43"/>
    <w:rsid w:val="00974E5F"/>
    <w:rsid w:val="00974F99"/>
    <w:rsid w:val="00975041"/>
    <w:rsid w:val="00975068"/>
    <w:rsid w:val="009750DF"/>
    <w:rsid w:val="0097513D"/>
    <w:rsid w:val="009751BC"/>
    <w:rsid w:val="009751C3"/>
    <w:rsid w:val="009751D0"/>
    <w:rsid w:val="00975270"/>
    <w:rsid w:val="00975295"/>
    <w:rsid w:val="009752F2"/>
    <w:rsid w:val="0097532E"/>
    <w:rsid w:val="009754CE"/>
    <w:rsid w:val="00975543"/>
    <w:rsid w:val="009756C3"/>
    <w:rsid w:val="009756FB"/>
    <w:rsid w:val="00975785"/>
    <w:rsid w:val="009758E0"/>
    <w:rsid w:val="0097592E"/>
    <w:rsid w:val="00975A8E"/>
    <w:rsid w:val="00975A9C"/>
    <w:rsid w:val="00975AB1"/>
    <w:rsid w:val="00975AF9"/>
    <w:rsid w:val="00975B4B"/>
    <w:rsid w:val="00975B90"/>
    <w:rsid w:val="00975BB5"/>
    <w:rsid w:val="00975C7A"/>
    <w:rsid w:val="00975CAE"/>
    <w:rsid w:val="00975CE5"/>
    <w:rsid w:val="00975D1E"/>
    <w:rsid w:val="00975D3B"/>
    <w:rsid w:val="00975D44"/>
    <w:rsid w:val="00975D4A"/>
    <w:rsid w:val="00975DB1"/>
    <w:rsid w:val="00975DEB"/>
    <w:rsid w:val="00975EB0"/>
    <w:rsid w:val="00975EB8"/>
    <w:rsid w:val="00975ED3"/>
    <w:rsid w:val="00975FA5"/>
    <w:rsid w:val="00976055"/>
    <w:rsid w:val="009760CB"/>
    <w:rsid w:val="009760FC"/>
    <w:rsid w:val="0097629D"/>
    <w:rsid w:val="009762D8"/>
    <w:rsid w:val="0097632F"/>
    <w:rsid w:val="0097637F"/>
    <w:rsid w:val="00976380"/>
    <w:rsid w:val="009763BD"/>
    <w:rsid w:val="009763CF"/>
    <w:rsid w:val="00976454"/>
    <w:rsid w:val="009764BD"/>
    <w:rsid w:val="009764DC"/>
    <w:rsid w:val="00976564"/>
    <w:rsid w:val="00976601"/>
    <w:rsid w:val="00976719"/>
    <w:rsid w:val="009767BD"/>
    <w:rsid w:val="009767E9"/>
    <w:rsid w:val="0097683D"/>
    <w:rsid w:val="00976964"/>
    <w:rsid w:val="00976990"/>
    <w:rsid w:val="009769E9"/>
    <w:rsid w:val="00976A31"/>
    <w:rsid w:val="00976AB4"/>
    <w:rsid w:val="00976ADA"/>
    <w:rsid w:val="00976CA6"/>
    <w:rsid w:val="00976D17"/>
    <w:rsid w:val="00976DE3"/>
    <w:rsid w:val="00976DEE"/>
    <w:rsid w:val="00976F58"/>
    <w:rsid w:val="00976FCC"/>
    <w:rsid w:val="009770C7"/>
    <w:rsid w:val="009770DB"/>
    <w:rsid w:val="009771B8"/>
    <w:rsid w:val="009771EE"/>
    <w:rsid w:val="00977256"/>
    <w:rsid w:val="00977278"/>
    <w:rsid w:val="00977345"/>
    <w:rsid w:val="0097734F"/>
    <w:rsid w:val="0097735F"/>
    <w:rsid w:val="0097737F"/>
    <w:rsid w:val="009773E0"/>
    <w:rsid w:val="0097759B"/>
    <w:rsid w:val="009775FF"/>
    <w:rsid w:val="0097763B"/>
    <w:rsid w:val="00977652"/>
    <w:rsid w:val="0097766E"/>
    <w:rsid w:val="0097780F"/>
    <w:rsid w:val="0097783B"/>
    <w:rsid w:val="0097793F"/>
    <w:rsid w:val="00977947"/>
    <w:rsid w:val="00977988"/>
    <w:rsid w:val="009779D3"/>
    <w:rsid w:val="00977AD4"/>
    <w:rsid w:val="00977BA5"/>
    <w:rsid w:val="00977C55"/>
    <w:rsid w:val="00977C62"/>
    <w:rsid w:val="00977CCD"/>
    <w:rsid w:val="00977CE7"/>
    <w:rsid w:val="00977D3B"/>
    <w:rsid w:val="00977D44"/>
    <w:rsid w:val="00977DA1"/>
    <w:rsid w:val="00977DCC"/>
    <w:rsid w:val="00977DF3"/>
    <w:rsid w:val="00977E2C"/>
    <w:rsid w:val="00977E39"/>
    <w:rsid w:val="00977EA1"/>
    <w:rsid w:val="00977EE4"/>
    <w:rsid w:val="00977F4C"/>
    <w:rsid w:val="00977FA5"/>
    <w:rsid w:val="009800C3"/>
    <w:rsid w:val="00980185"/>
    <w:rsid w:val="009801BD"/>
    <w:rsid w:val="009802B4"/>
    <w:rsid w:val="0098058B"/>
    <w:rsid w:val="00980603"/>
    <w:rsid w:val="009806B8"/>
    <w:rsid w:val="009806C2"/>
    <w:rsid w:val="0098073F"/>
    <w:rsid w:val="00980886"/>
    <w:rsid w:val="00980897"/>
    <w:rsid w:val="00980A2A"/>
    <w:rsid w:val="00980B3E"/>
    <w:rsid w:val="00980C1E"/>
    <w:rsid w:val="00980CA8"/>
    <w:rsid w:val="00980D52"/>
    <w:rsid w:val="0098101A"/>
    <w:rsid w:val="009810E6"/>
    <w:rsid w:val="009811FE"/>
    <w:rsid w:val="00981208"/>
    <w:rsid w:val="00981222"/>
    <w:rsid w:val="00981240"/>
    <w:rsid w:val="00981289"/>
    <w:rsid w:val="009812D1"/>
    <w:rsid w:val="009813C3"/>
    <w:rsid w:val="009814D7"/>
    <w:rsid w:val="0098159C"/>
    <w:rsid w:val="009815BD"/>
    <w:rsid w:val="00981662"/>
    <w:rsid w:val="00981675"/>
    <w:rsid w:val="00981697"/>
    <w:rsid w:val="00981760"/>
    <w:rsid w:val="009817AC"/>
    <w:rsid w:val="0098188E"/>
    <w:rsid w:val="009819A0"/>
    <w:rsid w:val="009819DC"/>
    <w:rsid w:val="009819EA"/>
    <w:rsid w:val="009819F0"/>
    <w:rsid w:val="00981A0C"/>
    <w:rsid w:val="00981A3F"/>
    <w:rsid w:val="00981AC4"/>
    <w:rsid w:val="00981AF6"/>
    <w:rsid w:val="00981B34"/>
    <w:rsid w:val="00981BCF"/>
    <w:rsid w:val="00981BFA"/>
    <w:rsid w:val="00981C0F"/>
    <w:rsid w:val="00981C1C"/>
    <w:rsid w:val="00981C6F"/>
    <w:rsid w:val="00981C78"/>
    <w:rsid w:val="00981CD1"/>
    <w:rsid w:val="00981D87"/>
    <w:rsid w:val="00981DA9"/>
    <w:rsid w:val="00981DEC"/>
    <w:rsid w:val="00981E24"/>
    <w:rsid w:val="00981E7D"/>
    <w:rsid w:val="00981EAE"/>
    <w:rsid w:val="00981EEF"/>
    <w:rsid w:val="00981F03"/>
    <w:rsid w:val="00981F23"/>
    <w:rsid w:val="0098203D"/>
    <w:rsid w:val="0098203F"/>
    <w:rsid w:val="00982042"/>
    <w:rsid w:val="009820A2"/>
    <w:rsid w:val="009820D6"/>
    <w:rsid w:val="009821A2"/>
    <w:rsid w:val="0098220B"/>
    <w:rsid w:val="00982342"/>
    <w:rsid w:val="0098237F"/>
    <w:rsid w:val="0098239D"/>
    <w:rsid w:val="00982404"/>
    <w:rsid w:val="00982425"/>
    <w:rsid w:val="00982458"/>
    <w:rsid w:val="009824BF"/>
    <w:rsid w:val="0098254D"/>
    <w:rsid w:val="00982557"/>
    <w:rsid w:val="00982587"/>
    <w:rsid w:val="00982591"/>
    <w:rsid w:val="009826BB"/>
    <w:rsid w:val="00982702"/>
    <w:rsid w:val="00982704"/>
    <w:rsid w:val="00982739"/>
    <w:rsid w:val="0098273A"/>
    <w:rsid w:val="009829AF"/>
    <w:rsid w:val="00982A1E"/>
    <w:rsid w:val="00982BA9"/>
    <w:rsid w:val="00982BD5"/>
    <w:rsid w:val="00982BDA"/>
    <w:rsid w:val="00982C15"/>
    <w:rsid w:val="00982C5F"/>
    <w:rsid w:val="00982D2D"/>
    <w:rsid w:val="00982D62"/>
    <w:rsid w:val="00982EAE"/>
    <w:rsid w:val="00982FE9"/>
    <w:rsid w:val="00983039"/>
    <w:rsid w:val="00983078"/>
    <w:rsid w:val="0098307F"/>
    <w:rsid w:val="0098310D"/>
    <w:rsid w:val="00983118"/>
    <w:rsid w:val="00983273"/>
    <w:rsid w:val="00983333"/>
    <w:rsid w:val="009833B7"/>
    <w:rsid w:val="00983410"/>
    <w:rsid w:val="0098344E"/>
    <w:rsid w:val="00983495"/>
    <w:rsid w:val="009834B5"/>
    <w:rsid w:val="009834BE"/>
    <w:rsid w:val="009834E5"/>
    <w:rsid w:val="00983762"/>
    <w:rsid w:val="0098378B"/>
    <w:rsid w:val="009837AE"/>
    <w:rsid w:val="00983814"/>
    <w:rsid w:val="00983933"/>
    <w:rsid w:val="0098393E"/>
    <w:rsid w:val="0098399C"/>
    <w:rsid w:val="009839A1"/>
    <w:rsid w:val="009839D5"/>
    <w:rsid w:val="009839F3"/>
    <w:rsid w:val="00983AD1"/>
    <w:rsid w:val="00983B86"/>
    <w:rsid w:val="00983BF9"/>
    <w:rsid w:val="00983BFA"/>
    <w:rsid w:val="00983E12"/>
    <w:rsid w:val="00983E3F"/>
    <w:rsid w:val="00983E6F"/>
    <w:rsid w:val="00983F80"/>
    <w:rsid w:val="00984050"/>
    <w:rsid w:val="00984068"/>
    <w:rsid w:val="009840FF"/>
    <w:rsid w:val="00984205"/>
    <w:rsid w:val="00984261"/>
    <w:rsid w:val="009842DE"/>
    <w:rsid w:val="009843C1"/>
    <w:rsid w:val="00984448"/>
    <w:rsid w:val="009844FC"/>
    <w:rsid w:val="0098457E"/>
    <w:rsid w:val="0098459F"/>
    <w:rsid w:val="009845BB"/>
    <w:rsid w:val="009846B2"/>
    <w:rsid w:val="00984851"/>
    <w:rsid w:val="00984994"/>
    <w:rsid w:val="00984A30"/>
    <w:rsid w:val="00984A31"/>
    <w:rsid w:val="00984AE4"/>
    <w:rsid w:val="00984BBF"/>
    <w:rsid w:val="00984C26"/>
    <w:rsid w:val="00984C5E"/>
    <w:rsid w:val="00984E70"/>
    <w:rsid w:val="00984F41"/>
    <w:rsid w:val="00984F9A"/>
    <w:rsid w:val="00984FA6"/>
    <w:rsid w:val="00984FC6"/>
    <w:rsid w:val="0098505D"/>
    <w:rsid w:val="009853C8"/>
    <w:rsid w:val="009853CB"/>
    <w:rsid w:val="00985405"/>
    <w:rsid w:val="00985412"/>
    <w:rsid w:val="0098544D"/>
    <w:rsid w:val="00985464"/>
    <w:rsid w:val="00985492"/>
    <w:rsid w:val="00985548"/>
    <w:rsid w:val="009855DA"/>
    <w:rsid w:val="00985605"/>
    <w:rsid w:val="009856B7"/>
    <w:rsid w:val="009856C3"/>
    <w:rsid w:val="009856D0"/>
    <w:rsid w:val="0098578C"/>
    <w:rsid w:val="009857BF"/>
    <w:rsid w:val="009857F0"/>
    <w:rsid w:val="00985850"/>
    <w:rsid w:val="0098585A"/>
    <w:rsid w:val="00985888"/>
    <w:rsid w:val="0098590D"/>
    <w:rsid w:val="00985B64"/>
    <w:rsid w:val="00985B73"/>
    <w:rsid w:val="00985BF8"/>
    <w:rsid w:val="00985C65"/>
    <w:rsid w:val="00985D86"/>
    <w:rsid w:val="00985D96"/>
    <w:rsid w:val="00985E26"/>
    <w:rsid w:val="00985E54"/>
    <w:rsid w:val="00985E9D"/>
    <w:rsid w:val="00985FC0"/>
    <w:rsid w:val="0098609B"/>
    <w:rsid w:val="009860EC"/>
    <w:rsid w:val="0098616C"/>
    <w:rsid w:val="00986385"/>
    <w:rsid w:val="009863D0"/>
    <w:rsid w:val="00986424"/>
    <w:rsid w:val="0098645A"/>
    <w:rsid w:val="009864B4"/>
    <w:rsid w:val="009865D4"/>
    <w:rsid w:val="009865F4"/>
    <w:rsid w:val="009866D9"/>
    <w:rsid w:val="0098678D"/>
    <w:rsid w:val="009868B6"/>
    <w:rsid w:val="00986956"/>
    <w:rsid w:val="00986959"/>
    <w:rsid w:val="00986A4E"/>
    <w:rsid w:val="00986A4F"/>
    <w:rsid w:val="00986B2A"/>
    <w:rsid w:val="00986B82"/>
    <w:rsid w:val="00986B8C"/>
    <w:rsid w:val="00986D42"/>
    <w:rsid w:val="00986D96"/>
    <w:rsid w:val="00986DBE"/>
    <w:rsid w:val="00986DD3"/>
    <w:rsid w:val="00986F2E"/>
    <w:rsid w:val="00986FE2"/>
    <w:rsid w:val="0098712E"/>
    <w:rsid w:val="00987142"/>
    <w:rsid w:val="00987207"/>
    <w:rsid w:val="00987245"/>
    <w:rsid w:val="0098737D"/>
    <w:rsid w:val="009873AA"/>
    <w:rsid w:val="00987490"/>
    <w:rsid w:val="009874A7"/>
    <w:rsid w:val="00987584"/>
    <w:rsid w:val="009875F9"/>
    <w:rsid w:val="00987603"/>
    <w:rsid w:val="00987618"/>
    <w:rsid w:val="0098761C"/>
    <w:rsid w:val="0098765F"/>
    <w:rsid w:val="00987747"/>
    <w:rsid w:val="00987749"/>
    <w:rsid w:val="009878FE"/>
    <w:rsid w:val="00987A0F"/>
    <w:rsid w:val="00987AB4"/>
    <w:rsid w:val="00987B35"/>
    <w:rsid w:val="00987B97"/>
    <w:rsid w:val="00987BDA"/>
    <w:rsid w:val="00987C70"/>
    <w:rsid w:val="00987C8A"/>
    <w:rsid w:val="00987CEF"/>
    <w:rsid w:val="00987D07"/>
    <w:rsid w:val="00987D0E"/>
    <w:rsid w:val="00987F47"/>
    <w:rsid w:val="00987F7A"/>
    <w:rsid w:val="00987FBF"/>
    <w:rsid w:val="00987FD3"/>
    <w:rsid w:val="009900C3"/>
    <w:rsid w:val="009900D0"/>
    <w:rsid w:val="00990117"/>
    <w:rsid w:val="00990160"/>
    <w:rsid w:val="00990171"/>
    <w:rsid w:val="009901C9"/>
    <w:rsid w:val="00990245"/>
    <w:rsid w:val="009902E9"/>
    <w:rsid w:val="00990318"/>
    <w:rsid w:val="009903D3"/>
    <w:rsid w:val="0099043B"/>
    <w:rsid w:val="009904F9"/>
    <w:rsid w:val="00990566"/>
    <w:rsid w:val="009906AE"/>
    <w:rsid w:val="00990765"/>
    <w:rsid w:val="00990783"/>
    <w:rsid w:val="00990877"/>
    <w:rsid w:val="00990966"/>
    <w:rsid w:val="00990982"/>
    <w:rsid w:val="009909F3"/>
    <w:rsid w:val="00990A50"/>
    <w:rsid w:val="00990A90"/>
    <w:rsid w:val="00990BAE"/>
    <w:rsid w:val="00990BCA"/>
    <w:rsid w:val="00990BF5"/>
    <w:rsid w:val="00990DD9"/>
    <w:rsid w:val="00990E10"/>
    <w:rsid w:val="00990E11"/>
    <w:rsid w:val="00990EBB"/>
    <w:rsid w:val="00990EF6"/>
    <w:rsid w:val="00990F15"/>
    <w:rsid w:val="00990F2D"/>
    <w:rsid w:val="009910AF"/>
    <w:rsid w:val="00991112"/>
    <w:rsid w:val="00991160"/>
    <w:rsid w:val="00991241"/>
    <w:rsid w:val="00991337"/>
    <w:rsid w:val="00991365"/>
    <w:rsid w:val="0099146A"/>
    <w:rsid w:val="00991531"/>
    <w:rsid w:val="00991560"/>
    <w:rsid w:val="009915AA"/>
    <w:rsid w:val="00991671"/>
    <w:rsid w:val="00991681"/>
    <w:rsid w:val="00991745"/>
    <w:rsid w:val="009917A5"/>
    <w:rsid w:val="009917C6"/>
    <w:rsid w:val="009917E0"/>
    <w:rsid w:val="009917F8"/>
    <w:rsid w:val="009917F9"/>
    <w:rsid w:val="009918AC"/>
    <w:rsid w:val="0099190A"/>
    <w:rsid w:val="0099199A"/>
    <w:rsid w:val="009919D4"/>
    <w:rsid w:val="00991AF0"/>
    <w:rsid w:val="00991BA8"/>
    <w:rsid w:val="00991C8D"/>
    <w:rsid w:val="00991D16"/>
    <w:rsid w:val="00991D46"/>
    <w:rsid w:val="00991DB7"/>
    <w:rsid w:val="00991E58"/>
    <w:rsid w:val="00991FA9"/>
    <w:rsid w:val="00991FCA"/>
    <w:rsid w:val="0099201A"/>
    <w:rsid w:val="00992179"/>
    <w:rsid w:val="009921A6"/>
    <w:rsid w:val="00992410"/>
    <w:rsid w:val="00992413"/>
    <w:rsid w:val="0099246E"/>
    <w:rsid w:val="009924EF"/>
    <w:rsid w:val="00992533"/>
    <w:rsid w:val="00992626"/>
    <w:rsid w:val="00992663"/>
    <w:rsid w:val="009926B2"/>
    <w:rsid w:val="009926F6"/>
    <w:rsid w:val="009927FA"/>
    <w:rsid w:val="0099284A"/>
    <w:rsid w:val="009928E1"/>
    <w:rsid w:val="009928FE"/>
    <w:rsid w:val="00992920"/>
    <w:rsid w:val="00992921"/>
    <w:rsid w:val="00992949"/>
    <w:rsid w:val="00992960"/>
    <w:rsid w:val="009929B6"/>
    <w:rsid w:val="009929E1"/>
    <w:rsid w:val="00992A04"/>
    <w:rsid w:val="00992A33"/>
    <w:rsid w:val="00992A4E"/>
    <w:rsid w:val="00992AD0"/>
    <w:rsid w:val="00992B24"/>
    <w:rsid w:val="00992BD6"/>
    <w:rsid w:val="00992BE8"/>
    <w:rsid w:val="00992C55"/>
    <w:rsid w:val="00992CA9"/>
    <w:rsid w:val="00992F08"/>
    <w:rsid w:val="00992F37"/>
    <w:rsid w:val="00992F44"/>
    <w:rsid w:val="00993041"/>
    <w:rsid w:val="009930E6"/>
    <w:rsid w:val="00993136"/>
    <w:rsid w:val="009931B7"/>
    <w:rsid w:val="00993310"/>
    <w:rsid w:val="0099336D"/>
    <w:rsid w:val="00993431"/>
    <w:rsid w:val="00993443"/>
    <w:rsid w:val="00993492"/>
    <w:rsid w:val="009934C2"/>
    <w:rsid w:val="009934FF"/>
    <w:rsid w:val="00993562"/>
    <w:rsid w:val="009935FC"/>
    <w:rsid w:val="00993659"/>
    <w:rsid w:val="00993712"/>
    <w:rsid w:val="0099381A"/>
    <w:rsid w:val="009938F9"/>
    <w:rsid w:val="00993921"/>
    <w:rsid w:val="009939CF"/>
    <w:rsid w:val="00993A8C"/>
    <w:rsid w:val="00993AEA"/>
    <w:rsid w:val="00993B1C"/>
    <w:rsid w:val="00993B9F"/>
    <w:rsid w:val="00993C0A"/>
    <w:rsid w:val="00993C31"/>
    <w:rsid w:val="00993C40"/>
    <w:rsid w:val="00993C5B"/>
    <w:rsid w:val="00993D02"/>
    <w:rsid w:val="00993E14"/>
    <w:rsid w:val="00993E37"/>
    <w:rsid w:val="00993E62"/>
    <w:rsid w:val="00993E8C"/>
    <w:rsid w:val="00993F04"/>
    <w:rsid w:val="00993F59"/>
    <w:rsid w:val="00993FB0"/>
    <w:rsid w:val="00993FCF"/>
    <w:rsid w:val="009940A9"/>
    <w:rsid w:val="009940D9"/>
    <w:rsid w:val="0099412C"/>
    <w:rsid w:val="009941DE"/>
    <w:rsid w:val="00994256"/>
    <w:rsid w:val="00994298"/>
    <w:rsid w:val="00994304"/>
    <w:rsid w:val="00994310"/>
    <w:rsid w:val="0099433C"/>
    <w:rsid w:val="0099434D"/>
    <w:rsid w:val="0099435F"/>
    <w:rsid w:val="00994361"/>
    <w:rsid w:val="009943A5"/>
    <w:rsid w:val="0099442A"/>
    <w:rsid w:val="00994441"/>
    <w:rsid w:val="0099446A"/>
    <w:rsid w:val="00994485"/>
    <w:rsid w:val="0099451A"/>
    <w:rsid w:val="00994624"/>
    <w:rsid w:val="0099469F"/>
    <w:rsid w:val="009946DD"/>
    <w:rsid w:val="009946EE"/>
    <w:rsid w:val="00994869"/>
    <w:rsid w:val="009949B7"/>
    <w:rsid w:val="00994AB8"/>
    <w:rsid w:val="00994B92"/>
    <w:rsid w:val="00994C21"/>
    <w:rsid w:val="00994C66"/>
    <w:rsid w:val="00994D00"/>
    <w:rsid w:val="00994D6C"/>
    <w:rsid w:val="00994DDC"/>
    <w:rsid w:val="00994E57"/>
    <w:rsid w:val="00994E77"/>
    <w:rsid w:val="00994ECA"/>
    <w:rsid w:val="00994EE8"/>
    <w:rsid w:val="00994F48"/>
    <w:rsid w:val="00994F6F"/>
    <w:rsid w:val="00994FCB"/>
    <w:rsid w:val="00994FDF"/>
    <w:rsid w:val="00994FE8"/>
    <w:rsid w:val="009950A5"/>
    <w:rsid w:val="009950D2"/>
    <w:rsid w:val="0099519B"/>
    <w:rsid w:val="009951A2"/>
    <w:rsid w:val="00995235"/>
    <w:rsid w:val="00995279"/>
    <w:rsid w:val="00995294"/>
    <w:rsid w:val="00995347"/>
    <w:rsid w:val="0099535F"/>
    <w:rsid w:val="00995378"/>
    <w:rsid w:val="0099539B"/>
    <w:rsid w:val="009953B8"/>
    <w:rsid w:val="00995499"/>
    <w:rsid w:val="009954B9"/>
    <w:rsid w:val="0099552E"/>
    <w:rsid w:val="00995538"/>
    <w:rsid w:val="009956A5"/>
    <w:rsid w:val="0099572B"/>
    <w:rsid w:val="00995746"/>
    <w:rsid w:val="0099576B"/>
    <w:rsid w:val="009957A1"/>
    <w:rsid w:val="009957D1"/>
    <w:rsid w:val="009957ED"/>
    <w:rsid w:val="00995897"/>
    <w:rsid w:val="0099596D"/>
    <w:rsid w:val="0099596E"/>
    <w:rsid w:val="0099598C"/>
    <w:rsid w:val="0099598E"/>
    <w:rsid w:val="009959F1"/>
    <w:rsid w:val="00995A81"/>
    <w:rsid w:val="00995AB1"/>
    <w:rsid w:val="00995B18"/>
    <w:rsid w:val="00995B3B"/>
    <w:rsid w:val="00995B63"/>
    <w:rsid w:val="00995B7C"/>
    <w:rsid w:val="00995CC6"/>
    <w:rsid w:val="00995D5D"/>
    <w:rsid w:val="00995D62"/>
    <w:rsid w:val="00995DB1"/>
    <w:rsid w:val="00995EBC"/>
    <w:rsid w:val="00995FC4"/>
    <w:rsid w:val="00995FEE"/>
    <w:rsid w:val="00996001"/>
    <w:rsid w:val="00996149"/>
    <w:rsid w:val="00996239"/>
    <w:rsid w:val="00996316"/>
    <w:rsid w:val="009963A3"/>
    <w:rsid w:val="009963EA"/>
    <w:rsid w:val="009964CE"/>
    <w:rsid w:val="009965AD"/>
    <w:rsid w:val="00996614"/>
    <w:rsid w:val="00996638"/>
    <w:rsid w:val="009966B8"/>
    <w:rsid w:val="009966C1"/>
    <w:rsid w:val="009966CE"/>
    <w:rsid w:val="0099676F"/>
    <w:rsid w:val="00996827"/>
    <w:rsid w:val="0099687E"/>
    <w:rsid w:val="00996888"/>
    <w:rsid w:val="009968C3"/>
    <w:rsid w:val="00996966"/>
    <w:rsid w:val="0099697D"/>
    <w:rsid w:val="009969E8"/>
    <w:rsid w:val="00996C4B"/>
    <w:rsid w:val="00996CAD"/>
    <w:rsid w:val="00996D90"/>
    <w:rsid w:val="00996DA3"/>
    <w:rsid w:val="00996DF4"/>
    <w:rsid w:val="00996E55"/>
    <w:rsid w:val="00996F0E"/>
    <w:rsid w:val="00996FD9"/>
    <w:rsid w:val="00997013"/>
    <w:rsid w:val="00997052"/>
    <w:rsid w:val="009970AF"/>
    <w:rsid w:val="00997196"/>
    <w:rsid w:val="00997225"/>
    <w:rsid w:val="0099723E"/>
    <w:rsid w:val="009972F7"/>
    <w:rsid w:val="00997350"/>
    <w:rsid w:val="00997351"/>
    <w:rsid w:val="009973E7"/>
    <w:rsid w:val="00997426"/>
    <w:rsid w:val="00997441"/>
    <w:rsid w:val="0099745F"/>
    <w:rsid w:val="00997477"/>
    <w:rsid w:val="00997561"/>
    <w:rsid w:val="009975C0"/>
    <w:rsid w:val="00997660"/>
    <w:rsid w:val="0099770E"/>
    <w:rsid w:val="0099773B"/>
    <w:rsid w:val="00997752"/>
    <w:rsid w:val="009977EE"/>
    <w:rsid w:val="009978B8"/>
    <w:rsid w:val="00997993"/>
    <w:rsid w:val="009979C8"/>
    <w:rsid w:val="009979DF"/>
    <w:rsid w:val="00997A3C"/>
    <w:rsid w:val="00997A3F"/>
    <w:rsid w:val="00997A66"/>
    <w:rsid w:val="00997A6B"/>
    <w:rsid w:val="00997AA6"/>
    <w:rsid w:val="00997B19"/>
    <w:rsid w:val="00997C05"/>
    <w:rsid w:val="00997C86"/>
    <w:rsid w:val="00997E73"/>
    <w:rsid w:val="009A0219"/>
    <w:rsid w:val="009A0304"/>
    <w:rsid w:val="009A0335"/>
    <w:rsid w:val="009A03C7"/>
    <w:rsid w:val="009A04C4"/>
    <w:rsid w:val="009A0542"/>
    <w:rsid w:val="009A07EC"/>
    <w:rsid w:val="009A097D"/>
    <w:rsid w:val="009A09BA"/>
    <w:rsid w:val="009A0A28"/>
    <w:rsid w:val="009A0A44"/>
    <w:rsid w:val="009A0A65"/>
    <w:rsid w:val="009A0A96"/>
    <w:rsid w:val="009A0AB2"/>
    <w:rsid w:val="009A0BCC"/>
    <w:rsid w:val="009A0C22"/>
    <w:rsid w:val="009A0C9F"/>
    <w:rsid w:val="009A0CF2"/>
    <w:rsid w:val="009A0D2F"/>
    <w:rsid w:val="009A0EED"/>
    <w:rsid w:val="009A0F72"/>
    <w:rsid w:val="009A1164"/>
    <w:rsid w:val="009A1185"/>
    <w:rsid w:val="009A119D"/>
    <w:rsid w:val="009A1284"/>
    <w:rsid w:val="009A1396"/>
    <w:rsid w:val="009A13CE"/>
    <w:rsid w:val="009A143D"/>
    <w:rsid w:val="009A14BD"/>
    <w:rsid w:val="009A1534"/>
    <w:rsid w:val="009A1600"/>
    <w:rsid w:val="009A1655"/>
    <w:rsid w:val="009A175D"/>
    <w:rsid w:val="009A184B"/>
    <w:rsid w:val="009A1908"/>
    <w:rsid w:val="009A1989"/>
    <w:rsid w:val="009A19AD"/>
    <w:rsid w:val="009A19DD"/>
    <w:rsid w:val="009A1A7F"/>
    <w:rsid w:val="009A1BB7"/>
    <w:rsid w:val="009A1BD0"/>
    <w:rsid w:val="009A1DB9"/>
    <w:rsid w:val="009A1E33"/>
    <w:rsid w:val="009A1E88"/>
    <w:rsid w:val="009A1EFF"/>
    <w:rsid w:val="009A1F15"/>
    <w:rsid w:val="009A1F3B"/>
    <w:rsid w:val="009A1FF4"/>
    <w:rsid w:val="009A200A"/>
    <w:rsid w:val="009A2032"/>
    <w:rsid w:val="009A2079"/>
    <w:rsid w:val="009A2081"/>
    <w:rsid w:val="009A2123"/>
    <w:rsid w:val="009A219F"/>
    <w:rsid w:val="009A2256"/>
    <w:rsid w:val="009A225D"/>
    <w:rsid w:val="009A231A"/>
    <w:rsid w:val="009A24CC"/>
    <w:rsid w:val="009A2507"/>
    <w:rsid w:val="009A2542"/>
    <w:rsid w:val="009A25C7"/>
    <w:rsid w:val="009A2624"/>
    <w:rsid w:val="009A2635"/>
    <w:rsid w:val="009A2673"/>
    <w:rsid w:val="009A2683"/>
    <w:rsid w:val="009A26DD"/>
    <w:rsid w:val="009A26ED"/>
    <w:rsid w:val="009A2740"/>
    <w:rsid w:val="009A2783"/>
    <w:rsid w:val="009A2788"/>
    <w:rsid w:val="009A2826"/>
    <w:rsid w:val="009A2835"/>
    <w:rsid w:val="009A289E"/>
    <w:rsid w:val="009A28C9"/>
    <w:rsid w:val="009A297F"/>
    <w:rsid w:val="009A29CB"/>
    <w:rsid w:val="009A2A4D"/>
    <w:rsid w:val="009A2B02"/>
    <w:rsid w:val="009A2B7E"/>
    <w:rsid w:val="009A2BC9"/>
    <w:rsid w:val="009A2C30"/>
    <w:rsid w:val="009A2D62"/>
    <w:rsid w:val="009A2E31"/>
    <w:rsid w:val="009A2E76"/>
    <w:rsid w:val="009A2E8B"/>
    <w:rsid w:val="009A2F00"/>
    <w:rsid w:val="009A2F2D"/>
    <w:rsid w:val="009A30E4"/>
    <w:rsid w:val="009A30F0"/>
    <w:rsid w:val="009A317F"/>
    <w:rsid w:val="009A3339"/>
    <w:rsid w:val="009A3380"/>
    <w:rsid w:val="009A338C"/>
    <w:rsid w:val="009A33F5"/>
    <w:rsid w:val="009A341F"/>
    <w:rsid w:val="009A3478"/>
    <w:rsid w:val="009A34CB"/>
    <w:rsid w:val="009A365F"/>
    <w:rsid w:val="009A36C0"/>
    <w:rsid w:val="009A371A"/>
    <w:rsid w:val="009A3761"/>
    <w:rsid w:val="009A377B"/>
    <w:rsid w:val="009A37B4"/>
    <w:rsid w:val="009A37EF"/>
    <w:rsid w:val="009A3808"/>
    <w:rsid w:val="009A3830"/>
    <w:rsid w:val="009A387E"/>
    <w:rsid w:val="009A38AD"/>
    <w:rsid w:val="009A3905"/>
    <w:rsid w:val="009A396E"/>
    <w:rsid w:val="009A397E"/>
    <w:rsid w:val="009A3A50"/>
    <w:rsid w:val="009A3AB9"/>
    <w:rsid w:val="009A3AC4"/>
    <w:rsid w:val="009A3B1B"/>
    <w:rsid w:val="009A3B26"/>
    <w:rsid w:val="009A3B87"/>
    <w:rsid w:val="009A3BA6"/>
    <w:rsid w:val="009A3BCB"/>
    <w:rsid w:val="009A3BFC"/>
    <w:rsid w:val="009A3C74"/>
    <w:rsid w:val="009A3CA1"/>
    <w:rsid w:val="009A3D57"/>
    <w:rsid w:val="009A3D91"/>
    <w:rsid w:val="009A3DA1"/>
    <w:rsid w:val="009A3DDA"/>
    <w:rsid w:val="009A3DDE"/>
    <w:rsid w:val="009A3E67"/>
    <w:rsid w:val="009A3FC4"/>
    <w:rsid w:val="009A402E"/>
    <w:rsid w:val="009A4056"/>
    <w:rsid w:val="009A409A"/>
    <w:rsid w:val="009A409E"/>
    <w:rsid w:val="009A40D4"/>
    <w:rsid w:val="009A4107"/>
    <w:rsid w:val="009A411B"/>
    <w:rsid w:val="009A4183"/>
    <w:rsid w:val="009A4233"/>
    <w:rsid w:val="009A427E"/>
    <w:rsid w:val="009A429D"/>
    <w:rsid w:val="009A4376"/>
    <w:rsid w:val="009A44D3"/>
    <w:rsid w:val="009A46A6"/>
    <w:rsid w:val="009A46B1"/>
    <w:rsid w:val="009A4718"/>
    <w:rsid w:val="009A47D7"/>
    <w:rsid w:val="009A47FF"/>
    <w:rsid w:val="009A4816"/>
    <w:rsid w:val="009A48F0"/>
    <w:rsid w:val="009A4929"/>
    <w:rsid w:val="009A4931"/>
    <w:rsid w:val="009A495F"/>
    <w:rsid w:val="009A4A08"/>
    <w:rsid w:val="009A4A5F"/>
    <w:rsid w:val="009A4AAE"/>
    <w:rsid w:val="009A4AFA"/>
    <w:rsid w:val="009A4B69"/>
    <w:rsid w:val="009A4B74"/>
    <w:rsid w:val="009A4B7F"/>
    <w:rsid w:val="009A4BA1"/>
    <w:rsid w:val="009A4BF4"/>
    <w:rsid w:val="009A4C8B"/>
    <w:rsid w:val="009A4CA0"/>
    <w:rsid w:val="009A4D1A"/>
    <w:rsid w:val="009A4D82"/>
    <w:rsid w:val="009A4E49"/>
    <w:rsid w:val="009A4EE6"/>
    <w:rsid w:val="009A4FF0"/>
    <w:rsid w:val="009A52EA"/>
    <w:rsid w:val="009A53B7"/>
    <w:rsid w:val="009A53CC"/>
    <w:rsid w:val="009A5505"/>
    <w:rsid w:val="009A552D"/>
    <w:rsid w:val="009A55CA"/>
    <w:rsid w:val="009A585E"/>
    <w:rsid w:val="009A590D"/>
    <w:rsid w:val="009A594D"/>
    <w:rsid w:val="009A598F"/>
    <w:rsid w:val="009A5A4A"/>
    <w:rsid w:val="009A5A5B"/>
    <w:rsid w:val="009A5AC9"/>
    <w:rsid w:val="009A5BA8"/>
    <w:rsid w:val="009A5BBE"/>
    <w:rsid w:val="009A5D0D"/>
    <w:rsid w:val="009A5D32"/>
    <w:rsid w:val="009A5D86"/>
    <w:rsid w:val="009A5E03"/>
    <w:rsid w:val="009A5E96"/>
    <w:rsid w:val="009A5F83"/>
    <w:rsid w:val="009A5FA0"/>
    <w:rsid w:val="009A5FDB"/>
    <w:rsid w:val="009A6063"/>
    <w:rsid w:val="009A60BD"/>
    <w:rsid w:val="009A60DE"/>
    <w:rsid w:val="009A618B"/>
    <w:rsid w:val="009A627E"/>
    <w:rsid w:val="009A6379"/>
    <w:rsid w:val="009A63B3"/>
    <w:rsid w:val="009A6423"/>
    <w:rsid w:val="009A642E"/>
    <w:rsid w:val="009A6595"/>
    <w:rsid w:val="009A6608"/>
    <w:rsid w:val="009A6A88"/>
    <w:rsid w:val="009A6B4A"/>
    <w:rsid w:val="009A6B8F"/>
    <w:rsid w:val="009A6BA4"/>
    <w:rsid w:val="009A6D1B"/>
    <w:rsid w:val="009A6DD3"/>
    <w:rsid w:val="009A6E35"/>
    <w:rsid w:val="009A6E60"/>
    <w:rsid w:val="009A6FA1"/>
    <w:rsid w:val="009A6FA8"/>
    <w:rsid w:val="009A6FDB"/>
    <w:rsid w:val="009A7059"/>
    <w:rsid w:val="009A71CD"/>
    <w:rsid w:val="009A71D5"/>
    <w:rsid w:val="009A71F2"/>
    <w:rsid w:val="009A7310"/>
    <w:rsid w:val="009A744A"/>
    <w:rsid w:val="009A74FA"/>
    <w:rsid w:val="009A7546"/>
    <w:rsid w:val="009A7557"/>
    <w:rsid w:val="009A7658"/>
    <w:rsid w:val="009A771D"/>
    <w:rsid w:val="009A7962"/>
    <w:rsid w:val="009A798B"/>
    <w:rsid w:val="009A79D0"/>
    <w:rsid w:val="009A7A59"/>
    <w:rsid w:val="009A7AB6"/>
    <w:rsid w:val="009A7B9D"/>
    <w:rsid w:val="009A7BCE"/>
    <w:rsid w:val="009A7BEE"/>
    <w:rsid w:val="009A7C46"/>
    <w:rsid w:val="009A7C82"/>
    <w:rsid w:val="009A7DF5"/>
    <w:rsid w:val="009A7E6D"/>
    <w:rsid w:val="009B00DB"/>
    <w:rsid w:val="009B00F4"/>
    <w:rsid w:val="009B0121"/>
    <w:rsid w:val="009B016A"/>
    <w:rsid w:val="009B023D"/>
    <w:rsid w:val="009B02F3"/>
    <w:rsid w:val="009B036A"/>
    <w:rsid w:val="009B0390"/>
    <w:rsid w:val="009B04CC"/>
    <w:rsid w:val="009B05DD"/>
    <w:rsid w:val="009B0730"/>
    <w:rsid w:val="009B073F"/>
    <w:rsid w:val="009B0751"/>
    <w:rsid w:val="009B0770"/>
    <w:rsid w:val="009B079C"/>
    <w:rsid w:val="009B0830"/>
    <w:rsid w:val="009B0845"/>
    <w:rsid w:val="009B08E1"/>
    <w:rsid w:val="009B0916"/>
    <w:rsid w:val="009B0A69"/>
    <w:rsid w:val="009B0AAF"/>
    <w:rsid w:val="009B0B53"/>
    <w:rsid w:val="009B0B70"/>
    <w:rsid w:val="009B0BD4"/>
    <w:rsid w:val="009B0BD6"/>
    <w:rsid w:val="009B0BDB"/>
    <w:rsid w:val="009B0F47"/>
    <w:rsid w:val="009B0F59"/>
    <w:rsid w:val="009B0FBE"/>
    <w:rsid w:val="009B106B"/>
    <w:rsid w:val="009B10B2"/>
    <w:rsid w:val="009B10DB"/>
    <w:rsid w:val="009B11AD"/>
    <w:rsid w:val="009B11B3"/>
    <w:rsid w:val="009B1253"/>
    <w:rsid w:val="009B12CB"/>
    <w:rsid w:val="009B13ED"/>
    <w:rsid w:val="009B13F5"/>
    <w:rsid w:val="009B14ED"/>
    <w:rsid w:val="009B1582"/>
    <w:rsid w:val="009B1592"/>
    <w:rsid w:val="009B15D6"/>
    <w:rsid w:val="009B16B1"/>
    <w:rsid w:val="009B1717"/>
    <w:rsid w:val="009B171E"/>
    <w:rsid w:val="009B1A46"/>
    <w:rsid w:val="009B1A6A"/>
    <w:rsid w:val="009B1AA3"/>
    <w:rsid w:val="009B1AD3"/>
    <w:rsid w:val="009B1C33"/>
    <w:rsid w:val="009B1D8E"/>
    <w:rsid w:val="009B1DFB"/>
    <w:rsid w:val="009B1E13"/>
    <w:rsid w:val="009B1F3E"/>
    <w:rsid w:val="009B1F77"/>
    <w:rsid w:val="009B2048"/>
    <w:rsid w:val="009B2131"/>
    <w:rsid w:val="009B2175"/>
    <w:rsid w:val="009B229F"/>
    <w:rsid w:val="009B22B3"/>
    <w:rsid w:val="009B23AF"/>
    <w:rsid w:val="009B240C"/>
    <w:rsid w:val="009B2467"/>
    <w:rsid w:val="009B24E2"/>
    <w:rsid w:val="009B2507"/>
    <w:rsid w:val="009B25CA"/>
    <w:rsid w:val="009B2753"/>
    <w:rsid w:val="009B27BE"/>
    <w:rsid w:val="009B27E2"/>
    <w:rsid w:val="009B28EF"/>
    <w:rsid w:val="009B28F1"/>
    <w:rsid w:val="009B2928"/>
    <w:rsid w:val="009B2B3E"/>
    <w:rsid w:val="009B2C1E"/>
    <w:rsid w:val="009B2CFC"/>
    <w:rsid w:val="009B2E60"/>
    <w:rsid w:val="009B2EB8"/>
    <w:rsid w:val="009B2F00"/>
    <w:rsid w:val="009B2F56"/>
    <w:rsid w:val="009B2F5A"/>
    <w:rsid w:val="009B2FF5"/>
    <w:rsid w:val="009B313A"/>
    <w:rsid w:val="009B3239"/>
    <w:rsid w:val="009B328B"/>
    <w:rsid w:val="009B328E"/>
    <w:rsid w:val="009B33D0"/>
    <w:rsid w:val="009B3417"/>
    <w:rsid w:val="009B3492"/>
    <w:rsid w:val="009B350A"/>
    <w:rsid w:val="009B357E"/>
    <w:rsid w:val="009B35E7"/>
    <w:rsid w:val="009B3601"/>
    <w:rsid w:val="009B3616"/>
    <w:rsid w:val="009B36AE"/>
    <w:rsid w:val="009B36F7"/>
    <w:rsid w:val="009B374F"/>
    <w:rsid w:val="009B377A"/>
    <w:rsid w:val="009B39DB"/>
    <w:rsid w:val="009B3A0C"/>
    <w:rsid w:val="009B3A89"/>
    <w:rsid w:val="009B3B19"/>
    <w:rsid w:val="009B3B55"/>
    <w:rsid w:val="009B3B65"/>
    <w:rsid w:val="009B3B88"/>
    <w:rsid w:val="009B3D9D"/>
    <w:rsid w:val="009B3E0B"/>
    <w:rsid w:val="009B3EA6"/>
    <w:rsid w:val="009B3ED2"/>
    <w:rsid w:val="009B3F6B"/>
    <w:rsid w:val="009B3F85"/>
    <w:rsid w:val="009B3FEC"/>
    <w:rsid w:val="009B401F"/>
    <w:rsid w:val="009B4031"/>
    <w:rsid w:val="009B4071"/>
    <w:rsid w:val="009B4081"/>
    <w:rsid w:val="009B4131"/>
    <w:rsid w:val="009B4296"/>
    <w:rsid w:val="009B42EC"/>
    <w:rsid w:val="009B437E"/>
    <w:rsid w:val="009B43B4"/>
    <w:rsid w:val="009B4549"/>
    <w:rsid w:val="009B4566"/>
    <w:rsid w:val="009B45BD"/>
    <w:rsid w:val="009B466D"/>
    <w:rsid w:val="009B467E"/>
    <w:rsid w:val="009B470E"/>
    <w:rsid w:val="009B478C"/>
    <w:rsid w:val="009B47C9"/>
    <w:rsid w:val="009B47CF"/>
    <w:rsid w:val="009B47D7"/>
    <w:rsid w:val="009B47F6"/>
    <w:rsid w:val="009B486A"/>
    <w:rsid w:val="009B48F1"/>
    <w:rsid w:val="009B49B1"/>
    <w:rsid w:val="009B4A36"/>
    <w:rsid w:val="009B4AD0"/>
    <w:rsid w:val="009B4ADD"/>
    <w:rsid w:val="009B4D16"/>
    <w:rsid w:val="009B4DA9"/>
    <w:rsid w:val="009B4E0D"/>
    <w:rsid w:val="009B4E6B"/>
    <w:rsid w:val="009B4E96"/>
    <w:rsid w:val="009B4F2D"/>
    <w:rsid w:val="009B4FB7"/>
    <w:rsid w:val="009B5033"/>
    <w:rsid w:val="009B5037"/>
    <w:rsid w:val="009B508D"/>
    <w:rsid w:val="009B51D0"/>
    <w:rsid w:val="009B526F"/>
    <w:rsid w:val="009B5299"/>
    <w:rsid w:val="009B52AE"/>
    <w:rsid w:val="009B5330"/>
    <w:rsid w:val="009B5347"/>
    <w:rsid w:val="009B53B2"/>
    <w:rsid w:val="009B5590"/>
    <w:rsid w:val="009B5615"/>
    <w:rsid w:val="009B56E6"/>
    <w:rsid w:val="009B572D"/>
    <w:rsid w:val="009B5784"/>
    <w:rsid w:val="009B57B8"/>
    <w:rsid w:val="009B5889"/>
    <w:rsid w:val="009B5A0F"/>
    <w:rsid w:val="009B5A19"/>
    <w:rsid w:val="009B5A34"/>
    <w:rsid w:val="009B5A50"/>
    <w:rsid w:val="009B5A5B"/>
    <w:rsid w:val="009B5ABB"/>
    <w:rsid w:val="009B5B5E"/>
    <w:rsid w:val="009B5BDA"/>
    <w:rsid w:val="009B5C00"/>
    <w:rsid w:val="009B5C0E"/>
    <w:rsid w:val="009B5D84"/>
    <w:rsid w:val="009B5E84"/>
    <w:rsid w:val="009B5E8B"/>
    <w:rsid w:val="009B5E90"/>
    <w:rsid w:val="009B5F01"/>
    <w:rsid w:val="009B5F04"/>
    <w:rsid w:val="009B5F26"/>
    <w:rsid w:val="009B5F66"/>
    <w:rsid w:val="009B5FBD"/>
    <w:rsid w:val="009B6049"/>
    <w:rsid w:val="009B60E7"/>
    <w:rsid w:val="009B6128"/>
    <w:rsid w:val="009B6220"/>
    <w:rsid w:val="009B6297"/>
    <w:rsid w:val="009B63AC"/>
    <w:rsid w:val="009B63E8"/>
    <w:rsid w:val="009B6552"/>
    <w:rsid w:val="009B6602"/>
    <w:rsid w:val="009B6654"/>
    <w:rsid w:val="009B669B"/>
    <w:rsid w:val="009B675D"/>
    <w:rsid w:val="009B67C9"/>
    <w:rsid w:val="009B67EA"/>
    <w:rsid w:val="009B696A"/>
    <w:rsid w:val="009B69CE"/>
    <w:rsid w:val="009B69F7"/>
    <w:rsid w:val="009B6A00"/>
    <w:rsid w:val="009B6A63"/>
    <w:rsid w:val="009B6A74"/>
    <w:rsid w:val="009B6B49"/>
    <w:rsid w:val="009B6B54"/>
    <w:rsid w:val="009B6BE3"/>
    <w:rsid w:val="009B6C05"/>
    <w:rsid w:val="009B6CA5"/>
    <w:rsid w:val="009B6D19"/>
    <w:rsid w:val="009B6D4F"/>
    <w:rsid w:val="009B6E36"/>
    <w:rsid w:val="009B6E40"/>
    <w:rsid w:val="009B6EC4"/>
    <w:rsid w:val="009B6ECA"/>
    <w:rsid w:val="009B6F54"/>
    <w:rsid w:val="009B6FC8"/>
    <w:rsid w:val="009B6FCC"/>
    <w:rsid w:val="009B6FE5"/>
    <w:rsid w:val="009B6FF4"/>
    <w:rsid w:val="009B703A"/>
    <w:rsid w:val="009B708B"/>
    <w:rsid w:val="009B71B6"/>
    <w:rsid w:val="009B71DC"/>
    <w:rsid w:val="009B734A"/>
    <w:rsid w:val="009B74F5"/>
    <w:rsid w:val="009B7585"/>
    <w:rsid w:val="009B7642"/>
    <w:rsid w:val="009B777A"/>
    <w:rsid w:val="009B778F"/>
    <w:rsid w:val="009B77F1"/>
    <w:rsid w:val="009B78B0"/>
    <w:rsid w:val="009B78B7"/>
    <w:rsid w:val="009B7920"/>
    <w:rsid w:val="009B794D"/>
    <w:rsid w:val="009B7A40"/>
    <w:rsid w:val="009B7A91"/>
    <w:rsid w:val="009B7AC9"/>
    <w:rsid w:val="009B7B75"/>
    <w:rsid w:val="009B7C41"/>
    <w:rsid w:val="009B7C5C"/>
    <w:rsid w:val="009B7C80"/>
    <w:rsid w:val="009B7D54"/>
    <w:rsid w:val="009B7D9B"/>
    <w:rsid w:val="009B7DDB"/>
    <w:rsid w:val="009B7E00"/>
    <w:rsid w:val="009B7F4F"/>
    <w:rsid w:val="009B7FAC"/>
    <w:rsid w:val="009C0149"/>
    <w:rsid w:val="009C01C1"/>
    <w:rsid w:val="009C02CA"/>
    <w:rsid w:val="009C02CE"/>
    <w:rsid w:val="009C02E1"/>
    <w:rsid w:val="009C0370"/>
    <w:rsid w:val="009C048E"/>
    <w:rsid w:val="009C0523"/>
    <w:rsid w:val="009C0535"/>
    <w:rsid w:val="009C0602"/>
    <w:rsid w:val="009C0693"/>
    <w:rsid w:val="009C07B0"/>
    <w:rsid w:val="009C07E0"/>
    <w:rsid w:val="009C0896"/>
    <w:rsid w:val="009C08F0"/>
    <w:rsid w:val="009C0923"/>
    <w:rsid w:val="009C0981"/>
    <w:rsid w:val="009C0982"/>
    <w:rsid w:val="009C09E4"/>
    <w:rsid w:val="009C0A4F"/>
    <w:rsid w:val="009C0B02"/>
    <w:rsid w:val="009C0B89"/>
    <w:rsid w:val="009C0BC5"/>
    <w:rsid w:val="009C0BF1"/>
    <w:rsid w:val="009C0C5F"/>
    <w:rsid w:val="009C0C7B"/>
    <w:rsid w:val="009C0D39"/>
    <w:rsid w:val="009C0DDF"/>
    <w:rsid w:val="009C0F07"/>
    <w:rsid w:val="009C0F12"/>
    <w:rsid w:val="009C0F13"/>
    <w:rsid w:val="009C0F42"/>
    <w:rsid w:val="009C0F9E"/>
    <w:rsid w:val="009C1109"/>
    <w:rsid w:val="009C1135"/>
    <w:rsid w:val="009C125B"/>
    <w:rsid w:val="009C12F3"/>
    <w:rsid w:val="009C1492"/>
    <w:rsid w:val="009C14A2"/>
    <w:rsid w:val="009C14D6"/>
    <w:rsid w:val="009C151F"/>
    <w:rsid w:val="009C15E2"/>
    <w:rsid w:val="009C1629"/>
    <w:rsid w:val="009C1895"/>
    <w:rsid w:val="009C18D9"/>
    <w:rsid w:val="009C1903"/>
    <w:rsid w:val="009C19D3"/>
    <w:rsid w:val="009C1A2B"/>
    <w:rsid w:val="009C1A4E"/>
    <w:rsid w:val="009C1A75"/>
    <w:rsid w:val="009C1C5C"/>
    <w:rsid w:val="009C1CAD"/>
    <w:rsid w:val="009C1CD2"/>
    <w:rsid w:val="009C1CD7"/>
    <w:rsid w:val="009C1CD8"/>
    <w:rsid w:val="009C1D45"/>
    <w:rsid w:val="009C1D82"/>
    <w:rsid w:val="009C1DD6"/>
    <w:rsid w:val="009C1E2B"/>
    <w:rsid w:val="009C1EFD"/>
    <w:rsid w:val="009C1F64"/>
    <w:rsid w:val="009C1F72"/>
    <w:rsid w:val="009C2107"/>
    <w:rsid w:val="009C21B6"/>
    <w:rsid w:val="009C21C4"/>
    <w:rsid w:val="009C21CC"/>
    <w:rsid w:val="009C2231"/>
    <w:rsid w:val="009C226E"/>
    <w:rsid w:val="009C22C3"/>
    <w:rsid w:val="009C23BB"/>
    <w:rsid w:val="009C240C"/>
    <w:rsid w:val="009C247A"/>
    <w:rsid w:val="009C2571"/>
    <w:rsid w:val="009C25FB"/>
    <w:rsid w:val="009C2768"/>
    <w:rsid w:val="009C2848"/>
    <w:rsid w:val="009C291D"/>
    <w:rsid w:val="009C292A"/>
    <w:rsid w:val="009C2A5D"/>
    <w:rsid w:val="009C2C32"/>
    <w:rsid w:val="009C2C5E"/>
    <w:rsid w:val="009C2D69"/>
    <w:rsid w:val="009C2D7A"/>
    <w:rsid w:val="009C2DEF"/>
    <w:rsid w:val="009C2E3B"/>
    <w:rsid w:val="009C2E93"/>
    <w:rsid w:val="009C303D"/>
    <w:rsid w:val="009C3042"/>
    <w:rsid w:val="009C309E"/>
    <w:rsid w:val="009C30BA"/>
    <w:rsid w:val="009C3283"/>
    <w:rsid w:val="009C32CD"/>
    <w:rsid w:val="009C331B"/>
    <w:rsid w:val="009C3358"/>
    <w:rsid w:val="009C33A2"/>
    <w:rsid w:val="009C3433"/>
    <w:rsid w:val="009C3476"/>
    <w:rsid w:val="009C348E"/>
    <w:rsid w:val="009C34F9"/>
    <w:rsid w:val="009C356A"/>
    <w:rsid w:val="009C3587"/>
    <w:rsid w:val="009C3596"/>
    <w:rsid w:val="009C36AA"/>
    <w:rsid w:val="009C36E9"/>
    <w:rsid w:val="009C3888"/>
    <w:rsid w:val="009C38A8"/>
    <w:rsid w:val="009C38F6"/>
    <w:rsid w:val="009C394A"/>
    <w:rsid w:val="009C3995"/>
    <w:rsid w:val="009C3A0C"/>
    <w:rsid w:val="009C3A70"/>
    <w:rsid w:val="009C3A96"/>
    <w:rsid w:val="009C3B41"/>
    <w:rsid w:val="009C3B46"/>
    <w:rsid w:val="009C3B50"/>
    <w:rsid w:val="009C3D08"/>
    <w:rsid w:val="009C3D10"/>
    <w:rsid w:val="009C3D28"/>
    <w:rsid w:val="009C3F18"/>
    <w:rsid w:val="009C3F43"/>
    <w:rsid w:val="009C3F72"/>
    <w:rsid w:val="009C40E6"/>
    <w:rsid w:val="009C4151"/>
    <w:rsid w:val="009C41AD"/>
    <w:rsid w:val="009C4255"/>
    <w:rsid w:val="009C433E"/>
    <w:rsid w:val="009C4425"/>
    <w:rsid w:val="009C44A2"/>
    <w:rsid w:val="009C4511"/>
    <w:rsid w:val="009C452C"/>
    <w:rsid w:val="009C4539"/>
    <w:rsid w:val="009C454A"/>
    <w:rsid w:val="009C459B"/>
    <w:rsid w:val="009C45D6"/>
    <w:rsid w:val="009C4618"/>
    <w:rsid w:val="009C4693"/>
    <w:rsid w:val="009C474A"/>
    <w:rsid w:val="009C4792"/>
    <w:rsid w:val="009C4795"/>
    <w:rsid w:val="009C47EC"/>
    <w:rsid w:val="009C4845"/>
    <w:rsid w:val="009C4846"/>
    <w:rsid w:val="009C4AA5"/>
    <w:rsid w:val="009C4ADC"/>
    <w:rsid w:val="009C4B74"/>
    <w:rsid w:val="009C4BAD"/>
    <w:rsid w:val="009C4C6D"/>
    <w:rsid w:val="009C4C96"/>
    <w:rsid w:val="009C4CE4"/>
    <w:rsid w:val="009C4D00"/>
    <w:rsid w:val="009C4D81"/>
    <w:rsid w:val="009C4DB4"/>
    <w:rsid w:val="009C4DC4"/>
    <w:rsid w:val="009C4DEC"/>
    <w:rsid w:val="009C4F39"/>
    <w:rsid w:val="009C4F8C"/>
    <w:rsid w:val="009C5050"/>
    <w:rsid w:val="009C507E"/>
    <w:rsid w:val="009C50C5"/>
    <w:rsid w:val="009C517F"/>
    <w:rsid w:val="009C51BA"/>
    <w:rsid w:val="009C51BF"/>
    <w:rsid w:val="009C5322"/>
    <w:rsid w:val="009C53A4"/>
    <w:rsid w:val="009C53CF"/>
    <w:rsid w:val="009C5495"/>
    <w:rsid w:val="009C54BF"/>
    <w:rsid w:val="009C566F"/>
    <w:rsid w:val="009C56CF"/>
    <w:rsid w:val="009C56F5"/>
    <w:rsid w:val="009C58B7"/>
    <w:rsid w:val="009C5925"/>
    <w:rsid w:val="009C5932"/>
    <w:rsid w:val="009C5A05"/>
    <w:rsid w:val="009C5A47"/>
    <w:rsid w:val="009C5A49"/>
    <w:rsid w:val="009C5A71"/>
    <w:rsid w:val="009C5C7D"/>
    <w:rsid w:val="009C5CAF"/>
    <w:rsid w:val="009C5D3A"/>
    <w:rsid w:val="009C5D42"/>
    <w:rsid w:val="009C5E48"/>
    <w:rsid w:val="009C5E8F"/>
    <w:rsid w:val="009C5F53"/>
    <w:rsid w:val="009C5FA8"/>
    <w:rsid w:val="009C6042"/>
    <w:rsid w:val="009C6059"/>
    <w:rsid w:val="009C6089"/>
    <w:rsid w:val="009C60BB"/>
    <w:rsid w:val="009C611B"/>
    <w:rsid w:val="009C6139"/>
    <w:rsid w:val="009C61FF"/>
    <w:rsid w:val="009C6303"/>
    <w:rsid w:val="009C6345"/>
    <w:rsid w:val="009C646D"/>
    <w:rsid w:val="009C64F3"/>
    <w:rsid w:val="009C653F"/>
    <w:rsid w:val="009C6577"/>
    <w:rsid w:val="009C65E9"/>
    <w:rsid w:val="009C660E"/>
    <w:rsid w:val="009C665C"/>
    <w:rsid w:val="009C6727"/>
    <w:rsid w:val="009C67B7"/>
    <w:rsid w:val="009C67FB"/>
    <w:rsid w:val="009C684E"/>
    <w:rsid w:val="009C6948"/>
    <w:rsid w:val="009C698A"/>
    <w:rsid w:val="009C6A14"/>
    <w:rsid w:val="009C6AAD"/>
    <w:rsid w:val="009C6AB1"/>
    <w:rsid w:val="009C6AD0"/>
    <w:rsid w:val="009C6B14"/>
    <w:rsid w:val="009C6B24"/>
    <w:rsid w:val="009C6B74"/>
    <w:rsid w:val="009C6BDF"/>
    <w:rsid w:val="009C6C91"/>
    <w:rsid w:val="009C6D0D"/>
    <w:rsid w:val="009C6DD5"/>
    <w:rsid w:val="009C6DF5"/>
    <w:rsid w:val="009C6EEA"/>
    <w:rsid w:val="009C6EED"/>
    <w:rsid w:val="009C6F01"/>
    <w:rsid w:val="009C6F16"/>
    <w:rsid w:val="009C6FDC"/>
    <w:rsid w:val="009C70D4"/>
    <w:rsid w:val="009C71B9"/>
    <w:rsid w:val="009C731B"/>
    <w:rsid w:val="009C738E"/>
    <w:rsid w:val="009C73AC"/>
    <w:rsid w:val="009C73E8"/>
    <w:rsid w:val="009C7411"/>
    <w:rsid w:val="009C7534"/>
    <w:rsid w:val="009C7539"/>
    <w:rsid w:val="009C75E4"/>
    <w:rsid w:val="009C762D"/>
    <w:rsid w:val="009C765B"/>
    <w:rsid w:val="009C768E"/>
    <w:rsid w:val="009C76CA"/>
    <w:rsid w:val="009C76EF"/>
    <w:rsid w:val="009C7745"/>
    <w:rsid w:val="009C786F"/>
    <w:rsid w:val="009C78CF"/>
    <w:rsid w:val="009C794D"/>
    <w:rsid w:val="009C79DE"/>
    <w:rsid w:val="009C7A26"/>
    <w:rsid w:val="009C7A3D"/>
    <w:rsid w:val="009C7BA1"/>
    <w:rsid w:val="009C7C0C"/>
    <w:rsid w:val="009C7D11"/>
    <w:rsid w:val="009C7DAD"/>
    <w:rsid w:val="009C7DC9"/>
    <w:rsid w:val="009C7E05"/>
    <w:rsid w:val="009C7E81"/>
    <w:rsid w:val="009C7F76"/>
    <w:rsid w:val="009C7FA6"/>
    <w:rsid w:val="009D0069"/>
    <w:rsid w:val="009D00C3"/>
    <w:rsid w:val="009D00C4"/>
    <w:rsid w:val="009D0108"/>
    <w:rsid w:val="009D012F"/>
    <w:rsid w:val="009D013E"/>
    <w:rsid w:val="009D0164"/>
    <w:rsid w:val="009D01AA"/>
    <w:rsid w:val="009D01B2"/>
    <w:rsid w:val="009D0242"/>
    <w:rsid w:val="009D0316"/>
    <w:rsid w:val="009D0346"/>
    <w:rsid w:val="009D03E2"/>
    <w:rsid w:val="009D053E"/>
    <w:rsid w:val="009D058F"/>
    <w:rsid w:val="009D05EA"/>
    <w:rsid w:val="009D05F3"/>
    <w:rsid w:val="009D078A"/>
    <w:rsid w:val="009D07D8"/>
    <w:rsid w:val="009D0854"/>
    <w:rsid w:val="009D08B4"/>
    <w:rsid w:val="009D08CE"/>
    <w:rsid w:val="009D0961"/>
    <w:rsid w:val="009D0994"/>
    <w:rsid w:val="009D09AB"/>
    <w:rsid w:val="009D09F2"/>
    <w:rsid w:val="009D0A22"/>
    <w:rsid w:val="009D0A73"/>
    <w:rsid w:val="009D0A7D"/>
    <w:rsid w:val="009D0A81"/>
    <w:rsid w:val="009D0A93"/>
    <w:rsid w:val="009D0AB0"/>
    <w:rsid w:val="009D0BB3"/>
    <w:rsid w:val="009D0D06"/>
    <w:rsid w:val="009D0DA1"/>
    <w:rsid w:val="009D0E8A"/>
    <w:rsid w:val="009D0EAC"/>
    <w:rsid w:val="009D0F47"/>
    <w:rsid w:val="009D0F5E"/>
    <w:rsid w:val="009D0F9E"/>
    <w:rsid w:val="009D10F8"/>
    <w:rsid w:val="009D1117"/>
    <w:rsid w:val="009D11A3"/>
    <w:rsid w:val="009D11C6"/>
    <w:rsid w:val="009D11C7"/>
    <w:rsid w:val="009D1229"/>
    <w:rsid w:val="009D1318"/>
    <w:rsid w:val="009D13D4"/>
    <w:rsid w:val="009D1457"/>
    <w:rsid w:val="009D14B1"/>
    <w:rsid w:val="009D14B9"/>
    <w:rsid w:val="009D14F4"/>
    <w:rsid w:val="009D169E"/>
    <w:rsid w:val="009D1735"/>
    <w:rsid w:val="009D1744"/>
    <w:rsid w:val="009D19CD"/>
    <w:rsid w:val="009D1A15"/>
    <w:rsid w:val="009D1A3A"/>
    <w:rsid w:val="009D1C9E"/>
    <w:rsid w:val="009D1CCF"/>
    <w:rsid w:val="009D1E04"/>
    <w:rsid w:val="009D1E3F"/>
    <w:rsid w:val="009D1E4F"/>
    <w:rsid w:val="009D1E80"/>
    <w:rsid w:val="009D1EA2"/>
    <w:rsid w:val="009D1EAC"/>
    <w:rsid w:val="009D1EFD"/>
    <w:rsid w:val="009D1F13"/>
    <w:rsid w:val="009D1F44"/>
    <w:rsid w:val="009D20B5"/>
    <w:rsid w:val="009D2336"/>
    <w:rsid w:val="009D23E0"/>
    <w:rsid w:val="009D23F5"/>
    <w:rsid w:val="009D2523"/>
    <w:rsid w:val="009D253B"/>
    <w:rsid w:val="009D2606"/>
    <w:rsid w:val="009D263E"/>
    <w:rsid w:val="009D26AF"/>
    <w:rsid w:val="009D26C5"/>
    <w:rsid w:val="009D29D3"/>
    <w:rsid w:val="009D2A1D"/>
    <w:rsid w:val="009D2AE2"/>
    <w:rsid w:val="009D2AE3"/>
    <w:rsid w:val="009D2B4F"/>
    <w:rsid w:val="009D2BFD"/>
    <w:rsid w:val="009D2C15"/>
    <w:rsid w:val="009D2C46"/>
    <w:rsid w:val="009D2CCB"/>
    <w:rsid w:val="009D2D10"/>
    <w:rsid w:val="009D2E8B"/>
    <w:rsid w:val="009D2EEF"/>
    <w:rsid w:val="009D2F46"/>
    <w:rsid w:val="009D2FC9"/>
    <w:rsid w:val="009D309A"/>
    <w:rsid w:val="009D30A5"/>
    <w:rsid w:val="009D323A"/>
    <w:rsid w:val="009D3287"/>
    <w:rsid w:val="009D33B9"/>
    <w:rsid w:val="009D34AA"/>
    <w:rsid w:val="009D34EC"/>
    <w:rsid w:val="009D36F5"/>
    <w:rsid w:val="009D3702"/>
    <w:rsid w:val="009D3714"/>
    <w:rsid w:val="009D379E"/>
    <w:rsid w:val="009D38EC"/>
    <w:rsid w:val="009D394C"/>
    <w:rsid w:val="009D3957"/>
    <w:rsid w:val="009D3B76"/>
    <w:rsid w:val="009D3BD0"/>
    <w:rsid w:val="009D3BD4"/>
    <w:rsid w:val="009D3C77"/>
    <w:rsid w:val="009D3CE8"/>
    <w:rsid w:val="009D3D5F"/>
    <w:rsid w:val="009D3D62"/>
    <w:rsid w:val="009D3DC6"/>
    <w:rsid w:val="009D3E00"/>
    <w:rsid w:val="009D3E1E"/>
    <w:rsid w:val="009D3E6E"/>
    <w:rsid w:val="009D3E7C"/>
    <w:rsid w:val="009D3ED9"/>
    <w:rsid w:val="009D3EF6"/>
    <w:rsid w:val="009D3F8A"/>
    <w:rsid w:val="009D4031"/>
    <w:rsid w:val="009D40CB"/>
    <w:rsid w:val="009D40E4"/>
    <w:rsid w:val="009D41A2"/>
    <w:rsid w:val="009D41CA"/>
    <w:rsid w:val="009D4228"/>
    <w:rsid w:val="009D425C"/>
    <w:rsid w:val="009D4329"/>
    <w:rsid w:val="009D433D"/>
    <w:rsid w:val="009D4396"/>
    <w:rsid w:val="009D4456"/>
    <w:rsid w:val="009D44D8"/>
    <w:rsid w:val="009D45CC"/>
    <w:rsid w:val="009D4617"/>
    <w:rsid w:val="009D467A"/>
    <w:rsid w:val="009D4754"/>
    <w:rsid w:val="009D47AF"/>
    <w:rsid w:val="009D47DD"/>
    <w:rsid w:val="009D481D"/>
    <w:rsid w:val="009D48D0"/>
    <w:rsid w:val="009D492E"/>
    <w:rsid w:val="009D49F3"/>
    <w:rsid w:val="009D4A23"/>
    <w:rsid w:val="009D4AD8"/>
    <w:rsid w:val="009D4B7A"/>
    <w:rsid w:val="009D4B85"/>
    <w:rsid w:val="009D4BA5"/>
    <w:rsid w:val="009D4C3B"/>
    <w:rsid w:val="009D4C42"/>
    <w:rsid w:val="009D4DAE"/>
    <w:rsid w:val="009D4E4B"/>
    <w:rsid w:val="009D4E4E"/>
    <w:rsid w:val="009D4E68"/>
    <w:rsid w:val="009D4F76"/>
    <w:rsid w:val="009D5017"/>
    <w:rsid w:val="009D501B"/>
    <w:rsid w:val="009D5032"/>
    <w:rsid w:val="009D503A"/>
    <w:rsid w:val="009D5144"/>
    <w:rsid w:val="009D5319"/>
    <w:rsid w:val="009D535A"/>
    <w:rsid w:val="009D5394"/>
    <w:rsid w:val="009D5397"/>
    <w:rsid w:val="009D53BB"/>
    <w:rsid w:val="009D53CA"/>
    <w:rsid w:val="009D5431"/>
    <w:rsid w:val="009D54B2"/>
    <w:rsid w:val="009D553D"/>
    <w:rsid w:val="009D5640"/>
    <w:rsid w:val="009D5678"/>
    <w:rsid w:val="009D567D"/>
    <w:rsid w:val="009D57D1"/>
    <w:rsid w:val="009D58A5"/>
    <w:rsid w:val="009D5956"/>
    <w:rsid w:val="009D59EF"/>
    <w:rsid w:val="009D59F8"/>
    <w:rsid w:val="009D5A05"/>
    <w:rsid w:val="009D5A39"/>
    <w:rsid w:val="009D5AA5"/>
    <w:rsid w:val="009D5B19"/>
    <w:rsid w:val="009D5B6B"/>
    <w:rsid w:val="009D5BFA"/>
    <w:rsid w:val="009D5C74"/>
    <w:rsid w:val="009D5D69"/>
    <w:rsid w:val="009D5DC4"/>
    <w:rsid w:val="009D5DC6"/>
    <w:rsid w:val="009D5DD4"/>
    <w:rsid w:val="009D5E29"/>
    <w:rsid w:val="009D5F0C"/>
    <w:rsid w:val="009D5FB5"/>
    <w:rsid w:val="009D6031"/>
    <w:rsid w:val="009D60E4"/>
    <w:rsid w:val="009D610E"/>
    <w:rsid w:val="009D6151"/>
    <w:rsid w:val="009D62C3"/>
    <w:rsid w:val="009D643C"/>
    <w:rsid w:val="009D64A0"/>
    <w:rsid w:val="009D6549"/>
    <w:rsid w:val="009D66A5"/>
    <w:rsid w:val="009D675B"/>
    <w:rsid w:val="009D6798"/>
    <w:rsid w:val="009D67ED"/>
    <w:rsid w:val="009D68BB"/>
    <w:rsid w:val="009D6906"/>
    <w:rsid w:val="009D6921"/>
    <w:rsid w:val="009D6955"/>
    <w:rsid w:val="009D696D"/>
    <w:rsid w:val="009D6991"/>
    <w:rsid w:val="009D69A9"/>
    <w:rsid w:val="009D69DB"/>
    <w:rsid w:val="009D6A13"/>
    <w:rsid w:val="009D6B69"/>
    <w:rsid w:val="009D6C0C"/>
    <w:rsid w:val="009D6CB6"/>
    <w:rsid w:val="009D6CFC"/>
    <w:rsid w:val="009D6D08"/>
    <w:rsid w:val="009D6DE6"/>
    <w:rsid w:val="009D6F07"/>
    <w:rsid w:val="009D6F54"/>
    <w:rsid w:val="009D6F55"/>
    <w:rsid w:val="009D6F85"/>
    <w:rsid w:val="009D70BB"/>
    <w:rsid w:val="009D713C"/>
    <w:rsid w:val="009D7179"/>
    <w:rsid w:val="009D720A"/>
    <w:rsid w:val="009D72D5"/>
    <w:rsid w:val="009D72E2"/>
    <w:rsid w:val="009D733B"/>
    <w:rsid w:val="009D7359"/>
    <w:rsid w:val="009D73D2"/>
    <w:rsid w:val="009D73F7"/>
    <w:rsid w:val="009D7417"/>
    <w:rsid w:val="009D742C"/>
    <w:rsid w:val="009D7440"/>
    <w:rsid w:val="009D74B0"/>
    <w:rsid w:val="009D7561"/>
    <w:rsid w:val="009D767A"/>
    <w:rsid w:val="009D76A2"/>
    <w:rsid w:val="009D76D8"/>
    <w:rsid w:val="009D7701"/>
    <w:rsid w:val="009D7704"/>
    <w:rsid w:val="009D7770"/>
    <w:rsid w:val="009D77A7"/>
    <w:rsid w:val="009D77FA"/>
    <w:rsid w:val="009D797A"/>
    <w:rsid w:val="009D79C6"/>
    <w:rsid w:val="009D79C7"/>
    <w:rsid w:val="009D7A3F"/>
    <w:rsid w:val="009D7B26"/>
    <w:rsid w:val="009D7B8D"/>
    <w:rsid w:val="009D7C0C"/>
    <w:rsid w:val="009D7C0D"/>
    <w:rsid w:val="009D7C63"/>
    <w:rsid w:val="009D7CAD"/>
    <w:rsid w:val="009D7D0A"/>
    <w:rsid w:val="009D7D35"/>
    <w:rsid w:val="009D7E33"/>
    <w:rsid w:val="009D7E3F"/>
    <w:rsid w:val="009D7E57"/>
    <w:rsid w:val="009D7F9F"/>
    <w:rsid w:val="009E0074"/>
    <w:rsid w:val="009E00B7"/>
    <w:rsid w:val="009E00BF"/>
    <w:rsid w:val="009E0137"/>
    <w:rsid w:val="009E01D7"/>
    <w:rsid w:val="009E0281"/>
    <w:rsid w:val="009E02A5"/>
    <w:rsid w:val="009E036A"/>
    <w:rsid w:val="009E045D"/>
    <w:rsid w:val="009E04A7"/>
    <w:rsid w:val="009E050B"/>
    <w:rsid w:val="009E0557"/>
    <w:rsid w:val="009E05A3"/>
    <w:rsid w:val="009E05B7"/>
    <w:rsid w:val="009E0692"/>
    <w:rsid w:val="009E06B3"/>
    <w:rsid w:val="009E06D5"/>
    <w:rsid w:val="009E078F"/>
    <w:rsid w:val="009E09CA"/>
    <w:rsid w:val="009E0A01"/>
    <w:rsid w:val="009E0A9D"/>
    <w:rsid w:val="009E0AA6"/>
    <w:rsid w:val="009E0CCD"/>
    <w:rsid w:val="009E0CFF"/>
    <w:rsid w:val="009E0F22"/>
    <w:rsid w:val="009E1036"/>
    <w:rsid w:val="009E1240"/>
    <w:rsid w:val="009E1549"/>
    <w:rsid w:val="009E158F"/>
    <w:rsid w:val="009E15B6"/>
    <w:rsid w:val="009E15F3"/>
    <w:rsid w:val="009E165A"/>
    <w:rsid w:val="009E167D"/>
    <w:rsid w:val="009E1787"/>
    <w:rsid w:val="009E178E"/>
    <w:rsid w:val="009E178F"/>
    <w:rsid w:val="009E17C3"/>
    <w:rsid w:val="009E17D0"/>
    <w:rsid w:val="009E17FE"/>
    <w:rsid w:val="009E18A0"/>
    <w:rsid w:val="009E1954"/>
    <w:rsid w:val="009E19A9"/>
    <w:rsid w:val="009E19B4"/>
    <w:rsid w:val="009E1A3D"/>
    <w:rsid w:val="009E1A67"/>
    <w:rsid w:val="009E1A69"/>
    <w:rsid w:val="009E1A86"/>
    <w:rsid w:val="009E1ADE"/>
    <w:rsid w:val="009E1B12"/>
    <w:rsid w:val="009E1B7C"/>
    <w:rsid w:val="009E1C1F"/>
    <w:rsid w:val="009E1C80"/>
    <w:rsid w:val="009E1D0E"/>
    <w:rsid w:val="009E1D19"/>
    <w:rsid w:val="009E1DAE"/>
    <w:rsid w:val="009E1E18"/>
    <w:rsid w:val="009E1E90"/>
    <w:rsid w:val="009E1F00"/>
    <w:rsid w:val="009E1F1D"/>
    <w:rsid w:val="009E1FC5"/>
    <w:rsid w:val="009E1FD4"/>
    <w:rsid w:val="009E1FDE"/>
    <w:rsid w:val="009E2012"/>
    <w:rsid w:val="009E2023"/>
    <w:rsid w:val="009E2076"/>
    <w:rsid w:val="009E209A"/>
    <w:rsid w:val="009E215E"/>
    <w:rsid w:val="009E236B"/>
    <w:rsid w:val="009E24C1"/>
    <w:rsid w:val="009E252C"/>
    <w:rsid w:val="009E2602"/>
    <w:rsid w:val="009E2642"/>
    <w:rsid w:val="009E274D"/>
    <w:rsid w:val="009E2750"/>
    <w:rsid w:val="009E27CA"/>
    <w:rsid w:val="009E27ED"/>
    <w:rsid w:val="009E281A"/>
    <w:rsid w:val="009E283A"/>
    <w:rsid w:val="009E2895"/>
    <w:rsid w:val="009E29A8"/>
    <w:rsid w:val="009E29AB"/>
    <w:rsid w:val="009E2AB3"/>
    <w:rsid w:val="009E2D6C"/>
    <w:rsid w:val="009E2E44"/>
    <w:rsid w:val="009E2E4F"/>
    <w:rsid w:val="009E2E5D"/>
    <w:rsid w:val="009E2EF8"/>
    <w:rsid w:val="009E2F41"/>
    <w:rsid w:val="009E2F81"/>
    <w:rsid w:val="009E3011"/>
    <w:rsid w:val="009E3017"/>
    <w:rsid w:val="009E3022"/>
    <w:rsid w:val="009E3038"/>
    <w:rsid w:val="009E3048"/>
    <w:rsid w:val="009E30CA"/>
    <w:rsid w:val="009E30CE"/>
    <w:rsid w:val="009E30CF"/>
    <w:rsid w:val="009E3138"/>
    <w:rsid w:val="009E31EE"/>
    <w:rsid w:val="009E3219"/>
    <w:rsid w:val="009E3279"/>
    <w:rsid w:val="009E333C"/>
    <w:rsid w:val="009E33D9"/>
    <w:rsid w:val="009E342E"/>
    <w:rsid w:val="009E34CB"/>
    <w:rsid w:val="009E34CE"/>
    <w:rsid w:val="009E34ED"/>
    <w:rsid w:val="009E3500"/>
    <w:rsid w:val="009E3515"/>
    <w:rsid w:val="009E3570"/>
    <w:rsid w:val="009E35A6"/>
    <w:rsid w:val="009E35AA"/>
    <w:rsid w:val="009E366B"/>
    <w:rsid w:val="009E3673"/>
    <w:rsid w:val="009E36B6"/>
    <w:rsid w:val="009E3720"/>
    <w:rsid w:val="009E37A1"/>
    <w:rsid w:val="009E37DC"/>
    <w:rsid w:val="009E394C"/>
    <w:rsid w:val="009E398F"/>
    <w:rsid w:val="009E3A07"/>
    <w:rsid w:val="009E3AA0"/>
    <w:rsid w:val="009E3AC6"/>
    <w:rsid w:val="009E3B49"/>
    <w:rsid w:val="009E3B59"/>
    <w:rsid w:val="009E3B8A"/>
    <w:rsid w:val="009E3C19"/>
    <w:rsid w:val="009E3CAD"/>
    <w:rsid w:val="009E3DC3"/>
    <w:rsid w:val="009E3E47"/>
    <w:rsid w:val="009E3E5A"/>
    <w:rsid w:val="009E3ECB"/>
    <w:rsid w:val="009E3F84"/>
    <w:rsid w:val="009E3FAA"/>
    <w:rsid w:val="009E4088"/>
    <w:rsid w:val="009E40B3"/>
    <w:rsid w:val="009E40B8"/>
    <w:rsid w:val="009E40D0"/>
    <w:rsid w:val="009E4186"/>
    <w:rsid w:val="009E4191"/>
    <w:rsid w:val="009E41F7"/>
    <w:rsid w:val="009E4212"/>
    <w:rsid w:val="009E4258"/>
    <w:rsid w:val="009E4305"/>
    <w:rsid w:val="009E4321"/>
    <w:rsid w:val="009E4349"/>
    <w:rsid w:val="009E43F9"/>
    <w:rsid w:val="009E4504"/>
    <w:rsid w:val="009E45E3"/>
    <w:rsid w:val="009E45FF"/>
    <w:rsid w:val="009E465D"/>
    <w:rsid w:val="009E4719"/>
    <w:rsid w:val="009E479D"/>
    <w:rsid w:val="009E479E"/>
    <w:rsid w:val="009E4816"/>
    <w:rsid w:val="009E485E"/>
    <w:rsid w:val="009E48BC"/>
    <w:rsid w:val="009E4922"/>
    <w:rsid w:val="009E492E"/>
    <w:rsid w:val="009E4934"/>
    <w:rsid w:val="009E49A8"/>
    <w:rsid w:val="009E4A82"/>
    <w:rsid w:val="009E4B15"/>
    <w:rsid w:val="009E4B8B"/>
    <w:rsid w:val="009E4BEA"/>
    <w:rsid w:val="009E4C1E"/>
    <w:rsid w:val="009E4C49"/>
    <w:rsid w:val="009E4D7B"/>
    <w:rsid w:val="009E4DD1"/>
    <w:rsid w:val="009E4DED"/>
    <w:rsid w:val="009E4EDC"/>
    <w:rsid w:val="009E502C"/>
    <w:rsid w:val="009E50BC"/>
    <w:rsid w:val="009E5184"/>
    <w:rsid w:val="009E51D2"/>
    <w:rsid w:val="009E5288"/>
    <w:rsid w:val="009E52BF"/>
    <w:rsid w:val="009E534C"/>
    <w:rsid w:val="009E538D"/>
    <w:rsid w:val="009E53EA"/>
    <w:rsid w:val="009E545B"/>
    <w:rsid w:val="009E54E9"/>
    <w:rsid w:val="009E54F8"/>
    <w:rsid w:val="009E5522"/>
    <w:rsid w:val="009E553C"/>
    <w:rsid w:val="009E5596"/>
    <w:rsid w:val="009E55B5"/>
    <w:rsid w:val="009E55BD"/>
    <w:rsid w:val="009E55F5"/>
    <w:rsid w:val="009E5644"/>
    <w:rsid w:val="009E565D"/>
    <w:rsid w:val="009E568C"/>
    <w:rsid w:val="009E56A6"/>
    <w:rsid w:val="009E577F"/>
    <w:rsid w:val="009E581A"/>
    <w:rsid w:val="009E586B"/>
    <w:rsid w:val="009E59D2"/>
    <w:rsid w:val="009E5A01"/>
    <w:rsid w:val="009E5A13"/>
    <w:rsid w:val="009E5A19"/>
    <w:rsid w:val="009E5BCB"/>
    <w:rsid w:val="009E5C81"/>
    <w:rsid w:val="009E5D56"/>
    <w:rsid w:val="009E5D73"/>
    <w:rsid w:val="009E5DDB"/>
    <w:rsid w:val="009E5EA5"/>
    <w:rsid w:val="009E5EE7"/>
    <w:rsid w:val="009E5F39"/>
    <w:rsid w:val="009E5F43"/>
    <w:rsid w:val="009E6000"/>
    <w:rsid w:val="009E602E"/>
    <w:rsid w:val="009E6050"/>
    <w:rsid w:val="009E6069"/>
    <w:rsid w:val="009E6087"/>
    <w:rsid w:val="009E60F2"/>
    <w:rsid w:val="009E61AC"/>
    <w:rsid w:val="009E6218"/>
    <w:rsid w:val="009E63FA"/>
    <w:rsid w:val="009E6478"/>
    <w:rsid w:val="009E65EB"/>
    <w:rsid w:val="009E66D1"/>
    <w:rsid w:val="009E66FA"/>
    <w:rsid w:val="009E6789"/>
    <w:rsid w:val="009E67F4"/>
    <w:rsid w:val="009E6856"/>
    <w:rsid w:val="009E685C"/>
    <w:rsid w:val="009E68DC"/>
    <w:rsid w:val="009E6915"/>
    <w:rsid w:val="009E6949"/>
    <w:rsid w:val="009E69ED"/>
    <w:rsid w:val="009E6A0D"/>
    <w:rsid w:val="009E6B0C"/>
    <w:rsid w:val="009E6BC1"/>
    <w:rsid w:val="009E6C0C"/>
    <w:rsid w:val="009E6C16"/>
    <w:rsid w:val="009E6CB5"/>
    <w:rsid w:val="009E6D82"/>
    <w:rsid w:val="009E6E2B"/>
    <w:rsid w:val="009E6E41"/>
    <w:rsid w:val="009E6E55"/>
    <w:rsid w:val="009E6E9B"/>
    <w:rsid w:val="009E6F83"/>
    <w:rsid w:val="009E7105"/>
    <w:rsid w:val="009E715A"/>
    <w:rsid w:val="009E7238"/>
    <w:rsid w:val="009E738B"/>
    <w:rsid w:val="009E73D6"/>
    <w:rsid w:val="009E7406"/>
    <w:rsid w:val="009E7581"/>
    <w:rsid w:val="009E7679"/>
    <w:rsid w:val="009E76C7"/>
    <w:rsid w:val="009E76C8"/>
    <w:rsid w:val="009E772E"/>
    <w:rsid w:val="009E7846"/>
    <w:rsid w:val="009E78EC"/>
    <w:rsid w:val="009E798E"/>
    <w:rsid w:val="009E79B5"/>
    <w:rsid w:val="009E79B6"/>
    <w:rsid w:val="009E79FC"/>
    <w:rsid w:val="009E7A22"/>
    <w:rsid w:val="009E7A3C"/>
    <w:rsid w:val="009E7AF8"/>
    <w:rsid w:val="009E7B8D"/>
    <w:rsid w:val="009E7C92"/>
    <w:rsid w:val="009E7CF9"/>
    <w:rsid w:val="009E7D92"/>
    <w:rsid w:val="009E7DD3"/>
    <w:rsid w:val="009E7DFA"/>
    <w:rsid w:val="009E7E64"/>
    <w:rsid w:val="009E7E7A"/>
    <w:rsid w:val="009E7F93"/>
    <w:rsid w:val="009F00FD"/>
    <w:rsid w:val="009F0146"/>
    <w:rsid w:val="009F014D"/>
    <w:rsid w:val="009F01B6"/>
    <w:rsid w:val="009F023A"/>
    <w:rsid w:val="009F032E"/>
    <w:rsid w:val="009F032F"/>
    <w:rsid w:val="009F0381"/>
    <w:rsid w:val="009F038C"/>
    <w:rsid w:val="009F03B4"/>
    <w:rsid w:val="009F03ED"/>
    <w:rsid w:val="009F052C"/>
    <w:rsid w:val="009F052E"/>
    <w:rsid w:val="009F054A"/>
    <w:rsid w:val="009F059C"/>
    <w:rsid w:val="009F05A8"/>
    <w:rsid w:val="009F05AD"/>
    <w:rsid w:val="009F05DD"/>
    <w:rsid w:val="009F05E3"/>
    <w:rsid w:val="009F064B"/>
    <w:rsid w:val="009F06BD"/>
    <w:rsid w:val="009F0831"/>
    <w:rsid w:val="009F08A3"/>
    <w:rsid w:val="009F08E3"/>
    <w:rsid w:val="009F0926"/>
    <w:rsid w:val="009F0945"/>
    <w:rsid w:val="009F0A20"/>
    <w:rsid w:val="009F0AA2"/>
    <w:rsid w:val="009F0ACE"/>
    <w:rsid w:val="009F0B86"/>
    <w:rsid w:val="009F0B8B"/>
    <w:rsid w:val="009F0C47"/>
    <w:rsid w:val="009F0C50"/>
    <w:rsid w:val="009F0D33"/>
    <w:rsid w:val="009F0D65"/>
    <w:rsid w:val="009F0D9A"/>
    <w:rsid w:val="009F0E02"/>
    <w:rsid w:val="009F0EA7"/>
    <w:rsid w:val="009F0EFC"/>
    <w:rsid w:val="009F0F9E"/>
    <w:rsid w:val="009F0FDD"/>
    <w:rsid w:val="009F1012"/>
    <w:rsid w:val="009F1134"/>
    <w:rsid w:val="009F119C"/>
    <w:rsid w:val="009F12D5"/>
    <w:rsid w:val="009F12EA"/>
    <w:rsid w:val="009F144C"/>
    <w:rsid w:val="009F146C"/>
    <w:rsid w:val="009F148A"/>
    <w:rsid w:val="009F14B8"/>
    <w:rsid w:val="009F14CA"/>
    <w:rsid w:val="009F1552"/>
    <w:rsid w:val="009F165B"/>
    <w:rsid w:val="009F1663"/>
    <w:rsid w:val="009F1669"/>
    <w:rsid w:val="009F16A6"/>
    <w:rsid w:val="009F17DA"/>
    <w:rsid w:val="009F1848"/>
    <w:rsid w:val="009F18BC"/>
    <w:rsid w:val="009F19C7"/>
    <w:rsid w:val="009F1A65"/>
    <w:rsid w:val="009F1A9D"/>
    <w:rsid w:val="009F1B96"/>
    <w:rsid w:val="009F1BE9"/>
    <w:rsid w:val="009F1C02"/>
    <w:rsid w:val="009F1C18"/>
    <w:rsid w:val="009F1CFD"/>
    <w:rsid w:val="009F1D24"/>
    <w:rsid w:val="009F1D92"/>
    <w:rsid w:val="009F1DA9"/>
    <w:rsid w:val="009F1E6D"/>
    <w:rsid w:val="009F1F40"/>
    <w:rsid w:val="009F1FA7"/>
    <w:rsid w:val="009F207D"/>
    <w:rsid w:val="009F208D"/>
    <w:rsid w:val="009F215B"/>
    <w:rsid w:val="009F21CE"/>
    <w:rsid w:val="009F2211"/>
    <w:rsid w:val="009F2223"/>
    <w:rsid w:val="009F235D"/>
    <w:rsid w:val="009F24C9"/>
    <w:rsid w:val="009F2544"/>
    <w:rsid w:val="009F2546"/>
    <w:rsid w:val="009F255D"/>
    <w:rsid w:val="009F2577"/>
    <w:rsid w:val="009F258E"/>
    <w:rsid w:val="009F25A1"/>
    <w:rsid w:val="009F2644"/>
    <w:rsid w:val="009F267A"/>
    <w:rsid w:val="009F27A3"/>
    <w:rsid w:val="009F27CA"/>
    <w:rsid w:val="009F2827"/>
    <w:rsid w:val="009F282E"/>
    <w:rsid w:val="009F2943"/>
    <w:rsid w:val="009F2AA3"/>
    <w:rsid w:val="009F2B36"/>
    <w:rsid w:val="009F2BEB"/>
    <w:rsid w:val="009F2C93"/>
    <w:rsid w:val="009F2D89"/>
    <w:rsid w:val="009F2E43"/>
    <w:rsid w:val="009F2E4E"/>
    <w:rsid w:val="009F2F28"/>
    <w:rsid w:val="009F2FD7"/>
    <w:rsid w:val="009F3003"/>
    <w:rsid w:val="009F306D"/>
    <w:rsid w:val="009F30C2"/>
    <w:rsid w:val="009F324D"/>
    <w:rsid w:val="009F3304"/>
    <w:rsid w:val="009F3305"/>
    <w:rsid w:val="009F33B2"/>
    <w:rsid w:val="009F33D6"/>
    <w:rsid w:val="009F3428"/>
    <w:rsid w:val="009F354A"/>
    <w:rsid w:val="009F355F"/>
    <w:rsid w:val="009F361B"/>
    <w:rsid w:val="009F37C7"/>
    <w:rsid w:val="009F384C"/>
    <w:rsid w:val="009F3958"/>
    <w:rsid w:val="009F3976"/>
    <w:rsid w:val="009F3A16"/>
    <w:rsid w:val="009F3A75"/>
    <w:rsid w:val="009F3A90"/>
    <w:rsid w:val="009F3AB4"/>
    <w:rsid w:val="009F3B38"/>
    <w:rsid w:val="009F3BD1"/>
    <w:rsid w:val="009F3CBA"/>
    <w:rsid w:val="009F3D50"/>
    <w:rsid w:val="009F3E12"/>
    <w:rsid w:val="009F3E63"/>
    <w:rsid w:val="009F3EBC"/>
    <w:rsid w:val="009F3ED0"/>
    <w:rsid w:val="009F3EEF"/>
    <w:rsid w:val="009F3F2A"/>
    <w:rsid w:val="009F403C"/>
    <w:rsid w:val="009F4078"/>
    <w:rsid w:val="009F4130"/>
    <w:rsid w:val="009F415C"/>
    <w:rsid w:val="009F41A4"/>
    <w:rsid w:val="009F41E5"/>
    <w:rsid w:val="009F41F1"/>
    <w:rsid w:val="009F4257"/>
    <w:rsid w:val="009F4275"/>
    <w:rsid w:val="009F4323"/>
    <w:rsid w:val="009F45AF"/>
    <w:rsid w:val="009F4722"/>
    <w:rsid w:val="009F4794"/>
    <w:rsid w:val="009F47E9"/>
    <w:rsid w:val="009F47EE"/>
    <w:rsid w:val="009F48AB"/>
    <w:rsid w:val="009F4ACD"/>
    <w:rsid w:val="009F4AE7"/>
    <w:rsid w:val="009F4B18"/>
    <w:rsid w:val="009F4B30"/>
    <w:rsid w:val="009F4B4D"/>
    <w:rsid w:val="009F4BCA"/>
    <w:rsid w:val="009F4CA7"/>
    <w:rsid w:val="009F4D7F"/>
    <w:rsid w:val="009F4EAA"/>
    <w:rsid w:val="009F4F43"/>
    <w:rsid w:val="009F4F8E"/>
    <w:rsid w:val="009F4F98"/>
    <w:rsid w:val="009F4FFE"/>
    <w:rsid w:val="009F503C"/>
    <w:rsid w:val="009F5050"/>
    <w:rsid w:val="009F5092"/>
    <w:rsid w:val="009F50AF"/>
    <w:rsid w:val="009F50F9"/>
    <w:rsid w:val="009F515E"/>
    <w:rsid w:val="009F51BF"/>
    <w:rsid w:val="009F5232"/>
    <w:rsid w:val="009F525E"/>
    <w:rsid w:val="009F529C"/>
    <w:rsid w:val="009F52A4"/>
    <w:rsid w:val="009F534B"/>
    <w:rsid w:val="009F5387"/>
    <w:rsid w:val="009F53F5"/>
    <w:rsid w:val="009F543B"/>
    <w:rsid w:val="009F54D1"/>
    <w:rsid w:val="009F54F7"/>
    <w:rsid w:val="009F55EC"/>
    <w:rsid w:val="009F5679"/>
    <w:rsid w:val="009F5839"/>
    <w:rsid w:val="009F5876"/>
    <w:rsid w:val="009F58E6"/>
    <w:rsid w:val="009F5953"/>
    <w:rsid w:val="009F599A"/>
    <w:rsid w:val="009F5A8F"/>
    <w:rsid w:val="009F5BEB"/>
    <w:rsid w:val="009F5CEF"/>
    <w:rsid w:val="009F5D4E"/>
    <w:rsid w:val="009F5D6D"/>
    <w:rsid w:val="009F5DFF"/>
    <w:rsid w:val="009F5E05"/>
    <w:rsid w:val="009F5E36"/>
    <w:rsid w:val="009F5E39"/>
    <w:rsid w:val="009F5EA6"/>
    <w:rsid w:val="009F5EA9"/>
    <w:rsid w:val="009F5EC4"/>
    <w:rsid w:val="009F5ED3"/>
    <w:rsid w:val="009F5EEA"/>
    <w:rsid w:val="009F5EEB"/>
    <w:rsid w:val="009F602B"/>
    <w:rsid w:val="009F60E8"/>
    <w:rsid w:val="009F61BA"/>
    <w:rsid w:val="009F61F3"/>
    <w:rsid w:val="009F62A2"/>
    <w:rsid w:val="009F62F6"/>
    <w:rsid w:val="009F63EE"/>
    <w:rsid w:val="009F6559"/>
    <w:rsid w:val="009F6579"/>
    <w:rsid w:val="009F65AE"/>
    <w:rsid w:val="009F65D8"/>
    <w:rsid w:val="009F6752"/>
    <w:rsid w:val="009F678E"/>
    <w:rsid w:val="009F67B2"/>
    <w:rsid w:val="009F681D"/>
    <w:rsid w:val="009F6841"/>
    <w:rsid w:val="009F6889"/>
    <w:rsid w:val="009F68C2"/>
    <w:rsid w:val="009F6917"/>
    <w:rsid w:val="009F6982"/>
    <w:rsid w:val="009F6A41"/>
    <w:rsid w:val="009F6A5C"/>
    <w:rsid w:val="009F6AAF"/>
    <w:rsid w:val="009F6B11"/>
    <w:rsid w:val="009F6C95"/>
    <w:rsid w:val="009F6CB2"/>
    <w:rsid w:val="009F6DE1"/>
    <w:rsid w:val="009F6E1B"/>
    <w:rsid w:val="009F6EC4"/>
    <w:rsid w:val="009F6F1D"/>
    <w:rsid w:val="009F6F2F"/>
    <w:rsid w:val="009F6FAB"/>
    <w:rsid w:val="009F7061"/>
    <w:rsid w:val="009F707A"/>
    <w:rsid w:val="009F71A9"/>
    <w:rsid w:val="009F724E"/>
    <w:rsid w:val="009F7250"/>
    <w:rsid w:val="009F7268"/>
    <w:rsid w:val="009F72A2"/>
    <w:rsid w:val="009F72C3"/>
    <w:rsid w:val="009F7312"/>
    <w:rsid w:val="009F73B0"/>
    <w:rsid w:val="009F748E"/>
    <w:rsid w:val="009F7563"/>
    <w:rsid w:val="009F7635"/>
    <w:rsid w:val="009F76BC"/>
    <w:rsid w:val="009F774F"/>
    <w:rsid w:val="009F776D"/>
    <w:rsid w:val="009F7784"/>
    <w:rsid w:val="009F78A3"/>
    <w:rsid w:val="009F79BD"/>
    <w:rsid w:val="009F79EE"/>
    <w:rsid w:val="009F7AAB"/>
    <w:rsid w:val="009F7B36"/>
    <w:rsid w:val="009F7C7E"/>
    <w:rsid w:val="009F7D0D"/>
    <w:rsid w:val="009F7D15"/>
    <w:rsid w:val="009F7DBE"/>
    <w:rsid w:val="009F7EA0"/>
    <w:rsid w:val="009F7F4E"/>
    <w:rsid w:val="009F7F78"/>
    <w:rsid w:val="009F7F7C"/>
    <w:rsid w:val="009F7FB4"/>
    <w:rsid w:val="00A0012E"/>
    <w:rsid w:val="00A001BD"/>
    <w:rsid w:val="00A00270"/>
    <w:rsid w:val="00A00304"/>
    <w:rsid w:val="00A00306"/>
    <w:rsid w:val="00A00399"/>
    <w:rsid w:val="00A004CF"/>
    <w:rsid w:val="00A004E2"/>
    <w:rsid w:val="00A0052C"/>
    <w:rsid w:val="00A00549"/>
    <w:rsid w:val="00A005A0"/>
    <w:rsid w:val="00A005D3"/>
    <w:rsid w:val="00A00602"/>
    <w:rsid w:val="00A00641"/>
    <w:rsid w:val="00A006C6"/>
    <w:rsid w:val="00A00700"/>
    <w:rsid w:val="00A00709"/>
    <w:rsid w:val="00A00754"/>
    <w:rsid w:val="00A0078B"/>
    <w:rsid w:val="00A007F5"/>
    <w:rsid w:val="00A00A2A"/>
    <w:rsid w:val="00A00A9F"/>
    <w:rsid w:val="00A00C41"/>
    <w:rsid w:val="00A00CB4"/>
    <w:rsid w:val="00A00CDF"/>
    <w:rsid w:val="00A00D1C"/>
    <w:rsid w:val="00A00D21"/>
    <w:rsid w:val="00A00E84"/>
    <w:rsid w:val="00A00EA9"/>
    <w:rsid w:val="00A00F3E"/>
    <w:rsid w:val="00A00FF0"/>
    <w:rsid w:val="00A01008"/>
    <w:rsid w:val="00A0107A"/>
    <w:rsid w:val="00A01084"/>
    <w:rsid w:val="00A010A8"/>
    <w:rsid w:val="00A010A9"/>
    <w:rsid w:val="00A010B5"/>
    <w:rsid w:val="00A01117"/>
    <w:rsid w:val="00A012FD"/>
    <w:rsid w:val="00A013B7"/>
    <w:rsid w:val="00A013E5"/>
    <w:rsid w:val="00A0140F"/>
    <w:rsid w:val="00A0159E"/>
    <w:rsid w:val="00A015A9"/>
    <w:rsid w:val="00A015FE"/>
    <w:rsid w:val="00A0161E"/>
    <w:rsid w:val="00A01640"/>
    <w:rsid w:val="00A01681"/>
    <w:rsid w:val="00A01703"/>
    <w:rsid w:val="00A01704"/>
    <w:rsid w:val="00A01709"/>
    <w:rsid w:val="00A017FC"/>
    <w:rsid w:val="00A01866"/>
    <w:rsid w:val="00A01883"/>
    <w:rsid w:val="00A018BD"/>
    <w:rsid w:val="00A018C3"/>
    <w:rsid w:val="00A018D2"/>
    <w:rsid w:val="00A018E0"/>
    <w:rsid w:val="00A01A85"/>
    <w:rsid w:val="00A01AB1"/>
    <w:rsid w:val="00A01BE2"/>
    <w:rsid w:val="00A01BED"/>
    <w:rsid w:val="00A01C46"/>
    <w:rsid w:val="00A01C4B"/>
    <w:rsid w:val="00A01C72"/>
    <w:rsid w:val="00A01D25"/>
    <w:rsid w:val="00A01D7E"/>
    <w:rsid w:val="00A01DCB"/>
    <w:rsid w:val="00A01EEA"/>
    <w:rsid w:val="00A01EF5"/>
    <w:rsid w:val="00A01F3A"/>
    <w:rsid w:val="00A02025"/>
    <w:rsid w:val="00A02109"/>
    <w:rsid w:val="00A0212C"/>
    <w:rsid w:val="00A021C3"/>
    <w:rsid w:val="00A021E2"/>
    <w:rsid w:val="00A02277"/>
    <w:rsid w:val="00A0227C"/>
    <w:rsid w:val="00A02292"/>
    <w:rsid w:val="00A0229D"/>
    <w:rsid w:val="00A022C1"/>
    <w:rsid w:val="00A022EC"/>
    <w:rsid w:val="00A02386"/>
    <w:rsid w:val="00A02522"/>
    <w:rsid w:val="00A02538"/>
    <w:rsid w:val="00A02584"/>
    <w:rsid w:val="00A0261C"/>
    <w:rsid w:val="00A02632"/>
    <w:rsid w:val="00A026CC"/>
    <w:rsid w:val="00A026D5"/>
    <w:rsid w:val="00A02710"/>
    <w:rsid w:val="00A027F6"/>
    <w:rsid w:val="00A0283E"/>
    <w:rsid w:val="00A02889"/>
    <w:rsid w:val="00A028D8"/>
    <w:rsid w:val="00A0293A"/>
    <w:rsid w:val="00A02950"/>
    <w:rsid w:val="00A029FC"/>
    <w:rsid w:val="00A02A14"/>
    <w:rsid w:val="00A02B2A"/>
    <w:rsid w:val="00A02B4D"/>
    <w:rsid w:val="00A02B8F"/>
    <w:rsid w:val="00A02D33"/>
    <w:rsid w:val="00A02DA1"/>
    <w:rsid w:val="00A02DD3"/>
    <w:rsid w:val="00A02F46"/>
    <w:rsid w:val="00A02F92"/>
    <w:rsid w:val="00A0312F"/>
    <w:rsid w:val="00A03170"/>
    <w:rsid w:val="00A03189"/>
    <w:rsid w:val="00A031BA"/>
    <w:rsid w:val="00A031C0"/>
    <w:rsid w:val="00A031D5"/>
    <w:rsid w:val="00A03231"/>
    <w:rsid w:val="00A03268"/>
    <w:rsid w:val="00A0327B"/>
    <w:rsid w:val="00A0328B"/>
    <w:rsid w:val="00A032E4"/>
    <w:rsid w:val="00A0341A"/>
    <w:rsid w:val="00A03493"/>
    <w:rsid w:val="00A0357F"/>
    <w:rsid w:val="00A0371A"/>
    <w:rsid w:val="00A0385A"/>
    <w:rsid w:val="00A0388F"/>
    <w:rsid w:val="00A03896"/>
    <w:rsid w:val="00A038A9"/>
    <w:rsid w:val="00A038C3"/>
    <w:rsid w:val="00A038CE"/>
    <w:rsid w:val="00A038DE"/>
    <w:rsid w:val="00A03977"/>
    <w:rsid w:val="00A0398E"/>
    <w:rsid w:val="00A039BE"/>
    <w:rsid w:val="00A03A23"/>
    <w:rsid w:val="00A03A85"/>
    <w:rsid w:val="00A03B00"/>
    <w:rsid w:val="00A03B3E"/>
    <w:rsid w:val="00A03B54"/>
    <w:rsid w:val="00A03B90"/>
    <w:rsid w:val="00A03BD9"/>
    <w:rsid w:val="00A03C00"/>
    <w:rsid w:val="00A03C4F"/>
    <w:rsid w:val="00A03CA4"/>
    <w:rsid w:val="00A03CC9"/>
    <w:rsid w:val="00A03CD0"/>
    <w:rsid w:val="00A03CDA"/>
    <w:rsid w:val="00A03D2A"/>
    <w:rsid w:val="00A03DB9"/>
    <w:rsid w:val="00A03E86"/>
    <w:rsid w:val="00A03EB5"/>
    <w:rsid w:val="00A03F33"/>
    <w:rsid w:val="00A03F8B"/>
    <w:rsid w:val="00A03F9C"/>
    <w:rsid w:val="00A03FBC"/>
    <w:rsid w:val="00A03FFE"/>
    <w:rsid w:val="00A040BE"/>
    <w:rsid w:val="00A04255"/>
    <w:rsid w:val="00A042AF"/>
    <w:rsid w:val="00A042E5"/>
    <w:rsid w:val="00A04322"/>
    <w:rsid w:val="00A04366"/>
    <w:rsid w:val="00A0438A"/>
    <w:rsid w:val="00A04433"/>
    <w:rsid w:val="00A04441"/>
    <w:rsid w:val="00A044B9"/>
    <w:rsid w:val="00A044E3"/>
    <w:rsid w:val="00A04678"/>
    <w:rsid w:val="00A046CC"/>
    <w:rsid w:val="00A04775"/>
    <w:rsid w:val="00A04794"/>
    <w:rsid w:val="00A048B5"/>
    <w:rsid w:val="00A048CD"/>
    <w:rsid w:val="00A04967"/>
    <w:rsid w:val="00A04979"/>
    <w:rsid w:val="00A049DC"/>
    <w:rsid w:val="00A04A36"/>
    <w:rsid w:val="00A04A86"/>
    <w:rsid w:val="00A04A9B"/>
    <w:rsid w:val="00A04B27"/>
    <w:rsid w:val="00A04B5C"/>
    <w:rsid w:val="00A04C48"/>
    <w:rsid w:val="00A04CD6"/>
    <w:rsid w:val="00A04D0C"/>
    <w:rsid w:val="00A04D76"/>
    <w:rsid w:val="00A04EE6"/>
    <w:rsid w:val="00A04F06"/>
    <w:rsid w:val="00A04F3C"/>
    <w:rsid w:val="00A05018"/>
    <w:rsid w:val="00A05048"/>
    <w:rsid w:val="00A05086"/>
    <w:rsid w:val="00A05117"/>
    <w:rsid w:val="00A05127"/>
    <w:rsid w:val="00A05144"/>
    <w:rsid w:val="00A05213"/>
    <w:rsid w:val="00A0525E"/>
    <w:rsid w:val="00A052CF"/>
    <w:rsid w:val="00A052DA"/>
    <w:rsid w:val="00A0550D"/>
    <w:rsid w:val="00A055DA"/>
    <w:rsid w:val="00A0563D"/>
    <w:rsid w:val="00A05646"/>
    <w:rsid w:val="00A05696"/>
    <w:rsid w:val="00A0569F"/>
    <w:rsid w:val="00A056D7"/>
    <w:rsid w:val="00A05735"/>
    <w:rsid w:val="00A05821"/>
    <w:rsid w:val="00A058BB"/>
    <w:rsid w:val="00A058EF"/>
    <w:rsid w:val="00A05904"/>
    <w:rsid w:val="00A05B6F"/>
    <w:rsid w:val="00A05B9D"/>
    <w:rsid w:val="00A05BAB"/>
    <w:rsid w:val="00A05BE4"/>
    <w:rsid w:val="00A05C90"/>
    <w:rsid w:val="00A05CA0"/>
    <w:rsid w:val="00A05D26"/>
    <w:rsid w:val="00A05D43"/>
    <w:rsid w:val="00A05D76"/>
    <w:rsid w:val="00A05D97"/>
    <w:rsid w:val="00A05DD6"/>
    <w:rsid w:val="00A05E21"/>
    <w:rsid w:val="00A05E5E"/>
    <w:rsid w:val="00A05FFF"/>
    <w:rsid w:val="00A06035"/>
    <w:rsid w:val="00A060D6"/>
    <w:rsid w:val="00A06127"/>
    <w:rsid w:val="00A06145"/>
    <w:rsid w:val="00A061E5"/>
    <w:rsid w:val="00A06217"/>
    <w:rsid w:val="00A062F9"/>
    <w:rsid w:val="00A063A2"/>
    <w:rsid w:val="00A06406"/>
    <w:rsid w:val="00A0648E"/>
    <w:rsid w:val="00A06542"/>
    <w:rsid w:val="00A0654F"/>
    <w:rsid w:val="00A066B0"/>
    <w:rsid w:val="00A066C4"/>
    <w:rsid w:val="00A06753"/>
    <w:rsid w:val="00A06758"/>
    <w:rsid w:val="00A067CE"/>
    <w:rsid w:val="00A06841"/>
    <w:rsid w:val="00A0686B"/>
    <w:rsid w:val="00A068B0"/>
    <w:rsid w:val="00A06964"/>
    <w:rsid w:val="00A069C5"/>
    <w:rsid w:val="00A069E8"/>
    <w:rsid w:val="00A06AAC"/>
    <w:rsid w:val="00A06B27"/>
    <w:rsid w:val="00A06B84"/>
    <w:rsid w:val="00A06C46"/>
    <w:rsid w:val="00A06D25"/>
    <w:rsid w:val="00A06D35"/>
    <w:rsid w:val="00A06DB7"/>
    <w:rsid w:val="00A06DCA"/>
    <w:rsid w:val="00A06DFD"/>
    <w:rsid w:val="00A06E2E"/>
    <w:rsid w:val="00A06EF4"/>
    <w:rsid w:val="00A06F80"/>
    <w:rsid w:val="00A06FAC"/>
    <w:rsid w:val="00A0703A"/>
    <w:rsid w:val="00A070BF"/>
    <w:rsid w:val="00A070DE"/>
    <w:rsid w:val="00A07211"/>
    <w:rsid w:val="00A07327"/>
    <w:rsid w:val="00A07355"/>
    <w:rsid w:val="00A07372"/>
    <w:rsid w:val="00A0744C"/>
    <w:rsid w:val="00A07548"/>
    <w:rsid w:val="00A075A3"/>
    <w:rsid w:val="00A075CE"/>
    <w:rsid w:val="00A075CF"/>
    <w:rsid w:val="00A075EF"/>
    <w:rsid w:val="00A07696"/>
    <w:rsid w:val="00A0773A"/>
    <w:rsid w:val="00A077A6"/>
    <w:rsid w:val="00A0781A"/>
    <w:rsid w:val="00A0786E"/>
    <w:rsid w:val="00A078FA"/>
    <w:rsid w:val="00A079C0"/>
    <w:rsid w:val="00A079E6"/>
    <w:rsid w:val="00A07A46"/>
    <w:rsid w:val="00A07AC2"/>
    <w:rsid w:val="00A07B14"/>
    <w:rsid w:val="00A07C2D"/>
    <w:rsid w:val="00A07CD3"/>
    <w:rsid w:val="00A07CEE"/>
    <w:rsid w:val="00A07D18"/>
    <w:rsid w:val="00A07EC1"/>
    <w:rsid w:val="00A07EDB"/>
    <w:rsid w:val="00A07F02"/>
    <w:rsid w:val="00A07F21"/>
    <w:rsid w:val="00A07FCF"/>
    <w:rsid w:val="00A10072"/>
    <w:rsid w:val="00A100DA"/>
    <w:rsid w:val="00A100DE"/>
    <w:rsid w:val="00A1011B"/>
    <w:rsid w:val="00A10139"/>
    <w:rsid w:val="00A101DF"/>
    <w:rsid w:val="00A101E9"/>
    <w:rsid w:val="00A10220"/>
    <w:rsid w:val="00A1035F"/>
    <w:rsid w:val="00A1040C"/>
    <w:rsid w:val="00A10474"/>
    <w:rsid w:val="00A104E2"/>
    <w:rsid w:val="00A1052B"/>
    <w:rsid w:val="00A10560"/>
    <w:rsid w:val="00A10669"/>
    <w:rsid w:val="00A1076F"/>
    <w:rsid w:val="00A10775"/>
    <w:rsid w:val="00A107A7"/>
    <w:rsid w:val="00A107FA"/>
    <w:rsid w:val="00A10890"/>
    <w:rsid w:val="00A108FD"/>
    <w:rsid w:val="00A10901"/>
    <w:rsid w:val="00A109A3"/>
    <w:rsid w:val="00A10A66"/>
    <w:rsid w:val="00A10B85"/>
    <w:rsid w:val="00A10B9E"/>
    <w:rsid w:val="00A10DB9"/>
    <w:rsid w:val="00A10FDD"/>
    <w:rsid w:val="00A1105A"/>
    <w:rsid w:val="00A1110F"/>
    <w:rsid w:val="00A11237"/>
    <w:rsid w:val="00A1124F"/>
    <w:rsid w:val="00A11275"/>
    <w:rsid w:val="00A112BD"/>
    <w:rsid w:val="00A1136C"/>
    <w:rsid w:val="00A113D2"/>
    <w:rsid w:val="00A116C8"/>
    <w:rsid w:val="00A1172B"/>
    <w:rsid w:val="00A11735"/>
    <w:rsid w:val="00A1183E"/>
    <w:rsid w:val="00A11851"/>
    <w:rsid w:val="00A119AF"/>
    <w:rsid w:val="00A11A90"/>
    <w:rsid w:val="00A11C10"/>
    <w:rsid w:val="00A11CA7"/>
    <w:rsid w:val="00A11D63"/>
    <w:rsid w:val="00A11E5D"/>
    <w:rsid w:val="00A11E5F"/>
    <w:rsid w:val="00A11EE2"/>
    <w:rsid w:val="00A11F45"/>
    <w:rsid w:val="00A11FBF"/>
    <w:rsid w:val="00A11FE9"/>
    <w:rsid w:val="00A12035"/>
    <w:rsid w:val="00A1206A"/>
    <w:rsid w:val="00A12103"/>
    <w:rsid w:val="00A1211C"/>
    <w:rsid w:val="00A12269"/>
    <w:rsid w:val="00A12275"/>
    <w:rsid w:val="00A12345"/>
    <w:rsid w:val="00A12432"/>
    <w:rsid w:val="00A1247A"/>
    <w:rsid w:val="00A1248A"/>
    <w:rsid w:val="00A1254C"/>
    <w:rsid w:val="00A12651"/>
    <w:rsid w:val="00A1276B"/>
    <w:rsid w:val="00A12795"/>
    <w:rsid w:val="00A127AC"/>
    <w:rsid w:val="00A127D2"/>
    <w:rsid w:val="00A128F9"/>
    <w:rsid w:val="00A1291D"/>
    <w:rsid w:val="00A129A8"/>
    <w:rsid w:val="00A129BF"/>
    <w:rsid w:val="00A12A2F"/>
    <w:rsid w:val="00A12AC8"/>
    <w:rsid w:val="00A12C0B"/>
    <w:rsid w:val="00A12CA8"/>
    <w:rsid w:val="00A12CDE"/>
    <w:rsid w:val="00A12DA3"/>
    <w:rsid w:val="00A12EE7"/>
    <w:rsid w:val="00A12FC7"/>
    <w:rsid w:val="00A130A6"/>
    <w:rsid w:val="00A13122"/>
    <w:rsid w:val="00A1316F"/>
    <w:rsid w:val="00A13174"/>
    <w:rsid w:val="00A1328F"/>
    <w:rsid w:val="00A132FA"/>
    <w:rsid w:val="00A1339C"/>
    <w:rsid w:val="00A133EB"/>
    <w:rsid w:val="00A13438"/>
    <w:rsid w:val="00A134B0"/>
    <w:rsid w:val="00A13591"/>
    <w:rsid w:val="00A135BD"/>
    <w:rsid w:val="00A13615"/>
    <w:rsid w:val="00A13711"/>
    <w:rsid w:val="00A13771"/>
    <w:rsid w:val="00A13854"/>
    <w:rsid w:val="00A138C8"/>
    <w:rsid w:val="00A138DD"/>
    <w:rsid w:val="00A13948"/>
    <w:rsid w:val="00A139A7"/>
    <w:rsid w:val="00A139E8"/>
    <w:rsid w:val="00A13A8E"/>
    <w:rsid w:val="00A13B2C"/>
    <w:rsid w:val="00A13B42"/>
    <w:rsid w:val="00A13C2E"/>
    <w:rsid w:val="00A13C76"/>
    <w:rsid w:val="00A13D1C"/>
    <w:rsid w:val="00A13D39"/>
    <w:rsid w:val="00A13E6D"/>
    <w:rsid w:val="00A13E8D"/>
    <w:rsid w:val="00A13F85"/>
    <w:rsid w:val="00A13F8B"/>
    <w:rsid w:val="00A14098"/>
    <w:rsid w:val="00A14107"/>
    <w:rsid w:val="00A14111"/>
    <w:rsid w:val="00A14131"/>
    <w:rsid w:val="00A141B6"/>
    <w:rsid w:val="00A141E0"/>
    <w:rsid w:val="00A1431E"/>
    <w:rsid w:val="00A1432E"/>
    <w:rsid w:val="00A1434A"/>
    <w:rsid w:val="00A1436C"/>
    <w:rsid w:val="00A143D7"/>
    <w:rsid w:val="00A14421"/>
    <w:rsid w:val="00A1449D"/>
    <w:rsid w:val="00A144E9"/>
    <w:rsid w:val="00A14558"/>
    <w:rsid w:val="00A147E8"/>
    <w:rsid w:val="00A14842"/>
    <w:rsid w:val="00A148CD"/>
    <w:rsid w:val="00A14986"/>
    <w:rsid w:val="00A149D2"/>
    <w:rsid w:val="00A149E6"/>
    <w:rsid w:val="00A14A44"/>
    <w:rsid w:val="00A14A4D"/>
    <w:rsid w:val="00A14AA1"/>
    <w:rsid w:val="00A14ACF"/>
    <w:rsid w:val="00A14B07"/>
    <w:rsid w:val="00A14B7E"/>
    <w:rsid w:val="00A14C1E"/>
    <w:rsid w:val="00A14C27"/>
    <w:rsid w:val="00A14D57"/>
    <w:rsid w:val="00A14D7B"/>
    <w:rsid w:val="00A14E9D"/>
    <w:rsid w:val="00A14EB7"/>
    <w:rsid w:val="00A14F10"/>
    <w:rsid w:val="00A14FFB"/>
    <w:rsid w:val="00A15031"/>
    <w:rsid w:val="00A1504E"/>
    <w:rsid w:val="00A150A1"/>
    <w:rsid w:val="00A150BE"/>
    <w:rsid w:val="00A1518A"/>
    <w:rsid w:val="00A151FE"/>
    <w:rsid w:val="00A15318"/>
    <w:rsid w:val="00A153EF"/>
    <w:rsid w:val="00A1541E"/>
    <w:rsid w:val="00A15428"/>
    <w:rsid w:val="00A154FB"/>
    <w:rsid w:val="00A15567"/>
    <w:rsid w:val="00A15572"/>
    <w:rsid w:val="00A155C4"/>
    <w:rsid w:val="00A15622"/>
    <w:rsid w:val="00A15652"/>
    <w:rsid w:val="00A1571F"/>
    <w:rsid w:val="00A1590A"/>
    <w:rsid w:val="00A15984"/>
    <w:rsid w:val="00A159FB"/>
    <w:rsid w:val="00A15A12"/>
    <w:rsid w:val="00A15A84"/>
    <w:rsid w:val="00A15AA3"/>
    <w:rsid w:val="00A15AAC"/>
    <w:rsid w:val="00A15B71"/>
    <w:rsid w:val="00A15B96"/>
    <w:rsid w:val="00A15BC0"/>
    <w:rsid w:val="00A15C1C"/>
    <w:rsid w:val="00A15CC5"/>
    <w:rsid w:val="00A15CDE"/>
    <w:rsid w:val="00A15D9D"/>
    <w:rsid w:val="00A15DD3"/>
    <w:rsid w:val="00A15DE0"/>
    <w:rsid w:val="00A15ECF"/>
    <w:rsid w:val="00A15F27"/>
    <w:rsid w:val="00A1605B"/>
    <w:rsid w:val="00A16154"/>
    <w:rsid w:val="00A16163"/>
    <w:rsid w:val="00A1617E"/>
    <w:rsid w:val="00A161C6"/>
    <w:rsid w:val="00A161EC"/>
    <w:rsid w:val="00A161F5"/>
    <w:rsid w:val="00A16361"/>
    <w:rsid w:val="00A163E5"/>
    <w:rsid w:val="00A163E9"/>
    <w:rsid w:val="00A16412"/>
    <w:rsid w:val="00A16534"/>
    <w:rsid w:val="00A1653C"/>
    <w:rsid w:val="00A165D4"/>
    <w:rsid w:val="00A1661E"/>
    <w:rsid w:val="00A16695"/>
    <w:rsid w:val="00A167C7"/>
    <w:rsid w:val="00A167FD"/>
    <w:rsid w:val="00A168FC"/>
    <w:rsid w:val="00A1690A"/>
    <w:rsid w:val="00A1694C"/>
    <w:rsid w:val="00A169CA"/>
    <w:rsid w:val="00A169EC"/>
    <w:rsid w:val="00A16AFB"/>
    <w:rsid w:val="00A16B67"/>
    <w:rsid w:val="00A16B76"/>
    <w:rsid w:val="00A16BB9"/>
    <w:rsid w:val="00A16C5D"/>
    <w:rsid w:val="00A16C90"/>
    <w:rsid w:val="00A16DB7"/>
    <w:rsid w:val="00A16E54"/>
    <w:rsid w:val="00A16E82"/>
    <w:rsid w:val="00A16F0F"/>
    <w:rsid w:val="00A16F17"/>
    <w:rsid w:val="00A16F8A"/>
    <w:rsid w:val="00A1702E"/>
    <w:rsid w:val="00A1717B"/>
    <w:rsid w:val="00A17436"/>
    <w:rsid w:val="00A174C2"/>
    <w:rsid w:val="00A17528"/>
    <w:rsid w:val="00A17532"/>
    <w:rsid w:val="00A17548"/>
    <w:rsid w:val="00A17567"/>
    <w:rsid w:val="00A1757E"/>
    <w:rsid w:val="00A175EF"/>
    <w:rsid w:val="00A17602"/>
    <w:rsid w:val="00A17639"/>
    <w:rsid w:val="00A1774F"/>
    <w:rsid w:val="00A178D0"/>
    <w:rsid w:val="00A178EE"/>
    <w:rsid w:val="00A17900"/>
    <w:rsid w:val="00A1793A"/>
    <w:rsid w:val="00A179B8"/>
    <w:rsid w:val="00A17A0D"/>
    <w:rsid w:val="00A17A4F"/>
    <w:rsid w:val="00A17A58"/>
    <w:rsid w:val="00A17A9B"/>
    <w:rsid w:val="00A17AB0"/>
    <w:rsid w:val="00A17B00"/>
    <w:rsid w:val="00A17B22"/>
    <w:rsid w:val="00A17CFA"/>
    <w:rsid w:val="00A17D5B"/>
    <w:rsid w:val="00A17D8B"/>
    <w:rsid w:val="00A17D8C"/>
    <w:rsid w:val="00A17DD8"/>
    <w:rsid w:val="00A17DD9"/>
    <w:rsid w:val="00A17F3F"/>
    <w:rsid w:val="00A17FC1"/>
    <w:rsid w:val="00A17FDA"/>
    <w:rsid w:val="00A20147"/>
    <w:rsid w:val="00A20156"/>
    <w:rsid w:val="00A20199"/>
    <w:rsid w:val="00A20228"/>
    <w:rsid w:val="00A2022E"/>
    <w:rsid w:val="00A2038F"/>
    <w:rsid w:val="00A2039A"/>
    <w:rsid w:val="00A203D3"/>
    <w:rsid w:val="00A203EB"/>
    <w:rsid w:val="00A20461"/>
    <w:rsid w:val="00A20476"/>
    <w:rsid w:val="00A20540"/>
    <w:rsid w:val="00A2055C"/>
    <w:rsid w:val="00A206B4"/>
    <w:rsid w:val="00A206D4"/>
    <w:rsid w:val="00A206E9"/>
    <w:rsid w:val="00A20862"/>
    <w:rsid w:val="00A208D7"/>
    <w:rsid w:val="00A2091C"/>
    <w:rsid w:val="00A2098D"/>
    <w:rsid w:val="00A20BBB"/>
    <w:rsid w:val="00A20BED"/>
    <w:rsid w:val="00A20CBC"/>
    <w:rsid w:val="00A20CDA"/>
    <w:rsid w:val="00A20D5F"/>
    <w:rsid w:val="00A20EBD"/>
    <w:rsid w:val="00A20EF7"/>
    <w:rsid w:val="00A20EFE"/>
    <w:rsid w:val="00A20F05"/>
    <w:rsid w:val="00A20F08"/>
    <w:rsid w:val="00A20F20"/>
    <w:rsid w:val="00A20F27"/>
    <w:rsid w:val="00A20F8F"/>
    <w:rsid w:val="00A20FDE"/>
    <w:rsid w:val="00A21095"/>
    <w:rsid w:val="00A2116E"/>
    <w:rsid w:val="00A211EA"/>
    <w:rsid w:val="00A21327"/>
    <w:rsid w:val="00A213E1"/>
    <w:rsid w:val="00A214C9"/>
    <w:rsid w:val="00A214F2"/>
    <w:rsid w:val="00A215DB"/>
    <w:rsid w:val="00A21768"/>
    <w:rsid w:val="00A2180F"/>
    <w:rsid w:val="00A21923"/>
    <w:rsid w:val="00A219AE"/>
    <w:rsid w:val="00A219E4"/>
    <w:rsid w:val="00A21ABE"/>
    <w:rsid w:val="00A21B04"/>
    <w:rsid w:val="00A21B4A"/>
    <w:rsid w:val="00A21B4B"/>
    <w:rsid w:val="00A21BB3"/>
    <w:rsid w:val="00A21C09"/>
    <w:rsid w:val="00A21C79"/>
    <w:rsid w:val="00A21C7D"/>
    <w:rsid w:val="00A21C94"/>
    <w:rsid w:val="00A21C96"/>
    <w:rsid w:val="00A21CA5"/>
    <w:rsid w:val="00A21D75"/>
    <w:rsid w:val="00A21D9A"/>
    <w:rsid w:val="00A22024"/>
    <w:rsid w:val="00A22118"/>
    <w:rsid w:val="00A222F4"/>
    <w:rsid w:val="00A2236D"/>
    <w:rsid w:val="00A223CD"/>
    <w:rsid w:val="00A224E9"/>
    <w:rsid w:val="00A2259A"/>
    <w:rsid w:val="00A225AB"/>
    <w:rsid w:val="00A226A2"/>
    <w:rsid w:val="00A22730"/>
    <w:rsid w:val="00A22745"/>
    <w:rsid w:val="00A228B2"/>
    <w:rsid w:val="00A2293A"/>
    <w:rsid w:val="00A22B3B"/>
    <w:rsid w:val="00A22C2F"/>
    <w:rsid w:val="00A22D97"/>
    <w:rsid w:val="00A22DCD"/>
    <w:rsid w:val="00A22F10"/>
    <w:rsid w:val="00A22F1C"/>
    <w:rsid w:val="00A22F8F"/>
    <w:rsid w:val="00A22FF8"/>
    <w:rsid w:val="00A2305E"/>
    <w:rsid w:val="00A23226"/>
    <w:rsid w:val="00A23576"/>
    <w:rsid w:val="00A23590"/>
    <w:rsid w:val="00A23651"/>
    <w:rsid w:val="00A236AE"/>
    <w:rsid w:val="00A23804"/>
    <w:rsid w:val="00A23927"/>
    <w:rsid w:val="00A23972"/>
    <w:rsid w:val="00A23B7C"/>
    <w:rsid w:val="00A23BD1"/>
    <w:rsid w:val="00A23C35"/>
    <w:rsid w:val="00A23C36"/>
    <w:rsid w:val="00A23C6F"/>
    <w:rsid w:val="00A23E62"/>
    <w:rsid w:val="00A23E92"/>
    <w:rsid w:val="00A23EE8"/>
    <w:rsid w:val="00A23FEC"/>
    <w:rsid w:val="00A2407B"/>
    <w:rsid w:val="00A240EC"/>
    <w:rsid w:val="00A241D4"/>
    <w:rsid w:val="00A2433E"/>
    <w:rsid w:val="00A243BF"/>
    <w:rsid w:val="00A243C3"/>
    <w:rsid w:val="00A24428"/>
    <w:rsid w:val="00A24458"/>
    <w:rsid w:val="00A24464"/>
    <w:rsid w:val="00A244E0"/>
    <w:rsid w:val="00A245E7"/>
    <w:rsid w:val="00A2461E"/>
    <w:rsid w:val="00A248AD"/>
    <w:rsid w:val="00A248DC"/>
    <w:rsid w:val="00A2498D"/>
    <w:rsid w:val="00A2499E"/>
    <w:rsid w:val="00A249BC"/>
    <w:rsid w:val="00A249D7"/>
    <w:rsid w:val="00A24A06"/>
    <w:rsid w:val="00A24A2C"/>
    <w:rsid w:val="00A24A4A"/>
    <w:rsid w:val="00A24AFC"/>
    <w:rsid w:val="00A24B8E"/>
    <w:rsid w:val="00A24C6D"/>
    <w:rsid w:val="00A24CB8"/>
    <w:rsid w:val="00A24D34"/>
    <w:rsid w:val="00A24D45"/>
    <w:rsid w:val="00A24D4F"/>
    <w:rsid w:val="00A24DAF"/>
    <w:rsid w:val="00A24E1D"/>
    <w:rsid w:val="00A24F61"/>
    <w:rsid w:val="00A24FC8"/>
    <w:rsid w:val="00A2501A"/>
    <w:rsid w:val="00A250F1"/>
    <w:rsid w:val="00A25156"/>
    <w:rsid w:val="00A252CD"/>
    <w:rsid w:val="00A252DD"/>
    <w:rsid w:val="00A25358"/>
    <w:rsid w:val="00A25377"/>
    <w:rsid w:val="00A253D3"/>
    <w:rsid w:val="00A25448"/>
    <w:rsid w:val="00A25456"/>
    <w:rsid w:val="00A2545B"/>
    <w:rsid w:val="00A2546E"/>
    <w:rsid w:val="00A254A0"/>
    <w:rsid w:val="00A25533"/>
    <w:rsid w:val="00A2556C"/>
    <w:rsid w:val="00A25595"/>
    <w:rsid w:val="00A25609"/>
    <w:rsid w:val="00A2562B"/>
    <w:rsid w:val="00A25635"/>
    <w:rsid w:val="00A256E1"/>
    <w:rsid w:val="00A2572F"/>
    <w:rsid w:val="00A25853"/>
    <w:rsid w:val="00A2587C"/>
    <w:rsid w:val="00A25891"/>
    <w:rsid w:val="00A2589E"/>
    <w:rsid w:val="00A25A5B"/>
    <w:rsid w:val="00A25B04"/>
    <w:rsid w:val="00A25BCC"/>
    <w:rsid w:val="00A25C54"/>
    <w:rsid w:val="00A25CAD"/>
    <w:rsid w:val="00A25D6F"/>
    <w:rsid w:val="00A25E28"/>
    <w:rsid w:val="00A25E48"/>
    <w:rsid w:val="00A25E7F"/>
    <w:rsid w:val="00A25E97"/>
    <w:rsid w:val="00A25F1D"/>
    <w:rsid w:val="00A25FE0"/>
    <w:rsid w:val="00A25FE2"/>
    <w:rsid w:val="00A26020"/>
    <w:rsid w:val="00A26154"/>
    <w:rsid w:val="00A26258"/>
    <w:rsid w:val="00A26315"/>
    <w:rsid w:val="00A26319"/>
    <w:rsid w:val="00A263E7"/>
    <w:rsid w:val="00A264BF"/>
    <w:rsid w:val="00A264E5"/>
    <w:rsid w:val="00A26584"/>
    <w:rsid w:val="00A26683"/>
    <w:rsid w:val="00A26686"/>
    <w:rsid w:val="00A266D0"/>
    <w:rsid w:val="00A266DC"/>
    <w:rsid w:val="00A266DF"/>
    <w:rsid w:val="00A2676A"/>
    <w:rsid w:val="00A2681D"/>
    <w:rsid w:val="00A26878"/>
    <w:rsid w:val="00A26896"/>
    <w:rsid w:val="00A268EE"/>
    <w:rsid w:val="00A269D7"/>
    <w:rsid w:val="00A269F3"/>
    <w:rsid w:val="00A26A35"/>
    <w:rsid w:val="00A26A7D"/>
    <w:rsid w:val="00A26B8E"/>
    <w:rsid w:val="00A26BEB"/>
    <w:rsid w:val="00A26C00"/>
    <w:rsid w:val="00A26C75"/>
    <w:rsid w:val="00A26E0E"/>
    <w:rsid w:val="00A26E15"/>
    <w:rsid w:val="00A26E44"/>
    <w:rsid w:val="00A26E8A"/>
    <w:rsid w:val="00A26E90"/>
    <w:rsid w:val="00A26EA0"/>
    <w:rsid w:val="00A26EF3"/>
    <w:rsid w:val="00A26F54"/>
    <w:rsid w:val="00A26F7F"/>
    <w:rsid w:val="00A26F8C"/>
    <w:rsid w:val="00A26FFC"/>
    <w:rsid w:val="00A27033"/>
    <w:rsid w:val="00A27122"/>
    <w:rsid w:val="00A27142"/>
    <w:rsid w:val="00A271BF"/>
    <w:rsid w:val="00A27245"/>
    <w:rsid w:val="00A2734C"/>
    <w:rsid w:val="00A273BD"/>
    <w:rsid w:val="00A274AF"/>
    <w:rsid w:val="00A274C8"/>
    <w:rsid w:val="00A27693"/>
    <w:rsid w:val="00A2769D"/>
    <w:rsid w:val="00A27828"/>
    <w:rsid w:val="00A27928"/>
    <w:rsid w:val="00A2797A"/>
    <w:rsid w:val="00A279E4"/>
    <w:rsid w:val="00A27A1E"/>
    <w:rsid w:val="00A27A57"/>
    <w:rsid w:val="00A27A9C"/>
    <w:rsid w:val="00A27BB3"/>
    <w:rsid w:val="00A27C29"/>
    <w:rsid w:val="00A27D13"/>
    <w:rsid w:val="00A27D18"/>
    <w:rsid w:val="00A27D44"/>
    <w:rsid w:val="00A27D48"/>
    <w:rsid w:val="00A27D61"/>
    <w:rsid w:val="00A27DB6"/>
    <w:rsid w:val="00A27EBB"/>
    <w:rsid w:val="00A27F03"/>
    <w:rsid w:val="00A27FF3"/>
    <w:rsid w:val="00A3000D"/>
    <w:rsid w:val="00A30047"/>
    <w:rsid w:val="00A3005D"/>
    <w:rsid w:val="00A30114"/>
    <w:rsid w:val="00A3021F"/>
    <w:rsid w:val="00A30237"/>
    <w:rsid w:val="00A302A0"/>
    <w:rsid w:val="00A3046D"/>
    <w:rsid w:val="00A30480"/>
    <w:rsid w:val="00A304F0"/>
    <w:rsid w:val="00A3052E"/>
    <w:rsid w:val="00A30543"/>
    <w:rsid w:val="00A30589"/>
    <w:rsid w:val="00A30685"/>
    <w:rsid w:val="00A30693"/>
    <w:rsid w:val="00A306E7"/>
    <w:rsid w:val="00A306EB"/>
    <w:rsid w:val="00A30722"/>
    <w:rsid w:val="00A30734"/>
    <w:rsid w:val="00A3079A"/>
    <w:rsid w:val="00A307F6"/>
    <w:rsid w:val="00A30842"/>
    <w:rsid w:val="00A309ED"/>
    <w:rsid w:val="00A30B31"/>
    <w:rsid w:val="00A30BF0"/>
    <w:rsid w:val="00A30D0B"/>
    <w:rsid w:val="00A30D49"/>
    <w:rsid w:val="00A30DD2"/>
    <w:rsid w:val="00A30E1D"/>
    <w:rsid w:val="00A30EFF"/>
    <w:rsid w:val="00A30F7F"/>
    <w:rsid w:val="00A30F91"/>
    <w:rsid w:val="00A3107D"/>
    <w:rsid w:val="00A31117"/>
    <w:rsid w:val="00A3116D"/>
    <w:rsid w:val="00A311A7"/>
    <w:rsid w:val="00A312DE"/>
    <w:rsid w:val="00A313DC"/>
    <w:rsid w:val="00A31593"/>
    <w:rsid w:val="00A315BE"/>
    <w:rsid w:val="00A31651"/>
    <w:rsid w:val="00A3167D"/>
    <w:rsid w:val="00A31688"/>
    <w:rsid w:val="00A316A3"/>
    <w:rsid w:val="00A316CA"/>
    <w:rsid w:val="00A3174D"/>
    <w:rsid w:val="00A31893"/>
    <w:rsid w:val="00A31A7C"/>
    <w:rsid w:val="00A31B42"/>
    <w:rsid w:val="00A31CD1"/>
    <w:rsid w:val="00A31CEF"/>
    <w:rsid w:val="00A31D37"/>
    <w:rsid w:val="00A31DF8"/>
    <w:rsid w:val="00A31F3B"/>
    <w:rsid w:val="00A31F8D"/>
    <w:rsid w:val="00A31FE8"/>
    <w:rsid w:val="00A3207E"/>
    <w:rsid w:val="00A320E3"/>
    <w:rsid w:val="00A321D1"/>
    <w:rsid w:val="00A321D8"/>
    <w:rsid w:val="00A321DA"/>
    <w:rsid w:val="00A3224A"/>
    <w:rsid w:val="00A32352"/>
    <w:rsid w:val="00A32415"/>
    <w:rsid w:val="00A324A6"/>
    <w:rsid w:val="00A324C2"/>
    <w:rsid w:val="00A324D9"/>
    <w:rsid w:val="00A32571"/>
    <w:rsid w:val="00A325B9"/>
    <w:rsid w:val="00A325F7"/>
    <w:rsid w:val="00A32609"/>
    <w:rsid w:val="00A32610"/>
    <w:rsid w:val="00A32679"/>
    <w:rsid w:val="00A32750"/>
    <w:rsid w:val="00A328DB"/>
    <w:rsid w:val="00A32A29"/>
    <w:rsid w:val="00A32B1A"/>
    <w:rsid w:val="00A32B46"/>
    <w:rsid w:val="00A32BDB"/>
    <w:rsid w:val="00A32C3C"/>
    <w:rsid w:val="00A32C76"/>
    <w:rsid w:val="00A32D05"/>
    <w:rsid w:val="00A32DAE"/>
    <w:rsid w:val="00A32DC6"/>
    <w:rsid w:val="00A32ECE"/>
    <w:rsid w:val="00A32F27"/>
    <w:rsid w:val="00A32F77"/>
    <w:rsid w:val="00A33074"/>
    <w:rsid w:val="00A33085"/>
    <w:rsid w:val="00A3311F"/>
    <w:rsid w:val="00A33215"/>
    <w:rsid w:val="00A334D8"/>
    <w:rsid w:val="00A3360D"/>
    <w:rsid w:val="00A33635"/>
    <w:rsid w:val="00A336A6"/>
    <w:rsid w:val="00A33705"/>
    <w:rsid w:val="00A33761"/>
    <w:rsid w:val="00A33774"/>
    <w:rsid w:val="00A3389D"/>
    <w:rsid w:val="00A33951"/>
    <w:rsid w:val="00A3397E"/>
    <w:rsid w:val="00A33A72"/>
    <w:rsid w:val="00A33A86"/>
    <w:rsid w:val="00A33AF0"/>
    <w:rsid w:val="00A33AF5"/>
    <w:rsid w:val="00A33B3B"/>
    <w:rsid w:val="00A33B5D"/>
    <w:rsid w:val="00A33BC8"/>
    <w:rsid w:val="00A33C2F"/>
    <w:rsid w:val="00A33C3E"/>
    <w:rsid w:val="00A33C5E"/>
    <w:rsid w:val="00A33C7A"/>
    <w:rsid w:val="00A33C9F"/>
    <w:rsid w:val="00A33D42"/>
    <w:rsid w:val="00A33DC3"/>
    <w:rsid w:val="00A33E29"/>
    <w:rsid w:val="00A33E5D"/>
    <w:rsid w:val="00A33E71"/>
    <w:rsid w:val="00A3401B"/>
    <w:rsid w:val="00A340A9"/>
    <w:rsid w:val="00A34127"/>
    <w:rsid w:val="00A34133"/>
    <w:rsid w:val="00A34154"/>
    <w:rsid w:val="00A3417A"/>
    <w:rsid w:val="00A342A5"/>
    <w:rsid w:val="00A342A9"/>
    <w:rsid w:val="00A34329"/>
    <w:rsid w:val="00A3432D"/>
    <w:rsid w:val="00A3435E"/>
    <w:rsid w:val="00A343AF"/>
    <w:rsid w:val="00A34415"/>
    <w:rsid w:val="00A3447F"/>
    <w:rsid w:val="00A3450F"/>
    <w:rsid w:val="00A34545"/>
    <w:rsid w:val="00A345A0"/>
    <w:rsid w:val="00A346EA"/>
    <w:rsid w:val="00A346F6"/>
    <w:rsid w:val="00A3481A"/>
    <w:rsid w:val="00A34830"/>
    <w:rsid w:val="00A3483E"/>
    <w:rsid w:val="00A34943"/>
    <w:rsid w:val="00A349AB"/>
    <w:rsid w:val="00A349F0"/>
    <w:rsid w:val="00A34A17"/>
    <w:rsid w:val="00A34A4F"/>
    <w:rsid w:val="00A34A6C"/>
    <w:rsid w:val="00A34AB9"/>
    <w:rsid w:val="00A34AC0"/>
    <w:rsid w:val="00A34B03"/>
    <w:rsid w:val="00A34B8E"/>
    <w:rsid w:val="00A34BDB"/>
    <w:rsid w:val="00A34CBA"/>
    <w:rsid w:val="00A34D0F"/>
    <w:rsid w:val="00A34D27"/>
    <w:rsid w:val="00A34D84"/>
    <w:rsid w:val="00A34DCE"/>
    <w:rsid w:val="00A34DD5"/>
    <w:rsid w:val="00A34F19"/>
    <w:rsid w:val="00A34F38"/>
    <w:rsid w:val="00A34F45"/>
    <w:rsid w:val="00A34FCC"/>
    <w:rsid w:val="00A3505E"/>
    <w:rsid w:val="00A3511B"/>
    <w:rsid w:val="00A351E1"/>
    <w:rsid w:val="00A35215"/>
    <w:rsid w:val="00A352B7"/>
    <w:rsid w:val="00A352E6"/>
    <w:rsid w:val="00A3531B"/>
    <w:rsid w:val="00A35411"/>
    <w:rsid w:val="00A35421"/>
    <w:rsid w:val="00A35471"/>
    <w:rsid w:val="00A3547F"/>
    <w:rsid w:val="00A355E7"/>
    <w:rsid w:val="00A3568B"/>
    <w:rsid w:val="00A356CE"/>
    <w:rsid w:val="00A356F3"/>
    <w:rsid w:val="00A35770"/>
    <w:rsid w:val="00A35772"/>
    <w:rsid w:val="00A357F3"/>
    <w:rsid w:val="00A35832"/>
    <w:rsid w:val="00A3583A"/>
    <w:rsid w:val="00A359AB"/>
    <w:rsid w:val="00A359E4"/>
    <w:rsid w:val="00A35A1A"/>
    <w:rsid w:val="00A35AA3"/>
    <w:rsid w:val="00A35AAA"/>
    <w:rsid w:val="00A35AD9"/>
    <w:rsid w:val="00A35B16"/>
    <w:rsid w:val="00A35BF1"/>
    <w:rsid w:val="00A35BFF"/>
    <w:rsid w:val="00A35C02"/>
    <w:rsid w:val="00A35CB5"/>
    <w:rsid w:val="00A35E6F"/>
    <w:rsid w:val="00A35E94"/>
    <w:rsid w:val="00A35EA7"/>
    <w:rsid w:val="00A35EC1"/>
    <w:rsid w:val="00A35F0B"/>
    <w:rsid w:val="00A35F2E"/>
    <w:rsid w:val="00A35F39"/>
    <w:rsid w:val="00A35F3F"/>
    <w:rsid w:val="00A35FC9"/>
    <w:rsid w:val="00A36009"/>
    <w:rsid w:val="00A36024"/>
    <w:rsid w:val="00A3607F"/>
    <w:rsid w:val="00A360AB"/>
    <w:rsid w:val="00A3614A"/>
    <w:rsid w:val="00A36345"/>
    <w:rsid w:val="00A36482"/>
    <w:rsid w:val="00A3650C"/>
    <w:rsid w:val="00A36682"/>
    <w:rsid w:val="00A36823"/>
    <w:rsid w:val="00A3699B"/>
    <w:rsid w:val="00A36A5F"/>
    <w:rsid w:val="00A36ADB"/>
    <w:rsid w:val="00A36CBB"/>
    <w:rsid w:val="00A36D2F"/>
    <w:rsid w:val="00A36D7B"/>
    <w:rsid w:val="00A36DD2"/>
    <w:rsid w:val="00A36E10"/>
    <w:rsid w:val="00A36E97"/>
    <w:rsid w:val="00A36FAF"/>
    <w:rsid w:val="00A37067"/>
    <w:rsid w:val="00A3707C"/>
    <w:rsid w:val="00A37085"/>
    <w:rsid w:val="00A371FE"/>
    <w:rsid w:val="00A372ED"/>
    <w:rsid w:val="00A3733D"/>
    <w:rsid w:val="00A3742D"/>
    <w:rsid w:val="00A374FD"/>
    <w:rsid w:val="00A37522"/>
    <w:rsid w:val="00A37539"/>
    <w:rsid w:val="00A375C4"/>
    <w:rsid w:val="00A377C5"/>
    <w:rsid w:val="00A37896"/>
    <w:rsid w:val="00A37977"/>
    <w:rsid w:val="00A3797E"/>
    <w:rsid w:val="00A3798E"/>
    <w:rsid w:val="00A379BA"/>
    <w:rsid w:val="00A37AB4"/>
    <w:rsid w:val="00A37ABB"/>
    <w:rsid w:val="00A37ADE"/>
    <w:rsid w:val="00A37BAE"/>
    <w:rsid w:val="00A37BDE"/>
    <w:rsid w:val="00A37C1D"/>
    <w:rsid w:val="00A37C2C"/>
    <w:rsid w:val="00A37C30"/>
    <w:rsid w:val="00A37CB7"/>
    <w:rsid w:val="00A37D36"/>
    <w:rsid w:val="00A37D5E"/>
    <w:rsid w:val="00A37E6F"/>
    <w:rsid w:val="00A37E82"/>
    <w:rsid w:val="00A37F08"/>
    <w:rsid w:val="00A37F6B"/>
    <w:rsid w:val="00A37F85"/>
    <w:rsid w:val="00A40055"/>
    <w:rsid w:val="00A400BA"/>
    <w:rsid w:val="00A400BC"/>
    <w:rsid w:val="00A400D5"/>
    <w:rsid w:val="00A40123"/>
    <w:rsid w:val="00A40130"/>
    <w:rsid w:val="00A40163"/>
    <w:rsid w:val="00A40215"/>
    <w:rsid w:val="00A40238"/>
    <w:rsid w:val="00A40293"/>
    <w:rsid w:val="00A402E8"/>
    <w:rsid w:val="00A402EA"/>
    <w:rsid w:val="00A40302"/>
    <w:rsid w:val="00A40418"/>
    <w:rsid w:val="00A40514"/>
    <w:rsid w:val="00A40515"/>
    <w:rsid w:val="00A40649"/>
    <w:rsid w:val="00A40684"/>
    <w:rsid w:val="00A4075D"/>
    <w:rsid w:val="00A407D9"/>
    <w:rsid w:val="00A40810"/>
    <w:rsid w:val="00A40880"/>
    <w:rsid w:val="00A408BF"/>
    <w:rsid w:val="00A4097B"/>
    <w:rsid w:val="00A40A92"/>
    <w:rsid w:val="00A40A95"/>
    <w:rsid w:val="00A40B58"/>
    <w:rsid w:val="00A40CCF"/>
    <w:rsid w:val="00A40D2C"/>
    <w:rsid w:val="00A40F1A"/>
    <w:rsid w:val="00A40F7A"/>
    <w:rsid w:val="00A40FE2"/>
    <w:rsid w:val="00A40FEB"/>
    <w:rsid w:val="00A41046"/>
    <w:rsid w:val="00A4105A"/>
    <w:rsid w:val="00A41066"/>
    <w:rsid w:val="00A41172"/>
    <w:rsid w:val="00A41185"/>
    <w:rsid w:val="00A411EB"/>
    <w:rsid w:val="00A41210"/>
    <w:rsid w:val="00A41253"/>
    <w:rsid w:val="00A41308"/>
    <w:rsid w:val="00A41346"/>
    <w:rsid w:val="00A41396"/>
    <w:rsid w:val="00A413F4"/>
    <w:rsid w:val="00A4148A"/>
    <w:rsid w:val="00A41491"/>
    <w:rsid w:val="00A41567"/>
    <w:rsid w:val="00A4157C"/>
    <w:rsid w:val="00A415B4"/>
    <w:rsid w:val="00A415E6"/>
    <w:rsid w:val="00A415EF"/>
    <w:rsid w:val="00A41648"/>
    <w:rsid w:val="00A416B6"/>
    <w:rsid w:val="00A416DA"/>
    <w:rsid w:val="00A4175A"/>
    <w:rsid w:val="00A41768"/>
    <w:rsid w:val="00A4179D"/>
    <w:rsid w:val="00A417A5"/>
    <w:rsid w:val="00A4181B"/>
    <w:rsid w:val="00A418C5"/>
    <w:rsid w:val="00A418C8"/>
    <w:rsid w:val="00A4196E"/>
    <w:rsid w:val="00A419EE"/>
    <w:rsid w:val="00A41A9A"/>
    <w:rsid w:val="00A41B31"/>
    <w:rsid w:val="00A41B34"/>
    <w:rsid w:val="00A41BFA"/>
    <w:rsid w:val="00A41C16"/>
    <w:rsid w:val="00A41DB2"/>
    <w:rsid w:val="00A41DBE"/>
    <w:rsid w:val="00A41DCE"/>
    <w:rsid w:val="00A41DFF"/>
    <w:rsid w:val="00A41E33"/>
    <w:rsid w:val="00A41E63"/>
    <w:rsid w:val="00A41E80"/>
    <w:rsid w:val="00A41E9F"/>
    <w:rsid w:val="00A41EB0"/>
    <w:rsid w:val="00A41EDA"/>
    <w:rsid w:val="00A41F34"/>
    <w:rsid w:val="00A41F89"/>
    <w:rsid w:val="00A4200F"/>
    <w:rsid w:val="00A4201C"/>
    <w:rsid w:val="00A4201F"/>
    <w:rsid w:val="00A42027"/>
    <w:rsid w:val="00A420BC"/>
    <w:rsid w:val="00A420C8"/>
    <w:rsid w:val="00A420F5"/>
    <w:rsid w:val="00A42154"/>
    <w:rsid w:val="00A4217D"/>
    <w:rsid w:val="00A421B9"/>
    <w:rsid w:val="00A421BD"/>
    <w:rsid w:val="00A42283"/>
    <w:rsid w:val="00A4229E"/>
    <w:rsid w:val="00A422CB"/>
    <w:rsid w:val="00A422FC"/>
    <w:rsid w:val="00A4239C"/>
    <w:rsid w:val="00A42424"/>
    <w:rsid w:val="00A4245D"/>
    <w:rsid w:val="00A4249D"/>
    <w:rsid w:val="00A4254B"/>
    <w:rsid w:val="00A425AF"/>
    <w:rsid w:val="00A4261B"/>
    <w:rsid w:val="00A426BA"/>
    <w:rsid w:val="00A42700"/>
    <w:rsid w:val="00A42735"/>
    <w:rsid w:val="00A42779"/>
    <w:rsid w:val="00A427D2"/>
    <w:rsid w:val="00A42866"/>
    <w:rsid w:val="00A42892"/>
    <w:rsid w:val="00A42934"/>
    <w:rsid w:val="00A42949"/>
    <w:rsid w:val="00A429B1"/>
    <w:rsid w:val="00A42A6A"/>
    <w:rsid w:val="00A42A7D"/>
    <w:rsid w:val="00A42B79"/>
    <w:rsid w:val="00A42BA4"/>
    <w:rsid w:val="00A42BEB"/>
    <w:rsid w:val="00A42C1E"/>
    <w:rsid w:val="00A42C7A"/>
    <w:rsid w:val="00A42D06"/>
    <w:rsid w:val="00A42D38"/>
    <w:rsid w:val="00A42D53"/>
    <w:rsid w:val="00A42DB2"/>
    <w:rsid w:val="00A42E94"/>
    <w:rsid w:val="00A42EAF"/>
    <w:rsid w:val="00A42F9B"/>
    <w:rsid w:val="00A43035"/>
    <w:rsid w:val="00A43135"/>
    <w:rsid w:val="00A431B7"/>
    <w:rsid w:val="00A431D6"/>
    <w:rsid w:val="00A4327B"/>
    <w:rsid w:val="00A432C3"/>
    <w:rsid w:val="00A432F0"/>
    <w:rsid w:val="00A43351"/>
    <w:rsid w:val="00A433FB"/>
    <w:rsid w:val="00A43498"/>
    <w:rsid w:val="00A434E5"/>
    <w:rsid w:val="00A43540"/>
    <w:rsid w:val="00A4355A"/>
    <w:rsid w:val="00A4362A"/>
    <w:rsid w:val="00A4367F"/>
    <w:rsid w:val="00A436AA"/>
    <w:rsid w:val="00A4374B"/>
    <w:rsid w:val="00A437F5"/>
    <w:rsid w:val="00A438CF"/>
    <w:rsid w:val="00A439A7"/>
    <w:rsid w:val="00A43A72"/>
    <w:rsid w:val="00A43AF4"/>
    <w:rsid w:val="00A43B30"/>
    <w:rsid w:val="00A43B5F"/>
    <w:rsid w:val="00A43C2E"/>
    <w:rsid w:val="00A43C30"/>
    <w:rsid w:val="00A43D28"/>
    <w:rsid w:val="00A43DD6"/>
    <w:rsid w:val="00A43E29"/>
    <w:rsid w:val="00A43F24"/>
    <w:rsid w:val="00A43F27"/>
    <w:rsid w:val="00A44063"/>
    <w:rsid w:val="00A44088"/>
    <w:rsid w:val="00A44152"/>
    <w:rsid w:val="00A4422A"/>
    <w:rsid w:val="00A442CC"/>
    <w:rsid w:val="00A44324"/>
    <w:rsid w:val="00A443DE"/>
    <w:rsid w:val="00A443E2"/>
    <w:rsid w:val="00A444B9"/>
    <w:rsid w:val="00A444D2"/>
    <w:rsid w:val="00A446A8"/>
    <w:rsid w:val="00A44720"/>
    <w:rsid w:val="00A44755"/>
    <w:rsid w:val="00A447F6"/>
    <w:rsid w:val="00A44868"/>
    <w:rsid w:val="00A44879"/>
    <w:rsid w:val="00A448E4"/>
    <w:rsid w:val="00A44907"/>
    <w:rsid w:val="00A44927"/>
    <w:rsid w:val="00A44A3C"/>
    <w:rsid w:val="00A44A4C"/>
    <w:rsid w:val="00A44B54"/>
    <w:rsid w:val="00A44CE1"/>
    <w:rsid w:val="00A44D1D"/>
    <w:rsid w:val="00A44D61"/>
    <w:rsid w:val="00A44D74"/>
    <w:rsid w:val="00A44DC7"/>
    <w:rsid w:val="00A44DF9"/>
    <w:rsid w:val="00A44E1A"/>
    <w:rsid w:val="00A44EA5"/>
    <w:rsid w:val="00A44EBB"/>
    <w:rsid w:val="00A44EC9"/>
    <w:rsid w:val="00A44ED9"/>
    <w:rsid w:val="00A44F86"/>
    <w:rsid w:val="00A44FE2"/>
    <w:rsid w:val="00A450EE"/>
    <w:rsid w:val="00A45123"/>
    <w:rsid w:val="00A4516C"/>
    <w:rsid w:val="00A45170"/>
    <w:rsid w:val="00A45188"/>
    <w:rsid w:val="00A451BC"/>
    <w:rsid w:val="00A451DC"/>
    <w:rsid w:val="00A451E6"/>
    <w:rsid w:val="00A451F6"/>
    <w:rsid w:val="00A45202"/>
    <w:rsid w:val="00A45211"/>
    <w:rsid w:val="00A45215"/>
    <w:rsid w:val="00A4527D"/>
    <w:rsid w:val="00A452C1"/>
    <w:rsid w:val="00A4533F"/>
    <w:rsid w:val="00A453FC"/>
    <w:rsid w:val="00A45412"/>
    <w:rsid w:val="00A45465"/>
    <w:rsid w:val="00A454F5"/>
    <w:rsid w:val="00A45633"/>
    <w:rsid w:val="00A456AA"/>
    <w:rsid w:val="00A456AF"/>
    <w:rsid w:val="00A45824"/>
    <w:rsid w:val="00A45856"/>
    <w:rsid w:val="00A4599E"/>
    <w:rsid w:val="00A459C2"/>
    <w:rsid w:val="00A459D4"/>
    <w:rsid w:val="00A45A95"/>
    <w:rsid w:val="00A45C3D"/>
    <w:rsid w:val="00A45C4E"/>
    <w:rsid w:val="00A45CA0"/>
    <w:rsid w:val="00A45E15"/>
    <w:rsid w:val="00A45E55"/>
    <w:rsid w:val="00A45EBD"/>
    <w:rsid w:val="00A45EEA"/>
    <w:rsid w:val="00A45F9C"/>
    <w:rsid w:val="00A461E6"/>
    <w:rsid w:val="00A4624A"/>
    <w:rsid w:val="00A4639D"/>
    <w:rsid w:val="00A4648C"/>
    <w:rsid w:val="00A466F2"/>
    <w:rsid w:val="00A46803"/>
    <w:rsid w:val="00A46828"/>
    <w:rsid w:val="00A468A1"/>
    <w:rsid w:val="00A4697E"/>
    <w:rsid w:val="00A46A36"/>
    <w:rsid w:val="00A46A74"/>
    <w:rsid w:val="00A46B01"/>
    <w:rsid w:val="00A46B55"/>
    <w:rsid w:val="00A46B5C"/>
    <w:rsid w:val="00A46BE7"/>
    <w:rsid w:val="00A46E0D"/>
    <w:rsid w:val="00A46E47"/>
    <w:rsid w:val="00A46E96"/>
    <w:rsid w:val="00A46F6E"/>
    <w:rsid w:val="00A46FA6"/>
    <w:rsid w:val="00A4701A"/>
    <w:rsid w:val="00A470CC"/>
    <w:rsid w:val="00A4711A"/>
    <w:rsid w:val="00A472F0"/>
    <w:rsid w:val="00A4734D"/>
    <w:rsid w:val="00A473DE"/>
    <w:rsid w:val="00A473EA"/>
    <w:rsid w:val="00A4755C"/>
    <w:rsid w:val="00A4756E"/>
    <w:rsid w:val="00A47591"/>
    <w:rsid w:val="00A47686"/>
    <w:rsid w:val="00A476EC"/>
    <w:rsid w:val="00A47741"/>
    <w:rsid w:val="00A477D0"/>
    <w:rsid w:val="00A477EB"/>
    <w:rsid w:val="00A4782D"/>
    <w:rsid w:val="00A478CA"/>
    <w:rsid w:val="00A47921"/>
    <w:rsid w:val="00A47A00"/>
    <w:rsid w:val="00A47A6B"/>
    <w:rsid w:val="00A47BF7"/>
    <w:rsid w:val="00A47C09"/>
    <w:rsid w:val="00A47C55"/>
    <w:rsid w:val="00A47D6C"/>
    <w:rsid w:val="00A47DF1"/>
    <w:rsid w:val="00A47E57"/>
    <w:rsid w:val="00A47E6E"/>
    <w:rsid w:val="00A47E74"/>
    <w:rsid w:val="00A47ED9"/>
    <w:rsid w:val="00A47F4B"/>
    <w:rsid w:val="00A47F8C"/>
    <w:rsid w:val="00A47FA6"/>
    <w:rsid w:val="00A47FC3"/>
    <w:rsid w:val="00A47FEF"/>
    <w:rsid w:val="00A5004D"/>
    <w:rsid w:val="00A50293"/>
    <w:rsid w:val="00A502CF"/>
    <w:rsid w:val="00A50336"/>
    <w:rsid w:val="00A5033C"/>
    <w:rsid w:val="00A503C7"/>
    <w:rsid w:val="00A50430"/>
    <w:rsid w:val="00A50489"/>
    <w:rsid w:val="00A50501"/>
    <w:rsid w:val="00A5054C"/>
    <w:rsid w:val="00A5055E"/>
    <w:rsid w:val="00A5066F"/>
    <w:rsid w:val="00A506D9"/>
    <w:rsid w:val="00A50700"/>
    <w:rsid w:val="00A50740"/>
    <w:rsid w:val="00A5076A"/>
    <w:rsid w:val="00A507D8"/>
    <w:rsid w:val="00A5084D"/>
    <w:rsid w:val="00A50866"/>
    <w:rsid w:val="00A50879"/>
    <w:rsid w:val="00A508BF"/>
    <w:rsid w:val="00A50BA7"/>
    <w:rsid w:val="00A50BF2"/>
    <w:rsid w:val="00A50CA8"/>
    <w:rsid w:val="00A50CAB"/>
    <w:rsid w:val="00A50CCD"/>
    <w:rsid w:val="00A50CFD"/>
    <w:rsid w:val="00A50D43"/>
    <w:rsid w:val="00A50D61"/>
    <w:rsid w:val="00A50D7D"/>
    <w:rsid w:val="00A50FB5"/>
    <w:rsid w:val="00A51081"/>
    <w:rsid w:val="00A510DC"/>
    <w:rsid w:val="00A510F1"/>
    <w:rsid w:val="00A5110C"/>
    <w:rsid w:val="00A513EC"/>
    <w:rsid w:val="00A513F1"/>
    <w:rsid w:val="00A514EB"/>
    <w:rsid w:val="00A51643"/>
    <w:rsid w:val="00A51841"/>
    <w:rsid w:val="00A5189A"/>
    <w:rsid w:val="00A518C2"/>
    <w:rsid w:val="00A51976"/>
    <w:rsid w:val="00A51A1B"/>
    <w:rsid w:val="00A51A4F"/>
    <w:rsid w:val="00A51B6D"/>
    <w:rsid w:val="00A51BA4"/>
    <w:rsid w:val="00A51BEC"/>
    <w:rsid w:val="00A51C15"/>
    <w:rsid w:val="00A51C88"/>
    <w:rsid w:val="00A51CCA"/>
    <w:rsid w:val="00A51CDA"/>
    <w:rsid w:val="00A51CDE"/>
    <w:rsid w:val="00A51E6E"/>
    <w:rsid w:val="00A51F05"/>
    <w:rsid w:val="00A51F6B"/>
    <w:rsid w:val="00A52004"/>
    <w:rsid w:val="00A5204B"/>
    <w:rsid w:val="00A52082"/>
    <w:rsid w:val="00A520D3"/>
    <w:rsid w:val="00A520DC"/>
    <w:rsid w:val="00A52169"/>
    <w:rsid w:val="00A52172"/>
    <w:rsid w:val="00A5217A"/>
    <w:rsid w:val="00A521B3"/>
    <w:rsid w:val="00A522AC"/>
    <w:rsid w:val="00A522FE"/>
    <w:rsid w:val="00A5242B"/>
    <w:rsid w:val="00A524A4"/>
    <w:rsid w:val="00A524A7"/>
    <w:rsid w:val="00A524B1"/>
    <w:rsid w:val="00A52546"/>
    <w:rsid w:val="00A52595"/>
    <w:rsid w:val="00A525F7"/>
    <w:rsid w:val="00A52671"/>
    <w:rsid w:val="00A5272E"/>
    <w:rsid w:val="00A52768"/>
    <w:rsid w:val="00A5277A"/>
    <w:rsid w:val="00A5279A"/>
    <w:rsid w:val="00A52802"/>
    <w:rsid w:val="00A52831"/>
    <w:rsid w:val="00A52838"/>
    <w:rsid w:val="00A5286D"/>
    <w:rsid w:val="00A529F3"/>
    <w:rsid w:val="00A52A31"/>
    <w:rsid w:val="00A52B22"/>
    <w:rsid w:val="00A52BE7"/>
    <w:rsid w:val="00A52C60"/>
    <w:rsid w:val="00A52C7F"/>
    <w:rsid w:val="00A52CA6"/>
    <w:rsid w:val="00A52E4B"/>
    <w:rsid w:val="00A52E74"/>
    <w:rsid w:val="00A52EF1"/>
    <w:rsid w:val="00A52FBC"/>
    <w:rsid w:val="00A52FF5"/>
    <w:rsid w:val="00A530A3"/>
    <w:rsid w:val="00A530A6"/>
    <w:rsid w:val="00A530B0"/>
    <w:rsid w:val="00A53107"/>
    <w:rsid w:val="00A53141"/>
    <w:rsid w:val="00A53177"/>
    <w:rsid w:val="00A53272"/>
    <w:rsid w:val="00A532E8"/>
    <w:rsid w:val="00A53371"/>
    <w:rsid w:val="00A53374"/>
    <w:rsid w:val="00A53471"/>
    <w:rsid w:val="00A5350B"/>
    <w:rsid w:val="00A5358C"/>
    <w:rsid w:val="00A53625"/>
    <w:rsid w:val="00A53652"/>
    <w:rsid w:val="00A5368A"/>
    <w:rsid w:val="00A536A0"/>
    <w:rsid w:val="00A53712"/>
    <w:rsid w:val="00A53717"/>
    <w:rsid w:val="00A5383B"/>
    <w:rsid w:val="00A53875"/>
    <w:rsid w:val="00A53887"/>
    <w:rsid w:val="00A5397E"/>
    <w:rsid w:val="00A53A6B"/>
    <w:rsid w:val="00A53ACF"/>
    <w:rsid w:val="00A53AF8"/>
    <w:rsid w:val="00A53B18"/>
    <w:rsid w:val="00A53B3A"/>
    <w:rsid w:val="00A53B8D"/>
    <w:rsid w:val="00A53BDD"/>
    <w:rsid w:val="00A53C0B"/>
    <w:rsid w:val="00A53C11"/>
    <w:rsid w:val="00A53D99"/>
    <w:rsid w:val="00A53F70"/>
    <w:rsid w:val="00A53FEA"/>
    <w:rsid w:val="00A53FF3"/>
    <w:rsid w:val="00A540FF"/>
    <w:rsid w:val="00A54120"/>
    <w:rsid w:val="00A54156"/>
    <w:rsid w:val="00A5419B"/>
    <w:rsid w:val="00A54273"/>
    <w:rsid w:val="00A54368"/>
    <w:rsid w:val="00A54380"/>
    <w:rsid w:val="00A543C7"/>
    <w:rsid w:val="00A54407"/>
    <w:rsid w:val="00A5443D"/>
    <w:rsid w:val="00A54440"/>
    <w:rsid w:val="00A544C8"/>
    <w:rsid w:val="00A54688"/>
    <w:rsid w:val="00A546BB"/>
    <w:rsid w:val="00A546F1"/>
    <w:rsid w:val="00A54712"/>
    <w:rsid w:val="00A548B1"/>
    <w:rsid w:val="00A54965"/>
    <w:rsid w:val="00A54A15"/>
    <w:rsid w:val="00A54A79"/>
    <w:rsid w:val="00A54AB0"/>
    <w:rsid w:val="00A54B52"/>
    <w:rsid w:val="00A54BA5"/>
    <w:rsid w:val="00A54BB6"/>
    <w:rsid w:val="00A54BEA"/>
    <w:rsid w:val="00A54C1E"/>
    <w:rsid w:val="00A54C92"/>
    <w:rsid w:val="00A54D8F"/>
    <w:rsid w:val="00A54DF7"/>
    <w:rsid w:val="00A54E90"/>
    <w:rsid w:val="00A54EA3"/>
    <w:rsid w:val="00A54EF9"/>
    <w:rsid w:val="00A54F02"/>
    <w:rsid w:val="00A54F0B"/>
    <w:rsid w:val="00A54F10"/>
    <w:rsid w:val="00A54FE8"/>
    <w:rsid w:val="00A55034"/>
    <w:rsid w:val="00A550F5"/>
    <w:rsid w:val="00A55103"/>
    <w:rsid w:val="00A5517C"/>
    <w:rsid w:val="00A551D2"/>
    <w:rsid w:val="00A5529C"/>
    <w:rsid w:val="00A55306"/>
    <w:rsid w:val="00A55318"/>
    <w:rsid w:val="00A55366"/>
    <w:rsid w:val="00A55384"/>
    <w:rsid w:val="00A553AB"/>
    <w:rsid w:val="00A553C8"/>
    <w:rsid w:val="00A553CF"/>
    <w:rsid w:val="00A55525"/>
    <w:rsid w:val="00A555AB"/>
    <w:rsid w:val="00A5567D"/>
    <w:rsid w:val="00A55687"/>
    <w:rsid w:val="00A556FA"/>
    <w:rsid w:val="00A55706"/>
    <w:rsid w:val="00A5570A"/>
    <w:rsid w:val="00A557A8"/>
    <w:rsid w:val="00A55A39"/>
    <w:rsid w:val="00A55A49"/>
    <w:rsid w:val="00A55B54"/>
    <w:rsid w:val="00A55B68"/>
    <w:rsid w:val="00A55BDF"/>
    <w:rsid w:val="00A55C61"/>
    <w:rsid w:val="00A55D8B"/>
    <w:rsid w:val="00A55E80"/>
    <w:rsid w:val="00A55E82"/>
    <w:rsid w:val="00A55FD0"/>
    <w:rsid w:val="00A56083"/>
    <w:rsid w:val="00A56099"/>
    <w:rsid w:val="00A56152"/>
    <w:rsid w:val="00A561CC"/>
    <w:rsid w:val="00A561E8"/>
    <w:rsid w:val="00A561EC"/>
    <w:rsid w:val="00A56282"/>
    <w:rsid w:val="00A562E5"/>
    <w:rsid w:val="00A562ED"/>
    <w:rsid w:val="00A5645C"/>
    <w:rsid w:val="00A56475"/>
    <w:rsid w:val="00A564AB"/>
    <w:rsid w:val="00A564F6"/>
    <w:rsid w:val="00A56565"/>
    <w:rsid w:val="00A5658A"/>
    <w:rsid w:val="00A56772"/>
    <w:rsid w:val="00A5682E"/>
    <w:rsid w:val="00A5697F"/>
    <w:rsid w:val="00A56AB0"/>
    <w:rsid w:val="00A56ABA"/>
    <w:rsid w:val="00A56AC2"/>
    <w:rsid w:val="00A56AC4"/>
    <w:rsid w:val="00A56B04"/>
    <w:rsid w:val="00A56B2B"/>
    <w:rsid w:val="00A56B33"/>
    <w:rsid w:val="00A56BC1"/>
    <w:rsid w:val="00A56BD5"/>
    <w:rsid w:val="00A56C73"/>
    <w:rsid w:val="00A56CA1"/>
    <w:rsid w:val="00A56D04"/>
    <w:rsid w:val="00A56DBE"/>
    <w:rsid w:val="00A56E89"/>
    <w:rsid w:val="00A56F1E"/>
    <w:rsid w:val="00A56FEB"/>
    <w:rsid w:val="00A57048"/>
    <w:rsid w:val="00A570E5"/>
    <w:rsid w:val="00A57236"/>
    <w:rsid w:val="00A5727F"/>
    <w:rsid w:val="00A57286"/>
    <w:rsid w:val="00A5729E"/>
    <w:rsid w:val="00A57333"/>
    <w:rsid w:val="00A57335"/>
    <w:rsid w:val="00A573D4"/>
    <w:rsid w:val="00A5742C"/>
    <w:rsid w:val="00A5745A"/>
    <w:rsid w:val="00A5748E"/>
    <w:rsid w:val="00A574D8"/>
    <w:rsid w:val="00A574F2"/>
    <w:rsid w:val="00A57634"/>
    <w:rsid w:val="00A57794"/>
    <w:rsid w:val="00A577D7"/>
    <w:rsid w:val="00A57821"/>
    <w:rsid w:val="00A57825"/>
    <w:rsid w:val="00A5785E"/>
    <w:rsid w:val="00A57888"/>
    <w:rsid w:val="00A578C6"/>
    <w:rsid w:val="00A5798B"/>
    <w:rsid w:val="00A579A2"/>
    <w:rsid w:val="00A57A07"/>
    <w:rsid w:val="00A57A8E"/>
    <w:rsid w:val="00A57AC7"/>
    <w:rsid w:val="00A57BE7"/>
    <w:rsid w:val="00A57C53"/>
    <w:rsid w:val="00A57C66"/>
    <w:rsid w:val="00A57C7E"/>
    <w:rsid w:val="00A57D7A"/>
    <w:rsid w:val="00A57E22"/>
    <w:rsid w:val="00A57E93"/>
    <w:rsid w:val="00A57FE9"/>
    <w:rsid w:val="00A6011A"/>
    <w:rsid w:val="00A60137"/>
    <w:rsid w:val="00A601AF"/>
    <w:rsid w:val="00A60220"/>
    <w:rsid w:val="00A60278"/>
    <w:rsid w:val="00A602E1"/>
    <w:rsid w:val="00A6031E"/>
    <w:rsid w:val="00A6036A"/>
    <w:rsid w:val="00A603A1"/>
    <w:rsid w:val="00A6047C"/>
    <w:rsid w:val="00A604F2"/>
    <w:rsid w:val="00A6054F"/>
    <w:rsid w:val="00A60611"/>
    <w:rsid w:val="00A60630"/>
    <w:rsid w:val="00A60664"/>
    <w:rsid w:val="00A60729"/>
    <w:rsid w:val="00A60738"/>
    <w:rsid w:val="00A608C0"/>
    <w:rsid w:val="00A608D5"/>
    <w:rsid w:val="00A60933"/>
    <w:rsid w:val="00A60934"/>
    <w:rsid w:val="00A6094F"/>
    <w:rsid w:val="00A609B8"/>
    <w:rsid w:val="00A609DF"/>
    <w:rsid w:val="00A60A3B"/>
    <w:rsid w:val="00A60A58"/>
    <w:rsid w:val="00A60AD9"/>
    <w:rsid w:val="00A60AE7"/>
    <w:rsid w:val="00A60B44"/>
    <w:rsid w:val="00A60B89"/>
    <w:rsid w:val="00A60B8B"/>
    <w:rsid w:val="00A60BEA"/>
    <w:rsid w:val="00A60C18"/>
    <w:rsid w:val="00A60C4B"/>
    <w:rsid w:val="00A60DC2"/>
    <w:rsid w:val="00A60E73"/>
    <w:rsid w:val="00A60F5E"/>
    <w:rsid w:val="00A60F84"/>
    <w:rsid w:val="00A60FE0"/>
    <w:rsid w:val="00A60FF7"/>
    <w:rsid w:val="00A61002"/>
    <w:rsid w:val="00A61037"/>
    <w:rsid w:val="00A61140"/>
    <w:rsid w:val="00A6125C"/>
    <w:rsid w:val="00A61375"/>
    <w:rsid w:val="00A61402"/>
    <w:rsid w:val="00A6145D"/>
    <w:rsid w:val="00A61597"/>
    <w:rsid w:val="00A61637"/>
    <w:rsid w:val="00A61680"/>
    <w:rsid w:val="00A616CB"/>
    <w:rsid w:val="00A61730"/>
    <w:rsid w:val="00A6175E"/>
    <w:rsid w:val="00A617AB"/>
    <w:rsid w:val="00A617F0"/>
    <w:rsid w:val="00A6180B"/>
    <w:rsid w:val="00A6187F"/>
    <w:rsid w:val="00A618C5"/>
    <w:rsid w:val="00A6190B"/>
    <w:rsid w:val="00A619DF"/>
    <w:rsid w:val="00A61A37"/>
    <w:rsid w:val="00A61A65"/>
    <w:rsid w:val="00A61A7D"/>
    <w:rsid w:val="00A61AA1"/>
    <w:rsid w:val="00A61AC9"/>
    <w:rsid w:val="00A61B59"/>
    <w:rsid w:val="00A61B5E"/>
    <w:rsid w:val="00A61B91"/>
    <w:rsid w:val="00A61C43"/>
    <w:rsid w:val="00A61C84"/>
    <w:rsid w:val="00A61D0C"/>
    <w:rsid w:val="00A61D48"/>
    <w:rsid w:val="00A61F12"/>
    <w:rsid w:val="00A61F58"/>
    <w:rsid w:val="00A61F87"/>
    <w:rsid w:val="00A6201D"/>
    <w:rsid w:val="00A6206E"/>
    <w:rsid w:val="00A62077"/>
    <w:rsid w:val="00A62095"/>
    <w:rsid w:val="00A6228D"/>
    <w:rsid w:val="00A6233E"/>
    <w:rsid w:val="00A624A5"/>
    <w:rsid w:val="00A62511"/>
    <w:rsid w:val="00A62632"/>
    <w:rsid w:val="00A62675"/>
    <w:rsid w:val="00A62692"/>
    <w:rsid w:val="00A6275F"/>
    <w:rsid w:val="00A627B5"/>
    <w:rsid w:val="00A627CD"/>
    <w:rsid w:val="00A62839"/>
    <w:rsid w:val="00A6284F"/>
    <w:rsid w:val="00A62B3C"/>
    <w:rsid w:val="00A62B78"/>
    <w:rsid w:val="00A62BCD"/>
    <w:rsid w:val="00A62DAD"/>
    <w:rsid w:val="00A62DEF"/>
    <w:rsid w:val="00A62E2A"/>
    <w:rsid w:val="00A62F3B"/>
    <w:rsid w:val="00A62F81"/>
    <w:rsid w:val="00A62F8C"/>
    <w:rsid w:val="00A6304C"/>
    <w:rsid w:val="00A63055"/>
    <w:rsid w:val="00A630A8"/>
    <w:rsid w:val="00A631E9"/>
    <w:rsid w:val="00A633B2"/>
    <w:rsid w:val="00A633BC"/>
    <w:rsid w:val="00A633C6"/>
    <w:rsid w:val="00A634F1"/>
    <w:rsid w:val="00A63515"/>
    <w:rsid w:val="00A6359D"/>
    <w:rsid w:val="00A635BD"/>
    <w:rsid w:val="00A63618"/>
    <w:rsid w:val="00A636A5"/>
    <w:rsid w:val="00A636BD"/>
    <w:rsid w:val="00A63882"/>
    <w:rsid w:val="00A638C7"/>
    <w:rsid w:val="00A638D3"/>
    <w:rsid w:val="00A638D6"/>
    <w:rsid w:val="00A63921"/>
    <w:rsid w:val="00A639AD"/>
    <w:rsid w:val="00A639BB"/>
    <w:rsid w:val="00A639E5"/>
    <w:rsid w:val="00A63AD0"/>
    <w:rsid w:val="00A63B22"/>
    <w:rsid w:val="00A63BFC"/>
    <w:rsid w:val="00A63C5F"/>
    <w:rsid w:val="00A63CBB"/>
    <w:rsid w:val="00A63D0B"/>
    <w:rsid w:val="00A63D3A"/>
    <w:rsid w:val="00A63D40"/>
    <w:rsid w:val="00A63D6C"/>
    <w:rsid w:val="00A63DA0"/>
    <w:rsid w:val="00A63DB0"/>
    <w:rsid w:val="00A63DE1"/>
    <w:rsid w:val="00A63E80"/>
    <w:rsid w:val="00A63F5D"/>
    <w:rsid w:val="00A63F63"/>
    <w:rsid w:val="00A63F9B"/>
    <w:rsid w:val="00A64017"/>
    <w:rsid w:val="00A640A1"/>
    <w:rsid w:val="00A64125"/>
    <w:rsid w:val="00A64191"/>
    <w:rsid w:val="00A641E6"/>
    <w:rsid w:val="00A6420A"/>
    <w:rsid w:val="00A64214"/>
    <w:rsid w:val="00A64257"/>
    <w:rsid w:val="00A642A4"/>
    <w:rsid w:val="00A642D9"/>
    <w:rsid w:val="00A64314"/>
    <w:rsid w:val="00A64372"/>
    <w:rsid w:val="00A6439B"/>
    <w:rsid w:val="00A64426"/>
    <w:rsid w:val="00A644B3"/>
    <w:rsid w:val="00A6456A"/>
    <w:rsid w:val="00A64674"/>
    <w:rsid w:val="00A647BC"/>
    <w:rsid w:val="00A647C0"/>
    <w:rsid w:val="00A6482F"/>
    <w:rsid w:val="00A64846"/>
    <w:rsid w:val="00A648E5"/>
    <w:rsid w:val="00A6497E"/>
    <w:rsid w:val="00A649D4"/>
    <w:rsid w:val="00A64A57"/>
    <w:rsid w:val="00A64B11"/>
    <w:rsid w:val="00A64C37"/>
    <w:rsid w:val="00A64CB8"/>
    <w:rsid w:val="00A64D14"/>
    <w:rsid w:val="00A64D34"/>
    <w:rsid w:val="00A64D38"/>
    <w:rsid w:val="00A64D98"/>
    <w:rsid w:val="00A64DB4"/>
    <w:rsid w:val="00A64E4D"/>
    <w:rsid w:val="00A64E53"/>
    <w:rsid w:val="00A64EBE"/>
    <w:rsid w:val="00A64F96"/>
    <w:rsid w:val="00A65060"/>
    <w:rsid w:val="00A650B5"/>
    <w:rsid w:val="00A650DA"/>
    <w:rsid w:val="00A6510C"/>
    <w:rsid w:val="00A65134"/>
    <w:rsid w:val="00A65156"/>
    <w:rsid w:val="00A6517F"/>
    <w:rsid w:val="00A6526E"/>
    <w:rsid w:val="00A65284"/>
    <w:rsid w:val="00A652F2"/>
    <w:rsid w:val="00A65439"/>
    <w:rsid w:val="00A6545C"/>
    <w:rsid w:val="00A65514"/>
    <w:rsid w:val="00A65572"/>
    <w:rsid w:val="00A655EE"/>
    <w:rsid w:val="00A65622"/>
    <w:rsid w:val="00A6567A"/>
    <w:rsid w:val="00A656C8"/>
    <w:rsid w:val="00A65729"/>
    <w:rsid w:val="00A65736"/>
    <w:rsid w:val="00A657B7"/>
    <w:rsid w:val="00A657DD"/>
    <w:rsid w:val="00A65941"/>
    <w:rsid w:val="00A65ADD"/>
    <w:rsid w:val="00A65B68"/>
    <w:rsid w:val="00A65BA6"/>
    <w:rsid w:val="00A65D43"/>
    <w:rsid w:val="00A65DBC"/>
    <w:rsid w:val="00A65E9A"/>
    <w:rsid w:val="00A65ECD"/>
    <w:rsid w:val="00A65F49"/>
    <w:rsid w:val="00A65F5F"/>
    <w:rsid w:val="00A65F7B"/>
    <w:rsid w:val="00A65F98"/>
    <w:rsid w:val="00A65FA2"/>
    <w:rsid w:val="00A660EC"/>
    <w:rsid w:val="00A661CF"/>
    <w:rsid w:val="00A661F6"/>
    <w:rsid w:val="00A6623A"/>
    <w:rsid w:val="00A66293"/>
    <w:rsid w:val="00A662DE"/>
    <w:rsid w:val="00A66306"/>
    <w:rsid w:val="00A66311"/>
    <w:rsid w:val="00A663B7"/>
    <w:rsid w:val="00A66408"/>
    <w:rsid w:val="00A6647E"/>
    <w:rsid w:val="00A664AC"/>
    <w:rsid w:val="00A664BE"/>
    <w:rsid w:val="00A6650E"/>
    <w:rsid w:val="00A66510"/>
    <w:rsid w:val="00A66559"/>
    <w:rsid w:val="00A66614"/>
    <w:rsid w:val="00A66669"/>
    <w:rsid w:val="00A666DB"/>
    <w:rsid w:val="00A6672C"/>
    <w:rsid w:val="00A6688D"/>
    <w:rsid w:val="00A66923"/>
    <w:rsid w:val="00A6695F"/>
    <w:rsid w:val="00A66A34"/>
    <w:rsid w:val="00A66AA9"/>
    <w:rsid w:val="00A66AC4"/>
    <w:rsid w:val="00A66B3A"/>
    <w:rsid w:val="00A66BAA"/>
    <w:rsid w:val="00A66CB9"/>
    <w:rsid w:val="00A66DFB"/>
    <w:rsid w:val="00A66E39"/>
    <w:rsid w:val="00A66E75"/>
    <w:rsid w:val="00A66F65"/>
    <w:rsid w:val="00A6708E"/>
    <w:rsid w:val="00A67102"/>
    <w:rsid w:val="00A67125"/>
    <w:rsid w:val="00A67146"/>
    <w:rsid w:val="00A67153"/>
    <w:rsid w:val="00A6715E"/>
    <w:rsid w:val="00A671C1"/>
    <w:rsid w:val="00A672E2"/>
    <w:rsid w:val="00A6737E"/>
    <w:rsid w:val="00A67424"/>
    <w:rsid w:val="00A67440"/>
    <w:rsid w:val="00A67591"/>
    <w:rsid w:val="00A6759C"/>
    <w:rsid w:val="00A67608"/>
    <w:rsid w:val="00A6763A"/>
    <w:rsid w:val="00A67650"/>
    <w:rsid w:val="00A6779A"/>
    <w:rsid w:val="00A67848"/>
    <w:rsid w:val="00A67A21"/>
    <w:rsid w:val="00A67A3E"/>
    <w:rsid w:val="00A67A63"/>
    <w:rsid w:val="00A67A7F"/>
    <w:rsid w:val="00A67BB7"/>
    <w:rsid w:val="00A67D6E"/>
    <w:rsid w:val="00A67FAF"/>
    <w:rsid w:val="00A70051"/>
    <w:rsid w:val="00A7008D"/>
    <w:rsid w:val="00A700EF"/>
    <w:rsid w:val="00A7014B"/>
    <w:rsid w:val="00A7018D"/>
    <w:rsid w:val="00A70231"/>
    <w:rsid w:val="00A70242"/>
    <w:rsid w:val="00A7029B"/>
    <w:rsid w:val="00A70362"/>
    <w:rsid w:val="00A7038C"/>
    <w:rsid w:val="00A70403"/>
    <w:rsid w:val="00A7040D"/>
    <w:rsid w:val="00A70411"/>
    <w:rsid w:val="00A7041A"/>
    <w:rsid w:val="00A70447"/>
    <w:rsid w:val="00A704D1"/>
    <w:rsid w:val="00A704EA"/>
    <w:rsid w:val="00A7052F"/>
    <w:rsid w:val="00A70564"/>
    <w:rsid w:val="00A70582"/>
    <w:rsid w:val="00A7067A"/>
    <w:rsid w:val="00A70705"/>
    <w:rsid w:val="00A7070C"/>
    <w:rsid w:val="00A70987"/>
    <w:rsid w:val="00A709B2"/>
    <w:rsid w:val="00A70AFC"/>
    <w:rsid w:val="00A70B4F"/>
    <w:rsid w:val="00A70B81"/>
    <w:rsid w:val="00A70C26"/>
    <w:rsid w:val="00A70C6F"/>
    <w:rsid w:val="00A70CD2"/>
    <w:rsid w:val="00A70E0F"/>
    <w:rsid w:val="00A70F29"/>
    <w:rsid w:val="00A70F9D"/>
    <w:rsid w:val="00A70FB0"/>
    <w:rsid w:val="00A71020"/>
    <w:rsid w:val="00A71031"/>
    <w:rsid w:val="00A7106C"/>
    <w:rsid w:val="00A71082"/>
    <w:rsid w:val="00A710DE"/>
    <w:rsid w:val="00A711A6"/>
    <w:rsid w:val="00A711C0"/>
    <w:rsid w:val="00A711F6"/>
    <w:rsid w:val="00A71238"/>
    <w:rsid w:val="00A712A6"/>
    <w:rsid w:val="00A713D7"/>
    <w:rsid w:val="00A7148A"/>
    <w:rsid w:val="00A71635"/>
    <w:rsid w:val="00A7167B"/>
    <w:rsid w:val="00A716D5"/>
    <w:rsid w:val="00A716FC"/>
    <w:rsid w:val="00A71703"/>
    <w:rsid w:val="00A7174D"/>
    <w:rsid w:val="00A71762"/>
    <w:rsid w:val="00A7178F"/>
    <w:rsid w:val="00A71797"/>
    <w:rsid w:val="00A7189C"/>
    <w:rsid w:val="00A718B8"/>
    <w:rsid w:val="00A71908"/>
    <w:rsid w:val="00A7191F"/>
    <w:rsid w:val="00A719A8"/>
    <w:rsid w:val="00A719CF"/>
    <w:rsid w:val="00A71A04"/>
    <w:rsid w:val="00A71B97"/>
    <w:rsid w:val="00A71C28"/>
    <w:rsid w:val="00A71C2D"/>
    <w:rsid w:val="00A71CB9"/>
    <w:rsid w:val="00A71E2A"/>
    <w:rsid w:val="00A71E7E"/>
    <w:rsid w:val="00A71EC3"/>
    <w:rsid w:val="00A71F2E"/>
    <w:rsid w:val="00A71F95"/>
    <w:rsid w:val="00A71FE5"/>
    <w:rsid w:val="00A72006"/>
    <w:rsid w:val="00A72137"/>
    <w:rsid w:val="00A721A5"/>
    <w:rsid w:val="00A721E2"/>
    <w:rsid w:val="00A721EB"/>
    <w:rsid w:val="00A721F4"/>
    <w:rsid w:val="00A722B9"/>
    <w:rsid w:val="00A723D9"/>
    <w:rsid w:val="00A72451"/>
    <w:rsid w:val="00A724CF"/>
    <w:rsid w:val="00A724F9"/>
    <w:rsid w:val="00A72501"/>
    <w:rsid w:val="00A72598"/>
    <w:rsid w:val="00A725CD"/>
    <w:rsid w:val="00A725DF"/>
    <w:rsid w:val="00A725E0"/>
    <w:rsid w:val="00A72683"/>
    <w:rsid w:val="00A726E2"/>
    <w:rsid w:val="00A72713"/>
    <w:rsid w:val="00A72786"/>
    <w:rsid w:val="00A7285E"/>
    <w:rsid w:val="00A72917"/>
    <w:rsid w:val="00A72963"/>
    <w:rsid w:val="00A72978"/>
    <w:rsid w:val="00A72B92"/>
    <w:rsid w:val="00A72C31"/>
    <w:rsid w:val="00A72C8C"/>
    <w:rsid w:val="00A72C9A"/>
    <w:rsid w:val="00A72E3C"/>
    <w:rsid w:val="00A72ECF"/>
    <w:rsid w:val="00A72FCB"/>
    <w:rsid w:val="00A73004"/>
    <w:rsid w:val="00A730B5"/>
    <w:rsid w:val="00A730D4"/>
    <w:rsid w:val="00A731AD"/>
    <w:rsid w:val="00A731C0"/>
    <w:rsid w:val="00A73219"/>
    <w:rsid w:val="00A73253"/>
    <w:rsid w:val="00A732B6"/>
    <w:rsid w:val="00A732DE"/>
    <w:rsid w:val="00A7345E"/>
    <w:rsid w:val="00A734AC"/>
    <w:rsid w:val="00A734D2"/>
    <w:rsid w:val="00A735F6"/>
    <w:rsid w:val="00A73612"/>
    <w:rsid w:val="00A73649"/>
    <w:rsid w:val="00A73670"/>
    <w:rsid w:val="00A7375D"/>
    <w:rsid w:val="00A737CF"/>
    <w:rsid w:val="00A737E5"/>
    <w:rsid w:val="00A73939"/>
    <w:rsid w:val="00A73A00"/>
    <w:rsid w:val="00A73B0F"/>
    <w:rsid w:val="00A73B34"/>
    <w:rsid w:val="00A73BF1"/>
    <w:rsid w:val="00A73C46"/>
    <w:rsid w:val="00A73C8C"/>
    <w:rsid w:val="00A73CFE"/>
    <w:rsid w:val="00A73DF3"/>
    <w:rsid w:val="00A73E2F"/>
    <w:rsid w:val="00A73E36"/>
    <w:rsid w:val="00A73E8F"/>
    <w:rsid w:val="00A73ECD"/>
    <w:rsid w:val="00A73F1E"/>
    <w:rsid w:val="00A73F38"/>
    <w:rsid w:val="00A73F5B"/>
    <w:rsid w:val="00A73F6D"/>
    <w:rsid w:val="00A7401D"/>
    <w:rsid w:val="00A74037"/>
    <w:rsid w:val="00A740A0"/>
    <w:rsid w:val="00A740FF"/>
    <w:rsid w:val="00A74182"/>
    <w:rsid w:val="00A74262"/>
    <w:rsid w:val="00A742B2"/>
    <w:rsid w:val="00A742B7"/>
    <w:rsid w:val="00A744B7"/>
    <w:rsid w:val="00A744D4"/>
    <w:rsid w:val="00A7453E"/>
    <w:rsid w:val="00A7456C"/>
    <w:rsid w:val="00A745BC"/>
    <w:rsid w:val="00A745CF"/>
    <w:rsid w:val="00A745DA"/>
    <w:rsid w:val="00A745DB"/>
    <w:rsid w:val="00A7470D"/>
    <w:rsid w:val="00A74748"/>
    <w:rsid w:val="00A747B6"/>
    <w:rsid w:val="00A747F4"/>
    <w:rsid w:val="00A74835"/>
    <w:rsid w:val="00A74885"/>
    <w:rsid w:val="00A74898"/>
    <w:rsid w:val="00A748D7"/>
    <w:rsid w:val="00A7492A"/>
    <w:rsid w:val="00A74A3C"/>
    <w:rsid w:val="00A74AAC"/>
    <w:rsid w:val="00A74ABF"/>
    <w:rsid w:val="00A74D4C"/>
    <w:rsid w:val="00A74E0A"/>
    <w:rsid w:val="00A74F57"/>
    <w:rsid w:val="00A75118"/>
    <w:rsid w:val="00A75250"/>
    <w:rsid w:val="00A752A6"/>
    <w:rsid w:val="00A7534F"/>
    <w:rsid w:val="00A75408"/>
    <w:rsid w:val="00A75583"/>
    <w:rsid w:val="00A755FF"/>
    <w:rsid w:val="00A75656"/>
    <w:rsid w:val="00A75740"/>
    <w:rsid w:val="00A75797"/>
    <w:rsid w:val="00A757DB"/>
    <w:rsid w:val="00A75808"/>
    <w:rsid w:val="00A7583F"/>
    <w:rsid w:val="00A75862"/>
    <w:rsid w:val="00A758C4"/>
    <w:rsid w:val="00A75904"/>
    <w:rsid w:val="00A75987"/>
    <w:rsid w:val="00A75A07"/>
    <w:rsid w:val="00A75A1E"/>
    <w:rsid w:val="00A75ABE"/>
    <w:rsid w:val="00A75AE7"/>
    <w:rsid w:val="00A75AF3"/>
    <w:rsid w:val="00A75B0F"/>
    <w:rsid w:val="00A75BB5"/>
    <w:rsid w:val="00A75C0C"/>
    <w:rsid w:val="00A75C1E"/>
    <w:rsid w:val="00A75C4E"/>
    <w:rsid w:val="00A75D0F"/>
    <w:rsid w:val="00A75D13"/>
    <w:rsid w:val="00A75EE1"/>
    <w:rsid w:val="00A75FD1"/>
    <w:rsid w:val="00A76002"/>
    <w:rsid w:val="00A7613B"/>
    <w:rsid w:val="00A76186"/>
    <w:rsid w:val="00A761A2"/>
    <w:rsid w:val="00A762BD"/>
    <w:rsid w:val="00A7640D"/>
    <w:rsid w:val="00A76419"/>
    <w:rsid w:val="00A76437"/>
    <w:rsid w:val="00A76491"/>
    <w:rsid w:val="00A764A8"/>
    <w:rsid w:val="00A764DC"/>
    <w:rsid w:val="00A76698"/>
    <w:rsid w:val="00A766FA"/>
    <w:rsid w:val="00A766FD"/>
    <w:rsid w:val="00A76724"/>
    <w:rsid w:val="00A7672E"/>
    <w:rsid w:val="00A767FE"/>
    <w:rsid w:val="00A76804"/>
    <w:rsid w:val="00A768E2"/>
    <w:rsid w:val="00A76903"/>
    <w:rsid w:val="00A76928"/>
    <w:rsid w:val="00A76946"/>
    <w:rsid w:val="00A76A68"/>
    <w:rsid w:val="00A76AD4"/>
    <w:rsid w:val="00A76B65"/>
    <w:rsid w:val="00A76BC4"/>
    <w:rsid w:val="00A76CB0"/>
    <w:rsid w:val="00A76D17"/>
    <w:rsid w:val="00A76DF9"/>
    <w:rsid w:val="00A76E83"/>
    <w:rsid w:val="00A76EA4"/>
    <w:rsid w:val="00A76EDA"/>
    <w:rsid w:val="00A76F0B"/>
    <w:rsid w:val="00A76F92"/>
    <w:rsid w:val="00A770A7"/>
    <w:rsid w:val="00A770AA"/>
    <w:rsid w:val="00A77165"/>
    <w:rsid w:val="00A7731C"/>
    <w:rsid w:val="00A7747C"/>
    <w:rsid w:val="00A774BA"/>
    <w:rsid w:val="00A77548"/>
    <w:rsid w:val="00A776B5"/>
    <w:rsid w:val="00A776C3"/>
    <w:rsid w:val="00A776E3"/>
    <w:rsid w:val="00A77976"/>
    <w:rsid w:val="00A7798C"/>
    <w:rsid w:val="00A77994"/>
    <w:rsid w:val="00A779E7"/>
    <w:rsid w:val="00A77A8B"/>
    <w:rsid w:val="00A77B86"/>
    <w:rsid w:val="00A77BBC"/>
    <w:rsid w:val="00A77C91"/>
    <w:rsid w:val="00A77D10"/>
    <w:rsid w:val="00A77DF6"/>
    <w:rsid w:val="00A77F0B"/>
    <w:rsid w:val="00A77FC2"/>
    <w:rsid w:val="00A80114"/>
    <w:rsid w:val="00A80123"/>
    <w:rsid w:val="00A801A6"/>
    <w:rsid w:val="00A80212"/>
    <w:rsid w:val="00A80279"/>
    <w:rsid w:val="00A80290"/>
    <w:rsid w:val="00A80295"/>
    <w:rsid w:val="00A802DA"/>
    <w:rsid w:val="00A80301"/>
    <w:rsid w:val="00A803A3"/>
    <w:rsid w:val="00A803A4"/>
    <w:rsid w:val="00A803C4"/>
    <w:rsid w:val="00A803CF"/>
    <w:rsid w:val="00A803F7"/>
    <w:rsid w:val="00A80410"/>
    <w:rsid w:val="00A8051C"/>
    <w:rsid w:val="00A80532"/>
    <w:rsid w:val="00A8060C"/>
    <w:rsid w:val="00A80642"/>
    <w:rsid w:val="00A80700"/>
    <w:rsid w:val="00A8075E"/>
    <w:rsid w:val="00A807B1"/>
    <w:rsid w:val="00A807C0"/>
    <w:rsid w:val="00A807CC"/>
    <w:rsid w:val="00A807D0"/>
    <w:rsid w:val="00A80803"/>
    <w:rsid w:val="00A80815"/>
    <w:rsid w:val="00A80867"/>
    <w:rsid w:val="00A809E7"/>
    <w:rsid w:val="00A80A21"/>
    <w:rsid w:val="00A80B2B"/>
    <w:rsid w:val="00A80B48"/>
    <w:rsid w:val="00A80D7F"/>
    <w:rsid w:val="00A80E74"/>
    <w:rsid w:val="00A80EC3"/>
    <w:rsid w:val="00A80FCE"/>
    <w:rsid w:val="00A80FFB"/>
    <w:rsid w:val="00A811B9"/>
    <w:rsid w:val="00A81223"/>
    <w:rsid w:val="00A81266"/>
    <w:rsid w:val="00A81295"/>
    <w:rsid w:val="00A812D6"/>
    <w:rsid w:val="00A812F5"/>
    <w:rsid w:val="00A813F9"/>
    <w:rsid w:val="00A8142B"/>
    <w:rsid w:val="00A81474"/>
    <w:rsid w:val="00A814B4"/>
    <w:rsid w:val="00A8154D"/>
    <w:rsid w:val="00A815E3"/>
    <w:rsid w:val="00A81680"/>
    <w:rsid w:val="00A8170D"/>
    <w:rsid w:val="00A81725"/>
    <w:rsid w:val="00A81804"/>
    <w:rsid w:val="00A818AF"/>
    <w:rsid w:val="00A81919"/>
    <w:rsid w:val="00A81923"/>
    <w:rsid w:val="00A81969"/>
    <w:rsid w:val="00A81A58"/>
    <w:rsid w:val="00A81ABA"/>
    <w:rsid w:val="00A81B37"/>
    <w:rsid w:val="00A81C21"/>
    <w:rsid w:val="00A81CAB"/>
    <w:rsid w:val="00A81DD7"/>
    <w:rsid w:val="00A81EB9"/>
    <w:rsid w:val="00A81EC2"/>
    <w:rsid w:val="00A81FC2"/>
    <w:rsid w:val="00A81FDA"/>
    <w:rsid w:val="00A8202A"/>
    <w:rsid w:val="00A82073"/>
    <w:rsid w:val="00A820D7"/>
    <w:rsid w:val="00A8213A"/>
    <w:rsid w:val="00A82167"/>
    <w:rsid w:val="00A82209"/>
    <w:rsid w:val="00A822A2"/>
    <w:rsid w:val="00A822C1"/>
    <w:rsid w:val="00A822DE"/>
    <w:rsid w:val="00A822E5"/>
    <w:rsid w:val="00A82338"/>
    <w:rsid w:val="00A8234A"/>
    <w:rsid w:val="00A8235B"/>
    <w:rsid w:val="00A824B1"/>
    <w:rsid w:val="00A8256A"/>
    <w:rsid w:val="00A826F5"/>
    <w:rsid w:val="00A82712"/>
    <w:rsid w:val="00A82892"/>
    <w:rsid w:val="00A828A6"/>
    <w:rsid w:val="00A828E1"/>
    <w:rsid w:val="00A8297D"/>
    <w:rsid w:val="00A829E2"/>
    <w:rsid w:val="00A82B42"/>
    <w:rsid w:val="00A82BD8"/>
    <w:rsid w:val="00A82BDB"/>
    <w:rsid w:val="00A82C56"/>
    <w:rsid w:val="00A82D34"/>
    <w:rsid w:val="00A82D85"/>
    <w:rsid w:val="00A82E17"/>
    <w:rsid w:val="00A82E6D"/>
    <w:rsid w:val="00A82F0D"/>
    <w:rsid w:val="00A830E2"/>
    <w:rsid w:val="00A831B2"/>
    <w:rsid w:val="00A832A0"/>
    <w:rsid w:val="00A832BE"/>
    <w:rsid w:val="00A8346F"/>
    <w:rsid w:val="00A834C0"/>
    <w:rsid w:val="00A8352A"/>
    <w:rsid w:val="00A8358D"/>
    <w:rsid w:val="00A8363E"/>
    <w:rsid w:val="00A8365A"/>
    <w:rsid w:val="00A8369E"/>
    <w:rsid w:val="00A836F0"/>
    <w:rsid w:val="00A83795"/>
    <w:rsid w:val="00A837BE"/>
    <w:rsid w:val="00A83826"/>
    <w:rsid w:val="00A8383F"/>
    <w:rsid w:val="00A839F7"/>
    <w:rsid w:val="00A83A30"/>
    <w:rsid w:val="00A83A9D"/>
    <w:rsid w:val="00A83AC5"/>
    <w:rsid w:val="00A83B09"/>
    <w:rsid w:val="00A83B41"/>
    <w:rsid w:val="00A83B97"/>
    <w:rsid w:val="00A83BB3"/>
    <w:rsid w:val="00A83C68"/>
    <w:rsid w:val="00A83D58"/>
    <w:rsid w:val="00A83D61"/>
    <w:rsid w:val="00A83EA1"/>
    <w:rsid w:val="00A83F1A"/>
    <w:rsid w:val="00A83FC9"/>
    <w:rsid w:val="00A83FF8"/>
    <w:rsid w:val="00A8402D"/>
    <w:rsid w:val="00A8405D"/>
    <w:rsid w:val="00A840B7"/>
    <w:rsid w:val="00A840C4"/>
    <w:rsid w:val="00A841CC"/>
    <w:rsid w:val="00A84211"/>
    <w:rsid w:val="00A842BC"/>
    <w:rsid w:val="00A844B5"/>
    <w:rsid w:val="00A844C0"/>
    <w:rsid w:val="00A844CD"/>
    <w:rsid w:val="00A844EC"/>
    <w:rsid w:val="00A84603"/>
    <w:rsid w:val="00A84641"/>
    <w:rsid w:val="00A846AD"/>
    <w:rsid w:val="00A84752"/>
    <w:rsid w:val="00A8479B"/>
    <w:rsid w:val="00A847AB"/>
    <w:rsid w:val="00A8488E"/>
    <w:rsid w:val="00A849AC"/>
    <w:rsid w:val="00A84A22"/>
    <w:rsid w:val="00A84A2A"/>
    <w:rsid w:val="00A84ACD"/>
    <w:rsid w:val="00A84ADF"/>
    <w:rsid w:val="00A84B8B"/>
    <w:rsid w:val="00A84B8E"/>
    <w:rsid w:val="00A84C10"/>
    <w:rsid w:val="00A84C35"/>
    <w:rsid w:val="00A84CC9"/>
    <w:rsid w:val="00A84D65"/>
    <w:rsid w:val="00A84FD3"/>
    <w:rsid w:val="00A8502D"/>
    <w:rsid w:val="00A850B7"/>
    <w:rsid w:val="00A8514B"/>
    <w:rsid w:val="00A8514F"/>
    <w:rsid w:val="00A8518E"/>
    <w:rsid w:val="00A851E9"/>
    <w:rsid w:val="00A852A4"/>
    <w:rsid w:val="00A852A7"/>
    <w:rsid w:val="00A85345"/>
    <w:rsid w:val="00A853A3"/>
    <w:rsid w:val="00A853B1"/>
    <w:rsid w:val="00A853E3"/>
    <w:rsid w:val="00A853E8"/>
    <w:rsid w:val="00A8541C"/>
    <w:rsid w:val="00A85432"/>
    <w:rsid w:val="00A854B6"/>
    <w:rsid w:val="00A854D8"/>
    <w:rsid w:val="00A854E9"/>
    <w:rsid w:val="00A8565F"/>
    <w:rsid w:val="00A857B9"/>
    <w:rsid w:val="00A85854"/>
    <w:rsid w:val="00A85887"/>
    <w:rsid w:val="00A8589A"/>
    <w:rsid w:val="00A858CB"/>
    <w:rsid w:val="00A85944"/>
    <w:rsid w:val="00A85A06"/>
    <w:rsid w:val="00A85A77"/>
    <w:rsid w:val="00A85A79"/>
    <w:rsid w:val="00A85B14"/>
    <w:rsid w:val="00A85B56"/>
    <w:rsid w:val="00A85B9E"/>
    <w:rsid w:val="00A85DCD"/>
    <w:rsid w:val="00A85EFD"/>
    <w:rsid w:val="00A85F1F"/>
    <w:rsid w:val="00A85F98"/>
    <w:rsid w:val="00A86023"/>
    <w:rsid w:val="00A8602F"/>
    <w:rsid w:val="00A86052"/>
    <w:rsid w:val="00A86086"/>
    <w:rsid w:val="00A86107"/>
    <w:rsid w:val="00A86160"/>
    <w:rsid w:val="00A8617A"/>
    <w:rsid w:val="00A861DA"/>
    <w:rsid w:val="00A8627A"/>
    <w:rsid w:val="00A8638C"/>
    <w:rsid w:val="00A8646B"/>
    <w:rsid w:val="00A86490"/>
    <w:rsid w:val="00A8651B"/>
    <w:rsid w:val="00A865A2"/>
    <w:rsid w:val="00A865EA"/>
    <w:rsid w:val="00A86723"/>
    <w:rsid w:val="00A86763"/>
    <w:rsid w:val="00A86825"/>
    <w:rsid w:val="00A8687D"/>
    <w:rsid w:val="00A868B8"/>
    <w:rsid w:val="00A8691A"/>
    <w:rsid w:val="00A8696A"/>
    <w:rsid w:val="00A86998"/>
    <w:rsid w:val="00A86A01"/>
    <w:rsid w:val="00A86A8C"/>
    <w:rsid w:val="00A86ADA"/>
    <w:rsid w:val="00A86AF9"/>
    <w:rsid w:val="00A86AFD"/>
    <w:rsid w:val="00A86B55"/>
    <w:rsid w:val="00A86B72"/>
    <w:rsid w:val="00A86BCE"/>
    <w:rsid w:val="00A86C90"/>
    <w:rsid w:val="00A86CBC"/>
    <w:rsid w:val="00A86CDB"/>
    <w:rsid w:val="00A86DA0"/>
    <w:rsid w:val="00A86DF8"/>
    <w:rsid w:val="00A86E7B"/>
    <w:rsid w:val="00A86EFB"/>
    <w:rsid w:val="00A86F7B"/>
    <w:rsid w:val="00A8702F"/>
    <w:rsid w:val="00A87030"/>
    <w:rsid w:val="00A87048"/>
    <w:rsid w:val="00A87070"/>
    <w:rsid w:val="00A870B5"/>
    <w:rsid w:val="00A87103"/>
    <w:rsid w:val="00A8713E"/>
    <w:rsid w:val="00A871A3"/>
    <w:rsid w:val="00A871B0"/>
    <w:rsid w:val="00A871B1"/>
    <w:rsid w:val="00A871FF"/>
    <w:rsid w:val="00A87250"/>
    <w:rsid w:val="00A872B1"/>
    <w:rsid w:val="00A872B2"/>
    <w:rsid w:val="00A872F5"/>
    <w:rsid w:val="00A873A3"/>
    <w:rsid w:val="00A873E8"/>
    <w:rsid w:val="00A873EC"/>
    <w:rsid w:val="00A8741F"/>
    <w:rsid w:val="00A87451"/>
    <w:rsid w:val="00A874B8"/>
    <w:rsid w:val="00A874EE"/>
    <w:rsid w:val="00A87505"/>
    <w:rsid w:val="00A8755B"/>
    <w:rsid w:val="00A875D8"/>
    <w:rsid w:val="00A875F4"/>
    <w:rsid w:val="00A875F5"/>
    <w:rsid w:val="00A8766F"/>
    <w:rsid w:val="00A8779B"/>
    <w:rsid w:val="00A877C2"/>
    <w:rsid w:val="00A877DD"/>
    <w:rsid w:val="00A877F1"/>
    <w:rsid w:val="00A87832"/>
    <w:rsid w:val="00A87874"/>
    <w:rsid w:val="00A87894"/>
    <w:rsid w:val="00A87939"/>
    <w:rsid w:val="00A87966"/>
    <w:rsid w:val="00A87977"/>
    <w:rsid w:val="00A879BD"/>
    <w:rsid w:val="00A879C6"/>
    <w:rsid w:val="00A87AE2"/>
    <w:rsid w:val="00A87C56"/>
    <w:rsid w:val="00A87D6E"/>
    <w:rsid w:val="00A87E7D"/>
    <w:rsid w:val="00A87EB6"/>
    <w:rsid w:val="00A87F71"/>
    <w:rsid w:val="00A87FEC"/>
    <w:rsid w:val="00A9003E"/>
    <w:rsid w:val="00A900C1"/>
    <w:rsid w:val="00A900C4"/>
    <w:rsid w:val="00A900F1"/>
    <w:rsid w:val="00A90226"/>
    <w:rsid w:val="00A902C6"/>
    <w:rsid w:val="00A90359"/>
    <w:rsid w:val="00A90461"/>
    <w:rsid w:val="00A9048F"/>
    <w:rsid w:val="00A904DB"/>
    <w:rsid w:val="00A904E5"/>
    <w:rsid w:val="00A90588"/>
    <w:rsid w:val="00A905EA"/>
    <w:rsid w:val="00A90606"/>
    <w:rsid w:val="00A90665"/>
    <w:rsid w:val="00A9071E"/>
    <w:rsid w:val="00A90764"/>
    <w:rsid w:val="00A90813"/>
    <w:rsid w:val="00A90825"/>
    <w:rsid w:val="00A90858"/>
    <w:rsid w:val="00A9090B"/>
    <w:rsid w:val="00A9095D"/>
    <w:rsid w:val="00A9099F"/>
    <w:rsid w:val="00A90A43"/>
    <w:rsid w:val="00A90A4F"/>
    <w:rsid w:val="00A90AF3"/>
    <w:rsid w:val="00A90BD5"/>
    <w:rsid w:val="00A90CC9"/>
    <w:rsid w:val="00A90CDB"/>
    <w:rsid w:val="00A90E3E"/>
    <w:rsid w:val="00A90ECC"/>
    <w:rsid w:val="00A90EFA"/>
    <w:rsid w:val="00A90F32"/>
    <w:rsid w:val="00A90FCC"/>
    <w:rsid w:val="00A90FE3"/>
    <w:rsid w:val="00A90FE8"/>
    <w:rsid w:val="00A91061"/>
    <w:rsid w:val="00A91064"/>
    <w:rsid w:val="00A910C3"/>
    <w:rsid w:val="00A9122C"/>
    <w:rsid w:val="00A9122F"/>
    <w:rsid w:val="00A9124D"/>
    <w:rsid w:val="00A9126B"/>
    <w:rsid w:val="00A9130C"/>
    <w:rsid w:val="00A91362"/>
    <w:rsid w:val="00A91372"/>
    <w:rsid w:val="00A9147F"/>
    <w:rsid w:val="00A914E3"/>
    <w:rsid w:val="00A9150C"/>
    <w:rsid w:val="00A91514"/>
    <w:rsid w:val="00A9158D"/>
    <w:rsid w:val="00A916C9"/>
    <w:rsid w:val="00A91720"/>
    <w:rsid w:val="00A917A6"/>
    <w:rsid w:val="00A917DD"/>
    <w:rsid w:val="00A91844"/>
    <w:rsid w:val="00A91898"/>
    <w:rsid w:val="00A918E2"/>
    <w:rsid w:val="00A91C0A"/>
    <w:rsid w:val="00A91CDB"/>
    <w:rsid w:val="00A91CFF"/>
    <w:rsid w:val="00A91D03"/>
    <w:rsid w:val="00A91D4A"/>
    <w:rsid w:val="00A91EA2"/>
    <w:rsid w:val="00A91ED6"/>
    <w:rsid w:val="00A91EFD"/>
    <w:rsid w:val="00A91EFF"/>
    <w:rsid w:val="00A91F0B"/>
    <w:rsid w:val="00A91F4F"/>
    <w:rsid w:val="00A91FA7"/>
    <w:rsid w:val="00A920C2"/>
    <w:rsid w:val="00A92161"/>
    <w:rsid w:val="00A9218C"/>
    <w:rsid w:val="00A9220C"/>
    <w:rsid w:val="00A92211"/>
    <w:rsid w:val="00A92222"/>
    <w:rsid w:val="00A9225B"/>
    <w:rsid w:val="00A922ED"/>
    <w:rsid w:val="00A9231D"/>
    <w:rsid w:val="00A9232D"/>
    <w:rsid w:val="00A92373"/>
    <w:rsid w:val="00A9239E"/>
    <w:rsid w:val="00A923EF"/>
    <w:rsid w:val="00A924C4"/>
    <w:rsid w:val="00A9250F"/>
    <w:rsid w:val="00A9261C"/>
    <w:rsid w:val="00A9265C"/>
    <w:rsid w:val="00A926CC"/>
    <w:rsid w:val="00A92722"/>
    <w:rsid w:val="00A92797"/>
    <w:rsid w:val="00A9281A"/>
    <w:rsid w:val="00A928B3"/>
    <w:rsid w:val="00A92908"/>
    <w:rsid w:val="00A92987"/>
    <w:rsid w:val="00A929BF"/>
    <w:rsid w:val="00A929D7"/>
    <w:rsid w:val="00A92AD6"/>
    <w:rsid w:val="00A92ADA"/>
    <w:rsid w:val="00A92B80"/>
    <w:rsid w:val="00A92BA2"/>
    <w:rsid w:val="00A92BB2"/>
    <w:rsid w:val="00A92BEA"/>
    <w:rsid w:val="00A92C82"/>
    <w:rsid w:val="00A92CF3"/>
    <w:rsid w:val="00A92DA9"/>
    <w:rsid w:val="00A92E7E"/>
    <w:rsid w:val="00A92FA6"/>
    <w:rsid w:val="00A92FE8"/>
    <w:rsid w:val="00A9312A"/>
    <w:rsid w:val="00A9317B"/>
    <w:rsid w:val="00A93222"/>
    <w:rsid w:val="00A93275"/>
    <w:rsid w:val="00A9329B"/>
    <w:rsid w:val="00A932E8"/>
    <w:rsid w:val="00A93528"/>
    <w:rsid w:val="00A93555"/>
    <w:rsid w:val="00A93559"/>
    <w:rsid w:val="00A9355A"/>
    <w:rsid w:val="00A93674"/>
    <w:rsid w:val="00A93687"/>
    <w:rsid w:val="00A936E5"/>
    <w:rsid w:val="00A9375C"/>
    <w:rsid w:val="00A938DA"/>
    <w:rsid w:val="00A93AB3"/>
    <w:rsid w:val="00A93B5E"/>
    <w:rsid w:val="00A93BF8"/>
    <w:rsid w:val="00A93C24"/>
    <w:rsid w:val="00A93C3C"/>
    <w:rsid w:val="00A93C44"/>
    <w:rsid w:val="00A93EB3"/>
    <w:rsid w:val="00A93EF9"/>
    <w:rsid w:val="00A93F30"/>
    <w:rsid w:val="00A93F6C"/>
    <w:rsid w:val="00A93FBF"/>
    <w:rsid w:val="00A9405D"/>
    <w:rsid w:val="00A940AA"/>
    <w:rsid w:val="00A94128"/>
    <w:rsid w:val="00A941AD"/>
    <w:rsid w:val="00A941B0"/>
    <w:rsid w:val="00A9425F"/>
    <w:rsid w:val="00A94281"/>
    <w:rsid w:val="00A942E7"/>
    <w:rsid w:val="00A94323"/>
    <w:rsid w:val="00A943C9"/>
    <w:rsid w:val="00A943E6"/>
    <w:rsid w:val="00A9443A"/>
    <w:rsid w:val="00A94444"/>
    <w:rsid w:val="00A94448"/>
    <w:rsid w:val="00A94460"/>
    <w:rsid w:val="00A944C3"/>
    <w:rsid w:val="00A944F4"/>
    <w:rsid w:val="00A9451D"/>
    <w:rsid w:val="00A94762"/>
    <w:rsid w:val="00A948A7"/>
    <w:rsid w:val="00A949F5"/>
    <w:rsid w:val="00A94A84"/>
    <w:rsid w:val="00A94B6E"/>
    <w:rsid w:val="00A94C46"/>
    <w:rsid w:val="00A94D1E"/>
    <w:rsid w:val="00A94D8D"/>
    <w:rsid w:val="00A94DBF"/>
    <w:rsid w:val="00A94E31"/>
    <w:rsid w:val="00A94EA2"/>
    <w:rsid w:val="00A94F19"/>
    <w:rsid w:val="00A94F88"/>
    <w:rsid w:val="00A94FF9"/>
    <w:rsid w:val="00A95015"/>
    <w:rsid w:val="00A950DA"/>
    <w:rsid w:val="00A95186"/>
    <w:rsid w:val="00A9520C"/>
    <w:rsid w:val="00A953B9"/>
    <w:rsid w:val="00A95444"/>
    <w:rsid w:val="00A9544A"/>
    <w:rsid w:val="00A955A0"/>
    <w:rsid w:val="00A955F4"/>
    <w:rsid w:val="00A95615"/>
    <w:rsid w:val="00A9568C"/>
    <w:rsid w:val="00A95696"/>
    <w:rsid w:val="00A956F8"/>
    <w:rsid w:val="00A95857"/>
    <w:rsid w:val="00A958D9"/>
    <w:rsid w:val="00A95A44"/>
    <w:rsid w:val="00A95A46"/>
    <w:rsid w:val="00A95AEC"/>
    <w:rsid w:val="00A95B05"/>
    <w:rsid w:val="00A95B0D"/>
    <w:rsid w:val="00A95B20"/>
    <w:rsid w:val="00A95B54"/>
    <w:rsid w:val="00A95B6D"/>
    <w:rsid w:val="00A95BB0"/>
    <w:rsid w:val="00A95C0E"/>
    <w:rsid w:val="00A95C12"/>
    <w:rsid w:val="00A95D47"/>
    <w:rsid w:val="00A95D78"/>
    <w:rsid w:val="00A95E6C"/>
    <w:rsid w:val="00A95ED4"/>
    <w:rsid w:val="00A95FBD"/>
    <w:rsid w:val="00A95FF4"/>
    <w:rsid w:val="00A960EF"/>
    <w:rsid w:val="00A96128"/>
    <w:rsid w:val="00A9618B"/>
    <w:rsid w:val="00A961B1"/>
    <w:rsid w:val="00A961C4"/>
    <w:rsid w:val="00A96214"/>
    <w:rsid w:val="00A9629E"/>
    <w:rsid w:val="00A96368"/>
    <w:rsid w:val="00A9637E"/>
    <w:rsid w:val="00A96401"/>
    <w:rsid w:val="00A96443"/>
    <w:rsid w:val="00A964C5"/>
    <w:rsid w:val="00A9652C"/>
    <w:rsid w:val="00A9652D"/>
    <w:rsid w:val="00A965F8"/>
    <w:rsid w:val="00A96614"/>
    <w:rsid w:val="00A96616"/>
    <w:rsid w:val="00A96633"/>
    <w:rsid w:val="00A9666A"/>
    <w:rsid w:val="00A9666B"/>
    <w:rsid w:val="00A9666E"/>
    <w:rsid w:val="00A9667E"/>
    <w:rsid w:val="00A966A8"/>
    <w:rsid w:val="00A966D6"/>
    <w:rsid w:val="00A966D9"/>
    <w:rsid w:val="00A9677A"/>
    <w:rsid w:val="00A967BF"/>
    <w:rsid w:val="00A968D3"/>
    <w:rsid w:val="00A96B85"/>
    <w:rsid w:val="00A96BB4"/>
    <w:rsid w:val="00A96C5D"/>
    <w:rsid w:val="00A96CDF"/>
    <w:rsid w:val="00A96D34"/>
    <w:rsid w:val="00A96D5D"/>
    <w:rsid w:val="00A96D8B"/>
    <w:rsid w:val="00A96F52"/>
    <w:rsid w:val="00A9709F"/>
    <w:rsid w:val="00A970B5"/>
    <w:rsid w:val="00A97104"/>
    <w:rsid w:val="00A9722D"/>
    <w:rsid w:val="00A972D4"/>
    <w:rsid w:val="00A97300"/>
    <w:rsid w:val="00A97337"/>
    <w:rsid w:val="00A97437"/>
    <w:rsid w:val="00A97520"/>
    <w:rsid w:val="00A975FA"/>
    <w:rsid w:val="00A97651"/>
    <w:rsid w:val="00A977AC"/>
    <w:rsid w:val="00A977E8"/>
    <w:rsid w:val="00A97846"/>
    <w:rsid w:val="00A97995"/>
    <w:rsid w:val="00A97999"/>
    <w:rsid w:val="00A97B2D"/>
    <w:rsid w:val="00A97B6B"/>
    <w:rsid w:val="00A97D27"/>
    <w:rsid w:val="00A97D73"/>
    <w:rsid w:val="00A97D92"/>
    <w:rsid w:val="00A97DA8"/>
    <w:rsid w:val="00A97E8F"/>
    <w:rsid w:val="00A97ECF"/>
    <w:rsid w:val="00AA001C"/>
    <w:rsid w:val="00AA0099"/>
    <w:rsid w:val="00AA00BA"/>
    <w:rsid w:val="00AA00CE"/>
    <w:rsid w:val="00AA00E7"/>
    <w:rsid w:val="00AA013F"/>
    <w:rsid w:val="00AA015C"/>
    <w:rsid w:val="00AA0198"/>
    <w:rsid w:val="00AA0218"/>
    <w:rsid w:val="00AA02D0"/>
    <w:rsid w:val="00AA03B1"/>
    <w:rsid w:val="00AA03F2"/>
    <w:rsid w:val="00AA047A"/>
    <w:rsid w:val="00AA04EA"/>
    <w:rsid w:val="00AA051C"/>
    <w:rsid w:val="00AA0577"/>
    <w:rsid w:val="00AA0632"/>
    <w:rsid w:val="00AA0663"/>
    <w:rsid w:val="00AA07EC"/>
    <w:rsid w:val="00AA0943"/>
    <w:rsid w:val="00AA096D"/>
    <w:rsid w:val="00AA09D8"/>
    <w:rsid w:val="00AA0A26"/>
    <w:rsid w:val="00AA0A28"/>
    <w:rsid w:val="00AA0BF8"/>
    <w:rsid w:val="00AA0D08"/>
    <w:rsid w:val="00AA0D2C"/>
    <w:rsid w:val="00AA0D6A"/>
    <w:rsid w:val="00AA0D8E"/>
    <w:rsid w:val="00AA0DC1"/>
    <w:rsid w:val="00AA0DC3"/>
    <w:rsid w:val="00AA0E15"/>
    <w:rsid w:val="00AA0E66"/>
    <w:rsid w:val="00AA0E71"/>
    <w:rsid w:val="00AA0F0C"/>
    <w:rsid w:val="00AA0F77"/>
    <w:rsid w:val="00AA1048"/>
    <w:rsid w:val="00AA109C"/>
    <w:rsid w:val="00AA1176"/>
    <w:rsid w:val="00AA11BD"/>
    <w:rsid w:val="00AA1241"/>
    <w:rsid w:val="00AA12B6"/>
    <w:rsid w:val="00AA12C4"/>
    <w:rsid w:val="00AA13AC"/>
    <w:rsid w:val="00AA1416"/>
    <w:rsid w:val="00AA15AC"/>
    <w:rsid w:val="00AA1626"/>
    <w:rsid w:val="00AA1722"/>
    <w:rsid w:val="00AA174B"/>
    <w:rsid w:val="00AA1754"/>
    <w:rsid w:val="00AA199E"/>
    <w:rsid w:val="00AA1A44"/>
    <w:rsid w:val="00AA1A4B"/>
    <w:rsid w:val="00AA1A64"/>
    <w:rsid w:val="00AA1AD0"/>
    <w:rsid w:val="00AA1AF3"/>
    <w:rsid w:val="00AA1B16"/>
    <w:rsid w:val="00AA1C20"/>
    <w:rsid w:val="00AA1C6F"/>
    <w:rsid w:val="00AA1D12"/>
    <w:rsid w:val="00AA1D63"/>
    <w:rsid w:val="00AA1DA1"/>
    <w:rsid w:val="00AA1DC0"/>
    <w:rsid w:val="00AA1DD3"/>
    <w:rsid w:val="00AA1E01"/>
    <w:rsid w:val="00AA1E1C"/>
    <w:rsid w:val="00AA1E52"/>
    <w:rsid w:val="00AA1EFE"/>
    <w:rsid w:val="00AA1F27"/>
    <w:rsid w:val="00AA1FC8"/>
    <w:rsid w:val="00AA203B"/>
    <w:rsid w:val="00AA2094"/>
    <w:rsid w:val="00AA20DB"/>
    <w:rsid w:val="00AA227F"/>
    <w:rsid w:val="00AA2283"/>
    <w:rsid w:val="00AA2304"/>
    <w:rsid w:val="00AA2333"/>
    <w:rsid w:val="00AA23A0"/>
    <w:rsid w:val="00AA240F"/>
    <w:rsid w:val="00AA245D"/>
    <w:rsid w:val="00AA2515"/>
    <w:rsid w:val="00AA25DF"/>
    <w:rsid w:val="00AA2619"/>
    <w:rsid w:val="00AA264E"/>
    <w:rsid w:val="00AA26C2"/>
    <w:rsid w:val="00AA276E"/>
    <w:rsid w:val="00AA2846"/>
    <w:rsid w:val="00AA28B9"/>
    <w:rsid w:val="00AA29B3"/>
    <w:rsid w:val="00AA2A65"/>
    <w:rsid w:val="00AA2A85"/>
    <w:rsid w:val="00AA2AA2"/>
    <w:rsid w:val="00AA2ABC"/>
    <w:rsid w:val="00AA2B06"/>
    <w:rsid w:val="00AA2B49"/>
    <w:rsid w:val="00AA2B76"/>
    <w:rsid w:val="00AA2B85"/>
    <w:rsid w:val="00AA2C66"/>
    <w:rsid w:val="00AA2D0D"/>
    <w:rsid w:val="00AA2E28"/>
    <w:rsid w:val="00AA2E40"/>
    <w:rsid w:val="00AA2EE2"/>
    <w:rsid w:val="00AA2F05"/>
    <w:rsid w:val="00AA2F26"/>
    <w:rsid w:val="00AA2FE8"/>
    <w:rsid w:val="00AA3003"/>
    <w:rsid w:val="00AA3016"/>
    <w:rsid w:val="00AA304E"/>
    <w:rsid w:val="00AA3110"/>
    <w:rsid w:val="00AA3146"/>
    <w:rsid w:val="00AA3158"/>
    <w:rsid w:val="00AA3194"/>
    <w:rsid w:val="00AA31FA"/>
    <w:rsid w:val="00AA3338"/>
    <w:rsid w:val="00AA33A3"/>
    <w:rsid w:val="00AA3423"/>
    <w:rsid w:val="00AA344F"/>
    <w:rsid w:val="00AA3458"/>
    <w:rsid w:val="00AA3513"/>
    <w:rsid w:val="00AA353C"/>
    <w:rsid w:val="00AA3560"/>
    <w:rsid w:val="00AA35AF"/>
    <w:rsid w:val="00AA35B6"/>
    <w:rsid w:val="00AA37CD"/>
    <w:rsid w:val="00AA3990"/>
    <w:rsid w:val="00AA39D7"/>
    <w:rsid w:val="00AA3A5B"/>
    <w:rsid w:val="00AA3A7C"/>
    <w:rsid w:val="00AA3B7D"/>
    <w:rsid w:val="00AA3C3F"/>
    <w:rsid w:val="00AA3C51"/>
    <w:rsid w:val="00AA3CA5"/>
    <w:rsid w:val="00AA3EEC"/>
    <w:rsid w:val="00AA3F42"/>
    <w:rsid w:val="00AA3F82"/>
    <w:rsid w:val="00AA3FD6"/>
    <w:rsid w:val="00AA4068"/>
    <w:rsid w:val="00AA41AE"/>
    <w:rsid w:val="00AA41F4"/>
    <w:rsid w:val="00AA428C"/>
    <w:rsid w:val="00AA43F5"/>
    <w:rsid w:val="00AA4439"/>
    <w:rsid w:val="00AA449B"/>
    <w:rsid w:val="00AA4531"/>
    <w:rsid w:val="00AA45B6"/>
    <w:rsid w:val="00AA45C3"/>
    <w:rsid w:val="00AA47BF"/>
    <w:rsid w:val="00AA47C9"/>
    <w:rsid w:val="00AA4986"/>
    <w:rsid w:val="00AA499D"/>
    <w:rsid w:val="00AA4A85"/>
    <w:rsid w:val="00AA4B91"/>
    <w:rsid w:val="00AA4BF1"/>
    <w:rsid w:val="00AA4BFB"/>
    <w:rsid w:val="00AA4C3F"/>
    <w:rsid w:val="00AA4C58"/>
    <w:rsid w:val="00AA4C78"/>
    <w:rsid w:val="00AA4C9C"/>
    <w:rsid w:val="00AA4CB4"/>
    <w:rsid w:val="00AA4D07"/>
    <w:rsid w:val="00AA4D63"/>
    <w:rsid w:val="00AA4E8E"/>
    <w:rsid w:val="00AA4E99"/>
    <w:rsid w:val="00AA4F3D"/>
    <w:rsid w:val="00AA4F98"/>
    <w:rsid w:val="00AA4FEF"/>
    <w:rsid w:val="00AA4FF4"/>
    <w:rsid w:val="00AA5057"/>
    <w:rsid w:val="00AA50C0"/>
    <w:rsid w:val="00AA51F1"/>
    <w:rsid w:val="00AA523A"/>
    <w:rsid w:val="00AA5369"/>
    <w:rsid w:val="00AA5372"/>
    <w:rsid w:val="00AA53DD"/>
    <w:rsid w:val="00AA5526"/>
    <w:rsid w:val="00AA556A"/>
    <w:rsid w:val="00AA55B3"/>
    <w:rsid w:val="00AA55DC"/>
    <w:rsid w:val="00AA55E1"/>
    <w:rsid w:val="00AA5619"/>
    <w:rsid w:val="00AA5638"/>
    <w:rsid w:val="00AA563F"/>
    <w:rsid w:val="00AA5716"/>
    <w:rsid w:val="00AA5738"/>
    <w:rsid w:val="00AA57C0"/>
    <w:rsid w:val="00AA5802"/>
    <w:rsid w:val="00AA5854"/>
    <w:rsid w:val="00AA5862"/>
    <w:rsid w:val="00AA587A"/>
    <w:rsid w:val="00AA58F1"/>
    <w:rsid w:val="00AA59BE"/>
    <w:rsid w:val="00AA5B1A"/>
    <w:rsid w:val="00AA5B20"/>
    <w:rsid w:val="00AA5B27"/>
    <w:rsid w:val="00AA5B2D"/>
    <w:rsid w:val="00AA5BF9"/>
    <w:rsid w:val="00AA5C0D"/>
    <w:rsid w:val="00AA5C15"/>
    <w:rsid w:val="00AA5C8C"/>
    <w:rsid w:val="00AA5D1F"/>
    <w:rsid w:val="00AA5D64"/>
    <w:rsid w:val="00AA5E90"/>
    <w:rsid w:val="00AA5EB5"/>
    <w:rsid w:val="00AA5F05"/>
    <w:rsid w:val="00AA5FC7"/>
    <w:rsid w:val="00AA5FC8"/>
    <w:rsid w:val="00AA5FCC"/>
    <w:rsid w:val="00AA5FCF"/>
    <w:rsid w:val="00AA6165"/>
    <w:rsid w:val="00AA61BA"/>
    <w:rsid w:val="00AA6437"/>
    <w:rsid w:val="00AA6480"/>
    <w:rsid w:val="00AA64E3"/>
    <w:rsid w:val="00AA6532"/>
    <w:rsid w:val="00AA658F"/>
    <w:rsid w:val="00AA65B4"/>
    <w:rsid w:val="00AA66C2"/>
    <w:rsid w:val="00AA67B4"/>
    <w:rsid w:val="00AA6828"/>
    <w:rsid w:val="00AA68A5"/>
    <w:rsid w:val="00AA6A54"/>
    <w:rsid w:val="00AA6A78"/>
    <w:rsid w:val="00AA6A90"/>
    <w:rsid w:val="00AA6AB6"/>
    <w:rsid w:val="00AA6B22"/>
    <w:rsid w:val="00AA6B55"/>
    <w:rsid w:val="00AA6BB3"/>
    <w:rsid w:val="00AA6BE1"/>
    <w:rsid w:val="00AA6BE2"/>
    <w:rsid w:val="00AA6BFD"/>
    <w:rsid w:val="00AA6C0A"/>
    <w:rsid w:val="00AA6C3F"/>
    <w:rsid w:val="00AA6D54"/>
    <w:rsid w:val="00AA6E05"/>
    <w:rsid w:val="00AA6EF4"/>
    <w:rsid w:val="00AA6F4E"/>
    <w:rsid w:val="00AA7081"/>
    <w:rsid w:val="00AA7113"/>
    <w:rsid w:val="00AA71F4"/>
    <w:rsid w:val="00AA72B9"/>
    <w:rsid w:val="00AA7319"/>
    <w:rsid w:val="00AA74F4"/>
    <w:rsid w:val="00AA751F"/>
    <w:rsid w:val="00AA7553"/>
    <w:rsid w:val="00AA759A"/>
    <w:rsid w:val="00AA75C8"/>
    <w:rsid w:val="00AA75DF"/>
    <w:rsid w:val="00AA7668"/>
    <w:rsid w:val="00AA7757"/>
    <w:rsid w:val="00AA7763"/>
    <w:rsid w:val="00AA776F"/>
    <w:rsid w:val="00AA7804"/>
    <w:rsid w:val="00AA787A"/>
    <w:rsid w:val="00AA78DD"/>
    <w:rsid w:val="00AA78E2"/>
    <w:rsid w:val="00AA78EB"/>
    <w:rsid w:val="00AA78EE"/>
    <w:rsid w:val="00AA7957"/>
    <w:rsid w:val="00AA795B"/>
    <w:rsid w:val="00AA79D9"/>
    <w:rsid w:val="00AA79ED"/>
    <w:rsid w:val="00AA7A4B"/>
    <w:rsid w:val="00AA7AB9"/>
    <w:rsid w:val="00AA7ACE"/>
    <w:rsid w:val="00AA7B19"/>
    <w:rsid w:val="00AA7B5C"/>
    <w:rsid w:val="00AA7C50"/>
    <w:rsid w:val="00AA7C5E"/>
    <w:rsid w:val="00AA7C69"/>
    <w:rsid w:val="00AA7D2B"/>
    <w:rsid w:val="00AA7E9B"/>
    <w:rsid w:val="00AA7ECB"/>
    <w:rsid w:val="00AA7F1D"/>
    <w:rsid w:val="00AB001E"/>
    <w:rsid w:val="00AB003C"/>
    <w:rsid w:val="00AB0068"/>
    <w:rsid w:val="00AB00B4"/>
    <w:rsid w:val="00AB020B"/>
    <w:rsid w:val="00AB0335"/>
    <w:rsid w:val="00AB0388"/>
    <w:rsid w:val="00AB04E1"/>
    <w:rsid w:val="00AB0550"/>
    <w:rsid w:val="00AB05DC"/>
    <w:rsid w:val="00AB0603"/>
    <w:rsid w:val="00AB075C"/>
    <w:rsid w:val="00AB07BD"/>
    <w:rsid w:val="00AB07E1"/>
    <w:rsid w:val="00AB081A"/>
    <w:rsid w:val="00AB0838"/>
    <w:rsid w:val="00AB085E"/>
    <w:rsid w:val="00AB08C0"/>
    <w:rsid w:val="00AB0965"/>
    <w:rsid w:val="00AB09A2"/>
    <w:rsid w:val="00AB0AA6"/>
    <w:rsid w:val="00AB0AA9"/>
    <w:rsid w:val="00AB0AEE"/>
    <w:rsid w:val="00AB0B34"/>
    <w:rsid w:val="00AB0B49"/>
    <w:rsid w:val="00AB0B5F"/>
    <w:rsid w:val="00AB0BE3"/>
    <w:rsid w:val="00AB0C2A"/>
    <w:rsid w:val="00AB0CEA"/>
    <w:rsid w:val="00AB0D7A"/>
    <w:rsid w:val="00AB0E2C"/>
    <w:rsid w:val="00AB0EB7"/>
    <w:rsid w:val="00AB0F58"/>
    <w:rsid w:val="00AB0FF7"/>
    <w:rsid w:val="00AB10A7"/>
    <w:rsid w:val="00AB1163"/>
    <w:rsid w:val="00AB1185"/>
    <w:rsid w:val="00AB11B6"/>
    <w:rsid w:val="00AB11CA"/>
    <w:rsid w:val="00AB130A"/>
    <w:rsid w:val="00AB136E"/>
    <w:rsid w:val="00AB141B"/>
    <w:rsid w:val="00AB149D"/>
    <w:rsid w:val="00AB14AB"/>
    <w:rsid w:val="00AB150D"/>
    <w:rsid w:val="00AB155C"/>
    <w:rsid w:val="00AB160F"/>
    <w:rsid w:val="00AB1739"/>
    <w:rsid w:val="00AB1913"/>
    <w:rsid w:val="00AB19CD"/>
    <w:rsid w:val="00AB1A67"/>
    <w:rsid w:val="00AB1B64"/>
    <w:rsid w:val="00AB1E55"/>
    <w:rsid w:val="00AB1E8D"/>
    <w:rsid w:val="00AB1EBB"/>
    <w:rsid w:val="00AB1EF4"/>
    <w:rsid w:val="00AB1F7D"/>
    <w:rsid w:val="00AB1FB3"/>
    <w:rsid w:val="00AB1FFD"/>
    <w:rsid w:val="00AB2048"/>
    <w:rsid w:val="00AB209C"/>
    <w:rsid w:val="00AB216F"/>
    <w:rsid w:val="00AB21FD"/>
    <w:rsid w:val="00AB220D"/>
    <w:rsid w:val="00AB2221"/>
    <w:rsid w:val="00AB227D"/>
    <w:rsid w:val="00AB2280"/>
    <w:rsid w:val="00AB230E"/>
    <w:rsid w:val="00AB2368"/>
    <w:rsid w:val="00AB2400"/>
    <w:rsid w:val="00AB2468"/>
    <w:rsid w:val="00AB2494"/>
    <w:rsid w:val="00AB24B0"/>
    <w:rsid w:val="00AB24BC"/>
    <w:rsid w:val="00AB24E1"/>
    <w:rsid w:val="00AB251F"/>
    <w:rsid w:val="00AB25B6"/>
    <w:rsid w:val="00AB2673"/>
    <w:rsid w:val="00AB2688"/>
    <w:rsid w:val="00AB26B1"/>
    <w:rsid w:val="00AB26CD"/>
    <w:rsid w:val="00AB2733"/>
    <w:rsid w:val="00AB2746"/>
    <w:rsid w:val="00AB276D"/>
    <w:rsid w:val="00AB277C"/>
    <w:rsid w:val="00AB2798"/>
    <w:rsid w:val="00AB27DB"/>
    <w:rsid w:val="00AB2997"/>
    <w:rsid w:val="00AB2A13"/>
    <w:rsid w:val="00AB2A60"/>
    <w:rsid w:val="00AB2A96"/>
    <w:rsid w:val="00AB2B34"/>
    <w:rsid w:val="00AB2B3E"/>
    <w:rsid w:val="00AB2C65"/>
    <w:rsid w:val="00AB2F67"/>
    <w:rsid w:val="00AB309E"/>
    <w:rsid w:val="00AB30BF"/>
    <w:rsid w:val="00AB31B1"/>
    <w:rsid w:val="00AB3336"/>
    <w:rsid w:val="00AB33D4"/>
    <w:rsid w:val="00AB3414"/>
    <w:rsid w:val="00AB3423"/>
    <w:rsid w:val="00AB3483"/>
    <w:rsid w:val="00AB3597"/>
    <w:rsid w:val="00AB3622"/>
    <w:rsid w:val="00AB3651"/>
    <w:rsid w:val="00AB36ED"/>
    <w:rsid w:val="00AB3732"/>
    <w:rsid w:val="00AB377C"/>
    <w:rsid w:val="00AB387F"/>
    <w:rsid w:val="00AB38C5"/>
    <w:rsid w:val="00AB3919"/>
    <w:rsid w:val="00AB39FF"/>
    <w:rsid w:val="00AB3ADB"/>
    <w:rsid w:val="00AB3B1D"/>
    <w:rsid w:val="00AB3B2A"/>
    <w:rsid w:val="00AB3C24"/>
    <w:rsid w:val="00AB3D07"/>
    <w:rsid w:val="00AB3D48"/>
    <w:rsid w:val="00AB3DC7"/>
    <w:rsid w:val="00AB3E90"/>
    <w:rsid w:val="00AB3ECE"/>
    <w:rsid w:val="00AB3EDE"/>
    <w:rsid w:val="00AB3F45"/>
    <w:rsid w:val="00AB3FE3"/>
    <w:rsid w:val="00AB3FEC"/>
    <w:rsid w:val="00AB4010"/>
    <w:rsid w:val="00AB4050"/>
    <w:rsid w:val="00AB4257"/>
    <w:rsid w:val="00AB4282"/>
    <w:rsid w:val="00AB4427"/>
    <w:rsid w:val="00AB446A"/>
    <w:rsid w:val="00AB448A"/>
    <w:rsid w:val="00AB4501"/>
    <w:rsid w:val="00AB4556"/>
    <w:rsid w:val="00AB45A2"/>
    <w:rsid w:val="00AB45F8"/>
    <w:rsid w:val="00AB4671"/>
    <w:rsid w:val="00AB47CC"/>
    <w:rsid w:val="00AB47D2"/>
    <w:rsid w:val="00AB47F3"/>
    <w:rsid w:val="00AB481C"/>
    <w:rsid w:val="00AB485A"/>
    <w:rsid w:val="00AB48A4"/>
    <w:rsid w:val="00AB4981"/>
    <w:rsid w:val="00AB4A9F"/>
    <w:rsid w:val="00AB4B4D"/>
    <w:rsid w:val="00AB4BC6"/>
    <w:rsid w:val="00AB4BCB"/>
    <w:rsid w:val="00AB4CBC"/>
    <w:rsid w:val="00AB4D90"/>
    <w:rsid w:val="00AB4DEB"/>
    <w:rsid w:val="00AB4DFB"/>
    <w:rsid w:val="00AB4F23"/>
    <w:rsid w:val="00AB4F4F"/>
    <w:rsid w:val="00AB4FC9"/>
    <w:rsid w:val="00AB501F"/>
    <w:rsid w:val="00AB514D"/>
    <w:rsid w:val="00AB51F6"/>
    <w:rsid w:val="00AB527D"/>
    <w:rsid w:val="00AB52D4"/>
    <w:rsid w:val="00AB5318"/>
    <w:rsid w:val="00AB533A"/>
    <w:rsid w:val="00AB5409"/>
    <w:rsid w:val="00AB540A"/>
    <w:rsid w:val="00AB546A"/>
    <w:rsid w:val="00AB546D"/>
    <w:rsid w:val="00AB5480"/>
    <w:rsid w:val="00AB5560"/>
    <w:rsid w:val="00AB55AB"/>
    <w:rsid w:val="00AB55E6"/>
    <w:rsid w:val="00AB5614"/>
    <w:rsid w:val="00AB565B"/>
    <w:rsid w:val="00AB5698"/>
    <w:rsid w:val="00AB5714"/>
    <w:rsid w:val="00AB57F5"/>
    <w:rsid w:val="00AB57FD"/>
    <w:rsid w:val="00AB5840"/>
    <w:rsid w:val="00AB5877"/>
    <w:rsid w:val="00AB589E"/>
    <w:rsid w:val="00AB58C3"/>
    <w:rsid w:val="00AB5930"/>
    <w:rsid w:val="00AB5A36"/>
    <w:rsid w:val="00AB5AF4"/>
    <w:rsid w:val="00AB5B02"/>
    <w:rsid w:val="00AB5B46"/>
    <w:rsid w:val="00AB5B64"/>
    <w:rsid w:val="00AB5BC2"/>
    <w:rsid w:val="00AB5BD5"/>
    <w:rsid w:val="00AB5C0D"/>
    <w:rsid w:val="00AB5C67"/>
    <w:rsid w:val="00AB5C8D"/>
    <w:rsid w:val="00AB5CD9"/>
    <w:rsid w:val="00AB5CF8"/>
    <w:rsid w:val="00AB5D49"/>
    <w:rsid w:val="00AB5D85"/>
    <w:rsid w:val="00AB5DA9"/>
    <w:rsid w:val="00AB610A"/>
    <w:rsid w:val="00AB6126"/>
    <w:rsid w:val="00AB6167"/>
    <w:rsid w:val="00AB61D8"/>
    <w:rsid w:val="00AB6216"/>
    <w:rsid w:val="00AB6248"/>
    <w:rsid w:val="00AB6436"/>
    <w:rsid w:val="00AB6571"/>
    <w:rsid w:val="00AB6584"/>
    <w:rsid w:val="00AB6693"/>
    <w:rsid w:val="00AB66BB"/>
    <w:rsid w:val="00AB6753"/>
    <w:rsid w:val="00AB67A7"/>
    <w:rsid w:val="00AB67FE"/>
    <w:rsid w:val="00AB6808"/>
    <w:rsid w:val="00AB687A"/>
    <w:rsid w:val="00AB6894"/>
    <w:rsid w:val="00AB6904"/>
    <w:rsid w:val="00AB6949"/>
    <w:rsid w:val="00AB695B"/>
    <w:rsid w:val="00AB699A"/>
    <w:rsid w:val="00AB69DA"/>
    <w:rsid w:val="00AB6A74"/>
    <w:rsid w:val="00AB6BAB"/>
    <w:rsid w:val="00AB6BB0"/>
    <w:rsid w:val="00AB6C4D"/>
    <w:rsid w:val="00AB6C95"/>
    <w:rsid w:val="00AB6C9F"/>
    <w:rsid w:val="00AB6CCD"/>
    <w:rsid w:val="00AB6D22"/>
    <w:rsid w:val="00AB6D34"/>
    <w:rsid w:val="00AB6D5E"/>
    <w:rsid w:val="00AB6DBD"/>
    <w:rsid w:val="00AB6E4D"/>
    <w:rsid w:val="00AB6F55"/>
    <w:rsid w:val="00AB6FE1"/>
    <w:rsid w:val="00AB70EA"/>
    <w:rsid w:val="00AB7234"/>
    <w:rsid w:val="00AB724C"/>
    <w:rsid w:val="00AB72C6"/>
    <w:rsid w:val="00AB72E7"/>
    <w:rsid w:val="00AB7387"/>
    <w:rsid w:val="00AB7424"/>
    <w:rsid w:val="00AB7427"/>
    <w:rsid w:val="00AB746D"/>
    <w:rsid w:val="00AB7479"/>
    <w:rsid w:val="00AB7515"/>
    <w:rsid w:val="00AB7581"/>
    <w:rsid w:val="00AB75F0"/>
    <w:rsid w:val="00AB76C6"/>
    <w:rsid w:val="00AB76D5"/>
    <w:rsid w:val="00AB77A6"/>
    <w:rsid w:val="00AB77AF"/>
    <w:rsid w:val="00AB77C7"/>
    <w:rsid w:val="00AB7870"/>
    <w:rsid w:val="00AB7964"/>
    <w:rsid w:val="00AB7A07"/>
    <w:rsid w:val="00AB7A16"/>
    <w:rsid w:val="00AB7A19"/>
    <w:rsid w:val="00AB7A83"/>
    <w:rsid w:val="00AB7B1C"/>
    <w:rsid w:val="00AB7B25"/>
    <w:rsid w:val="00AB7B84"/>
    <w:rsid w:val="00AB7BB4"/>
    <w:rsid w:val="00AB7BE6"/>
    <w:rsid w:val="00AB7C16"/>
    <w:rsid w:val="00AB7CC0"/>
    <w:rsid w:val="00AB7D85"/>
    <w:rsid w:val="00AB7E3C"/>
    <w:rsid w:val="00AB7ECA"/>
    <w:rsid w:val="00AB7EFB"/>
    <w:rsid w:val="00AB7F3A"/>
    <w:rsid w:val="00AC0031"/>
    <w:rsid w:val="00AC006E"/>
    <w:rsid w:val="00AC00BD"/>
    <w:rsid w:val="00AC00E1"/>
    <w:rsid w:val="00AC0124"/>
    <w:rsid w:val="00AC01CD"/>
    <w:rsid w:val="00AC037F"/>
    <w:rsid w:val="00AC04CD"/>
    <w:rsid w:val="00AC05BE"/>
    <w:rsid w:val="00AC05C2"/>
    <w:rsid w:val="00AC05FC"/>
    <w:rsid w:val="00AC07AE"/>
    <w:rsid w:val="00AC08DB"/>
    <w:rsid w:val="00AC0BC9"/>
    <w:rsid w:val="00AC0BEE"/>
    <w:rsid w:val="00AC0C07"/>
    <w:rsid w:val="00AC0C16"/>
    <w:rsid w:val="00AC0C40"/>
    <w:rsid w:val="00AC0D2D"/>
    <w:rsid w:val="00AC0D82"/>
    <w:rsid w:val="00AC0E1B"/>
    <w:rsid w:val="00AC0EAB"/>
    <w:rsid w:val="00AC0EEA"/>
    <w:rsid w:val="00AC0F1E"/>
    <w:rsid w:val="00AC0F47"/>
    <w:rsid w:val="00AC0F78"/>
    <w:rsid w:val="00AC0F79"/>
    <w:rsid w:val="00AC102C"/>
    <w:rsid w:val="00AC1063"/>
    <w:rsid w:val="00AC109F"/>
    <w:rsid w:val="00AC10FB"/>
    <w:rsid w:val="00AC1146"/>
    <w:rsid w:val="00AC118E"/>
    <w:rsid w:val="00AC11BB"/>
    <w:rsid w:val="00AC11C0"/>
    <w:rsid w:val="00AC1339"/>
    <w:rsid w:val="00AC1383"/>
    <w:rsid w:val="00AC13FF"/>
    <w:rsid w:val="00AC142B"/>
    <w:rsid w:val="00AC1469"/>
    <w:rsid w:val="00AC149C"/>
    <w:rsid w:val="00AC152B"/>
    <w:rsid w:val="00AC1555"/>
    <w:rsid w:val="00AC1563"/>
    <w:rsid w:val="00AC1688"/>
    <w:rsid w:val="00AC1711"/>
    <w:rsid w:val="00AC174E"/>
    <w:rsid w:val="00AC178A"/>
    <w:rsid w:val="00AC17A7"/>
    <w:rsid w:val="00AC185E"/>
    <w:rsid w:val="00AC195A"/>
    <w:rsid w:val="00AC195E"/>
    <w:rsid w:val="00AC19A9"/>
    <w:rsid w:val="00AC19BB"/>
    <w:rsid w:val="00AC19F2"/>
    <w:rsid w:val="00AC1A4F"/>
    <w:rsid w:val="00AC1A93"/>
    <w:rsid w:val="00AC1B94"/>
    <w:rsid w:val="00AC1C51"/>
    <w:rsid w:val="00AC1CAA"/>
    <w:rsid w:val="00AC1E42"/>
    <w:rsid w:val="00AC1F81"/>
    <w:rsid w:val="00AC1FD9"/>
    <w:rsid w:val="00AC20FB"/>
    <w:rsid w:val="00AC2156"/>
    <w:rsid w:val="00AC215F"/>
    <w:rsid w:val="00AC2299"/>
    <w:rsid w:val="00AC22AA"/>
    <w:rsid w:val="00AC22BA"/>
    <w:rsid w:val="00AC2346"/>
    <w:rsid w:val="00AC2389"/>
    <w:rsid w:val="00AC23D2"/>
    <w:rsid w:val="00AC2416"/>
    <w:rsid w:val="00AC243F"/>
    <w:rsid w:val="00AC24E3"/>
    <w:rsid w:val="00AC24FE"/>
    <w:rsid w:val="00AC2595"/>
    <w:rsid w:val="00AC2628"/>
    <w:rsid w:val="00AC266C"/>
    <w:rsid w:val="00AC26E8"/>
    <w:rsid w:val="00AC2858"/>
    <w:rsid w:val="00AC285D"/>
    <w:rsid w:val="00AC2903"/>
    <w:rsid w:val="00AC2992"/>
    <w:rsid w:val="00AC29B2"/>
    <w:rsid w:val="00AC2A25"/>
    <w:rsid w:val="00AC2A48"/>
    <w:rsid w:val="00AC2A7B"/>
    <w:rsid w:val="00AC2AEB"/>
    <w:rsid w:val="00AC2B3F"/>
    <w:rsid w:val="00AC2BAD"/>
    <w:rsid w:val="00AC2BE9"/>
    <w:rsid w:val="00AC2C7D"/>
    <w:rsid w:val="00AC2C7F"/>
    <w:rsid w:val="00AC2C86"/>
    <w:rsid w:val="00AC2C99"/>
    <w:rsid w:val="00AC2D70"/>
    <w:rsid w:val="00AC2DB6"/>
    <w:rsid w:val="00AC2DB8"/>
    <w:rsid w:val="00AC2E23"/>
    <w:rsid w:val="00AC2E58"/>
    <w:rsid w:val="00AC2F1F"/>
    <w:rsid w:val="00AC2F29"/>
    <w:rsid w:val="00AC308C"/>
    <w:rsid w:val="00AC30DD"/>
    <w:rsid w:val="00AC311C"/>
    <w:rsid w:val="00AC332E"/>
    <w:rsid w:val="00AC33F1"/>
    <w:rsid w:val="00AC33F4"/>
    <w:rsid w:val="00AC3459"/>
    <w:rsid w:val="00AC347A"/>
    <w:rsid w:val="00AC34ED"/>
    <w:rsid w:val="00AC3509"/>
    <w:rsid w:val="00AC3513"/>
    <w:rsid w:val="00AC35F6"/>
    <w:rsid w:val="00AC36E4"/>
    <w:rsid w:val="00AC373A"/>
    <w:rsid w:val="00AC3765"/>
    <w:rsid w:val="00AC377C"/>
    <w:rsid w:val="00AC378C"/>
    <w:rsid w:val="00AC3808"/>
    <w:rsid w:val="00AC38AE"/>
    <w:rsid w:val="00AC38C9"/>
    <w:rsid w:val="00AC38F2"/>
    <w:rsid w:val="00AC3971"/>
    <w:rsid w:val="00AC3A64"/>
    <w:rsid w:val="00AC3B7C"/>
    <w:rsid w:val="00AC3B93"/>
    <w:rsid w:val="00AC3BD2"/>
    <w:rsid w:val="00AC3C2D"/>
    <w:rsid w:val="00AC3CC2"/>
    <w:rsid w:val="00AC3DAF"/>
    <w:rsid w:val="00AC3E39"/>
    <w:rsid w:val="00AC3EFF"/>
    <w:rsid w:val="00AC3F1E"/>
    <w:rsid w:val="00AC3F30"/>
    <w:rsid w:val="00AC3FC0"/>
    <w:rsid w:val="00AC3FE6"/>
    <w:rsid w:val="00AC3FF8"/>
    <w:rsid w:val="00AC409B"/>
    <w:rsid w:val="00AC40A5"/>
    <w:rsid w:val="00AC418A"/>
    <w:rsid w:val="00AC41F6"/>
    <w:rsid w:val="00AC4201"/>
    <w:rsid w:val="00AC4207"/>
    <w:rsid w:val="00AC42D3"/>
    <w:rsid w:val="00AC4436"/>
    <w:rsid w:val="00AC449B"/>
    <w:rsid w:val="00AC44D1"/>
    <w:rsid w:val="00AC4527"/>
    <w:rsid w:val="00AC4550"/>
    <w:rsid w:val="00AC45C4"/>
    <w:rsid w:val="00AC4650"/>
    <w:rsid w:val="00AC46B0"/>
    <w:rsid w:val="00AC4708"/>
    <w:rsid w:val="00AC4793"/>
    <w:rsid w:val="00AC479D"/>
    <w:rsid w:val="00AC47B3"/>
    <w:rsid w:val="00AC47C3"/>
    <w:rsid w:val="00AC486F"/>
    <w:rsid w:val="00AC48C6"/>
    <w:rsid w:val="00AC498A"/>
    <w:rsid w:val="00AC499A"/>
    <w:rsid w:val="00AC4A2C"/>
    <w:rsid w:val="00AC4A54"/>
    <w:rsid w:val="00AC4AA3"/>
    <w:rsid w:val="00AC4ABF"/>
    <w:rsid w:val="00AC4AEC"/>
    <w:rsid w:val="00AC4AEE"/>
    <w:rsid w:val="00AC4BC4"/>
    <w:rsid w:val="00AC4BE6"/>
    <w:rsid w:val="00AC4BF7"/>
    <w:rsid w:val="00AC4C41"/>
    <w:rsid w:val="00AC4D48"/>
    <w:rsid w:val="00AC4DC1"/>
    <w:rsid w:val="00AC4DE5"/>
    <w:rsid w:val="00AC4DED"/>
    <w:rsid w:val="00AC4E1F"/>
    <w:rsid w:val="00AC4F3A"/>
    <w:rsid w:val="00AC5042"/>
    <w:rsid w:val="00AC5043"/>
    <w:rsid w:val="00AC5044"/>
    <w:rsid w:val="00AC50D9"/>
    <w:rsid w:val="00AC5103"/>
    <w:rsid w:val="00AC5227"/>
    <w:rsid w:val="00AC52DF"/>
    <w:rsid w:val="00AC5366"/>
    <w:rsid w:val="00AC53A4"/>
    <w:rsid w:val="00AC53A6"/>
    <w:rsid w:val="00AC53CA"/>
    <w:rsid w:val="00AC542E"/>
    <w:rsid w:val="00AC5464"/>
    <w:rsid w:val="00AC547E"/>
    <w:rsid w:val="00AC553E"/>
    <w:rsid w:val="00AC565F"/>
    <w:rsid w:val="00AC572D"/>
    <w:rsid w:val="00AC5758"/>
    <w:rsid w:val="00AC57EA"/>
    <w:rsid w:val="00AC5803"/>
    <w:rsid w:val="00AC5817"/>
    <w:rsid w:val="00AC5987"/>
    <w:rsid w:val="00AC5AE0"/>
    <w:rsid w:val="00AC5B2B"/>
    <w:rsid w:val="00AC5B6E"/>
    <w:rsid w:val="00AC5C27"/>
    <w:rsid w:val="00AC5CC3"/>
    <w:rsid w:val="00AC5CE8"/>
    <w:rsid w:val="00AC5D5B"/>
    <w:rsid w:val="00AC5DA6"/>
    <w:rsid w:val="00AC5DC6"/>
    <w:rsid w:val="00AC5DD0"/>
    <w:rsid w:val="00AC5DE5"/>
    <w:rsid w:val="00AC5E0C"/>
    <w:rsid w:val="00AC5E1D"/>
    <w:rsid w:val="00AC5E53"/>
    <w:rsid w:val="00AC60A1"/>
    <w:rsid w:val="00AC6166"/>
    <w:rsid w:val="00AC618E"/>
    <w:rsid w:val="00AC61B4"/>
    <w:rsid w:val="00AC61E4"/>
    <w:rsid w:val="00AC62C2"/>
    <w:rsid w:val="00AC6306"/>
    <w:rsid w:val="00AC6390"/>
    <w:rsid w:val="00AC64AC"/>
    <w:rsid w:val="00AC64E0"/>
    <w:rsid w:val="00AC64EC"/>
    <w:rsid w:val="00AC6510"/>
    <w:rsid w:val="00AC65E8"/>
    <w:rsid w:val="00AC6636"/>
    <w:rsid w:val="00AC669E"/>
    <w:rsid w:val="00AC66D1"/>
    <w:rsid w:val="00AC66E0"/>
    <w:rsid w:val="00AC66F4"/>
    <w:rsid w:val="00AC67B0"/>
    <w:rsid w:val="00AC67C0"/>
    <w:rsid w:val="00AC6840"/>
    <w:rsid w:val="00AC6A02"/>
    <w:rsid w:val="00AC6A63"/>
    <w:rsid w:val="00AC6BC0"/>
    <w:rsid w:val="00AC6BF6"/>
    <w:rsid w:val="00AC6CEC"/>
    <w:rsid w:val="00AC6D02"/>
    <w:rsid w:val="00AC6D7A"/>
    <w:rsid w:val="00AC6D97"/>
    <w:rsid w:val="00AC6E51"/>
    <w:rsid w:val="00AC6F0C"/>
    <w:rsid w:val="00AC6FEF"/>
    <w:rsid w:val="00AC7026"/>
    <w:rsid w:val="00AC7180"/>
    <w:rsid w:val="00AC7190"/>
    <w:rsid w:val="00AC721F"/>
    <w:rsid w:val="00AC72DC"/>
    <w:rsid w:val="00AC7435"/>
    <w:rsid w:val="00AC743B"/>
    <w:rsid w:val="00AC744F"/>
    <w:rsid w:val="00AC74E2"/>
    <w:rsid w:val="00AC75E9"/>
    <w:rsid w:val="00AC7742"/>
    <w:rsid w:val="00AC7863"/>
    <w:rsid w:val="00AC786A"/>
    <w:rsid w:val="00AC788C"/>
    <w:rsid w:val="00AC78E8"/>
    <w:rsid w:val="00AC7945"/>
    <w:rsid w:val="00AC7B00"/>
    <w:rsid w:val="00AC7B66"/>
    <w:rsid w:val="00AC7D3B"/>
    <w:rsid w:val="00AC7E71"/>
    <w:rsid w:val="00AC7EE0"/>
    <w:rsid w:val="00AC7F95"/>
    <w:rsid w:val="00AD0011"/>
    <w:rsid w:val="00AD00DA"/>
    <w:rsid w:val="00AD00DD"/>
    <w:rsid w:val="00AD0147"/>
    <w:rsid w:val="00AD01FF"/>
    <w:rsid w:val="00AD0269"/>
    <w:rsid w:val="00AD0277"/>
    <w:rsid w:val="00AD02F1"/>
    <w:rsid w:val="00AD0322"/>
    <w:rsid w:val="00AD03E2"/>
    <w:rsid w:val="00AD0407"/>
    <w:rsid w:val="00AD0481"/>
    <w:rsid w:val="00AD0649"/>
    <w:rsid w:val="00AD0656"/>
    <w:rsid w:val="00AD091B"/>
    <w:rsid w:val="00AD0933"/>
    <w:rsid w:val="00AD098C"/>
    <w:rsid w:val="00AD0A18"/>
    <w:rsid w:val="00AD0AD8"/>
    <w:rsid w:val="00AD0B17"/>
    <w:rsid w:val="00AD0B22"/>
    <w:rsid w:val="00AD0BA4"/>
    <w:rsid w:val="00AD0C9A"/>
    <w:rsid w:val="00AD0D7E"/>
    <w:rsid w:val="00AD0E9F"/>
    <w:rsid w:val="00AD0EC7"/>
    <w:rsid w:val="00AD0F0B"/>
    <w:rsid w:val="00AD0F55"/>
    <w:rsid w:val="00AD1150"/>
    <w:rsid w:val="00AD115D"/>
    <w:rsid w:val="00AD1187"/>
    <w:rsid w:val="00AD122F"/>
    <w:rsid w:val="00AD134E"/>
    <w:rsid w:val="00AD13F9"/>
    <w:rsid w:val="00AD141B"/>
    <w:rsid w:val="00AD1427"/>
    <w:rsid w:val="00AD145C"/>
    <w:rsid w:val="00AD1588"/>
    <w:rsid w:val="00AD1612"/>
    <w:rsid w:val="00AD1709"/>
    <w:rsid w:val="00AD1741"/>
    <w:rsid w:val="00AD1824"/>
    <w:rsid w:val="00AD1951"/>
    <w:rsid w:val="00AD19EB"/>
    <w:rsid w:val="00AD1A49"/>
    <w:rsid w:val="00AD1B08"/>
    <w:rsid w:val="00AD1B54"/>
    <w:rsid w:val="00AD1B6E"/>
    <w:rsid w:val="00AD1B92"/>
    <w:rsid w:val="00AD1BB4"/>
    <w:rsid w:val="00AD1BD2"/>
    <w:rsid w:val="00AD1C5D"/>
    <w:rsid w:val="00AD1CF9"/>
    <w:rsid w:val="00AD1D02"/>
    <w:rsid w:val="00AD1D73"/>
    <w:rsid w:val="00AD1DCB"/>
    <w:rsid w:val="00AD1DDA"/>
    <w:rsid w:val="00AD1EE3"/>
    <w:rsid w:val="00AD1F48"/>
    <w:rsid w:val="00AD1FE4"/>
    <w:rsid w:val="00AD2028"/>
    <w:rsid w:val="00AD2049"/>
    <w:rsid w:val="00AD206D"/>
    <w:rsid w:val="00AD21AD"/>
    <w:rsid w:val="00AD21B8"/>
    <w:rsid w:val="00AD2266"/>
    <w:rsid w:val="00AD22AC"/>
    <w:rsid w:val="00AD2428"/>
    <w:rsid w:val="00AD2449"/>
    <w:rsid w:val="00AD249C"/>
    <w:rsid w:val="00AD252D"/>
    <w:rsid w:val="00AD2578"/>
    <w:rsid w:val="00AD260E"/>
    <w:rsid w:val="00AD26E9"/>
    <w:rsid w:val="00AD2809"/>
    <w:rsid w:val="00AD286D"/>
    <w:rsid w:val="00AD2873"/>
    <w:rsid w:val="00AD2944"/>
    <w:rsid w:val="00AD2956"/>
    <w:rsid w:val="00AD2989"/>
    <w:rsid w:val="00AD2A27"/>
    <w:rsid w:val="00AD2ACD"/>
    <w:rsid w:val="00AD2AF3"/>
    <w:rsid w:val="00AD2B42"/>
    <w:rsid w:val="00AD2C2A"/>
    <w:rsid w:val="00AD2C6F"/>
    <w:rsid w:val="00AD2CF3"/>
    <w:rsid w:val="00AD2D48"/>
    <w:rsid w:val="00AD2D7B"/>
    <w:rsid w:val="00AD2DCB"/>
    <w:rsid w:val="00AD2E07"/>
    <w:rsid w:val="00AD2E47"/>
    <w:rsid w:val="00AD2E63"/>
    <w:rsid w:val="00AD2FBB"/>
    <w:rsid w:val="00AD3032"/>
    <w:rsid w:val="00AD3095"/>
    <w:rsid w:val="00AD30BD"/>
    <w:rsid w:val="00AD313B"/>
    <w:rsid w:val="00AD31B6"/>
    <w:rsid w:val="00AD31BA"/>
    <w:rsid w:val="00AD32B3"/>
    <w:rsid w:val="00AD33FA"/>
    <w:rsid w:val="00AD33FC"/>
    <w:rsid w:val="00AD340F"/>
    <w:rsid w:val="00AD3479"/>
    <w:rsid w:val="00AD3500"/>
    <w:rsid w:val="00AD351F"/>
    <w:rsid w:val="00AD3579"/>
    <w:rsid w:val="00AD3608"/>
    <w:rsid w:val="00AD36BB"/>
    <w:rsid w:val="00AD3713"/>
    <w:rsid w:val="00AD3817"/>
    <w:rsid w:val="00AD38E1"/>
    <w:rsid w:val="00AD38E2"/>
    <w:rsid w:val="00AD39C0"/>
    <w:rsid w:val="00AD3A30"/>
    <w:rsid w:val="00AD3A70"/>
    <w:rsid w:val="00AD3A83"/>
    <w:rsid w:val="00AD3B48"/>
    <w:rsid w:val="00AD3C47"/>
    <w:rsid w:val="00AD3C8B"/>
    <w:rsid w:val="00AD3DA5"/>
    <w:rsid w:val="00AD3E9A"/>
    <w:rsid w:val="00AD3F34"/>
    <w:rsid w:val="00AD3FF5"/>
    <w:rsid w:val="00AD4007"/>
    <w:rsid w:val="00AD400C"/>
    <w:rsid w:val="00AD408D"/>
    <w:rsid w:val="00AD41CD"/>
    <w:rsid w:val="00AD422D"/>
    <w:rsid w:val="00AD43A7"/>
    <w:rsid w:val="00AD440A"/>
    <w:rsid w:val="00AD4414"/>
    <w:rsid w:val="00AD4450"/>
    <w:rsid w:val="00AD44A7"/>
    <w:rsid w:val="00AD4558"/>
    <w:rsid w:val="00AD45A0"/>
    <w:rsid w:val="00AD45D2"/>
    <w:rsid w:val="00AD4761"/>
    <w:rsid w:val="00AD4AB1"/>
    <w:rsid w:val="00AD4ACC"/>
    <w:rsid w:val="00AD4B39"/>
    <w:rsid w:val="00AD4BA3"/>
    <w:rsid w:val="00AD4BCD"/>
    <w:rsid w:val="00AD4BE5"/>
    <w:rsid w:val="00AD4BFF"/>
    <w:rsid w:val="00AD4C4D"/>
    <w:rsid w:val="00AD4CD9"/>
    <w:rsid w:val="00AD4D68"/>
    <w:rsid w:val="00AD4E54"/>
    <w:rsid w:val="00AD4EDC"/>
    <w:rsid w:val="00AD4EEF"/>
    <w:rsid w:val="00AD5057"/>
    <w:rsid w:val="00AD506E"/>
    <w:rsid w:val="00AD514D"/>
    <w:rsid w:val="00AD518A"/>
    <w:rsid w:val="00AD529C"/>
    <w:rsid w:val="00AD52CC"/>
    <w:rsid w:val="00AD55E3"/>
    <w:rsid w:val="00AD562A"/>
    <w:rsid w:val="00AD56D3"/>
    <w:rsid w:val="00AD5769"/>
    <w:rsid w:val="00AD5780"/>
    <w:rsid w:val="00AD578E"/>
    <w:rsid w:val="00AD57B5"/>
    <w:rsid w:val="00AD5802"/>
    <w:rsid w:val="00AD58A0"/>
    <w:rsid w:val="00AD594E"/>
    <w:rsid w:val="00AD5A10"/>
    <w:rsid w:val="00AD5A62"/>
    <w:rsid w:val="00AD5A70"/>
    <w:rsid w:val="00AD5BB0"/>
    <w:rsid w:val="00AD5C00"/>
    <w:rsid w:val="00AD5CD1"/>
    <w:rsid w:val="00AD5D58"/>
    <w:rsid w:val="00AD5DA9"/>
    <w:rsid w:val="00AD5DBD"/>
    <w:rsid w:val="00AD5DE8"/>
    <w:rsid w:val="00AD5F67"/>
    <w:rsid w:val="00AD5F83"/>
    <w:rsid w:val="00AD5FB2"/>
    <w:rsid w:val="00AD5FF3"/>
    <w:rsid w:val="00AD60F5"/>
    <w:rsid w:val="00AD6103"/>
    <w:rsid w:val="00AD61A4"/>
    <w:rsid w:val="00AD62D7"/>
    <w:rsid w:val="00AD62D8"/>
    <w:rsid w:val="00AD64A4"/>
    <w:rsid w:val="00AD6659"/>
    <w:rsid w:val="00AD66DA"/>
    <w:rsid w:val="00AD6705"/>
    <w:rsid w:val="00AD68C3"/>
    <w:rsid w:val="00AD68C9"/>
    <w:rsid w:val="00AD6910"/>
    <w:rsid w:val="00AD6925"/>
    <w:rsid w:val="00AD6A1C"/>
    <w:rsid w:val="00AD6A49"/>
    <w:rsid w:val="00AD6B1B"/>
    <w:rsid w:val="00AD6B35"/>
    <w:rsid w:val="00AD6C1E"/>
    <w:rsid w:val="00AD6C64"/>
    <w:rsid w:val="00AD6C73"/>
    <w:rsid w:val="00AD6D1A"/>
    <w:rsid w:val="00AD6D4B"/>
    <w:rsid w:val="00AD6E04"/>
    <w:rsid w:val="00AD6E47"/>
    <w:rsid w:val="00AD6E50"/>
    <w:rsid w:val="00AD6EB2"/>
    <w:rsid w:val="00AD6EB8"/>
    <w:rsid w:val="00AD6ECE"/>
    <w:rsid w:val="00AD702F"/>
    <w:rsid w:val="00AD7114"/>
    <w:rsid w:val="00AD7224"/>
    <w:rsid w:val="00AD72AC"/>
    <w:rsid w:val="00AD72C5"/>
    <w:rsid w:val="00AD7342"/>
    <w:rsid w:val="00AD736C"/>
    <w:rsid w:val="00AD73BD"/>
    <w:rsid w:val="00AD747A"/>
    <w:rsid w:val="00AD7505"/>
    <w:rsid w:val="00AD750A"/>
    <w:rsid w:val="00AD758B"/>
    <w:rsid w:val="00AD758D"/>
    <w:rsid w:val="00AD75AC"/>
    <w:rsid w:val="00AD75C6"/>
    <w:rsid w:val="00AD75D4"/>
    <w:rsid w:val="00AD760D"/>
    <w:rsid w:val="00AD7614"/>
    <w:rsid w:val="00AD7642"/>
    <w:rsid w:val="00AD766B"/>
    <w:rsid w:val="00AD769C"/>
    <w:rsid w:val="00AD7734"/>
    <w:rsid w:val="00AD77C4"/>
    <w:rsid w:val="00AD7841"/>
    <w:rsid w:val="00AD784A"/>
    <w:rsid w:val="00AD78BC"/>
    <w:rsid w:val="00AD78DA"/>
    <w:rsid w:val="00AD792D"/>
    <w:rsid w:val="00AD79B7"/>
    <w:rsid w:val="00AD79B8"/>
    <w:rsid w:val="00AD7A2E"/>
    <w:rsid w:val="00AD7AE4"/>
    <w:rsid w:val="00AD7B97"/>
    <w:rsid w:val="00AD7C1B"/>
    <w:rsid w:val="00AD7C2F"/>
    <w:rsid w:val="00AD7D0A"/>
    <w:rsid w:val="00AD7D95"/>
    <w:rsid w:val="00AD7E04"/>
    <w:rsid w:val="00AD7E79"/>
    <w:rsid w:val="00AD7EA3"/>
    <w:rsid w:val="00AD7EBD"/>
    <w:rsid w:val="00AD7F0B"/>
    <w:rsid w:val="00AD7F10"/>
    <w:rsid w:val="00AD7F55"/>
    <w:rsid w:val="00AD7F59"/>
    <w:rsid w:val="00AD7FA1"/>
    <w:rsid w:val="00AD7FD5"/>
    <w:rsid w:val="00AE0013"/>
    <w:rsid w:val="00AE00B5"/>
    <w:rsid w:val="00AE0165"/>
    <w:rsid w:val="00AE01E5"/>
    <w:rsid w:val="00AE0261"/>
    <w:rsid w:val="00AE02CA"/>
    <w:rsid w:val="00AE02F9"/>
    <w:rsid w:val="00AE0379"/>
    <w:rsid w:val="00AE03C7"/>
    <w:rsid w:val="00AE0493"/>
    <w:rsid w:val="00AE04BF"/>
    <w:rsid w:val="00AE0585"/>
    <w:rsid w:val="00AE05A0"/>
    <w:rsid w:val="00AE05C9"/>
    <w:rsid w:val="00AE05FE"/>
    <w:rsid w:val="00AE0619"/>
    <w:rsid w:val="00AE06D1"/>
    <w:rsid w:val="00AE06E1"/>
    <w:rsid w:val="00AE07DC"/>
    <w:rsid w:val="00AE097F"/>
    <w:rsid w:val="00AE0A1A"/>
    <w:rsid w:val="00AE0AB8"/>
    <w:rsid w:val="00AE0ADF"/>
    <w:rsid w:val="00AE0B19"/>
    <w:rsid w:val="00AE0B39"/>
    <w:rsid w:val="00AE0B51"/>
    <w:rsid w:val="00AE0B92"/>
    <w:rsid w:val="00AE0C36"/>
    <w:rsid w:val="00AE0D4B"/>
    <w:rsid w:val="00AE0E0D"/>
    <w:rsid w:val="00AE0EAB"/>
    <w:rsid w:val="00AE1033"/>
    <w:rsid w:val="00AE1096"/>
    <w:rsid w:val="00AE109E"/>
    <w:rsid w:val="00AE11B3"/>
    <w:rsid w:val="00AE11DB"/>
    <w:rsid w:val="00AE1272"/>
    <w:rsid w:val="00AE1380"/>
    <w:rsid w:val="00AE1399"/>
    <w:rsid w:val="00AE13B5"/>
    <w:rsid w:val="00AE144A"/>
    <w:rsid w:val="00AE14C5"/>
    <w:rsid w:val="00AE14FB"/>
    <w:rsid w:val="00AE1587"/>
    <w:rsid w:val="00AE1588"/>
    <w:rsid w:val="00AE15A0"/>
    <w:rsid w:val="00AE15F7"/>
    <w:rsid w:val="00AE16BB"/>
    <w:rsid w:val="00AE16C4"/>
    <w:rsid w:val="00AE17B6"/>
    <w:rsid w:val="00AE1837"/>
    <w:rsid w:val="00AE195E"/>
    <w:rsid w:val="00AE19A9"/>
    <w:rsid w:val="00AE1A2F"/>
    <w:rsid w:val="00AE1B40"/>
    <w:rsid w:val="00AE1BDB"/>
    <w:rsid w:val="00AE1C48"/>
    <w:rsid w:val="00AE1FA2"/>
    <w:rsid w:val="00AE1FBA"/>
    <w:rsid w:val="00AE20A0"/>
    <w:rsid w:val="00AE20E4"/>
    <w:rsid w:val="00AE20E6"/>
    <w:rsid w:val="00AE2103"/>
    <w:rsid w:val="00AE212A"/>
    <w:rsid w:val="00AE236A"/>
    <w:rsid w:val="00AE23B4"/>
    <w:rsid w:val="00AE23C4"/>
    <w:rsid w:val="00AE249A"/>
    <w:rsid w:val="00AE24B4"/>
    <w:rsid w:val="00AE2510"/>
    <w:rsid w:val="00AE252E"/>
    <w:rsid w:val="00AE25A1"/>
    <w:rsid w:val="00AE2618"/>
    <w:rsid w:val="00AE2770"/>
    <w:rsid w:val="00AE2795"/>
    <w:rsid w:val="00AE2876"/>
    <w:rsid w:val="00AE28D6"/>
    <w:rsid w:val="00AE29AF"/>
    <w:rsid w:val="00AE29CF"/>
    <w:rsid w:val="00AE2A9A"/>
    <w:rsid w:val="00AE2B59"/>
    <w:rsid w:val="00AE2BA2"/>
    <w:rsid w:val="00AE2C46"/>
    <w:rsid w:val="00AE2C99"/>
    <w:rsid w:val="00AE2CB7"/>
    <w:rsid w:val="00AE2CEA"/>
    <w:rsid w:val="00AE2D50"/>
    <w:rsid w:val="00AE2D89"/>
    <w:rsid w:val="00AE2DA0"/>
    <w:rsid w:val="00AE2DEF"/>
    <w:rsid w:val="00AE2DFA"/>
    <w:rsid w:val="00AE2E0B"/>
    <w:rsid w:val="00AE2FC4"/>
    <w:rsid w:val="00AE2FEB"/>
    <w:rsid w:val="00AE3011"/>
    <w:rsid w:val="00AE30C5"/>
    <w:rsid w:val="00AE30D6"/>
    <w:rsid w:val="00AE3104"/>
    <w:rsid w:val="00AE3165"/>
    <w:rsid w:val="00AE3185"/>
    <w:rsid w:val="00AE31A3"/>
    <w:rsid w:val="00AE338A"/>
    <w:rsid w:val="00AE33E0"/>
    <w:rsid w:val="00AE3518"/>
    <w:rsid w:val="00AE35F6"/>
    <w:rsid w:val="00AE362A"/>
    <w:rsid w:val="00AE36C9"/>
    <w:rsid w:val="00AE376D"/>
    <w:rsid w:val="00AE385A"/>
    <w:rsid w:val="00AE387F"/>
    <w:rsid w:val="00AE39A5"/>
    <w:rsid w:val="00AE39BB"/>
    <w:rsid w:val="00AE3B26"/>
    <w:rsid w:val="00AE3BF6"/>
    <w:rsid w:val="00AE3CDF"/>
    <w:rsid w:val="00AE3D15"/>
    <w:rsid w:val="00AE3DD8"/>
    <w:rsid w:val="00AE3E2B"/>
    <w:rsid w:val="00AE3E8A"/>
    <w:rsid w:val="00AE3F29"/>
    <w:rsid w:val="00AE3FBC"/>
    <w:rsid w:val="00AE4055"/>
    <w:rsid w:val="00AE4057"/>
    <w:rsid w:val="00AE4143"/>
    <w:rsid w:val="00AE4151"/>
    <w:rsid w:val="00AE417E"/>
    <w:rsid w:val="00AE4196"/>
    <w:rsid w:val="00AE44B5"/>
    <w:rsid w:val="00AE4599"/>
    <w:rsid w:val="00AE45A2"/>
    <w:rsid w:val="00AE46E3"/>
    <w:rsid w:val="00AE4710"/>
    <w:rsid w:val="00AE47AF"/>
    <w:rsid w:val="00AE48A5"/>
    <w:rsid w:val="00AE4900"/>
    <w:rsid w:val="00AE4928"/>
    <w:rsid w:val="00AE497D"/>
    <w:rsid w:val="00AE498D"/>
    <w:rsid w:val="00AE49B5"/>
    <w:rsid w:val="00AE49CA"/>
    <w:rsid w:val="00AE4A13"/>
    <w:rsid w:val="00AE4A19"/>
    <w:rsid w:val="00AE4A91"/>
    <w:rsid w:val="00AE4A97"/>
    <w:rsid w:val="00AE4AF1"/>
    <w:rsid w:val="00AE4AF4"/>
    <w:rsid w:val="00AE4B21"/>
    <w:rsid w:val="00AE4BEC"/>
    <w:rsid w:val="00AE4CA1"/>
    <w:rsid w:val="00AE4D02"/>
    <w:rsid w:val="00AE4DB5"/>
    <w:rsid w:val="00AE4E59"/>
    <w:rsid w:val="00AE4F85"/>
    <w:rsid w:val="00AE4FB0"/>
    <w:rsid w:val="00AE4FB1"/>
    <w:rsid w:val="00AE4FCB"/>
    <w:rsid w:val="00AE5006"/>
    <w:rsid w:val="00AE5064"/>
    <w:rsid w:val="00AE50D1"/>
    <w:rsid w:val="00AE50E9"/>
    <w:rsid w:val="00AE5153"/>
    <w:rsid w:val="00AE5154"/>
    <w:rsid w:val="00AE52BD"/>
    <w:rsid w:val="00AE5384"/>
    <w:rsid w:val="00AE53C3"/>
    <w:rsid w:val="00AE53C9"/>
    <w:rsid w:val="00AE5413"/>
    <w:rsid w:val="00AE5465"/>
    <w:rsid w:val="00AE5471"/>
    <w:rsid w:val="00AE550B"/>
    <w:rsid w:val="00AE55C7"/>
    <w:rsid w:val="00AE55E1"/>
    <w:rsid w:val="00AE5678"/>
    <w:rsid w:val="00AE5679"/>
    <w:rsid w:val="00AE5720"/>
    <w:rsid w:val="00AE575C"/>
    <w:rsid w:val="00AE57CE"/>
    <w:rsid w:val="00AE57DD"/>
    <w:rsid w:val="00AE57FB"/>
    <w:rsid w:val="00AE5815"/>
    <w:rsid w:val="00AE586E"/>
    <w:rsid w:val="00AE5905"/>
    <w:rsid w:val="00AE5999"/>
    <w:rsid w:val="00AE59D7"/>
    <w:rsid w:val="00AE5A55"/>
    <w:rsid w:val="00AE5A5A"/>
    <w:rsid w:val="00AE5ACB"/>
    <w:rsid w:val="00AE5AD7"/>
    <w:rsid w:val="00AE5ADF"/>
    <w:rsid w:val="00AE5B02"/>
    <w:rsid w:val="00AE5B04"/>
    <w:rsid w:val="00AE5B65"/>
    <w:rsid w:val="00AE5C04"/>
    <w:rsid w:val="00AE5C33"/>
    <w:rsid w:val="00AE5C76"/>
    <w:rsid w:val="00AE5E74"/>
    <w:rsid w:val="00AE5E82"/>
    <w:rsid w:val="00AE5EEE"/>
    <w:rsid w:val="00AE5F02"/>
    <w:rsid w:val="00AE5F44"/>
    <w:rsid w:val="00AE60DE"/>
    <w:rsid w:val="00AE60F5"/>
    <w:rsid w:val="00AE6101"/>
    <w:rsid w:val="00AE612C"/>
    <w:rsid w:val="00AE6130"/>
    <w:rsid w:val="00AE613E"/>
    <w:rsid w:val="00AE6174"/>
    <w:rsid w:val="00AE6207"/>
    <w:rsid w:val="00AE6239"/>
    <w:rsid w:val="00AE6266"/>
    <w:rsid w:val="00AE6288"/>
    <w:rsid w:val="00AE632B"/>
    <w:rsid w:val="00AE6511"/>
    <w:rsid w:val="00AE6646"/>
    <w:rsid w:val="00AE6844"/>
    <w:rsid w:val="00AE6876"/>
    <w:rsid w:val="00AE688F"/>
    <w:rsid w:val="00AE6899"/>
    <w:rsid w:val="00AE6904"/>
    <w:rsid w:val="00AE693D"/>
    <w:rsid w:val="00AE69E4"/>
    <w:rsid w:val="00AE6AEC"/>
    <w:rsid w:val="00AE6BEA"/>
    <w:rsid w:val="00AE6C3D"/>
    <w:rsid w:val="00AE6D34"/>
    <w:rsid w:val="00AE6D65"/>
    <w:rsid w:val="00AE6E60"/>
    <w:rsid w:val="00AE6E6E"/>
    <w:rsid w:val="00AE6E6F"/>
    <w:rsid w:val="00AE6E7A"/>
    <w:rsid w:val="00AE6E7C"/>
    <w:rsid w:val="00AE6F17"/>
    <w:rsid w:val="00AE6F51"/>
    <w:rsid w:val="00AE6F74"/>
    <w:rsid w:val="00AE6F88"/>
    <w:rsid w:val="00AE704A"/>
    <w:rsid w:val="00AE709F"/>
    <w:rsid w:val="00AE70EE"/>
    <w:rsid w:val="00AE7144"/>
    <w:rsid w:val="00AE717C"/>
    <w:rsid w:val="00AE7316"/>
    <w:rsid w:val="00AE7337"/>
    <w:rsid w:val="00AE7341"/>
    <w:rsid w:val="00AE73C0"/>
    <w:rsid w:val="00AE745F"/>
    <w:rsid w:val="00AE74A8"/>
    <w:rsid w:val="00AE74AD"/>
    <w:rsid w:val="00AE75EA"/>
    <w:rsid w:val="00AE760A"/>
    <w:rsid w:val="00AE76BF"/>
    <w:rsid w:val="00AE772D"/>
    <w:rsid w:val="00AE7759"/>
    <w:rsid w:val="00AE7856"/>
    <w:rsid w:val="00AE7931"/>
    <w:rsid w:val="00AE7943"/>
    <w:rsid w:val="00AE7947"/>
    <w:rsid w:val="00AE7962"/>
    <w:rsid w:val="00AE798C"/>
    <w:rsid w:val="00AE7A1F"/>
    <w:rsid w:val="00AE7A32"/>
    <w:rsid w:val="00AE7A4A"/>
    <w:rsid w:val="00AE7C09"/>
    <w:rsid w:val="00AE7C34"/>
    <w:rsid w:val="00AE7C39"/>
    <w:rsid w:val="00AE7D9E"/>
    <w:rsid w:val="00AE7DB4"/>
    <w:rsid w:val="00AE7DD5"/>
    <w:rsid w:val="00AE7E96"/>
    <w:rsid w:val="00AE7EB6"/>
    <w:rsid w:val="00AE7EBE"/>
    <w:rsid w:val="00AE7EDC"/>
    <w:rsid w:val="00AE7F03"/>
    <w:rsid w:val="00AE7FE9"/>
    <w:rsid w:val="00AE7FF2"/>
    <w:rsid w:val="00AF00C4"/>
    <w:rsid w:val="00AF012A"/>
    <w:rsid w:val="00AF01FE"/>
    <w:rsid w:val="00AF03D8"/>
    <w:rsid w:val="00AF047C"/>
    <w:rsid w:val="00AF05AD"/>
    <w:rsid w:val="00AF067A"/>
    <w:rsid w:val="00AF069C"/>
    <w:rsid w:val="00AF07E4"/>
    <w:rsid w:val="00AF07ED"/>
    <w:rsid w:val="00AF084A"/>
    <w:rsid w:val="00AF086C"/>
    <w:rsid w:val="00AF08FC"/>
    <w:rsid w:val="00AF096B"/>
    <w:rsid w:val="00AF09BF"/>
    <w:rsid w:val="00AF09DD"/>
    <w:rsid w:val="00AF09F2"/>
    <w:rsid w:val="00AF09FC"/>
    <w:rsid w:val="00AF0B27"/>
    <w:rsid w:val="00AF0BE1"/>
    <w:rsid w:val="00AF0C14"/>
    <w:rsid w:val="00AF0D23"/>
    <w:rsid w:val="00AF0D9F"/>
    <w:rsid w:val="00AF0E54"/>
    <w:rsid w:val="00AF0E78"/>
    <w:rsid w:val="00AF0ED1"/>
    <w:rsid w:val="00AF0EF8"/>
    <w:rsid w:val="00AF0F26"/>
    <w:rsid w:val="00AF103E"/>
    <w:rsid w:val="00AF1071"/>
    <w:rsid w:val="00AF1083"/>
    <w:rsid w:val="00AF109E"/>
    <w:rsid w:val="00AF113B"/>
    <w:rsid w:val="00AF1162"/>
    <w:rsid w:val="00AF1320"/>
    <w:rsid w:val="00AF1357"/>
    <w:rsid w:val="00AF13D5"/>
    <w:rsid w:val="00AF1445"/>
    <w:rsid w:val="00AF14CC"/>
    <w:rsid w:val="00AF153F"/>
    <w:rsid w:val="00AF15B4"/>
    <w:rsid w:val="00AF15C4"/>
    <w:rsid w:val="00AF160F"/>
    <w:rsid w:val="00AF16CC"/>
    <w:rsid w:val="00AF16CE"/>
    <w:rsid w:val="00AF1712"/>
    <w:rsid w:val="00AF1757"/>
    <w:rsid w:val="00AF1777"/>
    <w:rsid w:val="00AF1899"/>
    <w:rsid w:val="00AF1923"/>
    <w:rsid w:val="00AF1A56"/>
    <w:rsid w:val="00AF1A8F"/>
    <w:rsid w:val="00AF1AA6"/>
    <w:rsid w:val="00AF1BA8"/>
    <w:rsid w:val="00AF1C6C"/>
    <w:rsid w:val="00AF1C7C"/>
    <w:rsid w:val="00AF1CB9"/>
    <w:rsid w:val="00AF1E1B"/>
    <w:rsid w:val="00AF1F0F"/>
    <w:rsid w:val="00AF1F31"/>
    <w:rsid w:val="00AF1F58"/>
    <w:rsid w:val="00AF2065"/>
    <w:rsid w:val="00AF218A"/>
    <w:rsid w:val="00AF21E7"/>
    <w:rsid w:val="00AF22DB"/>
    <w:rsid w:val="00AF231F"/>
    <w:rsid w:val="00AF2385"/>
    <w:rsid w:val="00AF2460"/>
    <w:rsid w:val="00AF2467"/>
    <w:rsid w:val="00AF256E"/>
    <w:rsid w:val="00AF25DC"/>
    <w:rsid w:val="00AF26A5"/>
    <w:rsid w:val="00AF2743"/>
    <w:rsid w:val="00AF2745"/>
    <w:rsid w:val="00AF284A"/>
    <w:rsid w:val="00AF287C"/>
    <w:rsid w:val="00AF29D4"/>
    <w:rsid w:val="00AF29F3"/>
    <w:rsid w:val="00AF2A57"/>
    <w:rsid w:val="00AF2A62"/>
    <w:rsid w:val="00AF2B5C"/>
    <w:rsid w:val="00AF2BF6"/>
    <w:rsid w:val="00AF2C96"/>
    <w:rsid w:val="00AF2D0A"/>
    <w:rsid w:val="00AF2DAB"/>
    <w:rsid w:val="00AF2DBE"/>
    <w:rsid w:val="00AF2DC4"/>
    <w:rsid w:val="00AF2E5A"/>
    <w:rsid w:val="00AF2E7D"/>
    <w:rsid w:val="00AF2E84"/>
    <w:rsid w:val="00AF2F3E"/>
    <w:rsid w:val="00AF2F6F"/>
    <w:rsid w:val="00AF302B"/>
    <w:rsid w:val="00AF3091"/>
    <w:rsid w:val="00AF3095"/>
    <w:rsid w:val="00AF3131"/>
    <w:rsid w:val="00AF3277"/>
    <w:rsid w:val="00AF32A4"/>
    <w:rsid w:val="00AF32E7"/>
    <w:rsid w:val="00AF3398"/>
    <w:rsid w:val="00AF33A6"/>
    <w:rsid w:val="00AF340C"/>
    <w:rsid w:val="00AF3414"/>
    <w:rsid w:val="00AF341F"/>
    <w:rsid w:val="00AF34B2"/>
    <w:rsid w:val="00AF3591"/>
    <w:rsid w:val="00AF35D9"/>
    <w:rsid w:val="00AF35DE"/>
    <w:rsid w:val="00AF360A"/>
    <w:rsid w:val="00AF3726"/>
    <w:rsid w:val="00AF37B4"/>
    <w:rsid w:val="00AF37D6"/>
    <w:rsid w:val="00AF387A"/>
    <w:rsid w:val="00AF387E"/>
    <w:rsid w:val="00AF38F5"/>
    <w:rsid w:val="00AF3953"/>
    <w:rsid w:val="00AF395A"/>
    <w:rsid w:val="00AF3A4C"/>
    <w:rsid w:val="00AF3AEE"/>
    <w:rsid w:val="00AF3B20"/>
    <w:rsid w:val="00AF3B33"/>
    <w:rsid w:val="00AF3C22"/>
    <w:rsid w:val="00AF3D02"/>
    <w:rsid w:val="00AF3D4C"/>
    <w:rsid w:val="00AF3DE0"/>
    <w:rsid w:val="00AF3E1C"/>
    <w:rsid w:val="00AF3FA9"/>
    <w:rsid w:val="00AF3FFE"/>
    <w:rsid w:val="00AF4037"/>
    <w:rsid w:val="00AF40B7"/>
    <w:rsid w:val="00AF40C7"/>
    <w:rsid w:val="00AF40F6"/>
    <w:rsid w:val="00AF414D"/>
    <w:rsid w:val="00AF4190"/>
    <w:rsid w:val="00AF425F"/>
    <w:rsid w:val="00AF433F"/>
    <w:rsid w:val="00AF438D"/>
    <w:rsid w:val="00AF43A6"/>
    <w:rsid w:val="00AF4435"/>
    <w:rsid w:val="00AF4439"/>
    <w:rsid w:val="00AF44DC"/>
    <w:rsid w:val="00AF45F0"/>
    <w:rsid w:val="00AF4618"/>
    <w:rsid w:val="00AF4693"/>
    <w:rsid w:val="00AF4749"/>
    <w:rsid w:val="00AF4779"/>
    <w:rsid w:val="00AF47A2"/>
    <w:rsid w:val="00AF4812"/>
    <w:rsid w:val="00AF485F"/>
    <w:rsid w:val="00AF488F"/>
    <w:rsid w:val="00AF48AD"/>
    <w:rsid w:val="00AF4AD2"/>
    <w:rsid w:val="00AF4AFA"/>
    <w:rsid w:val="00AF4BAE"/>
    <w:rsid w:val="00AF4BD2"/>
    <w:rsid w:val="00AF4BEE"/>
    <w:rsid w:val="00AF4D17"/>
    <w:rsid w:val="00AF4DF0"/>
    <w:rsid w:val="00AF4EB6"/>
    <w:rsid w:val="00AF4ECB"/>
    <w:rsid w:val="00AF4F54"/>
    <w:rsid w:val="00AF4F59"/>
    <w:rsid w:val="00AF4F75"/>
    <w:rsid w:val="00AF5050"/>
    <w:rsid w:val="00AF50AF"/>
    <w:rsid w:val="00AF512A"/>
    <w:rsid w:val="00AF5161"/>
    <w:rsid w:val="00AF51BC"/>
    <w:rsid w:val="00AF5254"/>
    <w:rsid w:val="00AF526F"/>
    <w:rsid w:val="00AF5281"/>
    <w:rsid w:val="00AF5287"/>
    <w:rsid w:val="00AF52FC"/>
    <w:rsid w:val="00AF53B6"/>
    <w:rsid w:val="00AF53DE"/>
    <w:rsid w:val="00AF54F9"/>
    <w:rsid w:val="00AF558E"/>
    <w:rsid w:val="00AF55F0"/>
    <w:rsid w:val="00AF5625"/>
    <w:rsid w:val="00AF563B"/>
    <w:rsid w:val="00AF5693"/>
    <w:rsid w:val="00AF56A7"/>
    <w:rsid w:val="00AF56F8"/>
    <w:rsid w:val="00AF58D1"/>
    <w:rsid w:val="00AF5909"/>
    <w:rsid w:val="00AF59C4"/>
    <w:rsid w:val="00AF59E8"/>
    <w:rsid w:val="00AF5AA1"/>
    <w:rsid w:val="00AF5AEF"/>
    <w:rsid w:val="00AF5B8A"/>
    <w:rsid w:val="00AF5B8C"/>
    <w:rsid w:val="00AF5C33"/>
    <w:rsid w:val="00AF5C84"/>
    <w:rsid w:val="00AF5D6D"/>
    <w:rsid w:val="00AF5EDD"/>
    <w:rsid w:val="00AF5F3C"/>
    <w:rsid w:val="00AF5FEA"/>
    <w:rsid w:val="00AF5FFB"/>
    <w:rsid w:val="00AF6078"/>
    <w:rsid w:val="00AF60B2"/>
    <w:rsid w:val="00AF611E"/>
    <w:rsid w:val="00AF6161"/>
    <w:rsid w:val="00AF626F"/>
    <w:rsid w:val="00AF6402"/>
    <w:rsid w:val="00AF6425"/>
    <w:rsid w:val="00AF648E"/>
    <w:rsid w:val="00AF65FC"/>
    <w:rsid w:val="00AF66F4"/>
    <w:rsid w:val="00AF672C"/>
    <w:rsid w:val="00AF6778"/>
    <w:rsid w:val="00AF67C1"/>
    <w:rsid w:val="00AF6866"/>
    <w:rsid w:val="00AF68A3"/>
    <w:rsid w:val="00AF68C3"/>
    <w:rsid w:val="00AF69DB"/>
    <w:rsid w:val="00AF6A12"/>
    <w:rsid w:val="00AF6A50"/>
    <w:rsid w:val="00AF6B9B"/>
    <w:rsid w:val="00AF6C97"/>
    <w:rsid w:val="00AF6CAA"/>
    <w:rsid w:val="00AF6D3B"/>
    <w:rsid w:val="00AF6D45"/>
    <w:rsid w:val="00AF6D51"/>
    <w:rsid w:val="00AF6DA2"/>
    <w:rsid w:val="00AF6DE8"/>
    <w:rsid w:val="00AF6E8E"/>
    <w:rsid w:val="00AF6EFA"/>
    <w:rsid w:val="00AF6FE8"/>
    <w:rsid w:val="00AF6FEE"/>
    <w:rsid w:val="00AF7015"/>
    <w:rsid w:val="00AF702E"/>
    <w:rsid w:val="00AF70B9"/>
    <w:rsid w:val="00AF70C1"/>
    <w:rsid w:val="00AF71A9"/>
    <w:rsid w:val="00AF7258"/>
    <w:rsid w:val="00AF726A"/>
    <w:rsid w:val="00AF733F"/>
    <w:rsid w:val="00AF73C6"/>
    <w:rsid w:val="00AF75C6"/>
    <w:rsid w:val="00AF76F1"/>
    <w:rsid w:val="00AF772D"/>
    <w:rsid w:val="00AF78FC"/>
    <w:rsid w:val="00AF79EE"/>
    <w:rsid w:val="00AF7AEB"/>
    <w:rsid w:val="00AF7B79"/>
    <w:rsid w:val="00AF7C93"/>
    <w:rsid w:val="00AF7CA3"/>
    <w:rsid w:val="00AF7CBE"/>
    <w:rsid w:val="00AF7CBF"/>
    <w:rsid w:val="00AF7D03"/>
    <w:rsid w:val="00AF7DF8"/>
    <w:rsid w:val="00AF7E5F"/>
    <w:rsid w:val="00AF7E92"/>
    <w:rsid w:val="00AF7F42"/>
    <w:rsid w:val="00AF7F4C"/>
    <w:rsid w:val="00AF7FC3"/>
    <w:rsid w:val="00AF7FE2"/>
    <w:rsid w:val="00B00095"/>
    <w:rsid w:val="00B000BB"/>
    <w:rsid w:val="00B00137"/>
    <w:rsid w:val="00B001B1"/>
    <w:rsid w:val="00B00239"/>
    <w:rsid w:val="00B00240"/>
    <w:rsid w:val="00B00281"/>
    <w:rsid w:val="00B0032A"/>
    <w:rsid w:val="00B0032F"/>
    <w:rsid w:val="00B00408"/>
    <w:rsid w:val="00B0041F"/>
    <w:rsid w:val="00B00538"/>
    <w:rsid w:val="00B00549"/>
    <w:rsid w:val="00B0054E"/>
    <w:rsid w:val="00B0057B"/>
    <w:rsid w:val="00B0058D"/>
    <w:rsid w:val="00B0058E"/>
    <w:rsid w:val="00B006B2"/>
    <w:rsid w:val="00B007F2"/>
    <w:rsid w:val="00B0089F"/>
    <w:rsid w:val="00B00AC0"/>
    <w:rsid w:val="00B00C38"/>
    <w:rsid w:val="00B00C68"/>
    <w:rsid w:val="00B00CD3"/>
    <w:rsid w:val="00B00E5B"/>
    <w:rsid w:val="00B00E98"/>
    <w:rsid w:val="00B00F68"/>
    <w:rsid w:val="00B010AC"/>
    <w:rsid w:val="00B010DA"/>
    <w:rsid w:val="00B011B6"/>
    <w:rsid w:val="00B01224"/>
    <w:rsid w:val="00B01228"/>
    <w:rsid w:val="00B01324"/>
    <w:rsid w:val="00B0139F"/>
    <w:rsid w:val="00B013B3"/>
    <w:rsid w:val="00B0148C"/>
    <w:rsid w:val="00B015CC"/>
    <w:rsid w:val="00B0160C"/>
    <w:rsid w:val="00B01689"/>
    <w:rsid w:val="00B016F7"/>
    <w:rsid w:val="00B0172E"/>
    <w:rsid w:val="00B01741"/>
    <w:rsid w:val="00B017F2"/>
    <w:rsid w:val="00B0182A"/>
    <w:rsid w:val="00B0185F"/>
    <w:rsid w:val="00B0193B"/>
    <w:rsid w:val="00B01A1A"/>
    <w:rsid w:val="00B01A27"/>
    <w:rsid w:val="00B01A9E"/>
    <w:rsid w:val="00B01ACE"/>
    <w:rsid w:val="00B01AD5"/>
    <w:rsid w:val="00B01BB7"/>
    <w:rsid w:val="00B01BD9"/>
    <w:rsid w:val="00B01C33"/>
    <w:rsid w:val="00B01CF4"/>
    <w:rsid w:val="00B01CF7"/>
    <w:rsid w:val="00B01D4D"/>
    <w:rsid w:val="00B01E72"/>
    <w:rsid w:val="00B01EB8"/>
    <w:rsid w:val="00B01F0B"/>
    <w:rsid w:val="00B01F31"/>
    <w:rsid w:val="00B01F60"/>
    <w:rsid w:val="00B01F87"/>
    <w:rsid w:val="00B01FA4"/>
    <w:rsid w:val="00B01FD3"/>
    <w:rsid w:val="00B020C2"/>
    <w:rsid w:val="00B020DE"/>
    <w:rsid w:val="00B02133"/>
    <w:rsid w:val="00B022B3"/>
    <w:rsid w:val="00B022BF"/>
    <w:rsid w:val="00B022F2"/>
    <w:rsid w:val="00B022FA"/>
    <w:rsid w:val="00B02302"/>
    <w:rsid w:val="00B02319"/>
    <w:rsid w:val="00B02364"/>
    <w:rsid w:val="00B02418"/>
    <w:rsid w:val="00B02434"/>
    <w:rsid w:val="00B024A4"/>
    <w:rsid w:val="00B0269D"/>
    <w:rsid w:val="00B026F5"/>
    <w:rsid w:val="00B0271D"/>
    <w:rsid w:val="00B0271F"/>
    <w:rsid w:val="00B0278E"/>
    <w:rsid w:val="00B027C8"/>
    <w:rsid w:val="00B027F4"/>
    <w:rsid w:val="00B0281C"/>
    <w:rsid w:val="00B02827"/>
    <w:rsid w:val="00B02842"/>
    <w:rsid w:val="00B02883"/>
    <w:rsid w:val="00B02890"/>
    <w:rsid w:val="00B028A4"/>
    <w:rsid w:val="00B02912"/>
    <w:rsid w:val="00B0291E"/>
    <w:rsid w:val="00B02A0C"/>
    <w:rsid w:val="00B02A50"/>
    <w:rsid w:val="00B02A91"/>
    <w:rsid w:val="00B02B07"/>
    <w:rsid w:val="00B02B48"/>
    <w:rsid w:val="00B02BA1"/>
    <w:rsid w:val="00B02D47"/>
    <w:rsid w:val="00B02D57"/>
    <w:rsid w:val="00B02D75"/>
    <w:rsid w:val="00B02DC5"/>
    <w:rsid w:val="00B02DCA"/>
    <w:rsid w:val="00B02E8D"/>
    <w:rsid w:val="00B03209"/>
    <w:rsid w:val="00B03217"/>
    <w:rsid w:val="00B03237"/>
    <w:rsid w:val="00B032CF"/>
    <w:rsid w:val="00B032D9"/>
    <w:rsid w:val="00B03391"/>
    <w:rsid w:val="00B033FC"/>
    <w:rsid w:val="00B034D1"/>
    <w:rsid w:val="00B03688"/>
    <w:rsid w:val="00B036B0"/>
    <w:rsid w:val="00B036DA"/>
    <w:rsid w:val="00B03809"/>
    <w:rsid w:val="00B03824"/>
    <w:rsid w:val="00B0385C"/>
    <w:rsid w:val="00B038A3"/>
    <w:rsid w:val="00B03913"/>
    <w:rsid w:val="00B03A05"/>
    <w:rsid w:val="00B03ACE"/>
    <w:rsid w:val="00B03AF1"/>
    <w:rsid w:val="00B03B2D"/>
    <w:rsid w:val="00B03C04"/>
    <w:rsid w:val="00B03C67"/>
    <w:rsid w:val="00B03CE8"/>
    <w:rsid w:val="00B03D15"/>
    <w:rsid w:val="00B03DDA"/>
    <w:rsid w:val="00B03DE0"/>
    <w:rsid w:val="00B03E8E"/>
    <w:rsid w:val="00B03F0C"/>
    <w:rsid w:val="00B03F4D"/>
    <w:rsid w:val="00B03F5C"/>
    <w:rsid w:val="00B03F5F"/>
    <w:rsid w:val="00B03F80"/>
    <w:rsid w:val="00B04074"/>
    <w:rsid w:val="00B040E3"/>
    <w:rsid w:val="00B041E4"/>
    <w:rsid w:val="00B042DD"/>
    <w:rsid w:val="00B04321"/>
    <w:rsid w:val="00B04356"/>
    <w:rsid w:val="00B0443B"/>
    <w:rsid w:val="00B044B5"/>
    <w:rsid w:val="00B045A9"/>
    <w:rsid w:val="00B045CE"/>
    <w:rsid w:val="00B045F1"/>
    <w:rsid w:val="00B045FD"/>
    <w:rsid w:val="00B04624"/>
    <w:rsid w:val="00B04683"/>
    <w:rsid w:val="00B0469A"/>
    <w:rsid w:val="00B04737"/>
    <w:rsid w:val="00B04800"/>
    <w:rsid w:val="00B0481F"/>
    <w:rsid w:val="00B04931"/>
    <w:rsid w:val="00B049DC"/>
    <w:rsid w:val="00B04A03"/>
    <w:rsid w:val="00B04AD3"/>
    <w:rsid w:val="00B04AD9"/>
    <w:rsid w:val="00B04BB2"/>
    <w:rsid w:val="00B04C66"/>
    <w:rsid w:val="00B04C82"/>
    <w:rsid w:val="00B04CB0"/>
    <w:rsid w:val="00B04CCF"/>
    <w:rsid w:val="00B04E52"/>
    <w:rsid w:val="00B04E90"/>
    <w:rsid w:val="00B04EAF"/>
    <w:rsid w:val="00B04F45"/>
    <w:rsid w:val="00B04F8E"/>
    <w:rsid w:val="00B05005"/>
    <w:rsid w:val="00B0500B"/>
    <w:rsid w:val="00B05027"/>
    <w:rsid w:val="00B050B7"/>
    <w:rsid w:val="00B0512A"/>
    <w:rsid w:val="00B05178"/>
    <w:rsid w:val="00B051AD"/>
    <w:rsid w:val="00B051AF"/>
    <w:rsid w:val="00B0520D"/>
    <w:rsid w:val="00B0520F"/>
    <w:rsid w:val="00B05215"/>
    <w:rsid w:val="00B05328"/>
    <w:rsid w:val="00B0535F"/>
    <w:rsid w:val="00B056A5"/>
    <w:rsid w:val="00B057D5"/>
    <w:rsid w:val="00B05812"/>
    <w:rsid w:val="00B05839"/>
    <w:rsid w:val="00B05877"/>
    <w:rsid w:val="00B05902"/>
    <w:rsid w:val="00B05920"/>
    <w:rsid w:val="00B05922"/>
    <w:rsid w:val="00B05954"/>
    <w:rsid w:val="00B0597B"/>
    <w:rsid w:val="00B05A41"/>
    <w:rsid w:val="00B05B29"/>
    <w:rsid w:val="00B05B42"/>
    <w:rsid w:val="00B05CC8"/>
    <w:rsid w:val="00B05CD1"/>
    <w:rsid w:val="00B05CF2"/>
    <w:rsid w:val="00B05D15"/>
    <w:rsid w:val="00B05DAE"/>
    <w:rsid w:val="00B05DBC"/>
    <w:rsid w:val="00B05DEF"/>
    <w:rsid w:val="00B05E72"/>
    <w:rsid w:val="00B05F31"/>
    <w:rsid w:val="00B05FA1"/>
    <w:rsid w:val="00B06145"/>
    <w:rsid w:val="00B06198"/>
    <w:rsid w:val="00B061A5"/>
    <w:rsid w:val="00B062E4"/>
    <w:rsid w:val="00B06307"/>
    <w:rsid w:val="00B0631A"/>
    <w:rsid w:val="00B0638B"/>
    <w:rsid w:val="00B063B5"/>
    <w:rsid w:val="00B063D4"/>
    <w:rsid w:val="00B063E5"/>
    <w:rsid w:val="00B06417"/>
    <w:rsid w:val="00B06418"/>
    <w:rsid w:val="00B0646F"/>
    <w:rsid w:val="00B06470"/>
    <w:rsid w:val="00B06472"/>
    <w:rsid w:val="00B06473"/>
    <w:rsid w:val="00B06480"/>
    <w:rsid w:val="00B064D0"/>
    <w:rsid w:val="00B06554"/>
    <w:rsid w:val="00B065C8"/>
    <w:rsid w:val="00B066D1"/>
    <w:rsid w:val="00B06701"/>
    <w:rsid w:val="00B06772"/>
    <w:rsid w:val="00B06773"/>
    <w:rsid w:val="00B0682B"/>
    <w:rsid w:val="00B06935"/>
    <w:rsid w:val="00B069BB"/>
    <w:rsid w:val="00B06BB1"/>
    <w:rsid w:val="00B06BE1"/>
    <w:rsid w:val="00B06C75"/>
    <w:rsid w:val="00B06D47"/>
    <w:rsid w:val="00B06D9F"/>
    <w:rsid w:val="00B06E02"/>
    <w:rsid w:val="00B06E2C"/>
    <w:rsid w:val="00B06EE5"/>
    <w:rsid w:val="00B06F2A"/>
    <w:rsid w:val="00B06FB4"/>
    <w:rsid w:val="00B07117"/>
    <w:rsid w:val="00B07333"/>
    <w:rsid w:val="00B07335"/>
    <w:rsid w:val="00B07368"/>
    <w:rsid w:val="00B073EA"/>
    <w:rsid w:val="00B07418"/>
    <w:rsid w:val="00B0743A"/>
    <w:rsid w:val="00B0746F"/>
    <w:rsid w:val="00B074E3"/>
    <w:rsid w:val="00B07512"/>
    <w:rsid w:val="00B07531"/>
    <w:rsid w:val="00B0753B"/>
    <w:rsid w:val="00B075A8"/>
    <w:rsid w:val="00B075AA"/>
    <w:rsid w:val="00B0761B"/>
    <w:rsid w:val="00B0769A"/>
    <w:rsid w:val="00B0769E"/>
    <w:rsid w:val="00B0770B"/>
    <w:rsid w:val="00B07809"/>
    <w:rsid w:val="00B07887"/>
    <w:rsid w:val="00B0791C"/>
    <w:rsid w:val="00B079BC"/>
    <w:rsid w:val="00B07A5E"/>
    <w:rsid w:val="00B07BB0"/>
    <w:rsid w:val="00B07BBF"/>
    <w:rsid w:val="00B07BD9"/>
    <w:rsid w:val="00B07CA3"/>
    <w:rsid w:val="00B07DB9"/>
    <w:rsid w:val="00B07E34"/>
    <w:rsid w:val="00B07EB3"/>
    <w:rsid w:val="00B07F91"/>
    <w:rsid w:val="00B1006A"/>
    <w:rsid w:val="00B100E5"/>
    <w:rsid w:val="00B100F1"/>
    <w:rsid w:val="00B10153"/>
    <w:rsid w:val="00B10159"/>
    <w:rsid w:val="00B101E7"/>
    <w:rsid w:val="00B10249"/>
    <w:rsid w:val="00B10251"/>
    <w:rsid w:val="00B10265"/>
    <w:rsid w:val="00B1026A"/>
    <w:rsid w:val="00B102AF"/>
    <w:rsid w:val="00B1034F"/>
    <w:rsid w:val="00B10376"/>
    <w:rsid w:val="00B103FE"/>
    <w:rsid w:val="00B103FF"/>
    <w:rsid w:val="00B104A5"/>
    <w:rsid w:val="00B10508"/>
    <w:rsid w:val="00B10579"/>
    <w:rsid w:val="00B10651"/>
    <w:rsid w:val="00B10663"/>
    <w:rsid w:val="00B106C2"/>
    <w:rsid w:val="00B106E4"/>
    <w:rsid w:val="00B1072E"/>
    <w:rsid w:val="00B107DD"/>
    <w:rsid w:val="00B108A0"/>
    <w:rsid w:val="00B108C9"/>
    <w:rsid w:val="00B109C4"/>
    <w:rsid w:val="00B10A9F"/>
    <w:rsid w:val="00B10AA4"/>
    <w:rsid w:val="00B10B97"/>
    <w:rsid w:val="00B10C0D"/>
    <w:rsid w:val="00B10E8F"/>
    <w:rsid w:val="00B10ED8"/>
    <w:rsid w:val="00B10EF4"/>
    <w:rsid w:val="00B10F4B"/>
    <w:rsid w:val="00B10F84"/>
    <w:rsid w:val="00B1100A"/>
    <w:rsid w:val="00B11053"/>
    <w:rsid w:val="00B110A6"/>
    <w:rsid w:val="00B1111D"/>
    <w:rsid w:val="00B112DB"/>
    <w:rsid w:val="00B11381"/>
    <w:rsid w:val="00B11539"/>
    <w:rsid w:val="00B115FA"/>
    <w:rsid w:val="00B115FF"/>
    <w:rsid w:val="00B11655"/>
    <w:rsid w:val="00B1170F"/>
    <w:rsid w:val="00B11860"/>
    <w:rsid w:val="00B118FB"/>
    <w:rsid w:val="00B11925"/>
    <w:rsid w:val="00B119D9"/>
    <w:rsid w:val="00B119F9"/>
    <w:rsid w:val="00B11B0E"/>
    <w:rsid w:val="00B11B1A"/>
    <w:rsid w:val="00B11B42"/>
    <w:rsid w:val="00B11B79"/>
    <w:rsid w:val="00B11BC7"/>
    <w:rsid w:val="00B11C20"/>
    <w:rsid w:val="00B11C8B"/>
    <w:rsid w:val="00B11C8F"/>
    <w:rsid w:val="00B11CB9"/>
    <w:rsid w:val="00B11D07"/>
    <w:rsid w:val="00B11DD6"/>
    <w:rsid w:val="00B11E09"/>
    <w:rsid w:val="00B11E1E"/>
    <w:rsid w:val="00B11E34"/>
    <w:rsid w:val="00B11E5A"/>
    <w:rsid w:val="00B11E66"/>
    <w:rsid w:val="00B11F23"/>
    <w:rsid w:val="00B11F63"/>
    <w:rsid w:val="00B11FD9"/>
    <w:rsid w:val="00B120A5"/>
    <w:rsid w:val="00B121EF"/>
    <w:rsid w:val="00B12354"/>
    <w:rsid w:val="00B124A2"/>
    <w:rsid w:val="00B1250D"/>
    <w:rsid w:val="00B125CA"/>
    <w:rsid w:val="00B125D6"/>
    <w:rsid w:val="00B127A9"/>
    <w:rsid w:val="00B127FF"/>
    <w:rsid w:val="00B12880"/>
    <w:rsid w:val="00B12890"/>
    <w:rsid w:val="00B128D8"/>
    <w:rsid w:val="00B128F8"/>
    <w:rsid w:val="00B12935"/>
    <w:rsid w:val="00B12948"/>
    <w:rsid w:val="00B12985"/>
    <w:rsid w:val="00B129B5"/>
    <w:rsid w:val="00B12A1C"/>
    <w:rsid w:val="00B12A44"/>
    <w:rsid w:val="00B12A92"/>
    <w:rsid w:val="00B12A93"/>
    <w:rsid w:val="00B12AB7"/>
    <w:rsid w:val="00B12B1D"/>
    <w:rsid w:val="00B12B20"/>
    <w:rsid w:val="00B12BAB"/>
    <w:rsid w:val="00B12C3D"/>
    <w:rsid w:val="00B12C5D"/>
    <w:rsid w:val="00B12C6E"/>
    <w:rsid w:val="00B12DE6"/>
    <w:rsid w:val="00B12EF7"/>
    <w:rsid w:val="00B12FAC"/>
    <w:rsid w:val="00B12FB3"/>
    <w:rsid w:val="00B1300A"/>
    <w:rsid w:val="00B1300F"/>
    <w:rsid w:val="00B13024"/>
    <w:rsid w:val="00B1302C"/>
    <w:rsid w:val="00B13067"/>
    <w:rsid w:val="00B13071"/>
    <w:rsid w:val="00B130AC"/>
    <w:rsid w:val="00B130BB"/>
    <w:rsid w:val="00B13129"/>
    <w:rsid w:val="00B13177"/>
    <w:rsid w:val="00B1318D"/>
    <w:rsid w:val="00B13245"/>
    <w:rsid w:val="00B132CD"/>
    <w:rsid w:val="00B132D9"/>
    <w:rsid w:val="00B132F8"/>
    <w:rsid w:val="00B1333E"/>
    <w:rsid w:val="00B13396"/>
    <w:rsid w:val="00B13423"/>
    <w:rsid w:val="00B135B4"/>
    <w:rsid w:val="00B13613"/>
    <w:rsid w:val="00B136B3"/>
    <w:rsid w:val="00B13726"/>
    <w:rsid w:val="00B137AE"/>
    <w:rsid w:val="00B13887"/>
    <w:rsid w:val="00B1388C"/>
    <w:rsid w:val="00B138C2"/>
    <w:rsid w:val="00B138CE"/>
    <w:rsid w:val="00B1391B"/>
    <w:rsid w:val="00B13990"/>
    <w:rsid w:val="00B13A84"/>
    <w:rsid w:val="00B13B7A"/>
    <w:rsid w:val="00B13C13"/>
    <w:rsid w:val="00B13C49"/>
    <w:rsid w:val="00B13C68"/>
    <w:rsid w:val="00B13CF7"/>
    <w:rsid w:val="00B13D58"/>
    <w:rsid w:val="00B13DC9"/>
    <w:rsid w:val="00B13DD7"/>
    <w:rsid w:val="00B13E1A"/>
    <w:rsid w:val="00B13E7E"/>
    <w:rsid w:val="00B14057"/>
    <w:rsid w:val="00B14129"/>
    <w:rsid w:val="00B14175"/>
    <w:rsid w:val="00B1418D"/>
    <w:rsid w:val="00B141AC"/>
    <w:rsid w:val="00B142D0"/>
    <w:rsid w:val="00B143E9"/>
    <w:rsid w:val="00B143F5"/>
    <w:rsid w:val="00B1446B"/>
    <w:rsid w:val="00B1448C"/>
    <w:rsid w:val="00B144A9"/>
    <w:rsid w:val="00B144BC"/>
    <w:rsid w:val="00B14512"/>
    <w:rsid w:val="00B14521"/>
    <w:rsid w:val="00B145C5"/>
    <w:rsid w:val="00B1462D"/>
    <w:rsid w:val="00B1463A"/>
    <w:rsid w:val="00B14651"/>
    <w:rsid w:val="00B1465C"/>
    <w:rsid w:val="00B14789"/>
    <w:rsid w:val="00B147F5"/>
    <w:rsid w:val="00B14838"/>
    <w:rsid w:val="00B14841"/>
    <w:rsid w:val="00B1486D"/>
    <w:rsid w:val="00B148A6"/>
    <w:rsid w:val="00B1492D"/>
    <w:rsid w:val="00B14943"/>
    <w:rsid w:val="00B149BE"/>
    <w:rsid w:val="00B14A60"/>
    <w:rsid w:val="00B14A75"/>
    <w:rsid w:val="00B14B19"/>
    <w:rsid w:val="00B14BD9"/>
    <w:rsid w:val="00B14C4F"/>
    <w:rsid w:val="00B14CCD"/>
    <w:rsid w:val="00B14CCF"/>
    <w:rsid w:val="00B14DBC"/>
    <w:rsid w:val="00B14E53"/>
    <w:rsid w:val="00B14FB4"/>
    <w:rsid w:val="00B15044"/>
    <w:rsid w:val="00B15108"/>
    <w:rsid w:val="00B151B6"/>
    <w:rsid w:val="00B151D9"/>
    <w:rsid w:val="00B152D7"/>
    <w:rsid w:val="00B152F5"/>
    <w:rsid w:val="00B15375"/>
    <w:rsid w:val="00B1538E"/>
    <w:rsid w:val="00B15418"/>
    <w:rsid w:val="00B15427"/>
    <w:rsid w:val="00B15455"/>
    <w:rsid w:val="00B15501"/>
    <w:rsid w:val="00B1553A"/>
    <w:rsid w:val="00B155B7"/>
    <w:rsid w:val="00B155BB"/>
    <w:rsid w:val="00B155BD"/>
    <w:rsid w:val="00B15686"/>
    <w:rsid w:val="00B156A7"/>
    <w:rsid w:val="00B156AB"/>
    <w:rsid w:val="00B15704"/>
    <w:rsid w:val="00B15744"/>
    <w:rsid w:val="00B15796"/>
    <w:rsid w:val="00B157BA"/>
    <w:rsid w:val="00B15800"/>
    <w:rsid w:val="00B1581A"/>
    <w:rsid w:val="00B15826"/>
    <w:rsid w:val="00B158C3"/>
    <w:rsid w:val="00B158D4"/>
    <w:rsid w:val="00B158FA"/>
    <w:rsid w:val="00B15906"/>
    <w:rsid w:val="00B15931"/>
    <w:rsid w:val="00B159A8"/>
    <w:rsid w:val="00B15A98"/>
    <w:rsid w:val="00B15AA5"/>
    <w:rsid w:val="00B15AED"/>
    <w:rsid w:val="00B15B1B"/>
    <w:rsid w:val="00B15B44"/>
    <w:rsid w:val="00B15BAC"/>
    <w:rsid w:val="00B15CC9"/>
    <w:rsid w:val="00B15CFF"/>
    <w:rsid w:val="00B15D0C"/>
    <w:rsid w:val="00B15D6C"/>
    <w:rsid w:val="00B15D95"/>
    <w:rsid w:val="00B15E0E"/>
    <w:rsid w:val="00B15EB2"/>
    <w:rsid w:val="00B15EEE"/>
    <w:rsid w:val="00B161B6"/>
    <w:rsid w:val="00B161C2"/>
    <w:rsid w:val="00B161EF"/>
    <w:rsid w:val="00B16216"/>
    <w:rsid w:val="00B1629D"/>
    <w:rsid w:val="00B162EB"/>
    <w:rsid w:val="00B16379"/>
    <w:rsid w:val="00B16535"/>
    <w:rsid w:val="00B16550"/>
    <w:rsid w:val="00B16551"/>
    <w:rsid w:val="00B16607"/>
    <w:rsid w:val="00B16616"/>
    <w:rsid w:val="00B1662D"/>
    <w:rsid w:val="00B16669"/>
    <w:rsid w:val="00B16690"/>
    <w:rsid w:val="00B166BD"/>
    <w:rsid w:val="00B166D4"/>
    <w:rsid w:val="00B167AC"/>
    <w:rsid w:val="00B167FC"/>
    <w:rsid w:val="00B16887"/>
    <w:rsid w:val="00B168C0"/>
    <w:rsid w:val="00B1694A"/>
    <w:rsid w:val="00B169BE"/>
    <w:rsid w:val="00B16A25"/>
    <w:rsid w:val="00B16B12"/>
    <w:rsid w:val="00B16BC0"/>
    <w:rsid w:val="00B16BC4"/>
    <w:rsid w:val="00B16CE5"/>
    <w:rsid w:val="00B16CEF"/>
    <w:rsid w:val="00B16CF8"/>
    <w:rsid w:val="00B16DB3"/>
    <w:rsid w:val="00B16E34"/>
    <w:rsid w:val="00B16E6A"/>
    <w:rsid w:val="00B16EC6"/>
    <w:rsid w:val="00B16EDE"/>
    <w:rsid w:val="00B16EEF"/>
    <w:rsid w:val="00B16F3B"/>
    <w:rsid w:val="00B16F54"/>
    <w:rsid w:val="00B16F7A"/>
    <w:rsid w:val="00B17061"/>
    <w:rsid w:val="00B170E1"/>
    <w:rsid w:val="00B17174"/>
    <w:rsid w:val="00B1719E"/>
    <w:rsid w:val="00B172C8"/>
    <w:rsid w:val="00B172D7"/>
    <w:rsid w:val="00B173FB"/>
    <w:rsid w:val="00B17407"/>
    <w:rsid w:val="00B1767C"/>
    <w:rsid w:val="00B1779A"/>
    <w:rsid w:val="00B178C9"/>
    <w:rsid w:val="00B17904"/>
    <w:rsid w:val="00B1798D"/>
    <w:rsid w:val="00B1799F"/>
    <w:rsid w:val="00B179A1"/>
    <w:rsid w:val="00B17A96"/>
    <w:rsid w:val="00B17AFC"/>
    <w:rsid w:val="00B17C2B"/>
    <w:rsid w:val="00B17C77"/>
    <w:rsid w:val="00B17DE9"/>
    <w:rsid w:val="00B17DF1"/>
    <w:rsid w:val="00B17ED3"/>
    <w:rsid w:val="00B17F8C"/>
    <w:rsid w:val="00B2009F"/>
    <w:rsid w:val="00B200AE"/>
    <w:rsid w:val="00B2015E"/>
    <w:rsid w:val="00B20293"/>
    <w:rsid w:val="00B202EC"/>
    <w:rsid w:val="00B2030F"/>
    <w:rsid w:val="00B2035E"/>
    <w:rsid w:val="00B20382"/>
    <w:rsid w:val="00B20406"/>
    <w:rsid w:val="00B2058C"/>
    <w:rsid w:val="00B2059B"/>
    <w:rsid w:val="00B205A8"/>
    <w:rsid w:val="00B205FF"/>
    <w:rsid w:val="00B2070D"/>
    <w:rsid w:val="00B20797"/>
    <w:rsid w:val="00B207EA"/>
    <w:rsid w:val="00B20828"/>
    <w:rsid w:val="00B20883"/>
    <w:rsid w:val="00B2089D"/>
    <w:rsid w:val="00B208AC"/>
    <w:rsid w:val="00B20905"/>
    <w:rsid w:val="00B20919"/>
    <w:rsid w:val="00B20968"/>
    <w:rsid w:val="00B209BC"/>
    <w:rsid w:val="00B20A0B"/>
    <w:rsid w:val="00B20A22"/>
    <w:rsid w:val="00B20AA7"/>
    <w:rsid w:val="00B20AAC"/>
    <w:rsid w:val="00B20C85"/>
    <w:rsid w:val="00B20D26"/>
    <w:rsid w:val="00B20EB1"/>
    <w:rsid w:val="00B20EC3"/>
    <w:rsid w:val="00B20F1C"/>
    <w:rsid w:val="00B20F31"/>
    <w:rsid w:val="00B20F57"/>
    <w:rsid w:val="00B20FBB"/>
    <w:rsid w:val="00B20FBE"/>
    <w:rsid w:val="00B20FC6"/>
    <w:rsid w:val="00B2104B"/>
    <w:rsid w:val="00B210EE"/>
    <w:rsid w:val="00B2110E"/>
    <w:rsid w:val="00B211BF"/>
    <w:rsid w:val="00B21206"/>
    <w:rsid w:val="00B21272"/>
    <w:rsid w:val="00B21406"/>
    <w:rsid w:val="00B21578"/>
    <w:rsid w:val="00B21A10"/>
    <w:rsid w:val="00B21A45"/>
    <w:rsid w:val="00B21CCE"/>
    <w:rsid w:val="00B21D1E"/>
    <w:rsid w:val="00B21D23"/>
    <w:rsid w:val="00B21D4C"/>
    <w:rsid w:val="00B21D59"/>
    <w:rsid w:val="00B21DB7"/>
    <w:rsid w:val="00B21E3F"/>
    <w:rsid w:val="00B21EC7"/>
    <w:rsid w:val="00B21EF6"/>
    <w:rsid w:val="00B21F13"/>
    <w:rsid w:val="00B21FA4"/>
    <w:rsid w:val="00B21FBF"/>
    <w:rsid w:val="00B22069"/>
    <w:rsid w:val="00B220E1"/>
    <w:rsid w:val="00B22108"/>
    <w:rsid w:val="00B2226F"/>
    <w:rsid w:val="00B222E2"/>
    <w:rsid w:val="00B22335"/>
    <w:rsid w:val="00B22338"/>
    <w:rsid w:val="00B223F9"/>
    <w:rsid w:val="00B224B8"/>
    <w:rsid w:val="00B224F6"/>
    <w:rsid w:val="00B22578"/>
    <w:rsid w:val="00B225CB"/>
    <w:rsid w:val="00B22606"/>
    <w:rsid w:val="00B22659"/>
    <w:rsid w:val="00B22688"/>
    <w:rsid w:val="00B22729"/>
    <w:rsid w:val="00B2279A"/>
    <w:rsid w:val="00B2284A"/>
    <w:rsid w:val="00B228F7"/>
    <w:rsid w:val="00B2292A"/>
    <w:rsid w:val="00B22953"/>
    <w:rsid w:val="00B22AA4"/>
    <w:rsid w:val="00B22ABD"/>
    <w:rsid w:val="00B22B04"/>
    <w:rsid w:val="00B22BC8"/>
    <w:rsid w:val="00B22CB3"/>
    <w:rsid w:val="00B22D44"/>
    <w:rsid w:val="00B22D58"/>
    <w:rsid w:val="00B22D88"/>
    <w:rsid w:val="00B22DBA"/>
    <w:rsid w:val="00B22DEA"/>
    <w:rsid w:val="00B22E1B"/>
    <w:rsid w:val="00B22E28"/>
    <w:rsid w:val="00B22E97"/>
    <w:rsid w:val="00B22EFB"/>
    <w:rsid w:val="00B22F5D"/>
    <w:rsid w:val="00B2301F"/>
    <w:rsid w:val="00B23223"/>
    <w:rsid w:val="00B2327C"/>
    <w:rsid w:val="00B232CE"/>
    <w:rsid w:val="00B232EE"/>
    <w:rsid w:val="00B23311"/>
    <w:rsid w:val="00B23331"/>
    <w:rsid w:val="00B233D6"/>
    <w:rsid w:val="00B233E3"/>
    <w:rsid w:val="00B234E1"/>
    <w:rsid w:val="00B2369E"/>
    <w:rsid w:val="00B23769"/>
    <w:rsid w:val="00B237E7"/>
    <w:rsid w:val="00B23809"/>
    <w:rsid w:val="00B23811"/>
    <w:rsid w:val="00B23874"/>
    <w:rsid w:val="00B238BE"/>
    <w:rsid w:val="00B23901"/>
    <w:rsid w:val="00B23955"/>
    <w:rsid w:val="00B239BF"/>
    <w:rsid w:val="00B239E4"/>
    <w:rsid w:val="00B239F5"/>
    <w:rsid w:val="00B23B39"/>
    <w:rsid w:val="00B23BE5"/>
    <w:rsid w:val="00B23C55"/>
    <w:rsid w:val="00B23CC8"/>
    <w:rsid w:val="00B23D12"/>
    <w:rsid w:val="00B23D5C"/>
    <w:rsid w:val="00B23EA1"/>
    <w:rsid w:val="00B23EE1"/>
    <w:rsid w:val="00B23F1F"/>
    <w:rsid w:val="00B24017"/>
    <w:rsid w:val="00B2404E"/>
    <w:rsid w:val="00B24081"/>
    <w:rsid w:val="00B240BD"/>
    <w:rsid w:val="00B241F8"/>
    <w:rsid w:val="00B2426A"/>
    <w:rsid w:val="00B24288"/>
    <w:rsid w:val="00B242CE"/>
    <w:rsid w:val="00B242E5"/>
    <w:rsid w:val="00B243A9"/>
    <w:rsid w:val="00B2440B"/>
    <w:rsid w:val="00B24444"/>
    <w:rsid w:val="00B24721"/>
    <w:rsid w:val="00B24734"/>
    <w:rsid w:val="00B24926"/>
    <w:rsid w:val="00B249A2"/>
    <w:rsid w:val="00B249CF"/>
    <w:rsid w:val="00B249EB"/>
    <w:rsid w:val="00B24AC3"/>
    <w:rsid w:val="00B24B16"/>
    <w:rsid w:val="00B24B47"/>
    <w:rsid w:val="00B24B84"/>
    <w:rsid w:val="00B24BC1"/>
    <w:rsid w:val="00B24C19"/>
    <w:rsid w:val="00B24C1E"/>
    <w:rsid w:val="00B24C5F"/>
    <w:rsid w:val="00B24C8D"/>
    <w:rsid w:val="00B24D77"/>
    <w:rsid w:val="00B24ED8"/>
    <w:rsid w:val="00B24FBE"/>
    <w:rsid w:val="00B25003"/>
    <w:rsid w:val="00B2518E"/>
    <w:rsid w:val="00B251A2"/>
    <w:rsid w:val="00B251CA"/>
    <w:rsid w:val="00B2522B"/>
    <w:rsid w:val="00B25259"/>
    <w:rsid w:val="00B25269"/>
    <w:rsid w:val="00B25297"/>
    <w:rsid w:val="00B2537E"/>
    <w:rsid w:val="00B2541A"/>
    <w:rsid w:val="00B25477"/>
    <w:rsid w:val="00B2548F"/>
    <w:rsid w:val="00B254F1"/>
    <w:rsid w:val="00B25505"/>
    <w:rsid w:val="00B25507"/>
    <w:rsid w:val="00B25520"/>
    <w:rsid w:val="00B25730"/>
    <w:rsid w:val="00B2581E"/>
    <w:rsid w:val="00B2585C"/>
    <w:rsid w:val="00B259B3"/>
    <w:rsid w:val="00B25A01"/>
    <w:rsid w:val="00B25A22"/>
    <w:rsid w:val="00B25BA7"/>
    <w:rsid w:val="00B25C28"/>
    <w:rsid w:val="00B25C77"/>
    <w:rsid w:val="00B25D1C"/>
    <w:rsid w:val="00B25DB7"/>
    <w:rsid w:val="00B25E1A"/>
    <w:rsid w:val="00B25E88"/>
    <w:rsid w:val="00B25F0A"/>
    <w:rsid w:val="00B25F5B"/>
    <w:rsid w:val="00B25FC3"/>
    <w:rsid w:val="00B2600A"/>
    <w:rsid w:val="00B260AC"/>
    <w:rsid w:val="00B2613D"/>
    <w:rsid w:val="00B26197"/>
    <w:rsid w:val="00B261FA"/>
    <w:rsid w:val="00B2623B"/>
    <w:rsid w:val="00B26282"/>
    <w:rsid w:val="00B26290"/>
    <w:rsid w:val="00B262B7"/>
    <w:rsid w:val="00B26334"/>
    <w:rsid w:val="00B263EA"/>
    <w:rsid w:val="00B26427"/>
    <w:rsid w:val="00B2656E"/>
    <w:rsid w:val="00B265A9"/>
    <w:rsid w:val="00B26607"/>
    <w:rsid w:val="00B26762"/>
    <w:rsid w:val="00B26795"/>
    <w:rsid w:val="00B26826"/>
    <w:rsid w:val="00B26840"/>
    <w:rsid w:val="00B26860"/>
    <w:rsid w:val="00B26893"/>
    <w:rsid w:val="00B268E5"/>
    <w:rsid w:val="00B26913"/>
    <w:rsid w:val="00B26BC3"/>
    <w:rsid w:val="00B26C44"/>
    <w:rsid w:val="00B26CEE"/>
    <w:rsid w:val="00B26D6D"/>
    <w:rsid w:val="00B26E78"/>
    <w:rsid w:val="00B26E7F"/>
    <w:rsid w:val="00B26EA2"/>
    <w:rsid w:val="00B26EE7"/>
    <w:rsid w:val="00B26F5E"/>
    <w:rsid w:val="00B26F72"/>
    <w:rsid w:val="00B26F98"/>
    <w:rsid w:val="00B27010"/>
    <w:rsid w:val="00B2701E"/>
    <w:rsid w:val="00B271E8"/>
    <w:rsid w:val="00B2726F"/>
    <w:rsid w:val="00B272F3"/>
    <w:rsid w:val="00B27440"/>
    <w:rsid w:val="00B2745F"/>
    <w:rsid w:val="00B274B4"/>
    <w:rsid w:val="00B27500"/>
    <w:rsid w:val="00B2751D"/>
    <w:rsid w:val="00B27529"/>
    <w:rsid w:val="00B2766A"/>
    <w:rsid w:val="00B27753"/>
    <w:rsid w:val="00B27767"/>
    <w:rsid w:val="00B27799"/>
    <w:rsid w:val="00B277C2"/>
    <w:rsid w:val="00B277C6"/>
    <w:rsid w:val="00B27805"/>
    <w:rsid w:val="00B27902"/>
    <w:rsid w:val="00B27A71"/>
    <w:rsid w:val="00B27A82"/>
    <w:rsid w:val="00B27AAD"/>
    <w:rsid w:val="00B27AFB"/>
    <w:rsid w:val="00B27BD4"/>
    <w:rsid w:val="00B27C6D"/>
    <w:rsid w:val="00B27CAD"/>
    <w:rsid w:val="00B27CB0"/>
    <w:rsid w:val="00B27F69"/>
    <w:rsid w:val="00B27FC4"/>
    <w:rsid w:val="00B30023"/>
    <w:rsid w:val="00B300C7"/>
    <w:rsid w:val="00B30195"/>
    <w:rsid w:val="00B302A4"/>
    <w:rsid w:val="00B302B4"/>
    <w:rsid w:val="00B3044A"/>
    <w:rsid w:val="00B3052F"/>
    <w:rsid w:val="00B30557"/>
    <w:rsid w:val="00B305FF"/>
    <w:rsid w:val="00B30603"/>
    <w:rsid w:val="00B30629"/>
    <w:rsid w:val="00B30758"/>
    <w:rsid w:val="00B3078A"/>
    <w:rsid w:val="00B3080E"/>
    <w:rsid w:val="00B30872"/>
    <w:rsid w:val="00B308DD"/>
    <w:rsid w:val="00B30901"/>
    <w:rsid w:val="00B30905"/>
    <w:rsid w:val="00B3092F"/>
    <w:rsid w:val="00B30973"/>
    <w:rsid w:val="00B30996"/>
    <w:rsid w:val="00B309AF"/>
    <w:rsid w:val="00B30A25"/>
    <w:rsid w:val="00B30B50"/>
    <w:rsid w:val="00B30B53"/>
    <w:rsid w:val="00B30B6A"/>
    <w:rsid w:val="00B30BC2"/>
    <w:rsid w:val="00B30C27"/>
    <w:rsid w:val="00B30E14"/>
    <w:rsid w:val="00B30E16"/>
    <w:rsid w:val="00B30E32"/>
    <w:rsid w:val="00B30E5F"/>
    <w:rsid w:val="00B30F90"/>
    <w:rsid w:val="00B3113F"/>
    <w:rsid w:val="00B311EC"/>
    <w:rsid w:val="00B31218"/>
    <w:rsid w:val="00B31238"/>
    <w:rsid w:val="00B31274"/>
    <w:rsid w:val="00B3128F"/>
    <w:rsid w:val="00B312F7"/>
    <w:rsid w:val="00B3139B"/>
    <w:rsid w:val="00B313A3"/>
    <w:rsid w:val="00B314C8"/>
    <w:rsid w:val="00B31500"/>
    <w:rsid w:val="00B31573"/>
    <w:rsid w:val="00B315A6"/>
    <w:rsid w:val="00B31646"/>
    <w:rsid w:val="00B31664"/>
    <w:rsid w:val="00B3174A"/>
    <w:rsid w:val="00B3177B"/>
    <w:rsid w:val="00B31786"/>
    <w:rsid w:val="00B318B2"/>
    <w:rsid w:val="00B3193D"/>
    <w:rsid w:val="00B319D0"/>
    <w:rsid w:val="00B31AF2"/>
    <w:rsid w:val="00B31B4D"/>
    <w:rsid w:val="00B31B59"/>
    <w:rsid w:val="00B31D2C"/>
    <w:rsid w:val="00B31E3C"/>
    <w:rsid w:val="00B31EE2"/>
    <w:rsid w:val="00B31F2A"/>
    <w:rsid w:val="00B320EF"/>
    <w:rsid w:val="00B321AB"/>
    <w:rsid w:val="00B321FB"/>
    <w:rsid w:val="00B32290"/>
    <w:rsid w:val="00B322B0"/>
    <w:rsid w:val="00B322CD"/>
    <w:rsid w:val="00B3236D"/>
    <w:rsid w:val="00B32400"/>
    <w:rsid w:val="00B324A1"/>
    <w:rsid w:val="00B32534"/>
    <w:rsid w:val="00B3257A"/>
    <w:rsid w:val="00B3259A"/>
    <w:rsid w:val="00B325E3"/>
    <w:rsid w:val="00B325FE"/>
    <w:rsid w:val="00B32643"/>
    <w:rsid w:val="00B32698"/>
    <w:rsid w:val="00B326BC"/>
    <w:rsid w:val="00B326C8"/>
    <w:rsid w:val="00B32883"/>
    <w:rsid w:val="00B32896"/>
    <w:rsid w:val="00B3297F"/>
    <w:rsid w:val="00B32994"/>
    <w:rsid w:val="00B3299F"/>
    <w:rsid w:val="00B32B13"/>
    <w:rsid w:val="00B32B52"/>
    <w:rsid w:val="00B32BDD"/>
    <w:rsid w:val="00B32C45"/>
    <w:rsid w:val="00B32CC2"/>
    <w:rsid w:val="00B32CCD"/>
    <w:rsid w:val="00B32DDA"/>
    <w:rsid w:val="00B32EDB"/>
    <w:rsid w:val="00B32F01"/>
    <w:rsid w:val="00B33151"/>
    <w:rsid w:val="00B33187"/>
    <w:rsid w:val="00B331C8"/>
    <w:rsid w:val="00B33249"/>
    <w:rsid w:val="00B33325"/>
    <w:rsid w:val="00B333DB"/>
    <w:rsid w:val="00B3342B"/>
    <w:rsid w:val="00B33453"/>
    <w:rsid w:val="00B335D3"/>
    <w:rsid w:val="00B335E9"/>
    <w:rsid w:val="00B335FB"/>
    <w:rsid w:val="00B33662"/>
    <w:rsid w:val="00B336DF"/>
    <w:rsid w:val="00B33790"/>
    <w:rsid w:val="00B337C0"/>
    <w:rsid w:val="00B33924"/>
    <w:rsid w:val="00B33974"/>
    <w:rsid w:val="00B339C8"/>
    <w:rsid w:val="00B33A61"/>
    <w:rsid w:val="00B33A62"/>
    <w:rsid w:val="00B33A70"/>
    <w:rsid w:val="00B33A91"/>
    <w:rsid w:val="00B33AD5"/>
    <w:rsid w:val="00B33B6E"/>
    <w:rsid w:val="00B33EB4"/>
    <w:rsid w:val="00B33EE4"/>
    <w:rsid w:val="00B33F27"/>
    <w:rsid w:val="00B33FCC"/>
    <w:rsid w:val="00B33FEF"/>
    <w:rsid w:val="00B34030"/>
    <w:rsid w:val="00B3406E"/>
    <w:rsid w:val="00B34076"/>
    <w:rsid w:val="00B34081"/>
    <w:rsid w:val="00B340B2"/>
    <w:rsid w:val="00B34160"/>
    <w:rsid w:val="00B341B1"/>
    <w:rsid w:val="00B3449B"/>
    <w:rsid w:val="00B3455C"/>
    <w:rsid w:val="00B34642"/>
    <w:rsid w:val="00B34691"/>
    <w:rsid w:val="00B346A7"/>
    <w:rsid w:val="00B34715"/>
    <w:rsid w:val="00B34793"/>
    <w:rsid w:val="00B347CF"/>
    <w:rsid w:val="00B347F5"/>
    <w:rsid w:val="00B34849"/>
    <w:rsid w:val="00B349AD"/>
    <w:rsid w:val="00B34AF6"/>
    <w:rsid w:val="00B34C3F"/>
    <w:rsid w:val="00B34D17"/>
    <w:rsid w:val="00B34D90"/>
    <w:rsid w:val="00B34DAA"/>
    <w:rsid w:val="00B34DDB"/>
    <w:rsid w:val="00B34DEB"/>
    <w:rsid w:val="00B34E41"/>
    <w:rsid w:val="00B34EA2"/>
    <w:rsid w:val="00B34F3E"/>
    <w:rsid w:val="00B34FB4"/>
    <w:rsid w:val="00B350CA"/>
    <w:rsid w:val="00B350CD"/>
    <w:rsid w:val="00B35122"/>
    <w:rsid w:val="00B35131"/>
    <w:rsid w:val="00B351F9"/>
    <w:rsid w:val="00B35256"/>
    <w:rsid w:val="00B352C0"/>
    <w:rsid w:val="00B352CF"/>
    <w:rsid w:val="00B3537C"/>
    <w:rsid w:val="00B354E6"/>
    <w:rsid w:val="00B35515"/>
    <w:rsid w:val="00B3560B"/>
    <w:rsid w:val="00B356FF"/>
    <w:rsid w:val="00B3577F"/>
    <w:rsid w:val="00B35788"/>
    <w:rsid w:val="00B357B6"/>
    <w:rsid w:val="00B357D5"/>
    <w:rsid w:val="00B35850"/>
    <w:rsid w:val="00B35866"/>
    <w:rsid w:val="00B3587C"/>
    <w:rsid w:val="00B3593C"/>
    <w:rsid w:val="00B3596C"/>
    <w:rsid w:val="00B35ABB"/>
    <w:rsid w:val="00B35B6C"/>
    <w:rsid w:val="00B35BB3"/>
    <w:rsid w:val="00B35BBD"/>
    <w:rsid w:val="00B35C80"/>
    <w:rsid w:val="00B35C92"/>
    <w:rsid w:val="00B35D06"/>
    <w:rsid w:val="00B35D5F"/>
    <w:rsid w:val="00B35D8D"/>
    <w:rsid w:val="00B35D99"/>
    <w:rsid w:val="00B35E7F"/>
    <w:rsid w:val="00B35E9D"/>
    <w:rsid w:val="00B35ED9"/>
    <w:rsid w:val="00B35FDD"/>
    <w:rsid w:val="00B35FE2"/>
    <w:rsid w:val="00B35FE3"/>
    <w:rsid w:val="00B35FF8"/>
    <w:rsid w:val="00B3608C"/>
    <w:rsid w:val="00B360EC"/>
    <w:rsid w:val="00B360ED"/>
    <w:rsid w:val="00B3621F"/>
    <w:rsid w:val="00B36315"/>
    <w:rsid w:val="00B363B3"/>
    <w:rsid w:val="00B363C8"/>
    <w:rsid w:val="00B36442"/>
    <w:rsid w:val="00B364CE"/>
    <w:rsid w:val="00B3669E"/>
    <w:rsid w:val="00B36717"/>
    <w:rsid w:val="00B36750"/>
    <w:rsid w:val="00B3677D"/>
    <w:rsid w:val="00B36883"/>
    <w:rsid w:val="00B36961"/>
    <w:rsid w:val="00B36A1F"/>
    <w:rsid w:val="00B36C3C"/>
    <w:rsid w:val="00B36C3D"/>
    <w:rsid w:val="00B36C71"/>
    <w:rsid w:val="00B36CD4"/>
    <w:rsid w:val="00B36D07"/>
    <w:rsid w:val="00B36E88"/>
    <w:rsid w:val="00B3709D"/>
    <w:rsid w:val="00B37114"/>
    <w:rsid w:val="00B3717B"/>
    <w:rsid w:val="00B3721F"/>
    <w:rsid w:val="00B37251"/>
    <w:rsid w:val="00B37260"/>
    <w:rsid w:val="00B37269"/>
    <w:rsid w:val="00B37277"/>
    <w:rsid w:val="00B37320"/>
    <w:rsid w:val="00B373A9"/>
    <w:rsid w:val="00B37442"/>
    <w:rsid w:val="00B37562"/>
    <w:rsid w:val="00B376FE"/>
    <w:rsid w:val="00B3773D"/>
    <w:rsid w:val="00B37808"/>
    <w:rsid w:val="00B37818"/>
    <w:rsid w:val="00B37824"/>
    <w:rsid w:val="00B37888"/>
    <w:rsid w:val="00B378CD"/>
    <w:rsid w:val="00B378CE"/>
    <w:rsid w:val="00B378F6"/>
    <w:rsid w:val="00B3791B"/>
    <w:rsid w:val="00B3792D"/>
    <w:rsid w:val="00B3797A"/>
    <w:rsid w:val="00B37986"/>
    <w:rsid w:val="00B37A63"/>
    <w:rsid w:val="00B37B2F"/>
    <w:rsid w:val="00B37BE3"/>
    <w:rsid w:val="00B37C6F"/>
    <w:rsid w:val="00B37D26"/>
    <w:rsid w:val="00B37D2A"/>
    <w:rsid w:val="00B37D88"/>
    <w:rsid w:val="00B37DC9"/>
    <w:rsid w:val="00B37DEA"/>
    <w:rsid w:val="00B37E91"/>
    <w:rsid w:val="00B37EAB"/>
    <w:rsid w:val="00B37EBF"/>
    <w:rsid w:val="00B37F1B"/>
    <w:rsid w:val="00B37F40"/>
    <w:rsid w:val="00B37F8B"/>
    <w:rsid w:val="00B37F9F"/>
    <w:rsid w:val="00B40092"/>
    <w:rsid w:val="00B40097"/>
    <w:rsid w:val="00B400D7"/>
    <w:rsid w:val="00B4010E"/>
    <w:rsid w:val="00B401D3"/>
    <w:rsid w:val="00B40253"/>
    <w:rsid w:val="00B40256"/>
    <w:rsid w:val="00B402BE"/>
    <w:rsid w:val="00B402D4"/>
    <w:rsid w:val="00B402E8"/>
    <w:rsid w:val="00B40382"/>
    <w:rsid w:val="00B403E5"/>
    <w:rsid w:val="00B403F8"/>
    <w:rsid w:val="00B4049C"/>
    <w:rsid w:val="00B404B5"/>
    <w:rsid w:val="00B404F7"/>
    <w:rsid w:val="00B40576"/>
    <w:rsid w:val="00B405D7"/>
    <w:rsid w:val="00B4062D"/>
    <w:rsid w:val="00B4066A"/>
    <w:rsid w:val="00B408C2"/>
    <w:rsid w:val="00B408C7"/>
    <w:rsid w:val="00B408CD"/>
    <w:rsid w:val="00B4092A"/>
    <w:rsid w:val="00B40AA0"/>
    <w:rsid w:val="00B40AF6"/>
    <w:rsid w:val="00B40B90"/>
    <w:rsid w:val="00B40C3B"/>
    <w:rsid w:val="00B40D75"/>
    <w:rsid w:val="00B40F08"/>
    <w:rsid w:val="00B40F84"/>
    <w:rsid w:val="00B40F85"/>
    <w:rsid w:val="00B41011"/>
    <w:rsid w:val="00B41012"/>
    <w:rsid w:val="00B410B0"/>
    <w:rsid w:val="00B41102"/>
    <w:rsid w:val="00B4113F"/>
    <w:rsid w:val="00B41209"/>
    <w:rsid w:val="00B413AB"/>
    <w:rsid w:val="00B413DE"/>
    <w:rsid w:val="00B41422"/>
    <w:rsid w:val="00B41444"/>
    <w:rsid w:val="00B41465"/>
    <w:rsid w:val="00B4146E"/>
    <w:rsid w:val="00B414F5"/>
    <w:rsid w:val="00B41537"/>
    <w:rsid w:val="00B41583"/>
    <w:rsid w:val="00B41593"/>
    <w:rsid w:val="00B41611"/>
    <w:rsid w:val="00B416ED"/>
    <w:rsid w:val="00B41720"/>
    <w:rsid w:val="00B41808"/>
    <w:rsid w:val="00B41813"/>
    <w:rsid w:val="00B419B7"/>
    <w:rsid w:val="00B41A12"/>
    <w:rsid w:val="00B41A71"/>
    <w:rsid w:val="00B41B09"/>
    <w:rsid w:val="00B41B5B"/>
    <w:rsid w:val="00B41C1C"/>
    <w:rsid w:val="00B41D5E"/>
    <w:rsid w:val="00B41D88"/>
    <w:rsid w:val="00B41DB3"/>
    <w:rsid w:val="00B41DC2"/>
    <w:rsid w:val="00B41E3B"/>
    <w:rsid w:val="00B41F4E"/>
    <w:rsid w:val="00B4209A"/>
    <w:rsid w:val="00B4209B"/>
    <w:rsid w:val="00B421B0"/>
    <w:rsid w:val="00B4221E"/>
    <w:rsid w:val="00B42239"/>
    <w:rsid w:val="00B42260"/>
    <w:rsid w:val="00B423C5"/>
    <w:rsid w:val="00B423CE"/>
    <w:rsid w:val="00B42419"/>
    <w:rsid w:val="00B4254A"/>
    <w:rsid w:val="00B4269B"/>
    <w:rsid w:val="00B42714"/>
    <w:rsid w:val="00B42787"/>
    <w:rsid w:val="00B427A5"/>
    <w:rsid w:val="00B427C0"/>
    <w:rsid w:val="00B428DF"/>
    <w:rsid w:val="00B42947"/>
    <w:rsid w:val="00B42950"/>
    <w:rsid w:val="00B42954"/>
    <w:rsid w:val="00B42973"/>
    <w:rsid w:val="00B42A22"/>
    <w:rsid w:val="00B42A80"/>
    <w:rsid w:val="00B42A81"/>
    <w:rsid w:val="00B42A97"/>
    <w:rsid w:val="00B42B3D"/>
    <w:rsid w:val="00B42B8B"/>
    <w:rsid w:val="00B42BA1"/>
    <w:rsid w:val="00B42BC4"/>
    <w:rsid w:val="00B42BEE"/>
    <w:rsid w:val="00B42C51"/>
    <w:rsid w:val="00B42C63"/>
    <w:rsid w:val="00B42CA7"/>
    <w:rsid w:val="00B42CEC"/>
    <w:rsid w:val="00B42DBD"/>
    <w:rsid w:val="00B42E97"/>
    <w:rsid w:val="00B42F2C"/>
    <w:rsid w:val="00B43149"/>
    <w:rsid w:val="00B4324F"/>
    <w:rsid w:val="00B43306"/>
    <w:rsid w:val="00B433F4"/>
    <w:rsid w:val="00B43420"/>
    <w:rsid w:val="00B43493"/>
    <w:rsid w:val="00B434A1"/>
    <w:rsid w:val="00B434BE"/>
    <w:rsid w:val="00B434C4"/>
    <w:rsid w:val="00B43583"/>
    <w:rsid w:val="00B43687"/>
    <w:rsid w:val="00B436E8"/>
    <w:rsid w:val="00B4379A"/>
    <w:rsid w:val="00B43862"/>
    <w:rsid w:val="00B43875"/>
    <w:rsid w:val="00B438BE"/>
    <w:rsid w:val="00B438F7"/>
    <w:rsid w:val="00B439DA"/>
    <w:rsid w:val="00B439E0"/>
    <w:rsid w:val="00B43A5F"/>
    <w:rsid w:val="00B43A7A"/>
    <w:rsid w:val="00B43AC5"/>
    <w:rsid w:val="00B43AFF"/>
    <w:rsid w:val="00B43B8A"/>
    <w:rsid w:val="00B43BEA"/>
    <w:rsid w:val="00B43CF8"/>
    <w:rsid w:val="00B43D19"/>
    <w:rsid w:val="00B43D8D"/>
    <w:rsid w:val="00B43D9B"/>
    <w:rsid w:val="00B43E10"/>
    <w:rsid w:val="00B43F70"/>
    <w:rsid w:val="00B43FD2"/>
    <w:rsid w:val="00B44095"/>
    <w:rsid w:val="00B443BD"/>
    <w:rsid w:val="00B44478"/>
    <w:rsid w:val="00B444B6"/>
    <w:rsid w:val="00B445F3"/>
    <w:rsid w:val="00B44649"/>
    <w:rsid w:val="00B446A9"/>
    <w:rsid w:val="00B4473F"/>
    <w:rsid w:val="00B4487C"/>
    <w:rsid w:val="00B44890"/>
    <w:rsid w:val="00B4489B"/>
    <w:rsid w:val="00B448A4"/>
    <w:rsid w:val="00B44948"/>
    <w:rsid w:val="00B4494C"/>
    <w:rsid w:val="00B449BE"/>
    <w:rsid w:val="00B44BAF"/>
    <w:rsid w:val="00B44BDA"/>
    <w:rsid w:val="00B44C00"/>
    <w:rsid w:val="00B44C79"/>
    <w:rsid w:val="00B44C83"/>
    <w:rsid w:val="00B44CF9"/>
    <w:rsid w:val="00B44E5C"/>
    <w:rsid w:val="00B44E62"/>
    <w:rsid w:val="00B44F30"/>
    <w:rsid w:val="00B44F62"/>
    <w:rsid w:val="00B45066"/>
    <w:rsid w:val="00B451EB"/>
    <w:rsid w:val="00B4533B"/>
    <w:rsid w:val="00B4533C"/>
    <w:rsid w:val="00B45386"/>
    <w:rsid w:val="00B4545B"/>
    <w:rsid w:val="00B45478"/>
    <w:rsid w:val="00B4548B"/>
    <w:rsid w:val="00B45547"/>
    <w:rsid w:val="00B45597"/>
    <w:rsid w:val="00B45619"/>
    <w:rsid w:val="00B4561F"/>
    <w:rsid w:val="00B45640"/>
    <w:rsid w:val="00B4564A"/>
    <w:rsid w:val="00B456A9"/>
    <w:rsid w:val="00B457A0"/>
    <w:rsid w:val="00B458BC"/>
    <w:rsid w:val="00B459C7"/>
    <w:rsid w:val="00B459ED"/>
    <w:rsid w:val="00B45C08"/>
    <w:rsid w:val="00B45C44"/>
    <w:rsid w:val="00B45C47"/>
    <w:rsid w:val="00B45F0C"/>
    <w:rsid w:val="00B45F49"/>
    <w:rsid w:val="00B45F55"/>
    <w:rsid w:val="00B45FA9"/>
    <w:rsid w:val="00B45FC5"/>
    <w:rsid w:val="00B45FD3"/>
    <w:rsid w:val="00B45FD5"/>
    <w:rsid w:val="00B460B6"/>
    <w:rsid w:val="00B460C4"/>
    <w:rsid w:val="00B46129"/>
    <w:rsid w:val="00B46166"/>
    <w:rsid w:val="00B46168"/>
    <w:rsid w:val="00B4616F"/>
    <w:rsid w:val="00B4622A"/>
    <w:rsid w:val="00B462BE"/>
    <w:rsid w:val="00B462EA"/>
    <w:rsid w:val="00B46385"/>
    <w:rsid w:val="00B46536"/>
    <w:rsid w:val="00B46544"/>
    <w:rsid w:val="00B465F0"/>
    <w:rsid w:val="00B46620"/>
    <w:rsid w:val="00B4667F"/>
    <w:rsid w:val="00B4668E"/>
    <w:rsid w:val="00B466A4"/>
    <w:rsid w:val="00B467B5"/>
    <w:rsid w:val="00B46820"/>
    <w:rsid w:val="00B4683A"/>
    <w:rsid w:val="00B468F8"/>
    <w:rsid w:val="00B46928"/>
    <w:rsid w:val="00B46967"/>
    <w:rsid w:val="00B469D9"/>
    <w:rsid w:val="00B46A5D"/>
    <w:rsid w:val="00B46A63"/>
    <w:rsid w:val="00B46AB5"/>
    <w:rsid w:val="00B46B2F"/>
    <w:rsid w:val="00B46BFB"/>
    <w:rsid w:val="00B46C2E"/>
    <w:rsid w:val="00B46D1E"/>
    <w:rsid w:val="00B46DDF"/>
    <w:rsid w:val="00B46E95"/>
    <w:rsid w:val="00B46E9A"/>
    <w:rsid w:val="00B46FCA"/>
    <w:rsid w:val="00B46FD2"/>
    <w:rsid w:val="00B47017"/>
    <w:rsid w:val="00B471A1"/>
    <w:rsid w:val="00B471B9"/>
    <w:rsid w:val="00B4723B"/>
    <w:rsid w:val="00B47340"/>
    <w:rsid w:val="00B47353"/>
    <w:rsid w:val="00B4736B"/>
    <w:rsid w:val="00B4738C"/>
    <w:rsid w:val="00B4742D"/>
    <w:rsid w:val="00B47456"/>
    <w:rsid w:val="00B474B9"/>
    <w:rsid w:val="00B474BF"/>
    <w:rsid w:val="00B47502"/>
    <w:rsid w:val="00B475BD"/>
    <w:rsid w:val="00B47635"/>
    <w:rsid w:val="00B47729"/>
    <w:rsid w:val="00B477BC"/>
    <w:rsid w:val="00B477BF"/>
    <w:rsid w:val="00B47A5B"/>
    <w:rsid w:val="00B47B57"/>
    <w:rsid w:val="00B47C25"/>
    <w:rsid w:val="00B47C4B"/>
    <w:rsid w:val="00B47C8C"/>
    <w:rsid w:val="00B47C9A"/>
    <w:rsid w:val="00B47D16"/>
    <w:rsid w:val="00B47D1D"/>
    <w:rsid w:val="00B47E0A"/>
    <w:rsid w:val="00B47E61"/>
    <w:rsid w:val="00B47E78"/>
    <w:rsid w:val="00B47F14"/>
    <w:rsid w:val="00B47F69"/>
    <w:rsid w:val="00B47FFC"/>
    <w:rsid w:val="00B50044"/>
    <w:rsid w:val="00B50066"/>
    <w:rsid w:val="00B501C6"/>
    <w:rsid w:val="00B501C8"/>
    <w:rsid w:val="00B501FE"/>
    <w:rsid w:val="00B501FF"/>
    <w:rsid w:val="00B50245"/>
    <w:rsid w:val="00B50284"/>
    <w:rsid w:val="00B50350"/>
    <w:rsid w:val="00B50384"/>
    <w:rsid w:val="00B503D4"/>
    <w:rsid w:val="00B503F5"/>
    <w:rsid w:val="00B503F9"/>
    <w:rsid w:val="00B5040E"/>
    <w:rsid w:val="00B50447"/>
    <w:rsid w:val="00B50491"/>
    <w:rsid w:val="00B504DE"/>
    <w:rsid w:val="00B5056E"/>
    <w:rsid w:val="00B5065C"/>
    <w:rsid w:val="00B50675"/>
    <w:rsid w:val="00B506DF"/>
    <w:rsid w:val="00B50942"/>
    <w:rsid w:val="00B50950"/>
    <w:rsid w:val="00B509D1"/>
    <w:rsid w:val="00B509D4"/>
    <w:rsid w:val="00B50A3C"/>
    <w:rsid w:val="00B50A95"/>
    <w:rsid w:val="00B50AAB"/>
    <w:rsid w:val="00B50B3E"/>
    <w:rsid w:val="00B50B5F"/>
    <w:rsid w:val="00B50BCC"/>
    <w:rsid w:val="00B50C26"/>
    <w:rsid w:val="00B50C4B"/>
    <w:rsid w:val="00B50C75"/>
    <w:rsid w:val="00B50CBB"/>
    <w:rsid w:val="00B50CDA"/>
    <w:rsid w:val="00B50DE5"/>
    <w:rsid w:val="00B50DF5"/>
    <w:rsid w:val="00B50E0C"/>
    <w:rsid w:val="00B50E44"/>
    <w:rsid w:val="00B50E4F"/>
    <w:rsid w:val="00B50E75"/>
    <w:rsid w:val="00B50F20"/>
    <w:rsid w:val="00B50F36"/>
    <w:rsid w:val="00B50F85"/>
    <w:rsid w:val="00B50F91"/>
    <w:rsid w:val="00B50FD5"/>
    <w:rsid w:val="00B510B7"/>
    <w:rsid w:val="00B51119"/>
    <w:rsid w:val="00B5124B"/>
    <w:rsid w:val="00B512EC"/>
    <w:rsid w:val="00B513DA"/>
    <w:rsid w:val="00B5155E"/>
    <w:rsid w:val="00B51583"/>
    <w:rsid w:val="00B515A7"/>
    <w:rsid w:val="00B515D0"/>
    <w:rsid w:val="00B51793"/>
    <w:rsid w:val="00B51819"/>
    <w:rsid w:val="00B5181D"/>
    <w:rsid w:val="00B518C8"/>
    <w:rsid w:val="00B518F8"/>
    <w:rsid w:val="00B519B5"/>
    <w:rsid w:val="00B51A62"/>
    <w:rsid w:val="00B51ADB"/>
    <w:rsid w:val="00B51B38"/>
    <w:rsid w:val="00B51B3B"/>
    <w:rsid w:val="00B51B3D"/>
    <w:rsid w:val="00B51BC6"/>
    <w:rsid w:val="00B51BDC"/>
    <w:rsid w:val="00B51C2D"/>
    <w:rsid w:val="00B51C7C"/>
    <w:rsid w:val="00B51CFC"/>
    <w:rsid w:val="00B51DAC"/>
    <w:rsid w:val="00B51E25"/>
    <w:rsid w:val="00B51E30"/>
    <w:rsid w:val="00B51E5A"/>
    <w:rsid w:val="00B51E6E"/>
    <w:rsid w:val="00B51E75"/>
    <w:rsid w:val="00B51FAF"/>
    <w:rsid w:val="00B52040"/>
    <w:rsid w:val="00B52074"/>
    <w:rsid w:val="00B5217D"/>
    <w:rsid w:val="00B521A7"/>
    <w:rsid w:val="00B521D5"/>
    <w:rsid w:val="00B521F5"/>
    <w:rsid w:val="00B52214"/>
    <w:rsid w:val="00B52265"/>
    <w:rsid w:val="00B52385"/>
    <w:rsid w:val="00B5241D"/>
    <w:rsid w:val="00B52575"/>
    <w:rsid w:val="00B52576"/>
    <w:rsid w:val="00B525B4"/>
    <w:rsid w:val="00B5264E"/>
    <w:rsid w:val="00B52653"/>
    <w:rsid w:val="00B52671"/>
    <w:rsid w:val="00B52746"/>
    <w:rsid w:val="00B52812"/>
    <w:rsid w:val="00B5286C"/>
    <w:rsid w:val="00B5286E"/>
    <w:rsid w:val="00B528CA"/>
    <w:rsid w:val="00B52BD4"/>
    <w:rsid w:val="00B52C6F"/>
    <w:rsid w:val="00B52D05"/>
    <w:rsid w:val="00B52D34"/>
    <w:rsid w:val="00B52DC5"/>
    <w:rsid w:val="00B52EF6"/>
    <w:rsid w:val="00B52F65"/>
    <w:rsid w:val="00B52F6A"/>
    <w:rsid w:val="00B52FEE"/>
    <w:rsid w:val="00B5305A"/>
    <w:rsid w:val="00B5307B"/>
    <w:rsid w:val="00B530E4"/>
    <w:rsid w:val="00B531D2"/>
    <w:rsid w:val="00B531F4"/>
    <w:rsid w:val="00B5331C"/>
    <w:rsid w:val="00B533EB"/>
    <w:rsid w:val="00B53492"/>
    <w:rsid w:val="00B535AA"/>
    <w:rsid w:val="00B535DF"/>
    <w:rsid w:val="00B5361D"/>
    <w:rsid w:val="00B5373D"/>
    <w:rsid w:val="00B53748"/>
    <w:rsid w:val="00B53779"/>
    <w:rsid w:val="00B5395C"/>
    <w:rsid w:val="00B53C59"/>
    <w:rsid w:val="00B53CC7"/>
    <w:rsid w:val="00B53D1D"/>
    <w:rsid w:val="00B53D39"/>
    <w:rsid w:val="00B53DBC"/>
    <w:rsid w:val="00B53E13"/>
    <w:rsid w:val="00B53E4C"/>
    <w:rsid w:val="00B53F24"/>
    <w:rsid w:val="00B53F74"/>
    <w:rsid w:val="00B53FAB"/>
    <w:rsid w:val="00B53FDA"/>
    <w:rsid w:val="00B54044"/>
    <w:rsid w:val="00B54062"/>
    <w:rsid w:val="00B540A5"/>
    <w:rsid w:val="00B540FC"/>
    <w:rsid w:val="00B54133"/>
    <w:rsid w:val="00B54142"/>
    <w:rsid w:val="00B541BE"/>
    <w:rsid w:val="00B54268"/>
    <w:rsid w:val="00B54347"/>
    <w:rsid w:val="00B543CE"/>
    <w:rsid w:val="00B5449E"/>
    <w:rsid w:val="00B546A5"/>
    <w:rsid w:val="00B5494A"/>
    <w:rsid w:val="00B5497A"/>
    <w:rsid w:val="00B54986"/>
    <w:rsid w:val="00B54AD4"/>
    <w:rsid w:val="00B54C3F"/>
    <w:rsid w:val="00B54C8F"/>
    <w:rsid w:val="00B54CC2"/>
    <w:rsid w:val="00B54D63"/>
    <w:rsid w:val="00B54DB9"/>
    <w:rsid w:val="00B54DE8"/>
    <w:rsid w:val="00B54E34"/>
    <w:rsid w:val="00B54ECD"/>
    <w:rsid w:val="00B54EF5"/>
    <w:rsid w:val="00B54F5E"/>
    <w:rsid w:val="00B5505B"/>
    <w:rsid w:val="00B55191"/>
    <w:rsid w:val="00B551AE"/>
    <w:rsid w:val="00B5523A"/>
    <w:rsid w:val="00B5530E"/>
    <w:rsid w:val="00B554B1"/>
    <w:rsid w:val="00B554DE"/>
    <w:rsid w:val="00B554E6"/>
    <w:rsid w:val="00B554EA"/>
    <w:rsid w:val="00B55508"/>
    <w:rsid w:val="00B55639"/>
    <w:rsid w:val="00B55647"/>
    <w:rsid w:val="00B55649"/>
    <w:rsid w:val="00B55663"/>
    <w:rsid w:val="00B5568E"/>
    <w:rsid w:val="00B556BA"/>
    <w:rsid w:val="00B557AB"/>
    <w:rsid w:val="00B557D9"/>
    <w:rsid w:val="00B55886"/>
    <w:rsid w:val="00B558AA"/>
    <w:rsid w:val="00B558DE"/>
    <w:rsid w:val="00B55924"/>
    <w:rsid w:val="00B559BF"/>
    <w:rsid w:val="00B55A07"/>
    <w:rsid w:val="00B55B49"/>
    <w:rsid w:val="00B55BF3"/>
    <w:rsid w:val="00B55BFF"/>
    <w:rsid w:val="00B55CA3"/>
    <w:rsid w:val="00B55CB9"/>
    <w:rsid w:val="00B55D35"/>
    <w:rsid w:val="00B55D38"/>
    <w:rsid w:val="00B55EA8"/>
    <w:rsid w:val="00B560A3"/>
    <w:rsid w:val="00B561EF"/>
    <w:rsid w:val="00B56243"/>
    <w:rsid w:val="00B562B0"/>
    <w:rsid w:val="00B563A0"/>
    <w:rsid w:val="00B563EA"/>
    <w:rsid w:val="00B56444"/>
    <w:rsid w:val="00B56523"/>
    <w:rsid w:val="00B565CB"/>
    <w:rsid w:val="00B56656"/>
    <w:rsid w:val="00B56682"/>
    <w:rsid w:val="00B56709"/>
    <w:rsid w:val="00B5674E"/>
    <w:rsid w:val="00B56821"/>
    <w:rsid w:val="00B56875"/>
    <w:rsid w:val="00B56961"/>
    <w:rsid w:val="00B56962"/>
    <w:rsid w:val="00B569DA"/>
    <w:rsid w:val="00B569F0"/>
    <w:rsid w:val="00B56B07"/>
    <w:rsid w:val="00B56B5D"/>
    <w:rsid w:val="00B56BDB"/>
    <w:rsid w:val="00B56C42"/>
    <w:rsid w:val="00B56EEB"/>
    <w:rsid w:val="00B56F10"/>
    <w:rsid w:val="00B56F2F"/>
    <w:rsid w:val="00B56FE1"/>
    <w:rsid w:val="00B57053"/>
    <w:rsid w:val="00B5708B"/>
    <w:rsid w:val="00B57213"/>
    <w:rsid w:val="00B5727A"/>
    <w:rsid w:val="00B5728F"/>
    <w:rsid w:val="00B57391"/>
    <w:rsid w:val="00B57399"/>
    <w:rsid w:val="00B57450"/>
    <w:rsid w:val="00B57586"/>
    <w:rsid w:val="00B57750"/>
    <w:rsid w:val="00B57809"/>
    <w:rsid w:val="00B57840"/>
    <w:rsid w:val="00B578A7"/>
    <w:rsid w:val="00B578B9"/>
    <w:rsid w:val="00B579A5"/>
    <w:rsid w:val="00B57BCC"/>
    <w:rsid w:val="00B57CEE"/>
    <w:rsid w:val="00B57D11"/>
    <w:rsid w:val="00B57EBF"/>
    <w:rsid w:val="00B57EDA"/>
    <w:rsid w:val="00B57F63"/>
    <w:rsid w:val="00B60167"/>
    <w:rsid w:val="00B601B8"/>
    <w:rsid w:val="00B601D9"/>
    <w:rsid w:val="00B602A2"/>
    <w:rsid w:val="00B60393"/>
    <w:rsid w:val="00B604F1"/>
    <w:rsid w:val="00B6053C"/>
    <w:rsid w:val="00B6063B"/>
    <w:rsid w:val="00B606E9"/>
    <w:rsid w:val="00B60775"/>
    <w:rsid w:val="00B608DE"/>
    <w:rsid w:val="00B608E1"/>
    <w:rsid w:val="00B6092B"/>
    <w:rsid w:val="00B60954"/>
    <w:rsid w:val="00B60ADF"/>
    <w:rsid w:val="00B60BE7"/>
    <w:rsid w:val="00B60C32"/>
    <w:rsid w:val="00B60C67"/>
    <w:rsid w:val="00B60E0C"/>
    <w:rsid w:val="00B60E27"/>
    <w:rsid w:val="00B60F79"/>
    <w:rsid w:val="00B61055"/>
    <w:rsid w:val="00B610C2"/>
    <w:rsid w:val="00B610E2"/>
    <w:rsid w:val="00B61199"/>
    <w:rsid w:val="00B6125B"/>
    <w:rsid w:val="00B613DC"/>
    <w:rsid w:val="00B613F8"/>
    <w:rsid w:val="00B6157B"/>
    <w:rsid w:val="00B6177B"/>
    <w:rsid w:val="00B6179C"/>
    <w:rsid w:val="00B61806"/>
    <w:rsid w:val="00B6185F"/>
    <w:rsid w:val="00B618DD"/>
    <w:rsid w:val="00B618F7"/>
    <w:rsid w:val="00B619A9"/>
    <w:rsid w:val="00B61AD1"/>
    <w:rsid w:val="00B61B15"/>
    <w:rsid w:val="00B61BAB"/>
    <w:rsid w:val="00B61BFA"/>
    <w:rsid w:val="00B61CC8"/>
    <w:rsid w:val="00B61CEA"/>
    <w:rsid w:val="00B61D84"/>
    <w:rsid w:val="00B61DAE"/>
    <w:rsid w:val="00B61DCF"/>
    <w:rsid w:val="00B61DDE"/>
    <w:rsid w:val="00B61DF3"/>
    <w:rsid w:val="00B61E0A"/>
    <w:rsid w:val="00B61E5C"/>
    <w:rsid w:val="00B61E9C"/>
    <w:rsid w:val="00B61F23"/>
    <w:rsid w:val="00B61F34"/>
    <w:rsid w:val="00B61F79"/>
    <w:rsid w:val="00B61F91"/>
    <w:rsid w:val="00B6204B"/>
    <w:rsid w:val="00B6209B"/>
    <w:rsid w:val="00B620E2"/>
    <w:rsid w:val="00B620E9"/>
    <w:rsid w:val="00B6224B"/>
    <w:rsid w:val="00B62297"/>
    <w:rsid w:val="00B62348"/>
    <w:rsid w:val="00B62419"/>
    <w:rsid w:val="00B6241D"/>
    <w:rsid w:val="00B62530"/>
    <w:rsid w:val="00B6253D"/>
    <w:rsid w:val="00B62585"/>
    <w:rsid w:val="00B6269B"/>
    <w:rsid w:val="00B6271F"/>
    <w:rsid w:val="00B627C0"/>
    <w:rsid w:val="00B627F1"/>
    <w:rsid w:val="00B627F2"/>
    <w:rsid w:val="00B62861"/>
    <w:rsid w:val="00B6287E"/>
    <w:rsid w:val="00B62891"/>
    <w:rsid w:val="00B62893"/>
    <w:rsid w:val="00B628ED"/>
    <w:rsid w:val="00B62912"/>
    <w:rsid w:val="00B62950"/>
    <w:rsid w:val="00B629F9"/>
    <w:rsid w:val="00B62A31"/>
    <w:rsid w:val="00B62B20"/>
    <w:rsid w:val="00B62B39"/>
    <w:rsid w:val="00B62C16"/>
    <w:rsid w:val="00B62C5A"/>
    <w:rsid w:val="00B62C5D"/>
    <w:rsid w:val="00B62CC8"/>
    <w:rsid w:val="00B62D9D"/>
    <w:rsid w:val="00B62DAA"/>
    <w:rsid w:val="00B62E1B"/>
    <w:rsid w:val="00B62EBC"/>
    <w:rsid w:val="00B62F2C"/>
    <w:rsid w:val="00B62F93"/>
    <w:rsid w:val="00B630A2"/>
    <w:rsid w:val="00B630F9"/>
    <w:rsid w:val="00B63164"/>
    <w:rsid w:val="00B63168"/>
    <w:rsid w:val="00B631CE"/>
    <w:rsid w:val="00B63313"/>
    <w:rsid w:val="00B6339E"/>
    <w:rsid w:val="00B634E4"/>
    <w:rsid w:val="00B63565"/>
    <w:rsid w:val="00B635CC"/>
    <w:rsid w:val="00B635D9"/>
    <w:rsid w:val="00B63655"/>
    <w:rsid w:val="00B63690"/>
    <w:rsid w:val="00B636C7"/>
    <w:rsid w:val="00B63757"/>
    <w:rsid w:val="00B637D1"/>
    <w:rsid w:val="00B63866"/>
    <w:rsid w:val="00B6386F"/>
    <w:rsid w:val="00B638AB"/>
    <w:rsid w:val="00B638B1"/>
    <w:rsid w:val="00B638B6"/>
    <w:rsid w:val="00B63934"/>
    <w:rsid w:val="00B6397D"/>
    <w:rsid w:val="00B639EE"/>
    <w:rsid w:val="00B639FA"/>
    <w:rsid w:val="00B63A35"/>
    <w:rsid w:val="00B63B57"/>
    <w:rsid w:val="00B63BBD"/>
    <w:rsid w:val="00B63C2C"/>
    <w:rsid w:val="00B63C82"/>
    <w:rsid w:val="00B63D68"/>
    <w:rsid w:val="00B63D8F"/>
    <w:rsid w:val="00B63E11"/>
    <w:rsid w:val="00B63E9E"/>
    <w:rsid w:val="00B6401A"/>
    <w:rsid w:val="00B64037"/>
    <w:rsid w:val="00B64046"/>
    <w:rsid w:val="00B6406A"/>
    <w:rsid w:val="00B64119"/>
    <w:rsid w:val="00B64126"/>
    <w:rsid w:val="00B6412C"/>
    <w:rsid w:val="00B64161"/>
    <w:rsid w:val="00B6429D"/>
    <w:rsid w:val="00B642AF"/>
    <w:rsid w:val="00B644B0"/>
    <w:rsid w:val="00B6454F"/>
    <w:rsid w:val="00B64553"/>
    <w:rsid w:val="00B645D7"/>
    <w:rsid w:val="00B646E2"/>
    <w:rsid w:val="00B64715"/>
    <w:rsid w:val="00B6491A"/>
    <w:rsid w:val="00B64987"/>
    <w:rsid w:val="00B649BB"/>
    <w:rsid w:val="00B649D0"/>
    <w:rsid w:val="00B64AA3"/>
    <w:rsid w:val="00B64AD8"/>
    <w:rsid w:val="00B64B08"/>
    <w:rsid w:val="00B64B15"/>
    <w:rsid w:val="00B64B35"/>
    <w:rsid w:val="00B64C08"/>
    <w:rsid w:val="00B64C7A"/>
    <w:rsid w:val="00B64EC6"/>
    <w:rsid w:val="00B64F3C"/>
    <w:rsid w:val="00B64F48"/>
    <w:rsid w:val="00B64F57"/>
    <w:rsid w:val="00B65008"/>
    <w:rsid w:val="00B65280"/>
    <w:rsid w:val="00B65341"/>
    <w:rsid w:val="00B65396"/>
    <w:rsid w:val="00B653A7"/>
    <w:rsid w:val="00B653B4"/>
    <w:rsid w:val="00B6540A"/>
    <w:rsid w:val="00B6543A"/>
    <w:rsid w:val="00B654B2"/>
    <w:rsid w:val="00B654E3"/>
    <w:rsid w:val="00B65504"/>
    <w:rsid w:val="00B6551B"/>
    <w:rsid w:val="00B655AD"/>
    <w:rsid w:val="00B6566F"/>
    <w:rsid w:val="00B65686"/>
    <w:rsid w:val="00B65970"/>
    <w:rsid w:val="00B65972"/>
    <w:rsid w:val="00B65989"/>
    <w:rsid w:val="00B659A2"/>
    <w:rsid w:val="00B659FF"/>
    <w:rsid w:val="00B65A03"/>
    <w:rsid w:val="00B65A06"/>
    <w:rsid w:val="00B65A4F"/>
    <w:rsid w:val="00B65A6B"/>
    <w:rsid w:val="00B65ADB"/>
    <w:rsid w:val="00B65CBB"/>
    <w:rsid w:val="00B65D16"/>
    <w:rsid w:val="00B65DAC"/>
    <w:rsid w:val="00B65DEF"/>
    <w:rsid w:val="00B65ED3"/>
    <w:rsid w:val="00B660A6"/>
    <w:rsid w:val="00B66168"/>
    <w:rsid w:val="00B6618E"/>
    <w:rsid w:val="00B66231"/>
    <w:rsid w:val="00B6626D"/>
    <w:rsid w:val="00B662C6"/>
    <w:rsid w:val="00B6632D"/>
    <w:rsid w:val="00B663D3"/>
    <w:rsid w:val="00B663F7"/>
    <w:rsid w:val="00B66438"/>
    <w:rsid w:val="00B6647C"/>
    <w:rsid w:val="00B66498"/>
    <w:rsid w:val="00B664E1"/>
    <w:rsid w:val="00B6656D"/>
    <w:rsid w:val="00B66603"/>
    <w:rsid w:val="00B66660"/>
    <w:rsid w:val="00B666A2"/>
    <w:rsid w:val="00B666CB"/>
    <w:rsid w:val="00B66745"/>
    <w:rsid w:val="00B66794"/>
    <w:rsid w:val="00B66860"/>
    <w:rsid w:val="00B668B9"/>
    <w:rsid w:val="00B6690D"/>
    <w:rsid w:val="00B6699B"/>
    <w:rsid w:val="00B669A0"/>
    <w:rsid w:val="00B66A1F"/>
    <w:rsid w:val="00B66A5C"/>
    <w:rsid w:val="00B66B0C"/>
    <w:rsid w:val="00B66C77"/>
    <w:rsid w:val="00B66CEE"/>
    <w:rsid w:val="00B66D3C"/>
    <w:rsid w:val="00B66D84"/>
    <w:rsid w:val="00B66DAE"/>
    <w:rsid w:val="00B66DC0"/>
    <w:rsid w:val="00B66E0B"/>
    <w:rsid w:val="00B66F50"/>
    <w:rsid w:val="00B66F84"/>
    <w:rsid w:val="00B67024"/>
    <w:rsid w:val="00B670CA"/>
    <w:rsid w:val="00B670DE"/>
    <w:rsid w:val="00B670E5"/>
    <w:rsid w:val="00B6718E"/>
    <w:rsid w:val="00B67191"/>
    <w:rsid w:val="00B67266"/>
    <w:rsid w:val="00B67295"/>
    <w:rsid w:val="00B672A6"/>
    <w:rsid w:val="00B672B2"/>
    <w:rsid w:val="00B67353"/>
    <w:rsid w:val="00B67397"/>
    <w:rsid w:val="00B6743A"/>
    <w:rsid w:val="00B6745D"/>
    <w:rsid w:val="00B6748A"/>
    <w:rsid w:val="00B674D6"/>
    <w:rsid w:val="00B67523"/>
    <w:rsid w:val="00B67587"/>
    <w:rsid w:val="00B675F5"/>
    <w:rsid w:val="00B67634"/>
    <w:rsid w:val="00B676D8"/>
    <w:rsid w:val="00B67782"/>
    <w:rsid w:val="00B67788"/>
    <w:rsid w:val="00B6789A"/>
    <w:rsid w:val="00B67908"/>
    <w:rsid w:val="00B67B02"/>
    <w:rsid w:val="00B67B66"/>
    <w:rsid w:val="00B67BEC"/>
    <w:rsid w:val="00B67C4B"/>
    <w:rsid w:val="00B67C74"/>
    <w:rsid w:val="00B67CA3"/>
    <w:rsid w:val="00B67DAC"/>
    <w:rsid w:val="00B67DD1"/>
    <w:rsid w:val="00B67E5E"/>
    <w:rsid w:val="00B67F3E"/>
    <w:rsid w:val="00B67F54"/>
    <w:rsid w:val="00B67F5D"/>
    <w:rsid w:val="00B6F4B9"/>
    <w:rsid w:val="00B7005E"/>
    <w:rsid w:val="00B70144"/>
    <w:rsid w:val="00B7016E"/>
    <w:rsid w:val="00B701DA"/>
    <w:rsid w:val="00B70242"/>
    <w:rsid w:val="00B702D9"/>
    <w:rsid w:val="00B703F2"/>
    <w:rsid w:val="00B703FA"/>
    <w:rsid w:val="00B70447"/>
    <w:rsid w:val="00B704AE"/>
    <w:rsid w:val="00B704CB"/>
    <w:rsid w:val="00B70655"/>
    <w:rsid w:val="00B706BF"/>
    <w:rsid w:val="00B707BE"/>
    <w:rsid w:val="00B707F7"/>
    <w:rsid w:val="00B708D2"/>
    <w:rsid w:val="00B708F4"/>
    <w:rsid w:val="00B70955"/>
    <w:rsid w:val="00B7097B"/>
    <w:rsid w:val="00B70A96"/>
    <w:rsid w:val="00B70ABF"/>
    <w:rsid w:val="00B70BAE"/>
    <w:rsid w:val="00B70BD0"/>
    <w:rsid w:val="00B70C04"/>
    <w:rsid w:val="00B70C07"/>
    <w:rsid w:val="00B70C78"/>
    <w:rsid w:val="00B70D36"/>
    <w:rsid w:val="00B70DA6"/>
    <w:rsid w:val="00B70E11"/>
    <w:rsid w:val="00B70EE6"/>
    <w:rsid w:val="00B70EFC"/>
    <w:rsid w:val="00B70F47"/>
    <w:rsid w:val="00B71091"/>
    <w:rsid w:val="00B710AE"/>
    <w:rsid w:val="00B71146"/>
    <w:rsid w:val="00B711E7"/>
    <w:rsid w:val="00B712D1"/>
    <w:rsid w:val="00B712DA"/>
    <w:rsid w:val="00B713FA"/>
    <w:rsid w:val="00B7143D"/>
    <w:rsid w:val="00B714A4"/>
    <w:rsid w:val="00B714E5"/>
    <w:rsid w:val="00B7155A"/>
    <w:rsid w:val="00B715A3"/>
    <w:rsid w:val="00B71725"/>
    <w:rsid w:val="00B71799"/>
    <w:rsid w:val="00B717E2"/>
    <w:rsid w:val="00B7196D"/>
    <w:rsid w:val="00B71980"/>
    <w:rsid w:val="00B7199D"/>
    <w:rsid w:val="00B719C5"/>
    <w:rsid w:val="00B719CC"/>
    <w:rsid w:val="00B71A3D"/>
    <w:rsid w:val="00B71BF6"/>
    <w:rsid w:val="00B71C0B"/>
    <w:rsid w:val="00B71C49"/>
    <w:rsid w:val="00B71CC7"/>
    <w:rsid w:val="00B71D36"/>
    <w:rsid w:val="00B71E58"/>
    <w:rsid w:val="00B71E91"/>
    <w:rsid w:val="00B71F06"/>
    <w:rsid w:val="00B71FA6"/>
    <w:rsid w:val="00B72124"/>
    <w:rsid w:val="00B721B5"/>
    <w:rsid w:val="00B721F8"/>
    <w:rsid w:val="00B722AE"/>
    <w:rsid w:val="00B722FA"/>
    <w:rsid w:val="00B7230C"/>
    <w:rsid w:val="00B72372"/>
    <w:rsid w:val="00B724AC"/>
    <w:rsid w:val="00B724DF"/>
    <w:rsid w:val="00B725B7"/>
    <w:rsid w:val="00B72650"/>
    <w:rsid w:val="00B727B2"/>
    <w:rsid w:val="00B72803"/>
    <w:rsid w:val="00B72824"/>
    <w:rsid w:val="00B72AAC"/>
    <w:rsid w:val="00B72B1C"/>
    <w:rsid w:val="00B72B70"/>
    <w:rsid w:val="00B72BDD"/>
    <w:rsid w:val="00B72C6D"/>
    <w:rsid w:val="00B72D01"/>
    <w:rsid w:val="00B72DC2"/>
    <w:rsid w:val="00B72EA8"/>
    <w:rsid w:val="00B72F2D"/>
    <w:rsid w:val="00B72F4E"/>
    <w:rsid w:val="00B72F54"/>
    <w:rsid w:val="00B730E0"/>
    <w:rsid w:val="00B73132"/>
    <w:rsid w:val="00B7313D"/>
    <w:rsid w:val="00B73167"/>
    <w:rsid w:val="00B73268"/>
    <w:rsid w:val="00B73294"/>
    <w:rsid w:val="00B7333B"/>
    <w:rsid w:val="00B73380"/>
    <w:rsid w:val="00B73388"/>
    <w:rsid w:val="00B734E8"/>
    <w:rsid w:val="00B73541"/>
    <w:rsid w:val="00B73648"/>
    <w:rsid w:val="00B73666"/>
    <w:rsid w:val="00B736A4"/>
    <w:rsid w:val="00B736B3"/>
    <w:rsid w:val="00B736E4"/>
    <w:rsid w:val="00B73715"/>
    <w:rsid w:val="00B737BC"/>
    <w:rsid w:val="00B737FB"/>
    <w:rsid w:val="00B7381A"/>
    <w:rsid w:val="00B73975"/>
    <w:rsid w:val="00B73A28"/>
    <w:rsid w:val="00B73A77"/>
    <w:rsid w:val="00B73A8C"/>
    <w:rsid w:val="00B73AA2"/>
    <w:rsid w:val="00B73ADE"/>
    <w:rsid w:val="00B73BA8"/>
    <w:rsid w:val="00B73C00"/>
    <w:rsid w:val="00B73D05"/>
    <w:rsid w:val="00B73D0A"/>
    <w:rsid w:val="00B73D45"/>
    <w:rsid w:val="00B73D7F"/>
    <w:rsid w:val="00B73D95"/>
    <w:rsid w:val="00B73DB2"/>
    <w:rsid w:val="00B73E73"/>
    <w:rsid w:val="00B73F37"/>
    <w:rsid w:val="00B73FBA"/>
    <w:rsid w:val="00B74017"/>
    <w:rsid w:val="00B74079"/>
    <w:rsid w:val="00B74096"/>
    <w:rsid w:val="00B740DA"/>
    <w:rsid w:val="00B74142"/>
    <w:rsid w:val="00B74230"/>
    <w:rsid w:val="00B7429E"/>
    <w:rsid w:val="00B74301"/>
    <w:rsid w:val="00B74306"/>
    <w:rsid w:val="00B743CF"/>
    <w:rsid w:val="00B74492"/>
    <w:rsid w:val="00B744A2"/>
    <w:rsid w:val="00B7451D"/>
    <w:rsid w:val="00B74571"/>
    <w:rsid w:val="00B745E2"/>
    <w:rsid w:val="00B746F4"/>
    <w:rsid w:val="00B74734"/>
    <w:rsid w:val="00B747B8"/>
    <w:rsid w:val="00B74818"/>
    <w:rsid w:val="00B748C0"/>
    <w:rsid w:val="00B748CD"/>
    <w:rsid w:val="00B74983"/>
    <w:rsid w:val="00B74984"/>
    <w:rsid w:val="00B74B1E"/>
    <w:rsid w:val="00B74BBA"/>
    <w:rsid w:val="00B74C55"/>
    <w:rsid w:val="00B74CB8"/>
    <w:rsid w:val="00B74CC9"/>
    <w:rsid w:val="00B74D51"/>
    <w:rsid w:val="00B74DD5"/>
    <w:rsid w:val="00B74E5D"/>
    <w:rsid w:val="00B74ED3"/>
    <w:rsid w:val="00B74EDB"/>
    <w:rsid w:val="00B74FCC"/>
    <w:rsid w:val="00B75021"/>
    <w:rsid w:val="00B750B8"/>
    <w:rsid w:val="00B751FD"/>
    <w:rsid w:val="00B75221"/>
    <w:rsid w:val="00B752FF"/>
    <w:rsid w:val="00B75351"/>
    <w:rsid w:val="00B753B3"/>
    <w:rsid w:val="00B753CA"/>
    <w:rsid w:val="00B753F2"/>
    <w:rsid w:val="00B7551E"/>
    <w:rsid w:val="00B7553F"/>
    <w:rsid w:val="00B75659"/>
    <w:rsid w:val="00B756AA"/>
    <w:rsid w:val="00B756E4"/>
    <w:rsid w:val="00B756E9"/>
    <w:rsid w:val="00B75709"/>
    <w:rsid w:val="00B75726"/>
    <w:rsid w:val="00B758D2"/>
    <w:rsid w:val="00B759D0"/>
    <w:rsid w:val="00B75A0C"/>
    <w:rsid w:val="00B75A8A"/>
    <w:rsid w:val="00B75CBC"/>
    <w:rsid w:val="00B75CCF"/>
    <w:rsid w:val="00B75D3A"/>
    <w:rsid w:val="00B75D72"/>
    <w:rsid w:val="00B75DB9"/>
    <w:rsid w:val="00B75DD2"/>
    <w:rsid w:val="00B75E42"/>
    <w:rsid w:val="00B75E66"/>
    <w:rsid w:val="00B75FA9"/>
    <w:rsid w:val="00B75FC0"/>
    <w:rsid w:val="00B75FEE"/>
    <w:rsid w:val="00B7603E"/>
    <w:rsid w:val="00B7606F"/>
    <w:rsid w:val="00B76137"/>
    <w:rsid w:val="00B7617A"/>
    <w:rsid w:val="00B761FB"/>
    <w:rsid w:val="00B762CF"/>
    <w:rsid w:val="00B76327"/>
    <w:rsid w:val="00B76556"/>
    <w:rsid w:val="00B7655E"/>
    <w:rsid w:val="00B7657C"/>
    <w:rsid w:val="00B7664B"/>
    <w:rsid w:val="00B766FB"/>
    <w:rsid w:val="00B7675E"/>
    <w:rsid w:val="00B7676E"/>
    <w:rsid w:val="00B76774"/>
    <w:rsid w:val="00B767B1"/>
    <w:rsid w:val="00B76875"/>
    <w:rsid w:val="00B76909"/>
    <w:rsid w:val="00B7693F"/>
    <w:rsid w:val="00B76A99"/>
    <w:rsid w:val="00B76ABD"/>
    <w:rsid w:val="00B76BAA"/>
    <w:rsid w:val="00B76BAB"/>
    <w:rsid w:val="00B76C76"/>
    <w:rsid w:val="00B76D2E"/>
    <w:rsid w:val="00B76D4F"/>
    <w:rsid w:val="00B76DDB"/>
    <w:rsid w:val="00B76E66"/>
    <w:rsid w:val="00B76FBA"/>
    <w:rsid w:val="00B77029"/>
    <w:rsid w:val="00B77108"/>
    <w:rsid w:val="00B77200"/>
    <w:rsid w:val="00B7726B"/>
    <w:rsid w:val="00B7727A"/>
    <w:rsid w:val="00B7728E"/>
    <w:rsid w:val="00B772C0"/>
    <w:rsid w:val="00B77346"/>
    <w:rsid w:val="00B7737A"/>
    <w:rsid w:val="00B7743D"/>
    <w:rsid w:val="00B774A7"/>
    <w:rsid w:val="00B774EA"/>
    <w:rsid w:val="00B774F5"/>
    <w:rsid w:val="00B774F8"/>
    <w:rsid w:val="00B775A5"/>
    <w:rsid w:val="00B775E4"/>
    <w:rsid w:val="00B775E9"/>
    <w:rsid w:val="00B7763A"/>
    <w:rsid w:val="00B77650"/>
    <w:rsid w:val="00B776D1"/>
    <w:rsid w:val="00B776E3"/>
    <w:rsid w:val="00B776F5"/>
    <w:rsid w:val="00B7776C"/>
    <w:rsid w:val="00B77805"/>
    <w:rsid w:val="00B779A6"/>
    <w:rsid w:val="00B779FE"/>
    <w:rsid w:val="00B77A34"/>
    <w:rsid w:val="00B77B17"/>
    <w:rsid w:val="00B77BCF"/>
    <w:rsid w:val="00B77BF8"/>
    <w:rsid w:val="00B77CA1"/>
    <w:rsid w:val="00B77CBB"/>
    <w:rsid w:val="00B77D37"/>
    <w:rsid w:val="00B77D57"/>
    <w:rsid w:val="00B77E67"/>
    <w:rsid w:val="00B77F1C"/>
    <w:rsid w:val="00B77F70"/>
    <w:rsid w:val="00B8011F"/>
    <w:rsid w:val="00B80152"/>
    <w:rsid w:val="00B80175"/>
    <w:rsid w:val="00B801A8"/>
    <w:rsid w:val="00B801BB"/>
    <w:rsid w:val="00B801DB"/>
    <w:rsid w:val="00B802E7"/>
    <w:rsid w:val="00B802F4"/>
    <w:rsid w:val="00B8035D"/>
    <w:rsid w:val="00B80435"/>
    <w:rsid w:val="00B80461"/>
    <w:rsid w:val="00B8048C"/>
    <w:rsid w:val="00B8053D"/>
    <w:rsid w:val="00B80578"/>
    <w:rsid w:val="00B805C4"/>
    <w:rsid w:val="00B80697"/>
    <w:rsid w:val="00B8072A"/>
    <w:rsid w:val="00B807C2"/>
    <w:rsid w:val="00B807DC"/>
    <w:rsid w:val="00B8081F"/>
    <w:rsid w:val="00B8083F"/>
    <w:rsid w:val="00B80883"/>
    <w:rsid w:val="00B80907"/>
    <w:rsid w:val="00B80A0A"/>
    <w:rsid w:val="00B80A0C"/>
    <w:rsid w:val="00B80A91"/>
    <w:rsid w:val="00B80AA1"/>
    <w:rsid w:val="00B80AC6"/>
    <w:rsid w:val="00B80CF3"/>
    <w:rsid w:val="00B80CF6"/>
    <w:rsid w:val="00B80D3F"/>
    <w:rsid w:val="00B80DC0"/>
    <w:rsid w:val="00B80DF5"/>
    <w:rsid w:val="00B80E51"/>
    <w:rsid w:val="00B80EB4"/>
    <w:rsid w:val="00B80EB7"/>
    <w:rsid w:val="00B81091"/>
    <w:rsid w:val="00B810E0"/>
    <w:rsid w:val="00B811A1"/>
    <w:rsid w:val="00B81263"/>
    <w:rsid w:val="00B8133C"/>
    <w:rsid w:val="00B81361"/>
    <w:rsid w:val="00B813E7"/>
    <w:rsid w:val="00B814B8"/>
    <w:rsid w:val="00B814D0"/>
    <w:rsid w:val="00B81584"/>
    <w:rsid w:val="00B81649"/>
    <w:rsid w:val="00B8164E"/>
    <w:rsid w:val="00B81729"/>
    <w:rsid w:val="00B817E9"/>
    <w:rsid w:val="00B81829"/>
    <w:rsid w:val="00B8190B"/>
    <w:rsid w:val="00B81910"/>
    <w:rsid w:val="00B819A6"/>
    <w:rsid w:val="00B819B5"/>
    <w:rsid w:val="00B81A42"/>
    <w:rsid w:val="00B81A64"/>
    <w:rsid w:val="00B81A73"/>
    <w:rsid w:val="00B81ABE"/>
    <w:rsid w:val="00B81B43"/>
    <w:rsid w:val="00B81B90"/>
    <w:rsid w:val="00B81BD4"/>
    <w:rsid w:val="00B81C34"/>
    <w:rsid w:val="00B81C47"/>
    <w:rsid w:val="00B81D2F"/>
    <w:rsid w:val="00B81D5C"/>
    <w:rsid w:val="00B81E1F"/>
    <w:rsid w:val="00B81F02"/>
    <w:rsid w:val="00B81FD6"/>
    <w:rsid w:val="00B81FDC"/>
    <w:rsid w:val="00B820C5"/>
    <w:rsid w:val="00B8211D"/>
    <w:rsid w:val="00B82129"/>
    <w:rsid w:val="00B82157"/>
    <w:rsid w:val="00B82179"/>
    <w:rsid w:val="00B8226C"/>
    <w:rsid w:val="00B82292"/>
    <w:rsid w:val="00B822A4"/>
    <w:rsid w:val="00B822B7"/>
    <w:rsid w:val="00B822C9"/>
    <w:rsid w:val="00B8254D"/>
    <w:rsid w:val="00B8256A"/>
    <w:rsid w:val="00B825B6"/>
    <w:rsid w:val="00B82657"/>
    <w:rsid w:val="00B82685"/>
    <w:rsid w:val="00B8275D"/>
    <w:rsid w:val="00B828AC"/>
    <w:rsid w:val="00B8290D"/>
    <w:rsid w:val="00B8293A"/>
    <w:rsid w:val="00B82957"/>
    <w:rsid w:val="00B82963"/>
    <w:rsid w:val="00B829C6"/>
    <w:rsid w:val="00B829F2"/>
    <w:rsid w:val="00B82AC8"/>
    <w:rsid w:val="00B82B4A"/>
    <w:rsid w:val="00B82B6A"/>
    <w:rsid w:val="00B82D6E"/>
    <w:rsid w:val="00B82D9E"/>
    <w:rsid w:val="00B82DF6"/>
    <w:rsid w:val="00B82E3B"/>
    <w:rsid w:val="00B82E49"/>
    <w:rsid w:val="00B82EEA"/>
    <w:rsid w:val="00B82F2D"/>
    <w:rsid w:val="00B82F40"/>
    <w:rsid w:val="00B82F5B"/>
    <w:rsid w:val="00B82F69"/>
    <w:rsid w:val="00B8303E"/>
    <w:rsid w:val="00B830AB"/>
    <w:rsid w:val="00B83105"/>
    <w:rsid w:val="00B831BD"/>
    <w:rsid w:val="00B831FE"/>
    <w:rsid w:val="00B83358"/>
    <w:rsid w:val="00B83368"/>
    <w:rsid w:val="00B833B8"/>
    <w:rsid w:val="00B83400"/>
    <w:rsid w:val="00B83423"/>
    <w:rsid w:val="00B8354C"/>
    <w:rsid w:val="00B83566"/>
    <w:rsid w:val="00B83646"/>
    <w:rsid w:val="00B83693"/>
    <w:rsid w:val="00B83729"/>
    <w:rsid w:val="00B837CB"/>
    <w:rsid w:val="00B837CD"/>
    <w:rsid w:val="00B83870"/>
    <w:rsid w:val="00B838C4"/>
    <w:rsid w:val="00B838CE"/>
    <w:rsid w:val="00B83AA4"/>
    <w:rsid w:val="00B83AAE"/>
    <w:rsid w:val="00B83B82"/>
    <w:rsid w:val="00B83C39"/>
    <w:rsid w:val="00B83D07"/>
    <w:rsid w:val="00B83D1C"/>
    <w:rsid w:val="00B83DED"/>
    <w:rsid w:val="00B83E7F"/>
    <w:rsid w:val="00B83EA6"/>
    <w:rsid w:val="00B83FAB"/>
    <w:rsid w:val="00B84007"/>
    <w:rsid w:val="00B84012"/>
    <w:rsid w:val="00B84031"/>
    <w:rsid w:val="00B84100"/>
    <w:rsid w:val="00B8418B"/>
    <w:rsid w:val="00B841D6"/>
    <w:rsid w:val="00B8427F"/>
    <w:rsid w:val="00B842BA"/>
    <w:rsid w:val="00B8442C"/>
    <w:rsid w:val="00B8443F"/>
    <w:rsid w:val="00B84545"/>
    <w:rsid w:val="00B84594"/>
    <w:rsid w:val="00B8461C"/>
    <w:rsid w:val="00B8462F"/>
    <w:rsid w:val="00B84749"/>
    <w:rsid w:val="00B84792"/>
    <w:rsid w:val="00B847EC"/>
    <w:rsid w:val="00B8487B"/>
    <w:rsid w:val="00B8492D"/>
    <w:rsid w:val="00B84942"/>
    <w:rsid w:val="00B849FE"/>
    <w:rsid w:val="00B84A01"/>
    <w:rsid w:val="00B84A55"/>
    <w:rsid w:val="00B84AD4"/>
    <w:rsid w:val="00B84B63"/>
    <w:rsid w:val="00B84C1F"/>
    <w:rsid w:val="00B84C3B"/>
    <w:rsid w:val="00B84C4C"/>
    <w:rsid w:val="00B84CA3"/>
    <w:rsid w:val="00B84D4A"/>
    <w:rsid w:val="00B84D58"/>
    <w:rsid w:val="00B84DE9"/>
    <w:rsid w:val="00B84F88"/>
    <w:rsid w:val="00B84F90"/>
    <w:rsid w:val="00B8509B"/>
    <w:rsid w:val="00B8511D"/>
    <w:rsid w:val="00B851A3"/>
    <w:rsid w:val="00B85268"/>
    <w:rsid w:val="00B85274"/>
    <w:rsid w:val="00B8528F"/>
    <w:rsid w:val="00B8531A"/>
    <w:rsid w:val="00B85366"/>
    <w:rsid w:val="00B853DC"/>
    <w:rsid w:val="00B853EA"/>
    <w:rsid w:val="00B8540B"/>
    <w:rsid w:val="00B8543C"/>
    <w:rsid w:val="00B8544B"/>
    <w:rsid w:val="00B8545E"/>
    <w:rsid w:val="00B8547C"/>
    <w:rsid w:val="00B855B5"/>
    <w:rsid w:val="00B855D4"/>
    <w:rsid w:val="00B855F7"/>
    <w:rsid w:val="00B855FB"/>
    <w:rsid w:val="00B85606"/>
    <w:rsid w:val="00B8568F"/>
    <w:rsid w:val="00B857EA"/>
    <w:rsid w:val="00B858E7"/>
    <w:rsid w:val="00B8599A"/>
    <w:rsid w:val="00B859A1"/>
    <w:rsid w:val="00B85ADD"/>
    <w:rsid w:val="00B85AFF"/>
    <w:rsid w:val="00B85B0D"/>
    <w:rsid w:val="00B85D29"/>
    <w:rsid w:val="00B85D83"/>
    <w:rsid w:val="00B86060"/>
    <w:rsid w:val="00B8608F"/>
    <w:rsid w:val="00B86172"/>
    <w:rsid w:val="00B8618C"/>
    <w:rsid w:val="00B861BD"/>
    <w:rsid w:val="00B861E6"/>
    <w:rsid w:val="00B86267"/>
    <w:rsid w:val="00B862C1"/>
    <w:rsid w:val="00B8632B"/>
    <w:rsid w:val="00B86383"/>
    <w:rsid w:val="00B86388"/>
    <w:rsid w:val="00B8639B"/>
    <w:rsid w:val="00B863A4"/>
    <w:rsid w:val="00B863A8"/>
    <w:rsid w:val="00B86417"/>
    <w:rsid w:val="00B864BB"/>
    <w:rsid w:val="00B864D4"/>
    <w:rsid w:val="00B8661C"/>
    <w:rsid w:val="00B867A9"/>
    <w:rsid w:val="00B867AD"/>
    <w:rsid w:val="00B867F7"/>
    <w:rsid w:val="00B868A7"/>
    <w:rsid w:val="00B8691F"/>
    <w:rsid w:val="00B8694B"/>
    <w:rsid w:val="00B869F0"/>
    <w:rsid w:val="00B86A64"/>
    <w:rsid w:val="00B86B15"/>
    <w:rsid w:val="00B86BAE"/>
    <w:rsid w:val="00B86BCA"/>
    <w:rsid w:val="00B86C65"/>
    <w:rsid w:val="00B86C95"/>
    <w:rsid w:val="00B86D54"/>
    <w:rsid w:val="00B86E5E"/>
    <w:rsid w:val="00B86EC2"/>
    <w:rsid w:val="00B86F76"/>
    <w:rsid w:val="00B8707A"/>
    <w:rsid w:val="00B8708E"/>
    <w:rsid w:val="00B870AC"/>
    <w:rsid w:val="00B8711E"/>
    <w:rsid w:val="00B87277"/>
    <w:rsid w:val="00B8728E"/>
    <w:rsid w:val="00B8742B"/>
    <w:rsid w:val="00B8770F"/>
    <w:rsid w:val="00B87723"/>
    <w:rsid w:val="00B87789"/>
    <w:rsid w:val="00B8778E"/>
    <w:rsid w:val="00B877B5"/>
    <w:rsid w:val="00B877FE"/>
    <w:rsid w:val="00B8792D"/>
    <w:rsid w:val="00B87AD9"/>
    <w:rsid w:val="00B87BAE"/>
    <w:rsid w:val="00B87C6C"/>
    <w:rsid w:val="00B87C6D"/>
    <w:rsid w:val="00B87C8A"/>
    <w:rsid w:val="00B87CB1"/>
    <w:rsid w:val="00B87D23"/>
    <w:rsid w:val="00B87D4C"/>
    <w:rsid w:val="00B87D60"/>
    <w:rsid w:val="00B87DF1"/>
    <w:rsid w:val="00B87E01"/>
    <w:rsid w:val="00B87E6D"/>
    <w:rsid w:val="00B87EE5"/>
    <w:rsid w:val="00B87F6E"/>
    <w:rsid w:val="00B87FFC"/>
    <w:rsid w:val="00B90069"/>
    <w:rsid w:val="00B900B9"/>
    <w:rsid w:val="00B90130"/>
    <w:rsid w:val="00B90160"/>
    <w:rsid w:val="00B901E4"/>
    <w:rsid w:val="00B90221"/>
    <w:rsid w:val="00B90254"/>
    <w:rsid w:val="00B90263"/>
    <w:rsid w:val="00B902C3"/>
    <w:rsid w:val="00B90372"/>
    <w:rsid w:val="00B903C4"/>
    <w:rsid w:val="00B903C5"/>
    <w:rsid w:val="00B903DD"/>
    <w:rsid w:val="00B903DE"/>
    <w:rsid w:val="00B9043F"/>
    <w:rsid w:val="00B90469"/>
    <w:rsid w:val="00B904F6"/>
    <w:rsid w:val="00B9051A"/>
    <w:rsid w:val="00B905D5"/>
    <w:rsid w:val="00B90625"/>
    <w:rsid w:val="00B90708"/>
    <w:rsid w:val="00B90764"/>
    <w:rsid w:val="00B90766"/>
    <w:rsid w:val="00B9080F"/>
    <w:rsid w:val="00B90845"/>
    <w:rsid w:val="00B9085D"/>
    <w:rsid w:val="00B90872"/>
    <w:rsid w:val="00B908F6"/>
    <w:rsid w:val="00B90921"/>
    <w:rsid w:val="00B90944"/>
    <w:rsid w:val="00B90983"/>
    <w:rsid w:val="00B90992"/>
    <w:rsid w:val="00B90A22"/>
    <w:rsid w:val="00B90A82"/>
    <w:rsid w:val="00B90AB7"/>
    <w:rsid w:val="00B90C38"/>
    <w:rsid w:val="00B90C3F"/>
    <w:rsid w:val="00B90C40"/>
    <w:rsid w:val="00B90C5A"/>
    <w:rsid w:val="00B90C60"/>
    <w:rsid w:val="00B90C9D"/>
    <w:rsid w:val="00B90CAF"/>
    <w:rsid w:val="00B90D65"/>
    <w:rsid w:val="00B90D7F"/>
    <w:rsid w:val="00B90D83"/>
    <w:rsid w:val="00B90E70"/>
    <w:rsid w:val="00B90E8D"/>
    <w:rsid w:val="00B90EA2"/>
    <w:rsid w:val="00B90EF4"/>
    <w:rsid w:val="00B910B4"/>
    <w:rsid w:val="00B91123"/>
    <w:rsid w:val="00B91165"/>
    <w:rsid w:val="00B911C6"/>
    <w:rsid w:val="00B9121E"/>
    <w:rsid w:val="00B91229"/>
    <w:rsid w:val="00B9127E"/>
    <w:rsid w:val="00B91291"/>
    <w:rsid w:val="00B912C9"/>
    <w:rsid w:val="00B91388"/>
    <w:rsid w:val="00B913C4"/>
    <w:rsid w:val="00B913FA"/>
    <w:rsid w:val="00B914A6"/>
    <w:rsid w:val="00B914AB"/>
    <w:rsid w:val="00B914CE"/>
    <w:rsid w:val="00B914D2"/>
    <w:rsid w:val="00B917EC"/>
    <w:rsid w:val="00B91808"/>
    <w:rsid w:val="00B91817"/>
    <w:rsid w:val="00B91824"/>
    <w:rsid w:val="00B91889"/>
    <w:rsid w:val="00B918B3"/>
    <w:rsid w:val="00B918BE"/>
    <w:rsid w:val="00B918C0"/>
    <w:rsid w:val="00B91919"/>
    <w:rsid w:val="00B919B4"/>
    <w:rsid w:val="00B91A84"/>
    <w:rsid w:val="00B91B91"/>
    <w:rsid w:val="00B91C3D"/>
    <w:rsid w:val="00B91CCA"/>
    <w:rsid w:val="00B91CF7"/>
    <w:rsid w:val="00B91D0E"/>
    <w:rsid w:val="00B91D12"/>
    <w:rsid w:val="00B91D80"/>
    <w:rsid w:val="00B91DD2"/>
    <w:rsid w:val="00B91E35"/>
    <w:rsid w:val="00B91E88"/>
    <w:rsid w:val="00B91EB8"/>
    <w:rsid w:val="00B920AD"/>
    <w:rsid w:val="00B920BB"/>
    <w:rsid w:val="00B920F9"/>
    <w:rsid w:val="00B9212D"/>
    <w:rsid w:val="00B92196"/>
    <w:rsid w:val="00B921B9"/>
    <w:rsid w:val="00B921CF"/>
    <w:rsid w:val="00B922EF"/>
    <w:rsid w:val="00B9237E"/>
    <w:rsid w:val="00B9241C"/>
    <w:rsid w:val="00B92437"/>
    <w:rsid w:val="00B92446"/>
    <w:rsid w:val="00B924B6"/>
    <w:rsid w:val="00B924DC"/>
    <w:rsid w:val="00B925FB"/>
    <w:rsid w:val="00B92612"/>
    <w:rsid w:val="00B92628"/>
    <w:rsid w:val="00B92670"/>
    <w:rsid w:val="00B9276B"/>
    <w:rsid w:val="00B928A3"/>
    <w:rsid w:val="00B928B5"/>
    <w:rsid w:val="00B928EB"/>
    <w:rsid w:val="00B92982"/>
    <w:rsid w:val="00B929A5"/>
    <w:rsid w:val="00B929C8"/>
    <w:rsid w:val="00B92BA9"/>
    <w:rsid w:val="00B92C52"/>
    <w:rsid w:val="00B92C84"/>
    <w:rsid w:val="00B92CBB"/>
    <w:rsid w:val="00B92D78"/>
    <w:rsid w:val="00B92E70"/>
    <w:rsid w:val="00B92EDC"/>
    <w:rsid w:val="00B92F08"/>
    <w:rsid w:val="00B93020"/>
    <w:rsid w:val="00B930B0"/>
    <w:rsid w:val="00B93124"/>
    <w:rsid w:val="00B9312E"/>
    <w:rsid w:val="00B9313E"/>
    <w:rsid w:val="00B93235"/>
    <w:rsid w:val="00B93296"/>
    <w:rsid w:val="00B932ED"/>
    <w:rsid w:val="00B93394"/>
    <w:rsid w:val="00B93436"/>
    <w:rsid w:val="00B9352B"/>
    <w:rsid w:val="00B935B5"/>
    <w:rsid w:val="00B936EE"/>
    <w:rsid w:val="00B93726"/>
    <w:rsid w:val="00B93798"/>
    <w:rsid w:val="00B938BE"/>
    <w:rsid w:val="00B93932"/>
    <w:rsid w:val="00B93A4E"/>
    <w:rsid w:val="00B93A96"/>
    <w:rsid w:val="00B93AC8"/>
    <w:rsid w:val="00B93BEE"/>
    <w:rsid w:val="00B93BFD"/>
    <w:rsid w:val="00B93C60"/>
    <w:rsid w:val="00B93CAA"/>
    <w:rsid w:val="00B93CC4"/>
    <w:rsid w:val="00B93D7B"/>
    <w:rsid w:val="00B93DE0"/>
    <w:rsid w:val="00B93E95"/>
    <w:rsid w:val="00B93EEB"/>
    <w:rsid w:val="00B93F26"/>
    <w:rsid w:val="00B93F5C"/>
    <w:rsid w:val="00B93F7E"/>
    <w:rsid w:val="00B93F94"/>
    <w:rsid w:val="00B93FE4"/>
    <w:rsid w:val="00B9413E"/>
    <w:rsid w:val="00B94174"/>
    <w:rsid w:val="00B941C8"/>
    <w:rsid w:val="00B941F5"/>
    <w:rsid w:val="00B9420F"/>
    <w:rsid w:val="00B94248"/>
    <w:rsid w:val="00B94258"/>
    <w:rsid w:val="00B942D3"/>
    <w:rsid w:val="00B94432"/>
    <w:rsid w:val="00B9443D"/>
    <w:rsid w:val="00B94585"/>
    <w:rsid w:val="00B9463D"/>
    <w:rsid w:val="00B946E5"/>
    <w:rsid w:val="00B946E6"/>
    <w:rsid w:val="00B94794"/>
    <w:rsid w:val="00B94842"/>
    <w:rsid w:val="00B9485C"/>
    <w:rsid w:val="00B94B32"/>
    <w:rsid w:val="00B94BE6"/>
    <w:rsid w:val="00B94CDE"/>
    <w:rsid w:val="00B94E78"/>
    <w:rsid w:val="00B94E7A"/>
    <w:rsid w:val="00B94FC9"/>
    <w:rsid w:val="00B94FE9"/>
    <w:rsid w:val="00B950A0"/>
    <w:rsid w:val="00B950A8"/>
    <w:rsid w:val="00B951DD"/>
    <w:rsid w:val="00B95211"/>
    <w:rsid w:val="00B952CE"/>
    <w:rsid w:val="00B95335"/>
    <w:rsid w:val="00B9534F"/>
    <w:rsid w:val="00B953CC"/>
    <w:rsid w:val="00B95401"/>
    <w:rsid w:val="00B954DD"/>
    <w:rsid w:val="00B9553A"/>
    <w:rsid w:val="00B955B6"/>
    <w:rsid w:val="00B955F7"/>
    <w:rsid w:val="00B9562F"/>
    <w:rsid w:val="00B95645"/>
    <w:rsid w:val="00B9576A"/>
    <w:rsid w:val="00B957D8"/>
    <w:rsid w:val="00B957DA"/>
    <w:rsid w:val="00B9587E"/>
    <w:rsid w:val="00B958E1"/>
    <w:rsid w:val="00B9591E"/>
    <w:rsid w:val="00B95934"/>
    <w:rsid w:val="00B959DB"/>
    <w:rsid w:val="00B95A07"/>
    <w:rsid w:val="00B95B63"/>
    <w:rsid w:val="00B95BB5"/>
    <w:rsid w:val="00B95BD4"/>
    <w:rsid w:val="00B95BE4"/>
    <w:rsid w:val="00B95C1E"/>
    <w:rsid w:val="00B95C8A"/>
    <w:rsid w:val="00B95CD9"/>
    <w:rsid w:val="00B95DC4"/>
    <w:rsid w:val="00B95E6E"/>
    <w:rsid w:val="00B95E72"/>
    <w:rsid w:val="00B95EE2"/>
    <w:rsid w:val="00B95F03"/>
    <w:rsid w:val="00B95F88"/>
    <w:rsid w:val="00B96029"/>
    <w:rsid w:val="00B960BC"/>
    <w:rsid w:val="00B960DD"/>
    <w:rsid w:val="00B960ED"/>
    <w:rsid w:val="00B9617A"/>
    <w:rsid w:val="00B961E7"/>
    <w:rsid w:val="00B96273"/>
    <w:rsid w:val="00B963D1"/>
    <w:rsid w:val="00B9649F"/>
    <w:rsid w:val="00B964C5"/>
    <w:rsid w:val="00B96539"/>
    <w:rsid w:val="00B96553"/>
    <w:rsid w:val="00B9657F"/>
    <w:rsid w:val="00B9659A"/>
    <w:rsid w:val="00B965C9"/>
    <w:rsid w:val="00B965FC"/>
    <w:rsid w:val="00B96687"/>
    <w:rsid w:val="00B96756"/>
    <w:rsid w:val="00B967C0"/>
    <w:rsid w:val="00B967F9"/>
    <w:rsid w:val="00B9690D"/>
    <w:rsid w:val="00B969DD"/>
    <w:rsid w:val="00B96B27"/>
    <w:rsid w:val="00B96B5D"/>
    <w:rsid w:val="00B96B8C"/>
    <w:rsid w:val="00B96C21"/>
    <w:rsid w:val="00B96CA9"/>
    <w:rsid w:val="00B96CBC"/>
    <w:rsid w:val="00B96CF6"/>
    <w:rsid w:val="00B96F48"/>
    <w:rsid w:val="00B96F9F"/>
    <w:rsid w:val="00B9718E"/>
    <w:rsid w:val="00B971C2"/>
    <w:rsid w:val="00B9724E"/>
    <w:rsid w:val="00B972E4"/>
    <w:rsid w:val="00B972F3"/>
    <w:rsid w:val="00B97385"/>
    <w:rsid w:val="00B97441"/>
    <w:rsid w:val="00B974BF"/>
    <w:rsid w:val="00B97507"/>
    <w:rsid w:val="00B97509"/>
    <w:rsid w:val="00B97538"/>
    <w:rsid w:val="00B97565"/>
    <w:rsid w:val="00B97574"/>
    <w:rsid w:val="00B9757E"/>
    <w:rsid w:val="00B975C4"/>
    <w:rsid w:val="00B975D2"/>
    <w:rsid w:val="00B97756"/>
    <w:rsid w:val="00B9777B"/>
    <w:rsid w:val="00B97957"/>
    <w:rsid w:val="00B97A01"/>
    <w:rsid w:val="00B97A2D"/>
    <w:rsid w:val="00B97B2C"/>
    <w:rsid w:val="00B97B99"/>
    <w:rsid w:val="00B97BC5"/>
    <w:rsid w:val="00B97EE1"/>
    <w:rsid w:val="00B97EEC"/>
    <w:rsid w:val="00B97F3F"/>
    <w:rsid w:val="00B97FB7"/>
    <w:rsid w:val="00BA0032"/>
    <w:rsid w:val="00BA0133"/>
    <w:rsid w:val="00BA014F"/>
    <w:rsid w:val="00BA0165"/>
    <w:rsid w:val="00BA0240"/>
    <w:rsid w:val="00BA0259"/>
    <w:rsid w:val="00BA027D"/>
    <w:rsid w:val="00BA02F0"/>
    <w:rsid w:val="00BA0359"/>
    <w:rsid w:val="00BA0381"/>
    <w:rsid w:val="00BA049A"/>
    <w:rsid w:val="00BA0504"/>
    <w:rsid w:val="00BA051A"/>
    <w:rsid w:val="00BA0534"/>
    <w:rsid w:val="00BA05B1"/>
    <w:rsid w:val="00BA05BA"/>
    <w:rsid w:val="00BA0616"/>
    <w:rsid w:val="00BA06F1"/>
    <w:rsid w:val="00BA06FC"/>
    <w:rsid w:val="00BA0819"/>
    <w:rsid w:val="00BA0898"/>
    <w:rsid w:val="00BA08DD"/>
    <w:rsid w:val="00BA093C"/>
    <w:rsid w:val="00BA0A8B"/>
    <w:rsid w:val="00BA0AA6"/>
    <w:rsid w:val="00BA0AD3"/>
    <w:rsid w:val="00BA0AE9"/>
    <w:rsid w:val="00BA0B22"/>
    <w:rsid w:val="00BA0D69"/>
    <w:rsid w:val="00BA0DAB"/>
    <w:rsid w:val="00BA0E3F"/>
    <w:rsid w:val="00BA0F53"/>
    <w:rsid w:val="00BA1040"/>
    <w:rsid w:val="00BA1050"/>
    <w:rsid w:val="00BA10EE"/>
    <w:rsid w:val="00BA10F4"/>
    <w:rsid w:val="00BA121D"/>
    <w:rsid w:val="00BA1243"/>
    <w:rsid w:val="00BA124E"/>
    <w:rsid w:val="00BA12B1"/>
    <w:rsid w:val="00BA12C2"/>
    <w:rsid w:val="00BA12CA"/>
    <w:rsid w:val="00BA12EE"/>
    <w:rsid w:val="00BA1333"/>
    <w:rsid w:val="00BA13AF"/>
    <w:rsid w:val="00BA13B7"/>
    <w:rsid w:val="00BA1466"/>
    <w:rsid w:val="00BA14A7"/>
    <w:rsid w:val="00BA14F9"/>
    <w:rsid w:val="00BA14FD"/>
    <w:rsid w:val="00BA1554"/>
    <w:rsid w:val="00BA1684"/>
    <w:rsid w:val="00BA16F1"/>
    <w:rsid w:val="00BA1743"/>
    <w:rsid w:val="00BA179E"/>
    <w:rsid w:val="00BA182A"/>
    <w:rsid w:val="00BA1854"/>
    <w:rsid w:val="00BA188D"/>
    <w:rsid w:val="00BA18A4"/>
    <w:rsid w:val="00BA18BF"/>
    <w:rsid w:val="00BA18E6"/>
    <w:rsid w:val="00BA1965"/>
    <w:rsid w:val="00BA19A2"/>
    <w:rsid w:val="00BA1BFA"/>
    <w:rsid w:val="00BA1C2C"/>
    <w:rsid w:val="00BA1C60"/>
    <w:rsid w:val="00BA1CB2"/>
    <w:rsid w:val="00BA1D1B"/>
    <w:rsid w:val="00BA1D46"/>
    <w:rsid w:val="00BA1E79"/>
    <w:rsid w:val="00BA1EC4"/>
    <w:rsid w:val="00BA1F1C"/>
    <w:rsid w:val="00BA1FD3"/>
    <w:rsid w:val="00BA2064"/>
    <w:rsid w:val="00BA207A"/>
    <w:rsid w:val="00BA207C"/>
    <w:rsid w:val="00BA20AF"/>
    <w:rsid w:val="00BA20EC"/>
    <w:rsid w:val="00BA2137"/>
    <w:rsid w:val="00BA21A9"/>
    <w:rsid w:val="00BA21BA"/>
    <w:rsid w:val="00BA21DD"/>
    <w:rsid w:val="00BA2223"/>
    <w:rsid w:val="00BA2275"/>
    <w:rsid w:val="00BA23B0"/>
    <w:rsid w:val="00BA23D5"/>
    <w:rsid w:val="00BA23E0"/>
    <w:rsid w:val="00BA245C"/>
    <w:rsid w:val="00BA25EE"/>
    <w:rsid w:val="00BA2718"/>
    <w:rsid w:val="00BA273D"/>
    <w:rsid w:val="00BA2775"/>
    <w:rsid w:val="00BA27CA"/>
    <w:rsid w:val="00BA2899"/>
    <w:rsid w:val="00BA2944"/>
    <w:rsid w:val="00BA29B4"/>
    <w:rsid w:val="00BA2AD5"/>
    <w:rsid w:val="00BA2AF4"/>
    <w:rsid w:val="00BA2B4A"/>
    <w:rsid w:val="00BA2B5B"/>
    <w:rsid w:val="00BA2C0F"/>
    <w:rsid w:val="00BA2C13"/>
    <w:rsid w:val="00BA2C24"/>
    <w:rsid w:val="00BA2CA9"/>
    <w:rsid w:val="00BA2D35"/>
    <w:rsid w:val="00BA2DC8"/>
    <w:rsid w:val="00BA2EB4"/>
    <w:rsid w:val="00BA2ECB"/>
    <w:rsid w:val="00BA2F34"/>
    <w:rsid w:val="00BA2F56"/>
    <w:rsid w:val="00BA2F89"/>
    <w:rsid w:val="00BA2F8B"/>
    <w:rsid w:val="00BA2FA4"/>
    <w:rsid w:val="00BA3013"/>
    <w:rsid w:val="00BA3129"/>
    <w:rsid w:val="00BA31D7"/>
    <w:rsid w:val="00BA3202"/>
    <w:rsid w:val="00BA321F"/>
    <w:rsid w:val="00BA3222"/>
    <w:rsid w:val="00BA3332"/>
    <w:rsid w:val="00BA3367"/>
    <w:rsid w:val="00BA3391"/>
    <w:rsid w:val="00BA350F"/>
    <w:rsid w:val="00BA3512"/>
    <w:rsid w:val="00BA36CD"/>
    <w:rsid w:val="00BA3768"/>
    <w:rsid w:val="00BA383A"/>
    <w:rsid w:val="00BA383F"/>
    <w:rsid w:val="00BA3919"/>
    <w:rsid w:val="00BA393D"/>
    <w:rsid w:val="00BA39C5"/>
    <w:rsid w:val="00BA39CD"/>
    <w:rsid w:val="00BA3A15"/>
    <w:rsid w:val="00BA3AD4"/>
    <w:rsid w:val="00BA3B64"/>
    <w:rsid w:val="00BA3B7D"/>
    <w:rsid w:val="00BA3BDD"/>
    <w:rsid w:val="00BA3C30"/>
    <w:rsid w:val="00BA3CC2"/>
    <w:rsid w:val="00BA3CED"/>
    <w:rsid w:val="00BA3D29"/>
    <w:rsid w:val="00BA3D70"/>
    <w:rsid w:val="00BA3DD7"/>
    <w:rsid w:val="00BA3E26"/>
    <w:rsid w:val="00BA3ED1"/>
    <w:rsid w:val="00BA3F97"/>
    <w:rsid w:val="00BA405A"/>
    <w:rsid w:val="00BA416E"/>
    <w:rsid w:val="00BA41D7"/>
    <w:rsid w:val="00BA4241"/>
    <w:rsid w:val="00BA424F"/>
    <w:rsid w:val="00BA451C"/>
    <w:rsid w:val="00BA4530"/>
    <w:rsid w:val="00BA47DA"/>
    <w:rsid w:val="00BA4809"/>
    <w:rsid w:val="00BA48D4"/>
    <w:rsid w:val="00BA4A07"/>
    <w:rsid w:val="00BA4AC1"/>
    <w:rsid w:val="00BA4B17"/>
    <w:rsid w:val="00BA4BBA"/>
    <w:rsid w:val="00BA4C31"/>
    <w:rsid w:val="00BA4C41"/>
    <w:rsid w:val="00BA4CDC"/>
    <w:rsid w:val="00BA4CF2"/>
    <w:rsid w:val="00BA4D0E"/>
    <w:rsid w:val="00BA4D35"/>
    <w:rsid w:val="00BA4E18"/>
    <w:rsid w:val="00BA4E99"/>
    <w:rsid w:val="00BA4EB8"/>
    <w:rsid w:val="00BA4FFB"/>
    <w:rsid w:val="00BA5056"/>
    <w:rsid w:val="00BA5178"/>
    <w:rsid w:val="00BA51AE"/>
    <w:rsid w:val="00BA51BA"/>
    <w:rsid w:val="00BA522D"/>
    <w:rsid w:val="00BA5247"/>
    <w:rsid w:val="00BA5253"/>
    <w:rsid w:val="00BA5340"/>
    <w:rsid w:val="00BA5354"/>
    <w:rsid w:val="00BA53EF"/>
    <w:rsid w:val="00BA53FE"/>
    <w:rsid w:val="00BA53FF"/>
    <w:rsid w:val="00BA546D"/>
    <w:rsid w:val="00BA54B0"/>
    <w:rsid w:val="00BA55C8"/>
    <w:rsid w:val="00BA564A"/>
    <w:rsid w:val="00BA565C"/>
    <w:rsid w:val="00BA5759"/>
    <w:rsid w:val="00BA577A"/>
    <w:rsid w:val="00BA57B9"/>
    <w:rsid w:val="00BA5842"/>
    <w:rsid w:val="00BA5978"/>
    <w:rsid w:val="00BA5B0F"/>
    <w:rsid w:val="00BA5B20"/>
    <w:rsid w:val="00BA5B3C"/>
    <w:rsid w:val="00BA5BA9"/>
    <w:rsid w:val="00BA5BC6"/>
    <w:rsid w:val="00BA5C5A"/>
    <w:rsid w:val="00BA5C60"/>
    <w:rsid w:val="00BA5D77"/>
    <w:rsid w:val="00BA5DCE"/>
    <w:rsid w:val="00BA5E1A"/>
    <w:rsid w:val="00BA5E39"/>
    <w:rsid w:val="00BA5ED0"/>
    <w:rsid w:val="00BA5ED9"/>
    <w:rsid w:val="00BA5F2D"/>
    <w:rsid w:val="00BA5F68"/>
    <w:rsid w:val="00BA5F93"/>
    <w:rsid w:val="00BA5FB6"/>
    <w:rsid w:val="00BA6081"/>
    <w:rsid w:val="00BA609D"/>
    <w:rsid w:val="00BA60A0"/>
    <w:rsid w:val="00BA61BA"/>
    <w:rsid w:val="00BA6232"/>
    <w:rsid w:val="00BA625B"/>
    <w:rsid w:val="00BA62C1"/>
    <w:rsid w:val="00BA640E"/>
    <w:rsid w:val="00BA6428"/>
    <w:rsid w:val="00BA6509"/>
    <w:rsid w:val="00BA6569"/>
    <w:rsid w:val="00BA65CD"/>
    <w:rsid w:val="00BA6628"/>
    <w:rsid w:val="00BA66B9"/>
    <w:rsid w:val="00BA6746"/>
    <w:rsid w:val="00BA6765"/>
    <w:rsid w:val="00BA678E"/>
    <w:rsid w:val="00BA67C5"/>
    <w:rsid w:val="00BA6913"/>
    <w:rsid w:val="00BA6A50"/>
    <w:rsid w:val="00BA6A6E"/>
    <w:rsid w:val="00BA6B38"/>
    <w:rsid w:val="00BA6B91"/>
    <w:rsid w:val="00BA6D1B"/>
    <w:rsid w:val="00BA6D68"/>
    <w:rsid w:val="00BA6D7F"/>
    <w:rsid w:val="00BA6EA7"/>
    <w:rsid w:val="00BA6EFC"/>
    <w:rsid w:val="00BA6F12"/>
    <w:rsid w:val="00BA6F95"/>
    <w:rsid w:val="00BA6FCF"/>
    <w:rsid w:val="00BA6FF2"/>
    <w:rsid w:val="00BA70D3"/>
    <w:rsid w:val="00BA710C"/>
    <w:rsid w:val="00BA7172"/>
    <w:rsid w:val="00BA71AE"/>
    <w:rsid w:val="00BA71CF"/>
    <w:rsid w:val="00BA71E9"/>
    <w:rsid w:val="00BA7248"/>
    <w:rsid w:val="00BA725B"/>
    <w:rsid w:val="00BA7277"/>
    <w:rsid w:val="00BA727B"/>
    <w:rsid w:val="00BA730D"/>
    <w:rsid w:val="00BA7310"/>
    <w:rsid w:val="00BA7573"/>
    <w:rsid w:val="00BA7585"/>
    <w:rsid w:val="00BA75B8"/>
    <w:rsid w:val="00BA75C1"/>
    <w:rsid w:val="00BA7660"/>
    <w:rsid w:val="00BA7684"/>
    <w:rsid w:val="00BA76F8"/>
    <w:rsid w:val="00BA784D"/>
    <w:rsid w:val="00BA7867"/>
    <w:rsid w:val="00BA791F"/>
    <w:rsid w:val="00BA7944"/>
    <w:rsid w:val="00BA795F"/>
    <w:rsid w:val="00BA79A4"/>
    <w:rsid w:val="00BA7A42"/>
    <w:rsid w:val="00BA7A8D"/>
    <w:rsid w:val="00BA7AE8"/>
    <w:rsid w:val="00BA7B61"/>
    <w:rsid w:val="00BA7B8E"/>
    <w:rsid w:val="00BA7BAB"/>
    <w:rsid w:val="00BA7BB7"/>
    <w:rsid w:val="00BA7C5D"/>
    <w:rsid w:val="00BA7D5D"/>
    <w:rsid w:val="00BA7D88"/>
    <w:rsid w:val="00BA7D8F"/>
    <w:rsid w:val="00BA7DD5"/>
    <w:rsid w:val="00BA7E02"/>
    <w:rsid w:val="00BA7E14"/>
    <w:rsid w:val="00BA7E8A"/>
    <w:rsid w:val="00BA7EA0"/>
    <w:rsid w:val="00BA7EF0"/>
    <w:rsid w:val="00BB0012"/>
    <w:rsid w:val="00BB010D"/>
    <w:rsid w:val="00BB01B5"/>
    <w:rsid w:val="00BB0371"/>
    <w:rsid w:val="00BB03E7"/>
    <w:rsid w:val="00BB04D9"/>
    <w:rsid w:val="00BB058C"/>
    <w:rsid w:val="00BB05FB"/>
    <w:rsid w:val="00BB0622"/>
    <w:rsid w:val="00BB0631"/>
    <w:rsid w:val="00BB063C"/>
    <w:rsid w:val="00BB07A0"/>
    <w:rsid w:val="00BB0839"/>
    <w:rsid w:val="00BB08B4"/>
    <w:rsid w:val="00BB097B"/>
    <w:rsid w:val="00BB0A39"/>
    <w:rsid w:val="00BB0A55"/>
    <w:rsid w:val="00BB0A92"/>
    <w:rsid w:val="00BB0AF9"/>
    <w:rsid w:val="00BB0C7D"/>
    <w:rsid w:val="00BB0CBD"/>
    <w:rsid w:val="00BB0CCF"/>
    <w:rsid w:val="00BB0D85"/>
    <w:rsid w:val="00BB0E0D"/>
    <w:rsid w:val="00BB0E3F"/>
    <w:rsid w:val="00BB0E75"/>
    <w:rsid w:val="00BB0E7D"/>
    <w:rsid w:val="00BB0E7F"/>
    <w:rsid w:val="00BB0F41"/>
    <w:rsid w:val="00BB0F7C"/>
    <w:rsid w:val="00BB0FAD"/>
    <w:rsid w:val="00BB0FE3"/>
    <w:rsid w:val="00BB103B"/>
    <w:rsid w:val="00BB1135"/>
    <w:rsid w:val="00BB12AC"/>
    <w:rsid w:val="00BB12D9"/>
    <w:rsid w:val="00BB15C4"/>
    <w:rsid w:val="00BB16B7"/>
    <w:rsid w:val="00BB16DB"/>
    <w:rsid w:val="00BB1718"/>
    <w:rsid w:val="00BB171B"/>
    <w:rsid w:val="00BB17D0"/>
    <w:rsid w:val="00BB18C9"/>
    <w:rsid w:val="00BB18D0"/>
    <w:rsid w:val="00BB1932"/>
    <w:rsid w:val="00BB1985"/>
    <w:rsid w:val="00BB199D"/>
    <w:rsid w:val="00BB19FB"/>
    <w:rsid w:val="00BB1B53"/>
    <w:rsid w:val="00BB1BA3"/>
    <w:rsid w:val="00BB1BF5"/>
    <w:rsid w:val="00BB1C9C"/>
    <w:rsid w:val="00BB1CF3"/>
    <w:rsid w:val="00BB1D34"/>
    <w:rsid w:val="00BB1DF2"/>
    <w:rsid w:val="00BB1E56"/>
    <w:rsid w:val="00BB1E59"/>
    <w:rsid w:val="00BB1EB9"/>
    <w:rsid w:val="00BB1FBB"/>
    <w:rsid w:val="00BB1FD6"/>
    <w:rsid w:val="00BB2092"/>
    <w:rsid w:val="00BB2098"/>
    <w:rsid w:val="00BB2153"/>
    <w:rsid w:val="00BB2156"/>
    <w:rsid w:val="00BB219B"/>
    <w:rsid w:val="00BB21B6"/>
    <w:rsid w:val="00BB2248"/>
    <w:rsid w:val="00BB2292"/>
    <w:rsid w:val="00BB22CE"/>
    <w:rsid w:val="00BB22D7"/>
    <w:rsid w:val="00BB22E1"/>
    <w:rsid w:val="00BB232F"/>
    <w:rsid w:val="00BB235C"/>
    <w:rsid w:val="00BB2409"/>
    <w:rsid w:val="00BB24CC"/>
    <w:rsid w:val="00BB2509"/>
    <w:rsid w:val="00BB2614"/>
    <w:rsid w:val="00BB2672"/>
    <w:rsid w:val="00BB2682"/>
    <w:rsid w:val="00BB2761"/>
    <w:rsid w:val="00BB27F6"/>
    <w:rsid w:val="00BB28FB"/>
    <w:rsid w:val="00BB2924"/>
    <w:rsid w:val="00BB2AD9"/>
    <w:rsid w:val="00BB2AE4"/>
    <w:rsid w:val="00BB2B74"/>
    <w:rsid w:val="00BB2B79"/>
    <w:rsid w:val="00BB2BB5"/>
    <w:rsid w:val="00BB2C13"/>
    <w:rsid w:val="00BB2CCE"/>
    <w:rsid w:val="00BB2E6F"/>
    <w:rsid w:val="00BB2E89"/>
    <w:rsid w:val="00BB2F15"/>
    <w:rsid w:val="00BB2F2B"/>
    <w:rsid w:val="00BB2F97"/>
    <w:rsid w:val="00BB3004"/>
    <w:rsid w:val="00BB3015"/>
    <w:rsid w:val="00BB3071"/>
    <w:rsid w:val="00BB3075"/>
    <w:rsid w:val="00BB30DA"/>
    <w:rsid w:val="00BB311C"/>
    <w:rsid w:val="00BB313C"/>
    <w:rsid w:val="00BB3162"/>
    <w:rsid w:val="00BB318D"/>
    <w:rsid w:val="00BB3209"/>
    <w:rsid w:val="00BB32C1"/>
    <w:rsid w:val="00BB3326"/>
    <w:rsid w:val="00BB3368"/>
    <w:rsid w:val="00BB336D"/>
    <w:rsid w:val="00BB33F9"/>
    <w:rsid w:val="00BB3524"/>
    <w:rsid w:val="00BB353A"/>
    <w:rsid w:val="00BB3568"/>
    <w:rsid w:val="00BB356F"/>
    <w:rsid w:val="00BB3604"/>
    <w:rsid w:val="00BB3608"/>
    <w:rsid w:val="00BB3615"/>
    <w:rsid w:val="00BB36FA"/>
    <w:rsid w:val="00BB37D8"/>
    <w:rsid w:val="00BB3867"/>
    <w:rsid w:val="00BB38A8"/>
    <w:rsid w:val="00BB38D1"/>
    <w:rsid w:val="00BB38FF"/>
    <w:rsid w:val="00BB3936"/>
    <w:rsid w:val="00BB3946"/>
    <w:rsid w:val="00BB39DC"/>
    <w:rsid w:val="00BB3B07"/>
    <w:rsid w:val="00BB3BA6"/>
    <w:rsid w:val="00BB3BB3"/>
    <w:rsid w:val="00BB3BC0"/>
    <w:rsid w:val="00BB3C36"/>
    <w:rsid w:val="00BB3D39"/>
    <w:rsid w:val="00BB3D4E"/>
    <w:rsid w:val="00BB3DBF"/>
    <w:rsid w:val="00BB3EA9"/>
    <w:rsid w:val="00BB3F23"/>
    <w:rsid w:val="00BB3FD1"/>
    <w:rsid w:val="00BB400C"/>
    <w:rsid w:val="00BB4078"/>
    <w:rsid w:val="00BB40B2"/>
    <w:rsid w:val="00BB41B4"/>
    <w:rsid w:val="00BB41EC"/>
    <w:rsid w:val="00BB4289"/>
    <w:rsid w:val="00BB428B"/>
    <w:rsid w:val="00BB42C2"/>
    <w:rsid w:val="00BB43B7"/>
    <w:rsid w:val="00BB43D4"/>
    <w:rsid w:val="00BB4500"/>
    <w:rsid w:val="00BB4590"/>
    <w:rsid w:val="00BB45F0"/>
    <w:rsid w:val="00BB46FF"/>
    <w:rsid w:val="00BB4732"/>
    <w:rsid w:val="00BB476E"/>
    <w:rsid w:val="00BB4775"/>
    <w:rsid w:val="00BB47F2"/>
    <w:rsid w:val="00BB48AD"/>
    <w:rsid w:val="00BB493B"/>
    <w:rsid w:val="00BB49D0"/>
    <w:rsid w:val="00BB4A07"/>
    <w:rsid w:val="00BB4A15"/>
    <w:rsid w:val="00BB4A63"/>
    <w:rsid w:val="00BB4ACD"/>
    <w:rsid w:val="00BB4AF7"/>
    <w:rsid w:val="00BB4B29"/>
    <w:rsid w:val="00BB4B4A"/>
    <w:rsid w:val="00BB4BD0"/>
    <w:rsid w:val="00BB4BD6"/>
    <w:rsid w:val="00BB4C2F"/>
    <w:rsid w:val="00BB4C97"/>
    <w:rsid w:val="00BB4D13"/>
    <w:rsid w:val="00BB4D9E"/>
    <w:rsid w:val="00BB4DAD"/>
    <w:rsid w:val="00BB4E16"/>
    <w:rsid w:val="00BB4E4B"/>
    <w:rsid w:val="00BB4E4D"/>
    <w:rsid w:val="00BB4EB8"/>
    <w:rsid w:val="00BB4F32"/>
    <w:rsid w:val="00BB4F94"/>
    <w:rsid w:val="00BB4FBC"/>
    <w:rsid w:val="00BB4FCA"/>
    <w:rsid w:val="00BB5042"/>
    <w:rsid w:val="00BB50E0"/>
    <w:rsid w:val="00BB5175"/>
    <w:rsid w:val="00BB51FB"/>
    <w:rsid w:val="00BB5380"/>
    <w:rsid w:val="00BB53BC"/>
    <w:rsid w:val="00BB542D"/>
    <w:rsid w:val="00BB5465"/>
    <w:rsid w:val="00BB54A1"/>
    <w:rsid w:val="00BB54DA"/>
    <w:rsid w:val="00BB54EF"/>
    <w:rsid w:val="00BB55B6"/>
    <w:rsid w:val="00BB55BE"/>
    <w:rsid w:val="00BB55FC"/>
    <w:rsid w:val="00BB5665"/>
    <w:rsid w:val="00BB56B0"/>
    <w:rsid w:val="00BB56D6"/>
    <w:rsid w:val="00BB5981"/>
    <w:rsid w:val="00BB59A0"/>
    <w:rsid w:val="00BB59FD"/>
    <w:rsid w:val="00BB5A04"/>
    <w:rsid w:val="00BB5A3E"/>
    <w:rsid w:val="00BB5A4F"/>
    <w:rsid w:val="00BB5A6B"/>
    <w:rsid w:val="00BB5B49"/>
    <w:rsid w:val="00BB5B51"/>
    <w:rsid w:val="00BB5BA6"/>
    <w:rsid w:val="00BB5C58"/>
    <w:rsid w:val="00BB5D45"/>
    <w:rsid w:val="00BB5DD7"/>
    <w:rsid w:val="00BB5ED3"/>
    <w:rsid w:val="00BB5FD7"/>
    <w:rsid w:val="00BB5FE6"/>
    <w:rsid w:val="00BB60BB"/>
    <w:rsid w:val="00BB60C6"/>
    <w:rsid w:val="00BB61A3"/>
    <w:rsid w:val="00BB61FF"/>
    <w:rsid w:val="00BB62FB"/>
    <w:rsid w:val="00BB639A"/>
    <w:rsid w:val="00BB6449"/>
    <w:rsid w:val="00BB6450"/>
    <w:rsid w:val="00BB64E9"/>
    <w:rsid w:val="00BB6527"/>
    <w:rsid w:val="00BB65AE"/>
    <w:rsid w:val="00BB65D5"/>
    <w:rsid w:val="00BB65E7"/>
    <w:rsid w:val="00BB65F6"/>
    <w:rsid w:val="00BB6612"/>
    <w:rsid w:val="00BB672B"/>
    <w:rsid w:val="00BB6788"/>
    <w:rsid w:val="00BB6908"/>
    <w:rsid w:val="00BB6A28"/>
    <w:rsid w:val="00BB6A3F"/>
    <w:rsid w:val="00BB6A55"/>
    <w:rsid w:val="00BB6A91"/>
    <w:rsid w:val="00BB6B91"/>
    <w:rsid w:val="00BB6BFB"/>
    <w:rsid w:val="00BB6C1E"/>
    <w:rsid w:val="00BB6C68"/>
    <w:rsid w:val="00BB6CC3"/>
    <w:rsid w:val="00BB6CD0"/>
    <w:rsid w:val="00BB6D42"/>
    <w:rsid w:val="00BB6D6B"/>
    <w:rsid w:val="00BB6DDD"/>
    <w:rsid w:val="00BB6DEA"/>
    <w:rsid w:val="00BB6E40"/>
    <w:rsid w:val="00BB6E49"/>
    <w:rsid w:val="00BB6E4C"/>
    <w:rsid w:val="00BB6EF1"/>
    <w:rsid w:val="00BB6F4A"/>
    <w:rsid w:val="00BB6F83"/>
    <w:rsid w:val="00BB7090"/>
    <w:rsid w:val="00BB7161"/>
    <w:rsid w:val="00BB71AE"/>
    <w:rsid w:val="00BB72BA"/>
    <w:rsid w:val="00BB72C4"/>
    <w:rsid w:val="00BB7409"/>
    <w:rsid w:val="00BB743A"/>
    <w:rsid w:val="00BB74A6"/>
    <w:rsid w:val="00BB752F"/>
    <w:rsid w:val="00BB7595"/>
    <w:rsid w:val="00BB75B1"/>
    <w:rsid w:val="00BB7648"/>
    <w:rsid w:val="00BB767B"/>
    <w:rsid w:val="00BB7708"/>
    <w:rsid w:val="00BB77CE"/>
    <w:rsid w:val="00BB77E3"/>
    <w:rsid w:val="00BB793D"/>
    <w:rsid w:val="00BB79DB"/>
    <w:rsid w:val="00BB7A17"/>
    <w:rsid w:val="00BB7AC4"/>
    <w:rsid w:val="00BB7B7D"/>
    <w:rsid w:val="00BB7B9F"/>
    <w:rsid w:val="00BB7BC7"/>
    <w:rsid w:val="00BB7C1F"/>
    <w:rsid w:val="00BB7C72"/>
    <w:rsid w:val="00BB7CDE"/>
    <w:rsid w:val="00BB7D45"/>
    <w:rsid w:val="00BB7D71"/>
    <w:rsid w:val="00BB7DE4"/>
    <w:rsid w:val="00BB7E07"/>
    <w:rsid w:val="00BB7EAF"/>
    <w:rsid w:val="00BB7F0A"/>
    <w:rsid w:val="00BC0044"/>
    <w:rsid w:val="00BC00B2"/>
    <w:rsid w:val="00BC00D5"/>
    <w:rsid w:val="00BC0164"/>
    <w:rsid w:val="00BC0200"/>
    <w:rsid w:val="00BC0207"/>
    <w:rsid w:val="00BC026F"/>
    <w:rsid w:val="00BC02A9"/>
    <w:rsid w:val="00BC030C"/>
    <w:rsid w:val="00BC04B2"/>
    <w:rsid w:val="00BC054D"/>
    <w:rsid w:val="00BC05FF"/>
    <w:rsid w:val="00BC0746"/>
    <w:rsid w:val="00BC0855"/>
    <w:rsid w:val="00BC08C7"/>
    <w:rsid w:val="00BC08DF"/>
    <w:rsid w:val="00BC08E3"/>
    <w:rsid w:val="00BC09CF"/>
    <w:rsid w:val="00BC0AF1"/>
    <w:rsid w:val="00BC0B1C"/>
    <w:rsid w:val="00BC0B59"/>
    <w:rsid w:val="00BC0C00"/>
    <w:rsid w:val="00BC0C1D"/>
    <w:rsid w:val="00BC0C2B"/>
    <w:rsid w:val="00BC0D30"/>
    <w:rsid w:val="00BC0D68"/>
    <w:rsid w:val="00BC0DA1"/>
    <w:rsid w:val="00BC0FB4"/>
    <w:rsid w:val="00BC0FC0"/>
    <w:rsid w:val="00BC0FDD"/>
    <w:rsid w:val="00BC109F"/>
    <w:rsid w:val="00BC10DD"/>
    <w:rsid w:val="00BC1116"/>
    <w:rsid w:val="00BC118D"/>
    <w:rsid w:val="00BC11DD"/>
    <w:rsid w:val="00BC120A"/>
    <w:rsid w:val="00BC127B"/>
    <w:rsid w:val="00BC12A6"/>
    <w:rsid w:val="00BC139C"/>
    <w:rsid w:val="00BC13F0"/>
    <w:rsid w:val="00BC1423"/>
    <w:rsid w:val="00BC1444"/>
    <w:rsid w:val="00BC151B"/>
    <w:rsid w:val="00BC15AC"/>
    <w:rsid w:val="00BC1609"/>
    <w:rsid w:val="00BC163E"/>
    <w:rsid w:val="00BC16A1"/>
    <w:rsid w:val="00BC1716"/>
    <w:rsid w:val="00BC171C"/>
    <w:rsid w:val="00BC17AC"/>
    <w:rsid w:val="00BC17D7"/>
    <w:rsid w:val="00BC1869"/>
    <w:rsid w:val="00BC18CC"/>
    <w:rsid w:val="00BC1900"/>
    <w:rsid w:val="00BC1A65"/>
    <w:rsid w:val="00BC1A68"/>
    <w:rsid w:val="00BC1A86"/>
    <w:rsid w:val="00BC1A88"/>
    <w:rsid w:val="00BC1A9F"/>
    <w:rsid w:val="00BC1AF1"/>
    <w:rsid w:val="00BC1B0A"/>
    <w:rsid w:val="00BC1B61"/>
    <w:rsid w:val="00BC1E02"/>
    <w:rsid w:val="00BC1E31"/>
    <w:rsid w:val="00BC1E58"/>
    <w:rsid w:val="00BC1F01"/>
    <w:rsid w:val="00BC1F17"/>
    <w:rsid w:val="00BC1F56"/>
    <w:rsid w:val="00BC1FB9"/>
    <w:rsid w:val="00BC1FCC"/>
    <w:rsid w:val="00BC2040"/>
    <w:rsid w:val="00BC2192"/>
    <w:rsid w:val="00BC2196"/>
    <w:rsid w:val="00BC229C"/>
    <w:rsid w:val="00BC236C"/>
    <w:rsid w:val="00BC2386"/>
    <w:rsid w:val="00BC2443"/>
    <w:rsid w:val="00BC25D7"/>
    <w:rsid w:val="00BC25F4"/>
    <w:rsid w:val="00BC262B"/>
    <w:rsid w:val="00BC264F"/>
    <w:rsid w:val="00BC27A6"/>
    <w:rsid w:val="00BC2862"/>
    <w:rsid w:val="00BC287A"/>
    <w:rsid w:val="00BC28FC"/>
    <w:rsid w:val="00BC2938"/>
    <w:rsid w:val="00BC2999"/>
    <w:rsid w:val="00BC29EF"/>
    <w:rsid w:val="00BC2A28"/>
    <w:rsid w:val="00BC2A55"/>
    <w:rsid w:val="00BC2AC6"/>
    <w:rsid w:val="00BC2AE1"/>
    <w:rsid w:val="00BC2B1B"/>
    <w:rsid w:val="00BC2B7D"/>
    <w:rsid w:val="00BC2BB2"/>
    <w:rsid w:val="00BC2C3A"/>
    <w:rsid w:val="00BC2C3C"/>
    <w:rsid w:val="00BC2C60"/>
    <w:rsid w:val="00BC2D0E"/>
    <w:rsid w:val="00BC2D15"/>
    <w:rsid w:val="00BC2EF0"/>
    <w:rsid w:val="00BC2F15"/>
    <w:rsid w:val="00BC2FCD"/>
    <w:rsid w:val="00BC309C"/>
    <w:rsid w:val="00BC30D5"/>
    <w:rsid w:val="00BC310D"/>
    <w:rsid w:val="00BC3130"/>
    <w:rsid w:val="00BC3145"/>
    <w:rsid w:val="00BC3150"/>
    <w:rsid w:val="00BC31CE"/>
    <w:rsid w:val="00BC3220"/>
    <w:rsid w:val="00BC32C8"/>
    <w:rsid w:val="00BC333A"/>
    <w:rsid w:val="00BC334B"/>
    <w:rsid w:val="00BC338C"/>
    <w:rsid w:val="00BC3390"/>
    <w:rsid w:val="00BC33A9"/>
    <w:rsid w:val="00BC3402"/>
    <w:rsid w:val="00BC3425"/>
    <w:rsid w:val="00BC352F"/>
    <w:rsid w:val="00BC3611"/>
    <w:rsid w:val="00BC3612"/>
    <w:rsid w:val="00BC36A7"/>
    <w:rsid w:val="00BC36A9"/>
    <w:rsid w:val="00BC36B3"/>
    <w:rsid w:val="00BC373F"/>
    <w:rsid w:val="00BC37D7"/>
    <w:rsid w:val="00BC3847"/>
    <w:rsid w:val="00BC388A"/>
    <w:rsid w:val="00BC3961"/>
    <w:rsid w:val="00BC3A25"/>
    <w:rsid w:val="00BC3A43"/>
    <w:rsid w:val="00BC3AB5"/>
    <w:rsid w:val="00BC3ACC"/>
    <w:rsid w:val="00BC3C51"/>
    <w:rsid w:val="00BC3D50"/>
    <w:rsid w:val="00BC3E43"/>
    <w:rsid w:val="00BC3E91"/>
    <w:rsid w:val="00BC3EA6"/>
    <w:rsid w:val="00BC3ED3"/>
    <w:rsid w:val="00BC3F2C"/>
    <w:rsid w:val="00BC410D"/>
    <w:rsid w:val="00BC4148"/>
    <w:rsid w:val="00BC4149"/>
    <w:rsid w:val="00BC420A"/>
    <w:rsid w:val="00BC421A"/>
    <w:rsid w:val="00BC425B"/>
    <w:rsid w:val="00BC42D4"/>
    <w:rsid w:val="00BC4432"/>
    <w:rsid w:val="00BC448D"/>
    <w:rsid w:val="00BC4525"/>
    <w:rsid w:val="00BC4584"/>
    <w:rsid w:val="00BC461F"/>
    <w:rsid w:val="00BC469C"/>
    <w:rsid w:val="00BC47C4"/>
    <w:rsid w:val="00BC4837"/>
    <w:rsid w:val="00BC484F"/>
    <w:rsid w:val="00BC4880"/>
    <w:rsid w:val="00BC491D"/>
    <w:rsid w:val="00BC497A"/>
    <w:rsid w:val="00BC49F4"/>
    <w:rsid w:val="00BC4A11"/>
    <w:rsid w:val="00BC4A6D"/>
    <w:rsid w:val="00BC4A7C"/>
    <w:rsid w:val="00BC4AA4"/>
    <w:rsid w:val="00BC4AB0"/>
    <w:rsid w:val="00BC4ACC"/>
    <w:rsid w:val="00BC4B70"/>
    <w:rsid w:val="00BC4BD0"/>
    <w:rsid w:val="00BC4C52"/>
    <w:rsid w:val="00BC4C96"/>
    <w:rsid w:val="00BC4CC3"/>
    <w:rsid w:val="00BC4D31"/>
    <w:rsid w:val="00BC4DE4"/>
    <w:rsid w:val="00BC4DEE"/>
    <w:rsid w:val="00BC4E16"/>
    <w:rsid w:val="00BC50EB"/>
    <w:rsid w:val="00BC51DB"/>
    <w:rsid w:val="00BC5432"/>
    <w:rsid w:val="00BC5515"/>
    <w:rsid w:val="00BC5529"/>
    <w:rsid w:val="00BC553D"/>
    <w:rsid w:val="00BC5586"/>
    <w:rsid w:val="00BC55F8"/>
    <w:rsid w:val="00BC561D"/>
    <w:rsid w:val="00BC570A"/>
    <w:rsid w:val="00BC5760"/>
    <w:rsid w:val="00BC576A"/>
    <w:rsid w:val="00BC5793"/>
    <w:rsid w:val="00BC57B9"/>
    <w:rsid w:val="00BC5843"/>
    <w:rsid w:val="00BC59E2"/>
    <w:rsid w:val="00BC5A18"/>
    <w:rsid w:val="00BC5A9E"/>
    <w:rsid w:val="00BC5C20"/>
    <w:rsid w:val="00BC5CB4"/>
    <w:rsid w:val="00BC5CC5"/>
    <w:rsid w:val="00BC5CD5"/>
    <w:rsid w:val="00BC5D67"/>
    <w:rsid w:val="00BC5EA8"/>
    <w:rsid w:val="00BC5EE8"/>
    <w:rsid w:val="00BC5F23"/>
    <w:rsid w:val="00BC5F36"/>
    <w:rsid w:val="00BC5F5C"/>
    <w:rsid w:val="00BC5FDC"/>
    <w:rsid w:val="00BC6044"/>
    <w:rsid w:val="00BC612E"/>
    <w:rsid w:val="00BC617C"/>
    <w:rsid w:val="00BC61FD"/>
    <w:rsid w:val="00BC621C"/>
    <w:rsid w:val="00BC6266"/>
    <w:rsid w:val="00BC62B3"/>
    <w:rsid w:val="00BC62B7"/>
    <w:rsid w:val="00BC62E3"/>
    <w:rsid w:val="00BC6355"/>
    <w:rsid w:val="00BC63A3"/>
    <w:rsid w:val="00BC63A5"/>
    <w:rsid w:val="00BC63D1"/>
    <w:rsid w:val="00BC6439"/>
    <w:rsid w:val="00BC643A"/>
    <w:rsid w:val="00BC6440"/>
    <w:rsid w:val="00BC6459"/>
    <w:rsid w:val="00BC64C5"/>
    <w:rsid w:val="00BC64C8"/>
    <w:rsid w:val="00BC64F7"/>
    <w:rsid w:val="00BC654C"/>
    <w:rsid w:val="00BC65FC"/>
    <w:rsid w:val="00BC6641"/>
    <w:rsid w:val="00BC6878"/>
    <w:rsid w:val="00BC6890"/>
    <w:rsid w:val="00BC6A4C"/>
    <w:rsid w:val="00BC6BFF"/>
    <w:rsid w:val="00BC6C0E"/>
    <w:rsid w:val="00BC6C33"/>
    <w:rsid w:val="00BC6C99"/>
    <w:rsid w:val="00BC6C9A"/>
    <w:rsid w:val="00BC6CEF"/>
    <w:rsid w:val="00BC6E14"/>
    <w:rsid w:val="00BC6E91"/>
    <w:rsid w:val="00BC6ED9"/>
    <w:rsid w:val="00BC6EDC"/>
    <w:rsid w:val="00BC6EDE"/>
    <w:rsid w:val="00BC6F04"/>
    <w:rsid w:val="00BC70CE"/>
    <w:rsid w:val="00BC7124"/>
    <w:rsid w:val="00BC714B"/>
    <w:rsid w:val="00BC7175"/>
    <w:rsid w:val="00BC71C5"/>
    <w:rsid w:val="00BC71F2"/>
    <w:rsid w:val="00BC72CC"/>
    <w:rsid w:val="00BC72D3"/>
    <w:rsid w:val="00BC72FE"/>
    <w:rsid w:val="00BC7491"/>
    <w:rsid w:val="00BC74BD"/>
    <w:rsid w:val="00BC74E6"/>
    <w:rsid w:val="00BC759C"/>
    <w:rsid w:val="00BC75C9"/>
    <w:rsid w:val="00BC767A"/>
    <w:rsid w:val="00BC7681"/>
    <w:rsid w:val="00BC768C"/>
    <w:rsid w:val="00BC7691"/>
    <w:rsid w:val="00BC76B3"/>
    <w:rsid w:val="00BC7811"/>
    <w:rsid w:val="00BC794A"/>
    <w:rsid w:val="00BC7A18"/>
    <w:rsid w:val="00BC7A1F"/>
    <w:rsid w:val="00BC7A72"/>
    <w:rsid w:val="00BC7A7F"/>
    <w:rsid w:val="00BC7ACA"/>
    <w:rsid w:val="00BC7AE3"/>
    <w:rsid w:val="00BC7B8C"/>
    <w:rsid w:val="00BC7C15"/>
    <w:rsid w:val="00BC7CB8"/>
    <w:rsid w:val="00BC7E13"/>
    <w:rsid w:val="00BC7E85"/>
    <w:rsid w:val="00BC7F0E"/>
    <w:rsid w:val="00BC7FE8"/>
    <w:rsid w:val="00BD003B"/>
    <w:rsid w:val="00BD01AF"/>
    <w:rsid w:val="00BD0247"/>
    <w:rsid w:val="00BD026F"/>
    <w:rsid w:val="00BD0270"/>
    <w:rsid w:val="00BD031C"/>
    <w:rsid w:val="00BD03D2"/>
    <w:rsid w:val="00BD044B"/>
    <w:rsid w:val="00BD05F5"/>
    <w:rsid w:val="00BD0618"/>
    <w:rsid w:val="00BD06F9"/>
    <w:rsid w:val="00BD0710"/>
    <w:rsid w:val="00BD0754"/>
    <w:rsid w:val="00BD0947"/>
    <w:rsid w:val="00BD0951"/>
    <w:rsid w:val="00BD0A3D"/>
    <w:rsid w:val="00BD0A58"/>
    <w:rsid w:val="00BD0ACE"/>
    <w:rsid w:val="00BD0B48"/>
    <w:rsid w:val="00BD0B9C"/>
    <w:rsid w:val="00BD0C35"/>
    <w:rsid w:val="00BD0D01"/>
    <w:rsid w:val="00BD0EA5"/>
    <w:rsid w:val="00BD0EAE"/>
    <w:rsid w:val="00BD0F73"/>
    <w:rsid w:val="00BD0FC4"/>
    <w:rsid w:val="00BD10AD"/>
    <w:rsid w:val="00BD1118"/>
    <w:rsid w:val="00BD1159"/>
    <w:rsid w:val="00BD124B"/>
    <w:rsid w:val="00BD12D5"/>
    <w:rsid w:val="00BD130A"/>
    <w:rsid w:val="00BD13C7"/>
    <w:rsid w:val="00BD13F7"/>
    <w:rsid w:val="00BD1406"/>
    <w:rsid w:val="00BD1511"/>
    <w:rsid w:val="00BD15B5"/>
    <w:rsid w:val="00BD15C9"/>
    <w:rsid w:val="00BD1603"/>
    <w:rsid w:val="00BD16A5"/>
    <w:rsid w:val="00BD1704"/>
    <w:rsid w:val="00BD171B"/>
    <w:rsid w:val="00BD173C"/>
    <w:rsid w:val="00BD17E8"/>
    <w:rsid w:val="00BD1824"/>
    <w:rsid w:val="00BD185A"/>
    <w:rsid w:val="00BD18B7"/>
    <w:rsid w:val="00BD18CA"/>
    <w:rsid w:val="00BD18E9"/>
    <w:rsid w:val="00BD1976"/>
    <w:rsid w:val="00BD19F5"/>
    <w:rsid w:val="00BD1A6C"/>
    <w:rsid w:val="00BD1AF0"/>
    <w:rsid w:val="00BD1B77"/>
    <w:rsid w:val="00BD1B8D"/>
    <w:rsid w:val="00BD1BB3"/>
    <w:rsid w:val="00BD1BC8"/>
    <w:rsid w:val="00BD1BD7"/>
    <w:rsid w:val="00BD1CE2"/>
    <w:rsid w:val="00BD1DDF"/>
    <w:rsid w:val="00BD1E7B"/>
    <w:rsid w:val="00BD1EDC"/>
    <w:rsid w:val="00BD1EEB"/>
    <w:rsid w:val="00BD204B"/>
    <w:rsid w:val="00BD2063"/>
    <w:rsid w:val="00BD20C1"/>
    <w:rsid w:val="00BD21D2"/>
    <w:rsid w:val="00BD21D6"/>
    <w:rsid w:val="00BD2230"/>
    <w:rsid w:val="00BD2355"/>
    <w:rsid w:val="00BD242F"/>
    <w:rsid w:val="00BD24DE"/>
    <w:rsid w:val="00BD2504"/>
    <w:rsid w:val="00BD2541"/>
    <w:rsid w:val="00BD25A9"/>
    <w:rsid w:val="00BD2628"/>
    <w:rsid w:val="00BD263D"/>
    <w:rsid w:val="00BD2658"/>
    <w:rsid w:val="00BD26B2"/>
    <w:rsid w:val="00BD2773"/>
    <w:rsid w:val="00BD2784"/>
    <w:rsid w:val="00BD278B"/>
    <w:rsid w:val="00BD27FE"/>
    <w:rsid w:val="00BD2806"/>
    <w:rsid w:val="00BD28A5"/>
    <w:rsid w:val="00BD29FE"/>
    <w:rsid w:val="00BD2A10"/>
    <w:rsid w:val="00BD2A47"/>
    <w:rsid w:val="00BD2AAF"/>
    <w:rsid w:val="00BD2BC0"/>
    <w:rsid w:val="00BD2C25"/>
    <w:rsid w:val="00BD2C32"/>
    <w:rsid w:val="00BD2CD2"/>
    <w:rsid w:val="00BD2D3B"/>
    <w:rsid w:val="00BD2E5C"/>
    <w:rsid w:val="00BD2E6C"/>
    <w:rsid w:val="00BD2E8B"/>
    <w:rsid w:val="00BD2E8E"/>
    <w:rsid w:val="00BD2F69"/>
    <w:rsid w:val="00BD3087"/>
    <w:rsid w:val="00BD30B2"/>
    <w:rsid w:val="00BD30F5"/>
    <w:rsid w:val="00BD319E"/>
    <w:rsid w:val="00BD3259"/>
    <w:rsid w:val="00BD3269"/>
    <w:rsid w:val="00BD32AB"/>
    <w:rsid w:val="00BD32E6"/>
    <w:rsid w:val="00BD32FD"/>
    <w:rsid w:val="00BD3379"/>
    <w:rsid w:val="00BD3381"/>
    <w:rsid w:val="00BD3423"/>
    <w:rsid w:val="00BD3548"/>
    <w:rsid w:val="00BD3685"/>
    <w:rsid w:val="00BD376B"/>
    <w:rsid w:val="00BD386F"/>
    <w:rsid w:val="00BD38B8"/>
    <w:rsid w:val="00BD390F"/>
    <w:rsid w:val="00BD39E4"/>
    <w:rsid w:val="00BD3A35"/>
    <w:rsid w:val="00BD3ABD"/>
    <w:rsid w:val="00BD3B07"/>
    <w:rsid w:val="00BD3B4B"/>
    <w:rsid w:val="00BD3B57"/>
    <w:rsid w:val="00BD3B85"/>
    <w:rsid w:val="00BD3BA0"/>
    <w:rsid w:val="00BD3BFE"/>
    <w:rsid w:val="00BD3D56"/>
    <w:rsid w:val="00BD3D6F"/>
    <w:rsid w:val="00BD3DDB"/>
    <w:rsid w:val="00BD3E3E"/>
    <w:rsid w:val="00BD3F10"/>
    <w:rsid w:val="00BD3F37"/>
    <w:rsid w:val="00BD3F41"/>
    <w:rsid w:val="00BD3F9F"/>
    <w:rsid w:val="00BD4054"/>
    <w:rsid w:val="00BD416D"/>
    <w:rsid w:val="00BD419B"/>
    <w:rsid w:val="00BD41D9"/>
    <w:rsid w:val="00BD4201"/>
    <w:rsid w:val="00BD4234"/>
    <w:rsid w:val="00BD42FC"/>
    <w:rsid w:val="00BD433A"/>
    <w:rsid w:val="00BD433B"/>
    <w:rsid w:val="00BD4378"/>
    <w:rsid w:val="00BD43D8"/>
    <w:rsid w:val="00BD43F0"/>
    <w:rsid w:val="00BD4406"/>
    <w:rsid w:val="00BD4425"/>
    <w:rsid w:val="00BD442D"/>
    <w:rsid w:val="00BD4470"/>
    <w:rsid w:val="00BD4496"/>
    <w:rsid w:val="00BD4592"/>
    <w:rsid w:val="00BD45F8"/>
    <w:rsid w:val="00BD4641"/>
    <w:rsid w:val="00BD476E"/>
    <w:rsid w:val="00BD484F"/>
    <w:rsid w:val="00BD4AED"/>
    <w:rsid w:val="00BD4B03"/>
    <w:rsid w:val="00BD4B14"/>
    <w:rsid w:val="00BD4B32"/>
    <w:rsid w:val="00BD4B55"/>
    <w:rsid w:val="00BD4B75"/>
    <w:rsid w:val="00BD4BB3"/>
    <w:rsid w:val="00BD4C2A"/>
    <w:rsid w:val="00BD4CA3"/>
    <w:rsid w:val="00BD4D06"/>
    <w:rsid w:val="00BD4D71"/>
    <w:rsid w:val="00BD4D7E"/>
    <w:rsid w:val="00BD4D99"/>
    <w:rsid w:val="00BD4EF7"/>
    <w:rsid w:val="00BD4F15"/>
    <w:rsid w:val="00BD4F58"/>
    <w:rsid w:val="00BD5049"/>
    <w:rsid w:val="00BD5087"/>
    <w:rsid w:val="00BD50CB"/>
    <w:rsid w:val="00BD51A3"/>
    <w:rsid w:val="00BD51F1"/>
    <w:rsid w:val="00BD528E"/>
    <w:rsid w:val="00BD52E2"/>
    <w:rsid w:val="00BD52F7"/>
    <w:rsid w:val="00BD534D"/>
    <w:rsid w:val="00BD5360"/>
    <w:rsid w:val="00BD53F4"/>
    <w:rsid w:val="00BD5545"/>
    <w:rsid w:val="00BD55C8"/>
    <w:rsid w:val="00BD5614"/>
    <w:rsid w:val="00BD5624"/>
    <w:rsid w:val="00BD565A"/>
    <w:rsid w:val="00BD5676"/>
    <w:rsid w:val="00BD567D"/>
    <w:rsid w:val="00BD578C"/>
    <w:rsid w:val="00BD5798"/>
    <w:rsid w:val="00BD58D7"/>
    <w:rsid w:val="00BD590C"/>
    <w:rsid w:val="00BD5937"/>
    <w:rsid w:val="00BD593F"/>
    <w:rsid w:val="00BD5999"/>
    <w:rsid w:val="00BD5A6F"/>
    <w:rsid w:val="00BD5AD0"/>
    <w:rsid w:val="00BD5CDE"/>
    <w:rsid w:val="00BD5D36"/>
    <w:rsid w:val="00BD5D5E"/>
    <w:rsid w:val="00BD5DEE"/>
    <w:rsid w:val="00BD5E41"/>
    <w:rsid w:val="00BD5E93"/>
    <w:rsid w:val="00BD5EE1"/>
    <w:rsid w:val="00BD5F09"/>
    <w:rsid w:val="00BD5F2D"/>
    <w:rsid w:val="00BD5F63"/>
    <w:rsid w:val="00BD5F8D"/>
    <w:rsid w:val="00BD5F8E"/>
    <w:rsid w:val="00BD5FA2"/>
    <w:rsid w:val="00BD6081"/>
    <w:rsid w:val="00BD6111"/>
    <w:rsid w:val="00BD612B"/>
    <w:rsid w:val="00BD6256"/>
    <w:rsid w:val="00BD62CF"/>
    <w:rsid w:val="00BD6360"/>
    <w:rsid w:val="00BD637C"/>
    <w:rsid w:val="00BD6439"/>
    <w:rsid w:val="00BD64A6"/>
    <w:rsid w:val="00BD6653"/>
    <w:rsid w:val="00BD6730"/>
    <w:rsid w:val="00BD674B"/>
    <w:rsid w:val="00BD6756"/>
    <w:rsid w:val="00BD68E1"/>
    <w:rsid w:val="00BD693B"/>
    <w:rsid w:val="00BD6941"/>
    <w:rsid w:val="00BD6963"/>
    <w:rsid w:val="00BD6A70"/>
    <w:rsid w:val="00BD6BC6"/>
    <w:rsid w:val="00BD6C8E"/>
    <w:rsid w:val="00BD6D20"/>
    <w:rsid w:val="00BD6E2A"/>
    <w:rsid w:val="00BD6E77"/>
    <w:rsid w:val="00BD6FC6"/>
    <w:rsid w:val="00BD7069"/>
    <w:rsid w:val="00BD70DC"/>
    <w:rsid w:val="00BD7171"/>
    <w:rsid w:val="00BD7173"/>
    <w:rsid w:val="00BD71FF"/>
    <w:rsid w:val="00BD7262"/>
    <w:rsid w:val="00BD7318"/>
    <w:rsid w:val="00BD732B"/>
    <w:rsid w:val="00BD734F"/>
    <w:rsid w:val="00BD73CA"/>
    <w:rsid w:val="00BD7431"/>
    <w:rsid w:val="00BD747E"/>
    <w:rsid w:val="00BD74A5"/>
    <w:rsid w:val="00BD74E8"/>
    <w:rsid w:val="00BD7595"/>
    <w:rsid w:val="00BD75CB"/>
    <w:rsid w:val="00BD761D"/>
    <w:rsid w:val="00BD772A"/>
    <w:rsid w:val="00BD7779"/>
    <w:rsid w:val="00BD77F9"/>
    <w:rsid w:val="00BD78C3"/>
    <w:rsid w:val="00BD78C6"/>
    <w:rsid w:val="00BD78CA"/>
    <w:rsid w:val="00BD78FA"/>
    <w:rsid w:val="00BD79C8"/>
    <w:rsid w:val="00BD79CF"/>
    <w:rsid w:val="00BD7AF3"/>
    <w:rsid w:val="00BD7B1E"/>
    <w:rsid w:val="00BD7B9B"/>
    <w:rsid w:val="00BD7BFF"/>
    <w:rsid w:val="00BD7C4A"/>
    <w:rsid w:val="00BD7C6A"/>
    <w:rsid w:val="00BD7CE9"/>
    <w:rsid w:val="00BD7D3D"/>
    <w:rsid w:val="00BD7D5B"/>
    <w:rsid w:val="00BD7D5E"/>
    <w:rsid w:val="00BD7D7A"/>
    <w:rsid w:val="00BD7DC4"/>
    <w:rsid w:val="00BD7ECB"/>
    <w:rsid w:val="00BD7F50"/>
    <w:rsid w:val="00BD7FBB"/>
    <w:rsid w:val="00BE0009"/>
    <w:rsid w:val="00BE0116"/>
    <w:rsid w:val="00BE012F"/>
    <w:rsid w:val="00BE0142"/>
    <w:rsid w:val="00BE0180"/>
    <w:rsid w:val="00BE0218"/>
    <w:rsid w:val="00BE0226"/>
    <w:rsid w:val="00BE0244"/>
    <w:rsid w:val="00BE036A"/>
    <w:rsid w:val="00BE0381"/>
    <w:rsid w:val="00BE0468"/>
    <w:rsid w:val="00BE0517"/>
    <w:rsid w:val="00BE0575"/>
    <w:rsid w:val="00BE05C9"/>
    <w:rsid w:val="00BE05F2"/>
    <w:rsid w:val="00BE06FE"/>
    <w:rsid w:val="00BE070A"/>
    <w:rsid w:val="00BE08B7"/>
    <w:rsid w:val="00BE08FC"/>
    <w:rsid w:val="00BE0A33"/>
    <w:rsid w:val="00BE0A3E"/>
    <w:rsid w:val="00BE0AED"/>
    <w:rsid w:val="00BE0AF3"/>
    <w:rsid w:val="00BE0B29"/>
    <w:rsid w:val="00BE0B73"/>
    <w:rsid w:val="00BE0B8B"/>
    <w:rsid w:val="00BE0CE3"/>
    <w:rsid w:val="00BE0D07"/>
    <w:rsid w:val="00BE0D52"/>
    <w:rsid w:val="00BE0E0B"/>
    <w:rsid w:val="00BE0F29"/>
    <w:rsid w:val="00BE105A"/>
    <w:rsid w:val="00BE107C"/>
    <w:rsid w:val="00BE10A2"/>
    <w:rsid w:val="00BE10C2"/>
    <w:rsid w:val="00BE1104"/>
    <w:rsid w:val="00BE111F"/>
    <w:rsid w:val="00BE11B3"/>
    <w:rsid w:val="00BE11C6"/>
    <w:rsid w:val="00BE1357"/>
    <w:rsid w:val="00BE135D"/>
    <w:rsid w:val="00BE1379"/>
    <w:rsid w:val="00BE1440"/>
    <w:rsid w:val="00BE15AA"/>
    <w:rsid w:val="00BE15D3"/>
    <w:rsid w:val="00BE1662"/>
    <w:rsid w:val="00BE1947"/>
    <w:rsid w:val="00BE1962"/>
    <w:rsid w:val="00BE197A"/>
    <w:rsid w:val="00BE1A5F"/>
    <w:rsid w:val="00BE1A6E"/>
    <w:rsid w:val="00BE1ADE"/>
    <w:rsid w:val="00BE1AFB"/>
    <w:rsid w:val="00BE1B4B"/>
    <w:rsid w:val="00BE1B81"/>
    <w:rsid w:val="00BE1C02"/>
    <w:rsid w:val="00BE1C0D"/>
    <w:rsid w:val="00BE1DF3"/>
    <w:rsid w:val="00BE1DFA"/>
    <w:rsid w:val="00BE1E67"/>
    <w:rsid w:val="00BE1E6A"/>
    <w:rsid w:val="00BE1ECE"/>
    <w:rsid w:val="00BE1F58"/>
    <w:rsid w:val="00BE1F5E"/>
    <w:rsid w:val="00BE1F71"/>
    <w:rsid w:val="00BE1FCF"/>
    <w:rsid w:val="00BE212D"/>
    <w:rsid w:val="00BE22BB"/>
    <w:rsid w:val="00BE22C2"/>
    <w:rsid w:val="00BE233D"/>
    <w:rsid w:val="00BE235B"/>
    <w:rsid w:val="00BE23AC"/>
    <w:rsid w:val="00BE23D1"/>
    <w:rsid w:val="00BE247F"/>
    <w:rsid w:val="00BE24C6"/>
    <w:rsid w:val="00BE265B"/>
    <w:rsid w:val="00BE270F"/>
    <w:rsid w:val="00BE2857"/>
    <w:rsid w:val="00BE28D5"/>
    <w:rsid w:val="00BE2945"/>
    <w:rsid w:val="00BE2998"/>
    <w:rsid w:val="00BE29F8"/>
    <w:rsid w:val="00BE2A37"/>
    <w:rsid w:val="00BE2A50"/>
    <w:rsid w:val="00BE2A53"/>
    <w:rsid w:val="00BE2AEE"/>
    <w:rsid w:val="00BE2B50"/>
    <w:rsid w:val="00BE2D36"/>
    <w:rsid w:val="00BE2D3A"/>
    <w:rsid w:val="00BE2D63"/>
    <w:rsid w:val="00BE2DE0"/>
    <w:rsid w:val="00BE2E38"/>
    <w:rsid w:val="00BE2E62"/>
    <w:rsid w:val="00BE2F1C"/>
    <w:rsid w:val="00BE2F29"/>
    <w:rsid w:val="00BE2FCE"/>
    <w:rsid w:val="00BE308B"/>
    <w:rsid w:val="00BE3132"/>
    <w:rsid w:val="00BE3280"/>
    <w:rsid w:val="00BE3313"/>
    <w:rsid w:val="00BE33CE"/>
    <w:rsid w:val="00BE33F6"/>
    <w:rsid w:val="00BE34CD"/>
    <w:rsid w:val="00BE3546"/>
    <w:rsid w:val="00BE3555"/>
    <w:rsid w:val="00BE35CC"/>
    <w:rsid w:val="00BE36BC"/>
    <w:rsid w:val="00BE3927"/>
    <w:rsid w:val="00BE393D"/>
    <w:rsid w:val="00BE394A"/>
    <w:rsid w:val="00BE3A1C"/>
    <w:rsid w:val="00BE3A2A"/>
    <w:rsid w:val="00BE3A31"/>
    <w:rsid w:val="00BE3AA1"/>
    <w:rsid w:val="00BE3AFF"/>
    <w:rsid w:val="00BE3B18"/>
    <w:rsid w:val="00BE3BF9"/>
    <w:rsid w:val="00BE3C1C"/>
    <w:rsid w:val="00BE3D51"/>
    <w:rsid w:val="00BE3DA0"/>
    <w:rsid w:val="00BE3E0B"/>
    <w:rsid w:val="00BE3E0C"/>
    <w:rsid w:val="00BE3F6C"/>
    <w:rsid w:val="00BE40CE"/>
    <w:rsid w:val="00BE4165"/>
    <w:rsid w:val="00BE416B"/>
    <w:rsid w:val="00BE41DE"/>
    <w:rsid w:val="00BE42C7"/>
    <w:rsid w:val="00BE4311"/>
    <w:rsid w:val="00BE4326"/>
    <w:rsid w:val="00BE447C"/>
    <w:rsid w:val="00BE4589"/>
    <w:rsid w:val="00BE4670"/>
    <w:rsid w:val="00BE46B1"/>
    <w:rsid w:val="00BE472E"/>
    <w:rsid w:val="00BE4799"/>
    <w:rsid w:val="00BE47CD"/>
    <w:rsid w:val="00BE47E4"/>
    <w:rsid w:val="00BE47EA"/>
    <w:rsid w:val="00BE49B9"/>
    <w:rsid w:val="00BE4A65"/>
    <w:rsid w:val="00BE4A8F"/>
    <w:rsid w:val="00BE4AB0"/>
    <w:rsid w:val="00BE4AEA"/>
    <w:rsid w:val="00BE4B95"/>
    <w:rsid w:val="00BE4C3E"/>
    <w:rsid w:val="00BE4D1A"/>
    <w:rsid w:val="00BE4EBB"/>
    <w:rsid w:val="00BE4EE6"/>
    <w:rsid w:val="00BE5043"/>
    <w:rsid w:val="00BE505B"/>
    <w:rsid w:val="00BE508E"/>
    <w:rsid w:val="00BE5205"/>
    <w:rsid w:val="00BE529C"/>
    <w:rsid w:val="00BE530C"/>
    <w:rsid w:val="00BE5395"/>
    <w:rsid w:val="00BE53A9"/>
    <w:rsid w:val="00BE5453"/>
    <w:rsid w:val="00BE5498"/>
    <w:rsid w:val="00BE54A2"/>
    <w:rsid w:val="00BE54A4"/>
    <w:rsid w:val="00BE553D"/>
    <w:rsid w:val="00BE5550"/>
    <w:rsid w:val="00BE555C"/>
    <w:rsid w:val="00BE559A"/>
    <w:rsid w:val="00BE55A1"/>
    <w:rsid w:val="00BE55BB"/>
    <w:rsid w:val="00BE5620"/>
    <w:rsid w:val="00BE5635"/>
    <w:rsid w:val="00BE5665"/>
    <w:rsid w:val="00BE57D3"/>
    <w:rsid w:val="00BE5827"/>
    <w:rsid w:val="00BE5885"/>
    <w:rsid w:val="00BE58F8"/>
    <w:rsid w:val="00BE5992"/>
    <w:rsid w:val="00BE5A80"/>
    <w:rsid w:val="00BE5AE8"/>
    <w:rsid w:val="00BE5AEB"/>
    <w:rsid w:val="00BE5BE6"/>
    <w:rsid w:val="00BE5C97"/>
    <w:rsid w:val="00BE5D0A"/>
    <w:rsid w:val="00BE5D8A"/>
    <w:rsid w:val="00BE5DC5"/>
    <w:rsid w:val="00BE5E0C"/>
    <w:rsid w:val="00BE5F17"/>
    <w:rsid w:val="00BE5FE0"/>
    <w:rsid w:val="00BE6064"/>
    <w:rsid w:val="00BE608B"/>
    <w:rsid w:val="00BE60D8"/>
    <w:rsid w:val="00BE61FF"/>
    <w:rsid w:val="00BE6283"/>
    <w:rsid w:val="00BE62F7"/>
    <w:rsid w:val="00BE63FF"/>
    <w:rsid w:val="00BE6402"/>
    <w:rsid w:val="00BE6470"/>
    <w:rsid w:val="00BE6647"/>
    <w:rsid w:val="00BE6690"/>
    <w:rsid w:val="00BE66C2"/>
    <w:rsid w:val="00BE6741"/>
    <w:rsid w:val="00BE68A2"/>
    <w:rsid w:val="00BE68D1"/>
    <w:rsid w:val="00BE68FD"/>
    <w:rsid w:val="00BE690E"/>
    <w:rsid w:val="00BE696C"/>
    <w:rsid w:val="00BE6984"/>
    <w:rsid w:val="00BE6A67"/>
    <w:rsid w:val="00BE6A7F"/>
    <w:rsid w:val="00BE6B4F"/>
    <w:rsid w:val="00BE6BD2"/>
    <w:rsid w:val="00BE6BF1"/>
    <w:rsid w:val="00BE6C2F"/>
    <w:rsid w:val="00BE6C61"/>
    <w:rsid w:val="00BE6CD8"/>
    <w:rsid w:val="00BE6CE3"/>
    <w:rsid w:val="00BE6D1E"/>
    <w:rsid w:val="00BE6D96"/>
    <w:rsid w:val="00BE6DEC"/>
    <w:rsid w:val="00BE6E5A"/>
    <w:rsid w:val="00BE6EE5"/>
    <w:rsid w:val="00BE6F2D"/>
    <w:rsid w:val="00BE6F66"/>
    <w:rsid w:val="00BE7021"/>
    <w:rsid w:val="00BE7055"/>
    <w:rsid w:val="00BE7081"/>
    <w:rsid w:val="00BE7219"/>
    <w:rsid w:val="00BE72F1"/>
    <w:rsid w:val="00BE735B"/>
    <w:rsid w:val="00BE73D4"/>
    <w:rsid w:val="00BE73FB"/>
    <w:rsid w:val="00BE7455"/>
    <w:rsid w:val="00BE74B7"/>
    <w:rsid w:val="00BE74E8"/>
    <w:rsid w:val="00BE7527"/>
    <w:rsid w:val="00BE755A"/>
    <w:rsid w:val="00BE7639"/>
    <w:rsid w:val="00BE76A4"/>
    <w:rsid w:val="00BE76AD"/>
    <w:rsid w:val="00BE7757"/>
    <w:rsid w:val="00BE7853"/>
    <w:rsid w:val="00BE78B2"/>
    <w:rsid w:val="00BE79B6"/>
    <w:rsid w:val="00BE79C2"/>
    <w:rsid w:val="00BE79FE"/>
    <w:rsid w:val="00BE7A08"/>
    <w:rsid w:val="00BE7A2E"/>
    <w:rsid w:val="00BE7A30"/>
    <w:rsid w:val="00BE7A55"/>
    <w:rsid w:val="00BE7A79"/>
    <w:rsid w:val="00BE7AD7"/>
    <w:rsid w:val="00BE7CB3"/>
    <w:rsid w:val="00BE7DCA"/>
    <w:rsid w:val="00BE7E03"/>
    <w:rsid w:val="00BE7E5E"/>
    <w:rsid w:val="00BE7FE4"/>
    <w:rsid w:val="00BE7FF7"/>
    <w:rsid w:val="00BF0016"/>
    <w:rsid w:val="00BF0102"/>
    <w:rsid w:val="00BF0145"/>
    <w:rsid w:val="00BF0163"/>
    <w:rsid w:val="00BF01E5"/>
    <w:rsid w:val="00BF0240"/>
    <w:rsid w:val="00BF0277"/>
    <w:rsid w:val="00BF027A"/>
    <w:rsid w:val="00BF02FD"/>
    <w:rsid w:val="00BF049B"/>
    <w:rsid w:val="00BF04FF"/>
    <w:rsid w:val="00BF0535"/>
    <w:rsid w:val="00BF05A6"/>
    <w:rsid w:val="00BF06B1"/>
    <w:rsid w:val="00BF06D2"/>
    <w:rsid w:val="00BF0814"/>
    <w:rsid w:val="00BF08A4"/>
    <w:rsid w:val="00BF0A61"/>
    <w:rsid w:val="00BF0AA5"/>
    <w:rsid w:val="00BF0AF2"/>
    <w:rsid w:val="00BF0BED"/>
    <w:rsid w:val="00BF0C24"/>
    <w:rsid w:val="00BF0C5C"/>
    <w:rsid w:val="00BF0CDA"/>
    <w:rsid w:val="00BF0D02"/>
    <w:rsid w:val="00BF0E57"/>
    <w:rsid w:val="00BF0E95"/>
    <w:rsid w:val="00BF0E9D"/>
    <w:rsid w:val="00BF0F22"/>
    <w:rsid w:val="00BF0F98"/>
    <w:rsid w:val="00BF0FD6"/>
    <w:rsid w:val="00BF0FE1"/>
    <w:rsid w:val="00BF0FF7"/>
    <w:rsid w:val="00BF1034"/>
    <w:rsid w:val="00BF1079"/>
    <w:rsid w:val="00BF1085"/>
    <w:rsid w:val="00BF1142"/>
    <w:rsid w:val="00BF11CA"/>
    <w:rsid w:val="00BF1214"/>
    <w:rsid w:val="00BF1215"/>
    <w:rsid w:val="00BF1230"/>
    <w:rsid w:val="00BF136F"/>
    <w:rsid w:val="00BF14D7"/>
    <w:rsid w:val="00BF1673"/>
    <w:rsid w:val="00BF168E"/>
    <w:rsid w:val="00BF16FF"/>
    <w:rsid w:val="00BF170C"/>
    <w:rsid w:val="00BF170E"/>
    <w:rsid w:val="00BF17A2"/>
    <w:rsid w:val="00BF17DA"/>
    <w:rsid w:val="00BF180D"/>
    <w:rsid w:val="00BF1834"/>
    <w:rsid w:val="00BF1840"/>
    <w:rsid w:val="00BF18A1"/>
    <w:rsid w:val="00BF18BE"/>
    <w:rsid w:val="00BF18F0"/>
    <w:rsid w:val="00BF199C"/>
    <w:rsid w:val="00BF1A1C"/>
    <w:rsid w:val="00BF1C67"/>
    <w:rsid w:val="00BF1CE8"/>
    <w:rsid w:val="00BF1D95"/>
    <w:rsid w:val="00BF1DB9"/>
    <w:rsid w:val="00BF1DDB"/>
    <w:rsid w:val="00BF1E07"/>
    <w:rsid w:val="00BF1EEE"/>
    <w:rsid w:val="00BF1F22"/>
    <w:rsid w:val="00BF1F64"/>
    <w:rsid w:val="00BF1FC7"/>
    <w:rsid w:val="00BF1FFE"/>
    <w:rsid w:val="00BF21A0"/>
    <w:rsid w:val="00BF226A"/>
    <w:rsid w:val="00BF22B2"/>
    <w:rsid w:val="00BF22BE"/>
    <w:rsid w:val="00BF22F1"/>
    <w:rsid w:val="00BF2353"/>
    <w:rsid w:val="00BF2357"/>
    <w:rsid w:val="00BF24E9"/>
    <w:rsid w:val="00BF256F"/>
    <w:rsid w:val="00BF25CF"/>
    <w:rsid w:val="00BF270F"/>
    <w:rsid w:val="00BF27AB"/>
    <w:rsid w:val="00BF27BE"/>
    <w:rsid w:val="00BF27F7"/>
    <w:rsid w:val="00BF2802"/>
    <w:rsid w:val="00BF2885"/>
    <w:rsid w:val="00BF2923"/>
    <w:rsid w:val="00BF292F"/>
    <w:rsid w:val="00BF29C8"/>
    <w:rsid w:val="00BF29CB"/>
    <w:rsid w:val="00BF2A42"/>
    <w:rsid w:val="00BF2A78"/>
    <w:rsid w:val="00BF2A8D"/>
    <w:rsid w:val="00BF2B4F"/>
    <w:rsid w:val="00BF2BC7"/>
    <w:rsid w:val="00BF2C04"/>
    <w:rsid w:val="00BF2C43"/>
    <w:rsid w:val="00BF2C65"/>
    <w:rsid w:val="00BF2D4B"/>
    <w:rsid w:val="00BF2EF6"/>
    <w:rsid w:val="00BF2EFE"/>
    <w:rsid w:val="00BF2F3C"/>
    <w:rsid w:val="00BF2F80"/>
    <w:rsid w:val="00BF3081"/>
    <w:rsid w:val="00BF30BD"/>
    <w:rsid w:val="00BF3145"/>
    <w:rsid w:val="00BF3240"/>
    <w:rsid w:val="00BF325A"/>
    <w:rsid w:val="00BF32F2"/>
    <w:rsid w:val="00BF33C8"/>
    <w:rsid w:val="00BF341C"/>
    <w:rsid w:val="00BF3497"/>
    <w:rsid w:val="00BF356F"/>
    <w:rsid w:val="00BF3684"/>
    <w:rsid w:val="00BF37B6"/>
    <w:rsid w:val="00BF37CB"/>
    <w:rsid w:val="00BF37FB"/>
    <w:rsid w:val="00BF388D"/>
    <w:rsid w:val="00BF3893"/>
    <w:rsid w:val="00BF38D8"/>
    <w:rsid w:val="00BF39B8"/>
    <w:rsid w:val="00BF3B25"/>
    <w:rsid w:val="00BF3B5C"/>
    <w:rsid w:val="00BF3B67"/>
    <w:rsid w:val="00BF3C3C"/>
    <w:rsid w:val="00BF3C62"/>
    <w:rsid w:val="00BF3CC7"/>
    <w:rsid w:val="00BF3CE0"/>
    <w:rsid w:val="00BF3D26"/>
    <w:rsid w:val="00BF3E1C"/>
    <w:rsid w:val="00BF3E4B"/>
    <w:rsid w:val="00BF3E70"/>
    <w:rsid w:val="00BF3EBB"/>
    <w:rsid w:val="00BF3FA2"/>
    <w:rsid w:val="00BF4057"/>
    <w:rsid w:val="00BF42A8"/>
    <w:rsid w:val="00BF42CA"/>
    <w:rsid w:val="00BF431F"/>
    <w:rsid w:val="00BF43EC"/>
    <w:rsid w:val="00BF4518"/>
    <w:rsid w:val="00BF4565"/>
    <w:rsid w:val="00BF458D"/>
    <w:rsid w:val="00BF45D7"/>
    <w:rsid w:val="00BF4620"/>
    <w:rsid w:val="00BF466C"/>
    <w:rsid w:val="00BF4679"/>
    <w:rsid w:val="00BF46BD"/>
    <w:rsid w:val="00BF47C5"/>
    <w:rsid w:val="00BF4888"/>
    <w:rsid w:val="00BF49ED"/>
    <w:rsid w:val="00BF49EF"/>
    <w:rsid w:val="00BF4C10"/>
    <w:rsid w:val="00BF4C4C"/>
    <w:rsid w:val="00BF4CE9"/>
    <w:rsid w:val="00BF4D54"/>
    <w:rsid w:val="00BF4DAB"/>
    <w:rsid w:val="00BF5255"/>
    <w:rsid w:val="00BF529F"/>
    <w:rsid w:val="00BF5321"/>
    <w:rsid w:val="00BF5351"/>
    <w:rsid w:val="00BF5385"/>
    <w:rsid w:val="00BF53E8"/>
    <w:rsid w:val="00BF545C"/>
    <w:rsid w:val="00BF5462"/>
    <w:rsid w:val="00BF546D"/>
    <w:rsid w:val="00BF55B2"/>
    <w:rsid w:val="00BF59CF"/>
    <w:rsid w:val="00BF5B03"/>
    <w:rsid w:val="00BF5B22"/>
    <w:rsid w:val="00BF5CF1"/>
    <w:rsid w:val="00BF5D5E"/>
    <w:rsid w:val="00BF5D7A"/>
    <w:rsid w:val="00BF5D8C"/>
    <w:rsid w:val="00BF5E94"/>
    <w:rsid w:val="00BF5EC3"/>
    <w:rsid w:val="00BF5F0E"/>
    <w:rsid w:val="00BF5F74"/>
    <w:rsid w:val="00BF6149"/>
    <w:rsid w:val="00BF6191"/>
    <w:rsid w:val="00BF61A4"/>
    <w:rsid w:val="00BF61EF"/>
    <w:rsid w:val="00BF62A0"/>
    <w:rsid w:val="00BF62B2"/>
    <w:rsid w:val="00BF6359"/>
    <w:rsid w:val="00BF63C3"/>
    <w:rsid w:val="00BF65DC"/>
    <w:rsid w:val="00BF6618"/>
    <w:rsid w:val="00BF66FA"/>
    <w:rsid w:val="00BF6743"/>
    <w:rsid w:val="00BF68E9"/>
    <w:rsid w:val="00BF6953"/>
    <w:rsid w:val="00BF697F"/>
    <w:rsid w:val="00BF69B3"/>
    <w:rsid w:val="00BF69C6"/>
    <w:rsid w:val="00BF69E2"/>
    <w:rsid w:val="00BF6ABC"/>
    <w:rsid w:val="00BF6ACE"/>
    <w:rsid w:val="00BF6B39"/>
    <w:rsid w:val="00BF6B83"/>
    <w:rsid w:val="00BF6C5A"/>
    <w:rsid w:val="00BF6C76"/>
    <w:rsid w:val="00BF6D3A"/>
    <w:rsid w:val="00BF6E1C"/>
    <w:rsid w:val="00BF6F52"/>
    <w:rsid w:val="00BF70C0"/>
    <w:rsid w:val="00BF717A"/>
    <w:rsid w:val="00BF72D6"/>
    <w:rsid w:val="00BF732B"/>
    <w:rsid w:val="00BF7358"/>
    <w:rsid w:val="00BF736C"/>
    <w:rsid w:val="00BF73A2"/>
    <w:rsid w:val="00BF73AA"/>
    <w:rsid w:val="00BF74DF"/>
    <w:rsid w:val="00BF76BA"/>
    <w:rsid w:val="00BF777B"/>
    <w:rsid w:val="00BF785B"/>
    <w:rsid w:val="00BF78E4"/>
    <w:rsid w:val="00BF79A0"/>
    <w:rsid w:val="00BF79D5"/>
    <w:rsid w:val="00BF7C18"/>
    <w:rsid w:val="00BF7CCA"/>
    <w:rsid w:val="00BF7D73"/>
    <w:rsid w:val="00BF7DA3"/>
    <w:rsid w:val="00BF7DBE"/>
    <w:rsid w:val="00BF7E5D"/>
    <w:rsid w:val="00BF7E70"/>
    <w:rsid w:val="00BF7EDA"/>
    <w:rsid w:val="00BF7F72"/>
    <w:rsid w:val="00BF7F7C"/>
    <w:rsid w:val="00BF7FC9"/>
    <w:rsid w:val="00BF7FCB"/>
    <w:rsid w:val="00C0002F"/>
    <w:rsid w:val="00C00170"/>
    <w:rsid w:val="00C002F5"/>
    <w:rsid w:val="00C003F3"/>
    <w:rsid w:val="00C00451"/>
    <w:rsid w:val="00C00470"/>
    <w:rsid w:val="00C00559"/>
    <w:rsid w:val="00C0055D"/>
    <w:rsid w:val="00C0061F"/>
    <w:rsid w:val="00C00625"/>
    <w:rsid w:val="00C007DE"/>
    <w:rsid w:val="00C00806"/>
    <w:rsid w:val="00C00876"/>
    <w:rsid w:val="00C008DA"/>
    <w:rsid w:val="00C0091C"/>
    <w:rsid w:val="00C00969"/>
    <w:rsid w:val="00C00AE2"/>
    <w:rsid w:val="00C00B06"/>
    <w:rsid w:val="00C00BFE"/>
    <w:rsid w:val="00C00C33"/>
    <w:rsid w:val="00C00C79"/>
    <w:rsid w:val="00C00C86"/>
    <w:rsid w:val="00C00D2C"/>
    <w:rsid w:val="00C00DC9"/>
    <w:rsid w:val="00C00E17"/>
    <w:rsid w:val="00C00E72"/>
    <w:rsid w:val="00C00ED0"/>
    <w:rsid w:val="00C00F3E"/>
    <w:rsid w:val="00C010C4"/>
    <w:rsid w:val="00C010DA"/>
    <w:rsid w:val="00C0110E"/>
    <w:rsid w:val="00C0121A"/>
    <w:rsid w:val="00C012F4"/>
    <w:rsid w:val="00C013B3"/>
    <w:rsid w:val="00C013BC"/>
    <w:rsid w:val="00C013C7"/>
    <w:rsid w:val="00C015CC"/>
    <w:rsid w:val="00C016C8"/>
    <w:rsid w:val="00C016E6"/>
    <w:rsid w:val="00C01767"/>
    <w:rsid w:val="00C017DB"/>
    <w:rsid w:val="00C017DE"/>
    <w:rsid w:val="00C01818"/>
    <w:rsid w:val="00C01882"/>
    <w:rsid w:val="00C018B4"/>
    <w:rsid w:val="00C019EB"/>
    <w:rsid w:val="00C019FB"/>
    <w:rsid w:val="00C01A87"/>
    <w:rsid w:val="00C01A96"/>
    <w:rsid w:val="00C01BE5"/>
    <w:rsid w:val="00C01C47"/>
    <w:rsid w:val="00C01D15"/>
    <w:rsid w:val="00C01D2E"/>
    <w:rsid w:val="00C01D8D"/>
    <w:rsid w:val="00C01DE4"/>
    <w:rsid w:val="00C01E84"/>
    <w:rsid w:val="00C01F23"/>
    <w:rsid w:val="00C01F6F"/>
    <w:rsid w:val="00C02068"/>
    <w:rsid w:val="00C0208F"/>
    <w:rsid w:val="00C0214C"/>
    <w:rsid w:val="00C02264"/>
    <w:rsid w:val="00C0226B"/>
    <w:rsid w:val="00C0236A"/>
    <w:rsid w:val="00C023A1"/>
    <w:rsid w:val="00C023F7"/>
    <w:rsid w:val="00C0248F"/>
    <w:rsid w:val="00C024BA"/>
    <w:rsid w:val="00C02542"/>
    <w:rsid w:val="00C02580"/>
    <w:rsid w:val="00C026B3"/>
    <w:rsid w:val="00C0278C"/>
    <w:rsid w:val="00C027D4"/>
    <w:rsid w:val="00C0280B"/>
    <w:rsid w:val="00C028C5"/>
    <w:rsid w:val="00C02966"/>
    <w:rsid w:val="00C029A5"/>
    <w:rsid w:val="00C02A74"/>
    <w:rsid w:val="00C02B29"/>
    <w:rsid w:val="00C02B9F"/>
    <w:rsid w:val="00C02C0A"/>
    <w:rsid w:val="00C02C2F"/>
    <w:rsid w:val="00C02C81"/>
    <w:rsid w:val="00C02D8C"/>
    <w:rsid w:val="00C02E04"/>
    <w:rsid w:val="00C02E0C"/>
    <w:rsid w:val="00C02E15"/>
    <w:rsid w:val="00C02E38"/>
    <w:rsid w:val="00C02E8D"/>
    <w:rsid w:val="00C02ED2"/>
    <w:rsid w:val="00C02F57"/>
    <w:rsid w:val="00C02F8D"/>
    <w:rsid w:val="00C02F9C"/>
    <w:rsid w:val="00C02FC5"/>
    <w:rsid w:val="00C02FDF"/>
    <w:rsid w:val="00C02FFC"/>
    <w:rsid w:val="00C03012"/>
    <w:rsid w:val="00C0305B"/>
    <w:rsid w:val="00C03214"/>
    <w:rsid w:val="00C0326D"/>
    <w:rsid w:val="00C03280"/>
    <w:rsid w:val="00C03282"/>
    <w:rsid w:val="00C0331C"/>
    <w:rsid w:val="00C03324"/>
    <w:rsid w:val="00C0343D"/>
    <w:rsid w:val="00C03480"/>
    <w:rsid w:val="00C03523"/>
    <w:rsid w:val="00C03591"/>
    <w:rsid w:val="00C0360C"/>
    <w:rsid w:val="00C03637"/>
    <w:rsid w:val="00C03654"/>
    <w:rsid w:val="00C036EE"/>
    <w:rsid w:val="00C03708"/>
    <w:rsid w:val="00C037AB"/>
    <w:rsid w:val="00C03849"/>
    <w:rsid w:val="00C038A4"/>
    <w:rsid w:val="00C038C6"/>
    <w:rsid w:val="00C03911"/>
    <w:rsid w:val="00C0396D"/>
    <w:rsid w:val="00C039C9"/>
    <w:rsid w:val="00C03AA4"/>
    <w:rsid w:val="00C03B03"/>
    <w:rsid w:val="00C03B20"/>
    <w:rsid w:val="00C03BC2"/>
    <w:rsid w:val="00C03C83"/>
    <w:rsid w:val="00C03CDA"/>
    <w:rsid w:val="00C03D9D"/>
    <w:rsid w:val="00C03E17"/>
    <w:rsid w:val="00C03E54"/>
    <w:rsid w:val="00C03EA8"/>
    <w:rsid w:val="00C03F21"/>
    <w:rsid w:val="00C03F44"/>
    <w:rsid w:val="00C03F49"/>
    <w:rsid w:val="00C04037"/>
    <w:rsid w:val="00C0404D"/>
    <w:rsid w:val="00C0419A"/>
    <w:rsid w:val="00C04243"/>
    <w:rsid w:val="00C0428C"/>
    <w:rsid w:val="00C042F6"/>
    <w:rsid w:val="00C04312"/>
    <w:rsid w:val="00C04387"/>
    <w:rsid w:val="00C043DC"/>
    <w:rsid w:val="00C0443D"/>
    <w:rsid w:val="00C04445"/>
    <w:rsid w:val="00C044B3"/>
    <w:rsid w:val="00C0458F"/>
    <w:rsid w:val="00C0464A"/>
    <w:rsid w:val="00C04668"/>
    <w:rsid w:val="00C04756"/>
    <w:rsid w:val="00C04794"/>
    <w:rsid w:val="00C047D3"/>
    <w:rsid w:val="00C0480A"/>
    <w:rsid w:val="00C048FC"/>
    <w:rsid w:val="00C049B0"/>
    <w:rsid w:val="00C04ABE"/>
    <w:rsid w:val="00C04ACB"/>
    <w:rsid w:val="00C04ADF"/>
    <w:rsid w:val="00C04B33"/>
    <w:rsid w:val="00C04B35"/>
    <w:rsid w:val="00C04C13"/>
    <w:rsid w:val="00C04C6C"/>
    <w:rsid w:val="00C04D20"/>
    <w:rsid w:val="00C04D47"/>
    <w:rsid w:val="00C04E38"/>
    <w:rsid w:val="00C04E5F"/>
    <w:rsid w:val="00C04E78"/>
    <w:rsid w:val="00C04F33"/>
    <w:rsid w:val="00C05008"/>
    <w:rsid w:val="00C05090"/>
    <w:rsid w:val="00C05093"/>
    <w:rsid w:val="00C0509A"/>
    <w:rsid w:val="00C0529E"/>
    <w:rsid w:val="00C054A1"/>
    <w:rsid w:val="00C05578"/>
    <w:rsid w:val="00C055F0"/>
    <w:rsid w:val="00C05626"/>
    <w:rsid w:val="00C05637"/>
    <w:rsid w:val="00C0566E"/>
    <w:rsid w:val="00C0568D"/>
    <w:rsid w:val="00C057CB"/>
    <w:rsid w:val="00C05832"/>
    <w:rsid w:val="00C05895"/>
    <w:rsid w:val="00C05972"/>
    <w:rsid w:val="00C059BA"/>
    <w:rsid w:val="00C05A64"/>
    <w:rsid w:val="00C05A71"/>
    <w:rsid w:val="00C05AA3"/>
    <w:rsid w:val="00C05AE4"/>
    <w:rsid w:val="00C05AF6"/>
    <w:rsid w:val="00C05C15"/>
    <w:rsid w:val="00C05CBD"/>
    <w:rsid w:val="00C05D2F"/>
    <w:rsid w:val="00C05D3D"/>
    <w:rsid w:val="00C05D8B"/>
    <w:rsid w:val="00C05E69"/>
    <w:rsid w:val="00C05E6A"/>
    <w:rsid w:val="00C05E90"/>
    <w:rsid w:val="00C05EBE"/>
    <w:rsid w:val="00C05F0B"/>
    <w:rsid w:val="00C05FE1"/>
    <w:rsid w:val="00C060A0"/>
    <w:rsid w:val="00C06126"/>
    <w:rsid w:val="00C061C7"/>
    <w:rsid w:val="00C061D5"/>
    <w:rsid w:val="00C061E0"/>
    <w:rsid w:val="00C0620E"/>
    <w:rsid w:val="00C06247"/>
    <w:rsid w:val="00C062A4"/>
    <w:rsid w:val="00C062B2"/>
    <w:rsid w:val="00C062C7"/>
    <w:rsid w:val="00C062D3"/>
    <w:rsid w:val="00C062EB"/>
    <w:rsid w:val="00C06358"/>
    <w:rsid w:val="00C06405"/>
    <w:rsid w:val="00C06442"/>
    <w:rsid w:val="00C06464"/>
    <w:rsid w:val="00C0646C"/>
    <w:rsid w:val="00C064C8"/>
    <w:rsid w:val="00C064E6"/>
    <w:rsid w:val="00C065BF"/>
    <w:rsid w:val="00C065E1"/>
    <w:rsid w:val="00C065F7"/>
    <w:rsid w:val="00C0666A"/>
    <w:rsid w:val="00C066E4"/>
    <w:rsid w:val="00C06864"/>
    <w:rsid w:val="00C068C8"/>
    <w:rsid w:val="00C069F4"/>
    <w:rsid w:val="00C06A57"/>
    <w:rsid w:val="00C06A95"/>
    <w:rsid w:val="00C06AD9"/>
    <w:rsid w:val="00C06B7F"/>
    <w:rsid w:val="00C06CD0"/>
    <w:rsid w:val="00C06D1E"/>
    <w:rsid w:val="00C06D64"/>
    <w:rsid w:val="00C06DBD"/>
    <w:rsid w:val="00C06E9A"/>
    <w:rsid w:val="00C07033"/>
    <w:rsid w:val="00C0710F"/>
    <w:rsid w:val="00C072E1"/>
    <w:rsid w:val="00C072F0"/>
    <w:rsid w:val="00C0732D"/>
    <w:rsid w:val="00C0736F"/>
    <w:rsid w:val="00C07378"/>
    <w:rsid w:val="00C07382"/>
    <w:rsid w:val="00C074E9"/>
    <w:rsid w:val="00C07615"/>
    <w:rsid w:val="00C07648"/>
    <w:rsid w:val="00C0779D"/>
    <w:rsid w:val="00C077E2"/>
    <w:rsid w:val="00C0789B"/>
    <w:rsid w:val="00C078E5"/>
    <w:rsid w:val="00C07998"/>
    <w:rsid w:val="00C079DC"/>
    <w:rsid w:val="00C07A19"/>
    <w:rsid w:val="00C07AC1"/>
    <w:rsid w:val="00C07ADD"/>
    <w:rsid w:val="00C07AF7"/>
    <w:rsid w:val="00C07BE7"/>
    <w:rsid w:val="00C07C5C"/>
    <w:rsid w:val="00C07C9D"/>
    <w:rsid w:val="00C07D32"/>
    <w:rsid w:val="00C07D91"/>
    <w:rsid w:val="00C07D9D"/>
    <w:rsid w:val="00C07DC6"/>
    <w:rsid w:val="00C07E0C"/>
    <w:rsid w:val="00C07E23"/>
    <w:rsid w:val="00C07E34"/>
    <w:rsid w:val="00C07FEB"/>
    <w:rsid w:val="00C10048"/>
    <w:rsid w:val="00C1005A"/>
    <w:rsid w:val="00C1009B"/>
    <w:rsid w:val="00C100D0"/>
    <w:rsid w:val="00C1013B"/>
    <w:rsid w:val="00C1030E"/>
    <w:rsid w:val="00C103B3"/>
    <w:rsid w:val="00C103E0"/>
    <w:rsid w:val="00C1041B"/>
    <w:rsid w:val="00C105CD"/>
    <w:rsid w:val="00C105FF"/>
    <w:rsid w:val="00C10608"/>
    <w:rsid w:val="00C1061B"/>
    <w:rsid w:val="00C1062B"/>
    <w:rsid w:val="00C106CF"/>
    <w:rsid w:val="00C106F8"/>
    <w:rsid w:val="00C10768"/>
    <w:rsid w:val="00C1081D"/>
    <w:rsid w:val="00C10892"/>
    <w:rsid w:val="00C108B5"/>
    <w:rsid w:val="00C10922"/>
    <w:rsid w:val="00C109DA"/>
    <w:rsid w:val="00C10A06"/>
    <w:rsid w:val="00C10C3B"/>
    <w:rsid w:val="00C10C61"/>
    <w:rsid w:val="00C10C71"/>
    <w:rsid w:val="00C10D26"/>
    <w:rsid w:val="00C10D94"/>
    <w:rsid w:val="00C10DE0"/>
    <w:rsid w:val="00C10ED1"/>
    <w:rsid w:val="00C10EF2"/>
    <w:rsid w:val="00C10F34"/>
    <w:rsid w:val="00C10F3A"/>
    <w:rsid w:val="00C10F64"/>
    <w:rsid w:val="00C10FDB"/>
    <w:rsid w:val="00C10FF8"/>
    <w:rsid w:val="00C11007"/>
    <w:rsid w:val="00C11135"/>
    <w:rsid w:val="00C11147"/>
    <w:rsid w:val="00C111C6"/>
    <w:rsid w:val="00C1125B"/>
    <w:rsid w:val="00C115D5"/>
    <w:rsid w:val="00C1167D"/>
    <w:rsid w:val="00C116BA"/>
    <w:rsid w:val="00C11738"/>
    <w:rsid w:val="00C117ED"/>
    <w:rsid w:val="00C11842"/>
    <w:rsid w:val="00C118D2"/>
    <w:rsid w:val="00C118E2"/>
    <w:rsid w:val="00C118EC"/>
    <w:rsid w:val="00C1193D"/>
    <w:rsid w:val="00C119F8"/>
    <w:rsid w:val="00C11A3A"/>
    <w:rsid w:val="00C11AAB"/>
    <w:rsid w:val="00C11AAC"/>
    <w:rsid w:val="00C11AFF"/>
    <w:rsid w:val="00C11BAA"/>
    <w:rsid w:val="00C11BE0"/>
    <w:rsid w:val="00C11BF2"/>
    <w:rsid w:val="00C11C4F"/>
    <w:rsid w:val="00C11CDD"/>
    <w:rsid w:val="00C11E8F"/>
    <w:rsid w:val="00C11EA3"/>
    <w:rsid w:val="00C11FD5"/>
    <w:rsid w:val="00C120A4"/>
    <w:rsid w:val="00C120C9"/>
    <w:rsid w:val="00C121A5"/>
    <w:rsid w:val="00C12266"/>
    <w:rsid w:val="00C122A0"/>
    <w:rsid w:val="00C122A1"/>
    <w:rsid w:val="00C122C2"/>
    <w:rsid w:val="00C12313"/>
    <w:rsid w:val="00C123E3"/>
    <w:rsid w:val="00C12467"/>
    <w:rsid w:val="00C124B1"/>
    <w:rsid w:val="00C124DF"/>
    <w:rsid w:val="00C12548"/>
    <w:rsid w:val="00C125C2"/>
    <w:rsid w:val="00C125F8"/>
    <w:rsid w:val="00C126EB"/>
    <w:rsid w:val="00C12736"/>
    <w:rsid w:val="00C1274F"/>
    <w:rsid w:val="00C12759"/>
    <w:rsid w:val="00C12775"/>
    <w:rsid w:val="00C127BC"/>
    <w:rsid w:val="00C128A3"/>
    <w:rsid w:val="00C128BD"/>
    <w:rsid w:val="00C12940"/>
    <w:rsid w:val="00C1297E"/>
    <w:rsid w:val="00C129B6"/>
    <w:rsid w:val="00C129DE"/>
    <w:rsid w:val="00C129E4"/>
    <w:rsid w:val="00C12AD3"/>
    <w:rsid w:val="00C12B22"/>
    <w:rsid w:val="00C12B3A"/>
    <w:rsid w:val="00C12B73"/>
    <w:rsid w:val="00C12C77"/>
    <w:rsid w:val="00C12CD8"/>
    <w:rsid w:val="00C12D7C"/>
    <w:rsid w:val="00C12EF1"/>
    <w:rsid w:val="00C12F00"/>
    <w:rsid w:val="00C12F7C"/>
    <w:rsid w:val="00C130A1"/>
    <w:rsid w:val="00C13107"/>
    <w:rsid w:val="00C1321E"/>
    <w:rsid w:val="00C132BC"/>
    <w:rsid w:val="00C13318"/>
    <w:rsid w:val="00C13321"/>
    <w:rsid w:val="00C13339"/>
    <w:rsid w:val="00C13480"/>
    <w:rsid w:val="00C13497"/>
    <w:rsid w:val="00C134CB"/>
    <w:rsid w:val="00C134E3"/>
    <w:rsid w:val="00C1351F"/>
    <w:rsid w:val="00C1368E"/>
    <w:rsid w:val="00C13713"/>
    <w:rsid w:val="00C1378B"/>
    <w:rsid w:val="00C137F4"/>
    <w:rsid w:val="00C1381A"/>
    <w:rsid w:val="00C13837"/>
    <w:rsid w:val="00C138EC"/>
    <w:rsid w:val="00C13996"/>
    <w:rsid w:val="00C139BC"/>
    <w:rsid w:val="00C139E2"/>
    <w:rsid w:val="00C13A1B"/>
    <w:rsid w:val="00C13A85"/>
    <w:rsid w:val="00C13AED"/>
    <w:rsid w:val="00C13B31"/>
    <w:rsid w:val="00C13CA8"/>
    <w:rsid w:val="00C13CCB"/>
    <w:rsid w:val="00C13CEB"/>
    <w:rsid w:val="00C13D8B"/>
    <w:rsid w:val="00C13EEC"/>
    <w:rsid w:val="00C13EF4"/>
    <w:rsid w:val="00C13F0B"/>
    <w:rsid w:val="00C13FDE"/>
    <w:rsid w:val="00C14005"/>
    <w:rsid w:val="00C1409F"/>
    <w:rsid w:val="00C14205"/>
    <w:rsid w:val="00C14230"/>
    <w:rsid w:val="00C14447"/>
    <w:rsid w:val="00C14466"/>
    <w:rsid w:val="00C14590"/>
    <w:rsid w:val="00C14595"/>
    <w:rsid w:val="00C145C0"/>
    <w:rsid w:val="00C1463A"/>
    <w:rsid w:val="00C14659"/>
    <w:rsid w:val="00C1478D"/>
    <w:rsid w:val="00C147D5"/>
    <w:rsid w:val="00C1485D"/>
    <w:rsid w:val="00C1487A"/>
    <w:rsid w:val="00C148E4"/>
    <w:rsid w:val="00C148EB"/>
    <w:rsid w:val="00C14938"/>
    <w:rsid w:val="00C14997"/>
    <w:rsid w:val="00C149B0"/>
    <w:rsid w:val="00C149DE"/>
    <w:rsid w:val="00C14A4A"/>
    <w:rsid w:val="00C14B31"/>
    <w:rsid w:val="00C14C11"/>
    <w:rsid w:val="00C14D64"/>
    <w:rsid w:val="00C14D6F"/>
    <w:rsid w:val="00C14D76"/>
    <w:rsid w:val="00C14D9A"/>
    <w:rsid w:val="00C14DEE"/>
    <w:rsid w:val="00C14E66"/>
    <w:rsid w:val="00C14F37"/>
    <w:rsid w:val="00C14F94"/>
    <w:rsid w:val="00C15005"/>
    <w:rsid w:val="00C1503F"/>
    <w:rsid w:val="00C150E2"/>
    <w:rsid w:val="00C15139"/>
    <w:rsid w:val="00C152DE"/>
    <w:rsid w:val="00C153AD"/>
    <w:rsid w:val="00C154A0"/>
    <w:rsid w:val="00C154C5"/>
    <w:rsid w:val="00C1554F"/>
    <w:rsid w:val="00C155A0"/>
    <w:rsid w:val="00C1565A"/>
    <w:rsid w:val="00C15666"/>
    <w:rsid w:val="00C15717"/>
    <w:rsid w:val="00C15787"/>
    <w:rsid w:val="00C1578D"/>
    <w:rsid w:val="00C15837"/>
    <w:rsid w:val="00C15838"/>
    <w:rsid w:val="00C1583F"/>
    <w:rsid w:val="00C15869"/>
    <w:rsid w:val="00C158B3"/>
    <w:rsid w:val="00C1590C"/>
    <w:rsid w:val="00C1597D"/>
    <w:rsid w:val="00C15994"/>
    <w:rsid w:val="00C159B7"/>
    <w:rsid w:val="00C159CB"/>
    <w:rsid w:val="00C15A3F"/>
    <w:rsid w:val="00C15AB2"/>
    <w:rsid w:val="00C15AE5"/>
    <w:rsid w:val="00C15AE6"/>
    <w:rsid w:val="00C15AFE"/>
    <w:rsid w:val="00C15BC5"/>
    <w:rsid w:val="00C15BF5"/>
    <w:rsid w:val="00C15C03"/>
    <w:rsid w:val="00C15CA1"/>
    <w:rsid w:val="00C15CA9"/>
    <w:rsid w:val="00C15CD2"/>
    <w:rsid w:val="00C15DA0"/>
    <w:rsid w:val="00C15DBE"/>
    <w:rsid w:val="00C15DE6"/>
    <w:rsid w:val="00C15DEF"/>
    <w:rsid w:val="00C15DF5"/>
    <w:rsid w:val="00C15DF6"/>
    <w:rsid w:val="00C15E08"/>
    <w:rsid w:val="00C15E32"/>
    <w:rsid w:val="00C15EC6"/>
    <w:rsid w:val="00C15F1B"/>
    <w:rsid w:val="00C15F3C"/>
    <w:rsid w:val="00C16129"/>
    <w:rsid w:val="00C1614A"/>
    <w:rsid w:val="00C1614D"/>
    <w:rsid w:val="00C161E3"/>
    <w:rsid w:val="00C16226"/>
    <w:rsid w:val="00C16309"/>
    <w:rsid w:val="00C16413"/>
    <w:rsid w:val="00C164E3"/>
    <w:rsid w:val="00C165C7"/>
    <w:rsid w:val="00C16643"/>
    <w:rsid w:val="00C16688"/>
    <w:rsid w:val="00C16697"/>
    <w:rsid w:val="00C1674E"/>
    <w:rsid w:val="00C1677B"/>
    <w:rsid w:val="00C16835"/>
    <w:rsid w:val="00C1684A"/>
    <w:rsid w:val="00C16862"/>
    <w:rsid w:val="00C16886"/>
    <w:rsid w:val="00C16986"/>
    <w:rsid w:val="00C16A71"/>
    <w:rsid w:val="00C16B48"/>
    <w:rsid w:val="00C16C2B"/>
    <w:rsid w:val="00C16C9C"/>
    <w:rsid w:val="00C16DA0"/>
    <w:rsid w:val="00C16DAB"/>
    <w:rsid w:val="00C16E73"/>
    <w:rsid w:val="00C16F53"/>
    <w:rsid w:val="00C16F69"/>
    <w:rsid w:val="00C16FC5"/>
    <w:rsid w:val="00C1704B"/>
    <w:rsid w:val="00C17051"/>
    <w:rsid w:val="00C170A1"/>
    <w:rsid w:val="00C170B5"/>
    <w:rsid w:val="00C170EF"/>
    <w:rsid w:val="00C1711B"/>
    <w:rsid w:val="00C1711E"/>
    <w:rsid w:val="00C171DB"/>
    <w:rsid w:val="00C1720C"/>
    <w:rsid w:val="00C17225"/>
    <w:rsid w:val="00C172F5"/>
    <w:rsid w:val="00C17315"/>
    <w:rsid w:val="00C17322"/>
    <w:rsid w:val="00C173A7"/>
    <w:rsid w:val="00C17417"/>
    <w:rsid w:val="00C17490"/>
    <w:rsid w:val="00C174C3"/>
    <w:rsid w:val="00C174E5"/>
    <w:rsid w:val="00C174EC"/>
    <w:rsid w:val="00C175DC"/>
    <w:rsid w:val="00C175E0"/>
    <w:rsid w:val="00C176A0"/>
    <w:rsid w:val="00C176E5"/>
    <w:rsid w:val="00C176F2"/>
    <w:rsid w:val="00C17738"/>
    <w:rsid w:val="00C1773F"/>
    <w:rsid w:val="00C177AA"/>
    <w:rsid w:val="00C177BA"/>
    <w:rsid w:val="00C17912"/>
    <w:rsid w:val="00C1791D"/>
    <w:rsid w:val="00C17989"/>
    <w:rsid w:val="00C17A29"/>
    <w:rsid w:val="00C17A3A"/>
    <w:rsid w:val="00C17A5A"/>
    <w:rsid w:val="00C17A5F"/>
    <w:rsid w:val="00C17B05"/>
    <w:rsid w:val="00C17B4F"/>
    <w:rsid w:val="00C17CC4"/>
    <w:rsid w:val="00C17CF6"/>
    <w:rsid w:val="00C17D00"/>
    <w:rsid w:val="00C17D24"/>
    <w:rsid w:val="00C17D8F"/>
    <w:rsid w:val="00C17DC6"/>
    <w:rsid w:val="00C17E10"/>
    <w:rsid w:val="00C17E4B"/>
    <w:rsid w:val="00C17F81"/>
    <w:rsid w:val="00C17F85"/>
    <w:rsid w:val="00C17FA9"/>
    <w:rsid w:val="00C17FD3"/>
    <w:rsid w:val="00C2001B"/>
    <w:rsid w:val="00C20137"/>
    <w:rsid w:val="00C20153"/>
    <w:rsid w:val="00C2024E"/>
    <w:rsid w:val="00C20268"/>
    <w:rsid w:val="00C202F3"/>
    <w:rsid w:val="00C20493"/>
    <w:rsid w:val="00C204AD"/>
    <w:rsid w:val="00C204F1"/>
    <w:rsid w:val="00C20595"/>
    <w:rsid w:val="00C2060D"/>
    <w:rsid w:val="00C20643"/>
    <w:rsid w:val="00C206EB"/>
    <w:rsid w:val="00C20795"/>
    <w:rsid w:val="00C20796"/>
    <w:rsid w:val="00C207D0"/>
    <w:rsid w:val="00C207D6"/>
    <w:rsid w:val="00C207F0"/>
    <w:rsid w:val="00C2088F"/>
    <w:rsid w:val="00C209E1"/>
    <w:rsid w:val="00C20A05"/>
    <w:rsid w:val="00C20AEF"/>
    <w:rsid w:val="00C20AF9"/>
    <w:rsid w:val="00C20B92"/>
    <w:rsid w:val="00C20D31"/>
    <w:rsid w:val="00C20D7F"/>
    <w:rsid w:val="00C20E98"/>
    <w:rsid w:val="00C20F2D"/>
    <w:rsid w:val="00C210C9"/>
    <w:rsid w:val="00C21136"/>
    <w:rsid w:val="00C21155"/>
    <w:rsid w:val="00C2121B"/>
    <w:rsid w:val="00C212C6"/>
    <w:rsid w:val="00C212F2"/>
    <w:rsid w:val="00C21311"/>
    <w:rsid w:val="00C21321"/>
    <w:rsid w:val="00C213A2"/>
    <w:rsid w:val="00C213BF"/>
    <w:rsid w:val="00C213E5"/>
    <w:rsid w:val="00C213F9"/>
    <w:rsid w:val="00C21493"/>
    <w:rsid w:val="00C21583"/>
    <w:rsid w:val="00C21594"/>
    <w:rsid w:val="00C2160C"/>
    <w:rsid w:val="00C2168F"/>
    <w:rsid w:val="00C21699"/>
    <w:rsid w:val="00C216A7"/>
    <w:rsid w:val="00C2172E"/>
    <w:rsid w:val="00C2177B"/>
    <w:rsid w:val="00C21860"/>
    <w:rsid w:val="00C218F6"/>
    <w:rsid w:val="00C21982"/>
    <w:rsid w:val="00C2198E"/>
    <w:rsid w:val="00C21A2C"/>
    <w:rsid w:val="00C21A7C"/>
    <w:rsid w:val="00C21B42"/>
    <w:rsid w:val="00C21B44"/>
    <w:rsid w:val="00C21C22"/>
    <w:rsid w:val="00C21C5A"/>
    <w:rsid w:val="00C21D50"/>
    <w:rsid w:val="00C21D9A"/>
    <w:rsid w:val="00C21E67"/>
    <w:rsid w:val="00C21E98"/>
    <w:rsid w:val="00C21EA4"/>
    <w:rsid w:val="00C21F24"/>
    <w:rsid w:val="00C21F4D"/>
    <w:rsid w:val="00C22055"/>
    <w:rsid w:val="00C2207E"/>
    <w:rsid w:val="00C221C3"/>
    <w:rsid w:val="00C221C5"/>
    <w:rsid w:val="00C221CC"/>
    <w:rsid w:val="00C22228"/>
    <w:rsid w:val="00C2224D"/>
    <w:rsid w:val="00C22256"/>
    <w:rsid w:val="00C223EC"/>
    <w:rsid w:val="00C2248F"/>
    <w:rsid w:val="00C2249D"/>
    <w:rsid w:val="00C2252A"/>
    <w:rsid w:val="00C2260F"/>
    <w:rsid w:val="00C22651"/>
    <w:rsid w:val="00C2272B"/>
    <w:rsid w:val="00C2272C"/>
    <w:rsid w:val="00C227C2"/>
    <w:rsid w:val="00C22859"/>
    <w:rsid w:val="00C22954"/>
    <w:rsid w:val="00C22ACB"/>
    <w:rsid w:val="00C22B91"/>
    <w:rsid w:val="00C22C02"/>
    <w:rsid w:val="00C22C79"/>
    <w:rsid w:val="00C22C7A"/>
    <w:rsid w:val="00C22D07"/>
    <w:rsid w:val="00C22D5B"/>
    <w:rsid w:val="00C22E14"/>
    <w:rsid w:val="00C22E5D"/>
    <w:rsid w:val="00C22EE3"/>
    <w:rsid w:val="00C22F9F"/>
    <w:rsid w:val="00C22FBE"/>
    <w:rsid w:val="00C2302F"/>
    <w:rsid w:val="00C23070"/>
    <w:rsid w:val="00C230EA"/>
    <w:rsid w:val="00C231C2"/>
    <w:rsid w:val="00C2327D"/>
    <w:rsid w:val="00C232B9"/>
    <w:rsid w:val="00C232EB"/>
    <w:rsid w:val="00C23425"/>
    <w:rsid w:val="00C23541"/>
    <w:rsid w:val="00C2355C"/>
    <w:rsid w:val="00C23598"/>
    <w:rsid w:val="00C23670"/>
    <w:rsid w:val="00C23699"/>
    <w:rsid w:val="00C237AB"/>
    <w:rsid w:val="00C2383B"/>
    <w:rsid w:val="00C238FE"/>
    <w:rsid w:val="00C23909"/>
    <w:rsid w:val="00C2397D"/>
    <w:rsid w:val="00C239BB"/>
    <w:rsid w:val="00C239DC"/>
    <w:rsid w:val="00C23ACD"/>
    <w:rsid w:val="00C23BC2"/>
    <w:rsid w:val="00C23C48"/>
    <w:rsid w:val="00C23C61"/>
    <w:rsid w:val="00C23C6D"/>
    <w:rsid w:val="00C23CBD"/>
    <w:rsid w:val="00C23CEA"/>
    <w:rsid w:val="00C23D05"/>
    <w:rsid w:val="00C23D9F"/>
    <w:rsid w:val="00C23DCF"/>
    <w:rsid w:val="00C23E2E"/>
    <w:rsid w:val="00C23E91"/>
    <w:rsid w:val="00C23EE0"/>
    <w:rsid w:val="00C23EF2"/>
    <w:rsid w:val="00C23F4B"/>
    <w:rsid w:val="00C23FE9"/>
    <w:rsid w:val="00C24024"/>
    <w:rsid w:val="00C24056"/>
    <w:rsid w:val="00C240E7"/>
    <w:rsid w:val="00C24144"/>
    <w:rsid w:val="00C24149"/>
    <w:rsid w:val="00C24186"/>
    <w:rsid w:val="00C24238"/>
    <w:rsid w:val="00C2423D"/>
    <w:rsid w:val="00C243AF"/>
    <w:rsid w:val="00C24457"/>
    <w:rsid w:val="00C24557"/>
    <w:rsid w:val="00C24589"/>
    <w:rsid w:val="00C24696"/>
    <w:rsid w:val="00C246AD"/>
    <w:rsid w:val="00C24725"/>
    <w:rsid w:val="00C2485C"/>
    <w:rsid w:val="00C24870"/>
    <w:rsid w:val="00C248A8"/>
    <w:rsid w:val="00C248B5"/>
    <w:rsid w:val="00C24922"/>
    <w:rsid w:val="00C24957"/>
    <w:rsid w:val="00C24985"/>
    <w:rsid w:val="00C249DC"/>
    <w:rsid w:val="00C249F7"/>
    <w:rsid w:val="00C24AB2"/>
    <w:rsid w:val="00C24ABA"/>
    <w:rsid w:val="00C24B22"/>
    <w:rsid w:val="00C24BEB"/>
    <w:rsid w:val="00C24C5E"/>
    <w:rsid w:val="00C24CB1"/>
    <w:rsid w:val="00C24D0D"/>
    <w:rsid w:val="00C24DAB"/>
    <w:rsid w:val="00C24DE7"/>
    <w:rsid w:val="00C24DFB"/>
    <w:rsid w:val="00C24E49"/>
    <w:rsid w:val="00C24EAB"/>
    <w:rsid w:val="00C24ED8"/>
    <w:rsid w:val="00C24EDF"/>
    <w:rsid w:val="00C24FD3"/>
    <w:rsid w:val="00C25090"/>
    <w:rsid w:val="00C250B0"/>
    <w:rsid w:val="00C250B8"/>
    <w:rsid w:val="00C25169"/>
    <w:rsid w:val="00C2518A"/>
    <w:rsid w:val="00C251D9"/>
    <w:rsid w:val="00C25204"/>
    <w:rsid w:val="00C2527D"/>
    <w:rsid w:val="00C25292"/>
    <w:rsid w:val="00C2540A"/>
    <w:rsid w:val="00C254A0"/>
    <w:rsid w:val="00C25559"/>
    <w:rsid w:val="00C255F2"/>
    <w:rsid w:val="00C2560C"/>
    <w:rsid w:val="00C25727"/>
    <w:rsid w:val="00C2585B"/>
    <w:rsid w:val="00C25873"/>
    <w:rsid w:val="00C258AD"/>
    <w:rsid w:val="00C258B8"/>
    <w:rsid w:val="00C25A16"/>
    <w:rsid w:val="00C25AE8"/>
    <w:rsid w:val="00C25B64"/>
    <w:rsid w:val="00C25BD8"/>
    <w:rsid w:val="00C25C64"/>
    <w:rsid w:val="00C25D0D"/>
    <w:rsid w:val="00C25E87"/>
    <w:rsid w:val="00C25F7A"/>
    <w:rsid w:val="00C25F7C"/>
    <w:rsid w:val="00C25F7F"/>
    <w:rsid w:val="00C25FBE"/>
    <w:rsid w:val="00C26089"/>
    <w:rsid w:val="00C260F6"/>
    <w:rsid w:val="00C26129"/>
    <w:rsid w:val="00C26172"/>
    <w:rsid w:val="00C261D4"/>
    <w:rsid w:val="00C262B7"/>
    <w:rsid w:val="00C262BC"/>
    <w:rsid w:val="00C262FF"/>
    <w:rsid w:val="00C2637C"/>
    <w:rsid w:val="00C26395"/>
    <w:rsid w:val="00C263BF"/>
    <w:rsid w:val="00C2649B"/>
    <w:rsid w:val="00C264FC"/>
    <w:rsid w:val="00C26502"/>
    <w:rsid w:val="00C26704"/>
    <w:rsid w:val="00C26787"/>
    <w:rsid w:val="00C26788"/>
    <w:rsid w:val="00C26869"/>
    <w:rsid w:val="00C268DF"/>
    <w:rsid w:val="00C26923"/>
    <w:rsid w:val="00C26A59"/>
    <w:rsid w:val="00C26A71"/>
    <w:rsid w:val="00C26C11"/>
    <w:rsid w:val="00C26D1B"/>
    <w:rsid w:val="00C26F2A"/>
    <w:rsid w:val="00C26F5E"/>
    <w:rsid w:val="00C271F0"/>
    <w:rsid w:val="00C2721E"/>
    <w:rsid w:val="00C2723E"/>
    <w:rsid w:val="00C272AF"/>
    <w:rsid w:val="00C27310"/>
    <w:rsid w:val="00C27339"/>
    <w:rsid w:val="00C27366"/>
    <w:rsid w:val="00C27388"/>
    <w:rsid w:val="00C273B6"/>
    <w:rsid w:val="00C27416"/>
    <w:rsid w:val="00C2742A"/>
    <w:rsid w:val="00C2758A"/>
    <w:rsid w:val="00C2758B"/>
    <w:rsid w:val="00C275A8"/>
    <w:rsid w:val="00C27777"/>
    <w:rsid w:val="00C2778D"/>
    <w:rsid w:val="00C277AB"/>
    <w:rsid w:val="00C27822"/>
    <w:rsid w:val="00C2792E"/>
    <w:rsid w:val="00C27A38"/>
    <w:rsid w:val="00C27A6E"/>
    <w:rsid w:val="00C27AB1"/>
    <w:rsid w:val="00C27B47"/>
    <w:rsid w:val="00C27C37"/>
    <w:rsid w:val="00C27CFF"/>
    <w:rsid w:val="00C27DA5"/>
    <w:rsid w:val="00C27DE6"/>
    <w:rsid w:val="00C27E30"/>
    <w:rsid w:val="00C27E4C"/>
    <w:rsid w:val="00C27E7E"/>
    <w:rsid w:val="00C27F6B"/>
    <w:rsid w:val="00C27F72"/>
    <w:rsid w:val="00C27F97"/>
    <w:rsid w:val="00C300D2"/>
    <w:rsid w:val="00C3010F"/>
    <w:rsid w:val="00C30172"/>
    <w:rsid w:val="00C301A5"/>
    <w:rsid w:val="00C3023C"/>
    <w:rsid w:val="00C30259"/>
    <w:rsid w:val="00C303EE"/>
    <w:rsid w:val="00C30480"/>
    <w:rsid w:val="00C30496"/>
    <w:rsid w:val="00C304DF"/>
    <w:rsid w:val="00C30568"/>
    <w:rsid w:val="00C30575"/>
    <w:rsid w:val="00C30613"/>
    <w:rsid w:val="00C30615"/>
    <w:rsid w:val="00C30784"/>
    <w:rsid w:val="00C307CD"/>
    <w:rsid w:val="00C3088D"/>
    <w:rsid w:val="00C308C6"/>
    <w:rsid w:val="00C3091F"/>
    <w:rsid w:val="00C30966"/>
    <w:rsid w:val="00C30A20"/>
    <w:rsid w:val="00C30A60"/>
    <w:rsid w:val="00C30AAB"/>
    <w:rsid w:val="00C30B2C"/>
    <w:rsid w:val="00C30BB6"/>
    <w:rsid w:val="00C30C32"/>
    <w:rsid w:val="00C30C44"/>
    <w:rsid w:val="00C30CE4"/>
    <w:rsid w:val="00C30CFA"/>
    <w:rsid w:val="00C30D9A"/>
    <w:rsid w:val="00C30DAF"/>
    <w:rsid w:val="00C30DB8"/>
    <w:rsid w:val="00C30E1D"/>
    <w:rsid w:val="00C30E64"/>
    <w:rsid w:val="00C30EEE"/>
    <w:rsid w:val="00C30F42"/>
    <w:rsid w:val="00C30F62"/>
    <w:rsid w:val="00C31006"/>
    <w:rsid w:val="00C310A1"/>
    <w:rsid w:val="00C310B0"/>
    <w:rsid w:val="00C31116"/>
    <w:rsid w:val="00C31193"/>
    <w:rsid w:val="00C311AD"/>
    <w:rsid w:val="00C311E6"/>
    <w:rsid w:val="00C312CB"/>
    <w:rsid w:val="00C31322"/>
    <w:rsid w:val="00C3133F"/>
    <w:rsid w:val="00C31376"/>
    <w:rsid w:val="00C313FC"/>
    <w:rsid w:val="00C3142C"/>
    <w:rsid w:val="00C3144E"/>
    <w:rsid w:val="00C314BA"/>
    <w:rsid w:val="00C31538"/>
    <w:rsid w:val="00C31610"/>
    <w:rsid w:val="00C31626"/>
    <w:rsid w:val="00C316DC"/>
    <w:rsid w:val="00C316E0"/>
    <w:rsid w:val="00C31774"/>
    <w:rsid w:val="00C3177F"/>
    <w:rsid w:val="00C3182B"/>
    <w:rsid w:val="00C31864"/>
    <w:rsid w:val="00C3188D"/>
    <w:rsid w:val="00C31A0C"/>
    <w:rsid w:val="00C31A29"/>
    <w:rsid w:val="00C31ADE"/>
    <w:rsid w:val="00C31C5E"/>
    <w:rsid w:val="00C31CA0"/>
    <w:rsid w:val="00C31CB5"/>
    <w:rsid w:val="00C31D12"/>
    <w:rsid w:val="00C31DAD"/>
    <w:rsid w:val="00C31E0D"/>
    <w:rsid w:val="00C31E84"/>
    <w:rsid w:val="00C31F5F"/>
    <w:rsid w:val="00C31FEB"/>
    <w:rsid w:val="00C32104"/>
    <w:rsid w:val="00C32141"/>
    <w:rsid w:val="00C32288"/>
    <w:rsid w:val="00C322C2"/>
    <w:rsid w:val="00C322E7"/>
    <w:rsid w:val="00C323E6"/>
    <w:rsid w:val="00C32557"/>
    <w:rsid w:val="00C325A5"/>
    <w:rsid w:val="00C3260D"/>
    <w:rsid w:val="00C32694"/>
    <w:rsid w:val="00C3276D"/>
    <w:rsid w:val="00C3278B"/>
    <w:rsid w:val="00C32793"/>
    <w:rsid w:val="00C32800"/>
    <w:rsid w:val="00C32847"/>
    <w:rsid w:val="00C32850"/>
    <w:rsid w:val="00C3285E"/>
    <w:rsid w:val="00C3287D"/>
    <w:rsid w:val="00C328B9"/>
    <w:rsid w:val="00C32949"/>
    <w:rsid w:val="00C32A69"/>
    <w:rsid w:val="00C32BFE"/>
    <w:rsid w:val="00C32C3B"/>
    <w:rsid w:val="00C32DBA"/>
    <w:rsid w:val="00C32E61"/>
    <w:rsid w:val="00C32ECC"/>
    <w:rsid w:val="00C32F1A"/>
    <w:rsid w:val="00C32F32"/>
    <w:rsid w:val="00C32FA5"/>
    <w:rsid w:val="00C32FD4"/>
    <w:rsid w:val="00C32FFB"/>
    <w:rsid w:val="00C3309E"/>
    <w:rsid w:val="00C330C8"/>
    <w:rsid w:val="00C330F2"/>
    <w:rsid w:val="00C3312A"/>
    <w:rsid w:val="00C331B6"/>
    <w:rsid w:val="00C331C7"/>
    <w:rsid w:val="00C3321C"/>
    <w:rsid w:val="00C3324C"/>
    <w:rsid w:val="00C33264"/>
    <w:rsid w:val="00C3326A"/>
    <w:rsid w:val="00C332AF"/>
    <w:rsid w:val="00C33330"/>
    <w:rsid w:val="00C3340A"/>
    <w:rsid w:val="00C3341D"/>
    <w:rsid w:val="00C33462"/>
    <w:rsid w:val="00C33501"/>
    <w:rsid w:val="00C33538"/>
    <w:rsid w:val="00C33579"/>
    <w:rsid w:val="00C33581"/>
    <w:rsid w:val="00C335B5"/>
    <w:rsid w:val="00C335E2"/>
    <w:rsid w:val="00C33607"/>
    <w:rsid w:val="00C33634"/>
    <w:rsid w:val="00C33683"/>
    <w:rsid w:val="00C3374A"/>
    <w:rsid w:val="00C3375C"/>
    <w:rsid w:val="00C3383B"/>
    <w:rsid w:val="00C3385C"/>
    <w:rsid w:val="00C3393C"/>
    <w:rsid w:val="00C33A04"/>
    <w:rsid w:val="00C33A70"/>
    <w:rsid w:val="00C33A95"/>
    <w:rsid w:val="00C33AC2"/>
    <w:rsid w:val="00C33B03"/>
    <w:rsid w:val="00C33C15"/>
    <w:rsid w:val="00C33C53"/>
    <w:rsid w:val="00C33CDB"/>
    <w:rsid w:val="00C33CDE"/>
    <w:rsid w:val="00C33D2D"/>
    <w:rsid w:val="00C33D31"/>
    <w:rsid w:val="00C33D3C"/>
    <w:rsid w:val="00C33F63"/>
    <w:rsid w:val="00C33FAA"/>
    <w:rsid w:val="00C33FF0"/>
    <w:rsid w:val="00C340B8"/>
    <w:rsid w:val="00C340ED"/>
    <w:rsid w:val="00C340F4"/>
    <w:rsid w:val="00C3415A"/>
    <w:rsid w:val="00C341F6"/>
    <w:rsid w:val="00C342FE"/>
    <w:rsid w:val="00C3430E"/>
    <w:rsid w:val="00C344E1"/>
    <w:rsid w:val="00C3455E"/>
    <w:rsid w:val="00C345A9"/>
    <w:rsid w:val="00C346C9"/>
    <w:rsid w:val="00C346D2"/>
    <w:rsid w:val="00C34731"/>
    <w:rsid w:val="00C347D4"/>
    <w:rsid w:val="00C34824"/>
    <w:rsid w:val="00C34890"/>
    <w:rsid w:val="00C34926"/>
    <w:rsid w:val="00C34939"/>
    <w:rsid w:val="00C34963"/>
    <w:rsid w:val="00C34B79"/>
    <w:rsid w:val="00C34C4F"/>
    <w:rsid w:val="00C34C7F"/>
    <w:rsid w:val="00C34CAB"/>
    <w:rsid w:val="00C34CC7"/>
    <w:rsid w:val="00C34D41"/>
    <w:rsid w:val="00C34E57"/>
    <w:rsid w:val="00C34E85"/>
    <w:rsid w:val="00C34F18"/>
    <w:rsid w:val="00C34F1A"/>
    <w:rsid w:val="00C34FAB"/>
    <w:rsid w:val="00C34FF4"/>
    <w:rsid w:val="00C3500E"/>
    <w:rsid w:val="00C35254"/>
    <w:rsid w:val="00C3525B"/>
    <w:rsid w:val="00C35299"/>
    <w:rsid w:val="00C35302"/>
    <w:rsid w:val="00C35373"/>
    <w:rsid w:val="00C35433"/>
    <w:rsid w:val="00C35463"/>
    <w:rsid w:val="00C354B9"/>
    <w:rsid w:val="00C354F7"/>
    <w:rsid w:val="00C355A5"/>
    <w:rsid w:val="00C35697"/>
    <w:rsid w:val="00C356A5"/>
    <w:rsid w:val="00C3572F"/>
    <w:rsid w:val="00C3574D"/>
    <w:rsid w:val="00C3575E"/>
    <w:rsid w:val="00C357AA"/>
    <w:rsid w:val="00C3582A"/>
    <w:rsid w:val="00C35889"/>
    <w:rsid w:val="00C3589F"/>
    <w:rsid w:val="00C358FA"/>
    <w:rsid w:val="00C35919"/>
    <w:rsid w:val="00C359E4"/>
    <w:rsid w:val="00C35A86"/>
    <w:rsid w:val="00C35A8F"/>
    <w:rsid w:val="00C35AB6"/>
    <w:rsid w:val="00C35AC3"/>
    <w:rsid w:val="00C35AC4"/>
    <w:rsid w:val="00C35AF1"/>
    <w:rsid w:val="00C35B98"/>
    <w:rsid w:val="00C35DB1"/>
    <w:rsid w:val="00C35DBE"/>
    <w:rsid w:val="00C35DF9"/>
    <w:rsid w:val="00C35E28"/>
    <w:rsid w:val="00C35F43"/>
    <w:rsid w:val="00C35F68"/>
    <w:rsid w:val="00C35F7F"/>
    <w:rsid w:val="00C36106"/>
    <w:rsid w:val="00C36120"/>
    <w:rsid w:val="00C3614D"/>
    <w:rsid w:val="00C361B5"/>
    <w:rsid w:val="00C36293"/>
    <w:rsid w:val="00C363AF"/>
    <w:rsid w:val="00C363FA"/>
    <w:rsid w:val="00C36585"/>
    <w:rsid w:val="00C36639"/>
    <w:rsid w:val="00C36692"/>
    <w:rsid w:val="00C36693"/>
    <w:rsid w:val="00C366C3"/>
    <w:rsid w:val="00C36835"/>
    <w:rsid w:val="00C36849"/>
    <w:rsid w:val="00C368A8"/>
    <w:rsid w:val="00C36B0C"/>
    <w:rsid w:val="00C36BAA"/>
    <w:rsid w:val="00C36C22"/>
    <w:rsid w:val="00C36C6B"/>
    <w:rsid w:val="00C36CCB"/>
    <w:rsid w:val="00C36D4C"/>
    <w:rsid w:val="00C36D78"/>
    <w:rsid w:val="00C36E00"/>
    <w:rsid w:val="00C36F26"/>
    <w:rsid w:val="00C36FCB"/>
    <w:rsid w:val="00C370BF"/>
    <w:rsid w:val="00C370D3"/>
    <w:rsid w:val="00C3713C"/>
    <w:rsid w:val="00C3724C"/>
    <w:rsid w:val="00C37321"/>
    <w:rsid w:val="00C373E3"/>
    <w:rsid w:val="00C37529"/>
    <w:rsid w:val="00C375E3"/>
    <w:rsid w:val="00C375EE"/>
    <w:rsid w:val="00C37606"/>
    <w:rsid w:val="00C37639"/>
    <w:rsid w:val="00C3765B"/>
    <w:rsid w:val="00C37716"/>
    <w:rsid w:val="00C377F2"/>
    <w:rsid w:val="00C3786B"/>
    <w:rsid w:val="00C378AC"/>
    <w:rsid w:val="00C378F5"/>
    <w:rsid w:val="00C37A04"/>
    <w:rsid w:val="00C37AC7"/>
    <w:rsid w:val="00C37BB0"/>
    <w:rsid w:val="00C37C17"/>
    <w:rsid w:val="00C37CA9"/>
    <w:rsid w:val="00C37CDF"/>
    <w:rsid w:val="00C37DC7"/>
    <w:rsid w:val="00C37E46"/>
    <w:rsid w:val="00C37E51"/>
    <w:rsid w:val="00C37E5B"/>
    <w:rsid w:val="00C37EC2"/>
    <w:rsid w:val="00C37F40"/>
    <w:rsid w:val="00C37F4F"/>
    <w:rsid w:val="00C37F7C"/>
    <w:rsid w:val="00C4003C"/>
    <w:rsid w:val="00C40044"/>
    <w:rsid w:val="00C4007E"/>
    <w:rsid w:val="00C400CA"/>
    <w:rsid w:val="00C400EB"/>
    <w:rsid w:val="00C4013C"/>
    <w:rsid w:val="00C40159"/>
    <w:rsid w:val="00C401AC"/>
    <w:rsid w:val="00C401C0"/>
    <w:rsid w:val="00C401FF"/>
    <w:rsid w:val="00C40229"/>
    <w:rsid w:val="00C4030F"/>
    <w:rsid w:val="00C403FB"/>
    <w:rsid w:val="00C40484"/>
    <w:rsid w:val="00C406FB"/>
    <w:rsid w:val="00C407EE"/>
    <w:rsid w:val="00C40858"/>
    <w:rsid w:val="00C40863"/>
    <w:rsid w:val="00C408E1"/>
    <w:rsid w:val="00C408F0"/>
    <w:rsid w:val="00C40915"/>
    <w:rsid w:val="00C409D6"/>
    <w:rsid w:val="00C40AAE"/>
    <w:rsid w:val="00C40AB0"/>
    <w:rsid w:val="00C40AF4"/>
    <w:rsid w:val="00C40C10"/>
    <w:rsid w:val="00C40C72"/>
    <w:rsid w:val="00C40E42"/>
    <w:rsid w:val="00C40E6E"/>
    <w:rsid w:val="00C40E83"/>
    <w:rsid w:val="00C40EA6"/>
    <w:rsid w:val="00C40F4F"/>
    <w:rsid w:val="00C40FA5"/>
    <w:rsid w:val="00C41060"/>
    <w:rsid w:val="00C4113D"/>
    <w:rsid w:val="00C41140"/>
    <w:rsid w:val="00C41295"/>
    <w:rsid w:val="00C41390"/>
    <w:rsid w:val="00C414BC"/>
    <w:rsid w:val="00C415CD"/>
    <w:rsid w:val="00C4162A"/>
    <w:rsid w:val="00C41655"/>
    <w:rsid w:val="00C41664"/>
    <w:rsid w:val="00C41673"/>
    <w:rsid w:val="00C416D4"/>
    <w:rsid w:val="00C41704"/>
    <w:rsid w:val="00C41788"/>
    <w:rsid w:val="00C417D0"/>
    <w:rsid w:val="00C418AE"/>
    <w:rsid w:val="00C418F0"/>
    <w:rsid w:val="00C4195E"/>
    <w:rsid w:val="00C419C8"/>
    <w:rsid w:val="00C41A08"/>
    <w:rsid w:val="00C41AFA"/>
    <w:rsid w:val="00C41B35"/>
    <w:rsid w:val="00C41B42"/>
    <w:rsid w:val="00C41BFC"/>
    <w:rsid w:val="00C41CF8"/>
    <w:rsid w:val="00C41D60"/>
    <w:rsid w:val="00C41D7C"/>
    <w:rsid w:val="00C41D97"/>
    <w:rsid w:val="00C41E02"/>
    <w:rsid w:val="00C41E1E"/>
    <w:rsid w:val="00C41EA6"/>
    <w:rsid w:val="00C41F45"/>
    <w:rsid w:val="00C41FAE"/>
    <w:rsid w:val="00C41FB5"/>
    <w:rsid w:val="00C41FC4"/>
    <w:rsid w:val="00C420AE"/>
    <w:rsid w:val="00C421C2"/>
    <w:rsid w:val="00C42213"/>
    <w:rsid w:val="00C422BF"/>
    <w:rsid w:val="00C422CD"/>
    <w:rsid w:val="00C42362"/>
    <w:rsid w:val="00C424C7"/>
    <w:rsid w:val="00C42545"/>
    <w:rsid w:val="00C42595"/>
    <w:rsid w:val="00C425CE"/>
    <w:rsid w:val="00C425D1"/>
    <w:rsid w:val="00C42687"/>
    <w:rsid w:val="00C4269F"/>
    <w:rsid w:val="00C426CC"/>
    <w:rsid w:val="00C42728"/>
    <w:rsid w:val="00C42840"/>
    <w:rsid w:val="00C42850"/>
    <w:rsid w:val="00C42921"/>
    <w:rsid w:val="00C42932"/>
    <w:rsid w:val="00C4295E"/>
    <w:rsid w:val="00C42997"/>
    <w:rsid w:val="00C429E5"/>
    <w:rsid w:val="00C42B06"/>
    <w:rsid w:val="00C42B60"/>
    <w:rsid w:val="00C42BEE"/>
    <w:rsid w:val="00C42C98"/>
    <w:rsid w:val="00C42CF1"/>
    <w:rsid w:val="00C42D1E"/>
    <w:rsid w:val="00C42D71"/>
    <w:rsid w:val="00C42DAE"/>
    <w:rsid w:val="00C42E03"/>
    <w:rsid w:val="00C42EC4"/>
    <w:rsid w:val="00C42ED0"/>
    <w:rsid w:val="00C42EEC"/>
    <w:rsid w:val="00C42F1B"/>
    <w:rsid w:val="00C42F1F"/>
    <w:rsid w:val="00C42F7B"/>
    <w:rsid w:val="00C42FCB"/>
    <w:rsid w:val="00C4305B"/>
    <w:rsid w:val="00C430F5"/>
    <w:rsid w:val="00C4318B"/>
    <w:rsid w:val="00C431F2"/>
    <w:rsid w:val="00C432FE"/>
    <w:rsid w:val="00C43317"/>
    <w:rsid w:val="00C4332F"/>
    <w:rsid w:val="00C43349"/>
    <w:rsid w:val="00C43364"/>
    <w:rsid w:val="00C4336C"/>
    <w:rsid w:val="00C4340F"/>
    <w:rsid w:val="00C43460"/>
    <w:rsid w:val="00C434B4"/>
    <w:rsid w:val="00C43538"/>
    <w:rsid w:val="00C43578"/>
    <w:rsid w:val="00C436EA"/>
    <w:rsid w:val="00C43707"/>
    <w:rsid w:val="00C43771"/>
    <w:rsid w:val="00C437D1"/>
    <w:rsid w:val="00C4388A"/>
    <w:rsid w:val="00C438DE"/>
    <w:rsid w:val="00C4396F"/>
    <w:rsid w:val="00C43B05"/>
    <w:rsid w:val="00C43B0A"/>
    <w:rsid w:val="00C43B9A"/>
    <w:rsid w:val="00C43BC2"/>
    <w:rsid w:val="00C43BE6"/>
    <w:rsid w:val="00C43C0F"/>
    <w:rsid w:val="00C43C66"/>
    <w:rsid w:val="00C43C84"/>
    <w:rsid w:val="00C43C8D"/>
    <w:rsid w:val="00C43CE2"/>
    <w:rsid w:val="00C43E0E"/>
    <w:rsid w:val="00C43E43"/>
    <w:rsid w:val="00C43EBA"/>
    <w:rsid w:val="00C43F5D"/>
    <w:rsid w:val="00C43F80"/>
    <w:rsid w:val="00C440D4"/>
    <w:rsid w:val="00C4413C"/>
    <w:rsid w:val="00C44155"/>
    <w:rsid w:val="00C441CD"/>
    <w:rsid w:val="00C44273"/>
    <w:rsid w:val="00C4429E"/>
    <w:rsid w:val="00C44375"/>
    <w:rsid w:val="00C4437F"/>
    <w:rsid w:val="00C443B4"/>
    <w:rsid w:val="00C443E9"/>
    <w:rsid w:val="00C44538"/>
    <w:rsid w:val="00C44563"/>
    <w:rsid w:val="00C445BE"/>
    <w:rsid w:val="00C44607"/>
    <w:rsid w:val="00C44647"/>
    <w:rsid w:val="00C44750"/>
    <w:rsid w:val="00C447A8"/>
    <w:rsid w:val="00C447FC"/>
    <w:rsid w:val="00C44818"/>
    <w:rsid w:val="00C4487D"/>
    <w:rsid w:val="00C44925"/>
    <w:rsid w:val="00C4498B"/>
    <w:rsid w:val="00C449CD"/>
    <w:rsid w:val="00C44A57"/>
    <w:rsid w:val="00C44B9E"/>
    <w:rsid w:val="00C44BD6"/>
    <w:rsid w:val="00C44C0A"/>
    <w:rsid w:val="00C44CC8"/>
    <w:rsid w:val="00C44DE6"/>
    <w:rsid w:val="00C44DF1"/>
    <w:rsid w:val="00C44F6E"/>
    <w:rsid w:val="00C44FAF"/>
    <w:rsid w:val="00C4500B"/>
    <w:rsid w:val="00C45027"/>
    <w:rsid w:val="00C45064"/>
    <w:rsid w:val="00C450B6"/>
    <w:rsid w:val="00C450EC"/>
    <w:rsid w:val="00C45179"/>
    <w:rsid w:val="00C4517E"/>
    <w:rsid w:val="00C451EC"/>
    <w:rsid w:val="00C452FE"/>
    <w:rsid w:val="00C454D9"/>
    <w:rsid w:val="00C456DF"/>
    <w:rsid w:val="00C456F4"/>
    <w:rsid w:val="00C4580C"/>
    <w:rsid w:val="00C45824"/>
    <w:rsid w:val="00C4585B"/>
    <w:rsid w:val="00C458A4"/>
    <w:rsid w:val="00C458BE"/>
    <w:rsid w:val="00C4593A"/>
    <w:rsid w:val="00C45A1E"/>
    <w:rsid w:val="00C45AB8"/>
    <w:rsid w:val="00C45AEC"/>
    <w:rsid w:val="00C45B69"/>
    <w:rsid w:val="00C45BDB"/>
    <w:rsid w:val="00C45CB8"/>
    <w:rsid w:val="00C45D6D"/>
    <w:rsid w:val="00C45E6E"/>
    <w:rsid w:val="00C45E91"/>
    <w:rsid w:val="00C45F7F"/>
    <w:rsid w:val="00C45FB2"/>
    <w:rsid w:val="00C460BE"/>
    <w:rsid w:val="00C460DE"/>
    <w:rsid w:val="00C460FE"/>
    <w:rsid w:val="00C4627D"/>
    <w:rsid w:val="00C462D1"/>
    <w:rsid w:val="00C46321"/>
    <w:rsid w:val="00C46398"/>
    <w:rsid w:val="00C463BF"/>
    <w:rsid w:val="00C4642E"/>
    <w:rsid w:val="00C4647C"/>
    <w:rsid w:val="00C464BA"/>
    <w:rsid w:val="00C465E7"/>
    <w:rsid w:val="00C466E8"/>
    <w:rsid w:val="00C4678B"/>
    <w:rsid w:val="00C467F1"/>
    <w:rsid w:val="00C46985"/>
    <w:rsid w:val="00C469BD"/>
    <w:rsid w:val="00C469D0"/>
    <w:rsid w:val="00C46A70"/>
    <w:rsid w:val="00C46AC4"/>
    <w:rsid w:val="00C46AD0"/>
    <w:rsid w:val="00C46B76"/>
    <w:rsid w:val="00C46BA3"/>
    <w:rsid w:val="00C46BD6"/>
    <w:rsid w:val="00C46C0B"/>
    <w:rsid w:val="00C46C0D"/>
    <w:rsid w:val="00C46CAC"/>
    <w:rsid w:val="00C46E36"/>
    <w:rsid w:val="00C46E87"/>
    <w:rsid w:val="00C46F0F"/>
    <w:rsid w:val="00C46F60"/>
    <w:rsid w:val="00C47038"/>
    <w:rsid w:val="00C4714E"/>
    <w:rsid w:val="00C471F7"/>
    <w:rsid w:val="00C47233"/>
    <w:rsid w:val="00C473AB"/>
    <w:rsid w:val="00C47508"/>
    <w:rsid w:val="00C47540"/>
    <w:rsid w:val="00C47552"/>
    <w:rsid w:val="00C475E3"/>
    <w:rsid w:val="00C476D0"/>
    <w:rsid w:val="00C47795"/>
    <w:rsid w:val="00C477BC"/>
    <w:rsid w:val="00C477BF"/>
    <w:rsid w:val="00C477FC"/>
    <w:rsid w:val="00C47802"/>
    <w:rsid w:val="00C47841"/>
    <w:rsid w:val="00C47927"/>
    <w:rsid w:val="00C4794B"/>
    <w:rsid w:val="00C47A24"/>
    <w:rsid w:val="00C47B2F"/>
    <w:rsid w:val="00C47B76"/>
    <w:rsid w:val="00C47B77"/>
    <w:rsid w:val="00C47BD7"/>
    <w:rsid w:val="00C47C8A"/>
    <w:rsid w:val="00C47D44"/>
    <w:rsid w:val="00C47D88"/>
    <w:rsid w:val="00C47E55"/>
    <w:rsid w:val="00C47E9A"/>
    <w:rsid w:val="00C47EDF"/>
    <w:rsid w:val="00C47F57"/>
    <w:rsid w:val="00C47FE0"/>
    <w:rsid w:val="00C5007B"/>
    <w:rsid w:val="00C50109"/>
    <w:rsid w:val="00C501A2"/>
    <w:rsid w:val="00C501AE"/>
    <w:rsid w:val="00C501E0"/>
    <w:rsid w:val="00C5020C"/>
    <w:rsid w:val="00C5028F"/>
    <w:rsid w:val="00C50388"/>
    <w:rsid w:val="00C503A2"/>
    <w:rsid w:val="00C50450"/>
    <w:rsid w:val="00C5048A"/>
    <w:rsid w:val="00C504C3"/>
    <w:rsid w:val="00C5054F"/>
    <w:rsid w:val="00C50602"/>
    <w:rsid w:val="00C5078A"/>
    <w:rsid w:val="00C508C9"/>
    <w:rsid w:val="00C50A5D"/>
    <w:rsid w:val="00C50AB1"/>
    <w:rsid w:val="00C50ABE"/>
    <w:rsid w:val="00C50AE9"/>
    <w:rsid w:val="00C50B96"/>
    <w:rsid w:val="00C50BCC"/>
    <w:rsid w:val="00C50D1E"/>
    <w:rsid w:val="00C50DC8"/>
    <w:rsid w:val="00C50DF2"/>
    <w:rsid w:val="00C50E0E"/>
    <w:rsid w:val="00C50F3A"/>
    <w:rsid w:val="00C50F44"/>
    <w:rsid w:val="00C50F72"/>
    <w:rsid w:val="00C50F88"/>
    <w:rsid w:val="00C50FB7"/>
    <w:rsid w:val="00C510AB"/>
    <w:rsid w:val="00C510D0"/>
    <w:rsid w:val="00C510E5"/>
    <w:rsid w:val="00C510FB"/>
    <w:rsid w:val="00C51119"/>
    <w:rsid w:val="00C511BD"/>
    <w:rsid w:val="00C511D2"/>
    <w:rsid w:val="00C5126E"/>
    <w:rsid w:val="00C512B2"/>
    <w:rsid w:val="00C512E8"/>
    <w:rsid w:val="00C51377"/>
    <w:rsid w:val="00C513A4"/>
    <w:rsid w:val="00C514BC"/>
    <w:rsid w:val="00C514F6"/>
    <w:rsid w:val="00C51577"/>
    <w:rsid w:val="00C51656"/>
    <w:rsid w:val="00C516A0"/>
    <w:rsid w:val="00C516E4"/>
    <w:rsid w:val="00C51739"/>
    <w:rsid w:val="00C5183E"/>
    <w:rsid w:val="00C51877"/>
    <w:rsid w:val="00C51893"/>
    <w:rsid w:val="00C518DA"/>
    <w:rsid w:val="00C5193E"/>
    <w:rsid w:val="00C51AAF"/>
    <w:rsid w:val="00C51B19"/>
    <w:rsid w:val="00C51B46"/>
    <w:rsid w:val="00C51B61"/>
    <w:rsid w:val="00C51B86"/>
    <w:rsid w:val="00C51BD4"/>
    <w:rsid w:val="00C51BF6"/>
    <w:rsid w:val="00C51C08"/>
    <w:rsid w:val="00C51CFE"/>
    <w:rsid w:val="00C51D3B"/>
    <w:rsid w:val="00C51D45"/>
    <w:rsid w:val="00C51D54"/>
    <w:rsid w:val="00C51DCD"/>
    <w:rsid w:val="00C51F72"/>
    <w:rsid w:val="00C51FBF"/>
    <w:rsid w:val="00C52041"/>
    <w:rsid w:val="00C520AB"/>
    <w:rsid w:val="00C520BB"/>
    <w:rsid w:val="00C520F2"/>
    <w:rsid w:val="00C520F6"/>
    <w:rsid w:val="00C52213"/>
    <w:rsid w:val="00C52257"/>
    <w:rsid w:val="00C522A7"/>
    <w:rsid w:val="00C522F0"/>
    <w:rsid w:val="00C52358"/>
    <w:rsid w:val="00C523AC"/>
    <w:rsid w:val="00C5273E"/>
    <w:rsid w:val="00C5275A"/>
    <w:rsid w:val="00C52779"/>
    <w:rsid w:val="00C527F0"/>
    <w:rsid w:val="00C527F2"/>
    <w:rsid w:val="00C528C2"/>
    <w:rsid w:val="00C528F1"/>
    <w:rsid w:val="00C52986"/>
    <w:rsid w:val="00C5298F"/>
    <w:rsid w:val="00C529B2"/>
    <w:rsid w:val="00C52A38"/>
    <w:rsid w:val="00C52B25"/>
    <w:rsid w:val="00C52B2B"/>
    <w:rsid w:val="00C52B6B"/>
    <w:rsid w:val="00C52BAE"/>
    <w:rsid w:val="00C52CE1"/>
    <w:rsid w:val="00C52D0C"/>
    <w:rsid w:val="00C52D2B"/>
    <w:rsid w:val="00C52E4D"/>
    <w:rsid w:val="00C52E60"/>
    <w:rsid w:val="00C52EB1"/>
    <w:rsid w:val="00C52EBA"/>
    <w:rsid w:val="00C52F25"/>
    <w:rsid w:val="00C52FBD"/>
    <w:rsid w:val="00C53018"/>
    <w:rsid w:val="00C53055"/>
    <w:rsid w:val="00C53082"/>
    <w:rsid w:val="00C530B3"/>
    <w:rsid w:val="00C530B8"/>
    <w:rsid w:val="00C531AB"/>
    <w:rsid w:val="00C531F1"/>
    <w:rsid w:val="00C5320C"/>
    <w:rsid w:val="00C5321E"/>
    <w:rsid w:val="00C5322E"/>
    <w:rsid w:val="00C532F5"/>
    <w:rsid w:val="00C5330B"/>
    <w:rsid w:val="00C5332E"/>
    <w:rsid w:val="00C533A9"/>
    <w:rsid w:val="00C53486"/>
    <w:rsid w:val="00C534EE"/>
    <w:rsid w:val="00C5350C"/>
    <w:rsid w:val="00C53535"/>
    <w:rsid w:val="00C53722"/>
    <w:rsid w:val="00C5372B"/>
    <w:rsid w:val="00C53790"/>
    <w:rsid w:val="00C53911"/>
    <w:rsid w:val="00C53935"/>
    <w:rsid w:val="00C53965"/>
    <w:rsid w:val="00C5396A"/>
    <w:rsid w:val="00C539AD"/>
    <w:rsid w:val="00C53A72"/>
    <w:rsid w:val="00C53B96"/>
    <w:rsid w:val="00C53C52"/>
    <w:rsid w:val="00C53C7F"/>
    <w:rsid w:val="00C53CB3"/>
    <w:rsid w:val="00C53DA4"/>
    <w:rsid w:val="00C53EF6"/>
    <w:rsid w:val="00C53F29"/>
    <w:rsid w:val="00C53F44"/>
    <w:rsid w:val="00C53F9F"/>
    <w:rsid w:val="00C53FC8"/>
    <w:rsid w:val="00C540AC"/>
    <w:rsid w:val="00C54185"/>
    <w:rsid w:val="00C541E3"/>
    <w:rsid w:val="00C541F4"/>
    <w:rsid w:val="00C5421C"/>
    <w:rsid w:val="00C54227"/>
    <w:rsid w:val="00C542BB"/>
    <w:rsid w:val="00C543FF"/>
    <w:rsid w:val="00C54459"/>
    <w:rsid w:val="00C544D8"/>
    <w:rsid w:val="00C5457D"/>
    <w:rsid w:val="00C545BB"/>
    <w:rsid w:val="00C545FC"/>
    <w:rsid w:val="00C546D7"/>
    <w:rsid w:val="00C547F3"/>
    <w:rsid w:val="00C54810"/>
    <w:rsid w:val="00C54875"/>
    <w:rsid w:val="00C548A3"/>
    <w:rsid w:val="00C548E5"/>
    <w:rsid w:val="00C549AC"/>
    <w:rsid w:val="00C54B37"/>
    <w:rsid w:val="00C54C3E"/>
    <w:rsid w:val="00C54D48"/>
    <w:rsid w:val="00C54D4A"/>
    <w:rsid w:val="00C54D68"/>
    <w:rsid w:val="00C54E91"/>
    <w:rsid w:val="00C54F5D"/>
    <w:rsid w:val="00C54FD3"/>
    <w:rsid w:val="00C54FF3"/>
    <w:rsid w:val="00C55012"/>
    <w:rsid w:val="00C5503D"/>
    <w:rsid w:val="00C55156"/>
    <w:rsid w:val="00C5516A"/>
    <w:rsid w:val="00C55186"/>
    <w:rsid w:val="00C551E7"/>
    <w:rsid w:val="00C55407"/>
    <w:rsid w:val="00C554D5"/>
    <w:rsid w:val="00C55575"/>
    <w:rsid w:val="00C555A5"/>
    <w:rsid w:val="00C55615"/>
    <w:rsid w:val="00C55646"/>
    <w:rsid w:val="00C5568D"/>
    <w:rsid w:val="00C556B4"/>
    <w:rsid w:val="00C5576B"/>
    <w:rsid w:val="00C557C4"/>
    <w:rsid w:val="00C55806"/>
    <w:rsid w:val="00C5581A"/>
    <w:rsid w:val="00C55863"/>
    <w:rsid w:val="00C55888"/>
    <w:rsid w:val="00C55AFD"/>
    <w:rsid w:val="00C55B27"/>
    <w:rsid w:val="00C55BB5"/>
    <w:rsid w:val="00C55C3A"/>
    <w:rsid w:val="00C55C59"/>
    <w:rsid w:val="00C55CDC"/>
    <w:rsid w:val="00C55D34"/>
    <w:rsid w:val="00C55D47"/>
    <w:rsid w:val="00C55DE2"/>
    <w:rsid w:val="00C5607B"/>
    <w:rsid w:val="00C56129"/>
    <w:rsid w:val="00C561E4"/>
    <w:rsid w:val="00C56283"/>
    <w:rsid w:val="00C5633C"/>
    <w:rsid w:val="00C5649A"/>
    <w:rsid w:val="00C56595"/>
    <w:rsid w:val="00C565A1"/>
    <w:rsid w:val="00C56602"/>
    <w:rsid w:val="00C5665B"/>
    <w:rsid w:val="00C567C6"/>
    <w:rsid w:val="00C5686B"/>
    <w:rsid w:val="00C56A79"/>
    <w:rsid w:val="00C56AF8"/>
    <w:rsid w:val="00C56B06"/>
    <w:rsid w:val="00C56BDA"/>
    <w:rsid w:val="00C56C75"/>
    <w:rsid w:val="00C56C77"/>
    <w:rsid w:val="00C56DB8"/>
    <w:rsid w:val="00C56DE0"/>
    <w:rsid w:val="00C56DFC"/>
    <w:rsid w:val="00C56E97"/>
    <w:rsid w:val="00C56F4C"/>
    <w:rsid w:val="00C56F7B"/>
    <w:rsid w:val="00C57026"/>
    <w:rsid w:val="00C57166"/>
    <w:rsid w:val="00C57197"/>
    <w:rsid w:val="00C571A6"/>
    <w:rsid w:val="00C5721B"/>
    <w:rsid w:val="00C57353"/>
    <w:rsid w:val="00C573EC"/>
    <w:rsid w:val="00C5749F"/>
    <w:rsid w:val="00C574FE"/>
    <w:rsid w:val="00C575E2"/>
    <w:rsid w:val="00C5760D"/>
    <w:rsid w:val="00C57640"/>
    <w:rsid w:val="00C57686"/>
    <w:rsid w:val="00C57690"/>
    <w:rsid w:val="00C5769F"/>
    <w:rsid w:val="00C576C3"/>
    <w:rsid w:val="00C576E3"/>
    <w:rsid w:val="00C579AF"/>
    <w:rsid w:val="00C57A14"/>
    <w:rsid w:val="00C57A20"/>
    <w:rsid w:val="00C57A48"/>
    <w:rsid w:val="00C57A5D"/>
    <w:rsid w:val="00C57AAF"/>
    <w:rsid w:val="00C57AE5"/>
    <w:rsid w:val="00C57B9D"/>
    <w:rsid w:val="00C57BD7"/>
    <w:rsid w:val="00C57C59"/>
    <w:rsid w:val="00C57C67"/>
    <w:rsid w:val="00C57C8C"/>
    <w:rsid w:val="00C57D28"/>
    <w:rsid w:val="00C57E52"/>
    <w:rsid w:val="00C57E5D"/>
    <w:rsid w:val="00C57E7F"/>
    <w:rsid w:val="00C57EDE"/>
    <w:rsid w:val="00C57F26"/>
    <w:rsid w:val="00C57F41"/>
    <w:rsid w:val="00C57FEB"/>
    <w:rsid w:val="00C60038"/>
    <w:rsid w:val="00C6006A"/>
    <w:rsid w:val="00C6008C"/>
    <w:rsid w:val="00C60112"/>
    <w:rsid w:val="00C60182"/>
    <w:rsid w:val="00C60190"/>
    <w:rsid w:val="00C60251"/>
    <w:rsid w:val="00C6028C"/>
    <w:rsid w:val="00C602CA"/>
    <w:rsid w:val="00C60334"/>
    <w:rsid w:val="00C604D3"/>
    <w:rsid w:val="00C604FE"/>
    <w:rsid w:val="00C60505"/>
    <w:rsid w:val="00C605A1"/>
    <w:rsid w:val="00C605E7"/>
    <w:rsid w:val="00C605FE"/>
    <w:rsid w:val="00C60622"/>
    <w:rsid w:val="00C60631"/>
    <w:rsid w:val="00C60696"/>
    <w:rsid w:val="00C60704"/>
    <w:rsid w:val="00C60776"/>
    <w:rsid w:val="00C6089A"/>
    <w:rsid w:val="00C608E1"/>
    <w:rsid w:val="00C60A08"/>
    <w:rsid w:val="00C60A19"/>
    <w:rsid w:val="00C60B59"/>
    <w:rsid w:val="00C60C2A"/>
    <w:rsid w:val="00C60D35"/>
    <w:rsid w:val="00C60E0D"/>
    <w:rsid w:val="00C60EB3"/>
    <w:rsid w:val="00C60F91"/>
    <w:rsid w:val="00C60FCE"/>
    <w:rsid w:val="00C61017"/>
    <w:rsid w:val="00C61039"/>
    <w:rsid w:val="00C6103A"/>
    <w:rsid w:val="00C61088"/>
    <w:rsid w:val="00C61099"/>
    <w:rsid w:val="00C611DF"/>
    <w:rsid w:val="00C61209"/>
    <w:rsid w:val="00C61262"/>
    <w:rsid w:val="00C61294"/>
    <w:rsid w:val="00C6134A"/>
    <w:rsid w:val="00C6146F"/>
    <w:rsid w:val="00C6154D"/>
    <w:rsid w:val="00C61587"/>
    <w:rsid w:val="00C61639"/>
    <w:rsid w:val="00C61686"/>
    <w:rsid w:val="00C6169C"/>
    <w:rsid w:val="00C61820"/>
    <w:rsid w:val="00C618AC"/>
    <w:rsid w:val="00C6194D"/>
    <w:rsid w:val="00C61985"/>
    <w:rsid w:val="00C619AC"/>
    <w:rsid w:val="00C619EC"/>
    <w:rsid w:val="00C61A0F"/>
    <w:rsid w:val="00C61AB1"/>
    <w:rsid w:val="00C61B75"/>
    <w:rsid w:val="00C61BFD"/>
    <w:rsid w:val="00C61C43"/>
    <w:rsid w:val="00C61CBD"/>
    <w:rsid w:val="00C61D22"/>
    <w:rsid w:val="00C61D25"/>
    <w:rsid w:val="00C61D80"/>
    <w:rsid w:val="00C61DE2"/>
    <w:rsid w:val="00C61EB6"/>
    <w:rsid w:val="00C61EC2"/>
    <w:rsid w:val="00C61ED6"/>
    <w:rsid w:val="00C61F3E"/>
    <w:rsid w:val="00C61FD2"/>
    <w:rsid w:val="00C6207D"/>
    <w:rsid w:val="00C620A3"/>
    <w:rsid w:val="00C620C0"/>
    <w:rsid w:val="00C620FD"/>
    <w:rsid w:val="00C62120"/>
    <w:rsid w:val="00C62263"/>
    <w:rsid w:val="00C62281"/>
    <w:rsid w:val="00C62303"/>
    <w:rsid w:val="00C62308"/>
    <w:rsid w:val="00C623DE"/>
    <w:rsid w:val="00C62433"/>
    <w:rsid w:val="00C624B4"/>
    <w:rsid w:val="00C62511"/>
    <w:rsid w:val="00C6254B"/>
    <w:rsid w:val="00C625B4"/>
    <w:rsid w:val="00C626F5"/>
    <w:rsid w:val="00C626F9"/>
    <w:rsid w:val="00C62733"/>
    <w:rsid w:val="00C6273D"/>
    <w:rsid w:val="00C627AE"/>
    <w:rsid w:val="00C6289F"/>
    <w:rsid w:val="00C628C8"/>
    <w:rsid w:val="00C62956"/>
    <w:rsid w:val="00C62984"/>
    <w:rsid w:val="00C629BE"/>
    <w:rsid w:val="00C629EC"/>
    <w:rsid w:val="00C62A60"/>
    <w:rsid w:val="00C62B5D"/>
    <w:rsid w:val="00C62B5E"/>
    <w:rsid w:val="00C62B93"/>
    <w:rsid w:val="00C62C83"/>
    <w:rsid w:val="00C62CE2"/>
    <w:rsid w:val="00C62DBB"/>
    <w:rsid w:val="00C62EAC"/>
    <w:rsid w:val="00C630D5"/>
    <w:rsid w:val="00C631A0"/>
    <w:rsid w:val="00C631C8"/>
    <w:rsid w:val="00C631D4"/>
    <w:rsid w:val="00C63224"/>
    <w:rsid w:val="00C632E2"/>
    <w:rsid w:val="00C63339"/>
    <w:rsid w:val="00C63354"/>
    <w:rsid w:val="00C63459"/>
    <w:rsid w:val="00C634CD"/>
    <w:rsid w:val="00C634EC"/>
    <w:rsid w:val="00C63514"/>
    <w:rsid w:val="00C6351A"/>
    <w:rsid w:val="00C63546"/>
    <w:rsid w:val="00C635A0"/>
    <w:rsid w:val="00C635EF"/>
    <w:rsid w:val="00C63642"/>
    <w:rsid w:val="00C636BA"/>
    <w:rsid w:val="00C637F4"/>
    <w:rsid w:val="00C63811"/>
    <w:rsid w:val="00C638CC"/>
    <w:rsid w:val="00C63984"/>
    <w:rsid w:val="00C639C9"/>
    <w:rsid w:val="00C639FB"/>
    <w:rsid w:val="00C63A39"/>
    <w:rsid w:val="00C63A59"/>
    <w:rsid w:val="00C63A98"/>
    <w:rsid w:val="00C63ACE"/>
    <w:rsid w:val="00C63AE7"/>
    <w:rsid w:val="00C63D2D"/>
    <w:rsid w:val="00C63D62"/>
    <w:rsid w:val="00C63EE3"/>
    <w:rsid w:val="00C64005"/>
    <w:rsid w:val="00C6404F"/>
    <w:rsid w:val="00C6407C"/>
    <w:rsid w:val="00C641C2"/>
    <w:rsid w:val="00C6433B"/>
    <w:rsid w:val="00C644D1"/>
    <w:rsid w:val="00C645B0"/>
    <w:rsid w:val="00C645E0"/>
    <w:rsid w:val="00C64618"/>
    <w:rsid w:val="00C64674"/>
    <w:rsid w:val="00C646A4"/>
    <w:rsid w:val="00C6471C"/>
    <w:rsid w:val="00C64734"/>
    <w:rsid w:val="00C6479B"/>
    <w:rsid w:val="00C6485E"/>
    <w:rsid w:val="00C648D6"/>
    <w:rsid w:val="00C6493D"/>
    <w:rsid w:val="00C64946"/>
    <w:rsid w:val="00C64979"/>
    <w:rsid w:val="00C649ED"/>
    <w:rsid w:val="00C64B21"/>
    <w:rsid w:val="00C64B22"/>
    <w:rsid w:val="00C64B4F"/>
    <w:rsid w:val="00C64C05"/>
    <w:rsid w:val="00C64C7D"/>
    <w:rsid w:val="00C64DB7"/>
    <w:rsid w:val="00C64DFB"/>
    <w:rsid w:val="00C64E21"/>
    <w:rsid w:val="00C64E8C"/>
    <w:rsid w:val="00C64F39"/>
    <w:rsid w:val="00C64F8D"/>
    <w:rsid w:val="00C64FA8"/>
    <w:rsid w:val="00C65015"/>
    <w:rsid w:val="00C65162"/>
    <w:rsid w:val="00C65222"/>
    <w:rsid w:val="00C6522F"/>
    <w:rsid w:val="00C652AF"/>
    <w:rsid w:val="00C652D1"/>
    <w:rsid w:val="00C65306"/>
    <w:rsid w:val="00C65316"/>
    <w:rsid w:val="00C6531F"/>
    <w:rsid w:val="00C65370"/>
    <w:rsid w:val="00C6537E"/>
    <w:rsid w:val="00C6539D"/>
    <w:rsid w:val="00C653F3"/>
    <w:rsid w:val="00C65407"/>
    <w:rsid w:val="00C65455"/>
    <w:rsid w:val="00C654E2"/>
    <w:rsid w:val="00C6557C"/>
    <w:rsid w:val="00C65594"/>
    <w:rsid w:val="00C655A9"/>
    <w:rsid w:val="00C65704"/>
    <w:rsid w:val="00C65708"/>
    <w:rsid w:val="00C65774"/>
    <w:rsid w:val="00C65935"/>
    <w:rsid w:val="00C6598A"/>
    <w:rsid w:val="00C65A51"/>
    <w:rsid w:val="00C65A7E"/>
    <w:rsid w:val="00C65A9C"/>
    <w:rsid w:val="00C65AB1"/>
    <w:rsid w:val="00C65ACF"/>
    <w:rsid w:val="00C65ADA"/>
    <w:rsid w:val="00C65C7A"/>
    <w:rsid w:val="00C65CC8"/>
    <w:rsid w:val="00C65CF6"/>
    <w:rsid w:val="00C65D3C"/>
    <w:rsid w:val="00C65D78"/>
    <w:rsid w:val="00C65DA5"/>
    <w:rsid w:val="00C65DB9"/>
    <w:rsid w:val="00C65E34"/>
    <w:rsid w:val="00C65E4F"/>
    <w:rsid w:val="00C65F2A"/>
    <w:rsid w:val="00C65F3A"/>
    <w:rsid w:val="00C6601B"/>
    <w:rsid w:val="00C661CC"/>
    <w:rsid w:val="00C66220"/>
    <w:rsid w:val="00C66265"/>
    <w:rsid w:val="00C662B3"/>
    <w:rsid w:val="00C663C6"/>
    <w:rsid w:val="00C663FB"/>
    <w:rsid w:val="00C664F9"/>
    <w:rsid w:val="00C6651E"/>
    <w:rsid w:val="00C66546"/>
    <w:rsid w:val="00C665F4"/>
    <w:rsid w:val="00C6663D"/>
    <w:rsid w:val="00C666FF"/>
    <w:rsid w:val="00C667C3"/>
    <w:rsid w:val="00C668CB"/>
    <w:rsid w:val="00C668DC"/>
    <w:rsid w:val="00C66964"/>
    <w:rsid w:val="00C669E6"/>
    <w:rsid w:val="00C66A01"/>
    <w:rsid w:val="00C66B62"/>
    <w:rsid w:val="00C66C86"/>
    <w:rsid w:val="00C66D06"/>
    <w:rsid w:val="00C66D6B"/>
    <w:rsid w:val="00C66DE0"/>
    <w:rsid w:val="00C66E8D"/>
    <w:rsid w:val="00C66EA4"/>
    <w:rsid w:val="00C66EB3"/>
    <w:rsid w:val="00C66F75"/>
    <w:rsid w:val="00C66F79"/>
    <w:rsid w:val="00C66F82"/>
    <w:rsid w:val="00C670A0"/>
    <w:rsid w:val="00C67112"/>
    <w:rsid w:val="00C672B6"/>
    <w:rsid w:val="00C67321"/>
    <w:rsid w:val="00C6743A"/>
    <w:rsid w:val="00C674A5"/>
    <w:rsid w:val="00C674AD"/>
    <w:rsid w:val="00C67651"/>
    <w:rsid w:val="00C678E5"/>
    <w:rsid w:val="00C678EA"/>
    <w:rsid w:val="00C67985"/>
    <w:rsid w:val="00C67A22"/>
    <w:rsid w:val="00C67AA5"/>
    <w:rsid w:val="00C67B7D"/>
    <w:rsid w:val="00C67B8C"/>
    <w:rsid w:val="00C67B9F"/>
    <w:rsid w:val="00C67BB5"/>
    <w:rsid w:val="00C67C73"/>
    <w:rsid w:val="00C67DFB"/>
    <w:rsid w:val="00C67E90"/>
    <w:rsid w:val="00C67EA5"/>
    <w:rsid w:val="00C67F1A"/>
    <w:rsid w:val="00C67F64"/>
    <w:rsid w:val="00C70047"/>
    <w:rsid w:val="00C70111"/>
    <w:rsid w:val="00C7014E"/>
    <w:rsid w:val="00C7015B"/>
    <w:rsid w:val="00C70163"/>
    <w:rsid w:val="00C70171"/>
    <w:rsid w:val="00C70176"/>
    <w:rsid w:val="00C70236"/>
    <w:rsid w:val="00C7025F"/>
    <w:rsid w:val="00C7029F"/>
    <w:rsid w:val="00C7031C"/>
    <w:rsid w:val="00C703CA"/>
    <w:rsid w:val="00C70406"/>
    <w:rsid w:val="00C7044B"/>
    <w:rsid w:val="00C7046B"/>
    <w:rsid w:val="00C704D0"/>
    <w:rsid w:val="00C704EB"/>
    <w:rsid w:val="00C70518"/>
    <w:rsid w:val="00C70630"/>
    <w:rsid w:val="00C70655"/>
    <w:rsid w:val="00C706C3"/>
    <w:rsid w:val="00C706C7"/>
    <w:rsid w:val="00C706E2"/>
    <w:rsid w:val="00C7073D"/>
    <w:rsid w:val="00C70795"/>
    <w:rsid w:val="00C70862"/>
    <w:rsid w:val="00C708BB"/>
    <w:rsid w:val="00C70AFC"/>
    <w:rsid w:val="00C70BA3"/>
    <w:rsid w:val="00C70BB6"/>
    <w:rsid w:val="00C70C32"/>
    <w:rsid w:val="00C70C87"/>
    <w:rsid w:val="00C70CC6"/>
    <w:rsid w:val="00C70CE6"/>
    <w:rsid w:val="00C70D0F"/>
    <w:rsid w:val="00C70D9E"/>
    <w:rsid w:val="00C70DE3"/>
    <w:rsid w:val="00C70E4D"/>
    <w:rsid w:val="00C70EFB"/>
    <w:rsid w:val="00C70F2E"/>
    <w:rsid w:val="00C70F92"/>
    <w:rsid w:val="00C70FB6"/>
    <w:rsid w:val="00C71091"/>
    <w:rsid w:val="00C710E3"/>
    <w:rsid w:val="00C71194"/>
    <w:rsid w:val="00C711C6"/>
    <w:rsid w:val="00C712AB"/>
    <w:rsid w:val="00C713C2"/>
    <w:rsid w:val="00C713D9"/>
    <w:rsid w:val="00C71478"/>
    <w:rsid w:val="00C7149A"/>
    <w:rsid w:val="00C714FA"/>
    <w:rsid w:val="00C714FB"/>
    <w:rsid w:val="00C71581"/>
    <w:rsid w:val="00C71628"/>
    <w:rsid w:val="00C71662"/>
    <w:rsid w:val="00C716B4"/>
    <w:rsid w:val="00C716E0"/>
    <w:rsid w:val="00C71766"/>
    <w:rsid w:val="00C7189C"/>
    <w:rsid w:val="00C718DF"/>
    <w:rsid w:val="00C71933"/>
    <w:rsid w:val="00C719C2"/>
    <w:rsid w:val="00C71A07"/>
    <w:rsid w:val="00C71A23"/>
    <w:rsid w:val="00C71B16"/>
    <w:rsid w:val="00C71B39"/>
    <w:rsid w:val="00C71C7E"/>
    <w:rsid w:val="00C71D14"/>
    <w:rsid w:val="00C71D77"/>
    <w:rsid w:val="00C71DCD"/>
    <w:rsid w:val="00C71E80"/>
    <w:rsid w:val="00C71F1D"/>
    <w:rsid w:val="00C71F3F"/>
    <w:rsid w:val="00C71FE6"/>
    <w:rsid w:val="00C72075"/>
    <w:rsid w:val="00C720C7"/>
    <w:rsid w:val="00C72156"/>
    <w:rsid w:val="00C72203"/>
    <w:rsid w:val="00C7221E"/>
    <w:rsid w:val="00C72289"/>
    <w:rsid w:val="00C7239E"/>
    <w:rsid w:val="00C723D9"/>
    <w:rsid w:val="00C723E4"/>
    <w:rsid w:val="00C723FA"/>
    <w:rsid w:val="00C72556"/>
    <w:rsid w:val="00C725D9"/>
    <w:rsid w:val="00C725E3"/>
    <w:rsid w:val="00C72782"/>
    <w:rsid w:val="00C727CA"/>
    <w:rsid w:val="00C7280B"/>
    <w:rsid w:val="00C72823"/>
    <w:rsid w:val="00C7285F"/>
    <w:rsid w:val="00C72988"/>
    <w:rsid w:val="00C72AB0"/>
    <w:rsid w:val="00C72B8B"/>
    <w:rsid w:val="00C72BB7"/>
    <w:rsid w:val="00C72BF0"/>
    <w:rsid w:val="00C72CFC"/>
    <w:rsid w:val="00C72D39"/>
    <w:rsid w:val="00C72EFF"/>
    <w:rsid w:val="00C72F06"/>
    <w:rsid w:val="00C72F2D"/>
    <w:rsid w:val="00C72F4E"/>
    <w:rsid w:val="00C72F88"/>
    <w:rsid w:val="00C72FB2"/>
    <w:rsid w:val="00C72FD0"/>
    <w:rsid w:val="00C73034"/>
    <w:rsid w:val="00C73056"/>
    <w:rsid w:val="00C73103"/>
    <w:rsid w:val="00C73125"/>
    <w:rsid w:val="00C731F4"/>
    <w:rsid w:val="00C73293"/>
    <w:rsid w:val="00C732C9"/>
    <w:rsid w:val="00C732D9"/>
    <w:rsid w:val="00C7343E"/>
    <w:rsid w:val="00C73647"/>
    <w:rsid w:val="00C73666"/>
    <w:rsid w:val="00C7368B"/>
    <w:rsid w:val="00C73716"/>
    <w:rsid w:val="00C7375F"/>
    <w:rsid w:val="00C738C4"/>
    <w:rsid w:val="00C738FE"/>
    <w:rsid w:val="00C73900"/>
    <w:rsid w:val="00C739BB"/>
    <w:rsid w:val="00C73ADE"/>
    <w:rsid w:val="00C73C7D"/>
    <w:rsid w:val="00C73CCF"/>
    <w:rsid w:val="00C73D72"/>
    <w:rsid w:val="00C73D7A"/>
    <w:rsid w:val="00C73E6A"/>
    <w:rsid w:val="00C73F98"/>
    <w:rsid w:val="00C74074"/>
    <w:rsid w:val="00C740EE"/>
    <w:rsid w:val="00C7412E"/>
    <w:rsid w:val="00C7418F"/>
    <w:rsid w:val="00C741AB"/>
    <w:rsid w:val="00C74219"/>
    <w:rsid w:val="00C7446B"/>
    <w:rsid w:val="00C74572"/>
    <w:rsid w:val="00C74631"/>
    <w:rsid w:val="00C7466E"/>
    <w:rsid w:val="00C74682"/>
    <w:rsid w:val="00C74693"/>
    <w:rsid w:val="00C746F2"/>
    <w:rsid w:val="00C747A7"/>
    <w:rsid w:val="00C74859"/>
    <w:rsid w:val="00C748DA"/>
    <w:rsid w:val="00C74AC7"/>
    <w:rsid w:val="00C74BE5"/>
    <w:rsid w:val="00C74BFA"/>
    <w:rsid w:val="00C74CD3"/>
    <w:rsid w:val="00C74CEE"/>
    <w:rsid w:val="00C74DAA"/>
    <w:rsid w:val="00C74E6E"/>
    <w:rsid w:val="00C74ED6"/>
    <w:rsid w:val="00C74EFA"/>
    <w:rsid w:val="00C74F31"/>
    <w:rsid w:val="00C74F54"/>
    <w:rsid w:val="00C74F56"/>
    <w:rsid w:val="00C74F81"/>
    <w:rsid w:val="00C74FB3"/>
    <w:rsid w:val="00C75016"/>
    <w:rsid w:val="00C75104"/>
    <w:rsid w:val="00C75181"/>
    <w:rsid w:val="00C75312"/>
    <w:rsid w:val="00C753E5"/>
    <w:rsid w:val="00C754DB"/>
    <w:rsid w:val="00C7550E"/>
    <w:rsid w:val="00C75530"/>
    <w:rsid w:val="00C755F6"/>
    <w:rsid w:val="00C75667"/>
    <w:rsid w:val="00C756ED"/>
    <w:rsid w:val="00C756F8"/>
    <w:rsid w:val="00C7572E"/>
    <w:rsid w:val="00C75782"/>
    <w:rsid w:val="00C757DE"/>
    <w:rsid w:val="00C75801"/>
    <w:rsid w:val="00C7580E"/>
    <w:rsid w:val="00C75916"/>
    <w:rsid w:val="00C759B3"/>
    <w:rsid w:val="00C759B4"/>
    <w:rsid w:val="00C759F2"/>
    <w:rsid w:val="00C75A71"/>
    <w:rsid w:val="00C75AA6"/>
    <w:rsid w:val="00C75BDA"/>
    <w:rsid w:val="00C75C88"/>
    <w:rsid w:val="00C75C90"/>
    <w:rsid w:val="00C75CAF"/>
    <w:rsid w:val="00C75D55"/>
    <w:rsid w:val="00C75D7B"/>
    <w:rsid w:val="00C75D89"/>
    <w:rsid w:val="00C75DFB"/>
    <w:rsid w:val="00C75E32"/>
    <w:rsid w:val="00C75E8B"/>
    <w:rsid w:val="00C75F5A"/>
    <w:rsid w:val="00C75F5E"/>
    <w:rsid w:val="00C75FC9"/>
    <w:rsid w:val="00C75FFC"/>
    <w:rsid w:val="00C760AC"/>
    <w:rsid w:val="00C7612F"/>
    <w:rsid w:val="00C762D9"/>
    <w:rsid w:val="00C7634E"/>
    <w:rsid w:val="00C76413"/>
    <w:rsid w:val="00C76540"/>
    <w:rsid w:val="00C76550"/>
    <w:rsid w:val="00C7659E"/>
    <w:rsid w:val="00C76628"/>
    <w:rsid w:val="00C766D7"/>
    <w:rsid w:val="00C766EB"/>
    <w:rsid w:val="00C76703"/>
    <w:rsid w:val="00C7673D"/>
    <w:rsid w:val="00C7673F"/>
    <w:rsid w:val="00C76751"/>
    <w:rsid w:val="00C76765"/>
    <w:rsid w:val="00C7679E"/>
    <w:rsid w:val="00C768BF"/>
    <w:rsid w:val="00C76918"/>
    <w:rsid w:val="00C76A29"/>
    <w:rsid w:val="00C76A8E"/>
    <w:rsid w:val="00C76ABF"/>
    <w:rsid w:val="00C76AF3"/>
    <w:rsid w:val="00C76B3A"/>
    <w:rsid w:val="00C76B9F"/>
    <w:rsid w:val="00C76BA2"/>
    <w:rsid w:val="00C76BD0"/>
    <w:rsid w:val="00C76C95"/>
    <w:rsid w:val="00C76CA4"/>
    <w:rsid w:val="00C76CA7"/>
    <w:rsid w:val="00C76D0B"/>
    <w:rsid w:val="00C76D6B"/>
    <w:rsid w:val="00C76D97"/>
    <w:rsid w:val="00C76F09"/>
    <w:rsid w:val="00C77054"/>
    <w:rsid w:val="00C7708C"/>
    <w:rsid w:val="00C770D1"/>
    <w:rsid w:val="00C77114"/>
    <w:rsid w:val="00C7711B"/>
    <w:rsid w:val="00C7712C"/>
    <w:rsid w:val="00C77210"/>
    <w:rsid w:val="00C7723F"/>
    <w:rsid w:val="00C7739C"/>
    <w:rsid w:val="00C7743E"/>
    <w:rsid w:val="00C7746B"/>
    <w:rsid w:val="00C774A0"/>
    <w:rsid w:val="00C774AD"/>
    <w:rsid w:val="00C774B4"/>
    <w:rsid w:val="00C77543"/>
    <w:rsid w:val="00C7763E"/>
    <w:rsid w:val="00C77824"/>
    <w:rsid w:val="00C7783D"/>
    <w:rsid w:val="00C7785C"/>
    <w:rsid w:val="00C7789B"/>
    <w:rsid w:val="00C778A8"/>
    <w:rsid w:val="00C77920"/>
    <w:rsid w:val="00C77978"/>
    <w:rsid w:val="00C7797F"/>
    <w:rsid w:val="00C779DB"/>
    <w:rsid w:val="00C77A2E"/>
    <w:rsid w:val="00C77A7E"/>
    <w:rsid w:val="00C77A8E"/>
    <w:rsid w:val="00C77AF1"/>
    <w:rsid w:val="00C77BE4"/>
    <w:rsid w:val="00C77BF0"/>
    <w:rsid w:val="00C77C2B"/>
    <w:rsid w:val="00C77C5D"/>
    <w:rsid w:val="00C77CA0"/>
    <w:rsid w:val="00C77CA2"/>
    <w:rsid w:val="00C77CD6"/>
    <w:rsid w:val="00C77CE0"/>
    <w:rsid w:val="00C77D84"/>
    <w:rsid w:val="00C77E63"/>
    <w:rsid w:val="00C800DC"/>
    <w:rsid w:val="00C80120"/>
    <w:rsid w:val="00C80153"/>
    <w:rsid w:val="00C80156"/>
    <w:rsid w:val="00C80263"/>
    <w:rsid w:val="00C80269"/>
    <w:rsid w:val="00C80276"/>
    <w:rsid w:val="00C80313"/>
    <w:rsid w:val="00C8037C"/>
    <w:rsid w:val="00C8038A"/>
    <w:rsid w:val="00C8039A"/>
    <w:rsid w:val="00C803B1"/>
    <w:rsid w:val="00C803B4"/>
    <w:rsid w:val="00C803EB"/>
    <w:rsid w:val="00C804F7"/>
    <w:rsid w:val="00C804F9"/>
    <w:rsid w:val="00C80546"/>
    <w:rsid w:val="00C8054B"/>
    <w:rsid w:val="00C8054E"/>
    <w:rsid w:val="00C80550"/>
    <w:rsid w:val="00C805E7"/>
    <w:rsid w:val="00C8066C"/>
    <w:rsid w:val="00C80709"/>
    <w:rsid w:val="00C807D6"/>
    <w:rsid w:val="00C80829"/>
    <w:rsid w:val="00C8086B"/>
    <w:rsid w:val="00C8087F"/>
    <w:rsid w:val="00C80951"/>
    <w:rsid w:val="00C80952"/>
    <w:rsid w:val="00C80978"/>
    <w:rsid w:val="00C809CB"/>
    <w:rsid w:val="00C80AD9"/>
    <w:rsid w:val="00C80B8F"/>
    <w:rsid w:val="00C80BA0"/>
    <w:rsid w:val="00C80CA2"/>
    <w:rsid w:val="00C80CD2"/>
    <w:rsid w:val="00C80D1F"/>
    <w:rsid w:val="00C80D43"/>
    <w:rsid w:val="00C80DB4"/>
    <w:rsid w:val="00C80DC7"/>
    <w:rsid w:val="00C80E38"/>
    <w:rsid w:val="00C80EF7"/>
    <w:rsid w:val="00C81096"/>
    <w:rsid w:val="00C810B1"/>
    <w:rsid w:val="00C81119"/>
    <w:rsid w:val="00C8122B"/>
    <w:rsid w:val="00C81373"/>
    <w:rsid w:val="00C8143E"/>
    <w:rsid w:val="00C81516"/>
    <w:rsid w:val="00C8160C"/>
    <w:rsid w:val="00C8168F"/>
    <w:rsid w:val="00C81692"/>
    <w:rsid w:val="00C816E8"/>
    <w:rsid w:val="00C81735"/>
    <w:rsid w:val="00C81747"/>
    <w:rsid w:val="00C81806"/>
    <w:rsid w:val="00C81808"/>
    <w:rsid w:val="00C81875"/>
    <w:rsid w:val="00C819E5"/>
    <w:rsid w:val="00C81A08"/>
    <w:rsid w:val="00C81A41"/>
    <w:rsid w:val="00C81A63"/>
    <w:rsid w:val="00C81AB5"/>
    <w:rsid w:val="00C81B00"/>
    <w:rsid w:val="00C81B22"/>
    <w:rsid w:val="00C81B2E"/>
    <w:rsid w:val="00C81B5A"/>
    <w:rsid w:val="00C81BB9"/>
    <w:rsid w:val="00C81C29"/>
    <w:rsid w:val="00C81C38"/>
    <w:rsid w:val="00C81C9C"/>
    <w:rsid w:val="00C81CB3"/>
    <w:rsid w:val="00C81D79"/>
    <w:rsid w:val="00C81D87"/>
    <w:rsid w:val="00C81E38"/>
    <w:rsid w:val="00C81E64"/>
    <w:rsid w:val="00C81EE8"/>
    <w:rsid w:val="00C81F3A"/>
    <w:rsid w:val="00C81F5B"/>
    <w:rsid w:val="00C820B3"/>
    <w:rsid w:val="00C820DD"/>
    <w:rsid w:val="00C820E8"/>
    <w:rsid w:val="00C820FA"/>
    <w:rsid w:val="00C82126"/>
    <w:rsid w:val="00C8212C"/>
    <w:rsid w:val="00C821DD"/>
    <w:rsid w:val="00C821E3"/>
    <w:rsid w:val="00C82218"/>
    <w:rsid w:val="00C82225"/>
    <w:rsid w:val="00C822AF"/>
    <w:rsid w:val="00C822CD"/>
    <w:rsid w:val="00C82307"/>
    <w:rsid w:val="00C8230A"/>
    <w:rsid w:val="00C8233C"/>
    <w:rsid w:val="00C8240E"/>
    <w:rsid w:val="00C82441"/>
    <w:rsid w:val="00C82609"/>
    <w:rsid w:val="00C82627"/>
    <w:rsid w:val="00C8263B"/>
    <w:rsid w:val="00C826FB"/>
    <w:rsid w:val="00C82771"/>
    <w:rsid w:val="00C827AA"/>
    <w:rsid w:val="00C827E3"/>
    <w:rsid w:val="00C8295E"/>
    <w:rsid w:val="00C82A7A"/>
    <w:rsid w:val="00C82AD8"/>
    <w:rsid w:val="00C82B4D"/>
    <w:rsid w:val="00C82BD2"/>
    <w:rsid w:val="00C82C21"/>
    <w:rsid w:val="00C82C68"/>
    <w:rsid w:val="00C82CCC"/>
    <w:rsid w:val="00C8311A"/>
    <w:rsid w:val="00C83233"/>
    <w:rsid w:val="00C83669"/>
    <w:rsid w:val="00C83700"/>
    <w:rsid w:val="00C8378B"/>
    <w:rsid w:val="00C8380A"/>
    <w:rsid w:val="00C838EC"/>
    <w:rsid w:val="00C83900"/>
    <w:rsid w:val="00C83930"/>
    <w:rsid w:val="00C83940"/>
    <w:rsid w:val="00C83A15"/>
    <w:rsid w:val="00C83A83"/>
    <w:rsid w:val="00C83A89"/>
    <w:rsid w:val="00C83C34"/>
    <w:rsid w:val="00C83CA4"/>
    <w:rsid w:val="00C83D83"/>
    <w:rsid w:val="00C83D9A"/>
    <w:rsid w:val="00C83E7C"/>
    <w:rsid w:val="00C83EBF"/>
    <w:rsid w:val="00C83F93"/>
    <w:rsid w:val="00C840AD"/>
    <w:rsid w:val="00C840E6"/>
    <w:rsid w:val="00C8418D"/>
    <w:rsid w:val="00C84197"/>
    <w:rsid w:val="00C8422F"/>
    <w:rsid w:val="00C842F2"/>
    <w:rsid w:val="00C8431E"/>
    <w:rsid w:val="00C8432A"/>
    <w:rsid w:val="00C84385"/>
    <w:rsid w:val="00C843FB"/>
    <w:rsid w:val="00C8447A"/>
    <w:rsid w:val="00C84495"/>
    <w:rsid w:val="00C844E6"/>
    <w:rsid w:val="00C84501"/>
    <w:rsid w:val="00C845A2"/>
    <w:rsid w:val="00C8475A"/>
    <w:rsid w:val="00C84803"/>
    <w:rsid w:val="00C84843"/>
    <w:rsid w:val="00C848AE"/>
    <w:rsid w:val="00C84A3D"/>
    <w:rsid w:val="00C84A88"/>
    <w:rsid w:val="00C84AA7"/>
    <w:rsid w:val="00C84AB6"/>
    <w:rsid w:val="00C84AD7"/>
    <w:rsid w:val="00C84B02"/>
    <w:rsid w:val="00C84B41"/>
    <w:rsid w:val="00C84B63"/>
    <w:rsid w:val="00C84BF2"/>
    <w:rsid w:val="00C84C02"/>
    <w:rsid w:val="00C84C71"/>
    <w:rsid w:val="00C84C75"/>
    <w:rsid w:val="00C84DD7"/>
    <w:rsid w:val="00C84E12"/>
    <w:rsid w:val="00C84E74"/>
    <w:rsid w:val="00C84E75"/>
    <w:rsid w:val="00C84F2D"/>
    <w:rsid w:val="00C84FB5"/>
    <w:rsid w:val="00C84FF2"/>
    <w:rsid w:val="00C850F9"/>
    <w:rsid w:val="00C85265"/>
    <w:rsid w:val="00C8534C"/>
    <w:rsid w:val="00C85394"/>
    <w:rsid w:val="00C853F2"/>
    <w:rsid w:val="00C8542F"/>
    <w:rsid w:val="00C854FE"/>
    <w:rsid w:val="00C855D0"/>
    <w:rsid w:val="00C855E4"/>
    <w:rsid w:val="00C85668"/>
    <w:rsid w:val="00C8569F"/>
    <w:rsid w:val="00C856AE"/>
    <w:rsid w:val="00C85704"/>
    <w:rsid w:val="00C85AA2"/>
    <w:rsid w:val="00C85B90"/>
    <w:rsid w:val="00C85C62"/>
    <w:rsid w:val="00C85C89"/>
    <w:rsid w:val="00C85CF3"/>
    <w:rsid w:val="00C85DB7"/>
    <w:rsid w:val="00C85E4A"/>
    <w:rsid w:val="00C85EF8"/>
    <w:rsid w:val="00C85F7B"/>
    <w:rsid w:val="00C85FB3"/>
    <w:rsid w:val="00C85FC0"/>
    <w:rsid w:val="00C85FE3"/>
    <w:rsid w:val="00C86009"/>
    <w:rsid w:val="00C8600C"/>
    <w:rsid w:val="00C86066"/>
    <w:rsid w:val="00C860F9"/>
    <w:rsid w:val="00C860FC"/>
    <w:rsid w:val="00C861E2"/>
    <w:rsid w:val="00C86215"/>
    <w:rsid w:val="00C86234"/>
    <w:rsid w:val="00C863B4"/>
    <w:rsid w:val="00C863EE"/>
    <w:rsid w:val="00C8643D"/>
    <w:rsid w:val="00C865E5"/>
    <w:rsid w:val="00C86742"/>
    <w:rsid w:val="00C86797"/>
    <w:rsid w:val="00C867A2"/>
    <w:rsid w:val="00C867AC"/>
    <w:rsid w:val="00C867E7"/>
    <w:rsid w:val="00C8683C"/>
    <w:rsid w:val="00C86861"/>
    <w:rsid w:val="00C86886"/>
    <w:rsid w:val="00C86898"/>
    <w:rsid w:val="00C86905"/>
    <w:rsid w:val="00C86959"/>
    <w:rsid w:val="00C86A56"/>
    <w:rsid w:val="00C86B08"/>
    <w:rsid w:val="00C86B0B"/>
    <w:rsid w:val="00C86B24"/>
    <w:rsid w:val="00C86B9E"/>
    <w:rsid w:val="00C86BDA"/>
    <w:rsid w:val="00C86D39"/>
    <w:rsid w:val="00C86D46"/>
    <w:rsid w:val="00C86E37"/>
    <w:rsid w:val="00C86E41"/>
    <w:rsid w:val="00C86E8E"/>
    <w:rsid w:val="00C86F10"/>
    <w:rsid w:val="00C86F1A"/>
    <w:rsid w:val="00C86F21"/>
    <w:rsid w:val="00C86F4F"/>
    <w:rsid w:val="00C86FA5"/>
    <w:rsid w:val="00C8705E"/>
    <w:rsid w:val="00C870FD"/>
    <w:rsid w:val="00C87131"/>
    <w:rsid w:val="00C87135"/>
    <w:rsid w:val="00C87215"/>
    <w:rsid w:val="00C87283"/>
    <w:rsid w:val="00C872A8"/>
    <w:rsid w:val="00C872AF"/>
    <w:rsid w:val="00C872F1"/>
    <w:rsid w:val="00C8737E"/>
    <w:rsid w:val="00C87390"/>
    <w:rsid w:val="00C873CF"/>
    <w:rsid w:val="00C874E6"/>
    <w:rsid w:val="00C874F9"/>
    <w:rsid w:val="00C8752B"/>
    <w:rsid w:val="00C8770B"/>
    <w:rsid w:val="00C87712"/>
    <w:rsid w:val="00C8772B"/>
    <w:rsid w:val="00C87739"/>
    <w:rsid w:val="00C8776F"/>
    <w:rsid w:val="00C8778C"/>
    <w:rsid w:val="00C87925"/>
    <w:rsid w:val="00C87934"/>
    <w:rsid w:val="00C879D7"/>
    <w:rsid w:val="00C87A09"/>
    <w:rsid w:val="00C87A26"/>
    <w:rsid w:val="00C87ADC"/>
    <w:rsid w:val="00C87AF2"/>
    <w:rsid w:val="00C87BA9"/>
    <w:rsid w:val="00C87BEB"/>
    <w:rsid w:val="00C87CC0"/>
    <w:rsid w:val="00C87D91"/>
    <w:rsid w:val="00C87DB4"/>
    <w:rsid w:val="00C87E25"/>
    <w:rsid w:val="00C87E58"/>
    <w:rsid w:val="00C87FD1"/>
    <w:rsid w:val="00C87FDD"/>
    <w:rsid w:val="00C9005F"/>
    <w:rsid w:val="00C900CC"/>
    <w:rsid w:val="00C9027F"/>
    <w:rsid w:val="00C902B6"/>
    <w:rsid w:val="00C90335"/>
    <w:rsid w:val="00C90349"/>
    <w:rsid w:val="00C903CA"/>
    <w:rsid w:val="00C903DD"/>
    <w:rsid w:val="00C9046D"/>
    <w:rsid w:val="00C904CE"/>
    <w:rsid w:val="00C904D6"/>
    <w:rsid w:val="00C904E9"/>
    <w:rsid w:val="00C90500"/>
    <w:rsid w:val="00C90531"/>
    <w:rsid w:val="00C90578"/>
    <w:rsid w:val="00C905FD"/>
    <w:rsid w:val="00C90659"/>
    <w:rsid w:val="00C9065C"/>
    <w:rsid w:val="00C906BE"/>
    <w:rsid w:val="00C906DF"/>
    <w:rsid w:val="00C90834"/>
    <w:rsid w:val="00C9083B"/>
    <w:rsid w:val="00C908C2"/>
    <w:rsid w:val="00C90925"/>
    <w:rsid w:val="00C90948"/>
    <w:rsid w:val="00C90A3F"/>
    <w:rsid w:val="00C90A8F"/>
    <w:rsid w:val="00C90B43"/>
    <w:rsid w:val="00C90B4C"/>
    <w:rsid w:val="00C90C7C"/>
    <w:rsid w:val="00C90C81"/>
    <w:rsid w:val="00C90CF6"/>
    <w:rsid w:val="00C90D0B"/>
    <w:rsid w:val="00C90D1E"/>
    <w:rsid w:val="00C90D2E"/>
    <w:rsid w:val="00C90D39"/>
    <w:rsid w:val="00C90D63"/>
    <w:rsid w:val="00C90DC6"/>
    <w:rsid w:val="00C90E87"/>
    <w:rsid w:val="00C90E94"/>
    <w:rsid w:val="00C90E95"/>
    <w:rsid w:val="00C90F4D"/>
    <w:rsid w:val="00C90F5A"/>
    <w:rsid w:val="00C90FAF"/>
    <w:rsid w:val="00C91000"/>
    <w:rsid w:val="00C91139"/>
    <w:rsid w:val="00C911BC"/>
    <w:rsid w:val="00C911BF"/>
    <w:rsid w:val="00C911D1"/>
    <w:rsid w:val="00C91302"/>
    <w:rsid w:val="00C91400"/>
    <w:rsid w:val="00C91471"/>
    <w:rsid w:val="00C914FB"/>
    <w:rsid w:val="00C915E6"/>
    <w:rsid w:val="00C9163C"/>
    <w:rsid w:val="00C91686"/>
    <w:rsid w:val="00C916CA"/>
    <w:rsid w:val="00C91775"/>
    <w:rsid w:val="00C91784"/>
    <w:rsid w:val="00C917FA"/>
    <w:rsid w:val="00C919F9"/>
    <w:rsid w:val="00C91B34"/>
    <w:rsid w:val="00C91B5B"/>
    <w:rsid w:val="00C91BB4"/>
    <w:rsid w:val="00C91CD2"/>
    <w:rsid w:val="00C91CEA"/>
    <w:rsid w:val="00C91DBB"/>
    <w:rsid w:val="00C91F5B"/>
    <w:rsid w:val="00C9205B"/>
    <w:rsid w:val="00C920B6"/>
    <w:rsid w:val="00C920D6"/>
    <w:rsid w:val="00C920DB"/>
    <w:rsid w:val="00C92215"/>
    <w:rsid w:val="00C9223A"/>
    <w:rsid w:val="00C922FC"/>
    <w:rsid w:val="00C92306"/>
    <w:rsid w:val="00C92374"/>
    <w:rsid w:val="00C92473"/>
    <w:rsid w:val="00C92514"/>
    <w:rsid w:val="00C92570"/>
    <w:rsid w:val="00C925AA"/>
    <w:rsid w:val="00C9263D"/>
    <w:rsid w:val="00C92694"/>
    <w:rsid w:val="00C927C1"/>
    <w:rsid w:val="00C9280E"/>
    <w:rsid w:val="00C928A5"/>
    <w:rsid w:val="00C92901"/>
    <w:rsid w:val="00C92905"/>
    <w:rsid w:val="00C9292A"/>
    <w:rsid w:val="00C92946"/>
    <w:rsid w:val="00C92A60"/>
    <w:rsid w:val="00C92AA1"/>
    <w:rsid w:val="00C92AE4"/>
    <w:rsid w:val="00C92B4B"/>
    <w:rsid w:val="00C92BAD"/>
    <w:rsid w:val="00C92C93"/>
    <w:rsid w:val="00C92CD5"/>
    <w:rsid w:val="00C92D81"/>
    <w:rsid w:val="00C92D8A"/>
    <w:rsid w:val="00C92DE0"/>
    <w:rsid w:val="00C92DFE"/>
    <w:rsid w:val="00C92EF9"/>
    <w:rsid w:val="00C92F21"/>
    <w:rsid w:val="00C92F62"/>
    <w:rsid w:val="00C93212"/>
    <w:rsid w:val="00C9324D"/>
    <w:rsid w:val="00C93269"/>
    <w:rsid w:val="00C9338D"/>
    <w:rsid w:val="00C93396"/>
    <w:rsid w:val="00C935C1"/>
    <w:rsid w:val="00C93603"/>
    <w:rsid w:val="00C9362C"/>
    <w:rsid w:val="00C9381B"/>
    <w:rsid w:val="00C938CB"/>
    <w:rsid w:val="00C93920"/>
    <w:rsid w:val="00C93A39"/>
    <w:rsid w:val="00C93AB7"/>
    <w:rsid w:val="00C93B34"/>
    <w:rsid w:val="00C93B99"/>
    <w:rsid w:val="00C93BF9"/>
    <w:rsid w:val="00C93C25"/>
    <w:rsid w:val="00C93C63"/>
    <w:rsid w:val="00C93C70"/>
    <w:rsid w:val="00C93C92"/>
    <w:rsid w:val="00C93CD0"/>
    <w:rsid w:val="00C93D7E"/>
    <w:rsid w:val="00C93DB6"/>
    <w:rsid w:val="00C93E16"/>
    <w:rsid w:val="00C93E3A"/>
    <w:rsid w:val="00C93E51"/>
    <w:rsid w:val="00C93F9A"/>
    <w:rsid w:val="00C9402C"/>
    <w:rsid w:val="00C94038"/>
    <w:rsid w:val="00C940C8"/>
    <w:rsid w:val="00C940D0"/>
    <w:rsid w:val="00C940D7"/>
    <w:rsid w:val="00C9412E"/>
    <w:rsid w:val="00C94135"/>
    <w:rsid w:val="00C94145"/>
    <w:rsid w:val="00C94364"/>
    <w:rsid w:val="00C943FE"/>
    <w:rsid w:val="00C945DC"/>
    <w:rsid w:val="00C94722"/>
    <w:rsid w:val="00C94725"/>
    <w:rsid w:val="00C9484D"/>
    <w:rsid w:val="00C948C6"/>
    <w:rsid w:val="00C949A7"/>
    <w:rsid w:val="00C949FE"/>
    <w:rsid w:val="00C94A2F"/>
    <w:rsid w:val="00C94A99"/>
    <w:rsid w:val="00C94ACD"/>
    <w:rsid w:val="00C94B63"/>
    <w:rsid w:val="00C94BA9"/>
    <w:rsid w:val="00C94BDA"/>
    <w:rsid w:val="00C94D45"/>
    <w:rsid w:val="00C94D83"/>
    <w:rsid w:val="00C94E59"/>
    <w:rsid w:val="00C94EBF"/>
    <w:rsid w:val="00C94F1C"/>
    <w:rsid w:val="00C94F48"/>
    <w:rsid w:val="00C94FAE"/>
    <w:rsid w:val="00C94FB6"/>
    <w:rsid w:val="00C94FF7"/>
    <w:rsid w:val="00C95046"/>
    <w:rsid w:val="00C95160"/>
    <w:rsid w:val="00C951A6"/>
    <w:rsid w:val="00C95244"/>
    <w:rsid w:val="00C952D7"/>
    <w:rsid w:val="00C95377"/>
    <w:rsid w:val="00C95394"/>
    <w:rsid w:val="00C954A4"/>
    <w:rsid w:val="00C9551F"/>
    <w:rsid w:val="00C95523"/>
    <w:rsid w:val="00C95525"/>
    <w:rsid w:val="00C955D2"/>
    <w:rsid w:val="00C956D9"/>
    <w:rsid w:val="00C956E4"/>
    <w:rsid w:val="00C95715"/>
    <w:rsid w:val="00C957E8"/>
    <w:rsid w:val="00C9587A"/>
    <w:rsid w:val="00C958AA"/>
    <w:rsid w:val="00C95A79"/>
    <w:rsid w:val="00C95AE5"/>
    <w:rsid w:val="00C95BEE"/>
    <w:rsid w:val="00C95BF4"/>
    <w:rsid w:val="00C95BFA"/>
    <w:rsid w:val="00C95C37"/>
    <w:rsid w:val="00C95D25"/>
    <w:rsid w:val="00C95D96"/>
    <w:rsid w:val="00C95DC2"/>
    <w:rsid w:val="00C95E6E"/>
    <w:rsid w:val="00C95F4C"/>
    <w:rsid w:val="00C9601F"/>
    <w:rsid w:val="00C96036"/>
    <w:rsid w:val="00C96081"/>
    <w:rsid w:val="00C960BE"/>
    <w:rsid w:val="00C961DA"/>
    <w:rsid w:val="00C96271"/>
    <w:rsid w:val="00C96289"/>
    <w:rsid w:val="00C962B7"/>
    <w:rsid w:val="00C96452"/>
    <w:rsid w:val="00C964E9"/>
    <w:rsid w:val="00C965E0"/>
    <w:rsid w:val="00C966D0"/>
    <w:rsid w:val="00C96700"/>
    <w:rsid w:val="00C9677F"/>
    <w:rsid w:val="00C96819"/>
    <w:rsid w:val="00C968C6"/>
    <w:rsid w:val="00C968E9"/>
    <w:rsid w:val="00C96905"/>
    <w:rsid w:val="00C96947"/>
    <w:rsid w:val="00C969C6"/>
    <w:rsid w:val="00C969E5"/>
    <w:rsid w:val="00C96A37"/>
    <w:rsid w:val="00C96B42"/>
    <w:rsid w:val="00C96B47"/>
    <w:rsid w:val="00C96BD3"/>
    <w:rsid w:val="00C96C36"/>
    <w:rsid w:val="00C96CFC"/>
    <w:rsid w:val="00C96DA1"/>
    <w:rsid w:val="00C96E6A"/>
    <w:rsid w:val="00C97107"/>
    <w:rsid w:val="00C971D9"/>
    <w:rsid w:val="00C97269"/>
    <w:rsid w:val="00C974FE"/>
    <w:rsid w:val="00C97580"/>
    <w:rsid w:val="00C9763E"/>
    <w:rsid w:val="00C97684"/>
    <w:rsid w:val="00C9779B"/>
    <w:rsid w:val="00C977A2"/>
    <w:rsid w:val="00C977FF"/>
    <w:rsid w:val="00C97806"/>
    <w:rsid w:val="00C9780E"/>
    <w:rsid w:val="00C97823"/>
    <w:rsid w:val="00C97890"/>
    <w:rsid w:val="00C978A1"/>
    <w:rsid w:val="00C97969"/>
    <w:rsid w:val="00C97995"/>
    <w:rsid w:val="00C979D9"/>
    <w:rsid w:val="00C97A18"/>
    <w:rsid w:val="00C97A89"/>
    <w:rsid w:val="00C97B18"/>
    <w:rsid w:val="00C97B48"/>
    <w:rsid w:val="00C97D2E"/>
    <w:rsid w:val="00C97D52"/>
    <w:rsid w:val="00C97DEF"/>
    <w:rsid w:val="00C97E14"/>
    <w:rsid w:val="00C97E3F"/>
    <w:rsid w:val="00C97E87"/>
    <w:rsid w:val="00C97EE1"/>
    <w:rsid w:val="00C97F49"/>
    <w:rsid w:val="00C97F62"/>
    <w:rsid w:val="00CA0004"/>
    <w:rsid w:val="00CA0012"/>
    <w:rsid w:val="00CA00E1"/>
    <w:rsid w:val="00CA0283"/>
    <w:rsid w:val="00CA029F"/>
    <w:rsid w:val="00CA02A2"/>
    <w:rsid w:val="00CA037E"/>
    <w:rsid w:val="00CA03B4"/>
    <w:rsid w:val="00CA049C"/>
    <w:rsid w:val="00CA0716"/>
    <w:rsid w:val="00CA072F"/>
    <w:rsid w:val="00CA0738"/>
    <w:rsid w:val="00CA0750"/>
    <w:rsid w:val="00CA07FB"/>
    <w:rsid w:val="00CA0844"/>
    <w:rsid w:val="00CA0976"/>
    <w:rsid w:val="00CA09A1"/>
    <w:rsid w:val="00CA09B1"/>
    <w:rsid w:val="00CA0A82"/>
    <w:rsid w:val="00CA0BA2"/>
    <w:rsid w:val="00CA0BBE"/>
    <w:rsid w:val="00CA0D2F"/>
    <w:rsid w:val="00CA0D79"/>
    <w:rsid w:val="00CA0DCC"/>
    <w:rsid w:val="00CA0E04"/>
    <w:rsid w:val="00CA0E0E"/>
    <w:rsid w:val="00CA0EFC"/>
    <w:rsid w:val="00CA0FDE"/>
    <w:rsid w:val="00CA1005"/>
    <w:rsid w:val="00CA1029"/>
    <w:rsid w:val="00CA11D6"/>
    <w:rsid w:val="00CA11D9"/>
    <w:rsid w:val="00CA1222"/>
    <w:rsid w:val="00CA1246"/>
    <w:rsid w:val="00CA12B4"/>
    <w:rsid w:val="00CA13D6"/>
    <w:rsid w:val="00CA1480"/>
    <w:rsid w:val="00CA14D7"/>
    <w:rsid w:val="00CA1684"/>
    <w:rsid w:val="00CA16F3"/>
    <w:rsid w:val="00CA1700"/>
    <w:rsid w:val="00CA1722"/>
    <w:rsid w:val="00CA174D"/>
    <w:rsid w:val="00CA18AF"/>
    <w:rsid w:val="00CA18D7"/>
    <w:rsid w:val="00CA19C2"/>
    <w:rsid w:val="00CA19F1"/>
    <w:rsid w:val="00CA1AC7"/>
    <w:rsid w:val="00CA1C33"/>
    <w:rsid w:val="00CA1CAA"/>
    <w:rsid w:val="00CA1D28"/>
    <w:rsid w:val="00CA1D9A"/>
    <w:rsid w:val="00CA1DDA"/>
    <w:rsid w:val="00CA1E26"/>
    <w:rsid w:val="00CA1F89"/>
    <w:rsid w:val="00CA2008"/>
    <w:rsid w:val="00CA2057"/>
    <w:rsid w:val="00CA2086"/>
    <w:rsid w:val="00CA20C3"/>
    <w:rsid w:val="00CA2151"/>
    <w:rsid w:val="00CA2171"/>
    <w:rsid w:val="00CA21CD"/>
    <w:rsid w:val="00CA21CE"/>
    <w:rsid w:val="00CA21E6"/>
    <w:rsid w:val="00CA227A"/>
    <w:rsid w:val="00CA2349"/>
    <w:rsid w:val="00CA23E6"/>
    <w:rsid w:val="00CA2408"/>
    <w:rsid w:val="00CA2482"/>
    <w:rsid w:val="00CA2498"/>
    <w:rsid w:val="00CA24A9"/>
    <w:rsid w:val="00CA24B7"/>
    <w:rsid w:val="00CA2511"/>
    <w:rsid w:val="00CA252A"/>
    <w:rsid w:val="00CA252C"/>
    <w:rsid w:val="00CA257E"/>
    <w:rsid w:val="00CA25A2"/>
    <w:rsid w:val="00CA25B8"/>
    <w:rsid w:val="00CA25DC"/>
    <w:rsid w:val="00CA26AD"/>
    <w:rsid w:val="00CA26BB"/>
    <w:rsid w:val="00CA26C4"/>
    <w:rsid w:val="00CA278A"/>
    <w:rsid w:val="00CA27B9"/>
    <w:rsid w:val="00CA28F2"/>
    <w:rsid w:val="00CA2910"/>
    <w:rsid w:val="00CA2A64"/>
    <w:rsid w:val="00CA2B16"/>
    <w:rsid w:val="00CA2BA9"/>
    <w:rsid w:val="00CA2C24"/>
    <w:rsid w:val="00CA2C50"/>
    <w:rsid w:val="00CA2CE1"/>
    <w:rsid w:val="00CA2DAB"/>
    <w:rsid w:val="00CA2EC4"/>
    <w:rsid w:val="00CA2ECF"/>
    <w:rsid w:val="00CA2FA3"/>
    <w:rsid w:val="00CA3236"/>
    <w:rsid w:val="00CA32A5"/>
    <w:rsid w:val="00CA32AD"/>
    <w:rsid w:val="00CA32B8"/>
    <w:rsid w:val="00CA3310"/>
    <w:rsid w:val="00CA33F6"/>
    <w:rsid w:val="00CA341D"/>
    <w:rsid w:val="00CA3427"/>
    <w:rsid w:val="00CA3447"/>
    <w:rsid w:val="00CA3448"/>
    <w:rsid w:val="00CA3496"/>
    <w:rsid w:val="00CA34F7"/>
    <w:rsid w:val="00CA3506"/>
    <w:rsid w:val="00CA351B"/>
    <w:rsid w:val="00CA3626"/>
    <w:rsid w:val="00CA362D"/>
    <w:rsid w:val="00CA3649"/>
    <w:rsid w:val="00CA36D9"/>
    <w:rsid w:val="00CA3720"/>
    <w:rsid w:val="00CA3734"/>
    <w:rsid w:val="00CA3875"/>
    <w:rsid w:val="00CA38FE"/>
    <w:rsid w:val="00CA39F9"/>
    <w:rsid w:val="00CA3A01"/>
    <w:rsid w:val="00CA3A36"/>
    <w:rsid w:val="00CA3B1C"/>
    <w:rsid w:val="00CA3B68"/>
    <w:rsid w:val="00CA3BA1"/>
    <w:rsid w:val="00CA3BA8"/>
    <w:rsid w:val="00CA3BB6"/>
    <w:rsid w:val="00CA3C10"/>
    <w:rsid w:val="00CA3C2C"/>
    <w:rsid w:val="00CA3CA4"/>
    <w:rsid w:val="00CA3D87"/>
    <w:rsid w:val="00CA3E63"/>
    <w:rsid w:val="00CA3EF2"/>
    <w:rsid w:val="00CA3F60"/>
    <w:rsid w:val="00CA3F78"/>
    <w:rsid w:val="00CA3F7C"/>
    <w:rsid w:val="00CA4094"/>
    <w:rsid w:val="00CA41F2"/>
    <w:rsid w:val="00CA4236"/>
    <w:rsid w:val="00CA42D7"/>
    <w:rsid w:val="00CA42E3"/>
    <w:rsid w:val="00CA4358"/>
    <w:rsid w:val="00CA4396"/>
    <w:rsid w:val="00CA43B7"/>
    <w:rsid w:val="00CA445E"/>
    <w:rsid w:val="00CA44DF"/>
    <w:rsid w:val="00CA45B0"/>
    <w:rsid w:val="00CA45CC"/>
    <w:rsid w:val="00CA45FA"/>
    <w:rsid w:val="00CA4617"/>
    <w:rsid w:val="00CA466F"/>
    <w:rsid w:val="00CA46B7"/>
    <w:rsid w:val="00CA4736"/>
    <w:rsid w:val="00CA47D9"/>
    <w:rsid w:val="00CA481B"/>
    <w:rsid w:val="00CA483E"/>
    <w:rsid w:val="00CA4879"/>
    <w:rsid w:val="00CA488D"/>
    <w:rsid w:val="00CA4920"/>
    <w:rsid w:val="00CA49F0"/>
    <w:rsid w:val="00CA4A67"/>
    <w:rsid w:val="00CA4A76"/>
    <w:rsid w:val="00CA4B54"/>
    <w:rsid w:val="00CA4B72"/>
    <w:rsid w:val="00CA4C2F"/>
    <w:rsid w:val="00CA4DB5"/>
    <w:rsid w:val="00CA4DE3"/>
    <w:rsid w:val="00CA4E20"/>
    <w:rsid w:val="00CA4EEA"/>
    <w:rsid w:val="00CA5029"/>
    <w:rsid w:val="00CA5109"/>
    <w:rsid w:val="00CA510A"/>
    <w:rsid w:val="00CA518D"/>
    <w:rsid w:val="00CA5260"/>
    <w:rsid w:val="00CA52F3"/>
    <w:rsid w:val="00CA5302"/>
    <w:rsid w:val="00CA5327"/>
    <w:rsid w:val="00CA5340"/>
    <w:rsid w:val="00CA534D"/>
    <w:rsid w:val="00CA5411"/>
    <w:rsid w:val="00CA541A"/>
    <w:rsid w:val="00CA5460"/>
    <w:rsid w:val="00CA546D"/>
    <w:rsid w:val="00CA54D4"/>
    <w:rsid w:val="00CA55AF"/>
    <w:rsid w:val="00CA5640"/>
    <w:rsid w:val="00CA56C2"/>
    <w:rsid w:val="00CA5786"/>
    <w:rsid w:val="00CA584A"/>
    <w:rsid w:val="00CA589F"/>
    <w:rsid w:val="00CA58B7"/>
    <w:rsid w:val="00CA58BF"/>
    <w:rsid w:val="00CA58E6"/>
    <w:rsid w:val="00CA5929"/>
    <w:rsid w:val="00CA5946"/>
    <w:rsid w:val="00CA594A"/>
    <w:rsid w:val="00CA59B3"/>
    <w:rsid w:val="00CA5AA1"/>
    <w:rsid w:val="00CA5AA6"/>
    <w:rsid w:val="00CA5AB6"/>
    <w:rsid w:val="00CA5CEB"/>
    <w:rsid w:val="00CA5CEF"/>
    <w:rsid w:val="00CA5D54"/>
    <w:rsid w:val="00CA5E72"/>
    <w:rsid w:val="00CA5EEE"/>
    <w:rsid w:val="00CA6028"/>
    <w:rsid w:val="00CA6032"/>
    <w:rsid w:val="00CA6056"/>
    <w:rsid w:val="00CA617E"/>
    <w:rsid w:val="00CA61EE"/>
    <w:rsid w:val="00CA6221"/>
    <w:rsid w:val="00CA628E"/>
    <w:rsid w:val="00CA62DA"/>
    <w:rsid w:val="00CA6309"/>
    <w:rsid w:val="00CA6323"/>
    <w:rsid w:val="00CA639B"/>
    <w:rsid w:val="00CA63EB"/>
    <w:rsid w:val="00CA6429"/>
    <w:rsid w:val="00CA6445"/>
    <w:rsid w:val="00CA648F"/>
    <w:rsid w:val="00CA64B8"/>
    <w:rsid w:val="00CA6650"/>
    <w:rsid w:val="00CA6651"/>
    <w:rsid w:val="00CA66A7"/>
    <w:rsid w:val="00CA6769"/>
    <w:rsid w:val="00CA67A3"/>
    <w:rsid w:val="00CA6837"/>
    <w:rsid w:val="00CA68BD"/>
    <w:rsid w:val="00CA68C5"/>
    <w:rsid w:val="00CA68F2"/>
    <w:rsid w:val="00CA6952"/>
    <w:rsid w:val="00CA696B"/>
    <w:rsid w:val="00CA6976"/>
    <w:rsid w:val="00CA6A4D"/>
    <w:rsid w:val="00CA6A67"/>
    <w:rsid w:val="00CA6A9C"/>
    <w:rsid w:val="00CA6AB5"/>
    <w:rsid w:val="00CA6C10"/>
    <w:rsid w:val="00CA6C22"/>
    <w:rsid w:val="00CA6C91"/>
    <w:rsid w:val="00CA6CF0"/>
    <w:rsid w:val="00CA6D07"/>
    <w:rsid w:val="00CA6E14"/>
    <w:rsid w:val="00CA6EB2"/>
    <w:rsid w:val="00CA6F37"/>
    <w:rsid w:val="00CA6FA7"/>
    <w:rsid w:val="00CA6FEC"/>
    <w:rsid w:val="00CA6FEF"/>
    <w:rsid w:val="00CA711C"/>
    <w:rsid w:val="00CA719B"/>
    <w:rsid w:val="00CA724F"/>
    <w:rsid w:val="00CA72EE"/>
    <w:rsid w:val="00CA734E"/>
    <w:rsid w:val="00CA73B5"/>
    <w:rsid w:val="00CA7458"/>
    <w:rsid w:val="00CA749C"/>
    <w:rsid w:val="00CA7518"/>
    <w:rsid w:val="00CA7629"/>
    <w:rsid w:val="00CA7655"/>
    <w:rsid w:val="00CA76A2"/>
    <w:rsid w:val="00CA774D"/>
    <w:rsid w:val="00CA7797"/>
    <w:rsid w:val="00CA77BA"/>
    <w:rsid w:val="00CA77F5"/>
    <w:rsid w:val="00CA7838"/>
    <w:rsid w:val="00CA7843"/>
    <w:rsid w:val="00CA78AA"/>
    <w:rsid w:val="00CA78EA"/>
    <w:rsid w:val="00CA794A"/>
    <w:rsid w:val="00CA7989"/>
    <w:rsid w:val="00CA7BD8"/>
    <w:rsid w:val="00CA7C6F"/>
    <w:rsid w:val="00CA7C80"/>
    <w:rsid w:val="00CA7C89"/>
    <w:rsid w:val="00CA7CBB"/>
    <w:rsid w:val="00CA7D2D"/>
    <w:rsid w:val="00CA7D31"/>
    <w:rsid w:val="00CA7D38"/>
    <w:rsid w:val="00CA7DBD"/>
    <w:rsid w:val="00CA7DC3"/>
    <w:rsid w:val="00CA7DC6"/>
    <w:rsid w:val="00CA7DF5"/>
    <w:rsid w:val="00CA7E5A"/>
    <w:rsid w:val="00CA7E79"/>
    <w:rsid w:val="00CA7F65"/>
    <w:rsid w:val="00CA7FAB"/>
    <w:rsid w:val="00CB00B2"/>
    <w:rsid w:val="00CB00E0"/>
    <w:rsid w:val="00CB0217"/>
    <w:rsid w:val="00CB02BC"/>
    <w:rsid w:val="00CB0364"/>
    <w:rsid w:val="00CB03CB"/>
    <w:rsid w:val="00CB03DE"/>
    <w:rsid w:val="00CB041A"/>
    <w:rsid w:val="00CB04CB"/>
    <w:rsid w:val="00CB060B"/>
    <w:rsid w:val="00CB064D"/>
    <w:rsid w:val="00CB0663"/>
    <w:rsid w:val="00CB0736"/>
    <w:rsid w:val="00CB07DD"/>
    <w:rsid w:val="00CB07EE"/>
    <w:rsid w:val="00CB080B"/>
    <w:rsid w:val="00CB082E"/>
    <w:rsid w:val="00CB085F"/>
    <w:rsid w:val="00CB086D"/>
    <w:rsid w:val="00CB08EB"/>
    <w:rsid w:val="00CB0903"/>
    <w:rsid w:val="00CB0A09"/>
    <w:rsid w:val="00CB0A28"/>
    <w:rsid w:val="00CB0AE5"/>
    <w:rsid w:val="00CB0D4C"/>
    <w:rsid w:val="00CB0D56"/>
    <w:rsid w:val="00CB0DA8"/>
    <w:rsid w:val="00CB0DB4"/>
    <w:rsid w:val="00CB0DC7"/>
    <w:rsid w:val="00CB0DD5"/>
    <w:rsid w:val="00CB0E99"/>
    <w:rsid w:val="00CB0F27"/>
    <w:rsid w:val="00CB0F85"/>
    <w:rsid w:val="00CB101A"/>
    <w:rsid w:val="00CB1060"/>
    <w:rsid w:val="00CB10C6"/>
    <w:rsid w:val="00CB10CB"/>
    <w:rsid w:val="00CB11B6"/>
    <w:rsid w:val="00CB1213"/>
    <w:rsid w:val="00CB123A"/>
    <w:rsid w:val="00CB12DA"/>
    <w:rsid w:val="00CB130E"/>
    <w:rsid w:val="00CB14C1"/>
    <w:rsid w:val="00CB15A1"/>
    <w:rsid w:val="00CB168D"/>
    <w:rsid w:val="00CB169B"/>
    <w:rsid w:val="00CB16DE"/>
    <w:rsid w:val="00CB16F7"/>
    <w:rsid w:val="00CB171E"/>
    <w:rsid w:val="00CB17EE"/>
    <w:rsid w:val="00CB18C2"/>
    <w:rsid w:val="00CB190C"/>
    <w:rsid w:val="00CB196A"/>
    <w:rsid w:val="00CB1A60"/>
    <w:rsid w:val="00CB1B0F"/>
    <w:rsid w:val="00CB1BDB"/>
    <w:rsid w:val="00CB1CA1"/>
    <w:rsid w:val="00CB1DBB"/>
    <w:rsid w:val="00CB1FBC"/>
    <w:rsid w:val="00CB1FE3"/>
    <w:rsid w:val="00CB200B"/>
    <w:rsid w:val="00CB203F"/>
    <w:rsid w:val="00CB206A"/>
    <w:rsid w:val="00CB209F"/>
    <w:rsid w:val="00CB20A6"/>
    <w:rsid w:val="00CB21C6"/>
    <w:rsid w:val="00CB21D4"/>
    <w:rsid w:val="00CB22C0"/>
    <w:rsid w:val="00CB231C"/>
    <w:rsid w:val="00CB2334"/>
    <w:rsid w:val="00CB23CA"/>
    <w:rsid w:val="00CB240E"/>
    <w:rsid w:val="00CB24E3"/>
    <w:rsid w:val="00CB2549"/>
    <w:rsid w:val="00CB255E"/>
    <w:rsid w:val="00CB2575"/>
    <w:rsid w:val="00CB2612"/>
    <w:rsid w:val="00CB2690"/>
    <w:rsid w:val="00CB2716"/>
    <w:rsid w:val="00CB27EA"/>
    <w:rsid w:val="00CB2861"/>
    <w:rsid w:val="00CB2879"/>
    <w:rsid w:val="00CB28DD"/>
    <w:rsid w:val="00CB2901"/>
    <w:rsid w:val="00CB29D6"/>
    <w:rsid w:val="00CB2A3F"/>
    <w:rsid w:val="00CB2A5B"/>
    <w:rsid w:val="00CB2A7C"/>
    <w:rsid w:val="00CB2ACE"/>
    <w:rsid w:val="00CB2B61"/>
    <w:rsid w:val="00CB2BB3"/>
    <w:rsid w:val="00CB2BDF"/>
    <w:rsid w:val="00CB2C26"/>
    <w:rsid w:val="00CB2C5E"/>
    <w:rsid w:val="00CB2CBF"/>
    <w:rsid w:val="00CB2D30"/>
    <w:rsid w:val="00CB2D3E"/>
    <w:rsid w:val="00CB2D72"/>
    <w:rsid w:val="00CB2DE6"/>
    <w:rsid w:val="00CB2E9E"/>
    <w:rsid w:val="00CB2EC6"/>
    <w:rsid w:val="00CB2F12"/>
    <w:rsid w:val="00CB2F6C"/>
    <w:rsid w:val="00CB2F86"/>
    <w:rsid w:val="00CB2F9D"/>
    <w:rsid w:val="00CB2FAC"/>
    <w:rsid w:val="00CB3060"/>
    <w:rsid w:val="00CB3077"/>
    <w:rsid w:val="00CB3090"/>
    <w:rsid w:val="00CB30D6"/>
    <w:rsid w:val="00CB312F"/>
    <w:rsid w:val="00CB31D2"/>
    <w:rsid w:val="00CB31F4"/>
    <w:rsid w:val="00CB3269"/>
    <w:rsid w:val="00CB3323"/>
    <w:rsid w:val="00CB33F9"/>
    <w:rsid w:val="00CB3437"/>
    <w:rsid w:val="00CB34F1"/>
    <w:rsid w:val="00CB35E0"/>
    <w:rsid w:val="00CB35F5"/>
    <w:rsid w:val="00CB367E"/>
    <w:rsid w:val="00CB36B9"/>
    <w:rsid w:val="00CB372A"/>
    <w:rsid w:val="00CB379F"/>
    <w:rsid w:val="00CB37AF"/>
    <w:rsid w:val="00CB3809"/>
    <w:rsid w:val="00CB3817"/>
    <w:rsid w:val="00CB387E"/>
    <w:rsid w:val="00CB3946"/>
    <w:rsid w:val="00CB398F"/>
    <w:rsid w:val="00CB39C9"/>
    <w:rsid w:val="00CB3A03"/>
    <w:rsid w:val="00CB3A70"/>
    <w:rsid w:val="00CB3B09"/>
    <w:rsid w:val="00CB3B7B"/>
    <w:rsid w:val="00CB3C1A"/>
    <w:rsid w:val="00CB3C2C"/>
    <w:rsid w:val="00CB3C96"/>
    <w:rsid w:val="00CB3C9D"/>
    <w:rsid w:val="00CB3CA2"/>
    <w:rsid w:val="00CB3D11"/>
    <w:rsid w:val="00CB3D6C"/>
    <w:rsid w:val="00CB3D94"/>
    <w:rsid w:val="00CB3E3B"/>
    <w:rsid w:val="00CB3E5D"/>
    <w:rsid w:val="00CB3F51"/>
    <w:rsid w:val="00CB401D"/>
    <w:rsid w:val="00CB406D"/>
    <w:rsid w:val="00CB40A1"/>
    <w:rsid w:val="00CB40E4"/>
    <w:rsid w:val="00CB40FD"/>
    <w:rsid w:val="00CB419B"/>
    <w:rsid w:val="00CB41AD"/>
    <w:rsid w:val="00CB41DB"/>
    <w:rsid w:val="00CB4278"/>
    <w:rsid w:val="00CB434D"/>
    <w:rsid w:val="00CB4368"/>
    <w:rsid w:val="00CB436F"/>
    <w:rsid w:val="00CB43F4"/>
    <w:rsid w:val="00CB43FF"/>
    <w:rsid w:val="00CB44C1"/>
    <w:rsid w:val="00CB44E4"/>
    <w:rsid w:val="00CB44F0"/>
    <w:rsid w:val="00CB45CD"/>
    <w:rsid w:val="00CB45D2"/>
    <w:rsid w:val="00CB463A"/>
    <w:rsid w:val="00CB4683"/>
    <w:rsid w:val="00CB47D2"/>
    <w:rsid w:val="00CB481E"/>
    <w:rsid w:val="00CB48C5"/>
    <w:rsid w:val="00CB49B3"/>
    <w:rsid w:val="00CB4A66"/>
    <w:rsid w:val="00CB4AB2"/>
    <w:rsid w:val="00CB4AC0"/>
    <w:rsid w:val="00CB4B48"/>
    <w:rsid w:val="00CB4C64"/>
    <w:rsid w:val="00CB4D48"/>
    <w:rsid w:val="00CB4D6B"/>
    <w:rsid w:val="00CB4E2A"/>
    <w:rsid w:val="00CB4E68"/>
    <w:rsid w:val="00CB4F94"/>
    <w:rsid w:val="00CB5065"/>
    <w:rsid w:val="00CB5090"/>
    <w:rsid w:val="00CB509D"/>
    <w:rsid w:val="00CB5147"/>
    <w:rsid w:val="00CB5196"/>
    <w:rsid w:val="00CB51EC"/>
    <w:rsid w:val="00CB5206"/>
    <w:rsid w:val="00CB5283"/>
    <w:rsid w:val="00CB5298"/>
    <w:rsid w:val="00CB5345"/>
    <w:rsid w:val="00CB53D3"/>
    <w:rsid w:val="00CB53D7"/>
    <w:rsid w:val="00CB542F"/>
    <w:rsid w:val="00CB54AE"/>
    <w:rsid w:val="00CB54C9"/>
    <w:rsid w:val="00CB5561"/>
    <w:rsid w:val="00CB55A2"/>
    <w:rsid w:val="00CB56CD"/>
    <w:rsid w:val="00CB576D"/>
    <w:rsid w:val="00CB581F"/>
    <w:rsid w:val="00CB5856"/>
    <w:rsid w:val="00CB58AF"/>
    <w:rsid w:val="00CB58B3"/>
    <w:rsid w:val="00CB58D3"/>
    <w:rsid w:val="00CB59A6"/>
    <w:rsid w:val="00CB5AB9"/>
    <w:rsid w:val="00CB5B01"/>
    <w:rsid w:val="00CB5B26"/>
    <w:rsid w:val="00CB5B9F"/>
    <w:rsid w:val="00CB5CE8"/>
    <w:rsid w:val="00CB5EE6"/>
    <w:rsid w:val="00CB6015"/>
    <w:rsid w:val="00CB603E"/>
    <w:rsid w:val="00CB61B9"/>
    <w:rsid w:val="00CB62FA"/>
    <w:rsid w:val="00CB6322"/>
    <w:rsid w:val="00CB6430"/>
    <w:rsid w:val="00CB64CF"/>
    <w:rsid w:val="00CB6706"/>
    <w:rsid w:val="00CB6764"/>
    <w:rsid w:val="00CB68AC"/>
    <w:rsid w:val="00CB69C8"/>
    <w:rsid w:val="00CB6A1E"/>
    <w:rsid w:val="00CB6A2B"/>
    <w:rsid w:val="00CB6B4A"/>
    <w:rsid w:val="00CB6CD7"/>
    <w:rsid w:val="00CB6D8A"/>
    <w:rsid w:val="00CB6D8E"/>
    <w:rsid w:val="00CB6E58"/>
    <w:rsid w:val="00CB6F25"/>
    <w:rsid w:val="00CB6F93"/>
    <w:rsid w:val="00CB7006"/>
    <w:rsid w:val="00CB700A"/>
    <w:rsid w:val="00CB718A"/>
    <w:rsid w:val="00CB71E5"/>
    <w:rsid w:val="00CB7205"/>
    <w:rsid w:val="00CB727E"/>
    <w:rsid w:val="00CB72B2"/>
    <w:rsid w:val="00CB734D"/>
    <w:rsid w:val="00CB73AA"/>
    <w:rsid w:val="00CB73C0"/>
    <w:rsid w:val="00CB740E"/>
    <w:rsid w:val="00CB75DA"/>
    <w:rsid w:val="00CB7787"/>
    <w:rsid w:val="00CB77E1"/>
    <w:rsid w:val="00CB78C3"/>
    <w:rsid w:val="00CB78DD"/>
    <w:rsid w:val="00CB7940"/>
    <w:rsid w:val="00CB794D"/>
    <w:rsid w:val="00CB7A94"/>
    <w:rsid w:val="00CB7D25"/>
    <w:rsid w:val="00CB7D6B"/>
    <w:rsid w:val="00CB7E22"/>
    <w:rsid w:val="00CB7ED1"/>
    <w:rsid w:val="00CB7F0A"/>
    <w:rsid w:val="00CB7F40"/>
    <w:rsid w:val="00CC01DB"/>
    <w:rsid w:val="00CC020A"/>
    <w:rsid w:val="00CC0246"/>
    <w:rsid w:val="00CC0256"/>
    <w:rsid w:val="00CC0303"/>
    <w:rsid w:val="00CC0347"/>
    <w:rsid w:val="00CC0353"/>
    <w:rsid w:val="00CC043D"/>
    <w:rsid w:val="00CC04BF"/>
    <w:rsid w:val="00CC0513"/>
    <w:rsid w:val="00CC0515"/>
    <w:rsid w:val="00CC05AD"/>
    <w:rsid w:val="00CC0613"/>
    <w:rsid w:val="00CC0715"/>
    <w:rsid w:val="00CC0734"/>
    <w:rsid w:val="00CC0788"/>
    <w:rsid w:val="00CC07AE"/>
    <w:rsid w:val="00CC07D8"/>
    <w:rsid w:val="00CC0801"/>
    <w:rsid w:val="00CC0A47"/>
    <w:rsid w:val="00CC0AE0"/>
    <w:rsid w:val="00CC0B4A"/>
    <w:rsid w:val="00CC0BF4"/>
    <w:rsid w:val="00CC0D64"/>
    <w:rsid w:val="00CC0F4B"/>
    <w:rsid w:val="00CC0FA3"/>
    <w:rsid w:val="00CC0FE2"/>
    <w:rsid w:val="00CC10D9"/>
    <w:rsid w:val="00CC11F5"/>
    <w:rsid w:val="00CC1205"/>
    <w:rsid w:val="00CC1254"/>
    <w:rsid w:val="00CC1355"/>
    <w:rsid w:val="00CC14B9"/>
    <w:rsid w:val="00CC14DD"/>
    <w:rsid w:val="00CC15D1"/>
    <w:rsid w:val="00CC161A"/>
    <w:rsid w:val="00CC16FF"/>
    <w:rsid w:val="00CC1730"/>
    <w:rsid w:val="00CC1742"/>
    <w:rsid w:val="00CC17AE"/>
    <w:rsid w:val="00CC189A"/>
    <w:rsid w:val="00CC1900"/>
    <w:rsid w:val="00CC196F"/>
    <w:rsid w:val="00CC19FE"/>
    <w:rsid w:val="00CC1A19"/>
    <w:rsid w:val="00CC1A58"/>
    <w:rsid w:val="00CC1A84"/>
    <w:rsid w:val="00CC1AFE"/>
    <w:rsid w:val="00CC1B15"/>
    <w:rsid w:val="00CC1B23"/>
    <w:rsid w:val="00CC1B25"/>
    <w:rsid w:val="00CC1C50"/>
    <w:rsid w:val="00CC1C87"/>
    <w:rsid w:val="00CC1C9A"/>
    <w:rsid w:val="00CC1D28"/>
    <w:rsid w:val="00CC1DFA"/>
    <w:rsid w:val="00CC1E24"/>
    <w:rsid w:val="00CC1E32"/>
    <w:rsid w:val="00CC1EA7"/>
    <w:rsid w:val="00CC1EDA"/>
    <w:rsid w:val="00CC1F1C"/>
    <w:rsid w:val="00CC1F21"/>
    <w:rsid w:val="00CC1F60"/>
    <w:rsid w:val="00CC1F86"/>
    <w:rsid w:val="00CC1FEA"/>
    <w:rsid w:val="00CC2296"/>
    <w:rsid w:val="00CC22E2"/>
    <w:rsid w:val="00CC22F4"/>
    <w:rsid w:val="00CC2336"/>
    <w:rsid w:val="00CC2387"/>
    <w:rsid w:val="00CC239F"/>
    <w:rsid w:val="00CC23A3"/>
    <w:rsid w:val="00CC2404"/>
    <w:rsid w:val="00CC246A"/>
    <w:rsid w:val="00CC25A7"/>
    <w:rsid w:val="00CC25F4"/>
    <w:rsid w:val="00CC2620"/>
    <w:rsid w:val="00CC267C"/>
    <w:rsid w:val="00CC26CF"/>
    <w:rsid w:val="00CC27E2"/>
    <w:rsid w:val="00CC2937"/>
    <w:rsid w:val="00CC29F1"/>
    <w:rsid w:val="00CC2A3E"/>
    <w:rsid w:val="00CC2A82"/>
    <w:rsid w:val="00CC2B30"/>
    <w:rsid w:val="00CC2B94"/>
    <w:rsid w:val="00CC2BD2"/>
    <w:rsid w:val="00CC2C99"/>
    <w:rsid w:val="00CC2CD0"/>
    <w:rsid w:val="00CC2CE5"/>
    <w:rsid w:val="00CC2DD1"/>
    <w:rsid w:val="00CC2E64"/>
    <w:rsid w:val="00CC2EFE"/>
    <w:rsid w:val="00CC2EFF"/>
    <w:rsid w:val="00CC2F0E"/>
    <w:rsid w:val="00CC2FC0"/>
    <w:rsid w:val="00CC2FF5"/>
    <w:rsid w:val="00CC3098"/>
    <w:rsid w:val="00CC30C5"/>
    <w:rsid w:val="00CC30E4"/>
    <w:rsid w:val="00CC3103"/>
    <w:rsid w:val="00CC312B"/>
    <w:rsid w:val="00CC317C"/>
    <w:rsid w:val="00CC31A7"/>
    <w:rsid w:val="00CC31F5"/>
    <w:rsid w:val="00CC3237"/>
    <w:rsid w:val="00CC3257"/>
    <w:rsid w:val="00CC326A"/>
    <w:rsid w:val="00CC32A7"/>
    <w:rsid w:val="00CC32C9"/>
    <w:rsid w:val="00CC3347"/>
    <w:rsid w:val="00CC3357"/>
    <w:rsid w:val="00CC3462"/>
    <w:rsid w:val="00CC34EB"/>
    <w:rsid w:val="00CC356E"/>
    <w:rsid w:val="00CC3586"/>
    <w:rsid w:val="00CC35C3"/>
    <w:rsid w:val="00CC36F8"/>
    <w:rsid w:val="00CC37DA"/>
    <w:rsid w:val="00CC3832"/>
    <w:rsid w:val="00CC3874"/>
    <w:rsid w:val="00CC38C6"/>
    <w:rsid w:val="00CC3907"/>
    <w:rsid w:val="00CC39E3"/>
    <w:rsid w:val="00CC3B27"/>
    <w:rsid w:val="00CC3B3E"/>
    <w:rsid w:val="00CC3C4B"/>
    <w:rsid w:val="00CC3C63"/>
    <w:rsid w:val="00CC3C78"/>
    <w:rsid w:val="00CC3C99"/>
    <w:rsid w:val="00CC3D9C"/>
    <w:rsid w:val="00CC3EB1"/>
    <w:rsid w:val="00CC3EBD"/>
    <w:rsid w:val="00CC3EDD"/>
    <w:rsid w:val="00CC3FA8"/>
    <w:rsid w:val="00CC4030"/>
    <w:rsid w:val="00CC4075"/>
    <w:rsid w:val="00CC411F"/>
    <w:rsid w:val="00CC41E9"/>
    <w:rsid w:val="00CC41F0"/>
    <w:rsid w:val="00CC42C0"/>
    <w:rsid w:val="00CC4357"/>
    <w:rsid w:val="00CC4361"/>
    <w:rsid w:val="00CC4379"/>
    <w:rsid w:val="00CC43B9"/>
    <w:rsid w:val="00CC43E7"/>
    <w:rsid w:val="00CC43EE"/>
    <w:rsid w:val="00CC451C"/>
    <w:rsid w:val="00CC452B"/>
    <w:rsid w:val="00CC4582"/>
    <w:rsid w:val="00CC45CF"/>
    <w:rsid w:val="00CC45EC"/>
    <w:rsid w:val="00CC46B1"/>
    <w:rsid w:val="00CC470C"/>
    <w:rsid w:val="00CC47E2"/>
    <w:rsid w:val="00CC4800"/>
    <w:rsid w:val="00CC49A1"/>
    <w:rsid w:val="00CC4A35"/>
    <w:rsid w:val="00CC4B29"/>
    <w:rsid w:val="00CC4BFC"/>
    <w:rsid w:val="00CC4C14"/>
    <w:rsid w:val="00CC4C1F"/>
    <w:rsid w:val="00CC4C65"/>
    <w:rsid w:val="00CC4C87"/>
    <w:rsid w:val="00CC4E2E"/>
    <w:rsid w:val="00CC4E7F"/>
    <w:rsid w:val="00CC4EC5"/>
    <w:rsid w:val="00CC4F12"/>
    <w:rsid w:val="00CC4F15"/>
    <w:rsid w:val="00CC4F38"/>
    <w:rsid w:val="00CC4F3E"/>
    <w:rsid w:val="00CC4F3F"/>
    <w:rsid w:val="00CC4F91"/>
    <w:rsid w:val="00CC5025"/>
    <w:rsid w:val="00CC50F2"/>
    <w:rsid w:val="00CC5189"/>
    <w:rsid w:val="00CC525E"/>
    <w:rsid w:val="00CC5311"/>
    <w:rsid w:val="00CC535F"/>
    <w:rsid w:val="00CC5413"/>
    <w:rsid w:val="00CC5563"/>
    <w:rsid w:val="00CC55CF"/>
    <w:rsid w:val="00CC55DC"/>
    <w:rsid w:val="00CC5634"/>
    <w:rsid w:val="00CC5727"/>
    <w:rsid w:val="00CC5791"/>
    <w:rsid w:val="00CC57E7"/>
    <w:rsid w:val="00CC58C8"/>
    <w:rsid w:val="00CC5A04"/>
    <w:rsid w:val="00CC5A2F"/>
    <w:rsid w:val="00CC5A3B"/>
    <w:rsid w:val="00CC5B73"/>
    <w:rsid w:val="00CC5B79"/>
    <w:rsid w:val="00CC5BD2"/>
    <w:rsid w:val="00CC5DA0"/>
    <w:rsid w:val="00CC5E46"/>
    <w:rsid w:val="00CC5EE0"/>
    <w:rsid w:val="00CC601F"/>
    <w:rsid w:val="00CC6023"/>
    <w:rsid w:val="00CC6046"/>
    <w:rsid w:val="00CC6061"/>
    <w:rsid w:val="00CC607B"/>
    <w:rsid w:val="00CC60CF"/>
    <w:rsid w:val="00CC60F7"/>
    <w:rsid w:val="00CC61C7"/>
    <w:rsid w:val="00CC62A9"/>
    <w:rsid w:val="00CC6389"/>
    <w:rsid w:val="00CC63EB"/>
    <w:rsid w:val="00CC648E"/>
    <w:rsid w:val="00CC64C4"/>
    <w:rsid w:val="00CC6534"/>
    <w:rsid w:val="00CC65E6"/>
    <w:rsid w:val="00CC65F0"/>
    <w:rsid w:val="00CC65F6"/>
    <w:rsid w:val="00CC6684"/>
    <w:rsid w:val="00CC66A3"/>
    <w:rsid w:val="00CC66E9"/>
    <w:rsid w:val="00CC6790"/>
    <w:rsid w:val="00CC67CC"/>
    <w:rsid w:val="00CC680C"/>
    <w:rsid w:val="00CC6841"/>
    <w:rsid w:val="00CC68A9"/>
    <w:rsid w:val="00CC68FE"/>
    <w:rsid w:val="00CC6A23"/>
    <w:rsid w:val="00CC6A9D"/>
    <w:rsid w:val="00CC6BA4"/>
    <w:rsid w:val="00CC6C26"/>
    <w:rsid w:val="00CC6CD8"/>
    <w:rsid w:val="00CC6E08"/>
    <w:rsid w:val="00CC6E7F"/>
    <w:rsid w:val="00CC6EAF"/>
    <w:rsid w:val="00CC6F77"/>
    <w:rsid w:val="00CC6F83"/>
    <w:rsid w:val="00CC7077"/>
    <w:rsid w:val="00CC70C5"/>
    <w:rsid w:val="00CC7100"/>
    <w:rsid w:val="00CC7129"/>
    <w:rsid w:val="00CC7147"/>
    <w:rsid w:val="00CC715C"/>
    <w:rsid w:val="00CC71C3"/>
    <w:rsid w:val="00CC723E"/>
    <w:rsid w:val="00CC72C6"/>
    <w:rsid w:val="00CC7315"/>
    <w:rsid w:val="00CC74C7"/>
    <w:rsid w:val="00CC7529"/>
    <w:rsid w:val="00CC75FC"/>
    <w:rsid w:val="00CC7611"/>
    <w:rsid w:val="00CC7651"/>
    <w:rsid w:val="00CC7663"/>
    <w:rsid w:val="00CC7689"/>
    <w:rsid w:val="00CC770B"/>
    <w:rsid w:val="00CC7715"/>
    <w:rsid w:val="00CC7741"/>
    <w:rsid w:val="00CC7778"/>
    <w:rsid w:val="00CC779D"/>
    <w:rsid w:val="00CC7817"/>
    <w:rsid w:val="00CC787F"/>
    <w:rsid w:val="00CC788F"/>
    <w:rsid w:val="00CC78A2"/>
    <w:rsid w:val="00CC7905"/>
    <w:rsid w:val="00CC7AE5"/>
    <w:rsid w:val="00CC7BB4"/>
    <w:rsid w:val="00CC7C57"/>
    <w:rsid w:val="00CC7CB7"/>
    <w:rsid w:val="00CC7DDD"/>
    <w:rsid w:val="00CC7E75"/>
    <w:rsid w:val="00CC7EA0"/>
    <w:rsid w:val="00CD0019"/>
    <w:rsid w:val="00CD001D"/>
    <w:rsid w:val="00CD0027"/>
    <w:rsid w:val="00CD003A"/>
    <w:rsid w:val="00CD0088"/>
    <w:rsid w:val="00CD00B1"/>
    <w:rsid w:val="00CD0125"/>
    <w:rsid w:val="00CD0170"/>
    <w:rsid w:val="00CD03D1"/>
    <w:rsid w:val="00CD03FC"/>
    <w:rsid w:val="00CD041F"/>
    <w:rsid w:val="00CD044C"/>
    <w:rsid w:val="00CD047C"/>
    <w:rsid w:val="00CD04E4"/>
    <w:rsid w:val="00CD05A0"/>
    <w:rsid w:val="00CD05FE"/>
    <w:rsid w:val="00CD0630"/>
    <w:rsid w:val="00CD067A"/>
    <w:rsid w:val="00CD0701"/>
    <w:rsid w:val="00CD0796"/>
    <w:rsid w:val="00CD07B6"/>
    <w:rsid w:val="00CD07D7"/>
    <w:rsid w:val="00CD0819"/>
    <w:rsid w:val="00CD08B0"/>
    <w:rsid w:val="00CD0916"/>
    <w:rsid w:val="00CD096A"/>
    <w:rsid w:val="00CD0995"/>
    <w:rsid w:val="00CD0A4A"/>
    <w:rsid w:val="00CD0B6D"/>
    <w:rsid w:val="00CD0B84"/>
    <w:rsid w:val="00CD0BAE"/>
    <w:rsid w:val="00CD0BE7"/>
    <w:rsid w:val="00CD0C36"/>
    <w:rsid w:val="00CD0D08"/>
    <w:rsid w:val="00CD0D0A"/>
    <w:rsid w:val="00CD0D23"/>
    <w:rsid w:val="00CD0D3D"/>
    <w:rsid w:val="00CD0D4E"/>
    <w:rsid w:val="00CD0D6F"/>
    <w:rsid w:val="00CD0DF0"/>
    <w:rsid w:val="00CD0DF8"/>
    <w:rsid w:val="00CD0F19"/>
    <w:rsid w:val="00CD0F27"/>
    <w:rsid w:val="00CD103F"/>
    <w:rsid w:val="00CD1092"/>
    <w:rsid w:val="00CD10AF"/>
    <w:rsid w:val="00CD12BA"/>
    <w:rsid w:val="00CD12D7"/>
    <w:rsid w:val="00CD13A1"/>
    <w:rsid w:val="00CD13B1"/>
    <w:rsid w:val="00CD13B2"/>
    <w:rsid w:val="00CD13FE"/>
    <w:rsid w:val="00CD1450"/>
    <w:rsid w:val="00CD14D3"/>
    <w:rsid w:val="00CD14DD"/>
    <w:rsid w:val="00CD160C"/>
    <w:rsid w:val="00CD1714"/>
    <w:rsid w:val="00CD17C4"/>
    <w:rsid w:val="00CD17E9"/>
    <w:rsid w:val="00CD17F2"/>
    <w:rsid w:val="00CD181B"/>
    <w:rsid w:val="00CD191A"/>
    <w:rsid w:val="00CD1930"/>
    <w:rsid w:val="00CD1996"/>
    <w:rsid w:val="00CD1A49"/>
    <w:rsid w:val="00CD1B1A"/>
    <w:rsid w:val="00CD1C96"/>
    <w:rsid w:val="00CD1D0A"/>
    <w:rsid w:val="00CD1D42"/>
    <w:rsid w:val="00CD1D8D"/>
    <w:rsid w:val="00CD1E3F"/>
    <w:rsid w:val="00CD1E45"/>
    <w:rsid w:val="00CD1EEF"/>
    <w:rsid w:val="00CD1FF2"/>
    <w:rsid w:val="00CD2079"/>
    <w:rsid w:val="00CD2084"/>
    <w:rsid w:val="00CD20BA"/>
    <w:rsid w:val="00CD20CE"/>
    <w:rsid w:val="00CD20D6"/>
    <w:rsid w:val="00CD21B9"/>
    <w:rsid w:val="00CD22C3"/>
    <w:rsid w:val="00CD22F0"/>
    <w:rsid w:val="00CD233E"/>
    <w:rsid w:val="00CD2348"/>
    <w:rsid w:val="00CD236A"/>
    <w:rsid w:val="00CD2379"/>
    <w:rsid w:val="00CD23AE"/>
    <w:rsid w:val="00CD244A"/>
    <w:rsid w:val="00CD2482"/>
    <w:rsid w:val="00CD2619"/>
    <w:rsid w:val="00CD2680"/>
    <w:rsid w:val="00CD2694"/>
    <w:rsid w:val="00CD26B1"/>
    <w:rsid w:val="00CD270A"/>
    <w:rsid w:val="00CD281F"/>
    <w:rsid w:val="00CD2844"/>
    <w:rsid w:val="00CD2A42"/>
    <w:rsid w:val="00CD2A52"/>
    <w:rsid w:val="00CD2A9F"/>
    <w:rsid w:val="00CD2AC0"/>
    <w:rsid w:val="00CD2AEB"/>
    <w:rsid w:val="00CD2BBF"/>
    <w:rsid w:val="00CD2C33"/>
    <w:rsid w:val="00CD2CE1"/>
    <w:rsid w:val="00CD2D04"/>
    <w:rsid w:val="00CD2D25"/>
    <w:rsid w:val="00CD2D84"/>
    <w:rsid w:val="00CD2DA8"/>
    <w:rsid w:val="00CD2E01"/>
    <w:rsid w:val="00CD2EBE"/>
    <w:rsid w:val="00CD2FE3"/>
    <w:rsid w:val="00CD304C"/>
    <w:rsid w:val="00CD305B"/>
    <w:rsid w:val="00CD307D"/>
    <w:rsid w:val="00CD316B"/>
    <w:rsid w:val="00CD321A"/>
    <w:rsid w:val="00CD3227"/>
    <w:rsid w:val="00CD325C"/>
    <w:rsid w:val="00CD3300"/>
    <w:rsid w:val="00CD3346"/>
    <w:rsid w:val="00CD35DA"/>
    <w:rsid w:val="00CD3665"/>
    <w:rsid w:val="00CD36A6"/>
    <w:rsid w:val="00CD370B"/>
    <w:rsid w:val="00CD38B3"/>
    <w:rsid w:val="00CD3906"/>
    <w:rsid w:val="00CD396E"/>
    <w:rsid w:val="00CD398C"/>
    <w:rsid w:val="00CD3A1A"/>
    <w:rsid w:val="00CD3ACC"/>
    <w:rsid w:val="00CD3AFF"/>
    <w:rsid w:val="00CD3B05"/>
    <w:rsid w:val="00CD3C2F"/>
    <w:rsid w:val="00CD3C45"/>
    <w:rsid w:val="00CD3D20"/>
    <w:rsid w:val="00CD3D23"/>
    <w:rsid w:val="00CD3F4A"/>
    <w:rsid w:val="00CD3FAB"/>
    <w:rsid w:val="00CD3FF2"/>
    <w:rsid w:val="00CD4034"/>
    <w:rsid w:val="00CD4092"/>
    <w:rsid w:val="00CD4176"/>
    <w:rsid w:val="00CD4225"/>
    <w:rsid w:val="00CD4233"/>
    <w:rsid w:val="00CD425C"/>
    <w:rsid w:val="00CD43C8"/>
    <w:rsid w:val="00CD44CA"/>
    <w:rsid w:val="00CD44CB"/>
    <w:rsid w:val="00CD450D"/>
    <w:rsid w:val="00CD45D2"/>
    <w:rsid w:val="00CD4646"/>
    <w:rsid w:val="00CD465E"/>
    <w:rsid w:val="00CD472A"/>
    <w:rsid w:val="00CD4782"/>
    <w:rsid w:val="00CD4816"/>
    <w:rsid w:val="00CD4882"/>
    <w:rsid w:val="00CD488B"/>
    <w:rsid w:val="00CD48BF"/>
    <w:rsid w:val="00CD48C4"/>
    <w:rsid w:val="00CD48F8"/>
    <w:rsid w:val="00CD49B3"/>
    <w:rsid w:val="00CD49CC"/>
    <w:rsid w:val="00CD49DC"/>
    <w:rsid w:val="00CD4A7A"/>
    <w:rsid w:val="00CD4A80"/>
    <w:rsid w:val="00CD4B8E"/>
    <w:rsid w:val="00CD4BEA"/>
    <w:rsid w:val="00CD4CE6"/>
    <w:rsid w:val="00CD4DD0"/>
    <w:rsid w:val="00CD4E7B"/>
    <w:rsid w:val="00CD4EFD"/>
    <w:rsid w:val="00CD4F0F"/>
    <w:rsid w:val="00CD4F28"/>
    <w:rsid w:val="00CD4F29"/>
    <w:rsid w:val="00CD4F47"/>
    <w:rsid w:val="00CD4F7A"/>
    <w:rsid w:val="00CD5243"/>
    <w:rsid w:val="00CD52C2"/>
    <w:rsid w:val="00CD5377"/>
    <w:rsid w:val="00CD538E"/>
    <w:rsid w:val="00CD548C"/>
    <w:rsid w:val="00CD54DA"/>
    <w:rsid w:val="00CD5533"/>
    <w:rsid w:val="00CD556A"/>
    <w:rsid w:val="00CD55CB"/>
    <w:rsid w:val="00CD55D3"/>
    <w:rsid w:val="00CD5645"/>
    <w:rsid w:val="00CD5671"/>
    <w:rsid w:val="00CD568E"/>
    <w:rsid w:val="00CD56F0"/>
    <w:rsid w:val="00CD57D5"/>
    <w:rsid w:val="00CD57DA"/>
    <w:rsid w:val="00CD57F8"/>
    <w:rsid w:val="00CD58E7"/>
    <w:rsid w:val="00CD59FA"/>
    <w:rsid w:val="00CD5A4B"/>
    <w:rsid w:val="00CD5CB7"/>
    <w:rsid w:val="00CD5CE5"/>
    <w:rsid w:val="00CD5CEA"/>
    <w:rsid w:val="00CD5E73"/>
    <w:rsid w:val="00CD5F02"/>
    <w:rsid w:val="00CD5F24"/>
    <w:rsid w:val="00CD5F36"/>
    <w:rsid w:val="00CD5F50"/>
    <w:rsid w:val="00CD60F7"/>
    <w:rsid w:val="00CD614B"/>
    <w:rsid w:val="00CD6199"/>
    <w:rsid w:val="00CD6203"/>
    <w:rsid w:val="00CD629A"/>
    <w:rsid w:val="00CD6470"/>
    <w:rsid w:val="00CD658E"/>
    <w:rsid w:val="00CD65CB"/>
    <w:rsid w:val="00CD65D5"/>
    <w:rsid w:val="00CD66C2"/>
    <w:rsid w:val="00CD6704"/>
    <w:rsid w:val="00CD67FA"/>
    <w:rsid w:val="00CD6A1D"/>
    <w:rsid w:val="00CD6A2A"/>
    <w:rsid w:val="00CD6BFE"/>
    <w:rsid w:val="00CD6C12"/>
    <w:rsid w:val="00CD6CF6"/>
    <w:rsid w:val="00CD6D2D"/>
    <w:rsid w:val="00CD6DFB"/>
    <w:rsid w:val="00CD6E3C"/>
    <w:rsid w:val="00CD6EC6"/>
    <w:rsid w:val="00CD6EE9"/>
    <w:rsid w:val="00CD6F15"/>
    <w:rsid w:val="00CD6F3F"/>
    <w:rsid w:val="00CD6FCD"/>
    <w:rsid w:val="00CD70EA"/>
    <w:rsid w:val="00CD70F6"/>
    <w:rsid w:val="00CD710F"/>
    <w:rsid w:val="00CD7145"/>
    <w:rsid w:val="00CD71BD"/>
    <w:rsid w:val="00CD727F"/>
    <w:rsid w:val="00CD729F"/>
    <w:rsid w:val="00CD72C6"/>
    <w:rsid w:val="00CD7329"/>
    <w:rsid w:val="00CD7351"/>
    <w:rsid w:val="00CD73E4"/>
    <w:rsid w:val="00CD744F"/>
    <w:rsid w:val="00CD764C"/>
    <w:rsid w:val="00CD7742"/>
    <w:rsid w:val="00CD78C2"/>
    <w:rsid w:val="00CD78FF"/>
    <w:rsid w:val="00CD7966"/>
    <w:rsid w:val="00CD7A7E"/>
    <w:rsid w:val="00CD7A85"/>
    <w:rsid w:val="00CD7AE5"/>
    <w:rsid w:val="00CD7AF3"/>
    <w:rsid w:val="00CD7B75"/>
    <w:rsid w:val="00CD7C24"/>
    <w:rsid w:val="00CD7D81"/>
    <w:rsid w:val="00CD7E48"/>
    <w:rsid w:val="00CD7EF6"/>
    <w:rsid w:val="00CD7F96"/>
    <w:rsid w:val="00CD7FC7"/>
    <w:rsid w:val="00CE008D"/>
    <w:rsid w:val="00CE010A"/>
    <w:rsid w:val="00CE0136"/>
    <w:rsid w:val="00CE013C"/>
    <w:rsid w:val="00CE0141"/>
    <w:rsid w:val="00CE0164"/>
    <w:rsid w:val="00CE021B"/>
    <w:rsid w:val="00CE0271"/>
    <w:rsid w:val="00CE0350"/>
    <w:rsid w:val="00CE037E"/>
    <w:rsid w:val="00CE03CC"/>
    <w:rsid w:val="00CE0424"/>
    <w:rsid w:val="00CE0551"/>
    <w:rsid w:val="00CE0573"/>
    <w:rsid w:val="00CE05DA"/>
    <w:rsid w:val="00CE067D"/>
    <w:rsid w:val="00CE06EC"/>
    <w:rsid w:val="00CE081F"/>
    <w:rsid w:val="00CE088A"/>
    <w:rsid w:val="00CE08DC"/>
    <w:rsid w:val="00CE0943"/>
    <w:rsid w:val="00CE097C"/>
    <w:rsid w:val="00CE09CC"/>
    <w:rsid w:val="00CE09DE"/>
    <w:rsid w:val="00CE0A25"/>
    <w:rsid w:val="00CE0A2A"/>
    <w:rsid w:val="00CE0B0E"/>
    <w:rsid w:val="00CE0B57"/>
    <w:rsid w:val="00CE0B7F"/>
    <w:rsid w:val="00CE0BBD"/>
    <w:rsid w:val="00CE0C63"/>
    <w:rsid w:val="00CE0D9B"/>
    <w:rsid w:val="00CE0EA3"/>
    <w:rsid w:val="00CE0EF5"/>
    <w:rsid w:val="00CE100F"/>
    <w:rsid w:val="00CE1177"/>
    <w:rsid w:val="00CE1367"/>
    <w:rsid w:val="00CE136D"/>
    <w:rsid w:val="00CE146A"/>
    <w:rsid w:val="00CE158C"/>
    <w:rsid w:val="00CE15E2"/>
    <w:rsid w:val="00CE15F1"/>
    <w:rsid w:val="00CE1670"/>
    <w:rsid w:val="00CE16AE"/>
    <w:rsid w:val="00CE16B5"/>
    <w:rsid w:val="00CE1722"/>
    <w:rsid w:val="00CE173C"/>
    <w:rsid w:val="00CE17E4"/>
    <w:rsid w:val="00CE1801"/>
    <w:rsid w:val="00CE187A"/>
    <w:rsid w:val="00CE18D9"/>
    <w:rsid w:val="00CE1BED"/>
    <w:rsid w:val="00CE1C24"/>
    <w:rsid w:val="00CE1C25"/>
    <w:rsid w:val="00CE1E28"/>
    <w:rsid w:val="00CE1EBB"/>
    <w:rsid w:val="00CE1EC1"/>
    <w:rsid w:val="00CE1EC5"/>
    <w:rsid w:val="00CE1EFB"/>
    <w:rsid w:val="00CE1F29"/>
    <w:rsid w:val="00CE203D"/>
    <w:rsid w:val="00CE2131"/>
    <w:rsid w:val="00CE2153"/>
    <w:rsid w:val="00CE21C8"/>
    <w:rsid w:val="00CE224C"/>
    <w:rsid w:val="00CE2261"/>
    <w:rsid w:val="00CE2290"/>
    <w:rsid w:val="00CE22EE"/>
    <w:rsid w:val="00CE2368"/>
    <w:rsid w:val="00CE2380"/>
    <w:rsid w:val="00CE23D5"/>
    <w:rsid w:val="00CE245E"/>
    <w:rsid w:val="00CE2593"/>
    <w:rsid w:val="00CE25CE"/>
    <w:rsid w:val="00CE260F"/>
    <w:rsid w:val="00CE276E"/>
    <w:rsid w:val="00CE2B11"/>
    <w:rsid w:val="00CE2BFF"/>
    <w:rsid w:val="00CE2C29"/>
    <w:rsid w:val="00CE2C5C"/>
    <w:rsid w:val="00CE2DDC"/>
    <w:rsid w:val="00CE2DF8"/>
    <w:rsid w:val="00CE2DFE"/>
    <w:rsid w:val="00CE2E76"/>
    <w:rsid w:val="00CE2E8C"/>
    <w:rsid w:val="00CE2FF9"/>
    <w:rsid w:val="00CE3039"/>
    <w:rsid w:val="00CE30DE"/>
    <w:rsid w:val="00CE31BA"/>
    <w:rsid w:val="00CE325B"/>
    <w:rsid w:val="00CE32D0"/>
    <w:rsid w:val="00CE331E"/>
    <w:rsid w:val="00CE34F7"/>
    <w:rsid w:val="00CE3558"/>
    <w:rsid w:val="00CE35DE"/>
    <w:rsid w:val="00CE3649"/>
    <w:rsid w:val="00CE369C"/>
    <w:rsid w:val="00CE3712"/>
    <w:rsid w:val="00CE3741"/>
    <w:rsid w:val="00CE3747"/>
    <w:rsid w:val="00CE3750"/>
    <w:rsid w:val="00CE37C6"/>
    <w:rsid w:val="00CE388F"/>
    <w:rsid w:val="00CE38CB"/>
    <w:rsid w:val="00CE3988"/>
    <w:rsid w:val="00CE39A2"/>
    <w:rsid w:val="00CE3A1E"/>
    <w:rsid w:val="00CE3A3F"/>
    <w:rsid w:val="00CE3AAF"/>
    <w:rsid w:val="00CE3AD1"/>
    <w:rsid w:val="00CE3B0C"/>
    <w:rsid w:val="00CE3B33"/>
    <w:rsid w:val="00CE3C02"/>
    <w:rsid w:val="00CE3C6B"/>
    <w:rsid w:val="00CE3CCF"/>
    <w:rsid w:val="00CE3D9F"/>
    <w:rsid w:val="00CE3DE0"/>
    <w:rsid w:val="00CE3DE9"/>
    <w:rsid w:val="00CE3DF0"/>
    <w:rsid w:val="00CE3E31"/>
    <w:rsid w:val="00CE3EB1"/>
    <w:rsid w:val="00CE3EF5"/>
    <w:rsid w:val="00CE3F00"/>
    <w:rsid w:val="00CE3F26"/>
    <w:rsid w:val="00CE3FA6"/>
    <w:rsid w:val="00CE3FC9"/>
    <w:rsid w:val="00CE4105"/>
    <w:rsid w:val="00CE4144"/>
    <w:rsid w:val="00CE41BD"/>
    <w:rsid w:val="00CE41DE"/>
    <w:rsid w:val="00CE42DE"/>
    <w:rsid w:val="00CE440B"/>
    <w:rsid w:val="00CE4484"/>
    <w:rsid w:val="00CE454F"/>
    <w:rsid w:val="00CE45FD"/>
    <w:rsid w:val="00CE4662"/>
    <w:rsid w:val="00CE4674"/>
    <w:rsid w:val="00CE4757"/>
    <w:rsid w:val="00CE47C8"/>
    <w:rsid w:val="00CE491A"/>
    <w:rsid w:val="00CE4961"/>
    <w:rsid w:val="00CE49FF"/>
    <w:rsid w:val="00CE4A3E"/>
    <w:rsid w:val="00CE4AA5"/>
    <w:rsid w:val="00CE4B81"/>
    <w:rsid w:val="00CE4C24"/>
    <w:rsid w:val="00CE4C26"/>
    <w:rsid w:val="00CE4D2F"/>
    <w:rsid w:val="00CE4D3B"/>
    <w:rsid w:val="00CE4D46"/>
    <w:rsid w:val="00CE4D4A"/>
    <w:rsid w:val="00CE4D97"/>
    <w:rsid w:val="00CE4E30"/>
    <w:rsid w:val="00CE4FA6"/>
    <w:rsid w:val="00CE4FE5"/>
    <w:rsid w:val="00CE5001"/>
    <w:rsid w:val="00CE5030"/>
    <w:rsid w:val="00CE510B"/>
    <w:rsid w:val="00CE51CF"/>
    <w:rsid w:val="00CE521C"/>
    <w:rsid w:val="00CE529E"/>
    <w:rsid w:val="00CE533D"/>
    <w:rsid w:val="00CE53C5"/>
    <w:rsid w:val="00CE53DE"/>
    <w:rsid w:val="00CE53FF"/>
    <w:rsid w:val="00CE544D"/>
    <w:rsid w:val="00CE5553"/>
    <w:rsid w:val="00CE5562"/>
    <w:rsid w:val="00CE5641"/>
    <w:rsid w:val="00CE566B"/>
    <w:rsid w:val="00CE5711"/>
    <w:rsid w:val="00CE5872"/>
    <w:rsid w:val="00CE5875"/>
    <w:rsid w:val="00CE590B"/>
    <w:rsid w:val="00CE596B"/>
    <w:rsid w:val="00CE5A2A"/>
    <w:rsid w:val="00CE5A54"/>
    <w:rsid w:val="00CE5A7C"/>
    <w:rsid w:val="00CE5A7F"/>
    <w:rsid w:val="00CE5AD2"/>
    <w:rsid w:val="00CE5B3F"/>
    <w:rsid w:val="00CE5C31"/>
    <w:rsid w:val="00CE5C6D"/>
    <w:rsid w:val="00CE5C9E"/>
    <w:rsid w:val="00CE5E1F"/>
    <w:rsid w:val="00CE5E5E"/>
    <w:rsid w:val="00CE5EB5"/>
    <w:rsid w:val="00CE5F56"/>
    <w:rsid w:val="00CE60A8"/>
    <w:rsid w:val="00CE6105"/>
    <w:rsid w:val="00CE61E3"/>
    <w:rsid w:val="00CE61F5"/>
    <w:rsid w:val="00CE62E9"/>
    <w:rsid w:val="00CE6497"/>
    <w:rsid w:val="00CE64DE"/>
    <w:rsid w:val="00CE65F3"/>
    <w:rsid w:val="00CE66EF"/>
    <w:rsid w:val="00CE6706"/>
    <w:rsid w:val="00CE677F"/>
    <w:rsid w:val="00CE67B6"/>
    <w:rsid w:val="00CE681B"/>
    <w:rsid w:val="00CE6829"/>
    <w:rsid w:val="00CE685E"/>
    <w:rsid w:val="00CE689D"/>
    <w:rsid w:val="00CE68B8"/>
    <w:rsid w:val="00CE68F1"/>
    <w:rsid w:val="00CE690A"/>
    <w:rsid w:val="00CE697A"/>
    <w:rsid w:val="00CE6A29"/>
    <w:rsid w:val="00CE6B43"/>
    <w:rsid w:val="00CE6BF5"/>
    <w:rsid w:val="00CE6CB3"/>
    <w:rsid w:val="00CE6D1E"/>
    <w:rsid w:val="00CE6D3C"/>
    <w:rsid w:val="00CE6D4E"/>
    <w:rsid w:val="00CE6D67"/>
    <w:rsid w:val="00CE6E68"/>
    <w:rsid w:val="00CE6E80"/>
    <w:rsid w:val="00CE6EB4"/>
    <w:rsid w:val="00CE6F40"/>
    <w:rsid w:val="00CE7013"/>
    <w:rsid w:val="00CE727E"/>
    <w:rsid w:val="00CE72AA"/>
    <w:rsid w:val="00CE72C4"/>
    <w:rsid w:val="00CE7430"/>
    <w:rsid w:val="00CE749A"/>
    <w:rsid w:val="00CE74F2"/>
    <w:rsid w:val="00CE7517"/>
    <w:rsid w:val="00CE75D0"/>
    <w:rsid w:val="00CE769B"/>
    <w:rsid w:val="00CE775A"/>
    <w:rsid w:val="00CE787F"/>
    <w:rsid w:val="00CE79AA"/>
    <w:rsid w:val="00CE79AD"/>
    <w:rsid w:val="00CE79DB"/>
    <w:rsid w:val="00CE7A5C"/>
    <w:rsid w:val="00CE7A6C"/>
    <w:rsid w:val="00CE7B28"/>
    <w:rsid w:val="00CE7B52"/>
    <w:rsid w:val="00CE7BBF"/>
    <w:rsid w:val="00CE7BC7"/>
    <w:rsid w:val="00CE7D13"/>
    <w:rsid w:val="00CE7D34"/>
    <w:rsid w:val="00CE7D40"/>
    <w:rsid w:val="00CE7DE1"/>
    <w:rsid w:val="00CE7E86"/>
    <w:rsid w:val="00CE7F12"/>
    <w:rsid w:val="00CF001A"/>
    <w:rsid w:val="00CF006C"/>
    <w:rsid w:val="00CF006F"/>
    <w:rsid w:val="00CF007B"/>
    <w:rsid w:val="00CF0111"/>
    <w:rsid w:val="00CF011F"/>
    <w:rsid w:val="00CF0124"/>
    <w:rsid w:val="00CF016A"/>
    <w:rsid w:val="00CF0291"/>
    <w:rsid w:val="00CF0463"/>
    <w:rsid w:val="00CF0482"/>
    <w:rsid w:val="00CF0493"/>
    <w:rsid w:val="00CF05CD"/>
    <w:rsid w:val="00CF066F"/>
    <w:rsid w:val="00CF083A"/>
    <w:rsid w:val="00CF0871"/>
    <w:rsid w:val="00CF0897"/>
    <w:rsid w:val="00CF08CC"/>
    <w:rsid w:val="00CF0990"/>
    <w:rsid w:val="00CF09BC"/>
    <w:rsid w:val="00CF09D9"/>
    <w:rsid w:val="00CF09E8"/>
    <w:rsid w:val="00CF0BD4"/>
    <w:rsid w:val="00CF0C44"/>
    <w:rsid w:val="00CF0CD9"/>
    <w:rsid w:val="00CF0CEA"/>
    <w:rsid w:val="00CF0D76"/>
    <w:rsid w:val="00CF0D9C"/>
    <w:rsid w:val="00CF0DDE"/>
    <w:rsid w:val="00CF0E5D"/>
    <w:rsid w:val="00CF0F37"/>
    <w:rsid w:val="00CF0F71"/>
    <w:rsid w:val="00CF1020"/>
    <w:rsid w:val="00CF10DE"/>
    <w:rsid w:val="00CF111F"/>
    <w:rsid w:val="00CF114D"/>
    <w:rsid w:val="00CF11A5"/>
    <w:rsid w:val="00CF1239"/>
    <w:rsid w:val="00CF12B0"/>
    <w:rsid w:val="00CF1319"/>
    <w:rsid w:val="00CF1451"/>
    <w:rsid w:val="00CF1461"/>
    <w:rsid w:val="00CF14FF"/>
    <w:rsid w:val="00CF150E"/>
    <w:rsid w:val="00CF1519"/>
    <w:rsid w:val="00CF1550"/>
    <w:rsid w:val="00CF1652"/>
    <w:rsid w:val="00CF16D4"/>
    <w:rsid w:val="00CF171B"/>
    <w:rsid w:val="00CF173D"/>
    <w:rsid w:val="00CF1783"/>
    <w:rsid w:val="00CF17B8"/>
    <w:rsid w:val="00CF17C7"/>
    <w:rsid w:val="00CF17E8"/>
    <w:rsid w:val="00CF1822"/>
    <w:rsid w:val="00CF1909"/>
    <w:rsid w:val="00CF191B"/>
    <w:rsid w:val="00CF1981"/>
    <w:rsid w:val="00CF1995"/>
    <w:rsid w:val="00CF1A78"/>
    <w:rsid w:val="00CF1BC2"/>
    <w:rsid w:val="00CF1BFC"/>
    <w:rsid w:val="00CF1C0E"/>
    <w:rsid w:val="00CF1CBB"/>
    <w:rsid w:val="00CF1CE5"/>
    <w:rsid w:val="00CF1D22"/>
    <w:rsid w:val="00CF1D3F"/>
    <w:rsid w:val="00CF1D78"/>
    <w:rsid w:val="00CF1E42"/>
    <w:rsid w:val="00CF1FDF"/>
    <w:rsid w:val="00CF2028"/>
    <w:rsid w:val="00CF207E"/>
    <w:rsid w:val="00CF209A"/>
    <w:rsid w:val="00CF20D0"/>
    <w:rsid w:val="00CF20E2"/>
    <w:rsid w:val="00CF2171"/>
    <w:rsid w:val="00CF22C1"/>
    <w:rsid w:val="00CF22DC"/>
    <w:rsid w:val="00CF230B"/>
    <w:rsid w:val="00CF2346"/>
    <w:rsid w:val="00CF23A8"/>
    <w:rsid w:val="00CF23B7"/>
    <w:rsid w:val="00CF23B8"/>
    <w:rsid w:val="00CF255D"/>
    <w:rsid w:val="00CF256C"/>
    <w:rsid w:val="00CF25AE"/>
    <w:rsid w:val="00CF2663"/>
    <w:rsid w:val="00CF2673"/>
    <w:rsid w:val="00CF274D"/>
    <w:rsid w:val="00CF28B0"/>
    <w:rsid w:val="00CF2968"/>
    <w:rsid w:val="00CF2A46"/>
    <w:rsid w:val="00CF2AE9"/>
    <w:rsid w:val="00CF2B01"/>
    <w:rsid w:val="00CF2B08"/>
    <w:rsid w:val="00CF2B69"/>
    <w:rsid w:val="00CF2BBB"/>
    <w:rsid w:val="00CF2C1C"/>
    <w:rsid w:val="00CF2C4C"/>
    <w:rsid w:val="00CF2D29"/>
    <w:rsid w:val="00CF2D35"/>
    <w:rsid w:val="00CF2DF6"/>
    <w:rsid w:val="00CF2ED3"/>
    <w:rsid w:val="00CF313D"/>
    <w:rsid w:val="00CF3162"/>
    <w:rsid w:val="00CF3180"/>
    <w:rsid w:val="00CF31C4"/>
    <w:rsid w:val="00CF31CB"/>
    <w:rsid w:val="00CF31FE"/>
    <w:rsid w:val="00CF3278"/>
    <w:rsid w:val="00CF32B0"/>
    <w:rsid w:val="00CF32B4"/>
    <w:rsid w:val="00CF343C"/>
    <w:rsid w:val="00CF344B"/>
    <w:rsid w:val="00CF3475"/>
    <w:rsid w:val="00CF34F7"/>
    <w:rsid w:val="00CF3554"/>
    <w:rsid w:val="00CF3580"/>
    <w:rsid w:val="00CF35C5"/>
    <w:rsid w:val="00CF3685"/>
    <w:rsid w:val="00CF3693"/>
    <w:rsid w:val="00CF373E"/>
    <w:rsid w:val="00CF37F3"/>
    <w:rsid w:val="00CF3859"/>
    <w:rsid w:val="00CF387A"/>
    <w:rsid w:val="00CF3885"/>
    <w:rsid w:val="00CF3900"/>
    <w:rsid w:val="00CF39F8"/>
    <w:rsid w:val="00CF3A8D"/>
    <w:rsid w:val="00CF3AA0"/>
    <w:rsid w:val="00CF3AF5"/>
    <w:rsid w:val="00CF3AF7"/>
    <w:rsid w:val="00CF3AFE"/>
    <w:rsid w:val="00CF3BF5"/>
    <w:rsid w:val="00CF3C33"/>
    <w:rsid w:val="00CF3D3F"/>
    <w:rsid w:val="00CF3D78"/>
    <w:rsid w:val="00CF3D97"/>
    <w:rsid w:val="00CF3DD3"/>
    <w:rsid w:val="00CF3E7C"/>
    <w:rsid w:val="00CF3F2D"/>
    <w:rsid w:val="00CF3F3B"/>
    <w:rsid w:val="00CF3F89"/>
    <w:rsid w:val="00CF3FA9"/>
    <w:rsid w:val="00CF4088"/>
    <w:rsid w:val="00CF4100"/>
    <w:rsid w:val="00CF410E"/>
    <w:rsid w:val="00CF41DE"/>
    <w:rsid w:val="00CF42A4"/>
    <w:rsid w:val="00CF43CC"/>
    <w:rsid w:val="00CF4445"/>
    <w:rsid w:val="00CF4563"/>
    <w:rsid w:val="00CF4605"/>
    <w:rsid w:val="00CF46B4"/>
    <w:rsid w:val="00CF4767"/>
    <w:rsid w:val="00CF477F"/>
    <w:rsid w:val="00CF47DE"/>
    <w:rsid w:val="00CF4946"/>
    <w:rsid w:val="00CF49B1"/>
    <w:rsid w:val="00CF4A56"/>
    <w:rsid w:val="00CF4AB6"/>
    <w:rsid w:val="00CF4B42"/>
    <w:rsid w:val="00CF4CAA"/>
    <w:rsid w:val="00CF4DAA"/>
    <w:rsid w:val="00CF4DDF"/>
    <w:rsid w:val="00CF4E61"/>
    <w:rsid w:val="00CF4E85"/>
    <w:rsid w:val="00CF4E9B"/>
    <w:rsid w:val="00CF4ED3"/>
    <w:rsid w:val="00CF4F2F"/>
    <w:rsid w:val="00CF4F50"/>
    <w:rsid w:val="00CF4F62"/>
    <w:rsid w:val="00CF513D"/>
    <w:rsid w:val="00CF5168"/>
    <w:rsid w:val="00CF517C"/>
    <w:rsid w:val="00CF52BA"/>
    <w:rsid w:val="00CF52EF"/>
    <w:rsid w:val="00CF52F1"/>
    <w:rsid w:val="00CF538B"/>
    <w:rsid w:val="00CF53EE"/>
    <w:rsid w:val="00CF53FD"/>
    <w:rsid w:val="00CF5425"/>
    <w:rsid w:val="00CF544C"/>
    <w:rsid w:val="00CF5454"/>
    <w:rsid w:val="00CF545C"/>
    <w:rsid w:val="00CF5469"/>
    <w:rsid w:val="00CF54A7"/>
    <w:rsid w:val="00CF5582"/>
    <w:rsid w:val="00CF5604"/>
    <w:rsid w:val="00CF564F"/>
    <w:rsid w:val="00CF5696"/>
    <w:rsid w:val="00CF56EB"/>
    <w:rsid w:val="00CF574A"/>
    <w:rsid w:val="00CF57FA"/>
    <w:rsid w:val="00CF5888"/>
    <w:rsid w:val="00CF58BF"/>
    <w:rsid w:val="00CF5908"/>
    <w:rsid w:val="00CF590E"/>
    <w:rsid w:val="00CF5968"/>
    <w:rsid w:val="00CF5990"/>
    <w:rsid w:val="00CF59C6"/>
    <w:rsid w:val="00CF5A09"/>
    <w:rsid w:val="00CF5A6C"/>
    <w:rsid w:val="00CF5A74"/>
    <w:rsid w:val="00CF5A91"/>
    <w:rsid w:val="00CF5BBF"/>
    <w:rsid w:val="00CF5BF1"/>
    <w:rsid w:val="00CF5C21"/>
    <w:rsid w:val="00CF5C69"/>
    <w:rsid w:val="00CF5CC9"/>
    <w:rsid w:val="00CF5D05"/>
    <w:rsid w:val="00CF5D2C"/>
    <w:rsid w:val="00CF5E1F"/>
    <w:rsid w:val="00CF5E48"/>
    <w:rsid w:val="00CF5EF3"/>
    <w:rsid w:val="00CF5F0A"/>
    <w:rsid w:val="00CF5F39"/>
    <w:rsid w:val="00CF5F91"/>
    <w:rsid w:val="00CF5FA3"/>
    <w:rsid w:val="00CF5FB9"/>
    <w:rsid w:val="00CF6010"/>
    <w:rsid w:val="00CF60D3"/>
    <w:rsid w:val="00CF61A5"/>
    <w:rsid w:val="00CF61C3"/>
    <w:rsid w:val="00CF61E4"/>
    <w:rsid w:val="00CF62F4"/>
    <w:rsid w:val="00CF6396"/>
    <w:rsid w:val="00CF65A3"/>
    <w:rsid w:val="00CF66D2"/>
    <w:rsid w:val="00CF672C"/>
    <w:rsid w:val="00CF673F"/>
    <w:rsid w:val="00CF677F"/>
    <w:rsid w:val="00CF67C2"/>
    <w:rsid w:val="00CF68BE"/>
    <w:rsid w:val="00CF68D9"/>
    <w:rsid w:val="00CF69A2"/>
    <w:rsid w:val="00CF69FB"/>
    <w:rsid w:val="00CF6A87"/>
    <w:rsid w:val="00CF6B2E"/>
    <w:rsid w:val="00CF6D6B"/>
    <w:rsid w:val="00CF6D76"/>
    <w:rsid w:val="00CF6DC5"/>
    <w:rsid w:val="00CF6DE1"/>
    <w:rsid w:val="00CF6DF3"/>
    <w:rsid w:val="00CF6E36"/>
    <w:rsid w:val="00CF6E45"/>
    <w:rsid w:val="00CF6E78"/>
    <w:rsid w:val="00CF6E8F"/>
    <w:rsid w:val="00CF6EE7"/>
    <w:rsid w:val="00CF6F10"/>
    <w:rsid w:val="00CF6F98"/>
    <w:rsid w:val="00CF6F9B"/>
    <w:rsid w:val="00CF7057"/>
    <w:rsid w:val="00CF707F"/>
    <w:rsid w:val="00CF70F8"/>
    <w:rsid w:val="00CF710F"/>
    <w:rsid w:val="00CF72FA"/>
    <w:rsid w:val="00CF7476"/>
    <w:rsid w:val="00CF748B"/>
    <w:rsid w:val="00CF749A"/>
    <w:rsid w:val="00CF7550"/>
    <w:rsid w:val="00CF7565"/>
    <w:rsid w:val="00CF7732"/>
    <w:rsid w:val="00CF777D"/>
    <w:rsid w:val="00CF780B"/>
    <w:rsid w:val="00CF7839"/>
    <w:rsid w:val="00CF7858"/>
    <w:rsid w:val="00CF7920"/>
    <w:rsid w:val="00CF7948"/>
    <w:rsid w:val="00CF7972"/>
    <w:rsid w:val="00CF79A2"/>
    <w:rsid w:val="00CF79FB"/>
    <w:rsid w:val="00CF7A0B"/>
    <w:rsid w:val="00CF7B0B"/>
    <w:rsid w:val="00CF7BAB"/>
    <w:rsid w:val="00CF7BD0"/>
    <w:rsid w:val="00CF7BFA"/>
    <w:rsid w:val="00CF7C06"/>
    <w:rsid w:val="00CF7C0D"/>
    <w:rsid w:val="00CF7D69"/>
    <w:rsid w:val="00CF7E43"/>
    <w:rsid w:val="00CF7E85"/>
    <w:rsid w:val="00CF7ED8"/>
    <w:rsid w:val="00CF7FF1"/>
    <w:rsid w:val="00D00073"/>
    <w:rsid w:val="00D00200"/>
    <w:rsid w:val="00D0021F"/>
    <w:rsid w:val="00D00244"/>
    <w:rsid w:val="00D00262"/>
    <w:rsid w:val="00D0026F"/>
    <w:rsid w:val="00D0028C"/>
    <w:rsid w:val="00D00308"/>
    <w:rsid w:val="00D00343"/>
    <w:rsid w:val="00D003AB"/>
    <w:rsid w:val="00D00420"/>
    <w:rsid w:val="00D0043B"/>
    <w:rsid w:val="00D004EB"/>
    <w:rsid w:val="00D00514"/>
    <w:rsid w:val="00D0058B"/>
    <w:rsid w:val="00D00684"/>
    <w:rsid w:val="00D006AD"/>
    <w:rsid w:val="00D0077B"/>
    <w:rsid w:val="00D00818"/>
    <w:rsid w:val="00D00858"/>
    <w:rsid w:val="00D008DA"/>
    <w:rsid w:val="00D008F7"/>
    <w:rsid w:val="00D00933"/>
    <w:rsid w:val="00D00961"/>
    <w:rsid w:val="00D00A43"/>
    <w:rsid w:val="00D00A81"/>
    <w:rsid w:val="00D00B31"/>
    <w:rsid w:val="00D00B5B"/>
    <w:rsid w:val="00D00B76"/>
    <w:rsid w:val="00D00BC1"/>
    <w:rsid w:val="00D00C1A"/>
    <w:rsid w:val="00D00C1D"/>
    <w:rsid w:val="00D00CA3"/>
    <w:rsid w:val="00D00CC9"/>
    <w:rsid w:val="00D00D2D"/>
    <w:rsid w:val="00D00E60"/>
    <w:rsid w:val="00D00E7B"/>
    <w:rsid w:val="00D00F39"/>
    <w:rsid w:val="00D00F7A"/>
    <w:rsid w:val="00D00FC6"/>
    <w:rsid w:val="00D01019"/>
    <w:rsid w:val="00D01026"/>
    <w:rsid w:val="00D01049"/>
    <w:rsid w:val="00D010FE"/>
    <w:rsid w:val="00D0110D"/>
    <w:rsid w:val="00D0111D"/>
    <w:rsid w:val="00D011CE"/>
    <w:rsid w:val="00D0123B"/>
    <w:rsid w:val="00D01261"/>
    <w:rsid w:val="00D01281"/>
    <w:rsid w:val="00D012EB"/>
    <w:rsid w:val="00D0135D"/>
    <w:rsid w:val="00D01362"/>
    <w:rsid w:val="00D013D1"/>
    <w:rsid w:val="00D01472"/>
    <w:rsid w:val="00D015C8"/>
    <w:rsid w:val="00D015D1"/>
    <w:rsid w:val="00D01616"/>
    <w:rsid w:val="00D01648"/>
    <w:rsid w:val="00D0166C"/>
    <w:rsid w:val="00D01693"/>
    <w:rsid w:val="00D0178F"/>
    <w:rsid w:val="00D0187E"/>
    <w:rsid w:val="00D01899"/>
    <w:rsid w:val="00D018FA"/>
    <w:rsid w:val="00D01946"/>
    <w:rsid w:val="00D019AA"/>
    <w:rsid w:val="00D01A18"/>
    <w:rsid w:val="00D01B00"/>
    <w:rsid w:val="00D01B27"/>
    <w:rsid w:val="00D01B4D"/>
    <w:rsid w:val="00D01BD5"/>
    <w:rsid w:val="00D01C00"/>
    <w:rsid w:val="00D01C32"/>
    <w:rsid w:val="00D01DC1"/>
    <w:rsid w:val="00D01E3F"/>
    <w:rsid w:val="00D01EAC"/>
    <w:rsid w:val="00D01F1D"/>
    <w:rsid w:val="00D01FE8"/>
    <w:rsid w:val="00D020D0"/>
    <w:rsid w:val="00D020DB"/>
    <w:rsid w:val="00D02116"/>
    <w:rsid w:val="00D0211E"/>
    <w:rsid w:val="00D021C5"/>
    <w:rsid w:val="00D0221D"/>
    <w:rsid w:val="00D0237D"/>
    <w:rsid w:val="00D02389"/>
    <w:rsid w:val="00D02475"/>
    <w:rsid w:val="00D024B3"/>
    <w:rsid w:val="00D024C5"/>
    <w:rsid w:val="00D024DE"/>
    <w:rsid w:val="00D02532"/>
    <w:rsid w:val="00D02557"/>
    <w:rsid w:val="00D026E1"/>
    <w:rsid w:val="00D0274A"/>
    <w:rsid w:val="00D028A2"/>
    <w:rsid w:val="00D02937"/>
    <w:rsid w:val="00D02989"/>
    <w:rsid w:val="00D029B3"/>
    <w:rsid w:val="00D029BC"/>
    <w:rsid w:val="00D029FC"/>
    <w:rsid w:val="00D02AEA"/>
    <w:rsid w:val="00D02B35"/>
    <w:rsid w:val="00D02C22"/>
    <w:rsid w:val="00D02D32"/>
    <w:rsid w:val="00D02D6D"/>
    <w:rsid w:val="00D02E0A"/>
    <w:rsid w:val="00D02EC6"/>
    <w:rsid w:val="00D02F02"/>
    <w:rsid w:val="00D02F45"/>
    <w:rsid w:val="00D02F5D"/>
    <w:rsid w:val="00D02FD7"/>
    <w:rsid w:val="00D02FDF"/>
    <w:rsid w:val="00D02FE8"/>
    <w:rsid w:val="00D0303B"/>
    <w:rsid w:val="00D030B8"/>
    <w:rsid w:val="00D030BC"/>
    <w:rsid w:val="00D03150"/>
    <w:rsid w:val="00D031D4"/>
    <w:rsid w:val="00D031E1"/>
    <w:rsid w:val="00D03255"/>
    <w:rsid w:val="00D03308"/>
    <w:rsid w:val="00D03319"/>
    <w:rsid w:val="00D03355"/>
    <w:rsid w:val="00D03367"/>
    <w:rsid w:val="00D034C8"/>
    <w:rsid w:val="00D03503"/>
    <w:rsid w:val="00D03550"/>
    <w:rsid w:val="00D035F8"/>
    <w:rsid w:val="00D03725"/>
    <w:rsid w:val="00D03759"/>
    <w:rsid w:val="00D037CA"/>
    <w:rsid w:val="00D037EE"/>
    <w:rsid w:val="00D03893"/>
    <w:rsid w:val="00D038B4"/>
    <w:rsid w:val="00D0390A"/>
    <w:rsid w:val="00D0393B"/>
    <w:rsid w:val="00D0398E"/>
    <w:rsid w:val="00D039BD"/>
    <w:rsid w:val="00D03A99"/>
    <w:rsid w:val="00D03AB6"/>
    <w:rsid w:val="00D03B0C"/>
    <w:rsid w:val="00D03B47"/>
    <w:rsid w:val="00D03B48"/>
    <w:rsid w:val="00D03B73"/>
    <w:rsid w:val="00D03C77"/>
    <w:rsid w:val="00D03C9A"/>
    <w:rsid w:val="00D03CA2"/>
    <w:rsid w:val="00D03CFC"/>
    <w:rsid w:val="00D03D08"/>
    <w:rsid w:val="00D03E89"/>
    <w:rsid w:val="00D03ED2"/>
    <w:rsid w:val="00D03F7B"/>
    <w:rsid w:val="00D03F9B"/>
    <w:rsid w:val="00D03FB6"/>
    <w:rsid w:val="00D03FC2"/>
    <w:rsid w:val="00D040D9"/>
    <w:rsid w:val="00D04113"/>
    <w:rsid w:val="00D04125"/>
    <w:rsid w:val="00D041D5"/>
    <w:rsid w:val="00D042CE"/>
    <w:rsid w:val="00D04316"/>
    <w:rsid w:val="00D04359"/>
    <w:rsid w:val="00D0459E"/>
    <w:rsid w:val="00D045D6"/>
    <w:rsid w:val="00D0461D"/>
    <w:rsid w:val="00D0467A"/>
    <w:rsid w:val="00D046D2"/>
    <w:rsid w:val="00D046D9"/>
    <w:rsid w:val="00D046E5"/>
    <w:rsid w:val="00D0476E"/>
    <w:rsid w:val="00D0499E"/>
    <w:rsid w:val="00D049F6"/>
    <w:rsid w:val="00D04A0D"/>
    <w:rsid w:val="00D04B22"/>
    <w:rsid w:val="00D04B48"/>
    <w:rsid w:val="00D04C4E"/>
    <w:rsid w:val="00D04D87"/>
    <w:rsid w:val="00D04E2C"/>
    <w:rsid w:val="00D04E6F"/>
    <w:rsid w:val="00D04E9D"/>
    <w:rsid w:val="00D04EC2"/>
    <w:rsid w:val="00D04ED2"/>
    <w:rsid w:val="00D04EDA"/>
    <w:rsid w:val="00D04F19"/>
    <w:rsid w:val="00D04F2B"/>
    <w:rsid w:val="00D05007"/>
    <w:rsid w:val="00D05043"/>
    <w:rsid w:val="00D050C6"/>
    <w:rsid w:val="00D051CE"/>
    <w:rsid w:val="00D051DD"/>
    <w:rsid w:val="00D05207"/>
    <w:rsid w:val="00D05387"/>
    <w:rsid w:val="00D0539D"/>
    <w:rsid w:val="00D05436"/>
    <w:rsid w:val="00D0548A"/>
    <w:rsid w:val="00D0561F"/>
    <w:rsid w:val="00D056D3"/>
    <w:rsid w:val="00D056EB"/>
    <w:rsid w:val="00D0572A"/>
    <w:rsid w:val="00D0580A"/>
    <w:rsid w:val="00D0581F"/>
    <w:rsid w:val="00D05BBE"/>
    <w:rsid w:val="00D05C59"/>
    <w:rsid w:val="00D05CFC"/>
    <w:rsid w:val="00D05D2E"/>
    <w:rsid w:val="00D05D47"/>
    <w:rsid w:val="00D05ED1"/>
    <w:rsid w:val="00D05F5C"/>
    <w:rsid w:val="00D06004"/>
    <w:rsid w:val="00D0602F"/>
    <w:rsid w:val="00D0607D"/>
    <w:rsid w:val="00D06104"/>
    <w:rsid w:val="00D0611A"/>
    <w:rsid w:val="00D06132"/>
    <w:rsid w:val="00D06133"/>
    <w:rsid w:val="00D0624D"/>
    <w:rsid w:val="00D06258"/>
    <w:rsid w:val="00D06325"/>
    <w:rsid w:val="00D06382"/>
    <w:rsid w:val="00D063C4"/>
    <w:rsid w:val="00D063F2"/>
    <w:rsid w:val="00D064A7"/>
    <w:rsid w:val="00D066A9"/>
    <w:rsid w:val="00D066B1"/>
    <w:rsid w:val="00D066CA"/>
    <w:rsid w:val="00D0676B"/>
    <w:rsid w:val="00D06773"/>
    <w:rsid w:val="00D0679E"/>
    <w:rsid w:val="00D067E5"/>
    <w:rsid w:val="00D0684C"/>
    <w:rsid w:val="00D06892"/>
    <w:rsid w:val="00D068BB"/>
    <w:rsid w:val="00D06A02"/>
    <w:rsid w:val="00D06AAF"/>
    <w:rsid w:val="00D06AEB"/>
    <w:rsid w:val="00D06C40"/>
    <w:rsid w:val="00D06C63"/>
    <w:rsid w:val="00D06D04"/>
    <w:rsid w:val="00D06DB8"/>
    <w:rsid w:val="00D06E8B"/>
    <w:rsid w:val="00D06F84"/>
    <w:rsid w:val="00D06F8D"/>
    <w:rsid w:val="00D06FD9"/>
    <w:rsid w:val="00D070A6"/>
    <w:rsid w:val="00D070EF"/>
    <w:rsid w:val="00D07178"/>
    <w:rsid w:val="00D0717D"/>
    <w:rsid w:val="00D07345"/>
    <w:rsid w:val="00D074D7"/>
    <w:rsid w:val="00D07582"/>
    <w:rsid w:val="00D07598"/>
    <w:rsid w:val="00D075FA"/>
    <w:rsid w:val="00D07602"/>
    <w:rsid w:val="00D07643"/>
    <w:rsid w:val="00D076B7"/>
    <w:rsid w:val="00D076EE"/>
    <w:rsid w:val="00D0774B"/>
    <w:rsid w:val="00D0775F"/>
    <w:rsid w:val="00D07766"/>
    <w:rsid w:val="00D0783B"/>
    <w:rsid w:val="00D0788B"/>
    <w:rsid w:val="00D079E5"/>
    <w:rsid w:val="00D079F0"/>
    <w:rsid w:val="00D07A30"/>
    <w:rsid w:val="00D07A36"/>
    <w:rsid w:val="00D07A3A"/>
    <w:rsid w:val="00D07ABA"/>
    <w:rsid w:val="00D07AE0"/>
    <w:rsid w:val="00D07B4C"/>
    <w:rsid w:val="00D07C17"/>
    <w:rsid w:val="00D07CF3"/>
    <w:rsid w:val="00D07CFB"/>
    <w:rsid w:val="00D07D44"/>
    <w:rsid w:val="00D07D74"/>
    <w:rsid w:val="00D07D7B"/>
    <w:rsid w:val="00D07DAC"/>
    <w:rsid w:val="00D07DFB"/>
    <w:rsid w:val="00D07E34"/>
    <w:rsid w:val="00D10057"/>
    <w:rsid w:val="00D1008D"/>
    <w:rsid w:val="00D10111"/>
    <w:rsid w:val="00D101B8"/>
    <w:rsid w:val="00D101BB"/>
    <w:rsid w:val="00D10203"/>
    <w:rsid w:val="00D10305"/>
    <w:rsid w:val="00D10360"/>
    <w:rsid w:val="00D104A3"/>
    <w:rsid w:val="00D1062A"/>
    <w:rsid w:val="00D10637"/>
    <w:rsid w:val="00D106E8"/>
    <w:rsid w:val="00D1076E"/>
    <w:rsid w:val="00D107B6"/>
    <w:rsid w:val="00D107F9"/>
    <w:rsid w:val="00D10829"/>
    <w:rsid w:val="00D109B4"/>
    <w:rsid w:val="00D10A9C"/>
    <w:rsid w:val="00D10B40"/>
    <w:rsid w:val="00D10B4E"/>
    <w:rsid w:val="00D10B8B"/>
    <w:rsid w:val="00D10BB0"/>
    <w:rsid w:val="00D10BD8"/>
    <w:rsid w:val="00D10C05"/>
    <w:rsid w:val="00D10C24"/>
    <w:rsid w:val="00D10CF3"/>
    <w:rsid w:val="00D10E5D"/>
    <w:rsid w:val="00D10ED3"/>
    <w:rsid w:val="00D10F15"/>
    <w:rsid w:val="00D10F38"/>
    <w:rsid w:val="00D11027"/>
    <w:rsid w:val="00D11075"/>
    <w:rsid w:val="00D110BA"/>
    <w:rsid w:val="00D111BB"/>
    <w:rsid w:val="00D111BF"/>
    <w:rsid w:val="00D11213"/>
    <w:rsid w:val="00D1124A"/>
    <w:rsid w:val="00D1124C"/>
    <w:rsid w:val="00D11256"/>
    <w:rsid w:val="00D112A6"/>
    <w:rsid w:val="00D1130D"/>
    <w:rsid w:val="00D11313"/>
    <w:rsid w:val="00D11331"/>
    <w:rsid w:val="00D1153E"/>
    <w:rsid w:val="00D1154A"/>
    <w:rsid w:val="00D115C5"/>
    <w:rsid w:val="00D11600"/>
    <w:rsid w:val="00D11601"/>
    <w:rsid w:val="00D11659"/>
    <w:rsid w:val="00D11809"/>
    <w:rsid w:val="00D11876"/>
    <w:rsid w:val="00D119F0"/>
    <w:rsid w:val="00D11A3C"/>
    <w:rsid w:val="00D11A6D"/>
    <w:rsid w:val="00D11D38"/>
    <w:rsid w:val="00D11D51"/>
    <w:rsid w:val="00D11D9E"/>
    <w:rsid w:val="00D11DA3"/>
    <w:rsid w:val="00D11DC7"/>
    <w:rsid w:val="00D11E2E"/>
    <w:rsid w:val="00D11EE7"/>
    <w:rsid w:val="00D11F3A"/>
    <w:rsid w:val="00D12208"/>
    <w:rsid w:val="00D1221D"/>
    <w:rsid w:val="00D1221E"/>
    <w:rsid w:val="00D12258"/>
    <w:rsid w:val="00D122AB"/>
    <w:rsid w:val="00D122F5"/>
    <w:rsid w:val="00D122F7"/>
    <w:rsid w:val="00D123C0"/>
    <w:rsid w:val="00D12465"/>
    <w:rsid w:val="00D1258C"/>
    <w:rsid w:val="00D125D5"/>
    <w:rsid w:val="00D1263E"/>
    <w:rsid w:val="00D1268A"/>
    <w:rsid w:val="00D126A0"/>
    <w:rsid w:val="00D126D2"/>
    <w:rsid w:val="00D126E2"/>
    <w:rsid w:val="00D1283A"/>
    <w:rsid w:val="00D12890"/>
    <w:rsid w:val="00D128B2"/>
    <w:rsid w:val="00D12901"/>
    <w:rsid w:val="00D12913"/>
    <w:rsid w:val="00D12927"/>
    <w:rsid w:val="00D12953"/>
    <w:rsid w:val="00D12963"/>
    <w:rsid w:val="00D12A0E"/>
    <w:rsid w:val="00D12AA5"/>
    <w:rsid w:val="00D12B03"/>
    <w:rsid w:val="00D12B25"/>
    <w:rsid w:val="00D12B72"/>
    <w:rsid w:val="00D12B74"/>
    <w:rsid w:val="00D12D5C"/>
    <w:rsid w:val="00D12D9B"/>
    <w:rsid w:val="00D12E19"/>
    <w:rsid w:val="00D12ED0"/>
    <w:rsid w:val="00D12F6E"/>
    <w:rsid w:val="00D12FD4"/>
    <w:rsid w:val="00D13118"/>
    <w:rsid w:val="00D1311D"/>
    <w:rsid w:val="00D1312E"/>
    <w:rsid w:val="00D13183"/>
    <w:rsid w:val="00D131D6"/>
    <w:rsid w:val="00D131DD"/>
    <w:rsid w:val="00D131FA"/>
    <w:rsid w:val="00D13220"/>
    <w:rsid w:val="00D1323B"/>
    <w:rsid w:val="00D13333"/>
    <w:rsid w:val="00D13362"/>
    <w:rsid w:val="00D13463"/>
    <w:rsid w:val="00D1346D"/>
    <w:rsid w:val="00D135C3"/>
    <w:rsid w:val="00D135DA"/>
    <w:rsid w:val="00D13665"/>
    <w:rsid w:val="00D13694"/>
    <w:rsid w:val="00D136B5"/>
    <w:rsid w:val="00D136F8"/>
    <w:rsid w:val="00D13724"/>
    <w:rsid w:val="00D13725"/>
    <w:rsid w:val="00D1375A"/>
    <w:rsid w:val="00D1378B"/>
    <w:rsid w:val="00D1378F"/>
    <w:rsid w:val="00D1393C"/>
    <w:rsid w:val="00D13969"/>
    <w:rsid w:val="00D139C8"/>
    <w:rsid w:val="00D139F5"/>
    <w:rsid w:val="00D13A0B"/>
    <w:rsid w:val="00D13A26"/>
    <w:rsid w:val="00D13A94"/>
    <w:rsid w:val="00D13B14"/>
    <w:rsid w:val="00D13CE7"/>
    <w:rsid w:val="00D13D72"/>
    <w:rsid w:val="00D13D96"/>
    <w:rsid w:val="00D13E28"/>
    <w:rsid w:val="00D13E77"/>
    <w:rsid w:val="00D13FBB"/>
    <w:rsid w:val="00D14043"/>
    <w:rsid w:val="00D14157"/>
    <w:rsid w:val="00D1415F"/>
    <w:rsid w:val="00D141FD"/>
    <w:rsid w:val="00D142C7"/>
    <w:rsid w:val="00D1435C"/>
    <w:rsid w:val="00D14386"/>
    <w:rsid w:val="00D1439A"/>
    <w:rsid w:val="00D14526"/>
    <w:rsid w:val="00D1456F"/>
    <w:rsid w:val="00D14661"/>
    <w:rsid w:val="00D149F1"/>
    <w:rsid w:val="00D14A52"/>
    <w:rsid w:val="00D14A79"/>
    <w:rsid w:val="00D14AB1"/>
    <w:rsid w:val="00D14AFB"/>
    <w:rsid w:val="00D14B4B"/>
    <w:rsid w:val="00D14B5A"/>
    <w:rsid w:val="00D14B91"/>
    <w:rsid w:val="00D14D82"/>
    <w:rsid w:val="00D14D89"/>
    <w:rsid w:val="00D14EA7"/>
    <w:rsid w:val="00D14F38"/>
    <w:rsid w:val="00D15007"/>
    <w:rsid w:val="00D15083"/>
    <w:rsid w:val="00D150D3"/>
    <w:rsid w:val="00D151E6"/>
    <w:rsid w:val="00D1522E"/>
    <w:rsid w:val="00D152A0"/>
    <w:rsid w:val="00D15326"/>
    <w:rsid w:val="00D15333"/>
    <w:rsid w:val="00D15396"/>
    <w:rsid w:val="00D154B3"/>
    <w:rsid w:val="00D154DE"/>
    <w:rsid w:val="00D15522"/>
    <w:rsid w:val="00D15530"/>
    <w:rsid w:val="00D15578"/>
    <w:rsid w:val="00D1565A"/>
    <w:rsid w:val="00D156F2"/>
    <w:rsid w:val="00D15714"/>
    <w:rsid w:val="00D15739"/>
    <w:rsid w:val="00D15744"/>
    <w:rsid w:val="00D15749"/>
    <w:rsid w:val="00D158C8"/>
    <w:rsid w:val="00D158D9"/>
    <w:rsid w:val="00D15975"/>
    <w:rsid w:val="00D15A20"/>
    <w:rsid w:val="00D15A45"/>
    <w:rsid w:val="00D15A67"/>
    <w:rsid w:val="00D15AB2"/>
    <w:rsid w:val="00D15ACA"/>
    <w:rsid w:val="00D15B0E"/>
    <w:rsid w:val="00D15C38"/>
    <w:rsid w:val="00D15C52"/>
    <w:rsid w:val="00D15C6A"/>
    <w:rsid w:val="00D15CF5"/>
    <w:rsid w:val="00D15D04"/>
    <w:rsid w:val="00D15D33"/>
    <w:rsid w:val="00D15D71"/>
    <w:rsid w:val="00D15D8A"/>
    <w:rsid w:val="00D15D95"/>
    <w:rsid w:val="00D15E82"/>
    <w:rsid w:val="00D15ED8"/>
    <w:rsid w:val="00D15F19"/>
    <w:rsid w:val="00D15F88"/>
    <w:rsid w:val="00D15F8C"/>
    <w:rsid w:val="00D15F9E"/>
    <w:rsid w:val="00D15FB1"/>
    <w:rsid w:val="00D15FC3"/>
    <w:rsid w:val="00D16017"/>
    <w:rsid w:val="00D161D7"/>
    <w:rsid w:val="00D161EC"/>
    <w:rsid w:val="00D1625A"/>
    <w:rsid w:val="00D162E8"/>
    <w:rsid w:val="00D1648D"/>
    <w:rsid w:val="00D164C1"/>
    <w:rsid w:val="00D164FB"/>
    <w:rsid w:val="00D16636"/>
    <w:rsid w:val="00D16687"/>
    <w:rsid w:val="00D167AA"/>
    <w:rsid w:val="00D1684C"/>
    <w:rsid w:val="00D16853"/>
    <w:rsid w:val="00D168DA"/>
    <w:rsid w:val="00D1694D"/>
    <w:rsid w:val="00D16963"/>
    <w:rsid w:val="00D169B1"/>
    <w:rsid w:val="00D169E6"/>
    <w:rsid w:val="00D16A70"/>
    <w:rsid w:val="00D16A96"/>
    <w:rsid w:val="00D16B7F"/>
    <w:rsid w:val="00D16CD0"/>
    <w:rsid w:val="00D16DAD"/>
    <w:rsid w:val="00D16E57"/>
    <w:rsid w:val="00D16E93"/>
    <w:rsid w:val="00D16EEB"/>
    <w:rsid w:val="00D16F28"/>
    <w:rsid w:val="00D16F8A"/>
    <w:rsid w:val="00D171A7"/>
    <w:rsid w:val="00D171C8"/>
    <w:rsid w:val="00D17280"/>
    <w:rsid w:val="00D17297"/>
    <w:rsid w:val="00D1734F"/>
    <w:rsid w:val="00D174AC"/>
    <w:rsid w:val="00D174D2"/>
    <w:rsid w:val="00D174DF"/>
    <w:rsid w:val="00D1753B"/>
    <w:rsid w:val="00D1755A"/>
    <w:rsid w:val="00D17583"/>
    <w:rsid w:val="00D1758B"/>
    <w:rsid w:val="00D176A1"/>
    <w:rsid w:val="00D17727"/>
    <w:rsid w:val="00D1775D"/>
    <w:rsid w:val="00D1786D"/>
    <w:rsid w:val="00D17913"/>
    <w:rsid w:val="00D1795A"/>
    <w:rsid w:val="00D1795D"/>
    <w:rsid w:val="00D17AEE"/>
    <w:rsid w:val="00D17CA4"/>
    <w:rsid w:val="00D17D5D"/>
    <w:rsid w:val="00D17DC8"/>
    <w:rsid w:val="00D17FF0"/>
    <w:rsid w:val="00D2003B"/>
    <w:rsid w:val="00D20224"/>
    <w:rsid w:val="00D20260"/>
    <w:rsid w:val="00D2029B"/>
    <w:rsid w:val="00D202A2"/>
    <w:rsid w:val="00D202F2"/>
    <w:rsid w:val="00D20357"/>
    <w:rsid w:val="00D203DA"/>
    <w:rsid w:val="00D203DC"/>
    <w:rsid w:val="00D203EA"/>
    <w:rsid w:val="00D203FF"/>
    <w:rsid w:val="00D20406"/>
    <w:rsid w:val="00D204F0"/>
    <w:rsid w:val="00D20655"/>
    <w:rsid w:val="00D206A1"/>
    <w:rsid w:val="00D20710"/>
    <w:rsid w:val="00D20801"/>
    <w:rsid w:val="00D20866"/>
    <w:rsid w:val="00D20889"/>
    <w:rsid w:val="00D208E0"/>
    <w:rsid w:val="00D208EE"/>
    <w:rsid w:val="00D20964"/>
    <w:rsid w:val="00D209C8"/>
    <w:rsid w:val="00D209CC"/>
    <w:rsid w:val="00D209DE"/>
    <w:rsid w:val="00D20A07"/>
    <w:rsid w:val="00D20A18"/>
    <w:rsid w:val="00D20A98"/>
    <w:rsid w:val="00D20AEF"/>
    <w:rsid w:val="00D20B14"/>
    <w:rsid w:val="00D20B43"/>
    <w:rsid w:val="00D20B6C"/>
    <w:rsid w:val="00D20B9A"/>
    <w:rsid w:val="00D20BFA"/>
    <w:rsid w:val="00D20CA2"/>
    <w:rsid w:val="00D20D6B"/>
    <w:rsid w:val="00D20D8A"/>
    <w:rsid w:val="00D20DFA"/>
    <w:rsid w:val="00D20E49"/>
    <w:rsid w:val="00D20EEF"/>
    <w:rsid w:val="00D20F7F"/>
    <w:rsid w:val="00D20FC6"/>
    <w:rsid w:val="00D2120A"/>
    <w:rsid w:val="00D21225"/>
    <w:rsid w:val="00D212AD"/>
    <w:rsid w:val="00D212DB"/>
    <w:rsid w:val="00D214F8"/>
    <w:rsid w:val="00D2152B"/>
    <w:rsid w:val="00D21612"/>
    <w:rsid w:val="00D21740"/>
    <w:rsid w:val="00D21741"/>
    <w:rsid w:val="00D21746"/>
    <w:rsid w:val="00D21760"/>
    <w:rsid w:val="00D217CD"/>
    <w:rsid w:val="00D217D8"/>
    <w:rsid w:val="00D21839"/>
    <w:rsid w:val="00D21860"/>
    <w:rsid w:val="00D218E1"/>
    <w:rsid w:val="00D21A1A"/>
    <w:rsid w:val="00D21A48"/>
    <w:rsid w:val="00D21B0C"/>
    <w:rsid w:val="00D21B14"/>
    <w:rsid w:val="00D21B4C"/>
    <w:rsid w:val="00D21B98"/>
    <w:rsid w:val="00D21CD4"/>
    <w:rsid w:val="00D21CE7"/>
    <w:rsid w:val="00D21D35"/>
    <w:rsid w:val="00D21DE2"/>
    <w:rsid w:val="00D21E15"/>
    <w:rsid w:val="00D21E89"/>
    <w:rsid w:val="00D21E8B"/>
    <w:rsid w:val="00D21ED7"/>
    <w:rsid w:val="00D21F55"/>
    <w:rsid w:val="00D21F5F"/>
    <w:rsid w:val="00D21F7F"/>
    <w:rsid w:val="00D2207F"/>
    <w:rsid w:val="00D22186"/>
    <w:rsid w:val="00D221AA"/>
    <w:rsid w:val="00D221D4"/>
    <w:rsid w:val="00D221DD"/>
    <w:rsid w:val="00D222F1"/>
    <w:rsid w:val="00D2239F"/>
    <w:rsid w:val="00D22431"/>
    <w:rsid w:val="00D22506"/>
    <w:rsid w:val="00D225E3"/>
    <w:rsid w:val="00D22641"/>
    <w:rsid w:val="00D22797"/>
    <w:rsid w:val="00D2281C"/>
    <w:rsid w:val="00D228DD"/>
    <w:rsid w:val="00D228F0"/>
    <w:rsid w:val="00D2291D"/>
    <w:rsid w:val="00D22924"/>
    <w:rsid w:val="00D2292F"/>
    <w:rsid w:val="00D2295E"/>
    <w:rsid w:val="00D2296B"/>
    <w:rsid w:val="00D22A05"/>
    <w:rsid w:val="00D22A11"/>
    <w:rsid w:val="00D22B0A"/>
    <w:rsid w:val="00D22B16"/>
    <w:rsid w:val="00D22B38"/>
    <w:rsid w:val="00D22B3A"/>
    <w:rsid w:val="00D22B73"/>
    <w:rsid w:val="00D22C5C"/>
    <w:rsid w:val="00D22CA9"/>
    <w:rsid w:val="00D22D07"/>
    <w:rsid w:val="00D22D4E"/>
    <w:rsid w:val="00D22EE1"/>
    <w:rsid w:val="00D22F20"/>
    <w:rsid w:val="00D22FCE"/>
    <w:rsid w:val="00D22FDC"/>
    <w:rsid w:val="00D2309F"/>
    <w:rsid w:val="00D23224"/>
    <w:rsid w:val="00D23242"/>
    <w:rsid w:val="00D23270"/>
    <w:rsid w:val="00D233CF"/>
    <w:rsid w:val="00D2361B"/>
    <w:rsid w:val="00D23681"/>
    <w:rsid w:val="00D23688"/>
    <w:rsid w:val="00D236A2"/>
    <w:rsid w:val="00D236B5"/>
    <w:rsid w:val="00D236D2"/>
    <w:rsid w:val="00D236E2"/>
    <w:rsid w:val="00D2372A"/>
    <w:rsid w:val="00D238C9"/>
    <w:rsid w:val="00D23A49"/>
    <w:rsid w:val="00D23AA9"/>
    <w:rsid w:val="00D23B15"/>
    <w:rsid w:val="00D23B1A"/>
    <w:rsid w:val="00D23B55"/>
    <w:rsid w:val="00D23C8C"/>
    <w:rsid w:val="00D23D47"/>
    <w:rsid w:val="00D23D53"/>
    <w:rsid w:val="00D23E7F"/>
    <w:rsid w:val="00D23F10"/>
    <w:rsid w:val="00D23F81"/>
    <w:rsid w:val="00D23FD7"/>
    <w:rsid w:val="00D24366"/>
    <w:rsid w:val="00D2436B"/>
    <w:rsid w:val="00D243FB"/>
    <w:rsid w:val="00D24416"/>
    <w:rsid w:val="00D2449E"/>
    <w:rsid w:val="00D244A9"/>
    <w:rsid w:val="00D244E4"/>
    <w:rsid w:val="00D2452D"/>
    <w:rsid w:val="00D24562"/>
    <w:rsid w:val="00D245A9"/>
    <w:rsid w:val="00D24806"/>
    <w:rsid w:val="00D248D2"/>
    <w:rsid w:val="00D248E5"/>
    <w:rsid w:val="00D249B8"/>
    <w:rsid w:val="00D24A5B"/>
    <w:rsid w:val="00D24B23"/>
    <w:rsid w:val="00D24B34"/>
    <w:rsid w:val="00D24B42"/>
    <w:rsid w:val="00D24B58"/>
    <w:rsid w:val="00D24B88"/>
    <w:rsid w:val="00D24BE6"/>
    <w:rsid w:val="00D24C0B"/>
    <w:rsid w:val="00D24CAF"/>
    <w:rsid w:val="00D24CC6"/>
    <w:rsid w:val="00D24D62"/>
    <w:rsid w:val="00D24E0B"/>
    <w:rsid w:val="00D24F2B"/>
    <w:rsid w:val="00D24F62"/>
    <w:rsid w:val="00D24F7C"/>
    <w:rsid w:val="00D2501A"/>
    <w:rsid w:val="00D2512D"/>
    <w:rsid w:val="00D251A7"/>
    <w:rsid w:val="00D251D9"/>
    <w:rsid w:val="00D252B1"/>
    <w:rsid w:val="00D25492"/>
    <w:rsid w:val="00D254E4"/>
    <w:rsid w:val="00D2559C"/>
    <w:rsid w:val="00D2559D"/>
    <w:rsid w:val="00D255F0"/>
    <w:rsid w:val="00D2591D"/>
    <w:rsid w:val="00D25ABF"/>
    <w:rsid w:val="00D25B20"/>
    <w:rsid w:val="00D25BE7"/>
    <w:rsid w:val="00D25C9B"/>
    <w:rsid w:val="00D25D94"/>
    <w:rsid w:val="00D25DB8"/>
    <w:rsid w:val="00D25E0E"/>
    <w:rsid w:val="00D25E13"/>
    <w:rsid w:val="00D25E15"/>
    <w:rsid w:val="00D25E3E"/>
    <w:rsid w:val="00D25F0C"/>
    <w:rsid w:val="00D25F52"/>
    <w:rsid w:val="00D25F7A"/>
    <w:rsid w:val="00D26205"/>
    <w:rsid w:val="00D26243"/>
    <w:rsid w:val="00D26270"/>
    <w:rsid w:val="00D26646"/>
    <w:rsid w:val="00D2679E"/>
    <w:rsid w:val="00D2680B"/>
    <w:rsid w:val="00D26821"/>
    <w:rsid w:val="00D2684D"/>
    <w:rsid w:val="00D268C8"/>
    <w:rsid w:val="00D2699C"/>
    <w:rsid w:val="00D26B5E"/>
    <w:rsid w:val="00D26B8D"/>
    <w:rsid w:val="00D26BAB"/>
    <w:rsid w:val="00D26BFB"/>
    <w:rsid w:val="00D26CFB"/>
    <w:rsid w:val="00D26D8E"/>
    <w:rsid w:val="00D26DA6"/>
    <w:rsid w:val="00D26E06"/>
    <w:rsid w:val="00D26FB2"/>
    <w:rsid w:val="00D26FD9"/>
    <w:rsid w:val="00D2716B"/>
    <w:rsid w:val="00D2717E"/>
    <w:rsid w:val="00D271CE"/>
    <w:rsid w:val="00D272A5"/>
    <w:rsid w:val="00D272CA"/>
    <w:rsid w:val="00D272FB"/>
    <w:rsid w:val="00D273B1"/>
    <w:rsid w:val="00D274A1"/>
    <w:rsid w:val="00D2752B"/>
    <w:rsid w:val="00D27576"/>
    <w:rsid w:val="00D2757C"/>
    <w:rsid w:val="00D27689"/>
    <w:rsid w:val="00D2768C"/>
    <w:rsid w:val="00D276C2"/>
    <w:rsid w:val="00D276D4"/>
    <w:rsid w:val="00D2777D"/>
    <w:rsid w:val="00D277AE"/>
    <w:rsid w:val="00D277B8"/>
    <w:rsid w:val="00D27A3B"/>
    <w:rsid w:val="00D27A92"/>
    <w:rsid w:val="00D27B16"/>
    <w:rsid w:val="00D27B60"/>
    <w:rsid w:val="00D27C41"/>
    <w:rsid w:val="00D27CD1"/>
    <w:rsid w:val="00D27D41"/>
    <w:rsid w:val="00D27E59"/>
    <w:rsid w:val="00D27E6E"/>
    <w:rsid w:val="00D27E91"/>
    <w:rsid w:val="00D27EF9"/>
    <w:rsid w:val="00D30069"/>
    <w:rsid w:val="00D3009B"/>
    <w:rsid w:val="00D3011E"/>
    <w:rsid w:val="00D3017D"/>
    <w:rsid w:val="00D302AB"/>
    <w:rsid w:val="00D3056D"/>
    <w:rsid w:val="00D305AC"/>
    <w:rsid w:val="00D305CF"/>
    <w:rsid w:val="00D30609"/>
    <w:rsid w:val="00D3062D"/>
    <w:rsid w:val="00D3077C"/>
    <w:rsid w:val="00D307E6"/>
    <w:rsid w:val="00D3080F"/>
    <w:rsid w:val="00D30831"/>
    <w:rsid w:val="00D308BA"/>
    <w:rsid w:val="00D30916"/>
    <w:rsid w:val="00D3094F"/>
    <w:rsid w:val="00D309BD"/>
    <w:rsid w:val="00D309F9"/>
    <w:rsid w:val="00D30B15"/>
    <w:rsid w:val="00D30B47"/>
    <w:rsid w:val="00D30BAB"/>
    <w:rsid w:val="00D30C0A"/>
    <w:rsid w:val="00D30C56"/>
    <w:rsid w:val="00D30CB5"/>
    <w:rsid w:val="00D30D5D"/>
    <w:rsid w:val="00D30D88"/>
    <w:rsid w:val="00D30DC1"/>
    <w:rsid w:val="00D30E50"/>
    <w:rsid w:val="00D31006"/>
    <w:rsid w:val="00D310FA"/>
    <w:rsid w:val="00D3112B"/>
    <w:rsid w:val="00D3114F"/>
    <w:rsid w:val="00D31177"/>
    <w:rsid w:val="00D311EE"/>
    <w:rsid w:val="00D31217"/>
    <w:rsid w:val="00D312F2"/>
    <w:rsid w:val="00D31305"/>
    <w:rsid w:val="00D31408"/>
    <w:rsid w:val="00D314A3"/>
    <w:rsid w:val="00D314AF"/>
    <w:rsid w:val="00D31672"/>
    <w:rsid w:val="00D31798"/>
    <w:rsid w:val="00D31817"/>
    <w:rsid w:val="00D3184F"/>
    <w:rsid w:val="00D31992"/>
    <w:rsid w:val="00D31A41"/>
    <w:rsid w:val="00D31A48"/>
    <w:rsid w:val="00D31ADC"/>
    <w:rsid w:val="00D31C44"/>
    <w:rsid w:val="00D31D24"/>
    <w:rsid w:val="00D31D7E"/>
    <w:rsid w:val="00D31DFE"/>
    <w:rsid w:val="00D31EDD"/>
    <w:rsid w:val="00D31F09"/>
    <w:rsid w:val="00D31F7C"/>
    <w:rsid w:val="00D31F8C"/>
    <w:rsid w:val="00D31FEF"/>
    <w:rsid w:val="00D32086"/>
    <w:rsid w:val="00D3208C"/>
    <w:rsid w:val="00D320F6"/>
    <w:rsid w:val="00D3231C"/>
    <w:rsid w:val="00D3239C"/>
    <w:rsid w:val="00D323D1"/>
    <w:rsid w:val="00D323D8"/>
    <w:rsid w:val="00D3252E"/>
    <w:rsid w:val="00D32681"/>
    <w:rsid w:val="00D327A5"/>
    <w:rsid w:val="00D32874"/>
    <w:rsid w:val="00D32883"/>
    <w:rsid w:val="00D32888"/>
    <w:rsid w:val="00D32A3E"/>
    <w:rsid w:val="00D32A64"/>
    <w:rsid w:val="00D32AA9"/>
    <w:rsid w:val="00D32B47"/>
    <w:rsid w:val="00D32BAA"/>
    <w:rsid w:val="00D32C6E"/>
    <w:rsid w:val="00D32CD6"/>
    <w:rsid w:val="00D32D0E"/>
    <w:rsid w:val="00D32E06"/>
    <w:rsid w:val="00D32E2B"/>
    <w:rsid w:val="00D32E73"/>
    <w:rsid w:val="00D3301A"/>
    <w:rsid w:val="00D330A2"/>
    <w:rsid w:val="00D33120"/>
    <w:rsid w:val="00D331FC"/>
    <w:rsid w:val="00D33258"/>
    <w:rsid w:val="00D33306"/>
    <w:rsid w:val="00D3342C"/>
    <w:rsid w:val="00D33569"/>
    <w:rsid w:val="00D336D5"/>
    <w:rsid w:val="00D33720"/>
    <w:rsid w:val="00D33770"/>
    <w:rsid w:val="00D337CF"/>
    <w:rsid w:val="00D338B4"/>
    <w:rsid w:val="00D338BE"/>
    <w:rsid w:val="00D33978"/>
    <w:rsid w:val="00D339E5"/>
    <w:rsid w:val="00D33A16"/>
    <w:rsid w:val="00D33AA1"/>
    <w:rsid w:val="00D33AB7"/>
    <w:rsid w:val="00D33ACB"/>
    <w:rsid w:val="00D33C5B"/>
    <w:rsid w:val="00D33CAE"/>
    <w:rsid w:val="00D33CB1"/>
    <w:rsid w:val="00D33CC5"/>
    <w:rsid w:val="00D33DA4"/>
    <w:rsid w:val="00D33E82"/>
    <w:rsid w:val="00D33F0D"/>
    <w:rsid w:val="00D33F42"/>
    <w:rsid w:val="00D33F8B"/>
    <w:rsid w:val="00D34004"/>
    <w:rsid w:val="00D34022"/>
    <w:rsid w:val="00D34080"/>
    <w:rsid w:val="00D34082"/>
    <w:rsid w:val="00D3408D"/>
    <w:rsid w:val="00D34105"/>
    <w:rsid w:val="00D341B1"/>
    <w:rsid w:val="00D34240"/>
    <w:rsid w:val="00D3440E"/>
    <w:rsid w:val="00D34498"/>
    <w:rsid w:val="00D344B9"/>
    <w:rsid w:val="00D344C4"/>
    <w:rsid w:val="00D345F1"/>
    <w:rsid w:val="00D34648"/>
    <w:rsid w:val="00D346C8"/>
    <w:rsid w:val="00D3478D"/>
    <w:rsid w:val="00D347BB"/>
    <w:rsid w:val="00D3481D"/>
    <w:rsid w:val="00D348B6"/>
    <w:rsid w:val="00D348B9"/>
    <w:rsid w:val="00D34902"/>
    <w:rsid w:val="00D3494C"/>
    <w:rsid w:val="00D349B4"/>
    <w:rsid w:val="00D349CC"/>
    <w:rsid w:val="00D349D7"/>
    <w:rsid w:val="00D349E0"/>
    <w:rsid w:val="00D34AA1"/>
    <w:rsid w:val="00D34B4B"/>
    <w:rsid w:val="00D34C72"/>
    <w:rsid w:val="00D34D04"/>
    <w:rsid w:val="00D34D11"/>
    <w:rsid w:val="00D34D1F"/>
    <w:rsid w:val="00D34D52"/>
    <w:rsid w:val="00D34D82"/>
    <w:rsid w:val="00D34DE2"/>
    <w:rsid w:val="00D34E29"/>
    <w:rsid w:val="00D34EFD"/>
    <w:rsid w:val="00D34F80"/>
    <w:rsid w:val="00D34F8F"/>
    <w:rsid w:val="00D34F98"/>
    <w:rsid w:val="00D34FB9"/>
    <w:rsid w:val="00D3500C"/>
    <w:rsid w:val="00D35032"/>
    <w:rsid w:val="00D35058"/>
    <w:rsid w:val="00D3515C"/>
    <w:rsid w:val="00D35271"/>
    <w:rsid w:val="00D352B5"/>
    <w:rsid w:val="00D35364"/>
    <w:rsid w:val="00D353B1"/>
    <w:rsid w:val="00D354A0"/>
    <w:rsid w:val="00D354CC"/>
    <w:rsid w:val="00D3550D"/>
    <w:rsid w:val="00D355CC"/>
    <w:rsid w:val="00D355EC"/>
    <w:rsid w:val="00D35637"/>
    <w:rsid w:val="00D35683"/>
    <w:rsid w:val="00D3569B"/>
    <w:rsid w:val="00D35736"/>
    <w:rsid w:val="00D359CC"/>
    <w:rsid w:val="00D35A09"/>
    <w:rsid w:val="00D35AD4"/>
    <w:rsid w:val="00D35AF7"/>
    <w:rsid w:val="00D35BB0"/>
    <w:rsid w:val="00D35BBC"/>
    <w:rsid w:val="00D35BCB"/>
    <w:rsid w:val="00D35C70"/>
    <w:rsid w:val="00D35DCE"/>
    <w:rsid w:val="00D35DDF"/>
    <w:rsid w:val="00D35DFE"/>
    <w:rsid w:val="00D35E83"/>
    <w:rsid w:val="00D35F85"/>
    <w:rsid w:val="00D3608A"/>
    <w:rsid w:val="00D36092"/>
    <w:rsid w:val="00D360AC"/>
    <w:rsid w:val="00D360E4"/>
    <w:rsid w:val="00D3617B"/>
    <w:rsid w:val="00D3617D"/>
    <w:rsid w:val="00D36226"/>
    <w:rsid w:val="00D362AB"/>
    <w:rsid w:val="00D362B3"/>
    <w:rsid w:val="00D36322"/>
    <w:rsid w:val="00D3647B"/>
    <w:rsid w:val="00D364A1"/>
    <w:rsid w:val="00D36511"/>
    <w:rsid w:val="00D3652B"/>
    <w:rsid w:val="00D36541"/>
    <w:rsid w:val="00D3654D"/>
    <w:rsid w:val="00D36594"/>
    <w:rsid w:val="00D365F0"/>
    <w:rsid w:val="00D36602"/>
    <w:rsid w:val="00D3661D"/>
    <w:rsid w:val="00D36664"/>
    <w:rsid w:val="00D367C3"/>
    <w:rsid w:val="00D36A43"/>
    <w:rsid w:val="00D36A8C"/>
    <w:rsid w:val="00D36AE4"/>
    <w:rsid w:val="00D36B31"/>
    <w:rsid w:val="00D36D53"/>
    <w:rsid w:val="00D36E08"/>
    <w:rsid w:val="00D36E18"/>
    <w:rsid w:val="00D36E2E"/>
    <w:rsid w:val="00D36ED0"/>
    <w:rsid w:val="00D3700F"/>
    <w:rsid w:val="00D37045"/>
    <w:rsid w:val="00D37063"/>
    <w:rsid w:val="00D3711F"/>
    <w:rsid w:val="00D37160"/>
    <w:rsid w:val="00D37299"/>
    <w:rsid w:val="00D37308"/>
    <w:rsid w:val="00D3733B"/>
    <w:rsid w:val="00D37378"/>
    <w:rsid w:val="00D373E4"/>
    <w:rsid w:val="00D375F9"/>
    <w:rsid w:val="00D37685"/>
    <w:rsid w:val="00D376C5"/>
    <w:rsid w:val="00D376CF"/>
    <w:rsid w:val="00D376F9"/>
    <w:rsid w:val="00D37715"/>
    <w:rsid w:val="00D37737"/>
    <w:rsid w:val="00D377FC"/>
    <w:rsid w:val="00D37847"/>
    <w:rsid w:val="00D378C9"/>
    <w:rsid w:val="00D37931"/>
    <w:rsid w:val="00D3795F"/>
    <w:rsid w:val="00D379F0"/>
    <w:rsid w:val="00D37A85"/>
    <w:rsid w:val="00D37A9C"/>
    <w:rsid w:val="00D37AC1"/>
    <w:rsid w:val="00D37B0A"/>
    <w:rsid w:val="00D37B98"/>
    <w:rsid w:val="00D37C27"/>
    <w:rsid w:val="00D37C94"/>
    <w:rsid w:val="00D37DC7"/>
    <w:rsid w:val="00D37DCA"/>
    <w:rsid w:val="00D37E2F"/>
    <w:rsid w:val="00D37E38"/>
    <w:rsid w:val="00D37E4E"/>
    <w:rsid w:val="00D37EAA"/>
    <w:rsid w:val="00D37F37"/>
    <w:rsid w:val="00D40060"/>
    <w:rsid w:val="00D4016B"/>
    <w:rsid w:val="00D40216"/>
    <w:rsid w:val="00D40229"/>
    <w:rsid w:val="00D40276"/>
    <w:rsid w:val="00D4029D"/>
    <w:rsid w:val="00D402B6"/>
    <w:rsid w:val="00D40456"/>
    <w:rsid w:val="00D40590"/>
    <w:rsid w:val="00D405E6"/>
    <w:rsid w:val="00D4068B"/>
    <w:rsid w:val="00D40739"/>
    <w:rsid w:val="00D40834"/>
    <w:rsid w:val="00D4095A"/>
    <w:rsid w:val="00D40988"/>
    <w:rsid w:val="00D409EE"/>
    <w:rsid w:val="00D40AA5"/>
    <w:rsid w:val="00D40ABD"/>
    <w:rsid w:val="00D40AE5"/>
    <w:rsid w:val="00D40AED"/>
    <w:rsid w:val="00D40BD4"/>
    <w:rsid w:val="00D40BDD"/>
    <w:rsid w:val="00D40C55"/>
    <w:rsid w:val="00D40C8A"/>
    <w:rsid w:val="00D40D29"/>
    <w:rsid w:val="00D40DC5"/>
    <w:rsid w:val="00D40DE4"/>
    <w:rsid w:val="00D40E37"/>
    <w:rsid w:val="00D40E39"/>
    <w:rsid w:val="00D40F56"/>
    <w:rsid w:val="00D4101B"/>
    <w:rsid w:val="00D410FC"/>
    <w:rsid w:val="00D411C8"/>
    <w:rsid w:val="00D41207"/>
    <w:rsid w:val="00D41208"/>
    <w:rsid w:val="00D41210"/>
    <w:rsid w:val="00D41234"/>
    <w:rsid w:val="00D412E8"/>
    <w:rsid w:val="00D41393"/>
    <w:rsid w:val="00D41421"/>
    <w:rsid w:val="00D4149D"/>
    <w:rsid w:val="00D414DD"/>
    <w:rsid w:val="00D41567"/>
    <w:rsid w:val="00D41604"/>
    <w:rsid w:val="00D41692"/>
    <w:rsid w:val="00D4181F"/>
    <w:rsid w:val="00D41871"/>
    <w:rsid w:val="00D419E7"/>
    <w:rsid w:val="00D41B2F"/>
    <w:rsid w:val="00D41C6A"/>
    <w:rsid w:val="00D41CEF"/>
    <w:rsid w:val="00D41D53"/>
    <w:rsid w:val="00D41D8D"/>
    <w:rsid w:val="00D41E55"/>
    <w:rsid w:val="00D41EEA"/>
    <w:rsid w:val="00D41F70"/>
    <w:rsid w:val="00D41F7C"/>
    <w:rsid w:val="00D41F9D"/>
    <w:rsid w:val="00D42025"/>
    <w:rsid w:val="00D420D2"/>
    <w:rsid w:val="00D420DF"/>
    <w:rsid w:val="00D4214D"/>
    <w:rsid w:val="00D421FC"/>
    <w:rsid w:val="00D42254"/>
    <w:rsid w:val="00D422F8"/>
    <w:rsid w:val="00D4235C"/>
    <w:rsid w:val="00D42429"/>
    <w:rsid w:val="00D4249C"/>
    <w:rsid w:val="00D42567"/>
    <w:rsid w:val="00D42594"/>
    <w:rsid w:val="00D425B3"/>
    <w:rsid w:val="00D42650"/>
    <w:rsid w:val="00D42790"/>
    <w:rsid w:val="00D427CE"/>
    <w:rsid w:val="00D427E4"/>
    <w:rsid w:val="00D42836"/>
    <w:rsid w:val="00D42865"/>
    <w:rsid w:val="00D428A0"/>
    <w:rsid w:val="00D42946"/>
    <w:rsid w:val="00D42A3B"/>
    <w:rsid w:val="00D42AAF"/>
    <w:rsid w:val="00D42B0F"/>
    <w:rsid w:val="00D42C64"/>
    <w:rsid w:val="00D42CC8"/>
    <w:rsid w:val="00D42DA3"/>
    <w:rsid w:val="00D42E52"/>
    <w:rsid w:val="00D42F29"/>
    <w:rsid w:val="00D42FFB"/>
    <w:rsid w:val="00D43026"/>
    <w:rsid w:val="00D43035"/>
    <w:rsid w:val="00D4303B"/>
    <w:rsid w:val="00D43069"/>
    <w:rsid w:val="00D430D3"/>
    <w:rsid w:val="00D430DC"/>
    <w:rsid w:val="00D430E9"/>
    <w:rsid w:val="00D4316B"/>
    <w:rsid w:val="00D43185"/>
    <w:rsid w:val="00D43222"/>
    <w:rsid w:val="00D4339F"/>
    <w:rsid w:val="00D433BB"/>
    <w:rsid w:val="00D4343F"/>
    <w:rsid w:val="00D43455"/>
    <w:rsid w:val="00D434AE"/>
    <w:rsid w:val="00D4359A"/>
    <w:rsid w:val="00D435F9"/>
    <w:rsid w:val="00D43753"/>
    <w:rsid w:val="00D438BC"/>
    <w:rsid w:val="00D438C3"/>
    <w:rsid w:val="00D43917"/>
    <w:rsid w:val="00D43974"/>
    <w:rsid w:val="00D439D2"/>
    <w:rsid w:val="00D43AE4"/>
    <w:rsid w:val="00D43B43"/>
    <w:rsid w:val="00D43BD8"/>
    <w:rsid w:val="00D43C8C"/>
    <w:rsid w:val="00D43C90"/>
    <w:rsid w:val="00D43CDB"/>
    <w:rsid w:val="00D43DBA"/>
    <w:rsid w:val="00D43E04"/>
    <w:rsid w:val="00D43E7D"/>
    <w:rsid w:val="00D43E94"/>
    <w:rsid w:val="00D43EB8"/>
    <w:rsid w:val="00D43F31"/>
    <w:rsid w:val="00D43FB9"/>
    <w:rsid w:val="00D43FD3"/>
    <w:rsid w:val="00D440AE"/>
    <w:rsid w:val="00D4410F"/>
    <w:rsid w:val="00D44121"/>
    <w:rsid w:val="00D4416A"/>
    <w:rsid w:val="00D44184"/>
    <w:rsid w:val="00D44197"/>
    <w:rsid w:val="00D44290"/>
    <w:rsid w:val="00D442A6"/>
    <w:rsid w:val="00D442FA"/>
    <w:rsid w:val="00D4441E"/>
    <w:rsid w:val="00D44459"/>
    <w:rsid w:val="00D444DB"/>
    <w:rsid w:val="00D44526"/>
    <w:rsid w:val="00D44674"/>
    <w:rsid w:val="00D446FD"/>
    <w:rsid w:val="00D44780"/>
    <w:rsid w:val="00D447B8"/>
    <w:rsid w:val="00D44850"/>
    <w:rsid w:val="00D449A5"/>
    <w:rsid w:val="00D449B2"/>
    <w:rsid w:val="00D449DC"/>
    <w:rsid w:val="00D449DE"/>
    <w:rsid w:val="00D44A55"/>
    <w:rsid w:val="00D44AC3"/>
    <w:rsid w:val="00D44B5F"/>
    <w:rsid w:val="00D44B7B"/>
    <w:rsid w:val="00D44BFC"/>
    <w:rsid w:val="00D44CE4"/>
    <w:rsid w:val="00D44D0E"/>
    <w:rsid w:val="00D44D1B"/>
    <w:rsid w:val="00D44D4C"/>
    <w:rsid w:val="00D44DA3"/>
    <w:rsid w:val="00D44DB3"/>
    <w:rsid w:val="00D44F14"/>
    <w:rsid w:val="00D44F7A"/>
    <w:rsid w:val="00D44F7E"/>
    <w:rsid w:val="00D44F7F"/>
    <w:rsid w:val="00D44FE8"/>
    <w:rsid w:val="00D4508B"/>
    <w:rsid w:val="00D4526B"/>
    <w:rsid w:val="00D45273"/>
    <w:rsid w:val="00D4536E"/>
    <w:rsid w:val="00D45379"/>
    <w:rsid w:val="00D453F1"/>
    <w:rsid w:val="00D453FD"/>
    <w:rsid w:val="00D4540F"/>
    <w:rsid w:val="00D4543C"/>
    <w:rsid w:val="00D45537"/>
    <w:rsid w:val="00D455FD"/>
    <w:rsid w:val="00D457DA"/>
    <w:rsid w:val="00D457F0"/>
    <w:rsid w:val="00D45820"/>
    <w:rsid w:val="00D458B9"/>
    <w:rsid w:val="00D458CE"/>
    <w:rsid w:val="00D45905"/>
    <w:rsid w:val="00D4599F"/>
    <w:rsid w:val="00D459CB"/>
    <w:rsid w:val="00D459E0"/>
    <w:rsid w:val="00D45B16"/>
    <w:rsid w:val="00D45C74"/>
    <w:rsid w:val="00D45CCE"/>
    <w:rsid w:val="00D45CF8"/>
    <w:rsid w:val="00D45D40"/>
    <w:rsid w:val="00D45D48"/>
    <w:rsid w:val="00D45D51"/>
    <w:rsid w:val="00D45D58"/>
    <w:rsid w:val="00D45E38"/>
    <w:rsid w:val="00D45E73"/>
    <w:rsid w:val="00D45E90"/>
    <w:rsid w:val="00D45ECE"/>
    <w:rsid w:val="00D45EEC"/>
    <w:rsid w:val="00D45F55"/>
    <w:rsid w:val="00D45F7E"/>
    <w:rsid w:val="00D45FD4"/>
    <w:rsid w:val="00D4602D"/>
    <w:rsid w:val="00D46192"/>
    <w:rsid w:val="00D46219"/>
    <w:rsid w:val="00D4631F"/>
    <w:rsid w:val="00D46385"/>
    <w:rsid w:val="00D463DB"/>
    <w:rsid w:val="00D46444"/>
    <w:rsid w:val="00D46472"/>
    <w:rsid w:val="00D464AA"/>
    <w:rsid w:val="00D46544"/>
    <w:rsid w:val="00D46761"/>
    <w:rsid w:val="00D46839"/>
    <w:rsid w:val="00D46867"/>
    <w:rsid w:val="00D468FD"/>
    <w:rsid w:val="00D46911"/>
    <w:rsid w:val="00D46A1A"/>
    <w:rsid w:val="00D46A1B"/>
    <w:rsid w:val="00D46B65"/>
    <w:rsid w:val="00D46BCA"/>
    <w:rsid w:val="00D46BE0"/>
    <w:rsid w:val="00D46BEA"/>
    <w:rsid w:val="00D46C98"/>
    <w:rsid w:val="00D46CD6"/>
    <w:rsid w:val="00D46D41"/>
    <w:rsid w:val="00D46D60"/>
    <w:rsid w:val="00D46D66"/>
    <w:rsid w:val="00D46E04"/>
    <w:rsid w:val="00D46EDA"/>
    <w:rsid w:val="00D46F64"/>
    <w:rsid w:val="00D46FD9"/>
    <w:rsid w:val="00D46FFC"/>
    <w:rsid w:val="00D470E9"/>
    <w:rsid w:val="00D470F9"/>
    <w:rsid w:val="00D4711F"/>
    <w:rsid w:val="00D471BC"/>
    <w:rsid w:val="00D472A7"/>
    <w:rsid w:val="00D472B9"/>
    <w:rsid w:val="00D472BD"/>
    <w:rsid w:val="00D472F3"/>
    <w:rsid w:val="00D474E3"/>
    <w:rsid w:val="00D47500"/>
    <w:rsid w:val="00D4754A"/>
    <w:rsid w:val="00D47632"/>
    <w:rsid w:val="00D47641"/>
    <w:rsid w:val="00D4764E"/>
    <w:rsid w:val="00D476EB"/>
    <w:rsid w:val="00D4775B"/>
    <w:rsid w:val="00D47816"/>
    <w:rsid w:val="00D478F2"/>
    <w:rsid w:val="00D47994"/>
    <w:rsid w:val="00D4799E"/>
    <w:rsid w:val="00D479C0"/>
    <w:rsid w:val="00D479C1"/>
    <w:rsid w:val="00D47AB0"/>
    <w:rsid w:val="00D47AE8"/>
    <w:rsid w:val="00D47B13"/>
    <w:rsid w:val="00D47B2F"/>
    <w:rsid w:val="00D47B7E"/>
    <w:rsid w:val="00D47BB7"/>
    <w:rsid w:val="00D47C12"/>
    <w:rsid w:val="00D47C29"/>
    <w:rsid w:val="00D47C88"/>
    <w:rsid w:val="00D47CB6"/>
    <w:rsid w:val="00D47D4C"/>
    <w:rsid w:val="00D47E30"/>
    <w:rsid w:val="00D47EC4"/>
    <w:rsid w:val="00D47F08"/>
    <w:rsid w:val="00D47FFC"/>
    <w:rsid w:val="00D50024"/>
    <w:rsid w:val="00D5008E"/>
    <w:rsid w:val="00D501E2"/>
    <w:rsid w:val="00D502CB"/>
    <w:rsid w:val="00D50327"/>
    <w:rsid w:val="00D50335"/>
    <w:rsid w:val="00D50364"/>
    <w:rsid w:val="00D503FF"/>
    <w:rsid w:val="00D504C2"/>
    <w:rsid w:val="00D504D6"/>
    <w:rsid w:val="00D504F0"/>
    <w:rsid w:val="00D505C5"/>
    <w:rsid w:val="00D505DD"/>
    <w:rsid w:val="00D505F1"/>
    <w:rsid w:val="00D50627"/>
    <w:rsid w:val="00D50695"/>
    <w:rsid w:val="00D5071A"/>
    <w:rsid w:val="00D50727"/>
    <w:rsid w:val="00D507D1"/>
    <w:rsid w:val="00D50822"/>
    <w:rsid w:val="00D50856"/>
    <w:rsid w:val="00D50873"/>
    <w:rsid w:val="00D50936"/>
    <w:rsid w:val="00D5097C"/>
    <w:rsid w:val="00D50A2D"/>
    <w:rsid w:val="00D50C97"/>
    <w:rsid w:val="00D50CFF"/>
    <w:rsid w:val="00D50D17"/>
    <w:rsid w:val="00D50D91"/>
    <w:rsid w:val="00D51118"/>
    <w:rsid w:val="00D5113D"/>
    <w:rsid w:val="00D5126D"/>
    <w:rsid w:val="00D5126E"/>
    <w:rsid w:val="00D5130F"/>
    <w:rsid w:val="00D51322"/>
    <w:rsid w:val="00D51407"/>
    <w:rsid w:val="00D51415"/>
    <w:rsid w:val="00D514CF"/>
    <w:rsid w:val="00D51545"/>
    <w:rsid w:val="00D51694"/>
    <w:rsid w:val="00D51711"/>
    <w:rsid w:val="00D5172D"/>
    <w:rsid w:val="00D51883"/>
    <w:rsid w:val="00D518DB"/>
    <w:rsid w:val="00D51923"/>
    <w:rsid w:val="00D51986"/>
    <w:rsid w:val="00D51988"/>
    <w:rsid w:val="00D519B5"/>
    <w:rsid w:val="00D519C1"/>
    <w:rsid w:val="00D519CD"/>
    <w:rsid w:val="00D51AAB"/>
    <w:rsid w:val="00D51AB5"/>
    <w:rsid w:val="00D51BE4"/>
    <w:rsid w:val="00D51CB6"/>
    <w:rsid w:val="00D51CE2"/>
    <w:rsid w:val="00D51D1E"/>
    <w:rsid w:val="00D51DA8"/>
    <w:rsid w:val="00D51DEC"/>
    <w:rsid w:val="00D51E65"/>
    <w:rsid w:val="00D51F90"/>
    <w:rsid w:val="00D51F94"/>
    <w:rsid w:val="00D52018"/>
    <w:rsid w:val="00D52219"/>
    <w:rsid w:val="00D5225B"/>
    <w:rsid w:val="00D5227F"/>
    <w:rsid w:val="00D522CB"/>
    <w:rsid w:val="00D523AC"/>
    <w:rsid w:val="00D523F3"/>
    <w:rsid w:val="00D523F7"/>
    <w:rsid w:val="00D52429"/>
    <w:rsid w:val="00D52463"/>
    <w:rsid w:val="00D524E6"/>
    <w:rsid w:val="00D5251E"/>
    <w:rsid w:val="00D52684"/>
    <w:rsid w:val="00D5268A"/>
    <w:rsid w:val="00D526CD"/>
    <w:rsid w:val="00D52765"/>
    <w:rsid w:val="00D52779"/>
    <w:rsid w:val="00D5277E"/>
    <w:rsid w:val="00D52851"/>
    <w:rsid w:val="00D52857"/>
    <w:rsid w:val="00D5287C"/>
    <w:rsid w:val="00D52975"/>
    <w:rsid w:val="00D529A1"/>
    <w:rsid w:val="00D529AF"/>
    <w:rsid w:val="00D52A9F"/>
    <w:rsid w:val="00D52B27"/>
    <w:rsid w:val="00D52BEA"/>
    <w:rsid w:val="00D52CC6"/>
    <w:rsid w:val="00D52DD7"/>
    <w:rsid w:val="00D52E20"/>
    <w:rsid w:val="00D52EE3"/>
    <w:rsid w:val="00D52FAA"/>
    <w:rsid w:val="00D52FE9"/>
    <w:rsid w:val="00D52FF6"/>
    <w:rsid w:val="00D53017"/>
    <w:rsid w:val="00D530D9"/>
    <w:rsid w:val="00D5314B"/>
    <w:rsid w:val="00D53218"/>
    <w:rsid w:val="00D53330"/>
    <w:rsid w:val="00D53427"/>
    <w:rsid w:val="00D53470"/>
    <w:rsid w:val="00D5347C"/>
    <w:rsid w:val="00D5350D"/>
    <w:rsid w:val="00D53547"/>
    <w:rsid w:val="00D535AA"/>
    <w:rsid w:val="00D535FE"/>
    <w:rsid w:val="00D536C8"/>
    <w:rsid w:val="00D5381F"/>
    <w:rsid w:val="00D5385C"/>
    <w:rsid w:val="00D5387E"/>
    <w:rsid w:val="00D539C2"/>
    <w:rsid w:val="00D539DD"/>
    <w:rsid w:val="00D53A3A"/>
    <w:rsid w:val="00D53A49"/>
    <w:rsid w:val="00D53AA9"/>
    <w:rsid w:val="00D53AC2"/>
    <w:rsid w:val="00D53B21"/>
    <w:rsid w:val="00D53B63"/>
    <w:rsid w:val="00D53B78"/>
    <w:rsid w:val="00D53C0B"/>
    <w:rsid w:val="00D53CCD"/>
    <w:rsid w:val="00D53D33"/>
    <w:rsid w:val="00D53D6D"/>
    <w:rsid w:val="00D53DA9"/>
    <w:rsid w:val="00D53DBB"/>
    <w:rsid w:val="00D53DF5"/>
    <w:rsid w:val="00D53EB7"/>
    <w:rsid w:val="00D53ED3"/>
    <w:rsid w:val="00D53EDD"/>
    <w:rsid w:val="00D53F43"/>
    <w:rsid w:val="00D53FB2"/>
    <w:rsid w:val="00D540CE"/>
    <w:rsid w:val="00D540D9"/>
    <w:rsid w:val="00D541DD"/>
    <w:rsid w:val="00D5437C"/>
    <w:rsid w:val="00D54474"/>
    <w:rsid w:val="00D545C9"/>
    <w:rsid w:val="00D545F5"/>
    <w:rsid w:val="00D5464A"/>
    <w:rsid w:val="00D5465A"/>
    <w:rsid w:val="00D54731"/>
    <w:rsid w:val="00D5474F"/>
    <w:rsid w:val="00D54898"/>
    <w:rsid w:val="00D548A2"/>
    <w:rsid w:val="00D549E2"/>
    <w:rsid w:val="00D54A27"/>
    <w:rsid w:val="00D54A63"/>
    <w:rsid w:val="00D54B7A"/>
    <w:rsid w:val="00D54C6A"/>
    <w:rsid w:val="00D54C84"/>
    <w:rsid w:val="00D54CA2"/>
    <w:rsid w:val="00D54DC4"/>
    <w:rsid w:val="00D54DE5"/>
    <w:rsid w:val="00D54E5F"/>
    <w:rsid w:val="00D54E81"/>
    <w:rsid w:val="00D54FD7"/>
    <w:rsid w:val="00D54FEA"/>
    <w:rsid w:val="00D54FF2"/>
    <w:rsid w:val="00D5507D"/>
    <w:rsid w:val="00D550A6"/>
    <w:rsid w:val="00D55223"/>
    <w:rsid w:val="00D55232"/>
    <w:rsid w:val="00D552D7"/>
    <w:rsid w:val="00D5531E"/>
    <w:rsid w:val="00D5532F"/>
    <w:rsid w:val="00D553B6"/>
    <w:rsid w:val="00D55563"/>
    <w:rsid w:val="00D5570B"/>
    <w:rsid w:val="00D5580D"/>
    <w:rsid w:val="00D55870"/>
    <w:rsid w:val="00D558A9"/>
    <w:rsid w:val="00D558DA"/>
    <w:rsid w:val="00D55928"/>
    <w:rsid w:val="00D55956"/>
    <w:rsid w:val="00D559C0"/>
    <w:rsid w:val="00D559EA"/>
    <w:rsid w:val="00D559F5"/>
    <w:rsid w:val="00D55AA1"/>
    <w:rsid w:val="00D55B16"/>
    <w:rsid w:val="00D55B45"/>
    <w:rsid w:val="00D55BA7"/>
    <w:rsid w:val="00D55C0B"/>
    <w:rsid w:val="00D55C0D"/>
    <w:rsid w:val="00D55C6D"/>
    <w:rsid w:val="00D55C79"/>
    <w:rsid w:val="00D55CD4"/>
    <w:rsid w:val="00D55CE5"/>
    <w:rsid w:val="00D55CF3"/>
    <w:rsid w:val="00D55D06"/>
    <w:rsid w:val="00D55DFD"/>
    <w:rsid w:val="00D55EB1"/>
    <w:rsid w:val="00D55EB5"/>
    <w:rsid w:val="00D55F04"/>
    <w:rsid w:val="00D55F2F"/>
    <w:rsid w:val="00D55FD2"/>
    <w:rsid w:val="00D56199"/>
    <w:rsid w:val="00D561BD"/>
    <w:rsid w:val="00D561DB"/>
    <w:rsid w:val="00D56590"/>
    <w:rsid w:val="00D5669F"/>
    <w:rsid w:val="00D5681C"/>
    <w:rsid w:val="00D5687E"/>
    <w:rsid w:val="00D568B4"/>
    <w:rsid w:val="00D5691B"/>
    <w:rsid w:val="00D569EB"/>
    <w:rsid w:val="00D56A56"/>
    <w:rsid w:val="00D56ABE"/>
    <w:rsid w:val="00D56B6B"/>
    <w:rsid w:val="00D56BD3"/>
    <w:rsid w:val="00D56C18"/>
    <w:rsid w:val="00D56D14"/>
    <w:rsid w:val="00D56D5E"/>
    <w:rsid w:val="00D56FEE"/>
    <w:rsid w:val="00D5701A"/>
    <w:rsid w:val="00D5708E"/>
    <w:rsid w:val="00D570F6"/>
    <w:rsid w:val="00D57125"/>
    <w:rsid w:val="00D57263"/>
    <w:rsid w:val="00D57355"/>
    <w:rsid w:val="00D573E6"/>
    <w:rsid w:val="00D57461"/>
    <w:rsid w:val="00D5759C"/>
    <w:rsid w:val="00D575A0"/>
    <w:rsid w:val="00D575A6"/>
    <w:rsid w:val="00D575BD"/>
    <w:rsid w:val="00D575D8"/>
    <w:rsid w:val="00D575DF"/>
    <w:rsid w:val="00D5762A"/>
    <w:rsid w:val="00D576AB"/>
    <w:rsid w:val="00D576B5"/>
    <w:rsid w:val="00D576BD"/>
    <w:rsid w:val="00D576E0"/>
    <w:rsid w:val="00D576E9"/>
    <w:rsid w:val="00D577AA"/>
    <w:rsid w:val="00D577FD"/>
    <w:rsid w:val="00D57824"/>
    <w:rsid w:val="00D5791C"/>
    <w:rsid w:val="00D57A2A"/>
    <w:rsid w:val="00D57A57"/>
    <w:rsid w:val="00D57B72"/>
    <w:rsid w:val="00D57C54"/>
    <w:rsid w:val="00D57C63"/>
    <w:rsid w:val="00D57C8C"/>
    <w:rsid w:val="00D57C8E"/>
    <w:rsid w:val="00D57CE1"/>
    <w:rsid w:val="00D57D6D"/>
    <w:rsid w:val="00D57E47"/>
    <w:rsid w:val="00D57E68"/>
    <w:rsid w:val="00D57E84"/>
    <w:rsid w:val="00D57EA6"/>
    <w:rsid w:val="00D57EB8"/>
    <w:rsid w:val="00D57EFB"/>
    <w:rsid w:val="00D57F06"/>
    <w:rsid w:val="00D57F23"/>
    <w:rsid w:val="00D57F83"/>
    <w:rsid w:val="00D6007B"/>
    <w:rsid w:val="00D60120"/>
    <w:rsid w:val="00D6014F"/>
    <w:rsid w:val="00D601FE"/>
    <w:rsid w:val="00D602C0"/>
    <w:rsid w:val="00D6034D"/>
    <w:rsid w:val="00D6034F"/>
    <w:rsid w:val="00D60371"/>
    <w:rsid w:val="00D60395"/>
    <w:rsid w:val="00D603C0"/>
    <w:rsid w:val="00D604CC"/>
    <w:rsid w:val="00D6051B"/>
    <w:rsid w:val="00D6054A"/>
    <w:rsid w:val="00D6057E"/>
    <w:rsid w:val="00D605F5"/>
    <w:rsid w:val="00D6068B"/>
    <w:rsid w:val="00D6081E"/>
    <w:rsid w:val="00D60864"/>
    <w:rsid w:val="00D6087A"/>
    <w:rsid w:val="00D60916"/>
    <w:rsid w:val="00D60959"/>
    <w:rsid w:val="00D60967"/>
    <w:rsid w:val="00D60981"/>
    <w:rsid w:val="00D609E8"/>
    <w:rsid w:val="00D609F5"/>
    <w:rsid w:val="00D60AAA"/>
    <w:rsid w:val="00D60AF8"/>
    <w:rsid w:val="00D60B31"/>
    <w:rsid w:val="00D60B81"/>
    <w:rsid w:val="00D60BC7"/>
    <w:rsid w:val="00D60BFE"/>
    <w:rsid w:val="00D60D56"/>
    <w:rsid w:val="00D60E60"/>
    <w:rsid w:val="00D60EE2"/>
    <w:rsid w:val="00D60F21"/>
    <w:rsid w:val="00D60F62"/>
    <w:rsid w:val="00D60F8F"/>
    <w:rsid w:val="00D60F94"/>
    <w:rsid w:val="00D610FF"/>
    <w:rsid w:val="00D6122F"/>
    <w:rsid w:val="00D61245"/>
    <w:rsid w:val="00D61275"/>
    <w:rsid w:val="00D613D1"/>
    <w:rsid w:val="00D613F5"/>
    <w:rsid w:val="00D614CC"/>
    <w:rsid w:val="00D61588"/>
    <w:rsid w:val="00D615B7"/>
    <w:rsid w:val="00D615E3"/>
    <w:rsid w:val="00D615F7"/>
    <w:rsid w:val="00D61748"/>
    <w:rsid w:val="00D61827"/>
    <w:rsid w:val="00D618AE"/>
    <w:rsid w:val="00D618B6"/>
    <w:rsid w:val="00D618CA"/>
    <w:rsid w:val="00D618E7"/>
    <w:rsid w:val="00D6196E"/>
    <w:rsid w:val="00D61A1D"/>
    <w:rsid w:val="00D61A51"/>
    <w:rsid w:val="00D61B10"/>
    <w:rsid w:val="00D61B14"/>
    <w:rsid w:val="00D61B32"/>
    <w:rsid w:val="00D61B45"/>
    <w:rsid w:val="00D61B5A"/>
    <w:rsid w:val="00D61B68"/>
    <w:rsid w:val="00D61BBE"/>
    <w:rsid w:val="00D61C06"/>
    <w:rsid w:val="00D61C09"/>
    <w:rsid w:val="00D61CD2"/>
    <w:rsid w:val="00D61D2B"/>
    <w:rsid w:val="00D61D51"/>
    <w:rsid w:val="00D61E02"/>
    <w:rsid w:val="00D61E94"/>
    <w:rsid w:val="00D61EBA"/>
    <w:rsid w:val="00D61EC7"/>
    <w:rsid w:val="00D61F9B"/>
    <w:rsid w:val="00D6200A"/>
    <w:rsid w:val="00D62297"/>
    <w:rsid w:val="00D622AE"/>
    <w:rsid w:val="00D622B0"/>
    <w:rsid w:val="00D62303"/>
    <w:rsid w:val="00D6233B"/>
    <w:rsid w:val="00D62341"/>
    <w:rsid w:val="00D62431"/>
    <w:rsid w:val="00D6244A"/>
    <w:rsid w:val="00D6248D"/>
    <w:rsid w:val="00D62644"/>
    <w:rsid w:val="00D6264B"/>
    <w:rsid w:val="00D627C0"/>
    <w:rsid w:val="00D62892"/>
    <w:rsid w:val="00D62ADD"/>
    <w:rsid w:val="00D62B0E"/>
    <w:rsid w:val="00D62B80"/>
    <w:rsid w:val="00D62C69"/>
    <w:rsid w:val="00D62CC9"/>
    <w:rsid w:val="00D62CF4"/>
    <w:rsid w:val="00D62D36"/>
    <w:rsid w:val="00D62D74"/>
    <w:rsid w:val="00D62DFF"/>
    <w:rsid w:val="00D62E1A"/>
    <w:rsid w:val="00D62E68"/>
    <w:rsid w:val="00D62F24"/>
    <w:rsid w:val="00D62F4B"/>
    <w:rsid w:val="00D6303C"/>
    <w:rsid w:val="00D63060"/>
    <w:rsid w:val="00D631FD"/>
    <w:rsid w:val="00D63224"/>
    <w:rsid w:val="00D6327D"/>
    <w:rsid w:val="00D6328A"/>
    <w:rsid w:val="00D6332B"/>
    <w:rsid w:val="00D63415"/>
    <w:rsid w:val="00D63481"/>
    <w:rsid w:val="00D63580"/>
    <w:rsid w:val="00D636C0"/>
    <w:rsid w:val="00D636C6"/>
    <w:rsid w:val="00D6375B"/>
    <w:rsid w:val="00D637BE"/>
    <w:rsid w:val="00D63843"/>
    <w:rsid w:val="00D63A9C"/>
    <w:rsid w:val="00D63AD3"/>
    <w:rsid w:val="00D63AE0"/>
    <w:rsid w:val="00D63B2E"/>
    <w:rsid w:val="00D63B57"/>
    <w:rsid w:val="00D63C33"/>
    <w:rsid w:val="00D63C90"/>
    <w:rsid w:val="00D63C95"/>
    <w:rsid w:val="00D63CF3"/>
    <w:rsid w:val="00D63D0C"/>
    <w:rsid w:val="00D63D48"/>
    <w:rsid w:val="00D63D4A"/>
    <w:rsid w:val="00D63DD3"/>
    <w:rsid w:val="00D63E07"/>
    <w:rsid w:val="00D63EB3"/>
    <w:rsid w:val="00D63ED5"/>
    <w:rsid w:val="00D63F2E"/>
    <w:rsid w:val="00D63F65"/>
    <w:rsid w:val="00D63F9B"/>
    <w:rsid w:val="00D63FC9"/>
    <w:rsid w:val="00D63FF8"/>
    <w:rsid w:val="00D64080"/>
    <w:rsid w:val="00D64096"/>
    <w:rsid w:val="00D64105"/>
    <w:rsid w:val="00D64110"/>
    <w:rsid w:val="00D64114"/>
    <w:rsid w:val="00D64128"/>
    <w:rsid w:val="00D64147"/>
    <w:rsid w:val="00D641E5"/>
    <w:rsid w:val="00D642D8"/>
    <w:rsid w:val="00D64430"/>
    <w:rsid w:val="00D64443"/>
    <w:rsid w:val="00D64450"/>
    <w:rsid w:val="00D644E2"/>
    <w:rsid w:val="00D6455E"/>
    <w:rsid w:val="00D6462D"/>
    <w:rsid w:val="00D6465E"/>
    <w:rsid w:val="00D6473A"/>
    <w:rsid w:val="00D6474C"/>
    <w:rsid w:val="00D6476F"/>
    <w:rsid w:val="00D64895"/>
    <w:rsid w:val="00D64994"/>
    <w:rsid w:val="00D649FF"/>
    <w:rsid w:val="00D64A84"/>
    <w:rsid w:val="00D64B0D"/>
    <w:rsid w:val="00D64D44"/>
    <w:rsid w:val="00D64DA1"/>
    <w:rsid w:val="00D64DC7"/>
    <w:rsid w:val="00D64E09"/>
    <w:rsid w:val="00D64E2B"/>
    <w:rsid w:val="00D64F77"/>
    <w:rsid w:val="00D64FE9"/>
    <w:rsid w:val="00D65040"/>
    <w:rsid w:val="00D650A2"/>
    <w:rsid w:val="00D650A3"/>
    <w:rsid w:val="00D6512A"/>
    <w:rsid w:val="00D651AF"/>
    <w:rsid w:val="00D652F7"/>
    <w:rsid w:val="00D65303"/>
    <w:rsid w:val="00D65334"/>
    <w:rsid w:val="00D65383"/>
    <w:rsid w:val="00D65459"/>
    <w:rsid w:val="00D654B2"/>
    <w:rsid w:val="00D6551E"/>
    <w:rsid w:val="00D655AC"/>
    <w:rsid w:val="00D6568D"/>
    <w:rsid w:val="00D656E0"/>
    <w:rsid w:val="00D65729"/>
    <w:rsid w:val="00D6586E"/>
    <w:rsid w:val="00D658F8"/>
    <w:rsid w:val="00D65911"/>
    <w:rsid w:val="00D65926"/>
    <w:rsid w:val="00D6593C"/>
    <w:rsid w:val="00D659E5"/>
    <w:rsid w:val="00D65A42"/>
    <w:rsid w:val="00D65AC6"/>
    <w:rsid w:val="00D65B3E"/>
    <w:rsid w:val="00D65B4A"/>
    <w:rsid w:val="00D65C23"/>
    <w:rsid w:val="00D65C33"/>
    <w:rsid w:val="00D65CB2"/>
    <w:rsid w:val="00D65CE5"/>
    <w:rsid w:val="00D65D47"/>
    <w:rsid w:val="00D65D71"/>
    <w:rsid w:val="00D65E4B"/>
    <w:rsid w:val="00D65EA4"/>
    <w:rsid w:val="00D65F52"/>
    <w:rsid w:val="00D65F66"/>
    <w:rsid w:val="00D65FC9"/>
    <w:rsid w:val="00D65FF4"/>
    <w:rsid w:val="00D66038"/>
    <w:rsid w:val="00D6610C"/>
    <w:rsid w:val="00D66240"/>
    <w:rsid w:val="00D662DF"/>
    <w:rsid w:val="00D663A2"/>
    <w:rsid w:val="00D663FF"/>
    <w:rsid w:val="00D66418"/>
    <w:rsid w:val="00D66459"/>
    <w:rsid w:val="00D6645C"/>
    <w:rsid w:val="00D664A4"/>
    <w:rsid w:val="00D664BB"/>
    <w:rsid w:val="00D664EA"/>
    <w:rsid w:val="00D6651C"/>
    <w:rsid w:val="00D66553"/>
    <w:rsid w:val="00D66632"/>
    <w:rsid w:val="00D667FD"/>
    <w:rsid w:val="00D66811"/>
    <w:rsid w:val="00D668BD"/>
    <w:rsid w:val="00D66920"/>
    <w:rsid w:val="00D669D9"/>
    <w:rsid w:val="00D66AA8"/>
    <w:rsid w:val="00D66AB9"/>
    <w:rsid w:val="00D66B15"/>
    <w:rsid w:val="00D66D51"/>
    <w:rsid w:val="00D66D82"/>
    <w:rsid w:val="00D66F2D"/>
    <w:rsid w:val="00D66FCD"/>
    <w:rsid w:val="00D670B7"/>
    <w:rsid w:val="00D6715A"/>
    <w:rsid w:val="00D6717F"/>
    <w:rsid w:val="00D6729C"/>
    <w:rsid w:val="00D67316"/>
    <w:rsid w:val="00D6732B"/>
    <w:rsid w:val="00D67486"/>
    <w:rsid w:val="00D674AF"/>
    <w:rsid w:val="00D67551"/>
    <w:rsid w:val="00D675A7"/>
    <w:rsid w:val="00D67614"/>
    <w:rsid w:val="00D6766C"/>
    <w:rsid w:val="00D676C4"/>
    <w:rsid w:val="00D676D6"/>
    <w:rsid w:val="00D67708"/>
    <w:rsid w:val="00D678A3"/>
    <w:rsid w:val="00D678D1"/>
    <w:rsid w:val="00D67947"/>
    <w:rsid w:val="00D6798E"/>
    <w:rsid w:val="00D67A4C"/>
    <w:rsid w:val="00D67A8A"/>
    <w:rsid w:val="00D67B58"/>
    <w:rsid w:val="00D67B90"/>
    <w:rsid w:val="00D67D25"/>
    <w:rsid w:val="00D67D32"/>
    <w:rsid w:val="00D67D33"/>
    <w:rsid w:val="00D67D9F"/>
    <w:rsid w:val="00D67DC2"/>
    <w:rsid w:val="00D67DC4"/>
    <w:rsid w:val="00D67E0A"/>
    <w:rsid w:val="00D67E7C"/>
    <w:rsid w:val="00D67E9E"/>
    <w:rsid w:val="00D67EDA"/>
    <w:rsid w:val="00D67EFD"/>
    <w:rsid w:val="00D67FA8"/>
    <w:rsid w:val="00D7018A"/>
    <w:rsid w:val="00D702B7"/>
    <w:rsid w:val="00D702B8"/>
    <w:rsid w:val="00D70350"/>
    <w:rsid w:val="00D70352"/>
    <w:rsid w:val="00D70423"/>
    <w:rsid w:val="00D70481"/>
    <w:rsid w:val="00D70591"/>
    <w:rsid w:val="00D706C3"/>
    <w:rsid w:val="00D70755"/>
    <w:rsid w:val="00D7077F"/>
    <w:rsid w:val="00D707BB"/>
    <w:rsid w:val="00D707F7"/>
    <w:rsid w:val="00D70807"/>
    <w:rsid w:val="00D70895"/>
    <w:rsid w:val="00D70A5C"/>
    <w:rsid w:val="00D70B5E"/>
    <w:rsid w:val="00D70B63"/>
    <w:rsid w:val="00D70BD5"/>
    <w:rsid w:val="00D70CA6"/>
    <w:rsid w:val="00D70E15"/>
    <w:rsid w:val="00D70E1E"/>
    <w:rsid w:val="00D70E33"/>
    <w:rsid w:val="00D70E8D"/>
    <w:rsid w:val="00D70EF5"/>
    <w:rsid w:val="00D70F46"/>
    <w:rsid w:val="00D70F61"/>
    <w:rsid w:val="00D70FB0"/>
    <w:rsid w:val="00D70FBA"/>
    <w:rsid w:val="00D71060"/>
    <w:rsid w:val="00D710EF"/>
    <w:rsid w:val="00D711A0"/>
    <w:rsid w:val="00D71204"/>
    <w:rsid w:val="00D71344"/>
    <w:rsid w:val="00D713B3"/>
    <w:rsid w:val="00D71406"/>
    <w:rsid w:val="00D7146F"/>
    <w:rsid w:val="00D715E9"/>
    <w:rsid w:val="00D715FC"/>
    <w:rsid w:val="00D716FC"/>
    <w:rsid w:val="00D71702"/>
    <w:rsid w:val="00D717F1"/>
    <w:rsid w:val="00D71817"/>
    <w:rsid w:val="00D71877"/>
    <w:rsid w:val="00D718E8"/>
    <w:rsid w:val="00D7193C"/>
    <w:rsid w:val="00D7197E"/>
    <w:rsid w:val="00D719A5"/>
    <w:rsid w:val="00D71A57"/>
    <w:rsid w:val="00D71A71"/>
    <w:rsid w:val="00D71C05"/>
    <w:rsid w:val="00D71C63"/>
    <w:rsid w:val="00D71C8D"/>
    <w:rsid w:val="00D71D16"/>
    <w:rsid w:val="00D71DFF"/>
    <w:rsid w:val="00D71E16"/>
    <w:rsid w:val="00D71EA5"/>
    <w:rsid w:val="00D71F6C"/>
    <w:rsid w:val="00D71FA4"/>
    <w:rsid w:val="00D71FE2"/>
    <w:rsid w:val="00D72074"/>
    <w:rsid w:val="00D721BE"/>
    <w:rsid w:val="00D72324"/>
    <w:rsid w:val="00D72351"/>
    <w:rsid w:val="00D7241F"/>
    <w:rsid w:val="00D7246E"/>
    <w:rsid w:val="00D725AD"/>
    <w:rsid w:val="00D72608"/>
    <w:rsid w:val="00D72684"/>
    <w:rsid w:val="00D72743"/>
    <w:rsid w:val="00D72757"/>
    <w:rsid w:val="00D72790"/>
    <w:rsid w:val="00D727E1"/>
    <w:rsid w:val="00D727E6"/>
    <w:rsid w:val="00D727FB"/>
    <w:rsid w:val="00D72816"/>
    <w:rsid w:val="00D7283B"/>
    <w:rsid w:val="00D72943"/>
    <w:rsid w:val="00D72963"/>
    <w:rsid w:val="00D72AE4"/>
    <w:rsid w:val="00D72C0B"/>
    <w:rsid w:val="00D72C52"/>
    <w:rsid w:val="00D72C61"/>
    <w:rsid w:val="00D72CB6"/>
    <w:rsid w:val="00D72D0F"/>
    <w:rsid w:val="00D72DB4"/>
    <w:rsid w:val="00D72E43"/>
    <w:rsid w:val="00D72E45"/>
    <w:rsid w:val="00D72EAA"/>
    <w:rsid w:val="00D72F16"/>
    <w:rsid w:val="00D72F1C"/>
    <w:rsid w:val="00D72F41"/>
    <w:rsid w:val="00D72F6B"/>
    <w:rsid w:val="00D72F8D"/>
    <w:rsid w:val="00D7305B"/>
    <w:rsid w:val="00D7317B"/>
    <w:rsid w:val="00D731BA"/>
    <w:rsid w:val="00D731D8"/>
    <w:rsid w:val="00D731EB"/>
    <w:rsid w:val="00D7322E"/>
    <w:rsid w:val="00D73235"/>
    <w:rsid w:val="00D7327B"/>
    <w:rsid w:val="00D7327E"/>
    <w:rsid w:val="00D73392"/>
    <w:rsid w:val="00D73495"/>
    <w:rsid w:val="00D73566"/>
    <w:rsid w:val="00D735F6"/>
    <w:rsid w:val="00D736A1"/>
    <w:rsid w:val="00D736CA"/>
    <w:rsid w:val="00D7370A"/>
    <w:rsid w:val="00D737A8"/>
    <w:rsid w:val="00D73827"/>
    <w:rsid w:val="00D73918"/>
    <w:rsid w:val="00D73995"/>
    <w:rsid w:val="00D7399B"/>
    <w:rsid w:val="00D739B2"/>
    <w:rsid w:val="00D739D1"/>
    <w:rsid w:val="00D739D2"/>
    <w:rsid w:val="00D73A8D"/>
    <w:rsid w:val="00D73A9E"/>
    <w:rsid w:val="00D73AB4"/>
    <w:rsid w:val="00D73B6A"/>
    <w:rsid w:val="00D73D41"/>
    <w:rsid w:val="00D73E0F"/>
    <w:rsid w:val="00D73F8D"/>
    <w:rsid w:val="00D74079"/>
    <w:rsid w:val="00D740BD"/>
    <w:rsid w:val="00D740EE"/>
    <w:rsid w:val="00D7412C"/>
    <w:rsid w:val="00D741DE"/>
    <w:rsid w:val="00D741F3"/>
    <w:rsid w:val="00D742DF"/>
    <w:rsid w:val="00D74312"/>
    <w:rsid w:val="00D743C1"/>
    <w:rsid w:val="00D744B6"/>
    <w:rsid w:val="00D744ED"/>
    <w:rsid w:val="00D744F8"/>
    <w:rsid w:val="00D74520"/>
    <w:rsid w:val="00D74564"/>
    <w:rsid w:val="00D7459E"/>
    <w:rsid w:val="00D745A5"/>
    <w:rsid w:val="00D7479F"/>
    <w:rsid w:val="00D747CE"/>
    <w:rsid w:val="00D74855"/>
    <w:rsid w:val="00D7485D"/>
    <w:rsid w:val="00D7487E"/>
    <w:rsid w:val="00D748A3"/>
    <w:rsid w:val="00D748AB"/>
    <w:rsid w:val="00D748BB"/>
    <w:rsid w:val="00D749C6"/>
    <w:rsid w:val="00D74B97"/>
    <w:rsid w:val="00D74C4F"/>
    <w:rsid w:val="00D74C5A"/>
    <w:rsid w:val="00D74C6C"/>
    <w:rsid w:val="00D74D68"/>
    <w:rsid w:val="00D74F1D"/>
    <w:rsid w:val="00D74F96"/>
    <w:rsid w:val="00D75094"/>
    <w:rsid w:val="00D750FA"/>
    <w:rsid w:val="00D75130"/>
    <w:rsid w:val="00D751C5"/>
    <w:rsid w:val="00D75304"/>
    <w:rsid w:val="00D75306"/>
    <w:rsid w:val="00D7533F"/>
    <w:rsid w:val="00D7539A"/>
    <w:rsid w:val="00D7539B"/>
    <w:rsid w:val="00D753F7"/>
    <w:rsid w:val="00D75478"/>
    <w:rsid w:val="00D754B6"/>
    <w:rsid w:val="00D754BE"/>
    <w:rsid w:val="00D75530"/>
    <w:rsid w:val="00D75565"/>
    <w:rsid w:val="00D75597"/>
    <w:rsid w:val="00D755D0"/>
    <w:rsid w:val="00D7563F"/>
    <w:rsid w:val="00D756BE"/>
    <w:rsid w:val="00D7573F"/>
    <w:rsid w:val="00D75791"/>
    <w:rsid w:val="00D7579B"/>
    <w:rsid w:val="00D757F5"/>
    <w:rsid w:val="00D757F7"/>
    <w:rsid w:val="00D7581F"/>
    <w:rsid w:val="00D75861"/>
    <w:rsid w:val="00D758AE"/>
    <w:rsid w:val="00D75937"/>
    <w:rsid w:val="00D759FF"/>
    <w:rsid w:val="00D75A0C"/>
    <w:rsid w:val="00D75A42"/>
    <w:rsid w:val="00D75B1F"/>
    <w:rsid w:val="00D75B3B"/>
    <w:rsid w:val="00D75B75"/>
    <w:rsid w:val="00D75C1F"/>
    <w:rsid w:val="00D75C21"/>
    <w:rsid w:val="00D75D05"/>
    <w:rsid w:val="00D75F33"/>
    <w:rsid w:val="00D75FC8"/>
    <w:rsid w:val="00D7604D"/>
    <w:rsid w:val="00D760E8"/>
    <w:rsid w:val="00D760F8"/>
    <w:rsid w:val="00D7614F"/>
    <w:rsid w:val="00D7619E"/>
    <w:rsid w:val="00D762E5"/>
    <w:rsid w:val="00D762F6"/>
    <w:rsid w:val="00D763E9"/>
    <w:rsid w:val="00D765A0"/>
    <w:rsid w:val="00D765A7"/>
    <w:rsid w:val="00D765B2"/>
    <w:rsid w:val="00D76600"/>
    <w:rsid w:val="00D7665E"/>
    <w:rsid w:val="00D766E7"/>
    <w:rsid w:val="00D76751"/>
    <w:rsid w:val="00D7678C"/>
    <w:rsid w:val="00D7685B"/>
    <w:rsid w:val="00D768B4"/>
    <w:rsid w:val="00D768E1"/>
    <w:rsid w:val="00D768E4"/>
    <w:rsid w:val="00D76902"/>
    <w:rsid w:val="00D769EA"/>
    <w:rsid w:val="00D76A12"/>
    <w:rsid w:val="00D76AAF"/>
    <w:rsid w:val="00D76ABF"/>
    <w:rsid w:val="00D76B14"/>
    <w:rsid w:val="00D76B72"/>
    <w:rsid w:val="00D76BE5"/>
    <w:rsid w:val="00D76C10"/>
    <w:rsid w:val="00D76C9E"/>
    <w:rsid w:val="00D76CEF"/>
    <w:rsid w:val="00D76D92"/>
    <w:rsid w:val="00D76D9F"/>
    <w:rsid w:val="00D76E84"/>
    <w:rsid w:val="00D76F01"/>
    <w:rsid w:val="00D76F8E"/>
    <w:rsid w:val="00D76FFE"/>
    <w:rsid w:val="00D77058"/>
    <w:rsid w:val="00D770A3"/>
    <w:rsid w:val="00D770EE"/>
    <w:rsid w:val="00D7725E"/>
    <w:rsid w:val="00D77377"/>
    <w:rsid w:val="00D7737D"/>
    <w:rsid w:val="00D77411"/>
    <w:rsid w:val="00D77445"/>
    <w:rsid w:val="00D774E4"/>
    <w:rsid w:val="00D776C5"/>
    <w:rsid w:val="00D776D7"/>
    <w:rsid w:val="00D7785D"/>
    <w:rsid w:val="00D778C4"/>
    <w:rsid w:val="00D778CD"/>
    <w:rsid w:val="00D77A69"/>
    <w:rsid w:val="00D77B4B"/>
    <w:rsid w:val="00D77BAD"/>
    <w:rsid w:val="00D77C08"/>
    <w:rsid w:val="00D77C3F"/>
    <w:rsid w:val="00D77D26"/>
    <w:rsid w:val="00D77D38"/>
    <w:rsid w:val="00D77D44"/>
    <w:rsid w:val="00D77DF2"/>
    <w:rsid w:val="00D77E40"/>
    <w:rsid w:val="00D77E97"/>
    <w:rsid w:val="00D77EA6"/>
    <w:rsid w:val="00D77F00"/>
    <w:rsid w:val="00D77FFC"/>
    <w:rsid w:val="00D8005D"/>
    <w:rsid w:val="00D80066"/>
    <w:rsid w:val="00D800EF"/>
    <w:rsid w:val="00D801F9"/>
    <w:rsid w:val="00D80261"/>
    <w:rsid w:val="00D802C4"/>
    <w:rsid w:val="00D803A8"/>
    <w:rsid w:val="00D8043A"/>
    <w:rsid w:val="00D80511"/>
    <w:rsid w:val="00D80582"/>
    <w:rsid w:val="00D805E5"/>
    <w:rsid w:val="00D80676"/>
    <w:rsid w:val="00D8084C"/>
    <w:rsid w:val="00D808DE"/>
    <w:rsid w:val="00D80962"/>
    <w:rsid w:val="00D80A0D"/>
    <w:rsid w:val="00D80A34"/>
    <w:rsid w:val="00D80AB2"/>
    <w:rsid w:val="00D80AE1"/>
    <w:rsid w:val="00D80B5B"/>
    <w:rsid w:val="00D80B5F"/>
    <w:rsid w:val="00D80C6C"/>
    <w:rsid w:val="00D80E58"/>
    <w:rsid w:val="00D80F9F"/>
    <w:rsid w:val="00D81098"/>
    <w:rsid w:val="00D810E0"/>
    <w:rsid w:val="00D81158"/>
    <w:rsid w:val="00D8116B"/>
    <w:rsid w:val="00D81175"/>
    <w:rsid w:val="00D81284"/>
    <w:rsid w:val="00D81303"/>
    <w:rsid w:val="00D81313"/>
    <w:rsid w:val="00D8144E"/>
    <w:rsid w:val="00D81463"/>
    <w:rsid w:val="00D81599"/>
    <w:rsid w:val="00D8159B"/>
    <w:rsid w:val="00D8159C"/>
    <w:rsid w:val="00D815AF"/>
    <w:rsid w:val="00D8168B"/>
    <w:rsid w:val="00D8175E"/>
    <w:rsid w:val="00D81782"/>
    <w:rsid w:val="00D8185E"/>
    <w:rsid w:val="00D81908"/>
    <w:rsid w:val="00D81A82"/>
    <w:rsid w:val="00D81B19"/>
    <w:rsid w:val="00D81B90"/>
    <w:rsid w:val="00D81C11"/>
    <w:rsid w:val="00D81C2B"/>
    <w:rsid w:val="00D81DA6"/>
    <w:rsid w:val="00D81E9A"/>
    <w:rsid w:val="00D82020"/>
    <w:rsid w:val="00D8204D"/>
    <w:rsid w:val="00D82056"/>
    <w:rsid w:val="00D820E5"/>
    <w:rsid w:val="00D82122"/>
    <w:rsid w:val="00D82190"/>
    <w:rsid w:val="00D821FA"/>
    <w:rsid w:val="00D8222E"/>
    <w:rsid w:val="00D82295"/>
    <w:rsid w:val="00D822D0"/>
    <w:rsid w:val="00D8232D"/>
    <w:rsid w:val="00D823B1"/>
    <w:rsid w:val="00D82425"/>
    <w:rsid w:val="00D8255C"/>
    <w:rsid w:val="00D825AE"/>
    <w:rsid w:val="00D82621"/>
    <w:rsid w:val="00D8278D"/>
    <w:rsid w:val="00D827F5"/>
    <w:rsid w:val="00D828D6"/>
    <w:rsid w:val="00D828DA"/>
    <w:rsid w:val="00D82948"/>
    <w:rsid w:val="00D82A24"/>
    <w:rsid w:val="00D82BD0"/>
    <w:rsid w:val="00D82BD4"/>
    <w:rsid w:val="00D82C53"/>
    <w:rsid w:val="00D82CDB"/>
    <w:rsid w:val="00D82D33"/>
    <w:rsid w:val="00D82D83"/>
    <w:rsid w:val="00D82D9D"/>
    <w:rsid w:val="00D82E78"/>
    <w:rsid w:val="00D82EC6"/>
    <w:rsid w:val="00D82F74"/>
    <w:rsid w:val="00D82FFD"/>
    <w:rsid w:val="00D83019"/>
    <w:rsid w:val="00D830DA"/>
    <w:rsid w:val="00D830E7"/>
    <w:rsid w:val="00D8310D"/>
    <w:rsid w:val="00D83144"/>
    <w:rsid w:val="00D831B6"/>
    <w:rsid w:val="00D831FA"/>
    <w:rsid w:val="00D833D7"/>
    <w:rsid w:val="00D83439"/>
    <w:rsid w:val="00D83494"/>
    <w:rsid w:val="00D8360C"/>
    <w:rsid w:val="00D83676"/>
    <w:rsid w:val="00D836BC"/>
    <w:rsid w:val="00D836E0"/>
    <w:rsid w:val="00D83733"/>
    <w:rsid w:val="00D8373E"/>
    <w:rsid w:val="00D837B8"/>
    <w:rsid w:val="00D83871"/>
    <w:rsid w:val="00D83961"/>
    <w:rsid w:val="00D83977"/>
    <w:rsid w:val="00D83A13"/>
    <w:rsid w:val="00D83A45"/>
    <w:rsid w:val="00D83AE0"/>
    <w:rsid w:val="00D83AEF"/>
    <w:rsid w:val="00D83B72"/>
    <w:rsid w:val="00D83BA5"/>
    <w:rsid w:val="00D83DD0"/>
    <w:rsid w:val="00D83E11"/>
    <w:rsid w:val="00D83E37"/>
    <w:rsid w:val="00D83E67"/>
    <w:rsid w:val="00D83E8B"/>
    <w:rsid w:val="00D84010"/>
    <w:rsid w:val="00D8402B"/>
    <w:rsid w:val="00D8412D"/>
    <w:rsid w:val="00D84215"/>
    <w:rsid w:val="00D8425E"/>
    <w:rsid w:val="00D84303"/>
    <w:rsid w:val="00D84314"/>
    <w:rsid w:val="00D843F5"/>
    <w:rsid w:val="00D8441D"/>
    <w:rsid w:val="00D844E2"/>
    <w:rsid w:val="00D845F6"/>
    <w:rsid w:val="00D846B6"/>
    <w:rsid w:val="00D847F5"/>
    <w:rsid w:val="00D84849"/>
    <w:rsid w:val="00D848C9"/>
    <w:rsid w:val="00D84933"/>
    <w:rsid w:val="00D84988"/>
    <w:rsid w:val="00D849A0"/>
    <w:rsid w:val="00D84BB3"/>
    <w:rsid w:val="00D84C56"/>
    <w:rsid w:val="00D84C65"/>
    <w:rsid w:val="00D84C66"/>
    <w:rsid w:val="00D84CAC"/>
    <w:rsid w:val="00D84D57"/>
    <w:rsid w:val="00D84E77"/>
    <w:rsid w:val="00D84EFC"/>
    <w:rsid w:val="00D84F2C"/>
    <w:rsid w:val="00D8503D"/>
    <w:rsid w:val="00D85053"/>
    <w:rsid w:val="00D85150"/>
    <w:rsid w:val="00D851E2"/>
    <w:rsid w:val="00D85220"/>
    <w:rsid w:val="00D8522C"/>
    <w:rsid w:val="00D85255"/>
    <w:rsid w:val="00D852F8"/>
    <w:rsid w:val="00D853D8"/>
    <w:rsid w:val="00D853E8"/>
    <w:rsid w:val="00D85509"/>
    <w:rsid w:val="00D8560B"/>
    <w:rsid w:val="00D8566F"/>
    <w:rsid w:val="00D8568A"/>
    <w:rsid w:val="00D8576B"/>
    <w:rsid w:val="00D85778"/>
    <w:rsid w:val="00D857BD"/>
    <w:rsid w:val="00D8589F"/>
    <w:rsid w:val="00D859AE"/>
    <w:rsid w:val="00D85AEC"/>
    <w:rsid w:val="00D85C71"/>
    <w:rsid w:val="00D85C81"/>
    <w:rsid w:val="00D85CB4"/>
    <w:rsid w:val="00D85CD5"/>
    <w:rsid w:val="00D85CFE"/>
    <w:rsid w:val="00D85D21"/>
    <w:rsid w:val="00D85D97"/>
    <w:rsid w:val="00D85DEE"/>
    <w:rsid w:val="00D85E51"/>
    <w:rsid w:val="00D85ECF"/>
    <w:rsid w:val="00D85F24"/>
    <w:rsid w:val="00D86010"/>
    <w:rsid w:val="00D86029"/>
    <w:rsid w:val="00D86032"/>
    <w:rsid w:val="00D860DD"/>
    <w:rsid w:val="00D86122"/>
    <w:rsid w:val="00D86257"/>
    <w:rsid w:val="00D8631D"/>
    <w:rsid w:val="00D86356"/>
    <w:rsid w:val="00D86395"/>
    <w:rsid w:val="00D86408"/>
    <w:rsid w:val="00D86473"/>
    <w:rsid w:val="00D864A4"/>
    <w:rsid w:val="00D86519"/>
    <w:rsid w:val="00D86544"/>
    <w:rsid w:val="00D86557"/>
    <w:rsid w:val="00D86586"/>
    <w:rsid w:val="00D86617"/>
    <w:rsid w:val="00D8666C"/>
    <w:rsid w:val="00D86718"/>
    <w:rsid w:val="00D86724"/>
    <w:rsid w:val="00D86788"/>
    <w:rsid w:val="00D8681A"/>
    <w:rsid w:val="00D86951"/>
    <w:rsid w:val="00D86A11"/>
    <w:rsid w:val="00D86A1A"/>
    <w:rsid w:val="00D86A4C"/>
    <w:rsid w:val="00D86A9A"/>
    <w:rsid w:val="00D86B44"/>
    <w:rsid w:val="00D86D19"/>
    <w:rsid w:val="00D86DE9"/>
    <w:rsid w:val="00D86E88"/>
    <w:rsid w:val="00D86ED1"/>
    <w:rsid w:val="00D86F17"/>
    <w:rsid w:val="00D87052"/>
    <w:rsid w:val="00D87064"/>
    <w:rsid w:val="00D87089"/>
    <w:rsid w:val="00D870D2"/>
    <w:rsid w:val="00D870F9"/>
    <w:rsid w:val="00D87107"/>
    <w:rsid w:val="00D871B1"/>
    <w:rsid w:val="00D87213"/>
    <w:rsid w:val="00D87272"/>
    <w:rsid w:val="00D87274"/>
    <w:rsid w:val="00D87438"/>
    <w:rsid w:val="00D87442"/>
    <w:rsid w:val="00D8745D"/>
    <w:rsid w:val="00D874FF"/>
    <w:rsid w:val="00D8753D"/>
    <w:rsid w:val="00D87555"/>
    <w:rsid w:val="00D87613"/>
    <w:rsid w:val="00D8762A"/>
    <w:rsid w:val="00D8766A"/>
    <w:rsid w:val="00D8766C"/>
    <w:rsid w:val="00D87707"/>
    <w:rsid w:val="00D87725"/>
    <w:rsid w:val="00D8772B"/>
    <w:rsid w:val="00D87762"/>
    <w:rsid w:val="00D87864"/>
    <w:rsid w:val="00D878A9"/>
    <w:rsid w:val="00D878C9"/>
    <w:rsid w:val="00D878E1"/>
    <w:rsid w:val="00D87AAD"/>
    <w:rsid w:val="00D87AB7"/>
    <w:rsid w:val="00D87B59"/>
    <w:rsid w:val="00D87B6F"/>
    <w:rsid w:val="00D87BBA"/>
    <w:rsid w:val="00D87BE3"/>
    <w:rsid w:val="00D87C0D"/>
    <w:rsid w:val="00D87D30"/>
    <w:rsid w:val="00D87E21"/>
    <w:rsid w:val="00D87E2C"/>
    <w:rsid w:val="00D87F0B"/>
    <w:rsid w:val="00D90012"/>
    <w:rsid w:val="00D9003B"/>
    <w:rsid w:val="00D90051"/>
    <w:rsid w:val="00D90070"/>
    <w:rsid w:val="00D9014F"/>
    <w:rsid w:val="00D90178"/>
    <w:rsid w:val="00D90341"/>
    <w:rsid w:val="00D9036F"/>
    <w:rsid w:val="00D903BC"/>
    <w:rsid w:val="00D90414"/>
    <w:rsid w:val="00D9050F"/>
    <w:rsid w:val="00D90571"/>
    <w:rsid w:val="00D905A5"/>
    <w:rsid w:val="00D905BB"/>
    <w:rsid w:val="00D905F9"/>
    <w:rsid w:val="00D90679"/>
    <w:rsid w:val="00D90700"/>
    <w:rsid w:val="00D90727"/>
    <w:rsid w:val="00D90755"/>
    <w:rsid w:val="00D9075C"/>
    <w:rsid w:val="00D90795"/>
    <w:rsid w:val="00D9087C"/>
    <w:rsid w:val="00D9094B"/>
    <w:rsid w:val="00D90A00"/>
    <w:rsid w:val="00D90A72"/>
    <w:rsid w:val="00D90B2D"/>
    <w:rsid w:val="00D90B56"/>
    <w:rsid w:val="00D90B61"/>
    <w:rsid w:val="00D90B8A"/>
    <w:rsid w:val="00D90BC2"/>
    <w:rsid w:val="00D90C90"/>
    <w:rsid w:val="00D90C98"/>
    <w:rsid w:val="00D90CD2"/>
    <w:rsid w:val="00D90CF9"/>
    <w:rsid w:val="00D90D1D"/>
    <w:rsid w:val="00D90E30"/>
    <w:rsid w:val="00D90EC6"/>
    <w:rsid w:val="00D90EE4"/>
    <w:rsid w:val="00D90F01"/>
    <w:rsid w:val="00D90F5E"/>
    <w:rsid w:val="00D90F8F"/>
    <w:rsid w:val="00D90FE6"/>
    <w:rsid w:val="00D91101"/>
    <w:rsid w:val="00D9115D"/>
    <w:rsid w:val="00D9116E"/>
    <w:rsid w:val="00D911AF"/>
    <w:rsid w:val="00D9122F"/>
    <w:rsid w:val="00D91261"/>
    <w:rsid w:val="00D91279"/>
    <w:rsid w:val="00D912B6"/>
    <w:rsid w:val="00D91320"/>
    <w:rsid w:val="00D91385"/>
    <w:rsid w:val="00D915A2"/>
    <w:rsid w:val="00D9172D"/>
    <w:rsid w:val="00D91896"/>
    <w:rsid w:val="00D919F0"/>
    <w:rsid w:val="00D91A60"/>
    <w:rsid w:val="00D91A72"/>
    <w:rsid w:val="00D91B6A"/>
    <w:rsid w:val="00D91D69"/>
    <w:rsid w:val="00D91E22"/>
    <w:rsid w:val="00D91E7E"/>
    <w:rsid w:val="00D91F09"/>
    <w:rsid w:val="00D91F33"/>
    <w:rsid w:val="00D92000"/>
    <w:rsid w:val="00D92046"/>
    <w:rsid w:val="00D92071"/>
    <w:rsid w:val="00D920F5"/>
    <w:rsid w:val="00D9211C"/>
    <w:rsid w:val="00D9213A"/>
    <w:rsid w:val="00D9219C"/>
    <w:rsid w:val="00D921E4"/>
    <w:rsid w:val="00D92205"/>
    <w:rsid w:val="00D92209"/>
    <w:rsid w:val="00D9221D"/>
    <w:rsid w:val="00D92250"/>
    <w:rsid w:val="00D9229C"/>
    <w:rsid w:val="00D922D2"/>
    <w:rsid w:val="00D922E2"/>
    <w:rsid w:val="00D92416"/>
    <w:rsid w:val="00D924A7"/>
    <w:rsid w:val="00D924BE"/>
    <w:rsid w:val="00D9252D"/>
    <w:rsid w:val="00D9269A"/>
    <w:rsid w:val="00D92715"/>
    <w:rsid w:val="00D927A4"/>
    <w:rsid w:val="00D92842"/>
    <w:rsid w:val="00D92954"/>
    <w:rsid w:val="00D929CC"/>
    <w:rsid w:val="00D92A20"/>
    <w:rsid w:val="00D92AA2"/>
    <w:rsid w:val="00D92AA6"/>
    <w:rsid w:val="00D92C3E"/>
    <w:rsid w:val="00D92C87"/>
    <w:rsid w:val="00D92CD2"/>
    <w:rsid w:val="00D92D7B"/>
    <w:rsid w:val="00D92D9B"/>
    <w:rsid w:val="00D92DA6"/>
    <w:rsid w:val="00D92E63"/>
    <w:rsid w:val="00D92FA6"/>
    <w:rsid w:val="00D930F8"/>
    <w:rsid w:val="00D93136"/>
    <w:rsid w:val="00D9328F"/>
    <w:rsid w:val="00D932D3"/>
    <w:rsid w:val="00D9333C"/>
    <w:rsid w:val="00D933B8"/>
    <w:rsid w:val="00D933BF"/>
    <w:rsid w:val="00D933D4"/>
    <w:rsid w:val="00D93522"/>
    <w:rsid w:val="00D93560"/>
    <w:rsid w:val="00D93657"/>
    <w:rsid w:val="00D93670"/>
    <w:rsid w:val="00D936C8"/>
    <w:rsid w:val="00D93792"/>
    <w:rsid w:val="00D93861"/>
    <w:rsid w:val="00D93885"/>
    <w:rsid w:val="00D93B43"/>
    <w:rsid w:val="00D93B99"/>
    <w:rsid w:val="00D93BC7"/>
    <w:rsid w:val="00D93BE0"/>
    <w:rsid w:val="00D93C01"/>
    <w:rsid w:val="00D93C5A"/>
    <w:rsid w:val="00D93C82"/>
    <w:rsid w:val="00D93C8D"/>
    <w:rsid w:val="00D93CD7"/>
    <w:rsid w:val="00D93CE9"/>
    <w:rsid w:val="00D93CED"/>
    <w:rsid w:val="00D93D86"/>
    <w:rsid w:val="00D93D9E"/>
    <w:rsid w:val="00D93E19"/>
    <w:rsid w:val="00D93E1E"/>
    <w:rsid w:val="00D93E23"/>
    <w:rsid w:val="00D93FB3"/>
    <w:rsid w:val="00D9400B"/>
    <w:rsid w:val="00D940B9"/>
    <w:rsid w:val="00D940D1"/>
    <w:rsid w:val="00D9433B"/>
    <w:rsid w:val="00D94368"/>
    <w:rsid w:val="00D94439"/>
    <w:rsid w:val="00D944BA"/>
    <w:rsid w:val="00D944EA"/>
    <w:rsid w:val="00D94612"/>
    <w:rsid w:val="00D94693"/>
    <w:rsid w:val="00D9469B"/>
    <w:rsid w:val="00D946A6"/>
    <w:rsid w:val="00D94733"/>
    <w:rsid w:val="00D947DA"/>
    <w:rsid w:val="00D94851"/>
    <w:rsid w:val="00D948B2"/>
    <w:rsid w:val="00D9493A"/>
    <w:rsid w:val="00D949B2"/>
    <w:rsid w:val="00D949D2"/>
    <w:rsid w:val="00D949D8"/>
    <w:rsid w:val="00D94A1F"/>
    <w:rsid w:val="00D94A99"/>
    <w:rsid w:val="00D94B3E"/>
    <w:rsid w:val="00D94BBD"/>
    <w:rsid w:val="00D94BC4"/>
    <w:rsid w:val="00D94BD1"/>
    <w:rsid w:val="00D94D36"/>
    <w:rsid w:val="00D94D5E"/>
    <w:rsid w:val="00D94DA6"/>
    <w:rsid w:val="00D94DAB"/>
    <w:rsid w:val="00D94E74"/>
    <w:rsid w:val="00D94FA1"/>
    <w:rsid w:val="00D9500A"/>
    <w:rsid w:val="00D95020"/>
    <w:rsid w:val="00D950A2"/>
    <w:rsid w:val="00D950BE"/>
    <w:rsid w:val="00D951EA"/>
    <w:rsid w:val="00D95215"/>
    <w:rsid w:val="00D95218"/>
    <w:rsid w:val="00D952C0"/>
    <w:rsid w:val="00D9531E"/>
    <w:rsid w:val="00D95392"/>
    <w:rsid w:val="00D953DD"/>
    <w:rsid w:val="00D953E8"/>
    <w:rsid w:val="00D953EE"/>
    <w:rsid w:val="00D954C3"/>
    <w:rsid w:val="00D955F7"/>
    <w:rsid w:val="00D95759"/>
    <w:rsid w:val="00D957A3"/>
    <w:rsid w:val="00D957B6"/>
    <w:rsid w:val="00D9588E"/>
    <w:rsid w:val="00D95911"/>
    <w:rsid w:val="00D95952"/>
    <w:rsid w:val="00D95A14"/>
    <w:rsid w:val="00D95A16"/>
    <w:rsid w:val="00D95AB1"/>
    <w:rsid w:val="00D95B19"/>
    <w:rsid w:val="00D95B48"/>
    <w:rsid w:val="00D95B7E"/>
    <w:rsid w:val="00D95B96"/>
    <w:rsid w:val="00D95BA5"/>
    <w:rsid w:val="00D95C07"/>
    <w:rsid w:val="00D95CBF"/>
    <w:rsid w:val="00D95CE9"/>
    <w:rsid w:val="00D95D01"/>
    <w:rsid w:val="00D95DC4"/>
    <w:rsid w:val="00D95E97"/>
    <w:rsid w:val="00D95F6D"/>
    <w:rsid w:val="00D95FD4"/>
    <w:rsid w:val="00D95FD6"/>
    <w:rsid w:val="00D96041"/>
    <w:rsid w:val="00D96117"/>
    <w:rsid w:val="00D961CC"/>
    <w:rsid w:val="00D962C6"/>
    <w:rsid w:val="00D962D0"/>
    <w:rsid w:val="00D9635F"/>
    <w:rsid w:val="00D96395"/>
    <w:rsid w:val="00D9649D"/>
    <w:rsid w:val="00D965B8"/>
    <w:rsid w:val="00D96617"/>
    <w:rsid w:val="00D966DF"/>
    <w:rsid w:val="00D9679A"/>
    <w:rsid w:val="00D96824"/>
    <w:rsid w:val="00D968A9"/>
    <w:rsid w:val="00D968BC"/>
    <w:rsid w:val="00D96954"/>
    <w:rsid w:val="00D96983"/>
    <w:rsid w:val="00D969E6"/>
    <w:rsid w:val="00D96A26"/>
    <w:rsid w:val="00D96B01"/>
    <w:rsid w:val="00D96B19"/>
    <w:rsid w:val="00D96BA1"/>
    <w:rsid w:val="00D96C3A"/>
    <w:rsid w:val="00D96CD0"/>
    <w:rsid w:val="00D96CF5"/>
    <w:rsid w:val="00D96D02"/>
    <w:rsid w:val="00D96EB1"/>
    <w:rsid w:val="00D96F97"/>
    <w:rsid w:val="00D97013"/>
    <w:rsid w:val="00D970CF"/>
    <w:rsid w:val="00D97168"/>
    <w:rsid w:val="00D97262"/>
    <w:rsid w:val="00D97274"/>
    <w:rsid w:val="00D97281"/>
    <w:rsid w:val="00D9732E"/>
    <w:rsid w:val="00D9737F"/>
    <w:rsid w:val="00D973D7"/>
    <w:rsid w:val="00D97402"/>
    <w:rsid w:val="00D974B3"/>
    <w:rsid w:val="00D9753D"/>
    <w:rsid w:val="00D97560"/>
    <w:rsid w:val="00D97564"/>
    <w:rsid w:val="00D97603"/>
    <w:rsid w:val="00D9762B"/>
    <w:rsid w:val="00D97651"/>
    <w:rsid w:val="00D97790"/>
    <w:rsid w:val="00D977F4"/>
    <w:rsid w:val="00D97808"/>
    <w:rsid w:val="00D978E4"/>
    <w:rsid w:val="00D9791A"/>
    <w:rsid w:val="00D9794B"/>
    <w:rsid w:val="00D9797F"/>
    <w:rsid w:val="00D979D1"/>
    <w:rsid w:val="00D979E1"/>
    <w:rsid w:val="00D97A6B"/>
    <w:rsid w:val="00D97BBC"/>
    <w:rsid w:val="00D97C63"/>
    <w:rsid w:val="00D97C8D"/>
    <w:rsid w:val="00D97CE2"/>
    <w:rsid w:val="00D97D13"/>
    <w:rsid w:val="00D97DA0"/>
    <w:rsid w:val="00D97DE4"/>
    <w:rsid w:val="00D97E4F"/>
    <w:rsid w:val="00D97ED2"/>
    <w:rsid w:val="00D97F02"/>
    <w:rsid w:val="00D97FB7"/>
    <w:rsid w:val="00DA0048"/>
    <w:rsid w:val="00DA0081"/>
    <w:rsid w:val="00DA00C7"/>
    <w:rsid w:val="00DA0125"/>
    <w:rsid w:val="00DA0153"/>
    <w:rsid w:val="00DA0184"/>
    <w:rsid w:val="00DA02B5"/>
    <w:rsid w:val="00DA0352"/>
    <w:rsid w:val="00DA042E"/>
    <w:rsid w:val="00DA0474"/>
    <w:rsid w:val="00DA0507"/>
    <w:rsid w:val="00DA0659"/>
    <w:rsid w:val="00DA0780"/>
    <w:rsid w:val="00DA07C8"/>
    <w:rsid w:val="00DA0806"/>
    <w:rsid w:val="00DA0808"/>
    <w:rsid w:val="00DA0819"/>
    <w:rsid w:val="00DA0830"/>
    <w:rsid w:val="00DA0859"/>
    <w:rsid w:val="00DA089F"/>
    <w:rsid w:val="00DA0918"/>
    <w:rsid w:val="00DA0934"/>
    <w:rsid w:val="00DA0954"/>
    <w:rsid w:val="00DA099A"/>
    <w:rsid w:val="00DA0ABF"/>
    <w:rsid w:val="00DA0ACF"/>
    <w:rsid w:val="00DA0AE9"/>
    <w:rsid w:val="00DA0B32"/>
    <w:rsid w:val="00DA0B48"/>
    <w:rsid w:val="00DA0B64"/>
    <w:rsid w:val="00DA0B73"/>
    <w:rsid w:val="00DA0CD8"/>
    <w:rsid w:val="00DA0E2A"/>
    <w:rsid w:val="00DA0F41"/>
    <w:rsid w:val="00DA1034"/>
    <w:rsid w:val="00DA1043"/>
    <w:rsid w:val="00DA10E9"/>
    <w:rsid w:val="00DA111A"/>
    <w:rsid w:val="00DA11B1"/>
    <w:rsid w:val="00DA1218"/>
    <w:rsid w:val="00DA12ED"/>
    <w:rsid w:val="00DA12EE"/>
    <w:rsid w:val="00DA12EF"/>
    <w:rsid w:val="00DA1356"/>
    <w:rsid w:val="00DA13C4"/>
    <w:rsid w:val="00DA13E7"/>
    <w:rsid w:val="00DA1538"/>
    <w:rsid w:val="00DA15C6"/>
    <w:rsid w:val="00DA15D9"/>
    <w:rsid w:val="00DA1633"/>
    <w:rsid w:val="00DA177C"/>
    <w:rsid w:val="00DA1780"/>
    <w:rsid w:val="00DA17D9"/>
    <w:rsid w:val="00DA17FF"/>
    <w:rsid w:val="00DA1832"/>
    <w:rsid w:val="00DA184B"/>
    <w:rsid w:val="00DA186B"/>
    <w:rsid w:val="00DA18E1"/>
    <w:rsid w:val="00DA1908"/>
    <w:rsid w:val="00DA192A"/>
    <w:rsid w:val="00DA194D"/>
    <w:rsid w:val="00DA19FB"/>
    <w:rsid w:val="00DA1B03"/>
    <w:rsid w:val="00DA1BDA"/>
    <w:rsid w:val="00DA1BE2"/>
    <w:rsid w:val="00DA1C4C"/>
    <w:rsid w:val="00DA1CAA"/>
    <w:rsid w:val="00DA1D45"/>
    <w:rsid w:val="00DA1D9D"/>
    <w:rsid w:val="00DA1DC8"/>
    <w:rsid w:val="00DA1DD6"/>
    <w:rsid w:val="00DA1DFA"/>
    <w:rsid w:val="00DA1E2B"/>
    <w:rsid w:val="00DA1E67"/>
    <w:rsid w:val="00DA1E83"/>
    <w:rsid w:val="00DA1EFF"/>
    <w:rsid w:val="00DA1F7F"/>
    <w:rsid w:val="00DA1FFB"/>
    <w:rsid w:val="00DA205F"/>
    <w:rsid w:val="00DA2072"/>
    <w:rsid w:val="00DA2078"/>
    <w:rsid w:val="00DA209F"/>
    <w:rsid w:val="00DA20FB"/>
    <w:rsid w:val="00DA210B"/>
    <w:rsid w:val="00DA227A"/>
    <w:rsid w:val="00DA22C9"/>
    <w:rsid w:val="00DA22F9"/>
    <w:rsid w:val="00DA2369"/>
    <w:rsid w:val="00DA23DE"/>
    <w:rsid w:val="00DA23F4"/>
    <w:rsid w:val="00DA2401"/>
    <w:rsid w:val="00DA2504"/>
    <w:rsid w:val="00DA2515"/>
    <w:rsid w:val="00DA253E"/>
    <w:rsid w:val="00DA25AD"/>
    <w:rsid w:val="00DA26B5"/>
    <w:rsid w:val="00DA272C"/>
    <w:rsid w:val="00DA27B1"/>
    <w:rsid w:val="00DA28F2"/>
    <w:rsid w:val="00DA2971"/>
    <w:rsid w:val="00DA2A3E"/>
    <w:rsid w:val="00DA2AD9"/>
    <w:rsid w:val="00DA2BD7"/>
    <w:rsid w:val="00DA2CEA"/>
    <w:rsid w:val="00DA2D01"/>
    <w:rsid w:val="00DA2D30"/>
    <w:rsid w:val="00DA2D73"/>
    <w:rsid w:val="00DA2D7F"/>
    <w:rsid w:val="00DA2DDF"/>
    <w:rsid w:val="00DA2E0B"/>
    <w:rsid w:val="00DA2E81"/>
    <w:rsid w:val="00DA2E82"/>
    <w:rsid w:val="00DA2E91"/>
    <w:rsid w:val="00DA2EDD"/>
    <w:rsid w:val="00DA2F7A"/>
    <w:rsid w:val="00DA327E"/>
    <w:rsid w:val="00DA3302"/>
    <w:rsid w:val="00DA332F"/>
    <w:rsid w:val="00DA339D"/>
    <w:rsid w:val="00DA33EB"/>
    <w:rsid w:val="00DA3439"/>
    <w:rsid w:val="00DA345A"/>
    <w:rsid w:val="00DA346A"/>
    <w:rsid w:val="00DA353D"/>
    <w:rsid w:val="00DA3585"/>
    <w:rsid w:val="00DA3612"/>
    <w:rsid w:val="00DA36C5"/>
    <w:rsid w:val="00DA3700"/>
    <w:rsid w:val="00DA3713"/>
    <w:rsid w:val="00DA37BF"/>
    <w:rsid w:val="00DA3819"/>
    <w:rsid w:val="00DA38C7"/>
    <w:rsid w:val="00DA38DF"/>
    <w:rsid w:val="00DA3992"/>
    <w:rsid w:val="00DA39E2"/>
    <w:rsid w:val="00DA3A59"/>
    <w:rsid w:val="00DA3A92"/>
    <w:rsid w:val="00DA3B18"/>
    <w:rsid w:val="00DA3B71"/>
    <w:rsid w:val="00DA3B8D"/>
    <w:rsid w:val="00DA3B9A"/>
    <w:rsid w:val="00DA3BA9"/>
    <w:rsid w:val="00DA3C72"/>
    <w:rsid w:val="00DA3C96"/>
    <w:rsid w:val="00DA3CC8"/>
    <w:rsid w:val="00DA3D01"/>
    <w:rsid w:val="00DA3D07"/>
    <w:rsid w:val="00DA3D41"/>
    <w:rsid w:val="00DA3D9F"/>
    <w:rsid w:val="00DA3E18"/>
    <w:rsid w:val="00DA3F18"/>
    <w:rsid w:val="00DA3FB0"/>
    <w:rsid w:val="00DA3FFD"/>
    <w:rsid w:val="00DA4043"/>
    <w:rsid w:val="00DA4072"/>
    <w:rsid w:val="00DA40E5"/>
    <w:rsid w:val="00DA4122"/>
    <w:rsid w:val="00DA41A3"/>
    <w:rsid w:val="00DA41B9"/>
    <w:rsid w:val="00DA4204"/>
    <w:rsid w:val="00DA4292"/>
    <w:rsid w:val="00DA42A7"/>
    <w:rsid w:val="00DA42C9"/>
    <w:rsid w:val="00DA42CD"/>
    <w:rsid w:val="00DA431B"/>
    <w:rsid w:val="00DA4336"/>
    <w:rsid w:val="00DA4428"/>
    <w:rsid w:val="00DA44F9"/>
    <w:rsid w:val="00DA4536"/>
    <w:rsid w:val="00DA453D"/>
    <w:rsid w:val="00DA453E"/>
    <w:rsid w:val="00DA4546"/>
    <w:rsid w:val="00DA4569"/>
    <w:rsid w:val="00DA45B9"/>
    <w:rsid w:val="00DA491C"/>
    <w:rsid w:val="00DA491F"/>
    <w:rsid w:val="00DA4922"/>
    <w:rsid w:val="00DA4953"/>
    <w:rsid w:val="00DA49D5"/>
    <w:rsid w:val="00DA49EE"/>
    <w:rsid w:val="00DA4A48"/>
    <w:rsid w:val="00DA4AA5"/>
    <w:rsid w:val="00DA4AED"/>
    <w:rsid w:val="00DA4B34"/>
    <w:rsid w:val="00DA4BE2"/>
    <w:rsid w:val="00DA4C9C"/>
    <w:rsid w:val="00DA4D88"/>
    <w:rsid w:val="00DA4E93"/>
    <w:rsid w:val="00DA4EBD"/>
    <w:rsid w:val="00DA4ED8"/>
    <w:rsid w:val="00DA4F52"/>
    <w:rsid w:val="00DA4FE8"/>
    <w:rsid w:val="00DA5066"/>
    <w:rsid w:val="00DA5094"/>
    <w:rsid w:val="00DA512A"/>
    <w:rsid w:val="00DA54FE"/>
    <w:rsid w:val="00DA557F"/>
    <w:rsid w:val="00DA569C"/>
    <w:rsid w:val="00DA56AD"/>
    <w:rsid w:val="00DA56CD"/>
    <w:rsid w:val="00DA573E"/>
    <w:rsid w:val="00DA575E"/>
    <w:rsid w:val="00DA5777"/>
    <w:rsid w:val="00DA57E5"/>
    <w:rsid w:val="00DA5891"/>
    <w:rsid w:val="00DA58A6"/>
    <w:rsid w:val="00DA5948"/>
    <w:rsid w:val="00DA5A8A"/>
    <w:rsid w:val="00DA5B3E"/>
    <w:rsid w:val="00DA5BFD"/>
    <w:rsid w:val="00DA5C42"/>
    <w:rsid w:val="00DA5C60"/>
    <w:rsid w:val="00DA5C86"/>
    <w:rsid w:val="00DA5CD3"/>
    <w:rsid w:val="00DA5D51"/>
    <w:rsid w:val="00DA5DD8"/>
    <w:rsid w:val="00DA5DF0"/>
    <w:rsid w:val="00DA5E4E"/>
    <w:rsid w:val="00DA5E79"/>
    <w:rsid w:val="00DA5FA7"/>
    <w:rsid w:val="00DA6131"/>
    <w:rsid w:val="00DA614E"/>
    <w:rsid w:val="00DA615D"/>
    <w:rsid w:val="00DA6170"/>
    <w:rsid w:val="00DA618C"/>
    <w:rsid w:val="00DA61EA"/>
    <w:rsid w:val="00DA6227"/>
    <w:rsid w:val="00DA62B2"/>
    <w:rsid w:val="00DA635C"/>
    <w:rsid w:val="00DA6392"/>
    <w:rsid w:val="00DA63DE"/>
    <w:rsid w:val="00DA644A"/>
    <w:rsid w:val="00DA647E"/>
    <w:rsid w:val="00DA64FD"/>
    <w:rsid w:val="00DA6544"/>
    <w:rsid w:val="00DA65BF"/>
    <w:rsid w:val="00DA665F"/>
    <w:rsid w:val="00DA6773"/>
    <w:rsid w:val="00DA6775"/>
    <w:rsid w:val="00DA69C5"/>
    <w:rsid w:val="00DA6A4C"/>
    <w:rsid w:val="00DA6A6F"/>
    <w:rsid w:val="00DA6AB2"/>
    <w:rsid w:val="00DA6AB4"/>
    <w:rsid w:val="00DA6AC6"/>
    <w:rsid w:val="00DA6AC7"/>
    <w:rsid w:val="00DA6AE8"/>
    <w:rsid w:val="00DA6B71"/>
    <w:rsid w:val="00DA6BDD"/>
    <w:rsid w:val="00DA6C00"/>
    <w:rsid w:val="00DA6C93"/>
    <w:rsid w:val="00DA6DD5"/>
    <w:rsid w:val="00DA6E21"/>
    <w:rsid w:val="00DA6E53"/>
    <w:rsid w:val="00DA6FF2"/>
    <w:rsid w:val="00DA7024"/>
    <w:rsid w:val="00DA70BA"/>
    <w:rsid w:val="00DA70F8"/>
    <w:rsid w:val="00DA71C7"/>
    <w:rsid w:val="00DA7200"/>
    <w:rsid w:val="00DA72E4"/>
    <w:rsid w:val="00DA7399"/>
    <w:rsid w:val="00DA74EC"/>
    <w:rsid w:val="00DA74EF"/>
    <w:rsid w:val="00DA751C"/>
    <w:rsid w:val="00DA7544"/>
    <w:rsid w:val="00DA75AB"/>
    <w:rsid w:val="00DA7622"/>
    <w:rsid w:val="00DA7740"/>
    <w:rsid w:val="00DA7842"/>
    <w:rsid w:val="00DA7859"/>
    <w:rsid w:val="00DA78C4"/>
    <w:rsid w:val="00DA7938"/>
    <w:rsid w:val="00DA7969"/>
    <w:rsid w:val="00DA7A26"/>
    <w:rsid w:val="00DA7A72"/>
    <w:rsid w:val="00DA7A81"/>
    <w:rsid w:val="00DA7A8D"/>
    <w:rsid w:val="00DA7B3E"/>
    <w:rsid w:val="00DA7B8E"/>
    <w:rsid w:val="00DA7BA3"/>
    <w:rsid w:val="00DA7BA4"/>
    <w:rsid w:val="00DA7BB1"/>
    <w:rsid w:val="00DA7BB8"/>
    <w:rsid w:val="00DA7D00"/>
    <w:rsid w:val="00DA7DF7"/>
    <w:rsid w:val="00DA7F23"/>
    <w:rsid w:val="00DA7FB8"/>
    <w:rsid w:val="00DB0087"/>
    <w:rsid w:val="00DB011E"/>
    <w:rsid w:val="00DB0195"/>
    <w:rsid w:val="00DB01A3"/>
    <w:rsid w:val="00DB01BB"/>
    <w:rsid w:val="00DB0225"/>
    <w:rsid w:val="00DB02CE"/>
    <w:rsid w:val="00DB02F8"/>
    <w:rsid w:val="00DB0313"/>
    <w:rsid w:val="00DB0385"/>
    <w:rsid w:val="00DB03A2"/>
    <w:rsid w:val="00DB04B6"/>
    <w:rsid w:val="00DB04CF"/>
    <w:rsid w:val="00DB0524"/>
    <w:rsid w:val="00DB054C"/>
    <w:rsid w:val="00DB055E"/>
    <w:rsid w:val="00DB05F5"/>
    <w:rsid w:val="00DB0733"/>
    <w:rsid w:val="00DB0794"/>
    <w:rsid w:val="00DB0809"/>
    <w:rsid w:val="00DB0853"/>
    <w:rsid w:val="00DB0A18"/>
    <w:rsid w:val="00DB0B41"/>
    <w:rsid w:val="00DB0BF5"/>
    <w:rsid w:val="00DB0C53"/>
    <w:rsid w:val="00DB0C6A"/>
    <w:rsid w:val="00DB0DA8"/>
    <w:rsid w:val="00DB0DF7"/>
    <w:rsid w:val="00DB0DFD"/>
    <w:rsid w:val="00DB0DFE"/>
    <w:rsid w:val="00DB0E61"/>
    <w:rsid w:val="00DB0E68"/>
    <w:rsid w:val="00DB0FF2"/>
    <w:rsid w:val="00DB0FF6"/>
    <w:rsid w:val="00DB1011"/>
    <w:rsid w:val="00DB108F"/>
    <w:rsid w:val="00DB116D"/>
    <w:rsid w:val="00DB11C3"/>
    <w:rsid w:val="00DB11DD"/>
    <w:rsid w:val="00DB11F6"/>
    <w:rsid w:val="00DB11F7"/>
    <w:rsid w:val="00DB121E"/>
    <w:rsid w:val="00DB135E"/>
    <w:rsid w:val="00DB1397"/>
    <w:rsid w:val="00DB1502"/>
    <w:rsid w:val="00DB1536"/>
    <w:rsid w:val="00DB1556"/>
    <w:rsid w:val="00DB15CA"/>
    <w:rsid w:val="00DB15F3"/>
    <w:rsid w:val="00DB1647"/>
    <w:rsid w:val="00DB16EE"/>
    <w:rsid w:val="00DB1753"/>
    <w:rsid w:val="00DB1763"/>
    <w:rsid w:val="00DB1764"/>
    <w:rsid w:val="00DB17A3"/>
    <w:rsid w:val="00DB17F0"/>
    <w:rsid w:val="00DB1885"/>
    <w:rsid w:val="00DB18E8"/>
    <w:rsid w:val="00DB18FE"/>
    <w:rsid w:val="00DB1A99"/>
    <w:rsid w:val="00DB1B2B"/>
    <w:rsid w:val="00DB1B64"/>
    <w:rsid w:val="00DB1B7C"/>
    <w:rsid w:val="00DB1BBC"/>
    <w:rsid w:val="00DB1BFB"/>
    <w:rsid w:val="00DB1CFF"/>
    <w:rsid w:val="00DB1D00"/>
    <w:rsid w:val="00DB1DCC"/>
    <w:rsid w:val="00DB1E11"/>
    <w:rsid w:val="00DB1E52"/>
    <w:rsid w:val="00DB1E67"/>
    <w:rsid w:val="00DB1E71"/>
    <w:rsid w:val="00DB1F0C"/>
    <w:rsid w:val="00DB1F53"/>
    <w:rsid w:val="00DB1FB7"/>
    <w:rsid w:val="00DB1FD9"/>
    <w:rsid w:val="00DB1FDC"/>
    <w:rsid w:val="00DB2020"/>
    <w:rsid w:val="00DB2089"/>
    <w:rsid w:val="00DB208F"/>
    <w:rsid w:val="00DB21A9"/>
    <w:rsid w:val="00DB21EB"/>
    <w:rsid w:val="00DB21FB"/>
    <w:rsid w:val="00DB2339"/>
    <w:rsid w:val="00DB2407"/>
    <w:rsid w:val="00DB2477"/>
    <w:rsid w:val="00DB24BC"/>
    <w:rsid w:val="00DB25A1"/>
    <w:rsid w:val="00DB2638"/>
    <w:rsid w:val="00DB26E1"/>
    <w:rsid w:val="00DB27F2"/>
    <w:rsid w:val="00DB2880"/>
    <w:rsid w:val="00DB28A0"/>
    <w:rsid w:val="00DB28AB"/>
    <w:rsid w:val="00DB28CC"/>
    <w:rsid w:val="00DB28E5"/>
    <w:rsid w:val="00DB2933"/>
    <w:rsid w:val="00DB293D"/>
    <w:rsid w:val="00DB29EA"/>
    <w:rsid w:val="00DB2A5F"/>
    <w:rsid w:val="00DB2AD7"/>
    <w:rsid w:val="00DB2AFB"/>
    <w:rsid w:val="00DB2B83"/>
    <w:rsid w:val="00DB2D33"/>
    <w:rsid w:val="00DB2DAB"/>
    <w:rsid w:val="00DB2DC5"/>
    <w:rsid w:val="00DB2E91"/>
    <w:rsid w:val="00DB2F0C"/>
    <w:rsid w:val="00DB2F0E"/>
    <w:rsid w:val="00DB3029"/>
    <w:rsid w:val="00DB30FD"/>
    <w:rsid w:val="00DB3147"/>
    <w:rsid w:val="00DB32CF"/>
    <w:rsid w:val="00DB32E8"/>
    <w:rsid w:val="00DB3361"/>
    <w:rsid w:val="00DB3460"/>
    <w:rsid w:val="00DB34A1"/>
    <w:rsid w:val="00DB34BD"/>
    <w:rsid w:val="00DB3595"/>
    <w:rsid w:val="00DB3687"/>
    <w:rsid w:val="00DB373D"/>
    <w:rsid w:val="00DB38A0"/>
    <w:rsid w:val="00DB38AB"/>
    <w:rsid w:val="00DB38B7"/>
    <w:rsid w:val="00DB38FF"/>
    <w:rsid w:val="00DB3940"/>
    <w:rsid w:val="00DB3957"/>
    <w:rsid w:val="00DB3AE0"/>
    <w:rsid w:val="00DB3B12"/>
    <w:rsid w:val="00DB3B14"/>
    <w:rsid w:val="00DB3B5A"/>
    <w:rsid w:val="00DB3BA8"/>
    <w:rsid w:val="00DB3C12"/>
    <w:rsid w:val="00DB3CFF"/>
    <w:rsid w:val="00DB3EE1"/>
    <w:rsid w:val="00DB3F81"/>
    <w:rsid w:val="00DB4020"/>
    <w:rsid w:val="00DB4115"/>
    <w:rsid w:val="00DB4142"/>
    <w:rsid w:val="00DB4164"/>
    <w:rsid w:val="00DB41D5"/>
    <w:rsid w:val="00DB4330"/>
    <w:rsid w:val="00DB4554"/>
    <w:rsid w:val="00DB4562"/>
    <w:rsid w:val="00DB459D"/>
    <w:rsid w:val="00DB45F7"/>
    <w:rsid w:val="00DB4622"/>
    <w:rsid w:val="00DB4670"/>
    <w:rsid w:val="00DB47BD"/>
    <w:rsid w:val="00DB485E"/>
    <w:rsid w:val="00DB4879"/>
    <w:rsid w:val="00DB48A9"/>
    <w:rsid w:val="00DB4936"/>
    <w:rsid w:val="00DB493B"/>
    <w:rsid w:val="00DB49A4"/>
    <w:rsid w:val="00DB4A49"/>
    <w:rsid w:val="00DB4C20"/>
    <w:rsid w:val="00DB4C57"/>
    <w:rsid w:val="00DB4D05"/>
    <w:rsid w:val="00DB4D17"/>
    <w:rsid w:val="00DB4D54"/>
    <w:rsid w:val="00DB4DE6"/>
    <w:rsid w:val="00DB4E0B"/>
    <w:rsid w:val="00DB4EAD"/>
    <w:rsid w:val="00DB4F5B"/>
    <w:rsid w:val="00DB4F83"/>
    <w:rsid w:val="00DB4F9A"/>
    <w:rsid w:val="00DB5085"/>
    <w:rsid w:val="00DB5173"/>
    <w:rsid w:val="00DB5182"/>
    <w:rsid w:val="00DB5204"/>
    <w:rsid w:val="00DB52B8"/>
    <w:rsid w:val="00DB52D0"/>
    <w:rsid w:val="00DB54A7"/>
    <w:rsid w:val="00DB557C"/>
    <w:rsid w:val="00DB55A3"/>
    <w:rsid w:val="00DB55FB"/>
    <w:rsid w:val="00DB5666"/>
    <w:rsid w:val="00DB5669"/>
    <w:rsid w:val="00DB569F"/>
    <w:rsid w:val="00DB57B6"/>
    <w:rsid w:val="00DB5833"/>
    <w:rsid w:val="00DB58DE"/>
    <w:rsid w:val="00DB5A28"/>
    <w:rsid w:val="00DB5A71"/>
    <w:rsid w:val="00DB5B50"/>
    <w:rsid w:val="00DB5BAF"/>
    <w:rsid w:val="00DB5BBB"/>
    <w:rsid w:val="00DB5BC9"/>
    <w:rsid w:val="00DB5C02"/>
    <w:rsid w:val="00DB5C9B"/>
    <w:rsid w:val="00DB5CC2"/>
    <w:rsid w:val="00DB5DF1"/>
    <w:rsid w:val="00DB5F18"/>
    <w:rsid w:val="00DB5F5E"/>
    <w:rsid w:val="00DB5F6D"/>
    <w:rsid w:val="00DB5FAB"/>
    <w:rsid w:val="00DB5FE7"/>
    <w:rsid w:val="00DB6002"/>
    <w:rsid w:val="00DB609D"/>
    <w:rsid w:val="00DB6146"/>
    <w:rsid w:val="00DB6187"/>
    <w:rsid w:val="00DB61BA"/>
    <w:rsid w:val="00DB620B"/>
    <w:rsid w:val="00DB6342"/>
    <w:rsid w:val="00DB6360"/>
    <w:rsid w:val="00DB63EB"/>
    <w:rsid w:val="00DB6477"/>
    <w:rsid w:val="00DB6492"/>
    <w:rsid w:val="00DB64EA"/>
    <w:rsid w:val="00DB6552"/>
    <w:rsid w:val="00DB6579"/>
    <w:rsid w:val="00DB65A4"/>
    <w:rsid w:val="00DB6615"/>
    <w:rsid w:val="00DB66C9"/>
    <w:rsid w:val="00DB675B"/>
    <w:rsid w:val="00DB682C"/>
    <w:rsid w:val="00DB6987"/>
    <w:rsid w:val="00DB6995"/>
    <w:rsid w:val="00DB69C0"/>
    <w:rsid w:val="00DB69F3"/>
    <w:rsid w:val="00DB6A57"/>
    <w:rsid w:val="00DB6B22"/>
    <w:rsid w:val="00DB6B64"/>
    <w:rsid w:val="00DB6BCA"/>
    <w:rsid w:val="00DB6C5C"/>
    <w:rsid w:val="00DB6C66"/>
    <w:rsid w:val="00DB6DF6"/>
    <w:rsid w:val="00DB6E7C"/>
    <w:rsid w:val="00DB6F74"/>
    <w:rsid w:val="00DB6FC7"/>
    <w:rsid w:val="00DB707A"/>
    <w:rsid w:val="00DB70FF"/>
    <w:rsid w:val="00DB7179"/>
    <w:rsid w:val="00DB71AF"/>
    <w:rsid w:val="00DB7282"/>
    <w:rsid w:val="00DB7289"/>
    <w:rsid w:val="00DB733D"/>
    <w:rsid w:val="00DB73BD"/>
    <w:rsid w:val="00DB73C1"/>
    <w:rsid w:val="00DB73CE"/>
    <w:rsid w:val="00DB7450"/>
    <w:rsid w:val="00DB75FF"/>
    <w:rsid w:val="00DB7647"/>
    <w:rsid w:val="00DB7692"/>
    <w:rsid w:val="00DB76BE"/>
    <w:rsid w:val="00DB7700"/>
    <w:rsid w:val="00DB782F"/>
    <w:rsid w:val="00DB7837"/>
    <w:rsid w:val="00DB796C"/>
    <w:rsid w:val="00DB7A83"/>
    <w:rsid w:val="00DB7AAE"/>
    <w:rsid w:val="00DB7B0F"/>
    <w:rsid w:val="00DB7B5A"/>
    <w:rsid w:val="00DB7B74"/>
    <w:rsid w:val="00DB7BC6"/>
    <w:rsid w:val="00DB7BF2"/>
    <w:rsid w:val="00DB7C6A"/>
    <w:rsid w:val="00DB7C87"/>
    <w:rsid w:val="00DB7E60"/>
    <w:rsid w:val="00DB7F20"/>
    <w:rsid w:val="00DB7FEE"/>
    <w:rsid w:val="00DC003E"/>
    <w:rsid w:val="00DC00E2"/>
    <w:rsid w:val="00DC030C"/>
    <w:rsid w:val="00DC0432"/>
    <w:rsid w:val="00DC0437"/>
    <w:rsid w:val="00DC045C"/>
    <w:rsid w:val="00DC047A"/>
    <w:rsid w:val="00DC0552"/>
    <w:rsid w:val="00DC0568"/>
    <w:rsid w:val="00DC0688"/>
    <w:rsid w:val="00DC0702"/>
    <w:rsid w:val="00DC075F"/>
    <w:rsid w:val="00DC0817"/>
    <w:rsid w:val="00DC0841"/>
    <w:rsid w:val="00DC086D"/>
    <w:rsid w:val="00DC095C"/>
    <w:rsid w:val="00DC0A52"/>
    <w:rsid w:val="00DC0AD8"/>
    <w:rsid w:val="00DC0B33"/>
    <w:rsid w:val="00DC0B71"/>
    <w:rsid w:val="00DC0B74"/>
    <w:rsid w:val="00DC0B76"/>
    <w:rsid w:val="00DC0B8D"/>
    <w:rsid w:val="00DC0BB7"/>
    <w:rsid w:val="00DC0C0E"/>
    <w:rsid w:val="00DC0CCB"/>
    <w:rsid w:val="00DC0CCC"/>
    <w:rsid w:val="00DC0CE1"/>
    <w:rsid w:val="00DC0D1D"/>
    <w:rsid w:val="00DC0D34"/>
    <w:rsid w:val="00DC0D60"/>
    <w:rsid w:val="00DC0F49"/>
    <w:rsid w:val="00DC0F84"/>
    <w:rsid w:val="00DC0FCB"/>
    <w:rsid w:val="00DC0FD1"/>
    <w:rsid w:val="00DC0FFA"/>
    <w:rsid w:val="00DC108F"/>
    <w:rsid w:val="00DC10C2"/>
    <w:rsid w:val="00DC10D4"/>
    <w:rsid w:val="00DC114C"/>
    <w:rsid w:val="00DC119C"/>
    <w:rsid w:val="00DC1212"/>
    <w:rsid w:val="00DC121D"/>
    <w:rsid w:val="00DC1225"/>
    <w:rsid w:val="00DC133A"/>
    <w:rsid w:val="00DC1375"/>
    <w:rsid w:val="00DC13AF"/>
    <w:rsid w:val="00DC141C"/>
    <w:rsid w:val="00DC1498"/>
    <w:rsid w:val="00DC1687"/>
    <w:rsid w:val="00DC170B"/>
    <w:rsid w:val="00DC17BB"/>
    <w:rsid w:val="00DC17DC"/>
    <w:rsid w:val="00DC17DE"/>
    <w:rsid w:val="00DC186D"/>
    <w:rsid w:val="00DC18E9"/>
    <w:rsid w:val="00DC1A3B"/>
    <w:rsid w:val="00DC1A81"/>
    <w:rsid w:val="00DC1B52"/>
    <w:rsid w:val="00DC1B78"/>
    <w:rsid w:val="00DC1B90"/>
    <w:rsid w:val="00DC1BE3"/>
    <w:rsid w:val="00DC1C10"/>
    <w:rsid w:val="00DC1C26"/>
    <w:rsid w:val="00DC1CB0"/>
    <w:rsid w:val="00DC1E9A"/>
    <w:rsid w:val="00DC1F0F"/>
    <w:rsid w:val="00DC1F9D"/>
    <w:rsid w:val="00DC2019"/>
    <w:rsid w:val="00DC201C"/>
    <w:rsid w:val="00DC20C8"/>
    <w:rsid w:val="00DC2206"/>
    <w:rsid w:val="00DC2215"/>
    <w:rsid w:val="00DC22C9"/>
    <w:rsid w:val="00DC2301"/>
    <w:rsid w:val="00DC237F"/>
    <w:rsid w:val="00DC23A3"/>
    <w:rsid w:val="00DC2520"/>
    <w:rsid w:val="00DC2570"/>
    <w:rsid w:val="00DC25AB"/>
    <w:rsid w:val="00DC264A"/>
    <w:rsid w:val="00DC2668"/>
    <w:rsid w:val="00DC27AA"/>
    <w:rsid w:val="00DC27E6"/>
    <w:rsid w:val="00DC2830"/>
    <w:rsid w:val="00DC2844"/>
    <w:rsid w:val="00DC295A"/>
    <w:rsid w:val="00DC299B"/>
    <w:rsid w:val="00DC29A2"/>
    <w:rsid w:val="00DC29BE"/>
    <w:rsid w:val="00DC2A6C"/>
    <w:rsid w:val="00DC2B01"/>
    <w:rsid w:val="00DC2B32"/>
    <w:rsid w:val="00DC2C78"/>
    <w:rsid w:val="00DC2CA5"/>
    <w:rsid w:val="00DC2CB6"/>
    <w:rsid w:val="00DC2E16"/>
    <w:rsid w:val="00DC2E23"/>
    <w:rsid w:val="00DC2F9B"/>
    <w:rsid w:val="00DC2FE8"/>
    <w:rsid w:val="00DC30E0"/>
    <w:rsid w:val="00DC3177"/>
    <w:rsid w:val="00DC31EB"/>
    <w:rsid w:val="00DC3201"/>
    <w:rsid w:val="00DC3268"/>
    <w:rsid w:val="00DC3277"/>
    <w:rsid w:val="00DC32EE"/>
    <w:rsid w:val="00DC3360"/>
    <w:rsid w:val="00DC3378"/>
    <w:rsid w:val="00DC33EB"/>
    <w:rsid w:val="00DC346A"/>
    <w:rsid w:val="00DC35CF"/>
    <w:rsid w:val="00DC35D7"/>
    <w:rsid w:val="00DC3683"/>
    <w:rsid w:val="00DC3715"/>
    <w:rsid w:val="00DC37BA"/>
    <w:rsid w:val="00DC3861"/>
    <w:rsid w:val="00DC3873"/>
    <w:rsid w:val="00DC38FA"/>
    <w:rsid w:val="00DC3A96"/>
    <w:rsid w:val="00DC3B84"/>
    <w:rsid w:val="00DC3BD9"/>
    <w:rsid w:val="00DC3BFA"/>
    <w:rsid w:val="00DC3D21"/>
    <w:rsid w:val="00DC3D2B"/>
    <w:rsid w:val="00DC3DE3"/>
    <w:rsid w:val="00DC3E37"/>
    <w:rsid w:val="00DC3E74"/>
    <w:rsid w:val="00DC3EF0"/>
    <w:rsid w:val="00DC3F36"/>
    <w:rsid w:val="00DC3F61"/>
    <w:rsid w:val="00DC3F7D"/>
    <w:rsid w:val="00DC3F85"/>
    <w:rsid w:val="00DC3FC3"/>
    <w:rsid w:val="00DC412C"/>
    <w:rsid w:val="00DC41F7"/>
    <w:rsid w:val="00DC4399"/>
    <w:rsid w:val="00DC43BF"/>
    <w:rsid w:val="00DC43ED"/>
    <w:rsid w:val="00DC4401"/>
    <w:rsid w:val="00DC443E"/>
    <w:rsid w:val="00DC44D3"/>
    <w:rsid w:val="00DC4505"/>
    <w:rsid w:val="00DC45A1"/>
    <w:rsid w:val="00DC45B1"/>
    <w:rsid w:val="00DC4612"/>
    <w:rsid w:val="00DC4660"/>
    <w:rsid w:val="00DC4681"/>
    <w:rsid w:val="00DC48BD"/>
    <w:rsid w:val="00DC491F"/>
    <w:rsid w:val="00DC4925"/>
    <w:rsid w:val="00DC4975"/>
    <w:rsid w:val="00DC49E3"/>
    <w:rsid w:val="00DC4B18"/>
    <w:rsid w:val="00DC4B59"/>
    <w:rsid w:val="00DC4B94"/>
    <w:rsid w:val="00DC4BC5"/>
    <w:rsid w:val="00DC4C10"/>
    <w:rsid w:val="00DC4C4D"/>
    <w:rsid w:val="00DC4C6A"/>
    <w:rsid w:val="00DC4D00"/>
    <w:rsid w:val="00DC4E02"/>
    <w:rsid w:val="00DC4E6D"/>
    <w:rsid w:val="00DC4EFE"/>
    <w:rsid w:val="00DC4FD2"/>
    <w:rsid w:val="00DC5034"/>
    <w:rsid w:val="00DC5151"/>
    <w:rsid w:val="00DC522F"/>
    <w:rsid w:val="00DC5359"/>
    <w:rsid w:val="00DC5379"/>
    <w:rsid w:val="00DC537D"/>
    <w:rsid w:val="00DC550E"/>
    <w:rsid w:val="00DC5573"/>
    <w:rsid w:val="00DC55CF"/>
    <w:rsid w:val="00DC55E5"/>
    <w:rsid w:val="00DC5609"/>
    <w:rsid w:val="00DC5694"/>
    <w:rsid w:val="00DC5703"/>
    <w:rsid w:val="00DC572D"/>
    <w:rsid w:val="00DC57BA"/>
    <w:rsid w:val="00DC57CB"/>
    <w:rsid w:val="00DC5813"/>
    <w:rsid w:val="00DC584D"/>
    <w:rsid w:val="00DC5969"/>
    <w:rsid w:val="00DC59A8"/>
    <w:rsid w:val="00DC59E5"/>
    <w:rsid w:val="00DC5A0F"/>
    <w:rsid w:val="00DC5B32"/>
    <w:rsid w:val="00DC5B5C"/>
    <w:rsid w:val="00DC5C5E"/>
    <w:rsid w:val="00DC5C76"/>
    <w:rsid w:val="00DC5CAA"/>
    <w:rsid w:val="00DC5D0D"/>
    <w:rsid w:val="00DC5E0B"/>
    <w:rsid w:val="00DC5E98"/>
    <w:rsid w:val="00DC5F0D"/>
    <w:rsid w:val="00DC5F1F"/>
    <w:rsid w:val="00DC5FF9"/>
    <w:rsid w:val="00DC6004"/>
    <w:rsid w:val="00DC602C"/>
    <w:rsid w:val="00DC60DE"/>
    <w:rsid w:val="00DC612A"/>
    <w:rsid w:val="00DC6191"/>
    <w:rsid w:val="00DC619A"/>
    <w:rsid w:val="00DC6287"/>
    <w:rsid w:val="00DC62FD"/>
    <w:rsid w:val="00DC6319"/>
    <w:rsid w:val="00DC6360"/>
    <w:rsid w:val="00DC63C7"/>
    <w:rsid w:val="00DC63D3"/>
    <w:rsid w:val="00DC63F5"/>
    <w:rsid w:val="00DC648E"/>
    <w:rsid w:val="00DC6514"/>
    <w:rsid w:val="00DC6643"/>
    <w:rsid w:val="00DC66A2"/>
    <w:rsid w:val="00DC66DD"/>
    <w:rsid w:val="00DC6785"/>
    <w:rsid w:val="00DC67C5"/>
    <w:rsid w:val="00DC67CB"/>
    <w:rsid w:val="00DC684B"/>
    <w:rsid w:val="00DC6918"/>
    <w:rsid w:val="00DC694D"/>
    <w:rsid w:val="00DC69E5"/>
    <w:rsid w:val="00DC6AE4"/>
    <w:rsid w:val="00DC6B36"/>
    <w:rsid w:val="00DC6BE7"/>
    <w:rsid w:val="00DC6C3B"/>
    <w:rsid w:val="00DC6C93"/>
    <w:rsid w:val="00DC6CF8"/>
    <w:rsid w:val="00DC6D07"/>
    <w:rsid w:val="00DC6EC4"/>
    <w:rsid w:val="00DC6ED8"/>
    <w:rsid w:val="00DC6FE4"/>
    <w:rsid w:val="00DC6FE6"/>
    <w:rsid w:val="00DC702D"/>
    <w:rsid w:val="00DC70C7"/>
    <w:rsid w:val="00DC70EE"/>
    <w:rsid w:val="00DC713C"/>
    <w:rsid w:val="00DC71C6"/>
    <w:rsid w:val="00DC71CA"/>
    <w:rsid w:val="00DC71D2"/>
    <w:rsid w:val="00DC7263"/>
    <w:rsid w:val="00DC72CA"/>
    <w:rsid w:val="00DC740B"/>
    <w:rsid w:val="00DC742E"/>
    <w:rsid w:val="00DC7485"/>
    <w:rsid w:val="00DC750D"/>
    <w:rsid w:val="00DC757B"/>
    <w:rsid w:val="00DC75E9"/>
    <w:rsid w:val="00DC766F"/>
    <w:rsid w:val="00DC7677"/>
    <w:rsid w:val="00DC7770"/>
    <w:rsid w:val="00DC78E0"/>
    <w:rsid w:val="00DC78F6"/>
    <w:rsid w:val="00DC793A"/>
    <w:rsid w:val="00DC7971"/>
    <w:rsid w:val="00DC79E3"/>
    <w:rsid w:val="00DC7A33"/>
    <w:rsid w:val="00DC7A76"/>
    <w:rsid w:val="00DC7A9B"/>
    <w:rsid w:val="00DC7ABE"/>
    <w:rsid w:val="00DC7AC8"/>
    <w:rsid w:val="00DC7B35"/>
    <w:rsid w:val="00DC7B4C"/>
    <w:rsid w:val="00DC7BFA"/>
    <w:rsid w:val="00DC7C02"/>
    <w:rsid w:val="00DC7C62"/>
    <w:rsid w:val="00DC7CDF"/>
    <w:rsid w:val="00DC7D06"/>
    <w:rsid w:val="00DC7D27"/>
    <w:rsid w:val="00DC7D3C"/>
    <w:rsid w:val="00DC7E49"/>
    <w:rsid w:val="00DC7EA2"/>
    <w:rsid w:val="00DC7F6B"/>
    <w:rsid w:val="00DC7FA1"/>
    <w:rsid w:val="00DC7FAA"/>
    <w:rsid w:val="00DC7FBE"/>
    <w:rsid w:val="00DD0014"/>
    <w:rsid w:val="00DD008B"/>
    <w:rsid w:val="00DD00DD"/>
    <w:rsid w:val="00DD0224"/>
    <w:rsid w:val="00DD02F8"/>
    <w:rsid w:val="00DD0359"/>
    <w:rsid w:val="00DD0515"/>
    <w:rsid w:val="00DD055E"/>
    <w:rsid w:val="00DD05AE"/>
    <w:rsid w:val="00DD06A9"/>
    <w:rsid w:val="00DD06AF"/>
    <w:rsid w:val="00DD06B4"/>
    <w:rsid w:val="00DD06DD"/>
    <w:rsid w:val="00DD06E4"/>
    <w:rsid w:val="00DD0708"/>
    <w:rsid w:val="00DD0795"/>
    <w:rsid w:val="00DD0898"/>
    <w:rsid w:val="00DD08A0"/>
    <w:rsid w:val="00DD08BE"/>
    <w:rsid w:val="00DD08E2"/>
    <w:rsid w:val="00DD0991"/>
    <w:rsid w:val="00DD0AC6"/>
    <w:rsid w:val="00DD0AE8"/>
    <w:rsid w:val="00DD0B93"/>
    <w:rsid w:val="00DD0D39"/>
    <w:rsid w:val="00DD0D85"/>
    <w:rsid w:val="00DD0E02"/>
    <w:rsid w:val="00DD0E0B"/>
    <w:rsid w:val="00DD0E10"/>
    <w:rsid w:val="00DD0E40"/>
    <w:rsid w:val="00DD0E9C"/>
    <w:rsid w:val="00DD0F6D"/>
    <w:rsid w:val="00DD0FDD"/>
    <w:rsid w:val="00DD1037"/>
    <w:rsid w:val="00DD1062"/>
    <w:rsid w:val="00DD10B1"/>
    <w:rsid w:val="00DD10C1"/>
    <w:rsid w:val="00DD11AC"/>
    <w:rsid w:val="00DD11BB"/>
    <w:rsid w:val="00DD11D6"/>
    <w:rsid w:val="00DD11FA"/>
    <w:rsid w:val="00DD1216"/>
    <w:rsid w:val="00DD1310"/>
    <w:rsid w:val="00DD154C"/>
    <w:rsid w:val="00DD154D"/>
    <w:rsid w:val="00DD1569"/>
    <w:rsid w:val="00DD163E"/>
    <w:rsid w:val="00DD17B1"/>
    <w:rsid w:val="00DD1816"/>
    <w:rsid w:val="00DD18A5"/>
    <w:rsid w:val="00DD1906"/>
    <w:rsid w:val="00DD1907"/>
    <w:rsid w:val="00DD1AC9"/>
    <w:rsid w:val="00DD1AE2"/>
    <w:rsid w:val="00DD1AE6"/>
    <w:rsid w:val="00DD1B34"/>
    <w:rsid w:val="00DD1BB9"/>
    <w:rsid w:val="00DD1BEB"/>
    <w:rsid w:val="00DD1CEC"/>
    <w:rsid w:val="00DD1D68"/>
    <w:rsid w:val="00DD1DDC"/>
    <w:rsid w:val="00DD1E4D"/>
    <w:rsid w:val="00DD1EA2"/>
    <w:rsid w:val="00DD1EE4"/>
    <w:rsid w:val="00DD1EFD"/>
    <w:rsid w:val="00DD1F1C"/>
    <w:rsid w:val="00DD1F70"/>
    <w:rsid w:val="00DD1F89"/>
    <w:rsid w:val="00DD1FB2"/>
    <w:rsid w:val="00DD2051"/>
    <w:rsid w:val="00DD20B2"/>
    <w:rsid w:val="00DD20C6"/>
    <w:rsid w:val="00DD21E5"/>
    <w:rsid w:val="00DD2230"/>
    <w:rsid w:val="00DD2261"/>
    <w:rsid w:val="00DD238A"/>
    <w:rsid w:val="00DD238F"/>
    <w:rsid w:val="00DD23C2"/>
    <w:rsid w:val="00DD2403"/>
    <w:rsid w:val="00DD2408"/>
    <w:rsid w:val="00DD246D"/>
    <w:rsid w:val="00DD2515"/>
    <w:rsid w:val="00DD251B"/>
    <w:rsid w:val="00DD25F6"/>
    <w:rsid w:val="00DD263F"/>
    <w:rsid w:val="00DD2661"/>
    <w:rsid w:val="00DD267E"/>
    <w:rsid w:val="00DD27B2"/>
    <w:rsid w:val="00DD2839"/>
    <w:rsid w:val="00DD2846"/>
    <w:rsid w:val="00DD286A"/>
    <w:rsid w:val="00DD29A4"/>
    <w:rsid w:val="00DD2A04"/>
    <w:rsid w:val="00DD2A21"/>
    <w:rsid w:val="00DD2A5C"/>
    <w:rsid w:val="00DD2B12"/>
    <w:rsid w:val="00DD2B38"/>
    <w:rsid w:val="00DD2B3F"/>
    <w:rsid w:val="00DD2BB2"/>
    <w:rsid w:val="00DD2BCC"/>
    <w:rsid w:val="00DD2C61"/>
    <w:rsid w:val="00DD2D88"/>
    <w:rsid w:val="00DD2DE1"/>
    <w:rsid w:val="00DD2E45"/>
    <w:rsid w:val="00DD2F31"/>
    <w:rsid w:val="00DD2FDC"/>
    <w:rsid w:val="00DD300A"/>
    <w:rsid w:val="00DD303F"/>
    <w:rsid w:val="00DD30F5"/>
    <w:rsid w:val="00DD318E"/>
    <w:rsid w:val="00DD31CA"/>
    <w:rsid w:val="00DD3203"/>
    <w:rsid w:val="00DD323C"/>
    <w:rsid w:val="00DD32AD"/>
    <w:rsid w:val="00DD32BE"/>
    <w:rsid w:val="00DD3334"/>
    <w:rsid w:val="00DD3353"/>
    <w:rsid w:val="00DD3408"/>
    <w:rsid w:val="00DD3433"/>
    <w:rsid w:val="00DD3583"/>
    <w:rsid w:val="00DD36F3"/>
    <w:rsid w:val="00DD36FB"/>
    <w:rsid w:val="00DD3763"/>
    <w:rsid w:val="00DD3A16"/>
    <w:rsid w:val="00DD3A74"/>
    <w:rsid w:val="00DD3B1B"/>
    <w:rsid w:val="00DD3B71"/>
    <w:rsid w:val="00DD3B75"/>
    <w:rsid w:val="00DD3B99"/>
    <w:rsid w:val="00DD3BBA"/>
    <w:rsid w:val="00DD3CB6"/>
    <w:rsid w:val="00DD3D62"/>
    <w:rsid w:val="00DD3E06"/>
    <w:rsid w:val="00DD3E07"/>
    <w:rsid w:val="00DD3E16"/>
    <w:rsid w:val="00DD3F0B"/>
    <w:rsid w:val="00DD3F9C"/>
    <w:rsid w:val="00DD4004"/>
    <w:rsid w:val="00DD40FA"/>
    <w:rsid w:val="00DD412D"/>
    <w:rsid w:val="00DD4182"/>
    <w:rsid w:val="00DD41D1"/>
    <w:rsid w:val="00DD42A3"/>
    <w:rsid w:val="00DD431B"/>
    <w:rsid w:val="00DD43B7"/>
    <w:rsid w:val="00DD43DD"/>
    <w:rsid w:val="00DD43E9"/>
    <w:rsid w:val="00DD441C"/>
    <w:rsid w:val="00DD4426"/>
    <w:rsid w:val="00DD44B6"/>
    <w:rsid w:val="00DD456F"/>
    <w:rsid w:val="00DD4639"/>
    <w:rsid w:val="00DD481D"/>
    <w:rsid w:val="00DD4892"/>
    <w:rsid w:val="00DD489B"/>
    <w:rsid w:val="00DD48E8"/>
    <w:rsid w:val="00DD4B28"/>
    <w:rsid w:val="00DD4BB1"/>
    <w:rsid w:val="00DD4C5B"/>
    <w:rsid w:val="00DD4D13"/>
    <w:rsid w:val="00DD4D7B"/>
    <w:rsid w:val="00DD4E70"/>
    <w:rsid w:val="00DD4EAC"/>
    <w:rsid w:val="00DD4F5B"/>
    <w:rsid w:val="00DD4F6A"/>
    <w:rsid w:val="00DD5049"/>
    <w:rsid w:val="00DD5193"/>
    <w:rsid w:val="00DD51A3"/>
    <w:rsid w:val="00DD51B3"/>
    <w:rsid w:val="00DD52DD"/>
    <w:rsid w:val="00DD544B"/>
    <w:rsid w:val="00DD5475"/>
    <w:rsid w:val="00DD5539"/>
    <w:rsid w:val="00DD558C"/>
    <w:rsid w:val="00DD5605"/>
    <w:rsid w:val="00DD56BA"/>
    <w:rsid w:val="00DD5724"/>
    <w:rsid w:val="00DD58E6"/>
    <w:rsid w:val="00DD59F4"/>
    <w:rsid w:val="00DD5A97"/>
    <w:rsid w:val="00DD5AA7"/>
    <w:rsid w:val="00DD5B21"/>
    <w:rsid w:val="00DD5C06"/>
    <w:rsid w:val="00DD5CAC"/>
    <w:rsid w:val="00DD5DA7"/>
    <w:rsid w:val="00DD5F65"/>
    <w:rsid w:val="00DD5F81"/>
    <w:rsid w:val="00DD5FCE"/>
    <w:rsid w:val="00DD6041"/>
    <w:rsid w:val="00DD6119"/>
    <w:rsid w:val="00DD613E"/>
    <w:rsid w:val="00DD6149"/>
    <w:rsid w:val="00DD625A"/>
    <w:rsid w:val="00DD62F3"/>
    <w:rsid w:val="00DD630C"/>
    <w:rsid w:val="00DD636D"/>
    <w:rsid w:val="00DD63AA"/>
    <w:rsid w:val="00DD63C7"/>
    <w:rsid w:val="00DD63E6"/>
    <w:rsid w:val="00DD6429"/>
    <w:rsid w:val="00DD661A"/>
    <w:rsid w:val="00DD663E"/>
    <w:rsid w:val="00DD6644"/>
    <w:rsid w:val="00DD664C"/>
    <w:rsid w:val="00DD6653"/>
    <w:rsid w:val="00DD6690"/>
    <w:rsid w:val="00DD66D1"/>
    <w:rsid w:val="00DD66EE"/>
    <w:rsid w:val="00DD66F7"/>
    <w:rsid w:val="00DD6757"/>
    <w:rsid w:val="00DD67A9"/>
    <w:rsid w:val="00DD67B7"/>
    <w:rsid w:val="00DD68EE"/>
    <w:rsid w:val="00DD6973"/>
    <w:rsid w:val="00DD69ED"/>
    <w:rsid w:val="00DD6A17"/>
    <w:rsid w:val="00DD6A32"/>
    <w:rsid w:val="00DD6AB6"/>
    <w:rsid w:val="00DD6B47"/>
    <w:rsid w:val="00DD6BEC"/>
    <w:rsid w:val="00DD6CB0"/>
    <w:rsid w:val="00DD6D3E"/>
    <w:rsid w:val="00DD6D5F"/>
    <w:rsid w:val="00DD6D84"/>
    <w:rsid w:val="00DD6DB6"/>
    <w:rsid w:val="00DD6E16"/>
    <w:rsid w:val="00DD6E22"/>
    <w:rsid w:val="00DD6E23"/>
    <w:rsid w:val="00DD6EF1"/>
    <w:rsid w:val="00DD6F03"/>
    <w:rsid w:val="00DD6F06"/>
    <w:rsid w:val="00DD6F34"/>
    <w:rsid w:val="00DD6F3C"/>
    <w:rsid w:val="00DD6F52"/>
    <w:rsid w:val="00DD6F9B"/>
    <w:rsid w:val="00DD6FBC"/>
    <w:rsid w:val="00DD7299"/>
    <w:rsid w:val="00DD733E"/>
    <w:rsid w:val="00DD7372"/>
    <w:rsid w:val="00DD7391"/>
    <w:rsid w:val="00DD7399"/>
    <w:rsid w:val="00DD73C5"/>
    <w:rsid w:val="00DD742A"/>
    <w:rsid w:val="00DD7549"/>
    <w:rsid w:val="00DD75E6"/>
    <w:rsid w:val="00DD760D"/>
    <w:rsid w:val="00DD7655"/>
    <w:rsid w:val="00DD7662"/>
    <w:rsid w:val="00DD77A6"/>
    <w:rsid w:val="00DD78E9"/>
    <w:rsid w:val="00DD7AA2"/>
    <w:rsid w:val="00DD7AE7"/>
    <w:rsid w:val="00DD7AF8"/>
    <w:rsid w:val="00DD7B11"/>
    <w:rsid w:val="00DD7B14"/>
    <w:rsid w:val="00DD7B7B"/>
    <w:rsid w:val="00DD7BEA"/>
    <w:rsid w:val="00DD7CB3"/>
    <w:rsid w:val="00DD7CD8"/>
    <w:rsid w:val="00DD7D2A"/>
    <w:rsid w:val="00DD7DD0"/>
    <w:rsid w:val="00DD7E4E"/>
    <w:rsid w:val="00DD7EA5"/>
    <w:rsid w:val="00DD7F68"/>
    <w:rsid w:val="00DE007B"/>
    <w:rsid w:val="00DE0149"/>
    <w:rsid w:val="00DE0179"/>
    <w:rsid w:val="00DE020C"/>
    <w:rsid w:val="00DE0213"/>
    <w:rsid w:val="00DE0268"/>
    <w:rsid w:val="00DE02F3"/>
    <w:rsid w:val="00DE03E9"/>
    <w:rsid w:val="00DE0496"/>
    <w:rsid w:val="00DE04E5"/>
    <w:rsid w:val="00DE0537"/>
    <w:rsid w:val="00DE0615"/>
    <w:rsid w:val="00DE0766"/>
    <w:rsid w:val="00DE0799"/>
    <w:rsid w:val="00DE09AE"/>
    <w:rsid w:val="00DE09CE"/>
    <w:rsid w:val="00DE09D4"/>
    <w:rsid w:val="00DE0A1F"/>
    <w:rsid w:val="00DE0A7C"/>
    <w:rsid w:val="00DE0AF6"/>
    <w:rsid w:val="00DE0B7D"/>
    <w:rsid w:val="00DE0BE4"/>
    <w:rsid w:val="00DE0C06"/>
    <w:rsid w:val="00DE0CB9"/>
    <w:rsid w:val="00DE0D0E"/>
    <w:rsid w:val="00DE0DFD"/>
    <w:rsid w:val="00DE0E9C"/>
    <w:rsid w:val="00DE108B"/>
    <w:rsid w:val="00DE113C"/>
    <w:rsid w:val="00DE121F"/>
    <w:rsid w:val="00DE12D2"/>
    <w:rsid w:val="00DE1316"/>
    <w:rsid w:val="00DE13A2"/>
    <w:rsid w:val="00DE13E2"/>
    <w:rsid w:val="00DE1426"/>
    <w:rsid w:val="00DE1444"/>
    <w:rsid w:val="00DE152E"/>
    <w:rsid w:val="00DE153A"/>
    <w:rsid w:val="00DE1547"/>
    <w:rsid w:val="00DE1679"/>
    <w:rsid w:val="00DE16BB"/>
    <w:rsid w:val="00DE1730"/>
    <w:rsid w:val="00DE17AC"/>
    <w:rsid w:val="00DE185B"/>
    <w:rsid w:val="00DE18E7"/>
    <w:rsid w:val="00DE1916"/>
    <w:rsid w:val="00DE1AEE"/>
    <w:rsid w:val="00DE1C32"/>
    <w:rsid w:val="00DE1C45"/>
    <w:rsid w:val="00DE1CEB"/>
    <w:rsid w:val="00DE1DB6"/>
    <w:rsid w:val="00DE1E38"/>
    <w:rsid w:val="00DE1E78"/>
    <w:rsid w:val="00DE1EFE"/>
    <w:rsid w:val="00DE1F04"/>
    <w:rsid w:val="00DE1F16"/>
    <w:rsid w:val="00DE1FE0"/>
    <w:rsid w:val="00DE21C5"/>
    <w:rsid w:val="00DE2263"/>
    <w:rsid w:val="00DE22D7"/>
    <w:rsid w:val="00DE2384"/>
    <w:rsid w:val="00DE240B"/>
    <w:rsid w:val="00DE2417"/>
    <w:rsid w:val="00DE2469"/>
    <w:rsid w:val="00DE246F"/>
    <w:rsid w:val="00DE24FF"/>
    <w:rsid w:val="00DE2544"/>
    <w:rsid w:val="00DE2560"/>
    <w:rsid w:val="00DE2694"/>
    <w:rsid w:val="00DE269B"/>
    <w:rsid w:val="00DE2860"/>
    <w:rsid w:val="00DE289C"/>
    <w:rsid w:val="00DE28DD"/>
    <w:rsid w:val="00DE2A19"/>
    <w:rsid w:val="00DE2AB9"/>
    <w:rsid w:val="00DE2AF4"/>
    <w:rsid w:val="00DE2C79"/>
    <w:rsid w:val="00DE2D51"/>
    <w:rsid w:val="00DE2DB8"/>
    <w:rsid w:val="00DE2E5C"/>
    <w:rsid w:val="00DE2ED8"/>
    <w:rsid w:val="00DE2FD3"/>
    <w:rsid w:val="00DE3030"/>
    <w:rsid w:val="00DE317F"/>
    <w:rsid w:val="00DE319E"/>
    <w:rsid w:val="00DE325C"/>
    <w:rsid w:val="00DE329E"/>
    <w:rsid w:val="00DE32EB"/>
    <w:rsid w:val="00DE32FB"/>
    <w:rsid w:val="00DE330F"/>
    <w:rsid w:val="00DE3365"/>
    <w:rsid w:val="00DE33CE"/>
    <w:rsid w:val="00DE33FB"/>
    <w:rsid w:val="00DE3495"/>
    <w:rsid w:val="00DE3695"/>
    <w:rsid w:val="00DE36E1"/>
    <w:rsid w:val="00DE3731"/>
    <w:rsid w:val="00DE37DB"/>
    <w:rsid w:val="00DE37F7"/>
    <w:rsid w:val="00DE3849"/>
    <w:rsid w:val="00DE3916"/>
    <w:rsid w:val="00DE3AAB"/>
    <w:rsid w:val="00DE3BD8"/>
    <w:rsid w:val="00DE3CB1"/>
    <w:rsid w:val="00DE3CB2"/>
    <w:rsid w:val="00DE3DB0"/>
    <w:rsid w:val="00DE3E75"/>
    <w:rsid w:val="00DE3F0B"/>
    <w:rsid w:val="00DE3F8D"/>
    <w:rsid w:val="00DE3FC2"/>
    <w:rsid w:val="00DE3FCA"/>
    <w:rsid w:val="00DE4014"/>
    <w:rsid w:val="00DE40A7"/>
    <w:rsid w:val="00DE40DA"/>
    <w:rsid w:val="00DE40F5"/>
    <w:rsid w:val="00DE413A"/>
    <w:rsid w:val="00DE419D"/>
    <w:rsid w:val="00DE429E"/>
    <w:rsid w:val="00DE43B5"/>
    <w:rsid w:val="00DE441D"/>
    <w:rsid w:val="00DE45C8"/>
    <w:rsid w:val="00DE4628"/>
    <w:rsid w:val="00DE468C"/>
    <w:rsid w:val="00DE46B7"/>
    <w:rsid w:val="00DE47A6"/>
    <w:rsid w:val="00DE47BE"/>
    <w:rsid w:val="00DE486E"/>
    <w:rsid w:val="00DE48D3"/>
    <w:rsid w:val="00DE48FD"/>
    <w:rsid w:val="00DE4980"/>
    <w:rsid w:val="00DE49B1"/>
    <w:rsid w:val="00DE4A87"/>
    <w:rsid w:val="00DE4B68"/>
    <w:rsid w:val="00DE4C25"/>
    <w:rsid w:val="00DE4D35"/>
    <w:rsid w:val="00DE4DAD"/>
    <w:rsid w:val="00DE4DBC"/>
    <w:rsid w:val="00DE4DC4"/>
    <w:rsid w:val="00DE4DF6"/>
    <w:rsid w:val="00DE4DFC"/>
    <w:rsid w:val="00DE4E76"/>
    <w:rsid w:val="00DE4F20"/>
    <w:rsid w:val="00DE5021"/>
    <w:rsid w:val="00DE5123"/>
    <w:rsid w:val="00DE53F2"/>
    <w:rsid w:val="00DE54AF"/>
    <w:rsid w:val="00DE550A"/>
    <w:rsid w:val="00DE5511"/>
    <w:rsid w:val="00DE5624"/>
    <w:rsid w:val="00DE5703"/>
    <w:rsid w:val="00DE5764"/>
    <w:rsid w:val="00DE587A"/>
    <w:rsid w:val="00DE58EA"/>
    <w:rsid w:val="00DE58FB"/>
    <w:rsid w:val="00DE5946"/>
    <w:rsid w:val="00DE5981"/>
    <w:rsid w:val="00DE5A8E"/>
    <w:rsid w:val="00DE5BC1"/>
    <w:rsid w:val="00DE5CF4"/>
    <w:rsid w:val="00DE5D49"/>
    <w:rsid w:val="00DE5E10"/>
    <w:rsid w:val="00DE5E49"/>
    <w:rsid w:val="00DE5E5C"/>
    <w:rsid w:val="00DE5E6B"/>
    <w:rsid w:val="00DE5E97"/>
    <w:rsid w:val="00DE5EC9"/>
    <w:rsid w:val="00DE607F"/>
    <w:rsid w:val="00DE60A9"/>
    <w:rsid w:val="00DE6256"/>
    <w:rsid w:val="00DE628B"/>
    <w:rsid w:val="00DE629A"/>
    <w:rsid w:val="00DE62F0"/>
    <w:rsid w:val="00DE633C"/>
    <w:rsid w:val="00DE646B"/>
    <w:rsid w:val="00DE64BA"/>
    <w:rsid w:val="00DE655A"/>
    <w:rsid w:val="00DE6565"/>
    <w:rsid w:val="00DE663B"/>
    <w:rsid w:val="00DE67E1"/>
    <w:rsid w:val="00DE68B8"/>
    <w:rsid w:val="00DE6953"/>
    <w:rsid w:val="00DE6A3C"/>
    <w:rsid w:val="00DE6AA8"/>
    <w:rsid w:val="00DE6BAA"/>
    <w:rsid w:val="00DE6BE2"/>
    <w:rsid w:val="00DE6D80"/>
    <w:rsid w:val="00DE7049"/>
    <w:rsid w:val="00DE70B2"/>
    <w:rsid w:val="00DE70C4"/>
    <w:rsid w:val="00DE717F"/>
    <w:rsid w:val="00DE7240"/>
    <w:rsid w:val="00DE739C"/>
    <w:rsid w:val="00DE7435"/>
    <w:rsid w:val="00DE747B"/>
    <w:rsid w:val="00DE75FF"/>
    <w:rsid w:val="00DE7674"/>
    <w:rsid w:val="00DE76B2"/>
    <w:rsid w:val="00DE7797"/>
    <w:rsid w:val="00DE780D"/>
    <w:rsid w:val="00DE785F"/>
    <w:rsid w:val="00DE78AF"/>
    <w:rsid w:val="00DE78DB"/>
    <w:rsid w:val="00DE78E2"/>
    <w:rsid w:val="00DE7967"/>
    <w:rsid w:val="00DE79D1"/>
    <w:rsid w:val="00DE7A35"/>
    <w:rsid w:val="00DE7A43"/>
    <w:rsid w:val="00DE7A48"/>
    <w:rsid w:val="00DE7A7A"/>
    <w:rsid w:val="00DE7B58"/>
    <w:rsid w:val="00DE7C20"/>
    <w:rsid w:val="00DE7CD3"/>
    <w:rsid w:val="00DE7E10"/>
    <w:rsid w:val="00DE7E62"/>
    <w:rsid w:val="00DE7EE6"/>
    <w:rsid w:val="00DF0054"/>
    <w:rsid w:val="00DF008D"/>
    <w:rsid w:val="00DF015F"/>
    <w:rsid w:val="00DF0184"/>
    <w:rsid w:val="00DF0203"/>
    <w:rsid w:val="00DF0263"/>
    <w:rsid w:val="00DF0273"/>
    <w:rsid w:val="00DF04AE"/>
    <w:rsid w:val="00DF04C9"/>
    <w:rsid w:val="00DF0520"/>
    <w:rsid w:val="00DF05B8"/>
    <w:rsid w:val="00DF063B"/>
    <w:rsid w:val="00DF0652"/>
    <w:rsid w:val="00DF071A"/>
    <w:rsid w:val="00DF0755"/>
    <w:rsid w:val="00DF07E3"/>
    <w:rsid w:val="00DF0806"/>
    <w:rsid w:val="00DF084B"/>
    <w:rsid w:val="00DF09C1"/>
    <w:rsid w:val="00DF09D8"/>
    <w:rsid w:val="00DF0A0A"/>
    <w:rsid w:val="00DF0A3D"/>
    <w:rsid w:val="00DF0A5B"/>
    <w:rsid w:val="00DF0A69"/>
    <w:rsid w:val="00DF0ABB"/>
    <w:rsid w:val="00DF0ACC"/>
    <w:rsid w:val="00DF0ADD"/>
    <w:rsid w:val="00DF0B7E"/>
    <w:rsid w:val="00DF0C17"/>
    <w:rsid w:val="00DF0C70"/>
    <w:rsid w:val="00DF0DB5"/>
    <w:rsid w:val="00DF0E73"/>
    <w:rsid w:val="00DF0E78"/>
    <w:rsid w:val="00DF0EB0"/>
    <w:rsid w:val="00DF0EB8"/>
    <w:rsid w:val="00DF0F90"/>
    <w:rsid w:val="00DF0F96"/>
    <w:rsid w:val="00DF0FDD"/>
    <w:rsid w:val="00DF1000"/>
    <w:rsid w:val="00DF10BB"/>
    <w:rsid w:val="00DF11F4"/>
    <w:rsid w:val="00DF1243"/>
    <w:rsid w:val="00DF1253"/>
    <w:rsid w:val="00DF128E"/>
    <w:rsid w:val="00DF12C6"/>
    <w:rsid w:val="00DF1374"/>
    <w:rsid w:val="00DF13E6"/>
    <w:rsid w:val="00DF1411"/>
    <w:rsid w:val="00DF1481"/>
    <w:rsid w:val="00DF14B1"/>
    <w:rsid w:val="00DF16EF"/>
    <w:rsid w:val="00DF1710"/>
    <w:rsid w:val="00DF17D2"/>
    <w:rsid w:val="00DF190F"/>
    <w:rsid w:val="00DF1994"/>
    <w:rsid w:val="00DF19C3"/>
    <w:rsid w:val="00DF1A0C"/>
    <w:rsid w:val="00DF1A39"/>
    <w:rsid w:val="00DF1A68"/>
    <w:rsid w:val="00DF1B4E"/>
    <w:rsid w:val="00DF1BE5"/>
    <w:rsid w:val="00DF1BED"/>
    <w:rsid w:val="00DF1C44"/>
    <w:rsid w:val="00DF1CFA"/>
    <w:rsid w:val="00DF1D4D"/>
    <w:rsid w:val="00DF1D4F"/>
    <w:rsid w:val="00DF1D72"/>
    <w:rsid w:val="00DF1DB6"/>
    <w:rsid w:val="00DF1DEC"/>
    <w:rsid w:val="00DF1EA9"/>
    <w:rsid w:val="00DF1F1F"/>
    <w:rsid w:val="00DF1F51"/>
    <w:rsid w:val="00DF1FCD"/>
    <w:rsid w:val="00DF2058"/>
    <w:rsid w:val="00DF20E5"/>
    <w:rsid w:val="00DF2145"/>
    <w:rsid w:val="00DF2169"/>
    <w:rsid w:val="00DF21B3"/>
    <w:rsid w:val="00DF2483"/>
    <w:rsid w:val="00DF2583"/>
    <w:rsid w:val="00DF2586"/>
    <w:rsid w:val="00DF25B9"/>
    <w:rsid w:val="00DF269D"/>
    <w:rsid w:val="00DF26E1"/>
    <w:rsid w:val="00DF26F1"/>
    <w:rsid w:val="00DF2750"/>
    <w:rsid w:val="00DF2798"/>
    <w:rsid w:val="00DF27CA"/>
    <w:rsid w:val="00DF286C"/>
    <w:rsid w:val="00DF291A"/>
    <w:rsid w:val="00DF29DD"/>
    <w:rsid w:val="00DF2A38"/>
    <w:rsid w:val="00DF2AC5"/>
    <w:rsid w:val="00DF2BB0"/>
    <w:rsid w:val="00DF2C1B"/>
    <w:rsid w:val="00DF2E40"/>
    <w:rsid w:val="00DF2F00"/>
    <w:rsid w:val="00DF3029"/>
    <w:rsid w:val="00DF30F7"/>
    <w:rsid w:val="00DF3103"/>
    <w:rsid w:val="00DF3210"/>
    <w:rsid w:val="00DF3260"/>
    <w:rsid w:val="00DF32A0"/>
    <w:rsid w:val="00DF32C4"/>
    <w:rsid w:val="00DF32CF"/>
    <w:rsid w:val="00DF3354"/>
    <w:rsid w:val="00DF3374"/>
    <w:rsid w:val="00DF345E"/>
    <w:rsid w:val="00DF35C2"/>
    <w:rsid w:val="00DF36AC"/>
    <w:rsid w:val="00DF3769"/>
    <w:rsid w:val="00DF382A"/>
    <w:rsid w:val="00DF383F"/>
    <w:rsid w:val="00DF384D"/>
    <w:rsid w:val="00DF38DA"/>
    <w:rsid w:val="00DF3A53"/>
    <w:rsid w:val="00DF3AB4"/>
    <w:rsid w:val="00DF3B04"/>
    <w:rsid w:val="00DF3B33"/>
    <w:rsid w:val="00DF3BB7"/>
    <w:rsid w:val="00DF3C54"/>
    <w:rsid w:val="00DF3D22"/>
    <w:rsid w:val="00DF3D39"/>
    <w:rsid w:val="00DF3D6F"/>
    <w:rsid w:val="00DF3E25"/>
    <w:rsid w:val="00DF3E2E"/>
    <w:rsid w:val="00DF3ED0"/>
    <w:rsid w:val="00DF3EFB"/>
    <w:rsid w:val="00DF3F42"/>
    <w:rsid w:val="00DF3F9B"/>
    <w:rsid w:val="00DF41A1"/>
    <w:rsid w:val="00DF4224"/>
    <w:rsid w:val="00DF42C4"/>
    <w:rsid w:val="00DF4350"/>
    <w:rsid w:val="00DF43C3"/>
    <w:rsid w:val="00DF446B"/>
    <w:rsid w:val="00DF4519"/>
    <w:rsid w:val="00DF4577"/>
    <w:rsid w:val="00DF467A"/>
    <w:rsid w:val="00DF480C"/>
    <w:rsid w:val="00DF4865"/>
    <w:rsid w:val="00DF4922"/>
    <w:rsid w:val="00DF4951"/>
    <w:rsid w:val="00DF4960"/>
    <w:rsid w:val="00DF49AA"/>
    <w:rsid w:val="00DF4A7A"/>
    <w:rsid w:val="00DF4ABA"/>
    <w:rsid w:val="00DF4B43"/>
    <w:rsid w:val="00DF4CCA"/>
    <w:rsid w:val="00DF4CFA"/>
    <w:rsid w:val="00DF4D03"/>
    <w:rsid w:val="00DF4EA9"/>
    <w:rsid w:val="00DF4EAF"/>
    <w:rsid w:val="00DF4EE1"/>
    <w:rsid w:val="00DF4F5B"/>
    <w:rsid w:val="00DF4FC2"/>
    <w:rsid w:val="00DF4FE1"/>
    <w:rsid w:val="00DF5007"/>
    <w:rsid w:val="00DF5022"/>
    <w:rsid w:val="00DF50E2"/>
    <w:rsid w:val="00DF5112"/>
    <w:rsid w:val="00DF5117"/>
    <w:rsid w:val="00DF523A"/>
    <w:rsid w:val="00DF5259"/>
    <w:rsid w:val="00DF525F"/>
    <w:rsid w:val="00DF5300"/>
    <w:rsid w:val="00DF5399"/>
    <w:rsid w:val="00DF5453"/>
    <w:rsid w:val="00DF54A9"/>
    <w:rsid w:val="00DF565E"/>
    <w:rsid w:val="00DF56B9"/>
    <w:rsid w:val="00DF574D"/>
    <w:rsid w:val="00DF578E"/>
    <w:rsid w:val="00DF57D9"/>
    <w:rsid w:val="00DF598A"/>
    <w:rsid w:val="00DF59F2"/>
    <w:rsid w:val="00DF5A01"/>
    <w:rsid w:val="00DF5A12"/>
    <w:rsid w:val="00DF5A3E"/>
    <w:rsid w:val="00DF5A5F"/>
    <w:rsid w:val="00DF5AF1"/>
    <w:rsid w:val="00DF5B3E"/>
    <w:rsid w:val="00DF5B71"/>
    <w:rsid w:val="00DF5CD8"/>
    <w:rsid w:val="00DF5D18"/>
    <w:rsid w:val="00DF5D34"/>
    <w:rsid w:val="00DF5D62"/>
    <w:rsid w:val="00DF5DC8"/>
    <w:rsid w:val="00DF5E6C"/>
    <w:rsid w:val="00DF5EA9"/>
    <w:rsid w:val="00DF5EEE"/>
    <w:rsid w:val="00DF5EFA"/>
    <w:rsid w:val="00DF6072"/>
    <w:rsid w:val="00DF6075"/>
    <w:rsid w:val="00DF60F3"/>
    <w:rsid w:val="00DF6167"/>
    <w:rsid w:val="00DF6182"/>
    <w:rsid w:val="00DF6252"/>
    <w:rsid w:val="00DF6357"/>
    <w:rsid w:val="00DF63A3"/>
    <w:rsid w:val="00DF6450"/>
    <w:rsid w:val="00DF6469"/>
    <w:rsid w:val="00DF654D"/>
    <w:rsid w:val="00DF6550"/>
    <w:rsid w:val="00DF655A"/>
    <w:rsid w:val="00DF655F"/>
    <w:rsid w:val="00DF65F4"/>
    <w:rsid w:val="00DF661D"/>
    <w:rsid w:val="00DF6789"/>
    <w:rsid w:val="00DF67DE"/>
    <w:rsid w:val="00DF688A"/>
    <w:rsid w:val="00DF68B4"/>
    <w:rsid w:val="00DF68FE"/>
    <w:rsid w:val="00DF6A15"/>
    <w:rsid w:val="00DF6A23"/>
    <w:rsid w:val="00DF6A2B"/>
    <w:rsid w:val="00DF6A39"/>
    <w:rsid w:val="00DF6BBE"/>
    <w:rsid w:val="00DF6CF3"/>
    <w:rsid w:val="00DF6DB5"/>
    <w:rsid w:val="00DF6DC8"/>
    <w:rsid w:val="00DF6E5F"/>
    <w:rsid w:val="00DF6F1C"/>
    <w:rsid w:val="00DF6F58"/>
    <w:rsid w:val="00DF6F59"/>
    <w:rsid w:val="00DF6F7A"/>
    <w:rsid w:val="00DF6FB2"/>
    <w:rsid w:val="00DF7094"/>
    <w:rsid w:val="00DF71E1"/>
    <w:rsid w:val="00DF728A"/>
    <w:rsid w:val="00DF72B9"/>
    <w:rsid w:val="00DF72CD"/>
    <w:rsid w:val="00DF732B"/>
    <w:rsid w:val="00DF7375"/>
    <w:rsid w:val="00DF741B"/>
    <w:rsid w:val="00DF7420"/>
    <w:rsid w:val="00DF7503"/>
    <w:rsid w:val="00DF7545"/>
    <w:rsid w:val="00DF76DB"/>
    <w:rsid w:val="00DF7731"/>
    <w:rsid w:val="00DF7754"/>
    <w:rsid w:val="00DF7777"/>
    <w:rsid w:val="00DF77AF"/>
    <w:rsid w:val="00DF77E8"/>
    <w:rsid w:val="00DF781E"/>
    <w:rsid w:val="00DF78EC"/>
    <w:rsid w:val="00DF7933"/>
    <w:rsid w:val="00DF793F"/>
    <w:rsid w:val="00DF7943"/>
    <w:rsid w:val="00DF7949"/>
    <w:rsid w:val="00DF7A75"/>
    <w:rsid w:val="00DF7ACF"/>
    <w:rsid w:val="00DF7B86"/>
    <w:rsid w:val="00DF7BA3"/>
    <w:rsid w:val="00DF7C3D"/>
    <w:rsid w:val="00DF7CA7"/>
    <w:rsid w:val="00DF7CD8"/>
    <w:rsid w:val="00DF7DE8"/>
    <w:rsid w:val="00DF7DFD"/>
    <w:rsid w:val="00DF7E6D"/>
    <w:rsid w:val="00DF7E82"/>
    <w:rsid w:val="00DF7EAB"/>
    <w:rsid w:val="00E00068"/>
    <w:rsid w:val="00E0009C"/>
    <w:rsid w:val="00E0013A"/>
    <w:rsid w:val="00E00171"/>
    <w:rsid w:val="00E001B2"/>
    <w:rsid w:val="00E00340"/>
    <w:rsid w:val="00E00356"/>
    <w:rsid w:val="00E00417"/>
    <w:rsid w:val="00E00440"/>
    <w:rsid w:val="00E00455"/>
    <w:rsid w:val="00E004DC"/>
    <w:rsid w:val="00E00522"/>
    <w:rsid w:val="00E00608"/>
    <w:rsid w:val="00E00647"/>
    <w:rsid w:val="00E0067F"/>
    <w:rsid w:val="00E00698"/>
    <w:rsid w:val="00E006B3"/>
    <w:rsid w:val="00E00766"/>
    <w:rsid w:val="00E007E2"/>
    <w:rsid w:val="00E00800"/>
    <w:rsid w:val="00E00819"/>
    <w:rsid w:val="00E008A3"/>
    <w:rsid w:val="00E009BB"/>
    <w:rsid w:val="00E00A03"/>
    <w:rsid w:val="00E00A3F"/>
    <w:rsid w:val="00E00AD8"/>
    <w:rsid w:val="00E00AEE"/>
    <w:rsid w:val="00E00AF4"/>
    <w:rsid w:val="00E00B70"/>
    <w:rsid w:val="00E00C11"/>
    <w:rsid w:val="00E00C9D"/>
    <w:rsid w:val="00E00D6F"/>
    <w:rsid w:val="00E00DC7"/>
    <w:rsid w:val="00E00E30"/>
    <w:rsid w:val="00E00E61"/>
    <w:rsid w:val="00E00EE7"/>
    <w:rsid w:val="00E00FA8"/>
    <w:rsid w:val="00E010F0"/>
    <w:rsid w:val="00E01115"/>
    <w:rsid w:val="00E01149"/>
    <w:rsid w:val="00E01184"/>
    <w:rsid w:val="00E01200"/>
    <w:rsid w:val="00E01213"/>
    <w:rsid w:val="00E01216"/>
    <w:rsid w:val="00E0131F"/>
    <w:rsid w:val="00E013E2"/>
    <w:rsid w:val="00E01423"/>
    <w:rsid w:val="00E01463"/>
    <w:rsid w:val="00E01472"/>
    <w:rsid w:val="00E01492"/>
    <w:rsid w:val="00E014A6"/>
    <w:rsid w:val="00E01666"/>
    <w:rsid w:val="00E016C0"/>
    <w:rsid w:val="00E0176C"/>
    <w:rsid w:val="00E017A6"/>
    <w:rsid w:val="00E01834"/>
    <w:rsid w:val="00E018D4"/>
    <w:rsid w:val="00E0195B"/>
    <w:rsid w:val="00E01968"/>
    <w:rsid w:val="00E019BE"/>
    <w:rsid w:val="00E019DE"/>
    <w:rsid w:val="00E01AD4"/>
    <w:rsid w:val="00E01AD7"/>
    <w:rsid w:val="00E01B3B"/>
    <w:rsid w:val="00E01B42"/>
    <w:rsid w:val="00E01BAD"/>
    <w:rsid w:val="00E01BE8"/>
    <w:rsid w:val="00E01D1E"/>
    <w:rsid w:val="00E01D78"/>
    <w:rsid w:val="00E01DC5"/>
    <w:rsid w:val="00E01FCF"/>
    <w:rsid w:val="00E02064"/>
    <w:rsid w:val="00E020D3"/>
    <w:rsid w:val="00E02195"/>
    <w:rsid w:val="00E02239"/>
    <w:rsid w:val="00E022B3"/>
    <w:rsid w:val="00E02395"/>
    <w:rsid w:val="00E023A6"/>
    <w:rsid w:val="00E023E6"/>
    <w:rsid w:val="00E02455"/>
    <w:rsid w:val="00E024F6"/>
    <w:rsid w:val="00E0258B"/>
    <w:rsid w:val="00E026D7"/>
    <w:rsid w:val="00E02781"/>
    <w:rsid w:val="00E02804"/>
    <w:rsid w:val="00E028BF"/>
    <w:rsid w:val="00E028D3"/>
    <w:rsid w:val="00E028F1"/>
    <w:rsid w:val="00E029B1"/>
    <w:rsid w:val="00E02A41"/>
    <w:rsid w:val="00E02C6B"/>
    <w:rsid w:val="00E02DE0"/>
    <w:rsid w:val="00E02E1D"/>
    <w:rsid w:val="00E02E34"/>
    <w:rsid w:val="00E02E6B"/>
    <w:rsid w:val="00E02EA0"/>
    <w:rsid w:val="00E02F0C"/>
    <w:rsid w:val="00E02FF8"/>
    <w:rsid w:val="00E03068"/>
    <w:rsid w:val="00E030B8"/>
    <w:rsid w:val="00E031A6"/>
    <w:rsid w:val="00E031C1"/>
    <w:rsid w:val="00E031C5"/>
    <w:rsid w:val="00E0327A"/>
    <w:rsid w:val="00E032D2"/>
    <w:rsid w:val="00E032ED"/>
    <w:rsid w:val="00E0341F"/>
    <w:rsid w:val="00E03534"/>
    <w:rsid w:val="00E03679"/>
    <w:rsid w:val="00E03709"/>
    <w:rsid w:val="00E03737"/>
    <w:rsid w:val="00E0373E"/>
    <w:rsid w:val="00E03756"/>
    <w:rsid w:val="00E03780"/>
    <w:rsid w:val="00E03824"/>
    <w:rsid w:val="00E03826"/>
    <w:rsid w:val="00E038C7"/>
    <w:rsid w:val="00E038FB"/>
    <w:rsid w:val="00E039E3"/>
    <w:rsid w:val="00E03A6C"/>
    <w:rsid w:val="00E03A97"/>
    <w:rsid w:val="00E03B1C"/>
    <w:rsid w:val="00E03B81"/>
    <w:rsid w:val="00E03D2A"/>
    <w:rsid w:val="00E03D91"/>
    <w:rsid w:val="00E03D96"/>
    <w:rsid w:val="00E03E07"/>
    <w:rsid w:val="00E03E48"/>
    <w:rsid w:val="00E03E99"/>
    <w:rsid w:val="00E03ED0"/>
    <w:rsid w:val="00E04174"/>
    <w:rsid w:val="00E041B7"/>
    <w:rsid w:val="00E041C7"/>
    <w:rsid w:val="00E0420F"/>
    <w:rsid w:val="00E04405"/>
    <w:rsid w:val="00E0455F"/>
    <w:rsid w:val="00E0459E"/>
    <w:rsid w:val="00E04630"/>
    <w:rsid w:val="00E04734"/>
    <w:rsid w:val="00E047F3"/>
    <w:rsid w:val="00E0481C"/>
    <w:rsid w:val="00E0484A"/>
    <w:rsid w:val="00E0486D"/>
    <w:rsid w:val="00E04904"/>
    <w:rsid w:val="00E0494C"/>
    <w:rsid w:val="00E04963"/>
    <w:rsid w:val="00E049E1"/>
    <w:rsid w:val="00E049F9"/>
    <w:rsid w:val="00E04A51"/>
    <w:rsid w:val="00E04B41"/>
    <w:rsid w:val="00E04BE3"/>
    <w:rsid w:val="00E04C4B"/>
    <w:rsid w:val="00E04C8A"/>
    <w:rsid w:val="00E04CD8"/>
    <w:rsid w:val="00E04DBE"/>
    <w:rsid w:val="00E04DFB"/>
    <w:rsid w:val="00E04EDF"/>
    <w:rsid w:val="00E04EE4"/>
    <w:rsid w:val="00E04F01"/>
    <w:rsid w:val="00E04F1D"/>
    <w:rsid w:val="00E04F59"/>
    <w:rsid w:val="00E04F63"/>
    <w:rsid w:val="00E05033"/>
    <w:rsid w:val="00E05053"/>
    <w:rsid w:val="00E0506D"/>
    <w:rsid w:val="00E050AB"/>
    <w:rsid w:val="00E05151"/>
    <w:rsid w:val="00E0517D"/>
    <w:rsid w:val="00E05196"/>
    <w:rsid w:val="00E0519A"/>
    <w:rsid w:val="00E05209"/>
    <w:rsid w:val="00E0521A"/>
    <w:rsid w:val="00E052DA"/>
    <w:rsid w:val="00E052F3"/>
    <w:rsid w:val="00E0532D"/>
    <w:rsid w:val="00E053F2"/>
    <w:rsid w:val="00E05428"/>
    <w:rsid w:val="00E054EB"/>
    <w:rsid w:val="00E056A0"/>
    <w:rsid w:val="00E056C1"/>
    <w:rsid w:val="00E057A3"/>
    <w:rsid w:val="00E057D6"/>
    <w:rsid w:val="00E05805"/>
    <w:rsid w:val="00E0584F"/>
    <w:rsid w:val="00E05860"/>
    <w:rsid w:val="00E059F8"/>
    <w:rsid w:val="00E05AD0"/>
    <w:rsid w:val="00E05BE8"/>
    <w:rsid w:val="00E05C3A"/>
    <w:rsid w:val="00E05C73"/>
    <w:rsid w:val="00E05E31"/>
    <w:rsid w:val="00E05E49"/>
    <w:rsid w:val="00E05EB1"/>
    <w:rsid w:val="00E05EE4"/>
    <w:rsid w:val="00E05F32"/>
    <w:rsid w:val="00E0600F"/>
    <w:rsid w:val="00E060AD"/>
    <w:rsid w:val="00E060FE"/>
    <w:rsid w:val="00E061F4"/>
    <w:rsid w:val="00E0621D"/>
    <w:rsid w:val="00E062D6"/>
    <w:rsid w:val="00E062F9"/>
    <w:rsid w:val="00E0639D"/>
    <w:rsid w:val="00E06406"/>
    <w:rsid w:val="00E06462"/>
    <w:rsid w:val="00E0646E"/>
    <w:rsid w:val="00E06544"/>
    <w:rsid w:val="00E0658C"/>
    <w:rsid w:val="00E065DE"/>
    <w:rsid w:val="00E0672D"/>
    <w:rsid w:val="00E0673E"/>
    <w:rsid w:val="00E06759"/>
    <w:rsid w:val="00E06781"/>
    <w:rsid w:val="00E067DD"/>
    <w:rsid w:val="00E068BE"/>
    <w:rsid w:val="00E0690A"/>
    <w:rsid w:val="00E069D7"/>
    <w:rsid w:val="00E06A64"/>
    <w:rsid w:val="00E06B21"/>
    <w:rsid w:val="00E06B2A"/>
    <w:rsid w:val="00E06B58"/>
    <w:rsid w:val="00E06B93"/>
    <w:rsid w:val="00E06BB2"/>
    <w:rsid w:val="00E06C4B"/>
    <w:rsid w:val="00E06CF3"/>
    <w:rsid w:val="00E06D59"/>
    <w:rsid w:val="00E06D61"/>
    <w:rsid w:val="00E06D95"/>
    <w:rsid w:val="00E06DB0"/>
    <w:rsid w:val="00E06E07"/>
    <w:rsid w:val="00E06E11"/>
    <w:rsid w:val="00E06EA0"/>
    <w:rsid w:val="00E06F41"/>
    <w:rsid w:val="00E06F4F"/>
    <w:rsid w:val="00E06F57"/>
    <w:rsid w:val="00E06F62"/>
    <w:rsid w:val="00E06F90"/>
    <w:rsid w:val="00E06FEF"/>
    <w:rsid w:val="00E07408"/>
    <w:rsid w:val="00E07521"/>
    <w:rsid w:val="00E07599"/>
    <w:rsid w:val="00E075DA"/>
    <w:rsid w:val="00E0763D"/>
    <w:rsid w:val="00E07735"/>
    <w:rsid w:val="00E07770"/>
    <w:rsid w:val="00E077E2"/>
    <w:rsid w:val="00E0780B"/>
    <w:rsid w:val="00E0789F"/>
    <w:rsid w:val="00E07908"/>
    <w:rsid w:val="00E07920"/>
    <w:rsid w:val="00E07A0F"/>
    <w:rsid w:val="00E07A9B"/>
    <w:rsid w:val="00E07B1B"/>
    <w:rsid w:val="00E07B5D"/>
    <w:rsid w:val="00E07B81"/>
    <w:rsid w:val="00E07C27"/>
    <w:rsid w:val="00E07D33"/>
    <w:rsid w:val="00E07E26"/>
    <w:rsid w:val="00E07E5D"/>
    <w:rsid w:val="00E07F47"/>
    <w:rsid w:val="00E07F6D"/>
    <w:rsid w:val="00E10015"/>
    <w:rsid w:val="00E10044"/>
    <w:rsid w:val="00E100DA"/>
    <w:rsid w:val="00E10102"/>
    <w:rsid w:val="00E1021A"/>
    <w:rsid w:val="00E1033F"/>
    <w:rsid w:val="00E103F6"/>
    <w:rsid w:val="00E10480"/>
    <w:rsid w:val="00E10584"/>
    <w:rsid w:val="00E105C8"/>
    <w:rsid w:val="00E10681"/>
    <w:rsid w:val="00E1068C"/>
    <w:rsid w:val="00E106F9"/>
    <w:rsid w:val="00E10773"/>
    <w:rsid w:val="00E107A0"/>
    <w:rsid w:val="00E107B3"/>
    <w:rsid w:val="00E109DB"/>
    <w:rsid w:val="00E10A6B"/>
    <w:rsid w:val="00E10AAD"/>
    <w:rsid w:val="00E10AC4"/>
    <w:rsid w:val="00E10B10"/>
    <w:rsid w:val="00E10B33"/>
    <w:rsid w:val="00E10C53"/>
    <w:rsid w:val="00E10CEE"/>
    <w:rsid w:val="00E10CF4"/>
    <w:rsid w:val="00E10DA0"/>
    <w:rsid w:val="00E10F46"/>
    <w:rsid w:val="00E10F6B"/>
    <w:rsid w:val="00E10FA7"/>
    <w:rsid w:val="00E10FD0"/>
    <w:rsid w:val="00E10FFD"/>
    <w:rsid w:val="00E1107B"/>
    <w:rsid w:val="00E1114B"/>
    <w:rsid w:val="00E111E7"/>
    <w:rsid w:val="00E1122A"/>
    <w:rsid w:val="00E11242"/>
    <w:rsid w:val="00E11271"/>
    <w:rsid w:val="00E11280"/>
    <w:rsid w:val="00E112B7"/>
    <w:rsid w:val="00E112CA"/>
    <w:rsid w:val="00E112D1"/>
    <w:rsid w:val="00E11347"/>
    <w:rsid w:val="00E1134B"/>
    <w:rsid w:val="00E113CA"/>
    <w:rsid w:val="00E11486"/>
    <w:rsid w:val="00E11497"/>
    <w:rsid w:val="00E11503"/>
    <w:rsid w:val="00E11611"/>
    <w:rsid w:val="00E116A7"/>
    <w:rsid w:val="00E116EE"/>
    <w:rsid w:val="00E116FD"/>
    <w:rsid w:val="00E117EE"/>
    <w:rsid w:val="00E1188C"/>
    <w:rsid w:val="00E1199E"/>
    <w:rsid w:val="00E119D5"/>
    <w:rsid w:val="00E11AD3"/>
    <w:rsid w:val="00E11AE5"/>
    <w:rsid w:val="00E11AF9"/>
    <w:rsid w:val="00E11C1A"/>
    <w:rsid w:val="00E11CB5"/>
    <w:rsid w:val="00E11CFA"/>
    <w:rsid w:val="00E11D40"/>
    <w:rsid w:val="00E11E07"/>
    <w:rsid w:val="00E11E19"/>
    <w:rsid w:val="00E11E2C"/>
    <w:rsid w:val="00E11E4E"/>
    <w:rsid w:val="00E11EB7"/>
    <w:rsid w:val="00E11F3D"/>
    <w:rsid w:val="00E11FA6"/>
    <w:rsid w:val="00E11FC4"/>
    <w:rsid w:val="00E12088"/>
    <w:rsid w:val="00E12100"/>
    <w:rsid w:val="00E12108"/>
    <w:rsid w:val="00E12115"/>
    <w:rsid w:val="00E122D9"/>
    <w:rsid w:val="00E12344"/>
    <w:rsid w:val="00E12383"/>
    <w:rsid w:val="00E12474"/>
    <w:rsid w:val="00E12481"/>
    <w:rsid w:val="00E1251B"/>
    <w:rsid w:val="00E12560"/>
    <w:rsid w:val="00E1256F"/>
    <w:rsid w:val="00E12653"/>
    <w:rsid w:val="00E12670"/>
    <w:rsid w:val="00E126B9"/>
    <w:rsid w:val="00E126DF"/>
    <w:rsid w:val="00E12767"/>
    <w:rsid w:val="00E12790"/>
    <w:rsid w:val="00E127A1"/>
    <w:rsid w:val="00E12819"/>
    <w:rsid w:val="00E12925"/>
    <w:rsid w:val="00E1292C"/>
    <w:rsid w:val="00E12ADE"/>
    <w:rsid w:val="00E12B20"/>
    <w:rsid w:val="00E12B22"/>
    <w:rsid w:val="00E12BCF"/>
    <w:rsid w:val="00E12BE9"/>
    <w:rsid w:val="00E12BF5"/>
    <w:rsid w:val="00E12CF9"/>
    <w:rsid w:val="00E12D27"/>
    <w:rsid w:val="00E12D88"/>
    <w:rsid w:val="00E12DC0"/>
    <w:rsid w:val="00E12DE6"/>
    <w:rsid w:val="00E12DFB"/>
    <w:rsid w:val="00E12E91"/>
    <w:rsid w:val="00E12E9D"/>
    <w:rsid w:val="00E12EA3"/>
    <w:rsid w:val="00E12EA8"/>
    <w:rsid w:val="00E13009"/>
    <w:rsid w:val="00E1305C"/>
    <w:rsid w:val="00E13094"/>
    <w:rsid w:val="00E130AD"/>
    <w:rsid w:val="00E13162"/>
    <w:rsid w:val="00E13245"/>
    <w:rsid w:val="00E13376"/>
    <w:rsid w:val="00E13499"/>
    <w:rsid w:val="00E13569"/>
    <w:rsid w:val="00E135B8"/>
    <w:rsid w:val="00E135CB"/>
    <w:rsid w:val="00E135F7"/>
    <w:rsid w:val="00E13666"/>
    <w:rsid w:val="00E13699"/>
    <w:rsid w:val="00E136A2"/>
    <w:rsid w:val="00E136DD"/>
    <w:rsid w:val="00E13744"/>
    <w:rsid w:val="00E1375E"/>
    <w:rsid w:val="00E1379F"/>
    <w:rsid w:val="00E13946"/>
    <w:rsid w:val="00E13948"/>
    <w:rsid w:val="00E1394E"/>
    <w:rsid w:val="00E1396C"/>
    <w:rsid w:val="00E139AB"/>
    <w:rsid w:val="00E13ABC"/>
    <w:rsid w:val="00E13AF5"/>
    <w:rsid w:val="00E13BA4"/>
    <w:rsid w:val="00E13BB8"/>
    <w:rsid w:val="00E13C55"/>
    <w:rsid w:val="00E13CD9"/>
    <w:rsid w:val="00E13E0A"/>
    <w:rsid w:val="00E13EB4"/>
    <w:rsid w:val="00E13ECB"/>
    <w:rsid w:val="00E13EF2"/>
    <w:rsid w:val="00E13F3E"/>
    <w:rsid w:val="00E13F7C"/>
    <w:rsid w:val="00E13FC5"/>
    <w:rsid w:val="00E13FF0"/>
    <w:rsid w:val="00E1405A"/>
    <w:rsid w:val="00E1406E"/>
    <w:rsid w:val="00E142AB"/>
    <w:rsid w:val="00E14336"/>
    <w:rsid w:val="00E14398"/>
    <w:rsid w:val="00E14422"/>
    <w:rsid w:val="00E14429"/>
    <w:rsid w:val="00E14470"/>
    <w:rsid w:val="00E14485"/>
    <w:rsid w:val="00E144E4"/>
    <w:rsid w:val="00E14543"/>
    <w:rsid w:val="00E145E6"/>
    <w:rsid w:val="00E14602"/>
    <w:rsid w:val="00E14615"/>
    <w:rsid w:val="00E1465E"/>
    <w:rsid w:val="00E14667"/>
    <w:rsid w:val="00E14700"/>
    <w:rsid w:val="00E148B9"/>
    <w:rsid w:val="00E148F9"/>
    <w:rsid w:val="00E149EF"/>
    <w:rsid w:val="00E14A83"/>
    <w:rsid w:val="00E14BD3"/>
    <w:rsid w:val="00E14C64"/>
    <w:rsid w:val="00E14C74"/>
    <w:rsid w:val="00E14C8B"/>
    <w:rsid w:val="00E14CFD"/>
    <w:rsid w:val="00E14D01"/>
    <w:rsid w:val="00E150FA"/>
    <w:rsid w:val="00E15130"/>
    <w:rsid w:val="00E1518D"/>
    <w:rsid w:val="00E151A2"/>
    <w:rsid w:val="00E151CC"/>
    <w:rsid w:val="00E151D7"/>
    <w:rsid w:val="00E15237"/>
    <w:rsid w:val="00E1528F"/>
    <w:rsid w:val="00E154CF"/>
    <w:rsid w:val="00E1574A"/>
    <w:rsid w:val="00E159A1"/>
    <w:rsid w:val="00E159BC"/>
    <w:rsid w:val="00E159CB"/>
    <w:rsid w:val="00E159DD"/>
    <w:rsid w:val="00E15A22"/>
    <w:rsid w:val="00E15A4E"/>
    <w:rsid w:val="00E15A59"/>
    <w:rsid w:val="00E15AC5"/>
    <w:rsid w:val="00E15BDF"/>
    <w:rsid w:val="00E15D09"/>
    <w:rsid w:val="00E15D31"/>
    <w:rsid w:val="00E15D8C"/>
    <w:rsid w:val="00E15E86"/>
    <w:rsid w:val="00E16196"/>
    <w:rsid w:val="00E1620E"/>
    <w:rsid w:val="00E16215"/>
    <w:rsid w:val="00E16220"/>
    <w:rsid w:val="00E1638E"/>
    <w:rsid w:val="00E16398"/>
    <w:rsid w:val="00E16454"/>
    <w:rsid w:val="00E1649D"/>
    <w:rsid w:val="00E164A2"/>
    <w:rsid w:val="00E164ED"/>
    <w:rsid w:val="00E16628"/>
    <w:rsid w:val="00E166FA"/>
    <w:rsid w:val="00E1672D"/>
    <w:rsid w:val="00E167CF"/>
    <w:rsid w:val="00E16985"/>
    <w:rsid w:val="00E16B1E"/>
    <w:rsid w:val="00E16BF2"/>
    <w:rsid w:val="00E16BF6"/>
    <w:rsid w:val="00E16C89"/>
    <w:rsid w:val="00E16CAC"/>
    <w:rsid w:val="00E16CAF"/>
    <w:rsid w:val="00E16CBA"/>
    <w:rsid w:val="00E16D55"/>
    <w:rsid w:val="00E16D79"/>
    <w:rsid w:val="00E16E2A"/>
    <w:rsid w:val="00E17016"/>
    <w:rsid w:val="00E1701F"/>
    <w:rsid w:val="00E17037"/>
    <w:rsid w:val="00E17063"/>
    <w:rsid w:val="00E1714A"/>
    <w:rsid w:val="00E171BE"/>
    <w:rsid w:val="00E171D3"/>
    <w:rsid w:val="00E171F3"/>
    <w:rsid w:val="00E172AA"/>
    <w:rsid w:val="00E172BA"/>
    <w:rsid w:val="00E17320"/>
    <w:rsid w:val="00E17328"/>
    <w:rsid w:val="00E1739E"/>
    <w:rsid w:val="00E173B0"/>
    <w:rsid w:val="00E173B7"/>
    <w:rsid w:val="00E173D0"/>
    <w:rsid w:val="00E17459"/>
    <w:rsid w:val="00E1746F"/>
    <w:rsid w:val="00E17566"/>
    <w:rsid w:val="00E17568"/>
    <w:rsid w:val="00E175B5"/>
    <w:rsid w:val="00E17686"/>
    <w:rsid w:val="00E17690"/>
    <w:rsid w:val="00E176DF"/>
    <w:rsid w:val="00E17712"/>
    <w:rsid w:val="00E17894"/>
    <w:rsid w:val="00E178C5"/>
    <w:rsid w:val="00E178D6"/>
    <w:rsid w:val="00E17911"/>
    <w:rsid w:val="00E17925"/>
    <w:rsid w:val="00E17A47"/>
    <w:rsid w:val="00E17B0A"/>
    <w:rsid w:val="00E17B0F"/>
    <w:rsid w:val="00E17B66"/>
    <w:rsid w:val="00E17C2C"/>
    <w:rsid w:val="00E17C54"/>
    <w:rsid w:val="00E17C7C"/>
    <w:rsid w:val="00E17CB8"/>
    <w:rsid w:val="00E17CD6"/>
    <w:rsid w:val="00E17D0B"/>
    <w:rsid w:val="00E17DC6"/>
    <w:rsid w:val="00E17ED3"/>
    <w:rsid w:val="00E17F1E"/>
    <w:rsid w:val="00E17F61"/>
    <w:rsid w:val="00E20011"/>
    <w:rsid w:val="00E20021"/>
    <w:rsid w:val="00E20041"/>
    <w:rsid w:val="00E20056"/>
    <w:rsid w:val="00E2005D"/>
    <w:rsid w:val="00E2015B"/>
    <w:rsid w:val="00E20289"/>
    <w:rsid w:val="00E2030F"/>
    <w:rsid w:val="00E20390"/>
    <w:rsid w:val="00E205A7"/>
    <w:rsid w:val="00E205DA"/>
    <w:rsid w:val="00E20684"/>
    <w:rsid w:val="00E207D8"/>
    <w:rsid w:val="00E207DF"/>
    <w:rsid w:val="00E20834"/>
    <w:rsid w:val="00E20890"/>
    <w:rsid w:val="00E2093B"/>
    <w:rsid w:val="00E209B5"/>
    <w:rsid w:val="00E20A03"/>
    <w:rsid w:val="00E20A28"/>
    <w:rsid w:val="00E20ABC"/>
    <w:rsid w:val="00E20AE5"/>
    <w:rsid w:val="00E20B3E"/>
    <w:rsid w:val="00E20B4C"/>
    <w:rsid w:val="00E20BF0"/>
    <w:rsid w:val="00E20D88"/>
    <w:rsid w:val="00E20D8F"/>
    <w:rsid w:val="00E20DA4"/>
    <w:rsid w:val="00E20DAB"/>
    <w:rsid w:val="00E20DBC"/>
    <w:rsid w:val="00E20E06"/>
    <w:rsid w:val="00E20EAB"/>
    <w:rsid w:val="00E20F59"/>
    <w:rsid w:val="00E20FAF"/>
    <w:rsid w:val="00E20FCC"/>
    <w:rsid w:val="00E210D6"/>
    <w:rsid w:val="00E211B9"/>
    <w:rsid w:val="00E211C0"/>
    <w:rsid w:val="00E21225"/>
    <w:rsid w:val="00E21393"/>
    <w:rsid w:val="00E21407"/>
    <w:rsid w:val="00E21412"/>
    <w:rsid w:val="00E21428"/>
    <w:rsid w:val="00E21506"/>
    <w:rsid w:val="00E2151B"/>
    <w:rsid w:val="00E2158D"/>
    <w:rsid w:val="00E2163E"/>
    <w:rsid w:val="00E216AD"/>
    <w:rsid w:val="00E2170F"/>
    <w:rsid w:val="00E217F7"/>
    <w:rsid w:val="00E218CB"/>
    <w:rsid w:val="00E219AB"/>
    <w:rsid w:val="00E21A3A"/>
    <w:rsid w:val="00E21A50"/>
    <w:rsid w:val="00E21ADF"/>
    <w:rsid w:val="00E21B0D"/>
    <w:rsid w:val="00E21BD9"/>
    <w:rsid w:val="00E21BDB"/>
    <w:rsid w:val="00E21C08"/>
    <w:rsid w:val="00E21D61"/>
    <w:rsid w:val="00E21E21"/>
    <w:rsid w:val="00E21E2D"/>
    <w:rsid w:val="00E2201B"/>
    <w:rsid w:val="00E2203E"/>
    <w:rsid w:val="00E2212A"/>
    <w:rsid w:val="00E221CB"/>
    <w:rsid w:val="00E221D5"/>
    <w:rsid w:val="00E22245"/>
    <w:rsid w:val="00E2226A"/>
    <w:rsid w:val="00E222B5"/>
    <w:rsid w:val="00E22313"/>
    <w:rsid w:val="00E223A7"/>
    <w:rsid w:val="00E223C3"/>
    <w:rsid w:val="00E223EB"/>
    <w:rsid w:val="00E223F7"/>
    <w:rsid w:val="00E22611"/>
    <w:rsid w:val="00E226FD"/>
    <w:rsid w:val="00E2279A"/>
    <w:rsid w:val="00E22802"/>
    <w:rsid w:val="00E22811"/>
    <w:rsid w:val="00E228DB"/>
    <w:rsid w:val="00E228EA"/>
    <w:rsid w:val="00E22974"/>
    <w:rsid w:val="00E22A01"/>
    <w:rsid w:val="00E22A58"/>
    <w:rsid w:val="00E22B29"/>
    <w:rsid w:val="00E22B9B"/>
    <w:rsid w:val="00E22BBD"/>
    <w:rsid w:val="00E22BC8"/>
    <w:rsid w:val="00E22C91"/>
    <w:rsid w:val="00E22C9F"/>
    <w:rsid w:val="00E22CCF"/>
    <w:rsid w:val="00E22CE6"/>
    <w:rsid w:val="00E22DA0"/>
    <w:rsid w:val="00E22E4C"/>
    <w:rsid w:val="00E22E9A"/>
    <w:rsid w:val="00E22EDB"/>
    <w:rsid w:val="00E22F51"/>
    <w:rsid w:val="00E22F74"/>
    <w:rsid w:val="00E22F78"/>
    <w:rsid w:val="00E2304D"/>
    <w:rsid w:val="00E23100"/>
    <w:rsid w:val="00E231E2"/>
    <w:rsid w:val="00E23201"/>
    <w:rsid w:val="00E2327F"/>
    <w:rsid w:val="00E23474"/>
    <w:rsid w:val="00E2349A"/>
    <w:rsid w:val="00E234BF"/>
    <w:rsid w:val="00E236D4"/>
    <w:rsid w:val="00E23819"/>
    <w:rsid w:val="00E23904"/>
    <w:rsid w:val="00E2394D"/>
    <w:rsid w:val="00E2397C"/>
    <w:rsid w:val="00E23A9E"/>
    <w:rsid w:val="00E23B68"/>
    <w:rsid w:val="00E23B6B"/>
    <w:rsid w:val="00E23C0F"/>
    <w:rsid w:val="00E23C28"/>
    <w:rsid w:val="00E23C2F"/>
    <w:rsid w:val="00E23C95"/>
    <w:rsid w:val="00E23CE3"/>
    <w:rsid w:val="00E23DB1"/>
    <w:rsid w:val="00E23DED"/>
    <w:rsid w:val="00E23E5C"/>
    <w:rsid w:val="00E23F02"/>
    <w:rsid w:val="00E23F64"/>
    <w:rsid w:val="00E23FEA"/>
    <w:rsid w:val="00E2405A"/>
    <w:rsid w:val="00E24257"/>
    <w:rsid w:val="00E242EF"/>
    <w:rsid w:val="00E2434A"/>
    <w:rsid w:val="00E24374"/>
    <w:rsid w:val="00E243E5"/>
    <w:rsid w:val="00E2441C"/>
    <w:rsid w:val="00E24509"/>
    <w:rsid w:val="00E24578"/>
    <w:rsid w:val="00E245A3"/>
    <w:rsid w:val="00E2468E"/>
    <w:rsid w:val="00E246C0"/>
    <w:rsid w:val="00E246EE"/>
    <w:rsid w:val="00E2471A"/>
    <w:rsid w:val="00E247CB"/>
    <w:rsid w:val="00E24815"/>
    <w:rsid w:val="00E24826"/>
    <w:rsid w:val="00E2489C"/>
    <w:rsid w:val="00E24928"/>
    <w:rsid w:val="00E249A5"/>
    <w:rsid w:val="00E249F7"/>
    <w:rsid w:val="00E24A49"/>
    <w:rsid w:val="00E24B0E"/>
    <w:rsid w:val="00E24BA3"/>
    <w:rsid w:val="00E24BD5"/>
    <w:rsid w:val="00E24E9C"/>
    <w:rsid w:val="00E25087"/>
    <w:rsid w:val="00E250A4"/>
    <w:rsid w:val="00E250C6"/>
    <w:rsid w:val="00E2513A"/>
    <w:rsid w:val="00E25255"/>
    <w:rsid w:val="00E2525B"/>
    <w:rsid w:val="00E253AD"/>
    <w:rsid w:val="00E25458"/>
    <w:rsid w:val="00E254A2"/>
    <w:rsid w:val="00E254B2"/>
    <w:rsid w:val="00E2572D"/>
    <w:rsid w:val="00E25797"/>
    <w:rsid w:val="00E2585A"/>
    <w:rsid w:val="00E25911"/>
    <w:rsid w:val="00E2593C"/>
    <w:rsid w:val="00E25985"/>
    <w:rsid w:val="00E259B6"/>
    <w:rsid w:val="00E259C9"/>
    <w:rsid w:val="00E259EA"/>
    <w:rsid w:val="00E25A62"/>
    <w:rsid w:val="00E25AAA"/>
    <w:rsid w:val="00E25ACE"/>
    <w:rsid w:val="00E25AF7"/>
    <w:rsid w:val="00E25BCD"/>
    <w:rsid w:val="00E25CEA"/>
    <w:rsid w:val="00E25CFB"/>
    <w:rsid w:val="00E25D27"/>
    <w:rsid w:val="00E25D8D"/>
    <w:rsid w:val="00E25E3D"/>
    <w:rsid w:val="00E25E51"/>
    <w:rsid w:val="00E25EEB"/>
    <w:rsid w:val="00E25F13"/>
    <w:rsid w:val="00E25F3F"/>
    <w:rsid w:val="00E25F57"/>
    <w:rsid w:val="00E25F63"/>
    <w:rsid w:val="00E25FC4"/>
    <w:rsid w:val="00E26017"/>
    <w:rsid w:val="00E26030"/>
    <w:rsid w:val="00E2603D"/>
    <w:rsid w:val="00E26052"/>
    <w:rsid w:val="00E26111"/>
    <w:rsid w:val="00E2616B"/>
    <w:rsid w:val="00E261C6"/>
    <w:rsid w:val="00E262C5"/>
    <w:rsid w:val="00E26303"/>
    <w:rsid w:val="00E263DC"/>
    <w:rsid w:val="00E26484"/>
    <w:rsid w:val="00E264A6"/>
    <w:rsid w:val="00E264C0"/>
    <w:rsid w:val="00E264C4"/>
    <w:rsid w:val="00E264EE"/>
    <w:rsid w:val="00E265FC"/>
    <w:rsid w:val="00E266B5"/>
    <w:rsid w:val="00E26798"/>
    <w:rsid w:val="00E26806"/>
    <w:rsid w:val="00E26820"/>
    <w:rsid w:val="00E2682C"/>
    <w:rsid w:val="00E268D7"/>
    <w:rsid w:val="00E26992"/>
    <w:rsid w:val="00E26A3F"/>
    <w:rsid w:val="00E26B73"/>
    <w:rsid w:val="00E26BAC"/>
    <w:rsid w:val="00E26BD0"/>
    <w:rsid w:val="00E26BDE"/>
    <w:rsid w:val="00E26C17"/>
    <w:rsid w:val="00E26D03"/>
    <w:rsid w:val="00E26D0E"/>
    <w:rsid w:val="00E26D8A"/>
    <w:rsid w:val="00E26EB0"/>
    <w:rsid w:val="00E270F6"/>
    <w:rsid w:val="00E27129"/>
    <w:rsid w:val="00E271C8"/>
    <w:rsid w:val="00E2720A"/>
    <w:rsid w:val="00E27218"/>
    <w:rsid w:val="00E27234"/>
    <w:rsid w:val="00E27295"/>
    <w:rsid w:val="00E2745A"/>
    <w:rsid w:val="00E274D7"/>
    <w:rsid w:val="00E274EE"/>
    <w:rsid w:val="00E27523"/>
    <w:rsid w:val="00E27539"/>
    <w:rsid w:val="00E2755F"/>
    <w:rsid w:val="00E27579"/>
    <w:rsid w:val="00E2758F"/>
    <w:rsid w:val="00E27665"/>
    <w:rsid w:val="00E2767E"/>
    <w:rsid w:val="00E27763"/>
    <w:rsid w:val="00E2781A"/>
    <w:rsid w:val="00E278BA"/>
    <w:rsid w:val="00E278DD"/>
    <w:rsid w:val="00E27970"/>
    <w:rsid w:val="00E27A3D"/>
    <w:rsid w:val="00E27B32"/>
    <w:rsid w:val="00E27B6D"/>
    <w:rsid w:val="00E27CCC"/>
    <w:rsid w:val="00E27D7B"/>
    <w:rsid w:val="00E27D97"/>
    <w:rsid w:val="00E27DE7"/>
    <w:rsid w:val="00E27E22"/>
    <w:rsid w:val="00E27E70"/>
    <w:rsid w:val="00E27FE5"/>
    <w:rsid w:val="00E30109"/>
    <w:rsid w:val="00E30119"/>
    <w:rsid w:val="00E302F4"/>
    <w:rsid w:val="00E30307"/>
    <w:rsid w:val="00E3038F"/>
    <w:rsid w:val="00E303C9"/>
    <w:rsid w:val="00E30454"/>
    <w:rsid w:val="00E30459"/>
    <w:rsid w:val="00E3048C"/>
    <w:rsid w:val="00E304BE"/>
    <w:rsid w:val="00E304CE"/>
    <w:rsid w:val="00E304F3"/>
    <w:rsid w:val="00E305BA"/>
    <w:rsid w:val="00E30641"/>
    <w:rsid w:val="00E30642"/>
    <w:rsid w:val="00E30679"/>
    <w:rsid w:val="00E306FD"/>
    <w:rsid w:val="00E3076B"/>
    <w:rsid w:val="00E307A2"/>
    <w:rsid w:val="00E307B6"/>
    <w:rsid w:val="00E30820"/>
    <w:rsid w:val="00E30822"/>
    <w:rsid w:val="00E30871"/>
    <w:rsid w:val="00E308B4"/>
    <w:rsid w:val="00E3097D"/>
    <w:rsid w:val="00E309AF"/>
    <w:rsid w:val="00E309BE"/>
    <w:rsid w:val="00E30AA1"/>
    <w:rsid w:val="00E30AA8"/>
    <w:rsid w:val="00E30AF1"/>
    <w:rsid w:val="00E30B1A"/>
    <w:rsid w:val="00E30CB2"/>
    <w:rsid w:val="00E30CC7"/>
    <w:rsid w:val="00E30D7D"/>
    <w:rsid w:val="00E30DB9"/>
    <w:rsid w:val="00E30DF0"/>
    <w:rsid w:val="00E30E23"/>
    <w:rsid w:val="00E30E62"/>
    <w:rsid w:val="00E31064"/>
    <w:rsid w:val="00E31140"/>
    <w:rsid w:val="00E311B7"/>
    <w:rsid w:val="00E311CA"/>
    <w:rsid w:val="00E31255"/>
    <w:rsid w:val="00E312BA"/>
    <w:rsid w:val="00E312F1"/>
    <w:rsid w:val="00E312F9"/>
    <w:rsid w:val="00E31315"/>
    <w:rsid w:val="00E31331"/>
    <w:rsid w:val="00E31378"/>
    <w:rsid w:val="00E31391"/>
    <w:rsid w:val="00E313AD"/>
    <w:rsid w:val="00E31460"/>
    <w:rsid w:val="00E3147E"/>
    <w:rsid w:val="00E3148B"/>
    <w:rsid w:val="00E314A5"/>
    <w:rsid w:val="00E314E1"/>
    <w:rsid w:val="00E3151A"/>
    <w:rsid w:val="00E3162B"/>
    <w:rsid w:val="00E317B8"/>
    <w:rsid w:val="00E31876"/>
    <w:rsid w:val="00E31880"/>
    <w:rsid w:val="00E318BC"/>
    <w:rsid w:val="00E31930"/>
    <w:rsid w:val="00E31B95"/>
    <w:rsid w:val="00E31BEC"/>
    <w:rsid w:val="00E31C02"/>
    <w:rsid w:val="00E31C15"/>
    <w:rsid w:val="00E31CED"/>
    <w:rsid w:val="00E31DAF"/>
    <w:rsid w:val="00E31E06"/>
    <w:rsid w:val="00E31ECE"/>
    <w:rsid w:val="00E31F70"/>
    <w:rsid w:val="00E31FC3"/>
    <w:rsid w:val="00E31FD4"/>
    <w:rsid w:val="00E31FF1"/>
    <w:rsid w:val="00E3201C"/>
    <w:rsid w:val="00E3206F"/>
    <w:rsid w:val="00E32090"/>
    <w:rsid w:val="00E32174"/>
    <w:rsid w:val="00E32241"/>
    <w:rsid w:val="00E32373"/>
    <w:rsid w:val="00E32455"/>
    <w:rsid w:val="00E324AE"/>
    <w:rsid w:val="00E324E5"/>
    <w:rsid w:val="00E32553"/>
    <w:rsid w:val="00E32692"/>
    <w:rsid w:val="00E326B1"/>
    <w:rsid w:val="00E32788"/>
    <w:rsid w:val="00E327EE"/>
    <w:rsid w:val="00E327F9"/>
    <w:rsid w:val="00E3281E"/>
    <w:rsid w:val="00E3284B"/>
    <w:rsid w:val="00E3289F"/>
    <w:rsid w:val="00E3291D"/>
    <w:rsid w:val="00E32975"/>
    <w:rsid w:val="00E329CE"/>
    <w:rsid w:val="00E329FF"/>
    <w:rsid w:val="00E32A28"/>
    <w:rsid w:val="00E32AAB"/>
    <w:rsid w:val="00E32AE6"/>
    <w:rsid w:val="00E32AF9"/>
    <w:rsid w:val="00E32BC9"/>
    <w:rsid w:val="00E32BED"/>
    <w:rsid w:val="00E32C15"/>
    <w:rsid w:val="00E32CDA"/>
    <w:rsid w:val="00E32E7C"/>
    <w:rsid w:val="00E32EA8"/>
    <w:rsid w:val="00E32F18"/>
    <w:rsid w:val="00E32F5F"/>
    <w:rsid w:val="00E32FAC"/>
    <w:rsid w:val="00E32FB4"/>
    <w:rsid w:val="00E32FE3"/>
    <w:rsid w:val="00E33047"/>
    <w:rsid w:val="00E3304C"/>
    <w:rsid w:val="00E33063"/>
    <w:rsid w:val="00E330DB"/>
    <w:rsid w:val="00E3312D"/>
    <w:rsid w:val="00E331DC"/>
    <w:rsid w:val="00E331F8"/>
    <w:rsid w:val="00E3327D"/>
    <w:rsid w:val="00E33294"/>
    <w:rsid w:val="00E333C3"/>
    <w:rsid w:val="00E334D8"/>
    <w:rsid w:val="00E33558"/>
    <w:rsid w:val="00E335CC"/>
    <w:rsid w:val="00E335F9"/>
    <w:rsid w:val="00E33604"/>
    <w:rsid w:val="00E33639"/>
    <w:rsid w:val="00E3365F"/>
    <w:rsid w:val="00E336F3"/>
    <w:rsid w:val="00E33773"/>
    <w:rsid w:val="00E337AD"/>
    <w:rsid w:val="00E337E4"/>
    <w:rsid w:val="00E33835"/>
    <w:rsid w:val="00E338AE"/>
    <w:rsid w:val="00E338FF"/>
    <w:rsid w:val="00E33921"/>
    <w:rsid w:val="00E33942"/>
    <w:rsid w:val="00E339FC"/>
    <w:rsid w:val="00E33A0F"/>
    <w:rsid w:val="00E33A2E"/>
    <w:rsid w:val="00E33AAF"/>
    <w:rsid w:val="00E33AD6"/>
    <w:rsid w:val="00E33C12"/>
    <w:rsid w:val="00E33C16"/>
    <w:rsid w:val="00E33C3A"/>
    <w:rsid w:val="00E33C73"/>
    <w:rsid w:val="00E33D00"/>
    <w:rsid w:val="00E33D88"/>
    <w:rsid w:val="00E33E21"/>
    <w:rsid w:val="00E33E46"/>
    <w:rsid w:val="00E33E4E"/>
    <w:rsid w:val="00E33E63"/>
    <w:rsid w:val="00E33EA2"/>
    <w:rsid w:val="00E3401C"/>
    <w:rsid w:val="00E340A1"/>
    <w:rsid w:val="00E3413A"/>
    <w:rsid w:val="00E34164"/>
    <w:rsid w:val="00E341AE"/>
    <w:rsid w:val="00E34224"/>
    <w:rsid w:val="00E3423F"/>
    <w:rsid w:val="00E3426C"/>
    <w:rsid w:val="00E342B2"/>
    <w:rsid w:val="00E342D8"/>
    <w:rsid w:val="00E34396"/>
    <w:rsid w:val="00E345B5"/>
    <w:rsid w:val="00E345C4"/>
    <w:rsid w:val="00E34618"/>
    <w:rsid w:val="00E34640"/>
    <w:rsid w:val="00E34674"/>
    <w:rsid w:val="00E3467B"/>
    <w:rsid w:val="00E34689"/>
    <w:rsid w:val="00E346C4"/>
    <w:rsid w:val="00E3484E"/>
    <w:rsid w:val="00E348D3"/>
    <w:rsid w:val="00E348E8"/>
    <w:rsid w:val="00E34963"/>
    <w:rsid w:val="00E34A43"/>
    <w:rsid w:val="00E34AA6"/>
    <w:rsid w:val="00E34ACF"/>
    <w:rsid w:val="00E34AE3"/>
    <w:rsid w:val="00E34B30"/>
    <w:rsid w:val="00E34C61"/>
    <w:rsid w:val="00E34C8F"/>
    <w:rsid w:val="00E34C9B"/>
    <w:rsid w:val="00E34D1E"/>
    <w:rsid w:val="00E34D69"/>
    <w:rsid w:val="00E34F32"/>
    <w:rsid w:val="00E34FA7"/>
    <w:rsid w:val="00E34FBB"/>
    <w:rsid w:val="00E35115"/>
    <w:rsid w:val="00E3513C"/>
    <w:rsid w:val="00E352B0"/>
    <w:rsid w:val="00E353AC"/>
    <w:rsid w:val="00E355E4"/>
    <w:rsid w:val="00E355FE"/>
    <w:rsid w:val="00E3563D"/>
    <w:rsid w:val="00E3564C"/>
    <w:rsid w:val="00E3564D"/>
    <w:rsid w:val="00E3566B"/>
    <w:rsid w:val="00E356AE"/>
    <w:rsid w:val="00E35798"/>
    <w:rsid w:val="00E3579D"/>
    <w:rsid w:val="00E358BA"/>
    <w:rsid w:val="00E35971"/>
    <w:rsid w:val="00E3598D"/>
    <w:rsid w:val="00E35A94"/>
    <w:rsid w:val="00E35AC7"/>
    <w:rsid w:val="00E35AE4"/>
    <w:rsid w:val="00E35B29"/>
    <w:rsid w:val="00E35B49"/>
    <w:rsid w:val="00E35BA9"/>
    <w:rsid w:val="00E35C1E"/>
    <w:rsid w:val="00E35D2B"/>
    <w:rsid w:val="00E35D49"/>
    <w:rsid w:val="00E35D50"/>
    <w:rsid w:val="00E35D8B"/>
    <w:rsid w:val="00E35D9C"/>
    <w:rsid w:val="00E35DEE"/>
    <w:rsid w:val="00E35E63"/>
    <w:rsid w:val="00E35EE8"/>
    <w:rsid w:val="00E35F35"/>
    <w:rsid w:val="00E35F97"/>
    <w:rsid w:val="00E35F9D"/>
    <w:rsid w:val="00E3605F"/>
    <w:rsid w:val="00E36131"/>
    <w:rsid w:val="00E3619D"/>
    <w:rsid w:val="00E361A7"/>
    <w:rsid w:val="00E361AA"/>
    <w:rsid w:val="00E36218"/>
    <w:rsid w:val="00E36245"/>
    <w:rsid w:val="00E36275"/>
    <w:rsid w:val="00E362F9"/>
    <w:rsid w:val="00E36319"/>
    <w:rsid w:val="00E36356"/>
    <w:rsid w:val="00E36385"/>
    <w:rsid w:val="00E363ED"/>
    <w:rsid w:val="00E3656C"/>
    <w:rsid w:val="00E365FB"/>
    <w:rsid w:val="00E36606"/>
    <w:rsid w:val="00E3665B"/>
    <w:rsid w:val="00E366B5"/>
    <w:rsid w:val="00E366E2"/>
    <w:rsid w:val="00E36763"/>
    <w:rsid w:val="00E367B0"/>
    <w:rsid w:val="00E368A9"/>
    <w:rsid w:val="00E368F2"/>
    <w:rsid w:val="00E36955"/>
    <w:rsid w:val="00E3696D"/>
    <w:rsid w:val="00E36992"/>
    <w:rsid w:val="00E369B5"/>
    <w:rsid w:val="00E369C4"/>
    <w:rsid w:val="00E36A13"/>
    <w:rsid w:val="00E36A55"/>
    <w:rsid w:val="00E36B20"/>
    <w:rsid w:val="00E36B77"/>
    <w:rsid w:val="00E36DF9"/>
    <w:rsid w:val="00E36E39"/>
    <w:rsid w:val="00E36E43"/>
    <w:rsid w:val="00E36EC7"/>
    <w:rsid w:val="00E36F24"/>
    <w:rsid w:val="00E36F6E"/>
    <w:rsid w:val="00E36F8A"/>
    <w:rsid w:val="00E37046"/>
    <w:rsid w:val="00E37057"/>
    <w:rsid w:val="00E370AD"/>
    <w:rsid w:val="00E370D8"/>
    <w:rsid w:val="00E37136"/>
    <w:rsid w:val="00E37167"/>
    <w:rsid w:val="00E371A5"/>
    <w:rsid w:val="00E371B7"/>
    <w:rsid w:val="00E371F3"/>
    <w:rsid w:val="00E3722A"/>
    <w:rsid w:val="00E37243"/>
    <w:rsid w:val="00E3724B"/>
    <w:rsid w:val="00E37496"/>
    <w:rsid w:val="00E37497"/>
    <w:rsid w:val="00E3755F"/>
    <w:rsid w:val="00E376C3"/>
    <w:rsid w:val="00E376E9"/>
    <w:rsid w:val="00E37724"/>
    <w:rsid w:val="00E37737"/>
    <w:rsid w:val="00E3783A"/>
    <w:rsid w:val="00E37973"/>
    <w:rsid w:val="00E379FC"/>
    <w:rsid w:val="00E37A0E"/>
    <w:rsid w:val="00E37A80"/>
    <w:rsid w:val="00E37AB1"/>
    <w:rsid w:val="00E37ABF"/>
    <w:rsid w:val="00E37B80"/>
    <w:rsid w:val="00E37BB7"/>
    <w:rsid w:val="00E37D72"/>
    <w:rsid w:val="00E37E27"/>
    <w:rsid w:val="00E37EE2"/>
    <w:rsid w:val="00E4000E"/>
    <w:rsid w:val="00E40070"/>
    <w:rsid w:val="00E40099"/>
    <w:rsid w:val="00E401DA"/>
    <w:rsid w:val="00E40255"/>
    <w:rsid w:val="00E40290"/>
    <w:rsid w:val="00E403EF"/>
    <w:rsid w:val="00E403F0"/>
    <w:rsid w:val="00E404B1"/>
    <w:rsid w:val="00E404B9"/>
    <w:rsid w:val="00E40500"/>
    <w:rsid w:val="00E40541"/>
    <w:rsid w:val="00E4057C"/>
    <w:rsid w:val="00E405AA"/>
    <w:rsid w:val="00E405BB"/>
    <w:rsid w:val="00E405EB"/>
    <w:rsid w:val="00E40668"/>
    <w:rsid w:val="00E4067C"/>
    <w:rsid w:val="00E406B2"/>
    <w:rsid w:val="00E407F7"/>
    <w:rsid w:val="00E409C8"/>
    <w:rsid w:val="00E40A96"/>
    <w:rsid w:val="00E40B65"/>
    <w:rsid w:val="00E40BB6"/>
    <w:rsid w:val="00E40C12"/>
    <w:rsid w:val="00E40C93"/>
    <w:rsid w:val="00E40CE5"/>
    <w:rsid w:val="00E40CF7"/>
    <w:rsid w:val="00E40F41"/>
    <w:rsid w:val="00E40F86"/>
    <w:rsid w:val="00E40F8C"/>
    <w:rsid w:val="00E41025"/>
    <w:rsid w:val="00E4103C"/>
    <w:rsid w:val="00E41049"/>
    <w:rsid w:val="00E4115A"/>
    <w:rsid w:val="00E41245"/>
    <w:rsid w:val="00E412D7"/>
    <w:rsid w:val="00E4131A"/>
    <w:rsid w:val="00E41335"/>
    <w:rsid w:val="00E413B9"/>
    <w:rsid w:val="00E413BD"/>
    <w:rsid w:val="00E413DD"/>
    <w:rsid w:val="00E41556"/>
    <w:rsid w:val="00E41581"/>
    <w:rsid w:val="00E41655"/>
    <w:rsid w:val="00E41665"/>
    <w:rsid w:val="00E416A1"/>
    <w:rsid w:val="00E416A8"/>
    <w:rsid w:val="00E416CE"/>
    <w:rsid w:val="00E41749"/>
    <w:rsid w:val="00E41757"/>
    <w:rsid w:val="00E4175A"/>
    <w:rsid w:val="00E417CB"/>
    <w:rsid w:val="00E4186E"/>
    <w:rsid w:val="00E418EF"/>
    <w:rsid w:val="00E41943"/>
    <w:rsid w:val="00E419A9"/>
    <w:rsid w:val="00E419B1"/>
    <w:rsid w:val="00E41A8D"/>
    <w:rsid w:val="00E41ACA"/>
    <w:rsid w:val="00E41C03"/>
    <w:rsid w:val="00E41C0B"/>
    <w:rsid w:val="00E41C18"/>
    <w:rsid w:val="00E41D47"/>
    <w:rsid w:val="00E41D4B"/>
    <w:rsid w:val="00E41D96"/>
    <w:rsid w:val="00E41DCC"/>
    <w:rsid w:val="00E41ED9"/>
    <w:rsid w:val="00E41F01"/>
    <w:rsid w:val="00E41F0B"/>
    <w:rsid w:val="00E41F19"/>
    <w:rsid w:val="00E41F29"/>
    <w:rsid w:val="00E41F54"/>
    <w:rsid w:val="00E42017"/>
    <w:rsid w:val="00E4210E"/>
    <w:rsid w:val="00E4213E"/>
    <w:rsid w:val="00E42173"/>
    <w:rsid w:val="00E421C6"/>
    <w:rsid w:val="00E42247"/>
    <w:rsid w:val="00E423E3"/>
    <w:rsid w:val="00E4243D"/>
    <w:rsid w:val="00E424C1"/>
    <w:rsid w:val="00E424EE"/>
    <w:rsid w:val="00E4260B"/>
    <w:rsid w:val="00E426C3"/>
    <w:rsid w:val="00E42728"/>
    <w:rsid w:val="00E42880"/>
    <w:rsid w:val="00E42916"/>
    <w:rsid w:val="00E42976"/>
    <w:rsid w:val="00E42A62"/>
    <w:rsid w:val="00E42B16"/>
    <w:rsid w:val="00E42B24"/>
    <w:rsid w:val="00E42B4E"/>
    <w:rsid w:val="00E42CFF"/>
    <w:rsid w:val="00E42D13"/>
    <w:rsid w:val="00E42D20"/>
    <w:rsid w:val="00E42D3A"/>
    <w:rsid w:val="00E42DFB"/>
    <w:rsid w:val="00E42E7E"/>
    <w:rsid w:val="00E42E8D"/>
    <w:rsid w:val="00E42FD8"/>
    <w:rsid w:val="00E4304B"/>
    <w:rsid w:val="00E430C7"/>
    <w:rsid w:val="00E4311E"/>
    <w:rsid w:val="00E43157"/>
    <w:rsid w:val="00E432C4"/>
    <w:rsid w:val="00E4330F"/>
    <w:rsid w:val="00E4332B"/>
    <w:rsid w:val="00E4333D"/>
    <w:rsid w:val="00E43380"/>
    <w:rsid w:val="00E43421"/>
    <w:rsid w:val="00E43476"/>
    <w:rsid w:val="00E43557"/>
    <w:rsid w:val="00E435C2"/>
    <w:rsid w:val="00E43615"/>
    <w:rsid w:val="00E43656"/>
    <w:rsid w:val="00E436A3"/>
    <w:rsid w:val="00E437DC"/>
    <w:rsid w:val="00E4383C"/>
    <w:rsid w:val="00E43849"/>
    <w:rsid w:val="00E43850"/>
    <w:rsid w:val="00E43A1A"/>
    <w:rsid w:val="00E43A73"/>
    <w:rsid w:val="00E43B78"/>
    <w:rsid w:val="00E43BB1"/>
    <w:rsid w:val="00E43BB5"/>
    <w:rsid w:val="00E43C16"/>
    <w:rsid w:val="00E43C7C"/>
    <w:rsid w:val="00E43D8D"/>
    <w:rsid w:val="00E43E7C"/>
    <w:rsid w:val="00E43EB5"/>
    <w:rsid w:val="00E43EBE"/>
    <w:rsid w:val="00E43EC6"/>
    <w:rsid w:val="00E43F8B"/>
    <w:rsid w:val="00E4418D"/>
    <w:rsid w:val="00E44209"/>
    <w:rsid w:val="00E4422C"/>
    <w:rsid w:val="00E44239"/>
    <w:rsid w:val="00E4428B"/>
    <w:rsid w:val="00E44359"/>
    <w:rsid w:val="00E44456"/>
    <w:rsid w:val="00E4449E"/>
    <w:rsid w:val="00E444C5"/>
    <w:rsid w:val="00E4457B"/>
    <w:rsid w:val="00E446BA"/>
    <w:rsid w:val="00E44709"/>
    <w:rsid w:val="00E4472F"/>
    <w:rsid w:val="00E44790"/>
    <w:rsid w:val="00E447A5"/>
    <w:rsid w:val="00E447B4"/>
    <w:rsid w:val="00E4486F"/>
    <w:rsid w:val="00E44880"/>
    <w:rsid w:val="00E449AF"/>
    <w:rsid w:val="00E44B53"/>
    <w:rsid w:val="00E44BC3"/>
    <w:rsid w:val="00E44BE9"/>
    <w:rsid w:val="00E44C31"/>
    <w:rsid w:val="00E44C3E"/>
    <w:rsid w:val="00E44C40"/>
    <w:rsid w:val="00E44C97"/>
    <w:rsid w:val="00E44C9C"/>
    <w:rsid w:val="00E44CB3"/>
    <w:rsid w:val="00E44D07"/>
    <w:rsid w:val="00E44E1D"/>
    <w:rsid w:val="00E44EF1"/>
    <w:rsid w:val="00E450E7"/>
    <w:rsid w:val="00E450F4"/>
    <w:rsid w:val="00E45101"/>
    <w:rsid w:val="00E4511C"/>
    <w:rsid w:val="00E4514E"/>
    <w:rsid w:val="00E451AC"/>
    <w:rsid w:val="00E451B9"/>
    <w:rsid w:val="00E45201"/>
    <w:rsid w:val="00E45219"/>
    <w:rsid w:val="00E45229"/>
    <w:rsid w:val="00E45284"/>
    <w:rsid w:val="00E45285"/>
    <w:rsid w:val="00E45358"/>
    <w:rsid w:val="00E45452"/>
    <w:rsid w:val="00E45461"/>
    <w:rsid w:val="00E454BC"/>
    <w:rsid w:val="00E4551A"/>
    <w:rsid w:val="00E45574"/>
    <w:rsid w:val="00E45584"/>
    <w:rsid w:val="00E455D6"/>
    <w:rsid w:val="00E45660"/>
    <w:rsid w:val="00E4571F"/>
    <w:rsid w:val="00E45765"/>
    <w:rsid w:val="00E457AC"/>
    <w:rsid w:val="00E45855"/>
    <w:rsid w:val="00E45961"/>
    <w:rsid w:val="00E45964"/>
    <w:rsid w:val="00E4598E"/>
    <w:rsid w:val="00E459B1"/>
    <w:rsid w:val="00E459D0"/>
    <w:rsid w:val="00E45A30"/>
    <w:rsid w:val="00E45A48"/>
    <w:rsid w:val="00E45A92"/>
    <w:rsid w:val="00E45A97"/>
    <w:rsid w:val="00E45BA7"/>
    <w:rsid w:val="00E45BB5"/>
    <w:rsid w:val="00E45BC8"/>
    <w:rsid w:val="00E45BDE"/>
    <w:rsid w:val="00E45CCE"/>
    <w:rsid w:val="00E45CF5"/>
    <w:rsid w:val="00E45D0A"/>
    <w:rsid w:val="00E45D1A"/>
    <w:rsid w:val="00E45E14"/>
    <w:rsid w:val="00E45FE0"/>
    <w:rsid w:val="00E460B4"/>
    <w:rsid w:val="00E460D2"/>
    <w:rsid w:val="00E4612D"/>
    <w:rsid w:val="00E46198"/>
    <w:rsid w:val="00E461B0"/>
    <w:rsid w:val="00E461B5"/>
    <w:rsid w:val="00E461F0"/>
    <w:rsid w:val="00E4647E"/>
    <w:rsid w:val="00E46487"/>
    <w:rsid w:val="00E464B1"/>
    <w:rsid w:val="00E464C1"/>
    <w:rsid w:val="00E464C6"/>
    <w:rsid w:val="00E46548"/>
    <w:rsid w:val="00E4657B"/>
    <w:rsid w:val="00E466ED"/>
    <w:rsid w:val="00E46A09"/>
    <w:rsid w:val="00E46B7B"/>
    <w:rsid w:val="00E46BD7"/>
    <w:rsid w:val="00E46CBC"/>
    <w:rsid w:val="00E46D02"/>
    <w:rsid w:val="00E46DFC"/>
    <w:rsid w:val="00E46E15"/>
    <w:rsid w:val="00E46E25"/>
    <w:rsid w:val="00E46ECB"/>
    <w:rsid w:val="00E46ED8"/>
    <w:rsid w:val="00E46F78"/>
    <w:rsid w:val="00E46FEF"/>
    <w:rsid w:val="00E47094"/>
    <w:rsid w:val="00E47099"/>
    <w:rsid w:val="00E47146"/>
    <w:rsid w:val="00E47159"/>
    <w:rsid w:val="00E471A3"/>
    <w:rsid w:val="00E472C5"/>
    <w:rsid w:val="00E4732A"/>
    <w:rsid w:val="00E4736A"/>
    <w:rsid w:val="00E473F9"/>
    <w:rsid w:val="00E47406"/>
    <w:rsid w:val="00E47464"/>
    <w:rsid w:val="00E47503"/>
    <w:rsid w:val="00E476A4"/>
    <w:rsid w:val="00E477AF"/>
    <w:rsid w:val="00E4782A"/>
    <w:rsid w:val="00E47865"/>
    <w:rsid w:val="00E47A4D"/>
    <w:rsid w:val="00E47A58"/>
    <w:rsid w:val="00E47A71"/>
    <w:rsid w:val="00E47ACD"/>
    <w:rsid w:val="00E47AE3"/>
    <w:rsid w:val="00E47BB6"/>
    <w:rsid w:val="00E47BF9"/>
    <w:rsid w:val="00E47C76"/>
    <w:rsid w:val="00E47C9E"/>
    <w:rsid w:val="00E47E07"/>
    <w:rsid w:val="00E47E9A"/>
    <w:rsid w:val="00E5000A"/>
    <w:rsid w:val="00E500E7"/>
    <w:rsid w:val="00E501C3"/>
    <w:rsid w:val="00E501E0"/>
    <w:rsid w:val="00E50261"/>
    <w:rsid w:val="00E502EB"/>
    <w:rsid w:val="00E503AA"/>
    <w:rsid w:val="00E503EE"/>
    <w:rsid w:val="00E505BA"/>
    <w:rsid w:val="00E505EA"/>
    <w:rsid w:val="00E505F6"/>
    <w:rsid w:val="00E5063D"/>
    <w:rsid w:val="00E5065E"/>
    <w:rsid w:val="00E506AF"/>
    <w:rsid w:val="00E506E3"/>
    <w:rsid w:val="00E50740"/>
    <w:rsid w:val="00E507AD"/>
    <w:rsid w:val="00E508FE"/>
    <w:rsid w:val="00E5093A"/>
    <w:rsid w:val="00E50A94"/>
    <w:rsid w:val="00E50AAA"/>
    <w:rsid w:val="00E50B04"/>
    <w:rsid w:val="00E50BAB"/>
    <w:rsid w:val="00E50BEB"/>
    <w:rsid w:val="00E50C7E"/>
    <w:rsid w:val="00E50D4B"/>
    <w:rsid w:val="00E50D6D"/>
    <w:rsid w:val="00E50EA5"/>
    <w:rsid w:val="00E50EF4"/>
    <w:rsid w:val="00E50F63"/>
    <w:rsid w:val="00E51028"/>
    <w:rsid w:val="00E51080"/>
    <w:rsid w:val="00E51113"/>
    <w:rsid w:val="00E51123"/>
    <w:rsid w:val="00E51159"/>
    <w:rsid w:val="00E511C8"/>
    <w:rsid w:val="00E511F5"/>
    <w:rsid w:val="00E5124B"/>
    <w:rsid w:val="00E512BD"/>
    <w:rsid w:val="00E5137B"/>
    <w:rsid w:val="00E513A0"/>
    <w:rsid w:val="00E517D8"/>
    <w:rsid w:val="00E51806"/>
    <w:rsid w:val="00E51899"/>
    <w:rsid w:val="00E518D7"/>
    <w:rsid w:val="00E51952"/>
    <w:rsid w:val="00E51982"/>
    <w:rsid w:val="00E51987"/>
    <w:rsid w:val="00E51A2B"/>
    <w:rsid w:val="00E51A4D"/>
    <w:rsid w:val="00E51B07"/>
    <w:rsid w:val="00E51BDC"/>
    <w:rsid w:val="00E51DBE"/>
    <w:rsid w:val="00E51E00"/>
    <w:rsid w:val="00E51E66"/>
    <w:rsid w:val="00E51FD0"/>
    <w:rsid w:val="00E51FEE"/>
    <w:rsid w:val="00E520CC"/>
    <w:rsid w:val="00E520D0"/>
    <w:rsid w:val="00E5222F"/>
    <w:rsid w:val="00E522AA"/>
    <w:rsid w:val="00E522B5"/>
    <w:rsid w:val="00E522B7"/>
    <w:rsid w:val="00E52374"/>
    <w:rsid w:val="00E523C3"/>
    <w:rsid w:val="00E523EF"/>
    <w:rsid w:val="00E52422"/>
    <w:rsid w:val="00E5245A"/>
    <w:rsid w:val="00E52483"/>
    <w:rsid w:val="00E524AA"/>
    <w:rsid w:val="00E525AE"/>
    <w:rsid w:val="00E525E0"/>
    <w:rsid w:val="00E52619"/>
    <w:rsid w:val="00E52713"/>
    <w:rsid w:val="00E527F9"/>
    <w:rsid w:val="00E528EC"/>
    <w:rsid w:val="00E52900"/>
    <w:rsid w:val="00E52914"/>
    <w:rsid w:val="00E52B5D"/>
    <w:rsid w:val="00E52B71"/>
    <w:rsid w:val="00E52CA2"/>
    <w:rsid w:val="00E52DC1"/>
    <w:rsid w:val="00E52DFB"/>
    <w:rsid w:val="00E52E1F"/>
    <w:rsid w:val="00E52E8F"/>
    <w:rsid w:val="00E52EA1"/>
    <w:rsid w:val="00E52EA6"/>
    <w:rsid w:val="00E52FAD"/>
    <w:rsid w:val="00E5304E"/>
    <w:rsid w:val="00E53101"/>
    <w:rsid w:val="00E531CB"/>
    <w:rsid w:val="00E5323A"/>
    <w:rsid w:val="00E5324D"/>
    <w:rsid w:val="00E5324F"/>
    <w:rsid w:val="00E53301"/>
    <w:rsid w:val="00E53352"/>
    <w:rsid w:val="00E53386"/>
    <w:rsid w:val="00E5338B"/>
    <w:rsid w:val="00E53394"/>
    <w:rsid w:val="00E533BF"/>
    <w:rsid w:val="00E533E2"/>
    <w:rsid w:val="00E5346B"/>
    <w:rsid w:val="00E535E8"/>
    <w:rsid w:val="00E53636"/>
    <w:rsid w:val="00E53693"/>
    <w:rsid w:val="00E536C3"/>
    <w:rsid w:val="00E53703"/>
    <w:rsid w:val="00E5388A"/>
    <w:rsid w:val="00E538CD"/>
    <w:rsid w:val="00E53905"/>
    <w:rsid w:val="00E53925"/>
    <w:rsid w:val="00E539A7"/>
    <w:rsid w:val="00E53A0E"/>
    <w:rsid w:val="00E53A16"/>
    <w:rsid w:val="00E53A5A"/>
    <w:rsid w:val="00E53AE7"/>
    <w:rsid w:val="00E53B5D"/>
    <w:rsid w:val="00E53BE3"/>
    <w:rsid w:val="00E53C5A"/>
    <w:rsid w:val="00E53D1B"/>
    <w:rsid w:val="00E53D67"/>
    <w:rsid w:val="00E53DBF"/>
    <w:rsid w:val="00E53DC3"/>
    <w:rsid w:val="00E53DD3"/>
    <w:rsid w:val="00E53DDD"/>
    <w:rsid w:val="00E53E17"/>
    <w:rsid w:val="00E53E61"/>
    <w:rsid w:val="00E53EB0"/>
    <w:rsid w:val="00E53F38"/>
    <w:rsid w:val="00E53F50"/>
    <w:rsid w:val="00E540D8"/>
    <w:rsid w:val="00E5418F"/>
    <w:rsid w:val="00E541CD"/>
    <w:rsid w:val="00E5420D"/>
    <w:rsid w:val="00E54231"/>
    <w:rsid w:val="00E54232"/>
    <w:rsid w:val="00E5426C"/>
    <w:rsid w:val="00E543DD"/>
    <w:rsid w:val="00E54487"/>
    <w:rsid w:val="00E54490"/>
    <w:rsid w:val="00E54523"/>
    <w:rsid w:val="00E54572"/>
    <w:rsid w:val="00E545A7"/>
    <w:rsid w:val="00E545ED"/>
    <w:rsid w:val="00E54625"/>
    <w:rsid w:val="00E54651"/>
    <w:rsid w:val="00E54680"/>
    <w:rsid w:val="00E5470A"/>
    <w:rsid w:val="00E54715"/>
    <w:rsid w:val="00E547C5"/>
    <w:rsid w:val="00E548E2"/>
    <w:rsid w:val="00E54A8A"/>
    <w:rsid w:val="00E54B5E"/>
    <w:rsid w:val="00E54C29"/>
    <w:rsid w:val="00E54C63"/>
    <w:rsid w:val="00E54D04"/>
    <w:rsid w:val="00E54D24"/>
    <w:rsid w:val="00E54D59"/>
    <w:rsid w:val="00E54E02"/>
    <w:rsid w:val="00E54E69"/>
    <w:rsid w:val="00E54E6D"/>
    <w:rsid w:val="00E54F37"/>
    <w:rsid w:val="00E54F7E"/>
    <w:rsid w:val="00E55069"/>
    <w:rsid w:val="00E5511D"/>
    <w:rsid w:val="00E5514B"/>
    <w:rsid w:val="00E5515D"/>
    <w:rsid w:val="00E5516A"/>
    <w:rsid w:val="00E5519C"/>
    <w:rsid w:val="00E551D6"/>
    <w:rsid w:val="00E55280"/>
    <w:rsid w:val="00E553E9"/>
    <w:rsid w:val="00E55444"/>
    <w:rsid w:val="00E5551E"/>
    <w:rsid w:val="00E55620"/>
    <w:rsid w:val="00E55623"/>
    <w:rsid w:val="00E556D0"/>
    <w:rsid w:val="00E556D6"/>
    <w:rsid w:val="00E55759"/>
    <w:rsid w:val="00E557AA"/>
    <w:rsid w:val="00E557C5"/>
    <w:rsid w:val="00E557E4"/>
    <w:rsid w:val="00E5594D"/>
    <w:rsid w:val="00E559E9"/>
    <w:rsid w:val="00E55AD8"/>
    <w:rsid w:val="00E55B1E"/>
    <w:rsid w:val="00E55B6F"/>
    <w:rsid w:val="00E55BBB"/>
    <w:rsid w:val="00E55D0C"/>
    <w:rsid w:val="00E55D47"/>
    <w:rsid w:val="00E55E6D"/>
    <w:rsid w:val="00E55F6C"/>
    <w:rsid w:val="00E561B3"/>
    <w:rsid w:val="00E561F0"/>
    <w:rsid w:val="00E562B6"/>
    <w:rsid w:val="00E56313"/>
    <w:rsid w:val="00E5636C"/>
    <w:rsid w:val="00E563A2"/>
    <w:rsid w:val="00E56450"/>
    <w:rsid w:val="00E565C7"/>
    <w:rsid w:val="00E56659"/>
    <w:rsid w:val="00E56665"/>
    <w:rsid w:val="00E566F9"/>
    <w:rsid w:val="00E5678F"/>
    <w:rsid w:val="00E56796"/>
    <w:rsid w:val="00E567B6"/>
    <w:rsid w:val="00E56860"/>
    <w:rsid w:val="00E5689E"/>
    <w:rsid w:val="00E5694A"/>
    <w:rsid w:val="00E56993"/>
    <w:rsid w:val="00E5699C"/>
    <w:rsid w:val="00E56AB0"/>
    <w:rsid w:val="00E56AC8"/>
    <w:rsid w:val="00E56C2E"/>
    <w:rsid w:val="00E56C36"/>
    <w:rsid w:val="00E56C90"/>
    <w:rsid w:val="00E56D8C"/>
    <w:rsid w:val="00E56D96"/>
    <w:rsid w:val="00E56EEE"/>
    <w:rsid w:val="00E56EF2"/>
    <w:rsid w:val="00E56FE1"/>
    <w:rsid w:val="00E56FF7"/>
    <w:rsid w:val="00E57021"/>
    <w:rsid w:val="00E5725D"/>
    <w:rsid w:val="00E574F8"/>
    <w:rsid w:val="00E5750E"/>
    <w:rsid w:val="00E5763A"/>
    <w:rsid w:val="00E57653"/>
    <w:rsid w:val="00E576E8"/>
    <w:rsid w:val="00E57719"/>
    <w:rsid w:val="00E57753"/>
    <w:rsid w:val="00E57754"/>
    <w:rsid w:val="00E57783"/>
    <w:rsid w:val="00E577D0"/>
    <w:rsid w:val="00E579AA"/>
    <w:rsid w:val="00E57A59"/>
    <w:rsid w:val="00E57ABC"/>
    <w:rsid w:val="00E57AC6"/>
    <w:rsid w:val="00E57B89"/>
    <w:rsid w:val="00E57BFB"/>
    <w:rsid w:val="00E57BFD"/>
    <w:rsid w:val="00E57C75"/>
    <w:rsid w:val="00E57CCF"/>
    <w:rsid w:val="00E57D31"/>
    <w:rsid w:val="00E57D64"/>
    <w:rsid w:val="00E57E8C"/>
    <w:rsid w:val="00E57F53"/>
    <w:rsid w:val="00E57F66"/>
    <w:rsid w:val="00E57FBC"/>
    <w:rsid w:val="00E60051"/>
    <w:rsid w:val="00E600CC"/>
    <w:rsid w:val="00E600CF"/>
    <w:rsid w:val="00E600F8"/>
    <w:rsid w:val="00E60185"/>
    <w:rsid w:val="00E601AF"/>
    <w:rsid w:val="00E6023C"/>
    <w:rsid w:val="00E6026B"/>
    <w:rsid w:val="00E60346"/>
    <w:rsid w:val="00E603DF"/>
    <w:rsid w:val="00E60505"/>
    <w:rsid w:val="00E6055C"/>
    <w:rsid w:val="00E605FD"/>
    <w:rsid w:val="00E60649"/>
    <w:rsid w:val="00E6066E"/>
    <w:rsid w:val="00E60845"/>
    <w:rsid w:val="00E60849"/>
    <w:rsid w:val="00E6085C"/>
    <w:rsid w:val="00E608D2"/>
    <w:rsid w:val="00E60A05"/>
    <w:rsid w:val="00E60A28"/>
    <w:rsid w:val="00E60AB2"/>
    <w:rsid w:val="00E60B8E"/>
    <w:rsid w:val="00E60BE9"/>
    <w:rsid w:val="00E60BF7"/>
    <w:rsid w:val="00E60CF4"/>
    <w:rsid w:val="00E60D23"/>
    <w:rsid w:val="00E60E79"/>
    <w:rsid w:val="00E60F2A"/>
    <w:rsid w:val="00E60F76"/>
    <w:rsid w:val="00E60FFD"/>
    <w:rsid w:val="00E6105C"/>
    <w:rsid w:val="00E6111D"/>
    <w:rsid w:val="00E61170"/>
    <w:rsid w:val="00E61258"/>
    <w:rsid w:val="00E6126E"/>
    <w:rsid w:val="00E612ED"/>
    <w:rsid w:val="00E6134C"/>
    <w:rsid w:val="00E61368"/>
    <w:rsid w:val="00E614F0"/>
    <w:rsid w:val="00E61511"/>
    <w:rsid w:val="00E6162A"/>
    <w:rsid w:val="00E616FD"/>
    <w:rsid w:val="00E6175A"/>
    <w:rsid w:val="00E61763"/>
    <w:rsid w:val="00E617B7"/>
    <w:rsid w:val="00E617E2"/>
    <w:rsid w:val="00E61885"/>
    <w:rsid w:val="00E6190F"/>
    <w:rsid w:val="00E6191B"/>
    <w:rsid w:val="00E61A36"/>
    <w:rsid w:val="00E61BB4"/>
    <w:rsid w:val="00E61BB6"/>
    <w:rsid w:val="00E61C7E"/>
    <w:rsid w:val="00E61D93"/>
    <w:rsid w:val="00E61DE8"/>
    <w:rsid w:val="00E61EFF"/>
    <w:rsid w:val="00E61F3D"/>
    <w:rsid w:val="00E61FA0"/>
    <w:rsid w:val="00E61FE1"/>
    <w:rsid w:val="00E62055"/>
    <w:rsid w:val="00E62104"/>
    <w:rsid w:val="00E6215D"/>
    <w:rsid w:val="00E621B4"/>
    <w:rsid w:val="00E621C2"/>
    <w:rsid w:val="00E62285"/>
    <w:rsid w:val="00E622FD"/>
    <w:rsid w:val="00E6232D"/>
    <w:rsid w:val="00E62341"/>
    <w:rsid w:val="00E62342"/>
    <w:rsid w:val="00E62459"/>
    <w:rsid w:val="00E6266E"/>
    <w:rsid w:val="00E626CC"/>
    <w:rsid w:val="00E62755"/>
    <w:rsid w:val="00E62793"/>
    <w:rsid w:val="00E6279B"/>
    <w:rsid w:val="00E62892"/>
    <w:rsid w:val="00E62896"/>
    <w:rsid w:val="00E628A3"/>
    <w:rsid w:val="00E628D3"/>
    <w:rsid w:val="00E628E6"/>
    <w:rsid w:val="00E628FE"/>
    <w:rsid w:val="00E62922"/>
    <w:rsid w:val="00E62A35"/>
    <w:rsid w:val="00E62B1F"/>
    <w:rsid w:val="00E62B84"/>
    <w:rsid w:val="00E62BC8"/>
    <w:rsid w:val="00E62C0A"/>
    <w:rsid w:val="00E62C1D"/>
    <w:rsid w:val="00E62C80"/>
    <w:rsid w:val="00E62DD4"/>
    <w:rsid w:val="00E62E06"/>
    <w:rsid w:val="00E62E1C"/>
    <w:rsid w:val="00E62F04"/>
    <w:rsid w:val="00E62F29"/>
    <w:rsid w:val="00E62F98"/>
    <w:rsid w:val="00E62F9C"/>
    <w:rsid w:val="00E63007"/>
    <w:rsid w:val="00E63067"/>
    <w:rsid w:val="00E630C1"/>
    <w:rsid w:val="00E6311E"/>
    <w:rsid w:val="00E63189"/>
    <w:rsid w:val="00E63191"/>
    <w:rsid w:val="00E63309"/>
    <w:rsid w:val="00E63315"/>
    <w:rsid w:val="00E633B5"/>
    <w:rsid w:val="00E6341A"/>
    <w:rsid w:val="00E63429"/>
    <w:rsid w:val="00E63449"/>
    <w:rsid w:val="00E634F8"/>
    <w:rsid w:val="00E635A4"/>
    <w:rsid w:val="00E63613"/>
    <w:rsid w:val="00E6369F"/>
    <w:rsid w:val="00E636F3"/>
    <w:rsid w:val="00E636F8"/>
    <w:rsid w:val="00E63714"/>
    <w:rsid w:val="00E6385C"/>
    <w:rsid w:val="00E63878"/>
    <w:rsid w:val="00E6393D"/>
    <w:rsid w:val="00E63972"/>
    <w:rsid w:val="00E639E7"/>
    <w:rsid w:val="00E63A5C"/>
    <w:rsid w:val="00E63B2C"/>
    <w:rsid w:val="00E63B4C"/>
    <w:rsid w:val="00E63C38"/>
    <w:rsid w:val="00E63D07"/>
    <w:rsid w:val="00E63E93"/>
    <w:rsid w:val="00E63EA2"/>
    <w:rsid w:val="00E63EF2"/>
    <w:rsid w:val="00E64125"/>
    <w:rsid w:val="00E64161"/>
    <w:rsid w:val="00E641F2"/>
    <w:rsid w:val="00E64224"/>
    <w:rsid w:val="00E64239"/>
    <w:rsid w:val="00E64338"/>
    <w:rsid w:val="00E644D0"/>
    <w:rsid w:val="00E64572"/>
    <w:rsid w:val="00E6490C"/>
    <w:rsid w:val="00E6498D"/>
    <w:rsid w:val="00E649C0"/>
    <w:rsid w:val="00E649D4"/>
    <w:rsid w:val="00E64A8E"/>
    <w:rsid w:val="00E64ADF"/>
    <w:rsid w:val="00E64B19"/>
    <w:rsid w:val="00E64D0E"/>
    <w:rsid w:val="00E64D9C"/>
    <w:rsid w:val="00E64DE3"/>
    <w:rsid w:val="00E64E5B"/>
    <w:rsid w:val="00E64E5E"/>
    <w:rsid w:val="00E64E77"/>
    <w:rsid w:val="00E64F35"/>
    <w:rsid w:val="00E64FDA"/>
    <w:rsid w:val="00E64FF0"/>
    <w:rsid w:val="00E65009"/>
    <w:rsid w:val="00E6508C"/>
    <w:rsid w:val="00E650ED"/>
    <w:rsid w:val="00E65456"/>
    <w:rsid w:val="00E65566"/>
    <w:rsid w:val="00E6588D"/>
    <w:rsid w:val="00E658A6"/>
    <w:rsid w:val="00E658F7"/>
    <w:rsid w:val="00E65905"/>
    <w:rsid w:val="00E65910"/>
    <w:rsid w:val="00E6597B"/>
    <w:rsid w:val="00E65A1E"/>
    <w:rsid w:val="00E65ADF"/>
    <w:rsid w:val="00E65B15"/>
    <w:rsid w:val="00E65B2B"/>
    <w:rsid w:val="00E65B4D"/>
    <w:rsid w:val="00E65B58"/>
    <w:rsid w:val="00E65B8D"/>
    <w:rsid w:val="00E65CA9"/>
    <w:rsid w:val="00E65CC8"/>
    <w:rsid w:val="00E65CEA"/>
    <w:rsid w:val="00E65D33"/>
    <w:rsid w:val="00E65D41"/>
    <w:rsid w:val="00E65D91"/>
    <w:rsid w:val="00E65E43"/>
    <w:rsid w:val="00E65EC5"/>
    <w:rsid w:val="00E65F71"/>
    <w:rsid w:val="00E65FE1"/>
    <w:rsid w:val="00E65FE8"/>
    <w:rsid w:val="00E66031"/>
    <w:rsid w:val="00E660C2"/>
    <w:rsid w:val="00E6610B"/>
    <w:rsid w:val="00E66150"/>
    <w:rsid w:val="00E66165"/>
    <w:rsid w:val="00E661D7"/>
    <w:rsid w:val="00E66215"/>
    <w:rsid w:val="00E662A2"/>
    <w:rsid w:val="00E662B7"/>
    <w:rsid w:val="00E66358"/>
    <w:rsid w:val="00E6637B"/>
    <w:rsid w:val="00E66417"/>
    <w:rsid w:val="00E66489"/>
    <w:rsid w:val="00E665AE"/>
    <w:rsid w:val="00E66652"/>
    <w:rsid w:val="00E666A1"/>
    <w:rsid w:val="00E666DC"/>
    <w:rsid w:val="00E6672A"/>
    <w:rsid w:val="00E66765"/>
    <w:rsid w:val="00E66935"/>
    <w:rsid w:val="00E66999"/>
    <w:rsid w:val="00E669A7"/>
    <w:rsid w:val="00E66BDF"/>
    <w:rsid w:val="00E66CC2"/>
    <w:rsid w:val="00E66CCE"/>
    <w:rsid w:val="00E66CF6"/>
    <w:rsid w:val="00E66D17"/>
    <w:rsid w:val="00E66D18"/>
    <w:rsid w:val="00E66DF3"/>
    <w:rsid w:val="00E66FA8"/>
    <w:rsid w:val="00E67005"/>
    <w:rsid w:val="00E67032"/>
    <w:rsid w:val="00E6709D"/>
    <w:rsid w:val="00E6709E"/>
    <w:rsid w:val="00E67247"/>
    <w:rsid w:val="00E672B1"/>
    <w:rsid w:val="00E67327"/>
    <w:rsid w:val="00E673C3"/>
    <w:rsid w:val="00E673ED"/>
    <w:rsid w:val="00E673F3"/>
    <w:rsid w:val="00E6746C"/>
    <w:rsid w:val="00E6747A"/>
    <w:rsid w:val="00E67490"/>
    <w:rsid w:val="00E67492"/>
    <w:rsid w:val="00E6753D"/>
    <w:rsid w:val="00E675AB"/>
    <w:rsid w:val="00E675F2"/>
    <w:rsid w:val="00E6764F"/>
    <w:rsid w:val="00E67720"/>
    <w:rsid w:val="00E67954"/>
    <w:rsid w:val="00E67975"/>
    <w:rsid w:val="00E679B8"/>
    <w:rsid w:val="00E679C6"/>
    <w:rsid w:val="00E679D7"/>
    <w:rsid w:val="00E679DE"/>
    <w:rsid w:val="00E679E6"/>
    <w:rsid w:val="00E67ACF"/>
    <w:rsid w:val="00E67B1E"/>
    <w:rsid w:val="00E67B43"/>
    <w:rsid w:val="00E67C18"/>
    <w:rsid w:val="00E67CC4"/>
    <w:rsid w:val="00E67E1E"/>
    <w:rsid w:val="00E67F29"/>
    <w:rsid w:val="00E67F48"/>
    <w:rsid w:val="00E67F58"/>
    <w:rsid w:val="00E67F74"/>
    <w:rsid w:val="00E7002D"/>
    <w:rsid w:val="00E700C3"/>
    <w:rsid w:val="00E700C9"/>
    <w:rsid w:val="00E70122"/>
    <w:rsid w:val="00E701A2"/>
    <w:rsid w:val="00E701E8"/>
    <w:rsid w:val="00E702D5"/>
    <w:rsid w:val="00E702DC"/>
    <w:rsid w:val="00E703AC"/>
    <w:rsid w:val="00E703AD"/>
    <w:rsid w:val="00E703DB"/>
    <w:rsid w:val="00E704B2"/>
    <w:rsid w:val="00E705AF"/>
    <w:rsid w:val="00E706DF"/>
    <w:rsid w:val="00E706E3"/>
    <w:rsid w:val="00E70756"/>
    <w:rsid w:val="00E707F5"/>
    <w:rsid w:val="00E7081D"/>
    <w:rsid w:val="00E70837"/>
    <w:rsid w:val="00E70889"/>
    <w:rsid w:val="00E708D6"/>
    <w:rsid w:val="00E708E3"/>
    <w:rsid w:val="00E70931"/>
    <w:rsid w:val="00E709A5"/>
    <w:rsid w:val="00E70A49"/>
    <w:rsid w:val="00E70CA5"/>
    <w:rsid w:val="00E70D03"/>
    <w:rsid w:val="00E70D3C"/>
    <w:rsid w:val="00E70D6F"/>
    <w:rsid w:val="00E70DB8"/>
    <w:rsid w:val="00E70E31"/>
    <w:rsid w:val="00E70E96"/>
    <w:rsid w:val="00E70EDF"/>
    <w:rsid w:val="00E70EE7"/>
    <w:rsid w:val="00E70F0E"/>
    <w:rsid w:val="00E70F25"/>
    <w:rsid w:val="00E70F9A"/>
    <w:rsid w:val="00E70FBA"/>
    <w:rsid w:val="00E710FC"/>
    <w:rsid w:val="00E710FD"/>
    <w:rsid w:val="00E7110F"/>
    <w:rsid w:val="00E7119D"/>
    <w:rsid w:val="00E711BE"/>
    <w:rsid w:val="00E711FE"/>
    <w:rsid w:val="00E71352"/>
    <w:rsid w:val="00E7137B"/>
    <w:rsid w:val="00E71415"/>
    <w:rsid w:val="00E71451"/>
    <w:rsid w:val="00E71467"/>
    <w:rsid w:val="00E714C4"/>
    <w:rsid w:val="00E71510"/>
    <w:rsid w:val="00E71536"/>
    <w:rsid w:val="00E71573"/>
    <w:rsid w:val="00E71648"/>
    <w:rsid w:val="00E71705"/>
    <w:rsid w:val="00E71781"/>
    <w:rsid w:val="00E71794"/>
    <w:rsid w:val="00E717CA"/>
    <w:rsid w:val="00E717F4"/>
    <w:rsid w:val="00E718E6"/>
    <w:rsid w:val="00E7196F"/>
    <w:rsid w:val="00E71999"/>
    <w:rsid w:val="00E7199E"/>
    <w:rsid w:val="00E719C1"/>
    <w:rsid w:val="00E71A2B"/>
    <w:rsid w:val="00E71B4F"/>
    <w:rsid w:val="00E71C94"/>
    <w:rsid w:val="00E71DF8"/>
    <w:rsid w:val="00E71E47"/>
    <w:rsid w:val="00E71E62"/>
    <w:rsid w:val="00E71E80"/>
    <w:rsid w:val="00E71FE9"/>
    <w:rsid w:val="00E72042"/>
    <w:rsid w:val="00E7205A"/>
    <w:rsid w:val="00E720A2"/>
    <w:rsid w:val="00E721AE"/>
    <w:rsid w:val="00E721C9"/>
    <w:rsid w:val="00E7220A"/>
    <w:rsid w:val="00E72230"/>
    <w:rsid w:val="00E72256"/>
    <w:rsid w:val="00E72280"/>
    <w:rsid w:val="00E72307"/>
    <w:rsid w:val="00E7233D"/>
    <w:rsid w:val="00E72354"/>
    <w:rsid w:val="00E7238B"/>
    <w:rsid w:val="00E723A3"/>
    <w:rsid w:val="00E723B2"/>
    <w:rsid w:val="00E723FD"/>
    <w:rsid w:val="00E7240C"/>
    <w:rsid w:val="00E7240F"/>
    <w:rsid w:val="00E7241A"/>
    <w:rsid w:val="00E7245C"/>
    <w:rsid w:val="00E7256F"/>
    <w:rsid w:val="00E72640"/>
    <w:rsid w:val="00E726C4"/>
    <w:rsid w:val="00E726EF"/>
    <w:rsid w:val="00E72777"/>
    <w:rsid w:val="00E7281F"/>
    <w:rsid w:val="00E7284F"/>
    <w:rsid w:val="00E72859"/>
    <w:rsid w:val="00E728A1"/>
    <w:rsid w:val="00E7296D"/>
    <w:rsid w:val="00E729D9"/>
    <w:rsid w:val="00E72B3B"/>
    <w:rsid w:val="00E72B73"/>
    <w:rsid w:val="00E72B74"/>
    <w:rsid w:val="00E72C7F"/>
    <w:rsid w:val="00E72D5C"/>
    <w:rsid w:val="00E72DB1"/>
    <w:rsid w:val="00E72EFE"/>
    <w:rsid w:val="00E730F8"/>
    <w:rsid w:val="00E73257"/>
    <w:rsid w:val="00E732BF"/>
    <w:rsid w:val="00E732EF"/>
    <w:rsid w:val="00E73332"/>
    <w:rsid w:val="00E73359"/>
    <w:rsid w:val="00E733F1"/>
    <w:rsid w:val="00E7343C"/>
    <w:rsid w:val="00E73446"/>
    <w:rsid w:val="00E7345F"/>
    <w:rsid w:val="00E73596"/>
    <w:rsid w:val="00E7359C"/>
    <w:rsid w:val="00E7362A"/>
    <w:rsid w:val="00E73684"/>
    <w:rsid w:val="00E7368B"/>
    <w:rsid w:val="00E7368C"/>
    <w:rsid w:val="00E737E3"/>
    <w:rsid w:val="00E73839"/>
    <w:rsid w:val="00E738D7"/>
    <w:rsid w:val="00E73907"/>
    <w:rsid w:val="00E73A07"/>
    <w:rsid w:val="00E73A9E"/>
    <w:rsid w:val="00E73BDA"/>
    <w:rsid w:val="00E73C7E"/>
    <w:rsid w:val="00E73EC4"/>
    <w:rsid w:val="00E73ED0"/>
    <w:rsid w:val="00E73ED4"/>
    <w:rsid w:val="00E73EDB"/>
    <w:rsid w:val="00E73F99"/>
    <w:rsid w:val="00E74041"/>
    <w:rsid w:val="00E74075"/>
    <w:rsid w:val="00E740AD"/>
    <w:rsid w:val="00E74162"/>
    <w:rsid w:val="00E741B6"/>
    <w:rsid w:val="00E741D2"/>
    <w:rsid w:val="00E741D4"/>
    <w:rsid w:val="00E74303"/>
    <w:rsid w:val="00E743AC"/>
    <w:rsid w:val="00E743E1"/>
    <w:rsid w:val="00E74460"/>
    <w:rsid w:val="00E7456C"/>
    <w:rsid w:val="00E74597"/>
    <w:rsid w:val="00E7463C"/>
    <w:rsid w:val="00E74700"/>
    <w:rsid w:val="00E74730"/>
    <w:rsid w:val="00E74735"/>
    <w:rsid w:val="00E74801"/>
    <w:rsid w:val="00E74804"/>
    <w:rsid w:val="00E74835"/>
    <w:rsid w:val="00E74849"/>
    <w:rsid w:val="00E7489B"/>
    <w:rsid w:val="00E748B4"/>
    <w:rsid w:val="00E748E6"/>
    <w:rsid w:val="00E7490D"/>
    <w:rsid w:val="00E7493B"/>
    <w:rsid w:val="00E7493C"/>
    <w:rsid w:val="00E749FD"/>
    <w:rsid w:val="00E74B76"/>
    <w:rsid w:val="00E74C00"/>
    <w:rsid w:val="00E74C0D"/>
    <w:rsid w:val="00E74C45"/>
    <w:rsid w:val="00E74C6D"/>
    <w:rsid w:val="00E74CAC"/>
    <w:rsid w:val="00E74D58"/>
    <w:rsid w:val="00E74DAC"/>
    <w:rsid w:val="00E74DB1"/>
    <w:rsid w:val="00E74DEA"/>
    <w:rsid w:val="00E74E0D"/>
    <w:rsid w:val="00E74F1E"/>
    <w:rsid w:val="00E74F2E"/>
    <w:rsid w:val="00E74FB0"/>
    <w:rsid w:val="00E74FDA"/>
    <w:rsid w:val="00E75085"/>
    <w:rsid w:val="00E750B5"/>
    <w:rsid w:val="00E75194"/>
    <w:rsid w:val="00E7520A"/>
    <w:rsid w:val="00E752A5"/>
    <w:rsid w:val="00E75394"/>
    <w:rsid w:val="00E753BC"/>
    <w:rsid w:val="00E753EC"/>
    <w:rsid w:val="00E7543F"/>
    <w:rsid w:val="00E75523"/>
    <w:rsid w:val="00E75586"/>
    <w:rsid w:val="00E755E3"/>
    <w:rsid w:val="00E75600"/>
    <w:rsid w:val="00E75742"/>
    <w:rsid w:val="00E7574F"/>
    <w:rsid w:val="00E757A6"/>
    <w:rsid w:val="00E757F9"/>
    <w:rsid w:val="00E75894"/>
    <w:rsid w:val="00E758F6"/>
    <w:rsid w:val="00E7593C"/>
    <w:rsid w:val="00E75A99"/>
    <w:rsid w:val="00E75AAD"/>
    <w:rsid w:val="00E75AF8"/>
    <w:rsid w:val="00E75BBE"/>
    <w:rsid w:val="00E75BC9"/>
    <w:rsid w:val="00E75C19"/>
    <w:rsid w:val="00E75D11"/>
    <w:rsid w:val="00E75E2C"/>
    <w:rsid w:val="00E75EDB"/>
    <w:rsid w:val="00E7605B"/>
    <w:rsid w:val="00E76061"/>
    <w:rsid w:val="00E76081"/>
    <w:rsid w:val="00E76104"/>
    <w:rsid w:val="00E76117"/>
    <w:rsid w:val="00E76197"/>
    <w:rsid w:val="00E76299"/>
    <w:rsid w:val="00E762AF"/>
    <w:rsid w:val="00E76353"/>
    <w:rsid w:val="00E76369"/>
    <w:rsid w:val="00E76380"/>
    <w:rsid w:val="00E763AD"/>
    <w:rsid w:val="00E763BF"/>
    <w:rsid w:val="00E763C8"/>
    <w:rsid w:val="00E764DC"/>
    <w:rsid w:val="00E7652B"/>
    <w:rsid w:val="00E76602"/>
    <w:rsid w:val="00E76650"/>
    <w:rsid w:val="00E76674"/>
    <w:rsid w:val="00E766C4"/>
    <w:rsid w:val="00E766D7"/>
    <w:rsid w:val="00E7680F"/>
    <w:rsid w:val="00E7682E"/>
    <w:rsid w:val="00E768F9"/>
    <w:rsid w:val="00E76A55"/>
    <w:rsid w:val="00E76ACA"/>
    <w:rsid w:val="00E76AFF"/>
    <w:rsid w:val="00E76B0C"/>
    <w:rsid w:val="00E76B90"/>
    <w:rsid w:val="00E76BD3"/>
    <w:rsid w:val="00E76CDF"/>
    <w:rsid w:val="00E76DDE"/>
    <w:rsid w:val="00E76DE7"/>
    <w:rsid w:val="00E76EE3"/>
    <w:rsid w:val="00E76FEE"/>
    <w:rsid w:val="00E77127"/>
    <w:rsid w:val="00E771C9"/>
    <w:rsid w:val="00E771DD"/>
    <w:rsid w:val="00E771E8"/>
    <w:rsid w:val="00E771FE"/>
    <w:rsid w:val="00E77209"/>
    <w:rsid w:val="00E772A0"/>
    <w:rsid w:val="00E772A5"/>
    <w:rsid w:val="00E772D4"/>
    <w:rsid w:val="00E773C3"/>
    <w:rsid w:val="00E773D1"/>
    <w:rsid w:val="00E7746C"/>
    <w:rsid w:val="00E77567"/>
    <w:rsid w:val="00E77600"/>
    <w:rsid w:val="00E77636"/>
    <w:rsid w:val="00E77673"/>
    <w:rsid w:val="00E776E6"/>
    <w:rsid w:val="00E776F0"/>
    <w:rsid w:val="00E7770A"/>
    <w:rsid w:val="00E77749"/>
    <w:rsid w:val="00E777BE"/>
    <w:rsid w:val="00E777DC"/>
    <w:rsid w:val="00E77879"/>
    <w:rsid w:val="00E77883"/>
    <w:rsid w:val="00E7789E"/>
    <w:rsid w:val="00E778B9"/>
    <w:rsid w:val="00E77918"/>
    <w:rsid w:val="00E7799B"/>
    <w:rsid w:val="00E77A0D"/>
    <w:rsid w:val="00E77A43"/>
    <w:rsid w:val="00E77A81"/>
    <w:rsid w:val="00E77B27"/>
    <w:rsid w:val="00E77B2B"/>
    <w:rsid w:val="00E77BD0"/>
    <w:rsid w:val="00E77BD3"/>
    <w:rsid w:val="00E77BFC"/>
    <w:rsid w:val="00E77D93"/>
    <w:rsid w:val="00E77E6C"/>
    <w:rsid w:val="00E77FEF"/>
    <w:rsid w:val="00E80029"/>
    <w:rsid w:val="00E800DA"/>
    <w:rsid w:val="00E80130"/>
    <w:rsid w:val="00E80179"/>
    <w:rsid w:val="00E801BF"/>
    <w:rsid w:val="00E801D7"/>
    <w:rsid w:val="00E8024B"/>
    <w:rsid w:val="00E80261"/>
    <w:rsid w:val="00E802DB"/>
    <w:rsid w:val="00E803DE"/>
    <w:rsid w:val="00E803E8"/>
    <w:rsid w:val="00E8042B"/>
    <w:rsid w:val="00E80529"/>
    <w:rsid w:val="00E80534"/>
    <w:rsid w:val="00E80548"/>
    <w:rsid w:val="00E8070D"/>
    <w:rsid w:val="00E80753"/>
    <w:rsid w:val="00E807BD"/>
    <w:rsid w:val="00E807CA"/>
    <w:rsid w:val="00E80896"/>
    <w:rsid w:val="00E808E9"/>
    <w:rsid w:val="00E8099D"/>
    <w:rsid w:val="00E809A9"/>
    <w:rsid w:val="00E809C2"/>
    <w:rsid w:val="00E809D4"/>
    <w:rsid w:val="00E80A68"/>
    <w:rsid w:val="00E80B5F"/>
    <w:rsid w:val="00E80BDC"/>
    <w:rsid w:val="00E80C7B"/>
    <w:rsid w:val="00E80E35"/>
    <w:rsid w:val="00E80E4B"/>
    <w:rsid w:val="00E80E8C"/>
    <w:rsid w:val="00E80E9A"/>
    <w:rsid w:val="00E80EEF"/>
    <w:rsid w:val="00E80F10"/>
    <w:rsid w:val="00E80F89"/>
    <w:rsid w:val="00E80FF2"/>
    <w:rsid w:val="00E8105B"/>
    <w:rsid w:val="00E81061"/>
    <w:rsid w:val="00E810B7"/>
    <w:rsid w:val="00E81118"/>
    <w:rsid w:val="00E81197"/>
    <w:rsid w:val="00E811CD"/>
    <w:rsid w:val="00E811D0"/>
    <w:rsid w:val="00E81302"/>
    <w:rsid w:val="00E8130F"/>
    <w:rsid w:val="00E81403"/>
    <w:rsid w:val="00E8146C"/>
    <w:rsid w:val="00E815BC"/>
    <w:rsid w:val="00E8162C"/>
    <w:rsid w:val="00E816B0"/>
    <w:rsid w:val="00E817F7"/>
    <w:rsid w:val="00E8188E"/>
    <w:rsid w:val="00E818DF"/>
    <w:rsid w:val="00E8192C"/>
    <w:rsid w:val="00E81945"/>
    <w:rsid w:val="00E819A3"/>
    <w:rsid w:val="00E81A6B"/>
    <w:rsid w:val="00E81A92"/>
    <w:rsid w:val="00E81AFB"/>
    <w:rsid w:val="00E81B0D"/>
    <w:rsid w:val="00E81B5E"/>
    <w:rsid w:val="00E81B81"/>
    <w:rsid w:val="00E81BF5"/>
    <w:rsid w:val="00E81D06"/>
    <w:rsid w:val="00E81DCB"/>
    <w:rsid w:val="00E81E1B"/>
    <w:rsid w:val="00E81ED8"/>
    <w:rsid w:val="00E81FA3"/>
    <w:rsid w:val="00E82064"/>
    <w:rsid w:val="00E82142"/>
    <w:rsid w:val="00E82174"/>
    <w:rsid w:val="00E8218C"/>
    <w:rsid w:val="00E821B5"/>
    <w:rsid w:val="00E8226C"/>
    <w:rsid w:val="00E8227D"/>
    <w:rsid w:val="00E822D4"/>
    <w:rsid w:val="00E8232C"/>
    <w:rsid w:val="00E823B7"/>
    <w:rsid w:val="00E8243A"/>
    <w:rsid w:val="00E82654"/>
    <w:rsid w:val="00E826B6"/>
    <w:rsid w:val="00E826C1"/>
    <w:rsid w:val="00E826CF"/>
    <w:rsid w:val="00E82750"/>
    <w:rsid w:val="00E828D6"/>
    <w:rsid w:val="00E8292C"/>
    <w:rsid w:val="00E829A8"/>
    <w:rsid w:val="00E82A63"/>
    <w:rsid w:val="00E82A6D"/>
    <w:rsid w:val="00E82C41"/>
    <w:rsid w:val="00E82C67"/>
    <w:rsid w:val="00E82D35"/>
    <w:rsid w:val="00E82D8D"/>
    <w:rsid w:val="00E82D93"/>
    <w:rsid w:val="00E82DDD"/>
    <w:rsid w:val="00E82E5A"/>
    <w:rsid w:val="00E82E98"/>
    <w:rsid w:val="00E82F17"/>
    <w:rsid w:val="00E82F85"/>
    <w:rsid w:val="00E82FC7"/>
    <w:rsid w:val="00E83046"/>
    <w:rsid w:val="00E83110"/>
    <w:rsid w:val="00E8329B"/>
    <w:rsid w:val="00E833FC"/>
    <w:rsid w:val="00E83480"/>
    <w:rsid w:val="00E83559"/>
    <w:rsid w:val="00E8356D"/>
    <w:rsid w:val="00E83617"/>
    <w:rsid w:val="00E83644"/>
    <w:rsid w:val="00E838E3"/>
    <w:rsid w:val="00E83907"/>
    <w:rsid w:val="00E839C0"/>
    <w:rsid w:val="00E83AC0"/>
    <w:rsid w:val="00E83AF0"/>
    <w:rsid w:val="00E83AF5"/>
    <w:rsid w:val="00E83B94"/>
    <w:rsid w:val="00E83BB5"/>
    <w:rsid w:val="00E83CB3"/>
    <w:rsid w:val="00E83D21"/>
    <w:rsid w:val="00E83D44"/>
    <w:rsid w:val="00E83D7A"/>
    <w:rsid w:val="00E83E66"/>
    <w:rsid w:val="00E83F0F"/>
    <w:rsid w:val="00E83FB6"/>
    <w:rsid w:val="00E83FDB"/>
    <w:rsid w:val="00E83FEA"/>
    <w:rsid w:val="00E8407A"/>
    <w:rsid w:val="00E840D4"/>
    <w:rsid w:val="00E840F3"/>
    <w:rsid w:val="00E8425A"/>
    <w:rsid w:val="00E8427D"/>
    <w:rsid w:val="00E84296"/>
    <w:rsid w:val="00E842A5"/>
    <w:rsid w:val="00E842A9"/>
    <w:rsid w:val="00E842AB"/>
    <w:rsid w:val="00E8431C"/>
    <w:rsid w:val="00E84352"/>
    <w:rsid w:val="00E843FF"/>
    <w:rsid w:val="00E84407"/>
    <w:rsid w:val="00E84515"/>
    <w:rsid w:val="00E84596"/>
    <w:rsid w:val="00E845DE"/>
    <w:rsid w:val="00E84699"/>
    <w:rsid w:val="00E847DE"/>
    <w:rsid w:val="00E847F1"/>
    <w:rsid w:val="00E84866"/>
    <w:rsid w:val="00E84871"/>
    <w:rsid w:val="00E848A8"/>
    <w:rsid w:val="00E84A0D"/>
    <w:rsid w:val="00E84AE2"/>
    <w:rsid w:val="00E84C7E"/>
    <w:rsid w:val="00E84DF6"/>
    <w:rsid w:val="00E84E02"/>
    <w:rsid w:val="00E84EE8"/>
    <w:rsid w:val="00E84EFE"/>
    <w:rsid w:val="00E84F8D"/>
    <w:rsid w:val="00E84FC4"/>
    <w:rsid w:val="00E85032"/>
    <w:rsid w:val="00E85088"/>
    <w:rsid w:val="00E8508D"/>
    <w:rsid w:val="00E85121"/>
    <w:rsid w:val="00E85149"/>
    <w:rsid w:val="00E852A3"/>
    <w:rsid w:val="00E85336"/>
    <w:rsid w:val="00E853FD"/>
    <w:rsid w:val="00E853FF"/>
    <w:rsid w:val="00E85413"/>
    <w:rsid w:val="00E85437"/>
    <w:rsid w:val="00E854F9"/>
    <w:rsid w:val="00E8562F"/>
    <w:rsid w:val="00E857F9"/>
    <w:rsid w:val="00E85831"/>
    <w:rsid w:val="00E858BB"/>
    <w:rsid w:val="00E858BE"/>
    <w:rsid w:val="00E858CC"/>
    <w:rsid w:val="00E8590F"/>
    <w:rsid w:val="00E85918"/>
    <w:rsid w:val="00E85A05"/>
    <w:rsid w:val="00E85B07"/>
    <w:rsid w:val="00E85C6D"/>
    <w:rsid w:val="00E85E15"/>
    <w:rsid w:val="00E85E1A"/>
    <w:rsid w:val="00E85EA9"/>
    <w:rsid w:val="00E85ECE"/>
    <w:rsid w:val="00E85F54"/>
    <w:rsid w:val="00E86001"/>
    <w:rsid w:val="00E860DA"/>
    <w:rsid w:val="00E86144"/>
    <w:rsid w:val="00E8616F"/>
    <w:rsid w:val="00E86244"/>
    <w:rsid w:val="00E862D0"/>
    <w:rsid w:val="00E863C4"/>
    <w:rsid w:val="00E8642A"/>
    <w:rsid w:val="00E8642C"/>
    <w:rsid w:val="00E865F6"/>
    <w:rsid w:val="00E8668E"/>
    <w:rsid w:val="00E86702"/>
    <w:rsid w:val="00E8673D"/>
    <w:rsid w:val="00E86810"/>
    <w:rsid w:val="00E86864"/>
    <w:rsid w:val="00E868A2"/>
    <w:rsid w:val="00E868DC"/>
    <w:rsid w:val="00E86951"/>
    <w:rsid w:val="00E86979"/>
    <w:rsid w:val="00E869A8"/>
    <w:rsid w:val="00E86A0D"/>
    <w:rsid w:val="00E86B06"/>
    <w:rsid w:val="00E86B29"/>
    <w:rsid w:val="00E86B35"/>
    <w:rsid w:val="00E86B6F"/>
    <w:rsid w:val="00E86BD8"/>
    <w:rsid w:val="00E86BD9"/>
    <w:rsid w:val="00E86C02"/>
    <w:rsid w:val="00E86D79"/>
    <w:rsid w:val="00E86DBF"/>
    <w:rsid w:val="00E86DE3"/>
    <w:rsid w:val="00E86DE6"/>
    <w:rsid w:val="00E86ED0"/>
    <w:rsid w:val="00E86F2B"/>
    <w:rsid w:val="00E86F57"/>
    <w:rsid w:val="00E871DB"/>
    <w:rsid w:val="00E871F3"/>
    <w:rsid w:val="00E87202"/>
    <w:rsid w:val="00E8722D"/>
    <w:rsid w:val="00E872BC"/>
    <w:rsid w:val="00E872BD"/>
    <w:rsid w:val="00E8732C"/>
    <w:rsid w:val="00E8738C"/>
    <w:rsid w:val="00E873B8"/>
    <w:rsid w:val="00E873F7"/>
    <w:rsid w:val="00E8748B"/>
    <w:rsid w:val="00E875C7"/>
    <w:rsid w:val="00E87613"/>
    <w:rsid w:val="00E876E4"/>
    <w:rsid w:val="00E8772A"/>
    <w:rsid w:val="00E87757"/>
    <w:rsid w:val="00E87799"/>
    <w:rsid w:val="00E8784C"/>
    <w:rsid w:val="00E878CF"/>
    <w:rsid w:val="00E878ED"/>
    <w:rsid w:val="00E87981"/>
    <w:rsid w:val="00E87A65"/>
    <w:rsid w:val="00E87A9D"/>
    <w:rsid w:val="00E87AAD"/>
    <w:rsid w:val="00E87BD4"/>
    <w:rsid w:val="00E87C05"/>
    <w:rsid w:val="00E87C0B"/>
    <w:rsid w:val="00E87E0F"/>
    <w:rsid w:val="00E87F9B"/>
    <w:rsid w:val="00E87FA7"/>
    <w:rsid w:val="00E901D4"/>
    <w:rsid w:val="00E9023B"/>
    <w:rsid w:val="00E902DC"/>
    <w:rsid w:val="00E90306"/>
    <w:rsid w:val="00E9038D"/>
    <w:rsid w:val="00E904D1"/>
    <w:rsid w:val="00E904D2"/>
    <w:rsid w:val="00E90756"/>
    <w:rsid w:val="00E90848"/>
    <w:rsid w:val="00E90885"/>
    <w:rsid w:val="00E908A8"/>
    <w:rsid w:val="00E908CA"/>
    <w:rsid w:val="00E90ACA"/>
    <w:rsid w:val="00E90C22"/>
    <w:rsid w:val="00E90CCD"/>
    <w:rsid w:val="00E90D13"/>
    <w:rsid w:val="00E90D28"/>
    <w:rsid w:val="00E90D51"/>
    <w:rsid w:val="00E90E21"/>
    <w:rsid w:val="00E90E48"/>
    <w:rsid w:val="00E91082"/>
    <w:rsid w:val="00E910F1"/>
    <w:rsid w:val="00E91164"/>
    <w:rsid w:val="00E91282"/>
    <w:rsid w:val="00E91329"/>
    <w:rsid w:val="00E9134D"/>
    <w:rsid w:val="00E9137E"/>
    <w:rsid w:val="00E91403"/>
    <w:rsid w:val="00E9144B"/>
    <w:rsid w:val="00E914BE"/>
    <w:rsid w:val="00E914F6"/>
    <w:rsid w:val="00E91554"/>
    <w:rsid w:val="00E915E3"/>
    <w:rsid w:val="00E915EB"/>
    <w:rsid w:val="00E91692"/>
    <w:rsid w:val="00E91737"/>
    <w:rsid w:val="00E91790"/>
    <w:rsid w:val="00E917D8"/>
    <w:rsid w:val="00E917EB"/>
    <w:rsid w:val="00E91809"/>
    <w:rsid w:val="00E9180E"/>
    <w:rsid w:val="00E91848"/>
    <w:rsid w:val="00E91850"/>
    <w:rsid w:val="00E91979"/>
    <w:rsid w:val="00E919EF"/>
    <w:rsid w:val="00E91A26"/>
    <w:rsid w:val="00E91A7F"/>
    <w:rsid w:val="00E91B2D"/>
    <w:rsid w:val="00E91B40"/>
    <w:rsid w:val="00E91B9D"/>
    <w:rsid w:val="00E91C06"/>
    <w:rsid w:val="00E91E14"/>
    <w:rsid w:val="00E91E2E"/>
    <w:rsid w:val="00E91E47"/>
    <w:rsid w:val="00E91F0C"/>
    <w:rsid w:val="00E91F0F"/>
    <w:rsid w:val="00E91F2B"/>
    <w:rsid w:val="00E91FD1"/>
    <w:rsid w:val="00E92032"/>
    <w:rsid w:val="00E9203D"/>
    <w:rsid w:val="00E920AB"/>
    <w:rsid w:val="00E920B7"/>
    <w:rsid w:val="00E920CD"/>
    <w:rsid w:val="00E92199"/>
    <w:rsid w:val="00E92207"/>
    <w:rsid w:val="00E9220C"/>
    <w:rsid w:val="00E922E1"/>
    <w:rsid w:val="00E92304"/>
    <w:rsid w:val="00E9234C"/>
    <w:rsid w:val="00E923F8"/>
    <w:rsid w:val="00E92459"/>
    <w:rsid w:val="00E92462"/>
    <w:rsid w:val="00E92478"/>
    <w:rsid w:val="00E924E7"/>
    <w:rsid w:val="00E924FD"/>
    <w:rsid w:val="00E92574"/>
    <w:rsid w:val="00E925B1"/>
    <w:rsid w:val="00E92643"/>
    <w:rsid w:val="00E9271D"/>
    <w:rsid w:val="00E92749"/>
    <w:rsid w:val="00E927B6"/>
    <w:rsid w:val="00E927D0"/>
    <w:rsid w:val="00E92805"/>
    <w:rsid w:val="00E92917"/>
    <w:rsid w:val="00E92958"/>
    <w:rsid w:val="00E92A0B"/>
    <w:rsid w:val="00E92A91"/>
    <w:rsid w:val="00E92AF0"/>
    <w:rsid w:val="00E92B33"/>
    <w:rsid w:val="00E92B88"/>
    <w:rsid w:val="00E92C1B"/>
    <w:rsid w:val="00E92DCD"/>
    <w:rsid w:val="00E92EA8"/>
    <w:rsid w:val="00E92F0E"/>
    <w:rsid w:val="00E92F26"/>
    <w:rsid w:val="00E93036"/>
    <w:rsid w:val="00E93062"/>
    <w:rsid w:val="00E930C6"/>
    <w:rsid w:val="00E930DA"/>
    <w:rsid w:val="00E93184"/>
    <w:rsid w:val="00E931D7"/>
    <w:rsid w:val="00E931EC"/>
    <w:rsid w:val="00E932F1"/>
    <w:rsid w:val="00E9333E"/>
    <w:rsid w:val="00E93363"/>
    <w:rsid w:val="00E93461"/>
    <w:rsid w:val="00E9356A"/>
    <w:rsid w:val="00E935AC"/>
    <w:rsid w:val="00E93670"/>
    <w:rsid w:val="00E936EB"/>
    <w:rsid w:val="00E93747"/>
    <w:rsid w:val="00E937DF"/>
    <w:rsid w:val="00E937E7"/>
    <w:rsid w:val="00E9394E"/>
    <w:rsid w:val="00E9399E"/>
    <w:rsid w:val="00E93B13"/>
    <w:rsid w:val="00E93B2B"/>
    <w:rsid w:val="00E93B88"/>
    <w:rsid w:val="00E93B89"/>
    <w:rsid w:val="00E93BE2"/>
    <w:rsid w:val="00E93BE6"/>
    <w:rsid w:val="00E93C06"/>
    <w:rsid w:val="00E93C2C"/>
    <w:rsid w:val="00E93D79"/>
    <w:rsid w:val="00E93DA7"/>
    <w:rsid w:val="00E93DCE"/>
    <w:rsid w:val="00E93DF2"/>
    <w:rsid w:val="00E93F95"/>
    <w:rsid w:val="00E93FA7"/>
    <w:rsid w:val="00E93FD0"/>
    <w:rsid w:val="00E94120"/>
    <w:rsid w:val="00E942CC"/>
    <w:rsid w:val="00E94306"/>
    <w:rsid w:val="00E94387"/>
    <w:rsid w:val="00E94403"/>
    <w:rsid w:val="00E9443E"/>
    <w:rsid w:val="00E944DB"/>
    <w:rsid w:val="00E94563"/>
    <w:rsid w:val="00E94583"/>
    <w:rsid w:val="00E945B5"/>
    <w:rsid w:val="00E9471A"/>
    <w:rsid w:val="00E947C6"/>
    <w:rsid w:val="00E947D2"/>
    <w:rsid w:val="00E9481D"/>
    <w:rsid w:val="00E9482E"/>
    <w:rsid w:val="00E948C7"/>
    <w:rsid w:val="00E948F7"/>
    <w:rsid w:val="00E94906"/>
    <w:rsid w:val="00E94918"/>
    <w:rsid w:val="00E94989"/>
    <w:rsid w:val="00E949C5"/>
    <w:rsid w:val="00E94A25"/>
    <w:rsid w:val="00E94A46"/>
    <w:rsid w:val="00E94B2F"/>
    <w:rsid w:val="00E94B90"/>
    <w:rsid w:val="00E94BE6"/>
    <w:rsid w:val="00E94C52"/>
    <w:rsid w:val="00E94D77"/>
    <w:rsid w:val="00E94D9B"/>
    <w:rsid w:val="00E94DAA"/>
    <w:rsid w:val="00E94EA9"/>
    <w:rsid w:val="00E94EAB"/>
    <w:rsid w:val="00E94F1C"/>
    <w:rsid w:val="00E94F6B"/>
    <w:rsid w:val="00E94F97"/>
    <w:rsid w:val="00E94FCD"/>
    <w:rsid w:val="00E95164"/>
    <w:rsid w:val="00E9521A"/>
    <w:rsid w:val="00E9521C"/>
    <w:rsid w:val="00E952B9"/>
    <w:rsid w:val="00E95380"/>
    <w:rsid w:val="00E95421"/>
    <w:rsid w:val="00E95573"/>
    <w:rsid w:val="00E95619"/>
    <w:rsid w:val="00E957EC"/>
    <w:rsid w:val="00E95952"/>
    <w:rsid w:val="00E95A0B"/>
    <w:rsid w:val="00E95A4B"/>
    <w:rsid w:val="00E95B09"/>
    <w:rsid w:val="00E95B78"/>
    <w:rsid w:val="00E95B80"/>
    <w:rsid w:val="00E95B86"/>
    <w:rsid w:val="00E95C08"/>
    <w:rsid w:val="00E95C15"/>
    <w:rsid w:val="00E95C54"/>
    <w:rsid w:val="00E95D2D"/>
    <w:rsid w:val="00E95DBB"/>
    <w:rsid w:val="00E95E56"/>
    <w:rsid w:val="00E95EA2"/>
    <w:rsid w:val="00E95EAE"/>
    <w:rsid w:val="00E95EB4"/>
    <w:rsid w:val="00E95F58"/>
    <w:rsid w:val="00E95F81"/>
    <w:rsid w:val="00E9600D"/>
    <w:rsid w:val="00E960C7"/>
    <w:rsid w:val="00E960C9"/>
    <w:rsid w:val="00E9625B"/>
    <w:rsid w:val="00E9632D"/>
    <w:rsid w:val="00E96359"/>
    <w:rsid w:val="00E96413"/>
    <w:rsid w:val="00E9647D"/>
    <w:rsid w:val="00E96502"/>
    <w:rsid w:val="00E966DF"/>
    <w:rsid w:val="00E967D4"/>
    <w:rsid w:val="00E96837"/>
    <w:rsid w:val="00E96845"/>
    <w:rsid w:val="00E968B3"/>
    <w:rsid w:val="00E96936"/>
    <w:rsid w:val="00E9698C"/>
    <w:rsid w:val="00E96A34"/>
    <w:rsid w:val="00E96A3B"/>
    <w:rsid w:val="00E96A57"/>
    <w:rsid w:val="00E96D04"/>
    <w:rsid w:val="00E96DCF"/>
    <w:rsid w:val="00E96E25"/>
    <w:rsid w:val="00E96E87"/>
    <w:rsid w:val="00E96E8F"/>
    <w:rsid w:val="00E96EE9"/>
    <w:rsid w:val="00E96F31"/>
    <w:rsid w:val="00E9702D"/>
    <w:rsid w:val="00E9709D"/>
    <w:rsid w:val="00E971DE"/>
    <w:rsid w:val="00E97207"/>
    <w:rsid w:val="00E9728A"/>
    <w:rsid w:val="00E97330"/>
    <w:rsid w:val="00E97343"/>
    <w:rsid w:val="00E9734F"/>
    <w:rsid w:val="00E97393"/>
    <w:rsid w:val="00E973C8"/>
    <w:rsid w:val="00E97475"/>
    <w:rsid w:val="00E974E0"/>
    <w:rsid w:val="00E97574"/>
    <w:rsid w:val="00E975E9"/>
    <w:rsid w:val="00E97635"/>
    <w:rsid w:val="00E977A4"/>
    <w:rsid w:val="00E9789B"/>
    <w:rsid w:val="00E97953"/>
    <w:rsid w:val="00E97A38"/>
    <w:rsid w:val="00E97A5F"/>
    <w:rsid w:val="00E97A71"/>
    <w:rsid w:val="00E97B50"/>
    <w:rsid w:val="00E97B74"/>
    <w:rsid w:val="00E97C7C"/>
    <w:rsid w:val="00E97C8B"/>
    <w:rsid w:val="00E97CD3"/>
    <w:rsid w:val="00E97D47"/>
    <w:rsid w:val="00E97DB7"/>
    <w:rsid w:val="00E97E27"/>
    <w:rsid w:val="00E97E4A"/>
    <w:rsid w:val="00E97E65"/>
    <w:rsid w:val="00E97E7F"/>
    <w:rsid w:val="00E97EC3"/>
    <w:rsid w:val="00E97EC7"/>
    <w:rsid w:val="00E97EE0"/>
    <w:rsid w:val="00EA0032"/>
    <w:rsid w:val="00EA00EE"/>
    <w:rsid w:val="00EA018E"/>
    <w:rsid w:val="00EA01CA"/>
    <w:rsid w:val="00EA0271"/>
    <w:rsid w:val="00EA032A"/>
    <w:rsid w:val="00EA0359"/>
    <w:rsid w:val="00EA03E3"/>
    <w:rsid w:val="00EA0508"/>
    <w:rsid w:val="00EA05C4"/>
    <w:rsid w:val="00EA05F3"/>
    <w:rsid w:val="00EA05FD"/>
    <w:rsid w:val="00EA069C"/>
    <w:rsid w:val="00EA073E"/>
    <w:rsid w:val="00EA0770"/>
    <w:rsid w:val="00EA07DE"/>
    <w:rsid w:val="00EA07E7"/>
    <w:rsid w:val="00EA084E"/>
    <w:rsid w:val="00EA08C4"/>
    <w:rsid w:val="00EA08DD"/>
    <w:rsid w:val="00EA08F6"/>
    <w:rsid w:val="00EA0AFD"/>
    <w:rsid w:val="00EA0B13"/>
    <w:rsid w:val="00EA0B70"/>
    <w:rsid w:val="00EA0B9F"/>
    <w:rsid w:val="00EA0BEA"/>
    <w:rsid w:val="00EA0C37"/>
    <w:rsid w:val="00EA0C68"/>
    <w:rsid w:val="00EA0C7D"/>
    <w:rsid w:val="00EA0E83"/>
    <w:rsid w:val="00EA0EFE"/>
    <w:rsid w:val="00EA0F03"/>
    <w:rsid w:val="00EA0F16"/>
    <w:rsid w:val="00EA0F3D"/>
    <w:rsid w:val="00EA0F44"/>
    <w:rsid w:val="00EA0FB6"/>
    <w:rsid w:val="00EA1022"/>
    <w:rsid w:val="00EA10BE"/>
    <w:rsid w:val="00EA10E2"/>
    <w:rsid w:val="00EA11B5"/>
    <w:rsid w:val="00EA120C"/>
    <w:rsid w:val="00EA12E4"/>
    <w:rsid w:val="00EA1388"/>
    <w:rsid w:val="00EA140C"/>
    <w:rsid w:val="00EA14E0"/>
    <w:rsid w:val="00EA1532"/>
    <w:rsid w:val="00EA1538"/>
    <w:rsid w:val="00EA15C2"/>
    <w:rsid w:val="00EA170B"/>
    <w:rsid w:val="00EA1730"/>
    <w:rsid w:val="00EA185E"/>
    <w:rsid w:val="00EA18C3"/>
    <w:rsid w:val="00EA195A"/>
    <w:rsid w:val="00EA19B7"/>
    <w:rsid w:val="00EA1B12"/>
    <w:rsid w:val="00EA1B88"/>
    <w:rsid w:val="00EA1BA0"/>
    <w:rsid w:val="00EA1C50"/>
    <w:rsid w:val="00EA1C8C"/>
    <w:rsid w:val="00EA1CD6"/>
    <w:rsid w:val="00EA1CD8"/>
    <w:rsid w:val="00EA1D33"/>
    <w:rsid w:val="00EA1D6B"/>
    <w:rsid w:val="00EA1DF5"/>
    <w:rsid w:val="00EA1E10"/>
    <w:rsid w:val="00EA1E73"/>
    <w:rsid w:val="00EA1F8C"/>
    <w:rsid w:val="00EA1FA1"/>
    <w:rsid w:val="00EA20FF"/>
    <w:rsid w:val="00EA215A"/>
    <w:rsid w:val="00EA216D"/>
    <w:rsid w:val="00EA2231"/>
    <w:rsid w:val="00EA22B0"/>
    <w:rsid w:val="00EA24C8"/>
    <w:rsid w:val="00EA24FD"/>
    <w:rsid w:val="00EA2515"/>
    <w:rsid w:val="00EA25CB"/>
    <w:rsid w:val="00EA2603"/>
    <w:rsid w:val="00EA2628"/>
    <w:rsid w:val="00EA267E"/>
    <w:rsid w:val="00EA2697"/>
    <w:rsid w:val="00EA2810"/>
    <w:rsid w:val="00EA287F"/>
    <w:rsid w:val="00EA2887"/>
    <w:rsid w:val="00EA2939"/>
    <w:rsid w:val="00EA29B6"/>
    <w:rsid w:val="00EA2A62"/>
    <w:rsid w:val="00EA2A77"/>
    <w:rsid w:val="00EA2AFC"/>
    <w:rsid w:val="00EA2BE9"/>
    <w:rsid w:val="00EA2C52"/>
    <w:rsid w:val="00EA2CB8"/>
    <w:rsid w:val="00EA2D09"/>
    <w:rsid w:val="00EA2D0D"/>
    <w:rsid w:val="00EA2D54"/>
    <w:rsid w:val="00EA2DD6"/>
    <w:rsid w:val="00EA2E16"/>
    <w:rsid w:val="00EA2E18"/>
    <w:rsid w:val="00EA2F44"/>
    <w:rsid w:val="00EA2F6C"/>
    <w:rsid w:val="00EA3033"/>
    <w:rsid w:val="00EA3051"/>
    <w:rsid w:val="00EA305B"/>
    <w:rsid w:val="00EA30A8"/>
    <w:rsid w:val="00EA30FC"/>
    <w:rsid w:val="00EA3125"/>
    <w:rsid w:val="00EA3141"/>
    <w:rsid w:val="00EA3186"/>
    <w:rsid w:val="00EA3262"/>
    <w:rsid w:val="00EA32AF"/>
    <w:rsid w:val="00EA3324"/>
    <w:rsid w:val="00EA33EB"/>
    <w:rsid w:val="00EA33ED"/>
    <w:rsid w:val="00EA34F0"/>
    <w:rsid w:val="00EA3539"/>
    <w:rsid w:val="00EA358A"/>
    <w:rsid w:val="00EA35E0"/>
    <w:rsid w:val="00EA35E9"/>
    <w:rsid w:val="00EA35EC"/>
    <w:rsid w:val="00EA3622"/>
    <w:rsid w:val="00EA3708"/>
    <w:rsid w:val="00EA379C"/>
    <w:rsid w:val="00EA384F"/>
    <w:rsid w:val="00EA387D"/>
    <w:rsid w:val="00EA39C5"/>
    <w:rsid w:val="00EA3AA6"/>
    <w:rsid w:val="00EA3AFD"/>
    <w:rsid w:val="00EA3BF6"/>
    <w:rsid w:val="00EA3C14"/>
    <w:rsid w:val="00EA3D32"/>
    <w:rsid w:val="00EA3DA2"/>
    <w:rsid w:val="00EA3E03"/>
    <w:rsid w:val="00EA3E4B"/>
    <w:rsid w:val="00EA3E51"/>
    <w:rsid w:val="00EA3F95"/>
    <w:rsid w:val="00EA400A"/>
    <w:rsid w:val="00EA4012"/>
    <w:rsid w:val="00EA4041"/>
    <w:rsid w:val="00EA4084"/>
    <w:rsid w:val="00EA40D3"/>
    <w:rsid w:val="00EA419A"/>
    <w:rsid w:val="00EA41CF"/>
    <w:rsid w:val="00EA41F8"/>
    <w:rsid w:val="00EA4290"/>
    <w:rsid w:val="00EA42DA"/>
    <w:rsid w:val="00EA4350"/>
    <w:rsid w:val="00EA43D9"/>
    <w:rsid w:val="00EA4453"/>
    <w:rsid w:val="00EA4478"/>
    <w:rsid w:val="00EA447F"/>
    <w:rsid w:val="00EA4487"/>
    <w:rsid w:val="00EA4571"/>
    <w:rsid w:val="00EA45ED"/>
    <w:rsid w:val="00EA4A0D"/>
    <w:rsid w:val="00EA4A47"/>
    <w:rsid w:val="00EA4AD4"/>
    <w:rsid w:val="00EA4BCB"/>
    <w:rsid w:val="00EA4C0D"/>
    <w:rsid w:val="00EA4C97"/>
    <w:rsid w:val="00EA4C9A"/>
    <w:rsid w:val="00EA4DF3"/>
    <w:rsid w:val="00EA4FD7"/>
    <w:rsid w:val="00EA5036"/>
    <w:rsid w:val="00EA50B3"/>
    <w:rsid w:val="00EA50CB"/>
    <w:rsid w:val="00EA50DD"/>
    <w:rsid w:val="00EA5111"/>
    <w:rsid w:val="00EA5150"/>
    <w:rsid w:val="00EA5182"/>
    <w:rsid w:val="00EA51E1"/>
    <w:rsid w:val="00EA5219"/>
    <w:rsid w:val="00EA5261"/>
    <w:rsid w:val="00EA5297"/>
    <w:rsid w:val="00EA53B1"/>
    <w:rsid w:val="00EA53DA"/>
    <w:rsid w:val="00EA54E4"/>
    <w:rsid w:val="00EA554B"/>
    <w:rsid w:val="00EA556C"/>
    <w:rsid w:val="00EA5570"/>
    <w:rsid w:val="00EA55D8"/>
    <w:rsid w:val="00EA5602"/>
    <w:rsid w:val="00EA56A8"/>
    <w:rsid w:val="00EA574F"/>
    <w:rsid w:val="00EA5760"/>
    <w:rsid w:val="00EA57BE"/>
    <w:rsid w:val="00EA57F4"/>
    <w:rsid w:val="00EA5807"/>
    <w:rsid w:val="00EA581E"/>
    <w:rsid w:val="00EA58CD"/>
    <w:rsid w:val="00EA592F"/>
    <w:rsid w:val="00EA59CF"/>
    <w:rsid w:val="00EA59EA"/>
    <w:rsid w:val="00EA5A83"/>
    <w:rsid w:val="00EA5AC8"/>
    <w:rsid w:val="00EA5B05"/>
    <w:rsid w:val="00EA5B07"/>
    <w:rsid w:val="00EA5B0A"/>
    <w:rsid w:val="00EA5B30"/>
    <w:rsid w:val="00EA5B43"/>
    <w:rsid w:val="00EA5BA2"/>
    <w:rsid w:val="00EA5BB2"/>
    <w:rsid w:val="00EA5BBF"/>
    <w:rsid w:val="00EA5C4B"/>
    <w:rsid w:val="00EA5D48"/>
    <w:rsid w:val="00EA5EC2"/>
    <w:rsid w:val="00EA5F91"/>
    <w:rsid w:val="00EA600A"/>
    <w:rsid w:val="00EA6057"/>
    <w:rsid w:val="00EA6109"/>
    <w:rsid w:val="00EA6156"/>
    <w:rsid w:val="00EA61F3"/>
    <w:rsid w:val="00EA61F9"/>
    <w:rsid w:val="00EA65A9"/>
    <w:rsid w:val="00EA668E"/>
    <w:rsid w:val="00EA6696"/>
    <w:rsid w:val="00EA66CA"/>
    <w:rsid w:val="00EA6824"/>
    <w:rsid w:val="00EA6826"/>
    <w:rsid w:val="00EA6863"/>
    <w:rsid w:val="00EA6902"/>
    <w:rsid w:val="00EA69AF"/>
    <w:rsid w:val="00EA6A52"/>
    <w:rsid w:val="00EA6AAF"/>
    <w:rsid w:val="00EA6B3D"/>
    <w:rsid w:val="00EA6B89"/>
    <w:rsid w:val="00EA6B9E"/>
    <w:rsid w:val="00EA6C0D"/>
    <w:rsid w:val="00EA6C63"/>
    <w:rsid w:val="00EA6CC5"/>
    <w:rsid w:val="00EA6F08"/>
    <w:rsid w:val="00EA6F6F"/>
    <w:rsid w:val="00EA7005"/>
    <w:rsid w:val="00EA712D"/>
    <w:rsid w:val="00EA71BF"/>
    <w:rsid w:val="00EA72A4"/>
    <w:rsid w:val="00EA72DB"/>
    <w:rsid w:val="00EA7346"/>
    <w:rsid w:val="00EA736E"/>
    <w:rsid w:val="00EA744E"/>
    <w:rsid w:val="00EA7485"/>
    <w:rsid w:val="00EA7498"/>
    <w:rsid w:val="00EA7586"/>
    <w:rsid w:val="00EA75D2"/>
    <w:rsid w:val="00EA769C"/>
    <w:rsid w:val="00EA76E1"/>
    <w:rsid w:val="00EA76E7"/>
    <w:rsid w:val="00EA7732"/>
    <w:rsid w:val="00EA7750"/>
    <w:rsid w:val="00EA77C3"/>
    <w:rsid w:val="00EA7857"/>
    <w:rsid w:val="00EA78F8"/>
    <w:rsid w:val="00EA7A7F"/>
    <w:rsid w:val="00EA7AA3"/>
    <w:rsid w:val="00EA7B8F"/>
    <w:rsid w:val="00EA7CF6"/>
    <w:rsid w:val="00EA7CFC"/>
    <w:rsid w:val="00EA7DBD"/>
    <w:rsid w:val="00EA7E0B"/>
    <w:rsid w:val="00EA7F1D"/>
    <w:rsid w:val="00EA7F31"/>
    <w:rsid w:val="00EB0039"/>
    <w:rsid w:val="00EB0097"/>
    <w:rsid w:val="00EB00D1"/>
    <w:rsid w:val="00EB014C"/>
    <w:rsid w:val="00EB01AC"/>
    <w:rsid w:val="00EB0337"/>
    <w:rsid w:val="00EB0365"/>
    <w:rsid w:val="00EB0392"/>
    <w:rsid w:val="00EB0415"/>
    <w:rsid w:val="00EB05FC"/>
    <w:rsid w:val="00EB06A6"/>
    <w:rsid w:val="00EB08DD"/>
    <w:rsid w:val="00EB0B5E"/>
    <w:rsid w:val="00EB0D3A"/>
    <w:rsid w:val="00EB0D4A"/>
    <w:rsid w:val="00EB0D4C"/>
    <w:rsid w:val="00EB0D78"/>
    <w:rsid w:val="00EB0D90"/>
    <w:rsid w:val="00EB0DFD"/>
    <w:rsid w:val="00EB0E13"/>
    <w:rsid w:val="00EB0E1D"/>
    <w:rsid w:val="00EB1027"/>
    <w:rsid w:val="00EB1040"/>
    <w:rsid w:val="00EB1068"/>
    <w:rsid w:val="00EB10C7"/>
    <w:rsid w:val="00EB10CD"/>
    <w:rsid w:val="00EB11E2"/>
    <w:rsid w:val="00EB121D"/>
    <w:rsid w:val="00EB1220"/>
    <w:rsid w:val="00EB1394"/>
    <w:rsid w:val="00EB14C4"/>
    <w:rsid w:val="00EB1509"/>
    <w:rsid w:val="00EB1717"/>
    <w:rsid w:val="00EB1751"/>
    <w:rsid w:val="00EB1782"/>
    <w:rsid w:val="00EB189A"/>
    <w:rsid w:val="00EB19D4"/>
    <w:rsid w:val="00EB1A01"/>
    <w:rsid w:val="00EB1A4B"/>
    <w:rsid w:val="00EB1AB4"/>
    <w:rsid w:val="00EB1BFB"/>
    <w:rsid w:val="00EB1CAE"/>
    <w:rsid w:val="00EB1CB0"/>
    <w:rsid w:val="00EB1CC7"/>
    <w:rsid w:val="00EB1CCB"/>
    <w:rsid w:val="00EB1DFC"/>
    <w:rsid w:val="00EB1F24"/>
    <w:rsid w:val="00EB1FA0"/>
    <w:rsid w:val="00EB2016"/>
    <w:rsid w:val="00EB2078"/>
    <w:rsid w:val="00EB20F8"/>
    <w:rsid w:val="00EB21AC"/>
    <w:rsid w:val="00EB2222"/>
    <w:rsid w:val="00EB224F"/>
    <w:rsid w:val="00EB24A3"/>
    <w:rsid w:val="00EB24E4"/>
    <w:rsid w:val="00EB2533"/>
    <w:rsid w:val="00EB254C"/>
    <w:rsid w:val="00EB2553"/>
    <w:rsid w:val="00EB2635"/>
    <w:rsid w:val="00EB271C"/>
    <w:rsid w:val="00EB27CD"/>
    <w:rsid w:val="00EB2800"/>
    <w:rsid w:val="00EB288F"/>
    <w:rsid w:val="00EB2988"/>
    <w:rsid w:val="00EB2991"/>
    <w:rsid w:val="00EB29C6"/>
    <w:rsid w:val="00EB2A14"/>
    <w:rsid w:val="00EB2A84"/>
    <w:rsid w:val="00EB2A9D"/>
    <w:rsid w:val="00EB2AF4"/>
    <w:rsid w:val="00EB2B73"/>
    <w:rsid w:val="00EB2BD9"/>
    <w:rsid w:val="00EB2CD7"/>
    <w:rsid w:val="00EB2CF3"/>
    <w:rsid w:val="00EB2D39"/>
    <w:rsid w:val="00EB2D55"/>
    <w:rsid w:val="00EB2D6F"/>
    <w:rsid w:val="00EB2DE6"/>
    <w:rsid w:val="00EB2E5E"/>
    <w:rsid w:val="00EB2E6C"/>
    <w:rsid w:val="00EB2EC4"/>
    <w:rsid w:val="00EB2EFD"/>
    <w:rsid w:val="00EB2F01"/>
    <w:rsid w:val="00EB2F4A"/>
    <w:rsid w:val="00EB2F9C"/>
    <w:rsid w:val="00EB2FDA"/>
    <w:rsid w:val="00EB3091"/>
    <w:rsid w:val="00EB3153"/>
    <w:rsid w:val="00EB31D5"/>
    <w:rsid w:val="00EB31FF"/>
    <w:rsid w:val="00EB32EB"/>
    <w:rsid w:val="00EB33AC"/>
    <w:rsid w:val="00EB3439"/>
    <w:rsid w:val="00EB34DF"/>
    <w:rsid w:val="00EB357B"/>
    <w:rsid w:val="00EB3655"/>
    <w:rsid w:val="00EB36CD"/>
    <w:rsid w:val="00EB36EF"/>
    <w:rsid w:val="00EB3724"/>
    <w:rsid w:val="00EB3783"/>
    <w:rsid w:val="00EB385C"/>
    <w:rsid w:val="00EB388A"/>
    <w:rsid w:val="00EB388C"/>
    <w:rsid w:val="00EB38CD"/>
    <w:rsid w:val="00EB398B"/>
    <w:rsid w:val="00EB39F2"/>
    <w:rsid w:val="00EB3A52"/>
    <w:rsid w:val="00EB3A58"/>
    <w:rsid w:val="00EB3B40"/>
    <w:rsid w:val="00EB3BE7"/>
    <w:rsid w:val="00EB3C30"/>
    <w:rsid w:val="00EB3C4F"/>
    <w:rsid w:val="00EB3C78"/>
    <w:rsid w:val="00EB3CE5"/>
    <w:rsid w:val="00EB3DA4"/>
    <w:rsid w:val="00EB3DB5"/>
    <w:rsid w:val="00EB3DD3"/>
    <w:rsid w:val="00EB3DD5"/>
    <w:rsid w:val="00EB3F7D"/>
    <w:rsid w:val="00EB404E"/>
    <w:rsid w:val="00EB4063"/>
    <w:rsid w:val="00EB4086"/>
    <w:rsid w:val="00EB40B3"/>
    <w:rsid w:val="00EB413C"/>
    <w:rsid w:val="00EB4254"/>
    <w:rsid w:val="00EB431B"/>
    <w:rsid w:val="00EB432A"/>
    <w:rsid w:val="00EB436C"/>
    <w:rsid w:val="00EB43A5"/>
    <w:rsid w:val="00EB4408"/>
    <w:rsid w:val="00EB4462"/>
    <w:rsid w:val="00EB44EF"/>
    <w:rsid w:val="00EB44F3"/>
    <w:rsid w:val="00EB4506"/>
    <w:rsid w:val="00EB4583"/>
    <w:rsid w:val="00EB4596"/>
    <w:rsid w:val="00EB45DF"/>
    <w:rsid w:val="00EB46C2"/>
    <w:rsid w:val="00EB473D"/>
    <w:rsid w:val="00EB47B4"/>
    <w:rsid w:val="00EB47F2"/>
    <w:rsid w:val="00EB483B"/>
    <w:rsid w:val="00EB4894"/>
    <w:rsid w:val="00EB4936"/>
    <w:rsid w:val="00EB4A3D"/>
    <w:rsid w:val="00EB4B71"/>
    <w:rsid w:val="00EB4C1B"/>
    <w:rsid w:val="00EB4CC2"/>
    <w:rsid w:val="00EB4CF1"/>
    <w:rsid w:val="00EB4D69"/>
    <w:rsid w:val="00EB4E04"/>
    <w:rsid w:val="00EB4EC1"/>
    <w:rsid w:val="00EB4F0E"/>
    <w:rsid w:val="00EB4F43"/>
    <w:rsid w:val="00EB4FC2"/>
    <w:rsid w:val="00EB5252"/>
    <w:rsid w:val="00EB525C"/>
    <w:rsid w:val="00EB5276"/>
    <w:rsid w:val="00EB529F"/>
    <w:rsid w:val="00EB52D2"/>
    <w:rsid w:val="00EB52E2"/>
    <w:rsid w:val="00EB532E"/>
    <w:rsid w:val="00EB5399"/>
    <w:rsid w:val="00EB568C"/>
    <w:rsid w:val="00EB5698"/>
    <w:rsid w:val="00EB56B9"/>
    <w:rsid w:val="00EB56E4"/>
    <w:rsid w:val="00EB5741"/>
    <w:rsid w:val="00EB575C"/>
    <w:rsid w:val="00EB5796"/>
    <w:rsid w:val="00EB5909"/>
    <w:rsid w:val="00EB594E"/>
    <w:rsid w:val="00EB5978"/>
    <w:rsid w:val="00EB59EE"/>
    <w:rsid w:val="00EB5A9E"/>
    <w:rsid w:val="00EB5AC7"/>
    <w:rsid w:val="00EB5B31"/>
    <w:rsid w:val="00EB5CBA"/>
    <w:rsid w:val="00EB5D5C"/>
    <w:rsid w:val="00EB5D71"/>
    <w:rsid w:val="00EB5D7D"/>
    <w:rsid w:val="00EB5D97"/>
    <w:rsid w:val="00EB5DAB"/>
    <w:rsid w:val="00EB5DF3"/>
    <w:rsid w:val="00EB5E2E"/>
    <w:rsid w:val="00EB5E52"/>
    <w:rsid w:val="00EB5EA7"/>
    <w:rsid w:val="00EB5F5B"/>
    <w:rsid w:val="00EB602C"/>
    <w:rsid w:val="00EB6086"/>
    <w:rsid w:val="00EB60FD"/>
    <w:rsid w:val="00EB6142"/>
    <w:rsid w:val="00EB620E"/>
    <w:rsid w:val="00EB6216"/>
    <w:rsid w:val="00EB6227"/>
    <w:rsid w:val="00EB6239"/>
    <w:rsid w:val="00EB6283"/>
    <w:rsid w:val="00EB629B"/>
    <w:rsid w:val="00EB62A8"/>
    <w:rsid w:val="00EB62B7"/>
    <w:rsid w:val="00EB62BB"/>
    <w:rsid w:val="00EB6311"/>
    <w:rsid w:val="00EB6319"/>
    <w:rsid w:val="00EB6363"/>
    <w:rsid w:val="00EB6417"/>
    <w:rsid w:val="00EB6436"/>
    <w:rsid w:val="00EB6453"/>
    <w:rsid w:val="00EB6481"/>
    <w:rsid w:val="00EB6495"/>
    <w:rsid w:val="00EB653A"/>
    <w:rsid w:val="00EB65DE"/>
    <w:rsid w:val="00EB66E1"/>
    <w:rsid w:val="00EB6777"/>
    <w:rsid w:val="00EB67C1"/>
    <w:rsid w:val="00EB67D3"/>
    <w:rsid w:val="00EB68CC"/>
    <w:rsid w:val="00EB69E7"/>
    <w:rsid w:val="00EB6A0B"/>
    <w:rsid w:val="00EB6ACB"/>
    <w:rsid w:val="00EB6B00"/>
    <w:rsid w:val="00EB6B8E"/>
    <w:rsid w:val="00EB6BD6"/>
    <w:rsid w:val="00EB6C2F"/>
    <w:rsid w:val="00EB6C44"/>
    <w:rsid w:val="00EB6C4D"/>
    <w:rsid w:val="00EB6CF5"/>
    <w:rsid w:val="00EB6D44"/>
    <w:rsid w:val="00EB6E88"/>
    <w:rsid w:val="00EB6E93"/>
    <w:rsid w:val="00EB6F1D"/>
    <w:rsid w:val="00EB6F60"/>
    <w:rsid w:val="00EB6FF9"/>
    <w:rsid w:val="00EB7024"/>
    <w:rsid w:val="00EB70D3"/>
    <w:rsid w:val="00EB7140"/>
    <w:rsid w:val="00EB718A"/>
    <w:rsid w:val="00EB7217"/>
    <w:rsid w:val="00EB73A9"/>
    <w:rsid w:val="00EB7437"/>
    <w:rsid w:val="00EB74B5"/>
    <w:rsid w:val="00EB74BC"/>
    <w:rsid w:val="00EB7509"/>
    <w:rsid w:val="00EB7531"/>
    <w:rsid w:val="00EB75C4"/>
    <w:rsid w:val="00EB75D1"/>
    <w:rsid w:val="00EB7609"/>
    <w:rsid w:val="00EB7671"/>
    <w:rsid w:val="00EB76EF"/>
    <w:rsid w:val="00EB79D9"/>
    <w:rsid w:val="00EB7A06"/>
    <w:rsid w:val="00EB7A64"/>
    <w:rsid w:val="00EB7AEE"/>
    <w:rsid w:val="00EB7B0F"/>
    <w:rsid w:val="00EB7B8A"/>
    <w:rsid w:val="00EB7BA1"/>
    <w:rsid w:val="00EB7BA5"/>
    <w:rsid w:val="00EB7BB1"/>
    <w:rsid w:val="00EB7CBA"/>
    <w:rsid w:val="00EB7DC6"/>
    <w:rsid w:val="00EB7DDF"/>
    <w:rsid w:val="00EB7DF3"/>
    <w:rsid w:val="00EB7E07"/>
    <w:rsid w:val="00EB7E40"/>
    <w:rsid w:val="00EB7E6F"/>
    <w:rsid w:val="00EB7E82"/>
    <w:rsid w:val="00EB7F93"/>
    <w:rsid w:val="00EB7FE9"/>
    <w:rsid w:val="00EC004D"/>
    <w:rsid w:val="00EC00D3"/>
    <w:rsid w:val="00EC01A9"/>
    <w:rsid w:val="00EC01EB"/>
    <w:rsid w:val="00EC02C7"/>
    <w:rsid w:val="00EC0343"/>
    <w:rsid w:val="00EC049E"/>
    <w:rsid w:val="00EC0594"/>
    <w:rsid w:val="00EC0677"/>
    <w:rsid w:val="00EC06D0"/>
    <w:rsid w:val="00EC070B"/>
    <w:rsid w:val="00EC08AF"/>
    <w:rsid w:val="00EC0C94"/>
    <w:rsid w:val="00EC0D4B"/>
    <w:rsid w:val="00EC0E2F"/>
    <w:rsid w:val="00EC0E8C"/>
    <w:rsid w:val="00EC0FC6"/>
    <w:rsid w:val="00EC10DF"/>
    <w:rsid w:val="00EC1231"/>
    <w:rsid w:val="00EC126E"/>
    <w:rsid w:val="00EC1363"/>
    <w:rsid w:val="00EC13F9"/>
    <w:rsid w:val="00EC1427"/>
    <w:rsid w:val="00EC1434"/>
    <w:rsid w:val="00EC1467"/>
    <w:rsid w:val="00EC158B"/>
    <w:rsid w:val="00EC1592"/>
    <w:rsid w:val="00EC1651"/>
    <w:rsid w:val="00EC177B"/>
    <w:rsid w:val="00EC1877"/>
    <w:rsid w:val="00EC187A"/>
    <w:rsid w:val="00EC18B3"/>
    <w:rsid w:val="00EC18CB"/>
    <w:rsid w:val="00EC18CE"/>
    <w:rsid w:val="00EC19D6"/>
    <w:rsid w:val="00EC1A4B"/>
    <w:rsid w:val="00EC1AC5"/>
    <w:rsid w:val="00EC1BD4"/>
    <w:rsid w:val="00EC1CD5"/>
    <w:rsid w:val="00EC1CF5"/>
    <w:rsid w:val="00EC1D45"/>
    <w:rsid w:val="00EC1D89"/>
    <w:rsid w:val="00EC1DA7"/>
    <w:rsid w:val="00EC1E28"/>
    <w:rsid w:val="00EC1E33"/>
    <w:rsid w:val="00EC1E40"/>
    <w:rsid w:val="00EC1EA9"/>
    <w:rsid w:val="00EC1EB6"/>
    <w:rsid w:val="00EC1EB7"/>
    <w:rsid w:val="00EC1F2E"/>
    <w:rsid w:val="00EC201B"/>
    <w:rsid w:val="00EC2079"/>
    <w:rsid w:val="00EC2095"/>
    <w:rsid w:val="00EC209D"/>
    <w:rsid w:val="00EC20D4"/>
    <w:rsid w:val="00EC2183"/>
    <w:rsid w:val="00EC21C3"/>
    <w:rsid w:val="00EC21E7"/>
    <w:rsid w:val="00EC2203"/>
    <w:rsid w:val="00EC2256"/>
    <w:rsid w:val="00EC22DA"/>
    <w:rsid w:val="00EC22EE"/>
    <w:rsid w:val="00EC2355"/>
    <w:rsid w:val="00EC2432"/>
    <w:rsid w:val="00EC244E"/>
    <w:rsid w:val="00EC24FB"/>
    <w:rsid w:val="00EC2515"/>
    <w:rsid w:val="00EC253C"/>
    <w:rsid w:val="00EC255A"/>
    <w:rsid w:val="00EC2598"/>
    <w:rsid w:val="00EC2604"/>
    <w:rsid w:val="00EC2637"/>
    <w:rsid w:val="00EC276A"/>
    <w:rsid w:val="00EC2771"/>
    <w:rsid w:val="00EC27C0"/>
    <w:rsid w:val="00EC283E"/>
    <w:rsid w:val="00EC2852"/>
    <w:rsid w:val="00EC28C3"/>
    <w:rsid w:val="00EC292E"/>
    <w:rsid w:val="00EC2936"/>
    <w:rsid w:val="00EC2940"/>
    <w:rsid w:val="00EC2950"/>
    <w:rsid w:val="00EC2A19"/>
    <w:rsid w:val="00EC2B14"/>
    <w:rsid w:val="00EC2C03"/>
    <w:rsid w:val="00EC2C07"/>
    <w:rsid w:val="00EC2C24"/>
    <w:rsid w:val="00EC2CA0"/>
    <w:rsid w:val="00EC2D85"/>
    <w:rsid w:val="00EC2DFD"/>
    <w:rsid w:val="00EC2E44"/>
    <w:rsid w:val="00EC2F29"/>
    <w:rsid w:val="00EC2F68"/>
    <w:rsid w:val="00EC2F7C"/>
    <w:rsid w:val="00EC3045"/>
    <w:rsid w:val="00EC304C"/>
    <w:rsid w:val="00EC3067"/>
    <w:rsid w:val="00EC3073"/>
    <w:rsid w:val="00EC308F"/>
    <w:rsid w:val="00EC31D8"/>
    <w:rsid w:val="00EC3228"/>
    <w:rsid w:val="00EC322B"/>
    <w:rsid w:val="00EC32BE"/>
    <w:rsid w:val="00EC32D2"/>
    <w:rsid w:val="00EC32E1"/>
    <w:rsid w:val="00EC33A4"/>
    <w:rsid w:val="00EC3404"/>
    <w:rsid w:val="00EC349B"/>
    <w:rsid w:val="00EC34E1"/>
    <w:rsid w:val="00EC35CB"/>
    <w:rsid w:val="00EC361F"/>
    <w:rsid w:val="00EC3638"/>
    <w:rsid w:val="00EC3807"/>
    <w:rsid w:val="00EC3825"/>
    <w:rsid w:val="00EC38ED"/>
    <w:rsid w:val="00EC39F4"/>
    <w:rsid w:val="00EC3A51"/>
    <w:rsid w:val="00EC3ACF"/>
    <w:rsid w:val="00EC3B76"/>
    <w:rsid w:val="00EC3C40"/>
    <w:rsid w:val="00EC3D6A"/>
    <w:rsid w:val="00EC3D8F"/>
    <w:rsid w:val="00EC3D9A"/>
    <w:rsid w:val="00EC3E11"/>
    <w:rsid w:val="00EC3E1C"/>
    <w:rsid w:val="00EC3E95"/>
    <w:rsid w:val="00EC3FC3"/>
    <w:rsid w:val="00EC3FF5"/>
    <w:rsid w:val="00EC401F"/>
    <w:rsid w:val="00EC4137"/>
    <w:rsid w:val="00EC41A3"/>
    <w:rsid w:val="00EC4241"/>
    <w:rsid w:val="00EC42E4"/>
    <w:rsid w:val="00EC4396"/>
    <w:rsid w:val="00EC4511"/>
    <w:rsid w:val="00EC4609"/>
    <w:rsid w:val="00EC469F"/>
    <w:rsid w:val="00EC46F4"/>
    <w:rsid w:val="00EC470E"/>
    <w:rsid w:val="00EC47B7"/>
    <w:rsid w:val="00EC4860"/>
    <w:rsid w:val="00EC48C9"/>
    <w:rsid w:val="00EC4992"/>
    <w:rsid w:val="00EC4AD0"/>
    <w:rsid w:val="00EC4B77"/>
    <w:rsid w:val="00EC4D08"/>
    <w:rsid w:val="00EC4D1A"/>
    <w:rsid w:val="00EC4D3F"/>
    <w:rsid w:val="00EC4DD4"/>
    <w:rsid w:val="00EC4EB1"/>
    <w:rsid w:val="00EC4EE9"/>
    <w:rsid w:val="00EC4F2C"/>
    <w:rsid w:val="00EC4F32"/>
    <w:rsid w:val="00EC504A"/>
    <w:rsid w:val="00EC5180"/>
    <w:rsid w:val="00EC5198"/>
    <w:rsid w:val="00EC51A6"/>
    <w:rsid w:val="00EC51EA"/>
    <w:rsid w:val="00EC524E"/>
    <w:rsid w:val="00EC525D"/>
    <w:rsid w:val="00EC5334"/>
    <w:rsid w:val="00EC546D"/>
    <w:rsid w:val="00EC54C8"/>
    <w:rsid w:val="00EC556F"/>
    <w:rsid w:val="00EC565A"/>
    <w:rsid w:val="00EC56ED"/>
    <w:rsid w:val="00EC5745"/>
    <w:rsid w:val="00EC585E"/>
    <w:rsid w:val="00EC58A9"/>
    <w:rsid w:val="00EC59E5"/>
    <w:rsid w:val="00EC5A18"/>
    <w:rsid w:val="00EC5A8D"/>
    <w:rsid w:val="00EC5B02"/>
    <w:rsid w:val="00EC5B2B"/>
    <w:rsid w:val="00EC5B83"/>
    <w:rsid w:val="00EC5CAF"/>
    <w:rsid w:val="00EC5DA4"/>
    <w:rsid w:val="00EC5E1A"/>
    <w:rsid w:val="00EC5E1D"/>
    <w:rsid w:val="00EC6110"/>
    <w:rsid w:val="00EC6225"/>
    <w:rsid w:val="00EC62E5"/>
    <w:rsid w:val="00EC6387"/>
    <w:rsid w:val="00EC6450"/>
    <w:rsid w:val="00EC6452"/>
    <w:rsid w:val="00EC64CE"/>
    <w:rsid w:val="00EC64E2"/>
    <w:rsid w:val="00EC6508"/>
    <w:rsid w:val="00EC6554"/>
    <w:rsid w:val="00EC6563"/>
    <w:rsid w:val="00EC6570"/>
    <w:rsid w:val="00EC6604"/>
    <w:rsid w:val="00EC6629"/>
    <w:rsid w:val="00EC6693"/>
    <w:rsid w:val="00EC6710"/>
    <w:rsid w:val="00EC689B"/>
    <w:rsid w:val="00EC69A1"/>
    <w:rsid w:val="00EC69FA"/>
    <w:rsid w:val="00EC6BD0"/>
    <w:rsid w:val="00EC6C0D"/>
    <w:rsid w:val="00EC6C16"/>
    <w:rsid w:val="00EC6D02"/>
    <w:rsid w:val="00EC6D0A"/>
    <w:rsid w:val="00EC6E15"/>
    <w:rsid w:val="00EC6E29"/>
    <w:rsid w:val="00EC6EAE"/>
    <w:rsid w:val="00EC6F2E"/>
    <w:rsid w:val="00EC6F40"/>
    <w:rsid w:val="00EC6FBA"/>
    <w:rsid w:val="00EC7006"/>
    <w:rsid w:val="00EC7066"/>
    <w:rsid w:val="00EC7070"/>
    <w:rsid w:val="00EC70E0"/>
    <w:rsid w:val="00EC713C"/>
    <w:rsid w:val="00EC71CB"/>
    <w:rsid w:val="00EC71D8"/>
    <w:rsid w:val="00EC7217"/>
    <w:rsid w:val="00EC7290"/>
    <w:rsid w:val="00EC7383"/>
    <w:rsid w:val="00EC7571"/>
    <w:rsid w:val="00EC7596"/>
    <w:rsid w:val="00EC75F7"/>
    <w:rsid w:val="00EC763E"/>
    <w:rsid w:val="00EC76B9"/>
    <w:rsid w:val="00EC7756"/>
    <w:rsid w:val="00EC77D0"/>
    <w:rsid w:val="00EC7897"/>
    <w:rsid w:val="00EC78AB"/>
    <w:rsid w:val="00EC7975"/>
    <w:rsid w:val="00EC7AEB"/>
    <w:rsid w:val="00EC7B35"/>
    <w:rsid w:val="00EC7B57"/>
    <w:rsid w:val="00EC7B89"/>
    <w:rsid w:val="00EC7BD0"/>
    <w:rsid w:val="00EC7C10"/>
    <w:rsid w:val="00EC7D39"/>
    <w:rsid w:val="00EC7D62"/>
    <w:rsid w:val="00EC7D75"/>
    <w:rsid w:val="00EC7DB6"/>
    <w:rsid w:val="00EC7DB7"/>
    <w:rsid w:val="00EC7DD7"/>
    <w:rsid w:val="00EC7E01"/>
    <w:rsid w:val="00EC7EDC"/>
    <w:rsid w:val="00EC7F23"/>
    <w:rsid w:val="00EC7F4F"/>
    <w:rsid w:val="00EC7FB2"/>
    <w:rsid w:val="00EC7FDD"/>
    <w:rsid w:val="00ED009E"/>
    <w:rsid w:val="00ED00BA"/>
    <w:rsid w:val="00ED018C"/>
    <w:rsid w:val="00ED01D0"/>
    <w:rsid w:val="00ED01E9"/>
    <w:rsid w:val="00ED0204"/>
    <w:rsid w:val="00ED0246"/>
    <w:rsid w:val="00ED0258"/>
    <w:rsid w:val="00ED030A"/>
    <w:rsid w:val="00ED0385"/>
    <w:rsid w:val="00ED03A2"/>
    <w:rsid w:val="00ED049E"/>
    <w:rsid w:val="00ED0572"/>
    <w:rsid w:val="00ED0574"/>
    <w:rsid w:val="00ED05D3"/>
    <w:rsid w:val="00ED066E"/>
    <w:rsid w:val="00ED06E7"/>
    <w:rsid w:val="00ED06E9"/>
    <w:rsid w:val="00ED06FA"/>
    <w:rsid w:val="00ED07B3"/>
    <w:rsid w:val="00ED087A"/>
    <w:rsid w:val="00ED0A12"/>
    <w:rsid w:val="00ED0A26"/>
    <w:rsid w:val="00ED0B3E"/>
    <w:rsid w:val="00ED0B63"/>
    <w:rsid w:val="00ED0B8B"/>
    <w:rsid w:val="00ED0C00"/>
    <w:rsid w:val="00ED0C36"/>
    <w:rsid w:val="00ED0C63"/>
    <w:rsid w:val="00ED0C8C"/>
    <w:rsid w:val="00ED0D50"/>
    <w:rsid w:val="00ED0D8E"/>
    <w:rsid w:val="00ED0D9D"/>
    <w:rsid w:val="00ED0E1D"/>
    <w:rsid w:val="00ED0E47"/>
    <w:rsid w:val="00ED0F04"/>
    <w:rsid w:val="00ED0F48"/>
    <w:rsid w:val="00ED10C7"/>
    <w:rsid w:val="00ED10CF"/>
    <w:rsid w:val="00ED1180"/>
    <w:rsid w:val="00ED118A"/>
    <w:rsid w:val="00ED11A4"/>
    <w:rsid w:val="00ED11B0"/>
    <w:rsid w:val="00ED126E"/>
    <w:rsid w:val="00ED1271"/>
    <w:rsid w:val="00ED12FC"/>
    <w:rsid w:val="00ED1378"/>
    <w:rsid w:val="00ED1512"/>
    <w:rsid w:val="00ED15BC"/>
    <w:rsid w:val="00ED1661"/>
    <w:rsid w:val="00ED17D5"/>
    <w:rsid w:val="00ED1858"/>
    <w:rsid w:val="00ED1860"/>
    <w:rsid w:val="00ED18B1"/>
    <w:rsid w:val="00ED18C7"/>
    <w:rsid w:val="00ED1933"/>
    <w:rsid w:val="00ED1B4C"/>
    <w:rsid w:val="00ED1D66"/>
    <w:rsid w:val="00ED1D69"/>
    <w:rsid w:val="00ED1E3A"/>
    <w:rsid w:val="00ED1F14"/>
    <w:rsid w:val="00ED1FB6"/>
    <w:rsid w:val="00ED1FB7"/>
    <w:rsid w:val="00ED2047"/>
    <w:rsid w:val="00ED2089"/>
    <w:rsid w:val="00ED2096"/>
    <w:rsid w:val="00ED2207"/>
    <w:rsid w:val="00ED2266"/>
    <w:rsid w:val="00ED2270"/>
    <w:rsid w:val="00ED2377"/>
    <w:rsid w:val="00ED2442"/>
    <w:rsid w:val="00ED2450"/>
    <w:rsid w:val="00ED2452"/>
    <w:rsid w:val="00ED248E"/>
    <w:rsid w:val="00ED24C5"/>
    <w:rsid w:val="00ED25A1"/>
    <w:rsid w:val="00ED267C"/>
    <w:rsid w:val="00ED26C5"/>
    <w:rsid w:val="00ED27B3"/>
    <w:rsid w:val="00ED27BE"/>
    <w:rsid w:val="00ED27E6"/>
    <w:rsid w:val="00ED29CA"/>
    <w:rsid w:val="00ED2A7D"/>
    <w:rsid w:val="00ED2A99"/>
    <w:rsid w:val="00ED2AE6"/>
    <w:rsid w:val="00ED2C8E"/>
    <w:rsid w:val="00ED2CE7"/>
    <w:rsid w:val="00ED2DAB"/>
    <w:rsid w:val="00ED2DB9"/>
    <w:rsid w:val="00ED2DCF"/>
    <w:rsid w:val="00ED2DE8"/>
    <w:rsid w:val="00ED2E41"/>
    <w:rsid w:val="00ED2E82"/>
    <w:rsid w:val="00ED2EBB"/>
    <w:rsid w:val="00ED2EE2"/>
    <w:rsid w:val="00ED2F42"/>
    <w:rsid w:val="00ED2F68"/>
    <w:rsid w:val="00ED2FBE"/>
    <w:rsid w:val="00ED30EE"/>
    <w:rsid w:val="00ED3135"/>
    <w:rsid w:val="00ED3295"/>
    <w:rsid w:val="00ED332B"/>
    <w:rsid w:val="00ED332E"/>
    <w:rsid w:val="00ED333A"/>
    <w:rsid w:val="00ED3521"/>
    <w:rsid w:val="00ED3576"/>
    <w:rsid w:val="00ED35B2"/>
    <w:rsid w:val="00ED35EE"/>
    <w:rsid w:val="00ED371E"/>
    <w:rsid w:val="00ED372F"/>
    <w:rsid w:val="00ED3789"/>
    <w:rsid w:val="00ED3848"/>
    <w:rsid w:val="00ED386F"/>
    <w:rsid w:val="00ED3914"/>
    <w:rsid w:val="00ED3969"/>
    <w:rsid w:val="00ED396E"/>
    <w:rsid w:val="00ED39BB"/>
    <w:rsid w:val="00ED3A04"/>
    <w:rsid w:val="00ED3AA5"/>
    <w:rsid w:val="00ED3AFA"/>
    <w:rsid w:val="00ED3B42"/>
    <w:rsid w:val="00ED3B63"/>
    <w:rsid w:val="00ED3BA6"/>
    <w:rsid w:val="00ED3BA9"/>
    <w:rsid w:val="00ED3BBD"/>
    <w:rsid w:val="00ED3C0C"/>
    <w:rsid w:val="00ED3C21"/>
    <w:rsid w:val="00ED3C52"/>
    <w:rsid w:val="00ED3D1F"/>
    <w:rsid w:val="00ED3D99"/>
    <w:rsid w:val="00ED3EFE"/>
    <w:rsid w:val="00ED4019"/>
    <w:rsid w:val="00ED401F"/>
    <w:rsid w:val="00ED4086"/>
    <w:rsid w:val="00ED4185"/>
    <w:rsid w:val="00ED4211"/>
    <w:rsid w:val="00ED42D1"/>
    <w:rsid w:val="00ED439C"/>
    <w:rsid w:val="00ED43FC"/>
    <w:rsid w:val="00ED44A6"/>
    <w:rsid w:val="00ED44C8"/>
    <w:rsid w:val="00ED44E0"/>
    <w:rsid w:val="00ED4625"/>
    <w:rsid w:val="00ED4628"/>
    <w:rsid w:val="00ED46C0"/>
    <w:rsid w:val="00ED474D"/>
    <w:rsid w:val="00ED479A"/>
    <w:rsid w:val="00ED4806"/>
    <w:rsid w:val="00ED4839"/>
    <w:rsid w:val="00ED487D"/>
    <w:rsid w:val="00ED4949"/>
    <w:rsid w:val="00ED4974"/>
    <w:rsid w:val="00ED49D6"/>
    <w:rsid w:val="00ED4AAA"/>
    <w:rsid w:val="00ED4B0A"/>
    <w:rsid w:val="00ED4CE9"/>
    <w:rsid w:val="00ED4D5E"/>
    <w:rsid w:val="00ED4DF1"/>
    <w:rsid w:val="00ED4E33"/>
    <w:rsid w:val="00ED4FE1"/>
    <w:rsid w:val="00ED4FF5"/>
    <w:rsid w:val="00ED5026"/>
    <w:rsid w:val="00ED5088"/>
    <w:rsid w:val="00ED50C3"/>
    <w:rsid w:val="00ED51CC"/>
    <w:rsid w:val="00ED51E1"/>
    <w:rsid w:val="00ED523A"/>
    <w:rsid w:val="00ED524A"/>
    <w:rsid w:val="00ED524D"/>
    <w:rsid w:val="00ED5275"/>
    <w:rsid w:val="00ED52B4"/>
    <w:rsid w:val="00ED52DC"/>
    <w:rsid w:val="00ED534A"/>
    <w:rsid w:val="00ED538F"/>
    <w:rsid w:val="00ED542A"/>
    <w:rsid w:val="00ED567E"/>
    <w:rsid w:val="00ED572B"/>
    <w:rsid w:val="00ED5806"/>
    <w:rsid w:val="00ED5863"/>
    <w:rsid w:val="00ED58F4"/>
    <w:rsid w:val="00ED5A74"/>
    <w:rsid w:val="00ED5AB4"/>
    <w:rsid w:val="00ED5BC0"/>
    <w:rsid w:val="00ED5BFD"/>
    <w:rsid w:val="00ED5D0E"/>
    <w:rsid w:val="00ED5D94"/>
    <w:rsid w:val="00ED5F6A"/>
    <w:rsid w:val="00ED6035"/>
    <w:rsid w:val="00ED6048"/>
    <w:rsid w:val="00ED606F"/>
    <w:rsid w:val="00ED608E"/>
    <w:rsid w:val="00ED6128"/>
    <w:rsid w:val="00ED62CF"/>
    <w:rsid w:val="00ED62D7"/>
    <w:rsid w:val="00ED62DA"/>
    <w:rsid w:val="00ED6301"/>
    <w:rsid w:val="00ED6398"/>
    <w:rsid w:val="00ED63FA"/>
    <w:rsid w:val="00ED640C"/>
    <w:rsid w:val="00ED6492"/>
    <w:rsid w:val="00ED6527"/>
    <w:rsid w:val="00ED65D9"/>
    <w:rsid w:val="00ED661A"/>
    <w:rsid w:val="00ED6628"/>
    <w:rsid w:val="00ED6659"/>
    <w:rsid w:val="00ED6669"/>
    <w:rsid w:val="00ED674B"/>
    <w:rsid w:val="00ED67C3"/>
    <w:rsid w:val="00ED6815"/>
    <w:rsid w:val="00ED6829"/>
    <w:rsid w:val="00ED682D"/>
    <w:rsid w:val="00ED6877"/>
    <w:rsid w:val="00ED68A0"/>
    <w:rsid w:val="00ED691C"/>
    <w:rsid w:val="00ED695D"/>
    <w:rsid w:val="00ED69C5"/>
    <w:rsid w:val="00ED6ABB"/>
    <w:rsid w:val="00ED6B23"/>
    <w:rsid w:val="00ED6BC4"/>
    <w:rsid w:val="00ED6BCE"/>
    <w:rsid w:val="00ED6C7B"/>
    <w:rsid w:val="00ED6CE5"/>
    <w:rsid w:val="00ED6D1A"/>
    <w:rsid w:val="00ED6E17"/>
    <w:rsid w:val="00ED6F93"/>
    <w:rsid w:val="00ED70C3"/>
    <w:rsid w:val="00ED71C0"/>
    <w:rsid w:val="00ED71C1"/>
    <w:rsid w:val="00ED71E5"/>
    <w:rsid w:val="00ED7448"/>
    <w:rsid w:val="00ED7484"/>
    <w:rsid w:val="00ED7522"/>
    <w:rsid w:val="00ED754C"/>
    <w:rsid w:val="00ED762A"/>
    <w:rsid w:val="00ED7631"/>
    <w:rsid w:val="00ED7647"/>
    <w:rsid w:val="00ED774C"/>
    <w:rsid w:val="00ED77C1"/>
    <w:rsid w:val="00ED77E4"/>
    <w:rsid w:val="00ED789A"/>
    <w:rsid w:val="00ED7B2C"/>
    <w:rsid w:val="00ED7B53"/>
    <w:rsid w:val="00ED7B97"/>
    <w:rsid w:val="00ED7CE6"/>
    <w:rsid w:val="00ED7D07"/>
    <w:rsid w:val="00ED7DC2"/>
    <w:rsid w:val="00ED7DDA"/>
    <w:rsid w:val="00ED7E76"/>
    <w:rsid w:val="00ED7E79"/>
    <w:rsid w:val="00ED7EA0"/>
    <w:rsid w:val="00ED7F46"/>
    <w:rsid w:val="00EE0041"/>
    <w:rsid w:val="00EE01CF"/>
    <w:rsid w:val="00EE025D"/>
    <w:rsid w:val="00EE02C7"/>
    <w:rsid w:val="00EE0341"/>
    <w:rsid w:val="00EE0349"/>
    <w:rsid w:val="00EE035A"/>
    <w:rsid w:val="00EE036C"/>
    <w:rsid w:val="00EE0421"/>
    <w:rsid w:val="00EE043A"/>
    <w:rsid w:val="00EE055E"/>
    <w:rsid w:val="00EE0629"/>
    <w:rsid w:val="00EE0669"/>
    <w:rsid w:val="00EE06C0"/>
    <w:rsid w:val="00EE0719"/>
    <w:rsid w:val="00EE0800"/>
    <w:rsid w:val="00EE086D"/>
    <w:rsid w:val="00EE0903"/>
    <w:rsid w:val="00EE0A23"/>
    <w:rsid w:val="00EE0A4B"/>
    <w:rsid w:val="00EE0BB4"/>
    <w:rsid w:val="00EE0BB6"/>
    <w:rsid w:val="00EE0C2D"/>
    <w:rsid w:val="00EE0C51"/>
    <w:rsid w:val="00EE0C71"/>
    <w:rsid w:val="00EE0CFC"/>
    <w:rsid w:val="00EE0D29"/>
    <w:rsid w:val="00EE0D95"/>
    <w:rsid w:val="00EE0E49"/>
    <w:rsid w:val="00EE0F34"/>
    <w:rsid w:val="00EE0FCC"/>
    <w:rsid w:val="00EE0FF8"/>
    <w:rsid w:val="00EE0FFF"/>
    <w:rsid w:val="00EE10CE"/>
    <w:rsid w:val="00EE112C"/>
    <w:rsid w:val="00EE11A3"/>
    <w:rsid w:val="00EE11F5"/>
    <w:rsid w:val="00EE13BB"/>
    <w:rsid w:val="00EE151F"/>
    <w:rsid w:val="00EE159C"/>
    <w:rsid w:val="00EE15D3"/>
    <w:rsid w:val="00EE1672"/>
    <w:rsid w:val="00EE16D6"/>
    <w:rsid w:val="00EE180E"/>
    <w:rsid w:val="00EE18E0"/>
    <w:rsid w:val="00EE19D9"/>
    <w:rsid w:val="00EE1A3B"/>
    <w:rsid w:val="00EE1A4F"/>
    <w:rsid w:val="00EE1A6E"/>
    <w:rsid w:val="00EE1AA6"/>
    <w:rsid w:val="00EE1AEF"/>
    <w:rsid w:val="00EE1B2C"/>
    <w:rsid w:val="00EE1BA2"/>
    <w:rsid w:val="00EE1CDF"/>
    <w:rsid w:val="00EE1D03"/>
    <w:rsid w:val="00EE1DD7"/>
    <w:rsid w:val="00EE1E67"/>
    <w:rsid w:val="00EE1EF0"/>
    <w:rsid w:val="00EE1F4F"/>
    <w:rsid w:val="00EE1F7E"/>
    <w:rsid w:val="00EE1FC3"/>
    <w:rsid w:val="00EE208E"/>
    <w:rsid w:val="00EE213B"/>
    <w:rsid w:val="00EE2166"/>
    <w:rsid w:val="00EE2303"/>
    <w:rsid w:val="00EE242D"/>
    <w:rsid w:val="00EE24E7"/>
    <w:rsid w:val="00EE25B9"/>
    <w:rsid w:val="00EE2637"/>
    <w:rsid w:val="00EE263C"/>
    <w:rsid w:val="00EE26AB"/>
    <w:rsid w:val="00EE2721"/>
    <w:rsid w:val="00EE2736"/>
    <w:rsid w:val="00EE273C"/>
    <w:rsid w:val="00EE2777"/>
    <w:rsid w:val="00EE2993"/>
    <w:rsid w:val="00EE2998"/>
    <w:rsid w:val="00EE29A7"/>
    <w:rsid w:val="00EE29B9"/>
    <w:rsid w:val="00EE29E3"/>
    <w:rsid w:val="00EE2A06"/>
    <w:rsid w:val="00EE2A18"/>
    <w:rsid w:val="00EE2A9A"/>
    <w:rsid w:val="00EE2B3B"/>
    <w:rsid w:val="00EE2BDF"/>
    <w:rsid w:val="00EE2CF2"/>
    <w:rsid w:val="00EE2DA4"/>
    <w:rsid w:val="00EE2DEF"/>
    <w:rsid w:val="00EE2F13"/>
    <w:rsid w:val="00EE3196"/>
    <w:rsid w:val="00EE32A8"/>
    <w:rsid w:val="00EE330E"/>
    <w:rsid w:val="00EE33C8"/>
    <w:rsid w:val="00EE3559"/>
    <w:rsid w:val="00EE3605"/>
    <w:rsid w:val="00EE36EA"/>
    <w:rsid w:val="00EE37E0"/>
    <w:rsid w:val="00EE3820"/>
    <w:rsid w:val="00EE3823"/>
    <w:rsid w:val="00EE3825"/>
    <w:rsid w:val="00EE382E"/>
    <w:rsid w:val="00EE38F7"/>
    <w:rsid w:val="00EE3968"/>
    <w:rsid w:val="00EE3BF7"/>
    <w:rsid w:val="00EE3BFF"/>
    <w:rsid w:val="00EE3C26"/>
    <w:rsid w:val="00EE3CC5"/>
    <w:rsid w:val="00EE3D7A"/>
    <w:rsid w:val="00EE3D9C"/>
    <w:rsid w:val="00EE3E0F"/>
    <w:rsid w:val="00EE4074"/>
    <w:rsid w:val="00EE40AA"/>
    <w:rsid w:val="00EE40D6"/>
    <w:rsid w:val="00EE40EF"/>
    <w:rsid w:val="00EE40F7"/>
    <w:rsid w:val="00EE412E"/>
    <w:rsid w:val="00EE4210"/>
    <w:rsid w:val="00EE4330"/>
    <w:rsid w:val="00EE4465"/>
    <w:rsid w:val="00EE4477"/>
    <w:rsid w:val="00EE4488"/>
    <w:rsid w:val="00EE4521"/>
    <w:rsid w:val="00EE4564"/>
    <w:rsid w:val="00EE4628"/>
    <w:rsid w:val="00EE463F"/>
    <w:rsid w:val="00EE4686"/>
    <w:rsid w:val="00EE472C"/>
    <w:rsid w:val="00EE477F"/>
    <w:rsid w:val="00EE47A1"/>
    <w:rsid w:val="00EE489F"/>
    <w:rsid w:val="00EE48F6"/>
    <w:rsid w:val="00EE4A36"/>
    <w:rsid w:val="00EE4A71"/>
    <w:rsid w:val="00EE4ABB"/>
    <w:rsid w:val="00EE4AC1"/>
    <w:rsid w:val="00EE4AE1"/>
    <w:rsid w:val="00EE4B7B"/>
    <w:rsid w:val="00EE4B99"/>
    <w:rsid w:val="00EE4BDA"/>
    <w:rsid w:val="00EE4C67"/>
    <w:rsid w:val="00EE4C95"/>
    <w:rsid w:val="00EE4D68"/>
    <w:rsid w:val="00EE4D80"/>
    <w:rsid w:val="00EE4D88"/>
    <w:rsid w:val="00EE4DC3"/>
    <w:rsid w:val="00EE4DE1"/>
    <w:rsid w:val="00EE4DE6"/>
    <w:rsid w:val="00EE4E27"/>
    <w:rsid w:val="00EE4E34"/>
    <w:rsid w:val="00EE4E8D"/>
    <w:rsid w:val="00EE4E8E"/>
    <w:rsid w:val="00EE4E8F"/>
    <w:rsid w:val="00EE4EBF"/>
    <w:rsid w:val="00EE4F8D"/>
    <w:rsid w:val="00EE5037"/>
    <w:rsid w:val="00EE50C3"/>
    <w:rsid w:val="00EE5231"/>
    <w:rsid w:val="00EE5241"/>
    <w:rsid w:val="00EE5332"/>
    <w:rsid w:val="00EE534C"/>
    <w:rsid w:val="00EE53B7"/>
    <w:rsid w:val="00EE53C2"/>
    <w:rsid w:val="00EE54B1"/>
    <w:rsid w:val="00EE54CF"/>
    <w:rsid w:val="00EE5518"/>
    <w:rsid w:val="00EE554A"/>
    <w:rsid w:val="00EE554B"/>
    <w:rsid w:val="00EE55C8"/>
    <w:rsid w:val="00EE55E1"/>
    <w:rsid w:val="00EE5642"/>
    <w:rsid w:val="00EE5678"/>
    <w:rsid w:val="00EE5772"/>
    <w:rsid w:val="00EE57AC"/>
    <w:rsid w:val="00EE58B7"/>
    <w:rsid w:val="00EE5910"/>
    <w:rsid w:val="00EE5954"/>
    <w:rsid w:val="00EE5A63"/>
    <w:rsid w:val="00EE5AAC"/>
    <w:rsid w:val="00EE5ADB"/>
    <w:rsid w:val="00EE5B04"/>
    <w:rsid w:val="00EE5BB2"/>
    <w:rsid w:val="00EE5C50"/>
    <w:rsid w:val="00EE5CAC"/>
    <w:rsid w:val="00EE5CBA"/>
    <w:rsid w:val="00EE5D29"/>
    <w:rsid w:val="00EE5D38"/>
    <w:rsid w:val="00EE5D9E"/>
    <w:rsid w:val="00EE5DEE"/>
    <w:rsid w:val="00EE5E3A"/>
    <w:rsid w:val="00EE5E78"/>
    <w:rsid w:val="00EE5F35"/>
    <w:rsid w:val="00EE5FCB"/>
    <w:rsid w:val="00EE6080"/>
    <w:rsid w:val="00EE60E1"/>
    <w:rsid w:val="00EE61AB"/>
    <w:rsid w:val="00EE61BC"/>
    <w:rsid w:val="00EE61E3"/>
    <w:rsid w:val="00EE6206"/>
    <w:rsid w:val="00EE6231"/>
    <w:rsid w:val="00EE6354"/>
    <w:rsid w:val="00EE6451"/>
    <w:rsid w:val="00EE649A"/>
    <w:rsid w:val="00EE6562"/>
    <w:rsid w:val="00EE6588"/>
    <w:rsid w:val="00EE65AE"/>
    <w:rsid w:val="00EE6622"/>
    <w:rsid w:val="00EE674A"/>
    <w:rsid w:val="00EE6903"/>
    <w:rsid w:val="00EE692F"/>
    <w:rsid w:val="00EE6A70"/>
    <w:rsid w:val="00EE6B20"/>
    <w:rsid w:val="00EE6BAF"/>
    <w:rsid w:val="00EE6BFF"/>
    <w:rsid w:val="00EE6C02"/>
    <w:rsid w:val="00EE6CA5"/>
    <w:rsid w:val="00EE6CA8"/>
    <w:rsid w:val="00EE6D1C"/>
    <w:rsid w:val="00EE6E0C"/>
    <w:rsid w:val="00EE6E21"/>
    <w:rsid w:val="00EE6E64"/>
    <w:rsid w:val="00EE6E9F"/>
    <w:rsid w:val="00EE6F0E"/>
    <w:rsid w:val="00EE70AC"/>
    <w:rsid w:val="00EE722A"/>
    <w:rsid w:val="00EE73C0"/>
    <w:rsid w:val="00EE74B2"/>
    <w:rsid w:val="00EE74C5"/>
    <w:rsid w:val="00EE763B"/>
    <w:rsid w:val="00EE76AE"/>
    <w:rsid w:val="00EE76DE"/>
    <w:rsid w:val="00EE77C5"/>
    <w:rsid w:val="00EE77F9"/>
    <w:rsid w:val="00EE785D"/>
    <w:rsid w:val="00EE78C2"/>
    <w:rsid w:val="00EE78F0"/>
    <w:rsid w:val="00EE793F"/>
    <w:rsid w:val="00EE7994"/>
    <w:rsid w:val="00EE7B5B"/>
    <w:rsid w:val="00EE7B90"/>
    <w:rsid w:val="00EE7BBD"/>
    <w:rsid w:val="00EE7C82"/>
    <w:rsid w:val="00EE7CB3"/>
    <w:rsid w:val="00EE7CDF"/>
    <w:rsid w:val="00EE7D71"/>
    <w:rsid w:val="00EE7DFD"/>
    <w:rsid w:val="00EE7E34"/>
    <w:rsid w:val="00EE7E67"/>
    <w:rsid w:val="00EE7F20"/>
    <w:rsid w:val="00EE7F30"/>
    <w:rsid w:val="00EE7F75"/>
    <w:rsid w:val="00EE7F9A"/>
    <w:rsid w:val="00EE7FFC"/>
    <w:rsid w:val="00EE7FFD"/>
    <w:rsid w:val="00EF0010"/>
    <w:rsid w:val="00EF002F"/>
    <w:rsid w:val="00EF004A"/>
    <w:rsid w:val="00EF0090"/>
    <w:rsid w:val="00EF00BB"/>
    <w:rsid w:val="00EF00D8"/>
    <w:rsid w:val="00EF017A"/>
    <w:rsid w:val="00EF0252"/>
    <w:rsid w:val="00EF0264"/>
    <w:rsid w:val="00EF036F"/>
    <w:rsid w:val="00EF03A4"/>
    <w:rsid w:val="00EF03CE"/>
    <w:rsid w:val="00EF03D2"/>
    <w:rsid w:val="00EF0427"/>
    <w:rsid w:val="00EF04AC"/>
    <w:rsid w:val="00EF0528"/>
    <w:rsid w:val="00EF052F"/>
    <w:rsid w:val="00EF054F"/>
    <w:rsid w:val="00EF056F"/>
    <w:rsid w:val="00EF05BA"/>
    <w:rsid w:val="00EF05F0"/>
    <w:rsid w:val="00EF0619"/>
    <w:rsid w:val="00EF064A"/>
    <w:rsid w:val="00EF06A0"/>
    <w:rsid w:val="00EF07B4"/>
    <w:rsid w:val="00EF07CB"/>
    <w:rsid w:val="00EF08DC"/>
    <w:rsid w:val="00EF0920"/>
    <w:rsid w:val="00EF0933"/>
    <w:rsid w:val="00EF0A2D"/>
    <w:rsid w:val="00EF0A60"/>
    <w:rsid w:val="00EF0BC4"/>
    <w:rsid w:val="00EF0C4F"/>
    <w:rsid w:val="00EF0C71"/>
    <w:rsid w:val="00EF0CA5"/>
    <w:rsid w:val="00EF0CC7"/>
    <w:rsid w:val="00EF0CF1"/>
    <w:rsid w:val="00EF0D18"/>
    <w:rsid w:val="00EF0D38"/>
    <w:rsid w:val="00EF0D76"/>
    <w:rsid w:val="00EF0DA9"/>
    <w:rsid w:val="00EF0EE9"/>
    <w:rsid w:val="00EF0F4C"/>
    <w:rsid w:val="00EF0FFB"/>
    <w:rsid w:val="00EF10E9"/>
    <w:rsid w:val="00EF115F"/>
    <w:rsid w:val="00EF1244"/>
    <w:rsid w:val="00EF1329"/>
    <w:rsid w:val="00EF144C"/>
    <w:rsid w:val="00EF14E3"/>
    <w:rsid w:val="00EF156F"/>
    <w:rsid w:val="00EF15BB"/>
    <w:rsid w:val="00EF15E5"/>
    <w:rsid w:val="00EF1649"/>
    <w:rsid w:val="00EF165B"/>
    <w:rsid w:val="00EF16B9"/>
    <w:rsid w:val="00EF16C2"/>
    <w:rsid w:val="00EF1762"/>
    <w:rsid w:val="00EF1769"/>
    <w:rsid w:val="00EF1859"/>
    <w:rsid w:val="00EF18F6"/>
    <w:rsid w:val="00EF1A40"/>
    <w:rsid w:val="00EF1A77"/>
    <w:rsid w:val="00EF1A97"/>
    <w:rsid w:val="00EF1A98"/>
    <w:rsid w:val="00EF1B4A"/>
    <w:rsid w:val="00EF1B62"/>
    <w:rsid w:val="00EF1BB9"/>
    <w:rsid w:val="00EF1D19"/>
    <w:rsid w:val="00EF1D88"/>
    <w:rsid w:val="00EF1E92"/>
    <w:rsid w:val="00EF1F25"/>
    <w:rsid w:val="00EF1F65"/>
    <w:rsid w:val="00EF203E"/>
    <w:rsid w:val="00EF209D"/>
    <w:rsid w:val="00EF20F2"/>
    <w:rsid w:val="00EF2117"/>
    <w:rsid w:val="00EF21EE"/>
    <w:rsid w:val="00EF221D"/>
    <w:rsid w:val="00EF2242"/>
    <w:rsid w:val="00EF23E5"/>
    <w:rsid w:val="00EF23EB"/>
    <w:rsid w:val="00EF2436"/>
    <w:rsid w:val="00EF24CE"/>
    <w:rsid w:val="00EF2551"/>
    <w:rsid w:val="00EF256F"/>
    <w:rsid w:val="00EF2583"/>
    <w:rsid w:val="00EF2590"/>
    <w:rsid w:val="00EF2610"/>
    <w:rsid w:val="00EF26BD"/>
    <w:rsid w:val="00EF274B"/>
    <w:rsid w:val="00EF2875"/>
    <w:rsid w:val="00EF28C1"/>
    <w:rsid w:val="00EF28E2"/>
    <w:rsid w:val="00EF29CB"/>
    <w:rsid w:val="00EF2A1D"/>
    <w:rsid w:val="00EF2B00"/>
    <w:rsid w:val="00EF2B29"/>
    <w:rsid w:val="00EF2B89"/>
    <w:rsid w:val="00EF2BBA"/>
    <w:rsid w:val="00EF2C1F"/>
    <w:rsid w:val="00EF2C21"/>
    <w:rsid w:val="00EF2C64"/>
    <w:rsid w:val="00EF2C7F"/>
    <w:rsid w:val="00EF2C87"/>
    <w:rsid w:val="00EF2CFD"/>
    <w:rsid w:val="00EF2D34"/>
    <w:rsid w:val="00EF2D4A"/>
    <w:rsid w:val="00EF2D62"/>
    <w:rsid w:val="00EF2DBE"/>
    <w:rsid w:val="00EF2ED2"/>
    <w:rsid w:val="00EF2F85"/>
    <w:rsid w:val="00EF2F91"/>
    <w:rsid w:val="00EF30AF"/>
    <w:rsid w:val="00EF30B9"/>
    <w:rsid w:val="00EF30C6"/>
    <w:rsid w:val="00EF30DA"/>
    <w:rsid w:val="00EF322B"/>
    <w:rsid w:val="00EF3292"/>
    <w:rsid w:val="00EF333F"/>
    <w:rsid w:val="00EF3486"/>
    <w:rsid w:val="00EF3552"/>
    <w:rsid w:val="00EF3582"/>
    <w:rsid w:val="00EF364A"/>
    <w:rsid w:val="00EF3669"/>
    <w:rsid w:val="00EF3835"/>
    <w:rsid w:val="00EF3896"/>
    <w:rsid w:val="00EF38C6"/>
    <w:rsid w:val="00EF3947"/>
    <w:rsid w:val="00EF39D2"/>
    <w:rsid w:val="00EF3AB2"/>
    <w:rsid w:val="00EF3B95"/>
    <w:rsid w:val="00EF3C59"/>
    <w:rsid w:val="00EF3CAA"/>
    <w:rsid w:val="00EF3D2F"/>
    <w:rsid w:val="00EF3D50"/>
    <w:rsid w:val="00EF3D84"/>
    <w:rsid w:val="00EF3DA1"/>
    <w:rsid w:val="00EF3DA5"/>
    <w:rsid w:val="00EF3E10"/>
    <w:rsid w:val="00EF3E29"/>
    <w:rsid w:val="00EF3E50"/>
    <w:rsid w:val="00EF3E73"/>
    <w:rsid w:val="00EF3ED0"/>
    <w:rsid w:val="00EF3ED2"/>
    <w:rsid w:val="00EF3F16"/>
    <w:rsid w:val="00EF3F3D"/>
    <w:rsid w:val="00EF3FDE"/>
    <w:rsid w:val="00EF4024"/>
    <w:rsid w:val="00EF40B9"/>
    <w:rsid w:val="00EF40C9"/>
    <w:rsid w:val="00EF40F7"/>
    <w:rsid w:val="00EF4141"/>
    <w:rsid w:val="00EF42F4"/>
    <w:rsid w:val="00EF44F3"/>
    <w:rsid w:val="00EF45B0"/>
    <w:rsid w:val="00EF463C"/>
    <w:rsid w:val="00EF4672"/>
    <w:rsid w:val="00EF46A3"/>
    <w:rsid w:val="00EF4801"/>
    <w:rsid w:val="00EF480D"/>
    <w:rsid w:val="00EF4834"/>
    <w:rsid w:val="00EF4858"/>
    <w:rsid w:val="00EF4876"/>
    <w:rsid w:val="00EF487A"/>
    <w:rsid w:val="00EF48D3"/>
    <w:rsid w:val="00EF4905"/>
    <w:rsid w:val="00EF4997"/>
    <w:rsid w:val="00EF4B0B"/>
    <w:rsid w:val="00EF4B72"/>
    <w:rsid w:val="00EF4BA2"/>
    <w:rsid w:val="00EF4BDA"/>
    <w:rsid w:val="00EF4BEF"/>
    <w:rsid w:val="00EF4C54"/>
    <w:rsid w:val="00EF4D67"/>
    <w:rsid w:val="00EF4DA1"/>
    <w:rsid w:val="00EF4DAF"/>
    <w:rsid w:val="00EF4DE7"/>
    <w:rsid w:val="00EF4EB7"/>
    <w:rsid w:val="00EF4EFF"/>
    <w:rsid w:val="00EF4F1D"/>
    <w:rsid w:val="00EF4F76"/>
    <w:rsid w:val="00EF4F94"/>
    <w:rsid w:val="00EF4FA4"/>
    <w:rsid w:val="00EF4FFA"/>
    <w:rsid w:val="00EF5044"/>
    <w:rsid w:val="00EF5145"/>
    <w:rsid w:val="00EF516D"/>
    <w:rsid w:val="00EF5196"/>
    <w:rsid w:val="00EF51E7"/>
    <w:rsid w:val="00EF51F1"/>
    <w:rsid w:val="00EF51F2"/>
    <w:rsid w:val="00EF52A7"/>
    <w:rsid w:val="00EF539C"/>
    <w:rsid w:val="00EF53A6"/>
    <w:rsid w:val="00EF541B"/>
    <w:rsid w:val="00EF5493"/>
    <w:rsid w:val="00EF54B8"/>
    <w:rsid w:val="00EF5573"/>
    <w:rsid w:val="00EF5605"/>
    <w:rsid w:val="00EF5615"/>
    <w:rsid w:val="00EF56A1"/>
    <w:rsid w:val="00EF56DF"/>
    <w:rsid w:val="00EF56F6"/>
    <w:rsid w:val="00EF56FB"/>
    <w:rsid w:val="00EF5729"/>
    <w:rsid w:val="00EF576C"/>
    <w:rsid w:val="00EF57AA"/>
    <w:rsid w:val="00EF57C2"/>
    <w:rsid w:val="00EF5832"/>
    <w:rsid w:val="00EF5882"/>
    <w:rsid w:val="00EF58BC"/>
    <w:rsid w:val="00EF5955"/>
    <w:rsid w:val="00EF59B7"/>
    <w:rsid w:val="00EF59DB"/>
    <w:rsid w:val="00EF5A41"/>
    <w:rsid w:val="00EF5ACD"/>
    <w:rsid w:val="00EF5B1E"/>
    <w:rsid w:val="00EF5BB4"/>
    <w:rsid w:val="00EF5BD4"/>
    <w:rsid w:val="00EF5C24"/>
    <w:rsid w:val="00EF5C4B"/>
    <w:rsid w:val="00EF5C59"/>
    <w:rsid w:val="00EF5CC3"/>
    <w:rsid w:val="00EF5D5D"/>
    <w:rsid w:val="00EF5E35"/>
    <w:rsid w:val="00EF5F5E"/>
    <w:rsid w:val="00EF5F83"/>
    <w:rsid w:val="00EF5FCF"/>
    <w:rsid w:val="00EF5FEF"/>
    <w:rsid w:val="00EF6083"/>
    <w:rsid w:val="00EF60A9"/>
    <w:rsid w:val="00EF614F"/>
    <w:rsid w:val="00EF61C6"/>
    <w:rsid w:val="00EF62F0"/>
    <w:rsid w:val="00EF630E"/>
    <w:rsid w:val="00EF6394"/>
    <w:rsid w:val="00EF64D1"/>
    <w:rsid w:val="00EF65C2"/>
    <w:rsid w:val="00EF671E"/>
    <w:rsid w:val="00EF6739"/>
    <w:rsid w:val="00EF6758"/>
    <w:rsid w:val="00EF6811"/>
    <w:rsid w:val="00EF6828"/>
    <w:rsid w:val="00EF68EC"/>
    <w:rsid w:val="00EF69F2"/>
    <w:rsid w:val="00EF6A2D"/>
    <w:rsid w:val="00EF6B4F"/>
    <w:rsid w:val="00EF6B8E"/>
    <w:rsid w:val="00EF6C1D"/>
    <w:rsid w:val="00EF6C5C"/>
    <w:rsid w:val="00EF6CAE"/>
    <w:rsid w:val="00EF6D23"/>
    <w:rsid w:val="00EF6D56"/>
    <w:rsid w:val="00EF6D79"/>
    <w:rsid w:val="00EF6D89"/>
    <w:rsid w:val="00EF6DED"/>
    <w:rsid w:val="00EF6E1C"/>
    <w:rsid w:val="00EF7038"/>
    <w:rsid w:val="00EF70A8"/>
    <w:rsid w:val="00EF70C3"/>
    <w:rsid w:val="00EF711A"/>
    <w:rsid w:val="00EF7206"/>
    <w:rsid w:val="00EF72CA"/>
    <w:rsid w:val="00EF7323"/>
    <w:rsid w:val="00EF7338"/>
    <w:rsid w:val="00EF738D"/>
    <w:rsid w:val="00EF73ED"/>
    <w:rsid w:val="00EF7407"/>
    <w:rsid w:val="00EF7445"/>
    <w:rsid w:val="00EF744A"/>
    <w:rsid w:val="00EF74CD"/>
    <w:rsid w:val="00EF74DF"/>
    <w:rsid w:val="00EF7535"/>
    <w:rsid w:val="00EF75BA"/>
    <w:rsid w:val="00EF75F1"/>
    <w:rsid w:val="00EF7632"/>
    <w:rsid w:val="00EF7762"/>
    <w:rsid w:val="00EF78AF"/>
    <w:rsid w:val="00EF7919"/>
    <w:rsid w:val="00EF79D4"/>
    <w:rsid w:val="00EF7A2E"/>
    <w:rsid w:val="00EF7A73"/>
    <w:rsid w:val="00EF7A8B"/>
    <w:rsid w:val="00EF7A95"/>
    <w:rsid w:val="00EF7AB0"/>
    <w:rsid w:val="00EF7BF4"/>
    <w:rsid w:val="00EF7CA1"/>
    <w:rsid w:val="00EF7D80"/>
    <w:rsid w:val="00EF7DD3"/>
    <w:rsid w:val="00EF7DE2"/>
    <w:rsid w:val="00EF7E2B"/>
    <w:rsid w:val="00EF7E7C"/>
    <w:rsid w:val="00EF7E9A"/>
    <w:rsid w:val="00F00051"/>
    <w:rsid w:val="00F000E2"/>
    <w:rsid w:val="00F000F6"/>
    <w:rsid w:val="00F00204"/>
    <w:rsid w:val="00F002DD"/>
    <w:rsid w:val="00F002DE"/>
    <w:rsid w:val="00F00339"/>
    <w:rsid w:val="00F0038E"/>
    <w:rsid w:val="00F004F7"/>
    <w:rsid w:val="00F00509"/>
    <w:rsid w:val="00F005A4"/>
    <w:rsid w:val="00F006C6"/>
    <w:rsid w:val="00F006D4"/>
    <w:rsid w:val="00F006D8"/>
    <w:rsid w:val="00F0072A"/>
    <w:rsid w:val="00F00844"/>
    <w:rsid w:val="00F008E1"/>
    <w:rsid w:val="00F008E6"/>
    <w:rsid w:val="00F009D6"/>
    <w:rsid w:val="00F00A32"/>
    <w:rsid w:val="00F00A8D"/>
    <w:rsid w:val="00F00C4C"/>
    <w:rsid w:val="00F00CBF"/>
    <w:rsid w:val="00F00CD4"/>
    <w:rsid w:val="00F00D20"/>
    <w:rsid w:val="00F00D87"/>
    <w:rsid w:val="00F00DFF"/>
    <w:rsid w:val="00F00E06"/>
    <w:rsid w:val="00F00F0C"/>
    <w:rsid w:val="00F0101D"/>
    <w:rsid w:val="00F0103B"/>
    <w:rsid w:val="00F01080"/>
    <w:rsid w:val="00F010EA"/>
    <w:rsid w:val="00F0110F"/>
    <w:rsid w:val="00F01154"/>
    <w:rsid w:val="00F011CB"/>
    <w:rsid w:val="00F0123D"/>
    <w:rsid w:val="00F013D4"/>
    <w:rsid w:val="00F01468"/>
    <w:rsid w:val="00F0148A"/>
    <w:rsid w:val="00F01510"/>
    <w:rsid w:val="00F016AE"/>
    <w:rsid w:val="00F01713"/>
    <w:rsid w:val="00F017CB"/>
    <w:rsid w:val="00F01865"/>
    <w:rsid w:val="00F018BE"/>
    <w:rsid w:val="00F018F9"/>
    <w:rsid w:val="00F01992"/>
    <w:rsid w:val="00F019FA"/>
    <w:rsid w:val="00F01A18"/>
    <w:rsid w:val="00F01A1A"/>
    <w:rsid w:val="00F01A78"/>
    <w:rsid w:val="00F01B02"/>
    <w:rsid w:val="00F01BCD"/>
    <w:rsid w:val="00F01C3C"/>
    <w:rsid w:val="00F01D17"/>
    <w:rsid w:val="00F01DB3"/>
    <w:rsid w:val="00F01DD8"/>
    <w:rsid w:val="00F01E1E"/>
    <w:rsid w:val="00F01E7C"/>
    <w:rsid w:val="00F01EF5"/>
    <w:rsid w:val="00F02071"/>
    <w:rsid w:val="00F020CE"/>
    <w:rsid w:val="00F02122"/>
    <w:rsid w:val="00F02235"/>
    <w:rsid w:val="00F02249"/>
    <w:rsid w:val="00F02272"/>
    <w:rsid w:val="00F02357"/>
    <w:rsid w:val="00F0240C"/>
    <w:rsid w:val="00F02464"/>
    <w:rsid w:val="00F0249E"/>
    <w:rsid w:val="00F0255D"/>
    <w:rsid w:val="00F02600"/>
    <w:rsid w:val="00F02647"/>
    <w:rsid w:val="00F0267E"/>
    <w:rsid w:val="00F02905"/>
    <w:rsid w:val="00F02932"/>
    <w:rsid w:val="00F029CF"/>
    <w:rsid w:val="00F02A4D"/>
    <w:rsid w:val="00F02B12"/>
    <w:rsid w:val="00F02C66"/>
    <w:rsid w:val="00F02CCE"/>
    <w:rsid w:val="00F02D34"/>
    <w:rsid w:val="00F02D53"/>
    <w:rsid w:val="00F02F48"/>
    <w:rsid w:val="00F03004"/>
    <w:rsid w:val="00F03018"/>
    <w:rsid w:val="00F0310D"/>
    <w:rsid w:val="00F03112"/>
    <w:rsid w:val="00F03154"/>
    <w:rsid w:val="00F03177"/>
    <w:rsid w:val="00F031BF"/>
    <w:rsid w:val="00F0326E"/>
    <w:rsid w:val="00F03378"/>
    <w:rsid w:val="00F0340D"/>
    <w:rsid w:val="00F034D4"/>
    <w:rsid w:val="00F03515"/>
    <w:rsid w:val="00F03517"/>
    <w:rsid w:val="00F0357C"/>
    <w:rsid w:val="00F035B4"/>
    <w:rsid w:val="00F035D3"/>
    <w:rsid w:val="00F03656"/>
    <w:rsid w:val="00F036D7"/>
    <w:rsid w:val="00F0382A"/>
    <w:rsid w:val="00F0382E"/>
    <w:rsid w:val="00F03837"/>
    <w:rsid w:val="00F0387E"/>
    <w:rsid w:val="00F03880"/>
    <w:rsid w:val="00F038E1"/>
    <w:rsid w:val="00F0390B"/>
    <w:rsid w:val="00F03966"/>
    <w:rsid w:val="00F03A2A"/>
    <w:rsid w:val="00F03A2C"/>
    <w:rsid w:val="00F03A3A"/>
    <w:rsid w:val="00F03B19"/>
    <w:rsid w:val="00F03B99"/>
    <w:rsid w:val="00F03CC4"/>
    <w:rsid w:val="00F03CFA"/>
    <w:rsid w:val="00F03D01"/>
    <w:rsid w:val="00F03D63"/>
    <w:rsid w:val="00F03EDE"/>
    <w:rsid w:val="00F03F08"/>
    <w:rsid w:val="00F03F27"/>
    <w:rsid w:val="00F03F30"/>
    <w:rsid w:val="00F04069"/>
    <w:rsid w:val="00F0410C"/>
    <w:rsid w:val="00F04174"/>
    <w:rsid w:val="00F04177"/>
    <w:rsid w:val="00F04197"/>
    <w:rsid w:val="00F041BA"/>
    <w:rsid w:val="00F041BD"/>
    <w:rsid w:val="00F0427C"/>
    <w:rsid w:val="00F042C6"/>
    <w:rsid w:val="00F042C8"/>
    <w:rsid w:val="00F04348"/>
    <w:rsid w:val="00F043C4"/>
    <w:rsid w:val="00F04405"/>
    <w:rsid w:val="00F0441D"/>
    <w:rsid w:val="00F04430"/>
    <w:rsid w:val="00F04479"/>
    <w:rsid w:val="00F04499"/>
    <w:rsid w:val="00F0449B"/>
    <w:rsid w:val="00F04520"/>
    <w:rsid w:val="00F045E7"/>
    <w:rsid w:val="00F045EB"/>
    <w:rsid w:val="00F046C6"/>
    <w:rsid w:val="00F046E6"/>
    <w:rsid w:val="00F0474A"/>
    <w:rsid w:val="00F047BD"/>
    <w:rsid w:val="00F0487C"/>
    <w:rsid w:val="00F0489F"/>
    <w:rsid w:val="00F048D2"/>
    <w:rsid w:val="00F048EA"/>
    <w:rsid w:val="00F0497A"/>
    <w:rsid w:val="00F04AD5"/>
    <w:rsid w:val="00F04AFC"/>
    <w:rsid w:val="00F04BCA"/>
    <w:rsid w:val="00F04BF0"/>
    <w:rsid w:val="00F04C9B"/>
    <w:rsid w:val="00F04D1A"/>
    <w:rsid w:val="00F04D21"/>
    <w:rsid w:val="00F04D99"/>
    <w:rsid w:val="00F04DD8"/>
    <w:rsid w:val="00F04EBA"/>
    <w:rsid w:val="00F04F38"/>
    <w:rsid w:val="00F04F55"/>
    <w:rsid w:val="00F04F68"/>
    <w:rsid w:val="00F04FE3"/>
    <w:rsid w:val="00F050A1"/>
    <w:rsid w:val="00F0511B"/>
    <w:rsid w:val="00F051CB"/>
    <w:rsid w:val="00F05224"/>
    <w:rsid w:val="00F05227"/>
    <w:rsid w:val="00F05360"/>
    <w:rsid w:val="00F053EA"/>
    <w:rsid w:val="00F053FF"/>
    <w:rsid w:val="00F05422"/>
    <w:rsid w:val="00F05487"/>
    <w:rsid w:val="00F054C9"/>
    <w:rsid w:val="00F05508"/>
    <w:rsid w:val="00F05533"/>
    <w:rsid w:val="00F0559B"/>
    <w:rsid w:val="00F05637"/>
    <w:rsid w:val="00F0566A"/>
    <w:rsid w:val="00F0566C"/>
    <w:rsid w:val="00F056A9"/>
    <w:rsid w:val="00F056F5"/>
    <w:rsid w:val="00F0570F"/>
    <w:rsid w:val="00F05737"/>
    <w:rsid w:val="00F0574F"/>
    <w:rsid w:val="00F05844"/>
    <w:rsid w:val="00F05875"/>
    <w:rsid w:val="00F05892"/>
    <w:rsid w:val="00F058E8"/>
    <w:rsid w:val="00F05A26"/>
    <w:rsid w:val="00F05A96"/>
    <w:rsid w:val="00F05A98"/>
    <w:rsid w:val="00F05AC3"/>
    <w:rsid w:val="00F05ADD"/>
    <w:rsid w:val="00F05B73"/>
    <w:rsid w:val="00F05C85"/>
    <w:rsid w:val="00F05DC8"/>
    <w:rsid w:val="00F05DE8"/>
    <w:rsid w:val="00F05EA2"/>
    <w:rsid w:val="00F05FAB"/>
    <w:rsid w:val="00F06080"/>
    <w:rsid w:val="00F0608F"/>
    <w:rsid w:val="00F06130"/>
    <w:rsid w:val="00F0620A"/>
    <w:rsid w:val="00F062F6"/>
    <w:rsid w:val="00F06328"/>
    <w:rsid w:val="00F0632F"/>
    <w:rsid w:val="00F0644A"/>
    <w:rsid w:val="00F0659C"/>
    <w:rsid w:val="00F065D2"/>
    <w:rsid w:val="00F065DD"/>
    <w:rsid w:val="00F066D2"/>
    <w:rsid w:val="00F06713"/>
    <w:rsid w:val="00F0679D"/>
    <w:rsid w:val="00F068A4"/>
    <w:rsid w:val="00F0692D"/>
    <w:rsid w:val="00F0694F"/>
    <w:rsid w:val="00F06967"/>
    <w:rsid w:val="00F06979"/>
    <w:rsid w:val="00F06986"/>
    <w:rsid w:val="00F069C5"/>
    <w:rsid w:val="00F069E3"/>
    <w:rsid w:val="00F06A22"/>
    <w:rsid w:val="00F06AD9"/>
    <w:rsid w:val="00F06AE4"/>
    <w:rsid w:val="00F06B4F"/>
    <w:rsid w:val="00F06C9E"/>
    <w:rsid w:val="00F06CBF"/>
    <w:rsid w:val="00F06E50"/>
    <w:rsid w:val="00F06EA6"/>
    <w:rsid w:val="00F0700E"/>
    <w:rsid w:val="00F07056"/>
    <w:rsid w:val="00F07071"/>
    <w:rsid w:val="00F070B8"/>
    <w:rsid w:val="00F070F1"/>
    <w:rsid w:val="00F0714F"/>
    <w:rsid w:val="00F07224"/>
    <w:rsid w:val="00F0725B"/>
    <w:rsid w:val="00F072F9"/>
    <w:rsid w:val="00F07393"/>
    <w:rsid w:val="00F073EE"/>
    <w:rsid w:val="00F07406"/>
    <w:rsid w:val="00F074AA"/>
    <w:rsid w:val="00F07512"/>
    <w:rsid w:val="00F07516"/>
    <w:rsid w:val="00F0760D"/>
    <w:rsid w:val="00F0762E"/>
    <w:rsid w:val="00F07683"/>
    <w:rsid w:val="00F076EB"/>
    <w:rsid w:val="00F07713"/>
    <w:rsid w:val="00F0771F"/>
    <w:rsid w:val="00F07721"/>
    <w:rsid w:val="00F077BE"/>
    <w:rsid w:val="00F077D6"/>
    <w:rsid w:val="00F07846"/>
    <w:rsid w:val="00F078B9"/>
    <w:rsid w:val="00F07909"/>
    <w:rsid w:val="00F07918"/>
    <w:rsid w:val="00F079FD"/>
    <w:rsid w:val="00F07A0C"/>
    <w:rsid w:val="00F07A6F"/>
    <w:rsid w:val="00F07A9E"/>
    <w:rsid w:val="00F07AB7"/>
    <w:rsid w:val="00F07B10"/>
    <w:rsid w:val="00F07CDC"/>
    <w:rsid w:val="00F07CFA"/>
    <w:rsid w:val="00F07D44"/>
    <w:rsid w:val="00F07D49"/>
    <w:rsid w:val="00F07DBE"/>
    <w:rsid w:val="00F07E2A"/>
    <w:rsid w:val="00F10018"/>
    <w:rsid w:val="00F1005E"/>
    <w:rsid w:val="00F1008D"/>
    <w:rsid w:val="00F100D8"/>
    <w:rsid w:val="00F101C3"/>
    <w:rsid w:val="00F10219"/>
    <w:rsid w:val="00F10227"/>
    <w:rsid w:val="00F10228"/>
    <w:rsid w:val="00F10296"/>
    <w:rsid w:val="00F102F2"/>
    <w:rsid w:val="00F1030C"/>
    <w:rsid w:val="00F103AC"/>
    <w:rsid w:val="00F103CC"/>
    <w:rsid w:val="00F10476"/>
    <w:rsid w:val="00F10524"/>
    <w:rsid w:val="00F10583"/>
    <w:rsid w:val="00F10678"/>
    <w:rsid w:val="00F106A8"/>
    <w:rsid w:val="00F106EE"/>
    <w:rsid w:val="00F107AC"/>
    <w:rsid w:val="00F107B4"/>
    <w:rsid w:val="00F108E7"/>
    <w:rsid w:val="00F1099D"/>
    <w:rsid w:val="00F109DA"/>
    <w:rsid w:val="00F10AE5"/>
    <w:rsid w:val="00F10B4F"/>
    <w:rsid w:val="00F10BB5"/>
    <w:rsid w:val="00F10C67"/>
    <w:rsid w:val="00F10CF5"/>
    <w:rsid w:val="00F10D31"/>
    <w:rsid w:val="00F10D33"/>
    <w:rsid w:val="00F10DAB"/>
    <w:rsid w:val="00F10DC2"/>
    <w:rsid w:val="00F10F2B"/>
    <w:rsid w:val="00F10F4F"/>
    <w:rsid w:val="00F1104C"/>
    <w:rsid w:val="00F11094"/>
    <w:rsid w:val="00F11097"/>
    <w:rsid w:val="00F110A5"/>
    <w:rsid w:val="00F11175"/>
    <w:rsid w:val="00F1118D"/>
    <w:rsid w:val="00F1119F"/>
    <w:rsid w:val="00F1138E"/>
    <w:rsid w:val="00F11393"/>
    <w:rsid w:val="00F113B0"/>
    <w:rsid w:val="00F113EF"/>
    <w:rsid w:val="00F1150C"/>
    <w:rsid w:val="00F11562"/>
    <w:rsid w:val="00F11569"/>
    <w:rsid w:val="00F11596"/>
    <w:rsid w:val="00F115CF"/>
    <w:rsid w:val="00F115F3"/>
    <w:rsid w:val="00F11681"/>
    <w:rsid w:val="00F116A4"/>
    <w:rsid w:val="00F1172C"/>
    <w:rsid w:val="00F11739"/>
    <w:rsid w:val="00F11815"/>
    <w:rsid w:val="00F11849"/>
    <w:rsid w:val="00F118E0"/>
    <w:rsid w:val="00F118E6"/>
    <w:rsid w:val="00F118ED"/>
    <w:rsid w:val="00F11922"/>
    <w:rsid w:val="00F119CC"/>
    <w:rsid w:val="00F119DE"/>
    <w:rsid w:val="00F11A1B"/>
    <w:rsid w:val="00F11A29"/>
    <w:rsid w:val="00F11ACC"/>
    <w:rsid w:val="00F11B92"/>
    <w:rsid w:val="00F11BB9"/>
    <w:rsid w:val="00F11CC6"/>
    <w:rsid w:val="00F11CFD"/>
    <w:rsid w:val="00F11D5F"/>
    <w:rsid w:val="00F11E78"/>
    <w:rsid w:val="00F12071"/>
    <w:rsid w:val="00F12087"/>
    <w:rsid w:val="00F1221E"/>
    <w:rsid w:val="00F12239"/>
    <w:rsid w:val="00F12279"/>
    <w:rsid w:val="00F122F2"/>
    <w:rsid w:val="00F123CA"/>
    <w:rsid w:val="00F124A6"/>
    <w:rsid w:val="00F12548"/>
    <w:rsid w:val="00F125A6"/>
    <w:rsid w:val="00F126C5"/>
    <w:rsid w:val="00F12700"/>
    <w:rsid w:val="00F1273D"/>
    <w:rsid w:val="00F128EE"/>
    <w:rsid w:val="00F128F5"/>
    <w:rsid w:val="00F128F7"/>
    <w:rsid w:val="00F12961"/>
    <w:rsid w:val="00F12A33"/>
    <w:rsid w:val="00F12A5E"/>
    <w:rsid w:val="00F12A93"/>
    <w:rsid w:val="00F12A95"/>
    <w:rsid w:val="00F12B07"/>
    <w:rsid w:val="00F12BA5"/>
    <w:rsid w:val="00F12C29"/>
    <w:rsid w:val="00F12C5D"/>
    <w:rsid w:val="00F12C9B"/>
    <w:rsid w:val="00F12D07"/>
    <w:rsid w:val="00F12D53"/>
    <w:rsid w:val="00F12E1D"/>
    <w:rsid w:val="00F12EF1"/>
    <w:rsid w:val="00F13137"/>
    <w:rsid w:val="00F1314F"/>
    <w:rsid w:val="00F13161"/>
    <w:rsid w:val="00F1316F"/>
    <w:rsid w:val="00F132AA"/>
    <w:rsid w:val="00F132C8"/>
    <w:rsid w:val="00F132CE"/>
    <w:rsid w:val="00F133A9"/>
    <w:rsid w:val="00F13426"/>
    <w:rsid w:val="00F1344A"/>
    <w:rsid w:val="00F13503"/>
    <w:rsid w:val="00F135B4"/>
    <w:rsid w:val="00F1360B"/>
    <w:rsid w:val="00F13672"/>
    <w:rsid w:val="00F138FD"/>
    <w:rsid w:val="00F1394A"/>
    <w:rsid w:val="00F13BE2"/>
    <w:rsid w:val="00F13BF8"/>
    <w:rsid w:val="00F13C38"/>
    <w:rsid w:val="00F13C85"/>
    <w:rsid w:val="00F13CCB"/>
    <w:rsid w:val="00F13CD2"/>
    <w:rsid w:val="00F13CDA"/>
    <w:rsid w:val="00F13D53"/>
    <w:rsid w:val="00F13DE5"/>
    <w:rsid w:val="00F13E23"/>
    <w:rsid w:val="00F13F8E"/>
    <w:rsid w:val="00F13FDB"/>
    <w:rsid w:val="00F1419A"/>
    <w:rsid w:val="00F142BB"/>
    <w:rsid w:val="00F14314"/>
    <w:rsid w:val="00F1435C"/>
    <w:rsid w:val="00F143AC"/>
    <w:rsid w:val="00F144D2"/>
    <w:rsid w:val="00F14510"/>
    <w:rsid w:val="00F14586"/>
    <w:rsid w:val="00F1459E"/>
    <w:rsid w:val="00F1473A"/>
    <w:rsid w:val="00F14750"/>
    <w:rsid w:val="00F147B1"/>
    <w:rsid w:val="00F147B6"/>
    <w:rsid w:val="00F147D2"/>
    <w:rsid w:val="00F148E5"/>
    <w:rsid w:val="00F149EC"/>
    <w:rsid w:val="00F14A8A"/>
    <w:rsid w:val="00F14A90"/>
    <w:rsid w:val="00F14AA3"/>
    <w:rsid w:val="00F14AEB"/>
    <w:rsid w:val="00F14B89"/>
    <w:rsid w:val="00F14B93"/>
    <w:rsid w:val="00F14BC0"/>
    <w:rsid w:val="00F14C57"/>
    <w:rsid w:val="00F14C92"/>
    <w:rsid w:val="00F14CB5"/>
    <w:rsid w:val="00F14D16"/>
    <w:rsid w:val="00F14D97"/>
    <w:rsid w:val="00F14DE3"/>
    <w:rsid w:val="00F14E1E"/>
    <w:rsid w:val="00F14E55"/>
    <w:rsid w:val="00F14EA7"/>
    <w:rsid w:val="00F15043"/>
    <w:rsid w:val="00F1506F"/>
    <w:rsid w:val="00F150D4"/>
    <w:rsid w:val="00F151B7"/>
    <w:rsid w:val="00F1521F"/>
    <w:rsid w:val="00F15251"/>
    <w:rsid w:val="00F1531C"/>
    <w:rsid w:val="00F1534B"/>
    <w:rsid w:val="00F1536E"/>
    <w:rsid w:val="00F15489"/>
    <w:rsid w:val="00F15499"/>
    <w:rsid w:val="00F154EA"/>
    <w:rsid w:val="00F154F2"/>
    <w:rsid w:val="00F154FA"/>
    <w:rsid w:val="00F15567"/>
    <w:rsid w:val="00F155BA"/>
    <w:rsid w:val="00F15695"/>
    <w:rsid w:val="00F1569D"/>
    <w:rsid w:val="00F156B1"/>
    <w:rsid w:val="00F15747"/>
    <w:rsid w:val="00F158D8"/>
    <w:rsid w:val="00F15A3D"/>
    <w:rsid w:val="00F15AAC"/>
    <w:rsid w:val="00F15B52"/>
    <w:rsid w:val="00F15D56"/>
    <w:rsid w:val="00F15D5F"/>
    <w:rsid w:val="00F15D73"/>
    <w:rsid w:val="00F15D7E"/>
    <w:rsid w:val="00F15DA7"/>
    <w:rsid w:val="00F15E4D"/>
    <w:rsid w:val="00F15E7E"/>
    <w:rsid w:val="00F15EE8"/>
    <w:rsid w:val="00F15F17"/>
    <w:rsid w:val="00F15F7C"/>
    <w:rsid w:val="00F15F9B"/>
    <w:rsid w:val="00F1602F"/>
    <w:rsid w:val="00F1604B"/>
    <w:rsid w:val="00F16057"/>
    <w:rsid w:val="00F1607E"/>
    <w:rsid w:val="00F160CB"/>
    <w:rsid w:val="00F160EC"/>
    <w:rsid w:val="00F160F1"/>
    <w:rsid w:val="00F1617F"/>
    <w:rsid w:val="00F161A9"/>
    <w:rsid w:val="00F162BC"/>
    <w:rsid w:val="00F163B1"/>
    <w:rsid w:val="00F163DB"/>
    <w:rsid w:val="00F16426"/>
    <w:rsid w:val="00F164F4"/>
    <w:rsid w:val="00F16524"/>
    <w:rsid w:val="00F1654B"/>
    <w:rsid w:val="00F1655F"/>
    <w:rsid w:val="00F16591"/>
    <w:rsid w:val="00F165E1"/>
    <w:rsid w:val="00F16619"/>
    <w:rsid w:val="00F16626"/>
    <w:rsid w:val="00F16635"/>
    <w:rsid w:val="00F16644"/>
    <w:rsid w:val="00F166A5"/>
    <w:rsid w:val="00F166D4"/>
    <w:rsid w:val="00F16771"/>
    <w:rsid w:val="00F167DE"/>
    <w:rsid w:val="00F167E6"/>
    <w:rsid w:val="00F16848"/>
    <w:rsid w:val="00F1686C"/>
    <w:rsid w:val="00F16888"/>
    <w:rsid w:val="00F16928"/>
    <w:rsid w:val="00F16966"/>
    <w:rsid w:val="00F16A01"/>
    <w:rsid w:val="00F16A17"/>
    <w:rsid w:val="00F16A4F"/>
    <w:rsid w:val="00F16A65"/>
    <w:rsid w:val="00F16AEE"/>
    <w:rsid w:val="00F16B60"/>
    <w:rsid w:val="00F16C70"/>
    <w:rsid w:val="00F16D67"/>
    <w:rsid w:val="00F16F4B"/>
    <w:rsid w:val="00F16F7A"/>
    <w:rsid w:val="00F17062"/>
    <w:rsid w:val="00F17077"/>
    <w:rsid w:val="00F17099"/>
    <w:rsid w:val="00F1709E"/>
    <w:rsid w:val="00F17104"/>
    <w:rsid w:val="00F1711B"/>
    <w:rsid w:val="00F1718E"/>
    <w:rsid w:val="00F17217"/>
    <w:rsid w:val="00F173FC"/>
    <w:rsid w:val="00F17497"/>
    <w:rsid w:val="00F174C2"/>
    <w:rsid w:val="00F17528"/>
    <w:rsid w:val="00F1756C"/>
    <w:rsid w:val="00F175FB"/>
    <w:rsid w:val="00F176C0"/>
    <w:rsid w:val="00F176DE"/>
    <w:rsid w:val="00F17792"/>
    <w:rsid w:val="00F17795"/>
    <w:rsid w:val="00F177D3"/>
    <w:rsid w:val="00F177E9"/>
    <w:rsid w:val="00F1781F"/>
    <w:rsid w:val="00F17850"/>
    <w:rsid w:val="00F17A35"/>
    <w:rsid w:val="00F17A40"/>
    <w:rsid w:val="00F17B20"/>
    <w:rsid w:val="00F17CDA"/>
    <w:rsid w:val="00F17D01"/>
    <w:rsid w:val="00F17D03"/>
    <w:rsid w:val="00F17D6B"/>
    <w:rsid w:val="00F17E5D"/>
    <w:rsid w:val="00F17F07"/>
    <w:rsid w:val="00F20026"/>
    <w:rsid w:val="00F20085"/>
    <w:rsid w:val="00F20181"/>
    <w:rsid w:val="00F20237"/>
    <w:rsid w:val="00F20270"/>
    <w:rsid w:val="00F202AD"/>
    <w:rsid w:val="00F202CF"/>
    <w:rsid w:val="00F20343"/>
    <w:rsid w:val="00F203CF"/>
    <w:rsid w:val="00F2057E"/>
    <w:rsid w:val="00F205E7"/>
    <w:rsid w:val="00F2060F"/>
    <w:rsid w:val="00F2061A"/>
    <w:rsid w:val="00F207BA"/>
    <w:rsid w:val="00F20936"/>
    <w:rsid w:val="00F209F7"/>
    <w:rsid w:val="00F20A28"/>
    <w:rsid w:val="00F20A37"/>
    <w:rsid w:val="00F20A71"/>
    <w:rsid w:val="00F20ABA"/>
    <w:rsid w:val="00F20B9E"/>
    <w:rsid w:val="00F20C3B"/>
    <w:rsid w:val="00F20C43"/>
    <w:rsid w:val="00F20D13"/>
    <w:rsid w:val="00F20F1D"/>
    <w:rsid w:val="00F21021"/>
    <w:rsid w:val="00F210C5"/>
    <w:rsid w:val="00F210DB"/>
    <w:rsid w:val="00F21231"/>
    <w:rsid w:val="00F21247"/>
    <w:rsid w:val="00F21253"/>
    <w:rsid w:val="00F2130E"/>
    <w:rsid w:val="00F2131E"/>
    <w:rsid w:val="00F213F4"/>
    <w:rsid w:val="00F21449"/>
    <w:rsid w:val="00F21472"/>
    <w:rsid w:val="00F214BA"/>
    <w:rsid w:val="00F214E0"/>
    <w:rsid w:val="00F21546"/>
    <w:rsid w:val="00F21590"/>
    <w:rsid w:val="00F215DE"/>
    <w:rsid w:val="00F21609"/>
    <w:rsid w:val="00F21737"/>
    <w:rsid w:val="00F217D8"/>
    <w:rsid w:val="00F217DC"/>
    <w:rsid w:val="00F21805"/>
    <w:rsid w:val="00F2182E"/>
    <w:rsid w:val="00F21882"/>
    <w:rsid w:val="00F218EB"/>
    <w:rsid w:val="00F2194A"/>
    <w:rsid w:val="00F219C8"/>
    <w:rsid w:val="00F21A05"/>
    <w:rsid w:val="00F21A06"/>
    <w:rsid w:val="00F21A2B"/>
    <w:rsid w:val="00F21A76"/>
    <w:rsid w:val="00F21B91"/>
    <w:rsid w:val="00F21BDF"/>
    <w:rsid w:val="00F21C19"/>
    <w:rsid w:val="00F21D35"/>
    <w:rsid w:val="00F21D51"/>
    <w:rsid w:val="00F21DD4"/>
    <w:rsid w:val="00F21EDB"/>
    <w:rsid w:val="00F21EE3"/>
    <w:rsid w:val="00F21F78"/>
    <w:rsid w:val="00F22153"/>
    <w:rsid w:val="00F2216D"/>
    <w:rsid w:val="00F22480"/>
    <w:rsid w:val="00F22530"/>
    <w:rsid w:val="00F225CB"/>
    <w:rsid w:val="00F22698"/>
    <w:rsid w:val="00F226A1"/>
    <w:rsid w:val="00F226A7"/>
    <w:rsid w:val="00F22708"/>
    <w:rsid w:val="00F22725"/>
    <w:rsid w:val="00F22747"/>
    <w:rsid w:val="00F22766"/>
    <w:rsid w:val="00F227BC"/>
    <w:rsid w:val="00F227DA"/>
    <w:rsid w:val="00F22837"/>
    <w:rsid w:val="00F22840"/>
    <w:rsid w:val="00F2287A"/>
    <w:rsid w:val="00F228C1"/>
    <w:rsid w:val="00F22919"/>
    <w:rsid w:val="00F22930"/>
    <w:rsid w:val="00F22A4A"/>
    <w:rsid w:val="00F22A51"/>
    <w:rsid w:val="00F22AB8"/>
    <w:rsid w:val="00F22B66"/>
    <w:rsid w:val="00F22B69"/>
    <w:rsid w:val="00F22BAE"/>
    <w:rsid w:val="00F22C07"/>
    <w:rsid w:val="00F22CCE"/>
    <w:rsid w:val="00F22D4B"/>
    <w:rsid w:val="00F22DA8"/>
    <w:rsid w:val="00F22DEB"/>
    <w:rsid w:val="00F22E17"/>
    <w:rsid w:val="00F22E8D"/>
    <w:rsid w:val="00F22EC9"/>
    <w:rsid w:val="00F22EFA"/>
    <w:rsid w:val="00F22F20"/>
    <w:rsid w:val="00F22F61"/>
    <w:rsid w:val="00F22F73"/>
    <w:rsid w:val="00F22F8E"/>
    <w:rsid w:val="00F23008"/>
    <w:rsid w:val="00F23044"/>
    <w:rsid w:val="00F2309D"/>
    <w:rsid w:val="00F230C9"/>
    <w:rsid w:val="00F230DA"/>
    <w:rsid w:val="00F2319B"/>
    <w:rsid w:val="00F231B0"/>
    <w:rsid w:val="00F2322C"/>
    <w:rsid w:val="00F232F1"/>
    <w:rsid w:val="00F233C1"/>
    <w:rsid w:val="00F233DF"/>
    <w:rsid w:val="00F2340D"/>
    <w:rsid w:val="00F23422"/>
    <w:rsid w:val="00F23458"/>
    <w:rsid w:val="00F2349F"/>
    <w:rsid w:val="00F23518"/>
    <w:rsid w:val="00F23542"/>
    <w:rsid w:val="00F23659"/>
    <w:rsid w:val="00F236CB"/>
    <w:rsid w:val="00F236CC"/>
    <w:rsid w:val="00F23759"/>
    <w:rsid w:val="00F237C3"/>
    <w:rsid w:val="00F237DD"/>
    <w:rsid w:val="00F237F8"/>
    <w:rsid w:val="00F23828"/>
    <w:rsid w:val="00F23841"/>
    <w:rsid w:val="00F23845"/>
    <w:rsid w:val="00F23965"/>
    <w:rsid w:val="00F239D6"/>
    <w:rsid w:val="00F23AD4"/>
    <w:rsid w:val="00F23BCE"/>
    <w:rsid w:val="00F23C0F"/>
    <w:rsid w:val="00F23D20"/>
    <w:rsid w:val="00F23D3D"/>
    <w:rsid w:val="00F23DA3"/>
    <w:rsid w:val="00F23E59"/>
    <w:rsid w:val="00F23E8A"/>
    <w:rsid w:val="00F23EA6"/>
    <w:rsid w:val="00F24032"/>
    <w:rsid w:val="00F24192"/>
    <w:rsid w:val="00F243FF"/>
    <w:rsid w:val="00F24463"/>
    <w:rsid w:val="00F244D5"/>
    <w:rsid w:val="00F244F2"/>
    <w:rsid w:val="00F2453B"/>
    <w:rsid w:val="00F24571"/>
    <w:rsid w:val="00F245AB"/>
    <w:rsid w:val="00F245B0"/>
    <w:rsid w:val="00F245FE"/>
    <w:rsid w:val="00F24708"/>
    <w:rsid w:val="00F2477D"/>
    <w:rsid w:val="00F2477E"/>
    <w:rsid w:val="00F24815"/>
    <w:rsid w:val="00F24935"/>
    <w:rsid w:val="00F24A5C"/>
    <w:rsid w:val="00F24ABA"/>
    <w:rsid w:val="00F24E17"/>
    <w:rsid w:val="00F24E18"/>
    <w:rsid w:val="00F24E38"/>
    <w:rsid w:val="00F24E45"/>
    <w:rsid w:val="00F24F30"/>
    <w:rsid w:val="00F24F56"/>
    <w:rsid w:val="00F24FD0"/>
    <w:rsid w:val="00F24FE0"/>
    <w:rsid w:val="00F24FE6"/>
    <w:rsid w:val="00F25177"/>
    <w:rsid w:val="00F25268"/>
    <w:rsid w:val="00F25321"/>
    <w:rsid w:val="00F25346"/>
    <w:rsid w:val="00F253AF"/>
    <w:rsid w:val="00F25436"/>
    <w:rsid w:val="00F25440"/>
    <w:rsid w:val="00F254B2"/>
    <w:rsid w:val="00F25533"/>
    <w:rsid w:val="00F25601"/>
    <w:rsid w:val="00F2565E"/>
    <w:rsid w:val="00F25787"/>
    <w:rsid w:val="00F257B6"/>
    <w:rsid w:val="00F257FA"/>
    <w:rsid w:val="00F2584B"/>
    <w:rsid w:val="00F25886"/>
    <w:rsid w:val="00F25A8B"/>
    <w:rsid w:val="00F25AA0"/>
    <w:rsid w:val="00F25ADB"/>
    <w:rsid w:val="00F25AEF"/>
    <w:rsid w:val="00F25BA6"/>
    <w:rsid w:val="00F25BEC"/>
    <w:rsid w:val="00F25C01"/>
    <w:rsid w:val="00F25CA7"/>
    <w:rsid w:val="00F25DF1"/>
    <w:rsid w:val="00F25EC3"/>
    <w:rsid w:val="00F25F48"/>
    <w:rsid w:val="00F2601C"/>
    <w:rsid w:val="00F26083"/>
    <w:rsid w:val="00F260C1"/>
    <w:rsid w:val="00F2618E"/>
    <w:rsid w:val="00F26196"/>
    <w:rsid w:val="00F261DB"/>
    <w:rsid w:val="00F26335"/>
    <w:rsid w:val="00F2643F"/>
    <w:rsid w:val="00F264AF"/>
    <w:rsid w:val="00F26731"/>
    <w:rsid w:val="00F26886"/>
    <w:rsid w:val="00F26906"/>
    <w:rsid w:val="00F26ADB"/>
    <w:rsid w:val="00F26B02"/>
    <w:rsid w:val="00F26B78"/>
    <w:rsid w:val="00F26B8D"/>
    <w:rsid w:val="00F26C4E"/>
    <w:rsid w:val="00F26CB7"/>
    <w:rsid w:val="00F26CC1"/>
    <w:rsid w:val="00F26CCC"/>
    <w:rsid w:val="00F26D32"/>
    <w:rsid w:val="00F26FA2"/>
    <w:rsid w:val="00F270A0"/>
    <w:rsid w:val="00F2711E"/>
    <w:rsid w:val="00F27120"/>
    <w:rsid w:val="00F2723B"/>
    <w:rsid w:val="00F272AC"/>
    <w:rsid w:val="00F2730A"/>
    <w:rsid w:val="00F2737F"/>
    <w:rsid w:val="00F2742B"/>
    <w:rsid w:val="00F274CE"/>
    <w:rsid w:val="00F27572"/>
    <w:rsid w:val="00F2759F"/>
    <w:rsid w:val="00F2762A"/>
    <w:rsid w:val="00F27642"/>
    <w:rsid w:val="00F27680"/>
    <w:rsid w:val="00F2770C"/>
    <w:rsid w:val="00F278AE"/>
    <w:rsid w:val="00F279E2"/>
    <w:rsid w:val="00F27A5C"/>
    <w:rsid w:val="00F27B15"/>
    <w:rsid w:val="00F27B7B"/>
    <w:rsid w:val="00F27BC3"/>
    <w:rsid w:val="00F27DB6"/>
    <w:rsid w:val="00F27DC2"/>
    <w:rsid w:val="00F27E08"/>
    <w:rsid w:val="00F27E66"/>
    <w:rsid w:val="00F27E8C"/>
    <w:rsid w:val="00F27F3D"/>
    <w:rsid w:val="00F300B1"/>
    <w:rsid w:val="00F30142"/>
    <w:rsid w:val="00F301C7"/>
    <w:rsid w:val="00F3024E"/>
    <w:rsid w:val="00F3028E"/>
    <w:rsid w:val="00F3037D"/>
    <w:rsid w:val="00F3044A"/>
    <w:rsid w:val="00F30458"/>
    <w:rsid w:val="00F30482"/>
    <w:rsid w:val="00F30572"/>
    <w:rsid w:val="00F305EB"/>
    <w:rsid w:val="00F306AB"/>
    <w:rsid w:val="00F30711"/>
    <w:rsid w:val="00F307FF"/>
    <w:rsid w:val="00F3091C"/>
    <w:rsid w:val="00F30952"/>
    <w:rsid w:val="00F309B5"/>
    <w:rsid w:val="00F309D5"/>
    <w:rsid w:val="00F30AAA"/>
    <w:rsid w:val="00F30C1D"/>
    <w:rsid w:val="00F30DE6"/>
    <w:rsid w:val="00F30DFF"/>
    <w:rsid w:val="00F30E7F"/>
    <w:rsid w:val="00F30ED8"/>
    <w:rsid w:val="00F31049"/>
    <w:rsid w:val="00F310DD"/>
    <w:rsid w:val="00F31190"/>
    <w:rsid w:val="00F3119D"/>
    <w:rsid w:val="00F311BD"/>
    <w:rsid w:val="00F31290"/>
    <w:rsid w:val="00F312B4"/>
    <w:rsid w:val="00F31390"/>
    <w:rsid w:val="00F313E6"/>
    <w:rsid w:val="00F31435"/>
    <w:rsid w:val="00F31493"/>
    <w:rsid w:val="00F314C3"/>
    <w:rsid w:val="00F315C9"/>
    <w:rsid w:val="00F31622"/>
    <w:rsid w:val="00F316AA"/>
    <w:rsid w:val="00F316DD"/>
    <w:rsid w:val="00F317DD"/>
    <w:rsid w:val="00F31826"/>
    <w:rsid w:val="00F3188E"/>
    <w:rsid w:val="00F318A5"/>
    <w:rsid w:val="00F318B2"/>
    <w:rsid w:val="00F3197D"/>
    <w:rsid w:val="00F31A93"/>
    <w:rsid w:val="00F31AA5"/>
    <w:rsid w:val="00F31AE9"/>
    <w:rsid w:val="00F31AFC"/>
    <w:rsid w:val="00F31B2F"/>
    <w:rsid w:val="00F31B7F"/>
    <w:rsid w:val="00F31C9C"/>
    <w:rsid w:val="00F31D1F"/>
    <w:rsid w:val="00F31D27"/>
    <w:rsid w:val="00F31D55"/>
    <w:rsid w:val="00F31D5B"/>
    <w:rsid w:val="00F31DC6"/>
    <w:rsid w:val="00F31F3A"/>
    <w:rsid w:val="00F3205D"/>
    <w:rsid w:val="00F320F6"/>
    <w:rsid w:val="00F32148"/>
    <w:rsid w:val="00F32153"/>
    <w:rsid w:val="00F32162"/>
    <w:rsid w:val="00F321AE"/>
    <w:rsid w:val="00F321F6"/>
    <w:rsid w:val="00F32236"/>
    <w:rsid w:val="00F32266"/>
    <w:rsid w:val="00F32314"/>
    <w:rsid w:val="00F3232D"/>
    <w:rsid w:val="00F32359"/>
    <w:rsid w:val="00F323B2"/>
    <w:rsid w:val="00F32469"/>
    <w:rsid w:val="00F324BC"/>
    <w:rsid w:val="00F324C0"/>
    <w:rsid w:val="00F32513"/>
    <w:rsid w:val="00F32530"/>
    <w:rsid w:val="00F3259E"/>
    <w:rsid w:val="00F325A7"/>
    <w:rsid w:val="00F325AB"/>
    <w:rsid w:val="00F325B7"/>
    <w:rsid w:val="00F325E7"/>
    <w:rsid w:val="00F3261C"/>
    <w:rsid w:val="00F3261D"/>
    <w:rsid w:val="00F326C0"/>
    <w:rsid w:val="00F32719"/>
    <w:rsid w:val="00F3275C"/>
    <w:rsid w:val="00F327A1"/>
    <w:rsid w:val="00F32856"/>
    <w:rsid w:val="00F3292C"/>
    <w:rsid w:val="00F32941"/>
    <w:rsid w:val="00F32997"/>
    <w:rsid w:val="00F32AC7"/>
    <w:rsid w:val="00F32B65"/>
    <w:rsid w:val="00F32BED"/>
    <w:rsid w:val="00F32C35"/>
    <w:rsid w:val="00F32C4A"/>
    <w:rsid w:val="00F32E1B"/>
    <w:rsid w:val="00F32EC8"/>
    <w:rsid w:val="00F32EEA"/>
    <w:rsid w:val="00F33052"/>
    <w:rsid w:val="00F3305B"/>
    <w:rsid w:val="00F330F6"/>
    <w:rsid w:val="00F3325A"/>
    <w:rsid w:val="00F3329D"/>
    <w:rsid w:val="00F332B7"/>
    <w:rsid w:val="00F33320"/>
    <w:rsid w:val="00F33336"/>
    <w:rsid w:val="00F33419"/>
    <w:rsid w:val="00F33471"/>
    <w:rsid w:val="00F334EC"/>
    <w:rsid w:val="00F336DC"/>
    <w:rsid w:val="00F336FE"/>
    <w:rsid w:val="00F33762"/>
    <w:rsid w:val="00F33895"/>
    <w:rsid w:val="00F33899"/>
    <w:rsid w:val="00F33912"/>
    <w:rsid w:val="00F33913"/>
    <w:rsid w:val="00F33B92"/>
    <w:rsid w:val="00F33CC1"/>
    <w:rsid w:val="00F33DA9"/>
    <w:rsid w:val="00F33DCA"/>
    <w:rsid w:val="00F33EB2"/>
    <w:rsid w:val="00F33EBC"/>
    <w:rsid w:val="00F33ECD"/>
    <w:rsid w:val="00F33EE8"/>
    <w:rsid w:val="00F33EF0"/>
    <w:rsid w:val="00F33F5A"/>
    <w:rsid w:val="00F33FD0"/>
    <w:rsid w:val="00F34057"/>
    <w:rsid w:val="00F340F2"/>
    <w:rsid w:val="00F3419A"/>
    <w:rsid w:val="00F34243"/>
    <w:rsid w:val="00F342D3"/>
    <w:rsid w:val="00F343A3"/>
    <w:rsid w:val="00F34405"/>
    <w:rsid w:val="00F34425"/>
    <w:rsid w:val="00F344A0"/>
    <w:rsid w:val="00F3457F"/>
    <w:rsid w:val="00F34644"/>
    <w:rsid w:val="00F3475D"/>
    <w:rsid w:val="00F3477D"/>
    <w:rsid w:val="00F3478D"/>
    <w:rsid w:val="00F3478E"/>
    <w:rsid w:val="00F347EC"/>
    <w:rsid w:val="00F34821"/>
    <w:rsid w:val="00F348DC"/>
    <w:rsid w:val="00F34A0E"/>
    <w:rsid w:val="00F34A2D"/>
    <w:rsid w:val="00F34AE9"/>
    <w:rsid w:val="00F34BBA"/>
    <w:rsid w:val="00F34C1E"/>
    <w:rsid w:val="00F34C57"/>
    <w:rsid w:val="00F34CC6"/>
    <w:rsid w:val="00F34DB0"/>
    <w:rsid w:val="00F34E10"/>
    <w:rsid w:val="00F34E82"/>
    <w:rsid w:val="00F34E90"/>
    <w:rsid w:val="00F34EC2"/>
    <w:rsid w:val="00F34EDA"/>
    <w:rsid w:val="00F34EF2"/>
    <w:rsid w:val="00F34F50"/>
    <w:rsid w:val="00F34F53"/>
    <w:rsid w:val="00F34FDF"/>
    <w:rsid w:val="00F35000"/>
    <w:rsid w:val="00F35044"/>
    <w:rsid w:val="00F35136"/>
    <w:rsid w:val="00F35172"/>
    <w:rsid w:val="00F351A9"/>
    <w:rsid w:val="00F3530E"/>
    <w:rsid w:val="00F353AE"/>
    <w:rsid w:val="00F353B3"/>
    <w:rsid w:val="00F353C9"/>
    <w:rsid w:val="00F35427"/>
    <w:rsid w:val="00F354CC"/>
    <w:rsid w:val="00F354E1"/>
    <w:rsid w:val="00F35505"/>
    <w:rsid w:val="00F35533"/>
    <w:rsid w:val="00F355A6"/>
    <w:rsid w:val="00F356F7"/>
    <w:rsid w:val="00F35710"/>
    <w:rsid w:val="00F35736"/>
    <w:rsid w:val="00F357FA"/>
    <w:rsid w:val="00F35895"/>
    <w:rsid w:val="00F358F6"/>
    <w:rsid w:val="00F35915"/>
    <w:rsid w:val="00F35919"/>
    <w:rsid w:val="00F35949"/>
    <w:rsid w:val="00F359FC"/>
    <w:rsid w:val="00F35AB1"/>
    <w:rsid w:val="00F35BD5"/>
    <w:rsid w:val="00F35C1A"/>
    <w:rsid w:val="00F35C36"/>
    <w:rsid w:val="00F35C3A"/>
    <w:rsid w:val="00F35CF8"/>
    <w:rsid w:val="00F35E28"/>
    <w:rsid w:val="00F35E59"/>
    <w:rsid w:val="00F35EE5"/>
    <w:rsid w:val="00F35F5D"/>
    <w:rsid w:val="00F35F7C"/>
    <w:rsid w:val="00F35FE3"/>
    <w:rsid w:val="00F36019"/>
    <w:rsid w:val="00F360BC"/>
    <w:rsid w:val="00F3611C"/>
    <w:rsid w:val="00F3615F"/>
    <w:rsid w:val="00F36198"/>
    <w:rsid w:val="00F361D1"/>
    <w:rsid w:val="00F361D4"/>
    <w:rsid w:val="00F36231"/>
    <w:rsid w:val="00F36237"/>
    <w:rsid w:val="00F36253"/>
    <w:rsid w:val="00F362FC"/>
    <w:rsid w:val="00F3635B"/>
    <w:rsid w:val="00F36417"/>
    <w:rsid w:val="00F36458"/>
    <w:rsid w:val="00F364AF"/>
    <w:rsid w:val="00F364B1"/>
    <w:rsid w:val="00F36551"/>
    <w:rsid w:val="00F36584"/>
    <w:rsid w:val="00F365A5"/>
    <w:rsid w:val="00F365D9"/>
    <w:rsid w:val="00F365EA"/>
    <w:rsid w:val="00F366DD"/>
    <w:rsid w:val="00F36703"/>
    <w:rsid w:val="00F3679F"/>
    <w:rsid w:val="00F367A7"/>
    <w:rsid w:val="00F368EE"/>
    <w:rsid w:val="00F368F9"/>
    <w:rsid w:val="00F369BF"/>
    <w:rsid w:val="00F369DE"/>
    <w:rsid w:val="00F369FC"/>
    <w:rsid w:val="00F36AAC"/>
    <w:rsid w:val="00F36ADD"/>
    <w:rsid w:val="00F36ADF"/>
    <w:rsid w:val="00F36B05"/>
    <w:rsid w:val="00F36B46"/>
    <w:rsid w:val="00F36B7A"/>
    <w:rsid w:val="00F36BE2"/>
    <w:rsid w:val="00F36C24"/>
    <w:rsid w:val="00F36C50"/>
    <w:rsid w:val="00F36DF2"/>
    <w:rsid w:val="00F36E78"/>
    <w:rsid w:val="00F36E79"/>
    <w:rsid w:val="00F36EF4"/>
    <w:rsid w:val="00F36F44"/>
    <w:rsid w:val="00F36F48"/>
    <w:rsid w:val="00F36F89"/>
    <w:rsid w:val="00F36FFE"/>
    <w:rsid w:val="00F37044"/>
    <w:rsid w:val="00F3708F"/>
    <w:rsid w:val="00F371CA"/>
    <w:rsid w:val="00F371DF"/>
    <w:rsid w:val="00F371E0"/>
    <w:rsid w:val="00F371FB"/>
    <w:rsid w:val="00F37201"/>
    <w:rsid w:val="00F3721A"/>
    <w:rsid w:val="00F37241"/>
    <w:rsid w:val="00F37274"/>
    <w:rsid w:val="00F37309"/>
    <w:rsid w:val="00F37383"/>
    <w:rsid w:val="00F3746D"/>
    <w:rsid w:val="00F3755A"/>
    <w:rsid w:val="00F37611"/>
    <w:rsid w:val="00F376C7"/>
    <w:rsid w:val="00F37783"/>
    <w:rsid w:val="00F377AA"/>
    <w:rsid w:val="00F37866"/>
    <w:rsid w:val="00F378A3"/>
    <w:rsid w:val="00F378AC"/>
    <w:rsid w:val="00F378C1"/>
    <w:rsid w:val="00F37910"/>
    <w:rsid w:val="00F379B2"/>
    <w:rsid w:val="00F379B3"/>
    <w:rsid w:val="00F379E6"/>
    <w:rsid w:val="00F37AD1"/>
    <w:rsid w:val="00F37B19"/>
    <w:rsid w:val="00F37B25"/>
    <w:rsid w:val="00F37B9F"/>
    <w:rsid w:val="00F37BEB"/>
    <w:rsid w:val="00F37C43"/>
    <w:rsid w:val="00F37C44"/>
    <w:rsid w:val="00F37C46"/>
    <w:rsid w:val="00F37C97"/>
    <w:rsid w:val="00F37CB3"/>
    <w:rsid w:val="00F37CDE"/>
    <w:rsid w:val="00F37CE0"/>
    <w:rsid w:val="00F37DF6"/>
    <w:rsid w:val="00F37E08"/>
    <w:rsid w:val="00F37E4F"/>
    <w:rsid w:val="00F37F1C"/>
    <w:rsid w:val="00F40002"/>
    <w:rsid w:val="00F40005"/>
    <w:rsid w:val="00F40088"/>
    <w:rsid w:val="00F400A2"/>
    <w:rsid w:val="00F400B0"/>
    <w:rsid w:val="00F400B7"/>
    <w:rsid w:val="00F4016F"/>
    <w:rsid w:val="00F40185"/>
    <w:rsid w:val="00F4018A"/>
    <w:rsid w:val="00F40222"/>
    <w:rsid w:val="00F4022D"/>
    <w:rsid w:val="00F402D5"/>
    <w:rsid w:val="00F40343"/>
    <w:rsid w:val="00F403A1"/>
    <w:rsid w:val="00F40429"/>
    <w:rsid w:val="00F4045F"/>
    <w:rsid w:val="00F404B5"/>
    <w:rsid w:val="00F40523"/>
    <w:rsid w:val="00F4059A"/>
    <w:rsid w:val="00F406BE"/>
    <w:rsid w:val="00F406E5"/>
    <w:rsid w:val="00F407F9"/>
    <w:rsid w:val="00F4087A"/>
    <w:rsid w:val="00F40B6A"/>
    <w:rsid w:val="00F40BAE"/>
    <w:rsid w:val="00F40BE5"/>
    <w:rsid w:val="00F40BF7"/>
    <w:rsid w:val="00F40C21"/>
    <w:rsid w:val="00F40C51"/>
    <w:rsid w:val="00F40DA3"/>
    <w:rsid w:val="00F40E87"/>
    <w:rsid w:val="00F40E9C"/>
    <w:rsid w:val="00F40EB5"/>
    <w:rsid w:val="00F40EC2"/>
    <w:rsid w:val="00F40F0C"/>
    <w:rsid w:val="00F4103A"/>
    <w:rsid w:val="00F4107B"/>
    <w:rsid w:val="00F41090"/>
    <w:rsid w:val="00F410A5"/>
    <w:rsid w:val="00F410A8"/>
    <w:rsid w:val="00F41163"/>
    <w:rsid w:val="00F4116C"/>
    <w:rsid w:val="00F4119A"/>
    <w:rsid w:val="00F411A8"/>
    <w:rsid w:val="00F41278"/>
    <w:rsid w:val="00F4127B"/>
    <w:rsid w:val="00F412FD"/>
    <w:rsid w:val="00F41365"/>
    <w:rsid w:val="00F41442"/>
    <w:rsid w:val="00F4158F"/>
    <w:rsid w:val="00F415B7"/>
    <w:rsid w:val="00F415B9"/>
    <w:rsid w:val="00F415D9"/>
    <w:rsid w:val="00F4165F"/>
    <w:rsid w:val="00F416CA"/>
    <w:rsid w:val="00F416E7"/>
    <w:rsid w:val="00F416ED"/>
    <w:rsid w:val="00F4171F"/>
    <w:rsid w:val="00F41723"/>
    <w:rsid w:val="00F4179D"/>
    <w:rsid w:val="00F41861"/>
    <w:rsid w:val="00F418BF"/>
    <w:rsid w:val="00F41904"/>
    <w:rsid w:val="00F41932"/>
    <w:rsid w:val="00F41936"/>
    <w:rsid w:val="00F41A35"/>
    <w:rsid w:val="00F41A92"/>
    <w:rsid w:val="00F41AE0"/>
    <w:rsid w:val="00F41AE1"/>
    <w:rsid w:val="00F41B54"/>
    <w:rsid w:val="00F41C5C"/>
    <w:rsid w:val="00F41C94"/>
    <w:rsid w:val="00F41D1C"/>
    <w:rsid w:val="00F41D87"/>
    <w:rsid w:val="00F41E35"/>
    <w:rsid w:val="00F41EB1"/>
    <w:rsid w:val="00F41EE6"/>
    <w:rsid w:val="00F41EEE"/>
    <w:rsid w:val="00F41FA9"/>
    <w:rsid w:val="00F4203C"/>
    <w:rsid w:val="00F42070"/>
    <w:rsid w:val="00F4209E"/>
    <w:rsid w:val="00F42113"/>
    <w:rsid w:val="00F42154"/>
    <w:rsid w:val="00F422F0"/>
    <w:rsid w:val="00F42432"/>
    <w:rsid w:val="00F424B6"/>
    <w:rsid w:val="00F42512"/>
    <w:rsid w:val="00F42591"/>
    <w:rsid w:val="00F425D5"/>
    <w:rsid w:val="00F42605"/>
    <w:rsid w:val="00F4267A"/>
    <w:rsid w:val="00F426BB"/>
    <w:rsid w:val="00F426EC"/>
    <w:rsid w:val="00F4271B"/>
    <w:rsid w:val="00F4271D"/>
    <w:rsid w:val="00F427A8"/>
    <w:rsid w:val="00F4284E"/>
    <w:rsid w:val="00F4291C"/>
    <w:rsid w:val="00F4295A"/>
    <w:rsid w:val="00F42ABA"/>
    <w:rsid w:val="00F42B02"/>
    <w:rsid w:val="00F42B0B"/>
    <w:rsid w:val="00F42B9A"/>
    <w:rsid w:val="00F42BBD"/>
    <w:rsid w:val="00F42D07"/>
    <w:rsid w:val="00F42D22"/>
    <w:rsid w:val="00F42DC3"/>
    <w:rsid w:val="00F42E69"/>
    <w:rsid w:val="00F42E91"/>
    <w:rsid w:val="00F42F16"/>
    <w:rsid w:val="00F42F63"/>
    <w:rsid w:val="00F4309D"/>
    <w:rsid w:val="00F43130"/>
    <w:rsid w:val="00F43157"/>
    <w:rsid w:val="00F43202"/>
    <w:rsid w:val="00F4329D"/>
    <w:rsid w:val="00F432FD"/>
    <w:rsid w:val="00F43320"/>
    <w:rsid w:val="00F43382"/>
    <w:rsid w:val="00F433E5"/>
    <w:rsid w:val="00F433EB"/>
    <w:rsid w:val="00F43445"/>
    <w:rsid w:val="00F4346D"/>
    <w:rsid w:val="00F434D7"/>
    <w:rsid w:val="00F43618"/>
    <w:rsid w:val="00F4368A"/>
    <w:rsid w:val="00F436D5"/>
    <w:rsid w:val="00F4372E"/>
    <w:rsid w:val="00F437F6"/>
    <w:rsid w:val="00F43816"/>
    <w:rsid w:val="00F4383A"/>
    <w:rsid w:val="00F43900"/>
    <w:rsid w:val="00F43954"/>
    <w:rsid w:val="00F439AD"/>
    <w:rsid w:val="00F43A4D"/>
    <w:rsid w:val="00F43CE8"/>
    <w:rsid w:val="00F43DBC"/>
    <w:rsid w:val="00F43F30"/>
    <w:rsid w:val="00F43F32"/>
    <w:rsid w:val="00F44085"/>
    <w:rsid w:val="00F44252"/>
    <w:rsid w:val="00F44255"/>
    <w:rsid w:val="00F442C0"/>
    <w:rsid w:val="00F44356"/>
    <w:rsid w:val="00F44466"/>
    <w:rsid w:val="00F44472"/>
    <w:rsid w:val="00F4447E"/>
    <w:rsid w:val="00F4452F"/>
    <w:rsid w:val="00F44580"/>
    <w:rsid w:val="00F445CE"/>
    <w:rsid w:val="00F4468A"/>
    <w:rsid w:val="00F44703"/>
    <w:rsid w:val="00F44752"/>
    <w:rsid w:val="00F447B5"/>
    <w:rsid w:val="00F449A7"/>
    <w:rsid w:val="00F44A93"/>
    <w:rsid w:val="00F44AA7"/>
    <w:rsid w:val="00F44B0D"/>
    <w:rsid w:val="00F44B15"/>
    <w:rsid w:val="00F44B19"/>
    <w:rsid w:val="00F44B4A"/>
    <w:rsid w:val="00F44C68"/>
    <w:rsid w:val="00F44C7C"/>
    <w:rsid w:val="00F44D7C"/>
    <w:rsid w:val="00F44DBB"/>
    <w:rsid w:val="00F44DD4"/>
    <w:rsid w:val="00F44E2D"/>
    <w:rsid w:val="00F44E4F"/>
    <w:rsid w:val="00F4509B"/>
    <w:rsid w:val="00F451BB"/>
    <w:rsid w:val="00F45206"/>
    <w:rsid w:val="00F4522B"/>
    <w:rsid w:val="00F45255"/>
    <w:rsid w:val="00F4528A"/>
    <w:rsid w:val="00F452CF"/>
    <w:rsid w:val="00F45383"/>
    <w:rsid w:val="00F45416"/>
    <w:rsid w:val="00F455F4"/>
    <w:rsid w:val="00F4563F"/>
    <w:rsid w:val="00F45643"/>
    <w:rsid w:val="00F45767"/>
    <w:rsid w:val="00F457C3"/>
    <w:rsid w:val="00F458A8"/>
    <w:rsid w:val="00F458C8"/>
    <w:rsid w:val="00F459EF"/>
    <w:rsid w:val="00F459F7"/>
    <w:rsid w:val="00F45AF5"/>
    <w:rsid w:val="00F45C32"/>
    <w:rsid w:val="00F45CF1"/>
    <w:rsid w:val="00F45D39"/>
    <w:rsid w:val="00F45DCB"/>
    <w:rsid w:val="00F45DE3"/>
    <w:rsid w:val="00F45E44"/>
    <w:rsid w:val="00F45F32"/>
    <w:rsid w:val="00F45FAD"/>
    <w:rsid w:val="00F46264"/>
    <w:rsid w:val="00F46296"/>
    <w:rsid w:val="00F46382"/>
    <w:rsid w:val="00F4639E"/>
    <w:rsid w:val="00F46455"/>
    <w:rsid w:val="00F46502"/>
    <w:rsid w:val="00F4651E"/>
    <w:rsid w:val="00F46636"/>
    <w:rsid w:val="00F4668C"/>
    <w:rsid w:val="00F466A3"/>
    <w:rsid w:val="00F4678B"/>
    <w:rsid w:val="00F467F2"/>
    <w:rsid w:val="00F467FC"/>
    <w:rsid w:val="00F46884"/>
    <w:rsid w:val="00F468D4"/>
    <w:rsid w:val="00F46920"/>
    <w:rsid w:val="00F46949"/>
    <w:rsid w:val="00F4695D"/>
    <w:rsid w:val="00F4698B"/>
    <w:rsid w:val="00F469DB"/>
    <w:rsid w:val="00F469F7"/>
    <w:rsid w:val="00F46A05"/>
    <w:rsid w:val="00F46A0D"/>
    <w:rsid w:val="00F46A4F"/>
    <w:rsid w:val="00F46AFF"/>
    <w:rsid w:val="00F46B2B"/>
    <w:rsid w:val="00F46B5A"/>
    <w:rsid w:val="00F46B7D"/>
    <w:rsid w:val="00F46BA1"/>
    <w:rsid w:val="00F46BD5"/>
    <w:rsid w:val="00F46BE0"/>
    <w:rsid w:val="00F46BF0"/>
    <w:rsid w:val="00F46C45"/>
    <w:rsid w:val="00F46C6C"/>
    <w:rsid w:val="00F46CBC"/>
    <w:rsid w:val="00F46CE6"/>
    <w:rsid w:val="00F46D10"/>
    <w:rsid w:val="00F46D4D"/>
    <w:rsid w:val="00F46E0C"/>
    <w:rsid w:val="00F46EB0"/>
    <w:rsid w:val="00F470A4"/>
    <w:rsid w:val="00F47126"/>
    <w:rsid w:val="00F471AC"/>
    <w:rsid w:val="00F471CA"/>
    <w:rsid w:val="00F47245"/>
    <w:rsid w:val="00F4725E"/>
    <w:rsid w:val="00F473B2"/>
    <w:rsid w:val="00F47470"/>
    <w:rsid w:val="00F4747E"/>
    <w:rsid w:val="00F47497"/>
    <w:rsid w:val="00F47537"/>
    <w:rsid w:val="00F475B8"/>
    <w:rsid w:val="00F475BB"/>
    <w:rsid w:val="00F475DC"/>
    <w:rsid w:val="00F47698"/>
    <w:rsid w:val="00F476C7"/>
    <w:rsid w:val="00F47799"/>
    <w:rsid w:val="00F4788B"/>
    <w:rsid w:val="00F4789E"/>
    <w:rsid w:val="00F478AB"/>
    <w:rsid w:val="00F478EF"/>
    <w:rsid w:val="00F4790A"/>
    <w:rsid w:val="00F47919"/>
    <w:rsid w:val="00F47A07"/>
    <w:rsid w:val="00F47A64"/>
    <w:rsid w:val="00F47CA6"/>
    <w:rsid w:val="00F47CFB"/>
    <w:rsid w:val="00F47D38"/>
    <w:rsid w:val="00F47DAC"/>
    <w:rsid w:val="00F47E36"/>
    <w:rsid w:val="00F47F54"/>
    <w:rsid w:val="00F5002B"/>
    <w:rsid w:val="00F500A2"/>
    <w:rsid w:val="00F500AC"/>
    <w:rsid w:val="00F50109"/>
    <w:rsid w:val="00F501D1"/>
    <w:rsid w:val="00F50200"/>
    <w:rsid w:val="00F5023C"/>
    <w:rsid w:val="00F5027C"/>
    <w:rsid w:val="00F502F7"/>
    <w:rsid w:val="00F5031C"/>
    <w:rsid w:val="00F50366"/>
    <w:rsid w:val="00F5036F"/>
    <w:rsid w:val="00F50468"/>
    <w:rsid w:val="00F506C6"/>
    <w:rsid w:val="00F50708"/>
    <w:rsid w:val="00F508F6"/>
    <w:rsid w:val="00F50933"/>
    <w:rsid w:val="00F509D6"/>
    <w:rsid w:val="00F50A2A"/>
    <w:rsid w:val="00F50A44"/>
    <w:rsid w:val="00F50AA4"/>
    <w:rsid w:val="00F50B3A"/>
    <w:rsid w:val="00F50B3D"/>
    <w:rsid w:val="00F50C49"/>
    <w:rsid w:val="00F50CD5"/>
    <w:rsid w:val="00F50D48"/>
    <w:rsid w:val="00F50E91"/>
    <w:rsid w:val="00F51002"/>
    <w:rsid w:val="00F51135"/>
    <w:rsid w:val="00F5119F"/>
    <w:rsid w:val="00F511FA"/>
    <w:rsid w:val="00F5123A"/>
    <w:rsid w:val="00F51352"/>
    <w:rsid w:val="00F513FE"/>
    <w:rsid w:val="00F5147E"/>
    <w:rsid w:val="00F51488"/>
    <w:rsid w:val="00F51495"/>
    <w:rsid w:val="00F5149E"/>
    <w:rsid w:val="00F514A8"/>
    <w:rsid w:val="00F514C0"/>
    <w:rsid w:val="00F514EF"/>
    <w:rsid w:val="00F51519"/>
    <w:rsid w:val="00F515C5"/>
    <w:rsid w:val="00F515D8"/>
    <w:rsid w:val="00F51602"/>
    <w:rsid w:val="00F51662"/>
    <w:rsid w:val="00F517AC"/>
    <w:rsid w:val="00F517C7"/>
    <w:rsid w:val="00F5180B"/>
    <w:rsid w:val="00F51838"/>
    <w:rsid w:val="00F5184C"/>
    <w:rsid w:val="00F51893"/>
    <w:rsid w:val="00F518AE"/>
    <w:rsid w:val="00F518B7"/>
    <w:rsid w:val="00F5196F"/>
    <w:rsid w:val="00F519E0"/>
    <w:rsid w:val="00F519E6"/>
    <w:rsid w:val="00F51A0D"/>
    <w:rsid w:val="00F51AF1"/>
    <w:rsid w:val="00F51B3E"/>
    <w:rsid w:val="00F51CB0"/>
    <w:rsid w:val="00F51D42"/>
    <w:rsid w:val="00F51D71"/>
    <w:rsid w:val="00F51DBA"/>
    <w:rsid w:val="00F51DE7"/>
    <w:rsid w:val="00F51E10"/>
    <w:rsid w:val="00F51E3F"/>
    <w:rsid w:val="00F51E92"/>
    <w:rsid w:val="00F51E9A"/>
    <w:rsid w:val="00F51EC5"/>
    <w:rsid w:val="00F51F41"/>
    <w:rsid w:val="00F51F50"/>
    <w:rsid w:val="00F51F95"/>
    <w:rsid w:val="00F51FC7"/>
    <w:rsid w:val="00F52026"/>
    <w:rsid w:val="00F52035"/>
    <w:rsid w:val="00F52092"/>
    <w:rsid w:val="00F52096"/>
    <w:rsid w:val="00F52109"/>
    <w:rsid w:val="00F52148"/>
    <w:rsid w:val="00F52243"/>
    <w:rsid w:val="00F52274"/>
    <w:rsid w:val="00F52375"/>
    <w:rsid w:val="00F523DD"/>
    <w:rsid w:val="00F52464"/>
    <w:rsid w:val="00F524ED"/>
    <w:rsid w:val="00F52527"/>
    <w:rsid w:val="00F5257D"/>
    <w:rsid w:val="00F526EC"/>
    <w:rsid w:val="00F5273F"/>
    <w:rsid w:val="00F5277C"/>
    <w:rsid w:val="00F52894"/>
    <w:rsid w:val="00F528E8"/>
    <w:rsid w:val="00F528FF"/>
    <w:rsid w:val="00F52934"/>
    <w:rsid w:val="00F52947"/>
    <w:rsid w:val="00F52954"/>
    <w:rsid w:val="00F52BB4"/>
    <w:rsid w:val="00F52CA9"/>
    <w:rsid w:val="00F52CCA"/>
    <w:rsid w:val="00F52D7F"/>
    <w:rsid w:val="00F52D96"/>
    <w:rsid w:val="00F52DB3"/>
    <w:rsid w:val="00F52E02"/>
    <w:rsid w:val="00F52E0B"/>
    <w:rsid w:val="00F52E0F"/>
    <w:rsid w:val="00F52E5D"/>
    <w:rsid w:val="00F52F3A"/>
    <w:rsid w:val="00F52F46"/>
    <w:rsid w:val="00F52F69"/>
    <w:rsid w:val="00F5313E"/>
    <w:rsid w:val="00F531BA"/>
    <w:rsid w:val="00F53259"/>
    <w:rsid w:val="00F534A1"/>
    <w:rsid w:val="00F53578"/>
    <w:rsid w:val="00F53588"/>
    <w:rsid w:val="00F535A1"/>
    <w:rsid w:val="00F53650"/>
    <w:rsid w:val="00F53657"/>
    <w:rsid w:val="00F536A2"/>
    <w:rsid w:val="00F53714"/>
    <w:rsid w:val="00F53897"/>
    <w:rsid w:val="00F538BC"/>
    <w:rsid w:val="00F538D7"/>
    <w:rsid w:val="00F53991"/>
    <w:rsid w:val="00F53A44"/>
    <w:rsid w:val="00F53A7F"/>
    <w:rsid w:val="00F53ACE"/>
    <w:rsid w:val="00F53B17"/>
    <w:rsid w:val="00F53BAF"/>
    <w:rsid w:val="00F53BB5"/>
    <w:rsid w:val="00F53C17"/>
    <w:rsid w:val="00F53C54"/>
    <w:rsid w:val="00F53C65"/>
    <w:rsid w:val="00F53C6D"/>
    <w:rsid w:val="00F53D5A"/>
    <w:rsid w:val="00F53D96"/>
    <w:rsid w:val="00F53DB0"/>
    <w:rsid w:val="00F53DB8"/>
    <w:rsid w:val="00F53DD1"/>
    <w:rsid w:val="00F53DF8"/>
    <w:rsid w:val="00F53E6F"/>
    <w:rsid w:val="00F53FC0"/>
    <w:rsid w:val="00F5402A"/>
    <w:rsid w:val="00F540E8"/>
    <w:rsid w:val="00F5413C"/>
    <w:rsid w:val="00F54364"/>
    <w:rsid w:val="00F543B1"/>
    <w:rsid w:val="00F544E4"/>
    <w:rsid w:val="00F54511"/>
    <w:rsid w:val="00F546A1"/>
    <w:rsid w:val="00F54715"/>
    <w:rsid w:val="00F54771"/>
    <w:rsid w:val="00F54779"/>
    <w:rsid w:val="00F547A2"/>
    <w:rsid w:val="00F54880"/>
    <w:rsid w:val="00F54A07"/>
    <w:rsid w:val="00F54A65"/>
    <w:rsid w:val="00F54AC6"/>
    <w:rsid w:val="00F54B29"/>
    <w:rsid w:val="00F54BFE"/>
    <w:rsid w:val="00F54C13"/>
    <w:rsid w:val="00F54C70"/>
    <w:rsid w:val="00F54CA2"/>
    <w:rsid w:val="00F54CD1"/>
    <w:rsid w:val="00F54D3E"/>
    <w:rsid w:val="00F54D54"/>
    <w:rsid w:val="00F54D63"/>
    <w:rsid w:val="00F54EF8"/>
    <w:rsid w:val="00F54F08"/>
    <w:rsid w:val="00F54F76"/>
    <w:rsid w:val="00F54FE9"/>
    <w:rsid w:val="00F550C6"/>
    <w:rsid w:val="00F55204"/>
    <w:rsid w:val="00F5529F"/>
    <w:rsid w:val="00F552BC"/>
    <w:rsid w:val="00F55381"/>
    <w:rsid w:val="00F55483"/>
    <w:rsid w:val="00F55513"/>
    <w:rsid w:val="00F55585"/>
    <w:rsid w:val="00F555E4"/>
    <w:rsid w:val="00F555F2"/>
    <w:rsid w:val="00F555FD"/>
    <w:rsid w:val="00F55677"/>
    <w:rsid w:val="00F556B3"/>
    <w:rsid w:val="00F556CE"/>
    <w:rsid w:val="00F5570A"/>
    <w:rsid w:val="00F55719"/>
    <w:rsid w:val="00F55720"/>
    <w:rsid w:val="00F557AE"/>
    <w:rsid w:val="00F557C1"/>
    <w:rsid w:val="00F557F9"/>
    <w:rsid w:val="00F558A1"/>
    <w:rsid w:val="00F558A9"/>
    <w:rsid w:val="00F5591B"/>
    <w:rsid w:val="00F5594F"/>
    <w:rsid w:val="00F55A54"/>
    <w:rsid w:val="00F55A7B"/>
    <w:rsid w:val="00F55A80"/>
    <w:rsid w:val="00F55A8F"/>
    <w:rsid w:val="00F55A90"/>
    <w:rsid w:val="00F55CAE"/>
    <w:rsid w:val="00F55CFC"/>
    <w:rsid w:val="00F55DDC"/>
    <w:rsid w:val="00F55E2F"/>
    <w:rsid w:val="00F55F7F"/>
    <w:rsid w:val="00F55FCB"/>
    <w:rsid w:val="00F56139"/>
    <w:rsid w:val="00F56329"/>
    <w:rsid w:val="00F56384"/>
    <w:rsid w:val="00F563D7"/>
    <w:rsid w:val="00F56407"/>
    <w:rsid w:val="00F56535"/>
    <w:rsid w:val="00F56572"/>
    <w:rsid w:val="00F565A2"/>
    <w:rsid w:val="00F565B6"/>
    <w:rsid w:val="00F566A4"/>
    <w:rsid w:val="00F566DE"/>
    <w:rsid w:val="00F566E8"/>
    <w:rsid w:val="00F56718"/>
    <w:rsid w:val="00F567D3"/>
    <w:rsid w:val="00F5680B"/>
    <w:rsid w:val="00F568F5"/>
    <w:rsid w:val="00F5693E"/>
    <w:rsid w:val="00F569E1"/>
    <w:rsid w:val="00F569FC"/>
    <w:rsid w:val="00F56AED"/>
    <w:rsid w:val="00F56AFC"/>
    <w:rsid w:val="00F56B54"/>
    <w:rsid w:val="00F56B55"/>
    <w:rsid w:val="00F56BCE"/>
    <w:rsid w:val="00F56BCF"/>
    <w:rsid w:val="00F56BF6"/>
    <w:rsid w:val="00F56C48"/>
    <w:rsid w:val="00F56C51"/>
    <w:rsid w:val="00F56D4E"/>
    <w:rsid w:val="00F56D55"/>
    <w:rsid w:val="00F56D8A"/>
    <w:rsid w:val="00F56EF3"/>
    <w:rsid w:val="00F56F09"/>
    <w:rsid w:val="00F56F26"/>
    <w:rsid w:val="00F56F72"/>
    <w:rsid w:val="00F57080"/>
    <w:rsid w:val="00F571DB"/>
    <w:rsid w:val="00F57227"/>
    <w:rsid w:val="00F5733F"/>
    <w:rsid w:val="00F57388"/>
    <w:rsid w:val="00F5747A"/>
    <w:rsid w:val="00F574C6"/>
    <w:rsid w:val="00F574CC"/>
    <w:rsid w:val="00F574FF"/>
    <w:rsid w:val="00F575B3"/>
    <w:rsid w:val="00F575EF"/>
    <w:rsid w:val="00F5764C"/>
    <w:rsid w:val="00F57689"/>
    <w:rsid w:val="00F576B5"/>
    <w:rsid w:val="00F576E5"/>
    <w:rsid w:val="00F5773F"/>
    <w:rsid w:val="00F5775B"/>
    <w:rsid w:val="00F577EC"/>
    <w:rsid w:val="00F57858"/>
    <w:rsid w:val="00F57898"/>
    <w:rsid w:val="00F57A87"/>
    <w:rsid w:val="00F57A9D"/>
    <w:rsid w:val="00F57B7B"/>
    <w:rsid w:val="00F57BE9"/>
    <w:rsid w:val="00F57C61"/>
    <w:rsid w:val="00F57D23"/>
    <w:rsid w:val="00F57D25"/>
    <w:rsid w:val="00F57D37"/>
    <w:rsid w:val="00F57D44"/>
    <w:rsid w:val="00F57D51"/>
    <w:rsid w:val="00F57E14"/>
    <w:rsid w:val="00F57E7B"/>
    <w:rsid w:val="00F57EB2"/>
    <w:rsid w:val="00F57ED4"/>
    <w:rsid w:val="00F57FA5"/>
    <w:rsid w:val="00F600F7"/>
    <w:rsid w:val="00F60107"/>
    <w:rsid w:val="00F6026A"/>
    <w:rsid w:val="00F60363"/>
    <w:rsid w:val="00F6048C"/>
    <w:rsid w:val="00F604B3"/>
    <w:rsid w:val="00F604E8"/>
    <w:rsid w:val="00F6050F"/>
    <w:rsid w:val="00F605A3"/>
    <w:rsid w:val="00F6061F"/>
    <w:rsid w:val="00F606B5"/>
    <w:rsid w:val="00F608F7"/>
    <w:rsid w:val="00F6097F"/>
    <w:rsid w:val="00F609AB"/>
    <w:rsid w:val="00F609B1"/>
    <w:rsid w:val="00F609C6"/>
    <w:rsid w:val="00F60A04"/>
    <w:rsid w:val="00F60B53"/>
    <w:rsid w:val="00F60B60"/>
    <w:rsid w:val="00F60C03"/>
    <w:rsid w:val="00F60C67"/>
    <w:rsid w:val="00F60C88"/>
    <w:rsid w:val="00F60D09"/>
    <w:rsid w:val="00F60D49"/>
    <w:rsid w:val="00F60E08"/>
    <w:rsid w:val="00F60F8C"/>
    <w:rsid w:val="00F60FD3"/>
    <w:rsid w:val="00F610C3"/>
    <w:rsid w:val="00F610CA"/>
    <w:rsid w:val="00F610D1"/>
    <w:rsid w:val="00F6115B"/>
    <w:rsid w:val="00F6124F"/>
    <w:rsid w:val="00F612B2"/>
    <w:rsid w:val="00F612CA"/>
    <w:rsid w:val="00F61364"/>
    <w:rsid w:val="00F61371"/>
    <w:rsid w:val="00F613C2"/>
    <w:rsid w:val="00F613FD"/>
    <w:rsid w:val="00F61511"/>
    <w:rsid w:val="00F61571"/>
    <w:rsid w:val="00F615A6"/>
    <w:rsid w:val="00F615B6"/>
    <w:rsid w:val="00F615F9"/>
    <w:rsid w:val="00F61636"/>
    <w:rsid w:val="00F616A8"/>
    <w:rsid w:val="00F616AD"/>
    <w:rsid w:val="00F616F6"/>
    <w:rsid w:val="00F61702"/>
    <w:rsid w:val="00F61714"/>
    <w:rsid w:val="00F6174B"/>
    <w:rsid w:val="00F6178E"/>
    <w:rsid w:val="00F617BE"/>
    <w:rsid w:val="00F61819"/>
    <w:rsid w:val="00F6187B"/>
    <w:rsid w:val="00F61AC5"/>
    <w:rsid w:val="00F61ACD"/>
    <w:rsid w:val="00F61AD9"/>
    <w:rsid w:val="00F61B8F"/>
    <w:rsid w:val="00F61BD8"/>
    <w:rsid w:val="00F61BD9"/>
    <w:rsid w:val="00F61C06"/>
    <w:rsid w:val="00F61C18"/>
    <w:rsid w:val="00F61C55"/>
    <w:rsid w:val="00F61C73"/>
    <w:rsid w:val="00F61D11"/>
    <w:rsid w:val="00F61E0E"/>
    <w:rsid w:val="00F61E1A"/>
    <w:rsid w:val="00F61ECB"/>
    <w:rsid w:val="00F61F1D"/>
    <w:rsid w:val="00F61F69"/>
    <w:rsid w:val="00F62050"/>
    <w:rsid w:val="00F62069"/>
    <w:rsid w:val="00F621DA"/>
    <w:rsid w:val="00F621F3"/>
    <w:rsid w:val="00F6243B"/>
    <w:rsid w:val="00F624BF"/>
    <w:rsid w:val="00F6250B"/>
    <w:rsid w:val="00F62558"/>
    <w:rsid w:val="00F62567"/>
    <w:rsid w:val="00F625B4"/>
    <w:rsid w:val="00F62608"/>
    <w:rsid w:val="00F62664"/>
    <w:rsid w:val="00F62684"/>
    <w:rsid w:val="00F626F2"/>
    <w:rsid w:val="00F62740"/>
    <w:rsid w:val="00F62780"/>
    <w:rsid w:val="00F627D9"/>
    <w:rsid w:val="00F628CF"/>
    <w:rsid w:val="00F62A38"/>
    <w:rsid w:val="00F62B2C"/>
    <w:rsid w:val="00F62B98"/>
    <w:rsid w:val="00F62C8F"/>
    <w:rsid w:val="00F62CEA"/>
    <w:rsid w:val="00F62D13"/>
    <w:rsid w:val="00F62D1F"/>
    <w:rsid w:val="00F62D39"/>
    <w:rsid w:val="00F62D77"/>
    <w:rsid w:val="00F62DBA"/>
    <w:rsid w:val="00F62DEC"/>
    <w:rsid w:val="00F62E38"/>
    <w:rsid w:val="00F62E5D"/>
    <w:rsid w:val="00F62EC4"/>
    <w:rsid w:val="00F62F85"/>
    <w:rsid w:val="00F62FB0"/>
    <w:rsid w:val="00F630D5"/>
    <w:rsid w:val="00F63114"/>
    <w:rsid w:val="00F6313D"/>
    <w:rsid w:val="00F6313F"/>
    <w:rsid w:val="00F631EC"/>
    <w:rsid w:val="00F6323E"/>
    <w:rsid w:val="00F63265"/>
    <w:rsid w:val="00F63391"/>
    <w:rsid w:val="00F6343F"/>
    <w:rsid w:val="00F6348D"/>
    <w:rsid w:val="00F634FC"/>
    <w:rsid w:val="00F635AD"/>
    <w:rsid w:val="00F63625"/>
    <w:rsid w:val="00F63959"/>
    <w:rsid w:val="00F63A61"/>
    <w:rsid w:val="00F63B65"/>
    <w:rsid w:val="00F63B88"/>
    <w:rsid w:val="00F63CEE"/>
    <w:rsid w:val="00F63DE8"/>
    <w:rsid w:val="00F63E86"/>
    <w:rsid w:val="00F63EA1"/>
    <w:rsid w:val="00F63EA6"/>
    <w:rsid w:val="00F63F30"/>
    <w:rsid w:val="00F63F4E"/>
    <w:rsid w:val="00F63F85"/>
    <w:rsid w:val="00F64053"/>
    <w:rsid w:val="00F640BB"/>
    <w:rsid w:val="00F64248"/>
    <w:rsid w:val="00F64259"/>
    <w:rsid w:val="00F6425E"/>
    <w:rsid w:val="00F642AA"/>
    <w:rsid w:val="00F6430D"/>
    <w:rsid w:val="00F6435B"/>
    <w:rsid w:val="00F643CB"/>
    <w:rsid w:val="00F643D7"/>
    <w:rsid w:val="00F64439"/>
    <w:rsid w:val="00F645B6"/>
    <w:rsid w:val="00F645E1"/>
    <w:rsid w:val="00F6465D"/>
    <w:rsid w:val="00F647DF"/>
    <w:rsid w:val="00F647EA"/>
    <w:rsid w:val="00F649CC"/>
    <w:rsid w:val="00F649DC"/>
    <w:rsid w:val="00F649F3"/>
    <w:rsid w:val="00F64A5B"/>
    <w:rsid w:val="00F64AB5"/>
    <w:rsid w:val="00F64B17"/>
    <w:rsid w:val="00F64C95"/>
    <w:rsid w:val="00F64CF1"/>
    <w:rsid w:val="00F64D21"/>
    <w:rsid w:val="00F64D24"/>
    <w:rsid w:val="00F64DCC"/>
    <w:rsid w:val="00F64E03"/>
    <w:rsid w:val="00F64E17"/>
    <w:rsid w:val="00F64E1F"/>
    <w:rsid w:val="00F64ECE"/>
    <w:rsid w:val="00F64F76"/>
    <w:rsid w:val="00F64F7F"/>
    <w:rsid w:val="00F65014"/>
    <w:rsid w:val="00F650FA"/>
    <w:rsid w:val="00F650FF"/>
    <w:rsid w:val="00F65142"/>
    <w:rsid w:val="00F651B7"/>
    <w:rsid w:val="00F6544C"/>
    <w:rsid w:val="00F6549B"/>
    <w:rsid w:val="00F654D9"/>
    <w:rsid w:val="00F65579"/>
    <w:rsid w:val="00F65600"/>
    <w:rsid w:val="00F6564C"/>
    <w:rsid w:val="00F656BB"/>
    <w:rsid w:val="00F65905"/>
    <w:rsid w:val="00F6592B"/>
    <w:rsid w:val="00F659A1"/>
    <w:rsid w:val="00F65A81"/>
    <w:rsid w:val="00F65B3B"/>
    <w:rsid w:val="00F65C05"/>
    <w:rsid w:val="00F65CA3"/>
    <w:rsid w:val="00F65DC0"/>
    <w:rsid w:val="00F65E2C"/>
    <w:rsid w:val="00F65F76"/>
    <w:rsid w:val="00F65FED"/>
    <w:rsid w:val="00F66011"/>
    <w:rsid w:val="00F6604D"/>
    <w:rsid w:val="00F660C3"/>
    <w:rsid w:val="00F661E5"/>
    <w:rsid w:val="00F66229"/>
    <w:rsid w:val="00F66255"/>
    <w:rsid w:val="00F6631A"/>
    <w:rsid w:val="00F66360"/>
    <w:rsid w:val="00F663B2"/>
    <w:rsid w:val="00F6645D"/>
    <w:rsid w:val="00F664D3"/>
    <w:rsid w:val="00F66519"/>
    <w:rsid w:val="00F6652E"/>
    <w:rsid w:val="00F665E8"/>
    <w:rsid w:val="00F66601"/>
    <w:rsid w:val="00F66644"/>
    <w:rsid w:val="00F66743"/>
    <w:rsid w:val="00F66786"/>
    <w:rsid w:val="00F667DF"/>
    <w:rsid w:val="00F6689E"/>
    <w:rsid w:val="00F668E5"/>
    <w:rsid w:val="00F668E7"/>
    <w:rsid w:val="00F6698E"/>
    <w:rsid w:val="00F669E7"/>
    <w:rsid w:val="00F66A8E"/>
    <w:rsid w:val="00F66AFE"/>
    <w:rsid w:val="00F66B2B"/>
    <w:rsid w:val="00F66BE2"/>
    <w:rsid w:val="00F66C31"/>
    <w:rsid w:val="00F66C6E"/>
    <w:rsid w:val="00F66D14"/>
    <w:rsid w:val="00F66DED"/>
    <w:rsid w:val="00F66DF4"/>
    <w:rsid w:val="00F66E70"/>
    <w:rsid w:val="00F66E76"/>
    <w:rsid w:val="00F66E7E"/>
    <w:rsid w:val="00F66E82"/>
    <w:rsid w:val="00F66E9A"/>
    <w:rsid w:val="00F66F60"/>
    <w:rsid w:val="00F66FE0"/>
    <w:rsid w:val="00F67087"/>
    <w:rsid w:val="00F670BF"/>
    <w:rsid w:val="00F670C0"/>
    <w:rsid w:val="00F67131"/>
    <w:rsid w:val="00F67164"/>
    <w:rsid w:val="00F671AE"/>
    <w:rsid w:val="00F67254"/>
    <w:rsid w:val="00F67350"/>
    <w:rsid w:val="00F67423"/>
    <w:rsid w:val="00F67436"/>
    <w:rsid w:val="00F674BA"/>
    <w:rsid w:val="00F674BE"/>
    <w:rsid w:val="00F67501"/>
    <w:rsid w:val="00F67518"/>
    <w:rsid w:val="00F676A9"/>
    <w:rsid w:val="00F676F0"/>
    <w:rsid w:val="00F67841"/>
    <w:rsid w:val="00F67863"/>
    <w:rsid w:val="00F6787D"/>
    <w:rsid w:val="00F67BC5"/>
    <w:rsid w:val="00F67C9B"/>
    <w:rsid w:val="00F67CD9"/>
    <w:rsid w:val="00F67D46"/>
    <w:rsid w:val="00F67DFD"/>
    <w:rsid w:val="00F67EE5"/>
    <w:rsid w:val="00F67EF8"/>
    <w:rsid w:val="00F67F24"/>
    <w:rsid w:val="00F67FB9"/>
    <w:rsid w:val="00F67FDC"/>
    <w:rsid w:val="00F700E9"/>
    <w:rsid w:val="00F70188"/>
    <w:rsid w:val="00F701CA"/>
    <w:rsid w:val="00F702B7"/>
    <w:rsid w:val="00F702D2"/>
    <w:rsid w:val="00F702F2"/>
    <w:rsid w:val="00F70333"/>
    <w:rsid w:val="00F70370"/>
    <w:rsid w:val="00F7040C"/>
    <w:rsid w:val="00F70554"/>
    <w:rsid w:val="00F705A2"/>
    <w:rsid w:val="00F70667"/>
    <w:rsid w:val="00F7088A"/>
    <w:rsid w:val="00F7094F"/>
    <w:rsid w:val="00F709B6"/>
    <w:rsid w:val="00F70A57"/>
    <w:rsid w:val="00F70B7D"/>
    <w:rsid w:val="00F70BC5"/>
    <w:rsid w:val="00F70C10"/>
    <w:rsid w:val="00F70C5E"/>
    <w:rsid w:val="00F70C81"/>
    <w:rsid w:val="00F70CF1"/>
    <w:rsid w:val="00F70D75"/>
    <w:rsid w:val="00F70E28"/>
    <w:rsid w:val="00F70E91"/>
    <w:rsid w:val="00F70F6A"/>
    <w:rsid w:val="00F70F8C"/>
    <w:rsid w:val="00F7115A"/>
    <w:rsid w:val="00F7115C"/>
    <w:rsid w:val="00F711ED"/>
    <w:rsid w:val="00F71302"/>
    <w:rsid w:val="00F71435"/>
    <w:rsid w:val="00F71437"/>
    <w:rsid w:val="00F714F2"/>
    <w:rsid w:val="00F71519"/>
    <w:rsid w:val="00F7152A"/>
    <w:rsid w:val="00F71551"/>
    <w:rsid w:val="00F71587"/>
    <w:rsid w:val="00F715D5"/>
    <w:rsid w:val="00F71607"/>
    <w:rsid w:val="00F7162F"/>
    <w:rsid w:val="00F7164E"/>
    <w:rsid w:val="00F717BB"/>
    <w:rsid w:val="00F717D3"/>
    <w:rsid w:val="00F7180B"/>
    <w:rsid w:val="00F718E5"/>
    <w:rsid w:val="00F71981"/>
    <w:rsid w:val="00F719BF"/>
    <w:rsid w:val="00F719EA"/>
    <w:rsid w:val="00F71A15"/>
    <w:rsid w:val="00F71A7D"/>
    <w:rsid w:val="00F71B1D"/>
    <w:rsid w:val="00F71B95"/>
    <w:rsid w:val="00F71BF7"/>
    <w:rsid w:val="00F71C4F"/>
    <w:rsid w:val="00F71D1A"/>
    <w:rsid w:val="00F71EBE"/>
    <w:rsid w:val="00F71EFA"/>
    <w:rsid w:val="00F71FE6"/>
    <w:rsid w:val="00F72074"/>
    <w:rsid w:val="00F720AD"/>
    <w:rsid w:val="00F7210D"/>
    <w:rsid w:val="00F72175"/>
    <w:rsid w:val="00F72218"/>
    <w:rsid w:val="00F72335"/>
    <w:rsid w:val="00F72418"/>
    <w:rsid w:val="00F72448"/>
    <w:rsid w:val="00F724F5"/>
    <w:rsid w:val="00F72510"/>
    <w:rsid w:val="00F72524"/>
    <w:rsid w:val="00F725BF"/>
    <w:rsid w:val="00F7268C"/>
    <w:rsid w:val="00F72725"/>
    <w:rsid w:val="00F7275D"/>
    <w:rsid w:val="00F7276D"/>
    <w:rsid w:val="00F72881"/>
    <w:rsid w:val="00F729C0"/>
    <w:rsid w:val="00F729C1"/>
    <w:rsid w:val="00F72A07"/>
    <w:rsid w:val="00F72A08"/>
    <w:rsid w:val="00F72A66"/>
    <w:rsid w:val="00F72AB3"/>
    <w:rsid w:val="00F72B17"/>
    <w:rsid w:val="00F72B1C"/>
    <w:rsid w:val="00F72B6A"/>
    <w:rsid w:val="00F72B96"/>
    <w:rsid w:val="00F72C49"/>
    <w:rsid w:val="00F72C6C"/>
    <w:rsid w:val="00F72E14"/>
    <w:rsid w:val="00F72E86"/>
    <w:rsid w:val="00F72EA3"/>
    <w:rsid w:val="00F72EBE"/>
    <w:rsid w:val="00F72ED0"/>
    <w:rsid w:val="00F72F0E"/>
    <w:rsid w:val="00F72FAD"/>
    <w:rsid w:val="00F7303C"/>
    <w:rsid w:val="00F7308C"/>
    <w:rsid w:val="00F730D8"/>
    <w:rsid w:val="00F73192"/>
    <w:rsid w:val="00F731B4"/>
    <w:rsid w:val="00F73308"/>
    <w:rsid w:val="00F7334D"/>
    <w:rsid w:val="00F733B0"/>
    <w:rsid w:val="00F7340E"/>
    <w:rsid w:val="00F734A1"/>
    <w:rsid w:val="00F734D5"/>
    <w:rsid w:val="00F734EA"/>
    <w:rsid w:val="00F73502"/>
    <w:rsid w:val="00F7350E"/>
    <w:rsid w:val="00F73570"/>
    <w:rsid w:val="00F7360D"/>
    <w:rsid w:val="00F7364B"/>
    <w:rsid w:val="00F73711"/>
    <w:rsid w:val="00F73766"/>
    <w:rsid w:val="00F739C3"/>
    <w:rsid w:val="00F739C4"/>
    <w:rsid w:val="00F739E5"/>
    <w:rsid w:val="00F73A12"/>
    <w:rsid w:val="00F73A2C"/>
    <w:rsid w:val="00F73A52"/>
    <w:rsid w:val="00F73B45"/>
    <w:rsid w:val="00F73BBD"/>
    <w:rsid w:val="00F73C67"/>
    <w:rsid w:val="00F73D2B"/>
    <w:rsid w:val="00F73FAD"/>
    <w:rsid w:val="00F74067"/>
    <w:rsid w:val="00F740A6"/>
    <w:rsid w:val="00F7412B"/>
    <w:rsid w:val="00F74278"/>
    <w:rsid w:val="00F742E7"/>
    <w:rsid w:val="00F74323"/>
    <w:rsid w:val="00F74345"/>
    <w:rsid w:val="00F74356"/>
    <w:rsid w:val="00F74381"/>
    <w:rsid w:val="00F74402"/>
    <w:rsid w:val="00F744BD"/>
    <w:rsid w:val="00F744E3"/>
    <w:rsid w:val="00F74521"/>
    <w:rsid w:val="00F74552"/>
    <w:rsid w:val="00F745F9"/>
    <w:rsid w:val="00F74774"/>
    <w:rsid w:val="00F74793"/>
    <w:rsid w:val="00F7479C"/>
    <w:rsid w:val="00F74952"/>
    <w:rsid w:val="00F74958"/>
    <w:rsid w:val="00F749B3"/>
    <w:rsid w:val="00F749D0"/>
    <w:rsid w:val="00F749DA"/>
    <w:rsid w:val="00F749FA"/>
    <w:rsid w:val="00F74A98"/>
    <w:rsid w:val="00F74AD1"/>
    <w:rsid w:val="00F74CBF"/>
    <w:rsid w:val="00F74FDA"/>
    <w:rsid w:val="00F750A9"/>
    <w:rsid w:val="00F75124"/>
    <w:rsid w:val="00F7516F"/>
    <w:rsid w:val="00F75194"/>
    <w:rsid w:val="00F7534A"/>
    <w:rsid w:val="00F753BA"/>
    <w:rsid w:val="00F7545D"/>
    <w:rsid w:val="00F75537"/>
    <w:rsid w:val="00F75539"/>
    <w:rsid w:val="00F7555D"/>
    <w:rsid w:val="00F75670"/>
    <w:rsid w:val="00F7568C"/>
    <w:rsid w:val="00F7572F"/>
    <w:rsid w:val="00F757F9"/>
    <w:rsid w:val="00F75893"/>
    <w:rsid w:val="00F758F2"/>
    <w:rsid w:val="00F7591B"/>
    <w:rsid w:val="00F7597C"/>
    <w:rsid w:val="00F759A1"/>
    <w:rsid w:val="00F759C3"/>
    <w:rsid w:val="00F75AB4"/>
    <w:rsid w:val="00F75B2A"/>
    <w:rsid w:val="00F75B76"/>
    <w:rsid w:val="00F75BDC"/>
    <w:rsid w:val="00F75C67"/>
    <w:rsid w:val="00F75C7E"/>
    <w:rsid w:val="00F75CAA"/>
    <w:rsid w:val="00F75DEA"/>
    <w:rsid w:val="00F75E97"/>
    <w:rsid w:val="00F75EEA"/>
    <w:rsid w:val="00F75F45"/>
    <w:rsid w:val="00F76032"/>
    <w:rsid w:val="00F7616B"/>
    <w:rsid w:val="00F761DB"/>
    <w:rsid w:val="00F76287"/>
    <w:rsid w:val="00F76291"/>
    <w:rsid w:val="00F762C8"/>
    <w:rsid w:val="00F7632B"/>
    <w:rsid w:val="00F763CC"/>
    <w:rsid w:val="00F7648A"/>
    <w:rsid w:val="00F76505"/>
    <w:rsid w:val="00F76530"/>
    <w:rsid w:val="00F7657A"/>
    <w:rsid w:val="00F765FB"/>
    <w:rsid w:val="00F76644"/>
    <w:rsid w:val="00F766E1"/>
    <w:rsid w:val="00F76724"/>
    <w:rsid w:val="00F7682E"/>
    <w:rsid w:val="00F76865"/>
    <w:rsid w:val="00F769F4"/>
    <w:rsid w:val="00F76AB2"/>
    <w:rsid w:val="00F76AD6"/>
    <w:rsid w:val="00F76AF2"/>
    <w:rsid w:val="00F76B52"/>
    <w:rsid w:val="00F76C69"/>
    <w:rsid w:val="00F76C93"/>
    <w:rsid w:val="00F76D39"/>
    <w:rsid w:val="00F76DA1"/>
    <w:rsid w:val="00F76DD6"/>
    <w:rsid w:val="00F76DEB"/>
    <w:rsid w:val="00F76E21"/>
    <w:rsid w:val="00F76EC6"/>
    <w:rsid w:val="00F76F1A"/>
    <w:rsid w:val="00F76FFA"/>
    <w:rsid w:val="00F77083"/>
    <w:rsid w:val="00F770F9"/>
    <w:rsid w:val="00F772DB"/>
    <w:rsid w:val="00F77366"/>
    <w:rsid w:val="00F77480"/>
    <w:rsid w:val="00F77544"/>
    <w:rsid w:val="00F77569"/>
    <w:rsid w:val="00F7759E"/>
    <w:rsid w:val="00F775CA"/>
    <w:rsid w:val="00F77616"/>
    <w:rsid w:val="00F77635"/>
    <w:rsid w:val="00F7767B"/>
    <w:rsid w:val="00F7767F"/>
    <w:rsid w:val="00F7773C"/>
    <w:rsid w:val="00F77772"/>
    <w:rsid w:val="00F77807"/>
    <w:rsid w:val="00F7781A"/>
    <w:rsid w:val="00F7782E"/>
    <w:rsid w:val="00F77906"/>
    <w:rsid w:val="00F77958"/>
    <w:rsid w:val="00F77972"/>
    <w:rsid w:val="00F77A3B"/>
    <w:rsid w:val="00F77AEA"/>
    <w:rsid w:val="00F77B7D"/>
    <w:rsid w:val="00F77BE1"/>
    <w:rsid w:val="00F77C08"/>
    <w:rsid w:val="00F77E52"/>
    <w:rsid w:val="00F77E5E"/>
    <w:rsid w:val="00F8005A"/>
    <w:rsid w:val="00F80099"/>
    <w:rsid w:val="00F800B2"/>
    <w:rsid w:val="00F801B7"/>
    <w:rsid w:val="00F80292"/>
    <w:rsid w:val="00F802BC"/>
    <w:rsid w:val="00F803CF"/>
    <w:rsid w:val="00F8041F"/>
    <w:rsid w:val="00F80497"/>
    <w:rsid w:val="00F804BA"/>
    <w:rsid w:val="00F804C1"/>
    <w:rsid w:val="00F8057B"/>
    <w:rsid w:val="00F805EC"/>
    <w:rsid w:val="00F80669"/>
    <w:rsid w:val="00F8072C"/>
    <w:rsid w:val="00F80744"/>
    <w:rsid w:val="00F80752"/>
    <w:rsid w:val="00F80758"/>
    <w:rsid w:val="00F8077D"/>
    <w:rsid w:val="00F80805"/>
    <w:rsid w:val="00F80806"/>
    <w:rsid w:val="00F80809"/>
    <w:rsid w:val="00F80824"/>
    <w:rsid w:val="00F8088B"/>
    <w:rsid w:val="00F80964"/>
    <w:rsid w:val="00F80994"/>
    <w:rsid w:val="00F80A64"/>
    <w:rsid w:val="00F80B90"/>
    <w:rsid w:val="00F80BA8"/>
    <w:rsid w:val="00F80BB2"/>
    <w:rsid w:val="00F80C98"/>
    <w:rsid w:val="00F80E68"/>
    <w:rsid w:val="00F80F8C"/>
    <w:rsid w:val="00F8103E"/>
    <w:rsid w:val="00F8104C"/>
    <w:rsid w:val="00F810CC"/>
    <w:rsid w:val="00F81197"/>
    <w:rsid w:val="00F81250"/>
    <w:rsid w:val="00F81388"/>
    <w:rsid w:val="00F813E1"/>
    <w:rsid w:val="00F8144F"/>
    <w:rsid w:val="00F81480"/>
    <w:rsid w:val="00F814EB"/>
    <w:rsid w:val="00F81507"/>
    <w:rsid w:val="00F81516"/>
    <w:rsid w:val="00F815BF"/>
    <w:rsid w:val="00F81620"/>
    <w:rsid w:val="00F816B1"/>
    <w:rsid w:val="00F81719"/>
    <w:rsid w:val="00F81745"/>
    <w:rsid w:val="00F81764"/>
    <w:rsid w:val="00F817CC"/>
    <w:rsid w:val="00F81817"/>
    <w:rsid w:val="00F819CD"/>
    <w:rsid w:val="00F81A29"/>
    <w:rsid w:val="00F81A69"/>
    <w:rsid w:val="00F81A92"/>
    <w:rsid w:val="00F81B83"/>
    <w:rsid w:val="00F81BA3"/>
    <w:rsid w:val="00F81C96"/>
    <w:rsid w:val="00F81CB0"/>
    <w:rsid w:val="00F81D0F"/>
    <w:rsid w:val="00F81D86"/>
    <w:rsid w:val="00F81D8E"/>
    <w:rsid w:val="00F81D96"/>
    <w:rsid w:val="00F81DA0"/>
    <w:rsid w:val="00F81DBB"/>
    <w:rsid w:val="00F81E27"/>
    <w:rsid w:val="00F81E4A"/>
    <w:rsid w:val="00F81E83"/>
    <w:rsid w:val="00F81E87"/>
    <w:rsid w:val="00F81EA5"/>
    <w:rsid w:val="00F81EC1"/>
    <w:rsid w:val="00F81EFC"/>
    <w:rsid w:val="00F81F18"/>
    <w:rsid w:val="00F81F40"/>
    <w:rsid w:val="00F81F49"/>
    <w:rsid w:val="00F81F58"/>
    <w:rsid w:val="00F81FA0"/>
    <w:rsid w:val="00F8210A"/>
    <w:rsid w:val="00F82275"/>
    <w:rsid w:val="00F822E4"/>
    <w:rsid w:val="00F82306"/>
    <w:rsid w:val="00F823BB"/>
    <w:rsid w:val="00F823EE"/>
    <w:rsid w:val="00F8247A"/>
    <w:rsid w:val="00F824DB"/>
    <w:rsid w:val="00F8254D"/>
    <w:rsid w:val="00F825E8"/>
    <w:rsid w:val="00F82676"/>
    <w:rsid w:val="00F826B1"/>
    <w:rsid w:val="00F827DF"/>
    <w:rsid w:val="00F82868"/>
    <w:rsid w:val="00F82871"/>
    <w:rsid w:val="00F828D6"/>
    <w:rsid w:val="00F8293C"/>
    <w:rsid w:val="00F829B1"/>
    <w:rsid w:val="00F829EB"/>
    <w:rsid w:val="00F829F1"/>
    <w:rsid w:val="00F82A7F"/>
    <w:rsid w:val="00F82B66"/>
    <w:rsid w:val="00F82CF5"/>
    <w:rsid w:val="00F82D21"/>
    <w:rsid w:val="00F82DFE"/>
    <w:rsid w:val="00F82E7A"/>
    <w:rsid w:val="00F82EE0"/>
    <w:rsid w:val="00F82F68"/>
    <w:rsid w:val="00F82F83"/>
    <w:rsid w:val="00F8305A"/>
    <w:rsid w:val="00F830B9"/>
    <w:rsid w:val="00F8329A"/>
    <w:rsid w:val="00F8336B"/>
    <w:rsid w:val="00F833A8"/>
    <w:rsid w:val="00F833FB"/>
    <w:rsid w:val="00F83469"/>
    <w:rsid w:val="00F83497"/>
    <w:rsid w:val="00F8354A"/>
    <w:rsid w:val="00F83573"/>
    <w:rsid w:val="00F8364C"/>
    <w:rsid w:val="00F8372D"/>
    <w:rsid w:val="00F83784"/>
    <w:rsid w:val="00F8379B"/>
    <w:rsid w:val="00F837B3"/>
    <w:rsid w:val="00F83839"/>
    <w:rsid w:val="00F839C7"/>
    <w:rsid w:val="00F83A30"/>
    <w:rsid w:val="00F83B65"/>
    <w:rsid w:val="00F83BF1"/>
    <w:rsid w:val="00F83C69"/>
    <w:rsid w:val="00F83CF0"/>
    <w:rsid w:val="00F83D90"/>
    <w:rsid w:val="00F83DC9"/>
    <w:rsid w:val="00F83E3D"/>
    <w:rsid w:val="00F83EEE"/>
    <w:rsid w:val="00F83EFE"/>
    <w:rsid w:val="00F83F22"/>
    <w:rsid w:val="00F84057"/>
    <w:rsid w:val="00F841B9"/>
    <w:rsid w:val="00F841C2"/>
    <w:rsid w:val="00F8423F"/>
    <w:rsid w:val="00F842A7"/>
    <w:rsid w:val="00F84382"/>
    <w:rsid w:val="00F84473"/>
    <w:rsid w:val="00F8448A"/>
    <w:rsid w:val="00F844DC"/>
    <w:rsid w:val="00F84510"/>
    <w:rsid w:val="00F8451D"/>
    <w:rsid w:val="00F8454D"/>
    <w:rsid w:val="00F845A9"/>
    <w:rsid w:val="00F845D3"/>
    <w:rsid w:val="00F84643"/>
    <w:rsid w:val="00F84713"/>
    <w:rsid w:val="00F8475D"/>
    <w:rsid w:val="00F84777"/>
    <w:rsid w:val="00F84872"/>
    <w:rsid w:val="00F848A2"/>
    <w:rsid w:val="00F848C6"/>
    <w:rsid w:val="00F84A13"/>
    <w:rsid w:val="00F84A51"/>
    <w:rsid w:val="00F84A71"/>
    <w:rsid w:val="00F84C0F"/>
    <w:rsid w:val="00F84C29"/>
    <w:rsid w:val="00F84C94"/>
    <w:rsid w:val="00F84CDE"/>
    <w:rsid w:val="00F84D3E"/>
    <w:rsid w:val="00F84DB3"/>
    <w:rsid w:val="00F84E06"/>
    <w:rsid w:val="00F84E3F"/>
    <w:rsid w:val="00F84E44"/>
    <w:rsid w:val="00F84EF7"/>
    <w:rsid w:val="00F84FBB"/>
    <w:rsid w:val="00F84FCF"/>
    <w:rsid w:val="00F8510A"/>
    <w:rsid w:val="00F85214"/>
    <w:rsid w:val="00F8523A"/>
    <w:rsid w:val="00F85251"/>
    <w:rsid w:val="00F852CD"/>
    <w:rsid w:val="00F852E9"/>
    <w:rsid w:val="00F853A7"/>
    <w:rsid w:val="00F854DE"/>
    <w:rsid w:val="00F8566F"/>
    <w:rsid w:val="00F85677"/>
    <w:rsid w:val="00F85726"/>
    <w:rsid w:val="00F857CF"/>
    <w:rsid w:val="00F8586D"/>
    <w:rsid w:val="00F85887"/>
    <w:rsid w:val="00F858E6"/>
    <w:rsid w:val="00F85957"/>
    <w:rsid w:val="00F859BA"/>
    <w:rsid w:val="00F859ED"/>
    <w:rsid w:val="00F85A50"/>
    <w:rsid w:val="00F85B2B"/>
    <w:rsid w:val="00F85B52"/>
    <w:rsid w:val="00F85B90"/>
    <w:rsid w:val="00F85BA4"/>
    <w:rsid w:val="00F85CC9"/>
    <w:rsid w:val="00F85CFC"/>
    <w:rsid w:val="00F85D05"/>
    <w:rsid w:val="00F85DDB"/>
    <w:rsid w:val="00F85E2B"/>
    <w:rsid w:val="00F85EE0"/>
    <w:rsid w:val="00F85F3E"/>
    <w:rsid w:val="00F85F43"/>
    <w:rsid w:val="00F85F8B"/>
    <w:rsid w:val="00F85F92"/>
    <w:rsid w:val="00F86037"/>
    <w:rsid w:val="00F86060"/>
    <w:rsid w:val="00F8610F"/>
    <w:rsid w:val="00F8619A"/>
    <w:rsid w:val="00F862BC"/>
    <w:rsid w:val="00F86300"/>
    <w:rsid w:val="00F86331"/>
    <w:rsid w:val="00F863D0"/>
    <w:rsid w:val="00F8651C"/>
    <w:rsid w:val="00F8653A"/>
    <w:rsid w:val="00F86571"/>
    <w:rsid w:val="00F8667D"/>
    <w:rsid w:val="00F866F5"/>
    <w:rsid w:val="00F868CF"/>
    <w:rsid w:val="00F868F0"/>
    <w:rsid w:val="00F86952"/>
    <w:rsid w:val="00F869A9"/>
    <w:rsid w:val="00F86AB0"/>
    <w:rsid w:val="00F86AD8"/>
    <w:rsid w:val="00F86B02"/>
    <w:rsid w:val="00F86B06"/>
    <w:rsid w:val="00F86B7E"/>
    <w:rsid w:val="00F86D3A"/>
    <w:rsid w:val="00F86DC0"/>
    <w:rsid w:val="00F86DC5"/>
    <w:rsid w:val="00F86E80"/>
    <w:rsid w:val="00F86E8D"/>
    <w:rsid w:val="00F86EF4"/>
    <w:rsid w:val="00F86F6C"/>
    <w:rsid w:val="00F86FC6"/>
    <w:rsid w:val="00F86FE3"/>
    <w:rsid w:val="00F86FEA"/>
    <w:rsid w:val="00F86FF8"/>
    <w:rsid w:val="00F87077"/>
    <w:rsid w:val="00F87156"/>
    <w:rsid w:val="00F87195"/>
    <w:rsid w:val="00F87197"/>
    <w:rsid w:val="00F8724F"/>
    <w:rsid w:val="00F872B8"/>
    <w:rsid w:val="00F872EE"/>
    <w:rsid w:val="00F8734D"/>
    <w:rsid w:val="00F87446"/>
    <w:rsid w:val="00F87452"/>
    <w:rsid w:val="00F87579"/>
    <w:rsid w:val="00F8760E"/>
    <w:rsid w:val="00F876E7"/>
    <w:rsid w:val="00F8782F"/>
    <w:rsid w:val="00F87858"/>
    <w:rsid w:val="00F87940"/>
    <w:rsid w:val="00F879C9"/>
    <w:rsid w:val="00F87A32"/>
    <w:rsid w:val="00F87A72"/>
    <w:rsid w:val="00F87A94"/>
    <w:rsid w:val="00F87AB2"/>
    <w:rsid w:val="00F87B44"/>
    <w:rsid w:val="00F87B79"/>
    <w:rsid w:val="00F87BB9"/>
    <w:rsid w:val="00F87CF7"/>
    <w:rsid w:val="00F87CFF"/>
    <w:rsid w:val="00F87D8B"/>
    <w:rsid w:val="00F87E79"/>
    <w:rsid w:val="00F87EC6"/>
    <w:rsid w:val="00F87EC9"/>
    <w:rsid w:val="00F87EE9"/>
    <w:rsid w:val="00F87F86"/>
    <w:rsid w:val="00F87FDC"/>
    <w:rsid w:val="00F87FDE"/>
    <w:rsid w:val="00F90148"/>
    <w:rsid w:val="00F901D6"/>
    <w:rsid w:val="00F9020C"/>
    <w:rsid w:val="00F902CF"/>
    <w:rsid w:val="00F90377"/>
    <w:rsid w:val="00F90388"/>
    <w:rsid w:val="00F9041A"/>
    <w:rsid w:val="00F90440"/>
    <w:rsid w:val="00F905BE"/>
    <w:rsid w:val="00F907B9"/>
    <w:rsid w:val="00F907BB"/>
    <w:rsid w:val="00F907CF"/>
    <w:rsid w:val="00F90905"/>
    <w:rsid w:val="00F9091B"/>
    <w:rsid w:val="00F9098B"/>
    <w:rsid w:val="00F90A86"/>
    <w:rsid w:val="00F90A8B"/>
    <w:rsid w:val="00F90ABA"/>
    <w:rsid w:val="00F90ABB"/>
    <w:rsid w:val="00F90ACB"/>
    <w:rsid w:val="00F90B75"/>
    <w:rsid w:val="00F90BA5"/>
    <w:rsid w:val="00F90BDC"/>
    <w:rsid w:val="00F90BF8"/>
    <w:rsid w:val="00F90D41"/>
    <w:rsid w:val="00F90D64"/>
    <w:rsid w:val="00F90DE0"/>
    <w:rsid w:val="00F90E18"/>
    <w:rsid w:val="00F90E3E"/>
    <w:rsid w:val="00F90E4A"/>
    <w:rsid w:val="00F90F1C"/>
    <w:rsid w:val="00F90F20"/>
    <w:rsid w:val="00F91016"/>
    <w:rsid w:val="00F9106F"/>
    <w:rsid w:val="00F910DA"/>
    <w:rsid w:val="00F910E4"/>
    <w:rsid w:val="00F910EE"/>
    <w:rsid w:val="00F9118C"/>
    <w:rsid w:val="00F9119D"/>
    <w:rsid w:val="00F911C1"/>
    <w:rsid w:val="00F91348"/>
    <w:rsid w:val="00F91369"/>
    <w:rsid w:val="00F91405"/>
    <w:rsid w:val="00F91460"/>
    <w:rsid w:val="00F915C1"/>
    <w:rsid w:val="00F91633"/>
    <w:rsid w:val="00F9166C"/>
    <w:rsid w:val="00F91735"/>
    <w:rsid w:val="00F917BD"/>
    <w:rsid w:val="00F917C6"/>
    <w:rsid w:val="00F91804"/>
    <w:rsid w:val="00F91810"/>
    <w:rsid w:val="00F91888"/>
    <w:rsid w:val="00F918A1"/>
    <w:rsid w:val="00F91ABA"/>
    <w:rsid w:val="00F91ABC"/>
    <w:rsid w:val="00F91BB9"/>
    <w:rsid w:val="00F91BE3"/>
    <w:rsid w:val="00F91C19"/>
    <w:rsid w:val="00F91C9F"/>
    <w:rsid w:val="00F91D19"/>
    <w:rsid w:val="00F91D71"/>
    <w:rsid w:val="00F91DB7"/>
    <w:rsid w:val="00F91E7C"/>
    <w:rsid w:val="00F91EEE"/>
    <w:rsid w:val="00F91F8E"/>
    <w:rsid w:val="00F91FA7"/>
    <w:rsid w:val="00F91FB9"/>
    <w:rsid w:val="00F92081"/>
    <w:rsid w:val="00F9208D"/>
    <w:rsid w:val="00F92136"/>
    <w:rsid w:val="00F92199"/>
    <w:rsid w:val="00F92223"/>
    <w:rsid w:val="00F92241"/>
    <w:rsid w:val="00F92246"/>
    <w:rsid w:val="00F92344"/>
    <w:rsid w:val="00F923A5"/>
    <w:rsid w:val="00F923F1"/>
    <w:rsid w:val="00F92447"/>
    <w:rsid w:val="00F925A4"/>
    <w:rsid w:val="00F925B9"/>
    <w:rsid w:val="00F925F8"/>
    <w:rsid w:val="00F92602"/>
    <w:rsid w:val="00F9272B"/>
    <w:rsid w:val="00F92765"/>
    <w:rsid w:val="00F92799"/>
    <w:rsid w:val="00F92864"/>
    <w:rsid w:val="00F928B0"/>
    <w:rsid w:val="00F92924"/>
    <w:rsid w:val="00F9296B"/>
    <w:rsid w:val="00F92A65"/>
    <w:rsid w:val="00F92AE4"/>
    <w:rsid w:val="00F92BCA"/>
    <w:rsid w:val="00F92C22"/>
    <w:rsid w:val="00F92DDB"/>
    <w:rsid w:val="00F92E56"/>
    <w:rsid w:val="00F92E8F"/>
    <w:rsid w:val="00F92EC3"/>
    <w:rsid w:val="00F92EF9"/>
    <w:rsid w:val="00F92FD2"/>
    <w:rsid w:val="00F93010"/>
    <w:rsid w:val="00F930B4"/>
    <w:rsid w:val="00F930B5"/>
    <w:rsid w:val="00F930DE"/>
    <w:rsid w:val="00F93124"/>
    <w:rsid w:val="00F93232"/>
    <w:rsid w:val="00F9324A"/>
    <w:rsid w:val="00F9326F"/>
    <w:rsid w:val="00F932D6"/>
    <w:rsid w:val="00F932DA"/>
    <w:rsid w:val="00F932FF"/>
    <w:rsid w:val="00F9336B"/>
    <w:rsid w:val="00F933A7"/>
    <w:rsid w:val="00F9347A"/>
    <w:rsid w:val="00F934B7"/>
    <w:rsid w:val="00F934F2"/>
    <w:rsid w:val="00F9354D"/>
    <w:rsid w:val="00F93558"/>
    <w:rsid w:val="00F93562"/>
    <w:rsid w:val="00F9361E"/>
    <w:rsid w:val="00F93645"/>
    <w:rsid w:val="00F93658"/>
    <w:rsid w:val="00F93710"/>
    <w:rsid w:val="00F93785"/>
    <w:rsid w:val="00F937D5"/>
    <w:rsid w:val="00F9393C"/>
    <w:rsid w:val="00F93A1A"/>
    <w:rsid w:val="00F93A45"/>
    <w:rsid w:val="00F93A60"/>
    <w:rsid w:val="00F93BBA"/>
    <w:rsid w:val="00F93CB6"/>
    <w:rsid w:val="00F93D41"/>
    <w:rsid w:val="00F93D5C"/>
    <w:rsid w:val="00F93D5E"/>
    <w:rsid w:val="00F93E85"/>
    <w:rsid w:val="00F93ECE"/>
    <w:rsid w:val="00F93F03"/>
    <w:rsid w:val="00F93F60"/>
    <w:rsid w:val="00F93FFD"/>
    <w:rsid w:val="00F940A2"/>
    <w:rsid w:val="00F940B1"/>
    <w:rsid w:val="00F940B6"/>
    <w:rsid w:val="00F94134"/>
    <w:rsid w:val="00F94144"/>
    <w:rsid w:val="00F9418E"/>
    <w:rsid w:val="00F941EB"/>
    <w:rsid w:val="00F9420B"/>
    <w:rsid w:val="00F94236"/>
    <w:rsid w:val="00F942ED"/>
    <w:rsid w:val="00F942F9"/>
    <w:rsid w:val="00F9439D"/>
    <w:rsid w:val="00F9443D"/>
    <w:rsid w:val="00F94590"/>
    <w:rsid w:val="00F9467E"/>
    <w:rsid w:val="00F94737"/>
    <w:rsid w:val="00F94753"/>
    <w:rsid w:val="00F94765"/>
    <w:rsid w:val="00F94819"/>
    <w:rsid w:val="00F9485E"/>
    <w:rsid w:val="00F948D9"/>
    <w:rsid w:val="00F948EA"/>
    <w:rsid w:val="00F94B29"/>
    <w:rsid w:val="00F94BC2"/>
    <w:rsid w:val="00F94E83"/>
    <w:rsid w:val="00F94F34"/>
    <w:rsid w:val="00F94F51"/>
    <w:rsid w:val="00F94F83"/>
    <w:rsid w:val="00F94FA3"/>
    <w:rsid w:val="00F95091"/>
    <w:rsid w:val="00F950A4"/>
    <w:rsid w:val="00F9513A"/>
    <w:rsid w:val="00F9524A"/>
    <w:rsid w:val="00F9524F"/>
    <w:rsid w:val="00F9529D"/>
    <w:rsid w:val="00F95367"/>
    <w:rsid w:val="00F95368"/>
    <w:rsid w:val="00F95381"/>
    <w:rsid w:val="00F953A7"/>
    <w:rsid w:val="00F953DE"/>
    <w:rsid w:val="00F955C1"/>
    <w:rsid w:val="00F95645"/>
    <w:rsid w:val="00F956A0"/>
    <w:rsid w:val="00F956BD"/>
    <w:rsid w:val="00F95792"/>
    <w:rsid w:val="00F958ED"/>
    <w:rsid w:val="00F9592F"/>
    <w:rsid w:val="00F9593A"/>
    <w:rsid w:val="00F9594E"/>
    <w:rsid w:val="00F95A63"/>
    <w:rsid w:val="00F95A7C"/>
    <w:rsid w:val="00F95A91"/>
    <w:rsid w:val="00F95A95"/>
    <w:rsid w:val="00F95B36"/>
    <w:rsid w:val="00F95B9E"/>
    <w:rsid w:val="00F95BFB"/>
    <w:rsid w:val="00F95CA8"/>
    <w:rsid w:val="00F95D2B"/>
    <w:rsid w:val="00F95D87"/>
    <w:rsid w:val="00F95DA7"/>
    <w:rsid w:val="00F95DEB"/>
    <w:rsid w:val="00F95E3C"/>
    <w:rsid w:val="00F95E5A"/>
    <w:rsid w:val="00F95EE1"/>
    <w:rsid w:val="00F95EF0"/>
    <w:rsid w:val="00F95F4F"/>
    <w:rsid w:val="00F96026"/>
    <w:rsid w:val="00F9607F"/>
    <w:rsid w:val="00F96138"/>
    <w:rsid w:val="00F96146"/>
    <w:rsid w:val="00F96158"/>
    <w:rsid w:val="00F96254"/>
    <w:rsid w:val="00F963B7"/>
    <w:rsid w:val="00F963F2"/>
    <w:rsid w:val="00F963FC"/>
    <w:rsid w:val="00F96476"/>
    <w:rsid w:val="00F9647E"/>
    <w:rsid w:val="00F96522"/>
    <w:rsid w:val="00F96545"/>
    <w:rsid w:val="00F96585"/>
    <w:rsid w:val="00F96661"/>
    <w:rsid w:val="00F96663"/>
    <w:rsid w:val="00F9666B"/>
    <w:rsid w:val="00F96690"/>
    <w:rsid w:val="00F966A8"/>
    <w:rsid w:val="00F966DA"/>
    <w:rsid w:val="00F966E7"/>
    <w:rsid w:val="00F96721"/>
    <w:rsid w:val="00F9673B"/>
    <w:rsid w:val="00F967BD"/>
    <w:rsid w:val="00F96836"/>
    <w:rsid w:val="00F968F8"/>
    <w:rsid w:val="00F96926"/>
    <w:rsid w:val="00F969C8"/>
    <w:rsid w:val="00F96A29"/>
    <w:rsid w:val="00F96A6F"/>
    <w:rsid w:val="00F96B2B"/>
    <w:rsid w:val="00F96B7F"/>
    <w:rsid w:val="00F96B89"/>
    <w:rsid w:val="00F96D1A"/>
    <w:rsid w:val="00F96D32"/>
    <w:rsid w:val="00F96D37"/>
    <w:rsid w:val="00F96D6F"/>
    <w:rsid w:val="00F96DB7"/>
    <w:rsid w:val="00F96E17"/>
    <w:rsid w:val="00F96E1F"/>
    <w:rsid w:val="00F96ECF"/>
    <w:rsid w:val="00F97012"/>
    <w:rsid w:val="00F970A9"/>
    <w:rsid w:val="00F97140"/>
    <w:rsid w:val="00F971A2"/>
    <w:rsid w:val="00F97400"/>
    <w:rsid w:val="00F97445"/>
    <w:rsid w:val="00F9748C"/>
    <w:rsid w:val="00F9749B"/>
    <w:rsid w:val="00F975B8"/>
    <w:rsid w:val="00F975FD"/>
    <w:rsid w:val="00F97605"/>
    <w:rsid w:val="00F97641"/>
    <w:rsid w:val="00F9766F"/>
    <w:rsid w:val="00F97741"/>
    <w:rsid w:val="00F977EA"/>
    <w:rsid w:val="00F97836"/>
    <w:rsid w:val="00F97849"/>
    <w:rsid w:val="00F978AD"/>
    <w:rsid w:val="00F97963"/>
    <w:rsid w:val="00F97967"/>
    <w:rsid w:val="00F97B2F"/>
    <w:rsid w:val="00F97B4E"/>
    <w:rsid w:val="00F97B7C"/>
    <w:rsid w:val="00F97BB9"/>
    <w:rsid w:val="00F97C3C"/>
    <w:rsid w:val="00F97C40"/>
    <w:rsid w:val="00F97C6A"/>
    <w:rsid w:val="00F97CB8"/>
    <w:rsid w:val="00F97E51"/>
    <w:rsid w:val="00F97E7F"/>
    <w:rsid w:val="00F97EBD"/>
    <w:rsid w:val="00F97EDA"/>
    <w:rsid w:val="00F97EF5"/>
    <w:rsid w:val="00F97F30"/>
    <w:rsid w:val="00F97F3A"/>
    <w:rsid w:val="00FA004C"/>
    <w:rsid w:val="00FA00E5"/>
    <w:rsid w:val="00FA01E4"/>
    <w:rsid w:val="00FA0271"/>
    <w:rsid w:val="00FA02A3"/>
    <w:rsid w:val="00FA02FA"/>
    <w:rsid w:val="00FA0342"/>
    <w:rsid w:val="00FA041A"/>
    <w:rsid w:val="00FA04F7"/>
    <w:rsid w:val="00FA057E"/>
    <w:rsid w:val="00FA05CB"/>
    <w:rsid w:val="00FA05D2"/>
    <w:rsid w:val="00FA0631"/>
    <w:rsid w:val="00FA06CF"/>
    <w:rsid w:val="00FA072F"/>
    <w:rsid w:val="00FA0877"/>
    <w:rsid w:val="00FA0920"/>
    <w:rsid w:val="00FA095F"/>
    <w:rsid w:val="00FA0AD4"/>
    <w:rsid w:val="00FA0AF7"/>
    <w:rsid w:val="00FA0BBA"/>
    <w:rsid w:val="00FA0C0E"/>
    <w:rsid w:val="00FA0D13"/>
    <w:rsid w:val="00FA0D65"/>
    <w:rsid w:val="00FA0D6E"/>
    <w:rsid w:val="00FA0D77"/>
    <w:rsid w:val="00FA0DB8"/>
    <w:rsid w:val="00FA0DF6"/>
    <w:rsid w:val="00FA0E63"/>
    <w:rsid w:val="00FA0E81"/>
    <w:rsid w:val="00FA0E9E"/>
    <w:rsid w:val="00FA0E9F"/>
    <w:rsid w:val="00FA0EE5"/>
    <w:rsid w:val="00FA0EF4"/>
    <w:rsid w:val="00FA0F40"/>
    <w:rsid w:val="00FA0F9A"/>
    <w:rsid w:val="00FA1058"/>
    <w:rsid w:val="00FA105B"/>
    <w:rsid w:val="00FA1099"/>
    <w:rsid w:val="00FA10EE"/>
    <w:rsid w:val="00FA1184"/>
    <w:rsid w:val="00FA11E0"/>
    <w:rsid w:val="00FA11E2"/>
    <w:rsid w:val="00FA1215"/>
    <w:rsid w:val="00FA12FD"/>
    <w:rsid w:val="00FA134E"/>
    <w:rsid w:val="00FA1399"/>
    <w:rsid w:val="00FA139A"/>
    <w:rsid w:val="00FA1425"/>
    <w:rsid w:val="00FA1509"/>
    <w:rsid w:val="00FA150D"/>
    <w:rsid w:val="00FA151B"/>
    <w:rsid w:val="00FA1528"/>
    <w:rsid w:val="00FA1533"/>
    <w:rsid w:val="00FA1554"/>
    <w:rsid w:val="00FA15C8"/>
    <w:rsid w:val="00FA15DC"/>
    <w:rsid w:val="00FA1631"/>
    <w:rsid w:val="00FA1648"/>
    <w:rsid w:val="00FA164A"/>
    <w:rsid w:val="00FA16A6"/>
    <w:rsid w:val="00FA16B0"/>
    <w:rsid w:val="00FA16C1"/>
    <w:rsid w:val="00FA16FA"/>
    <w:rsid w:val="00FA1769"/>
    <w:rsid w:val="00FA1789"/>
    <w:rsid w:val="00FA1841"/>
    <w:rsid w:val="00FA188E"/>
    <w:rsid w:val="00FA1951"/>
    <w:rsid w:val="00FA1988"/>
    <w:rsid w:val="00FA1AE3"/>
    <w:rsid w:val="00FA1B15"/>
    <w:rsid w:val="00FA1B22"/>
    <w:rsid w:val="00FA1BB9"/>
    <w:rsid w:val="00FA1BEB"/>
    <w:rsid w:val="00FA1C67"/>
    <w:rsid w:val="00FA1D66"/>
    <w:rsid w:val="00FA1DC3"/>
    <w:rsid w:val="00FA1EC7"/>
    <w:rsid w:val="00FA1F00"/>
    <w:rsid w:val="00FA1F13"/>
    <w:rsid w:val="00FA1F3B"/>
    <w:rsid w:val="00FA1F6A"/>
    <w:rsid w:val="00FA1F81"/>
    <w:rsid w:val="00FA2077"/>
    <w:rsid w:val="00FA2103"/>
    <w:rsid w:val="00FA216D"/>
    <w:rsid w:val="00FA21AB"/>
    <w:rsid w:val="00FA21B6"/>
    <w:rsid w:val="00FA222D"/>
    <w:rsid w:val="00FA223C"/>
    <w:rsid w:val="00FA2294"/>
    <w:rsid w:val="00FA23EC"/>
    <w:rsid w:val="00FA2429"/>
    <w:rsid w:val="00FA2456"/>
    <w:rsid w:val="00FA24A1"/>
    <w:rsid w:val="00FA24C8"/>
    <w:rsid w:val="00FA24D8"/>
    <w:rsid w:val="00FA24E0"/>
    <w:rsid w:val="00FA262B"/>
    <w:rsid w:val="00FA2631"/>
    <w:rsid w:val="00FA264E"/>
    <w:rsid w:val="00FA2723"/>
    <w:rsid w:val="00FA2853"/>
    <w:rsid w:val="00FA288E"/>
    <w:rsid w:val="00FA28A5"/>
    <w:rsid w:val="00FA28B6"/>
    <w:rsid w:val="00FA28DC"/>
    <w:rsid w:val="00FA2915"/>
    <w:rsid w:val="00FA2944"/>
    <w:rsid w:val="00FA2961"/>
    <w:rsid w:val="00FA29A0"/>
    <w:rsid w:val="00FA29F5"/>
    <w:rsid w:val="00FA2A2A"/>
    <w:rsid w:val="00FA2AC0"/>
    <w:rsid w:val="00FA2B1A"/>
    <w:rsid w:val="00FA2CF6"/>
    <w:rsid w:val="00FA2D4B"/>
    <w:rsid w:val="00FA2DE0"/>
    <w:rsid w:val="00FA2E34"/>
    <w:rsid w:val="00FA2ED5"/>
    <w:rsid w:val="00FA2ED7"/>
    <w:rsid w:val="00FA3021"/>
    <w:rsid w:val="00FA30CE"/>
    <w:rsid w:val="00FA315D"/>
    <w:rsid w:val="00FA31A9"/>
    <w:rsid w:val="00FA324A"/>
    <w:rsid w:val="00FA32E3"/>
    <w:rsid w:val="00FA3355"/>
    <w:rsid w:val="00FA3490"/>
    <w:rsid w:val="00FA373D"/>
    <w:rsid w:val="00FA3753"/>
    <w:rsid w:val="00FA3789"/>
    <w:rsid w:val="00FA3819"/>
    <w:rsid w:val="00FA384B"/>
    <w:rsid w:val="00FA38F7"/>
    <w:rsid w:val="00FA3920"/>
    <w:rsid w:val="00FA3A5F"/>
    <w:rsid w:val="00FA3AE4"/>
    <w:rsid w:val="00FA3B41"/>
    <w:rsid w:val="00FA3B8D"/>
    <w:rsid w:val="00FA3C12"/>
    <w:rsid w:val="00FA3D30"/>
    <w:rsid w:val="00FA3E1E"/>
    <w:rsid w:val="00FA3E5A"/>
    <w:rsid w:val="00FA3F54"/>
    <w:rsid w:val="00FA3FA6"/>
    <w:rsid w:val="00FA3FBD"/>
    <w:rsid w:val="00FA4029"/>
    <w:rsid w:val="00FA405F"/>
    <w:rsid w:val="00FA410B"/>
    <w:rsid w:val="00FA4252"/>
    <w:rsid w:val="00FA427E"/>
    <w:rsid w:val="00FA441A"/>
    <w:rsid w:val="00FA4511"/>
    <w:rsid w:val="00FA455B"/>
    <w:rsid w:val="00FA4708"/>
    <w:rsid w:val="00FA485D"/>
    <w:rsid w:val="00FA4860"/>
    <w:rsid w:val="00FA4A08"/>
    <w:rsid w:val="00FA4AA5"/>
    <w:rsid w:val="00FA4C31"/>
    <w:rsid w:val="00FA4C95"/>
    <w:rsid w:val="00FA4DAA"/>
    <w:rsid w:val="00FA4E37"/>
    <w:rsid w:val="00FA4E3A"/>
    <w:rsid w:val="00FA4E53"/>
    <w:rsid w:val="00FA4EC2"/>
    <w:rsid w:val="00FA4F1E"/>
    <w:rsid w:val="00FA4F83"/>
    <w:rsid w:val="00FA4FB3"/>
    <w:rsid w:val="00FA4FF0"/>
    <w:rsid w:val="00FA5010"/>
    <w:rsid w:val="00FA50C5"/>
    <w:rsid w:val="00FA50DA"/>
    <w:rsid w:val="00FA511B"/>
    <w:rsid w:val="00FA5127"/>
    <w:rsid w:val="00FA5134"/>
    <w:rsid w:val="00FA5154"/>
    <w:rsid w:val="00FA5179"/>
    <w:rsid w:val="00FA519C"/>
    <w:rsid w:val="00FA51F0"/>
    <w:rsid w:val="00FA5209"/>
    <w:rsid w:val="00FA5236"/>
    <w:rsid w:val="00FA5250"/>
    <w:rsid w:val="00FA5256"/>
    <w:rsid w:val="00FA5390"/>
    <w:rsid w:val="00FA53B0"/>
    <w:rsid w:val="00FA53B3"/>
    <w:rsid w:val="00FA53EA"/>
    <w:rsid w:val="00FA5434"/>
    <w:rsid w:val="00FA5469"/>
    <w:rsid w:val="00FA5580"/>
    <w:rsid w:val="00FA55B5"/>
    <w:rsid w:val="00FA55B7"/>
    <w:rsid w:val="00FA55C2"/>
    <w:rsid w:val="00FA56B9"/>
    <w:rsid w:val="00FA56C7"/>
    <w:rsid w:val="00FA575F"/>
    <w:rsid w:val="00FA57A8"/>
    <w:rsid w:val="00FA5861"/>
    <w:rsid w:val="00FA589B"/>
    <w:rsid w:val="00FA5988"/>
    <w:rsid w:val="00FA59A9"/>
    <w:rsid w:val="00FA5BE0"/>
    <w:rsid w:val="00FA5C17"/>
    <w:rsid w:val="00FA5C36"/>
    <w:rsid w:val="00FA5D35"/>
    <w:rsid w:val="00FA5DBC"/>
    <w:rsid w:val="00FA5E48"/>
    <w:rsid w:val="00FA5EB8"/>
    <w:rsid w:val="00FA5EFF"/>
    <w:rsid w:val="00FA5F36"/>
    <w:rsid w:val="00FA5FA3"/>
    <w:rsid w:val="00FA6068"/>
    <w:rsid w:val="00FA60BF"/>
    <w:rsid w:val="00FA6137"/>
    <w:rsid w:val="00FA61AC"/>
    <w:rsid w:val="00FA624B"/>
    <w:rsid w:val="00FA624E"/>
    <w:rsid w:val="00FA6283"/>
    <w:rsid w:val="00FA62EB"/>
    <w:rsid w:val="00FA62EC"/>
    <w:rsid w:val="00FA632A"/>
    <w:rsid w:val="00FA634A"/>
    <w:rsid w:val="00FA63DF"/>
    <w:rsid w:val="00FA646D"/>
    <w:rsid w:val="00FA6481"/>
    <w:rsid w:val="00FA64A4"/>
    <w:rsid w:val="00FA65AA"/>
    <w:rsid w:val="00FA65E6"/>
    <w:rsid w:val="00FA662F"/>
    <w:rsid w:val="00FA664A"/>
    <w:rsid w:val="00FA6857"/>
    <w:rsid w:val="00FA68B0"/>
    <w:rsid w:val="00FA68B9"/>
    <w:rsid w:val="00FA6953"/>
    <w:rsid w:val="00FA6961"/>
    <w:rsid w:val="00FA6A51"/>
    <w:rsid w:val="00FA6A8D"/>
    <w:rsid w:val="00FA6B88"/>
    <w:rsid w:val="00FA6C1F"/>
    <w:rsid w:val="00FA6C92"/>
    <w:rsid w:val="00FA6D22"/>
    <w:rsid w:val="00FA6DEB"/>
    <w:rsid w:val="00FA6E2D"/>
    <w:rsid w:val="00FA6EB0"/>
    <w:rsid w:val="00FA6F00"/>
    <w:rsid w:val="00FA6F34"/>
    <w:rsid w:val="00FA6FBA"/>
    <w:rsid w:val="00FA6FFE"/>
    <w:rsid w:val="00FA7003"/>
    <w:rsid w:val="00FA7012"/>
    <w:rsid w:val="00FA7050"/>
    <w:rsid w:val="00FA70DF"/>
    <w:rsid w:val="00FA70E7"/>
    <w:rsid w:val="00FA70E8"/>
    <w:rsid w:val="00FA723F"/>
    <w:rsid w:val="00FA747B"/>
    <w:rsid w:val="00FA749D"/>
    <w:rsid w:val="00FA74CC"/>
    <w:rsid w:val="00FA750C"/>
    <w:rsid w:val="00FA7548"/>
    <w:rsid w:val="00FA7565"/>
    <w:rsid w:val="00FA7572"/>
    <w:rsid w:val="00FA7636"/>
    <w:rsid w:val="00FA78FB"/>
    <w:rsid w:val="00FA7941"/>
    <w:rsid w:val="00FA7962"/>
    <w:rsid w:val="00FA79E2"/>
    <w:rsid w:val="00FA79F3"/>
    <w:rsid w:val="00FA7B96"/>
    <w:rsid w:val="00FA7CB9"/>
    <w:rsid w:val="00FA7D7D"/>
    <w:rsid w:val="00FA7DC9"/>
    <w:rsid w:val="00FA7E01"/>
    <w:rsid w:val="00FA7E55"/>
    <w:rsid w:val="00FA7EB3"/>
    <w:rsid w:val="00FA7F56"/>
    <w:rsid w:val="00FA7F63"/>
    <w:rsid w:val="00FB004E"/>
    <w:rsid w:val="00FB019C"/>
    <w:rsid w:val="00FB022F"/>
    <w:rsid w:val="00FB025E"/>
    <w:rsid w:val="00FB0277"/>
    <w:rsid w:val="00FB0282"/>
    <w:rsid w:val="00FB029B"/>
    <w:rsid w:val="00FB029F"/>
    <w:rsid w:val="00FB0313"/>
    <w:rsid w:val="00FB0315"/>
    <w:rsid w:val="00FB034B"/>
    <w:rsid w:val="00FB03F3"/>
    <w:rsid w:val="00FB0644"/>
    <w:rsid w:val="00FB066F"/>
    <w:rsid w:val="00FB0763"/>
    <w:rsid w:val="00FB0772"/>
    <w:rsid w:val="00FB088B"/>
    <w:rsid w:val="00FB09B6"/>
    <w:rsid w:val="00FB0A64"/>
    <w:rsid w:val="00FB0BD4"/>
    <w:rsid w:val="00FB0D68"/>
    <w:rsid w:val="00FB0D70"/>
    <w:rsid w:val="00FB0F07"/>
    <w:rsid w:val="00FB0F34"/>
    <w:rsid w:val="00FB0FD3"/>
    <w:rsid w:val="00FB0FF2"/>
    <w:rsid w:val="00FB1045"/>
    <w:rsid w:val="00FB11AE"/>
    <w:rsid w:val="00FB121B"/>
    <w:rsid w:val="00FB12C9"/>
    <w:rsid w:val="00FB1323"/>
    <w:rsid w:val="00FB13F5"/>
    <w:rsid w:val="00FB1413"/>
    <w:rsid w:val="00FB144D"/>
    <w:rsid w:val="00FB144F"/>
    <w:rsid w:val="00FB14D3"/>
    <w:rsid w:val="00FB15A0"/>
    <w:rsid w:val="00FB15A5"/>
    <w:rsid w:val="00FB161E"/>
    <w:rsid w:val="00FB183E"/>
    <w:rsid w:val="00FB195D"/>
    <w:rsid w:val="00FB197E"/>
    <w:rsid w:val="00FB1A90"/>
    <w:rsid w:val="00FB1AE9"/>
    <w:rsid w:val="00FB1B91"/>
    <w:rsid w:val="00FB1C57"/>
    <w:rsid w:val="00FB1CAC"/>
    <w:rsid w:val="00FB1D44"/>
    <w:rsid w:val="00FB1DCB"/>
    <w:rsid w:val="00FB1FAA"/>
    <w:rsid w:val="00FB1FB1"/>
    <w:rsid w:val="00FB2087"/>
    <w:rsid w:val="00FB20A8"/>
    <w:rsid w:val="00FB20C0"/>
    <w:rsid w:val="00FB20C9"/>
    <w:rsid w:val="00FB2100"/>
    <w:rsid w:val="00FB211A"/>
    <w:rsid w:val="00FB215F"/>
    <w:rsid w:val="00FB2204"/>
    <w:rsid w:val="00FB22E9"/>
    <w:rsid w:val="00FB2352"/>
    <w:rsid w:val="00FB236F"/>
    <w:rsid w:val="00FB2373"/>
    <w:rsid w:val="00FB24E2"/>
    <w:rsid w:val="00FB252F"/>
    <w:rsid w:val="00FB25F6"/>
    <w:rsid w:val="00FB25FC"/>
    <w:rsid w:val="00FB269E"/>
    <w:rsid w:val="00FB26E0"/>
    <w:rsid w:val="00FB2714"/>
    <w:rsid w:val="00FB27C5"/>
    <w:rsid w:val="00FB293F"/>
    <w:rsid w:val="00FB2947"/>
    <w:rsid w:val="00FB295F"/>
    <w:rsid w:val="00FB29D7"/>
    <w:rsid w:val="00FB2A22"/>
    <w:rsid w:val="00FB2B92"/>
    <w:rsid w:val="00FB2BE1"/>
    <w:rsid w:val="00FB2CE2"/>
    <w:rsid w:val="00FB2D28"/>
    <w:rsid w:val="00FB2D3C"/>
    <w:rsid w:val="00FB2DCF"/>
    <w:rsid w:val="00FB2E2D"/>
    <w:rsid w:val="00FB2E8A"/>
    <w:rsid w:val="00FB2E9A"/>
    <w:rsid w:val="00FB2F20"/>
    <w:rsid w:val="00FB2F86"/>
    <w:rsid w:val="00FB2FAC"/>
    <w:rsid w:val="00FB2FBB"/>
    <w:rsid w:val="00FB3048"/>
    <w:rsid w:val="00FB3050"/>
    <w:rsid w:val="00FB3084"/>
    <w:rsid w:val="00FB30A3"/>
    <w:rsid w:val="00FB30EE"/>
    <w:rsid w:val="00FB3250"/>
    <w:rsid w:val="00FB3263"/>
    <w:rsid w:val="00FB327E"/>
    <w:rsid w:val="00FB32B3"/>
    <w:rsid w:val="00FB3354"/>
    <w:rsid w:val="00FB33B2"/>
    <w:rsid w:val="00FB344F"/>
    <w:rsid w:val="00FB345C"/>
    <w:rsid w:val="00FB349B"/>
    <w:rsid w:val="00FB34B2"/>
    <w:rsid w:val="00FB376E"/>
    <w:rsid w:val="00FB3847"/>
    <w:rsid w:val="00FB38A7"/>
    <w:rsid w:val="00FB38EA"/>
    <w:rsid w:val="00FB38F5"/>
    <w:rsid w:val="00FB3957"/>
    <w:rsid w:val="00FB3A4D"/>
    <w:rsid w:val="00FB3B72"/>
    <w:rsid w:val="00FB3CBA"/>
    <w:rsid w:val="00FB3D21"/>
    <w:rsid w:val="00FB3E49"/>
    <w:rsid w:val="00FB3EF3"/>
    <w:rsid w:val="00FB3F72"/>
    <w:rsid w:val="00FB4080"/>
    <w:rsid w:val="00FB40C3"/>
    <w:rsid w:val="00FB40CF"/>
    <w:rsid w:val="00FB4198"/>
    <w:rsid w:val="00FB41CE"/>
    <w:rsid w:val="00FB41E6"/>
    <w:rsid w:val="00FB4201"/>
    <w:rsid w:val="00FB426C"/>
    <w:rsid w:val="00FB42CF"/>
    <w:rsid w:val="00FB4384"/>
    <w:rsid w:val="00FB4422"/>
    <w:rsid w:val="00FB4454"/>
    <w:rsid w:val="00FB4490"/>
    <w:rsid w:val="00FB44E8"/>
    <w:rsid w:val="00FB4511"/>
    <w:rsid w:val="00FB458E"/>
    <w:rsid w:val="00FB45C6"/>
    <w:rsid w:val="00FB45D1"/>
    <w:rsid w:val="00FB45DA"/>
    <w:rsid w:val="00FB470E"/>
    <w:rsid w:val="00FB476C"/>
    <w:rsid w:val="00FB484F"/>
    <w:rsid w:val="00FB485E"/>
    <w:rsid w:val="00FB4A1D"/>
    <w:rsid w:val="00FB4A2E"/>
    <w:rsid w:val="00FB4A6D"/>
    <w:rsid w:val="00FB4AFF"/>
    <w:rsid w:val="00FB4B0F"/>
    <w:rsid w:val="00FB4B77"/>
    <w:rsid w:val="00FB4BD6"/>
    <w:rsid w:val="00FB4C2C"/>
    <w:rsid w:val="00FB4D3A"/>
    <w:rsid w:val="00FB4FA1"/>
    <w:rsid w:val="00FB4FD6"/>
    <w:rsid w:val="00FB511F"/>
    <w:rsid w:val="00FB5156"/>
    <w:rsid w:val="00FB516B"/>
    <w:rsid w:val="00FB51BF"/>
    <w:rsid w:val="00FB5397"/>
    <w:rsid w:val="00FB549B"/>
    <w:rsid w:val="00FB5559"/>
    <w:rsid w:val="00FB558A"/>
    <w:rsid w:val="00FB55AB"/>
    <w:rsid w:val="00FB55FC"/>
    <w:rsid w:val="00FB576E"/>
    <w:rsid w:val="00FB5903"/>
    <w:rsid w:val="00FB5921"/>
    <w:rsid w:val="00FB59B5"/>
    <w:rsid w:val="00FB59EA"/>
    <w:rsid w:val="00FB5A9D"/>
    <w:rsid w:val="00FB5AA4"/>
    <w:rsid w:val="00FB5AAA"/>
    <w:rsid w:val="00FB5ACD"/>
    <w:rsid w:val="00FB5B3D"/>
    <w:rsid w:val="00FB5C0E"/>
    <w:rsid w:val="00FB5CF6"/>
    <w:rsid w:val="00FB5D51"/>
    <w:rsid w:val="00FB5D5F"/>
    <w:rsid w:val="00FB5E0A"/>
    <w:rsid w:val="00FB5E25"/>
    <w:rsid w:val="00FB5E70"/>
    <w:rsid w:val="00FB5F8B"/>
    <w:rsid w:val="00FB605F"/>
    <w:rsid w:val="00FB609E"/>
    <w:rsid w:val="00FB60B4"/>
    <w:rsid w:val="00FB6162"/>
    <w:rsid w:val="00FB62EE"/>
    <w:rsid w:val="00FB62FA"/>
    <w:rsid w:val="00FB62FE"/>
    <w:rsid w:val="00FB6303"/>
    <w:rsid w:val="00FB6332"/>
    <w:rsid w:val="00FB6383"/>
    <w:rsid w:val="00FB64F5"/>
    <w:rsid w:val="00FB6599"/>
    <w:rsid w:val="00FB6640"/>
    <w:rsid w:val="00FB6667"/>
    <w:rsid w:val="00FB66D0"/>
    <w:rsid w:val="00FB67B6"/>
    <w:rsid w:val="00FB681F"/>
    <w:rsid w:val="00FB6881"/>
    <w:rsid w:val="00FB68D1"/>
    <w:rsid w:val="00FB68F8"/>
    <w:rsid w:val="00FB6951"/>
    <w:rsid w:val="00FB6998"/>
    <w:rsid w:val="00FB6C3D"/>
    <w:rsid w:val="00FB6CB1"/>
    <w:rsid w:val="00FB6CB7"/>
    <w:rsid w:val="00FB6D5D"/>
    <w:rsid w:val="00FB6DA6"/>
    <w:rsid w:val="00FB6DB8"/>
    <w:rsid w:val="00FB6E3B"/>
    <w:rsid w:val="00FB6EAA"/>
    <w:rsid w:val="00FB6FA2"/>
    <w:rsid w:val="00FB7063"/>
    <w:rsid w:val="00FB7142"/>
    <w:rsid w:val="00FB717F"/>
    <w:rsid w:val="00FB71AA"/>
    <w:rsid w:val="00FB71BB"/>
    <w:rsid w:val="00FB7213"/>
    <w:rsid w:val="00FB7385"/>
    <w:rsid w:val="00FB73D8"/>
    <w:rsid w:val="00FB7432"/>
    <w:rsid w:val="00FB74A2"/>
    <w:rsid w:val="00FB74FD"/>
    <w:rsid w:val="00FB751D"/>
    <w:rsid w:val="00FB7575"/>
    <w:rsid w:val="00FB75E2"/>
    <w:rsid w:val="00FB761F"/>
    <w:rsid w:val="00FB7637"/>
    <w:rsid w:val="00FB764B"/>
    <w:rsid w:val="00FB771B"/>
    <w:rsid w:val="00FB7720"/>
    <w:rsid w:val="00FB779C"/>
    <w:rsid w:val="00FB77E5"/>
    <w:rsid w:val="00FB7816"/>
    <w:rsid w:val="00FB7836"/>
    <w:rsid w:val="00FB79A8"/>
    <w:rsid w:val="00FB79C0"/>
    <w:rsid w:val="00FB7A1E"/>
    <w:rsid w:val="00FB7A48"/>
    <w:rsid w:val="00FB7B14"/>
    <w:rsid w:val="00FB7B59"/>
    <w:rsid w:val="00FB7C0A"/>
    <w:rsid w:val="00FB7C2E"/>
    <w:rsid w:val="00FB7C2F"/>
    <w:rsid w:val="00FB7CBF"/>
    <w:rsid w:val="00FB7CC1"/>
    <w:rsid w:val="00FB7CCF"/>
    <w:rsid w:val="00FB7CE4"/>
    <w:rsid w:val="00FB7D3E"/>
    <w:rsid w:val="00FB7D70"/>
    <w:rsid w:val="00FB7E55"/>
    <w:rsid w:val="00FB7E8D"/>
    <w:rsid w:val="00FB7EA5"/>
    <w:rsid w:val="00FB7F4D"/>
    <w:rsid w:val="00FB7F80"/>
    <w:rsid w:val="00FB7FDC"/>
    <w:rsid w:val="00FB7FF0"/>
    <w:rsid w:val="00FC0074"/>
    <w:rsid w:val="00FC00B5"/>
    <w:rsid w:val="00FC00E4"/>
    <w:rsid w:val="00FC0238"/>
    <w:rsid w:val="00FC035F"/>
    <w:rsid w:val="00FC03B1"/>
    <w:rsid w:val="00FC04E0"/>
    <w:rsid w:val="00FC059C"/>
    <w:rsid w:val="00FC05EF"/>
    <w:rsid w:val="00FC0620"/>
    <w:rsid w:val="00FC0648"/>
    <w:rsid w:val="00FC06D9"/>
    <w:rsid w:val="00FC073A"/>
    <w:rsid w:val="00FC07C8"/>
    <w:rsid w:val="00FC07E4"/>
    <w:rsid w:val="00FC088C"/>
    <w:rsid w:val="00FC09B1"/>
    <w:rsid w:val="00FC0B58"/>
    <w:rsid w:val="00FC0BEA"/>
    <w:rsid w:val="00FC0C0D"/>
    <w:rsid w:val="00FC0C2E"/>
    <w:rsid w:val="00FC0CB0"/>
    <w:rsid w:val="00FC0DD0"/>
    <w:rsid w:val="00FC0EE5"/>
    <w:rsid w:val="00FC0F68"/>
    <w:rsid w:val="00FC0FAF"/>
    <w:rsid w:val="00FC1175"/>
    <w:rsid w:val="00FC1219"/>
    <w:rsid w:val="00FC1255"/>
    <w:rsid w:val="00FC129C"/>
    <w:rsid w:val="00FC12C5"/>
    <w:rsid w:val="00FC1310"/>
    <w:rsid w:val="00FC131E"/>
    <w:rsid w:val="00FC132A"/>
    <w:rsid w:val="00FC1368"/>
    <w:rsid w:val="00FC13C2"/>
    <w:rsid w:val="00FC1457"/>
    <w:rsid w:val="00FC149E"/>
    <w:rsid w:val="00FC14A5"/>
    <w:rsid w:val="00FC14FD"/>
    <w:rsid w:val="00FC1657"/>
    <w:rsid w:val="00FC1669"/>
    <w:rsid w:val="00FC17B9"/>
    <w:rsid w:val="00FC188F"/>
    <w:rsid w:val="00FC18C8"/>
    <w:rsid w:val="00FC1A22"/>
    <w:rsid w:val="00FC1AB1"/>
    <w:rsid w:val="00FC1AF3"/>
    <w:rsid w:val="00FC1B95"/>
    <w:rsid w:val="00FC1C06"/>
    <w:rsid w:val="00FC1C27"/>
    <w:rsid w:val="00FC1C5D"/>
    <w:rsid w:val="00FC1C9E"/>
    <w:rsid w:val="00FC1EC5"/>
    <w:rsid w:val="00FC1F0D"/>
    <w:rsid w:val="00FC1F3B"/>
    <w:rsid w:val="00FC1F40"/>
    <w:rsid w:val="00FC1FCD"/>
    <w:rsid w:val="00FC2046"/>
    <w:rsid w:val="00FC20A1"/>
    <w:rsid w:val="00FC20C8"/>
    <w:rsid w:val="00FC20E1"/>
    <w:rsid w:val="00FC210E"/>
    <w:rsid w:val="00FC2243"/>
    <w:rsid w:val="00FC2300"/>
    <w:rsid w:val="00FC237F"/>
    <w:rsid w:val="00FC2551"/>
    <w:rsid w:val="00FC2625"/>
    <w:rsid w:val="00FC2730"/>
    <w:rsid w:val="00FC2764"/>
    <w:rsid w:val="00FC27E7"/>
    <w:rsid w:val="00FC282D"/>
    <w:rsid w:val="00FC2846"/>
    <w:rsid w:val="00FC28DA"/>
    <w:rsid w:val="00FC2955"/>
    <w:rsid w:val="00FC2A3F"/>
    <w:rsid w:val="00FC2A84"/>
    <w:rsid w:val="00FC2BEF"/>
    <w:rsid w:val="00FC2C68"/>
    <w:rsid w:val="00FC2CB6"/>
    <w:rsid w:val="00FC2CC1"/>
    <w:rsid w:val="00FC2E7A"/>
    <w:rsid w:val="00FC2E7B"/>
    <w:rsid w:val="00FC2EA7"/>
    <w:rsid w:val="00FC2F59"/>
    <w:rsid w:val="00FC2F7F"/>
    <w:rsid w:val="00FC3089"/>
    <w:rsid w:val="00FC30B0"/>
    <w:rsid w:val="00FC30E8"/>
    <w:rsid w:val="00FC3130"/>
    <w:rsid w:val="00FC324D"/>
    <w:rsid w:val="00FC32ED"/>
    <w:rsid w:val="00FC3349"/>
    <w:rsid w:val="00FC3379"/>
    <w:rsid w:val="00FC33FA"/>
    <w:rsid w:val="00FC3472"/>
    <w:rsid w:val="00FC34B3"/>
    <w:rsid w:val="00FC355B"/>
    <w:rsid w:val="00FC3615"/>
    <w:rsid w:val="00FC36B4"/>
    <w:rsid w:val="00FC36BC"/>
    <w:rsid w:val="00FC36E5"/>
    <w:rsid w:val="00FC36E7"/>
    <w:rsid w:val="00FC372C"/>
    <w:rsid w:val="00FC375F"/>
    <w:rsid w:val="00FC3772"/>
    <w:rsid w:val="00FC37CA"/>
    <w:rsid w:val="00FC38EF"/>
    <w:rsid w:val="00FC39C1"/>
    <w:rsid w:val="00FC3AA7"/>
    <w:rsid w:val="00FC3AC5"/>
    <w:rsid w:val="00FC3AD6"/>
    <w:rsid w:val="00FC3AF2"/>
    <w:rsid w:val="00FC3B10"/>
    <w:rsid w:val="00FC3BEF"/>
    <w:rsid w:val="00FC3BFB"/>
    <w:rsid w:val="00FC3C1F"/>
    <w:rsid w:val="00FC3C31"/>
    <w:rsid w:val="00FC3C58"/>
    <w:rsid w:val="00FC3CDD"/>
    <w:rsid w:val="00FC3D6F"/>
    <w:rsid w:val="00FC3E42"/>
    <w:rsid w:val="00FC3E9F"/>
    <w:rsid w:val="00FC3ECA"/>
    <w:rsid w:val="00FC3FB6"/>
    <w:rsid w:val="00FC400A"/>
    <w:rsid w:val="00FC407E"/>
    <w:rsid w:val="00FC40F5"/>
    <w:rsid w:val="00FC4109"/>
    <w:rsid w:val="00FC4146"/>
    <w:rsid w:val="00FC414C"/>
    <w:rsid w:val="00FC41B1"/>
    <w:rsid w:val="00FC41B3"/>
    <w:rsid w:val="00FC422E"/>
    <w:rsid w:val="00FC42FE"/>
    <w:rsid w:val="00FC433C"/>
    <w:rsid w:val="00FC441F"/>
    <w:rsid w:val="00FC4434"/>
    <w:rsid w:val="00FC459E"/>
    <w:rsid w:val="00FC4644"/>
    <w:rsid w:val="00FC46C7"/>
    <w:rsid w:val="00FC46DC"/>
    <w:rsid w:val="00FC4761"/>
    <w:rsid w:val="00FC4767"/>
    <w:rsid w:val="00FC47D3"/>
    <w:rsid w:val="00FC47E9"/>
    <w:rsid w:val="00FC47F2"/>
    <w:rsid w:val="00FC4824"/>
    <w:rsid w:val="00FC4831"/>
    <w:rsid w:val="00FC487C"/>
    <w:rsid w:val="00FC48CC"/>
    <w:rsid w:val="00FC4995"/>
    <w:rsid w:val="00FC4997"/>
    <w:rsid w:val="00FC49C7"/>
    <w:rsid w:val="00FC4AFD"/>
    <w:rsid w:val="00FC4B7F"/>
    <w:rsid w:val="00FC4C3D"/>
    <w:rsid w:val="00FC4CBE"/>
    <w:rsid w:val="00FC4D9E"/>
    <w:rsid w:val="00FC4DF9"/>
    <w:rsid w:val="00FC4E60"/>
    <w:rsid w:val="00FC4EE6"/>
    <w:rsid w:val="00FC5029"/>
    <w:rsid w:val="00FC5075"/>
    <w:rsid w:val="00FC509B"/>
    <w:rsid w:val="00FC50B7"/>
    <w:rsid w:val="00FC50C3"/>
    <w:rsid w:val="00FC5223"/>
    <w:rsid w:val="00FC522B"/>
    <w:rsid w:val="00FC5230"/>
    <w:rsid w:val="00FC523B"/>
    <w:rsid w:val="00FC53A9"/>
    <w:rsid w:val="00FC5413"/>
    <w:rsid w:val="00FC5465"/>
    <w:rsid w:val="00FC5544"/>
    <w:rsid w:val="00FC5694"/>
    <w:rsid w:val="00FC5759"/>
    <w:rsid w:val="00FC57E4"/>
    <w:rsid w:val="00FC57E9"/>
    <w:rsid w:val="00FC58B7"/>
    <w:rsid w:val="00FC58F8"/>
    <w:rsid w:val="00FC5946"/>
    <w:rsid w:val="00FC599E"/>
    <w:rsid w:val="00FC5A4F"/>
    <w:rsid w:val="00FC5B9E"/>
    <w:rsid w:val="00FC5C81"/>
    <w:rsid w:val="00FC5D02"/>
    <w:rsid w:val="00FC5D06"/>
    <w:rsid w:val="00FC5D1B"/>
    <w:rsid w:val="00FC5D72"/>
    <w:rsid w:val="00FC5D93"/>
    <w:rsid w:val="00FC5D99"/>
    <w:rsid w:val="00FC5E20"/>
    <w:rsid w:val="00FC5E6C"/>
    <w:rsid w:val="00FC5F2A"/>
    <w:rsid w:val="00FC5FCA"/>
    <w:rsid w:val="00FC604D"/>
    <w:rsid w:val="00FC6100"/>
    <w:rsid w:val="00FC6122"/>
    <w:rsid w:val="00FC61BC"/>
    <w:rsid w:val="00FC630A"/>
    <w:rsid w:val="00FC641A"/>
    <w:rsid w:val="00FC643C"/>
    <w:rsid w:val="00FC6559"/>
    <w:rsid w:val="00FC662C"/>
    <w:rsid w:val="00FC68E6"/>
    <w:rsid w:val="00FC69AD"/>
    <w:rsid w:val="00FC69C8"/>
    <w:rsid w:val="00FC69CA"/>
    <w:rsid w:val="00FC6A01"/>
    <w:rsid w:val="00FC6BAC"/>
    <w:rsid w:val="00FC6C6C"/>
    <w:rsid w:val="00FC6CCC"/>
    <w:rsid w:val="00FC6D0D"/>
    <w:rsid w:val="00FC6D1F"/>
    <w:rsid w:val="00FC6E78"/>
    <w:rsid w:val="00FC6EAC"/>
    <w:rsid w:val="00FC6EC5"/>
    <w:rsid w:val="00FC6F1E"/>
    <w:rsid w:val="00FC6F4A"/>
    <w:rsid w:val="00FC6F53"/>
    <w:rsid w:val="00FC6F54"/>
    <w:rsid w:val="00FC7079"/>
    <w:rsid w:val="00FC70D3"/>
    <w:rsid w:val="00FC71B9"/>
    <w:rsid w:val="00FC71DE"/>
    <w:rsid w:val="00FC71FA"/>
    <w:rsid w:val="00FC720E"/>
    <w:rsid w:val="00FC724F"/>
    <w:rsid w:val="00FC72ED"/>
    <w:rsid w:val="00FC733E"/>
    <w:rsid w:val="00FC73D7"/>
    <w:rsid w:val="00FC7461"/>
    <w:rsid w:val="00FC751C"/>
    <w:rsid w:val="00FC7531"/>
    <w:rsid w:val="00FC7619"/>
    <w:rsid w:val="00FC7621"/>
    <w:rsid w:val="00FC763A"/>
    <w:rsid w:val="00FC764D"/>
    <w:rsid w:val="00FC7654"/>
    <w:rsid w:val="00FC7695"/>
    <w:rsid w:val="00FC7699"/>
    <w:rsid w:val="00FC76A3"/>
    <w:rsid w:val="00FC76AD"/>
    <w:rsid w:val="00FC76D2"/>
    <w:rsid w:val="00FC7719"/>
    <w:rsid w:val="00FC7734"/>
    <w:rsid w:val="00FC774F"/>
    <w:rsid w:val="00FC788C"/>
    <w:rsid w:val="00FC799C"/>
    <w:rsid w:val="00FC79AC"/>
    <w:rsid w:val="00FC7A21"/>
    <w:rsid w:val="00FC7B2B"/>
    <w:rsid w:val="00FC7BB8"/>
    <w:rsid w:val="00FC7C16"/>
    <w:rsid w:val="00FC7C88"/>
    <w:rsid w:val="00FC7CB0"/>
    <w:rsid w:val="00FC7CB6"/>
    <w:rsid w:val="00FC7D6B"/>
    <w:rsid w:val="00FC7E17"/>
    <w:rsid w:val="00FC7EA5"/>
    <w:rsid w:val="00FD00C8"/>
    <w:rsid w:val="00FD0110"/>
    <w:rsid w:val="00FD016C"/>
    <w:rsid w:val="00FD0170"/>
    <w:rsid w:val="00FD020C"/>
    <w:rsid w:val="00FD02C2"/>
    <w:rsid w:val="00FD0343"/>
    <w:rsid w:val="00FD040B"/>
    <w:rsid w:val="00FD044E"/>
    <w:rsid w:val="00FD0476"/>
    <w:rsid w:val="00FD04AE"/>
    <w:rsid w:val="00FD04CE"/>
    <w:rsid w:val="00FD052E"/>
    <w:rsid w:val="00FD0535"/>
    <w:rsid w:val="00FD061F"/>
    <w:rsid w:val="00FD095A"/>
    <w:rsid w:val="00FD098A"/>
    <w:rsid w:val="00FD0B53"/>
    <w:rsid w:val="00FD0B8E"/>
    <w:rsid w:val="00FD0C0E"/>
    <w:rsid w:val="00FD0C13"/>
    <w:rsid w:val="00FD0C3B"/>
    <w:rsid w:val="00FD0C48"/>
    <w:rsid w:val="00FD0C75"/>
    <w:rsid w:val="00FD0CF6"/>
    <w:rsid w:val="00FD0DDD"/>
    <w:rsid w:val="00FD0E19"/>
    <w:rsid w:val="00FD0E28"/>
    <w:rsid w:val="00FD0E2D"/>
    <w:rsid w:val="00FD0E42"/>
    <w:rsid w:val="00FD0E4B"/>
    <w:rsid w:val="00FD0FD8"/>
    <w:rsid w:val="00FD109A"/>
    <w:rsid w:val="00FD10E8"/>
    <w:rsid w:val="00FD1247"/>
    <w:rsid w:val="00FD1369"/>
    <w:rsid w:val="00FD143A"/>
    <w:rsid w:val="00FD14E1"/>
    <w:rsid w:val="00FD153B"/>
    <w:rsid w:val="00FD166C"/>
    <w:rsid w:val="00FD16E6"/>
    <w:rsid w:val="00FD17D9"/>
    <w:rsid w:val="00FD185C"/>
    <w:rsid w:val="00FD18C9"/>
    <w:rsid w:val="00FD19B4"/>
    <w:rsid w:val="00FD1A94"/>
    <w:rsid w:val="00FD1AAB"/>
    <w:rsid w:val="00FD1C4A"/>
    <w:rsid w:val="00FD1C58"/>
    <w:rsid w:val="00FD1D71"/>
    <w:rsid w:val="00FD1DC0"/>
    <w:rsid w:val="00FD1E1F"/>
    <w:rsid w:val="00FD1E5B"/>
    <w:rsid w:val="00FD1F10"/>
    <w:rsid w:val="00FD1F16"/>
    <w:rsid w:val="00FD1F70"/>
    <w:rsid w:val="00FD1FC3"/>
    <w:rsid w:val="00FD1FF4"/>
    <w:rsid w:val="00FD2037"/>
    <w:rsid w:val="00FD2049"/>
    <w:rsid w:val="00FD206F"/>
    <w:rsid w:val="00FD216B"/>
    <w:rsid w:val="00FD21E4"/>
    <w:rsid w:val="00FD22B6"/>
    <w:rsid w:val="00FD22C1"/>
    <w:rsid w:val="00FD233A"/>
    <w:rsid w:val="00FD2353"/>
    <w:rsid w:val="00FD23F4"/>
    <w:rsid w:val="00FD2431"/>
    <w:rsid w:val="00FD2563"/>
    <w:rsid w:val="00FD2680"/>
    <w:rsid w:val="00FD268C"/>
    <w:rsid w:val="00FD26AF"/>
    <w:rsid w:val="00FD2771"/>
    <w:rsid w:val="00FD281A"/>
    <w:rsid w:val="00FD289C"/>
    <w:rsid w:val="00FD28EC"/>
    <w:rsid w:val="00FD28F1"/>
    <w:rsid w:val="00FD28F3"/>
    <w:rsid w:val="00FD29E6"/>
    <w:rsid w:val="00FD2A37"/>
    <w:rsid w:val="00FD2B61"/>
    <w:rsid w:val="00FD2BA5"/>
    <w:rsid w:val="00FD2BC7"/>
    <w:rsid w:val="00FD2C05"/>
    <w:rsid w:val="00FD2C27"/>
    <w:rsid w:val="00FD2C7C"/>
    <w:rsid w:val="00FD2CA2"/>
    <w:rsid w:val="00FD2D14"/>
    <w:rsid w:val="00FD2D16"/>
    <w:rsid w:val="00FD2D4F"/>
    <w:rsid w:val="00FD2D79"/>
    <w:rsid w:val="00FD2D7A"/>
    <w:rsid w:val="00FD2DB8"/>
    <w:rsid w:val="00FD2FD6"/>
    <w:rsid w:val="00FD3021"/>
    <w:rsid w:val="00FD3043"/>
    <w:rsid w:val="00FD3072"/>
    <w:rsid w:val="00FD3090"/>
    <w:rsid w:val="00FD3172"/>
    <w:rsid w:val="00FD318C"/>
    <w:rsid w:val="00FD3232"/>
    <w:rsid w:val="00FD3262"/>
    <w:rsid w:val="00FD32DA"/>
    <w:rsid w:val="00FD3402"/>
    <w:rsid w:val="00FD3448"/>
    <w:rsid w:val="00FD3511"/>
    <w:rsid w:val="00FD35C4"/>
    <w:rsid w:val="00FD364B"/>
    <w:rsid w:val="00FD3825"/>
    <w:rsid w:val="00FD38F0"/>
    <w:rsid w:val="00FD3911"/>
    <w:rsid w:val="00FD3991"/>
    <w:rsid w:val="00FD3A6A"/>
    <w:rsid w:val="00FD3AC9"/>
    <w:rsid w:val="00FD3B1C"/>
    <w:rsid w:val="00FD3C35"/>
    <w:rsid w:val="00FD3C55"/>
    <w:rsid w:val="00FD3D6E"/>
    <w:rsid w:val="00FD3E3C"/>
    <w:rsid w:val="00FD3F6E"/>
    <w:rsid w:val="00FD405C"/>
    <w:rsid w:val="00FD4160"/>
    <w:rsid w:val="00FD419A"/>
    <w:rsid w:val="00FD4332"/>
    <w:rsid w:val="00FD440A"/>
    <w:rsid w:val="00FD44A6"/>
    <w:rsid w:val="00FD44D3"/>
    <w:rsid w:val="00FD45D8"/>
    <w:rsid w:val="00FD45E9"/>
    <w:rsid w:val="00FD4639"/>
    <w:rsid w:val="00FD465F"/>
    <w:rsid w:val="00FD4667"/>
    <w:rsid w:val="00FD466B"/>
    <w:rsid w:val="00FD46DD"/>
    <w:rsid w:val="00FD4747"/>
    <w:rsid w:val="00FD4788"/>
    <w:rsid w:val="00FD4793"/>
    <w:rsid w:val="00FD47AC"/>
    <w:rsid w:val="00FD47D2"/>
    <w:rsid w:val="00FD47E6"/>
    <w:rsid w:val="00FD481C"/>
    <w:rsid w:val="00FD481F"/>
    <w:rsid w:val="00FD48D6"/>
    <w:rsid w:val="00FD48F0"/>
    <w:rsid w:val="00FD495D"/>
    <w:rsid w:val="00FD4B10"/>
    <w:rsid w:val="00FD4B51"/>
    <w:rsid w:val="00FD4C00"/>
    <w:rsid w:val="00FD4CCB"/>
    <w:rsid w:val="00FD4D14"/>
    <w:rsid w:val="00FD4D47"/>
    <w:rsid w:val="00FD4DF9"/>
    <w:rsid w:val="00FD4E29"/>
    <w:rsid w:val="00FD4FB5"/>
    <w:rsid w:val="00FD51B0"/>
    <w:rsid w:val="00FD51BA"/>
    <w:rsid w:val="00FD5249"/>
    <w:rsid w:val="00FD52DB"/>
    <w:rsid w:val="00FD52F2"/>
    <w:rsid w:val="00FD53F7"/>
    <w:rsid w:val="00FD5440"/>
    <w:rsid w:val="00FD54DF"/>
    <w:rsid w:val="00FD5516"/>
    <w:rsid w:val="00FD5517"/>
    <w:rsid w:val="00FD564B"/>
    <w:rsid w:val="00FD5699"/>
    <w:rsid w:val="00FD56D9"/>
    <w:rsid w:val="00FD56E6"/>
    <w:rsid w:val="00FD57B0"/>
    <w:rsid w:val="00FD581D"/>
    <w:rsid w:val="00FD5837"/>
    <w:rsid w:val="00FD5855"/>
    <w:rsid w:val="00FD585D"/>
    <w:rsid w:val="00FD5871"/>
    <w:rsid w:val="00FD58CD"/>
    <w:rsid w:val="00FD58E6"/>
    <w:rsid w:val="00FD59B1"/>
    <w:rsid w:val="00FD5A22"/>
    <w:rsid w:val="00FD5A48"/>
    <w:rsid w:val="00FD5AAC"/>
    <w:rsid w:val="00FD5ABA"/>
    <w:rsid w:val="00FD5AE0"/>
    <w:rsid w:val="00FD5B1A"/>
    <w:rsid w:val="00FD5B41"/>
    <w:rsid w:val="00FD5B63"/>
    <w:rsid w:val="00FD5BA4"/>
    <w:rsid w:val="00FD5C84"/>
    <w:rsid w:val="00FD5C88"/>
    <w:rsid w:val="00FD5CAD"/>
    <w:rsid w:val="00FD5D62"/>
    <w:rsid w:val="00FD5D78"/>
    <w:rsid w:val="00FD5DB2"/>
    <w:rsid w:val="00FD5DC1"/>
    <w:rsid w:val="00FD5E21"/>
    <w:rsid w:val="00FD5E91"/>
    <w:rsid w:val="00FD5EFC"/>
    <w:rsid w:val="00FD5F67"/>
    <w:rsid w:val="00FD602C"/>
    <w:rsid w:val="00FD60E3"/>
    <w:rsid w:val="00FD610A"/>
    <w:rsid w:val="00FD6136"/>
    <w:rsid w:val="00FD61D2"/>
    <w:rsid w:val="00FD6237"/>
    <w:rsid w:val="00FD6392"/>
    <w:rsid w:val="00FD6398"/>
    <w:rsid w:val="00FD647F"/>
    <w:rsid w:val="00FD6532"/>
    <w:rsid w:val="00FD6545"/>
    <w:rsid w:val="00FD65F3"/>
    <w:rsid w:val="00FD66FF"/>
    <w:rsid w:val="00FD671E"/>
    <w:rsid w:val="00FD67B4"/>
    <w:rsid w:val="00FD684B"/>
    <w:rsid w:val="00FD68AF"/>
    <w:rsid w:val="00FD68EB"/>
    <w:rsid w:val="00FD6952"/>
    <w:rsid w:val="00FD69A5"/>
    <w:rsid w:val="00FD6AA7"/>
    <w:rsid w:val="00FD6B33"/>
    <w:rsid w:val="00FD6B6D"/>
    <w:rsid w:val="00FD6C69"/>
    <w:rsid w:val="00FD6D38"/>
    <w:rsid w:val="00FD6DB8"/>
    <w:rsid w:val="00FD6E27"/>
    <w:rsid w:val="00FD6E47"/>
    <w:rsid w:val="00FD6E7D"/>
    <w:rsid w:val="00FD6EEF"/>
    <w:rsid w:val="00FD6F42"/>
    <w:rsid w:val="00FD6F80"/>
    <w:rsid w:val="00FD7088"/>
    <w:rsid w:val="00FD70C2"/>
    <w:rsid w:val="00FD7161"/>
    <w:rsid w:val="00FD71E6"/>
    <w:rsid w:val="00FD7251"/>
    <w:rsid w:val="00FD7322"/>
    <w:rsid w:val="00FD741B"/>
    <w:rsid w:val="00FD7525"/>
    <w:rsid w:val="00FD7531"/>
    <w:rsid w:val="00FD7586"/>
    <w:rsid w:val="00FD75E8"/>
    <w:rsid w:val="00FD761B"/>
    <w:rsid w:val="00FD7631"/>
    <w:rsid w:val="00FD763E"/>
    <w:rsid w:val="00FD7650"/>
    <w:rsid w:val="00FD7664"/>
    <w:rsid w:val="00FD76DF"/>
    <w:rsid w:val="00FD778D"/>
    <w:rsid w:val="00FD77C6"/>
    <w:rsid w:val="00FD781F"/>
    <w:rsid w:val="00FD78AC"/>
    <w:rsid w:val="00FD7909"/>
    <w:rsid w:val="00FD79BA"/>
    <w:rsid w:val="00FD79D1"/>
    <w:rsid w:val="00FD7B55"/>
    <w:rsid w:val="00FD7BB1"/>
    <w:rsid w:val="00FD7D91"/>
    <w:rsid w:val="00FD7F6B"/>
    <w:rsid w:val="00FD7F8B"/>
    <w:rsid w:val="00FD7FCA"/>
    <w:rsid w:val="00FD7FFB"/>
    <w:rsid w:val="00FE0000"/>
    <w:rsid w:val="00FE0064"/>
    <w:rsid w:val="00FE006F"/>
    <w:rsid w:val="00FE0145"/>
    <w:rsid w:val="00FE01F6"/>
    <w:rsid w:val="00FE02D4"/>
    <w:rsid w:val="00FE0306"/>
    <w:rsid w:val="00FE03E9"/>
    <w:rsid w:val="00FE03F3"/>
    <w:rsid w:val="00FE04AF"/>
    <w:rsid w:val="00FE04F8"/>
    <w:rsid w:val="00FE051B"/>
    <w:rsid w:val="00FE0521"/>
    <w:rsid w:val="00FE0621"/>
    <w:rsid w:val="00FE0723"/>
    <w:rsid w:val="00FE08AC"/>
    <w:rsid w:val="00FE0917"/>
    <w:rsid w:val="00FE0924"/>
    <w:rsid w:val="00FE0997"/>
    <w:rsid w:val="00FE09FC"/>
    <w:rsid w:val="00FE0A24"/>
    <w:rsid w:val="00FE0A37"/>
    <w:rsid w:val="00FE0B3E"/>
    <w:rsid w:val="00FE0B42"/>
    <w:rsid w:val="00FE0BFB"/>
    <w:rsid w:val="00FE0C3D"/>
    <w:rsid w:val="00FE0CEE"/>
    <w:rsid w:val="00FE0DD0"/>
    <w:rsid w:val="00FE0E44"/>
    <w:rsid w:val="00FE0E6E"/>
    <w:rsid w:val="00FE0ED8"/>
    <w:rsid w:val="00FE1037"/>
    <w:rsid w:val="00FE103D"/>
    <w:rsid w:val="00FE11B9"/>
    <w:rsid w:val="00FE1231"/>
    <w:rsid w:val="00FE135F"/>
    <w:rsid w:val="00FE144C"/>
    <w:rsid w:val="00FE145C"/>
    <w:rsid w:val="00FE14C7"/>
    <w:rsid w:val="00FE175F"/>
    <w:rsid w:val="00FE1796"/>
    <w:rsid w:val="00FE17E3"/>
    <w:rsid w:val="00FE189E"/>
    <w:rsid w:val="00FE18BC"/>
    <w:rsid w:val="00FE18BE"/>
    <w:rsid w:val="00FE195A"/>
    <w:rsid w:val="00FE19FC"/>
    <w:rsid w:val="00FE1A82"/>
    <w:rsid w:val="00FE1CA3"/>
    <w:rsid w:val="00FE1DC3"/>
    <w:rsid w:val="00FE1E0B"/>
    <w:rsid w:val="00FE1E88"/>
    <w:rsid w:val="00FE1E96"/>
    <w:rsid w:val="00FE1EDF"/>
    <w:rsid w:val="00FE1F8E"/>
    <w:rsid w:val="00FE1FC7"/>
    <w:rsid w:val="00FE2022"/>
    <w:rsid w:val="00FE20B7"/>
    <w:rsid w:val="00FE21C3"/>
    <w:rsid w:val="00FE221F"/>
    <w:rsid w:val="00FE225F"/>
    <w:rsid w:val="00FE22B9"/>
    <w:rsid w:val="00FE2311"/>
    <w:rsid w:val="00FE2327"/>
    <w:rsid w:val="00FE235B"/>
    <w:rsid w:val="00FE235E"/>
    <w:rsid w:val="00FE23AB"/>
    <w:rsid w:val="00FE2426"/>
    <w:rsid w:val="00FE2440"/>
    <w:rsid w:val="00FE2597"/>
    <w:rsid w:val="00FE25E8"/>
    <w:rsid w:val="00FE2630"/>
    <w:rsid w:val="00FE2705"/>
    <w:rsid w:val="00FE2773"/>
    <w:rsid w:val="00FE27BB"/>
    <w:rsid w:val="00FE27DB"/>
    <w:rsid w:val="00FE2916"/>
    <w:rsid w:val="00FE2977"/>
    <w:rsid w:val="00FE29B4"/>
    <w:rsid w:val="00FE2A30"/>
    <w:rsid w:val="00FE2AA0"/>
    <w:rsid w:val="00FE2ADA"/>
    <w:rsid w:val="00FE2B89"/>
    <w:rsid w:val="00FE2BDD"/>
    <w:rsid w:val="00FE2C65"/>
    <w:rsid w:val="00FE2CC8"/>
    <w:rsid w:val="00FE2CFC"/>
    <w:rsid w:val="00FE2CFE"/>
    <w:rsid w:val="00FE2D95"/>
    <w:rsid w:val="00FE2DB2"/>
    <w:rsid w:val="00FE2DF3"/>
    <w:rsid w:val="00FE2E8C"/>
    <w:rsid w:val="00FE2E8D"/>
    <w:rsid w:val="00FE2F0A"/>
    <w:rsid w:val="00FE3052"/>
    <w:rsid w:val="00FE30B1"/>
    <w:rsid w:val="00FE3168"/>
    <w:rsid w:val="00FE31AF"/>
    <w:rsid w:val="00FE31C5"/>
    <w:rsid w:val="00FE31D5"/>
    <w:rsid w:val="00FE32AF"/>
    <w:rsid w:val="00FE3387"/>
    <w:rsid w:val="00FE33FE"/>
    <w:rsid w:val="00FE359D"/>
    <w:rsid w:val="00FE361B"/>
    <w:rsid w:val="00FE36C4"/>
    <w:rsid w:val="00FE3723"/>
    <w:rsid w:val="00FE3730"/>
    <w:rsid w:val="00FE3770"/>
    <w:rsid w:val="00FE379B"/>
    <w:rsid w:val="00FE37A7"/>
    <w:rsid w:val="00FE38CD"/>
    <w:rsid w:val="00FE3953"/>
    <w:rsid w:val="00FE39F9"/>
    <w:rsid w:val="00FE3A00"/>
    <w:rsid w:val="00FE3AB5"/>
    <w:rsid w:val="00FE3B1D"/>
    <w:rsid w:val="00FE3B4F"/>
    <w:rsid w:val="00FE3B67"/>
    <w:rsid w:val="00FE3BBF"/>
    <w:rsid w:val="00FE3C05"/>
    <w:rsid w:val="00FE3C79"/>
    <w:rsid w:val="00FE3D28"/>
    <w:rsid w:val="00FE3E17"/>
    <w:rsid w:val="00FE3E56"/>
    <w:rsid w:val="00FE3EDD"/>
    <w:rsid w:val="00FE3F0A"/>
    <w:rsid w:val="00FE3FA1"/>
    <w:rsid w:val="00FE4167"/>
    <w:rsid w:val="00FE4177"/>
    <w:rsid w:val="00FE423C"/>
    <w:rsid w:val="00FE439F"/>
    <w:rsid w:val="00FE45A4"/>
    <w:rsid w:val="00FE45B3"/>
    <w:rsid w:val="00FE468B"/>
    <w:rsid w:val="00FE46DC"/>
    <w:rsid w:val="00FE476F"/>
    <w:rsid w:val="00FE47F2"/>
    <w:rsid w:val="00FE4871"/>
    <w:rsid w:val="00FE490C"/>
    <w:rsid w:val="00FE4A78"/>
    <w:rsid w:val="00FE4A83"/>
    <w:rsid w:val="00FE4BB0"/>
    <w:rsid w:val="00FE4C0C"/>
    <w:rsid w:val="00FE4C69"/>
    <w:rsid w:val="00FE4D47"/>
    <w:rsid w:val="00FE4D9B"/>
    <w:rsid w:val="00FE4DC2"/>
    <w:rsid w:val="00FE5030"/>
    <w:rsid w:val="00FE519E"/>
    <w:rsid w:val="00FE5222"/>
    <w:rsid w:val="00FE52F1"/>
    <w:rsid w:val="00FE541B"/>
    <w:rsid w:val="00FE55B6"/>
    <w:rsid w:val="00FE56F3"/>
    <w:rsid w:val="00FE56FC"/>
    <w:rsid w:val="00FE5874"/>
    <w:rsid w:val="00FE5886"/>
    <w:rsid w:val="00FE58C3"/>
    <w:rsid w:val="00FE592D"/>
    <w:rsid w:val="00FE5A69"/>
    <w:rsid w:val="00FE5B61"/>
    <w:rsid w:val="00FE5B9E"/>
    <w:rsid w:val="00FE5BAF"/>
    <w:rsid w:val="00FE5BBB"/>
    <w:rsid w:val="00FE5BE1"/>
    <w:rsid w:val="00FE5C03"/>
    <w:rsid w:val="00FE5C8B"/>
    <w:rsid w:val="00FE5CBF"/>
    <w:rsid w:val="00FE5D29"/>
    <w:rsid w:val="00FE5DC5"/>
    <w:rsid w:val="00FE5E37"/>
    <w:rsid w:val="00FE5FE1"/>
    <w:rsid w:val="00FE6022"/>
    <w:rsid w:val="00FE603F"/>
    <w:rsid w:val="00FE60AC"/>
    <w:rsid w:val="00FE60DB"/>
    <w:rsid w:val="00FE61F3"/>
    <w:rsid w:val="00FE6374"/>
    <w:rsid w:val="00FE63A0"/>
    <w:rsid w:val="00FE6402"/>
    <w:rsid w:val="00FE640E"/>
    <w:rsid w:val="00FE6444"/>
    <w:rsid w:val="00FE644F"/>
    <w:rsid w:val="00FE6597"/>
    <w:rsid w:val="00FE6668"/>
    <w:rsid w:val="00FE66CB"/>
    <w:rsid w:val="00FE67FD"/>
    <w:rsid w:val="00FE6863"/>
    <w:rsid w:val="00FE699E"/>
    <w:rsid w:val="00FE69BD"/>
    <w:rsid w:val="00FE6ADC"/>
    <w:rsid w:val="00FE6B3B"/>
    <w:rsid w:val="00FE6B8D"/>
    <w:rsid w:val="00FE6BDA"/>
    <w:rsid w:val="00FE6C0B"/>
    <w:rsid w:val="00FE6C95"/>
    <w:rsid w:val="00FE6D0E"/>
    <w:rsid w:val="00FE6D2C"/>
    <w:rsid w:val="00FE6D5A"/>
    <w:rsid w:val="00FE6D84"/>
    <w:rsid w:val="00FE6DF4"/>
    <w:rsid w:val="00FE6EE0"/>
    <w:rsid w:val="00FE6F70"/>
    <w:rsid w:val="00FE6F8D"/>
    <w:rsid w:val="00FE6FA6"/>
    <w:rsid w:val="00FE6FB8"/>
    <w:rsid w:val="00FE6FE8"/>
    <w:rsid w:val="00FE7001"/>
    <w:rsid w:val="00FE701C"/>
    <w:rsid w:val="00FE71BA"/>
    <w:rsid w:val="00FE71FF"/>
    <w:rsid w:val="00FE7290"/>
    <w:rsid w:val="00FE7437"/>
    <w:rsid w:val="00FE747D"/>
    <w:rsid w:val="00FE74FD"/>
    <w:rsid w:val="00FE759D"/>
    <w:rsid w:val="00FE759F"/>
    <w:rsid w:val="00FE762B"/>
    <w:rsid w:val="00FE7696"/>
    <w:rsid w:val="00FE7723"/>
    <w:rsid w:val="00FE7761"/>
    <w:rsid w:val="00FE777E"/>
    <w:rsid w:val="00FE77E4"/>
    <w:rsid w:val="00FE77FA"/>
    <w:rsid w:val="00FE785A"/>
    <w:rsid w:val="00FE785E"/>
    <w:rsid w:val="00FE789B"/>
    <w:rsid w:val="00FE7A91"/>
    <w:rsid w:val="00FE7B48"/>
    <w:rsid w:val="00FE7BF9"/>
    <w:rsid w:val="00FE7CF0"/>
    <w:rsid w:val="00FE7D03"/>
    <w:rsid w:val="00FE7D32"/>
    <w:rsid w:val="00FE7D6F"/>
    <w:rsid w:val="00FE7D93"/>
    <w:rsid w:val="00FE7DAB"/>
    <w:rsid w:val="00FE7DE3"/>
    <w:rsid w:val="00FE7E1C"/>
    <w:rsid w:val="00FE7E78"/>
    <w:rsid w:val="00FE7F72"/>
    <w:rsid w:val="00FE7FAE"/>
    <w:rsid w:val="00FF0068"/>
    <w:rsid w:val="00FF022A"/>
    <w:rsid w:val="00FF022F"/>
    <w:rsid w:val="00FF02A3"/>
    <w:rsid w:val="00FF02A8"/>
    <w:rsid w:val="00FF02B5"/>
    <w:rsid w:val="00FF032D"/>
    <w:rsid w:val="00FF03CE"/>
    <w:rsid w:val="00FF04BE"/>
    <w:rsid w:val="00FF0567"/>
    <w:rsid w:val="00FF056F"/>
    <w:rsid w:val="00FF0591"/>
    <w:rsid w:val="00FF059E"/>
    <w:rsid w:val="00FF0678"/>
    <w:rsid w:val="00FF0707"/>
    <w:rsid w:val="00FF08BF"/>
    <w:rsid w:val="00FF0949"/>
    <w:rsid w:val="00FF0987"/>
    <w:rsid w:val="00FF0A36"/>
    <w:rsid w:val="00FF0A4F"/>
    <w:rsid w:val="00FF0A67"/>
    <w:rsid w:val="00FF0B18"/>
    <w:rsid w:val="00FF0B7F"/>
    <w:rsid w:val="00FF0C1B"/>
    <w:rsid w:val="00FF0CEC"/>
    <w:rsid w:val="00FF0D0F"/>
    <w:rsid w:val="00FF0DC3"/>
    <w:rsid w:val="00FF0E80"/>
    <w:rsid w:val="00FF0F17"/>
    <w:rsid w:val="00FF0F2F"/>
    <w:rsid w:val="00FF0F50"/>
    <w:rsid w:val="00FF0F59"/>
    <w:rsid w:val="00FF108E"/>
    <w:rsid w:val="00FF10BE"/>
    <w:rsid w:val="00FF1135"/>
    <w:rsid w:val="00FF1146"/>
    <w:rsid w:val="00FF117C"/>
    <w:rsid w:val="00FF12E1"/>
    <w:rsid w:val="00FF12FB"/>
    <w:rsid w:val="00FF130B"/>
    <w:rsid w:val="00FF14C8"/>
    <w:rsid w:val="00FF1561"/>
    <w:rsid w:val="00FF1567"/>
    <w:rsid w:val="00FF1655"/>
    <w:rsid w:val="00FF1661"/>
    <w:rsid w:val="00FF1698"/>
    <w:rsid w:val="00FF1763"/>
    <w:rsid w:val="00FF1ACA"/>
    <w:rsid w:val="00FF1ACB"/>
    <w:rsid w:val="00FF1BEB"/>
    <w:rsid w:val="00FF1CD3"/>
    <w:rsid w:val="00FF1CDB"/>
    <w:rsid w:val="00FF1D1A"/>
    <w:rsid w:val="00FF1D5E"/>
    <w:rsid w:val="00FF1DC1"/>
    <w:rsid w:val="00FF1DFA"/>
    <w:rsid w:val="00FF1ED8"/>
    <w:rsid w:val="00FF1F6F"/>
    <w:rsid w:val="00FF21C6"/>
    <w:rsid w:val="00FF21DD"/>
    <w:rsid w:val="00FF2222"/>
    <w:rsid w:val="00FF23DD"/>
    <w:rsid w:val="00FF2451"/>
    <w:rsid w:val="00FF249B"/>
    <w:rsid w:val="00FF2510"/>
    <w:rsid w:val="00FF255E"/>
    <w:rsid w:val="00FF258D"/>
    <w:rsid w:val="00FF2622"/>
    <w:rsid w:val="00FF270E"/>
    <w:rsid w:val="00FF272A"/>
    <w:rsid w:val="00FF2839"/>
    <w:rsid w:val="00FF2871"/>
    <w:rsid w:val="00FF2933"/>
    <w:rsid w:val="00FF294E"/>
    <w:rsid w:val="00FF29E4"/>
    <w:rsid w:val="00FF29FA"/>
    <w:rsid w:val="00FF2A05"/>
    <w:rsid w:val="00FF2A77"/>
    <w:rsid w:val="00FF2A99"/>
    <w:rsid w:val="00FF2AA2"/>
    <w:rsid w:val="00FF2B01"/>
    <w:rsid w:val="00FF2B52"/>
    <w:rsid w:val="00FF2B7E"/>
    <w:rsid w:val="00FF2BCA"/>
    <w:rsid w:val="00FF2C85"/>
    <w:rsid w:val="00FF2D11"/>
    <w:rsid w:val="00FF2DCD"/>
    <w:rsid w:val="00FF2E33"/>
    <w:rsid w:val="00FF2E40"/>
    <w:rsid w:val="00FF2E4A"/>
    <w:rsid w:val="00FF2E51"/>
    <w:rsid w:val="00FF2F78"/>
    <w:rsid w:val="00FF309C"/>
    <w:rsid w:val="00FF30D1"/>
    <w:rsid w:val="00FF30FC"/>
    <w:rsid w:val="00FF31D1"/>
    <w:rsid w:val="00FF31FA"/>
    <w:rsid w:val="00FF320E"/>
    <w:rsid w:val="00FF328E"/>
    <w:rsid w:val="00FF331E"/>
    <w:rsid w:val="00FF3359"/>
    <w:rsid w:val="00FF3399"/>
    <w:rsid w:val="00FF33F9"/>
    <w:rsid w:val="00FF341E"/>
    <w:rsid w:val="00FF34A4"/>
    <w:rsid w:val="00FF35C0"/>
    <w:rsid w:val="00FF35E7"/>
    <w:rsid w:val="00FF3625"/>
    <w:rsid w:val="00FF376E"/>
    <w:rsid w:val="00FF3770"/>
    <w:rsid w:val="00FF37C2"/>
    <w:rsid w:val="00FF3860"/>
    <w:rsid w:val="00FF3926"/>
    <w:rsid w:val="00FF3993"/>
    <w:rsid w:val="00FF3A66"/>
    <w:rsid w:val="00FF3A74"/>
    <w:rsid w:val="00FF3AD4"/>
    <w:rsid w:val="00FF3B4E"/>
    <w:rsid w:val="00FF3B92"/>
    <w:rsid w:val="00FF3C8F"/>
    <w:rsid w:val="00FF3D84"/>
    <w:rsid w:val="00FF3DBA"/>
    <w:rsid w:val="00FF3E2C"/>
    <w:rsid w:val="00FF3E52"/>
    <w:rsid w:val="00FF3E5A"/>
    <w:rsid w:val="00FF3E5D"/>
    <w:rsid w:val="00FF3E66"/>
    <w:rsid w:val="00FF3EEE"/>
    <w:rsid w:val="00FF3FA5"/>
    <w:rsid w:val="00FF4002"/>
    <w:rsid w:val="00FF404A"/>
    <w:rsid w:val="00FF4111"/>
    <w:rsid w:val="00FF41B0"/>
    <w:rsid w:val="00FF421D"/>
    <w:rsid w:val="00FF4261"/>
    <w:rsid w:val="00FF445A"/>
    <w:rsid w:val="00FF4494"/>
    <w:rsid w:val="00FF44B5"/>
    <w:rsid w:val="00FF4504"/>
    <w:rsid w:val="00FF4520"/>
    <w:rsid w:val="00FF45CC"/>
    <w:rsid w:val="00FF45F5"/>
    <w:rsid w:val="00FF4682"/>
    <w:rsid w:val="00FF46E9"/>
    <w:rsid w:val="00FF475F"/>
    <w:rsid w:val="00FF4764"/>
    <w:rsid w:val="00FF4791"/>
    <w:rsid w:val="00FF479D"/>
    <w:rsid w:val="00FF47CD"/>
    <w:rsid w:val="00FF4869"/>
    <w:rsid w:val="00FF4881"/>
    <w:rsid w:val="00FF48C9"/>
    <w:rsid w:val="00FF48DC"/>
    <w:rsid w:val="00FF4923"/>
    <w:rsid w:val="00FF4989"/>
    <w:rsid w:val="00FF49AC"/>
    <w:rsid w:val="00FF4A20"/>
    <w:rsid w:val="00FF4B4D"/>
    <w:rsid w:val="00FF4B57"/>
    <w:rsid w:val="00FF4BB7"/>
    <w:rsid w:val="00FF4C60"/>
    <w:rsid w:val="00FF4CC9"/>
    <w:rsid w:val="00FF4CD0"/>
    <w:rsid w:val="00FF4CEA"/>
    <w:rsid w:val="00FF4DEE"/>
    <w:rsid w:val="00FF4E0E"/>
    <w:rsid w:val="00FF4E50"/>
    <w:rsid w:val="00FF4EF8"/>
    <w:rsid w:val="00FF4F3F"/>
    <w:rsid w:val="00FF4F4C"/>
    <w:rsid w:val="00FF4F68"/>
    <w:rsid w:val="00FF4FAF"/>
    <w:rsid w:val="00FF4FEE"/>
    <w:rsid w:val="00FF5072"/>
    <w:rsid w:val="00FF5121"/>
    <w:rsid w:val="00FF521B"/>
    <w:rsid w:val="00FF528E"/>
    <w:rsid w:val="00FF52A0"/>
    <w:rsid w:val="00FF5388"/>
    <w:rsid w:val="00FF53A0"/>
    <w:rsid w:val="00FF53ED"/>
    <w:rsid w:val="00FF5486"/>
    <w:rsid w:val="00FF54AA"/>
    <w:rsid w:val="00FF557C"/>
    <w:rsid w:val="00FF55AF"/>
    <w:rsid w:val="00FF55DB"/>
    <w:rsid w:val="00FF5609"/>
    <w:rsid w:val="00FF5636"/>
    <w:rsid w:val="00FF5693"/>
    <w:rsid w:val="00FF5706"/>
    <w:rsid w:val="00FF575F"/>
    <w:rsid w:val="00FF576F"/>
    <w:rsid w:val="00FF5796"/>
    <w:rsid w:val="00FF57DE"/>
    <w:rsid w:val="00FF5822"/>
    <w:rsid w:val="00FF5826"/>
    <w:rsid w:val="00FF5844"/>
    <w:rsid w:val="00FF5868"/>
    <w:rsid w:val="00FF588C"/>
    <w:rsid w:val="00FF58D0"/>
    <w:rsid w:val="00FF58E8"/>
    <w:rsid w:val="00FF5A0B"/>
    <w:rsid w:val="00FF5A57"/>
    <w:rsid w:val="00FF5A5C"/>
    <w:rsid w:val="00FF5B02"/>
    <w:rsid w:val="00FF5B27"/>
    <w:rsid w:val="00FF5B2E"/>
    <w:rsid w:val="00FF5B3C"/>
    <w:rsid w:val="00FF5B4A"/>
    <w:rsid w:val="00FF5B57"/>
    <w:rsid w:val="00FF5C20"/>
    <w:rsid w:val="00FF5D69"/>
    <w:rsid w:val="00FF5D93"/>
    <w:rsid w:val="00FF5DB2"/>
    <w:rsid w:val="00FF5DCC"/>
    <w:rsid w:val="00FF5E4F"/>
    <w:rsid w:val="00FF5E9E"/>
    <w:rsid w:val="00FF5EEB"/>
    <w:rsid w:val="00FF5F0D"/>
    <w:rsid w:val="00FF5F2B"/>
    <w:rsid w:val="00FF5FC2"/>
    <w:rsid w:val="00FF5FC4"/>
    <w:rsid w:val="00FF5FE3"/>
    <w:rsid w:val="00FF6031"/>
    <w:rsid w:val="00FF6139"/>
    <w:rsid w:val="00FF6388"/>
    <w:rsid w:val="00FF6521"/>
    <w:rsid w:val="00FF6535"/>
    <w:rsid w:val="00FF658F"/>
    <w:rsid w:val="00FF65C7"/>
    <w:rsid w:val="00FF65DF"/>
    <w:rsid w:val="00FF6637"/>
    <w:rsid w:val="00FF6648"/>
    <w:rsid w:val="00FF664A"/>
    <w:rsid w:val="00FF66B9"/>
    <w:rsid w:val="00FF66BB"/>
    <w:rsid w:val="00FF66C5"/>
    <w:rsid w:val="00FF67E2"/>
    <w:rsid w:val="00FF6847"/>
    <w:rsid w:val="00FF688F"/>
    <w:rsid w:val="00FF695D"/>
    <w:rsid w:val="00FF6A92"/>
    <w:rsid w:val="00FF6B28"/>
    <w:rsid w:val="00FF6B87"/>
    <w:rsid w:val="00FF6C00"/>
    <w:rsid w:val="00FF6C0A"/>
    <w:rsid w:val="00FF6CB6"/>
    <w:rsid w:val="00FF6CEA"/>
    <w:rsid w:val="00FF6D26"/>
    <w:rsid w:val="00FF6D39"/>
    <w:rsid w:val="00FF6D86"/>
    <w:rsid w:val="00FF6DF9"/>
    <w:rsid w:val="00FF6E36"/>
    <w:rsid w:val="00FF6E48"/>
    <w:rsid w:val="00FF6E4B"/>
    <w:rsid w:val="00FF6F69"/>
    <w:rsid w:val="00FF7019"/>
    <w:rsid w:val="00FF704B"/>
    <w:rsid w:val="00FF7054"/>
    <w:rsid w:val="00FF71DF"/>
    <w:rsid w:val="00FF71ED"/>
    <w:rsid w:val="00FF7254"/>
    <w:rsid w:val="00FF729B"/>
    <w:rsid w:val="00FF72F3"/>
    <w:rsid w:val="00FF7311"/>
    <w:rsid w:val="00FF7358"/>
    <w:rsid w:val="00FF741E"/>
    <w:rsid w:val="00FF753C"/>
    <w:rsid w:val="00FF75D4"/>
    <w:rsid w:val="00FF7621"/>
    <w:rsid w:val="00FF76DE"/>
    <w:rsid w:val="00FF76EA"/>
    <w:rsid w:val="00FF7815"/>
    <w:rsid w:val="00FF7835"/>
    <w:rsid w:val="00FF78B0"/>
    <w:rsid w:val="00FF7928"/>
    <w:rsid w:val="00FF7969"/>
    <w:rsid w:val="00FF7AD8"/>
    <w:rsid w:val="00FF7AE0"/>
    <w:rsid w:val="00FF7BBD"/>
    <w:rsid w:val="00FF7D12"/>
    <w:rsid w:val="00FF7DC5"/>
    <w:rsid w:val="00FF7E39"/>
    <w:rsid w:val="00FF7F63"/>
    <w:rsid w:val="01237277"/>
    <w:rsid w:val="0136762F"/>
    <w:rsid w:val="0137207B"/>
    <w:rsid w:val="014215AD"/>
    <w:rsid w:val="014A1A24"/>
    <w:rsid w:val="014F80CF"/>
    <w:rsid w:val="01746986"/>
    <w:rsid w:val="01B8BB01"/>
    <w:rsid w:val="01D4FF1B"/>
    <w:rsid w:val="01E9C9E4"/>
    <w:rsid w:val="02039550"/>
    <w:rsid w:val="020C9808"/>
    <w:rsid w:val="022057A6"/>
    <w:rsid w:val="022727E2"/>
    <w:rsid w:val="02354BEE"/>
    <w:rsid w:val="0236BA1A"/>
    <w:rsid w:val="024C8599"/>
    <w:rsid w:val="02674828"/>
    <w:rsid w:val="02A045A9"/>
    <w:rsid w:val="02ADCE56"/>
    <w:rsid w:val="02C25C35"/>
    <w:rsid w:val="02F09491"/>
    <w:rsid w:val="03379B50"/>
    <w:rsid w:val="034BCC8F"/>
    <w:rsid w:val="03583E97"/>
    <w:rsid w:val="037A7601"/>
    <w:rsid w:val="03885BB2"/>
    <w:rsid w:val="039CF087"/>
    <w:rsid w:val="03A83107"/>
    <w:rsid w:val="03B2EA86"/>
    <w:rsid w:val="03E4BB75"/>
    <w:rsid w:val="03F302A5"/>
    <w:rsid w:val="040FA15F"/>
    <w:rsid w:val="04360219"/>
    <w:rsid w:val="045A8A48"/>
    <w:rsid w:val="047FB9D2"/>
    <w:rsid w:val="04845B37"/>
    <w:rsid w:val="048DBA81"/>
    <w:rsid w:val="04B1098F"/>
    <w:rsid w:val="04BA2CCA"/>
    <w:rsid w:val="04BB334E"/>
    <w:rsid w:val="04C62E70"/>
    <w:rsid w:val="04DC6BC6"/>
    <w:rsid w:val="04DD2546"/>
    <w:rsid w:val="04DE6C73"/>
    <w:rsid w:val="04EE4EF7"/>
    <w:rsid w:val="0504BA38"/>
    <w:rsid w:val="05077D8D"/>
    <w:rsid w:val="0512DD34"/>
    <w:rsid w:val="0517A86E"/>
    <w:rsid w:val="0532ACF3"/>
    <w:rsid w:val="054157DE"/>
    <w:rsid w:val="0556596A"/>
    <w:rsid w:val="055B28EB"/>
    <w:rsid w:val="05663174"/>
    <w:rsid w:val="0572C10A"/>
    <w:rsid w:val="0590AFE9"/>
    <w:rsid w:val="05948401"/>
    <w:rsid w:val="05B3AA55"/>
    <w:rsid w:val="05B9A066"/>
    <w:rsid w:val="05C3A22B"/>
    <w:rsid w:val="06127120"/>
    <w:rsid w:val="0634DC3D"/>
    <w:rsid w:val="063721A8"/>
    <w:rsid w:val="064FA2F1"/>
    <w:rsid w:val="0652850D"/>
    <w:rsid w:val="0653875B"/>
    <w:rsid w:val="06541B19"/>
    <w:rsid w:val="066B34E4"/>
    <w:rsid w:val="0673BA90"/>
    <w:rsid w:val="067A482C"/>
    <w:rsid w:val="067C43CB"/>
    <w:rsid w:val="0681AAE6"/>
    <w:rsid w:val="068EDE4A"/>
    <w:rsid w:val="06A1B0F2"/>
    <w:rsid w:val="06A35759"/>
    <w:rsid w:val="06C5874E"/>
    <w:rsid w:val="06D3511E"/>
    <w:rsid w:val="06EB2478"/>
    <w:rsid w:val="06F183CD"/>
    <w:rsid w:val="06F28817"/>
    <w:rsid w:val="06FA3ABE"/>
    <w:rsid w:val="0701C1E0"/>
    <w:rsid w:val="0741D762"/>
    <w:rsid w:val="0762A06B"/>
    <w:rsid w:val="079C2BE5"/>
    <w:rsid w:val="07B1C404"/>
    <w:rsid w:val="07BD9943"/>
    <w:rsid w:val="07D2D2C0"/>
    <w:rsid w:val="07F9A0CF"/>
    <w:rsid w:val="07FEC96C"/>
    <w:rsid w:val="0803A9DB"/>
    <w:rsid w:val="0823E1F1"/>
    <w:rsid w:val="08279437"/>
    <w:rsid w:val="0876BABD"/>
    <w:rsid w:val="087BBFFC"/>
    <w:rsid w:val="088FFEC8"/>
    <w:rsid w:val="08965C35"/>
    <w:rsid w:val="089EBE86"/>
    <w:rsid w:val="08CCDF91"/>
    <w:rsid w:val="08DFB979"/>
    <w:rsid w:val="08FA6BE1"/>
    <w:rsid w:val="090F6667"/>
    <w:rsid w:val="0914C378"/>
    <w:rsid w:val="09192494"/>
    <w:rsid w:val="092B40BC"/>
    <w:rsid w:val="0979E581"/>
    <w:rsid w:val="097C8F6B"/>
    <w:rsid w:val="098C00CC"/>
    <w:rsid w:val="09AC3FDE"/>
    <w:rsid w:val="09BC9723"/>
    <w:rsid w:val="09C9073F"/>
    <w:rsid w:val="09D4A1D0"/>
    <w:rsid w:val="09F689B2"/>
    <w:rsid w:val="09FE9481"/>
    <w:rsid w:val="0A1E439B"/>
    <w:rsid w:val="0A28884F"/>
    <w:rsid w:val="0A2E503F"/>
    <w:rsid w:val="0A4D0481"/>
    <w:rsid w:val="0A72D0B1"/>
    <w:rsid w:val="0A805A42"/>
    <w:rsid w:val="0A849698"/>
    <w:rsid w:val="0A89F39F"/>
    <w:rsid w:val="0A8B644E"/>
    <w:rsid w:val="0A946519"/>
    <w:rsid w:val="0A9F7446"/>
    <w:rsid w:val="0AC2232B"/>
    <w:rsid w:val="0ADBC97B"/>
    <w:rsid w:val="0ADC246F"/>
    <w:rsid w:val="0AE22337"/>
    <w:rsid w:val="0B088E2C"/>
    <w:rsid w:val="0B22F4DB"/>
    <w:rsid w:val="0B2685C7"/>
    <w:rsid w:val="0B2C56BF"/>
    <w:rsid w:val="0B4D711A"/>
    <w:rsid w:val="0B5638F2"/>
    <w:rsid w:val="0B577495"/>
    <w:rsid w:val="0B5A574A"/>
    <w:rsid w:val="0B6E6634"/>
    <w:rsid w:val="0B72824C"/>
    <w:rsid w:val="0B7C7728"/>
    <w:rsid w:val="0B846634"/>
    <w:rsid w:val="0B8B7C69"/>
    <w:rsid w:val="0B8D0FB9"/>
    <w:rsid w:val="0B8F9973"/>
    <w:rsid w:val="0BAF6010"/>
    <w:rsid w:val="0BB4335F"/>
    <w:rsid w:val="0BCF9A4D"/>
    <w:rsid w:val="0BD488F5"/>
    <w:rsid w:val="0BE78A63"/>
    <w:rsid w:val="0BE893FB"/>
    <w:rsid w:val="0C3B2D6C"/>
    <w:rsid w:val="0C3E35D1"/>
    <w:rsid w:val="0C5C7D2D"/>
    <w:rsid w:val="0C6EB431"/>
    <w:rsid w:val="0CA83662"/>
    <w:rsid w:val="0CAE4939"/>
    <w:rsid w:val="0CF0C93C"/>
    <w:rsid w:val="0D06C8C7"/>
    <w:rsid w:val="0D12D4EA"/>
    <w:rsid w:val="0D5D6C23"/>
    <w:rsid w:val="0D8ABAF9"/>
    <w:rsid w:val="0D944D8D"/>
    <w:rsid w:val="0D98DCF6"/>
    <w:rsid w:val="0D9FD793"/>
    <w:rsid w:val="0DA8C12C"/>
    <w:rsid w:val="0DCABA80"/>
    <w:rsid w:val="0DDDEC57"/>
    <w:rsid w:val="0E070C17"/>
    <w:rsid w:val="0E0D867C"/>
    <w:rsid w:val="0E1D21B4"/>
    <w:rsid w:val="0E1E8C9D"/>
    <w:rsid w:val="0E2BF685"/>
    <w:rsid w:val="0E2FD2E5"/>
    <w:rsid w:val="0E3E2E15"/>
    <w:rsid w:val="0E4297D7"/>
    <w:rsid w:val="0E76E3C3"/>
    <w:rsid w:val="0ED075C0"/>
    <w:rsid w:val="0EDA8FB8"/>
    <w:rsid w:val="0F186AC6"/>
    <w:rsid w:val="0F2944B9"/>
    <w:rsid w:val="0F2C3230"/>
    <w:rsid w:val="0F2D2A71"/>
    <w:rsid w:val="0F3F7FEF"/>
    <w:rsid w:val="0F46CF93"/>
    <w:rsid w:val="0F65B5C2"/>
    <w:rsid w:val="0F6E8AF3"/>
    <w:rsid w:val="0FB5C480"/>
    <w:rsid w:val="0FC3D791"/>
    <w:rsid w:val="0FCCF0EA"/>
    <w:rsid w:val="0FCEB23C"/>
    <w:rsid w:val="0FD05120"/>
    <w:rsid w:val="0FF06653"/>
    <w:rsid w:val="0FF3F2E6"/>
    <w:rsid w:val="10010D49"/>
    <w:rsid w:val="104B9E08"/>
    <w:rsid w:val="108039B2"/>
    <w:rsid w:val="108B92A4"/>
    <w:rsid w:val="108CF6B3"/>
    <w:rsid w:val="109471F6"/>
    <w:rsid w:val="1094D6FB"/>
    <w:rsid w:val="10A13E8C"/>
    <w:rsid w:val="10AA9873"/>
    <w:rsid w:val="10AB4D23"/>
    <w:rsid w:val="10B541B5"/>
    <w:rsid w:val="10D3188E"/>
    <w:rsid w:val="10E7EB83"/>
    <w:rsid w:val="112CAFA1"/>
    <w:rsid w:val="11372561"/>
    <w:rsid w:val="11555B2B"/>
    <w:rsid w:val="1168012B"/>
    <w:rsid w:val="11683C3B"/>
    <w:rsid w:val="116A4F59"/>
    <w:rsid w:val="117541A0"/>
    <w:rsid w:val="11A3CA7F"/>
    <w:rsid w:val="11C4C33B"/>
    <w:rsid w:val="11DF4F7F"/>
    <w:rsid w:val="11E91263"/>
    <w:rsid w:val="11F54ED7"/>
    <w:rsid w:val="11F949B7"/>
    <w:rsid w:val="120F05E4"/>
    <w:rsid w:val="12639AB9"/>
    <w:rsid w:val="1296CAD7"/>
    <w:rsid w:val="12A4830A"/>
    <w:rsid w:val="12A71639"/>
    <w:rsid w:val="12B0EA86"/>
    <w:rsid w:val="12C5B5E7"/>
    <w:rsid w:val="12ECDDE4"/>
    <w:rsid w:val="12FEC9BA"/>
    <w:rsid w:val="131C0675"/>
    <w:rsid w:val="1329F84A"/>
    <w:rsid w:val="13409B91"/>
    <w:rsid w:val="13471E81"/>
    <w:rsid w:val="13652787"/>
    <w:rsid w:val="138FD2C9"/>
    <w:rsid w:val="1396AD67"/>
    <w:rsid w:val="139FBAC8"/>
    <w:rsid w:val="13C70EEE"/>
    <w:rsid w:val="13D7D4D1"/>
    <w:rsid w:val="13FB803E"/>
    <w:rsid w:val="140E0E72"/>
    <w:rsid w:val="1411804A"/>
    <w:rsid w:val="14354E45"/>
    <w:rsid w:val="1455B511"/>
    <w:rsid w:val="14A127F6"/>
    <w:rsid w:val="14A733C4"/>
    <w:rsid w:val="151FDAF8"/>
    <w:rsid w:val="1524129F"/>
    <w:rsid w:val="1530183E"/>
    <w:rsid w:val="1536D935"/>
    <w:rsid w:val="157D8743"/>
    <w:rsid w:val="15811911"/>
    <w:rsid w:val="15AAAEDF"/>
    <w:rsid w:val="15ABE00B"/>
    <w:rsid w:val="15B881A0"/>
    <w:rsid w:val="15BA2075"/>
    <w:rsid w:val="15CB6A1B"/>
    <w:rsid w:val="15D565FF"/>
    <w:rsid w:val="15D5D493"/>
    <w:rsid w:val="15DF0144"/>
    <w:rsid w:val="160A5C61"/>
    <w:rsid w:val="1611D9EF"/>
    <w:rsid w:val="16247B64"/>
    <w:rsid w:val="162848F6"/>
    <w:rsid w:val="16569118"/>
    <w:rsid w:val="165D9F75"/>
    <w:rsid w:val="165F1D45"/>
    <w:rsid w:val="166D0171"/>
    <w:rsid w:val="168F0E0A"/>
    <w:rsid w:val="168F23A0"/>
    <w:rsid w:val="169A4683"/>
    <w:rsid w:val="16B7DF3E"/>
    <w:rsid w:val="16D4C39D"/>
    <w:rsid w:val="16DB8062"/>
    <w:rsid w:val="16FA410B"/>
    <w:rsid w:val="1705F47C"/>
    <w:rsid w:val="17081EB2"/>
    <w:rsid w:val="172A60A5"/>
    <w:rsid w:val="174D4FDF"/>
    <w:rsid w:val="178326C7"/>
    <w:rsid w:val="178572CD"/>
    <w:rsid w:val="17A62CC2"/>
    <w:rsid w:val="17AFBE0C"/>
    <w:rsid w:val="17D52404"/>
    <w:rsid w:val="17D6098E"/>
    <w:rsid w:val="17EE9565"/>
    <w:rsid w:val="17F67B0C"/>
    <w:rsid w:val="182E377F"/>
    <w:rsid w:val="18327986"/>
    <w:rsid w:val="1835988F"/>
    <w:rsid w:val="1844BFEA"/>
    <w:rsid w:val="1859EAB1"/>
    <w:rsid w:val="1861214E"/>
    <w:rsid w:val="1864CB05"/>
    <w:rsid w:val="186F96B6"/>
    <w:rsid w:val="188F31E4"/>
    <w:rsid w:val="1890E423"/>
    <w:rsid w:val="189AB84A"/>
    <w:rsid w:val="189EDF05"/>
    <w:rsid w:val="18DFDB29"/>
    <w:rsid w:val="18EB3C0B"/>
    <w:rsid w:val="18EC71A3"/>
    <w:rsid w:val="19014347"/>
    <w:rsid w:val="190D7D08"/>
    <w:rsid w:val="190EAEA4"/>
    <w:rsid w:val="1958E9B0"/>
    <w:rsid w:val="19687B2F"/>
    <w:rsid w:val="196FA42F"/>
    <w:rsid w:val="198035E8"/>
    <w:rsid w:val="199FC974"/>
    <w:rsid w:val="19AF8B43"/>
    <w:rsid w:val="19B14A5B"/>
    <w:rsid w:val="19B2BD4F"/>
    <w:rsid w:val="19DECD26"/>
    <w:rsid w:val="19F7F520"/>
    <w:rsid w:val="1A0A44B3"/>
    <w:rsid w:val="1A1037EE"/>
    <w:rsid w:val="1A1BD8EA"/>
    <w:rsid w:val="1A1D0370"/>
    <w:rsid w:val="1A22D7FF"/>
    <w:rsid w:val="1A3206D4"/>
    <w:rsid w:val="1A4BB64D"/>
    <w:rsid w:val="1A8A5107"/>
    <w:rsid w:val="1A9154CE"/>
    <w:rsid w:val="1A96FBBA"/>
    <w:rsid w:val="1A9ED2C0"/>
    <w:rsid w:val="1ABAC789"/>
    <w:rsid w:val="1AE5CE64"/>
    <w:rsid w:val="1AFF8BA7"/>
    <w:rsid w:val="1B07792D"/>
    <w:rsid w:val="1B1C05BE"/>
    <w:rsid w:val="1B210A27"/>
    <w:rsid w:val="1B23037A"/>
    <w:rsid w:val="1B300E69"/>
    <w:rsid w:val="1B43E44A"/>
    <w:rsid w:val="1B4CAFD0"/>
    <w:rsid w:val="1B6A634D"/>
    <w:rsid w:val="1B79BE20"/>
    <w:rsid w:val="1B7DA03E"/>
    <w:rsid w:val="1B8688DA"/>
    <w:rsid w:val="1B9295C5"/>
    <w:rsid w:val="1B97F628"/>
    <w:rsid w:val="1B9935FF"/>
    <w:rsid w:val="1B9F85BC"/>
    <w:rsid w:val="1BAF3472"/>
    <w:rsid w:val="1BBF756C"/>
    <w:rsid w:val="1BCD0F5B"/>
    <w:rsid w:val="1BE505BC"/>
    <w:rsid w:val="1BF0DCA5"/>
    <w:rsid w:val="1C2ACF4A"/>
    <w:rsid w:val="1C34F420"/>
    <w:rsid w:val="1C35D258"/>
    <w:rsid w:val="1C51EA2D"/>
    <w:rsid w:val="1C611E21"/>
    <w:rsid w:val="1C9B8787"/>
    <w:rsid w:val="1CB37A9B"/>
    <w:rsid w:val="1CC7465F"/>
    <w:rsid w:val="1CF2170A"/>
    <w:rsid w:val="1CF984A3"/>
    <w:rsid w:val="1CFE6E3B"/>
    <w:rsid w:val="1D0E1857"/>
    <w:rsid w:val="1D1ED5E6"/>
    <w:rsid w:val="1D27015E"/>
    <w:rsid w:val="1D2BA105"/>
    <w:rsid w:val="1D35B77F"/>
    <w:rsid w:val="1D40873F"/>
    <w:rsid w:val="1D47F652"/>
    <w:rsid w:val="1D4A36F7"/>
    <w:rsid w:val="1D56B4AB"/>
    <w:rsid w:val="1D7A50E0"/>
    <w:rsid w:val="1D88EB2D"/>
    <w:rsid w:val="1DA9A11F"/>
    <w:rsid w:val="1DAEF0F9"/>
    <w:rsid w:val="1DB3EA9A"/>
    <w:rsid w:val="1E027F1B"/>
    <w:rsid w:val="1E466D17"/>
    <w:rsid w:val="1E6929A2"/>
    <w:rsid w:val="1E71021C"/>
    <w:rsid w:val="1E72EB96"/>
    <w:rsid w:val="1E8293E2"/>
    <w:rsid w:val="1E836745"/>
    <w:rsid w:val="1E84B6E5"/>
    <w:rsid w:val="1E9568D8"/>
    <w:rsid w:val="1EA3AF76"/>
    <w:rsid w:val="1EA973AA"/>
    <w:rsid w:val="1EB48778"/>
    <w:rsid w:val="1EC1495C"/>
    <w:rsid w:val="1EDAB685"/>
    <w:rsid w:val="1EE0C4BF"/>
    <w:rsid w:val="1EEA0F4F"/>
    <w:rsid w:val="1F24BB8E"/>
    <w:rsid w:val="1F282D29"/>
    <w:rsid w:val="1F2D2C34"/>
    <w:rsid w:val="1F44D8E1"/>
    <w:rsid w:val="1F70EA0D"/>
    <w:rsid w:val="1F92722C"/>
    <w:rsid w:val="1FCD4F3E"/>
    <w:rsid w:val="1FD6D8A1"/>
    <w:rsid w:val="1FE9C6DE"/>
    <w:rsid w:val="1FEB91E2"/>
    <w:rsid w:val="200618E1"/>
    <w:rsid w:val="2049E5A3"/>
    <w:rsid w:val="2082E3C4"/>
    <w:rsid w:val="2084C2F6"/>
    <w:rsid w:val="2096AFDD"/>
    <w:rsid w:val="20A5A416"/>
    <w:rsid w:val="20A85825"/>
    <w:rsid w:val="20C30590"/>
    <w:rsid w:val="20F6F1C3"/>
    <w:rsid w:val="20FCC4C0"/>
    <w:rsid w:val="21114BF6"/>
    <w:rsid w:val="21264DBD"/>
    <w:rsid w:val="21461708"/>
    <w:rsid w:val="2152647F"/>
    <w:rsid w:val="217093D9"/>
    <w:rsid w:val="2172B051"/>
    <w:rsid w:val="219DC4CB"/>
    <w:rsid w:val="21B55447"/>
    <w:rsid w:val="21C7D0BF"/>
    <w:rsid w:val="21DE9470"/>
    <w:rsid w:val="21E26284"/>
    <w:rsid w:val="21E72693"/>
    <w:rsid w:val="21EE5685"/>
    <w:rsid w:val="21F13B42"/>
    <w:rsid w:val="21F4B7E3"/>
    <w:rsid w:val="220B232F"/>
    <w:rsid w:val="221ECE11"/>
    <w:rsid w:val="2251ECBF"/>
    <w:rsid w:val="227577B4"/>
    <w:rsid w:val="22AC6B45"/>
    <w:rsid w:val="22B54CAA"/>
    <w:rsid w:val="22BF864F"/>
    <w:rsid w:val="22BF8CD0"/>
    <w:rsid w:val="22D3BB6E"/>
    <w:rsid w:val="22DEA316"/>
    <w:rsid w:val="22E34B7A"/>
    <w:rsid w:val="22E53753"/>
    <w:rsid w:val="2309A533"/>
    <w:rsid w:val="2310A304"/>
    <w:rsid w:val="23516FB6"/>
    <w:rsid w:val="23543FB6"/>
    <w:rsid w:val="23699648"/>
    <w:rsid w:val="237991CB"/>
    <w:rsid w:val="238DE029"/>
    <w:rsid w:val="23A3A735"/>
    <w:rsid w:val="23C556EF"/>
    <w:rsid w:val="23C5B3DC"/>
    <w:rsid w:val="23DE00EB"/>
    <w:rsid w:val="23ECC7A9"/>
    <w:rsid w:val="23F65D86"/>
    <w:rsid w:val="2414F7AF"/>
    <w:rsid w:val="2419808A"/>
    <w:rsid w:val="242B289D"/>
    <w:rsid w:val="243D9BE4"/>
    <w:rsid w:val="24529BC0"/>
    <w:rsid w:val="245F2768"/>
    <w:rsid w:val="246BB254"/>
    <w:rsid w:val="246F9D4F"/>
    <w:rsid w:val="248A58E1"/>
    <w:rsid w:val="24CBAE8D"/>
    <w:rsid w:val="24CF5889"/>
    <w:rsid w:val="24FB72FD"/>
    <w:rsid w:val="25078C05"/>
    <w:rsid w:val="250CE6FE"/>
    <w:rsid w:val="2518D8BA"/>
    <w:rsid w:val="253C5730"/>
    <w:rsid w:val="253DACCE"/>
    <w:rsid w:val="255CFA98"/>
    <w:rsid w:val="2577F10C"/>
    <w:rsid w:val="258F8B18"/>
    <w:rsid w:val="25BED6B8"/>
    <w:rsid w:val="25CCB828"/>
    <w:rsid w:val="260004CE"/>
    <w:rsid w:val="26324B6F"/>
    <w:rsid w:val="26391A12"/>
    <w:rsid w:val="263B4509"/>
    <w:rsid w:val="268AF5CE"/>
    <w:rsid w:val="268E2EAC"/>
    <w:rsid w:val="269F676D"/>
    <w:rsid w:val="26B493C0"/>
    <w:rsid w:val="26BC564E"/>
    <w:rsid w:val="26BF9E1A"/>
    <w:rsid w:val="26C527C6"/>
    <w:rsid w:val="26F13D23"/>
    <w:rsid w:val="274BD2FD"/>
    <w:rsid w:val="274DA788"/>
    <w:rsid w:val="275F3C2D"/>
    <w:rsid w:val="27739572"/>
    <w:rsid w:val="2788BDCD"/>
    <w:rsid w:val="2797F073"/>
    <w:rsid w:val="27A2AE8C"/>
    <w:rsid w:val="27B56410"/>
    <w:rsid w:val="27EDD25B"/>
    <w:rsid w:val="27F83DFF"/>
    <w:rsid w:val="2809C8CB"/>
    <w:rsid w:val="2823620D"/>
    <w:rsid w:val="2836FE11"/>
    <w:rsid w:val="28463946"/>
    <w:rsid w:val="286ACAEC"/>
    <w:rsid w:val="28727BA9"/>
    <w:rsid w:val="287E9A67"/>
    <w:rsid w:val="28832F35"/>
    <w:rsid w:val="28A8B40E"/>
    <w:rsid w:val="28AE103A"/>
    <w:rsid w:val="28BA11AE"/>
    <w:rsid w:val="28BDD5A3"/>
    <w:rsid w:val="28CBD080"/>
    <w:rsid w:val="28D4985C"/>
    <w:rsid w:val="292490AE"/>
    <w:rsid w:val="292FDA30"/>
    <w:rsid w:val="2933E4AD"/>
    <w:rsid w:val="2938FEE8"/>
    <w:rsid w:val="2943C22C"/>
    <w:rsid w:val="294E679C"/>
    <w:rsid w:val="2957607F"/>
    <w:rsid w:val="295EE9E7"/>
    <w:rsid w:val="296B5B70"/>
    <w:rsid w:val="2974C35C"/>
    <w:rsid w:val="29781D04"/>
    <w:rsid w:val="297FCECD"/>
    <w:rsid w:val="298082D8"/>
    <w:rsid w:val="298697F5"/>
    <w:rsid w:val="2993A318"/>
    <w:rsid w:val="29CE27AC"/>
    <w:rsid w:val="29CF8872"/>
    <w:rsid w:val="29DFE644"/>
    <w:rsid w:val="29E37BB8"/>
    <w:rsid w:val="29E7EE8A"/>
    <w:rsid w:val="2A009FF5"/>
    <w:rsid w:val="2A04506C"/>
    <w:rsid w:val="2A0937DB"/>
    <w:rsid w:val="2A1BE330"/>
    <w:rsid w:val="2A26B97E"/>
    <w:rsid w:val="2A2CA0BE"/>
    <w:rsid w:val="2A2FA0DD"/>
    <w:rsid w:val="2A32997F"/>
    <w:rsid w:val="2A371D05"/>
    <w:rsid w:val="2A3CAD62"/>
    <w:rsid w:val="2A444493"/>
    <w:rsid w:val="2A58D3B7"/>
    <w:rsid w:val="2A6045DF"/>
    <w:rsid w:val="2A621906"/>
    <w:rsid w:val="2A9A528D"/>
    <w:rsid w:val="2AA16759"/>
    <w:rsid w:val="2AABF211"/>
    <w:rsid w:val="2ABDFAE2"/>
    <w:rsid w:val="2AC0E911"/>
    <w:rsid w:val="2AD50F5A"/>
    <w:rsid w:val="2AF0F420"/>
    <w:rsid w:val="2AF359F8"/>
    <w:rsid w:val="2AF779E3"/>
    <w:rsid w:val="2B078B91"/>
    <w:rsid w:val="2B0C8F21"/>
    <w:rsid w:val="2B14CB55"/>
    <w:rsid w:val="2B2E0BCB"/>
    <w:rsid w:val="2B5C4AC5"/>
    <w:rsid w:val="2B87A164"/>
    <w:rsid w:val="2B90E30A"/>
    <w:rsid w:val="2B94AC52"/>
    <w:rsid w:val="2BAAEDFB"/>
    <w:rsid w:val="2BC2F18B"/>
    <w:rsid w:val="2BCA747E"/>
    <w:rsid w:val="2BDAA637"/>
    <w:rsid w:val="2BE3DF7A"/>
    <w:rsid w:val="2BFA97EF"/>
    <w:rsid w:val="2C17429A"/>
    <w:rsid w:val="2C197E25"/>
    <w:rsid w:val="2C1FDA54"/>
    <w:rsid w:val="2C3B6B25"/>
    <w:rsid w:val="2C601F85"/>
    <w:rsid w:val="2C7D815E"/>
    <w:rsid w:val="2CA827BF"/>
    <w:rsid w:val="2CAA70E2"/>
    <w:rsid w:val="2CC7B70A"/>
    <w:rsid w:val="2CDFCB1B"/>
    <w:rsid w:val="2CE94F99"/>
    <w:rsid w:val="2CF3047B"/>
    <w:rsid w:val="2CF51610"/>
    <w:rsid w:val="2CFBAF9B"/>
    <w:rsid w:val="2D220F45"/>
    <w:rsid w:val="2D29F713"/>
    <w:rsid w:val="2D354B59"/>
    <w:rsid w:val="2D408865"/>
    <w:rsid w:val="2D426400"/>
    <w:rsid w:val="2D489074"/>
    <w:rsid w:val="2D630E51"/>
    <w:rsid w:val="2D63D9A4"/>
    <w:rsid w:val="2D66A8D6"/>
    <w:rsid w:val="2D7242B0"/>
    <w:rsid w:val="2D832A4A"/>
    <w:rsid w:val="2D8EB81D"/>
    <w:rsid w:val="2D9DA621"/>
    <w:rsid w:val="2DB9F393"/>
    <w:rsid w:val="2DBED768"/>
    <w:rsid w:val="2DE546F8"/>
    <w:rsid w:val="2DF1EBF5"/>
    <w:rsid w:val="2DF8ED95"/>
    <w:rsid w:val="2E076928"/>
    <w:rsid w:val="2E2775A4"/>
    <w:rsid w:val="2E3F9832"/>
    <w:rsid w:val="2E4979EE"/>
    <w:rsid w:val="2E5CD1A0"/>
    <w:rsid w:val="2E623838"/>
    <w:rsid w:val="2E8B3E58"/>
    <w:rsid w:val="2E986A83"/>
    <w:rsid w:val="2EA87A5E"/>
    <w:rsid w:val="2EC09C33"/>
    <w:rsid w:val="2EEBED7F"/>
    <w:rsid w:val="2F02F8A9"/>
    <w:rsid w:val="2F034566"/>
    <w:rsid w:val="2F04858E"/>
    <w:rsid w:val="2F1FAB9A"/>
    <w:rsid w:val="2F2B839C"/>
    <w:rsid w:val="2F4E10BD"/>
    <w:rsid w:val="2F6F8239"/>
    <w:rsid w:val="2F70D6A0"/>
    <w:rsid w:val="2F79E679"/>
    <w:rsid w:val="2FD50786"/>
    <w:rsid w:val="2FE20484"/>
    <w:rsid w:val="30094AF8"/>
    <w:rsid w:val="306901F5"/>
    <w:rsid w:val="308AD911"/>
    <w:rsid w:val="30903759"/>
    <w:rsid w:val="30B8B147"/>
    <w:rsid w:val="30C15A55"/>
    <w:rsid w:val="30D104D5"/>
    <w:rsid w:val="30DBB32F"/>
    <w:rsid w:val="310B53F4"/>
    <w:rsid w:val="311452F1"/>
    <w:rsid w:val="31249D8D"/>
    <w:rsid w:val="3128E2ED"/>
    <w:rsid w:val="3128FE7F"/>
    <w:rsid w:val="3137E886"/>
    <w:rsid w:val="314165AF"/>
    <w:rsid w:val="315F5192"/>
    <w:rsid w:val="3165CFF5"/>
    <w:rsid w:val="3174D228"/>
    <w:rsid w:val="31789241"/>
    <w:rsid w:val="3196FE8C"/>
    <w:rsid w:val="31AFC926"/>
    <w:rsid w:val="31CFE2FF"/>
    <w:rsid w:val="31D50BB4"/>
    <w:rsid w:val="31DA3779"/>
    <w:rsid w:val="31DEF6B8"/>
    <w:rsid w:val="31E28AE4"/>
    <w:rsid w:val="3223D82F"/>
    <w:rsid w:val="3233E7F5"/>
    <w:rsid w:val="3247C00F"/>
    <w:rsid w:val="3257B17E"/>
    <w:rsid w:val="325F8F1D"/>
    <w:rsid w:val="326D1A8A"/>
    <w:rsid w:val="3288BCC1"/>
    <w:rsid w:val="329F1D32"/>
    <w:rsid w:val="32AF9FF4"/>
    <w:rsid w:val="32C369F6"/>
    <w:rsid w:val="32DC70F7"/>
    <w:rsid w:val="32EB10EC"/>
    <w:rsid w:val="32FA3B8C"/>
    <w:rsid w:val="3338A085"/>
    <w:rsid w:val="334A59E6"/>
    <w:rsid w:val="33570E5F"/>
    <w:rsid w:val="335BBE67"/>
    <w:rsid w:val="336C9086"/>
    <w:rsid w:val="337B724D"/>
    <w:rsid w:val="33994F91"/>
    <w:rsid w:val="33B036A8"/>
    <w:rsid w:val="33B834D7"/>
    <w:rsid w:val="33BF3367"/>
    <w:rsid w:val="33EABEF2"/>
    <w:rsid w:val="34148B62"/>
    <w:rsid w:val="344882E5"/>
    <w:rsid w:val="345353B2"/>
    <w:rsid w:val="346C81B3"/>
    <w:rsid w:val="347BC26A"/>
    <w:rsid w:val="347C9EF2"/>
    <w:rsid w:val="348ECDDF"/>
    <w:rsid w:val="3497AA0A"/>
    <w:rsid w:val="34CA6962"/>
    <w:rsid w:val="34D0D270"/>
    <w:rsid w:val="34D8700F"/>
    <w:rsid w:val="34EAFBC0"/>
    <w:rsid w:val="35035503"/>
    <w:rsid w:val="3503F579"/>
    <w:rsid w:val="350E7962"/>
    <w:rsid w:val="35224AEA"/>
    <w:rsid w:val="353B25B0"/>
    <w:rsid w:val="3544A533"/>
    <w:rsid w:val="355F50B0"/>
    <w:rsid w:val="359FEF24"/>
    <w:rsid w:val="35A10C8B"/>
    <w:rsid w:val="35AE014B"/>
    <w:rsid w:val="35BE03BB"/>
    <w:rsid w:val="35BFAA21"/>
    <w:rsid w:val="35E1EB5F"/>
    <w:rsid w:val="3606B15A"/>
    <w:rsid w:val="360C58AD"/>
    <w:rsid w:val="3615E71B"/>
    <w:rsid w:val="361A3D03"/>
    <w:rsid w:val="362A3C93"/>
    <w:rsid w:val="362D4764"/>
    <w:rsid w:val="3641CE93"/>
    <w:rsid w:val="365F6989"/>
    <w:rsid w:val="366532C5"/>
    <w:rsid w:val="3666618D"/>
    <w:rsid w:val="368689AE"/>
    <w:rsid w:val="36A30C29"/>
    <w:rsid w:val="36AF9FEE"/>
    <w:rsid w:val="36C6788B"/>
    <w:rsid w:val="36D87E87"/>
    <w:rsid w:val="36DF797B"/>
    <w:rsid w:val="36E2C9FA"/>
    <w:rsid w:val="36E41D06"/>
    <w:rsid w:val="37036512"/>
    <w:rsid w:val="3714C24D"/>
    <w:rsid w:val="37287A43"/>
    <w:rsid w:val="373C4E39"/>
    <w:rsid w:val="37443477"/>
    <w:rsid w:val="37666C09"/>
    <w:rsid w:val="376EC6F0"/>
    <w:rsid w:val="37804537"/>
    <w:rsid w:val="3793CA2E"/>
    <w:rsid w:val="379AF93B"/>
    <w:rsid w:val="379BA8CE"/>
    <w:rsid w:val="37C413AA"/>
    <w:rsid w:val="380DDE21"/>
    <w:rsid w:val="38263057"/>
    <w:rsid w:val="3842A901"/>
    <w:rsid w:val="38700626"/>
    <w:rsid w:val="3874ED7C"/>
    <w:rsid w:val="387BFCEB"/>
    <w:rsid w:val="387D13E6"/>
    <w:rsid w:val="388B6BDE"/>
    <w:rsid w:val="388BBA48"/>
    <w:rsid w:val="38909189"/>
    <w:rsid w:val="38BC44C9"/>
    <w:rsid w:val="38CD3683"/>
    <w:rsid w:val="38D5963E"/>
    <w:rsid w:val="38DA3226"/>
    <w:rsid w:val="38F3C4EC"/>
    <w:rsid w:val="38F4C504"/>
    <w:rsid w:val="39578CC9"/>
    <w:rsid w:val="3958BAAE"/>
    <w:rsid w:val="39593522"/>
    <w:rsid w:val="3991B8A9"/>
    <w:rsid w:val="3996054E"/>
    <w:rsid w:val="39A567D1"/>
    <w:rsid w:val="39BD04FE"/>
    <w:rsid w:val="39C81425"/>
    <w:rsid w:val="39DA5FA4"/>
    <w:rsid w:val="39E2E53A"/>
    <w:rsid w:val="39FC6E40"/>
    <w:rsid w:val="3A1F3993"/>
    <w:rsid w:val="3A34F51D"/>
    <w:rsid w:val="3A4B2822"/>
    <w:rsid w:val="3A4C77A2"/>
    <w:rsid w:val="3A5BED7F"/>
    <w:rsid w:val="3AA1BC74"/>
    <w:rsid w:val="3AB60C2A"/>
    <w:rsid w:val="3AC842D7"/>
    <w:rsid w:val="3ADDEF00"/>
    <w:rsid w:val="3AFB202C"/>
    <w:rsid w:val="3B301F91"/>
    <w:rsid w:val="3B351528"/>
    <w:rsid w:val="3B388F4E"/>
    <w:rsid w:val="3B3AD58D"/>
    <w:rsid w:val="3B436AD3"/>
    <w:rsid w:val="3B45370B"/>
    <w:rsid w:val="3B5A49CE"/>
    <w:rsid w:val="3B61E681"/>
    <w:rsid w:val="3B87643D"/>
    <w:rsid w:val="3BA092E1"/>
    <w:rsid w:val="3BB2D7AB"/>
    <w:rsid w:val="3BBF3FBD"/>
    <w:rsid w:val="3C0184A3"/>
    <w:rsid w:val="3C0435F7"/>
    <w:rsid w:val="3C1B8F71"/>
    <w:rsid w:val="3C2BC797"/>
    <w:rsid w:val="3C3D71C6"/>
    <w:rsid w:val="3C52F3C1"/>
    <w:rsid w:val="3C6C470A"/>
    <w:rsid w:val="3C7870C0"/>
    <w:rsid w:val="3C78F87C"/>
    <w:rsid w:val="3CA5E0CF"/>
    <w:rsid w:val="3CA6F448"/>
    <w:rsid w:val="3CAEA940"/>
    <w:rsid w:val="3CDEA5B7"/>
    <w:rsid w:val="3CE5EFB4"/>
    <w:rsid w:val="3CE7D97B"/>
    <w:rsid w:val="3CED2012"/>
    <w:rsid w:val="3CF88024"/>
    <w:rsid w:val="3D3DB6C6"/>
    <w:rsid w:val="3D519008"/>
    <w:rsid w:val="3D5DEABE"/>
    <w:rsid w:val="3D6661E2"/>
    <w:rsid w:val="3D6CDE5D"/>
    <w:rsid w:val="3D7817A9"/>
    <w:rsid w:val="3D88AEBC"/>
    <w:rsid w:val="3D97D78D"/>
    <w:rsid w:val="3D9D68D5"/>
    <w:rsid w:val="3DA350EE"/>
    <w:rsid w:val="3DCC89FC"/>
    <w:rsid w:val="3DDDD557"/>
    <w:rsid w:val="3DE0B049"/>
    <w:rsid w:val="3DFAEE57"/>
    <w:rsid w:val="3DFC8DAF"/>
    <w:rsid w:val="3E07981C"/>
    <w:rsid w:val="3E25A229"/>
    <w:rsid w:val="3E43BB44"/>
    <w:rsid w:val="3E4FEC98"/>
    <w:rsid w:val="3E72EB8A"/>
    <w:rsid w:val="3E798961"/>
    <w:rsid w:val="3E7A9680"/>
    <w:rsid w:val="3E7E9F30"/>
    <w:rsid w:val="3E80751F"/>
    <w:rsid w:val="3E81EE20"/>
    <w:rsid w:val="3E833B99"/>
    <w:rsid w:val="3E84ED7C"/>
    <w:rsid w:val="3EA6FB2B"/>
    <w:rsid w:val="3EBD1F98"/>
    <w:rsid w:val="3EC88453"/>
    <w:rsid w:val="3ED187AB"/>
    <w:rsid w:val="3ED2A8C7"/>
    <w:rsid w:val="3EE225ED"/>
    <w:rsid w:val="3EE28746"/>
    <w:rsid w:val="3EE752AF"/>
    <w:rsid w:val="3EF50A90"/>
    <w:rsid w:val="3F0CBB2A"/>
    <w:rsid w:val="3F11207F"/>
    <w:rsid w:val="3F15229E"/>
    <w:rsid w:val="3F1F5B5F"/>
    <w:rsid w:val="3F370A2D"/>
    <w:rsid w:val="3F3A2C16"/>
    <w:rsid w:val="3F5FFAFA"/>
    <w:rsid w:val="3F6ECA64"/>
    <w:rsid w:val="3F83904A"/>
    <w:rsid w:val="3F9120CE"/>
    <w:rsid w:val="3F999C7E"/>
    <w:rsid w:val="3FA0761A"/>
    <w:rsid w:val="3FB1F1D7"/>
    <w:rsid w:val="3FB4EA6D"/>
    <w:rsid w:val="3FDC831A"/>
    <w:rsid w:val="3FE25A66"/>
    <w:rsid w:val="3FEBFCAA"/>
    <w:rsid w:val="3FF35202"/>
    <w:rsid w:val="3FF44DBB"/>
    <w:rsid w:val="40033093"/>
    <w:rsid w:val="40194EB7"/>
    <w:rsid w:val="401A6F91"/>
    <w:rsid w:val="4025E621"/>
    <w:rsid w:val="404E9C08"/>
    <w:rsid w:val="406CB783"/>
    <w:rsid w:val="406FBD4D"/>
    <w:rsid w:val="407B79D7"/>
    <w:rsid w:val="409901B0"/>
    <w:rsid w:val="40A18A28"/>
    <w:rsid w:val="40B720B8"/>
    <w:rsid w:val="40BD5FA3"/>
    <w:rsid w:val="40BE8588"/>
    <w:rsid w:val="40DE8288"/>
    <w:rsid w:val="40E2F3D7"/>
    <w:rsid w:val="40FA8689"/>
    <w:rsid w:val="40FD908C"/>
    <w:rsid w:val="4110A4C6"/>
    <w:rsid w:val="41122441"/>
    <w:rsid w:val="4116C76B"/>
    <w:rsid w:val="4149C8A9"/>
    <w:rsid w:val="414E0561"/>
    <w:rsid w:val="415C315D"/>
    <w:rsid w:val="4168DE73"/>
    <w:rsid w:val="41853095"/>
    <w:rsid w:val="419262AD"/>
    <w:rsid w:val="41B102D6"/>
    <w:rsid w:val="41B4CB80"/>
    <w:rsid w:val="41DCD409"/>
    <w:rsid w:val="41E0E7C8"/>
    <w:rsid w:val="4207BE42"/>
    <w:rsid w:val="42080BBE"/>
    <w:rsid w:val="421B74A8"/>
    <w:rsid w:val="424EFB2E"/>
    <w:rsid w:val="425186F6"/>
    <w:rsid w:val="425F354A"/>
    <w:rsid w:val="427AF367"/>
    <w:rsid w:val="427D56B6"/>
    <w:rsid w:val="4284C4D4"/>
    <w:rsid w:val="42AE9392"/>
    <w:rsid w:val="42B85211"/>
    <w:rsid w:val="42BB310C"/>
    <w:rsid w:val="42F221F7"/>
    <w:rsid w:val="42F49703"/>
    <w:rsid w:val="4315B5E3"/>
    <w:rsid w:val="4328389A"/>
    <w:rsid w:val="4330CE54"/>
    <w:rsid w:val="43382085"/>
    <w:rsid w:val="4356D2BB"/>
    <w:rsid w:val="435EC876"/>
    <w:rsid w:val="43658321"/>
    <w:rsid w:val="43725062"/>
    <w:rsid w:val="4373E5D1"/>
    <w:rsid w:val="43808ED9"/>
    <w:rsid w:val="439C2952"/>
    <w:rsid w:val="43A24F85"/>
    <w:rsid w:val="43AB69B0"/>
    <w:rsid w:val="43BC2ED4"/>
    <w:rsid w:val="43C3421E"/>
    <w:rsid w:val="43C75A25"/>
    <w:rsid w:val="43FF575B"/>
    <w:rsid w:val="44219032"/>
    <w:rsid w:val="444C4647"/>
    <w:rsid w:val="44A50D31"/>
    <w:rsid w:val="44B6AA9E"/>
    <w:rsid w:val="44E2465A"/>
    <w:rsid w:val="45003C8B"/>
    <w:rsid w:val="4530AADF"/>
    <w:rsid w:val="4553320D"/>
    <w:rsid w:val="4557FF35"/>
    <w:rsid w:val="45800F7B"/>
    <w:rsid w:val="458AC05A"/>
    <w:rsid w:val="458ED1D2"/>
    <w:rsid w:val="45B8C542"/>
    <w:rsid w:val="45CEC3EC"/>
    <w:rsid w:val="45EF1FD8"/>
    <w:rsid w:val="460315C7"/>
    <w:rsid w:val="46113882"/>
    <w:rsid w:val="461825BA"/>
    <w:rsid w:val="461CA939"/>
    <w:rsid w:val="46307251"/>
    <w:rsid w:val="469DD637"/>
    <w:rsid w:val="46B7BBAA"/>
    <w:rsid w:val="46D9EAD5"/>
    <w:rsid w:val="46F3CF96"/>
    <w:rsid w:val="46FC0B28"/>
    <w:rsid w:val="46FEEA2B"/>
    <w:rsid w:val="47461E1D"/>
    <w:rsid w:val="474B382C"/>
    <w:rsid w:val="47505E70"/>
    <w:rsid w:val="4758E8FF"/>
    <w:rsid w:val="4761F770"/>
    <w:rsid w:val="4768B6AC"/>
    <w:rsid w:val="4784A47F"/>
    <w:rsid w:val="478A3F63"/>
    <w:rsid w:val="478AF039"/>
    <w:rsid w:val="47B6A66B"/>
    <w:rsid w:val="47CC7DF5"/>
    <w:rsid w:val="47E6A856"/>
    <w:rsid w:val="47EA5308"/>
    <w:rsid w:val="47ED1BF6"/>
    <w:rsid w:val="4812833D"/>
    <w:rsid w:val="4813F5B1"/>
    <w:rsid w:val="48271511"/>
    <w:rsid w:val="4833BE24"/>
    <w:rsid w:val="487F7B13"/>
    <w:rsid w:val="48BDE36A"/>
    <w:rsid w:val="48E7EFC7"/>
    <w:rsid w:val="4904DE2D"/>
    <w:rsid w:val="4907892E"/>
    <w:rsid w:val="4946AF12"/>
    <w:rsid w:val="49791166"/>
    <w:rsid w:val="497B5166"/>
    <w:rsid w:val="49993567"/>
    <w:rsid w:val="499B9BDA"/>
    <w:rsid w:val="49A79564"/>
    <w:rsid w:val="49C18A9A"/>
    <w:rsid w:val="49D07118"/>
    <w:rsid w:val="49E19349"/>
    <w:rsid w:val="49E42375"/>
    <w:rsid w:val="49E9750D"/>
    <w:rsid w:val="49F7A9C8"/>
    <w:rsid w:val="49F7F470"/>
    <w:rsid w:val="49FB82DD"/>
    <w:rsid w:val="4A13B0FD"/>
    <w:rsid w:val="4A15CCC6"/>
    <w:rsid w:val="4A1A0473"/>
    <w:rsid w:val="4A2E484D"/>
    <w:rsid w:val="4A3EF2BF"/>
    <w:rsid w:val="4A475ECA"/>
    <w:rsid w:val="4A50C58F"/>
    <w:rsid w:val="4A9F45BF"/>
    <w:rsid w:val="4AA313B6"/>
    <w:rsid w:val="4AB3F114"/>
    <w:rsid w:val="4ADA7C39"/>
    <w:rsid w:val="4AE3D006"/>
    <w:rsid w:val="4AEA1250"/>
    <w:rsid w:val="4B05736A"/>
    <w:rsid w:val="4B1CF905"/>
    <w:rsid w:val="4B1F334B"/>
    <w:rsid w:val="4B2EF898"/>
    <w:rsid w:val="4B3A2B90"/>
    <w:rsid w:val="4B55E444"/>
    <w:rsid w:val="4B58C5A0"/>
    <w:rsid w:val="4B60D723"/>
    <w:rsid w:val="4B7749B0"/>
    <w:rsid w:val="4B82FFA9"/>
    <w:rsid w:val="4B876CBA"/>
    <w:rsid w:val="4BA111CD"/>
    <w:rsid w:val="4BA96E6E"/>
    <w:rsid w:val="4BE528AB"/>
    <w:rsid w:val="4BF38846"/>
    <w:rsid w:val="4BF9B0E1"/>
    <w:rsid w:val="4BFE073F"/>
    <w:rsid w:val="4C3285A0"/>
    <w:rsid w:val="4C372632"/>
    <w:rsid w:val="4C3A493D"/>
    <w:rsid w:val="4C51E609"/>
    <w:rsid w:val="4C6BBDAC"/>
    <w:rsid w:val="4C89B3FF"/>
    <w:rsid w:val="4C9BEEED"/>
    <w:rsid w:val="4CAEF810"/>
    <w:rsid w:val="4CB787D6"/>
    <w:rsid w:val="4CD9918F"/>
    <w:rsid w:val="4D0F31A1"/>
    <w:rsid w:val="4D314060"/>
    <w:rsid w:val="4D4ABA47"/>
    <w:rsid w:val="4D7A2453"/>
    <w:rsid w:val="4D7FA9CF"/>
    <w:rsid w:val="4D9C3BDA"/>
    <w:rsid w:val="4DBDC302"/>
    <w:rsid w:val="4E0FCA5E"/>
    <w:rsid w:val="4E13C10D"/>
    <w:rsid w:val="4E183BDF"/>
    <w:rsid w:val="4E255E18"/>
    <w:rsid w:val="4E345D17"/>
    <w:rsid w:val="4E3C6D9C"/>
    <w:rsid w:val="4E747189"/>
    <w:rsid w:val="4E944CD8"/>
    <w:rsid w:val="4EA31FBD"/>
    <w:rsid w:val="4EA604BE"/>
    <w:rsid w:val="4EB2546B"/>
    <w:rsid w:val="4ED9DE0B"/>
    <w:rsid w:val="4EECBBF4"/>
    <w:rsid w:val="4F09A574"/>
    <w:rsid w:val="4F1D00E1"/>
    <w:rsid w:val="4F20F40D"/>
    <w:rsid w:val="4F2624C2"/>
    <w:rsid w:val="4F3C35A9"/>
    <w:rsid w:val="4F496F20"/>
    <w:rsid w:val="4F7144CF"/>
    <w:rsid w:val="4F826672"/>
    <w:rsid w:val="4FBFAEEC"/>
    <w:rsid w:val="4FCDBE37"/>
    <w:rsid w:val="4FD0DBB5"/>
    <w:rsid w:val="4FD1AC6D"/>
    <w:rsid w:val="4FD61FB6"/>
    <w:rsid w:val="4FD70FD1"/>
    <w:rsid w:val="4FE8C008"/>
    <w:rsid w:val="503D4CBC"/>
    <w:rsid w:val="50463FD8"/>
    <w:rsid w:val="504878CE"/>
    <w:rsid w:val="507E48C1"/>
    <w:rsid w:val="509FC791"/>
    <w:rsid w:val="50AD59D8"/>
    <w:rsid w:val="50B39894"/>
    <w:rsid w:val="50C8B3B9"/>
    <w:rsid w:val="50CED9DC"/>
    <w:rsid w:val="50D66ABF"/>
    <w:rsid w:val="510B13BB"/>
    <w:rsid w:val="5113E7AA"/>
    <w:rsid w:val="51598233"/>
    <w:rsid w:val="515E1792"/>
    <w:rsid w:val="516A43D1"/>
    <w:rsid w:val="516ED347"/>
    <w:rsid w:val="517BDFA0"/>
    <w:rsid w:val="5192F205"/>
    <w:rsid w:val="5195C003"/>
    <w:rsid w:val="51961E0F"/>
    <w:rsid w:val="51992AAB"/>
    <w:rsid w:val="51C3CDD9"/>
    <w:rsid w:val="51CA277B"/>
    <w:rsid w:val="51DA10FD"/>
    <w:rsid w:val="51E3ECC9"/>
    <w:rsid w:val="51F50775"/>
    <w:rsid w:val="521DA416"/>
    <w:rsid w:val="52264A88"/>
    <w:rsid w:val="52397C75"/>
    <w:rsid w:val="525A6ECD"/>
    <w:rsid w:val="525FDC64"/>
    <w:rsid w:val="526BA6BF"/>
    <w:rsid w:val="526D0757"/>
    <w:rsid w:val="527EEA08"/>
    <w:rsid w:val="52B15243"/>
    <w:rsid w:val="52CD4FAB"/>
    <w:rsid w:val="52CE2E98"/>
    <w:rsid w:val="52D79D7B"/>
    <w:rsid w:val="52D7A88A"/>
    <w:rsid w:val="52D89A95"/>
    <w:rsid w:val="52E567AB"/>
    <w:rsid w:val="530DAA48"/>
    <w:rsid w:val="532BEC65"/>
    <w:rsid w:val="532EB9B3"/>
    <w:rsid w:val="5336FB52"/>
    <w:rsid w:val="5336FD28"/>
    <w:rsid w:val="5337A20E"/>
    <w:rsid w:val="53620A76"/>
    <w:rsid w:val="536438DA"/>
    <w:rsid w:val="5365D4C3"/>
    <w:rsid w:val="5367D568"/>
    <w:rsid w:val="536E863A"/>
    <w:rsid w:val="53AB9EE3"/>
    <w:rsid w:val="53B427F3"/>
    <w:rsid w:val="53CD59CE"/>
    <w:rsid w:val="53DFA119"/>
    <w:rsid w:val="53EF418E"/>
    <w:rsid w:val="5407C98B"/>
    <w:rsid w:val="5407E870"/>
    <w:rsid w:val="541C3461"/>
    <w:rsid w:val="545EB12F"/>
    <w:rsid w:val="5461DABA"/>
    <w:rsid w:val="5464C5A9"/>
    <w:rsid w:val="54777CB0"/>
    <w:rsid w:val="547A36BA"/>
    <w:rsid w:val="548041AE"/>
    <w:rsid w:val="5489CD5A"/>
    <w:rsid w:val="54A046BF"/>
    <w:rsid w:val="54A299F3"/>
    <w:rsid w:val="54AC414C"/>
    <w:rsid w:val="54ACADCD"/>
    <w:rsid w:val="54C11FAD"/>
    <w:rsid w:val="54D81E05"/>
    <w:rsid w:val="54EA65B7"/>
    <w:rsid w:val="55122499"/>
    <w:rsid w:val="554273DB"/>
    <w:rsid w:val="5576988E"/>
    <w:rsid w:val="559D5208"/>
    <w:rsid w:val="55A08FF3"/>
    <w:rsid w:val="55BCDCE8"/>
    <w:rsid w:val="55C35362"/>
    <w:rsid w:val="55CACF65"/>
    <w:rsid w:val="560ECAB1"/>
    <w:rsid w:val="562203A8"/>
    <w:rsid w:val="564BB480"/>
    <w:rsid w:val="564E120D"/>
    <w:rsid w:val="56529DA6"/>
    <w:rsid w:val="567333B4"/>
    <w:rsid w:val="567A2E56"/>
    <w:rsid w:val="5687B349"/>
    <w:rsid w:val="5697846F"/>
    <w:rsid w:val="56B18CD0"/>
    <w:rsid w:val="56D742ED"/>
    <w:rsid w:val="56D88F34"/>
    <w:rsid w:val="56E2A18B"/>
    <w:rsid w:val="56FFE7F0"/>
    <w:rsid w:val="5715E34C"/>
    <w:rsid w:val="572655EB"/>
    <w:rsid w:val="5736AF19"/>
    <w:rsid w:val="574FC70F"/>
    <w:rsid w:val="575D2519"/>
    <w:rsid w:val="57678AD4"/>
    <w:rsid w:val="5768076A"/>
    <w:rsid w:val="577B0A17"/>
    <w:rsid w:val="578EFC6D"/>
    <w:rsid w:val="57AE0134"/>
    <w:rsid w:val="57BFA16E"/>
    <w:rsid w:val="57D09EFC"/>
    <w:rsid w:val="57DB7F65"/>
    <w:rsid w:val="57E2BA2A"/>
    <w:rsid w:val="57FEC24C"/>
    <w:rsid w:val="581141E7"/>
    <w:rsid w:val="582328F7"/>
    <w:rsid w:val="582E0E5D"/>
    <w:rsid w:val="585823CC"/>
    <w:rsid w:val="5858E788"/>
    <w:rsid w:val="58623F39"/>
    <w:rsid w:val="5865E1B9"/>
    <w:rsid w:val="58701FEA"/>
    <w:rsid w:val="589D70B1"/>
    <w:rsid w:val="589FF1CD"/>
    <w:rsid w:val="58A5A926"/>
    <w:rsid w:val="58AFCF7B"/>
    <w:rsid w:val="58C06FC2"/>
    <w:rsid w:val="58CC8AB6"/>
    <w:rsid w:val="58D01291"/>
    <w:rsid w:val="58D3856B"/>
    <w:rsid w:val="58E37365"/>
    <w:rsid w:val="58F6DD28"/>
    <w:rsid w:val="58F921A5"/>
    <w:rsid w:val="58FAD653"/>
    <w:rsid w:val="59185112"/>
    <w:rsid w:val="594D84C4"/>
    <w:rsid w:val="5962A49C"/>
    <w:rsid w:val="598828AE"/>
    <w:rsid w:val="5991A2BF"/>
    <w:rsid w:val="599A2BCD"/>
    <w:rsid w:val="59E2990A"/>
    <w:rsid w:val="59E4BE2D"/>
    <w:rsid w:val="59FF5B47"/>
    <w:rsid w:val="5A022C5D"/>
    <w:rsid w:val="5A0EF492"/>
    <w:rsid w:val="5A2DDA7E"/>
    <w:rsid w:val="5A30594B"/>
    <w:rsid w:val="5A743871"/>
    <w:rsid w:val="5A75B0C4"/>
    <w:rsid w:val="5A858BD2"/>
    <w:rsid w:val="5A8A62B1"/>
    <w:rsid w:val="5AA3C552"/>
    <w:rsid w:val="5AB5858A"/>
    <w:rsid w:val="5AD1CA4B"/>
    <w:rsid w:val="5AEAFAEA"/>
    <w:rsid w:val="5B063709"/>
    <w:rsid w:val="5B0F0C96"/>
    <w:rsid w:val="5B136C64"/>
    <w:rsid w:val="5B1717A3"/>
    <w:rsid w:val="5B4783A0"/>
    <w:rsid w:val="5B483638"/>
    <w:rsid w:val="5B62538C"/>
    <w:rsid w:val="5B733952"/>
    <w:rsid w:val="5B76BD17"/>
    <w:rsid w:val="5B82E851"/>
    <w:rsid w:val="5B8650DB"/>
    <w:rsid w:val="5B88E307"/>
    <w:rsid w:val="5BC72ED8"/>
    <w:rsid w:val="5BCC5CA5"/>
    <w:rsid w:val="5BDA1D1B"/>
    <w:rsid w:val="5BEE7C0F"/>
    <w:rsid w:val="5BF27643"/>
    <w:rsid w:val="5BF71F29"/>
    <w:rsid w:val="5BF7D61E"/>
    <w:rsid w:val="5C0A6DBA"/>
    <w:rsid w:val="5C1BCA54"/>
    <w:rsid w:val="5C1DBC70"/>
    <w:rsid w:val="5C2824AB"/>
    <w:rsid w:val="5C47A9C0"/>
    <w:rsid w:val="5C5A0634"/>
    <w:rsid w:val="5C669054"/>
    <w:rsid w:val="5C71A2A7"/>
    <w:rsid w:val="5C86EBDF"/>
    <w:rsid w:val="5C979B5B"/>
    <w:rsid w:val="5C9BF9EF"/>
    <w:rsid w:val="5C9D6BE5"/>
    <w:rsid w:val="5CB43284"/>
    <w:rsid w:val="5CB522D2"/>
    <w:rsid w:val="5CBA9CA7"/>
    <w:rsid w:val="5CD07963"/>
    <w:rsid w:val="5CDFFBAE"/>
    <w:rsid w:val="5CF4370A"/>
    <w:rsid w:val="5CFE0809"/>
    <w:rsid w:val="5D0F09B3"/>
    <w:rsid w:val="5D62EE6E"/>
    <w:rsid w:val="5D6658EA"/>
    <w:rsid w:val="5D710690"/>
    <w:rsid w:val="5D73AAAD"/>
    <w:rsid w:val="5D7D874C"/>
    <w:rsid w:val="5D82ED11"/>
    <w:rsid w:val="5D98C940"/>
    <w:rsid w:val="5DA81B8F"/>
    <w:rsid w:val="5DBC2BA0"/>
    <w:rsid w:val="5DD78E18"/>
    <w:rsid w:val="5DDE9950"/>
    <w:rsid w:val="5DEF74BE"/>
    <w:rsid w:val="5E50FB17"/>
    <w:rsid w:val="5E6DC6F9"/>
    <w:rsid w:val="5E724A9A"/>
    <w:rsid w:val="5E9289D6"/>
    <w:rsid w:val="5EA6809E"/>
    <w:rsid w:val="5EBB160C"/>
    <w:rsid w:val="5EC0485E"/>
    <w:rsid w:val="5ECEF65A"/>
    <w:rsid w:val="5EE8FE89"/>
    <w:rsid w:val="5F28B5A0"/>
    <w:rsid w:val="5F297E75"/>
    <w:rsid w:val="5F3AA35C"/>
    <w:rsid w:val="5F409D2B"/>
    <w:rsid w:val="5F47926D"/>
    <w:rsid w:val="5F4DC3BD"/>
    <w:rsid w:val="5F61844A"/>
    <w:rsid w:val="5F630F22"/>
    <w:rsid w:val="5F72B4B6"/>
    <w:rsid w:val="5F77E22B"/>
    <w:rsid w:val="5F7FADC8"/>
    <w:rsid w:val="5FA6AEAE"/>
    <w:rsid w:val="5FB1688A"/>
    <w:rsid w:val="5FB186E5"/>
    <w:rsid w:val="5FBFB5D4"/>
    <w:rsid w:val="5FC46FEE"/>
    <w:rsid w:val="5FD73C40"/>
    <w:rsid w:val="5FD96ACB"/>
    <w:rsid w:val="5FDE70F8"/>
    <w:rsid w:val="5FF90561"/>
    <w:rsid w:val="5FFAA8C8"/>
    <w:rsid w:val="60155AAB"/>
    <w:rsid w:val="6036BC20"/>
    <w:rsid w:val="6068C7C5"/>
    <w:rsid w:val="606BBFF0"/>
    <w:rsid w:val="608D3759"/>
    <w:rsid w:val="60A01C34"/>
    <w:rsid w:val="60AC9D75"/>
    <w:rsid w:val="60B84D60"/>
    <w:rsid w:val="60BC5908"/>
    <w:rsid w:val="60C1886B"/>
    <w:rsid w:val="60C6DC1E"/>
    <w:rsid w:val="60EBBC3C"/>
    <w:rsid w:val="60FA567D"/>
    <w:rsid w:val="6107A55F"/>
    <w:rsid w:val="6108B284"/>
    <w:rsid w:val="611B04CA"/>
    <w:rsid w:val="612FA588"/>
    <w:rsid w:val="613A6D68"/>
    <w:rsid w:val="61610AAC"/>
    <w:rsid w:val="61619ED5"/>
    <w:rsid w:val="6171F92F"/>
    <w:rsid w:val="6175F54D"/>
    <w:rsid w:val="61B2298A"/>
    <w:rsid w:val="61D447BA"/>
    <w:rsid w:val="61D97DD9"/>
    <w:rsid w:val="6226D3E0"/>
    <w:rsid w:val="62549ACE"/>
    <w:rsid w:val="6254C681"/>
    <w:rsid w:val="627732B4"/>
    <w:rsid w:val="628133A9"/>
    <w:rsid w:val="628BF613"/>
    <w:rsid w:val="629C61FE"/>
    <w:rsid w:val="62A8F453"/>
    <w:rsid w:val="62B59222"/>
    <w:rsid w:val="62E4AA41"/>
    <w:rsid w:val="62EBDF26"/>
    <w:rsid w:val="62ED0241"/>
    <w:rsid w:val="631DD422"/>
    <w:rsid w:val="6328E27C"/>
    <w:rsid w:val="633AD235"/>
    <w:rsid w:val="634018D5"/>
    <w:rsid w:val="6357DA1B"/>
    <w:rsid w:val="637159BA"/>
    <w:rsid w:val="63752957"/>
    <w:rsid w:val="638C8366"/>
    <w:rsid w:val="6393806F"/>
    <w:rsid w:val="63A62B0C"/>
    <w:rsid w:val="63A8E335"/>
    <w:rsid w:val="63AFC245"/>
    <w:rsid w:val="63B356EF"/>
    <w:rsid w:val="63E5156E"/>
    <w:rsid w:val="63F22B95"/>
    <w:rsid w:val="63F7B47E"/>
    <w:rsid w:val="6407DA61"/>
    <w:rsid w:val="643334DC"/>
    <w:rsid w:val="6499ECBF"/>
    <w:rsid w:val="64EEAAEE"/>
    <w:rsid w:val="650C68C1"/>
    <w:rsid w:val="6518E0B8"/>
    <w:rsid w:val="6534D7F4"/>
    <w:rsid w:val="653E3257"/>
    <w:rsid w:val="6546CD26"/>
    <w:rsid w:val="655995F3"/>
    <w:rsid w:val="655C7179"/>
    <w:rsid w:val="65676104"/>
    <w:rsid w:val="6569490C"/>
    <w:rsid w:val="65716528"/>
    <w:rsid w:val="658FCFEF"/>
    <w:rsid w:val="65995CFD"/>
    <w:rsid w:val="659F25D8"/>
    <w:rsid w:val="65AAF47D"/>
    <w:rsid w:val="65BB4019"/>
    <w:rsid w:val="65BBE3AF"/>
    <w:rsid w:val="65BE9C7E"/>
    <w:rsid w:val="65C6FA88"/>
    <w:rsid w:val="65D01F2C"/>
    <w:rsid w:val="65D67E3A"/>
    <w:rsid w:val="65E1890D"/>
    <w:rsid w:val="6614E0E6"/>
    <w:rsid w:val="661E45FD"/>
    <w:rsid w:val="663756A7"/>
    <w:rsid w:val="663DB9B2"/>
    <w:rsid w:val="666B532B"/>
    <w:rsid w:val="6674B2AC"/>
    <w:rsid w:val="66796D2D"/>
    <w:rsid w:val="6679B295"/>
    <w:rsid w:val="6685AD2B"/>
    <w:rsid w:val="668F6FE8"/>
    <w:rsid w:val="66BCBE10"/>
    <w:rsid w:val="66C2DDD6"/>
    <w:rsid w:val="66E30D60"/>
    <w:rsid w:val="66F4BA6B"/>
    <w:rsid w:val="67069CA2"/>
    <w:rsid w:val="6709A1C4"/>
    <w:rsid w:val="676DA952"/>
    <w:rsid w:val="6771E84D"/>
    <w:rsid w:val="677A8435"/>
    <w:rsid w:val="678E25C9"/>
    <w:rsid w:val="67903C81"/>
    <w:rsid w:val="67AE6CFF"/>
    <w:rsid w:val="67B50ADA"/>
    <w:rsid w:val="67CA8BCD"/>
    <w:rsid w:val="67CE7479"/>
    <w:rsid w:val="67E0A315"/>
    <w:rsid w:val="67F7FDEA"/>
    <w:rsid w:val="6810CB35"/>
    <w:rsid w:val="6815671D"/>
    <w:rsid w:val="681B049B"/>
    <w:rsid w:val="6825BCA1"/>
    <w:rsid w:val="6826AC24"/>
    <w:rsid w:val="682A9198"/>
    <w:rsid w:val="684D8832"/>
    <w:rsid w:val="687A5649"/>
    <w:rsid w:val="687BD6EE"/>
    <w:rsid w:val="6885266D"/>
    <w:rsid w:val="688A8038"/>
    <w:rsid w:val="688EAE1C"/>
    <w:rsid w:val="688F34FA"/>
    <w:rsid w:val="6890A07E"/>
    <w:rsid w:val="68E11403"/>
    <w:rsid w:val="69014540"/>
    <w:rsid w:val="69153E94"/>
    <w:rsid w:val="69164143"/>
    <w:rsid w:val="69191C02"/>
    <w:rsid w:val="69431C3A"/>
    <w:rsid w:val="6946B61E"/>
    <w:rsid w:val="695D6762"/>
    <w:rsid w:val="6984C693"/>
    <w:rsid w:val="69882C29"/>
    <w:rsid w:val="698D837C"/>
    <w:rsid w:val="69AB5109"/>
    <w:rsid w:val="69C70E49"/>
    <w:rsid w:val="69C78741"/>
    <w:rsid w:val="69FD49F0"/>
    <w:rsid w:val="6A23B4E3"/>
    <w:rsid w:val="6A622963"/>
    <w:rsid w:val="6A7F3A9B"/>
    <w:rsid w:val="6AA0B22B"/>
    <w:rsid w:val="6AAB76E5"/>
    <w:rsid w:val="6AD1C6C3"/>
    <w:rsid w:val="6AD4D947"/>
    <w:rsid w:val="6AD71B3A"/>
    <w:rsid w:val="6ADBCBEF"/>
    <w:rsid w:val="6AEAE423"/>
    <w:rsid w:val="6AEBF6B0"/>
    <w:rsid w:val="6B08016C"/>
    <w:rsid w:val="6B1342A5"/>
    <w:rsid w:val="6B1CA64C"/>
    <w:rsid w:val="6B2D925D"/>
    <w:rsid w:val="6B4E8DE7"/>
    <w:rsid w:val="6B7663F5"/>
    <w:rsid w:val="6B8ACD9E"/>
    <w:rsid w:val="6BAF1515"/>
    <w:rsid w:val="6BC11ED8"/>
    <w:rsid w:val="6BC52532"/>
    <w:rsid w:val="6BEDB1CC"/>
    <w:rsid w:val="6BEF2D7B"/>
    <w:rsid w:val="6C0EE505"/>
    <w:rsid w:val="6C1100CD"/>
    <w:rsid w:val="6C1701F9"/>
    <w:rsid w:val="6C366CC6"/>
    <w:rsid w:val="6C6692FA"/>
    <w:rsid w:val="6C7962B4"/>
    <w:rsid w:val="6C8705F4"/>
    <w:rsid w:val="6C918932"/>
    <w:rsid w:val="6CC987D5"/>
    <w:rsid w:val="6CD316F4"/>
    <w:rsid w:val="6CDD256B"/>
    <w:rsid w:val="6CE13AB3"/>
    <w:rsid w:val="6CF11B44"/>
    <w:rsid w:val="6CF3F3EA"/>
    <w:rsid w:val="6D5509E2"/>
    <w:rsid w:val="6D681981"/>
    <w:rsid w:val="6D6ECA95"/>
    <w:rsid w:val="6D946505"/>
    <w:rsid w:val="6D959D0C"/>
    <w:rsid w:val="6D9768A8"/>
    <w:rsid w:val="6D9E3DD6"/>
    <w:rsid w:val="6DA172ED"/>
    <w:rsid w:val="6DBE5DF4"/>
    <w:rsid w:val="6DCA7576"/>
    <w:rsid w:val="6DDC2F5F"/>
    <w:rsid w:val="6DF026B1"/>
    <w:rsid w:val="6DF700C5"/>
    <w:rsid w:val="6E00A729"/>
    <w:rsid w:val="6E0832F3"/>
    <w:rsid w:val="6E315135"/>
    <w:rsid w:val="6E4D8973"/>
    <w:rsid w:val="6E5C069A"/>
    <w:rsid w:val="6E5F8C59"/>
    <w:rsid w:val="6EACA07C"/>
    <w:rsid w:val="6ED1AD87"/>
    <w:rsid w:val="6EDBD8BD"/>
    <w:rsid w:val="6EE5A079"/>
    <w:rsid w:val="6EEFA3F8"/>
    <w:rsid w:val="6F17CD97"/>
    <w:rsid w:val="6F1816B4"/>
    <w:rsid w:val="6F70A6A4"/>
    <w:rsid w:val="6F782F67"/>
    <w:rsid w:val="6F786EAB"/>
    <w:rsid w:val="6F7A3D22"/>
    <w:rsid w:val="6F81D119"/>
    <w:rsid w:val="6FA19EFE"/>
    <w:rsid w:val="6FB345BA"/>
    <w:rsid w:val="6FC783FD"/>
    <w:rsid w:val="6FE072BA"/>
    <w:rsid w:val="7007DE34"/>
    <w:rsid w:val="702DA4AD"/>
    <w:rsid w:val="702E54E5"/>
    <w:rsid w:val="702F0967"/>
    <w:rsid w:val="7037B955"/>
    <w:rsid w:val="703D13B6"/>
    <w:rsid w:val="705346D3"/>
    <w:rsid w:val="70537B02"/>
    <w:rsid w:val="706540E2"/>
    <w:rsid w:val="7087DEE6"/>
    <w:rsid w:val="70B5429C"/>
    <w:rsid w:val="70D23102"/>
    <w:rsid w:val="70F1A36E"/>
    <w:rsid w:val="70F4A50E"/>
    <w:rsid w:val="710CF11E"/>
    <w:rsid w:val="7113CD3C"/>
    <w:rsid w:val="7145396F"/>
    <w:rsid w:val="7145C3A2"/>
    <w:rsid w:val="7176B4FE"/>
    <w:rsid w:val="71C62AB8"/>
    <w:rsid w:val="71D041E0"/>
    <w:rsid w:val="7200444F"/>
    <w:rsid w:val="721193FC"/>
    <w:rsid w:val="7231118A"/>
    <w:rsid w:val="723A0270"/>
    <w:rsid w:val="724025B4"/>
    <w:rsid w:val="72489DF4"/>
    <w:rsid w:val="72503781"/>
    <w:rsid w:val="72622E64"/>
    <w:rsid w:val="726DAEAE"/>
    <w:rsid w:val="727BE8F3"/>
    <w:rsid w:val="728B0871"/>
    <w:rsid w:val="72916E71"/>
    <w:rsid w:val="72AD6034"/>
    <w:rsid w:val="72B009FB"/>
    <w:rsid w:val="72BF2F16"/>
    <w:rsid w:val="72C5AA9E"/>
    <w:rsid w:val="72D3C5CB"/>
    <w:rsid w:val="7307D88A"/>
    <w:rsid w:val="731FA119"/>
    <w:rsid w:val="7329B9FE"/>
    <w:rsid w:val="7333BCB0"/>
    <w:rsid w:val="73390659"/>
    <w:rsid w:val="734FA9BE"/>
    <w:rsid w:val="7351D193"/>
    <w:rsid w:val="7354E62E"/>
    <w:rsid w:val="73845E0D"/>
    <w:rsid w:val="738C9D2F"/>
    <w:rsid w:val="73924817"/>
    <w:rsid w:val="73BAAEE8"/>
    <w:rsid w:val="73C09BEB"/>
    <w:rsid w:val="73DC1491"/>
    <w:rsid w:val="73F54BD9"/>
    <w:rsid w:val="740A90E3"/>
    <w:rsid w:val="745EE392"/>
    <w:rsid w:val="746E4501"/>
    <w:rsid w:val="748221A2"/>
    <w:rsid w:val="74A84E7F"/>
    <w:rsid w:val="74B199A0"/>
    <w:rsid w:val="74C52397"/>
    <w:rsid w:val="74C7411C"/>
    <w:rsid w:val="74E0EFD7"/>
    <w:rsid w:val="74F72884"/>
    <w:rsid w:val="74FD2177"/>
    <w:rsid w:val="750644B4"/>
    <w:rsid w:val="7516C3C2"/>
    <w:rsid w:val="7518314B"/>
    <w:rsid w:val="752B0ED1"/>
    <w:rsid w:val="7532C082"/>
    <w:rsid w:val="7559B5B3"/>
    <w:rsid w:val="755AE505"/>
    <w:rsid w:val="756EB6F6"/>
    <w:rsid w:val="757A0F4B"/>
    <w:rsid w:val="7587ADD7"/>
    <w:rsid w:val="758CABD3"/>
    <w:rsid w:val="75910CB9"/>
    <w:rsid w:val="75A0AA45"/>
    <w:rsid w:val="75CCE712"/>
    <w:rsid w:val="75D699E1"/>
    <w:rsid w:val="75DDF41F"/>
    <w:rsid w:val="75E079EE"/>
    <w:rsid w:val="75EE3953"/>
    <w:rsid w:val="75F47EDF"/>
    <w:rsid w:val="7610F4DE"/>
    <w:rsid w:val="762700CF"/>
    <w:rsid w:val="7654C64F"/>
    <w:rsid w:val="765A0F89"/>
    <w:rsid w:val="766A6E6A"/>
    <w:rsid w:val="7677BB78"/>
    <w:rsid w:val="7699C83B"/>
    <w:rsid w:val="76A37FED"/>
    <w:rsid w:val="76B9615B"/>
    <w:rsid w:val="76EAD8A9"/>
    <w:rsid w:val="76F1AF5A"/>
    <w:rsid w:val="771E61F0"/>
    <w:rsid w:val="7735AFFB"/>
    <w:rsid w:val="773EF843"/>
    <w:rsid w:val="7740B1D5"/>
    <w:rsid w:val="774B9B76"/>
    <w:rsid w:val="776CA2C9"/>
    <w:rsid w:val="7773EFE5"/>
    <w:rsid w:val="778BF8E7"/>
    <w:rsid w:val="779548D9"/>
    <w:rsid w:val="779A229E"/>
    <w:rsid w:val="77C769DE"/>
    <w:rsid w:val="77C80F7D"/>
    <w:rsid w:val="780CEEC8"/>
    <w:rsid w:val="7813B2BE"/>
    <w:rsid w:val="781D3959"/>
    <w:rsid w:val="781D61A2"/>
    <w:rsid w:val="7822809A"/>
    <w:rsid w:val="7831DB7F"/>
    <w:rsid w:val="7832D19F"/>
    <w:rsid w:val="786A289E"/>
    <w:rsid w:val="786D8F1B"/>
    <w:rsid w:val="7873526B"/>
    <w:rsid w:val="78D0FD6A"/>
    <w:rsid w:val="78D41713"/>
    <w:rsid w:val="78FCD306"/>
    <w:rsid w:val="790A58F9"/>
    <w:rsid w:val="790CE9B4"/>
    <w:rsid w:val="79268F0E"/>
    <w:rsid w:val="79604833"/>
    <w:rsid w:val="796C9C6C"/>
    <w:rsid w:val="7994DCD8"/>
    <w:rsid w:val="79C3D584"/>
    <w:rsid w:val="79C4CECF"/>
    <w:rsid w:val="79CE2DB1"/>
    <w:rsid w:val="79DE91F4"/>
    <w:rsid w:val="79FD3ED4"/>
    <w:rsid w:val="7A085CBF"/>
    <w:rsid w:val="7A0DA271"/>
    <w:rsid w:val="7A2C9527"/>
    <w:rsid w:val="7A2E9E9F"/>
    <w:rsid w:val="7A386E2D"/>
    <w:rsid w:val="7A42308E"/>
    <w:rsid w:val="7A5367B5"/>
    <w:rsid w:val="7A55730A"/>
    <w:rsid w:val="7A6EE425"/>
    <w:rsid w:val="7A90FB87"/>
    <w:rsid w:val="7A9BBD51"/>
    <w:rsid w:val="7AA3C84C"/>
    <w:rsid w:val="7AB13787"/>
    <w:rsid w:val="7AB1F600"/>
    <w:rsid w:val="7ABD4197"/>
    <w:rsid w:val="7AD08A5B"/>
    <w:rsid w:val="7ADDDD4F"/>
    <w:rsid w:val="7AEF0139"/>
    <w:rsid w:val="7B08966A"/>
    <w:rsid w:val="7B0E1D92"/>
    <w:rsid w:val="7B2ADD8B"/>
    <w:rsid w:val="7B308CDF"/>
    <w:rsid w:val="7B373B75"/>
    <w:rsid w:val="7B379CCA"/>
    <w:rsid w:val="7B5D02A4"/>
    <w:rsid w:val="7B5D835B"/>
    <w:rsid w:val="7B6E8338"/>
    <w:rsid w:val="7B777A4A"/>
    <w:rsid w:val="7B7F8B21"/>
    <w:rsid w:val="7B864731"/>
    <w:rsid w:val="7BAE6E9A"/>
    <w:rsid w:val="7BE23A41"/>
    <w:rsid w:val="7BEC5CA3"/>
    <w:rsid w:val="7C02FEBF"/>
    <w:rsid w:val="7C2E7D61"/>
    <w:rsid w:val="7C529113"/>
    <w:rsid w:val="7C540729"/>
    <w:rsid w:val="7C56D3F5"/>
    <w:rsid w:val="7C7E97FB"/>
    <w:rsid w:val="7C87C605"/>
    <w:rsid w:val="7C94BFF2"/>
    <w:rsid w:val="7C9BED7E"/>
    <w:rsid w:val="7C9D60FC"/>
    <w:rsid w:val="7C9F8883"/>
    <w:rsid w:val="7CA47F4B"/>
    <w:rsid w:val="7CAF423F"/>
    <w:rsid w:val="7CBF07B9"/>
    <w:rsid w:val="7CCDD876"/>
    <w:rsid w:val="7CD910DC"/>
    <w:rsid w:val="7CDC8A52"/>
    <w:rsid w:val="7CE03015"/>
    <w:rsid w:val="7CF2A392"/>
    <w:rsid w:val="7CFD6F4A"/>
    <w:rsid w:val="7D033E77"/>
    <w:rsid w:val="7D10E575"/>
    <w:rsid w:val="7D1FB2C5"/>
    <w:rsid w:val="7D3881BB"/>
    <w:rsid w:val="7D4A22FB"/>
    <w:rsid w:val="7D945895"/>
    <w:rsid w:val="7DA1606C"/>
    <w:rsid w:val="7DAA6EBD"/>
    <w:rsid w:val="7DAF34FE"/>
    <w:rsid w:val="7DC215F6"/>
    <w:rsid w:val="7DC66F62"/>
    <w:rsid w:val="7DF52FD7"/>
    <w:rsid w:val="7E2A3FDF"/>
    <w:rsid w:val="7E49339E"/>
    <w:rsid w:val="7E5B8382"/>
    <w:rsid w:val="7E6C5988"/>
    <w:rsid w:val="7E705580"/>
    <w:rsid w:val="7E779D73"/>
    <w:rsid w:val="7E7C2555"/>
    <w:rsid w:val="7E91FFDC"/>
    <w:rsid w:val="7E97CEB2"/>
    <w:rsid w:val="7EB64AA7"/>
    <w:rsid w:val="7EC0CDB0"/>
    <w:rsid w:val="7EC170ED"/>
    <w:rsid w:val="7EC2DFAF"/>
    <w:rsid w:val="7ECBC4E3"/>
    <w:rsid w:val="7EEEF4FB"/>
    <w:rsid w:val="7F10DDCE"/>
    <w:rsid w:val="7F1FC357"/>
    <w:rsid w:val="7F6C0448"/>
    <w:rsid w:val="7F9170EC"/>
    <w:rsid w:val="7FAED258"/>
    <w:rsid w:val="7FBB1D05"/>
    <w:rsid w:val="7FBB74D9"/>
    <w:rsid w:val="7FC191DB"/>
    <w:rsid w:val="7FE49C68"/>
    <w:rsid w:val="7FE5E25F"/>
    <w:rsid w:val="7FF6F026"/>
    <w:rsid w:val="7FF7EFD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9E05EB5"/>
  <w15:docId w15:val="{6B25EFD7-9F2F-40A3-A2D2-B660E45613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qFormat="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9" w:unhideWhenUsed="1"/>
    <w:lsdException w:name="List Bullet 3" w:semiHidden="1" w:uiPriority="1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Message Header" w:semiHidden="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99" w:unhideWhenUsed="1"/>
    <w:lsdException w:name="Table Columns 2" w:semiHidden="1" w:unhideWhenUsed="1"/>
    <w:lsdException w:name="Table Columns 3" w:semiHidden="1" w:uiPriority="99"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99"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22E97"/>
    <w:pPr>
      <w:keepLines/>
      <w:spacing w:before="120" w:after="120"/>
    </w:pPr>
    <w:rPr>
      <w:rFonts w:asciiTheme="minorHAnsi" w:hAnsiTheme="minorHAnsi"/>
      <w:sz w:val="17"/>
      <w:szCs w:val="24"/>
    </w:rPr>
  </w:style>
  <w:style w:type="paragraph" w:styleId="Heading1">
    <w:name w:val="heading 1"/>
    <w:basedOn w:val="Normal"/>
    <w:next w:val="Normal"/>
    <w:link w:val="Heading1Char"/>
    <w:uiPriority w:val="9"/>
    <w:qFormat/>
    <w:rsid w:val="00911B2C"/>
    <w:pPr>
      <w:keepNext/>
      <w:tabs>
        <w:tab w:val="left" w:pos="5180"/>
      </w:tabs>
      <w:spacing w:line="216" w:lineRule="auto"/>
      <w:outlineLvl w:val="0"/>
    </w:pPr>
    <w:rPr>
      <w:rFonts w:asciiTheme="majorHAnsi" w:hAnsiTheme="majorHAnsi"/>
      <w:color w:val="4C4C4C"/>
      <w:sz w:val="40"/>
      <w:szCs w:val="48"/>
    </w:rPr>
  </w:style>
  <w:style w:type="paragraph" w:styleId="Heading2">
    <w:name w:val="heading 2"/>
    <w:basedOn w:val="Heading1"/>
    <w:next w:val="Normal"/>
    <w:link w:val="Heading2Char"/>
    <w:uiPriority w:val="9"/>
    <w:qFormat/>
    <w:rsid w:val="00911B2C"/>
    <w:pPr>
      <w:outlineLvl w:val="1"/>
    </w:pPr>
    <w:rPr>
      <w:rFonts w:cstheme="minorHAnsi"/>
      <w:color w:val="404040"/>
      <w:sz w:val="24"/>
      <w:szCs w:val="28"/>
    </w:rPr>
  </w:style>
  <w:style w:type="paragraph" w:styleId="Heading3">
    <w:name w:val="heading 3"/>
    <w:basedOn w:val="Heading2"/>
    <w:next w:val="Normal"/>
    <w:link w:val="Heading3Char"/>
    <w:uiPriority w:val="9"/>
    <w:qFormat/>
    <w:rsid w:val="00E47C76"/>
    <w:pPr>
      <w:outlineLvl w:val="2"/>
    </w:pPr>
    <w:rPr>
      <w:rFonts w:cs="Arial"/>
      <w:bCs/>
      <w:color w:val="4F4F4F"/>
      <w:sz w:val="22"/>
      <w:szCs w:val="26"/>
    </w:rPr>
  </w:style>
  <w:style w:type="paragraph" w:styleId="Heading4">
    <w:name w:val="heading 4"/>
    <w:basedOn w:val="Heading3"/>
    <w:next w:val="Normal"/>
    <w:link w:val="Heading4Char"/>
    <w:uiPriority w:val="9"/>
    <w:qFormat/>
    <w:rsid w:val="006941B3"/>
    <w:pPr>
      <w:outlineLvl w:val="3"/>
    </w:pPr>
    <w:rPr>
      <w:bCs w:val="0"/>
      <w:color w:val="4D4D4D"/>
      <w:sz w:val="19"/>
      <w:szCs w:val="20"/>
    </w:rPr>
  </w:style>
  <w:style w:type="paragraph" w:styleId="Heading5">
    <w:name w:val="heading 5"/>
    <w:basedOn w:val="Heading4"/>
    <w:next w:val="Normal"/>
    <w:link w:val="Heading5Char"/>
    <w:uiPriority w:val="9"/>
    <w:qFormat/>
    <w:rsid w:val="00AD2028"/>
    <w:pPr>
      <w:outlineLvl w:val="4"/>
    </w:pPr>
    <w:rPr>
      <w:rFonts w:asciiTheme="minorHAnsi" w:hAnsiTheme="minorHAnsi"/>
      <w:i/>
      <w:sz w:val="18"/>
    </w:rPr>
  </w:style>
  <w:style w:type="paragraph" w:styleId="Heading6">
    <w:name w:val="heading 6"/>
    <w:basedOn w:val="Normal"/>
    <w:next w:val="Normal"/>
    <w:link w:val="Heading6Char"/>
    <w:uiPriority w:val="9"/>
    <w:semiHidden/>
    <w:unhideWhenUsed/>
    <w:qFormat/>
    <w:rsid w:val="00356A13"/>
    <w:pPr>
      <w:keepNext/>
      <w:spacing w:before="200" w:after="0"/>
      <w:outlineLvl w:val="5"/>
    </w:pPr>
    <w:rPr>
      <w:rFonts w:asciiTheme="majorHAnsi" w:eastAsiaTheme="majorEastAsia" w:hAnsiTheme="majorHAnsi" w:cstheme="majorBidi"/>
      <w:i/>
      <w:iCs/>
      <w:color w:val="005C63" w:themeColor="accent1" w:themeShade="7F"/>
    </w:rPr>
  </w:style>
  <w:style w:type="paragraph" w:styleId="Heading7">
    <w:name w:val="heading 7"/>
    <w:basedOn w:val="Normal"/>
    <w:next w:val="Normal"/>
    <w:link w:val="Heading7Char"/>
    <w:semiHidden/>
    <w:unhideWhenUsed/>
    <w:qFormat/>
    <w:rsid w:val="0074752D"/>
    <w:pPr>
      <w:keepNext/>
      <w:spacing w:before="40" w:after="0"/>
      <w:outlineLvl w:val="6"/>
    </w:pPr>
    <w:rPr>
      <w:rFonts w:asciiTheme="majorHAnsi" w:eastAsiaTheme="majorEastAsia" w:hAnsiTheme="majorHAnsi" w:cstheme="majorBidi"/>
      <w:i/>
      <w:iCs/>
      <w:color w:val="005C63" w:themeColor="accent1" w:themeShade="7F"/>
    </w:rPr>
  </w:style>
  <w:style w:type="paragraph" w:styleId="Heading8">
    <w:name w:val="heading 8"/>
    <w:basedOn w:val="Normal"/>
    <w:next w:val="Normal"/>
    <w:link w:val="Heading8Char"/>
    <w:uiPriority w:val="9"/>
    <w:semiHidden/>
    <w:unhideWhenUsed/>
    <w:qFormat/>
    <w:rsid w:val="00C520AB"/>
    <w:pPr>
      <w:keepNext/>
      <w:spacing w:before="200" w:after="0"/>
      <w:outlineLvl w:val="7"/>
    </w:pPr>
    <w:rPr>
      <w:rFonts w:asciiTheme="majorHAnsi" w:eastAsiaTheme="majorEastAsia" w:hAnsiTheme="majorHAnsi" w:cstheme="majorBidi"/>
      <w:color w:val="4B5B79" w:themeColor="text1" w:themeTint="BF"/>
      <w:sz w:val="20"/>
      <w:szCs w:val="20"/>
    </w:rPr>
  </w:style>
  <w:style w:type="paragraph" w:styleId="Heading9">
    <w:name w:val="heading 9"/>
    <w:basedOn w:val="Normal"/>
    <w:next w:val="Normal"/>
    <w:link w:val="Heading9Char"/>
    <w:semiHidden/>
    <w:unhideWhenUsed/>
    <w:qFormat/>
    <w:rsid w:val="0074752D"/>
    <w:pPr>
      <w:keepNext/>
      <w:spacing w:before="40" w:after="0"/>
      <w:outlineLvl w:val="8"/>
    </w:pPr>
    <w:rPr>
      <w:rFonts w:asciiTheme="majorHAnsi" w:eastAsiaTheme="majorEastAsia" w:hAnsiTheme="majorHAnsi" w:cstheme="majorBidi"/>
      <w:i/>
      <w:iCs/>
      <w:color w:val="3B4860"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8160C"/>
    <w:rPr>
      <w:rFonts w:asciiTheme="majorHAnsi" w:hAnsiTheme="majorHAnsi"/>
      <w:color w:val="4C4C4C"/>
      <w:sz w:val="40"/>
      <w:szCs w:val="48"/>
    </w:rPr>
  </w:style>
  <w:style w:type="character" w:customStyle="1" w:styleId="Heading2Char">
    <w:name w:val="Heading 2 Char"/>
    <w:link w:val="Heading2"/>
    <w:uiPriority w:val="9"/>
    <w:locked/>
    <w:rsid w:val="003E13AA"/>
    <w:rPr>
      <w:rFonts w:asciiTheme="majorHAnsi" w:hAnsiTheme="majorHAnsi" w:cstheme="minorHAnsi"/>
      <w:color w:val="404040"/>
      <w:sz w:val="24"/>
      <w:szCs w:val="28"/>
    </w:rPr>
  </w:style>
  <w:style w:type="character" w:customStyle="1" w:styleId="Heading3Char">
    <w:name w:val="Heading 3 Char"/>
    <w:link w:val="Heading3"/>
    <w:uiPriority w:val="9"/>
    <w:locked/>
    <w:rsid w:val="00E47C76"/>
    <w:rPr>
      <w:rFonts w:asciiTheme="majorHAnsi" w:hAnsiTheme="majorHAnsi" w:cs="Arial"/>
      <w:b/>
      <w:bCs/>
      <w:color w:val="4F4F4F"/>
      <w:spacing w:val="2"/>
      <w:sz w:val="22"/>
      <w:szCs w:val="26"/>
    </w:rPr>
  </w:style>
  <w:style w:type="character" w:customStyle="1" w:styleId="Heading4Char">
    <w:name w:val="Heading 4 Char"/>
    <w:basedOn w:val="DefaultParagraphFont"/>
    <w:link w:val="Heading4"/>
    <w:uiPriority w:val="9"/>
    <w:rsid w:val="006941B3"/>
    <w:rPr>
      <w:rFonts w:asciiTheme="minorHAnsi" w:hAnsiTheme="minorHAnsi" w:cs="Arial"/>
      <w:b/>
      <w:color w:val="4D4D4D"/>
      <w:sz w:val="19"/>
    </w:rPr>
  </w:style>
  <w:style w:type="character" w:customStyle="1" w:styleId="Heading5Char">
    <w:name w:val="Heading 5 Char"/>
    <w:basedOn w:val="DefaultParagraphFont"/>
    <w:link w:val="Heading5"/>
    <w:uiPriority w:val="9"/>
    <w:rsid w:val="003E13AA"/>
    <w:rPr>
      <w:rFonts w:asciiTheme="minorHAnsi" w:hAnsiTheme="minorHAnsi" w:cs="Arial"/>
      <w:i/>
      <w:color w:val="4D4D4D"/>
      <w:sz w:val="18"/>
    </w:rPr>
  </w:style>
  <w:style w:type="character" w:customStyle="1" w:styleId="Heading6Char">
    <w:name w:val="Heading 6 Char"/>
    <w:basedOn w:val="DefaultParagraphFont"/>
    <w:link w:val="Heading6"/>
    <w:uiPriority w:val="9"/>
    <w:semiHidden/>
    <w:rsid w:val="00356A13"/>
    <w:rPr>
      <w:rFonts w:asciiTheme="majorHAnsi" w:eastAsiaTheme="majorEastAsia" w:hAnsiTheme="majorHAnsi" w:cstheme="majorBidi"/>
      <w:i/>
      <w:iCs/>
      <w:color w:val="005C63" w:themeColor="accent1" w:themeShade="7F"/>
      <w:sz w:val="17"/>
      <w:szCs w:val="24"/>
    </w:rPr>
  </w:style>
  <w:style w:type="character" w:customStyle="1" w:styleId="Heading8Char">
    <w:name w:val="Heading 8 Char"/>
    <w:basedOn w:val="DefaultParagraphFont"/>
    <w:link w:val="Heading8"/>
    <w:uiPriority w:val="9"/>
    <w:semiHidden/>
    <w:rsid w:val="00C520AB"/>
    <w:rPr>
      <w:rFonts w:asciiTheme="majorHAnsi" w:eastAsiaTheme="majorEastAsia" w:hAnsiTheme="majorHAnsi" w:cstheme="majorBidi"/>
      <w:color w:val="4B5B79" w:themeColor="text1" w:themeTint="BF"/>
      <w:spacing w:val="2"/>
    </w:rPr>
  </w:style>
  <w:style w:type="paragraph" w:customStyle="1" w:styleId="Bullet">
    <w:name w:val="Bullet"/>
    <w:basedOn w:val="Normal"/>
    <w:link w:val="BulletChar"/>
    <w:qFormat/>
    <w:rsid w:val="00FB7385"/>
    <w:pPr>
      <w:numPr>
        <w:numId w:val="87"/>
      </w:numPr>
      <w:spacing w:before="80" w:after="80"/>
    </w:pPr>
  </w:style>
  <w:style w:type="character" w:customStyle="1" w:styleId="BulletChar">
    <w:name w:val="Bullet Char"/>
    <w:link w:val="Bullet"/>
    <w:rsid w:val="00FB7385"/>
    <w:rPr>
      <w:rFonts w:asciiTheme="minorHAnsi" w:hAnsiTheme="minorHAnsi"/>
      <w:sz w:val="17"/>
      <w:szCs w:val="24"/>
    </w:rPr>
  </w:style>
  <w:style w:type="paragraph" w:customStyle="1" w:styleId="Dash">
    <w:name w:val="Dash"/>
    <w:basedOn w:val="Normal"/>
    <w:link w:val="DashChar"/>
    <w:qFormat/>
    <w:rsid w:val="00881AD0"/>
    <w:pPr>
      <w:numPr>
        <w:ilvl w:val="1"/>
        <w:numId w:val="87"/>
      </w:numPr>
      <w:spacing w:before="60" w:after="60"/>
    </w:pPr>
    <w:rPr>
      <w:rFonts w:eastAsia="Aptos" w:cs="Aptos"/>
      <w:color w:val="000000"/>
      <w:szCs w:val="17"/>
    </w:rPr>
  </w:style>
  <w:style w:type="character" w:customStyle="1" w:styleId="DashChar">
    <w:name w:val="Dash Char"/>
    <w:link w:val="Dash"/>
    <w:rsid w:val="00EE7D71"/>
    <w:rPr>
      <w:rFonts w:asciiTheme="minorHAnsi" w:eastAsia="Aptos" w:hAnsiTheme="minorHAnsi" w:cs="Aptos"/>
      <w:color w:val="000000"/>
      <w:sz w:val="17"/>
      <w:szCs w:val="17"/>
    </w:rPr>
  </w:style>
  <w:style w:type="paragraph" w:customStyle="1" w:styleId="Heading1numbered">
    <w:name w:val="Heading 1 numbered"/>
    <w:basedOn w:val="Heading1"/>
    <w:next w:val="Normal"/>
    <w:link w:val="Heading1numberedChar"/>
    <w:qFormat/>
    <w:rsid w:val="00780AE7"/>
    <w:pPr>
      <w:numPr>
        <w:numId w:val="32"/>
      </w:numPr>
      <w:spacing w:after="160"/>
    </w:pPr>
  </w:style>
  <w:style w:type="character" w:customStyle="1" w:styleId="Heading1numberedChar">
    <w:name w:val="Heading 1 numbered Char"/>
    <w:basedOn w:val="Heading1Char"/>
    <w:link w:val="Heading1numbered"/>
    <w:rsid w:val="00780AE7"/>
    <w:rPr>
      <w:rFonts w:asciiTheme="majorHAnsi" w:hAnsiTheme="majorHAnsi"/>
      <w:color w:val="4C4C4C"/>
      <w:sz w:val="40"/>
      <w:szCs w:val="48"/>
    </w:rPr>
  </w:style>
  <w:style w:type="paragraph" w:customStyle="1" w:styleId="Heading2numbered">
    <w:name w:val="Heading 2 numbered"/>
    <w:basedOn w:val="Heading2"/>
    <w:next w:val="Normal"/>
    <w:qFormat/>
    <w:rsid w:val="00994304"/>
    <w:pPr>
      <w:numPr>
        <w:ilvl w:val="1"/>
        <w:numId w:val="32"/>
      </w:numPr>
    </w:pPr>
    <w:rPr>
      <w:sz w:val="20"/>
    </w:rPr>
  </w:style>
  <w:style w:type="paragraph" w:customStyle="1" w:styleId="Heading3numbered">
    <w:name w:val="Heading 3 numbered"/>
    <w:basedOn w:val="Heading3"/>
    <w:next w:val="Normal"/>
    <w:qFormat/>
    <w:rsid w:val="00994304"/>
    <w:pPr>
      <w:numPr>
        <w:ilvl w:val="2"/>
        <w:numId w:val="32"/>
      </w:numPr>
      <w:tabs>
        <w:tab w:val="clear" w:pos="5180"/>
      </w:tabs>
    </w:pPr>
    <w:rPr>
      <w:sz w:val="18"/>
    </w:rPr>
  </w:style>
  <w:style w:type="paragraph" w:styleId="ListNumber">
    <w:name w:val="List Number"/>
    <w:basedOn w:val="Normal"/>
    <w:rsid w:val="00C5028F"/>
    <w:pPr>
      <w:tabs>
        <w:tab w:val="num" w:pos="360"/>
      </w:tabs>
      <w:spacing w:before="20" w:after="60"/>
      <w:ind w:left="720" w:hanging="360"/>
    </w:pPr>
  </w:style>
  <w:style w:type="paragraph" w:customStyle="1" w:styleId="Tabletext">
    <w:name w:val="Table text"/>
    <w:basedOn w:val="Normal"/>
    <w:link w:val="TabletextChar"/>
    <w:uiPriority w:val="5"/>
    <w:qFormat/>
    <w:rsid w:val="009F7F4E"/>
    <w:pPr>
      <w:spacing w:before="30" w:after="30"/>
    </w:pPr>
    <w:rPr>
      <w:color w:val="4D4D4D"/>
      <w:sz w:val="15"/>
    </w:rPr>
  </w:style>
  <w:style w:type="character" w:customStyle="1" w:styleId="TabletextChar">
    <w:name w:val="Table text Char"/>
    <w:link w:val="Tabletext"/>
    <w:uiPriority w:val="5"/>
    <w:rsid w:val="009F7F4E"/>
    <w:rPr>
      <w:rFonts w:asciiTheme="minorHAnsi" w:hAnsiTheme="minorHAnsi"/>
      <w:color w:val="4D4D4D"/>
      <w:sz w:val="15"/>
      <w:szCs w:val="24"/>
    </w:rPr>
  </w:style>
  <w:style w:type="paragraph" w:styleId="Footer">
    <w:name w:val="footer"/>
    <w:basedOn w:val="Normal"/>
    <w:link w:val="FooterChar"/>
    <w:uiPriority w:val="99"/>
    <w:rsid w:val="003E13AA"/>
    <w:pPr>
      <w:tabs>
        <w:tab w:val="center" w:pos="4153"/>
        <w:tab w:val="right" w:pos="8306"/>
      </w:tabs>
      <w:jc w:val="right"/>
    </w:pPr>
    <w:rPr>
      <w:sz w:val="16"/>
      <w:szCs w:val="16"/>
    </w:rPr>
  </w:style>
  <w:style w:type="character" w:customStyle="1" w:styleId="FooterChar">
    <w:name w:val="Footer Char"/>
    <w:basedOn w:val="DefaultParagraphFont"/>
    <w:link w:val="Footer"/>
    <w:uiPriority w:val="99"/>
    <w:rsid w:val="003E13AA"/>
    <w:rPr>
      <w:rFonts w:asciiTheme="minorHAnsi" w:hAnsiTheme="minorHAnsi"/>
      <w:sz w:val="16"/>
      <w:szCs w:val="16"/>
    </w:rPr>
  </w:style>
  <w:style w:type="paragraph" w:customStyle="1" w:styleId="FooterEven">
    <w:name w:val="Footer Even"/>
    <w:basedOn w:val="Footer"/>
    <w:rsid w:val="00E47C76"/>
    <w:pPr>
      <w:jc w:val="left"/>
    </w:pPr>
  </w:style>
  <w:style w:type="paragraph" w:styleId="NormalIndent">
    <w:name w:val="Normal Indent"/>
    <w:basedOn w:val="Normal"/>
    <w:uiPriority w:val="99"/>
    <w:qFormat/>
    <w:rsid w:val="00E47C76"/>
    <w:pPr>
      <w:ind w:left="360"/>
    </w:pPr>
  </w:style>
  <w:style w:type="paragraph" w:customStyle="1" w:styleId="Notes">
    <w:name w:val="Notes"/>
    <w:basedOn w:val="Normal"/>
    <w:link w:val="NotesChar"/>
    <w:qFormat/>
    <w:rsid w:val="00E47C76"/>
    <w:pPr>
      <w:spacing w:before="60" w:after="60"/>
    </w:pPr>
    <w:rPr>
      <w:rFonts w:cs="AGaramondPro-Regular"/>
      <w:color w:val="4A4A4A"/>
      <w:sz w:val="14"/>
      <w:szCs w:val="18"/>
    </w:rPr>
  </w:style>
  <w:style w:type="character" w:customStyle="1" w:styleId="NotesChar">
    <w:name w:val="Notes Char"/>
    <w:link w:val="Notes"/>
    <w:locked/>
    <w:rsid w:val="00C520AB"/>
    <w:rPr>
      <w:rFonts w:asciiTheme="minorHAnsi" w:hAnsiTheme="minorHAnsi" w:cs="AGaramondPro-Regular"/>
      <w:color w:val="4A4A4A"/>
      <w:spacing w:val="2"/>
      <w:sz w:val="14"/>
      <w:szCs w:val="18"/>
    </w:rPr>
  </w:style>
  <w:style w:type="character" w:styleId="PageNumber">
    <w:name w:val="page number"/>
    <w:rsid w:val="000C2DAE"/>
    <w:rPr>
      <w:rFonts w:asciiTheme="majorHAnsi" w:hAnsiTheme="majorHAnsi"/>
      <w:bCs/>
      <w:color w:val="4C4C4C"/>
      <w:sz w:val="28"/>
    </w:rPr>
  </w:style>
  <w:style w:type="paragraph" w:customStyle="1" w:styleId="Spacer">
    <w:name w:val="Spacer"/>
    <w:basedOn w:val="Normal"/>
    <w:qFormat/>
    <w:rsid w:val="00652462"/>
    <w:pPr>
      <w:spacing w:before="0" w:after="0" w:line="120" w:lineRule="atLeast"/>
    </w:pPr>
    <w:rPr>
      <w:rFonts w:cs="Calibri"/>
      <w:sz w:val="11"/>
      <w:szCs w:val="22"/>
    </w:rPr>
  </w:style>
  <w:style w:type="paragraph" w:customStyle="1" w:styleId="Tablebullet">
    <w:name w:val="Table bullet"/>
    <w:basedOn w:val="Tabletext"/>
    <w:uiPriority w:val="6"/>
    <w:qFormat/>
    <w:rsid w:val="005D06CE"/>
    <w:pPr>
      <w:numPr>
        <w:numId w:val="9"/>
      </w:numPr>
      <w:ind w:right="-58"/>
    </w:pPr>
  </w:style>
  <w:style w:type="paragraph" w:customStyle="1" w:styleId="Tabletextcentred">
    <w:name w:val="Table text centred"/>
    <w:basedOn w:val="Tabletext"/>
    <w:qFormat/>
    <w:rsid w:val="00E47C76"/>
    <w:pPr>
      <w:jc w:val="center"/>
    </w:pPr>
  </w:style>
  <w:style w:type="paragraph" w:customStyle="1" w:styleId="Tabletextheadingleft">
    <w:name w:val="Table text heading left"/>
    <w:basedOn w:val="Tabletextcentred"/>
    <w:rsid w:val="002B6ACB"/>
    <w:pPr>
      <w:keepNext/>
      <w:spacing w:before="40" w:after="40"/>
      <w:jc w:val="left"/>
    </w:pPr>
    <w:rPr>
      <w:rFonts w:asciiTheme="majorHAnsi" w:hAnsiTheme="majorHAnsi"/>
      <w:sz w:val="16"/>
    </w:rPr>
  </w:style>
  <w:style w:type="paragraph" w:customStyle="1" w:styleId="Tabletextheadingright">
    <w:name w:val="Table text heading right"/>
    <w:basedOn w:val="Tabletextheadingleft"/>
    <w:qFormat/>
    <w:rsid w:val="004B4007"/>
    <w:pPr>
      <w:jc w:val="right"/>
    </w:pPr>
  </w:style>
  <w:style w:type="paragraph" w:customStyle="1" w:styleId="Tabletextheadingcentred">
    <w:name w:val="Table text heading centred"/>
    <w:basedOn w:val="Tabletextheadingleft"/>
    <w:rsid w:val="001124BC"/>
    <w:pPr>
      <w:jc w:val="center"/>
    </w:pPr>
  </w:style>
  <w:style w:type="paragraph" w:styleId="TOC1">
    <w:name w:val="toc 1"/>
    <w:basedOn w:val="Normal"/>
    <w:next w:val="Normal"/>
    <w:uiPriority w:val="39"/>
    <w:rsid w:val="006A033D"/>
    <w:pPr>
      <w:tabs>
        <w:tab w:val="left" w:pos="360"/>
        <w:tab w:val="right" w:leader="dot" w:pos="8460"/>
      </w:tabs>
      <w:spacing w:before="80" w:after="80"/>
      <w:ind w:right="1512"/>
    </w:pPr>
    <w:rPr>
      <w:rFonts w:asciiTheme="majorHAnsi" w:hAnsiTheme="majorHAnsi"/>
      <w:noProof/>
      <w:color w:val="4C4C4C"/>
      <w:sz w:val="18"/>
      <w:szCs w:val="20"/>
    </w:rPr>
  </w:style>
  <w:style w:type="paragraph" w:styleId="TOC2">
    <w:name w:val="toc 2"/>
    <w:basedOn w:val="TOC1"/>
    <w:next w:val="Normal"/>
    <w:uiPriority w:val="39"/>
    <w:rsid w:val="006A033D"/>
    <w:pPr>
      <w:tabs>
        <w:tab w:val="left" w:pos="1540"/>
      </w:tabs>
      <w:spacing w:before="60" w:after="60"/>
      <w:ind w:left="202"/>
    </w:pPr>
    <w:rPr>
      <w:rFonts w:asciiTheme="minorHAnsi" w:hAnsiTheme="minorHAnsi"/>
      <w:sz w:val="17"/>
    </w:rPr>
  </w:style>
  <w:style w:type="character" w:styleId="Hyperlink">
    <w:name w:val="Hyperlink"/>
    <w:basedOn w:val="DefaultParagraphFont"/>
    <w:uiPriority w:val="99"/>
    <w:rsid w:val="00424A65"/>
    <w:rPr>
      <w:color w:val="505050"/>
      <w:u w:val="single"/>
    </w:rPr>
  </w:style>
  <w:style w:type="paragraph" w:styleId="Header">
    <w:name w:val="header"/>
    <w:basedOn w:val="Normal"/>
    <w:link w:val="HeaderChar"/>
    <w:uiPriority w:val="99"/>
    <w:rsid w:val="00415478"/>
    <w:pPr>
      <w:tabs>
        <w:tab w:val="center" w:pos="4153"/>
        <w:tab w:val="right" w:pos="8306"/>
      </w:tabs>
      <w:ind w:left="-446" w:right="-446"/>
    </w:pPr>
    <w:rPr>
      <w:rFonts w:asciiTheme="majorHAnsi" w:hAnsiTheme="majorHAnsi"/>
      <w:sz w:val="18"/>
    </w:rPr>
  </w:style>
  <w:style w:type="character" w:customStyle="1" w:styleId="HeaderChar">
    <w:name w:val="Header Char"/>
    <w:basedOn w:val="DefaultParagraphFont"/>
    <w:link w:val="Header"/>
    <w:uiPriority w:val="99"/>
    <w:rsid w:val="00415478"/>
    <w:rPr>
      <w:rFonts w:asciiTheme="majorHAnsi" w:hAnsiTheme="majorHAnsi"/>
      <w:sz w:val="18"/>
      <w:szCs w:val="24"/>
    </w:rPr>
  </w:style>
  <w:style w:type="paragraph" w:customStyle="1" w:styleId="PageNumberLeft">
    <w:name w:val="Page Number Left"/>
    <w:basedOn w:val="Normal"/>
    <w:rsid w:val="00E47C76"/>
    <w:pPr>
      <w:tabs>
        <w:tab w:val="center" w:pos="4153"/>
        <w:tab w:val="right" w:pos="8306"/>
      </w:tabs>
    </w:pPr>
    <w:rPr>
      <w:rFonts w:ascii="Calibri" w:hAnsi="Calibri"/>
      <w:sz w:val="16"/>
      <w:szCs w:val="16"/>
    </w:rPr>
  </w:style>
  <w:style w:type="paragraph" w:customStyle="1" w:styleId="TargetMet">
    <w:name w:val="TargetMet"/>
    <w:basedOn w:val="Normal"/>
    <w:qFormat/>
    <w:rsid w:val="00E47C76"/>
    <w:pPr>
      <w:numPr>
        <w:numId w:val="10"/>
      </w:numPr>
      <w:spacing w:before="30" w:after="30"/>
      <w:jc w:val="right"/>
    </w:pPr>
    <w:rPr>
      <w:color w:val="4D4D4D"/>
      <w:sz w:val="16"/>
    </w:rPr>
  </w:style>
  <w:style w:type="paragraph" w:customStyle="1" w:styleId="TargetNotMet5">
    <w:name w:val="TargetNotMet&lt;5"/>
    <w:basedOn w:val="Normal"/>
    <w:qFormat/>
    <w:rsid w:val="00E47C76"/>
    <w:pPr>
      <w:numPr>
        <w:ilvl w:val="1"/>
        <w:numId w:val="10"/>
      </w:numPr>
      <w:spacing w:before="30" w:after="30"/>
      <w:jc w:val="right"/>
    </w:pPr>
    <w:rPr>
      <w:color w:val="4D4D4D"/>
      <w:sz w:val="16"/>
    </w:rPr>
  </w:style>
  <w:style w:type="paragraph" w:customStyle="1" w:styleId="TargetNotMet50">
    <w:name w:val="TargetNotMet&gt;5"/>
    <w:basedOn w:val="Normal"/>
    <w:qFormat/>
    <w:rsid w:val="00E47C76"/>
    <w:pPr>
      <w:numPr>
        <w:ilvl w:val="2"/>
        <w:numId w:val="10"/>
      </w:numPr>
      <w:spacing w:before="30" w:after="30"/>
      <w:jc w:val="right"/>
    </w:pPr>
    <w:rPr>
      <w:color w:val="4D4D4D"/>
      <w:sz w:val="16"/>
    </w:rPr>
  </w:style>
  <w:style w:type="table" w:styleId="TableColumns3">
    <w:name w:val="Table Columns 3"/>
    <w:basedOn w:val="TableNormal"/>
    <w:uiPriority w:val="99"/>
    <w:rsid w:val="00E47C76"/>
    <w:pPr>
      <w:spacing w:before="100" w:after="100" w:line="264"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AnnualReporttexttable">
    <w:name w:val="Annual Report text table"/>
    <w:basedOn w:val="TableNormal"/>
    <w:uiPriority w:val="99"/>
    <w:rsid w:val="00745B5D"/>
    <w:pPr>
      <w:spacing w:before="30" w:after="30"/>
    </w:pPr>
    <w:rPr>
      <w:rFonts w:asciiTheme="minorHAnsi" w:hAnsiTheme="minorHAnsi"/>
      <w:color w:val="4D4D4D"/>
      <w:sz w:val="16"/>
    </w:rPr>
    <w:tblPr>
      <w:tblStyleColBandSize w:val="1"/>
    </w:tblPr>
    <w:trPr>
      <w:cantSplit/>
    </w:trPr>
    <w:tcPr>
      <w:shd w:val="clear" w:color="auto" w:fill="FFFFFF" w:themeFill="background1"/>
    </w:tcPr>
    <w:tblStylePr w:type="firstRow">
      <w:pPr>
        <w:jc w:val="right"/>
      </w:pPr>
      <w:rPr>
        <w:b/>
        <w:color w:val="4D4D4D"/>
        <w:sz w:val="16"/>
      </w:rPr>
    </w:tblStylePr>
    <w:tblStylePr w:type="firstCol">
      <w:pPr>
        <w:jc w:val="left"/>
      </w:pPr>
    </w:tblStylePr>
    <w:tblStylePr w:type="band1Vert">
      <w:tblPr/>
      <w:tcPr>
        <w:shd w:val="clear" w:color="auto" w:fill="E0E0E0"/>
      </w:tcPr>
    </w:tblStylePr>
    <w:tblStylePr w:type="band2Vert">
      <w:rPr>
        <w:color w:val="auto"/>
      </w:rPr>
    </w:tblStylePr>
  </w:style>
  <w:style w:type="table" w:customStyle="1" w:styleId="AnnualReportfinancialtable">
    <w:name w:val="Annual Report financial table"/>
    <w:basedOn w:val="TableNormal"/>
    <w:uiPriority w:val="99"/>
    <w:rsid w:val="00571746"/>
    <w:pPr>
      <w:spacing w:before="30" w:after="30"/>
      <w:jc w:val="right"/>
    </w:pPr>
    <w:rPr>
      <w:rFonts w:asciiTheme="minorHAnsi" w:hAnsiTheme="minorHAnsi"/>
      <w:color w:val="4D4D4D"/>
      <w:sz w:val="16"/>
    </w:rPr>
    <w:tblPr>
      <w:tblStyleRowBandSize w:val="1"/>
      <w:tblStyleColBandSize w:val="1"/>
      <w:tblCellMar>
        <w:left w:w="86" w:type="dxa"/>
        <w:right w:w="86" w:type="dxa"/>
      </w:tblCellMar>
    </w:tblPr>
    <w:trPr>
      <w:cantSplit/>
    </w:trPr>
    <w:tblStylePr w:type="firstRow">
      <w:rPr>
        <w:b w:val="0"/>
      </w:rPr>
      <w:tblPr/>
      <w:tcPr>
        <w:shd w:val="clear" w:color="auto" w:fill="FFFFFF" w:themeFill="background1"/>
      </w:tcPr>
    </w:tblStylePr>
    <w:tblStylePr w:type="firstCol">
      <w:pPr>
        <w:wordWrap/>
        <w:jc w:val="left"/>
      </w:pPr>
    </w:tblStylePr>
    <w:tblStylePr w:type="band1Vert">
      <w:tblPr/>
      <w:tcPr>
        <w:shd w:val="clear" w:color="auto" w:fill="E0E0E0"/>
      </w:tcPr>
    </w:tblStylePr>
    <w:tblStylePr w:type="band2Vert">
      <w:rPr>
        <w:color w:val="auto"/>
      </w:rPr>
      <w:tblPr/>
      <w:tcPr>
        <w:shd w:val="clear" w:color="auto" w:fill="FFFFFF" w:themeFill="background1"/>
      </w:tcPr>
    </w:tblStylePr>
  </w:style>
  <w:style w:type="paragraph" w:customStyle="1" w:styleId="Heading1a">
    <w:name w:val="Heading 1a"/>
    <w:basedOn w:val="Heading1"/>
    <w:qFormat/>
    <w:rsid w:val="00091556"/>
  </w:style>
  <w:style w:type="paragraph" w:customStyle="1" w:styleId="Tabletextrightbold">
    <w:name w:val="Table text right bold"/>
    <w:basedOn w:val="Tabletextright"/>
    <w:qFormat/>
    <w:rsid w:val="00D345F1"/>
    <w:rPr>
      <w:rFonts w:asciiTheme="majorHAnsi" w:hAnsiTheme="majorHAnsi"/>
      <w:bCs/>
      <w:szCs w:val="19"/>
    </w:rPr>
  </w:style>
  <w:style w:type="paragraph" w:customStyle="1" w:styleId="Tabletextright">
    <w:name w:val="Table text right"/>
    <w:basedOn w:val="Tabletext"/>
    <w:link w:val="TabletextrightChar"/>
    <w:qFormat/>
    <w:rsid w:val="00B03F4D"/>
    <w:pPr>
      <w:jc w:val="right"/>
    </w:pPr>
    <w:rPr>
      <w:szCs w:val="18"/>
    </w:rPr>
  </w:style>
  <w:style w:type="character" w:customStyle="1" w:styleId="TabletextrightChar">
    <w:name w:val="Table text right Char"/>
    <w:link w:val="Tabletextright"/>
    <w:rsid w:val="00AC5DD0"/>
    <w:rPr>
      <w:rFonts w:asciiTheme="minorHAnsi" w:hAnsiTheme="minorHAnsi"/>
      <w:color w:val="4D4D4D"/>
      <w:sz w:val="15"/>
      <w:szCs w:val="18"/>
    </w:rPr>
  </w:style>
  <w:style w:type="paragraph" w:customStyle="1" w:styleId="Tableheading">
    <w:name w:val="Table heading"/>
    <w:basedOn w:val="Normal"/>
    <w:link w:val="TableheadingChar"/>
    <w:qFormat/>
    <w:rsid w:val="00B27AFB"/>
    <w:pPr>
      <w:keepNext/>
      <w:tabs>
        <w:tab w:val="right" w:pos="9605"/>
      </w:tabs>
      <w:spacing w:before="30" w:after="30" w:line="264" w:lineRule="auto"/>
    </w:pPr>
    <w:rPr>
      <w:rFonts w:asciiTheme="majorHAnsi" w:hAnsiTheme="majorHAnsi"/>
      <w:color w:val="4D4D4D"/>
    </w:rPr>
  </w:style>
  <w:style w:type="character" w:customStyle="1" w:styleId="TableheadingChar">
    <w:name w:val="Table heading Char"/>
    <w:link w:val="Tableheading"/>
    <w:rsid w:val="00405E15"/>
    <w:rPr>
      <w:rFonts w:asciiTheme="majorHAnsi" w:hAnsiTheme="majorHAnsi"/>
      <w:color w:val="4D4D4D"/>
      <w:sz w:val="17"/>
      <w:szCs w:val="24"/>
    </w:rPr>
  </w:style>
  <w:style w:type="table" w:styleId="TableGrid">
    <w:name w:val="Table Grid"/>
    <w:basedOn w:val="TableNormal"/>
    <w:rsid w:val="00910916"/>
    <w:pPr>
      <w:spacing w:before="30" w:after="30"/>
      <w:jc w:val="right"/>
    </w:pPr>
    <w:rPr>
      <w:rFonts w:asciiTheme="minorHAnsi" w:hAnsiTheme="minorHAnsi"/>
      <w:color w:val="4D4D4D"/>
      <w:sz w:val="16"/>
    </w:rPr>
    <w:tblPr>
      <w:tblStyleRowBandSize w:val="1"/>
      <w:tblStyleColBandSize w:val="1"/>
      <w:tblCellMar>
        <w:left w:w="86" w:type="dxa"/>
        <w:right w:w="86" w:type="dxa"/>
      </w:tblCellMar>
    </w:tblPr>
    <w:tblStylePr w:type="firstCol">
      <w:pPr>
        <w:jc w:val="left"/>
      </w:pPr>
    </w:tblStylePr>
    <w:tblStylePr w:type="band1Vert">
      <w:tblPr/>
      <w:tcPr>
        <w:shd w:val="clear" w:color="auto" w:fill="E0E0E0"/>
      </w:tcPr>
    </w:tblStylePr>
    <w:tblStylePr w:type="band2Vert">
      <w:rPr>
        <w:color w:val="auto"/>
      </w:rPr>
      <w:tblPr/>
      <w:tcPr>
        <w:shd w:val="clear" w:color="auto" w:fill="FFFFFF" w:themeFill="background1"/>
      </w:tcPr>
    </w:tblStylePr>
  </w:style>
  <w:style w:type="paragraph" w:customStyle="1" w:styleId="Tabletextbold">
    <w:name w:val="Table text bold"/>
    <w:basedOn w:val="Tabletext"/>
    <w:qFormat/>
    <w:rsid w:val="00060B14"/>
    <w:rPr>
      <w:rFonts w:asciiTheme="majorHAnsi" w:hAnsiTheme="majorHAnsi"/>
    </w:rPr>
  </w:style>
  <w:style w:type="paragraph" w:styleId="TOC3">
    <w:name w:val="toc 3"/>
    <w:basedOn w:val="TOC5"/>
    <w:next w:val="Normal"/>
    <w:uiPriority w:val="39"/>
    <w:rsid w:val="00270E3E"/>
    <w:pPr>
      <w:tabs>
        <w:tab w:val="clear" w:pos="4410"/>
      </w:tabs>
      <w:ind w:left="1260" w:right="1771" w:hanging="454"/>
    </w:pPr>
  </w:style>
  <w:style w:type="paragraph" w:styleId="TOC5">
    <w:name w:val="toc 5"/>
    <w:basedOn w:val="TOC4"/>
    <w:next w:val="Normal"/>
    <w:uiPriority w:val="39"/>
    <w:rsid w:val="00270E3E"/>
    <w:pPr>
      <w:numPr>
        <w:numId w:val="0"/>
      </w:numPr>
      <w:tabs>
        <w:tab w:val="right" w:pos="4410"/>
      </w:tabs>
      <w:ind w:left="720" w:right="392" w:hanging="360"/>
    </w:pPr>
    <w:rPr>
      <w:noProof w:val="0"/>
    </w:rPr>
  </w:style>
  <w:style w:type="paragraph" w:styleId="TOC4">
    <w:name w:val="toc 4"/>
    <w:next w:val="Normal"/>
    <w:uiPriority w:val="39"/>
    <w:rsid w:val="0026701E"/>
    <w:pPr>
      <w:numPr>
        <w:numId w:val="12"/>
      </w:numPr>
      <w:tabs>
        <w:tab w:val="right" w:pos="8460"/>
      </w:tabs>
      <w:spacing w:before="20" w:after="20"/>
      <w:ind w:right="1512"/>
      <w:contextualSpacing/>
    </w:pPr>
    <w:rPr>
      <w:rFonts w:asciiTheme="minorHAnsi" w:eastAsiaTheme="minorEastAsia" w:hAnsiTheme="minorHAnsi" w:cstheme="minorBidi"/>
      <w:noProof/>
      <w:color w:val="4D4D4D"/>
      <w:sz w:val="16"/>
      <w:szCs w:val="22"/>
    </w:rPr>
  </w:style>
  <w:style w:type="paragraph" w:customStyle="1" w:styleId="Heading1App">
    <w:name w:val="Heading 1 App"/>
    <w:basedOn w:val="Heading1a"/>
    <w:qFormat/>
    <w:rsid w:val="00C8160C"/>
    <w:pPr>
      <w:tabs>
        <w:tab w:val="clear" w:pos="5180"/>
        <w:tab w:val="left" w:pos="2430"/>
      </w:tabs>
      <w:spacing w:before="100" w:after="160"/>
    </w:pPr>
    <w:rPr>
      <w:rFonts w:cstheme="minorHAnsi"/>
    </w:rPr>
  </w:style>
  <w:style w:type="paragraph" w:styleId="ListParagraph">
    <w:name w:val="List Paragraph"/>
    <w:basedOn w:val="Normal"/>
    <w:uiPriority w:val="34"/>
    <w:qFormat/>
    <w:rsid w:val="00BA2B4A"/>
    <w:pPr>
      <w:ind w:left="720"/>
      <w:contextualSpacing/>
    </w:pPr>
  </w:style>
  <w:style w:type="paragraph" w:customStyle="1" w:styleId="NoteDash">
    <w:name w:val="Note Dash"/>
    <w:basedOn w:val="Normal"/>
    <w:next w:val="Normal"/>
    <w:uiPriority w:val="53"/>
    <w:rsid w:val="00DB7B0F"/>
    <w:pPr>
      <w:spacing w:before="20"/>
      <w:ind w:left="568" w:hanging="284"/>
      <w:contextualSpacing/>
    </w:pPr>
    <w:rPr>
      <w:i/>
      <w:spacing w:val="-2"/>
      <w:sz w:val="14"/>
      <w:szCs w:val="20"/>
      <w:lang w:eastAsia="en-US"/>
    </w:rPr>
  </w:style>
  <w:style w:type="paragraph" w:customStyle="1" w:styleId="Tabletextnotes">
    <w:name w:val="Table text notes"/>
    <w:basedOn w:val="Tabletext"/>
    <w:qFormat/>
    <w:rsid w:val="00160927"/>
    <w:pPr>
      <w:spacing w:after="60"/>
      <w:ind w:left="144"/>
    </w:pPr>
    <w:rPr>
      <w:sz w:val="13"/>
    </w:rPr>
  </w:style>
  <w:style w:type="paragraph" w:styleId="FootnoteText">
    <w:name w:val="footnote text"/>
    <w:basedOn w:val="Normal"/>
    <w:link w:val="FootnoteTextChar"/>
    <w:uiPriority w:val="99"/>
    <w:rsid w:val="0007179B"/>
    <w:pPr>
      <w:spacing w:before="0" w:after="0"/>
    </w:pPr>
    <w:rPr>
      <w:szCs w:val="20"/>
    </w:rPr>
  </w:style>
  <w:style w:type="character" w:customStyle="1" w:styleId="FootnoteTextChar">
    <w:name w:val="Footnote Text Char"/>
    <w:basedOn w:val="DefaultParagraphFont"/>
    <w:link w:val="FootnoteText"/>
    <w:uiPriority w:val="99"/>
    <w:rsid w:val="0007179B"/>
    <w:rPr>
      <w:rFonts w:asciiTheme="minorHAnsi" w:hAnsiTheme="minorHAnsi"/>
      <w:spacing w:val="2"/>
      <w:sz w:val="17"/>
    </w:rPr>
  </w:style>
  <w:style w:type="character" w:styleId="FootnoteReference">
    <w:name w:val="footnote reference"/>
    <w:basedOn w:val="DefaultParagraphFont"/>
    <w:uiPriority w:val="99"/>
    <w:rsid w:val="0007179B"/>
    <w:rPr>
      <w:vertAlign w:val="superscript"/>
    </w:rPr>
  </w:style>
  <w:style w:type="character" w:styleId="PlaceholderText">
    <w:name w:val="Placeholder Text"/>
    <w:basedOn w:val="DefaultParagraphFont"/>
    <w:uiPriority w:val="99"/>
    <w:semiHidden/>
    <w:rsid w:val="00F53657"/>
    <w:rPr>
      <w:color w:val="808080"/>
    </w:rPr>
  </w:style>
  <w:style w:type="paragraph" w:customStyle="1" w:styleId="Normalhanging">
    <w:name w:val="Normal hanging"/>
    <w:basedOn w:val="Normal"/>
    <w:qFormat/>
    <w:rsid w:val="0053584A"/>
    <w:pPr>
      <w:ind w:left="360" w:hanging="360"/>
    </w:pPr>
    <w:rPr>
      <w:color w:val="000000"/>
    </w:rPr>
  </w:style>
  <w:style w:type="paragraph" w:customStyle="1" w:styleId="Tabletexthanging">
    <w:name w:val="Table text hanging"/>
    <w:basedOn w:val="Tabletext"/>
    <w:qFormat/>
    <w:rsid w:val="00C520AB"/>
    <w:pPr>
      <w:ind w:left="630" w:hanging="270"/>
    </w:pPr>
  </w:style>
  <w:style w:type="paragraph" w:customStyle="1" w:styleId="Tabletextindent">
    <w:name w:val="Table text indent"/>
    <w:basedOn w:val="Tabletext"/>
    <w:qFormat/>
    <w:rsid w:val="000936F0"/>
    <w:pPr>
      <w:ind w:left="216"/>
    </w:pPr>
  </w:style>
  <w:style w:type="paragraph" w:styleId="TOC9">
    <w:name w:val="toc 9"/>
    <w:basedOn w:val="Normal"/>
    <w:next w:val="Normal"/>
    <w:autoRedefine/>
    <w:uiPriority w:val="39"/>
    <w:rsid w:val="00FE4BB0"/>
    <w:pPr>
      <w:spacing w:after="100"/>
      <w:ind w:left="1360"/>
    </w:pPr>
  </w:style>
  <w:style w:type="paragraph" w:styleId="BalloonText">
    <w:name w:val="Balloon Text"/>
    <w:basedOn w:val="Normal"/>
    <w:link w:val="BalloonTextChar"/>
    <w:uiPriority w:val="99"/>
    <w:semiHidden/>
    <w:unhideWhenUsed/>
    <w:rsid w:val="00994304"/>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94304"/>
    <w:rPr>
      <w:rFonts w:ascii="Segoe UI" w:hAnsi="Segoe UI" w:cs="Segoe UI"/>
      <w:sz w:val="18"/>
      <w:szCs w:val="18"/>
    </w:rPr>
  </w:style>
  <w:style w:type="paragraph" w:customStyle="1" w:styleId="Tableheader">
    <w:name w:val="Table header"/>
    <w:basedOn w:val="Tabletext"/>
    <w:qFormat/>
    <w:rsid w:val="002D7D81"/>
    <w:pPr>
      <w:jc w:val="right"/>
    </w:pPr>
  </w:style>
  <w:style w:type="paragraph" w:customStyle="1" w:styleId="Heading1b">
    <w:name w:val="Heading 1b"/>
    <w:basedOn w:val="Heading1App"/>
    <w:qFormat/>
    <w:rsid w:val="005753BE"/>
    <w:rPr>
      <w:sz w:val="30"/>
    </w:rPr>
  </w:style>
  <w:style w:type="paragraph" w:styleId="TOC6">
    <w:name w:val="toc 6"/>
    <w:basedOn w:val="Normal"/>
    <w:next w:val="Normal"/>
    <w:autoRedefine/>
    <w:uiPriority w:val="39"/>
    <w:rsid w:val="00B249EB"/>
    <w:pPr>
      <w:spacing w:before="0" w:after="100" w:line="276" w:lineRule="auto"/>
      <w:ind w:left="1100"/>
    </w:pPr>
    <w:rPr>
      <w:rFonts w:eastAsiaTheme="minorEastAsia" w:cstheme="minorBidi"/>
      <w:sz w:val="22"/>
      <w:szCs w:val="22"/>
    </w:rPr>
  </w:style>
  <w:style w:type="paragraph" w:styleId="TOC7">
    <w:name w:val="toc 7"/>
    <w:basedOn w:val="Normal"/>
    <w:next w:val="Normal"/>
    <w:autoRedefine/>
    <w:uiPriority w:val="39"/>
    <w:rsid w:val="00B249EB"/>
    <w:pPr>
      <w:spacing w:before="0" w:after="100" w:line="276" w:lineRule="auto"/>
      <w:ind w:left="1320"/>
    </w:pPr>
    <w:rPr>
      <w:rFonts w:eastAsiaTheme="minorEastAsia" w:cstheme="minorBidi"/>
      <w:sz w:val="22"/>
      <w:szCs w:val="22"/>
    </w:rPr>
  </w:style>
  <w:style w:type="paragraph" w:styleId="TOC8">
    <w:name w:val="toc 8"/>
    <w:basedOn w:val="Normal"/>
    <w:next w:val="Normal"/>
    <w:autoRedefine/>
    <w:uiPriority w:val="39"/>
    <w:rsid w:val="00B249EB"/>
    <w:pPr>
      <w:spacing w:before="0" w:after="100" w:line="276" w:lineRule="auto"/>
      <w:ind w:left="1540"/>
    </w:pPr>
    <w:rPr>
      <w:rFonts w:eastAsiaTheme="minorEastAsia" w:cstheme="minorBidi"/>
      <w:sz w:val="22"/>
      <w:szCs w:val="22"/>
    </w:rPr>
  </w:style>
  <w:style w:type="paragraph" w:customStyle="1" w:styleId="HeadingFin">
    <w:name w:val="Heading Fin"/>
    <w:basedOn w:val="Heading1a"/>
    <w:qFormat/>
    <w:rsid w:val="00F25321"/>
  </w:style>
  <w:style w:type="paragraph" w:customStyle="1" w:styleId="Tabletextmeasure">
    <w:name w:val="Table text measure"/>
    <w:basedOn w:val="Tabletext"/>
    <w:qFormat/>
    <w:rsid w:val="008A4252"/>
    <w:pPr>
      <w:keepNext/>
      <w:spacing w:before="60"/>
    </w:pPr>
    <w:rPr>
      <w:b/>
      <w:sz w:val="16"/>
    </w:rPr>
  </w:style>
  <w:style w:type="table" w:styleId="TableColumns1">
    <w:name w:val="Table Columns 1"/>
    <w:basedOn w:val="TableNormal"/>
    <w:uiPriority w:val="99"/>
    <w:rsid w:val="00C4305B"/>
    <w:pPr>
      <w:spacing w:before="120"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heading">
    <w:name w:val="Table text heading"/>
    <w:basedOn w:val="Tabletextright"/>
    <w:qFormat/>
    <w:rsid w:val="00E62C0A"/>
    <w:rPr>
      <w:rFonts w:asciiTheme="majorHAnsi" w:hAnsiTheme="majorHAnsi"/>
    </w:rPr>
  </w:style>
  <w:style w:type="paragraph" w:customStyle="1" w:styleId="Normalbold">
    <w:name w:val="Normal bold"/>
    <w:basedOn w:val="Normal"/>
    <w:qFormat/>
    <w:rsid w:val="00B27AFB"/>
    <w:pPr>
      <w:keepNext/>
      <w:spacing w:before="240"/>
    </w:pPr>
    <w:rPr>
      <w:rFonts w:asciiTheme="majorHAnsi" w:hAnsiTheme="majorHAnsi"/>
    </w:rPr>
  </w:style>
  <w:style w:type="paragraph" w:styleId="BodyTextIndent2">
    <w:name w:val="Body Text Indent 2"/>
    <w:basedOn w:val="Normal"/>
    <w:link w:val="BodyTextIndent2Char"/>
    <w:uiPriority w:val="99"/>
    <w:semiHidden/>
    <w:unhideWhenUsed/>
    <w:rsid w:val="00174AEA"/>
    <w:pPr>
      <w:spacing w:line="480" w:lineRule="auto"/>
      <w:ind w:left="283"/>
    </w:pPr>
  </w:style>
  <w:style w:type="character" w:customStyle="1" w:styleId="BodyTextIndent2Char">
    <w:name w:val="Body Text Indent 2 Char"/>
    <w:basedOn w:val="DefaultParagraphFont"/>
    <w:link w:val="BodyTextIndent2"/>
    <w:uiPriority w:val="99"/>
    <w:semiHidden/>
    <w:rsid w:val="00174AEA"/>
    <w:rPr>
      <w:rFonts w:asciiTheme="minorHAnsi" w:hAnsiTheme="minorHAnsi"/>
      <w:sz w:val="17"/>
      <w:szCs w:val="24"/>
    </w:rPr>
  </w:style>
  <w:style w:type="paragraph" w:customStyle="1" w:styleId="Tabledash">
    <w:name w:val="Table dash"/>
    <w:basedOn w:val="Tablebullet"/>
    <w:uiPriority w:val="6"/>
    <w:rsid w:val="00201EDE"/>
    <w:pPr>
      <w:numPr>
        <w:numId w:val="88"/>
      </w:numPr>
      <w:spacing w:before="15" w:after="15" w:line="264" w:lineRule="auto"/>
      <w:ind w:right="0"/>
    </w:pPr>
    <w:rPr>
      <w:rFonts w:eastAsiaTheme="minorEastAsia" w:cstheme="minorBidi"/>
      <w:spacing w:val="2"/>
      <w:szCs w:val="20"/>
    </w:rPr>
  </w:style>
  <w:style w:type="paragraph" w:customStyle="1" w:styleId="Tabletextheadingrightbold">
    <w:name w:val="Table text heading right bold"/>
    <w:basedOn w:val="Tabletextheadingright"/>
    <w:qFormat/>
    <w:rsid w:val="00C627AE"/>
  </w:style>
  <w:style w:type="character" w:customStyle="1" w:styleId="CommentTextChar">
    <w:name w:val="Comment Text Char"/>
    <w:basedOn w:val="DefaultParagraphFont"/>
    <w:link w:val="CommentText"/>
    <w:uiPriority w:val="99"/>
    <w:rsid w:val="003D3FF3"/>
    <w:rPr>
      <w:rFonts w:asciiTheme="minorHAnsi" w:eastAsiaTheme="minorHAnsi" w:hAnsiTheme="minorHAnsi" w:cstheme="minorBidi"/>
      <w:lang w:eastAsia="en-US"/>
    </w:rPr>
  </w:style>
  <w:style w:type="paragraph" w:styleId="CommentText">
    <w:name w:val="annotation text"/>
    <w:basedOn w:val="Normal"/>
    <w:link w:val="CommentTextChar"/>
    <w:uiPriority w:val="99"/>
    <w:rsid w:val="003D3FF3"/>
    <w:pPr>
      <w:spacing w:before="0" w:after="160"/>
    </w:pPr>
    <w:rPr>
      <w:rFonts w:eastAsiaTheme="minorHAnsi" w:cstheme="minorBidi"/>
      <w:sz w:val="20"/>
      <w:szCs w:val="20"/>
      <w:lang w:eastAsia="en-US"/>
    </w:rPr>
  </w:style>
  <w:style w:type="character" w:customStyle="1" w:styleId="CommentSubjectChar">
    <w:name w:val="Comment Subject Char"/>
    <w:basedOn w:val="CommentTextChar"/>
    <w:link w:val="CommentSubject"/>
    <w:semiHidden/>
    <w:rsid w:val="003D3FF3"/>
    <w:rPr>
      <w:rFonts w:asciiTheme="minorHAnsi" w:eastAsiaTheme="minorHAnsi" w:hAnsiTheme="minorHAnsi" w:cstheme="minorBidi"/>
      <w:b/>
      <w:bCs/>
      <w:lang w:eastAsia="en-US"/>
    </w:rPr>
  </w:style>
  <w:style w:type="paragraph" w:styleId="CommentSubject">
    <w:name w:val="annotation subject"/>
    <w:basedOn w:val="CommentText"/>
    <w:next w:val="CommentText"/>
    <w:link w:val="CommentSubjectChar"/>
    <w:uiPriority w:val="99"/>
    <w:semiHidden/>
    <w:unhideWhenUsed/>
    <w:rsid w:val="003D3FF3"/>
    <w:pPr>
      <w:spacing w:before="120" w:after="120"/>
    </w:pPr>
    <w:rPr>
      <w:rFonts w:eastAsia="Times New Roman" w:cs="Times New Roman"/>
      <w:b/>
      <w:bCs/>
      <w:lang w:eastAsia="en-AU"/>
    </w:rPr>
  </w:style>
  <w:style w:type="paragraph" w:customStyle="1" w:styleId="Tabletextnotesbullet">
    <w:name w:val="Table text notes bullet"/>
    <w:basedOn w:val="Tabletextnotes"/>
    <w:qFormat/>
    <w:rsid w:val="003D3FF3"/>
    <w:pPr>
      <w:numPr>
        <w:numId w:val="13"/>
      </w:numPr>
    </w:pPr>
  </w:style>
  <w:style w:type="paragraph" w:styleId="BodyText">
    <w:name w:val="Body Text"/>
    <w:basedOn w:val="Normal"/>
    <w:link w:val="BodyTextChar"/>
    <w:uiPriority w:val="99"/>
    <w:semiHidden/>
    <w:unhideWhenUsed/>
    <w:rsid w:val="000C41A3"/>
  </w:style>
  <w:style w:type="character" w:customStyle="1" w:styleId="BodyTextChar">
    <w:name w:val="Body Text Char"/>
    <w:basedOn w:val="DefaultParagraphFont"/>
    <w:link w:val="BodyText"/>
    <w:uiPriority w:val="99"/>
    <w:semiHidden/>
    <w:rsid w:val="000C41A3"/>
    <w:rPr>
      <w:rFonts w:asciiTheme="minorHAnsi" w:hAnsiTheme="minorHAnsi"/>
      <w:sz w:val="17"/>
      <w:szCs w:val="24"/>
    </w:rPr>
  </w:style>
  <w:style w:type="numbering" w:customStyle="1" w:styleId="NumberedHeadings">
    <w:name w:val="Numbered Headings"/>
    <w:uiPriority w:val="99"/>
    <w:rsid w:val="000C41A3"/>
    <w:pPr>
      <w:numPr>
        <w:numId w:val="28"/>
      </w:numPr>
    </w:pPr>
  </w:style>
  <w:style w:type="paragraph" w:customStyle="1" w:styleId="Heading1Fin">
    <w:name w:val="Heading 1 Fin"/>
    <w:basedOn w:val="Heading1"/>
    <w:link w:val="Heading1FinChar"/>
    <w:rsid w:val="00C40915"/>
    <w:pPr>
      <w:numPr>
        <w:ilvl w:val="1"/>
        <w:numId w:val="19"/>
      </w:numPr>
      <w:tabs>
        <w:tab w:val="num" w:pos="926"/>
      </w:tabs>
      <w:spacing w:line="240" w:lineRule="auto"/>
    </w:pPr>
    <w:rPr>
      <w:sz w:val="44"/>
    </w:rPr>
  </w:style>
  <w:style w:type="paragraph" w:customStyle="1" w:styleId="Heading2Notes">
    <w:name w:val="Heading 2 Notes"/>
    <w:basedOn w:val="Heading2"/>
    <w:rsid w:val="00D90070"/>
    <w:pPr>
      <w:spacing w:line="240" w:lineRule="auto"/>
      <w:ind w:left="1080" w:hanging="1080"/>
    </w:pPr>
    <w:rPr>
      <w:sz w:val="26"/>
    </w:rPr>
  </w:style>
  <w:style w:type="character" w:customStyle="1" w:styleId="Heading1FinChar">
    <w:name w:val="Heading 1 Fin Char"/>
    <w:basedOn w:val="Heading1Char"/>
    <w:link w:val="Heading1Fin"/>
    <w:rsid w:val="00C40915"/>
    <w:rPr>
      <w:rFonts w:asciiTheme="majorHAnsi" w:hAnsiTheme="majorHAnsi"/>
      <w:color w:val="4C4C4C"/>
      <w:sz w:val="44"/>
      <w:szCs w:val="48"/>
    </w:rPr>
  </w:style>
  <w:style w:type="character" w:customStyle="1" w:styleId="CommentTextChar1">
    <w:name w:val="Comment Text Char1"/>
    <w:basedOn w:val="DefaultParagraphFont"/>
    <w:uiPriority w:val="99"/>
    <w:semiHidden/>
    <w:rsid w:val="00D90070"/>
    <w:rPr>
      <w:rFonts w:asciiTheme="minorHAnsi" w:hAnsiTheme="minorHAnsi"/>
    </w:rPr>
  </w:style>
  <w:style w:type="character" w:customStyle="1" w:styleId="CommentSubjectChar1">
    <w:name w:val="Comment Subject Char1"/>
    <w:basedOn w:val="CommentTextChar1"/>
    <w:uiPriority w:val="99"/>
    <w:semiHidden/>
    <w:rsid w:val="00D90070"/>
    <w:rPr>
      <w:rFonts w:asciiTheme="minorHAnsi" w:hAnsiTheme="minorHAnsi"/>
      <w:b/>
      <w:bCs/>
    </w:rPr>
  </w:style>
  <w:style w:type="character" w:styleId="FollowedHyperlink">
    <w:name w:val="FollowedHyperlink"/>
    <w:basedOn w:val="DefaultParagraphFont"/>
    <w:uiPriority w:val="99"/>
    <w:semiHidden/>
    <w:unhideWhenUsed/>
    <w:rsid w:val="00AA5638"/>
    <w:rPr>
      <w:color w:val="999999" w:themeColor="followedHyperlink"/>
      <w:u w:val="single"/>
    </w:rPr>
  </w:style>
  <w:style w:type="table" w:customStyle="1" w:styleId="DTFTextTable">
    <w:name w:val="DTF Text Table"/>
    <w:basedOn w:val="TableNormal"/>
    <w:uiPriority w:val="99"/>
    <w:rsid w:val="00FD4788"/>
    <w:pPr>
      <w:spacing w:before="60" w:after="60" w:line="216" w:lineRule="auto"/>
    </w:pPr>
    <w:rPr>
      <w:rFonts w:asciiTheme="majorHAnsi" w:eastAsiaTheme="minorHAnsi" w:hAnsiTheme="majorHAnsi" w:cstheme="minorBidi"/>
      <w:sz w:val="18"/>
      <w:szCs w:val="22"/>
      <w:lang w:eastAsia="en-US"/>
    </w:rPr>
    <w:tblPr>
      <w:tblStyleRowBandSize w:val="1"/>
      <w:tblInd w:w="28" w:type="dxa"/>
      <w:tblBorders>
        <w:bottom w:val="single" w:sz="12" w:space="0" w:color="auto"/>
      </w:tblBorders>
      <w:tblCellMar>
        <w:left w:w="57" w:type="dxa"/>
        <w:right w:w="57" w:type="dxa"/>
      </w:tblCellMar>
    </w:tblPr>
    <w:trPr>
      <w:cantSplit/>
    </w:trPr>
    <w:tblStylePr w:type="firstRow">
      <w:pPr>
        <w:wordWrap/>
        <w:spacing w:beforeLines="0" w:before="20" w:beforeAutospacing="0" w:afterLines="0" w:after="20" w:afterAutospacing="0" w:line="240" w:lineRule="auto"/>
        <w:jc w:val="left"/>
      </w:pPr>
      <w:rPr>
        <w:i/>
      </w:rPr>
      <w:tblPr/>
      <w:trPr>
        <w:cantSplit w:val="0"/>
      </w:trPr>
      <w:tcPr>
        <w:shd w:val="clear" w:color="auto" w:fill="232B39" w:themeFill="text1"/>
        <w:vAlign w:val="bottom"/>
      </w:tcPr>
    </w:tblStylePr>
    <w:tblStylePr w:type="lastRow">
      <w:rPr>
        <w:b w:val="0"/>
      </w:rPr>
      <w:tblPr/>
      <w:tcPr>
        <w:tcBorders>
          <w:top w:val="single" w:sz="6" w:space="0" w:color="232B39" w:themeColor="text1"/>
          <w:left w:val="nil"/>
          <w:bottom w:val="single" w:sz="12" w:space="0" w:color="232B39" w:themeColor="text1"/>
          <w:right w:val="nil"/>
          <w:insideH w:val="nil"/>
          <w:insideV w:val="nil"/>
          <w:tl2br w:val="nil"/>
          <w:tr2bl w:val="nil"/>
        </w:tcBorders>
        <w:shd w:val="clear" w:color="auto" w:fill="53D0D8" w:themeFill="background2" w:themeFillShade="BF"/>
      </w:tcPr>
    </w:tblStylePr>
    <w:tblStylePr w:type="firstCol">
      <w:pPr>
        <w:wordWrap/>
        <w:spacing w:line="240" w:lineRule="auto"/>
        <w:ind w:leftChars="0" w:left="170" w:rightChars="0" w:right="0" w:firstLineChars="0" w:hanging="170"/>
        <w:jc w:val="left"/>
      </w:pPr>
    </w:tblStylePr>
    <w:tblStylePr w:type="lastCol">
      <w:rPr>
        <w:b/>
      </w:rPr>
      <w:tblPr/>
      <w:tcPr>
        <w:shd w:val="clear" w:color="auto" w:fill="F2F2F2" w:themeFill="background1" w:themeFillShade="F2"/>
      </w:tcPr>
    </w:tblStylePr>
    <w:tblStylePr w:type="band1Vert">
      <w:tblPr/>
      <w:tcPr>
        <w:shd w:val="clear" w:color="auto" w:fill="A6E7EB" w:themeFill="background2"/>
      </w:tcPr>
    </w:tblStylePr>
    <w:tblStylePr w:type="band1Horz">
      <w:tblPr/>
      <w:tcPr>
        <w:shd w:val="clear" w:color="auto" w:fill="FFFFFF" w:themeFill="background1"/>
      </w:tcPr>
    </w:tblStylePr>
    <w:tblStylePr w:type="band2Horz">
      <w:tblPr/>
      <w:tcPr>
        <w:shd w:val="clear" w:color="auto" w:fill="53D0D8" w:themeFill="background2" w:themeFillShade="BF"/>
      </w:tcPr>
    </w:tblStylePr>
  </w:style>
  <w:style w:type="character" w:styleId="CommentReference">
    <w:name w:val="annotation reference"/>
    <w:basedOn w:val="DefaultParagraphFont"/>
    <w:uiPriority w:val="99"/>
    <w:semiHidden/>
    <w:unhideWhenUsed/>
    <w:rsid w:val="00FD4788"/>
    <w:rPr>
      <w:sz w:val="16"/>
      <w:szCs w:val="16"/>
    </w:rPr>
  </w:style>
  <w:style w:type="paragraph" w:styleId="Revision">
    <w:name w:val="Revision"/>
    <w:hidden/>
    <w:uiPriority w:val="99"/>
    <w:semiHidden/>
    <w:rsid w:val="00FD4788"/>
    <w:rPr>
      <w:rFonts w:asciiTheme="minorHAnsi" w:hAnsiTheme="minorHAnsi"/>
      <w:sz w:val="17"/>
      <w:szCs w:val="24"/>
    </w:rPr>
  </w:style>
  <w:style w:type="paragraph" w:styleId="BodyText2">
    <w:name w:val="Body Text 2"/>
    <w:basedOn w:val="Normal"/>
    <w:link w:val="BodyText2Char"/>
    <w:uiPriority w:val="99"/>
    <w:semiHidden/>
    <w:unhideWhenUsed/>
    <w:rsid w:val="00E13F3E"/>
    <w:pPr>
      <w:spacing w:line="480" w:lineRule="auto"/>
    </w:pPr>
  </w:style>
  <w:style w:type="character" w:customStyle="1" w:styleId="BodyText2Char">
    <w:name w:val="Body Text 2 Char"/>
    <w:basedOn w:val="DefaultParagraphFont"/>
    <w:link w:val="BodyText2"/>
    <w:uiPriority w:val="99"/>
    <w:semiHidden/>
    <w:rsid w:val="00E13F3E"/>
    <w:rPr>
      <w:rFonts w:asciiTheme="minorHAnsi" w:hAnsiTheme="minorHAnsi"/>
      <w:sz w:val="17"/>
      <w:szCs w:val="24"/>
    </w:rPr>
  </w:style>
  <w:style w:type="table" w:styleId="TableElegant">
    <w:name w:val="Table Elegant"/>
    <w:basedOn w:val="TableNormal"/>
    <w:uiPriority w:val="99"/>
    <w:semiHidden/>
    <w:unhideWhenUsed/>
    <w:rsid w:val="00E13F3E"/>
    <w:pPr>
      <w:spacing w:before="120"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Note">
    <w:name w:val="Note"/>
    <w:basedOn w:val="Normal"/>
    <w:link w:val="NoteChar"/>
    <w:uiPriority w:val="52"/>
    <w:qFormat/>
    <w:rsid w:val="001E6705"/>
    <w:pPr>
      <w:spacing w:before="20" w:after="0"/>
      <w:ind w:left="284" w:hanging="284"/>
      <w:contextualSpacing/>
    </w:pPr>
    <w:rPr>
      <w:rFonts w:eastAsiaTheme="minorHAnsi" w:cstheme="minorBidi"/>
      <w:spacing w:val="-2"/>
      <w:sz w:val="14"/>
      <w:szCs w:val="18"/>
      <w:lang w:eastAsia="en-US"/>
    </w:rPr>
  </w:style>
  <w:style w:type="character" w:customStyle="1" w:styleId="NoteChar">
    <w:name w:val="Note Char"/>
    <w:basedOn w:val="DefaultParagraphFont"/>
    <w:link w:val="Note"/>
    <w:uiPriority w:val="52"/>
    <w:rsid w:val="007E2836"/>
    <w:rPr>
      <w:rFonts w:asciiTheme="minorHAnsi" w:eastAsiaTheme="minorHAnsi" w:hAnsiTheme="minorHAnsi" w:cstheme="minorBidi"/>
      <w:spacing w:val="-2"/>
      <w:sz w:val="14"/>
      <w:szCs w:val="18"/>
      <w:lang w:eastAsia="en-US"/>
    </w:rPr>
  </w:style>
  <w:style w:type="paragraph" w:styleId="NormalWeb">
    <w:name w:val="Normal (Web)"/>
    <w:basedOn w:val="Normal"/>
    <w:uiPriority w:val="99"/>
    <w:semiHidden/>
    <w:unhideWhenUsed/>
    <w:rsid w:val="00923FA6"/>
    <w:pPr>
      <w:spacing w:before="100" w:beforeAutospacing="1" w:after="100" w:afterAutospacing="1"/>
    </w:pPr>
    <w:rPr>
      <w:rFonts w:ascii="Times New Roman" w:hAnsi="Times New Roman"/>
      <w:sz w:val="24"/>
    </w:rPr>
  </w:style>
  <w:style w:type="character" w:customStyle="1" w:styleId="CommentTextChar11">
    <w:name w:val="Comment Text Char11"/>
    <w:basedOn w:val="DefaultParagraphFont"/>
    <w:semiHidden/>
    <w:rsid w:val="00452A3E"/>
    <w:rPr>
      <w:rFonts w:asciiTheme="minorHAnsi" w:hAnsiTheme="minorHAnsi" w:cs="Times New Roman"/>
    </w:rPr>
  </w:style>
  <w:style w:type="character" w:customStyle="1" w:styleId="CommentSubjectChar11">
    <w:name w:val="Comment Subject Char11"/>
    <w:basedOn w:val="CommentTextChar11"/>
    <w:semiHidden/>
    <w:rsid w:val="00452A3E"/>
    <w:rPr>
      <w:rFonts w:asciiTheme="minorHAnsi" w:hAnsiTheme="minorHAnsi" w:cs="Times New Roman"/>
      <w:b/>
      <w:bCs/>
    </w:rPr>
  </w:style>
  <w:style w:type="table" w:customStyle="1" w:styleId="DTFTable">
    <w:name w:val="DTF Table"/>
    <w:basedOn w:val="DTFTextTable"/>
    <w:uiPriority w:val="99"/>
    <w:rsid w:val="00B563A0"/>
    <w:pPr>
      <w:spacing w:before="20" w:after="20" w:line="240" w:lineRule="auto"/>
      <w:jc w:val="right"/>
    </w:pPr>
    <w:rPr>
      <w:rFonts w:asciiTheme="minorHAnsi" w:hAnsiTheme="minorHAnsi"/>
      <w:sz w:val="16"/>
      <w:szCs w:val="18"/>
    </w:rPr>
    <w:tblPr>
      <w:tblStyleColBandSize w:val="1"/>
      <w:tblInd w:w="0" w:type="dxa"/>
    </w:tblPr>
    <w:trPr>
      <w:cantSplit w:val="0"/>
    </w:trPr>
    <w:tblStylePr w:type="firstRow">
      <w:pPr>
        <w:wordWrap/>
        <w:spacing w:beforeLines="0" w:before="40" w:beforeAutospacing="0" w:afterLines="0" w:after="40" w:afterAutospacing="0" w:line="240" w:lineRule="auto"/>
        <w:jc w:val="right"/>
      </w:pPr>
      <w:rPr>
        <w:b w:val="0"/>
        <w:bCs/>
        <w:i/>
      </w:rPr>
      <w:tblPr/>
      <w:trPr>
        <w:cantSplit w:val="0"/>
        <w:tblHeader/>
      </w:trPr>
      <w:tcPr>
        <w:shd w:val="clear" w:color="auto" w:fill="232B39" w:themeFill="text1"/>
        <w:vAlign w:val="bottom"/>
      </w:tcPr>
    </w:tblStylePr>
    <w:tblStylePr w:type="lastRow">
      <w:rPr>
        <w:b/>
        <w:bCs/>
      </w:rPr>
      <w:tblPr/>
      <w:tcPr>
        <w:tcBorders>
          <w:top w:val="single" w:sz="6" w:space="0" w:color="auto"/>
          <w:left w:val="nil"/>
          <w:bottom w:val="single" w:sz="12" w:space="0" w:color="auto"/>
          <w:right w:val="nil"/>
          <w:insideH w:val="nil"/>
          <w:insideV w:val="nil"/>
          <w:tl2br w:val="nil"/>
          <w:tr2bl w:val="nil"/>
        </w:tcBorders>
        <w:shd w:val="clear" w:color="auto" w:fill="53D0D8" w:themeFill="background2" w:themeFillShade="BF"/>
      </w:tcPr>
    </w:tblStylePr>
    <w:tblStylePr w:type="firstCol">
      <w:pPr>
        <w:wordWrap/>
        <w:spacing w:line="240" w:lineRule="auto"/>
        <w:ind w:leftChars="0" w:left="170" w:rightChars="0" w:right="0" w:firstLineChars="0" w:hanging="170"/>
        <w:jc w:val="left"/>
      </w:pPr>
      <w:rPr>
        <w:b w:val="0"/>
        <w:bCs/>
      </w:rPr>
      <w:tblPr/>
      <w:tcPr>
        <w:vAlign w:val="bottom"/>
      </w:tcPr>
    </w:tblStylePr>
    <w:tblStylePr w:type="lastCol">
      <w:rPr>
        <w:b/>
        <w:bCs/>
      </w:rPr>
      <w:tblPr/>
      <w:tcPr>
        <w:shd w:val="clear" w:color="auto" w:fill="F2F2F2" w:themeFill="background1" w:themeFillShade="F2"/>
      </w:tcPr>
    </w:tblStylePr>
    <w:tblStylePr w:type="band1Vert">
      <w:tblPr/>
      <w:tcPr>
        <w:shd w:val="clear" w:color="auto" w:fill="F2F2F2" w:themeFill="background1" w:themeFillShade="F2"/>
      </w:tcPr>
    </w:tblStylePr>
    <w:tblStylePr w:type="band1Horz">
      <w:tblPr/>
      <w:tcPr>
        <w:shd w:val="clear" w:color="auto" w:fill="FFFFFF" w:themeFill="background1"/>
      </w:tcPr>
    </w:tblStylePr>
    <w:tblStylePr w:type="band2Horz">
      <w:tblPr/>
      <w:tcPr>
        <w:shd w:val="clear" w:color="auto" w:fill="F2F2F2" w:themeFill="background1" w:themeFillShade="F2"/>
      </w:tcPr>
    </w:tblStylePr>
    <w:tblStylePr w:type="nwCell">
      <w:pPr>
        <w:jc w:val="left"/>
      </w:pPr>
      <w:tblPr/>
      <w:tcPr>
        <w:vAlign w:val="bottom"/>
      </w:tcPr>
    </w:tblStylePr>
  </w:style>
  <w:style w:type="paragraph" w:customStyle="1" w:styleId="PerformanceMeasureNote">
    <w:name w:val="Performance Measure Note"/>
    <w:basedOn w:val="Normal"/>
    <w:uiPriority w:val="63"/>
    <w:qFormat/>
    <w:rsid w:val="00DB7B0F"/>
    <w:pPr>
      <w:spacing w:before="20" w:after="20"/>
      <w:ind w:left="142"/>
      <w:contextualSpacing/>
    </w:pPr>
    <w:rPr>
      <w:rFonts w:eastAsiaTheme="minorHAnsi" w:cstheme="minorBidi"/>
      <w:i/>
      <w:spacing w:val="-2"/>
      <w:sz w:val="15"/>
      <w:szCs w:val="15"/>
      <w:lang w:eastAsia="en-US"/>
    </w:rPr>
  </w:style>
  <w:style w:type="character" w:customStyle="1" w:styleId="Heading7Char">
    <w:name w:val="Heading 7 Char"/>
    <w:basedOn w:val="DefaultParagraphFont"/>
    <w:link w:val="Heading7"/>
    <w:semiHidden/>
    <w:rsid w:val="0074752D"/>
    <w:rPr>
      <w:rFonts w:asciiTheme="majorHAnsi" w:eastAsiaTheme="majorEastAsia" w:hAnsiTheme="majorHAnsi" w:cstheme="majorBidi"/>
      <w:i/>
      <w:iCs/>
      <w:color w:val="005C63" w:themeColor="accent1" w:themeShade="7F"/>
      <w:sz w:val="17"/>
      <w:szCs w:val="24"/>
    </w:rPr>
  </w:style>
  <w:style w:type="character" w:customStyle="1" w:styleId="Heading9Char">
    <w:name w:val="Heading 9 Char"/>
    <w:basedOn w:val="DefaultParagraphFont"/>
    <w:link w:val="Heading9"/>
    <w:semiHidden/>
    <w:rsid w:val="0074752D"/>
    <w:rPr>
      <w:rFonts w:asciiTheme="majorHAnsi" w:eastAsiaTheme="majorEastAsia" w:hAnsiTheme="majorHAnsi" w:cstheme="majorBidi"/>
      <w:i/>
      <w:iCs/>
      <w:color w:val="3B4860" w:themeColor="text1" w:themeTint="D8"/>
      <w:sz w:val="21"/>
      <w:szCs w:val="21"/>
    </w:rPr>
  </w:style>
  <w:style w:type="paragraph" w:styleId="Bibliography">
    <w:name w:val="Bibliography"/>
    <w:basedOn w:val="Normal"/>
    <w:next w:val="Normal"/>
    <w:uiPriority w:val="37"/>
    <w:semiHidden/>
    <w:unhideWhenUsed/>
    <w:rsid w:val="0074752D"/>
  </w:style>
  <w:style w:type="paragraph" w:styleId="BodyText3">
    <w:name w:val="Body Text 3"/>
    <w:basedOn w:val="Normal"/>
    <w:link w:val="BodyText3Char"/>
    <w:semiHidden/>
    <w:unhideWhenUsed/>
    <w:rsid w:val="0074752D"/>
    <w:rPr>
      <w:sz w:val="16"/>
      <w:szCs w:val="16"/>
    </w:rPr>
  </w:style>
  <w:style w:type="character" w:customStyle="1" w:styleId="BodyText3Char">
    <w:name w:val="Body Text 3 Char"/>
    <w:basedOn w:val="DefaultParagraphFont"/>
    <w:link w:val="BodyText3"/>
    <w:semiHidden/>
    <w:rsid w:val="0074752D"/>
    <w:rPr>
      <w:rFonts w:asciiTheme="minorHAnsi" w:hAnsiTheme="minorHAnsi"/>
      <w:sz w:val="16"/>
      <w:szCs w:val="16"/>
    </w:rPr>
  </w:style>
  <w:style w:type="paragraph" w:styleId="BodyTextFirstIndent">
    <w:name w:val="Body Text First Indent"/>
    <w:basedOn w:val="BodyText"/>
    <w:link w:val="BodyTextFirstIndentChar"/>
    <w:semiHidden/>
    <w:unhideWhenUsed/>
    <w:rsid w:val="0074752D"/>
    <w:pPr>
      <w:ind w:firstLine="360"/>
    </w:pPr>
  </w:style>
  <w:style w:type="character" w:customStyle="1" w:styleId="BodyTextFirstIndentChar">
    <w:name w:val="Body Text First Indent Char"/>
    <w:basedOn w:val="BodyTextChar"/>
    <w:link w:val="BodyTextFirstIndent"/>
    <w:semiHidden/>
    <w:rsid w:val="0074752D"/>
    <w:rPr>
      <w:rFonts w:asciiTheme="minorHAnsi" w:hAnsiTheme="minorHAnsi"/>
      <w:sz w:val="17"/>
      <w:szCs w:val="24"/>
    </w:rPr>
  </w:style>
  <w:style w:type="paragraph" w:styleId="BodyTextIndent">
    <w:name w:val="Body Text Indent"/>
    <w:basedOn w:val="Normal"/>
    <w:link w:val="BodyTextIndentChar"/>
    <w:semiHidden/>
    <w:unhideWhenUsed/>
    <w:rsid w:val="0074752D"/>
    <w:pPr>
      <w:ind w:left="283"/>
    </w:pPr>
  </w:style>
  <w:style w:type="character" w:customStyle="1" w:styleId="BodyTextIndentChar">
    <w:name w:val="Body Text Indent Char"/>
    <w:basedOn w:val="DefaultParagraphFont"/>
    <w:link w:val="BodyTextIndent"/>
    <w:semiHidden/>
    <w:rsid w:val="0074752D"/>
    <w:rPr>
      <w:rFonts w:asciiTheme="minorHAnsi" w:hAnsiTheme="minorHAnsi"/>
      <w:sz w:val="17"/>
      <w:szCs w:val="24"/>
    </w:rPr>
  </w:style>
  <w:style w:type="paragraph" w:styleId="BodyTextFirstIndent2">
    <w:name w:val="Body Text First Indent 2"/>
    <w:basedOn w:val="BodyTextIndent"/>
    <w:link w:val="BodyTextFirstIndent2Char"/>
    <w:semiHidden/>
    <w:unhideWhenUsed/>
    <w:rsid w:val="0074752D"/>
    <w:pPr>
      <w:ind w:left="360" w:firstLine="360"/>
    </w:pPr>
  </w:style>
  <w:style w:type="character" w:customStyle="1" w:styleId="BodyTextFirstIndent2Char">
    <w:name w:val="Body Text First Indent 2 Char"/>
    <w:basedOn w:val="BodyTextIndentChar"/>
    <w:link w:val="BodyTextFirstIndent2"/>
    <w:semiHidden/>
    <w:rsid w:val="0074752D"/>
    <w:rPr>
      <w:rFonts w:asciiTheme="minorHAnsi" w:hAnsiTheme="minorHAnsi"/>
      <w:sz w:val="17"/>
      <w:szCs w:val="24"/>
    </w:rPr>
  </w:style>
  <w:style w:type="paragraph" w:styleId="BodyTextIndent3">
    <w:name w:val="Body Text Indent 3"/>
    <w:basedOn w:val="Normal"/>
    <w:link w:val="BodyTextIndent3Char"/>
    <w:semiHidden/>
    <w:unhideWhenUsed/>
    <w:rsid w:val="0074752D"/>
    <w:pPr>
      <w:ind w:left="283"/>
    </w:pPr>
    <w:rPr>
      <w:sz w:val="16"/>
      <w:szCs w:val="16"/>
    </w:rPr>
  </w:style>
  <w:style w:type="character" w:customStyle="1" w:styleId="BodyTextIndent3Char">
    <w:name w:val="Body Text Indent 3 Char"/>
    <w:basedOn w:val="DefaultParagraphFont"/>
    <w:link w:val="BodyTextIndent3"/>
    <w:semiHidden/>
    <w:rsid w:val="0074752D"/>
    <w:rPr>
      <w:rFonts w:asciiTheme="minorHAnsi" w:hAnsiTheme="minorHAnsi"/>
      <w:sz w:val="16"/>
      <w:szCs w:val="16"/>
    </w:rPr>
  </w:style>
  <w:style w:type="paragraph" w:styleId="Closing">
    <w:name w:val="Closing"/>
    <w:basedOn w:val="Normal"/>
    <w:link w:val="ClosingChar"/>
    <w:semiHidden/>
    <w:unhideWhenUsed/>
    <w:rsid w:val="0074752D"/>
    <w:pPr>
      <w:spacing w:before="0" w:after="0"/>
      <w:ind w:left="4252"/>
    </w:pPr>
  </w:style>
  <w:style w:type="character" w:customStyle="1" w:styleId="ClosingChar">
    <w:name w:val="Closing Char"/>
    <w:basedOn w:val="DefaultParagraphFont"/>
    <w:link w:val="Closing"/>
    <w:semiHidden/>
    <w:rsid w:val="0074752D"/>
    <w:rPr>
      <w:rFonts w:asciiTheme="minorHAnsi" w:hAnsiTheme="minorHAnsi"/>
      <w:sz w:val="17"/>
      <w:szCs w:val="24"/>
    </w:rPr>
  </w:style>
  <w:style w:type="paragraph" w:styleId="Date">
    <w:name w:val="Date"/>
    <w:basedOn w:val="Normal"/>
    <w:next w:val="Normal"/>
    <w:link w:val="DateChar"/>
    <w:semiHidden/>
    <w:unhideWhenUsed/>
    <w:rsid w:val="0074752D"/>
  </w:style>
  <w:style w:type="character" w:customStyle="1" w:styleId="DateChar">
    <w:name w:val="Date Char"/>
    <w:basedOn w:val="DefaultParagraphFont"/>
    <w:link w:val="Date"/>
    <w:semiHidden/>
    <w:rsid w:val="0074752D"/>
    <w:rPr>
      <w:rFonts w:asciiTheme="minorHAnsi" w:hAnsiTheme="minorHAnsi"/>
      <w:sz w:val="17"/>
      <w:szCs w:val="24"/>
    </w:rPr>
  </w:style>
  <w:style w:type="paragraph" w:styleId="DocumentMap">
    <w:name w:val="Document Map"/>
    <w:basedOn w:val="Normal"/>
    <w:link w:val="DocumentMapChar"/>
    <w:semiHidden/>
    <w:unhideWhenUsed/>
    <w:rsid w:val="0074752D"/>
    <w:pPr>
      <w:spacing w:before="0" w:after="0"/>
    </w:pPr>
    <w:rPr>
      <w:rFonts w:ascii="Segoe UI" w:hAnsi="Segoe UI" w:cs="Segoe UI"/>
      <w:sz w:val="16"/>
      <w:szCs w:val="16"/>
    </w:rPr>
  </w:style>
  <w:style w:type="character" w:customStyle="1" w:styleId="DocumentMapChar">
    <w:name w:val="Document Map Char"/>
    <w:basedOn w:val="DefaultParagraphFont"/>
    <w:link w:val="DocumentMap"/>
    <w:semiHidden/>
    <w:rsid w:val="0074752D"/>
    <w:rPr>
      <w:rFonts w:ascii="Segoe UI" w:hAnsi="Segoe UI" w:cs="Segoe UI"/>
      <w:sz w:val="16"/>
      <w:szCs w:val="16"/>
    </w:rPr>
  </w:style>
  <w:style w:type="paragraph" w:styleId="E-mailSignature">
    <w:name w:val="E-mail Signature"/>
    <w:basedOn w:val="Normal"/>
    <w:link w:val="E-mailSignatureChar"/>
    <w:semiHidden/>
    <w:unhideWhenUsed/>
    <w:rsid w:val="0074752D"/>
    <w:pPr>
      <w:spacing w:before="0" w:after="0"/>
    </w:pPr>
  </w:style>
  <w:style w:type="character" w:customStyle="1" w:styleId="E-mailSignatureChar">
    <w:name w:val="E-mail Signature Char"/>
    <w:basedOn w:val="DefaultParagraphFont"/>
    <w:link w:val="E-mailSignature"/>
    <w:semiHidden/>
    <w:rsid w:val="0074752D"/>
    <w:rPr>
      <w:rFonts w:asciiTheme="minorHAnsi" w:hAnsiTheme="minorHAnsi"/>
      <w:sz w:val="17"/>
      <w:szCs w:val="24"/>
    </w:rPr>
  </w:style>
  <w:style w:type="paragraph" w:styleId="EndnoteText">
    <w:name w:val="endnote text"/>
    <w:basedOn w:val="Normal"/>
    <w:link w:val="EndnoteTextChar"/>
    <w:semiHidden/>
    <w:unhideWhenUsed/>
    <w:rsid w:val="0074752D"/>
    <w:pPr>
      <w:spacing w:before="0" w:after="0"/>
    </w:pPr>
    <w:rPr>
      <w:sz w:val="20"/>
      <w:szCs w:val="20"/>
    </w:rPr>
  </w:style>
  <w:style w:type="character" w:customStyle="1" w:styleId="EndnoteTextChar">
    <w:name w:val="Endnote Text Char"/>
    <w:basedOn w:val="DefaultParagraphFont"/>
    <w:link w:val="EndnoteText"/>
    <w:semiHidden/>
    <w:rsid w:val="0074752D"/>
    <w:rPr>
      <w:rFonts w:asciiTheme="minorHAnsi" w:hAnsiTheme="minorHAnsi"/>
    </w:rPr>
  </w:style>
  <w:style w:type="paragraph" w:styleId="EnvelopeAddress">
    <w:name w:val="envelope address"/>
    <w:basedOn w:val="Normal"/>
    <w:semiHidden/>
    <w:unhideWhenUsed/>
    <w:rsid w:val="0074752D"/>
    <w:pPr>
      <w:framePr w:w="7920" w:h="1980" w:hRule="exact" w:hSpace="180" w:wrap="auto" w:hAnchor="page" w:xAlign="center" w:yAlign="bottom"/>
      <w:spacing w:before="0" w:after="0"/>
      <w:ind w:left="2880"/>
    </w:pPr>
    <w:rPr>
      <w:rFonts w:asciiTheme="majorHAnsi" w:eastAsiaTheme="majorEastAsia" w:hAnsiTheme="majorHAnsi" w:cstheme="majorBidi"/>
      <w:sz w:val="24"/>
    </w:rPr>
  </w:style>
  <w:style w:type="paragraph" w:styleId="EnvelopeReturn">
    <w:name w:val="envelope return"/>
    <w:basedOn w:val="Normal"/>
    <w:semiHidden/>
    <w:unhideWhenUsed/>
    <w:rsid w:val="0074752D"/>
    <w:pPr>
      <w:spacing w:before="0" w:after="0"/>
    </w:pPr>
    <w:rPr>
      <w:rFonts w:asciiTheme="majorHAnsi" w:eastAsiaTheme="majorEastAsia" w:hAnsiTheme="majorHAnsi" w:cstheme="majorBidi"/>
      <w:sz w:val="20"/>
      <w:szCs w:val="20"/>
    </w:rPr>
  </w:style>
  <w:style w:type="paragraph" w:styleId="HTMLAddress">
    <w:name w:val="HTML Address"/>
    <w:basedOn w:val="Normal"/>
    <w:link w:val="HTMLAddressChar"/>
    <w:semiHidden/>
    <w:unhideWhenUsed/>
    <w:rsid w:val="0074752D"/>
    <w:pPr>
      <w:spacing w:before="0" w:after="0"/>
    </w:pPr>
    <w:rPr>
      <w:i/>
      <w:iCs/>
    </w:rPr>
  </w:style>
  <w:style w:type="character" w:customStyle="1" w:styleId="HTMLAddressChar">
    <w:name w:val="HTML Address Char"/>
    <w:basedOn w:val="DefaultParagraphFont"/>
    <w:link w:val="HTMLAddress"/>
    <w:semiHidden/>
    <w:rsid w:val="0074752D"/>
    <w:rPr>
      <w:rFonts w:asciiTheme="minorHAnsi" w:hAnsiTheme="minorHAnsi"/>
      <w:i/>
      <w:iCs/>
      <w:sz w:val="17"/>
      <w:szCs w:val="24"/>
    </w:rPr>
  </w:style>
  <w:style w:type="paragraph" w:styleId="HTMLPreformatted">
    <w:name w:val="HTML Preformatted"/>
    <w:basedOn w:val="Normal"/>
    <w:link w:val="HTMLPreformattedChar"/>
    <w:semiHidden/>
    <w:unhideWhenUsed/>
    <w:rsid w:val="0074752D"/>
    <w:pPr>
      <w:spacing w:before="0" w:after="0"/>
    </w:pPr>
    <w:rPr>
      <w:rFonts w:ascii="Consolas" w:hAnsi="Consolas"/>
      <w:sz w:val="20"/>
      <w:szCs w:val="20"/>
    </w:rPr>
  </w:style>
  <w:style w:type="character" w:customStyle="1" w:styleId="HTMLPreformattedChar">
    <w:name w:val="HTML Preformatted Char"/>
    <w:basedOn w:val="DefaultParagraphFont"/>
    <w:link w:val="HTMLPreformatted"/>
    <w:semiHidden/>
    <w:rsid w:val="0074752D"/>
    <w:rPr>
      <w:rFonts w:ascii="Consolas" w:hAnsi="Consolas"/>
    </w:rPr>
  </w:style>
  <w:style w:type="paragraph" w:styleId="Index1">
    <w:name w:val="index 1"/>
    <w:basedOn w:val="Normal"/>
    <w:next w:val="Normal"/>
    <w:autoRedefine/>
    <w:semiHidden/>
    <w:unhideWhenUsed/>
    <w:rsid w:val="0074752D"/>
    <w:pPr>
      <w:spacing w:before="0" w:after="0"/>
      <w:ind w:left="170" w:hanging="170"/>
    </w:pPr>
  </w:style>
  <w:style w:type="paragraph" w:styleId="Index2">
    <w:name w:val="index 2"/>
    <w:basedOn w:val="Normal"/>
    <w:next w:val="Normal"/>
    <w:autoRedefine/>
    <w:semiHidden/>
    <w:unhideWhenUsed/>
    <w:rsid w:val="0074752D"/>
    <w:pPr>
      <w:spacing w:before="0" w:after="0"/>
      <w:ind w:left="340" w:hanging="170"/>
    </w:pPr>
  </w:style>
  <w:style w:type="paragraph" w:styleId="Index3">
    <w:name w:val="index 3"/>
    <w:basedOn w:val="Normal"/>
    <w:next w:val="Normal"/>
    <w:autoRedefine/>
    <w:semiHidden/>
    <w:unhideWhenUsed/>
    <w:rsid w:val="0074752D"/>
    <w:pPr>
      <w:spacing w:before="0" w:after="0"/>
      <w:ind w:left="510" w:hanging="170"/>
    </w:pPr>
  </w:style>
  <w:style w:type="paragraph" w:styleId="Index4">
    <w:name w:val="index 4"/>
    <w:basedOn w:val="Normal"/>
    <w:next w:val="Normal"/>
    <w:autoRedefine/>
    <w:semiHidden/>
    <w:unhideWhenUsed/>
    <w:rsid w:val="0074752D"/>
    <w:pPr>
      <w:spacing w:before="0" w:after="0"/>
      <w:ind w:left="680" w:hanging="170"/>
    </w:pPr>
  </w:style>
  <w:style w:type="paragraph" w:styleId="Index5">
    <w:name w:val="index 5"/>
    <w:basedOn w:val="Normal"/>
    <w:next w:val="Normal"/>
    <w:autoRedefine/>
    <w:semiHidden/>
    <w:unhideWhenUsed/>
    <w:rsid w:val="0074752D"/>
    <w:pPr>
      <w:spacing w:before="0" w:after="0"/>
      <w:ind w:left="850" w:hanging="170"/>
    </w:pPr>
  </w:style>
  <w:style w:type="paragraph" w:styleId="Index6">
    <w:name w:val="index 6"/>
    <w:basedOn w:val="Normal"/>
    <w:next w:val="Normal"/>
    <w:autoRedefine/>
    <w:semiHidden/>
    <w:unhideWhenUsed/>
    <w:rsid w:val="0074752D"/>
    <w:pPr>
      <w:spacing w:before="0" w:after="0"/>
      <w:ind w:left="1020" w:hanging="170"/>
    </w:pPr>
  </w:style>
  <w:style w:type="paragraph" w:styleId="Index7">
    <w:name w:val="index 7"/>
    <w:basedOn w:val="Normal"/>
    <w:next w:val="Normal"/>
    <w:autoRedefine/>
    <w:semiHidden/>
    <w:unhideWhenUsed/>
    <w:rsid w:val="0074752D"/>
    <w:pPr>
      <w:spacing w:before="0" w:after="0"/>
      <w:ind w:left="1190" w:hanging="170"/>
    </w:pPr>
  </w:style>
  <w:style w:type="paragraph" w:styleId="Index8">
    <w:name w:val="index 8"/>
    <w:basedOn w:val="Normal"/>
    <w:next w:val="Normal"/>
    <w:autoRedefine/>
    <w:semiHidden/>
    <w:unhideWhenUsed/>
    <w:rsid w:val="0074752D"/>
    <w:pPr>
      <w:spacing w:before="0" w:after="0"/>
      <w:ind w:left="1360" w:hanging="170"/>
    </w:pPr>
  </w:style>
  <w:style w:type="paragraph" w:styleId="Index9">
    <w:name w:val="index 9"/>
    <w:basedOn w:val="Normal"/>
    <w:next w:val="Normal"/>
    <w:autoRedefine/>
    <w:semiHidden/>
    <w:unhideWhenUsed/>
    <w:rsid w:val="0074752D"/>
    <w:pPr>
      <w:spacing w:before="0" w:after="0"/>
      <w:ind w:left="1530" w:hanging="170"/>
    </w:pPr>
  </w:style>
  <w:style w:type="paragraph" w:styleId="IndexHeading">
    <w:name w:val="index heading"/>
    <w:basedOn w:val="Normal"/>
    <w:next w:val="Index1"/>
    <w:semiHidden/>
    <w:unhideWhenUsed/>
    <w:rsid w:val="0074752D"/>
    <w:rPr>
      <w:rFonts w:asciiTheme="majorHAnsi" w:eastAsiaTheme="majorEastAsia" w:hAnsiTheme="majorHAnsi" w:cstheme="majorBidi"/>
      <w:b/>
      <w:bCs/>
    </w:rPr>
  </w:style>
  <w:style w:type="paragraph" w:styleId="List2">
    <w:name w:val="List 2"/>
    <w:basedOn w:val="Normal"/>
    <w:semiHidden/>
    <w:unhideWhenUsed/>
    <w:rsid w:val="0074752D"/>
    <w:pPr>
      <w:ind w:left="566" w:hanging="283"/>
      <w:contextualSpacing/>
    </w:pPr>
  </w:style>
  <w:style w:type="paragraph" w:styleId="List3">
    <w:name w:val="List 3"/>
    <w:basedOn w:val="Normal"/>
    <w:semiHidden/>
    <w:unhideWhenUsed/>
    <w:rsid w:val="0074752D"/>
    <w:pPr>
      <w:ind w:left="849" w:hanging="283"/>
      <w:contextualSpacing/>
    </w:pPr>
  </w:style>
  <w:style w:type="paragraph" w:styleId="List4">
    <w:name w:val="List 4"/>
    <w:basedOn w:val="Normal"/>
    <w:semiHidden/>
    <w:unhideWhenUsed/>
    <w:rsid w:val="0074752D"/>
    <w:pPr>
      <w:ind w:left="1132" w:hanging="283"/>
      <w:contextualSpacing/>
    </w:pPr>
  </w:style>
  <w:style w:type="paragraph" w:styleId="List5">
    <w:name w:val="List 5"/>
    <w:basedOn w:val="Normal"/>
    <w:semiHidden/>
    <w:unhideWhenUsed/>
    <w:rsid w:val="0074752D"/>
    <w:pPr>
      <w:ind w:left="1415" w:hanging="283"/>
      <w:contextualSpacing/>
    </w:pPr>
  </w:style>
  <w:style w:type="paragraph" w:styleId="ListBullet5">
    <w:name w:val="List Bullet 5"/>
    <w:basedOn w:val="Normal"/>
    <w:semiHidden/>
    <w:unhideWhenUsed/>
    <w:rsid w:val="0074752D"/>
    <w:pPr>
      <w:numPr>
        <w:numId w:val="30"/>
      </w:numPr>
      <w:contextualSpacing/>
    </w:pPr>
  </w:style>
  <w:style w:type="paragraph" w:styleId="ListContinue">
    <w:name w:val="List Continue"/>
    <w:basedOn w:val="Normal"/>
    <w:semiHidden/>
    <w:unhideWhenUsed/>
    <w:rsid w:val="0074752D"/>
    <w:pPr>
      <w:ind w:left="283"/>
      <w:contextualSpacing/>
    </w:pPr>
  </w:style>
  <w:style w:type="paragraph" w:styleId="ListNumber2">
    <w:name w:val="List Number 2"/>
    <w:basedOn w:val="Normal"/>
    <w:semiHidden/>
    <w:unhideWhenUsed/>
    <w:rsid w:val="0074752D"/>
    <w:pPr>
      <w:numPr>
        <w:numId w:val="15"/>
      </w:numPr>
      <w:contextualSpacing/>
    </w:pPr>
  </w:style>
  <w:style w:type="paragraph" w:styleId="ListNumber3">
    <w:name w:val="List Number 3"/>
    <w:basedOn w:val="Normal"/>
    <w:semiHidden/>
    <w:unhideWhenUsed/>
    <w:rsid w:val="0074752D"/>
    <w:pPr>
      <w:numPr>
        <w:numId w:val="16"/>
      </w:numPr>
      <w:contextualSpacing/>
    </w:pPr>
  </w:style>
  <w:style w:type="paragraph" w:styleId="ListNumber4">
    <w:name w:val="List Number 4"/>
    <w:basedOn w:val="Normal"/>
    <w:semiHidden/>
    <w:unhideWhenUsed/>
    <w:rsid w:val="0074752D"/>
    <w:pPr>
      <w:numPr>
        <w:numId w:val="17"/>
      </w:numPr>
      <w:contextualSpacing/>
    </w:pPr>
  </w:style>
  <w:style w:type="paragraph" w:styleId="ListNumber5">
    <w:name w:val="List Number 5"/>
    <w:basedOn w:val="Normal"/>
    <w:semiHidden/>
    <w:unhideWhenUsed/>
    <w:rsid w:val="0074752D"/>
    <w:pPr>
      <w:numPr>
        <w:numId w:val="18"/>
      </w:numPr>
      <w:contextualSpacing/>
    </w:pPr>
  </w:style>
  <w:style w:type="paragraph" w:styleId="NoSpacing">
    <w:name w:val="No Spacing"/>
    <w:uiPriority w:val="1"/>
    <w:rsid w:val="0074752D"/>
    <w:pPr>
      <w:keepLines/>
    </w:pPr>
    <w:rPr>
      <w:rFonts w:asciiTheme="minorHAnsi" w:hAnsiTheme="minorHAnsi"/>
      <w:sz w:val="17"/>
      <w:szCs w:val="24"/>
    </w:rPr>
  </w:style>
  <w:style w:type="paragraph" w:styleId="NoteHeading">
    <w:name w:val="Note Heading"/>
    <w:basedOn w:val="Normal"/>
    <w:next w:val="Normal"/>
    <w:link w:val="NoteHeadingChar"/>
    <w:semiHidden/>
    <w:unhideWhenUsed/>
    <w:rsid w:val="0074752D"/>
    <w:pPr>
      <w:spacing w:before="0" w:after="0"/>
    </w:pPr>
  </w:style>
  <w:style w:type="character" w:customStyle="1" w:styleId="NoteHeadingChar">
    <w:name w:val="Note Heading Char"/>
    <w:basedOn w:val="DefaultParagraphFont"/>
    <w:link w:val="NoteHeading"/>
    <w:semiHidden/>
    <w:rsid w:val="0074752D"/>
    <w:rPr>
      <w:rFonts w:asciiTheme="minorHAnsi" w:hAnsiTheme="minorHAnsi"/>
      <w:sz w:val="17"/>
      <w:szCs w:val="24"/>
    </w:rPr>
  </w:style>
  <w:style w:type="paragraph" w:styleId="PlainText">
    <w:name w:val="Plain Text"/>
    <w:basedOn w:val="Normal"/>
    <w:link w:val="PlainTextChar"/>
    <w:semiHidden/>
    <w:unhideWhenUsed/>
    <w:rsid w:val="0074752D"/>
    <w:pPr>
      <w:spacing w:before="0" w:after="0"/>
    </w:pPr>
    <w:rPr>
      <w:rFonts w:ascii="Consolas" w:hAnsi="Consolas"/>
      <w:sz w:val="21"/>
      <w:szCs w:val="21"/>
    </w:rPr>
  </w:style>
  <w:style w:type="character" w:customStyle="1" w:styleId="PlainTextChar">
    <w:name w:val="Plain Text Char"/>
    <w:basedOn w:val="DefaultParagraphFont"/>
    <w:link w:val="PlainText"/>
    <w:semiHidden/>
    <w:rsid w:val="0074752D"/>
    <w:rPr>
      <w:rFonts w:ascii="Consolas" w:hAnsi="Consolas"/>
      <w:sz w:val="21"/>
      <w:szCs w:val="21"/>
    </w:rPr>
  </w:style>
  <w:style w:type="paragraph" w:styleId="Salutation">
    <w:name w:val="Salutation"/>
    <w:basedOn w:val="Normal"/>
    <w:next w:val="Normal"/>
    <w:link w:val="SalutationChar"/>
    <w:semiHidden/>
    <w:unhideWhenUsed/>
    <w:rsid w:val="0074752D"/>
  </w:style>
  <w:style w:type="character" w:customStyle="1" w:styleId="SalutationChar">
    <w:name w:val="Salutation Char"/>
    <w:basedOn w:val="DefaultParagraphFont"/>
    <w:link w:val="Salutation"/>
    <w:semiHidden/>
    <w:rsid w:val="0074752D"/>
    <w:rPr>
      <w:rFonts w:asciiTheme="minorHAnsi" w:hAnsiTheme="minorHAnsi"/>
      <w:sz w:val="17"/>
      <w:szCs w:val="24"/>
    </w:rPr>
  </w:style>
  <w:style w:type="paragraph" w:styleId="Signature">
    <w:name w:val="Signature"/>
    <w:basedOn w:val="Normal"/>
    <w:link w:val="SignatureChar"/>
    <w:semiHidden/>
    <w:unhideWhenUsed/>
    <w:rsid w:val="0074752D"/>
    <w:pPr>
      <w:spacing w:before="0" w:after="0"/>
      <w:ind w:left="4252"/>
    </w:pPr>
  </w:style>
  <w:style w:type="character" w:customStyle="1" w:styleId="SignatureChar">
    <w:name w:val="Signature Char"/>
    <w:basedOn w:val="DefaultParagraphFont"/>
    <w:link w:val="Signature"/>
    <w:semiHidden/>
    <w:rsid w:val="0074752D"/>
    <w:rPr>
      <w:rFonts w:asciiTheme="minorHAnsi" w:hAnsiTheme="minorHAnsi"/>
      <w:sz w:val="17"/>
      <w:szCs w:val="24"/>
    </w:rPr>
  </w:style>
  <w:style w:type="paragraph" w:styleId="TableofFigures">
    <w:name w:val="table of figures"/>
    <w:basedOn w:val="Normal"/>
    <w:next w:val="Normal"/>
    <w:semiHidden/>
    <w:unhideWhenUsed/>
    <w:qFormat/>
    <w:rsid w:val="0074752D"/>
    <w:pPr>
      <w:spacing w:after="0"/>
    </w:pPr>
  </w:style>
  <w:style w:type="paragraph" w:styleId="Title">
    <w:name w:val="Title"/>
    <w:basedOn w:val="Normal"/>
    <w:next w:val="Normal"/>
    <w:link w:val="TitleChar"/>
    <w:qFormat/>
    <w:rsid w:val="0074752D"/>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74752D"/>
    <w:rPr>
      <w:rFonts w:asciiTheme="majorHAnsi" w:eastAsiaTheme="majorEastAsia" w:hAnsiTheme="majorHAnsi" w:cstheme="majorBidi"/>
      <w:spacing w:val="-10"/>
      <w:kern w:val="28"/>
      <w:sz w:val="56"/>
      <w:szCs w:val="56"/>
    </w:rPr>
  </w:style>
  <w:style w:type="paragraph" w:styleId="TOAHeading">
    <w:name w:val="toa heading"/>
    <w:basedOn w:val="Normal"/>
    <w:next w:val="Normal"/>
    <w:semiHidden/>
    <w:unhideWhenUsed/>
    <w:rsid w:val="0074752D"/>
    <w:rPr>
      <w:rFonts w:asciiTheme="majorHAnsi" w:eastAsiaTheme="majorEastAsia" w:hAnsiTheme="majorHAnsi" w:cstheme="majorBidi"/>
      <w:b/>
      <w:bCs/>
      <w:sz w:val="24"/>
    </w:rPr>
  </w:style>
  <w:style w:type="table" w:styleId="GridTable1Light-Accent1">
    <w:name w:val="Grid Table 1 Light Accent 1"/>
    <w:basedOn w:val="TableNormal"/>
    <w:uiPriority w:val="46"/>
    <w:rsid w:val="001A11B4"/>
    <w:tblPr>
      <w:tblStyleRowBandSize w:val="1"/>
      <w:tblStyleColBandSize w:val="1"/>
      <w:tblBorders>
        <w:top w:val="single" w:sz="4" w:space="0" w:color="82F6FF" w:themeColor="accent1" w:themeTint="66"/>
        <w:left w:val="single" w:sz="4" w:space="0" w:color="82F6FF" w:themeColor="accent1" w:themeTint="66"/>
        <w:bottom w:val="single" w:sz="4" w:space="0" w:color="82F6FF" w:themeColor="accent1" w:themeTint="66"/>
        <w:right w:val="single" w:sz="4" w:space="0" w:color="82F6FF" w:themeColor="accent1" w:themeTint="66"/>
        <w:insideH w:val="single" w:sz="4" w:space="0" w:color="82F6FF" w:themeColor="accent1" w:themeTint="66"/>
        <w:insideV w:val="single" w:sz="4" w:space="0" w:color="82F6FF" w:themeColor="accent1" w:themeTint="66"/>
      </w:tblBorders>
    </w:tblPr>
    <w:tblStylePr w:type="firstRow">
      <w:rPr>
        <w:b/>
        <w:bCs/>
      </w:rPr>
      <w:tblPr/>
      <w:tcPr>
        <w:tcBorders>
          <w:bottom w:val="single" w:sz="12" w:space="0" w:color="44F2FF" w:themeColor="accent1" w:themeTint="99"/>
        </w:tcBorders>
      </w:tcPr>
    </w:tblStylePr>
    <w:tblStylePr w:type="lastRow">
      <w:rPr>
        <w:b/>
        <w:bCs/>
      </w:rPr>
      <w:tblPr/>
      <w:tcPr>
        <w:tcBorders>
          <w:top w:val="double" w:sz="2" w:space="0" w:color="44F2FF" w:themeColor="accent1" w:themeTint="99"/>
        </w:tcBorders>
      </w:tcPr>
    </w:tblStylePr>
    <w:tblStylePr w:type="firstCol">
      <w:rPr>
        <w:b/>
        <w:bCs/>
      </w:rPr>
    </w:tblStylePr>
    <w:tblStylePr w:type="lastCol">
      <w:rPr>
        <w:b/>
        <w:bCs/>
      </w:rPr>
    </w:tblStylePr>
  </w:style>
  <w:style w:type="table" w:customStyle="1" w:styleId="AnnualReportfinancialtable1">
    <w:name w:val="Annual Report financial table1"/>
    <w:basedOn w:val="TableNormal"/>
    <w:uiPriority w:val="99"/>
    <w:rsid w:val="00B87277"/>
    <w:pPr>
      <w:spacing w:before="30" w:after="30"/>
      <w:jc w:val="right"/>
    </w:pPr>
    <w:rPr>
      <w:rFonts w:asciiTheme="minorHAnsi" w:hAnsiTheme="minorHAnsi"/>
      <w:color w:val="4D4D4D"/>
      <w:sz w:val="16"/>
    </w:rPr>
    <w:tblPr>
      <w:tblStyleRowBandSize w:val="1"/>
      <w:tblStyleColBandSize w:val="1"/>
      <w:tblCellMar>
        <w:left w:w="86" w:type="dxa"/>
        <w:right w:w="86" w:type="dxa"/>
      </w:tblCellMar>
    </w:tblPr>
    <w:trPr>
      <w:cantSplit/>
    </w:trPr>
    <w:tblStylePr w:type="firstRow">
      <w:rPr>
        <w:rFonts w:asciiTheme="majorHAnsi" w:hAnsiTheme="majorHAnsi"/>
        <w:b w:val="0"/>
      </w:rPr>
      <w:tblPr/>
      <w:tcPr>
        <w:shd w:val="clear" w:color="auto" w:fill="FFFFFF" w:themeFill="background1"/>
      </w:tcPr>
    </w:tblStylePr>
    <w:tblStylePr w:type="firstCol">
      <w:pPr>
        <w:jc w:val="left"/>
      </w:pPr>
      <w:tblPr/>
      <w:tcPr>
        <w:shd w:val="clear" w:color="auto" w:fill="E0E0E0"/>
      </w:tcPr>
    </w:tblStylePr>
    <w:tblStylePr w:type="band1Vert">
      <w:tblPr/>
      <w:tcPr>
        <w:shd w:val="clear" w:color="auto" w:fill="FFFFFF" w:themeFill="background1"/>
      </w:tcPr>
    </w:tblStylePr>
    <w:tblStylePr w:type="band2Vert">
      <w:rPr>
        <w:color w:val="auto"/>
      </w:rPr>
      <w:tblPr/>
      <w:tcPr>
        <w:shd w:val="clear" w:color="auto" w:fill="E0E0E0"/>
      </w:tcPr>
    </w:tblStylePr>
  </w:style>
  <w:style w:type="character" w:styleId="UnresolvedMention">
    <w:name w:val="Unresolved Mention"/>
    <w:basedOn w:val="DefaultParagraphFont"/>
    <w:uiPriority w:val="99"/>
    <w:rsid w:val="00481DA6"/>
    <w:rPr>
      <w:color w:val="605E5C"/>
      <w:shd w:val="clear" w:color="auto" w:fill="E1DFDD"/>
    </w:rPr>
  </w:style>
  <w:style w:type="character" w:styleId="Mention">
    <w:name w:val="Mention"/>
    <w:basedOn w:val="DefaultParagraphFont"/>
    <w:uiPriority w:val="99"/>
    <w:rsid w:val="00723D94"/>
    <w:rPr>
      <w:color w:val="2B579A"/>
      <w:shd w:val="clear" w:color="auto" w:fill="E1DFDD"/>
    </w:rPr>
  </w:style>
  <w:style w:type="paragraph" w:customStyle="1" w:styleId="NoteNormal">
    <w:name w:val="Note Normal"/>
    <w:basedOn w:val="Normal"/>
    <w:rsid w:val="00122BF3"/>
    <w:pPr>
      <w:keepNext/>
      <w:spacing w:before="80"/>
    </w:pPr>
    <w:rPr>
      <w:rFonts w:cstheme="minorHAnsi"/>
      <w:color w:val="000000"/>
      <w:spacing w:val="1"/>
      <w:sz w:val="16"/>
      <w:szCs w:val="16"/>
      <w:lang w:eastAsia="en-US"/>
    </w:rPr>
  </w:style>
  <w:style w:type="table" w:customStyle="1" w:styleId="DTFtexttable0">
    <w:name w:val="DTF text table"/>
    <w:basedOn w:val="TableNormal"/>
    <w:uiPriority w:val="99"/>
    <w:rsid w:val="00122BF3"/>
    <w:pPr>
      <w:spacing w:before="30" w:after="30" w:line="264" w:lineRule="auto"/>
    </w:pPr>
    <w:rPr>
      <w:rFonts w:asciiTheme="minorHAnsi" w:eastAsiaTheme="minorHAnsi" w:hAnsiTheme="minorHAnsi" w:cstheme="minorBidi"/>
      <w:spacing w:val="2"/>
      <w:sz w:val="17"/>
      <w:szCs w:val="21"/>
      <w:lang w:eastAsia="en-US"/>
    </w:rPr>
    <w:tblPr>
      <w:tblStyleRowBandSize w:val="1"/>
      <w:tblStyleColBandSize w:val="1"/>
      <w:tblBorders>
        <w:bottom w:val="single" w:sz="12" w:space="0" w:color="71D9E0" w:themeColor="accent2"/>
        <w:insideH w:val="single" w:sz="6" w:space="0" w:color="A6A6A6" w:themeColor="background1" w:themeShade="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A6E7EB" w:themeFill="background2"/>
      </w:tcPr>
    </w:tblStylePr>
    <w:tblStylePr w:type="lastRow">
      <w:rPr>
        <w:b/>
      </w:rPr>
      <w:tblPr/>
      <w:tcPr>
        <w:tcBorders>
          <w:top w:val="single" w:sz="6" w:space="0" w:color="71D9E0" w:themeColor="accent2"/>
          <w:left w:val="nil"/>
          <w:bottom w:val="single" w:sz="12" w:space="0" w:color="71D9E0"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styleId="Subtitle">
    <w:name w:val="Subtitle"/>
    <w:basedOn w:val="Normal"/>
    <w:next w:val="Normal"/>
    <w:link w:val="SubtitleChar"/>
    <w:rsid w:val="00A77FC2"/>
    <w:pPr>
      <w:numPr>
        <w:ilvl w:val="1"/>
      </w:numPr>
      <w:spacing w:after="160"/>
    </w:pPr>
    <w:rPr>
      <w:rFonts w:eastAsiaTheme="minorEastAsia" w:cstheme="minorBidi"/>
      <w:color w:val="5B6F94" w:themeColor="text1" w:themeTint="A5"/>
      <w:spacing w:val="15"/>
      <w:sz w:val="22"/>
      <w:szCs w:val="22"/>
    </w:rPr>
  </w:style>
  <w:style w:type="character" w:customStyle="1" w:styleId="SubtitleChar">
    <w:name w:val="Subtitle Char"/>
    <w:basedOn w:val="DefaultParagraphFont"/>
    <w:link w:val="Subtitle"/>
    <w:rsid w:val="00A77FC2"/>
    <w:rPr>
      <w:rFonts w:asciiTheme="minorHAnsi" w:eastAsiaTheme="minorEastAsia" w:hAnsiTheme="minorHAnsi" w:cstheme="minorBidi"/>
      <w:color w:val="5B6F94" w:themeColor="text1" w:themeTint="A5"/>
      <w:spacing w:val="15"/>
      <w:sz w:val="22"/>
      <w:szCs w:val="22"/>
    </w:rPr>
  </w:style>
  <w:style w:type="table" w:styleId="LightShading">
    <w:name w:val="Light Shading"/>
    <w:basedOn w:val="TableNormal"/>
    <w:uiPriority w:val="60"/>
    <w:rsid w:val="00A77FC2"/>
    <w:rPr>
      <w:rFonts w:asciiTheme="minorHAnsi" w:eastAsiaTheme="minorEastAsia" w:hAnsiTheme="minorHAnsi" w:cstheme="minorBidi"/>
      <w:color w:val="1A202A" w:themeColor="text1" w:themeShade="BF"/>
    </w:rPr>
    <w:tblPr>
      <w:tblStyleRowBandSize w:val="1"/>
      <w:tblStyleColBandSize w:val="1"/>
      <w:tblBorders>
        <w:top w:val="single" w:sz="8" w:space="0" w:color="232B39" w:themeColor="text1"/>
        <w:bottom w:val="single" w:sz="8" w:space="0" w:color="232B39" w:themeColor="text1"/>
      </w:tblBorders>
    </w:tblPr>
    <w:tblStylePr w:type="fir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la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C7D7" w:themeFill="text1" w:themeFillTint="3F"/>
      </w:tcPr>
    </w:tblStylePr>
    <w:tblStylePr w:type="band1Horz">
      <w:tblPr/>
      <w:tcPr>
        <w:tcBorders>
          <w:left w:val="nil"/>
          <w:right w:val="nil"/>
          <w:insideH w:val="nil"/>
          <w:insideV w:val="nil"/>
        </w:tcBorders>
        <w:shd w:val="clear" w:color="auto" w:fill="BFC7D7" w:themeFill="text1" w:themeFillTint="3F"/>
      </w:tcPr>
    </w:tblStylePr>
  </w:style>
  <w:style w:type="table" w:styleId="LightList-Accent4">
    <w:name w:val="Light List Accent 4"/>
    <w:basedOn w:val="TableNormal"/>
    <w:uiPriority w:val="61"/>
    <w:rsid w:val="00A77FC2"/>
    <w:rPr>
      <w:rFonts w:asciiTheme="minorHAnsi" w:eastAsiaTheme="minorEastAsia" w:hAnsiTheme="minorHAnsi" w:cstheme="minorBidi"/>
    </w:rPr>
    <w:tblPr>
      <w:tblStyleRowBandSize w:val="1"/>
      <w:tblStyleColBandSize w:val="1"/>
      <w:tblBorders>
        <w:top w:val="single" w:sz="8" w:space="0" w:color="4C9E61" w:themeColor="accent4"/>
        <w:left w:val="single" w:sz="8" w:space="0" w:color="4C9E61" w:themeColor="accent4"/>
        <w:bottom w:val="single" w:sz="8" w:space="0" w:color="4C9E61" w:themeColor="accent4"/>
        <w:right w:val="single" w:sz="8" w:space="0" w:color="4C9E61" w:themeColor="accent4"/>
      </w:tblBorders>
    </w:tblPr>
    <w:tblStylePr w:type="firstRow">
      <w:pPr>
        <w:spacing w:before="0" w:after="0" w:line="240" w:lineRule="auto"/>
      </w:pPr>
      <w:rPr>
        <w:b/>
        <w:bCs/>
        <w:color w:val="FFFFFF" w:themeColor="background1"/>
      </w:rPr>
      <w:tblPr/>
      <w:tcPr>
        <w:shd w:val="clear" w:color="auto" w:fill="4C9E61" w:themeFill="accent4"/>
      </w:tcPr>
    </w:tblStylePr>
    <w:tblStylePr w:type="lastRow">
      <w:pPr>
        <w:spacing w:before="0" w:after="0" w:line="240" w:lineRule="auto"/>
      </w:pPr>
      <w:rPr>
        <w:b/>
        <w:bCs/>
      </w:rPr>
      <w:tblPr/>
      <w:tcPr>
        <w:tcBorders>
          <w:top w:val="double" w:sz="6" w:space="0" w:color="4C9E61" w:themeColor="accent4"/>
          <w:left w:val="single" w:sz="8" w:space="0" w:color="4C9E61" w:themeColor="accent4"/>
          <w:bottom w:val="single" w:sz="8" w:space="0" w:color="4C9E61" w:themeColor="accent4"/>
          <w:right w:val="single" w:sz="8" w:space="0" w:color="4C9E61" w:themeColor="accent4"/>
        </w:tcBorders>
      </w:tcPr>
    </w:tblStylePr>
    <w:tblStylePr w:type="firstCol">
      <w:rPr>
        <w:b/>
        <w:bCs/>
      </w:rPr>
    </w:tblStylePr>
    <w:tblStylePr w:type="lastCol">
      <w:rPr>
        <w:b/>
        <w:bCs/>
      </w:rPr>
    </w:tblStylePr>
    <w:tblStylePr w:type="band1Vert">
      <w:tblPr/>
      <w:tcPr>
        <w:tcBorders>
          <w:top w:val="single" w:sz="8" w:space="0" w:color="4C9E61" w:themeColor="accent4"/>
          <w:left w:val="single" w:sz="8" w:space="0" w:color="4C9E61" w:themeColor="accent4"/>
          <w:bottom w:val="single" w:sz="8" w:space="0" w:color="4C9E61" w:themeColor="accent4"/>
          <w:right w:val="single" w:sz="8" w:space="0" w:color="4C9E61" w:themeColor="accent4"/>
        </w:tcBorders>
      </w:tcPr>
    </w:tblStylePr>
    <w:tblStylePr w:type="band1Horz">
      <w:tblPr/>
      <w:tcPr>
        <w:tcBorders>
          <w:top w:val="single" w:sz="8" w:space="0" w:color="4C9E61" w:themeColor="accent4"/>
          <w:left w:val="single" w:sz="8" w:space="0" w:color="4C9E61" w:themeColor="accent4"/>
          <w:bottom w:val="single" w:sz="8" w:space="0" w:color="4C9E61" w:themeColor="accent4"/>
          <w:right w:val="single" w:sz="8" w:space="0" w:color="4C9E61" w:themeColor="accent4"/>
        </w:tcBorders>
      </w:tcPr>
    </w:tblStylePr>
  </w:style>
  <w:style w:type="table" w:styleId="LightList-Accent1">
    <w:name w:val="Light List Accent 1"/>
    <w:basedOn w:val="TableNormal"/>
    <w:uiPriority w:val="61"/>
    <w:rsid w:val="00A77FC2"/>
    <w:rPr>
      <w:rFonts w:asciiTheme="minorHAnsi" w:eastAsiaTheme="minorEastAsia" w:hAnsiTheme="minorHAnsi" w:cstheme="minorBidi"/>
    </w:rPr>
    <w:tblPr>
      <w:tblStyleRowBandSize w:val="1"/>
      <w:tblStyleColBandSize w:val="1"/>
      <w:tblBorders>
        <w:top w:val="single" w:sz="8" w:space="0" w:color="00BAC7" w:themeColor="accent1"/>
        <w:left w:val="single" w:sz="8" w:space="0" w:color="00BAC7" w:themeColor="accent1"/>
        <w:bottom w:val="single" w:sz="8" w:space="0" w:color="00BAC7" w:themeColor="accent1"/>
        <w:right w:val="single" w:sz="8" w:space="0" w:color="00BAC7" w:themeColor="accent1"/>
      </w:tblBorders>
    </w:tblPr>
    <w:tblStylePr w:type="firstRow">
      <w:pPr>
        <w:spacing w:before="0" w:after="0" w:line="240" w:lineRule="auto"/>
      </w:pPr>
      <w:rPr>
        <w:b/>
        <w:bCs/>
        <w:color w:val="FFFFFF" w:themeColor="background1"/>
      </w:rPr>
      <w:tblPr/>
      <w:tcPr>
        <w:shd w:val="clear" w:color="auto" w:fill="00BAC7" w:themeFill="accent1"/>
      </w:tcPr>
    </w:tblStylePr>
    <w:tblStylePr w:type="lastRow">
      <w:pPr>
        <w:spacing w:before="0" w:after="0" w:line="240" w:lineRule="auto"/>
      </w:pPr>
      <w:rPr>
        <w:b/>
        <w:bCs/>
      </w:rPr>
      <w:tblPr/>
      <w:tcPr>
        <w:tcBorders>
          <w:top w:val="double" w:sz="6" w:space="0" w:color="00BAC7" w:themeColor="accent1"/>
          <w:left w:val="single" w:sz="8" w:space="0" w:color="00BAC7" w:themeColor="accent1"/>
          <w:bottom w:val="single" w:sz="8" w:space="0" w:color="00BAC7" w:themeColor="accent1"/>
          <w:right w:val="single" w:sz="8" w:space="0" w:color="00BAC7" w:themeColor="accent1"/>
        </w:tcBorders>
      </w:tcPr>
    </w:tblStylePr>
    <w:tblStylePr w:type="firstCol">
      <w:rPr>
        <w:b/>
        <w:bCs/>
      </w:rPr>
    </w:tblStylePr>
    <w:tblStylePr w:type="lastCol">
      <w:rPr>
        <w:b/>
        <w:bCs/>
      </w:rPr>
    </w:tblStylePr>
    <w:tblStylePr w:type="band1Vert">
      <w:tblPr/>
      <w:tcPr>
        <w:tcBorders>
          <w:top w:val="single" w:sz="8" w:space="0" w:color="00BAC7" w:themeColor="accent1"/>
          <w:left w:val="single" w:sz="8" w:space="0" w:color="00BAC7" w:themeColor="accent1"/>
          <w:bottom w:val="single" w:sz="8" w:space="0" w:color="00BAC7" w:themeColor="accent1"/>
          <w:right w:val="single" w:sz="8" w:space="0" w:color="00BAC7" w:themeColor="accent1"/>
        </w:tcBorders>
      </w:tcPr>
    </w:tblStylePr>
    <w:tblStylePr w:type="band1Horz">
      <w:tblPr/>
      <w:tcPr>
        <w:tcBorders>
          <w:top w:val="single" w:sz="8" w:space="0" w:color="00BAC7" w:themeColor="accent1"/>
          <w:left w:val="single" w:sz="8" w:space="0" w:color="00BAC7" w:themeColor="accent1"/>
          <w:bottom w:val="single" w:sz="8" w:space="0" w:color="00BAC7" w:themeColor="accent1"/>
          <w:right w:val="single" w:sz="8" w:space="0" w:color="00BAC7" w:themeColor="accent1"/>
        </w:tcBorders>
      </w:tcPr>
    </w:tblStylePr>
  </w:style>
  <w:style w:type="paragraph" w:customStyle="1" w:styleId="TertiaryTitle">
    <w:name w:val="Tertiary Title"/>
    <w:next w:val="Normal"/>
    <w:uiPriority w:val="99"/>
    <w:rsid w:val="00A77FC2"/>
    <w:pPr>
      <w:spacing w:line="276" w:lineRule="auto"/>
    </w:pPr>
    <w:rPr>
      <w:rFonts w:asciiTheme="majorHAnsi" w:hAnsiTheme="majorHAnsi" w:cstheme="majorHAnsi"/>
      <w:color w:val="FFFFFF" w:themeColor="background1"/>
      <w:spacing w:val="-2"/>
      <w:szCs w:val="40"/>
      <w:lang w:eastAsia="en-US"/>
    </w:rPr>
  </w:style>
  <w:style w:type="paragraph" w:customStyle="1" w:styleId="Insidecoverspacer">
    <w:name w:val="Inside cover spacer"/>
    <w:basedOn w:val="Normal"/>
    <w:uiPriority w:val="99"/>
    <w:semiHidden/>
    <w:qFormat/>
    <w:rsid w:val="00A77FC2"/>
    <w:pPr>
      <w:spacing w:before="3800"/>
      <w:ind w:right="1382"/>
    </w:pPr>
  </w:style>
  <w:style w:type="table" w:customStyle="1" w:styleId="DTFfinancialtable">
    <w:name w:val="DTF financial table"/>
    <w:basedOn w:val="TableNormal"/>
    <w:uiPriority w:val="99"/>
    <w:rsid w:val="00A77FC2"/>
    <w:pPr>
      <w:spacing w:before="30" w:after="30" w:line="264" w:lineRule="auto"/>
      <w:jc w:val="right"/>
    </w:pPr>
    <w:rPr>
      <w:rFonts w:asciiTheme="minorHAnsi" w:eastAsiaTheme="minorHAnsi" w:hAnsiTheme="minorHAnsi" w:cstheme="minorBidi"/>
      <w:spacing w:val="2"/>
      <w:sz w:val="17"/>
      <w:szCs w:val="21"/>
      <w:lang w:eastAsia="en-US"/>
    </w:rPr>
    <w:tblPr>
      <w:tblStyleRowBandSize w:val="1"/>
      <w:tblStyleColBandSize w:val="1"/>
      <w:tblBorders>
        <w:bottom w:val="single" w:sz="12" w:space="0" w:color="71D9E0" w:themeColor="accent2"/>
      </w:tblBorders>
      <w:tblCellMar>
        <w:left w:w="57" w:type="dxa"/>
        <w:right w:w="57" w:type="dxa"/>
      </w:tblCellMar>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A6E7EB" w:themeFill="background2"/>
      </w:tcPr>
    </w:tblStylePr>
    <w:tblStylePr w:type="lastRow">
      <w:rPr>
        <w:b/>
      </w:rPr>
      <w:tblPr/>
      <w:tcPr>
        <w:tcBorders>
          <w:top w:val="single" w:sz="6" w:space="0" w:color="00BAC7" w:themeColor="accent1"/>
          <w:left w:val="nil"/>
          <w:bottom w:val="single" w:sz="12" w:space="0" w:color="00BAC7"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Numpara">
    <w:name w:val="Num para"/>
    <w:basedOn w:val="Normal"/>
    <w:uiPriority w:val="2"/>
    <w:qFormat/>
    <w:rsid w:val="00385D75"/>
    <w:pPr>
      <w:tabs>
        <w:tab w:val="left" w:pos="540"/>
        <w:tab w:val="num" w:pos="1492"/>
      </w:tabs>
      <w:spacing w:line="264" w:lineRule="auto"/>
      <w:ind w:left="720" w:hanging="360"/>
      <w:contextualSpacing/>
    </w:pPr>
    <w:rPr>
      <w:rFonts w:eastAsiaTheme="minorEastAsia" w:cstheme="minorBidi"/>
      <w:color w:val="232B39" w:themeColor="text1"/>
      <w:sz w:val="20"/>
      <w:szCs w:val="20"/>
    </w:rPr>
  </w:style>
  <w:style w:type="table" w:customStyle="1" w:styleId="DTFfinancialtableindent">
    <w:name w:val="DTF financial table indent"/>
    <w:basedOn w:val="DTFfinancialtable"/>
    <w:uiPriority w:val="99"/>
    <w:rsid w:val="009D4A23"/>
    <w:pPr>
      <w:spacing w:after="0" w:line="240" w:lineRule="auto"/>
    </w:pPr>
    <w:tblPr>
      <w:tblInd w:w="864" w:type="dxa"/>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A6E7EB" w:themeFill="background2"/>
      </w:tcPr>
    </w:tblStylePr>
    <w:tblStylePr w:type="lastRow">
      <w:rPr>
        <w:b/>
      </w:rPr>
      <w:tblPr/>
      <w:tcPr>
        <w:tcBorders>
          <w:top w:val="single" w:sz="6" w:space="0" w:color="00BAC7" w:themeColor="accent1"/>
          <w:left w:val="nil"/>
          <w:bottom w:val="single" w:sz="12" w:space="0" w:color="00BAC7"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table" w:customStyle="1" w:styleId="DTFtexttableindent">
    <w:name w:val="DTF text table indent"/>
    <w:basedOn w:val="DTFtexttable0"/>
    <w:uiPriority w:val="99"/>
    <w:rsid w:val="009D4A23"/>
    <w:pPr>
      <w:spacing w:after="0" w:line="240" w:lineRule="auto"/>
    </w:pPr>
    <w:tblPr>
      <w:tblInd w:w="864" w:type="dxa"/>
    </w:tbl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A6E7EB" w:themeFill="background2"/>
      </w:tcPr>
    </w:tblStylePr>
    <w:tblStylePr w:type="lastRow">
      <w:rPr>
        <w:b/>
      </w:rPr>
      <w:tblPr/>
      <w:tcPr>
        <w:tcBorders>
          <w:top w:val="single" w:sz="6" w:space="0" w:color="00BAC7" w:themeColor="accent1"/>
          <w:left w:val="nil"/>
          <w:bottom w:val="single" w:sz="12" w:space="0" w:color="00BAC7"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customStyle="1" w:styleId="CM">
    <w:name w:val="CM"/>
    <w:next w:val="Normal"/>
    <w:uiPriority w:val="79"/>
    <w:rsid w:val="00A77FC2"/>
    <w:pPr>
      <w:spacing w:after="800"/>
      <w:ind w:right="2909"/>
    </w:pPr>
    <w:rPr>
      <w:rFonts w:asciiTheme="minorHAnsi" w:eastAsiaTheme="minorEastAsia" w:hAnsiTheme="minorHAnsi" w:cstheme="minorBidi"/>
      <w:caps/>
    </w:rPr>
  </w:style>
  <w:style w:type="paragraph" w:customStyle="1" w:styleId="CoverSpacer">
    <w:name w:val="CoverSpacer"/>
    <w:basedOn w:val="Normal"/>
    <w:semiHidden/>
    <w:qFormat/>
    <w:rsid w:val="00A77FC2"/>
    <w:pPr>
      <w:spacing w:before="4600" w:after="0" w:line="264" w:lineRule="auto"/>
    </w:pPr>
    <w:rPr>
      <w:rFonts w:eastAsiaTheme="minorEastAsia" w:cstheme="minorBidi"/>
      <w:color w:val="232B39" w:themeColor="text1"/>
      <w:sz w:val="20"/>
      <w:szCs w:val="20"/>
    </w:rPr>
  </w:style>
  <w:style w:type="table" w:styleId="PlainTable4">
    <w:name w:val="Plain Table 4"/>
    <w:basedOn w:val="TableNormal"/>
    <w:uiPriority w:val="44"/>
    <w:rsid w:val="00A77FC2"/>
    <w:rPr>
      <w:rFonts w:asciiTheme="minorHAnsi" w:eastAsiaTheme="minorEastAsia" w:hAnsiTheme="minorHAnsi" w:cstheme="minorBid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Footerodd">
    <w:name w:val="Footer odd"/>
    <w:basedOn w:val="Footer"/>
    <w:qFormat/>
    <w:rsid w:val="00A77FC2"/>
    <w:pPr>
      <w:tabs>
        <w:tab w:val="clear" w:pos="4153"/>
        <w:tab w:val="clear" w:pos="8306"/>
        <w:tab w:val="right" w:pos="9000"/>
      </w:tabs>
      <w:jc w:val="left"/>
    </w:pPr>
    <w:rPr>
      <w:bCs/>
      <w:sz w:val="15"/>
    </w:rPr>
  </w:style>
  <w:style w:type="paragraph" w:customStyle="1" w:styleId="Tabletextboldwhite">
    <w:name w:val="Table text bold white"/>
    <w:basedOn w:val="Tabletext"/>
    <w:qFormat/>
    <w:rsid w:val="003838F7"/>
    <w:pPr>
      <w:keepLines w:val="0"/>
      <w:spacing w:before="60" w:after="60" w:line="252" w:lineRule="auto"/>
    </w:pPr>
    <w:rPr>
      <w:rFonts w:cstheme="minorBidi"/>
      <w:b/>
      <w:color w:val="FFFFFF" w:themeColor="background1"/>
      <w:sz w:val="16"/>
      <w:szCs w:val="20"/>
    </w:rPr>
  </w:style>
  <w:style w:type="numbering" w:customStyle="1" w:styleId="ListBulletStyle">
    <w:name w:val="List Bullet Style"/>
    <w:uiPriority w:val="99"/>
    <w:rsid w:val="00AC7863"/>
  </w:style>
  <w:style w:type="table" w:customStyle="1" w:styleId="DTFFinancialTable0">
    <w:name w:val="DTF Financial Table"/>
    <w:basedOn w:val="DTFTextTable"/>
    <w:uiPriority w:val="99"/>
    <w:rsid w:val="001A10CF"/>
    <w:pPr>
      <w:spacing w:before="20" w:after="20" w:line="240" w:lineRule="auto"/>
      <w:jc w:val="right"/>
    </w:pPr>
    <w:rPr>
      <w:rFonts w:asciiTheme="minorHAnsi" w:hAnsiTheme="minorHAnsi"/>
      <w:sz w:val="17"/>
      <w:szCs w:val="18"/>
    </w:rPr>
    <w:tblPr>
      <w:tblInd w:w="0" w:type="dxa"/>
    </w:tblPr>
    <w:trPr>
      <w:cantSplit w:val="0"/>
    </w:trPr>
    <w:tblStylePr w:type="firstRow">
      <w:pPr>
        <w:wordWrap/>
        <w:spacing w:beforeLines="0" w:before="40" w:beforeAutospacing="0" w:afterLines="0" w:after="40" w:afterAutospacing="0" w:line="240" w:lineRule="auto"/>
        <w:jc w:val="right"/>
      </w:pPr>
      <w:rPr>
        <w:b w:val="0"/>
        <w:bCs/>
        <w:i/>
      </w:rPr>
      <w:tblPr/>
      <w:trPr>
        <w:cantSplit w:val="0"/>
      </w:trPr>
      <w:tcPr>
        <w:shd w:val="clear" w:color="auto" w:fill="232B39" w:themeFill="text1"/>
        <w:vAlign w:val="bottom"/>
      </w:tcPr>
    </w:tblStylePr>
    <w:tblStylePr w:type="lastRow">
      <w:rPr>
        <w:b/>
        <w:bCs/>
      </w:rPr>
      <w:tblPr/>
      <w:tcPr>
        <w:tcBorders>
          <w:top w:val="single" w:sz="6" w:space="0" w:color="auto"/>
          <w:left w:val="nil"/>
          <w:bottom w:val="single" w:sz="12" w:space="0" w:color="auto"/>
          <w:right w:val="nil"/>
          <w:insideH w:val="nil"/>
          <w:insideV w:val="nil"/>
          <w:tl2br w:val="nil"/>
          <w:tr2bl w:val="nil"/>
        </w:tcBorders>
        <w:shd w:val="clear" w:color="auto" w:fill="53D0D8" w:themeFill="background2" w:themeFillShade="BF"/>
      </w:tcPr>
    </w:tblStylePr>
    <w:tblStylePr w:type="firstCol">
      <w:pPr>
        <w:wordWrap/>
        <w:spacing w:line="240" w:lineRule="auto"/>
        <w:ind w:leftChars="0" w:left="170" w:rightChars="0" w:right="0" w:firstLineChars="0" w:hanging="170"/>
        <w:jc w:val="left"/>
      </w:pPr>
      <w:rPr>
        <w:b w:val="0"/>
        <w:bCs/>
      </w:rPr>
      <w:tblPr/>
      <w:tcPr>
        <w:vAlign w:val="bottom"/>
      </w:tcPr>
    </w:tblStylePr>
    <w:tblStylePr w:type="lastCol">
      <w:rPr>
        <w:b/>
        <w:bCs/>
      </w:rPr>
      <w:tblPr/>
      <w:tcPr>
        <w:shd w:val="clear" w:color="auto" w:fill="F2F2F2" w:themeFill="background1" w:themeFillShade="F2"/>
      </w:tcPr>
    </w:tblStylePr>
    <w:tblStylePr w:type="band1Vert">
      <w:tblPr/>
      <w:tcPr>
        <w:shd w:val="clear" w:color="auto" w:fill="F2F2F2" w:themeFill="background1" w:themeFillShade="F2"/>
      </w:tcPr>
    </w:tblStylePr>
    <w:tblStylePr w:type="band1Horz">
      <w:tblPr/>
      <w:tcPr>
        <w:shd w:val="clear" w:color="auto" w:fill="FFFFFF" w:themeFill="background1"/>
      </w:tcPr>
    </w:tblStylePr>
    <w:tblStylePr w:type="band2Horz">
      <w:tblPr/>
      <w:tcPr>
        <w:shd w:val="clear" w:color="auto" w:fill="F2F2F2" w:themeFill="background1" w:themeFillShade="F2"/>
      </w:tcPr>
    </w:tblStylePr>
    <w:tblStylePr w:type="nwCell">
      <w:pPr>
        <w:jc w:val="left"/>
      </w:pPr>
    </w:tblStylePr>
  </w:style>
  <w:style w:type="paragraph" w:customStyle="1" w:styleId="Acknowledgement">
    <w:name w:val="Acknowledgement"/>
    <w:basedOn w:val="Normal"/>
    <w:qFormat/>
    <w:rsid w:val="00440360"/>
    <w:pPr>
      <w:spacing w:before="0" w:after="240" w:line="216" w:lineRule="auto"/>
    </w:pPr>
    <w:rPr>
      <w:rFonts w:eastAsiaTheme="minorHAnsi" w:cstheme="minorBidi"/>
      <w:bCs/>
      <w:caps/>
      <w:sz w:val="36"/>
      <w:szCs w:val="22"/>
      <w:lang w:eastAsia="en-US"/>
    </w:rPr>
  </w:style>
  <w:style w:type="paragraph" w:customStyle="1" w:styleId="Tabletextsemibold">
    <w:name w:val="Table text semibold"/>
    <w:basedOn w:val="Tabletext"/>
    <w:qFormat/>
    <w:rsid w:val="00250469"/>
    <w:rPr>
      <w:rFonts w:asciiTheme="majorHAnsi" w:hAnsiTheme="majorHAnsi"/>
    </w:rPr>
  </w:style>
  <w:style w:type="paragraph" w:customStyle="1" w:styleId="Notesbullet">
    <w:name w:val="Notes bullet"/>
    <w:basedOn w:val="Notes"/>
    <w:qFormat/>
    <w:rsid w:val="00250469"/>
    <w:pPr>
      <w:numPr>
        <w:numId w:val="42"/>
      </w:numPr>
    </w:pPr>
  </w:style>
  <w:style w:type="numbering" w:customStyle="1" w:styleId="ListStyle-Number">
    <w:name w:val="List Style - Number"/>
    <w:uiPriority w:val="99"/>
    <w:rsid w:val="009D4B85"/>
    <w:pPr>
      <w:numPr>
        <w:numId w:val="44"/>
      </w:numPr>
    </w:pPr>
  </w:style>
  <w:style w:type="paragraph" w:customStyle="1" w:styleId="Footerodd0">
    <w:name w:val="Footer (odd)"/>
    <w:basedOn w:val="Normal"/>
    <w:uiPriority w:val="84"/>
    <w:rsid w:val="00327525"/>
    <w:pPr>
      <w:pBdr>
        <w:top w:val="single" w:sz="6" w:space="1" w:color="auto"/>
      </w:pBdr>
      <w:tabs>
        <w:tab w:val="center" w:pos="4876"/>
        <w:tab w:val="right" w:pos="7710"/>
      </w:tabs>
      <w:spacing w:before="0"/>
    </w:pPr>
    <w:rPr>
      <w:rFonts w:asciiTheme="majorHAnsi" w:hAnsiTheme="majorHAnsi"/>
      <w:sz w:val="18"/>
      <w:szCs w:val="20"/>
      <w:lang w:eastAsia="en-US"/>
    </w:rPr>
  </w:style>
  <w:style w:type="paragraph" w:customStyle="1" w:styleId="FooterEvenpage">
    <w:name w:val="Footer (Even page)"/>
    <w:basedOn w:val="Footer"/>
    <w:uiPriority w:val="98"/>
    <w:qFormat/>
    <w:rsid w:val="00327525"/>
    <w:pPr>
      <w:pBdr>
        <w:top w:val="single" w:sz="6" w:space="1" w:color="00BAC7" w:themeColor="accent1"/>
      </w:pBdr>
      <w:tabs>
        <w:tab w:val="clear" w:pos="4153"/>
        <w:tab w:val="clear" w:pos="8306"/>
        <w:tab w:val="center" w:pos="3686"/>
        <w:tab w:val="right" w:pos="9639"/>
      </w:tabs>
      <w:spacing w:before="0" w:after="0" w:line="264" w:lineRule="auto"/>
      <w:jc w:val="left"/>
    </w:pPr>
    <w:rPr>
      <w:rFonts w:asciiTheme="majorHAnsi" w:eastAsiaTheme="minorHAnsi" w:hAnsiTheme="majorHAnsi" w:cstheme="minorBidi"/>
      <w:sz w:val="18"/>
      <w:szCs w:val="22"/>
      <w:lang w:eastAsia="en-US"/>
    </w:rPr>
  </w:style>
  <w:style w:type="paragraph" w:styleId="Caption">
    <w:name w:val="caption"/>
    <w:basedOn w:val="Normal"/>
    <w:next w:val="Normal"/>
    <w:uiPriority w:val="35"/>
    <w:unhideWhenUsed/>
    <w:qFormat/>
    <w:rsid w:val="00327525"/>
    <w:pPr>
      <w:spacing w:before="0" w:after="200"/>
    </w:pPr>
    <w:rPr>
      <w:b/>
      <w:bCs/>
      <w:color w:val="00BAC7" w:themeColor="accent1"/>
      <w:sz w:val="18"/>
      <w:szCs w:val="18"/>
    </w:rPr>
  </w:style>
  <w:style w:type="paragraph" w:customStyle="1" w:styleId="Heading2Notescontinued">
    <w:name w:val="Heading 2 Notes continued"/>
    <w:basedOn w:val="Heading2Notes"/>
    <w:rsid w:val="00327525"/>
    <w:pPr>
      <w:tabs>
        <w:tab w:val="num" w:pos="926"/>
      </w:tabs>
      <w:ind w:left="0" w:firstLine="0"/>
    </w:pPr>
  </w:style>
  <w:style w:type="paragraph" w:customStyle="1" w:styleId="Normalsemibold">
    <w:name w:val="Normal semi bold"/>
    <w:basedOn w:val="Normal"/>
    <w:qFormat/>
    <w:rsid w:val="00327525"/>
    <w:pPr>
      <w:keepNext/>
    </w:pPr>
    <w:rPr>
      <w:rFonts w:ascii="VIC Medium" w:hAnsi="VIC Medium"/>
    </w:rPr>
  </w:style>
  <w:style w:type="paragraph" w:styleId="List">
    <w:name w:val="List"/>
    <w:basedOn w:val="Normal"/>
    <w:unhideWhenUsed/>
    <w:rsid w:val="00327525"/>
    <w:pPr>
      <w:ind w:left="283" w:hanging="283"/>
      <w:contextualSpacing/>
    </w:pPr>
  </w:style>
  <w:style w:type="paragraph" w:styleId="ListContinue2">
    <w:name w:val="List Continue 2"/>
    <w:basedOn w:val="Normal"/>
    <w:unhideWhenUsed/>
    <w:rsid w:val="00327525"/>
    <w:pPr>
      <w:ind w:left="566"/>
      <w:contextualSpacing/>
    </w:pPr>
  </w:style>
  <w:style w:type="paragraph" w:styleId="Quote">
    <w:name w:val="Quote"/>
    <w:basedOn w:val="Normal"/>
    <w:next w:val="Normal"/>
    <w:link w:val="QuoteChar"/>
    <w:uiPriority w:val="29"/>
    <w:qFormat/>
    <w:rsid w:val="00327525"/>
    <w:pPr>
      <w:spacing w:before="200" w:after="160"/>
      <w:ind w:left="864" w:right="864"/>
      <w:jc w:val="center"/>
    </w:pPr>
    <w:rPr>
      <w:i/>
      <w:iCs/>
      <w:color w:val="4B5B79" w:themeColor="text1" w:themeTint="BF"/>
    </w:rPr>
  </w:style>
  <w:style w:type="character" w:customStyle="1" w:styleId="QuoteChar">
    <w:name w:val="Quote Char"/>
    <w:basedOn w:val="DefaultParagraphFont"/>
    <w:link w:val="Quote"/>
    <w:uiPriority w:val="29"/>
    <w:rsid w:val="00327525"/>
    <w:rPr>
      <w:rFonts w:asciiTheme="minorHAnsi" w:hAnsiTheme="minorHAnsi"/>
      <w:i/>
      <w:iCs/>
      <w:color w:val="4B5B79" w:themeColor="text1" w:themeTint="BF"/>
      <w:sz w:val="17"/>
      <w:szCs w:val="24"/>
    </w:rPr>
  </w:style>
  <w:style w:type="paragraph" w:styleId="TableofAuthorities">
    <w:name w:val="table of authorities"/>
    <w:basedOn w:val="Normal"/>
    <w:next w:val="Normal"/>
    <w:unhideWhenUsed/>
    <w:rsid w:val="00327525"/>
    <w:pPr>
      <w:spacing w:after="0"/>
      <w:ind w:left="170" w:hanging="170"/>
    </w:pPr>
  </w:style>
  <w:style w:type="paragraph" w:styleId="TOCHeading">
    <w:name w:val="TOC Heading"/>
    <w:basedOn w:val="Heading1"/>
    <w:next w:val="Normal"/>
    <w:uiPriority w:val="39"/>
    <w:unhideWhenUsed/>
    <w:qFormat/>
    <w:rsid w:val="00327525"/>
    <w:pPr>
      <w:tabs>
        <w:tab w:val="clear" w:pos="5180"/>
      </w:tabs>
      <w:spacing w:before="240" w:after="0" w:line="240" w:lineRule="auto"/>
      <w:outlineLvl w:val="9"/>
    </w:pPr>
    <w:rPr>
      <w:rFonts w:eastAsiaTheme="majorEastAsia" w:cstheme="majorBidi"/>
      <w:b/>
      <w:color w:val="008B95" w:themeColor="accent1" w:themeShade="BF"/>
      <w:sz w:val="32"/>
      <w:szCs w:val="32"/>
    </w:rPr>
  </w:style>
  <w:style w:type="paragraph" w:customStyle="1" w:styleId="Bullet1">
    <w:name w:val="Bullet 1"/>
    <w:uiPriority w:val="1"/>
    <w:qFormat/>
    <w:rsid w:val="00327525"/>
    <w:pPr>
      <w:spacing w:before="100" w:after="100"/>
      <w:contextualSpacing/>
    </w:pPr>
    <w:rPr>
      <w:rFonts w:asciiTheme="minorHAnsi" w:hAnsiTheme="minorHAnsi" w:cs="Helv"/>
      <w:color w:val="232B39" w:themeColor="text1"/>
      <w:sz w:val="19"/>
    </w:rPr>
  </w:style>
  <w:style w:type="paragraph" w:customStyle="1" w:styleId="Bullet2">
    <w:name w:val="Bullet 2"/>
    <w:basedOn w:val="Bullet1"/>
    <w:uiPriority w:val="1"/>
    <w:qFormat/>
    <w:rsid w:val="00327525"/>
  </w:style>
  <w:style w:type="paragraph" w:customStyle="1" w:styleId="Bulletindent">
    <w:name w:val="Bullet indent"/>
    <w:basedOn w:val="Bullet2"/>
    <w:uiPriority w:val="9"/>
    <w:qFormat/>
    <w:rsid w:val="00327525"/>
    <w:pPr>
      <w:spacing w:line="264" w:lineRule="auto"/>
    </w:pPr>
  </w:style>
  <w:style w:type="paragraph" w:customStyle="1" w:styleId="Bulletindent2">
    <w:name w:val="Bullet indent 2"/>
    <w:basedOn w:val="Normal"/>
    <w:uiPriority w:val="9"/>
    <w:qFormat/>
    <w:rsid w:val="00327525"/>
    <w:pPr>
      <w:keepLines w:val="0"/>
      <w:spacing w:line="252" w:lineRule="auto"/>
      <w:contextualSpacing/>
    </w:pPr>
    <w:rPr>
      <w:rFonts w:eastAsiaTheme="minorEastAsia" w:cstheme="minorBidi"/>
      <w:color w:val="232B39" w:themeColor="text1"/>
      <w:sz w:val="19"/>
      <w:szCs w:val="20"/>
    </w:rPr>
  </w:style>
  <w:style w:type="paragraph" w:customStyle="1" w:styleId="Tablenum1">
    <w:name w:val="Table num 1"/>
    <w:basedOn w:val="Normal"/>
    <w:uiPriority w:val="6"/>
    <w:rsid w:val="00327525"/>
    <w:pPr>
      <w:keepLines w:val="0"/>
      <w:tabs>
        <w:tab w:val="num" w:pos="360"/>
      </w:tabs>
      <w:spacing w:before="60" w:after="60" w:line="252" w:lineRule="auto"/>
      <w:ind w:left="360" w:hanging="360"/>
    </w:pPr>
    <w:rPr>
      <w:rFonts w:eastAsiaTheme="minorEastAsia" w:cstheme="minorBidi"/>
      <w:color w:val="232B39" w:themeColor="text1"/>
      <w:szCs w:val="20"/>
    </w:rPr>
  </w:style>
  <w:style w:type="paragraph" w:customStyle="1" w:styleId="Tablenum2">
    <w:name w:val="Table num 2"/>
    <w:basedOn w:val="Normal"/>
    <w:uiPriority w:val="6"/>
    <w:rsid w:val="00327525"/>
    <w:pPr>
      <w:keepLines w:val="0"/>
      <w:tabs>
        <w:tab w:val="num" w:pos="720"/>
      </w:tabs>
      <w:spacing w:before="60" w:after="60" w:line="252" w:lineRule="auto"/>
      <w:ind w:left="720" w:hanging="360"/>
    </w:pPr>
    <w:rPr>
      <w:rFonts w:eastAsiaTheme="minorEastAsia" w:cstheme="minorBidi"/>
      <w:color w:val="232B39" w:themeColor="text1"/>
      <w:szCs w:val="20"/>
    </w:rPr>
  </w:style>
  <w:style w:type="paragraph" w:customStyle="1" w:styleId="Tableheaderbullet">
    <w:name w:val="Table header bullet"/>
    <w:basedOn w:val="Tableheader"/>
    <w:qFormat/>
    <w:rsid w:val="00327525"/>
    <w:pPr>
      <w:keepNext/>
      <w:spacing w:before="0" w:after="0" w:line="252" w:lineRule="auto"/>
      <w:jc w:val="left"/>
    </w:pPr>
    <w:rPr>
      <w:rFonts w:eastAsiaTheme="minorHAnsi" w:cstheme="minorBidi"/>
      <w:b/>
      <w:color w:val="232B39" w:themeColor="text1"/>
      <w:spacing w:val="2"/>
      <w:sz w:val="14"/>
      <w:szCs w:val="14"/>
      <w:lang w:eastAsia="en-US"/>
    </w:rPr>
  </w:style>
  <w:style w:type="paragraph" w:styleId="ListBullet2">
    <w:name w:val="List Bullet 2"/>
    <w:basedOn w:val="Normal"/>
    <w:uiPriority w:val="19"/>
    <w:rsid w:val="00327525"/>
    <w:pPr>
      <w:tabs>
        <w:tab w:val="num" w:pos="360"/>
        <w:tab w:val="num" w:pos="720"/>
      </w:tabs>
      <w:spacing w:before="60" w:after="0"/>
      <w:contextualSpacing/>
    </w:pPr>
    <w:rPr>
      <w:rFonts w:eastAsiaTheme="minorHAnsi" w:cstheme="minorBidi"/>
      <w:spacing w:val="2"/>
      <w:sz w:val="18"/>
      <w:szCs w:val="18"/>
      <w:lang w:eastAsia="en-US"/>
    </w:rPr>
  </w:style>
  <w:style w:type="paragraph" w:styleId="ListBullet3">
    <w:name w:val="List Bullet 3"/>
    <w:basedOn w:val="ListBullet2"/>
    <w:uiPriority w:val="19"/>
    <w:unhideWhenUsed/>
    <w:rsid w:val="00327525"/>
    <w:pPr>
      <w:tabs>
        <w:tab w:val="num" w:pos="1440"/>
      </w:tabs>
    </w:pPr>
  </w:style>
  <w:style w:type="paragraph" w:styleId="ListBullet">
    <w:name w:val="List Bullet"/>
    <w:basedOn w:val="Normal"/>
    <w:autoRedefine/>
    <w:rsid w:val="00327525"/>
    <w:pPr>
      <w:keepLines w:val="0"/>
      <w:tabs>
        <w:tab w:val="num" w:pos="360"/>
      </w:tabs>
      <w:spacing w:before="0" w:after="0"/>
      <w:ind w:left="360" w:hanging="360"/>
    </w:pPr>
    <w:rPr>
      <w:rFonts w:ascii="Times New Roman" w:hAnsi="Times New Roman"/>
      <w:sz w:val="24"/>
      <w:szCs w:val="20"/>
      <w:lang w:val="en-GB" w:eastAsia="en-US"/>
    </w:rPr>
  </w:style>
  <w:style w:type="paragraph" w:styleId="IntenseQuote">
    <w:name w:val="Intense Quote"/>
    <w:basedOn w:val="Normal"/>
    <w:next w:val="Normal"/>
    <w:link w:val="IntenseQuoteChar"/>
    <w:uiPriority w:val="30"/>
    <w:rsid w:val="00327525"/>
    <w:pPr>
      <w:pBdr>
        <w:top w:val="single" w:sz="4" w:space="10" w:color="00BAC7" w:themeColor="accent1"/>
        <w:bottom w:val="single" w:sz="4" w:space="10" w:color="00BAC7" w:themeColor="accent1"/>
      </w:pBdr>
      <w:spacing w:before="360" w:after="360"/>
      <w:ind w:left="864" w:right="864"/>
      <w:jc w:val="center"/>
    </w:pPr>
    <w:rPr>
      <w:i/>
      <w:iCs/>
      <w:color w:val="00BAC7" w:themeColor="accent1"/>
    </w:rPr>
  </w:style>
  <w:style w:type="character" w:customStyle="1" w:styleId="IntenseQuoteChar">
    <w:name w:val="Intense Quote Char"/>
    <w:basedOn w:val="DefaultParagraphFont"/>
    <w:link w:val="IntenseQuote"/>
    <w:uiPriority w:val="30"/>
    <w:rsid w:val="00327525"/>
    <w:rPr>
      <w:rFonts w:asciiTheme="minorHAnsi" w:hAnsiTheme="minorHAnsi"/>
      <w:i/>
      <w:iCs/>
      <w:color w:val="00BAC7" w:themeColor="accent1"/>
      <w:sz w:val="17"/>
      <w:szCs w:val="24"/>
    </w:rPr>
  </w:style>
  <w:style w:type="paragraph" w:styleId="ListBullet4">
    <w:name w:val="List Bullet 4"/>
    <w:basedOn w:val="Normal"/>
    <w:unhideWhenUsed/>
    <w:rsid w:val="00327525"/>
    <w:pPr>
      <w:tabs>
        <w:tab w:val="num" w:pos="1209"/>
      </w:tabs>
      <w:ind w:left="1209" w:hanging="360"/>
      <w:contextualSpacing/>
    </w:pPr>
  </w:style>
  <w:style w:type="paragraph" w:styleId="ListContinue3">
    <w:name w:val="List Continue 3"/>
    <w:basedOn w:val="Normal"/>
    <w:rsid w:val="00327525"/>
    <w:pPr>
      <w:ind w:left="849"/>
      <w:contextualSpacing/>
    </w:pPr>
  </w:style>
  <w:style w:type="paragraph" w:styleId="ListContinue4">
    <w:name w:val="List Continue 4"/>
    <w:basedOn w:val="Normal"/>
    <w:rsid w:val="00327525"/>
    <w:pPr>
      <w:ind w:left="1132"/>
      <w:contextualSpacing/>
    </w:pPr>
  </w:style>
  <w:style w:type="paragraph" w:styleId="ListContinue5">
    <w:name w:val="List Continue 5"/>
    <w:basedOn w:val="Normal"/>
    <w:rsid w:val="00327525"/>
    <w:pPr>
      <w:ind w:left="1415"/>
      <w:contextualSpacing/>
    </w:pPr>
  </w:style>
  <w:style w:type="paragraph" w:styleId="MacroText">
    <w:name w:val="macro"/>
    <w:link w:val="MacroTextChar"/>
    <w:rsid w:val="00327525"/>
    <w:pPr>
      <w:keepLines/>
      <w:tabs>
        <w:tab w:val="left" w:pos="480"/>
        <w:tab w:val="left" w:pos="960"/>
        <w:tab w:val="left" w:pos="1440"/>
        <w:tab w:val="left" w:pos="1920"/>
        <w:tab w:val="left" w:pos="2400"/>
        <w:tab w:val="left" w:pos="2880"/>
        <w:tab w:val="left" w:pos="3360"/>
        <w:tab w:val="left" w:pos="3840"/>
        <w:tab w:val="left" w:pos="4320"/>
      </w:tabs>
      <w:spacing w:before="120"/>
    </w:pPr>
    <w:rPr>
      <w:rFonts w:ascii="Consolas" w:hAnsi="Consolas"/>
    </w:rPr>
  </w:style>
  <w:style w:type="character" w:customStyle="1" w:styleId="MacroTextChar">
    <w:name w:val="Macro Text Char"/>
    <w:basedOn w:val="DefaultParagraphFont"/>
    <w:link w:val="MacroText"/>
    <w:rsid w:val="00327525"/>
    <w:rPr>
      <w:rFonts w:ascii="Consolas" w:hAnsi="Consolas"/>
    </w:rPr>
  </w:style>
  <w:style w:type="paragraph" w:customStyle="1" w:styleId="Heading4numbered">
    <w:name w:val="Heading 4 numbered"/>
    <w:basedOn w:val="Heading4"/>
    <w:next w:val="NormalIndent"/>
    <w:uiPriority w:val="8"/>
    <w:qFormat/>
    <w:rsid w:val="00327525"/>
    <w:pPr>
      <w:tabs>
        <w:tab w:val="clear" w:pos="5180"/>
        <w:tab w:val="num" w:pos="792"/>
      </w:tabs>
      <w:spacing w:before="200" w:line="264" w:lineRule="auto"/>
      <w:ind w:left="792" w:hanging="792"/>
    </w:pPr>
    <w:rPr>
      <w:rFonts w:eastAsiaTheme="majorEastAsia" w:cstheme="majorBidi"/>
      <w:b/>
      <w:bCs/>
      <w:iCs/>
      <w:color w:val="3A3467" w:themeColor="text2"/>
      <w:sz w:val="21"/>
      <w:szCs w:val="21"/>
    </w:rPr>
  </w:style>
  <w:style w:type="paragraph" w:customStyle="1" w:styleId="NormalTight">
    <w:name w:val="Normal Tight"/>
    <w:uiPriority w:val="99"/>
    <w:qFormat/>
    <w:rsid w:val="00327525"/>
    <w:pPr>
      <w:ind w:right="2366"/>
    </w:pPr>
    <w:rPr>
      <w:rFonts w:asciiTheme="minorHAnsi" w:hAnsiTheme="minorHAnsi" w:cs="Calibri"/>
      <w:sz w:val="18"/>
      <w:szCs w:val="19"/>
      <w:lang w:eastAsia="en-US"/>
    </w:rPr>
  </w:style>
  <w:style w:type="paragraph" w:customStyle="1" w:styleId="Listnumindent2">
    <w:name w:val="List num indent 2"/>
    <w:basedOn w:val="Normal"/>
    <w:uiPriority w:val="9"/>
    <w:qFormat/>
    <w:rsid w:val="00327525"/>
    <w:pPr>
      <w:tabs>
        <w:tab w:val="num" w:pos="1800"/>
      </w:tabs>
      <w:spacing w:before="100" w:line="264" w:lineRule="auto"/>
      <w:ind w:left="1800" w:hanging="504"/>
      <w:contextualSpacing/>
    </w:pPr>
    <w:rPr>
      <w:rFonts w:eastAsiaTheme="minorEastAsia" w:cstheme="minorBidi"/>
      <w:color w:val="232B39" w:themeColor="text1"/>
      <w:sz w:val="20"/>
      <w:szCs w:val="20"/>
    </w:rPr>
  </w:style>
  <w:style w:type="paragraph" w:customStyle="1" w:styleId="Listnumindent">
    <w:name w:val="List num indent"/>
    <w:basedOn w:val="Normal"/>
    <w:uiPriority w:val="9"/>
    <w:qFormat/>
    <w:rsid w:val="00327525"/>
    <w:pPr>
      <w:tabs>
        <w:tab w:val="num" w:pos="1296"/>
      </w:tabs>
      <w:spacing w:before="100" w:line="264" w:lineRule="auto"/>
      <w:ind w:left="1296" w:hanging="504"/>
    </w:pPr>
    <w:rPr>
      <w:rFonts w:eastAsiaTheme="minorEastAsia" w:cstheme="minorBidi"/>
      <w:color w:val="232B39" w:themeColor="text1"/>
      <w:sz w:val="20"/>
      <w:szCs w:val="20"/>
    </w:rPr>
  </w:style>
  <w:style w:type="paragraph" w:customStyle="1" w:styleId="Listnum">
    <w:name w:val="List num"/>
    <w:basedOn w:val="Normal"/>
    <w:uiPriority w:val="2"/>
    <w:qFormat/>
    <w:rsid w:val="00327525"/>
    <w:pPr>
      <w:tabs>
        <w:tab w:val="num" w:pos="360"/>
      </w:tabs>
      <w:spacing w:line="264" w:lineRule="auto"/>
      <w:ind w:left="360" w:hanging="360"/>
    </w:pPr>
    <w:rPr>
      <w:rFonts w:eastAsiaTheme="minorEastAsia" w:cstheme="minorBidi"/>
      <w:color w:val="232B39" w:themeColor="text1"/>
      <w:sz w:val="20"/>
      <w:szCs w:val="20"/>
    </w:rPr>
  </w:style>
  <w:style w:type="paragraph" w:customStyle="1" w:styleId="Listnum2">
    <w:name w:val="List num 2"/>
    <w:basedOn w:val="Normal"/>
    <w:uiPriority w:val="2"/>
    <w:qFormat/>
    <w:rsid w:val="00327525"/>
    <w:pPr>
      <w:tabs>
        <w:tab w:val="num" w:pos="864"/>
      </w:tabs>
      <w:spacing w:line="264" w:lineRule="auto"/>
      <w:ind w:left="720" w:hanging="360"/>
    </w:pPr>
    <w:rPr>
      <w:rFonts w:eastAsiaTheme="minorEastAsia" w:cstheme="minorBidi"/>
      <w:color w:val="232B39" w:themeColor="text1"/>
      <w:sz w:val="20"/>
      <w:szCs w:val="20"/>
    </w:rPr>
  </w:style>
  <w:style w:type="paragraph" w:customStyle="1" w:styleId="Numparaindent">
    <w:name w:val="Num para indent"/>
    <w:basedOn w:val="Numpara"/>
    <w:uiPriority w:val="9"/>
    <w:qFormat/>
    <w:rsid w:val="00327525"/>
    <w:pPr>
      <w:tabs>
        <w:tab w:val="clear" w:pos="540"/>
        <w:tab w:val="clear" w:pos="1492"/>
        <w:tab w:val="num" w:pos="1296"/>
      </w:tabs>
      <w:ind w:left="1296" w:hanging="504"/>
    </w:pPr>
  </w:style>
  <w:style w:type="paragraph" w:customStyle="1" w:styleId="NoteNormalindent">
    <w:name w:val="Note Normal indent"/>
    <w:basedOn w:val="NoteNormal"/>
    <w:uiPriority w:val="9"/>
    <w:rsid w:val="00327525"/>
    <w:pPr>
      <w:keepNext w:val="0"/>
      <w:ind w:left="792"/>
    </w:pPr>
  </w:style>
  <w:style w:type="paragraph" w:customStyle="1" w:styleId="Captionindent">
    <w:name w:val="Caption indent"/>
    <w:basedOn w:val="Caption"/>
    <w:uiPriority w:val="7"/>
    <w:qFormat/>
    <w:rsid w:val="00327525"/>
    <w:pPr>
      <w:spacing w:before="240" w:after="60"/>
      <w:ind w:left="792"/>
    </w:pPr>
    <w:rPr>
      <w:rFonts w:eastAsiaTheme="minorEastAsia" w:cstheme="minorBidi"/>
      <w:color w:val="3A3467" w:themeColor="text2"/>
    </w:rPr>
  </w:style>
  <w:style w:type="paragraph" w:customStyle="1" w:styleId="ReportDate">
    <w:name w:val="ReportDate"/>
    <w:uiPriority w:val="79"/>
    <w:rsid w:val="00327525"/>
    <w:pPr>
      <w:ind w:right="2909"/>
    </w:pPr>
    <w:rPr>
      <w:rFonts w:asciiTheme="minorHAnsi" w:eastAsiaTheme="minorEastAsia" w:hAnsiTheme="minorHAnsi" w:cstheme="minorBidi"/>
      <w:b/>
      <w:bCs/>
      <w:caps/>
    </w:rPr>
  </w:style>
  <w:style w:type="paragraph" w:styleId="BlockText">
    <w:name w:val="Block Text"/>
    <w:basedOn w:val="Normal"/>
    <w:rsid w:val="00327525"/>
    <w:pPr>
      <w:keepLines w:val="0"/>
      <w:tabs>
        <w:tab w:val="left" w:pos="10188"/>
        <w:tab w:val="left" w:pos="19161"/>
        <w:tab w:val="left" w:pos="28134"/>
      </w:tabs>
      <w:spacing w:before="0" w:after="0"/>
      <w:ind w:left="709" w:right="404"/>
      <w:jc w:val="both"/>
    </w:pPr>
    <w:rPr>
      <w:rFonts w:ascii="Times New Roman" w:hAnsi="Times New Roman"/>
      <w:color w:val="000000"/>
      <w:sz w:val="20"/>
      <w:szCs w:val="20"/>
      <w:lang w:eastAsia="en-US"/>
    </w:rPr>
  </w:style>
  <w:style w:type="character" w:customStyle="1" w:styleId="Reference">
    <w:name w:val="Reference"/>
    <w:uiPriority w:val="29"/>
    <w:qFormat/>
    <w:rsid w:val="00327525"/>
    <w:rPr>
      <w:b w:val="0"/>
      <w:i w:val="0"/>
      <w:color w:val="C00000"/>
      <w:sz w:val="16"/>
    </w:rPr>
  </w:style>
  <w:style w:type="paragraph" w:customStyle="1" w:styleId="ARTableBody">
    <w:name w:val="AR Table Body"/>
    <w:uiPriority w:val="3"/>
    <w:qFormat/>
    <w:rsid w:val="00327525"/>
    <w:pPr>
      <w:spacing w:before="120" w:after="40"/>
    </w:pPr>
    <w:rPr>
      <w:rFonts w:ascii="VIC" w:eastAsia="MS Mincho" w:hAnsi="VIC" w:cs="Arial"/>
      <w:sz w:val="16"/>
      <w:szCs w:val="16"/>
      <w:lang w:eastAsia="en-US"/>
    </w:rPr>
  </w:style>
  <w:style w:type="paragraph" w:customStyle="1" w:styleId="ARTableBodyRight">
    <w:name w:val="AR Table Body Right"/>
    <w:basedOn w:val="ARTableBody"/>
    <w:uiPriority w:val="3"/>
    <w:rsid w:val="00327525"/>
    <w:pPr>
      <w:jc w:val="right"/>
    </w:pPr>
  </w:style>
  <w:style w:type="paragraph" w:customStyle="1" w:styleId="ARTableBodyBold">
    <w:name w:val="AR Table Body Bold"/>
    <w:basedOn w:val="ARTableBody"/>
    <w:uiPriority w:val="3"/>
    <w:rsid w:val="00327525"/>
    <w:rPr>
      <w:b/>
    </w:rPr>
  </w:style>
  <w:style w:type="paragraph" w:customStyle="1" w:styleId="Pa3">
    <w:name w:val="Pa3"/>
    <w:basedOn w:val="Normal"/>
    <w:next w:val="Normal"/>
    <w:uiPriority w:val="99"/>
    <w:rsid w:val="00327525"/>
    <w:pPr>
      <w:keepLines w:val="0"/>
      <w:autoSpaceDE w:val="0"/>
      <w:autoSpaceDN w:val="0"/>
      <w:adjustRightInd w:val="0"/>
      <w:spacing w:before="0" w:after="0" w:line="241" w:lineRule="atLeast"/>
    </w:pPr>
    <w:rPr>
      <w:rFonts w:ascii="VIC" w:hAnsi="VIC"/>
      <w:sz w:val="24"/>
    </w:rPr>
  </w:style>
  <w:style w:type="character" w:customStyle="1" w:styleId="ui-provider">
    <w:name w:val="ui-provider"/>
    <w:basedOn w:val="DefaultParagraphFont"/>
    <w:rsid w:val="00327525"/>
  </w:style>
  <w:style w:type="paragraph" w:customStyle="1" w:styleId="NotesDash">
    <w:name w:val="Notes Dash"/>
    <w:basedOn w:val="NoteDash"/>
    <w:qFormat/>
    <w:rsid w:val="003A6C10"/>
    <w:pPr>
      <w:numPr>
        <w:numId w:val="90"/>
      </w:numPr>
    </w:pPr>
    <w:rPr>
      <w:i w:val="0"/>
    </w:rPr>
  </w:style>
  <w:style w:type="paragraph" w:styleId="MessageHeader">
    <w:name w:val="Message Header"/>
    <w:basedOn w:val="Normal"/>
    <w:link w:val="MessageHeaderChar"/>
    <w:semiHidden/>
    <w:rsid w:val="00F15EE8"/>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semiHidden/>
    <w:rsid w:val="00F15EE8"/>
    <w:rPr>
      <w:rFonts w:asciiTheme="majorHAnsi" w:eastAsiaTheme="majorEastAsia" w:hAnsiTheme="majorHAnsi" w:cstheme="majorBidi"/>
      <w:sz w:val="24"/>
      <w:szCs w:val="24"/>
      <w:shd w:val="pct20"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605331">
      <w:bodyDiv w:val="1"/>
      <w:marLeft w:val="0"/>
      <w:marRight w:val="0"/>
      <w:marTop w:val="0"/>
      <w:marBottom w:val="0"/>
      <w:divBdr>
        <w:top w:val="none" w:sz="0" w:space="0" w:color="auto"/>
        <w:left w:val="none" w:sz="0" w:space="0" w:color="auto"/>
        <w:bottom w:val="none" w:sz="0" w:space="0" w:color="auto"/>
        <w:right w:val="none" w:sz="0" w:space="0" w:color="auto"/>
      </w:divBdr>
    </w:div>
    <w:div w:id="75175287">
      <w:bodyDiv w:val="1"/>
      <w:marLeft w:val="0"/>
      <w:marRight w:val="0"/>
      <w:marTop w:val="0"/>
      <w:marBottom w:val="0"/>
      <w:divBdr>
        <w:top w:val="none" w:sz="0" w:space="0" w:color="auto"/>
        <w:left w:val="none" w:sz="0" w:space="0" w:color="auto"/>
        <w:bottom w:val="none" w:sz="0" w:space="0" w:color="auto"/>
        <w:right w:val="none" w:sz="0" w:space="0" w:color="auto"/>
      </w:divBdr>
    </w:div>
    <w:div w:id="98769032">
      <w:bodyDiv w:val="1"/>
      <w:marLeft w:val="0"/>
      <w:marRight w:val="0"/>
      <w:marTop w:val="0"/>
      <w:marBottom w:val="0"/>
      <w:divBdr>
        <w:top w:val="none" w:sz="0" w:space="0" w:color="auto"/>
        <w:left w:val="none" w:sz="0" w:space="0" w:color="auto"/>
        <w:bottom w:val="none" w:sz="0" w:space="0" w:color="auto"/>
        <w:right w:val="none" w:sz="0" w:space="0" w:color="auto"/>
      </w:divBdr>
    </w:div>
    <w:div w:id="104350511">
      <w:bodyDiv w:val="1"/>
      <w:marLeft w:val="0"/>
      <w:marRight w:val="0"/>
      <w:marTop w:val="0"/>
      <w:marBottom w:val="0"/>
      <w:divBdr>
        <w:top w:val="none" w:sz="0" w:space="0" w:color="auto"/>
        <w:left w:val="none" w:sz="0" w:space="0" w:color="auto"/>
        <w:bottom w:val="none" w:sz="0" w:space="0" w:color="auto"/>
        <w:right w:val="none" w:sz="0" w:space="0" w:color="auto"/>
      </w:divBdr>
    </w:div>
    <w:div w:id="114253514">
      <w:bodyDiv w:val="1"/>
      <w:marLeft w:val="0"/>
      <w:marRight w:val="0"/>
      <w:marTop w:val="0"/>
      <w:marBottom w:val="0"/>
      <w:divBdr>
        <w:top w:val="none" w:sz="0" w:space="0" w:color="auto"/>
        <w:left w:val="none" w:sz="0" w:space="0" w:color="auto"/>
        <w:bottom w:val="none" w:sz="0" w:space="0" w:color="auto"/>
        <w:right w:val="none" w:sz="0" w:space="0" w:color="auto"/>
      </w:divBdr>
    </w:div>
    <w:div w:id="149564661">
      <w:bodyDiv w:val="1"/>
      <w:marLeft w:val="0"/>
      <w:marRight w:val="0"/>
      <w:marTop w:val="0"/>
      <w:marBottom w:val="0"/>
      <w:divBdr>
        <w:top w:val="none" w:sz="0" w:space="0" w:color="auto"/>
        <w:left w:val="none" w:sz="0" w:space="0" w:color="auto"/>
        <w:bottom w:val="none" w:sz="0" w:space="0" w:color="auto"/>
        <w:right w:val="none" w:sz="0" w:space="0" w:color="auto"/>
      </w:divBdr>
    </w:div>
    <w:div w:id="162357822">
      <w:bodyDiv w:val="1"/>
      <w:marLeft w:val="0"/>
      <w:marRight w:val="0"/>
      <w:marTop w:val="0"/>
      <w:marBottom w:val="0"/>
      <w:divBdr>
        <w:top w:val="none" w:sz="0" w:space="0" w:color="auto"/>
        <w:left w:val="none" w:sz="0" w:space="0" w:color="auto"/>
        <w:bottom w:val="none" w:sz="0" w:space="0" w:color="auto"/>
        <w:right w:val="none" w:sz="0" w:space="0" w:color="auto"/>
      </w:divBdr>
    </w:div>
    <w:div w:id="195121646">
      <w:bodyDiv w:val="1"/>
      <w:marLeft w:val="0"/>
      <w:marRight w:val="0"/>
      <w:marTop w:val="0"/>
      <w:marBottom w:val="0"/>
      <w:divBdr>
        <w:top w:val="none" w:sz="0" w:space="0" w:color="auto"/>
        <w:left w:val="none" w:sz="0" w:space="0" w:color="auto"/>
        <w:bottom w:val="none" w:sz="0" w:space="0" w:color="auto"/>
        <w:right w:val="none" w:sz="0" w:space="0" w:color="auto"/>
      </w:divBdr>
    </w:div>
    <w:div w:id="205063657">
      <w:bodyDiv w:val="1"/>
      <w:marLeft w:val="0"/>
      <w:marRight w:val="0"/>
      <w:marTop w:val="0"/>
      <w:marBottom w:val="0"/>
      <w:divBdr>
        <w:top w:val="none" w:sz="0" w:space="0" w:color="auto"/>
        <w:left w:val="none" w:sz="0" w:space="0" w:color="auto"/>
        <w:bottom w:val="none" w:sz="0" w:space="0" w:color="auto"/>
        <w:right w:val="none" w:sz="0" w:space="0" w:color="auto"/>
      </w:divBdr>
    </w:div>
    <w:div w:id="232161093">
      <w:bodyDiv w:val="1"/>
      <w:marLeft w:val="0"/>
      <w:marRight w:val="0"/>
      <w:marTop w:val="0"/>
      <w:marBottom w:val="0"/>
      <w:divBdr>
        <w:top w:val="none" w:sz="0" w:space="0" w:color="auto"/>
        <w:left w:val="none" w:sz="0" w:space="0" w:color="auto"/>
        <w:bottom w:val="none" w:sz="0" w:space="0" w:color="auto"/>
        <w:right w:val="none" w:sz="0" w:space="0" w:color="auto"/>
      </w:divBdr>
    </w:div>
    <w:div w:id="234050535">
      <w:bodyDiv w:val="1"/>
      <w:marLeft w:val="0"/>
      <w:marRight w:val="0"/>
      <w:marTop w:val="0"/>
      <w:marBottom w:val="0"/>
      <w:divBdr>
        <w:top w:val="none" w:sz="0" w:space="0" w:color="auto"/>
        <w:left w:val="none" w:sz="0" w:space="0" w:color="auto"/>
        <w:bottom w:val="none" w:sz="0" w:space="0" w:color="auto"/>
        <w:right w:val="none" w:sz="0" w:space="0" w:color="auto"/>
      </w:divBdr>
    </w:div>
    <w:div w:id="238684188">
      <w:bodyDiv w:val="1"/>
      <w:marLeft w:val="0"/>
      <w:marRight w:val="0"/>
      <w:marTop w:val="0"/>
      <w:marBottom w:val="0"/>
      <w:divBdr>
        <w:top w:val="none" w:sz="0" w:space="0" w:color="auto"/>
        <w:left w:val="none" w:sz="0" w:space="0" w:color="auto"/>
        <w:bottom w:val="none" w:sz="0" w:space="0" w:color="auto"/>
        <w:right w:val="none" w:sz="0" w:space="0" w:color="auto"/>
      </w:divBdr>
    </w:div>
    <w:div w:id="267198274">
      <w:bodyDiv w:val="1"/>
      <w:marLeft w:val="0"/>
      <w:marRight w:val="0"/>
      <w:marTop w:val="0"/>
      <w:marBottom w:val="0"/>
      <w:divBdr>
        <w:top w:val="none" w:sz="0" w:space="0" w:color="auto"/>
        <w:left w:val="none" w:sz="0" w:space="0" w:color="auto"/>
        <w:bottom w:val="none" w:sz="0" w:space="0" w:color="auto"/>
        <w:right w:val="none" w:sz="0" w:space="0" w:color="auto"/>
      </w:divBdr>
    </w:div>
    <w:div w:id="271206520">
      <w:bodyDiv w:val="1"/>
      <w:marLeft w:val="0"/>
      <w:marRight w:val="0"/>
      <w:marTop w:val="0"/>
      <w:marBottom w:val="0"/>
      <w:divBdr>
        <w:top w:val="none" w:sz="0" w:space="0" w:color="auto"/>
        <w:left w:val="none" w:sz="0" w:space="0" w:color="auto"/>
        <w:bottom w:val="none" w:sz="0" w:space="0" w:color="auto"/>
        <w:right w:val="none" w:sz="0" w:space="0" w:color="auto"/>
      </w:divBdr>
    </w:div>
    <w:div w:id="280460817">
      <w:bodyDiv w:val="1"/>
      <w:marLeft w:val="0"/>
      <w:marRight w:val="0"/>
      <w:marTop w:val="0"/>
      <w:marBottom w:val="0"/>
      <w:divBdr>
        <w:top w:val="none" w:sz="0" w:space="0" w:color="auto"/>
        <w:left w:val="none" w:sz="0" w:space="0" w:color="auto"/>
        <w:bottom w:val="none" w:sz="0" w:space="0" w:color="auto"/>
        <w:right w:val="none" w:sz="0" w:space="0" w:color="auto"/>
      </w:divBdr>
    </w:div>
    <w:div w:id="298387277">
      <w:bodyDiv w:val="1"/>
      <w:marLeft w:val="0"/>
      <w:marRight w:val="0"/>
      <w:marTop w:val="0"/>
      <w:marBottom w:val="0"/>
      <w:divBdr>
        <w:top w:val="none" w:sz="0" w:space="0" w:color="auto"/>
        <w:left w:val="none" w:sz="0" w:space="0" w:color="auto"/>
        <w:bottom w:val="none" w:sz="0" w:space="0" w:color="auto"/>
        <w:right w:val="none" w:sz="0" w:space="0" w:color="auto"/>
      </w:divBdr>
    </w:div>
    <w:div w:id="318115774">
      <w:bodyDiv w:val="1"/>
      <w:marLeft w:val="0"/>
      <w:marRight w:val="0"/>
      <w:marTop w:val="0"/>
      <w:marBottom w:val="0"/>
      <w:divBdr>
        <w:top w:val="none" w:sz="0" w:space="0" w:color="auto"/>
        <w:left w:val="none" w:sz="0" w:space="0" w:color="auto"/>
        <w:bottom w:val="none" w:sz="0" w:space="0" w:color="auto"/>
        <w:right w:val="none" w:sz="0" w:space="0" w:color="auto"/>
      </w:divBdr>
    </w:div>
    <w:div w:id="322201420">
      <w:bodyDiv w:val="1"/>
      <w:marLeft w:val="0"/>
      <w:marRight w:val="0"/>
      <w:marTop w:val="0"/>
      <w:marBottom w:val="0"/>
      <w:divBdr>
        <w:top w:val="none" w:sz="0" w:space="0" w:color="auto"/>
        <w:left w:val="none" w:sz="0" w:space="0" w:color="auto"/>
        <w:bottom w:val="none" w:sz="0" w:space="0" w:color="auto"/>
        <w:right w:val="none" w:sz="0" w:space="0" w:color="auto"/>
      </w:divBdr>
    </w:div>
    <w:div w:id="325281335">
      <w:bodyDiv w:val="1"/>
      <w:marLeft w:val="0"/>
      <w:marRight w:val="0"/>
      <w:marTop w:val="0"/>
      <w:marBottom w:val="0"/>
      <w:divBdr>
        <w:top w:val="none" w:sz="0" w:space="0" w:color="auto"/>
        <w:left w:val="none" w:sz="0" w:space="0" w:color="auto"/>
        <w:bottom w:val="none" w:sz="0" w:space="0" w:color="auto"/>
        <w:right w:val="none" w:sz="0" w:space="0" w:color="auto"/>
      </w:divBdr>
      <w:divsChild>
        <w:div w:id="68695445">
          <w:marLeft w:val="0"/>
          <w:marRight w:val="0"/>
          <w:marTop w:val="0"/>
          <w:marBottom w:val="0"/>
          <w:divBdr>
            <w:top w:val="none" w:sz="0" w:space="0" w:color="auto"/>
            <w:left w:val="none" w:sz="0" w:space="0" w:color="auto"/>
            <w:bottom w:val="none" w:sz="0" w:space="0" w:color="auto"/>
            <w:right w:val="none" w:sz="0" w:space="0" w:color="auto"/>
          </w:divBdr>
        </w:div>
        <w:div w:id="534734068">
          <w:marLeft w:val="0"/>
          <w:marRight w:val="0"/>
          <w:marTop w:val="0"/>
          <w:marBottom w:val="0"/>
          <w:divBdr>
            <w:top w:val="none" w:sz="0" w:space="0" w:color="auto"/>
            <w:left w:val="none" w:sz="0" w:space="0" w:color="auto"/>
            <w:bottom w:val="none" w:sz="0" w:space="0" w:color="auto"/>
            <w:right w:val="none" w:sz="0" w:space="0" w:color="auto"/>
          </w:divBdr>
        </w:div>
      </w:divsChild>
    </w:div>
    <w:div w:id="356127926">
      <w:bodyDiv w:val="1"/>
      <w:marLeft w:val="0"/>
      <w:marRight w:val="0"/>
      <w:marTop w:val="0"/>
      <w:marBottom w:val="0"/>
      <w:divBdr>
        <w:top w:val="none" w:sz="0" w:space="0" w:color="auto"/>
        <w:left w:val="none" w:sz="0" w:space="0" w:color="auto"/>
        <w:bottom w:val="none" w:sz="0" w:space="0" w:color="auto"/>
        <w:right w:val="none" w:sz="0" w:space="0" w:color="auto"/>
      </w:divBdr>
    </w:div>
    <w:div w:id="382096274">
      <w:bodyDiv w:val="1"/>
      <w:marLeft w:val="0"/>
      <w:marRight w:val="0"/>
      <w:marTop w:val="0"/>
      <w:marBottom w:val="0"/>
      <w:divBdr>
        <w:top w:val="none" w:sz="0" w:space="0" w:color="auto"/>
        <w:left w:val="none" w:sz="0" w:space="0" w:color="auto"/>
        <w:bottom w:val="none" w:sz="0" w:space="0" w:color="auto"/>
        <w:right w:val="none" w:sz="0" w:space="0" w:color="auto"/>
      </w:divBdr>
    </w:div>
    <w:div w:id="422261195">
      <w:bodyDiv w:val="1"/>
      <w:marLeft w:val="0"/>
      <w:marRight w:val="0"/>
      <w:marTop w:val="0"/>
      <w:marBottom w:val="0"/>
      <w:divBdr>
        <w:top w:val="none" w:sz="0" w:space="0" w:color="auto"/>
        <w:left w:val="none" w:sz="0" w:space="0" w:color="auto"/>
        <w:bottom w:val="none" w:sz="0" w:space="0" w:color="auto"/>
        <w:right w:val="none" w:sz="0" w:space="0" w:color="auto"/>
      </w:divBdr>
    </w:div>
    <w:div w:id="425344658">
      <w:bodyDiv w:val="1"/>
      <w:marLeft w:val="0"/>
      <w:marRight w:val="0"/>
      <w:marTop w:val="0"/>
      <w:marBottom w:val="0"/>
      <w:divBdr>
        <w:top w:val="none" w:sz="0" w:space="0" w:color="auto"/>
        <w:left w:val="none" w:sz="0" w:space="0" w:color="auto"/>
        <w:bottom w:val="none" w:sz="0" w:space="0" w:color="auto"/>
        <w:right w:val="none" w:sz="0" w:space="0" w:color="auto"/>
      </w:divBdr>
    </w:div>
    <w:div w:id="440494760">
      <w:bodyDiv w:val="1"/>
      <w:marLeft w:val="0"/>
      <w:marRight w:val="0"/>
      <w:marTop w:val="0"/>
      <w:marBottom w:val="0"/>
      <w:divBdr>
        <w:top w:val="none" w:sz="0" w:space="0" w:color="auto"/>
        <w:left w:val="none" w:sz="0" w:space="0" w:color="auto"/>
        <w:bottom w:val="none" w:sz="0" w:space="0" w:color="auto"/>
        <w:right w:val="none" w:sz="0" w:space="0" w:color="auto"/>
      </w:divBdr>
    </w:div>
    <w:div w:id="461264237">
      <w:bodyDiv w:val="1"/>
      <w:marLeft w:val="0"/>
      <w:marRight w:val="0"/>
      <w:marTop w:val="0"/>
      <w:marBottom w:val="0"/>
      <w:divBdr>
        <w:top w:val="none" w:sz="0" w:space="0" w:color="auto"/>
        <w:left w:val="none" w:sz="0" w:space="0" w:color="auto"/>
        <w:bottom w:val="none" w:sz="0" w:space="0" w:color="auto"/>
        <w:right w:val="none" w:sz="0" w:space="0" w:color="auto"/>
      </w:divBdr>
    </w:div>
    <w:div w:id="468591846">
      <w:bodyDiv w:val="1"/>
      <w:marLeft w:val="0"/>
      <w:marRight w:val="0"/>
      <w:marTop w:val="0"/>
      <w:marBottom w:val="0"/>
      <w:divBdr>
        <w:top w:val="none" w:sz="0" w:space="0" w:color="auto"/>
        <w:left w:val="none" w:sz="0" w:space="0" w:color="auto"/>
        <w:bottom w:val="none" w:sz="0" w:space="0" w:color="auto"/>
        <w:right w:val="none" w:sz="0" w:space="0" w:color="auto"/>
      </w:divBdr>
    </w:div>
    <w:div w:id="486481239">
      <w:bodyDiv w:val="1"/>
      <w:marLeft w:val="0"/>
      <w:marRight w:val="0"/>
      <w:marTop w:val="0"/>
      <w:marBottom w:val="0"/>
      <w:divBdr>
        <w:top w:val="none" w:sz="0" w:space="0" w:color="auto"/>
        <w:left w:val="none" w:sz="0" w:space="0" w:color="auto"/>
        <w:bottom w:val="none" w:sz="0" w:space="0" w:color="auto"/>
        <w:right w:val="none" w:sz="0" w:space="0" w:color="auto"/>
      </w:divBdr>
    </w:div>
    <w:div w:id="499003046">
      <w:bodyDiv w:val="1"/>
      <w:marLeft w:val="0"/>
      <w:marRight w:val="0"/>
      <w:marTop w:val="0"/>
      <w:marBottom w:val="0"/>
      <w:divBdr>
        <w:top w:val="none" w:sz="0" w:space="0" w:color="auto"/>
        <w:left w:val="none" w:sz="0" w:space="0" w:color="auto"/>
        <w:bottom w:val="none" w:sz="0" w:space="0" w:color="auto"/>
        <w:right w:val="none" w:sz="0" w:space="0" w:color="auto"/>
      </w:divBdr>
      <w:divsChild>
        <w:div w:id="2170989">
          <w:marLeft w:val="0"/>
          <w:marRight w:val="0"/>
          <w:marTop w:val="0"/>
          <w:marBottom w:val="0"/>
          <w:divBdr>
            <w:top w:val="none" w:sz="0" w:space="0" w:color="auto"/>
            <w:left w:val="none" w:sz="0" w:space="0" w:color="auto"/>
            <w:bottom w:val="none" w:sz="0" w:space="0" w:color="auto"/>
            <w:right w:val="none" w:sz="0" w:space="0" w:color="auto"/>
          </w:divBdr>
          <w:divsChild>
            <w:div w:id="1785031958">
              <w:marLeft w:val="0"/>
              <w:marRight w:val="0"/>
              <w:marTop w:val="0"/>
              <w:marBottom w:val="0"/>
              <w:divBdr>
                <w:top w:val="none" w:sz="0" w:space="0" w:color="auto"/>
                <w:left w:val="none" w:sz="0" w:space="0" w:color="auto"/>
                <w:bottom w:val="none" w:sz="0" w:space="0" w:color="auto"/>
                <w:right w:val="none" w:sz="0" w:space="0" w:color="auto"/>
              </w:divBdr>
            </w:div>
          </w:divsChild>
        </w:div>
        <w:div w:id="45836745">
          <w:marLeft w:val="0"/>
          <w:marRight w:val="0"/>
          <w:marTop w:val="0"/>
          <w:marBottom w:val="0"/>
          <w:divBdr>
            <w:top w:val="none" w:sz="0" w:space="0" w:color="auto"/>
            <w:left w:val="none" w:sz="0" w:space="0" w:color="auto"/>
            <w:bottom w:val="none" w:sz="0" w:space="0" w:color="auto"/>
            <w:right w:val="none" w:sz="0" w:space="0" w:color="auto"/>
          </w:divBdr>
          <w:divsChild>
            <w:div w:id="158011650">
              <w:marLeft w:val="0"/>
              <w:marRight w:val="0"/>
              <w:marTop w:val="0"/>
              <w:marBottom w:val="0"/>
              <w:divBdr>
                <w:top w:val="none" w:sz="0" w:space="0" w:color="auto"/>
                <w:left w:val="none" w:sz="0" w:space="0" w:color="auto"/>
                <w:bottom w:val="none" w:sz="0" w:space="0" w:color="auto"/>
                <w:right w:val="none" w:sz="0" w:space="0" w:color="auto"/>
              </w:divBdr>
            </w:div>
          </w:divsChild>
        </w:div>
        <w:div w:id="76220935">
          <w:marLeft w:val="0"/>
          <w:marRight w:val="0"/>
          <w:marTop w:val="0"/>
          <w:marBottom w:val="0"/>
          <w:divBdr>
            <w:top w:val="none" w:sz="0" w:space="0" w:color="auto"/>
            <w:left w:val="none" w:sz="0" w:space="0" w:color="auto"/>
            <w:bottom w:val="none" w:sz="0" w:space="0" w:color="auto"/>
            <w:right w:val="none" w:sz="0" w:space="0" w:color="auto"/>
          </w:divBdr>
          <w:divsChild>
            <w:div w:id="1192377301">
              <w:marLeft w:val="0"/>
              <w:marRight w:val="0"/>
              <w:marTop w:val="0"/>
              <w:marBottom w:val="0"/>
              <w:divBdr>
                <w:top w:val="none" w:sz="0" w:space="0" w:color="auto"/>
                <w:left w:val="none" w:sz="0" w:space="0" w:color="auto"/>
                <w:bottom w:val="none" w:sz="0" w:space="0" w:color="auto"/>
                <w:right w:val="none" w:sz="0" w:space="0" w:color="auto"/>
              </w:divBdr>
            </w:div>
          </w:divsChild>
        </w:div>
        <w:div w:id="147983389">
          <w:marLeft w:val="0"/>
          <w:marRight w:val="0"/>
          <w:marTop w:val="0"/>
          <w:marBottom w:val="0"/>
          <w:divBdr>
            <w:top w:val="none" w:sz="0" w:space="0" w:color="auto"/>
            <w:left w:val="none" w:sz="0" w:space="0" w:color="auto"/>
            <w:bottom w:val="none" w:sz="0" w:space="0" w:color="auto"/>
            <w:right w:val="none" w:sz="0" w:space="0" w:color="auto"/>
          </w:divBdr>
          <w:divsChild>
            <w:div w:id="783353146">
              <w:marLeft w:val="0"/>
              <w:marRight w:val="0"/>
              <w:marTop w:val="0"/>
              <w:marBottom w:val="0"/>
              <w:divBdr>
                <w:top w:val="none" w:sz="0" w:space="0" w:color="auto"/>
                <w:left w:val="none" w:sz="0" w:space="0" w:color="auto"/>
                <w:bottom w:val="none" w:sz="0" w:space="0" w:color="auto"/>
                <w:right w:val="none" w:sz="0" w:space="0" w:color="auto"/>
              </w:divBdr>
            </w:div>
          </w:divsChild>
        </w:div>
        <w:div w:id="188376330">
          <w:marLeft w:val="0"/>
          <w:marRight w:val="0"/>
          <w:marTop w:val="0"/>
          <w:marBottom w:val="0"/>
          <w:divBdr>
            <w:top w:val="none" w:sz="0" w:space="0" w:color="auto"/>
            <w:left w:val="none" w:sz="0" w:space="0" w:color="auto"/>
            <w:bottom w:val="none" w:sz="0" w:space="0" w:color="auto"/>
            <w:right w:val="none" w:sz="0" w:space="0" w:color="auto"/>
          </w:divBdr>
          <w:divsChild>
            <w:div w:id="1622763604">
              <w:marLeft w:val="0"/>
              <w:marRight w:val="0"/>
              <w:marTop w:val="0"/>
              <w:marBottom w:val="0"/>
              <w:divBdr>
                <w:top w:val="none" w:sz="0" w:space="0" w:color="auto"/>
                <w:left w:val="none" w:sz="0" w:space="0" w:color="auto"/>
                <w:bottom w:val="none" w:sz="0" w:space="0" w:color="auto"/>
                <w:right w:val="none" w:sz="0" w:space="0" w:color="auto"/>
              </w:divBdr>
            </w:div>
          </w:divsChild>
        </w:div>
        <w:div w:id="249775267">
          <w:marLeft w:val="0"/>
          <w:marRight w:val="0"/>
          <w:marTop w:val="0"/>
          <w:marBottom w:val="0"/>
          <w:divBdr>
            <w:top w:val="none" w:sz="0" w:space="0" w:color="auto"/>
            <w:left w:val="none" w:sz="0" w:space="0" w:color="auto"/>
            <w:bottom w:val="none" w:sz="0" w:space="0" w:color="auto"/>
            <w:right w:val="none" w:sz="0" w:space="0" w:color="auto"/>
          </w:divBdr>
          <w:divsChild>
            <w:div w:id="1299460774">
              <w:marLeft w:val="0"/>
              <w:marRight w:val="0"/>
              <w:marTop w:val="0"/>
              <w:marBottom w:val="0"/>
              <w:divBdr>
                <w:top w:val="none" w:sz="0" w:space="0" w:color="auto"/>
                <w:left w:val="none" w:sz="0" w:space="0" w:color="auto"/>
                <w:bottom w:val="none" w:sz="0" w:space="0" w:color="auto"/>
                <w:right w:val="none" w:sz="0" w:space="0" w:color="auto"/>
              </w:divBdr>
            </w:div>
          </w:divsChild>
        </w:div>
        <w:div w:id="461770118">
          <w:marLeft w:val="0"/>
          <w:marRight w:val="0"/>
          <w:marTop w:val="0"/>
          <w:marBottom w:val="0"/>
          <w:divBdr>
            <w:top w:val="none" w:sz="0" w:space="0" w:color="auto"/>
            <w:left w:val="none" w:sz="0" w:space="0" w:color="auto"/>
            <w:bottom w:val="none" w:sz="0" w:space="0" w:color="auto"/>
            <w:right w:val="none" w:sz="0" w:space="0" w:color="auto"/>
          </w:divBdr>
          <w:divsChild>
            <w:div w:id="1244757869">
              <w:marLeft w:val="0"/>
              <w:marRight w:val="0"/>
              <w:marTop w:val="0"/>
              <w:marBottom w:val="0"/>
              <w:divBdr>
                <w:top w:val="none" w:sz="0" w:space="0" w:color="auto"/>
                <w:left w:val="none" w:sz="0" w:space="0" w:color="auto"/>
                <w:bottom w:val="none" w:sz="0" w:space="0" w:color="auto"/>
                <w:right w:val="none" w:sz="0" w:space="0" w:color="auto"/>
              </w:divBdr>
            </w:div>
          </w:divsChild>
        </w:div>
        <w:div w:id="464544205">
          <w:marLeft w:val="0"/>
          <w:marRight w:val="0"/>
          <w:marTop w:val="0"/>
          <w:marBottom w:val="0"/>
          <w:divBdr>
            <w:top w:val="none" w:sz="0" w:space="0" w:color="auto"/>
            <w:left w:val="none" w:sz="0" w:space="0" w:color="auto"/>
            <w:bottom w:val="none" w:sz="0" w:space="0" w:color="auto"/>
            <w:right w:val="none" w:sz="0" w:space="0" w:color="auto"/>
          </w:divBdr>
          <w:divsChild>
            <w:div w:id="434248293">
              <w:marLeft w:val="0"/>
              <w:marRight w:val="0"/>
              <w:marTop w:val="0"/>
              <w:marBottom w:val="0"/>
              <w:divBdr>
                <w:top w:val="none" w:sz="0" w:space="0" w:color="auto"/>
                <w:left w:val="none" w:sz="0" w:space="0" w:color="auto"/>
                <w:bottom w:val="none" w:sz="0" w:space="0" w:color="auto"/>
                <w:right w:val="none" w:sz="0" w:space="0" w:color="auto"/>
              </w:divBdr>
            </w:div>
          </w:divsChild>
        </w:div>
        <w:div w:id="468209604">
          <w:marLeft w:val="0"/>
          <w:marRight w:val="0"/>
          <w:marTop w:val="0"/>
          <w:marBottom w:val="0"/>
          <w:divBdr>
            <w:top w:val="none" w:sz="0" w:space="0" w:color="auto"/>
            <w:left w:val="none" w:sz="0" w:space="0" w:color="auto"/>
            <w:bottom w:val="none" w:sz="0" w:space="0" w:color="auto"/>
            <w:right w:val="none" w:sz="0" w:space="0" w:color="auto"/>
          </w:divBdr>
          <w:divsChild>
            <w:div w:id="72700541">
              <w:marLeft w:val="0"/>
              <w:marRight w:val="0"/>
              <w:marTop w:val="0"/>
              <w:marBottom w:val="0"/>
              <w:divBdr>
                <w:top w:val="none" w:sz="0" w:space="0" w:color="auto"/>
                <w:left w:val="none" w:sz="0" w:space="0" w:color="auto"/>
                <w:bottom w:val="none" w:sz="0" w:space="0" w:color="auto"/>
                <w:right w:val="none" w:sz="0" w:space="0" w:color="auto"/>
              </w:divBdr>
            </w:div>
          </w:divsChild>
        </w:div>
        <w:div w:id="483591689">
          <w:marLeft w:val="0"/>
          <w:marRight w:val="0"/>
          <w:marTop w:val="0"/>
          <w:marBottom w:val="0"/>
          <w:divBdr>
            <w:top w:val="none" w:sz="0" w:space="0" w:color="auto"/>
            <w:left w:val="none" w:sz="0" w:space="0" w:color="auto"/>
            <w:bottom w:val="none" w:sz="0" w:space="0" w:color="auto"/>
            <w:right w:val="none" w:sz="0" w:space="0" w:color="auto"/>
          </w:divBdr>
          <w:divsChild>
            <w:div w:id="1756124614">
              <w:marLeft w:val="0"/>
              <w:marRight w:val="0"/>
              <w:marTop w:val="0"/>
              <w:marBottom w:val="0"/>
              <w:divBdr>
                <w:top w:val="none" w:sz="0" w:space="0" w:color="auto"/>
                <w:left w:val="none" w:sz="0" w:space="0" w:color="auto"/>
                <w:bottom w:val="none" w:sz="0" w:space="0" w:color="auto"/>
                <w:right w:val="none" w:sz="0" w:space="0" w:color="auto"/>
              </w:divBdr>
            </w:div>
          </w:divsChild>
        </w:div>
        <w:div w:id="502667740">
          <w:marLeft w:val="0"/>
          <w:marRight w:val="0"/>
          <w:marTop w:val="0"/>
          <w:marBottom w:val="0"/>
          <w:divBdr>
            <w:top w:val="none" w:sz="0" w:space="0" w:color="auto"/>
            <w:left w:val="none" w:sz="0" w:space="0" w:color="auto"/>
            <w:bottom w:val="none" w:sz="0" w:space="0" w:color="auto"/>
            <w:right w:val="none" w:sz="0" w:space="0" w:color="auto"/>
          </w:divBdr>
          <w:divsChild>
            <w:div w:id="1934043883">
              <w:marLeft w:val="0"/>
              <w:marRight w:val="0"/>
              <w:marTop w:val="0"/>
              <w:marBottom w:val="0"/>
              <w:divBdr>
                <w:top w:val="none" w:sz="0" w:space="0" w:color="auto"/>
                <w:left w:val="none" w:sz="0" w:space="0" w:color="auto"/>
                <w:bottom w:val="none" w:sz="0" w:space="0" w:color="auto"/>
                <w:right w:val="none" w:sz="0" w:space="0" w:color="auto"/>
              </w:divBdr>
            </w:div>
          </w:divsChild>
        </w:div>
        <w:div w:id="516386925">
          <w:marLeft w:val="0"/>
          <w:marRight w:val="0"/>
          <w:marTop w:val="0"/>
          <w:marBottom w:val="0"/>
          <w:divBdr>
            <w:top w:val="none" w:sz="0" w:space="0" w:color="auto"/>
            <w:left w:val="none" w:sz="0" w:space="0" w:color="auto"/>
            <w:bottom w:val="none" w:sz="0" w:space="0" w:color="auto"/>
            <w:right w:val="none" w:sz="0" w:space="0" w:color="auto"/>
          </w:divBdr>
          <w:divsChild>
            <w:div w:id="1321618201">
              <w:marLeft w:val="0"/>
              <w:marRight w:val="0"/>
              <w:marTop w:val="0"/>
              <w:marBottom w:val="0"/>
              <w:divBdr>
                <w:top w:val="none" w:sz="0" w:space="0" w:color="auto"/>
                <w:left w:val="none" w:sz="0" w:space="0" w:color="auto"/>
                <w:bottom w:val="none" w:sz="0" w:space="0" w:color="auto"/>
                <w:right w:val="none" w:sz="0" w:space="0" w:color="auto"/>
              </w:divBdr>
            </w:div>
          </w:divsChild>
        </w:div>
        <w:div w:id="545721637">
          <w:marLeft w:val="0"/>
          <w:marRight w:val="0"/>
          <w:marTop w:val="0"/>
          <w:marBottom w:val="0"/>
          <w:divBdr>
            <w:top w:val="none" w:sz="0" w:space="0" w:color="auto"/>
            <w:left w:val="none" w:sz="0" w:space="0" w:color="auto"/>
            <w:bottom w:val="none" w:sz="0" w:space="0" w:color="auto"/>
            <w:right w:val="none" w:sz="0" w:space="0" w:color="auto"/>
          </w:divBdr>
          <w:divsChild>
            <w:div w:id="838618355">
              <w:marLeft w:val="0"/>
              <w:marRight w:val="0"/>
              <w:marTop w:val="0"/>
              <w:marBottom w:val="0"/>
              <w:divBdr>
                <w:top w:val="none" w:sz="0" w:space="0" w:color="auto"/>
                <w:left w:val="none" w:sz="0" w:space="0" w:color="auto"/>
                <w:bottom w:val="none" w:sz="0" w:space="0" w:color="auto"/>
                <w:right w:val="none" w:sz="0" w:space="0" w:color="auto"/>
              </w:divBdr>
            </w:div>
          </w:divsChild>
        </w:div>
        <w:div w:id="557010213">
          <w:marLeft w:val="0"/>
          <w:marRight w:val="0"/>
          <w:marTop w:val="0"/>
          <w:marBottom w:val="0"/>
          <w:divBdr>
            <w:top w:val="none" w:sz="0" w:space="0" w:color="auto"/>
            <w:left w:val="none" w:sz="0" w:space="0" w:color="auto"/>
            <w:bottom w:val="none" w:sz="0" w:space="0" w:color="auto"/>
            <w:right w:val="none" w:sz="0" w:space="0" w:color="auto"/>
          </w:divBdr>
          <w:divsChild>
            <w:div w:id="1747679735">
              <w:marLeft w:val="0"/>
              <w:marRight w:val="0"/>
              <w:marTop w:val="0"/>
              <w:marBottom w:val="0"/>
              <w:divBdr>
                <w:top w:val="none" w:sz="0" w:space="0" w:color="auto"/>
                <w:left w:val="none" w:sz="0" w:space="0" w:color="auto"/>
                <w:bottom w:val="none" w:sz="0" w:space="0" w:color="auto"/>
                <w:right w:val="none" w:sz="0" w:space="0" w:color="auto"/>
              </w:divBdr>
            </w:div>
          </w:divsChild>
        </w:div>
        <w:div w:id="674307402">
          <w:marLeft w:val="0"/>
          <w:marRight w:val="0"/>
          <w:marTop w:val="0"/>
          <w:marBottom w:val="0"/>
          <w:divBdr>
            <w:top w:val="none" w:sz="0" w:space="0" w:color="auto"/>
            <w:left w:val="none" w:sz="0" w:space="0" w:color="auto"/>
            <w:bottom w:val="none" w:sz="0" w:space="0" w:color="auto"/>
            <w:right w:val="none" w:sz="0" w:space="0" w:color="auto"/>
          </w:divBdr>
          <w:divsChild>
            <w:div w:id="183442348">
              <w:marLeft w:val="0"/>
              <w:marRight w:val="0"/>
              <w:marTop w:val="0"/>
              <w:marBottom w:val="0"/>
              <w:divBdr>
                <w:top w:val="none" w:sz="0" w:space="0" w:color="auto"/>
                <w:left w:val="none" w:sz="0" w:space="0" w:color="auto"/>
                <w:bottom w:val="none" w:sz="0" w:space="0" w:color="auto"/>
                <w:right w:val="none" w:sz="0" w:space="0" w:color="auto"/>
              </w:divBdr>
            </w:div>
          </w:divsChild>
        </w:div>
        <w:div w:id="824009022">
          <w:marLeft w:val="0"/>
          <w:marRight w:val="0"/>
          <w:marTop w:val="0"/>
          <w:marBottom w:val="0"/>
          <w:divBdr>
            <w:top w:val="none" w:sz="0" w:space="0" w:color="auto"/>
            <w:left w:val="none" w:sz="0" w:space="0" w:color="auto"/>
            <w:bottom w:val="none" w:sz="0" w:space="0" w:color="auto"/>
            <w:right w:val="none" w:sz="0" w:space="0" w:color="auto"/>
          </w:divBdr>
          <w:divsChild>
            <w:div w:id="775368809">
              <w:marLeft w:val="0"/>
              <w:marRight w:val="0"/>
              <w:marTop w:val="0"/>
              <w:marBottom w:val="0"/>
              <w:divBdr>
                <w:top w:val="none" w:sz="0" w:space="0" w:color="auto"/>
                <w:left w:val="none" w:sz="0" w:space="0" w:color="auto"/>
                <w:bottom w:val="none" w:sz="0" w:space="0" w:color="auto"/>
                <w:right w:val="none" w:sz="0" w:space="0" w:color="auto"/>
              </w:divBdr>
            </w:div>
          </w:divsChild>
        </w:div>
        <w:div w:id="827020883">
          <w:marLeft w:val="0"/>
          <w:marRight w:val="0"/>
          <w:marTop w:val="0"/>
          <w:marBottom w:val="0"/>
          <w:divBdr>
            <w:top w:val="none" w:sz="0" w:space="0" w:color="auto"/>
            <w:left w:val="none" w:sz="0" w:space="0" w:color="auto"/>
            <w:bottom w:val="none" w:sz="0" w:space="0" w:color="auto"/>
            <w:right w:val="none" w:sz="0" w:space="0" w:color="auto"/>
          </w:divBdr>
          <w:divsChild>
            <w:div w:id="1044448014">
              <w:marLeft w:val="0"/>
              <w:marRight w:val="0"/>
              <w:marTop w:val="0"/>
              <w:marBottom w:val="0"/>
              <w:divBdr>
                <w:top w:val="none" w:sz="0" w:space="0" w:color="auto"/>
                <w:left w:val="none" w:sz="0" w:space="0" w:color="auto"/>
                <w:bottom w:val="none" w:sz="0" w:space="0" w:color="auto"/>
                <w:right w:val="none" w:sz="0" w:space="0" w:color="auto"/>
              </w:divBdr>
            </w:div>
          </w:divsChild>
        </w:div>
        <w:div w:id="839009875">
          <w:marLeft w:val="0"/>
          <w:marRight w:val="0"/>
          <w:marTop w:val="0"/>
          <w:marBottom w:val="0"/>
          <w:divBdr>
            <w:top w:val="none" w:sz="0" w:space="0" w:color="auto"/>
            <w:left w:val="none" w:sz="0" w:space="0" w:color="auto"/>
            <w:bottom w:val="none" w:sz="0" w:space="0" w:color="auto"/>
            <w:right w:val="none" w:sz="0" w:space="0" w:color="auto"/>
          </w:divBdr>
          <w:divsChild>
            <w:div w:id="1076321298">
              <w:marLeft w:val="0"/>
              <w:marRight w:val="0"/>
              <w:marTop w:val="0"/>
              <w:marBottom w:val="0"/>
              <w:divBdr>
                <w:top w:val="none" w:sz="0" w:space="0" w:color="auto"/>
                <w:left w:val="none" w:sz="0" w:space="0" w:color="auto"/>
                <w:bottom w:val="none" w:sz="0" w:space="0" w:color="auto"/>
                <w:right w:val="none" w:sz="0" w:space="0" w:color="auto"/>
              </w:divBdr>
            </w:div>
          </w:divsChild>
        </w:div>
        <w:div w:id="984819873">
          <w:marLeft w:val="0"/>
          <w:marRight w:val="0"/>
          <w:marTop w:val="0"/>
          <w:marBottom w:val="0"/>
          <w:divBdr>
            <w:top w:val="none" w:sz="0" w:space="0" w:color="auto"/>
            <w:left w:val="none" w:sz="0" w:space="0" w:color="auto"/>
            <w:bottom w:val="none" w:sz="0" w:space="0" w:color="auto"/>
            <w:right w:val="none" w:sz="0" w:space="0" w:color="auto"/>
          </w:divBdr>
          <w:divsChild>
            <w:div w:id="1113284686">
              <w:marLeft w:val="0"/>
              <w:marRight w:val="0"/>
              <w:marTop w:val="0"/>
              <w:marBottom w:val="0"/>
              <w:divBdr>
                <w:top w:val="none" w:sz="0" w:space="0" w:color="auto"/>
                <w:left w:val="none" w:sz="0" w:space="0" w:color="auto"/>
                <w:bottom w:val="none" w:sz="0" w:space="0" w:color="auto"/>
                <w:right w:val="none" w:sz="0" w:space="0" w:color="auto"/>
              </w:divBdr>
            </w:div>
          </w:divsChild>
        </w:div>
        <w:div w:id="999307139">
          <w:marLeft w:val="0"/>
          <w:marRight w:val="0"/>
          <w:marTop w:val="0"/>
          <w:marBottom w:val="0"/>
          <w:divBdr>
            <w:top w:val="none" w:sz="0" w:space="0" w:color="auto"/>
            <w:left w:val="none" w:sz="0" w:space="0" w:color="auto"/>
            <w:bottom w:val="none" w:sz="0" w:space="0" w:color="auto"/>
            <w:right w:val="none" w:sz="0" w:space="0" w:color="auto"/>
          </w:divBdr>
          <w:divsChild>
            <w:div w:id="935407644">
              <w:marLeft w:val="0"/>
              <w:marRight w:val="0"/>
              <w:marTop w:val="0"/>
              <w:marBottom w:val="0"/>
              <w:divBdr>
                <w:top w:val="none" w:sz="0" w:space="0" w:color="auto"/>
                <w:left w:val="none" w:sz="0" w:space="0" w:color="auto"/>
                <w:bottom w:val="none" w:sz="0" w:space="0" w:color="auto"/>
                <w:right w:val="none" w:sz="0" w:space="0" w:color="auto"/>
              </w:divBdr>
            </w:div>
          </w:divsChild>
        </w:div>
        <w:div w:id="1034234050">
          <w:marLeft w:val="0"/>
          <w:marRight w:val="0"/>
          <w:marTop w:val="0"/>
          <w:marBottom w:val="0"/>
          <w:divBdr>
            <w:top w:val="none" w:sz="0" w:space="0" w:color="auto"/>
            <w:left w:val="none" w:sz="0" w:space="0" w:color="auto"/>
            <w:bottom w:val="none" w:sz="0" w:space="0" w:color="auto"/>
            <w:right w:val="none" w:sz="0" w:space="0" w:color="auto"/>
          </w:divBdr>
          <w:divsChild>
            <w:div w:id="1307319566">
              <w:marLeft w:val="0"/>
              <w:marRight w:val="0"/>
              <w:marTop w:val="0"/>
              <w:marBottom w:val="0"/>
              <w:divBdr>
                <w:top w:val="none" w:sz="0" w:space="0" w:color="auto"/>
                <w:left w:val="none" w:sz="0" w:space="0" w:color="auto"/>
                <w:bottom w:val="none" w:sz="0" w:space="0" w:color="auto"/>
                <w:right w:val="none" w:sz="0" w:space="0" w:color="auto"/>
              </w:divBdr>
            </w:div>
          </w:divsChild>
        </w:div>
        <w:div w:id="1060320676">
          <w:marLeft w:val="0"/>
          <w:marRight w:val="0"/>
          <w:marTop w:val="0"/>
          <w:marBottom w:val="0"/>
          <w:divBdr>
            <w:top w:val="none" w:sz="0" w:space="0" w:color="auto"/>
            <w:left w:val="none" w:sz="0" w:space="0" w:color="auto"/>
            <w:bottom w:val="none" w:sz="0" w:space="0" w:color="auto"/>
            <w:right w:val="none" w:sz="0" w:space="0" w:color="auto"/>
          </w:divBdr>
          <w:divsChild>
            <w:div w:id="916329081">
              <w:marLeft w:val="0"/>
              <w:marRight w:val="0"/>
              <w:marTop w:val="0"/>
              <w:marBottom w:val="0"/>
              <w:divBdr>
                <w:top w:val="none" w:sz="0" w:space="0" w:color="auto"/>
                <w:left w:val="none" w:sz="0" w:space="0" w:color="auto"/>
                <w:bottom w:val="none" w:sz="0" w:space="0" w:color="auto"/>
                <w:right w:val="none" w:sz="0" w:space="0" w:color="auto"/>
              </w:divBdr>
            </w:div>
          </w:divsChild>
        </w:div>
        <w:div w:id="1081105726">
          <w:marLeft w:val="0"/>
          <w:marRight w:val="0"/>
          <w:marTop w:val="0"/>
          <w:marBottom w:val="0"/>
          <w:divBdr>
            <w:top w:val="none" w:sz="0" w:space="0" w:color="auto"/>
            <w:left w:val="none" w:sz="0" w:space="0" w:color="auto"/>
            <w:bottom w:val="none" w:sz="0" w:space="0" w:color="auto"/>
            <w:right w:val="none" w:sz="0" w:space="0" w:color="auto"/>
          </w:divBdr>
          <w:divsChild>
            <w:div w:id="659236284">
              <w:marLeft w:val="0"/>
              <w:marRight w:val="0"/>
              <w:marTop w:val="0"/>
              <w:marBottom w:val="0"/>
              <w:divBdr>
                <w:top w:val="none" w:sz="0" w:space="0" w:color="auto"/>
                <w:left w:val="none" w:sz="0" w:space="0" w:color="auto"/>
                <w:bottom w:val="none" w:sz="0" w:space="0" w:color="auto"/>
                <w:right w:val="none" w:sz="0" w:space="0" w:color="auto"/>
              </w:divBdr>
            </w:div>
          </w:divsChild>
        </w:div>
        <w:div w:id="1145197856">
          <w:marLeft w:val="0"/>
          <w:marRight w:val="0"/>
          <w:marTop w:val="0"/>
          <w:marBottom w:val="0"/>
          <w:divBdr>
            <w:top w:val="none" w:sz="0" w:space="0" w:color="auto"/>
            <w:left w:val="none" w:sz="0" w:space="0" w:color="auto"/>
            <w:bottom w:val="none" w:sz="0" w:space="0" w:color="auto"/>
            <w:right w:val="none" w:sz="0" w:space="0" w:color="auto"/>
          </w:divBdr>
          <w:divsChild>
            <w:div w:id="147016988">
              <w:marLeft w:val="0"/>
              <w:marRight w:val="0"/>
              <w:marTop w:val="0"/>
              <w:marBottom w:val="0"/>
              <w:divBdr>
                <w:top w:val="none" w:sz="0" w:space="0" w:color="auto"/>
                <w:left w:val="none" w:sz="0" w:space="0" w:color="auto"/>
                <w:bottom w:val="none" w:sz="0" w:space="0" w:color="auto"/>
                <w:right w:val="none" w:sz="0" w:space="0" w:color="auto"/>
              </w:divBdr>
            </w:div>
          </w:divsChild>
        </w:div>
        <w:div w:id="1190752289">
          <w:marLeft w:val="0"/>
          <w:marRight w:val="0"/>
          <w:marTop w:val="0"/>
          <w:marBottom w:val="0"/>
          <w:divBdr>
            <w:top w:val="none" w:sz="0" w:space="0" w:color="auto"/>
            <w:left w:val="none" w:sz="0" w:space="0" w:color="auto"/>
            <w:bottom w:val="none" w:sz="0" w:space="0" w:color="auto"/>
            <w:right w:val="none" w:sz="0" w:space="0" w:color="auto"/>
          </w:divBdr>
          <w:divsChild>
            <w:div w:id="1965966366">
              <w:marLeft w:val="0"/>
              <w:marRight w:val="0"/>
              <w:marTop w:val="0"/>
              <w:marBottom w:val="0"/>
              <w:divBdr>
                <w:top w:val="none" w:sz="0" w:space="0" w:color="auto"/>
                <w:left w:val="none" w:sz="0" w:space="0" w:color="auto"/>
                <w:bottom w:val="none" w:sz="0" w:space="0" w:color="auto"/>
                <w:right w:val="none" w:sz="0" w:space="0" w:color="auto"/>
              </w:divBdr>
            </w:div>
          </w:divsChild>
        </w:div>
        <w:div w:id="1388187094">
          <w:marLeft w:val="0"/>
          <w:marRight w:val="0"/>
          <w:marTop w:val="0"/>
          <w:marBottom w:val="0"/>
          <w:divBdr>
            <w:top w:val="none" w:sz="0" w:space="0" w:color="auto"/>
            <w:left w:val="none" w:sz="0" w:space="0" w:color="auto"/>
            <w:bottom w:val="none" w:sz="0" w:space="0" w:color="auto"/>
            <w:right w:val="none" w:sz="0" w:space="0" w:color="auto"/>
          </w:divBdr>
          <w:divsChild>
            <w:div w:id="1001156751">
              <w:marLeft w:val="0"/>
              <w:marRight w:val="0"/>
              <w:marTop w:val="0"/>
              <w:marBottom w:val="0"/>
              <w:divBdr>
                <w:top w:val="none" w:sz="0" w:space="0" w:color="auto"/>
                <w:left w:val="none" w:sz="0" w:space="0" w:color="auto"/>
                <w:bottom w:val="none" w:sz="0" w:space="0" w:color="auto"/>
                <w:right w:val="none" w:sz="0" w:space="0" w:color="auto"/>
              </w:divBdr>
            </w:div>
          </w:divsChild>
        </w:div>
        <w:div w:id="1402482514">
          <w:marLeft w:val="0"/>
          <w:marRight w:val="0"/>
          <w:marTop w:val="0"/>
          <w:marBottom w:val="0"/>
          <w:divBdr>
            <w:top w:val="none" w:sz="0" w:space="0" w:color="auto"/>
            <w:left w:val="none" w:sz="0" w:space="0" w:color="auto"/>
            <w:bottom w:val="none" w:sz="0" w:space="0" w:color="auto"/>
            <w:right w:val="none" w:sz="0" w:space="0" w:color="auto"/>
          </w:divBdr>
          <w:divsChild>
            <w:div w:id="471214118">
              <w:marLeft w:val="0"/>
              <w:marRight w:val="0"/>
              <w:marTop w:val="0"/>
              <w:marBottom w:val="0"/>
              <w:divBdr>
                <w:top w:val="none" w:sz="0" w:space="0" w:color="auto"/>
                <w:left w:val="none" w:sz="0" w:space="0" w:color="auto"/>
                <w:bottom w:val="none" w:sz="0" w:space="0" w:color="auto"/>
                <w:right w:val="none" w:sz="0" w:space="0" w:color="auto"/>
              </w:divBdr>
            </w:div>
          </w:divsChild>
        </w:div>
        <w:div w:id="1420908529">
          <w:marLeft w:val="0"/>
          <w:marRight w:val="0"/>
          <w:marTop w:val="0"/>
          <w:marBottom w:val="0"/>
          <w:divBdr>
            <w:top w:val="none" w:sz="0" w:space="0" w:color="auto"/>
            <w:left w:val="none" w:sz="0" w:space="0" w:color="auto"/>
            <w:bottom w:val="none" w:sz="0" w:space="0" w:color="auto"/>
            <w:right w:val="none" w:sz="0" w:space="0" w:color="auto"/>
          </w:divBdr>
          <w:divsChild>
            <w:div w:id="698556337">
              <w:marLeft w:val="0"/>
              <w:marRight w:val="0"/>
              <w:marTop w:val="0"/>
              <w:marBottom w:val="0"/>
              <w:divBdr>
                <w:top w:val="none" w:sz="0" w:space="0" w:color="auto"/>
                <w:left w:val="none" w:sz="0" w:space="0" w:color="auto"/>
                <w:bottom w:val="none" w:sz="0" w:space="0" w:color="auto"/>
                <w:right w:val="none" w:sz="0" w:space="0" w:color="auto"/>
              </w:divBdr>
            </w:div>
          </w:divsChild>
        </w:div>
        <w:div w:id="1427725520">
          <w:marLeft w:val="0"/>
          <w:marRight w:val="0"/>
          <w:marTop w:val="0"/>
          <w:marBottom w:val="0"/>
          <w:divBdr>
            <w:top w:val="none" w:sz="0" w:space="0" w:color="auto"/>
            <w:left w:val="none" w:sz="0" w:space="0" w:color="auto"/>
            <w:bottom w:val="none" w:sz="0" w:space="0" w:color="auto"/>
            <w:right w:val="none" w:sz="0" w:space="0" w:color="auto"/>
          </w:divBdr>
          <w:divsChild>
            <w:div w:id="899366635">
              <w:marLeft w:val="0"/>
              <w:marRight w:val="0"/>
              <w:marTop w:val="0"/>
              <w:marBottom w:val="0"/>
              <w:divBdr>
                <w:top w:val="none" w:sz="0" w:space="0" w:color="auto"/>
                <w:left w:val="none" w:sz="0" w:space="0" w:color="auto"/>
                <w:bottom w:val="none" w:sz="0" w:space="0" w:color="auto"/>
                <w:right w:val="none" w:sz="0" w:space="0" w:color="auto"/>
              </w:divBdr>
            </w:div>
          </w:divsChild>
        </w:div>
        <w:div w:id="1526089455">
          <w:marLeft w:val="0"/>
          <w:marRight w:val="0"/>
          <w:marTop w:val="0"/>
          <w:marBottom w:val="0"/>
          <w:divBdr>
            <w:top w:val="none" w:sz="0" w:space="0" w:color="auto"/>
            <w:left w:val="none" w:sz="0" w:space="0" w:color="auto"/>
            <w:bottom w:val="none" w:sz="0" w:space="0" w:color="auto"/>
            <w:right w:val="none" w:sz="0" w:space="0" w:color="auto"/>
          </w:divBdr>
          <w:divsChild>
            <w:div w:id="673461517">
              <w:marLeft w:val="0"/>
              <w:marRight w:val="0"/>
              <w:marTop w:val="0"/>
              <w:marBottom w:val="0"/>
              <w:divBdr>
                <w:top w:val="none" w:sz="0" w:space="0" w:color="auto"/>
                <w:left w:val="none" w:sz="0" w:space="0" w:color="auto"/>
                <w:bottom w:val="none" w:sz="0" w:space="0" w:color="auto"/>
                <w:right w:val="none" w:sz="0" w:space="0" w:color="auto"/>
              </w:divBdr>
            </w:div>
          </w:divsChild>
        </w:div>
        <w:div w:id="1564752596">
          <w:marLeft w:val="0"/>
          <w:marRight w:val="0"/>
          <w:marTop w:val="0"/>
          <w:marBottom w:val="0"/>
          <w:divBdr>
            <w:top w:val="none" w:sz="0" w:space="0" w:color="auto"/>
            <w:left w:val="none" w:sz="0" w:space="0" w:color="auto"/>
            <w:bottom w:val="none" w:sz="0" w:space="0" w:color="auto"/>
            <w:right w:val="none" w:sz="0" w:space="0" w:color="auto"/>
          </w:divBdr>
          <w:divsChild>
            <w:div w:id="1574122242">
              <w:marLeft w:val="0"/>
              <w:marRight w:val="0"/>
              <w:marTop w:val="0"/>
              <w:marBottom w:val="0"/>
              <w:divBdr>
                <w:top w:val="none" w:sz="0" w:space="0" w:color="auto"/>
                <w:left w:val="none" w:sz="0" w:space="0" w:color="auto"/>
                <w:bottom w:val="none" w:sz="0" w:space="0" w:color="auto"/>
                <w:right w:val="none" w:sz="0" w:space="0" w:color="auto"/>
              </w:divBdr>
            </w:div>
          </w:divsChild>
        </w:div>
        <w:div w:id="1652102929">
          <w:marLeft w:val="0"/>
          <w:marRight w:val="0"/>
          <w:marTop w:val="0"/>
          <w:marBottom w:val="0"/>
          <w:divBdr>
            <w:top w:val="none" w:sz="0" w:space="0" w:color="auto"/>
            <w:left w:val="none" w:sz="0" w:space="0" w:color="auto"/>
            <w:bottom w:val="none" w:sz="0" w:space="0" w:color="auto"/>
            <w:right w:val="none" w:sz="0" w:space="0" w:color="auto"/>
          </w:divBdr>
          <w:divsChild>
            <w:div w:id="997002870">
              <w:marLeft w:val="0"/>
              <w:marRight w:val="0"/>
              <w:marTop w:val="0"/>
              <w:marBottom w:val="0"/>
              <w:divBdr>
                <w:top w:val="none" w:sz="0" w:space="0" w:color="auto"/>
                <w:left w:val="none" w:sz="0" w:space="0" w:color="auto"/>
                <w:bottom w:val="none" w:sz="0" w:space="0" w:color="auto"/>
                <w:right w:val="none" w:sz="0" w:space="0" w:color="auto"/>
              </w:divBdr>
            </w:div>
          </w:divsChild>
        </w:div>
        <w:div w:id="1666779598">
          <w:marLeft w:val="0"/>
          <w:marRight w:val="0"/>
          <w:marTop w:val="0"/>
          <w:marBottom w:val="0"/>
          <w:divBdr>
            <w:top w:val="none" w:sz="0" w:space="0" w:color="auto"/>
            <w:left w:val="none" w:sz="0" w:space="0" w:color="auto"/>
            <w:bottom w:val="none" w:sz="0" w:space="0" w:color="auto"/>
            <w:right w:val="none" w:sz="0" w:space="0" w:color="auto"/>
          </w:divBdr>
          <w:divsChild>
            <w:div w:id="50076910">
              <w:marLeft w:val="0"/>
              <w:marRight w:val="0"/>
              <w:marTop w:val="0"/>
              <w:marBottom w:val="0"/>
              <w:divBdr>
                <w:top w:val="none" w:sz="0" w:space="0" w:color="auto"/>
                <w:left w:val="none" w:sz="0" w:space="0" w:color="auto"/>
                <w:bottom w:val="none" w:sz="0" w:space="0" w:color="auto"/>
                <w:right w:val="none" w:sz="0" w:space="0" w:color="auto"/>
              </w:divBdr>
            </w:div>
          </w:divsChild>
        </w:div>
        <w:div w:id="1670719528">
          <w:marLeft w:val="0"/>
          <w:marRight w:val="0"/>
          <w:marTop w:val="0"/>
          <w:marBottom w:val="0"/>
          <w:divBdr>
            <w:top w:val="none" w:sz="0" w:space="0" w:color="auto"/>
            <w:left w:val="none" w:sz="0" w:space="0" w:color="auto"/>
            <w:bottom w:val="none" w:sz="0" w:space="0" w:color="auto"/>
            <w:right w:val="none" w:sz="0" w:space="0" w:color="auto"/>
          </w:divBdr>
          <w:divsChild>
            <w:div w:id="31272535">
              <w:marLeft w:val="0"/>
              <w:marRight w:val="0"/>
              <w:marTop w:val="0"/>
              <w:marBottom w:val="0"/>
              <w:divBdr>
                <w:top w:val="none" w:sz="0" w:space="0" w:color="auto"/>
                <w:left w:val="none" w:sz="0" w:space="0" w:color="auto"/>
                <w:bottom w:val="none" w:sz="0" w:space="0" w:color="auto"/>
                <w:right w:val="none" w:sz="0" w:space="0" w:color="auto"/>
              </w:divBdr>
            </w:div>
          </w:divsChild>
        </w:div>
        <w:div w:id="1696467568">
          <w:marLeft w:val="0"/>
          <w:marRight w:val="0"/>
          <w:marTop w:val="0"/>
          <w:marBottom w:val="0"/>
          <w:divBdr>
            <w:top w:val="none" w:sz="0" w:space="0" w:color="auto"/>
            <w:left w:val="none" w:sz="0" w:space="0" w:color="auto"/>
            <w:bottom w:val="none" w:sz="0" w:space="0" w:color="auto"/>
            <w:right w:val="none" w:sz="0" w:space="0" w:color="auto"/>
          </w:divBdr>
          <w:divsChild>
            <w:div w:id="705639106">
              <w:marLeft w:val="0"/>
              <w:marRight w:val="0"/>
              <w:marTop w:val="0"/>
              <w:marBottom w:val="0"/>
              <w:divBdr>
                <w:top w:val="none" w:sz="0" w:space="0" w:color="auto"/>
                <w:left w:val="none" w:sz="0" w:space="0" w:color="auto"/>
                <w:bottom w:val="none" w:sz="0" w:space="0" w:color="auto"/>
                <w:right w:val="none" w:sz="0" w:space="0" w:color="auto"/>
              </w:divBdr>
            </w:div>
          </w:divsChild>
        </w:div>
        <w:div w:id="1780101007">
          <w:marLeft w:val="0"/>
          <w:marRight w:val="0"/>
          <w:marTop w:val="0"/>
          <w:marBottom w:val="0"/>
          <w:divBdr>
            <w:top w:val="none" w:sz="0" w:space="0" w:color="auto"/>
            <w:left w:val="none" w:sz="0" w:space="0" w:color="auto"/>
            <w:bottom w:val="none" w:sz="0" w:space="0" w:color="auto"/>
            <w:right w:val="none" w:sz="0" w:space="0" w:color="auto"/>
          </w:divBdr>
          <w:divsChild>
            <w:div w:id="1491408079">
              <w:marLeft w:val="0"/>
              <w:marRight w:val="0"/>
              <w:marTop w:val="0"/>
              <w:marBottom w:val="0"/>
              <w:divBdr>
                <w:top w:val="none" w:sz="0" w:space="0" w:color="auto"/>
                <w:left w:val="none" w:sz="0" w:space="0" w:color="auto"/>
                <w:bottom w:val="none" w:sz="0" w:space="0" w:color="auto"/>
                <w:right w:val="none" w:sz="0" w:space="0" w:color="auto"/>
              </w:divBdr>
            </w:div>
          </w:divsChild>
        </w:div>
        <w:div w:id="1806316289">
          <w:marLeft w:val="0"/>
          <w:marRight w:val="0"/>
          <w:marTop w:val="0"/>
          <w:marBottom w:val="0"/>
          <w:divBdr>
            <w:top w:val="none" w:sz="0" w:space="0" w:color="auto"/>
            <w:left w:val="none" w:sz="0" w:space="0" w:color="auto"/>
            <w:bottom w:val="none" w:sz="0" w:space="0" w:color="auto"/>
            <w:right w:val="none" w:sz="0" w:space="0" w:color="auto"/>
          </w:divBdr>
          <w:divsChild>
            <w:div w:id="1609120781">
              <w:marLeft w:val="0"/>
              <w:marRight w:val="0"/>
              <w:marTop w:val="0"/>
              <w:marBottom w:val="0"/>
              <w:divBdr>
                <w:top w:val="none" w:sz="0" w:space="0" w:color="auto"/>
                <w:left w:val="none" w:sz="0" w:space="0" w:color="auto"/>
                <w:bottom w:val="none" w:sz="0" w:space="0" w:color="auto"/>
                <w:right w:val="none" w:sz="0" w:space="0" w:color="auto"/>
              </w:divBdr>
            </w:div>
          </w:divsChild>
        </w:div>
        <w:div w:id="1824661990">
          <w:marLeft w:val="0"/>
          <w:marRight w:val="0"/>
          <w:marTop w:val="0"/>
          <w:marBottom w:val="0"/>
          <w:divBdr>
            <w:top w:val="none" w:sz="0" w:space="0" w:color="auto"/>
            <w:left w:val="none" w:sz="0" w:space="0" w:color="auto"/>
            <w:bottom w:val="none" w:sz="0" w:space="0" w:color="auto"/>
            <w:right w:val="none" w:sz="0" w:space="0" w:color="auto"/>
          </w:divBdr>
          <w:divsChild>
            <w:div w:id="958294119">
              <w:marLeft w:val="0"/>
              <w:marRight w:val="0"/>
              <w:marTop w:val="0"/>
              <w:marBottom w:val="0"/>
              <w:divBdr>
                <w:top w:val="none" w:sz="0" w:space="0" w:color="auto"/>
                <w:left w:val="none" w:sz="0" w:space="0" w:color="auto"/>
                <w:bottom w:val="none" w:sz="0" w:space="0" w:color="auto"/>
                <w:right w:val="none" w:sz="0" w:space="0" w:color="auto"/>
              </w:divBdr>
            </w:div>
          </w:divsChild>
        </w:div>
        <w:div w:id="1851288732">
          <w:marLeft w:val="0"/>
          <w:marRight w:val="0"/>
          <w:marTop w:val="0"/>
          <w:marBottom w:val="0"/>
          <w:divBdr>
            <w:top w:val="none" w:sz="0" w:space="0" w:color="auto"/>
            <w:left w:val="none" w:sz="0" w:space="0" w:color="auto"/>
            <w:bottom w:val="none" w:sz="0" w:space="0" w:color="auto"/>
            <w:right w:val="none" w:sz="0" w:space="0" w:color="auto"/>
          </w:divBdr>
          <w:divsChild>
            <w:div w:id="1109395149">
              <w:marLeft w:val="0"/>
              <w:marRight w:val="0"/>
              <w:marTop w:val="0"/>
              <w:marBottom w:val="0"/>
              <w:divBdr>
                <w:top w:val="none" w:sz="0" w:space="0" w:color="auto"/>
                <w:left w:val="none" w:sz="0" w:space="0" w:color="auto"/>
                <w:bottom w:val="none" w:sz="0" w:space="0" w:color="auto"/>
                <w:right w:val="none" w:sz="0" w:space="0" w:color="auto"/>
              </w:divBdr>
            </w:div>
          </w:divsChild>
        </w:div>
        <w:div w:id="1888639902">
          <w:marLeft w:val="0"/>
          <w:marRight w:val="0"/>
          <w:marTop w:val="0"/>
          <w:marBottom w:val="0"/>
          <w:divBdr>
            <w:top w:val="none" w:sz="0" w:space="0" w:color="auto"/>
            <w:left w:val="none" w:sz="0" w:space="0" w:color="auto"/>
            <w:bottom w:val="none" w:sz="0" w:space="0" w:color="auto"/>
            <w:right w:val="none" w:sz="0" w:space="0" w:color="auto"/>
          </w:divBdr>
          <w:divsChild>
            <w:div w:id="1734311067">
              <w:marLeft w:val="0"/>
              <w:marRight w:val="0"/>
              <w:marTop w:val="0"/>
              <w:marBottom w:val="0"/>
              <w:divBdr>
                <w:top w:val="none" w:sz="0" w:space="0" w:color="auto"/>
                <w:left w:val="none" w:sz="0" w:space="0" w:color="auto"/>
                <w:bottom w:val="none" w:sz="0" w:space="0" w:color="auto"/>
                <w:right w:val="none" w:sz="0" w:space="0" w:color="auto"/>
              </w:divBdr>
            </w:div>
          </w:divsChild>
        </w:div>
        <w:div w:id="1893155037">
          <w:marLeft w:val="0"/>
          <w:marRight w:val="0"/>
          <w:marTop w:val="0"/>
          <w:marBottom w:val="0"/>
          <w:divBdr>
            <w:top w:val="none" w:sz="0" w:space="0" w:color="auto"/>
            <w:left w:val="none" w:sz="0" w:space="0" w:color="auto"/>
            <w:bottom w:val="none" w:sz="0" w:space="0" w:color="auto"/>
            <w:right w:val="none" w:sz="0" w:space="0" w:color="auto"/>
          </w:divBdr>
          <w:divsChild>
            <w:div w:id="1014113422">
              <w:marLeft w:val="0"/>
              <w:marRight w:val="0"/>
              <w:marTop w:val="0"/>
              <w:marBottom w:val="0"/>
              <w:divBdr>
                <w:top w:val="none" w:sz="0" w:space="0" w:color="auto"/>
                <w:left w:val="none" w:sz="0" w:space="0" w:color="auto"/>
                <w:bottom w:val="none" w:sz="0" w:space="0" w:color="auto"/>
                <w:right w:val="none" w:sz="0" w:space="0" w:color="auto"/>
              </w:divBdr>
            </w:div>
          </w:divsChild>
        </w:div>
        <w:div w:id="1984195303">
          <w:marLeft w:val="0"/>
          <w:marRight w:val="0"/>
          <w:marTop w:val="0"/>
          <w:marBottom w:val="0"/>
          <w:divBdr>
            <w:top w:val="none" w:sz="0" w:space="0" w:color="auto"/>
            <w:left w:val="none" w:sz="0" w:space="0" w:color="auto"/>
            <w:bottom w:val="none" w:sz="0" w:space="0" w:color="auto"/>
            <w:right w:val="none" w:sz="0" w:space="0" w:color="auto"/>
          </w:divBdr>
          <w:divsChild>
            <w:div w:id="1442411187">
              <w:marLeft w:val="0"/>
              <w:marRight w:val="0"/>
              <w:marTop w:val="0"/>
              <w:marBottom w:val="0"/>
              <w:divBdr>
                <w:top w:val="none" w:sz="0" w:space="0" w:color="auto"/>
                <w:left w:val="none" w:sz="0" w:space="0" w:color="auto"/>
                <w:bottom w:val="none" w:sz="0" w:space="0" w:color="auto"/>
                <w:right w:val="none" w:sz="0" w:space="0" w:color="auto"/>
              </w:divBdr>
            </w:div>
          </w:divsChild>
        </w:div>
        <w:div w:id="2020620903">
          <w:marLeft w:val="0"/>
          <w:marRight w:val="0"/>
          <w:marTop w:val="0"/>
          <w:marBottom w:val="0"/>
          <w:divBdr>
            <w:top w:val="none" w:sz="0" w:space="0" w:color="auto"/>
            <w:left w:val="none" w:sz="0" w:space="0" w:color="auto"/>
            <w:bottom w:val="none" w:sz="0" w:space="0" w:color="auto"/>
            <w:right w:val="none" w:sz="0" w:space="0" w:color="auto"/>
          </w:divBdr>
          <w:divsChild>
            <w:div w:id="1489130892">
              <w:marLeft w:val="0"/>
              <w:marRight w:val="0"/>
              <w:marTop w:val="0"/>
              <w:marBottom w:val="0"/>
              <w:divBdr>
                <w:top w:val="none" w:sz="0" w:space="0" w:color="auto"/>
                <w:left w:val="none" w:sz="0" w:space="0" w:color="auto"/>
                <w:bottom w:val="none" w:sz="0" w:space="0" w:color="auto"/>
                <w:right w:val="none" w:sz="0" w:space="0" w:color="auto"/>
              </w:divBdr>
            </w:div>
          </w:divsChild>
        </w:div>
        <w:div w:id="2059234143">
          <w:marLeft w:val="0"/>
          <w:marRight w:val="0"/>
          <w:marTop w:val="0"/>
          <w:marBottom w:val="0"/>
          <w:divBdr>
            <w:top w:val="none" w:sz="0" w:space="0" w:color="auto"/>
            <w:left w:val="none" w:sz="0" w:space="0" w:color="auto"/>
            <w:bottom w:val="none" w:sz="0" w:space="0" w:color="auto"/>
            <w:right w:val="none" w:sz="0" w:space="0" w:color="auto"/>
          </w:divBdr>
          <w:divsChild>
            <w:div w:id="65656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989591">
      <w:bodyDiv w:val="1"/>
      <w:marLeft w:val="0"/>
      <w:marRight w:val="0"/>
      <w:marTop w:val="0"/>
      <w:marBottom w:val="0"/>
      <w:divBdr>
        <w:top w:val="none" w:sz="0" w:space="0" w:color="auto"/>
        <w:left w:val="none" w:sz="0" w:space="0" w:color="auto"/>
        <w:bottom w:val="none" w:sz="0" w:space="0" w:color="auto"/>
        <w:right w:val="none" w:sz="0" w:space="0" w:color="auto"/>
      </w:divBdr>
    </w:div>
    <w:div w:id="519393543">
      <w:bodyDiv w:val="1"/>
      <w:marLeft w:val="0"/>
      <w:marRight w:val="0"/>
      <w:marTop w:val="0"/>
      <w:marBottom w:val="0"/>
      <w:divBdr>
        <w:top w:val="none" w:sz="0" w:space="0" w:color="auto"/>
        <w:left w:val="none" w:sz="0" w:space="0" w:color="auto"/>
        <w:bottom w:val="none" w:sz="0" w:space="0" w:color="auto"/>
        <w:right w:val="none" w:sz="0" w:space="0" w:color="auto"/>
      </w:divBdr>
      <w:divsChild>
        <w:div w:id="1766222556">
          <w:marLeft w:val="0"/>
          <w:marRight w:val="0"/>
          <w:marTop w:val="0"/>
          <w:marBottom w:val="0"/>
          <w:divBdr>
            <w:top w:val="none" w:sz="0" w:space="0" w:color="auto"/>
            <w:left w:val="none" w:sz="0" w:space="0" w:color="auto"/>
            <w:bottom w:val="none" w:sz="0" w:space="0" w:color="auto"/>
            <w:right w:val="none" w:sz="0" w:space="0" w:color="auto"/>
          </w:divBdr>
        </w:div>
      </w:divsChild>
    </w:div>
    <w:div w:id="521673107">
      <w:bodyDiv w:val="1"/>
      <w:marLeft w:val="0"/>
      <w:marRight w:val="0"/>
      <w:marTop w:val="0"/>
      <w:marBottom w:val="0"/>
      <w:divBdr>
        <w:top w:val="none" w:sz="0" w:space="0" w:color="auto"/>
        <w:left w:val="none" w:sz="0" w:space="0" w:color="auto"/>
        <w:bottom w:val="none" w:sz="0" w:space="0" w:color="auto"/>
        <w:right w:val="none" w:sz="0" w:space="0" w:color="auto"/>
      </w:divBdr>
    </w:div>
    <w:div w:id="522284914">
      <w:bodyDiv w:val="1"/>
      <w:marLeft w:val="0"/>
      <w:marRight w:val="0"/>
      <w:marTop w:val="0"/>
      <w:marBottom w:val="0"/>
      <w:divBdr>
        <w:top w:val="none" w:sz="0" w:space="0" w:color="auto"/>
        <w:left w:val="none" w:sz="0" w:space="0" w:color="auto"/>
        <w:bottom w:val="none" w:sz="0" w:space="0" w:color="auto"/>
        <w:right w:val="none" w:sz="0" w:space="0" w:color="auto"/>
      </w:divBdr>
    </w:div>
    <w:div w:id="531458248">
      <w:bodyDiv w:val="1"/>
      <w:marLeft w:val="0"/>
      <w:marRight w:val="0"/>
      <w:marTop w:val="0"/>
      <w:marBottom w:val="0"/>
      <w:divBdr>
        <w:top w:val="none" w:sz="0" w:space="0" w:color="auto"/>
        <w:left w:val="none" w:sz="0" w:space="0" w:color="auto"/>
        <w:bottom w:val="none" w:sz="0" w:space="0" w:color="auto"/>
        <w:right w:val="none" w:sz="0" w:space="0" w:color="auto"/>
      </w:divBdr>
    </w:div>
    <w:div w:id="537473963">
      <w:bodyDiv w:val="1"/>
      <w:marLeft w:val="0"/>
      <w:marRight w:val="0"/>
      <w:marTop w:val="0"/>
      <w:marBottom w:val="0"/>
      <w:divBdr>
        <w:top w:val="none" w:sz="0" w:space="0" w:color="auto"/>
        <w:left w:val="none" w:sz="0" w:space="0" w:color="auto"/>
        <w:bottom w:val="none" w:sz="0" w:space="0" w:color="auto"/>
        <w:right w:val="none" w:sz="0" w:space="0" w:color="auto"/>
      </w:divBdr>
    </w:div>
    <w:div w:id="538974899">
      <w:bodyDiv w:val="1"/>
      <w:marLeft w:val="0"/>
      <w:marRight w:val="0"/>
      <w:marTop w:val="0"/>
      <w:marBottom w:val="0"/>
      <w:divBdr>
        <w:top w:val="none" w:sz="0" w:space="0" w:color="auto"/>
        <w:left w:val="none" w:sz="0" w:space="0" w:color="auto"/>
        <w:bottom w:val="none" w:sz="0" w:space="0" w:color="auto"/>
        <w:right w:val="none" w:sz="0" w:space="0" w:color="auto"/>
      </w:divBdr>
    </w:div>
    <w:div w:id="581066811">
      <w:bodyDiv w:val="1"/>
      <w:marLeft w:val="0"/>
      <w:marRight w:val="0"/>
      <w:marTop w:val="0"/>
      <w:marBottom w:val="0"/>
      <w:divBdr>
        <w:top w:val="none" w:sz="0" w:space="0" w:color="auto"/>
        <w:left w:val="none" w:sz="0" w:space="0" w:color="auto"/>
        <w:bottom w:val="none" w:sz="0" w:space="0" w:color="auto"/>
        <w:right w:val="none" w:sz="0" w:space="0" w:color="auto"/>
      </w:divBdr>
    </w:div>
    <w:div w:id="581068696">
      <w:bodyDiv w:val="1"/>
      <w:marLeft w:val="0"/>
      <w:marRight w:val="0"/>
      <w:marTop w:val="0"/>
      <w:marBottom w:val="0"/>
      <w:divBdr>
        <w:top w:val="none" w:sz="0" w:space="0" w:color="auto"/>
        <w:left w:val="none" w:sz="0" w:space="0" w:color="auto"/>
        <w:bottom w:val="none" w:sz="0" w:space="0" w:color="auto"/>
        <w:right w:val="none" w:sz="0" w:space="0" w:color="auto"/>
      </w:divBdr>
      <w:divsChild>
        <w:div w:id="263879560">
          <w:marLeft w:val="0"/>
          <w:marRight w:val="0"/>
          <w:marTop w:val="0"/>
          <w:marBottom w:val="0"/>
          <w:divBdr>
            <w:top w:val="none" w:sz="0" w:space="0" w:color="auto"/>
            <w:left w:val="none" w:sz="0" w:space="0" w:color="auto"/>
            <w:bottom w:val="none" w:sz="0" w:space="0" w:color="auto"/>
            <w:right w:val="none" w:sz="0" w:space="0" w:color="auto"/>
          </w:divBdr>
        </w:div>
        <w:div w:id="384794231">
          <w:marLeft w:val="0"/>
          <w:marRight w:val="0"/>
          <w:marTop w:val="0"/>
          <w:marBottom w:val="0"/>
          <w:divBdr>
            <w:top w:val="none" w:sz="0" w:space="0" w:color="auto"/>
            <w:left w:val="none" w:sz="0" w:space="0" w:color="auto"/>
            <w:bottom w:val="none" w:sz="0" w:space="0" w:color="auto"/>
            <w:right w:val="none" w:sz="0" w:space="0" w:color="auto"/>
          </w:divBdr>
        </w:div>
        <w:div w:id="530001247">
          <w:marLeft w:val="0"/>
          <w:marRight w:val="0"/>
          <w:marTop w:val="0"/>
          <w:marBottom w:val="0"/>
          <w:divBdr>
            <w:top w:val="none" w:sz="0" w:space="0" w:color="auto"/>
            <w:left w:val="none" w:sz="0" w:space="0" w:color="auto"/>
            <w:bottom w:val="none" w:sz="0" w:space="0" w:color="auto"/>
            <w:right w:val="none" w:sz="0" w:space="0" w:color="auto"/>
          </w:divBdr>
        </w:div>
        <w:div w:id="723991284">
          <w:marLeft w:val="0"/>
          <w:marRight w:val="0"/>
          <w:marTop w:val="0"/>
          <w:marBottom w:val="0"/>
          <w:divBdr>
            <w:top w:val="none" w:sz="0" w:space="0" w:color="auto"/>
            <w:left w:val="none" w:sz="0" w:space="0" w:color="auto"/>
            <w:bottom w:val="none" w:sz="0" w:space="0" w:color="auto"/>
            <w:right w:val="none" w:sz="0" w:space="0" w:color="auto"/>
          </w:divBdr>
        </w:div>
        <w:div w:id="775104548">
          <w:marLeft w:val="0"/>
          <w:marRight w:val="0"/>
          <w:marTop w:val="0"/>
          <w:marBottom w:val="0"/>
          <w:divBdr>
            <w:top w:val="none" w:sz="0" w:space="0" w:color="auto"/>
            <w:left w:val="none" w:sz="0" w:space="0" w:color="auto"/>
            <w:bottom w:val="none" w:sz="0" w:space="0" w:color="auto"/>
            <w:right w:val="none" w:sz="0" w:space="0" w:color="auto"/>
          </w:divBdr>
        </w:div>
        <w:div w:id="1003314854">
          <w:marLeft w:val="0"/>
          <w:marRight w:val="0"/>
          <w:marTop w:val="0"/>
          <w:marBottom w:val="0"/>
          <w:divBdr>
            <w:top w:val="none" w:sz="0" w:space="0" w:color="auto"/>
            <w:left w:val="none" w:sz="0" w:space="0" w:color="auto"/>
            <w:bottom w:val="none" w:sz="0" w:space="0" w:color="auto"/>
            <w:right w:val="none" w:sz="0" w:space="0" w:color="auto"/>
          </w:divBdr>
        </w:div>
        <w:div w:id="1265768523">
          <w:marLeft w:val="0"/>
          <w:marRight w:val="0"/>
          <w:marTop w:val="0"/>
          <w:marBottom w:val="0"/>
          <w:divBdr>
            <w:top w:val="none" w:sz="0" w:space="0" w:color="auto"/>
            <w:left w:val="none" w:sz="0" w:space="0" w:color="auto"/>
            <w:bottom w:val="none" w:sz="0" w:space="0" w:color="auto"/>
            <w:right w:val="none" w:sz="0" w:space="0" w:color="auto"/>
          </w:divBdr>
        </w:div>
        <w:div w:id="1336344877">
          <w:marLeft w:val="0"/>
          <w:marRight w:val="0"/>
          <w:marTop w:val="0"/>
          <w:marBottom w:val="0"/>
          <w:divBdr>
            <w:top w:val="none" w:sz="0" w:space="0" w:color="auto"/>
            <w:left w:val="none" w:sz="0" w:space="0" w:color="auto"/>
            <w:bottom w:val="none" w:sz="0" w:space="0" w:color="auto"/>
            <w:right w:val="none" w:sz="0" w:space="0" w:color="auto"/>
          </w:divBdr>
        </w:div>
      </w:divsChild>
    </w:div>
    <w:div w:id="603146184">
      <w:bodyDiv w:val="1"/>
      <w:marLeft w:val="0"/>
      <w:marRight w:val="0"/>
      <w:marTop w:val="0"/>
      <w:marBottom w:val="0"/>
      <w:divBdr>
        <w:top w:val="none" w:sz="0" w:space="0" w:color="auto"/>
        <w:left w:val="none" w:sz="0" w:space="0" w:color="auto"/>
        <w:bottom w:val="none" w:sz="0" w:space="0" w:color="auto"/>
        <w:right w:val="none" w:sz="0" w:space="0" w:color="auto"/>
      </w:divBdr>
    </w:div>
    <w:div w:id="611933762">
      <w:bodyDiv w:val="1"/>
      <w:marLeft w:val="0"/>
      <w:marRight w:val="0"/>
      <w:marTop w:val="0"/>
      <w:marBottom w:val="0"/>
      <w:divBdr>
        <w:top w:val="none" w:sz="0" w:space="0" w:color="auto"/>
        <w:left w:val="none" w:sz="0" w:space="0" w:color="auto"/>
        <w:bottom w:val="none" w:sz="0" w:space="0" w:color="auto"/>
        <w:right w:val="none" w:sz="0" w:space="0" w:color="auto"/>
      </w:divBdr>
    </w:div>
    <w:div w:id="629553632">
      <w:bodyDiv w:val="1"/>
      <w:marLeft w:val="0"/>
      <w:marRight w:val="0"/>
      <w:marTop w:val="0"/>
      <w:marBottom w:val="0"/>
      <w:divBdr>
        <w:top w:val="none" w:sz="0" w:space="0" w:color="auto"/>
        <w:left w:val="none" w:sz="0" w:space="0" w:color="auto"/>
        <w:bottom w:val="none" w:sz="0" w:space="0" w:color="auto"/>
        <w:right w:val="none" w:sz="0" w:space="0" w:color="auto"/>
      </w:divBdr>
    </w:div>
    <w:div w:id="645551834">
      <w:bodyDiv w:val="1"/>
      <w:marLeft w:val="0"/>
      <w:marRight w:val="0"/>
      <w:marTop w:val="0"/>
      <w:marBottom w:val="0"/>
      <w:divBdr>
        <w:top w:val="none" w:sz="0" w:space="0" w:color="auto"/>
        <w:left w:val="none" w:sz="0" w:space="0" w:color="auto"/>
        <w:bottom w:val="none" w:sz="0" w:space="0" w:color="auto"/>
        <w:right w:val="none" w:sz="0" w:space="0" w:color="auto"/>
      </w:divBdr>
    </w:div>
    <w:div w:id="648677708">
      <w:bodyDiv w:val="1"/>
      <w:marLeft w:val="0"/>
      <w:marRight w:val="0"/>
      <w:marTop w:val="0"/>
      <w:marBottom w:val="0"/>
      <w:divBdr>
        <w:top w:val="none" w:sz="0" w:space="0" w:color="auto"/>
        <w:left w:val="none" w:sz="0" w:space="0" w:color="auto"/>
        <w:bottom w:val="none" w:sz="0" w:space="0" w:color="auto"/>
        <w:right w:val="none" w:sz="0" w:space="0" w:color="auto"/>
      </w:divBdr>
      <w:divsChild>
        <w:div w:id="48506073">
          <w:marLeft w:val="0"/>
          <w:marRight w:val="0"/>
          <w:marTop w:val="0"/>
          <w:marBottom w:val="0"/>
          <w:divBdr>
            <w:top w:val="none" w:sz="0" w:space="0" w:color="auto"/>
            <w:left w:val="none" w:sz="0" w:space="0" w:color="auto"/>
            <w:bottom w:val="none" w:sz="0" w:space="0" w:color="auto"/>
            <w:right w:val="none" w:sz="0" w:space="0" w:color="auto"/>
          </w:divBdr>
        </w:div>
        <w:div w:id="665984150">
          <w:marLeft w:val="0"/>
          <w:marRight w:val="0"/>
          <w:marTop w:val="0"/>
          <w:marBottom w:val="0"/>
          <w:divBdr>
            <w:top w:val="none" w:sz="0" w:space="0" w:color="auto"/>
            <w:left w:val="none" w:sz="0" w:space="0" w:color="auto"/>
            <w:bottom w:val="none" w:sz="0" w:space="0" w:color="auto"/>
            <w:right w:val="none" w:sz="0" w:space="0" w:color="auto"/>
          </w:divBdr>
        </w:div>
      </w:divsChild>
    </w:div>
    <w:div w:id="652873377">
      <w:bodyDiv w:val="1"/>
      <w:marLeft w:val="0"/>
      <w:marRight w:val="0"/>
      <w:marTop w:val="0"/>
      <w:marBottom w:val="0"/>
      <w:divBdr>
        <w:top w:val="none" w:sz="0" w:space="0" w:color="auto"/>
        <w:left w:val="none" w:sz="0" w:space="0" w:color="auto"/>
        <w:bottom w:val="none" w:sz="0" w:space="0" w:color="auto"/>
        <w:right w:val="none" w:sz="0" w:space="0" w:color="auto"/>
      </w:divBdr>
    </w:div>
    <w:div w:id="660354186">
      <w:bodyDiv w:val="1"/>
      <w:marLeft w:val="0"/>
      <w:marRight w:val="0"/>
      <w:marTop w:val="0"/>
      <w:marBottom w:val="0"/>
      <w:divBdr>
        <w:top w:val="none" w:sz="0" w:space="0" w:color="auto"/>
        <w:left w:val="none" w:sz="0" w:space="0" w:color="auto"/>
        <w:bottom w:val="none" w:sz="0" w:space="0" w:color="auto"/>
        <w:right w:val="none" w:sz="0" w:space="0" w:color="auto"/>
      </w:divBdr>
    </w:div>
    <w:div w:id="717625973">
      <w:bodyDiv w:val="1"/>
      <w:marLeft w:val="0"/>
      <w:marRight w:val="0"/>
      <w:marTop w:val="0"/>
      <w:marBottom w:val="0"/>
      <w:divBdr>
        <w:top w:val="none" w:sz="0" w:space="0" w:color="auto"/>
        <w:left w:val="none" w:sz="0" w:space="0" w:color="auto"/>
        <w:bottom w:val="none" w:sz="0" w:space="0" w:color="auto"/>
        <w:right w:val="none" w:sz="0" w:space="0" w:color="auto"/>
      </w:divBdr>
    </w:div>
    <w:div w:id="750932569">
      <w:bodyDiv w:val="1"/>
      <w:marLeft w:val="0"/>
      <w:marRight w:val="0"/>
      <w:marTop w:val="0"/>
      <w:marBottom w:val="0"/>
      <w:divBdr>
        <w:top w:val="none" w:sz="0" w:space="0" w:color="auto"/>
        <w:left w:val="none" w:sz="0" w:space="0" w:color="auto"/>
        <w:bottom w:val="none" w:sz="0" w:space="0" w:color="auto"/>
        <w:right w:val="none" w:sz="0" w:space="0" w:color="auto"/>
      </w:divBdr>
    </w:div>
    <w:div w:id="767043303">
      <w:bodyDiv w:val="1"/>
      <w:marLeft w:val="0"/>
      <w:marRight w:val="0"/>
      <w:marTop w:val="0"/>
      <w:marBottom w:val="0"/>
      <w:divBdr>
        <w:top w:val="none" w:sz="0" w:space="0" w:color="auto"/>
        <w:left w:val="none" w:sz="0" w:space="0" w:color="auto"/>
        <w:bottom w:val="none" w:sz="0" w:space="0" w:color="auto"/>
        <w:right w:val="none" w:sz="0" w:space="0" w:color="auto"/>
      </w:divBdr>
    </w:div>
    <w:div w:id="785539530">
      <w:bodyDiv w:val="1"/>
      <w:marLeft w:val="0"/>
      <w:marRight w:val="0"/>
      <w:marTop w:val="0"/>
      <w:marBottom w:val="0"/>
      <w:divBdr>
        <w:top w:val="none" w:sz="0" w:space="0" w:color="auto"/>
        <w:left w:val="none" w:sz="0" w:space="0" w:color="auto"/>
        <w:bottom w:val="none" w:sz="0" w:space="0" w:color="auto"/>
        <w:right w:val="none" w:sz="0" w:space="0" w:color="auto"/>
      </w:divBdr>
    </w:div>
    <w:div w:id="785660015">
      <w:bodyDiv w:val="1"/>
      <w:marLeft w:val="0"/>
      <w:marRight w:val="0"/>
      <w:marTop w:val="0"/>
      <w:marBottom w:val="0"/>
      <w:divBdr>
        <w:top w:val="none" w:sz="0" w:space="0" w:color="auto"/>
        <w:left w:val="none" w:sz="0" w:space="0" w:color="auto"/>
        <w:bottom w:val="none" w:sz="0" w:space="0" w:color="auto"/>
        <w:right w:val="none" w:sz="0" w:space="0" w:color="auto"/>
      </w:divBdr>
    </w:div>
    <w:div w:id="792669979">
      <w:bodyDiv w:val="1"/>
      <w:marLeft w:val="0"/>
      <w:marRight w:val="0"/>
      <w:marTop w:val="0"/>
      <w:marBottom w:val="0"/>
      <w:divBdr>
        <w:top w:val="none" w:sz="0" w:space="0" w:color="auto"/>
        <w:left w:val="none" w:sz="0" w:space="0" w:color="auto"/>
        <w:bottom w:val="none" w:sz="0" w:space="0" w:color="auto"/>
        <w:right w:val="none" w:sz="0" w:space="0" w:color="auto"/>
      </w:divBdr>
    </w:div>
    <w:div w:id="821314535">
      <w:bodyDiv w:val="1"/>
      <w:marLeft w:val="0"/>
      <w:marRight w:val="0"/>
      <w:marTop w:val="0"/>
      <w:marBottom w:val="0"/>
      <w:divBdr>
        <w:top w:val="none" w:sz="0" w:space="0" w:color="auto"/>
        <w:left w:val="none" w:sz="0" w:space="0" w:color="auto"/>
        <w:bottom w:val="none" w:sz="0" w:space="0" w:color="auto"/>
        <w:right w:val="none" w:sz="0" w:space="0" w:color="auto"/>
      </w:divBdr>
    </w:div>
    <w:div w:id="823937104">
      <w:bodyDiv w:val="1"/>
      <w:marLeft w:val="0"/>
      <w:marRight w:val="0"/>
      <w:marTop w:val="0"/>
      <w:marBottom w:val="0"/>
      <w:divBdr>
        <w:top w:val="none" w:sz="0" w:space="0" w:color="auto"/>
        <w:left w:val="none" w:sz="0" w:space="0" w:color="auto"/>
        <w:bottom w:val="none" w:sz="0" w:space="0" w:color="auto"/>
        <w:right w:val="none" w:sz="0" w:space="0" w:color="auto"/>
      </w:divBdr>
    </w:div>
    <w:div w:id="843016519">
      <w:bodyDiv w:val="1"/>
      <w:marLeft w:val="0"/>
      <w:marRight w:val="0"/>
      <w:marTop w:val="0"/>
      <w:marBottom w:val="0"/>
      <w:divBdr>
        <w:top w:val="none" w:sz="0" w:space="0" w:color="auto"/>
        <w:left w:val="none" w:sz="0" w:space="0" w:color="auto"/>
        <w:bottom w:val="none" w:sz="0" w:space="0" w:color="auto"/>
        <w:right w:val="none" w:sz="0" w:space="0" w:color="auto"/>
      </w:divBdr>
    </w:div>
    <w:div w:id="851259987">
      <w:bodyDiv w:val="1"/>
      <w:marLeft w:val="0"/>
      <w:marRight w:val="0"/>
      <w:marTop w:val="0"/>
      <w:marBottom w:val="0"/>
      <w:divBdr>
        <w:top w:val="none" w:sz="0" w:space="0" w:color="auto"/>
        <w:left w:val="none" w:sz="0" w:space="0" w:color="auto"/>
        <w:bottom w:val="none" w:sz="0" w:space="0" w:color="auto"/>
        <w:right w:val="none" w:sz="0" w:space="0" w:color="auto"/>
      </w:divBdr>
    </w:div>
    <w:div w:id="866677958">
      <w:bodyDiv w:val="1"/>
      <w:marLeft w:val="0"/>
      <w:marRight w:val="0"/>
      <w:marTop w:val="0"/>
      <w:marBottom w:val="0"/>
      <w:divBdr>
        <w:top w:val="none" w:sz="0" w:space="0" w:color="auto"/>
        <w:left w:val="none" w:sz="0" w:space="0" w:color="auto"/>
        <w:bottom w:val="none" w:sz="0" w:space="0" w:color="auto"/>
        <w:right w:val="none" w:sz="0" w:space="0" w:color="auto"/>
      </w:divBdr>
      <w:divsChild>
        <w:div w:id="66805047">
          <w:marLeft w:val="0"/>
          <w:marRight w:val="0"/>
          <w:marTop w:val="0"/>
          <w:marBottom w:val="0"/>
          <w:divBdr>
            <w:top w:val="none" w:sz="0" w:space="0" w:color="auto"/>
            <w:left w:val="none" w:sz="0" w:space="0" w:color="auto"/>
            <w:bottom w:val="none" w:sz="0" w:space="0" w:color="auto"/>
            <w:right w:val="none" w:sz="0" w:space="0" w:color="auto"/>
          </w:divBdr>
        </w:div>
        <w:div w:id="1148090727">
          <w:marLeft w:val="0"/>
          <w:marRight w:val="0"/>
          <w:marTop w:val="0"/>
          <w:marBottom w:val="0"/>
          <w:divBdr>
            <w:top w:val="none" w:sz="0" w:space="0" w:color="auto"/>
            <w:left w:val="none" w:sz="0" w:space="0" w:color="auto"/>
            <w:bottom w:val="none" w:sz="0" w:space="0" w:color="auto"/>
            <w:right w:val="none" w:sz="0" w:space="0" w:color="auto"/>
          </w:divBdr>
        </w:div>
      </w:divsChild>
    </w:div>
    <w:div w:id="877357157">
      <w:bodyDiv w:val="1"/>
      <w:marLeft w:val="0"/>
      <w:marRight w:val="0"/>
      <w:marTop w:val="0"/>
      <w:marBottom w:val="0"/>
      <w:divBdr>
        <w:top w:val="none" w:sz="0" w:space="0" w:color="auto"/>
        <w:left w:val="none" w:sz="0" w:space="0" w:color="auto"/>
        <w:bottom w:val="none" w:sz="0" w:space="0" w:color="auto"/>
        <w:right w:val="none" w:sz="0" w:space="0" w:color="auto"/>
      </w:divBdr>
    </w:div>
    <w:div w:id="898397905">
      <w:bodyDiv w:val="1"/>
      <w:marLeft w:val="0"/>
      <w:marRight w:val="0"/>
      <w:marTop w:val="0"/>
      <w:marBottom w:val="0"/>
      <w:divBdr>
        <w:top w:val="none" w:sz="0" w:space="0" w:color="auto"/>
        <w:left w:val="none" w:sz="0" w:space="0" w:color="auto"/>
        <w:bottom w:val="none" w:sz="0" w:space="0" w:color="auto"/>
        <w:right w:val="none" w:sz="0" w:space="0" w:color="auto"/>
      </w:divBdr>
    </w:div>
    <w:div w:id="921992934">
      <w:bodyDiv w:val="1"/>
      <w:marLeft w:val="0"/>
      <w:marRight w:val="0"/>
      <w:marTop w:val="0"/>
      <w:marBottom w:val="0"/>
      <w:divBdr>
        <w:top w:val="none" w:sz="0" w:space="0" w:color="auto"/>
        <w:left w:val="none" w:sz="0" w:space="0" w:color="auto"/>
        <w:bottom w:val="none" w:sz="0" w:space="0" w:color="auto"/>
        <w:right w:val="none" w:sz="0" w:space="0" w:color="auto"/>
      </w:divBdr>
    </w:div>
    <w:div w:id="930620240">
      <w:bodyDiv w:val="1"/>
      <w:marLeft w:val="0"/>
      <w:marRight w:val="0"/>
      <w:marTop w:val="0"/>
      <w:marBottom w:val="0"/>
      <w:divBdr>
        <w:top w:val="none" w:sz="0" w:space="0" w:color="auto"/>
        <w:left w:val="none" w:sz="0" w:space="0" w:color="auto"/>
        <w:bottom w:val="none" w:sz="0" w:space="0" w:color="auto"/>
        <w:right w:val="none" w:sz="0" w:space="0" w:color="auto"/>
      </w:divBdr>
    </w:div>
    <w:div w:id="934171582">
      <w:bodyDiv w:val="1"/>
      <w:marLeft w:val="0"/>
      <w:marRight w:val="0"/>
      <w:marTop w:val="0"/>
      <w:marBottom w:val="0"/>
      <w:divBdr>
        <w:top w:val="none" w:sz="0" w:space="0" w:color="auto"/>
        <w:left w:val="none" w:sz="0" w:space="0" w:color="auto"/>
        <w:bottom w:val="none" w:sz="0" w:space="0" w:color="auto"/>
        <w:right w:val="none" w:sz="0" w:space="0" w:color="auto"/>
      </w:divBdr>
    </w:div>
    <w:div w:id="946349874">
      <w:bodyDiv w:val="1"/>
      <w:marLeft w:val="0"/>
      <w:marRight w:val="0"/>
      <w:marTop w:val="0"/>
      <w:marBottom w:val="0"/>
      <w:divBdr>
        <w:top w:val="none" w:sz="0" w:space="0" w:color="auto"/>
        <w:left w:val="none" w:sz="0" w:space="0" w:color="auto"/>
        <w:bottom w:val="none" w:sz="0" w:space="0" w:color="auto"/>
        <w:right w:val="none" w:sz="0" w:space="0" w:color="auto"/>
      </w:divBdr>
    </w:div>
    <w:div w:id="947585315">
      <w:bodyDiv w:val="1"/>
      <w:marLeft w:val="0"/>
      <w:marRight w:val="0"/>
      <w:marTop w:val="0"/>
      <w:marBottom w:val="0"/>
      <w:divBdr>
        <w:top w:val="none" w:sz="0" w:space="0" w:color="auto"/>
        <w:left w:val="none" w:sz="0" w:space="0" w:color="auto"/>
        <w:bottom w:val="none" w:sz="0" w:space="0" w:color="auto"/>
        <w:right w:val="none" w:sz="0" w:space="0" w:color="auto"/>
      </w:divBdr>
    </w:div>
    <w:div w:id="953974329">
      <w:bodyDiv w:val="1"/>
      <w:marLeft w:val="0"/>
      <w:marRight w:val="0"/>
      <w:marTop w:val="0"/>
      <w:marBottom w:val="0"/>
      <w:divBdr>
        <w:top w:val="none" w:sz="0" w:space="0" w:color="auto"/>
        <w:left w:val="none" w:sz="0" w:space="0" w:color="auto"/>
        <w:bottom w:val="none" w:sz="0" w:space="0" w:color="auto"/>
        <w:right w:val="none" w:sz="0" w:space="0" w:color="auto"/>
      </w:divBdr>
    </w:div>
    <w:div w:id="964042608">
      <w:bodyDiv w:val="1"/>
      <w:marLeft w:val="0"/>
      <w:marRight w:val="0"/>
      <w:marTop w:val="0"/>
      <w:marBottom w:val="0"/>
      <w:divBdr>
        <w:top w:val="none" w:sz="0" w:space="0" w:color="auto"/>
        <w:left w:val="none" w:sz="0" w:space="0" w:color="auto"/>
        <w:bottom w:val="none" w:sz="0" w:space="0" w:color="auto"/>
        <w:right w:val="none" w:sz="0" w:space="0" w:color="auto"/>
      </w:divBdr>
    </w:div>
    <w:div w:id="985402311">
      <w:bodyDiv w:val="1"/>
      <w:marLeft w:val="0"/>
      <w:marRight w:val="0"/>
      <w:marTop w:val="0"/>
      <w:marBottom w:val="0"/>
      <w:divBdr>
        <w:top w:val="none" w:sz="0" w:space="0" w:color="auto"/>
        <w:left w:val="none" w:sz="0" w:space="0" w:color="auto"/>
        <w:bottom w:val="none" w:sz="0" w:space="0" w:color="auto"/>
        <w:right w:val="none" w:sz="0" w:space="0" w:color="auto"/>
      </w:divBdr>
    </w:div>
    <w:div w:id="986322784">
      <w:bodyDiv w:val="1"/>
      <w:marLeft w:val="0"/>
      <w:marRight w:val="0"/>
      <w:marTop w:val="0"/>
      <w:marBottom w:val="0"/>
      <w:divBdr>
        <w:top w:val="none" w:sz="0" w:space="0" w:color="auto"/>
        <w:left w:val="none" w:sz="0" w:space="0" w:color="auto"/>
        <w:bottom w:val="none" w:sz="0" w:space="0" w:color="auto"/>
        <w:right w:val="none" w:sz="0" w:space="0" w:color="auto"/>
      </w:divBdr>
    </w:div>
    <w:div w:id="990401329">
      <w:bodyDiv w:val="1"/>
      <w:marLeft w:val="0"/>
      <w:marRight w:val="0"/>
      <w:marTop w:val="0"/>
      <w:marBottom w:val="0"/>
      <w:divBdr>
        <w:top w:val="none" w:sz="0" w:space="0" w:color="auto"/>
        <w:left w:val="none" w:sz="0" w:space="0" w:color="auto"/>
        <w:bottom w:val="none" w:sz="0" w:space="0" w:color="auto"/>
        <w:right w:val="none" w:sz="0" w:space="0" w:color="auto"/>
      </w:divBdr>
    </w:div>
    <w:div w:id="1002780642">
      <w:bodyDiv w:val="1"/>
      <w:marLeft w:val="0"/>
      <w:marRight w:val="0"/>
      <w:marTop w:val="0"/>
      <w:marBottom w:val="0"/>
      <w:divBdr>
        <w:top w:val="none" w:sz="0" w:space="0" w:color="auto"/>
        <w:left w:val="none" w:sz="0" w:space="0" w:color="auto"/>
        <w:bottom w:val="none" w:sz="0" w:space="0" w:color="auto"/>
        <w:right w:val="none" w:sz="0" w:space="0" w:color="auto"/>
      </w:divBdr>
    </w:div>
    <w:div w:id="1045644599">
      <w:bodyDiv w:val="1"/>
      <w:marLeft w:val="0"/>
      <w:marRight w:val="0"/>
      <w:marTop w:val="0"/>
      <w:marBottom w:val="0"/>
      <w:divBdr>
        <w:top w:val="none" w:sz="0" w:space="0" w:color="auto"/>
        <w:left w:val="none" w:sz="0" w:space="0" w:color="auto"/>
        <w:bottom w:val="none" w:sz="0" w:space="0" w:color="auto"/>
        <w:right w:val="none" w:sz="0" w:space="0" w:color="auto"/>
      </w:divBdr>
    </w:div>
    <w:div w:id="1046217524">
      <w:bodyDiv w:val="1"/>
      <w:marLeft w:val="0"/>
      <w:marRight w:val="0"/>
      <w:marTop w:val="0"/>
      <w:marBottom w:val="0"/>
      <w:divBdr>
        <w:top w:val="none" w:sz="0" w:space="0" w:color="auto"/>
        <w:left w:val="none" w:sz="0" w:space="0" w:color="auto"/>
        <w:bottom w:val="none" w:sz="0" w:space="0" w:color="auto"/>
        <w:right w:val="none" w:sz="0" w:space="0" w:color="auto"/>
      </w:divBdr>
    </w:div>
    <w:div w:id="1062100189">
      <w:bodyDiv w:val="1"/>
      <w:marLeft w:val="0"/>
      <w:marRight w:val="0"/>
      <w:marTop w:val="0"/>
      <w:marBottom w:val="0"/>
      <w:divBdr>
        <w:top w:val="none" w:sz="0" w:space="0" w:color="auto"/>
        <w:left w:val="none" w:sz="0" w:space="0" w:color="auto"/>
        <w:bottom w:val="none" w:sz="0" w:space="0" w:color="auto"/>
        <w:right w:val="none" w:sz="0" w:space="0" w:color="auto"/>
      </w:divBdr>
    </w:div>
    <w:div w:id="1064331917">
      <w:bodyDiv w:val="1"/>
      <w:marLeft w:val="0"/>
      <w:marRight w:val="0"/>
      <w:marTop w:val="0"/>
      <w:marBottom w:val="0"/>
      <w:divBdr>
        <w:top w:val="none" w:sz="0" w:space="0" w:color="auto"/>
        <w:left w:val="none" w:sz="0" w:space="0" w:color="auto"/>
        <w:bottom w:val="none" w:sz="0" w:space="0" w:color="auto"/>
        <w:right w:val="none" w:sz="0" w:space="0" w:color="auto"/>
      </w:divBdr>
    </w:div>
    <w:div w:id="1065564917">
      <w:bodyDiv w:val="1"/>
      <w:marLeft w:val="0"/>
      <w:marRight w:val="0"/>
      <w:marTop w:val="0"/>
      <w:marBottom w:val="0"/>
      <w:divBdr>
        <w:top w:val="none" w:sz="0" w:space="0" w:color="auto"/>
        <w:left w:val="none" w:sz="0" w:space="0" w:color="auto"/>
        <w:bottom w:val="none" w:sz="0" w:space="0" w:color="auto"/>
        <w:right w:val="none" w:sz="0" w:space="0" w:color="auto"/>
      </w:divBdr>
      <w:divsChild>
        <w:div w:id="305086083">
          <w:marLeft w:val="0"/>
          <w:marRight w:val="0"/>
          <w:marTop w:val="0"/>
          <w:marBottom w:val="0"/>
          <w:divBdr>
            <w:top w:val="none" w:sz="0" w:space="0" w:color="auto"/>
            <w:left w:val="none" w:sz="0" w:space="0" w:color="auto"/>
            <w:bottom w:val="none" w:sz="0" w:space="0" w:color="auto"/>
            <w:right w:val="none" w:sz="0" w:space="0" w:color="auto"/>
          </w:divBdr>
        </w:div>
        <w:div w:id="467088417">
          <w:marLeft w:val="0"/>
          <w:marRight w:val="0"/>
          <w:marTop w:val="0"/>
          <w:marBottom w:val="0"/>
          <w:divBdr>
            <w:top w:val="none" w:sz="0" w:space="0" w:color="auto"/>
            <w:left w:val="none" w:sz="0" w:space="0" w:color="auto"/>
            <w:bottom w:val="none" w:sz="0" w:space="0" w:color="auto"/>
            <w:right w:val="none" w:sz="0" w:space="0" w:color="auto"/>
          </w:divBdr>
        </w:div>
        <w:div w:id="796146622">
          <w:marLeft w:val="0"/>
          <w:marRight w:val="0"/>
          <w:marTop w:val="0"/>
          <w:marBottom w:val="0"/>
          <w:divBdr>
            <w:top w:val="none" w:sz="0" w:space="0" w:color="auto"/>
            <w:left w:val="none" w:sz="0" w:space="0" w:color="auto"/>
            <w:bottom w:val="none" w:sz="0" w:space="0" w:color="auto"/>
            <w:right w:val="none" w:sz="0" w:space="0" w:color="auto"/>
          </w:divBdr>
        </w:div>
        <w:div w:id="1184201981">
          <w:marLeft w:val="0"/>
          <w:marRight w:val="0"/>
          <w:marTop w:val="0"/>
          <w:marBottom w:val="0"/>
          <w:divBdr>
            <w:top w:val="none" w:sz="0" w:space="0" w:color="auto"/>
            <w:left w:val="none" w:sz="0" w:space="0" w:color="auto"/>
            <w:bottom w:val="none" w:sz="0" w:space="0" w:color="auto"/>
            <w:right w:val="none" w:sz="0" w:space="0" w:color="auto"/>
          </w:divBdr>
        </w:div>
        <w:div w:id="1256092997">
          <w:marLeft w:val="0"/>
          <w:marRight w:val="0"/>
          <w:marTop w:val="0"/>
          <w:marBottom w:val="0"/>
          <w:divBdr>
            <w:top w:val="none" w:sz="0" w:space="0" w:color="auto"/>
            <w:left w:val="none" w:sz="0" w:space="0" w:color="auto"/>
            <w:bottom w:val="none" w:sz="0" w:space="0" w:color="auto"/>
            <w:right w:val="none" w:sz="0" w:space="0" w:color="auto"/>
          </w:divBdr>
        </w:div>
        <w:div w:id="1335571384">
          <w:marLeft w:val="0"/>
          <w:marRight w:val="0"/>
          <w:marTop w:val="0"/>
          <w:marBottom w:val="0"/>
          <w:divBdr>
            <w:top w:val="none" w:sz="0" w:space="0" w:color="auto"/>
            <w:left w:val="none" w:sz="0" w:space="0" w:color="auto"/>
            <w:bottom w:val="none" w:sz="0" w:space="0" w:color="auto"/>
            <w:right w:val="none" w:sz="0" w:space="0" w:color="auto"/>
          </w:divBdr>
        </w:div>
        <w:div w:id="1369722944">
          <w:marLeft w:val="0"/>
          <w:marRight w:val="0"/>
          <w:marTop w:val="0"/>
          <w:marBottom w:val="0"/>
          <w:divBdr>
            <w:top w:val="none" w:sz="0" w:space="0" w:color="auto"/>
            <w:left w:val="none" w:sz="0" w:space="0" w:color="auto"/>
            <w:bottom w:val="none" w:sz="0" w:space="0" w:color="auto"/>
            <w:right w:val="none" w:sz="0" w:space="0" w:color="auto"/>
          </w:divBdr>
        </w:div>
        <w:div w:id="2113671978">
          <w:marLeft w:val="0"/>
          <w:marRight w:val="0"/>
          <w:marTop w:val="0"/>
          <w:marBottom w:val="0"/>
          <w:divBdr>
            <w:top w:val="none" w:sz="0" w:space="0" w:color="auto"/>
            <w:left w:val="none" w:sz="0" w:space="0" w:color="auto"/>
            <w:bottom w:val="none" w:sz="0" w:space="0" w:color="auto"/>
            <w:right w:val="none" w:sz="0" w:space="0" w:color="auto"/>
          </w:divBdr>
        </w:div>
      </w:divsChild>
    </w:div>
    <w:div w:id="1070887921">
      <w:bodyDiv w:val="1"/>
      <w:marLeft w:val="0"/>
      <w:marRight w:val="0"/>
      <w:marTop w:val="0"/>
      <w:marBottom w:val="0"/>
      <w:divBdr>
        <w:top w:val="none" w:sz="0" w:space="0" w:color="auto"/>
        <w:left w:val="none" w:sz="0" w:space="0" w:color="auto"/>
        <w:bottom w:val="none" w:sz="0" w:space="0" w:color="auto"/>
        <w:right w:val="none" w:sz="0" w:space="0" w:color="auto"/>
      </w:divBdr>
    </w:div>
    <w:div w:id="1085302296">
      <w:bodyDiv w:val="1"/>
      <w:marLeft w:val="0"/>
      <w:marRight w:val="0"/>
      <w:marTop w:val="0"/>
      <w:marBottom w:val="0"/>
      <w:divBdr>
        <w:top w:val="none" w:sz="0" w:space="0" w:color="auto"/>
        <w:left w:val="none" w:sz="0" w:space="0" w:color="auto"/>
        <w:bottom w:val="none" w:sz="0" w:space="0" w:color="auto"/>
        <w:right w:val="none" w:sz="0" w:space="0" w:color="auto"/>
      </w:divBdr>
    </w:div>
    <w:div w:id="1127427259">
      <w:bodyDiv w:val="1"/>
      <w:marLeft w:val="0"/>
      <w:marRight w:val="0"/>
      <w:marTop w:val="0"/>
      <w:marBottom w:val="0"/>
      <w:divBdr>
        <w:top w:val="none" w:sz="0" w:space="0" w:color="auto"/>
        <w:left w:val="none" w:sz="0" w:space="0" w:color="auto"/>
        <w:bottom w:val="none" w:sz="0" w:space="0" w:color="auto"/>
        <w:right w:val="none" w:sz="0" w:space="0" w:color="auto"/>
      </w:divBdr>
    </w:div>
    <w:div w:id="1137257705">
      <w:bodyDiv w:val="1"/>
      <w:marLeft w:val="0"/>
      <w:marRight w:val="0"/>
      <w:marTop w:val="0"/>
      <w:marBottom w:val="0"/>
      <w:divBdr>
        <w:top w:val="none" w:sz="0" w:space="0" w:color="auto"/>
        <w:left w:val="none" w:sz="0" w:space="0" w:color="auto"/>
        <w:bottom w:val="none" w:sz="0" w:space="0" w:color="auto"/>
        <w:right w:val="none" w:sz="0" w:space="0" w:color="auto"/>
      </w:divBdr>
    </w:div>
    <w:div w:id="1146320614">
      <w:bodyDiv w:val="1"/>
      <w:marLeft w:val="0"/>
      <w:marRight w:val="0"/>
      <w:marTop w:val="0"/>
      <w:marBottom w:val="0"/>
      <w:divBdr>
        <w:top w:val="none" w:sz="0" w:space="0" w:color="auto"/>
        <w:left w:val="none" w:sz="0" w:space="0" w:color="auto"/>
        <w:bottom w:val="none" w:sz="0" w:space="0" w:color="auto"/>
        <w:right w:val="none" w:sz="0" w:space="0" w:color="auto"/>
      </w:divBdr>
    </w:div>
    <w:div w:id="1148329348">
      <w:bodyDiv w:val="1"/>
      <w:marLeft w:val="0"/>
      <w:marRight w:val="0"/>
      <w:marTop w:val="0"/>
      <w:marBottom w:val="0"/>
      <w:divBdr>
        <w:top w:val="none" w:sz="0" w:space="0" w:color="auto"/>
        <w:left w:val="none" w:sz="0" w:space="0" w:color="auto"/>
        <w:bottom w:val="none" w:sz="0" w:space="0" w:color="auto"/>
        <w:right w:val="none" w:sz="0" w:space="0" w:color="auto"/>
      </w:divBdr>
    </w:div>
    <w:div w:id="1161654850">
      <w:bodyDiv w:val="1"/>
      <w:marLeft w:val="0"/>
      <w:marRight w:val="0"/>
      <w:marTop w:val="0"/>
      <w:marBottom w:val="0"/>
      <w:divBdr>
        <w:top w:val="none" w:sz="0" w:space="0" w:color="auto"/>
        <w:left w:val="none" w:sz="0" w:space="0" w:color="auto"/>
        <w:bottom w:val="none" w:sz="0" w:space="0" w:color="auto"/>
        <w:right w:val="none" w:sz="0" w:space="0" w:color="auto"/>
      </w:divBdr>
    </w:div>
    <w:div w:id="1180318684">
      <w:bodyDiv w:val="1"/>
      <w:marLeft w:val="0"/>
      <w:marRight w:val="0"/>
      <w:marTop w:val="0"/>
      <w:marBottom w:val="0"/>
      <w:divBdr>
        <w:top w:val="none" w:sz="0" w:space="0" w:color="auto"/>
        <w:left w:val="none" w:sz="0" w:space="0" w:color="auto"/>
        <w:bottom w:val="none" w:sz="0" w:space="0" w:color="auto"/>
        <w:right w:val="none" w:sz="0" w:space="0" w:color="auto"/>
      </w:divBdr>
    </w:div>
    <w:div w:id="1190219810">
      <w:bodyDiv w:val="1"/>
      <w:marLeft w:val="0"/>
      <w:marRight w:val="0"/>
      <w:marTop w:val="0"/>
      <w:marBottom w:val="0"/>
      <w:divBdr>
        <w:top w:val="none" w:sz="0" w:space="0" w:color="auto"/>
        <w:left w:val="none" w:sz="0" w:space="0" w:color="auto"/>
        <w:bottom w:val="none" w:sz="0" w:space="0" w:color="auto"/>
        <w:right w:val="none" w:sz="0" w:space="0" w:color="auto"/>
      </w:divBdr>
    </w:div>
    <w:div w:id="1243177880">
      <w:bodyDiv w:val="1"/>
      <w:marLeft w:val="0"/>
      <w:marRight w:val="0"/>
      <w:marTop w:val="0"/>
      <w:marBottom w:val="0"/>
      <w:divBdr>
        <w:top w:val="none" w:sz="0" w:space="0" w:color="auto"/>
        <w:left w:val="none" w:sz="0" w:space="0" w:color="auto"/>
        <w:bottom w:val="none" w:sz="0" w:space="0" w:color="auto"/>
        <w:right w:val="none" w:sz="0" w:space="0" w:color="auto"/>
      </w:divBdr>
    </w:div>
    <w:div w:id="1253972571">
      <w:bodyDiv w:val="1"/>
      <w:marLeft w:val="0"/>
      <w:marRight w:val="0"/>
      <w:marTop w:val="0"/>
      <w:marBottom w:val="0"/>
      <w:divBdr>
        <w:top w:val="none" w:sz="0" w:space="0" w:color="auto"/>
        <w:left w:val="none" w:sz="0" w:space="0" w:color="auto"/>
        <w:bottom w:val="none" w:sz="0" w:space="0" w:color="auto"/>
        <w:right w:val="none" w:sz="0" w:space="0" w:color="auto"/>
      </w:divBdr>
    </w:div>
    <w:div w:id="1263106406">
      <w:bodyDiv w:val="1"/>
      <w:marLeft w:val="0"/>
      <w:marRight w:val="0"/>
      <w:marTop w:val="0"/>
      <w:marBottom w:val="0"/>
      <w:divBdr>
        <w:top w:val="none" w:sz="0" w:space="0" w:color="auto"/>
        <w:left w:val="none" w:sz="0" w:space="0" w:color="auto"/>
        <w:bottom w:val="none" w:sz="0" w:space="0" w:color="auto"/>
        <w:right w:val="none" w:sz="0" w:space="0" w:color="auto"/>
      </w:divBdr>
    </w:div>
    <w:div w:id="1293445475">
      <w:bodyDiv w:val="1"/>
      <w:marLeft w:val="0"/>
      <w:marRight w:val="0"/>
      <w:marTop w:val="0"/>
      <w:marBottom w:val="0"/>
      <w:divBdr>
        <w:top w:val="none" w:sz="0" w:space="0" w:color="auto"/>
        <w:left w:val="none" w:sz="0" w:space="0" w:color="auto"/>
        <w:bottom w:val="none" w:sz="0" w:space="0" w:color="auto"/>
        <w:right w:val="none" w:sz="0" w:space="0" w:color="auto"/>
      </w:divBdr>
    </w:div>
    <w:div w:id="1338078866">
      <w:bodyDiv w:val="1"/>
      <w:marLeft w:val="0"/>
      <w:marRight w:val="0"/>
      <w:marTop w:val="0"/>
      <w:marBottom w:val="0"/>
      <w:divBdr>
        <w:top w:val="none" w:sz="0" w:space="0" w:color="auto"/>
        <w:left w:val="none" w:sz="0" w:space="0" w:color="auto"/>
        <w:bottom w:val="none" w:sz="0" w:space="0" w:color="auto"/>
        <w:right w:val="none" w:sz="0" w:space="0" w:color="auto"/>
      </w:divBdr>
    </w:div>
    <w:div w:id="1386492159">
      <w:bodyDiv w:val="1"/>
      <w:marLeft w:val="0"/>
      <w:marRight w:val="0"/>
      <w:marTop w:val="0"/>
      <w:marBottom w:val="0"/>
      <w:divBdr>
        <w:top w:val="none" w:sz="0" w:space="0" w:color="auto"/>
        <w:left w:val="none" w:sz="0" w:space="0" w:color="auto"/>
        <w:bottom w:val="none" w:sz="0" w:space="0" w:color="auto"/>
        <w:right w:val="none" w:sz="0" w:space="0" w:color="auto"/>
      </w:divBdr>
    </w:div>
    <w:div w:id="1391345227">
      <w:bodyDiv w:val="1"/>
      <w:marLeft w:val="0"/>
      <w:marRight w:val="0"/>
      <w:marTop w:val="0"/>
      <w:marBottom w:val="0"/>
      <w:divBdr>
        <w:top w:val="none" w:sz="0" w:space="0" w:color="auto"/>
        <w:left w:val="none" w:sz="0" w:space="0" w:color="auto"/>
        <w:bottom w:val="none" w:sz="0" w:space="0" w:color="auto"/>
        <w:right w:val="none" w:sz="0" w:space="0" w:color="auto"/>
      </w:divBdr>
      <w:divsChild>
        <w:div w:id="710496477">
          <w:marLeft w:val="0"/>
          <w:marRight w:val="0"/>
          <w:marTop w:val="0"/>
          <w:marBottom w:val="0"/>
          <w:divBdr>
            <w:top w:val="none" w:sz="0" w:space="0" w:color="auto"/>
            <w:left w:val="none" w:sz="0" w:space="0" w:color="auto"/>
            <w:bottom w:val="none" w:sz="0" w:space="0" w:color="auto"/>
            <w:right w:val="none" w:sz="0" w:space="0" w:color="auto"/>
          </w:divBdr>
        </w:div>
        <w:div w:id="833296711">
          <w:marLeft w:val="0"/>
          <w:marRight w:val="0"/>
          <w:marTop w:val="0"/>
          <w:marBottom w:val="0"/>
          <w:divBdr>
            <w:top w:val="none" w:sz="0" w:space="0" w:color="auto"/>
            <w:left w:val="none" w:sz="0" w:space="0" w:color="auto"/>
            <w:bottom w:val="none" w:sz="0" w:space="0" w:color="auto"/>
            <w:right w:val="none" w:sz="0" w:space="0" w:color="auto"/>
          </w:divBdr>
        </w:div>
        <w:div w:id="975723498">
          <w:marLeft w:val="0"/>
          <w:marRight w:val="0"/>
          <w:marTop w:val="0"/>
          <w:marBottom w:val="0"/>
          <w:divBdr>
            <w:top w:val="none" w:sz="0" w:space="0" w:color="auto"/>
            <w:left w:val="none" w:sz="0" w:space="0" w:color="auto"/>
            <w:bottom w:val="none" w:sz="0" w:space="0" w:color="auto"/>
            <w:right w:val="none" w:sz="0" w:space="0" w:color="auto"/>
          </w:divBdr>
        </w:div>
        <w:div w:id="1067340667">
          <w:marLeft w:val="0"/>
          <w:marRight w:val="0"/>
          <w:marTop w:val="0"/>
          <w:marBottom w:val="0"/>
          <w:divBdr>
            <w:top w:val="none" w:sz="0" w:space="0" w:color="auto"/>
            <w:left w:val="none" w:sz="0" w:space="0" w:color="auto"/>
            <w:bottom w:val="none" w:sz="0" w:space="0" w:color="auto"/>
            <w:right w:val="none" w:sz="0" w:space="0" w:color="auto"/>
          </w:divBdr>
        </w:div>
        <w:div w:id="1205480200">
          <w:marLeft w:val="0"/>
          <w:marRight w:val="0"/>
          <w:marTop w:val="0"/>
          <w:marBottom w:val="0"/>
          <w:divBdr>
            <w:top w:val="none" w:sz="0" w:space="0" w:color="auto"/>
            <w:left w:val="none" w:sz="0" w:space="0" w:color="auto"/>
            <w:bottom w:val="none" w:sz="0" w:space="0" w:color="auto"/>
            <w:right w:val="none" w:sz="0" w:space="0" w:color="auto"/>
          </w:divBdr>
        </w:div>
        <w:div w:id="2004357239">
          <w:marLeft w:val="0"/>
          <w:marRight w:val="0"/>
          <w:marTop w:val="0"/>
          <w:marBottom w:val="0"/>
          <w:divBdr>
            <w:top w:val="none" w:sz="0" w:space="0" w:color="auto"/>
            <w:left w:val="none" w:sz="0" w:space="0" w:color="auto"/>
            <w:bottom w:val="none" w:sz="0" w:space="0" w:color="auto"/>
            <w:right w:val="none" w:sz="0" w:space="0" w:color="auto"/>
          </w:divBdr>
        </w:div>
        <w:div w:id="2032611551">
          <w:marLeft w:val="0"/>
          <w:marRight w:val="0"/>
          <w:marTop w:val="0"/>
          <w:marBottom w:val="0"/>
          <w:divBdr>
            <w:top w:val="none" w:sz="0" w:space="0" w:color="auto"/>
            <w:left w:val="none" w:sz="0" w:space="0" w:color="auto"/>
            <w:bottom w:val="none" w:sz="0" w:space="0" w:color="auto"/>
            <w:right w:val="none" w:sz="0" w:space="0" w:color="auto"/>
          </w:divBdr>
        </w:div>
      </w:divsChild>
    </w:div>
    <w:div w:id="1411384574">
      <w:bodyDiv w:val="1"/>
      <w:marLeft w:val="0"/>
      <w:marRight w:val="0"/>
      <w:marTop w:val="0"/>
      <w:marBottom w:val="0"/>
      <w:divBdr>
        <w:top w:val="none" w:sz="0" w:space="0" w:color="auto"/>
        <w:left w:val="none" w:sz="0" w:space="0" w:color="auto"/>
        <w:bottom w:val="none" w:sz="0" w:space="0" w:color="auto"/>
        <w:right w:val="none" w:sz="0" w:space="0" w:color="auto"/>
      </w:divBdr>
    </w:div>
    <w:div w:id="1432579342">
      <w:bodyDiv w:val="1"/>
      <w:marLeft w:val="0"/>
      <w:marRight w:val="0"/>
      <w:marTop w:val="0"/>
      <w:marBottom w:val="0"/>
      <w:divBdr>
        <w:top w:val="none" w:sz="0" w:space="0" w:color="auto"/>
        <w:left w:val="none" w:sz="0" w:space="0" w:color="auto"/>
        <w:bottom w:val="none" w:sz="0" w:space="0" w:color="auto"/>
        <w:right w:val="none" w:sz="0" w:space="0" w:color="auto"/>
      </w:divBdr>
    </w:div>
    <w:div w:id="1433818147">
      <w:bodyDiv w:val="1"/>
      <w:marLeft w:val="0"/>
      <w:marRight w:val="0"/>
      <w:marTop w:val="0"/>
      <w:marBottom w:val="0"/>
      <w:divBdr>
        <w:top w:val="none" w:sz="0" w:space="0" w:color="auto"/>
        <w:left w:val="none" w:sz="0" w:space="0" w:color="auto"/>
        <w:bottom w:val="none" w:sz="0" w:space="0" w:color="auto"/>
        <w:right w:val="none" w:sz="0" w:space="0" w:color="auto"/>
      </w:divBdr>
    </w:div>
    <w:div w:id="1452364304">
      <w:bodyDiv w:val="1"/>
      <w:marLeft w:val="0"/>
      <w:marRight w:val="0"/>
      <w:marTop w:val="0"/>
      <w:marBottom w:val="0"/>
      <w:divBdr>
        <w:top w:val="none" w:sz="0" w:space="0" w:color="auto"/>
        <w:left w:val="none" w:sz="0" w:space="0" w:color="auto"/>
        <w:bottom w:val="none" w:sz="0" w:space="0" w:color="auto"/>
        <w:right w:val="none" w:sz="0" w:space="0" w:color="auto"/>
      </w:divBdr>
    </w:div>
    <w:div w:id="1463620060">
      <w:bodyDiv w:val="1"/>
      <w:marLeft w:val="0"/>
      <w:marRight w:val="0"/>
      <w:marTop w:val="0"/>
      <w:marBottom w:val="0"/>
      <w:divBdr>
        <w:top w:val="none" w:sz="0" w:space="0" w:color="auto"/>
        <w:left w:val="none" w:sz="0" w:space="0" w:color="auto"/>
        <w:bottom w:val="none" w:sz="0" w:space="0" w:color="auto"/>
        <w:right w:val="none" w:sz="0" w:space="0" w:color="auto"/>
      </w:divBdr>
    </w:div>
    <w:div w:id="1487159765">
      <w:bodyDiv w:val="1"/>
      <w:marLeft w:val="0"/>
      <w:marRight w:val="0"/>
      <w:marTop w:val="0"/>
      <w:marBottom w:val="0"/>
      <w:divBdr>
        <w:top w:val="none" w:sz="0" w:space="0" w:color="auto"/>
        <w:left w:val="none" w:sz="0" w:space="0" w:color="auto"/>
        <w:bottom w:val="none" w:sz="0" w:space="0" w:color="auto"/>
        <w:right w:val="none" w:sz="0" w:space="0" w:color="auto"/>
      </w:divBdr>
    </w:div>
    <w:div w:id="1492023971">
      <w:bodyDiv w:val="1"/>
      <w:marLeft w:val="0"/>
      <w:marRight w:val="0"/>
      <w:marTop w:val="0"/>
      <w:marBottom w:val="0"/>
      <w:divBdr>
        <w:top w:val="none" w:sz="0" w:space="0" w:color="auto"/>
        <w:left w:val="none" w:sz="0" w:space="0" w:color="auto"/>
        <w:bottom w:val="none" w:sz="0" w:space="0" w:color="auto"/>
        <w:right w:val="none" w:sz="0" w:space="0" w:color="auto"/>
      </w:divBdr>
    </w:div>
    <w:div w:id="1495145077">
      <w:bodyDiv w:val="1"/>
      <w:marLeft w:val="0"/>
      <w:marRight w:val="0"/>
      <w:marTop w:val="0"/>
      <w:marBottom w:val="0"/>
      <w:divBdr>
        <w:top w:val="none" w:sz="0" w:space="0" w:color="auto"/>
        <w:left w:val="none" w:sz="0" w:space="0" w:color="auto"/>
        <w:bottom w:val="none" w:sz="0" w:space="0" w:color="auto"/>
        <w:right w:val="none" w:sz="0" w:space="0" w:color="auto"/>
      </w:divBdr>
    </w:div>
    <w:div w:id="1498112256">
      <w:bodyDiv w:val="1"/>
      <w:marLeft w:val="0"/>
      <w:marRight w:val="0"/>
      <w:marTop w:val="0"/>
      <w:marBottom w:val="0"/>
      <w:divBdr>
        <w:top w:val="none" w:sz="0" w:space="0" w:color="auto"/>
        <w:left w:val="none" w:sz="0" w:space="0" w:color="auto"/>
        <w:bottom w:val="none" w:sz="0" w:space="0" w:color="auto"/>
        <w:right w:val="none" w:sz="0" w:space="0" w:color="auto"/>
      </w:divBdr>
    </w:div>
    <w:div w:id="1519663051">
      <w:bodyDiv w:val="1"/>
      <w:marLeft w:val="0"/>
      <w:marRight w:val="0"/>
      <w:marTop w:val="0"/>
      <w:marBottom w:val="0"/>
      <w:divBdr>
        <w:top w:val="none" w:sz="0" w:space="0" w:color="auto"/>
        <w:left w:val="none" w:sz="0" w:space="0" w:color="auto"/>
        <w:bottom w:val="none" w:sz="0" w:space="0" w:color="auto"/>
        <w:right w:val="none" w:sz="0" w:space="0" w:color="auto"/>
      </w:divBdr>
      <w:divsChild>
        <w:div w:id="751900636">
          <w:marLeft w:val="0"/>
          <w:marRight w:val="0"/>
          <w:marTop w:val="0"/>
          <w:marBottom w:val="0"/>
          <w:divBdr>
            <w:top w:val="none" w:sz="0" w:space="0" w:color="auto"/>
            <w:left w:val="none" w:sz="0" w:space="0" w:color="auto"/>
            <w:bottom w:val="none" w:sz="0" w:space="0" w:color="auto"/>
            <w:right w:val="none" w:sz="0" w:space="0" w:color="auto"/>
          </w:divBdr>
        </w:div>
      </w:divsChild>
    </w:div>
    <w:div w:id="1533957116">
      <w:bodyDiv w:val="1"/>
      <w:marLeft w:val="0"/>
      <w:marRight w:val="0"/>
      <w:marTop w:val="0"/>
      <w:marBottom w:val="0"/>
      <w:divBdr>
        <w:top w:val="none" w:sz="0" w:space="0" w:color="auto"/>
        <w:left w:val="none" w:sz="0" w:space="0" w:color="auto"/>
        <w:bottom w:val="none" w:sz="0" w:space="0" w:color="auto"/>
        <w:right w:val="none" w:sz="0" w:space="0" w:color="auto"/>
      </w:divBdr>
    </w:div>
    <w:div w:id="1551266974">
      <w:bodyDiv w:val="1"/>
      <w:marLeft w:val="0"/>
      <w:marRight w:val="0"/>
      <w:marTop w:val="0"/>
      <w:marBottom w:val="0"/>
      <w:divBdr>
        <w:top w:val="none" w:sz="0" w:space="0" w:color="auto"/>
        <w:left w:val="none" w:sz="0" w:space="0" w:color="auto"/>
        <w:bottom w:val="none" w:sz="0" w:space="0" w:color="auto"/>
        <w:right w:val="none" w:sz="0" w:space="0" w:color="auto"/>
      </w:divBdr>
    </w:div>
    <w:div w:id="1563835118">
      <w:bodyDiv w:val="1"/>
      <w:marLeft w:val="0"/>
      <w:marRight w:val="0"/>
      <w:marTop w:val="0"/>
      <w:marBottom w:val="0"/>
      <w:divBdr>
        <w:top w:val="none" w:sz="0" w:space="0" w:color="auto"/>
        <w:left w:val="none" w:sz="0" w:space="0" w:color="auto"/>
        <w:bottom w:val="none" w:sz="0" w:space="0" w:color="auto"/>
        <w:right w:val="none" w:sz="0" w:space="0" w:color="auto"/>
      </w:divBdr>
      <w:divsChild>
        <w:div w:id="1906917479">
          <w:marLeft w:val="0"/>
          <w:marRight w:val="0"/>
          <w:marTop w:val="0"/>
          <w:marBottom w:val="0"/>
          <w:divBdr>
            <w:top w:val="none" w:sz="0" w:space="0" w:color="auto"/>
            <w:left w:val="none" w:sz="0" w:space="0" w:color="auto"/>
            <w:bottom w:val="none" w:sz="0" w:space="0" w:color="auto"/>
            <w:right w:val="none" w:sz="0" w:space="0" w:color="auto"/>
          </w:divBdr>
        </w:div>
      </w:divsChild>
    </w:div>
    <w:div w:id="1570311117">
      <w:bodyDiv w:val="1"/>
      <w:marLeft w:val="0"/>
      <w:marRight w:val="0"/>
      <w:marTop w:val="0"/>
      <w:marBottom w:val="0"/>
      <w:divBdr>
        <w:top w:val="none" w:sz="0" w:space="0" w:color="auto"/>
        <w:left w:val="none" w:sz="0" w:space="0" w:color="auto"/>
        <w:bottom w:val="none" w:sz="0" w:space="0" w:color="auto"/>
        <w:right w:val="none" w:sz="0" w:space="0" w:color="auto"/>
      </w:divBdr>
    </w:div>
    <w:div w:id="1601570823">
      <w:bodyDiv w:val="1"/>
      <w:marLeft w:val="0"/>
      <w:marRight w:val="0"/>
      <w:marTop w:val="0"/>
      <w:marBottom w:val="0"/>
      <w:divBdr>
        <w:top w:val="none" w:sz="0" w:space="0" w:color="auto"/>
        <w:left w:val="none" w:sz="0" w:space="0" w:color="auto"/>
        <w:bottom w:val="none" w:sz="0" w:space="0" w:color="auto"/>
        <w:right w:val="none" w:sz="0" w:space="0" w:color="auto"/>
      </w:divBdr>
      <w:divsChild>
        <w:div w:id="362753903">
          <w:marLeft w:val="0"/>
          <w:marRight w:val="0"/>
          <w:marTop w:val="0"/>
          <w:marBottom w:val="0"/>
          <w:divBdr>
            <w:top w:val="none" w:sz="0" w:space="0" w:color="auto"/>
            <w:left w:val="none" w:sz="0" w:space="0" w:color="auto"/>
            <w:bottom w:val="none" w:sz="0" w:space="0" w:color="auto"/>
            <w:right w:val="none" w:sz="0" w:space="0" w:color="auto"/>
          </w:divBdr>
        </w:div>
        <w:div w:id="753356074">
          <w:marLeft w:val="0"/>
          <w:marRight w:val="0"/>
          <w:marTop w:val="0"/>
          <w:marBottom w:val="0"/>
          <w:divBdr>
            <w:top w:val="none" w:sz="0" w:space="0" w:color="auto"/>
            <w:left w:val="none" w:sz="0" w:space="0" w:color="auto"/>
            <w:bottom w:val="none" w:sz="0" w:space="0" w:color="auto"/>
            <w:right w:val="none" w:sz="0" w:space="0" w:color="auto"/>
          </w:divBdr>
        </w:div>
        <w:div w:id="1281648935">
          <w:marLeft w:val="0"/>
          <w:marRight w:val="0"/>
          <w:marTop w:val="0"/>
          <w:marBottom w:val="0"/>
          <w:divBdr>
            <w:top w:val="none" w:sz="0" w:space="0" w:color="auto"/>
            <w:left w:val="none" w:sz="0" w:space="0" w:color="auto"/>
            <w:bottom w:val="none" w:sz="0" w:space="0" w:color="auto"/>
            <w:right w:val="none" w:sz="0" w:space="0" w:color="auto"/>
          </w:divBdr>
        </w:div>
        <w:div w:id="1306005761">
          <w:marLeft w:val="0"/>
          <w:marRight w:val="0"/>
          <w:marTop w:val="0"/>
          <w:marBottom w:val="0"/>
          <w:divBdr>
            <w:top w:val="none" w:sz="0" w:space="0" w:color="auto"/>
            <w:left w:val="none" w:sz="0" w:space="0" w:color="auto"/>
            <w:bottom w:val="none" w:sz="0" w:space="0" w:color="auto"/>
            <w:right w:val="none" w:sz="0" w:space="0" w:color="auto"/>
          </w:divBdr>
        </w:div>
        <w:div w:id="1409227417">
          <w:marLeft w:val="0"/>
          <w:marRight w:val="0"/>
          <w:marTop w:val="0"/>
          <w:marBottom w:val="0"/>
          <w:divBdr>
            <w:top w:val="none" w:sz="0" w:space="0" w:color="auto"/>
            <w:left w:val="none" w:sz="0" w:space="0" w:color="auto"/>
            <w:bottom w:val="none" w:sz="0" w:space="0" w:color="auto"/>
            <w:right w:val="none" w:sz="0" w:space="0" w:color="auto"/>
          </w:divBdr>
        </w:div>
        <w:div w:id="1651052881">
          <w:marLeft w:val="0"/>
          <w:marRight w:val="0"/>
          <w:marTop w:val="0"/>
          <w:marBottom w:val="0"/>
          <w:divBdr>
            <w:top w:val="none" w:sz="0" w:space="0" w:color="auto"/>
            <w:left w:val="none" w:sz="0" w:space="0" w:color="auto"/>
            <w:bottom w:val="none" w:sz="0" w:space="0" w:color="auto"/>
            <w:right w:val="none" w:sz="0" w:space="0" w:color="auto"/>
          </w:divBdr>
        </w:div>
        <w:div w:id="1934196388">
          <w:marLeft w:val="0"/>
          <w:marRight w:val="0"/>
          <w:marTop w:val="0"/>
          <w:marBottom w:val="0"/>
          <w:divBdr>
            <w:top w:val="none" w:sz="0" w:space="0" w:color="auto"/>
            <w:left w:val="none" w:sz="0" w:space="0" w:color="auto"/>
            <w:bottom w:val="none" w:sz="0" w:space="0" w:color="auto"/>
            <w:right w:val="none" w:sz="0" w:space="0" w:color="auto"/>
          </w:divBdr>
        </w:div>
      </w:divsChild>
    </w:div>
    <w:div w:id="1620138952">
      <w:bodyDiv w:val="1"/>
      <w:marLeft w:val="0"/>
      <w:marRight w:val="0"/>
      <w:marTop w:val="0"/>
      <w:marBottom w:val="0"/>
      <w:divBdr>
        <w:top w:val="none" w:sz="0" w:space="0" w:color="auto"/>
        <w:left w:val="none" w:sz="0" w:space="0" w:color="auto"/>
        <w:bottom w:val="none" w:sz="0" w:space="0" w:color="auto"/>
        <w:right w:val="none" w:sz="0" w:space="0" w:color="auto"/>
      </w:divBdr>
    </w:div>
    <w:div w:id="1626472793">
      <w:bodyDiv w:val="1"/>
      <w:marLeft w:val="0"/>
      <w:marRight w:val="0"/>
      <w:marTop w:val="0"/>
      <w:marBottom w:val="0"/>
      <w:divBdr>
        <w:top w:val="none" w:sz="0" w:space="0" w:color="auto"/>
        <w:left w:val="none" w:sz="0" w:space="0" w:color="auto"/>
        <w:bottom w:val="none" w:sz="0" w:space="0" w:color="auto"/>
        <w:right w:val="none" w:sz="0" w:space="0" w:color="auto"/>
      </w:divBdr>
    </w:div>
    <w:div w:id="1626496192">
      <w:bodyDiv w:val="1"/>
      <w:marLeft w:val="0"/>
      <w:marRight w:val="0"/>
      <w:marTop w:val="0"/>
      <w:marBottom w:val="0"/>
      <w:divBdr>
        <w:top w:val="none" w:sz="0" w:space="0" w:color="auto"/>
        <w:left w:val="none" w:sz="0" w:space="0" w:color="auto"/>
        <w:bottom w:val="none" w:sz="0" w:space="0" w:color="auto"/>
        <w:right w:val="none" w:sz="0" w:space="0" w:color="auto"/>
      </w:divBdr>
    </w:div>
    <w:div w:id="1641181316">
      <w:bodyDiv w:val="1"/>
      <w:marLeft w:val="0"/>
      <w:marRight w:val="0"/>
      <w:marTop w:val="0"/>
      <w:marBottom w:val="0"/>
      <w:divBdr>
        <w:top w:val="none" w:sz="0" w:space="0" w:color="auto"/>
        <w:left w:val="none" w:sz="0" w:space="0" w:color="auto"/>
        <w:bottom w:val="none" w:sz="0" w:space="0" w:color="auto"/>
        <w:right w:val="none" w:sz="0" w:space="0" w:color="auto"/>
      </w:divBdr>
    </w:div>
    <w:div w:id="1652949503">
      <w:bodyDiv w:val="1"/>
      <w:marLeft w:val="0"/>
      <w:marRight w:val="0"/>
      <w:marTop w:val="0"/>
      <w:marBottom w:val="0"/>
      <w:divBdr>
        <w:top w:val="none" w:sz="0" w:space="0" w:color="auto"/>
        <w:left w:val="none" w:sz="0" w:space="0" w:color="auto"/>
        <w:bottom w:val="none" w:sz="0" w:space="0" w:color="auto"/>
        <w:right w:val="none" w:sz="0" w:space="0" w:color="auto"/>
      </w:divBdr>
    </w:div>
    <w:div w:id="1654291101">
      <w:bodyDiv w:val="1"/>
      <w:marLeft w:val="0"/>
      <w:marRight w:val="0"/>
      <w:marTop w:val="0"/>
      <w:marBottom w:val="0"/>
      <w:divBdr>
        <w:top w:val="none" w:sz="0" w:space="0" w:color="auto"/>
        <w:left w:val="none" w:sz="0" w:space="0" w:color="auto"/>
        <w:bottom w:val="none" w:sz="0" w:space="0" w:color="auto"/>
        <w:right w:val="none" w:sz="0" w:space="0" w:color="auto"/>
      </w:divBdr>
    </w:div>
    <w:div w:id="1684823786">
      <w:bodyDiv w:val="1"/>
      <w:marLeft w:val="0"/>
      <w:marRight w:val="0"/>
      <w:marTop w:val="0"/>
      <w:marBottom w:val="0"/>
      <w:divBdr>
        <w:top w:val="none" w:sz="0" w:space="0" w:color="auto"/>
        <w:left w:val="none" w:sz="0" w:space="0" w:color="auto"/>
        <w:bottom w:val="none" w:sz="0" w:space="0" w:color="auto"/>
        <w:right w:val="none" w:sz="0" w:space="0" w:color="auto"/>
      </w:divBdr>
      <w:divsChild>
        <w:div w:id="194775025">
          <w:marLeft w:val="0"/>
          <w:marRight w:val="0"/>
          <w:marTop w:val="0"/>
          <w:marBottom w:val="0"/>
          <w:divBdr>
            <w:top w:val="none" w:sz="0" w:space="0" w:color="auto"/>
            <w:left w:val="none" w:sz="0" w:space="0" w:color="auto"/>
            <w:bottom w:val="none" w:sz="0" w:space="0" w:color="auto"/>
            <w:right w:val="none" w:sz="0" w:space="0" w:color="auto"/>
          </w:divBdr>
        </w:div>
        <w:div w:id="606961621">
          <w:marLeft w:val="0"/>
          <w:marRight w:val="0"/>
          <w:marTop w:val="0"/>
          <w:marBottom w:val="0"/>
          <w:divBdr>
            <w:top w:val="none" w:sz="0" w:space="0" w:color="auto"/>
            <w:left w:val="none" w:sz="0" w:space="0" w:color="auto"/>
            <w:bottom w:val="none" w:sz="0" w:space="0" w:color="auto"/>
            <w:right w:val="none" w:sz="0" w:space="0" w:color="auto"/>
          </w:divBdr>
        </w:div>
        <w:div w:id="753167479">
          <w:marLeft w:val="0"/>
          <w:marRight w:val="0"/>
          <w:marTop w:val="0"/>
          <w:marBottom w:val="0"/>
          <w:divBdr>
            <w:top w:val="none" w:sz="0" w:space="0" w:color="auto"/>
            <w:left w:val="none" w:sz="0" w:space="0" w:color="auto"/>
            <w:bottom w:val="none" w:sz="0" w:space="0" w:color="auto"/>
            <w:right w:val="none" w:sz="0" w:space="0" w:color="auto"/>
          </w:divBdr>
        </w:div>
        <w:div w:id="881477546">
          <w:marLeft w:val="0"/>
          <w:marRight w:val="0"/>
          <w:marTop w:val="0"/>
          <w:marBottom w:val="0"/>
          <w:divBdr>
            <w:top w:val="none" w:sz="0" w:space="0" w:color="auto"/>
            <w:left w:val="none" w:sz="0" w:space="0" w:color="auto"/>
            <w:bottom w:val="none" w:sz="0" w:space="0" w:color="auto"/>
            <w:right w:val="none" w:sz="0" w:space="0" w:color="auto"/>
          </w:divBdr>
        </w:div>
        <w:div w:id="908806469">
          <w:marLeft w:val="0"/>
          <w:marRight w:val="0"/>
          <w:marTop w:val="0"/>
          <w:marBottom w:val="0"/>
          <w:divBdr>
            <w:top w:val="none" w:sz="0" w:space="0" w:color="auto"/>
            <w:left w:val="none" w:sz="0" w:space="0" w:color="auto"/>
            <w:bottom w:val="none" w:sz="0" w:space="0" w:color="auto"/>
            <w:right w:val="none" w:sz="0" w:space="0" w:color="auto"/>
          </w:divBdr>
        </w:div>
        <w:div w:id="1099835486">
          <w:marLeft w:val="0"/>
          <w:marRight w:val="0"/>
          <w:marTop w:val="0"/>
          <w:marBottom w:val="0"/>
          <w:divBdr>
            <w:top w:val="none" w:sz="0" w:space="0" w:color="auto"/>
            <w:left w:val="none" w:sz="0" w:space="0" w:color="auto"/>
            <w:bottom w:val="none" w:sz="0" w:space="0" w:color="auto"/>
            <w:right w:val="none" w:sz="0" w:space="0" w:color="auto"/>
          </w:divBdr>
        </w:div>
        <w:div w:id="1556575773">
          <w:marLeft w:val="0"/>
          <w:marRight w:val="0"/>
          <w:marTop w:val="0"/>
          <w:marBottom w:val="0"/>
          <w:divBdr>
            <w:top w:val="none" w:sz="0" w:space="0" w:color="auto"/>
            <w:left w:val="none" w:sz="0" w:space="0" w:color="auto"/>
            <w:bottom w:val="none" w:sz="0" w:space="0" w:color="auto"/>
            <w:right w:val="none" w:sz="0" w:space="0" w:color="auto"/>
          </w:divBdr>
        </w:div>
        <w:div w:id="1956400132">
          <w:marLeft w:val="0"/>
          <w:marRight w:val="0"/>
          <w:marTop w:val="0"/>
          <w:marBottom w:val="0"/>
          <w:divBdr>
            <w:top w:val="none" w:sz="0" w:space="0" w:color="auto"/>
            <w:left w:val="none" w:sz="0" w:space="0" w:color="auto"/>
            <w:bottom w:val="none" w:sz="0" w:space="0" w:color="auto"/>
            <w:right w:val="none" w:sz="0" w:space="0" w:color="auto"/>
          </w:divBdr>
        </w:div>
      </w:divsChild>
    </w:div>
    <w:div w:id="1699575732">
      <w:bodyDiv w:val="1"/>
      <w:marLeft w:val="0"/>
      <w:marRight w:val="0"/>
      <w:marTop w:val="0"/>
      <w:marBottom w:val="0"/>
      <w:divBdr>
        <w:top w:val="none" w:sz="0" w:space="0" w:color="auto"/>
        <w:left w:val="none" w:sz="0" w:space="0" w:color="auto"/>
        <w:bottom w:val="none" w:sz="0" w:space="0" w:color="auto"/>
        <w:right w:val="none" w:sz="0" w:space="0" w:color="auto"/>
      </w:divBdr>
    </w:div>
    <w:div w:id="1723944067">
      <w:bodyDiv w:val="1"/>
      <w:marLeft w:val="0"/>
      <w:marRight w:val="0"/>
      <w:marTop w:val="0"/>
      <w:marBottom w:val="0"/>
      <w:divBdr>
        <w:top w:val="none" w:sz="0" w:space="0" w:color="auto"/>
        <w:left w:val="none" w:sz="0" w:space="0" w:color="auto"/>
        <w:bottom w:val="none" w:sz="0" w:space="0" w:color="auto"/>
        <w:right w:val="none" w:sz="0" w:space="0" w:color="auto"/>
      </w:divBdr>
    </w:div>
    <w:div w:id="1809009970">
      <w:bodyDiv w:val="1"/>
      <w:marLeft w:val="0"/>
      <w:marRight w:val="0"/>
      <w:marTop w:val="0"/>
      <w:marBottom w:val="0"/>
      <w:divBdr>
        <w:top w:val="none" w:sz="0" w:space="0" w:color="auto"/>
        <w:left w:val="none" w:sz="0" w:space="0" w:color="auto"/>
        <w:bottom w:val="none" w:sz="0" w:space="0" w:color="auto"/>
        <w:right w:val="none" w:sz="0" w:space="0" w:color="auto"/>
      </w:divBdr>
    </w:div>
    <w:div w:id="1825664708">
      <w:bodyDiv w:val="1"/>
      <w:marLeft w:val="0"/>
      <w:marRight w:val="0"/>
      <w:marTop w:val="0"/>
      <w:marBottom w:val="0"/>
      <w:divBdr>
        <w:top w:val="none" w:sz="0" w:space="0" w:color="auto"/>
        <w:left w:val="none" w:sz="0" w:space="0" w:color="auto"/>
        <w:bottom w:val="none" w:sz="0" w:space="0" w:color="auto"/>
        <w:right w:val="none" w:sz="0" w:space="0" w:color="auto"/>
      </w:divBdr>
    </w:div>
    <w:div w:id="1841654833">
      <w:bodyDiv w:val="1"/>
      <w:marLeft w:val="0"/>
      <w:marRight w:val="0"/>
      <w:marTop w:val="0"/>
      <w:marBottom w:val="0"/>
      <w:divBdr>
        <w:top w:val="none" w:sz="0" w:space="0" w:color="auto"/>
        <w:left w:val="none" w:sz="0" w:space="0" w:color="auto"/>
        <w:bottom w:val="none" w:sz="0" w:space="0" w:color="auto"/>
        <w:right w:val="none" w:sz="0" w:space="0" w:color="auto"/>
      </w:divBdr>
    </w:div>
    <w:div w:id="1856839550">
      <w:bodyDiv w:val="1"/>
      <w:marLeft w:val="0"/>
      <w:marRight w:val="0"/>
      <w:marTop w:val="0"/>
      <w:marBottom w:val="0"/>
      <w:divBdr>
        <w:top w:val="none" w:sz="0" w:space="0" w:color="auto"/>
        <w:left w:val="none" w:sz="0" w:space="0" w:color="auto"/>
        <w:bottom w:val="none" w:sz="0" w:space="0" w:color="auto"/>
        <w:right w:val="none" w:sz="0" w:space="0" w:color="auto"/>
      </w:divBdr>
    </w:div>
    <w:div w:id="1884516118">
      <w:bodyDiv w:val="1"/>
      <w:marLeft w:val="0"/>
      <w:marRight w:val="0"/>
      <w:marTop w:val="0"/>
      <w:marBottom w:val="0"/>
      <w:divBdr>
        <w:top w:val="none" w:sz="0" w:space="0" w:color="auto"/>
        <w:left w:val="none" w:sz="0" w:space="0" w:color="auto"/>
        <w:bottom w:val="none" w:sz="0" w:space="0" w:color="auto"/>
        <w:right w:val="none" w:sz="0" w:space="0" w:color="auto"/>
      </w:divBdr>
    </w:div>
    <w:div w:id="1885292571">
      <w:bodyDiv w:val="1"/>
      <w:marLeft w:val="0"/>
      <w:marRight w:val="0"/>
      <w:marTop w:val="0"/>
      <w:marBottom w:val="0"/>
      <w:divBdr>
        <w:top w:val="none" w:sz="0" w:space="0" w:color="auto"/>
        <w:left w:val="none" w:sz="0" w:space="0" w:color="auto"/>
        <w:bottom w:val="none" w:sz="0" w:space="0" w:color="auto"/>
        <w:right w:val="none" w:sz="0" w:space="0" w:color="auto"/>
      </w:divBdr>
    </w:div>
    <w:div w:id="1912806797">
      <w:bodyDiv w:val="1"/>
      <w:marLeft w:val="0"/>
      <w:marRight w:val="0"/>
      <w:marTop w:val="0"/>
      <w:marBottom w:val="0"/>
      <w:divBdr>
        <w:top w:val="none" w:sz="0" w:space="0" w:color="auto"/>
        <w:left w:val="none" w:sz="0" w:space="0" w:color="auto"/>
        <w:bottom w:val="none" w:sz="0" w:space="0" w:color="auto"/>
        <w:right w:val="none" w:sz="0" w:space="0" w:color="auto"/>
      </w:divBdr>
    </w:div>
    <w:div w:id="1912810639">
      <w:bodyDiv w:val="1"/>
      <w:marLeft w:val="0"/>
      <w:marRight w:val="0"/>
      <w:marTop w:val="0"/>
      <w:marBottom w:val="0"/>
      <w:divBdr>
        <w:top w:val="none" w:sz="0" w:space="0" w:color="auto"/>
        <w:left w:val="none" w:sz="0" w:space="0" w:color="auto"/>
        <w:bottom w:val="none" w:sz="0" w:space="0" w:color="auto"/>
        <w:right w:val="none" w:sz="0" w:space="0" w:color="auto"/>
      </w:divBdr>
    </w:div>
    <w:div w:id="1924409067">
      <w:bodyDiv w:val="1"/>
      <w:marLeft w:val="0"/>
      <w:marRight w:val="0"/>
      <w:marTop w:val="0"/>
      <w:marBottom w:val="0"/>
      <w:divBdr>
        <w:top w:val="none" w:sz="0" w:space="0" w:color="auto"/>
        <w:left w:val="none" w:sz="0" w:space="0" w:color="auto"/>
        <w:bottom w:val="none" w:sz="0" w:space="0" w:color="auto"/>
        <w:right w:val="none" w:sz="0" w:space="0" w:color="auto"/>
      </w:divBdr>
    </w:div>
    <w:div w:id="1938977132">
      <w:bodyDiv w:val="1"/>
      <w:marLeft w:val="0"/>
      <w:marRight w:val="0"/>
      <w:marTop w:val="0"/>
      <w:marBottom w:val="0"/>
      <w:divBdr>
        <w:top w:val="none" w:sz="0" w:space="0" w:color="auto"/>
        <w:left w:val="none" w:sz="0" w:space="0" w:color="auto"/>
        <w:bottom w:val="none" w:sz="0" w:space="0" w:color="auto"/>
        <w:right w:val="none" w:sz="0" w:space="0" w:color="auto"/>
      </w:divBdr>
    </w:div>
    <w:div w:id="1945992592">
      <w:bodyDiv w:val="1"/>
      <w:marLeft w:val="0"/>
      <w:marRight w:val="0"/>
      <w:marTop w:val="0"/>
      <w:marBottom w:val="0"/>
      <w:divBdr>
        <w:top w:val="none" w:sz="0" w:space="0" w:color="auto"/>
        <w:left w:val="none" w:sz="0" w:space="0" w:color="auto"/>
        <w:bottom w:val="none" w:sz="0" w:space="0" w:color="auto"/>
        <w:right w:val="none" w:sz="0" w:space="0" w:color="auto"/>
      </w:divBdr>
    </w:div>
    <w:div w:id="1949848660">
      <w:bodyDiv w:val="1"/>
      <w:marLeft w:val="0"/>
      <w:marRight w:val="0"/>
      <w:marTop w:val="0"/>
      <w:marBottom w:val="0"/>
      <w:divBdr>
        <w:top w:val="none" w:sz="0" w:space="0" w:color="auto"/>
        <w:left w:val="none" w:sz="0" w:space="0" w:color="auto"/>
        <w:bottom w:val="none" w:sz="0" w:space="0" w:color="auto"/>
        <w:right w:val="none" w:sz="0" w:space="0" w:color="auto"/>
      </w:divBdr>
    </w:div>
    <w:div w:id="1956331608">
      <w:bodyDiv w:val="1"/>
      <w:marLeft w:val="0"/>
      <w:marRight w:val="0"/>
      <w:marTop w:val="0"/>
      <w:marBottom w:val="0"/>
      <w:divBdr>
        <w:top w:val="none" w:sz="0" w:space="0" w:color="auto"/>
        <w:left w:val="none" w:sz="0" w:space="0" w:color="auto"/>
        <w:bottom w:val="none" w:sz="0" w:space="0" w:color="auto"/>
        <w:right w:val="none" w:sz="0" w:space="0" w:color="auto"/>
      </w:divBdr>
    </w:div>
    <w:div w:id="1971400706">
      <w:bodyDiv w:val="1"/>
      <w:marLeft w:val="0"/>
      <w:marRight w:val="0"/>
      <w:marTop w:val="0"/>
      <w:marBottom w:val="0"/>
      <w:divBdr>
        <w:top w:val="none" w:sz="0" w:space="0" w:color="auto"/>
        <w:left w:val="none" w:sz="0" w:space="0" w:color="auto"/>
        <w:bottom w:val="none" w:sz="0" w:space="0" w:color="auto"/>
        <w:right w:val="none" w:sz="0" w:space="0" w:color="auto"/>
      </w:divBdr>
    </w:div>
    <w:div w:id="1993021958">
      <w:bodyDiv w:val="1"/>
      <w:marLeft w:val="0"/>
      <w:marRight w:val="0"/>
      <w:marTop w:val="0"/>
      <w:marBottom w:val="0"/>
      <w:divBdr>
        <w:top w:val="none" w:sz="0" w:space="0" w:color="auto"/>
        <w:left w:val="none" w:sz="0" w:space="0" w:color="auto"/>
        <w:bottom w:val="none" w:sz="0" w:space="0" w:color="auto"/>
        <w:right w:val="none" w:sz="0" w:space="0" w:color="auto"/>
      </w:divBdr>
    </w:div>
    <w:div w:id="2029864604">
      <w:bodyDiv w:val="1"/>
      <w:marLeft w:val="0"/>
      <w:marRight w:val="0"/>
      <w:marTop w:val="0"/>
      <w:marBottom w:val="0"/>
      <w:divBdr>
        <w:top w:val="none" w:sz="0" w:space="0" w:color="auto"/>
        <w:left w:val="none" w:sz="0" w:space="0" w:color="auto"/>
        <w:bottom w:val="none" w:sz="0" w:space="0" w:color="auto"/>
        <w:right w:val="none" w:sz="0" w:space="0" w:color="auto"/>
      </w:divBdr>
    </w:div>
    <w:div w:id="2045206883">
      <w:bodyDiv w:val="1"/>
      <w:marLeft w:val="0"/>
      <w:marRight w:val="0"/>
      <w:marTop w:val="0"/>
      <w:marBottom w:val="0"/>
      <w:divBdr>
        <w:top w:val="none" w:sz="0" w:space="0" w:color="auto"/>
        <w:left w:val="none" w:sz="0" w:space="0" w:color="auto"/>
        <w:bottom w:val="none" w:sz="0" w:space="0" w:color="auto"/>
        <w:right w:val="none" w:sz="0" w:space="0" w:color="auto"/>
      </w:divBdr>
    </w:div>
    <w:div w:id="2047488708">
      <w:bodyDiv w:val="1"/>
      <w:marLeft w:val="0"/>
      <w:marRight w:val="0"/>
      <w:marTop w:val="0"/>
      <w:marBottom w:val="0"/>
      <w:divBdr>
        <w:top w:val="none" w:sz="0" w:space="0" w:color="auto"/>
        <w:left w:val="none" w:sz="0" w:space="0" w:color="auto"/>
        <w:bottom w:val="none" w:sz="0" w:space="0" w:color="auto"/>
        <w:right w:val="none" w:sz="0" w:space="0" w:color="auto"/>
      </w:divBdr>
    </w:div>
    <w:div w:id="2054308447">
      <w:bodyDiv w:val="1"/>
      <w:marLeft w:val="0"/>
      <w:marRight w:val="0"/>
      <w:marTop w:val="0"/>
      <w:marBottom w:val="0"/>
      <w:divBdr>
        <w:top w:val="none" w:sz="0" w:space="0" w:color="auto"/>
        <w:left w:val="none" w:sz="0" w:space="0" w:color="auto"/>
        <w:bottom w:val="none" w:sz="0" w:space="0" w:color="auto"/>
        <w:right w:val="none" w:sz="0" w:space="0" w:color="auto"/>
      </w:divBdr>
    </w:div>
    <w:div w:id="2077167794">
      <w:bodyDiv w:val="1"/>
      <w:marLeft w:val="0"/>
      <w:marRight w:val="0"/>
      <w:marTop w:val="0"/>
      <w:marBottom w:val="0"/>
      <w:divBdr>
        <w:top w:val="none" w:sz="0" w:space="0" w:color="auto"/>
        <w:left w:val="none" w:sz="0" w:space="0" w:color="auto"/>
        <w:bottom w:val="none" w:sz="0" w:space="0" w:color="auto"/>
        <w:right w:val="none" w:sz="0" w:space="0" w:color="auto"/>
      </w:divBdr>
    </w:div>
    <w:div w:id="2132165271">
      <w:bodyDiv w:val="1"/>
      <w:marLeft w:val="0"/>
      <w:marRight w:val="0"/>
      <w:marTop w:val="0"/>
      <w:marBottom w:val="0"/>
      <w:divBdr>
        <w:top w:val="none" w:sz="0" w:space="0" w:color="auto"/>
        <w:left w:val="none" w:sz="0" w:space="0" w:color="auto"/>
        <w:bottom w:val="none" w:sz="0" w:space="0" w:color="auto"/>
        <w:right w:val="none" w:sz="0" w:space="0" w:color="auto"/>
      </w:divBdr>
    </w:div>
    <w:div w:id="2135055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54.xml"/><Relationship Id="rId21" Type="http://schemas.openxmlformats.org/officeDocument/2006/relationships/footer" Target="footer5.xml"/><Relationship Id="rId42" Type="http://schemas.openxmlformats.org/officeDocument/2006/relationships/footer" Target="footer19.xml"/><Relationship Id="rId63" Type="http://schemas.openxmlformats.org/officeDocument/2006/relationships/footer" Target="footer30.xml"/><Relationship Id="rId84" Type="http://schemas.openxmlformats.org/officeDocument/2006/relationships/header" Target="header22.xml"/><Relationship Id="rId138" Type="http://schemas.openxmlformats.org/officeDocument/2006/relationships/header" Target="header70.xml"/><Relationship Id="rId159" Type="http://schemas.openxmlformats.org/officeDocument/2006/relationships/footer" Target="footer49.xml"/><Relationship Id="rId170" Type="http://schemas.openxmlformats.org/officeDocument/2006/relationships/header" Target="header92.xml"/><Relationship Id="rId191" Type="http://schemas.openxmlformats.org/officeDocument/2006/relationships/header" Target="header101.xml"/><Relationship Id="rId205" Type="http://schemas.openxmlformats.org/officeDocument/2006/relationships/header" Target="header107.xml"/><Relationship Id="rId226" Type="http://schemas.openxmlformats.org/officeDocument/2006/relationships/hyperlink" Target="https://www.dtf.vic.gov.au/about-us/agencies-affiliates-and-entities" TargetMode="External"/><Relationship Id="rId107" Type="http://schemas.openxmlformats.org/officeDocument/2006/relationships/header" Target="header44.xml"/><Relationship Id="rId11" Type="http://schemas.openxmlformats.org/officeDocument/2006/relationships/image" Target="media/image1.jpeg"/><Relationship Id="rId32" Type="http://schemas.openxmlformats.org/officeDocument/2006/relationships/image" Target="media/image6.svg"/><Relationship Id="rId53" Type="http://schemas.openxmlformats.org/officeDocument/2006/relationships/footer" Target="footer27.xml"/><Relationship Id="rId74" Type="http://schemas.openxmlformats.org/officeDocument/2006/relationships/header" Target="header17.xml"/><Relationship Id="rId128" Type="http://schemas.openxmlformats.org/officeDocument/2006/relationships/header" Target="header63.xml"/><Relationship Id="rId149" Type="http://schemas.openxmlformats.org/officeDocument/2006/relationships/header" Target="header80.xml"/><Relationship Id="rId5" Type="http://schemas.openxmlformats.org/officeDocument/2006/relationships/numbering" Target="numbering.xml"/><Relationship Id="rId95" Type="http://schemas.openxmlformats.org/officeDocument/2006/relationships/header" Target="header33.xml"/><Relationship Id="rId160" Type="http://schemas.openxmlformats.org/officeDocument/2006/relationships/footer" Target="footer50.xml"/><Relationship Id="rId181" Type="http://schemas.openxmlformats.org/officeDocument/2006/relationships/header" Target="header97.xml"/><Relationship Id="rId216" Type="http://schemas.openxmlformats.org/officeDocument/2006/relationships/footer" Target="footer80.xml"/><Relationship Id="rId237" Type="http://schemas.openxmlformats.org/officeDocument/2006/relationships/hyperlink" Target="mailto:foidtf@dtf.vic.gov.au?subject=Attention:%20FOI%20Officer%20-%20" TargetMode="External"/><Relationship Id="rId22" Type="http://schemas.openxmlformats.org/officeDocument/2006/relationships/footer" Target="footer6.xml"/><Relationship Id="rId43" Type="http://schemas.openxmlformats.org/officeDocument/2006/relationships/header" Target="header7.xml"/><Relationship Id="rId64" Type="http://schemas.openxmlformats.org/officeDocument/2006/relationships/footer" Target="footer31.xml"/><Relationship Id="rId118" Type="http://schemas.openxmlformats.org/officeDocument/2006/relationships/header" Target="header55.xml"/><Relationship Id="rId139" Type="http://schemas.openxmlformats.org/officeDocument/2006/relationships/footer" Target="footer45.xml"/><Relationship Id="rId85" Type="http://schemas.openxmlformats.org/officeDocument/2006/relationships/header" Target="header23.xml"/><Relationship Id="rId150" Type="http://schemas.openxmlformats.org/officeDocument/2006/relationships/header" Target="header81.xml"/><Relationship Id="rId171" Type="http://schemas.openxmlformats.org/officeDocument/2006/relationships/footer" Target="footer55.xml"/><Relationship Id="rId192" Type="http://schemas.openxmlformats.org/officeDocument/2006/relationships/footer" Target="footer67.xml"/><Relationship Id="rId206" Type="http://schemas.openxmlformats.org/officeDocument/2006/relationships/footer" Target="footer75.xml"/><Relationship Id="rId227" Type="http://schemas.openxmlformats.org/officeDocument/2006/relationships/hyperlink" Target="https://ovic.vic.gov.au/" TargetMode="External"/><Relationship Id="rId201" Type="http://schemas.openxmlformats.org/officeDocument/2006/relationships/footer" Target="footer72.xml"/><Relationship Id="rId222" Type="http://schemas.openxmlformats.org/officeDocument/2006/relationships/hyperlink" Target="https://www.vic.gov.au/independentreviewemployeerepresentatives" TargetMode="External"/><Relationship Id="rId243"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image" Target="media/image3.png"/><Relationship Id="rId33" Type="http://schemas.openxmlformats.org/officeDocument/2006/relationships/footer" Target="footer15.xml"/><Relationship Id="rId38" Type="http://schemas.openxmlformats.org/officeDocument/2006/relationships/footer" Target="footer17.xml"/><Relationship Id="rId59" Type="http://schemas.openxmlformats.org/officeDocument/2006/relationships/image" Target="media/image11.png"/><Relationship Id="rId103" Type="http://schemas.openxmlformats.org/officeDocument/2006/relationships/footer" Target="footer39.xml"/><Relationship Id="rId108" Type="http://schemas.openxmlformats.org/officeDocument/2006/relationships/header" Target="header45.xml"/><Relationship Id="rId124" Type="http://schemas.openxmlformats.org/officeDocument/2006/relationships/header" Target="header61.xml"/><Relationship Id="rId129" Type="http://schemas.openxmlformats.org/officeDocument/2006/relationships/footer" Target="footer42.xml"/><Relationship Id="rId54" Type="http://schemas.openxmlformats.org/officeDocument/2006/relationships/footer" Target="footer28.xml"/><Relationship Id="rId70" Type="http://schemas.openxmlformats.org/officeDocument/2006/relationships/header" Target="header15.xml"/><Relationship Id="rId75" Type="http://schemas.openxmlformats.org/officeDocument/2006/relationships/header" Target="header18.xml"/><Relationship Id="rId91" Type="http://schemas.openxmlformats.org/officeDocument/2006/relationships/header" Target="header29.xml"/><Relationship Id="rId96" Type="http://schemas.openxmlformats.org/officeDocument/2006/relationships/header" Target="header34.xml"/><Relationship Id="rId140" Type="http://schemas.openxmlformats.org/officeDocument/2006/relationships/header" Target="header71.xml"/><Relationship Id="rId145" Type="http://schemas.openxmlformats.org/officeDocument/2006/relationships/header" Target="header76.xml"/><Relationship Id="rId161" Type="http://schemas.openxmlformats.org/officeDocument/2006/relationships/header" Target="header87.xml"/><Relationship Id="rId166" Type="http://schemas.openxmlformats.org/officeDocument/2006/relationships/header" Target="header90.xml"/><Relationship Id="rId182" Type="http://schemas.openxmlformats.org/officeDocument/2006/relationships/footer" Target="footer61.xml"/><Relationship Id="rId187" Type="http://schemas.openxmlformats.org/officeDocument/2006/relationships/footer" Target="footer64.xml"/><Relationship Id="rId217" Type="http://schemas.openxmlformats.org/officeDocument/2006/relationships/footer" Target="footer81.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eader" Target="header110.xml"/><Relationship Id="rId233" Type="http://schemas.openxmlformats.org/officeDocument/2006/relationships/header" Target="header116.xml"/><Relationship Id="rId238" Type="http://schemas.openxmlformats.org/officeDocument/2006/relationships/hyperlink" Target="http://www.data.vic.gov.au" TargetMode="External"/><Relationship Id="rId23" Type="http://schemas.openxmlformats.org/officeDocument/2006/relationships/footer" Target="footer7.xml"/><Relationship Id="rId28" Type="http://schemas.openxmlformats.org/officeDocument/2006/relationships/footer" Target="footer12.xml"/><Relationship Id="rId49" Type="http://schemas.openxmlformats.org/officeDocument/2006/relationships/chart" Target="charts/chart1.xml"/><Relationship Id="rId114" Type="http://schemas.openxmlformats.org/officeDocument/2006/relationships/header" Target="header51.xml"/><Relationship Id="rId119" Type="http://schemas.openxmlformats.org/officeDocument/2006/relationships/header" Target="header56.xml"/><Relationship Id="rId44" Type="http://schemas.openxmlformats.org/officeDocument/2006/relationships/footer" Target="footer20.xml"/><Relationship Id="rId60" Type="http://schemas.openxmlformats.org/officeDocument/2006/relationships/image" Target="media/image12.png"/><Relationship Id="rId65" Type="http://schemas.openxmlformats.org/officeDocument/2006/relationships/header" Target="header10.xml"/><Relationship Id="rId81" Type="http://schemas.openxmlformats.org/officeDocument/2006/relationships/header" Target="header20.xml"/><Relationship Id="rId86" Type="http://schemas.openxmlformats.org/officeDocument/2006/relationships/header" Target="header24.xml"/><Relationship Id="rId130" Type="http://schemas.openxmlformats.org/officeDocument/2006/relationships/footer" Target="footer43.xml"/><Relationship Id="rId135" Type="http://schemas.openxmlformats.org/officeDocument/2006/relationships/footer" Target="footer44.xml"/><Relationship Id="rId151" Type="http://schemas.openxmlformats.org/officeDocument/2006/relationships/footer" Target="footer46.xml"/><Relationship Id="rId156" Type="http://schemas.openxmlformats.org/officeDocument/2006/relationships/footer" Target="footer47.xml"/><Relationship Id="rId177" Type="http://schemas.openxmlformats.org/officeDocument/2006/relationships/header" Target="header95.xml"/><Relationship Id="rId198" Type="http://schemas.openxmlformats.org/officeDocument/2006/relationships/footer" Target="footer70.xml"/><Relationship Id="rId172" Type="http://schemas.openxmlformats.org/officeDocument/2006/relationships/footer" Target="footer56.xml"/><Relationship Id="rId193" Type="http://schemas.openxmlformats.org/officeDocument/2006/relationships/footer" Target="footer68.xml"/><Relationship Id="rId202" Type="http://schemas.openxmlformats.org/officeDocument/2006/relationships/header" Target="header106.xml"/><Relationship Id="rId207" Type="http://schemas.openxmlformats.org/officeDocument/2006/relationships/footer" Target="footer76.xml"/><Relationship Id="rId223" Type="http://schemas.openxmlformats.org/officeDocument/2006/relationships/hyperlink" Target="https://www.parliament.vic.gov.au/parliamentary-activity/tabled-documents-database/tabled-document-details/9151" TargetMode="External"/><Relationship Id="rId228" Type="http://schemas.openxmlformats.org/officeDocument/2006/relationships/hyperlink" Target="https://www.dtf.vic.gov.au/funds-programs-and-policies/community-support-fund" TargetMode="External"/><Relationship Id="rId13" Type="http://schemas.openxmlformats.org/officeDocument/2006/relationships/image" Target="media/image2.png"/><Relationship Id="rId18" Type="http://schemas.openxmlformats.org/officeDocument/2006/relationships/image" Target="media/image4.png"/><Relationship Id="rId39" Type="http://schemas.openxmlformats.org/officeDocument/2006/relationships/header" Target="header5.xml"/><Relationship Id="rId109" Type="http://schemas.openxmlformats.org/officeDocument/2006/relationships/header" Target="header46.xml"/><Relationship Id="rId34" Type="http://schemas.openxmlformats.org/officeDocument/2006/relationships/header" Target="header2.xml"/><Relationship Id="rId50" Type="http://schemas.openxmlformats.org/officeDocument/2006/relationships/footer" Target="footer25.xml"/><Relationship Id="rId55" Type="http://schemas.openxmlformats.org/officeDocument/2006/relationships/image" Target="media/image7.png"/><Relationship Id="rId76" Type="http://schemas.openxmlformats.org/officeDocument/2006/relationships/footer" Target="footer34.xml"/><Relationship Id="rId97" Type="http://schemas.openxmlformats.org/officeDocument/2006/relationships/header" Target="header35.xml"/><Relationship Id="rId104" Type="http://schemas.openxmlformats.org/officeDocument/2006/relationships/header" Target="header41.xml"/><Relationship Id="rId120" Type="http://schemas.openxmlformats.org/officeDocument/2006/relationships/header" Target="header57.xml"/><Relationship Id="rId125" Type="http://schemas.openxmlformats.org/officeDocument/2006/relationships/footer" Target="footer40.xml"/><Relationship Id="rId141" Type="http://schemas.openxmlformats.org/officeDocument/2006/relationships/header" Target="header72.xml"/><Relationship Id="rId146" Type="http://schemas.openxmlformats.org/officeDocument/2006/relationships/header" Target="header77.xml"/><Relationship Id="rId167" Type="http://schemas.openxmlformats.org/officeDocument/2006/relationships/footer" Target="footer53.xml"/><Relationship Id="rId188" Type="http://schemas.openxmlformats.org/officeDocument/2006/relationships/footer" Target="footer65.xml"/><Relationship Id="rId7" Type="http://schemas.openxmlformats.org/officeDocument/2006/relationships/settings" Target="settings.xml"/><Relationship Id="rId71" Type="http://schemas.openxmlformats.org/officeDocument/2006/relationships/header" Target="header16.xml"/><Relationship Id="rId92" Type="http://schemas.openxmlformats.org/officeDocument/2006/relationships/header" Target="header30.xml"/><Relationship Id="rId162" Type="http://schemas.openxmlformats.org/officeDocument/2006/relationships/header" Target="header88.xml"/><Relationship Id="rId183" Type="http://schemas.openxmlformats.org/officeDocument/2006/relationships/footer" Target="footer62.xml"/><Relationship Id="rId213" Type="http://schemas.openxmlformats.org/officeDocument/2006/relationships/footer" Target="footer79.xml"/><Relationship Id="rId218" Type="http://schemas.openxmlformats.org/officeDocument/2006/relationships/header" Target="header113.xml"/><Relationship Id="rId234" Type="http://schemas.openxmlformats.org/officeDocument/2006/relationships/footer" Target="footer85.xml"/><Relationship Id="rId239" Type="http://schemas.openxmlformats.org/officeDocument/2006/relationships/footer" Target="footer86.xml"/><Relationship Id="rId2" Type="http://schemas.openxmlformats.org/officeDocument/2006/relationships/customXml" Target="../customXml/item2.xml"/><Relationship Id="rId29" Type="http://schemas.openxmlformats.org/officeDocument/2006/relationships/footer" Target="footer13.xml"/><Relationship Id="rId24" Type="http://schemas.openxmlformats.org/officeDocument/2006/relationships/footer" Target="footer8.xml"/><Relationship Id="rId40" Type="http://schemas.openxmlformats.org/officeDocument/2006/relationships/header" Target="header6.xml"/><Relationship Id="rId45" Type="http://schemas.openxmlformats.org/officeDocument/2006/relationships/footer" Target="footer21.xml"/><Relationship Id="rId66" Type="http://schemas.openxmlformats.org/officeDocument/2006/relationships/header" Target="header11.xml"/><Relationship Id="rId87" Type="http://schemas.openxmlformats.org/officeDocument/2006/relationships/header" Target="header25.xml"/><Relationship Id="rId110" Type="http://schemas.openxmlformats.org/officeDocument/2006/relationships/header" Target="header47.xml"/><Relationship Id="rId115" Type="http://schemas.openxmlformats.org/officeDocument/2006/relationships/header" Target="header52.xml"/><Relationship Id="rId131" Type="http://schemas.openxmlformats.org/officeDocument/2006/relationships/header" Target="header64.xml"/><Relationship Id="rId136" Type="http://schemas.openxmlformats.org/officeDocument/2006/relationships/header" Target="header68.xml"/><Relationship Id="rId157" Type="http://schemas.openxmlformats.org/officeDocument/2006/relationships/footer" Target="footer48.xml"/><Relationship Id="rId178" Type="http://schemas.openxmlformats.org/officeDocument/2006/relationships/footer" Target="footer59.xml"/><Relationship Id="rId61" Type="http://schemas.openxmlformats.org/officeDocument/2006/relationships/header" Target="header9.xml"/><Relationship Id="rId82" Type="http://schemas.openxmlformats.org/officeDocument/2006/relationships/header" Target="header21.xml"/><Relationship Id="rId152" Type="http://schemas.openxmlformats.org/officeDocument/2006/relationships/header" Target="header82.xml"/><Relationship Id="rId173" Type="http://schemas.openxmlformats.org/officeDocument/2006/relationships/header" Target="header93.xml"/><Relationship Id="rId194" Type="http://schemas.openxmlformats.org/officeDocument/2006/relationships/header" Target="header102.xml"/><Relationship Id="rId199" Type="http://schemas.openxmlformats.org/officeDocument/2006/relationships/footer" Target="footer71.xml"/><Relationship Id="rId203" Type="http://schemas.openxmlformats.org/officeDocument/2006/relationships/footer" Target="footer73.xml"/><Relationship Id="rId208" Type="http://schemas.openxmlformats.org/officeDocument/2006/relationships/header" Target="header108.xml"/><Relationship Id="rId229" Type="http://schemas.openxmlformats.org/officeDocument/2006/relationships/header" Target="header114.xml"/><Relationship Id="rId19" Type="http://schemas.openxmlformats.org/officeDocument/2006/relationships/footer" Target="footer3.xml"/><Relationship Id="rId224" Type="http://schemas.openxmlformats.org/officeDocument/2006/relationships/hyperlink" Target="http://www.tenders.vic.gov.au" TargetMode="External"/><Relationship Id="rId240" Type="http://schemas.openxmlformats.org/officeDocument/2006/relationships/header" Target="header117.xml"/><Relationship Id="rId14" Type="http://schemas.openxmlformats.org/officeDocument/2006/relationships/footer" Target="footer1.xml"/><Relationship Id="rId30" Type="http://schemas.openxmlformats.org/officeDocument/2006/relationships/footer" Target="footer14.xml"/><Relationship Id="rId35" Type="http://schemas.openxmlformats.org/officeDocument/2006/relationships/header" Target="header3.xml"/><Relationship Id="rId56" Type="http://schemas.openxmlformats.org/officeDocument/2006/relationships/image" Target="media/image8.png"/><Relationship Id="rId77" Type="http://schemas.openxmlformats.org/officeDocument/2006/relationships/footer" Target="footer35.xml"/><Relationship Id="rId100" Type="http://schemas.openxmlformats.org/officeDocument/2006/relationships/header" Target="header38.xml"/><Relationship Id="rId105" Type="http://schemas.openxmlformats.org/officeDocument/2006/relationships/header" Target="header42.xml"/><Relationship Id="rId126" Type="http://schemas.openxmlformats.org/officeDocument/2006/relationships/footer" Target="footer41.xml"/><Relationship Id="rId147" Type="http://schemas.openxmlformats.org/officeDocument/2006/relationships/header" Target="header78.xml"/><Relationship Id="rId168" Type="http://schemas.openxmlformats.org/officeDocument/2006/relationships/footer" Target="footer54.xml"/><Relationship Id="rId8" Type="http://schemas.openxmlformats.org/officeDocument/2006/relationships/webSettings" Target="webSettings.xml"/><Relationship Id="rId51" Type="http://schemas.openxmlformats.org/officeDocument/2006/relationships/footer" Target="footer26.xml"/><Relationship Id="rId72" Type="http://schemas.openxmlformats.org/officeDocument/2006/relationships/footer" Target="footer32.xml"/><Relationship Id="rId93" Type="http://schemas.openxmlformats.org/officeDocument/2006/relationships/header" Target="header31.xml"/><Relationship Id="rId98" Type="http://schemas.openxmlformats.org/officeDocument/2006/relationships/header" Target="header36.xml"/><Relationship Id="rId121" Type="http://schemas.openxmlformats.org/officeDocument/2006/relationships/header" Target="header58.xml"/><Relationship Id="rId142" Type="http://schemas.openxmlformats.org/officeDocument/2006/relationships/header" Target="header73.xml"/><Relationship Id="rId163" Type="http://schemas.openxmlformats.org/officeDocument/2006/relationships/footer" Target="footer51.xml"/><Relationship Id="rId184" Type="http://schemas.openxmlformats.org/officeDocument/2006/relationships/header" Target="header98.xml"/><Relationship Id="rId189" Type="http://schemas.openxmlformats.org/officeDocument/2006/relationships/footer" Target="footer66.xml"/><Relationship Id="rId219" Type="http://schemas.openxmlformats.org/officeDocument/2006/relationships/footer" Target="footer82.xml"/><Relationship Id="rId3" Type="http://schemas.openxmlformats.org/officeDocument/2006/relationships/customXml" Target="../customXml/item3.xml"/><Relationship Id="rId214" Type="http://schemas.openxmlformats.org/officeDocument/2006/relationships/header" Target="header111.xml"/><Relationship Id="rId230" Type="http://schemas.openxmlformats.org/officeDocument/2006/relationships/header" Target="header115.xml"/><Relationship Id="rId235" Type="http://schemas.openxmlformats.org/officeDocument/2006/relationships/hyperlink" Target="mailto:public.interest.disclosure@dtf.vic.gov.au" TargetMode="External"/><Relationship Id="rId25" Type="http://schemas.openxmlformats.org/officeDocument/2006/relationships/footer" Target="footer9.xml"/><Relationship Id="rId46" Type="http://schemas.openxmlformats.org/officeDocument/2006/relationships/footer" Target="footer22.xml"/><Relationship Id="rId67" Type="http://schemas.openxmlformats.org/officeDocument/2006/relationships/header" Target="header12.xml"/><Relationship Id="rId116" Type="http://schemas.openxmlformats.org/officeDocument/2006/relationships/header" Target="header53.xml"/><Relationship Id="rId137" Type="http://schemas.openxmlformats.org/officeDocument/2006/relationships/header" Target="header69.xml"/><Relationship Id="rId158" Type="http://schemas.openxmlformats.org/officeDocument/2006/relationships/header" Target="header86.xml"/><Relationship Id="rId20" Type="http://schemas.openxmlformats.org/officeDocument/2006/relationships/footer" Target="footer4.xml"/><Relationship Id="rId41" Type="http://schemas.openxmlformats.org/officeDocument/2006/relationships/footer" Target="footer18.xml"/><Relationship Id="rId62" Type="http://schemas.openxmlformats.org/officeDocument/2006/relationships/footer" Target="footer29.xml"/><Relationship Id="rId83" Type="http://schemas.openxmlformats.org/officeDocument/2006/relationships/footer" Target="footer38.xml"/><Relationship Id="rId88" Type="http://schemas.openxmlformats.org/officeDocument/2006/relationships/header" Target="header26.xml"/><Relationship Id="rId111" Type="http://schemas.openxmlformats.org/officeDocument/2006/relationships/header" Target="header48.xml"/><Relationship Id="rId132" Type="http://schemas.openxmlformats.org/officeDocument/2006/relationships/header" Target="header65.xml"/><Relationship Id="rId153" Type="http://schemas.openxmlformats.org/officeDocument/2006/relationships/header" Target="header83.xml"/><Relationship Id="rId174" Type="http://schemas.openxmlformats.org/officeDocument/2006/relationships/footer" Target="footer57.xml"/><Relationship Id="rId179" Type="http://schemas.openxmlformats.org/officeDocument/2006/relationships/footer" Target="footer60.xml"/><Relationship Id="rId195" Type="http://schemas.openxmlformats.org/officeDocument/2006/relationships/footer" Target="footer69.xml"/><Relationship Id="rId209" Type="http://schemas.openxmlformats.org/officeDocument/2006/relationships/header" Target="header109.xml"/><Relationship Id="rId190" Type="http://schemas.openxmlformats.org/officeDocument/2006/relationships/header" Target="header100.xml"/><Relationship Id="rId204" Type="http://schemas.openxmlformats.org/officeDocument/2006/relationships/footer" Target="footer74.xml"/><Relationship Id="rId220" Type="http://schemas.openxmlformats.org/officeDocument/2006/relationships/hyperlink" Target="https://www.dtf.vic.gov.au/eiif-cultural-safety-framework" TargetMode="External"/><Relationship Id="rId225" Type="http://schemas.openxmlformats.org/officeDocument/2006/relationships/hyperlink" Target="mailto:foidtf@dtf.vic.gov.au" TargetMode="External"/><Relationship Id="rId241" Type="http://schemas.openxmlformats.org/officeDocument/2006/relationships/footer" Target="footer87.xml"/><Relationship Id="rId15" Type="http://schemas.openxmlformats.org/officeDocument/2006/relationships/footer" Target="footer2.xml"/><Relationship Id="rId36" Type="http://schemas.openxmlformats.org/officeDocument/2006/relationships/footer" Target="footer16.xml"/><Relationship Id="rId57" Type="http://schemas.openxmlformats.org/officeDocument/2006/relationships/image" Target="media/image9.png"/><Relationship Id="rId106" Type="http://schemas.openxmlformats.org/officeDocument/2006/relationships/header" Target="header43.xml"/><Relationship Id="rId127" Type="http://schemas.openxmlformats.org/officeDocument/2006/relationships/header" Target="header62.xml"/><Relationship Id="rId10" Type="http://schemas.openxmlformats.org/officeDocument/2006/relationships/endnotes" Target="endnotes.xml"/><Relationship Id="rId31" Type="http://schemas.openxmlformats.org/officeDocument/2006/relationships/image" Target="media/image5.png"/><Relationship Id="rId52" Type="http://schemas.openxmlformats.org/officeDocument/2006/relationships/header" Target="header8.xml"/><Relationship Id="rId73" Type="http://schemas.openxmlformats.org/officeDocument/2006/relationships/footer" Target="footer33.xml"/><Relationship Id="rId78" Type="http://schemas.openxmlformats.org/officeDocument/2006/relationships/header" Target="header19.xml"/><Relationship Id="rId94" Type="http://schemas.openxmlformats.org/officeDocument/2006/relationships/header" Target="header32.xml"/><Relationship Id="rId99" Type="http://schemas.openxmlformats.org/officeDocument/2006/relationships/header" Target="header37.xml"/><Relationship Id="rId101" Type="http://schemas.openxmlformats.org/officeDocument/2006/relationships/header" Target="header39.xml"/><Relationship Id="rId122" Type="http://schemas.openxmlformats.org/officeDocument/2006/relationships/header" Target="header59.xml"/><Relationship Id="rId143" Type="http://schemas.openxmlformats.org/officeDocument/2006/relationships/header" Target="header74.xml"/><Relationship Id="rId148" Type="http://schemas.openxmlformats.org/officeDocument/2006/relationships/header" Target="header79.xml"/><Relationship Id="rId164" Type="http://schemas.openxmlformats.org/officeDocument/2006/relationships/footer" Target="footer52.xml"/><Relationship Id="rId169" Type="http://schemas.openxmlformats.org/officeDocument/2006/relationships/header" Target="header91.xml"/><Relationship Id="rId185" Type="http://schemas.openxmlformats.org/officeDocument/2006/relationships/header" Target="header99.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96.xml"/><Relationship Id="rId210" Type="http://schemas.openxmlformats.org/officeDocument/2006/relationships/footer" Target="footer77.xml"/><Relationship Id="rId215" Type="http://schemas.openxmlformats.org/officeDocument/2006/relationships/header" Target="header112.xml"/><Relationship Id="rId236" Type="http://schemas.openxmlformats.org/officeDocument/2006/relationships/hyperlink" Target="file:///C:/Documents%20and%20Settings/vict3v8/Local%20Settings/Temp/notesD72EE2/www.ibac.vic.gov.au" TargetMode="External"/><Relationship Id="rId26" Type="http://schemas.openxmlformats.org/officeDocument/2006/relationships/footer" Target="footer10.xml"/><Relationship Id="rId231" Type="http://schemas.openxmlformats.org/officeDocument/2006/relationships/footer" Target="footer83.xml"/><Relationship Id="rId47" Type="http://schemas.openxmlformats.org/officeDocument/2006/relationships/footer" Target="footer23.xml"/><Relationship Id="rId68" Type="http://schemas.openxmlformats.org/officeDocument/2006/relationships/header" Target="header13.xml"/><Relationship Id="rId89" Type="http://schemas.openxmlformats.org/officeDocument/2006/relationships/header" Target="header27.xml"/><Relationship Id="rId112" Type="http://schemas.openxmlformats.org/officeDocument/2006/relationships/header" Target="header49.xml"/><Relationship Id="rId133" Type="http://schemas.openxmlformats.org/officeDocument/2006/relationships/header" Target="header66.xml"/><Relationship Id="rId154" Type="http://schemas.openxmlformats.org/officeDocument/2006/relationships/header" Target="header84.xml"/><Relationship Id="rId175" Type="http://schemas.openxmlformats.org/officeDocument/2006/relationships/footer" Target="footer58.xml"/><Relationship Id="rId196" Type="http://schemas.openxmlformats.org/officeDocument/2006/relationships/header" Target="header103.xml"/><Relationship Id="rId200" Type="http://schemas.openxmlformats.org/officeDocument/2006/relationships/header" Target="header105.xml"/><Relationship Id="rId16" Type="http://schemas.openxmlformats.org/officeDocument/2006/relationships/hyperlink" Target="http://creativecommons.org/licenses/by/3.0/au/" TargetMode="External"/><Relationship Id="rId221" Type="http://schemas.openxmlformats.org/officeDocument/2006/relationships/hyperlink" Target="https://www.vic.gov.au/equal-workplaces-advisory-council" TargetMode="External"/><Relationship Id="rId242" Type="http://schemas.openxmlformats.org/officeDocument/2006/relationships/fontTable" Target="fontTable.xml"/><Relationship Id="rId37" Type="http://schemas.openxmlformats.org/officeDocument/2006/relationships/header" Target="header4.xml"/><Relationship Id="rId58" Type="http://schemas.openxmlformats.org/officeDocument/2006/relationships/image" Target="media/image10.png"/><Relationship Id="rId79" Type="http://schemas.openxmlformats.org/officeDocument/2006/relationships/footer" Target="footer36.xml"/><Relationship Id="rId102" Type="http://schemas.openxmlformats.org/officeDocument/2006/relationships/header" Target="header40.xml"/><Relationship Id="rId123" Type="http://schemas.openxmlformats.org/officeDocument/2006/relationships/header" Target="header60.xml"/><Relationship Id="rId144" Type="http://schemas.openxmlformats.org/officeDocument/2006/relationships/header" Target="header75.xml"/><Relationship Id="rId90" Type="http://schemas.openxmlformats.org/officeDocument/2006/relationships/header" Target="header28.xml"/><Relationship Id="rId165" Type="http://schemas.openxmlformats.org/officeDocument/2006/relationships/header" Target="header89.xml"/><Relationship Id="rId186" Type="http://schemas.openxmlformats.org/officeDocument/2006/relationships/footer" Target="footer63.xml"/><Relationship Id="rId211" Type="http://schemas.openxmlformats.org/officeDocument/2006/relationships/footer" Target="footer78.xml"/><Relationship Id="rId232" Type="http://schemas.openxmlformats.org/officeDocument/2006/relationships/footer" Target="footer84.xml"/><Relationship Id="rId27" Type="http://schemas.openxmlformats.org/officeDocument/2006/relationships/footer" Target="footer11.xml"/><Relationship Id="rId48" Type="http://schemas.openxmlformats.org/officeDocument/2006/relationships/footer" Target="footer24.xml"/><Relationship Id="rId69" Type="http://schemas.openxmlformats.org/officeDocument/2006/relationships/header" Target="header14.xml"/><Relationship Id="rId113" Type="http://schemas.openxmlformats.org/officeDocument/2006/relationships/header" Target="header50.xml"/><Relationship Id="rId134" Type="http://schemas.openxmlformats.org/officeDocument/2006/relationships/header" Target="header67.xml"/><Relationship Id="rId80" Type="http://schemas.openxmlformats.org/officeDocument/2006/relationships/footer" Target="footer37.xml"/><Relationship Id="rId155" Type="http://schemas.openxmlformats.org/officeDocument/2006/relationships/header" Target="header85.xml"/><Relationship Id="rId176" Type="http://schemas.openxmlformats.org/officeDocument/2006/relationships/header" Target="header94.xml"/><Relationship Id="rId197" Type="http://schemas.openxmlformats.org/officeDocument/2006/relationships/header" Target="header10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87.xml.rels><?xml version="1.0" encoding="UTF-8" standalone="yes"?>
<Relationships xmlns="http://schemas.openxmlformats.org/package/2006/relationships"><Relationship Id="rId1"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oleObject" Target="https://vicgov.sharepoint.com/sites/msteams_3f7a87/Shared%20Documents/General/Major%20capital%20projects%20data%202024-25.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0" i="0" u="none" strike="noStrike" kern="1200" spc="0" baseline="0">
                <a:solidFill>
                  <a:srgbClr val="000000"/>
                </a:solidFill>
                <a:latin typeface="+mj-lt"/>
                <a:ea typeface="+mn-ea"/>
                <a:cs typeface="Arial" panose="020B0604020202020204" pitchFamily="34" charset="0"/>
              </a:defRPr>
            </a:pPr>
            <a:r>
              <a:rPr lang="en-AU" sz="700">
                <a:latin typeface="+mj-lt"/>
              </a:rPr>
              <a:t>Number of major capital projects </a:t>
            </a:r>
            <a:br>
              <a:rPr lang="en-AU" sz="700">
                <a:latin typeface="+mj-lt"/>
              </a:rPr>
            </a:br>
            <a:r>
              <a:rPr lang="en-AU" sz="700">
                <a:latin typeface="+mj-lt"/>
              </a:rPr>
              <a:t>monitored by DTF</a:t>
            </a:r>
          </a:p>
        </c:rich>
      </c:tx>
      <c:layout>
        <c:manualLayout>
          <c:xMode val="edge"/>
          <c:yMode val="edge"/>
          <c:x val="0.22888817195914446"/>
          <c:y val="1.2238550730084756E-3"/>
        </c:manualLayout>
      </c:layout>
      <c:overlay val="0"/>
      <c:spPr>
        <a:noFill/>
        <a:ln>
          <a:noFill/>
        </a:ln>
        <a:effectLst/>
      </c:spPr>
      <c:txPr>
        <a:bodyPr rot="0" spcFirstLastPara="1" vertOverflow="ellipsis" vert="horz" wrap="square" anchor="ctr" anchorCtr="1"/>
        <a:lstStyle/>
        <a:p>
          <a:pPr>
            <a:defRPr sz="700" b="0" i="0" u="none" strike="noStrike" kern="1200" spc="0" baseline="0">
              <a:solidFill>
                <a:srgbClr val="000000"/>
              </a:solidFill>
              <a:latin typeface="+mj-lt"/>
              <a:ea typeface="+mn-ea"/>
              <a:cs typeface="Arial" panose="020B0604020202020204" pitchFamily="34" charset="0"/>
            </a:defRPr>
          </a:pPr>
          <a:endParaRPr lang="en-US"/>
        </a:p>
      </c:txPr>
    </c:title>
    <c:autoTitleDeleted val="0"/>
    <c:plotArea>
      <c:layout>
        <c:manualLayout>
          <c:layoutTarget val="inner"/>
          <c:xMode val="edge"/>
          <c:yMode val="edge"/>
          <c:x val="5.8686120123026826E-2"/>
          <c:y val="0.17128098397008251"/>
          <c:w val="0.91103615489798007"/>
          <c:h val="0.75358981827748861"/>
        </c:manualLayout>
      </c:layout>
      <c:barChart>
        <c:barDir val="col"/>
        <c:grouping val="clustered"/>
        <c:varyColors val="0"/>
        <c:ser>
          <c:idx val="0"/>
          <c:order val="0"/>
          <c:spPr>
            <a:solidFill>
              <a:schemeClr val="bg1">
                <a:lumMod val="65000"/>
              </a:schemeClr>
            </a:solidFill>
            <a:ln>
              <a:noFill/>
            </a:ln>
            <a:effectLst/>
          </c:spPr>
          <c:invertIfNegative val="0"/>
          <c:dLbls>
            <c:dLbl>
              <c:idx val="0"/>
              <c:layout>
                <c:manualLayout>
                  <c:x val="0"/>
                  <c:y val="7.19041376301811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E8C-4831-9353-FF57C80D31CE}"/>
                </c:ext>
              </c:extLst>
            </c:dLbl>
            <c:dLbl>
              <c:idx val="2"/>
              <c:layout>
                <c:manualLayout>
                  <c:x val="0"/>
                  <c:y val="3.59520688150905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8C-4831-9353-FF57C80D31CE}"/>
                </c:ext>
              </c:extLst>
            </c:dLbl>
            <c:dLbl>
              <c:idx val="3"/>
              <c:layout>
                <c:manualLayout>
                  <c:x val="-1.0092458404056982E-16"/>
                  <c:y val="3.59520688150905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8C-4831-9353-FF57C80D31CE}"/>
                </c:ext>
              </c:extLst>
            </c:dLbl>
            <c:dLbl>
              <c:idx val="4"/>
              <c:layout>
                <c:manualLayout>
                  <c:x val="1.0092458404056982E-16"/>
                  <c:y val="7.19041376301811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8C-4831-9353-FF57C80D31CE}"/>
                </c:ext>
              </c:extLst>
            </c:dLbl>
            <c:spPr>
              <a:noFill/>
              <a:ln>
                <a:noFill/>
              </a:ln>
              <a:effectLst/>
            </c:spPr>
            <c:txPr>
              <a:bodyPr rot="0" spcFirstLastPara="1" vertOverflow="ellipsis" vert="horz" wrap="square" anchor="ctr" anchorCtr="1"/>
              <a:lstStyle/>
              <a:p>
                <a:pPr>
                  <a:defRPr sz="550" b="0" i="0" u="none" strike="noStrike" kern="1200" baseline="0">
                    <a:solidFill>
                      <a:srgbClr val="000000"/>
                    </a:solidFill>
                    <a:latin typeface="VIC" panose="00000500000000000000" pitchFamily="50"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Sheet1!$E$5:$I$5</c:f>
              <c:strCache>
                <c:ptCount val="5"/>
                <c:pt idx="0">
                  <c:v>Jun 20-21</c:v>
                </c:pt>
                <c:pt idx="1">
                  <c:v>Jun 21-22</c:v>
                </c:pt>
                <c:pt idx="2">
                  <c:v>Jun 22-23</c:v>
                </c:pt>
                <c:pt idx="3">
                  <c:v>Jun 23-24</c:v>
                </c:pt>
                <c:pt idx="4">
                  <c:v>Jun 24-25</c:v>
                </c:pt>
              </c:strCache>
            </c:strRef>
          </c:cat>
          <c:val>
            <c:numRef>
              <c:f>Sheet1!$E$6:$I$6</c:f>
              <c:numCache>
                <c:formatCode>General</c:formatCode>
                <c:ptCount val="5"/>
                <c:pt idx="0">
                  <c:v>62</c:v>
                </c:pt>
                <c:pt idx="1">
                  <c:v>89</c:v>
                </c:pt>
                <c:pt idx="2">
                  <c:v>65</c:v>
                </c:pt>
                <c:pt idx="3">
                  <c:v>63</c:v>
                </c:pt>
                <c:pt idx="4">
                  <c:v>63</c:v>
                </c:pt>
              </c:numCache>
            </c:numRef>
          </c:val>
          <c:extLst>
            <c:ext xmlns:c16="http://schemas.microsoft.com/office/drawing/2014/chart" uri="{C3380CC4-5D6E-409C-BE32-E72D297353CC}">
              <c16:uniqueId val="{00000004-CE8C-4831-9353-FF57C80D31CE}"/>
            </c:ext>
          </c:extLst>
        </c:ser>
        <c:dLbls>
          <c:dLblPos val="outEnd"/>
          <c:showLegendKey val="0"/>
          <c:showVal val="1"/>
          <c:showCatName val="0"/>
          <c:showSerName val="0"/>
          <c:showPercent val="0"/>
          <c:showBubbleSize val="0"/>
        </c:dLbls>
        <c:gapWidth val="219"/>
        <c:overlap val="-27"/>
        <c:axId val="313658080"/>
        <c:axId val="313659064"/>
      </c:barChart>
      <c:catAx>
        <c:axId val="313658080"/>
        <c:scaling>
          <c:orientation val="minMax"/>
        </c:scaling>
        <c:delete val="0"/>
        <c:axPos val="b"/>
        <c:numFmt formatCode="General" sourceLinked="1"/>
        <c:majorTickMark val="none"/>
        <c:minorTickMark val="none"/>
        <c:tickLblPos val="nextTo"/>
        <c:spPr>
          <a:noFill/>
          <a:ln w="6350" cap="flat" cmpd="sng" algn="ctr">
            <a:solidFill>
              <a:schemeClr val="bg1">
                <a:lumMod val="50000"/>
              </a:schemeClr>
            </a:solidFill>
            <a:round/>
          </a:ln>
          <a:effectLst/>
        </c:spPr>
        <c:txPr>
          <a:bodyPr rot="-60000000" spcFirstLastPara="1" vertOverflow="ellipsis" vert="horz" wrap="square" anchor="ctr" anchorCtr="1"/>
          <a:lstStyle/>
          <a:p>
            <a:pPr>
              <a:defRPr sz="550" b="0" i="0" u="none" strike="noStrike" kern="1200" baseline="0">
                <a:solidFill>
                  <a:srgbClr val="000000"/>
                </a:solidFill>
                <a:latin typeface="VIC" panose="00000500000000000000" pitchFamily="50" charset="0"/>
                <a:ea typeface="+mn-ea"/>
                <a:cs typeface="Arial" panose="020B0604020202020204" pitchFamily="34" charset="0"/>
              </a:defRPr>
            </a:pPr>
            <a:endParaRPr lang="en-US"/>
          </a:p>
        </c:txPr>
        <c:crossAx val="313659064"/>
        <c:crosses val="autoZero"/>
        <c:auto val="1"/>
        <c:lblAlgn val="ctr"/>
        <c:lblOffset val="100"/>
        <c:noMultiLvlLbl val="0"/>
      </c:catAx>
      <c:valAx>
        <c:axId val="313659064"/>
        <c:scaling>
          <c:orientation val="minMax"/>
        </c:scaling>
        <c:delete val="0"/>
        <c:axPos val="l"/>
        <c:majorGridlines>
          <c:spPr>
            <a:ln w="6350" cap="flat" cmpd="sng" algn="ctr">
              <a:solidFill>
                <a:schemeClr val="tx1">
                  <a:lumMod val="15000"/>
                  <a:lumOff val="85000"/>
                </a:schemeClr>
              </a:solidFill>
              <a:prstDash val="dash"/>
              <a:round/>
            </a:ln>
            <a:effectLst/>
          </c:spPr>
        </c:majorGridlines>
        <c:numFmt formatCode="General" sourceLinked="1"/>
        <c:majorTickMark val="none"/>
        <c:minorTickMark val="none"/>
        <c:tickLblPos val="nextTo"/>
        <c:spPr>
          <a:noFill/>
          <a:ln w="6350">
            <a:solidFill>
              <a:schemeClr val="bg1">
                <a:lumMod val="50000"/>
              </a:schemeClr>
            </a:solidFill>
          </a:ln>
          <a:effectLst/>
        </c:spPr>
        <c:txPr>
          <a:bodyPr rot="-60000000" spcFirstLastPara="1" vertOverflow="ellipsis" vert="horz" wrap="square" anchor="ctr" anchorCtr="1"/>
          <a:lstStyle/>
          <a:p>
            <a:pPr>
              <a:defRPr sz="550" b="0" i="0" u="none" strike="noStrike" kern="1200" baseline="0">
                <a:solidFill>
                  <a:srgbClr val="000000"/>
                </a:solidFill>
                <a:latin typeface="+mn-lt"/>
                <a:ea typeface="+mn-ea"/>
                <a:cs typeface="Arial" panose="020B0604020202020204" pitchFamily="34" charset="0"/>
              </a:defRPr>
            </a:pPr>
            <a:endParaRPr lang="en-US"/>
          </a:p>
        </c:txPr>
        <c:crossAx val="31365808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650">
          <a:solidFill>
            <a:srgbClr val="000000"/>
          </a:solidFill>
          <a:latin typeface="VIC" panose="00000500000000000000" pitchFamily="50"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DTF - Budget and Finance">
      <a:dk1>
        <a:srgbClr val="232B39"/>
      </a:dk1>
      <a:lt1>
        <a:sysClr val="window" lastClr="FFFFFF"/>
      </a:lt1>
      <a:dk2>
        <a:srgbClr val="3A3467"/>
      </a:dk2>
      <a:lt2>
        <a:srgbClr val="A6E7EB"/>
      </a:lt2>
      <a:accent1>
        <a:srgbClr val="00BAC7"/>
      </a:accent1>
      <a:accent2>
        <a:srgbClr val="71D9E0"/>
      </a:accent2>
      <a:accent3>
        <a:srgbClr val="009CA7"/>
      </a:accent3>
      <a:accent4>
        <a:srgbClr val="4C9E61"/>
      </a:accent4>
      <a:accent5>
        <a:srgbClr val="D3D5D7"/>
      </a:accent5>
      <a:accent6>
        <a:srgbClr val="F6884F"/>
      </a:accent6>
      <a:hlink>
        <a:srgbClr val="53565A"/>
      </a:hlink>
      <a:folHlink>
        <a:srgbClr val="999999"/>
      </a:folHlink>
    </a:clrScheme>
    <a:fontScheme name="Brand Vic">
      <a:majorFont>
        <a:latin typeface="VIC SemiBold"/>
        <a:ea typeface=""/>
        <a:cs typeface=""/>
      </a:majorFont>
      <a:minorFont>
        <a:latin typeface="VIC"/>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29D9BAD2630BC4A8668C45F4F6EE2E2" ma:contentTypeVersion="12" ma:contentTypeDescription="Create a new document." ma:contentTypeScope="" ma:versionID="9a43a41ffa0a7f69c5ecb153fde6a14d">
  <xsd:schema xmlns:xsd="http://www.w3.org/2001/XMLSchema" xmlns:xs="http://www.w3.org/2001/XMLSchema" xmlns:p="http://schemas.microsoft.com/office/2006/metadata/properties" xmlns:ns2="4c5e6099-3111-4096-a762-1b81994cdf19" xmlns:ns3="367a1f2a-d22c-4a3c-8034-8213a3c40b44" targetNamespace="http://schemas.microsoft.com/office/2006/metadata/properties" ma:root="true" ma:fieldsID="9572300cab89f396ddacc6077a781a92" ns2:_="" ns3:_="">
    <xsd:import namespace="4c5e6099-3111-4096-a762-1b81994cdf19"/>
    <xsd:import namespace="367a1f2a-d22c-4a3c-8034-8213a3c40b4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5e6099-3111-4096-a762-1b81994cdf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67a1f2a-d22c-4a3c-8034-8213a3c40b4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E32F74-D31D-4D68-9BD0-A58EA1FB0E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5e6099-3111-4096-a762-1b81994cdf19"/>
    <ds:schemaRef ds:uri="367a1f2a-d22c-4a3c-8034-8213a3c40b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A739326-1DF6-401B-ACB0-99476F132D6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0BAF63D-135F-4EF9-A37A-E0FC796C31A0}">
  <ds:schemaRefs>
    <ds:schemaRef ds:uri="http://schemas.openxmlformats.org/officeDocument/2006/bibliography"/>
  </ds:schemaRefs>
</ds:datastoreItem>
</file>

<file path=customXml/itemProps4.xml><?xml version="1.0" encoding="utf-8"?>
<ds:datastoreItem xmlns:ds="http://schemas.openxmlformats.org/officeDocument/2006/customXml" ds:itemID="{6050B258-742B-4752-9852-131FA4222A5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162</Pages>
  <Words>54742</Words>
  <Characters>306573</Characters>
  <Application>Microsoft Office Word</Application>
  <DocSecurity>0</DocSecurity>
  <Lines>16151</Lines>
  <Paragraphs>7717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356120</CharactersWithSpaces>
  <SharedDoc>false</SharedDoc>
  <HyperlinkBase/>
  <HLinks>
    <vt:vector size="522" baseType="variant">
      <vt:variant>
        <vt:i4>6684725</vt:i4>
      </vt:variant>
      <vt:variant>
        <vt:i4>458</vt:i4>
      </vt:variant>
      <vt:variant>
        <vt:i4>0</vt:i4>
      </vt:variant>
      <vt:variant>
        <vt:i4>5</vt:i4>
      </vt:variant>
      <vt:variant>
        <vt:lpwstr>http://www.data.vic.gov.au/</vt:lpwstr>
      </vt:variant>
      <vt:variant>
        <vt:lpwstr/>
      </vt:variant>
      <vt:variant>
        <vt:i4>589876</vt:i4>
      </vt:variant>
      <vt:variant>
        <vt:i4>455</vt:i4>
      </vt:variant>
      <vt:variant>
        <vt:i4>0</vt:i4>
      </vt:variant>
      <vt:variant>
        <vt:i4>5</vt:i4>
      </vt:variant>
      <vt:variant>
        <vt:lpwstr>mailto:foidtf@dtf.vic.gov.au?subject=Attention:%20FOI%20Officer%20-%20</vt:lpwstr>
      </vt:variant>
      <vt:variant>
        <vt:lpwstr/>
      </vt:variant>
      <vt:variant>
        <vt:i4>1376322</vt:i4>
      </vt:variant>
      <vt:variant>
        <vt:i4>452</vt:i4>
      </vt:variant>
      <vt:variant>
        <vt:i4>0</vt:i4>
      </vt:variant>
      <vt:variant>
        <vt:i4>5</vt:i4>
      </vt:variant>
      <vt:variant>
        <vt:lpwstr>C:\Documents and Settings\vict3v8\Local Settings\Temp\notesD72EE2\www.ibac.vic.gov.au</vt:lpwstr>
      </vt:variant>
      <vt:variant>
        <vt:lpwstr/>
      </vt:variant>
      <vt:variant>
        <vt:i4>4063248</vt:i4>
      </vt:variant>
      <vt:variant>
        <vt:i4>449</vt:i4>
      </vt:variant>
      <vt:variant>
        <vt:i4>0</vt:i4>
      </vt:variant>
      <vt:variant>
        <vt:i4>5</vt:i4>
      </vt:variant>
      <vt:variant>
        <vt:lpwstr>mailto:public.interest.disclosure@dtf.vic.gov.au</vt:lpwstr>
      </vt:variant>
      <vt:variant>
        <vt:lpwstr/>
      </vt:variant>
      <vt:variant>
        <vt:i4>1245209</vt:i4>
      </vt:variant>
      <vt:variant>
        <vt:i4>446</vt:i4>
      </vt:variant>
      <vt:variant>
        <vt:i4>0</vt:i4>
      </vt:variant>
      <vt:variant>
        <vt:i4>5</vt:i4>
      </vt:variant>
      <vt:variant>
        <vt:lpwstr>https://www.dtf.vic.gov.au/funds-programs-and-policies/community-support-fund</vt:lpwstr>
      </vt:variant>
      <vt:variant>
        <vt:lpwstr/>
      </vt:variant>
      <vt:variant>
        <vt:i4>5111835</vt:i4>
      </vt:variant>
      <vt:variant>
        <vt:i4>443</vt:i4>
      </vt:variant>
      <vt:variant>
        <vt:i4>0</vt:i4>
      </vt:variant>
      <vt:variant>
        <vt:i4>5</vt:i4>
      </vt:variant>
      <vt:variant>
        <vt:lpwstr>https://ovic.vic.gov.au/</vt:lpwstr>
      </vt:variant>
      <vt:variant>
        <vt:lpwstr/>
      </vt:variant>
      <vt:variant>
        <vt:i4>5111818</vt:i4>
      </vt:variant>
      <vt:variant>
        <vt:i4>434</vt:i4>
      </vt:variant>
      <vt:variant>
        <vt:i4>0</vt:i4>
      </vt:variant>
      <vt:variant>
        <vt:i4>5</vt:i4>
      </vt:variant>
      <vt:variant>
        <vt:lpwstr>https://www.dtf.vic.gov.au/about-us/agencies-affiliates-and-entities</vt:lpwstr>
      </vt:variant>
      <vt:variant>
        <vt:lpwstr/>
      </vt:variant>
      <vt:variant>
        <vt:i4>7340096</vt:i4>
      </vt:variant>
      <vt:variant>
        <vt:i4>431</vt:i4>
      </vt:variant>
      <vt:variant>
        <vt:i4>0</vt:i4>
      </vt:variant>
      <vt:variant>
        <vt:i4>5</vt:i4>
      </vt:variant>
      <vt:variant>
        <vt:lpwstr>mailto:foidtf@dtf.vic.gov.au</vt:lpwstr>
      </vt:variant>
      <vt:variant>
        <vt:lpwstr/>
      </vt:variant>
      <vt:variant>
        <vt:i4>7143550</vt:i4>
      </vt:variant>
      <vt:variant>
        <vt:i4>428</vt:i4>
      </vt:variant>
      <vt:variant>
        <vt:i4>0</vt:i4>
      </vt:variant>
      <vt:variant>
        <vt:i4>5</vt:i4>
      </vt:variant>
      <vt:variant>
        <vt:lpwstr>http://www.tenders.vic.gov.au/</vt:lpwstr>
      </vt:variant>
      <vt:variant>
        <vt:lpwstr/>
      </vt:variant>
      <vt:variant>
        <vt:i4>6815803</vt:i4>
      </vt:variant>
      <vt:variant>
        <vt:i4>425</vt:i4>
      </vt:variant>
      <vt:variant>
        <vt:i4>0</vt:i4>
      </vt:variant>
      <vt:variant>
        <vt:i4>5</vt:i4>
      </vt:variant>
      <vt:variant>
        <vt:lpwstr>https://www.parliament.vic.gov.au/parliamentary-activity/tabled-documents-database/tabled-document-details/9151</vt:lpwstr>
      </vt:variant>
      <vt:variant>
        <vt:lpwstr/>
      </vt:variant>
      <vt:variant>
        <vt:i4>3670116</vt:i4>
      </vt:variant>
      <vt:variant>
        <vt:i4>422</vt:i4>
      </vt:variant>
      <vt:variant>
        <vt:i4>0</vt:i4>
      </vt:variant>
      <vt:variant>
        <vt:i4>5</vt:i4>
      </vt:variant>
      <vt:variant>
        <vt:lpwstr>https://www.vic.gov.au/independentreviewemployeerepresentatives</vt:lpwstr>
      </vt:variant>
      <vt:variant>
        <vt:lpwstr/>
      </vt:variant>
      <vt:variant>
        <vt:i4>5046293</vt:i4>
      </vt:variant>
      <vt:variant>
        <vt:i4>419</vt:i4>
      </vt:variant>
      <vt:variant>
        <vt:i4>0</vt:i4>
      </vt:variant>
      <vt:variant>
        <vt:i4>5</vt:i4>
      </vt:variant>
      <vt:variant>
        <vt:lpwstr>https://www.vic.gov.au/equal-workplaces-advisory-council</vt:lpwstr>
      </vt:variant>
      <vt:variant>
        <vt:lpwstr>motivating-action-closing-the-gender-pay-gap-in-victorian-businesses-2024</vt:lpwstr>
      </vt:variant>
      <vt:variant>
        <vt:i4>589889</vt:i4>
      </vt:variant>
      <vt:variant>
        <vt:i4>416</vt:i4>
      </vt:variant>
      <vt:variant>
        <vt:i4>0</vt:i4>
      </vt:variant>
      <vt:variant>
        <vt:i4>5</vt:i4>
      </vt:variant>
      <vt:variant>
        <vt:lpwstr>https://www.dtf.vic.gov.au/eiif-cultural-safety-framework</vt:lpwstr>
      </vt:variant>
      <vt:variant>
        <vt:lpwstr/>
      </vt:variant>
      <vt:variant>
        <vt:i4>1310769</vt:i4>
      </vt:variant>
      <vt:variant>
        <vt:i4>398</vt:i4>
      </vt:variant>
      <vt:variant>
        <vt:i4>0</vt:i4>
      </vt:variant>
      <vt:variant>
        <vt:i4>5</vt:i4>
      </vt:variant>
      <vt:variant>
        <vt:lpwstr/>
      </vt:variant>
      <vt:variant>
        <vt:lpwstr>_Toc210221114</vt:lpwstr>
      </vt:variant>
      <vt:variant>
        <vt:i4>1310769</vt:i4>
      </vt:variant>
      <vt:variant>
        <vt:i4>392</vt:i4>
      </vt:variant>
      <vt:variant>
        <vt:i4>0</vt:i4>
      </vt:variant>
      <vt:variant>
        <vt:i4>5</vt:i4>
      </vt:variant>
      <vt:variant>
        <vt:lpwstr/>
      </vt:variant>
      <vt:variant>
        <vt:lpwstr>_Toc210221113</vt:lpwstr>
      </vt:variant>
      <vt:variant>
        <vt:i4>1310769</vt:i4>
      </vt:variant>
      <vt:variant>
        <vt:i4>386</vt:i4>
      </vt:variant>
      <vt:variant>
        <vt:i4>0</vt:i4>
      </vt:variant>
      <vt:variant>
        <vt:i4>5</vt:i4>
      </vt:variant>
      <vt:variant>
        <vt:lpwstr/>
      </vt:variant>
      <vt:variant>
        <vt:lpwstr>_Toc210221112</vt:lpwstr>
      </vt:variant>
      <vt:variant>
        <vt:i4>1310769</vt:i4>
      </vt:variant>
      <vt:variant>
        <vt:i4>380</vt:i4>
      </vt:variant>
      <vt:variant>
        <vt:i4>0</vt:i4>
      </vt:variant>
      <vt:variant>
        <vt:i4>5</vt:i4>
      </vt:variant>
      <vt:variant>
        <vt:lpwstr/>
      </vt:variant>
      <vt:variant>
        <vt:lpwstr>_Toc210221111</vt:lpwstr>
      </vt:variant>
      <vt:variant>
        <vt:i4>1310769</vt:i4>
      </vt:variant>
      <vt:variant>
        <vt:i4>374</vt:i4>
      </vt:variant>
      <vt:variant>
        <vt:i4>0</vt:i4>
      </vt:variant>
      <vt:variant>
        <vt:i4>5</vt:i4>
      </vt:variant>
      <vt:variant>
        <vt:lpwstr/>
      </vt:variant>
      <vt:variant>
        <vt:lpwstr>_Toc210221110</vt:lpwstr>
      </vt:variant>
      <vt:variant>
        <vt:i4>1245235</vt:i4>
      </vt:variant>
      <vt:variant>
        <vt:i4>365</vt:i4>
      </vt:variant>
      <vt:variant>
        <vt:i4>0</vt:i4>
      </vt:variant>
      <vt:variant>
        <vt:i4>5</vt:i4>
      </vt:variant>
      <vt:variant>
        <vt:lpwstr/>
      </vt:variant>
      <vt:variant>
        <vt:lpwstr>_Toc210214032</vt:lpwstr>
      </vt:variant>
      <vt:variant>
        <vt:i4>1245235</vt:i4>
      </vt:variant>
      <vt:variant>
        <vt:i4>359</vt:i4>
      </vt:variant>
      <vt:variant>
        <vt:i4>0</vt:i4>
      </vt:variant>
      <vt:variant>
        <vt:i4>5</vt:i4>
      </vt:variant>
      <vt:variant>
        <vt:lpwstr/>
      </vt:variant>
      <vt:variant>
        <vt:lpwstr>_Toc210214031</vt:lpwstr>
      </vt:variant>
      <vt:variant>
        <vt:i4>1245235</vt:i4>
      </vt:variant>
      <vt:variant>
        <vt:i4>353</vt:i4>
      </vt:variant>
      <vt:variant>
        <vt:i4>0</vt:i4>
      </vt:variant>
      <vt:variant>
        <vt:i4>5</vt:i4>
      </vt:variant>
      <vt:variant>
        <vt:lpwstr/>
      </vt:variant>
      <vt:variant>
        <vt:lpwstr>_Toc210214030</vt:lpwstr>
      </vt:variant>
      <vt:variant>
        <vt:i4>1179699</vt:i4>
      </vt:variant>
      <vt:variant>
        <vt:i4>347</vt:i4>
      </vt:variant>
      <vt:variant>
        <vt:i4>0</vt:i4>
      </vt:variant>
      <vt:variant>
        <vt:i4>5</vt:i4>
      </vt:variant>
      <vt:variant>
        <vt:lpwstr/>
      </vt:variant>
      <vt:variant>
        <vt:lpwstr>_Toc210214029</vt:lpwstr>
      </vt:variant>
      <vt:variant>
        <vt:i4>1179699</vt:i4>
      </vt:variant>
      <vt:variant>
        <vt:i4>341</vt:i4>
      </vt:variant>
      <vt:variant>
        <vt:i4>0</vt:i4>
      </vt:variant>
      <vt:variant>
        <vt:i4>5</vt:i4>
      </vt:variant>
      <vt:variant>
        <vt:lpwstr/>
      </vt:variant>
      <vt:variant>
        <vt:lpwstr>_Toc210214028</vt:lpwstr>
      </vt:variant>
      <vt:variant>
        <vt:i4>1179699</vt:i4>
      </vt:variant>
      <vt:variant>
        <vt:i4>335</vt:i4>
      </vt:variant>
      <vt:variant>
        <vt:i4>0</vt:i4>
      </vt:variant>
      <vt:variant>
        <vt:i4>5</vt:i4>
      </vt:variant>
      <vt:variant>
        <vt:lpwstr/>
      </vt:variant>
      <vt:variant>
        <vt:lpwstr>_Toc210214027</vt:lpwstr>
      </vt:variant>
      <vt:variant>
        <vt:i4>1179699</vt:i4>
      </vt:variant>
      <vt:variant>
        <vt:i4>329</vt:i4>
      </vt:variant>
      <vt:variant>
        <vt:i4>0</vt:i4>
      </vt:variant>
      <vt:variant>
        <vt:i4>5</vt:i4>
      </vt:variant>
      <vt:variant>
        <vt:lpwstr/>
      </vt:variant>
      <vt:variant>
        <vt:lpwstr>_Toc210214026</vt:lpwstr>
      </vt:variant>
      <vt:variant>
        <vt:i4>1179699</vt:i4>
      </vt:variant>
      <vt:variant>
        <vt:i4>323</vt:i4>
      </vt:variant>
      <vt:variant>
        <vt:i4>0</vt:i4>
      </vt:variant>
      <vt:variant>
        <vt:i4>5</vt:i4>
      </vt:variant>
      <vt:variant>
        <vt:lpwstr/>
      </vt:variant>
      <vt:variant>
        <vt:lpwstr>_Toc210214025</vt:lpwstr>
      </vt:variant>
      <vt:variant>
        <vt:i4>1179699</vt:i4>
      </vt:variant>
      <vt:variant>
        <vt:i4>317</vt:i4>
      </vt:variant>
      <vt:variant>
        <vt:i4>0</vt:i4>
      </vt:variant>
      <vt:variant>
        <vt:i4>5</vt:i4>
      </vt:variant>
      <vt:variant>
        <vt:lpwstr/>
      </vt:variant>
      <vt:variant>
        <vt:lpwstr>_Toc210214024</vt:lpwstr>
      </vt:variant>
      <vt:variant>
        <vt:i4>1179699</vt:i4>
      </vt:variant>
      <vt:variant>
        <vt:i4>311</vt:i4>
      </vt:variant>
      <vt:variant>
        <vt:i4>0</vt:i4>
      </vt:variant>
      <vt:variant>
        <vt:i4>5</vt:i4>
      </vt:variant>
      <vt:variant>
        <vt:lpwstr/>
      </vt:variant>
      <vt:variant>
        <vt:lpwstr>_Toc210214023</vt:lpwstr>
      </vt:variant>
      <vt:variant>
        <vt:i4>1179699</vt:i4>
      </vt:variant>
      <vt:variant>
        <vt:i4>305</vt:i4>
      </vt:variant>
      <vt:variant>
        <vt:i4>0</vt:i4>
      </vt:variant>
      <vt:variant>
        <vt:i4>5</vt:i4>
      </vt:variant>
      <vt:variant>
        <vt:lpwstr/>
      </vt:variant>
      <vt:variant>
        <vt:lpwstr>_Toc210214022</vt:lpwstr>
      </vt:variant>
      <vt:variant>
        <vt:i4>1179699</vt:i4>
      </vt:variant>
      <vt:variant>
        <vt:i4>299</vt:i4>
      </vt:variant>
      <vt:variant>
        <vt:i4>0</vt:i4>
      </vt:variant>
      <vt:variant>
        <vt:i4>5</vt:i4>
      </vt:variant>
      <vt:variant>
        <vt:lpwstr/>
      </vt:variant>
      <vt:variant>
        <vt:lpwstr>_Toc210214021</vt:lpwstr>
      </vt:variant>
      <vt:variant>
        <vt:i4>1179699</vt:i4>
      </vt:variant>
      <vt:variant>
        <vt:i4>293</vt:i4>
      </vt:variant>
      <vt:variant>
        <vt:i4>0</vt:i4>
      </vt:variant>
      <vt:variant>
        <vt:i4>5</vt:i4>
      </vt:variant>
      <vt:variant>
        <vt:lpwstr/>
      </vt:variant>
      <vt:variant>
        <vt:lpwstr>_Toc210214020</vt:lpwstr>
      </vt:variant>
      <vt:variant>
        <vt:i4>1114163</vt:i4>
      </vt:variant>
      <vt:variant>
        <vt:i4>287</vt:i4>
      </vt:variant>
      <vt:variant>
        <vt:i4>0</vt:i4>
      </vt:variant>
      <vt:variant>
        <vt:i4>5</vt:i4>
      </vt:variant>
      <vt:variant>
        <vt:lpwstr/>
      </vt:variant>
      <vt:variant>
        <vt:lpwstr>_Toc210214019</vt:lpwstr>
      </vt:variant>
      <vt:variant>
        <vt:i4>1114163</vt:i4>
      </vt:variant>
      <vt:variant>
        <vt:i4>281</vt:i4>
      </vt:variant>
      <vt:variant>
        <vt:i4>0</vt:i4>
      </vt:variant>
      <vt:variant>
        <vt:i4>5</vt:i4>
      </vt:variant>
      <vt:variant>
        <vt:lpwstr/>
      </vt:variant>
      <vt:variant>
        <vt:lpwstr>_Toc210214018</vt:lpwstr>
      </vt:variant>
      <vt:variant>
        <vt:i4>1114163</vt:i4>
      </vt:variant>
      <vt:variant>
        <vt:i4>275</vt:i4>
      </vt:variant>
      <vt:variant>
        <vt:i4>0</vt:i4>
      </vt:variant>
      <vt:variant>
        <vt:i4>5</vt:i4>
      </vt:variant>
      <vt:variant>
        <vt:lpwstr/>
      </vt:variant>
      <vt:variant>
        <vt:lpwstr>_Toc210214017</vt:lpwstr>
      </vt:variant>
      <vt:variant>
        <vt:i4>1114163</vt:i4>
      </vt:variant>
      <vt:variant>
        <vt:i4>269</vt:i4>
      </vt:variant>
      <vt:variant>
        <vt:i4>0</vt:i4>
      </vt:variant>
      <vt:variant>
        <vt:i4>5</vt:i4>
      </vt:variant>
      <vt:variant>
        <vt:lpwstr/>
      </vt:variant>
      <vt:variant>
        <vt:lpwstr>_Toc210214016</vt:lpwstr>
      </vt:variant>
      <vt:variant>
        <vt:i4>1114163</vt:i4>
      </vt:variant>
      <vt:variant>
        <vt:i4>263</vt:i4>
      </vt:variant>
      <vt:variant>
        <vt:i4>0</vt:i4>
      </vt:variant>
      <vt:variant>
        <vt:i4>5</vt:i4>
      </vt:variant>
      <vt:variant>
        <vt:lpwstr/>
      </vt:variant>
      <vt:variant>
        <vt:lpwstr>_Toc210214015</vt:lpwstr>
      </vt:variant>
      <vt:variant>
        <vt:i4>1114163</vt:i4>
      </vt:variant>
      <vt:variant>
        <vt:i4>257</vt:i4>
      </vt:variant>
      <vt:variant>
        <vt:i4>0</vt:i4>
      </vt:variant>
      <vt:variant>
        <vt:i4>5</vt:i4>
      </vt:variant>
      <vt:variant>
        <vt:lpwstr/>
      </vt:variant>
      <vt:variant>
        <vt:lpwstr>_Toc210214014</vt:lpwstr>
      </vt:variant>
      <vt:variant>
        <vt:i4>1114163</vt:i4>
      </vt:variant>
      <vt:variant>
        <vt:i4>251</vt:i4>
      </vt:variant>
      <vt:variant>
        <vt:i4>0</vt:i4>
      </vt:variant>
      <vt:variant>
        <vt:i4>5</vt:i4>
      </vt:variant>
      <vt:variant>
        <vt:lpwstr/>
      </vt:variant>
      <vt:variant>
        <vt:lpwstr>_Toc210214013</vt:lpwstr>
      </vt:variant>
      <vt:variant>
        <vt:i4>1114163</vt:i4>
      </vt:variant>
      <vt:variant>
        <vt:i4>245</vt:i4>
      </vt:variant>
      <vt:variant>
        <vt:i4>0</vt:i4>
      </vt:variant>
      <vt:variant>
        <vt:i4>5</vt:i4>
      </vt:variant>
      <vt:variant>
        <vt:lpwstr/>
      </vt:variant>
      <vt:variant>
        <vt:lpwstr>_Toc210214012</vt:lpwstr>
      </vt:variant>
      <vt:variant>
        <vt:i4>1114163</vt:i4>
      </vt:variant>
      <vt:variant>
        <vt:i4>239</vt:i4>
      </vt:variant>
      <vt:variant>
        <vt:i4>0</vt:i4>
      </vt:variant>
      <vt:variant>
        <vt:i4>5</vt:i4>
      </vt:variant>
      <vt:variant>
        <vt:lpwstr/>
      </vt:variant>
      <vt:variant>
        <vt:lpwstr>_Toc210214011</vt:lpwstr>
      </vt:variant>
      <vt:variant>
        <vt:i4>1114163</vt:i4>
      </vt:variant>
      <vt:variant>
        <vt:i4>233</vt:i4>
      </vt:variant>
      <vt:variant>
        <vt:i4>0</vt:i4>
      </vt:variant>
      <vt:variant>
        <vt:i4>5</vt:i4>
      </vt:variant>
      <vt:variant>
        <vt:lpwstr/>
      </vt:variant>
      <vt:variant>
        <vt:lpwstr>_Toc210214010</vt:lpwstr>
      </vt:variant>
      <vt:variant>
        <vt:i4>1048627</vt:i4>
      </vt:variant>
      <vt:variant>
        <vt:i4>227</vt:i4>
      </vt:variant>
      <vt:variant>
        <vt:i4>0</vt:i4>
      </vt:variant>
      <vt:variant>
        <vt:i4>5</vt:i4>
      </vt:variant>
      <vt:variant>
        <vt:lpwstr/>
      </vt:variant>
      <vt:variant>
        <vt:lpwstr>_Toc210214009</vt:lpwstr>
      </vt:variant>
      <vt:variant>
        <vt:i4>1048627</vt:i4>
      </vt:variant>
      <vt:variant>
        <vt:i4>221</vt:i4>
      </vt:variant>
      <vt:variant>
        <vt:i4>0</vt:i4>
      </vt:variant>
      <vt:variant>
        <vt:i4>5</vt:i4>
      </vt:variant>
      <vt:variant>
        <vt:lpwstr/>
      </vt:variant>
      <vt:variant>
        <vt:lpwstr>_Toc210214008</vt:lpwstr>
      </vt:variant>
      <vt:variant>
        <vt:i4>1048627</vt:i4>
      </vt:variant>
      <vt:variant>
        <vt:i4>215</vt:i4>
      </vt:variant>
      <vt:variant>
        <vt:i4>0</vt:i4>
      </vt:variant>
      <vt:variant>
        <vt:i4>5</vt:i4>
      </vt:variant>
      <vt:variant>
        <vt:lpwstr/>
      </vt:variant>
      <vt:variant>
        <vt:lpwstr>_Toc210214007</vt:lpwstr>
      </vt:variant>
      <vt:variant>
        <vt:i4>1048627</vt:i4>
      </vt:variant>
      <vt:variant>
        <vt:i4>209</vt:i4>
      </vt:variant>
      <vt:variant>
        <vt:i4>0</vt:i4>
      </vt:variant>
      <vt:variant>
        <vt:i4>5</vt:i4>
      </vt:variant>
      <vt:variant>
        <vt:lpwstr/>
      </vt:variant>
      <vt:variant>
        <vt:lpwstr>_Toc210214006</vt:lpwstr>
      </vt:variant>
      <vt:variant>
        <vt:i4>1048627</vt:i4>
      </vt:variant>
      <vt:variant>
        <vt:i4>203</vt:i4>
      </vt:variant>
      <vt:variant>
        <vt:i4>0</vt:i4>
      </vt:variant>
      <vt:variant>
        <vt:i4>5</vt:i4>
      </vt:variant>
      <vt:variant>
        <vt:lpwstr/>
      </vt:variant>
      <vt:variant>
        <vt:lpwstr>_Toc210214005</vt:lpwstr>
      </vt:variant>
      <vt:variant>
        <vt:i4>1048627</vt:i4>
      </vt:variant>
      <vt:variant>
        <vt:i4>197</vt:i4>
      </vt:variant>
      <vt:variant>
        <vt:i4>0</vt:i4>
      </vt:variant>
      <vt:variant>
        <vt:i4>5</vt:i4>
      </vt:variant>
      <vt:variant>
        <vt:lpwstr/>
      </vt:variant>
      <vt:variant>
        <vt:lpwstr>_Toc210214004</vt:lpwstr>
      </vt:variant>
      <vt:variant>
        <vt:i4>1048627</vt:i4>
      </vt:variant>
      <vt:variant>
        <vt:i4>191</vt:i4>
      </vt:variant>
      <vt:variant>
        <vt:i4>0</vt:i4>
      </vt:variant>
      <vt:variant>
        <vt:i4>5</vt:i4>
      </vt:variant>
      <vt:variant>
        <vt:lpwstr/>
      </vt:variant>
      <vt:variant>
        <vt:lpwstr>_Toc210214003</vt:lpwstr>
      </vt:variant>
      <vt:variant>
        <vt:i4>1048627</vt:i4>
      </vt:variant>
      <vt:variant>
        <vt:i4>185</vt:i4>
      </vt:variant>
      <vt:variant>
        <vt:i4>0</vt:i4>
      </vt:variant>
      <vt:variant>
        <vt:i4>5</vt:i4>
      </vt:variant>
      <vt:variant>
        <vt:lpwstr/>
      </vt:variant>
      <vt:variant>
        <vt:lpwstr>_Toc210214002</vt:lpwstr>
      </vt:variant>
      <vt:variant>
        <vt:i4>1048627</vt:i4>
      </vt:variant>
      <vt:variant>
        <vt:i4>179</vt:i4>
      </vt:variant>
      <vt:variant>
        <vt:i4>0</vt:i4>
      </vt:variant>
      <vt:variant>
        <vt:i4>5</vt:i4>
      </vt:variant>
      <vt:variant>
        <vt:lpwstr/>
      </vt:variant>
      <vt:variant>
        <vt:lpwstr>_Toc210214001</vt:lpwstr>
      </vt:variant>
      <vt:variant>
        <vt:i4>1048627</vt:i4>
      </vt:variant>
      <vt:variant>
        <vt:i4>173</vt:i4>
      </vt:variant>
      <vt:variant>
        <vt:i4>0</vt:i4>
      </vt:variant>
      <vt:variant>
        <vt:i4>5</vt:i4>
      </vt:variant>
      <vt:variant>
        <vt:lpwstr/>
      </vt:variant>
      <vt:variant>
        <vt:lpwstr>_Toc210214000</vt:lpwstr>
      </vt:variant>
      <vt:variant>
        <vt:i4>1966138</vt:i4>
      </vt:variant>
      <vt:variant>
        <vt:i4>167</vt:i4>
      </vt:variant>
      <vt:variant>
        <vt:i4>0</vt:i4>
      </vt:variant>
      <vt:variant>
        <vt:i4>5</vt:i4>
      </vt:variant>
      <vt:variant>
        <vt:lpwstr/>
      </vt:variant>
      <vt:variant>
        <vt:lpwstr>_Toc210213999</vt:lpwstr>
      </vt:variant>
      <vt:variant>
        <vt:i4>1966138</vt:i4>
      </vt:variant>
      <vt:variant>
        <vt:i4>161</vt:i4>
      </vt:variant>
      <vt:variant>
        <vt:i4>0</vt:i4>
      </vt:variant>
      <vt:variant>
        <vt:i4>5</vt:i4>
      </vt:variant>
      <vt:variant>
        <vt:lpwstr/>
      </vt:variant>
      <vt:variant>
        <vt:lpwstr>_Toc210213998</vt:lpwstr>
      </vt:variant>
      <vt:variant>
        <vt:i4>1966138</vt:i4>
      </vt:variant>
      <vt:variant>
        <vt:i4>155</vt:i4>
      </vt:variant>
      <vt:variant>
        <vt:i4>0</vt:i4>
      </vt:variant>
      <vt:variant>
        <vt:i4>5</vt:i4>
      </vt:variant>
      <vt:variant>
        <vt:lpwstr/>
      </vt:variant>
      <vt:variant>
        <vt:lpwstr>_Toc210213997</vt:lpwstr>
      </vt:variant>
      <vt:variant>
        <vt:i4>1966138</vt:i4>
      </vt:variant>
      <vt:variant>
        <vt:i4>149</vt:i4>
      </vt:variant>
      <vt:variant>
        <vt:i4>0</vt:i4>
      </vt:variant>
      <vt:variant>
        <vt:i4>5</vt:i4>
      </vt:variant>
      <vt:variant>
        <vt:lpwstr/>
      </vt:variant>
      <vt:variant>
        <vt:lpwstr>_Toc210213996</vt:lpwstr>
      </vt:variant>
      <vt:variant>
        <vt:i4>1966138</vt:i4>
      </vt:variant>
      <vt:variant>
        <vt:i4>143</vt:i4>
      </vt:variant>
      <vt:variant>
        <vt:i4>0</vt:i4>
      </vt:variant>
      <vt:variant>
        <vt:i4>5</vt:i4>
      </vt:variant>
      <vt:variant>
        <vt:lpwstr/>
      </vt:variant>
      <vt:variant>
        <vt:lpwstr>_Toc210213995</vt:lpwstr>
      </vt:variant>
      <vt:variant>
        <vt:i4>1966138</vt:i4>
      </vt:variant>
      <vt:variant>
        <vt:i4>137</vt:i4>
      </vt:variant>
      <vt:variant>
        <vt:i4>0</vt:i4>
      </vt:variant>
      <vt:variant>
        <vt:i4>5</vt:i4>
      </vt:variant>
      <vt:variant>
        <vt:lpwstr/>
      </vt:variant>
      <vt:variant>
        <vt:lpwstr>_Toc210213994</vt:lpwstr>
      </vt:variant>
      <vt:variant>
        <vt:i4>1966138</vt:i4>
      </vt:variant>
      <vt:variant>
        <vt:i4>131</vt:i4>
      </vt:variant>
      <vt:variant>
        <vt:i4>0</vt:i4>
      </vt:variant>
      <vt:variant>
        <vt:i4>5</vt:i4>
      </vt:variant>
      <vt:variant>
        <vt:lpwstr/>
      </vt:variant>
      <vt:variant>
        <vt:lpwstr>_Toc210213993</vt:lpwstr>
      </vt:variant>
      <vt:variant>
        <vt:i4>1966138</vt:i4>
      </vt:variant>
      <vt:variant>
        <vt:i4>125</vt:i4>
      </vt:variant>
      <vt:variant>
        <vt:i4>0</vt:i4>
      </vt:variant>
      <vt:variant>
        <vt:i4>5</vt:i4>
      </vt:variant>
      <vt:variant>
        <vt:lpwstr/>
      </vt:variant>
      <vt:variant>
        <vt:lpwstr>_Toc210213991</vt:lpwstr>
      </vt:variant>
      <vt:variant>
        <vt:i4>1966138</vt:i4>
      </vt:variant>
      <vt:variant>
        <vt:i4>119</vt:i4>
      </vt:variant>
      <vt:variant>
        <vt:i4>0</vt:i4>
      </vt:variant>
      <vt:variant>
        <vt:i4>5</vt:i4>
      </vt:variant>
      <vt:variant>
        <vt:lpwstr/>
      </vt:variant>
      <vt:variant>
        <vt:lpwstr>_Toc210213990</vt:lpwstr>
      </vt:variant>
      <vt:variant>
        <vt:i4>2031674</vt:i4>
      </vt:variant>
      <vt:variant>
        <vt:i4>113</vt:i4>
      </vt:variant>
      <vt:variant>
        <vt:i4>0</vt:i4>
      </vt:variant>
      <vt:variant>
        <vt:i4>5</vt:i4>
      </vt:variant>
      <vt:variant>
        <vt:lpwstr/>
      </vt:variant>
      <vt:variant>
        <vt:lpwstr>_Toc210213989</vt:lpwstr>
      </vt:variant>
      <vt:variant>
        <vt:i4>2031674</vt:i4>
      </vt:variant>
      <vt:variant>
        <vt:i4>107</vt:i4>
      </vt:variant>
      <vt:variant>
        <vt:i4>0</vt:i4>
      </vt:variant>
      <vt:variant>
        <vt:i4>5</vt:i4>
      </vt:variant>
      <vt:variant>
        <vt:lpwstr/>
      </vt:variant>
      <vt:variant>
        <vt:lpwstr>_Toc210213988</vt:lpwstr>
      </vt:variant>
      <vt:variant>
        <vt:i4>1048625</vt:i4>
      </vt:variant>
      <vt:variant>
        <vt:i4>98</vt:i4>
      </vt:variant>
      <vt:variant>
        <vt:i4>0</vt:i4>
      </vt:variant>
      <vt:variant>
        <vt:i4>5</vt:i4>
      </vt:variant>
      <vt:variant>
        <vt:lpwstr/>
      </vt:variant>
      <vt:variant>
        <vt:lpwstr>_Toc210221158</vt:lpwstr>
      </vt:variant>
      <vt:variant>
        <vt:i4>1048625</vt:i4>
      </vt:variant>
      <vt:variant>
        <vt:i4>95</vt:i4>
      </vt:variant>
      <vt:variant>
        <vt:i4>0</vt:i4>
      </vt:variant>
      <vt:variant>
        <vt:i4>5</vt:i4>
      </vt:variant>
      <vt:variant>
        <vt:lpwstr/>
      </vt:variant>
      <vt:variant>
        <vt:lpwstr>_Toc210221157</vt:lpwstr>
      </vt:variant>
      <vt:variant>
        <vt:i4>1048625</vt:i4>
      </vt:variant>
      <vt:variant>
        <vt:i4>92</vt:i4>
      </vt:variant>
      <vt:variant>
        <vt:i4>0</vt:i4>
      </vt:variant>
      <vt:variant>
        <vt:i4>5</vt:i4>
      </vt:variant>
      <vt:variant>
        <vt:lpwstr/>
      </vt:variant>
      <vt:variant>
        <vt:lpwstr>_Toc210221156</vt:lpwstr>
      </vt:variant>
      <vt:variant>
        <vt:i4>1048625</vt:i4>
      </vt:variant>
      <vt:variant>
        <vt:i4>89</vt:i4>
      </vt:variant>
      <vt:variant>
        <vt:i4>0</vt:i4>
      </vt:variant>
      <vt:variant>
        <vt:i4>5</vt:i4>
      </vt:variant>
      <vt:variant>
        <vt:lpwstr/>
      </vt:variant>
      <vt:variant>
        <vt:lpwstr>_Toc210221155</vt:lpwstr>
      </vt:variant>
      <vt:variant>
        <vt:i4>1048625</vt:i4>
      </vt:variant>
      <vt:variant>
        <vt:i4>86</vt:i4>
      </vt:variant>
      <vt:variant>
        <vt:i4>0</vt:i4>
      </vt:variant>
      <vt:variant>
        <vt:i4>5</vt:i4>
      </vt:variant>
      <vt:variant>
        <vt:lpwstr/>
      </vt:variant>
      <vt:variant>
        <vt:lpwstr>_Toc210221154</vt:lpwstr>
      </vt:variant>
      <vt:variant>
        <vt:i4>1048625</vt:i4>
      </vt:variant>
      <vt:variant>
        <vt:i4>83</vt:i4>
      </vt:variant>
      <vt:variant>
        <vt:i4>0</vt:i4>
      </vt:variant>
      <vt:variant>
        <vt:i4>5</vt:i4>
      </vt:variant>
      <vt:variant>
        <vt:lpwstr/>
      </vt:variant>
      <vt:variant>
        <vt:lpwstr>_Toc210221153</vt:lpwstr>
      </vt:variant>
      <vt:variant>
        <vt:i4>1048625</vt:i4>
      </vt:variant>
      <vt:variant>
        <vt:i4>80</vt:i4>
      </vt:variant>
      <vt:variant>
        <vt:i4>0</vt:i4>
      </vt:variant>
      <vt:variant>
        <vt:i4>5</vt:i4>
      </vt:variant>
      <vt:variant>
        <vt:lpwstr/>
      </vt:variant>
      <vt:variant>
        <vt:lpwstr>_Toc210221152</vt:lpwstr>
      </vt:variant>
      <vt:variant>
        <vt:i4>1048625</vt:i4>
      </vt:variant>
      <vt:variant>
        <vt:i4>77</vt:i4>
      </vt:variant>
      <vt:variant>
        <vt:i4>0</vt:i4>
      </vt:variant>
      <vt:variant>
        <vt:i4>5</vt:i4>
      </vt:variant>
      <vt:variant>
        <vt:lpwstr/>
      </vt:variant>
      <vt:variant>
        <vt:lpwstr>_Toc210221151</vt:lpwstr>
      </vt:variant>
      <vt:variant>
        <vt:i4>1048625</vt:i4>
      </vt:variant>
      <vt:variant>
        <vt:i4>74</vt:i4>
      </vt:variant>
      <vt:variant>
        <vt:i4>0</vt:i4>
      </vt:variant>
      <vt:variant>
        <vt:i4>5</vt:i4>
      </vt:variant>
      <vt:variant>
        <vt:lpwstr/>
      </vt:variant>
      <vt:variant>
        <vt:lpwstr>_Toc210221150</vt:lpwstr>
      </vt:variant>
      <vt:variant>
        <vt:i4>1114161</vt:i4>
      </vt:variant>
      <vt:variant>
        <vt:i4>71</vt:i4>
      </vt:variant>
      <vt:variant>
        <vt:i4>0</vt:i4>
      </vt:variant>
      <vt:variant>
        <vt:i4>5</vt:i4>
      </vt:variant>
      <vt:variant>
        <vt:lpwstr/>
      </vt:variant>
      <vt:variant>
        <vt:lpwstr>_Toc210221149</vt:lpwstr>
      </vt:variant>
      <vt:variant>
        <vt:i4>1114161</vt:i4>
      </vt:variant>
      <vt:variant>
        <vt:i4>68</vt:i4>
      </vt:variant>
      <vt:variant>
        <vt:i4>0</vt:i4>
      </vt:variant>
      <vt:variant>
        <vt:i4>5</vt:i4>
      </vt:variant>
      <vt:variant>
        <vt:lpwstr/>
      </vt:variant>
      <vt:variant>
        <vt:lpwstr>_Toc210221148</vt:lpwstr>
      </vt:variant>
      <vt:variant>
        <vt:i4>1114161</vt:i4>
      </vt:variant>
      <vt:variant>
        <vt:i4>65</vt:i4>
      </vt:variant>
      <vt:variant>
        <vt:i4>0</vt:i4>
      </vt:variant>
      <vt:variant>
        <vt:i4>5</vt:i4>
      </vt:variant>
      <vt:variant>
        <vt:lpwstr/>
      </vt:variant>
      <vt:variant>
        <vt:lpwstr>_Toc210221147</vt:lpwstr>
      </vt:variant>
      <vt:variant>
        <vt:i4>1114161</vt:i4>
      </vt:variant>
      <vt:variant>
        <vt:i4>62</vt:i4>
      </vt:variant>
      <vt:variant>
        <vt:i4>0</vt:i4>
      </vt:variant>
      <vt:variant>
        <vt:i4>5</vt:i4>
      </vt:variant>
      <vt:variant>
        <vt:lpwstr/>
      </vt:variant>
      <vt:variant>
        <vt:lpwstr>_Toc210221146</vt:lpwstr>
      </vt:variant>
      <vt:variant>
        <vt:i4>1114161</vt:i4>
      </vt:variant>
      <vt:variant>
        <vt:i4>59</vt:i4>
      </vt:variant>
      <vt:variant>
        <vt:i4>0</vt:i4>
      </vt:variant>
      <vt:variant>
        <vt:i4>5</vt:i4>
      </vt:variant>
      <vt:variant>
        <vt:lpwstr/>
      </vt:variant>
      <vt:variant>
        <vt:lpwstr>_Toc210221145</vt:lpwstr>
      </vt:variant>
      <vt:variant>
        <vt:i4>1114161</vt:i4>
      </vt:variant>
      <vt:variant>
        <vt:i4>56</vt:i4>
      </vt:variant>
      <vt:variant>
        <vt:i4>0</vt:i4>
      </vt:variant>
      <vt:variant>
        <vt:i4>5</vt:i4>
      </vt:variant>
      <vt:variant>
        <vt:lpwstr/>
      </vt:variant>
      <vt:variant>
        <vt:lpwstr>_Toc210221144</vt:lpwstr>
      </vt:variant>
      <vt:variant>
        <vt:i4>1114161</vt:i4>
      </vt:variant>
      <vt:variant>
        <vt:i4>53</vt:i4>
      </vt:variant>
      <vt:variant>
        <vt:i4>0</vt:i4>
      </vt:variant>
      <vt:variant>
        <vt:i4>5</vt:i4>
      </vt:variant>
      <vt:variant>
        <vt:lpwstr/>
      </vt:variant>
      <vt:variant>
        <vt:lpwstr>_Toc210221143</vt:lpwstr>
      </vt:variant>
      <vt:variant>
        <vt:i4>1114161</vt:i4>
      </vt:variant>
      <vt:variant>
        <vt:i4>50</vt:i4>
      </vt:variant>
      <vt:variant>
        <vt:i4>0</vt:i4>
      </vt:variant>
      <vt:variant>
        <vt:i4>5</vt:i4>
      </vt:variant>
      <vt:variant>
        <vt:lpwstr/>
      </vt:variant>
      <vt:variant>
        <vt:lpwstr>_Toc210221142</vt:lpwstr>
      </vt:variant>
      <vt:variant>
        <vt:i4>1114161</vt:i4>
      </vt:variant>
      <vt:variant>
        <vt:i4>44</vt:i4>
      </vt:variant>
      <vt:variant>
        <vt:i4>0</vt:i4>
      </vt:variant>
      <vt:variant>
        <vt:i4>5</vt:i4>
      </vt:variant>
      <vt:variant>
        <vt:lpwstr/>
      </vt:variant>
      <vt:variant>
        <vt:lpwstr>_Toc210221141</vt:lpwstr>
      </vt:variant>
      <vt:variant>
        <vt:i4>1114161</vt:i4>
      </vt:variant>
      <vt:variant>
        <vt:i4>38</vt:i4>
      </vt:variant>
      <vt:variant>
        <vt:i4>0</vt:i4>
      </vt:variant>
      <vt:variant>
        <vt:i4>5</vt:i4>
      </vt:variant>
      <vt:variant>
        <vt:lpwstr/>
      </vt:variant>
      <vt:variant>
        <vt:lpwstr>_Toc210221140</vt:lpwstr>
      </vt:variant>
      <vt:variant>
        <vt:i4>1441841</vt:i4>
      </vt:variant>
      <vt:variant>
        <vt:i4>32</vt:i4>
      </vt:variant>
      <vt:variant>
        <vt:i4>0</vt:i4>
      </vt:variant>
      <vt:variant>
        <vt:i4>5</vt:i4>
      </vt:variant>
      <vt:variant>
        <vt:lpwstr/>
      </vt:variant>
      <vt:variant>
        <vt:lpwstr>_Toc210221139</vt:lpwstr>
      </vt:variant>
      <vt:variant>
        <vt:i4>1441841</vt:i4>
      </vt:variant>
      <vt:variant>
        <vt:i4>26</vt:i4>
      </vt:variant>
      <vt:variant>
        <vt:i4>0</vt:i4>
      </vt:variant>
      <vt:variant>
        <vt:i4>5</vt:i4>
      </vt:variant>
      <vt:variant>
        <vt:lpwstr/>
      </vt:variant>
      <vt:variant>
        <vt:lpwstr>_Toc210221138</vt:lpwstr>
      </vt:variant>
      <vt:variant>
        <vt:i4>1441841</vt:i4>
      </vt:variant>
      <vt:variant>
        <vt:i4>20</vt:i4>
      </vt:variant>
      <vt:variant>
        <vt:i4>0</vt:i4>
      </vt:variant>
      <vt:variant>
        <vt:i4>5</vt:i4>
      </vt:variant>
      <vt:variant>
        <vt:lpwstr/>
      </vt:variant>
      <vt:variant>
        <vt:lpwstr>_Toc210221137</vt:lpwstr>
      </vt:variant>
      <vt:variant>
        <vt:i4>1441841</vt:i4>
      </vt:variant>
      <vt:variant>
        <vt:i4>14</vt:i4>
      </vt:variant>
      <vt:variant>
        <vt:i4>0</vt:i4>
      </vt:variant>
      <vt:variant>
        <vt:i4>5</vt:i4>
      </vt:variant>
      <vt:variant>
        <vt:lpwstr/>
      </vt:variant>
      <vt:variant>
        <vt:lpwstr>_Toc210221136</vt:lpwstr>
      </vt:variant>
      <vt:variant>
        <vt:i4>1441841</vt:i4>
      </vt:variant>
      <vt:variant>
        <vt:i4>8</vt:i4>
      </vt:variant>
      <vt:variant>
        <vt:i4>0</vt:i4>
      </vt:variant>
      <vt:variant>
        <vt:i4>5</vt:i4>
      </vt:variant>
      <vt:variant>
        <vt:lpwstr/>
      </vt:variant>
      <vt:variant>
        <vt:lpwstr>_Toc210221135</vt:lpwstr>
      </vt:variant>
      <vt:variant>
        <vt:i4>1441841</vt:i4>
      </vt:variant>
      <vt:variant>
        <vt:i4>2</vt:i4>
      </vt:variant>
      <vt:variant>
        <vt:i4>0</vt:i4>
      </vt:variant>
      <vt:variant>
        <vt:i4>5</vt:i4>
      </vt:variant>
      <vt:variant>
        <vt:lpwstr/>
      </vt:variant>
      <vt:variant>
        <vt:lpwstr>_Toc210221134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DTF Annual Report 2024-25</dc:title>
  <dc:subject>DTF Annual Report 2024-25</dc:subject>
  <dc:creator/>
  <cp:keywords>Annual Report, Department of Treasury and Finance</cp:keywords>
  <dc:description/>
  <cp:lastModifiedBy>Anna Collett (DTF)</cp:lastModifiedBy>
  <cp:revision>11</cp:revision>
  <cp:lastPrinted>2025-10-29T15:35:00Z</cp:lastPrinted>
  <dcterms:created xsi:type="dcterms:W3CDTF">2025-10-24T16:38:00Z</dcterms:created>
  <dcterms:modified xsi:type="dcterms:W3CDTF">2025-10-29T00:12:00Z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b4ee517-5ca4-4fff-98d2-ed4f906edd6d_Enabled">
    <vt:lpwstr>true</vt:lpwstr>
  </property>
  <property fmtid="{D5CDD505-2E9C-101B-9397-08002B2CF9AE}" pid="3" name="MSIP_Label_bb4ee517-5ca4-4fff-98d2-ed4f906edd6d_SetDate">
    <vt:lpwstr>2025-10-23T04:39:45Z</vt:lpwstr>
  </property>
  <property fmtid="{D5CDD505-2E9C-101B-9397-08002B2CF9AE}" pid="4" name="MSIP_Label_bb4ee517-5ca4-4fff-98d2-ed4f906edd6d_Method">
    <vt:lpwstr>Privileged</vt:lpwstr>
  </property>
  <property fmtid="{D5CDD505-2E9C-101B-9397-08002B2CF9AE}" pid="5" name="MSIP_Label_bb4ee517-5ca4-4fff-98d2-ed4f906edd6d_Name">
    <vt:lpwstr>bb4ee517-5ca4-4fff-98d2-ed4f906edd6d</vt:lpwstr>
  </property>
  <property fmtid="{D5CDD505-2E9C-101B-9397-08002B2CF9AE}" pid="6" name="MSIP_Label_bb4ee517-5ca4-4fff-98d2-ed4f906edd6d_SiteId">
    <vt:lpwstr>722ea0be-3e1c-4b11-ad6f-9401d6856e24</vt:lpwstr>
  </property>
  <property fmtid="{D5CDD505-2E9C-101B-9397-08002B2CF9AE}" pid="7" name="MSIP_Label_bb4ee517-5ca4-4fff-98d2-ed4f906edd6d_ActionId">
    <vt:lpwstr>c789b85b-3c68-4920-8b80-d2ce308df74c</vt:lpwstr>
  </property>
  <property fmtid="{D5CDD505-2E9C-101B-9397-08002B2CF9AE}" pid="8" name="MSIP_Label_bb4ee517-5ca4-4fff-98d2-ed4f906edd6d_ContentBits">
    <vt:lpwstr>0</vt:lpwstr>
  </property>
  <property fmtid="{D5CDD505-2E9C-101B-9397-08002B2CF9AE}" pid="9" name="MSIP_Label_bb4ee517-5ca4-4fff-98d2-ed4f906edd6d_Tag">
    <vt:lpwstr>10, 0, 1, 1</vt:lpwstr>
  </property>
  <property fmtid="{D5CDD505-2E9C-101B-9397-08002B2CF9AE}" pid="10" name="ContentTypeId">
    <vt:lpwstr>0x010100229D9BAD2630BC4A8668C45F4F6EE2E2</vt:lpwstr>
  </property>
</Properties>
</file>